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B988" w14:textId="0EC257AE" w:rsidR="00F94546" w:rsidRPr="004676F5" w:rsidRDefault="00F94546" w:rsidP="00F94546">
      <w:pPr>
        <w:jc w:val="center"/>
        <w:rPr>
          <w:b/>
          <w:lang w:val="de-DE"/>
        </w:rPr>
      </w:pPr>
      <w:r w:rsidRPr="004676F5">
        <w:rPr>
          <w:b/>
          <w:lang w:val="de-DE"/>
        </w:rPr>
        <w:t xml:space="preserve">28. FEBRUAR 2013 </w:t>
      </w:r>
      <w:r w:rsidR="005B7A5C" w:rsidRPr="004676F5">
        <w:rPr>
          <w:b/>
          <w:lang w:val="de-DE"/>
        </w:rPr>
        <w:t>- </w:t>
      </w:r>
      <w:r w:rsidRPr="004676F5">
        <w:rPr>
          <w:b/>
          <w:lang w:val="de-DE"/>
        </w:rPr>
        <w:t>WIRTSCHAFTSGESETZBUCH</w:t>
      </w:r>
    </w:p>
    <w:p w14:paraId="0E2E4FF4" w14:textId="77777777" w:rsidR="00F94546" w:rsidRPr="004676F5" w:rsidRDefault="00F94546" w:rsidP="00F94546">
      <w:pPr>
        <w:jc w:val="center"/>
        <w:rPr>
          <w:b/>
          <w:lang w:val="de-DE"/>
        </w:rPr>
      </w:pPr>
      <w:r w:rsidRPr="004676F5">
        <w:rPr>
          <w:b/>
          <w:lang w:val="de-DE"/>
        </w:rPr>
        <w:t>(</w:t>
      </w:r>
      <w:r w:rsidR="007E4185" w:rsidRPr="004676F5">
        <w:rPr>
          <w:b/>
          <w:lang w:val="de-DE"/>
        </w:rPr>
        <w:t>AUSZÜGE</w:t>
      </w:r>
      <w:r w:rsidRPr="004676F5">
        <w:rPr>
          <w:b/>
          <w:lang w:val="de-DE"/>
        </w:rPr>
        <w:t>)</w:t>
      </w:r>
    </w:p>
    <w:p w14:paraId="21BE0A4D" w14:textId="6EA5DF2C" w:rsidR="005256FF" w:rsidRPr="004676F5" w:rsidRDefault="00555BD8" w:rsidP="00555BD8">
      <w:pPr>
        <w:tabs>
          <w:tab w:val="left" w:pos="3135"/>
        </w:tabs>
        <w:rPr>
          <w:lang w:val="de-DE"/>
        </w:rPr>
      </w:pPr>
      <w:r w:rsidRPr="004676F5">
        <w:rPr>
          <w:lang w:val="de-DE"/>
        </w:rPr>
        <w:tab/>
      </w:r>
    </w:p>
    <w:p w14:paraId="129DEA77" w14:textId="77777777" w:rsidR="00D733EB" w:rsidRPr="004676F5" w:rsidRDefault="00D733EB">
      <w:pPr>
        <w:rPr>
          <w:lang w:val="de-DE"/>
        </w:rPr>
      </w:pPr>
    </w:p>
    <w:p w14:paraId="4F389D70" w14:textId="34E53DED" w:rsidR="000C0E31" w:rsidRPr="004676F5" w:rsidRDefault="005256FF" w:rsidP="000C0E31">
      <w:pPr>
        <w:jc w:val="both"/>
        <w:rPr>
          <w:lang w:val="de-DE"/>
        </w:rPr>
      </w:pPr>
      <w:r w:rsidRPr="004676F5">
        <w:rPr>
          <w:lang w:val="de-DE"/>
        </w:rPr>
        <w:t>(</w:t>
      </w:r>
      <w:r w:rsidR="005B7A5C" w:rsidRPr="004676F5">
        <w:rPr>
          <w:lang w:val="de-DE"/>
        </w:rPr>
        <w:t>- </w:t>
      </w:r>
      <w:r w:rsidR="00BE0A56" w:rsidRPr="004676F5">
        <w:rPr>
          <w:lang w:val="de-DE"/>
        </w:rPr>
        <w:t>Art. </w:t>
      </w:r>
      <w:r w:rsidR="00E71B2F" w:rsidRPr="004676F5">
        <w:rPr>
          <w:lang w:val="de-DE"/>
        </w:rPr>
        <w:t>I</w:t>
      </w:r>
      <w:r w:rsidR="000C0E31" w:rsidRPr="004676F5">
        <w:rPr>
          <w:lang w:val="de-DE"/>
        </w:rPr>
        <w:t xml:space="preserve">.1: </w:t>
      </w:r>
      <w:r w:rsidR="000C0E31" w:rsidRPr="004676F5">
        <w:rPr>
          <w:i/>
          <w:lang w:val="de-DE"/>
        </w:rPr>
        <w:t>Belgisches Staatsblatt</w:t>
      </w:r>
      <w:r w:rsidR="000C0E31" w:rsidRPr="004676F5">
        <w:rPr>
          <w:lang w:val="de-DE"/>
        </w:rPr>
        <w:t xml:space="preserve"> vom 3. Februar 2014,</w:t>
      </w:r>
    </w:p>
    <w:p w14:paraId="49FCB318" w14:textId="73570E31" w:rsidR="005130CA" w:rsidRPr="004676F5" w:rsidRDefault="005B7A5C" w:rsidP="000C0E31">
      <w:pPr>
        <w:jc w:val="both"/>
        <w:rPr>
          <w:lang w:val="de-DE"/>
        </w:rPr>
      </w:pPr>
      <w:r w:rsidRPr="004676F5">
        <w:rPr>
          <w:lang w:val="de-DE"/>
        </w:rPr>
        <w:t>- </w:t>
      </w:r>
      <w:r w:rsidR="00BE0A56" w:rsidRPr="004676F5">
        <w:rPr>
          <w:lang w:val="de-DE"/>
        </w:rPr>
        <w:t>Art. </w:t>
      </w:r>
      <w:r w:rsidR="00AA44EE" w:rsidRPr="004676F5">
        <w:rPr>
          <w:lang w:val="de-DE"/>
        </w:rPr>
        <w:t>I</w:t>
      </w:r>
      <w:r w:rsidR="005130CA" w:rsidRPr="004676F5">
        <w:rPr>
          <w:lang w:val="de-DE"/>
        </w:rPr>
        <w:t xml:space="preserve">.2 bis I.5: </w:t>
      </w:r>
      <w:r w:rsidR="005130CA" w:rsidRPr="004676F5">
        <w:rPr>
          <w:i/>
          <w:lang w:val="de-DE"/>
        </w:rPr>
        <w:t>Belgisches Staatsblatt</w:t>
      </w:r>
      <w:r w:rsidR="005130CA" w:rsidRPr="004676F5">
        <w:rPr>
          <w:lang w:val="de-DE"/>
        </w:rPr>
        <w:t xml:space="preserve"> vom 29. September 2014,</w:t>
      </w:r>
    </w:p>
    <w:p w14:paraId="7E6F7EA6" w14:textId="3BFD5BE0" w:rsidR="00E71B2F" w:rsidRPr="004676F5" w:rsidRDefault="005B7A5C" w:rsidP="000C0E31">
      <w:pPr>
        <w:jc w:val="both"/>
        <w:rPr>
          <w:lang w:val="de-DE"/>
        </w:rPr>
      </w:pPr>
      <w:r w:rsidRPr="004676F5">
        <w:rPr>
          <w:lang w:val="de-DE"/>
        </w:rPr>
        <w:t>- </w:t>
      </w:r>
      <w:r w:rsidR="00BE0A56" w:rsidRPr="004676F5">
        <w:rPr>
          <w:lang w:val="de-DE"/>
        </w:rPr>
        <w:t>Art. </w:t>
      </w:r>
      <w:r w:rsidR="00E71B2F" w:rsidRPr="004676F5">
        <w:rPr>
          <w:lang w:val="de-DE"/>
        </w:rPr>
        <w:t xml:space="preserve">I.6 und I.7: </w:t>
      </w:r>
      <w:r w:rsidR="00E71B2F" w:rsidRPr="004676F5">
        <w:rPr>
          <w:i/>
          <w:lang w:val="de-DE"/>
        </w:rPr>
        <w:t xml:space="preserve">Belgisches Staatsblatt </w:t>
      </w:r>
      <w:r w:rsidR="00E71B2F" w:rsidRPr="004676F5">
        <w:rPr>
          <w:lang w:val="de-DE"/>
        </w:rPr>
        <w:t>vom 18. Februar 2014,</w:t>
      </w:r>
    </w:p>
    <w:p w14:paraId="165AABD4" w14:textId="66F883CB" w:rsidR="00752565" w:rsidRPr="004676F5" w:rsidRDefault="005B7A5C" w:rsidP="000C0E31">
      <w:pPr>
        <w:jc w:val="both"/>
        <w:rPr>
          <w:lang w:val="de-DE"/>
        </w:rPr>
      </w:pPr>
      <w:r w:rsidRPr="004676F5">
        <w:rPr>
          <w:lang w:val="de-DE"/>
        </w:rPr>
        <w:t>- </w:t>
      </w:r>
      <w:r w:rsidR="00BE0A56" w:rsidRPr="004676F5">
        <w:rPr>
          <w:lang w:val="de-DE"/>
        </w:rPr>
        <w:t>Art. </w:t>
      </w:r>
      <w:r w:rsidR="00752565" w:rsidRPr="004676F5">
        <w:rPr>
          <w:lang w:val="de-DE"/>
        </w:rPr>
        <w:t xml:space="preserve">I.8: </w:t>
      </w:r>
      <w:r w:rsidR="00752565" w:rsidRPr="004676F5">
        <w:rPr>
          <w:i/>
          <w:lang w:val="de-DE"/>
        </w:rPr>
        <w:t>Belgisches Staatsblatt</w:t>
      </w:r>
      <w:r w:rsidR="00752565" w:rsidRPr="004676F5">
        <w:rPr>
          <w:lang w:val="de-DE"/>
        </w:rPr>
        <w:t xml:space="preserve"> vom 27. Oktober 2014,</w:t>
      </w:r>
    </w:p>
    <w:p w14:paraId="2F7EB1DE" w14:textId="76EEF825" w:rsidR="00887278" w:rsidRPr="004676F5" w:rsidRDefault="005B7A5C" w:rsidP="000C0E31">
      <w:pPr>
        <w:jc w:val="both"/>
        <w:rPr>
          <w:lang w:val="de-DE"/>
        </w:rPr>
      </w:pPr>
      <w:r w:rsidRPr="004676F5">
        <w:rPr>
          <w:lang w:val="de-DE"/>
        </w:rPr>
        <w:t>- </w:t>
      </w:r>
      <w:r w:rsidR="00BE0A56" w:rsidRPr="004676F5">
        <w:rPr>
          <w:lang w:val="de-DE"/>
        </w:rPr>
        <w:t>Art. </w:t>
      </w:r>
      <w:r w:rsidR="00887278" w:rsidRPr="004676F5">
        <w:rPr>
          <w:lang w:val="de-DE"/>
        </w:rPr>
        <w:t xml:space="preserve">I.8: </w:t>
      </w:r>
      <w:r w:rsidR="00887278" w:rsidRPr="004676F5">
        <w:rPr>
          <w:i/>
          <w:lang w:val="de-DE"/>
        </w:rPr>
        <w:t>Belgisches Staatsblatt</w:t>
      </w:r>
      <w:r w:rsidR="00887278" w:rsidRPr="004676F5">
        <w:rPr>
          <w:lang w:val="de-DE"/>
        </w:rPr>
        <w:t xml:space="preserve"> vom 3. November 2017,</w:t>
      </w:r>
    </w:p>
    <w:p w14:paraId="2A7A60ED" w14:textId="061D7B36" w:rsidR="00C46B2E" w:rsidRPr="004676F5" w:rsidRDefault="005B7A5C" w:rsidP="000C0E31">
      <w:pPr>
        <w:jc w:val="both"/>
        <w:rPr>
          <w:lang w:val="de-DE"/>
        </w:rPr>
      </w:pPr>
      <w:r w:rsidRPr="004676F5">
        <w:rPr>
          <w:lang w:val="de-DE"/>
        </w:rPr>
        <w:t>- </w:t>
      </w:r>
      <w:r w:rsidR="00BE0A56" w:rsidRPr="004676F5">
        <w:rPr>
          <w:lang w:val="de-DE"/>
        </w:rPr>
        <w:t>Art. </w:t>
      </w:r>
      <w:r w:rsidR="0047633C" w:rsidRPr="004676F5">
        <w:rPr>
          <w:lang w:val="de-DE"/>
        </w:rPr>
        <w:t>I.9</w:t>
      </w:r>
      <w:r w:rsidR="00C46B2E" w:rsidRPr="004676F5">
        <w:rPr>
          <w:lang w:val="de-DE"/>
        </w:rPr>
        <w:t xml:space="preserve">: </w:t>
      </w:r>
      <w:r w:rsidR="00C46B2E" w:rsidRPr="004676F5">
        <w:rPr>
          <w:i/>
          <w:lang w:val="de-DE"/>
        </w:rPr>
        <w:t>Belgisches Staatsblatt</w:t>
      </w:r>
      <w:r w:rsidR="00C46B2E" w:rsidRPr="004676F5">
        <w:rPr>
          <w:lang w:val="de-DE"/>
        </w:rPr>
        <w:t xml:space="preserve"> vom</w:t>
      </w:r>
      <w:r w:rsidR="0047633C" w:rsidRPr="004676F5">
        <w:rPr>
          <w:lang w:val="de-DE"/>
        </w:rPr>
        <w:t xml:space="preserve"> 19. Juni 2013</w:t>
      </w:r>
      <w:r w:rsidR="00C46B2E" w:rsidRPr="004676F5">
        <w:rPr>
          <w:lang w:val="de-DE"/>
        </w:rPr>
        <w:t>,</w:t>
      </w:r>
    </w:p>
    <w:p w14:paraId="33E51E51" w14:textId="5BB7F348" w:rsidR="00E71B2F" w:rsidRPr="004676F5" w:rsidRDefault="005B7A5C" w:rsidP="000C0E31">
      <w:pPr>
        <w:jc w:val="both"/>
        <w:rPr>
          <w:lang w:val="de-DE"/>
        </w:rPr>
      </w:pPr>
      <w:r w:rsidRPr="004676F5">
        <w:rPr>
          <w:lang w:val="de-DE"/>
        </w:rPr>
        <w:t>- </w:t>
      </w:r>
      <w:r w:rsidR="00BE0A56" w:rsidRPr="004676F5">
        <w:rPr>
          <w:lang w:val="de-DE"/>
        </w:rPr>
        <w:t>Art. </w:t>
      </w:r>
      <w:r w:rsidR="00E71B2F" w:rsidRPr="004676F5">
        <w:rPr>
          <w:lang w:val="de-DE"/>
        </w:rPr>
        <w:t>I.9</w:t>
      </w:r>
      <w:r w:rsidR="000C0E31" w:rsidRPr="004676F5">
        <w:rPr>
          <w:lang w:val="de-DE"/>
        </w:rPr>
        <w:t xml:space="preserve">: </w:t>
      </w:r>
      <w:r w:rsidR="005256FF" w:rsidRPr="004676F5">
        <w:rPr>
          <w:i/>
          <w:lang w:val="de-DE"/>
        </w:rPr>
        <w:t xml:space="preserve">Belgisches Staatsblatt </w:t>
      </w:r>
      <w:r w:rsidR="005256FF" w:rsidRPr="004676F5">
        <w:rPr>
          <w:lang w:val="de-DE"/>
        </w:rPr>
        <w:t>vom</w:t>
      </w:r>
      <w:r w:rsidR="0047633C" w:rsidRPr="004676F5">
        <w:rPr>
          <w:lang w:val="de-DE"/>
        </w:rPr>
        <w:t xml:space="preserve"> 10. Januar 2017</w:t>
      </w:r>
      <w:r w:rsidR="00E71B2F" w:rsidRPr="004676F5">
        <w:rPr>
          <w:lang w:val="de-DE"/>
        </w:rPr>
        <w:t>,</w:t>
      </w:r>
    </w:p>
    <w:p w14:paraId="77C8E86F" w14:textId="13D2EA2F" w:rsidR="00973E94" w:rsidRPr="004676F5" w:rsidRDefault="005B7A5C" w:rsidP="000C0E31">
      <w:pPr>
        <w:jc w:val="both"/>
        <w:rPr>
          <w:lang w:val="de-DE"/>
        </w:rPr>
      </w:pPr>
      <w:r w:rsidRPr="004676F5">
        <w:rPr>
          <w:lang w:val="de-DE"/>
        </w:rPr>
        <w:t>- </w:t>
      </w:r>
      <w:r w:rsidR="00BE0A56" w:rsidRPr="004676F5">
        <w:rPr>
          <w:lang w:val="de-DE"/>
        </w:rPr>
        <w:t>Art. </w:t>
      </w:r>
      <w:r w:rsidR="00973E94" w:rsidRPr="004676F5">
        <w:rPr>
          <w:lang w:val="de-DE"/>
        </w:rPr>
        <w:t xml:space="preserve">I.10: </w:t>
      </w:r>
      <w:r w:rsidR="00973E94" w:rsidRPr="004676F5">
        <w:rPr>
          <w:i/>
          <w:lang w:val="de-DE"/>
        </w:rPr>
        <w:t>Belgisches Staatsblatt</w:t>
      </w:r>
      <w:r w:rsidR="00973E94" w:rsidRPr="004676F5">
        <w:rPr>
          <w:lang w:val="de-DE"/>
        </w:rPr>
        <w:t xml:space="preserve"> vom 1. April 2014,</w:t>
      </w:r>
    </w:p>
    <w:p w14:paraId="7189D073" w14:textId="3C2E5AC9" w:rsidR="0039109A" w:rsidRPr="004676F5" w:rsidRDefault="005B7A5C" w:rsidP="000C0E31">
      <w:pPr>
        <w:jc w:val="both"/>
        <w:rPr>
          <w:lang w:val="de-DE"/>
        </w:rPr>
      </w:pPr>
      <w:r w:rsidRPr="004676F5">
        <w:rPr>
          <w:lang w:val="de-DE"/>
        </w:rPr>
        <w:t>- </w:t>
      </w:r>
      <w:r w:rsidR="00BE0A56" w:rsidRPr="004676F5">
        <w:rPr>
          <w:lang w:val="de-DE"/>
        </w:rPr>
        <w:t>Art. </w:t>
      </w:r>
      <w:r w:rsidR="0039109A" w:rsidRPr="004676F5">
        <w:rPr>
          <w:lang w:val="de-DE"/>
        </w:rPr>
        <w:t xml:space="preserve">I.11: </w:t>
      </w:r>
      <w:r w:rsidR="0039109A" w:rsidRPr="004676F5">
        <w:rPr>
          <w:i/>
          <w:lang w:val="de-DE"/>
        </w:rPr>
        <w:t>Belgisches Staatsblatt</w:t>
      </w:r>
      <w:r w:rsidR="0039109A" w:rsidRPr="004676F5">
        <w:rPr>
          <w:lang w:val="de-DE"/>
        </w:rPr>
        <w:t xml:space="preserve"> vom 8. Februar 2016,</w:t>
      </w:r>
    </w:p>
    <w:p w14:paraId="4F0EBBCB" w14:textId="76CD09FB" w:rsidR="00493B1B" w:rsidRPr="004676F5" w:rsidRDefault="005B7A5C" w:rsidP="000C0E31">
      <w:pPr>
        <w:jc w:val="both"/>
        <w:rPr>
          <w:lang w:val="de-DE"/>
        </w:rPr>
      </w:pPr>
      <w:r w:rsidRPr="004676F5">
        <w:rPr>
          <w:lang w:val="de-DE"/>
        </w:rPr>
        <w:t>- </w:t>
      </w:r>
      <w:r w:rsidR="00BE0A56" w:rsidRPr="004676F5">
        <w:rPr>
          <w:lang w:val="de-DE"/>
        </w:rPr>
        <w:t>Art. </w:t>
      </w:r>
      <w:r w:rsidR="00493B1B" w:rsidRPr="004676F5">
        <w:rPr>
          <w:lang w:val="de-DE"/>
        </w:rPr>
        <w:t xml:space="preserve">I.13 bis I.17: </w:t>
      </w:r>
      <w:r w:rsidR="00493B1B" w:rsidRPr="004676F5">
        <w:rPr>
          <w:i/>
          <w:lang w:val="de-DE"/>
        </w:rPr>
        <w:t xml:space="preserve">Belgisches Staatsblatt </w:t>
      </w:r>
      <w:r w:rsidR="00493B1B" w:rsidRPr="004676F5">
        <w:rPr>
          <w:lang w:val="de-DE"/>
        </w:rPr>
        <w:t>vom 13. September 2017,</w:t>
      </w:r>
    </w:p>
    <w:p w14:paraId="034749DE" w14:textId="5EC3D265" w:rsidR="0070234A" w:rsidRPr="004676F5" w:rsidRDefault="005B7A5C" w:rsidP="000C0E31">
      <w:pPr>
        <w:jc w:val="both"/>
        <w:rPr>
          <w:lang w:val="de-DE"/>
        </w:rPr>
      </w:pPr>
      <w:r w:rsidRPr="004676F5">
        <w:rPr>
          <w:lang w:val="de-DE"/>
        </w:rPr>
        <w:t>- </w:t>
      </w:r>
      <w:r w:rsidR="00BE0A56" w:rsidRPr="004676F5">
        <w:rPr>
          <w:lang w:val="de-DE"/>
        </w:rPr>
        <w:t>Art. </w:t>
      </w:r>
      <w:r w:rsidR="0070234A" w:rsidRPr="004676F5">
        <w:rPr>
          <w:lang w:val="de-DE"/>
        </w:rPr>
        <w:t xml:space="preserve">I.18: </w:t>
      </w:r>
      <w:r w:rsidR="0070234A" w:rsidRPr="004676F5">
        <w:rPr>
          <w:i/>
          <w:lang w:val="de-DE"/>
        </w:rPr>
        <w:t>Belgisches Staatsblatt</w:t>
      </w:r>
      <w:r w:rsidR="0070234A" w:rsidRPr="004676F5">
        <w:rPr>
          <w:lang w:val="de-DE"/>
        </w:rPr>
        <w:t xml:space="preserve"> vom 18. August 2014,</w:t>
      </w:r>
    </w:p>
    <w:p w14:paraId="60E98B6F" w14:textId="46C21B72" w:rsidR="00A56B8C" w:rsidRPr="004676F5" w:rsidRDefault="005B7A5C" w:rsidP="000C0E31">
      <w:pPr>
        <w:jc w:val="both"/>
        <w:rPr>
          <w:lang w:val="de-DE"/>
        </w:rPr>
      </w:pPr>
      <w:r w:rsidRPr="004676F5">
        <w:rPr>
          <w:lang w:val="de-DE"/>
        </w:rPr>
        <w:t>- </w:t>
      </w:r>
      <w:r w:rsidR="00BE0A56" w:rsidRPr="004676F5">
        <w:rPr>
          <w:lang w:val="de-DE"/>
        </w:rPr>
        <w:t>Art. </w:t>
      </w:r>
      <w:r w:rsidR="00A56B8C" w:rsidRPr="004676F5">
        <w:rPr>
          <w:lang w:val="de-DE"/>
        </w:rPr>
        <w:t xml:space="preserve">I.19: </w:t>
      </w:r>
      <w:r w:rsidR="00A56B8C" w:rsidRPr="004676F5">
        <w:rPr>
          <w:i/>
          <w:lang w:val="de-DE"/>
        </w:rPr>
        <w:t>Belgisches Staatsblatt</w:t>
      </w:r>
      <w:r w:rsidR="00A56B8C" w:rsidRPr="004676F5">
        <w:rPr>
          <w:lang w:val="de-DE"/>
        </w:rPr>
        <w:t xml:space="preserve"> vom 8. Februar 2016,</w:t>
      </w:r>
    </w:p>
    <w:p w14:paraId="7A970D98" w14:textId="66370742" w:rsidR="005130CA" w:rsidRPr="004676F5" w:rsidRDefault="005B7A5C" w:rsidP="000C0E31">
      <w:pPr>
        <w:jc w:val="both"/>
        <w:rPr>
          <w:lang w:val="de-DE"/>
        </w:rPr>
      </w:pPr>
      <w:r w:rsidRPr="004676F5">
        <w:rPr>
          <w:lang w:val="de-DE"/>
        </w:rPr>
        <w:t>- </w:t>
      </w:r>
      <w:r w:rsidR="00BE0A56" w:rsidRPr="004676F5">
        <w:rPr>
          <w:lang w:val="de-DE"/>
        </w:rPr>
        <w:t>Art. </w:t>
      </w:r>
      <w:r w:rsidR="00AA44EE" w:rsidRPr="004676F5">
        <w:rPr>
          <w:lang w:val="de-DE"/>
        </w:rPr>
        <w:t>I</w:t>
      </w:r>
      <w:r w:rsidR="005130CA" w:rsidRPr="004676F5">
        <w:rPr>
          <w:lang w:val="de-DE"/>
        </w:rPr>
        <w:t xml:space="preserve">.20: </w:t>
      </w:r>
      <w:r w:rsidR="005130CA" w:rsidRPr="004676F5">
        <w:rPr>
          <w:i/>
          <w:lang w:val="de-DE"/>
        </w:rPr>
        <w:t>Belgisches Staatsblatt</w:t>
      </w:r>
      <w:r w:rsidR="005130CA" w:rsidRPr="004676F5">
        <w:rPr>
          <w:lang w:val="de-DE"/>
        </w:rPr>
        <w:t xml:space="preserve"> vom 29. September 2014,</w:t>
      </w:r>
    </w:p>
    <w:p w14:paraId="0FF1831F" w14:textId="72262EAF" w:rsidR="00657D4B" w:rsidRPr="004676F5" w:rsidRDefault="005B7A5C" w:rsidP="000C0E31">
      <w:pPr>
        <w:jc w:val="both"/>
        <w:rPr>
          <w:lang w:val="de-DE"/>
        </w:rPr>
      </w:pPr>
      <w:r w:rsidRPr="004676F5">
        <w:rPr>
          <w:lang w:val="de-DE"/>
        </w:rPr>
        <w:t>- </w:t>
      </w:r>
      <w:r w:rsidR="00BE0A56" w:rsidRPr="004676F5">
        <w:rPr>
          <w:lang w:val="de-DE"/>
        </w:rPr>
        <w:t>Art. </w:t>
      </w:r>
      <w:r w:rsidR="00657D4B" w:rsidRPr="004676F5">
        <w:rPr>
          <w:lang w:val="de-DE"/>
        </w:rPr>
        <w:t xml:space="preserve">I.20: </w:t>
      </w:r>
      <w:r w:rsidR="00657D4B" w:rsidRPr="004676F5">
        <w:rPr>
          <w:i/>
          <w:lang w:val="de-DE"/>
        </w:rPr>
        <w:t>Belgisches Staatsblatt</w:t>
      </w:r>
      <w:r w:rsidR="00657D4B" w:rsidRPr="004676F5">
        <w:rPr>
          <w:lang w:val="de-DE"/>
        </w:rPr>
        <w:t xml:space="preserve"> vom 2. März 2015,</w:t>
      </w:r>
    </w:p>
    <w:p w14:paraId="3F3FFC53" w14:textId="69527F2F" w:rsidR="00ED686C" w:rsidRPr="004676F5" w:rsidRDefault="005B7A5C" w:rsidP="000C0E31">
      <w:pPr>
        <w:jc w:val="both"/>
        <w:rPr>
          <w:lang w:val="de-DE"/>
        </w:rPr>
      </w:pPr>
      <w:r w:rsidRPr="004676F5">
        <w:rPr>
          <w:lang w:val="de-DE"/>
        </w:rPr>
        <w:t>- </w:t>
      </w:r>
      <w:r w:rsidR="00BE0A56" w:rsidRPr="004676F5">
        <w:rPr>
          <w:lang w:val="de-DE"/>
        </w:rPr>
        <w:t>Art. </w:t>
      </w:r>
      <w:r w:rsidR="00ED686C" w:rsidRPr="004676F5">
        <w:rPr>
          <w:lang w:val="de-DE"/>
        </w:rPr>
        <w:t xml:space="preserve">I.21: </w:t>
      </w:r>
      <w:r w:rsidR="00ED686C" w:rsidRPr="004676F5">
        <w:rPr>
          <w:i/>
          <w:lang w:val="de-DE"/>
        </w:rPr>
        <w:t>Belgisches Staatsblatt</w:t>
      </w:r>
      <w:r w:rsidR="00ED686C" w:rsidRPr="004676F5">
        <w:rPr>
          <w:lang w:val="de-DE"/>
        </w:rPr>
        <w:t xml:space="preserve"> vom 25. Januar 2016,</w:t>
      </w:r>
    </w:p>
    <w:p w14:paraId="14BFE19C" w14:textId="4211F36D" w:rsidR="00E46FFB" w:rsidRPr="004676F5" w:rsidRDefault="005B7A5C" w:rsidP="000C0E31">
      <w:pPr>
        <w:jc w:val="both"/>
        <w:rPr>
          <w:lang w:val="de-DE"/>
        </w:rPr>
      </w:pPr>
      <w:r w:rsidRPr="004676F5">
        <w:rPr>
          <w:lang w:val="de-DE"/>
        </w:rPr>
        <w:t>- </w:t>
      </w:r>
      <w:r w:rsidR="00BE0A56" w:rsidRPr="004676F5">
        <w:rPr>
          <w:lang w:val="de-DE"/>
        </w:rPr>
        <w:t>Art. </w:t>
      </w:r>
      <w:r w:rsidR="00E46FFB" w:rsidRPr="004676F5">
        <w:rPr>
          <w:lang w:val="de-DE"/>
        </w:rPr>
        <w:t xml:space="preserve">I.22: </w:t>
      </w:r>
      <w:r w:rsidR="00E46FFB" w:rsidRPr="004676F5">
        <w:rPr>
          <w:i/>
          <w:lang w:val="de-DE"/>
        </w:rPr>
        <w:t>Belgisches Staatsblatt</w:t>
      </w:r>
      <w:r w:rsidR="00E46FFB" w:rsidRPr="004676F5">
        <w:rPr>
          <w:lang w:val="de-DE"/>
        </w:rPr>
        <w:t xml:space="preserve"> vom 20. Juni 2019,</w:t>
      </w:r>
    </w:p>
    <w:p w14:paraId="203ECEE7" w14:textId="383BCC55" w:rsidR="008E7024" w:rsidRPr="004676F5" w:rsidRDefault="005B7A5C" w:rsidP="000C0E31">
      <w:pPr>
        <w:jc w:val="both"/>
        <w:rPr>
          <w:lang w:val="de-DE"/>
        </w:rPr>
      </w:pPr>
      <w:r w:rsidRPr="004676F5">
        <w:rPr>
          <w:lang w:val="de-DE"/>
        </w:rPr>
        <w:t>- </w:t>
      </w:r>
      <w:r w:rsidR="00BE0A56" w:rsidRPr="004676F5">
        <w:rPr>
          <w:lang w:val="de-DE"/>
        </w:rPr>
        <w:t>Art. </w:t>
      </w:r>
      <w:r w:rsidR="008E7024" w:rsidRPr="004676F5">
        <w:rPr>
          <w:lang w:val="de-DE"/>
        </w:rPr>
        <w:t xml:space="preserve">I.22: </w:t>
      </w:r>
      <w:r w:rsidR="008E7024" w:rsidRPr="004676F5">
        <w:rPr>
          <w:i/>
          <w:lang w:val="de-DE"/>
        </w:rPr>
        <w:t>Belgisches Staatsblatt</w:t>
      </w:r>
      <w:r w:rsidR="008E7024" w:rsidRPr="004676F5">
        <w:rPr>
          <w:lang w:val="de-DE"/>
        </w:rPr>
        <w:t xml:space="preserve"> vom 17. September 2018,</w:t>
      </w:r>
    </w:p>
    <w:p w14:paraId="2494345C" w14:textId="40442EA5" w:rsidR="0070234A" w:rsidRPr="004676F5" w:rsidRDefault="005B7A5C" w:rsidP="000C0E31">
      <w:pPr>
        <w:jc w:val="both"/>
        <w:rPr>
          <w:lang w:val="de-DE"/>
        </w:rPr>
      </w:pPr>
      <w:r w:rsidRPr="004676F5">
        <w:rPr>
          <w:lang w:val="de-DE"/>
        </w:rPr>
        <w:t>- </w:t>
      </w:r>
      <w:r w:rsidR="00BE0A56" w:rsidRPr="004676F5">
        <w:rPr>
          <w:lang w:val="de-DE"/>
        </w:rPr>
        <w:t>Art. </w:t>
      </w:r>
      <w:r w:rsidR="0070234A" w:rsidRPr="004676F5">
        <w:rPr>
          <w:lang w:val="de-DE"/>
        </w:rPr>
        <w:t xml:space="preserve">II.1 bis II.4: </w:t>
      </w:r>
      <w:r w:rsidR="0070234A" w:rsidRPr="004676F5">
        <w:rPr>
          <w:i/>
          <w:lang w:val="de-DE"/>
        </w:rPr>
        <w:t xml:space="preserve">Belgisches Staatsblatt </w:t>
      </w:r>
      <w:r w:rsidR="0070234A" w:rsidRPr="004676F5">
        <w:rPr>
          <w:lang w:val="de-DE"/>
        </w:rPr>
        <w:t>vom 19. Juni 2013,</w:t>
      </w:r>
    </w:p>
    <w:p w14:paraId="64A968FD" w14:textId="29AE28FE" w:rsidR="00AA44EE" w:rsidRPr="004676F5" w:rsidRDefault="005B7A5C" w:rsidP="000C0E31">
      <w:pPr>
        <w:jc w:val="both"/>
        <w:rPr>
          <w:lang w:val="de-DE"/>
        </w:rPr>
      </w:pPr>
      <w:r w:rsidRPr="004676F5">
        <w:rPr>
          <w:lang w:val="de-DE"/>
        </w:rPr>
        <w:t>- </w:t>
      </w:r>
      <w:r w:rsidR="00BE0A56" w:rsidRPr="004676F5">
        <w:rPr>
          <w:lang w:val="de-DE"/>
        </w:rPr>
        <w:t>Art. </w:t>
      </w:r>
      <w:r w:rsidR="00AA44EE" w:rsidRPr="004676F5">
        <w:rPr>
          <w:lang w:val="de-DE"/>
        </w:rPr>
        <w:t xml:space="preserve">III.1 bis III.95: </w:t>
      </w:r>
      <w:r w:rsidR="00AA44EE" w:rsidRPr="004676F5">
        <w:rPr>
          <w:i/>
          <w:lang w:val="de-DE"/>
        </w:rPr>
        <w:t>Belgisches Staatsblatt</w:t>
      </w:r>
      <w:r w:rsidR="00AA44EE" w:rsidRPr="004676F5">
        <w:rPr>
          <w:lang w:val="de-DE"/>
        </w:rPr>
        <w:t xml:space="preserve"> vom 29. September 2014,</w:t>
      </w:r>
    </w:p>
    <w:p w14:paraId="522D9B42" w14:textId="2EFC4671" w:rsidR="00E71B2F" w:rsidRPr="004676F5" w:rsidRDefault="005B7A5C" w:rsidP="000C0E31">
      <w:pPr>
        <w:jc w:val="both"/>
        <w:rPr>
          <w:lang w:val="de-DE"/>
        </w:rPr>
      </w:pPr>
      <w:r w:rsidRPr="004676F5">
        <w:rPr>
          <w:lang w:val="de-DE"/>
        </w:rPr>
        <w:t>- </w:t>
      </w:r>
      <w:r w:rsidR="00BE0A56" w:rsidRPr="004676F5">
        <w:rPr>
          <w:lang w:val="de-DE"/>
        </w:rPr>
        <w:t>Art. </w:t>
      </w:r>
      <w:r w:rsidR="00E71B2F" w:rsidRPr="004676F5">
        <w:rPr>
          <w:lang w:val="de-DE"/>
        </w:rPr>
        <w:t xml:space="preserve">IV.1 bis IV.83 und V.1 bis V.14: </w:t>
      </w:r>
      <w:r w:rsidR="00E71B2F" w:rsidRPr="004676F5">
        <w:rPr>
          <w:i/>
          <w:lang w:val="de-DE"/>
        </w:rPr>
        <w:t xml:space="preserve">Belgisches Staatsblatt </w:t>
      </w:r>
      <w:r w:rsidR="00E71B2F" w:rsidRPr="004676F5">
        <w:rPr>
          <w:lang w:val="de-DE"/>
        </w:rPr>
        <w:t>vom 1</w:t>
      </w:r>
      <w:r w:rsidR="008A74E1" w:rsidRPr="004676F5">
        <w:rPr>
          <w:lang w:val="de-DE"/>
        </w:rPr>
        <w:t>7</w:t>
      </w:r>
      <w:r w:rsidR="00E71B2F" w:rsidRPr="004676F5">
        <w:rPr>
          <w:lang w:val="de-DE"/>
        </w:rPr>
        <w:t>. Februar 2014</w:t>
      </w:r>
      <w:r w:rsidR="009C0DCE" w:rsidRPr="004676F5">
        <w:rPr>
          <w:lang w:val="de-DE"/>
        </w:rPr>
        <w:t xml:space="preserve">, </w:t>
      </w:r>
      <w:r w:rsidR="009C0DCE" w:rsidRPr="004676F5">
        <w:rPr>
          <w:i/>
          <w:lang w:val="de-DE"/>
        </w:rPr>
        <w:t>Err.</w:t>
      </w:r>
      <w:r w:rsidR="00493B1B" w:rsidRPr="004676F5">
        <w:rPr>
          <w:i/>
          <w:lang w:val="de-DE"/>
        </w:rPr>
        <w:t> </w:t>
      </w:r>
      <w:r w:rsidR="00493B1B" w:rsidRPr="004676F5">
        <w:rPr>
          <w:lang w:val="de-DE"/>
        </w:rPr>
        <w:t xml:space="preserve">vom </w:t>
      </w:r>
      <w:r w:rsidR="009C0DCE" w:rsidRPr="004676F5">
        <w:rPr>
          <w:lang w:val="de-DE"/>
        </w:rPr>
        <w:t>12. März 2015</w:t>
      </w:r>
      <w:r w:rsidR="00E71B2F" w:rsidRPr="004676F5">
        <w:rPr>
          <w:lang w:val="de-DE"/>
        </w:rPr>
        <w:t>,</w:t>
      </w:r>
    </w:p>
    <w:p w14:paraId="3AAA1BA7" w14:textId="3F37F194" w:rsidR="00752565" w:rsidRPr="004676F5" w:rsidRDefault="005B7A5C" w:rsidP="00752565">
      <w:pPr>
        <w:jc w:val="both"/>
        <w:rPr>
          <w:lang w:val="de-DE"/>
        </w:rPr>
      </w:pPr>
      <w:r w:rsidRPr="004676F5">
        <w:rPr>
          <w:lang w:val="de-DE"/>
        </w:rPr>
        <w:t>- </w:t>
      </w:r>
      <w:r w:rsidR="00BE0A56" w:rsidRPr="004676F5">
        <w:rPr>
          <w:lang w:val="de-DE"/>
        </w:rPr>
        <w:t>Art. </w:t>
      </w:r>
      <w:r w:rsidR="00752565" w:rsidRPr="004676F5">
        <w:rPr>
          <w:lang w:val="de-DE"/>
        </w:rPr>
        <w:t xml:space="preserve">VI.1 bis VI.128: </w:t>
      </w:r>
      <w:r w:rsidR="00752565" w:rsidRPr="004676F5">
        <w:rPr>
          <w:i/>
          <w:lang w:val="de-DE"/>
        </w:rPr>
        <w:t>Belgisches Staatsblatt</w:t>
      </w:r>
      <w:r w:rsidR="00752565" w:rsidRPr="004676F5">
        <w:rPr>
          <w:lang w:val="de-DE"/>
        </w:rPr>
        <w:t xml:space="preserve"> vom 27. Oktober 2014,</w:t>
      </w:r>
    </w:p>
    <w:p w14:paraId="2AF3A5FE" w14:textId="66510C0B" w:rsidR="007E4FFE" w:rsidRPr="004676F5" w:rsidRDefault="005B7A5C" w:rsidP="00752565">
      <w:pPr>
        <w:jc w:val="both"/>
        <w:rPr>
          <w:lang w:val="de-DE"/>
        </w:rPr>
      </w:pPr>
      <w:r w:rsidRPr="004676F5">
        <w:rPr>
          <w:lang w:val="de-DE"/>
        </w:rPr>
        <w:t>- </w:t>
      </w:r>
      <w:r w:rsidR="00BE0A56" w:rsidRPr="004676F5">
        <w:rPr>
          <w:lang w:val="de-DE"/>
        </w:rPr>
        <w:t>Art. </w:t>
      </w:r>
      <w:r w:rsidR="007E4FFE" w:rsidRPr="004676F5">
        <w:rPr>
          <w:lang w:val="de-DE"/>
        </w:rPr>
        <w:t xml:space="preserve">VII.1 bis VII.220: </w:t>
      </w:r>
      <w:r w:rsidR="007E4FFE" w:rsidRPr="004676F5">
        <w:rPr>
          <w:i/>
          <w:lang w:val="de-DE"/>
        </w:rPr>
        <w:t xml:space="preserve">Belgisches Staatsblatt </w:t>
      </w:r>
      <w:r w:rsidR="007E4FFE" w:rsidRPr="004676F5">
        <w:rPr>
          <w:lang w:val="de-DE"/>
        </w:rPr>
        <w:t>vom 10. Januar 2017,</w:t>
      </w:r>
    </w:p>
    <w:p w14:paraId="6033D052" w14:textId="37813EA1" w:rsidR="005267A3" w:rsidRPr="004676F5" w:rsidRDefault="005B7A5C" w:rsidP="000C0E31">
      <w:pPr>
        <w:jc w:val="both"/>
        <w:rPr>
          <w:lang w:val="de-DE"/>
        </w:rPr>
      </w:pPr>
      <w:r w:rsidRPr="004676F5">
        <w:rPr>
          <w:lang w:val="de-DE"/>
        </w:rPr>
        <w:t>- </w:t>
      </w:r>
      <w:r w:rsidR="00BE0A56" w:rsidRPr="004676F5">
        <w:rPr>
          <w:lang w:val="de-DE"/>
        </w:rPr>
        <w:t>Art. </w:t>
      </w:r>
      <w:r w:rsidR="00E71B2F" w:rsidRPr="004676F5">
        <w:rPr>
          <w:lang w:val="de-DE"/>
        </w:rPr>
        <w:t xml:space="preserve">VIII.1 bis VIII.56: </w:t>
      </w:r>
      <w:r w:rsidR="00E71B2F" w:rsidRPr="004676F5">
        <w:rPr>
          <w:i/>
          <w:lang w:val="de-DE"/>
        </w:rPr>
        <w:t xml:space="preserve">Belgisches Staatsblatt </w:t>
      </w:r>
      <w:r w:rsidR="00E71B2F" w:rsidRPr="004676F5">
        <w:rPr>
          <w:lang w:val="de-DE"/>
        </w:rPr>
        <w:t>vom 19. Juni 2013</w:t>
      </w:r>
      <w:r w:rsidR="005267A3" w:rsidRPr="004676F5">
        <w:rPr>
          <w:lang w:val="de-DE"/>
        </w:rPr>
        <w:t>,</w:t>
      </w:r>
    </w:p>
    <w:p w14:paraId="3ECBCBD5" w14:textId="3351A5CE" w:rsidR="00473416" w:rsidRPr="004676F5" w:rsidRDefault="005B7A5C" w:rsidP="00473416">
      <w:pPr>
        <w:jc w:val="both"/>
        <w:rPr>
          <w:lang w:val="de-DE"/>
        </w:rPr>
      </w:pPr>
      <w:r w:rsidRPr="004676F5">
        <w:rPr>
          <w:lang w:val="de-DE"/>
        </w:rPr>
        <w:t>- </w:t>
      </w:r>
      <w:r w:rsidR="00BE0A56" w:rsidRPr="004676F5">
        <w:rPr>
          <w:lang w:val="de-DE"/>
        </w:rPr>
        <w:t>Art. </w:t>
      </w:r>
      <w:r w:rsidR="00473416" w:rsidRPr="004676F5">
        <w:rPr>
          <w:lang w:val="de-DE"/>
        </w:rPr>
        <w:t>IX.1 bis IX.14:</w:t>
      </w:r>
      <w:r w:rsidR="00473416" w:rsidRPr="004676F5">
        <w:rPr>
          <w:i/>
          <w:lang w:val="de-DE"/>
        </w:rPr>
        <w:t xml:space="preserve"> Belgisches Staatsblatt</w:t>
      </w:r>
      <w:r w:rsidR="00473416" w:rsidRPr="004676F5">
        <w:rPr>
          <w:lang w:val="de-DE"/>
        </w:rPr>
        <w:t xml:space="preserve"> vom 1. April 2014,</w:t>
      </w:r>
    </w:p>
    <w:p w14:paraId="2B576F64" w14:textId="21E87EAE" w:rsidR="0039109A" w:rsidRPr="004676F5" w:rsidRDefault="005B7A5C" w:rsidP="00473416">
      <w:pPr>
        <w:jc w:val="both"/>
        <w:rPr>
          <w:lang w:val="de-DE"/>
        </w:rPr>
      </w:pPr>
      <w:r w:rsidRPr="004676F5">
        <w:rPr>
          <w:lang w:val="de-DE"/>
        </w:rPr>
        <w:t>- </w:t>
      </w:r>
      <w:r w:rsidR="00BE0A56" w:rsidRPr="004676F5">
        <w:rPr>
          <w:lang w:val="de-DE"/>
        </w:rPr>
        <w:t>Art. </w:t>
      </w:r>
      <w:r w:rsidR="0039109A" w:rsidRPr="004676F5">
        <w:rPr>
          <w:lang w:val="de-DE"/>
        </w:rPr>
        <w:t xml:space="preserve">X.1 bis X.40: </w:t>
      </w:r>
      <w:r w:rsidR="0039109A" w:rsidRPr="004676F5">
        <w:rPr>
          <w:i/>
          <w:lang w:val="de-DE"/>
        </w:rPr>
        <w:t>Belgisches Staatsblatt</w:t>
      </w:r>
      <w:r w:rsidR="0039109A" w:rsidRPr="004676F5">
        <w:rPr>
          <w:lang w:val="de-DE"/>
        </w:rPr>
        <w:t xml:space="preserve"> vom 8. Februar 2016,</w:t>
      </w:r>
    </w:p>
    <w:p w14:paraId="54590DF8" w14:textId="0356E967" w:rsidR="00493B1B" w:rsidRPr="004676F5" w:rsidRDefault="005B7A5C" w:rsidP="00473416">
      <w:pPr>
        <w:jc w:val="both"/>
        <w:rPr>
          <w:lang w:val="de-DE"/>
        </w:rPr>
      </w:pPr>
      <w:r w:rsidRPr="004676F5">
        <w:rPr>
          <w:lang w:val="de-DE"/>
        </w:rPr>
        <w:t>- </w:t>
      </w:r>
      <w:r w:rsidR="00BE0A56" w:rsidRPr="004676F5">
        <w:rPr>
          <w:lang w:val="de-DE"/>
        </w:rPr>
        <w:t>Art. </w:t>
      </w:r>
      <w:r w:rsidR="00493B1B" w:rsidRPr="004676F5">
        <w:rPr>
          <w:lang w:val="de-DE"/>
        </w:rPr>
        <w:t xml:space="preserve">XI.1 bis XI.335: </w:t>
      </w:r>
      <w:r w:rsidR="00493B1B" w:rsidRPr="004676F5">
        <w:rPr>
          <w:i/>
          <w:lang w:val="de-DE"/>
        </w:rPr>
        <w:t xml:space="preserve">Belgisches Staatsblatt </w:t>
      </w:r>
      <w:r w:rsidR="00493B1B" w:rsidRPr="004676F5">
        <w:rPr>
          <w:lang w:val="de-DE"/>
        </w:rPr>
        <w:t>vom 13. September 2017,</w:t>
      </w:r>
    </w:p>
    <w:p w14:paraId="7779B73C" w14:textId="4136F38E" w:rsidR="0019123C" w:rsidRPr="004676F5" w:rsidRDefault="005B7A5C" w:rsidP="00473416">
      <w:pPr>
        <w:jc w:val="both"/>
        <w:rPr>
          <w:lang w:val="de-DE"/>
        </w:rPr>
      </w:pPr>
      <w:r w:rsidRPr="004676F5">
        <w:rPr>
          <w:lang w:val="de-DE"/>
        </w:rPr>
        <w:t>- </w:t>
      </w:r>
      <w:r w:rsidR="00BE0A56" w:rsidRPr="004676F5">
        <w:rPr>
          <w:lang w:val="de-DE"/>
        </w:rPr>
        <w:t>Art. </w:t>
      </w:r>
      <w:r w:rsidR="0019123C" w:rsidRPr="004676F5">
        <w:rPr>
          <w:lang w:val="de-DE"/>
        </w:rPr>
        <w:t>XI.336</w:t>
      </w:r>
      <w:r w:rsidR="00493B1B" w:rsidRPr="004676F5">
        <w:rPr>
          <w:lang w:val="de-DE"/>
        </w:rPr>
        <w:t xml:space="preserve"> und</w:t>
      </w:r>
      <w:r w:rsidR="0019123C" w:rsidRPr="004676F5">
        <w:rPr>
          <w:lang w:val="de-DE"/>
        </w:rPr>
        <w:t xml:space="preserve"> XI.337: </w:t>
      </w:r>
      <w:r w:rsidR="0019123C" w:rsidRPr="004676F5">
        <w:rPr>
          <w:i/>
          <w:lang w:val="de-DE"/>
        </w:rPr>
        <w:t>Belgisches Staatsblatt</w:t>
      </w:r>
      <w:r w:rsidR="0019123C" w:rsidRPr="004676F5">
        <w:rPr>
          <w:lang w:val="de-DE"/>
        </w:rPr>
        <w:t xml:space="preserve"> vom 11. Februar 2016,</w:t>
      </w:r>
    </w:p>
    <w:p w14:paraId="13777854" w14:textId="18514227" w:rsidR="00493B1B" w:rsidRPr="004676F5" w:rsidRDefault="005B7A5C" w:rsidP="00473416">
      <w:pPr>
        <w:jc w:val="both"/>
        <w:rPr>
          <w:lang w:val="de-DE"/>
        </w:rPr>
      </w:pPr>
      <w:r w:rsidRPr="004676F5">
        <w:rPr>
          <w:lang w:val="de-DE"/>
        </w:rPr>
        <w:t>- </w:t>
      </w:r>
      <w:r w:rsidR="00BE0A56" w:rsidRPr="004676F5">
        <w:rPr>
          <w:lang w:val="de-DE"/>
        </w:rPr>
        <w:t>Art. </w:t>
      </w:r>
      <w:r w:rsidR="00493B1B" w:rsidRPr="004676F5">
        <w:rPr>
          <w:lang w:val="de-DE"/>
        </w:rPr>
        <w:t xml:space="preserve">XI.338: </w:t>
      </w:r>
      <w:r w:rsidR="00493B1B" w:rsidRPr="004676F5">
        <w:rPr>
          <w:i/>
          <w:lang w:val="de-DE"/>
        </w:rPr>
        <w:t xml:space="preserve">Belgisches Staatsblatt </w:t>
      </w:r>
      <w:r w:rsidR="00493B1B" w:rsidRPr="004676F5">
        <w:rPr>
          <w:lang w:val="de-DE"/>
        </w:rPr>
        <w:t>vom 13. September 2017,</w:t>
      </w:r>
    </w:p>
    <w:p w14:paraId="694FE7FC" w14:textId="08E7B021" w:rsidR="00493B1B" w:rsidRPr="004676F5" w:rsidRDefault="005B7A5C" w:rsidP="00493B1B">
      <w:pPr>
        <w:jc w:val="both"/>
        <w:rPr>
          <w:lang w:val="de-DE"/>
        </w:rPr>
      </w:pPr>
      <w:r w:rsidRPr="004676F5">
        <w:rPr>
          <w:lang w:val="de-DE"/>
        </w:rPr>
        <w:t>- </w:t>
      </w:r>
      <w:r w:rsidR="00BE0A56" w:rsidRPr="004676F5">
        <w:rPr>
          <w:lang w:val="de-DE"/>
        </w:rPr>
        <w:t>Art. </w:t>
      </w:r>
      <w:r w:rsidR="00493B1B" w:rsidRPr="004676F5">
        <w:rPr>
          <w:lang w:val="de-DE"/>
        </w:rPr>
        <w:t xml:space="preserve">XI.339 bis XI.341: </w:t>
      </w:r>
      <w:r w:rsidR="00493B1B" w:rsidRPr="004676F5">
        <w:rPr>
          <w:i/>
          <w:lang w:val="de-DE"/>
        </w:rPr>
        <w:t>Belgisches Staatsblatt</w:t>
      </w:r>
      <w:r w:rsidR="00493B1B" w:rsidRPr="004676F5">
        <w:rPr>
          <w:lang w:val="de-DE"/>
        </w:rPr>
        <w:t xml:space="preserve"> vom 11. Februar 2016,</w:t>
      </w:r>
    </w:p>
    <w:p w14:paraId="3983949A" w14:textId="6A1293F3" w:rsidR="00493B1B" w:rsidRPr="004676F5" w:rsidRDefault="005B7A5C" w:rsidP="00493B1B">
      <w:pPr>
        <w:jc w:val="both"/>
        <w:rPr>
          <w:lang w:val="de-DE"/>
        </w:rPr>
      </w:pPr>
      <w:r w:rsidRPr="004676F5">
        <w:rPr>
          <w:lang w:val="de-DE"/>
        </w:rPr>
        <w:t>- </w:t>
      </w:r>
      <w:r w:rsidR="00BE0A56" w:rsidRPr="004676F5">
        <w:rPr>
          <w:lang w:val="de-DE"/>
        </w:rPr>
        <w:t>Art. </w:t>
      </w:r>
      <w:r w:rsidR="00493B1B" w:rsidRPr="004676F5">
        <w:rPr>
          <w:lang w:val="de-DE"/>
        </w:rPr>
        <w:t xml:space="preserve">XI.342 und XI.343: </w:t>
      </w:r>
      <w:r w:rsidR="00493B1B" w:rsidRPr="004676F5">
        <w:rPr>
          <w:i/>
          <w:lang w:val="de-DE"/>
        </w:rPr>
        <w:t xml:space="preserve">Belgisches Staatsblatt </w:t>
      </w:r>
      <w:r w:rsidR="00493B1B" w:rsidRPr="004676F5">
        <w:rPr>
          <w:lang w:val="de-DE"/>
        </w:rPr>
        <w:t>vom 13. September 2017,</w:t>
      </w:r>
    </w:p>
    <w:p w14:paraId="07E89A8F" w14:textId="7B394C64" w:rsidR="0070234A" w:rsidRPr="004676F5" w:rsidRDefault="005B7A5C" w:rsidP="00473416">
      <w:pPr>
        <w:jc w:val="both"/>
        <w:rPr>
          <w:lang w:val="de-DE"/>
        </w:rPr>
      </w:pPr>
      <w:r w:rsidRPr="004676F5">
        <w:rPr>
          <w:lang w:val="de-DE"/>
        </w:rPr>
        <w:t>- </w:t>
      </w:r>
      <w:r w:rsidR="00BE0A56" w:rsidRPr="004676F5">
        <w:rPr>
          <w:lang w:val="de-DE"/>
        </w:rPr>
        <w:t>Art. </w:t>
      </w:r>
      <w:r w:rsidR="0070234A" w:rsidRPr="004676F5">
        <w:rPr>
          <w:lang w:val="de-DE"/>
        </w:rPr>
        <w:t>XII.1</w:t>
      </w:r>
      <w:r w:rsidR="0045434D" w:rsidRPr="004676F5">
        <w:rPr>
          <w:lang w:val="de-DE"/>
        </w:rPr>
        <w:t xml:space="preserve"> bis XII.</w:t>
      </w:r>
      <w:r w:rsidR="001372AA" w:rsidRPr="004676F5">
        <w:rPr>
          <w:lang w:val="de-DE"/>
        </w:rPr>
        <w:t>4</w:t>
      </w:r>
      <w:r w:rsidR="0045434D" w:rsidRPr="004676F5">
        <w:rPr>
          <w:lang w:val="de-DE"/>
        </w:rPr>
        <w:t xml:space="preserve">: </w:t>
      </w:r>
      <w:r w:rsidR="0045434D" w:rsidRPr="004676F5">
        <w:rPr>
          <w:i/>
          <w:lang w:val="de-DE"/>
        </w:rPr>
        <w:t>Belgisches Staatsblatt</w:t>
      </w:r>
      <w:r w:rsidR="0045434D" w:rsidRPr="004676F5">
        <w:rPr>
          <w:lang w:val="de-DE"/>
        </w:rPr>
        <w:t xml:space="preserve"> vom 18. August 2014,</w:t>
      </w:r>
    </w:p>
    <w:p w14:paraId="017E25C9" w14:textId="5B793A6A" w:rsidR="001372AA" w:rsidRPr="004676F5" w:rsidRDefault="005B7A5C" w:rsidP="00473416">
      <w:pPr>
        <w:jc w:val="both"/>
        <w:rPr>
          <w:lang w:val="de-DE"/>
        </w:rPr>
      </w:pPr>
      <w:r w:rsidRPr="004676F5">
        <w:rPr>
          <w:lang w:val="de-DE"/>
        </w:rPr>
        <w:t>- </w:t>
      </w:r>
      <w:r w:rsidR="00BE0A56" w:rsidRPr="004676F5">
        <w:rPr>
          <w:lang w:val="de-DE"/>
        </w:rPr>
        <w:t>Art. </w:t>
      </w:r>
      <w:r w:rsidR="001372AA" w:rsidRPr="004676F5">
        <w:rPr>
          <w:lang w:val="de-DE"/>
        </w:rPr>
        <w:t xml:space="preserve">XII.5: </w:t>
      </w:r>
      <w:r w:rsidR="001372AA" w:rsidRPr="004676F5">
        <w:rPr>
          <w:i/>
          <w:lang w:val="de-DE"/>
        </w:rPr>
        <w:t>Belgisches Staatsblatt</w:t>
      </w:r>
      <w:r w:rsidR="001372AA" w:rsidRPr="004676F5">
        <w:rPr>
          <w:lang w:val="de-DE"/>
        </w:rPr>
        <w:t xml:space="preserve"> vom 18. August 2014,</w:t>
      </w:r>
    </w:p>
    <w:p w14:paraId="5F7C4E95" w14:textId="4F8FE838" w:rsidR="001372AA" w:rsidRPr="004676F5" w:rsidRDefault="005B7A5C" w:rsidP="00473416">
      <w:pPr>
        <w:jc w:val="both"/>
        <w:rPr>
          <w:lang w:val="de-DE"/>
        </w:rPr>
      </w:pPr>
      <w:r w:rsidRPr="004676F5">
        <w:rPr>
          <w:lang w:val="de-DE"/>
        </w:rPr>
        <w:t>- </w:t>
      </w:r>
      <w:r w:rsidR="00BE0A56" w:rsidRPr="004676F5">
        <w:rPr>
          <w:lang w:val="de-DE"/>
        </w:rPr>
        <w:t>Art. </w:t>
      </w:r>
      <w:r w:rsidR="001372AA" w:rsidRPr="004676F5">
        <w:rPr>
          <w:lang w:val="de-DE"/>
        </w:rPr>
        <w:t xml:space="preserve">XII.6 bis XII.23: </w:t>
      </w:r>
      <w:r w:rsidR="001372AA" w:rsidRPr="004676F5">
        <w:rPr>
          <w:i/>
          <w:lang w:val="de-DE"/>
        </w:rPr>
        <w:t>Belgisches Staatsblatt</w:t>
      </w:r>
      <w:r w:rsidR="001372AA" w:rsidRPr="004676F5">
        <w:rPr>
          <w:lang w:val="de-DE"/>
        </w:rPr>
        <w:t xml:space="preserve"> vom 18. August 2014,</w:t>
      </w:r>
    </w:p>
    <w:p w14:paraId="3EDF9DAB" w14:textId="69FF0B51" w:rsidR="0064642F" w:rsidRPr="004676F5" w:rsidRDefault="005B7A5C" w:rsidP="00473416">
      <w:pPr>
        <w:jc w:val="both"/>
        <w:rPr>
          <w:lang w:val="de-DE"/>
        </w:rPr>
      </w:pPr>
      <w:r w:rsidRPr="004676F5">
        <w:rPr>
          <w:lang w:val="de-DE"/>
        </w:rPr>
        <w:t>- </w:t>
      </w:r>
      <w:r w:rsidR="00BE0A56" w:rsidRPr="004676F5">
        <w:rPr>
          <w:lang w:val="de-DE"/>
        </w:rPr>
        <w:t>Art. </w:t>
      </w:r>
      <w:r w:rsidR="0064642F" w:rsidRPr="004676F5">
        <w:rPr>
          <w:lang w:val="de-DE"/>
        </w:rPr>
        <w:t xml:space="preserve">XIII.1 bis XIII.23: </w:t>
      </w:r>
      <w:r w:rsidR="0064642F" w:rsidRPr="004676F5">
        <w:rPr>
          <w:i/>
          <w:lang w:val="de-DE"/>
        </w:rPr>
        <w:t>Belgisches Staatsblatt</w:t>
      </w:r>
      <w:r w:rsidR="0064642F" w:rsidRPr="004676F5">
        <w:rPr>
          <w:lang w:val="de-DE"/>
        </w:rPr>
        <w:t xml:space="preserve"> vom 18. August 2014,</w:t>
      </w:r>
    </w:p>
    <w:p w14:paraId="23B091DF" w14:textId="672DB3CA" w:rsidR="00887278" w:rsidRPr="004676F5" w:rsidRDefault="005B7A5C" w:rsidP="00473416">
      <w:pPr>
        <w:jc w:val="both"/>
        <w:rPr>
          <w:lang w:val="de-DE"/>
        </w:rPr>
      </w:pPr>
      <w:r w:rsidRPr="004676F5">
        <w:rPr>
          <w:lang w:val="de-DE"/>
        </w:rPr>
        <w:t>- </w:t>
      </w:r>
      <w:r w:rsidR="00BE0A56" w:rsidRPr="004676F5">
        <w:rPr>
          <w:lang w:val="de-DE"/>
        </w:rPr>
        <w:t>Art. </w:t>
      </w:r>
      <w:r w:rsidR="00887278" w:rsidRPr="004676F5">
        <w:rPr>
          <w:lang w:val="de-DE"/>
        </w:rPr>
        <w:t xml:space="preserve">XIV.1 bis XIV.83: </w:t>
      </w:r>
      <w:r w:rsidR="00887278" w:rsidRPr="004676F5">
        <w:rPr>
          <w:i/>
          <w:lang w:val="de-DE"/>
        </w:rPr>
        <w:t>Belgisches Staatsblatt</w:t>
      </w:r>
      <w:r w:rsidR="00887278" w:rsidRPr="004676F5">
        <w:rPr>
          <w:lang w:val="de-DE"/>
        </w:rPr>
        <w:t xml:space="preserve"> vom 3. November 2017, </w:t>
      </w:r>
    </w:p>
    <w:p w14:paraId="47D8EF4E" w14:textId="2F4514A7" w:rsidR="0045434D" w:rsidRPr="004676F5" w:rsidRDefault="005B7A5C" w:rsidP="000C0E31">
      <w:pPr>
        <w:jc w:val="both"/>
        <w:rPr>
          <w:lang w:val="de-DE"/>
        </w:rPr>
      </w:pPr>
      <w:r w:rsidRPr="004676F5">
        <w:rPr>
          <w:lang w:val="de-DE"/>
        </w:rPr>
        <w:t>- </w:t>
      </w:r>
      <w:r w:rsidR="00BE0A56" w:rsidRPr="004676F5">
        <w:rPr>
          <w:lang w:val="de-DE"/>
        </w:rPr>
        <w:t>Art. </w:t>
      </w:r>
      <w:r w:rsidR="00DD452C" w:rsidRPr="004676F5">
        <w:rPr>
          <w:lang w:val="de-DE"/>
        </w:rPr>
        <w:t>XV.1 bis XV.10</w:t>
      </w:r>
      <w:r w:rsidR="005267A3" w:rsidRPr="004676F5">
        <w:rPr>
          <w:lang w:val="de-DE"/>
        </w:rPr>
        <w:t xml:space="preserve">: </w:t>
      </w:r>
      <w:r w:rsidR="005267A3" w:rsidRPr="004676F5">
        <w:rPr>
          <w:i/>
          <w:lang w:val="de-DE"/>
        </w:rPr>
        <w:t>Belgisches Staatsblatt</w:t>
      </w:r>
      <w:r w:rsidR="005267A3" w:rsidRPr="004676F5">
        <w:rPr>
          <w:lang w:val="de-DE"/>
        </w:rPr>
        <w:t xml:space="preserve"> vom 11. August 2014</w:t>
      </w:r>
      <w:r w:rsidR="0045434D" w:rsidRPr="004676F5">
        <w:rPr>
          <w:lang w:val="de-DE"/>
        </w:rPr>
        <w:t>,</w:t>
      </w:r>
    </w:p>
    <w:p w14:paraId="68614E43" w14:textId="1FCD24C8" w:rsidR="00752565" w:rsidRPr="004676F5" w:rsidRDefault="005B7A5C" w:rsidP="000C0E31">
      <w:pPr>
        <w:jc w:val="both"/>
        <w:rPr>
          <w:lang w:val="de-DE"/>
        </w:rPr>
      </w:pPr>
      <w:r w:rsidRPr="004676F5">
        <w:rPr>
          <w:lang w:val="de-DE"/>
        </w:rPr>
        <w:t>- </w:t>
      </w:r>
      <w:r w:rsidR="00BE0A56" w:rsidRPr="004676F5">
        <w:rPr>
          <w:lang w:val="de-DE"/>
        </w:rPr>
        <w:t>Art. </w:t>
      </w:r>
      <w:r w:rsidR="00752565" w:rsidRPr="004676F5">
        <w:rPr>
          <w:lang w:val="de-DE"/>
        </w:rPr>
        <w:t>XV.11</w:t>
      </w:r>
      <w:r w:rsidR="005E1EB6" w:rsidRPr="004676F5">
        <w:rPr>
          <w:lang w:val="de-DE"/>
        </w:rPr>
        <w:t xml:space="preserve"> bis XV.16</w:t>
      </w:r>
      <w:r w:rsidR="00752565" w:rsidRPr="004676F5">
        <w:rPr>
          <w:lang w:val="de-DE"/>
        </w:rPr>
        <w:t xml:space="preserve">: </w:t>
      </w:r>
      <w:r w:rsidR="00752565" w:rsidRPr="004676F5">
        <w:rPr>
          <w:i/>
          <w:lang w:val="de-DE"/>
        </w:rPr>
        <w:t>Belgisches Staatsblatt</w:t>
      </w:r>
      <w:r w:rsidR="00752565" w:rsidRPr="004676F5">
        <w:rPr>
          <w:lang w:val="de-DE"/>
        </w:rPr>
        <w:t xml:space="preserve"> vom 27. Oktober 2014,</w:t>
      </w:r>
    </w:p>
    <w:p w14:paraId="780452C1" w14:textId="17F61C0F" w:rsidR="007E4FFE" w:rsidRPr="004676F5" w:rsidRDefault="005B7A5C" w:rsidP="007E4FFE">
      <w:pPr>
        <w:jc w:val="both"/>
        <w:rPr>
          <w:lang w:val="de-DE"/>
        </w:rPr>
      </w:pPr>
      <w:r w:rsidRPr="004676F5">
        <w:rPr>
          <w:lang w:val="de-DE"/>
        </w:rPr>
        <w:t>- </w:t>
      </w:r>
      <w:r w:rsidR="00BE0A56" w:rsidRPr="004676F5">
        <w:rPr>
          <w:lang w:val="de-DE"/>
        </w:rPr>
        <w:t>Art. </w:t>
      </w:r>
      <w:r w:rsidR="007E4FFE" w:rsidRPr="004676F5">
        <w:rPr>
          <w:lang w:val="de-DE"/>
        </w:rPr>
        <w:t xml:space="preserve">XV.17 bis XV.18/3: </w:t>
      </w:r>
      <w:r w:rsidR="007E4FFE" w:rsidRPr="004676F5">
        <w:rPr>
          <w:i/>
          <w:lang w:val="de-DE"/>
        </w:rPr>
        <w:t xml:space="preserve">Belgisches Staatsblatt </w:t>
      </w:r>
      <w:r w:rsidR="007E4FFE" w:rsidRPr="004676F5">
        <w:rPr>
          <w:lang w:val="de-DE"/>
        </w:rPr>
        <w:t>vom 10. Januar 2017,</w:t>
      </w:r>
    </w:p>
    <w:p w14:paraId="58E79DF6" w14:textId="10AB622B" w:rsidR="00752565" w:rsidRPr="004676F5" w:rsidRDefault="005B7A5C" w:rsidP="00752565">
      <w:pPr>
        <w:jc w:val="both"/>
        <w:rPr>
          <w:lang w:val="de-DE"/>
        </w:rPr>
      </w:pPr>
      <w:r w:rsidRPr="004676F5">
        <w:rPr>
          <w:lang w:val="de-DE"/>
        </w:rPr>
        <w:t>- </w:t>
      </w:r>
      <w:r w:rsidR="00BE0A56" w:rsidRPr="004676F5">
        <w:rPr>
          <w:lang w:val="de-DE"/>
        </w:rPr>
        <w:t>Art. </w:t>
      </w:r>
      <w:r w:rsidR="007E4366" w:rsidRPr="004676F5">
        <w:rPr>
          <w:lang w:val="de-DE"/>
        </w:rPr>
        <w:t xml:space="preserve">XV.19 und </w:t>
      </w:r>
      <w:r w:rsidR="00752565" w:rsidRPr="004676F5">
        <w:rPr>
          <w:lang w:val="de-DE"/>
        </w:rPr>
        <w:t xml:space="preserve">XV.20: </w:t>
      </w:r>
      <w:r w:rsidR="00752565" w:rsidRPr="004676F5">
        <w:rPr>
          <w:i/>
          <w:lang w:val="de-DE"/>
        </w:rPr>
        <w:t>Belgisches Staatsblatt</w:t>
      </w:r>
      <w:r w:rsidR="00752565" w:rsidRPr="004676F5">
        <w:rPr>
          <w:lang w:val="de-DE"/>
        </w:rPr>
        <w:t xml:space="preserve"> vom 11. August 2014,</w:t>
      </w:r>
    </w:p>
    <w:p w14:paraId="48A3DD47" w14:textId="02CF0661" w:rsidR="00493B1B" w:rsidRPr="004676F5" w:rsidRDefault="005B7A5C" w:rsidP="00493B1B">
      <w:pPr>
        <w:jc w:val="both"/>
        <w:rPr>
          <w:lang w:val="de-DE"/>
        </w:rPr>
      </w:pPr>
      <w:r w:rsidRPr="004676F5">
        <w:rPr>
          <w:lang w:val="de-DE"/>
        </w:rPr>
        <w:t>- </w:t>
      </w:r>
      <w:r w:rsidR="00BE0A56" w:rsidRPr="004676F5">
        <w:rPr>
          <w:lang w:val="de-DE"/>
        </w:rPr>
        <w:t>Art. </w:t>
      </w:r>
      <w:r w:rsidR="00493B1B" w:rsidRPr="004676F5">
        <w:rPr>
          <w:lang w:val="de-DE"/>
        </w:rPr>
        <w:t xml:space="preserve">XV.21 bis XV.25/4: </w:t>
      </w:r>
      <w:r w:rsidR="00493B1B" w:rsidRPr="004676F5">
        <w:rPr>
          <w:i/>
          <w:lang w:val="de-DE"/>
        </w:rPr>
        <w:t xml:space="preserve">Belgisches Staatsblatt </w:t>
      </w:r>
      <w:r w:rsidR="00493B1B" w:rsidRPr="004676F5">
        <w:rPr>
          <w:lang w:val="de-DE"/>
        </w:rPr>
        <w:t>vom 13. September 2017,</w:t>
      </w:r>
    </w:p>
    <w:p w14:paraId="516CD0BF" w14:textId="078F61E5" w:rsidR="00887278" w:rsidRPr="004676F5" w:rsidRDefault="005B7A5C" w:rsidP="00493B1B">
      <w:pPr>
        <w:jc w:val="both"/>
        <w:rPr>
          <w:lang w:val="de-DE"/>
        </w:rPr>
      </w:pPr>
      <w:r w:rsidRPr="004676F5">
        <w:rPr>
          <w:lang w:val="de-DE"/>
        </w:rPr>
        <w:t>- </w:t>
      </w:r>
      <w:r w:rsidR="00BE0A56" w:rsidRPr="004676F5">
        <w:rPr>
          <w:lang w:val="de-DE"/>
        </w:rPr>
        <w:t>Art. </w:t>
      </w:r>
      <w:r w:rsidR="00887278" w:rsidRPr="004676F5">
        <w:rPr>
          <w:lang w:val="de-DE"/>
        </w:rPr>
        <w:t xml:space="preserve">XV.27 bis XV.27/5: </w:t>
      </w:r>
      <w:r w:rsidR="00887278" w:rsidRPr="004676F5">
        <w:rPr>
          <w:i/>
          <w:lang w:val="de-DE"/>
        </w:rPr>
        <w:t>Belgisches Staatsblatt</w:t>
      </w:r>
      <w:r w:rsidR="00887278" w:rsidRPr="004676F5">
        <w:rPr>
          <w:lang w:val="de-DE"/>
        </w:rPr>
        <w:t xml:space="preserve"> vom 3. November 2017,</w:t>
      </w:r>
    </w:p>
    <w:p w14:paraId="56911510" w14:textId="219B10EC" w:rsidR="007E4366" w:rsidRPr="004676F5" w:rsidRDefault="005B7A5C" w:rsidP="00752565">
      <w:pPr>
        <w:jc w:val="both"/>
        <w:rPr>
          <w:lang w:val="de-DE"/>
        </w:rPr>
      </w:pPr>
      <w:r w:rsidRPr="004676F5">
        <w:rPr>
          <w:lang w:val="de-DE"/>
        </w:rPr>
        <w:t>- </w:t>
      </w:r>
      <w:r w:rsidR="00BE0A56" w:rsidRPr="004676F5">
        <w:rPr>
          <w:lang w:val="de-DE"/>
        </w:rPr>
        <w:t>Art. </w:t>
      </w:r>
      <w:r w:rsidR="007E4366" w:rsidRPr="004676F5">
        <w:rPr>
          <w:lang w:val="de-DE"/>
        </w:rPr>
        <w:t>XV.28:</w:t>
      </w:r>
      <w:r w:rsidR="007E4366" w:rsidRPr="004676F5">
        <w:rPr>
          <w:i/>
          <w:lang w:val="de-DE"/>
        </w:rPr>
        <w:t xml:space="preserve"> Belgisches Staatsblatt</w:t>
      </w:r>
      <w:r w:rsidR="007E4366" w:rsidRPr="004676F5">
        <w:rPr>
          <w:lang w:val="de-DE"/>
        </w:rPr>
        <w:t xml:space="preserve"> vom 11. Mai 2015,</w:t>
      </w:r>
    </w:p>
    <w:p w14:paraId="16E1F350" w14:textId="6CA07AC7" w:rsidR="007E4366" w:rsidRPr="004676F5" w:rsidRDefault="005B7A5C" w:rsidP="007E4366">
      <w:pPr>
        <w:jc w:val="both"/>
        <w:rPr>
          <w:lang w:val="de-DE"/>
        </w:rPr>
      </w:pPr>
      <w:r w:rsidRPr="004676F5">
        <w:rPr>
          <w:lang w:val="de-DE"/>
        </w:rPr>
        <w:t>- </w:t>
      </w:r>
      <w:r w:rsidR="00BE0A56" w:rsidRPr="004676F5">
        <w:rPr>
          <w:lang w:val="de-DE"/>
        </w:rPr>
        <w:t>Art. </w:t>
      </w:r>
      <w:r w:rsidR="007E4366" w:rsidRPr="004676F5">
        <w:rPr>
          <w:lang w:val="de-DE"/>
        </w:rPr>
        <w:t>XV.3</w:t>
      </w:r>
      <w:r w:rsidR="00866231" w:rsidRPr="004676F5">
        <w:rPr>
          <w:lang w:val="de-DE"/>
        </w:rPr>
        <w:t>0</w:t>
      </w:r>
      <w:r w:rsidR="007E4366" w:rsidRPr="004676F5">
        <w:rPr>
          <w:lang w:val="de-DE"/>
        </w:rPr>
        <w:t xml:space="preserve">: </w:t>
      </w:r>
      <w:r w:rsidR="007E4366" w:rsidRPr="004676F5">
        <w:rPr>
          <w:i/>
          <w:lang w:val="de-DE"/>
        </w:rPr>
        <w:t>Belgisches Staatsblatt</w:t>
      </w:r>
      <w:r w:rsidR="007E4366" w:rsidRPr="004676F5">
        <w:rPr>
          <w:lang w:val="de-DE"/>
        </w:rPr>
        <w:t xml:space="preserve"> vom 11. August 2014,</w:t>
      </w:r>
    </w:p>
    <w:p w14:paraId="753FF822" w14:textId="1BA1B3DA" w:rsidR="00493B1B" w:rsidRPr="004676F5" w:rsidRDefault="005B7A5C" w:rsidP="00493B1B">
      <w:pPr>
        <w:jc w:val="both"/>
        <w:rPr>
          <w:lang w:val="de-DE"/>
        </w:rPr>
      </w:pPr>
      <w:r w:rsidRPr="004676F5">
        <w:rPr>
          <w:lang w:val="de-DE"/>
        </w:rPr>
        <w:t>- </w:t>
      </w:r>
      <w:r w:rsidR="00BE0A56" w:rsidRPr="004676F5">
        <w:rPr>
          <w:lang w:val="de-DE"/>
        </w:rPr>
        <w:t>Art. </w:t>
      </w:r>
      <w:r w:rsidR="00493B1B" w:rsidRPr="004676F5">
        <w:rPr>
          <w:lang w:val="de-DE"/>
        </w:rPr>
        <w:t xml:space="preserve">XV.30/1: </w:t>
      </w:r>
      <w:r w:rsidR="00493B1B" w:rsidRPr="004676F5">
        <w:rPr>
          <w:i/>
          <w:lang w:val="de-DE"/>
        </w:rPr>
        <w:t xml:space="preserve">Belgisches Staatsblatt </w:t>
      </w:r>
      <w:r w:rsidR="00493B1B" w:rsidRPr="004676F5">
        <w:rPr>
          <w:lang w:val="de-DE"/>
        </w:rPr>
        <w:t>vom 13. September 2017,</w:t>
      </w:r>
    </w:p>
    <w:p w14:paraId="321F39C5" w14:textId="5B723273" w:rsidR="00493B1B" w:rsidRPr="004676F5" w:rsidRDefault="005B7A5C" w:rsidP="007E4366">
      <w:pPr>
        <w:jc w:val="both"/>
        <w:rPr>
          <w:lang w:val="de-DE"/>
        </w:rPr>
      </w:pPr>
      <w:r w:rsidRPr="004676F5">
        <w:rPr>
          <w:lang w:val="de-DE"/>
        </w:rPr>
        <w:t>- </w:t>
      </w:r>
      <w:r w:rsidR="00BE0A56" w:rsidRPr="004676F5">
        <w:rPr>
          <w:lang w:val="de-DE"/>
        </w:rPr>
        <w:t>Art. </w:t>
      </w:r>
      <w:r w:rsidR="00493B1B" w:rsidRPr="004676F5">
        <w:rPr>
          <w:lang w:val="de-DE"/>
        </w:rPr>
        <w:t xml:space="preserve">XV.31: </w:t>
      </w:r>
      <w:r w:rsidR="00493B1B" w:rsidRPr="004676F5">
        <w:rPr>
          <w:i/>
          <w:lang w:val="de-DE"/>
        </w:rPr>
        <w:t>Belgisches Staatsblatt</w:t>
      </w:r>
      <w:r w:rsidR="00493B1B" w:rsidRPr="004676F5">
        <w:rPr>
          <w:lang w:val="de-DE"/>
        </w:rPr>
        <w:t xml:space="preserve"> vom 11. August 2014,</w:t>
      </w:r>
    </w:p>
    <w:p w14:paraId="72F8197F" w14:textId="58EB1DBA" w:rsidR="00493B1B" w:rsidRPr="004676F5" w:rsidRDefault="005B7A5C" w:rsidP="007E4366">
      <w:pPr>
        <w:jc w:val="both"/>
        <w:rPr>
          <w:lang w:val="de-DE"/>
        </w:rPr>
      </w:pPr>
      <w:r w:rsidRPr="004676F5">
        <w:rPr>
          <w:lang w:val="de-DE"/>
        </w:rPr>
        <w:t>- </w:t>
      </w:r>
      <w:r w:rsidR="00BE0A56" w:rsidRPr="004676F5">
        <w:rPr>
          <w:lang w:val="de-DE"/>
        </w:rPr>
        <w:t>Art. </w:t>
      </w:r>
      <w:r w:rsidR="00493B1B" w:rsidRPr="004676F5">
        <w:rPr>
          <w:lang w:val="de-DE"/>
        </w:rPr>
        <w:t>X</w:t>
      </w:r>
      <w:r w:rsidR="00E84348" w:rsidRPr="004676F5">
        <w:rPr>
          <w:lang w:val="de-DE"/>
        </w:rPr>
        <w:t>V</w:t>
      </w:r>
      <w:r w:rsidR="00493B1B" w:rsidRPr="004676F5">
        <w:rPr>
          <w:lang w:val="de-DE"/>
        </w:rPr>
        <w:t>.</w:t>
      </w:r>
      <w:r w:rsidR="00E84348" w:rsidRPr="004676F5">
        <w:rPr>
          <w:lang w:val="de-DE"/>
        </w:rPr>
        <w:t>3</w:t>
      </w:r>
      <w:r w:rsidR="00493B1B" w:rsidRPr="004676F5">
        <w:rPr>
          <w:lang w:val="de-DE"/>
        </w:rPr>
        <w:t>1</w:t>
      </w:r>
      <w:r w:rsidR="00E84348" w:rsidRPr="004676F5">
        <w:rPr>
          <w:lang w:val="de-DE"/>
        </w:rPr>
        <w:t>/1</w:t>
      </w:r>
      <w:r w:rsidR="00493B1B" w:rsidRPr="004676F5">
        <w:rPr>
          <w:lang w:val="de-DE"/>
        </w:rPr>
        <w:t xml:space="preserve"> </w:t>
      </w:r>
      <w:r w:rsidR="00E84348" w:rsidRPr="004676F5">
        <w:rPr>
          <w:lang w:val="de-DE"/>
        </w:rPr>
        <w:t>und</w:t>
      </w:r>
      <w:r w:rsidR="00493B1B" w:rsidRPr="004676F5">
        <w:rPr>
          <w:lang w:val="de-DE"/>
        </w:rPr>
        <w:t xml:space="preserve"> X</w:t>
      </w:r>
      <w:r w:rsidR="00E84348" w:rsidRPr="004676F5">
        <w:rPr>
          <w:lang w:val="de-DE"/>
        </w:rPr>
        <w:t>V</w:t>
      </w:r>
      <w:r w:rsidR="00493B1B" w:rsidRPr="004676F5">
        <w:rPr>
          <w:lang w:val="de-DE"/>
        </w:rPr>
        <w:t>.3</w:t>
      </w:r>
      <w:r w:rsidR="00E84348" w:rsidRPr="004676F5">
        <w:rPr>
          <w:lang w:val="de-DE"/>
        </w:rPr>
        <w:t>1/2</w:t>
      </w:r>
      <w:r w:rsidR="00493B1B" w:rsidRPr="004676F5">
        <w:rPr>
          <w:lang w:val="de-DE"/>
        </w:rPr>
        <w:t xml:space="preserve">: </w:t>
      </w:r>
      <w:r w:rsidR="00493B1B" w:rsidRPr="004676F5">
        <w:rPr>
          <w:i/>
          <w:lang w:val="de-DE"/>
        </w:rPr>
        <w:t xml:space="preserve">Belgisches Staatsblatt </w:t>
      </w:r>
      <w:r w:rsidR="00493B1B" w:rsidRPr="004676F5">
        <w:rPr>
          <w:lang w:val="de-DE"/>
        </w:rPr>
        <w:t>vom 13. September 2017,</w:t>
      </w:r>
    </w:p>
    <w:p w14:paraId="32F722A9" w14:textId="10FDF2AB" w:rsidR="00866231" w:rsidRPr="004676F5" w:rsidRDefault="005B7A5C" w:rsidP="00866231">
      <w:pPr>
        <w:jc w:val="both"/>
        <w:rPr>
          <w:lang w:val="de-DE"/>
        </w:rPr>
      </w:pPr>
      <w:r w:rsidRPr="004676F5">
        <w:rPr>
          <w:lang w:val="de-DE"/>
        </w:rPr>
        <w:lastRenderedPageBreak/>
        <w:t>- </w:t>
      </w:r>
      <w:r w:rsidR="00BE0A56" w:rsidRPr="004676F5">
        <w:rPr>
          <w:lang w:val="de-DE"/>
        </w:rPr>
        <w:t>Art. </w:t>
      </w:r>
      <w:r w:rsidR="00866231" w:rsidRPr="004676F5">
        <w:rPr>
          <w:lang w:val="de-DE"/>
        </w:rPr>
        <w:t xml:space="preserve">XV.31/3: </w:t>
      </w:r>
      <w:r w:rsidR="00866231" w:rsidRPr="004676F5">
        <w:rPr>
          <w:i/>
          <w:lang w:val="de-DE"/>
        </w:rPr>
        <w:t xml:space="preserve">Belgisches Staatsblatt </w:t>
      </w:r>
      <w:r w:rsidR="00866231" w:rsidRPr="004676F5">
        <w:rPr>
          <w:lang w:val="de-DE"/>
        </w:rPr>
        <w:t>vom 10. Januar 2017,</w:t>
      </w:r>
    </w:p>
    <w:p w14:paraId="4DF97B3F" w14:textId="088052FE" w:rsidR="00866231" w:rsidRPr="004676F5" w:rsidRDefault="005B7A5C" w:rsidP="00866231">
      <w:pPr>
        <w:jc w:val="both"/>
        <w:rPr>
          <w:lang w:val="de-DE"/>
        </w:rPr>
      </w:pPr>
      <w:r w:rsidRPr="004676F5">
        <w:rPr>
          <w:lang w:val="de-DE"/>
        </w:rPr>
        <w:t>- </w:t>
      </w:r>
      <w:r w:rsidR="00BE0A56" w:rsidRPr="004676F5">
        <w:rPr>
          <w:lang w:val="de-DE"/>
        </w:rPr>
        <w:t>Art. </w:t>
      </w:r>
      <w:r w:rsidR="00866231" w:rsidRPr="004676F5">
        <w:rPr>
          <w:lang w:val="de-DE"/>
        </w:rPr>
        <w:t xml:space="preserve">XV.32 bis XV.34: </w:t>
      </w:r>
      <w:r w:rsidR="00866231" w:rsidRPr="004676F5">
        <w:rPr>
          <w:i/>
          <w:lang w:val="de-DE"/>
        </w:rPr>
        <w:t>Belgisches Staatsblatt</w:t>
      </w:r>
      <w:r w:rsidR="00866231" w:rsidRPr="004676F5">
        <w:rPr>
          <w:lang w:val="de-DE"/>
        </w:rPr>
        <w:t xml:space="preserve"> vom 11. August 2014,</w:t>
      </w:r>
    </w:p>
    <w:p w14:paraId="76F9EF28" w14:textId="1C4CD6A2" w:rsidR="00DD452C" w:rsidRPr="004676F5" w:rsidRDefault="005B7A5C" w:rsidP="00DD452C">
      <w:pPr>
        <w:jc w:val="both"/>
        <w:rPr>
          <w:lang w:val="de-DE"/>
        </w:rPr>
      </w:pPr>
      <w:r w:rsidRPr="004676F5">
        <w:rPr>
          <w:lang w:val="de-DE"/>
        </w:rPr>
        <w:t>- </w:t>
      </w:r>
      <w:r w:rsidR="00BE0A56" w:rsidRPr="004676F5">
        <w:rPr>
          <w:lang w:val="de-DE"/>
        </w:rPr>
        <w:t>Art. </w:t>
      </w:r>
      <w:r w:rsidR="00DD452C" w:rsidRPr="004676F5">
        <w:rPr>
          <w:lang w:val="de-DE"/>
        </w:rPr>
        <w:t xml:space="preserve">XV.35 bis XV.57: </w:t>
      </w:r>
      <w:r w:rsidR="00DD452C" w:rsidRPr="004676F5">
        <w:rPr>
          <w:i/>
          <w:lang w:val="de-DE"/>
        </w:rPr>
        <w:t>Belgisches Staatsblatt</w:t>
      </w:r>
      <w:r w:rsidR="00DD452C" w:rsidRPr="004676F5">
        <w:rPr>
          <w:lang w:val="de-DE"/>
        </w:rPr>
        <w:t xml:space="preserve"> vom 29. September 2014,</w:t>
      </w:r>
    </w:p>
    <w:p w14:paraId="6D58D87A" w14:textId="11CAF69F" w:rsidR="00866231" w:rsidRPr="004676F5" w:rsidRDefault="005B7A5C" w:rsidP="00866231">
      <w:pPr>
        <w:jc w:val="both"/>
        <w:rPr>
          <w:lang w:val="de-DE"/>
        </w:rPr>
      </w:pPr>
      <w:r w:rsidRPr="004676F5">
        <w:rPr>
          <w:lang w:val="de-DE"/>
        </w:rPr>
        <w:t>- </w:t>
      </w:r>
      <w:r w:rsidR="00BE0A56" w:rsidRPr="004676F5">
        <w:rPr>
          <w:lang w:val="de-DE"/>
        </w:rPr>
        <w:t>Art. </w:t>
      </w:r>
      <w:r w:rsidR="00866231" w:rsidRPr="004676F5">
        <w:rPr>
          <w:lang w:val="de-DE"/>
        </w:rPr>
        <w:t xml:space="preserve">XV.57/1: </w:t>
      </w:r>
      <w:r w:rsidR="00866231" w:rsidRPr="004676F5">
        <w:rPr>
          <w:i/>
          <w:lang w:val="de-DE"/>
        </w:rPr>
        <w:t xml:space="preserve">Belgisches Staatsblatt </w:t>
      </w:r>
      <w:r w:rsidR="00866231" w:rsidRPr="004676F5">
        <w:rPr>
          <w:lang w:val="de-DE"/>
        </w:rPr>
        <w:t>vom 10. Januar 2017,</w:t>
      </w:r>
    </w:p>
    <w:p w14:paraId="04759F69" w14:textId="3D97A43F" w:rsidR="00E84348" w:rsidRPr="004676F5" w:rsidRDefault="005B7A5C" w:rsidP="00866231">
      <w:pPr>
        <w:jc w:val="both"/>
        <w:rPr>
          <w:lang w:val="de-DE"/>
        </w:rPr>
      </w:pPr>
      <w:r w:rsidRPr="004676F5">
        <w:rPr>
          <w:lang w:val="de-DE"/>
        </w:rPr>
        <w:t>- </w:t>
      </w:r>
      <w:r w:rsidR="00BE0A56" w:rsidRPr="004676F5">
        <w:rPr>
          <w:lang w:val="de-DE"/>
        </w:rPr>
        <w:t>Art. </w:t>
      </w:r>
      <w:r w:rsidR="00E84348" w:rsidRPr="004676F5">
        <w:rPr>
          <w:lang w:val="de-DE"/>
        </w:rPr>
        <w:t xml:space="preserve">XV.58 bis XV.60: </w:t>
      </w:r>
      <w:r w:rsidR="00E84348" w:rsidRPr="004676F5">
        <w:rPr>
          <w:i/>
          <w:lang w:val="de-DE"/>
        </w:rPr>
        <w:t xml:space="preserve">Belgisches Staatsblatt </w:t>
      </w:r>
      <w:r w:rsidR="00E84348" w:rsidRPr="004676F5">
        <w:rPr>
          <w:lang w:val="de-DE"/>
        </w:rPr>
        <w:t>vom 13. September 2017,</w:t>
      </w:r>
    </w:p>
    <w:p w14:paraId="2F711F97" w14:textId="6C75A1D8" w:rsidR="00DD452C" w:rsidRPr="004676F5" w:rsidRDefault="005B7A5C" w:rsidP="00DD452C">
      <w:pPr>
        <w:jc w:val="both"/>
        <w:rPr>
          <w:lang w:val="de-DE"/>
        </w:rPr>
      </w:pPr>
      <w:r w:rsidRPr="004676F5">
        <w:rPr>
          <w:lang w:val="de-DE"/>
        </w:rPr>
        <w:t>- </w:t>
      </w:r>
      <w:r w:rsidR="00BE0A56" w:rsidRPr="004676F5">
        <w:rPr>
          <w:lang w:val="de-DE"/>
        </w:rPr>
        <w:t>Art. </w:t>
      </w:r>
      <w:r w:rsidR="00DD452C" w:rsidRPr="004676F5">
        <w:rPr>
          <w:lang w:val="de-DE"/>
        </w:rPr>
        <w:t xml:space="preserve">XV.61: </w:t>
      </w:r>
      <w:r w:rsidR="00DD452C" w:rsidRPr="004676F5">
        <w:rPr>
          <w:i/>
          <w:lang w:val="de-DE"/>
        </w:rPr>
        <w:t>Belgisches Staatsblatt</w:t>
      </w:r>
      <w:r w:rsidR="00DD452C" w:rsidRPr="004676F5">
        <w:rPr>
          <w:lang w:val="de-DE"/>
        </w:rPr>
        <w:t xml:space="preserve"> vom 11. August 2014,</w:t>
      </w:r>
    </w:p>
    <w:p w14:paraId="21D5B049" w14:textId="54A334AE" w:rsidR="00E84348" w:rsidRPr="004676F5" w:rsidRDefault="005B7A5C" w:rsidP="00DD452C">
      <w:pPr>
        <w:jc w:val="both"/>
        <w:rPr>
          <w:lang w:val="de-DE"/>
        </w:rPr>
      </w:pPr>
      <w:r w:rsidRPr="004676F5">
        <w:rPr>
          <w:lang w:val="de-DE"/>
        </w:rPr>
        <w:t>- </w:t>
      </w:r>
      <w:r w:rsidR="00BE0A56" w:rsidRPr="004676F5">
        <w:rPr>
          <w:lang w:val="de-DE"/>
        </w:rPr>
        <w:t>Art. </w:t>
      </w:r>
      <w:r w:rsidR="00E84348" w:rsidRPr="004676F5">
        <w:rPr>
          <w:lang w:val="de-DE"/>
        </w:rPr>
        <w:t xml:space="preserve">XV.62 und XV.62/1: </w:t>
      </w:r>
      <w:r w:rsidR="00E84348" w:rsidRPr="004676F5">
        <w:rPr>
          <w:i/>
          <w:lang w:val="de-DE"/>
        </w:rPr>
        <w:t xml:space="preserve">Belgisches Staatsblatt </w:t>
      </w:r>
      <w:r w:rsidR="00E84348" w:rsidRPr="004676F5">
        <w:rPr>
          <w:lang w:val="de-DE"/>
        </w:rPr>
        <w:t>vom 13. September 2017,</w:t>
      </w:r>
    </w:p>
    <w:p w14:paraId="1DD89E7D" w14:textId="7EE29AA1" w:rsidR="00DD452C" w:rsidRPr="004676F5" w:rsidRDefault="005B7A5C" w:rsidP="00DD452C">
      <w:pPr>
        <w:jc w:val="both"/>
        <w:rPr>
          <w:lang w:val="de-DE"/>
        </w:rPr>
      </w:pPr>
      <w:r w:rsidRPr="004676F5">
        <w:rPr>
          <w:lang w:val="de-DE"/>
        </w:rPr>
        <w:t>- </w:t>
      </w:r>
      <w:r w:rsidR="00BE0A56" w:rsidRPr="004676F5">
        <w:rPr>
          <w:lang w:val="de-DE"/>
        </w:rPr>
        <w:t>Art. </w:t>
      </w:r>
      <w:r w:rsidR="00DD452C" w:rsidRPr="004676F5">
        <w:rPr>
          <w:lang w:val="de-DE"/>
        </w:rPr>
        <w:t>XV.63 bis XV.</w:t>
      </w:r>
      <w:r w:rsidR="00393A9B" w:rsidRPr="004676F5">
        <w:rPr>
          <w:lang w:val="de-DE"/>
        </w:rPr>
        <w:t>65</w:t>
      </w:r>
      <w:r w:rsidR="00DD452C" w:rsidRPr="004676F5">
        <w:rPr>
          <w:lang w:val="de-DE"/>
        </w:rPr>
        <w:t xml:space="preserve">: </w:t>
      </w:r>
      <w:r w:rsidR="00DD452C" w:rsidRPr="004676F5">
        <w:rPr>
          <w:i/>
          <w:lang w:val="de-DE"/>
        </w:rPr>
        <w:t>Belgisches Staatsblatt</w:t>
      </w:r>
      <w:r w:rsidR="00DD452C" w:rsidRPr="004676F5">
        <w:rPr>
          <w:lang w:val="de-DE"/>
        </w:rPr>
        <w:t xml:space="preserve"> vom 29. September 2014,</w:t>
      </w:r>
    </w:p>
    <w:p w14:paraId="1A44DD35" w14:textId="4C799C9E" w:rsidR="00866231" w:rsidRPr="004676F5" w:rsidRDefault="005B7A5C" w:rsidP="00866231">
      <w:pPr>
        <w:jc w:val="both"/>
        <w:rPr>
          <w:lang w:val="de-DE"/>
        </w:rPr>
      </w:pPr>
      <w:r w:rsidRPr="004676F5">
        <w:rPr>
          <w:lang w:val="de-DE"/>
        </w:rPr>
        <w:t>- </w:t>
      </w:r>
      <w:r w:rsidR="00BE0A56" w:rsidRPr="004676F5">
        <w:rPr>
          <w:lang w:val="de-DE"/>
        </w:rPr>
        <w:t>Art. </w:t>
      </w:r>
      <w:r w:rsidR="00E84348" w:rsidRPr="004676F5">
        <w:rPr>
          <w:lang w:val="de-DE"/>
        </w:rPr>
        <w:t>XV.66</w:t>
      </w:r>
      <w:r w:rsidR="00866231" w:rsidRPr="004676F5">
        <w:rPr>
          <w:lang w:val="de-DE"/>
        </w:rPr>
        <w:t xml:space="preserve">: </w:t>
      </w:r>
      <w:r w:rsidR="00866231" w:rsidRPr="004676F5">
        <w:rPr>
          <w:i/>
          <w:lang w:val="de-DE"/>
        </w:rPr>
        <w:t xml:space="preserve">Belgisches Staatsblatt </w:t>
      </w:r>
      <w:r w:rsidR="00866231" w:rsidRPr="004676F5">
        <w:rPr>
          <w:lang w:val="de-DE"/>
        </w:rPr>
        <w:t>vom 10. Januar 2017,</w:t>
      </w:r>
    </w:p>
    <w:p w14:paraId="5EE6EBC8" w14:textId="19157377" w:rsidR="00E84348" w:rsidRPr="004676F5" w:rsidRDefault="005B7A5C" w:rsidP="00866231">
      <w:pPr>
        <w:jc w:val="both"/>
        <w:rPr>
          <w:lang w:val="de-DE"/>
        </w:rPr>
      </w:pPr>
      <w:r w:rsidRPr="004676F5">
        <w:rPr>
          <w:lang w:val="de-DE"/>
        </w:rPr>
        <w:t>- </w:t>
      </w:r>
      <w:r w:rsidR="00BE0A56" w:rsidRPr="004676F5">
        <w:rPr>
          <w:lang w:val="de-DE"/>
        </w:rPr>
        <w:t>Art. </w:t>
      </w:r>
      <w:r w:rsidR="00E84348" w:rsidRPr="004676F5">
        <w:rPr>
          <w:lang w:val="de-DE"/>
        </w:rPr>
        <w:t xml:space="preserve">XV.66/1 bis XV.66/4: </w:t>
      </w:r>
      <w:r w:rsidR="00E84348" w:rsidRPr="004676F5">
        <w:rPr>
          <w:i/>
          <w:lang w:val="de-DE"/>
        </w:rPr>
        <w:t xml:space="preserve">Belgisches Staatsblatt </w:t>
      </w:r>
      <w:r w:rsidR="00E84348" w:rsidRPr="004676F5">
        <w:rPr>
          <w:lang w:val="de-DE"/>
        </w:rPr>
        <w:t>vom 13. September 2017,</w:t>
      </w:r>
    </w:p>
    <w:p w14:paraId="5BF033F7" w14:textId="56B6F02D" w:rsidR="00E84348" w:rsidRPr="004676F5" w:rsidRDefault="005B7A5C" w:rsidP="00E84348">
      <w:pPr>
        <w:jc w:val="both"/>
        <w:rPr>
          <w:lang w:val="de-DE"/>
        </w:rPr>
      </w:pPr>
      <w:r w:rsidRPr="004676F5">
        <w:rPr>
          <w:lang w:val="de-DE"/>
        </w:rPr>
        <w:t>- </w:t>
      </w:r>
      <w:r w:rsidR="00BE0A56" w:rsidRPr="004676F5">
        <w:rPr>
          <w:lang w:val="de-DE"/>
        </w:rPr>
        <w:t>Art. </w:t>
      </w:r>
      <w:r w:rsidR="00E84348" w:rsidRPr="004676F5">
        <w:rPr>
          <w:lang w:val="de-DE"/>
        </w:rPr>
        <w:t xml:space="preserve">XV.67 bis XV.68: </w:t>
      </w:r>
      <w:r w:rsidR="00E84348" w:rsidRPr="004676F5">
        <w:rPr>
          <w:i/>
          <w:lang w:val="de-DE"/>
        </w:rPr>
        <w:t xml:space="preserve">Belgisches Staatsblatt </w:t>
      </w:r>
      <w:r w:rsidR="00E84348" w:rsidRPr="004676F5">
        <w:rPr>
          <w:lang w:val="de-DE"/>
        </w:rPr>
        <w:t>vom 10. Januar 2017,</w:t>
      </w:r>
    </w:p>
    <w:p w14:paraId="2906828B" w14:textId="11F8C40E" w:rsidR="00393A9B" w:rsidRPr="004676F5" w:rsidRDefault="005B7A5C" w:rsidP="000C0E31">
      <w:pPr>
        <w:jc w:val="both"/>
        <w:rPr>
          <w:lang w:val="de-DE"/>
        </w:rPr>
      </w:pPr>
      <w:r w:rsidRPr="004676F5">
        <w:rPr>
          <w:lang w:val="de-DE"/>
        </w:rPr>
        <w:t>- </w:t>
      </w:r>
      <w:r w:rsidR="00BE0A56" w:rsidRPr="004676F5">
        <w:rPr>
          <w:lang w:val="de-DE"/>
        </w:rPr>
        <w:t>Art. </w:t>
      </w:r>
      <w:r w:rsidR="00393A9B" w:rsidRPr="004676F5">
        <w:rPr>
          <w:lang w:val="de-DE"/>
        </w:rPr>
        <w:t xml:space="preserve">XV.69 bis XV.74: </w:t>
      </w:r>
      <w:r w:rsidR="00393A9B" w:rsidRPr="004676F5">
        <w:rPr>
          <w:i/>
          <w:lang w:val="de-DE"/>
        </w:rPr>
        <w:t>Belgisches Staatsblatt</w:t>
      </w:r>
      <w:r w:rsidR="00393A9B" w:rsidRPr="004676F5">
        <w:rPr>
          <w:lang w:val="de-DE"/>
        </w:rPr>
        <w:t xml:space="preserve"> vom 11. August 2014,</w:t>
      </w:r>
    </w:p>
    <w:p w14:paraId="79CAD2FA" w14:textId="25F541C6" w:rsidR="00393A9B" w:rsidRPr="004676F5" w:rsidRDefault="005B7A5C" w:rsidP="000C0E31">
      <w:pPr>
        <w:jc w:val="both"/>
        <w:rPr>
          <w:lang w:val="de-DE"/>
        </w:rPr>
      </w:pPr>
      <w:r w:rsidRPr="004676F5">
        <w:rPr>
          <w:lang w:val="de-DE"/>
        </w:rPr>
        <w:t>- </w:t>
      </w:r>
      <w:r w:rsidR="00BE0A56" w:rsidRPr="004676F5">
        <w:rPr>
          <w:lang w:val="de-DE"/>
        </w:rPr>
        <w:t>Art. </w:t>
      </w:r>
      <w:r w:rsidR="00393A9B" w:rsidRPr="004676F5">
        <w:rPr>
          <w:lang w:val="de-DE"/>
        </w:rPr>
        <w:t xml:space="preserve">XV.75 bis XV.79 </w:t>
      </w:r>
      <w:r w:rsidR="00393A9B" w:rsidRPr="004676F5">
        <w:rPr>
          <w:i/>
          <w:lang w:val="de-DE"/>
        </w:rPr>
        <w:t>Belgisches Staatsblatt</w:t>
      </w:r>
      <w:r w:rsidR="00393A9B" w:rsidRPr="004676F5">
        <w:rPr>
          <w:lang w:val="de-DE"/>
        </w:rPr>
        <w:t xml:space="preserve"> vom 29. September 2014,</w:t>
      </w:r>
    </w:p>
    <w:p w14:paraId="750CC1C5" w14:textId="26637730" w:rsidR="00393A9B" w:rsidRPr="004676F5" w:rsidRDefault="005B7A5C" w:rsidP="000C0E31">
      <w:pPr>
        <w:jc w:val="both"/>
        <w:rPr>
          <w:lang w:val="de-DE"/>
        </w:rPr>
      </w:pPr>
      <w:r w:rsidRPr="004676F5">
        <w:rPr>
          <w:lang w:val="de-DE"/>
        </w:rPr>
        <w:t>- </w:t>
      </w:r>
      <w:r w:rsidR="00BE0A56" w:rsidRPr="004676F5">
        <w:rPr>
          <w:lang w:val="de-DE"/>
        </w:rPr>
        <w:t>Art. </w:t>
      </w:r>
      <w:r w:rsidR="00DD452C" w:rsidRPr="004676F5">
        <w:rPr>
          <w:lang w:val="de-DE"/>
        </w:rPr>
        <w:t xml:space="preserve">XV.80 bis XV.82: </w:t>
      </w:r>
      <w:r w:rsidR="00DD452C" w:rsidRPr="004676F5">
        <w:rPr>
          <w:i/>
          <w:lang w:val="de-DE"/>
        </w:rPr>
        <w:t>Belgisches Staatsblatt</w:t>
      </w:r>
      <w:r w:rsidR="00DD452C" w:rsidRPr="004676F5">
        <w:rPr>
          <w:lang w:val="de-DE"/>
        </w:rPr>
        <w:t xml:space="preserve"> vom 11. August 2014,</w:t>
      </w:r>
    </w:p>
    <w:p w14:paraId="057293A3" w14:textId="468D681F" w:rsidR="005E1EB6" w:rsidRPr="004676F5" w:rsidRDefault="005B7A5C" w:rsidP="005E1EB6">
      <w:pPr>
        <w:jc w:val="both"/>
        <w:rPr>
          <w:lang w:val="de-DE"/>
        </w:rPr>
      </w:pPr>
      <w:r w:rsidRPr="004676F5">
        <w:rPr>
          <w:lang w:val="de-DE"/>
        </w:rPr>
        <w:t>- </w:t>
      </w:r>
      <w:r w:rsidR="00BE0A56" w:rsidRPr="004676F5">
        <w:rPr>
          <w:lang w:val="de-DE"/>
        </w:rPr>
        <w:t>Art. </w:t>
      </w:r>
      <w:r w:rsidR="005E1EB6" w:rsidRPr="004676F5">
        <w:rPr>
          <w:lang w:val="de-DE"/>
        </w:rPr>
        <w:t xml:space="preserve">XV.83 bis XV.86: </w:t>
      </w:r>
      <w:r w:rsidR="005E1EB6" w:rsidRPr="004676F5">
        <w:rPr>
          <w:i/>
          <w:lang w:val="de-DE"/>
        </w:rPr>
        <w:t>Belgisches Staatsblatt</w:t>
      </w:r>
      <w:r w:rsidR="005E1EB6" w:rsidRPr="004676F5">
        <w:rPr>
          <w:lang w:val="de-DE"/>
        </w:rPr>
        <w:t xml:space="preserve"> vom 27. Oktober 2014,</w:t>
      </w:r>
    </w:p>
    <w:p w14:paraId="17968B71" w14:textId="6B3FCBAF" w:rsidR="00866231" w:rsidRPr="004676F5" w:rsidRDefault="005B7A5C" w:rsidP="00866231">
      <w:pPr>
        <w:jc w:val="both"/>
        <w:rPr>
          <w:lang w:val="de-DE"/>
        </w:rPr>
      </w:pPr>
      <w:r w:rsidRPr="004676F5">
        <w:rPr>
          <w:lang w:val="de-DE"/>
        </w:rPr>
        <w:t>- </w:t>
      </w:r>
      <w:r w:rsidR="00BE0A56" w:rsidRPr="004676F5">
        <w:rPr>
          <w:lang w:val="de-DE"/>
        </w:rPr>
        <w:t>Art. </w:t>
      </w:r>
      <w:r w:rsidR="00866231" w:rsidRPr="004676F5">
        <w:rPr>
          <w:lang w:val="de-DE"/>
        </w:rPr>
        <w:t xml:space="preserve">XV.87 bis XV.91: </w:t>
      </w:r>
      <w:r w:rsidR="00866231" w:rsidRPr="004676F5">
        <w:rPr>
          <w:i/>
          <w:lang w:val="de-DE"/>
        </w:rPr>
        <w:t xml:space="preserve">Belgisches Staatsblatt </w:t>
      </w:r>
      <w:r w:rsidR="00866231" w:rsidRPr="004676F5">
        <w:rPr>
          <w:lang w:val="de-DE"/>
        </w:rPr>
        <w:t>vom 10. Januar 2017,</w:t>
      </w:r>
    </w:p>
    <w:p w14:paraId="05701C83" w14:textId="0D79C02E" w:rsidR="005E1EB6" w:rsidRPr="004676F5" w:rsidRDefault="005B7A5C" w:rsidP="005E1EB6">
      <w:pPr>
        <w:jc w:val="both"/>
        <w:rPr>
          <w:lang w:val="de-DE"/>
        </w:rPr>
      </w:pPr>
      <w:r w:rsidRPr="004676F5">
        <w:rPr>
          <w:lang w:val="de-DE"/>
        </w:rPr>
        <w:t>- </w:t>
      </w:r>
      <w:r w:rsidR="00BE0A56" w:rsidRPr="004676F5">
        <w:rPr>
          <w:lang w:val="de-DE"/>
        </w:rPr>
        <w:t>Art. </w:t>
      </w:r>
      <w:r w:rsidR="005E1EB6" w:rsidRPr="004676F5">
        <w:rPr>
          <w:lang w:val="de-DE"/>
        </w:rPr>
        <w:t xml:space="preserve">XV.99 bis XV.102: </w:t>
      </w:r>
      <w:r w:rsidR="005E1EB6" w:rsidRPr="004676F5">
        <w:rPr>
          <w:i/>
          <w:lang w:val="de-DE"/>
        </w:rPr>
        <w:t>Belgisches Staatsblatt</w:t>
      </w:r>
      <w:r w:rsidR="005E1EB6" w:rsidRPr="004676F5">
        <w:rPr>
          <w:lang w:val="de-DE"/>
        </w:rPr>
        <w:t xml:space="preserve"> vom 11. August 2014,</w:t>
      </w:r>
    </w:p>
    <w:p w14:paraId="39027261" w14:textId="1497F2E4" w:rsidR="00E84348" w:rsidRPr="004676F5" w:rsidRDefault="005B7A5C" w:rsidP="005E1EB6">
      <w:pPr>
        <w:jc w:val="both"/>
        <w:rPr>
          <w:lang w:val="de-DE"/>
        </w:rPr>
      </w:pPr>
      <w:r w:rsidRPr="004676F5">
        <w:rPr>
          <w:lang w:val="de-DE"/>
        </w:rPr>
        <w:t>- </w:t>
      </w:r>
      <w:r w:rsidR="00BE0A56" w:rsidRPr="004676F5">
        <w:rPr>
          <w:lang w:val="de-DE"/>
        </w:rPr>
        <w:t>Art. </w:t>
      </w:r>
      <w:r w:rsidR="00E84348" w:rsidRPr="004676F5">
        <w:rPr>
          <w:lang w:val="de-DE"/>
        </w:rPr>
        <w:t xml:space="preserve">XV.103 bis XV.113: </w:t>
      </w:r>
      <w:r w:rsidR="00E84348" w:rsidRPr="004676F5">
        <w:rPr>
          <w:i/>
          <w:lang w:val="de-DE"/>
        </w:rPr>
        <w:t xml:space="preserve">Belgisches Staatsblatt </w:t>
      </w:r>
      <w:r w:rsidR="00E84348" w:rsidRPr="004676F5">
        <w:rPr>
          <w:lang w:val="de-DE"/>
        </w:rPr>
        <w:t>vom 13. September 2017,</w:t>
      </w:r>
    </w:p>
    <w:p w14:paraId="2DEAD432" w14:textId="5A5FE399" w:rsidR="0045434D" w:rsidRPr="004676F5" w:rsidRDefault="005B7A5C" w:rsidP="000C0E31">
      <w:pPr>
        <w:jc w:val="both"/>
        <w:rPr>
          <w:lang w:val="de-DE"/>
        </w:rPr>
      </w:pPr>
      <w:r w:rsidRPr="004676F5">
        <w:rPr>
          <w:lang w:val="de-DE"/>
        </w:rPr>
        <w:t>- </w:t>
      </w:r>
      <w:r w:rsidR="00BE0A56" w:rsidRPr="004676F5">
        <w:rPr>
          <w:lang w:val="de-DE"/>
        </w:rPr>
        <w:t>Art. </w:t>
      </w:r>
      <w:r w:rsidR="0045434D" w:rsidRPr="004676F5">
        <w:rPr>
          <w:lang w:val="de-DE"/>
        </w:rPr>
        <w:t xml:space="preserve">XV.118 bis XV.122: </w:t>
      </w:r>
      <w:r w:rsidR="0045434D" w:rsidRPr="004676F5">
        <w:rPr>
          <w:i/>
          <w:lang w:val="de-DE"/>
        </w:rPr>
        <w:t>Belgisches Staatsblatt</w:t>
      </w:r>
      <w:r w:rsidR="0045434D" w:rsidRPr="004676F5">
        <w:rPr>
          <w:lang w:val="de-DE"/>
        </w:rPr>
        <w:t xml:space="preserve"> vom 18. August 2014,</w:t>
      </w:r>
    </w:p>
    <w:p w14:paraId="24DB5DA7" w14:textId="64022158" w:rsidR="00887278" w:rsidRPr="004676F5" w:rsidRDefault="005B7A5C" w:rsidP="000C0E31">
      <w:pPr>
        <w:jc w:val="both"/>
        <w:rPr>
          <w:lang w:val="de-DE"/>
        </w:rPr>
      </w:pPr>
      <w:r w:rsidRPr="004676F5">
        <w:rPr>
          <w:lang w:val="de-DE"/>
        </w:rPr>
        <w:t>- </w:t>
      </w:r>
      <w:r w:rsidR="00BE0A56" w:rsidRPr="004676F5">
        <w:rPr>
          <w:lang w:val="de-DE"/>
        </w:rPr>
        <w:t>Art. </w:t>
      </w:r>
      <w:r w:rsidR="00887278" w:rsidRPr="004676F5">
        <w:rPr>
          <w:lang w:val="de-DE"/>
        </w:rPr>
        <w:t xml:space="preserve">XV.124 bis XV.124/3: </w:t>
      </w:r>
      <w:r w:rsidR="00887278" w:rsidRPr="004676F5">
        <w:rPr>
          <w:i/>
          <w:lang w:val="de-DE"/>
        </w:rPr>
        <w:t>Belgisches Staatsblatt</w:t>
      </w:r>
      <w:r w:rsidR="00887278" w:rsidRPr="004676F5">
        <w:rPr>
          <w:lang w:val="de-DE"/>
        </w:rPr>
        <w:t xml:space="preserve"> vom 3. November 2017,</w:t>
      </w:r>
    </w:p>
    <w:p w14:paraId="0EA4A131" w14:textId="0A1F4C6F" w:rsidR="009839A8" w:rsidRPr="004676F5" w:rsidRDefault="005B7A5C" w:rsidP="009839A8">
      <w:pPr>
        <w:jc w:val="both"/>
        <w:rPr>
          <w:lang w:val="de-DE"/>
        </w:rPr>
      </w:pPr>
      <w:r w:rsidRPr="004676F5">
        <w:rPr>
          <w:lang w:val="de-DE"/>
        </w:rPr>
        <w:t>- </w:t>
      </w:r>
      <w:r w:rsidR="00BE0A56" w:rsidRPr="004676F5">
        <w:rPr>
          <w:lang w:val="de-DE"/>
        </w:rPr>
        <w:t>Art. </w:t>
      </w:r>
      <w:r w:rsidR="009839A8" w:rsidRPr="004676F5">
        <w:rPr>
          <w:lang w:val="de-DE"/>
        </w:rPr>
        <w:t xml:space="preserve">XV.125: </w:t>
      </w:r>
      <w:r w:rsidR="009839A8" w:rsidRPr="004676F5">
        <w:rPr>
          <w:i/>
          <w:lang w:val="de-DE"/>
        </w:rPr>
        <w:t>Belgisches Staatsblatt</w:t>
      </w:r>
      <w:r w:rsidR="009839A8" w:rsidRPr="004676F5">
        <w:rPr>
          <w:lang w:val="de-DE"/>
        </w:rPr>
        <w:t xml:space="preserve"> vom 8. Februar 2016,</w:t>
      </w:r>
    </w:p>
    <w:p w14:paraId="5CC8A041" w14:textId="0F514BF8" w:rsidR="00657D4B" w:rsidRPr="004676F5" w:rsidRDefault="005B7A5C" w:rsidP="000C0E31">
      <w:pPr>
        <w:jc w:val="both"/>
        <w:rPr>
          <w:lang w:val="de-DE"/>
        </w:rPr>
      </w:pPr>
      <w:r w:rsidRPr="004676F5">
        <w:rPr>
          <w:lang w:val="de-DE"/>
        </w:rPr>
        <w:t>- </w:t>
      </w:r>
      <w:r w:rsidR="00BE0A56" w:rsidRPr="004676F5">
        <w:rPr>
          <w:lang w:val="de-DE"/>
        </w:rPr>
        <w:t>Art. </w:t>
      </w:r>
      <w:r w:rsidR="00657D4B" w:rsidRPr="004676F5">
        <w:rPr>
          <w:lang w:val="de-DE"/>
        </w:rPr>
        <w:t xml:space="preserve">XV.125/1: </w:t>
      </w:r>
      <w:r w:rsidR="00657D4B" w:rsidRPr="004676F5">
        <w:rPr>
          <w:i/>
          <w:lang w:val="de-DE"/>
        </w:rPr>
        <w:t>Belgisches Staatsblatt</w:t>
      </w:r>
      <w:r w:rsidR="00657D4B" w:rsidRPr="004676F5">
        <w:rPr>
          <w:lang w:val="de-DE"/>
        </w:rPr>
        <w:t xml:space="preserve"> vom 2. März 2015,</w:t>
      </w:r>
    </w:p>
    <w:p w14:paraId="17B8B415" w14:textId="64E48BD4" w:rsidR="007E4366" w:rsidRPr="004676F5" w:rsidRDefault="005B7A5C" w:rsidP="000C0E31">
      <w:pPr>
        <w:jc w:val="both"/>
        <w:rPr>
          <w:lang w:val="de-DE"/>
        </w:rPr>
      </w:pPr>
      <w:r w:rsidRPr="004676F5">
        <w:rPr>
          <w:lang w:val="de-DE"/>
        </w:rPr>
        <w:t>- </w:t>
      </w:r>
      <w:r w:rsidR="00BE0A56" w:rsidRPr="004676F5">
        <w:rPr>
          <w:lang w:val="de-DE"/>
        </w:rPr>
        <w:t>Art. </w:t>
      </w:r>
      <w:r w:rsidR="007E4366" w:rsidRPr="004676F5">
        <w:rPr>
          <w:lang w:val="de-DE"/>
        </w:rPr>
        <w:t xml:space="preserve">XV.125/24: </w:t>
      </w:r>
      <w:r w:rsidR="007E4366" w:rsidRPr="004676F5">
        <w:rPr>
          <w:i/>
          <w:lang w:val="de-DE"/>
        </w:rPr>
        <w:t>Belgisches Staatsblatt</w:t>
      </w:r>
      <w:r w:rsidR="007E4366" w:rsidRPr="004676F5">
        <w:rPr>
          <w:lang w:val="de-DE"/>
        </w:rPr>
        <w:t xml:space="preserve"> vom 11. Mai 2015,</w:t>
      </w:r>
    </w:p>
    <w:p w14:paraId="23E154A2" w14:textId="42A7980E" w:rsidR="00065C4F" w:rsidRPr="004676F5" w:rsidRDefault="005B7A5C" w:rsidP="000C0E31">
      <w:pPr>
        <w:jc w:val="both"/>
        <w:rPr>
          <w:lang w:val="de-DE"/>
        </w:rPr>
      </w:pPr>
      <w:r w:rsidRPr="004676F5">
        <w:rPr>
          <w:lang w:val="de-DE"/>
        </w:rPr>
        <w:t>- </w:t>
      </w:r>
      <w:r w:rsidR="00BE0A56" w:rsidRPr="004676F5">
        <w:rPr>
          <w:lang w:val="de-DE"/>
        </w:rPr>
        <w:t>Art. </w:t>
      </w:r>
      <w:r w:rsidR="00A56B8C" w:rsidRPr="004676F5">
        <w:rPr>
          <w:lang w:val="de-DE"/>
        </w:rPr>
        <w:t>XV.126</w:t>
      </w:r>
      <w:r w:rsidR="0045434D" w:rsidRPr="004676F5">
        <w:rPr>
          <w:lang w:val="de-DE"/>
        </w:rPr>
        <w:t xml:space="preserve">: </w:t>
      </w:r>
      <w:r w:rsidR="0045434D" w:rsidRPr="004676F5">
        <w:rPr>
          <w:i/>
          <w:lang w:val="de-DE"/>
        </w:rPr>
        <w:t>Belgisches Staatsblatt</w:t>
      </w:r>
      <w:r w:rsidR="0045434D" w:rsidRPr="004676F5">
        <w:rPr>
          <w:lang w:val="de-DE"/>
        </w:rPr>
        <w:t xml:space="preserve"> vom 11. August 2014</w:t>
      </w:r>
      <w:r w:rsidR="00065C4F" w:rsidRPr="004676F5">
        <w:rPr>
          <w:lang w:val="de-DE"/>
        </w:rPr>
        <w:t>,</w:t>
      </w:r>
    </w:p>
    <w:p w14:paraId="16789DE0" w14:textId="21ABC883" w:rsidR="007E2C8C" w:rsidRPr="004676F5" w:rsidRDefault="005B7A5C" w:rsidP="007E2C8C">
      <w:pPr>
        <w:jc w:val="both"/>
        <w:rPr>
          <w:lang w:val="de-DE"/>
        </w:rPr>
      </w:pPr>
      <w:r w:rsidRPr="004676F5">
        <w:rPr>
          <w:lang w:val="de-DE"/>
        </w:rPr>
        <w:t>- </w:t>
      </w:r>
      <w:r w:rsidR="00BE0A56" w:rsidRPr="004676F5">
        <w:rPr>
          <w:lang w:val="de-DE"/>
        </w:rPr>
        <w:t>Art. </w:t>
      </w:r>
      <w:r w:rsidR="007E2C8C" w:rsidRPr="004676F5">
        <w:rPr>
          <w:lang w:val="de-DE"/>
        </w:rPr>
        <w:t xml:space="preserve">XV.126/1 und XV.127: </w:t>
      </w:r>
      <w:r w:rsidR="007E2C8C" w:rsidRPr="004676F5">
        <w:rPr>
          <w:i/>
          <w:lang w:val="de-DE"/>
        </w:rPr>
        <w:t xml:space="preserve">Belgisches Staatsblatt </w:t>
      </w:r>
      <w:r w:rsidR="007E2C8C" w:rsidRPr="004676F5">
        <w:rPr>
          <w:lang w:val="de-DE"/>
        </w:rPr>
        <w:t>vom 10. Januar 2017,</w:t>
      </w:r>
    </w:p>
    <w:p w14:paraId="2C4D57BE" w14:textId="3EC03228" w:rsidR="00A56B8C" w:rsidRPr="004676F5" w:rsidRDefault="005B7A5C" w:rsidP="00A56B8C">
      <w:pPr>
        <w:jc w:val="both"/>
        <w:rPr>
          <w:lang w:val="de-DE"/>
        </w:rPr>
      </w:pPr>
      <w:r w:rsidRPr="004676F5">
        <w:rPr>
          <w:lang w:val="de-DE"/>
        </w:rPr>
        <w:t>- </w:t>
      </w:r>
      <w:r w:rsidR="00BE0A56" w:rsidRPr="004676F5">
        <w:rPr>
          <w:lang w:val="de-DE"/>
        </w:rPr>
        <w:t>Art. </w:t>
      </w:r>
      <w:r w:rsidR="00A56B8C" w:rsidRPr="004676F5">
        <w:rPr>
          <w:lang w:val="de-DE"/>
        </w:rPr>
        <w:t xml:space="preserve">XV.130: </w:t>
      </w:r>
      <w:r w:rsidR="00A56B8C" w:rsidRPr="004676F5">
        <w:rPr>
          <w:i/>
          <w:lang w:val="de-DE"/>
        </w:rPr>
        <w:t>Belgisches Staatsblatt</w:t>
      </w:r>
      <w:r w:rsidR="00A56B8C" w:rsidRPr="004676F5">
        <w:rPr>
          <w:lang w:val="de-DE"/>
        </w:rPr>
        <w:t xml:space="preserve"> vom 11. August 2014,</w:t>
      </w:r>
    </w:p>
    <w:p w14:paraId="2E2BE4CC" w14:textId="33AF9560" w:rsidR="00E84348" w:rsidRPr="004676F5" w:rsidRDefault="005B7A5C" w:rsidP="00A56B8C">
      <w:pPr>
        <w:jc w:val="both"/>
        <w:rPr>
          <w:lang w:val="de-DE"/>
        </w:rPr>
      </w:pPr>
      <w:r w:rsidRPr="004676F5">
        <w:rPr>
          <w:lang w:val="de-DE"/>
        </w:rPr>
        <w:t>- </w:t>
      </w:r>
      <w:r w:rsidR="00BE0A56" w:rsidRPr="004676F5">
        <w:rPr>
          <w:lang w:val="de-DE"/>
        </w:rPr>
        <w:t>Art. </w:t>
      </w:r>
      <w:r w:rsidR="00E84348" w:rsidRPr="004676F5">
        <w:rPr>
          <w:lang w:val="de-DE"/>
        </w:rPr>
        <w:t xml:space="preserve">XV.130/1 bis XV.130/4: </w:t>
      </w:r>
      <w:r w:rsidR="00E84348" w:rsidRPr="004676F5">
        <w:rPr>
          <w:i/>
          <w:lang w:val="de-DE"/>
        </w:rPr>
        <w:t xml:space="preserve">Belgisches Staatsblatt </w:t>
      </w:r>
      <w:r w:rsidR="00E84348" w:rsidRPr="004676F5">
        <w:rPr>
          <w:lang w:val="de-DE"/>
        </w:rPr>
        <w:t>vom 13. September 2017,</w:t>
      </w:r>
    </w:p>
    <w:p w14:paraId="64F5389A" w14:textId="5F818AC6" w:rsidR="00E84348" w:rsidRPr="004676F5" w:rsidRDefault="005B7A5C" w:rsidP="00E84348">
      <w:pPr>
        <w:jc w:val="both"/>
        <w:rPr>
          <w:lang w:val="de-DE"/>
        </w:rPr>
      </w:pPr>
      <w:r w:rsidRPr="004676F5">
        <w:rPr>
          <w:lang w:val="de-DE"/>
        </w:rPr>
        <w:t>- </w:t>
      </w:r>
      <w:r w:rsidR="00BE0A56" w:rsidRPr="004676F5">
        <w:rPr>
          <w:lang w:val="de-DE"/>
        </w:rPr>
        <w:t>Art. </w:t>
      </w:r>
      <w:r w:rsidR="00E84348" w:rsidRPr="004676F5">
        <w:rPr>
          <w:lang w:val="de-DE"/>
        </w:rPr>
        <w:t xml:space="preserve">XV.131: </w:t>
      </w:r>
      <w:r w:rsidR="00E84348" w:rsidRPr="004676F5">
        <w:rPr>
          <w:i/>
          <w:lang w:val="de-DE"/>
        </w:rPr>
        <w:t>Belgisches Staatsblatt</w:t>
      </w:r>
      <w:r w:rsidR="00E84348" w:rsidRPr="004676F5">
        <w:rPr>
          <w:lang w:val="de-DE"/>
        </w:rPr>
        <w:t xml:space="preserve"> vom 11. August 2014,</w:t>
      </w:r>
    </w:p>
    <w:p w14:paraId="2E896BA0" w14:textId="5EF2023D" w:rsidR="00E84348" w:rsidRPr="004676F5" w:rsidRDefault="005B7A5C" w:rsidP="00E84348">
      <w:pPr>
        <w:jc w:val="both"/>
        <w:rPr>
          <w:lang w:val="de-DE"/>
        </w:rPr>
      </w:pPr>
      <w:r w:rsidRPr="004676F5">
        <w:rPr>
          <w:lang w:val="de-DE"/>
        </w:rPr>
        <w:t>- </w:t>
      </w:r>
      <w:r w:rsidR="00BE0A56" w:rsidRPr="004676F5">
        <w:rPr>
          <w:lang w:val="de-DE"/>
        </w:rPr>
        <w:t>Art. </w:t>
      </w:r>
      <w:r w:rsidR="00E84348" w:rsidRPr="004676F5">
        <w:rPr>
          <w:lang w:val="de-DE"/>
        </w:rPr>
        <w:t xml:space="preserve">XV.131/1 und XV.131/2: </w:t>
      </w:r>
      <w:r w:rsidR="00E84348" w:rsidRPr="004676F5">
        <w:rPr>
          <w:i/>
          <w:lang w:val="de-DE"/>
        </w:rPr>
        <w:t xml:space="preserve">Belgisches Staatsblatt </w:t>
      </w:r>
      <w:r w:rsidR="00E84348" w:rsidRPr="004676F5">
        <w:rPr>
          <w:lang w:val="de-DE"/>
        </w:rPr>
        <w:t>vom 13. September 2017,</w:t>
      </w:r>
    </w:p>
    <w:p w14:paraId="68F2A061" w14:textId="6B2A6A72" w:rsidR="009310F3" w:rsidRPr="004676F5" w:rsidRDefault="005B7A5C" w:rsidP="00A56B8C">
      <w:pPr>
        <w:jc w:val="both"/>
        <w:rPr>
          <w:lang w:val="de-DE"/>
        </w:rPr>
      </w:pPr>
      <w:r w:rsidRPr="004676F5">
        <w:rPr>
          <w:lang w:val="de-DE"/>
        </w:rPr>
        <w:t>- </w:t>
      </w:r>
      <w:r w:rsidR="00BE0A56" w:rsidRPr="004676F5">
        <w:rPr>
          <w:lang w:val="de-DE"/>
        </w:rPr>
        <w:t>Art. </w:t>
      </w:r>
      <w:r w:rsidR="009310F3" w:rsidRPr="004676F5">
        <w:rPr>
          <w:lang w:val="de-DE"/>
        </w:rPr>
        <w:t xml:space="preserve">XVI.1 bis XVI.28: </w:t>
      </w:r>
      <w:r w:rsidR="009310F3" w:rsidRPr="004676F5">
        <w:rPr>
          <w:i/>
          <w:lang w:val="de-DE"/>
        </w:rPr>
        <w:t>Belgisches Staatsblatt</w:t>
      </w:r>
      <w:r w:rsidR="009310F3" w:rsidRPr="004676F5">
        <w:rPr>
          <w:lang w:val="de-DE"/>
        </w:rPr>
        <w:t xml:space="preserve"> vom 8. Februar 2016,</w:t>
      </w:r>
    </w:p>
    <w:p w14:paraId="3EFF9F7A" w14:textId="74A2F275" w:rsidR="007E4366" w:rsidRPr="004676F5" w:rsidRDefault="005B7A5C" w:rsidP="000C0E31">
      <w:pPr>
        <w:jc w:val="both"/>
        <w:rPr>
          <w:spacing w:val="-2"/>
          <w:lang w:val="de-DE"/>
        </w:rPr>
      </w:pPr>
      <w:r w:rsidRPr="004676F5">
        <w:rPr>
          <w:spacing w:val="-2"/>
          <w:lang w:val="de-DE"/>
        </w:rPr>
        <w:t>- </w:t>
      </w:r>
      <w:r w:rsidR="00BE0A56" w:rsidRPr="004676F5">
        <w:rPr>
          <w:spacing w:val="-2"/>
          <w:lang w:val="de-DE"/>
        </w:rPr>
        <w:t>Art. </w:t>
      </w:r>
      <w:r w:rsidR="00065C4F" w:rsidRPr="004676F5">
        <w:rPr>
          <w:spacing w:val="-2"/>
          <w:lang w:val="de-DE"/>
        </w:rPr>
        <w:t xml:space="preserve">XVII.1 bis </w:t>
      </w:r>
      <w:r w:rsidR="008A74E1" w:rsidRPr="004676F5">
        <w:rPr>
          <w:spacing w:val="-2"/>
          <w:lang w:val="de-DE"/>
        </w:rPr>
        <w:t>XVII.13</w:t>
      </w:r>
      <w:r w:rsidR="00065C4F" w:rsidRPr="004676F5">
        <w:rPr>
          <w:spacing w:val="-2"/>
          <w:lang w:val="de-DE"/>
        </w:rPr>
        <w:t xml:space="preserve">: </w:t>
      </w:r>
      <w:r w:rsidR="00065C4F" w:rsidRPr="004676F5">
        <w:rPr>
          <w:i/>
          <w:spacing w:val="-2"/>
          <w:lang w:val="de-DE"/>
        </w:rPr>
        <w:t>Belgisches Staatsblatt</w:t>
      </w:r>
      <w:r w:rsidR="00065C4F" w:rsidRPr="004676F5">
        <w:rPr>
          <w:spacing w:val="-2"/>
          <w:lang w:val="de-DE"/>
        </w:rPr>
        <w:t xml:space="preserve"> vom 2. März 2015</w:t>
      </w:r>
      <w:r w:rsidR="007E4366" w:rsidRPr="004676F5">
        <w:rPr>
          <w:spacing w:val="-2"/>
          <w:lang w:val="de-DE"/>
        </w:rPr>
        <w:t>,</w:t>
      </w:r>
    </w:p>
    <w:p w14:paraId="6F95D6EC" w14:textId="6863259B" w:rsidR="00096112" w:rsidRPr="004676F5" w:rsidRDefault="005B7A5C" w:rsidP="000C0E31">
      <w:pPr>
        <w:jc w:val="both"/>
        <w:rPr>
          <w:lang w:val="de-DE"/>
        </w:rPr>
      </w:pPr>
      <w:r w:rsidRPr="004676F5">
        <w:rPr>
          <w:lang w:val="de-DE"/>
        </w:rPr>
        <w:t>- </w:t>
      </w:r>
      <w:r w:rsidR="00BE0A56" w:rsidRPr="004676F5">
        <w:rPr>
          <w:lang w:val="de-DE"/>
        </w:rPr>
        <w:t>Art. </w:t>
      </w:r>
      <w:r w:rsidR="00096112" w:rsidRPr="004676F5">
        <w:rPr>
          <w:lang w:val="de-DE"/>
        </w:rPr>
        <w:t xml:space="preserve">XVII.14: </w:t>
      </w:r>
      <w:r w:rsidR="00096112" w:rsidRPr="004676F5">
        <w:rPr>
          <w:i/>
          <w:lang w:val="de-DE"/>
        </w:rPr>
        <w:t>Belgisches Staatsblatt</w:t>
      </w:r>
      <w:r w:rsidR="00096112" w:rsidRPr="004676F5">
        <w:rPr>
          <w:lang w:val="de-DE"/>
        </w:rPr>
        <w:t xml:space="preserve"> vom 11. Februar 2016,</w:t>
      </w:r>
    </w:p>
    <w:p w14:paraId="62630023" w14:textId="16D2E305" w:rsidR="00E84348" w:rsidRPr="004676F5" w:rsidRDefault="005B7A5C" w:rsidP="00E84348">
      <w:pPr>
        <w:jc w:val="both"/>
        <w:rPr>
          <w:lang w:val="de-DE"/>
        </w:rPr>
      </w:pPr>
      <w:r w:rsidRPr="004676F5">
        <w:rPr>
          <w:lang w:val="de-DE"/>
        </w:rPr>
        <w:t>- </w:t>
      </w:r>
      <w:r w:rsidR="00BE0A56" w:rsidRPr="004676F5">
        <w:rPr>
          <w:lang w:val="de-DE"/>
        </w:rPr>
        <w:t>Art. </w:t>
      </w:r>
      <w:r w:rsidR="00E84348" w:rsidRPr="004676F5">
        <w:rPr>
          <w:lang w:val="de-DE"/>
        </w:rPr>
        <w:t xml:space="preserve">XVII.15 bis XVII.21: </w:t>
      </w:r>
      <w:r w:rsidR="00E84348" w:rsidRPr="004676F5">
        <w:rPr>
          <w:i/>
          <w:lang w:val="de-DE"/>
        </w:rPr>
        <w:t xml:space="preserve">Belgisches Staatsblatt </w:t>
      </w:r>
      <w:r w:rsidR="00E84348" w:rsidRPr="004676F5">
        <w:rPr>
          <w:lang w:val="de-DE"/>
        </w:rPr>
        <w:t>vom 13. September 2017,</w:t>
      </w:r>
    </w:p>
    <w:p w14:paraId="0B0927D8" w14:textId="6B03D0B7" w:rsidR="00E84348" w:rsidRPr="004676F5" w:rsidRDefault="005B7A5C" w:rsidP="00E84348">
      <w:pPr>
        <w:jc w:val="both"/>
        <w:rPr>
          <w:spacing w:val="-2"/>
          <w:lang w:val="de-DE"/>
        </w:rPr>
      </w:pPr>
      <w:r w:rsidRPr="004676F5">
        <w:rPr>
          <w:spacing w:val="-2"/>
          <w:lang w:val="de-DE"/>
        </w:rPr>
        <w:t>- </w:t>
      </w:r>
      <w:r w:rsidR="00BE0A56" w:rsidRPr="004676F5">
        <w:rPr>
          <w:spacing w:val="-2"/>
          <w:lang w:val="de-DE"/>
        </w:rPr>
        <w:t>Art. </w:t>
      </w:r>
      <w:r w:rsidR="00E84348" w:rsidRPr="004676F5">
        <w:rPr>
          <w:spacing w:val="-2"/>
          <w:lang w:val="de-DE"/>
        </w:rPr>
        <w:t>XVII.22 bis XVII.</w:t>
      </w:r>
      <w:r w:rsidR="008452F1" w:rsidRPr="004676F5">
        <w:rPr>
          <w:spacing w:val="-2"/>
          <w:lang w:val="de-DE"/>
        </w:rPr>
        <w:t>25</w:t>
      </w:r>
      <w:r w:rsidR="00E84348" w:rsidRPr="004676F5">
        <w:rPr>
          <w:spacing w:val="-2"/>
          <w:lang w:val="de-DE"/>
        </w:rPr>
        <w:t xml:space="preserve">: </w:t>
      </w:r>
      <w:r w:rsidR="00E84348" w:rsidRPr="004676F5">
        <w:rPr>
          <w:i/>
          <w:spacing w:val="-2"/>
          <w:lang w:val="de-DE"/>
        </w:rPr>
        <w:t>Belgisches Staatsblatt</w:t>
      </w:r>
      <w:r w:rsidR="00E84348" w:rsidRPr="004676F5">
        <w:rPr>
          <w:spacing w:val="-2"/>
          <w:lang w:val="de-DE"/>
        </w:rPr>
        <w:t xml:space="preserve"> vom 2. März 2015,</w:t>
      </w:r>
    </w:p>
    <w:p w14:paraId="794A36DF" w14:textId="7B0E69B3" w:rsidR="008452F1" w:rsidRPr="004676F5" w:rsidRDefault="005B7A5C" w:rsidP="00E84348">
      <w:pPr>
        <w:jc w:val="both"/>
        <w:rPr>
          <w:spacing w:val="-2"/>
          <w:lang w:val="de-DE"/>
        </w:rPr>
      </w:pPr>
      <w:r w:rsidRPr="004676F5">
        <w:rPr>
          <w:spacing w:val="-2"/>
          <w:lang w:val="de-DE"/>
        </w:rPr>
        <w:t>- </w:t>
      </w:r>
      <w:r w:rsidR="00BE0A56" w:rsidRPr="004676F5">
        <w:rPr>
          <w:spacing w:val="-2"/>
          <w:lang w:val="de-DE"/>
        </w:rPr>
        <w:t>Art. </w:t>
      </w:r>
      <w:r w:rsidR="008452F1" w:rsidRPr="004676F5">
        <w:rPr>
          <w:spacing w:val="-2"/>
          <w:lang w:val="de-DE"/>
        </w:rPr>
        <w:t xml:space="preserve">XVII.25/1: </w:t>
      </w:r>
      <w:r w:rsidR="008452F1" w:rsidRPr="004676F5">
        <w:rPr>
          <w:i/>
          <w:spacing w:val="-2"/>
          <w:lang w:val="de-DE"/>
        </w:rPr>
        <w:t>Belgisches Staatsblatt</w:t>
      </w:r>
      <w:r w:rsidR="008452F1" w:rsidRPr="004676F5">
        <w:rPr>
          <w:spacing w:val="-2"/>
          <w:lang w:val="de-DE"/>
        </w:rPr>
        <w:t xml:space="preserve"> vom 11. Oktober 2017,</w:t>
      </w:r>
    </w:p>
    <w:p w14:paraId="2F280C10" w14:textId="7B80D812" w:rsidR="000D3610" w:rsidRPr="004676F5" w:rsidRDefault="005B7A5C" w:rsidP="000D3610">
      <w:pPr>
        <w:jc w:val="both"/>
        <w:rPr>
          <w:spacing w:val="-2"/>
          <w:lang w:val="de-DE"/>
        </w:rPr>
      </w:pPr>
      <w:r w:rsidRPr="004676F5">
        <w:rPr>
          <w:spacing w:val="-2"/>
          <w:lang w:val="de-DE"/>
        </w:rPr>
        <w:t>- </w:t>
      </w:r>
      <w:r w:rsidR="00BE0A56" w:rsidRPr="004676F5">
        <w:rPr>
          <w:spacing w:val="-2"/>
          <w:lang w:val="de-DE"/>
        </w:rPr>
        <w:t>Art. </w:t>
      </w:r>
      <w:r w:rsidR="000D3610" w:rsidRPr="004676F5">
        <w:rPr>
          <w:spacing w:val="-2"/>
          <w:lang w:val="de-DE"/>
        </w:rPr>
        <w:t xml:space="preserve">XVII.25/2 bis XVII.25/5: </w:t>
      </w:r>
      <w:r w:rsidR="000D3610" w:rsidRPr="004676F5">
        <w:rPr>
          <w:i/>
          <w:spacing w:val="-2"/>
          <w:lang w:val="de-DE"/>
        </w:rPr>
        <w:t>Belgisches Staatsblatt</w:t>
      </w:r>
      <w:r w:rsidR="000D3610" w:rsidRPr="004676F5">
        <w:rPr>
          <w:spacing w:val="-2"/>
          <w:lang w:val="de-DE"/>
        </w:rPr>
        <w:t xml:space="preserve"> vom 11. Oktober 2017,</w:t>
      </w:r>
    </w:p>
    <w:p w14:paraId="2E638FD0" w14:textId="02581EE1" w:rsidR="008452F1" w:rsidRPr="004676F5" w:rsidRDefault="005B7A5C" w:rsidP="008452F1">
      <w:pPr>
        <w:jc w:val="both"/>
        <w:rPr>
          <w:spacing w:val="-2"/>
          <w:lang w:val="de-DE"/>
        </w:rPr>
      </w:pPr>
      <w:r w:rsidRPr="004676F5">
        <w:rPr>
          <w:spacing w:val="-2"/>
          <w:lang w:val="de-DE"/>
        </w:rPr>
        <w:t>- </w:t>
      </w:r>
      <w:r w:rsidR="00BE0A56" w:rsidRPr="004676F5">
        <w:rPr>
          <w:spacing w:val="-2"/>
          <w:lang w:val="de-DE"/>
        </w:rPr>
        <w:t>Art. </w:t>
      </w:r>
      <w:r w:rsidR="008452F1" w:rsidRPr="004676F5">
        <w:rPr>
          <w:spacing w:val="-2"/>
          <w:lang w:val="de-DE"/>
        </w:rPr>
        <w:t xml:space="preserve">XVII.26 bis XVII.29: </w:t>
      </w:r>
      <w:r w:rsidR="008452F1" w:rsidRPr="004676F5">
        <w:rPr>
          <w:i/>
          <w:spacing w:val="-2"/>
          <w:lang w:val="de-DE"/>
        </w:rPr>
        <w:t>Belgisches Staatsblatt</w:t>
      </w:r>
      <w:r w:rsidR="008452F1" w:rsidRPr="004676F5">
        <w:rPr>
          <w:spacing w:val="-2"/>
          <w:lang w:val="de-DE"/>
        </w:rPr>
        <w:t xml:space="preserve"> vom 2. März 2015,</w:t>
      </w:r>
    </w:p>
    <w:p w14:paraId="3C90FBC6" w14:textId="275D0ED2" w:rsidR="008452F1" w:rsidRPr="004676F5" w:rsidRDefault="005B7A5C" w:rsidP="008452F1">
      <w:pPr>
        <w:jc w:val="both"/>
        <w:rPr>
          <w:spacing w:val="-2"/>
          <w:lang w:val="de-DE"/>
        </w:rPr>
      </w:pPr>
      <w:r w:rsidRPr="004676F5">
        <w:rPr>
          <w:spacing w:val="-2"/>
          <w:lang w:val="de-DE"/>
        </w:rPr>
        <w:t>- </w:t>
      </w:r>
      <w:r w:rsidR="00BE0A56" w:rsidRPr="004676F5">
        <w:rPr>
          <w:spacing w:val="-2"/>
          <w:lang w:val="de-DE"/>
        </w:rPr>
        <w:t>Art. </w:t>
      </w:r>
      <w:r w:rsidR="008452F1" w:rsidRPr="004676F5">
        <w:rPr>
          <w:spacing w:val="-2"/>
          <w:lang w:val="de-DE"/>
        </w:rPr>
        <w:t xml:space="preserve">XVII.29/1: </w:t>
      </w:r>
      <w:r w:rsidR="008452F1" w:rsidRPr="004676F5">
        <w:rPr>
          <w:i/>
          <w:spacing w:val="-2"/>
          <w:lang w:val="de-DE"/>
        </w:rPr>
        <w:t>Belgisches Staatsblatt</w:t>
      </w:r>
      <w:r w:rsidR="008452F1" w:rsidRPr="004676F5">
        <w:rPr>
          <w:spacing w:val="-2"/>
          <w:lang w:val="de-DE"/>
        </w:rPr>
        <w:t xml:space="preserve"> vom 11. Oktober 2017,</w:t>
      </w:r>
    </w:p>
    <w:p w14:paraId="2117B346" w14:textId="16876BB2" w:rsidR="008452F1" w:rsidRPr="004676F5" w:rsidRDefault="005B7A5C" w:rsidP="008452F1">
      <w:pPr>
        <w:jc w:val="both"/>
        <w:rPr>
          <w:spacing w:val="-2"/>
          <w:lang w:val="de-DE"/>
        </w:rPr>
      </w:pPr>
      <w:r w:rsidRPr="004676F5">
        <w:rPr>
          <w:spacing w:val="-2"/>
          <w:lang w:val="de-DE"/>
        </w:rPr>
        <w:t>- </w:t>
      </w:r>
      <w:r w:rsidR="00BE0A56" w:rsidRPr="004676F5">
        <w:rPr>
          <w:spacing w:val="-2"/>
          <w:lang w:val="de-DE"/>
        </w:rPr>
        <w:t>Art. </w:t>
      </w:r>
      <w:r w:rsidR="008452F1" w:rsidRPr="004676F5">
        <w:rPr>
          <w:spacing w:val="-2"/>
          <w:lang w:val="de-DE"/>
        </w:rPr>
        <w:t xml:space="preserve">XVII.30 bis XVII.34: </w:t>
      </w:r>
      <w:r w:rsidR="008452F1" w:rsidRPr="004676F5">
        <w:rPr>
          <w:i/>
          <w:spacing w:val="-2"/>
          <w:lang w:val="de-DE"/>
        </w:rPr>
        <w:t>Belgisches Staatsblatt</w:t>
      </w:r>
      <w:r w:rsidR="008452F1" w:rsidRPr="004676F5">
        <w:rPr>
          <w:spacing w:val="-2"/>
          <w:lang w:val="de-DE"/>
        </w:rPr>
        <w:t xml:space="preserve"> vom 2. März 2015,</w:t>
      </w:r>
    </w:p>
    <w:p w14:paraId="25453DD4" w14:textId="5211614E" w:rsidR="00B529A0" w:rsidRPr="004676F5" w:rsidRDefault="005B7A5C" w:rsidP="000C0E31">
      <w:pPr>
        <w:jc w:val="both"/>
        <w:rPr>
          <w:lang w:val="de-DE"/>
        </w:rPr>
      </w:pPr>
      <w:r w:rsidRPr="004676F5">
        <w:rPr>
          <w:lang w:val="de-DE"/>
        </w:rPr>
        <w:t>- </w:t>
      </w:r>
      <w:r w:rsidR="00BE0A56" w:rsidRPr="004676F5">
        <w:rPr>
          <w:lang w:val="de-DE"/>
        </w:rPr>
        <w:t>Art. </w:t>
      </w:r>
      <w:r w:rsidR="00B529A0" w:rsidRPr="004676F5">
        <w:rPr>
          <w:lang w:val="de-DE"/>
        </w:rPr>
        <w:t xml:space="preserve">XVII.35: </w:t>
      </w:r>
      <w:r w:rsidR="00B529A0" w:rsidRPr="004676F5">
        <w:rPr>
          <w:i/>
          <w:lang w:val="de-DE"/>
        </w:rPr>
        <w:t>Belgisches Staatsblatt</w:t>
      </w:r>
      <w:r w:rsidR="003D7A2C" w:rsidRPr="004676F5">
        <w:rPr>
          <w:lang w:val="de-DE"/>
        </w:rPr>
        <w:t xml:space="preserve"> vom 26</w:t>
      </w:r>
      <w:r w:rsidR="00B529A0" w:rsidRPr="004676F5">
        <w:rPr>
          <w:lang w:val="de-DE"/>
        </w:rPr>
        <w:t>. Mai 2015,</w:t>
      </w:r>
    </w:p>
    <w:p w14:paraId="6C61A6BC" w14:textId="3EACCDA0" w:rsidR="00ED686C" w:rsidRPr="004676F5" w:rsidRDefault="005B7A5C" w:rsidP="000C0E31">
      <w:pPr>
        <w:jc w:val="both"/>
        <w:rPr>
          <w:lang w:val="de-DE"/>
        </w:rPr>
      </w:pPr>
      <w:r w:rsidRPr="004676F5">
        <w:rPr>
          <w:lang w:val="de-DE"/>
        </w:rPr>
        <w:t>- </w:t>
      </w:r>
      <w:r w:rsidR="00BE0A56" w:rsidRPr="004676F5">
        <w:rPr>
          <w:lang w:val="de-DE"/>
        </w:rPr>
        <w:t>Art. </w:t>
      </w:r>
      <w:r w:rsidR="00ED686C" w:rsidRPr="004676F5">
        <w:rPr>
          <w:lang w:val="de-DE"/>
        </w:rPr>
        <w:t xml:space="preserve">XVII.36 bis </w:t>
      </w:r>
      <w:r w:rsidR="00337EDF" w:rsidRPr="004676F5">
        <w:rPr>
          <w:lang w:val="de-DE"/>
        </w:rPr>
        <w:t>XVII.69</w:t>
      </w:r>
      <w:r w:rsidR="00ED686C" w:rsidRPr="004676F5">
        <w:rPr>
          <w:lang w:val="de-DE"/>
        </w:rPr>
        <w:t xml:space="preserve">: </w:t>
      </w:r>
      <w:r w:rsidR="00ED686C" w:rsidRPr="004676F5">
        <w:rPr>
          <w:i/>
          <w:lang w:val="de-DE"/>
        </w:rPr>
        <w:t>Belgisches Staatsblatt</w:t>
      </w:r>
      <w:r w:rsidR="00ED686C" w:rsidRPr="004676F5">
        <w:rPr>
          <w:lang w:val="de-DE"/>
        </w:rPr>
        <w:t xml:space="preserve"> vom 25. Januar 2016,</w:t>
      </w:r>
    </w:p>
    <w:p w14:paraId="79466764" w14:textId="2C8E1E86" w:rsidR="00E46FFB" w:rsidRPr="004676F5" w:rsidRDefault="005B7A5C" w:rsidP="000C0E31">
      <w:pPr>
        <w:jc w:val="both"/>
        <w:rPr>
          <w:lang w:val="de-DE"/>
        </w:rPr>
      </w:pPr>
      <w:r w:rsidRPr="004676F5">
        <w:rPr>
          <w:lang w:val="de-DE"/>
        </w:rPr>
        <w:t>- </w:t>
      </w:r>
      <w:r w:rsidR="00BE0A56" w:rsidRPr="004676F5">
        <w:rPr>
          <w:lang w:val="de-DE"/>
        </w:rPr>
        <w:t>Art. </w:t>
      </w:r>
      <w:r w:rsidR="00E46FFB" w:rsidRPr="004676F5">
        <w:rPr>
          <w:lang w:val="de-DE"/>
        </w:rPr>
        <w:t xml:space="preserve">XVII.70 bis XVII.91: </w:t>
      </w:r>
      <w:r w:rsidR="00E46FFB" w:rsidRPr="004676F5">
        <w:rPr>
          <w:i/>
          <w:lang w:val="de-DE"/>
        </w:rPr>
        <w:t>Belgisches Staatsblatt</w:t>
      </w:r>
      <w:r w:rsidR="00E46FFB" w:rsidRPr="004676F5">
        <w:rPr>
          <w:lang w:val="de-DE"/>
        </w:rPr>
        <w:t xml:space="preserve"> vom 20. Juni 2019,</w:t>
      </w:r>
    </w:p>
    <w:p w14:paraId="1CF95327" w14:textId="1F277208" w:rsidR="008E7024" w:rsidRPr="004676F5" w:rsidRDefault="005B7A5C" w:rsidP="00096112">
      <w:pPr>
        <w:jc w:val="both"/>
        <w:rPr>
          <w:lang w:val="de-DE"/>
        </w:rPr>
      </w:pPr>
      <w:r w:rsidRPr="004676F5">
        <w:rPr>
          <w:lang w:val="de-DE"/>
        </w:rPr>
        <w:t>- </w:t>
      </w:r>
      <w:r w:rsidR="00BE0A56" w:rsidRPr="004676F5">
        <w:rPr>
          <w:lang w:val="de-DE"/>
        </w:rPr>
        <w:t>Art. </w:t>
      </w:r>
      <w:r w:rsidR="007E4366" w:rsidRPr="004676F5">
        <w:rPr>
          <w:lang w:val="de-DE"/>
        </w:rPr>
        <w:t xml:space="preserve">XVIII.1 bis XVIII.4: </w:t>
      </w:r>
      <w:r w:rsidR="007E4366" w:rsidRPr="004676F5">
        <w:rPr>
          <w:i/>
          <w:lang w:val="de-DE"/>
        </w:rPr>
        <w:t>Belgisches Staatsblatt</w:t>
      </w:r>
      <w:r w:rsidR="007E4366" w:rsidRPr="004676F5">
        <w:rPr>
          <w:lang w:val="de-DE"/>
        </w:rPr>
        <w:t xml:space="preserve"> vom 11. Mai 2015</w:t>
      </w:r>
      <w:r w:rsidR="008E7024" w:rsidRPr="004676F5">
        <w:rPr>
          <w:lang w:val="de-DE"/>
        </w:rPr>
        <w:t>,</w:t>
      </w:r>
    </w:p>
    <w:p w14:paraId="23F7C155" w14:textId="23C1C204" w:rsidR="005256FF" w:rsidRPr="004676F5" w:rsidRDefault="005B7A5C" w:rsidP="00096112">
      <w:pPr>
        <w:jc w:val="both"/>
        <w:rPr>
          <w:i/>
          <w:lang w:val="de-DE"/>
        </w:rPr>
      </w:pPr>
      <w:r w:rsidRPr="004676F5">
        <w:rPr>
          <w:lang w:val="de-DE"/>
        </w:rPr>
        <w:t>- </w:t>
      </w:r>
      <w:r w:rsidR="00BE0A56" w:rsidRPr="004676F5">
        <w:rPr>
          <w:lang w:val="de-DE"/>
        </w:rPr>
        <w:t>Art. </w:t>
      </w:r>
      <w:r w:rsidR="008E7024" w:rsidRPr="004676F5">
        <w:rPr>
          <w:lang w:val="de-DE"/>
        </w:rPr>
        <w:t xml:space="preserve">XX.1 bis XX.243: </w:t>
      </w:r>
      <w:r w:rsidR="008E7024" w:rsidRPr="004676F5">
        <w:rPr>
          <w:i/>
          <w:lang w:val="de-DE"/>
        </w:rPr>
        <w:t>Belgisches Staatsblatt</w:t>
      </w:r>
      <w:r w:rsidR="008E7024" w:rsidRPr="004676F5">
        <w:rPr>
          <w:lang w:val="de-DE"/>
        </w:rPr>
        <w:t xml:space="preserve"> vom 17. September 2018</w:t>
      </w:r>
      <w:r w:rsidR="005256FF" w:rsidRPr="004676F5">
        <w:rPr>
          <w:lang w:val="de-DE"/>
        </w:rPr>
        <w:t>)</w:t>
      </w:r>
    </w:p>
    <w:p w14:paraId="72C09C43" w14:textId="77777777" w:rsidR="00E33F9C" w:rsidRPr="004676F5" w:rsidRDefault="00E33F9C" w:rsidP="00337EDF">
      <w:pPr>
        <w:jc w:val="center"/>
        <w:rPr>
          <w:lang w:val="de-DE"/>
        </w:rPr>
      </w:pPr>
    </w:p>
    <w:p w14:paraId="6237B3FE" w14:textId="77777777" w:rsidR="00E33F9C" w:rsidRPr="004676F5" w:rsidRDefault="00E33F9C" w:rsidP="00337EDF">
      <w:pPr>
        <w:jc w:val="center"/>
        <w:rPr>
          <w:lang w:val="de-DE"/>
        </w:rPr>
      </w:pPr>
    </w:p>
    <w:p w14:paraId="0E0108A5" w14:textId="77777777" w:rsidR="000D3610" w:rsidRPr="004676F5" w:rsidRDefault="000D3610">
      <w:pPr>
        <w:rPr>
          <w:lang w:val="de-DE"/>
        </w:rPr>
      </w:pPr>
      <w:r w:rsidRPr="004676F5">
        <w:rPr>
          <w:lang w:val="de-DE"/>
        </w:rPr>
        <w:br w:type="page"/>
      </w:r>
    </w:p>
    <w:p w14:paraId="58B54E99" w14:textId="77777777" w:rsidR="000C0E31" w:rsidRPr="004676F5" w:rsidRDefault="000C0E31" w:rsidP="00337EDF">
      <w:pPr>
        <w:jc w:val="center"/>
        <w:rPr>
          <w:lang w:val="de-DE"/>
        </w:rPr>
      </w:pPr>
      <w:r w:rsidRPr="004676F5">
        <w:rPr>
          <w:lang w:val="de-DE"/>
        </w:rPr>
        <w:lastRenderedPageBreak/>
        <w:t>Konsolidierung</w:t>
      </w:r>
    </w:p>
    <w:p w14:paraId="3E952750" w14:textId="77777777" w:rsidR="000C0E31" w:rsidRPr="004676F5" w:rsidRDefault="000C0E31" w:rsidP="000C0E31">
      <w:pPr>
        <w:autoSpaceDE w:val="0"/>
        <w:autoSpaceDN w:val="0"/>
        <w:adjustRightInd w:val="0"/>
        <w:rPr>
          <w:lang w:val="de-DE"/>
        </w:rPr>
      </w:pPr>
    </w:p>
    <w:p w14:paraId="7B11F8D5" w14:textId="77777777" w:rsidR="000C0E31" w:rsidRPr="004676F5" w:rsidRDefault="000C0E31" w:rsidP="000C0E31">
      <w:pPr>
        <w:autoSpaceDE w:val="0"/>
        <w:autoSpaceDN w:val="0"/>
        <w:adjustRightInd w:val="0"/>
        <w:rPr>
          <w:lang w:val="de-DE"/>
        </w:rPr>
      </w:pPr>
    </w:p>
    <w:p w14:paraId="7B83FC3C" w14:textId="77777777" w:rsidR="000C0E31" w:rsidRPr="004676F5" w:rsidRDefault="000C0E31" w:rsidP="000C0E31">
      <w:pPr>
        <w:autoSpaceDE w:val="0"/>
        <w:autoSpaceDN w:val="0"/>
        <w:adjustRightInd w:val="0"/>
        <w:jc w:val="both"/>
        <w:rPr>
          <w:b/>
          <w:bCs/>
          <w:lang w:val="de-DE"/>
        </w:rPr>
      </w:pPr>
      <w:r w:rsidRPr="004676F5">
        <w:rPr>
          <w:i/>
          <w:iCs/>
          <w:lang w:val="de-DE"/>
        </w:rPr>
        <w:t>Die vorliegende Konsolidierung enthält die Abänderungen, die vorgenommen worden sind durch:</w:t>
      </w:r>
    </w:p>
    <w:p w14:paraId="1170898E" w14:textId="77777777" w:rsidR="000C0E31" w:rsidRPr="004676F5" w:rsidRDefault="000C0E31" w:rsidP="000C0E31">
      <w:pPr>
        <w:autoSpaceDE w:val="0"/>
        <w:autoSpaceDN w:val="0"/>
        <w:adjustRightInd w:val="0"/>
        <w:jc w:val="both"/>
        <w:rPr>
          <w:lang w:val="de-DE"/>
        </w:rPr>
      </w:pPr>
    </w:p>
    <w:p w14:paraId="2559B486" w14:textId="64F160D7" w:rsidR="00996FA8" w:rsidRPr="004676F5" w:rsidRDefault="005B7A5C" w:rsidP="000C0E31">
      <w:pPr>
        <w:autoSpaceDE w:val="0"/>
        <w:autoSpaceDN w:val="0"/>
        <w:adjustRightInd w:val="0"/>
        <w:jc w:val="both"/>
        <w:rPr>
          <w:lang w:val="de-DE"/>
        </w:rPr>
      </w:pPr>
      <w:r w:rsidRPr="004676F5">
        <w:rPr>
          <w:lang w:val="de-DE"/>
        </w:rPr>
        <w:t>- </w:t>
      </w:r>
      <w:r w:rsidR="000C0E31" w:rsidRPr="004676F5">
        <w:rPr>
          <w:lang w:val="de-DE"/>
        </w:rPr>
        <w:t xml:space="preserve">das Gesetz vom 7. November 2013 zur Einfügung </w:t>
      </w:r>
      <w:r w:rsidR="00493B1B" w:rsidRPr="004676F5">
        <w:rPr>
          <w:lang w:val="de-DE"/>
        </w:rPr>
        <w:t>von Titel </w:t>
      </w:r>
      <w:r w:rsidR="000C0E31" w:rsidRPr="004676F5">
        <w:rPr>
          <w:lang w:val="de-DE"/>
        </w:rPr>
        <w:t>I "Allgemein</w:t>
      </w:r>
      <w:r w:rsidR="00493B1B" w:rsidRPr="004676F5">
        <w:rPr>
          <w:lang w:val="de-DE"/>
        </w:rPr>
        <w:t>e Begriffsbestimmungen" in Buch </w:t>
      </w:r>
      <w:r w:rsidR="000C0E31" w:rsidRPr="004676F5">
        <w:rPr>
          <w:lang w:val="de-DE"/>
        </w:rPr>
        <w:t>I "Begriffsbestimmungen" des Wirtschaftsgesetzbuches</w:t>
      </w:r>
      <w:r w:rsidR="000C0E31" w:rsidRPr="004676F5">
        <w:rPr>
          <w:iCs/>
          <w:lang w:val="de-DE"/>
        </w:rPr>
        <w:t xml:space="preserve"> (</w:t>
      </w:r>
      <w:r w:rsidR="000C0E31" w:rsidRPr="004676F5">
        <w:rPr>
          <w:i/>
          <w:iCs/>
          <w:lang w:val="de-DE"/>
        </w:rPr>
        <w:t xml:space="preserve">Belgisches Staatsblatt </w:t>
      </w:r>
      <w:r w:rsidR="000C0E31" w:rsidRPr="004676F5">
        <w:rPr>
          <w:iCs/>
          <w:lang w:val="de-DE"/>
        </w:rPr>
        <w:t>vom 3. Februar 2014)</w:t>
      </w:r>
      <w:r w:rsidR="00996FA8" w:rsidRPr="004676F5">
        <w:rPr>
          <w:lang w:val="de-DE"/>
        </w:rPr>
        <w:t>,</w:t>
      </w:r>
    </w:p>
    <w:p w14:paraId="7D6F4B66" w14:textId="77777777" w:rsidR="00991836" w:rsidRPr="004676F5" w:rsidRDefault="00991836" w:rsidP="000C0E31">
      <w:pPr>
        <w:autoSpaceDE w:val="0"/>
        <w:autoSpaceDN w:val="0"/>
        <w:adjustRightInd w:val="0"/>
        <w:jc w:val="both"/>
        <w:rPr>
          <w:lang w:val="de-DE"/>
        </w:rPr>
      </w:pPr>
    </w:p>
    <w:p w14:paraId="31AC7647" w14:textId="72600FC4" w:rsidR="00991836" w:rsidRPr="004676F5" w:rsidRDefault="005B7A5C" w:rsidP="00991836">
      <w:pPr>
        <w:autoSpaceDE w:val="0"/>
        <w:autoSpaceDN w:val="0"/>
        <w:adjustRightInd w:val="0"/>
        <w:jc w:val="both"/>
        <w:rPr>
          <w:lang w:val="de-DE"/>
        </w:rPr>
      </w:pPr>
      <w:r w:rsidRPr="004676F5">
        <w:rPr>
          <w:lang w:val="de-DE"/>
        </w:rPr>
        <w:t>- </w:t>
      </w:r>
      <w:r w:rsidR="00991836" w:rsidRPr="004676F5">
        <w:rPr>
          <w:lang w:val="de-DE"/>
        </w:rPr>
        <w:t>das Gesetz vom 3. April 2013 zur Einfügung von Buch IV "Schutz des Wettbewerbs" und von Buch V "Wettbewerb und Preisentwicklungen" in das Wirtschaftsgesetzbuch und zur Einfügung der Buch IV und Buch V eigenen Begriffsbestimmungen und der Buch IV und Buch V eigenen Rechtsdurchsetzungsbestimmungen in Buch I des Wirtschaftsgesetzbuches</w:t>
      </w:r>
      <w:r w:rsidR="0082197D" w:rsidRPr="004676F5">
        <w:rPr>
          <w:lang w:val="de-DE"/>
        </w:rPr>
        <w:t xml:space="preserve"> (</w:t>
      </w:r>
      <w:r w:rsidR="0082197D" w:rsidRPr="004676F5">
        <w:rPr>
          <w:i/>
          <w:lang w:val="de-DE"/>
        </w:rPr>
        <w:t xml:space="preserve">Belgisches Staatsblatt </w:t>
      </w:r>
      <w:r w:rsidR="0082197D" w:rsidRPr="004676F5">
        <w:rPr>
          <w:lang w:val="de-DE"/>
        </w:rPr>
        <w:t>vom 1</w:t>
      </w:r>
      <w:r w:rsidR="008A74E1" w:rsidRPr="004676F5">
        <w:rPr>
          <w:lang w:val="de-DE"/>
        </w:rPr>
        <w:t>7</w:t>
      </w:r>
      <w:r w:rsidR="0082197D" w:rsidRPr="004676F5">
        <w:rPr>
          <w:lang w:val="de-DE"/>
        </w:rPr>
        <w:t>. Februar 2014</w:t>
      </w:r>
      <w:r w:rsidR="00020EA0" w:rsidRPr="004676F5">
        <w:rPr>
          <w:lang w:val="de-DE"/>
        </w:rPr>
        <w:t xml:space="preserve">, </w:t>
      </w:r>
      <w:r w:rsidR="00020EA0" w:rsidRPr="004676F5">
        <w:rPr>
          <w:i/>
          <w:lang w:val="de-DE"/>
        </w:rPr>
        <w:t>Err.</w:t>
      </w:r>
      <w:r w:rsidR="00020EA0" w:rsidRPr="004676F5">
        <w:rPr>
          <w:lang w:val="de-DE"/>
        </w:rPr>
        <w:t xml:space="preserve"> vom 12. März 2015</w:t>
      </w:r>
      <w:r w:rsidR="0082197D" w:rsidRPr="004676F5">
        <w:rPr>
          <w:lang w:val="de-DE"/>
        </w:rPr>
        <w:t>)</w:t>
      </w:r>
      <w:r w:rsidR="002650D6" w:rsidRPr="004676F5">
        <w:rPr>
          <w:i/>
          <w:lang w:val="de-DE"/>
        </w:rPr>
        <w:t xml:space="preserve"> (I)</w:t>
      </w:r>
      <w:r w:rsidR="0082197D" w:rsidRPr="004676F5">
        <w:rPr>
          <w:lang w:val="de-DE"/>
        </w:rPr>
        <w:t>,</w:t>
      </w:r>
    </w:p>
    <w:p w14:paraId="40423CC3" w14:textId="77777777" w:rsidR="00996FA8" w:rsidRPr="004676F5" w:rsidRDefault="00996FA8" w:rsidP="000C0E31">
      <w:pPr>
        <w:autoSpaceDE w:val="0"/>
        <w:autoSpaceDN w:val="0"/>
        <w:adjustRightInd w:val="0"/>
        <w:jc w:val="both"/>
        <w:rPr>
          <w:lang w:val="de-DE"/>
        </w:rPr>
      </w:pPr>
    </w:p>
    <w:p w14:paraId="4821DCCE" w14:textId="63669B48" w:rsidR="00996FA8" w:rsidRPr="004676F5" w:rsidRDefault="005B7A5C" w:rsidP="000C0E31">
      <w:pPr>
        <w:autoSpaceDE w:val="0"/>
        <w:autoSpaceDN w:val="0"/>
        <w:adjustRightInd w:val="0"/>
        <w:jc w:val="both"/>
        <w:rPr>
          <w:lang w:val="de-DE"/>
        </w:rPr>
      </w:pPr>
      <w:r w:rsidRPr="004676F5">
        <w:rPr>
          <w:lang w:val="de-DE"/>
        </w:rPr>
        <w:t>- </w:t>
      </w:r>
      <w:r w:rsidR="00996FA8" w:rsidRPr="004676F5">
        <w:rPr>
          <w:lang w:val="de-DE"/>
        </w:rPr>
        <w:t>das Gesetz vom 3. April 2013 zur Einfügung der Bestimmungen zur Regelung von Angelegenheiten erwähnt in Artikel</w:t>
      </w:r>
      <w:r w:rsidRPr="004676F5">
        <w:rPr>
          <w:lang w:val="de-DE"/>
        </w:rPr>
        <w:t> </w:t>
      </w:r>
      <w:r w:rsidR="00996FA8" w:rsidRPr="004676F5">
        <w:rPr>
          <w:lang w:val="de-DE"/>
        </w:rPr>
        <w:t>77 der Verfassung in Buch</w:t>
      </w:r>
      <w:r w:rsidRPr="004676F5">
        <w:rPr>
          <w:lang w:val="de-DE"/>
        </w:rPr>
        <w:t> </w:t>
      </w:r>
      <w:r w:rsidR="00996FA8" w:rsidRPr="004676F5">
        <w:rPr>
          <w:lang w:val="de-DE"/>
        </w:rPr>
        <w:t>IV "Schutz des Wettbewerbs" und Buch</w:t>
      </w:r>
      <w:r w:rsidRPr="004676F5">
        <w:rPr>
          <w:lang w:val="de-DE"/>
        </w:rPr>
        <w:t> </w:t>
      </w:r>
      <w:r w:rsidR="00996FA8" w:rsidRPr="004676F5">
        <w:rPr>
          <w:lang w:val="de-DE"/>
        </w:rPr>
        <w:t>V "Wettbewerb und Preisentwicklungen" des Wirtschaftsgesetzbuches (</w:t>
      </w:r>
      <w:r w:rsidR="00996FA8" w:rsidRPr="004676F5">
        <w:rPr>
          <w:i/>
          <w:lang w:val="de-DE"/>
        </w:rPr>
        <w:t xml:space="preserve">Belgisches Staatsblatt </w:t>
      </w:r>
      <w:r w:rsidR="0009060C" w:rsidRPr="004676F5">
        <w:rPr>
          <w:lang w:val="de-DE"/>
        </w:rPr>
        <w:t>vom 18. Februar 2014)</w:t>
      </w:r>
      <w:r w:rsidR="002650D6" w:rsidRPr="004676F5">
        <w:rPr>
          <w:i/>
          <w:lang w:val="de-DE"/>
        </w:rPr>
        <w:t xml:space="preserve"> (II)</w:t>
      </w:r>
      <w:r w:rsidR="0009060C" w:rsidRPr="004676F5">
        <w:rPr>
          <w:lang w:val="de-DE"/>
        </w:rPr>
        <w:t>,</w:t>
      </w:r>
    </w:p>
    <w:p w14:paraId="5620AE1D" w14:textId="77777777" w:rsidR="0009060C" w:rsidRPr="004676F5" w:rsidRDefault="0009060C" w:rsidP="000C0E31">
      <w:pPr>
        <w:autoSpaceDE w:val="0"/>
        <w:autoSpaceDN w:val="0"/>
        <w:adjustRightInd w:val="0"/>
        <w:jc w:val="both"/>
        <w:rPr>
          <w:lang w:val="de-DE"/>
        </w:rPr>
      </w:pPr>
    </w:p>
    <w:p w14:paraId="3EC4823A" w14:textId="2FBEB2CC" w:rsidR="0009060C" w:rsidRPr="004676F5" w:rsidRDefault="005B7A5C" w:rsidP="000C0E31">
      <w:pPr>
        <w:autoSpaceDE w:val="0"/>
        <w:autoSpaceDN w:val="0"/>
        <w:adjustRightInd w:val="0"/>
        <w:jc w:val="both"/>
        <w:rPr>
          <w:lang w:val="de-DE"/>
        </w:rPr>
      </w:pPr>
      <w:r w:rsidRPr="004676F5">
        <w:rPr>
          <w:lang w:val="de-DE"/>
        </w:rPr>
        <w:t>- </w:t>
      </w:r>
      <w:r w:rsidR="0009060C" w:rsidRPr="004676F5">
        <w:rPr>
          <w:lang w:val="de-DE"/>
        </w:rPr>
        <w:t>das Gesetz vom 25. April 2013 zur Einfügung von Buch</w:t>
      </w:r>
      <w:r w:rsidRPr="004676F5">
        <w:rPr>
          <w:lang w:val="de-DE"/>
        </w:rPr>
        <w:t> </w:t>
      </w:r>
      <w:r w:rsidR="0009060C" w:rsidRPr="004676F5">
        <w:rPr>
          <w:lang w:val="de-DE"/>
        </w:rPr>
        <w:t>IX "Sicherheit von Produkten und Diensten" in das Wirtschaftsgesetzbuch und zur Einfügung der Buch</w:t>
      </w:r>
      <w:r w:rsidRPr="004676F5">
        <w:rPr>
          <w:lang w:val="de-DE"/>
        </w:rPr>
        <w:t> </w:t>
      </w:r>
      <w:r w:rsidR="0009060C" w:rsidRPr="004676F5">
        <w:rPr>
          <w:lang w:val="de-DE"/>
        </w:rPr>
        <w:t>IX eigenen Begriffsbestimmungen in Buch</w:t>
      </w:r>
      <w:r w:rsidRPr="004676F5">
        <w:rPr>
          <w:lang w:val="de-DE"/>
        </w:rPr>
        <w:t> </w:t>
      </w:r>
      <w:r w:rsidR="0009060C" w:rsidRPr="004676F5">
        <w:rPr>
          <w:lang w:val="de-DE"/>
        </w:rPr>
        <w:t>I des Wirtschaftsgesetzbuches (</w:t>
      </w:r>
      <w:r w:rsidR="0009060C" w:rsidRPr="004676F5">
        <w:rPr>
          <w:i/>
          <w:lang w:val="de-DE"/>
        </w:rPr>
        <w:t>Belgisches Staatsblatt</w:t>
      </w:r>
      <w:r w:rsidR="003A35D2" w:rsidRPr="004676F5">
        <w:rPr>
          <w:lang w:val="de-DE"/>
        </w:rPr>
        <w:t xml:space="preserve"> vom 1. April 2014),</w:t>
      </w:r>
    </w:p>
    <w:p w14:paraId="13C4AFEF" w14:textId="77777777" w:rsidR="005267A3" w:rsidRPr="004676F5" w:rsidRDefault="005267A3" w:rsidP="000C0E31">
      <w:pPr>
        <w:autoSpaceDE w:val="0"/>
        <w:autoSpaceDN w:val="0"/>
        <w:adjustRightInd w:val="0"/>
        <w:jc w:val="both"/>
        <w:rPr>
          <w:lang w:val="de-DE"/>
        </w:rPr>
      </w:pPr>
    </w:p>
    <w:p w14:paraId="7B9E1486" w14:textId="498CB5A4" w:rsidR="00393A9B" w:rsidRPr="004676F5" w:rsidRDefault="005B7A5C" w:rsidP="000C0E31">
      <w:pPr>
        <w:autoSpaceDE w:val="0"/>
        <w:autoSpaceDN w:val="0"/>
        <w:adjustRightInd w:val="0"/>
        <w:jc w:val="both"/>
        <w:rPr>
          <w:lang w:val="de-DE"/>
        </w:rPr>
      </w:pPr>
      <w:r w:rsidRPr="004676F5">
        <w:rPr>
          <w:lang w:val="de-DE"/>
        </w:rPr>
        <w:t>- </w:t>
      </w:r>
      <w:r w:rsidR="00393A9B" w:rsidRPr="004676F5">
        <w:rPr>
          <w:lang w:val="de-DE"/>
        </w:rPr>
        <w:t xml:space="preserve">das Gesetz vom 17. Juli 2013 </w:t>
      </w:r>
      <w:r w:rsidR="00393A9B" w:rsidRPr="004676F5">
        <w:rPr>
          <w:color w:val="000000"/>
          <w:lang w:val="de-DE"/>
        </w:rPr>
        <w:t>zur Einfügung von Buch</w:t>
      </w:r>
      <w:r w:rsidRPr="004676F5">
        <w:rPr>
          <w:color w:val="000000"/>
          <w:lang w:val="de-DE"/>
        </w:rPr>
        <w:t> </w:t>
      </w:r>
      <w:r w:rsidR="00393A9B" w:rsidRPr="004676F5">
        <w:rPr>
          <w:color w:val="000000"/>
          <w:lang w:val="de-DE"/>
        </w:rPr>
        <w:t>III "Niederlassungs</w:t>
      </w:r>
      <w:r w:rsidRPr="004676F5">
        <w:rPr>
          <w:color w:val="000000"/>
          <w:lang w:val="de-DE"/>
        </w:rPr>
        <w:t>- </w:t>
      </w:r>
      <w:r w:rsidR="00393A9B" w:rsidRPr="004676F5">
        <w:rPr>
          <w:color w:val="000000"/>
          <w:lang w:val="de-DE"/>
        </w:rPr>
        <w:t>und Dienstleistungsfreiheit und allgemeine Verpflichtungen der Unternehmen" in das Wirtschaftsgesetzbuch und zur Einfügung der Buch</w:t>
      </w:r>
      <w:r w:rsidRPr="004676F5">
        <w:rPr>
          <w:color w:val="000000"/>
          <w:lang w:val="de-DE"/>
        </w:rPr>
        <w:t> </w:t>
      </w:r>
      <w:r w:rsidR="00393A9B" w:rsidRPr="004676F5">
        <w:rPr>
          <w:color w:val="000000"/>
          <w:lang w:val="de-DE"/>
        </w:rPr>
        <w:t>III eigenen Begriffsbestimmungen und der Buch</w:t>
      </w:r>
      <w:r w:rsidRPr="004676F5">
        <w:rPr>
          <w:color w:val="000000"/>
          <w:lang w:val="de-DE"/>
        </w:rPr>
        <w:t> </w:t>
      </w:r>
      <w:r w:rsidR="00393A9B" w:rsidRPr="004676F5">
        <w:rPr>
          <w:color w:val="000000"/>
          <w:lang w:val="de-DE"/>
        </w:rPr>
        <w:t>III eigenen Rechtsdurchsetzungsbestimmungen in Buch</w:t>
      </w:r>
      <w:r w:rsidRPr="004676F5">
        <w:rPr>
          <w:color w:val="000000"/>
          <w:lang w:val="de-DE"/>
        </w:rPr>
        <w:t> </w:t>
      </w:r>
      <w:r w:rsidR="00393A9B" w:rsidRPr="004676F5">
        <w:rPr>
          <w:color w:val="000000"/>
          <w:lang w:val="de-DE"/>
        </w:rPr>
        <w:t>I und Buch</w:t>
      </w:r>
      <w:r w:rsidRPr="004676F5">
        <w:rPr>
          <w:color w:val="000000"/>
          <w:lang w:val="de-DE"/>
        </w:rPr>
        <w:t> </w:t>
      </w:r>
      <w:r w:rsidR="00393A9B" w:rsidRPr="004676F5">
        <w:rPr>
          <w:color w:val="000000"/>
          <w:lang w:val="de-DE"/>
        </w:rPr>
        <w:t>XV des Wirtschaftsgesetzbuches (</w:t>
      </w:r>
      <w:r w:rsidR="00393A9B" w:rsidRPr="004676F5">
        <w:rPr>
          <w:i/>
          <w:lang w:val="de-DE"/>
        </w:rPr>
        <w:t>Belgisches Staatsblatt</w:t>
      </w:r>
      <w:r w:rsidR="00393A9B" w:rsidRPr="004676F5">
        <w:rPr>
          <w:lang w:val="de-DE"/>
        </w:rPr>
        <w:t xml:space="preserve"> vom 29. September 2014),</w:t>
      </w:r>
    </w:p>
    <w:p w14:paraId="7A865B6D" w14:textId="77777777" w:rsidR="00393A9B" w:rsidRPr="004676F5" w:rsidRDefault="00393A9B" w:rsidP="000C0E31">
      <w:pPr>
        <w:autoSpaceDE w:val="0"/>
        <w:autoSpaceDN w:val="0"/>
        <w:adjustRightInd w:val="0"/>
        <w:jc w:val="both"/>
        <w:rPr>
          <w:lang w:val="de-DE"/>
        </w:rPr>
      </w:pPr>
    </w:p>
    <w:p w14:paraId="0F6E6374" w14:textId="016B7A58" w:rsidR="005267A3" w:rsidRPr="004676F5" w:rsidRDefault="005B7A5C" w:rsidP="005267A3">
      <w:pPr>
        <w:jc w:val="both"/>
        <w:rPr>
          <w:lang w:val="de-DE"/>
        </w:rPr>
      </w:pPr>
      <w:r w:rsidRPr="004676F5">
        <w:rPr>
          <w:lang w:val="de-DE"/>
        </w:rPr>
        <w:t>- </w:t>
      </w:r>
      <w:r w:rsidR="005267A3" w:rsidRPr="004676F5">
        <w:rPr>
          <w:lang w:val="de-DE"/>
        </w:rPr>
        <w:t>das Gesetz vom 20. November 2013 zur Einfügung von Buch</w:t>
      </w:r>
      <w:r w:rsidRPr="004676F5">
        <w:rPr>
          <w:lang w:val="de-DE"/>
        </w:rPr>
        <w:t> </w:t>
      </w:r>
      <w:r w:rsidR="005267A3" w:rsidRPr="004676F5">
        <w:rPr>
          <w:lang w:val="de-DE"/>
        </w:rPr>
        <w:t>XV "Rechtsdurchsetzung" in das Wirtschaftsgesetzbuch (</w:t>
      </w:r>
      <w:r w:rsidR="005267A3" w:rsidRPr="004676F5">
        <w:rPr>
          <w:i/>
          <w:lang w:val="de-DE"/>
        </w:rPr>
        <w:t>Belgisches Staatsblatt</w:t>
      </w:r>
      <w:r w:rsidR="005267A3" w:rsidRPr="004676F5">
        <w:rPr>
          <w:lang w:val="de-DE"/>
        </w:rPr>
        <w:t xml:space="preserve"> vom 11. August 2014),</w:t>
      </w:r>
    </w:p>
    <w:p w14:paraId="18EA208D" w14:textId="77777777" w:rsidR="0045434D" w:rsidRPr="004676F5" w:rsidRDefault="0045434D" w:rsidP="005267A3">
      <w:pPr>
        <w:jc w:val="both"/>
        <w:rPr>
          <w:lang w:val="de-DE"/>
        </w:rPr>
      </w:pPr>
    </w:p>
    <w:p w14:paraId="68EF78AB" w14:textId="190EEADB" w:rsidR="0045434D" w:rsidRPr="004676F5" w:rsidRDefault="005B7A5C" w:rsidP="005267A3">
      <w:pPr>
        <w:jc w:val="both"/>
        <w:rPr>
          <w:lang w:val="de-DE"/>
        </w:rPr>
      </w:pPr>
      <w:r w:rsidRPr="004676F5">
        <w:rPr>
          <w:lang w:val="de-DE"/>
        </w:rPr>
        <w:t>- </w:t>
      </w:r>
      <w:r w:rsidR="0045434D" w:rsidRPr="004676F5">
        <w:rPr>
          <w:lang w:val="de-DE"/>
        </w:rPr>
        <w:t>das Gesetz vom 15. Dezember 2013 zur Einfügung von Buch</w:t>
      </w:r>
      <w:r w:rsidRPr="004676F5">
        <w:rPr>
          <w:lang w:val="de-DE"/>
        </w:rPr>
        <w:t> </w:t>
      </w:r>
      <w:r w:rsidR="0045434D" w:rsidRPr="004676F5">
        <w:rPr>
          <w:lang w:val="de-DE"/>
        </w:rPr>
        <w:t>XII "Recht der elektronischen Wirtschaft" in das Wirtschaftsgesetzbuch und zur Einfügung der Buch</w:t>
      </w:r>
      <w:r w:rsidRPr="004676F5">
        <w:rPr>
          <w:lang w:val="de-DE"/>
        </w:rPr>
        <w:t> </w:t>
      </w:r>
      <w:r w:rsidR="0045434D" w:rsidRPr="004676F5">
        <w:rPr>
          <w:lang w:val="de-DE"/>
        </w:rPr>
        <w:t>XII eigenen Begriffsbestimmungen und der Buch</w:t>
      </w:r>
      <w:r w:rsidRPr="004676F5">
        <w:rPr>
          <w:lang w:val="de-DE"/>
        </w:rPr>
        <w:t> </w:t>
      </w:r>
      <w:r w:rsidR="0045434D" w:rsidRPr="004676F5">
        <w:rPr>
          <w:lang w:val="de-DE"/>
        </w:rPr>
        <w:t>XII eigenen Rechtsdurchsetzungsbestim</w:t>
      </w:r>
      <w:r w:rsidRPr="004676F5">
        <w:rPr>
          <w:lang w:val="de-DE"/>
        </w:rPr>
        <w:t>m</w:t>
      </w:r>
      <w:r w:rsidR="0045434D" w:rsidRPr="004676F5">
        <w:rPr>
          <w:lang w:val="de-DE"/>
        </w:rPr>
        <w:t>ungen in die Bücher</w:t>
      </w:r>
      <w:r w:rsidRPr="004676F5">
        <w:rPr>
          <w:lang w:val="de-DE"/>
        </w:rPr>
        <w:t> </w:t>
      </w:r>
      <w:r w:rsidR="0045434D" w:rsidRPr="004676F5">
        <w:rPr>
          <w:lang w:val="de-DE"/>
        </w:rPr>
        <w:t>I und XV des Wirtschaftsgesetzbuches</w:t>
      </w:r>
      <w:r w:rsidR="00C832AA" w:rsidRPr="004676F5">
        <w:rPr>
          <w:lang w:val="de-DE"/>
        </w:rPr>
        <w:t xml:space="preserve"> (</w:t>
      </w:r>
      <w:r w:rsidR="00C832AA" w:rsidRPr="004676F5">
        <w:rPr>
          <w:i/>
          <w:lang w:val="de-DE"/>
        </w:rPr>
        <w:t>Belgisches Staatsblatt</w:t>
      </w:r>
      <w:r w:rsidR="00C832AA" w:rsidRPr="004676F5">
        <w:rPr>
          <w:lang w:val="de-DE"/>
        </w:rPr>
        <w:t xml:space="preserve"> vom 18. August 2014)</w:t>
      </w:r>
      <w:r w:rsidR="002650D6" w:rsidRPr="004676F5">
        <w:rPr>
          <w:lang w:val="de-DE"/>
        </w:rPr>
        <w:t> </w:t>
      </w:r>
      <w:r w:rsidR="002650D6" w:rsidRPr="004676F5">
        <w:rPr>
          <w:i/>
          <w:lang w:val="de-DE"/>
        </w:rPr>
        <w:t>(I)</w:t>
      </w:r>
      <w:r w:rsidR="00C832AA" w:rsidRPr="004676F5">
        <w:rPr>
          <w:lang w:val="de-DE"/>
        </w:rPr>
        <w:t>,</w:t>
      </w:r>
    </w:p>
    <w:p w14:paraId="45F521D8" w14:textId="77777777" w:rsidR="0064642F" w:rsidRPr="004676F5" w:rsidRDefault="0064642F" w:rsidP="005267A3">
      <w:pPr>
        <w:jc w:val="both"/>
        <w:rPr>
          <w:lang w:val="de-DE"/>
        </w:rPr>
      </w:pPr>
    </w:p>
    <w:p w14:paraId="6820409F" w14:textId="28BF5749" w:rsidR="0064642F" w:rsidRPr="004676F5" w:rsidRDefault="005B7A5C" w:rsidP="005267A3">
      <w:pPr>
        <w:jc w:val="both"/>
        <w:rPr>
          <w:lang w:val="de-DE"/>
        </w:rPr>
      </w:pPr>
      <w:r w:rsidRPr="004676F5">
        <w:rPr>
          <w:lang w:val="de-DE"/>
        </w:rPr>
        <w:t>- </w:t>
      </w:r>
      <w:r w:rsidR="0064642F" w:rsidRPr="004676F5">
        <w:rPr>
          <w:lang w:val="de-DE"/>
        </w:rPr>
        <w:t>das Gesetz vom 15. Dezember 2013 zur Einfügung von Buch</w:t>
      </w:r>
      <w:r w:rsidRPr="004676F5">
        <w:rPr>
          <w:lang w:val="de-DE"/>
        </w:rPr>
        <w:t> </w:t>
      </w:r>
      <w:r w:rsidR="0064642F" w:rsidRPr="004676F5">
        <w:rPr>
          <w:lang w:val="de-DE"/>
        </w:rPr>
        <w:t>XIII "Konzertierung" in das Wirtschaftsgesetzbuch (</w:t>
      </w:r>
      <w:r w:rsidR="0064642F" w:rsidRPr="004676F5">
        <w:rPr>
          <w:i/>
          <w:lang w:val="de-DE"/>
        </w:rPr>
        <w:t>Belgisches Staatsblatt</w:t>
      </w:r>
      <w:r w:rsidR="0064642F" w:rsidRPr="004676F5">
        <w:rPr>
          <w:lang w:val="de-DE"/>
        </w:rPr>
        <w:t xml:space="preserve"> vom 18. August 2014)</w:t>
      </w:r>
      <w:r w:rsidR="002650D6" w:rsidRPr="004676F5">
        <w:rPr>
          <w:i/>
          <w:lang w:val="de-DE"/>
        </w:rPr>
        <w:t xml:space="preserve"> (II)</w:t>
      </w:r>
      <w:r w:rsidR="0064642F" w:rsidRPr="004676F5">
        <w:rPr>
          <w:lang w:val="de-DE"/>
        </w:rPr>
        <w:t>,</w:t>
      </w:r>
    </w:p>
    <w:p w14:paraId="385BF5D8" w14:textId="77777777" w:rsidR="003A35D2" w:rsidRPr="004676F5" w:rsidRDefault="003A35D2" w:rsidP="000C0E31">
      <w:pPr>
        <w:autoSpaceDE w:val="0"/>
        <w:autoSpaceDN w:val="0"/>
        <w:adjustRightInd w:val="0"/>
        <w:jc w:val="both"/>
        <w:rPr>
          <w:lang w:val="de-DE"/>
        </w:rPr>
      </w:pPr>
    </w:p>
    <w:p w14:paraId="3AF33064" w14:textId="56ACE283" w:rsidR="005E1EB6" w:rsidRPr="004676F5" w:rsidRDefault="005B7A5C" w:rsidP="005E1EB6">
      <w:pPr>
        <w:jc w:val="both"/>
        <w:rPr>
          <w:lang w:val="de-DE"/>
        </w:rPr>
      </w:pPr>
      <w:r w:rsidRPr="004676F5">
        <w:rPr>
          <w:lang w:val="de-DE"/>
        </w:rPr>
        <w:t>- </w:t>
      </w:r>
      <w:r w:rsidR="005E1EB6" w:rsidRPr="004676F5">
        <w:rPr>
          <w:lang w:val="de-DE"/>
        </w:rPr>
        <w:t>das Gesetz vom 21. Dezember 2013 zur Einfügung von Buch</w:t>
      </w:r>
      <w:r w:rsidRPr="004676F5">
        <w:rPr>
          <w:lang w:val="de-DE"/>
        </w:rPr>
        <w:t> </w:t>
      </w:r>
      <w:r w:rsidR="005E1EB6" w:rsidRPr="004676F5">
        <w:rPr>
          <w:lang w:val="de-DE"/>
        </w:rPr>
        <w:t>VI "Marktpraktiken und Verbraucherschutz" in das Wirtschaftsgesetzbuch und zur Einfügung der Buch</w:t>
      </w:r>
      <w:r w:rsidRPr="004676F5">
        <w:rPr>
          <w:lang w:val="de-DE"/>
        </w:rPr>
        <w:t> </w:t>
      </w:r>
      <w:r w:rsidR="005E1EB6" w:rsidRPr="004676F5">
        <w:rPr>
          <w:lang w:val="de-DE"/>
        </w:rPr>
        <w:t>VI eigenen Begriffsbestimmungen und der Buch</w:t>
      </w:r>
      <w:r w:rsidRPr="004676F5">
        <w:rPr>
          <w:lang w:val="de-DE"/>
        </w:rPr>
        <w:t> </w:t>
      </w:r>
      <w:r w:rsidR="005E1EB6" w:rsidRPr="004676F5">
        <w:rPr>
          <w:lang w:val="de-DE"/>
        </w:rPr>
        <w:t>VI eigenen Rechtsdurchsetzungsbestimmungen in die Bücher</w:t>
      </w:r>
      <w:r w:rsidRPr="004676F5">
        <w:rPr>
          <w:lang w:val="de-DE"/>
        </w:rPr>
        <w:t> </w:t>
      </w:r>
      <w:r w:rsidR="005E1EB6" w:rsidRPr="004676F5">
        <w:rPr>
          <w:lang w:val="de-DE"/>
        </w:rPr>
        <w:t>I und XV des Wirtschaftsgesetzbuches (</w:t>
      </w:r>
      <w:r w:rsidR="005E1EB6" w:rsidRPr="004676F5">
        <w:rPr>
          <w:i/>
          <w:lang w:val="de-DE"/>
        </w:rPr>
        <w:t>Belgisches Staatsblatt</w:t>
      </w:r>
      <w:r w:rsidR="005E1EB6" w:rsidRPr="004676F5">
        <w:rPr>
          <w:lang w:val="de-DE"/>
        </w:rPr>
        <w:t xml:space="preserve"> vom 27. Oktober 2014),</w:t>
      </w:r>
    </w:p>
    <w:p w14:paraId="1E944CC3" w14:textId="77777777" w:rsidR="005E1EB6" w:rsidRPr="004676F5" w:rsidRDefault="005E1EB6" w:rsidP="000C0E31">
      <w:pPr>
        <w:autoSpaceDE w:val="0"/>
        <w:autoSpaceDN w:val="0"/>
        <w:adjustRightInd w:val="0"/>
        <w:jc w:val="both"/>
        <w:rPr>
          <w:lang w:val="de-DE"/>
        </w:rPr>
      </w:pPr>
    </w:p>
    <w:p w14:paraId="3A51A5EA" w14:textId="0A4B4843" w:rsidR="003A35D2" w:rsidRPr="004676F5" w:rsidRDefault="005B7A5C" w:rsidP="000C0E31">
      <w:pPr>
        <w:autoSpaceDE w:val="0"/>
        <w:autoSpaceDN w:val="0"/>
        <w:adjustRightInd w:val="0"/>
        <w:jc w:val="both"/>
        <w:rPr>
          <w:lang w:val="de-DE"/>
        </w:rPr>
      </w:pPr>
      <w:r w:rsidRPr="004676F5">
        <w:rPr>
          <w:lang w:val="de-DE"/>
        </w:rPr>
        <w:t>- </w:t>
      </w:r>
      <w:r w:rsidR="003A35D2" w:rsidRPr="004676F5">
        <w:rPr>
          <w:lang w:val="de-DE"/>
        </w:rPr>
        <w:t>Artikel 9 des Programmgesetzes (I) vom 26. Dezember 2013</w:t>
      </w:r>
      <w:r w:rsidR="00D9557F" w:rsidRPr="004676F5">
        <w:rPr>
          <w:lang w:val="de-DE"/>
        </w:rPr>
        <w:t xml:space="preserve"> </w:t>
      </w:r>
      <w:r w:rsidR="003A35D2" w:rsidRPr="004676F5">
        <w:rPr>
          <w:lang w:val="de-DE"/>
        </w:rPr>
        <w:t>(</w:t>
      </w:r>
      <w:r w:rsidR="003A35D2" w:rsidRPr="004676F5">
        <w:rPr>
          <w:i/>
          <w:lang w:val="de-DE"/>
        </w:rPr>
        <w:t>Belgisches Staatsblatt</w:t>
      </w:r>
      <w:r w:rsidR="00D9557F" w:rsidRPr="004676F5">
        <w:rPr>
          <w:lang w:val="de-DE"/>
        </w:rPr>
        <w:t xml:space="preserve"> vom 18. August 2014)</w:t>
      </w:r>
      <w:r w:rsidR="002650D6" w:rsidRPr="004676F5">
        <w:rPr>
          <w:i/>
          <w:lang w:val="de-DE"/>
        </w:rPr>
        <w:t xml:space="preserve"> (I)</w:t>
      </w:r>
      <w:r w:rsidR="00D9557F" w:rsidRPr="004676F5">
        <w:rPr>
          <w:lang w:val="de-DE"/>
        </w:rPr>
        <w:t>,</w:t>
      </w:r>
    </w:p>
    <w:p w14:paraId="6956CA03" w14:textId="77777777" w:rsidR="00D9557F" w:rsidRPr="004676F5" w:rsidRDefault="00D9557F" w:rsidP="000C0E31">
      <w:pPr>
        <w:autoSpaceDE w:val="0"/>
        <w:autoSpaceDN w:val="0"/>
        <w:adjustRightInd w:val="0"/>
        <w:jc w:val="both"/>
        <w:rPr>
          <w:lang w:val="de-DE"/>
        </w:rPr>
      </w:pPr>
    </w:p>
    <w:p w14:paraId="4190C449" w14:textId="00BE59E0" w:rsidR="00D9557F" w:rsidRPr="004676F5" w:rsidRDefault="005B7A5C" w:rsidP="000C0E31">
      <w:pPr>
        <w:autoSpaceDE w:val="0"/>
        <w:autoSpaceDN w:val="0"/>
        <w:adjustRightInd w:val="0"/>
        <w:jc w:val="both"/>
        <w:rPr>
          <w:lang w:val="de-DE"/>
        </w:rPr>
      </w:pPr>
      <w:r w:rsidRPr="004676F5">
        <w:rPr>
          <w:lang w:val="de-DE"/>
        </w:rPr>
        <w:t>- </w:t>
      </w:r>
      <w:r w:rsidR="0091139E" w:rsidRPr="004676F5">
        <w:rPr>
          <w:lang w:val="de-DE"/>
        </w:rPr>
        <w:t>das Gesetz vom 26. Dezember 2013 zur Einfügung von Artikel</w:t>
      </w:r>
      <w:r w:rsidRPr="004676F5">
        <w:rPr>
          <w:lang w:val="de-DE"/>
        </w:rPr>
        <w:t> </w:t>
      </w:r>
      <w:r w:rsidR="0091139E" w:rsidRPr="004676F5">
        <w:rPr>
          <w:lang w:val="de-DE"/>
        </w:rPr>
        <w:t>XII.5 in Buch</w:t>
      </w:r>
      <w:r w:rsidRPr="004676F5">
        <w:rPr>
          <w:lang w:val="de-DE"/>
        </w:rPr>
        <w:t> </w:t>
      </w:r>
      <w:r w:rsidR="0091139E" w:rsidRPr="004676F5">
        <w:rPr>
          <w:lang w:val="de-DE"/>
        </w:rPr>
        <w:t>XII "Recht der elektronischen Wirtschaft" des Wirtschaftsgesetzbuches (</w:t>
      </w:r>
      <w:r w:rsidR="0091139E" w:rsidRPr="004676F5">
        <w:rPr>
          <w:i/>
          <w:lang w:val="de-DE"/>
        </w:rPr>
        <w:t>Belgisches Staatsblatt</w:t>
      </w:r>
      <w:r w:rsidR="0091139E" w:rsidRPr="004676F5">
        <w:rPr>
          <w:lang w:val="de-DE"/>
        </w:rPr>
        <w:t xml:space="preserve"> vom 18. August 2014)</w:t>
      </w:r>
      <w:r w:rsidR="002650D6" w:rsidRPr="004676F5">
        <w:rPr>
          <w:i/>
          <w:lang w:val="de-DE"/>
        </w:rPr>
        <w:t xml:space="preserve"> (II)</w:t>
      </w:r>
      <w:r w:rsidR="00065C4F" w:rsidRPr="004676F5">
        <w:rPr>
          <w:lang w:val="de-DE"/>
        </w:rPr>
        <w:t>,</w:t>
      </w:r>
    </w:p>
    <w:p w14:paraId="69C6ED46" w14:textId="77777777" w:rsidR="00065C4F" w:rsidRPr="004676F5" w:rsidRDefault="00065C4F" w:rsidP="000C0E31">
      <w:pPr>
        <w:autoSpaceDE w:val="0"/>
        <w:autoSpaceDN w:val="0"/>
        <w:adjustRightInd w:val="0"/>
        <w:jc w:val="both"/>
        <w:rPr>
          <w:lang w:val="de-DE"/>
        </w:rPr>
      </w:pPr>
    </w:p>
    <w:p w14:paraId="0F897E95" w14:textId="51B9F3C7" w:rsidR="00065C4F" w:rsidRPr="004676F5" w:rsidRDefault="005B7A5C" w:rsidP="000C0E31">
      <w:pPr>
        <w:autoSpaceDE w:val="0"/>
        <w:autoSpaceDN w:val="0"/>
        <w:adjustRightInd w:val="0"/>
        <w:jc w:val="both"/>
        <w:rPr>
          <w:lang w:val="de-DE"/>
        </w:rPr>
      </w:pPr>
      <w:r w:rsidRPr="004676F5">
        <w:rPr>
          <w:lang w:val="de-DE"/>
        </w:rPr>
        <w:t>- </w:t>
      </w:r>
      <w:r w:rsidR="00065C4F" w:rsidRPr="004676F5">
        <w:rPr>
          <w:lang w:val="de-DE"/>
        </w:rPr>
        <w:t>das Gesetz vom 26. Dezember 2013 zur Einfügung der Bestimmungen zur Regelung von Angelegenheiten erwähnt in Artikel 77 der Verfassung in Buch XVII "Besondere Gerichtsverfahren" des Wirtschaftsgesetzbuches (</w:t>
      </w:r>
      <w:r w:rsidR="00065C4F" w:rsidRPr="004676F5">
        <w:rPr>
          <w:i/>
          <w:lang w:val="de-DE"/>
        </w:rPr>
        <w:t>Belgisches Staatsblatt</w:t>
      </w:r>
      <w:r w:rsidR="00065C4F" w:rsidRPr="004676F5">
        <w:rPr>
          <w:lang w:val="de-DE"/>
        </w:rPr>
        <w:t xml:space="preserve"> vom 2. März 2015)</w:t>
      </w:r>
      <w:r w:rsidR="00C95D7A" w:rsidRPr="004676F5">
        <w:rPr>
          <w:lang w:val="de-DE"/>
        </w:rPr>
        <w:t> </w:t>
      </w:r>
      <w:r w:rsidR="00065C4F" w:rsidRPr="004676F5">
        <w:rPr>
          <w:i/>
          <w:lang w:val="de-DE"/>
        </w:rPr>
        <w:t>(III)</w:t>
      </w:r>
      <w:r w:rsidR="00C95D7A" w:rsidRPr="004676F5">
        <w:rPr>
          <w:lang w:val="de-DE"/>
        </w:rPr>
        <w:t>,</w:t>
      </w:r>
    </w:p>
    <w:p w14:paraId="28C9E00A" w14:textId="77777777" w:rsidR="00C95D7A" w:rsidRPr="004676F5" w:rsidRDefault="00C95D7A" w:rsidP="000C0E31">
      <w:pPr>
        <w:autoSpaceDE w:val="0"/>
        <w:autoSpaceDN w:val="0"/>
        <w:adjustRightInd w:val="0"/>
        <w:jc w:val="both"/>
        <w:rPr>
          <w:lang w:val="de-DE"/>
        </w:rPr>
      </w:pPr>
    </w:p>
    <w:p w14:paraId="63A4A52A" w14:textId="126126EC" w:rsidR="00C95D7A" w:rsidRPr="004676F5" w:rsidRDefault="005B7A5C" w:rsidP="00C95D7A">
      <w:pPr>
        <w:autoSpaceDE w:val="0"/>
        <w:autoSpaceDN w:val="0"/>
        <w:adjustRightInd w:val="0"/>
        <w:jc w:val="both"/>
        <w:rPr>
          <w:lang w:val="de-DE"/>
        </w:rPr>
      </w:pPr>
      <w:r w:rsidRPr="004676F5">
        <w:rPr>
          <w:lang w:val="de-DE"/>
        </w:rPr>
        <w:t>- </w:t>
      </w:r>
      <w:r w:rsidR="00C95D7A" w:rsidRPr="004676F5">
        <w:rPr>
          <w:lang w:val="de-DE"/>
        </w:rPr>
        <w:t>das Gesetz vom 26. Dezember 2013 zur Einfügung von Buch XVII "Besondere Gerichts</w:t>
      </w:r>
      <w:r w:rsidR="00C95D7A" w:rsidRPr="004676F5">
        <w:rPr>
          <w:lang w:val="de-DE"/>
        </w:rPr>
        <w:softHyphen/>
        <w:t>verfahren" in das Wirtschaftsgesetzbuch und zur Einfügung einer Buch XVII eigenen Begriffsbestimmung und einer Buch XVII eigenen Sanktionsregelung in dasselbe Gesetzbuch (</w:t>
      </w:r>
      <w:r w:rsidR="00C95D7A" w:rsidRPr="004676F5">
        <w:rPr>
          <w:i/>
          <w:lang w:val="de-DE"/>
        </w:rPr>
        <w:t>Belgisches Staatsblatt</w:t>
      </w:r>
      <w:r w:rsidR="00C95D7A" w:rsidRPr="004676F5">
        <w:rPr>
          <w:lang w:val="de-DE"/>
        </w:rPr>
        <w:t xml:space="preserve"> vom 2. März 2015) </w:t>
      </w:r>
      <w:r w:rsidR="00C95D7A" w:rsidRPr="004676F5">
        <w:rPr>
          <w:i/>
          <w:lang w:val="de-DE"/>
        </w:rPr>
        <w:t>(IV)</w:t>
      </w:r>
      <w:r w:rsidR="003B13C9" w:rsidRPr="004676F5">
        <w:rPr>
          <w:lang w:val="de-DE"/>
        </w:rPr>
        <w:t>,</w:t>
      </w:r>
    </w:p>
    <w:p w14:paraId="3E612BAD" w14:textId="77777777" w:rsidR="003B13C9" w:rsidRPr="004676F5" w:rsidRDefault="003B13C9" w:rsidP="00C95D7A">
      <w:pPr>
        <w:autoSpaceDE w:val="0"/>
        <w:autoSpaceDN w:val="0"/>
        <w:adjustRightInd w:val="0"/>
        <w:jc w:val="both"/>
        <w:rPr>
          <w:lang w:val="de-DE"/>
        </w:rPr>
      </w:pPr>
    </w:p>
    <w:p w14:paraId="30D56982" w14:textId="20D8BB9C" w:rsidR="007853B6" w:rsidRPr="004676F5" w:rsidRDefault="005B7A5C" w:rsidP="00C95D7A">
      <w:pPr>
        <w:autoSpaceDE w:val="0"/>
        <w:autoSpaceDN w:val="0"/>
        <w:adjustRightInd w:val="0"/>
        <w:jc w:val="both"/>
        <w:rPr>
          <w:lang w:val="de-DE"/>
        </w:rPr>
      </w:pPr>
      <w:r w:rsidRPr="004676F5">
        <w:rPr>
          <w:lang w:val="de-DE"/>
        </w:rPr>
        <w:t>- </w:t>
      </w:r>
      <w:r w:rsidR="007853B6" w:rsidRPr="004676F5">
        <w:rPr>
          <w:lang w:val="de-DE"/>
        </w:rPr>
        <w:t>das Gesetz vom 19. März 2014 zur gesetzlichen Bestimmung des Handwerkers (</w:t>
      </w:r>
      <w:r w:rsidR="007853B6" w:rsidRPr="004676F5">
        <w:rPr>
          <w:i/>
          <w:lang w:val="de-DE"/>
        </w:rPr>
        <w:t xml:space="preserve">Belgisches Staatsblatt </w:t>
      </w:r>
      <w:r w:rsidR="007853B6" w:rsidRPr="004676F5">
        <w:rPr>
          <w:lang w:val="de-DE"/>
        </w:rPr>
        <w:t>vom 2. April 2015),</w:t>
      </w:r>
    </w:p>
    <w:p w14:paraId="063D7C04" w14:textId="77777777" w:rsidR="007853B6" w:rsidRPr="004676F5" w:rsidRDefault="007853B6" w:rsidP="00C95D7A">
      <w:pPr>
        <w:autoSpaceDE w:val="0"/>
        <w:autoSpaceDN w:val="0"/>
        <w:adjustRightInd w:val="0"/>
        <w:jc w:val="both"/>
        <w:rPr>
          <w:lang w:val="de-DE"/>
        </w:rPr>
      </w:pPr>
    </w:p>
    <w:p w14:paraId="7FCB6C7B" w14:textId="043F0E84" w:rsidR="003B13C9" w:rsidRPr="004676F5" w:rsidRDefault="005B7A5C" w:rsidP="00C95D7A">
      <w:pPr>
        <w:autoSpaceDE w:val="0"/>
        <w:autoSpaceDN w:val="0"/>
        <w:adjustRightInd w:val="0"/>
        <w:jc w:val="both"/>
        <w:rPr>
          <w:lang w:val="de-DE"/>
        </w:rPr>
      </w:pPr>
      <w:r w:rsidRPr="004676F5">
        <w:rPr>
          <w:lang w:val="de-DE"/>
        </w:rPr>
        <w:t>- </w:t>
      </w:r>
      <w:r w:rsidR="003B13C9" w:rsidRPr="004676F5">
        <w:rPr>
          <w:lang w:val="de-DE"/>
        </w:rPr>
        <w:t>das Gesetz vom 27. März 2014 zur Einfügung von Buch</w:t>
      </w:r>
      <w:r w:rsidRPr="004676F5">
        <w:rPr>
          <w:lang w:val="de-DE"/>
        </w:rPr>
        <w:t> </w:t>
      </w:r>
      <w:r w:rsidR="003B13C9" w:rsidRPr="004676F5">
        <w:rPr>
          <w:lang w:val="de-DE"/>
        </w:rPr>
        <w:t>XVIII "Maßnahmen zur Krisenbewältigung" in das Wirtschaftsgesetzbuch und zur Einfügung der Buch</w:t>
      </w:r>
      <w:r w:rsidRPr="004676F5">
        <w:rPr>
          <w:lang w:val="de-DE"/>
        </w:rPr>
        <w:t> </w:t>
      </w:r>
      <w:r w:rsidR="003B13C9" w:rsidRPr="004676F5">
        <w:rPr>
          <w:lang w:val="de-DE"/>
        </w:rPr>
        <w:t>XVIII eigenen Rechtsdurchsetzungsbestimmungen in Buch</w:t>
      </w:r>
      <w:r w:rsidRPr="004676F5">
        <w:rPr>
          <w:lang w:val="de-DE"/>
        </w:rPr>
        <w:t> </w:t>
      </w:r>
      <w:r w:rsidR="003B13C9" w:rsidRPr="004676F5">
        <w:rPr>
          <w:lang w:val="de-DE"/>
        </w:rPr>
        <w:t>XV des Wirtschaftsgesetzbuches (</w:t>
      </w:r>
      <w:r w:rsidR="003B13C9" w:rsidRPr="004676F5">
        <w:rPr>
          <w:i/>
          <w:lang w:val="de-DE"/>
        </w:rPr>
        <w:t>Belgisches Staatsblatt</w:t>
      </w:r>
      <w:r w:rsidR="003B13C9" w:rsidRPr="004676F5">
        <w:rPr>
          <w:lang w:val="de-DE"/>
        </w:rPr>
        <w:t xml:space="preserve"> vom 11. Mai 2015) </w:t>
      </w:r>
      <w:r w:rsidR="003B13C9" w:rsidRPr="004676F5">
        <w:rPr>
          <w:i/>
          <w:lang w:val="de-DE"/>
        </w:rPr>
        <w:t>(I)</w:t>
      </w:r>
      <w:r w:rsidR="003B13C9" w:rsidRPr="004676F5">
        <w:rPr>
          <w:lang w:val="de-DE"/>
        </w:rPr>
        <w:t>,</w:t>
      </w:r>
    </w:p>
    <w:p w14:paraId="3A0DB261" w14:textId="77777777" w:rsidR="003B13C9" w:rsidRPr="004676F5" w:rsidRDefault="003B13C9" w:rsidP="00C95D7A">
      <w:pPr>
        <w:autoSpaceDE w:val="0"/>
        <w:autoSpaceDN w:val="0"/>
        <w:adjustRightInd w:val="0"/>
        <w:jc w:val="both"/>
        <w:rPr>
          <w:lang w:val="de-DE"/>
        </w:rPr>
      </w:pPr>
    </w:p>
    <w:p w14:paraId="3A810B48" w14:textId="0198AB14" w:rsidR="003B13C9" w:rsidRPr="004676F5" w:rsidRDefault="005B7A5C" w:rsidP="00C95D7A">
      <w:pPr>
        <w:autoSpaceDE w:val="0"/>
        <w:autoSpaceDN w:val="0"/>
        <w:adjustRightInd w:val="0"/>
        <w:jc w:val="both"/>
        <w:rPr>
          <w:lang w:val="de-DE"/>
        </w:rPr>
      </w:pPr>
      <w:r w:rsidRPr="004676F5">
        <w:rPr>
          <w:lang w:val="de-DE"/>
        </w:rPr>
        <w:t>- </w:t>
      </w:r>
      <w:r w:rsidR="003B13C9" w:rsidRPr="004676F5">
        <w:rPr>
          <w:lang w:val="de-DE"/>
        </w:rPr>
        <w:t>das Gesetz vom 27. März 2014 zur Einfügung der Bestimmungen zur Regelung von Angelegenheiten erwähnt in Artikel</w:t>
      </w:r>
      <w:r w:rsidRPr="004676F5">
        <w:rPr>
          <w:lang w:val="de-DE"/>
        </w:rPr>
        <w:t> </w:t>
      </w:r>
      <w:r w:rsidR="003B13C9" w:rsidRPr="004676F5">
        <w:rPr>
          <w:lang w:val="de-DE"/>
        </w:rPr>
        <w:t>77 der Verfassung in Buch</w:t>
      </w:r>
      <w:r w:rsidRPr="004676F5">
        <w:rPr>
          <w:lang w:val="de-DE"/>
        </w:rPr>
        <w:t> </w:t>
      </w:r>
      <w:r w:rsidR="003B13C9" w:rsidRPr="004676F5">
        <w:rPr>
          <w:lang w:val="de-DE"/>
        </w:rPr>
        <w:t>XVII "Besondere Gerichtsverfahren" des Wirtschaftsgesetzbuches und zur Abänderung des Gerichtsgesetzbuches, um den Gerichtshöfen und Gerichten von Brüssel eine ausschließliche Zuständigkeit zu übertragen, über die in Buch</w:t>
      </w:r>
      <w:r w:rsidRPr="004676F5">
        <w:rPr>
          <w:lang w:val="de-DE"/>
        </w:rPr>
        <w:t> </w:t>
      </w:r>
      <w:r w:rsidR="003B13C9" w:rsidRPr="004676F5">
        <w:rPr>
          <w:lang w:val="de-DE"/>
        </w:rPr>
        <w:t>XVII Titel</w:t>
      </w:r>
      <w:r w:rsidRPr="004676F5">
        <w:rPr>
          <w:lang w:val="de-DE"/>
        </w:rPr>
        <w:t> </w:t>
      </w:r>
      <w:r w:rsidR="003B13C9" w:rsidRPr="004676F5">
        <w:rPr>
          <w:lang w:val="de-DE"/>
        </w:rPr>
        <w:t>2 des Wirtschaftsgesetzbuches erwähnte kollektive Schadenersatzklage zu erkennen (</w:t>
      </w:r>
      <w:r w:rsidR="003B13C9" w:rsidRPr="004676F5">
        <w:rPr>
          <w:i/>
          <w:lang w:val="de-DE"/>
        </w:rPr>
        <w:t>Belgisches Staatsblatt</w:t>
      </w:r>
      <w:r w:rsidR="003B13C9" w:rsidRPr="004676F5">
        <w:rPr>
          <w:lang w:val="de-DE"/>
        </w:rPr>
        <w:t xml:space="preserve"> vom </w:t>
      </w:r>
      <w:r w:rsidR="008B70F5" w:rsidRPr="004676F5">
        <w:rPr>
          <w:lang w:val="de-DE"/>
        </w:rPr>
        <w:t>26</w:t>
      </w:r>
      <w:r w:rsidR="003B13C9" w:rsidRPr="004676F5">
        <w:rPr>
          <w:lang w:val="de-DE"/>
        </w:rPr>
        <w:t xml:space="preserve">. Mai 2015) </w:t>
      </w:r>
      <w:r w:rsidR="003B13C9" w:rsidRPr="004676F5">
        <w:rPr>
          <w:i/>
          <w:lang w:val="de-DE"/>
        </w:rPr>
        <w:t>(I</w:t>
      </w:r>
      <w:r w:rsidR="008B70F5" w:rsidRPr="004676F5">
        <w:rPr>
          <w:i/>
          <w:lang w:val="de-DE"/>
        </w:rPr>
        <w:t>I</w:t>
      </w:r>
      <w:r w:rsidR="003B13C9" w:rsidRPr="004676F5">
        <w:rPr>
          <w:i/>
          <w:lang w:val="de-DE"/>
        </w:rPr>
        <w:t>)</w:t>
      </w:r>
      <w:r w:rsidR="00900885" w:rsidRPr="004676F5">
        <w:rPr>
          <w:lang w:val="de-DE"/>
        </w:rPr>
        <w:t>,</w:t>
      </w:r>
    </w:p>
    <w:p w14:paraId="039A8D0C" w14:textId="77777777" w:rsidR="00ED686C" w:rsidRPr="004676F5" w:rsidRDefault="00ED686C" w:rsidP="00C95D7A">
      <w:pPr>
        <w:autoSpaceDE w:val="0"/>
        <w:autoSpaceDN w:val="0"/>
        <w:adjustRightInd w:val="0"/>
        <w:jc w:val="both"/>
        <w:rPr>
          <w:lang w:val="de-DE"/>
        </w:rPr>
      </w:pPr>
    </w:p>
    <w:p w14:paraId="5B21A833" w14:textId="108364FF" w:rsidR="00ED686C" w:rsidRPr="004676F5" w:rsidRDefault="005B7A5C" w:rsidP="00C95D7A">
      <w:pPr>
        <w:autoSpaceDE w:val="0"/>
        <w:autoSpaceDN w:val="0"/>
        <w:adjustRightInd w:val="0"/>
        <w:jc w:val="both"/>
        <w:rPr>
          <w:lang w:val="de-DE"/>
        </w:rPr>
      </w:pPr>
      <w:r w:rsidRPr="004676F5">
        <w:rPr>
          <w:lang w:val="de-DE"/>
        </w:rPr>
        <w:t>- </w:t>
      </w:r>
      <w:r w:rsidR="00ED686C" w:rsidRPr="004676F5">
        <w:rPr>
          <w:lang w:val="de-DE"/>
        </w:rPr>
        <w:t>das Gesetz vom 28. März 2014 zur Einfügung von Titel</w:t>
      </w:r>
      <w:r w:rsidRPr="004676F5">
        <w:rPr>
          <w:lang w:val="de-DE"/>
        </w:rPr>
        <w:t> </w:t>
      </w:r>
      <w:r w:rsidR="00ED686C" w:rsidRPr="004676F5">
        <w:rPr>
          <w:lang w:val="de-DE"/>
        </w:rPr>
        <w:t>2 "Kollektive Schadenersatzklage" in Buch</w:t>
      </w:r>
      <w:r w:rsidRPr="004676F5">
        <w:rPr>
          <w:lang w:val="de-DE"/>
        </w:rPr>
        <w:t> </w:t>
      </w:r>
      <w:r w:rsidR="00ED686C" w:rsidRPr="004676F5">
        <w:rPr>
          <w:lang w:val="de-DE"/>
        </w:rPr>
        <w:t>XVII "Besondere Gerichtsverfahren" des Wirtschaftsgesetzbuches und zur Einfügung der Buch</w:t>
      </w:r>
      <w:r w:rsidRPr="004676F5">
        <w:rPr>
          <w:lang w:val="de-DE"/>
        </w:rPr>
        <w:t> </w:t>
      </w:r>
      <w:r w:rsidR="00ED686C" w:rsidRPr="004676F5">
        <w:rPr>
          <w:lang w:val="de-DE"/>
        </w:rPr>
        <w:t>XVII eigenen Begriffsbestimmungen in Buch</w:t>
      </w:r>
      <w:r w:rsidRPr="004676F5">
        <w:rPr>
          <w:lang w:val="de-DE"/>
        </w:rPr>
        <w:t> </w:t>
      </w:r>
      <w:r w:rsidR="00ED686C" w:rsidRPr="004676F5">
        <w:rPr>
          <w:lang w:val="de-DE"/>
        </w:rPr>
        <w:t>I des Wirtschaftsgesetzbuches (</w:t>
      </w:r>
      <w:r w:rsidR="00ED686C" w:rsidRPr="004676F5">
        <w:rPr>
          <w:i/>
          <w:lang w:val="de-DE"/>
        </w:rPr>
        <w:t>Belgisches Staatsblatt</w:t>
      </w:r>
      <w:r w:rsidR="00ED686C" w:rsidRPr="004676F5">
        <w:rPr>
          <w:lang w:val="de-DE"/>
        </w:rPr>
        <w:t xml:space="preserve"> vom 25. Januar 2016</w:t>
      </w:r>
      <w:r w:rsidR="00354311" w:rsidRPr="004676F5">
        <w:rPr>
          <w:lang w:val="de-DE"/>
        </w:rPr>
        <w:t xml:space="preserve">, </w:t>
      </w:r>
      <w:r w:rsidR="00354311" w:rsidRPr="004676F5">
        <w:rPr>
          <w:i/>
          <w:lang w:val="de-DE"/>
        </w:rPr>
        <w:t>Err.</w:t>
      </w:r>
      <w:r w:rsidR="00354311" w:rsidRPr="004676F5">
        <w:rPr>
          <w:lang w:val="de-DE"/>
        </w:rPr>
        <w:t xml:space="preserve"> vom 26. April 2016</w:t>
      </w:r>
      <w:r w:rsidR="00ED686C" w:rsidRPr="004676F5">
        <w:rPr>
          <w:lang w:val="de-DE"/>
        </w:rPr>
        <w:t>),</w:t>
      </w:r>
    </w:p>
    <w:p w14:paraId="353E9820" w14:textId="77777777" w:rsidR="0039109A" w:rsidRPr="004676F5" w:rsidRDefault="0039109A" w:rsidP="00C95D7A">
      <w:pPr>
        <w:autoSpaceDE w:val="0"/>
        <w:autoSpaceDN w:val="0"/>
        <w:adjustRightInd w:val="0"/>
        <w:jc w:val="both"/>
        <w:rPr>
          <w:lang w:val="de-DE"/>
        </w:rPr>
      </w:pPr>
    </w:p>
    <w:p w14:paraId="3D5ED72C" w14:textId="2AD2EA47" w:rsidR="0039109A" w:rsidRPr="004676F5" w:rsidRDefault="005B7A5C" w:rsidP="00C95D7A">
      <w:pPr>
        <w:autoSpaceDE w:val="0"/>
        <w:autoSpaceDN w:val="0"/>
        <w:adjustRightInd w:val="0"/>
        <w:jc w:val="both"/>
        <w:rPr>
          <w:lang w:val="de-DE"/>
        </w:rPr>
      </w:pPr>
      <w:r w:rsidRPr="004676F5">
        <w:rPr>
          <w:lang w:val="de-DE"/>
        </w:rPr>
        <w:t>- </w:t>
      </w:r>
      <w:r w:rsidR="0039109A" w:rsidRPr="004676F5">
        <w:rPr>
          <w:lang w:val="de-DE"/>
        </w:rPr>
        <w:t>das Gesetz vom 2. April 2014 zur Einfügung von Buch</w:t>
      </w:r>
      <w:r w:rsidRPr="004676F5">
        <w:rPr>
          <w:lang w:val="de-DE"/>
        </w:rPr>
        <w:t> </w:t>
      </w:r>
      <w:r w:rsidR="0039109A" w:rsidRPr="004676F5">
        <w:rPr>
          <w:lang w:val="de-DE"/>
        </w:rPr>
        <w:t>X "Handelsvertreterverträge, Vereinbarungen über Handelspartnerschaften und Vertriebsverträge" in das Wirtschaftsgesetzbuch und zur Einfügung der Buch</w:t>
      </w:r>
      <w:r w:rsidRPr="004676F5">
        <w:rPr>
          <w:lang w:val="de-DE"/>
        </w:rPr>
        <w:t> </w:t>
      </w:r>
      <w:r w:rsidR="0039109A" w:rsidRPr="004676F5">
        <w:rPr>
          <w:lang w:val="de-DE"/>
        </w:rPr>
        <w:t>X eigenen Begriffsbestimmungen in Buch I des Wirtschaftsgesetzbuches (</w:t>
      </w:r>
      <w:r w:rsidR="0039109A" w:rsidRPr="004676F5">
        <w:rPr>
          <w:i/>
          <w:lang w:val="de-DE"/>
        </w:rPr>
        <w:t>Belgisches Staatsblatt</w:t>
      </w:r>
      <w:r w:rsidR="0039109A" w:rsidRPr="004676F5">
        <w:rPr>
          <w:lang w:val="de-DE"/>
        </w:rPr>
        <w:t xml:space="preserve"> vom 8. Februar 2016),</w:t>
      </w:r>
    </w:p>
    <w:p w14:paraId="7A717AC3" w14:textId="77777777" w:rsidR="00E33F9C" w:rsidRPr="004676F5" w:rsidRDefault="00E33F9C" w:rsidP="00C95D7A">
      <w:pPr>
        <w:autoSpaceDE w:val="0"/>
        <w:autoSpaceDN w:val="0"/>
        <w:adjustRightInd w:val="0"/>
        <w:jc w:val="both"/>
        <w:rPr>
          <w:lang w:val="de-DE"/>
        </w:rPr>
      </w:pPr>
    </w:p>
    <w:p w14:paraId="6E7F8B7D" w14:textId="5786AA57" w:rsidR="00E33F9C" w:rsidRPr="004676F5" w:rsidRDefault="005B7A5C" w:rsidP="00C95D7A">
      <w:pPr>
        <w:autoSpaceDE w:val="0"/>
        <w:autoSpaceDN w:val="0"/>
        <w:adjustRightInd w:val="0"/>
        <w:jc w:val="both"/>
        <w:rPr>
          <w:lang w:val="de-DE"/>
        </w:rPr>
      </w:pPr>
      <w:r w:rsidRPr="004676F5">
        <w:rPr>
          <w:lang w:val="de-DE"/>
        </w:rPr>
        <w:t>- </w:t>
      </w:r>
      <w:r w:rsidR="00E33F9C" w:rsidRPr="004676F5">
        <w:rPr>
          <w:lang w:val="de-DE"/>
        </w:rPr>
        <w:t>das Gesetz vom 4. April 2014 zur Einfügung von Buch</w:t>
      </w:r>
      <w:r w:rsidRPr="004676F5">
        <w:rPr>
          <w:lang w:val="de-DE"/>
        </w:rPr>
        <w:t> </w:t>
      </w:r>
      <w:r w:rsidR="00E33F9C" w:rsidRPr="004676F5">
        <w:rPr>
          <w:lang w:val="de-DE"/>
        </w:rPr>
        <w:t>XVI "Außergerichtliche Beilegung verbraucherrechtlicher Streitigkeiten" in das Wirtschaftsgesetzbuch (</w:t>
      </w:r>
      <w:r w:rsidR="00E33F9C" w:rsidRPr="004676F5">
        <w:rPr>
          <w:i/>
          <w:lang w:val="de-DE"/>
        </w:rPr>
        <w:t xml:space="preserve">Belgisches Staatsblatt </w:t>
      </w:r>
      <w:r w:rsidR="00E33F9C" w:rsidRPr="004676F5">
        <w:rPr>
          <w:lang w:val="de-DE"/>
        </w:rPr>
        <w:t>vom 8. Februar 2016),</w:t>
      </w:r>
    </w:p>
    <w:p w14:paraId="2E1735F8" w14:textId="77777777" w:rsidR="00096112" w:rsidRPr="004676F5" w:rsidRDefault="00096112" w:rsidP="00C95D7A">
      <w:pPr>
        <w:autoSpaceDE w:val="0"/>
        <w:autoSpaceDN w:val="0"/>
        <w:adjustRightInd w:val="0"/>
        <w:jc w:val="both"/>
        <w:rPr>
          <w:lang w:val="de-DE"/>
        </w:rPr>
      </w:pPr>
    </w:p>
    <w:p w14:paraId="4B7E32CD" w14:textId="769879D9" w:rsidR="00096112" w:rsidRPr="004676F5" w:rsidRDefault="005B7A5C" w:rsidP="00C95D7A">
      <w:pPr>
        <w:autoSpaceDE w:val="0"/>
        <w:autoSpaceDN w:val="0"/>
        <w:adjustRightInd w:val="0"/>
        <w:jc w:val="both"/>
        <w:rPr>
          <w:lang w:val="de-DE"/>
        </w:rPr>
      </w:pPr>
      <w:r w:rsidRPr="004676F5">
        <w:rPr>
          <w:lang w:val="de-DE"/>
        </w:rPr>
        <w:t>- </w:t>
      </w:r>
      <w:r w:rsidR="00096112" w:rsidRPr="004676F5">
        <w:rPr>
          <w:lang w:val="de-DE"/>
        </w:rPr>
        <w:t>das Gesetz vom 10. April 2014 zur Einfügung der Bestimmungen zur Regelung von Angelegenheiten erwähnt in Artikel</w:t>
      </w:r>
      <w:r w:rsidRPr="004676F5">
        <w:rPr>
          <w:lang w:val="de-DE"/>
        </w:rPr>
        <w:t> </w:t>
      </w:r>
      <w:r w:rsidR="00096112" w:rsidRPr="004676F5">
        <w:rPr>
          <w:lang w:val="de-DE"/>
        </w:rPr>
        <w:t>77 der Verfassung in Buch</w:t>
      </w:r>
      <w:r w:rsidRPr="004676F5">
        <w:rPr>
          <w:lang w:val="de-DE"/>
        </w:rPr>
        <w:t> </w:t>
      </w:r>
      <w:r w:rsidR="00096112" w:rsidRPr="004676F5">
        <w:rPr>
          <w:lang w:val="de-DE"/>
        </w:rPr>
        <w:t>XI "Geistiges Eigentum" des Wirtschaftsgesetzbuches, zur Einfügung einer Buc</w:t>
      </w:r>
      <w:r w:rsidR="00EB131E" w:rsidRPr="004676F5">
        <w:rPr>
          <w:lang w:val="de-DE"/>
        </w:rPr>
        <w:t>h XI eigenen Bestimmung in Buch </w:t>
      </w:r>
      <w:r w:rsidR="00096112" w:rsidRPr="004676F5">
        <w:rPr>
          <w:lang w:val="de-DE"/>
        </w:rPr>
        <w:t xml:space="preserve">XVII desselben Gesetzbuches und zur Abänderung des Gerichtsgesetzbuches hinsichtlich der Organisation der Gerichtshöfe und Gerichte für Klagen in Bezug auf das geistige </w:t>
      </w:r>
      <w:r w:rsidR="00096112" w:rsidRPr="004676F5">
        <w:rPr>
          <w:lang w:val="de-DE"/>
        </w:rPr>
        <w:lastRenderedPageBreak/>
        <w:t>Eigentumsrecht und die Transparenz des Urheberrechts und ähnlicher Rechte (</w:t>
      </w:r>
      <w:r w:rsidR="00096112" w:rsidRPr="004676F5">
        <w:rPr>
          <w:i/>
          <w:lang w:val="de-DE"/>
        </w:rPr>
        <w:t>Belgisches Staatsblatt</w:t>
      </w:r>
      <w:r w:rsidR="00096112" w:rsidRPr="004676F5">
        <w:rPr>
          <w:lang w:val="de-DE"/>
        </w:rPr>
        <w:t xml:space="preserve"> vom 11. Februar 2016),</w:t>
      </w:r>
    </w:p>
    <w:p w14:paraId="436FB5CB" w14:textId="77777777" w:rsidR="004030AE" w:rsidRPr="004676F5" w:rsidRDefault="004030AE" w:rsidP="00C95D7A">
      <w:pPr>
        <w:autoSpaceDE w:val="0"/>
        <w:autoSpaceDN w:val="0"/>
        <w:adjustRightInd w:val="0"/>
        <w:jc w:val="both"/>
        <w:rPr>
          <w:lang w:val="de-DE"/>
        </w:rPr>
      </w:pPr>
    </w:p>
    <w:p w14:paraId="2F9E05FD" w14:textId="4351A15D" w:rsidR="004030AE" w:rsidRPr="004676F5" w:rsidRDefault="005B7A5C" w:rsidP="00C95D7A">
      <w:pPr>
        <w:autoSpaceDE w:val="0"/>
        <w:autoSpaceDN w:val="0"/>
        <w:adjustRightInd w:val="0"/>
        <w:jc w:val="both"/>
        <w:rPr>
          <w:lang w:val="de-DE"/>
        </w:rPr>
      </w:pPr>
      <w:r w:rsidRPr="004676F5">
        <w:rPr>
          <w:lang w:val="de-DE"/>
        </w:rPr>
        <w:t>- </w:t>
      </w:r>
      <w:r w:rsidR="004030AE" w:rsidRPr="004676F5">
        <w:rPr>
          <w:lang w:val="de-DE"/>
        </w:rPr>
        <w:t>das Gesetz vom 19. April 2014 zur Einfügung von Buch VII "Zahlungs</w:t>
      </w:r>
      <w:r w:rsidRPr="004676F5">
        <w:rPr>
          <w:lang w:val="de-DE"/>
        </w:rPr>
        <w:t>- </w:t>
      </w:r>
      <w:r w:rsidR="004030AE" w:rsidRPr="004676F5">
        <w:rPr>
          <w:lang w:val="de-DE"/>
        </w:rPr>
        <w:t>und Kreditdienste" in das Wirtschaftsgesetzbuch, zur Einfügung der Buch VII eigenen Begriffsbestimmungen und der Strafen in Bezug auf Verstöße gegen Buch VII in die Bücher I und XV des Wirtschaftsgesetzbuches und zur Festlegung verschiedener anderer Bestimmungen (</w:t>
      </w:r>
      <w:r w:rsidR="004030AE" w:rsidRPr="004676F5">
        <w:rPr>
          <w:i/>
          <w:lang w:val="de-DE"/>
        </w:rPr>
        <w:t>Belgisches Staatsblatt</w:t>
      </w:r>
      <w:r w:rsidR="004030AE" w:rsidRPr="004676F5">
        <w:rPr>
          <w:lang w:val="de-DE"/>
        </w:rPr>
        <w:t xml:space="preserve"> vom 10. Januar 2017)</w:t>
      </w:r>
      <w:r w:rsidR="004808C3" w:rsidRPr="004676F5">
        <w:rPr>
          <w:lang w:val="de-DE"/>
        </w:rPr>
        <w:t> </w:t>
      </w:r>
      <w:r w:rsidR="00E84348" w:rsidRPr="004676F5">
        <w:rPr>
          <w:i/>
          <w:lang w:val="de-DE"/>
        </w:rPr>
        <w:t>(I)</w:t>
      </w:r>
      <w:r w:rsidR="004030AE" w:rsidRPr="004676F5">
        <w:rPr>
          <w:lang w:val="de-DE"/>
        </w:rPr>
        <w:t>,</w:t>
      </w:r>
    </w:p>
    <w:p w14:paraId="5C587B32" w14:textId="77777777" w:rsidR="004808C3" w:rsidRPr="004676F5" w:rsidRDefault="004808C3" w:rsidP="00C95D7A">
      <w:pPr>
        <w:autoSpaceDE w:val="0"/>
        <w:autoSpaceDN w:val="0"/>
        <w:adjustRightInd w:val="0"/>
        <w:jc w:val="both"/>
        <w:rPr>
          <w:lang w:val="de-DE"/>
        </w:rPr>
      </w:pPr>
    </w:p>
    <w:p w14:paraId="497B2786" w14:textId="2C8D4F95" w:rsidR="00900885" w:rsidRPr="004676F5" w:rsidRDefault="005B7A5C" w:rsidP="00C95D7A">
      <w:pPr>
        <w:autoSpaceDE w:val="0"/>
        <w:autoSpaceDN w:val="0"/>
        <w:adjustRightInd w:val="0"/>
        <w:jc w:val="both"/>
        <w:rPr>
          <w:lang w:val="de-DE"/>
        </w:rPr>
      </w:pPr>
      <w:r w:rsidRPr="004676F5">
        <w:rPr>
          <w:lang w:val="de-DE"/>
        </w:rPr>
        <w:t>- </w:t>
      </w:r>
      <w:r w:rsidR="004808C3" w:rsidRPr="004676F5">
        <w:rPr>
          <w:lang w:val="de-DE"/>
        </w:rPr>
        <w:t>das Gesetz vom 19. April 2014 zur Einfügung von Buch XI "Geistiges Eigentum" in das Wirtschaftsgesetzbuch und zur Einfügung der Buch XI eigenen Bestimmungen in die Bücher I, XV und XVII desselben Gesetzbuches (</w:t>
      </w:r>
      <w:r w:rsidR="004808C3" w:rsidRPr="004676F5">
        <w:rPr>
          <w:i/>
          <w:lang w:val="de-DE"/>
        </w:rPr>
        <w:t>Belgisches Staatsblatt</w:t>
      </w:r>
      <w:r w:rsidR="004808C3" w:rsidRPr="004676F5">
        <w:rPr>
          <w:lang w:val="de-DE"/>
        </w:rPr>
        <w:t xml:space="preserve"> vom 13. September 2017) </w:t>
      </w:r>
      <w:r w:rsidR="00890D8E" w:rsidRPr="004676F5">
        <w:rPr>
          <w:i/>
          <w:lang w:val="de-DE"/>
        </w:rPr>
        <w:t>(II)</w:t>
      </w:r>
      <w:r w:rsidR="00890D8E" w:rsidRPr="004676F5">
        <w:rPr>
          <w:lang w:val="de-DE"/>
        </w:rPr>
        <w:t>,</w:t>
      </w:r>
    </w:p>
    <w:p w14:paraId="14A80AE9" w14:textId="77777777" w:rsidR="004808C3" w:rsidRPr="004676F5" w:rsidRDefault="004808C3" w:rsidP="00C95D7A">
      <w:pPr>
        <w:autoSpaceDE w:val="0"/>
        <w:autoSpaceDN w:val="0"/>
        <w:adjustRightInd w:val="0"/>
        <w:jc w:val="both"/>
        <w:rPr>
          <w:i/>
          <w:lang w:val="de-DE"/>
        </w:rPr>
      </w:pPr>
    </w:p>
    <w:p w14:paraId="0DB74E36" w14:textId="6C105CBE" w:rsidR="00900885" w:rsidRPr="004676F5" w:rsidRDefault="005B7A5C" w:rsidP="00C95D7A">
      <w:pPr>
        <w:autoSpaceDE w:val="0"/>
        <w:autoSpaceDN w:val="0"/>
        <w:adjustRightInd w:val="0"/>
        <w:jc w:val="both"/>
        <w:rPr>
          <w:lang w:val="de-DE"/>
        </w:rPr>
      </w:pPr>
      <w:r w:rsidRPr="004676F5">
        <w:rPr>
          <w:lang w:val="de-DE"/>
        </w:rPr>
        <w:t>- </w:t>
      </w:r>
      <w:r w:rsidR="00900885" w:rsidRPr="004676F5">
        <w:rPr>
          <w:lang w:val="de-DE"/>
        </w:rPr>
        <w:t>die Artikel 40 bis</w:t>
      </w:r>
      <w:r w:rsidR="00741434" w:rsidRPr="004676F5">
        <w:rPr>
          <w:lang w:val="de-DE"/>
        </w:rPr>
        <w:t xml:space="preserve"> </w:t>
      </w:r>
      <w:r w:rsidR="00900885" w:rsidRPr="004676F5">
        <w:rPr>
          <w:lang w:val="de-DE"/>
        </w:rPr>
        <w:t>53 des Gesetzes vom 15. Mai 2014 zur Ausführung des Pakts für Wettbewerbsfähigkeit, Beschäftigung und Wirtschaftsbelebung (</w:t>
      </w:r>
      <w:r w:rsidR="00900885" w:rsidRPr="004676F5">
        <w:rPr>
          <w:i/>
          <w:lang w:val="de-DE"/>
        </w:rPr>
        <w:t>Belgisches Staatsblatt</w:t>
      </w:r>
      <w:r w:rsidR="00900885" w:rsidRPr="004676F5">
        <w:rPr>
          <w:lang w:val="de-DE"/>
        </w:rPr>
        <w:t xml:space="preserve"> vom 4. September 2015)</w:t>
      </w:r>
      <w:r w:rsidR="0094304C" w:rsidRPr="004676F5">
        <w:rPr>
          <w:i/>
          <w:iCs/>
          <w:lang w:val="de-DE"/>
        </w:rPr>
        <w:t> (I)</w:t>
      </w:r>
      <w:r w:rsidR="004C135D" w:rsidRPr="004676F5">
        <w:rPr>
          <w:lang w:val="de-DE"/>
        </w:rPr>
        <w:t>,</w:t>
      </w:r>
    </w:p>
    <w:p w14:paraId="4C401E9F" w14:textId="77777777" w:rsidR="0094304C" w:rsidRPr="004676F5" w:rsidRDefault="0094304C" w:rsidP="00C95D7A">
      <w:pPr>
        <w:autoSpaceDE w:val="0"/>
        <w:autoSpaceDN w:val="0"/>
        <w:adjustRightInd w:val="0"/>
        <w:jc w:val="both"/>
        <w:rPr>
          <w:lang w:val="de-DE"/>
        </w:rPr>
      </w:pPr>
    </w:p>
    <w:p w14:paraId="52E38BA8" w14:textId="2E963711" w:rsidR="003E3500" w:rsidRPr="004676F5" w:rsidRDefault="005B7A5C" w:rsidP="00C95D7A">
      <w:pPr>
        <w:autoSpaceDE w:val="0"/>
        <w:autoSpaceDN w:val="0"/>
        <w:adjustRightInd w:val="0"/>
        <w:jc w:val="both"/>
        <w:rPr>
          <w:lang w:val="de-DE"/>
        </w:rPr>
      </w:pPr>
      <w:r w:rsidRPr="004676F5">
        <w:rPr>
          <w:lang w:val="de-DE"/>
        </w:rPr>
        <w:t>- </w:t>
      </w:r>
      <w:r w:rsidR="0094304C" w:rsidRPr="004676F5">
        <w:rPr>
          <w:lang w:val="de-DE"/>
        </w:rPr>
        <w:t>das Gesetz vom 15. Mai 2014 zur Einfügung von Buch</w:t>
      </w:r>
      <w:r w:rsidRPr="004676F5">
        <w:rPr>
          <w:lang w:val="de-DE"/>
        </w:rPr>
        <w:t> </w:t>
      </w:r>
      <w:r w:rsidR="0094304C" w:rsidRPr="004676F5">
        <w:rPr>
          <w:lang w:val="de-DE"/>
        </w:rPr>
        <w:t>XIV "Marktpraktiken und Verbraucherschutz in Bezug auf Freiberufler" in das Wirtschaftsgesetzbuch und zur Einfügung der Buch</w:t>
      </w:r>
      <w:r w:rsidRPr="004676F5">
        <w:rPr>
          <w:lang w:val="de-DE"/>
        </w:rPr>
        <w:t> </w:t>
      </w:r>
      <w:r w:rsidR="0094304C" w:rsidRPr="004676F5">
        <w:rPr>
          <w:lang w:val="de-DE"/>
        </w:rPr>
        <w:t>XIV eigenen Begriffsbestimmungen und der Buch</w:t>
      </w:r>
      <w:r w:rsidRPr="004676F5">
        <w:rPr>
          <w:lang w:val="de-DE"/>
        </w:rPr>
        <w:t> </w:t>
      </w:r>
      <w:r w:rsidR="0094304C" w:rsidRPr="004676F5">
        <w:rPr>
          <w:lang w:val="de-DE"/>
        </w:rPr>
        <w:t>XIV eigenen Rechtsdurchsetzungsbestimmungen in die Bücher</w:t>
      </w:r>
      <w:r w:rsidRPr="004676F5">
        <w:rPr>
          <w:lang w:val="de-DE"/>
        </w:rPr>
        <w:t> </w:t>
      </w:r>
      <w:r w:rsidR="0094304C" w:rsidRPr="004676F5">
        <w:rPr>
          <w:lang w:val="de-DE"/>
        </w:rPr>
        <w:t>I und XV des Wirtschaftsgesetzbuches (</w:t>
      </w:r>
      <w:r w:rsidR="0094304C" w:rsidRPr="004676F5">
        <w:rPr>
          <w:i/>
          <w:lang w:val="de-DE"/>
        </w:rPr>
        <w:t>Belgisches Staatsblatt</w:t>
      </w:r>
      <w:r w:rsidR="0094304C" w:rsidRPr="004676F5">
        <w:rPr>
          <w:lang w:val="de-DE"/>
        </w:rPr>
        <w:t xml:space="preserve"> vom 3. November 2017) </w:t>
      </w:r>
      <w:r w:rsidR="0094304C" w:rsidRPr="004676F5">
        <w:rPr>
          <w:i/>
          <w:lang w:val="de-DE"/>
        </w:rPr>
        <w:t>(II)</w:t>
      </w:r>
      <w:r w:rsidR="0094304C" w:rsidRPr="004676F5">
        <w:rPr>
          <w:lang w:val="de-DE"/>
        </w:rPr>
        <w:t>,</w:t>
      </w:r>
    </w:p>
    <w:p w14:paraId="7E719A52" w14:textId="77777777" w:rsidR="00E71C0A" w:rsidRPr="004676F5" w:rsidRDefault="00E71C0A" w:rsidP="00C95D7A">
      <w:pPr>
        <w:autoSpaceDE w:val="0"/>
        <w:autoSpaceDN w:val="0"/>
        <w:adjustRightInd w:val="0"/>
        <w:jc w:val="both"/>
        <w:rPr>
          <w:lang w:val="de-DE"/>
        </w:rPr>
      </w:pPr>
    </w:p>
    <w:p w14:paraId="673A4A60" w14:textId="7CEC893C" w:rsidR="00E71C0A" w:rsidRPr="004676F5" w:rsidRDefault="005B7A5C" w:rsidP="00C95D7A">
      <w:pPr>
        <w:autoSpaceDE w:val="0"/>
        <w:autoSpaceDN w:val="0"/>
        <w:adjustRightInd w:val="0"/>
        <w:jc w:val="both"/>
        <w:rPr>
          <w:lang w:val="de-DE"/>
        </w:rPr>
      </w:pPr>
      <w:r w:rsidRPr="004676F5">
        <w:rPr>
          <w:lang w:val="de-DE"/>
        </w:rPr>
        <w:t>- </w:t>
      </w:r>
      <w:r w:rsidR="00E71C0A" w:rsidRPr="004676F5">
        <w:rPr>
          <w:lang w:val="de-DE"/>
        </w:rPr>
        <w:t>das Gesetz vom 15. Mai 2014 zur Einfügung der Bestimmungen zur Regelung von Angelegenheiten erwähnt in Artikel 77 der Verfassung in Bezug auf Freiberufler in Buch XVII des Wirtschaftsgesetzbuches (</w:t>
      </w:r>
      <w:r w:rsidR="00E71C0A" w:rsidRPr="004676F5">
        <w:rPr>
          <w:i/>
          <w:lang w:val="de-DE"/>
        </w:rPr>
        <w:t>Belgisches Staatsblatt</w:t>
      </w:r>
      <w:r w:rsidR="00E71C0A" w:rsidRPr="004676F5">
        <w:rPr>
          <w:lang w:val="de-DE"/>
        </w:rPr>
        <w:t xml:space="preserve"> vom 11. Oktober 2017) </w:t>
      </w:r>
      <w:r w:rsidR="00E71C0A" w:rsidRPr="004676F5">
        <w:rPr>
          <w:i/>
          <w:lang w:val="de-DE"/>
        </w:rPr>
        <w:t>(III)</w:t>
      </w:r>
      <w:r w:rsidR="00E71C0A" w:rsidRPr="004676F5">
        <w:rPr>
          <w:lang w:val="de-DE"/>
        </w:rPr>
        <w:t>,</w:t>
      </w:r>
    </w:p>
    <w:p w14:paraId="42443831" w14:textId="77777777" w:rsidR="00E71C0A" w:rsidRPr="004676F5" w:rsidRDefault="00E71C0A" w:rsidP="00C95D7A">
      <w:pPr>
        <w:autoSpaceDE w:val="0"/>
        <w:autoSpaceDN w:val="0"/>
        <w:adjustRightInd w:val="0"/>
        <w:jc w:val="both"/>
        <w:rPr>
          <w:lang w:val="de-DE"/>
        </w:rPr>
      </w:pPr>
    </w:p>
    <w:p w14:paraId="4E2C782E" w14:textId="3B027763" w:rsidR="00E71C0A" w:rsidRPr="004676F5" w:rsidRDefault="005B7A5C" w:rsidP="00C95D7A">
      <w:pPr>
        <w:autoSpaceDE w:val="0"/>
        <w:autoSpaceDN w:val="0"/>
        <w:adjustRightInd w:val="0"/>
        <w:jc w:val="both"/>
        <w:rPr>
          <w:lang w:val="de-DE"/>
        </w:rPr>
      </w:pPr>
      <w:r w:rsidRPr="004676F5">
        <w:rPr>
          <w:lang w:val="de-DE"/>
        </w:rPr>
        <w:t>- </w:t>
      </w:r>
      <w:r w:rsidR="00E71C0A" w:rsidRPr="004676F5">
        <w:rPr>
          <w:lang w:val="de-DE"/>
        </w:rPr>
        <w:t>das Gesetz vom 15. Mai 2014 zur Abänderung von Buch</w:t>
      </w:r>
      <w:r w:rsidRPr="004676F5">
        <w:rPr>
          <w:lang w:val="de-DE"/>
        </w:rPr>
        <w:t> </w:t>
      </w:r>
      <w:r w:rsidR="00E71C0A" w:rsidRPr="004676F5">
        <w:rPr>
          <w:lang w:val="de-DE"/>
        </w:rPr>
        <w:t>XVII des Wirtschaftsgesetzbuches in Bezug auf die Freiberufler (</w:t>
      </w:r>
      <w:r w:rsidR="00E71C0A" w:rsidRPr="004676F5">
        <w:rPr>
          <w:i/>
          <w:lang w:val="de-DE"/>
        </w:rPr>
        <w:t>Belgisches Staatsblatt</w:t>
      </w:r>
      <w:r w:rsidR="00E71C0A" w:rsidRPr="004676F5">
        <w:rPr>
          <w:lang w:val="de-DE"/>
        </w:rPr>
        <w:t xml:space="preserve"> vom 11. Oktober 2017) </w:t>
      </w:r>
      <w:r w:rsidR="00E71C0A" w:rsidRPr="004676F5">
        <w:rPr>
          <w:i/>
          <w:lang w:val="de-DE"/>
        </w:rPr>
        <w:t>(IV)</w:t>
      </w:r>
      <w:r w:rsidR="00E71C0A" w:rsidRPr="004676F5">
        <w:rPr>
          <w:lang w:val="de-DE"/>
        </w:rPr>
        <w:t>,</w:t>
      </w:r>
    </w:p>
    <w:p w14:paraId="1B0B6863" w14:textId="77777777" w:rsidR="00AD40DF" w:rsidRPr="004676F5" w:rsidRDefault="00AD40DF" w:rsidP="00C95D7A">
      <w:pPr>
        <w:autoSpaceDE w:val="0"/>
        <w:autoSpaceDN w:val="0"/>
        <w:adjustRightInd w:val="0"/>
        <w:jc w:val="both"/>
        <w:rPr>
          <w:lang w:val="de-DE"/>
        </w:rPr>
      </w:pPr>
    </w:p>
    <w:p w14:paraId="1FB0521E" w14:textId="779C13B2" w:rsidR="00AD40DF" w:rsidRPr="004676F5" w:rsidRDefault="005B7A5C" w:rsidP="00C95D7A">
      <w:pPr>
        <w:autoSpaceDE w:val="0"/>
        <w:autoSpaceDN w:val="0"/>
        <w:adjustRightInd w:val="0"/>
        <w:jc w:val="both"/>
        <w:rPr>
          <w:lang w:val="de-DE"/>
        </w:rPr>
      </w:pPr>
      <w:r w:rsidRPr="004676F5">
        <w:rPr>
          <w:lang w:val="de-DE"/>
        </w:rPr>
        <w:t>- </w:t>
      </w:r>
      <w:r w:rsidR="00AD40DF" w:rsidRPr="004676F5">
        <w:rPr>
          <w:lang w:val="de-DE"/>
        </w:rPr>
        <w:t>das Gesetz vom 20. Juli 2015 zur Umsetzung der Richtlinie</w:t>
      </w:r>
      <w:r w:rsidRPr="004676F5">
        <w:rPr>
          <w:lang w:val="de-DE"/>
        </w:rPr>
        <w:t> </w:t>
      </w:r>
      <w:r w:rsidR="00AD40DF" w:rsidRPr="004676F5">
        <w:rPr>
          <w:lang w:val="de-DE"/>
        </w:rPr>
        <w:t>2012/28/EU des Europäischen Parlaments und des Rates vom 25.</w:t>
      </w:r>
      <w:r w:rsidRPr="004676F5">
        <w:rPr>
          <w:lang w:val="de-DE"/>
        </w:rPr>
        <w:t> </w:t>
      </w:r>
      <w:r w:rsidR="00AD40DF" w:rsidRPr="004676F5">
        <w:rPr>
          <w:lang w:val="de-DE"/>
        </w:rPr>
        <w:t>Oktober</w:t>
      </w:r>
      <w:r w:rsidRPr="004676F5">
        <w:rPr>
          <w:lang w:val="de-DE"/>
        </w:rPr>
        <w:t> </w:t>
      </w:r>
      <w:r w:rsidR="00AD40DF" w:rsidRPr="004676F5">
        <w:rPr>
          <w:lang w:val="de-DE"/>
        </w:rPr>
        <w:t>2012 über bestimmte zulässige Formen der Nutzung verwaister Werke (</w:t>
      </w:r>
      <w:r w:rsidR="00AD40DF" w:rsidRPr="004676F5">
        <w:rPr>
          <w:i/>
          <w:lang w:val="de-DE"/>
        </w:rPr>
        <w:t>Belgisches Staatsblatt</w:t>
      </w:r>
      <w:r w:rsidR="00AD40DF" w:rsidRPr="004676F5">
        <w:rPr>
          <w:lang w:val="de-DE"/>
        </w:rPr>
        <w:t xml:space="preserve"> vom 8. Februar 2018),</w:t>
      </w:r>
    </w:p>
    <w:p w14:paraId="4A4B0C8F" w14:textId="77777777" w:rsidR="0094304C" w:rsidRPr="004676F5" w:rsidRDefault="0094304C" w:rsidP="00C95D7A">
      <w:pPr>
        <w:autoSpaceDE w:val="0"/>
        <w:autoSpaceDN w:val="0"/>
        <w:adjustRightInd w:val="0"/>
        <w:jc w:val="both"/>
        <w:rPr>
          <w:lang w:val="de-DE"/>
        </w:rPr>
      </w:pPr>
    </w:p>
    <w:p w14:paraId="3C2DA49D" w14:textId="5FEE4AE3" w:rsidR="003E3500" w:rsidRPr="004676F5" w:rsidRDefault="005B7A5C" w:rsidP="00C95D7A">
      <w:pPr>
        <w:autoSpaceDE w:val="0"/>
        <w:autoSpaceDN w:val="0"/>
        <w:adjustRightInd w:val="0"/>
        <w:jc w:val="both"/>
        <w:rPr>
          <w:lang w:val="de-DE"/>
        </w:rPr>
      </w:pPr>
      <w:r w:rsidRPr="004676F5">
        <w:rPr>
          <w:lang w:val="de-DE"/>
        </w:rPr>
        <w:t>- </w:t>
      </w:r>
      <w:r w:rsidR="00967E1A" w:rsidRPr="004676F5">
        <w:rPr>
          <w:lang w:val="de-DE"/>
        </w:rPr>
        <w:t xml:space="preserve">die </w:t>
      </w:r>
      <w:r w:rsidR="003E3500" w:rsidRPr="004676F5">
        <w:rPr>
          <w:lang w:val="de-DE"/>
        </w:rPr>
        <w:t>Artikel </w:t>
      </w:r>
      <w:r w:rsidR="00967E1A" w:rsidRPr="004676F5">
        <w:rPr>
          <w:lang w:val="de-DE"/>
        </w:rPr>
        <w:t>2 bis 71</w:t>
      </w:r>
      <w:r w:rsidR="003E3500" w:rsidRPr="004676F5">
        <w:rPr>
          <w:lang w:val="de-DE"/>
        </w:rPr>
        <w:t xml:space="preserve"> des Gesetzes vom 26. Oktober 2015 zur Abänderung des Wirtschafts</w:t>
      </w:r>
      <w:r w:rsidR="003E3500" w:rsidRPr="004676F5">
        <w:rPr>
          <w:lang w:val="de-DE"/>
        </w:rPr>
        <w:softHyphen/>
        <w:t>gesetzbuches und zur Festlegung verschiedener anderer Abänderungs</w:t>
      </w:r>
      <w:r w:rsidR="003E3500" w:rsidRPr="004676F5">
        <w:rPr>
          <w:lang w:val="de-DE"/>
        </w:rPr>
        <w:softHyphen/>
        <w:t>bestimmungen</w:t>
      </w:r>
      <w:r w:rsidR="00967E1A" w:rsidRPr="004676F5">
        <w:rPr>
          <w:lang w:val="de-DE"/>
        </w:rPr>
        <w:t xml:space="preserve"> (</w:t>
      </w:r>
      <w:r w:rsidR="00967E1A" w:rsidRPr="004676F5">
        <w:rPr>
          <w:i/>
          <w:lang w:val="de-DE"/>
        </w:rPr>
        <w:t>Belgisches Staatsblatt</w:t>
      </w:r>
      <w:r w:rsidR="00967E1A" w:rsidRPr="004676F5">
        <w:rPr>
          <w:lang w:val="de-DE"/>
        </w:rPr>
        <w:t xml:space="preserve"> vom </w:t>
      </w:r>
      <w:r w:rsidR="00895A27" w:rsidRPr="004676F5">
        <w:rPr>
          <w:lang w:val="de-DE"/>
        </w:rPr>
        <w:t>22. März 2018)</w:t>
      </w:r>
      <w:r w:rsidR="000714DA" w:rsidRPr="004676F5">
        <w:rPr>
          <w:lang w:val="de-DE"/>
        </w:rPr>
        <w:t>,</w:t>
      </w:r>
    </w:p>
    <w:p w14:paraId="3E10ECA2" w14:textId="77777777" w:rsidR="00CC01F3" w:rsidRPr="004676F5" w:rsidRDefault="00CC01F3" w:rsidP="00C95D7A">
      <w:pPr>
        <w:autoSpaceDE w:val="0"/>
        <w:autoSpaceDN w:val="0"/>
        <w:adjustRightInd w:val="0"/>
        <w:jc w:val="both"/>
        <w:rPr>
          <w:lang w:val="de-DE"/>
        </w:rPr>
      </w:pPr>
    </w:p>
    <w:p w14:paraId="2A52D546" w14:textId="6389676B" w:rsidR="00CC01F3" w:rsidRPr="004676F5" w:rsidRDefault="005B7A5C" w:rsidP="00C95D7A">
      <w:pPr>
        <w:autoSpaceDE w:val="0"/>
        <w:autoSpaceDN w:val="0"/>
        <w:adjustRightInd w:val="0"/>
        <w:jc w:val="both"/>
        <w:rPr>
          <w:lang w:val="de-DE"/>
        </w:rPr>
      </w:pPr>
      <w:r w:rsidRPr="004676F5">
        <w:rPr>
          <w:lang w:val="de-DE"/>
        </w:rPr>
        <w:t>- </w:t>
      </w:r>
      <w:r w:rsidR="00CC01F3" w:rsidRPr="004676F5">
        <w:rPr>
          <w:lang w:val="de-DE"/>
        </w:rPr>
        <w:t>Artikel 4 des Königlichen Erlasses vom 18. Dezember 2015 zur Abänderung des Königlichen Erlasses vom 19. April 2014 zur Festlegung des Inkrafttretens des Gesetzes vom 19. April 2014 zur Einfügung von Buch XI "Geistiges Eigentum" in das Wirtschaftsgesetzbuch und zur Einfügung der Buch</w:t>
      </w:r>
      <w:r w:rsidRPr="004676F5">
        <w:rPr>
          <w:lang w:val="de-DE"/>
        </w:rPr>
        <w:t> </w:t>
      </w:r>
      <w:r w:rsidR="00CC01F3" w:rsidRPr="004676F5">
        <w:rPr>
          <w:lang w:val="de-DE"/>
        </w:rPr>
        <w:t>XI eigenen Bestimmungen in die Bücher I, XV und XVII desselben Gesetzbuches und des Gesetzes vom 10. April 2014 zur Einfügung der Bestimmungen zur Regelung von Angelegenheiten erwähnt in Artikel 77 der Verfassung in Buch XI "Geistiges Eigentum" des Wirtschaftsgesetzbuches, zur Einfügung einer Buch XI eigenen Bestimmung in Buch XVII desselben Gesetzbuches und zur Abänderung des Gerichtsgesetzbuches hinsichtlich der Organisation der Gerichtshöfe und Gerichte für Klagen in Bezug auf das geistige Eigentumsrecht und die Transparenz des Urheberrechts und ähnlicher Rechte (</w:t>
      </w:r>
      <w:r w:rsidR="00CC01F3" w:rsidRPr="004676F5">
        <w:rPr>
          <w:i/>
          <w:lang w:val="de-DE"/>
        </w:rPr>
        <w:t>Belgisches Staatsblatt</w:t>
      </w:r>
      <w:r w:rsidR="00CC01F3" w:rsidRPr="004676F5">
        <w:rPr>
          <w:lang w:val="de-DE"/>
        </w:rPr>
        <w:t xml:space="preserve"> vom 23. März 2018),</w:t>
      </w:r>
    </w:p>
    <w:p w14:paraId="46CCB0C7" w14:textId="77777777" w:rsidR="00CC01F3" w:rsidRPr="004676F5" w:rsidRDefault="00CC01F3" w:rsidP="00C95D7A">
      <w:pPr>
        <w:autoSpaceDE w:val="0"/>
        <w:autoSpaceDN w:val="0"/>
        <w:adjustRightInd w:val="0"/>
        <w:jc w:val="both"/>
        <w:rPr>
          <w:lang w:val="de-DE"/>
        </w:rPr>
      </w:pPr>
    </w:p>
    <w:p w14:paraId="35A68DAC" w14:textId="31B01B4D" w:rsidR="00CC01F3" w:rsidRPr="004676F5" w:rsidRDefault="005B7A5C" w:rsidP="00C95D7A">
      <w:pPr>
        <w:autoSpaceDE w:val="0"/>
        <w:autoSpaceDN w:val="0"/>
        <w:adjustRightInd w:val="0"/>
        <w:jc w:val="both"/>
        <w:rPr>
          <w:lang w:val="de-DE"/>
        </w:rPr>
      </w:pPr>
      <w:r w:rsidRPr="004676F5">
        <w:rPr>
          <w:lang w:val="de-DE"/>
        </w:rPr>
        <w:lastRenderedPageBreak/>
        <w:t>- </w:t>
      </w:r>
      <w:r w:rsidR="00CC01F3" w:rsidRPr="004676F5">
        <w:rPr>
          <w:lang w:val="de-DE"/>
        </w:rPr>
        <w:t xml:space="preserve">die Artikel 48 bis 55 des Gesetzes vom 18. Dezember 2015 zur Festlegung verschiedener finanzieller Bestimmungen, zur Schaffung des Verwaltungsdienstes mit autonomer Buchführung "Soziale Tätigkeiten", zur </w:t>
      </w:r>
      <w:r w:rsidR="0016414E" w:rsidRPr="004676F5">
        <w:rPr>
          <w:lang w:val="de-DE"/>
        </w:rPr>
        <w:t>Abänderung des Gesetzes vom 11. Mai </w:t>
      </w:r>
      <w:r w:rsidR="00CC01F3" w:rsidRPr="004676F5">
        <w:rPr>
          <w:lang w:val="de-DE"/>
        </w:rPr>
        <w:t>1995 über die Durchführung der Beschlüsse des Sicherheitsrates der Organisation der Vereinten Nationen und zur Festlegung einer Bestimmung in Sachen Gleichstellung von Frauen und Männern (</w:t>
      </w:r>
      <w:r w:rsidR="00CC01F3" w:rsidRPr="004676F5">
        <w:rPr>
          <w:i/>
          <w:lang w:val="de-DE"/>
        </w:rPr>
        <w:t>Belgisches Staatsblatt</w:t>
      </w:r>
      <w:r w:rsidR="00CC01F3" w:rsidRPr="004676F5">
        <w:rPr>
          <w:lang w:val="de-DE"/>
        </w:rPr>
        <w:t xml:space="preserve"> vom 23. März 2018) </w:t>
      </w:r>
      <w:r w:rsidR="00CC01F3" w:rsidRPr="004676F5">
        <w:rPr>
          <w:i/>
          <w:lang w:val="de-DE"/>
        </w:rPr>
        <w:t>(I)</w:t>
      </w:r>
      <w:r w:rsidR="00CC01F3" w:rsidRPr="004676F5">
        <w:rPr>
          <w:lang w:val="de-DE"/>
        </w:rPr>
        <w:t>,</w:t>
      </w:r>
    </w:p>
    <w:p w14:paraId="5195CEFC" w14:textId="77777777" w:rsidR="00CC01F3" w:rsidRPr="004676F5" w:rsidRDefault="00CC01F3" w:rsidP="00C95D7A">
      <w:pPr>
        <w:autoSpaceDE w:val="0"/>
        <w:autoSpaceDN w:val="0"/>
        <w:adjustRightInd w:val="0"/>
        <w:jc w:val="both"/>
        <w:rPr>
          <w:lang w:val="de-DE"/>
        </w:rPr>
      </w:pPr>
    </w:p>
    <w:p w14:paraId="7B3268AB" w14:textId="3AD1EB0F" w:rsidR="00CC01F3" w:rsidRPr="004676F5" w:rsidRDefault="005B7A5C" w:rsidP="00C95D7A">
      <w:pPr>
        <w:autoSpaceDE w:val="0"/>
        <w:autoSpaceDN w:val="0"/>
        <w:adjustRightInd w:val="0"/>
        <w:jc w:val="both"/>
        <w:rPr>
          <w:lang w:val="de-DE"/>
        </w:rPr>
      </w:pPr>
      <w:r w:rsidRPr="004676F5">
        <w:rPr>
          <w:lang w:val="de-DE"/>
        </w:rPr>
        <w:t>- </w:t>
      </w:r>
      <w:r w:rsidR="00CC01F3" w:rsidRPr="004676F5">
        <w:rPr>
          <w:lang w:val="de-DE"/>
        </w:rPr>
        <w:t xml:space="preserve">die Artikel 37 bis 44 des Gesetzes vom 18. Dezember 2015 </w:t>
      </w:r>
      <w:r w:rsidR="0016414E" w:rsidRPr="004676F5">
        <w:rPr>
          <w:lang w:val="de-DE"/>
        </w:rPr>
        <w:t>zur Umsetzung der Richtlinie 2013/34/EU des Europäischen Parlaments und des Rates vom 26. Juni 2013 über den Jahresabschluss, den konsolidierten Abschluss und damit verbundene Berichte von Unternehmen bestimmter Rechtsformen und zur Änderung der Richtlinie 2006/43/EG des Europäischen Parlaments und des Rates und zur Aufhebung der Richtlinien 78/660/EWG und 83/349/EWG des Rates (</w:t>
      </w:r>
      <w:r w:rsidR="0016414E" w:rsidRPr="004676F5">
        <w:rPr>
          <w:i/>
          <w:lang w:val="de-DE"/>
        </w:rPr>
        <w:t>Belgisches Staatsblatt</w:t>
      </w:r>
      <w:r w:rsidR="0016414E" w:rsidRPr="004676F5">
        <w:rPr>
          <w:lang w:val="de-DE"/>
        </w:rPr>
        <w:t xml:space="preserve"> vom 23. März 2018) </w:t>
      </w:r>
      <w:r w:rsidR="0016414E" w:rsidRPr="004676F5">
        <w:rPr>
          <w:i/>
          <w:lang w:val="de-DE"/>
        </w:rPr>
        <w:t>(II)</w:t>
      </w:r>
      <w:r w:rsidR="0016414E" w:rsidRPr="004676F5">
        <w:rPr>
          <w:lang w:val="de-DE"/>
        </w:rPr>
        <w:t>,</w:t>
      </w:r>
    </w:p>
    <w:p w14:paraId="57E66121" w14:textId="77777777" w:rsidR="00B570D5" w:rsidRPr="004676F5" w:rsidRDefault="00B570D5" w:rsidP="00C95D7A">
      <w:pPr>
        <w:autoSpaceDE w:val="0"/>
        <w:autoSpaceDN w:val="0"/>
        <w:adjustRightInd w:val="0"/>
        <w:jc w:val="both"/>
        <w:rPr>
          <w:lang w:val="de-DE"/>
        </w:rPr>
      </w:pPr>
    </w:p>
    <w:p w14:paraId="3C291651" w14:textId="2A21F17F" w:rsidR="00B570D5" w:rsidRPr="004676F5" w:rsidRDefault="005B7A5C" w:rsidP="00C95D7A">
      <w:pPr>
        <w:autoSpaceDE w:val="0"/>
        <w:autoSpaceDN w:val="0"/>
        <w:adjustRightInd w:val="0"/>
        <w:jc w:val="both"/>
        <w:rPr>
          <w:lang w:val="de-DE"/>
        </w:rPr>
      </w:pPr>
      <w:r w:rsidRPr="004676F5">
        <w:rPr>
          <w:lang w:val="de-DE"/>
        </w:rPr>
        <w:t>- </w:t>
      </w:r>
      <w:r w:rsidR="00B570D5" w:rsidRPr="004676F5">
        <w:rPr>
          <w:lang w:val="de-DE"/>
        </w:rPr>
        <w:t>Artikel 54 des Programmgesetzes (I) vom 26. Dezember 2015 (</w:t>
      </w:r>
      <w:r w:rsidR="00B570D5" w:rsidRPr="004676F5">
        <w:rPr>
          <w:i/>
          <w:lang w:val="de-DE"/>
        </w:rPr>
        <w:t>Belgisches Staatsblatt</w:t>
      </w:r>
      <w:r w:rsidR="00B570D5" w:rsidRPr="004676F5">
        <w:rPr>
          <w:lang w:val="de-DE"/>
        </w:rPr>
        <w:t xml:space="preserve"> vom 25. Juli 2016),</w:t>
      </w:r>
    </w:p>
    <w:p w14:paraId="0F49E769" w14:textId="77777777" w:rsidR="0011796A" w:rsidRPr="004676F5" w:rsidRDefault="0011796A" w:rsidP="0011796A">
      <w:pPr>
        <w:jc w:val="both"/>
        <w:rPr>
          <w:lang w:val="de-DE"/>
        </w:rPr>
      </w:pPr>
    </w:p>
    <w:p w14:paraId="213F73A6" w14:textId="53534CA3" w:rsidR="0011796A" w:rsidRPr="004676F5" w:rsidRDefault="005B7A5C" w:rsidP="0011796A">
      <w:pPr>
        <w:jc w:val="both"/>
        <w:rPr>
          <w:lang w:val="de-DE"/>
        </w:rPr>
      </w:pPr>
      <w:r w:rsidRPr="004676F5">
        <w:rPr>
          <w:lang w:val="de-DE"/>
        </w:rPr>
        <w:t>- </w:t>
      </w:r>
      <w:r w:rsidR="0011796A" w:rsidRPr="004676F5">
        <w:rPr>
          <w:lang w:val="de-DE"/>
        </w:rPr>
        <w:t>die Artikel 749 bis 754 des Gesetzes vom 13. März 2016 über den Status und die Kontrolle der Versicherungs</w:t>
      </w:r>
      <w:r w:rsidRPr="004676F5">
        <w:rPr>
          <w:lang w:val="de-DE"/>
        </w:rPr>
        <w:t>- </w:t>
      </w:r>
      <w:r w:rsidR="0011796A" w:rsidRPr="004676F5">
        <w:rPr>
          <w:lang w:val="de-DE"/>
        </w:rPr>
        <w:t>oder Rückversicherungsunternehmen (</w:t>
      </w:r>
      <w:r w:rsidR="0011796A" w:rsidRPr="004676F5">
        <w:rPr>
          <w:i/>
          <w:lang w:val="de-DE"/>
        </w:rPr>
        <w:t>Belgisches Staatsblatt</w:t>
      </w:r>
      <w:r w:rsidR="0011796A" w:rsidRPr="004676F5">
        <w:rPr>
          <w:lang w:val="de-DE"/>
        </w:rPr>
        <w:t xml:space="preserve"> vom 27. Januar 2017),</w:t>
      </w:r>
    </w:p>
    <w:p w14:paraId="1A446C3E" w14:textId="77777777" w:rsidR="000714DA" w:rsidRPr="004676F5" w:rsidRDefault="000714DA" w:rsidP="00C95D7A">
      <w:pPr>
        <w:autoSpaceDE w:val="0"/>
        <w:autoSpaceDN w:val="0"/>
        <w:adjustRightInd w:val="0"/>
        <w:jc w:val="both"/>
        <w:rPr>
          <w:lang w:val="de-DE"/>
        </w:rPr>
      </w:pPr>
    </w:p>
    <w:p w14:paraId="4DF93E32" w14:textId="238EB4C1" w:rsidR="000522F8" w:rsidRPr="004676F5" w:rsidRDefault="005B7A5C" w:rsidP="000522F8">
      <w:pPr>
        <w:autoSpaceDE w:val="0"/>
        <w:autoSpaceDN w:val="0"/>
        <w:adjustRightInd w:val="0"/>
        <w:jc w:val="both"/>
        <w:rPr>
          <w:iCs/>
          <w:lang w:val="de-DE"/>
        </w:rPr>
      </w:pPr>
      <w:r w:rsidRPr="004676F5">
        <w:rPr>
          <w:lang w:val="de-DE"/>
        </w:rPr>
        <w:t>- </w:t>
      </w:r>
      <w:r w:rsidR="000522F8" w:rsidRPr="004676F5">
        <w:rPr>
          <w:lang w:val="de-DE"/>
        </w:rPr>
        <w:t xml:space="preserve">das Gesetz vom 22. April 2016 zur Abänderung von Bestimmungen über Verbraucherkredit und Hypothekarkredit in mehreren Büchern des Wirtschaftsgesetzbuches und zur Einfügung solcher Bestimmungen in diese Bücher </w:t>
      </w:r>
      <w:r w:rsidR="000522F8" w:rsidRPr="004676F5">
        <w:rPr>
          <w:iCs/>
          <w:lang w:val="de-DE"/>
        </w:rPr>
        <w:t>(</w:t>
      </w:r>
      <w:r w:rsidR="000522F8" w:rsidRPr="004676F5">
        <w:rPr>
          <w:i/>
          <w:iCs/>
          <w:lang w:val="de-DE"/>
        </w:rPr>
        <w:t>Belgisches Staatsblatt</w:t>
      </w:r>
      <w:r w:rsidR="000522F8" w:rsidRPr="004676F5">
        <w:rPr>
          <w:iCs/>
          <w:lang w:val="de-DE"/>
        </w:rPr>
        <w:t xml:space="preserve"> vom 27. November 2018),</w:t>
      </w:r>
    </w:p>
    <w:p w14:paraId="6DD3DC6D" w14:textId="77777777" w:rsidR="000522F8" w:rsidRPr="004676F5" w:rsidRDefault="000522F8" w:rsidP="00C95D7A">
      <w:pPr>
        <w:autoSpaceDE w:val="0"/>
        <w:autoSpaceDN w:val="0"/>
        <w:adjustRightInd w:val="0"/>
        <w:jc w:val="both"/>
        <w:rPr>
          <w:lang w:val="de-DE"/>
        </w:rPr>
      </w:pPr>
    </w:p>
    <w:p w14:paraId="73BC40C0" w14:textId="3C46A170" w:rsidR="000714DA" w:rsidRPr="004676F5" w:rsidRDefault="005B7A5C" w:rsidP="000714DA">
      <w:pPr>
        <w:autoSpaceDE w:val="0"/>
        <w:autoSpaceDN w:val="0"/>
        <w:adjustRightInd w:val="0"/>
        <w:jc w:val="both"/>
        <w:rPr>
          <w:iCs/>
          <w:lang w:val="de-DE"/>
        </w:rPr>
      </w:pPr>
      <w:r w:rsidRPr="004676F5">
        <w:rPr>
          <w:lang w:val="de-DE"/>
        </w:rPr>
        <w:t>- </w:t>
      </w:r>
      <w:r w:rsidR="000714DA" w:rsidRPr="004676F5">
        <w:rPr>
          <w:lang w:val="de-DE"/>
        </w:rPr>
        <w:t xml:space="preserve">das Gesetz vom 4. Mai 2016 zur Abänderung des Gesetzes vom 19. März 2014 zur gesetzlichen Bestimmung des Handwerkers </w:t>
      </w:r>
      <w:r w:rsidR="000714DA" w:rsidRPr="004676F5">
        <w:rPr>
          <w:iCs/>
          <w:lang w:val="de-DE"/>
        </w:rPr>
        <w:t>(</w:t>
      </w:r>
      <w:r w:rsidR="000714DA" w:rsidRPr="004676F5">
        <w:rPr>
          <w:i/>
          <w:iCs/>
          <w:lang w:val="de-DE"/>
        </w:rPr>
        <w:t xml:space="preserve">Belgisches Staatsblatt </w:t>
      </w:r>
      <w:r w:rsidR="000714DA" w:rsidRPr="004676F5">
        <w:rPr>
          <w:iCs/>
          <w:lang w:val="de-DE"/>
        </w:rPr>
        <w:t>vom 10. August 2016)</w:t>
      </w:r>
      <w:r w:rsidR="00995DE0" w:rsidRPr="004676F5">
        <w:rPr>
          <w:iCs/>
          <w:lang w:val="de-DE"/>
        </w:rPr>
        <w:t>,</w:t>
      </w:r>
    </w:p>
    <w:p w14:paraId="180CE908" w14:textId="77777777" w:rsidR="00110F98" w:rsidRPr="004676F5" w:rsidRDefault="00110F98" w:rsidP="000714DA">
      <w:pPr>
        <w:autoSpaceDE w:val="0"/>
        <w:autoSpaceDN w:val="0"/>
        <w:adjustRightInd w:val="0"/>
        <w:jc w:val="both"/>
        <w:rPr>
          <w:iCs/>
          <w:lang w:val="de-DE"/>
        </w:rPr>
      </w:pPr>
    </w:p>
    <w:p w14:paraId="4254A54F" w14:textId="70766468" w:rsidR="00110F98" w:rsidRPr="004676F5" w:rsidRDefault="005B7A5C" w:rsidP="000714DA">
      <w:pPr>
        <w:autoSpaceDE w:val="0"/>
        <w:autoSpaceDN w:val="0"/>
        <w:adjustRightInd w:val="0"/>
        <w:jc w:val="both"/>
        <w:rPr>
          <w:iCs/>
          <w:lang w:val="de-DE"/>
        </w:rPr>
      </w:pPr>
      <w:r w:rsidRPr="004676F5">
        <w:rPr>
          <w:iCs/>
          <w:lang w:val="de-DE"/>
        </w:rPr>
        <w:t>- </w:t>
      </w:r>
      <w:r w:rsidR="00110F98" w:rsidRPr="004676F5">
        <w:rPr>
          <w:iCs/>
          <w:lang w:val="de-DE"/>
        </w:rPr>
        <w:t>das Gesetz vom 6. Juni 2016</w:t>
      </w:r>
      <w:r w:rsidR="004E1A84" w:rsidRPr="004676F5">
        <w:rPr>
          <w:iCs/>
          <w:lang w:val="de-DE"/>
        </w:rPr>
        <w:t xml:space="preserve"> zur Abänderung des Wirtschaftsgesetzbuches in Bezug auf Auszüge der Zentralen Datenbank der Unternehmen (</w:t>
      </w:r>
      <w:r w:rsidR="004E1A84" w:rsidRPr="004676F5">
        <w:rPr>
          <w:i/>
          <w:iCs/>
          <w:lang w:val="de-DE"/>
        </w:rPr>
        <w:t>Belgisches Staatsblatt</w:t>
      </w:r>
      <w:r w:rsidR="004E1A84" w:rsidRPr="004676F5">
        <w:rPr>
          <w:iCs/>
          <w:lang w:val="de-DE"/>
        </w:rPr>
        <w:t xml:space="preserve"> vom 27. November 2018),</w:t>
      </w:r>
    </w:p>
    <w:p w14:paraId="44569387" w14:textId="77777777" w:rsidR="000A2E4B" w:rsidRPr="004676F5" w:rsidRDefault="000A2E4B" w:rsidP="000714DA">
      <w:pPr>
        <w:autoSpaceDE w:val="0"/>
        <w:autoSpaceDN w:val="0"/>
        <w:adjustRightInd w:val="0"/>
        <w:jc w:val="both"/>
        <w:rPr>
          <w:iCs/>
          <w:lang w:val="de-DE"/>
        </w:rPr>
      </w:pPr>
    </w:p>
    <w:p w14:paraId="486674FD" w14:textId="7EC3F09B" w:rsidR="000A2E4B" w:rsidRPr="004676F5" w:rsidRDefault="005B7A5C" w:rsidP="000714DA">
      <w:pPr>
        <w:autoSpaceDE w:val="0"/>
        <w:autoSpaceDN w:val="0"/>
        <w:adjustRightInd w:val="0"/>
        <w:jc w:val="both"/>
        <w:rPr>
          <w:iCs/>
          <w:lang w:val="de-DE"/>
        </w:rPr>
      </w:pPr>
      <w:r w:rsidRPr="004676F5">
        <w:rPr>
          <w:iCs/>
          <w:lang w:val="de-DE"/>
        </w:rPr>
        <w:t>- </w:t>
      </w:r>
      <w:r w:rsidR="000A2E4B" w:rsidRPr="004676F5">
        <w:rPr>
          <w:iCs/>
          <w:lang w:val="de-DE"/>
        </w:rPr>
        <w:t>das Gesetz vom 27. Juni 2016 zur Abänderung des Wirtschaftsgesetzbuches im Hinblick auf die Einführung der Panoramafreiheit (</w:t>
      </w:r>
      <w:r w:rsidR="000A2E4B" w:rsidRPr="004676F5">
        <w:rPr>
          <w:i/>
          <w:iCs/>
          <w:lang w:val="de-DE"/>
        </w:rPr>
        <w:t>Belgisches Staatsblatt</w:t>
      </w:r>
      <w:r w:rsidR="000A2E4B" w:rsidRPr="004676F5">
        <w:rPr>
          <w:iCs/>
          <w:lang w:val="de-DE"/>
        </w:rPr>
        <w:t xml:space="preserve"> vom 27. November 2018),</w:t>
      </w:r>
    </w:p>
    <w:p w14:paraId="1DA2EAAC" w14:textId="77777777" w:rsidR="00995DE0" w:rsidRPr="004676F5" w:rsidRDefault="00995DE0" w:rsidP="000714DA">
      <w:pPr>
        <w:autoSpaceDE w:val="0"/>
        <w:autoSpaceDN w:val="0"/>
        <w:adjustRightInd w:val="0"/>
        <w:jc w:val="both"/>
        <w:rPr>
          <w:lang w:val="de-DE"/>
        </w:rPr>
      </w:pPr>
    </w:p>
    <w:p w14:paraId="0E119D62" w14:textId="19938267" w:rsidR="00E064B4" w:rsidRPr="004676F5" w:rsidRDefault="005B7A5C" w:rsidP="000714DA">
      <w:pPr>
        <w:autoSpaceDE w:val="0"/>
        <w:autoSpaceDN w:val="0"/>
        <w:adjustRightInd w:val="0"/>
        <w:jc w:val="both"/>
        <w:rPr>
          <w:lang w:val="de-DE"/>
        </w:rPr>
      </w:pPr>
      <w:r w:rsidRPr="004676F5">
        <w:rPr>
          <w:lang w:val="de-DE"/>
        </w:rPr>
        <w:t>- </w:t>
      </w:r>
      <w:r w:rsidR="00E064B4" w:rsidRPr="004676F5">
        <w:rPr>
          <w:lang w:val="de-DE"/>
        </w:rPr>
        <w:t xml:space="preserve">das Gesetz vom 29. Juni 2016 zur Festlegung verschiedener Bestimmungen im Bereich Wirtschaft </w:t>
      </w:r>
      <w:r w:rsidR="00E064B4" w:rsidRPr="004676F5">
        <w:rPr>
          <w:iCs/>
          <w:lang w:val="de-DE"/>
        </w:rPr>
        <w:t>(</w:t>
      </w:r>
      <w:r w:rsidR="00E064B4" w:rsidRPr="004676F5">
        <w:rPr>
          <w:i/>
          <w:iCs/>
          <w:lang w:val="de-DE"/>
        </w:rPr>
        <w:t>Belgisches Staatsblatt</w:t>
      </w:r>
      <w:r w:rsidR="00E064B4" w:rsidRPr="004676F5">
        <w:rPr>
          <w:iCs/>
          <w:lang w:val="de-DE"/>
        </w:rPr>
        <w:t xml:space="preserve"> vom</w:t>
      </w:r>
      <w:r w:rsidR="00E064B4" w:rsidRPr="004676F5">
        <w:rPr>
          <w:lang w:val="de-DE"/>
        </w:rPr>
        <w:t xml:space="preserve"> 18. Dezember 2018),</w:t>
      </w:r>
    </w:p>
    <w:p w14:paraId="54CF645C" w14:textId="77777777" w:rsidR="00B54AAB" w:rsidRPr="004676F5" w:rsidRDefault="00B54AAB" w:rsidP="000714DA">
      <w:pPr>
        <w:autoSpaceDE w:val="0"/>
        <w:autoSpaceDN w:val="0"/>
        <w:adjustRightInd w:val="0"/>
        <w:jc w:val="both"/>
        <w:rPr>
          <w:lang w:val="de-DE"/>
        </w:rPr>
      </w:pPr>
    </w:p>
    <w:p w14:paraId="3349FA42" w14:textId="1E7789C0" w:rsidR="00B54AAB" w:rsidRPr="004676F5" w:rsidRDefault="005B7A5C" w:rsidP="000714DA">
      <w:pPr>
        <w:autoSpaceDE w:val="0"/>
        <w:autoSpaceDN w:val="0"/>
        <w:adjustRightInd w:val="0"/>
        <w:jc w:val="both"/>
        <w:rPr>
          <w:lang w:val="de-DE"/>
        </w:rPr>
      </w:pPr>
      <w:r w:rsidRPr="004676F5">
        <w:rPr>
          <w:lang w:val="de-DE"/>
        </w:rPr>
        <w:t>- </w:t>
      </w:r>
      <w:r w:rsidR="00B54AAB" w:rsidRPr="004676F5">
        <w:rPr>
          <w:lang w:val="de-DE"/>
        </w:rPr>
        <w:t>das Gesetz vom 21. Juli 2016 zur Durchführung und Ergänzung der Verordnung (EU) Nr. 910/2014 des Europäischen Parlaments und des Rates vom 23. Juli 2014 über elektronische Identifizierung und Vertrauensdienste für elektronische Transaktionen im Binnenmarkt und zur Aufhebung der Richtlinie 1999/93/EG, zur Einfügung von Titel 2 in Buch XII "Recht der elektronischen Wirtschaft" des Wirtschaftsgesetzbuches und zur Einfügung der Buch XII Titel 2 eigenen Begriffsbestimmungen und der Buch XII Titel 2 eigenen Rechtsdurchsetzungsbestimmungen in die Bücher I, XV und XVII des Wirtschaftsgesetzbuches (</w:t>
      </w:r>
      <w:r w:rsidR="00B54AAB" w:rsidRPr="004676F5">
        <w:rPr>
          <w:i/>
          <w:lang w:val="de-DE"/>
        </w:rPr>
        <w:t>Belgisches Staatsblatt</w:t>
      </w:r>
      <w:r w:rsidR="00B54AAB" w:rsidRPr="004676F5">
        <w:rPr>
          <w:lang w:val="de-DE"/>
        </w:rPr>
        <w:t xml:space="preserve"> vom 21. Februar 2019),</w:t>
      </w:r>
    </w:p>
    <w:p w14:paraId="381291D7" w14:textId="77777777" w:rsidR="00B54AAB" w:rsidRPr="004676F5" w:rsidRDefault="00B54AAB">
      <w:pPr>
        <w:rPr>
          <w:color w:val="000000"/>
          <w:lang w:val="de-DE"/>
        </w:rPr>
      </w:pPr>
    </w:p>
    <w:p w14:paraId="3B71B31B" w14:textId="0A5E0308" w:rsidR="001F377D" w:rsidRPr="004676F5" w:rsidRDefault="005B7A5C" w:rsidP="00995DE0">
      <w:pPr>
        <w:jc w:val="both"/>
        <w:rPr>
          <w:color w:val="000000"/>
          <w:lang w:val="de-DE"/>
        </w:rPr>
      </w:pPr>
      <w:r w:rsidRPr="004676F5">
        <w:rPr>
          <w:color w:val="000000"/>
          <w:lang w:val="de-DE"/>
        </w:rPr>
        <w:t>- </w:t>
      </w:r>
      <w:r w:rsidR="001F377D" w:rsidRPr="004676F5">
        <w:rPr>
          <w:color w:val="000000"/>
          <w:lang w:val="de-DE"/>
        </w:rPr>
        <w:t>die Artikel 168 bis 177 des Gesetzes vom 25. Oktober 2016 über den Zugang zu Wertpapierdienstleistungstätigkeiten und den Status und die Kontrolle der Vermögensverwaltungs</w:t>
      </w:r>
      <w:r w:rsidRPr="004676F5">
        <w:rPr>
          <w:color w:val="000000"/>
          <w:lang w:val="de-DE"/>
        </w:rPr>
        <w:t>- </w:t>
      </w:r>
      <w:r w:rsidR="001F377D" w:rsidRPr="004676F5">
        <w:rPr>
          <w:color w:val="000000"/>
          <w:lang w:val="de-DE"/>
        </w:rPr>
        <w:t>und Anlageberatungsgesellschaften (</w:t>
      </w:r>
      <w:r w:rsidR="001F377D" w:rsidRPr="004676F5">
        <w:rPr>
          <w:i/>
          <w:color w:val="000000"/>
          <w:lang w:val="de-DE"/>
        </w:rPr>
        <w:t>Belgisches Staatsblatt</w:t>
      </w:r>
      <w:r w:rsidR="001F377D" w:rsidRPr="004676F5">
        <w:rPr>
          <w:color w:val="000000"/>
          <w:lang w:val="de-DE"/>
        </w:rPr>
        <w:t xml:space="preserve"> vom 12. Februar 2019),</w:t>
      </w:r>
    </w:p>
    <w:p w14:paraId="13F0F006" w14:textId="77777777" w:rsidR="00081096" w:rsidRPr="004676F5" w:rsidRDefault="00081096" w:rsidP="00995DE0">
      <w:pPr>
        <w:jc w:val="both"/>
        <w:rPr>
          <w:color w:val="000000"/>
          <w:lang w:val="de-DE"/>
        </w:rPr>
      </w:pPr>
    </w:p>
    <w:p w14:paraId="1D34C829" w14:textId="48D7A453" w:rsidR="00081096" w:rsidRPr="004676F5" w:rsidRDefault="005B7A5C" w:rsidP="00B43103">
      <w:pPr>
        <w:jc w:val="both"/>
        <w:rPr>
          <w:color w:val="000000"/>
          <w:lang w:val="de-DE"/>
        </w:rPr>
      </w:pPr>
      <w:r w:rsidRPr="004676F5">
        <w:rPr>
          <w:color w:val="000000"/>
          <w:lang w:val="de-DE"/>
        </w:rPr>
        <w:t>- </w:t>
      </w:r>
      <w:r w:rsidR="00081096" w:rsidRPr="004676F5">
        <w:rPr>
          <w:color w:val="000000"/>
          <w:lang w:val="de-DE"/>
        </w:rPr>
        <w:t xml:space="preserve">das Gesetz vom 1. Dezember 2016 </w:t>
      </w:r>
      <w:r w:rsidR="00B43103" w:rsidRPr="004676F5">
        <w:rPr>
          <w:lang w:val="de-DE"/>
        </w:rPr>
        <w:t xml:space="preserve">zur Festlegung von Maßnahmen zur Ausführung der Verordnung (EU) Nr. 2015/751 des Europäischen Parlaments und des Rates vom 29. April 2015 über Interbankenentgelte für kartengebundene Zahlungsvorgänge </w:t>
      </w:r>
      <w:r w:rsidR="00B43103" w:rsidRPr="004676F5">
        <w:rPr>
          <w:color w:val="000000"/>
          <w:lang w:val="de-DE"/>
        </w:rPr>
        <w:t>(</w:t>
      </w:r>
      <w:r w:rsidR="00B43103" w:rsidRPr="004676F5">
        <w:rPr>
          <w:i/>
          <w:color w:val="000000"/>
          <w:lang w:val="de-DE"/>
        </w:rPr>
        <w:t>Belgisches Staatsblatt</w:t>
      </w:r>
      <w:r w:rsidR="00B43103" w:rsidRPr="004676F5">
        <w:rPr>
          <w:color w:val="000000"/>
          <w:lang w:val="de-DE"/>
        </w:rPr>
        <w:t xml:space="preserve"> vom 12. Februar 2019),</w:t>
      </w:r>
    </w:p>
    <w:p w14:paraId="0CEF864B" w14:textId="77777777" w:rsidR="00480881" w:rsidRPr="004676F5" w:rsidRDefault="00480881" w:rsidP="00B43103">
      <w:pPr>
        <w:jc w:val="both"/>
        <w:rPr>
          <w:color w:val="000000"/>
          <w:lang w:val="de-DE"/>
        </w:rPr>
      </w:pPr>
    </w:p>
    <w:p w14:paraId="5BFFA3F7" w14:textId="75E127D7" w:rsidR="00480881" w:rsidRPr="004676F5" w:rsidRDefault="005B7A5C" w:rsidP="00B43103">
      <w:pPr>
        <w:jc w:val="both"/>
        <w:rPr>
          <w:color w:val="000000"/>
          <w:lang w:val="de-DE"/>
        </w:rPr>
      </w:pPr>
      <w:r w:rsidRPr="004676F5">
        <w:rPr>
          <w:color w:val="000000"/>
          <w:lang w:val="de-DE"/>
        </w:rPr>
        <w:t>- </w:t>
      </w:r>
      <w:r w:rsidR="00480881" w:rsidRPr="004676F5">
        <w:rPr>
          <w:color w:val="000000"/>
          <w:lang w:val="de-DE"/>
        </w:rPr>
        <w:t>das Gesetz vom 12. Dezember 2016 zur Abänderung des Wirtschaftsgesetzbuches in Bezug auf die Zuständigkeit der Kommission für Buchführungsnormen (</w:t>
      </w:r>
      <w:r w:rsidR="00480881" w:rsidRPr="004676F5">
        <w:rPr>
          <w:i/>
          <w:color w:val="000000"/>
          <w:lang w:val="de-DE"/>
        </w:rPr>
        <w:t>Belgisches Staatsblatt</w:t>
      </w:r>
      <w:r w:rsidR="00480881" w:rsidRPr="004676F5">
        <w:rPr>
          <w:color w:val="000000"/>
          <w:lang w:val="de-DE"/>
        </w:rPr>
        <w:t xml:space="preserve"> vom 12. Februar 2019),</w:t>
      </w:r>
    </w:p>
    <w:p w14:paraId="794227D3" w14:textId="77777777" w:rsidR="00B228E3" w:rsidRPr="004676F5" w:rsidRDefault="00B228E3" w:rsidP="00B43103">
      <w:pPr>
        <w:jc w:val="both"/>
        <w:rPr>
          <w:color w:val="000000"/>
          <w:lang w:val="de-DE"/>
        </w:rPr>
      </w:pPr>
    </w:p>
    <w:p w14:paraId="79FEB579" w14:textId="1DFE4399" w:rsidR="00B228E3" w:rsidRPr="004676F5" w:rsidRDefault="005B7A5C" w:rsidP="00B43103">
      <w:pPr>
        <w:jc w:val="both"/>
        <w:rPr>
          <w:color w:val="000000"/>
          <w:lang w:val="de-DE"/>
        </w:rPr>
      </w:pPr>
      <w:r w:rsidRPr="004676F5">
        <w:rPr>
          <w:color w:val="000000"/>
          <w:lang w:val="de-DE"/>
        </w:rPr>
        <w:t>- </w:t>
      </w:r>
      <w:r w:rsidR="00B228E3" w:rsidRPr="004676F5">
        <w:rPr>
          <w:color w:val="000000"/>
          <w:lang w:val="de-DE"/>
        </w:rPr>
        <w:t>Artikel 2 des Königlichen Erlasses vom 12. Dezember 2016 zur Abänderung des Königlichen Erlasses vom 19.</w:t>
      </w:r>
      <w:r w:rsidRPr="004676F5">
        <w:rPr>
          <w:color w:val="000000"/>
          <w:lang w:val="de-DE"/>
        </w:rPr>
        <w:t> </w:t>
      </w:r>
      <w:r w:rsidR="00B228E3" w:rsidRPr="004676F5">
        <w:rPr>
          <w:color w:val="000000"/>
          <w:lang w:val="de-DE"/>
        </w:rPr>
        <w:t>April</w:t>
      </w:r>
      <w:r w:rsidRPr="004676F5">
        <w:rPr>
          <w:color w:val="000000"/>
          <w:lang w:val="de-DE"/>
        </w:rPr>
        <w:t> </w:t>
      </w:r>
      <w:r w:rsidR="00B228E3" w:rsidRPr="004676F5">
        <w:rPr>
          <w:color w:val="000000"/>
          <w:lang w:val="de-DE"/>
        </w:rPr>
        <w:t>2014 zur Festlegung des Inkrafttretens des Gesetzes vom 19.</w:t>
      </w:r>
      <w:r w:rsidRPr="004676F5">
        <w:rPr>
          <w:color w:val="000000"/>
          <w:lang w:val="de-DE"/>
        </w:rPr>
        <w:t> </w:t>
      </w:r>
      <w:r w:rsidR="00B228E3" w:rsidRPr="004676F5">
        <w:rPr>
          <w:color w:val="000000"/>
          <w:lang w:val="de-DE"/>
        </w:rPr>
        <w:t>April</w:t>
      </w:r>
      <w:r w:rsidRPr="004676F5">
        <w:rPr>
          <w:color w:val="000000"/>
          <w:lang w:val="de-DE"/>
        </w:rPr>
        <w:t> </w:t>
      </w:r>
      <w:r w:rsidR="00B228E3" w:rsidRPr="004676F5">
        <w:rPr>
          <w:color w:val="000000"/>
          <w:lang w:val="de-DE"/>
        </w:rPr>
        <w:t>2014 zur Einfügung von Buch XI "Geistiges Eigentum" in das Wirtschaftsgesetzbuch und zur Einfügung der Buch</w:t>
      </w:r>
      <w:r w:rsidRPr="004676F5">
        <w:rPr>
          <w:color w:val="000000"/>
          <w:lang w:val="de-DE"/>
        </w:rPr>
        <w:t> </w:t>
      </w:r>
      <w:r w:rsidR="00B228E3" w:rsidRPr="004676F5">
        <w:rPr>
          <w:color w:val="000000"/>
          <w:lang w:val="de-DE"/>
        </w:rPr>
        <w:t>XI eigenen Bestimmungen in die Bücher</w:t>
      </w:r>
      <w:r w:rsidRPr="004676F5">
        <w:rPr>
          <w:color w:val="000000"/>
          <w:lang w:val="de-DE"/>
        </w:rPr>
        <w:t> </w:t>
      </w:r>
      <w:r w:rsidR="00B228E3" w:rsidRPr="004676F5">
        <w:rPr>
          <w:color w:val="000000"/>
          <w:lang w:val="de-DE"/>
        </w:rPr>
        <w:t>I, XV und XVII desselben Gesetzbuches und des Gesetzes vom 10.</w:t>
      </w:r>
      <w:r w:rsidRPr="004676F5">
        <w:rPr>
          <w:color w:val="000000"/>
          <w:lang w:val="de-DE"/>
        </w:rPr>
        <w:t> </w:t>
      </w:r>
      <w:r w:rsidR="00B228E3" w:rsidRPr="004676F5">
        <w:rPr>
          <w:color w:val="000000"/>
          <w:lang w:val="de-DE"/>
        </w:rPr>
        <w:t>April</w:t>
      </w:r>
      <w:r w:rsidRPr="004676F5">
        <w:rPr>
          <w:color w:val="000000"/>
          <w:lang w:val="de-DE"/>
        </w:rPr>
        <w:t> </w:t>
      </w:r>
      <w:r w:rsidR="00B228E3" w:rsidRPr="004676F5">
        <w:rPr>
          <w:color w:val="000000"/>
          <w:lang w:val="de-DE"/>
        </w:rPr>
        <w:t>2014 zur Einfügung der Bestimmungen zur Regelung von Angelegenheiten erwähnt in Artikel</w:t>
      </w:r>
      <w:r w:rsidRPr="004676F5">
        <w:rPr>
          <w:color w:val="000000"/>
          <w:lang w:val="de-DE"/>
        </w:rPr>
        <w:t> </w:t>
      </w:r>
      <w:r w:rsidR="00B228E3" w:rsidRPr="004676F5">
        <w:rPr>
          <w:color w:val="000000"/>
          <w:lang w:val="de-DE"/>
        </w:rPr>
        <w:t>77 der Verfassung in Buch</w:t>
      </w:r>
      <w:r w:rsidRPr="004676F5">
        <w:rPr>
          <w:color w:val="000000"/>
          <w:lang w:val="de-DE"/>
        </w:rPr>
        <w:t> </w:t>
      </w:r>
      <w:r w:rsidR="00B228E3" w:rsidRPr="004676F5">
        <w:rPr>
          <w:color w:val="000000"/>
          <w:lang w:val="de-DE"/>
        </w:rPr>
        <w:t>XI "Geistiges Eigentum" des Wirtschaftsgesetzbuches, zur Einfügung einer Buch</w:t>
      </w:r>
      <w:r w:rsidRPr="004676F5">
        <w:rPr>
          <w:color w:val="000000"/>
          <w:lang w:val="de-DE"/>
        </w:rPr>
        <w:t> </w:t>
      </w:r>
      <w:r w:rsidR="00B228E3" w:rsidRPr="004676F5">
        <w:rPr>
          <w:color w:val="000000"/>
          <w:lang w:val="de-DE"/>
        </w:rPr>
        <w:t>XI eigenen Bestimmung in Buch</w:t>
      </w:r>
      <w:r w:rsidRPr="004676F5">
        <w:rPr>
          <w:color w:val="000000"/>
          <w:lang w:val="de-DE"/>
        </w:rPr>
        <w:t> </w:t>
      </w:r>
      <w:r w:rsidR="00B228E3" w:rsidRPr="004676F5">
        <w:rPr>
          <w:color w:val="000000"/>
          <w:lang w:val="de-DE"/>
        </w:rPr>
        <w:t>XVII desselben Gesetzbuches und zur Abänderung des Gerichtsgesetzbuches hinsichtlich der Organisation der Gerichtshöfe und Gerichte für Klagen in Bezug auf das geistige Eigentumsrecht und die Transparenz des Urheberrechts und ähnlicher Rechte (</w:t>
      </w:r>
      <w:r w:rsidR="00B228E3" w:rsidRPr="004676F5">
        <w:rPr>
          <w:i/>
          <w:color w:val="000000"/>
          <w:lang w:val="de-DE"/>
        </w:rPr>
        <w:t>Belgisches Staatsblatt</w:t>
      </w:r>
      <w:r w:rsidR="00B228E3" w:rsidRPr="004676F5">
        <w:rPr>
          <w:color w:val="000000"/>
          <w:lang w:val="de-DE"/>
        </w:rPr>
        <w:t xml:space="preserve"> vom 12. Februar 2019),</w:t>
      </w:r>
    </w:p>
    <w:p w14:paraId="3B84CB7C" w14:textId="77777777" w:rsidR="001F377D" w:rsidRPr="004676F5" w:rsidRDefault="001F377D" w:rsidP="00995DE0">
      <w:pPr>
        <w:jc w:val="both"/>
        <w:rPr>
          <w:color w:val="000000"/>
          <w:lang w:val="de-DE"/>
        </w:rPr>
      </w:pPr>
    </w:p>
    <w:p w14:paraId="707F1681" w14:textId="0CEBB0CD" w:rsidR="00F70CA4" w:rsidRPr="004676F5" w:rsidRDefault="005B7A5C" w:rsidP="00995DE0">
      <w:pPr>
        <w:jc w:val="both"/>
        <w:rPr>
          <w:color w:val="000000"/>
          <w:lang w:val="de-DE"/>
        </w:rPr>
      </w:pPr>
      <w:r w:rsidRPr="004676F5">
        <w:rPr>
          <w:color w:val="000000"/>
          <w:lang w:val="de-DE"/>
        </w:rPr>
        <w:t>- </w:t>
      </w:r>
      <w:r w:rsidR="00F70CA4" w:rsidRPr="004676F5">
        <w:rPr>
          <w:color w:val="000000"/>
          <w:lang w:val="de-DE"/>
        </w:rPr>
        <w:t>das Gesetz vom 22. Dezember 2016 zur Abänderung einiger Bestimmungen von Buch XI des Wirtschaftsgesetzbuches (</w:t>
      </w:r>
      <w:r w:rsidR="00F70CA4" w:rsidRPr="004676F5">
        <w:rPr>
          <w:i/>
          <w:color w:val="000000"/>
          <w:lang w:val="de-DE"/>
        </w:rPr>
        <w:t>Belgisches Staatsblatt</w:t>
      </w:r>
      <w:r w:rsidR="00F70CA4" w:rsidRPr="004676F5">
        <w:rPr>
          <w:color w:val="000000"/>
          <w:lang w:val="de-DE"/>
        </w:rPr>
        <w:t xml:space="preserve"> vom 22. März 2019),</w:t>
      </w:r>
    </w:p>
    <w:p w14:paraId="568F577C" w14:textId="77777777" w:rsidR="005D0A09" w:rsidRPr="004676F5" w:rsidRDefault="005D0A09" w:rsidP="00995DE0">
      <w:pPr>
        <w:jc w:val="both"/>
        <w:rPr>
          <w:color w:val="000000"/>
          <w:lang w:val="de-DE"/>
        </w:rPr>
      </w:pPr>
    </w:p>
    <w:p w14:paraId="541C1D5E" w14:textId="63EFD2C3" w:rsidR="005D0A09" w:rsidRPr="004676F5" w:rsidRDefault="005B7A5C" w:rsidP="005D0A09">
      <w:pPr>
        <w:jc w:val="both"/>
        <w:rPr>
          <w:color w:val="000000"/>
          <w:lang w:val="de-DE"/>
        </w:rPr>
      </w:pPr>
      <w:r w:rsidRPr="004676F5">
        <w:rPr>
          <w:color w:val="000000"/>
          <w:lang w:val="de-DE"/>
        </w:rPr>
        <w:t>- </w:t>
      </w:r>
      <w:r w:rsidR="005D0A09" w:rsidRPr="004676F5">
        <w:rPr>
          <w:color w:val="000000"/>
          <w:lang w:val="de-DE"/>
        </w:rPr>
        <w:t>die Artikel 161 und 162 des Gesetzes vom 25. Dezember 2016 zur Änderung der Rechtsstellung der Inhaftierten und der Aufsicht über die Gefängnisse und zur Festlegung verschiedener Bestimmungen im Bereich der Justiz (</w:t>
      </w:r>
      <w:r w:rsidR="005D0A09" w:rsidRPr="004676F5">
        <w:rPr>
          <w:i/>
          <w:color w:val="000000"/>
          <w:lang w:val="de-DE"/>
        </w:rPr>
        <w:t>Belgisches Staatsblatt</w:t>
      </w:r>
      <w:r w:rsidR="005D0A09" w:rsidRPr="004676F5">
        <w:rPr>
          <w:color w:val="000000"/>
          <w:lang w:val="de-DE"/>
        </w:rPr>
        <w:t xml:space="preserve"> vom 26. März 2019),</w:t>
      </w:r>
    </w:p>
    <w:p w14:paraId="559F7983" w14:textId="77777777" w:rsidR="00E45307" w:rsidRPr="004676F5" w:rsidRDefault="00E45307" w:rsidP="00995DE0">
      <w:pPr>
        <w:jc w:val="both"/>
        <w:rPr>
          <w:color w:val="000000"/>
          <w:lang w:val="de-DE"/>
        </w:rPr>
      </w:pPr>
    </w:p>
    <w:p w14:paraId="620572AD" w14:textId="6161237D" w:rsidR="00E45307" w:rsidRPr="004676F5" w:rsidRDefault="005B7A5C" w:rsidP="00995DE0">
      <w:pPr>
        <w:jc w:val="both"/>
        <w:rPr>
          <w:color w:val="000000"/>
          <w:lang w:val="de-DE"/>
        </w:rPr>
      </w:pPr>
      <w:r w:rsidRPr="004676F5">
        <w:rPr>
          <w:color w:val="000000"/>
          <w:lang w:val="de-DE"/>
        </w:rPr>
        <w:t>- </w:t>
      </w:r>
      <w:r w:rsidR="00E45307" w:rsidRPr="004676F5">
        <w:rPr>
          <w:color w:val="000000"/>
          <w:lang w:val="de-DE"/>
        </w:rPr>
        <w:t>das Gesetz vom 20. Februar 2017 zur Abänderung des Wirtschaftsgesetzbuches und des Gesetzes vom 25.</w:t>
      </w:r>
      <w:r w:rsidRPr="004676F5">
        <w:rPr>
          <w:color w:val="000000"/>
          <w:lang w:val="de-DE"/>
        </w:rPr>
        <w:t> </w:t>
      </w:r>
      <w:r w:rsidR="00E45307" w:rsidRPr="004676F5">
        <w:rPr>
          <w:color w:val="000000"/>
          <w:lang w:val="de-DE"/>
        </w:rPr>
        <w:t>Dezember</w:t>
      </w:r>
      <w:r w:rsidRPr="004676F5">
        <w:rPr>
          <w:color w:val="000000"/>
          <w:lang w:val="de-DE"/>
        </w:rPr>
        <w:t> </w:t>
      </w:r>
      <w:r w:rsidR="00E45307" w:rsidRPr="004676F5">
        <w:rPr>
          <w:color w:val="000000"/>
          <w:lang w:val="de-DE"/>
        </w:rPr>
        <w:t>2016 zur Änderung der Rechtsstellung der Inhaftierten und der Aufsicht über die Gefängnisse und zur Festlegung verschiedener Bestimmungen im Bereich der Justiz (</w:t>
      </w:r>
      <w:r w:rsidR="00E45307" w:rsidRPr="004676F5">
        <w:rPr>
          <w:i/>
          <w:color w:val="000000"/>
          <w:lang w:val="de-DE"/>
        </w:rPr>
        <w:t>Belgisches Staatsblatt</w:t>
      </w:r>
      <w:r w:rsidR="00E45307" w:rsidRPr="004676F5">
        <w:rPr>
          <w:color w:val="000000"/>
          <w:lang w:val="de-DE"/>
        </w:rPr>
        <w:t xml:space="preserve"> vom 26. März 2019),</w:t>
      </w:r>
    </w:p>
    <w:p w14:paraId="060D39C2" w14:textId="77777777" w:rsidR="00B95783" w:rsidRPr="004676F5" w:rsidRDefault="00B95783" w:rsidP="00995DE0">
      <w:pPr>
        <w:jc w:val="both"/>
        <w:rPr>
          <w:color w:val="000000"/>
          <w:lang w:val="de-DE"/>
        </w:rPr>
      </w:pPr>
    </w:p>
    <w:p w14:paraId="446D71F6" w14:textId="0EB67F8E" w:rsidR="00B95783" w:rsidRPr="004676F5" w:rsidRDefault="005B7A5C" w:rsidP="00995DE0">
      <w:pPr>
        <w:jc w:val="both"/>
        <w:rPr>
          <w:color w:val="000000"/>
          <w:lang w:val="de-DE"/>
        </w:rPr>
      </w:pPr>
      <w:r w:rsidRPr="004676F5">
        <w:rPr>
          <w:color w:val="000000"/>
          <w:lang w:val="de-DE"/>
        </w:rPr>
        <w:t>- </w:t>
      </w:r>
      <w:r w:rsidR="00B95783" w:rsidRPr="004676F5">
        <w:rPr>
          <w:color w:val="000000"/>
          <w:lang w:val="de-DE"/>
        </w:rPr>
        <w:t>die Artikel 2 bis 3</w:t>
      </w:r>
      <w:r w:rsidR="00FB5235" w:rsidRPr="004676F5">
        <w:rPr>
          <w:color w:val="000000"/>
          <w:lang w:val="de-DE"/>
        </w:rPr>
        <w:t>6</w:t>
      </w:r>
      <w:r w:rsidR="00B95783" w:rsidRPr="004676F5">
        <w:rPr>
          <w:color w:val="000000"/>
          <w:lang w:val="de-DE"/>
        </w:rPr>
        <w:t xml:space="preserve"> des Gesetzes vom 18. April 2017 zur Festlegung verschiedener Bestimmungen im Bereich Wirtschaft (</w:t>
      </w:r>
      <w:r w:rsidR="00B95783" w:rsidRPr="004676F5">
        <w:rPr>
          <w:i/>
          <w:color w:val="000000"/>
          <w:lang w:val="de-DE"/>
        </w:rPr>
        <w:t>Belgisches Staatsblatt</w:t>
      </w:r>
      <w:r w:rsidR="00B95783" w:rsidRPr="004676F5">
        <w:rPr>
          <w:color w:val="000000"/>
          <w:lang w:val="de-DE"/>
        </w:rPr>
        <w:t xml:space="preserve"> vom 25. April 2019),</w:t>
      </w:r>
    </w:p>
    <w:p w14:paraId="35B9C3D5" w14:textId="77777777" w:rsidR="00F70CA4" w:rsidRPr="004676F5" w:rsidRDefault="00F70CA4" w:rsidP="00995DE0">
      <w:pPr>
        <w:jc w:val="both"/>
        <w:rPr>
          <w:color w:val="000000"/>
          <w:lang w:val="de-DE"/>
        </w:rPr>
      </w:pPr>
    </w:p>
    <w:p w14:paraId="329A9793" w14:textId="4B2C0E87" w:rsidR="00660735" w:rsidRPr="004676F5" w:rsidRDefault="005B7A5C" w:rsidP="00660735">
      <w:pPr>
        <w:jc w:val="both"/>
        <w:rPr>
          <w:iCs/>
          <w:lang w:val="de-DE"/>
        </w:rPr>
      </w:pPr>
      <w:r w:rsidRPr="004676F5">
        <w:rPr>
          <w:iCs/>
          <w:lang w:val="de-DE"/>
        </w:rPr>
        <w:t>- </w:t>
      </w:r>
      <w:r w:rsidR="00660735" w:rsidRPr="004676F5">
        <w:rPr>
          <w:iCs/>
          <w:lang w:val="de-DE"/>
        </w:rPr>
        <w:t>das Gesetz vom 6. Juni 2017 zur Einfügung eines Titels</w:t>
      </w:r>
      <w:r w:rsidRPr="004676F5">
        <w:rPr>
          <w:iCs/>
          <w:lang w:val="de-DE"/>
        </w:rPr>
        <w:t> </w:t>
      </w:r>
      <w:r w:rsidR="00660735" w:rsidRPr="004676F5">
        <w:rPr>
          <w:iCs/>
          <w:lang w:val="de-DE"/>
        </w:rPr>
        <w:t>3 "Schadenersatzklagen wegen Zuwiderhandlungen gegen das Wettbewerbsrecht" in Buch</w:t>
      </w:r>
      <w:r w:rsidRPr="004676F5">
        <w:rPr>
          <w:iCs/>
          <w:lang w:val="de-DE"/>
        </w:rPr>
        <w:t> </w:t>
      </w:r>
      <w:r w:rsidR="00660735" w:rsidRPr="004676F5">
        <w:rPr>
          <w:iCs/>
          <w:lang w:val="de-DE"/>
        </w:rPr>
        <w:t>XVII des Wirtschaftsgesetzbuches, zur Einfügung der Buch</w:t>
      </w:r>
      <w:r w:rsidRPr="004676F5">
        <w:rPr>
          <w:iCs/>
          <w:lang w:val="de-DE"/>
        </w:rPr>
        <w:t> </w:t>
      </w:r>
      <w:r w:rsidR="00660735" w:rsidRPr="004676F5">
        <w:rPr>
          <w:iCs/>
          <w:lang w:val="de-DE"/>
        </w:rPr>
        <w:t>XVII Titel</w:t>
      </w:r>
      <w:r w:rsidRPr="004676F5">
        <w:rPr>
          <w:iCs/>
          <w:lang w:val="de-DE"/>
        </w:rPr>
        <w:t> </w:t>
      </w:r>
      <w:r w:rsidR="00660735" w:rsidRPr="004676F5">
        <w:rPr>
          <w:iCs/>
          <w:lang w:val="de-DE"/>
        </w:rPr>
        <w:t>3 eigenen Begriffsbestimmungen in Buch</w:t>
      </w:r>
      <w:r w:rsidR="00481B48" w:rsidRPr="004676F5">
        <w:rPr>
          <w:iCs/>
          <w:lang w:val="de-DE"/>
        </w:rPr>
        <w:t> </w:t>
      </w:r>
      <w:r w:rsidR="00660735" w:rsidRPr="004676F5">
        <w:rPr>
          <w:iCs/>
          <w:lang w:val="de-DE"/>
        </w:rPr>
        <w:t>I des Wirtschaftsgesetzbuches und zur Festlegung verschiedener Abänderungen des Wirtschaftsgesetzbuches (</w:t>
      </w:r>
      <w:r w:rsidR="00660735" w:rsidRPr="004676F5">
        <w:rPr>
          <w:i/>
          <w:iCs/>
          <w:lang w:val="de-DE"/>
        </w:rPr>
        <w:t>Belgisches Staatsblatt</w:t>
      </w:r>
      <w:r w:rsidR="00660735" w:rsidRPr="004676F5">
        <w:rPr>
          <w:iCs/>
          <w:lang w:val="de-DE"/>
        </w:rPr>
        <w:t xml:space="preserve"> vom 20. Juni 2019),</w:t>
      </w:r>
    </w:p>
    <w:p w14:paraId="6FB5AA08" w14:textId="77777777" w:rsidR="00EC62EB" w:rsidRPr="004676F5" w:rsidRDefault="00EC62EB" w:rsidP="00660735">
      <w:pPr>
        <w:jc w:val="both"/>
        <w:rPr>
          <w:iCs/>
          <w:lang w:val="de-DE"/>
        </w:rPr>
      </w:pPr>
    </w:p>
    <w:p w14:paraId="2748E7A0" w14:textId="1CC4ACE4" w:rsidR="00EC62EB" w:rsidRPr="004676F5" w:rsidRDefault="005B7A5C" w:rsidP="00660735">
      <w:pPr>
        <w:jc w:val="both"/>
        <w:rPr>
          <w:iCs/>
          <w:lang w:val="de-DE"/>
        </w:rPr>
      </w:pPr>
      <w:r w:rsidRPr="004676F5">
        <w:rPr>
          <w:iCs/>
          <w:lang w:val="de-DE"/>
        </w:rPr>
        <w:t>- </w:t>
      </w:r>
      <w:r w:rsidR="00EC62EB" w:rsidRPr="004676F5">
        <w:rPr>
          <w:iCs/>
          <w:lang w:val="de-DE"/>
        </w:rPr>
        <w:t>das Gesetz vom 8.</w:t>
      </w:r>
      <w:r w:rsidR="00481B48" w:rsidRPr="004676F5">
        <w:rPr>
          <w:iCs/>
          <w:lang w:val="de-DE"/>
        </w:rPr>
        <w:t> </w:t>
      </w:r>
      <w:r w:rsidR="00EC62EB" w:rsidRPr="004676F5">
        <w:rPr>
          <w:iCs/>
          <w:lang w:val="de-DE"/>
        </w:rPr>
        <w:t>Juni 2017 zur Umsetzung der Richtlinie</w:t>
      </w:r>
      <w:r w:rsidR="00481B48" w:rsidRPr="004676F5">
        <w:rPr>
          <w:iCs/>
          <w:lang w:val="de-DE"/>
        </w:rPr>
        <w:t> </w:t>
      </w:r>
      <w:r w:rsidR="00EC62EB" w:rsidRPr="004676F5">
        <w:rPr>
          <w:iCs/>
          <w:lang w:val="de-DE"/>
        </w:rPr>
        <w:t>2014/26/EU des Europäischen Parlaments und des Rates vom 26. Februar 2014 über die kollektive Wahrnehmung von Urheber</w:t>
      </w:r>
      <w:r w:rsidRPr="004676F5">
        <w:rPr>
          <w:iCs/>
          <w:lang w:val="de-DE"/>
        </w:rPr>
        <w:t>- </w:t>
      </w:r>
      <w:r w:rsidR="00EC62EB" w:rsidRPr="004676F5">
        <w:rPr>
          <w:iCs/>
          <w:lang w:val="de-DE"/>
        </w:rPr>
        <w:t>und verwandten Schutzrechten und die Vergabe von Mehrgebietslizenzen für Rechte an Musikwerken für die Online-Nutzung im Binnenmarkt in belgisches Recht (</w:t>
      </w:r>
      <w:r w:rsidR="00EC62EB" w:rsidRPr="004676F5">
        <w:rPr>
          <w:i/>
          <w:iCs/>
          <w:lang w:val="de-DE"/>
        </w:rPr>
        <w:t>Belgisches Staatsblatt</w:t>
      </w:r>
      <w:r w:rsidR="00EC62EB" w:rsidRPr="004676F5">
        <w:rPr>
          <w:iCs/>
          <w:lang w:val="de-DE"/>
        </w:rPr>
        <w:t xml:space="preserve"> vom 8. Oktober 2019),</w:t>
      </w:r>
    </w:p>
    <w:p w14:paraId="32EA9C33" w14:textId="77777777" w:rsidR="00660735" w:rsidRPr="004676F5" w:rsidRDefault="00660735" w:rsidP="00660735">
      <w:pPr>
        <w:autoSpaceDE w:val="0"/>
        <w:autoSpaceDN w:val="0"/>
        <w:adjustRightInd w:val="0"/>
        <w:jc w:val="both"/>
        <w:rPr>
          <w:b/>
          <w:bCs/>
          <w:lang w:val="de-DE"/>
        </w:rPr>
      </w:pPr>
      <w:r w:rsidRPr="004676F5">
        <w:rPr>
          <w:b/>
          <w:bCs/>
          <w:lang w:val="de-DE"/>
        </w:rPr>
        <w:t xml:space="preserve"> </w:t>
      </w:r>
    </w:p>
    <w:p w14:paraId="6D771768" w14:textId="0A466BA5" w:rsidR="00020267" w:rsidRPr="004676F5" w:rsidRDefault="005B7A5C" w:rsidP="00660735">
      <w:pPr>
        <w:autoSpaceDE w:val="0"/>
        <w:autoSpaceDN w:val="0"/>
        <w:adjustRightInd w:val="0"/>
        <w:jc w:val="both"/>
        <w:rPr>
          <w:lang w:val="de-DE"/>
        </w:rPr>
      </w:pPr>
      <w:r w:rsidRPr="004676F5">
        <w:rPr>
          <w:bCs/>
          <w:lang w:val="de-DE"/>
        </w:rPr>
        <w:lastRenderedPageBreak/>
        <w:t>- </w:t>
      </w:r>
      <w:r w:rsidR="00020267" w:rsidRPr="004676F5">
        <w:rPr>
          <w:bCs/>
          <w:lang w:val="de-DE"/>
        </w:rPr>
        <w:t xml:space="preserve">die Artikel 320 und 321 des </w:t>
      </w:r>
      <w:r w:rsidR="008C1624" w:rsidRPr="004676F5">
        <w:rPr>
          <w:bCs/>
          <w:lang w:val="de-DE"/>
        </w:rPr>
        <w:t>Gesetzes</w:t>
      </w:r>
      <w:r w:rsidR="00020267" w:rsidRPr="004676F5">
        <w:rPr>
          <w:bCs/>
          <w:lang w:val="de-DE"/>
        </w:rPr>
        <w:t xml:space="preserve"> vom 6. Juli 2017 </w:t>
      </w:r>
      <w:r w:rsidR="00020267" w:rsidRPr="004676F5">
        <w:rPr>
          <w:lang w:val="de-DE"/>
        </w:rPr>
        <w:t>zur Vereinfachung, Harmonisierung, Informatisierung und Mo</w:t>
      </w:r>
      <w:r w:rsidR="00020267" w:rsidRPr="004676F5">
        <w:rPr>
          <w:lang w:val="de-DE"/>
        </w:rPr>
        <w:softHyphen/>
        <w:t>dernisierung von Bestimmungen im Bereich Zivilrecht und Zivilprozessrecht und im Notariatswesen und zur Festlegung verschiedener Bestimmungen im Bereich Justiz (</w:t>
      </w:r>
      <w:r w:rsidR="00020267" w:rsidRPr="004676F5">
        <w:rPr>
          <w:i/>
          <w:lang w:val="de-DE"/>
        </w:rPr>
        <w:t>Belgisches Staatsblatt</w:t>
      </w:r>
      <w:r w:rsidR="00020267" w:rsidRPr="004676F5">
        <w:rPr>
          <w:lang w:val="de-DE"/>
        </w:rPr>
        <w:t xml:space="preserve"> vom 1. Oktober 2019),</w:t>
      </w:r>
    </w:p>
    <w:p w14:paraId="0CC9EA8B" w14:textId="77777777" w:rsidR="00020267" w:rsidRPr="004676F5" w:rsidRDefault="00020267" w:rsidP="00660735">
      <w:pPr>
        <w:autoSpaceDE w:val="0"/>
        <w:autoSpaceDN w:val="0"/>
        <w:adjustRightInd w:val="0"/>
        <w:jc w:val="both"/>
        <w:rPr>
          <w:lang w:val="de-DE"/>
        </w:rPr>
      </w:pPr>
    </w:p>
    <w:p w14:paraId="3937906B" w14:textId="57D54379" w:rsidR="00995DE0" w:rsidRPr="004676F5" w:rsidRDefault="005B7A5C" w:rsidP="00995DE0">
      <w:pPr>
        <w:jc w:val="both"/>
        <w:rPr>
          <w:color w:val="000000"/>
          <w:lang w:val="de-DE"/>
        </w:rPr>
      </w:pPr>
      <w:r w:rsidRPr="004676F5">
        <w:rPr>
          <w:color w:val="000000"/>
          <w:lang w:val="de-DE"/>
        </w:rPr>
        <w:t>- </w:t>
      </w:r>
      <w:r w:rsidR="0037324B" w:rsidRPr="004676F5">
        <w:rPr>
          <w:color w:val="000000"/>
          <w:lang w:val="de-DE"/>
        </w:rPr>
        <w:t>die Artikel </w:t>
      </w:r>
      <w:r w:rsidR="00BE0244" w:rsidRPr="004676F5">
        <w:rPr>
          <w:color w:val="000000"/>
          <w:lang w:val="de-DE"/>
        </w:rPr>
        <w:t>2,</w:t>
      </w:r>
      <w:r w:rsidR="0037324B" w:rsidRPr="004676F5">
        <w:rPr>
          <w:color w:val="000000"/>
          <w:lang w:val="de-DE"/>
        </w:rPr>
        <w:t xml:space="preserve"> 3, 6</w:t>
      </w:r>
      <w:r w:rsidR="00F07519" w:rsidRPr="004676F5">
        <w:rPr>
          <w:color w:val="000000"/>
          <w:lang w:val="de-DE"/>
        </w:rPr>
        <w:t>5 und 66</w:t>
      </w:r>
      <w:r w:rsidR="0037324B" w:rsidRPr="004676F5">
        <w:rPr>
          <w:color w:val="000000"/>
          <w:lang w:val="de-DE"/>
        </w:rPr>
        <w:t xml:space="preserve"> </w:t>
      </w:r>
      <w:r w:rsidR="009D3DCF" w:rsidRPr="004676F5">
        <w:rPr>
          <w:color w:val="000000"/>
          <w:lang w:val="de-DE"/>
        </w:rPr>
        <w:t>d</w:t>
      </w:r>
      <w:r w:rsidR="0037324B" w:rsidRPr="004676F5">
        <w:rPr>
          <w:color w:val="000000"/>
          <w:lang w:val="de-DE"/>
        </w:rPr>
        <w:t>e</w:t>
      </w:r>
      <w:r w:rsidR="009D3DCF" w:rsidRPr="004676F5">
        <w:rPr>
          <w:color w:val="000000"/>
          <w:lang w:val="de-DE"/>
        </w:rPr>
        <w:t>s</w:t>
      </w:r>
      <w:r w:rsidR="00995DE0" w:rsidRPr="004676F5">
        <w:rPr>
          <w:color w:val="000000"/>
          <w:lang w:val="de-DE"/>
        </w:rPr>
        <w:t xml:space="preserve"> Gesetz</w:t>
      </w:r>
      <w:r w:rsidR="0037324B" w:rsidRPr="004676F5">
        <w:rPr>
          <w:color w:val="000000"/>
          <w:lang w:val="de-DE"/>
        </w:rPr>
        <w:t>es</w:t>
      </w:r>
      <w:r w:rsidR="00995DE0" w:rsidRPr="004676F5">
        <w:rPr>
          <w:color w:val="000000"/>
          <w:lang w:val="de-DE"/>
        </w:rPr>
        <w:t xml:space="preserve"> vom 11. August 2017 zur Einfügung von Buch XX "Insolvenz von Unternehmen" in das Wirtschaftsgesetzbuch und zur Einfügung der Buch XX eigenen Begriffsbestimmungen und der Buch XX eigenen Rechtsdurchsetzungsbestimmungen in Buch</w:t>
      </w:r>
      <w:r w:rsidR="00481B48" w:rsidRPr="004676F5">
        <w:rPr>
          <w:color w:val="000000"/>
          <w:lang w:val="de-DE"/>
        </w:rPr>
        <w:t> </w:t>
      </w:r>
      <w:r w:rsidR="00995DE0" w:rsidRPr="004676F5">
        <w:rPr>
          <w:color w:val="000000"/>
          <w:lang w:val="de-DE"/>
        </w:rPr>
        <w:t>I des Wirtschaftsgesetzbuches (</w:t>
      </w:r>
      <w:r w:rsidR="00995DE0" w:rsidRPr="004676F5">
        <w:rPr>
          <w:i/>
          <w:color w:val="000000"/>
          <w:lang w:val="de-DE"/>
        </w:rPr>
        <w:t>Belgisches Staatsblatt</w:t>
      </w:r>
      <w:r w:rsidR="00995DE0" w:rsidRPr="004676F5">
        <w:rPr>
          <w:color w:val="000000"/>
          <w:lang w:val="de-DE"/>
        </w:rPr>
        <w:t xml:space="preserve"> vom 17. </w:t>
      </w:r>
      <w:r w:rsidR="00A54A42" w:rsidRPr="004676F5">
        <w:rPr>
          <w:color w:val="000000"/>
          <w:lang w:val="de-DE"/>
        </w:rPr>
        <w:t>September 2018),</w:t>
      </w:r>
    </w:p>
    <w:p w14:paraId="23AC1C02" w14:textId="77777777" w:rsidR="00A54A42" w:rsidRPr="004676F5" w:rsidRDefault="00A54A42" w:rsidP="00995DE0">
      <w:pPr>
        <w:jc w:val="both"/>
        <w:rPr>
          <w:color w:val="000000"/>
          <w:lang w:val="de-DE"/>
        </w:rPr>
      </w:pPr>
    </w:p>
    <w:p w14:paraId="1CBB48FA" w14:textId="67BF8999" w:rsidR="00A54A42" w:rsidRPr="004676F5" w:rsidRDefault="005B7A5C" w:rsidP="00A54A42">
      <w:pPr>
        <w:jc w:val="both"/>
        <w:rPr>
          <w:iCs/>
          <w:lang w:val="de-DE"/>
        </w:rPr>
      </w:pPr>
      <w:r w:rsidRPr="004676F5">
        <w:rPr>
          <w:iCs/>
          <w:lang w:val="de-DE"/>
        </w:rPr>
        <w:t>- </w:t>
      </w:r>
      <w:r w:rsidR="00A54A42" w:rsidRPr="004676F5">
        <w:rPr>
          <w:iCs/>
          <w:lang w:val="de-DE"/>
        </w:rPr>
        <w:t>das Gesetz vom 18. September 2017 zur Verhinderung von Geldwäsche und Terrorismusfinanzierung und zur Beschränkung der Nutzung von Bargeld (</w:t>
      </w:r>
      <w:r w:rsidR="00A54A42" w:rsidRPr="004676F5">
        <w:rPr>
          <w:i/>
          <w:iCs/>
          <w:lang w:val="de-DE"/>
        </w:rPr>
        <w:t>Belgisches Staatsblatt</w:t>
      </w:r>
      <w:r w:rsidR="00A54A42" w:rsidRPr="004676F5">
        <w:rPr>
          <w:iCs/>
          <w:lang w:val="de-DE"/>
        </w:rPr>
        <w:t xml:space="preserve"> vom 13. </w:t>
      </w:r>
      <w:r w:rsidR="0037746C" w:rsidRPr="004676F5">
        <w:rPr>
          <w:iCs/>
          <w:lang w:val="de-DE"/>
        </w:rPr>
        <w:t>März 2019),</w:t>
      </w:r>
    </w:p>
    <w:p w14:paraId="57EB66E6" w14:textId="77777777" w:rsidR="0037746C" w:rsidRPr="004676F5" w:rsidRDefault="0037746C" w:rsidP="00A54A42">
      <w:pPr>
        <w:jc w:val="both"/>
        <w:rPr>
          <w:iCs/>
          <w:lang w:val="de-DE"/>
        </w:rPr>
      </w:pPr>
    </w:p>
    <w:p w14:paraId="1FC13368" w14:textId="5B7B796A" w:rsidR="00285FF9" w:rsidRPr="004676F5" w:rsidRDefault="005B7A5C" w:rsidP="00A54A42">
      <w:pPr>
        <w:jc w:val="both"/>
        <w:rPr>
          <w:lang w:val="de-DE"/>
        </w:rPr>
      </w:pPr>
      <w:r w:rsidRPr="004676F5">
        <w:rPr>
          <w:iCs/>
          <w:lang w:val="de-DE"/>
        </w:rPr>
        <w:t>- </w:t>
      </w:r>
      <w:r w:rsidR="00285FF9" w:rsidRPr="004676F5">
        <w:rPr>
          <w:iCs/>
          <w:lang w:val="de-DE"/>
        </w:rPr>
        <w:t xml:space="preserve">Artikel 2 des Königlichen Erlasses vom 5. Dezember 2017 zur Festlegung </w:t>
      </w:r>
      <w:r w:rsidR="00285FF9" w:rsidRPr="004676F5">
        <w:rPr>
          <w:lang w:val="de-DE"/>
        </w:rPr>
        <w:t>verschiedener Maßnahmen in Bezug auf die Entsendung von Arbeitnehmern (</w:t>
      </w:r>
      <w:r w:rsidR="00285FF9" w:rsidRPr="004676F5">
        <w:rPr>
          <w:i/>
          <w:lang w:val="de-DE"/>
        </w:rPr>
        <w:t>Belgisches Staatsblatt</w:t>
      </w:r>
      <w:r w:rsidR="00285FF9" w:rsidRPr="004676F5">
        <w:rPr>
          <w:lang w:val="de-DE"/>
        </w:rPr>
        <w:t xml:space="preserve"> vom 28. Januar 2021)</w:t>
      </w:r>
      <w:r w:rsidR="008562C5" w:rsidRPr="004676F5">
        <w:rPr>
          <w:lang w:val="de-DE"/>
        </w:rPr>
        <w:t> </w:t>
      </w:r>
      <w:r w:rsidR="008562C5" w:rsidRPr="004676F5">
        <w:rPr>
          <w:i/>
          <w:lang w:val="de-DE"/>
        </w:rPr>
        <w:t>(I)</w:t>
      </w:r>
      <w:r w:rsidR="00285FF9" w:rsidRPr="004676F5">
        <w:rPr>
          <w:lang w:val="de-DE"/>
        </w:rPr>
        <w:t>,</w:t>
      </w:r>
    </w:p>
    <w:p w14:paraId="47BDD75A" w14:textId="00D537A4" w:rsidR="00BC461C" w:rsidRPr="004676F5" w:rsidRDefault="00BC461C" w:rsidP="00A54A42">
      <w:pPr>
        <w:jc w:val="both"/>
        <w:rPr>
          <w:lang w:val="de-DE"/>
        </w:rPr>
      </w:pPr>
    </w:p>
    <w:p w14:paraId="463F6EA2" w14:textId="7C3ACF2E" w:rsidR="008562C5" w:rsidRPr="004676F5" w:rsidRDefault="005B7A5C" w:rsidP="008562C5">
      <w:pPr>
        <w:jc w:val="both"/>
        <w:rPr>
          <w:lang w:val="de-DE"/>
        </w:rPr>
      </w:pPr>
      <w:r w:rsidRPr="004676F5">
        <w:rPr>
          <w:lang w:val="de-DE"/>
        </w:rPr>
        <w:t>- </w:t>
      </w:r>
      <w:r w:rsidR="008562C5" w:rsidRPr="004676F5">
        <w:rPr>
          <w:lang w:val="de-DE"/>
        </w:rPr>
        <w:t>die Artikel 20 bis 22 des Gesetzes vom 5. Dezember 2017 zur Festlegung verschiedener finanzieller Bestimmungen (</w:t>
      </w:r>
      <w:r w:rsidR="008562C5" w:rsidRPr="004676F5">
        <w:rPr>
          <w:i/>
          <w:lang w:val="de-DE"/>
        </w:rPr>
        <w:t>Belgisches Staatsblatt</w:t>
      </w:r>
      <w:r w:rsidR="008562C5" w:rsidRPr="004676F5">
        <w:rPr>
          <w:lang w:val="de-DE"/>
        </w:rPr>
        <w:t xml:space="preserve"> vom 3. Dezember 2021)</w:t>
      </w:r>
      <w:r w:rsidR="008562C5" w:rsidRPr="004676F5">
        <w:rPr>
          <w:i/>
          <w:lang w:val="de-DE"/>
        </w:rPr>
        <w:t> (II)</w:t>
      </w:r>
      <w:r w:rsidR="008562C5" w:rsidRPr="004676F5">
        <w:rPr>
          <w:lang w:val="de-DE"/>
        </w:rPr>
        <w:t>,</w:t>
      </w:r>
    </w:p>
    <w:p w14:paraId="0EC449DA" w14:textId="6BCB04D0" w:rsidR="008562C5" w:rsidRPr="004676F5" w:rsidRDefault="008562C5" w:rsidP="00A54A42">
      <w:pPr>
        <w:jc w:val="both"/>
        <w:rPr>
          <w:lang w:val="de-DE"/>
        </w:rPr>
      </w:pPr>
    </w:p>
    <w:p w14:paraId="41FD1DE8" w14:textId="4C24539D" w:rsidR="00BC461C" w:rsidRPr="004676F5" w:rsidRDefault="005B7A5C" w:rsidP="00A54A42">
      <w:pPr>
        <w:jc w:val="both"/>
        <w:rPr>
          <w:lang w:val="de-DE"/>
        </w:rPr>
      </w:pPr>
      <w:r w:rsidRPr="004676F5">
        <w:rPr>
          <w:lang w:val="de-DE"/>
        </w:rPr>
        <w:t>- </w:t>
      </w:r>
      <w:r w:rsidR="00BC461C" w:rsidRPr="004676F5">
        <w:rPr>
          <w:lang w:val="de-DE"/>
        </w:rPr>
        <w:t>das Gesetz vom 19. Dezember 2017 zur Abänderung verschiedener Bestimmungen über Erfindungspatente im Zusammenhang mit der Umsetzung des Einheitspatents und des Einheitlichen Patentgerichts (</w:t>
      </w:r>
      <w:r w:rsidR="00BC461C" w:rsidRPr="004676F5">
        <w:rPr>
          <w:i/>
          <w:lang w:val="de-DE"/>
        </w:rPr>
        <w:t>Belgisches Staatsblatt</w:t>
      </w:r>
      <w:r w:rsidR="00BC461C" w:rsidRPr="004676F5">
        <w:rPr>
          <w:lang w:val="de-DE"/>
        </w:rPr>
        <w:t xml:space="preserve"> vom 2. Juni 2021),</w:t>
      </w:r>
    </w:p>
    <w:p w14:paraId="540C611A" w14:textId="6A945591" w:rsidR="00285FF9" w:rsidRPr="004676F5" w:rsidRDefault="00285FF9" w:rsidP="00A54A42">
      <w:pPr>
        <w:jc w:val="both"/>
        <w:rPr>
          <w:iCs/>
          <w:lang w:val="de-DE"/>
        </w:rPr>
      </w:pPr>
    </w:p>
    <w:p w14:paraId="57A38FAA" w14:textId="2B8A63E2" w:rsidR="00154AAA" w:rsidRPr="004676F5" w:rsidRDefault="005B7A5C" w:rsidP="00A54A42">
      <w:pPr>
        <w:jc w:val="both"/>
        <w:rPr>
          <w:lang w:val="de-DE"/>
        </w:rPr>
      </w:pPr>
      <w:r w:rsidRPr="004676F5">
        <w:rPr>
          <w:iCs/>
          <w:lang w:val="de-DE"/>
        </w:rPr>
        <w:t>- </w:t>
      </w:r>
      <w:r w:rsidR="00154AAA" w:rsidRPr="004676F5">
        <w:rPr>
          <w:iCs/>
          <w:lang w:val="de-DE"/>
        </w:rPr>
        <w:t xml:space="preserve">das Gesetz vom 22. Dezember 2017 </w:t>
      </w:r>
      <w:r w:rsidR="00154AAA" w:rsidRPr="004676F5">
        <w:rPr>
          <w:lang w:val="de-DE"/>
        </w:rPr>
        <w:t>zur Abänderung von Bestimmungen über Zahlungskonten und Zahlungsdienste in verschiedenen Büchern des Wirtschaftsgesetzbuches und zur Einfügung solcher Bestimmungen in diese Bücher (</w:t>
      </w:r>
      <w:r w:rsidR="00154AAA" w:rsidRPr="004676F5">
        <w:rPr>
          <w:i/>
          <w:lang w:val="de-DE"/>
        </w:rPr>
        <w:t>Belgisches Staatsblatt</w:t>
      </w:r>
      <w:r w:rsidR="00154AAA" w:rsidRPr="004676F5">
        <w:rPr>
          <w:lang w:val="de-DE"/>
        </w:rPr>
        <w:t xml:space="preserve"> vom 25. März 2022),</w:t>
      </w:r>
    </w:p>
    <w:p w14:paraId="7397237E" w14:textId="08398127" w:rsidR="005D2648" w:rsidRPr="004676F5" w:rsidRDefault="005D2648" w:rsidP="00A54A42">
      <w:pPr>
        <w:jc w:val="both"/>
        <w:rPr>
          <w:lang w:val="de-DE"/>
        </w:rPr>
      </w:pPr>
    </w:p>
    <w:p w14:paraId="211C69B2" w14:textId="68F9952F" w:rsidR="005D2648" w:rsidRPr="004676F5" w:rsidRDefault="005B7A5C" w:rsidP="00A54A42">
      <w:pPr>
        <w:jc w:val="both"/>
        <w:rPr>
          <w:lang w:val="de-DE"/>
        </w:rPr>
      </w:pPr>
      <w:r w:rsidRPr="004676F5">
        <w:rPr>
          <w:lang w:val="de-DE"/>
        </w:rPr>
        <w:t>- </w:t>
      </w:r>
      <w:r w:rsidR="005D2648" w:rsidRPr="004676F5">
        <w:rPr>
          <w:lang w:val="de-DE"/>
        </w:rPr>
        <w:t>das Gesetz vom 30. März 2018 zur Abänderung des Wirtschaftsgesetzbuches in Bezug auf die Erweiterung des Anwendungsbereichs der kollektiven Schadenersatzklage auf KMU (</w:t>
      </w:r>
      <w:r w:rsidR="005D2648" w:rsidRPr="004676F5">
        <w:rPr>
          <w:i/>
          <w:lang w:val="de-DE"/>
        </w:rPr>
        <w:t>Belgisches Staatsblatt</w:t>
      </w:r>
      <w:r w:rsidR="005D2648" w:rsidRPr="004676F5">
        <w:rPr>
          <w:lang w:val="de-DE"/>
        </w:rPr>
        <w:t xml:space="preserve"> vom 24. Mai 2022),</w:t>
      </w:r>
    </w:p>
    <w:p w14:paraId="668B9C02" w14:textId="14ECDABC" w:rsidR="000D428D" w:rsidRPr="004676F5" w:rsidRDefault="000D428D" w:rsidP="00A54A42">
      <w:pPr>
        <w:jc w:val="both"/>
        <w:rPr>
          <w:lang w:val="de-DE"/>
        </w:rPr>
      </w:pPr>
    </w:p>
    <w:p w14:paraId="5D902840" w14:textId="444079BE" w:rsidR="000D428D" w:rsidRPr="004676F5" w:rsidRDefault="005B7A5C" w:rsidP="00A54A42">
      <w:pPr>
        <w:jc w:val="both"/>
        <w:rPr>
          <w:lang w:val="de-DE"/>
        </w:rPr>
      </w:pPr>
      <w:r w:rsidRPr="004676F5">
        <w:rPr>
          <w:lang w:val="de-DE"/>
        </w:rPr>
        <w:t>- </w:t>
      </w:r>
      <w:r w:rsidR="000D428D" w:rsidRPr="004676F5">
        <w:rPr>
          <w:lang w:val="de-DE"/>
        </w:rPr>
        <w:t>die Artikel 35 bis 250</w:t>
      </w:r>
      <w:r w:rsidR="00330A85" w:rsidRPr="004676F5">
        <w:rPr>
          <w:lang w:val="de-DE"/>
        </w:rPr>
        <w:t>, 252</w:t>
      </w:r>
      <w:r w:rsidR="00952DEE" w:rsidRPr="004676F5">
        <w:rPr>
          <w:lang w:val="de-DE"/>
        </w:rPr>
        <w:t>,</w:t>
      </w:r>
      <w:r w:rsidR="00330A85" w:rsidRPr="004676F5">
        <w:rPr>
          <w:lang w:val="de-DE"/>
        </w:rPr>
        <w:t xml:space="preserve"> 253</w:t>
      </w:r>
      <w:r w:rsidR="00952DEE" w:rsidRPr="004676F5">
        <w:rPr>
          <w:lang w:val="de-DE"/>
        </w:rPr>
        <w:t>, 256 un</w:t>
      </w:r>
      <w:r w:rsidR="00E614AC" w:rsidRPr="004676F5">
        <w:rPr>
          <w:lang w:val="de-DE"/>
        </w:rPr>
        <w:t>d</w:t>
      </w:r>
      <w:r w:rsidR="00952DEE" w:rsidRPr="004676F5">
        <w:rPr>
          <w:lang w:val="de-DE"/>
        </w:rPr>
        <w:t xml:space="preserve"> 259</w:t>
      </w:r>
      <w:r w:rsidR="000D428D" w:rsidRPr="004676F5">
        <w:rPr>
          <w:lang w:val="de-DE"/>
        </w:rPr>
        <w:t xml:space="preserve"> des Gesetzes vom 15. April 2018 zur Reform des Unternehmensrechts</w:t>
      </w:r>
      <w:r w:rsidR="00286BA6" w:rsidRPr="004676F5">
        <w:rPr>
          <w:lang w:val="de-DE"/>
        </w:rPr>
        <w:t xml:space="preserve"> </w:t>
      </w:r>
      <w:r w:rsidR="000D428D" w:rsidRPr="004676F5">
        <w:rPr>
          <w:lang w:val="de-DE"/>
        </w:rPr>
        <w:t>(</w:t>
      </w:r>
      <w:r w:rsidR="000D428D" w:rsidRPr="004676F5">
        <w:rPr>
          <w:i/>
          <w:lang w:val="de-DE"/>
        </w:rPr>
        <w:t>Belgisches Staatsblatt</w:t>
      </w:r>
      <w:r w:rsidR="00330A85" w:rsidRPr="004676F5">
        <w:rPr>
          <w:i/>
          <w:lang w:val="de-DE"/>
        </w:rPr>
        <w:t xml:space="preserve"> </w:t>
      </w:r>
      <w:r w:rsidR="000D428D" w:rsidRPr="004676F5">
        <w:rPr>
          <w:lang w:val="de-DE"/>
        </w:rPr>
        <w:t>vom 4. Oktober 2022),</w:t>
      </w:r>
    </w:p>
    <w:p w14:paraId="7926D65D" w14:textId="61FAA1B3" w:rsidR="00BC0787" w:rsidRPr="004676F5" w:rsidRDefault="00BC0787" w:rsidP="00A54A42">
      <w:pPr>
        <w:jc w:val="both"/>
        <w:rPr>
          <w:lang w:val="de-DE"/>
        </w:rPr>
      </w:pPr>
    </w:p>
    <w:p w14:paraId="671A29DD" w14:textId="11878403" w:rsidR="00BC0787" w:rsidRPr="004676F5" w:rsidRDefault="005B7A5C" w:rsidP="00A54A42">
      <w:pPr>
        <w:jc w:val="both"/>
        <w:rPr>
          <w:u w:val="single"/>
          <w:lang w:val="de-DE"/>
        </w:rPr>
      </w:pPr>
      <w:r w:rsidRPr="004676F5">
        <w:rPr>
          <w:lang w:val="de-DE"/>
        </w:rPr>
        <w:t>- </w:t>
      </w:r>
      <w:r w:rsidR="00BC0787" w:rsidRPr="004676F5">
        <w:rPr>
          <w:lang w:val="de-DE"/>
        </w:rPr>
        <w:t>das Gesetz vom 8. Juli 2018 zur Festlegung von Bestimmungen zum Schutz des Titels des Patentanwalts (</w:t>
      </w:r>
      <w:r w:rsidR="00BC0787" w:rsidRPr="004676F5">
        <w:rPr>
          <w:i/>
          <w:lang w:val="de-DE"/>
        </w:rPr>
        <w:t>Belgisches Staatsblatt</w:t>
      </w:r>
      <w:r w:rsidR="00BC0787" w:rsidRPr="004676F5">
        <w:rPr>
          <w:lang w:val="de-DE"/>
        </w:rPr>
        <w:t xml:space="preserve"> vom 24. Oktober 2022),</w:t>
      </w:r>
    </w:p>
    <w:p w14:paraId="63DE65B5" w14:textId="77777777" w:rsidR="00154AAA" w:rsidRPr="004676F5" w:rsidRDefault="00154AAA" w:rsidP="00A54A42">
      <w:pPr>
        <w:jc w:val="both"/>
        <w:rPr>
          <w:iCs/>
          <w:lang w:val="de-DE"/>
        </w:rPr>
      </w:pPr>
    </w:p>
    <w:p w14:paraId="7CD77BB7" w14:textId="1D7A7A1F" w:rsidR="0037746C" w:rsidRPr="004676F5" w:rsidRDefault="005B7A5C" w:rsidP="00A54A42">
      <w:pPr>
        <w:jc w:val="both"/>
        <w:rPr>
          <w:iCs/>
          <w:lang w:val="de-DE"/>
        </w:rPr>
      </w:pPr>
      <w:r w:rsidRPr="004676F5">
        <w:rPr>
          <w:iCs/>
          <w:lang w:val="de-DE"/>
        </w:rPr>
        <w:t>- </w:t>
      </w:r>
      <w:r w:rsidR="0037746C" w:rsidRPr="004676F5">
        <w:rPr>
          <w:iCs/>
          <w:lang w:val="de-DE"/>
        </w:rPr>
        <w:t>Artikel 129</w:t>
      </w:r>
      <w:r w:rsidR="0037746C" w:rsidRPr="004676F5">
        <w:rPr>
          <w:lang w:val="de-DE"/>
        </w:rPr>
        <w:t xml:space="preserve"> des Gesetzes vom 11. Juli 2018 im Rahmen der Integration der Hypothekenämter in die Verwaltung Rechtssicherheit der Generalverwaltung Vermögensdokumentation des Föderalen Öffentlichen Dienstes Finanzen und der neuen Organisation und Verteilung der Zuständigkeiten innerhalb der Verwaltung Rechtssicherheit (</w:t>
      </w:r>
      <w:r w:rsidR="0037746C" w:rsidRPr="004676F5">
        <w:rPr>
          <w:i/>
          <w:lang w:val="de-DE"/>
        </w:rPr>
        <w:t xml:space="preserve">Belgisches Staatsblatt </w:t>
      </w:r>
      <w:r w:rsidR="0037746C" w:rsidRPr="004676F5">
        <w:rPr>
          <w:lang w:val="de-DE"/>
        </w:rPr>
        <w:t>vom 14. Februar 2020)</w:t>
      </w:r>
      <w:r w:rsidR="00D84929" w:rsidRPr="004676F5">
        <w:rPr>
          <w:lang w:val="de-DE"/>
        </w:rPr>
        <w:t>,</w:t>
      </w:r>
    </w:p>
    <w:p w14:paraId="71B2067A" w14:textId="03338919" w:rsidR="000F668D" w:rsidRPr="004676F5" w:rsidRDefault="000F668D" w:rsidP="00A54A42">
      <w:pPr>
        <w:jc w:val="both"/>
        <w:rPr>
          <w:iCs/>
          <w:lang w:val="de-DE"/>
        </w:rPr>
      </w:pPr>
    </w:p>
    <w:p w14:paraId="6B1F2F3D" w14:textId="68537D26" w:rsidR="0007495F" w:rsidRPr="004676F5" w:rsidRDefault="005B7A5C" w:rsidP="00A54A42">
      <w:pPr>
        <w:jc w:val="both"/>
        <w:rPr>
          <w:lang w:val="de-DE"/>
        </w:rPr>
      </w:pPr>
      <w:r w:rsidRPr="004676F5">
        <w:rPr>
          <w:iCs/>
          <w:lang w:val="de-DE"/>
        </w:rPr>
        <w:t>- </w:t>
      </w:r>
      <w:r w:rsidR="0007495F" w:rsidRPr="004676F5">
        <w:rPr>
          <w:iCs/>
          <w:lang w:val="de-DE"/>
        </w:rPr>
        <w:t xml:space="preserve">das Gesetz vom 19. Juli 2018 </w:t>
      </w:r>
      <w:r w:rsidR="0007495F" w:rsidRPr="004676F5">
        <w:rPr>
          <w:lang w:val="de-DE"/>
        </w:rPr>
        <w:t>zur Abänderung von Bestimmungen über Zahlungsdienste in verschiedenen Büchern des Wirtschaftsgesetzbuches und zur Einfügung solcher Bestimmungen in diese Bücher (</w:t>
      </w:r>
      <w:r w:rsidR="0007495F" w:rsidRPr="004676F5">
        <w:rPr>
          <w:i/>
          <w:lang w:val="de-DE"/>
        </w:rPr>
        <w:t>Belgisches Staatsblatt</w:t>
      </w:r>
      <w:r w:rsidR="0007495F" w:rsidRPr="004676F5">
        <w:rPr>
          <w:lang w:val="de-DE"/>
        </w:rPr>
        <w:t xml:space="preserve"> vom 24. Oktober 2022),</w:t>
      </w:r>
    </w:p>
    <w:p w14:paraId="74CC05C9" w14:textId="332D9183" w:rsidR="0007495F" w:rsidRPr="004676F5" w:rsidRDefault="0007495F" w:rsidP="00A54A42">
      <w:pPr>
        <w:jc w:val="both"/>
        <w:rPr>
          <w:lang w:val="de-DE"/>
        </w:rPr>
      </w:pPr>
    </w:p>
    <w:p w14:paraId="763424FB" w14:textId="05C0FCEC" w:rsidR="009D1A1A" w:rsidRPr="004676F5" w:rsidRDefault="005B7A5C" w:rsidP="00A54A42">
      <w:pPr>
        <w:jc w:val="both"/>
        <w:rPr>
          <w:bCs/>
          <w:lang w:val="de-DE"/>
        </w:rPr>
      </w:pPr>
      <w:r w:rsidRPr="004676F5">
        <w:rPr>
          <w:lang w:val="de-DE"/>
        </w:rPr>
        <w:lastRenderedPageBreak/>
        <w:t>- </w:t>
      </w:r>
      <w:r w:rsidR="009D1A1A" w:rsidRPr="004676F5">
        <w:rPr>
          <w:lang w:val="de-DE"/>
        </w:rPr>
        <w:t xml:space="preserve">die Artikel 2 bis 29 des Gesetzes vom 30. Juli 2018 </w:t>
      </w:r>
      <w:r w:rsidR="009D1A1A" w:rsidRPr="004676F5">
        <w:rPr>
          <w:bCs/>
          <w:lang w:val="de-DE"/>
        </w:rPr>
        <w:t>über den Schutz von Geschäftsgeheimnissen (</w:t>
      </w:r>
      <w:r w:rsidR="009D1A1A" w:rsidRPr="004676F5">
        <w:rPr>
          <w:bCs/>
          <w:i/>
          <w:iCs/>
          <w:lang w:val="de-DE"/>
        </w:rPr>
        <w:t>Belgisches Staatsblatt</w:t>
      </w:r>
      <w:r w:rsidR="009D1A1A" w:rsidRPr="004676F5">
        <w:rPr>
          <w:bCs/>
          <w:lang w:val="de-DE"/>
        </w:rPr>
        <w:t xml:space="preserve"> vom 26. Januar 2023)</w:t>
      </w:r>
      <w:r w:rsidR="004F314D" w:rsidRPr="004676F5">
        <w:rPr>
          <w:bCs/>
          <w:lang w:val="de-DE"/>
        </w:rPr>
        <w:t> </w:t>
      </w:r>
      <w:r w:rsidR="004F314D" w:rsidRPr="004676F5">
        <w:rPr>
          <w:bCs/>
          <w:i/>
          <w:iCs/>
          <w:lang w:val="de-DE"/>
        </w:rPr>
        <w:t>(I)</w:t>
      </w:r>
      <w:r w:rsidR="009D1A1A" w:rsidRPr="004676F5">
        <w:rPr>
          <w:bCs/>
          <w:lang w:val="de-DE"/>
        </w:rPr>
        <w:t>,</w:t>
      </w:r>
    </w:p>
    <w:p w14:paraId="3AE65E19" w14:textId="011AA925" w:rsidR="009D1A1A" w:rsidRPr="004676F5" w:rsidRDefault="009D1A1A" w:rsidP="00A54A42">
      <w:pPr>
        <w:jc w:val="both"/>
        <w:rPr>
          <w:bCs/>
          <w:lang w:val="de-DE"/>
        </w:rPr>
      </w:pPr>
    </w:p>
    <w:p w14:paraId="76D7A38A" w14:textId="1FF0BA4F" w:rsidR="0022045D" w:rsidRPr="004676F5" w:rsidRDefault="005B7A5C" w:rsidP="00A54A42">
      <w:pPr>
        <w:jc w:val="both"/>
        <w:rPr>
          <w:bCs/>
          <w:lang w:val="de-DE"/>
        </w:rPr>
      </w:pPr>
      <w:r w:rsidRPr="004676F5">
        <w:rPr>
          <w:bCs/>
          <w:lang w:val="de-DE"/>
        </w:rPr>
        <w:t>- </w:t>
      </w:r>
      <w:r w:rsidR="0022045D" w:rsidRPr="004676F5">
        <w:rPr>
          <w:bCs/>
          <w:lang w:val="de-DE"/>
        </w:rPr>
        <w:t>die Artikel 2 bis 49 des Gesetzes vom 30. Juli 2018 zur Festlegung verschiedener Bestimmungen im Bereich Wirtschaft (</w:t>
      </w:r>
      <w:r w:rsidR="0022045D" w:rsidRPr="004676F5">
        <w:rPr>
          <w:bCs/>
          <w:i/>
          <w:iCs/>
          <w:lang w:val="de-DE"/>
        </w:rPr>
        <w:t>Belgisches Staatsblatt</w:t>
      </w:r>
      <w:r w:rsidR="0022045D" w:rsidRPr="004676F5">
        <w:rPr>
          <w:bCs/>
          <w:lang w:val="de-DE"/>
        </w:rPr>
        <w:t xml:space="preserve"> vom 9. März 2023)</w:t>
      </w:r>
      <w:r w:rsidR="0011394C" w:rsidRPr="004676F5">
        <w:rPr>
          <w:bCs/>
          <w:lang w:val="de-DE"/>
        </w:rPr>
        <w:t xml:space="preserve"> </w:t>
      </w:r>
      <w:r w:rsidR="0011394C" w:rsidRPr="004676F5">
        <w:rPr>
          <w:bCs/>
          <w:i/>
          <w:iCs/>
          <w:lang w:val="de-DE"/>
        </w:rPr>
        <w:t>(II)</w:t>
      </w:r>
      <w:r w:rsidR="0022045D" w:rsidRPr="004676F5">
        <w:rPr>
          <w:bCs/>
          <w:lang w:val="de-DE"/>
        </w:rPr>
        <w:t>,</w:t>
      </w:r>
    </w:p>
    <w:p w14:paraId="7A91D45B" w14:textId="77777777" w:rsidR="002D1C90" w:rsidRPr="004676F5" w:rsidRDefault="002D1C90" w:rsidP="00A54A42">
      <w:pPr>
        <w:jc w:val="both"/>
        <w:rPr>
          <w:bCs/>
          <w:lang w:val="de-DE"/>
        </w:rPr>
      </w:pPr>
    </w:p>
    <w:p w14:paraId="73C548E4" w14:textId="2E881116" w:rsidR="0053393E" w:rsidRPr="004676F5" w:rsidRDefault="005B7A5C" w:rsidP="0053393E">
      <w:pPr>
        <w:jc w:val="both"/>
        <w:rPr>
          <w:bCs/>
          <w:spacing w:val="-2"/>
          <w:lang w:val="de-DE"/>
        </w:rPr>
      </w:pPr>
      <w:r w:rsidRPr="004676F5">
        <w:rPr>
          <w:bCs/>
          <w:lang w:val="de-DE"/>
        </w:rPr>
        <w:t>- </w:t>
      </w:r>
      <w:r w:rsidR="0053393E" w:rsidRPr="004676F5">
        <w:rPr>
          <w:bCs/>
          <w:lang w:val="de-DE"/>
        </w:rPr>
        <w:t xml:space="preserve">die Artikel 87 bis 92 des Gesetzes vom 5. September 2018 </w:t>
      </w:r>
      <w:r w:rsidR="0053393E" w:rsidRPr="004676F5">
        <w:rPr>
          <w:bCs/>
          <w:spacing w:val="-2"/>
          <w:lang w:val="de-DE"/>
        </w:rPr>
        <w:t>zur Schaffung des Informationssicherheitsausschusses und zur Abänderung verschiedener Gesetze zur Ausführung der Verordnung (EU) 2016/679 des Europäischen Parlaments und des Rates vom 27. April 2016 zum Schutz natürlicher Personen bei der Verarbeitung personenbezogener Daten, zum freien Datenverkehr und zur Aufhebung der Richtlinie 95/46/EG (</w:t>
      </w:r>
      <w:r w:rsidR="0053393E" w:rsidRPr="004676F5">
        <w:rPr>
          <w:bCs/>
          <w:i/>
          <w:iCs/>
          <w:spacing w:val="-2"/>
          <w:lang w:val="de-DE"/>
        </w:rPr>
        <w:t xml:space="preserve">Belgisches Staatsblatt </w:t>
      </w:r>
      <w:r w:rsidR="0053393E" w:rsidRPr="004676F5">
        <w:rPr>
          <w:bCs/>
          <w:spacing w:val="-2"/>
          <w:lang w:val="de-DE"/>
        </w:rPr>
        <w:t>vom 11. April 2023),</w:t>
      </w:r>
    </w:p>
    <w:p w14:paraId="4DB254E1" w14:textId="77777777" w:rsidR="0053393E" w:rsidRPr="004676F5" w:rsidRDefault="0053393E" w:rsidP="0036569C">
      <w:pPr>
        <w:jc w:val="both"/>
        <w:rPr>
          <w:bCs/>
          <w:spacing w:val="-2"/>
          <w:lang w:val="de-DE"/>
        </w:rPr>
      </w:pPr>
    </w:p>
    <w:p w14:paraId="6924BDCA" w14:textId="7E0DB389" w:rsidR="0036569C" w:rsidRPr="004676F5" w:rsidRDefault="005B7A5C" w:rsidP="0036569C">
      <w:pPr>
        <w:jc w:val="both"/>
        <w:rPr>
          <w:bCs/>
          <w:spacing w:val="-2"/>
          <w:lang w:val="de-DE"/>
        </w:rPr>
      </w:pPr>
      <w:r w:rsidRPr="004676F5">
        <w:rPr>
          <w:bCs/>
          <w:spacing w:val="-2"/>
          <w:lang w:val="de-DE"/>
        </w:rPr>
        <w:t>- </w:t>
      </w:r>
      <w:r w:rsidR="0036569C" w:rsidRPr="004676F5">
        <w:rPr>
          <w:bCs/>
          <w:spacing w:val="-2"/>
          <w:lang w:val="de-DE"/>
        </w:rPr>
        <w:t xml:space="preserve">die Artikel 3 bis 12 des Gesetzes vom 20. September 2018 </w:t>
      </w:r>
      <w:r w:rsidR="0036569C" w:rsidRPr="004676F5">
        <w:rPr>
          <w:bCs/>
          <w:lang w:val="de-DE"/>
        </w:rPr>
        <w:t>zur Harmonisierung der Begriffe der elektronischen Signatur und des dauerhaften Datenträgers und zur Beseitigung von Hindernissen beim Abschluss von Verträgen auf elektronischem Wege (</w:t>
      </w:r>
      <w:r w:rsidR="0036569C" w:rsidRPr="004676F5">
        <w:rPr>
          <w:bCs/>
          <w:i/>
          <w:iCs/>
          <w:lang w:val="de-DE"/>
        </w:rPr>
        <w:t xml:space="preserve">Belgisches Staatsblatt </w:t>
      </w:r>
      <w:r w:rsidR="0036569C" w:rsidRPr="004676F5">
        <w:rPr>
          <w:bCs/>
          <w:lang w:val="de-DE"/>
        </w:rPr>
        <w:t>vom 6. April 2023),</w:t>
      </w:r>
    </w:p>
    <w:p w14:paraId="4191CEBE" w14:textId="77777777" w:rsidR="0036569C" w:rsidRPr="004676F5" w:rsidRDefault="0036569C" w:rsidP="0036569C">
      <w:pPr>
        <w:jc w:val="both"/>
        <w:rPr>
          <w:bCs/>
          <w:lang w:val="de-DE"/>
        </w:rPr>
      </w:pPr>
    </w:p>
    <w:p w14:paraId="7D1E72D6" w14:textId="12FC7C16" w:rsidR="007F5A05" w:rsidRPr="004676F5" w:rsidRDefault="005B7A5C" w:rsidP="007F5A05">
      <w:pPr>
        <w:jc w:val="both"/>
        <w:rPr>
          <w:bCs/>
          <w:lang w:val="de-DE"/>
        </w:rPr>
      </w:pPr>
      <w:r w:rsidRPr="004676F5">
        <w:rPr>
          <w:bCs/>
          <w:lang w:val="de-DE"/>
        </w:rPr>
        <w:t>- </w:t>
      </w:r>
      <w:r w:rsidR="007F5A05" w:rsidRPr="004676F5">
        <w:rPr>
          <w:bCs/>
          <w:lang w:val="de-DE"/>
        </w:rPr>
        <w:t>das Gesetz vom 25. November 2018 zur Abänderung von Buch I "Begriffsbestimmungen" und Buch XI "Geistiges Eigentum" des Wirtschaftsgesetzbuches in Bezug auf den audiovisuellen Sektor (</w:t>
      </w:r>
      <w:r w:rsidR="007F5A05" w:rsidRPr="004676F5">
        <w:rPr>
          <w:bCs/>
          <w:i/>
          <w:iCs/>
          <w:lang w:val="de-DE"/>
        </w:rPr>
        <w:t xml:space="preserve">Belgisches Staatsblatt </w:t>
      </w:r>
      <w:r w:rsidR="007F5A05" w:rsidRPr="004676F5">
        <w:rPr>
          <w:bCs/>
          <w:lang w:val="de-DE"/>
        </w:rPr>
        <w:t>vom 6. April 2023)</w:t>
      </w:r>
      <w:r w:rsidR="00E43762" w:rsidRPr="004676F5">
        <w:rPr>
          <w:bCs/>
          <w:lang w:val="de-DE"/>
        </w:rPr>
        <w:t xml:space="preserve"> </w:t>
      </w:r>
      <w:r w:rsidR="00E43762" w:rsidRPr="004676F5">
        <w:rPr>
          <w:bCs/>
          <w:i/>
          <w:iCs/>
          <w:lang w:val="de-DE"/>
        </w:rPr>
        <w:t>(I)</w:t>
      </w:r>
      <w:r w:rsidR="007F5A05" w:rsidRPr="004676F5">
        <w:rPr>
          <w:bCs/>
          <w:lang w:val="de-DE"/>
        </w:rPr>
        <w:t>,</w:t>
      </w:r>
    </w:p>
    <w:p w14:paraId="095CA821" w14:textId="14287488" w:rsidR="007F5A05" w:rsidRPr="004676F5" w:rsidRDefault="007F5A05" w:rsidP="0036569C">
      <w:pPr>
        <w:jc w:val="both"/>
        <w:rPr>
          <w:bCs/>
          <w:lang w:val="de-DE"/>
        </w:rPr>
      </w:pPr>
    </w:p>
    <w:p w14:paraId="3A660553" w14:textId="25D67225" w:rsidR="00E43762" w:rsidRPr="004676F5" w:rsidRDefault="005B7A5C" w:rsidP="0036569C">
      <w:pPr>
        <w:jc w:val="both"/>
        <w:rPr>
          <w:bCs/>
          <w:lang w:val="de-DE"/>
        </w:rPr>
      </w:pPr>
      <w:r w:rsidRPr="004676F5">
        <w:rPr>
          <w:bCs/>
          <w:lang w:val="de-DE"/>
        </w:rPr>
        <w:t>- </w:t>
      </w:r>
      <w:r w:rsidR="00E43762" w:rsidRPr="004676F5">
        <w:rPr>
          <w:bCs/>
          <w:lang w:val="de-DE"/>
        </w:rPr>
        <w:t xml:space="preserve">das </w:t>
      </w:r>
      <w:r w:rsidR="00A37D44" w:rsidRPr="004676F5">
        <w:rPr>
          <w:bCs/>
          <w:lang w:val="de-DE"/>
        </w:rPr>
        <w:t>Gesetz vom 25. November 2018 zur Umsetzung der Richtlinie 2017/1564/EU des Europäischen Parlaments und des Rates vom 13. September 2017 über bestimmte zulässige Formen der Nutzung bestimmter urheberrechtlich oder durch verwandte Schutzrechte geschützter Werke und sonstiger Schutzgegenstände zugunsten blinder, sehbehinderter oder anderweitig lesebehinderter Personen und zur Änderung der Richtlinie 2001/29/EG zur Harmonisierung bestimmter Aspekte des Urheberrechts und der verwandten Schutzrechte in der Informationsgesellschaft in belgisches Recht (</w:t>
      </w:r>
      <w:r w:rsidR="00A37D44" w:rsidRPr="004676F5">
        <w:rPr>
          <w:bCs/>
          <w:i/>
          <w:iCs/>
          <w:lang w:val="de-DE"/>
        </w:rPr>
        <w:t xml:space="preserve">Belgisches Staatsblatt </w:t>
      </w:r>
      <w:r w:rsidR="00A37D44" w:rsidRPr="004676F5">
        <w:rPr>
          <w:bCs/>
          <w:lang w:val="de-DE"/>
        </w:rPr>
        <w:t>vom 24. April 2023) </w:t>
      </w:r>
      <w:r w:rsidR="00A37D44" w:rsidRPr="004676F5">
        <w:rPr>
          <w:bCs/>
          <w:i/>
          <w:iCs/>
          <w:lang w:val="de-DE"/>
        </w:rPr>
        <w:t>(II)</w:t>
      </w:r>
      <w:r w:rsidR="00A37D44" w:rsidRPr="004676F5">
        <w:rPr>
          <w:bCs/>
          <w:lang w:val="de-DE"/>
        </w:rPr>
        <w:t>,</w:t>
      </w:r>
    </w:p>
    <w:p w14:paraId="34B8402D" w14:textId="77777777" w:rsidR="00A37D44" w:rsidRPr="004676F5" w:rsidRDefault="00A37D44" w:rsidP="0036569C">
      <w:pPr>
        <w:jc w:val="both"/>
        <w:rPr>
          <w:bCs/>
          <w:lang w:val="de-DE"/>
        </w:rPr>
      </w:pPr>
    </w:p>
    <w:p w14:paraId="5C1AF32F" w14:textId="3D377DE7" w:rsidR="00D84929" w:rsidRPr="004676F5" w:rsidRDefault="005B7A5C" w:rsidP="00D84929">
      <w:pPr>
        <w:jc w:val="both"/>
        <w:rPr>
          <w:lang w:val="de-DE"/>
        </w:rPr>
      </w:pPr>
      <w:r w:rsidRPr="004676F5">
        <w:rPr>
          <w:lang w:val="de-DE"/>
        </w:rPr>
        <w:t>- </w:t>
      </w:r>
      <w:r w:rsidR="00D84929" w:rsidRPr="004676F5">
        <w:rPr>
          <w:lang w:val="de-DE"/>
        </w:rPr>
        <w:t>die Artikel 154 bis 156 des Gesetzes vom 21. Dezember 2018 zur Festlegung verschiedener Bestimmungen im Bereich der Justiz (</w:t>
      </w:r>
      <w:r w:rsidR="00D84929" w:rsidRPr="004676F5">
        <w:rPr>
          <w:i/>
          <w:iCs/>
          <w:lang w:val="de-DE"/>
        </w:rPr>
        <w:t>Belgisches Staatsblatt</w:t>
      </w:r>
      <w:r w:rsidR="00D84929" w:rsidRPr="004676F5">
        <w:rPr>
          <w:lang w:val="de-DE"/>
        </w:rPr>
        <w:t xml:space="preserve"> vom 29</w:t>
      </w:r>
      <w:r w:rsidR="003C1E5F" w:rsidRPr="004676F5">
        <w:rPr>
          <w:lang w:val="de-DE"/>
        </w:rPr>
        <w:t>. September 2020),</w:t>
      </w:r>
    </w:p>
    <w:p w14:paraId="5AD0F671" w14:textId="77777777" w:rsidR="00EC6255" w:rsidRPr="004676F5" w:rsidRDefault="00EC6255" w:rsidP="00D84929">
      <w:pPr>
        <w:jc w:val="both"/>
        <w:rPr>
          <w:lang w:val="de-DE"/>
        </w:rPr>
      </w:pPr>
    </w:p>
    <w:p w14:paraId="007F1210" w14:textId="52707E33" w:rsidR="00EC6255" w:rsidRPr="004676F5" w:rsidRDefault="005B7A5C" w:rsidP="00D84929">
      <w:pPr>
        <w:jc w:val="both"/>
        <w:rPr>
          <w:lang w:val="de-DE"/>
        </w:rPr>
      </w:pPr>
      <w:r w:rsidRPr="004676F5">
        <w:rPr>
          <w:lang w:val="de-DE"/>
        </w:rPr>
        <w:t>- </w:t>
      </w:r>
      <w:r w:rsidR="00EC6255" w:rsidRPr="004676F5">
        <w:rPr>
          <w:lang w:val="de-DE"/>
        </w:rPr>
        <w:t>Artikel 118 des Gesetzes vom 17. März 2019 zur Anpassung bestimmter föderaler steuerrechtlicher Bestimmungen an das neue Gesetzbuch der Gesellschaften und Vereinigungen,</w:t>
      </w:r>
    </w:p>
    <w:p w14:paraId="64187823" w14:textId="1D3FEF7C" w:rsidR="00E54E98" w:rsidRPr="004676F5" w:rsidRDefault="00E54E98" w:rsidP="00D84929">
      <w:pPr>
        <w:jc w:val="both"/>
        <w:rPr>
          <w:lang w:val="de-DE"/>
        </w:rPr>
      </w:pPr>
    </w:p>
    <w:p w14:paraId="61E7F04C" w14:textId="7E363920" w:rsidR="00A4783C" w:rsidRPr="004676F5" w:rsidRDefault="00A4783C" w:rsidP="00A4783C">
      <w:pPr>
        <w:jc w:val="both"/>
        <w:rPr>
          <w:lang w:val="de-DE"/>
        </w:rPr>
      </w:pPr>
      <w:r w:rsidRPr="004676F5">
        <w:rPr>
          <w:lang w:val="de-DE"/>
        </w:rPr>
        <w:t xml:space="preserve">- die Artikel 27 bis 30 des Gesetzes vom 23. März 2019 </w:t>
      </w:r>
      <w:r w:rsidRPr="004676F5">
        <w:rPr>
          <w:bCs/>
          <w:lang w:val="de-DE"/>
        </w:rPr>
        <w:t>zur Einführung des Gesetzbuches der Gesellschaften und Vereinigungen und zur Festlegung verschiedener Bestimmungen (</w:t>
      </w:r>
      <w:r w:rsidRPr="004676F5">
        <w:rPr>
          <w:bCs/>
          <w:i/>
          <w:iCs/>
          <w:lang w:val="de-DE"/>
        </w:rPr>
        <w:t xml:space="preserve">Belgisches Staatsblatt </w:t>
      </w:r>
      <w:r w:rsidRPr="004676F5">
        <w:rPr>
          <w:bCs/>
          <w:lang w:val="de-DE"/>
        </w:rPr>
        <w:t>vom 30. Januar 2025),</w:t>
      </w:r>
    </w:p>
    <w:p w14:paraId="3A9FB713" w14:textId="77777777" w:rsidR="00A4783C" w:rsidRPr="004676F5" w:rsidRDefault="00A4783C" w:rsidP="00D84929">
      <w:pPr>
        <w:jc w:val="both"/>
        <w:rPr>
          <w:lang w:val="de-DE"/>
        </w:rPr>
      </w:pPr>
    </w:p>
    <w:p w14:paraId="15553B0B" w14:textId="45DE98B7" w:rsidR="00E54E98" w:rsidRPr="004676F5" w:rsidRDefault="005B7A5C" w:rsidP="00D84929">
      <w:pPr>
        <w:jc w:val="both"/>
        <w:rPr>
          <w:bCs/>
          <w:u w:val="single"/>
          <w:lang w:val="de-DE"/>
        </w:rPr>
      </w:pPr>
      <w:r w:rsidRPr="004676F5">
        <w:rPr>
          <w:lang w:val="de-DE"/>
        </w:rPr>
        <w:t>- </w:t>
      </w:r>
      <w:r w:rsidR="00E54E98" w:rsidRPr="004676F5">
        <w:rPr>
          <w:lang w:val="de-DE"/>
        </w:rPr>
        <w:t xml:space="preserve">das Gesetz vom 4. April 2019 </w:t>
      </w:r>
      <w:r w:rsidR="00E54E98" w:rsidRPr="004676F5">
        <w:rPr>
          <w:bCs/>
          <w:lang w:val="de-DE"/>
        </w:rPr>
        <w:t>zur Abänderung des Wirtschaftsgesetzbuches in Bezug auf den Missbrauch wirtschaftlicher Abhängigkeit, missbräuchliche Klauseln und unlautere Marktpraktiken zwischen Unternehmen (</w:t>
      </w:r>
      <w:r w:rsidR="00E54E98" w:rsidRPr="004676F5">
        <w:rPr>
          <w:bCs/>
          <w:i/>
          <w:iCs/>
          <w:lang w:val="de-DE"/>
        </w:rPr>
        <w:t xml:space="preserve">Belgisches Staatsblatt </w:t>
      </w:r>
      <w:r w:rsidR="00E54E98" w:rsidRPr="004676F5">
        <w:rPr>
          <w:bCs/>
          <w:lang w:val="de-DE"/>
        </w:rPr>
        <w:t>vom 23. Mai 2023),</w:t>
      </w:r>
      <w:r w:rsidR="00E54E98" w:rsidRPr="004676F5">
        <w:rPr>
          <w:bCs/>
          <w:u w:val="single"/>
          <w:lang w:val="de-DE"/>
        </w:rPr>
        <w:t xml:space="preserve"> </w:t>
      </w:r>
    </w:p>
    <w:p w14:paraId="631850B4" w14:textId="77777777" w:rsidR="00E54E98" w:rsidRPr="004676F5" w:rsidRDefault="00E54E98" w:rsidP="00D84929">
      <w:pPr>
        <w:jc w:val="both"/>
        <w:rPr>
          <w:u w:val="single"/>
          <w:lang w:val="de-DE"/>
        </w:rPr>
      </w:pPr>
    </w:p>
    <w:p w14:paraId="1482D306" w14:textId="0F77864E" w:rsidR="00BC461C" w:rsidRPr="004676F5" w:rsidRDefault="005B7A5C" w:rsidP="00D84929">
      <w:pPr>
        <w:jc w:val="both"/>
        <w:rPr>
          <w:lang w:val="de-DE"/>
        </w:rPr>
      </w:pPr>
      <w:r w:rsidRPr="004676F5">
        <w:rPr>
          <w:bCs/>
          <w:lang w:val="de-DE"/>
        </w:rPr>
        <w:t>- </w:t>
      </w:r>
      <w:r w:rsidR="003C1E5F" w:rsidRPr="004676F5">
        <w:rPr>
          <w:bCs/>
          <w:lang w:val="de-DE"/>
        </w:rPr>
        <w:t>die Artikel 37 bis 39 des Gesetzes vom 13. April 2019</w:t>
      </w:r>
      <w:r w:rsidR="003C1E5F" w:rsidRPr="004676F5">
        <w:rPr>
          <w:lang w:val="de-DE"/>
        </w:rPr>
        <w:t xml:space="preserve"> zur Einführung eines Zivilgesetzbuches und zur Einfügung von Buch 8 "Beweis" in dieses Gesetzbuch (</w:t>
      </w:r>
      <w:r w:rsidR="003C1E5F" w:rsidRPr="004676F5">
        <w:rPr>
          <w:i/>
          <w:lang w:val="de-DE"/>
        </w:rPr>
        <w:t>Belgisches Staatsblatt</w:t>
      </w:r>
      <w:r w:rsidR="00204FA1" w:rsidRPr="004676F5">
        <w:rPr>
          <w:lang w:val="de-DE"/>
        </w:rPr>
        <w:t xml:space="preserve"> vom 14. Mai 2019), </w:t>
      </w:r>
    </w:p>
    <w:p w14:paraId="1902827C" w14:textId="77777777" w:rsidR="001905F2" w:rsidRPr="004676F5" w:rsidRDefault="001905F2" w:rsidP="00D84929">
      <w:pPr>
        <w:jc w:val="both"/>
        <w:rPr>
          <w:lang w:val="de-DE"/>
        </w:rPr>
      </w:pPr>
    </w:p>
    <w:p w14:paraId="1354BDAF" w14:textId="78C4771F" w:rsidR="00E44C74" w:rsidRPr="004676F5" w:rsidRDefault="00E44C74" w:rsidP="00E44C74">
      <w:pPr>
        <w:jc w:val="both"/>
        <w:rPr>
          <w:bCs/>
          <w:lang w:val="de-DE"/>
        </w:rPr>
      </w:pPr>
      <w:r w:rsidRPr="004676F5">
        <w:rPr>
          <w:lang w:val="de-DE"/>
        </w:rPr>
        <w:lastRenderedPageBreak/>
        <w:t xml:space="preserve">- Artikel 233 des Gesetzes vom 28. April 2020 </w:t>
      </w:r>
      <w:r w:rsidRPr="004676F5">
        <w:rPr>
          <w:bCs/>
          <w:lang w:val="de-DE"/>
        </w:rPr>
        <w:t>zur Umsetzung der Richtlinie (EU) 2017/828 des Europäischen Parlaments und des Rates vom 17. Mai 2017 zur Änderung der Richtlinie 2007/36/EG im Hinblick auf die Förderung der langfristigen Mitwirkung der Aktionäre und zur Festlegung verschiedener Bestimmungen in Bezug auf Gesellschaften und Vereinigungen (</w:t>
      </w:r>
      <w:r w:rsidRPr="004676F5">
        <w:rPr>
          <w:bCs/>
          <w:i/>
          <w:iCs/>
          <w:lang w:val="de-DE"/>
        </w:rPr>
        <w:t xml:space="preserve">Belgisches Staatsblatt </w:t>
      </w:r>
      <w:r w:rsidRPr="004676F5">
        <w:rPr>
          <w:bCs/>
          <w:lang w:val="de-DE"/>
        </w:rPr>
        <w:t>vom 30. Januar 2025),</w:t>
      </w:r>
    </w:p>
    <w:p w14:paraId="7C7F2C83" w14:textId="77777777" w:rsidR="00E44C74" w:rsidRPr="004676F5" w:rsidRDefault="00E44C74" w:rsidP="00E44C74">
      <w:pPr>
        <w:jc w:val="both"/>
        <w:rPr>
          <w:bCs/>
          <w:lang w:val="de-DE"/>
        </w:rPr>
      </w:pPr>
    </w:p>
    <w:p w14:paraId="17E060AB" w14:textId="70F88DC8" w:rsidR="001905F2" w:rsidRPr="004676F5" w:rsidRDefault="005B7A5C" w:rsidP="00D84929">
      <w:pPr>
        <w:jc w:val="both"/>
        <w:rPr>
          <w:lang w:val="de-DE"/>
        </w:rPr>
      </w:pPr>
      <w:r w:rsidRPr="004676F5">
        <w:rPr>
          <w:lang w:val="de-DE"/>
        </w:rPr>
        <w:t>- </w:t>
      </w:r>
      <w:r w:rsidR="001905F2" w:rsidRPr="004676F5">
        <w:rPr>
          <w:lang w:val="de-DE"/>
        </w:rPr>
        <w:t>das Gesetz vom 2. Mai 2019 zur Abänderung des Wirtschaftsgesetzbuches in Bezug auf die Eintragung in der Zentralen Datenbank der Unternehmen (</w:t>
      </w:r>
      <w:r w:rsidR="001905F2" w:rsidRPr="004676F5">
        <w:rPr>
          <w:i/>
          <w:iCs/>
          <w:lang w:val="de-DE"/>
        </w:rPr>
        <w:t xml:space="preserve">Belgisches Staatsblatt </w:t>
      </w:r>
      <w:r w:rsidR="001905F2" w:rsidRPr="004676F5">
        <w:rPr>
          <w:lang w:val="de-DE"/>
        </w:rPr>
        <w:t>vom 11. September 2023) </w:t>
      </w:r>
      <w:r w:rsidR="001905F2" w:rsidRPr="004676F5">
        <w:rPr>
          <w:i/>
          <w:iCs/>
          <w:lang w:val="de-DE"/>
        </w:rPr>
        <w:t>(I)</w:t>
      </w:r>
      <w:r w:rsidR="001905F2" w:rsidRPr="004676F5">
        <w:rPr>
          <w:lang w:val="de-DE"/>
        </w:rPr>
        <w:t>,</w:t>
      </w:r>
    </w:p>
    <w:p w14:paraId="4A3DD430" w14:textId="77777777" w:rsidR="001905F2" w:rsidRPr="004676F5" w:rsidRDefault="001905F2" w:rsidP="00D84929">
      <w:pPr>
        <w:jc w:val="both"/>
        <w:rPr>
          <w:lang w:val="de-DE"/>
        </w:rPr>
      </w:pPr>
    </w:p>
    <w:p w14:paraId="348DFB0F" w14:textId="3D2AC117" w:rsidR="009B004F" w:rsidRPr="004676F5" w:rsidRDefault="005B7A5C" w:rsidP="009B004F">
      <w:pPr>
        <w:jc w:val="both"/>
        <w:rPr>
          <w:lang w:val="de-DE"/>
        </w:rPr>
      </w:pPr>
      <w:r w:rsidRPr="004676F5">
        <w:rPr>
          <w:lang w:val="de-DE"/>
        </w:rPr>
        <w:t>- </w:t>
      </w:r>
      <w:r w:rsidR="009B004F" w:rsidRPr="004676F5">
        <w:rPr>
          <w:lang w:val="de-DE"/>
        </w:rPr>
        <w:t xml:space="preserve">das Gesetz vom 2. Mai 2019 </w:t>
      </w:r>
      <w:r w:rsidR="009B004F" w:rsidRPr="004676F5">
        <w:rPr>
          <w:bCs/>
          <w:lang w:val="de-DE"/>
        </w:rPr>
        <w:t xml:space="preserve">zur Abänderung einiger Bestimmungen von Buch XI des Wirtschaftsgesetzbuches in Bezug auf Privatkopien </w:t>
      </w:r>
      <w:r w:rsidR="009B004F" w:rsidRPr="004676F5">
        <w:rPr>
          <w:lang w:val="de-DE"/>
        </w:rPr>
        <w:t>(</w:t>
      </w:r>
      <w:r w:rsidR="009B004F" w:rsidRPr="004676F5">
        <w:rPr>
          <w:i/>
          <w:iCs/>
          <w:lang w:val="de-DE"/>
        </w:rPr>
        <w:t xml:space="preserve">Belgisches Staatsblatt </w:t>
      </w:r>
      <w:r w:rsidR="009B004F" w:rsidRPr="004676F5">
        <w:rPr>
          <w:lang w:val="de-DE"/>
        </w:rPr>
        <w:t>vom 11. September 2023) </w:t>
      </w:r>
      <w:r w:rsidR="009B004F" w:rsidRPr="004676F5">
        <w:rPr>
          <w:i/>
          <w:iCs/>
          <w:lang w:val="de-DE"/>
        </w:rPr>
        <w:t>(II)</w:t>
      </w:r>
      <w:r w:rsidR="009B004F" w:rsidRPr="004676F5">
        <w:rPr>
          <w:lang w:val="de-DE"/>
        </w:rPr>
        <w:t>,</w:t>
      </w:r>
    </w:p>
    <w:p w14:paraId="76A32AE2" w14:textId="64FFBF86" w:rsidR="00C96B80" w:rsidRPr="004676F5" w:rsidRDefault="00C96B80" w:rsidP="00C96B80">
      <w:pPr>
        <w:jc w:val="both"/>
        <w:rPr>
          <w:lang w:val="de-DE"/>
        </w:rPr>
      </w:pPr>
    </w:p>
    <w:p w14:paraId="778E3B20" w14:textId="6DE9BC47" w:rsidR="00C96B80" w:rsidRPr="004676F5" w:rsidRDefault="005B7A5C" w:rsidP="00C96B80">
      <w:pPr>
        <w:jc w:val="both"/>
        <w:rPr>
          <w:lang w:val="de-DE"/>
        </w:rPr>
      </w:pPr>
      <w:r w:rsidRPr="004676F5">
        <w:rPr>
          <w:lang w:val="de-DE"/>
        </w:rPr>
        <w:t>- </w:t>
      </w:r>
      <w:r w:rsidR="00C96B80" w:rsidRPr="004676F5">
        <w:rPr>
          <w:lang w:val="de-DE"/>
        </w:rPr>
        <w:t xml:space="preserve">das Gesetz vom 2. Mai 2019 </w:t>
      </w:r>
      <w:r w:rsidR="00C96B80" w:rsidRPr="004676F5">
        <w:rPr>
          <w:bCs/>
          <w:lang w:val="de-DE"/>
        </w:rPr>
        <w:t xml:space="preserve">zur Abänderung des Wirtschaftsgesetzbuches zur Aufnahme von Kleinkindbetreuungsdiensten in den Bereich der Ausnahmen vom Urheberrecht </w:t>
      </w:r>
      <w:r w:rsidR="00C96B80" w:rsidRPr="004676F5">
        <w:rPr>
          <w:lang w:val="de-DE"/>
        </w:rPr>
        <w:t>(</w:t>
      </w:r>
      <w:r w:rsidR="00C96B80" w:rsidRPr="004676F5">
        <w:rPr>
          <w:i/>
          <w:iCs/>
          <w:lang w:val="de-DE"/>
        </w:rPr>
        <w:t xml:space="preserve">Belgisches Staatsblatt </w:t>
      </w:r>
      <w:r w:rsidR="00C96B80" w:rsidRPr="004676F5">
        <w:rPr>
          <w:lang w:val="de-DE"/>
        </w:rPr>
        <w:t>vom 11. September 2023) </w:t>
      </w:r>
      <w:r w:rsidR="00C96B80" w:rsidRPr="004676F5">
        <w:rPr>
          <w:i/>
          <w:iCs/>
          <w:lang w:val="de-DE"/>
        </w:rPr>
        <w:t>(III)</w:t>
      </w:r>
      <w:r w:rsidR="00C96B80" w:rsidRPr="004676F5">
        <w:rPr>
          <w:lang w:val="de-DE"/>
        </w:rPr>
        <w:t>,</w:t>
      </w:r>
    </w:p>
    <w:p w14:paraId="1BBE7354" w14:textId="77777777" w:rsidR="00F74229" w:rsidRPr="004676F5" w:rsidRDefault="00F74229" w:rsidP="00C96B80">
      <w:pPr>
        <w:jc w:val="both"/>
        <w:rPr>
          <w:lang w:val="de-DE"/>
        </w:rPr>
      </w:pPr>
    </w:p>
    <w:p w14:paraId="6659BE6A" w14:textId="1A54AB40" w:rsidR="00F74229" w:rsidRPr="004676F5" w:rsidRDefault="005B7A5C" w:rsidP="00C96B80">
      <w:pPr>
        <w:jc w:val="both"/>
        <w:rPr>
          <w:lang w:val="de-DE"/>
        </w:rPr>
      </w:pPr>
      <w:r w:rsidRPr="004676F5">
        <w:rPr>
          <w:lang w:val="de-DE"/>
        </w:rPr>
        <w:t>- </w:t>
      </w:r>
      <w:r w:rsidR="00F74229" w:rsidRPr="004676F5">
        <w:rPr>
          <w:lang w:val="de-DE"/>
        </w:rPr>
        <w:t>die Artikel</w:t>
      </w:r>
      <w:r w:rsidR="00481B48" w:rsidRPr="004676F5">
        <w:rPr>
          <w:lang w:val="de-DE"/>
        </w:rPr>
        <w:t> </w:t>
      </w:r>
      <w:r w:rsidR="00F74229" w:rsidRPr="004676F5">
        <w:rPr>
          <w:lang w:val="de-DE"/>
        </w:rPr>
        <w:t xml:space="preserve">2 bis </w:t>
      </w:r>
      <w:r w:rsidR="001E61AF" w:rsidRPr="004676F5">
        <w:rPr>
          <w:lang w:val="de-DE"/>
        </w:rPr>
        <w:t>39</w:t>
      </w:r>
      <w:r w:rsidR="00F74229" w:rsidRPr="004676F5">
        <w:rPr>
          <w:lang w:val="de-DE"/>
        </w:rPr>
        <w:t xml:space="preserve"> des Gesetzes vom 2. Mai 2019 zur Festlegung verschiedener Bestimmungen im Bereich Wirtschaft (</w:t>
      </w:r>
      <w:r w:rsidR="00F74229" w:rsidRPr="004676F5">
        <w:rPr>
          <w:i/>
          <w:iCs/>
          <w:lang w:val="de-DE"/>
        </w:rPr>
        <w:t xml:space="preserve">Belgisches Staatsblatt </w:t>
      </w:r>
      <w:r w:rsidR="00F74229" w:rsidRPr="004676F5">
        <w:rPr>
          <w:lang w:val="de-DE"/>
        </w:rPr>
        <w:t xml:space="preserve">vom 7. November 2023) </w:t>
      </w:r>
      <w:r w:rsidR="00F74229" w:rsidRPr="004676F5">
        <w:rPr>
          <w:i/>
          <w:iCs/>
          <w:lang w:val="de-DE"/>
        </w:rPr>
        <w:t>(IV)</w:t>
      </w:r>
      <w:r w:rsidR="00F74229" w:rsidRPr="004676F5">
        <w:rPr>
          <w:lang w:val="de-DE"/>
        </w:rPr>
        <w:t>,</w:t>
      </w:r>
    </w:p>
    <w:p w14:paraId="57E6C0DE" w14:textId="77777777" w:rsidR="00673E57" w:rsidRPr="004676F5" w:rsidRDefault="00673E57" w:rsidP="00C96B80">
      <w:pPr>
        <w:jc w:val="both"/>
        <w:rPr>
          <w:lang w:val="de-DE"/>
        </w:rPr>
      </w:pPr>
    </w:p>
    <w:p w14:paraId="757499BB" w14:textId="188A59D5" w:rsidR="00673E57" w:rsidRPr="004676F5" w:rsidRDefault="005B7A5C" w:rsidP="00673E57">
      <w:pPr>
        <w:jc w:val="both"/>
        <w:rPr>
          <w:rFonts w:eastAsia="Calibri"/>
          <w:bCs/>
          <w:kern w:val="2"/>
          <w:szCs w:val="22"/>
          <w:lang w:val="de-DE" w:eastAsia="en-US"/>
          <w14:ligatures w14:val="standardContextual"/>
        </w:rPr>
      </w:pPr>
      <w:r w:rsidRPr="004676F5">
        <w:rPr>
          <w:lang w:val="de-DE"/>
        </w:rPr>
        <w:t>- </w:t>
      </w:r>
      <w:r w:rsidR="00673E57" w:rsidRPr="004676F5">
        <w:rPr>
          <w:lang w:val="de-DE"/>
        </w:rPr>
        <w:t xml:space="preserve">das Gesetz vom 2. Mai 2019 </w:t>
      </w:r>
      <w:r w:rsidR="00673E57" w:rsidRPr="004676F5">
        <w:rPr>
          <w:rFonts w:eastAsia="Calibri"/>
          <w:bCs/>
          <w:kern w:val="2"/>
          <w:szCs w:val="22"/>
          <w:lang w:val="de-DE" w:eastAsia="en-US"/>
          <w14:ligatures w14:val="standardContextual"/>
        </w:rPr>
        <w:t>zur Abänderung von Buch I "Begriffsbestimmungen" und Buch XV "Rechtsdurchsetzung" und zur Ersetzung von Buch IV "Schutz des Wettbewerbs" des Wirtschaftsgesetzbuches (</w:t>
      </w:r>
      <w:r w:rsidR="00673E57" w:rsidRPr="004676F5">
        <w:rPr>
          <w:rFonts w:eastAsia="Calibri"/>
          <w:bCs/>
          <w:i/>
          <w:iCs/>
          <w:kern w:val="2"/>
          <w:szCs w:val="22"/>
          <w:lang w:val="de-DE" w:eastAsia="en-US"/>
          <w14:ligatures w14:val="standardContextual"/>
        </w:rPr>
        <w:t xml:space="preserve">Belgisches Staatsblatt </w:t>
      </w:r>
      <w:r w:rsidR="00673E57" w:rsidRPr="004676F5">
        <w:rPr>
          <w:rFonts w:eastAsia="Calibri"/>
          <w:bCs/>
          <w:kern w:val="2"/>
          <w:szCs w:val="22"/>
          <w:lang w:val="de-DE" w:eastAsia="en-US"/>
          <w14:ligatures w14:val="standardContextual"/>
        </w:rPr>
        <w:t>vom</w:t>
      </w:r>
      <w:r w:rsidR="00BE3682" w:rsidRPr="004676F5">
        <w:rPr>
          <w:rFonts w:eastAsia="Calibri"/>
          <w:bCs/>
          <w:kern w:val="2"/>
          <w:szCs w:val="22"/>
          <w:lang w:val="de-DE" w:eastAsia="en-US"/>
          <w14:ligatures w14:val="standardContextual"/>
        </w:rPr>
        <w:t xml:space="preserve"> 15. Dezember 2023) </w:t>
      </w:r>
      <w:r w:rsidR="00BE3682" w:rsidRPr="004676F5">
        <w:rPr>
          <w:rFonts w:eastAsia="Calibri"/>
          <w:bCs/>
          <w:i/>
          <w:iCs/>
          <w:kern w:val="2"/>
          <w:szCs w:val="22"/>
          <w:lang w:val="de-DE" w:eastAsia="en-US"/>
          <w14:ligatures w14:val="standardContextual"/>
        </w:rPr>
        <w:t>(V)</w:t>
      </w:r>
      <w:r w:rsidR="00BE3682" w:rsidRPr="004676F5">
        <w:rPr>
          <w:rFonts w:eastAsia="Calibri"/>
          <w:bCs/>
          <w:kern w:val="2"/>
          <w:szCs w:val="22"/>
          <w:lang w:val="de-DE" w:eastAsia="en-US"/>
          <w14:ligatures w14:val="standardContextual"/>
        </w:rPr>
        <w:t>,</w:t>
      </w:r>
    </w:p>
    <w:p w14:paraId="45668666" w14:textId="77777777" w:rsidR="00E30CBE" w:rsidRPr="004676F5" w:rsidRDefault="00E30CBE" w:rsidP="00673E57">
      <w:pPr>
        <w:jc w:val="both"/>
        <w:rPr>
          <w:rFonts w:eastAsia="Calibri"/>
          <w:bCs/>
          <w:kern w:val="2"/>
          <w:szCs w:val="22"/>
          <w:lang w:val="de-DE" w:eastAsia="en-US"/>
          <w14:ligatures w14:val="standardContextual"/>
        </w:rPr>
      </w:pPr>
    </w:p>
    <w:p w14:paraId="4BF19B11" w14:textId="72BF0633" w:rsidR="00E30CBE" w:rsidRPr="004676F5" w:rsidRDefault="005B7A5C" w:rsidP="00673E57">
      <w:pPr>
        <w:jc w:val="both"/>
        <w:rPr>
          <w:bCs/>
          <w:lang w:val="de-DE"/>
        </w:rPr>
      </w:pPr>
      <w:r w:rsidRPr="004676F5">
        <w:rPr>
          <w:bCs/>
          <w:lang w:val="de-DE"/>
        </w:rPr>
        <w:t>- </w:t>
      </w:r>
      <w:r w:rsidR="00481B48" w:rsidRPr="004676F5">
        <w:rPr>
          <w:bCs/>
          <w:lang w:val="de-DE"/>
        </w:rPr>
        <w:t xml:space="preserve">die </w:t>
      </w:r>
      <w:r w:rsidR="00E30CBE" w:rsidRPr="004676F5">
        <w:rPr>
          <w:bCs/>
          <w:lang w:val="de-DE"/>
        </w:rPr>
        <w:t xml:space="preserve">Artikel 121 </w:t>
      </w:r>
      <w:r w:rsidR="00481B48" w:rsidRPr="004676F5">
        <w:rPr>
          <w:bCs/>
          <w:lang w:val="de-DE"/>
        </w:rPr>
        <w:t xml:space="preserve">und 187 bis 190 </w:t>
      </w:r>
      <w:r w:rsidR="00E30CBE" w:rsidRPr="004676F5">
        <w:rPr>
          <w:bCs/>
          <w:lang w:val="de-DE"/>
        </w:rPr>
        <w:t>des Gesetzes vom 2. Mai 2019</w:t>
      </w:r>
      <w:r w:rsidR="00E30CBE" w:rsidRPr="004676F5">
        <w:rPr>
          <w:b/>
          <w:bCs/>
          <w:lang w:val="de-DE"/>
        </w:rPr>
        <w:t xml:space="preserve"> </w:t>
      </w:r>
      <w:r w:rsidR="00E30CBE" w:rsidRPr="004676F5">
        <w:rPr>
          <w:bCs/>
          <w:lang w:val="de-DE"/>
        </w:rPr>
        <w:t>zur Festlegung verschiedener finanzieller Bestimmungen (</w:t>
      </w:r>
      <w:r w:rsidR="00E30CBE" w:rsidRPr="004676F5">
        <w:rPr>
          <w:bCs/>
          <w:i/>
          <w:iCs/>
          <w:lang w:val="de-DE"/>
        </w:rPr>
        <w:t xml:space="preserve">Belgisches Staatsblatt </w:t>
      </w:r>
      <w:r w:rsidR="00E30CBE" w:rsidRPr="004676F5">
        <w:rPr>
          <w:bCs/>
          <w:lang w:val="de-DE"/>
        </w:rPr>
        <w:t>vom 6. Februar 2025) </w:t>
      </w:r>
      <w:r w:rsidR="00E30CBE" w:rsidRPr="004676F5">
        <w:rPr>
          <w:bCs/>
          <w:i/>
          <w:iCs/>
          <w:lang w:val="de-DE"/>
        </w:rPr>
        <w:t>(VI)</w:t>
      </w:r>
      <w:r w:rsidR="00E30CBE" w:rsidRPr="004676F5">
        <w:rPr>
          <w:bCs/>
          <w:lang w:val="de-DE"/>
        </w:rPr>
        <w:t>,</w:t>
      </w:r>
    </w:p>
    <w:p w14:paraId="306FB8F3" w14:textId="267F2241" w:rsidR="00C96B80" w:rsidRPr="004676F5" w:rsidRDefault="00C96B80" w:rsidP="00C96B80">
      <w:pPr>
        <w:jc w:val="both"/>
        <w:rPr>
          <w:lang w:val="de-DE"/>
        </w:rPr>
      </w:pPr>
    </w:p>
    <w:p w14:paraId="6DBEB47B" w14:textId="2AD4C53E" w:rsidR="009A7CE0" w:rsidRPr="004676F5" w:rsidRDefault="005B7A5C" w:rsidP="00D84929">
      <w:pPr>
        <w:jc w:val="both"/>
        <w:rPr>
          <w:bCs/>
          <w:lang w:val="de-DE"/>
        </w:rPr>
      </w:pPr>
      <w:r w:rsidRPr="004676F5">
        <w:rPr>
          <w:lang w:val="de-DE"/>
        </w:rPr>
        <w:t>- </w:t>
      </w:r>
      <w:r w:rsidR="009A7CE0" w:rsidRPr="004676F5">
        <w:rPr>
          <w:lang w:val="de-DE"/>
        </w:rPr>
        <w:t xml:space="preserve">Artikel 31 des Gesetzes vom 5. Mai 2019 </w:t>
      </w:r>
      <w:r w:rsidR="009A7CE0" w:rsidRPr="004676F5">
        <w:rPr>
          <w:bCs/>
          <w:lang w:val="de-DE"/>
        </w:rPr>
        <w:t>zur Festlegung verschiedener Bestimmungen in Sachen Informatisierung der Justiz, Modernisierung des Statuts der Unternehmensrichter und in Bezug auf die Bank für notarielle Urkunden (</w:t>
      </w:r>
      <w:r w:rsidR="009A7CE0" w:rsidRPr="004676F5">
        <w:rPr>
          <w:bCs/>
          <w:i/>
          <w:iCs/>
          <w:lang w:val="de-DE"/>
        </w:rPr>
        <w:t>Belgisches Staatsblatt</w:t>
      </w:r>
      <w:r w:rsidR="009A7CE0" w:rsidRPr="004676F5">
        <w:rPr>
          <w:bCs/>
          <w:lang w:val="de-DE"/>
        </w:rPr>
        <w:t xml:space="preserve"> vom 14. März 2023),</w:t>
      </w:r>
    </w:p>
    <w:p w14:paraId="3A3C21DC" w14:textId="2FEBCAB7" w:rsidR="00204FA1" w:rsidRPr="004676F5" w:rsidRDefault="00204FA1" w:rsidP="00D84929">
      <w:pPr>
        <w:jc w:val="both"/>
        <w:rPr>
          <w:bCs/>
          <w:lang w:val="de-DE"/>
        </w:rPr>
      </w:pPr>
    </w:p>
    <w:p w14:paraId="06467021" w14:textId="69124F97" w:rsidR="00F5454A" w:rsidRPr="004676F5" w:rsidRDefault="005B7A5C" w:rsidP="00D84929">
      <w:pPr>
        <w:jc w:val="both"/>
        <w:rPr>
          <w:lang w:val="de-DE"/>
        </w:rPr>
      </w:pPr>
      <w:r w:rsidRPr="004676F5">
        <w:rPr>
          <w:lang w:val="de-DE"/>
        </w:rPr>
        <w:t>- </w:t>
      </w:r>
      <w:r w:rsidR="002F53A1" w:rsidRPr="004676F5">
        <w:rPr>
          <w:lang w:val="de-DE"/>
        </w:rPr>
        <w:t>Artikel 98 des Gesetzes vom 8. Mai 2019 zur Einführung des Belgischen Schifffahrtsgesetzbuches (</w:t>
      </w:r>
      <w:r w:rsidR="002F53A1" w:rsidRPr="004676F5">
        <w:rPr>
          <w:i/>
          <w:iCs/>
          <w:lang w:val="de-DE"/>
        </w:rPr>
        <w:t>Belgisches Staatsblatt</w:t>
      </w:r>
      <w:r w:rsidR="002F53A1" w:rsidRPr="004676F5">
        <w:rPr>
          <w:lang w:val="de-DE"/>
        </w:rPr>
        <w:t xml:space="preserve"> vom 28. Dezember 2023),</w:t>
      </w:r>
    </w:p>
    <w:p w14:paraId="06D8E8CA" w14:textId="77777777" w:rsidR="00BF34DE" w:rsidRPr="004676F5" w:rsidRDefault="00BF34DE" w:rsidP="00D84929">
      <w:pPr>
        <w:jc w:val="both"/>
        <w:rPr>
          <w:lang w:val="de-DE"/>
        </w:rPr>
      </w:pPr>
    </w:p>
    <w:p w14:paraId="0EC9D201" w14:textId="329A17A7" w:rsidR="0028112E" w:rsidRPr="004676F5" w:rsidRDefault="005B7A5C" w:rsidP="0028112E">
      <w:pPr>
        <w:jc w:val="both"/>
        <w:rPr>
          <w:lang w:val="de-DE"/>
        </w:rPr>
      </w:pPr>
      <w:r w:rsidRPr="004676F5">
        <w:rPr>
          <w:lang w:val="de-DE"/>
        </w:rPr>
        <w:t>- </w:t>
      </w:r>
      <w:r w:rsidR="0028112E" w:rsidRPr="004676F5">
        <w:rPr>
          <w:lang w:val="de-DE"/>
        </w:rPr>
        <w:t>Artikel 5 des Königlichen Erlasses vom 6. Mai 2020 zur Festlegung der gesetzlichen Maßeinheiten und Eichmaße und der für die Wiedergabe dieser Einheiten erforderlichen Maßnahmen und zur Abänderung von Artikel VIII.35 des Wirtschaftsgesetzbuches (</w:t>
      </w:r>
      <w:r w:rsidR="0028112E" w:rsidRPr="004676F5">
        <w:rPr>
          <w:i/>
          <w:lang w:val="de-DE"/>
        </w:rPr>
        <w:t>Belgisches Staatsblatt</w:t>
      </w:r>
      <w:r w:rsidR="0028112E" w:rsidRPr="004676F5">
        <w:rPr>
          <w:lang w:val="de-DE"/>
        </w:rPr>
        <w:t xml:space="preserve"> vom 30. September 2022),</w:t>
      </w:r>
    </w:p>
    <w:p w14:paraId="6F8A1BE5" w14:textId="77777777" w:rsidR="0028112E" w:rsidRPr="004676F5" w:rsidRDefault="0028112E" w:rsidP="0028112E">
      <w:pPr>
        <w:jc w:val="both"/>
        <w:rPr>
          <w:lang w:val="de-DE"/>
        </w:rPr>
      </w:pPr>
    </w:p>
    <w:p w14:paraId="740B024B" w14:textId="3C36D1A0" w:rsidR="00BF34DE" w:rsidRPr="004676F5" w:rsidRDefault="005B7A5C" w:rsidP="00D84929">
      <w:pPr>
        <w:jc w:val="both"/>
        <w:rPr>
          <w:lang w:val="de-DE"/>
        </w:rPr>
      </w:pPr>
      <w:r w:rsidRPr="004676F5">
        <w:rPr>
          <w:lang w:val="de-DE"/>
        </w:rPr>
        <w:t>- </w:t>
      </w:r>
      <w:r w:rsidR="00BF34DE" w:rsidRPr="004676F5">
        <w:rPr>
          <w:lang w:val="de-DE"/>
        </w:rPr>
        <w:t>das Gesetz vom 27. Mai 2020 zur Abänderung einiger Bestimmungen des Wirtschafts</w:t>
      </w:r>
      <w:r w:rsidR="00BF34DE" w:rsidRPr="004676F5">
        <w:rPr>
          <w:lang w:val="de-DE"/>
        </w:rPr>
        <w:softHyphen/>
        <w:t>gesetzbuches in Bezug auf die Eintragung in der ZDU und die Verschiebung des Schlussverkaufs (</w:t>
      </w:r>
      <w:r w:rsidR="00BF34DE" w:rsidRPr="004676F5">
        <w:rPr>
          <w:i/>
          <w:iCs/>
          <w:lang w:val="de-DE"/>
        </w:rPr>
        <w:t xml:space="preserve">Belgisches Staatsblatt </w:t>
      </w:r>
      <w:r w:rsidR="00BF34DE" w:rsidRPr="004676F5">
        <w:rPr>
          <w:lang w:val="de-DE"/>
        </w:rPr>
        <w:t>vom 28. Dezember 2023),</w:t>
      </w:r>
    </w:p>
    <w:p w14:paraId="3430D5AA" w14:textId="77777777" w:rsidR="009171C7" w:rsidRPr="004676F5" w:rsidRDefault="009171C7" w:rsidP="00D84929">
      <w:pPr>
        <w:jc w:val="both"/>
        <w:rPr>
          <w:lang w:val="de-DE"/>
        </w:rPr>
      </w:pPr>
    </w:p>
    <w:p w14:paraId="0265DAD8" w14:textId="1D6F5314" w:rsidR="009171C7" w:rsidRPr="004676F5" w:rsidRDefault="005B7A5C" w:rsidP="009171C7">
      <w:pPr>
        <w:jc w:val="both"/>
        <w:rPr>
          <w:lang w:val="de-DE"/>
        </w:rPr>
      </w:pPr>
      <w:r w:rsidRPr="004676F5">
        <w:rPr>
          <w:bCs/>
          <w:lang w:val="de-DE"/>
        </w:rPr>
        <w:t>- </w:t>
      </w:r>
      <w:r w:rsidR="009171C7" w:rsidRPr="004676F5">
        <w:rPr>
          <w:bCs/>
          <w:lang w:val="de-DE"/>
        </w:rPr>
        <w:t>Artikel 146 des Gesetzes vom 20. Juli 2020 zur Festlegung verschiedener Bestimmungen in Bezug auf die Verhinderung von Geldwäsche und Terrorismusfinanzierung und die Beschränkung der Nutzung von Bargeld (</w:t>
      </w:r>
      <w:r w:rsidR="009171C7" w:rsidRPr="004676F5">
        <w:rPr>
          <w:bCs/>
          <w:i/>
          <w:iCs/>
          <w:lang w:val="de-DE"/>
        </w:rPr>
        <w:t xml:space="preserve">Belgisches Staatsblatt </w:t>
      </w:r>
      <w:r w:rsidR="009171C7" w:rsidRPr="004676F5">
        <w:rPr>
          <w:bCs/>
          <w:lang w:val="de-DE"/>
        </w:rPr>
        <w:t>vom 27. Dezember 2024),</w:t>
      </w:r>
    </w:p>
    <w:p w14:paraId="7A9564EF" w14:textId="77777777" w:rsidR="0069647C" w:rsidRPr="004676F5" w:rsidRDefault="0069647C" w:rsidP="00D84929">
      <w:pPr>
        <w:jc w:val="both"/>
        <w:rPr>
          <w:lang w:val="de-DE"/>
        </w:rPr>
      </w:pPr>
    </w:p>
    <w:p w14:paraId="0BA6700E" w14:textId="7E489C12" w:rsidR="0028112E" w:rsidRPr="004676F5" w:rsidRDefault="005B7A5C" w:rsidP="00D84929">
      <w:pPr>
        <w:jc w:val="both"/>
        <w:rPr>
          <w:bCs/>
          <w:lang w:val="de-DE"/>
        </w:rPr>
      </w:pPr>
      <w:r w:rsidRPr="004676F5">
        <w:rPr>
          <w:lang w:val="de-DE"/>
        </w:rPr>
        <w:t>- </w:t>
      </w:r>
      <w:r w:rsidR="00F5454A" w:rsidRPr="004676F5">
        <w:rPr>
          <w:lang w:val="de-DE"/>
        </w:rPr>
        <w:t>das Gesetz vom 31. Juli 2020</w:t>
      </w:r>
      <w:r w:rsidR="00F5454A" w:rsidRPr="004676F5">
        <w:rPr>
          <w:bCs/>
          <w:lang w:val="de-DE"/>
        </w:rPr>
        <w:t xml:space="preserve"> zur Festlegung verschiedener dringender Bestimmungen im Bereich Justiz (</w:t>
      </w:r>
      <w:r w:rsidR="00F5454A" w:rsidRPr="004676F5">
        <w:rPr>
          <w:bCs/>
          <w:i/>
          <w:iCs/>
          <w:lang w:val="de-DE"/>
        </w:rPr>
        <w:t xml:space="preserve">Belgisches Staatsblatt </w:t>
      </w:r>
      <w:r w:rsidR="00F5454A" w:rsidRPr="004676F5">
        <w:rPr>
          <w:bCs/>
          <w:lang w:val="de-DE"/>
        </w:rPr>
        <w:t>vom 7. April 2023)</w:t>
      </w:r>
      <w:r w:rsidR="0028112E" w:rsidRPr="004676F5">
        <w:rPr>
          <w:bCs/>
          <w:lang w:val="de-DE"/>
        </w:rPr>
        <w:t>,</w:t>
      </w:r>
    </w:p>
    <w:p w14:paraId="7A8C664C" w14:textId="77777777" w:rsidR="0028112E" w:rsidRPr="004676F5" w:rsidRDefault="0028112E" w:rsidP="00D84929">
      <w:pPr>
        <w:jc w:val="both"/>
        <w:rPr>
          <w:bCs/>
          <w:lang w:val="de-DE"/>
        </w:rPr>
      </w:pPr>
    </w:p>
    <w:p w14:paraId="0A7AD35E" w14:textId="6A5AB210" w:rsidR="0028112E" w:rsidRPr="004676F5" w:rsidRDefault="005B7A5C" w:rsidP="00D84929">
      <w:pPr>
        <w:jc w:val="both"/>
        <w:rPr>
          <w:bCs/>
          <w:lang w:val="de-DE"/>
        </w:rPr>
      </w:pPr>
      <w:r w:rsidRPr="004676F5">
        <w:rPr>
          <w:bCs/>
          <w:lang w:val="de-DE"/>
        </w:rPr>
        <w:lastRenderedPageBreak/>
        <w:t>- </w:t>
      </w:r>
      <w:r w:rsidR="0028112E" w:rsidRPr="004676F5">
        <w:rPr>
          <w:bCs/>
          <w:lang w:val="de-DE"/>
        </w:rPr>
        <w:t>den Königlichen Erlass vom 31. Juli 2020 zur Abänderung der Bücher I und IV des Wirtschaftsgesetzbuches in Bezug auf den Missbrauch wirtschaftlicher Abhängigkeit (</w:t>
      </w:r>
      <w:r w:rsidR="0028112E" w:rsidRPr="004676F5">
        <w:rPr>
          <w:bCs/>
          <w:i/>
          <w:iCs/>
          <w:lang w:val="de-DE"/>
        </w:rPr>
        <w:t xml:space="preserve">Belgisches Staatsblatt </w:t>
      </w:r>
      <w:r w:rsidR="0028112E" w:rsidRPr="004676F5">
        <w:rPr>
          <w:bCs/>
          <w:lang w:val="de-DE"/>
        </w:rPr>
        <w:t>vom 19. Februar 2024),</w:t>
      </w:r>
    </w:p>
    <w:p w14:paraId="5C137E67" w14:textId="77777777" w:rsidR="00FD0E69" w:rsidRPr="004676F5" w:rsidRDefault="00FD0E69" w:rsidP="00D84929">
      <w:pPr>
        <w:jc w:val="both"/>
        <w:rPr>
          <w:bCs/>
          <w:lang w:val="de-DE"/>
        </w:rPr>
      </w:pPr>
    </w:p>
    <w:p w14:paraId="28DB8BC1" w14:textId="3FC56D5C" w:rsidR="009171C7" w:rsidRPr="004676F5" w:rsidRDefault="005B7A5C" w:rsidP="009171C7">
      <w:pPr>
        <w:jc w:val="both"/>
        <w:rPr>
          <w:lang w:val="de-DE"/>
        </w:rPr>
      </w:pPr>
      <w:r w:rsidRPr="004676F5">
        <w:rPr>
          <w:lang w:val="de-DE"/>
        </w:rPr>
        <w:t>- </w:t>
      </w:r>
      <w:r w:rsidR="009171C7" w:rsidRPr="004676F5">
        <w:rPr>
          <w:lang w:val="de-DE"/>
        </w:rPr>
        <w:t xml:space="preserve">das Gesetz vom 29. September 2020 </w:t>
      </w:r>
      <w:r w:rsidR="009171C7" w:rsidRPr="004676F5">
        <w:rPr>
          <w:bCs/>
          <w:lang w:val="de-DE"/>
        </w:rPr>
        <w:t>zur Abänderung des Wirtschaftsgesetzbuches und anderer Gesetze zur Verstärkung der Ermittlungs</w:t>
      </w:r>
      <w:r w:rsidRPr="004676F5">
        <w:rPr>
          <w:bCs/>
          <w:lang w:val="de-DE"/>
        </w:rPr>
        <w:t>- </w:t>
      </w:r>
      <w:r w:rsidR="009171C7" w:rsidRPr="004676F5">
        <w:rPr>
          <w:bCs/>
          <w:lang w:val="de-DE"/>
        </w:rPr>
        <w:t>und Durchsetzungsbefugnisse gemäß und in Ausführung der Verordnung (EU) 2017/2394 des Europäischen Parlaments und des Rates vom 12. Dezember 2017 über die Zusammenarbeit zwischen den für die Durchsetzung der Verbraucherschutzgesetze zuständigen nationalen Behörden und zur Aufhebung der Verordnung (EG) Nr. 2006/2004 (</w:t>
      </w:r>
      <w:r w:rsidR="009171C7" w:rsidRPr="004676F5">
        <w:rPr>
          <w:bCs/>
          <w:i/>
          <w:iCs/>
          <w:lang w:val="de-DE"/>
        </w:rPr>
        <w:t xml:space="preserve">Belgisches Staatsblatt </w:t>
      </w:r>
      <w:r w:rsidR="009171C7" w:rsidRPr="004676F5">
        <w:rPr>
          <w:bCs/>
          <w:lang w:val="de-DE"/>
        </w:rPr>
        <w:t>vom 5. April 2024),</w:t>
      </w:r>
    </w:p>
    <w:p w14:paraId="098D34C5" w14:textId="77777777" w:rsidR="009171C7" w:rsidRPr="004676F5" w:rsidRDefault="009171C7" w:rsidP="009171C7">
      <w:pPr>
        <w:jc w:val="both"/>
        <w:rPr>
          <w:lang w:val="de-DE"/>
        </w:rPr>
      </w:pPr>
    </w:p>
    <w:p w14:paraId="57E62FE4" w14:textId="0BB167B3" w:rsidR="00FD0E69" w:rsidRPr="004676F5" w:rsidRDefault="005B7A5C" w:rsidP="00D84929">
      <w:pPr>
        <w:jc w:val="both"/>
        <w:rPr>
          <w:bCs/>
          <w:lang w:val="de-DE"/>
        </w:rPr>
      </w:pPr>
      <w:r w:rsidRPr="004676F5">
        <w:rPr>
          <w:bCs/>
          <w:lang w:val="de-DE"/>
        </w:rPr>
        <w:t>- </w:t>
      </w:r>
      <w:r w:rsidR="00FD0E69" w:rsidRPr="004676F5">
        <w:rPr>
          <w:bCs/>
          <w:lang w:val="de-DE"/>
        </w:rPr>
        <w:t>das Gesetz vom 4. November 2020 zur Regelung des Beschwerdeverfahrens gegen die in Buch XV Titel 1/2 des Wirtschaftsgesetzbuches erwähnte administrative Geldbuße (</w:t>
      </w:r>
      <w:r w:rsidR="00FD0E69" w:rsidRPr="004676F5">
        <w:rPr>
          <w:bCs/>
          <w:i/>
          <w:iCs/>
          <w:lang w:val="de-DE"/>
        </w:rPr>
        <w:t xml:space="preserve">Belgisches Staatsblatt </w:t>
      </w:r>
      <w:r w:rsidR="00FD0E69" w:rsidRPr="004676F5">
        <w:rPr>
          <w:bCs/>
          <w:lang w:val="de-DE"/>
        </w:rPr>
        <w:t>vom 5. April 2024),</w:t>
      </w:r>
    </w:p>
    <w:p w14:paraId="564F0F51" w14:textId="77777777" w:rsidR="00F41E34" w:rsidRPr="004676F5" w:rsidRDefault="00F41E34" w:rsidP="00D84929">
      <w:pPr>
        <w:jc w:val="both"/>
        <w:rPr>
          <w:bCs/>
          <w:lang w:val="de-DE"/>
        </w:rPr>
      </w:pPr>
    </w:p>
    <w:p w14:paraId="7DB33D4B" w14:textId="5877FF3B" w:rsidR="00F41E34" w:rsidRPr="004676F5" w:rsidRDefault="005B7A5C" w:rsidP="00D84929">
      <w:pPr>
        <w:jc w:val="both"/>
        <w:rPr>
          <w:lang w:val="de-DE"/>
        </w:rPr>
      </w:pPr>
      <w:r w:rsidRPr="004676F5">
        <w:rPr>
          <w:bCs/>
          <w:lang w:val="de-DE"/>
        </w:rPr>
        <w:t>- </w:t>
      </w:r>
      <w:r w:rsidR="00F41E34" w:rsidRPr="004676F5">
        <w:rPr>
          <w:bCs/>
          <w:lang w:val="de-DE"/>
        </w:rPr>
        <w:t>das Gesetz vom 8.</w:t>
      </w:r>
      <w:r w:rsidR="00F41E34" w:rsidRPr="004676F5">
        <w:rPr>
          <w:lang w:val="de-DE"/>
        </w:rPr>
        <w:t xml:space="preserve"> November 2020 </w:t>
      </w:r>
      <w:r w:rsidR="00F41E34" w:rsidRPr="004676F5">
        <w:rPr>
          <w:bCs/>
          <w:lang w:val="de-DE"/>
        </w:rPr>
        <w:t>zur Einfügung von Bestimmungen über die Basisbankdienstleistung für Unternehmen in Buch VII des Wirtschaftsgesetzbuches (</w:t>
      </w:r>
      <w:r w:rsidR="00F41E34" w:rsidRPr="004676F5">
        <w:rPr>
          <w:bCs/>
          <w:i/>
          <w:iCs/>
          <w:lang w:val="de-DE"/>
        </w:rPr>
        <w:t xml:space="preserve">Belgisches Staatsblatt </w:t>
      </w:r>
      <w:r w:rsidR="00F41E34" w:rsidRPr="004676F5">
        <w:rPr>
          <w:bCs/>
          <w:lang w:val="de-DE"/>
        </w:rPr>
        <w:t>vom 5. April 2024),</w:t>
      </w:r>
    </w:p>
    <w:p w14:paraId="3780653C" w14:textId="77777777" w:rsidR="00C739CF" w:rsidRPr="004676F5" w:rsidRDefault="00C739CF" w:rsidP="00D84929">
      <w:pPr>
        <w:jc w:val="both"/>
        <w:rPr>
          <w:bCs/>
          <w:lang w:val="de-DE"/>
        </w:rPr>
      </w:pPr>
    </w:p>
    <w:p w14:paraId="08A01309" w14:textId="796DEAF3" w:rsidR="00A72A5C" w:rsidRPr="004676F5" w:rsidRDefault="005B7A5C" w:rsidP="00D84929">
      <w:pPr>
        <w:jc w:val="both"/>
        <w:rPr>
          <w:bCs/>
          <w:lang w:val="de-DE"/>
        </w:rPr>
      </w:pPr>
      <w:r w:rsidRPr="004676F5">
        <w:rPr>
          <w:bCs/>
          <w:lang w:val="de-DE"/>
        </w:rPr>
        <w:t>- </w:t>
      </w:r>
      <w:r w:rsidR="00A72A5C" w:rsidRPr="004676F5">
        <w:rPr>
          <w:bCs/>
          <w:lang w:val="de-DE"/>
        </w:rPr>
        <w:t>das Gesetz vom 2. Februar 2021</w:t>
      </w:r>
      <w:r w:rsidR="00A72A5C" w:rsidRPr="004676F5">
        <w:rPr>
          <w:lang w:val="de-DE"/>
        </w:rPr>
        <w:t xml:space="preserve"> zur Abänderung einiger Bestimmungen des Wirtschaftsgesetzbuches über die Verlängerung des Winterschlussverkaufs 2021 infolge der COVID-19-Pandemie,</w:t>
      </w:r>
    </w:p>
    <w:p w14:paraId="26C94CAB" w14:textId="0C16C18F" w:rsidR="00346DEC" w:rsidRPr="004676F5" w:rsidRDefault="00346DEC" w:rsidP="00D84929">
      <w:pPr>
        <w:jc w:val="both"/>
        <w:rPr>
          <w:bCs/>
          <w:lang w:val="de-DE"/>
        </w:rPr>
      </w:pPr>
    </w:p>
    <w:p w14:paraId="501CF4C5" w14:textId="66224DBD" w:rsidR="00346DEC" w:rsidRPr="004676F5" w:rsidRDefault="005B7A5C" w:rsidP="00D84929">
      <w:pPr>
        <w:jc w:val="both"/>
        <w:rPr>
          <w:bCs/>
          <w:lang w:val="de-DE"/>
        </w:rPr>
      </w:pPr>
      <w:bookmarkStart w:id="0" w:name="_Hlk169600531"/>
      <w:r w:rsidRPr="004676F5">
        <w:rPr>
          <w:bCs/>
          <w:lang w:val="de-DE"/>
        </w:rPr>
        <w:t>- </w:t>
      </w:r>
      <w:r w:rsidR="00346DEC" w:rsidRPr="004676F5">
        <w:rPr>
          <w:bCs/>
          <w:lang w:val="de-DE"/>
        </w:rPr>
        <w:t>das Gesetz vom 2. Februar 2021 zur Festlegung verschiedener Bestimmungen im Bereich Wirtschaft (</w:t>
      </w:r>
      <w:r w:rsidR="00346DEC" w:rsidRPr="004676F5">
        <w:rPr>
          <w:bCs/>
          <w:i/>
          <w:iCs/>
          <w:lang w:val="de-DE"/>
        </w:rPr>
        <w:t xml:space="preserve">Belgisches Staatsblatt </w:t>
      </w:r>
      <w:r w:rsidR="00346DEC" w:rsidRPr="004676F5">
        <w:rPr>
          <w:bCs/>
          <w:lang w:val="de-DE"/>
        </w:rPr>
        <w:t>vom 23. April 2024),</w:t>
      </w:r>
    </w:p>
    <w:p w14:paraId="7C298EA1" w14:textId="77777777" w:rsidR="006A7165" w:rsidRPr="004676F5" w:rsidRDefault="006A7165" w:rsidP="00D84929">
      <w:pPr>
        <w:jc w:val="both"/>
        <w:rPr>
          <w:bCs/>
          <w:lang w:val="de-DE"/>
        </w:rPr>
      </w:pPr>
    </w:p>
    <w:p w14:paraId="18AB9028" w14:textId="3ECD280C" w:rsidR="00C31D98" w:rsidRPr="004676F5" w:rsidRDefault="00C31D98" w:rsidP="00D84929">
      <w:pPr>
        <w:jc w:val="both"/>
        <w:rPr>
          <w:lang w:val="de-DE"/>
        </w:rPr>
      </w:pPr>
      <w:r w:rsidRPr="004676F5">
        <w:rPr>
          <w:bCs/>
          <w:lang w:val="de-DE"/>
        </w:rPr>
        <w:t>- </w:t>
      </w:r>
      <w:r w:rsidRPr="004676F5">
        <w:rPr>
          <w:lang w:val="de-DE"/>
        </w:rPr>
        <w:t xml:space="preserve">das Gesetz vom 21. März 2021 zur Abänderung des Buches XX des Wirtschaftsgesetzbuches und des Einkommensteuergesetzbuches 1992, </w:t>
      </w:r>
    </w:p>
    <w:p w14:paraId="64B2232D" w14:textId="77777777" w:rsidR="00C31D98" w:rsidRPr="004676F5" w:rsidRDefault="00C31D98" w:rsidP="00D84929">
      <w:pPr>
        <w:jc w:val="both"/>
        <w:rPr>
          <w:bCs/>
          <w:lang w:val="de-DE"/>
        </w:rPr>
      </w:pPr>
    </w:p>
    <w:p w14:paraId="16563C00" w14:textId="1146D8EB" w:rsidR="006A7165" w:rsidRPr="004676F5" w:rsidRDefault="005B7A5C" w:rsidP="00D84929">
      <w:pPr>
        <w:jc w:val="both"/>
        <w:rPr>
          <w:bCs/>
          <w:lang w:val="de-DE"/>
        </w:rPr>
      </w:pPr>
      <w:r w:rsidRPr="004676F5">
        <w:rPr>
          <w:bCs/>
          <w:lang w:val="de-DE"/>
        </w:rPr>
        <w:t>- </w:t>
      </w:r>
      <w:r w:rsidR="006A7165" w:rsidRPr="004676F5">
        <w:rPr>
          <w:bCs/>
          <w:lang w:val="de-DE"/>
        </w:rPr>
        <w:t>die Artikel 297 bis 302 und 367 bis 369 des Gesetzes vom 27. Juni 2021 zur Festlegung verschiedener finanzieller Bestimmungen (</w:t>
      </w:r>
      <w:r w:rsidR="006A7165" w:rsidRPr="004676F5">
        <w:rPr>
          <w:bCs/>
          <w:i/>
          <w:iCs/>
          <w:lang w:val="de-DE"/>
        </w:rPr>
        <w:t xml:space="preserve">Belgisches Staatsblatt </w:t>
      </w:r>
      <w:r w:rsidR="006A7165" w:rsidRPr="004676F5">
        <w:rPr>
          <w:bCs/>
          <w:lang w:val="de-DE"/>
        </w:rPr>
        <w:t>vom 3. Juli 2024),</w:t>
      </w:r>
    </w:p>
    <w:p w14:paraId="5532BD53" w14:textId="77777777" w:rsidR="00CC241C" w:rsidRPr="004676F5" w:rsidRDefault="00CC241C" w:rsidP="00D84929">
      <w:pPr>
        <w:jc w:val="both"/>
        <w:rPr>
          <w:bCs/>
          <w:lang w:val="de-DE"/>
        </w:rPr>
      </w:pPr>
    </w:p>
    <w:p w14:paraId="1110DFF6" w14:textId="1FE73F4E" w:rsidR="00CC241C" w:rsidRPr="004676F5" w:rsidRDefault="005B7A5C" w:rsidP="00CC241C">
      <w:pPr>
        <w:jc w:val="both"/>
        <w:rPr>
          <w:bCs/>
          <w:lang w:val="de-DE"/>
        </w:rPr>
      </w:pPr>
      <w:r w:rsidRPr="004676F5">
        <w:rPr>
          <w:bCs/>
          <w:lang w:val="de-DE"/>
        </w:rPr>
        <w:t>- </w:t>
      </w:r>
      <w:r w:rsidR="00CC241C" w:rsidRPr="004676F5">
        <w:rPr>
          <w:bCs/>
          <w:lang w:val="de-DE"/>
        </w:rPr>
        <w:t>das Gesetz vom 29. August 2021 zur Abänderung verschiedener Gesetze zur Teilumsetzung der Richtlinie 2005/36/EG des Europäischen Parlaments und des Rates vom 7. September 2005 über die Anerkennung von beruflichen Qualifikationen (</w:t>
      </w:r>
      <w:r w:rsidR="00CC241C" w:rsidRPr="004676F5">
        <w:rPr>
          <w:bCs/>
          <w:i/>
          <w:iCs/>
          <w:lang w:val="de-DE"/>
        </w:rPr>
        <w:t xml:space="preserve">Belgisches Staatsblatt </w:t>
      </w:r>
      <w:r w:rsidR="00CC241C" w:rsidRPr="004676F5">
        <w:rPr>
          <w:bCs/>
          <w:lang w:val="de-DE"/>
        </w:rPr>
        <w:t>vom 18. Juli 2024),</w:t>
      </w:r>
    </w:p>
    <w:p w14:paraId="4AF0CF4C" w14:textId="77777777" w:rsidR="006A7165" w:rsidRPr="004676F5" w:rsidRDefault="006A7165" w:rsidP="00D84929">
      <w:pPr>
        <w:jc w:val="both"/>
        <w:rPr>
          <w:bCs/>
          <w:lang w:val="de-DE"/>
        </w:rPr>
      </w:pPr>
    </w:p>
    <w:bookmarkEnd w:id="0"/>
    <w:p w14:paraId="4DBCF384" w14:textId="1471FCFC" w:rsidR="000E09CA" w:rsidRPr="004676F5" w:rsidRDefault="005B7A5C" w:rsidP="00D84929">
      <w:pPr>
        <w:jc w:val="both"/>
        <w:rPr>
          <w:bCs/>
          <w:lang w:val="de-DE"/>
        </w:rPr>
      </w:pPr>
      <w:r w:rsidRPr="004676F5">
        <w:rPr>
          <w:bCs/>
          <w:lang w:val="de-DE"/>
        </w:rPr>
        <w:t>- </w:t>
      </w:r>
      <w:r w:rsidR="000E09CA" w:rsidRPr="004676F5">
        <w:rPr>
          <w:bCs/>
          <w:lang w:val="de-DE"/>
        </w:rPr>
        <w:t>die Artikel</w:t>
      </w:r>
      <w:r w:rsidR="00481B48" w:rsidRPr="004676F5">
        <w:rPr>
          <w:bCs/>
          <w:lang w:val="de-DE"/>
        </w:rPr>
        <w:t> </w:t>
      </w:r>
      <w:r w:rsidR="000E09CA" w:rsidRPr="004676F5">
        <w:rPr>
          <w:bCs/>
          <w:lang w:val="de-DE"/>
        </w:rPr>
        <w:t>138 und 139 des Gesetzes vom 28.</w:t>
      </w:r>
      <w:r w:rsidR="00481B48" w:rsidRPr="004676F5">
        <w:rPr>
          <w:bCs/>
          <w:lang w:val="de-DE"/>
        </w:rPr>
        <w:t> </w:t>
      </w:r>
      <w:r w:rsidR="000E09CA" w:rsidRPr="004676F5">
        <w:rPr>
          <w:bCs/>
          <w:lang w:val="de-DE"/>
        </w:rPr>
        <w:t>November</w:t>
      </w:r>
      <w:r w:rsidR="00481B48" w:rsidRPr="004676F5">
        <w:rPr>
          <w:bCs/>
          <w:lang w:val="de-DE"/>
        </w:rPr>
        <w:t> </w:t>
      </w:r>
      <w:r w:rsidR="000E09CA" w:rsidRPr="004676F5">
        <w:rPr>
          <w:bCs/>
          <w:lang w:val="de-DE"/>
        </w:rPr>
        <w:t>2021 für eine humanere, schnellere und strengere Justiz (</w:t>
      </w:r>
      <w:r w:rsidR="000E09CA" w:rsidRPr="004676F5">
        <w:rPr>
          <w:bCs/>
          <w:i/>
          <w:iCs/>
          <w:lang w:val="de-DE"/>
        </w:rPr>
        <w:t>Belgisches Staatsblatt</w:t>
      </w:r>
      <w:r w:rsidR="000E09CA" w:rsidRPr="004676F5">
        <w:rPr>
          <w:bCs/>
          <w:lang w:val="de-DE"/>
        </w:rPr>
        <w:t xml:space="preserve"> vom 20.</w:t>
      </w:r>
      <w:r w:rsidR="00481B48" w:rsidRPr="004676F5">
        <w:rPr>
          <w:bCs/>
          <w:lang w:val="de-DE"/>
        </w:rPr>
        <w:t> </w:t>
      </w:r>
      <w:r w:rsidR="000E09CA" w:rsidRPr="004676F5">
        <w:rPr>
          <w:bCs/>
          <w:lang w:val="de-DE"/>
        </w:rPr>
        <w:t>Oktober</w:t>
      </w:r>
      <w:r w:rsidR="00481B48" w:rsidRPr="004676F5">
        <w:rPr>
          <w:bCs/>
          <w:lang w:val="de-DE"/>
        </w:rPr>
        <w:t> </w:t>
      </w:r>
      <w:r w:rsidR="000E09CA" w:rsidRPr="004676F5">
        <w:rPr>
          <w:bCs/>
          <w:lang w:val="de-DE"/>
        </w:rPr>
        <w:t>2023)</w:t>
      </w:r>
      <w:r w:rsidR="00E70517" w:rsidRPr="004676F5">
        <w:rPr>
          <w:bCs/>
          <w:lang w:val="de-DE"/>
        </w:rPr>
        <w:t> </w:t>
      </w:r>
      <w:r w:rsidR="00E70517" w:rsidRPr="004676F5">
        <w:rPr>
          <w:bCs/>
          <w:i/>
          <w:iCs/>
          <w:lang w:val="de-DE"/>
        </w:rPr>
        <w:t>(I)</w:t>
      </w:r>
      <w:r w:rsidR="000E09CA" w:rsidRPr="004676F5">
        <w:rPr>
          <w:bCs/>
          <w:lang w:val="de-DE"/>
        </w:rPr>
        <w:t>,</w:t>
      </w:r>
    </w:p>
    <w:p w14:paraId="5954C73E" w14:textId="77777777" w:rsidR="00E70517" w:rsidRPr="004676F5" w:rsidRDefault="00E70517" w:rsidP="00D84929">
      <w:pPr>
        <w:jc w:val="both"/>
        <w:rPr>
          <w:bCs/>
          <w:lang w:val="de-DE"/>
        </w:rPr>
      </w:pPr>
    </w:p>
    <w:p w14:paraId="71A255CE" w14:textId="615DB4E0" w:rsidR="00E70517" w:rsidRPr="004676F5" w:rsidRDefault="005B7A5C" w:rsidP="00D84929">
      <w:pPr>
        <w:jc w:val="both"/>
        <w:rPr>
          <w:lang w:val="de-DE"/>
        </w:rPr>
      </w:pPr>
      <w:r w:rsidRPr="004676F5">
        <w:rPr>
          <w:bCs/>
          <w:lang w:val="de-DE"/>
        </w:rPr>
        <w:t>- </w:t>
      </w:r>
      <w:r w:rsidR="00E70517" w:rsidRPr="004676F5">
        <w:rPr>
          <w:bCs/>
          <w:lang w:val="de-DE"/>
        </w:rPr>
        <w:t xml:space="preserve">das Gesetz vom 28. November 2021 </w:t>
      </w:r>
      <w:r w:rsidR="00E70517" w:rsidRPr="004676F5">
        <w:rPr>
          <w:lang w:val="de-DE"/>
        </w:rPr>
        <w:t>zur Umsetzung der Richtlinie (EU) 2019/633 des Europäischen Parlaments und des Rates vom 17. April 2019 über unlautere Handelspraktiken in den Geschäftsbeziehungen zwischen Unternehmen in der Agrar</w:t>
      </w:r>
      <w:r w:rsidRPr="004676F5">
        <w:rPr>
          <w:lang w:val="de-DE"/>
        </w:rPr>
        <w:t>- </w:t>
      </w:r>
      <w:r w:rsidR="00E70517" w:rsidRPr="004676F5">
        <w:rPr>
          <w:lang w:val="de-DE"/>
        </w:rPr>
        <w:t>und Lebensmittelversorgungskette und zur Abänderung des Wirtschaftsgesetzbuches (</w:t>
      </w:r>
      <w:r w:rsidR="00E70517" w:rsidRPr="004676F5">
        <w:rPr>
          <w:i/>
          <w:iCs/>
          <w:lang w:val="de-DE"/>
        </w:rPr>
        <w:t xml:space="preserve">Belgisches Staatsblatt </w:t>
      </w:r>
      <w:r w:rsidR="00E70517" w:rsidRPr="004676F5">
        <w:rPr>
          <w:lang w:val="de-DE"/>
        </w:rPr>
        <w:t>18. Juli 2024)</w:t>
      </w:r>
      <w:r w:rsidR="009A5968" w:rsidRPr="004676F5">
        <w:rPr>
          <w:lang w:val="de-DE"/>
        </w:rPr>
        <w:t> </w:t>
      </w:r>
      <w:r w:rsidR="009A5968" w:rsidRPr="004676F5">
        <w:rPr>
          <w:i/>
          <w:iCs/>
          <w:lang w:val="de-DE"/>
        </w:rPr>
        <w:t>(II)</w:t>
      </w:r>
      <w:r w:rsidR="00E70517" w:rsidRPr="004676F5">
        <w:rPr>
          <w:lang w:val="de-DE"/>
        </w:rPr>
        <w:t>,</w:t>
      </w:r>
    </w:p>
    <w:p w14:paraId="33EB22EB" w14:textId="77777777" w:rsidR="009F50B6" w:rsidRPr="004676F5" w:rsidRDefault="009F50B6" w:rsidP="00D84929">
      <w:pPr>
        <w:jc w:val="both"/>
        <w:rPr>
          <w:lang w:val="de-DE"/>
        </w:rPr>
      </w:pPr>
    </w:p>
    <w:p w14:paraId="55FFBCDA" w14:textId="4F12F712" w:rsidR="009F50B6" w:rsidRPr="004676F5" w:rsidRDefault="005B7A5C" w:rsidP="00D84929">
      <w:pPr>
        <w:jc w:val="both"/>
        <w:rPr>
          <w:bCs/>
          <w:lang w:val="de-DE"/>
        </w:rPr>
      </w:pPr>
      <w:r w:rsidRPr="004676F5">
        <w:rPr>
          <w:lang w:val="de-DE"/>
        </w:rPr>
        <w:t>- </w:t>
      </w:r>
      <w:r w:rsidR="009F50B6" w:rsidRPr="004676F5">
        <w:rPr>
          <w:lang w:val="de-DE"/>
        </w:rPr>
        <w:t xml:space="preserve">Artikel 40 des Gesetzes vom 19. Januar 2022 </w:t>
      </w:r>
      <w:r w:rsidR="009F50B6" w:rsidRPr="004676F5">
        <w:rPr>
          <w:bCs/>
          <w:lang w:val="de-DE"/>
        </w:rPr>
        <w:t>zur Einfügung von Buch 2 Titel 3 "Vermögensrecht in Paargemeinschaften" und von Buch 4 "Erbschaften, Schenkungen und Testamente" des Zivilgesetzbuches (</w:t>
      </w:r>
      <w:r w:rsidR="009F50B6" w:rsidRPr="004676F5">
        <w:rPr>
          <w:bCs/>
          <w:i/>
          <w:iCs/>
          <w:lang w:val="de-DE"/>
        </w:rPr>
        <w:t xml:space="preserve">Belgisches Staatsblatt </w:t>
      </w:r>
      <w:r w:rsidR="009F50B6" w:rsidRPr="004676F5">
        <w:rPr>
          <w:bCs/>
          <w:lang w:val="de-DE"/>
        </w:rPr>
        <w:t>vom 16. Februar 2024),</w:t>
      </w:r>
    </w:p>
    <w:p w14:paraId="3033779C" w14:textId="77777777" w:rsidR="00CC241C" w:rsidRPr="004676F5" w:rsidRDefault="00CC241C" w:rsidP="00D84929">
      <w:pPr>
        <w:jc w:val="both"/>
        <w:rPr>
          <w:bCs/>
          <w:lang w:val="de-DE"/>
        </w:rPr>
      </w:pPr>
    </w:p>
    <w:p w14:paraId="62AB0F4A" w14:textId="1C8ED402" w:rsidR="00CC241C" w:rsidRPr="004676F5" w:rsidRDefault="005B7A5C" w:rsidP="00CC241C">
      <w:pPr>
        <w:jc w:val="both"/>
        <w:rPr>
          <w:bCs/>
          <w:lang w:val="de-DE"/>
        </w:rPr>
      </w:pPr>
      <w:r w:rsidRPr="004676F5">
        <w:rPr>
          <w:bCs/>
          <w:lang w:val="de-DE"/>
        </w:rPr>
        <w:lastRenderedPageBreak/>
        <w:t>- </w:t>
      </w:r>
      <w:r w:rsidR="00CC241C" w:rsidRPr="004676F5">
        <w:rPr>
          <w:bCs/>
          <w:lang w:val="de-DE"/>
        </w:rPr>
        <w:t xml:space="preserve">das Gesetz vom </w:t>
      </w:r>
      <w:r w:rsidR="004B25BD" w:rsidRPr="004676F5">
        <w:rPr>
          <w:bCs/>
          <w:lang w:val="de-DE"/>
        </w:rPr>
        <w:t>16. Februar 2022</w:t>
      </w:r>
      <w:r w:rsidR="00CC241C" w:rsidRPr="004676F5">
        <w:rPr>
          <w:bCs/>
          <w:lang w:val="de-DE"/>
        </w:rPr>
        <w:t xml:space="preserve"> zur Abänderung </w:t>
      </w:r>
      <w:r w:rsidR="004B25BD" w:rsidRPr="004676F5">
        <w:rPr>
          <w:bCs/>
          <w:lang w:val="de-DE"/>
        </w:rPr>
        <w:t xml:space="preserve">des Wirtschaftsgesetzbuches in Bezug auf Handelsvertreterverträge zum Schutz von Handelsvertretern vor einseitigen Kostenerhöhungen oder der Auferlegung von Kosten durch den Auftraggeber </w:t>
      </w:r>
      <w:r w:rsidR="00CC241C" w:rsidRPr="004676F5">
        <w:rPr>
          <w:bCs/>
          <w:lang w:val="de-DE"/>
        </w:rPr>
        <w:t>(</w:t>
      </w:r>
      <w:r w:rsidR="00CC241C" w:rsidRPr="004676F5">
        <w:rPr>
          <w:bCs/>
          <w:i/>
          <w:iCs/>
          <w:lang w:val="de-DE"/>
        </w:rPr>
        <w:t xml:space="preserve">Belgisches Staatsblatt </w:t>
      </w:r>
      <w:r w:rsidR="00CC241C" w:rsidRPr="004676F5">
        <w:rPr>
          <w:bCs/>
          <w:lang w:val="de-DE"/>
        </w:rPr>
        <w:t>vom 18. Juli 2024),</w:t>
      </w:r>
    </w:p>
    <w:p w14:paraId="35FA5F20" w14:textId="77777777" w:rsidR="00AF6977" w:rsidRPr="004676F5" w:rsidRDefault="00AF6977" w:rsidP="00CC241C">
      <w:pPr>
        <w:jc w:val="both"/>
        <w:rPr>
          <w:bCs/>
          <w:lang w:val="de-DE"/>
        </w:rPr>
      </w:pPr>
    </w:p>
    <w:p w14:paraId="27E8A3FC" w14:textId="6B784264" w:rsidR="00AF6977" w:rsidRPr="004676F5" w:rsidRDefault="005B7A5C" w:rsidP="00CC241C">
      <w:pPr>
        <w:jc w:val="both"/>
        <w:rPr>
          <w:bCs/>
          <w:lang w:val="de-DE"/>
        </w:rPr>
      </w:pPr>
      <w:r w:rsidRPr="004676F5">
        <w:rPr>
          <w:bCs/>
          <w:lang w:val="de-DE"/>
        </w:rPr>
        <w:t>- </w:t>
      </w:r>
      <w:r w:rsidR="00AF6977" w:rsidRPr="004676F5">
        <w:rPr>
          <w:bCs/>
          <w:lang w:val="de-DE"/>
        </w:rPr>
        <w:t xml:space="preserve">das </w:t>
      </w:r>
      <w:r w:rsidR="00AF6977" w:rsidRPr="004676F5">
        <w:rPr>
          <w:lang w:val="de-DE"/>
        </w:rPr>
        <w:t>Gesetz vom 28. Februar 2022 zur Umsetzung der Richtlinie (EU) 2019/1 des Europäischen Parlaments und des Rates vom 11. Dezember 2018 zur Stärkung der Wettbewerbsbehörden der Mitgliedstaaten im Hinblick auf eine wirksamere Durchsetzung der Wettbewerbsvorschriften und zur Gewährleistung des reibungslosen Funktionierens des Binnenmarkts (</w:t>
      </w:r>
      <w:r w:rsidR="00AF6977" w:rsidRPr="004676F5">
        <w:rPr>
          <w:i/>
          <w:iCs/>
          <w:lang w:val="de-DE"/>
        </w:rPr>
        <w:t xml:space="preserve">Belgisches Staatsblatt </w:t>
      </w:r>
      <w:r w:rsidR="00AF6977" w:rsidRPr="004676F5">
        <w:rPr>
          <w:lang w:val="de-DE"/>
        </w:rPr>
        <w:t>vom 17. Oktober 2024),</w:t>
      </w:r>
    </w:p>
    <w:p w14:paraId="2D4426F8" w14:textId="77777777" w:rsidR="001B605C" w:rsidRPr="004676F5" w:rsidRDefault="001B605C" w:rsidP="00CC241C">
      <w:pPr>
        <w:jc w:val="both"/>
        <w:rPr>
          <w:bCs/>
          <w:lang w:val="de-DE"/>
        </w:rPr>
      </w:pPr>
    </w:p>
    <w:p w14:paraId="1C3E1C6E" w14:textId="01C5C928" w:rsidR="001B605C" w:rsidRPr="004676F5" w:rsidRDefault="005B7A5C" w:rsidP="001B605C">
      <w:pPr>
        <w:jc w:val="both"/>
        <w:rPr>
          <w:bCs/>
          <w:lang w:val="de-DE"/>
        </w:rPr>
      </w:pPr>
      <w:r w:rsidRPr="004676F5">
        <w:rPr>
          <w:bCs/>
          <w:lang w:val="de-DE"/>
        </w:rPr>
        <w:t>- </w:t>
      </w:r>
      <w:r w:rsidR="001B605C" w:rsidRPr="004676F5">
        <w:rPr>
          <w:bCs/>
          <w:lang w:val="de-DE"/>
        </w:rPr>
        <w:t>die Artikel</w:t>
      </w:r>
      <w:r w:rsidR="00620878" w:rsidRPr="004676F5">
        <w:rPr>
          <w:bCs/>
          <w:lang w:val="de-DE"/>
        </w:rPr>
        <w:t> </w:t>
      </w:r>
      <w:r w:rsidR="001B605C" w:rsidRPr="004676F5">
        <w:rPr>
          <w:bCs/>
          <w:lang w:val="de-DE"/>
        </w:rPr>
        <w:t xml:space="preserve">17 bis 19 des Gesetzes vom 17. März 2022 </w:t>
      </w:r>
      <w:r w:rsidR="004411D3" w:rsidRPr="004676F5">
        <w:rPr>
          <w:bCs/>
          <w:lang w:val="de-DE"/>
        </w:rPr>
        <w:t xml:space="preserve">zur </w:t>
      </w:r>
      <w:r w:rsidR="001B605C" w:rsidRPr="004676F5">
        <w:rPr>
          <w:bCs/>
          <w:lang w:val="de-DE"/>
        </w:rPr>
        <w:t>Festlegung verschiedener steuerrechtlicher Bestimmungen und von Bestimmungen im Bereich der Betrugsbekämpfung (</w:t>
      </w:r>
      <w:r w:rsidR="001B605C" w:rsidRPr="004676F5">
        <w:rPr>
          <w:bCs/>
          <w:i/>
          <w:iCs/>
          <w:lang w:val="de-DE"/>
        </w:rPr>
        <w:t>Belgisches Staatsblatt</w:t>
      </w:r>
      <w:r w:rsidR="001B605C" w:rsidRPr="004676F5">
        <w:rPr>
          <w:bCs/>
          <w:lang w:val="de-DE"/>
        </w:rPr>
        <w:t xml:space="preserve"> vom 14. Oktober 2024),</w:t>
      </w:r>
    </w:p>
    <w:p w14:paraId="577BBAAC" w14:textId="77777777" w:rsidR="00561321" w:rsidRPr="004676F5" w:rsidRDefault="00561321" w:rsidP="001B605C">
      <w:pPr>
        <w:jc w:val="both"/>
        <w:rPr>
          <w:bCs/>
          <w:lang w:val="de-DE"/>
        </w:rPr>
      </w:pPr>
    </w:p>
    <w:p w14:paraId="038BFDFE" w14:textId="19410A67" w:rsidR="00561321" w:rsidRPr="004676F5" w:rsidRDefault="005B7A5C" w:rsidP="001B605C">
      <w:pPr>
        <w:jc w:val="both"/>
        <w:rPr>
          <w:bCs/>
          <w:lang w:val="de-DE"/>
        </w:rPr>
      </w:pPr>
      <w:r w:rsidRPr="004676F5">
        <w:rPr>
          <w:bCs/>
          <w:lang w:val="de-DE"/>
        </w:rPr>
        <w:t>- </w:t>
      </w:r>
      <w:r w:rsidR="00561321" w:rsidRPr="004676F5">
        <w:rPr>
          <w:bCs/>
          <w:lang w:val="de-DE"/>
        </w:rPr>
        <w:t>die Artikel 13 bis 21 des Gesetzes vom 20. März 2022 zur Abänderung der Bestimmungen des früheren Zivilgesetzbuches über den Verkauf an Verbraucher, zur Einfügung eines neuen Titels 6</w:t>
      </w:r>
      <w:r w:rsidR="00561321" w:rsidRPr="004676F5">
        <w:rPr>
          <w:bCs/>
          <w:i/>
          <w:iCs/>
          <w:lang w:val="de-DE"/>
        </w:rPr>
        <w:t>bis</w:t>
      </w:r>
      <w:r w:rsidR="00561321" w:rsidRPr="004676F5">
        <w:rPr>
          <w:bCs/>
          <w:lang w:val="de-DE"/>
        </w:rPr>
        <w:t xml:space="preserve"> in Buch 3 des früheren Zivilgesetzbuches und zur Abänderung des Wirtschaftsgesetzbuches (</w:t>
      </w:r>
      <w:r w:rsidR="00561321" w:rsidRPr="004676F5">
        <w:rPr>
          <w:bCs/>
          <w:i/>
          <w:iCs/>
          <w:lang w:val="de-DE"/>
        </w:rPr>
        <w:t xml:space="preserve">Belgisches Staatsblatt </w:t>
      </w:r>
      <w:r w:rsidR="00561321" w:rsidRPr="004676F5">
        <w:rPr>
          <w:bCs/>
          <w:lang w:val="de-DE"/>
        </w:rPr>
        <w:t>vom 14. Oktober 2024),</w:t>
      </w:r>
    </w:p>
    <w:p w14:paraId="26344FAF" w14:textId="77777777" w:rsidR="0099437F" w:rsidRPr="004676F5" w:rsidRDefault="0099437F" w:rsidP="001B605C">
      <w:pPr>
        <w:jc w:val="both"/>
        <w:rPr>
          <w:bCs/>
          <w:lang w:val="de-DE"/>
        </w:rPr>
      </w:pPr>
    </w:p>
    <w:p w14:paraId="4E7DDC1E" w14:textId="373E3933" w:rsidR="0099437F" w:rsidRPr="004676F5" w:rsidRDefault="005B7A5C" w:rsidP="0099437F">
      <w:pPr>
        <w:jc w:val="both"/>
        <w:rPr>
          <w:bCs/>
          <w:lang w:val="de-DE"/>
        </w:rPr>
      </w:pPr>
      <w:r w:rsidRPr="004676F5">
        <w:rPr>
          <w:bCs/>
          <w:lang w:val="de-DE"/>
        </w:rPr>
        <w:t>- </w:t>
      </w:r>
      <w:r w:rsidR="0099437F" w:rsidRPr="004676F5">
        <w:rPr>
          <w:bCs/>
          <w:lang w:val="de-DE"/>
        </w:rPr>
        <w:t>das Gesetz vom 1. April 2022 zur Umsetzung der Richtlinie</w:t>
      </w:r>
      <w:r w:rsidR="00620878" w:rsidRPr="004676F5">
        <w:rPr>
          <w:bCs/>
          <w:lang w:val="de-DE"/>
        </w:rPr>
        <w:t> </w:t>
      </w:r>
      <w:r w:rsidR="0099437F" w:rsidRPr="004676F5">
        <w:rPr>
          <w:bCs/>
          <w:lang w:val="de-DE"/>
        </w:rPr>
        <w:t>(EU)</w:t>
      </w:r>
      <w:r w:rsidR="00620878" w:rsidRPr="004676F5">
        <w:rPr>
          <w:bCs/>
          <w:lang w:val="de-DE"/>
        </w:rPr>
        <w:t> </w:t>
      </w:r>
      <w:r w:rsidR="0099437F" w:rsidRPr="004676F5">
        <w:rPr>
          <w:bCs/>
          <w:lang w:val="de-DE"/>
        </w:rPr>
        <w:t>2019/789 des Europäischen Parlaments und des Rates vom 17.</w:t>
      </w:r>
      <w:r w:rsidR="00620878" w:rsidRPr="004676F5">
        <w:rPr>
          <w:bCs/>
          <w:lang w:val="de-DE"/>
        </w:rPr>
        <w:t> </w:t>
      </w:r>
      <w:r w:rsidR="0099437F" w:rsidRPr="004676F5">
        <w:rPr>
          <w:bCs/>
          <w:lang w:val="de-DE"/>
        </w:rPr>
        <w:t>April</w:t>
      </w:r>
      <w:r w:rsidR="00620878" w:rsidRPr="004676F5">
        <w:rPr>
          <w:bCs/>
          <w:lang w:val="de-DE"/>
        </w:rPr>
        <w:t> </w:t>
      </w:r>
      <w:r w:rsidR="0099437F" w:rsidRPr="004676F5">
        <w:rPr>
          <w:bCs/>
          <w:lang w:val="de-DE"/>
        </w:rPr>
        <w:t>2019 mit Vorschriften für die Ausübung von Urheberrechten und verwandten Schutzrechten in Bezug auf bestimmte Online-Übertragungen von Sendeunternehmen und die Weiterverbreitung von Fernseh</w:t>
      </w:r>
      <w:r w:rsidRPr="004676F5">
        <w:rPr>
          <w:bCs/>
          <w:lang w:val="de-DE"/>
        </w:rPr>
        <w:t>- </w:t>
      </w:r>
      <w:r w:rsidR="0099437F" w:rsidRPr="004676F5">
        <w:rPr>
          <w:bCs/>
          <w:lang w:val="de-DE"/>
        </w:rPr>
        <w:t>und Hörfunkprogrammen und zur Änderung der Richtlinie</w:t>
      </w:r>
      <w:r w:rsidR="00620878" w:rsidRPr="004676F5">
        <w:rPr>
          <w:bCs/>
          <w:lang w:val="de-DE"/>
        </w:rPr>
        <w:t> </w:t>
      </w:r>
      <w:r w:rsidR="0099437F" w:rsidRPr="004676F5">
        <w:rPr>
          <w:bCs/>
          <w:lang w:val="de-DE"/>
        </w:rPr>
        <w:t>93/83/EWG des Rates (</w:t>
      </w:r>
      <w:r w:rsidR="0099437F" w:rsidRPr="004676F5">
        <w:rPr>
          <w:bCs/>
          <w:i/>
          <w:iCs/>
          <w:lang w:val="de-DE"/>
        </w:rPr>
        <w:t>Belgisches Staatsblatt</w:t>
      </w:r>
      <w:r w:rsidR="0099437F" w:rsidRPr="004676F5">
        <w:rPr>
          <w:bCs/>
          <w:lang w:val="de-DE"/>
        </w:rPr>
        <w:t xml:space="preserve"> vom 14. Oktober 2024),</w:t>
      </w:r>
    </w:p>
    <w:p w14:paraId="77F4A873" w14:textId="77777777" w:rsidR="000E09CA" w:rsidRPr="004676F5" w:rsidRDefault="000E09CA" w:rsidP="00D84929">
      <w:pPr>
        <w:jc w:val="both"/>
        <w:rPr>
          <w:bCs/>
          <w:lang w:val="de-DE"/>
        </w:rPr>
      </w:pPr>
    </w:p>
    <w:p w14:paraId="67565E4B" w14:textId="51B4FFE4" w:rsidR="00C739CF" w:rsidRPr="004676F5" w:rsidRDefault="005B7A5C" w:rsidP="00D84929">
      <w:pPr>
        <w:jc w:val="both"/>
        <w:rPr>
          <w:bCs/>
          <w:lang w:val="de-DE"/>
        </w:rPr>
      </w:pPr>
      <w:r w:rsidRPr="004676F5">
        <w:rPr>
          <w:lang w:val="de-DE"/>
        </w:rPr>
        <w:t>- </w:t>
      </w:r>
      <w:r w:rsidR="00C739CF" w:rsidRPr="004676F5">
        <w:rPr>
          <w:lang w:val="de-DE"/>
        </w:rPr>
        <w:t xml:space="preserve">Artikel 7 des Königlichen Erlasses vom 18. April 2022 </w:t>
      </w:r>
      <w:r w:rsidR="00C739CF" w:rsidRPr="004676F5">
        <w:rPr>
          <w:bCs/>
          <w:lang w:val="de-DE"/>
        </w:rPr>
        <w:t>zur Ausführung von Artikel 74 des Gesetzes vom 11. August 2017 zur Einfügung von Buch XX "Insolvenz von Unternehmen" in das Wirtschaftsgesetzbuch und zur Einfügung der Buch XX eigenen Begriffsbestimmungen und der Buch XX eigenen Rechtsdurchsetzungsbestimmungen in Buch I des Wirtschaftsgesetzbuches (</w:t>
      </w:r>
      <w:r w:rsidR="00C739CF" w:rsidRPr="004676F5">
        <w:rPr>
          <w:bCs/>
          <w:i/>
          <w:iCs/>
          <w:lang w:val="de-DE"/>
        </w:rPr>
        <w:t xml:space="preserve">Belgisches Staatsblatt </w:t>
      </w:r>
      <w:r w:rsidR="00C739CF" w:rsidRPr="004676F5">
        <w:rPr>
          <w:bCs/>
          <w:lang w:val="de-DE"/>
        </w:rPr>
        <w:t>vom 2. Juni 2023),</w:t>
      </w:r>
    </w:p>
    <w:p w14:paraId="63331E1D" w14:textId="77777777" w:rsidR="004809DE" w:rsidRPr="004676F5" w:rsidRDefault="004809DE" w:rsidP="00D84929">
      <w:pPr>
        <w:jc w:val="both"/>
        <w:rPr>
          <w:bCs/>
          <w:lang w:val="de-DE"/>
        </w:rPr>
      </w:pPr>
    </w:p>
    <w:p w14:paraId="7FF7ED94" w14:textId="31BD58AE" w:rsidR="004809DE" w:rsidRPr="004676F5" w:rsidRDefault="005B7A5C" w:rsidP="00D84929">
      <w:pPr>
        <w:jc w:val="both"/>
        <w:rPr>
          <w:bCs/>
          <w:lang w:val="de-DE"/>
        </w:rPr>
      </w:pPr>
      <w:r w:rsidRPr="004676F5">
        <w:rPr>
          <w:bCs/>
          <w:lang w:val="de-DE"/>
        </w:rPr>
        <w:t>- </w:t>
      </w:r>
      <w:r w:rsidR="004809DE" w:rsidRPr="004676F5">
        <w:rPr>
          <w:bCs/>
          <w:lang w:val="de-DE"/>
        </w:rPr>
        <w:t>die Artikel</w:t>
      </w:r>
      <w:r w:rsidR="00481B48" w:rsidRPr="004676F5">
        <w:rPr>
          <w:bCs/>
          <w:lang w:val="de-DE"/>
        </w:rPr>
        <w:t> </w:t>
      </w:r>
      <w:r w:rsidR="004809DE" w:rsidRPr="004676F5">
        <w:rPr>
          <w:bCs/>
          <w:lang w:val="de-DE"/>
        </w:rPr>
        <w:t>15 bis 25 des Gesetzes vom 28.</w:t>
      </w:r>
      <w:r w:rsidR="001B605C" w:rsidRPr="004676F5">
        <w:rPr>
          <w:bCs/>
          <w:lang w:val="de-DE"/>
        </w:rPr>
        <w:t> </w:t>
      </w:r>
      <w:r w:rsidR="004809DE" w:rsidRPr="004676F5">
        <w:rPr>
          <w:bCs/>
          <w:lang w:val="de-DE"/>
        </w:rPr>
        <w:t>April 2022 zur Einführung von Buch 5 "Schuldverhältnisse" des Zivilgesetzbuches (</w:t>
      </w:r>
      <w:r w:rsidR="004809DE" w:rsidRPr="004676F5">
        <w:rPr>
          <w:bCs/>
          <w:i/>
          <w:iCs/>
          <w:lang w:val="de-DE"/>
        </w:rPr>
        <w:t xml:space="preserve">Belgisches Staatsblatt </w:t>
      </w:r>
      <w:r w:rsidR="004809DE" w:rsidRPr="004676F5">
        <w:rPr>
          <w:bCs/>
          <w:lang w:val="de-DE"/>
        </w:rPr>
        <w:t xml:space="preserve">vom </w:t>
      </w:r>
      <w:r w:rsidR="004809DE" w:rsidRPr="004676F5">
        <w:rPr>
          <w:lang w:val="de-DE"/>
        </w:rPr>
        <w:t>14. Oktober 2024</w:t>
      </w:r>
      <w:r w:rsidR="004809DE" w:rsidRPr="004676F5">
        <w:rPr>
          <w:bCs/>
          <w:lang w:val="de-DE"/>
        </w:rPr>
        <w:t>),</w:t>
      </w:r>
    </w:p>
    <w:p w14:paraId="11B7088C" w14:textId="77777777" w:rsidR="00C73AF6" w:rsidRPr="004676F5" w:rsidRDefault="00C73AF6" w:rsidP="00D84929">
      <w:pPr>
        <w:jc w:val="both"/>
        <w:rPr>
          <w:b/>
          <w:bCs/>
          <w:lang w:val="de-DE"/>
        </w:rPr>
      </w:pPr>
    </w:p>
    <w:p w14:paraId="5D05B523" w14:textId="79AF0B73" w:rsidR="00EB4680" w:rsidRPr="004676F5" w:rsidRDefault="005B7A5C" w:rsidP="00D84929">
      <w:pPr>
        <w:jc w:val="both"/>
        <w:rPr>
          <w:bCs/>
          <w:lang w:val="de-DE"/>
        </w:rPr>
      </w:pPr>
      <w:r w:rsidRPr="004676F5">
        <w:rPr>
          <w:lang w:val="de-DE"/>
        </w:rPr>
        <w:t>- </w:t>
      </w:r>
      <w:r w:rsidR="00C73AF6" w:rsidRPr="004676F5">
        <w:rPr>
          <w:lang w:val="de-DE"/>
        </w:rPr>
        <w:t>das Gesetz vom 8. Mai 2022</w:t>
      </w:r>
      <w:r w:rsidR="00C73AF6" w:rsidRPr="004676F5">
        <w:rPr>
          <w:b/>
          <w:lang w:val="de-DE"/>
        </w:rPr>
        <w:t xml:space="preserve"> </w:t>
      </w:r>
      <w:r w:rsidR="00C73AF6" w:rsidRPr="004676F5">
        <w:rPr>
          <w:bCs/>
          <w:lang w:val="de-DE"/>
        </w:rPr>
        <w:t>zur Abänderung der Bücher I, VI und XV des Wirtschaftsgesetzbuches (</w:t>
      </w:r>
      <w:r w:rsidR="00C73AF6" w:rsidRPr="004676F5">
        <w:rPr>
          <w:bCs/>
          <w:i/>
          <w:iCs/>
          <w:lang w:val="de-DE"/>
        </w:rPr>
        <w:t xml:space="preserve">Belgisches Staatsblatt </w:t>
      </w:r>
      <w:r w:rsidR="00C73AF6" w:rsidRPr="004676F5">
        <w:rPr>
          <w:bCs/>
          <w:lang w:val="de-DE"/>
        </w:rPr>
        <w:t>vom 24. Oktober 2024),</w:t>
      </w:r>
    </w:p>
    <w:p w14:paraId="0166C72D" w14:textId="77777777" w:rsidR="00355B29" w:rsidRPr="004676F5" w:rsidRDefault="00355B29" w:rsidP="00D84929">
      <w:pPr>
        <w:jc w:val="both"/>
        <w:rPr>
          <w:bCs/>
          <w:lang w:val="de-DE"/>
        </w:rPr>
      </w:pPr>
    </w:p>
    <w:p w14:paraId="49C1E3C1" w14:textId="2EF9C1B4" w:rsidR="00355B29" w:rsidRPr="004676F5" w:rsidRDefault="00355B29" w:rsidP="00D84929">
      <w:pPr>
        <w:jc w:val="both"/>
        <w:rPr>
          <w:bCs/>
          <w:lang w:val="de-DE"/>
        </w:rPr>
      </w:pPr>
      <w:r w:rsidRPr="004676F5">
        <w:rPr>
          <w:bCs/>
          <w:lang w:val="de-DE"/>
        </w:rPr>
        <w:t>- die Artikel 15 bis 23 des Gesetzes vom 8. Mai 2022 zur Festlegung verschiedener Bestimmungen in Bezug auf die Vermittlung im Finanz- und Versicherungssektor (</w:t>
      </w:r>
      <w:r w:rsidRPr="004676F5">
        <w:rPr>
          <w:bCs/>
          <w:i/>
          <w:iCs/>
          <w:lang w:val="de-DE"/>
        </w:rPr>
        <w:t xml:space="preserve">Belgisches Staatsblatt </w:t>
      </w:r>
      <w:r w:rsidRPr="004676F5">
        <w:rPr>
          <w:bCs/>
          <w:lang w:val="de-DE"/>
        </w:rPr>
        <w:t>vom 23. Januar 2025),</w:t>
      </w:r>
    </w:p>
    <w:p w14:paraId="4BE8D98D" w14:textId="77777777" w:rsidR="0073238E" w:rsidRPr="004676F5" w:rsidRDefault="0073238E" w:rsidP="00D84929">
      <w:pPr>
        <w:jc w:val="both"/>
        <w:rPr>
          <w:bCs/>
          <w:lang w:val="de-DE"/>
        </w:rPr>
      </w:pPr>
    </w:p>
    <w:p w14:paraId="68E4DC2D" w14:textId="6C0B861A" w:rsidR="0073238E" w:rsidRPr="004676F5" w:rsidRDefault="005B7A5C" w:rsidP="00D84929">
      <w:pPr>
        <w:jc w:val="both"/>
        <w:rPr>
          <w:bCs/>
          <w:lang w:val="de-DE"/>
        </w:rPr>
      </w:pPr>
      <w:r w:rsidRPr="004676F5">
        <w:rPr>
          <w:bCs/>
          <w:lang w:val="de-DE"/>
        </w:rPr>
        <w:t>- </w:t>
      </w:r>
      <w:r w:rsidR="0073238E" w:rsidRPr="004676F5">
        <w:rPr>
          <w:bCs/>
          <w:lang w:val="de-DE"/>
        </w:rPr>
        <w:t>das Gesetz vom 19. Juni 2022 zur Umsetzung der Richtlinie (EU) 2019/790 des Europäischen Parlaments und des Rates vom 17. April 2019 über das Urheberrecht und die verwandten Schutzrechte im digitalen Binnenmarkt und zur Änderung der Richtlinien 96/9/EG und 2001/29/EG (</w:t>
      </w:r>
      <w:r w:rsidR="0073238E" w:rsidRPr="004676F5">
        <w:rPr>
          <w:bCs/>
          <w:i/>
          <w:iCs/>
          <w:lang w:val="de-DE"/>
        </w:rPr>
        <w:t xml:space="preserve">Belgisches Staatsblatt </w:t>
      </w:r>
      <w:r w:rsidR="0073238E" w:rsidRPr="004676F5">
        <w:rPr>
          <w:bCs/>
          <w:lang w:val="de-DE"/>
        </w:rPr>
        <w:t>vom 3. Dezember 2024),</w:t>
      </w:r>
    </w:p>
    <w:p w14:paraId="2C18D5E4" w14:textId="77777777" w:rsidR="003A13B8" w:rsidRPr="004676F5" w:rsidRDefault="003A13B8" w:rsidP="00D84929">
      <w:pPr>
        <w:jc w:val="both"/>
        <w:rPr>
          <w:bCs/>
          <w:lang w:val="de-DE"/>
        </w:rPr>
      </w:pPr>
    </w:p>
    <w:p w14:paraId="39E49724" w14:textId="6FE3789E" w:rsidR="003A13B8" w:rsidRPr="004676F5" w:rsidRDefault="003A13B8" w:rsidP="003A13B8">
      <w:pPr>
        <w:jc w:val="both"/>
        <w:rPr>
          <w:bCs/>
          <w:lang w:val="de-DE"/>
        </w:rPr>
      </w:pPr>
      <w:r w:rsidRPr="004676F5">
        <w:rPr>
          <w:bCs/>
          <w:lang w:val="de-DE"/>
        </w:rPr>
        <w:t>- das Gesetz vom 20. Juli 2022 über die Zertifizierung der Cybersicherheit von Informations- und Kommunikationstechnik und zur Benennung einer nationalen Behörde für die Cybersicherheitszertifizierung (</w:t>
      </w:r>
      <w:r w:rsidRPr="004676F5">
        <w:rPr>
          <w:bCs/>
          <w:i/>
          <w:iCs/>
          <w:lang w:val="de-DE"/>
        </w:rPr>
        <w:t xml:space="preserve">Belgisches Staatsblatt </w:t>
      </w:r>
      <w:r w:rsidRPr="004676F5">
        <w:rPr>
          <w:bCs/>
          <w:lang w:val="de-DE"/>
        </w:rPr>
        <w:t>vom 20. Februar 2025),</w:t>
      </w:r>
    </w:p>
    <w:p w14:paraId="4624DDA5" w14:textId="77777777" w:rsidR="00C73AF6" w:rsidRPr="004676F5" w:rsidRDefault="00C73AF6" w:rsidP="00D84929">
      <w:pPr>
        <w:jc w:val="both"/>
        <w:rPr>
          <w:bCs/>
          <w:lang w:val="de-DE"/>
        </w:rPr>
      </w:pPr>
    </w:p>
    <w:p w14:paraId="6F8B5E46" w14:textId="40305C6F" w:rsidR="00EB4680" w:rsidRPr="004676F5" w:rsidRDefault="005B7A5C" w:rsidP="00D84929">
      <w:pPr>
        <w:jc w:val="both"/>
        <w:rPr>
          <w:bCs/>
          <w:lang w:val="de-DE"/>
        </w:rPr>
      </w:pPr>
      <w:r w:rsidRPr="004676F5">
        <w:rPr>
          <w:lang w:val="de-DE"/>
        </w:rPr>
        <w:t>- </w:t>
      </w:r>
      <w:r w:rsidR="00EB4680" w:rsidRPr="004676F5">
        <w:rPr>
          <w:lang w:val="de-DE"/>
        </w:rPr>
        <w:t xml:space="preserve">den Königlichen Erlass vom 30. Juli 2022 </w:t>
      </w:r>
      <w:r w:rsidR="00EB4680" w:rsidRPr="004676F5">
        <w:rPr>
          <w:bCs/>
          <w:lang w:val="de-DE"/>
        </w:rPr>
        <w:t>zur Abänderung verschiedener Bestimmungen über Erfindungspatente (</w:t>
      </w:r>
      <w:r w:rsidR="00EB4680" w:rsidRPr="004676F5">
        <w:rPr>
          <w:bCs/>
          <w:i/>
          <w:iCs/>
          <w:lang w:val="de-DE"/>
        </w:rPr>
        <w:t>Belgisches Staatsblatt</w:t>
      </w:r>
      <w:r w:rsidR="00EB4680" w:rsidRPr="004676F5">
        <w:rPr>
          <w:bCs/>
          <w:lang w:val="de-DE"/>
        </w:rPr>
        <w:t xml:space="preserve"> vom 14. April 2023)</w:t>
      </w:r>
      <w:r w:rsidR="00C64D38" w:rsidRPr="004676F5">
        <w:rPr>
          <w:bCs/>
          <w:lang w:val="de-DE"/>
        </w:rPr>
        <w:t>,</w:t>
      </w:r>
    </w:p>
    <w:p w14:paraId="604A91D4" w14:textId="77777777" w:rsidR="00491E54" w:rsidRPr="004676F5" w:rsidRDefault="00491E54" w:rsidP="00D84929">
      <w:pPr>
        <w:jc w:val="both"/>
        <w:rPr>
          <w:bCs/>
          <w:lang w:val="de-DE"/>
        </w:rPr>
      </w:pPr>
    </w:p>
    <w:p w14:paraId="73723F91" w14:textId="253229FF" w:rsidR="00491E54" w:rsidRPr="004676F5" w:rsidRDefault="00491E54" w:rsidP="00D84929">
      <w:pPr>
        <w:jc w:val="both"/>
        <w:rPr>
          <w:bCs/>
          <w:iCs/>
          <w:lang w:val="de-DE"/>
        </w:rPr>
      </w:pPr>
      <w:r w:rsidRPr="004676F5">
        <w:rPr>
          <w:bCs/>
          <w:lang w:val="de-DE"/>
        </w:rPr>
        <w:t>- das Gesetz vom 25. September 2022 zur Abänderung von Buch IV des Wirtschafts</w:t>
      </w:r>
      <w:r w:rsidRPr="004676F5">
        <w:rPr>
          <w:bCs/>
          <w:lang w:val="de-DE"/>
        </w:rPr>
        <w:softHyphen/>
        <w:t>gesetzbuches in Bezug auf die Pension der Mandatsinhaber der Belgischen Wettbewerbsbehörde (</w:t>
      </w:r>
      <w:r w:rsidRPr="004676F5">
        <w:rPr>
          <w:bCs/>
          <w:i/>
          <w:lang w:val="de-DE"/>
        </w:rPr>
        <w:t xml:space="preserve">Belgisches Staatsblatt </w:t>
      </w:r>
      <w:r w:rsidRPr="004676F5">
        <w:rPr>
          <w:bCs/>
          <w:lang w:val="de-DE"/>
        </w:rPr>
        <w:t>vom 24. März 2025)</w:t>
      </w:r>
      <w:r w:rsidRPr="004676F5">
        <w:rPr>
          <w:bCs/>
          <w:iCs/>
          <w:lang w:val="de-DE"/>
        </w:rPr>
        <w:t>,</w:t>
      </w:r>
    </w:p>
    <w:p w14:paraId="2FED5A74" w14:textId="77777777" w:rsidR="0013666A" w:rsidRPr="004676F5" w:rsidRDefault="0013666A" w:rsidP="00D84929">
      <w:pPr>
        <w:jc w:val="both"/>
        <w:rPr>
          <w:bCs/>
          <w:iCs/>
          <w:lang w:val="de-DE"/>
        </w:rPr>
      </w:pPr>
    </w:p>
    <w:p w14:paraId="709037F6" w14:textId="204F6694" w:rsidR="0013666A" w:rsidRPr="004676F5" w:rsidRDefault="0013666A" w:rsidP="00D84929">
      <w:pPr>
        <w:jc w:val="both"/>
        <w:rPr>
          <w:bCs/>
          <w:lang w:val="de-DE"/>
        </w:rPr>
      </w:pPr>
      <w:r w:rsidRPr="004676F5">
        <w:rPr>
          <w:bCs/>
          <w:iCs/>
          <w:lang w:val="de-DE"/>
        </w:rPr>
        <w:t xml:space="preserve">- das Gesetz vom 25. September 2022 </w:t>
      </w:r>
      <w:r w:rsidRPr="004676F5">
        <w:rPr>
          <w:bCs/>
          <w:lang w:val="de-DE"/>
        </w:rPr>
        <w:t>zur Einfügung verschiedener Bestimmungen zum geistigen Eigentum in Buch XI des Wirtschaftsgesetzbuches und in das Gerichtsgesetzbuch (</w:t>
      </w:r>
      <w:r w:rsidRPr="004676F5">
        <w:rPr>
          <w:bCs/>
          <w:i/>
          <w:iCs/>
          <w:lang w:val="de-DE"/>
        </w:rPr>
        <w:t xml:space="preserve">Belgisches Staatsblatt </w:t>
      </w:r>
      <w:r w:rsidRPr="004676F5">
        <w:rPr>
          <w:bCs/>
          <w:lang w:val="de-DE"/>
        </w:rPr>
        <w:t>vom 18. April 2025),</w:t>
      </w:r>
    </w:p>
    <w:p w14:paraId="0FA7695A" w14:textId="77777777" w:rsidR="00AD2142" w:rsidRPr="004676F5" w:rsidRDefault="00AD2142" w:rsidP="00D84929">
      <w:pPr>
        <w:jc w:val="both"/>
        <w:rPr>
          <w:bCs/>
          <w:lang w:val="de-DE"/>
        </w:rPr>
      </w:pPr>
    </w:p>
    <w:p w14:paraId="6C4CE199" w14:textId="388CEEC6" w:rsidR="00AD2142" w:rsidRPr="004676F5" w:rsidRDefault="00AD2142" w:rsidP="00D84929">
      <w:pPr>
        <w:jc w:val="both"/>
        <w:rPr>
          <w:bCs/>
          <w:lang w:val="de-DE"/>
        </w:rPr>
      </w:pPr>
      <w:r w:rsidRPr="004676F5">
        <w:rPr>
          <w:bCs/>
          <w:lang w:val="de-DE"/>
        </w:rPr>
        <w:t>- die Artikel 2 bis 37 des Gesetzes vom 25. September 2022 zur Festlegung verschiedener Bestimmungen im Bereich Wirtschaft (</w:t>
      </w:r>
      <w:r w:rsidRPr="004676F5">
        <w:rPr>
          <w:bCs/>
          <w:i/>
          <w:iCs/>
          <w:lang w:val="de-DE"/>
        </w:rPr>
        <w:t xml:space="preserve">Belgisches Staatsblatt </w:t>
      </w:r>
      <w:r w:rsidRPr="004676F5">
        <w:rPr>
          <w:bCs/>
          <w:lang w:val="de-DE"/>
        </w:rPr>
        <w:t>vom 13. Juni 2025),</w:t>
      </w:r>
    </w:p>
    <w:p w14:paraId="1A4F96F8" w14:textId="77777777" w:rsidR="00C64D38" w:rsidRPr="004676F5" w:rsidRDefault="00C64D38" w:rsidP="00D84929">
      <w:pPr>
        <w:jc w:val="both"/>
        <w:rPr>
          <w:bCs/>
          <w:lang w:val="de-DE"/>
        </w:rPr>
      </w:pPr>
    </w:p>
    <w:p w14:paraId="0A47380A" w14:textId="113B1A46" w:rsidR="000B7544" w:rsidRPr="004676F5" w:rsidRDefault="005B7A5C" w:rsidP="000B7544">
      <w:pPr>
        <w:jc w:val="both"/>
        <w:rPr>
          <w:bCs/>
          <w:lang w:val="de-DE"/>
        </w:rPr>
      </w:pPr>
      <w:r w:rsidRPr="004676F5">
        <w:rPr>
          <w:bCs/>
          <w:lang w:val="de-DE"/>
        </w:rPr>
        <w:t>- </w:t>
      </w:r>
      <w:r w:rsidR="000B7544" w:rsidRPr="004676F5">
        <w:rPr>
          <w:bCs/>
          <w:lang w:val="de-DE"/>
        </w:rPr>
        <w:t>die Artikel 68 und 6</w:t>
      </w:r>
      <w:r w:rsidR="00523BAD" w:rsidRPr="004676F5">
        <w:rPr>
          <w:bCs/>
          <w:lang w:val="de-DE"/>
        </w:rPr>
        <w:t>9</w:t>
      </w:r>
      <w:r w:rsidR="000B7544" w:rsidRPr="004676F5">
        <w:rPr>
          <w:bCs/>
          <w:lang w:val="de-DE"/>
        </w:rPr>
        <w:t xml:space="preserve"> des Gesetzes vom 3. Oktober 2022 zur Festlegung verschiedener Bestimmungen in Bezug auf die Arbeit (</w:t>
      </w:r>
      <w:r w:rsidR="000B7544" w:rsidRPr="004676F5">
        <w:rPr>
          <w:bCs/>
          <w:i/>
          <w:iCs/>
          <w:lang w:val="de-DE"/>
        </w:rPr>
        <w:t xml:space="preserve">Belgisches Staatsblatt </w:t>
      </w:r>
      <w:r w:rsidR="000B7544" w:rsidRPr="004676F5">
        <w:rPr>
          <w:bCs/>
          <w:lang w:val="de-DE"/>
        </w:rPr>
        <w:t>vom 9. August 2024),</w:t>
      </w:r>
    </w:p>
    <w:p w14:paraId="3EA5CD27" w14:textId="03D75081" w:rsidR="004809DE" w:rsidRPr="004676F5" w:rsidRDefault="004809DE">
      <w:pPr>
        <w:rPr>
          <w:bCs/>
          <w:lang w:val="de-DE"/>
        </w:rPr>
      </w:pPr>
    </w:p>
    <w:p w14:paraId="3A92FBD2" w14:textId="17D3ABFA" w:rsidR="00C64D38" w:rsidRPr="004676F5" w:rsidRDefault="005B7A5C" w:rsidP="00D84929">
      <w:pPr>
        <w:jc w:val="both"/>
        <w:rPr>
          <w:bCs/>
          <w:lang w:val="de-DE"/>
        </w:rPr>
      </w:pPr>
      <w:r w:rsidRPr="004676F5">
        <w:rPr>
          <w:bCs/>
          <w:lang w:val="de-DE"/>
        </w:rPr>
        <w:t>- </w:t>
      </w:r>
      <w:r w:rsidR="00C64D38" w:rsidRPr="004676F5">
        <w:rPr>
          <w:bCs/>
          <w:lang w:val="de-DE"/>
        </w:rPr>
        <w:t>das Gesetz vom 4. Mai 2023 zur Einfügung von Buch XIX "Verbraucherschulden" in das Wirtschaftsgesetzbuch (</w:t>
      </w:r>
      <w:r w:rsidR="00C64D38" w:rsidRPr="004676F5">
        <w:rPr>
          <w:bCs/>
          <w:i/>
          <w:iCs/>
          <w:lang w:val="de-DE"/>
        </w:rPr>
        <w:t xml:space="preserve">Belgisches Staatsblatt </w:t>
      </w:r>
      <w:r w:rsidR="00C64D38" w:rsidRPr="004676F5">
        <w:rPr>
          <w:bCs/>
          <w:lang w:val="de-DE"/>
        </w:rPr>
        <w:t>vom 23. Mai 2024)</w:t>
      </w:r>
      <w:r w:rsidR="005437EE" w:rsidRPr="004676F5">
        <w:rPr>
          <w:bCs/>
          <w:lang w:val="de-DE"/>
        </w:rPr>
        <w:t>,</w:t>
      </w:r>
    </w:p>
    <w:p w14:paraId="6803F896" w14:textId="77777777" w:rsidR="00692DC7" w:rsidRPr="004676F5" w:rsidRDefault="00692DC7" w:rsidP="00D84929">
      <w:pPr>
        <w:jc w:val="both"/>
        <w:rPr>
          <w:bCs/>
          <w:lang w:val="de-DE"/>
        </w:rPr>
      </w:pPr>
    </w:p>
    <w:p w14:paraId="5B375587" w14:textId="6B43D250" w:rsidR="00692DC7" w:rsidRPr="004676F5" w:rsidRDefault="00692DC7" w:rsidP="00D84929">
      <w:pPr>
        <w:jc w:val="both"/>
        <w:rPr>
          <w:lang w:val="de-DE"/>
        </w:rPr>
      </w:pPr>
      <w:r w:rsidRPr="004676F5">
        <w:rPr>
          <w:bCs/>
          <w:lang w:val="de-DE"/>
        </w:rPr>
        <w:t xml:space="preserve">- das Gesetz vom 7. Juni 2023 </w:t>
      </w:r>
      <w:r w:rsidRPr="004676F5">
        <w:rPr>
          <w:lang w:val="de-DE"/>
        </w:rPr>
        <w:t>zur Umsetzung der Richtlinie (EU) 2019/1023 des Europäischen Parlaments und des Rates vom 20. Juni 2019 über präventive Restrukturierungsrahmen, über Entschuldung und über Tätigkeitsverbote sowie über Maßnahmen zur Steigerung der Effizienz von Restrukturierungs-, Insolvenz- und Entschuldungsverfahren und zur Änderung der Richtlinie (EU) 2017/1132 und zur Festlegung verschiedener Bestimmungen über Insolvenz (</w:t>
      </w:r>
      <w:r w:rsidRPr="004676F5">
        <w:rPr>
          <w:i/>
          <w:iCs/>
          <w:lang w:val="de-DE"/>
        </w:rPr>
        <w:t xml:space="preserve">Belgisches Staatsblatt </w:t>
      </w:r>
      <w:r w:rsidRPr="004676F5">
        <w:rPr>
          <w:lang w:val="de-DE"/>
        </w:rPr>
        <w:t>vom 22. August 2025),</w:t>
      </w:r>
    </w:p>
    <w:p w14:paraId="1F3FA9CE" w14:textId="77777777" w:rsidR="00A12382" w:rsidRPr="004676F5" w:rsidRDefault="00A12382" w:rsidP="00D84929">
      <w:pPr>
        <w:jc w:val="both"/>
        <w:rPr>
          <w:lang w:val="de-DE"/>
        </w:rPr>
      </w:pPr>
    </w:p>
    <w:p w14:paraId="13C94DAC" w14:textId="1706BB99" w:rsidR="00A12382" w:rsidRPr="004676F5" w:rsidRDefault="00A12382" w:rsidP="00D84929">
      <w:pPr>
        <w:jc w:val="both"/>
        <w:rPr>
          <w:bCs/>
          <w:u w:val="single"/>
          <w:lang w:val="de-DE"/>
        </w:rPr>
      </w:pPr>
      <w:r w:rsidRPr="004676F5">
        <w:rPr>
          <w:lang w:val="de-DE"/>
        </w:rPr>
        <w:t xml:space="preserve">- das Gesetz vom 31. Juli 2023 </w:t>
      </w:r>
      <w:r w:rsidRPr="004676F5">
        <w:rPr>
          <w:bCs/>
          <w:lang w:val="de-DE"/>
        </w:rPr>
        <w:t>zur Abänderung der Artikel VII.2, VII.3, VII.100, VII.148, VII.150, VII.153 und VII.154 des Wirtschaftsgesetzbuches (</w:t>
      </w:r>
      <w:r w:rsidRPr="004676F5">
        <w:rPr>
          <w:bCs/>
          <w:i/>
          <w:iCs/>
          <w:lang w:val="de-DE"/>
        </w:rPr>
        <w:t xml:space="preserve">Belgisches Staatsblatt </w:t>
      </w:r>
      <w:r w:rsidRPr="004676F5">
        <w:rPr>
          <w:bCs/>
          <w:lang w:val="de-DE"/>
        </w:rPr>
        <w:t>vom 26. August 2025),</w:t>
      </w:r>
    </w:p>
    <w:p w14:paraId="01703295" w14:textId="77777777" w:rsidR="005437EE" w:rsidRPr="004676F5" w:rsidRDefault="005437EE" w:rsidP="00D84929">
      <w:pPr>
        <w:jc w:val="both"/>
        <w:rPr>
          <w:bCs/>
          <w:lang w:val="de-DE"/>
        </w:rPr>
      </w:pPr>
    </w:p>
    <w:p w14:paraId="13847EEF" w14:textId="09552C2F" w:rsidR="005A216B" w:rsidRPr="004676F5" w:rsidRDefault="005A216B" w:rsidP="00D84929">
      <w:pPr>
        <w:jc w:val="both"/>
        <w:rPr>
          <w:bCs/>
          <w:lang w:val="de-DE"/>
        </w:rPr>
      </w:pPr>
      <w:r w:rsidRPr="004676F5">
        <w:rPr>
          <w:bCs/>
          <w:lang w:val="de-DE"/>
        </w:rPr>
        <w:t>- das Gesetz vom 5. November 2023 zur Festlegung verschiedener Bestimmungen im Bereich Wirtschaft (</w:t>
      </w:r>
      <w:r w:rsidRPr="004676F5">
        <w:rPr>
          <w:bCs/>
          <w:i/>
          <w:iCs/>
          <w:lang w:val="de-DE"/>
        </w:rPr>
        <w:t xml:space="preserve">Belgisches Staatsblatt </w:t>
      </w:r>
      <w:r w:rsidRPr="004676F5">
        <w:rPr>
          <w:bCs/>
          <w:lang w:val="de-DE"/>
        </w:rPr>
        <w:t>vom 27. August 2025)</w:t>
      </w:r>
      <w:r w:rsidR="003454B3" w:rsidRPr="004676F5">
        <w:rPr>
          <w:bCs/>
          <w:lang w:val="de-DE"/>
        </w:rPr>
        <w:t xml:space="preserve"> </w:t>
      </w:r>
      <w:r w:rsidR="003454B3" w:rsidRPr="004676F5">
        <w:rPr>
          <w:bCs/>
          <w:i/>
          <w:iCs/>
          <w:lang w:val="de-DE"/>
        </w:rPr>
        <w:t>(I)</w:t>
      </w:r>
      <w:r w:rsidRPr="004676F5">
        <w:rPr>
          <w:bCs/>
          <w:lang w:val="de-DE"/>
        </w:rPr>
        <w:t>,</w:t>
      </w:r>
    </w:p>
    <w:p w14:paraId="5E4DD586" w14:textId="77777777" w:rsidR="00F56DFE" w:rsidRPr="004676F5" w:rsidRDefault="00F56DFE" w:rsidP="00D84929">
      <w:pPr>
        <w:jc w:val="both"/>
        <w:rPr>
          <w:bCs/>
          <w:lang w:val="de-DE"/>
        </w:rPr>
      </w:pPr>
    </w:p>
    <w:p w14:paraId="4A0FA1B7" w14:textId="4C43C69D" w:rsidR="00F56DFE" w:rsidRPr="004676F5" w:rsidRDefault="00F56DFE" w:rsidP="00D84929">
      <w:pPr>
        <w:jc w:val="both"/>
        <w:rPr>
          <w:lang w:val="de-DE"/>
        </w:rPr>
      </w:pPr>
      <w:r w:rsidRPr="004676F5">
        <w:rPr>
          <w:bCs/>
          <w:lang w:val="de-DE"/>
        </w:rPr>
        <w:t xml:space="preserve">- das Gesetz vom 5. November 2023 </w:t>
      </w:r>
      <w:r w:rsidRPr="004676F5">
        <w:rPr>
          <w:lang w:val="de-DE"/>
        </w:rPr>
        <w:t>zur Abänderung mehrerer Bücher des Wirtschaftsgesetz</w:t>
      </w:r>
      <w:r w:rsidRPr="004676F5">
        <w:rPr>
          <w:lang w:val="de-DE"/>
        </w:rPr>
        <w:softHyphen/>
        <w:t>buches und des Gesetzes vom 2. August 2002 über die Aufsicht über den Finanzsektor und die Finanzdienstleistungen zur Teilumsetzung der Richtlinie (EU) 2019/882 des Europäischen Parlaments und des Rates vom 17. April 2019 über die Barrierefreiheitsan</w:t>
      </w:r>
      <w:r w:rsidRPr="004676F5">
        <w:rPr>
          <w:lang w:val="de-DE"/>
        </w:rPr>
        <w:softHyphen/>
        <w:t>forderungen für Produkte und Dienstleistungen in Bezug auf bestimmte Dienstleistungen (</w:t>
      </w:r>
      <w:r w:rsidRPr="004676F5">
        <w:rPr>
          <w:i/>
          <w:lang w:val="de-DE"/>
        </w:rPr>
        <w:t xml:space="preserve">Belgisches Staatsblatt </w:t>
      </w:r>
      <w:r w:rsidRPr="004676F5">
        <w:rPr>
          <w:lang w:val="de-DE"/>
        </w:rPr>
        <w:t>vom 25. September 2025)</w:t>
      </w:r>
      <w:r w:rsidR="00653843" w:rsidRPr="004676F5">
        <w:rPr>
          <w:lang w:val="de-DE"/>
        </w:rPr>
        <w:t> </w:t>
      </w:r>
      <w:r w:rsidR="003454B3" w:rsidRPr="004676F5">
        <w:rPr>
          <w:i/>
          <w:iCs/>
          <w:lang w:val="de-DE"/>
        </w:rPr>
        <w:t>(II)</w:t>
      </w:r>
      <w:r w:rsidRPr="004676F5">
        <w:rPr>
          <w:lang w:val="de-DE"/>
        </w:rPr>
        <w:t>,</w:t>
      </w:r>
    </w:p>
    <w:p w14:paraId="14A22389" w14:textId="77777777" w:rsidR="00D00A7E" w:rsidRPr="004676F5" w:rsidRDefault="00D00A7E" w:rsidP="00D84929">
      <w:pPr>
        <w:jc w:val="both"/>
        <w:rPr>
          <w:lang w:val="de-DE"/>
        </w:rPr>
      </w:pPr>
    </w:p>
    <w:p w14:paraId="6AAFF9CE" w14:textId="564D55B7" w:rsidR="00D00A7E" w:rsidRPr="004676F5" w:rsidRDefault="00D00A7E" w:rsidP="00D84929">
      <w:pPr>
        <w:jc w:val="both"/>
        <w:rPr>
          <w:lang w:val="de-DE"/>
        </w:rPr>
      </w:pPr>
      <w:r w:rsidRPr="004676F5">
        <w:rPr>
          <w:lang w:val="de-DE"/>
        </w:rPr>
        <w:t>-</w:t>
      </w:r>
      <w:r w:rsidR="00653843" w:rsidRPr="004676F5">
        <w:rPr>
          <w:lang w:val="de-DE"/>
        </w:rPr>
        <w:t> </w:t>
      </w:r>
      <w:r w:rsidRPr="004676F5">
        <w:rPr>
          <w:lang w:val="de-DE"/>
        </w:rPr>
        <w:t xml:space="preserve">das Gesetz vom 21. November 2023 </w:t>
      </w:r>
      <w:r w:rsidRPr="004676F5">
        <w:rPr>
          <w:bCs/>
          <w:lang w:val="de-DE"/>
        </w:rPr>
        <w:t xml:space="preserve">zur Abänderung des Gesetzes vom 5. November 2023 zur Festlegung verschiedener Bestimmungen im Bereich Wirtschaft </w:t>
      </w:r>
      <w:r w:rsidRPr="004676F5">
        <w:rPr>
          <w:lang w:val="de-DE"/>
        </w:rPr>
        <w:t>(</w:t>
      </w:r>
      <w:r w:rsidRPr="004676F5">
        <w:rPr>
          <w:i/>
          <w:lang w:val="de-DE"/>
        </w:rPr>
        <w:t xml:space="preserve">Belgisches Staatsblatt </w:t>
      </w:r>
      <w:r w:rsidRPr="004676F5">
        <w:rPr>
          <w:lang w:val="de-DE"/>
        </w:rPr>
        <w:t>vom 18. Dezember 2025),</w:t>
      </w:r>
    </w:p>
    <w:p w14:paraId="33065D1B" w14:textId="77777777" w:rsidR="0025333A" w:rsidRPr="004676F5" w:rsidRDefault="0025333A" w:rsidP="00D84929">
      <w:pPr>
        <w:jc w:val="both"/>
        <w:rPr>
          <w:lang w:val="de-DE"/>
        </w:rPr>
      </w:pPr>
    </w:p>
    <w:p w14:paraId="1551261D" w14:textId="398A3BCB" w:rsidR="0025333A" w:rsidRPr="004676F5" w:rsidRDefault="0025333A" w:rsidP="00D84929">
      <w:pPr>
        <w:jc w:val="both"/>
        <w:rPr>
          <w:lang w:val="de-DE"/>
        </w:rPr>
      </w:pPr>
      <w:r w:rsidRPr="004676F5">
        <w:rPr>
          <w:lang w:val="de-DE"/>
        </w:rPr>
        <w:t xml:space="preserve">- die Artikel 16 und 17 des Gesetzes vom 17. Dezember 2023 </w:t>
      </w:r>
      <w:r w:rsidRPr="004676F5">
        <w:rPr>
          <w:bCs/>
          <w:lang w:val="de-DE"/>
        </w:rPr>
        <w:t>zur Festlegung verschiedener Bestimmungen zur Verbesserung der Arbeitsbedingungen von Paketzustellern (</w:t>
      </w:r>
      <w:r w:rsidRPr="004676F5">
        <w:rPr>
          <w:bCs/>
          <w:i/>
          <w:iCs/>
          <w:lang w:val="de-DE"/>
        </w:rPr>
        <w:t xml:space="preserve">Belgisches Staatsblatt </w:t>
      </w:r>
      <w:r w:rsidRPr="004676F5">
        <w:rPr>
          <w:bCs/>
          <w:lang w:val="de-DE"/>
        </w:rPr>
        <w:t>vom 2. Oktober 2025),</w:t>
      </w:r>
    </w:p>
    <w:p w14:paraId="476AFCD2" w14:textId="77777777" w:rsidR="005A216B" w:rsidRPr="004676F5" w:rsidRDefault="005A216B" w:rsidP="00D84929">
      <w:pPr>
        <w:jc w:val="both"/>
        <w:rPr>
          <w:bCs/>
          <w:lang w:val="de-DE"/>
        </w:rPr>
      </w:pPr>
    </w:p>
    <w:p w14:paraId="3AA102B6" w14:textId="77777777" w:rsidR="00DB1F88" w:rsidRPr="004676F5" w:rsidRDefault="00DB1F88" w:rsidP="005437EE">
      <w:pPr>
        <w:jc w:val="both"/>
        <w:rPr>
          <w:bCs/>
          <w:lang w:val="de-DE"/>
        </w:rPr>
      </w:pPr>
    </w:p>
    <w:p w14:paraId="4F6EFE44" w14:textId="242A2058" w:rsidR="00DB1F88" w:rsidRPr="004676F5" w:rsidRDefault="00DB1F88" w:rsidP="005437EE">
      <w:pPr>
        <w:jc w:val="both"/>
        <w:rPr>
          <w:bCs/>
          <w:lang w:val="de-DE"/>
        </w:rPr>
      </w:pPr>
      <w:r w:rsidRPr="004676F5">
        <w:rPr>
          <w:bCs/>
          <w:lang w:val="de-DE"/>
        </w:rPr>
        <w:lastRenderedPageBreak/>
        <w:t>-</w:t>
      </w:r>
      <w:r w:rsidR="00DC3CC3" w:rsidRPr="004676F5">
        <w:rPr>
          <w:bCs/>
          <w:lang w:val="de-DE"/>
        </w:rPr>
        <w:t> </w:t>
      </w:r>
      <w:r w:rsidRPr="004676F5">
        <w:rPr>
          <w:bCs/>
          <w:lang w:val="de-DE"/>
        </w:rPr>
        <w:t xml:space="preserve">die Artikel 77 bis 81 </w:t>
      </w:r>
      <w:r w:rsidR="00EA5C4E" w:rsidRPr="004676F5">
        <w:rPr>
          <w:bCs/>
          <w:lang w:val="de-DE"/>
        </w:rPr>
        <w:t>des Gesetzes vom 19. Dezember 2023 zur Festlegung verschiedener Bestimmungen in Zivilsachen und Gerichtsangelegenheiten (</w:t>
      </w:r>
      <w:r w:rsidR="00EA5C4E" w:rsidRPr="004676F5">
        <w:rPr>
          <w:bCs/>
          <w:i/>
          <w:lang w:val="de-DE"/>
        </w:rPr>
        <w:t xml:space="preserve">Belgisches Staatsblatt </w:t>
      </w:r>
      <w:r w:rsidR="00EA5C4E" w:rsidRPr="004676F5">
        <w:rPr>
          <w:bCs/>
          <w:lang w:val="de-DE"/>
        </w:rPr>
        <w:t>vom 5. Dezember 2025)</w:t>
      </w:r>
      <w:r w:rsidR="001D5CB7" w:rsidRPr="004676F5">
        <w:rPr>
          <w:bCs/>
          <w:lang w:val="de-DE"/>
        </w:rPr>
        <w:t>,</w:t>
      </w:r>
    </w:p>
    <w:p w14:paraId="15C66848" w14:textId="77777777" w:rsidR="003368DF" w:rsidRPr="004676F5" w:rsidRDefault="003368DF" w:rsidP="005437EE">
      <w:pPr>
        <w:jc w:val="both"/>
        <w:rPr>
          <w:bCs/>
          <w:lang w:val="de-DE"/>
        </w:rPr>
      </w:pPr>
    </w:p>
    <w:p w14:paraId="1B9D0016" w14:textId="43880077" w:rsidR="003368DF" w:rsidRPr="004676F5" w:rsidRDefault="003368DF" w:rsidP="005437EE">
      <w:pPr>
        <w:jc w:val="both"/>
        <w:rPr>
          <w:bCs/>
          <w:lang w:val="de-DE"/>
        </w:rPr>
      </w:pPr>
      <w:r w:rsidRPr="004676F5">
        <w:rPr>
          <w:bCs/>
          <w:lang w:val="de-DE"/>
        </w:rPr>
        <w:t>-</w:t>
      </w:r>
      <w:r w:rsidR="00653843" w:rsidRPr="004676F5">
        <w:rPr>
          <w:bCs/>
          <w:lang w:val="de-DE"/>
        </w:rPr>
        <w:t> </w:t>
      </w:r>
      <w:r w:rsidRPr="004676F5">
        <w:rPr>
          <w:bCs/>
          <w:lang w:val="de-DE"/>
        </w:rPr>
        <w:t>die Artikel 72 bis 76 und 82 bis 86 des Programmgesetzes vom 22. Dezember 2023 (</w:t>
      </w:r>
      <w:r w:rsidRPr="004676F5">
        <w:rPr>
          <w:bCs/>
          <w:i/>
          <w:iCs/>
          <w:lang w:val="de-DE"/>
        </w:rPr>
        <w:t>Belgisches Staatsblatt</w:t>
      </w:r>
      <w:r w:rsidRPr="004676F5">
        <w:rPr>
          <w:bCs/>
          <w:lang w:val="de-DE"/>
        </w:rPr>
        <w:t xml:space="preserve"> vom 18. Dezember 2025);</w:t>
      </w:r>
    </w:p>
    <w:p w14:paraId="2FFDF24A" w14:textId="77777777" w:rsidR="00DB1F88" w:rsidRPr="004676F5" w:rsidRDefault="00DB1F88" w:rsidP="005437EE">
      <w:pPr>
        <w:jc w:val="both"/>
        <w:rPr>
          <w:bCs/>
          <w:lang w:val="de-DE"/>
        </w:rPr>
      </w:pPr>
    </w:p>
    <w:p w14:paraId="1367FEBA" w14:textId="630AA6B8" w:rsidR="001470D9" w:rsidRPr="004676F5" w:rsidRDefault="001470D9" w:rsidP="001470D9">
      <w:pPr>
        <w:jc w:val="both"/>
        <w:rPr>
          <w:bCs/>
          <w:lang w:val="de-DE"/>
        </w:rPr>
      </w:pPr>
      <w:r w:rsidRPr="004676F5">
        <w:rPr>
          <w:bCs/>
          <w:lang w:val="de-DE"/>
        </w:rPr>
        <w:t>- die Artikel 3 bis 8 des Gesetzes vom 8. Februar 2024 zur Abänderung des Gesetzes vom 13. Juni 2005 über die elektronische Kommunikation und zur Abänderung der Bestimmungen über unerwünschte Mitteilungen im Wirtschaftsgesetzbuch (</w:t>
      </w:r>
      <w:r w:rsidRPr="004676F5">
        <w:rPr>
          <w:bCs/>
          <w:i/>
          <w:iCs/>
          <w:lang w:val="de-DE"/>
        </w:rPr>
        <w:t>Belgisches Staatsblatt</w:t>
      </w:r>
      <w:r w:rsidRPr="004676F5">
        <w:rPr>
          <w:bCs/>
          <w:lang w:val="de-DE"/>
        </w:rPr>
        <w:t xml:space="preserve"> vom 24. November 2025),</w:t>
      </w:r>
    </w:p>
    <w:p w14:paraId="78532723" w14:textId="77777777" w:rsidR="00E20E6A" w:rsidRPr="004676F5" w:rsidRDefault="00E20E6A" w:rsidP="001470D9">
      <w:pPr>
        <w:jc w:val="both"/>
        <w:rPr>
          <w:bCs/>
          <w:lang w:val="de-DE"/>
        </w:rPr>
      </w:pPr>
    </w:p>
    <w:p w14:paraId="1A4A6304" w14:textId="693CB9EB" w:rsidR="00E20E6A" w:rsidRPr="004676F5" w:rsidRDefault="00E20E6A" w:rsidP="001470D9">
      <w:pPr>
        <w:jc w:val="both"/>
        <w:rPr>
          <w:bCs/>
          <w:lang w:val="de-DE"/>
        </w:rPr>
      </w:pPr>
      <w:r w:rsidRPr="004676F5">
        <w:rPr>
          <w:bCs/>
          <w:lang w:val="de-DE"/>
        </w:rPr>
        <w:t>- die Artikel 3 bis 57 des Gesetzes vom 9. Februar 2024 zur Festlegung verschiedener Bestimmungen im Bereich Wirtschaft (</w:t>
      </w:r>
      <w:r w:rsidRPr="004676F5">
        <w:rPr>
          <w:bCs/>
          <w:i/>
          <w:iCs/>
          <w:lang w:val="de-DE"/>
        </w:rPr>
        <w:t xml:space="preserve">Belgisches Staatsblatt </w:t>
      </w:r>
      <w:r w:rsidRPr="004676F5">
        <w:rPr>
          <w:bCs/>
          <w:lang w:val="de-DE"/>
        </w:rPr>
        <w:t>vom 12. Februar 2026),</w:t>
      </w:r>
    </w:p>
    <w:p w14:paraId="043CDAAC" w14:textId="77777777" w:rsidR="001470D9" w:rsidRPr="004676F5" w:rsidRDefault="001470D9" w:rsidP="005437EE">
      <w:pPr>
        <w:jc w:val="both"/>
        <w:rPr>
          <w:bCs/>
          <w:lang w:val="de-DE"/>
        </w:rPr>
      </w:pPr>
    </w:p>
    <w:p w14:paraId="5A192558" w14:textId="74646E72" w:rsidR="005437EE" w:rsidRPr="004676F5" w:rsidRDefault="005437EE" w:rsidP="005437EE">
      <w:pPr>
        <w:jc w:val="both"/>
        <w:rPr>
          <w:bCs/>
          <w:lang w:val="de-DE"/>
        </w:rPr>
      </w:pPr>
      <w:r w:rsidRPr="004676F5">
        <w:rPr>
          <w:bCs/>
          <w:lang w:val="de-DE"/>
        </w:rPr>
        <w:t>- die Artikel 30 bis 34 des Gesetzes vom 29. Februar 2024 zur Einführung von Buch 1 des Strafgesetzbuches (</w:t>
      </w:r>
      <w:r w:rsidRPr="004676F5">
        <w:rPr>
          <w:bCs/>
          <w:i/>
          <w:lang w:val="de-DE"/>
        </w:rPr>
        <w:t xml:space="preserve">Belgisches Staatsblatt </w:t>
      </w:r>
      <w:r w:rsidRPr="004676F5">
        <w:rPr>
          <w:bCs/>
          <w:lang w:val="de-DE"/>
        </w:rPr>
        <w:t>vom 28. Mai 2025)</w:t>
      </w:r>
      <w:r w:rsidR="00CE5BB7" w:rsidRPr="004676F5">
        <w:rPr>
          <w:bCs/>
          <w:lang w:val="de-DE"/>
        </w:rPr>
        <w:t> </w:t>
      </w:r>
      <w:r w:rsidR="00CE5BB7" w:rsidRPr="004676F5">
        <w:rPr>
          <w:bCs/>
          <w:i/>
          <w:iCs/>
          <w:lang w:val="de-DE"/>
        </w:rPr>
        <w:t>(I)</w:t>
      </w:r>
      <w:r w:rsidR="001D5CB7" w:rsidRPr="004676F5">
        <w:rPr>
          <w:bCs/>
          <w:lang w:val="de-DE"/>
        </w:rPr>
        <w:t>,</w:t>
      </w:r>
    </w:p>
    <w:p w14:paraId="10F03775" w14:textId="77777777" w:rsidR="00D84929" w:rsidRPr="004676F5" w:rsidRDefault="00D84929" w:rsidP="00D84929">
      <w:pPr>
        <w:jc w:val="both"/>
        <w:rPr>
          <w:lang w:val="de-DE"/>
        </w:rPr>
      </w:pPr>
    </w:p>
    <w:p w14:paraId="0D7F4F7F" w14:textId="77380A29" w:rsidR="00CE5BB7" w:rsidRPr="004676F5" w:rsidRDefault="00CE5BB7" w:rsidP="00D84929">
      <w:pPr>
        <w:jc w:val="both"/>
        <w:rPr>
          <w:bCs/>
          <w:lang w:val="de-DE"/>
        </w:rPr>
      </w:pPr>
      <w:r w:rsidRPr="004676F5">
        <w:rPr>
          <w:bCs/>
          <w:lang w:val="de-DE"/>
        </w:rPr>
        <w:t>- die Artikel 105 bis 112 des Gesetzes vom 29. Februar 2024 zur Einführung von Buch 2 des Strafgesetzbuches (</w:t>
      </w:r>
      <w:r w:rsidRPr="004676F5">
        <w:rPr>
          <w:bCs/>
          <w:i/>
          <w:lang w:val="de-DE"/>
        </w:rPr>
        <w:t xml:space="preserve">Belgisches Staatsblatt </w:t>
      </w:r>
      <w:r w:rsidRPr="004676F5">
        <w:rPr>
          <w:bCs/>
          <w:lang w:val="de-DE"/>
        </w:rPr>
        <w:t xml:space="preserve">vom 3. September 2025) </w:t>
      </w:r>
      <w:r w:rsidRPr="004676F5">
        <w:rPr>
          <w:bCs/>
          <w:i/>
          <w:iCs/>
          <w:lang w:val="de-DE"/>
        </w:rPr>
        <w:t>(II)</w:t>
      </w:r>
      <w:r w:rsidR="00A82CBA" w:rsidRPr="004676F5">
        <w:rPr>
          <w:bCs/>
          <w:lang w:val="de-DE"/>
        </w:rPr>
        <w:t>,</w:t>
      </w:r>
    </w:p>
    <w:p w14:paraId="3A6D6160" w14:textId="77777777" w:rsidR="00A1531A" w:rsidRPr="004676F5" w:rsidRDefault="00A1531A" w:rsidP="00D84929">
      <w:pPr>
        <w:jc w:val="both"/>
        <w:rPr>
          <w:bCs/>
          <w:lang w:val="de-DE"/>
        </w:rPr>
      </w:pPr>
    </w:p>
    <w:p w14:paraId="7E61F3ED" w14:textId="0854029C" w:rsidR="00A1531A" w:rsidRPr="004676F5" w:rsidRDefault="00A1531A" w:rsidP="00D84929">
      <w:pPr>
        <w:jc w:val="both"/>
        <w:rPr>
          <w:bCs/>
          <w:lang w:val="de-DE"/>
        </w:rPr>
      </w:pPr>
      <w:r w:rsidRPr="004676F5">
        <w:rPr>
          <w:bCs/>
          <w:lang w:val="de-DE"/>
        </w:rPr>
        <w:t>-</w:t>
      </w:r>
      <w:r w:rsidR="00653843" w:rsidRPr="004676F5">
        <w:rPr>
          <w:bCs/>
          <w:lang w:val="de-DE"/>
        </w:rPr>
        <w:t> </w:t>
      </w:r>
      <w:r w:rsidRPr="004676F5">
        <w:rPr>
          <w:bCs/>
          <w:lang w:val="de-DE"/>
        </w:rPr>
        <w:t xml:space="preserve">die Artikel 3 bis 56 des Gesetzes </w:t>
      </w:r>
      <w:r w:rsidR="00DB2D1B" w:rsidRPr="004676F5">
        <w:rPr>
          <w:bCs/>
          <w:lang w:val="de-DE"/>
        </w:rPr>
        <w:t xml:space="preserve">vom 29. März 2024 </w:t>
      </w:r>
      <w:r w:rsidRPr="004676F5">
        <w:rPr>
          <w:bCs/>
          <w:lang w:val="de-DE"/>
        </w:rPr>
        <w:t>zur Ausführung der Verordnung (EU) 2022/1925 des Europäischen Parlaments und des Rates vom 14. September 2022 über bestreitbare und faire Märkte im digitalen Sektor und zur Änderung der Richtlinien (EU) 2019/1937 und (EU) 2020/1828 und zur Abänderung verschiedener Bestimmungen über die Organisation und die Befugnisse der Belgischen Wettbewerbsbehörde (</w:t>
      </w:r>
      <w:r w:rsidRPr="004676F5">
        <w:rPr>
          <w:bCs/>
          <w:i/>
          <w:lang w:val="de-DE"/>
        </w:rPr>
        <w:t xml:space="preserve">Belgisches Staatsblatt </w:t>
      </w:r>
      <w:r w:rsidRPr="004676F5">
        <w:rPr>
          <w:bCs/>
          <w:lang w:val="de-DE"/>
        </w:rPr>
        <w:t>vom</w:t>
      </w:r>
      <w:r w:rsidR="006F1076" w:rsidRPr="004676F5">
        <w:rPr>
          <w:bCs/>
          <w:lang w:val="de-DE"/>
        </w:rPr>
        <w:t xml:space="preserve"> </w:t>
      </w:r>
      <w:r w:rsidRPr="004676F5">
        <w:rPr>
          <w:bCs/>
          <w:lang w:val="de-DE"/>
        </w:rPr>
        <w:t>5. März 2026),</w:t>
      </w:r>
    </w:p>
    <w:p w14:paraId="0D9051F2" w14:textId="77777777" w:rsidR="00A82CBA" w:rsidRPr="004676F5" w:rsidRDefault="00A82CBA" w:rsidP="00D84929">
      <w:pPr>
        <w:jc w:val="both"/>
        <w:rPr>
          <w:bCs/>
          <w:lang w:val="de-DE"/>
        </w:rPr>
      </w:pPr>
    </w:p>
    <w:p w14:paraId="631091F6" w14:textId="5EFCDE99" w:rsidR="00A82CBA" w:rsidRPr="004676F5" w:rsidRDefault="00A82CBA" w:rsidP="00D84929">
      <w:pPr>
        <w:jc w:val="both"/>
        <w:rPr>
          <w:bCs/>
          <w:lang w:val="de-DE"/>
        </w:rPr>
      </w:pPr>
      <w:r w:rsidRPr="004676F5">
        <w:rPr>
          <w:bCs/>
          <w:lang w:val="de-DE"/>
        </w:rPr>
        <w:t>-</w:t>
      </w:r>
      <w:r w:rsidR="00DC3CC3" w:rsidRPr="004676F5">
        <w:rPr>
          <w:bCs/>
          <w:lang w:val="de-DE"/>
        </w:rPr>
        <w:t> </w:t>
      </w:r>
      <w:r w:rsidRPr="004676F5">
        <w:rPr>
          <w:bCs/>
          <w:lang w:val="de-DE"/>
        </w:rPr>
        <w:t>die Artikel 2 bis 5 des Gesetzes vom 21. April 2024 zur Durchführung der Verordnung (EU) 2022/2065 des Europäischen Parlaments und des Rates vom 19. Oktober 2022 über einen Binnenmarkt für digitale Dienste und zur Änderung der Richtlinie 2000/31/EG, zur Abänderung von Buch XII und Buch XV des Wirtschaftsgesetzbuches und zur Abänderung des Gesetzes vom 17. Januar 2003 über das Statut der Regulierungsinstanz des belgischen Post- und Telekommunikationssektors (</w:t>
      </w:r>
      <w:r w:rsidRPr="004676F5">
        <w:rPr>
          <w:bCs/>
          <w:i/>
          <w:lang w:val="de-DE"/>
        </w:rPr>
        <w:t xml:space="preserve">Belgisches Staatsblatt </w:t>
      </w:r>
      <w:r w:rsidRPr="004676F5">
        <w:rPr>
          <w:bCs/>
          <w:lang w:val="de-DE"/>
        </w:rPr>
        <w:t xml:space="preserve">vom </w:t>
      </w:r>
      <w:r w:rsidR="00FB7B5D" w:rsidRPr="004676F5">
        <w:rPr>
          <w:bCs/>
          <w:lang w:val="de-DE"/>
        </w:rPr>
        <w:t>26. Januar 2026</w:t>
      </w:r>
      <w:r w:rsidRPr="004676F5">
        <w:rPr>
          <w:bCs/>
          <w:lang w:val="de-DE"/>
        </w:rPr>
        <w:t>)</w:t>
      </w:r>
      <w:r w:rsidR="001F23B7" w:rsidRPr="004676F5">
        <w:rPr>
          <w:bCs/>
          <w:lang w:val="de-DE"/>
        </w:rPr>
        <w:t> </w:t>
      </w:r>
      <w:r w:rsidR="001F23B7" w:rsidRPr="004676F5">
        <w:rPr>
          <w:bCs/>
          <w:i/>
          <w:iCs/>
          <w:lang w:val="de-DE"/>
        </w:rPr>
        <w:t>(I)</w:t>
      </w:r>
      <w:r w:rsidR="00CB0045" w:rsidRPr="004676F5">
        <w:rPr>
          <w:bCs/>
          <w:lang w:val="de-DE"/>
        </w:rPr>
        <w:t>,</w:t>
      </w:r>
    </w:p>
    <w:p w14:paraId="3935448A" w14:textId="77777777" w:rsidR="001F23B7" w:rsidRPr="004676F5" w:rsidRDefault="001F23B7" w:rsidP="00D84929">
      <w:pPr>
        <w:jc w:val="both"/>
        <w:rPr>
          <w:bCs/>
          <w:lang w:val="de-DE"/>
        </w:rPr>
      </w:pPr>
    </w:p>
    <w:p w14:paraId="68120C6A" w14:textId="5C4C7EB4" w:rsidR="001F23B7" w:rsidRPr="004676F5" w:rsidRDefault="001F23B7" w:rsidP="001F23B7">
      <w:pPr>
        <w:jc w:val="both"/>
        <w:rPr>
          <w:bCs/>
          <w:lang w:val="de-DE"/>
        </w:rPr>
      </w:pPr>
      <w:r w:rsidRPr="004676F5">
        <w:rPr>
          <w:bCs/>
          <w:lang w:val="de-DE"/>
        </w:rPr>
        <w:t>- das Gesetz vom 21. April 2024 zur Abänderung der Bücher I, XV und XVII des Wirtschaftsgesetzbuches und zur Umsetzung der Richtlinie (EU) 2020/1828 des Europäischen Parlaments und des Rates vom 25. November 2020 über Verbandsklagen zum Schutz der Kollektivinteressen der Verbraucher und zur Aufhebung der Richtlinie 2009/22/EG (</w:t>
      </w:r>
      <w:r w:rsidRPr="004676F5">
        <w:rPr>
          <w:bCs/>
          <w:i/>
          <w:iCs/>
          <w:lang w:val="de-DE"/>
        </w:rPr>
        <w:t>Belgisches Staatsblatt</w:t>
      </w:r>
      <w:r w:rsidRPr="004676F5">
        <w:rPr>
          <w:bCs/>
          <w:lang w:val="de-DE"/>
        </w:rPr>
        <w:t xml:space="preserve"> vom</w:t>
      </w:r>
      <w:r w:rsidR="00755C88">
        <w:rPr>
          <w:bCs/>
          <w:lang w:val="de-DE"/>
        </w:rPr>
        <w:t> 28. Mai 2026</w:t>
      </w:r>
      <w:r w:rsidRPr="004676F5">
        <w:rPr>
          <w:bCs/>
          <w:lang w:val="de-DE"/>
        </w:rPr>
        <w:t>) </w:t>
      </w:r>
      <w:r w:rsidRPr="004676F5">
        <w:rPr>
          <w:bCs/>
          <w:i/>
          <w:iCs/>
          <w:lang w:val="de-DE"/>
        </w:rPr>
        <w:t>(II)</w:t>
      </w:r>
      <w:r w:rsidRPr="004676F5">
        <w:rPr>
          <w:bCs/>
          <w:lang w:val="de-DE"/>
        </w:rPr>
        <w:t>,</w:t>
      </w:r>
    </w:p>
    <w:p w14:paraId="38FDCB72" w14:textId="77777777" w:rsidR="00653843" w:rsidRDefault="00653843" w:rsidP="00D84929">
      <w:pPr>
        <w:jc w:val="both"/>
        <w:rPr>
          <w:bCs/>
          <w:lang w:val="de-DE"/>
        </w:rPr>
      </w:pPr>
    </w:p>
    <w:p w14:paraId="43CA8CBC" w14:textId="0E024DDC" w:rsidR="00F16021" w:rsidRDefault="00F16021" w:rsidP="00D84929">
      <w:pPr>
        <w:jc w:val="both"/>
        <w:rPr>
          <w:bCs/>
          <w:lang w:val="de-DE"/>
        </w:rPr>
      </w:pPr>
      <w:r>
        <w:rPr>
          <w:bCs/>
          <w:lang w:val="de-DE"/>
        </w:rPr>
        <w:t xml:space="preserve">- das Gesetz vom 15. Mai 2024 </w:t>
      </w:r>
      <w:r w:rsidRPr="00DE7624">
        <w:rPr>
          <w:bCs/>
          <w:lang w:val="de-DE"/>
        </w:rPr>
        <w:t>zur Durchführung der Verordnung (EU) 2022/868 des Europäischen Parlaments und des Rates vom 30. Mai 2022 über europäische Daten-Governance und zur Änderung der Verordnung (EU) 2018/1724</w:t>
      </w:r>
      <w:r>
        <w:rPr>
          <w:bCs/>
          <w:lang w:val="de-DE"/>
        </w:rPr>
        <w:t xml:space="preserve"> </w:t>
      </w:r>
      <w:r w:rsidRPr="004676F5">
        <w:rPr>
          <w:lang w:val="de-DE"/>
        </w:rPr>
        <w:t>(</w:t>
      </w:r>
      <w:r w:rsidRPr="004676F5">
        <w:rPr>
          <w:i/>
          <w:iCs/>
          <w:lang w:val="de-DE"/>
        </w:rPr>
        <w:t xml:space="preserve">Belgisches Staatsblatt </w:t>
      </w:r>
      <w:r w:rsidRPr="004676F5">
        <w:rPr>
          <w:lang w:val="de-DE"/>
        </w:rPr>
        <w:t xml:space="preserve">vom </w:t>
      </w:r>
      <w:r>
        <w:rPr>
          <w:lang w:val="de-DE"/>
        </w:rPr>
        <w:t>4. Juni</w:t>
      </w:r>
      <w:r w:rsidRPr="004676F5">
        <w:rPr>
          <w:lang w:val="de-DE"/>
        </w:rPr>
        <w:t> 2026),</w:t>
      </w:r>
    </w:p>
    <w:p w14:paraId="49BC6DCE" w14:textId="77777777" w:rsidR="00F16021" w:rsidRDefault="00F16021" w:rsidP="00D84929">
      <w:pPr>
        <w:jc w:val="both"/>
        <w:rPr>
          <w:bCs/>
          <w:lang w:val="de-DE"/>
        </w:rPr>
      </w:pPr>
    </w:p>
    <w:p w14:paraId="03F9ED6A" w14:textId="2271C6AE" w:rsidR="004676F5" w:rsidRDefault="00653843" w:rsidP="00872F21">
      <w:pPr>
        <w:jc w:val="both"/>
        <w:rPr>
          <w:lang w:val="de-DE"/>
        </w:rPr>
      </w:pPr>
      <w:r w:rsidRPr="004676F5">
        <w:rPr>
          <w:bCs/>
          <w:lang w:val="de-DE"/>
        </w:rPr>
        <w:t xml:space="preserve">- das Gesetz vom 25. Mai 2024 </w:t>
      </w:r>
      <w:r w:rsidRPr="004676F5">
        <w:rPr>
          <w:lang w:val="de-DE"/>
        </w:rPr>
        <w:t>zur Abänderung von Buch XV des Wirtschaftsgesetzbuches und des Gesetzes vom 27. März 2023 über den Schutz des Berufs und des Titels des Landmesser-Gutachters und zur Schaffung einer Kammer der Landmesser-Gutachter (</w:t>
      </w:r>
      <w:r w:rsidRPr="004676F5">
        <w:rPr>
          <w:i/>
          <w:iCs/>
          <w:lang w:val="de-DE"/>
        </w:rPr>
        <w:t xml:space="preserve">Belgisches Staatsblatt </w:t>
      </w:r>
      <w:r w:rsidRPr="004676F5">
        <w:rPr>
          <w:lang w:val="de-DE"/>
        </w:rPr>
        <w:t>vom 24. April 2026),</w:t>
      </w:r>
    </w:p>
    <w:p w14:paraId="0392D705" w14:textId="77777777" w:rsidR="00872F21" w:rsidRPr="004676F5" w:rsidRDefault="00872F21" w:rsidP="00872F21">
      <w:pPr>
        <w:jc w:val="both"/>
        <w:rPr>
          <w:bCs/>
          <w:lang w:val="de-DE"/>
        </w:rPr>
      </w:pPr>
    </w:p>
    <w:p w14:paraId="67898398" w14:textId="3854990E" w:rsidR="00CB0045" w:rsidRDefault="00CB0045" w:rsidP="00D84929">
      <w:pPr>
        <w:jc w:val="both"/>
        <w:rPr>
          <w:bCs/>
          <w:lang w:val="de-DE"/>
        </w:rPr>
      </w:pPr>
      <w:r w:rsidRPr="004676F5">
        <w:rPr>
          <w:bCs/>
          <w:lang w:val="de-DE"/>
        </w:rPr>
        <w:t>-</w:t>
      </w:r>
      <w:r w:rsidR="00653843" w:rsidRPr="004676F5">
        <w:rPr>
          <w:bCs/>
          <w:lang w:val="de-DE"/>
        </w:rPr>
        <w:t> </w:t>
      </w:r>
      <w:r w:rsidRPr="004676F5">
        <w:rPr>
          <w:bCs/>
          <w:lang w:val="de-DE"/>
        </w:rPr>
        <w:t>das Gesetz vom 2. Dezember 2024 über die Nachhaltigkeitsberichterstattung von bestimmten Gesellschaften und Gruppen und die Bestätigung der Nachhaltigkeitsberichterstattung und zur Festlegung verschiedener Bestimmungen (</w:t>
      </w:r>
      <w:r w:rsidRPr="004676F5">
        <w:rPr>
          <w:bCs/>
          <w:i/>
          <w:lang w:val="de-DE"/>
        </w:rPr>
        <w:t xml:space="preserve">Belgisches Staatsblatt </w:t>
      </w:r>
      <w:r w:rsidRPr="004676F5">
        <w:rPr>
          <w:bCs/>
          <w:lang w:val="de-DE"/>
        </w:rPr>
        <w:t>vom 15. April 202</w:t>
      </w:r>
      <w:r w:rsidR="004D27AC" w:rsidRPr="004676F5">
        <w:rPr>
          <w:bCs/>
          <w:lang w:val="de-DE"/>
        </w:rPr>
        <w:t>6</w:t>
      </w:r>
      <w:r w:rsidRPr="004676F5">
        <w:rPr>
          <w:bCs/>
          <w:lang w:val="de-DE"/>
        </w:rPr>
        <w:t>)</w:t>
      </w:r>
      <w:r w:rsidR="003E12D4">
        <w:rPr>
          <w:bCs/>
          <w:lang w:val="de-DE"/>
        </w:rPr>
        <w:t>,</w:t>
      </w:r>
    </w:p>
    <w:p w14:paraId="7DBD62D6" w14:textId="77777777" w:rsidR="003E12D4" w:rsidRPr="004676F5" w:rsidRDefault="003E12D4" w:rsidP="00D84929">
      <w:pPr>
        <w:jc w:val="both"/>
        <w:rPr>
          <w:lang w:val="de-DE"/>
        </w:rPr>
      </w:pPr>
    </w:p>
    <w:p w14:paraId="6C933149" w14:textId="77777777" w:rsidR="003E12D4" w:rsidRPr="003E12D4" w:rsidRDefault="003E12D4" w:rsidP="003E12D4">
      <w:pPr>
        <w:jc w:val="both"/>
        <w:rPr>
          <w:bCs/>
          <w:lang w:val="de-DE"/>
        </w:rPr>
      </w:pPr>
      <w:r w:rsidRPr="003E12D4">
        <w:rPr>
          <w:bCs/>
          <w:lang w:val="de-DE"/>
        </w:rPr>
        <w:t>- das Gesetz vom 20. Dezember 2024 zur Umsetzung der Richtlinie (EU) 2021/2167 des Europäischen Parlaments und des Rates vom 24. November 2021 über Kreditdienstleister und Kreditkäufer sowie zur Änderung der Richtlinien 2008/48/EG und 2014/17/EU (</w:t>
      </w:r>
      <w:r w:rsidRPr="003E12D4">
        <w:rPr>
          <w:bCs/>
          <w:i/>
          <w:iCs/>
          <w:lang w:val="de-DE"/>
        </w:rPr>
        <w:t xml:space="preserve">Belgisches Staatsblatt </w:t>
      </w:r>
      <w:r w:rsidRPr="003E12D4">
        <w:rPr>
          <w:bCs/>
          <w:lang w:val="de-DE"/>
        </w:rPr>
        <w:t>vom 19. Juni 2026).</w:t>
      </w:r>
    </w:p>
    <w:p w14:paraId="1E2C6295" w14:textId="77777777" w:rsidR="00CE5BB7" w:rsidRPr="004676F5" w:rsidRDefault="00CE5BB7" w:rsidP="00D84929">
      <w:pPr>
        <w:jc w:val="both"/>
        <w:rPr>
          <w:bCs/>
          <w:lang w:val="de-DE"/>
        </w:rPr>
      </w:pPr>
    </w:p>
    <w:p w14:paraId="142BB482" w14:textId="4331D256" w:rsidR="00E064B4" w:rsidRPr="004676F5" w:rsidRDefault="000C0E31" w:rsidP="00E44C74">
      <w:pPr>
        <w:jc w:val="both"/>
        <w:rPr>
          <w:b/>
          <w:lang w:val="de-DE"/>
        </w:rPr>
      </w:pPr>
      <w:r w:rsidRPr="004676F5">
        <w:rPr>
          <w:lang w:val="de-DE"/>
        </w:rPr>
        <w:t>Diese Konsolidierung ist von der Zentralen Dienststelle für Deutsche Übersetzungen in Malmedy erstellt worden.</w:t>
      </w:r>
      <w:r w:rsidR="00E064B4" w:rsidRPr="004676F5">
        <w:rPr>
          <w:b/>
          <w:lang w:val="de-DE"/>
        </w:rPr>
        <w:br w:type="page"/>
      </w:r>
    </w:p>
    <w:p w14:paraId="6BB8A608" w14:textId="5EF29C79" w:rsidR="00F94546" w:rsidRPr="004676F5" w:rsidRDefault="00F94546" w:rsidP="00F94546">
      <w:pPr>
        <w:jc w:val="center"/>
        <w:rPr>
          <w:b/>
          <w:lang w:val="de-DE"/>
        </w:rPr>
      </w:pPr>
      <w:r w:rsidRPr="004676F5">
        <w:rPr>
          <w:b/>
          <w:lang w:val="de-DE"/>
        </w:rPr>
        <w:lastRenderedPageBreak/>
        <w:t xml:space="preserve">28. FEBRUAR 2013 </w:t>
      </w:r>
      <w:r w:rsidR="005B7A5C" w:rsidRPr="004676F5">
        <w:rPr>
          <w:b/>
          <w:lang w:val="de-DE"/>
        </w:rPr>
        <w:t>- </w:t>
      </w:r>
      <w:r w:rsidRPr="004676F5">
        <w:rPr>
          <w:b/>
          <w:lang w:val="de-DE"/>
        </w:rPr>
        <w:t>WIRTSCHAFTSGESETZBUCH</w:t>
      </w:r>
    </w:p>
    <w:p w14:paraId="25C673B3" w14:textId="77777777" w:rsidR="00F94546" w:rsidRPr="004676F5" w:rsidRDefault="00F94546" w:rsidP="00F94546">
      <w:pPr>
        <w:jc w:val="center"/>
        <w:rPr>
          <w:lang w:val="de-DE"/>
        </w:rPr>
      </w:pPr>
    </w:p>
    <w:p w14:paraId="495157FE" w14:textId="77777777" w:rsidR="00F94546" w:rsidRPr="004676F5" w:rsidRDefault="00F94546" w:rsidP="00F94546">
      <w:pPr>
        <w:jc w:val="center"/>
        <w:rPr>
          <w:lang w:val="de-DE"/>
        </w:rPr>
      </w:pPr>
    </w:p>
    <w:p w14:paraId="50A98D6E" w14:textId="1F288E53" w:rsidR="00F94546" w:rsidRPr="004676F5" w:rsidRDefault="00F94546" w:rsidP="00F94546">
      <w:pPr>
        <w:jc w:val="center"/>
        <w:rPr>
          <w:b/>
          <w:lang w:val="de-DE"/>
        </w:rPr>
      </w:pPr>
      <w:r w:rsidRPr="004676F5">
        <w:rPr>
          <w:b/>
          <w:lang w:val="de-DE"/>
        </w:rPr>
        <w:t>BUCH I </w:t>
      </w:r>
      <w:r w:rsidR="005B7A5C" w:rsidRPr="004676F5">
        <w:rPr>
          <w:b/>
          <w:lang w:val="de-DE"/>
        </w:rPr>
        <w:t>- </w:t>
      </w:r>
      <w:r w:rsidRPr="004676F5">
        <w:rPr>
          <w:b/>
          <w:lang w:val="de-DE"/>
        </w:rPr>
        <w:t>BEGRIFFSBESTIMMUNGEN</w:t>
      </w:r>
    </w:p>
    <w:p w14:paraId="13A38CDB" w14:textId="77777777" w:rsidR="00F94546" w:rsidRPr="004676F5" w:rsidRDefault="00F94546" w:rsidP="00F94546">
      <w:pPr>
        <w:jc w:val="center"/>
        <w:rPr>
          <w:lang w:val="de-DE"/>
        </w:rPr>
      </w:pPr>
    </w:p>
    <w:p w14:paraId="045F6383" w14:textId="77777777" w:rsidR="000C0E31" w:rsidRPr="004676F5" w:rsidRDefault="000C0E31" w:rsidP="00F94546">
      <w:pPr>
        <w:jc w:val="center"/>
        <w:rPr>
          <w:lang w:val="de-DE"/>
        </w:rPr>
      </w:pPr>
    </w:p>
    <w:p w14:paraId="5A7943AC" w14:textId="084B857C" w:rsidR="000C0E31" w:rsidRPr="004676F5" w:rsidRDefault="000C0E31" w:rsidP="000C0E31">
      <w:pPr>
        <w:jc w:val="center"/>
        <w:rPr>
          <w:b/>
          <w:lang w:val="de-DE"/>
        </w:rPr>
      </w:pPr>
      <w:r w:rsidRPr="004676F5">
        <w:rPr>
          <w:lang w:val="de-DE"/>
        </w:rPr>
        <w:t>[</w:t>
      </w:r>
      <w:r w:rsidRPr="004676F5">
        <w:rPr>
          <w:b/>
          <w:lang w:val="de-DE"/>
        </w:rPr>
        <w:t>TITEL 1 </w:t>
      </w:r>
      <w:r w:rsidR="005B7A5C" w:rsidRPr="004676F5">
        <w:rPr>
          <w:b/>
          <w:lang w:val="de-DE"/>
        </w:rPr>
        <w:t>- </w:t>
      </w:r>
      <w:r w:rsidRPr="004676F5">
        <w:rPr>
          <w:b/>
          <w:i/>
          <w:lang w:val="de-DE"/>
        </w:rPr>
        <w:t>Allgemeine Begriffsbestimmungen</w:t>
      </w:r>
    </w:p>
    <w:p w14:paraId="79260854" w14:textId="77777777" w:rsidR="000C0E31" w:rsidRPr="004676F5" w:rsidRDefault="000C0E31" w:rsidP="000C0E31">
      <w:pPr>
        <w:rPr>
          <w:lang w:val="de-DE"/>
        </w:rPr>
      </w:pPr>
    </w:p>
    <w:p w14:paraId="431A7F78" w14:textId="60B06E30" w:rsidR="000C0E31" w:rsidRPr="004676F5" w:rsidRDefault="000C0E31" w:rsidP="000C0E31">
      <w:pPr>
        <w:jc w:val="both"/>
        <w:rPr>
          <w:i/>
          <w:lang w:val="de-DE"/>
        </w:rPr>
      </w:pPr>
      <w:r w:rsidRPr="004676F5">
        <w:rPr>
          <w:i/>
          <w:lang w:val="de-DE"/>
        </w:rPr>
        <w:t>[Titel</w:t>
      </w:r>
      <w:r w:rsidR="00A12382" w:rsidRPr="004676F5">
        <w:rPr>
          <w:i/>
          <w:lang w:val="de-DE"/>
        </w:rPr>
        <w:t> </w:t>
      </w:r>
      <w:r w:rsidRPr="004676F5">
        <w:rPr>
          <w:i/>
          <w:lang w:val="de-DE"/>
        </w:rPr>
        <w:t xml:space="preserve">1 mit </w:t>
      </w:r>
      <w:r w:rsidR="00BE0A56" w:rsidRPr="004676F5">
        <w:rPr>
          <w:i/>
          <w:lang w:val="de-DE"/>
        </w:rPr>
        <w:t>Art. </w:t>
      </w:r>
      <w:r w:rsidRPr="004676F5">
        <w:rPr>
          <w:i/>
          <w:lang w:val="de-DE"/>
        </w:rPr>
        <w:t xml:space="preserve">I.1 eingefügt durch </w:t>
      </w:r>
      <w:r w:rsidR="00BE0A56" w:rsidRPr="004676F5">
        <w:rPr>
          <w:i/>
          <w:lang w:val="de-DE"/>
        </w:rPr>
        <w:t>Art. </w:t>
      </w:r>
      <w:r w:rsidRPr="004676F5">
        <w:rPr>
          <w:i/>
          <w:lang w:val="de-DE"/>
        </w:rPr>
        <w:t>2 des G. vom 7. November 2013 (B.S. vom 29. November 2013)]</w:t>
      </w:r>
    </w:p>
    <w:p w14:paraId="6A98E94C" w14:textId="77777777" w:rsidR="000C0E31" w:rsidRPr="004676F5" w:rsidRDefault="000C0E31" w:rsidP="000C0E31">
      <w:pPr>
        <w:rPr>
          <w:i/>
          <w:lang w:val="de-DE"/>
        </w:rPr>
      </w:pPr>
    </w:p>
    <w:p w14:paraId="073AE620" w14:textId="77777777" w:rsidR="000C0E31" w:rsidRPr="004676F5" w:rsidRDefault="000C0E31" w:rsidP="000C0E31">
      <w:pPr>
        <w:rPr>
          <w:i/>
          <w:lang w:val="de-DE"/>
        </w:rPr>
      </w:pPr>
    </w:p>
    <w:p w14:paraId="799B011C" w14:textId="17549641" w:rsidR="000C0E31" w:rsidRPr="004676F5" w:rsidRDefault="00AD3274" w:rsidP="000C0E31">
      <w:pPr>
        <w:ind w:firstLine="708"/>
        <w:jc w:val="both"/>
        <w:rPr>
          <w:lang w:val="de-DE"/>
        </w:rPr>
      </w:pPr>
      <w:r w:rsidRPr="004676F5">
        <w:rPr>
          <w:b/>
          <w:lang w:val="de-DE"/>
        </w:rPr>
        <w:t>Artikel I.</w:t>
      </w:r>
      <w:r w:rsidR="000C0E31" w:rsidRPr="004676F5">
        <w:rPr>
          <w:b/>
          <w:lang w:val="de-DE"/>
        </w:rPr>
        <w:t>1</w:t>
      </w:r>
      <w:r w:rsidR="000C0E31" w:rsidRPr="004676F5">
        <w:rPr>
          <w:lang w:val="de-DE"/>
        </w:rPr>
        <w:t> </w:t>
      </w:r>
      <w:r w:rsidR="005B7A5C" w:rsidRPr="004676F5">
        <w:rPr>
          <w:lang w:val="de-DE"/>
        </w:rPr>
        <w:t>- </w:t>
      </w:r>
      <w:r w:rsidR="000C0E31" w:rsidRPr="004676F5">
        <w:rPr>
          <w:lang w:val="de-DE"/>
        </w:rPr>
        <w:t xml:space="preserve">Vorbehaltlich anders lautender Bestimmung </w:t>
      </w:r>
      <w:r w:rsidR="000D428D" w:rsidRPr="004676F5">
        <w:rPr>
          <w:lang w:val="de-DE"/>
        </w:rPr>
        <w:t>[...]</w:t>
      </w:r>
      <w:r w:rsidR="000C0E31" w:rsidRPr="004676F5">
        <w:rPr>
          <w:lang w:val="de-DE"/>
        </w:rPr>
        <w:t xml:space="preserve"> gelten für die Anwendung des vorliegenden Gesetzbuches folgende Begriffsbestimmungen:</w:t>
      </w:r>
    </w:p>
    <w:p w14:paraId="4A8684CF" w14:textId="77777777" w:rsidR="000C0E31" w:rsidRPr="004676F5" w:rsidRDefault="000C0E31" w:rsidP="000C0E31">
      <w:pPr>
        <w:ind w:firstLine="708"/>
        <w:jc w:val="both"/>
        <w:rPr>
          <w:lang w:val="de-DE"/>
        </w:rPr>
      </w:pPr>
    </w:p>
    <w:p w14:paraId="3F90FB9B" w14:textId="77777777" w:rsidR="000D428D" w:rsidRPr="004676F5" w:rsidRDefault="000C0E31" w:rsidP="000D428D">
      <w:pPr>
        <w:ind w:firstLine="708"/>
        <w:jc w:val="both"/>
        <w:rPr>
          <w:lang w:val="de-DE"/>
        </w:rPr>
      </w:pPr>
      <w:r w:rsidRPr="004676F5">
        <w:rPr>
          <w:lang w:val="de-DE"/>
        </w:rPr>
        <w:t>1. </w:t>
      </w:r>
      <w:r w:rsidR="000D428D" w:rsidRPr="004676F5">
        <w:rPr>
          <w:lang w:val="de-DE"/>
        </w:rPr>
        <w:t>[Unternehmen: jede der folgenden Organisationen:</w:t>
      </w:r>
    </w:p>
    <w:p w14:paraId="38114984" w14:textId="77777777" w:rsidR="000D428D" w:rsidRPr="004676F5" w:rsidRDefault="000D428D" w:rsidP="000D428D">
      <w:pPr>
        <w:ind w:firstLine="708"/>
        <w:jc w:val="both"/>
        <w:rPr>
          <w:lang w:val="de-DE"/>
        </w:rPr>
      </w:pPr>
    </w:p>
    <w:p w14:paraId="0A3E2F7D" w14:textId="77777777" w:rsidR="000D428D" w:rsidRPr="004676F5" w:rsidRDefault="000D428D" w:rsidP="000D428D">
      <w:pPr>
        <w:ind w:firstLine="708"/>
        <w:jc w:val="both"/>
        <w:rPr>
          <w:lang w:val="de-DE"/>
        </w:rPr>
      </w:pPr>
      <w:r w:rsidRPr="004676F5">
        <w:rPr>
          <w:i/>
          <w:lang w:val="de-DE"/>
        </w:rPr>
        <w:t>(a)</w:t>
      </w:r>
      <w:r w:rsidRPr="004676F5">
        <w:rPr>
          <w:lang w:val="de-DE"/>
        </w:rPr>
        <w:t> natürliche Personen, die eine berufliche Tätigkeit als Selbständige ausüben,</w:t>
      </w:r>
    </w:p>
    <w:p w14:paraId="0EB07C6B" w14:textId="77777777" w:rsidR="000D428D" w:rsidRPr="004676F5" w:rsidRDefault="000D428D" w:rsidP="000D428D">
      <w:pPr>
        <w:ind w:firstLine="708"/>
        <w:jc w:val="both"/>
        <w:rPr>
          <w:lang w:val="de-DE"/>
        </w:rPr>
      </w:pPr>
    </w:p>
    <w:p w14:paraId="23A1DC94" w14:textId="77777777" w:rsidR="000D428D" w:rsidRPr="004676F5" w:rsidRDefault="000D428D" w:rsidP="000D428D">
      <w:pPr>
        <w:ind w:firstLine="708"/>
        <w:jc w:val="both"/>
        <w:rPr>
          <w:lang w:val="de-DE"/>
        </w:rPr>
      </w:pPr>
      <w:r w:rsidRPr="004676F5">
        <w:rPr>
          <w:i/>
          <w:lang w:val="de-DE"/>
        </w:rPr>
        <w:t>(b)</w:t>
      </w:r>
      <w:r w:rsidRPr="004676F5">
        <w:rPr>
          <w:lang w:val="de-DE"/>
        </w:rPr>
        <w:t> juristische Personen,</w:t>
      </w:r>
    </w:p>
    <w:p w14:paraId="1397ED17" w14:textId="77777777" w:rsidR="000D428D" w:rsidRPr="004676F5" w:rsidRDefault="000D428D" w:rsidP="000D428D">
      <w:pPr>
        <w:ind w:firstLine="708"/>
        <w:jc w:val="both"/>
        <w:rPr>
          <w:lang w:val="de-DE"/>
        </w:rPr>
      </w:pPr>
    </w:p>
    <w:p w14:paraId="466F3E3B" w14:textId="77777777" w:rsidR="000D428D" w:rsidRPr="004676F5" w:rsidRDefault="000D428D" w:rsidP="000D428D">
      <w:pPr>
        <w:ind w:firstLine="708"/>
        <w:jc w:val="both"/>
        <w:rPr>
          <w:lang w:val="de-DE"/>
        </w:rPr>
      </w:pPr>
      <w:r w:rsidRPr="004676F5">
        <w:rPr>
          <w:i/>
          <w:lang w:val="de-DE"/>
        </w:rPr>
        <w:t>(c)</w:t>
      </w:r>
      <w:r w:rsidRPr="004676F5">
        <w:rPr>
          <w:lang w:val="de-DE"/>
        </w:rPr>
        <w:t> andere Organisationen ohne Rechtspersönlichkeit.</w:t>
      </w:r>
    </w:p>
    <w:p w14:paraId="34B34416" w14:textId="77777777" w:rsidR="000D428D" w:rsidRPr="004676F5" w:rsidRDefault="000D428D" w:rsidP="000D428D">
      <w:pPr>
        <w:ind w:firstLine="708"/>
        <w:jc w:val="both"/>
        <w:rPr>
          <w:lang w:val="de-DE"/>
        </w:rPr>
      </w:pPr>
    </w:p>
    <w:p w14:paraId="5C47D3FC" w14:textId="77777777" w:rsidR="000D428D" w:rsidRPr="004676F5" w:rsidRDefault="000D428D" w:rsidP="000D428D">
      <w:pPr>
        <w:ind w:firstLine="708"/>
        <w:jc w:val="both"/>
        <w:rPr>
          <w:lang w:val="de-DE"/>
        </w:rPr>
      </w:pPr>
      <w:r w:rsidRPr="004676F5">
        <w:rPr>
          <w:lang w:val="de-DE"/>
        </w:rPr>
        <w:t>Sofern in den folgenden Büchern oder in anderen gesetzlichen Bestimmungen, die eine solche Anwendung vorsehen, nichts anderes festgelegt ist, sind ungeachtet des Vorhergehenden keine Unternehmen:</w:t>
      </w:r>
    </w:p>
    <w:p w14:paraId="4A9C5C23" w14:textId="77777777" w:rsidR="000D428D" w:rsidRPr="004676F5" w:rsidRDefault="000D428D" w:rsidP="000D428D">
      <w:pPr>
        <w:ind w:firstLine="708"/>
        <w:jc w:val="both"/>
        <w:rPr>
          <w:lang w:val="de-DE"/>
        </w:rPr>
      </w:pPr>
    </w:p>
    <w:p w14:paraId="6B8792A3" w14:textId="77777777" w:rsidR="000D428D" w:rsidRPr="004676F5" w:rsidRDefault="000D428D" w:rsidP="000D428D">
      <w:pPr>
        <w:ind w:firstLine="708"/>
        <w:jc w:val="both"/>
        <w:rPr>
          <w:lang w:val="de-DE"/>
        </w:rPr>
      </w:pPr>
      <w:r w:rsidRPr="004676F5">
        <w:rPr>
          <w:i/>
          <w:lang w:val="de-DE"/>
        </w:rPr>
        <w:t>(a)</w:t>
      </w:r>
      <w:r w:rsidRPr="004676F5">
        <w:rPr>
          <w:lang w:val="de-DE"/>
        </w:rPr>
        <w:t> Organisationen ohne Rechtspersönlichkeit, die kein Verteilungsziel verfolgen und tatsächlich keine Verteilung an ihre Mitglieder oder an Personen, die entscheidenden Einfluss auf die Organisationspolitik ausüben, vornehmen,</w:t>
      </w:r>
    </w:p>
    <w:p w14:paraId="4B1174F2" w14:textId="77777777" w:rsidR="000D428D" w:rsidRPr="004676F5" w:rsidRDefault="000D428D" w:rsidP="000D428D">
      <w:pPr>
        <w:ind w:firstLine="708"/>
        <w:jc w:val="both"/>
        <w:rPr>
          <w:lang w:val="de-DE"/>
        </w:rPr>
      </w:pPr>
    </w:p>
    <w:p w14:paraId="77C039F5" w14:textId="77777777" w:rsidR="000D428D" w:rsidRPr="004676F5" w:rsidRDefault="000D428D" w:rsidP="000D428D">
      <w:pPr>
        <w:ind w:firstLine="708"/>
        <w:jc w:val="both"/>
        <w:rPr>
          <w:lang w:val="de-DE"/>
        </w:rPr>
      </w:pPr>
      <w:r w:rsidRPr="004676F5">
        <w:rPr>
          <w:i/>
          <w:lang w:val="de-DE"/>
        </w:rPr>
        <w:t>(b) </w:t>
      </w:r>
      <w:r w:rsidRPr="004676F5">
        <w:rPr>
          <w:lang w:val="de-DE"/>
        </w:rPr>
        <w:t>juristische Personen des öffentlichen Rechts, die keine Waren oder Dienstleistungen auf einem Markt anbieten,</w:t>
      </w:r>
    </w:p>
    <w:p w14:paraId="247C683D" w14:textId="77777777" w:rsidR="000D428D" w:rsidRPr="004676F5" w:rsidRDefault="000D428D" w:rsidP="000D428D">
      <w:pPr>
        <w:ind w:firstLine="708"/>
        <w:jc w:val="both"/>
        <w:rPr>
          <w:lang w:val="de-DE"/>
        </w:rPr>
      </w:pPr>
    </w:p>
    <w:p w14:paraId="25A1D9EF" w14:textId="53B7A5EE" w:rsidR="000C0E31" w:rsidRPr="004676F5" w:rsidRDefault="000D428D" w:rsidP="000D428D">
      <w:pPr>
        <w:ind w:firstLine="708"/>
        <w:jc w:val="both"/>
        <w:rPr>
          <w:lang w:val="de-DE"/>
        </w:rPr>
      </w:pPr>
      <w:r w:rsidRPr="004676F5">
        <w:rPr>
          <w:i/>
          <w:lang w:val="de-DE"/>
        </w:rPr>
        <w:t>(c)</w:t>
      </w:r>
      <w:r w:rsidRPr="004676F5">
        <w:rPr>
          <w:lang w:val="de-DE"/>
        </w:rPr>
        <w:t> der Föderalstaat, die Regionen, die Gemeinschaften, die Provinzen, die Hilfeleistungszonen, die vorläufigen Zonen, die Brüsseler Agglomeration, die Gemeinden, die Mehrgemeindezonen, die intrakommunalen territorialen Organe, die Französische Gemeinschaftskommission, die Flämische Gemeinschaftskommission, die Gemeinsame Gemeinschaftskommission und die öffentlichen Sozialhilfezentren,]</w:t>
      </w:r>
    </w:p>
    <w:p w14:paraId="4D326C68" w14:textId="77777777" w:rsidR="000C0E31" w:rsidRPr="004676F5" w:rsidRDefault="000C0E31" w:rsidP="000C0E31">
      <w:pPr>
        <w:ind w:firstLine="708"/>
        <w:jc w:val="both"/>
        <w:rPr>
          <w:lang w:val="de-DE"/>
        </w:rPr>
      </w:pPr>
    </w:p>
    <w:p w14:paraId="2275AFAB" w14:textId="77777777" w:rsidR="000C0E31" w:rsidRPr="004676F5" w:rsidRDefault="000C0E31" w:rsidP="000C0E31">
      <w:pPr>
        <w:ind w:firstLine="708"/>
        <w:jc w:val="both"/>
        <w:rPr>
          <w:lang w:val="de-DE"/>
        </w:rPr>
      </w:pPr>
      <w:r w:rsidRPr="004676F5">
        <w:rPr>
          <w:lang w:val="de-DE"/>
        </w:rPr>
        <w:t>2. Verbraucher: natürliche Personen, die zu Zwecken handeln, die nicht ihrer gewerblichen, geschäftlichen, handwerklichen oder freiberuflichen Tätigkeit zugerechnet werden können,</w:t>
      </w:r>
    </w:p>
    <w:p w14:paraId="17E0FD74" w14:textId="77777777" w:rsidR="000C0E31" w:rsidRPr="004676F5" w:rsidRDefault="000C0E31" w:rsidP="000C0E31">
      <w:pPr>
        <w:ind w:firstLine="708"/>
        <w:jc w:val="both"/>
        <w:rPr>
          <w:lang w:val="de-DE"/>
        </w:rPr>
      </w:pPr>
    </w:p>
    <w:p w14:paraId="2D6805D0" w14:textId="77777777" w:rsidR="000C0E31" w:rsidRPr="004676F5" w:rsidRDefault="000C0E31" w:rsidP="000C0E31">
      <w:pPr>
        <w:ind w:firstLine="708"/>
        <w:jc w:val="both"/>
        <w:rPr>
          <w:lang w:val="de-DE"/>
        </w:rPr>
      </w:pPr>
      <w:r w:rsidRPr="004676F5">
        <w:rPr>
          <w:lang w:val="de-DE"/>
        </w:rPr>
        <w:t>3. Minister: für Wirtschaft zuständiger Minister,</w:t>
      </w:r>
    </w:p>
    <w:p w14:paraId="0AB3B8A9" w14:textId="77777777" w:rsidR="000C0E31" w:rsidRPr="004676F5" w:rsidRDefault="000C0E31" w:rsidP="000C0E31">
      <w:pPr>
        <w:jc w:val="both"/>
        <w:rPr>
          <w:lang w:val="de-DE"/>
        </w:rPr>
      </w:pPr>
    </w:p>
    <w:p w14:paraId="2BBFD26F" w14:textId="77777777" w:rsidR="000C0E31" w:rsidRPr="004676F5" w:rsidRDefault="000C0E31" w:rsidP="000C0E31">
      <w:pPr>
        <w:ind w:firstLine="708"/>
        <w:jc w:val="both"/>
        <w:rPr>
          <w:lang w:val="de-DE"/>
        </w:rPr>
      </w:pPr>
      <w:r w:rsidRPr="004676F5">
        <w:rPr>
          <w:lang w:val="de-DE"/>
        </w:rPr>
        <w:t>4. Produkte: Waren und Dienstleistungen, Immobilien, Rechte und Verpflichtungen,</w:t>
      </w:r>
    </w:p>
    <w:p w14:paraId="78F8B826" w14:textId="77777777" w:rsidR="000C0E31" w:rsidRPr="004676F5" w:rsidRDefault="000C0E31" w:rsidP="000C0E31">
      <w:pPr>
        <w:jc w:val="both"/>
        <w:rPr>
          <w:lang w:val="de-DE"/>
        </w:rPr>
      </w:pPr>
    </w:p>
    <w:p w14:paraId="78BD831C" w14:textId="77777777" w:rsidR="000C0E31" w:rsidRPr="004676F5" w:rsidRDefault="000C0E31" w:rsidP="000C0E31">
      <w:pPr>
        <w:ind w:firstLine="708"/>
        <w:jc w:val="both"/>
        <w:rPr>
          <w:lang w:val="de-DE"/>
        </w:rPr>
      </w:pPr>
      <w:r w:rsidRPr="004676F5">
        <w:rPr>
          <w:lang w:val="de-DE"/>
        </w:rPr>
        <w:t xml:space="preserve">5. Dienstleistungen: Leistungen, die von einem Unternehmen im Rahmen seiner gewerblichen Tätigkeit oder in Ausführung seines satzungsmäßigen Zwecks verrichtet werden, </w:t>
      </w:r>
    </w:p>
    <w:p w14:paraId="195BCC60" w14:textId="77777777" w:rsidR="000C0E31" w:rsidRPr="004676F5" w:rsidRDefault="000C0E31" w:rsidP="000C0E31">
      <w:pPr>
        <w:ind w:firstLine="708"/>
        <w:jc w:val="both"/>
        <w:rPr>
          <w:lang w:val="de-DE"/>
        </w:rPr>
      </w:pPr>
    </w:p>
    <w:p w14:paraId="71BC3472" w14:textId="77777777" w:rsidR="000C0E31" w:rsidRPr="004676F5" w:rsidRDefault="000C0E31" w:rsidP="000C0E31">
      <w:pPr>
        <w:ind w:firstLine="708"/>
        <w:jc w:val="both"/>
        <w:rPr>
          <w:lang w:val="de-DE"/>
        </w:rPr>
      </w:pPr>
      <w:r w:rsidRPr="004676F5">
        <w:rPr>
          <w:lang w:val="de-DE"/>
        </w:rPr>
        <w:lastRenderedPageBreak/>
        <w:t>6. Waren: bewegliche Sachgüter,</w:t>
      </w:r>
    </w:p>
    <w:p w14:paraId="5C34F4BF" w14:textId="77777777" w:rsidR="000C0E31" w:rsidRPr="004676F5" w:rsidRDefault="000C0E31" w:rsidP="000C0E31">
      <w:pPr>
        <w:jc w:val="both"/>
        <w:rPr>
          <w:lang w:val="de-DE"/>
        </w:rPr>
      </w:pPr>
    </w:p>
    <w:p w14:paraId="769E1CA0" w14:textId="770DC10A" w:rsidR="000C0E31" w:rsidRPr="004676F5" w:rsidRDefault="000C0E31" w:rsidP="000C0E31">
      <w:pPr>
        <w:ind w:firstLine="708"/>
        <w:jc w:val="both"/>
        <w:rPr>
          <w:lang w:val="de-DE"/>
        </w:rPr>
      </w:pPr>
      <w:r w:rsidRPr="004676F5">
        <w:rPr>
          <w:lang w:val="de-DE"/>
        </w:rPr>
        <w:t>7. Verhaltenskodex: Vereinbarung oder Vorschriftenkatalog, die beziehungsweise der nicht durch Gesetzes-, Verordnungs</w:t>
      </w:r>
      <w:r w:rsidR="005B7A5C" w:rsidRPr="004676F5">
        <w:rPr>
          <w:lang w:val="de-DE"/>
        </w:rPr>
        <w:t>- </w:t>
      </w:r>
      <w:r w:rsidRPr="004676F5">
        <w:rPr>
          <w:lang w:val="de-DE"/>
        </w:rPr>
        <w:t>oder Verwaltungsbestimmungen vorgeschrieben ist und das Verhalten der Unternehmen definiert, die sich in Bezug auf eine oder mehrere spezielle Geschäftspraktiken oder Wirtschaftszweige auf diesen Kodex verpflichten,</w:t>
      </w:r>
    </w:p>
    <w:p w14:paraId="2ABD0CC7" w14:textId="77777777" w:rsidR="000C0E31" w:rsidRPr="004676F5" w:rsidRDefault="000C0E31" w:rsidP="000C0E31">
      <w:pPr>
        <w:jc w:val="both"/>
        <w:rPr>
          <w:lang w:val="de-DE"/>
        </w:rPr>
      </w:pPr>
    </w:p>
    <w:p w14:paraId="31A00270" w14:textId="77777777" w:rsidR="000C0E31" w:rsidRPr="004676F5" w:rsidRDefault="000C0E31" w:rsidP="000C0E31">
      <w:pPr>
        <w:ind w:firstLine="708"/>
        <w:jc w:val="both"/>
        <w:rPr>
          <w:lang w:val="de-DE"/>
        </w:rPr>
      </w:pPr>
      <w:r w:rsidRPr="004676F5">
        <w:rPr>
          <w:lang w:val="de-DE"/>
        </w:rPr>
        <w:t>8. Mitgliedstaat: ein Mitgliedstaat der Europäischen Union oder, insofern das Abkommen über den Europäischen Wirtschaftsraum es vorsieht, ein Unterzeichnerstaat des Abkommens,</w:t>
      </w:r>
    </w:p>
    <w:p w14:paraId="628A5BDA" w14:textId="77777777" w:rsidR="000C0E31" w:rsidRPr="004676F5" w:rsidRDefault="000C0E31" w:rsidP="000C0E31">
      <w:pPr>
        <w:jc w:val="both"/>
        <w:rPr>
          <w:lang w:val="de-DE"/>
        </w:rPr>
      </w:pPr>
    </w:p>
    <w:p w14:paraId="70F299E0" w14:textId="77777777" w:rsidR="000C0E31" w:rsidRPr="004676F5" w:rsidRDefault="000C0E31" w:rsidP="000C0E31">
      <w:pPr>
        <w:ind w:firstLine="708"/>
        <w:jc w:val="both"/>
        <w:rPr>
          <w:lang w:val="de-DE"/>
        </w:rPr>
      </w:pPr>
      <w:r w:rsidRPr="004676F5">
        <w:rPr>
          <w:lang w:val="de-DE"/>
        </w:rPr>
        <w:t>9. Werktage: alle Kalendertage mit Ausnahme der Sonntage und der gesetzlichen Feiertage. Endet eine in Werktagen ausgedrückte Frist an einem Samstag, wird sie bis zum nächsten Werktag verlängert,</w:t>
      </w:r>
    </w:p>
    <w:p w14:paraId="260624DB" w14:textId="77777777" w:rsidR="000C0E31" w:rsidRPr="004676F5" w:rsidRDefault="000C0E31" w:rsidP="000C0E31">
      <w:pPr>
        <w:jc w:val="both"/>
        <w:rPr>
          <w:lang w:val="de-DE"/>
        </w:rPr>
      </w:pPr>
    </w:p>
    <w:p w14:paraId="54C0B069" w14:textId="77777777" w:rsidR="000C0E31" w:rsidRPr="004676F5" w:rsidRDefault="000C0E31" w:rsidP="000C0E31">
      <w:pPr>
        <w:ind w:firstLine="708"/>
        <w:jc w:val="both"/>
        <w:rPr>
          <w:lang w:val="de-DE"/>
        </w:rPr>
      </w:pPr>
      <w:r w:rsidRPr="004676F5">
        <w:rPr>
          <w:lang w:val="de-DE"/>
        </w:rPr>
        <w:t>10. Adresse: eine geographische Anschrift und gegebenenfalls eine elektronische Adresse,</w:t>
      </w:r>
    </w:p>
    <w:p w14:paraId="7F3C9797" w14:textId="77777777" w:rsidR="000C0E31" w:rsidRPr="004676F5" w:rsidRDefault="000C0E31" w:rsidP="000C0E31">
      <w:pPr>
        <w:jc w:val="both"/>
        <w:rPr>
          <w:lang w:val="de-DE"/>
        </w:rPr>
      </w:pPr>
    </w:p>
    <w:p w14:paraId="529067D4" w14:textId="77777777" w:rsidR="000C0E31" w:rsidRPr="004676F5" w:rsidRDefault="000C0E31" w:rsidP="000C0E31">
      <w:pPr>
        <w:ind w:firstLine="708"/>
        <w:jc w:val="both"/>
        <w:rPr>
          <w:lang w:val="de-DE"/>
        </w:rPr>
      </w:pPr>
      <w:r w:rsidRPr="004676F5">
        <w:rPr>
          <w:lang w:val="de-DE"/>
        </w:rPr>
        <w:t>11. elektronische Adresse: eine Gesamtheit von elektronischen Daten, mit denen eine Person kontaktiert werden kann,</w:t>
      </w:r>
    </w:p>
    <w:p w14:paraId="08EC001E" w14:textId="77777777" w:rsidR="000C0E31" w:rsidRPr="004676F5" w:rsidRDefault="000C0E31" w:rsidP="000C0E31">
      <w:pPr>
        <w:ind w:firstLine="708"/>
        <w:jc w:val="both"/>
        <w:rPr>
          <w:lang w:val="de-DE"/>
        </w:rPr>
      </w:pPr>
    </w:p>
    <w:p w14:paraId="60CD390B" w14:textId="77777777" w:rsidR="000C0E31" w:rsidRPr="004676F5" w:rsidRDefault="000C0E31" w:rsidP="000C0E31">
      <w:pPr>
        <w:ind w:firstLine="708"/>
        <w:jc w:val="both"/>
        <w:rPr>
          <w:lang w:val="de-DE"/>
        </w:rPr>
      </w:pPr>
      <w:r w:rsidRPr="004676F5">
        <w:rPr>
          <w:lang w:val="de-DE"/>
        </w:rPr>
        <w:t>12. geographische Anschrift: eine Gesamtheit von Geodaten, die gegebenenfalls Hausnummer, Straße, Postleitzahl und Gemeinde umfassen, wo eine Person eine Einrichtung hat oder kontaktiert werden kann,</w:t>
      </w:r>
    </w:p>
    <w:p w14:paraId="3C12330A" w14:textId="77777777" w:rsidR="000C0E31" w:rsidRPr="004676F5" w:rsidRDefault="000C0E31" w:rsidP="000C0E31">
      <w:pPr>
        <w:jc w:val="both"/>
        <w:rPr>
          <w:lang w:val="de-DE"/>
        </w:rPr>
      </w:pPr>
    </w:p>
    <w:p w14:paraId="213CCA85" w14:textId="77777777" w:rsidR="000C0E31" w:rsidRPr="004676F5" w:rsidRDefault="000C0E31" w:rsidP="000C0E31">
      <w:pPr>
        <w:ind w:firstLine="708"/>
        <w:jc w:val="both"/>
        <w:rPr>
          <w:lang w:val="de-DE"/>
        </w:rPr>
      </w:pPr>
      <w:r w:rsidRPr="004676F5">
        <w:rPr>
          <w:lang w:val="de-DE"/>
        </w:rPr>
        <w:t>13. FÖD Wirtschaft: Föderaler Öffentlicher Dienst Wirtschaf</w:t>
      </w:r>
      <w:r w:rsidR="002E1A56" w:rsidRPr="004676F5">
        <w:rPr>
          <w:lang w:val="de-DE"/>
        </w:rPr>
        <w:t>t, KMB, Mittelstand und Energie,</w:t>
      </w:r>
      <w:r w:rsidRPr="004676F5">
        <w:rPr>
          <w:lang w:val="de-DE"/>
        </w:rPr>
        <w:t>]</w:t>
      </w:r>
    </w:p>
    <w:p w14:paraId="34321986" w14:textId="77777777" w:rsidR="00FE4899" w:rsidRPr="004676F5" w:rsidRDefault="00FE4899" w:rsidP="000C0E31">
      <w:pPr>
        <w:ind w:firstLine="708"/>
        <w:jc w:val="both"/>
        <w:rPr>
          <w:lang w:val="de-DE"/>
        </w:rPr>
      </w:pPr>
    </w:p>
    <w:p w14:paraId="0109EEEB" w14:textId="4D00F539" w:rsidR="00FE4899" w:rsidRPr="004676F5" w:rsidRDefault="00FE4899" w:rsidP="000C0E31">
      <w:pPr>
        <w:ind w:firstLine="708"/>
        <w:jc w:val="both"/>
        <w:rPr>
          <w:lang w:val="de-DE"/>
        </w:rPr>
      </w:pPr>
      <w:r w:rsidRPr="004676F5">
        <w:rPr>
          <w:lang w:val="de-DE"/>
        </w:rPr>
        <w:t>[14. </w:t>
      </w:r>
      <w:r w:rsidR="000D428D" w:rsidRPr="004676F5">
        <w:rPr>
          <w:lang w:val="de-DE"/>
        </w:rPr>
        <w:t>[Freiberufler: ein Unternehmen, dessen Tätigkeit hauptsächlich darin besteht, unabhängig und in eigener Verantwortung geistige Leistungen zu erbringen, für die eine vorherige Ausbildung und eine Weiterbildung erforderlich sind, und das Verhaltensregeln unterliegt, deren Einhaltung von einer durch oder aufgrund des Gesetzes bestellten Disziplinareinrichtung durchgesetzt werden kann</w:t>
      </w:r>
      <w:r w:rsidR="0096152E" w:rsidRPr="004676F5">
        <w:rPr>
          <w:lang w:val="de-DE"/>
        </w:rPr>
        <w:t>,</w:t>
      </w:r>
      <w:r w:rsidR="000D428D" w:rsidRPr="004676F5">
        <w:rPr>
          <w:lang w:val="de-DE"/>
        </w:rPr>
        <w:t>]</w:t>
      </w:r>
      <w:r w:rsidRPr="004676F5">
        <w:rPr>
          <w:lang w:val="de-DE"/>
        </w:rPr>
        <w:t>]</w:t>
      </w:r>
    </w:p>
    <w:p w14:paraId="136948A8" w14:textId="77777777" w:rsidR="0096152E" w:rsidRPr="004676F5" w:rsidRDefault="0096152E" w:rsidP="000C0E31">
      <w:pPr>
        <w:ind w:firstLine="708"/>
        <w:jc w:val="both"/>
        <w:rPr>
          <w:lang w:val="de-DE"/>
        </w:rPr>
      </w:pPr>
    </w:p>
    <w:p w14:paraId="4841A5E5" w14:textId="0131A3F9" w:rsidR="0096152E" w:rsidRPr="004676F5" w:rsidRDefault="0096152E" w:rsidP="000C0E31">
      <w:pPr>
        <w:ind w:firstLine="708"/>
        <w:jc w:val="both"/>
        <w:rPr>
          <w:lang w:val="de-DE"/>
        </w:rPr>
      </w:pPr>
      <w:r w:rsidRPr="004676F5">
        <w:rPr>
          <w:lang w:val="de-DE"/>
        </w:rPr>
        <w:t>[</w:t>
      </w:r>
      <w:r w:rsidRPr="004676F5">
        <w:rPr>
          <w:rFonts w:eastAsia="Calibri"/>
          <w:szCs w:val="22"/>
          <w:lang w:val="de-DE" w:eastAsia="en-US"/>
        </w:rPr>
        <w:t>15. dauerhafter Datenträger: Medium, das es einer natürlichen oder juristischen Person gestattet, an sie persönlich gerichtete Informationen derart zu speichern, dass sie sie in der Folge für eine für die Zwecke der Informationen angemessene Dauer einsehen kann, und das die unveränderte Wiedergabe gespeicherter Informationen ermöglicht. Papier oder im digitalen Umfeld eine vom Empfänger empfangene E-Mail oder ein elektronisches Dokument, das auf einem Speichergerät gespeichert oder an eine vom Empfänger empfangene E-Mail angehängt ist, kann als dauerhafter Datenträger angesehen werden, sofern diese Funktionalitäten erhalten bleiben</w:t>
      </w:r>
      <w:r w:rsidR="00477C2A" w:rsidRPr="004676F5">
        <w:rPr>
          <w:rFonts w:eastAsia="Calibri"/>
          <w:szCs w:val="22"/>
          <w:lang w:val="de-DE" w:eastAsia="en-US"/>
        </w:rPr>
        <w:t>,</w:t>
      </w:r>
      <w:r w:rsidRPr="004676F5">
        <w:rPr>
          <w:lang w:val="de-DE"/>
        </w:rPr>
        <w:t>]</w:t>
      </w:r>
    </w:p>
    <w:p w14:paraId="1B45F2B0" w14:textId="77777777" w:rsidR="00477C2A" w:rsidRPr="004676F5" w:rsidRDefault="00477C2A" w:rsidP="000C0E31">
      <w:pPr>
        <w:ind w:firstLine="708"/>
        <w:jc w:val="both"/>
        <w:rPr>
          <w:lang w:val="de-DE"/>
        </w:rPr>
      </w:pPr>
    </w:p>
    <w:p w14:paraId="7EDE157D" w14:textId="77777777" w:rsidR="00A4783C" w:rsidRPr="004676F5" w:rsidRDefault="00A4783C" w:rsidP="00A4783C">
      <w:pPr>
        <w:ind w:firstLine="708"/>
        <w:jc w:val="both"/>
        <w:rPr>
          <w:lang w:val="de-DE"/>
        </w:rPr>
      </w:pPr>
      <w:r w:rsidRPr="004676F5">
        <w:rPr>
          <w:lang w:val="de-DE"/>
        </w:rPr>
        <w:t>[16. Umsatz für Unternehmen, die in Anwendung von Artikel III.85 eine vereinfachte Buchhaltung führen: Betrag der Einnahmen, einmalige Einnahmen ausgenommen,</w:t>
      </w:r>
    </w:p>
    <w:p w14:paraId="28EB5E1D" w14:textId="77777777" w:rsidR="00A4783C" w:rsidRPr="004676F5" w:rsidRDefault="00A4783C" w:rsidP="00A4783C">
      <w:pPr>
        <w:jc w:val="both"/>
        <w:rPr>
          <w:lang w:val="de-DE"/>
        </w:rPr>
      </w:pPr>
    </w:p>
    <w:p w14:paraId="65364951" w14:textId="70429622" w:rsidR="00477C2A" w:rsidRPr="004676F5" w:rsidRDefault="00A4783C" w:rsidP="00A4783C">
      <w:pPr>
        <w:ind w:firstLine="708"/>
        <w:jc w:val="both"/>
        <w:rPr>
          <w:lang w:val="de-DE"/>
        </w:rPr>
      </w:pPr>
      <w:r w:rsidRPr="004676F5">
        <w:rPr>
          <w:lang w:val="de-DE"/>
        </w:rPr>
        <w:t>17. Bilanzsumme für Unternehmen, die in Anwendung von Artikel III.85 eine vereinfachte Buchhaltung führen: höchster der beiden Beträge, die unter Vermögenswerten beziehungsweise Schulden verbucht sind,]</w:t>
      </w:r>
    </w:p>
    <w:p w14:paraId="7ED84041" w14:textId="77777777" w:rsidR="00477C2A" w:rsidRPr="004676F5" w:rsidRDefault="00477C2A" w:rsidP="000C0E31">
      <w:pPr>
        <w:ind w:firstLine="708"/>
        <w:jc w:val="both"/>
        <w:rPr>
          <w:lang w:val="de-DE"/>
        </w:rPr>
      </w:pPr>
    </w:p>
    <w:p w14:paraId="06133532" w14:textId="7B57D79F" w:rsidR="00477C2A" w:rsidRPr="004676F5" w:rsidRDefault="00477C2A" w:rsidP="00477C2A">
      <w:pPr>
        <w:jc w:val="both"/>
        <w:rPr>
          <w:lang w:val="de-DE"/>
        </w:rPr>
      </w:pPr>
      <w:r w:rsidRPr="004676F5">
        <w:rPr>
          <w:lang w:val="de-DE"/>
        </w:rPr>
        <w:lastRenderedPageBreak/>
        <w:tab/>
        <w:t>[18. personenbezogene Daten: personenbezogene Daten im Sinne von Artikel 4 Nr. 1 der Verordnung (EU) 2016/679 des Europäischen Parlaments und des Rates vom 27. April 2016 zum Schutz natürlicher Personen bei der Verarbeitung personenbezogener Daten, zum freien Datenverkehr und zur Aufhebung der Richtlinie 95/46/EG.]</w:t>
      </w:r>
    </w:p>
    <w:p w14:paraId="32826B5E" w14:textId="7068459D" w:rsidR="00BC0787" w:rsidRPr="004676F5" w:rsidRDefault="00BC0787" w:rsidP="000C0E31">
      <w:pPr>
        <w:ind w:firstLine="708"/>
        <w:jc w:val="both"/>
        <w:rPr>
          <w:lang w:val="de-DE"/>
        </w:rPr>
      </w:pPr>
    </w:p>
    <w:p w14:paraId="700C52FB" w14:textId="35022198" w:rsidR="0096152E" w:rsidRPr="004676F5" w:rsidRDefault="0096152E" w:rsidP="000C0E31">
      <w:pPr>
        <w:ind w:firstLine="708"/>
        <w:jc w:val="both"/>
        <w:rPr>
          <w:lang w:val="de-DE"/>
        </w:rPr>
      </w:pPr>
      <w:r w:rsidRPr="004676F5">
        <w:rPr>
          <w:lang w:val="de-DE"/>
        </w:rPr>
        <w:t>[</w:t>
      </w:r>
      <w:r w:rsidRPr="004676F5">
        <w:rPr>
          <w:rFonts w:eastAsia="Calibri"/>
          <w:szCs w:val="22"/>
          <w:lang w:val="de-DE" w:eastAsia="en-US"/>
        </w:rPr>
        <w:t>Wenn der Begriff "dauerhafter Datenträger" in einer Gesetzes</w:t>
      </w:r>
      <w:r w:rsidR="005B7A5C" w:rsidRPr="004676F5">
        <w:rPr>
          <w:rFonts w:eastAsia="Calibri"/>
          <w:szCs w:val="22"/>
          <w:lang w:val="de-DE" w:eastAsia="en-US"/>
        </w:rPr>
        <w:t>- </w:t>
      </w:r>
      <w:r w:rsidRPr="004676F5">
        <w:rPr>
          <w:rFonts w:eastAsia="Calibri"/>
          <w:szCs w:val="22"/>
          <w:lang w:val="de-DE" w:eastAsia="en-US"/>
        </w:rPr>
        <w:t>oder Verordnungsbestimmung vorkommt, ist davon auszugehen, dass der Begriff gemäß der Begriffsbestimmung in Absatz 1 Nr. 15 definiert ist.</w:t>
      </w:r>
      <w:r w:rsidRPr="004676F5">
        <w:rPr>
          <w:lang w:val="de-DE"/>
        </w:rPr>
        <w:t>]</w:t>
      </w:r>
    </w:p>
    <w:p w14:paraId="2FDDE053" w14:textId="77777777" w:rsidR="0096152E" w:rsidRPr="004676F5" w:rsidRDefault="0096152E" w:rsidP="000C0E31">
      <w:pPr>
        <w:ind w:firstLine="708"/>
        <w:jc w:val="both"/>
        <w:rPr>
          <w:lang w:val="de-DE"/>
        </w:rPr>
      </w:pPr>
    </w:p>
    <w:p w14:paraId="383124B9" w14:textId="6471B36E" w:rsidR="00BC0787" w:rsidRPr="004676F5" w:rsidRDefault="00BC0787" w:rsidP="000C0E31">
      <w:pPr>
        <w:ind w:firstLine="708"/>
        <w:jc w:val="both"/>
        <w:rPr>
          <w:lang w:val="de-DE"/>
        </w:rPr>
      </w:pPr>
      <w:r w:rsidRPr="004676F5">
        <w:rPr>
          <w:lang w:val="de-DE"/>
        </w:rPr>
        <w:t>[Absatz 1 Nr. 1, 4 und 5 findet keine Anwendung auf Buch XI. Absatz 1 Nr. 8 findet keine Anwendung auf Buch XI Titel 3 bis 8.]</w:t>
      </w:r>
    </w:p>
    <w:p w14:paraId="751F5A8D" w14:textId="77777777" w:rsidR="00FE4899" w:rsidRPr="004676F5" w:rsidRDefault="00FE4899" w:rsidP="000C0E31">
      <w:pPr>
        <w:ind w:firstLine="708"/>
        <w:jc w:val="both"/>
        <w:rPr>
          <w:lang w:val="de-DE"/>
        </w:rPr>
      </w:pPr>
    </w:p>
    <w:p w14:paraId="4EE1C15E" w14:textId="0DA93103" w:rsidR="00FE4899" w:rsidRPr="004676F5" w:rsidRDefault="00FE4899" w:rsidP="00FE4899">
      <w:pPr>
        <w:jc w:val="both"/>
        <w:rPr>
          <w:i/>
          <w:lang w:val="de-DE"/>
        </w:rPr>
      </w:pPr>
      <w:r w:rsidRPr="004676F5">
        <w:rPr>
          <w:i/>
          <w:lang w:val="de-DE"/>
        </w:rPr>
        <w:t>[</w:t>
      </w:r>
      <w:r w:rsidR="00BE0A56" w:rsidRPr="004676F5">
        <w:rPr>
          <w:i/>
          <w:lang w:val="de-DE"/>
        </w:rPr>
        <w:t>Art. </w:t>
      </w:r>
      <w:r w:rsidRPr="004676F5">
        <w:rPr>
          <w:i/>
          <w:lang w:val="de-DE"/>
        </w:rPr>
        <w:t xml:space="preserve">I.1 </w:t>
      </w:r>
      <w:r w:rsidR="00BC0787" w:rsidRPr="004676F5">
        <w:rPr>
          <w:i/>
          <w:lang w:val="de-DE"/>
        </w:rPr>
        <w:t>Abs. 1</w:t>
      </w:r>
      <w:r w:rsidR="000D428D" w:rsidRPr="004676F5">
        <w:rPr>
          <w:i/>
          <w:lang w:val="de-DE"/>
        </w:rPr>
        <w:t xml:space="preserve"> einleitende Bestimmung abgeändert durch Art. 35 Buchstabe a)</w:t>
      </w:r>
      <w:r w:rsidR="000D428D" w:rsidRPr="004676F5">
        <w:rPr>
          <w:i/>
          <w:iCs/>
          <w:lang w:val="de-DE"/>
        </w:rPr>
        <w:t xml:space="preserve"> des G. vom 15. April 2018 (B.S. vom 27. April 2018); </w:t>
      </w:r>
      <w:r w:rsidR="00BC0787" w:rsidRPr="004676F5">
        <w:rPr>
          <w:i/>
          <w:iCs/>
          <w:lang w:val="de-DE"/>
        </w:rPr>
        <w:t>Abs. 1</w:t>
      </w:r>
      <w:r w:rsidR="000D428D" w:rsidRPr="004676F5">
        <w:rPr>
          <w:i/>
          <w:iCs/>
          <w:lang w:val="de-DE"/>
        </w:rPr>
        <w:t xml:space="preserve"> Nr. 1 ersetzt durch Art. 35 Buchstabe b) des G. vom 15. April 2018 (B.S. vom 27. April 2018); </w:t>
      </w:r>
      <w:r w:rsidR="00BC0787" w:rsidRPr="004676F5">
        <w:rPr>
          <w:i/>
          <w:lang w:val="de-DE"/>
        </w:rPr>
        <w:t>Abs. 1</w:t>
      </w:r>
      <w:r w:rsidRPr="004676F5">
        <w:rPr>
          <w:i/>
          <w:lang w:val="de-DE"/>
        </w:rPr>
        <w:t xml:space="preserve"> Nr. 14 eingefügt durch </w:t>
      </w:r>
      <w:r w:rsidR="00BE0A56" w:rsidRPr="004676F5">
        <w:rPr>
          <w:i/>
          <w:lang w:val="de-DE"/>
        </w:rPr>
        <w:t>Art. </w:t>
      </w:r>
      <w:r w:rsidRPr="004676F5">
        <w:rPr>
          <w:i/>
          <w:lang w:val="de-DE"/>
        </w:rPr>
        <w:t>65</w:t>
      </w:r>
      <w:r w:rsidRPr="004676F5">
        <w:rPr>
          <w:i/>
          <w:iCs/>
          <w:lang w:val="de-DE"/>
        </w:rPr>
        <w:t xml:space="preserve"> des G. vom 11. August 2017 (B.S. vom 11. September 2017)</w:t>
      </w:r>
      <w:r w:rsidR="000D428D" w:rsidRPr="004676F5">
        <w:rPr>
          <w:i/>
          <w:iCs/>
          <w:lang w:val="de-DE"/>
        </w:rPr>
        <w:t xml:space="preserve"> und ersetzt durch Art. 35 Buchstabe c) des G. vom 15. April 2018 (B.S. vom 27. April 2018)</w:t>
      </w:r>
      <w:r w:rsidR="00BC0787" w:rsidRPr="004676F5">
        <w:rPr>
          <w:i/>
          <w:iCs/>
          <w:lang w:val="de-DE"/>
        </w:rPr>
        <w:t xml:space="preserve">; </w:t>
      </w:r>
      <w:r w:rsidR="0096152E" w:rsidRPr="004676F5">
        <w:rPr>
          <w:i/>
          <w:iCs/>
          <w:lang w:val="de-DE"/>
        </w:rPr>
        <w:t xml:space="preserve">Abs. 1 Nr. 15 eingefügt durch Art. 3 Nr. 1 des G. vom 20. September 2018 (B.S. vom 10. Oktober 2018); </w:t>
      </w:r>
      <w:r w:rsidR="00A4783C" w:rsidRPr="004676F5">
        <w:rPr>
          <w:i/>
          <w:iCs/>
          <w:lang w:val="de-DE"/>
        </w:rPr>
        <w:t xml:space="preserve">Abs. 1 Nr. 16 und 17 eingefügt durch Art. 27 des G. vom 23. März 2019 (B.S. vom 4. April 2019); </w:t>
      </w:r>
      <w:r w:rsidR="00477C2A" w:rsidRPr="004676F5">
        <w:rPr>
          <w:i/>
          <w:iCs/>
          <w:lang w:val="de-DE"/>
        </w:rPr>
        <w:t xml:space="preserve">Abs. 1 Nr. 18 eingefügt durch Art. 3 des G. vom 8. Mai 2022 (B.S. vom 2. Juni 2022); </w:t>
      </w:r>
      <w:r w:rsidR="0096152E" w:rsidRPr="004676F5">
        <w:rPr>
          <w:i/>
          <w:iCs/>
          <w:lang w:val="de-DE"/>
        </w:rPr>
        <w:t xml:space="preserve">neuer Absatz 2 eingefügt durch Art. 3 Nr. 2 des G. vom 20. September 2018 (B.S. vom 10. Oktober 2018); </w:t>
      </w:r>
      <w:r w:rsidR="00BC0787" w:rsidRPr="004676F5">
        <w:rPr>
          <w:i/>
          <w:iCs/>
          <w:lang w:val="de-DE"/>
        </w:rPr>
        <w:t>Abs. </w:t>
      </w:r>
      <w:r w:rsidR="0096152E" w:rsidRPr="004676F5">
        <w:rPr>
          <w:i/>
          <w:iCs/>
          <w:lang w:val="de-DE"/>
        </w:rPr>
        <w:t>3 (früherer Absatz 2)</w:t>
      </w:r>
      <w:r w:rsidR="00BC0787" w:rsidRPr="004676F5">
        <w:rPr>
          <w:i/>
          <w:iCs/>
          <w:lang w:val="de-DE"/>
        </w:rPr>
        <w:t xml:space="preserve"> e</w:t>
      </w:r>
      <w:r w:rsidR="00604C37" w:rsidRPr="004676F5">
        <w:rPr>
          <w:i/>
          <w:iCs/>
          <w:lang w:val="de-DE"/>
        </w:rPr>
        <w:t>rsetz</w:t>
      </w:r>
      <w:r w:rsidR="00BC0787" w:rsidRPr="004676F5">
        <w:rPr>
          <w:i/>
          <w:iCs/>
          <w:lang w:val="de-DE"/>
        </w:rPr>
        <w:t xml:space="preserve">t durch Art. 3 des G. vom </w:t>
      </w:r>
      <w:r w:rsidR="00604C37" w:rsidRPr="004676F5">
        <w:rPr>
          <w:i/>
          <w:iCs/>
          <w:lang w:val="de-DE"/>
        </w:rPr>
        <w:t>8. Juli 2018 (B.S. vom 19. Juli 2018)</w:t>
      </w:r>
      <w:r w:rsidRPr="004676F5">
        <w:rPr>
          <w:i/>
          <w:iCs/>
          <w:lang w:val="de-DE"/>
        </w:rPr>
        <w:t>]</w:t>
      </w:r>
    </w:p>
    <w:p w14:paraId="45C418FA" w14:textId="77777777" w:rsidR="000C0E31" w:rsidRPr="004676F5" w:rsidRDefault="000C0E31" w:rsidP="000C0E31">
      <w:pPr>
        <w:jc w:val="center"/>
        <w:rPr>
          <w:lang w:val="de-DE"/>
        </w:rPr>
      </w:pPr>
    </w:p>
    <w:p w14:paraId="0EFF02E5" w14:textId="77777777" w:rsidR="000C0E31" w:rsidRPr="004676F5" w:rsidRDefault="000C0E31" w:rsidP="000C0E31">
      <w:pPr>
        <w:jc w:val="center"/>
        <w:rPr>
          <w:lang w:val="de-DE"/>
        </w:rPr>
      </w:pPr>
    </w:p>
    <w:p w14:paraId="681EB706" w14:textId="77777777" w:rsidR="00F94546" w:rsidRPr="004676F5" w:rsidRDefault="00F94546" w:rsidP="00F94546">
      <w:pPr>
        <w:jc w:val="center"/>
        <w:rPr>
          <w:lang w:val="de-DE"/>
        </w:rPr>
      </w:pPr>
    </w:p>
    <w:p w14:paraId="7D6044FB" w14:textId="77777777" w:rsidR="000C0E31" w:rsidRPr="004676F5" w:rsidRDefault="000C0E31">
      <w:pPr>
        <w:rPr>
          <w:b/>
          <w:lang w:val="de-DE"/>
        </w:rPr>
      </w:pPr>
      <w:r w:rsidRPr="004676F5">
        <w:rPr>
          <w:b/>
          <w:lang w:val="de-DE"/>
        </w:rPr>
        <w:br w:type="page"/>
      </w:r>
    </w:p>
    <w:p w14:paraId="71434F49" w14:textId="12230949" w:rsidR="00F94546" w:rsidRPr="004676F5" w:rsidRDefault="00F94546" w:rsidP="00F94546">
      <w:pPr>
        <w:jc w:val="center"/>
        <w:rPr>
          <w:b/>
          <w:i/>
          <w:lang w:val="de-DE"/>
        </w:rPr>
      </w:pPr>
      <w:r w:rsidRPr="004676F5">
        <w:rPr>
          <w:b/>
          <w:lang w:val="de-DE"/>
        </w:rPr>
        <w:lastRenderedPageBreak/>
        <w:t>TITEL 2 </w:t>
      </w:r>
      <w:r w:rsidR="005B7A5C" w:rsidRPr="004676F5">
        <w:rPr>
          <w:b/>
          <w:lang w:val="de-DE"/>
        </w:rPr>
        <w:t>- </w:t>
      </w:r>
      <w:r w:rsidRPr="004676F5">
        <w:rPr>
          <w:b/>
          <w:i/>
          <w:lang w:val="de-DE"/>
        </w:rPr>
        <w:t>Bestimmten Büchern eigene Begriffsbestimmungen</w:t>
      </w:r>
    </w:p>
    <w:p w14:paraId="3E459855" w14:textId="77777777" w:rsidR="00F94546" w:rsidRPr="004676F5" w:rsidRDefault="00F94546" w:rsidP="00F94546">
      <w:pPr>
        <w:jc w:val="center"/>
        <w:rPr>
          <w:b/>
          <w:lang w:val="de-DE"/>
        </w:rPr>
      </w:pPr>
    </w:p>
    <w:p w14:paraId="0EF1D59D" w14:textId="77777777" w:rsidR="00F94546" w:rsidRPr="004676F5" w:rsidRDefault="00F94546" w:rsidP="00F94546">
      <w:pPr>
        <w:jc w:val="center"/>
        <w:rPr>
          <w:b/>
          <w:lang w:val="de-DE"/>
        </w:rPr>
      </w:pPr>
    </w:p>
    <w:p w14:paraId="6E9CAE9D" w14:textId="49F98F97" w:rsidR="009D749E" w:rsidRPr="004676F5" w:rsidRDefault="009D749E" w:rsidP="009D749E">
      <w:pPr>
        <w:jc w:val="center"/>
        <w:rPr>
          <w:lang w:val="de-DE"/>
        </w:rPr>
      </w:pPr>
      <w:r w:rsidRPr="004676F5">
        <w:rPr>
          <w:lang w:val="de-DE"/>
        </w:rPr>
        <w:t>[KAPITEL 1 </w:t>
      </w:r>
      <w:r w:rsidR="005B7A5C" w:rsidRPr="004676F5">
        <w:rPr>
          <w:lang w:val="de-DE"/>
        </w:rPr>
        <w:t>- </w:t>
      </w:r>
      <w:r w:rsidRPr="004676F5">
        <w:rPr>
          <w:i/>
          <w:lang w:val="de-DE"/>
        </w:rPr>
        <w:t>Begriffsbestimmungen Buch III</w:t>
      </w:r>
    </w:p>
    <w:p w14:paraId="0BE3C149" w14:textId="77777777" w:rsidR="009D749E" w:rsidRPr="004676F5" w:rsidRDefault="009D749E" w:rsidP="009D749E">
      <w:pPr>
        <w:jc w:val="both"/>
        <w:rPr>
          <w:lang w:val="de-DE"/>
        </w:rPr>
      </w:pPr>
    </w:p>
    <w:p w14:paraId="3B7AD7ED" w14:textId="6EE3D1CA" w:rsidR="009D749E" w:rsidRPr="004676F5" w:rsidRDefault="009D749E" w:rsidP="009D749E">
      <w:pPr>
        <w:jc w:val="both"/>
        <w:rPr>
          <w:i/>
          <w:lang w:val="de-DE"/>
        </w:rPr>
      </w:pPr>
      <w:r w:rsidRPr="004676F5">
        <w:rPr>
          <w:i/>
          <w:lang w:val="de-DE"/>
        </w:rPr>
        <w:t xml:space="preserve">[Kapitel 1 mit den Artikeln I.2 bis I.5 eingefügt durch </w:t>
      </w:r>
      <w:r w:rsidR="00BE0A56" w:rsidRPr="004676F5">
        <w:rPr>
          <w:i/>
          <w:lang w:val="de-DE"/>
        </w:rPr>
        <w:t>Art. </w:t>
      </w:r>
      <w:r w:rsidRPr="004676F5">
        <w:rPr>
          <w:i/>
          <w:lang w:val="de-DE"/>
        </w:rPr>
        <w:t>2 des G. vom 17. Juli 2013 (B.S. vom 14. August 2013)]</w:t>
      </w:r>
    </w:p>
    <w:p w14:paraId="72BA60BB" w14:textId="77777777" w:rsidR="009D749E" w:rsidRPr="004676F5" w:rsidRDefault="009D749E" w:rsidP="009D749E">
      <w:pPr>
        <w:jc w:val="both"/>
        <w:rPr>
          <w:i/>
          <w:lang w:val="de-DE"/>
        </w:rPr>
      </w:pPr>
    </w:p>
    <w:p w14:paraId="731DEAA1" w14:textId="77777777" w:rsidR="009D749E" w:rsidRPr="004676F5" w:rsidRDefault="009D749E" w:rsidP="009D749E">
      <w:pPr>
        <w:jc w:val="both"/>
        <w:rPr>
          <w:i/>
          <w:lang w:val="de-DE"/>
        </w:rPr>
      </w:pPr>
    </w:p>
    <w:p w14:paraId="5DBF16B3" w14:textId="3E9443E2" w:rsidR="009D749E" w:rsidRPr="004676F5" w:rsidRDefault="009D749E" w:rsidP="009D749E">
      <w:pPr>
        <w:jc w:val="both"/>
        <w:rPr>
          <w:lang w:val="de-DE"/>
        </w:rPr>
      </w:pPr>
      <w:r w:rsidRPr="004676F5">
        <w:rPr>
          <w:lang w:val="de-DE"/>
        </w:rPr>
        <w:tab/>
      </w:r>
      <w:r w:rsidR="00BE0A56" w:rsidRPr="004676F5">
        <w:rPr>
          <w:b/>
          <w:lang w:val="de-DE"/>
        </w:rPr>
        <w:t>Art. </w:t>
      </w:r>
      <w:r w:rsidRPr="004676F5">
        <w:rPr>
          <w:b/>
          <w:lang w:val="de-DE"/>
        </w:rPr>
        <w:t>I.2</w:t>
      </w:r>
      <w:r w:rsidRPr="004676F5">
        <w:rPr>
          <w:lang w:val="de-DE"/>
        </w:rPr>
        <w:t> </w:t>
      </w:r>
      <w:r w:rsidR="005B7A5C" w:rsidRPr="004676F5">
        <w:rPr>
          <w:lang w:val="de-DE"/>
        </w:rPr>
        <w:t>- </w:t>
      </w:r>
      <w:r w:rsidRPr="004676F5">
        <w:rPr>
          <w:lang w:val="de-DE"/>
        </w:rPr>
        <w:t>Folgende Begriffsbestimmungen gelten für Buch III:</w:t>
      </w:r>
    </w:p>
    <w:p w14:paraId="06D6C6BE" w14:textId="77777777" w:rsidR="009D749E" w:rsidRPr="004676F5" w:rsidRDefault="009D749E" w:rsidP="009D749E">
      <w:pPr>
        <w:jc w:val="both"/>
        <w:rPr>
          <w:lang w:val="de-DE"/>
        </w:rPr>
      </w:pPr>
    </w:p>
    <w:p w14:paraId="78932835" w14:textId="77777777" w:rsidR="009D749E" w:rsidRPr="004676F5" w:rsidRDefault="009D749E" w:rsidP="009D749E">
      <w:pPr>
        <w:jc w:val="both"/>
        <w:rPr>
          <w:lang w:val="de-DE"/>
        </w:rPr>
      </w:pPr>
      <w:r w:rsidRPr="004676F5">
        <w:rPr>
          <w:lang w:val="de-DE"/>
        </w:rPr>
        <w:tab/>
        <w:t>1. Zentrale Datenbank der Unternehmen: beim Föderalen Öffentlichen Dienst Wirtschaft, KMB, Mittelstand und Energie geschaffenes Register, das mit den in Artikel III.15 erwähnten Aufgaben beauftragt ist,</w:t>
      </w:r>
    </w:p>
    <w:p w14:paraId="407A7A81" w14:textId="77777777" w:rsidR="009D749E" w:rsidRPr="004676F5" w:rsidRDefault="009D749E" w:rsidP="009D749E">
      <w:pPr>
        <w:jc w:val="both"/>
        <w:rPr>
          <w:lang w:val="de-DE"/>
        </w:rPr>
      </w:pPr>
    </w:p>
    <w:p w14:paraId="35BA8D71" w14:textId="7BCC0C68" w:rsidR="009D749E" w:rsidRPr="004676F5" w:rsidRDefault="009D749E" w:rsidP="009D749E">
      <w:pPr>
        <w:jc w:val="both"/>
        <w:rPr>
          <w:lang w:val="de-DE"/>
        </w:rPr>
      </w:pPr>
      <w:r w:rsidRPr="004676F5">
        <w:rPr>
          <w:lang w:val="de-DE"/>
        </w:rPr>
        <w:tab/>
        <w:t>2. zuständige Behörde: Stelle oder Behörde, die eine Kontroll</w:t>
      </w:r>
      <w:r w:rsidR="005B7A5C" w:rsidRPr="004676F5">
        <w:rPr>
          <w:lang w:val="de-DE"/>
        </w:rPr>
        <w:t>- </w:t>
      </w:r>
      <w:r w:rsidRPr="004676F5">
        <w:rPr>
          <w:lang w:val="de-DE"/>
        </w:rPr>
        <w:t>oder Regulierungs</w:t>
      </w:r>
      <w:r w:rsidRPr="004676F5">
        <w:rPr>
          <w:lang w:val="de-DE"/>
        </w:rPr>
        <w:softHyphen/>
        <w:t>funktion für Dienstleistungstätigkeiten innehat, insbesondere Verwaltungsbehörden, einschließlich der als Verwaltungsbehörden fungierenden Gerichte, der Berufsverbände oder sonstigen Berufsorganisationen, die im Rahmen ihrer Rechtsautonomie die Aufnahme oder Ausübung einer Dienstleistungstätigkeit kollektiv regeln,</w:t>
      </w:r>
    </w:p>
    <w:p w14:paraId="50D0F514" w14:textId="77777777" w:rsidR="00D84EB4" w:rsidRPr="004676F5" w:rsidRDefault="00D84EB4" w:rsidP="009D749E">
      <w:pPr>
        <w:jc w:val="both"/>
        <w:rPr>
          <w:lang w:val="de-DE"/>
        </w:rPr>
      </w:pPr>
    </w:p>
    <w:p w14:paraId="7B56CF9D" w14:textId="77777777" w:rsidR="009D749E" w:rsidRPr="004676F5" w:rsidRDefault="009D749E" w:rsidP="009D749E">
      <w:pPr>
        <w:jc w:val="both"/>
        <w:rPr>
          <w:lang w:val="de-DE"/>
        </w:rPr>
      </w:pPr>
      <w:r w:rsidRPr="004676F5">
        <w:rPr>
          <w:lang w:val="de-DE"/>
        </w:rPr>
        <w:tab/>
        <w:t>3. Dienstleistungserbringer: natürliche Personen, die die Staatsangehörigkeit eines Mitgliedstaats besitzen, und in einem Mitgliedstaat ansässige juristische Personen im Sinne des Artikels 54 AEUV, die eine Dienstleistung anbieten oder erbringen,</w:t>
      </w:r>
    </w:p>
    <w:p w14:paraId="4C67A196" w14:textId="77777777" w:rsidR="009D749E" w:rsidRPr="004676F5" w:rsidRDefault="009D749E" w:rsidP="009D749E">
      <w:pPr>
        <w:jc w:val="both"/>
        <w:rPr>
          <w:lang w:val="de-DE"/>
        </w:rPr>
      </w:pPr>
    </w:p>
    <w:p w14:paraId="3EAED288" w14:textId="77777777" w:rsidR="009D749E" w:rsidRPr="004676F5" w:rsidRDefault="009D749E" w:rsidP="009D749E">
      <w:pPr>
        <w:jc w:val="both"/>
        <w:rPr>
          <w:lang w:val="de-DE"/>
        </w:rPr>
      </w:pPr>
      <w:r w:rsidRPr="004676F5">
        <w:rPr>
          <w:lang w:val="de-DE"/>
        </w:rPr>
        <w:tab/>
        <w:t>4. Zulassungsregelung: Verfahren, das einen Dienstleistungserbringer oder -empfänger verpflichtet, bei einer zuständigen Behörde eine förmliche oder stillschweigende Entscheidung über die Aufnahme oder Ausübung einer Dienstleistungstätigkeit zu erwirken,</w:t>
      </w:r>
    </w:p>
    <w:p w14:paraId="53CF797B" w14:textId="77777777" w:rsidR="009D749E" w:rsidRPr="004676F5" w:rsidRDefault="009D749E" w:rsidP="009D749E">
      <w:pPr>
        <w:jc w:val="both"/>
        <w:rPr>
          <w:lang w:val="de-DE"/>
        </w:rPr>
      </w:pPr>
    </w:p>
    <w:p w14:paraId="597447DD" w14:textId="77777777" w:rsidR="009D749E" w:rsidRPr="004676F5" w:rsidRDefault="009D749E" w:rsidP="009D749E">
      <w:pPr>
        <w:jc w:val="both"/>
        <w:rPr>
          <w:lang w:val="de-DE"/>
        </w:rPr>
      </w:pPr>
      <w:r w:rsidRPr="004676F5">
        <w:rPr>
          <w:lang w:val="de-DE"/>
        </w:rPr>
        <w:tab/>
        <w:t>5. Dienstleistungen: durch Artikel 57 AEUV erfasste selbständige Tätigkeiten, die in der Regel gegen Entgelt erbracht werden,</w:t>
      </w:r>
    </w:p>
    <w:p w14:paraId="5CF5BD81" w14:textId="77777777" w:rsidR="009D749E" w:rsidRPr="004676F5" w:rsidRDefault="009D749E" w:rsidP="009D749E">
      <w:pPr>
        <w:jc w:val="both"/>
        <w:rPr>
          <w:lang w:val="de-DE"/>
        </w:rPr>
      </w:pPr>
    </w:p>
    <w:p w14:paraId="5A73DDFF" w14:textId="77777777" w:rsidR="009D749E" w:rsidRPr="004676F5" w:rsidRDefault="009D749E" w:rsidP="009D749E">
      <w:pPr>
        <w:jc w:val="both"/>
        <w:rPr>
          <w:lang w:val="de-DE"/>
        </w:rPr>
      </w:pPr>
      <w:r w:rsidRPr="004676F5">
        <w:rPr>
          <w:lang w:val="de-DE"/>
        </w:rPr>
        <w:tab/>
        <w:t>6. Niederlassung: die tatsächliche Ausübung einer durch Artikel 49 AEUV erfassten wirtschaftlichen Tätigkeit durch den Dienstleistungserbringer auf unbestimmte Zeit und mittels einer festen Infrastruktur, von der aus die Geschäftstätigkeit der Dienstleistungs</w:t>
      </w:r>
      <w:r w:rsidRPr="004676F5">
        <w:rPr>
          <w:lang w:val="de-DE"/>
        </w:rPr>
        <w:softHyphen/>
        <w:t>erbringung tatsächlich ausgeübt wird,</w:t>
      </w:r>
    </w:p>
    <w:p w14:paraId="2A185B33" w14:textId="77777777" w:rsidR="009D749E" w:rsidRPr="004676F5" w:rsidRDefault="009D749E" w:rsidP="009D749E">
      <w:pPr>
        <w:jc w:val="both"/>
        <w:rPr>
          <w:lang w:val="de-DE"/>
        </w:rPr>
      </w:pPr>
    </w:p>
    <w:p w14:paraId="036F8C06" w14:textId="77777777" w:rsidR="009D749E" w:rsidRPr="004676F5" w:rsidRDefault="009D749E" w:rsidP="009D749E">
      <w:pPr>
        <w:jc w:val="both"/>
        <w:rPr>
          <w:lang w:val="de-DE"/>
        </w:rPr>
      </w:pPr>
      <w:r w:rsidRPr="004676F5">
        <w:rPr>
          <w:lang w:val="de-DE"/>
        </w:rPr>
        <w:tab/>
        <w:t>7. Dienstleistungsempfänger: natürliche Personen, die die Staatsangehörigkeit eines Mitgliedstaats besitzen oder die in den Genuss von Rechten aus gemeinschaftlichen Rechtsakten kommen, oder in einem Mitgliedstaat ansässige juristische Personen im Sinne des Artikels 54 AEUV, die für berufliche oder andere Zwecke eine Dienstleistung in Anspruch nehmen oder in Anspruch nehmen möchten,</w:t>
      </w:r>
    </w:p>
    <w:p w14:paraId="695B6325" w14:textId="77777777" w:rsidR="009D749E" w:rsidRPr="004676F5" w:rsidRDefault="009D749E" w:rsidP="009D749E">
      <w:pPr>
        <w:jc w:val="both"/>
        <w:rPr>
          <w:lang w:val="de-DE"/>
        </w:rPr>
      </w:pPr>
    </w:p>
    <w:p w14:paraId="71F77FA5" w14:textId="1AED6966" w:rsidR="009D749E" w:rsidRPr="004676F5" w:rsidRDefault="009D749E" w:rsidP="009D749E">
      <w:pPr>
        <w:jc w:val="both"/>
        <w:rPr>
          <w:lang w:val="de-DE"/>
        </w:rPr>
      </w:pPr>
      <w:r w:rsidRPr="004676F5">
        <w:rPr>
          <w:lang w:val="de-DE"/>
        </w:rPr>
        <w:tab/>
        <w:t>8. reglementierter Beruf: berufliche Tätigkeit oder Gruppe beruflicher Tätigkeiten, bei der die Aufnahme oder Ausübung oder eine der Arten der Ausübung direkt oder indirekt durch Gesetzes-, Verordnungs</w:t>
      </w:r>
      <w:r w:rsidR="005B7A5C" w:rsidRPr="004676F5">
        <w:rPr>
          <w:lang w:val="de-DE"/>
        </w:rPr>
        <w:t>- </w:t>
      </w:r>
      <w:r w:rsidRPr="004676F5">
        <w:rPr>
          <w:lang w:val="de-DE"/>
        </w:rPr>
        <w:t>und Verwaltungsbestimmungen an den Besitz bestimmter Berufsqualifikationen gebunden ist; eine Art der Ausübung ist insbesondere die Führung einer Berufsbezeichnung, die durch Gesetzes-, Verordnungs</w:t>
      </w:r>
      <w:r w:rsidR="005B7A5C" w:rsidRPr="004676F5">
        <w:rPr>
          <w:lang w:val="de-DE"/>
        </w:rPr>
        <w:t>- </w:t>
      </w:r>
      <w:r w:rsidRPr="004676F5">
        <w:rPr>
          <w:lang w:val="de-DE"/>
        </w:rPr>
        <w:t>und Verwaltungsbestimmungen auf Personen beschränkt ist, die über eine bestimmte Berufsqualifikation verfügen,</w:t>
      </w:r>
    </w:p>
    <w:p w14:paraId="3EE8CAC9" w14:textId="77777777" w:rsidR="009D749E" w:rsidRPr="004676F5" w:rsidRDefault="009D749E" w:rsidP="009D749E">
      <w:pPr>
        <w:jc w:val="both"/>
        <w:rPr>
          <w:lang w:val="de-DE"/>
        </w:rPr>
      </w:pPr>
    </w:p>
    <w:p w14:paraId="03B865F4" w14:textId="20AA4CE1" w:rsidR="009D749E" w:rsidRPr="004676F5" w:rsidRDefault="009D749E" w:rsidP="009D749E">
      <w:pPr>
        <w:jc w:val="both"/>
        <w:rPr>
          <w:lang w:val="de-DE"/>
        </w:rPr>
      </w:pPr>
      <w:r w:rsidRPr="004676F5">
        <w:rPr>
          <w:lang w:val="de-DE"/>
        </w:rPr>
        <w:tab/>
        <w:t>9. </w:t>
      </w:r>
      <w:r w:rsidR="000714DA" w:rsidRPr="004676F5">
        <w:rPr>
          <w:lang w:val="de-DE"/>
        </w:rPr>
        <w:t>[</w:t>
      </w:r>
      <w:r w:rsidR="000D428D" w:rsidRPr="004676F5">
        <w:rPr>
          <w:lang w:val="de-DE"/>
        </w:rPr>
        <w:t>...</w:t>
      </w:r>
      <w:r w:rsidR="000714DA" w:rsidRPr="004676F5">
        <w:rPr>
          <w:lang w:val="de-DE"/>
        </w:rPr>
        <w:t>]</w:t>
      </w:r>
    </w:p>
    <w:p w14:paraId="542BE874" w14:textId="77777777" w:rsidR="009D749E" w:rsidRPr="004676F5" w:rsidRDefault="009D749E" w:rsidP="009D749E">
      <w:pPr>
        <w:jc w:val="both"/>
        <w:rPr>
          <w:lang w:val="de-DE"/>
        </w:rPr>
      </w:pPr>
    </w:p>
    <w:p w14:paraId="3381876D" w14:textId="34E13585" w:rsidR="009D749E" w:rsidRPr="004676F5" w:rsidRDefault="009D749E" w:rsidP="009D749E">
      <w:pPr>
        <w:jc w:val="both"/>
        <w:rPr>
          <w:lang w:val="de-DE"/>
        </w:rPr>
      </w:pPr>
      <w:r w:rsidRPr="004676F5">
        <w:rPr>
          <w:lang w:val="de-DE"/>
        </w:rPr>
        <w:tab/>
        <w:t>10. </w:t>
      </w:r>
      <w:r w:rsidR="000D428D" w:rsidRPr="004676F5">
        <w:rPr>
          <w:lang w:val="de-DE"/>
        </w:rPr>
        <w:t>[...]</w:t>
      </w:r>
    </w:p>
    <w:p w14:paraId="0B353FE9" w14:textId="77777777" w:rsidR="009D749E" w:rsidRPr="004676F5" w:rsidRDefault="009D749E" w:rsidP="009D749E">
      <w:pPr>
        <w:jc w:val="both"/>
        <w:rPr>
          <w:lang w:val="de-DE"/>
        </w:rPr>
      </w:pPr>
    </w:p>
    <w:p w14:paraId="14E182EC" w14:textId="72391541" w:rsidR="009D749E" w:rsidRPr="004676F5" w:rsidRDefault="009D749E" w:rsidP="009D749E">
      <w:pPr>
        <w:jc w:val="both"/>
        <w:rPr>
          <w:lang w:val="de-DE"/>
        </w:rPr>
      </w:pPr>
      <w:r w:rsidRPr="004676F5">
        <w:rPr>
          <w:lang w:val="de-DE"/>
        </w:rPr>
        <w:tab/>
        <w:t>11. </w:t>
      </w:r>
      <w:r w:rsidR="000D428D" w:rsidRPr="004676F5">
        <w:rPr>
          <w:lang w:val="de-DE"/>
        </w:rPr>
        <w:t>[...]</w:t>
      </w:r>
    </w:p>
    <w:p w14:paraId="2A6850D5" w14:textId="77777777" w:rsidR="009D749E" w:rsidRPr="004676F5" w:rsidRDefault="009D749E" w:rsidP="009D749E">
      <w:pPr>
        <w:jc w:val="both"/>
        <w:rPr>
          <w:lang w:val="de-DE"/>
        </w:rPr>
      </w:pPr>
    </w:p>
    <w:p w14:paraId="7EF1BE96" w14:textId="620F9CFE" w:rsidR="009D749E" w:rsidRPr="004676F5" w:rsidRDefault="009D749E" w:rsidP="009D749E">
      <w:pPr>
        <w:jc w:val="both"/>
        <w:rPr>
          <w:lang w:val="de-DE"/>
        </w:rPr>
      </w:pPr>
      <w:r w:rsidRPr="004676F5">
        <w:rPr>
          <w:lang w:val="de-DE"/>
        </w:rPr>
        <w:tab/>
        <w:t>12. Anforderungen: Auflagen, Verbote, Bedingungen oder Beschränkungen, die in den Gesetzes-, Verordnungs</w:t>
      </w:r>
      <w:r w:rsidR="005B7A5C" w:rsidRPr="004676F5">
        <w:rPr>
          <w:lang w:val="de-DE"/>
        </w:rPr>
        <w:t>- </w:t>
      </w:r>
      <w:r w:rsidRPr="004676F5">
        <w:rPr>
          <w:lang w:val="de-DE"/>
        </w:rPr>
        <w:t>und Verwaltungsbestimmungen festgelegt sind oder sich aus der Rechtsprechung, der Verwaltungspraxis, den Regeln von Berufsverbänden oder den kollektiven Regeln, die von Berufsvereinigungen oder sonstigen Berufsorganisationen in Ausübung ihrer Rechtsautonomie erlassen wurden, ergeben,</w:t>
      </w:r>
    </w:p>
    <w:p w14:paraId="1B297E13" w14:textId="77777777" w:rsidR="009D749E" w:rsidRPr="004676F5" w:rsidRDefault="009D749E" w:rsidP="009D749E">
      <w:pPr>
        <w:rPr>
          <w:lang w:val="de-DE"/>
        </w:rPr>
      </w:pPr>
    </w:p>
    <w:p w14:paraId="21D662DD" w14:textId="77777777" w:rsidR="009D749E" w:rsidRPr="004676F5" w:rsidRDefault="009D749E" w:rsidP="009D749E">
      <w:pPr>
        <w:jc w:val="both"/>
        <w:rPr>
          <w:lang w:val="de-DE"/>
        </w:rPr>
      </w:pPr>
      <w:r w:rsidRPr="004676F5">
        <w:rPr>
          <w:lang w:val="de-DE"/>
        </w:rPr>
        <w:tab/>
        <w:t>13. Unternehmensschalter: Einrichtung, die in Ausführung von Buch III Titel 2 Kapitel 3 zugelassen ist und mit Aufträgen des öffentlichen Dienstes oder allgemeinen Interesses, die in vorliegendem Titel 2 erwähnt werden, beauftragt ist,</w:t>
      </w:r>
    </w:p>
    <w:p w14:paraId="389B8876" w14:textId="77777777" w:rsidR="009D749E" w:rsidRPr="004676F5" w:rsidRDefault="009D749E" w:rsidP="009D749E">
      <w:pPr>
        <w:jc w:val="both"/>
        <w:rPr>
          <w:lang w:val="de-DE"/>
        </w:rPr>
      </w:pPr>
    </w:p>
    <w:p w14:paraId="41CED7FB" w14:textId="31652D47" w:rsidR="009D749E" w:rsidRPr="004676F5" w:rsidRDefault="009D749E" w:rsidP="009D749E">
      <w:pPr>
        <w:jc w:val="both"/>
        <w:rPr>
          <w:lang w:val="de-DE"/>
        </w:rPr>
      </w:pPr>
      <w:r w:rsidRPr="004676F5">
        <w:rPr>
          <w:lang w:val="de-DE"/>
        </w:rPr>
        <w:tab/>
        <w:t>14. </w:t>
      </w:r>
      <w:r w:rsidR="000D428D" w:rsidRPr="004676F5">
        <w:rPr>
          <w:lang w:val="de-DE"/>
        </w:rPr>
        <w:t>[...]</w:t>
      </w:r>
    </w:p>
    <w:p w14:paraId="37408C1B" w14:textId="77777777" w:rsidR="009D749E" w:rsidRPr="004676F5" w:rsidRDefault="009D749E" w:rsidP="009D749E">
      <w:pPr>
        <w:jc w:val="both"/>
        <w:rPr>
          <w:lang w:val="de-DE"/>
        </w:rPr>
      </w:pPr>
    </w:p>
    <w:p w14:paraId="424BAC12" w14:textId="77777777" w:rsidR="009D749E" w:rsidRPr="004676F5" w:rsidRDefault="009D749E" w:rsidP="009D749E">
      <w:pPr>
        <w:jc w:val="both"/>
        <w:rPr>
          <w:lang w:val="de-DE"/>
        </w:rPr>
      </w:pPr>
      <w:r w:rsidRPr="004676F5">
        <w:rPr>
          <w:lang w:val="de-DE"/>
        </w:rPr>
        <w:tab/>
        <w:t>15. Register der juristischen Personen: in der Zentralen Datenbank der Unternehmen enthaltenes Verzeichnis, in dem die Daten der in der Zentralen Datenbank der Unternehmen registrierten juristischen Personen enthalten sind,</w:t>
      </w:r>
    </w:p>
    <w:p w14:paraId="6C14F438" w14:textId="77777777" w:rsidR="009D749E" w:rsidRPr="004676F5" w:rsidRDefault="009D749E" w:rsidP="009D749E">
      <w:pPr>
        <w:jc w:val="both"/>
        <w:rPr>
          <w:lang w:val="de-DE"/>
        </w:rPr>
      </w:pPr>
    </w:p>
    <w:p w14:paraId="7AEA05B2" w14:textId="459275D6" w:rsidR="009D749E" w:rsidRPr="004676F5" w:rsidRDefault="009D749E" w:rsidP="009D749E">
      <w:pPr>
        <w:jc w:val="both"/>
        <w:rPr>
          <w:lang w:val="de-DE"/>
        </w:rPr>
      </w:pPr>
      <w:r w:rsidRPr="004676F5">
        <w:rPr>
          <w:lang w:val="de-DE"/>
        </w:rPr>
        <w:tab/>
        <w:t>16. Niederlassungseinheit: Standort, der geografisch anhand einer Adresse</w:t>
      </w:r>
      <w:r w:rsidR="006017BB" w:rsidRPr="004676F5">
        <w:rPr>
          <w:lang w:val="de-DE"/>
        </w:rPr>
        <w:t xml:space="preserve"> [in Belgien] </w:t>
      </w:r>
      <w:r w:rsidRPr="004676F5">
        <w:rPr>
          <w:lang w:val="de-DE"/>
        </w:rPr>
        <w:t xml:space="preserve">identifiziert werden kann und wo oder von wo aus mindestens eine Tätigkeit </w:t>
      </w:r>
      <w:r w:rsidR="000D428D" w:rsidRPr="004676F5">
        <w:rPr>
          <w:lang w:val="de-DE"/>
        </w:rPr>
        <w:t xml:space="preserve">[der registrierten Körperschaft] </w:t>
      </w:r>
      <w:r w:rsidRPr="004676F5">
        <w:rPr>
          <w:lang w:val="de-DE"/>
        </w:rPr>
        <w:t>ausgeübt wird.</w:t>
      </w:r>
    </w:p>
    <w:p w14:paraId="7EE97984" w14:textId="77777777" w:rsidR="00D84EB4" w:rsidRPr="004676F5" w:rsidRDefault="00D84EB4" w:rsidP="009D749E">
      <w:pPr>
        <w:jc w:val="both"/>
        <w:rPr>
          <w:lang w:val="de-DE"/>
        </w:rPr>
      </w:pPr>
    </w:p>
    <w:p w14:paraId="5DE7C6E5" w14:textId="5B8BA20E" w:rsidR="000714DA" w:rsidRPr="004676F5" w:rsidRDefault="000714DA" w:rsidP="009D749E">
      <w:pPr>
        <w:jc w:val="both"/>
        <w:rPr>
          <w:i/>
          <w:lang w:val="de-DE"/>
        </w:rPr>
      </w:pPr>
      <w:r w:rsidRPr="004676F5">
        <w:rPr>
          <w:i/>
          <w:lang w:val="de-DE"/>
        </w:rPr>
        <w:t>[</w:t>
      </w:r>
      <w:r w:rsidR="00BE0A56" w:rsidRPr="004676F5">
        <w:rPr>
          <w:i/>
          <w:lang w:val="de-DE"/>
        </w:rPr>
        <w:t>Art. </w:t>
      </w:r>
      <w:r w:rsidRPr="004676F5">
        <w:rPr>
          <w:i/>
          <w:lang w:val="de-DE"/>
        </w:rPr>
        <w:t>I.2. einziger Absatz Nr. 9</w:t>
      </w:r>
      <w:r w:rsidR="000D428D" w:rsidRPr="004676F5">
        <w:rPr>
          <w:i/>
          <w:lang w:val="de-DE"/>
        </w:rPr>
        <w:t xml:space="preserve"> bis 11 und 14</w:t>
      </w:r>
      <w:r w:rsidRPr="004676F5">
        <w:rPr>
          <w:i/>
          <w:lang w:val="de-DE"/>
        </w:rPr>
        <w:t xml:space="preserve"> </w:t>
      </w:r>
      <w:r w:rsidR="000D428D" w:rsidRPr="004676F5">
        <w:rPr>
          <w:i/>
          <w:lang w:val="de-DE"/>
        </w:rPr>
        <w:t>aufgehoben durch Art. 36 Buchstabe a)</w:t>
      </w:r>
      <w:r w:rsidR="000D428D" w:rsidRPr="004676F5">
        <w:rPr>
          <w:i/>
          <w:iCs/>
          <w:lang w:val="de-DE"/>
        </w:rPr>
        <w:t xml:space="preserve"> des G. vom 15. April 2018 (B.S. vom 27. April 2018); einziger Absatz Nr. 16 abgeändert durch Art. 36 Buchstabe b) des G. vom 15. April 2018 (B.S. vom 27. April 2018)</w:t>
      </w:r>
      <w:r w:rsidR="006017BB" w:rsidRPr="004676F5">
        <w:rPr>
          <w:i/>
          <w:iCs/>
          <w:lang w:val="de-DE"/>
        </w:rPr>
        <w:t xml:space="preserve"> und Art. 3 des G. vom 9. Februar 2024 (B.S. vom 21. März 2024)</w:t>
      </w:r>
      <w:r w:rsidR="002433D0" w:rsidRPr="004676F5">
        <w:rPr>
          <w:i/>
          <w:lang w:val="de-DE"/>
        </w:rPr>
        <w:t>]</w:t>
      </w:r>
    </w:p>
    <w:p w14:paraId="1FC62878" w14:textId="77777777" w:rsidR="002433D0" w:rsidRPr="004676F5" w:rsidRDefault="002433D0" w:rsidP="009D749E">
      <w:pPr>
        <w:jc w:val="both"/>
        <w:rPr>
          <w:i/>
          <w:lang w:val="de-DE"/>
        </w:rPr>
      </w:pPr>
    </w:p>
    <w:p w14:paraId="100B3EF1" w14:textId="77777777" w:rsidR="00D84EB4" w:rsidRPr="004676F5" w:rsidRDefault="00D84EB4" w:rsidP="009D749E">
      <w:pPr>
        <w:jc w:val="both"/>
        <w:rPr>
          <w:lang w:val="de-DE"/>
        </w:rPr>
      </w:pPr>
    </w:p>
    <w:p w14:paraId="1A7A51A2" w14:textId="76ECE359" w:rsidR="009D749E" w:rsidRPr="004676F5" w:rsidRDefault="009D749E" w:rsidP="009D749E">
      <w:pPr>
        <w:jc w:val="both"/>
        <w:rPr>
          <w:lang w:val="de-DE"/>
        </w:rPr>
      </w:pPr>
      <w:r w:rsidRPr="004676F5">
        <w:rPr>
          <w:lang w:val="de-DE"/>
        </w:rPr>
        <w:tab/>
      </w:r>
      <w:r w:rsidR="00BE0A56" w:rsidRPr="004676F5">
        <w:rPr>
          <w:b/>
          <w:lang w:val="de-DE"/>
        </w:rPr>
        <w:t>Art. </w:t>
      </w:r>
      <w:r w:rsidRPr="004676F5">
        <w:rPr>
          <w:b/>
          <w:lang w:val="de-DE"/>
        </w:rPr>
        <w:t>I.3</w:t>
      </w:r>
      <w:r w:rsidRPr="004676F5">
        <w:rPr>
          <w:lang w:val="de-DE"/>
        </w:rPr>
        <w:t> </w:t>
      </w:r>
      <w:r w:rsidR="005B7A5C" w:rsidRPr="004676F5">
        <w:rPr>
          <w:lang w:val="de-DE"/>
        </w:rPr>
        <w:t>- </w:t>
      </w:r>
      <w:r w:rsidRPr="004676F5">
        <w:rPr>
          <w:lang w:val="de-DE"/>
        </w:rPr>
        <w:t>Folgende Begriffsbestimmungen gelten für Buch III Titel 1:</w:t>
      </w:r>
    </w:p>
    <w:p w14:paraId="619A8286" w14:textId="77777777" w:rsidR="009D749E" w:rsidRPr="004676F5" w:rsidRDefault="009D749E" w:rsidP="009D749E">
      <w:pPr>
        <w:jc w:val="both"/>
        <w:rPr>
          <w:lang w:val="de-DE"/>
        </w:rPr>
      </w:pPr>
    </w:p>
    <w:p w14:paraId="7F8E443D" w14:textId="77777777" w:rsidR="009D749E" w:rsidRPr="004676F5" w:rsidRDefault="009D749E" w:rsidP="009D749E">
      <w:pPr>
        <w:jc w:val="both"/>
        <w:rPr>
          <w:lang w:val="de-DE"/>
        </w:rPr>
      </w:pPr>
      <w:r w:rsidRPr="004676F5">
        <w:rPr>
          <w:lang w:val="de-DE"/>
        </w:rPr>
        <w:tab/>
        <w:t>1. zwingende Gründe des Allgemeininteresses: Gründe, wie insbesondere öffentliche Ordnung, öffentliche Sicherheit, Sicherheit des Staates, Volksgesundheit, Erhaltung des finanziellen Gleichgewichts der Systeme der sozialen Sicherheit, Schutz der Verbraucher, der Dienstleistungsempfänger und der Arbeitnehmer, Redlichkeit der Handelsgeschäfte, Betrugsbekämpfung, Schutz der Umwelt und der städtischen Umwelt, Wohlbefinden der Tiere, geistiges Eigentum, Erhaltung des nationalen historischen und künstlerischen Erbes, Ziele der Sozialpolitik und Ziele der Kulturpolitik,</w:t>
      </w:r>
    </w:p>
    <w:p w14:paraId="0FDCD824" w14:textId="77777777" w:rsidR="009D749E" w:rsidRPr="004676F5" w:rsidRDefault="009D749E" w:rsidP="009D749E">
      <w:pPr>
        <w:jc w:val="both"/>
        <w:rPr>
          <w:lang w:val="de-DE"/>
        </w:rPr>
      </w:pPr>
    </w:p>
    <w:p w14:paraId="265C99D9" w14:textId="77777777" w:rsidR="009D749E" w:rsidRPr="004676F5" w:rsidRDefault="009D749E" w:rsidP="009D749E">
      <w:pPr>
        <w:jc w:val="both"/>
        <w:rPr>
          <w:lang w:val="de-DE"/>
        </w:rPr>
      </w:pPr>
      <w:r w:rsidRPr="004676F5">
        <w:rPr>
          <w:lang w:val="de-DE"/>
        </w:rPr>
        <w:tab/>
        <w:t>2. Berufshaftpflichtversicherung: Versicherung, die ein Dienstleistungserbringer in Bezug auf seine potenzielle Haftung gegenüber Dienstleistungsempfängern und gegebenen</w:t>
      </w:r>
      <w:r w:rsidRPr="004676F5">
        <w:rPr>
          <w:lang w:val="de-DE"/>
        </w:rPr>
        <w:softHyphen/>
        <w:t>falls Dritten, die sich aus der Erbringung der Dienstleistung ergibt, abgeschlossen hat,</w:t>
      </w:r>
    </w:p>
    <w:p w14:paraId="4986D939" w14:textId="77777777" w:rsidR="009D749E" w:rsidRPr="004676F5" w:rsidRDefault="009D749E" w:rsidP="009D749E">
      <w:pPr>
        <w:jc w:val="both"/>
        <w:rPr>
          <w:lang w:val="de-DE"/>
        </w:rPr>
      </w:pPr>
    </w:p>
    <w:p w14:paraId="55482CCF" w14:textId="219573B5" w:rsidR="009D749E" w:rsidRPr="004676F5" w:rsidRDefault="009D749E" w:rsidP="009D749E">
      <w:pPr>
        <w:jc w:val="both"/>
        <w:rPr>
          <w:lang w:val="de-DE"/>
        </w:rPr>
      </w:pPr>
      <w:r w:rsidRPr="004676F5">
        <w:rPr>
          <w:lang w:val="de-DE"/>
        </w:rPr>
        <w:tab/>
        <w:t>3. Arbeitsrecht: Gesetzes-, Verordnungs</w:t>
      </w:r>
      <w:r w:rsidR="005B7A5C" w:rsidRPr="004676F5">
        <w:rPr>
          <w:lang w:val="de-DE"/>
        </w:rPr>
        <w:t>- </w:t>
      </w:r>
      <w:r w:rsidRPr="004676F5">
        <w:rPr>
          <w:lang w:val="de-DE"/>
        </w:rPr>
        <w:t>und Vertragsbestimmungen über Arbeits</w:t>
      </w:r>
      <w:r w:rsidR="005B7A5C" w:rsidRPr="004676F5">
        <w:rPr>
          <w:lang w:val="de-DE"/>
        </w:rPr>
        <w:t>- </w:t>
      </w:r>
      <w:r w:rsidRPr="004676F5">
        <w:rPr>
          <w:lang w:val="de-DE"/>
        </w:rPr>
        <w:t>und Beschäftigungsbedingungen, einschließlich des Wohlbefindens der Arbeitnehmer bei der Ausführung ihrer Arbeit und der damit verbundenen organisatorischen Strukturen, der Kontroll</w:t>
      </w:r>
      <w:r w:rsidR="005B7A5C" w:rsidRPr="004676F5">
        <w:rPr>
          <w:lang w:val="de-DE"/>
        </w:rPr>
        <w:t>- </w:t>
      </w:r>
      <w:r w:rsidRPr="004676F5">
        <w:rPr>
          <w:lang w:val="de-DE"/>
        </w:rPr>
        <w:t xml:space="preserve">und Strafmaßnahmen, die sich darauf beziehen, und der Beziehungen zwischen den Sozialpartnern, wie das Recht über kollektive Arbeitsabkommen zu verhandeln und solche </w:t>
      </w:r>
      <w:r w:rsidRPr="004676F5">
        <w:rPr>
          <w:lang w:val="de-DE"/>
        </w:rPr>
        <w:lastRenderedPageBreak/>
        <w:t>Abkommen abzuschließen und anzuwenden und das Recht zu streiken und Gewerkschafts</w:t>
      </w:r>
      <w:r w:rsidRPr="004676F5">
        <w:rPr>
          <w:lang w:val="de-DE"/>
        </w:rPr>
        <w:softHyphen/>
        <w:t>aktionen durchzuführen,</w:t>
      </w:r>
    </w:p>
    <w:p w14:paraId="4CEBD784" w14:textId="77777777" w:rsidR="009D749E" w:rsidRPr="004676F5" w:rsidRDefault="009D749E" w:rsidP="009D749E">
      <w:pPr>
        <w:jc w:val="both"/>
        <w:rPr>
          <w:lang w:val="de-DE"/>
        </w:rPr>
      </w:pPr>
    </w:p>
    <w:p w14:paraId="0EB7C663" w14:textId="77777777" w:rsidR="009D749E" w:rsidRPr="004676F5" w:rsidRDefault="009D749E" w:rsidP="009D749E">
      <w:pPr>
        <w:jc w:val="both"/>
        <w:rPr>
          <w:lang w:val="de-DE"/>
        </w:rPr>
      </w:pPr>
      <w:r w:rsidRPr="004676F5">
        <w:rPr>
          <w:lang w:val="de-DE"/>
        </w:rPr>
        <w:tab/>
        <w:t>4. Niederlassungsmitgliedstaat: Mitgliedstaat, in dessen Hoheitsgebiet der Dienstleistungserbringer ansässig ist,</w:t>
      </w:r>
    </w:p>
    <w:p w14:paraId="3B4278DD" w14:textId="77777777" w:rsidR="009D749E" w:rsidRPr="004676F5" w:rsidRDefault="009D749E" w:rsidP="009D749E">
      <w:pPr>
        <w:jc w:val="both"/>
        <w:rPr>
          <w:lang w:val="de-DE"/>
        </w:rPr>
      </w:pPr>
    </w:p>
    <w:p w14:paraId="00239945" w14:textId="77777777" w:rsidR="009D749E" w:rsidRPr="004676F5" w:rsidRDefault="009D749E" w:rsidP="009D749E">
      <w:pPr>
        <w:jc w:val="both"/>
        <w:rPr>
          <w:lang w:val="de-DE"/>
        </w:rPr>
      </w:pPr>
      <w:r w:rsidRPr="004676F5">
        <w:rPr>
          <w:lang w:val="de-DE"/>
        </w:rPr>
        <w:tab/>
        <w:t>5. Sozialsicherheitsrecht: Gesetzesbestimmungen, Verordnungsbestimmungen und sektorielle Bestimmungen über die Erhebung von Beiträgen und die Organisation und Gewährung von Sozialleistungen, auf die die Sozialversicherten einen Anspruch haben und die dazu dienen, berufliche oder nichtberufliche Einkünfte zu gewähren, zu ersetzen oder zu ergänzen, um die Sozialversicherten vor den Folgen von sozialen Risiken zu schützen, die durch die Vorschriften über Versicherungspflicht für Lohnempfänger und Selbständige, Gesundheitspflege und Entschädigungen, Arbeitsunfälle und Berufskrankheiten, Pensionen, Familienleistungen, Arbeitslosigkeit, Jahresurlaub und Beihilfen für Personen mit Behinderung gedeckt werden,</w:t>
      </w:r>
    </w:p>
    <w:p w14:paraId="70BB9D84" w14:textId="77777777" w:rsidR="009D749E" w:rsidRPr="004676F5" w:rsidRDefault="009D749E" w:rsidP="009D749E">
      <w:pPr>
        <w:jc w:val="both"/>
        <w:rPr>
          <w:lang w:val="de-DE"/>
        </w:rPr>
      </w:pPr>
    </w:p>
    <w:p w14:paraId="6896CCA9" w14:textId="77777777" w:rsidR="009D749E" w:rsidRPr="004676F5" w:rsidRDefault="009D749E" w:rsidP="009D749E">
      <w:pPr>
        <w:jc w:val="both"/>
        <w:rPr>
          <w:lang w:val="de-DE"/>
        </w:rPr>
      </w:pPr>
      <w:r w:rsidRPr="004676F5">
        <w:rPr>
          <w:lang w:val="de-DE"/>
        </w:rPr>
        <w:tab/>
        <w:t>6. föderaler Koordinator: natürliche Person, die beim Föderalen Öffentlichen Dienst Wirtschaft bestimmt ist, um im Rahmen der in den Artikeln XV.35 bis XV.48 vorgesehenen Verwaltungszusammenarbeit die Kontaktstelle zwischen der Europäischen Kommission und den in Artikel I.2 Nr. 2 erwähnten zuständigen Behörden zu sein.</w:t>
      </w:r>
    </w:p>
    <w:p w14:paraId="7C36536C" w14:textId="77777777" w:rsidR="009D749E" w:rsidRPr="004676F5" w:rsidRDefault="009D749E" w:rsidP="009D749E">
      <w:pPr>
        <w:jc w:val="both"/>
        <w:rPr>
          <w:lang w:val="de-DE"/>
        </w:rPr>
      </w:pPr>
    </w:p>
    <w:p w14:paraId="4B2B42E1" w14:textId="77777777" w:rsidR="00D84EB4" w:rsidRPr="004676F5" w:rsidRDefault="00D84EB4" w:rsidP="009D749E">
      <w:pPr>
        <w:jc w:val="both"/>
        <w:rPr>
          <w:lang w:val="de-DE"/>
        </w:rPr>
      </w:pPr>
    </w:p>
    <w:p w14:paraId="55B19A43" w14:textId="63CA1358" w:rsidR="009D749E" w:rsidRPr="004676F5" w:rsidRDefault="009D749E" w:rsidP="009D749E">
      <w:pPr>
        <w:jc w:val="both"/>
        <w:rPr>
          <w:lang w:val="de-DE"/>
        </w:rPr>
      </w:pPr>
      <w:r w:rsidRPr="004676F5">
        <w:rPr>
          <w:lang w:val="de-DE"/>
        </w:rPr>
        <w:tab/>
      </w:r>
      <w:r w:rsidR="00BE0A56" w:rsidRPr="004676F5">
        <w:rPr>
          <w:b/>
          <w:lang w:val="de-DE"/>
        </w:rPr>
        <w:t>Art. </w:t>
      </w:r>
      <w:r w:rsidRPr="004676F5">
        <w:rPr>
          <w:b/>
          <w:lang w:val="de-DE"/>
        </w:rPr>
        <w:t>I.4</w:t>
      </w:r>
      <w:r w:rsidRPr="004676F5">
        <w:rPr>
          <w:lang w:val="de-DE"/>
        </w:rPr>
        <w:t> </w:t>
      </w:r>
      <w:r w:rsidR="005B7A5C" w:rsidRPr="004676F5">
        <w:rPr>
          <w:lang w:val="de-DE"/>
        </w:rPr>
        <w:t>- </w:t>
      </w:r>
      <w:r w:rsidRPr="004676F5">
        <w:rPr>
          <w:lang w:val="de-DE"/>
        </w:rPr>
        <w:t>Folgende Begriffsbestimmungen gelten für Buch III Titel 2:</w:t>
      </w:r>
    </w:p>
    <w:p w14:paraId="1977E518" w14:textId="77777777" w:rsidR="009D749E" w:rsidRPr="004676F5" w:rsidRDefault="009D749E" w:rsidP="009D749E">
      <w:pPr>
        <w:jc w:val="both"/>
        <w:rPr>
          <w:lang w:val="de-DE"/>
        </w:rPr>
      </w:pPr>
    </w:p>
    <w:p w14:paraId="279C7AA6" w14:textId="2E89CB62" w:rsidR="009D749E" w:rsidRPr="004676F5" w:rsidRDefault="009D749E" w:rsidP="009D749E">
      <w:pPr>
        <w:jc w:val="both"/>
        <w:rPr>
          <w:lang w:val="de-DE"/>
        </w:rPr>
      </w:pPr>
      <w:r w:rsidRPr="004676F5">
        <w:rPr>
          <w:lang w:val="de-DE"/>
        </w:rPr>
        <w:tab/>
        <w:t>1. </w:t>
      </w:r>
      <w:r w:rsidR="000D428D" w:rsidRPr="004676F5">
        <w:rPr>
          <w:lang w:val="de-DE"/>
        </w:rPr>
        <w:t>[registrierte Körperschaft]</w:t>
      </w:r>
      <w:r w:rsidRPr="004676F5">
        <w:rPr>
          <w:lang w:val="de-DE"/>
        </w:rPr>
        <w:t>: Körperschaften, die sich aufgrund von Artikel III.16 in die Zentrale Datenbank der Unternehmen eintragen lassen müssen,</w:t>
      </w:r>
    </w:p>
    <w:p w14:paraId="3919FD3C" w14:textId="77777777" w:rsidR="009D749E" w:rsidRPr="004676F5" w:rsidRDefault="009D749E" w:rsidP="009D749E">
      <w:pPr>
        <w:jc w:val="both"/>
        <w:rPr>
          <w:lang w:val="de-DE"/>
        </w:rPr>
      </w:pPr>
    </w:p>
    <w:p w14:paraId="3514B2DA" w14:textId="77777777" w:rsidR="009D749E" w:rsidRPr="004676F5" w:rsidRDefault="009D749E" w:rsidP="009D749E">
      <w:pPr>
        <w:jc w:val="both"/>
        <w:rPr>
          <w:lang w:val="de-DE"/>
        </w:rPr>
      </w:pPr>
      <w:r w:rsidRPr="004676F5">
        <w:rPr>
          <w:lang w:val="de-DE"/>
        </w:rPr>
        <w:tab/>
        <w:t>2. Dienst: öffentlicher Dienst, Einrichtung, natürliche Person oder juristische Person, dem/der in Ausführung von Buch III Titel 2 Aufträge des öffentlichen Dienstes oder allgemeinen Interesses anvertraut sind,</w:t>
      </w:r>
    </w:p>
    <w:p w14:paraId="761E16AE" w14:textId="77777777" w:rsidR="009D749E" w:rsidRPr="004676F5" w:rsidRDefault="009D749E" w:rsidP="009D749E">
      <w:pPr>
        <w:jc w:val="both"/>
        <w:rPr>
          <w:lang w:val="de-DE"/>
        </w:rPr>
      </w:pPr>
    </w:p>
    <w:p w14:paraId="7B5907F8" w14:textId="77777777" w:rsidR="009D749E" w:rsidRPr="004676F5" w:rsidRDefault="009D749E" w:rsidP="009D749E">
      <w:pPr>
        <w:jc w:val="both"/>
        <w:rPr>
          <w:lang w:val="de-DE"/>
        </w:rPr>
      </w:pPr>
      <w:r w:rsidRPr="004676F5">
        <w:rPr>
          <w:lang w:val="de-DE"/>
        </w:rPr>
        <w:tab/>
        <w:t>3. Verwaltungsdienst: Dienst innerhalb des Föderalen Öffentlichen Dienstes Wirtschaft, KMB, Mittelstand und Energie, der mit der Verwaltung der Zentralen Datenbank der Unternehmen beauftragt ist,</w:t>
      </w:r>
    </w:p>
    <w:p w14:paraId="2193B18D" w14:textId="77777777" w:rsidR="009D749E" w:rsidRPr="004676F5" w:rsidRDefault="009D749E" w:rsidP="009D749E">
      <w:pPr>
        <w:jc w:val="both"/>
        <w:rPr>
          <w:lang w:val="de-DE"/>
        </w:rPr>
      </w:pPr>
    </w:p>
    <w:p w14:paraId="3A0F3CD3" w14:textId="754428AE" w:rsidR="009D749E" w:rsidRPr="004676F5" w:rsidRDefault="009D749E" w:rsidP="009D749E">
      <w:pPr>
        <w:jc w:val="both"/>
        <w:rPr>
          <w:lang w:val="de-DE"/>
        </w:rPr>
      </w:pPr>
      <w:r w:rsidRPr="004676F5">
        <w:rPr>
          <w:lang w:val="de-DE"/>
        </w:rPr>
        <w:tab/>
        <w:t>4. Minister: der Minister, zu dessen Zuständigkeit</w:t>
      </w:r>
      <w:r w:rsidR="000D428D" w:rsidRPr="004676F5">
        <w:rPr>
          <w:lang w:val="de-DE"/>
        </w:rPr>
        <w:t>sbereich der Mittelstand gehört,</w:t>
      </w:r>
    </w:p>
    <w:p w14:paraId="52D98CE0" w14:textId="7EFE5C57" w:rsidR="000D428D" w:rsidRPr="004676F5" w:rsidRDefault="000D428D" w:rsidP="009D749E">
      <w:pPr>
        <w:jc w:val="both"/>
        <w:rPr>
          <w:lang w:val="de-DE"/>
        </w:rPr>
      </w:pPr>
    </w:p>
    <w:p w14:paraId="7F29762E" w14:textId="4BBE313F" w:rsidR="000D428D" w:rsidRPr="004676F5" w:rsidRDefault="000D428D" w:rsidP="009D749E">
      <w:pPr>
        <w:jc w:val="both"/>
        <w:rPr>
          <w:lang w:val="de-DE"/>
        </w:rPr>
      </w:pPr>
      <w:r w:rsidRPr="004676F5">
        <w:rPr>
          <w:lang w:val="de-DE"/>
        </w:rPr>
        <w:tab/>
        <w:t>[5. eintragungspflichtiges Unternehmen: Körperschaft, die sich aufgrund des Artikels III.49 eintragen lassen muss</w:t>
      </w:r>
      <w:r w:rsidR="00CB56FE" w:rsidRPr="004676F5">
        <w:rPr>
          <w:lang w:val="de-DE"/>
        </w:rPr>
        <w:t>,</w:t>
      </w:r>
      <w:r w:rsidRPr="004676F5">
        <w:rPr>
          <w:lang w:val="de-DE"/>
        </w:rPr>
        <w:t>]</w:t>
      </w:r>
    </w:p>
    <w:p w14:paraId="34DB73EE" w14:textId="77777777" w:rsidR="00CB56FE" w:rsidRPr="004676F5" w:rsidRDefault="00CB56FE" w:rsidP="009D749E">
      <w:pPr>
        <w:jc w:val="both"/>
        <w:rPr>
          <w:lang w:val="de-DE"/>
        </w:rPr>
      </w:pPr>
    </w:p>
    <w:p w14:paraId="37ABC6E8" w14:textId="18B927EF" w:rsidR="00CB56FE" w:rsidRPr="004676F5" w:rsidRDefault="00CB56FE" w:rsidP="00CB56FE">
      <w:pPr>
        <w:jc w:val="both"/>
        <w:rPr>
          <w:lang w:val="de-DE"/>
        </w:rPr>
      </w:pPr>
      <w:r w:rsidRPr="004676F5">
        <w:rPr>
          <w:lang w:val="de-DE"/>
        </w:rPr>
        <w:tab/>
        <w:t>[6. aktiver Gesellschafter: Person wie in Artikel 23</w:t>
      </w:r>
      <w:r w:rsidRPr="004676F5">
        <w:rPr>
          <w:i/>
          <w:iCs/>
          <w:lang w:val="de-DE"/>
        </w:rPr>
        <w:t>bis</w:t>
      </w:r>
      <w:r w:rsidRPr="004676F5">
        <w:rPr>
          <w:lang w:val="de-DE"/>
        </w:rPr>
        <w:t>/1 des Königlichen Erlasses Nr. 38 vom 27. Juli 1967 zur Einführung des Sozialstatuts der Selbständigen bestimmt,</w:t>
      </w:r>
    </w:p>
    <w:p w14:paraId="53FA8095" w14:textId="77777777" w:rsidR="00CB56FE" w:rsidRPr="004676F5" w:rsidRDefault="00CB56FE" w:rsidP="00CB56FE">
      <w:pPr>
        <w:jc w:val="both"/>
        <w:rPr>
          <w:lang w:val="de-DE"/>
        </w:rPr>
      </w:pPr>
    </w:p>
    <w:p w14:paraId="7F53E859" w14:textId="7C6F7396" w:rsidR="00CB56FE" w:rsidRPr="004676F5" w:rsidRDefault="00CB56FE" w:rsidP="00CB56FE">
      <w:pPr>
        <w:jc w:val="both"/>
        <w:rPr>
          <w:lang w:val="de-DE"/>
        </w:rPr>
      </w:pPr>
      <w:r w:rsidRPr="004676F5">
        <w:rPr>
          <w:lang w:val="de-DE"/>
        </w:rPr>
        <w:tab/>
        <w:t>7. Helfer: Person wie in Artikel 6 des Königlichen Erlasses Nr. 38 vom 27. Juli 1967 zur Einführung des Sozialstatuts der Selbständigen bestimmt, mit Ausnahme der in den Artikeln 7 und 7</w:t>
      </w:r>
      <w:r w:rsidRPr="004676F5">
        <w:rPr>
          <w:i/>
          <w:iCs/>
          <w:lang w:val="de-DE"/>
        </w:rPr>
        <w:t xml:space="preserve">bis </w:t>
      </w:r>
      <w:r w:rsidRPr="004676F5">
        <w:rPr>
          <w:lang w:val="de-DE"/>
        </w:rPr>
        <w:t>desselben Erlasses erwähnten Personen.]</w:t>
      </w:r>
    </w:p>
    <w:p w14:paraId="25C703A9" w14:textId="5EE42E34" w:rsidR="000D428D" w:rsidRPr="004676F5" w:rsidRDefault="000D428D" w:rsidP="009D749E">
      <w:pPr>
        <w:jc w:val="both"/>
        <w:rPr>
          <w:lang w:val="de-DE"/>
        </w:rPr>
      </w:pPr>
    </w:p>
    <w:p w14:paraId="72CD697D" w14:textId="5C93D5F5" w:rsidR="000D428D" w:rsidRPr="004676F5" w:rsidRDefault="000D428D" w:rsidP="009D749E">
      <w:pPr>
        <w:jc w:val="both"/>
        <w:rPr>
          <w:i/>
          <w:lang w:val="de-DE"/>
        </w:rPr>
      </w:pPr>
      <w:r w:rsidRPr="004676F5">
        <w:rPr>
          <w:i/>
          <w:lang w:val="de-DE"/>
        </w:rPr>
        <w:t>[Art. I.4 einziger Absatz Nr. 1 abgeändert durch Art. 37 Buchstabe a)</w:t>
      </w:r>
      <w:r w:rsidRPr="004676F5">
        <w:rPr>
          <w:i/>
          <w:iCs/>
          <w:lang w:val="de-DE"/>
        </w:rPr>
        <w:t xml:space="preserve"> des G. vom 15. April 2018 (B.S. vom 27. April 2018); einziger Absatz Nr. 5 eingefügt durch Art. 37 Buchstabe b) des G. vom 15. April 2018 (B.S. vom 27. April 2018)</w:t>
      </w:r>
      <w:r w:rsidR="00CB56FE" w:rsidRPr="004676F5">
        <w:rPr>
          <w:i/>
          <w:iCs/>
          <w:lang w:val="de-DE"/>
        </w:rPr>
        <w:t>; einziger Absatz Nr. 6 und 7 eingefügt durch Art. 72 des G. vom 22. Dezember 2023 (B.S. vom 29. Dezember 2023)</w:t>
      </w:r>
      <w:r w:rsidRPr="004676F5">
        <w:rPr>
          <w:i/>
          <w:iCs/>
          <w:lang w:val="de-DE"/>
        </w:rPr>
        <w:t>]</w:t>
      </w:r>
    </w:p>
    <w:p w14:paraId="759D32E1" w14:textId="77777777" w:rsidR="009D749E" w:rsidRPr="004676F5" w:rsidRDefault="009D749E" w:rsidP="009D749E">
      <w:pPr>
        <w:jc w:val="both"/>
        <w:rPr>
          <w:lang w:val="de-DE"/>
        </w:rPr>
      </w:pPr>
    </w:p>
    <w:p w14:paraId="2AB5E5D7" w14:textId="17E91A41" w:rsidR="00D84EB4" w:rsidRPr="004676F5" w:rsidRDefault="00D84EB4" w:rsidP="009D749E">
      <w:pPr>
        <w:jc w:val="both"/>
        <w:rPr>
          <w:lang w:val="de-DE"/>
        </w:rPr>
      </w:pPr>
    </w:p>
    <w:p w14:paraId="0C4F08BA" w14:textId="0ACBE2AA" w:rsidR="000D428D" w:rsidRPr="004676F5" w:rsidRDefault="000D428D" w:rsidP="000D428D">
      <w:pPr>
        <w:ind w:firstLine="708"/>
        <w:jc w:val="both"/>
        <w:rPr>
          <w:lang w:val="de-DE"/>
        </w:rPr>
      </w:pPr>
      <w:r w:rsidRPr="004676F5">
        <w:rPr>
          <w:lang w:val="de-DE"/>
        </w:rPr>
        <w:t>[</w:t>
      </w:r>
      <w:r w:rsidRPr="004676F5">
        <w:rPr>
          <w:b/>
          <w:lang w:val="de-DE"/>
        </w:rPr>
        <w:t>Art. I.4/1</w:t>
      </w:r>
      <w:r w:rsidRPr="004676F5">
        <w:rPr>
          <w:lang w:val="de-DE"/>
        </w:rPr>
        <w:t> </w:t>
      </w:r>
      <w:r w:rsidR="005B7A5C" w:rsidRPr="004676F5">
        <w:rPr>
          <w:lang w:val="de-DE"/>
        </w:rPr>
        <w:t>- </w:t>
      </w:r>
      <w:r w:rsidRPr="004676F5">
        <w:rPr>
          <w:lang w:val="de-DE"/>
        </w:rPr>
        <w:t>Folgende Begriffsbestimmung gilt für Buch III Titel 3 Kapitel 1:</w:t>
      </w:r>
    </w:p>
    <w:p w14:paraId="4F0E8A1B" w14:textId="77777777" w:rsidR="000D428D" w:rsidRPr="004676F5" w:rsidRDefault="000D428D" w:rsidP="000D428D">
      <w:pPr>
        <w:ind w:firstLine="708"/>
        <w:jc w:val="both"/>
        <w:rPr>
          <w:lang w:val="de-DE"/>
        </w:rPr>
      </w:pPr>
    </w:p>
    <w:p w14:paraId="64A0F632" w14:textId="4AE13A26" w:rsidR="000D428D" w:rsidRPr="004676F5" w:rsidRDefault="000D428D" w:rsidP="000D428D">
      <w:pPr>
        <w:jc w:val="both"/>
        <w:rPr>
          <w:lang w:val="de-DE"/>
        </w:rPr>
      </w:pPr>
      <w:r w:rsidRPr="004676F5">
        <w:rPr>
          <w:lang w:val="de-DE"/>
        </w:rPr>
        <w:tab/>
        <w:t>1. Unternehmen: natürliche oder juristische Personen, die auf dauerhafte Weise einen wirtschaftlichen Zweck verfolgen, und ihre Vereinigungen.]</w:t>
      </w:r>
    </w:p>
    <w:p w14:paraId="3A777068" w14:textId="3D809567" w:rsidR="000D428D" w:rsidRPr="004676F5" w:rsidRDefault="000D428D" w:rsidP="000D428D">
      <w:pPr>
        <w:jc w:val="both"/>
        <w:rPr>
          <w:lang w:val="de-DE"/>
        </w:rPr>
      </w:pPr>
    </w:p>
    <w:p w14:paraId="08F062D8" w14:textId="367B0794" w:rsidR="000D428D" w:rsidRPr="004676F5" w:rsidRDefault="000D428D" w:rsidP="000D428D">
      <w:pPr>
        <w:jc w:val="both"/>
        <w:rPr>
          <w:i/>
          <w:iCs/>
          <w:lang w:val="de-DE"/>
        </w:rPr>
      </w:pPr>
      <w:r w:rsidRPr="004676F5">
        <w:rPr>
          <w:i/>
          <w:lang w:val="de-DE"/>
        </w:rPr>
        <w:t>[Art. I.4/1 eingefügt durch Art. 38</w:t>
      </w:r>
      <w:r w:rsidRPr="004676F5">
        <w:rPr>
          <w:i/>
          <w:iCs/>
          <w:lang w:val="de-DE"/>
        </w:rPr>
        <w:t xml:space="preserve"> des G. vom 15. April 2018 (B.S. vom 27. April 2018)]</w:t>
      </w:r>
    </w:p>
    <w:p w14:paraId="28DE8F16" w14:textId="77777777" w:rsidR="000D428D" w:rsidRPr="004676F5" w:rsidRDefault="000D428D" w:rsidP="000D428D">
      <w:pPr>
        <w:jc w:val="both"/>
        <w:rPr>
          <w:i/>
          <w:lang w:val="de-DE"/>
        </w:rPr>
      </w:pPr>
    </w:p>
    <w:p w14:paraId="4F564BDE" w14:textId="77777777" w:rsidR="000D428D" w:rsidRPr="004676F5" w:rsidRDefault="000D428D" w:rsidP="000D428D">
      <w:pPr>
        <w:jc w:val="both"/>
        <w:rPr>
          <w:b/>
          <w:lang w:val="de-DE"/>
        </w:rPr>
      </w:pPr>
    </w:p>
    <w:p w14:paraId="20B78B8E" w14:textId="400C606B" w:rsidR="000D428D" w:rsidRPr="004676F5" w:rsidRDefault="00BE0A56" w:rsidP="000D428D">
      <w:pPr>
        <w:ind w:firstLine="708"/>
        <w:jc w:val="both"/>
        <w:rPr>
          <w:lang w:val="de-DE"/>
        </w:rPr>
      </w:pPr>
      <w:r w:rsidRPr="004676F5">
        <w:rPr>
          <w:b/>
          <w:lang w:val="de-DE"/>
        </w:rPr>
        <w:t>Art. </w:t>
      </w:r>
      <w:r w:rsidR="009D749E" w:rsidRPr="004676F5">
        <w:rPr>
          <w:b/>
          <w:lang w:val="de-DE"/>
        </w:rPr>
        <w:t>I.5</w:t>
      </w:r>
      <w:r w:rsidR="009D749E" w:rsidRPr="004676F5">
        <w:rPr>
          <w:lang w:val="de-DE"/>
        </w:rPr>
        <w:t> </w:t>
      </w:r>
      <w:r w:rsidR="005B7A5C" w:rsidRPr="004676F5">
        <w:rPr>
          <w:lang w:val="de-DE"/>
        </w:rPr>
        <w:t>- </w:t>
      </w:r>
      <w:r w:rsidR="000D428D" w:rsidRPr="004676F5">
        <w:rPr>
          <w:lang w:val="de-DE"/>
        </w:rPr>
        <w:t>[Folgende Begriffsbestimmung gilt für Buch III Titel 3 Kapitel 2:</w:t>
      </w:r>
    </w:p>
    <w:p w14:paraId="3C718D8B" w14:textId="77777777" w:rsidR="000D428D" w:rsidRPr="004676F5" w:rsidRDefault="000D428D" w:rsidP="000D428D">
      <w:pPr>
        <w:ind w:firstLine="708"/>
        <w:jc w:val="both"/>
        <w:rPr>
          <w:lang w:val="de-DE"/>
        </w:rPr>
      </w:pPr>
    </w:p>
    <w:p w14:paraId="68B10C69" w14:textId="607292B5" w:rsidR="000C0E31" w:rsidRPr="004676F5" w:rsidRDefault="000D428D" w:rsidP="000D428D">
      <w:pPr>
        <w:jc w:val="both"/>
        <w:rPr>
          <w:lang w:val="de-DE"/>
        </w:rPr>
      </w:pPr>
      <w:r w:rsidRPr="004676F5">
        <w:rPr>
          <w:lang w:val="de-DE"/>
        </w:rPr>
        <w:tab/>
        <w:t>1. buchführungspflichtiges Unternehmen: ein Unternehmen im Sinne von Artikel III.82.</w:t>
      </w:r>
      <w:r w:rsidR="00D84EB4" w:rsidRPr="004676F5">
        <w:rPr>
          <w:lang w:val="de-DE"/>
        </w:rPr>
        <w:t>]</w:t>
      </w:r>
    </w:p>
    <w:p w14:paraId="6B361071" w14:textId="267301A6" w:rsidR="00D84EB4" w:rsidRPr="004676F5" w:rsidRDefault="00D84EB4" w:rsidP="00D84EB4">
      <w:pPr>
        <w:jc w:val="both"/>
        <w:rPr>
          <w:b/>
          <w:lang w:val="de-DE"/>
        </w:rPr>
      </w:pPr>
    </w:p>
    <w:p w14:paraId="2512F341" w14:textId="545139A5" w:rsidR="000D428D" w:rsidRPr="004676F5" w:rsidRDefault="000D428D" w:rsidP="00D84EB4">
      <w:pPr>
        <w:jc w:val="both"/>
        <w:rPr>
          <w:i/>
          <w:iCs/>
          <w:lang w:val="de-DE"/>
        </w:rPr>
      </w:pPr>
      <w:r w:rsidRPr="004676F5">
        <w:rPr>
          <w:i/>
          <w:lang w:val="de-DE"/>
        </w:rPr>
        <w:t>[Art. I.5 ersetzt durch Art. 39</w:t>
      </w:r>
      <w:r w:rsidRPr="004676F5">
        <w:rPr>
          <w:i/>
          <w:iCs/>
          <w:lang w:val="de-DE"/>
        </w:rPr>
        <w:t xml:space="preserve"> des G. vom 15. April 2018 (B.S. vom 27. April 2018)]</w:t>
      </w:r>
    </w:p>
    <w:p w14:paraId="4B1D554B" w14:textId="77777777" w:rsidR="000D428D" w:rsidRPr="004676F5" w:rsidRDefault="000D428D" w:rsidP="00D84EB4">
      <w:pPr>
        <w:jc w:val="both"/>
        <w:rPr>
          <w:i/>
          <w:lang w:val="de-DE"/>
        </w:rPr>
      </w:pPr>
    </w:p>
    <w:p w14:paraId="14219D9D" w14:textId="77777777" w:rsidR="000C0E31" w:rsidRPr="004676F5" w:rsidRDefault="000C0E31" w:rsidP="00F94546">
      <w:pPr>
        <w:jc w:val="center"/>
        <w:rPr>
          <w:b/>
          <w:lang w:val="de-DE"/>
        </w:rPr>
      </w:pPr>
    </w:p>
    <w:p w14:paraId="68A84C80" w14:textId="77777777" w:rsidR="00D84EB4" w:rsidRPr="004676F5" w:rsidRDefault="00D84EB4">
      <w:pPr>
        <w:rPr>
          <w:lang w:val="de-DE"/>
        </w:rPr>
      </w:pPr>
      <w:r w:rsidRPr="004676F5">
        <w:rPr>
          <w:lang w:val="de-DE"/>
        </w:rPr>
        <w:br w:type="page"/>
      </w:r>
    </w:p>
    <w:p w14:paraId="1B8BBABF" w14:textId="4A621672" w:rsidR="007F57BA" w:rsidRPr="004676F5" w:rsidRDefault="007F57BA" w:rsidP="007F57BA">
      <w:pPr>
        <w:jc w:val="center"/>
        <w:rPr>
          <w:lang w:val="de-DE"/>
        </w:rPr>
      </w:pPr>
      <w:r w:rsidRPr="004676F5">
        <w:rPr>
          <w:lang w:val="de-DE"/>
        </w:rPr>
        <w:lastRenderedPageBreak/>
        <w:t>[KAPITEL 2 </w:t>
      </w:r>
      <w:r w:rsidR="005B7A5C" w:rsidRPr="004676F5">
        <w:rPr>
          <w:lang w:val="de-DE"/>
        </w:rPr>
        <w:t>- </w:t>
      </w:r>
      <w:r w:rsidR="00D504F9" w:rsidRPr="004676F5">
        <w:rPr>
          <w:lang w:val="de-DE"/>
        </w:rPr>
        <w:t>[</w:t>
      </w:r>
      <w:r w:rsidRPr="004676F5">
        <w:rPr>
          <w:i/>
          <w:lang w:val="de-DE"/>
        </w:rPr>
        <w:t>Begriffsbestimmungen Buch IV</w:t>
      </w:r>
      <w:r w:rsidR="00D504F9" w:rsidRPr="004676F5">
        <w:rPr>
          <w:lang w:val="de-DE"/>
        </w:rPr>
        <w:t>]</w:t>
      </w:r>
    </w:p>
    <w:p w14:paraId="5A87E89C" w14:textId="77777777" w:rsidR="007F57BA" w:rsidRPr="004676F5" w:rsidRDefault="007F57BA" w:rsidP="007F57BA">
      <w:pPr>
        <w:jc w:val="both"/>
        <w:rPr>
          <w:lang w:val="de-DE"/>
        </w:rPr>
      </w:pPr>
    </w:p>
    <w:p w14:paraId="2AF37D7E" w14:textId="5F295750" w:rsidR="007F57BA" w:rsidRPr="004676F5" w:rsidRDefault="007F57BA" w:rsidP="007F57BA">
      <w:pPr>
        <w:jc w:val="both"/>
        <w:rPr>
          <w:i/>
          <w:lang w:val="de-DE"/>
        </w:rPr>
      </w:pPr>
      <w:r w:rsidRPr="004676F5">
        <w:rPr>
          <w:i/>
          <w:lang w:val="de-DE"/>
        </w:rPr>
        <w:t>[Kapitel</w:t>
      </w:r>
      <w:r w:rsidR="00BE3682" w:rsidRPr="004676F5">
        <w:rPr>
          <w:i/>
          <w:lang w:val="de-DE"/>
        </w:rPr>
        <w:t> </w:t>
      </w:r>
      <w:r w:rsidRPr="004676F5">
        <w:rPr>
          <w:i/>
          <w:lang w:val="de-DE"/>
        </w:rPr>
        <w:t xml:space="preserve">2 mit </w:t>
      </w:r>
      <w:r w:rsidR="00BE0A56" w:rsidRPr="004676F5">
        <w:rPr>
          <w:i/>
          <w:lang w:val="de-DE"/>
        </w:rPr>
        <w:t>Art. </w:t>
      </w:r>
      <w:r w:rsidRPr="004676F5">
        <w:rPr>
          <w:i/>
          <w:lang w:val="de-DE"/>
        </w:rPr>
        <w:t xml:space="preserve">I.6 eingefügt durch </w:t>
      </w:r>
      <w:r w:rsidR="00BE0A56" w:rsidRPr="004676F5">
        <w:rPr>
          <w:i/>
          <w:lang w:val="de-DE"/>
        </w:rPr>
        <w:t>Art. </w:t>
      </w:r>
      <w:r w:rsidRPr="004676F5">
        <w:rPr>
          <w:i/>
          <w:lang w:val="de-DE"/>
        </w:rPr>
        <w:t>2 des G. vom 3. April 2013</w:t>
      </w:r>
      <w:r w:rsidR="00BE3682" w:rsidRPr="004676F5">
        <w:rPr>
          <w:i/>
          <w:lang w:val="de-DE"/>
        </w:rPr>
        <w:t> </w:t>
      </w:r>
      <w:r w:rsidR="0082197D" w:rsidRPr="004676F5">
        <w:rPr>
          <w:i/>
          <w:lang w:val="de-DE"/>
        </w:rPr>
        <w:t xml:space="preserve">(I) </w:t>
      </w:r>
      <w:r w:rsidRPr="004676F5">
        <w:rPr>
          <w:i/>
          <w:lang w:val="de-DE"/>
        </w:rPr>
        <w:t>(B.S. vom 26. April 2013)</w:t>
      </w:r>
      <w:r w:rsidR="00E14321" w:rsidRPr="004676F5">
        <w:rPr>
          <w:i/>
          <w:lang w:val="de-DE"/>
        </w:rPr>
        <w:t xml:space="preserve">; </w:t>
      </w:r>
      <w:r w:rsidR="00D504F9" w:rsidRPr="004676F5">
        <w:rPr>
          <w:i/>
          <w:lang w:val="de-DE"/>
        </w:rPr>
        <w:t xml:space="preserve">Überschrift </w:t>
      </w:r>
      <w:r w:rsidR="00E14321" w:rsidRPr="004676F5">
        <w:rPr>
          <w:i/>
          <w:lang w:val="de-DE"/>
        </w:rPr>
        <w:t xml:space="preserve">von Kapitel 2 </w:t>
      </w:r>
      <w:r w:rsidR="00D504F9" w:rsidRPr="004676F5">
        <w:rPr>
          <w:i/>
          <w:lang w:val="de-DE"/>
        </w:rPr>
        <w:t xml:space="preserve">ersetzt durch </w:t>
      </w:r>
      <w:r w:rsidR="00BE0A56" w:rsidRPr="004676F5">
        <w:rPr>
          <w:i/>
          <w:lang w:val="de-DE"/>
        </w:rPr>
        <w:t>Art. </w:t>
      </w:r>
      <w:r w:rsidR="00D504F9" w:rsidRPr="004676F5">
        <w:rPr>
          <w:i/>
          <w:lang w:val="de-DE"/>
        </w:rPr>
        <w:t>2 des G. vom 29. Juni 2016 (B.S. vom 6. Juli 2016)</w:t>
      </w:r>
      <w:r w:rsidRPr="004676F5">
        <w:rPr>
          <w:i/>
          <w:lang w:val="de-DE"/>
        </w:rPr>
        <w:t>]</w:t>
      </w:r>
    </w:p>
    <w:p w14:paraId="5A2215ED" w14:textId="77777777" w:rsidR="007F57BA" w:rsidRPr="004676F5" w:rsidRDefault="007F57BA" w:rsidP="007F57BA">
      <w:pPr>
        <w:jc w:val="both"/>
        <w:rPr>
          <w:i/>
          <w:lang w:val="de-DE"/>
        </w:rPr>
      </w:pPr>
    </w:p>
    <w:p w14:paraId="68B0060D" w14:textId="77777777" w:rsidR="007F57BA" w:rsidRPr="004676F5" w:rsidRDefault="007F57BA" w:rsidP="007F57BA">
      <w:pPr>
        <w:jc w:val="both"/>
        <w:rPr>
          <w:i/>
          <w:lang w:val="de-DE"/>
        </w:rPr>
      </w:pPr>
    </w:p>
    <w:p w14:paraId="041D0F3D" w14:textId="20DCF1DC" w:rsidR="00AF6977" w:rsidRPr="004676F5" w:rsidRDefault="00BE0A56" w:rsidP="00AF6977">
      <w:pPr>
        <w:ind w:firstLine="708"/>
        <w:jc w:val="both"/>
        <w:rPr>
          <w:lang w:val="de-DE"/>
        </w:rPr>
      </w:pPr>
      <w:r w:rsidRPr="004676F5">
        <w:rPr>
          <w:b/>
          <w:lang w:val="de-DE"/>
        </w:rPr>
        <w:t>Art. </w:t>
      </w:r>
      <w:r w:rsidR="00375BBA" w:rsidRPr="004676F5">
        <w:rPr>
          <w:b/>
          <w:lang w:val="de-DE"/>
        </w:rPr>
        <w:t>I.6</w:t>
      </w:r>
      <w:r w:rsidR="00375BBA" w:rsidRPr="004676F5">
        <w:rPr>
          <w:lang w:val="de-DE"/>
        </w:rPr>
        <w:t> </w:t>
      </w:r>
      <w:r w:rsidR="005B7A5C" w:rsidRPr="004676F5">
        <w:rPr>
          <w:lang w:val="de-DE"/>
        </w:rPr>
        <w:t>- </w:t>
      </w:r>
      <w:r w:rsidR="00375BBA" w:rsidRPr="004676F5">
        <w:rPr>
          <w:lang w:val="de-DE"/>
        </w:rPr>
        <w:t>[</w:t>
      </w:r>
      <w:r w:rsidR="00AF6977" w:rsidRPr="004676F5">
        <w:rPr>
          <w:lang w:val="de-DE"/>
        </w:rPr>
        <w:t>Für die Anwendung von Buch IV gelten folgende Begriffsbestimmungen:</w:t>
      </w:r>
    </w:p>
    <w:p w14:paraId="69DE3E6C" w14:textId="77777777" w:rsidR="00AF6977" w:rsidRPr="004676F5" w:rsidRDefault="00AF6977" w:rsidP="00AF6977">
      <w:pPr>
        <w:jc w:val="both"/>
        <w:rPr>
          <w:lang w:val="de-DE"/>
        </w:rPr>
      </w:pPr>
    </w:p>
    <w:p w14:paraId="0E0D95F8" w14:textId="77777777" w:rsidR="00AF6977" w:rsidRPr="004676F5" w:rsidRDefault="00AF6977" w:rsidP="00AF6977">
      <w:pPr>
        <w:jc w:val="both"/>
        <w:rPr>
          <w:lang w:val="de-DE"/>
        </w:rPr>
      </w:pPr>
      <w:r w:rsidRPr="004676F5">
        <w:rPr>
          <w:lang w:val="de-DE"/>
        </w:rPr>
        <w:tab/>
        <w:t>1. nationale Wettbewerbsbehörde: Belgische Wettbewerbsbehörde oder eine andere für die Anwendung der Artikel 101 und 102 des Vertrags über die Arbeitsweise der Europäischen Union (im Nachfolgenden AEUV) zuständige Behörde, die von einem Mitgliedstaat nach Artikel 35 der Verordnung (EG) Nr. 1/2003 des Rates vom 16. Dezember 2002 zur Durchführung der in den Artikeln 81 und 82 des Vertrags niedergelegten Wettbewerbsregeln bestimmt worden ist,</w:t>
      </w:r>
    </w:p>
    <w:p w14:paraId="3A3F11AD" w14:textId="77777777" w:rsidR="00AF6977" w:rsidRPr="004676F5" w:rsidRDefault="00AF6977" w:rsidP="00AF6977">
      <w:pPr>
        <w:jc w:val="both"/>
        <w:rPr>
          <w:lang w:val="de-DE"/>
        </w:rPr>
      </w:pPr>
    </w:p>
    <w:p w14:paraId="2095F7BC" w14:textId="77777777" w:rsidR="00AF6977" w:rsidRPr="004676F5" w:rsidRDefault="00AF6977" w:rsidP="00AF6977">
      <w:pPr>
        <w:jc w:val="both"/>
        <w:rPr>
          <w:lang w:val="de-DE"/>
        </w:rPr>
      </w:pPr>
      <w:r w:rsidRPr="004676F5">
        <w:rPr>
          <w:lang w:val="de-DE"/>
        </w:rPr>
        <w:tab/>
        <w:t>2. Wettbewerbsbehörde: die Europäische Kommission oder eine nationale Wettbewerbsbehörde oder beide, je nach Zusammenhang,</w:t>
      </w:r>
    </w:p>
    <w:p w14:paraId="344DB1A0" w14:textId="77777777" w:rsidR="00AF6977" w:rsidRPr="004676F5" w:rsidRDefault="00AF6977" w:rsidP="00AF6977">
      <w:pPr>
        <w:jc w:val="both"/>
        <w:rPr>
          <w:lang w:val="de-DE"/>
        </w:rPr>
      </w:pPr>
    </w:p>
    <w:p w14:paraId="23A42829" w14:textId="77777777" w:rsidR="00AF6977" w:rsidRPr="004676F5" w:rsidRDefault="00AF6977" w:rsidP="00AF6977">
      <w:pPr>
        <w:jc w:val="both"/>
        <w:rPr>
          <w:lang w:val="de-DE"/>
        </w:rPr>
      </w:pPr>
      <w:r w:rsidRPr="004676F5">
        <w:rPr>
          <w:lang w:val="de-DE"/>
        </w:rPr>
        <w:tab/>
        <w:t>3. Europäisches Wettbewerbsnetz: das aus den nationalen Wettbewerbsbehörden und der Europäischen Kommission bestehende Behördennetz, das ein Forum für Diskussion und Zusammenarbeit im Hinblick auf die Anwendung und Durchsetzung der Artikel 101 und 102 AEUV bildet,</w:t>
      </w:r>
    </w:p>
    <w:p w14:paraId="6BA568FC" w14:textId="77777777" w:rsidR="00AF6977" w:rsidRPr="004676F5" w:rsidRDefault="00AF6977" w:rsidP="00AF6977">
      <w:pPr>
        <w:jc w:val="both"/>
        <w:rPr>
          <w:lang w:val="de-DE"/>
        </w:rPr>
      </w:pPr>
    </w:p>
    <w:p w14:paraId="43B97F50" w14:textId="77777777" w:rsidR="00AF6977" w:rsidRPr="004676F5" w:rsidRDefault="00AF6977" w:rsidP="00AF6977">
      <w:pPr>
        <w:jc w:val="both"/>
        <w:rPr>
          <w:lang w:val="de-DE"/>
        </w:rPr>
      </w:pPr>
      <w:r w:rsidRPr="004676F5">
        <w:rPr>
          <w:lang w:val="de-DE"/>
        </w:rPr>
        <w:tab/>
        <w:t>4. Belgische Wettbewerbsbehörde: durch das Gesetz vom 3. April 2013 geschaffene, in Artikel IV.16 erwähnte nationale Wettbewerbsbehörde Belgiens,</w:t>
      </w:r>
    </w:p>
    <w:p w14:paraId="3E55EBF7" w14:textId="77777777" w:rsidR="00AF6977" w:rsidRPr="004676F5" w:rsidRDefault="00AF6977" w:rsidP="00AF6977">
      <w:pPr>
        <w:jc w:val="both"/>
        <w:rPr>
          <w:lang w:val="de-DE"/>
        </w:rPr>
      </w:pPr>
    </w:p>
    <w:p w14:paraId="014A3CA6" w14:textId="79F28F9F" w:rsidR="00AF6977" w:rsidRPr="004676F5" w:rsidRDefault="00AF6977" w:rsidP="00AF6977">
      <w:pPr>
        <w:jc w:val="both"/>
        <w:rPr>
          <w:lang w:val="de-DE"/>
        </w:rPr>
      </w:pPr>
      <w:r w:rsidRPr="004676F5">
        <w:rPr>
          <w:lang w:val="de-DE"/>
        </w:rPr>
        <w:tab/>
        <w:t>5. </w:t>
      </w:r>
      <w:r w:rsidR="00C94F70" w:rsidRPr="004676F5">
        <w:rPr>
          <w:lang w:val="de-DE"/>
        </w:rPr>
        <w:t>[Wettbewerbskollegium: Entscheidungskollegium der Belgischen Wettbewerbs</w:t>
      </w:r>
      <w:r w:rsidR="00C94F70" w:rsidRPr="004676F5">
        <w:rPr>
          <w:lang w:val="de-DE"/>
        </w:rPr>
        <w:softHyphen/>
        <w:t>behörde, das pro Sache gebildet wird, um die in Buch IV Titel 3 Kapitel 1 erwähnten Entscheidungen zu fassen,]</w:t>
      </w:r>
    </w:p>
    <w:p w14:paraId="18055E96" w14:textId="77777777" w:rsidR="00AF6977" w:rsidRPr="004676F5" w:rsidRDefault="00AF6977" w:rsidP="00AF6977">
      <w:pPr>
        <w:jc w:val="both"/>
        <w:rPr>
          <w:lang w:val="de-DE"/>
        </w:rPr>
      </w:pPr>
    </w:p>
    <w:p w14:paraId="210A4F67" w14:textId="77777777" w:rsidR="00AF6977" w:rsidRPr="004676F5" w:rsidRDefault="00AF6977" w:rsidP="00AF6977">
      <w:pPr>
        <w:jc w:val="both"/>
        <w:rPr>
          <w:lang w:val="de-DE"/>
        </w:rPr>
      </w:pPr>
      <w:r w:rsidRPr="004676F5">
        <w:rPr>
          <w:lang w:val="de-DE"/>
        </w:rPr>
        <w:tab/>
        <w:t>6. Präsident: der Präsident der Belgischen Wettbewerbsbehörde,</w:t>
      </w:r>
    </w:p>
    <w:p w14:paraId="2394D628" w14:textId="77777777" w:rsidR="00AF6977" w:rsidRPr="004676F5" w:rsidRDefault="00AF6977" w:rsidP="00AF6977">
      <w:pPr>
        <w:jc w:val="both"/>
        <w:rPr>
          <w:lang w:val="de-DE"/>
        </w:rPr>
      </w:pPr>
    </w:p>
    <w:p w14:paraId="1FE8936A" w14:textId="77777777" w:rsidR="00AF6977" w:rsidRPr="004676F5" w:rsidRDefault="00AF6977" w:rsidP="00AF6977">
      <w:pPr>
        <w:jc w:val="both"/>
        <w:rPr>
          <w:lang w:val="de-DE"/>
        </w:rPr>
      </w:pPr>
      <w:r w:rsidRPr="004676F5">
        <w:rPr>
          <w:lang w:val="de-DE"/>
        </w:rPr>
        <w:tab/>
        <w:t>7. Auditorat: das Auditorat der Belgischen Wettbewerbsbehörde,</w:t>
      </w:r>
    </w:p>
    <w:p w14:paraId="386C014B" w14:textId="77777777" w:rsidR="00AF6977" w:rsidRPr="004676F5" w:rsidRDefault="00AF6977" w:rsidP="00AF6977">
      <w:pPr>
        <w:jc w:val="both"/>
        <w:rPr>
          <w:lang w:val="de-DE"/>
        </w:rPr>
      </w:pPr>
    </w:p>
    <w:p w14:paraId="227A69C9" w14:textId="77777777" w:rsidR="00AF6977" w:rsidRPr="004676F5" w:rsidRDefault="00AF6977" w:rsidP="00AF6977">
      <w:pPr>
        <w:jc w:val="both"/>
        <w:rPr>
          <w:lang w:val="de-DE"/>
        </w:rPr>
      </w:pPr>
      <w:r w:rsidRPr="004676F5">
        <w:rPr>
          <w:lang w:val="de-DE"/>
        </w:rPr>
        <w:tab/>
        <w:t>8. Generalauditor: der Generalauditor der Belgischen Wettbewerbsbehörde,</w:t>
      </w:r>
    </w:p>
    <w:p w14:paraId="4D390369" w14:textId="77777777" w:rsidR="00AF6977" w:rsidRPr="004676F5" w:rsidRDefault="00AF6977" w:rsidP="00AF6977">
      <w:pPr>
        <w:jc w:val="both"/>
        <w:rPr>
          <w:lang w:val="de-DE"/>
        </w:rPr>
      </w:pPr>
    </w:p>
    <w:p w14:paraId="1F44A040" w14:textId="77777777" w:rsidR="00AF6977" w:rsidRPr="004676F5" w:rsidRDefault="00AF6977" w:rsidP="00AF6977">
      <w:pPr>
        <w:jc w:val="both"/>
        <w:rPr>
          <w:lang w:val="de-DE"/>
        </w:rPr>
      </w:pPr>
      <w:r w:rsidRPr="004676F5">
        <w:rPr>
          <w:lang w:val="de-DE"/>
        </w:rPr>
        <w:tab/>
        <w:t>9. Auditor: Personalmitglied des Auditorats, das vom Generalauditor mit der täglichen Leitung der Untersuchung einer Sache beauftragt wird,</w:t>
      </w:r>
    </w:p>
    <w:p w14:paraId="26C46735" w14:textId="77777777" w:rsidR="00AF6977" w:rsidRPr="004676F5" w:rsidRDefault="00AF6977" w:rsidP="00AF6977">
      <w:pPr>
        <w:jc w:val="both"/>
        <w:rPr>
          <w:lang w:val="de-DE"/>
        </w:rPr>
      </w:pPr>
    </w:p>
    <w:p w14:paraId="57B81952" w14:textId="77777777" w:rsidR="00AF6977" w:rsidRPr="004676F5" w:rsidRDefault="00AF6977" w:rsidP="00AF6977">
      <w:pPr>
        <w:jc w:val="both"/>
        <w:rPr>
          <w:lang w:val="de-DE"/>
        </w:rPr>
      </w:pPr>
      <w:r w:rsidRPr="004676F5">
        <w:rPr>
          <w:lang w:val="de-DE"/>
        </w:rPr>
        <w:tab/>
        <w:t>10. Auditor-Berater: in Artikel IV.27 § 4 erwähntes Personalmitglied des Auditorats,</w:t>
      </w:r>
    </w:p>
    <w:p w14:paraId="4CB03A0D" w14:textId="77777777" w:rsidR="00AF6977" w:rsidRPr="004676F5" w:rsidRDefault="00AF6977" w:rsidP="00AF6977">
      <w:pPr>
        <w:jc w:val="both"/>
        <w:rPr>
          <w:lang w:val="de-DE"/>
        </w:rPr>
      </w:pPr>
    </w:p>
    <w:p w14:paraId="1FAFE7B5" w14:textId="77777777" w:rsidR="00AF6977" w:rsidRPr="004676F5" w:rsidRDefault="00AF6977" w:rsidP="00AF6977">
      <w:pPr>
        <w:jc w:val="both"/>
        <w:rPr>
          <w:lang w:val="de-DE"/>
        </w:rPr>
      </w:pPr>
      <w:r w:rsidRPr="004676F5">
        <w:rPr>
          <w:lang w:val="de-DE"/>
        </w:rPr>
        <w:tab/>
        <w:t>11. Untersuchungsteam: Personalmitglieder des Auditorats, die unter der Leitung des Auditors und der allgemeinen Leitung des Generalauditors mit einer Untersuchung beauftragt sind,</w:t>
      </w:r>
    </w:p>
    <w:p w14:paraId="3A58BC35" w14:textId="77777777" w:rsidR="00AF6977" w:rsidRPr="004676F5" w:rsidRDefault="00AF6977" w:rsidP="00AF6977">
      <w:pPr>
        <w:jc w:val="both"/>
        <w:rPr>
          <w:lang w:val="de-DE"/>
        </w:rPr>
      </w:pPr>
    </w:p>
    <w:p w14:paraId="79391298" w14:textId="77777777" w:rsidR="00AF6977" w:rsidRPr="004676F5" w:rsidRDefault="00AF6977" w:rsidP="00AF6977">
      <w:pPr>
        <w:jc w:val="both"/>
        <w:rPr>
          <w:lang w:val="de-DE"/>
        </w:rPr>
      </w:pPr>
      <w:r w:rsidRPr="004676F5">
        <w:rPr>
          <w:lang w:val="de-DE"/>
        </w:rPr>
        <w:tab/>
        <w:t>12. Unternehmen: natürliche oder juristische Personen, die auf dauerhafte Weise einen wirtschaftlichen Zweck verfolgen, sowie ihre Vereinigungen,</w:t>
      </w:r>
    </w:p>
    <w:p w14:paraId="1D8B4D27" w14:textId="77777777" w:rsidR="00AF6977" w:rsidRPr="004676F5" w:rsidRDefault="00AF6977" w:rsidP="00AF6977">
      <w:pPr>
        <w:jc w:val="both"/>
        <w:rPr>
          <w:lang w:val="de-DE"/>
        </w:rPr>
      </w:pPr>
    </w:p>
    <w:p w14:paraId="041B956E" w14:textId="74D04960" w:rsidR="00AF6977" w:rsidRPr="004676F5" w:rsidRDefault="00AF6977" w:rsidP="00AF6977">
      <w:pPr>
        <w:jc w:val="both"/>
        <w:rPr>
          <w:lang w:val="de-DE"/>
        </w:rPr>
      </w:pPr>
      <w:r w:rsidRPr="004676F5">
        <w:rPr>
          <w:lang w:val="de-DE"/>
        </w:rPr>
        <w:lastRenderedPageBreak/>
        <w:tab/>
        <w:t>13. </w:t>
      </w:r>
      <w:r w:rsidR="00C94F70" w:rsidRPr="004676F5">
        <w:rPr>
          <w:lang w:val="de-DE"/>
        </w:rPr>
        <w:t>[betroffene Partei: Unternehmen, Unternehmensvereinigung oder natürliche Person, dem/der gegenüber eine Untersuchung geführt und eine Entscheidung getroffen wird wie in Buch IV Titel 3 Kapitel 1 erwähnt,]</w:t>
      </w:r>
    </w:p>
    <w:p w14:paraId="314062A5" w14:textId="77777777" w:rsidR="00AF6977" w:rsidRPr="004676F5" w:rsidRDefault="00AF6977" w:rsidP="00AF6977">
      <w:pPr>
        <w:jc w:val="both"/>
        <w:rPr>
          <w:lang w:val="de-DE"/>
        </w:rPr>
      </w:pPr>
    </w:p>
    <w:p w14:paraId="0E152AF0" w14:textId="77777777" w:rsidR="00AF6977" w:rsidRPr="004676F5" w:rsidRDefault="00AF6977" w:rsidP="00AF6977">
      <w:pPr>
        <w:jc w:val="both"/>
        <w:rPr>
          <w:lang w:val="de-DE"/>
        </w:rPr>
      </w:pPr>
      <w:r w:rsidRPr="004676F5">
        <w:rPr>
          <w:lang w:val="de-DE"/>
        </w:rPr>
        <w:tab/>
        <w:t>14. Besonderer Beratungsausschuss Wettbewerb: in Artikel IV.37 erwähnter Ausschuss,</w:t>
      </w:r>
    </w:p>
    <w:p w14:paraId="5D1CE83E" w14:textId="77777777" w:rsidR="00AF6977" w:rsidRPr="004676F5" w:rsidRDefault="00AF6977" w:rsidP="00AF6977">
      <w:pPr>
        <w:jc w:val="both"/>
        <w:rPr>
          <w:lang w:val="de-DE"/>
        </w:rPr>
      </w:pPr>
    </w:p>
    <w:p w14:paraId="39066F10" w14:textId="77777777" w:rsidR="00AF6977" w:rsidRPr="004676F5" w:rsidRDefault="00AF6977" w:rsidP="00AF6977">
      <w:pPr>
        <w:jc w:val="both"/>
        <w:rPr>
          <w:lang w:val="de-DE"/>
        </w:rPr>
      </w:pPr>
      <w:r w:rsidRPr="004676F5">
        <w:rPr>
          <w:lang w:val="de-DE"/>
        </w:rPr>
        <w:tab/>
        <w:t>15. Zuwiderhandlung gegen das Wettbewerbsrecht: eine Zuwiderhandlung gegen Artikel IV.1, Artikel IV.2 oder Artikel IV.2/1 und/oder gegen Artikel 101 oder 102 AEUV,</w:t>
      </w:r>
    </w:p>
    <w:p w14:paraId="46DF78CD" w14:textId="77777777" w:rsidR="00AF6977" w:rsidRPr="004676F5" w:rsidRDefault="00AF6977" w:rsidP="00AF6977">
      <w:pPr>
        <w:jc w:val="both"/>
        <w:rPr>
          <w:lang w:val="de-DE"/>
        </w:rPr>
      </w:pPr>
    </w:p>
    <w:p w14:paraId="062A2EF6" w14:textId="77777777" w:rsidR="00AF6977" w:rsidRPr="004676F5" w:rsidRDefault="00AF6977" w:rsidP="00AF6977">
      <w:pPr>
        <w:jc w:val="both"/>
        <w:rPr>
          <w:lang w:val="de-DE"/>
        </w:rPr>
      </w:pPr>
      <w:r w:rsidRPr="004676F5">
        <w:rPr>
          <w:lang w:val="de-DE"/>
        </w:rPr>
        <w:tab/>
        <w:t>16. beherrschende Stellung: eine Stellung, die es einem Unternehmen ermöglicht, die Erhaltung eines wirksamen Wettbewerbs zu verhindern und sich gegenüber seinen Konkurrenten, Abnehmern oder Lieferanten merklich unabhängig zu verhalten,</w:t>
      </w:r>
    </w:p>
    <w:p w14:paraId="1B5848B8" w14:textId="77777777" w:rsidR="00AF6977" w:rsidRPr="004676F5" w:rsidRDefault="00AF6977" w:rsidP="00AF6977">
      <w:pPr>
        <w:jc w:val="both"/>
        <w:rPr>
          <w:lang w:val="de-DE"/>
        </w:rPr>
      </w:pPr>
    </w:p>
    <w:p w14:paraId="24EA7AE9" w14:textId="77777777" w:rsidR="00AF6977" w:rsidRPr="004676F5" w:rsidRDefault="00AF6977" w:rsidP="00AF6977">
      <w:pPr>
        <w:jc w:val="both"/>
        <w:rPr>
          <w:lang w:val="de-DE"/>
        </w:rPr>
      </w:pPr>
      <w:r w:rsidRPr="004676F5">
        <w:rPr>
          <w:lang w:val="de-DE"/>
        </w:rPr>
        <w:tab/>
        <w:t>17. Position der wirtschaftlichen Abhängigkeit: Position der Abhängigkeit eines Unternehmens gegenüber einem oder mehreren anderen Unternehmen, die durch das Fehlen einer vernünftigen gleichwertigen Alternative gekennzeichnet ist, die innerhalb eines angemessenen Zeitraums, unter angemessenen Bedingungen und zu angemessenen Kosten verfügbar ist, wodurch letzteres/jedes der letzteren Unternehmen Leistungen oder Bedingungen aufzwingen kann, die unter normalen Marktbedingungen nicht erreicht werden könnten,</w:t>
      </w:r>
    </w:p>
    <w:p w14:paraId="5279FBBC" w14:textId="77777777" w:rsidR="00AF6977" w:rsidRPr="004676F5" w:rsidRDefault="00AF6977" w:rsidP="00AF6977">
      <w:pPr>
        <w:jc w:val="both"/>
        <w:rPr>
          <w:lang w:val="de-DE"/>
        </w:rPr>
      </w:pPr>
    </w:p>
    <w:p w14:paraId="2CBB32E4" w14:textId="344511EE" w:rsidR="00AF6977" w:rsidRPr="004676F5" w:rsidRDefault="00AF6977" w:rsidP="00AF6977">
      <w:pPr>
        <w:jc w:val="both"/>
        <w:rPr>
          <w:lang w:val="de-DE"/>
        </w:rPr>
      </w:pPr>
      <w:r w:rsidRPr="004676F5">
        <w:rPr>
          <w:lang w:val="de-DE"/>
        </w:rPr>
        <w:tab/>
        <w:t xml:space="preserve">18. Kartell: eine Absprache und/oder eine abgestimmte Verhaltensweise zwischen zwei oder mehr konkurrierenden Unternehmen und/oder Unternehmensvereinigungen </w:t>
      </w:r>
      <w:r w:rsidR="005B7A5C" w:rsidRPr="004676F5">
        <w:rPr>
          <w:lang w:val="de-DE"/>
        </w:rPr>
        <w:t>- </w:t>
      </w:r>
      <w:r w:rsidRPr="004676F5">
        <w:rPr>
          <w:lang w:val="de-DE"/>
        </w:rPr>
        <w:t>und gegebenenfalls mit einem oder mehreren nicht konkurrierenden Unternehmen und/oder einer oder mehreren nicht konkurrierenden Unternehmensvereinigungen </w:t>
      </w:r>
      <w:r w:rsidR="005B7A5C" w:rsidRPr="004676F5">
        <w:rPr>
          <w:lang w:val="de-DE"/>
        </w:rPr>
        <w:t>- </w:t>
      </w:r>
      <w:r w:rsidRPr="004676F5">
        <w:rPr>
          <w:lang w:val="de-DE"/>
        </w:rPr>
        <w:t xml:space="preserve">zwecks Abstimmung ihres Wettbewerbsverhaltens auf dem Markt oder Beeinflussung der relevanten Wettbewerbsparameter durch Verhaltensweisen wie unter anderem </w:t>
      </w:r>
      <w:r w:rsidR="005B7A5C" w:rsidRPr="004676F5">
        <w:rPr>
          <w:lang w:val="de-DE"/>
        </w:rPr>
        <w:t>- </w:t>
      </w:r>
      <w:r w:rsidRPr="004676F5">
        <w:rPr>
          <w:lang w:val="de-DE"/>
        </w:rPr>
        <w:t>aber nicht ausschließlich </w:t>
      </w:r>
      <w:r w:rsidR="005B7A5C" w:rsidRPr="004676F5">
        <w:rPr>
          <w:lang w:val="de-DE"/>
        </w:rPr>
        <w:t>- </w:t>
      </w:r>
      <w:r w:rsidRPr="004676F5">
        <w:rPr>
          <w:lang w:val="de-DE"/>
        </w:rPr>
        <w:t>die Festsetzung oder Koordinierung der An</w:t>
      </w:r>
      <w:r w:rsidR="005B7A5C" w:rsidRPr="004676F5">
        <w:rPr>
          <w:lang w:val="de-DE"/>
        </w:rPr>
        <w:t>- </w:t>
      </w:r>
      <w:r w:rsidRPr="004676F5">
        <w:rPr>
          <w:lang w:val="de-DE"/>
        </w:rPr>
        <w:t>oder Verkaufspreise oder sonstiger Geschäftsbedingungen, auch im Zusammenhang mit den Rechten des geistigen Eigentums, die Aufteilung von Produktions</w:t>
      </w:r>
      <w:r w:rsidR="005B7A5C" w:rsidRPr="004676F5">
        <w:rPr>
          <w:lang w:val="de-DE"/>
        </w:rPr>
        <w:t>- </w:t>
      </w:r>
      <w:r w:rsidRPr="004676F5">
        <w:rPr>
          <w:lang w:val="de-DE"/>
        </w:rPr>
        <w:t>oder Absatzquoten, die Aufteilung von Märkten und Kunden einschließlich Angebotsabsprachen bei öffentlichen Aufträgen, Ein</w:t>
      </w:r>
      <w:r w:rsidR="005B7A5C" w:rsidRPr="004676F5">
        <w:rPr>
          <w:lang w:val="de-DE"/>
        </w:rPr>
        <w:t>- </w:t>
      </w:r>
      <w:r w:rsidRPr="004676F5">
        <w:rPr>
          <w:lang w:val="de-DE"/>
        </w:rPr>
        <w:t>und Ausfuhrbeschränkungen oder gegen andere Wettbewerber gerichtete wettbewerbsschädigende Maßnahmen,</w:t>
      </w:r>
    </w:p>
    <w:p w14:paraId="249C1545" w14:textId="77777777" w:rsidR="00AF6977" w:rsidRPr="004676F5" w:rsidRDefault="00AF6977" w:rsidP="00AF6977">
      <w:pPr>
        <w:jc w:val="both"/>
        <w:rPr>
          <w:lang w:val="de-DE"/>
        </w:rPr>
      </w:pPr>
    </w:p>
    <w:p w14:paraId="12E8B3A3" w14:textId="77777777" w:rsidR="00AF6977" w:rsidRPr="004676F5" w:rsidRDefault="00AF6977" w:rsidP="00AF6977">
      <w:pPr>
        <w:jc w:val="both"/>
        <w:rPr>
          <w:lang w:val="de-DE"/>
        </w:rPr>
      </w:pPr>
      <w:r w:rsidRPr="004676F5">
        <w:rPr>
          <w:lang w:val="de-DE"/>
        </w:rPr>
        <w:tab/>
        <w:t>19. geheimes Kartell: ein Kartell, dessen Bestehen ganz oder teilweise verborgen ist,</w:t>
      </w:r>
    </w:p>
    <w:p w14:paraId="04403734" w14:textId="77777777" w:rsidR="00AF6977" w:rsidRPr="004676F5" w:rsidRDefault="00AF6977" w:rsidP="00AF6977">
      <w:pPr>
        <w:jc w:val="both"/>
        <w:rPr>
          <w:lang w:val="de-DE"/>
        </w:rPr>
      </w:pPr>
    </w:p>
    <w:p w14:paraId="2E928834" w14:textId="77777777" w:rsidR="00AF6977" w:rsidRPr="004676F5" w:rsidRDefault="00AF6977" w:rsidP="00AF6977">
      <w:pPr>
        <w:jc w:val="both"/>
        <w:rPr>
          <w:lang w:val="de-DE"/>
        </w:rPr>
      </w:pPr>
      <w:r w:rsidRPr="004676F5">
        <w:rPr>
          <w:lang w:val="de-DE"/>
        </w:rPr>
        <w:tab/>
        <w:t>20. Kronzeugenprogramm: ein Programm in Bezug auf die Anwendung des Artikels IV.1 und/oder des Artikels 101 AEUV, in dessen Rahmen ein an einem geheimen Kartell Beteiligter unabhängig von den übrigen kartellbeteiligten Unternehmen und/oder Unternehmensvereinigungen an einer Untersuchung der Wettbewerbsbehörde mitwirkt, indem der Beteiligte freiwillig seine Kenntnis von dem Kartell und seine Beteiligung daran darlegt und ihm dafür im Gegenzug durch Entscheidung die wegen seiner Beteiligung an dem Kartell zu verhängenden Geldbußen erlassen oder ermäßigt werden. Dieses Programm deckt auch die Befreiung von gerichtlicher Verfolgung ab, die einer in Artikel IV.1 § 4 erwähnten natürlichen Person gewährt werden kann,</w:t>
      </w:r>
    </w:p>
    <w:p w14:paraId="46800337" w14:textId="77777777" w:rsidR="00AF6977" w:rsidRPr="004676F5" w:rsidRDefault="00AF6977" w:rsidP="00AF6977">
      <w:pPr>
        <w:jc w:val="both"/>
        <w:rPr>
          <w:lang w:val="de-DE"/>
        </w:rPr>
      </w:pPr>
    </w:p>
    <w:p w14:paraId="38082408" w14:textId="77777777" w:rsidR="00AF6977" w:rsidRPr="004676F5" w:rsidRDefault="00AF6977" w:rsidP="00AF6977">
      <w:pPr>
        <w:jc w:val="both"/>
        <w:rPr>
          <w:lang w:val="de-DE"/>
        </w:rPr>
      </w:pPr>
      <w:r w:rsidRPr="004676F5">
        <w:rPr>
          <w:lang w:val="de-DE"/>
        </w:rPr>
        <w:tab/>
        <w:t>21. Geldbußenerlass: Umstand, dass einem Unternehmen oder einer Unternehmens</w:t>
      </w:r>
      <w:r w:rsidRPr="004676F5">
        <w:rPr>
          <w:lang w:val="de-DE"/>
        </w:rPr>
        <w:softHyphen/>
        <w:t xml:space="preserve">vereinigung als Anerkennung dafür, dass es/sie im Rahmen eines Kronzeugenprogramms mit einer Wettbewerbsbehörde zusammengearbeitet hat, eine Geldbuße erlassen wird, die ihm/ihr andernfalls wegen seiner/ihrer Beteiligung an einem geheimen Kartell auferlegt worden wäre, </w:t>
      </w:r>
    </w:p>
    <w:p w14:paraId="2B5B1296" w14:textId="77777777" w:rsidR="00AF6977" w:rsidRPr="004676F5" w:rsidRDefault="00AF6977" w:rsidP="00AF6977">
      <w:pPr>
        <w:jc w:val="both"/>
        <w:rPr>
          <w:lang w:val="de-DE"/>
        </w:rPr>
      </w:pPr>
    </w:p>
    <w:p w14:paraId="5FE4C980" w14:textId="77777777" w:rsidR="00AF6977" w:rsidRPr="004676F5" w:rsidRDefault="00AF6977" w:rsidP="00AF6977">
      <w:pPr>
        <w:jc w:val="both"/>
        <w:rPr>
          <w:lang w:val="de-DE"/>
        </w:rPr>
      </w:pPr>
      <w:r w:rsidRPr="004676F5">
        <w:rPr>
          <w:lang w:val="de-DE"/>
        </w:rPr>
        <w:lastRenderedPageBreak/>
        <w:tab/>
        <w:t>22. Geldbußenermäßigung: Umstand, dass die Geldbuße, die einem Unternehmen oder einer Unternehmensvereinigung wegen seiner/ihrer Beteiligung an einem geheimen Kartell auferlegt worden wäre, als Anerkennung dafür, dass es/sie im Rahmen eines Kronzeugenprogramms mit einer Wettbewerbsbehörde zusammengearbeitet hat, ermäßigt wird,</w:t>
      </w:r>
    </w:p>
    <w:p w14:paraId="67131880" w14:textId="77777777" w:rsidR="00AF6977" w:rsidRPr="004676F5" w:rsidRDefault="00AF6977" w:rsidP="00AF6977">
      <w:pPr>
        <w:jc w:val="both"/>
        <w:rPr>
          <w:lang w:val="de-DE"/>
        </w:rPr>
      </w:pPr>
    </w:p>
    <w:p w14:paraId="629FE102" w14:textId="77777777" w:rsidR="00AF6977" w:rsidRPr="004676F5" w:rsidRDefault="00AF6977" w:rsidP="00AF6977">
      <w:pPr>
        <w:jc w:val="both"/>
        <w:rPr>
          <w:lang w:val="de-DE"/>
        </w:rPr>
      </w:pPr>
      <w:r w:rsidRPr="004676F5">
        <w:rPr>
          <w:lang w:val="de-DE"/>
        </w:rPr>
        <w:tab/>
        <w:t>23. Kronzeugenbehandlung: sowohl der Geldbußenerlass als auch die Geldbußen</w:t>
      </w:r>
      <w:r w:rsidRPr="004676F5">
        <w:rPr>
          <w:lang w:val="de-DE"/>
        </w:rPr>
        <w:softHyphen/>
        <w:t>ermäßigung,</w:t>
      </w:r>
    </w:p>
    <w:p w14:paraId="2A87E2E5" w14:textId="77777777" w:rsidR="00AF6977" w:rsidRPr="004676F5" w:rsidRDefault="00AF6977" w:rsidP="00AF6977">
      <w:pPr>
        <w:jc w:val="both"/>
        <w:rPr>
          <w:lang w:val="de-DE"/>
        </w:rPr>
      </w:pPr>
    </w:p>
    <w:p w14:paraId="3A182483" w14:textId="77777777" w:rsidR="00AF6977" w:rsidRPr="004676F5" w:rsidRDefault="00AF6977" w:rsidP="00AF6977">
      <w:pPr>
        <w:jc w:val="both"/>
        <w:rPr>
          <w:lang w:val="de-DE"/>
        </w:rPr>
      </w:pPr>
      <w:r w:rsidRPr="004676F5">
        <w:rPr>
          <w:lang w:val="de-DE"/>
        </w:rPr>
        <w:tab/>
        <w:t>24. Befreiung von gerichtlicher Verfolgung: Befreiung von gerichtlicher Verfolgung, die normalerweise gegen eine natürliche Person wegen ihrer Beteiligung an einem Verstoß gegen Artikel IV.1 § 4 eingeleitet worden wäre, als Anerkennung dafür, dass sie im Rahmen eines Kronzeugenprogramms mit einer Wettbewerbsbehörde zusammengearbeitet hat,</w:t>
      </w:r>
    </w:p>
    <w:p w14:paraId="4B3D8DB5" w14:textId="77777777" w:rsidR="00AF6977" w:rsidRPr="004676F5" w:rsidRDefault="00AF6977" w:rsidP="00AF6977">
      <w:pPr>
        <w:jc w:val="both"/>
        <w:rPr>
          <w:lang w:val="de-DE"/>
        </w:rPr>
      </w:pPr>
    </w:p>
    <w:p w14:paraId="1372239C" w14:textId="77777777" w:rsidR="00AF6977" w:rsidRPr="004676F5" w:rsidRDefault="00AF6977" w:rsidP="00AF6977">
      <w:pPr>
        <w:jc w:val="both"/>
        <w:rPr>
          <w:lang w:val="de-DE"/>
        </w:rPr>
      </w:pPr>
      <w:r w:rsidRPr="004676F5">
        <w:rPr>
          <w:lang w:val="de-DE"/>
        </w:rPr>
        <w:tab/>
        <w:t>25. Beantrager der Kronzeugenbehandlung: ein Unternehmen oder eine Unternehmens</w:t>
      </w:r>
      <w:r w:rsidRPr="004676F5">
        <w:rPr>
          <w:lang w:val="de-DE"/>
        </w:rPr>
        <w:softHyphen/>
        <w:t>vereinigung, das/die im Rahmen eines Kronzeugenprogramms Geldbußenerlass oder -ermäßi</w:t>
      </w:r>
      <w:r w:rsidRPr="004676F5">
        <w:rPr>
          <w:lang w:val="de-DE"/>
        </w:rPr>
        <w:softHyphen/>
        <w:t>gung beantragt,</w:t>
      </w:r>
    </w:p>
    <w:p w14:paraId="1CCCDCC2" w14:textId="77777777" w:rsidR="00AF6977" w:rsidRPr="004676F5" w:rsidRDefault="00AF6977" w:rsidP="00AF6977">
      <w:pPr>
        <w:jc w:val="both"/>
        <w:rPr>
          <w:lang w:val="de-DE"/>
        </w:rPr>
      </w:pPr>
    </w:p>
    <w:p w14:paraId="7A3DC415" w14:textId="77777777" w:rsidR="00AF6977" w:rsidRPr="004676F5" w:rsidRDefault="00AF6977" w:rsidP="00AF6977">
      <w:pPr>
        <w:jc w:val="both"/>
        <w:rPr>
          <w:lang w:val="de-DE"/>
        </w:rPr>
      </w:pPr>
      <w:r w:rsidRPr="004676F5">
        <w:rPr>
          <w:lang w:val="de-DE"/>
        </w:rPr>
        <w:tab/>
        <w:t>26. Beantrager der Befreiung: eine natürliche Person, die im Rahmen eines Kron</w:t>
      </w:r>
      <w:r w:rsidRPr="004676F5">
        <w:rPr>
          <w:lang w:val="de-DE"/>
        </w:rPr>
        <w:softHyphen/>
        <w:t>zeugenprogramms Befreiung von gerichtlicher Verfolgung beantragt,</w:t>
      </w:r>
    </w:p>
    <w:p w14:paraId="2E985004" w14:textId="77777777" w:rsidR="00AF6977" w:rsidRPr="004676F5" w:rsidRDefault="00AF6977" w:rsidP="00AF6977">
      <w:pPr>
        <w:jc w:val="both"/>
        <w:rPr>
          <w:lang w:val="de-DE"/>
        </w:rPr>
      </w:pPr>
    </w:p>
    <w:p w14:paraId="244282FF" w14:textId="77777777" w:rsidR="00AF6977" w:rsidRPr="004676F5" w:rsidRDefault="00AF6977" w:rsidP="00AF6977">
      <w:pPr>
        <w:jc w:val="both"/>
        <w:rPr>
          <w:lang w:val="de-DE"/>
        </w:rPr>
      </w:pPr>
      <w:r w:rsidRPr="004676F5">
        <w:rPr>
          <w:lang w:val="de-DE"/>
        </w:rPr>
        <w:tab/>
        <w:t>27. Kronzeugenerklärung: eine freiwillige mündliche oder schriftliche Darlegung seitens oder im Namen eines Unternehmens, einer Unternehmensvereinigung oder einer natürlichen Person gegenüber einer Wettbewerbsbehörde, in der das Unternehmen, die Unternehmensvereinigung oder die natürliche Person seine/ihre Kenntnis von einem geheimen Kartell und seine/ihre Beteiligung daran darlegt und die eigens zu dem Zweck formuliert wurde, im Rahmen eines Kronzeugenprogramms bei der Wettbewerbsbehörde Erlass oder Ermäßigung von Geldbußen oder Befreiung von gerichtlicher Verfolgung zu erwirken, oder eine Aufzeichnung dieser Darlegung. Dies umfasst nicht bereits vorhandene Informationen, das heißt Beweismittel, die unabhängig von einem wettbewerbsbehördlichen Verfahren vorliegen, unabhängig davon, ob diese Informationen in den Akten einer Wettbewerbsbehörde enthalten sind oder nicht,</w:t>
      </w:r>
    </w:p>
    <w:p w14:paraId="26A82670" w14:textId="77777777" w:rsidR="00AF6977" w:rsidRPr="004676F5" w:rsidRDefault="00AF6977" w:rsidP="00AF6977">
      <w:pPr>
        <w:jc w:val="both"/>
        <w:rPr>
          <w:lang w:val="de-DE"/>
        </w:rPr>
      </w:pPr>
    </w:p>
    <w:p w14:paraId="1BD75A33" w14:textId="77777777" w:rsidR="00AF6977" w:rsidRPr="004676F5" w:rsidRDefault="00AF6977" w:rsidP="00AF6977">
      <w:pPr>
        <w:jc w:val="both"/>
        <w:rPr>
          <w:lang w:val="de-DE"/>
        </w:rPr>
      </w:pPr>
      <w:r w:rsidRPr="004676F5">
        <w:rPr>
          <w:lang w:val="de-DE"/>
        </w:rPr>
        <w:tab/>
        <w:t>28. Antrag auf Kronzeugenbehandlung: Kronzeugenerklärung und in Artikel IV.54 §§ 2 bis 4 erwähnte Informationen und Beweismittel, die zur Erlangung eines Erlasses oder einer Ermäßigung von Geldbußen übermittelt werden,</w:t>
      </w:r>
    </w:p>
    <w:p w14:paraId="2FAC2341" w14:textId="77777777" w:rsidR="00AF6977" w:rsidRPr="004676F5" w:rsidRDefault="00AF6977" w:rsidP="00AF6977">
      <w:pPr>
        <w:jc w:val="both"/>
        <w:rPr>
          <w:lang w:val="de-DE"/>
        </w:rPr>
      </w:pPr>
    </w:p>
    <w:p w14:paraId="79D14E73" w14:textId="77777777" w:rsidR="00AF6977" w:rsidRPr="004676F5" w:rsidRDefault="00AF6977" w:rsidP="00AF6977">
      <w:pPr>
        <w:jc w:val="both"/>
        <w:rPr>
          <w:lang w:val="de-DE"/>
        </w:rPr>
      </w:pPr>
      <w:r w:rsidRPr="004676F5">
        <w:rPr>
          <w:lang w:val="de-DE"/>
        </w:rPr>
        <w:tab/>
        <w:t>29. Befreiungsantrag: Kronzeugenerklärung und in Artikel IV.54/4 § 2 erwähnte Informationen und Beweismittel, die zur Erlangung der Befreiung übermittelt werden,</w:t>
      </w:r>
    </w:p>
    <w:p w14:paraId="6DBB89CF" w14:textId="77777777" w:rsidR="00AF6977" w:rsidRPr="004676F5" w:rsidRDefault="00AF6977" w:rsidP="00AF6977">
      <w:pPr>
        <w:jc w:val="both"/>
        <w:rPr>
          <w:lang w:val="de-DE"/>
        </w:rPr>
      </w:pPr>
    </w:p>
    <w:p w14:paraId="4EA2CA1A" w14:textId="77777777" w:rsidR="00AF6977" w:rsidRPr="004676F5" w:rsidRDefault="00AF6977" w:rsidP="00AF6977">
      <w:pPr>
        <w:jc w:val="both"/>
        <w:rPr>
          <w:lang w:val="de-DE"/>
        </w:rPr>
      </w:pPr>
      <w:r w:rsidRPr="004676F5">
        <w:rPr>
          <w:lang w:val="de-DE"/>
        </w:rPr>
        <w:tab/>
        <w:t>30. Marker: vorläufig gesicherter Rang in der Reihenfolge des Eingangs der Anträge auf Kronzeugenbehandlung in Bezug auf dasselbe geheime Kartell für einen Zeitraum, der je nach Fall festgelegt wird, damit der Beantrager der Kronzeugenbehandlung die Informationen und Beweismittel zusammentragen kann, die erforderlich sind, um den Mindestbeweis</w:t>
      </w:r>
      <w:r w:rsidRPr="004676F5">
        <w:rPr>
          <w:lang w:val="de-DE"/>
        </w:rPr>
        <w:softHyphen/>
        <w:t>anforderungen für den Geldbußenerlass beziehungsweise die Geldbußenermäßigung zu genügen,</w:t>
      </w:r>
    </w:p>
    <w:p w14:paraId="563023AE" w14:textId="77777777" w:rsidR="00AF6977" w:rsidRPr="004676F5" w:rsidRDefault="00AF6977" w:rsidP="00AF6977">
      <w:pPr>
        <w:jc w:val="both"/>
        <w:rPr>
          <w:lang w:val="de-DE"/>
        </w:rPr>
      </w:pPr>
    </w:p>
    <w:p w14:paraId="0FD5BB0E" w14:textId="77777777" w:rsidR="00AF6977" w:rsidRPr="004676F5" w:rsidRDefault="00AF6977" w:rsidP="00AF6977">
      <w:pPr>
        <w:jc w:val="both"/>
        <w:rPr>
          <w:lang w:val="de-DE"/>
        </w:rPr>
      </w:pPr>
      <w:r w:rsidRPr="004676F5">
        <w:rPr>
          <w:lang w:val="de-DE"/>
        </w:rPr>
        <w:tab/>
        <w:t xml:space="preserve">31. Vergleichsausführung: freiwillige Darlegung seitens oder im Namen eines Unternehmens oder einer Unternehmensvereinigung gegenüber einer Wettbewerbsbehörde, die ein Anerkenntnis oder seinen/ihren Verzicht auf das Bestreiten seiner/ihrer Beteiligung an einer Zuwiderhandlung gegen das Wettbewerbsrecht und seiner/ihrer Verantwortung für diese </w:t>
      </w:r>
      <w:r w:rsidRPr="004676F5">
        <w:rPr>
          <w:lang w:val="de-DE"/>
        </w:rPr>
        <w:lastRenderedPageBreak/>
        <w:t>Zuwiderhandlung gegen das Wettbewerbsrecht enthält und die eigens zu dem Zweck formuliert wurde, der betreffenden Wettbewerbsbehörde die Anwendung eines vereinfachten oder beschleunigten Verfahrens zu ermöglichen,</w:t>
      </w:r>
    </w:p>
    <w:p w14:paraId="1575D0B2" w14:textId="77777777" w:rsidR="00AF6977" w:rsidRPr="004676F5" w:rsidRDefault="00AF6977" w:rsidP="00AF6977">
      <w:pPr>
        <w:jc w:val="both"/>
        <w:rPr>
          <w:lang w:val="de-DE"/>
        </w:rPr>
      </w:pPr>
    </w:p>
    <w:p w14:paraId="63D3F083" w14:textId="77777777" w:rsidR="00AF6977" w:rsidRPr="004676F5" w:rsidRDefault="00AF6977" w:rsidP="00AF6977">
      <w:pPr>
        <w:jc w:val="both"/>
        <w:rPr>
          <w:lang w:val="de-DE"/>
        </w:rPr>
      </w:pPr>
      <w:r w:rsidRPr="004676F5">
        <w:rPr>
          <w:lang w:val="de-DE"/>
        </w:rPr>
        <w:tab/>
        <w:t>32. Werktage: alle Tage mit Ausnahme der Samstage, Sonntage und gesetzlichen Feiertage, der Ruhetage, die von dem für den öffentlichen Dienst zuständigen Minister festgelegt werden, der Ruhetage, die von dem für Wirtschaft zuständigen Minister festgelegt werden, des ersten Werktages nach dem 1. Januar, des 2. und 15. Novembers und der Tage ab dem 26. Dezember bis zum 31. Dezember einschließlich,</w:t>
      </w:r>
    </w:p>
    <w:p w14:paraId="54BEC61A" w14:textId="77777777" w:rsidR="00AF6977" w:rsidRPr="004676F5" w:rsidRDefault="00AF6977" w:rsidP="00AF6977">
      <w:pPr>
        <w:jc w:val="both"/>
        <w:rPr>
          <w:lang w:val="de-DE"/>
        </w:rPr>
      </w:pPr>
    </w:p>
    <w:p w14:paraId="35C2BE98" w14:textId="77777777" w:rsidR="00AF6977" w:rsidRPr="004676F5" w:rsidRDefault="00AF6977" w:rsidP="00AF6977">
      <w:pPr>
        <w:jc w:val="both"/>
        <w:rPr>
          <w:lang w:val="de-DE"/>
        </w:rPr>
      </w:pPr>
      <w:r w:rsidRPr="004676F5">
        <w:rPr>
          <w:lang w:val="de-DE"/>
        </w:rPr>
        <w:tab/>
        <w:t>33. einvernehmliche Streitbeilegung: ein Mechanismus, der es den Parteien ermöglicht, den Streit über einen Schadenersatzanspruch außergerichtlich beizulegen, zum Beispiel durch Mediation, außergerichtliche Schlichtung oder im Rahmen eines Schiedsverfahrens oder einer kooperativen Praxis,</w:t>
      </w:r>
    </w:p>
    <w:p w14:paraId="0B169D52" w14:textId="77777777" w:rsidR="00AF6977" w:rsidRPr="004676F5" w:rsidRDefault="00AF6977" w:rsidP="00AF6977">
      <w:pPr>
        <w:jc w:val="both"/>
        <w:rPr>
          <w:lang w:val="de-DE"/>
        </w:rPr>
      </w:pPr>
    </w:p>
    <w:p w14:paraId="7D9E0CEE" w14:textId="77777777" w:rsidR="00AF6977" w:rsidRPr="004676F5" w:rsidRDefault="00AF6977" w:rsidP="00AF6977">
      <w:pPr>
        <w:jc w:val="both"/>
        <w:rPr>
          <w:lang w:val="de-DE"/>
        </w:rPr>
      </w:pPr>
      <w:r w:rsidRPr="004676F5">
        <w:rPr>
          <w:lang w:val="de-DE"/>
        </w:rPr>
        <w:tab/>
        <w:t>34. Vergleich: eine durch einvernehmliche Streitbeilegung erzielte Einigung oder eine Schiedsentscheidung,</w:t>
      </w:r>
    </w:p>
    <w:p w14:paraId="336304DE" w14:textId="77777777" w:rsidR="00AF6977" w:rsidRPr="004676F5" w:rsidRDefault="00AF6977" w:rsidP="00AF6977">
      <w:pPr>
        <w:jc w:val="both"/>
        <w:rPr>
          <w:lang w:val="de-DE"/>
        </w:rPr>
      </w:pPr>
    </w:p>
    <w:p w14:paraId="78BE7C9B" w14:textId="77777777" w:rsidR="00AF6977" w:rsidRPr="004676F5" w:rsidRDefault="00AF6977" w:rsidP="00AF6977">
      <w:pPr>
        <w:jc w:val="both"/>
        <w:rPr>
          <w:lang w:val="de-DE"/>
        </w:rPr>
      </w:pPr>
      <w:r w:rsidRPr="004676F5">
        <w:rPr>
          <w:lang w:val="de-DE"/>
        </w:rPr>
        <w:tab/>
        <w:t>35. nationales Gericht: ein Gericht eines Mitgliedstaats im Sinne des Artikels 267 AEUV,</w:t>
      </w:r>
    </w:p>
    <w:p w14:paraId="3EBF3CD8" w14:textId="77777777" w:rsidR="00AF6977" w:rsidRPr="004676F5" w:rsidRDefault="00AF6977" w:rsidP="00AF6977">
      <w:pPr>
        <w:jc w:val="both"/>
        <w:rPr>
          <w:lang w:val="de-DE"/>
        </w:rPr>
      </w:pPr>
    </w:p>
    <w:p w14:paraId="498E1218" w14:textId="77777777" w:rsidR="00AF6977" w:rsidRPr="004676F5" w:rsidRDefault="00AF6977" w:rsidP="00AF6977">
      <w:pPr>
        <w:jc w:val="both"/>
        <w:rPr>
          <w:lang w:val="de-DE"/>
        </w:rPr>
      </w:pPr>
      <w:r w:rsidRPr="004676F5">
        <w:rPr>
          <w:lang w:val="de-DE"/>
        </w:rPr>
        <w:tab/>
        <w:t>36. AEUV: Vertrag über die Arbeitsweise der Europäischen Union,</w:t>
      </w:r>
    </w:p>
    <w:p w14:paraId="6A590493" w14:textId="77777777" w:rsidR="00AF6977" w:rsidRPr="004676F5" w:rsidRDefault="00AF6977" w:rsidP="00AF6977">
      <w:pPr>
        <w:jc w:val="both"/>
        <w:rPr>
          <w:lang w:val="de-DE"/>
        </w:rPr>
      </w:pPr>
    </w:p>
    <w:p w14:paraId="74115DC8" w14:textId="77777777" w:rsidR="00AF6977" w:rsidRPr="004676F5" w:rsidRDefault="00AF6977" w:rsidP="00AF6977">
      <w:pPr>
        <w:jc w:val="both"/>
        <w:rPr>
          <w:lang w:val="de-DE"/>
        </w:rPr>
      </w:pPr>
      <w:r w:rsidRPr="004676F5">
        <w:rPr>
          <w:lang w:val="de-DE"/>
        </w:rPr>
        <w:tab/>
        <w:t>37. Verordnung (EG) Nr. 139/2004: Verordnung (EG) Nr. 139/2004 des Rates vom 20. Januar 2004 über die Kontrolle von Unternehmenszusammenschlüssen,</w:t>
      </w:r>
    </w:p>
    <w:p w14:paraId="5947AE73" w14:textId="77777777" w:rsidR="00AF6977" w:rsidRPr="004676F5" w:rsidRDefault="00AF6977" w:rsidP="00AF6977">
      <w:pPr>
        <w:jc w:val="both"/>
        <w:rPr>
          <w:lang w:val="de-DE"/>
        </w:rPr>
      </w:pPr>
    </w:p>
    <w:p w14:paraId="2DFC6817" w14:textId="77777777" w:rsidR="00AF6977" w:rsidRPr="004676F5" w:rsidRDefault="00AF6977" w:rsidP="00AF6977">
      <w:pPr>
        <w:jc w:val="both"/>
        <w:rPr>
          <w:lang w:val="de-DE"/>
        </w:rPr>
      </w:pPr>
      <w:r w:rsidRPr="004676F5">
        <w:rPr>
          <w:lang w:val="de-DE"/>
        </w:rPr>
        <w:tab/>
        <w:t>38. Verordnung (EG) Nr. 1/2003: Verordnung (EG) Nr. 1/2003 des Rates vom 16. Dezember 2002 zur Durchführung der in den Artikeln 81 und 82 des Vertrags niedergelegten Wettbewerbsregeln,</w:t>
      </w:r>
    </w:p>
    <w:p w14:paraId="47320CED" w14:textId="77777777" w:rsidR="00AF6977" w:rsidRPr="004676F5" w:rsidRDefault="00AF6977" w:rsidP="00AF6977">
      <w:pPr>
        <w:jc w:val="both"/>
        <w:rPr>
          <w:lang w:val="de-DE"/>
        </w:rPr>
      </w:pPr>
    </w:p>
    <w:p w14:paraId="483DEDF7" w14:textId="6CC1620C" w:rsidR="00E54E98" w:rsidRPr="004676F5" w:rsidRDefault="00AF6977" w:rsidP="00AF6977">
      <w:pPr>
        <w:ind w:firstLine="708"/>
        <w:jc w:val="both"/>
        <w:rPr>
          <w:lang w:val="de-DE"/>
        </w:rPr>
      </w:pPr>
      <w:r w:rsidRPr="004676F5">
        <w:rPr>
          <w:lang w:val="de-DE"/>
        </w:rPr>
        <w:t>39. Richtlinie (EU) 2019/1: Richtlinie (EU) 2019/1 des Europäischen Parlaments und des Rates vom 11. Dezember 2018 zur Stärkung der Wettbewerbsbehörden der Mitgliedstaaten im Hinblick auf eine wirksamere Durchsetzung der Wettbewerbsvorschriften und zur Gewährleistung des reibungslosen Funktionierens des Binnenmarkts</w:t>
      </w:r>
      <w:r w:rsidR="00C94F70" w:rsidRPr="004676F5">
        <w:rPr>
          <w:lang w:val="de-DE"/>
        </w:rPr>
        <w:t>,</w:t>
      </w:r>
      <w:r w:rsidR="00E54E98" w:rsidRPr="004676F5">
        <w:rPr>
          <w:lang w:val="de-DE"/>
        </w:rPr>
        <w:t>]</w:t>
      </w:r>
    </w:p>
    <w:p w14:paraId="6808FEEC" w14:textId="77777777" w:rsidR="00C94F70" w:rsidRPr="004676F5" w:rsidRDefault="00C94F70" w:rsidP="00AF6977">
      <w:pPr>
        <w:ind w:firstLine="708"/>
        <w:jc w:val="both"/>
        <w:rPr>
          <w:lang w:val="de-DE"/>
        </w:rPr>
      </w:pPr>
    </w:p>
    <w:p w14:paraId="7982D545" w14:textId="6C340AE4" w:rsidR="00C94F70" w:rsidRPr="004676F5" w:rsidRDefault="00C94F70" w:rsidP="00AF6977">
      <w:pPr>
        <w:ind w:firstLine="708"/>
        <w:jc w:val="both"/>
        <w:rPr>
          <w:lang w:val="de-DE"/>
        </w:rPr>
      </w:pPr>
      <w:r w:rsidRPr="004676F5">
        <w:rPr>
          <w:lang w:val="de-DE"/>
        </w:rPr>
        <w:t>[40. Verordnung (EU) 2022/1925: Verordnung (EU) 2022/1925 des Europäischen Parlaments und des Rates vom 14. September 2022 über bestreitbare und faire Märkte im digitalen Sektor und zur Änderung der Richtlinien (EU) 2019/1937 und (EU) 2020/1828.]</w:t>
      </w:r>
    </w:p>
    <w:p w14:paraId="438EFC19" w14:textId="77777777" w:rsidR="00375BBA" w:rsidRPr="004676F5" w:rsidRDefault="00375BBA" w:rsidP="00375BBA">
      <w:pPr>
        <w:jc w:val="both"/>
        <w:rPr>
          <w:lang w:val="de-DE"/>
        </w:rPr>
      </w:pPr>
    </w:p>
    <w:p w14:paraId="672B38AB" w14:textId="7CFFDDF2" w:rsidR="007F57BA" w:rsidRPr="004676F5" w:rsidRDefault="00375BBA" w:rsidP="00AF6977">
      <w:pPr>
        <w:jc w:val="both"/>
        <w:rPr>
          <w:lang w:val="de-DE"/>
        </w:rPr>
      </w:pPr>
      <w:r w:rsidRPr="004676F5">
        <w:rPr>
          <w:i/>
          <w:lang w:val="de-DE"/>
        </w:rPr>
        <w:t>[</w:t>
      </w:r>
      <w:r w:rsidR="00BE0A56" w:rsidRPr="004676F5">
        <w:rPr>
          <w:i/>
          <w:lang w:val="de-DE"/>
        </w:rPr>
        <w:t>Art. </w:t>
      </w:r>
      <w:r w:rsidRPr="004676F5">
        <w:rPr>
          <w:i/>
          <w:lang w:val="de-DE"/>
        </w:rPr>
        <w:t xml:space="preserve">I.6 </w:t>
      </w:r>
      <w:r w:rsidR="00BE3682" w:rsidRPr="004676F5">
        <w:rPr>
          <w:i/>
          <w:lang w:val="de-DE"/>
        </w:rPr>
        <w:t>ersetzt durch Art. </w:t>
      </w:r>
      <w:r w:rsidR="00AF6977" w:rsidRPr="004676F5">
        <w:rPr>
          <w:i/>
          <w:lang w:val="de-DE"/>
        </w:rPr>
        <w:t>3 des G. vom 28. Februar 2022 (B.S. vom 7. März 2022)</w:t>
      </w:r>
      <w:r w:rsidR="00C94F70" w:rsidRPr="004676F5">
        <w:rPr>
          <w:i/>
          <w:lang w:val="de-DE"/>
        </w:rPr>
        <w:t>; einziger Absatz Nr. 5 ersetzt durch Art.</w:t>
      </w:r>
      <w:r w:rsidR="006F1076" w:rsidRPr="004676F5">
        <w:rPr>
          <w:i/>
          <w:lang w:val="de-DE"/>
        </w:rPr>
        <w:t> </w:t>
      </w:r>
      <w:r w:rsidR="00C94F70" w:rsidRPr="004676F5">
        <w:rPr>
          <w:i/>
          <w:lang w:val="de-DE"/>
        </w:rPr>
        <w:t xml:space="preserve">3 Nr. 1 des G. vom 29. März 2024 (B.S. vom 3. Mai 2024); </w:t>
      </w:r>
      <w:r w:rsidR="006F1076" w:rsidRPr="004676F5">
        <w:rPr>
          <w:i/>
          <w:lang w:val="de-DE"/>
        </w:rPr>
        <w:t xml:space="preserve">einziger Absatz Nr. 13 ersetzt durch Art. 3 Nr. 2 des G. vom 29. März 2024 (B.S. vom 3. Mai 2024); </w:t>
      </w:r>
      <w:r w:rsidR="00C94F70" w:rsidRPr="004676F5">
        <w:rPr>
          <w:i/>
          <w:lang w:val="de-DE"/>
        </w:rPr>
        <w:t>einziger Absatz Nr. 40 eingefügt durch Art.</w:t>
      </w:r>
      <w:r w:rsidR="006F1076" w:rsidRPr="004676F5">
        <w:rPr>
          <w:i/>
          <w:lang w:val="de-DE"/>
        </w:rPr>
        <w:t> </w:t>
      </w:r>
      <w:r w:rsidR="00C94F70" w:rsidRPr="004676F5">
        <w:rPr>
          <w:i/>
          <w:lang w:val="de-DE"/>
        </w:rPr>
        <w:t>3 Nr. 3 des G. vom 29. März 2024 (B.S. vom 3. Mai 2024)</w:t>
      </w:r>
      <w:r w:rsidR="00AF6977" w:rsidRPr="004676F5">
        <w:rPr>
          <w:i/>
          <w:lang w:val="de-DE"/>
        </w:rPr>
        <w:t>]</w:t>
      </w:r>
    </w:p>
    <w:p w14:paraId="0029E97E" w14:textId="77777777" w:rsidR="00F76466" w:rsidRPr="004676F5" w:rsidRDefault="00F76466">
      <w:pPr>
        <w:rPr>
          <w:lang w:val="de-DE"/>
        </w:rPr>
      </w:pPr>
      <w:r w:rsidRPr="004676F5">
        <w:rPr>
          <w:lang w:val="de-DE"/>
        </w:rPr>
        <w:br w:type="page"/>
      </w:r>
    </w:p>
    <w:p w14:paraId="62EF336E" w14:textId="63182B2C" w:rsidR="007F57BA" w:rsidRPr="004676F5" w:rsidRDefault="007F57BA" w:rsidP="007F57BA">
      <w:pPr>
        <w:jc w:val="center"/>
        <w:rPr>
          <w:lang w:val="de-DE"/>
        </w:rPr>
      </w:pPr>
      <w:r w:rsidRPr="004676F5">
        <w:rPr>
          <w:lang w:val="de-DE"/>
        </w:rPr>
        <w:lastRenderedPageBreak/>
        <w:t>[KAPITEL 3 </w:t>
      </w:r>
      <w:r w:rsidR="005B7A5C" w:rsidRPr="004676F5">
        <w:rPr>
          <w:lang w:val="de-DE"/>
        </w:rPr>
        <w:t>- </w:t>
      </w:r>
      <w:r w:rsidRPr="004676F5">
        <w:rPr>
          <w:i/>
          <w:lang w:val="de-DE"/>
        </w:rPr>
        <w:t>Begriffsbestimmungen Buch V</w:t>
      </w:r>
    </w:p>
    <w:p w14:paraId="0D94E6B2" w14:textId="77777777" w:rsidR="007F57BA" w:rsidRPr="004676F5" w:rsidRDefault="007F57BA" w:rsidP="007F57BA">
      <w:pPr>
        <w:jc w:val="both"/>
        <w:rPr>
          <w:lang w:val="de-DE"/>
        </w:rPr>
      </w:pPr>
    </w:p>
    <w:p w14:paraId="2462F376" w14:textId="727918E1" w:rsidR="00F76466" w:rsidRPr="004676F5" w:rsidRDefault="00F76466" w:rsidP="00F76466">
      <w:pPr>
        <w:jc w:val="both"/>
        <w:rPr>
          <w:i/>
          <w:lang w:val="de-DE"/>
        </w:rPr>
      </w:pPr>
      <w:r w:rsidRPr="004676F5">
        <w:rPr>
          <w:i/>
          <w:lang w:val="de-DE"/>
        </w:rPr>
        <w:t xml:space="preserve">[Kapitel 3 mit </w:t>
      </w:r>
      <w:r w:rsidR="00BE0A56" w:rsidRPr="004676F5">
        <w:rPr>
          <w:i/>
          <w:lang w:val="de-DE"/>
        </w:rPr>
        <w:t>Art. </w:t>
      </w:r>
      <w:r w:rsidRPr="004676F5">
        <w:rPr>
          <w:i/>
          <w:lang w:val="de-DE"/>
        </w:rPr>
        <w:t xml:space="preserve">I.7 eingefügt durch </w:t>
      </w:r>
      <w:r w:rsidR="00BE0A56" w:rsidRPr="004676F5">
        <w:rPr>
          <w:i/>
          <w:lang w:val="de-DE"/>
        </w:rPr>
        <w:t>Art. </w:t>
      </w:r>
      <w:r w:rsidRPr="004676F5">
        <w:rPr>
          <w:i/>
          <w:lang w:val="de-DE"/>
        </w:rPr>
        <w:t>3 des G. vom 3. April 2013</w:t>
      </w:r>
      <w:r w:rsidR="0082197D" w:rsidRPr="004676F5">
        <w:rPr>
          <w:i/>
          <w:lang w:val="de-DE"/>
        </w:rPr>
        <w:t xml:space="preserve"> (I)</w:t>
      </w:r>
      <w:r w:rsidRPr="004676F5">
        <w:rPr>
          <w:i/>
          <w:lang w:val="de-DE"/>
        </w:rPr>
        <w:t xml:space="preserve"> (B.S. vom 26. April 2013)]</w:t>
      </w:r>
    </w:p>
    <w:p w14:paraId="0322C392" w14:textId="77777777" w:rsidR="00F76466" w:rsidRPr="004676F5" w:rsidRDefault="00F76466" w:rsidP="007F57BA">
      <w:pPr>
        <w:jc w:val="both"/>
        <w:rPr>
          <w:lang w:val="de-DE"/>
        </w:rPr>
      </w:pPr>
    </w:p>
    <w:p w14:paraId="67B57960" w14:textId="77777777" w:rsidR="00F76466" w:rsidRPr="004676F5" w:rsidRDefault="00F76466" w:rsidP="007F57BA">
      <w:pPr>
        <w:jc w:val="both"/>
        <w:rPr>
          <w:lang w:val="de-DE"/>
        </w:rPr>
      </w:pPr>
    </w:p>
    <w:p w14:paraId="202AFE35" w14:textId="129533F8" w:rsidR="000D428D" w:rsidRPr="004676F5" w:rsidRDefault="00BE0A56" w:rsidP="000D428D">
      <w:pPr>
        <w:ind w:firstLine="708"/>
        <w:jc w:val="both"/>
        <w:rPr>
          <w:lang w:val="de-DE"/>
        </w:rPr>
      </w:pPr>
      <w:r w:rsidRPr="004676F5">
        <w:rPr>
          <w:b/>
          <w:lang w:val="de-DE"/>
        </w:rPr>
        <w:t>Art. </w:t>
      </w:r>
      <w:r w:rsidR="007F57BA" w:rsidRPr="004676F5">
        <w:rPr>
          <w:b/>
          <w:lang w:val="de-DE"/>
        </w:rPr>
        <w:t>I.7</w:t>
      </w:r>
      <w:r w:rsidR="007F57BA" w:rsidRPr="004676F5">
        <w:rPr>
          <w:lang w:val="de-DE"/>
        </w:rPr>
        <w:t> </w:t>
      </w:r>
      <w:r w:rsidR="005B7A5C" w:rsidRPr="004676F5">
        <w:rPr>
          <w:lang w:val="de-DE"/>
        </w:rPr>
        <w:t>- </w:t>
      </w:r>
      <w:r w:rsidR="000D428D" w:rsidRPr="004676F5">
        <w:rPr>
          <w:lang w:val="de-DE"/>
        </w:rPr>
        <w:t>[Folgende Begriffsbestimmungen gelten für Buch V:</w:t>
      </w:r>
    </w:p>
    <w:p w14:paraId="2C66F8D1" w14:textId="77777777" w:rsidR="000D428D" w:rsidRPr="004676F5" w:rsidRDefault="000D428D" w:rsidP="000D428D">
      <w:pPr>
        <w:ind w:firstLine="708"/>
        <w:jc w:val="both"/>
        <w:rPr>
          <w:lang w:val="de-DE"/>
        </w:rPr>
      </w:pPr>
    </w:p>
    <w:p w14:paraId="0564414C" w14:textId="77777777" w:rsidR="000D428D" w:rsidRPr="004676F5" w:rsidRDefault="000D428D" w:rsidP="000D428D">
      <w:pPr>
        <w:ind w:firstLine="708"/>
        <w:jc w:val="both"/>
        <w:rPr>
          <w:lang w:val="de-DE"/>
        </w:rPr>
      </w:pPr>
      <w:r w:rsidRPr="004676F5">
        <w:rPr>
          <w:lang w:val="de-DE"/>
        </w:rPr>
        <w:t>1. Preisbeobachtungsstelle: Einrichtung, die mit den in Artikel 108 Buchstabe </w:t>
      </w:r>
      <w:r w:rsidRPr="004676F5">
        <w:rPr>
          <w:i/>
          <w:iCs/>
          <w:lang w:val="de-DE"/>
        </w:rPr>
        <w:t>i)</w:t>
      </w:r>
      <w:r w:rsidRPr="004676F5">
        <w:rPr>
          <w:lang w:val="de-DE"/>
        </w:rPr>
        <w:t xml:space="preserve"> des Gesetzes vom 21. Dezember 1994 zur Festlegung sozialer und sonstiger Bestimmungen erwähnten Beobachtungen und Analysen beauftragt ist,</w:t>
      </w:r>
    </w:p>
    <w:p w14:paraId="7229AC24" w14:textId="77777777" w:rsidR="000D428D" w:rsidRPr="004676F5" w:rsidRDefault="000D428D" w:rsidP="000D428D">
      <w:pPr>
        <w:ind w:firstLine="708"/>
        <w:jc w:val="both"/>
        <w:rPr>
          <w:lang w:val="de-DE"/>
        </w:rPr>
      </w:pPr>
    </w:p>
    <w:p w14:paraId="4C1BE2FD" w14:textId="63C957BC" w:rsidR="007F57BA" w:rsidRPr="004676F5" w:rsidRDefault="000D428D" w:rsidP="000D428D">
      <w:pPr>
        <w:ind w:firstLine="708"/>
        <w:jc w:val="both"/>
        <w:rPr>
          <w:lang w:val="de-DE"/>
        </w:rPr>
      </w:pPr>
      <w:r w:rsidRPr="004676F5">
        <w:rPr>
          <w:lang w:val="de-DE"/>
        </w:rPr>
        <w:t>2. Unternehmen: natürliche oder juristische Personen, die auf dauerhafte Weise einen wirtschaftlichen Zweck verfolgen, und ihre Vereinigungen.]]</w:t>
      </w:r>
    </w:p>
    <w:p w14:paraId="3E37BA89" w14:textId="7AFC018B" w:rsidR="000D428D" w:rsidRPr="004676F5" w:rsidRDefault="000D428D" w:rsidP="000D428D">
      <w:pPr>
        <w:ind w:firstLine="708"/>
        <w:jc w:val="both"/>
        <w:rPr>
          <w:lang w:val="de-DE"/>
        </w:rPr>
      </w:pPr>
    </w:p>
    <w:p w14:paraId="30D4214A" w14:textId="60E35705" w:rsidR="000D428D" w:rsidRPr="004676F5" w:rsidRDefault="000D428D" w:rsidP="000D428D">
      <w:pPr>
        <w:jc w:val="both"/>
        <w:rPr>
          <w:i/>
          <w:lang w:val="de-DE"/>
        </w:rPr>
      </w:pPr>
      <w:r w:rsidRPr="004676F5">
        <w:rPr>
          <w:i/>
          <w:lang w:val="de-DE"/>
        </w:rPr>
        <w:t>[Art. I.7 ersetzt durch Art. 41</w:t>
      </w:r>
      <w:r w:rsidRPr="004676F5">
        <w:rPr>
          <w:i/>
          <w:iCs/>
          <w:lang w:val="de-DE"/>
        </w:rPr>
        <w:t xml:space="preserve"> des G. vom 15. April 2018 (B.S. vom 27. April 2018)]</w:t>
      </w:r>
    </w:p>
    <w:p w14:paraId="64DFD129" w14:textId="77777777" w:rsidR="007F57BA" w:rsidRPr="004676F5" w:rsidRDefault="007F57BA" w:rsidP="007F57BA">
      <w:pPr>
        <w:jc w:val="center"/>
        <w:rPr>
          <w:lang w:val="de-DE"/>
        </w:rPr>
      </w:pPr>
    </w:p>
    <w:p w14:paraId="7967F625" w14:textId="77777777" w:rsidR="007F57BA" w:rsidRPr="004676F5" w:rsidRDefault="007F57BA" w:rsidP="007F57BA">
      <w:pPr>
        <w:jc w:val="center"/>
        <w:rPr>
          <w:b/>
          <w:lang w:val="de-DE"/>
        </w:rPr>
      </w:pPr>
    </w:p>
    <w:p w14:paraId="245AEAFF" w14:textId="77777777" w:rsidR="00144CA6" w:rsidRPr="004676F5" w:rsidRDefault="00144CA6">
      <w:pPr>
        <w:rPr>
          <w:lang w:val="de-DE"/>
        </w:rPr>
      </w:pPr>
      <w:r w:rsidRPr="004676F5">
        <w:rPr>
          <w:lang w:val="de-DE"/>
        </w:rPr>
        <w:br w:type="page"/>
      </w:r>
    </w:p>
    <w:p w14:paraId="4EF5EE5C" w14:textId="2EABDD46" w:rsidR="00144CA6" w:rsidRPr="004676F5" w:rsidRDefault="00144CA6" w:rsidP="00144CA6">
      <w:pPr>
        <w:jc w:val="center"/>
        <w:rPr>
          <w:lang w:val="de-DE"/>
        </w:rPr>
      </w:pPr>
      <w:r w:rsidRPr="004676F5">
        <w:rPr>
          <w:lang w:val="de-DE"/>
        </w:rPr>
        <w:lastRenderedPageBreak/>
        <w:t>[KAPITEL 4 </w:t>
      </w:r>
      <w:r w:rsidR="005B7A5C" w:rsidRPr="004676F5">
        <w:rPr>
          <w:lang w:val="de-DE"/>
        </w:rPr>
        <w:t>- </w:t>
      </w:r>
      <w:r w:rsidRPr="004676F5">
        <w:rPr>
          <w:i/>
          <w:lang w:val="de-DE"/>
        </w:rPr>
        <w:t>Begriffsbestimmungen Buch VI</w:t>
      </w:r>
    </w:p>
    <w:p w14:paraId="4BC62254" w14:textId="77777777" w:rsidR="000A0063" w:rsidRPr="004676F5" w:rsidRDefault="000A0063" w:rsidP="00144CA6">
      <w:pPr>
        <w:jc w:val="both"/>
        <w:rPr>
          <w:i/>
          <w:lang w:val="de-DE"/>
        </w:rPr>
      </w:pPr>
    </w:p>
    <w:p w14:paraId="0B1FC15E" w14:textId="3D685301" w:rsidR="00144CA6" w:rsidRPr="004676F5" w:rsidRDefault="00144CA6" w:rsidP="00144CA6">
      <w:pPr>
        <w:jc w:val="both"/>
        <w:rPr>
          <w:i/>
          <w:lang w:val="de-DE"/>
        </w:rPr>
      </w:pPr>
      <w:r w:rsidRPr="004676F5">
        <w:rPr>
          <w:i/>
          <w:lang w:val="de-DE"/>
        </w:rPr>
        <w:t xml:space="preserve">[Kapitel 4 mit </w:t>
      </w:r>
      <w:r w:rsidR="00BE0A56" w:rsidRPr="004676F5">
        <w:rPr>
          <w:i/>
          <w:lang w:val="de-DE"/>
        </w:rPr>
        <w:t>Art. </w:t>
      </w:r>
      <w:r w:rsidRPr="004676F5">
        <w:rPr>
          <w:i/>
          <w:lang w:val="de-DE"/>
        </w:rPr>
        <w:t xml:space="preserve">I.8 eingefügt durch </w:t>
      </w:r>
      <w:r w:rsidR="00BE0A56" w:rsidRPr="004676F5">
        <w:rPr>
          <w:i/>
          <w:lang w:val="de-DE"/>
        </w:rPr>
        <w:t>Art. </w:t>
      </w:r>
      <w:r w:rsidRPr="004676F5">
        <w:rPr>
          <w:i/>
          <w:lang w:val="de-DE"/>
        </w:rPr>
        <w:t xml:space="preserve">2 des G. vom 21. Dezember 2013 (B.S. vom </w:t>
      </w:r>
      <w:r w:rsidR="000A0063" w:rsidRPr="004676F5">
        <w:rPr>
          <w:i/>
          <w:lang w:val="de-DE"/>
        </w:rPr>
        <w:t>30. Dezember 2013, Err. vom 20. Januar 2014)]</w:t>
      </w:r>
    </w:p>
    <w:p w14:paraId="5C49E640" w14:textId="77777777" w:rsidR="000A0063" w:rsidRPr="004676F5" w:rsidRDefault="000A0063" w:rsidP="00144CA6">
      <w:pPr>
        <w:jc w:val="both"/>
        <w:rPr>
          <w:i/>
          <w:lang w:val="de-DE"/>
        </w:rPr>
      </w:pPr>
    </w:p>
    <w:p w14:paraId="1A12FA72" w14:textId="77777777" w:rsidR="000A0063" w:rsidRPr="004676F5" w:rsidRDefault="000A0063" w:rsidP="00144CA6">
      <w:pPr>
        <w:jc w:val="both"/>
        <w:rPr>
          <w:i/>
          <w:lang w:val="de-DE"/>
        </w:rPr>
      </w:pPr>
    </w:p>
    <w:p w14:paraId="651EAF0B" w14:textId="4EAD2CC1" w:rsidR="00144CA6" w:rsidRPr="004676F5" w:rsidRDefault="00144CA6" w:rsidP="00144CA6">
      <w:pPr>
        <w:jc w:val="both"/>
        <w:rPr>
          <w:lang w:val="de-DE"/>
        </w:rPr>
      </w:pPr>
      <w:r w:rsidRPr="004676F5">
        <w:rPr>
          <w:lang w:val="de-DE"/>
        </w:rPr>
        <w:tab/>
      </w:r>
      <w:r w:rsidR="00BE0A56" w:rsidRPr="004676F5">
        <w:rPr>
          <w:b/>
          <w:lang w:val="de-DE"/>
        </w:rPr>
        <w:t>Art. </w:t>
      </w:r>
      <w:r w:rsidRPr="004676F5">
        <w:rPr>
          <w:b/>
          <w:lang w:val="de-DE"/>
        </w:rPr>
        <w:t>I.8</w:t>
      </w:r>
      <w:r w:rsidRPr="004676F5">
        <w:rPr>
          <w:lang w:val="de-DE"/>
        </w:rPr>
        <w:t> </w:t>
      </w:r>
      <w:r w:rsidR="005B7A5C" w:rsidRPr="004676F5">
        <w:rPr>
          <w:lang w:val="de-DE"/>
        </w:rPr>
        <w:t>- </w:t>
      </w:r>
      <w:r w:rsidRPr="004676F5">
        <w:rPr>
          <w:lang w:val="de-DE"/>
        </w:rPr>
        <w:t xml:space="preserve">Für die Anwendung von Buch VI gelten folgende Begriffsbestimmungen: </w:t>
      </w:r>
    </w:p>
    <w:p w14:paraId="652E2BB6" w14:textId="77777777" w:rsidR="00144CA6" w:rsidRPr="004676F5" w:rsidRDefault="00144CA6" w:rsidP="00144CA6">
      <w:pPr>
        <w:jc w:val="both"/>
        <w:rPr>
          <w:lang w:val="de-DE"/>
        </w:rPr>
      </w:pPr>
    </w:p>
    <w:p w14:paraId="374FC27B" w14:textId="77777777" w:rsidR="00144CA6" w:rsidRPr="004676F5" w:rsidRDefault="00144CA6" w:rsidP="00144CA6">
      <w:pPr>
        <w:jc w:val="both"/>
        <w:rPr>
          <w:lang w:val="de-DE"/>
        </w:rPr>
      </w:pPr>
      <w:r w:rsidRPr="004676F5">
        <w:rPr>
          <w:lang w:val="de-DE"/>
        </w:rPr>
        <w:tab/>
        <w:t>1. homogene Dienstleistungen: Dienstleistungen, deren Merkmale und Modalitäten identisch oder ähnlich sind, unabhängig unter anderem von Zeitpunkt und Ort der Ausführung, vom Erbringer der Dienstleistung oder von der Person, für die sie erbracht werden,</w:t>
      </w:r>
    </w:p>
    <w:p w14:paraId="09E4A89A" w14:textId="77777777" w:rsidR="00144CA6" w:rsidRPr="004676F5" w:rsidRDefault="00144CA6" w:rsidP="00144CA6">
      <w:pPr>
        <w:jc w:val="both"/>
        <w:rPr>
          <w:lang w:val="de-DE"/>
        </w:rPr>
      </w:pPr>
    </w:p>
    <w:p w14:paraId="2424CD1A" w14:textId="77777777" w:rsidR="00144CA6" w:rsidRPr="004676F5" w:rsidRDefault="00144CA6" w:rsidP="00144CA6">
      <w:pPr>
        <w:jc w:val="both"/>
        <w:rPr>
          <w:lang w:val="de-DE"/>
        </w:rPr>
      </w:pPr>
      <w:r w:rsidRPr="004676F5">
        <w:rPr>
          <w:lang w:val="de-DE"/>
        </w:rPr>
        <w:tab/>
        <w:t>2. Etikettierung: Angaben, Kennzeichnungen, Gebrauchsanweisungen, Marken, Ab</w:t>
      </w:r>
      <w:r w:rsidRPr="004676F5">
        <w:rPr>
          <w:lang w:val="de-DE"/>
        </w:rPr>
        <w:softHyphen/>
        <w:t>bildungen oder Zeichen, die sich auf eine Ware oder eine homogene Dienstleistung beziehen und auf der Ware selbst oder auf jeglicher Art von Verpackung, Schriftstück, Tafel, Etikett, Ring oder Verschluss angebracht sind und diese Ware oder diese Dienstleistung begleiten oder sich auf diese Ware oder diese Dienstleistung beziehen,</w:t>
      </w:r>
    </w:p>
    <w:p w14:paraId="32DD17EB" w14:textId="77777777" w:rsidR="00144CA6" w:rsidRPr="004676F5" w:rsidRDefault="00144CA6" w:rsidP="00144CA6">
      <w:pPr>
        <w:jc w:val="both"/>
        <w:rPr>
          <w:lang w:val="de-DE"/>
        </w:rPr>
      </w:pPr>
    </w:p>
    <w:p w14:paraId="66EB520F" w14:textId="77777777" w:rsidR="00144CA6" w:rsidRPr="004676F5" w:rsidRDefault="00144CA6" w:rsidP="00144CA6">
      <w:pPr>
        <w:jc w:val="both"/>
        <w:rPr>
          <w:lang w:val="de-DE"/>
        </w:rPr>
      </w:pPr>
      <w:r w:rsidRPr="004676F5">
        <w:rPr>
          <w:lang w:val="de-DE"/>
        </w:rPr>
        <w:tab/>
        <w:t>3. Inverkehrbringen: Einfuhr im Hinblick auf den Verkauf, Besitz im Hinblick auf den Verkauf, Anbieten zum Kauf, Verkauf, Anbieten von Waren zum Verleih und von Dienstleistungen, Verleih von Waren und Erbringen von Dienstleistungen, entgeltliche oder unentgeltliche Abtretung, wenn diese Geschäfte von einem Unternehmen vorgenommen werden,</w:t>
      </w:r>
    </w:p>
    <w:p w14:paraId="6CB7F26C" w14:textId="77777777" w:rsidR="00144CA6" w:rsidRPr="004676F5" w:rsidRDefault="00144CA6" w:rsidP="00144CA6">
      <w:pPr>
        <w:jc w:val="both"/>
        <w:rPr>
          <w:lang w:val="de-DE"/>
        </w:rPr>
      </w:pPr>
    </w:p>
    <w:p w14:paraId="67DC056E" w14:textId="77777777" w:rsidR="00144CA6" w:rsidRPr="004676F5" w:rsidRDefault="00144CA6" w:rsidP="00144CA6">
      <w:pPr>
        <w:jc w:val="both"/>
        <w:rPr>
          <w:lang w:val="de-DE"/>
        </w:rPr>
      </w:pPr>
      <w:r w:rsidRPr="004676F5">
        <w:rPr>
          <w:lang w:val="de-DE"/>
        </w:rPr>
        <w:tab/>
        <w:t>4. eingetragener Namen:</w:t>
      </w:r>
    </w:p>
    <w:p w14:paraId="7EC931E3" w14:textId="77777777" w:rsidR="00144CA6" w:rsidRPr="004676F5" w:rsidRDefault="00144CA6" w:rsidP="00144CA6">
      <w:pPr>
        <w:jc w:val="both"/>
        <w:rPr>
          <w:lang w:val="de-DE"/>
        </w:rPr>
      </w:pPr>
    </w:p>
    <w:p w14:paraId="078BC502" w14:textId="77777777" w:rsidR="00144CA6" w:rsidRPr="004676F5" w:rsidRDefault="00144CA6" w:rsidP="00144CA6">
      <w:pPr>
        <w:jc w:val="both"/>
        <w:rPr>
          <w:lang w:val="de-DE"/>
        </w:rPr>
      </w:pPr>
      <w:r w:rsidRPr="004676F5">
        <w:rPr>
          <w:lang w:val="de-DE"/>
        </w:rPr>
        <w:tab/>
      </w:r>
      <w:r w:rsidRPr="004676F5">
        <w:rPr>
          <w:i/>
          <w:lang w:val="de-DE"/>
        </w:rPr>
        <w:t>a)</w:t>
      </w:r>
      <w:r w:rsidRPr="004676F5">
        <w:rPr>
          <w:lang w:val="de-DE"/>
        </w:rPr>
        <w:t> für Agrarerzeugnisse und Lebensmittel:</w:t>
      </w:r>
    </w:p>
    <w:p w14:paraId="181194CD" w14:textId="77777777" w:rsidR="00144CA6" w:rsidRPr="004676F5" w:rsidRDefault="00144CA6" w:rsidP="00144CA6">
      <w:pPr>
        <w:jc w:val="both"/>
        <w:rPr>
          <w:lang w:val="de-DE"/>
        </w:rPr>
      </w:pPr>
    </w:p>
    <w:p w14:paraId="7586435A" w14:textId="77777777" w:rsidR="00144CA6" w:rsidRPr="004676F5" w:rsidRDefault="00144CA6" w:rsidP="00144CA6">
      <w:pPr>
        <w:jc w:val="both"/>
        <w:rPr>
          <w:lang w:val="de-DE"/>
        </w:rPr>
      </w:pPr>
      <w:r w:rsidRPr="004676F5">
        <w:rPr>
          <w:lang w:val="de-DE"/>
        </w:rPr>
        <w:tab/>
        <w:t>geschützte Ursprungsbezeichnung, geographische Angabe oder jede andere gleichwertige Bezeichnung, die in Bezug auf Agrarerzeugnisse und Lebensmittel in Anwendung der Bestimmungen der Europäischen Union, die ihren Schutz regeln, geltend gemacht werden können,</w:t>
      </w:r>
    </w:p>
    <w:p w14:paraId="3AD2CD74" w14:textId="77777777" w:rsidR="00144CA6" w:rsidRPr="004676F5" w:rsidRDefault="00144CA6" w:rsidP="00144CA6">
      <w:pPr>
        <w:jc w:val="both"/>
        <w:rPr>
          <w:lang w:val="de-DE"/>
        </w:rPr>
      </w:pPr>
    </w:p>
    <w:p w14:paraId="4420BB6C" w14:textId="77777777" w:rsidR="00144CA6" w:rsidRPr="004676F5" w:rsidRDefault="00144CA6" w:rsidP="00144CA6">
      <w:pPr>
        <w:jc w:val="both"/>
        <w:rPr>
          <w:lang w:val="de-DE"/>
        </w:rPr>
      </w:pPr>
      <w:r w:rsidRPr="004676F5">
        <w:rPr>
          <w:lang w:val="de-DE"/>
        </w:rPr>
        <w:tab/>
      </w:r>
      <w:r w:rsidRPr="004676F5">
        <w:rPr>
          <w:i/>
          <w:lang w:val="de-DE"/>
        </w:rPr>
        <w:t>b)</w:t>
      </w:r>
      <w:r w:rsidRPr="004676F5">
        <w:rPr>
          <w:lang w:val="de-DE"/>
        </w:rPr>
        <w:t> für andere Produkte:</w:t>
      </w:r>
    </w:p>
    <w:p w14:paraId="36C307BC" w14:textId="77777777" w:rsidR="00144CA6" w:rsidRPr="004676F5" w:rsidRDefault="00144CA6" w:rsidP="00144CA6">
      <w:pPr>
        <w:jc w:val="both"/>
        <w:rPr>
          <w:lang w:val="de-DE"/>
        </w:rPr>
      </w:pPr>
    </w:p>
    <w:p w14:paraId="730C878B" w14:textId="21DCDA85" w:rsidR="00144CA6" w:rsidRPr="004676F5" w:rsidRDefault="00144CA6" w:rsidP="00144CA6">
      <w:pPr>
        <w:jc w:val="both"/>
        <w:rPr>
          <w:lang w:val="de-DE"/>
        </w:rPr>
      </w:pPr>
      <w:r w:rsidRPr="004676F5">
        <w:rPr>
          <w:lang w:val="de-DE"/>
        </w:rPr>
        <w:tab/>
      </w:r>
      <w:r w:rsidR="005B7A5C" w:rsidRPr="004676F5">
        <w:rPr>
          <w:lang w:val="de-DE"/>
        </w:rPr>
        <w:t>- </w:t>
      </w:r>
      <w:r w:rsidRPr="004676F5">
        <w:rPr>
          <w:lang w:val="de-DE"/>
        </w:rPr>
        <w:t>geschützte Ursprungsbezeichnung, die in Bezug auf Produkte geltend gemacht werden kann, deren Ursprung in einer bestimmten Gegend oder einem bestimmten Ort liegt und die ihre Güte oder Eigenschaften überwiegend oder ausschließlich den geographischen Verhältnissen einschließlich der natürlichen und menschlichen Einflüsse verdanken und die in dem abgegrenzten geographischen Gebiet erzeugt, verarbeitet und hergestellt wurden, wenn diese Ursprungsbezeichnung gemäß den anwendbaren regionalen Vorschriften anerkannt worden ist,</w:t>
      </w:r>
    </w:p>
    <w:p w14:paraId="42B8CDF1" w14:textId="77777777" w:rsidR="00144CA6" w:rsidRPr="004676F5" w:rsidRDefault="00144CA6" w:rsidP="00144CA6">
      <w:pPr>
        <w:jc w:val="both"/>
        <w:rPr>
          <w:lang w:val="de-DE"/>
        </w:rPr>
      </w:pPr>
    </w:p>
    <w:p w14:paraId="46C16680" w14:textId="1B0AB8F8" w:rsidR="00144CA6" w:rsidRPr="004676F5" w:rsidRDefault="00144CA6" w:rsidP="00144CA6">
      <w:pPr>
        <w:jc w:val="both"/>
        <w:rPr>
          <w:lang w:val="de-DE"/>
        </w:rPr>
      </w:pPr>
      <w:r w:rsidRPr="004676F5">
        <w:rPr>
          <w:lang w:val="de-DE"/>
        </w:rPr>
        <w:tab/>
      </w:r>
      <w:r w:rsidR="005B7A5C" w:rsidRPr="004676F5">
        <w:rPr>
          <w:lang w:val="de-DE"/>
        </w:rPr>
        <w:t>- </w:t>
      </w:r>
      <w:r w:rsidRPr="004676F5">
        <w:rPr>
          <w:lang w:val="de-DE"/>
        </w:rPr>
        <w:t>geschützte geographische Angabe, die in Bezug auf Produkte geltend gemacht werden kann, deren Ursprung in einer bestimmten Gegend oder einem bestimmten Ort liegt und bei denen sich eine bestimmte Qualität, das Ansehen oder eine andere Eigenschaft auf diesen geographischen Ursprung zurückzuführen ist und die in dem abgegrenzten geographischen Gebiet erzeugt und/oder verarbeitet und/oder hergestellt wurden, wenn diese geographische Angabe gemäß den anwendbaren regionalen Vorschriften anerkannt worden ist,</w:t>
      </w:r>
    </w:p>
    <w:p w14:paraId="04860F13" w14:textId="77777777" w:rsidR="00144CA6" w:rsidRPr="004676F5" w:rsidRDefault="00144CA6" w:rsidP="00144CA6">
      <w:pPr>
        <w:jc w:val="both"/>
        <w:rPr>
          <w:lang w:val="de-DE"/>
        </w:rPr>
      </w:pPr>
    </w:p>
    <w:p w14:paraId="25FD05D3" w14:textId="77777777" w:rsidR="00144CA6" w:rsidRPr="004676F5" w:rsidRDefault="00144CA6" w:rsidP="00144CA6">
      <w:pPr>
        <w:jc w:val="both"/>
        <w:rPr>
          <w:lang w:val="de-DE"/>
        </w:rPr>
      </w:pPr>
      <w:r w:rsidRPr="004676F5">
        <w:rPr>
          <w:lang w:val="de-DE"/>
        </w:rPr>
        <w:lastRenderedPageBreak/>
        <w:tab/>
        <w:t>5. lose verkaufte Waren: Waren, die nicht vorher verpackt und vom Verbraucher selbst oder in seiner Anwesenheit abgemessen oder abgewogen werden,</w:t>
      </w:r>
    </w:p>
    <w:p w14:paraId="76D532C9" w14:textId="77777777" w:rsidR="00144CA6" w:rsidRPr="004676F5" w:rsidRDefault="00144CA6" w:rsidP="00144CA6">
      <w:pPr>
        <w:jc w:val="both"/>
        <w:rPr>
          <w:lang w:val="de-DE"/>
        </w:rPr>
      </w:pPr>
    </w:p>
    <w:p w14:paraId="6C0A3FA1" w14:textId="77777777" w:rsidR="00144CA6" w:rsidRPr="004676F5" w:rsidRDefault="00144CA6" w:rsidP="00144CA6">
      <w:pPr>
        <w:jc w:val="both"/>
        <w:rPr>
          <w:lang w:val="de-DE"/>
        </w:rPr>
      </w:pPr>
      <w:r w:rsidRPr="004676F5">
        <w:rPr>
          <w:lang w:val="de-DE"/>
        </w:rPr>
        <w:tab/>
        <w:t>6. pro Stück verkaufte Waren: Waren, die nicht geteilt werden können, ohne dass dadurch ihre Beschaffenheit oder ihre Eigenschaften verändert werden,</w:t>
      </w:r>
    </w:p>
    <w:p w14:paraId="6037F202" w14:textId="77777777" w:rsidR="00144CA6" w:rsidRPr="004676F5" w:rsidRDefault="00144CA6" w:rsidP="00144CA6">
      <w:pPr>
        <w:jc w:val="both"/>
        <w:rPr>
          <w:lang w:val="de-DE"/>
        </w:rPr>
      </w:pPr>
    </w:p>
    <w:p w14:paraId="5D4C0D91" w14:textId="7C45EC80" w:rsidR="00144CA6" w:rsidRPr="004676F5" w:rsidRDefault="00144CA6" w:rsidP="00144CA6">
      <w:pPr>
        <w:jc w:val="both"/>
        <w:rPr>
          <w:lang w:val="de-DE"/>
        </w:rPr>
      </w:pPr>
      <w:r w:rsidRPr="004676F5">
        <w:rPr>
          <w:lang w:val="de-DE"/>
        </w:rPr>
        <w:tab/>
        <w:t>7. aufbereitete Waren: Waren, die geteilt, abgewogen, abgezählt beziehungsweise abgemessen werden </w:t>
      </w:r>
      <w:r w:rsidR="005B7A5C" w:rsidRPr="004676F5">
        <w:rPr>
          <w:lang w:val="de-DE"/>
        </w:rPr>
        <w:t>- </w:t>
      </w:r>
      <w:r w:rsidRPr="004676F5">
        <w:rPr>
          <w:lang w:val="de-DE"/>
        </w:rPr>
        <w:t>auch während der Herstellung </w:t>
      </w:r>
      <w:r w:rsidR="005B7A5C" w:rsidRPr="004676F5">
        <w:rPr>
          <w:lang w:val="de-DE"/>
        </w:rPr>
        <w:t>- </w:t>
      </w:r>
      <w:r w:rsidRPr="004676F5">
        <w:rPr>
          <w:lang w:val="de-DE"/>
        </w:rPr>
        <w:t>und danach eventuell verpackt werden mit dem Ziel, diese Arbeitsgänge im Augenblick des Anbietens zum Kauf überflüssig zu machen,</w:t>
      </w:r>
    </w:p>
    <w:p w14:paraId="49B16185" w14:textId="77777777" w:rsidR="00144CA6" w:rsidRPr="004676F5" w:rsidRDefault="00144CA6" w:rsidP="00144CA6">
      <w:pPr>
        <w:jc w:val="both"/>
        <w:rPr>
          <w:lang w:val="de-DE"/>
        </w:rPr>
      </w:pPr>
    </w:p>
    <w:p w14:paraId="34F71019" w14:textId="77777777" w:rsidR="00144CA6" w:rsidRPr="004676F5" w:rsidRDefault="00144CA6" w:rsidP="00B45D75">
      <w:pPr>
        <w:jc w:val="both"/>
        <w:rPr>
          <w:lang w:val="de-DE"/>
        </w:rPr>
      </w:pPr>
      <w:r w:rsidRPr="004676F5">
        <w:rPr>
          <w:lang w:val="de-DE"/>
        </w:rPr>
        <w:tab/>
        <w:t>8. fertigverpackte Waren: aufbereitete Waren, die verpackt werden, bevor sie zum Kauf angeboten werden, unabhängig von der Art der Verpackung, die die Waren gänzlich oder teilweise bedeckt, jedoch auf solche Weise, dass der Inhalt nicht verändert werden kann ohne vorherige Öffnung oder Veränderung der Verpackung.</w:t>
      </w:r>
    </w:p>
    <w:p w14:paraId="05314E53" w14:textId="77777777" w:rsidR="00B45D75" w:rsidRPr="004676F5" w:rsidRDefault="00B45D75" w:rsidP="00B45D75">
      <w:pPr>
        <w:jc w:val="both"/>
        <w:rPr>
          <w:lang w:val="de-DE"/>
        </w:rPr>
      </w:pPr>
    </w:p>
    <w:p w14:paraId="4F968551" w14:textId="77777777" w:rsidR="00144CA6" w:rsidRPr="004676F5" w:rsidRDefault="00144CA6" w:rsidP="00144CA6">
      <w:pPr>
        <w:jc w:val="both"/>
        <w:rPr>
          <w:lang w:val="de-DE"/>
        </w:rPr>
      </w:pPr>
      <w:r w:rsidRPr="004676F5">
        <w:rPr>
          <w:lang w:val="de-DE"/>
        </w:rPr>
        <w:tab/>
        <w:t>Darunter fallen:</w:t>
      </w:r>
    </w:p>
    <w:p w14:paraId="5C8552FC" w14:textId="77777777" w:rsidR="00144CA6" w:rsidRPr="004676F5" w:rsidRDefault="00144CA6" w:rsidP="00144CA6">
      <w:pPr>
        <w:jc w:val="both"/>
        <w:rPr>
          <w:lang w:val="de-DE"/>
        </w:rPr>
      </w:pPr>
    </w:p>
    <w:p w14:paraId="01CD703B" w14:textId="77777777" w:rsidR="00144CA6" w:rsidRPr="004676F5" w:rsidRDefault="00144CA6" w:rsidP="00144CA6">
      <w:pPr>
        <w:jc w:val="both"/>
        <w:rPr>
          <w:lang w:val="de-DE"/>
        </w:rPr>
      </w:pPr>
      <w:r w:rsidRPr="004676F5">
        <w:rPr>
          <w:lang w:val="de-DE"/>
        </w:rPr>
        <w:tab/>
      </w:r>
      <w:r w:rsidRPr="004676F5">
        <w:rPr>
          <w:i/>
          <w:lang w:val="de-DE"/>
        </w:rPr>
        <w:t>a)</w:t>
      </w:r>
      <w:r w:rsidRPr="004676F5">
        <w:rPr>
          <w:lang w:val="de-DE"/>
        </w:rPr>
        <w:t> in vorher festgelegten Mengen fertigverpackte Waren: Waren, die so fertigverpackt werden, dass die in der Verpackung enthaltene Menge einem vorher bestimmten Wert entspricht,</w:t>
      </w:r>
    </w:p>
    <w:p w14:paraId="41574360" w14:textId="77777777" w:rsidR="00144CA6" w:rsidRPr="004676F5" w:rsidRDefault="00144CA6" w:rsidP="00144CA6">
      <w:pPr>
        <w:jc w:val="both"/>
        <w:rPr>
          <w:lang w:val="de-DE"/>
        </w:rPr>
      </w:pPr>
    </w:p>
    <w:p w14:paraId="4BC09FB4" w14:textId="77777777" w:rsidR="00144CA6" w:rsidRPr="004676F5" w:rsidRDefault="00144CA6" w:rsidP="00144CA6">
      <w:pPr>
        <w:jc w:val="both"/>
        <w:rPr>
          <w:lang w:val="de-DE"/>
        </w:rPr>
      </w:pPr>
      <w:r w:rsidRPr="004676F5">
        <w:rPr>
          <w:lang w:val="de-DE"/>
        </w:rPr>
        <w:tab/>
      </w:r>
      <w:r w:rsidRPr="004676F5">
        <w:rPr>
          <w:i/>
          <w:lang w:val="de-DE"/>
        </w:rPr>
        <w:t>b)</w:t>
      </w:r>
      <w:r w:rsidRPr="004676F5">
        <w:rPr>
          <w:lang w:val="de-DE"/>
        </w:rPr>
        <w:t> in variablen Mengen fertigverpackte Waren: Waren, die so fertigverpackt werden, dass die in der Verpackung enthaltene Menge keinem vorher bestimmten Wert entspricht,</w:t>
      </w:r>
    </w:p>
    <w:p w14:paraId="37BBA777" w14:textId="77777777" w:rsidR="00144CA6" w:rsidRPr="004676F5" w:rsidRDefault="00144CA6" w:rsidP="00144CA6">
      <w:pPr>
        <w:jc w:val="both"/>
        <w:rPr>
          <w:lang w:val="de-DE"/>
        </w:rPr>
      </w:pPr>
    </w:p>
    <w:p w14:paraId="3514495D" w14:textId="77777777" w:rsidR="00144CA6" w:rsidRPr="004676F5" w:rsidRDefault="00144CA6" w:rsidP="00144CA6">
      <w:pPr>
        <w:jc w:val="both"/>
        <w:rPr>
          <w:lang w:val="de-DE"/>
        </w:rPr>
      </w:pPr>
      <w:r w:rsidRPr="004676F5">
        <w:rPr>
          <w:lang w:val="de-DE"/>
        </w:rPr>
        <w:tab/>
        <w:t>9. Maßeinheit: in Buch VIII erwähnte Einheit,</w:t>
      </w:r>
    </w:p>
    <w:p w14:paraId="664F330C" w14:textId="77777777" w:rsidR="00144CA6" w:rsidRPr="004676F5" w:rsidRDefault="00144CA6" w:rsidP="00144CA6">
      <w:pPr>
        <w:jc w:val="both"/>
        <w:rPr>
          <w:lang w:val="de-DE"/>
        </w:rPr>
      </w:pPr>
    </w:p>
    <w:p w14:paraId="07665164" w14:textId="77777777" w:rsidR="00144CA6" w:rsidRPr="004676F5" w:rsidRDefault="00144CA6" w:rsidP="00144CA6">
      <w:pPr>
        <w:jc w:val="both"/>
        <w:rPr>
          <w:lang w:val="de-DE"/>
        </w:rPr>
      </w:pPr>
      <w:r w:rsidRPr="004676F5">
        <w:rPr>
          <w:lang w:val="de-DE"/>
        </w:rPr>
        <w:tab/>
        <w:t>10. Abfüllbetrieb: Person, die Waren im Hinblick auf das Anbieten zum Kauf tatsächlich fertigverpackt,</w:t>
      </w:r>
    </w:p>
    <w:p w14:paraId="7B4D30BB" w14:textId="77777777" w:rsidR="00144CA6" w:rsidRPr="004676F5" w:rsidRDefault="00144CA6" w:rsidP="00144CA6">
      <w:pPr>
        <w:jc w:val="both"/>
        <w:rPr>
          <w:lang w:val="de-DE"/>
        </w:rPr>
      </w:pPr>
    </w:p>
    <w:p w14:paraId="5B537A1B" w14:textId="77777777" w:rsidR="00144CA6" w:rsidRPr="004676F5" w:rsidRDefault="00144CA6" w:rsidP="00144CA6">
      <w:pPr>
        <w:jc w:val="both"/>
        <w:rPr>
          <w:lang w:val="de-DE"/>
        </w:rPr>
      </w:pPr>
      <w:r w:rsidRPr="004676F5">
        <w:rPr>
          <w:lang w:val="de-DE"/>
        </w:rPr>
        <w:tab/>
        <w:t>11. Aufbereiter: Person, die Waren im Hinblick auf das Anbieten zum Kauf aufbereitet,</w:t>
      </w:r>
    </w:p>
    <w:p w14:paraId="2C804789" w14:textId="77777777" w:rsidR="00144CA6" w:rsidRPr="004676F5" w:rsidRDefault="00144CA6" w:rsidP="00144CA6">
      <w:pPr>
        <w:jc w:val="both"/>
        <w:rPr>
          <w:lang w:val="de-DE"/>
        </w:rPr>
      </w:pPr>
    </w:p>
    <w:p w14:paraId="5045118F" w14:textId="77777777" w:rsidR="00144CA6" w:rsidRPr="004676F5" w:rsidRDefault="00144CA6" w:rsidP="00144CA6">
      <w:pPr>
        <w:jc w:val="both"/>
        <w:rPr>
          <w:lang w:val="de-DE"/>
        </w:rPr>
      </w:pPr>
      <w:r w:rsidRPr="004676F5">
        <w:rPr>
          <w:lang w:val="de-DE"/>
        </w:rPr>
        <w:tab/>
        <w:t>12. Nennfüllmenge: auf einer Fertigpackung angegebenes Gewicht oder Volumen, das der Nettomenge entspricht, die diese Fertigpackung enthalten soll,</w:t>
      </w:r>
    </w:p>
    <w:p w14:paraId="04BF7D09" w14:textId="77777777" w:rsidR="00144CA6" w:rsidRPr="004676F5" w:rsidRDefault="00144CA6" w:rsidP="00144CA6">
      <w:pPr>
        <w:jc w:val="both"/>
        <w:rPr>
          <w:lang w:val="de-DE"/>
        </w:rPr>
      </w:pPr>
    </w:p>
    <w:p w14:paraId="412C6CD4" w14:textId="77777777" w:rsidR="00144CA6" w:rsidRPr="004676F5" w:rsidRDefault="00144CA6" w:rsidP="00144CA6">
      <w:pPr>
        <w:jc w:val="both"/>
        <w:rPr>
          <w:lang w:val="de-DE"/>
        </w:rPr>
      </w:pPr>
      <w:r w:rsidRPr="004676F5">
        <w:rPr>
          <w:lang w:val="de-DE"/>
        </w:rPr>
        <w:tab/>
        <w:t>13. Werbung: Mitteilungen mit dem direkten oder indirekten Ziel, den Verkauf von Produkten zu fördern, ungeachtet des Ortes oder der verwendeten Kommunikationsmittel,</w:t>
      </w:r>
    </w:p>
    <w:p w14:paraId="6057E172" w14:textId="77777777" w:rsidR="00144CA6" w:rsidRPr="004676F5" w:rsidRDefault="00144CA6" w:rsidP="00144CA6">
      <w:pPr>
        <w:jc w:val="both"/>
        <w:rPr>
          <w:lang w:val="de-DE"/>
        </w:rPr>
      </w:pPr>
    </w:p>
    <w:p w14:paraId="2670C9DA" w14:textId="77777777" w:rsidR="00144CA6" w:rsidRPr="004676F5" w:rsidRDefault="00144CA6" w:rsidP="00144CA6">
      <w:pPr>
        <w:jc w:val="both"/>
        <w:rPr>
          <w:lang w:val="de-DE"/>
        </w:rPr>
      </w:pPr>
      <w:r w:rsidRPr="004676F5">
        <w:rPr>
          <w:lang w:val="de-DE"/>
        </w:rPr>
        <w:tab/>
        <w:t>14. vergleichende Werbung: Werbung, die unmittelbar oder mittelbar einen Mitbewerber oder Waren oder Dienstleistungen, die von einem Mitbewerber angeboten werden, erkennbar macht,</w:t>
      </w:r>
    </w:p>
    <w:p w14:paraId="4FFC7833" w14:textId="77777777" w:rsidR="00144CA6" w:rsidRPr="004676F5" w:rsidRDefault="00144CA6" w:rsidP="00144CA6">
      <w:pPr>
        <w:jc w:val="both"/>
        <w:rPr>
          <w:lang w:val="de-DE"/>
        </w:rPr>
      </w:pPr>
    </w:p>
    <w:p w14:paraId="239C2BB9" w14:textId="0078E80B" w:rsidR="00144CA6" w:rsidRPr="004676F5" w:rsidRDefault="00144CA6" w:rsidP="00144CA6">
      <w:pPr>
        <w:jc w:val="both"/>
        <w:rPr>
          <w:lang w:val="de-DE"/>
        </w:rPr>
      </w:pPr>
      <w:r w:rsidRPr="004676F5">
        <w:rPr>
          <w:lang w:val="de-DE"/>
        </w:rPr>
        <w:tab/>
        <w:t>15. Fernabsatzvertrag: Vertrag, der zwischen dem Unternehmen und dem Verbraucher ohne gleichzeitige körperliche Anwesenheit des Unternehmens und des Verbrauchers im Rahmen eines für den Fernabsatz organisierten Vertriebs</w:t>
      </w:r>
      <w:r w:rsidR="005B7A5C" w:rsidRPr="004676F5">
        <w:rPr>
          <w:lang w:val="de-DE"/>
        </w:rPr>
        <w:t>- </w:t>
      </w:r>
      <w:r w:rsidRPr="004676F5">
        <w:rPr>
          <w:lang w:val="de-DE"/>
        </w:rPr>
        <w:t>beziehungsweise Dienst</w:t>
      </w:r>
      <w:r w:rsidRPr="004676F5">
        <w:rPr>
          <w:lang w:val="de-DE"/>
        </w:rPr>
        <w:softHyphen/>
        <w:t>leistungssystems geschlossen wird, wobei bis einschließlich zum Zeitpunkt des Vertragsabschlusses ausschließlich ein oder mehrere Fernkommunikationsmittel verwendet wird/werden,</w:t>
      </w:r>
    </w:p>
    <w:p w14:paraId="394620F7" w14:textId="77777777" w:rsidR="00144CA6" w:rsidRPr="004676F5" w:rsidRDefault="00144CA6" w:rsidP="00144CA6">
      <w:pPr>
        <w:jc w:val="both"/>
        <w:rPr>
          <w:lang w:val="de-DE"/>
        </w:rPr>
      </w:pPr>
    </w:p>
    <w:p w14:paraId="526B6584" w14:textId="77777777" w:rsidR="00144CA6" w:rsidRPr="004676F5" w:rsidRDefault="00144CA6" w:rsidP="00144CA6">
      <w:pPr>
        <w:jc w:val="both"/>
        <w:rPr>
          <w:lang w:val="de-DE"/>
        </w:rPr>
      </w:pPr>
      <w:r w:rsidRPr="004676F5">
        <w:rPr>
          <w:lang w:val="de-DE"/>
        </w:rPr>
        <w:lastRenderedPageBreak/>
        <w:tab/>
        <w:t>16. Fernkommunikationsmittel: Kommunikationsmittel, das ohne gleichzeitige körperliche Anwesenheit des Unternehmens und des Verbrauchers für den Abschluss eines Vertrags zwischen diesen Parteien eingesetzt werden kann,</w:t>
      </w:r>
    </w:p>
    <w:p w14:paraId="7D226539" w14:textId="77777777" w:rsidR="00144CA6" w:rsidRPr="004676F5" w:rsidRDefault="00144CA6" w:rsidP="00144CA6">
      <w:pPr>
        <w:jc w:val="both"/>
        <w:rPr>
          <w:lang w:val="de-DE"/>
        </w:rPr>
      </w:pPr>
    </w:p>
    <w:p w14:paraId="2B92279B" w14:textId="0D3D91E9" w:rsidR="00144CA6" w:rsidRPr="004676F5" w:rsidRDefault="00144CA6" w:rsidP="00144CA6">
      <w:pPr>
        <w:jc w:val="both"/>
        <w:rPr>
          <w:lang w:val="de-DE"/>
        </w:rPr>
      </w:pPr>
      <w:r w:rsidRPr="004676F5">
        <w:rPr>
          <w:lang w:val="de-DE"/>
        </w:rPr>
        <w:tab/>
        <w:t>17. </w:t>
      </w:r>
      <w:r w:rsidR="00D04E8C" w:rsidRPr="004676F5">
        <w:rPr>
          <w:lang w:val="de-DE"/>
        </w:rPr>
        <w:t>[</w:t>
      </w:r>
      <w:r w:rsidRPr="004676F5">
        <w:rPr>
          <w:lang w:val="de-DE"/>
        </w:rPr>
        <w:t>Betreiber eines Kommunikationsmittels: natürliche oder juristische Person des öffentlichen oder privaten Rechts, deren gewerbliche oder berufliche Tätigkeit darin besteht, Unternehmen ein oder mehrere Fernkommunikationsmittel zur Verfügung zu stellen,</w:t>
      </w:r>
      <w:r w:rsidR="00D04E8C" w:rsidRPr="004676F5">
        <w:rPr>
          <w:lang w:val="de-DE"/>
        </w:rPr>
        <w:t>]</w:t>
      </w:r>
    </w:p>
    <w:p w14:paraId="21062E5E" w14:textId="77777777" w:rsidR="00144CA6" w:rsidRPr="004676F5" w:rsidRDefault="00144CA6" w:rsidP="00144CA6">
      <w:pPr>
        <w:jc w:val="both"/>
        <w:rPr>
          <w:lang w:val="de-DE"/>
        </w:rPr>
      </w:pPr>
    </w:p>
    <w:p w14:paraId="052D8373" w14:textId="77777777" w:rsidR="00144CA6" w:rsidRPr="004676F5" w:rsidRDefault="00144CA6" w:rsidP="00144CA6">
      <w:pPr>
        <w:jc w:val="both"/>
        <w:rPr>
          <w:lang w:val="de-DE"/>
        </w:rPr>
      </w:pPr>
      <w:r w:rsidRPr="004676F5">
        <w:rPr>
          <w:lang w:val="de-DE"/>
        </w:rPr>
        <w:tab/>
        <w:t>18. Finanzdienstleistung: Bankdienstleistung und Dienstleistung im Zusammenhang mit einer Kreditgewährung, Versicherung, Altersversorgung von Einzelpersonen, Geldanlage oder Zahlung,</w:t>
      </w:r>
    </w:p>
    <w:p w14:paraId="3E188834" w14:textId="77777777" w:rsidR="00144CA6" w:rsidRPr="004676F5" w:rsidRDefault="00144CA6" w:rsidP="00144CA6">
      <w:pPr>
        <w:jc w:val="both"/>
        <w:rPr>
          <w:lang w:val="de-DE"/>
        </w:rPr>
      </w:pPr>
    </w:p>
    <w:p w14:paraId="4E2DF9EC" w14:textId="2EBAEF4E" w:rsidR="00144CA6" w:rsidRPr="004676F5" w:rsidRDefault="00144CA6" w:rsidP="00144CA6">
      <w:pPr>
        <w:jc w:val="both"/>
        <w:rPr>
          <w:lang w:val="de-DE"/>
        </w:rPr>
      </w:pPr>
      <w:r w:rsidRPr="004676F5">
        <w:rPr>
          <w:lang w:val="de-DE"/>
        </w:rPr>
        <w:tab/>
        <w:t xml:space="preserve">19. </w:t>
      </w:r>
      <w:r w:rsidR="00790870" w:rsidRPr="004676F5">
        <w:rPr>
          <w:lang w:val="de-DE"/>
        </w:rPr>
        <w:t>[...]</w:t>
      </w:r>
    </w:p>
    <w:p w14:paraId="54D9B411" w14:textId="77777777" w:rsidR="00144CA6" w:rsidRPr="004676F5" w:rsidRDefault="00144CA6" w:rsidP="00144CA6">
      <w:pPr>
        <w:jc w:val="both"/>
        <w:rPr>
          <w:lang w:val="de-DE"/>
        </w:rPr>
      </w:pPr>
    </w:p>
    <w:p w14:paraId="3EDDC824" w14:textId="77777777" w:rsidR="00144CA6" w:rsidRPr="004676F5" w:rsidRDefault="00144CA6" w:rsidP="00144CA6">
      <w:pPr>
        <w:jc w:val="both"/>
        <w:rPr>
          <w:lang w:val="de-DE"/>
        </w:rPr>
      </w:pPr>
      <w:r w:rsidRPr="004676F5">
        <w:rPr>
          <w:lang w:val="de-DE"/>
        </w:rPr>
        <w:tab/>
        <w:t>20. Anbieter: Unternehmen, das Dienstleistungen aufgrund von Fernabsatzverträgen erbringt,</w:t>
      </w:r>
    </w:p>
    <w:p w14:paraId="5D53F05B" w14:textId="77777777" w:rsidR="00144CA6" w:rsidRPr="004676F5" w:rsidRDefault="00144CA6" w:rsidP="00144CA6">
      <w:pPr>
        <w:jc w:val="both"/>
        <w:rPr>
          <w:lang w:val="de-DE"/>
        </w:rPr>
      </w:pPr>
    </w:p>
    <w:p w14:paraId="7838C6BF" w14:textId="77777777" w:rsidR="00144CA6" w:rsidRPr="004676F5" w:rsidRDefault="00144CA6" w:rsidP="00144CA6">
      <w:pPr>
        <w:jc w:val="both"/>
        <w:rPr>
          <w:lang w:val="de-DE"/>
        </w:rPr>
      </w:pPr>
      <w:r w:rsidRPr="004676F5">
        <w:rPr>
          <w:lang w:val="de-DE"/>
        </w:rPr>
        <w:tab/>
        <w:t>21. Kopplungsgeschäft: Angebot, bei dem der entgeltliche oder kostenlose Erwerb von Waren oder Dienstleistungen an den Erwerb anderer Waren oder Dienstleistungen gebunden ist,</w:t>
      </w:r>
    </w:p>
    <w:p w14:paraId="352D789C" w14:textId="77777777" w:rsidR="00144CA6" w:rsidRPr="004676F5" w:rsidRDefault="00144CA6" w:rsidP="00144CA6">
      <w:pPr>
        <w:jc w:val="both"/>
        <w:rPr>
          <w:lang w:val="de-DE"/>
        </w:rPr>
      </w:pPr>
    </w:p>
    <w:p w14:paraId="2C78CFD1" w14:textId="77777777" w:rsidR="00144CA6" w:rsidRPr="004676F5" w:rsidRDefault="00144CA6" w:rsidP="00144CA6">
      <w:pPr>
        <w:jc w:val="both"/>
        <w:rPr>
          <w:lang w:val="de-DE"/>
        </w:rPr>
      </w:pPr>
      <w:r w:rsidRPr="004676F5">
        <w:rPr>
          <w:lang w:val="de-DE"/>
        </w:rPr>
        <w:tab/>
        <w:t>22. missbräuchliche Klausel: Klausel beziehungsweise Bedingung in einem Vertrag zwischen einem Unternehmen und einem Verbraucher, die als solche oder zusammen mit einer oder mehreren anderen Klauseln oder Bedingungen ein offensichtliches Ungleichgewicht zwischen den Rechten und Verpflichtungen der Parteien zum Nachteil des Verbrauchers bewirkt,</w:t>
      </w:r>
    </w:p>
    <w:p w14:paraId="31C941EB" w14:textId="77777777" w:rsidR="00144CA6" w:rsidRPr="004676F5" w:rsidRDefault="00144CA6" w:rsidP="00144CA6">
      <w:pPr>
        <w:jc w:val="both"/>
        <w:rPr>
          <w:lang w:val="de-DE"/>
        </w:rPr>
      </w:pPr>
    </w:p>
    <w:p w14:paraId="10F2A8AB" w14:textId="77777777" w:rsidR="00144CA6" w:rsidRPr="004676F5" w:rsidRDefault="00144CA6" w:rsidP="00144CA6">
      <w:pPr>
        <w:jc w:val="both"/>
        <w:rPr>
          <w:lang w:val="de-DE"/>
        </w:rPr>
      </w:pPr>
      <w:r w:rsidRPr="004676F5">
        <w:rPr>
          <w:lang w:val="de-DE"/>
        </w:rPr>
        <w:tab/>
        <w:t>23. Geschäftspraktiken: Handlung, Unterlassung, Verhaltensweise oder Erklärung, kommerzielle Mitteilung einschließlich Werbung und Marketing eines Unternehmens im Zusammenhang mit der Absatzförderung, dem Verkauf oder der Lieferung eines Produkts,</w:t>
      </w:r>
    </w:p>
    <w:p w14:paraId="483D68DC" w14:textId="77777777" w:rsidR="00144CA6" w:rsidRPr="004676F5" w:rsidRDefault="00144CA6" w:rsidP="00144CA6">
      <w:pPr>
        <w:jc w:val="both"/>
        <w:rPr>
          <w:lang w:val="de-DE"/>
        </w:rPr>
      </w:pPr>
    </w:p>
    <w:p w14:paraId="76EC975C" w14:textId="77777777" w:rsidR="00144CA6" w:rsidRPr="004676F5" w:rsidRDefault="00144CA6" w:rsidP="00144CA6">
      <w:pPr>
        <w:jc w:val="both"/>
        <w:rPr>
          <w:lang w:val="de-DE"/>
        </w:rPr>
      </w:pPr>
      <w:r w:rsidRPr="004676F5">
        <w:rPr>
          <w:lang w:val="de-DE"/>
        </w:rPr>
        <w:tab/>
        <w:t>24. wesentliche Beeinflussung des wirtschaftlichen Verhaltens des Verbrauchers: Anwendung einer Geschäftspraxis, um die Fähigkeit des Verbrauchers, eine informierte Entscheidung zu treffen, spürbar zu beeinträchtigen und damit den Verbraucher zu einer geschäftlichen Entscheidung zu veranlassen, die er andernfalls nicht getroffen hätte,</w:t>
      </w:r>
    </w:p>
    <w:p w14:paraId="6D77A3A6" w14:textId="77777777" w:rsidR="00144CA6" w:rsidRPr="004676F5" w:rsidRDefault="00144CA6" w:rsidP="00144CA6">
      <w:pPr>
        <w:jc w:val="both"/>
        <w:rPr>
          <w:lang w:val="de-DE"/>
        </w:rPr>
      </w:pPr>
    </w:p>
    <w:p w14:paraId="21CE01A1" w14:textId="77777777" w:rsidR="00144CA6" w:rsidRPr="004676F5" w:rsidRDefault="00144CA6" w:rsidP="00144CA6">
      <w:pPr>
        <w:jc w:val="both"/>
        <w:rPr>
          <w:lang w:val="de-DE"/>
        </w:rPr>
      </w:pPr>
      <w:r w:rsidRPr="004676F5">
        <w:rPr>
          <w:lang w:val="de-DE"/>
        </w:rPr>
        <w:tab/>
        <w:t>25. berufliche Sorgfalt: Standard an Fachkenntnissen und Sorgfalt, bei denen billigerweise davon ausgegangen werden kann, dass das Unternehmen sie gegenüber dem Verbraucher gemäß den anständigen Handelsgepflogenheiten in seinem Tätigkeitsbereich anwendet,</w:t>
      </w:r>
    </w:p>
    <w:p w14:paraId="77214DBC" w14:textId="77777777" w:rsidR="00144CA6" w:rsidRPr="004676F5" w:rsidRDefault="00144CA6" w:rsidP="00144CA6">
      <w:pPr>
        <w:jc w:val="both"/>
        <w:rPr>
          <w:lang w:val="de-DE"/>
        </w:rPr>
      </w:pPr>
    </w:p>
    <w:p w14:paraId="53B013BE" w14:textId="77777777" w:rsidR="00144CA6" w:rsidRPr="004676F5" w:rsidRDefault="00144CA6" w:rsidP="00144CA6">
      <w:pPr>
        <w:jc w:val="both"/>
        <w:rPr>
          <w:lang w:val="de-DE"/>
        </w:rPr>
      </w:pPr>
      <w:r w:rsidRPr="004676F5">
        <w:rPr>
          <w:lang w:val="de-DE"/>
        </w:rPr>
        <w:tab/>
        <w:t>26. Aufforderung zum Kauf: kommerzielle Kommunikation, die die Merkmale des Produkts und den Preis in einer Weise angibt, die den Mitteln der verwendeten kommerziellen Kommunikation angemessen ist und den Verbraucher dadurch in die Lage versetzt, einen Kauf zu tätigen,</w:t>
      </w:r>
    </w:p>
    <w:p w14:paraId="24F22FF9" w14:textId="77777777" w:rsidR="00144CA6" w:rsidRPr="004676F5" w:rsidRDefault="00144CA6" w:rsidP="00144CA6">
      <w:pPr>
        <w:jc w:val="both"/>
        <w:rPr>
          <w:lang w:val="de-DE"/>
        </w:rPr>
      </w:pPr>
    </w:p>
    <w:p w14:paraId="7A273606" w14:textId="77777777" w:rsidR="00144CA6" w:rsidRPr="004676F5" w:rsidRDefault="00144CA6" w:rsidP="00144CA6">
      <w:pPr>
        <w:jc w:val="both"/>
        <w:rPr>
          <w:lang w:val="de-DE"/>
        </w:rPr>
      </w:pPr>
      <w:r w:rsidRPr="004676F5">
        <w:rPr>
          <w:lang w:val="de-DE"/>
        </w:rPr>
        <w:tab/>
        <w:t>27. unzulässige Beeinflussung: Ausnutzung einer Machtposition gegenüber dem Verbraucher zur Ausübung von Druck, auch ohne die Anwendung oder Androhung von körperlicher Gewalt, in einer Weise, die die Fähigkeit des Verbrauchers zu einer informierten Entscheidung wesentlich einschränkt,</w:t>
      </w:r>
    </w:p>
    <w:p w14:paraId="4D508AD3" w14:textId="77777777" w:rsidR="00144CA6" w:rsidRPr="004676F5" w:rsidRDefault="00144CA6" w:rsidP="00144CA6">
      <w:pPr>
        <w:jc w:val="both"/>
        <w:rPr>
          <w:lang w:val="de-DE"/>
        </w:rPr>
      </w:pPr>
    </w:p>
    <w:p w14:paraId="25EAAA3A" w14:textId="77777777" w:rsidR="00144CA6" w:rsidRPr="004676F5" w:rsidRDefault="00144CA6" w:rsidP="00144CA6">
      <w:pPr>
        <w:jc w:val="both"/>
        <w:rPr>
          <w:lang w:val="de-DE"/>
        </w:rPr>
      </w:pPr>
      <w:r w:rsidRPr="004676F5">
        <w:rPr>
          <w:lang w:val="de-DE"/>
        </w:rPr>
        <w:lastRenderedPageBreak/>
        <w:tab/>
        <w:t>28. geschäftliche Entscheidung: Entscheidung eines Verbrauchers darüber, ob, wie und unter welchen Bedingungen er einen Kauf tätigen, eine Zahlung insgesamt oder teilweise leisten, ein Produkt behalten oder abgeben oder ein vertragliches Recht im Zusammenhang mit dem Produkt ausüben will, unabhängig davon, ob der Verbraucher beschließt, tätig zu werden oder ein Tätigwerden zu unterlassen,</w:t>
      </w:r>
    </w:p>
    <w:p w14:paraId="36914A4A" w14:textId="77777777" w:rsidR="00144CA6" w:rsidRPr="004676F5" w:rsidRDefault="00144CA6" w:rsidP="00144CA6">
      <w:pPr>
        <w:jc w:val="both"/>
        <w:rPr>
          <w:lang w:val="de-DE"/>
        </w:rPr>
      </w:pPr>
    </w:p>
    <w:p w14:paraId="7EDBBCD7" w14:textId="77777777" w:rsidR="00144CA6" w:rsidRPr="004676F5" w:rsidRDefault="00144CA6" w:rsidP="00144CA6">
      <w:pPr>
        <w:jc w:val="both"/>
        <w:rPr>
          <w:lang w:val="de-DE"/>
        </w:rPr>
      </w:pPr>
      <w:r w:rsidRPr="004676F5">
        <w:rPr>
          <w:lang w:val="de-DE"/>
        </w:rPr>
        <w:tab/>
        <w:t>29. kollektivem Verbraucherabkommen: innerhalb des Verbraucherrates zwischen den Verbraucherorganisationen und den Berufsorganisationen geschlossenes Abkommen, das die Beziehungen zwischen Unternehmen und Verbrauchern regelt, was Waren oder Dienstleistungen oder Kategorien von Waren oder Dienstleistungen betrifft,</w:t>
      </w:r>
    </w:p>
    <w:p w14:paraId="4EE87AA4" w14:textId="77777777" w:rsidR="00144CA6" w:rsidRPr="004676F5" w:rsidRDefault="00144CA6" w:rsidP="00144CA6">
      <w:pPr>
        <w:jc w:val="both"/>
        <w:rPr>
          <w:lang w:val="de-DE"/>
        </w:rPr>
      </w:pPr>
    </w:p>
    <w:p w14:paraId="47B5CD34" w14:textId="77777777" w:rsidR="00144CA6" w:rsidRPr="004676F5" w:rsidRDefault="00144CA6" w:rsidP="00144CA6">
      <w:pPr>
        <w:jc w:val="both"/>
        <w:rPr>
          <w:lang w:val="de-DE"/>
        </w:rPr>
      </w:pPr>
      <w:r w:rsidRPr="004676F5">
        <w:rPr>
          <w:lang w:val="de-DE"/>
        </w:rPr>
        <w:tab/>
        <w:t>30. nach Verbraucherspezifikation angefertigte Waren: Waren, die nicht vorgefertigt sind und für deren Herstellung eine individuelle Auswahl oder Entscheidung durch den Verbraucher maßgeblich ist,</w:t>
      </w:r>
    </w:p>
    <w:p w14:paraId="248E25C0" w14:textId="77777777" w:rsidR="00144CA6" w:rsidRPr="004676F5" w:rsidRDefault="00144CA6" w:rsidP="00144CA6">
      <w:pPr>
        <w:jc w:val="both"/>
        <w:rPr>
          <w:lang w:val="de-DE"/>
        </w:rPr>
      </w:pPr>
    </w:p>
    <w:p w14:paraId="7C4AF2C4" w14:textId="77777777" w:rsidR="00144CA6" w:rsidRPr="004676F5" w:rsidRDefault="00144CA6" w:rsidP="00144CA6">
      <w:pPr>
        <w:jc w:val="both"/>
        <w:rPr>
          <w:lang w:val="de-DE"/>
        </w:rPr>
      </w:pPr>
      <w:r w:rsidRPr="004676F5">
        <w:rPr>
          <w:lang w:val="de-DE"/>
        </w:rPr>
        <w:tab/>
        <w:t>31. außerhalb von Geschäftsräumen geschlossener Vertrag: Vertrag zwischen dem Unternehmen und dem Verbraucher:</w:t>
      </w:r>
    </w:p>
    <w:p w14:paraId="625035FF" w14:textId="77777777" w:rsidR="00144CA6" w:rsidRPr="004676F5" w:rsidRDefault="00144CA6" w:rsidP="00144CA6">
      <w:pPr>
        <w:jc w:val="both"/>
        <w:rPr>
          <w:lang w:val="de-DE"/>
        </w:rPr>
      </w:pPr>
    </w:p>
    <w:p w14:paraId="3A346DF3" w14:textId="77777777" w:rsidR="00144CA6" w:rsidRPr="004676F5" w:rsidRDefault="00144CA6" w:rsidP="00144CA6">
      <w:pPr>
        <w:jc w:val="both"/>
        <w:rPr>
          <w:lang w:val="de-DE"/>
        </w:rPr>
      </w:pPr>
      <w:r w:rsidRPr="004676F5">
        <w:rPr>
          <w:lang w:val="de-DE"/>
        </w:rPr>
        <w:tab/>
      </w:r>
      <w:r w:rsidRPr="004676F5">
        <w:rPr>
          <w:i/>
          <w:lang w:val="de-DE"/>
        </w:rPr>
        <w:t>a)</w:t>
      </w:r>
      <w:r w:rsidRPr="004676F5">
        <w:rPr>
          <w:lang w:val="de-DE"/>
        </w:rPr>
        <w:t> der bei gleichzeitiger körperlicher Anwesenheit des Unternehmens und des Verbrauchers an einem Ort geschlossen wird, der kein Geschäftsraum des Unternehmens ist, oder</w:t>
      </w:r>
    </w:p>
    <w:p w14:paraId="086AD5DA" w14:textId="77777777" w:rsidR="00144CA6" w:rsidRPr="004676F5" w:rsidRDefault="00144CA6" w:rsidP="00144CA6">
      <w:pPr>
        <w:jc w:val="both"/>
        <w:rPr>
          <w:lang w:val="de-DE"/>
        </w:rPr>
      </w:pPr>
    </w:p>
    <w:p w14:paraId="059AC61E" w14:textId="77777777" w:rsidR="00144CA6" w:rsidRPr="004676F5" w:rsidRDefault="00144CA6" w:rsidP="00144CA6">
      <w:pPr>
        <w:jc w:val="both"/>
        <w:rPr>
          <w:lang w:val="de-DE"/>
        </w:rPr>
      </w:pPr>
      <w:r w:rsidRPr="004676F5">
        <w:rPr>
          <w:lang w:val="de-DE"/>
        </w:rPr>
        <w:tab/>
      </w:r>
      <w:r w:rsidRPr="004676F5">
        <w:rPr>
          <w:i/>
          <w:lang w:val="de-DE"/>
        </w:rPr>
        <w:t>b)</w:t>
      </w:r>
      <w:r w:rsidRPr="004676F5">
        <w:rPr>
          <w:lang w:val="de-DE"/>
        </w:rPr>
        <w:t> für den der Verbraucher unter den unter Buchstabe </w:t>
      </w:r>
      <w:r w:rsidRPr="004676F5">
        <w:rPr>
          <w:i/>
          <w:lang w:val="de-DE"/>
        </w:rPr>
        <w:t>a)</w:t>
      </w:r>
      <w:r w:rsidRPr="004676F5">
        <w:rPr>
          <w:lang w:val="de-DE"/>
        </w:rPr>
        <w:t xml:space="preserve"> genannten Umständen ein Angebot gemacht hat oder</w:t>
      </w:r>
    </w:p>
    <w:p w14:paraId="1DAF3009" w14:textId="77777777" w:rsidR="00144CA6" w:rsidRPr="004676F5" w:rsidRDefault="00144CA6" w:rsidP="00144CA6">
      <w:pPr>
        <w:jc w:val="both"/>
        <w:rPr>
          <w:lang w:val="de-DE"/>
        </w:rPr>
      </w:pPr>
    </w:p>
    <w:p w14:paraId="64D29984" w14:textId="77777777" w:rsidR="00144CA6" w:rsidRPr="004676F5" w:rsidRDefault="00144CA6" w:rsidP="00144CA6">
      <w:pPr>
        <w:jc w:val="both"/>
        <w:rPr>
          <w:lang w:val="de-DE"/>
        </w:rPr>
      </w:pPr>
      <w:r w:rsidRPr="004676F5">
        <w:rPr>
          <w:lang w:val="de-DE"/>
        </w:rPr>
        <w:tab/>
      </w:r>
      <w:r w:rsidRPr="004676F5">
        <w:rPr>
          <w:i/>
          <w:lang w:val="de-DE"/>
        </w:rPr>
        <w:t>c)</w:t>
      </w:r>
      <w:r w:rsidRPr="004676F5">
        <w:rPr>
          <w:lang w:val="de-DE"/>
        </w:rPr>
        <w:t> der in den Geschäftsräumen des Unternehmens oder durch Fernkommunikations</w:t>
      </w:r>
      <w:r w:rsidRPr="004676F5">
        <w:rPr>
          <w:lang w:val="de-DE"/>
        </w:rPr>
        <w:softHyphen/>
        <w:t>mittel geschlossen wird, unmittelbar nachdem der Verbraucher an einem anderen Ort als den Geschäftsräumen des Unternehmens bei gleichzeitiger körperlicher Anwesenheit des Unternehmens und des Verbrauchers persönlich und individuell angesprochen wurde, oder</w:t>
      </w:r>
    </w:p>
    <w:p w14:paraId="7E584B65" w14:textId="77777777" w:rsidR="00144CA6" w:rsidRPr="004676F5" w:rsidRDefault="00144CA6" w:rsidP="00144CA6">
      <w:pPr>
        <w:jc w:val="both"/>
        <w:rPr>
          <w:lang w:val="de-DE"/>
        </w:rPr>
      </w:pPr>
    </w:p>
    <w:p w14:paraId="1C5157DB" w14:textId="77777777" w:rsidR="00144CA6" w:rsidRPr="004676F5" w:rsidRDefault="00144CA6" w:rsidP="00144CA6">
      <w:pPr>
        <w:jc w:val="both"/>
        <w:rPr>
          <w:lang w:val="de-DE"/>
        </w:rPr>
      </w:pPr>
      <w:r w:rsidRPr="004676F5">
        <w:rPr>
          <w:lang w:val="de-DE"/>
        </w:rPr>
        <w:tab/>
      </w:r>
      <w:r w:rsidRPr="004676F5">
        <w:rPr>
          <w:i/>
          <w:lang w:val="de-DE"/>
        </w:rPr>
        <w:t>d)</w:t>
      </w:r>
      <w:r w:rsidRPr="004676F5">
        <w:rPr>
          <w:lang w:val="de-DE"/>
        </w:rPr>
        <w:t> der auf einem Ausflug geschlossen wird, der von dem Unternehmen in der Absicht oder mit dem Ergebnis organisiert wurde, dass er für den Verkauf von Waren oder die Erbringung von Dienstleistungen beim Verbraucher wirbt,</w:t>
      </w:r>
    </w:p>
    <w:p w14:paraId="77A43144" w14:textId="77777777" w:rsidR="00144CA6" w:rsidRPr="004676F5" w:rsidRDefault="00144CA6" w:rsidP="00144CA6">
      <w:pPr>
        <w:jc w:val="both"/>
        <w:rPr>
          <w:lang w:val="de-DE"/>
        </w:rPr>
      </w:pPr>
    </w:p>
    <w:p w14:paraId="7102ED32" w14:textId="77777777" w:rsidR="00144CA6" w:rsidRPr="004676F5" w:rsidRDefault="00144CA6" w:rsidP="00144CA6">
      <w:pPr>
        <w:jc w:val="both"/>
        <w:rPr>
          <w:lang w:val="de-DE"/>
        </w:rPr>
      </w:pPr>
      <w:r w:rsidRPr="004676F5">
        <w:rPr>
          <w:lang w:val="de-DE"/>
        </w:rPr>
        <w:tab/>
        <w:t>32. Geschäftsräume:</w:t>
      </w:r>
    </w:p>
    <w:p w14:paraId="18527BCC" w14:textId="77777777" w:rsidR="00144CA6" w:rsidRPr="004676F5" w:rsidRDefault="00144CA6" w:rsidP="00144CA6">
      <w:pPr>
        <w:jc w:val="both"/>
        <w:rPr>
          <w:lang w:val="de-DE"/>
        </w:rPr>
      </w:pPr>
    </w:p>
    <w:p w14:paraId="2F63F27D" w14:textId="77777777" w:rsidR="00144CA6" w:rsidRPr="004676F5" w:rsidRDefault="00144CA6" w:rsidP="00144CA6">
      <w:pPr>
        <w:jc w:val="both"/>
        <w:rPr>
          <w:lang w:val="de-DE"/>
        </w:rPr>
      </w:pPr>
      <w:r w:rsidRPr="004676F5">
        <w:rPr>
          <w:lang w:val="de-DE"/>
        </w:rPr>
        <w:tab/>
      </w:r>
      <w:r w:rsidRPr="004676F5">
        <w:rPr>
          <w:i/>
          <w:lang w:val="de-DE"/>
        </w:rPr>
        <w:t>a)</w:t>
      </w:r>
      <w:r w:rsidRPr="004676F5">
        <w:rPr>
          <w:lang w:val="de-DE"/>
        </w:rPr>
        <w:t> unbewegliche Gewerberäume, in denen das Unternehmen seine Tätigkeit dauerhaft ausübt, oder</w:t>
      </w:r>
    </w:p>
    <w:p w14:paraId="285A73C9" w14:textId="77777777" w:rsidR="00144CA6" w:rsidRPr="004676F5" w:rsidRDefault="00144CA6" w:rsidP="00144CA6">
      <w:pPr>
        <w:jc w:val="both"/>
        <w:rPr>
          <w:lang w:val="de-DE"/>
        </w:rPr>
      </w:pPr>
    </w:p>
    <w:p w14:paraId="3118BFB6" w14:textId="77777777" w:rsidR="00144CA6" w:rsidRPr="004676F5" w:rsidRDefault="00144CA6" w:rsidP="00144CA6">
      <w:pPr>
        <w:jc w:val="both"/>
        <w:rPr>
          <w:lang w:val="de-DE"/>
        </w:rPr>
      </w:pPr>
      <w:r w:rsidRPr="004676F5">
        <w:rPr>
          <w:lang w:val="de-DE"/>
        </w:rPr>
        <w:tab/>
      </w:r>
      <w:r w:rsidRPr="004676F5">
        <w:rPr>
          <w:i/>
          <w:lang w:val="de-DE"/>
        </w:rPr>
        <w:t>b)</w:t>
      </w:r>
      <w:r w:rsidRPr="004676F5">
        <w:rPr>
          <w:lang w:val="de-DE"/>
        </w:rPr>
        <w:t> bewegliche Gewerberäume, in denen das Unternehmen seine Tätigkeit für gewöhnlich ausübt,</w:t>
      </w:r>
    </w:p>
    <w:p w14:paraId="1D7F6CDB" w14:textId="77777777" w:rsidR="00144CA6" w:rsidRPr="004676F5" w:rsidRDefault="00144CA6" w:rsidP="00144CA6">
      <w:pPr>
        <w:jc w:val="both"/>
        <w:rPr>
          <w:lang w:val="de-DE"/>
        </w:rPr>
      </w:pPr>
    </w:p>
    <w:p w14:paraId="3C7FC8D4" w14:textId="77777777" w:rsidR="00144CA6" w:rsidRPr="004676F5" w:rsidRDefault="00144CA6" w:rsidP="00144CA6">
      <w:pPr>
        <w:jc w:val="both"/>
        <w:rPr>
          <w:lang w:val="de-DE"/>
        </w:rPr>
      </w:pPr>
      <w:r w:rsidRPr="004676F5">
        <w:rPr>
          <w:lang w:val="de-DE"/>
        </w:rPr>
        <w:tab/>
        <w:t>33. Kaufvertrag: Vertrag, durch den das Unternehmen das Eigentum an Waren an den Verbraucher überträgt oder deren Übertragung zusagt und der Verbraucher hierfür den Preis zahlt oder dessen Zahlung zusagt, einschließlich von Verträgen, die sowohl Waren als auch Dienstleistungen zum Gegenstand haben,</w:t>
      </w:r>
    </w:p>
    <w:p w14:paraId="0D483A7F" w14:textId="77777777" w:rsidR="00144CA6" w:rsidRPr="004676F5" w:rsidRDefault="00144CA6" w:rsidP="00144CA6">
      <w:pPr>
        <w:jc w:val="both"/>
        <w:rPr>
          <w:lang w:val="de-DE"/>
        </w:rPr>
      </w:pPr>
    </w:p>
    <w:p w14:paraId="26F8C692" w14:textId="33AAE8BF" w:rsidR="00144CA6" w:rsidRPr="004676F5" w:rsidRDefault="00144CA6" w:rsidP="00144CA6">
      <w:pPr>
        <w:jc w:val="both"/>
        <w:rPr>
          <w:lang w:val="de-DE"/>
        </w:rPr>
      </w:pPr>
      <w:r w:rsidRPr="004676F5">
        <w:rPr>
          <w:lang w:val="de-DE"/>
        </w:rPr>
        <w:tab/>
        <w:t>34. </w:t>
      </w:r>
      <w:r w:rsidR="00477C2A" w:rsidRPr="004676F5">
        <w:rPr>
          <w:lang w:val="de-DE"/>
        </w:rPr>
        <w:t>[Dienstleistungsvertrag: Vertrag, der kein Kaufvertrag ist und nach dem das Unternehmen eine Dienstleistung, einschließlich einer digitalen Dienstleistung, für den Verbraucher erbringt oder deren Erbringung zusagt und der Verbraucher hierfür den Preis zahlt oder dessen Zahlung zusagt,]</w:t>
      </w:r>
    </w:p>
    <w:p w14:paraId="30E69DDD" w14:textId="77777777" w:rsidR="00144CA6" w:rsidRPr="004676F5" w:rsidRDefault="00144CA6" w:rsidP="00144CA6">
      <w:pPr>
        <w:jc w:val="both"/>
        <w:rPr>
          <w:lang w:val="de-DE"/>
        </w:rPr>
      </w:pPr>
    </w:p>
    <w:p w14:paraId="1A43046C" w14:textId="1EAE2EF9" w:rsidR="00144CA6" w:rsidRPr="004676F5" w:rsidRDefault="00144CA6" w:rsidP="00144CA6">
      <w:pPr>
        <w:jc w:val="both"/>
        <w:rPr>
          <w:lang w:val="de-DE"/>
        </w:rPr>
      </w:pPr>
      <w:r w:rsidRPr="004676F5">
        <w:rPr>
          <w:lang w:val="de-DE"/>
        </w:rPr>
        <w:tab/>
        <w:t>35. </w:t>
      </w:r>
      <w:r w:rsidR="00413CD6" w:rsidRPr="004676F5">
        <w:rPr>
          <w:lang w:val="de-DE"/>
        </w:rPr>
        <w:t>[</w:t>
      </w:r>
      <w:r w:rsidRPr="004676F5">
        <w:rPr>
          <w:lang w:val="de-DE"/>
        </w:rPr>
        <w:t>digitale Inhalte: Daten, die in digitaler Form hergestellt und bereitgestellt werden,</w:t>
      </w:r>
      <w:r w:rsidR="00413CD6" w:rsidRPr="004676F5">
        <w:rPr>
          <w:lang w:val="de-DE"/>
        </w:rPr>
        <w:t>]</w:t>
      </w:r>
    </w:p>
    <w:p w14:paraId="180D749C" w14:textId="77777777" w:rsidR="00144CA6" w:rsidRPr="004676F5" w:rsidRDefault="00144CA6" w:rsidP="00144CA6">
      <w:pPr>
        <w:jc w:val="both"/>
        <w:rPr>
          <w:lang w:val="de-DE"/>
        </w:rPr>
      </w:pPr>
    </w:p>
    <w:p w14:paraId="573F4230" w14:textId="77777777" w:rsidR="00144CA6" w:rsidRPr="004676F5" w:rsidRDefault="00144CA6" w:rsidP="00144CA6">
      <w:pPr>
        <w:jc w:val="both"/>
        <w:rPr>
          <w:lang w:val="de-DE"/>
        </w:rPr>
      </w:pPr>
      <w:r w:rsidRPr="004676F5">
        <w:rPr>
          <w:lang w:val="de-DE"/>
        </w:rPr>
        <w:tab/>
        <w:t>36. öffentliche Versteigerung: eine Verkaufsmethode, bei der das Unternehmen Verbrauchern, die bei der Versteigerung persönlich anwesend sind oder denen diese Möglichkeit gewährt wird, Waren oder Dienstleistungen anbietet, und zwar in einem von dem mit dem öffentlichen Verkauf beauftragten Amtsträger durchgeführten, auf konkurrierenden Geboten basierenden transparenten Verfahren, bei dem der Bieter, der den Zuschlag erhalten hat, zum Erwerb der Waren oder Dienstleistungen verpflichtet ist,</w:t>
      </w:r>
    </w:p>
    <w:p w14:paraId="30DB0A26" w14:textId="77777777" w:rsidR="00144CA6" w:rsidRPr="004676F5" w:rsidRDefault="00144CA6" w:rsidP="00144CA6">
      <w:pPr>
        <w:jc w:val="both"/>
        <w:rPr>
          <w:lang w:val="de-DE"/>
        </w:rPr>
      </w:pPr>
    </w:p>
    <w:p w14:paraId="5E211E0F" w14:textId="77777777" w:rsidR="00144CA6" w:rsidRPr="004676F5" w:rsidRDefault="00144CA6" w:rsidP="00144CA6">
      <w:pPr>
        <w:jc w:val="both"/>
        <w:rPr>
          <w:lang w:val="de-DE"/>
        </w:rPr>
      </w:pPr>
      <w:r w:rsidRPr="004676F5">
        <w:rPr>
          <w:lang w:val="de-DE"/>
        </w:rPr>
        <w:tab/>
        <w:t>37. gewerbliche Garantie: dem Verbraucher gegenüber zusätzlich zur gesetzlichen Gewährleistung eingegangene Verpflichtung des Unternehmens oder eines Herstellers, den Ankaufspreis zu erstatten oder die Waren auszutauschen oder nachzubessern oder Dienstleistungen für sie zu erbringen, falls sie nicht diejenigen Eigenschaften aufweisen oder andere als die Mängelfreiheit betreffende Anforderungen nicht erfüllen, die in der Garantieerklärung oder der einschlägigen Werbung, wie sie bei oder vor dem Abschluss des Vertrags verfügbar war, beschrieben sind,</w:t>
      </w:r>
    </w:p>
    <w:p w14:paraId="378AFF84" w14:textId="77777777" w:rsidR="00144CA6" w:rsidRPr="004676F5" w:rsidRDefault="00144CA6" w:rsidP="00144CA6">
      <w:pPr>
        <w:jc w:val="both"/>
        <w:rPr>
          <w:lang w:val="de-DE"/>
        </w:rPr>
      </w:pPr>
    </w:p>
    <w:p w14:paraId="6A792B2A" w14:textId="7C1221C6" w:rsidR="00144CA6" w:rsidRPr="004676F5" w:rsidRDefault="00144CA6" w:rsidP="00144CA6">
      <w:pPr>
        <w:jc w:val="both"/>
        <w:rPr>
          <w:lang w:val="de-DE"/>
        </w:rPr>
      </w:pPr>
      <w:r w:rsidRPr="004676F5">
        <w:rPr>
          <w:lang w:val="de-DE"/>
        </w:rPr>
        <w:tab/>
        <w:t>38. akzessorischer Vertrag: ein Vertrag, mit dem der Verbraucher Waren oder Dienstleistungen erwirbt, die im Zusammenhang mit einem Vertrag stehen und bei dem diese Waren oder Dienstleistungen von dem Unternehmen oder einem Dritten auf der Grundlage einer Vereinbarung zwischen diesem Dritten und dem Unternehmen ge</w:t>
      </w:r>
      <w:r w:rsidR="000D428D" w:rsidRPr="004676F5">
        <w:rPr>
          <w:lang w:val="de-DE"/>
        </w:rPr>
        <w:t>liefert oder erbracht werden,</w:t>
      </w:r>
      <w:r w:rsidRPr="004676F5">
        <w:rPr>
          <w:lang w:val="de-DE"/>
        </w:rPr>
        <w:t>]</w:t>
      </w:r>
    </w:p>
    <w:p w14:paraId="5EA69C8B" w14:textId="38D064D3" w:rsidR="000D428D" w:rsidRPr="004676F5" w:rsidRDefault="000D428D" w:rsidP="00144CA6">
      <w:pPr>
        <w:jc w:val="both"/>
        <w:rPr>
          <w:lang w:val="de-DE"/>
        </w:rPr>
      </w:pPr>
    </w:p>
    <w:p w14:paraId="2DB8D4CF" w14:textId="5A1A6B8C" w:rsidR="000D428D" w:rsidRPr="004676F5" w:rsidRDefault="000D428D" w:rsidP="00144CA6">
      <w:pPr>
        <w:jc w:val="both"/>
        <w:rPr>
          <w:lang w:val="de-DE"/>
        </w:rPr>
      </w:pPr>
      <w:r w:rsidRPr="004676F5">
        <w:rPr>
          <w:lang w:val="de-DE"/>
        </w:rPr>
        <w:tab/>
        <w:t>[39. Unternehmen: natürliche oder juristische Personen, die auf dauerhafte Weise einen wirtschaftlichen Zweck verfolgen, und ihre Vereinigungen</w:t>
      </w:r>
      <w:r w:rsidR="00413CD6" w:rsidRPr="004676F5">
        <w:rPr>
          <w:lang w:val="de-DE"/>
        </w:rPr>
        <w:t>,</w:t>
      </w:r>
      <w:r w:rsidRPr="004676F5">
        <w:rPr>
          <w:lang w:val="de-DE"/>
        </w:rPr>
        <w:t>]</w:t>
      </w:r>
    </w:p>
    <w:p w14:paraId="13E84633" w14:textId="77777777" w:rsidR="00413CD6" w:rsidRPr="004676F5" w:rsidRDefault="00413CD6" w:rsidP="00144CA6">
      <w:pPr>
        <w:jc w:val="both"/>
        <w:rPr>
          <w:lang w:val="de-DE"/>
        </w:rPr>
      </w:pPr>
    </w:p>
    <w:p w14:paraId="4548D43F" w14:textId="77777777" w:rsidR="00413CD6" w:rsidRPr="004676F5" w:rsidRDefault="00413CD6" w:rsidP="00413CD6">
      <w:pPr>
        <w:jc w:val="both"/>
        <w:rPr>
          <w:lang w:val="de-DE"/>
        </w:rPr>
      </w:pPr>
      <w:r w:rsidRPr="004676F5">
        <w:rPr>
          <w:lang w:val="de-DE"/>
        </w:rPr>
        <w:tab/>
        <w:t>[40. digitale Dienstleistungen:</w:t>
      </w:r>
    </w:p>
    <w:p w14:paraId="16034DFB" w14:textId="77777777" w:rsidR="00413CD6" w:rsidRPr="004676F5" w:rsidRDefault="00413CD6" w:rsidP="00413CD6">
      <w:pPr>
        <w:jc w:val="both"/>
        <w:rPr>
          <w:lang w:val="de-DE"/>
        </w:rPr>
      </w:pPr>
    </w:p>
    <w:p w14:paraId="17D3488A" w14:textId="77777777" w:rsidR="00413CD6" w:rsidRPr="004676F5" w:rsidRDefault="00413CD6" w:rsidP="00413CD6">
      <w:pPr>
        <w:jc w:val="both"/>
        <w:rPr>
          <w:lang w:val="de-DE"/>
        </w:rPr>
      </w:pPr>
      <w:r w:rsidRPr="004676F5">
        <w:rPr>
          <w:lang w:val="de-DE"/>
        </w:rPr>
        <w:tab/>
      </w:r>
      <w:r w:rsidRPr="004676F5">
        <w:rPr>
          <w:i/>
          <w:lang w:val="de-DE"/>
        </w:rPr>
        <w:t>a)</w:t>
      </w:r>
      <w:r w:rsidRPr="004676F5">
        <w:rPr>
          <w:lang w:val="de-DE"/>
        </w:rPr>
        <w:t> Dienstleistungen, die dem Verbraucher die Erstellung, Verarbeitung oder Speicherung von Daten in digitaler Form oder den Zugang zu solchen Daten ermöglichen, oder</w:t>
      </w:r>
    </w:p>
    <w:p w14:paraId="1F928C02" w14:textId="77777777" w:rsidR="00413CD6" w:rsidRPr="004676F5" w:rsidRDefault="00413CD6" w:rsidP="00413CD6">
      <w:pPr>
        <w:jc w:val="both"/>
        <w:rPr>
          <w:lang w:val="de-DE"/>
        </w:rPr>
      </w:pPr>
    </w:p>
    <w:p w14:paraId="5411F334" w14:textId="77777777" w:rsidR="00413CD6" w:rsidRPr="004676F5" w:rsidRDefault="00413CD6" w:rsidP="00413CD6">
      <w:pPr>
        <w:jc w:val="both"/>
        <w:rPr>
          <w:lang w:val="de-DE"/>
        </w:rPr>
      </w:pPr>
      <w:r w:rsidRPr="004676F5">
        <w:rPr>
          <w:lang w:val="de-DE"/>
        </w:rPr>
        <w:tab/>
      </w:r>
      <w:r w:rsidRPr="004676F5">
        <w:rPr>
          <w:i/>
          <w:lang w:val="de-DE"/>
        </w:rPr>
        <w:t>b)</w:t>
      </w:r>
      <w:r w:rsidRPr="004676F5">
        <w:rPr>
          <w:lang w:val="de-DE"/>
        </w:rPr>
        <w:t> Dienstleistungen, die die gemeinsame Nutzung der vom Verbraucher oder von anderen Nutzern der entsprechenden Dienstleistung in digitaler Form hochgeladenen oder erstellten Daten oder sonstige Interaktionen mit diesen Daten ermöglichen,</w:t>
      </w:r>
    </w:p>
    <w:p w14:paraId="4FAC00DC" w14:textId="77777777" w:rsidR="00413CD6" w:rsidRPr="004676F5" w:rsidRDefault="00413CD6" w:rsidP="00413CD6">
      <w:pPr>
        <w:jc w:val="both"/>
        <w:rPr>
          <w:lang w:val="de-DE"/>
        </w:rPr>
      </w:pPr>
    </w:p>
    <w:p w14:paraId="14A9D223" w14:textId="77777777" w:rsidR="00413CD6" w:rsidRPr="004676F5" w:rsidRDefault="00413CD6" w:rsidP="00413CD6">
      <w:pPr>
        <w:jc w:val="both"/>
        <w:rPr>
          <w:lang w:val="de-DE"/>
        </w:rPr>
      </w:pPr>
      <w:r w:rsidRPr="004676F5">
        <w:rPr>
          <w:lang w:val="de-DE"/>
        </w:rPr>
        <w:tab/>
        <w:t>41. Online-Marktplatz: Dienst, der es Verbrauchern durch die Verwendung von Software, einschließlich einer Website, eines Teils einer Website oder einer Anwendung, die vom oder im Namen des Unternehmens betrieben wird, ermöglicht, Fernabsatzverträge mit anderen Unternehmen oder Verbrauchern abzuschließen,</w:t>
      </w:r>
    </w:p>
    <w:p w14:paraId="51EF56DD" w14:textId="77777777" w:rsidR="00413CD6" w:rsidRPr="004676F5" w:rsidRDefault="00413CD6" w:rsidP="00413CD6">
      <w:pPr>
        <w:jc w:val="both"/>
        <w:rPr>
          <w:lang w:val="de-DE"/>
        </w:rPr>
      </w:pPr>
    </w:p>
    <w:p w14:paraId="65E4476E" w14:textId="77777777" w:rsidR="00413CD6" w:rsidRPr="004676F5" w:rsidRDefault="00413CD6" w:rsidP="00413CD6">
      <w:pPr>
        <w:jc w:val="both"/>
        <w:rPr>
          <w:lang w:val="de-DE"/>
        </w:rPr>
      </w:pPr>
      <w:r w:rsidRPr="004676F5">
        <w:rPr>
          <w:lang w:val="de-DE"/>
        </w:rPr>
        <w:tab/>
        <w:t>42. Anbieter eines Online-Marktplatzes: Unternehmen, das einen Online-Marktplatz für Verbraucher zur Verfügung stellt,</w:t>
      </w:r>
    </w:p>
    <w:p w14:paraId="01953D6D" w14:textId="77777777" w:rsidR="00413CD6" w:rsidRPr="004676F5" w:rsidRDefault="00413CD6" w:rsidP="00413CD6">
      <w:pPr>
        <w:jc w:val="both"/>
        <w:rPr>
          <w:lang w:val="de-DE"/>
        </w:rPr>
      </w:pPr>
    </w:p>
    <w:p w14:paraId="556238BE" w14:textId="77777777" w:rsidR="00413CD6" w:rsidRPr="004676F5" w:rsidRDefault="00413CD6" w:rsidP="00413CD6">
      <w:pPr>
        <w:jc w:val="both"/>
        <w:rPr>
          <w:lang w:val="de-DE"/>
        </w:rPr>
      </w:pPr>
      <w:r w:rsidRPr="004676F5">
        <w:rPr>
          <w:lang w:val="de-DE"/>
        </w:rPr>
        <w:tab/>
        <w:t>43. Kompatibilität: Fähigkeit digitaler Inhalte oder digitaler Dienstleistungen, mit Hardware oder Software zu funktionieren, mit der digitale Inhalte oder digitale Dienstleistungen derselben Art in der Regel genutzt werden, ohne dass die digitalen Inhalte oder digitalen Dienstleistungen konvertiert werden müssen,</w:t>
      </w:r>
    </w:p>
    <w:p w14:paraId="3427A911" w14:textId="77777777" w:rsidR="00413CD6" w:rsidRPr="004676F5" w:rsidRDefault="00413CD6" w:rsidP="00413CD6">
      <w:pPr>
        <w:jc w:val="both"/>
        <w:rPr>
          <w:lang w:val="de-DE"/>
        </w:rPr>
      </w:pPr>
    </w:p>
    <w:p w14:paraId="708DC086" w14:textId="77777777" w:rsidR="00413CD6" w:rsidRPr="004676F5" w:rsidRDefault="00413CD6" w:rsidP="00413CD6">
      <w:pPr>
        <w:jc w:val="both"/>
        <w:rPr>
          <w:lang w:val="de-DE"/>
        </w:rPr>
      </w:pPr>
      <w:r w:rsidRPr="004676F5">
        <w:rPr>
          <w:lang w:val="de-DE"/>
        </w:rPr>
        <w:tab/>
        <w:t>44. Funktionalität: Fähigkeit digitaler Inhalte oder digitaler Dienstleistungen, ihre Funktionen ihrem Zweck entsprechend zu erfüllen,</w:t>
      </w:r>
    </w:p>
    <w:p w14:paraId="091FBC3C" w14:textId="77777777" w:rsidR="00413CD6" w:rsidRPr="004676F5" w:rsidRDefault="00413CD6" w:rsidP="00413CD6">
      <w:pPr>
        <w:jc w:val="both"/>
        <w:rPr>
          <w:lang w:val="de-DE"/>
        </w:rPr>
      </w:pPr>
    </w:p>
    <w:p w14:paraId="2184FE79" w14:textId="77777777" w:rsidR="00413CD6" w:rsidRPr="004676F5" w:rsidRDefault="00413CD6" w:rsidP="00413CD6">
      <w:pPr>
        <w:jc w:val="both"/>
        <w:rPr>
          <w:lang w:val="de-DE"/>
        </w:rPr>
      </w:pPr>
      <w:r w:rsidRPr="004676F5">
        <w:rPr>
          <w:lang w:val="de-DE"/>
        </w:rPr>
        <w:tab/>
        <w:t>45. Interoperabilität: Fähigkeit digitaler Inhalte oder digitaler Dienstleistungen, mit anderer Hardware oder Software als derjenigen, mit der digitale Inhalte oder digitale Dienstleistungen derselben Art in der Regel genutzt werden, zu funktionieren,</w:t>
      </w:r>
    </w:p>
    <w:p w14:paraId="06233609" w14:textId="77777777" w:rsidR="00413CD6" w:rsidRPr="004676F5" w:rsidRDefault="00413CD6" w:rsidP="00413CD6">
      <w:pPr>
        <w:jc w:val="both"/>
        <w:rPr>
          <w:lang w:val="de-DE"/>
        </w:rPr>
      </w:pPr>
    </w:p>
    <w:p w14:paraId="0FDCB517" w14:textId="77777777" w:rsidR="00413CD6" w:rsidRPr="004676F5" w:rsidRDefault="00413CD6" w:rsidP="00413CD6">
      <w:pPr>
        <w:jc w:val="both"/>
        <w:rPr>
          <w:lang w:val="de-DE"/>
        </w:rPr>
      </w:pPr>
      <w:r w:rsidRPr="004676F5">
        <w:rPr>
          <w:lang w:val="de-DE"/>
        </w:rPr>
        <w:tab/>
        <w:t>46. Ranking: relative Hervorhebung von Produkten, wie sie vom Unternehmen dargestellt, organisiert oder kommuniziert wird, unabhängig von den technischen Mitteln, die für die Darstellung, Organisation oder Kommunikation verwendet werden,</w:t>
      </w:r>
    </w:p>
    <w:p w14:paraId="211BE137" w14:textId="77777777" w:rsidR="00413CD6" w:rsidRPr="004676F5" w:rsidRDefault="00413CD6" w:rsidP="00413CD6">
      <w:pPr>
        <w:jc w:val="both"/>
        <w:rPr>
          <w:lang w:val="de-DE"/>
        </w:rPr>
      </w:pPr>
    </w:p>
    <w:p w14:paraId="4C9C70E6" w14:textId="3059A602" w:rsidR="00413CD6" w:rsidRPr="004676F5" w:rsidRDefault="00413CD6" w:rsidP="00413CD6">
      <w:pPr>
        <w:jc w:val="both"/>
        <w:rPr>
          <w:lang w:val="de-DE"/>
        </w:rPr>
      </w:pPr>
      <w:r w:rsidRPr="004676F5">
        <w:rPr>
          <w:lang w:val="de-DE"/>
        </w:rPr>
        <w:tab/>
        <w:t>47. Produkte: Waren oder Dienstleistungen, einschließlich Immobilien, digitaler Dienstleistungen und digitaler Inhalte, und Rechte und Verpflichtungen</w:t>
      </w:r>
      <w:r w:rsidR="00397553" w:rsidRPr="004676F5">
        <w:rPr>
          <w:lang w:val="de-DE"/>
        </w:rPr>
        <w:t>,</w:t>
      </w:r>
      <w:r w:rsidRPr="004676F5">
        <w:rPr>
          <w:lang w:val="de-DE"/>
        </w:rPr>
        <w:t>]</w:t>
      </w:r>
    </w:p>
    <w:p w14:paraId="559A7319" w14:textId="77777777" w:rsidR="001470D9" w:rsidRPr="004676F5" w:rsidRDefault="001470D9" w:rsidP="00413CD6">
      <w:pPr>
        <w:jc w:val="both"/>
        <w:rPr>
          <w:lang w:val="de-DE"/>
        </w:rPr>
      </w:pPr>
    </w:p>
    <w:p w14:paraId="7528A1E8" w14:textId="4CC70856" w:rsidR="001470D9" w:rsidRPr="004676F5" w:rsidRDefault="001470D9" w:rsidP="00413CD6">
      <w:pPr>
        <w:jc w:val="both"/>
        <w:rPr>
          <w:lang w:val="de-DE"/>
        </w:rPr>
      </w:pPr>
      <w:r w:rsidRPr="004676F5">
        <w:rPr>
          <w:lang w:val="de-DE"/>
        </w:rPr>
        <w:tab/>
        <w:t>[48. "Ruf mich nicht an!"-Liste: Liste, die die Nummern enthält, für die Teilnehmer und Nutzer ihr Widersetzungsrecht gemäß Artikel VI.110 § 2 ausgeübt haben.]</w:t>
      </w:r>
    </w:p>
    <w:p w14:paraId="0C7BF3A2" w14:textId="0A3E55B6" w:rsidR="000D428D" w:rsidRPr="004676F5" w:rsidRDefault="000D428D" w:rsidP="00144CA6">
      <w:pPr>
        <w:jc w:val="both"/>
        <w:rPr>
          <w:lang w:val="de-DE"/>
        </w:rPr>
      </w:pPr>
    </w:p>
    <w:p w14:paraId="146AE204" w14:textId="7AEE55B1" w:rsidR="000D428D" w:rsidRPr="004676F5" w:rsidRDefault="000D428D" w:rsidP="00144CA6">
      <w:pPr>
        <w:jc w:val="both"/>
        <w:rPr>
          <w:i/>
          <w:iCs/>
          <w:lang w:val="de-DE"/>
        </w:rPr>
      </w:pPr>
      <w:r w:rsidRPr="004676F5">
        <w:rPr>
          <w:i/>
          <w:lang w:val="de-DE"/>
        </w:rPr>
        <w:t xml:space="preserve">[Art. I.8 </w:t>
      </w:r>
      <w:r w:rsidR="00790870" w:rsidRPr="004676F5">
        <w:rPr>
          <w:i/>
          <w:lang w:val="de-DE"/>
        </w:rPr>
        <w:t>einziger Absatz Nr. 19 aufgehoben durch Art. 4 Nr. 1</w:t>
      </w:r>
      <w:r w:rsidR="00790870" w:rsidRPr="004676F5">
        <w:rPr>
          <w:i/>
          <w:iCs/>
          <w:lang w:val="de-DE"/>
        </w:rPr>
        <w:t xml:space="preserve"> des G. vom 20. September 2018 (B.S. vom 10. Oktober 2018);</w:t>
      </w:r>
      <w:r w:rsidR="00413CD6" w:rsidRPr="004676F5">
        <w:rPr>
          <w:i/>
          <w:iCs/>
          <w:lang w:val="de-DE"/>
        </w:rPr>
        <w:t xml:space="preserve"> einziger Absatz Nr. 34 ersetzt durch Art. 4 Nr. 1 des G. vom 8. Mai 2022 (B.S. vom 2. Juni 2022);</w:t>
      </w:r>
      <w:r w:rsidR="00790870" w:rsidRPr="004676F5">
        <w:rPr>
          <w:i/>
          <w:iCs/>
          <w:lang w:val="de-DE"/>
        </w:rPr>
        <w:t xml:space="preserve"> </w:t>
      </w:r>
      <w:r w:rsidR="00413CD6" w:rsidRPr="004676F5">
        <w:rPr>
          <w:i/>
          <w:iCs/>
          <w:lang w:val="de-DE"/>
        </w:rPr>
        <w:t xml:space="preserve">einziger Absatz Nr. 35 aufgehoben durch Art. 66 des G. vom 11. August 2017 (B.S. vom 11. September 2017) und wieder aufgenommen durch Art. 4 Nr. 2 des G. vom 8. Mai 2022 (B.S. vom 2. Juni 2022); </w:t>
      </w:r>
      <w:r w:rsidRPr="004676F5">
        <w:rPr>
          <w:i/>
          <w:lang w:val="de-DE"/>
        </w:rPr>
        <w:t>einziger Absatz Nr. 39 eingefügt durch Art. 42</w:t>
      </w:r>
      <w:r w:rsidRPr="004676F5">
        <w:rPr>
          <w:i/>
          <w:iCs/>
          <w:lang w:val="de-DE"/>
        </w:rPr>
        <w:t xml:space="preserve"> des G. vom 15. April 2018 (B.S. vom 27. April 2018)</w:t>
      </w:r>
      <w:r w:rsidR="00413CD6" w:rsidRPr="004676F5">
        <w:rPr>
          <w:i/>
          <w:iCs/>
          <w:lang w:val="de-DE"/>
        </w:rPr>
        <w:t>; einziger Absatz Nr. 40 bis 47 eingefügt durch Art. 4 Nr. 3 des G. vom 8. Mai 2022 (B.S. vom 2. Juni 2022)</w:t>
      </w:r>
      <w:r w:rsidR="001470D9" w:rsidRPr="004676F5">
        <w:rPr>
          <w:i/>
          <w:iCs/>
          <w:lang w:val="de-DE"/>
        </w:rPr>
        <w:t>; einziger Absatz Nr. 48 eingefügt durch Art. 3 des G. vom 8. Februar 2024 (B.S. vom 19. Februar 2024)</w:t>
      </w:r>
      <w:r w:rsidRPr="004676F5">
        <w:rPr>
          <w:i/>
          <w:iCs/>
          <w:lang w:val="de-DE"/>
        </w:rPr>
        <w:t>]</w:t>
      </w:r>
    </w:p>
    <w:p w14:paraId="47B715A1" w14:textId="77777777" w:rsidR="00E70517" w:rsidRPr="004676F5" w:rsidRDefault="00E70517" w:rsidP="00144CA6">
      <w:pPr>
        <w:jc w:val="both"/>
        <w:rPr>
          <w:i/>
          <w:iCs/>
          <w:lang w:val="de-DE"/>
        </w:rPr>
      </w:pPr>
    </w:p>
    <w:p w14:paraId="1912B51F" w14:textId="77777777" w:rsidR="00E70517" w:rsidRPr="004676F5" w:rsidRDefault="00E70517" w:rsidP="00144CA6">
      <w:pPr>
        <w:jc w:val="both"/>
        <w:rPr>
          <w:i/>
          <w:iCs/>
          <w:lang w:val="de-DE"/>
        </w:rPr>
      </w:pPr>
    </w:p>
    <w:p w14:paraId="6324A44C" w14:textId="47F5B0D5" w:rsidR="00E70517" w:rsidRPr="004676F5" w:rsidRDefault="00E70517" w:rsidP="00E70517">
      <w:pPr>
        <w:jc w:val="both"/>
        <w:rPr>
          <w:lang w:val="de-DE"/>
        </w:rPr>
      </w:pPr>
      <w:r w:rsidRPr="004676F5">
        <w:rPr>
          <w:lang w:val="de-DE"/>
        </w:rPr>
        <w:tab/>
        <w:t>[</w:t>
      </w:r>
      <w:r w:rsidRPr="004676F5">
        <w:rPr>
          <w:b/>
          <w:bCs/>
          <w:lang w:val="de-DE"/>
        </w:rPr>
        <w:t>Art. I.8/1</w:t>
      </w:r>
      <w:r w:rsidRPr="004676F5">
        <w:rPr>
          <w:lang w:val="de-DE"/>
        </w:rPr>
        <w:t> </w:t>
      </w:r>
      <w:r w:rsidR="005B7A5C" w:rsidRPr="004676F5">
        <w:rPr>
          <w:lang w:val="de-DE"/>
        </w:rPr>
        <w:t>- </w:t>
      </w:r>
      <w:r w:rsidRPr="004676F5">
        <w:rPr>
          <w:lang w:val="de-DE"/>
        </w:rPr>
        <w:t>Unbeschadet des Artikels I.8, die Nummern 4 und 20 ausgenommen, gelten für Buch VI Titel 4 Kapitel 2 Abschnitt 4 folgende Begriffsbestimmungen:</w:t>
      </w:r>
    </w:p>
    <w:p w14:paraId="0FBFDBF1" w14:textId="77777777" w:rsidR="00E70517" w:rsidRPr="004676F5" w:rsidRDefault="00E70517" w:rsidP="00E70517">
      <w:pPr>
        <w:jc w:val="both"/>
        <w:rPr>
          <w:lang w:val="de-DE"/>
        </w:rPr>
      </w:pPr>
    </w:p>
    <w:p w14:paraId="4E656858" w14:textId="52A1B4B0" w:rsidR="00E70517" w:rsidRPr="004676F5" w:rsidRDefault="00E70517" w:rsidP="00E70517">
      <w:pPr>
        <w:jc w:val="both"/>
        <w:rPr>
          <w:lang w:val="de-DE"/>
        </w:rPr>
      </w:pPr>
      <w:r w:rsidRPr="004676F5">
        <w:rPr>
          <w:lang w:val="de-DE"/>
        </w:rPr>
        <w:tab/>
        <w:t>1. Agrar</w:t>
      </w:r>
      <w:r w:rsidR="005B7A5C" w:rsidRPr="004676F5">
        <w:rPr>
          <w:lang w:val="de-DE"/>
        </w:rPr>
        <w:t>- </w:t>
      </w:r>
      <w:r w:rsidRPr="004676F5">
        <w:rPr>
          <w:lang w:val="de-DE"/>
        </w:rPr>
        <w:t>und Lebensmittelerzeugnisse: Erzeugnisse, die in Anhang I des Vertrags über die Arbeitsweise der Europäischen Union aufgeführt sind, und Erzeugnisse, die nicht in dem erwähnten Anhang aufgeführt sind, jedoch aus dort aufgeführten Erzeugnissen zur Verwendung als Lebensmittel verarbeitet werden,</w:t>
      </w:r>
    </w:p>
    <w:p w14:paraId="2360CFDD" w14:textId="77777777" w:rsidR="00E70517" w:rsidRPr="004676F5" w:rsidRDefault="00E70517" w:rsidP="00E70517">
      <w:pPr>
        <w:jc w:val="both"/>
        <w:rPr>
          <w:lang w:val="de-DE"/>
        </w:rPr>
      </w:pPr>
    </w:p>
    <w:p w14:paraId="5413073C" w14:textId="5A0B2958" w:rsidR="00E70517" w:rsidRPr="004676F5" w:rsidRDefault="00E70517" w:rsidP="00E70517">
      <w:pPr>
        <w:jc w:val="both"/>
        <w:rPr>
          <w:lang w:val="de-DE"/>
        </w:rPr>
      </w:pPr>
      <w:r w:rsidRPr="004676F5">
        <w:rPr>
          <w:lang w:val="de-DE"/>
        </w:rPr>
        <w:tab/>
        <w:t>2. Käufer: natürliche oder juristische Personen, unabhängig vom Niederlassungsort dieser Personen, oder Behörden in der Union, die Agrar</w:t>
      </w:r>
      <w:r w:rsidR="005B7A5C" w:rsidRPr="004676F5">
        <w:rPr>
          <w:lang w:val="de-DE"/>
        </w:rPr>
        <w:t>- </w:t>
      </w:r>
      <w:r w:rsidRPr="004676F5">
        <w:rPr>
          <w:lang w:val="de-DE"/>
        </w:rPr>
        <w:t>und Lebensmittelerzeugnisse erwerben; der Begriff "Käufer" kann auch eine Gruppe solcher natürlicher und juristischer Personen, Behörden einbegriffen, bezeichnen,</w:t>
      </w:r>
    </w:p>
    <w:p w14:paraId="79095A3E" w14:textId="77777777" w:rsidR="00E70517" w:rsidRPr="004676F5" w:rsidRDefault="00E70517" w:rsidP="00E70517">
      <w:pPr>
        <w:jc w:val="both"/>
        <w:rPr>
          <w:lang w:val="de-DE"/>
        </w:rPr>
      </w:pPr>
    </w:p>
    <w:p w14:paraId="76D7E75E" w14:textId="77777777" w:rsidR="00E70517" w:rsidRPr="004676F5" w:rsidRDefault="00E70517" w:rsidP="00E70517">
      <w:pPr>
        <w:jc w:val="both"/>
        <w:rPr>
          <w:lang w:val="de-DE"/>
        </w:rPr>
      </w:pPr>
      <w:r w:rsidRPr="004676F5">
        <w:rPr>
          <w:lang w:val="de-DE"/>
        </w:rPr>
        <w:tab/>
        <w:t>3. Behörde: nationale, regionale oder lokale Behörden, Einrichtungen des öffentlichen Rechts oder Verbände, die aus einer oder mehreren dieser Behörden oder einer oder mehreren dieser Einrichtungen des öffentlichen Rechts bestehen,</w:t>
      </w:r>
    </w:p>
    <w:p w14:paraId="53D40240" w14:textId="77777777" w:rsidR="00E70517" w:rsidRPr="004676F5" w:rsidRDefault="00E70517" w:rsidP="00E70517">
      <w:pPr>
        <w:jc w:val="both"/>
        <w:rPr>
          <w:lang w:val="de-DE"/>
        </w:rPr>
      </w:pPr>
    </w:p>
    <w:p w14:paraId="0F63E77D" w14:textId="57E28E2A" w:rsidR="00E70517" w:rsidRPr="004676F5" w:rsidRDefault="00E70517" w:rsidP="00E70517">
      <w:pPr>
        <w:jc w:val="both"/>
        <w:rPr>
          <w:lang w:val="de-DE"/>
        </w:rPr>
      </w:pPr>
      <w:r w:rsidRPr="004676F5">
        <w:rPr>
          <w:lang w:val="de-DE"/>
        </w:rPr>
        <w:tab/>
        <w:t>4. Lieferant: landwirtschaftliche Erzeuger oder natürliche oder juristische Personen, unabhängig von ihrem Niederlassungsort, die Agrar</w:t>
      </w:r>
      <w:r w:rsidR="005B7A5C" w:rsidRPr="004676F5">
        <w:rPr>
          <w:lang w:val="de-DE"/>
        </w:rPr>
        <w:t>- </w:t>
      </w:r>
      <w:r w:rsidRPr="004676F5">
        <w:rPr>
          <w:lang w:val="de-DE"/>
        </w:rPr>
        <w:t>und Lebensmittelerzeugnisse verkaufen; der Begriff "Lieferant" kann auch eine Gruppe solcher landwirtschaftlicher Erzeuger oder eine Gruppe solcher natürlicher und juristischer Personen wie Erzeugerorganisationen, Lieferantenorganisationen und Vereinigungen solcher Organisationen umfassen.]</w:t>
      </w:r>
    </w:p>
    <w:p w14:paraId="43D46DF9" w14:textId="77777777" w:rsidR="00E70517" w:rsidRPr="004676F5" w:rsidRDefault="00E70517" w:rsidP="00E70517">
      <w:pPr>
        <w:jc w:val="both"/>
        <w:rPr>
          <w:lang w:val="de-DE"/>
        </w:rPr>
      </w:pPr>
    </w:p>
    <w:p w14:paraId="57EFAADC" w14:textId="3CD11543" w:rsidR="00E70517" w:rsidRPr="004676F5" w:rsidRDefault="00E70517" w:rsidP="00E70517">
      <w:pPr>
        <w:jc w:val="both"/>
        <w:rPr>
          <w:i/>
          <w:iCs/>
          <w:lang w:val="de-DE"/>
        </w:rPr>
      </w:pPr>
      <w:r w:rsidRPr="004676F5">
        <w:rPr>
          <w:i/>
          <w:iCs/>
          <w:lang w:val="de-DE"/>
        </w:rPr>
        <w:t>[Art. I.8/1 eingefügt durch Art. 1</w:t>
      </w:r>
      <w:r w:rsidRPr="004676F5">
        <w:rPr>
          <w:bCs/>
          <w:i/>
          <w:iCs/>
          <w:lang w:val="de-DE"/>
        </w:rPr>
        <w:t xml:space="preserve"> des G. vom 28. November 2021 (II) (B.S. vom 15. Dezember 2021)]</w:t>
      </w:r>
    </w:p>
    <w:p w14:paraId="4579DDA6" w14:textId="77777777" w:rsidR="00144CA6" w:rsidRPr="004676F5" w:rsidRDefault="00144CA6" w:rsidP="00144CA6">
      <w:pPr>
        <w:jc w:val="center"/>
        <w:rPr>
          <w:lang w:val="de-DE"/>
        </w:rPr>
      </w:pPr>
    </w:p>
    <w:p w14:paraId="6F38F8A7" w14:textId="7E967B9D" w:rsidR="00887278" w:rsidRPr="004676F5" w:rsidRDefault="006E180F" w:rsidP="00887278">
      <w:pPr>
        <w:jc w:val="center"/>
        <w:rPr>
          <w:lang w:val="de-DE"/>
        </w:rPr>
      </w:pPr>
      <w:r w:rsidRPr="004676F5">
        <w:rPr>
          <w:lang w:val="de-DE"/>
        </w:rPr>
        <w:br w:type="page"/>
      </w:r>
      <w:r w:rsidR="00887278" w:rsidRPr="004676F5">
        <w:rPr>
          <w:lang w:val="de-DE"/>
        </w:rPr>
        <w:lastRenderedPageBreak/>
        <w:t>[KAPITEL 5 </w:t>
      </w:r>
      <w:r w:rsidR="005B7A5C" w:rsidRPr="004676F5">
        <w:rPr>
          <w:lang w:val="de-DE"/>
        </w:rPr>
        <w:t>- </w:t>
      </w:r>
      <w:r w:rsidR="000D428D" w:rsidRPr="004676F5">
        <w:rPr>
          <w:lang w:val="de-DE"/>
        </w:rPr>
        <w:t>[...]</w:t>
      </w:r>
    </w:p>
    <w:p w14:paraId="77A80637" w14:textId="77777777" w:rsidR="00887278" w:rsidRPr="004676F5" w:rsidRDefault="00887278" w:rsidP="00887278">
      <w:pPr>
        <w:jc w:val="center"/>
        <w:rPr>
          <w:lang w:val="de-DE"/>
        </w:rPr>
      </w:pPr>
    </w:p>
    <w:p w14:paraId="04036D63" w14:textId="7B677C9F" w:rsidR="00887278" w:rsidRPr="004676F5" w:rsidRDefault="00887278" w:rsidP="00887278">
      <w:pPr>
        <w:jc w:val="both"/>
        <w:rPr>
          <w:i/>
          <w:lang w:val="de-DE"/>
        </w:rPr>
      </w:pPr>
      <w:r w:rsidRPr="004676F5">
        <w:rPr>
          <w:i/>
          <w:lang w:val="de-DE"/>
        </w:rPr>
        <w:t xml:space="preserve">[Kapitel 5 mit </w:t>
      </w:r>
      <w:r w:rsidR="006D1EFB" w:rsidRPr="004676F5">
        <w:rPr>
          <w:i/>
          <w:lang w:val="de-DE"/>
        </w:rPr>
        <w:t xml:space="preserve">zweitem </w:t>
      </w:r>
      <w:r w:rsidRPr="004676F5">
        <w:rPr>
          <w:i/>
          <w:lang w:val="de-DE"/>
        </w:rPr>
        <w:t>Art</w:t>
      </w:r>
      <w:r w:rsidR="006D1EFB" w:rsidRPr="004676F5">
        <w:rPr>
          <w:i/>
          <w:lang w:val="de-DE"/>
        </w:rPr>
        <w:t>ikel</w:t>
      </w:r>
      <w:r w:rsidRPr="004676F5">
        <w:rPr>
          <w:i/>
          <w:lang w:val="de-DE"/>
        </w:rPr>
        <w:t xml:space="preserve"> I.8 eingefügt durch </w:t>
      </w:r>
      <w:r w:rsidR="00BE0A56" w:rsidRPr="004676F5">
        <w:rPr>
          <w:i/>
          <w:lang w:val="de-DE"/>
        </w:rPr>
        <w:t>Art. </w:t>
      </w:r>
      <w:r w:rsidRPr="004676F5">
        <w:rPr>
          <w:i/>
          <w:lang w:val="de-DE"/>
        </w:rPr>
        <w:t>2 des G. vom 15. Mai 2014</w:t>
      </w:r>
      <w:r w:rsidR="006D1EFB" w:rsidRPr="004676F5">
        <w:rPr>
          <w:i/>
          <w:lang w:val="de-DE"/>
        </w:rPr>
        <w:t> (II)</w:t>
      </w:r>
      <w:r w:rsidRPr="004676F5">
        <w:rPr>
          <w:i/>
          <w:lang w:val="de-DE"/>
        </w:rPr>
        <w:t xml:space="preserve"> (B.S. vom 30. Mai 2014)</w:t>
      </w:r>
      <w:r w:rsidR="000D428D" w:rsidRPr="004676F5">
        <w:rPr>
          <w:i/>
          <w:lang w:val="de-DE"/>
        </w:rPr>
        <w:t xml:space="preserve"> und aufgehoben durch Art. 43</w:t>
      </w:r>
      <w:r w:rsidR="000D428D" w:rsidRPr="004676F5">
        <w:rPr>
          <w:i/>
          <w:iCs/>
          <w:lang w:val="de-DE"/>
        </w:rPr>
        <w:t xml:space="preserve"> des G. vom 15. April 2018 (B.S. vom 27. April 2018)</w:t>
      </w:r>
      <w:r w:rsidRPr="004676F5">
        <w:rPr>
          <w:i/>
          <w:lang w:val="de-DE"/>
        </w:rPr>
        <w:t>]</w:t>
      </w:r>
    </w:p>
    <w:p w14:paraId="128816C1" w14:textId="77777777" w:rsidR="00887278" w:rsidRPr="004676F5" w:rsidRDefault="00887278" w:rsidP="00887278">
      <w:pPr>
        <w:jc w:val="both"/>
        <w:rPr>
          <w:i/>
          <w:lang w:val="de-DE"/>
        </w:rPr>
      </w:pPr>
    </w:p>
    <w:p w14:paraId="09DDAEE7" w14:textId="77777777" w:rsidR="00887278" w:rsidRPr="004676F5" w:rsidRDefault="00887278" w:rsidP="00887278">
      <w:pPr>
        <w:ind w:firstLine="708"/>
        <w:jc w:val="both"/>
        <w:rPr>
          <w:lang w:val="de-DE"/>
        </w:rPr>
      </w:pPr>
    </w:p>
    <w:p w14:paraId="05056987" w14:textId="22C571A7" w:rsidR="00FE4899" w:rsidRPr="004676F5" w:rsidRDefault="00BE0A56" w:rsidP="000D428D">
      <w:pPr>
        <w:ind w:firstLine="708"/>
        <w:jc w:val="both"/>
        <w:rPr>
          <w:i/>
          <w:lang w:val="de-DE"/>
        </w:rPr>
      </w:pPr>
      <w:r w:rsidRPr="004676F5">
        <w:rPr>
          <w:b/>
          <w:lang w:val="de-DE"/>
        </w:rPr>
        <w:t>Art. </w:t>
      </w:r>
      <w:r w:rsidR="00887278" w:rsidRPr="004676F5">
        <w:rPr>
          <w:b/>
          <w:lang w:val="de-DE"/>
        </w:rPr>
        <w:t>I.8</w:t>
      </w:r>
      <w:r w:rsidR="00887278" w:rsidRPr="004676F5">
        <w:rPr>
          <w:lang w:val="de-DE"/>
        </w:rPr>
        <w:t> </w:t>
      </w:r>
      <w:r w:rsidR="005B7A5C" w:rsidRPr="004676F5">
        <w:rPr>
          <w:lang w:val="de-DE"/>
        </w:rPr>
        <w:t>- </w:t>
      </w:r>
      <w:r w:rsidR="000D428D" w:rsidRPr="004676F5">
        <w:rPr>
          <w:lang w:val="de-DE"/>
        </w:rPr>
        <w:t>[...]]</w:t>
      </w:r>
    </w:p>
    <w:p w14:paraId="3BAE0D73" w14:textId="77777777" w:rsidR="00FE4899" w:rsidRPr="004676F5" w:rsidRDefault="00FE4899">
      <w:pPr>
        <w:rPr>
          <w:lang w:val="de-DE"/>
        </w:rPr>
      </w:pPr>
    </w:p>
    <w:p w14:paraId="1F46D177" w14:textId="77777777" w:rsidR="00887278" w:rsidRPr="004676F5" w:rsidRDefault="00887278">
      <w:pPr>
        <w:rPr>
          <w:lang w:val="de-DE"/>
        </w:rPr>
      </w:pPr>
      <w:r w:rsidRPr="004676F5">
        <w:rPr>
          <w:lang w:val="de-DE"/>
        </w:rPr>
        <w:br w:type="page"/>
      </w:r>
    </w:p>
    <w:p w14:paraId="7ADE9027" w14:textId="76E32DEA" w:rsidR="006E180F" w:rsidRPr="004676F5" w:rsidRDefault="006E180F" w:rsidP="006E180F">
      <w:pPr>
        <w:jc w:val="center"/>
        <w:rPr>
          <w:i/>
          <w:lang w:val="de-DE"/>
        </w:rPr>
      </w:pPr>
      <w:r w:rsidRPr="004676F5">
        <w:rPr>
          <w:lang w:val="de-DE"/>
        </w:rPr>
        <w:lastRenderedPageBreak/>
        <w:t>[KAPITEL 5 </w:t>
      </w:r>
      <w:r w:rsidR="005B7A5C" w:rsidRPr="004676F5">
        <w:rPr>
          <w:lang w:val="de-DE"/>
        </w:rPr>
        <w:t>- </w:t>
      </w:r>
      <w:r w:rsidRPr="004676F5">
        <w:rPr>
          <w:i/>
          <w:lang w:val="de-DE"/>
        </w:rPr>
        <w:t>Begriffsbestimmungen Buch VII</w:t>
      </w:r>
    </w:p>
    <w:p w14:paraId="474D24C6" w14:textId="77777777" w:rsidR="006E180F" w:rsidRPr="004676F5" w:rsidRDefault="006E180F" w:rsidP="006E180F">
      <w:pPr>
        <w:ind w:firstLine="708"/>
        <w:jc w:val="both"/>
        <w:rPr>
          <w:lang w:val="de-DE"/>
        </w:rPr>
      </w:pPr>
    </w:p>
    <w:p w14:paraId="75889C77" w14:textId="00F56EA9" w:rsidR="006E180F" w:rsidRPr="004676F5" w:rsidRDefault="006E180F" w:rsidP="006E180F">
      <w:pPr>
        <w:jc w:val="both"/>
        <w:rPr>
          <w:i/>
          <w:lang w:val="de-DE"/>
        </w:rPr>
      </w:pPr>
      <w:r w:rsidRPr="004676F5">
        <w:rPr>
          <w:i/>
          <w:lang w:val="de-DE"/>
        </w:rPr>
        <w:t>[</w:t>
      </w:r>
      <w:r w:rsidR="006D1EFB" w:rsidRPr="004676F5">
        <w:rPr>
          <w:i/>
          <w:lang w:val="de-DE"/>
        </w:rPr>
        <w:t xml:space="preserve">Zweites </w:t>
      </w:r>
      <w:r w:rsidRPr="004676F5">
        <w:rPr>
          <w:i/>
          <w:lang w:val="de-DE"/>
        </w:rPr>
        <w:t xml:space="preserve">Kapitel 5 mit </w:t>
      </w:r>
      <w:r w:rsidR="00BE0A56" w:rsidRPr="004676F5">
        <w:rPr>
          <w:i/>
          <w:lang w:val="de-DE"/>
        </w:rPr>
        <w:t>Art. </w:t>
      </w:r>
      <w:r w:rsidRPr="004676F5">
        <w:rPr>
          <w:i/>
          <w:lang w:val="de-DE"/>
        </w:rPr>
        <w:t xml:space="preserve">I.9 eingefügt durch </w:t>
      </w:r>
      <w:r w:rsidR="00BE0A56" w:rsidRPr="004676F5">
        <w:rPr>
          <w:i/>
          <w:lang w:val="de-DE"/>
        </w:rPr>
        <w:t>Art. </w:t>
      </w:r>
      <w:r w:rsidRPr="004676F5">
        <w:rPr>
          <w:i/>
          <w:lang w:val="de-DE"/>
        </w:rPr>
        <w:t>2 des G. vom 19. April 2014</w:t>
      </w:r>
      <w:r w:rsidR="00E84348" w:rsidRPr="004676F5">
        <w:rPr>
          <w:i/>
          <w:lang w:val="de-DE"/>
        </w:rPr>
        <w:t> (I)</w:t>
      </w:r>
      <w:r w:rsidRPr="004676F5">
        <w:rPr>
          <w:i/>
          <w:lang w:val="de-DE"/>
        </w:rPr>
        <w:t xml:space="preserve"> (B.S. vom 28. Mai 2014)]</w:t>
      </w:r>
    </w:p>
    <w:p w14:paraId="14E76796" w14:textId="77777777" w:rsidR="006E180F" w:rsidRPr="004676F5" w:rsidRDefault="006E180F" w:rsidP="006E180F">
      <w:pPr>
        <w:ind w:firstLine="708"/>
        <w:jc w:val="both"/>
        <w:rPr>
          <w:b/>
          <w:lang w:val="de-DE"/>
        </w:rPr>
      </w:pPr>
    </w:p>
    <w:p w14:paraId="0C7D9DC4" w14:textId="77777777" w:rsidR="006E180F" w:rsidRPr="004676F5" w:rsidRDefault="006E180F" w:rsidP="006E180F">
      <w:pPr>
        <w:ind w:firstLine="708"/>
        <w:jc w:val="both"/>
        <w:rPr>
          <w:b/>
          <w:lang w:val="de-DE"/>
        </w:rPr>
      </w:pPr>
    </w:p>
    <w:p w14:paraId="4A1A2B7D" w14:textId="3FA302A5" w:rsidR="006E180F" w:rsidRPr="004676F5" w:rsidRDefault="00BE0A56" w:rsidP="006E180F">
      <w:pPr>
        <w:ind w:firstLine="708"/>
        <w:jc w:val="both"/>
        <w:rPr>
          <w:lang w:val="de-DE"/>
        </w:rPr>
      </w:pPr>
      <w:r w:rsidRPr="004676F5">
        <w:rPr>
          <w:b/>
          <w:lang w:val="de-DE"/>
        </w:rPr>
        <w:t>Art. </w:t>
      </w:r>
      <w:r w:rsidR="006E180F" w:rsidRPr="004676F5">
        <w:rPr>
          <w:b/>
          <w:lang w:val="de-DE"/>
        </w:rPr>
        <w:t>I.9</w:t>
      </w:r>
      <w:r w:rsidR="006E180F" w:rsidRPr="004676F5">
        <w:rPr>
          <w:lang w:val="de-DE"/>
        </w:rPr>
        <w:t> </w:t>
      </w:r>
      <w:r w:rsidR="005B7A5C" w:rsidRPr="004676F5">
        <w:rPr>
          <w:lang w:val="de-DE"/>
        </w:rPr>
        <w:t>- </w:t>
      </w:r>
      <w:r w:rsidR="006E180F" w:rsidRPr="004676F5">
        <w:rPr>
          <w:lang w:val="de-DE"/>
        </w:rPr>
        <w:t>Für die Anwendung von Buch VII gelten folgende Begriffsbestimmungen:</w:t>
      </w:r>
    </w:p>
    <w:p w14:paraId="69033898" w14:textId="77777777" w:rsidR="006E180F" w:rsidRPr="004676F5" w:rsidRDefault="006E180F" w:rsidP="006E180F">
      <w:pPr>
        <w:ind w:firstLine="708"/>
        <w:jc w:val="both"/>
        <w:rPr>
          <w:lang w:val="de-DE"/>
        </w:rPr>
      </w:pPr>
    </w:p>
    <w:p w14:paraId="3B9F056C" w14:textId="77777777" w:rsidR="006E180F" w:rsidRPr="004676F5" w:rsidRDefault="006E180F" w:rsidP="006E180F">
      <w:pPr>
        <w:ind w:firstLine="708"/>
        <w:jc w:val="both"/>
        <w:rPr>
          <w:lang w:val="de-DE"/>
        </w:rPr>
      </w:pPr>
      <w:r w:rsidRPr="004676F5">
        <w:rPr>
          <w:lang w:val="de-DE"/>
        </w:rPr>
        <w:t>1. Zahlungsdienst: im Rahmen einer gewerblichen Tätigkeit zum Kauf angebotener Dienst wie nachfolgend aufgeführt:</w:t>
      </w:r>
    </w:p>
    <w:p w14:paraId="5E9FD0C8" w14:textId="77777777" w:rsidR="006E180F" w:rsidRPr="004676F5" w:rsidRDefault="006E180F" w:rsidP="006E180F">
      <w:pPr>
        <w:jc w:val="both"/>
        <w:rPr>
          <w:lang w:val="de-DE"/>
        </w:rPr>
      </w:pPr>
    </w:p>
    <w:p w14:paraId="34196C9D" w14:textId="77777777" w:rsidR="006E180F" w:rsidRPr="004676F5" w:rsidRDefault="006E180F" w:rsidP="006E180F">
      <w:pPr>
        <w:ind w:firstLine="708"/>
        <w:jc w:val="both"/>
        <w:rPr>
          <w:lang w:val="de-DE"/>
        </w:rPr>
      </w:pPr>
      <w:r w:rsidRPr="004676F5">
        <w:rPr>
          <w:i/>
          <w:lang w:val="de-DE"/>
        </w:rPr>
        <w:t>a)</w:t>
      </w:r>
      <w:r w:rsidRPr="004676F5">
        <w:rPr>
          <w:lang w:val="de-DE"/>
        </w:rPr>
        <w:t> Dienste, mit denen Bareinzahlungen auf ein Zahlungskonto ermöglicht werden, und alle für die Führung eines Zahlungskontos erforderlichen Vorgänge,</w:t>
      </w:r>
    </w:p>
    <w:p w14:paraId="4E688259" w14:textId="77777777" w:rsidR="006E180F" w:rsidRPr="004676F5" w:rsidRDefault="006E180F" w:rsidP="006E180F">
      <w:pPr>
        <w:ind w:firstLine="708"/>
        <w:jc w:val="both"/>
        <w:rPr>
          <w:lang w:val="de-DE"/>
        </w:rPr>
      </w:pPr>
    </w:p>
    <w:p w14:paraId="1A5D7CD5" w14:textId="77777777" w:rsidR="006E180F" w:rsidRPr="004676F5" w:rsidRDefault="006E180F" w:rsidP="006E180F">
      <w:pPr>
        <w:ind w:firstLine="708"/>
        <w:jc w:val="both"/>
        <w:rPr>
          <w:lang w:val="de-DE"/>
        </w:rPr>
      </w:pPr>
      <w:r w:rsidRPr="004676F5">
        <w:rPr>
          <w:i/>
          <w:lang w:val="de-DE"/>
        </w:rPr>
        <w:t>b)</w:t>
      </w:r>
      <w:r w:rsidRPr="004676F5">
        <w:rPr>
          <w:lang w:val="de-DE"/>
        </w:rPr>
        <w:t> Dienste, mit denen Barabhebungen von einem Zahlungskonto ermöglicht werden, und alle für die Führung eines Zahlungskontos erforderlichen Vorgänge,</w:t>
      </w:r>
    </w:p>
    <w:p w14:paraId="0F8AAB75" w14:textId="77777777" w:rsidR="006E180F" w:rsidRPr="004676F5" w:rsidRDefault="006E180F" w:rsidP="006E180F">
      <w:pPr>
        <w:rPr>
          <w:lang w:val="de-DE"/>
        </w:rPr>
      </w:pPr>
    </w:p>
    <w:p w14:paraId="55E06432" w14:textId="77777777" w:rsidR="006E180F" w:rsidRPr="004676F5" w:rsidRDefault="006E180F" w:rsidP="006E180F">
      <w:pPr>
        <w:ind w:firstLine="708"/>
        <w:jc w:val="both"/>
        <w:rPr>
          <w:lang w:val="de-DE"/>
        </w:rPr>
      </w:pPr>
      <w:r w:rsidRPr="004676F5">
        <w:rPr>
          <w:i/>
          <w:lang w:val="de-DE"/>
        </w:rPr>
        <w:t>c)</w:t>
      </w:r>
      <w:r w:rsidRPr="004676F5">
        <w:rPr>
          <w:lang w:val="de-DE"/>
        </w:rPr>
        <w:t> Ausführung von Zahlungsvorgängen einschließlich des Transfers von Geldbeträgen auf ein Zahlungskonto beim Zahlungsdienstleister des Nutzers oder bei einem anderen Zahlungsdienstleister:</w:t>
      </w:r>
    </w:p>
    <w:p w14:paraId="1C70B0F3" w14:textId="77777777" w:rsidR="006E180F" w:rsidRPr="004676F5" w:rsidRDefault="006E180F" w:rsidP="006E180F">
      <w:pPr>
        <w:ind w:firstLine="708"/>
        <w:rPr>
          <w:lang w:val="de-DE"/>
        </w:rPr>
      </w:pPr>
    </w:p>
    <w:p w14:paraId="2A412B80" w14:textId="5642840C" w:rsidR="006E180F" w:rsidRPr="004676F5" w:rsidRDefault="005B7A5C" w:rsidP="006E180F">
      <w:pPr>
        <w:ind w:firstLine="708"/>
        <w:jc w:val="both"/>
        <w:rPr>
          <w:lang w:val="de-DE"/>
        </w:rPr>
      </w:pPr>
      <w:r w:rsidRPr="004676F5">
        <w:rPr>
          <w:lang w:val="de-DE"/>
        </w:rPr>
        <w:t>- </w:t>
      </w:r>
      <w:r w:rsidR="006E180F" w:rsidRPr="004676F5">
        <w:rPr>
          <w:lang w:val="de-DE"/>
        </w:rPr>
        <w:t>Ausführung von Lastschriften,</w:t>
      </w:r>
    </w:p>
    <w:p w14:paraId="212EA372" w14:textId="77777777" w:rsidR="006E180F" w:rsidRPr="004676F5" w:rsidRDefault="006E180F" w:rsidP="006E180F">
      <w:pPr>
        <w:ind w:firstLine="708"/>
        <w:jc w:val="both"/>
        <w:rPr>
          <w:lang w:val="de-DE"/>
        </w:rPr>
      </w:pPr>
    </w:p>
    <w:p w14:paraId="15410D01" w14:textId="6EAF9D13" w:rsidR="006E180F" w:rsidRPr="004676F5" w:rsidRDefault="005B7A5C" w:rsidP="006E180F">
      <w:pPr>
        <w:ind w:firstLine="708"/>
        <w:jc w:val="both"/>
        <w:rPr>
          <w:lang w:val="de-DE"/>
        </w:rPr>
      </w:pPr>
      <w:r w:rsidRPr="004676F5">
        <w:rPr>
          <w:lang w:val="de-DE"/>
        </w:rPr>
        <w:t>- </w:t>
      </w:r>
      <w:r w:rsidR="006E180F" w:rsidRPr="004676F5">
        <w:rPr>
          <w:lang w:val="de-DE"/>
        </w:rPr>
        <w:t>Ausführung von Zahlungsvorgängen mittels eines Zahlungsinstruments,</w:t>
      </w:r>
    </w:p>
    <w:p w14:paraId="7B9CA8DD" w14:textId="77777777" w:rsidR="006E180F" w:rsidRPr="004676F5" w:rsidRDefault="006E180F" w:rsidP="006E180F">
      <w:pPr>
        <w:jc w:val="both"/>
        <w:rPr>
          <w:lang w:val="de-DE"/>
        </w:rPr>
      </w:pPr>
    </w:p>
    <w:p w14:paraId="44072DC1" w14:textId="7A64081B" w:rsidR="006E180F" w:rsidRPr="004676F5" w:rsidRDefault="005B7A5C" w:rsidP="006E180F">
      <w:pPr>
        <w:ind w:firstLine="708"/>
        <w:jc w:val="both"/>
        <w:rPr>
          <w:lang w:val="de-DE"/>
        </w:rPr>
      </w:pPr>
      <w:r w:rsidRPr="004676F5">
        <w:rPr>
          <w:lang w:val="de-DE"/>
        </w:rPr>
        <w:t>- </w:t>
      </w:r>
      <w:r w:rsidR="006E180F" w:rsidRPr="004676F5">
        <w:rPr>
          <w:lang w:val="de-DE"/>
        </w:rPr>
        <w:t>Ausführung von Überweisungen einschließlich Daueraufträgen,</w:t>
      </w:r>
    </w:p>
    <w:p w14:paraId="62732E89" w14:textId="77777777" w:rsidR="006E180F" w:rsidRPr="004676F5" w:rsidRDefault="006E180F" w:rsidP="006E180F">
      <w:pPr>
        <w:ind w:firstLine="708"/>
        <w:jc w:val="both"/>
        <w:rPr>
          <w:lang w:val="de-DE"/>
        </w:rPr>
      </w:pPr>
    </w:p>
    <w:p w14:paraId="77CD2D69" w14:textId="77777777" w:rsidR="006E180F" w:rsidRPr="004676F5" w:rsidRDefault="006E180F" w:rsidP="006E180F">
      <w:pPr>
        <w:ind w:firstLine="708"/>
        <w:jc w:val="both"/>
        <w:rPr>
          <w:lang w:val="de-DE"/>
        </w:rPr>
      </w:pPr>
      <w:r w:rsidRPr="004676F5">
        <w:rPr>
          <w:i/>
          <w:lang w:val="de-DE"/>
        </w:rPr>
        <w:t>d)</w:t>
      </w:r>
      <w:r w:rsidRPr="004676F5">
        <w:rPr>
          <w:lang w:val="de-DE"/>
        </w:rPr>
        <w:t> Ausführung von Zahlungsvorgängen, wenn die Beträge durch einen Kreditvertrag für einen Zahlungsdienstnutzer gedeckt sind:</w:t>
      </w:r>
    </w:p>
    <w:p w14:paraId="155407B6" w14:textId="77777777" w:rsidR="006E180F" w:rsidRPr="004676F5" w:rsidRDefault="006E180F" w:rsidP="006E180F">
      <w:pPr>
        <w:jc w:val="both"/>
        <w:rPr>
          <w:lang w:val="de-DE"/>
        </w:rPr>
      </w:pPr>
    </w:p>
    <w:p w14:paraId="53B8A09D" w14:textId="62030E36" w:rsidR="006E180F" w:rsidRPr="004676F5" w:rsidRDefault="005B7A5C" w:rsidP="006E180F">
      <w:pPr>
        <w:ind w:firstLine="708"/>
        <w:jc w:val="both"/>
        <w:rPr>
          <w:lang w:val="de-DE"/>
        </w:rPr>
      </w:pPr>
      <w:r w:rsidRPr="004676F5">
        <w:rPr>
          <w:lang w:val="de-DE"/>
        </w:rPr>
        <w:t>- </w:t>
      </w:r>
      <w:r w:rsidR="006E180F" w:rsidRPr="004676F5">
        <w:rPr>
          <w:lang w:val="de-DE"/>
        </w:rPr>
        <w:t>Ausführung von Lastschriften,</w:t>
      </w:r>
    </w:p>
    <w:p w14:paraId="6CF69C85" w14:textId="77777777" w:rsidR="006E180F" w:rsidRPr="004676F5" w:rsidRDefault="006E180F" w:rsidP="006E180F">
      <w:pPr>
        <w:ind w:firstLine="708"/>
        <w:jc w:val="both"/>
        <w:rPr>
          <w:lang w:val="de-DE"/>
        </w:rPr>
      </w:pPr>
    </w:p>
    <w:p w14:paraId="4BDF9353" w14:textId="39945321" w:rsidR="006E180F" w:rsidRPr="004676F5" w:rsidRDefault="005B7A5C" w:rsidP="006E180F">
      <w:pPr>
        <w:ind w:firstLine="708"/>
        <w:jc w:val="both"/>
        <w:rPr>
          <w:lang w:val="de-DE"/>
        </w:rPr>
      </w:pPr>
      <w:r w:rsidRPr="004676F5">
        <w:rPr>
          <w:lang w:val="de-DE"/>
        </w:rPr>
        <w:t>- </w:t>
      </w:r>
      <w:r w:rsidR="006E180F" w:rsidRPr="004676F5">
        <w:rPr>
          <w:lang w:val="de-DE"/>
        </w:rPr>
        <w:t>Ausführung von Zahlungsvorgängen mittels eines Zahlungsinstruments,</w:t>
      </w:r>
    </w:p>
    <w:p w14:paraId="5B23BE7A" w14:textId="77777777" w:rsidR="006E180F" w:rsidRPr="004676F5" w:rsidRDefault="006E180F" w:rsidP="006E180F">
      <w:pPr>
        <w:jc w:val="both"/>
        <w:rPr>
          <w:lang w:val="de-DE"/>
        </w:rPr>
      </w:pPr>
    </w:p>
    <w:p w14:paraId="054F3AAC" w14:textId="3526075B" w:rsidR="006E180F" w:rsidRPr="004676F5" w:rsidRDefault="005B7A5C" w:rsidP="006E180F">
      <w:pPr>
        <w:ind w:firstLine="708"/>
        <w:jc w:val="both"/>
        <w:rPr>
          <w:lang w:val="de-DE"/>
        </w:rPr>
      </w:pPr>
      <w:r w:rsidRPr="004676F5">
        <w:rPr>
          <w:lang w:val="de-DE"/>
        </w:rPr>
        <w:t>- </w:t>
      </w:r>
      <w:r w:rsidR="006E180F" w:rsidRPr="004676F5">
        <w:rPr>
          <w:lang w:val="de-DE"/>
        </w:rPr>
        <w:t>Ausführung von Überweisungen einschließlich Daueraufträgen,</w:t>
      </w:r>
    </w:p>
    <w:p w14:paraId="4B8A7E9F" w14:textId="77777777" w:rsidR="006E180F" w:rsidRPr="004676F5" w:rsidRDefault="006E180F" w:rsidP="006E180F">
      <w:pPr>
        <w:ind w:firstLine="708"/>
        <w:jc w:val="both"/>
        <w:rPr>
          <w:lang w:val="de-DE"/>
        </w:rPr>
      </w:pPr>
    </w:p>
    <w:p w14:paraId="1B288510" w14:textId="77777777" w:rsidR="006E180F" w:rsidRPr="004676F5" w:rsidRDefault="006E180F" w:rsidP="006E180F">
      <w:pPr>
        <w:ind w:firstLine="708"/>
        <w:jc w:val="both"/>
        <w:rPr>
          <w:lang w:val="de-DE"/>
        </w:rPr>
      </w:pPr>
      <w:r w:rsidRPr="004676F5">
        <w:rPr>
          <w:i/>
          <w:lang w:val="de-DE"/>
        </w:rPr>
        <w:t>e)</w:t>
      </w:r>
      <w:r w:rsidRPr="004676F5">
        <w:rPr>
          <w:lang w:val="de-DE"/>
        </w:rPr>
        <w:t> Ausgabe von Zahlungsinstrumenten und/oder Annahme und Abrechnung ("acquiring") von Zahlungsinstrumenten,</w:t>
      </w:r>
    </w:p>
    <w:p w14:paraId="7C856E7B" w14:textId="77777777" w:rsidR="006E180F" w:rsidRPr="004676F5" w:rsidRDefault="006E180F" w:rsidP="006E180F">
      <w:pPr>
        <w:ind w:firstLine="708"/>
        <w:jc w:val="both"/>
        <w:rPr>
          <w:lang w:val="de-DE"/>
        </w:rPr>
      </w:pPr>
    </w:p>
    <w:p w14:paraId="25EC6350" w14:textId="77777777" w:rsidR="006E180F" w:rsidRPr="004676F5" w:rsidRDefault="006E180F" w:rsidP="006E180F">
      <w:pPr>
        <w:ind w:firstLine="708"/>
        <w:jc w:val="both"/>
        <w:rPr>
          <w:lang w:val="de-DE"/>
        </w:rPr>
      </w:pPr>
      <w:r w:rsidRPr="004676F5">
        <w:rPr>
          <w:i/>
          <w:lang w:val="de-DE"/>
        </w:rPr>
        <w:t>f)</w:t>
      </w:r>
      <w:r w:rsidRPr="004676F5">
        <w:rPr>
          <w:lang w:val="de-DE"/>
        </w:rPr>
        <w:t> Finanztransfer,</w:t>
      </w:r>
    </w:p>
    <w:p w14:paraId="78AACD00" w14:textId="77777777" w:rsidR="006E180F" w:rsidRPr="004676F5" w:rsidRDefault="006E180F" w:rsidP="006E180F">
      <w:pPr>
        <w:jc w:val="both"/>
        <w:rPr>
          <w:lang w:val="de-DE"/>
        </w:rPr>
      </w:pPr>
    </w:p>
    <w:p w14:paraId="4B876A24" w14:textId="7FE5C486" w:rsidR="006E180F" w:rsidRPr="004676F5" w:rsidRDefault="006E180F" w:rsidP="006E180F">
      <w:pPr>
        <w:ind w:firstLine="708"/>
        <w:jc w:val="both"/>
        <w:rPr>
          <w:lang w:val="de-DE"/>
        </w:rPr>
      </w:pPr>
      <w:r w:rsidRPr="004676F5">
        <w:rPr>
          <w:i/>
          <w:lang w:val="de-DE"/>
        </w:rPr>
        <w:t>g)</w:t>
      </w:r>
      <w:r w:rsidRPr="004676F5">
        <w:rPr>
          <w:lang w:val="de-DE"/>
        </w:rPr>
        <w:t> </w:t>
      </w:r>
      <w:r w:rsidR="0007495F" w:rsidRPr="004676F5">
        <w:rPr>
          <w:lang w:val="de-DE"/>
        </w:rPr>
        <w:t>[Zahlungsauslösedienste,]</w:t>
      </w:r>
    </w:p>
    <w:p w14:paraId="2CB140B7" w14:textId="270C8606" w:rsidR="0007495F" w:rsidRPr="004676F5" w:rsidRDefault="0007495F" w:rsidP="006E180F">
      <w:pPr>
        <w:ind w:firstLine="708"/>
        <w:jc w:val="both"/>
        <w:rPr>
          <w:lang w:val="de-DE"/>
        </w:rPr>
      </w:pPr>
    </w:p>
    <w:p w14:paraId="267E49FB" w14:textId="41C4A630" w:rsidR="0007495F" w:rsidRPr="004676F5" w:rsidRDefault="0007495F" w:rsidP="006E180F">
      <w:pPr>
        <w:ind w:firstLine="708"/>
        <w:jc w:val="both"/>
        <w:rPr>
          <w:lang w:val="de-DE"/>
        </w:rPr>
      </w:pPr>
      <w:r w:rsidRPr="004676F5">
        <w:rPr>
          <w:lang w:val="de-DE"/>
        </w:rPr>
        <w:t>[</w:t>
      </w:r>
      <w:r w:rsidRPr="004676F5">
        <w:rPr>
          <w:i/>
          <w:lang w:val="de-DE"/>
        </w:rPr>
        <w:t>h) </w:t>
      </w:r>
      <w:r w:rsidRPr="004676F5">
        <w:rPr>
          <w:lang w:val="de-DE"/>
        </w:rPr>
        <w:t>Kontoinformationsdienste,]</w:t>
      </w:r>
    </w:p>
    <w:p w14:paraId="0436B66D" w14:textId="146C27B2" w:rsidR="006E180F" w:rsidRPr="004676F5" w:rsidRDefault="006E180F">
      <w:pPr>
        <w:rPr>
          <w:lang w:val="de-DE"/>
        </w:rPr>
      </w:pPr>
    </w:p>
    <w:p w14:paraId="420114A4" w14:textId="77777777" w:rsidR="006E180F" w:rsidRPr="004676F5" w:rsidRDefault="006E180F" w:rsidP="006E180F">
      <w:pPr>
        <w:ind w:firstLine="708"/>
        <w:jc w:val="both"/>
        <w:rPr>
          <w:lang w:val="de-DE"/>
        </w:rPr>
      </w:pPr>
      <w:r w:rsidRPr="004676F5">
        <w:rPr>
          <w:lang w:val="de-DE"/>
        </w:rPr>
        <w:t>2. Zahlungsdienstleister: juristische Personen, die Zahlungsdienste für Zahlungsdienstnutzer erbringen und den Merkmalen einer der nachfolgend angeführten Stellen entsprechen:</w:t>
      </w:r>
    </w:p>
    <w:p w14:paraId="3E81B564" w14:textId="77777777" w:rsidR="006E180F" w:rsidRPr="004676F5" w:rsidRDefault="006E180F" w:rsidP="006E180F">
      <w:pPr>
        <w:jc w:val="both"/>
        <w:rPr>
          <w:lang w:val="de-DE"/>
        </w:rPr>
      </w:pPr>
    </w:p>
    <w:p w14:paraId="111880B1" w14:textId="77777777" w:rsidR="006E180F" w:rsidRPr="004676F5" w:rsidRDefault="006E180F" w:rsidP="006E180F">
      <w:pPr>
        <w:ind w:firstLine="708"/>
        <w:jc w:val="both"/>
        <w:rPr>
          <w:lang w:val="de-DE"/>
        </w:rPr>
      </w:pPr>
      <w:r w:rsidRPr="004676F5">
        <w:rPr>
          <w:i/>
          <w:lang w:val="de-DE"/>
        </w:rPr>
        <w:t>a)</w:t>
      </w:r>
      <w:r w:rsidRPr="004676F5">
        <w:rPr>
          <w:lang w:val="de-DE"/>
        </w:rPr>
        <w:t xml:space="preserve"> Kreditinstitute im Sinne von </w:t>
      </w:r>
      <w:r w:rsidR="00C76DF6" w:rsidRPr="004676F5">
        <w:rPr>
          <w:lang w:val="de-DE"/>
        </w:rPr>
        <w:t>[Artikel 1 § 3 Absatz 1 des Gesetzes vom 25. April 2014 über den Status und die Kontrolle der Kreditinstitute und der Börsengesellschaften]</w:t>
      </w:r>
      <w:r w:rsidRPr="004676F5">
        <w:rPr>
          <w:lang w:val="de-DE"/>
        </w:rPr>
        <w:t>,</w:t>
      </w:r>
    </w:p>
    <w:p w14:paraId="740DC516" w14:textId="77777777" w:rsidR="006E180F" w:rsidRPr="004676F5" w:rsidRDefault="006E180F" w:rsidP="006E180F">
      <w:pPr>
        <w:ind w:firstLine="708"/>
        <w:jc w:val="both"/>
        <w:rPr>
          <w:lang w:val="de-DE"/>
        </w:rPr>
      </w:pPr>
    </w:p>
    <w:p w14:paraId="4F4EE570" w14:textId="37633787" w:rsidR="006E180F" w:rsidRPr="004676F5" w:rsidRDefault="006E180F" w:rsidP="006E180F">
      <w:pPr>
        <w:ind w:firstLine="708"/>
        <w:jc w:val="both"/>
        <w:rPr>
          <w:lang w:val="de-DE"/>
        </w:rPr>
      </w:pPr>
      <w:r w:rsidRPr="004676F5">
        <w:rPr>
          <w:i/>
          <w:lang w:val="de-DE"/>
        </w:rPr>
        <w:t>b)</w:t>
      </w:r>
      <w:r w:rsidRPr="004676F5">
        <w:rPr>
          <w:lang w:val="de-DE"/>
        </w:rPr>
        <w:t xml:space="preserve"> E-Geld-Institute wie erwähnt </w:t>
      </w:r>
      <w:r w:rsidR="0007495F" w:rsidRPr="004676F5">
        <w:rPr>
          <w:lang w:val="de-DE"/>
        </w:rPr>
        <w:t>[in Artikel 2 Nr. 73 des Gesetzes vom 11. März 2018],</w:t>
      </w:r>
    </w:p>
    <w:p w14:paraId="20C4CAB0" w14:textId="77777777" w:rsidR="006E180F" w:rsidRPr="004676F5" w:rsidRDefault="006E180F" w:rsidP="006E180F">
      <w:pPr>
        <w:ind w:firstLine="708"/>
        <w:jc w:val="both"/>
        <w:rPr>
          <w:lang w:val="de-DE"/>
        </w:rPr>
      </w:pPr>
    </w:p>
    <w:p w14:paraId="38A082FA" w14:textId="77777777" w:rsidR="006E180F" w:rsidRPr="004676F5" w:rsidRDefault="006E180F" w:rsidP="006E180F">
      <w:pPr>
        <w:ind w:firstLine="708"/>
        <w:jc w:val="both"/>
        <w:rPr>
          <w:lang w:val="de-DE"/>
        </w:rPr>
      </w:pPr>
      <w:r w:rsidRPr="004676F5">
        <w:rPr>
          <w:i/>
          <w:lang w:val="de-DE"/>
        </w:rPr>
        <w:t>c)</w:t>
      </w:r>
      <w:r w:rsidRPr="004676F5">
        <w:rPr>
          <w:lang w:val="de-DE"/>
        </w:rPr>
        <w:t> die öffentlich-rechtliche Aktiengesellschaft bpost,</w:t>
      </w:r>
    </w:p>
    <w:p w14:paraId="00CD7DC7" w14:textId="77777777" w:rsidR="006E180F" w:rsidRPr="004676F5" w:rsidRDefault="006E180F" w:rsidP="006E180F">
      <w:pPr>
        <w:ind w:firstLine="708"/>
        <w:jc w:val="both"/>
        <w:rPr>
          <w:lang w:val="de-DE"/>
        </w:rPr>
      </w:pPr>
    </w:p>
    <w:p w14:paraId="665EDD4F" w14:textId="7E9EDEC7" w:rsidR="006E180F" w:rsidRPr="004676F5" w:rsidRDefault="006E180F" w:rsidP="006E180F">
      <w:pPr>
        <w:ind w:firstLine="708"/>
        <w:jc w:val="both"/>
        <w:rPr>
          <w:lang w:val="de-DE"/>
        </w:rPr>
      </w:pPr>
      <w:r w:rsidRPr="004676F5">
        <w:rPr>
          <w:i/>
          <w:lang w:val="de-DE"/>
        </w:rPr>
        <w:t>d)</w:t>
      </w:r>
      <w:r w:rsidRPr="004676F5">
        <w:rPr>
          <w:lang w:val="de-DE"/>
        </w:rPr>
        <w:t xml:space="preserve"> Zahlungsinstitute: juristische Personen, die ermächtigt sind, </w:t>
      </w:r>
      <w:r w:rsidR="0007495F" w:rsidRPr="004676F5">
        <w:rPr>
          <w:lang w:val="de-DE"/>
        </w:rPr>
        <w:t xml:space="preserve">[gemäß dem Gesetz vom 11. März 2018] </w:t>
      </w:r>
      <w:r w:rsidRPr="004676F5">
        <w:rPr>
          <w:lang w:val="de-DE"/>
        </w:rPr>
        <w:t>Zahlungsdienste zu erbringen,</w:t>
      </w:r>
    </w:p>
    <w:p w14:paraId="605D0B5F" w14:textId="77777777" w:rsidR="006E180F" w:rsidRPr="004676F5" w:rsidRDefault="006E180F" w:rsidP="006E180F">
      <w:pPr>
        <w:ind w:firstLine="708"/>
        <w:jc w:val="both"/>
        <w:rPr>
          <w:lang w:val="de-DE"/>
        </w:rPr>
      </w:pPr>
    </w:p>
    <w:p w14:paraId="6C8A217D" w14:textId="77777777" w:rsidR="006E180F" w:rsidRPr="004676F5" w:rsidRDefault="006E180F" w:rsidP="006E180F">
      <w:pPr>
        <w:ind w:firstLine="708"/>
        <w:jc w:val="both"/>
        <w:rPr>
          <w:lang w:val="de-DE"/>
        </w:rPr>
      </w:pPr>
      <w:r w:rsidRPr="004676F5">
        <w:rPr>
          <w:i/>
          <w:lang w:val="de-DE"/>
        </w:rPr>
        <w:t>e)</w:t>
      </w:r>
      <w:r w:rsidRPr="004676F5">
        <w:rPr>
          <w:lang w:val="de-DE"/>
        </w:rPr>
        <w:t> Belgische Nationalbank und Europäische Zentralbank, wenn sie nicht in ihrer Eigenschaft als Währungsbehörde oder andere Behörde handeln,</w:t>
      </w:r>
    </w:p>
    <w:p w14:paraId="0A339A6C" w14:textId="066136BD" w:rsidR="006E180F" w:rsidRPr="004676F5" w:rsidRDefault="006E180F" w:rsidP="006E180F">
      <w:pPr>
        <w:ind w:firstLine="708"/>
        <w:jc w:val="both"/>
        <w:rPr>
          <w:lang w:val="de-DE"/>
        </w:rPr>
      </w:pPr>
    </w:p>
    <w:p w14:paraId="78B7C4D2" w14:textId="77777777" w:rsidR="006E180F" w:rsidRPr="004676F5" w:rsidRDefault="006E180F" w:rsidP="006E180F">
      <w:pPr>
        <w:ind w:firstLine="708"/>
        <w:jc w:val="both"/>
        <w:rPr>
          <w:lang w:val="de-DE"/>
        </w:rPr>
      </w:pPr>
      <w:r w:rsidRPr="004676F5">
        <w:rPr>
          <w:i/>
          <w:lang w:val="de-DE"/>
        </w:rPr>
        <w:t>f) </w:t>
      </w:r>
      <w:r w:rsidRPr="004676F5">
        <w:rPr>
          <w:lang w:val="de-DE"/>
        </w:rPr>
        <w:t>belgische föderale, regionale und lokale Behörden, sofern sie aufgrund der Rechtsvorschriften, die ihren Auftrag regeln, und/oder ihres Statuts dazu ermächtigt sind und nicht in ihrer Eigenschaft als Behörde handeln.</w:t>
      </w:r>
    </w:p>
    <w:p w14:paraId="3D06B735" w14:textId="77777777" w:rsidR="006E180F" w:rsidRPr="004676F5" w:rsidRDefault="006E180F" w:rsidP="006E180F">
      <w:pPr>
        <w:ind w:firstLine="708"/>
        <w:jc w:val="both"/>
        <w:rPr>
          <w:lang w:val="de-DE"/>
        </w:rPr>
      </w:pPr>
    </w:p>
    <w:p w14:paraId="45AF3D1A" w14:textId="77777777" w:rsidR="006E180F" w:rsidRPr="004676F5" w:rsidRDefault="006E180F" w:rsidP="006E180F">
      <w:pPr>
        <w:ind w:firstLine="708"/>
        <w:jc w:val="both"/>
        <w:rPr>
          <w:lang w:val="de-DE"/>
        </w:rPr>
      </w:pPr>
      <w:r w:rsidRPr="004676F5">
        <w:rPr>
          <w:lang w:val="de-DE"/>
        </w:rPr>
        <w:t>Wer im Rahmen seiner hauptberuflichen oder gewerblichen Tätigkeit Zahlungsdienste für einen Zahlungsdienstnutzer erbringt oder einem E-Geld-Inhaber elektronisches Geld ausgibt, ohne über die erforderliche Zulassung beziehungsweise Ermächtigung zu verfügen, unterliegt dennoch den bindenden Bestimmungen des vorliegenden Gesetzes,</w:t>
      </w:r>
    </w:p>
    <w:p w14:paraId="6EC7E7E8" w14:textId="77777777" w:rsidR="006E180F" w:rsidRPr="004676F5" w:rsidRDefault="006E180F" w:rsidP="006E180F">
      <w:pPr>
        <w:ind w:firstLine="708"/>
        <w:jc w:val="both"/>
        <w:rPr>
          <w:lang w:val="de-DE"/>
        </w:rPr>
      </w:pPr>
    </w:p>
    <w:p w14:paraId="0618AAD8" w14:textId="77777777" w:rsidR="006E180F" w:rsidRPr="004676F5" w:rsidRDefault="006E180F" w:rsidP="006E180F">
      <w:pPr>
        <w:ind w:firstLine="708"/>
        <w:jc w:val="both"/>
        <w:rPr>
          <w:lang w:val="de-DE"/>
        </w:rPr>
      </w:pPr>
      <w:r w:rsidRPr="004676F5">
        <w:rPr>
          <w:lang w:val="de-DE"/>
        </w:rPr>
        <w:t>3. Zahlungsdienstnutzer: natürliche oder juristische Person, die einen Zahlungsdienst als Zahler oder Zahlungsempfänger oder in beiden Eigenschaften in Anspruch nimmt,</w:t>
      </w:r>
    </w:p>
    <w:p w14:paraId="7B5EC1CF" w14:textId="77777777" w:rsidR="006E180F" w:rsidRPr="004676F5" w:rsidRDefault="006E180F" w:rsidP="006E180F">
      <w:pPr>
        <w:ind w:firstLine="708"/>
        <w:jc w:val="both"/>
        <w:rPr>
          <w:lang w:val="de-DE"/>
        </w:rPr>
      </w:pPr>
    </w:p>
    <w:p w14:paraId="7D3E1BE1" w14:textId="0F194E3F" w:rsidR="006E180F" w:rsidRPr="004676F5" w:rsidRDefault="006E180F" w:rsidP="006E180F">
      <w:pPr>
        <w:ind w:firstLine="708"/>
        <w:jc w:val="both"/>
        <w:rPr>
          <w:lang w:val="de-DE"/>
        </w:rPr>
      </w:pPr>
      <w:r w:rsidRPr="004676F5">
        <w:rPr>
          <w:lang w:val="de-DE"/>
        </w:rPr>
        <w:t xml:space="preserve">4. Zahler: natürliche oder juristische Person, die Inhaber eines Zahlungskontos ist und die einen Zahlungsauftrag von diesem Zahlungskonto gestattet oder </w:t>
      </w:r>
      <w:r w:rsidR="005B7A5C" w:rsidRPr="004676F5">
        <w:rPr>
          <w:lang w:val="de-DE"/>
        </w:rPr>
        <w:t>- </w:t>
      </w:r>
      <w:r w:rsidRPr="004676F5">
        <w:rPr>
          <w:lang w:val="de-DE"/>
        </w:rPr>
        <w:t xml:space="preserve">falls kein Zahlungskonto vorhanden ist </w:t>
      </w:r>
      <w:r w:rsidR="005B7A5C" w:rsidRPr="004676F5">
        <w:rPr>
          <w:lang w:val="de-DE"/>
        </w:rPr>
        <w:t>- </w:t>
      </w:r>
      <w:r w:rsidRPr="004676F5">
        <w:rPr>
          <w:lang w:val="de-DE"/>
        </w:rPr>
        <w:t>natürliche oder juristische Person, die den Auftrag für einen Zahlungsvorgang erteilt,</w:t>
      </w:r>
    </w:p>
    <w:p w14:paraId="52C08657" w14:textId="77777777" w:rsidR="006E180F" w:rsidRPr="004676F5" w:rsidRDefault="006E180F" w:rsidP="006E180F">
      <w:pPr>
        <w:ind w:firstLine="708"/>
        <w:jc w:val="both"/>
        <w:rPr>
          <w:lang w:val="de-DE"/>
        </w:rPr>
      </w:pPr>
    </w:p>
    <w:p w14:paraId="3EEE9E55" w14:textId="5732B929" w:rsidR="006E180F" w:rsidRPr="004676F5" w:rsidRDefault="006E180F" w:rsidP="006E180F">
      <w:pPr>
        <w:ind w:firstLine="708"/>
        <w:jc w:val="both"/>
        <w:rPr>
          <w:lang w:val="de-DE"/>
        </w:rPr>
      </w:pPr>
      <w:r w:rsidRPr="004676F5">
        <w:rPr>
          <w:lang w:val="de-DE"/>
        </w:rPr>
        <w:t>5. </w:t>
      </w:r>
      <w:r w:rsidR="004B23A4" w:rsidRPr="004676F5">
        <w:rPr>
          <w:lang w:val="de-DE"/>
        </w:rPr>
        <w:t>[</w:t>
      </w:r>
      <w:r w:rsidRPr="004676F5">
        <w:rPr>
          <w:lang w:val="de-DE"/>
        </w:rPr>
        <w:t xml:space="preserve">Zahlungsempfänger: natürliche oder juristische Person, die den bei einem Zahlungsvorgang transferierten Geldbetrag als </w:t>
      </w:r>
      <w:r w:rsidR="004B23A4" w:rsidRPr="004676F5">
        <w:rPr>
          <w:lang w:val="de-DE"/>
        </w:rPr>
        <w:t>E</w:t>
      </w:r>
      <w:r w:rsidRPr="004676F5">
        <w:rPr>
          <w:lang w:val="de-DE"/>
        </w:rPr>
        <w:t>mpfänger erhalten soll,</w:t>
      </w:r>
      <w:r w:rsidR="004B23A4" w:rsidRPr="004676F5">
        <w:rPr>
          <w:lang w:val="de-DE"/>
        </w:rPr>
        <w:t>]</w:t>
      </w:r>
    </w:p>
    <w:p w14:paraId="633CFDD7" w14:textId="77777777" w:rsidR="006E180F" w:rsidRPr="004676F5" w:rsidRDefault="006E180F" w:rsidP="006E180F">
      <w:pPr>
        <w:ind w:firstLine="708"/>
        <w:jc w:val="both"/>
        <w:rPr>
          <w:lang w:val="de-DE"/>
        </w:rPr>
      </w:pPr>
    </w:p>
    <w:p w14:paraId="35E30E94" w14:textId="5EE6A31B" w:rsidR="006E180F" w:rsidRPr="004676F5" w:rsidRDefault="006E180F" w:rsidP="006E180F">
      <w:pPr>
        <w:ind w:firstLine="708"/>
        <w:jc w:val="both"/>
        <w:rPr>
          <w:lang w:val="de-DE"/>
        </w:rPr>
      </w:pPr>
      <w:r w:rsidRPr="004676F5">
        <w:rPr>
          <w:lang w:val="de-DE"/>
        </w:rPr>
        <w:t xml:space="preserve">6. Zahlungsvorgang: Bereitstellung, Transfer oder Abhebung eines Geldbetrags, ausgelöst vom Zahler oder </w:t>
      </w:r>
      <w:r w:rsidR="00D528C7" w:rsidRPr="004676F5">
        <w:rPr>
          <w:lang w:val="de-DE"/>
        </w:rPr>
        <w:t xml:space="preserve">[für seine Rechnung oder vom] </w:t>
      </w:r>
      <w:r w:rsidRPr="004676F5">
        <w:rPr>
          <w:lang w:val="de-DE"/>
        </w:rPr>
        <w:t>Zahlungsempfänger, unabhängig von etwaigen zugrunde liegenden Verpflichtungen im Verhältnis zwischen Zahler und Zahlungsempfänger,</w:t>
      </w:r>
    </w:p>
    <w:p w14:paraId="62B305B3" w14:textId="77777777" w:rsidR="006E180F" w:rsidRPr="004676F5" w:rsidRDefault="006E180F" w:rsidP="006E180F">
      <w:pPr>
        <w:ind w:firstLine="708"/>
        <w:jc w:val="both"/>
        <w:rPr>
          <w:lang w:val="de-DE"/>
        </w:rPr>
      </w:pPr>
    </w:p>
    <w:p w14:paraId="08EE9E3D" w14:textId="77777777" w:rsidR="006E180F" w:rsidRPr="004676F5" w:rsidRDefault="006E180F" w:rsidP="006E180F">
      <w:pPr>
        <w:ind w:firstLine="708"/>
        <w:jc w:val="both"/>
        <w:rPr>
          <w:lang w:val="de-DE"/>
        </w:rPr>
      </w:pPr>
      <w:r w:rsidRPr="004676F5">
        <w:rPr>
          <w:lang w:val="de-DE"/>
        </w:rPr>
        <w:t>7. Zahlungsauftrag: Auftrag, den ein Zahler oder Zahlungsempfänger seinem Zahlungsdienstleister zur Ausführung eines Zahlungsvorgangs erteilt,</w:t>
      </w:r>
    </w:p>
    <w:p w14:paraId="45394774" w14:textId="77777777" w:rsidR="006E180F" w:rsidRPr="004676F5" w:rsidRDefault="006E180F" w:rsidP="006E180F">
      <w:pPr>
        <w:ind w:firstLine="708"/>
        <w:jc w:val="both"/>
        <w:rPr>
          <w:lang w:val="de-DE"/>
        </w:rPr>
      </w:pPr>
    </w:p>
    <w:p w14:paraId="4176F6F2" w14:textId="72F61ED3" w:rsidR="006E180F" w:rsidRPr="004676F5" w:rsidRDefault="006E180F" w:rsidP="006E180F">
      <w:pPr>
        <w:ind w:firstLine="708"/>
        <w:jc w:val="both"/>
        <w:rPr>
          <w:lang w:val="de-DE"/>
        </w:rPr>
      </w:pPr>
      <w:r w:rsidRPr="004676F5">
        <w:rPr>
          <w:lang w:val="de-DE"/>
        </w:rPr>
        <w:t>8. Zahlungskonto: auf den Namen eines oder mehrerer Zahlungsdienstnutzer lautendes Konto, das für die Ausführung von Zahlungsvorgängen genutzt wird,</w:t>
      </w:r>
    </w:p>
    <w:p w14:paraId="0BEC7889" w14:textId="77777777" w:rsidR="006E180F" w:rsidRPr="004676F5" w:rsidRDefault="006E180F" w:rsidP="006E180F">
      <w:pPr>
        <w:ind w:firstLine="708"/>
        <w:jc w:val="both"/>
        <w:rPr>
          <w:lang w:val="de-DE"/>
        </w:rPr>
      </w:pPr>
    </w:p>
    <w:p w14:paraId="09D8D25A" w14:textId="27F074E0" w:rsidR="006E180F" w:rsidRPr="004676F5" w:rsidRDefault="006E180F" w:rsidP="006E180F">
      <w:pPr>
        <w:ind w:firstLine="708"/>
        <w:jc w:val="both"/>
        <w:rPr>
          <w:lang w:val="de-DE"/>
        </w:rPr>
      </w:pPr>
      <w:r w:rsidRPr="004676F5">
        <w:rPr>
          <w:lang w:val="de-DE"/>
        </w:rPr>
        <w:t xml:space="preserve">9. Geldbetrag: Banknoten und Münzen, Giralgeld und elektronisches Geld im Sinne </w:t>
      </w:r>
      <w:r w:rsidR="00D528C7" w:rsidRPr="004676F5">
        <w:rPr>
          <w:lang w:val="de-DE"/>
        </w:rPr>
        <w:t>[von Artikel 2 Nr. 25 des Gesetzes vom 11. März 2018]</w:t>
      </w:r>
      <w:r w:rsidRPr="004676F5">
        <w:rPr>
          <w:lang w:val="de-DE"/>
        </w:rPr>
        <w:t>,</w:t>
      </w:r>
    </w:p>
    <w:p w14:paraId="5E0A6B1C" w14:textId="77777777" w:rsidR="006E180F" w:rsidRPr="004676F5" w:rsidRDefault="006E180F" w:rsidP="006E180F">
      <w:pPr>
        <w:ind w:firstLine="708"/>
        <w:jc w:val="both"/>
        <w:rPr>
          <w:lang w:val="de-DE"/>
        </w:rPr>
      </w:pPr>
    </w:p>
    <w:p w14:paraId="50BBF5A6" w14:textId="77777777" w:rsidR="006E180F" w:rsidRPr="004676F5" w:rsidRDefault="006E180F" w:rsidP="006E180F">
      <w:pPr>
        <w:ind w:firstLine="708"/>
        <w:jc w:val="both"/>
        <w:rPr>
          <w:lang w:val="de-DE"/>
        </w:rPr>
      </w:pPr>
      <w:r w:rsidRPr="004676F5">
        <w:rPr>
          <w:lang w:val="de-DE"/>
        </w:rPr>
        <w:t>10. Zahlungsinstrument: personalisiertes Instrument und/oder personalisierter Ver</w:t>
      </w:r>
      <w:r w:rsidRPr="004676F5">
        <w:rPr>
          <w:lang w:val="de-DE"/>
        </w:rPr>
        <w:softHyphen/>
        <w:t>fahrens</w:t>
      </w:r>
      <w:r w:rsidRPr="004676F5">
        <w:rPr>
          <w:lang w:val="de-DE"/>
        </w:rPr>
        <w:softHyphen/>
        <w:t>ablauf, das/der zwischen dem Zahlungsdienstnutzer und dem Zahlungsdienstleister vereinbart wurde und das/der vom Zahlungsdienstnutzer eingesetzt werden kann, um einen Zahlungsauftrag zu erteilen,</w:t>
      </w:r>
    </w:p>
    <w:p w14:paraId="55CBD165" w14:textId="1E75C660" w:rsidR="006E180F" w:rsidRPr="004676F5" w:rsidRDefault="006E180F" w:rsidP="006E180F">
      <w:pPr>
        <w:ind w:firstLine="708"/>
        <w:jc w:val="both"/>
        <w:rPr>
          <w:lang w:val="de-DE"/>
        </w:rPr>
      </w:pPr>
    </w:p>
    <w:p w14:paraId="072D05B5" w14:textId="7962AA14" w:rsidR="006E180F" w:rsidRPr="004676F5" w:rsidRDefault="006E180F" w:rsidP="006E180F">
      <w:pPr>
        <w:ind w:firstLine="708"/>
        <w:jc w:val="both"/>
        <w:rPr>
          <w:lang w:val="de-DE"/>
        </w:rPr>
      </w:pPr>
      <w:r w:rsidRPr="004676F5">
        <w:rPr>
          <w:lang w:val="de-DE"/>
        </w:rPr>
        <w:lastRenderedPageBreak/>
        <w:t>11. </w:t>
      </w:r>
      <w:r w:rsidR="00D528C7" w:rsidRPr="004676F5">
        <w:rPr>
          <w:lang w:val="de-DE"/>
        </w:rPr>
        <w:t>[Authentifizierung: Verfahren, mit dessen Hilfe der Zahlungsdienstleister die Identität eines Zahlungsdienstnutzers oder die berechtigte Verwendung eines bestimmten Zahlungsinstruments, einschließlich der Verwendung der personalisierten Sicherheits</w:t>
      </w:r>
      <w:r w:rsidR="00D528C7" w:rsidRPr="004676F5">
        <w:rPr>
          <w:lang w:val="de-DE"/>
        </w:rPr>
        <w:softHyphen/>
        <w:t>merkmale des Zahlungsdienstnutzers, überprüfen kann,]</w:t>
      </w:r>
    </w:p>
    <w:p w14:paraId="6540A773" w14:textId="77777777" w:rsidR="006E180F" w:rsidRPr="004676F5" w:rsidRDefault="006E180F" w:rsidP="006E180F">
      <w:pPr>
        <w:ind w:firstLine="708"/>
        <w:jc w:val="both"/>
        <w:rPr>
          <w:lang w:val="de-DE"/>
        </w:rPr>
      </w:pPr>
    </w:p>
    <w:p w14:paraId="7C64D78B" w14:textId="77777777" w:rsidR="006E180F" w:rsidRPr="004676F5" w:rsidRDefault="006E180F" w:rsidP="006E180F">
      <w:pPr>
        <w:ind w:firstLine="708"/>
        <w:jc w:val="both"/>
        <w:rPr>
          <w:lang w:val="de-DE"/>
        </w:rPr>
      </w:pPr>
      <w:r w:rsidRPr="004676F5">
        <w:rPr>
          <w:lang w:val="de-DE"/>
        </w:rPr>
        <w:t>12. Kundenidentifikator: Kombination aus Buchstaben, Zahlen oder Symbolen, die dem Zahlungsdienstnutzer vom Zahlungsdienstleister mitgeteilt wird und die der Zahlungsdienstnutzer angeben muss, damit der andere am Zahlungsvorgang beteiligte Zahlungsdienstnutzer und/oder dessen Zahlungskonto zweifelsfrei ermittelt werden kann,</w:t>
      </w:r>
    </w:p>
    <w:p w14:paraId="43ADD77F" w14:textId="344F420E" w:rsidR="006E180F" w:rsidRPr="004676F5" w:rsidRDefault="006E180F" w:rsidP="006E180F">
      <w:pPr>
        <w:ind w:firstLine="708"/>
        <w:jc w:val="both"/>
        <w:rPr>
          <w:lang w:val="de-DE"/>
        </w:rPr>
      </w:pPr>
    </w:p>
    <w:p w14:paraId="7F310178" w14:textId="77777777" w:rsidR="006E180F" w:rsidRPr="004676F5" w:rsidRDefault="006E180F" w:rsidP="006E180F">
      <w:pPr>
        <w:ind w:firstLine="708"/>
        <w:jc w:val="both"/>
        <w:rPr>
          <w:lang w:val="de-DE"/>
        </w:rPr>
      </w:pPr>
      <w:r w:rsidRPr="004676F5">
        <w:rPr>
          <w:lang w:val="de-DE"/>
        </w:rPr>
        <w:t>13. Lastschrift: vom Zahlungsempfänger ausgelöster Zahlungsdienst zur Belastung des Zahlungskontos des Zahlers aufgrund einer Zustimmung des Zahlers zu einem Zahlungs</w:t>
      </w:r>
      <w:r w:rsidRPr="004676F5">
        <w:rPr>
          <w:lang w:val="de-DE"/>
        </w:rPr>
        <w:softHyphen/>
        <w:t>vorgang, die der Zahler gegenüber dem Zahlungsempfänger, dessen Zahlungsdienstleister oder seinem eigenen Zahlungsdienstleister erteilt,</w:t>
      </w:r>
    </w:p>
    <w:p w14:paraId="16124CBC" w14:textId="77777777" w:rsidR="006E180F" w:rsidRPr="004676F5" w:rsidRDefault="006E180F" w:rsidP="006E180F">
      <w:pPr>
        <w:ind w:firstLine="708"/>
        <w:jc w:val="both"/>
        <w:rPr>
          <w:lang w:val="de-DE"/>
        </w:rPr>
      </w:pPr>
    </w:p>
    <w:p w14:paraId="571690C0" w14:textId="77777777" w:rsidR="006E180F" w:rsidRPr="004676F5" w:rsidRDefault="006E180F" w:rsidP="006E180F">
      <w:pPr>
        <w:ind w:firstLine="708"/>
        <w:jc w:val="both"/>
        <w:rPr>
          <w:lang w:val="de-DE"/>
        </w:rPr>
      </w:pPr>
      <w:r w:rsidRPr="004676F5">
        <w:rPr>
          <w:lang w:val="de-DE"/>
        </w:rPr>
        <w:t>14. Finanztransfer: Zahlungsdienst, bei dem ohne Einrichtung eines Zahlungskontos auf den Namen des Zahlers oder des Zahlungsempfängers ein Geldbetrag eines Zahlers ausschließlich zum Transfer eines entsprechenden Betrags an einen Zahlungsempfänger oder an einen anderen, im Namen des Zahlungsempfängers handelnden Zahlungsdienstleister entgegengenommen wird und/oder bei dem der Geldbetrag im Namen des Zahlungs</w:t>
      </w:r>
      <w:r w:rsidRPr="004676F5">
        <w:rPr>
          <w:lang w:val="de-DE"/>
        </w:rPr>
        <w:softHyphen/>
        <w:t>empfängers entgegengenommen und diesem verfügbar gemacht wird,</w:t>
      </w:r>
    </w:p>
    <w:p w14:paraId="17BC0865" w14:textId="77777777" w:rsidR="006E180F" w:rsidRPr="004676F5" w:rsidRDefault="006E180F" w:rsidP="006E180F">
      <w:pPr>
        <w:ind w:firstLine="708"/>
        <w:jc w:val="both"/>
        <w:rPr>
          <w:lang w:val="de-DE"/>
        </w:rPr>
      </w:pPr>
    </w:p>
    <w:p w14:paraId="239ABAB9" w14:textId="77777777" w:rsidR="006E180F" w:rsidRPr="004676F5" w:rsidRDefault="006E180F" w:rsidP="006E180F">
      <w:pPr>
        <w:ind w:firstLine="708"/>
        <w:jc w:val="both"/>
        <w:rPr>
          <w:lang w:val="de-DE"/>
        </w:rPr>
      </w:pPr>
      <w:r w:rsidRPr="004676F5">
        <w:rPr>
          <w:lang w:val="de-DE"/>
        </w:rPr>
        <w:t>15. Zahlungssystem: System zum Transfer von Geldbeträgen mit formalen und standardisierten Regeln und einheitlichen Vorschriften für die Verarbeitung, das Clearing und/oder die Verrechnung von Zahlungsvorgängen,</w:t>
      </w:r>
    </w:p>
    <w:p w14:paraId="01FA0F3F" w14:textId="77777777" w:rsidR="006E180F" w:rsidRPr="004676F5" w:rsidRDefault="006E180F" w:rsidP="006E180F">
      <w:pPr>
        <w:ind w:firstLine="708"/>
        <w:jc w:val="both"/>
        <w:rPr>
          <w:lang w:val="de-DE"/>
        </w:rPr>
      </w:pPr>
    </w:p>
    <w:p w14:paraId="712794AA" w14:textId="77777777" w:rsidR="006E180F" w:rsidRPr="004676F5" w:rsidRDefault="006E180F" w:rsidP="006E180F">
      <w:pPr>
        <w:ind w:firstLine="708"/>
        <w:jc w:val="both"/>
        <w:rPr>
          <w:lang w:val="de-DE"/>
        </w:rPr>
      </w:pPr>
      <w:r w:rsidRPr="004676F5">
        <w:rPr>
          <w:lang w:val="de-DE"/>
        </w:rPr>
        <w:t>16. Rahmenvertrag: Zahlungsdienstvertrag, der die zukünftige Ausführung einzelner und aufeinander folgender Zahlungsvorgänge regelt und die Verpflichtung zur Einrichtung eines Zahlungskontos und die entsprechenden Bedingungen enthalten kann,</w:t>
      </w:r>
    </w:p>
    <w:p w14:paraId="167F211E" w14:textId="77777777" w:rsidR="006E180F" w:rsidRPr="004676F5" w:rsidRDefault="006E180F" w:rsidP="006E180F">
      <w:pPr>
        <w:ind w:firstLine="708"/>
        <w:jc w:val="both"/>
        <w:rPr>
          <w:lang w:val="de-DE"/>
        </w:rPr>
      </w:pPr>
    </w:p>
    <w:p w14:paraId="262640E9" w14:textId="10711E42" w:rsidR="006E180F" w:rsidRPr="004676F5" w:rsidRDefault="006E180F" w:rsidP="006E180F">
      <w:pPr>
        <w:ind w:firstLine="708"/>
        <w:jc w:val="both"/>
        <w:rPr>
          <w:lang w:val="de-DE"/>
        </w:rPr>
      </w:pPr>
      <w:r w:rsidRPr="004676F5">
        <w:rPr>
          <w:lang w:val="de-DE"/>
        </w:rPr>
        <w:t>17. Geschäftstag</w:t>
      </w:r>
      <w:r w:rsidR="00886976" w:rsidRPr="004676F5">
        <w:rPr>
          <w:lang w:val="de-DE"/>
        </w:rPr>
        <w:t>[, in den Titeln 1 bis 6]</w:t>
      </w:r>
      <w:r w:rsidRPr="004676F5">
        <w:rPr>
          <w:lang w:val="de-DE"/>
        </w:rPr>
        <w:t>: Tag, an dem der an der Ausführung eines Zahlungsvorgangs jeweils beteiligte Zahlungsdienstleister des Zahlers beziehungsweise des Zahlungsempfängers den für die Ausführung von Zahlungsvorgängen erforderlichen Geschäftsbetrieb unterhält,</w:t>
      </w:r>
    </w:p>
    <w:p w14:paraId="2494E949" w14:textId="77777777" w:rsidR="006E180F" w:rsidRPr="004676F5" w:rsidRDefault="006E180F" w:rsidP="006E180F">
      <w:pPr>
        <w:jc w:val="both"/>
        <w:rPr>
          <w:lang w:val="de-DE"/>
        </w:rPr>
      </w:pPr>
    </w:p>
    <w:p w14:paraId="7FC669A9" w14:textId="77777777" w:rsidR="006E180F" w:rsidRPr="004676F5" w:rsidRDefault="006E180F" w:rsidP="006E180F">
      <w:pPr>
        <w:ind w:firstLine="708"/>
        <w:jc w:val="both"/>
        <w:rPr>
          <w:lang w:val="de-DE"/>
        </w:rPr>
      </w:pPr>
      <w:r w:rsidRPr="004676F5">
        <w:rPr>
          <w:lang w:val="de-DE"/>
        </w:rPr>
        <w:t>18. Wertstellungsdatum: Zeitpunkt, den ein Zahlungsdienstleister für die Berechnung der Zinsen bei Gutschrift oder Belastung eines Betrags auf einem Zahlungskonto zugrunde legt,</w:t>
      </w:r>
    </w:p>
    <w:p w14:paraId="79D077EB" w14:textId="77777777" w:rsidR="006E180F" w:rsidRPr="004676F5" w:rsidRDefault="006E180F" w:rsidP="006E180F">
      <w:pPr>
        <w:ind w:firstLine="708"/>
        <w:jc w:val="both"/>
        <w:rPr>
          <w:lang w:val="de-DE"/>
        </w:rPr>
      </w:pPr>
    </w:p>
    <w:p w14:paraId="4D957891" w14:textId="77777777" w:rsidR="006E180F" w:rsidRPr="004676F5" w:rsidRDefault="006E180F" w:rsidP="006E180F">
      <w:pPr>
        <w:ind w:firstLine="708"/>
        <w:jc w:val="both"/>
        <w:rPr>
          <w:lang w:val="de-DE"/>
        </w:rPr>
      </w:pPr>
      <w:r w:rsidRPr="004676F5">
        <w:rPr>
          <w:lang w:val="de-DE"/>
        </w:rPr>
        <w:t>19. Referenzwechselkurs: Wechselkurs, der bei Währungsumtausch zugrunde gelegt und vom Zahlungsdienstleister zugänglich gemacht wird oder aus einer öffentlich zugänglichen Quelle stammt,</w:t>
      </w:r>
    </w:p>
    <w:p w14:paraId="7A3F38CD" w14:textId="77777777" w:rsidR="006E180F" w:rsidRPr="004676F5" w:rsidRDefault="006E180F" w:rsidP="006E180F">
      <w:pPr>
        <w:ind w:firstLine="708"/>
        <w:jc w:val="both"/>
        <w:rPr>
          <w:lang w:val="de-DE"/>
        </w:rPr>
      </w:pPr>
    </w:p>
    <w:p w14:paraId="6673006A" w14:textId="77777777" w:rsidR="006E180F" w:rsidRPr="004676F5" w:rsidRDefault="006E180F" w:rsidP="006E180F">
      <w:pPr>
        <w:ind w:firstLine="708"/>
        <w:jc w:val="both"/>
        <w:rPr>
          <w:lang w:val="de-DE"/>
        </w:rPr>
      </w:pPr>
      <w:r w:rsidRPr="004676F5">
        <w:rPr>
          <w:lang w:val="de-DE"/>
        </w:rPr>
        <w:t>20. Referenzzinssatz: Zinssatz, der bei der Zinsberechnung zugrunde gelegt wird und aus einer öffentlich zugänglichen und für beide Parteien eines Zahlungsdienstvertrags überprüfbaren Quelle stammt,</w:t>
      </w:r>
    </w:p>
    <w:p w14:paraId="64E3CABB" w14:textId="77777777" w:rsidR="006E180F" w:rsidRPr="004676F5" w:rsidRDefault="006E180F" w:rsidP="006E180F">
      <w:pPr>
        <w:ind w:firstLine="708"/>
        <w:jc w:val="both"/>
        <w:rPr>
          <w:lang w:val="de-DE"/>
        </w:rPr>
      </w:pPr>
    </w:p>
    <w:p w14:paraId="11E55B2D" w14:textId="77777777" w:rsidR="006E180F" w:rsidRPr="004676F5" w:rsidRDefault="006E180F" w:rsidP="006E180F">
      <w:pPr>
        <w:ind w:firstLine="708"/>
        <w:jc w:val="both"/>
        <w:rPr>
          <w:lang w:val="de-DE"/>
        </w:rPr>
      </w:pPr>
      <w:r w:rsidRPr="004676F5">
        <w:rPr>
          <w:lang w:val="de-DE"/>
        </w:rPr>
        <w:t>21. Fernkommunikationsmittel: Kommunikationsmittel, das ohne gleichzeitige körperliche Anwesenheit von Zahlungsdienstleister und Zahlungsdienstnutzer für den Abschluss eines Vertrags über die Erbringung von Zahlungsdiensten eingesetzt werden kann,</w:t>
      </w:r>
    </w:p>
    <w:p w14:paraId="26E78EC3" w14:textId="77777777" w:rsidR="006E180F" w:rsidRPr="004676F5" w:rsidRDefault="006E180F" w:rsidP="006E180F">
      <w:pPr>
        <w:ind w:firstLine="708"/>
        <w:jc w:val="both"/>
        <w:rPr>
          <w:lang w:val="de-DE"/>
        </w:rPr>
      </w:pPr>
    </w:p>
    <w:p w14:paraId="1C5C9846" w14:textId="7A6759F0" w:rsidR="006E180F" w:rsidRPr="004676F5" w:rsidRDefault="006E180F" w:rsidP="006E180F">
      <w:pPr>
        <w:ind w:firstLine="708"/>
        <w:jc w:val="both"/>
        <w:rPr>
          <w:lang w:val="de-DE"/>
        </w:rPr>
      </w:pPr>
      <w:r w:rsidRPr="004676F5">
        <w:rPr>
          <w:lang w:val="de-DE"/>
        </w:rPr>
        <w:t>22. </w:t>
      </w:r>
      <w:r w:rsidR="00D04E8C" w:rsidRPr="004676F5">
        <w:rPr>
          <w:lang w:val="de-DE"/>
        </w:rPr>
        <w:t>[...]</w:t>
      </w:r>
    </w:p>
    <w:p w14:paraId="274A6935" w14:textId="77777777" w:rsidR="006E180F" w:rsidRPr="004676F5" w:rsidRDefault="006E180F" w:rsidP="006E180F">
      <w:pPr>
        <w:ind w:firstLine="708"/>
        <w:jc w:val="both"/>
        <w:rPr>
          <w:lang w:val="de-DE"/>
        </w:rPr>
      </w:pPr>
    </w:p>
    <w:p w14:paraId="6CB2DD6F" w14:textId="77777777" w:rsidR="006E180F" w:rsidRPr="004676F5" w:rsidRDefault="006E180F" w:rsidP="006E180F">
      <w:pPr>
        <w:ind w:firstLine="708"/>
        <w:jc w:val="both"/>
        <w:rPr>
          <w:lang w:val="de-DE"/>
        </w:rPr>
      </w:pPr>
      <w:r w:rsidRPr="004676F5">
        <w:rPr>
          <w:lang w:val="de-DE"/>
        </w:rPr>
        <w:t>23. personalisiertes Sicherheitsmerkmal: technisches Mittel, das ein Zahlungsdienst</w:t>
      </w:r>
      <w:r w:rsidRPr="004676F5">
        <w:rPr>
          <w:lang w:val="de-DE"/>
        </w:rPr>
        <w:softHyphen/>
        <w:t>leister einem bestimmten Nutzer für die Nutzung eines Zahlungsinstruments zuweist. Dieses dem Zahlungsdienstnutzer eigene Mittel, für dessen sichere Aufbewahrung er zu sorgen hat, ermöglicht die Überprüfung der Nutzung eines bestimmten Zahlungsinstruments und dient zur Authentifizierung des Nutzers,</w:t>
      </w:r>
    </w:p>
    <w:p w14:paraId="24E5DA98" w14:textId="77777777" w:rsidR="006E180F" w:rsidRPr="004676F5" w:rsidRDefault="006E180F" w:rsidP="006E180F">
      <w:pPr>
        <w:ind w:firstLine="708"/>
        <w:jc w:val="both"/>
        <w:rPr>
          <w:lang w:val="de-DE"/>
        </w:rPr>
      </w:pPr>
    </w:p>
    <w:p w14:paraId="20FFC905" w14:textId="77777777" w:rsidR="006E180F" w:rsidRPr="004676F5" w:rsidRDefault="006E180F" w:rsidP="006E180F">
      <w:pPr>
        <w:ind w:firstLine="708"/>
        <w:jc w:val="both"/>
        <w:rPr>
          <w:lang w:val="de-DE"/>
        </w:rPr>
      </w:pPr>
      <w:r w:rsidRPr="004676F5">
        <w:rPr>
          <w:lang w:val="de-DE"/>
        </w:rPr>
        <w:t>24. Agent: natürliche oder juristische Person, die im Namen eines Zahlungsinstituts Zahlungsdienste ausführt,</w:t>
      </w:r>
    </w:p>
    <w:p w14:paraId="0FCF8974" w14:textId="77777777" w:rsidR="006E180F" w:rsidRPr="004676F5" w:rsidRDefault="006E180F" w:rsidP="006E180F">
      <w:pPr>
        <w:ind w:firstLine="708"/>
        <w:jc w:val="both"/>
        <w:rPr>
          <w:lang w:val="de-DE"/>
        </w:rPr>
      </w:pPr>
    </w:p>
    <w:p w14:paraId="27D8E94E" w14:textId="77777777" w:rsidR="006E180F" w:rsidRPr="004676F5" w:rsidRDefault="006E180F" w:rsidP="006E180F">
      <w:pPr>
        <w:ind w:firstLine="708"/>
        <w:jc w:val="both"/>
        <w:rPr>
          <w:lang w:val="de-DE"/>
        </w:rPr>
      </w:pPr>
      <w:r w:rsidRPr="004676F5">
        <w:rPr>
          <w:lang w:val="de-DE"/>
        </w:rPr>
        <w:t>25. Zweigniederlassung: Geschäftsstelle, die nicht die Hauptverwaltung ist und die einen Teil eines Zahlungsinstituts, eines Kreditgebers oder eines Kreditvermittlers bildet, die keine Rechtspersönlichkeit hat und unmittelbar sämtliche oder einen Teil der Geschäfte betreibt, die mit der Tätigkeit eines Zahlungsinstituts, eines Kreditgebers oder eines Kreditvermittlers verbunden sind; alle Geschäftsstellen eines Zahlungsinstituts, eines Kreditgebers oder eines Kreditvermittlers mit einer Hauptverwaltung in einem anderen Mitgliedstaat, die sich in ein und demselben Mitgliedstaat befinden, gelten als eine einzige Zweigniederlassung,</w:t>
      </w:r>
    </w:p>
    <w:p w14:paraId="477B17B9" w14:textId="77777777" w:rsidR="006E180F" w:rsidRPr="004676F5" w:rsidRDefault="006E180F" w:rsidP="006E180F">
      <w:pPr>
        <w:ind w:firstLine="708"/>
        <w:jc w:val="both"/>
        <w:rPr>
          <w:lang w:val="de-DE"/>
        </w:rPr>
      </w:pPr>
    </w:p>
    <w:p w14:paraId="5849EB7F" w14:textId="1AD7F40C" w:rsidR="006E180F" w:rsidRPr="004676F5" w:rsidRDefault="006E180F" w:rsidP="006E180F">
      <w:pPr>
        <w:ind w:firstLine="708"/>
        <w:jc w:val="both"/>
        <w:rPr>
          <w:lang w:val="de-DE"/>
        </w:rPr>
      </w:pPr>
      <w:r w:rsidRPr="004676F5">
        <w:rPr>
          <w:lang w:val="de-DE"/>
        </w:rPr>
        <w:t xml:space="preserve">26. elektronisches Geld: jeder elektronisch </w:t>
      </w:r>
      <w:r w:rsidR="005B7A5C" w:rsidRPr="004676F5">
        <w:rPr>
          <w:lang w:val="de-DE"/>
        </w:rPr>
        <w:t>- </w:t>
      </w:r>
      <w:r w:rsidRPr="004676F5">
        <w:rPr>
          <w:lang w:val="de-DE"/>
        </w:rPr>
        <w:t xml:space="preserve">darunter auch magnetisch </w:t>
      </w:r>
      <w:r w:rsidR="005B7A5C" w:rsidRPr="004676F5">
        <w:rPr>
          <w:lang w:val="de-DE"/>
        </w:rPr>
        <w:t>- </w:t>
      </w:r>
      <w:r w:rsidRPr="004676F5">
        <w:rPr>
          <w:lang w:val="de-DE"/>
        </w:rPr>
        <w:t>gespeicherte monetäre Wert in Form einer Forderung gegenüber dem Emittenten, der gegen Zahlung eines Geldbetrags ausgestellt wird, um damit Zahlungsvorgänge durchzuführen, und der auch von anderen natürlichen oder juristischen Personen als dem E-Geld-Emittenten angenommen wird,</w:t>
      </w:r>
    </w:p>
    <w:p w14:paraId="26DC586E" w14:textId="77777777" w:rsidR="006E180F" w:rsidRPr="004676F5" w:rsidRDefault="006E180F" w:rsidP="006E180F">
      <w:pPr>
        <w:ind w:firstLine="708"/>
        <w:jc w:val="both"/>
        <w:rPr>
          <w:lang w:val="de-DE"/>
        </w:rPr>
      </w:pPr>
    </w:p>
    <w:p w14:paraId="6E394003" w14:textId="409F7C3E" w:rsidR="006E180F" w:rsidRPr="004676F5" w:rsidRDefault="006E180F" w:rsidP="006E180F">
      <w:pPr>
        <w:ind w:firstLine="708"/>
        <w:jc w:val="both"/>
        <w:rPr>
          <w:lang w:val="de-DE"/>
        </w:rPr>
      </w:pPr>
      <w:r w:rsidRPr="004676F5">
        <w:rPr>
          <w:lang w:val="de-DE"/>
        </w:rPr>
        <w:t xml:space="preserve">27. E-Geld-Emittent: </w:t>
      </w:r>
      <w:r w:rsidR="00D528C7" w:rsidRPr="004676F5">
        <w:rPr>
          <w:lang w:val="de-DE"/>
        </w:rPr>
        <w:t>[in Artikel 2 Nr. 76 des Gesetzes vom 11. März 2018]</w:t>
      </w:r>
      <w:r w:rsidRPr="004676F5">
        <w:rPr>
          <w:lang w:val="de-DE"/>
        </w:rPr>
        <w:t xml:space="preserve"> erwähnter E-Geld-Emittent,</w:t>
      </w:r>
    </w:p>
    <w:p w14:paraId="25599AF1" w14:textId="77777777" w:rsidR="006E180F" w:rsidRPr="004676F5" w:rsidRDefault="006E180F" w:rsidP="006E180F">
      <w:pPr>
        <w:ind w:firstLine="708"/>
        <w:jc w:val="both"/>
        <w:rPr>
          <w:lang w:val="de-DE"/>
        </w:rPr>
      </w:pPr>
    </w:p>
    <w:p w14:paraId="7999E018" w14:textId="78788484" w:rsidR="006E180F" w:rsidRPr="004676F5" w:rsidRDefault="006E180F" w:rsidP="006E180F">
      <w:pPr>
        <w:ind w:firstLine="708"/>
        <w:jc w:val="both"/>
        <w:rPr>
          <w:lang w:val="de-DE"/>
        </w:rPr>
      </w:pPr>
      <w:r w:rsidRPr="004676F5">
        <w:rPr>
          <w:lang w:val="de-DE"/>
        </w:rPr>
        <w:t xml:space="preserve">28. E-Geld-Institut: </w:t>
      </w:r>
      <w:r w:rsidR="00D528C7" w:rsidRPr="004676F5">
        <w:rPr>
          <w:lang w:val="de-DE"/>
        </w:rPr>
        <w:t>[in Artikel 2 Nr. 73 des Gesetzes vom 11. März 2018]</w:t>
      </w:r>
      <w:r w:rsidRPr="004676F5">
        <w:rPr>
          <w:lang w:val="de-DE"/>
        </w:rPr>
        <w:t xml:space="preserve"> erwähntes E-Geld-Institut,</w:t>
      </w:r>
    </w:p>
    <w:p w14:paraId="1F37030A" w14:textId="77777777" w:rsidR="006E180F" w:rsidRPr="004676F5" w:rsidRDefault="006E180F" w:rsidP="006E180F">
      <w:pPr>
        <w:ind w:firstLine="708"/>
        <w:jc w:val="both"/>
        <w:rPr>
          <w:lang w:val="de-DE"/>
        </w:rPr>
      </w:pPr>
    </w:p>
    <w:p w14:paraId="1C7C5619" w14:textId="6A3E296F" w:rsidR="006E180F" w:rsidRPr="004676F5" w:rsidRDefault="006E180F" w:rsidP="006E180F">
      <w:pPr>
        <w:ind w:firstLine="708"/>
        <w:jc w:val="both"/>
        <w:rPr>
          <w:lang w:val="de-DE"/>
        </w:rPr>
      </w:pPr>
      <w:r w:rsidRPr="004676F5">
        <w:rPr>
          <w:lang w:val="de-DE"/>
        </w:rPr>
        <w:t>29. E-Geld-Inhaber: natürliche oder juristische Person, die einem E-Geld-Emittenten einen Geldbetrag für die Ausgabe von elektronischem Geld durch diesen Emittenten zahlt,</w:t>
      </w:r>
    </w:p>
    <w:p w14:paraId="68FFD126" w14:textId="77777777" w:rsidR="006E180F" w:rsidRPr="004676F5" w:rsidRDefault="006E180F" w:rsidP="006E180F">
      <w:pPr>
        <w:ind w:firstLine="708"/>
        <w:jc w:val="both"/>
        <w:rPr>
          <w:lang w:val="de-DE"/>
        </w:rPr>
      </w:pPr>
    </w:p>
    <w:p w14:paraId="3907975D" w14:textId="0D797EAF" w:rsidR="006E180F" w:rsidRPr="004676F5" w:rsidRDefault="006E180F" w:rsidP="006E180F">
      <w:pPr>
        <w:ind w:firstLine="708"/>
        <w:jc w:val="both"/>
        <w:rPr>
          <w:lang w:val="de-DE"/>
        </w:rPr>
      </w:pPr>
      <w:r w:rsidRPr="004676F5">
        <w:rPr>
          <w:lang w:val="de-DE"/>
        </w:rPr>
        <w:t>30. </w:t>
      </w:r>
      <w:r w:rsidR="00D528C7" w:rsidRPr="004676F5">
        <w:rPr>
          <w:lang w:val="de-DE"/>
        </w:rPr>
        <w:t>[Gesetz vom 11. März 2018: Gesetz vom 11. März 2018 über den Status und die Kontrolle der Zahlungsinstitute und der E-Geld-Institute, den Zugang zu der Tätigkeit als Zahlungsdienstleister, zu der Tätigkeit der Ausgabe von elektronischem Geld und den Zugang zu Zahlungssystemen,]</w:t>
      </w:r>
    </w:p>
    <w:p w14:paraId="7346AE96" w14:textId="77777777" w:rsidR="006E180F" w:rsidRPr="004676F5" w:rsidRDefault="006E180F" w:rsidP="006E180F">
      <w:pPr>
        <w:ind w:firstLine="708"/>
        <w:jc w:val="both"/>
        <w:rPr>
          <w:lang w:val="de-DE"/>
        </w:rPr>
      </w:pPr>
    </w:p>
    <w:p w14:paraId="79A4AE98" w14:textId="77777777" w:rsidR="006E180F" w:rsidRPr="004676F5" w:rsidRDefault="006E180F" w:rsidP="006E180F">
      <w:pPr>
        <w:ind w:firstLine="708"/>
        <w:jc w:val="both"/>
        <w:rPr>
          <w:lang w:val="de-DE"/>
        </w:rPr>
      </w:pPr>
      <w:r w:rsidRPr="004676F5">
        <w:rPr>
          <w:lang w:val="de-DE"/>
        </w:rPr>
        <w:t>31. Überweisung: auf Anweisung des Zahlers ausgelöster Zahlungsdienst zur Erteilung einer Gutschrift auf das Zahlungskonto des Zahlungsempfängers zu Lasten des Zahlungskontos des Zahlers in Ausführung eines oder mehrerer Zahlungsvorgänge durch den Zahlungsdienstleister, der das Zahlungskonto des Zahlers führt,</w:t>
      </w:r>
    </w:p>
    <w:p w14:paraId="3DCAF208" w14:textId="77777777" w:rsidR="006E180F" w:rsidRPr="004676F5" w:rsidRDefault="006E180F" w:rsidP="006E180F">
      <w:pPr>
        <w:ind w:firstLine="708"/>
        <w:jc w:val="both"/>
        <w:rPr>
          <w:lang w:val="de-DE"/>
        </w:rPr>
      </w:pPr>
    </w:p>
    <w:p w14:paraId="2DB3FDA4" w14:textId="7681B156" w:rsidR="006E180F" w:rsidRPr="004676F5" w:rsidRDefault="006E180F" w:rsidP="006E180F">
      <w:pPr>
        <w:ind w:firstLine="708"/>
        <w:jc w:val="both"/>
        <w:rPr>
          <w:lang w:val="de-DE"/>
        </w:rPr>
      </w:pPr>
      <w:r w:rsidRPr="004676F5">
        <w:rPr>
          <w:lang w:val="de-DE"/>
        </w:rPr>
        <w:t>32. </w:t>
      </w:r>
      <w:r w:rsidR="004B23A4" w:rsidRPr="004676F5">
        <w:rPr>
          <w:lang w:val="de-DE"/>
        </w:rPr>
        <w:t>[Verordnung (EU) Nr. 2021/1230: Verordnung (EU) Nr. 2021/1230 des Euro</w:t>
      </w:r>
      <w:r w:rsidR="004B23A4" w:rsidRPr="004676F5">
        <w:rPr>
          <w:lang w:val="de-DE"/>
        </w:rPr>
        <w:softHyphen/>
        <w:t>päischen Parlaments und des Rates vom 14. Juli 2021 über grenzüberschreitende Zahlungen in der Union,]</w:t>
      </w:r>
    </w:p>
    <w:p w14:paraId="6D164328" w14:textId="77777777" w:rsidR="006E180F" w:rsidRPr="004676F5" w:rsidRDefault="006E180F" w:rsidP="006E180F">
      <w:pPr>
        <w:ind w:firstLine="708"/>
        <w:jc w:val="both"/>
        <w:rPr>
          <w:lang w:val="de-DE"/>
        </w:rPr>
      </w:pPr>
    </w:p>
    <w:p w14:paraId="0A1B59C9" w14:textId="65F0B7C7" w:rsidR="006E180F" w:rsidRPr="004676F5" w:rsidRDefault="006E180F" w:rsidP="006E180F">
      <w:pPr>
        <w:ind w:firstLine="708"/>
        <w:jc w:val="both"/>
        <w:rPr>
          <w:lang w:val="de-DE"/>
        </w:rPr>
      </w:pPr>
      <w:r w:rsidRPr="004676F5">
        <w:rPr>
          <w:lang w:val="de-DE"/>
        </w:rPr>
        <w:t>33. Verordnung (EU) Nr. 260/2012: Verordnung (EU) Nr. 260/2012 des Europäischen Parlaments und des Rates vom 14. März 2012 zur Festlegung der technischen Vorschriften und der Geschäftsanforderungen für Überweisungen und Lastschriften in Euro und zur Änderung der Verordnung (EG) Nr. 924/2009,</w:t>
      </w:r>
    </w:p>
    <w:p w14:paraId="5EC74421" w14:textId="1D8D82FA" w:rsidR="00154AAA" w:rsidRPr="004676F5" w:rsidRDefault="00154AAA" w:rsidP="006E180F">
      <w:pPr>
        <w:ind w:firstLine="708"/>
        <w:jc w:val="both"/>
        <w:rPr>
          <w:lang w:val="de-DE"/>
        </w:rPr>
      </w:pPr>
    </w:p>
    <w:p w14:paraId="0452D1F4" w14:textId="224C3BCC" w:rsidR="00154AAA" w:rsidRPr="004676F5" w:rsidRDefault="00154AAA" w:rsidP="00154AAA">
      <w:pPr>
        <w:jc w:val="both"/>
        <w:rPr>
          <w:lang w:val="de-DE"/>
        </w:rPr>
      </w:pPr>
      <w:r w:rsidRPr="004676F5">
        <w:rPr>
          <w:lang w:val="de-DE"/>
        </w:rPr>
        <w:tab/>
        <w:t>[33/1. mit einem Zahlungskonto verbundene Dienste: alle Dienste im Zusammenhang mit der Eröffnung, dem Führen und dem Schließen eines Zahlungskontos einschließlich Zahlungsdiensten und Zahlungsvorgängen, die in Artikel VII.3 § 1 Nr. 7 erwähnt sind, sowie Überziehungsmöglichkeiten und Überschreitungen,</w:t>
      </w:r>
    </w:p>
    <w:p w14:paraId="784D3A08" w14:textId="77777777" w:rsidR="00154AAA" w:rsidRPr="004676F5" w:rsidRDefault="00154AAA" w:rsidP="00154AAA">
      <w:pPr>
        <w:jc w:val="both"/>
        <w:rPr>
          <w:lang w:val="de-DE"/>
        </w:rPr>
      </w:pPr>
    </w:p>
    <w:p w14:paraId="45B82E2E" w14:textId="77777777" w:rsidR="00154AAA" w:rsidRPr="004676F5" w:rsidRDefault="00154AAA" w:rsidP="00154AAA">
      <w:pPr>
        <w:jc w:val="both"/>
        <w:rPr>
          <w:lang w:val="de-DE"/>
        </w:rPr>
      </w:pPr>
      <w:r w:rsidRPr="004676F5">
        <w:rPr>
          <w:lang w:val="de-DE"/>
        </w:rPr>
        <w:tab/>
        <w:t>33/2. übertragender Zahlungsdienstleister: Zahlungsdienstleister, von dem die für die Durchführung eines Kontowechsels erforderlichen Informationen übertragen werden,</w:t>
      </w:r>
    </w:p>
    <w:p w14:paraId="45D07C7E" w14:textId="77777777" w:rsidR="00154AAA" w:rsidRPr="004676F5" w:rsidRDefault="00154AAA" w:rsidP="00154AAA">
      <w:pPr>
        <w:jc w:val="both"/>
        <w:rPr>
          <w:lang w:val="de-DE"/>
        </w:rPr>
      </w:pPr>
    </w:p>
    <w:p w14:paraId="6A44C92F" w14:textId="77777777" w:rsidR="00154AAA" w:rsidRPr="004676F5" w:rsidRDefault="00154AAA" w:rsidP="00154AAA">
      <w:pPr>
        <w:jc w:val="both"/>
        <w:rPr>
          <w:lang w:val="de-DE"/>
        </w:rPr>
      </w:pPr>
      <w:r w:rsidRPr="004676F5">
        <w:rPr>
          <w:lang w:val="de-DE"/>
        </w:rPr>
        <w:tab/>
        <w:t>33/3. empfangender Zahlungsdienstleister: Zahlungsdienstleister, an den die für die Durchführung eines Kontowechsels erforderlichen Informationen übertragen werden,</w:t>
      </w:r>
    </w:p>
    <w:p w14:paraId="6BE700FD" w14:textId="77777777" w:rsidR="00154AAA" w:rsidRPr="004676F5" w:rsidRDefault="00154AAA" w:rsidP="00154AAA">
      <w:pPr>
        <w:jc w:val="both"/>
        <w:rPr>
          <w:lang w:val="de-DE"/>
        </w:rPr>
      </w:pPr>
    </w:p>
    <w:p w14:paraId="181DDFDA" w14:textId="77777777" w:rsidR="00154AAA" w:rsidRPr="004676F5" w:rsidRDefault="00154AAA" w:rsidP="00154AAA">
      <w:pPr>
        <w:jc w:val="both"/>
        <w:rPr>
          <w:lang w:val="de-DE"/>
        </w:rPr>
      </w:pPr>
      <w:r w:rsidRPr="004676F5">
        <w:rPr>
          <w:lang w:val="de-DE"/>
        </w:rPr>
        <w:tab/>
        <w:t>33/4. Habenzinssatz: jeglicher Satz, zu dem Zinsen an den Verbraucher hinsichtlich seines Guthabens auf einem Zahlungskonto gezahlt werden,</w:t>
      </w:r>
    </w:p>
    <w:p w14:paraId="4D215E13" w14:textId="77777777" w:rsidR="00154AAA" w:rsidRPr="004676F5" w:rsidRDefault="00154AAA" w:rsidP="00154AAA">
      <w:pPr>
        <w:jc w:val="both"/>
        <w:rPr>
          <w:lang w:val="de-DE"/>
        </w:rPr>
      </w:pPr>
    </w:p>
    <w:p w14:paraId="1422DB5E" w14:textId="77777777" w:rsidR="00154AAA" w:rsidRPr="004676F5" w:rsidRDefault="00154AAA" w:rsidP="00154AAA">
      <w:pPr>
        <w:jc w:val="both"/>
        <w:rPr>
          <w:lang w:val="de-DE"/>
        </w:rPr>
      </w:pPr>
      <w:r w:rsidRPr="004676F5">
        <w:rPr>
          <w:lang w:val="de-DE"/>
        </w:rPr>
        <w:tab/>
        <w:t>33/5. Kontowechsel-Service: auf Wunsch eines Verbrauchers vorgenommene Übertragung von einem Zahlungsdienstleister zu einem anderen entweder der Informationen über alle oder bestimmte Dauerzahlungsaufträge und Überweisungen mit Memodatum, wiederkehrende Lastschriften und wiederkehrende eingehende Überweisungen auf einem Zahlungskonto oder jeglichen positiven Saldos von einem Zahlungskonto auf das andere oder beides, mit oder ohne Schließung des früheren Zahlungskontos, einschließlich der damit verbundenen Zahlungsinstrumente,</w:t>
      </w:r>
    </w:p>
    <w:p w14:paraId="18465E2C" w14:textId="77777777" w:rsidR="00154AAA" w:rsidRPr="004676F5" w:rsidRDefault="00154AAA" w:rsidP="00154AAA">
      <w:pPr>
        <w:jc w:val="both"/>
        <w:rPr>
          <w:lang w:val="de-DE"/>
        </w:rPr>
      </w:pPr>
    </w:p>
    <w:p w14:paraId="5E977A3A" w14:textId="77777777" w:rsidR="00154AAA" w:rsidRPr="004676F5" w:rsidRDefault="00154AAA" w:rsidP="00154AAA">
      <w:pPr>
        <w:jc w:val="both"/>
        <w:rPr>
          <w:lang w:val="de-DE"/>
        </w:rPr>
      </w:pPr>
      <w:r w:rsidRPr="004676F5">
        <w:rPr>
          <w:lang w:val="de-DE"/>
        </w:rPr>
        <w:tab/>
        <w:t>33/6. Dauerzahlungsauftrag: vom Zahler an den Zahlungsdienstleister, der das Konto führt, erteilte Anweisung, in regelmäßigen Abständen oder zu vorab festgelegten Terminen Überweisungen vorzunehmen,</w:t>
      </w:r>
    </w:p>
    <w:p w14:paraId="7438DE68" w14:textId="77777777" w:rsidR="00154AAA" w:rsidRPr="004676F5" w:rsidRDefault="00154AAA" w:rsidP="00154AAA">
      <w:pPr>
        <w:jc w:val="both"/>
        <w:rPr>
          <w:lang w:val="de-DE"/>
        </w:rPr>
      </w:pPr>
    </w:p>
    <w:p w14:paraId="44B925BB" w14:textId="77777777" w:rsidR="00154AAA" w:rsidRPr="004676F5" w:rsidRDefault="00154AAA" w:rsidP="00154AAA">
      <w:pPr>
        <w:jc w:val="both"/>
        <w:rPr>
          <w:lang w:val="de-DE"/>
        </w:rPr>
      </w:pPr>
      <w:r w:rsidRPr="004676F5">
        <w:rPr>
          <w:lang w:val="de-DE"/>
        </w:rPr>
        <w:tab/>
        <w:t>33/7. Überweisung mit Memodatum: Überweisung, bei der der Zahler ein zukünftiges Ausführungsdatum angegeben hat,</w:t>
      </w:r>
    </w:p>
    <w:p w14:paraId="0DE94AC8" w14:textId="77777777" w:rsidR="00154AAA" w:rsidRPr="004676F5" w:rsidRDefault="00154AAA" w:rsidP="00154AAA">
      <w:pPr>
        <w:jc w:val="both"/>
        <w:rPr>
          <w:lang w:val="de-DE"/>
        </w:rPr>
      </w:pPr>
    </w:p>
    <w:p w14:paraId="49E697F3" w14:textId="77777777" w:rsidR="00154AAA" w:rsidRPr="004676F5" w:rsidRDefault="00154AAA" w:rsidP="00154AAA">
      <w:pPr>
        <w:jc w:val="both"/>
        <w:rPr>
          <w:lang w:val="de-DE"/>
        </w:rPr>
      </w:pPr>
      <w:r w:rsidRPr="004676F5">
        <w:rPr>
          <w:lang w:val="de-DE"/>
        </w:rPr>
        <w:tab/>
        <w:t>33/8. Guthabenkarte: Kategorie eines Zahlungsinstruments, auf dem elektronisches Geld gespeichert werden kann,</w:t>
      </w:r>
    </w:p>
    <w:p w14:paraId="2E600F15" w14:textId="77777777" w:rsidR="00154AAA" w:rsidRPr="004676F5" w:rsidRDefault="00154AAA" w:rsidP="00154AAA">
      <w:pPr>
        <w:jc w:val="both"/>
        <w:rPr>
          <w:lang w:val="de-DE"/>
        </w:rPr>
      </w:pPr>
    </w:p>
    <w:p w14:paraId="58E67441" w14:textId="54CB9CD3" w:rsidR="00154AAA" w:rsidRPr="004676F5" w:rsidRDefault="00154AAA" w:rsidP="00154AAA">
      <w:pPr>
        <w:ind w:firstLine="708"/>
        <w:jc w:val="both"/>
        <w:rPr>
          <w:lang w:val="de-DE"/>
        </w:rPr>
      </w:pPr>
      <w:r w:rsidRPr="004676F5">
        <w:rPr>
          <w:lang w:val="de-DE"/>
        </w:rPr>
        <w:t>33/9. Verbraucher mit rechtmäßigem Aufenthalt in einem Mitgliedstaat: natürliche Personen, die aufgrund der europäischen oder nationalen Rechtsvorschriften das Recht auf Aufenthalt in einem Mitgliedstaat haben, einschließlich Verbrauchern ohne festen Wohnsitz, Verbrauchern ohne Aufenthaltstitel, die aber aus rechtlichen oder tatsächlichen Gründen nicht abgeschoben werden können, und Asylsuchenden im Sinne des Genfer Abkommens vom 28. Juli 1951 über die Rechtsstellung der Flüchtlinge, des dazugehörigen Protokolls vom 31. Januar 1967 und anderer einschlägiger völkerrechtlicher Verträge,]</w:t>
      </w:r>
    </w:p>
    <w:p w14:paraId="093D9AB7" w14:textId="1B6516FB" w:rsidR="00D528C7" w:rsidRPr="004676F5" w:rsidRDefault="00D528C7" w:rsidP="006E180F">
      <w:pPr>
        <w:ind w:firstLine="708"/>
        <w:jc w:val="both"/>
        <w:rPr>
          <w:lang w:val="de-DE"/>
        </w:rPr>
      </w:pPr>
    </w:p>
    <w:p w14:paraId="60ED25B9" w14:textId="77777777" w:rsidR="00D528C7" w:rsidRPr="004676F5" w:rsidRDefault="00D528C7" w:rsidP="00D528C7">
      <w:pPr>
        <w:ind w:firstLine="708"/>
        <w:jc w:val="both"/>
        <w:rPr>
          <w:lang w:val="de-DE"/>
        </w:rPr>
      </w:pPr>
      <w:r w:rsidRPr="004676F5">
        <w:rPr>
          <w:lang w:val="de-DE"/>
        </w:rPr>
        <w:t>[33/10. Fernzahlungsvorgang: Zahlungsvorgang, der über das Internet oder mittels eines Geräts, das für die Fernkommunikation verwendet werden kann, ausgelöst wird,</w:t>
      </w:r>
    </w:p>
    <w:p w14:paraId="04CD21A6" w14:textId="77777777" w:rsidR="00D528C7" w:rsidRPr="004676F5" w:rsidRDefault="00D528C7" w:rsidP="00D528C7">
      <w:pPr>
        <w:ind w:firstLine="708"/>
        <w:jc w:val="both"/>
        <w:rPr>
          <w:lang w:val="de-DE"/>
        </w:rPr>
      </w:pPr>
    </w:p>
    <w:p w14:paraId="4C907EF2" w14:textId="77777777" w:rsidR="00D528C7" w:rsidRPr="004676F5" w:rsidRDefault="00D528C7" w:rsidP="00D528C7">
      <w:pPr>
        <w:ind w:firstLine="708"/>
        <w:jc w:val="both"/>
        <w:rPr>
          <w:lang w:val="de-DE"/>
        </w:rPr>
      </w:pPr>
      <w:r w:rsidRPr="004676F5">
        <w:rPr>
          <w:lang w:val="de-DE"/>
        </w:rPr>
        <w:t>33/11. Zahlungsauslösedienst: Dienst, der auf Antrag des Zahlungsdienstnutzers einen Zahlungsauftrag in Bezug auf ein bei einem anderen Zahlungsdienstleister geführtes Zahlungskonto auslöst,</w:t>
      </w:r>
    </w:p>
    <w:p w14:paraId="5E62F91B" w14:textId="77777777" w:rsidR="00D528C7" w:rsidRPr="004676F5" w:rsidRDefault="00D528C7" w:rsidP="00D528C7">
      <w:pPr>
        <w:ind w:firstLine="708"/>
        <w:jc w:val="both"/>
        <w:rPr>
          <w:lang w:val="de-DE"/>
        </w:rPr>
      </w:pPr>
    </w:p>
    <w:p w14:paraId="15FB6FEE" w14:textId="77777777" w:rsidR="00D528C7" w:rsidRPr="004676F5" w:rsidRDefault="00D528C7" w:rsidP="00D528C7">
      <w:pPr>
        <w:ind w:firstLine="708"/>
        <w:jc w:val="both"/>
        <w:rPr>
          <w:lang w:val="de-DE"/>
        </w:rPr>
      </w:pPr>
      <w:r w:rsidRPr="004676F5">
        <w:rPr>
          <w:lang w:val="de-DE"/>
        </w:rPr>
        <w:lastRenderedPageBreak/>
        <w:t>33/12. Kontoinformationsdienst: Online-Dienst zur Mitteilung konsolidierter Informationen über ein Zahlungskonto oder mehrere Zahlungskonten, das/die ein Zahlungs</w:t>
      </w:r>
      <w:r w:rsidRPr="004676F5">
        <w:rPr>
          <w:lang w:val="de-DE"/>
        </w:rPr>
        <w:softHyphen/>
        <w:t>dienstnutzer entweder bei einem anderen Zahlungsdienstleister oder bei mehr als einem Zahlungsdienstleister hält,</w:t>
      </w:r>
    </w:p>
    <w:p w14:paraId="6A01BF3F" w14:textId="77777777" w:rsidR="00D528C7" w:rsidRPr="004676F5" w:rsidRDefault="00D528C7" w:rsidP="00D528C7">
      <w:pPr>
        <w:jc w:val="both"/>
        <w:rPr>
          <w:lang w:val="de-DE"/>
        </w:rPr>
      </w:pPr>
    </w:p>
    <w:p w14:paraId="6012C028" w14:textId="77777777" w:rsidR="00D528C7" w:rsidRPr="004676F5" w:rsidRDefault="00D528C7" w:rsidP="00D528C7">
      <w:pPr>
        <w:ind w:firstLine="708"/>
        <w:jc w:val="both"/>
        <w:rPr>
          <w:lang w:val="de-DE"/>
        </w:rPr>
      </w:pPr>
      <w:r w:rsidRPr="004676F5">
        <w:rPr>
          <w:lang w:val="de-DE"/>
        </w:rPr>
        <w:t>33/13. kontoführender Zahlungsdienstleister: Zahlungsdienstleister, der für einen Zahler ein Zahlungskonto bereitstellt und führt,</w:t>
      </w:r>
    </w:p>
    <w:p w14:paraId="4A62AA6D" w14:textId="77777777" w:rsidR="00D528C7" w:rsidRPr="004676F5" w:rsidRDefault="00D528C7" w:rsidP="00D528C7">
      <w:pPr>
        <w:ind w:firstLine="708"/>
        <w:jc w:val="both"/>
        <w:rPr>
          <w:lang w:val="de-DE"/>
        </w:rPr>
      </w:pPr>
    </w:p>
    <w:p w14:paraId="46310704" w14:textId="77777777" w:rsidR="00D528C7" w:rsidRPr="004676F5" w:rsidRDefault="00D528C7" w:rsidP="00D528C7">
      <w:pPr>
        <w:ind w:firstLine="708"/>
        <w:jc w:val="both"/>
        <w:rPr>
          <w:lang w:val="de-DE"/>
        </w:rPr>
      </w:pPr>
      <w:r w:rsidRPr="004676F5">
        <w:rPr>
          <w:lang w:val="de-DE"/>
        </w:rPr>
        <w:t>33/14. Zahlungsauslösedienstleister: Zahlungsdienstleister, der gewerbliche Tätigkeiten im Bereich der Zahlungsauslösedienste ausübt,</w:t>
      </w:r>
    </w:p>
    <w:p w14:paraId="61E7021D" w14:textId="77777777" w:rsidR="00D528C7" w:rsidRPr="004676F5" w:rsidRDefault="00D528C7" w:rsidP="00D528C7">
      <w:pPr>
        <w:ind w:firstLine="708"/>
        <w:jc w:val="both"/>
        <w:rPr>
          <w:lang w:val="de-DE"/>
        </w:rPr>
      </w:pPr>
    </w:p>
    <w:p w14:paraId="7648EE52" w14:textId="77777777" w:rsidR="00D528C7" w:rsidRPr="004676F5" w:rsidRDefault="00D528C7" w:rsidP="00D528C7">
      <w:pPr>
        <w:ind w:firstLine="708"/>
        <w:jc w:val="both"/>
        <w:rPr>
          <w:lang w:val="de-DE"/>
        </w:rPr>
      </w:pPr>
      <w:r w:rsidRPr="004676F5">
        <w:rPr>
          <w:lang w:val="de-DE"/>
        </w:rPr>
        <w:t>33/15. Kontoinformationsdienstleister: Zahlungsdienstleister, der gewerbliche Tätig</w:t>
      </w:r>
      <w:r w:rsidRPr="004676F5">
        <w:rPr>
          <w:lang w:val="de-DE"/>
        </w:rPr>
        <w:softHyphen/>
        <w:t>keiten im Bereich der Kontoinformationsdienste ausübt,</w:t>
      </w:r>
    </w:p>
    <w:p w14:paraId="66EBAD2F" w14:textId="77777777" w:rsidR="00D528C7" w:rsidRPr="004676F5" w:rsidRDefault="00D528C7" w:rsidP="00D528C7">
      <w:pPr>
        <w:ind w:firstLine="708"/>
        <w:jc w:val="both"/>
        <w:rPr>
          <w:lang w:val="de-DE"/>
        </w:rPr>
      </w:pPr>
    </w:p>
    <w:p w14:paraId="7A5FC567" w14:textId="77777777" w:rsidR="00D528C7" w:rsidRPr="004676F5" w:rsidRDefault="00D528C7" w:rsidP="00D528C7">
      <w:pPr>
        <w:ind w:firstLine="708"/>
        <w:jc w:val="both"/>
        <w:rPr>
          <w:lang w:val="de-DE"/>
        </w:rPr>
      </w:pPr>
      <w:r w:rsidRPr="004676F5">
        <w:rPr>
          <w:lang w:val="de-DE"/>
        </w:rPr>
        <w:t>33/16. starke Kundenauthentifizierung: Authentifizierung unter Heranziehung von mindestens zwei Elementen der Kategorien "Wissen" (etwas, das nur der Nutzer weiß), "Besitz" (etwas, das nur der Nutzer besitzt) oder "Inhärenz" (etwas, das der Nutzer ist), die insofern voneinander unabhängig sind, als die Nichterfüllung eines Kriteriums die Zuverlässigkeit der anderen nicht in Frage stellt, und die so konzipiert ist, dass die Vertraulichkeit der Authentifizierungsdaten geschützt ist,</w:t>
      </w:r>
    </w:p>
    <w:p w14:paraId="4724FEBF" w14:textId="77777777" w:rsidR="00D528C7" w:rsidRPr="004676F5" w:rsidRDefault="00D528C7" w:rsidP="00D528C7">
      <w:pPr>
        <w:jc w:val="both"/>
        <w:rPr>
          <w:lang w:val="de-DE"/>
        </w:rPr>
      </w:pPr>
    </w:p>
    <w:p w14:paraId="714DC8D0" w14:textId="77777777" w:rsidR="00D528C7" w:rsidRPr="004676F5" w:rsidRDefault="00D528C7" w:rsidP="00D528C7">
      <w:pPr>
        <w:ind w:firstLine="708"/>
        <w:jc w:val="both"/>
        <w:rPr>
          <w:lang w:val="de-DE"/>
        </w:rPr>
      </w:pPr>
      <w:r w:rsidRPr="004676F5">
        <w:rPr>
          <w:lang w:val="de-DE"/>
        </w:rPr>
        <w:t>33/17. personalisierte Sicherheitsmerkmale: personalisierte Merkmale, die der Zahlungs</w:t>
      </w:r>
      <w:r w:rsidRPr="004676F5">
        <w:rPr>
          <w:lang w:val="de-DE"/>
        </w:rPr>
        <w:softHyphen/>
        <w:t>dienstleister einem Zahlungsdienstnutzer zum Zwecke der Authentifizierung bereit</w:t>
      </w:r>
      <w:r w:rsidRPr="004676F5">
        <w:rPr>
          <w:lang w:val="de-DE"/>
        </w:rPr>
        <w:softHyphen/>
        <w:t>stellt,</w:t>
      </w:r>
    </w:p>
    <w:p w14:paraId="501DD530" w14:textId="77777777" w:rsidR="00D528C7" w:rsidRPr="004676F5" w:rsidRDefault="00D528C7" w:rsidP="00D528C7">
      <w:pPr>
        <w:ind w:firstLine="708"/>
        <w:jc w:val="both"/>
        <w:rPr>
          <w:lang w:val="de-DE"/>
        </w:rPr>
      </w:pPr>
    </w:p>
    <w:p w14:paraId="23887592" w14:textId="77777777" w:rsidR="00D528C7" w:rsidRPr="004676F5" w:rsidRDefault="00D528C7" w:rsidP="00D528C7">
      <w:pPr>
        <w:ind w:firstLine="708"/>
        <w:jc w:val="both"/>
        <w:rPr>
          <w:lang w:val="de-DE"/>
        </w:rPr>
      </w:pPr>
      <w:r w:rsidRPr="004676F5">
        <w:rPr>
          <w:lang w:val="de-DE"/>
        </w:rPr>
        <w:t>33/18. sensible Zahlungsdaten: Daten, einschließlich personalisierter Sicherheits</w:t>
      </w:r>
      <w:r w:rsidRPr="004676F5">
        <w:rPr>
          <w:lang w:val="de-DE"/>
        </w:rPr>
        <w:softHyphen/>
        <w:t>merkmale, die für betrügerische Handlungen verwendet werden können. Für die Tätigkeiten von Zahlungsauslösedienstleistern und Kontoinformationsdienstleistern stellen der Name des Kontoinhabers und die Kontonummer keine sensiblen Zahlungsdaten dar,</w:t>
      </w:r>
    </w:p>
    <w:p w14:paraId="4513216E" w14:textId="77777777" w:rsidR="00D528C7" w:rsidRPr="004676F5" w:rsidRDefault="00D528C7" w:rsidP="00D528C7">
      <w:pPr>
        <w:jc w:val="both"/>
        <w:rPr>
          <w:lang w:val="de-DE"/>
        </w:rPr>
      </w:pPr>
    </w:p>
    <w:p w14:paraId="09F64611" w14:textId="77777777" w:rsidR="00D528C7" w:rsidRPr="004676F5" w:rsidRDefault="00D528C7" w:rsidP="00D528C7">
      <w:pPr>
        <w:ind w:firstLine="708"/>
        <w:jc w:val="both"/>
        <w:rPr>
          <w:lang w:val="de-DE"/>
        </w:rPr>
      </w:pPr>
      <w:r w:rsidRPr="004676F5">
        <w:rPr>
          <w:lang w:val="de-DE"/>
        </w:rPr>
        <w:t>33/19. elektronisches Kommunikationsnetz: Netz im Sinne von Artikel 2 Nr. 3 des Gesetzes vom 13. Juni 2005 über die elektronische Kommunikation,</w:t>
      </w:r>
    </w:p>
    <w:p w14:paraId="47EAAA21" w14:textId="77777777" w:rsidR="00D528C7" w:rsidRPr="004676F5" w:rsidRDefault="00D528C7" w:rsidP="00D528C7">
      <w:pPr>
        <w:ind w:firstLine="708"/>
        <w:jc w:val="both"/>
        <w:rPr>
          <w:lang w:val="de-DE"/>
        </w:rPr>
      </w:pPr>
    </w:p>
    <w:p w14:paraId="108D976C" w14:textId="77777777" w:rsidR="00D528C7" w:rsidRPr="004676F5" w:rsidRDefault="00D528C7" w:rsidP="00D528C7">
      <w:pPr>
        <w:ind w:firstLine="708"/>
        <w:jc w:val="both"/>
        <w:rPr>
          <w:lang w:val="de-DE"/>
        </w:rPr>
      </w:pPr>
      <w:r w:rsidRPr="004676F5">
        <w:rPr>
          <w:lang w:val="de-DE"/>
        </w:rPr>
        <w:t>33/20. elektronischer Kommunikationsdienst: Dienst im Sinne von Artikel 2 Nr. 5 des Gesetzes vom 13. Juni 2005 über die elektronische Kommunikation,</w:t>
      </w:r>
    </w:p>
    <w:p w14:paraId="22F6BF23" w14:textId="77777777" w:rsidR="00D528C7" w:rsidRPr="004676F5" w:rsidRDefault="00D528C7" w:rsidP="00D528C7">
      <w:pPr>
        <w:ind w:firstLine="708"/>
        <w:jc w:val="both"/>
        <w:rPr>
          <w:lang w:val="de-DE"/>
        </w:rPr>
      </w:pPr>
    </w:p>
    <w:p w14:paraId="6F0F5E54" w14:textId="77777777" w:rsidR="00D528C7" w:rsidRPr="004676F5" w:rsidRDefault="00D528C7" w:rsidP="00D528C7">
      <w:pPr>
        <w:ind w:firstLine="708"/>
        <w:jc w:val="both"/>
        <w:rPr>
          <w:lang w:val="de-DE"/>
        </w:rPr>
      </w:pPr>
      <w:r w:rsidRPr="004676F5">
        <w:rPr>
          <w:lang w:val="de-DE"/>
        </w:rPr>
        <w:t>33/21. digitale Inhalte: Waren oder Dienstleistungen, die in digitaler Form hergestellt und bereitgestellt werden, deren Nutzung oder Verbrauch auf ein technisches Gerät beschränkt ist und die in keiner Weise die Nutzung oder den Verbrauch von Waren oder Dienstleistungen in physischer Form einschließen,</w:t>
      </w:r>
    </w:p>
    <w:p w14:paraId="3BA2BAB2" w14:textId="77777777" w:rsidR="00D528C7" w:rsidRPr="004676F5" w:rsidRDefault="00D528C7" w:rsidP="00D528C7">
      <w:pPr>
        <w:ind w:firstLine="708"/>
        <w:jc w:val="both"/>
        <w:rPr>
          <w:lang w:val="de-DE"/>
        </w:rPr>
      </w:pPr>
    </w:p>
    <w:p w14:paraId="6CE11401" w14:textId="77777777" w:rsidR="00D528C7" w:rsidRPr="004676F5" w:rsidRDefault="00D528C7" w:rsidP="00D528C7">
      <w:pPr>
        <w:ind w:firstLine="708"/>
        <w:jc w:val="both"/>
        <w:rPr>
          <w:lang w:val="de-DE"/>
        </w:rPr>
      </w:pPr>
      <w:r w:rsidRPr="004676F5">
        <w:rPr>
          <w:lang w:val="de-DE"/>
        </w:rPr>
        <w:t>33/22. Annahme und Abrechnung von Zahlungsvorgängen (Acquiring): den Transfer von Geldbeträgen zum Zahlungsempfänger bewirkender Zahlungsdienst eines Zahlungsdienst</w:t>
      </w:r>
      <w:r w:rsidRPr="004676F5">
        <w:rPr>
          <w:lang w:val="de-DE"/>
        </w:rPr>
        <w:softHyphen/>
        <w:t>leisters, der mit einem Zahlungsempfänger eine vertragliche Vereinbarung über die Annahme und die Verarbeitung von Zahlungsvorgängen schließt,</w:t>
      </w:r>
    </w:p>
    <w:p w14:paraId="11C9664C" w14:textId="77777777" w:rsidR="00D528C7" w:rsidRPr="004676F5" w:rsidRDefault="00D528C7" w:rsidP="00D528C7">
      <w:pPr>
        <w:ind w:firstLine="708"/>
        <w:jc w:val="both"/>
        <w:rPr>
          <w:lang w:val="de-DE"/>
        </w:rPr>
      </w:pPr>
    </w:p>
    <w:p w14:paraId="766635DE" w14:textId="77777777" w:rsidR="00D528C7" w:rsidRPr="004676F5" w:rsidRDefault="00D528C7" w:rsidP="00D528C7">
      <w:pPr>
        <w:ind w:firstLine="708"/>
        <w:jc w:val="both"/>
        <w:rPr>
          <w:lang w:val="de-DE"/>
        </w:rPr>
      </w:pPr>
      <w:r w:rsidRPr="004676F5">
        <w:rPr>
          <w:lang w:val="de-DE"/>
        </w:rPr>
        <w:t>33/23. Ausgabe von Zahlungsinstrumenten: Zahlungsdienst, bei dem ein Zahlungs</w:t>
      </w:r>
      <w:r w:rsidRPr="004676F5">
        <w:rPr>
          <w:lang w:val="de-DE"/>
        </w:rPr>
        <w:softHyphen/>
        <w:t>dienstleister eine vertragliche Vereinbarung schließt, um einem Zahler ein Zahlungsinstrument zur Auslösung und Verarbeitung der Zahlungsvorgänge des Zahlers zur Verfügung zu stellen,</w:t>
      </w:r>
    </w:p>
    <w:p w14:paraId="4A2D71B2" w14:textId="77777777" w:rsidR="00D528C7" w:rsidRPr="004676F5" w:rsidRDefault="00D528C7" w:rsidP="00D528C7">
      <w:pPr>
        <w:ind w:firstLine="708"/>
        <w:jc w:val="both"/>
        <w:rPr>
          <w:lang w:val="de-DE"/>
        </w:rPr>
      </w:pPr>
    </w:p>
    <w:p w14:paraId="4C6F90CE" w14:textId="77777777" w:rsidR="00D528C7" w:rsidRPr="004676F5" w:rsidRDefault="00D528C7" w:rsidP="00D528C7">
      <w:pPr>
        <w:ind w:firstLine="708"/>
        <w:jc w:val="both"/>
        <w:rPr>
          <w:lang w:val="de-DE"/>
        </w:rPr>
      </w:pPr>
      <w:r w:rsidRPr="004676F5">
        <w:rPr>
          <w:lang w:val="de-DE"/>
        </w:rPr>
        <w:lastRenderedPageBreak/>
        <w:t>33/24. Zahlungsmarke: realer oder digitaler Name, realer oder digitaler Begriff, reales oder digitales Zeichen, reales oder digitales Symbol oder Kombination davon, mittels dem/der bezeichnet werden kann, unter welchem Zahlungskartensystem kartengebundene Zahlungs</w:t>
      </w:r>
      <w:r w:rsidRPr="004676F5">
        <w:rPr>
          <w:lang w:val="de-DE"/>
        </w:rPr>
        <w:softHyphen/>
        <w:t>vorgänge ausgeführt werden,</w:t>
      </w:r>
    </w:p>
    <w:p w14:paraId="6F131230" w14:textId="77777777" w:rsidR="00D528C7" w:rsidRPr="004676F5" w:rsidRDefault="00D528C7" w:rsidP="00D528C7">
      <w:pPr>
        <w:ind w:firstLine="708"/>
        <w:jc w:val="both"/>
        <w:rPr>
          <w:lang w:val="de-DE"/>
        </w:rPr>
      </w:pPr>
    </w:p>
    <w:p w14:paraId="102F4D04" w14:textId="282F9DE6" w:rsidR="00D528C7" w:rsidRPr="004676F5" w:rsidRDefault="00D528C7" w:rsidP="00D528C7">
      <w:pPr>
        <w:ind w:firstLine="708"/>
        <w:jc w:val="both"/>
        <w:rPr>
          <w:lang w:val="de-DE"/>
        </w:rPr>
      </w:pPr>
      <w:r w:rsidRPr="004676F5">
        <w:rPr>
          <w:lang w:val="de-DE"/>
        </w:rPr>
        <w:t>33/25. Co-badging: Aufnehmen von zwei oder mehr Zahlungsmarken oder Zahlungs</w:t>
      </w:r>
      <w:r w:rsidRPr="004676F5">
        <w:rPr>
          <w:lang w:val="de-DE"/>
        </w:rPr>
        <w:softHyphen/>
        <w:t>anwendungen derselben Zahlungsmarke auf dasselbe Zahlungsinstrument,]</w:t>
      </w:r>
    </w:p>
    <w:p w14:paraId="1549E872" w14:textId="77777777" w:rsidR="00D528C7" w:rsidRPr="004676F5" w:rsidRDefault="00D528C7" w:rsidP="006E180F">
      <w:pPr>
        <w:ind w:firstLine="708"/>
        <w:jc w:val="both"/>
        <w:rPr>
          <w:lang w:val="de-DE"/>
        </w:rPr>
      </w:pPr>
    </w:p>
    <w:p w14:paraId="59B7DF73" w14:textId="45C9389A" w:rsidR="006E180F" w:rsidRPr="004676F5" w:rsidRDefault="006E180F" w:rsidP="00D528C7">
      <w:pPr>
        <w:ind w:firstLine="708"/>
        <w:jc w:val="both"/>
        <w:rPr>
          <w:lang w:val="de-DE"/>
        </w:rPr>
      </w:pPr>
      <w:r w:rsidRPr="004676F5">
        <w:rPr>
          <w:lang w:val="de-DE"/>
        </w:rPr>
        <w:t xml:space="preserve">34. Kreditgeber: natürliche oder juristische Person, die im Rahmen ihrer gewerblichen oder beruflichen Tätigkeit einen Kredit gewährt, mit Ausnahme der Person, die einen Kreditvertrag anbietet oder abschließt, wenn dieser Vertrag Gegenstand einer sofortigen Abtretung oder Übertragung zugunsten eines im Vertrag bestimmten zugelassenen oder registrierten Kreditgebers ist, </w:t>
      </w:r>
    </w:p>
    <w:p w14:paraId="7E041D1C" w14:textId="77777777" w:rsidR="006E180F" w:rsidRPr="004676F5" w:rsidRDefault="006E180F" w:rsidP="006E180F">
      <w:pPr>
        <w:jc w:val="both"/>
        <w:rPr>
          <w:lang w:val="de-DE"/>
        </w:rPr>
      </w:pPr>
    </w:p>
    <w:p w14:paraId="7686135C" w14:textId="77777777" w:rsidR="0022045D" w:rsidRPr="004676F5" w:rsidRDefault="006E180F" w:rsidP="0022045D">
      <w:pPr>
        <w:ind w:firstLine="708"/>
        <w:jc w:val="both"/>
        <w:rPr>
          <w:lang w:val="de-DE"/>
        </w:rPr>
      </w:pPr>
      <w:r w:rsidRPr="004676F5">
        <w:rPr>
          <w:lang w:val="de-DE"/>
        </w:rPr>
        <w:t>35. </w:t>
      </w:r>
      <w:r w:rsidR="0022045D" w:rsidRPr="004676F5">
        <w:rPr>
          <w:lang w:val="de-DE"/>
        </w:rPr>
        <w:t>[Kreditvermittler: juristische Person oder als Selbständiger im Sinne der sozialen Rechtsvorschriften arbeitende natürliche Person, die nicht als Kreditgeber handelt und die in Ausübung ihrer gewerblichen oder beruflichen Tätigkeit gegen ein Entgelt, das aus einer Geldzahlung oder einem sonstigen vereinbarten wirtschaftlichen Vorteil bestehen kann, Kreditvermittlungstätigkeiten ausübt.</w:t>
      </w:r>
    </w:p>
    <w:p w14:paraId="10A1A7DC" w14:textId="77777777" w:rsidR="0022045D" w:rsidRPr="004676F5" w:rsidRDefault="0022045D" w:rsidP="0022045D">
      <w:pPr>
        <w:ind w:firstLine="708"/>
        <w:jc w:val="both"/>
        <w:rPr>
          <w:lang w:val="de-DE"/>
        </w:rPr>
      </w:pPr>
    </w:p>
    <w:p w14:paraId="1C85ACB8" w14:textId="24B16B14" w:rsidR="006E180F" w:rsidRPr="004676F5" w:rsidRDefault="0022045D" w:rsidP="0022045D">
      <w:pPr>
        <w:ind w:firstLine="708"/>
        <w:jc w:val="both"/>
        <w:rPr>
          <w:lang w:val="de-DE"/>
        </w:rPr>
      </w:pPr>
      <w:r w:rsidRPr="004676F5">
        <w:rPr>
          <w:lang w:val="de-DE"/>
        </w:rPr>
        <w:t>Diesem gleichgestellt werden Personen, die Kreditverträge anbieten oder gewähren, wenn diese Verträge Gegenstand einer sofortigen Abtretung oder Übertragung zugunsten eines anderen, im Vertrag bestimmten zugelassenen oder registrierten Kreditgebers sind,]</w:t>
      </w:r>
    </w:p>
    <w:p w14:paraId="4F3FCF48" w14:textId="77777777" w:rsidR="006E180F" w:rsidRPr="004676F5" w:rsidRDefault="006E180F" w:rsidP="006E180F">
      <w:pPr>
        <w:ind w:firstLine="708"/>
        <w:jc w:val="both"/>
        <w:rPr>
          <w:lang w:val="de-DE"/>
        </w:rPr>
      </w:pPr>
    </w:p>
    <w:p w14:paraId="5DFFDF16" w14:textId="77777777" w:rsidR="009335EE" w:rsidRPr="004676F5" w:rsidRDefault="009335EE" w:rsidP="009335EE">
      <w:pPr>
        <w:jc w:val="both"/>
        <w:rPr>
          <w:lang w:val="de-DE" w:bidi="de-DE"/>
        </w:rPr>
      </w:pPr>
      <w:r w:rsidRPr="004676F5">
        <w:rPr>
          <w:lang w:val="de-DE"/>
        </w:rPr>
        <w:tab/>
      </w:r>
      <w:r w:rsidR="006E180F" w:rsidRPr="004676F5">
        <w:rPr>
          <w:lang w:val="de-DE"/>
        </w:rPr>
        <w:t xml:space="preserve">36. </w:t>
      </w:r>
      <w:r w:rsidRPr="004676F5">
        <w:rPr>
          <w:lang w:val="de-DE"/>
        </w:rPr>
        <w:t>[</w:t>
      </w:r>
      <w:r w:rsidRPr="004676F5">
        <w:rPr>
          <w:lang w:val="de-DE" w:bidi="de-DE"/>
        </w:rPr>
        <w:t>vertraglich gebundener Vermittler: Kreditvermittler, der handelt für Rechnung und unter unbeschränkter und vorbehaltloser Haftung:</w:t>
      </w:r>
    </w:p>
    <w:p w14:paraId="3C1E3858" w14:textId="77777777" w:rsidR="009335EE" w:rsidRPr="004676F5" w:rsidRDefault="009335EE" w:rsidP="009335EE">
      <w:pPr>
        <w:jc w:val="both"/>
        <w:rPr>
          <w:lang w:val="de-DE" w:bidi="de-DE"/>
        </w:rPr>
      </w:pPr>
    </w:p>
    <w:p w14:paraId="6E644A47" w14:textId="77777777" w:rsidR="009335EE" w:rsidRPr="004676F5" w:rsidRDefault="009335EE" w:rsidP="009335EE">
      <w:pPr>
        <w:jc w:val="both"/>
        <w:rPr>
          <w:lang w:val="de-DE" w:bidi="de-DE"/>
        </w:rPr>
      </w:pPr>
      <w:r w:rsidRPr="004676F5">
        <w:rPr>
          <w:i/>
          <w:lang w:val="de-DE" w:bidi="de-DE"/>
        </w:rPr>
        <w:tab/>
        <w:t>a)</w:t>
      </w:r>
      <w:r w:rsidRPr="004676F5">
        <w:rPr>
          <w:lang w:val="de-DE" w:bidi="de-DE"/>
        </w:rPr>
        <w:t> eines einzigen Kreditgebers,</w:t>
      </w:r>
    </w:p>
    <w:p w14:paraId="18827C7B" w14:textId="77777777" w:rsidR="009335EE" w:rsidRPr="004676F5" w:rsidRDefault="009335EE" w:rsidP="009335EE">
      <w:pPr>
        <w:jc w:val="both"/>
        <w:rPr>
          <w:lang w:val="de-DE" w:bidi="de-DE"/>
        </w:rPr>
      </w:pPr>
    </w:p>
    <w:p w14:paraId="60EE49BB" w14:textId="77777777" w:rsidR="006E180F" w:rsidRPr="004676F5" w:rsidRDefault="009335EE" w:rsidP="009335EE">
      <w:pPr>
        <w:ind w:firstLine="708"/>
        <w:jc w:val="both"/>
        <w:rPr>
          <w:lang w:val="de-DE"/>
        </w:rPr>
      </w:pPr>
      <w:r w:rsidRPr="004676F5">
        <w:rPr>
          <w:i/>
          <w:lang w:val="de-DE" w:bidi="de-DE"/>
        </w:rPr>
        <w:t>b)</w:t>
      </w:r>
      <w:r w:rsidRPr="004676F5">
        <w:rPr>
          <w:lang w:val="de-DE" w:bidi="de-DE"/>
        </w:rPr>
        <w:t> mehrerer einer selben Gruppe angehörender Kreditgeber,</w:t>
      </w:r>
      <w:r w:rsidRPr="004676F5">
        <w:rPr>
          <w:lang w:val="de-DE"/>
        </w:rPr>
        <w:t>]</w:t>
      </w:r>
    </w:p>
    <w:p w14:paraId="308F7CFA" w14:textId="77777777" w:rsidR="006E180F" w:rsidRPr="004676F5" w:rsidRDefault="006E180F" w:rsidP="006E180F">
      <w:pPr>
        <w:ind w:firstLine="708"/>
        <w:jc w:val="both"/>
        <w:rPr>
          <w:lang w:val="de-DE"/>
        </w:rPr>
      </w:pPr>
    </w:p>
    <w:p w14:paraId="0BBA47D5" w14:textId="77777777" w:rsidR="006E180F" w:rsidRPr="004676F5" w:rsidRDefault="006E180F" w:rsidP="006E180F">
      <w:pPr>
        <w:ind w:firstLine="708"/>
        <w:jc w:val="both"/>
        <w:rPr>
          <w:lang w:val="de-DE"/>
        </w:rPr>
      </w:pPr>
      <w:r w:rsidRPr="004676F5">
        <w:rPr>
          <w:lang w:val="de-DE"/>
        </w:rPr>
        <w:t>37. </w:t>
      </w:r>
      <w:r w:rsidR="00A87A99" w:rsidRPr="004676F5">
        <w:rPr>
          <w:lang w:val="de-DE"/>
        </w:rPr>
        <w:t>[Kreditmakler: Kreditvermittler, der kein vertraglich gebundener Vermittler, Vermittlungsvertreter oder nebenberuflicher Vertreter ist und seine Vermittlungstätigkeiten außerhalb jeglichen Alleinvertretervertrags oder jeglicher anderen rechtlichen Verpflichtung ausübt, die ihn dazu verpflichten würden, die Gesamtheit oder einen bestimmten Teil seiner Produktion bei einem oder mehreren Kreditgebern zu platzieren,]</w:t>
      </w:r>
    </w:p>
    <w:p w14:paraId="04627506" w14:textId="77777777" w:rsidR="006E180F" w:rsidRPr="004676F5" w:rsidRDefault="006E180F" w:rsidP="006E180F">
      <w:pPr>
        <w:ind w:firstLine="708"/>
        <w:jc w:val="both"/>
        <w:rPr>
          <w:lang w:val="de-DE"/>
        </w:rPr>
      </w:pPr>
    </w:p>
    <w:p w14:paraId="503014F6" w14:textId="77777777" w:rsidR="006E180F" w:rsidRPr="004676F5" w:rsidRDefault="006E180F" w:rsidP="006E180F">
      <w:pPr>
        <w:ind w:firstLine="708"/>
        <w:jc w:val="both"/>
        <w:rPr>
          <w:lang w:val="de-DE"/>
        </w:rPr>
      </w:pPr>
      <w:r w:rsidRPr="004676F5">
        <w:rPr>
          <w:lang w:val="de-DE"/>
        </w:rPr>
        <w:t>38. Gruppe: Gruppe von Kreditgebern, die zum Zweck der Erstellung eines konsolidierten Abschlusses im Sinne der Richtlinie 2013/34/EU des Europäischen Parlaments und des Rates vom 26. Juni 2013 über den Jahresabschluss, den konsolidierten Abschluss und damit verbundene Berichte von Unternehmen bestimmter Rechtsformen zu konsolidieren sind,</w:t>
      </w:r>
    </w:p>
    <w:p w14:paraId="5FA0FA88" w14:textId="77777777" w:rsidR="006E180F" w:rsidRPr="004676F5" w:rsidRDefault="006E180F" w:rsidP="006E180F">
      <w:pPr>
        <w:ind w:firstLine="708"/>
        <w:jc w:val="both"/>
        <w:rPr>
          <w:lang w:val="de-DE"/>
        </w:rPr>
      </w:pPr>
    </w:p>
    <w:p w14:paraId="3DB81317" w14:textId="77777777" w:rsidR="006E180F" w:rsidRPr="004676F5" w:rsidRDefault="006E180F" w:rsidP="006E180F">
      <w:pPr>
        <w:ind w:firstLine="708"/>
        <w:jc w:val="both"/>
        <w:rPr>
          <w:lang w:val="de-DE"/>
        </w:rPr>
      </w:pPr>
      <w:r w:rsidRPr="004676F5">
        <w:rPr>
          <w:lang w:val="de-DE"/>
        </w:rPr>
        <w:t>39. Kreditvertrag: Vertrag, bei dem ein Kreditgeber einem Verbraucher einen Kredit in Form eines Zahlungsaufschubs, eines Darlehens oder einer sonstigen ähnlichen Finan</w:t>
      </w:r>
      <w:r w:rsidRPr="004676F5">
        <w:rPr>
          <w:lang w:val="de-DE"/>
        </w:rPr>
        <w:softHyphen/>
        <w:t>zierungs</w:t>
      </w:r>
      <w:r w:rsidRPr="004676F5">
        <w:rPr>
          <w:lang w:val="de-DE"/>
        </w:rPr>
        <w:softHyphen/>
        <w:t>hilfe gewä</w:t>
      </w:r>
      <w:r w:rsidR="00E358E9" w:rsidRPr="004676F5">
        <w:rPr>
          <w:lang w:val="de-DE"/>
        </w:rPr>
        <w:t>hrt oder zu gewähren verspricht.</w:t>
      </w:r>
    </w:p>
    <w:p w14:paraId="59C13178" w14:textId="77777777" w:rsidR="00E358E9" w:rsidRPr="004676F5" w:rsidRDefault="00E358E9" w:rsidP="006E180F">
      <w:pPr>
        <w:ind w:firstLine="708"/>
        <w:jc w:val="both"/>
        <w:rPr>
          <w:lang w:val="de-DE"/>
        </w:rPr>
      </w:pPr>
    </w:p>
    <w:p w14:paraId="6393B9CF" w14:textId="77777777" w:rsidR="00E358E9" w:rsidRPr="004676F5" w:rsidRDefault="00E358E9" w:rsidP="006E180F">
      <w:pPr>
        <w:ind w:firstLine="708"/>
        <w:jc w:val="both"/>
        <w:rPr>
          <w:lang w:val="de-DE"/>
        </w:rPr>
      </w:pPr>
      <w:r w:rsidRPr="004676F5">
        <w:rPr>
          <w:lang w:val="de-DE"/>
        </w:rPr>
        <w:t>[Ein Vertrag, mit dem eine Hypothek zur Sicherung eines eröffneten Kredits bestellt wird wie in Artikel 80 Absatz 3 des Hypothekengesetzes vom 16. Dezember 1851 erwähnt, gilt nicht als Kreditvertrag im Sinne des vorliegenden Buches, sofern dieser Vertrag keine Bestimmungen enthält, die im Widerspruch zu vorliegendem Buch stehen,]</w:t>
      </w:r>
    </w:p>
    <w:p w14:paraId="354C25A6" w14:textId="77777777" w:rsidR="006E180F" w:rsidRPr="004676F5" w:rsidRDefault="006E180F" w:rsidP="006E180F">
      <w:pPr>
        <w:ind w:firstLine="708"/>
        <w:jc w:val="both"/>
        <w:rPr>
          <w:lang w:val="de-DE"/>
        </w:rPr>
      </w:pPr>
    </w:p>
    <w:p w14:paraId="454D16EA" w14:textId="77777777" w:rsidR="006E180F" w:rsidRPr="004676F5" w:rsidRDefault="006E180F" w:rsidP="006E180F">
      <w:pPr>
        <w:ind w:firstLine="708"/>
        <w:jc w:val="both"/>
        <w:rPr>
          <w:lang w:val="de-DE"/>
        </w:rPr>
      </w:pPr>
      <w:r w:rsidRPr="004676F5">
        <w:rPr>
          <w:lang w:val="de-DE"/>
        </w:rPr>
        <w:lastRenderedPageBreak/>
        <w:t>40. Kreditangebot: definitive Willenserklärung des Kreditgebers, die vom Verbraucher nur noch angenommen werden muss, damit der Vertrag abgeschlossen ist,</w:t>
      </w:r>
    </w:p>
    <w:p w14:paraId="3974DF08" w14:textId="77777777" w:rsidR="006E180F" w:rsidRPr="004676F5" w:rsidRDefault="006E180F" w:rsidP="006E180F">
      <w:pPr>
        <w:ind w:firstLine="708"/>
        <w:jc w:val="both"/>
        <w:rPr>
          <w:lang w:val="de-DE"/>
        </w:rPr>
      </w:pPr>
    </w:p>
    <w:p w14:paraId="539D0F72" w14:textId="260EAE21" w:rsidR="006E180F" w:rsidRPr="004676F5" w:rsidRDefault="006E180F" w:rsidP="006E180F">
      <w:pPr>
        <w:ind w:firstLine="708"/>
        <w:jc w:val="both"/>
        <w:rPr>
          <w:lang w:val="de-DE"/>
        </w:rPr>
      </w:pPr>
      <w:r w:rsidRPr="004676F5">
        <w:rPr>
          <w:lang w:val="de-DE"/>
        </w:rPr>
        <w:t xml:space="preserve">41. Gesamtkosten des Kredits für den Verbraucher: sämtliche Kosten </w:t>
      </w:r>
      <w:r w:rsidR="005B7A5C" w:rsidRPr="004676F5">
        <w:rPr>
          <w:lang w:val="de-DE"/>
        </w:rPr>
        <w:t>- </w:t>
      </w:r>
      <w:r w:rsidRPr="004676F5">
        <w:rPr>
          <w:lang w:val="de-DE"/>
        </w:rPr>
        <w:t>ausgenommen Notargebühren -, die der Verbraucher im Zusammenhang mit dem Kreditvertrag zu zahlen hat und die dem Kreditgeber bekannt sind. Insbesondere sind folgende Kosten enthalten:</w:t>
      </w:r>
    </w:p>
    <w:p w14:paraId="4B666493" w14:textId="77777777" w:rsidR="006E180F" w:rsidRPr="004676F5" w:rsidRDefault="006E180F" w:rsidP="006E180F">
      <w:pPr>
        <w:ind w:firstLine="708"/>
        <w:jc w:val="both"/>
        <w:rPr>
          <w:lang w:val="de-DE"/>
        </w:rPr>
      </w:pPr>
    </w:p>
    <w:p w14:paraId="322D4547" w14:textId="77777777" w:rsidR="006E180F" w:rsidRPr="004676F5" w:rsidRDefault="006E180F" w:rsidP="006E180F">
      <w:pPr>
        <w:ind w:firstLine="708"/>
        <w:jc w:val="both"/>
        <w:rPr>
          <w:lang w:val="de-DE"/>
        </w:rPr>
      </w:pPr>
      <w:r w:rsidRPr="004676F5">
        <w:rPr>
          <w:i/>
          <w:lang w:val="de-DE"/>
        </w:rPr>
        <w:t>a) </w:t>
      </w:r>
      <w:r w:rsidRPr="004676F5">
        <w:rPr>
          <w:lang w:val="de-DE"/>
        </w:rPr>
        <w:t>Sollzinsen,</w:t>
      </w:r>
    </w:p>
    <w:p w14:paraId="0DC78186" w14:textId="77777777" w:rsidR="006E180F" w:rsidRPr="004676F5" w:rsidRDefault="006E180F" w:rsidP="006E180F">
      <w:pPr>
        <w:ind w:firstLine="708"/>
        <w:jc w:val="both"/>
        <w:rPr>
          <w:lang w:val="de-DE"/>
        </w:rPr>
      </w:pPr>
    </w:p>
    <w:p w14:paraId="39C0A528" w14:textId="77777777" w:rsidR="006E180F" w:rsidRPr="004676F5" w:rsidRDefault="006E180F" w:rsidP="006E180F">
      <w:pPr>
        <w:ind w:firstLine="708"/>
        <w:jc w:val="both"/>
        <w:rPr>
          <w:lang w:val="de-DE"/>
        </w:rPr>
      </w:pPr>
      <w:r w:rsidRPr="004676F5">
        <w:rPr>
          <w:i/>
          <w:lang w:val="de-DE"/>
        </w:rPr>
        <w:t>b)</w:t>
      </w:r>
      <w:r w:rsidRPr="004676F5">
        <w:rPr>
          <w:lang w:val="de-DE"/>
        </w:rPr>
        <w:t> Provisionen und/oder Vergütungen, die der Kreditvermittler für seine Vermittlung erhält,</w:t>
      </w:r>
    </w:p>
    <w:p w14:paraId="2E8CC134" w14:textId="77777777" w:rsidR="006E180F" w:rsidRPr="004676F5" w:rsidRDefault="006E180F" w:rsidP="006E180F">
      <w:pPr>
        <w:ind w:firstLine="708"/>
        <w:jc w:val="both"/>
        <w:rPr>
          <w:lang w:val="de-DE"/>
        </w:rPr>
      </w:pPr>
    </w:p>
    <w:p w14:paraId="68DCC147" w14:textId="77777777" w:rsidR="006E180F" w:rsidRPr="004676F5" w:rsidRDefault="006E180F" w:rsidP="006E180F">
      <w:pPr>
        <w:ind w:firstLine="708"/>
        <w:jc w:val="both"/>
        <w:rPr>
          <w:lang w:val="de-DE"/>
        </w:rPr>
      </w:pPr>
      <w:r w:rsidRPr="004676F5">
        <w:rPr>
          <w:i/>
          <w:lang w:val="de-DE"/>
        </w:rPr>
        <w:t>c) </w:t>
      </w:r>
      <w:r w:rsidRPr="004676F5">
        <w:rPr>
          <w:lang w:val="de-DE"/>
        </w:rPr>
        <w:t>Steuern,</w:t>
      </w:r>
    </w:p>
    <w:p w14:paraId="77EFB561" w14:textId="77777777" w:rsidR="006E180F" w:rsidRPr="004676F5" w:rsidRDefault="006E180F" w:rsidP="006E180F">
      <w:pPr>
        <w:ind w:firstLine="708"/>
        <w:jc w:val="both"/>
        <w:rPr>
          <w:lang w:val="de-DE"/>
        </w:rPr>
      </w:pPr>
    </w:p>
    <w:p w14:paraId="420E3C5B" w14:textId="1D82E20C" w:rsidR="006E180F" w:rsidRPr="004676F5" w:rsidRDefault="006E180F" w:rsidP="006E180F">
      <w:pPr>
        <w:ind w:firstLine="708"/>
        <w:jc w:val="both"/>
        <w:rPr>
          <w:lang w:val="de-DE"/>
        </w:rPr>
      </w:pPr>
      <w:r w:rsidRPr="004676F5">
        <w:rPr>
          <w:i/>
          <w:lang w:val="de-DE"/>
        </w:rPr>
        <w:t>d) </w:t>
      </w:r>
      <w:r w:rsidRPr="004676F5">
        <w:rPr>
          <w:lang w:val="de-DE"/>
        </w:rPr>
        <w:t>Kosten gleich welcher Art, insbesondere Nachforschungskosten, Kosten für das Anlegen der Akte, Kosten für die Abfrage von Dateien, Führungs-, Verwaltungs</w:t>
      </w:r>
      <w:r w:rsidR="005B7A5C" w:rsidRPr="004676F5">
        <w:rPr>
          <w:lang w:val="de-DE"/>
        </w:rPr>
        <w:t>- </w:t>
      </w:r>
      <w:r w:rsidRPr="004676F5">
        <w:rPr>
          <w:lang w:val="de-DE"/>
        </w:rPr>
        <w:t>und Einziehungskosten sowie alle mit einer Karte verbundenen Kosten, mit Ausnahme der Bestimmungen von Buchstabe </w:t>
      </w:r>
      <w:r w:rsidRPr="004676F5">
        <w:rPr>
          <w:i/>
          <w:lang w:val="de-DE"/>
        </w:rPr>
        <w:t>f)</w:t>
      </w:r>
      <w:r w:rsidRPr="004676F5">
        <w:rPr>
          <w:lang w:val="de-DE"/>
        </w:rPr>
        <w:t>,</w:t>
      </w:r>
    </w:p>
    <w:p w14:paraId="372E3B1D" w14:textId="77777777" w:rsidR="006E180F" w:rsidRPr="004676F5" w:rsidRDefault="006E180F" w:rsidP="006E180F">
      <w:pPr>
        <w:ind w:firstLine="708"/>
        <w:jc w:val="both"/>
        <w:rPr>
          <w:lang w:val="de-DE"/>
        </w:rPr>
      </w:pPr>
    </w:p>
    <w:p w14:paraId="039E8907" w14:textId="77777777" w:rsidR="006E180F" w:rsidRPr="004676F5" w:rsidRDefault="006E180F" w:rsidP="006E180F">
      <w:pPr>
        <w:ind w:firstLine="708"/>
        <w:jc w:val="both"/>
        <w:rPr>
          <w:lang w:val="de-DE"/>
        </w:rPr>
      </w:pPr>
      <w:r w:rsidRPr="004676F5">
        <w:rPr>
          <w:i/>
          <w:lang w:val="de-DE"/>
        </w:rPr>
        <w:t>e) </w:t>
      </w:r>
      <w:r w:rsidRPr="004676F5">
        <w:rPr>
          <w:lang w:val="de-DE"/>
        </w:rPr>
        <w:t>Kosten für Nebenleistungen im Zusammenhang mit dem Kreditvertrag, insbesondere Versicherungsprämien, wenn der Abschluss des Vertrags über diese Nebenleistungen eine zwingende Voraussetzung dafür ist, dass der Kredit überhaupt oder in Anwendung der vorgesehenen Vertragsbedingungen gewährt wird,</w:t>
      </w:r>
    </w:p>
    <w:p w14:paraId="73FB7B93" w14:textId="77777777" w:rsidR="006E180F" w:rsidRPr="004676F5" w:rsidRDefault="006E180F" w:rsidP="006E180F">
      <w:pPr>
        <w:ind w:firstLine="708"/>
        <w:jc w:val="both"/>
        <w:rPr>
          <w:lang w:val="de-DE"/>
        </w:rPr>
      </w:pPr>
    </w:p>
    <w:p w14:paraId="11C0B2C9" w14:textId="77777777" w:rsidR="006E180F" w:rsidRPr="004676F5" w:rsidRDefault="006E180F" w:rsidP="006E180F">
      <w:pPr>
        <w:ind w:firstLine="708"/>
        <w:jc w:val="both"/>
        <w:rPr>
          <w:lang w:val="de-DE"/>
        </w:rPr>
      </w:pPr>
      <w:r w:rsidRPr="004676F5">
        <w:rPr>
          <w:i/>
          <w:lang w:val="de-DE"/>
        </w:rPr>
        <w:t>f) </w:t>
      </w:r>
      <w:r w:rsidR="000522F8" w:rsidRPr="004676F5">
        <w:rPr>
          <w:lang w:val="de-DE"/>
        </w:rPr>
        <w:t>[Kosten für die Eröffnung und Führung eines spezifischen Kontos, Kosten für die Verwendung eines Zahlungsmittels, mit dem sowohl Geschäfte auf diesem Konto getätigt als auch Kreditbeträge in Anspruch genommen werden können, sowie sonstige Kosten für Zahlungsgeschäfte, wenn die Eröffnung oder Führung eines Kontos Voraussetzung dafür ist, dass der Kredit überhaupt oder nach den vorgesehenen Vertragsbedingungen gewährt wird. Selbst wenn die Eröffnung des Kontos fakultativ ist, müssen für einen Verbraucherkredit die mit dem Konto verbundenen Kosten im Kreditvertrag oder in einem anderen mit dem Verbraucher abgeschlossenen Vertrag klar und getrennt ausgewiesen werden,]</w:t>
      </w:r>
    </w:p>
    <w:p w14:paraId="28979094" w14:textId="77777777" w:rsidR="000522F8" w:rsidRPr="004676F5" w:rsidRDefault="000522F8" w:rsidP="006E180F">
      <w:pPr>
        <w:ind w:firstLine="708"/>
        <w:jc w:val="both"/>
        <w:rPr>
          <w:lang w:val="de-DE"/>
        </w:rPr>
      </w:pPr>
    </w:p>
    <w:p w14:paraId="59924326" w14:textId="77777777" w:rsidR="00E358E9" w:rsidRPr="004676F5" w:rsidRDefault="000522F8" w:rsidP="00E358E9">
      <w:pPr>
        <w:ind w:firstLine="708"/>
        <w:jc w:val="both"/>
        <w:rPr>
          <w:lang w:val="de-DE"/>
        </w:rPr>
      </w:pPr>
      <w:r w:rsidRPr="004676F5">
        <w:rPr>
          <w:lang w:val="de-DE"/>
        </w:rPr>
        <w:t>[</w:t>
      </w:r>
      <w:r w:rsidR="00E358E9" w:rsidRPr="004676F5">
        <w:rPr>
          <w:i/>
          <w:lang w:val="de-DE"/>
        </w:rPr>
        <w:t>g)</w:t>
      </w:r>
      <w:r w:rsidR="00E358E9" w:rsidRPr="004676F5">
        <w:rPr>
          <w:lang w:val="de-DE"/>
        </w:rPr>
        <w:t> Kosten für die Immobilienbewertung, wenn diese Bewertung Voraussetzung dafür ist, dass der beantragte Kredit gewährt wird,</w:t>
      </w:r>
    </w:p>
    <w:p w14:paraId="5B26EA49" w14:textId="77777777" w:rsidR="00E358E9" w:rsidRPr="004676F5" w:rsidRDefault="00E358E9" w:rsidP="00E358E9">
      <w:pPr>
        <w:ind w:firstLine="708"/>
        <w:jc w:val="both"/>
        <w:rPr>
          <w:lang w:val="de-DE"/>
        </w:rPr>
      </w:pPr>
    </w:p>
    <w:p w14:paraId="7EF6D86B" w14:textId="77777777" w:rsidR="000522F8" w:rsidRPr="004676F5" w:rsidRDefault="00E358E9" w:rsidP="00E358E9">
      <w:pPr>
        <w:ind w:firstLine="708"/>
        <w:jc w:val="both"/>
        <w:rPr>
          <w:lang w:val="de-DE"/>
        </w:rPr>
      </w:pPr>
      <w:r w:rsidRPr="004676F5">
        <w:rPr>
          <w:i/>
          <w:lang w:val="de-DE"/>
        </w:rPr>
        <w:t>h)</w:t>
      </w:r>
      <w:r w:rsidRPr="004676F5">
        <w:rPr>
          <w:lang w:val="de-DE"/>
        </w:rPr>
        <w:t> Kosten für Sicherheiten.</w:t>
      </w:r>
      <w:r w:rsidR="000522F8" w:rsidRPr="004676F5">
        <w:rPr>
          <w:lang w:val="de-DE"/>
        </w:rPr>
        <w:t>]</w:t>
      </w:r>
    </w:p>
    <w:p w14:paraId="5ED98245" w14:textId="77777777" w:rsidR="006E180F" w:rsidRPr="004676F5" w:rsidRDefault="006E180F" w:rsidP="006E180F">
      <w:pPr>
        <w:ind w:firstLine="708"/>
        <w:rPr>
          <w:lang w:val="de-DE"/>
        </w:rPr>
      </w:pPr>
    </w:p>
    <w:p w14:paraId="59678594" w14:textId="77777777" w:rsidR="006E180F" w:rsidRPr="004676F5" w:rsidRDefault="006E180F" w:rsidP="006E180F">
      <w:pPr>
        <w:ind w:firstLine="708"/>
        <w:rPr>
          <w:lang w:val="de-DE"/>
        </w:rPr>
      </w:pPr>
      <w:r w:rsidRPr="004676F5">
        <w:rPr>
          <w:lang w:val="de-DE"/>
        </w:rPr>
        <w:t>Die Gesamtkosten des Kredits für den Verbraucher enthalten nicht:</w:t>
      </w:r>
    </w:p>
    <w:p w14:paraId="737C69E9" w14:textId="77777777" w:rsidR="006E180F" w:rsidRPr="004676F5" w:rsidRDefault="006E180F" w:rsidP="006E180F">
      <w:pPr>
        <w:ind w:firstLine="708"/>
        <w:rPr>
          <w:lang w:val="de-DE"/>
        </w:rPr>
      </w:pPr>
    </w:p>
    <w:p w14:paraId="06F8061C" w14:textId="77777777" w:rsidR="006E180F" w:rsidRPr="004676F5" w:rsidRDefault="006E180F" w:rsidP="006E180F">
      <w:pPr>
        <w:ind w:firstLine="708"/>
        <w:jc w:val="both"/>
        <w:rPr>
          <w:lang w:val="de-DE"/>
        </w:rPr>
      </w:pPr>
      <w:r w:rsidRPr="004676F5">
        <w:rPr>
          <w:i/>
          <w:lang w:val="de-DE"/>
        </w:rPr>
        <w:t>a)</w:t>
      </w:r>
      <w:r w:rsidRPr="004676F5">
        <w:rPr>
          <w:lang w:val="de-DE"/>
        </w:rPr>
        <w:t> die Kosten und Entschädigungen, die der Verbraucher bei Nichterfüllung einer seiner Verpflichtungen aus dem Kreditvertrag zu tragen hat,</w:t>
      </w:r>
    </w:p>
    <w:p w14:paraId="740F1A63" w14:textId="77777777" w:rsidR="006E180F" w:rsidRPr="004676F5" w:rsidRDefault="006E180F" w:rsidP="006E180F">
      <w:pPr>
        <w:rPr>
          <w:lang w:val="de-DE"/>
        </w:rPr>
      </w:pPr>
    </w:p>
    <w:p w14:paraId="02744D57" w14:textId="00671E3D" w:rsidR="006E180F" w:rsidRPr="004676F5" w:rsidRDefault="006E180F" w:rsidP="006E180F">
      <w:pPr>
        <w:ind w:firstLine="708"/>
        <w:jc w:val="both"/>
        <w:rPr>
          <w:lang w:val="de-DE"/>
        </w:rPr>
      </w:pPr>
      <w:r w:rsidRPr="004676F5">
        <w:rPr>
          <w:i/>
          <w:lang w:val="de-DE"/>
        </w:rPr>
        <w:t>b)</w:t>
      </w:r>
      <w:r w:rsidRPr="004676F5">
        <w:rPr>
          <w:lang w:val="de-DE"/>
        </w:rPr>
        <w:t> die Kosten, mit Ausnahme des Kaufpreises, die er beim Erwerb von Waren oder Dienstleistungen unabhängig davon zu tragen hat, ob es sich um ein Bar</w:t>
      </w:r>
      <w:r w:rsidR="005B7A5C" w:rsidRPr="004676F5">
        <w:rPr>
          <w:lang w:val="de-DE"/>
        </w:rPr>
        <w:t>- </w:t>
      </w:r>
      <w:r w:rsidRPr="004676F5">
        <w:rPr>
          <w:lang w:val="de-DE"/>
        </w:rPr>
        <w:t>oder ein Kreditgeschäft handelt,</w:t>
      </w:r>
    </w:p>
    <w:p w14:paraId="42C7C25F" w14:textId="77777777" w:rsidR="00E358E9" w:rsidRPr="004676F5" w:rsidRDefault="00E358E9" w:rsidP="006E180F">
      <w:pPr>
        <w:ind w:firstLine="708"/>
        <w:jc w:val="both"/>
        <w:rPr>
          <w:lang w:val="de-DE"/>
        </w:rPr>
      </w:pPr>
    </w:p>
    <w:p w14:paraId="04788019" w14:textId="77777777" w:rsidR="00E358E9" w:rsidRPr="004676F5" w:rsidRDefault="00E358E9" w:rsidP="006E180F">
      <w:pPr>
        <w:ind w:firstLine="708"/>
        <w:jc w:val="both"/>
        <w:rPr>
          <w:lang w:val="de-DE"/>
        </w:rPr>
      </w:pPr>
      <w:r w:rsidRPr="004676F5">
        <w:rPr>
          <w:lang w:val="de-DE"/>
        </w:rPr>
        <w:t>[</w:t>
      </w:r>
      <w:r w:rsidRPr="004676F5">
        <w:rPr>
          <w:i/>
          <w:lang w:val="de-DE"/>
        </w:rPr>
        <w:t>c)</w:t>
      </w:r>
      <w:r w:rsidRPr="004676F5">
        <w:rPr>
          <w:lang w:val="de-DE"/>
        </w:rPr>
        <w:t> die Kosten der Registrierung und Übertragung des Eigentumsübergangs eines unbeweglichen Gutes,]</w:t>
      </w:r>
    </w:p>
    <w:p w14:paraId="1DD6F170" w14:textId="77777777" w:rsidR="006E180F" w:rsidRPr="004676F5" w:rsidRDefault="006E180F" w:rsidP="006E180F">
      <w:pPr>
        <w:ind w:firstLine="708"/>
        <w:jc w:val="both"/>
        <w:rPr>
          <w:lang w:val="de-DE"/>
        </w:rPr>
      </w:pPr>
    </w:p>
    <w:p w14:paraId="59F90B8F" w14:textId="77777777" w:rsidR="006E180F" w:rsidRPr="004676F5" w:rsidRDefault="006E180F" w:rsidP="006E180F">
      <w:pPr>
        <w:ind w:firstLine="708"/>
        <w:jc w:val="both"/>
        <w:rPr>
          <w:lang w:val="de-DE"/>
        </w:rPr>
      </w:pPr>
      <w:r w:rsidRPr="004676F5">
        <w:rPr>
          <w:lang w:val="de-DE"/>
        </w:rPr>
        <w:lastRenderedPageBreak/>
        <w:t>42. effektiver Jahreszins: Prozentsatz, der auf Jahresbasis die Gleichheit zwischen den Gegenwartswerten der gesamten gegenwärtigen oder künftigen Verpflichtungen des Kreditgebers (in Anspruch genommene Kreditbeträge) und des Verbrauchers (Tilgungszahlungen und Gesamtkosten des Kredits für den Verbraucher) ausdrückt und der auf der Grundlage der vom König festgelegten Angaben und auf die von Ihm bestimmte Weise ermittelt wird,</w:t>
      </w:r>
    </w:p>
    <w:p w14:paraId="423D5DCB" w14:textId="77777777" w:rsidR="006E180F" w:rsidRPr="004676F5" w:rsidRDefault="006E180F" w:rsidP="006E180F">
      <w:pPr>
        <w:ind w:firstLine="708"/>
        <w:jc w:val="both"/>
        <w:rPr>
          <w:lang w:val="de-DE"/>
        </w:rPr>
      </w:pPr>
    </w:p>
    <w:p w14:paraId="4743FD5A" w14:textId="77777777" w:rsidR="006E180F" w:rsidRPr="004676F5" w:rsidRDefault="006E180F" w:rsidP="006E180F">
      <w:pPr>
        <w:ind w:firstLine="708"/>
        <w:jc w:val="both"/>
        <w:rPr>
          <w:lang w:val="de-DE"/>
        </w:rPr>
      </w:pPr>
      <w:r w:rsidRPr="004676F5">
        <w:rPr>
          <w:lang w:val="de-DE"/>
        </w:rPr>
        <w:t>43. Werbung: Mitteilungen wie erwähnt in Artikel I.8 Nr. 13,</w:t>
      </w:r>
    </w:p>
    <w:p w14:paraId="165B3FE9" w14:textId="77777777" w:rsidR="006E180F" w:rsidRPr="004676F5" w:rsidRDefault="006E180F" w:rsidP="006E180F">
      <w:pPr>
        <w:ind w:firstLine="708"/>
        <w:jc w:val="both"/>
        <w:rPr>
          <w:lang w:val="de-DE"/>
        </w:rPr>
      </w:pPr>
    </w:p>
    <w:p w14:paraId="45AF9BCB" w14:textId="77777777" w:rsidR="006E180F" w:rsidRPr="004676F5" w:rsidRDefault="006E180F" w:rsidP="006E180F">
      <w:pPr>
        <w:ind w:firstLine="708"/>
        <w:jc w:val="both"/>
        <w:rPr>
          <w:lang w:val="de-DE"/>
        </w:rPr>
      </w:pPr>
      <w:r w:rsidRPr="004676F5">
        <w:rPr>
          <w:lang w:val="de-DE"/>
        </w:rPr>
        <w:t xml:space="preserve">44. Sollzinssatz: als fester oder variabler Prozentsatz ausgedrückter Zinssatz, der auf Jahresbasis auf den in Anspruch genommenen Teil des Kapitals angewandt und auf der Grundlage der Angaben, die vom König durch einen im Ministerrat beratenen Erlass festgelegt werden, und auf die von Ihm bestimmte Weise ermittelt wird, gegebenenfalls unter Berücksichtigung der Methode zur Berechnung der </w:t>
      </w:r>
      <w:r w:rsidR="00E358E9" w:rsidRPr="004676F5">
        <w:rPr>
          <w:lang w:val="de-DE"/>
        </w:rPr>
        <w:t>damit verbundenen Verzugszinsen.</w:t>
      </w:r>
    </w:p>
    <w:p w14:paraId="7CF8A5E4" w14:textId="77777777" w:rsidR="00E358E9" w:rsidRPr="004676F5" w:rsidRDefault="00E358E9" w:rsidP="006E180F">
      <w:pPr>
        <w:ind w:firstLine="708"/>
        <w:jc w:val="both"/>
        <w:rPr>
          <w:lang w:val="de-DE"/>
        </w:rPr>
      </w:pPr>
    </w:p>
    <w:p w14:paraId="6A01124A" w14:textId="77777777" w:rsidR="00E358E9" w:rsidRPr="004676F5" w:rsidRDefault="00E358E9" w:rsidP="00E358E9">
      <w:pPr>
        <w:ind w:firstLine="708"/>
        <w:jc w:val="both"/>
        <w:rPr>
          <w:lang w:val="de-DE"/>
        </w:rPr>
      </w:pPr>
      <w:r w:rsidRPr="004676F5">
        <w:rPr>
          <w:lang w:val="de-DE"/>
        </w:rPr>
        <w:t>[Für Immobiliarhypothekarkredite ist der Sollzinssatz auf Jahresbasis I das Ergebnis des Vergleichs:</w:t>
      </w:r>
    </w:p>
    <w:p w14:paraId="46278177" w14:textId="77777777" w:rsidR="00E358E9" w:rsidRPr="004676F5" w:rsidRDefault="00E358E9" w:rsidP="00E358E9">
      <w:pPr>
        <w:ind w:firstLine="708"/>
        <w:jc w:val="both"/>
        <w:rPr>
          <w:lang w:val="de-DE"/>
        </w:rPr>
      </w:pPr>
    </w:p>
    <w:p w14:paraId="749E913D" w14:textId="77777777" w:rsidR="00E358E9" w:rsidRPr="004676F5" w:rsidRDefault="00E358E9" w:rsidP="00E358E9">
      <w:pPr>
        <w:ind w:firstLine="708"/>
        <w:jc w:val="both"/>
        <w:rPr>
          <w:lang w:val="de-DE"/>
        </w:rPr>
      </w:pPr>
      <w:r w:rsidRPr="004676F5">
        <w:rPr>
          <w:lang w:val="de-DE"/>
        </w:rPr>
        <w:t>(1 + i)n = (1 + I),</w:t>
      </w:r>
    </w:p>
    <w:p w14:paraId="0236B74B" w14:textId="77777777" w:rsidR="00E358E9" w:rsidRPr="004676F5" w:rsidRDefault="00E358E9" w:rsidP="00E358E9">
      <w:pPr>
        <w:ind w:firstLine="708"/>
        <w:jc w:val="both"/>
        <w:rPr>
          <w:lang w:val="de-DE"/>
        </w:rPr>
      </w:pPr>
    </w:p>
    <w:p w14:paraId="08225B8B" w14:textId="77777777" w:rsidR="00E358E9" w:rsidRPr="004676F5" w:rsidRDefault="00E358E9" w:rsidP="00E358E9">
      <w:pPr>
        <w:ind w:firstLine="708"/>
        <w:jc w:val="both"/>
        <w:rPr>
          <w:lang w:val="de-DE"/>
        </w:rPr>
      </w:pPr>
      <w:r w:rsidRPr="004676F5">
        <w:rPr>
          <w:lang w:val="de-DE"/>
        </w:rPr>
        <w:t>wobei i der periodische Zinssatz und n die Anzahl der im Jahr einbegriffenen Zeiträume ist,]</w:t>
      </w:r>
    </w:p>
    <w:p w14:paraId="291E85D1" w14:textId="77777777" w:rsidR="00E358E9" w:rsidRPr="004676F5" w:rsidRDefault="00E358E9" w:rsidP="00E358E9">
      <w:pPr>
        <w:ind w:firstLine="708"/>
        <w:jc w:val="both"/>
        <w:rPr>
          <w:lang w:val="de-DE"/>
        </w:rPr>
      </w:pPr>
    </w:p>
    <w:p w14:paraId="130074BE" w14:textId="77777777" w:rsidR="00E358E9" w:rsidRPr="004676F5" w:rsidRDefault="00E358E9" w:rsidP="00E358E9">
      <w:pPr>
        <w:ind w:firstLine="708"/>
        <w:jc w:val="both"/>
        <w:rPr>
          <w:lang w:val="de-DE"/>
        </w:rPr>
      </w:pPr>
      <w:r w:rsidRPr="004676F5">
        <w:rPr>
          <w:lang w:val="de-DE"/>
        </w:rPr>
        <w:t>[44/1. periodischer Zinssatz: in Prozenten ausgedrückter Zinssatz pro Zeitraum, auf dessen Grundlage die Zinsen für den betreffenden Zeitraum berechnet werden,]</w:t>
      </w:r>
    </w:p>
    <w:p w14:paraId="138B4EBE" w14:textId="77777777" w:rsidR="006E180F" w:rsidRPr="004676F5" w:rsidRDefault="006E180F" w:rsidP="006E180F">
      <w:pPr>
        <w:ind w:firstLine="708"/>
        <w:jc w:val="both"/>
        <w:rPr>
          <w:lang w:val="de-DE"/>
        </w:rPr>
      </w:pPr>
    </w:p>
    <w:p w14:paraId="62588336" w14:textId="77777777" w:rsidR="006E180F" w:rsidRPr="004676F5" w:rsidRDefault="006E180F" w:rsidP="006E180F">
      <w:pPr>
        <w:ind w:firstLine="708"/>
        <w:jc w:val="both"/>
        <w:rPr>
          <w:lang w:val="de-DE"/>
        </w:rPr>
      </w:pPr>
      <w:r w:rsidRPr="004676F5">
        <w:rPr>
          <w:lang w:val="de-DE"/>
        </w:rPr>
        <w:t>45. fester Sollzinssatz: Sollzinssatz, der in einer Bestimmung des Kreditvertrags vorgesehen ist, aufgrund deren der Kreditgeber und der Verbraucher einen einzigen Sollzinssatz für die gesamte Laufzeit des Kreditvertrags oder mehrere Sollzinssätze für verschiedene Teilzeiträume der Gesamtlaufzeit vereinbaren, wobei ausschließlich ein bestimmter fester Prozentsatz zugrunde gelegt wird,</w:t>
      </w:r>
    </w:p>
    <w:p w14:paraId="78AE88F1" w14:textId="77777777" w:rsidR="006E180F" w:rsidRPr="004676F5" w:rsidRDefault="006E180F" w:rsidP="006E180F">
      <w:pPr>
        <w:ind w:firstLine="708"/>
        <w:jc w:val="both"/>
        <w:rPr>
          <w:lang w:val="de-DE"/>
        </w:rPr>
      </w:pPr>
    </w:p>
    <w:p w14:paraId="5AC8714C" w14:textId="77777777" w:rsidR="006E180F" w:rsidRPr="004676F5" w:rsidRDefault="006E180F" w:rsidP="006E180F">
      <w:pPr>
        <w:ind w:firstLine="708"/>
        <w:jc w:val="both"/>
        <w:rPr>
          <w:lang w:val="de-DE"/>
        </w:rPr>
      </w:pPr>
      <w:r w:rsidRPr="004676F5">
        <w:rPr>
          <w:lang w:val="de-DE"/>
        </w:rPr>
        <w:t>46. Teilzahlungsverkauf: Kreditvertrag, ungeachtet der Bezeichnung oder Form, der normalerweise zum Erwerb von Gütern oder zur Erbringung von Dienstleistungen führt, wobei Güter beziehungsweise Dienstleistungen von dem Kreditgeber oder dem in Nr. 35 Buchstabe </w:t>
      </w:r>
      <w:r w:rsidRPr="004676F5">
        <w:rPr>
          <w:i/>
          <w:lang w:val="de-DE"/>
        </w:rPr>
        <w:t>c)</w:t>
      </w:r>
      <w:r w:rsidRPr="004676F5">
        <w:rPr>
          <w:lang w:val="de-DE"/>
        </w:rPr>
        <w:t xml:space="preserve"> letzter Satz erwähnten Kreditvermittler verkauft werden und durch periodische Zahlungen bezahlt werden,</w:t>
      </w:r>
    </w:p>
    <w:p w14:paraId="56AF523D" w14:textId="77777777" w:rsidR="006E180F" w:rsidRPr="004676F5" w:rsidRDefault="006E180F" w:rsidP="006E180F">
      <w:pPr>
        <w:ind w:firstLine="708"/>
        <w:jc w:val="both"/>
        <w:rPr>
          <w:lang w:val="de-DE"/>
        </w:rPr>
      </w:pPr>
    </w:p>
    <w:p w14:paraId="1EF2E200" w14:textId="77777777" w:rsidR="006E180F" w:rsidRPr="004676F5" w:rsidRDefault="006E180F" w:rsidP="006E180F">
      <w:pPr>
        <w:ind w:firstLine="708"/>
        <w:jc w:val="both"/>
        <w:rPr>
          <w:lang w:val="de-DE"/>
        </w:rPr>
      </w:pPr>
      <w:r w:rsidRPr="004676F5">
        <w:rPr>
          <w:lang w:val="de-DE"/>
        </w:rPr>
        <w:t xml:space="preserve">47. Leasing: Kreditvertrag, ungeachtet der Bezeichnung oder Form, bei dem die eine Partei sich verpflichtet, der anderen Partei das Nutzungsrecht an einem beweglichen Sachgut zu einem bestimmten Preis zu verschaffen, zu dessen periodischer Zahlung die letztgenannte Partei sich verpflichtet, und bei dem ausdrücklich oder auch stillschweigend ein Kaufangebot enthalten ist. Für die Anwendung des vorliegenden Gesetzes gilt der Geber als Kreditgeber oder in Nr. 35 Buchstabe </w:t>
      </w:r>
      <w:r w:rsidRPr="004676F5">
        <w:rPr>
          <w:i/>
          <w:lang w:val="de-DE"/>
        </w:rPr>
        <w:t>c)</w:t>
      </w:r>
      <w:r w:rsidRPr="004676F5">
        <w:rPr>
          <w:lang w:val="de-DE"/>
        </w:rPr>
        <w:t xml:space="preserve"> letzter Satz erwähnter Kreditvermittler,</w:t>
      </w:r>
    </w:p>
    <w:p w14:paraId="66D4ECCB" w14:textId="77777777" w:rsidR="006E180F" w:rsidRPr="004676F5" w:rsidRDefault="006E180F" w:rsidP="006E180F">
      <w:pPr>
        <w:ind w:firstLine="708"/>
        <w:jc w:val="both"/>
        <w:rPr>
          <w:lang w:val="de-DE"/>
        </w:rPr>
      </w:pPr>
    </w:p>
    <w:p w14:paraId="118D1CF0" w14:textId="77777777" w:rsidR="006E180F" w:rsidRPr="004676F5" w:rsidRDefault="006E180F" w:rsidP="006E180F">
      <w:pPr>
        <w:ind w:firstLine="708"/>
        <w:jc w:val="both"/>
        <w:rPr>
          <w:lang w:val="de-DE"/>
        </w:rPr>
      </w:pPr>
      <w:r w:rsidRPr="004676F5">
        <w:rPr>
          <w:lang w:val="de-DE"/>
        </w:rPr>
        <w:t xml:space="preserve">48. Teilzahlungsdarlehen: Kreditvertrag, ungeachtet der Bezeichnung oder Form, bei dem Geld oder irgendein anderes Zahlungsmittel dem Verbraucher zur Verfügung gestellt wird, der sich verpflichtet, das Darlehen durch periodische Zahlungen zurückzuzahlen, </w:t>
      </w:r>
    </w:p>
    <w:p w14:paraId="6D9BD9F5" w14:textId="77777777" w:rsidR="006E180F" w:rsidRPr="004676F5" w:rsidRDefault="006E180F" w:rsidP="006E180F">
      <w:pPr>
        <w:ind w:firstLine="708"/>
        <w:jc w:val="both"/>
        <w:rPr>
          <w:lang w:val="de-DE"/>
        </w:rPr>
      </w:pPr>
    </w:p>
    <w:p w14:paraId="0F0583BE" w14:textId="77777777" w:rsidR="006E180F" w:rsidRPr="004676F5" w:rsidRDefault="006E180F" w:rsidP="006E180F">
      <w:pPr>
        <w:ind w:firstLine="708"/>
        <w:jc w:val="both"/>
        <w:rPr>
          <w:lang w:val="de-DE"/>
        </w:rPr>
      </w:pPr>
      <w:r w:rsidRPr="004676F5">
        <w:rPr>
          <w:lang w:val="de-DE"/>
        </w:rPr>
        <w:t xml:space="preserve">49. Krediteröffnung: Kreditvertrag, ungeachtet der Bezeichnung oder Form, bei dem Kaufkraft, Geld oder irgendein anderes Zahlungsmittel dem Verbraucher zur Verfügung </w:t>
      </w:r>
      <w:r w:rsidRPr="004676F5">
        <w:rPr>
          <w:lang w:val="de-DE"/>
        </w:rPr>
        <w:lastRenderedPageBreak/>
        <w:t>gestellt wird, der davon durch eine oder mehrere Kreditaufnahmen, unter anderem anhand eines Zahlungsinstruments oder anders, Gebrauch macht und sich zur Rückzahlung gemäß den vereinbarten Bedingungen verpflichtet.</w:t>
      </w:r>
    </w:p>
    <w:p w14:paraId="619BCDB0" w14:textId="77777777" w:rsidR="006E180F" w:rsidRPr="004676F5" w:rsidRDefault="006E180F" w:rsidP="006E180F">
      <w:pPr>
        <w:ind w:firstLine="708"/>
        <w:jc w:val="both"/>
        <w:rPr>
          <w:lang w:val="de-DE"/>
        </w:rPr>
      </w:pPr>
    </w:p>
    <w:p w14:paraId="312EC596" w14:textId="77777777" w:rsidR="006E180F" w:rsidRPr="004676F5" w:rsidRDefault="006E180F" w:rsidP="006E180F">
      <w:pPr>
        <w:ind w:firstLine="708"/>
        <w:jc w:val="both"/>
        <w:rPr>
          <w:lang w:val="de-DE"/>
        </w:rPr>
      </w:pPr>
      <w:r w:rsidRPr="004676F5">
        <w:rPr>
          <w:lang w:val="de-DE"/>
        </w:rPr>
        <w:t>Darf eine neue Kreditaufnahme nur mit vorherigem Einverständnis des Kreditgebers oder unter Einhaltung anderer Bedingungen als der ursprünglich festgelegten Bedingungen erfolgen, gilt diese Kreditaufnahme als neuer Kreditvertrag,</w:t>
      </w:r>
    </w:p>
    <w:p w14:paraId="6A5ECD80" w14:textId="77777777" w:rsidR="006E180F" w:rsidRPr="004676F5" w:rsidRDefault="006E180F" w:rsidP="006E180F">
      <w:pPr>
        <w:ind w:firstLine="708"/>
        <w:jc w:val="both"/>
        <w:rPr>
          <w:lang w:val="de-DE"/>
        </w:rPr>
      </w:pPr>
    </w:p>
    <w:p w14:paraId="51FEA8AD" w14:textId="77777777" w:rsidR="006E180F" w:rsidRPr="004676F5" w:rsidRDefault="006E180F" w:rsidP="006E180F">
      <w:pPr>
        <w:ind w:firstLine="708"/>
        <w:jc w:val="both"/>
        <w:rPr>
          <w:lang w:val="de-DE"/>
        </w:rPr>
      </w:pPr>
      <w:r w:rsidRPr="004676F5">
        <w:rPr>
          <w:lang w:val="de-DE"/>
        </w:rPr>
        <w:t>50. Kreditvertrag im Fernabsatz: Kreditvertrag, der gemäß Artikel I.8 Nr. 15 des vorliegenden Gesetzbuches abgeschlossen wird,</w:t>
      </w:r>
    </w:p>
    <w:p w14:paraId="3199D462" w14:textId="77777777" w:rsidR="006E180F" w:rsidRPr="004676F5" w:rsidRDefault="006E180F" w:rsidP="006E180F">
      <w:pPr>
        <w:ind w:firstLine="708"/>
        <w:jc w:val="both"/>
        <w:rPr>
          <w:lang w:val="de-DE"/>
        </w:rPr>
      </w:pPr>
    </w:p>
    <w:p w14:paraId="75757DC7" w14:textId="77777777" w:rsidR="006E180F" w:rsidRPr="004676F5" w:rsidRDefault="006E180F" w:rsidP="006E180F">
      <w:pPr>
        <w:ind w:firstLine="708"/>
        <w:jc w:val="both"/>
        <w:rPr>
          <w:lang w:val="de-DE"/>
        </w:rPr>
      </w:pPr>
      <w:r w:rsidRPr="004676F5">
        <w:rPr>
          <w:lang w:val="de-DE"/>
        </w:rPr>
        <w:t>51. Überziehungsmöglichkeit: eine ausdrückliche Krediteröffnung, bei der ein Kreditgeber einem Verbraucher Beträge zur Verfügung stellt, die das Guthaben auf dem Konto des Verbrauchers überschreiten,</w:t>
      </w:r>
    </w:p>
    <w:p w14:paraId="376734C1" w14:textId="77777777" w:rsidR="006E180F" w:rsidRPr="004676F5" w:rsidRDefault="006E180F" w:rsidP="006E180F">
      <w:pPr>
        <w:ind w:firstLine="708"/>
        <w:jc w:val="both"/>
        <w:rPr>
          <w:lang w:val="de-DE"/>
        </w:rPr>
      </w:pPr>
    </w:p>
    <w:p w14:paraId="0D5F9487" w14:textId="77777777" w:rsidR="006E180F" w:rsidRPr="004676F5" w:rsidRDefault="006E180F" w:rsidP="006E180F">
      <w:pPr>
        <w:ind w:firstLine="708"/>
        <w:jc w:val="both"/>
        <w:rPr>
          <w:lang w:val="de-DE"/>
        </w:rPr>
      </w:pPr>
      <w:r w:rsidRPr="004676F5">
        <w:rPr>
          <w:lang w:val="de-DE"/>
        </w:rPr>
        <w:t>52. Überschreitung: eine stillschweigend akzeptierte Überziehungsmöglichkeit, bei der ein Kreditgeber einem Verbraucher Beträge zur Verfügung stellt, die das Guthaben auf dem Konto des Verbrauchers oder die vereinbarte Überziehungsmöglichkeit überschreiten,</w:t>
      </w:r>
    </w:p>
    <w:p w14:paraId="26D1AC4D" w14:textId="77777777" w:rsidR="006E180F" w:rsidRPr="004676F5" w:rsidRDefault="006E180F" w:rsidP="006E180F">
      <w:pPr>
        <w:ind w:firstLine="708"/>
        <w:jc w:val="both"/>
        <w:rPr>
          <w:lang w:val="de-DE"/>
        </w:rPr>
      </w:pPr>
    </w:p>
    <w:p w14:paraId="54CBD4B9" w14:textId="77777777" w:rsidR="00E358E9" w:rsidRPr="004676F5" w:rsidRDefault="006E180F" w:rsidP="00E358E9">
      <w:pPr>
        <w:ind w:firstLine="708"/>
        <w:jc w:val="both"/>
        <w:rPr>
          <w:lang w:val="de-DE"/>
        </w:rPr>
      </w:pPr>
      <w:r w:rsidRPr="004676F5">
        <w:rPr>
          <w:lang w:val="de-DE"/>
        </w:rPr>
        <w:t>53. </w:t>
      </w:r>
      <w:r w:rsidR="00E358E9" w:rsidRPr="004676F5">
        <w:rPr>
          <w:lang w:val="de-DE"/>
        </w:rPr>
        <w:t>[hypothekarische Sicherheit: eine Sicherheit, die folgende Formen annehmen kann:</w:t>
      </w:r>
    </w:p>
    <w:p w14:paraId="2AAC9360" w14:textId="77777777" w:rsidR="00E358E9" w:rsidRPr="004676F5" w:rsidRDefault="00E358E9" w:rsidP="00E358E9">
      <w:pPr>
        <w:ind w:firstLine="708"/>
        <w:jc w:val="both"/>
        <w:rPr>
          <w:lang w:val="de-DE"/>
        </w:rPr>
      </w:pPr>
    </w:p>
    <w:p w14:paraId="399E9F5E" w14:textId="77777777" w:rsidR="00E358E9" w:rsidRPr="004676F5" w:rsidRDefault="00E358E9" w:rsidP="00E358E9">
      <w:pPr>
        <w:ind w:firstLine="708"/>
        <w:jc w:val="both"/>
        <w:rPr>
          <w:lang w:val="de-DE"/>
        </w:rPr>
      </w:pPr>
      <w:r w:rsidRPr="004676F5">
        <w:rPr>
          <w:i/>
          <w:lang w:val="de-DE"/>
        </w:rPr>
        <w:t>a)</w:t>
      </w:r>
      <w:r w:rsidRPr="004676F5">
        <w:rPr>
          <w:lang w:val="de-DE"/>
        </w:rPr>
        <w:t> Hypothek oder Vorzugsrecht auf ein unbewegliches Gut oder Verpfändung einer auf dieselbe Weise gesicherten Forderung oder</w:t>
      </w:r>
    </w:p>
    <w:p w14:paraId="1554BCA8" w14:textId="77777777" w:rsidR="00E358E9" w:rsidRPr="004676F5" w:rsidRDefault="00E358E9" w:rsidP="00E358E9">
      <w:pPr>
        <w:ind w:firstLine="708"/>
        <w:jc w:val="both"/>
        <w:rPr>
          <w:lang w:val="de-DE"/>
        </w:rPr>
      </w:pPr>
    </w:p>
    <w:p w14:paraId="6ED634E5" w14:textId="77777777" w:rsidR="00E358E9" w:rsidRPr="004676F5" w:rsidRDefault="00E358E9" w:rsidP="00E358E9">
      <w:pPr>
        <w:ind w:firstLine="708"/>
        <w:jc w:val="both"/>
        <w:rPr>
          <w:lang w:val="de-DE"/>
        </w:rPr>
      </w:pPr>
      <w:r w:rsidRPr="004676F5">
        <w:rPr>
          <w:i/>
          <w:lang w:val="de-DE"/>
        </w:rPr>
        <w:t>b)</w:t>
      </w:r>
      <w:r w:rsidRPr="004676F5">
        <w:rPr>
          <w:lang w:val="de-DE"/>
        </w:rPr>
        <w:t> Einsetzung eines oder mehrerer Dritter in die Rechte eines Gläubigers mit Vorzugsrecht auf ein unbewegliches Gut oder</w:t>
      </w:r>
    </w:p>
    <w:p w14:paraId="2AB83A6A" w14:textId="77777777" w:rsidR="00E358E9" w:rsidRPr="004676F5" w:rsidRDefault="00E358E9" w:rsidP="00E358E9">
      <w:pPr>
        <w:ind w:firstLine="708"/>
        <w:jc w:val="both"/>
        <w:rPr>
          <w:lang w:val="de-DE"/>
        </w:rPr>
      </w:pPr>
    </w:p>
    <w:p w14:paraId="78A5CCD8" w14:textId="77777777" w:rsidR="00E358E9" w:rsidRPr="004676F5" w:rsidRDefault="00E358E9" w:rsidP="00E358E9">
      <w:pPr>
        <w:ind w:firstLine="708"/>
        <w:jc w:val="both"/>
        <w:rPr>
          <w:lang w:val="de-DE"/>
        </w:rPr>
      </w:pPr>
      <w:r w:rsidRPr="004676F5">
        <w:rPr>
          <w:i/>
          <w:lang w:val="de-DE"/>
        </w:rPr>
        <w:t>c) </w:t>
      </w:r>
      <w:r w:rsidRPr="004676F5">
        <w:rPr>
          <w:lang w:val="de-DE"/>
        </w:rPr>
        <w:t>Recht, eine hypothekarische Sicherung zu verlangen, selbst wenn dieses Recht in einer separaten Urkunde festgelegt ist, oder</w:t>
      </w:r>
    </w:p>
    <w:p w14:paraId="0BB08098" w14:textId="77777777" w:rsidR="00E358E9" w:rsidRPr="004676F5" w:rsidRDefault="00E358E9" w:rsidP="00E358E9">
      <w:pPr>
        <w:ind w:firstLine="708"/>
        <w:jc w:val="both"/>
        <w:rPr>
          <w:lang w:val="de-DE"/>
        </w:rPr>
      </w:pPr>
    </w:p>
    <w:p w14:paraId="0D420018" w14:textId="77777777" w:rsidR="006E180F" w:rsidRPr="004676F5" w:rsidRDefault="00E358E9" w:rsidP="00E358E9">
      <w:pPr>
        <w:ind w:firstLine="708"/>
        <w:jc w:val="both"/>
        <w:rPr>
          <w:lang w:val="de-DE"/>
        </w:rPr>
      </w:pPr>
      <w:r w:rsidRPr="004676F5">
        <w:rPr>
          <w:i/>
          <w:lang w:val="de-DE"/>
        </w:rPr>
        <w:t>d) </w:t>
      </w:r>
      <w:r w:rsidRPr="004676F5">
        <w:rPr>
          <w:lang w:val="de-DE"/>
        </w:rPr>
        <w:t>hypothekarische Sicherheit zugunsten der Person, die eine Sicherheit leistet,]</w:t>
      </w:r>
    </w:p>
    <w:p w14:paraId="380A4706" w14:textId="77777777" w:rsidR="00E358E9" w:rsidRPr="004676F5" w:rsidRDefault="00E358E9" w:rsidP="00E358E9">
      <w:pPr>
        <w:ind w:firstLine="708"/>
        <w:jc w:val="both"/>
        <w:rPr>
          <w:lang w:val="de-DE"/>
        </w:rPr>
      </w:pPr>
    </w:p>
    <w:p w14:paraId="7D5394C2" w14:textId="77777777" w:rsidR="00E358E9" w:rsidRPr="004676F5" w:rsidRDefault="00E358E9" w:rsidP="00E358E9">
      <w:pPr>
        <w:ind w:firstLine="708"/>
        <w:jc w:val="both"/>
        <w:rPr>
          <w:lang w:val="de-DE"/>
        </w:rPr>
      </w:pPr>
      <w:r w:rsidRPr="004676F5">
        <w:rPr>
          <w:lang w:val="de-DE"/>
        </w:rPr>
        <w:t>[53/1. Immobiliarhypothekarkredit: Kreditvertrag, der durch ein Recht an einer Wohn</w:t>
      </w:r>
      <w:r w:rsidRPr="004676F5">
        <w:rPr>
          <w:lang w:val="de-DE"/>
        </w:rPr>
        <w:softHyphen/>
        <w:t>immobilie oder eine hypothekarische Sicherheit besichert ist und zur Finanzierung des Erwerbs oder der Aufrechterhaltung von dinglichen Rechten an unbeweglichen Gütern bestimmt ist, und damit verbundene Kosten und Steuern, oder Refinanzierung eines solchen Kreditvertrags.</w:t>
      </w:r>
    </w:p>
    <w:p w14:paraId="0A7EBFAE" w14:textId="77777777" w:rsidR="00E358E9" w:rsidRPr="004676F5" w:rsidRDefault="00E358E9" w:rsidP="00E358E9">
      <w:pPr>
        <w:ind w:firstLine="708"/>
        <w:jc w:val="both"/>
        <w:rPr>
          <w:lang w:val="de-DE"/>
        </w:rPr>
      </w:pPr>
    </w:p>
    <w:p w14:paraId="3B8C2A96" w14:textId="77777777" w:rsidR="00E358E9" w:rsidRPr="004676F5" w:rsidRDefault="00E358E9" w:rsidP="00E358E9">
      <w:pPr>
        <w:ind w:firstLine="708"/>
        <w:jc w:val="both"/>
        <w:rPr>
          <w:lang w:val="de-DE"/>
        </w:rPr>
      </w:pPr>
      <w:r w:rsidRPr="004676F5">
        <w:rPr>
          <w:lang w:val="de-DE"/>
        </w:rPr>
        <w:t>Als Immobiliarhypothekarkredit gilt ebenfalls:</w:t>
      </w:r>
    </w:p>
    <w:p w14:paraId="0B4A9510" w14:textId="77777777" w:rsidR="00E358E9" w:rsidRPr="004676F5" w:rsidRDefault="00E358E9" w:rsidP="00E358E9">
      <w:pPr>
        <w:ind w:firstLine="708"/>
        <w:jc w:val="both"/>
        <w:rPr>
          <w:lang w:val="de-DE"/>
        </w:rPr>
      </w:pPr>
    </w:p>
    <w:p w14:paraId="47452EC0" w14:textId="77777777" w:rsidR="00E358E9" w:rsidRPr="004676F5" w:rsidRDefault="00E358E9" w:rsidP="00E358E9">
      <w:pPr>
        <w:ind w:firstLine="708"/>
        <w:jc w:val="both"/>
        <w:rPr>
          <w:lang w:val="de-DE"/>
        </w:rPr>
      </w:pPr>
      <w:r w:rsidRPr="004676F5">
        <w:rPr>
          <w:i/>
          <w:lang w:val="de-DE"/>
        </w:rPr>
        <w:t>a)</w:t>
      </w:r>
      <w:r w:rsidRPr="004676F5">
        <w:rPr>
          <w:lang w:val="de-DE"/>
        </w:rPr>
        <w:t> ein Kreditvertrag, der nicht durch eine hypothekarische Sicherheit besichert ist und zur Finanzierung des Erwerbs oder der Aufrechterhaltung von dinglichen Rechten an unbeweglichen Gütern bestimmt ist, die Renovierung eines unbeweglichen Gutes ausgenommen,</w:t>
      </w:r>
    </w:p>
    <w:p w14:paraId="441F4E79" w14:textId="77777777" w:rsidR="00E358E9" w:rsidRPr="004676F5" w:rsidRDefault="00E358E9" w:rsidP="00E358E9">
      <w:pPr>
        <w:ind w:firstLine="708"/>
        <w:jc w:val="both"/>
        <w:rPr>
          <w:lang w:val="de-DE"/>
        </w:rPr>
      </w:pPr>
    </w:p>
    <w:p w14:paraId="00123FD1" w14:textId="34B36B88" w:rsidR="00E358E9" w:rsidRPr="004676F5" w:rsidRDefault="00E358E9" w:rsidP="00E358E9">
      <w:pPr>
        <w:ind w:firstLine="708"/>
        <w:jc w:val="both"/>
        <w:rPr>
          <w:lang w:val="de-DE"/>
        </w:rPr>
      </w:pPr>
      <w:r w:rsidRPr="004676F5">
        <w:rPr>
          <w:i/>
          <w:lang w:val="de-DE"/>
        </w:rPr>
        <w:t>b)</w:t>
      </w:r>
      <w:r w:rsidRPr="004676F5">
        <w:rPr>
          <w:lang w:val="de-DE"/>
        </w:rPr>
        <w:t xml:space="preserve"> ein Kreditvertrag, der für Erwerb oder Erhaltung </w:t>
      </w:r>
      <w:r w:rsidR="002F53A1" w:rsidRPr="004676F5">
        <w:rPr>
          <w:lang w:val="de-DE"/>
        </w:rPr>
        <w:t>[</w:t>
      </w:r>
      <w:r w:rsidR="00AD2142" w:rsidRPr="004676F5">
        <w:rPr>
          <w:lang w:val="de-DE"/>
        </w:rPr>
        <w:t>eines Schiffes, das als Wohnschiff eingerichtet ist oder wird, bestimmt ist. Ein Wohnschiff ist ein Schiff oder eine schwimmende feste Plattform, das/die zu Wohnzwecken eingerichtet ist und mit einer Genehmigung oder Konzession für die Nutzung eines Liegeplatzes dauerhaft festgemacht ist,</w:t>
      </w:r>
      <w:r w:rsidR="00AD2142" w:rsidRPr="004676F5">
        <w:rPr>
          <w:rFonts w:eastAsia="Calibri"/>
          <w:lang w:val="de-DE"/>
        </w:rPr>
        <w:t>]</w:t>
      </w:r>
      <w:r w:rsidR="002F53A1" w:rsidRPr="004676F5">
        <w:rPr>
          <w:lang w:val="de-DE"/>
        </w:rPr>
        <w:t>]</w:t>
      </w:r>
    </w:p>
    <w:p w14:paraId="5726EFD1" w14:textId="77777777" w:rsidR="00E358E9" w:rsidRPr="004676F5" w:rsidRDefault="00E358E9" w:rsidP="00E358E9">
      <w:pPr>
        <w:ind w:firstLine="708"/>
        <w:jc w:val="both"/>
        <w:rPr>
          <w:lang w:val="de-DE"/>
        </w:rPr>
      </w:pPr>
    </w:p>
    <w:p w14:paraId="0BCB1C4B" w14:textId="6FF7196C" w:rsidR="00E358E9" w:rsidRPr="004676F5" w:rsidRDefault="002F53A1" w:rsidP="00E358E9">
      <w:pPr>
        <w:ind w:firstLine="708"/>
        <w:jc w:val="both"/>
        <w:rPr>
          <w:lang w:val="de-DE"/>
        </w:rPr>
      </w:pPr>
      <w:r w:rsidRPr="004676F5">
        <w:rPr>
          <w:lang w:val="de-DE"/>
        </w:rPr>
        <w:t>[</w:t>
      </w:r>
      <w:r w:rsidR="00E358E9" w:rsidRPr="004676F5">
        <w:rPr>
          <w:lang w:val="de-DE"/>
        </w:rPr>
        <w:t>53/2. Mobiliarhypothekarkredit: Kreditvertrag, der durch ein Recht an einer Wohn</w:t>
      </w:r>
      <w:r w:rsidR="00E358E9" w:rsidRPr="004676F5">
        <w:rPr>
          <w:lang w:val="de-DE"/>
        </w:rPr>
        <w:softHyphen/>
        <w:t>im</w:t>
      </w:r>
      <w:r w:rsidR="00E358E9" w:rsidRPr="004676F5">
        <w:rPr>
          <w:lang w:val="de-DE"/>
        </w:rPr>
        <w:softHyphen/>
        <w:t>mo</w:t>
      </w:r>
      <w:r w:rsidR="00E358E9" w:rsidRPr="004676F5">
        <w:rPr>
          <w:lang w:val="de-DE"/>
        </w:rPr>
        <w:softHyphen/>
        <w:t xml:space="preserve">bilie oder eine hypothekarische Sicherheit besichert ist und nicht zur Finanzierung des </w:t>
      </w:r>
      <w:r w:rsidR="00E358E9" w:rsidRPr="004676F5">
        <w:rPr>
          <w:lang w:val="de-DE"/>
        </w:rPr>
        <w:lastRenderedPageBreak/>
        <w:t>Erwerbs oder der Aufrechterhaltung von dinglichen Rechten an unbeweglichen Gütern be</w:t>
      </w:r>
      <w:r w:rsidR="00E358E9" w:rsidRPr="004676F5">
        <w:rPr>
          <w:lang w:val="de-DE"/>
        </w:rPr>
        <w:softHyphen/>
        <w:t>stimmt ist, und damit verbundene Kosten und Steuern, oder Refinanzierung eines solchen Kredit</w:t>
      </w:r>
      <w:r w:rsidR="00E358E9" w:rsidRPr="004676F5">
        <w:rPr>
          <w:lang w:val="de-DE"/>
        </w:rPr>
        <w:softHyphen/>
        <w:t>vertrags,</w:t>
      </w:r>
    </w:p>
    <w:p w14:paraId="0A091190" w14:textId="77777777" w:rsidR="00E358E9" w:rsidRPr="004676F5" w:rsidRDefault="00E358E9" w:rsidP="00E358E9">
      <w:pPr>
        <w:ind w:firstLine="708"/>
        <w:jc w:val="both"/>
        <w:rPr>
          <w:lang w:val="de-DE"/>
        </w:rPr>
      </w:pPr>
    </w:p>
    <w:p w14:paraId="18F36A27" w14:textId="031553A9" w:rsidR="00E358E9" w:rsidRPr="004676F5" w:rsidRDefault="00E358E9" w:rsidP="00E358E9">
      <w:pPr>
        <w:ind w:firstLine="708"/>
        <w:jc w:val="both"/>
        <w:rPr>
          <w:lang w:val="de-DE"/>
        </w:rPr>
      </w:pPr>
      <w:r w:rsidRPr="004676F5">
        <w:rPr>
          <w:lang w:val="de-DE"/>
        </w:rPr>
        <w:t>53/3. Hypothekarkredit: Kredit, der sowohl ein Mobiliar</w:t>
      </w:r>
      <w:r w:rsidR="005B7A5C" w:rsidRPr="004676F5">
        <w:rPr>
          <w:lang w:val="de-DE"/>
        </w:rPr>
        <w:t>- </w:t>
      </w:r>
      <w:r w:rsidRPr="004676F5">
        <w:rPr>
          <w:lang w:val="de-DE"/>
        </w:rPr>
        <w:t>als auch ein Immobiliar</w:t>
      </w:r>
      <w:r w:rsidRPr="004676F5">
        <w:rPr>
          <w:lang w:val="de-DE"/>
        </w:rPr>
        <w:softHyphen/>
        <w:t>hypothekarkredit sein kann,]</w:t>
      </w:r>
    </w:p>
    <w:p w14:paraId="4D3C0D6B" w14:textId="77777777" w:rsidR="006E180F" w:rsidRPr="004676F5" w:rsidRDefault="006E180F" w:rsidP="006E180F">
      <w:pPr>
        <w:rPr>
          <w:lang w:val="de-DE"/>
        </w:rPr>
      </w:pPr>
    </w:p>
    <w:p w14:paraId="13DBA501" w14:textId="77777777" w:rsidR="006E180F" w:rsidRPr="004676F5" w:rsidRDefault="006E180F" w:rsidP="006E180F">
      <w:pPr>
        <w:ind w:firstLine="708"/>
        <w:jc w:val="both"/>
        <w:rPr>
          <w:lang w:val="de-DE"/>
        </w:rPr>
      </w:pPr>
      <w:r w:rsidRPr="004676F5">
        <w:rPr>
          <w:lang w:val="de-DE"/>
        </w:rPr>
        <w:t>54. Verbraucherkredit: Kredit, ungeachtet seiner Bezeichnung oder Form, der einem Verbraucher gewährt wird und kein Hypothekarkredit ist,</w:t>
      </w:r>
    </w:p>
    <w:p w14:paraId="6C55D6C0" w14:textId="77777777" w:rsidR="006E180F" w:rsidRPr="004676F5" w:rsidRDefault="006E180F" w:rsidP="006E180F">
      <w:pPr>
        <w:ind w:firstLine="708"/>
        <w:jc w:val="both"/>
        <w:rPr>
          <w:lang w:val="de-DE"/>
        </w:rPr>
      </w:pPr>
    </w:p>
    <w:p w14:paraId="341C7737" w14:textId="77777777" w:rsidR="006E180F" w:rsidRPr="004676F5" w:rsidRDefault="006E180F" w:rsidP="006E180F">
      <w:pPr>
        <w:ind w:firstLine="708"/>
        <w:jc w:val="both"/>
        <w:rPr>
          <w:lang w:val="de-DE"/>
        </w:rPr>
      </w:pPr>
      <w:r w:rsidRPr="004676F5">
        <w:rPr>
          <w:lang w:val="de-DE"/>
        </w:rPr>
        <w:t>55. Schuldenvermittlung: Dienstleistungen, den Abschluss eines Kreditvertrags ausgenommen, im Hinblick auf das Zustandekommen einer Regelung in Bezug auf die Zahlungsmodalitäten für die Schuldenlast, die sich ganz oder teilweise aus einem oder mehreren Kreditverträgen ergibt,</w:t>
      </w:r>
    </w:p>
    <w:p w14:paraId="43164F5F" w14:textId="77777777" w:rsidR="006E180F" w:rsidRPr="004676F5" w:rsidRDefault="006E180F" w:rsidP="006E180F">
      <w:pPr>
        <w:ind w:firstLine="708"/>
        <w:jc w:val="both"/>
        <w:rPr>
          <w:lang w:val="de-DE"/>
        </w:rPr>
      </w:pPr>
    </w:p>
    <w:p w14:paraId="49EFD9E9" w14:textId="77777777" w:rsidR="006E180F" w:rsidRPr="004676F5" w:rsidRDefault="006E180F" w:rsidP="006E180F">
      <w:pPr>
        <w:ind w:firstLine="708"/>
        <w:jc w:val="both"/>
        <w:rPr>
          <w:lang w:val="de-DE"/>
        </w:rPr>
      </w:pPr>
      <w:r w:rsidRPr="004676F5">
        <w:rPr>
          <w:lang w:val="de-DE"/>
        </w:rPr>
        <w:t>56. Datenverarbeitung: die Verarbeitung personenbezogener Daten, wie sie in Artikel 1 § 2 des Gesetzes vom 8. Dezember 1992 über den Schutz des Privatlebens hinsichtlich der Verarbeitung personenbezogener Daten definiert ist,</w:t>
      </w:r>
    </w:p>
    <w:p w14:paraId="118796CA" w14:textId="77777777" w:rsidR="006E180F" w:rsidRPr="004676F5" w:rsidRDefault="006E180F" w:rsidP="006E180F">
      <w:pPr>
        <w:ind w:firstLine="708"/>
        <w:jc w:val="both"/>
        <w:rPr>
          <w:lang w:val="de-DE"/>
        </w:rPr>
      </w:pPr>
    </w:p>
    <w:p w14:paraId="19B08061" w14:textId="77777777" w:rsidR="006E180F" w:rsidRPr="004676F5" w:rsidRDefault="006E180F" w:rsidP="006E180F">
      <w:pPr>
        <w:ind w:firstLine="708"/>
        <w:jc w:val="both"/>
        <w:rPr>
          <w:lang w:val="de-DE"/>
        </w:rPr>
      </w:pPr>
      <w:r w:rsidRPr="004676F5">
        <w:rPr>
          <w:lang w:val="de-DE"/>
        </w:rPr>
        <w:t>57. Datei: die Datei, wie sie in Artikel 1 § 3 des Gesetzes vom 8. Dezember 1992 über den Schutz des Privatlebens hinsichtlich der Verarbeitung personenbezogener Daten definiert ist,</w:t>
      </w:r>
    </w:p>
    <w:p w14:paraId="2339B72C" w14:textId="77777777" w:rsidR="006E180F" w:rsidRPr="004676F5" w:rsidRDefault="006E180F" w:rsidP="006E180F">
      <w:pPr>
        <w:ind w:firstLine="708"/>
        <w:jc w:val="both"/>
        <w:rPr>
          <w:lang w:val="de-DE"/>
        </w:rPr>
      </w:pPr>
    </w:p>
    <w:p w14:paraId="7834D3B8" w14:textId="77777777" w:rsidR="006E180F" w:rsidRPr="004676F5" w:rsidRDefault="006E180F" w:rsidP="006E180F">
      <w:pPr>
        <w:ind w:firstLine="708"/>
        <w:jc w:val="both"/>
        <w:rPr>
          <w:lang w:val="de-DE"/>
        </w:rPr>
      </w:pPr>
      <w:r w:rsidRPr="004676F5">
        <w:rPr>
          <w:lang w:val="de-DE"/>
        </w:rPr>
        <w:t>58. für die Verarbeitung Verantwortlicher: der für die Verarbeitung Verantwortliche, wie er in Artikel 1 § 4 des Gesetzes vom 8. Dezember 1992 über den Schutz des Privatlebens hinsichtlich der Verarbeitung personenbezogener Daten definiert ist,</w:t>
      </w:r>
    </w:p>
    <w:p w14:paraId="1DAB37A7" w14:textId="77777777" w:rsidR="006E180F" w:rsidRPr="004676F5" w:rsidRDefault="006E180F" w:rsidP="006E180F">
      <w:pPr>
        <w:ind w:firstLine="708"/>
        <w:jc w:val="both"/>
        <w:rPr>
          <w:lang w:val="de-DE"/>
        </w:rPr>
      </w:pPr>
    </w:p>
    <w:p w14:paraId="4C82B43E" w14:textId="77777777" w:rsidR="006E180F" w:rsidRPr="004676F5" w:rsidRDefault="006E180F" w:rsidP="006E180F">
      <w:pPr>
        <w:ind w:firstLine="708"/>
        <w:jc w:val="both"/>
        <w:rPr>
          <w:lang w:val="de-DE"/>
        </w:rPr>
      </w:pPr>
      <w:r w:rsidRPr="004676F5">
        <w:rPr>
          <w:lang w:val="de-DE"/>
        </w:rPr>
        <w:t>59. Niederlassung des Kreditgebers oder Kreditvermittlers: Orte, wo er gewöhnlich sein Gewerbe ausübt, oder Niederlassung eines anderen Kreditgebers oder Kreditvermittlers,</w:t>
      </w:r>
    </w:p>
    <w:p w14:paraId="4D499FAA" w14:textId="77777777" w:rsidR="006E180F" w:rsidRPr="004676F5" w:rsidRDefault="006E180F" w:rsidP="006E180F">
      <w:pPr>
        <w:ind w:firstLine="708"/>
        <w:jc w:val="both"/>
        <w:rPr>
          <w:lang w:val="de-DE"/>
        </w:rPr>
      </w:pPr>
    </w:p>
    <w:p w14:paraId="1C7F213D" w14:textId="77777777" w:rsidR="006E180F" w:rsidRPr="004676F5" w:rsidRDefault="006E180F" w:rsidP="006E180F">
      <w:pPr>
        <w:ind w:firstLine="708"/>
        <w:jc w:val="both"/>
        <w:rPr>
          <w:lang w:val="de-DE"/>
        </w:rPr>
      </w:pPr>
      <w:r w:rsidRPr="004676F5">
        <w:rPr>
          <w:lang w:val="de-DE"/>
        </w:rPr>
        <w:t>60. Kapital: Hauptschuld, die Gegenstand des Kreditvertrags ist.</w:t>
      </w:r>
    </w:p>
    <w:p w14:paraId="542AEAE4" w14:textId="77777777" w:rsidR="006E180F" w:rsidRPr="004676F5" w:rsidRDefault="006E180F" w:rsidP="006E180F">
      <w:pPr>
        <w:ind w:firstLine="708"/>
        <w:jc w:val="both"/>
        <w:rPr>
          <w:lang w:val="de-DE"/>
        </w:rPr>
      </w:pPr>
    </w:p>
    <w:p w14:paraId="0D81FC7B" w14:textId="77777777" w:rsidR="006E180F" w:rsidRPr="004676F5" w:rsidRDefault="006E180F" w:rsidP="006E180F">
      <w:pPr>
        <w:ind w:firstLine="708"/>
        <w:jc w:val="both"/>
        <w:rPr>
          <w:lang w:val="de-DE"/>
        </w:rPr>
      </w:pPr>
      <w:r w:rsidRPr="004676F5">
        <w:rPr>
          <w:lang w:val="de-DE"/>
        </w:rPr>
        <w:t>Für Überziehungsmöglichkeiten und Überschreitungen ohne gestaffelte Rückzahlung der Hauptsumme: der vom Verbraucher aufgenommene Betrag zuzüglich der fälligen Sollzinsen und, im Falle eines einfachen Zahlungsverzugs wie in Artikel VII.106 § 2 erwähnt, der auf den Überschreitungsbetrag fälligen Verzugszinsen,</w:t>
      </w:r>
    </w:p>
    <w:p w14:paraId="4EBFB161" w14:textId="77777777" w:rsidR="006E180F" w:rsidRPr="004676F5" w:rsidRDefault="006E180F" w:rsidP="006E180F">
      <w:pPr>
        <w:ind w:firstLine="708"/>
        <w:jc w:val="both"/>
        <w:rPr>
          <w:lang w:val="de-DE"/>
        </w:rPr>
      </w:pPr>
    </w:p>
    <w:p w14:paraId="2B04C702" w14:textId="77777777" w:rsidR="006E180F" w:rsidRPr="004676F5" w:rsidRDefault="006E180F" w:rsidP="006E180F">
      <w:pPr>
        <w:ind w:firstLine="708"/>
        <w:jc w:val="both"/>
        <w:rPr>
          <w:lang w:val="de-DE"/>
        </w:rPr>
      </w:pPr>
      <w:r w:rsidRPr="004676F5">
        <w:rPr>
          <w:lang w:val="de-DE"/>
        </w:rPr>
        <w:t>61. Kapitalrückzahlung: Weise der Rückzahlung des Kapitals, wobei der Verbraucher die Verpflichtung eingeht, während der gesamten Dauer des Kredits Zahlungen vorzunehmen, die das Kapital unverzüglich in entsprechender Höhe verringern,</w:t>
      </w:r>
    </w:p>
    <w:p w14:paraId="7153595C" w14:textId="77777777" w:rsidR="006E180F" w:rsidRPr="004676F5" w:rsidRDefault="006E180F" w:rsidP="006E180F">
      <w:pPr>
        <w:ind w:firstLine="708"/>
        <w:jc w:val="both"/>
        <w:rPr>
          <w:lang w:val="de-DE"/>
        </w:rPr>
      </w:pPr>
    </w:p>
    <w:p w14:paraId="2598231F" w14:textId="77777777" w:rsidR="006E180F" w:rsidRPr="004676F5" w:rsidRDefault="006E180F" w:rsidP="006E180F">
      <w:pPr>
        <w:ind w:firstLine="708"/>
        <w:jc w:val="both"/>
        <w:rPr>
          <w:lang w:val="de-DE"/>
        </w:rPr>
      </w:pPr>
      <w:r w:rsidRPr="004676F5">
        <w:rPr>
          <w:lang w:val="de-DE"/>
        </w:rPr>
        <w:t xml:space="preserve">62. Kapitalwiederherstellung: Weise der Rückzahlung des Kapitals, wobei der Verbraucher die Verpflichtung eingeht, während der gesamten Dauer des Kreditvertrags Zahlungen vorzunehmen, die jedoch zu keiner unverzüglichen Befreiung in entsprechender Höhe dem Kreditgeber gegenüber führen, obwohl sie laut Vertrag für die Rückzahlung des Kapitals angewendet werden. Sie verringern das Kapital nur zu Zeitpunkten und unter Bedingungen, die im Vertrag oder in vorliegendem Buch vorgesehen sind, </w:t>
      </w:r>
    </w:p>
    <w:p w14:paraId="58882A1C" w14:textId="77777777" w:rsidR="006E180F" w:rsidRPr="004676F5" w:rsidRDefault="006E180F" w:rsidP="006E180F">
      <w:pPr>
        <w:ind w:firstLine="708"/>
        <w:jc w:val="both"/>
        <w:rPr>
          <w:lang w:val="de-DE"/>
        </w:rPr>
      </w:pPr>
    </w:p>
    <w:p w14:paraId="7AC469CE" w14:textId="77777777" w:rsidR="006E180F" w:rsidRPr="004676F5" w:rsidRDefault="006E180F" w:rsidP="006E180F">
      <w:pPr>
        <w:ind w:firstLine="708"/>
        <w:jc w:val="both"/>
        <w:rPr>
          <w:lang w:val="de-DE"/>
        </w:rPr>
      </w:pPr>
      <w:r w:rsidRPr="004676F5">
        <w:rPr>
          <w:lang w:val="de-DE"/>
        </w:rPr>
        <w:t>63. Restschuld: der zwecks Kapitaltilgung, -wiederherstellung oder -rückzahlung zu zahlende Betrag,</w:t>
      </w:r>
    </w:p>
    <w:p w14:paraId="5C1C0AC8" w14:textId="77777777" w:rsidR="006E180F" w:rsidRPr="004676F5" w:rsidRDefault="006E180F" w:rsidP="006E180F">
      <w:pPr>
        <w:ind w:firstLine="708"/>
        <w:jc w:val="both"/>
        <w:rPr>
          <w:lang w:val="de-DE"/>
        </w:rPr>
      </w:pPr>
    </w:p>
    <w:p w14:paraId="510934C1" w14:textId="77777777" w:rsidR="006E180F" w:rsidRPr="004676F5" w:rsidRDefault="006E180F" w:rsidP="006E180F">
      <w:pPr>
        <w:ind w:firstLine="708"/>
        <w:jc w:val="both"/>
        <w:rPr>
          <w:lang w:val="de-DE"/>
        </w:rPr>
      </w:pPr>
      <w:r w:rsidRPr="004676F5">
        <w:rPr>
          <w:lang w:val="de-DE"/>
        </w:rPr>
        <w:lastRenderedPageBreak/>
        <w:t>64. verbundener Kreditvertrag: ein Kreditvertrag, bei dem:</w:t>
      </w:r>
    </w:p>
    <w:p w14:paraId="6939BBEF" w14:textId="77777777" w:rsidR="006E180F" w:rsidRPr="004676F5" w:rsidRDefault="006E180F" w:rsidP="006E180F">
      <w:pPr>
        <w:ind w:firstLine="708"/>
        <w:jc w:val="both"/>
        <w:rPr>
          <w:lang w:val="de-DE"/>
        </w:rPr>
      </w:pPr>
    </w:p>
    <w:p w14:paraId="66EBA846" w14:textId="77777777" w:rsidR="006E180F" w:rsidRPr="004676F5" w:rsidRDefault="006E180F" w:rsidP="006E180F">
      <w:pPr>
        <w:ind w:firstLine="708"/>
        <w:jc w:val="both"/>
        <w:rPr>
          <w:lang w:val="de-DE"/>
        </w:rPr>
      </w:pPr>
      <w:r w:rsidRPr="004676F5">
        <w:rPr>
          <w:i/>
          <w:lang w:val="de-DE"/>
        </w:rPr>
        <w:t>a)</w:t>
      </w:r>
      <w:r w:rsidRPr="004676F5">
        <w:rPr>
          <w:lang w:val="de-DE"/>
        </w:rPr>
        <w:t> der betreffende Kredit ausschließlich der Finanzierung eines Vertrags über den Erwerb bestimmter Waren oder die Erbringung einer bestimmten Dienstleistung dient und</w:t>
      </w:r>
    </w:p>
    <w:p w14:paraId="79A36735" w14:textId="77777777" w:rsidR="006E180F" w:rsidRPr="004676F5" w:rsidRDefault="006E180F" w:rsidP="006E180F">
      <w:pPr>
        <w:ind w:firstLine="708"/>
        <w:jc w:val="both"/>
        <w:rPr>
          <w:lang w:val="de-DE"/>
        </w:rPr>
      </w:pPr>
    </w:p>
    <w:p w14:paraId="0CBB5E08" w14:textId="77777777" w:rsidR="006E180F" w:rsidRPr="004676F5" w:rsidRDefault="006E180F" w:rsidP="006E180F">
      <w:pPr>
        <w:ind w:firstLine="708"/>
        <w:jc w:val="both"/>
        <w:rPr>
          <w:lang w:val="de-DE"/>
        </w:rPr>
      </w:pPr>
      <w:r w:rsidRPr="004676F5">
        <w:rPr>
          <w:i/>
          <w:lang w:val="de-DE"/>
        </w:rPr>
        <w:t>b) </w:t>
      </w:r>
      <w:r w:rsidRPr="004676F5">
        <w:rPr>
          <w:lang w:val="de-DE"/>
        </w:rPr>
        <w:t>diese beiden Verträge objektiv betrachtet eine wirtschaftliche Einheit bilden. Von einer wirtschaftlichen Einheit ist auszugehen, wenn der Warenlieferant oder der Dienstleistungserbringer den Kredit zugunsten des Verbrauchers selbst finanziert oder wenn sich im Falle der Finanzierung durch einen Dritten der Kreditgeber bei der Vorbereitung oder dem Abschluss des Kreditvertrags der Mitwirkung des Warenlieferanten oder des Dienst</w:t>
      </w:r>
      <w:r w:rsidRPr="004676F5">
        <w:rPr>
          <w:lang w:val="de-DE"/>
        </w:rPr>
        <w:softHyphen/>
        <w:t>leistungserbringers bedient oder wenn im Kreditvertrag ausdrücklich die spezifischen Waren oder die Erbringung einer spezifischen Dienstleistung angegeben sind,</w:t>
      </w:r>
    </w:p>
    <w:p w14:paraId="0B132377" w14:textId="77777777" w:rsidR="006E180F" w:rsidRPr="004676F5" w:rsidRDefault="006E180F" w:rsidP="006E180F">
      <w:pPr>
        <w:ind w:firstLine="708"/>
        <w:jc w:val="both"/>
        <w:rPr>
          <w:lang w:val="de-DE"/>
        </w:rPr>
      </w:pPr>
    </w:p>
    <w:p w14:paraId="78443570" w14:textId="77777777" w:rsidR="006E180F" w:rsidRPr="004676F5" w:rsidRDefault="006E180F" w:rsidP="006E180F">
      <w:pPr>
        <w:ind w:firstLine="708"/>
        <w:jc w:val="both"/>
        <w:rPr>
          <w:lang w:val="de-DE"/>
        </w:rPr>
      </w:pPr>
      <w:r w:rsidRPr="004676F5">
        <w:rPr>
          <w:lang w:val="de-DE"/>
        </w:rPr>
        <w:t>65. Kreditbetrag: Obergrenze oder Summe aller Beträge, die aufgrund eines Kredit</w:t>
      </w:r>
      <w:r w:rsidRPr="004676F5">
        <w:rPr>
          <w:lang w:val="de-DE"/>
        </w:rPr>
        <w:softHyphen/>
        <w:t>vertrags zur Verfügung gestellt werden,</w:t>
      </w:r>
    </w:p>
    <w:p w14:paraId="6BC30624" w14:textId="77777777" w:rsidR="006E180F" w:rsidRPr="004676F5" w:rsidRDefault="006E180F" w:rsidP="006E180F">
      <w:pPr>
        <w:ind w:firstLine="708"/>
        <w:jc w:val="both"/>
        <w:rPr>
          <w:lang w:val="de-DE"/>
        </w:rPr>
      </w:pPr>
    </w:p>
    <w:p w14:paraId="33CF880B" w14:textId="77777777" w:rsidR="006E180F" w:rsidRPr="004676F5" w:rsidRDefault="006E180F" w:rsidP="006E180F">
      <w:pPr>
        <w:ind w:firstLine="708"/>
        <w:jc w:val="both"/>
        <w:rPr>
          <w:lang w:val="de-DE"/>
        </w:rPr>
      </w:pPr>
      <w:r w:rsidRPr="004676F5">
        <w:rPr>
          <w:lang w:val="de-DE"/>
        </w:rPr>
        <w:t>66. vom Verbraucher zu zahlender Gesamtbetrag: Summe des Kreditbetrags und der Gesamtkosten des Kredits für den Verbraucher, bei Leasing einschließlich des bei Ausübung der Kaufoption zu zahlenden Restwerts der Ware,</w:t>
      </w:r>
    </w:p>
    <w:p w14:paraId="3BA2D64D" w14:textId="77777777" w:rsidR="006E180F" w:rsidRPr="004676F5" w:rsidRDefault="006E180F" w:rsidP="006E180F">
      <w:pPr>
        <w:ind w:firstLine="708"/>
        <w:jc w:val="both"/>
        <w:rPr>
          <w:lang w:val="de-DE"/>
        </w:rPr>
      </w:pPr>
    </w:p>
    <w:p w14:paraId="71042CAC" w14:textId="77777777" w:rsidR="006E180F" w:rsidRPr="004676F5" w:rsidRDefault="006E180F" w:rsidP="006E180F">
      <w:pPr>
        <w:ind w:firstLine="708"/>
        <w:jc w:val="both"/>
        <w:rPr>
          <w:lang w:val="de-DE"/>
        </w:rPr>
      </w:pPr>
      <w:r w:rsidRPr="004676F5">
        <w:rPr>
          <w:lang w:val="de-DE"/>
        </w:rPr>
        <w:t>67. FSMA: die in Artikel 44 des Gesetzes vom 2. August 2002 erwähnte Autorität Finanzielle Dienste und Märkte,</w:t>
      </w:r>
    </w:p>
    <w:p w14:paraId="4832C77B" w14:textId="77777777" w:rsidR="006E180F" w:rsidRPr="004676F5" w:rsidRDefault="006E180F" w:rsidP="006E180F">
      <w:pPr>
        <w:ind w:firstLine="708"/>
        <w:jc w:val="both"/>
        <w:rPr>
          <w:lang w:val="de-DE"/>
        </w:rPr>
      </w:pPr>
    </w:p>
    <w:p w14:paraId="5F1BA368" w14:textId="77777777" w:rsidR="006E180F" w:rsidRPr="004676F5" w:rsidRDefault="006E180F" w:rsidP="006E180F">
      <w:pPr>
        <w:ind w:firstLine="708"/>
        <w:jc w:val="both"/>
        <w:rPr>
          <w:lang w:val="de-DE"/>
        </w:rPr>
      </w:pPr>
      <w:r w:rsidRPr="004676F5">
        <w:rPr>
          <w:lang w:val="de-DE"/>
        </w:rPr>
        <w:t>68. Bank: die Belgische Nationalbank,</w:t>
      </w:r>
    </w:p>
    <w:p w14:paraId="4258B1EF" w14:textId="77777777" w:rsidR="006E180F" w:rsidRPr="004676F5" w:rsidRDefault="006E180F" w:rsidP="006E180F">
      <w:pPr>
        <w:ind w:firstLine="708"/>
        <w:jc w:val="both"/>
        <w:rPr>
          <w:lang w:val="de-DE"/>
        </w:rPr>
      </w:pPr>
    </w:p>
    <w:p w14:paraId="5FAEFFE7" w14:textId="77777777" w:rsidR="006E180F" w:rsidRPr="004676F5" w:rsidRDefault="006E180F" w:rsidP="006E180F">
      <w:pPr>
        <w:ind w:firstLine="708"/>
        <w:jc w:val="both"/>
        <w:rPr>
          <w:lang w:val="de-DE"/>
        </w:rPr>
      </w:pPr>
      <w:r w:rsidRPr="004676F5">
        <w:rPr>
          <w:lang w:val="de-DE"/>
        </w:rPr>
        <w:t xml:space="preserve">69. Zentrale: die Zentrale für Kredite an Privatpersonen, die mit den in </w:t>
      </w:r>
      <w:r w:rsidR="001146AE" w:rsidRPr="004676F5">
        <w:rPr>
          <w:lang w:val="de-DE"/>
        </w:rPr>
        <w:t>[Artikel VII.148]</w:t>
      </w:r>
      <w:r w:rsidRPr="004676F5">
        <w:rPr>
          <w:lang w:val="de-DE"/>
        </w:rPr>
        <w:t xml:space="preserve"> erwähnten Aufträgen betraut ist,</w:t>
      </w:r>
    </w:p>
    <w:p w14:paraId="579C3834" w14:textId="77777777" w:rsidR="006E180F" w:rsidRPr="004676F5" w:rsidRDefault="006E180F" w:rsidP="006E180F">
      <w:pPr>
        <w:ind w:firstLine="708"/>
        <w:jc w:val="both"/>
        <w:rPr>
          <w:lang w:val="de-DE"/>
        </w:rPr>
      </w:pPr>
    </w:p>
    <w:p w14:paraId="1F250353" w14:textId="77777777" w:rsidR="006E180F" w:rsidRPr="004676F5" w:rsidRDefault="006E180F" w:rsidP="006E180F">
      <w:pPr>
        <w:ind w:firstLine="708"/>
        <w:jc w:val="both"/>
        <w:rPr>
          <w:lang w:val="de-DE"/>
        </w:rPr>
      </w:pPr>
      <w:r w:rsidRPr="004676F5">
        <w:rPr>
          <w:lang w:val="de-DE"/>
        </w:rPr>
        <w:t>70. Nebenleistung: dem Verbraucher angebotene Leistung im Zusammenhang mit dem Kreditvertrag oder dem Zahlungsdienst,</w:t>
      </w:r>
    </w:p>
    <w:p w14:paraId="69FD5839" w14:textId="77777777" w:rsidR="006E180F" w:rsidRPr="004676F5" w:rsidRDefault="006E180F" w:rsidP="006E180F">
      <w:pPr>
        <w:ind w:firstLine="708"/>
        <w:jc w:val="both"/>
        <w:rPr>
          <w:lang w:val="de-DE"/>
        </w:rPr>
      </w:pPr>
    </w:p>
    <w:p w14:paraId="372E7114" w14:textId="77777777" w:rsidR="006E180F" w:rsidRPr="004676F5" w:rsidRDefault="006E180F" w:rsidP="006E180F">
      <w:pPr>
        <w:ind w:firstLine="708"/>
        <w:jc w:val="both"/>
        <w:rPr>
          <w:lang w:val="de-DE"/>
        </w:rPr>
      </w:pPr>
      <w:r w:rsidRPr="004676F5">
        <w:rPr>
          <w:lang w:val="de-DE"/>
        </w:rPr>
        <w:t xml:space="preserve">71. Kreditinstitut: Kreditinstitute im Sinne von </w:t>
      </w:r>
      <w:r w:rsidR="001146AE" w:rsidRPr="004676F5">
        <w:rPr>
          <w:lang w:val="de-DE"/>
        </w:rPr>
        <w:t xml:space="preserve">[Artikel 1 § 3 des </w:t>
      </w:r>
      <w:r w:rsidR="001F377D" w:rsidRPr="004676F5">
        <w:rPr>
          <w:lang w:val="de-DE"/>
        </w:rPr>
        <w:t>[</w:t>
      </w:r>
      <w:r w:rsidR="001146AE" w:rsidRPr="004676F5">
        <w:rPr>
          <w:lang w:val="de-DE"/>
        </w:rPr>
        <w:t>Gesetzes vom 25. April 2014 über den Status und die Kontrolle der Kreditinstitute</w:t>
      </w:r>
      <w:r w:rsidR="001F377D" w:rsidRPr="004676F5">
        <w:rPr>
          <w:lang w:val="de-DE"/>
        </w:rPr>
        <w:t xml:space="preserve"> und der Börsengesellschaften]</w:t>
      </w:r>
      <w:r w:rsidR="001146AE" w:rsidRPr="004676F5">
        <w:rPr>
          <w:lang w:val="de-DE"/>
        </w:rPr>
        <w:t>]</w:t>
      </w:r>
      <w:r w:rsidRPr="004676F5">
        <w:rPr>
          <w:lang w:val="de-DE"/>
        </w:rPr>
        <w:t>,</w:t>
      </w:r>
    </w:p>
    <w:p w14:paraId="0BB4D519" w14:textId="77777777" w:rsidR="006E180F" w:rsidRPr="004676F5" w:rsidRDefault="006E180F" w:rsidP="006E180F">
      <w:pPr>
        <w:jc w:val="both"/>
        <w:rPr>
          <w:lang w:val="de-DE"/>
        </w:rPr>
      </w:pPr>
    </w:p>
    <w:p w14:paraId="335FE8D7" w14:textId="34B2F48A" w:rsidR="006E180F" w:rsidRPr="004676F5" w:rsidRDefault="006E180F" w:rsidP="006E180F">
      <w:pPr>
        <w:ind w:firstLine="708"/>
        <w:jc w:val="both"/>
        <w:rPr>
          <w:lang w:val="de-DE"/>
        </w:rPr>
      </w:pPr>
      <w:r w:rsidRPr="004676F5">
        <w:rPr>
          <w:lang w:val="de-DE"/>
        </w:rPr>
        <w:t xml:space="preserve">72. Versicherungsunternehmen: </w:t>
      </w:r>
      <w:r w:rsidR="0011796A" w:rsidRPr="004676F5">
        <w:rPr>
          <w:lang w:val="de-DE"/>
        </w:rPr>
        <w:t>[in Artikel 5 Absatz 1 Nr. 1 des Gesetzes vom 13. März 2016 über den Status und die Kontrolle der Versicherungs</w:t>
      </w:r>
      <w:r w:rsidR="005B7A5C" w:rsidRPr="004676F5">
        <w:rPr>
          <w:lang w:val="de-DE"/>
        </w:rPr>
        <w:t>- </w:t>
      </w:r>
      <w:r w:rsidR="0011796A" w:rsidRPr="004676F5">
        <w:rPr>
          <w:lang w:val="de-DE"/>
        </w:rPr>
        <w:t>oder Rückversicherungsunternehmen]</w:t>
      </w:r>
      <w:r w:rsidRPr="004676F5">
        <w:rPr>
          <w:lang w:val="de-DE"/>
        </w:rPr>
        <w:t xml:space="preserve"> erwähntes Versicherungsunternehmen, </w:t>
      </w:r>
    </w:p>
    <w:p w14:paraId="017441E6" w14:textId="77777777" w:rsidR="006E180F" w:rsidRPr="004676F5" w:rsidRDefault="006E180F" w:rsidP="006E180F">
      <w:pPr>
        <w:ind w:firstLine="708"/>
        <w:jc w:val="both"/>
        <w:rPr>
          <w:lang w:val="de-DE"/>
        </w:rPr>
      </w:pPr>
    </w:p>
    <w:p w14:paraId="6410B419" w14:textId="77777777" w:rsidR="006E180F" w:rsidRPr="004676F5" w:rsidRDefault="006E180F" w:rsidP="006E180F">
      <w:pPr>
        <w:ind w:firstLine="708"/>
        <w:jc w:val="both"/>
        <w:rPr>
          <w:lang w:val="de-DE"/>
        </w:rPr>
      </w:pPr>
      <w:r w:rsidRPr="004676F5">
        <w:rPr>
          <w:lang w:val="de-DE"/>
        </w:rPr>
        <w:t>73. beaufsichtigtes Unternehmen: beaufsichtigtes Unternehmen im Sinne von Artikel 1 Nr. 7 des Königlichen Erlasses vom 21. November 2005 zur Organisation der zusätzlichen Beaufsichtigung der Kreditinstitute, Versicherungsunternehmen, Investmentgesellschaften und Verwaltungsgesellschaften von Organismen für gemeinsame Anlagen einer Finanz</w:t>
      </w:r>
      <w:r w:rsidRPr="004676F5">
        <w:rPr>
          <w:lang w:val="de-DE"/>
        </w:rPr>
        <w:softHyphen/>
        <w:t>dienstleistungsgruppe und zur Abänderung des Königlichen Erlasses vom 22. Februar 1991 zur Einführung einer allgemeinen Regelung über die Kontrolle der Versicherungs</w:t>
      </w:r>
      <w:r w:rsidRPr="004676F5">
        <w:rPr>
          <w:lang w:val="de-DE"/>
        </w:rPr>
        <w:softHyphen/>
        <w:t>unternehmen und des Königlichen Erlasses vom 12. August 1994 über die Beaufsichtigung von Kreditinstituten auf konsolidierter Basis,</w:t>
      </w:r>
    </w:p>
    <w:p w14:paraId="6FDA0EFA" w14:textId="77777777" w:rsidR="006E180F" w:rsidRPr="004676F5" w:rsidRDefault="006E180F" w:rsidP="006E180F">
      <w:pPr>
        <w:ind w:firstLine="708"/>
        <w:jc w:val="both"/>
        <w:rPr>
          <w:lang w:val="de-DE"/>
        </w:rPr>
      </w:pPr>
    </w:p>
    <w:p w14:paraId="1B7D87B5" w14:textId="77777777" w:rsidR="006E180F" w:rsidRPr="004676F5" w:rsidRDefault="006E180F" w:rsidP="006E180F">
      <w:pPr>
        <w:ind w:firstLine="708"/>
        <w:jc w:val="both"/>
        <w:rPr>
          <w:lang w:val="de-DE"/>
        </w:rPr>
      </w:pPr>
      <w:r w:rsidRPr="004676F5">
        <w:rPr>
          <w:lang w:val="de-DE"/>
        </w:rPr>
        <w:t>74. Vermittlungsvertreter: natürliche oder juristische Person, die als Kreditvermittler für Rechnung und unter unbeschränkter und vorbehaltloser Haftung eines einzigen Kreditvermittlers handelt,</w:t>
      </w:r>
      <w:r w:rsidR="00E728E1" w:rsidRPr="004676F5">
        <w:rPr>
          <w:lang w:val="de-DE"/>
        </w:rPr>
        <w:t xml:space="preserve"> [der kein Vermittlungsvertreter ist,]</w:t>
      </w:r>
    </w:p>
    <w:p w14:paraId="39CBDA09" w14:textId="77777777" w:rsidR="006E180F" w:rsidRPr="004676F5" w:rsidRDefault="006E180F" w:rsidP="006E180F">
      <w:pPr>
        <w:ind w:firstLine="708"/>
        <w:jc w:val="both"/>
        <w:rPr>
          <w:lang w:val="de-DE"/>
        </w:rPr>
      </w:pPr>
    </w:p>
    <w:p w14:paraId="5C785659" w14:textId="77777777" w:rsidR="006E180F" w:rsidRPr="004676F5" w:rsidRDefault="006E180F" w:rsidP="006E180F">
      <w:pPr>
        <w:ind w:firstLine="708"/>
        <w:jc w:val="both"/>
        <w:rPr>
          <w:lang w:val="de-DE"/>
        </w:rPr>
      </w:pPr>
      <w:r w:rsidRPr="004676F5">
        <w:rPr>
          <w:lang w:val="de-DE"/>
        </w:rPr>
        <w:t>75. </w:t>
      </w:r>
      <w:r w:rsidR="00E358E9" w:rsidRPr="004676F5">
        <w:rPr>
          <w:lang w:val="de-DE"/>
        </w:rPr>
        <w:t>[…]</w:t>
      </w:r>
    </w:p>
    <w:p w14:paraId="0F956E53" w14:textId="77777777" w:rsidR="006E180F" w:rsidRPr="004676F5" w:rsidRDefault="006E180F" w:rsidP="006E180F">
      <w:pPr>
        <w:ind w:firstLine="708"/>
        <w:jc w:val="both"/>
        <w:rPr>
          <w:lang w:val="de-DE"/>
        </w:rPr>
      </w:pPr>
    </w:p>
    <w:p w14:paraId="72B61F65" w14:textId="5EA27FEC" w:rsidR="006E180F" w:rsidRPr="004676F5" w:rsidRDefault="006E180F" w:rsidP="006E180F">
      <w:pPr>
        <w:ind w:firstLine="708"/>
        <w:jc w:val="both"/>
        <w:rPr>
          <w:lang w:val="de-DE"/>
        </w:rPr>
      </w:pPr>
      <w:r w:rsidRPr="004676F5">
        <w:rPr>
          <w:lang w:val="de-DE"/>
        </w:rPr>
        <w:t>76. Herkunftsmitgliedstaat:</w:t>
      </w:r>
    </w:p>
    <w:p w14:paraId="4FDF5D34" w14:textId="77777777" w:rsidR="006E180F" w:rsidRPr="004676F5" w:rsidRDefault="006E180F" w:rsidP="006E180F">
      <w:pPr>
        <w:ind w:firstLine="708"/>
        <w:jc w:val="both"/>
        <w:rPr>
          <w:lang w:val="de-DE"/>
        </w:rPr>
      </w:pPr>
    </w:p>
    <w:p w14:paraId="470762F1" w14:textId="77777777" w:rsidR="006E180F" w:rsidRPr="004676F5" w:rsidRDefault="006E180F" w:rsidP="006E180F">
      <w:pPr>
        <w:ind w:firstLine="708"/>
        <w:jc w:val="both"/>
        <w:rPr>
          <w:lang w:val="de-DE"/>
        </w:rPr>
      </w:pPr>
      <w:r w:rsidRPr="004676F5">
        <w:rPr>
          <w:i/>
          <w:lang w:val="de-DE"/>
        </w:rPr>
        <w:t>a)</w:t>
      </w:r>
      <w:r w:rsidRPr="004676F5">
        <w:rPr>
          <w:lang w:val="de-DE"/>
        </w:rPr>
        <w:t> wenn Kreditgeber oder Kreditvermittler eine natürliche Person ist, Mitgliedstaat, in dem sich seine Hauptverwaltung befindet,</w:t>
      </w:r>
    </w:p>
    <w:p w14:paraId="016B833C" w14:textId="77777777" w:rsidR="006E180F" w:rsidRPr="004676F5" w:rsidRDefault="006E180F" w:rsidP="006E180F">
      <w:pPr>
        <w:ind w:firstLine="708"/>
        <w:jc w:val="both"/>
        <w:rPr>
          <w:lang w:val="de-DE"/>
        </w:rPr>
      </w:pPr>
    </w:p>
    <w:p w14:paraId="14963372" w14:textId="77777777" w:rsidR="006E180F" w:rsidRPr="004676F5" w:rsidRDefault="006E180F" w:rsidP="006E180F">
      <w:pPr>
        <w:ind w:firstLine="708"/>
        <w:jc w:val="both"/>
        <w:rPr>
          <w:lang w:val="de-DE"/>
        </w:rPr>
      </w:pPr>
      <w:r w:rsidRPr="004676F5">
        <w:rPr>
          <w:i/>
          <w:lang w:val="de-DE"/>
        </w:rPr>
        <w:t>b)</w:t>
      </w:r>
      <w:r w:rsidRPr="004676F5">
        <w:rPr>
          <w:lang w:val="de-DE"/>
        </w:rPr>
        <w:t> wenn Kreditgeber oder Kreditvermittler eine juristische Person ist, Mitgliedstaat, in dem sich sein satzungsmäßiger Sitz befindet, oder, wenn er aufgrund seines nationalen Rechts keinen satzungsmäßigen Sitz hat, Mitgliedstaat, in dem sich seine Hauptverwaltung befindet,</w:t>
      </w:r>
    </w:p>
    <w:p w14:paraId="61405B0E" w14:textId="77777777" w:rsidR="006E180F" w:rsidRPr="004676F5" w:rsidRDefault="006E180F" w:rsidP="006E180F">
      <w:pPr>
        <w:ind w:firstLine="708"/>
        <w:jc w:val="both"/>
        <w:rPr>
          <w:lang w:val="de-DE"/>
        </w:rPr>
      </w:pPr>
    </w:p>
    <w:p w14:paraId="7CF207BA" w14:textId="77777777" w:rsidR="006E180F" w:rsidRPr="004676F5" w:rsidRDefault="006E180F" w:rsidP="006E180F">
      <w:pPr>
        <w:ind w:firstLine="708"/>
        <w:jc w:val="both"/>
        <w:rPr>
          <w:lang w:val="de-DE"/>
        </w:rPr>
      </w:pPr>
      <w:r w:rsidRPr="004676F5">
        <w:rPr>
          <w:lang w:val="de-DE"/>
        </w:rPr>
        <w:t>77. Aufnahmemitgliedstaat: Mitgliedstaat, der nicht der Herkunftsmitgliedstaat ist und in dem der Kreditgeber oder der Kreditvermittler eine Zweigniederlassung hat oder Dienste anbietet,</w:t>
      </w:r>
    </w:p>
    <w:p w14:paraId="6C1F78C8" w14:textId="1DBECA9D" w:rsidR="006E180F" w:rsidRPr="004676F5" w:rsidRDefault="006E180F" w:rsidP="006E180F">
      <w:pPr>
        <w:ind w:firstLine="708"/>
        <w:jc w:val="both"/>
        <w:rPr>
          <w:lang w:val="de-DE"/>
        </w:rPr>
      </w:pPr>
    </w:p>
    <w:p w14:paraId="0E698792" w14:textId="77777777" w:rsidR="006E180F" w:rsidRPr="004676F5" w:rsidRDefault="006E180F" w:rsidP="006E180F">
      <w:pPr>
        <w:ind w:firstLine="708"/>
        <w:jc w:val="both"/>
        <w:rPr>
          <w:lang w:val="de-DE"/>
        </w:rPr>
      </w:pPr>
      <w:r w:rsidRPr="004676F5">
        <w:rPr>
          <w:lang w:val="de-DE"/>
        </w:rPr>
        <w:t xml:space="preserve">78. Vertriebsbeauftragter: natürliche Person, die der Leitung eines Kreditgebers oder Kreditvermittlers angehört, oder Arbeitnehmer im Dienste einer solchen Person, die/der de facto die Verantwortung für die Vermittlungstätigkeit trägt oder die Aussicht über diese Tätigkeit ausübt, </w:t>
      </w:r>
    </w:p>
    <w:p w14:paraId="0182A9B6" w14:textId="77777777" w:rsidR="006E180F" w:rsidRPr="004676F5" w:rsidRDefault="006E180F" w:rsidP="006E180F">
      <w:pPr>
        <w:ind w:firstLine="708"/>
        <w:jc w:val="both"/>
        <w:rPr>
          <w:lang w:val="de-DE"/>
        </w:rPr>
      </w:pPr>
    </w:p>
    <w:p w14:paraId="0CB54B0A" w14:textId="7BF48AC8" w:rsidR="006E180F" w:rsidRPr="004676F5" w:rsidRDefault="006E180F" w:rsidP="006E180F">
      <w:pPr>
        <w:ind w:firstLine="708"/>
        <w:jc w:val="both"/>
        <w:rPr>
          <w:lang w:val="de-DE"/>
        </w:rPr>
      </w:pPr>
      <w:r w:rsidRPr="004676F5">
        <w:rPr>
          <w:lang w:val="de-DE"/>
        </w:rPr>
        <w:t>79. </w:t>
      </w:r>
      <w:r w:rsidR="00DE30A4" w:rsidRPr="004676F5">
        <w:rPr>
          <w:lang w:val="de-DE"/>
        </w:rPr>
        <w:t>[Personen mit Kundenkontakt: natürliche Personen, der Vertriebsbeauftragte ausgenommen, die bei einem Kreditgeber oder Kreditvermittler in irgendeiner Weise mit der Öffentlichkeit in Kontakt stehen, um Kreditverträge vorzuschlagen oder Information zu Kreditverträgen zu erteilen; Personen mit Kundenkontakt gleichgestellt sind Personen, die direkt an den Vermittlungstätigkeiten beteiligt sind, auch ohne mit der Öffentlichkeit in Kontakt zu stehen,]</w:t>
      </w:r>
    </w:p>
    <w:p w14:paraId="220C80A6" w14:textId="77777777" w:rsidR="006E180F" w:rsidRPr="004676F5" w:rsidRDefault="006E180F" w:rsidP="006E180F">
      <w:pPr>
        <w:ind w:firstLine="708"/>
        <w:jc w:val="both"/>
        <w:rPr>
          <w:lang w:val="de-DE"/>
        </w:rPr>
      </w:pPr>
    </w:p>
    <w:p w14:paraId="54B02041" w14:textId="77777777" w:rsidR="006E180F" w:rsidRPr="004676F5" w:rsidRDefault="006E180F" w:rsidP="006E180F">
      <w:pPr>
        <w:ind w:firstLine="708"/>
        <w:jc w:val="both"/>
        <w:rPr>
          <w:lang w:val="de-DE"/>
        </w:rPr>
      </w:pPr>
      <w:r w:rsidRPr="004676F5">
        <w:rPr>
          <w:lang w:val="de-DE"/>
        </w:rPr>
        <w:t>80. Gesetz vom 2. August 2002: das Gesetz vom 2. August 2002 über die Aufsicht über den Finanzsektor und die Finanzdienstleistungen,</w:t>
      </w:r>
    </w:p>
    <w:p w14:paraId="03D24BCD" w14:textId="77777777" w:rsidR="006E180F" w:rsidRPr="004676F5" w:rsidRDefault="006E180F" w:rsidP="006E180F">
      <w:pPr>
        <w:ind w:firstLine="708"/>
        <w:jc w:val="both"/>
        <w:rPr>
          <w:lang w:val="de-DE"/>
        </w:rPr>
      </w:pPr>
    </w:p>
    <w:p w14:paraId="35B29BBD" w14:textId="77777777" w:rsidR="00144CA6" w:rsidRPr="004676F5" w:rsidRDefault="006E180F" w:rsidP="006E180F">
      <w:pPr>
        <w:jc w:val="both"/>
        <w:rPr>
          <w:lang w:val="de-DE"/>
        </w:rPr>
      </w:pPr>
      <w:r w:rsidRPr="004676F5">
        <w:rPr>
          <w:lang w:val="de-DE"/>
        </w:rPr>
        <w:tab/>
        <w:t>81. nebenberufliche Vertreter: Verkäufer von Gütern und Dienstleistungen nicht finanzieller Art, die für Rechnung eines oder mehrerer Kreditgeber als nebenberufliche Verbraucherkreditvermittler auftreten</w:t>
      </w:r>
      <w:r w:rsidR="00E728E1" w:rsidRPr="004676F5">
        <w:rPr>
          <w:lang w:val="de-DE"/>
        </w:rPr>
        <w:t>,</w:t>
      </w:r>
      <w:r w:rsidRPr="004676F5">
        <w:rPr>
          <w:lang w:val="de-DE"/>
        </w:rPr>
        <w:t>]</w:t>
      </w:r>
    </w:p>
    <w:p w14:paraId="200D7834" w14:textId="77777777" w:rsidR="00E728E1" w:rsidRPr="004676F5" w:rsidRDefault="00E728E1" w:rsidP="006E180F">
      <w:pPr>
        <w:jc w:val="both"/>
        <w:rPr>
          <w:lang w:val="de-DE"/>
        </w:rPr>
      </w:pPr>
    </w:p>
    <w:p w14:paraId="3FC934DD" w14:textId="77777777" w:rsidR="00E728E1" w:rsidRPr="004676F5" w:rsidRDefault="00E728E1" w:rsidP="00E728E1">
      <w:pPr>
        <w:ind w:firstLine="708"/>
        <w:jc w:val="both"/>
        <w:rPr>
          <w:lang w:val="de-DE"/>
        </w:rPr>
      </w:pPr>
      <w:r w:rsidRPr="004676F5">
        <w:rPr>
          <w:lang w:val="de-DE"/>
        </w:rPr>
        <w:t xml:space="preserve">[82. Gesetz vom 25. April 2014: das </w:t>
      </w:r>
      <w:r w:rsidR="001F377D" w:rsidRPr="004676F5">
        <w:rPr>
          <w:lang w:val="de-DE"/>
        </w:rPr>
        <w:t>[Gesetz vom 25. April 2014 über den Status und die Kontrolle der Kreditinstitute und der Börsengesellschaften]</w:t>
      </w:r>
      <w:r w:rsidRPr="004676F5">
        <w:rPr>
          <w:lang w:val="de-DE"/>
        </w:rPr>
        <w:t>,</w:t>
      </w:r>
      <w:r w:rsidR="00C76DF6" w:rsidRPr="004676F5">
        <w:rPr>
          <w:lang w:val="de-DE"/>
        </w:rPr>
        <w:t>]</w:t>
      </w:r>
    </w:p>
    <w:p w14:paraId="24FDD130" w14:textId="77777777" w:rsidR="00E728E1" w:rsidRPr="004676F5" w:rsidRDefault="00E728E1" w:rsidP="00E728E1">
      <w:pPr>
        <w:ind w:firstLine="708"/>
        <w:jc w:val="both"/>
        <w:rPr>
          <w:lang w:val="de-DE"/>
        </w:rPr>
      </w:pPr>
    </w:p>
    <w:p w14:paraId="384EDC2E" w14:textId="76AEB390" w:rsidR="00E728E1" w:rsidRPr="004676F5" w:rsidRDefault="00E728E1" w:rsidP="00E728E1">
      <w:pPr>
        <w:jc w:val="both"/>
        <w:rPr>
          <w:lang w:val="de-DE"/>
        </w:rPr>
      </w:pPr>
      <w:r w:rsidRPr="004676F5">
        <w:rPr>
          <w:lang w:val="de-DE"/>
        </w:rPr>
        <w:tab/>
      </w:r>
      <w:r w:rsidR="00C76DF6" w:rsidRPr="004676F5">
        <w:rPr>
          <w:lang w:val="de-DE"/>
        </w:rPr>
        <w:t>[</w:t>
      </w:r>
      <w:r w:rsidRPr="004676F5">
        <w:rPr>
          <w:lang w:val="de-DE"/>
        </w:rPr>
        <w:t>83. </w:t>
      </w:r>
      <w:r w:rsidR="00C76DF6" w:rsidRPr="004676F5">
        <w:rPr>
          <w:lang w:val="de-DE"/>
        </w:rPr>
        <w:t>[Gesetz vom 25. Oktober 2016: das Gesetz vom 25. Oktober 2016 über den Zugang zu Wertpapierdienstleistungstätigkeiten und den Status und die Kontrolle der Vermögensverwaltungs</w:t>
      </w:r>
      <w:r w:rsidR="005B7A5C" w:rsidRPr="004676F5">
        <w:rPr>
          <w:lang w:val="de-DE"/>
        </w:rPr>
        <w:t>- </w:t>
      </w:r>
      <w:r w:rsidR="00C76DF6" w:rsidRPr="004676F5">
        <w:rPr>
          <w:lang w:val="de-DE"/>
        </w:rPr>
        <w:t>und Anlageberatungsgesellschaften</w:t>
      </w:r>
      <w:r w:rsidR="006868C3" w:rsidRPr="004676F5">
        <w:rPr>
          <w:lang w:val="de-DE"/>
        </w:rPr>
        <w:t>,</w:t>
      </w:r>
      <w:r w:rsidR="00C76DF6" w:rsidRPr="004676F5">
        <w:rPr>
          <w:lang w:val="de-DE"/>
        </w:rPr>
        <w:t>]</w:t>
      </w:r>
      <w:r w:rsidRPr="004676F5">
        <w:rPr>
          <w:lang w:val="de-DE"/>
        </w:rPr>
        <w:t>]</w:t>
      </w:r>
    </w:p>
    <w:p w14:paraId="44619DF6" w14:textId="77777777" w:rsidR="00E358E9" w:rsidRPr="004676F5" w:rsidRDefault="00E358E9" w:rsidP="00E728E1">
      <w:pPr>
        <w:jc w:val="both"/>
        <w:rPr>
          <w:lang w:val="de-DE"/>
        </w:rPr>
      </w:pPr>
    </w:p>
    <w:p w14:paraId="6FF5CA9E" w14:textId="77777777" w:rsidR="00E358E9" w:rsidRPr="004676F5" w:rsidRDefault="00E358E9" w:rsidP="00E358E9">
      <w:pPr>
        <w:ind w:firstLine="708"/>
        <w:jc w:val="both"/>
        <w:rPr>
          <w:lang w:val="de-DE"/>
        </w:rPr>
      </w:pPr>
      <w:r w:rsidRPr="004676F5">
        <w:rPr>
          <w:lang w:val="de-DE"/>
        </w:rPr>
        <w:t>[84. Kreditwürdigkeitsprüfung: Bewertung der Aussicht, dass den Schuldverpflich–tungen aus dem Kreditvertrag nachgekommen wird,</w:t>
      </w:r>
    </w:p>
    <w:p w14:paraId="436B10F3" w14:textId="77777777" w:rsidR="00E358E9" w:rsidRPr="004676F5" w:rsidRDefault="00E358E9" w:rsidP="00E358E9">
      <w:pPr>
        <w:ind w:firstLine="708"/>
        <w:jc w:val="both"/>
        <w:rPr>
          <w:lang w:val="de-DE"/>
        </w:rPr>
      </w:pPr>
    </w:p>
    <w:p w14:paraId="7D76165C" w14:textId="77777777" w:rsidR="00E358E9" w:rsidRPr="004676F5" w:rsidRDefault="00E358E9" w:rsidP="00E358E9">
      <w:pPr>
        <w:ind w:firstLine="708"/>
        <w:jc w:val="both"/>
        <w:rPr>
          <w:lang w:val="de-DE"/>
        </w:rPr>
      </w:pPr>
      <w:r w:rsidRPr="004676F5">
        <w:rPr>
          <w:lang w:val="de-DE"/>
        </w:rPr>
        <w:t>85. Beratungsdienstleistungen: Erteilung individueller Empfehlungen an einen Verbraucher in Bezug auf ein oder mehrere Geschäfte im Zusammenhang mit Kreditverträgen,</w:t>
      </w:r>
    </w:p>
    <w:p w14:paraId="3644D0B1" w14:textId="77777777" w:rsidR="00E358E9" w:rsidRPr="004676F5" w:rsidRDefault="00E358E9" w:rsidP="00E358E9">
      <w:pPr>
        <w:ind w:firstLine="708"/>
        <w:jc w:val="both"/>
        <w:rPr>
          <w:lang w:val="de-DE"/>
        </w:rPr>
      </w:pPr>
    </w:p>
    <w:p w14:paraId="0906E727" w14:textId="77777777" w:rsidR="00E358E9" w:rsidRPr="004676F5" w:rsidRDefault="00E358E9" w:rsidP="00E358E9">
      <w:pPr>
        <w:ind w:firstLine="708"/>
        <w:jc w:val="both"/>
        <w:rPr>
          <w:lang w:val="de-DE"/>
        </w:rPr>
      </w:pPr>
      <w:r w:rsidRPr="004676F5">
        <w:rPr>
          <w:lang w:val="de-DE"/>
        </w:rPr>
        <w:t xml:space="preserve">86. Eventualverpflichtung oder Garantie: Kreditvertrag, der als Garantie für ein anderes getrenntes, aber im Zusammenhang stehendes Geschäft dient und bei dem das mit einem </w:t>
      </w:r>
      <w:r w:rsidRPr="004676F5">
        <w:rPr>
          <w:lang w:val="de-DE"/>
        </w:rPr>
        <w:lastRenderedPageBreak/>
        <w:t>unbeweglichen Gut besicherte Kapital nur in Anspruch genommen wird, wenn ein oder mehrere im Vertrag angegebene Fälle eintreten,</w:t>
      </w:r>
    </w:p>
    <w:p w14:paraId="68DE7644" w14:textId="77777777" w:rsidR="00E358E9" w:rsidRPr="004676F5" w:rsidRDefault="00E358E9" w:rsidP="00E358E9">
      <w:pPr>
        <w:ind w:firstLine="708"/>
        <w:jc w:val="both"/>
        <w:rPr>
          <w:lang w:val="de-DE"/>
        </w:rPr>
      </w:pPr>
    </w:p>
    <w:p w14:paraId="396C0A43" w14:textId="77777777" w:rsidR="00E358E9" w:rsidRPr="004676F5" w:rsidRDefault="00E358E9" w:rsidP="00E358E9">
      <w:pPr>
        <w:ind w:firstLine="708"/>
        <w:jc w:val="both"/>
        <w:rPr>
          <w:lang w:val="de-DE"/>
        </w:rPr>
      </w:pPr>
      <w:r w:rsidRPr="004676F5">
        <w:rPr>
          <w:lang w:val="de-DE"/>
        </w:rPr>
        <w:t>87. Kreditvertrag mit Wertbeteiligung: Kreditvertrag, bei dem das zurückzuzahlende Kapital auf einem vertraglich festgelegten Prozentsatz des Werts des unbeweglichen Guts zum Zeitpunkt der Rückzahlung oder der Rückzahlungen des Kapitals beruht,</w:t>
      </w:r>
    </w:p>
    <w:p w14:paraId="00D273FA" w14:textId="77777777" w:rsidR="00E358E9" w:rsidRPr="004676F5" w:rsidRDefault="00E358E9" w:rsidP="00E358E9">
      <w:pPr>
        <w:ind w:firstLine="708"/>
        <w:jc w:val="both"/>
        <w:rPr>
          <w:lang w:val="de-DE"/>
        </w:rPr>
      </w:pPr>
    </w:p>
    <w:p w14:paraId="24B7E3D0" w14:textId="77777777" w:rsidR="00E358E9" w:rsidRPr="004676F5" w:rsidRDefault="00E358E9" w:rsidP="00E358E9">
      <w:pPr>
        <w:ind w:firstLine="708"/>
        <w:jc w:val="both"/>
        <w:rPr>
          <w:lang w:val="de-DE"/>
        </w:rPr>
      </w:pPr>
      <w:r w:rsidRPr="004676F5">
        <w:rPr>
          <w:lang w:val="de-DE"/>
        </w:rPr>
        <w:t>88. Kopplungsgeschäft: Angebot oder Abschluss eines Kreditvertrags in einem Paket gemeinsam mit anderen gesonderten Finanzprodukten oder -dienstleistungen, bei dem der Kreditvertrag nicht separat von dem Verbraucher abgeschlossen werden kann,</w:t>
      </w:r>
    </w:p>
    <w:p w14:paraId="3DAB5990" w14:textId="77777777" w:rsidR="00E358E9" w:rsidRPr="004676F5" w:rsidRDefault="00E358E9" w:rsidP="00E358E9">
      <w:pPr>
        <w:ind w:firstLine="708"/>
        <w:jc w:val="both"/>
        <w:rPr>
          <w:lang w:val="de-DE"/>
        </w:rPr>
      </w:pPr>
    </w:p>
    <w:p w14:paraId="7197B4BA" w14:textId="77777777" w:rsidR="00E358E9" w:rsidRPr="004676F5" w:rsidRDefault="00E358E9" w:rsidP="00E358E9">
      <w:pPr>
        <w:ind w:firstLine="708"/>
        <w:jc w:val="both"/>
        <w:rPr>
          <w:lang w:val="de-DE"/>
        </w:rPr>
      </w:pPr>
      <w:r w:rsidRPr="004676F5">
        <w:rPr>
          <w:lang w:val="de-DE"/>
        </w:rPr>
        <w:t>89. Bündelungsgeschäft: Angebot oder Abschluss eines Kreditvertrags in einem Paket gemeinsam mit anderen gesonderten Finanzprodukten oder -dienstleistungen, bei dem der Kreditvertrag separat von dem Verbraucher abgeschlossen werden kann, jedoch nicht zwangsläufig zu den gleichen Bedingungen, zu denen er mit den Nebenleistungen gebündelt angeboten wird,</w:t>
      </w:r>
    </w:p>
    <w:p w14:paraId="63FD29C5" w14:textId="77777777" w:rsidR="00E358E9" w:rsidRPr="004676F5" w:rsidRDefault="00E358E9" w:rsidP="00E358E9">
      <w:pPr>
        <w:ind w:firstLine="708"/>
        <w:jc w:val="both"/>
        <w:rPr>
          <w:lang w:val="de-DE"/>
        </w:rPr>
      </w:pPr>
    </w:p>
    <w:p w14:paraId="0238617B" w14:textId="77777777" w:rsidR="00E358E9" w:rsidRPr="004676F5" w:rsidRDefault="00E358E9" w:rsidP="00E358E9">
      <w:pPr>
        <w:ind w:firstLine="708"/>
        <w:jc w:val="both"/>
        <w:rPr>
          <w:lang w:val="de-DE"/>
        </w:rPr>
      </w:pPr>
      <w:r w:rsidRPr="004676F5">
        <w:rPr>
          <w:lang w:val="de-DE"/>
        </w:rPr>
        <w:t>90. Fremdwährungskredit: Kreditvertrag, bei dem der Kredit:</w:t>
      </w:r>
    </w:p>
    <w:p w14:paraId="48006946" w14:textId="77777777" w:rsidR="00E358E9" w:rsidRPr="004676F5" w:rsidRDefault="00E358E9" w:rsidP="00E358E9">
      <w:pPr>
        <w:ind w:firstLine="708"/>
        <w:jc w:val="both"/>
        <w:rPr>
          <w:lang w:val="de-DE"/>
        </w:rPr>
      </w:pPr>
    </w:p>
    <w:p w14:paraId="52D3881C" w14:textId="77777777" w:rsidR="00E358E9" w:rsidRPr="004676F5" w:rsidRDefault="00E358E9" w:rsidP="00E358E9">
      <w:pPr>
        <w:ind w:firstLine="708"/>
        <w:jc w:val="both"/>
        <w:rPr>
          <w:lang w:val="de-DE"/>
        </w:rPr>
      </w:pPr>
      <w:r w:rsidRPr="004676F5">
        <w:rPr>
          <w:i/>
          <w:lang w:val="de-DE"/>
        </w:rPr>
        <w:t>a)</w:t>
      </w:r>
      <w:r w:rsidRPr="004676F5">
        <w:rPr>
          <w:lang w:val="de-DE"/>
        </w:rPr>
        <w:t> auf eine andere Währung lautet als die, in der der Verbraucher sein Einkommen bezieht oder die Vermögenswerte hält, aus denen der Kredit zurückgezahlt werden soll, oder</w:t>
      </w:r>
    </w:p>
    <w:p w14:paraId="1819774F" w14:textId="77777777" w:rsidR="00E358E9" w:rsidRPr="004676F5" w:rsidRDefault="00E358E9" w:rsidP="00E358E9">
      <w:pPr>
        <w:ind w:firstLine="708"/>
        <w:jc w:val="both"/>
        <w:rPr>
          <w:lang w:val="de-DE"/>
        </w:rPr>
      </w:pPr>
    </w:p>
    <w:p w14:paraId="2402E313" w14:textId="77777777" w:rsidR="00E358E9" w:rsidRPr="004676F5" w:rsidRDefault="00E358E9" w:rsidP="00E358E9">
      <w:pPr>
        <w:ind w:firstLine="708"/>
        <w:jc w:val="both"/>
        <w:rPr>
          <w:lang w:val="de-DE"/>
        </w:rPr>
      </w:pPr>
      <w:r w:rsidRPr="004676F5">
        <w:rPr>
          <w:i/>
          <w:lang w:val="de-DE"/>
        </w:rPr>
        <w:t>b)</w:t>
      </w:r>
      <w:r w:rsidRPr="004676F5">
        <w:rPr>
          <w:lang w:val="de-DE"/>
        </w:rPr>
        <w:t> auf eine andere Währung als die Währung des Mitgliedstaats lautet, in dem der Verbraucher seinen Wohnsitz hat,</w:t>
      </w:r>
    </w:p>
    <w:p w14:paraId="1DCE0D6C" w14:textId="77777777" w:rsidR="00E358E9" w:rsidRPr="004676F5" w:rsidRDefault="00E358E9" w:rsidP="00E358E9">
      <w:pPr>
        <w:ind w:firstLine="708"/>
        <w:jc w:val="both"/>
        <w:rPr>
          <w:lang w:val="de-DE"/>
        </w:rPr>
      </w:pPr>
    </w:p>
    <w:p w14:paraId="04E5A096" w14:textId="77777777" w:rsidR="00E358E9" w:rsidRPr="004676F5" w:rsidRDefault="00E358E9" w:rsidP="00E358E9">
      <w:pPr>
        <w:ind w:firstLine="708"/>
        <w:jc w:val="both"/>
        <w:rPr>
          <w:lang w:val="de-DE"/>
        </w:rPr>
      </w:pPr>
      <w:r w:rsidRPr="004676F5">
        <w:rPr>
          <w:lang w:val="de-DE"/>
        </w:rPr>
        <w:t>91. Zahlungstermin: Zeitraum zwischen:</w:t>
      </w:r>
    </w:p>
    <w:p w14:paraId="784E3E61" w14:textId="77777777" w:rsidR="00E358E9" w:rsidRPr="004676F5" w:rsidRDefault="00E358E9" w:rsidP="00E358E9">
      <w:pPr>
        <w:ind w:firstLine="708"/>
        <w:jc w:val="both"/>
        <w:rPr>
          <w:lang w:val="de-DE"/>
        </w:rPr>
      </w:pPr>
    </w:p>
    <w:p w14:paraId="6CBC0FAA" w14:textId="77777777" w:rsidR="00E358E9" w:rsidRPr="004676F5" w:rsidRDefault="00E358E9" w:rsidP="00E358E9">
      <w:pPr>
        <w:ind w:firstLine="708"/>
        <w:jc w:val="both"/>
        <w:rPr>
          <w:lang w:val="de-DE"/>
        </w:rPr>
      </w:pPr>
      <w:r w:rsidRPr="004676F5">
        <w:rPr>
          <w:i/>
          <w:lang w:val="de-DE"/>
        </w:rPr>
        <w:t>a)</w:t>
      </w:r>
      <w:r w:rsidRPr="004676F5">
        <w:rPr>
          <w:lang w:val="de-DE"/>
        </w:rPr>
        <w:t> einerseits dem Zeitpunkt, zu dem der Kreditgeber dem Verbraucher Geld oder Kaufkraft zur Verfügung stellt, oder dem Zeitpunkt, ab dem das Nutzungsrecht an einer Ware verschafft, diese Ware geliefert oder eine Dienstleistung erbracht wird, und andererseits dem Zeitpunkt, zu dem der Verbraucher die erste Zahlung geleistet haben muss,</w:t>
      </w:r>
    </w:p>
    <w:p w14:paraId="05B1D37D" w14:textId="77777777" w:rsidR="00E358E9" w:rsidRPr="004676F5" w:rsidRDefault="00E358E9" w:rsidP="00E358E9">
      <w:pPr>
        <w:ind w:firstLine="708"/>
        <w:jc w:val="both"/>
        <w:rPr>
          <w:lang w:val="de-DE"/>
        </w:rPr>
      </w:pPr>
    </w:p>
    <w:p w14:paraId="120B1716" w14:textId="77777777" w:rsidR="00E358E9" w:rsidRPr="004676F5" w:rsidRDefault="00E358E9" w:rsidP="00E358E9">
      <w:pPr>
        <w:ind w:firstLine="708"/>
        <w:jc w:val="both"/>
        <w:rPr>
          <w:lang w:val="de-DE"/>
        </w:rPr>
      </w:pPr>
      <w:r w:rsidRPr="004676F5">
        <w:rPr>
          <w:i/>
          <w:lang w:val="de-DE"/>
        </w:rPr>
        <w:t>b)</w:t>
      </w:r>
      <w:r w:rsidRPr="004676F5">
        <w:rPr>
          <w:lang w:val="de-DE"/>
        </w:rPr>
        <w:t> zwei aufeinander folgenden Zeitpunkten, zu denen der Verbraucher eine Zahlung geleistet haben muss,</w:t>
      </w:r>
    </w:p>
    <w:p w14:paraId="4E817511" w14:textId="77777777" w:rsidR="00E358E9" w:rsidRPr="004676F5" w:rsidRDefault="00E358E9" w:rsidP="00E358E9">
      <w:pPr>
        <w:ind w:firstLine="708"/>
        <w:jc w:val="both"/>
        <w:rPr>
          <w:lang w:val="de-DE"/>
        </w:rPr>
      </w:pPr>
    </w:p>
    <w:p w14:paraId="5774F15B" w14:textId="77777777" w:rsidR="00E358E9" w:rsidRPr="004676F5" w:rsidRDefault="00E358E9" w:rsidP="00E358E9">
      <w:pPr>
        <w:ind w:firstLine="708"/>
        <w:jc w:val="both"/>
        <w:rPr>
          <w:lang w:val="de-DE"/>
        </w:rPr>
      </w:pPr>
      <w:r w:rsidRPr="004676F5">
        <w:rPr>
          <w:lang w:val="de-DE"/>
        </w:rPr>
        <w:t>92. Ratenbetrag: Betrag einer Zahlung, die der Verbraucher am Ende jedes Zahlu</w:t>
      </w:r>
      <w:r w:rsidR="001E466E" w:rsidRPr="004676F5">
        <w:rPr>
          <w:lang w:val="de-DE"/>
        </w:rPr>
        <w:t>ngstermins geleistet haben muss,</w:t>
      </w:r>
      <w:r w:rsidRPr="004676F5">
        <w:rPr>
          <w:lang w:val="de-DE"/>
        </w:rPr>
        <w:t>]</w:t>
      </w:r>
    </w:p>
    <w:p w14:paraId="3C5C0447" w14:textId="77777777" w:rsidR="001E466E" w:rsidRPr="004676F5" w:rsidRDefault="001E466E" w:rsidP="00E358E9">
      <w:pPr>
        <w:ind w:firstLine="708"/>
        <w:jc w:val="both"/>
        <w:rPr>
          <w:lang w:val="de-DE"/>
        </w:rPr>
      </w:pPr>
    </w:p>
    <w:p w14:paraId="311CF7ED" w14:textId="76608AAD" w:rsidR="001E466E" w:rsidRPr="004676F5" w:rsidRDefault="001E466E" w:rsidP="00E358E9">
      <w:pPr>
        <w:ind w:firstLine="708"/>
        <w:jc w:val="both"/>
        <w:rPr>
          <w:lang w:val="de-DE"/>
        </w:rPr>
      </w:pPr>
      <w:r w:rsidRPr="004676F5">
        <w:rPr>
          <w:lang w:val="de-DE"/>
        </w:rPr>
        <w:t>[93. Verordnung (EU) Nr. 2015/751: Verordnung (EU) 2015/751 des Europäischen Parlaments und des Rates vom 29. April 2015 über Interbankenentgelte für kartengebundene Zahlungsvorgänge</w:t>
      </w:r>
      <w:r w:rsidR="0022045D" w:rsidRPr="004676F5">
        <w:rPr>
          <w:lang w:val="de-DE"/>
        </w:rPr>
        <w:t>,</w:t>
      </w:r>
      <w:r w:rsidRPr="004676F5">
        <w:rPr>
          <w:lang w:val="de-DE"/>
        </w:rPr>
        <w:t>]</w:t>
      </w:r>
    </w:p>
    <w:p w14:paraId="70B4FDE4" w14:textId="6A7CF528" w:rsidR="0022045D" w:rsidRPr="004676F5" w:rsidRDefault="0022045D" w:rsidP="00E358E9">
      <w:pPr>
        <w:ind w:firstLine="708"/>
        <w:jc w:val="both"/>
        <w:rPr>
          <w:lang w:val="de-DE"/>
        </w:rPr>
      </w:pPr>
    </w:p>
    <w:p w14:paraId="3E45B7A8" w14:textId="77777777" w:rsidR="0022045D" w:rsidRPr="004676F5" w:rsidRDefault="0022045D" w:rsidP="0022045D">
      <w:pPr>
        <w:ind w:firstLine="708"/>
        <w:jc w:val="both"/>
        <w:rPr>
          <w:lang w:val="de-DE"/>
        </w:rPr>
      </w:pPr>
      <w:r w:rsidRPr="004676F5">
        <w:rPr>
          <w:lang w:val="de-DE"/>
        </w:rPr>
        <w:t>[94. Kreditvermittlung: Tätigkeit, die darin besteht:</w:t>
      </w:r>
    </w:p>
    <w:p w14:paraId="13A38DC9" w14:textId="77777777" w:rsidR="0022045D" w:rsidRPr="004676F5" w:rsidRDefault="0022045D" w:rsidP="0022045D">
      <w:pPr>
        <w:ind w:firstLine="708"/>
        <w:jc w:val="both"/>
        <w:rPr>
          <w:lang w:val="de-DE"/>
        </w:rPr>
      </w:pPr>
    </w:p>
    <w:p w14:paraId="04832520" w14:textId="77777777" w:rsidR="0022045D" w:rsidRPr="004676F5" w:rsidRDefault="0022045D" w:rsidP="0022045D">
      <w:pPr>
        <w:ind w:firstLine="708"/>
        <w:jc w:val="both"/>
        <w:rPr>
          <w:lang w:val="de-DE"/>
        </w:rPr>
      </w:pPr>
      <w:r w:rsidRPr="004676F5">
        <w:rPr>
          <w:i/>
          <w:iCs/>
          <w:lang w:val="de-DE"/>
        </w:rPr>
        <w:t>a) </w:t>
      </w:r>
      <w:r w:rsidRPr="004676F5">
        <w:rPr>
          <w:lang w:val="de-DE"/>
        </w:rPr>
        <w:t>Verbrauchern Kreditverträge vorzustellen oder anzubieten,</w:t>
      </w:r>
    </w:p>
    <w:p w14:paraId="3633EC94" w14:textId="77777777" w:rsidR="0022045D" w:rsidRPr="004676F5" w:rsidRDefault="0022045D" w:rsidP="0022045D">
      <w:pPr>
        <w:ind w:firstLine="708"/>
        <w:jc w:val="both"/>
        <w:rPr>
          <w:lang w:val="de-DE"/>
        </w:rPr>
      </w:pPr>
    </w:p>
    <w:p w14:paraId="0107CD33" w14:textId="77777777" w:rsidR="0022045D" w:rsidRPr="004676F5" w:rsidRDefault="0022045D" w:rsidP="0022045D">
      <w:pPr>
        <w:ind w:firstLine="708"/>
        <w:jc w:val="both"/>
        <w:rPr>
          <w:lang w:val="de-DE"/>
        </w:rPr>
      </w:pPr>
      <w:r w:rsidRPr="004676F5">
        <w:rPr>
          <w:i/>
          <w:iCs/>
          <w:lang w:val="de-DE"/>
        </w:rPr>
        <w:t>b) </w:t>
      </w:r>
      <w:r w:rsidRPr="004676F5">
        <w:rPr>
          <w:lang w:val="de-DE"/>
        </w:rPr>
        <w:t>Verbrauchern bei anderen als den in Buchstabe </w:t>
      </w:r>
      <w:r w:rsidRPr="004676F5">
        <w:rPr>
          <w:i/>
          <w:iCs/>
          <w:lang w:val="de-DE"/>
        </w:rPr>
        <w:t>a)</w:t>
      </w:r>
      <w:r w:rsidRPr="004676F5">
        <w:rPr>
          <w:lang w:val="de-DE"/>
        </w:rPr>
        <w:t xml:space="preserve"> genannten Vorarbeiten zum Abschluss von Kreditverträgen behilflich zu sein,</w:t>
      </w:r>
    </w:p>
    <w:p w14:paraId="2357D26E" w14:textId="77777777" w:rsidR="0022045D" w:rsidRPr="004676F5" w:rsidRDefault="0022045D" w:rsidP="004C10A2">
      <w:pPr>
        <w:ind w:firstLine="709"/>
        <w:jc w:val="both"/>
        <w:rPr>
          <w:lang w:val="de-DE"/>
        </w:rPr>
      </w:pPr>
    </w:p>
    <w:p w14:paraId="3E80ED2B" w14:textId="77777777" w:rsidR="0022045D" w:rsidRPr="004676F5" w:rsidRDefault="0022045D">
      <w:pPr>
        <w:rPr>
          <w:i/>
          <w:lang w:val="de-DE"/>
        </w:rPr>
      </w:pPr>
      <w:r w:rsidRPr="004676F5">
        <w:rPr>
          <w:i/>
          <w:lang w:val="de-DE"/>
        </w:rPr>
        <w:br w:type="page"/>
      </w:r>
    </w:p>
    <w:p w14:paraId="56D5FDEF" w14:textId="55FF4EDA" w:rsidR="0022045D" w:rsidRPr="004676F5" w:rsidRDefault="0022045D" w:rsidP="0022045D">
      <w:pPr>
        <w:ind w:firstLine="708"/>
        <w:jc w:val="both"/>
        <w:rPr>
          <w:lang w:val="de-DE"/>
        </w:rPr>
      </w:pPr>
      <w:r w:rsidRPr="004676F5">
        <w:rPr>
          <w:i/>
          <w:lang w:val="de-DE"/>
        </w:rPr>
        <w:lastRenderedPageBreak/>
        <w:t>c) </w:t>
      </w:r>
      <w:r w:rsidRPr="004676F5">
        <w:rPr>
          <w:lang w:val="de-DE"/>
        </w:rPr>
        <w:t>Kreditverträge mit Verbrauchern für Rechnung eines Kreditgebers oder für eigene Rechnung abzuschließen, wenn die Tätigkeit von einem Kreditgeber ausgeübt wird, der keinen Kreditvermittler einschaltet.]</w:t>
      </w:r>
    </w:p>
    <w:p w14:paraId="3F601AA9" w14:textId="77777777" w:rsidR="0011796A" w:rsidRPr="004676F5" w:rsidRDefault="0011796A" w:rsidP="006E180F">
      <w:pPr>
        <w:jc w:val="both"/>
        <w:rPr>
          <w:lang w:val="de-DE"/>
        </w:rPr>
      </w:pPr>
    </w:p>
    <w:p w14:paraId="36449420" w14:textId="01C6FBC5" w:rsidR="00F76466" w:rsidRPr="004676F5" w:rsidRDefault="0011796A" w:rsidP="00DD6973">
      <w:pPr>
        <w:jc w:val="both"/>
        <w:rPr>
          <w:lang w:val="de-DE"/>
        </w:rPr>
      </w:pPr>
      <w:r w:rsidRPr="004676F5">
        <w:rPr>
          <w:i/>
          <w:lang w:val="de-DE"/>
        </w:rPr>
        <w:t>[</w:t>
      </w:r>
      <w:r w:rsidR="00BE0A56" w:rsidRPr="004676F5">
        <w:rPr>
          <w:i/>
          <w:lang w:val="de-DE"/>
        </w:rPr>
        <w:t>Art. </w:t>
      </w:r>
      <w:r w:rsidRPr="004676F5">
        <w:rPr>
          <w:i/>
          <w:lang w:val="de-DE"/>
        </w:rPr>
        <w:t xml:space="preserve">I.9 </w:t>
      </w:r>
      <w:r w:rsidR="00D528C7" w:rsidRPr="004676F5">
        <w:rPr>
          <w:i/>
          <w:lang w:val="de-DE"/>
        </w:rPr>
        <w:t>einziger Absatz Nr. 1 einziger Absatz Buchstabe g) ersetzt durch Art. 2 Nr. 1 des G. vom 19. Juli 2018 (B.S. vom 30. Juli 2018); einziger Absatz Nr. 1 einziger Absatz Buchstabe h) e</w:t>
      </w:r>
      <w:r w:rsidR="00B17101" w:rsidRPr="004676F5">
        <w:rPr>
          <w:i/>
          <w:lang w:val="de-DE"/>
        </w:rPr>
        <w:t>ingefüg</w:t>
      </w:r>
      <w:r w:rsidR="00D528C7" w:rsidRPr="004676F5">
        <w:rPr>
          <w:i/>
          <w:lang w:val="de-DE"/>
        </w:rPr>
        <w:t xml:space="preserve">t durch Art. 2 Nr. 2 des G. vom 19. Juli 2018 (B.S. vom 30. Juli 2018); </w:t>
      </w:r>
      <w:r w:rsidR="00C76DF6" w:rsidRPr="004676F5">
        <w:rPr>
          <w:i/>
          <w:lang w:val="de-DE"/>
        </w:rPr>
        <w:t xml:space="preserve">einziger Absatz Nr. 2 einziger Absatz Buchstabe a) abgeändert durch </w:t>
      </w:r>
      <w:r w:rsidR="00BE0A56" w:rsidRPr="004676F5">
        <w:rPr>
          <w:i/>
          <w:lang w:val="de-DE"/>
        </w:rPr>
        <w:t>Art. </w:t>
      </w:r>
      <w:r w:rsidR="00C76DF6" w:rsidRPr="004676F5">
        <w:rPr>
          <w:i/>
          <w:lang w:val="de-DE"/>
        </w:rPr>
        <w:t xml:space="preserve">169 </w:t>
      </w:r>
      <w:r w:rsidR="00CF551B" w:rsidRPr="004676F5">
        <w:rPr>
          <w:i/>
          <w:lang w:val="de-DE"/>
        </w:rPr>
        <w:t>N</w:t>
      </w:r>
      <w:r w:rsidR="00C76DF6" w:rsidRPr="004676F5">
        <w:rPr>
          <w:i/>
          <w:lang w:val="de-DE"/>
        </w:rPr>
        <w:t xml:space="preserve">r. 1 des G. vom 25. Oktober 2016 (B.S. vom 18. November 2016); </w:t>
      </w:r>
      <w:r w:rsidR="00D528C7" w:rsidRPr="004676F5">
        <w:rPr>
          <w:i/>
          <w:lang w:val="de-DE"/>
        </w:rPr>
        <w:t xml:space="preserve">einziger Absatz Nr. 2 einziger Absatz Buchstabe b) abgeändert durch Art. 2 Nr. 3 Buchstabe a) des G. vom 19. Juli 2018 (B.S. vom 30. Juli 2018); einziger Absatz Nr. 2 einziger Absatz Buchstabe d) </w:t>
      </w:r>
      <w:r w:rsidR="00B17101" w:rsidRPr="004676F5">
        <w:rPr>
          <w:i/>
          <w:lang w:val="de-DE"/>
        </w:rPr>
        <w:t>abgeändert</w:t>
      </w:r>
      <w:r w:rsidR="00D528C7" w:rsidRPr="004676F5">
        <w:rPr>
          <w:i/>
          <w:lang w:val="de-DE"/>
        </w:rPr>
        <w:t xml:space="preserve"> durch Art. 2 Nr. 3 Buchstabe b) des G. vom 19. Juli 2018 (B.S. vom 30. Juli 2018); </w:t>
      </w:r>
      <w:r w:rsidR="004B23A4" w:rsidRPr="004676F5">
        <w:rPr>
          <w:i/>
          <w:lang w:val="de-DE"/>
        </w:rPr>
        <w:t xml:space="preserve">einziger Absatz Nr. 5 ersetzt durch Art. 2 Nr. 1 des G. vom </w:t>
      </w:r>
      <w:r w:rsidR="003454B3" w:rsidRPr="004676F5">
        <w:rPr>
          <w:i/>
          <w:lang w:val="de-DE"/>
        </w:rPr>
        <w:t>5. November 2023</w:t>
      </w:r>
      <w:r w:rsidR="00A84B30" w:rsidRPr="004676F5">
        <w:rPr>
          <w:i/>
          <w:lang w:val="de-DE"/>
        </w:rPr>
        <w:t> </w:t>
      </w:r>
      <w:r w:rsidR="003454B3" w:rsidRPr="004676F5">
        <w:rPr>
          <w:i/>
          <w:lang w:val="de-DE"/>
        </w:rPr>
        <w:t xml:space="preserve">(I) </w:t>
      </w:r>
      <w:r w:rsidR="004B23A4" w:rsidRPr="004676F5">
        <w:rPr>
          <w:i/>
          <w:lang w:val="de-DE"/>
        </w:rPr>
        <w:t xml:space="preserve">(B.S. vom 11. Dezember 2023); </w:t>
      </w:r>
      <w:r w:rsidR="00D528C7" w:rsidRPr="004676F5">
        <w:rPr>
          <w:i/>
          <w:lang w:val="de-DE"/>
        </w:rPr>
        <w:t xml:space="preserve">einziger Absatz Nr. 6 abgeändert durch Art. 2 Nr. 4 Buchstabe a) des G. vom 19. Juli 2018 (B.S. vom 30. Juli 2018); </w:t>
      </w:r>
      <w:r w:rsidR="00952151" w:rsidRPr="004676F5">
        <w:rPr>
          <w:i/>
          <w:lang w:val="de-DE"/>
        </w:rPr>
        <w:t xml:space="preserve">einziger Absatz Nr. 9 abgeändert durch Art. 2 Nr. 5 des G. vom 19. Juli 2018 (B.S. vom 30. Juli 2018); einziger Absatz Nr. 11 ersetzt durch Art. 2 Nr. 6 des G. vom 19. Juli 2018 (B.S. vom 30. Juli 2018); </w:t>
      </w:r>
      <w:r w:rsidR="00886976" w:rsidRPr="004676F5">
        <w:rPr>
          <w:i/>
          <w:lang w:val="de-DE"/>
        </w:rPr>
        <w:t>einziger Absatz Nr. 17 abgeändert durch Art. 44 Buchstabe b)</w:t>
      </w:r>
      <w:r w:rsidR="00886976" w:rsidRPr="004676F5">
        <w:rPr>
          <w:i/>
          <w:iCs/>
          <w:lang w:val="de-DE"/>
        </w:rPr>
        <w:t xml:space="preserve"> des G. vom 15. April 2018 (B.S. vom 27. April 2018); </w:t>
      </w:r>
      <w:r w:rsidR="00952151" w:rsidRPr="004676F5">
        <w:rPr>
          <w:i/>
          <w:iCs/>
          <w:lang w:val="de-DE"/>
        </w:rPr>
        <w:t>einziger Absatz Nr. 2</w:t>
      </w:r>
      <w:r w:rsidR="008F4D95" w:rsidRPr="004676F5">
        <w:rPr>
          <w:i/>
          <w:iCs/>
          <w:lang w:val="de-DE"/>
        </w:rPr>
        <w:t>2</w:t>
      </w:r>
      <w:r w:rsidR="00952151" w:rsidRPr="004676F5">
        <w:rPr>
          <w:i/>
          <w:iCs/>
          <w:lang w:val="de-DE"/>
        </w:rPr>
        <w:t xml:space="preserve"> </w:t>
      </w:r>
      <w:r w:rsidR="00D04E8C" w:rsidRPr="004676F5">
        <w:rPr>
          <w:i/>
          <w:lang w:val="de-DE"/>
        </w:rPr>
        <w:t>aufgehoben durch Art. 4 Nr. 3</w:t>
      </w:r>
      <w:r w:rsidR="00D04E8C" w:rsidRPr="004676F5">
        <w:rPr>
          <w:i/>
          <w:iCs/>
          <w:lang w:val="de-DE"/>
        </w:rPr>
        <w:t xml:space="preserve"> des G. vom 20. September 2018 (B.S. vom 10. Oktober 2018)</w:t>
      </w:r>
      <w:r w:rsidR="00952151" w:rsidRPr="004676F5">
        <w:rPr>
          <w:i/>
          <w:lang w:val="de-DE"/>
        </w:rPr>
        <w:t xml:space="preserve">; einziger Absatz Nr. 28 abgeändert durch Art. 2 Nr. 8 des G. vom 19. Juli 2018 (B.S. vom 30. Juli 2018); einziger Absatz Nr. 30 ersetzt durch Art. 2 Nr. 9 des G. vom 19. Juli 2018 (B.S. vom 30. Juli 2018); </w:t>
      </w:r>
      <w:r w:rsidR="004B23A4" w:rsidRPr="004676F5">
        <w:rPr>
          <w:i/>
          <w:lang w:val="de-DE"/>
        </w:rPr>
        <w:t>einziger Absatz Nr. 32 ersetzt durch Art. 2 Nr. 2 des G. vom 5. November 2023</w:t>
      </w:r>
      <w:r w:rsidR="003454B3" w:rsidRPr="004676F5">
        <w:rPr>
          <w:i/>
          <w:lang w:val="de-DE"/>
        </w:rPr>
        <w:t xml:space="preserve"> (I)</w:t>
      </w:r>
      <w:r w:rsidR="004B23A4" w:rsidRPr="004676F5">
        <w:rPr>
          <w:i/>
          <w:lang w:val="de-DE"/>
        </w:rPr>
        <w:t xml:space="preserve"> (B.S. vom 11. Dezember 2023); </w:t>
      </w:r>
      <w:r w:rsidR="00154AAA" w:rsidRPr="004676F5">
        <w:rPr>
          <w:i/>
          <w:lang w:val="de-DE"/>
        </w:rPr>
        <w:t xml:space="preserve">einziger Absatz Nr. 33/1 bis 33/9 eingefügt durch Art. 2 des G. vom 22. Dezember 2017 (B.S. vom 12. Januar 2018); </w:t>
      </w:r>
      <w:r w:rsidR="00952151" w:rsidRPr="004676F5">
        <w:rPr>
          <w:i/>
          <w:lang w:val="de-DE"/>
        </w:rPr>
        <w:t xml:space="preserve">einziger Absatz Nr. 33/10 bis 33/25 eingefügt durch Art. 2 Nr. 10 des G. vom 19. Juli 2018 (B.S. vom 30. Juli 2018); </w:t>
      </w:r>
      <w:r w:rsidR="0022045D" w:rsidRPr="004676F5">
        <w:rPr>
          <w:i/>
          <w:lang w:val="de-DE"/>
        </w:rPr>
        <w:t xml:space="preserve">einziger Absatz Nr. 35 ersetzt durch Art. 2 Buchstabe a) des G. vom 30. Juli 2018 (II) (B.S. vom </w:t>
      </w:r>
      <w:r w:rsidR="00DD6973" w:rsidRPr="004676F5">
        <w:rPr>
          <w:i/>
          <w:lang w:val="de-DE"/>
        </w:rPr>
        <w:t>5</w:t>
      </w:r>
      <w:r w:rsidR="0022045D" w:rsidRPr="004676F5">
        <w:rPr>
          <w:i/>
          <w:lang w:val="de-DE"/>
        </w:rPr>
        <w:t>. </w:t>
      </w:r>
      <w:r w:rsidR="00DD6973" w:rsidRPr="004676F5">
        <w:rPr>
          <w:i/>
          <w:lang w:val="de-DE"/>
        </w:rPr>
        <w:t>September</w:t>
      </w:r>
      <w:r w:rsidR="0022045D" w:rsidRPr="004676F5">
        <w:rPr>
          <w:i/>
          <w:lang w:val="de-DE"/>
        </w:rPr>
        <w:t> 201</w:t>
      </w:r>
      <w:r w:rsidR="00DD6973" w:rsidRPr="004676F5">
        <w:rPr>
          <w:i/>
          <w:lang w:val="de-DE"/>
        </w:rPr>
        <w:t>8</w:t>
      </w:r>
      <w:r w:rsidR="0022045D" w:rsidRPr="004676F5">
        <w:rPr>
          <w:i/>
          <w:lang w:val="de-DE"/>
        </w:rPr>
        <w:t xml:space="preserve">); </w:t>
      </w:r>
      <w:r w:rsidR="009335EE" w:rsidRPr="004676F5">
        <w:rPr>
          <w:i/>
          <w:lang w:val="de-DE"/>
        </w:rPr>
        <w:t xml:space="preserve">einziger Absatz Nr. 36 ersetzt durch </w:t>
      </w:r>
      <w:r w:rsidR="00BE0A56" w:rsidRPr="004676F5">
        <w:rPr>
          <w:i/>
          <w:lang w:val="de-DE"/>
        </w:rPr>
        <w:t>Art. </w:t>
      </w:r>
      <w:r w:rsidR="009335EE" w:rsidRPr="004676F5">
        <w:rPr>
          <w:i/>
          <w:lang w:val="de-DE"/>
        </w:rPr>
        <w:t>37</w:t>
      </w:r>
      <w:r w:rsidR="009335EE" w:rsidRPr="004676F5">
        <w:rPr>
          <w:i/>
          <w:iCs/>
          <w:lang w:val="de-DE"/>
        </w:rPr>
        <w:t xml:space="preserve"> des G. vom 18. Dezember 2015 (II) (B.S. vom 30. Dezember 2015); </w:t>
      </w:r>
      <w:r w:rsidR="005619DA" w:rsidRPr="004676F5">
        <w:rPr>
          <w:i/>
          <w:iCs/>
          <w:lang w:val="de-DE"/>
        </w:rPr>
        <w:t xml:space="preserve">einziger Absatz Nr. 37 ersetzt durch </w:t>
      </w:r>
      <w:r w:rsidR="00BE0A56" w:rsidRPr="004676F5">
        <w:rPr>
          <w:i/>
          <w:iCs/>
          <w:lang w:val="de-DE"/>
        </w:rPr>
        <w:t>Art. </w:t>
      </w:r>
      <w:r w:rsidR="005619DA" w:rsidRPr="004676F5">
        <w:rPr>
          <w:i/>
          <w:iCs/>
          <w:lang w:val="de-DE"/>
        </w:rPr>
        <w:t xml:space="preserve">2 Nr. 2 </w:t>
      </w:r>
      <w:r w:rsidR="005619DA" w:rsidRPr="004676F5">
        <w:rPr>
          <w:i/>
          <w:lang w:val="de-DE"/>
        </w:rPr>
        <w:t>des G. vom 26. Oktober 2015 (B.S. vom 30. Oktober 2015);</w:t>
      </w:r>
      <w:r w:rsidR="00E358E9" w:rsidRPr="004676F5">
        <w:rPr>
          <w:i/>
          <w:lang w:val="de-DE"/>
        </w:rPr>
        <w:t xml:space="preserve"> einziger Absatz Nr. 39 Abs. 2 eingefügt durch </w:t>
      </w:r>
      <w:r w:rsidR="00BE0A56" w:rsidRPr="004676F5">
        <w:rPr>
          <w:i/>
          <w:lang w:val="de-DE"/>
        </w:rPr>
        <w:t>Art. </w:t>
      </w:r>
      <w:r w:rsidR="00E358E9" w:rsidRPr="004676F5">
        <w:rPr>
          <w:i/>
          <w:lang w:val="de-DE"/>
        </w:rPr>
        <w:t>2 Nr. 4 des G. vom 22. April 2016 (B.S. vom 4. Mai 2016);</w:t>
      </w:r>
      <w:r w:rsidR="005619DA" w:rsidRPr="004676F5">
        <w:rPr>
          <w:i/>
          <w:lang w:val="de-DE"/>
        </w:rPr>
        <w:t xml:space="preserve"> </w:t>
      </w:r>
      <w:r w:rsidR="00E358E9" w:rsidRPr="004676F5">
        <w:rPr>
          <w:i/>
          <w:lang w:val="de-DE"/>
        </w:rPr>
        <w:t xml:space="preserve">einziger Absatz Nr. 41 Abs. 1 Buchstabe f) ersetzt durch </w:t>
      </w:r>
      <w:r w:rsidR="00BE0A56" w:rsidRPr="004676F5">
        <w:rPr>
          <w:i/>
          <w:lang w:val="de-DE"/>
        </w:rPr>
        <w:t>Art. </w:t>
      </w:r>
      <w:r w:rsidR="00E358E9" w:rsidRPr="004676F5">
        <w:rPr>
          <w:i/>
          <w:lang w:val="de-DE"/>
        </w:rPr>
        <w:t xml:space="preserve">2 Nr. 1 des G. vom 22. April 2016 (B.S. vom 4. Mai 2016); einziger Absatz Nr. 41 Abs. 1 Buchstabe g) und h) eingefügt durch </w:t>
      </w:r>
      <w:r w:rsidR="00BE0A56" w:rsidRPr="004676F5">
        <w:rPr>
          <w:i/>
          <w:lang w:val="de-DE"/>
        </w:rPr>
        <w:t>Art. </w:t>
      </w:r>
      <w:r w:rsidR="00E358E9" w:rsidRPr="004676F5">
        <w:rPr>
          <w:i/>
          <w:lang w:val="de-DE"/>
        </w:rPr>
        <w:t xml:space="preserve">2 Nr. 2 des G. vom 22. April 2016 (B.S. vom 4. Mai 2016); einziger Absatz Nr. 41 Abs. 2 Buchstabe c) eingefügt durch </w:t>
      </w:r>
      <w:r w:rsidR="00BE0A56" w:rsidRPr="004676F5">
        <w:rPr>
          <w:i/>
          <w:lang w:val="de-DE"/>
        </w:rPr>
        <w:t>Art. </w:t>
      </w:r>
      <w:r w:rsidR="00E358E9" w:rsidRPr="004676F5">
        <w:rPr>
          <w:i/>
          <w:lang w:val="de-DE"/>
        </w:rPr>
        <w:t xml:space="preserve">2 Nr. 3 des G. vom 22. April 2016 (B.S. vom 4. Mai 2016); einziger Absatz Nr. 44 Abs. 2 eingefügt durch </w:t>
      </w:r>
      <w:r w:rsidR="00BE0A56" w:rsidRPr="004676F5">
        <w:rPr>
          <w:i/>
          <w:lang w:val="de-DE"/>
        </w:rPr>
        <w:t>Art. </w:t>
      </w:r>
      <w:r w:rsidR="00E358E9" w:rsidRPr="004676F5">
        <w:rPr>
          <w:i/>
          <w:lang w:val="de-DE"/>
        </w:rPr>
        <w:t xml:space="preserve">2 Nr. 5 des G. vom 22. April 2016 (B.S. vom 4. Mai 2016); einziger Absatz Nr. 44/1 eingefügt durch </w:t>
      </w:r>
      <w:r w:rsidR="00BE0A56" w:rsidRPr="004676F5">
        <w:rPr>
          <w:i/>
          <w:lang w:val="de-DE"/>
        </w:rPr>
        <w:t>Art. </w:t>
      </w:r>
      <w:r w:rsidR="00E358E9" w:rsidRPr="004676F5">
        <w:rPr>
          <w:i/>
          <w:lang w:val="de-DE"/>
        </w:rPr>
        <w:t xml:space="preserve">2 Nr. 6 des G. vom 22. April 2016 (B.S. vom 4. Mai 2016); einziger Absatz Nr. 53 ersetzt durch </w:t>
      </w:r>
      <w:r w:rsidR="00BE0A56" w:rsidRPr="004676F5">
        <w:rPr>
          <w:i/>
          <w:lang w:val="de-DE"/>
        </w:rPr>
        <w:t>Art. </w:t>
      </w:r>
      <w:r w:rsidR="00E358E9" w:rsidRPr="004676F5">
        <w:rPr>
          <w:i/>
          <w:lang w:val="de-DE"/>
        </w:rPr>
        <w:t xml:space="preserve">2 Nr. 7 des G. vom 22. April 2016 (B.S. vom 4. Mai 2016); einziger Absatz Nr. 53/1 eingefügt durch </w:t>
      </w:r>
      <w:r w:rsidR="00BE0A56" w:rsidRPr="004676F5">
        <w:rPr>
          <w:i/>
          <w:lang w:val="de-DE"/>
        </w:rPr>
        <w:t>Art. </w:t>
      </w:r>
      <w:r w:rsidR="00E358E9" w:rsidRPr="004676F5">
        <w:rPr>
          <w:i/>
          <w:lang w:val="de-DE"/>
        </w:rPr>
        <w:t>2 Nr. 8 des G. vom 22. April 2016 (B.S. vom 4. Mai 2016)</w:t>
      </w:r>
      <w:r w:rsidR="002F53A1" w:rsidRPr="004676F5">
        <w:rPr>
          <w:i/>
          <w:lang w:val="de-DE"/>
        </w:rPr>
        <w:t>; einziger Absatz Nr. 53/</w:t>
      </w:r>
      <w:r w:rsidR="005A2585" w:rsidRPr="004676F5">
        <w:rPr>
          <w:i/>
          <w:lang w:val="de-DE"/>
        </w:rPr>
        <w:t>1</w:t>
      </w:r>
      <w:r w:rsidR="002F53A1" w:rsidRPr="004676F5">
        <w:rPr>
          <w:i/>
          <w:lang w:val="de-DE"/>
        </w:rPr>
        <w:t xml:space="preserve"> Abs. 2 Buchstabe b) abgeändert durch Art. 98</w:t>
      </w:r>
      <w:r w:rsidR="002F53A1" w:rsidRPr="004676F5">
        <w:rPr>
          <w:i/>
          <w:iCs/>
          <w:lang w:val="de-DE"/>
        </w:rPr>
        <w:t xml:space="preserve"> des G. vom 8. Mai 2019 (B.S. vom 1. August 2019)</w:t>
      </w:r>
      <w:r w:rsidR="00AD2142" w:rsidRPr="004676F5">
        <w:rPr>
          <w:i/>
          <w:iCs/>
          <w:lang w:val="de-DE"/>
        </w:rPr>
        <w:t xml:space="preserve"> und Art. 2 des G. vom 25. September 2022 (B.S. vom 16. Januar 2023)</w:t>
      </w:r>
      <w:r w:rsidR="00E358E9" w:rsidRPr="004676F5">
        <w:rPr>
          <w:i/>
          <w:lang w:val="de-DE"/>
        </w:rPr>
        <w:t xml:space="preserve">; </w:t>
      </w:r>
      <w:r w:rsidR="002F53A1" w:rsidRPr="004676F5">
        <w:rPr>
          <w:i/>
          <w:lang w:val="de-DE"/>
        </w:rPr>
        <w:t xml:space="preserve">einziger Absatz Nr. 53/2 und 53/3 eingefügt durch Art. 2 Nr. 8 des G. vom 22. April 2016 (B.S. vom 4. Mai 2016); </w:t>
      </w:r>
      <w:r w:rsidR="00094DD5" w:rsidRPr="004676F5">
        <w:rPr>
          <w:i/>
          <w:lang w:val="de-DE"/>
        </w:rPr>
        <w:t xml:space="preserve">einziger Absatz Nr. 69 abgeändert durch </w:t>
      </w:r>
      <w:r w:rsidR="00BE0A56" w:rsidRPr="004676F5">
        <w:rPr>
          <w:i/>
          <w:lang w:val="de-DE"/>
        </w:rPr>
        <w:t>Art. </w:t>
      </w:r>
      <w:r w:rsidR="00094DD5" w:rsidRPr="004676F5">
        <w:rPr>
          <w:i/>
          <w:lang w:val="de-DE"/>
        </w:rPr>
        <w:t>2 Nr. 3</w:t>
      </w:r>
      <w:r w:rsidR="00712925" w:rsidRPr="004676F5">
        <w:rPr>
          <w:i/>
          <w:iCs/>
          <w:lang w:val="de-DE"/>
        </w:rPr>
        <w:t xml:space="preserve"> </w:t>
      </w:r>
      <w:r w:rsidR="00712925" w:rsidRPr="004676F5">
        <w:rPr>
          <w:i/>
          <w:lang w:val="de-DE"/>
        </w:rPr>
        <w:t>des G. vom 26. Oktober 2015 (B.S. vom 30. Oktober 2015)</w:t>
      </w:r>
      <w:r w:rsidR="00094DD5" w:rsidRPr="004676F5">
        <w:rPr>
          <w:i/>
          <w:iCs/>
          <w:lang w:val="de-DE"/>
        </w:rPr>
        <w:t xml:space="preserve">; </w:t>
      </w:r>
      <w:r w:rsidR="005619DA" w:rsidRPr="004676F5">
        <w:rPr>
          <w:i/>
          <w:lang w:val="de-DE"/>
        </w:rPr>
        <w:t xml:space="preserve">einziger Absatz Nr. 71 abgeändert durch </w:t>
      </w:r>
      <w:r w:rsidR="00BE0A56" w:rsidRPr="004676F5">
        <w:rPr>
          <w:i/>
          <w:lang w:val="de-DE"/>
        </w:rPr>
        <w:t>Art. </w:t>
      </w:r>
      <w:r w:rsidR="005619DA" w:rsidRPr="004676F5">
        <w:rPr>
          <w:i/>
          <w:lang w:val="de-DE"/>
        </w:rPr>
        <w:t>2 Nr</w:t>
      </w:r>
      <w:r w:rsidR="00094DD5" w:rsidRPr="004676F5">
        <w:rPr>
          <w:i/>
          <w:lang w:val="de-DE"/>
        </w:rPr>
        <w:t>. 4</w:t>
      </w:r>
      <w:r w:rsidR="00712925" w:rsidRPr="004676F5">
        <w:rPr>
          <w:i/>
          <w:iCs/>
          <w:lang w:val="de-DE"/>
        </w:rPr>
        <w:t xml:space="preserve"> </w:t>
      </w:r>
      <w:r w:rsidR="00712925" w:rsidRPr="004676F5">
        <w:rPr>
          <w:i/>
          <w:lang w:val="de-DE"/>
        </w:rPr>
        <w:t>des G. vom 26. Oktober 2015 (B.S. vom 30. Oktober 2015)</w:t>
      </w:r>
      <w:r w:rsidR="001F377D" w:rsidRPr="004676F5">
        <w:rPr>
          <w:i/>
          <w:lang w:val="de-DE"/>
        </w:rPr>
        <w:t xml:space="preserve"> und </w:t>
      </w:r>
      <w:r w:rsidR="00BE0A56" w:rsidRPr="004676F5">
        <w:rPr>
          <w:i/>
          <w:lang w:val="de-DE"/>
        </w:rPr>
        <w:t>Art. </w:t>
      </w:r>
      <w:r w:rsidR="001F377D" w:rsidRPr="004676F5">
        <w:rPr>
          <w:i/>
          <w:lang w:val="de-DE"/>
        </w:rPr>
        <w:t>168 des G. vom 25. Oktober 2016 (B.S. vom 18. November 2016)</w:t>
      </w:r>
      <w:r w:rsidR="00094DD5" w:rsidRPr="004676F5">
        <w:rPr>
          <w:i/>
          <w:iCs/>
          <w:lang w:val="de-DE"/>
        </w:rPr>
        <w:t xml:space="preserve">; </w:t>
      </w:r>
      <w:r w:rsidRPr="004676F5">
        <w:rPr>
          <w:i/>
          <w:lang w:val="de-DE"/>
        </w:rPr>
        <w:t xml:space="preserve">einziger Absatz Nr. 72 abgeändert durch </w:t>
      </w:r>
      <w:r w:rsidR="00BE0A56" w:rsidRPr="004676F5">
        <w:rPr>
          <w:i/>
          <w:lang w:val="de-DE"/>
        </w:rPr>
        <w:t>Art. </w:t>
      </w:r>
      <w:r w:rsidRPr="004676F5">
        <w:rPr>
          <w:i/>
          <w:lang w:val="de-DE"/>
        </w:rPr>
        <w:t>749</w:t>
      </w:r>
      <w:r w:rsidRPr="004676F5">
        <w:rPr>
          <w:i/>
          <w:iCs/>
          <w:lang w:val="de-DE"/>
        </w:rPr>
        <w:t xml:space="preserve"> des G. vom 13. März 2016 (B.S. vom 23. März 2016, Err. vom 8. April 2016)</w:t>
      </w:r>
      <w:r w:rsidR="00094DD5" w:rsidRPr="004676F5">
        <w:rPr>
          <w:i/>
          <w:iCs/>
          <w:lang w:val="de-DE"/>
        </w:rPr>
        <w:t xml:space="preserve">; einziger Absatz Nr. 74 ergänzt durch </w:t>
      </w:r>
      <w:r w:rsidR="00BE0A56" w:rsidRPr="004676F5">
        <w:rPr>
          <w:i/>
          <w:iCs/>
          <w:lang w:val="de-DE"/>
        </w:rPr>
        <w:t>Art. </w:t>
      </w:r>
      <w:r w:rsidR="00094DD5" w:rsidRPr="004676F5">
        <w:rPr>
          <w:i/>
          <w:iCs/>
          <w:lang w:val="de-DE"/>
        </w:rPr>
        <w:t>2 Nr. 5</w:t>
      </w:r>
      <w:r w:rsidR="00712925" w:rsidRPr="004676F5">
        <w:rPr>
          <w:i/>
          <w:iCs/>
          <w:lang w:val="de-DE"/>
        </w:rPr>
        <w:t xml:space="preserve"> </w:t>
      </w:r>
      <w:r w:rsidR="00712925" w:rsidRPr="004676F5">
        <w:rPr>
          <w:i/>
          <w:lang w:val="de-DE"/>
        </w:rPr>
        <w:t>des G. vom 26. Oktober 2015 (B.S. vom 30. Oktober 2015)</w:t>
      </w:r>
      <w:r w:rsidR="00094DD5" w:rsidRPr="004676F5">
        <w:rPr>
          <w:i/>
          <w:iCs/>
          <w:lang w:val="de-DE"/>
        </w:rPr>
        <w:t>;</w:t>
      </w:r>
      <w:r w:rsidR="00E358E9" w:rsidRPr="004676F5">
        <w:rPr>
          <w:i/>
          <w:iCs/>
          <w:lang w:val="de-DE"/>
        </w:rPr>
        <w:t xml:space="preserve"> einziger Absatz Nr. 75 aufgehoben durch </w:t>
      </w:r>
      <w:r w:rsidR="00BE0A56" w:rsidRPr="004676F5">
        <w:rPr>
          <w:i/>
          <w:iCs/>
          <w:lang w:val="de-DE"/>
        </w:rPr>
        <w:t>Art. </w:t>
      </w:r>
      <w:r w:rsidR="00E358E9" w:rsidRPr="004676F5">
        <w:rPr>
          <w:i/>
          <w:iCs/>
          <w:lang w:val="de-DE"/>
        </w:rPr>
        <w:t>2 Nr. 9</w:t>
      </w:r>
      <w:r w:rsidR="00E358E9" w:rsidRPr="004676F5">
        <w:rPr>
          <w:i/>
          <w:lang w:val="de-DE"/>
        </w:rPr>
        <w:t xml:space="preserve"> des G. vom 22. April 2016 (B.S. vom 4. Mai 2016);</w:t>
      </w:r>
      <w:r w:rsidR="00094DD5" w:rsidRPr="004676F5">
        <w:rPr>
          <w:i/>
          <w:iCs/>
          <w:lang w:val="de-DE"/>
        </w:rPr>
        <w:t xml:space="preserve"> </w:t>
      </w:r>
      <w:r w:rsidR="00DE30A4" w:rsidRPr="004676F5">
        <w:rPr>
          <w:i/>
          <w:iCs/>
          <w:lang w:val="de-DE"/>
        </w:rPr>
        <w:t xml:space="preserve">einziger Absatz Nr. 79 ersetzt durch Art. 367 des G. vom 27. Juni 2021 (B.S. vom 9. Juli 2021); </w:t>
      </w:r>
      <w:r w:rsidR="00094DD5" w:rsidRPr="004676F5">
        <w:rPr>
          <w:i/>
          <w:iCs/>
          <w:lang w:val="de-DE"/>
        </w:rPr>
        <w:t xml:space="preserve">einziger Absatz Nr. 82 eingefügt durch </w:t>
      </w:r>
      <w:r w:rsidR="00BE0A56" w:rsidRPr="004676F5">
        <w:rPr>
          <w:i/>
          <w:iCs/>
          <w:lang w:val="de-DE"/>
        </w:rPr>
        <w:t>Art. </w:t>
      </w:r>
      <w:r w:rsidR="00094DD5" w:rsidRPr="004676F5">
        <w:rPr>
          <w:i/>
          <w:iCs/>
          <w:lang w:val="de-DE"/>
        </w:rPr>
        <w:t xml:space="preserve">2 Nr. 6 </w:t>
      </w:r>
      <w:r w:rsidR="00712925" w:rsidRPr="004676F5">
        <w:rPr>
          <w:i/>
          <w:lang w:val="de-DE"/>
        </w:rPr>
        <w:lastRenderedPageBreak/>
        <w:t>des G. vom 26. Oktober 2015 (B.S. vom 30. Oktober 2015)</w:t>
      </w:r>
      <w:r w:rsidR="001F377D" w:rsidRPr="004676F5">
        <w:rPr>
          <w:i/>
          <w:lang w:val="de-DE"/>
        </w:rPr>
        <w:t xml:space="preserve"> und abgeändert durch </w:t>
      </w:r>
      <w:r w:rsidR="00BE0A56" w:rsidRPr="004676F5">
        <w:rPr>
          <w:i/>
          <w:lang w:val="de-DE"/>
        </w:rPr>
        <w:t>Art. </w:t>
      </w:r>
      <w:r w:rsidR="001F377D" w:rsidRPr="004676F5">
        <w:rPr>
          <w:i/>
          <w:lang w:val="de-DE"/>
        </w:rPr>
        <w:t>168 des G. vom 25. Oktober 2016 (B.S. vom 18. November 2016)</w:t>
      </w:r>
      <w:r w:rsidR="00E358E9" w:rsidRPr="004676F5">
        <w:rPr>
          <w:i/>
          <w:lang w:val="de-DE"/>
        </w:rPr>
        <w:t>;</w:t>
      </w:r>
      <w:r w:rsidR="001F377D" w:rsidRPr="004676F5">
        <w:rPr>
          <w:i/>
          <w:lang w:val="de-DE"/>
        </w:rPr>
        <w:t xml:space="preserve"> </w:t>
      </w:r>
      <w:r w:rsidR="001F377D" w:rsidRPr="004676F5">
        <w:rPr>
          <w:i/>
          <w:iCs/>
          <w:lang w:val="de-DE"/>
        </w:rPr>
        <w:t xml:space="preserve">einziger Absatz Nr. 83 eingefügt durch </w:t>
      </w:r>
      <w:r w:rsidR="00BE0A56" w:rsidRPr="004676F5">
        <w:rPr>
          <w:i/>
          <w:iCs/>
          <w:lang w:val="de-DE"/>
        </w:rPr>
        <w:t>Art. </w:t>
      </w:r>
      <w:r w:rsidR="001F377D" w:rsidRPr="004676F5">
        <w:rPr>
          <w:i/>
          <w:iCs/>
          <w:lang w:val="de-DE"/>
        </w:rPr>
        <w:t xml:space="preserve">2 Nr. 6 </w:t>
      </w:r>
      <w:r w:rsidR="001F377D" w:rsidRPr="004676F5">
        <w:rPr>
          <w:i/>
          <w:lang w:val="de-DE"/>
        </w:rPr>
        <w:t>des G. vom 26. Oktober 2015 (B.S. vom 30. Oktober 2015)</w:t>
      </w:r>
      <w:r w:rsidR="00C76DF6" w:rsidRPr="004676F5">
        <w:rPr>
          <w:i/>
          <w:lang w:val="de-DE"/>
        </w:rPr>
        <w:t xml:space="preserve"> und ersetzt durch </w:t>
      </w:r>
      <w:r w:rsidR="00BE0A56" w:rsidRPr="004676F5">
        <w:rPr>
          <w:i/>
          <w:lang w:val="de-DE"/>
        </w:rPr>
        <w:t>Art. </w:t>
      </w:r>
      <w:r w:rsidR="00C76DF6" w:rsidRPr="004676F5">
        <w:rPr>
          <w:i/>
          <w:lang w:val="de-DE"/>
        </w:rPr>
        <w:t>169 Nr. 2 des G. vom 25. Oktober 2016 (B.S. vom 18. November 2016)</w:t>
      </w:r>
      <w:r w:rsidR="001F377D" w:rsidRPr="004676F5">
        <w:rPr>
          <w:i/>
          <w:lang w:val="de-DE"/>
        </w:rPr>
        <w:t>;</w:t>
      </w:r>
      <w:r w:rsidR="00E358E9" w:rsidRPr="004676F5">
        <w:rPr>
          <w:i/>
          <w:lang w:val="de-DE"/>
        </w:rPr>
        <w:t xml:space="preserve"> einziger Absatz Nr.</w:t>
      </w:r>
      <w:r w:rsidR="001E466E" w:rsidRPr="004676F5">
        <w:rPr>
          <w:i/>
          <w:lang w:val="de-DE"/>
        </w:rPr>
        <w:t> </w:t>
      </w:r>
      <w:r w:rsidR="00E358E9" w:rsidRPr="004676F5">
        <w:rPr>
          <w:i/>
          <w:lang w:val="de-DE"/>
        </w:rPr>
        <w:t xml:space="preserve">84 bis 92 eingefügt durch </w:t>
      </w:r>
      <w:r w:rsidR="00BE0A56" w:rsidRPr="004676F5">
        <w:rPr>
          <w:i/>
          <w:lang w:val="de-DE"/>
        </w:rPr>
        <w:t>Art. </w:t>
      </w:r>
      <w:r w:rsidR="00E358E9" w:rsidRPr="004676F5">
        <w:rPr>
          <w:i/>
          <w:lang w:val="de-DE"/>
        </w:rPr>
        <w:t>2 Nr. 10 des G. vom 22. April 2016 (B.S. vom 4. Mai 2016)</w:t>
      </w:r>
      <w:r w:rsidR="001E466E" w:rsidRPr="004676F5">
        <w:rPr>
          <w:i/>
          <w:lang w:val="de-DE"/>
        </w:rPr>
        <w:t xml:space="preserve">; einziger Absatz Nr. 93 eingefügt durch </w:t>
      </w:r>
      <w:r w:rsidR="00BE0A56" w:rsidRPr="004676F5">
        <w:rPr>
          <w:i/>
          <w:lang w:val="de-DE"/>
        </w:rPr>
        <w:t>Art. </w:t>
      </w:r>
      <w:r w:rsidR="001E466E" w:rsidRPr="004676F5">
        <w:rPr>
          <w:i/>
          <w:lang w:val="de-DE"/>
        </w:rPr>
        <w:t>4 des G. vom 29. Juni 2016 (B.S. vom 6. Juli 2016)</w:t>
      </w:r>
      <w:r w:rsidR="00DD6973" w:rsidRPr="004676F5">
        <w:rPr>
          <w:i/>
          <w:lang w:val="de-DE"/>
        </w:rPr>
        <w:t>; einziger Absatz Nr. 94 eingefügt durch Art. 2 Buchstabe b) des G. vom 30. Juli 2018 (II) (B.S. vom 5. September 2018)</w:t>
      </w:r>
      <w:r w:rsidRPr="004676F5">
        <w:rPr>
          <w:i/>
          <w:iCs/>
          <w:lang w:val="de-DE"/>
        </w:rPr>
        <w:t>]</w:t>
      </w:r>
    </w:p>
    <w:p w14:paraId="3D09AFCD" w14:textId="77777777" w:rsidR="00DD6973" w:rsidRPr="004676F5" w:rsidRDefault="00DD6973" w:rsidP="00F94546">
      <w:pPr>
        <w:jc w:val="center"/>
        <w:rPr>
          <w:lang w:val="de-DE"/>
        </w:rPr>
      </w:pPr>
    </w:p>
    <w:p w14:paraId="16775374" w14:textId="77777777" w:rsidR="00DD6973" w:rsidRPr="004676F5" w:rsidRDefault="00DD6973">
      <w:pPr>
        <w:rPr>
          <w:lang w:val="de-DE"/>
        </w:rPr>
      </w:pPr>
      <w:r w:rsidRPr="004676F5">
        <w:rPr>
          <w:lang w:val="de-DE"/>
        </w:rPr>
        <w:br w:type="page"/>
      </w:r>
    </w:p>
    <w:p w14:paraId="7FF34E09" w14:textId="4E4D7075" w:rsidR="00F94546" w:rsidRPr="004676F5" w:rsidRDefault="00F94546" w:rsidP="00F94546">
      <w:pPr>
        <w:jc w:val="center"/>
        <w:rPr>
          <w:i/>
          <w:lang w:val="de-DE"/>
        </w:rPr>
      </w:pPr>
      <w:r w:rsidRPr="004676F5">
        <w:rPr>
          <w:lang w:val="de-DE"/>
        </w:rPr>
        <w:lastRenderedPageBreak/>
        <w:t>KAPITEL 6 </w:t>
      </w:r>
      <w:r w:rsidR="005B7A5C" w:rsidRPr="004676F5">
        <w:rPr>
          <w:lang w:val="de-DE"/>
        </w:rPr>
        <w:t>- </w:t>
      </w:r>
      <w:r w:rsidRPr="004676F5">
        <w:rPr>
          <w:i/>
          <w:lang w:val="de-DE"/>
        </w:rPr>
        <w:t>Begriffsbestimmungen Buch VIII</w:t>
      </w:r>
    </w:p>
    <w:p w14:paraId="3405BB3D" w14:textId="77777777" w:rsidR="00F94546" w:rsidRPr="004676F5" w:rsidRDefault="00F94546" w:rsidP="00F94546">
      <w:pPr>
        <w:jc w:val="center"/>
        <w:rPr>
          <w:lang w:val="de-DE"/>
        </w:rPr>
      </w:pPr>
    </w:p>
    <w:p w14:paraId="5AECD253" w14:textId="77777777" w:rsidR="00F94546" w:rsidRPr="004676F5" w:rsidRDefault="00F94546" w:rsidP="00F94546">
      <w:pPr>
        <w:jc w:val="center"/>
        <w:rPr>
          <w:lang w:val="de-DE"/>
        </w:rPr>
      </w:pPr>
    </w:p>
    <w:p w14:paraId="4A4D98B6" w14:textId="31B602E7" w:rsidR="00F94546" w:rsidRPr="004676F5" w:rsidRDefault="00BE0A56" w:rsidP="00F94546">
      <w:pPr>
        <w:ind w:firstLine="708"/>
        <w:jc w:val="both"/>
        <w:rPr>
          <w:lang w:val="de-DE"/>
        </w:rPr>
      </w:pPr>
      <w:r w:rsidRPr="004676F5">
        <w:rPr>
          <w:b/>
          <w:lang w:val="de-DE"/>
        </w:rPr>
        <w:t>Art. </w:t>
      </w:r>
      <w:r w:rsidR="00F94546" w:rsidRPr="004676F5">
        <w:rPr>
          <w:b/>
          <w:lang w:val="de-DE"/>
        </w:rPr>
        <w:t>I.9</w:t>
      </w:r>
      <w:r w:rsidR="00F94546" w:rsidRPr="004676F5">
        <w:rPr>
          <w:lang w:val="de-DE"/>
        </w:rPr>
        <w:t> </w:t>
      </w:r>
      <w:r w:rsidR="005B7A5C" w:rsidRPr="004676F5">
        <w:rPr>
          <w:lang w:val="de-DE"/>
        </w:rPr>
        <w:t>- </w:t>
      </w:r>
      <w:r w:rsidR="00F94546" w:rsidRPr="004676F5">
        <w:rPr>
          <w:lang w:val="de-DE"/>
        </w:rPr>
        <w:t>Folgende Begriffsbestimmungen gelten für Buch VIII:</w:t>
      </w:r>
    </w:p>
    <w:p w14:paraId="1DE860CD" w14:textId="77777777" w:rsidR="00F94546" w:rsidRPr="004676F5" w:rsidRDefault="00F94546" w:rsidP="00F94546">
      <w:pPr>
        <w:ind w:firstLine="708"/>
        <w:jc w:val="both"/>
        <w:rPr>
          <w:lang w:val="de-DE"/>
        </w:rPr>
      </w:pPr>
    </w:p>
    <w:p w14:paraId="76D6546A" w14:textId="77777777" w:rsidR="00F94546" w:rsidRPr="004676F5" w:rsidRDefault="00F94546" w:rsidP="00F94546">
      <w:pPr>
        <w:ind w:firstLine="708"/>
        <w:jc w:val="both"/>
        <w:rPr>
          <w:lang w:val="de-DE"/>
        </w:rPr>
      </w:pPr>
      <w:r w:rsidRPr="004676F5">
        <w:rPr>
          <w:lang w:val="de-DE"/>
        </w:rPr>
        <w:t>1. "Norm": eine von einer anerkannten Normungsorganisation angenommene technische Spezifikation zur wiederholten oder ständigen Anwendung, deren Einhaltung nicht zwingend ist und die unter eine der nachstehenden Kategorien fällt:</w:t>
      </w:r>
    </w:p>
    <w:p w14:paraId="17714C57" w14:textId="77777777" w:rsidR="00F94546" w:rsidRPr="004676F5" w:rsidRDefault="00F94546" w:rsidP="00F94546">
      <w:pPr>
        <w:ind w:firstLine="708"/>
        <w:jc w:val="both"/>
        <w:rPr>
          <w:lang w:val="de-DE"/>
        </w:rPr>
      </w:pPr>
    </w:p>
    <w:p w14:paraId="708A5362" w14:textId="77777777" w:rsidR="00F94546" w:rsidRPr="004676F5" w:rsidRDefault="00F94546" w:rsidP="00F94546">
      <w:pPr>
        <w:ind w:firstLine="708"/>
        <w:jc w:val="both"/>
        <w:rPr>
          <w:lang w:val="de-DE"/>
        </w:rPr>
      </w:pPr>
      <w:r w:rsidRPr="004676F5">
        <w:rPr>
          <w:i/>
          <w:lang w:val="de-DE"/>
        </w:rPr>
        <w:t>a)</w:t>
      </w:r>
      <w:r w:rsidRPr="004676F5">
        <w:rPr>
          <w:lang w:val="de-DE"/>
        </w:rPr>
        <w:t> "internationale Norm": eine Norm, die von einer internationalen Normungsorganisation angenommen wurde,</w:t>
      </w:r>
    </w:p>
    <w:p w14:paraId="05ADD622" w14:textId="77777777" w:rsidR="00F94546" w:rsidRPr="004676F5" w:rsidRDefault="00F94546" w:rsidP="00F94546">
      <w:pPr>
        <w:jc w:val="both"/>
        <w:rPr>
          <w:lang w:val="de-DE"/>
        </w:rPr>
      </w:pPr>
    </w:p>
    <w:p w14:paraId="78FC8FD2" w14:textId="77777777" w:rsidR="00F94546" w:rsidRPr="004676F5" w:rsidRDefault="00F94546" w:rsidP="00F94546">
      <w:pPr>
        <w:ind w:firstLine="708"/>
        <w:jc w:val="both"/>
        <w:rPr>
          <w:lang w:val="de-DE"/>
        </w:rPr>
      </w:pPr>
      <w:r w:rsidRPr="004676F5">
        <w:rPr>
          <w:i/>
          <w:lang w:val="de-DE"/>
        </w:rPr>
        <w:t>b)</w:t>
      </w:r>
      <w:r w:rsidRPr="004676F5">
        <w:rPr>
          <w:lang w:val="de-DE"/>
        </w:rPr>
        <w:t> "europäische Norm": eine Norm, die von einer europäischen Normungsorganisation angenommen wurde,</w:t>
      </w:r>
    </w:p>
    <w:p w14:paraId="0C265158" w14:textId="77777777" w:rsidR="00F94546" w:rsidRPr="004676F5" w:rsidRDefault="00F94546" w:rsidP="00F94546">
      <w:pPr>
        <w:jc w:val="both"/>
        <w:rPr>
          <w:lang w:val="de-DE"/>
        </w:rPr>
      </w:pPr>
    </w:p>
    <w:p w14:paraId="350B5FBB" w14:textId="77777777" w:rsidR="00F94546" w:rsidRPr="004676F5" w:rsidRDefault="00F94546" w:rsidP="00F94546">
      <w:pPr>
        <w:ind w:firstLine="708"/>
        <w:jc w:val="both"/>
        <w:rPr>
          <w:lang w:val="de-DE"/>
        </w:rPr>
      </w:pPr>
      <w:r w:rsidRPr="004676F5">
        <w:rPr>
          <w:i/>
          <w:lang w:val="de-DE"/>
        </w:rPr>
        <w:t>c)</w:t>
      </w:r>
      <w:r w:rsidRPr="004676F5">
        <w:rPr>
          <w:lang w:val="de-DE"/>
        </w:rPr>
        <w:t> "harmonisierte Norm": eine europäische Norm, die auf der Grundlage eines Auftrags der Kommission zur Durchführung von Harmonisierungsrechtsvorschriften der Union angenommen wurde,</w:t>
      </w:r>
    </w:p>
    <w:p w14:paraId="10645CB5" w14:textId="77777777" w:rsidR="00F94546" w:rsidRPr="004676F5" w:rsidRDefault="00F94546" w:rsidP="00F94546">
      <w:pPr>
        <w:jc w:val="both"/>
        <w:rPr>
          <w:lang w:val="de-DE"/>
        </w:rPr>
      </w:pPr>
    </w:p>
    <w:p w14:paraId="75454213" w14:textId="77777777" w:rsidR="00F94546" w:rsidRPr="004676F5" w:rsidRDefault="00F94546" w:rsidP="00F94546">
      <w:pPr>
        <w:ind w:firstLine="708"/>
        <w:jc w:val="both"/>
        <w:rPr>
          <w:lang w:val="de-DE"/>
        </w:rPr>
      </w:pPr>
      <w:r w:rsidRPr="004676F5">
        <w:rPr>
          <w:i/>
          <w:lang w:val="de-DE"/>
        </w:rPr>
        <w:t>d)</w:t>
      </w:r>
      <w:r w:rsidRPr="004676F5">
        <w:rPr>
          <w:lang w:val="de-DE"/>
        </w:rPr>
        <w:t> "nationale Norm": eine Norm, die von einer nationalen Normungsorganisation angenommen wurde,</w:t>
      </w:r>
    </w:p>
    <w:p w14:paraId="7D04C730" w14:textId="77777777" w:rsidR="00F94546" w:rsidRPr="004676F5" w:rsidRDefault="00F94546" w:rsidP="00F94546">
      <w:pPr>
        <w:jc w:val="both"/>
        <w:rPr>
          <w:lang w:val="de-DE"/>
        </w:rPr>
      </w:pPr>
    </w:p>
    <w:p w14:paraId="3B5A790B" w14:textId="77777777" w:rsidR="00F94546" w:rsidRPr="004676F5" w:rsidRDefault="00F94546" w:rsidP="00F94546">
      <w:pPr>
        <w:ind w:firstLine="708"/>
        <w:jc w:val="both"/>
        <w:rPr>
          <w:lang w:val="de-DE"/>
        </w:rPr>
      </w:pPr>
      <w:r w:rsidRPr="004676F5">
        <w:rPr>
          <w:lang w:val="de-DE"/>
        </w:rPr>
        <w:t>2. "Normungsausschuss": im Rahmen des Normungsamtes eingerichteter Ausschuss, der Normungstätigkeiten in einem bestimmten Gebiet unter Einbeziehung der interessierten Kreise verrichtet,</w:t>
      </w:r>
    </w:p>
    <w:p w14:paraId="18E27789" w14:textId="77777777" w:rsidR="00F94546" w:rsidRPr="004676F5" w:rsidRDefault="00F94546" w:rsidP="00F94546">
      <w:pPr>
        <w:jc w:val="both"/>
        <w:rPr>
          <w:lang w:val="de-DE"/>
        </w:rPr>
      </w:pPr>
    </w:p>
    <w:p w14:paraId="431082C2" w14:textId="77777777" w:rsidR="00F94546" w:rsidRPr="004676F5" w:rsidRDefault="00F94546" w:rsidP="00F94546">
      <w:pPr>
        <w:ind w:firstLine="708"/>
        <w:jc w:val="both"/>
        <w:rPr>
          <w:lang w:val="de-DE"/>
        </w:rPr>
      </w:pPr>
      <w:r w:rsidRPr="004676F5">
        <w:rPr>
          <w:lang w:val="de-DE"/>
        </w:rPr>
        <w:t>3. "Sektorale Normungsstelle": Einrichtung mit oder ohne Rechtspersönlichkeit, die in ihren Zuständigkeitsbereichen mit der Koordinierung eines oder mehrerer Normungsausschüsse beauftragt ist,</w:t>
      </w:r>
    </w:p>
    <w:p w14:paraId="6B752AF5" w14:textId="77777777" w:rsidR="00F94546" w:rsidRPr="004676F5" w:rsidRDefault="00F94546" w:rsidP="00F94546">
      <w:pPr>
        <w:jc w:val="both"/>
        <w:rPr>
          <w:lang w:val="de-DE"/>
        </w:rPr>
      </w:pPr>
    </w:p>
    <w:p w14:paraId="08FDFB15" w14:textId="77777777" w:rsidR="00F94546" w:rsidRPr="004676F5" w:rsidRDefault="00F94546" w:rsidP="00F94546">
      <w:pPr>
        <w:ind w:firstLine="708"/>
        <w:jc w:val="both"/>
        <w:rPr>
          <w:lang w:val="de-DE"/>
        </w:rPr>
      </w:pPr>
      <w:r w:rsidRPr="004676F5">
        <w:rPr>
          <w:lang w:val="de-DE"/>
        </w:rPr>
        <w:t>4. "Akkreditierung": formelle Bestätigung durch die nationale Akkreditierungsstelle, dass eine Konformitätsbewertungsstelle die in harmonisierten Normen festgelegten Anforderungen und, gegebenenfalls, zusätzliche Anforderungen, einschließlich solcher aus relevanten sektoralen Regelungen, erfüllt, um eine spezielle Konformitätsbewertungstätigkeit durchzuführen,</w:t>
      </w:r>
    </w:p>
    <w:p w14:paraId="129614B2" w14:textId="77777777" w:rsidR="00F94546" w:rsidRPr="004676F5" w:rsidRDefault="00F94546" w:rsidP="00F94546">
      <w:pPr>
        <w:jc w:val="both"/>
        <w:rPr>
          <w:lang w:val="de-DE"/>
        </w:rPr>
      </w:pPr>
    </w:p>
    <w:p w14:paraId="22A4AFC1" w14:textId="133C8C47" w:rsidR="00F94546" w:rsidRPr="004676F5" w:rsidRDefault="00F94546" w:rsidP="00F94546">
      <w:pPr>
        <w:ind w:firstLine="708"/>
        <w:jc w:val="both"/>
        <w:rPr>
          <w:lang w:val="de-DE"/>
        </w:rPr>
      </w:pPr>
      <w:r w:rsidRPr="004676F5">
        <w:rPr>
          <w:lang w:val="de-DE"/>
        </w:rPr>
        <w:t>5. </w:t>
      </w:r>
      <w:r w:rsidR="00F74229" w:rsidRPr="004676F5">
        <w:rPr>
          <w:lang w:val="de-DE"/>
        </w:rPr>
        <w:t>[...],</w:t>
      </w:r>
    </w:p>
    <w:p w14:paraId="22F756B5" w14:textId="77777777" w:rsidR="00F94546" w:rsidRPr="004676F5" w:rsidRDefault="00F94546" w:rsidP="00F94546">
      <w:pPr>
        <w:jc w:val="both"/>
        <w:rPr>
          <w:lang w:val="de-DE"/>
        </w:rPr>
      </w:pPr>
    </w:p>
    <w:p w14:paraId="05C61E32" w14:textId="77777777" w:rsidR="00F94546" w:rsidRPr="004676F5" w:rsidRDefault="00F94546" w:rsidP="00F94546">
      <w:pPr>
        <w:ind w:firstLine="708"/>
        <w:jc w:val="both"/>
        <w:rPr>
          <w:lang w:val="de-DE"/>
        </w:rPr>
      </w:pPr>
      <w:r w:rsidRPr="004676F5">
        <w:rPr>
          <w:lang w:val="de-DE"/>
        </w:rPr>
        <w:t>6. "Konformitätsbewertung": Verfahren zur Bewertung, ob spezifische Anforderungen an ein Produkt, ein Verfahren, eine Dienstleistung, ein System, eine Person oder eine Stelle erfüllt sind,</w:t>
      </w:r>
    </w:p>
    <w:p w14:paraId="1C811FBC" w14:textId="77777777" w:rsidR="00F94546" w:rsidRPr="004676F5" w:rsidRDefault="00F94546" w:rsidP="00F94546">
      <w:pPr>
        <w:jc w:val="both"/>
        <w:rPr>
          <w:lang w:val="de-DE"/>
        </w:rPr>
      </w:pPr>
    </w:p>
    <w:p w14:paraId="20AB3249" w14:textId="77777777" w:rsidR="00F94546" w:rsidRPr="004676F5" w:rsidRDefault="00F94546" w:rsidP="00F94546">
      <w:pPr>
        <w:ind w:firstLine="708"/>
        <w:jc w:val="both"/>
        <w:rPr>
          <w:lang w:val="de-DE"/>
        </w:rPr>
      </w:pPr>
      <w:r w:rsidRPr="004676F5">
        <w:rPr>
          <w:lang w:val="de-DE"/>
        </w:rPr>
        <w:t>7. "Konformitätsbewertungsstelle": eine Stelle, die Konformitätsbewertungstätigkeiten einschließlich Kalibrierungen, Prüfungen, Zertifizierungen und Inspektionen durchführt,</w:t>
      </w:r>
    </w:p>
    <w:p w14:paraId="62B4DCD4" w14:textId="77777777" w:rsidR="00F94546" w:rsidRPr="004676F5" w:rsidRDefault="00F94546" w:rsidP="00F94546">
      <w:pPr>
        <w:jc w:val="both"/>
        <w:rPr>
          <w:lang w:val="de-DE"/>
        </w:rPr>
      </w:pPr>
    </w:p>
    <w:p w14:paraId="4F88A7B4" w14:textId="77777777" w:rsidR="00F94546" w:rsidRPr="004676F5" w:rsidRDefault="00F94546" w:rsidP="00F94546">
      <w:pPr>
        <w:ind w:firstLine="708"/>
        <w:jc w:val="both"/>
        <w:rPr>
          <w:lang w:val="de-DE"/>
        </w:rPr>
      </w:pPr>
      <w:r w:rsidRPr="004676F5">
        <w:rPr>
          <w:lang w:val="de-DE"/>
        </w:rPr>
        <w:t>8. </w:t>
      </w:r>
      <w:r w:rsidR="00967E1A" w:rsidRPr="004676F5">
        <w:rPr>
          <w:lang w:val="de-DE"/>
        </w:rPr>
        <w:t>[...]</w:t>
      </w:r>
    </w:p>
    <w:p w14:paraId="48967371" w14:textId="77777777" w:rsidR="00F94546" w:rsidRPr="004676F5" w:rsidRDefault="00F94546" w:rsidP="00F94546">
      <w:pPr>
        <w:jc w:val="both"/>
        <w:rPr>
          <w:lang w:val="de-DE"/>
        </w:rPr>
      </w:pPr>
    </w:p>
    <w:p w14:paraId="4ED781BA" w14:textId="77777777" w:rsidR="00F94546" w:rsidRPr="004676F5" w:rsidRDefault="00F94546" w:rsidP="00F94546">
      <w:pPr>
        <w:ind w:firstLine="708"/>
        <w:jc w:val="both"/>
        <w:rPr>
          <w:lang w:val="de-DE"/>
        </w:rPr>
      </w:pPr>
      <w:r w:rsidRPr="004676F5">
        <w:rPr>
          <w:lang w:val="de-DE"/>
        </w:rPr>
        <w:t>9. "Prüfung": technischer Vorgang, mit dem nach einem festgelegten Verfahren ein oder mehrere Merkmale eines Produkts, eines Verfahrens oder einer Dienstleistung bestimmt werden,</w:t>
      </w:r>
    </w:p>
    <w:p w14:paraId="3C98A7F1" w14:textId="77777777" w:rsidR="00F94546" w:rsidRPr="004676F5" w:rsidRDefault="00F94546" w:rsidP="00F94546">
      <w:pPr>
        <w:jc w:val="both"/>
        <w:rPr>
          <w:lang w:val="de-DE"/>
        </w:rPr>
      </w:pPr>
    </w:p>
    <w:p w14:paraId="476FAD8E" w14:textId="77777777" w:rsidR="00F94546" w:rsidRPr="004676F5" w:rsidRDefault="00F94546" w:rsidP="00F94546">
      <w:pPr>
        <w:ind w:firstLine="708"/>
        <w:jc w:val="both"/>
        <w:rPr>
          <w:lang w:val="de-DE"/>
        </w:rPr>
      </w:pPr>
      <w:r w:rsidRPr="004676F5">
        <w:rPr>
          <w:lang w:val="de-DE"/>
        </w:rPr>
        <w:lastRenderedPageBreak/>
        <w:t>10. "Kalibrierung": Tätigkeit zur Ermittlung des Zusammenhangs zwischen dem ausgegebenen Wert eines Messgerätes oder einer Messeinrichtung oder dem von einer Maßverkörperung oder einem Referenzmaterial dargestellten Wert und dem zugehörigen, durch ein Normal festgelegten Wert einer Messgröße unter vorgegebenen Bedingungen,</w:t>
      </w:r>
    </w:p>
    <w:p w14:paraId="2261F4BC" w14:textId="77777777" w:rsidR="00F94546" w:rsidRPr="004676F5" w:rsidRDefault="00F94546" w:rsidP="00F94546">
      <w:pPr>
        <w:jc w:val="both"/>
        <w:rPr>
          <w:lang w:val="de-DE"/>
        </w:rPr>
      </w:pPr>
    </w:p>
    <w:p w14:paraId="22F6831A" w14:textId="77777777" w:rsidR="00F94546" w:rsidRPr="004676F5" w:rsidRDefault="00F94546" w:rsidP="00F94546">
      <w:pPr>
        <w:ind w:firstLine="708"/>
        <w:jc w:val="both"/>
        <w:rPr>
          <w:lang w:val="de-DE"/>
        </w:rPr>
      </w:pPr>
      <w:r w:rsidRPr="004676F5">
        <w:rPr>
          <w:lang w:val="de-DE"/>
        </w:rPr>
        <w:t>11. "Referenzmaterial": Material oder Substanz, von dem beziehungsweise der ein oder mehrere Merkmale so homogen und genau festgelegt sind, dass sie zur Kalibrierung von Geräten, zur Beurteilung von Messverfahren oder zur Zuweisung von Stoffwerten verwendet werden können,</w:t>
      </w:r>
    </w:p>
    <w:p w14:paraId="661035C3" w14:textId="77777777" w:rsidR="00F94546" w:rsidRPr="004676F5" w:rsidRDefault="00F94546" w:rsidP="00F94546">
      <w:pPr>
        <w:jc w:val="both"/>
        <w:rPr>
          <w:lang w:val="de-DE"/>
        </w:rPr>
      </w:pPr>
    </w:p>
    <w:p w14:paraId="16EB7852" w14:textId="4EE9E427" w:rsidR="00F94546" w:rsidRPr="004676F5" w:rsidRDefault="00F94546" w:rsidP="00F94546">
      <w:pPr>
        <w:ind w:firstLine="708"/>
        <w:jc w:val="both"/>
        <w:rPr>
          <w:lang w:val="de-DE"/>
        </w:rPr>
      </w:pPr>
      <w:r w:rsidRPr="004676F5">
        <w:rPr>
          <w:lang w:val="de-DE"/>
        </w:rPr>
        <w:t>12. "Inspektion": Untersuchung des Entwurfs eines Produkts, einer Dienstleistung, eines Verfahrens oder einer Anlage und Feststellung ihrer Übereinstimmung mit bestimmten oder </w:t>
      </w:r>
      <w:r w:rsidR="005B7A5C" w:rsidRPr="004676F5">
        <w:rPr>
          <w:lang w:val="de-DE"/>
        </w:rPr>
        <w:t>- </w:t>
      </w:r>
      <w:r w:rsidRPr="004676F5">
        <w:rPr>
          <w:lang w:val="de-DE"/>
        </w:rPr>
        <w:t>aufgrund einer fachlichen Beurteilung </w:t>
      </w:r>
      <w:r w:rsidR="005B7A5C" w:rsidRPr="004676F5">
        <w:rPr>
          <w:lang w:val="de-DE"/>
        </w:rPr>
        <w:t>- </w:t>
      </w:r>
      <w:r w:rsidRPr="004676F5">
        <w:rPr>
          <w:lang w:val="de-DE"/>
        </w:rPr>
        <w:t>mit allgemeinen Anforderungen. Der Begriff "Kontrolle" ist als Synonym des Begriffs "Inspektion" anzusehen,</w:t>
      </w:r>
    </w:p>
    <w:p w14:paraId="6273ACA4" w14:textId="77777777" w:rsidR="00F94546" w:rsidRPr="004676F5" w:rsidRDefault="00F94546" w:rsidP="00F94546">
      <w:pPr>
        <w:ind w:firstLine="708"/>
        <w:jc w:val="both"/>
        <w:rPr>
          <w:lang w:val="de-DE"/>
        </w:rPr>
      </w:pPr>
    </w:p>
    <w:p w14:paraId="0AB2FB07" w14:textId="77777777" w:rsidR="00F94546" w:rsidRPr="004676F5" w:rsidRDefault="00F94546" w:rsidP="00F94546">
      <w:pPr>
        <w:ind w:firstLine="708"/>
        <w:jc w:val="both"/>
        <w:rPr>
          <w:lang w:val="de-DE"/>
        </w:rPr>
      </w:pPr>
      <w:r w:rsidRPr="004676F5">
        <w:rPr>
          <w:lang w:val="de-DE"/>
        </w:rPr>
        <w:t>13. "Zertifizierung": Verfahren, in dem ein Dritter schriftlich bestätigt, dass ein Produkt, ein Verfahren oder eine Dienstleistung vorgeschriebene Anforderungen erfüllt. Als Dritter gilt eine Person oder Stelle, die in dem betreffenden Bereich als unabhängig von den beteiligten Parteien anerkannt ist,</w:t>
      </w:r>
    </w:p>
    <w:p w14:paraId="0F550128" w14:textId="77777777" w:rsidR="00F94546" w:rsidRPr="004676F5" w:rsidRDefault="00F94546" w:rsidP="00F94546">
      <w:pPr>
        <w:ind w:firstLine="708"/>
        <w:jc w:val="both"/>
        <w:rPr>
          <w:lang w:val="de-DE"/>
        </w:rPr>
      </w:pPr>
    </w:p>
    <w:p w14:paraId="4B1A0531" w14:textId="77777777" w:rsidR="00F94546" w:rsidRPr="004676F5" w:rsidRDefault="00F94546" w:rsidP="00F94546">
      <w:pPr>
        <w:ind w:firstLine="708"/>
        <w:jc w:val="both"/>
        <w:rPr>
          <w:lang w:val="de-DE"/>
        </w:rPr>
      </w:pPr>
      <w:r w:rsidRPr="004676F5">
        <w:rPr>
          <w:lang w:val="de-DE"/>
        </w:rPr>
        <w:t>14. "Messinstrument": Gegenstände, Instrumente und Geräte oder Kombinationen von Gegenständen, Instrumenten und Geräten, die ausschließlich oder subsidiär entworfen und hergestellt werden mit dem Zweck, Messungen zu verrichten,</w:t>
      </w:r>
    </w:p>
    <w:p w14:paraId="40460257" w14:textId="77777777" w:rsidR="00F94546" w:rsidRPr="004676F5" w:rsidRDefault="00F94546" w:rsidP="00F94546">
      <w:pPr>
        <w:jc w:val="both"/>
        <w:rPr>
          <w:lang w:val="de-DE"/>
        </w:rPr>
      </w:pPr>
    </w:p>
    <w:p w14:paraId="58D49FC4" w14:textId="77777777" w:rsidR="00F94546" w:rsidRPr="004676F5" w:rsidRDefault="00F94546" w:rsidP="00F94546">
      <w:pPr>
        <w:ind w:firstLine="708"/>
        <w:jc w:val="both"/>
        <w:rPr>
          <w:lang w:val="de-DE"/>
        </w:rPr>
      </w:pPr>
      <w:r w:rsidRPr="004676F5">
        <w:rPr>
          <w:lang w:val="de-DE"/>
        </w:rPr>
        <w:t>15. "Geeichtes Messinstrument": ein Messinstrument, das:</w:t>
      </w:r>
    </w:p>
    <w:p w14:paraId="70020C13" w14:textId="77777777" w:rsidR="00F94546" w:rsidRPr="004676F5" w:rsidRDefault="00F94546" w:rsidP="00F94546">
      <w:pPr>
        <w:ind w:firstLine="708"/>
        <w:jc w:val="both"/>
        <w:rPr>
          <w:lang w:val="de-DE"/>
        </w:rPr>
      </w:pPr>
    </w:p>
    <w:p w14:paraId="199627FF" w14:textId="77777777" w:rsidR="00F94546" w:rsidRPr="004676F5" w:rsidRDefault="00F94546" w:rsidP="00F94546">
      <w:pPr>
        <w:ind w:firstLine="708"/>
        <w:jc w:val="both"/>
        <w:rPr>
          <w:lang w:val="de-DE"/>
        </w:rPr>
      </w:pPr>
      <w:r w:rsidRPr="004676F5">
        <w:rPr>
          <w:i/>
          <w:lang w:val="de-DE"/>
        </w:rPr>
        <w:t>a)</w:t>
      </w:r>
      <w:r w:rsidRPr="004676F5">
        <w:rPr>
          <w:lang w:val="de-DE"/>
        </w:rPr>
        <w:t> mit den Eichstempeln beziehungsweise -zeichen versehen ist, die in Artikel VIII.47 erwähnt sind,</w:t>
      </w:r>
    </w:p>
    <w:p w14:paraId="3089151D" w14:textId="77777777" w:rsidR="00F94546" w:rsidRPr="004676F5" w:rsidRDefault="00F94546" w:rsidP="00F94546">
      <w:pPr>
        <w:jc w:val="both"/>
        <w:rPr>
          <w:lang w:val="de-DE"/>
        </w:rPr>
      </w:pPr>
    </w:p>
    <w:p w14:paraId="15FBCB36" w14:textId="77777777" w:rsidR="00F94546" w:rsidRPr="004676F5" w:rsidRDefault="00F94546" w:rsidP="00F94546">
      <w:pPr>
        <w:ind w:firstLine="708"/>
        <w:jc w:val="both"/>
        <w:rPr>
          <w:lang w:val="de-DE"/>
        </w:rPr>
      </w:pPr>
      <w:r w:rsidRPr="004676F5">
        <w:rPr>
          <w:i/>
          <w:lang w:val="de-DE"/>
        </w:rPr>
        <w:t>b)</w:t>
      </w:r>
      <w:r w:rsidRPr="004676F5">
        <w:rPr>
          <w:lang w:val="de-DE"/>
        </w:rPr>
        <w:t> aufgrund der Bestimmungen von Artikel VIII.51 von der Ersteichung befreit ist und unter Berücksichtigung der Bestimmungen von Artikel VIII.48 mit dem in diesem Artikel vorgesehenen Modellzulassungsstempel versehen ist,</w:t>
      </w:r>
    </w:p>
    <w:p w14:paraId="77AF89A4" w14:textId="77777777" w:rsidR="00F94546" w:rsidRPr="004676F5" w:rsidRDefault="00F94546" w:rsidP="00F94546">
      <w:pPr>
        <w:jc w:val="both"/>
        <w:rPr>
          <w:lang w:val="de-DE"/>
        </w:rPr>
      </w:pPr>
    </w:p>
    <w:p w14:paraId="24404D2B" w14:textId="77777777" w:rsidR="00F94546" w:rsidRPr="004676F5" w:rsidRDefault="00F94546" w:rsidP="00F94546">
      <w:pPr>
        <w:ind w:firstLine="708"/>
        <w:jc w:val="both"/>
        <w:rPr>
          <w:lang w:val="de-DE"/>
        </w:rPr>
      </w:pPr>
      <w:r w:rsidRPr="004676F5">
        <w:rPr>
          <w:lang w:val="de-DE"/>
        </w:rPr>
        <w:t>16. "Messungen im Wirtschaftskreislauf": Messungen, die im Rahmen der Ausübung eines Berufs, Gewerbes oder Handels durchgeführt werden im Hinblick auf die Einhaltung von Rechten und Verpflichtungen aus einem Rechtsverhältnis.</w:t>
      </w:r>
    </w:p>
    <w:p w14:paraId="51DD365F" w14:textId="77777777" w:rsidR="0009060C" w:rsidRPr="004676F5" w:rsidRDefault="0009060C">
      <w:pPr>
        <w:rPr>
          <w:lang w:val="de-DE"/>
        </w:rPr>
      </w:pPr>
    </w:p>
    <w:p w14:paraId="2E7BCCDB" w14:textId="0A12C929" w:rsidR="00967E1A" w:rsidRPr="004676F5" w:rsidRDefault="00967E1A" w:rsidP="00967E1A">
      <w:pPr>
        <w:jc w:val="both"/>
        <w:rPr>
          <w:i/>
          <w:lang w:val="de-DE"/>
        </w:rPr>
      </w:pPr>
      <w:r w:rsidRPr="004676F5">
        <w:rPr>
          <w:i/>
          <w:lang w:val="de-DE"/>
        </w:rPr>
        <w:t>[</w:t>
      </w:r>
      <w:r w:rsidR="00BE0A56" w:rsidRPr="004676F5">
        <w:rPr>
          <w:i/>
          <w:lang w:val="de-DE"/>
        </w:rPr>
        <w:t>Art. </w:t>
      </w:r>
      <w:r w:rsidRPr="004676F5">
        <w:rPr>
          <w:i/>
          <w:lang w:val="de-DE"/>
        </w:rPr>
        <w:t>I.9</w:t>
      </w:r>
      <w:r w:rsidR="00F74229" w:rsidRPr="004676F5">
        <w:rPr>
          <w:i/>
          <w:lang w:val="de-DE"/>
        </w:rPr>
        <w:t xml:space="preserve"> einziger Absatz Nr. 5 aufgehoben durch Art. 2 Buchstabe b) des G. vom 2. Mai 2019 (IV) (B.S. vom 22. Mai 2019);</w:t>
      </w:r>
      <w:r w:rsidRPr="004676F5">
        <w:rPr>
          <w:i/>
          <w:lang w:val="de-DE"/>
        </w:rPr>
        <w:t xml:space="preserve"> einziger Absatz Nr. 8 aufgehoben durch </w:t>
      </w:r>
      <w:r w:rsidR="00BE0A56" w:rsidRPr="004676F5">
        <w:rPr>
          <w:i/>
          <w:lang w:val="de-DE"/>
        </w:rPr>
        <w:t>Art. </w:t>
      </w:r>
      <w:r w:rsidRPr="004676F5">
        <w:rPr>
          <w:i/>
          <w:lang w:val="de-DE"/>
        </w:rPr>
        <w:t>3 Nr. 2</w:t>
      </w:r>
      <w:r w:rsidRPr="004676F5">
        <w:rPr>
          <w:i/>
          <w:iCs/>
          <w:lang w:val="de-DE"/>
        </w:rPr>
        <w:t xml:space="preserve"> </w:t>
      </w:r>
      <w:r w:rsidRPr="004676F5">
        <w:rPr>
          <w:i/>
          <w:lang w:val="de-DE"/>
        </w:rPr>
        <w:t>des G. vom 26. Oktober 2015 (B.S. vom 30. Oktober 2015)]</w:t>
      </w:r>
    </w:p>
    <w:p w14:paraId="7B01905F" w14:textId="77777777" w:rsidR="00F56DFE" w:rsidRPr="004676F5" w:rsidRDefault="00F56DFE">
      <w:pPr>
        <w:rPr>
          <w:lang w:val="de-DE"/>
        </w:rPr>
      </w:pPr>
    </w:p>
    <w:p w14:paraId="29FAE02E" w14:textId="77777777" w:rsidR="00F56DFE" w:rsidRPr="004676F5" w:rsidRDefault="00F56DFE">
      <w:pPr>
        <w:rPr>
          <w:lang w:val="de-DE"/>
        </w:rPr>
      </w:pPr>
    </w:p>
    <w:p w14:paraId="1A59A1EE" w14:textId="77777777" w:rsidR="00F56DFE" w:rsidRPr="004676F5" w:rsidRDefault="00F56DFE" w:rsidP="00F56DFE">
      <w:pPr>
        <w:jc w:val="both"/>
        <w:rPr>
          <w:lang w:val="de-DE"/>
        </w:rPr>
      </w:pPr>
      <w:r w:rsidRPr="004676F5">
        <w:rPr>
          <w:lang w:val="de-DE"/>
        </w:rPr>
        <w:tab/>
        <w:t>[</w:t>
      </w:r>
      <w:r w:rsidRPr="004676F5">
        <w:rPr>
          <w:b/>
          <w:bCs/>
          <w:lang w:val="de-DE"/>
        </w:rPr>
        <w:t>Art. I.9/1</w:t>
      </w:r>
      <w:r w:rsidRPr="004676F5">
        <w:rPr>
          <w:lang w:val="de-DE"/>
        </w:rPr>
        <w:t> - Folgende Begriffsbestimmungen gelten für Buch VIII Titel 4 und 5:</w:t>
      </w:r>
    </w:p>
    <w:p w14:paraId="7BA5DCF5" w14:textId="77777777" w:rsidR="00F56DFE" w:rsidRPr="004676F5" w:rsidRDefault="00F56DFE" w:rsidP="00F56DFE">
      <w:pPr>
        <w:jc w:val="both"/>
        <w:rPr>
          <w:lang w:val="de-DE"/>
        </w:rPr>
      </w:pPr>
    </w:p>
    <w:p w14:paraId="251A975F" w14:textId="77777777" w:rsidR="00F56DFE" w:rsidRPr="004676F5" w:rsidRDefault="00F56DFE" w:rsidP="00F56DFE">
      <w:pPr>
        <w:jc w:val="both"/>
        <w:rPr>
          <w:lang w:val="de-DE"/>
        </w:rPr>
      </w:pPr>
      <w:r w:rsidRPr="004676F5">
        <w:rPr>
          <w:lang w:val="de-DE"/>
        </w:rPr>
        <w:tab/>
        <w:t>1. Richtlinie (EU) 2019/882: Richtlinie (EU) 2019/882 des Europäischen Parlaments und des Rates vom 17. April 2019 über die Barrierefreiheitsanforderungen für Produkte und Dienstleistungen,</w:t>
      </w:r>
    </w:p>
    <w:p w14:paraId="082DCE70" w14:textId="77777777" w:rsidR="00F56DFE" w:rsidRPr="004676F5" w:rsidRDefault="00F56DFE" w:rsidP="00F56DFE">
      <w:pPr>
        <w:jc w:val="both"/>
        <w:rPr>
          <w:lang w:val="de-DE"/>
        </w:rPr>
      </w:pPr>
    </w:p>
    <w:p w14:paraId="605557A2" w14:textId="77777777" w:rsidR="00F56DFE" w:rsidRPr="004676F5" w:rsidRDefault="00F56DFE" w:rsidP="00F56DFE">
      <w:pPr>
        <w:jc w:val="both"/>
        <w:rPr>
          <w:lang w:val="de-DE"/>
        </w:rPr>
      </w:pPr>
      <w:r w:rsidRPr="004676F5">
        <w:rPr>
          <w:lang w:val="de-DE"/>
        </w:rPr>
        <w:tab/>
        <w:t xml:space="preserve">2. Menschen mit Behinderungen: Menschen, die langfristige körperliche, seelische, geistige oder Sinnesbeeinträchtigungen haben, die sie in Wechselwirkung mit verschiedenen </w:t>
      </w:r>
      <w:r w:rsidRPr="004676F5">
        <w:rPr>
          <w:lang w:val="de-DE"/>
        </w:rPr>
        <w:lastRenderedPageBreak/>
        <w:t>Barrieren an der vollen, wirksamen und gleichberechtigten Teilhabe an der Gesellschaft hindern können,</w:t>
      </w:r>
    </w:p>
    <w:p w14:paraId="450FBD7D" w14:textId="77777777" w:rsidR="00F56DFE" w:rsidRPr="004676F5" w:rsidRDefault="00F56DFE" w:rsidP="00F56DFE">
      <w:pPr>
        <w:jc w:val="both"/>
        <w:rPr>
          <w:lang w:val="de-DE"/>
        </w:rPr>
      </w:pPr>
    </w:p>
    <w:p w14:paraId="07E543DF" w14:textId="77777777" w:rsidR="00F56DFE" w:rsidRPr="004676F5" w:rsidRDefault="00F56DFE" w:rsidP="00F56DFE">
      <w:pPr>
        <w:jc w:val="both"/>
        <w:rPr>
          <w:lang w:val="de-DE"/>
        </w:rPr>
      </w:pPr>
      <w:r w:rsidRPr="004676F5">
        <w:rPr>
          <w:lang w:val="de-DE"/>
        </w:rPr>
        <w:tab/>
        <w:t>3. Dienstleistungen: durch Artikel 57 des Vertrags über die Arbeitsweise der Europäischen Union erfasste selbständige Tätigkeiten, die in der Regel gegen Entgelt erbracht werden,</w:t>
      </w:r>
    </w:p>
    <w:p w14:paraId="0169853A" w14:textId="77777777" w:rsidR="00F56DFE" w:rsidRPr="004676F5" w:rsidRDefault="00F56DFE" w:rsidP="00F56DFE">
      <w:pPr>
        <w:jc w:val="both"/>
        <w:rPr>
          <w:lang w:val="de-DE"/>
        </w:rPr>
      </w:pPr>
    </w:p>
    <w:p w14:paraId="4828B2EC" w14:textId="77777777" w:rsidR="00F56DFE" w:rsidRPr="004676F5" w:rsidRDefault="00F56DFE" w:rsidP="00F56DFE">
      <w:pPr>
        <w:jc w:val="both"/>
        <w:rPr>
          <w:lang w:val="de-DE"/>
        </w:rPr>
      </w:pPr>
      <w:r w:rsidRPr="004676F5">
        <w:rPr>
          <w:lang w:val="de-DE"/>
        </w:rPr>
        <w:tab/>
        <w:t>4. Dienstleistungserbringer: natürliche oder juristische Personen, die eine Dienstleistung auf dem Unionsmarkt erbringen oder anbieten, eine solche Dienstleistung für Verbraucher in der Union zu erbringen,</w:t>
      </w:r>
    </w:p>
    <w:p w14:paraId="5C64F20F" w14:textId="77777777" w:rsidR="00F56DFE" w:rsidRPr="004676F5" w:rsidRDefault="00F56DFE" w:rsidP="00F56DFE">
      <w:pPr>
        <w:jc w:val="both"/>
        <w:rPr>
          <w:lang w:val="de-DE"/>
        </w:rPr>
      </w:pPr>
    </w:p>
    <w:p w14:paraId="27A70517" w14:textId="77777777" w:rsidR="00F56DFE" w:rsidRPr="004676F5" w:rsidRDefault="00F56DFE" w:rsidP="00F56DFE">
      <w:pPr>
        <w:jc w:val="both"/>
        <w:rPr>
          <w:lang w:val="de-DE"/>
        </w:rPr>
      </w:pPr>
      <w:r w:rsidRPr="004676F5">
        <w:rPr>
          <w:lang w:val="de-DE"/>
        </w:rPr>
        <w:tab/>
        <w:t>5. Kleinstunternehmen: Unternehmen, das weniger als zehn Personen beschäftigt und das entweder einen Jahresumsatz von höchstens 2 Millionen EUR erzielt oder dessen Jahresbilanzsumme sich auf höchstens 2 Millionen EUR beläuft,</w:t>
      </w:r>
    </w:p>
    <w:p w14:paraId="4D7AFC73" w14:textId="77777777" w:rsidR="00F56DFE" w:rsidRPr="004676F5" w:rsidRDefault="00F56DFE" w:rsidP="00F56DFE">
      <w:pPr>
        <w:jc w:val="both"/>
        <w:rPr>
          <w:lang w:val="de-DE"/>
        </w:rPr>
      </w:pPr>
    </w:p>
    <w:p w14:paraId="0233B15B" w14:textId="77777777" w:rsidR="00F56DFE" w:rsidRPr="004676F5" w:rsidRDefault="00F56DFE" w:rsidP="00F56DFE">
      <w:pPr>
        <w:jc w:val="both"/>
        <w:rPr>
          <w:lang w:val="de-DE"/>
        </w:rPr>
      </w:pPr>
      <w:r w:rsidRPr="004676F5">
        <w:rPr>
          <w:lang w:val="de-DE"/>
        </w:rPr>
        <w:tab/>
        <w:t>6. Bankdienstleistungen für Verbraucher: Bereitstellung der folgenden Bank- und Finanzdienstleistungen für Verbraucher:</w:t>
      </w:r>
    </w:p>
    <w:p w14:paraId="1427A0EA" w14:textId="77777777" w:rsidR="00F56DFE" w:rsidRPr="004676F5" w:rsidRDefault="00F56DFE" w:rsidP="00F56DFE">
      <w:pPr>
        <w:jc w:val="both"/>
        <w:rPr>
          <w:lang w:val="de-DE"/>
        </w:rPr>
      </w:pPr>
    </w:p>
    <w:p w14:paraId="4F54F4F8" w14:textId="77777777" w:rsidR="00F56DFE" w:rsidRPr="004676F5" w:rsidRDefault="00F56DFE" w:rsidP="00F56DFE">
      <w:pPr>
        <w:jc w:val="both"/>
        <w:rPr>
          <w:lang w:val="de-DE"/>
        </w:rPr>
      </w:pPr>
      <w:r w:rsidRPr="004676F5">
        <w:rPr>
          <w:lang w:val="de-DE"/>
        </w:rPr>
        <w:tab/>
      </w:r>
      <w:r w:rsidRPr="004676F5">
        <w:rPr>
          <w:i/>
          <w:lang w:val="de-DE"/>
        </w:rPr>
        <w:t>a)</w:t>
      </w:r>
      <w:r w:rsidRPr="004676F5">
        <w:rPr>
          <w:lang w:val="de-DE"/>
        </w:rPr>
        <w:t> Kreditverträge, die Buch VII Titel 4 Kapitel 1 und 2 unterliegen,</w:t>
      </w:r>
    </w:p>
    <w:p w14:paraId="0946B546" w14:textId="77777777" w:rsidR="00F56DFE" w:rsidRPr="004676F5" w:rsidRDefault="00F56DFE" w:rsidP="00F56DFE">
      <w:pPr>
        <w:jc w:val="both"/>
        <w:rPr>
          <w:lang w:val="de-DE"/>
        </w:rPr>
      </w:pPr>
    </w:p>
    <w:p w14:paraId="78A4F679" w14:textId="77777777" w:rsidR="00F56DFE" w:rsidRPr="004676F5" w:rsidRDefault="00F56DFE" w:rsidP="00F56DFE">
      <w:pPr>
        <w:jc w:val="both"/>
        <w:rPr>
          <w:lang w:val="de-DE"/>
        </w:rPr>
      </w:pPr>
      <w:r w:rsidRPr="004676F5">
        <w:rPr>
          <w:lang w:val="de-DE"/>
        </w:rPr>
        <w:tab/>
      </w:r>
      <w:r w:rsidRPr="004676F5">
        <w:rPr>
          <w:i/>
          <w:iCs/>
          <w:lang w:val="de-DE"/>
        </w:rPr>
        <w:t>b)</w:t>
      </w:r>
      <w:r w:rsidRPr="004676F5">
        <w:rPr>
          <w:lang w:val="de-DE"/>
        </w:rPr>
        <w:t> in Artikel 2 Nr. 1 Ziffer 1, 2, 4 und 5 und Nr. 2 Ziffer 1, 2, 4 und 5 des Gesetzes vom 25. Oktober 2016 über den Zugang zu Wertpapierdienstleistungstätigkeiten und den Status und die Kontrolle der Vermögensverwaltungs- und Anlageberatungsgesellschaften erwähnte Dienstleistungen,</w:t>
      </w:r>
    </w:p>
    <w:p w14:paraId="6B907B10" w14:textId="77777777" w:rsidR="00F56DFE" w:rsidRPr="004676F5" w:rsidRDefault="00F56DFE" w:rsidP="00F56DFE">
      <w:pPr>
        <w:jc w:val="both"/>
        <w:rPr>
          <w:lang w:val="de-DE"/>
        </w:rPr>
      </w:pPr>
    </w:p>
    <w:p w14:paraId="20CDFF70" w14:textId="77777777" w:rsidR="00F56DFE" w:rsidRPr="004676F5" w:rsidRDefault="00F56DFE" w:rsidP="00F56DFE">
      <w:pPr>
        <w:jc w:val="both"/>
        <w:rPr>
          <w:lang w:val="de-DE"/>
        </w:rPr>
      </w:pPr>
      <w:r w:rsidRPr="004676F5">
        <w:rPr>
          <w:lang w:val="de-DE"/>
        </w:rPr>
        <w:tab/>
      </w:r>
      <w:r w:rsidRPr="004676F5">
        <w:rPr>
          <w:i/>
          <w:lang w:val="de-DE"/>
        </w:rPr>
        <w:t>c)</w:t>
      </w:r>
      <w:r w:rsidRPr="004676F5">
        <w:rPr>
          <w:lang w:val="de-DE"/>
        </w:rPr>
        <w:t> in Artikel I.9 Nr. 1 erwähnte Zahlungsdienste,</w:t>
      </w:r>
    </w:p>
    <w:p w14:paraId="19CD3173" w14:textId="77777777" w:rsidR="00F56DFE" w:rsidRPr="004676F5" w:rsidRDefault="00F56DFE" w:rsidP="00F56DFE">
      <w:pPr>
        <w:jc w:val="both"/>
        <w:rPr>
          <w:lang w:val="de-DE"/>
        </w:rPr>
      </w:pPr>
    </w:p>
    <w:p w14:paraId="6FEEC05F" w14:textId="77777777" w:rsidR="00F56DFE" w:rsidRPr="004676F5" w:rsidRDefault="00F56DFE" w:rsidP="00F56DFE">
      <w:pPr>
        <w:jc w:val="both"/>
        <w:rPr>
          <w:lang w:val="de-DE"/>
        </w:rPr>
      </w:pPr>
      <w:r w:rsidRPr="004676F5">
        <w:rPr>
          <w:lang w:val="de-DE"/>
        </w:rPr>
        <w:tab/>
      </w:r>
      <w:r w:rsidRPr="004676F5">
        <w:rPr>
          <w:i/>
          <w:lang w:val="de-DE"/>
        </w:rPr>
        <w:t>d) </w:t>
      </w:r>
      <w:r w:rsidRPr="004676F5">
        <w:rPr>
          <w:lang w:val="de-DE"/>
        </w:rPr>
        <w:t>in Artikel I.9 Nr. 26 erwähntes elektronisches Geld und</w:t>
      </w:r>
    </w:p>
    <w:p w14:paraId="3556F42C" w14:textId="77777777" w:rsidR="00F56DFE" w:rsidRPr="004676F5" w:rsidRDefault="00F56DFE" w:rsidP="00F56DFE">
      <w:pPr>
        <w:jc w:val="both"/>
        <w:rPr>
          <w:lang w:val="de-DE"/>
        </w:rPr>
      </w:pPr>
    </w:p>
    <w:p w14:paraId="63E218F8" w14:textId="77777777" w:rsidR="00F56DFE" w:rsidRPr="004676F5" w:rsidRDefault="00F56DFE" w:rsidP="00F56DFE">
      <w:pPr>
        <w:jc w:val="both"/>
        <w:rPr>
          <w:lang w:val="de-DE"/>
        </w:rPr>
      </w:pPr>
      <w:r w:rsidRPr="004676F5">
        <w:rPr>
          <w:lang w:val="de-DE"/>
        </w:rPr>
        <w:tab/>
      </w:r>
      <w:r w:rsidRPr="004676F5">
        <w:rPr>
          <w:i/>
          <w:lang w:val="de-DE"/>
        </w:rPr>
        <w:t>e) </w:t>
      </w:r>
      <w:r w:rsidRPr="004676F5">
        <w:rPr>
          <w:lang w:val="de-DE"/>
        </w:rPr>
        <w:t>in Artikel I.9 Nr. 33/1 erwähnte Dienste, die mit einem Zahlungskonto verbunden sind,</w:t>
      </w:r>
    </w:p>
    <w:p w14:paraId="73E4CBE4" w14:textId="77777777" w:rsidR="00F56DFE" w:rsidRPr="004676F5" w:rsidRDefault="00F56DFE" w:rsidP="00F56DFE">
      <w:pPr>
        <w:jc w:val="both"/>
        <w:rPr>
          <w:lang w:val="de-DE"/>
        </w:rPr>
      </w:pPr>
    </w:p>
    <w:p w14:paraId="2B6ED5F4" w14:textId="77777777" w:rsidR="00F56DFE" w:rsidRPr="004676F5" w:rsidRDefault="00F56DFE" w:rsidP="00F56DFE">
      <w:pPr>
        <w:jc w:val="both"/>
        <w:rPr>
          <w:lang w:val="de-DE"/>
        </w:rPr>
      </w:pPr>
      <w:r w:rsidRPr="004676F5">
        <w:rPr>
          <w:lang w:val="de-DE"/>
        </w:rPr>
        <w:tab/>
        <w:t>7. Dienstleistungen im elektronischen Geschäftsverkehr (E-Commerce): Ferndienst</w:t>
      </w:r>
      <w:r w:rsidRPr="004676F5">
        <w:rPr>
          <w:lang w:val="de-DE"/>
        </w:rPr>
        <w:softHyphen/>
        <w:t>leistungen, die über Websites und auf Mobilgeräten angebotene Dienstleistungen, elektronisch und auf individuelle Anfrage eines Verbrauchers im Hinblick auf den Abschluss eines Verbrauchervertrags erbracht werden,</w:t>
      </w:r>
    </w:p>
    <w:p w14:paraId="5612A950" w14:textId="77777777" w:rsidR="00F56DFE" w:rsidRPr="004676F5" w:rsidRDefault="00F56DFE" w:rsidP="00F56DFE">
      <w:pPr>
        <w:jc w:val="both"/>
        <w:rPr>
          <w:lang w:val="de-DE"/>
        </w:rPr>
      </w:pPr>
    </w:p>
    <w:p w14:paraId="24F63A54" w14:textId="77777777" w:rsidR="00F56DFE" w:rsidRPr="004676F5" w:rsidRDefault="00F56DFE" w:rsidP="00F56DFE">
      <w:pPr>
        <w:jc w:val="both"/>
        <w:rPr>
          <w:lang w:val="de-DE"/>
        </w:rPr>
      </w:pPr>
      <w:r w:rsidRPr="004676F5">
        <w:rPr>
          <w:lang w:val="de-DE"/>
        </w:rPr>
        <w:tab/>
        <w:t>8. assistive Technologien: Elemente, Geräte oder Produktsysteme, einschließlich Software, die genutzt werden, um die funktionellen Fähigkeiten von Menschen mit Behinderungen zu erhöhen, aufrechtzuerhalten, zu ersetzen oder zu verbessern, oder die der Linderung und dem Ausgleich von Behinderungen, Beeinträchtigungen der Aktivität oder Beeinträchtigungen der Teilhabe dienen,</w:t>
      </w:r>
    </w:p>
    <w:p w14:paraId="1528814F" w14:textId="77777777" w:rsidR="00F56DFE" w:rsidRPr="004676F5" w:rsidRDefault="00F56DFE" w:rsidP="00F56DFE">
      <w:pPr>
        <w:jc w:val="both"/>
        <w:rPr>
          <w:lang w:val="de-DE"/>
        </w:rPr>
      </w:pPr>
    </w:p>
    <w:p w14:paraId="0380594D" w14:textId="77777777" w:rsidR="00F56DFE" w:rsidRPr="004676F5" w:rsidRDefault="00F56DFE" w:rsidP="00F56DFE">
      <w:pPr>
        <w:jc w:val="both"/>
        <w:rPr>
          <w:lang w:val="de-DE"/>
        </w:rPr>
      </w:pPr>
      <w:r w:rsidRPr="004676F5">
        <w:rPr>
          <w:lang w:val="de-DE"/>
        </w:rPr>
        <w:tab/>
        <w:t>9. Wirtschaftsakteure: Hersteller, Bevollmächtigte, Importeure, Händler oder Dienst</w:t>
      </w:r>
      <w:r w:rsidRPr="004676F5">
        <w:rPr>
          <w:lang w:val="de-DE"/>
        </w:rPr>
        <w:softHyphen/>
        <w:t>leistungserbringer.]</w:t>
      </w:r>
    </w:p>
    <w:p w14:paraId="758ECAC6" w14:textId="77777777" w:rsidR="00F56DFE" w:rsidRPr="004676F5" w:rsidRDefault="00F56DFE" w:rsidP="00F56DFE">
      <w:pPr>
        <w:rPr>
          <w:lang w:val="de-DE"/>
        </w:rPr>
      </w:pPr>
    </w:p>
    <w:p w14:paraId="5E6EA813" w14:textId="1BF7541A" w:rsidR="00967E1A" w:rsidRPr="004676F5" w:rsidRDefault="00F56DFE" w:rsidP="00F56DFE">
      <w:pPr>
        <w:jc w:val="both"/>
        <w:rPr>
          <w:lang w:val="de-DE"/>
        </w:rPr>
      </w:pPr>
      <w:r w:rsidRPr="004676F5">
        <w:rPr>
          <w:i/>
          <w:iCs/>
          <w:lang w:val="de-DE"/>
        </w:rPr>
        <w:t>[Art. I.9/1 eingefügt durch Art. 3 des G. vom 5. November 2023</w:t>
      </w:r>
      <w:r w:rsidR="003454B3" w:rsidRPr="004676F5">
        <w:rPr>
          <w:i/>
          <w:iCs/>
          <w:lang w:val="de-DE"/>
        </w:rPr>
        <w:t xml:space="preserve"> (II)</w:t>
      </w:r>
      <w:r w:rsidRPr="004676F5">
        <w:rPr>
          <w:i/>
          <w:iCs/>
          <w:lang w:val="de-DE"/>
        </w:rPr>
        <w:t xml:space="preserve"> (B.S. vom 28. November 2023)]</w:t>
      </w:r>
      <w:r w:rsidR="00967E1A" w:rsidRPr="004676F5">
        <w:rPr>
          <w:lang w:val="de-DE"/>
        </w:rPr>
        <w:br w:type="page"/>
      </w:r>
    </w:p>
    <w:p w14:paraId="5632DBC9" w14:textId="75D1712E" w:rsidR="0009060C" w:rsidRPr="004676F5" w:rsidRDefault="0009060C" w:rsidP="0009060C">
      <w:pPr>
        <w:ind w:firstLine="708"/>
        <w:jc w:val="center"/>
        <w:rPr>
          <w:i/>
          <w:lang w:val="de-DE"/>
        </w:rPr>
      </w:pPr>
      <w:r w:rsidRPr="004676F5">
        <w:rPr>
          <w:lang w:val="de-DE"/>
        </w:rPr>
        <w:lastRenderedPageBreak/>
        <w:t>[KAPITEL 7 </w:t>
      </w:r>
      <w:r w:rsidR="005B7A5C" w:rsidRPr="004676F5">
        <w:rPr>
          <w:lang w:val="de-DE"/>
        </w:rPr>
        <w:t>- </w:t>
      </w:r>
      <w:r w:rsidRPr="004676F5">
        <w:rPr>
          <w:i/>
          <w:lang w:val="de-DE"/>
        </w:rPr>
        <w:t>Begriffsbestimmungen Buch IX</w:t>
      </w:r>
    </w:p>
    <w:p w14:paraId="782683A9" w14:textId="77777777" w:rsidR="0009060C" w:rsidRPr="004676F5" w:rsidRDefault="0009060C" w:rsidP="0009060C">
      <w:pPr>
        <w:ind w:firstLine="708"/>
        <w:jc w:val="center"/>
        <w:rPr>
          <w:lang w:val="de-DE"/>
        </w:rPr>
      </w:pPr>
    </w:p>
    <w:p w14:paraId="7895DBD5" w14:textId="15175144" w:rsidR="0009060C" w:rsidRPr="004676F5" w:rsidRDefault="0009060C" w:rsidP="0009060C">
      <w:pPr>
        <w:jc w:val="both"/>
        <w:rPr>
          <w:i/>
          <w:lang w:val="de-DE"/>
        </w:rPr>
      </w:pPr>
      <w:r w:rsidRPr="004676F5">
        <w:rPr>
          <w:i/>
          <w:lang w:val="de-DE"/>
        </w:rPr>
        <w:t>[Kapitel</w:t>
      </w:r>
      <w:r w:rsidR="00F56DFE" w:rsidRPr="004676F5">
        <w:rPr>
          <w:i/>
          <w:lang w:val="de-DE"/>
        </w:rPr>
        <w:t> </w:t>
      </w:r>
      <w:r w:rsidRPr="004676F5">
        <w:rPr>
          <w:i/>
          <w:lang w:val="de-DE"/>
        </w:rPr>
        <w:t xml:space="preserve">7 mit </w:t>
      </w:r>
      <w:r w:rsidR="00BE0A56" w:rsidRPr="004676F5">
        <w:rPr>
          <w:i/>
          <w:lang w:val="de-DE"/>
        </w:rPr>
        <w:t>Art. </w:t>
      </w:r>
      <w:r w:rsidRPr="004676F5">
        <w:rPr>
          <w:i/>
          <w:lang w:val="de-DE"/>
        </w:rPr>
        <w:t xml:space="preserve">I.10 eingefügt durch </w:t>
      </w:r>
      <w:r w:rsidR="00BE0A56" w:rsidRPr="004676F5">
        <w:rPr>
          <w:i/>
          <w:lang w:val="de-DE"/>
        </w:rPr>
        <w:t>Art. </w:t>
      </w:r>
      <w:r w:rsidRPr="004676F5">
        <w:rPr>
          <w:i/>
          <w:lang w:val="de-DE"/>
        </w:rPr>
        <w:t>2 des G. vom 25. April 2013 (B.S. vom 27. Mai 2013)]</w:t>
      </w:r>
    </w:p>
    <w:p w14:paraId="281F7AE2" w14:textId="77777777" w:rsidR="0009060C" w:rsidRPr="004676F5" w:rsidRDefault="0009060C" w:rsidP="0009060C">
      <w:pPr>
        <w:ind w:firstLine="708"/>
        <w:rPr>
          <w:lang w:val="de-DE"/>
        </w:rPr>
      </w:pPr>
    </w:p>
    <w:p w14:paraId="5AB9F75B" w14:textId="77777777" w:rsidR="0009060C" w:rsidRPr="004676F5" w:rsidRDefault="0009060C" w:rsidP="0009060C">
      <w:pPr>
        <w:ind w:firstLine="708"/>
        <w:rPr>
          <w:lang w:val="de-DE"/>
        </w:rPr>
      </w:pPr>
    </w:p>
    <w:p w14:paraId="2B53544C" w14:textId="55ECB215" w:rsidR="0009060C" w:rsidRPr="004676F5" w:rsidRDefault="00BE0A56" w:rsidP="0009060C">
      <w:pPr>
        <w:ind w:firstLine="708"/>
        <w:rPr>
          <w:lang w:val="de-DE"/>
        </w:rPr>
      </w:pPr>
      <w:r w:rsidRPr="004676F5">
        <w:rPr>
          <w:b/>
          <w:lang w:val="de-DE"/>
        </w:rPr>
        <w:t>Art. </w:t>
      </w:r>
      <w:r w:rsidR="0009060C" w:rsidRPr="004676F5">
        <w:rPr>
          <w:b/>
          <w:lang w:val="de-DE"/>
        </w:rPr>
        <w:t>I.10</w:t>
      </w:r>
      <w:r w:rsidR="0009060C" w:rsidRPr="004676F5">
        <w:rPr>
          <w:lang w:val="de-DE"/>
        </w:rPr>
        <w:t xml:space="preserve"> </w:t>
      </w:r>
      <w:r w:rsidR="005B7A5C" w:rsidRPr="004676F5">
        <w:rPr>
          <w:lang w:val="de-DE"/>
        </w:rPr>
        <w:t>- </w:t>
      </w:r>
      <w:r w:rsidR="0009060C" w:rsidRPr="004676F5">
        <w:rPr>
          <w:lang w:val="de-DE"/>
        </w:rPr>
        <w:t>Folgende Begriffsbestimmungen gelten für Buch IX:</w:t>
      </w:r>
    </w:p>
    <w:p w14:paraId="36D5B337" w14:textId="77777777" w:rsidR="0009060C" w:rsidRPr="004676F5" w:rsidRDefault="0009060C" w:rsidP="0009060C">
      <w:pPr>
        <w:rPr>
          <w:lang w:val="de-DE"/>
        </w:rPr>
      </w:pPr>
    </w:p>
    <w:p w14:paraId="3F490305" w14:textId="77777777" w:rsidR="0009060C" w:rsidRPr="004676F5" w:rsidRDefault="0009060C" w:rsidP="0009060C">
      <w:pPr>
        <w:ind w:firstLine="708"/>
        <w:jc w:val="both"/>
        <w:rPr>
          <w:lang w:val="de-DE"/>
        </w:rPr>
      </w:pPr>
      <w:r w:rsidRPr="004676F5">
        <w:rPr>
          <w:lang w:val="de-DE"/>
        </w:rPr>
        <w:t>1. "Produkt": Sachgut, unabhängig davon, ob es neu, gebraucht oder wiederaufgearbeitet ist, das entgeltlich oder unentgeltlich im Rahmen einer Geschäftstätigkeit oder eines Dienstes einem Benutzer geliefert oder zur Verfügung gestellt wird, beziehungsweise Sachgut, das von einem Arbeitgeber zur Verfügung gestellt wird oder dazu bestimmt ist, einem Arbeitnehmer zur Verfügung gestellt zu werden, damit dieser seine Arbeit durchführen kann.</w:t>
      </w:r>
    </w:p>
    <w:p w14:paraId="6F05BFF0" w14:textId="77777777" w:rsidR="0009060C" w:rsidRPr="004676F5" w:rsidRDefault="0009060C" w:rsidP="0009060C">
      <w:pPr>
        <w:ind w:firstLine="708"/>
        <w:rPr>
          <w:lang w:val="de-DE"/>
        </w:rPr>
      </w:pPr>
    </w:p>
    <w:p w14:paraId="4AA15452" w14:textId="77777777" w:rsidR="0009060C" w:rsidRPr="004676F5" w:rsidRDefault="0009060C" w:rsidP="0009060C">
      <w:pPr>
        <w:ind w:firstLine="708"/>
        <w:jc w:val="both"/>
        <w:rPr>
          <w:lang w:val="de-DE"/>
        </w:rPr>
      </w:pPr>
      <w:r w:rsidRPr="004676F5">
        <w:rPr>
          <w:lang w:val="de-DE"/>
        </w:rPr>
        <w:t>Anlagen, das heißt der Zusammenbau von Produkten, die so angeordnet werden, dass sie zusammen funktionieren können, sind ebenfalls betroffen. Gebrauchte Produkte, die als Antiquitäten geliefert werden, oder Produkte, die vor ihrer Verwendung instand gesetzt oder wiederaufgearbeitet werden müssen, sofern der Lieferant der von ihm belieferten Person klare Angaben darüber macht, sind jedoch nicht betroffen,</w:t>
      </w:r>
    </w:p>
    <w:p w14:paraId="2A2CAAA0" w14:textId="77777777" w:rsidR="0009060C" w:rsidRPr="004676F5" w:rsidRDefault="0009060C" w:rsidP="0009060C">
      <w:pPr>
        <w:rPr>
          <w:lang w:val="de-DE"/>
        </w:rPr>
      </w:pPr>
    </w:p>
    <w:p w14:paraId="0E9A97FE" w14:textId="77777777" w:rsidR="0009060C" w:rsidRPr="004676F5" w:rsidRDefault="0009060C" w:rsidP="0009060C">
      <w:pPr>
        <w:ind w:firstLine="708"/>
        <w:jc w:val="both"/>
        <w:rPr>
          <w:lang w:val="de-DE"/>
        </w:rPr>
      </w:pPr>
      <w:r w:rsidRPr="004676F5">
        <w:rPr>
          <w:lang w:val="de-DE"/>
        </w:rPr>
        <w:t>2. "sicheres Produkt": Produkt, das bei normaler oder vernünftigerweise vorhersehbarer Verwendung, was auch die Gebrauchsdauer und gegebenenfalls die Inbetriebnahme, Installation und Wartungsanforderungen einschließt, keine oder nur geringe, mit ihrer Verwendung zu vereinbarende und unter Wahrung eines hohen Schutzniveaus für die Gesundheit und die Sicherheit von Personen vertretbare Gefahren birgt. Die Möglichkeit, einen höheren Sicherheitsgrad zu erreichen, oder die Verfügbarkeit anderer Produkte, von denen eine geringere Gefährdung ausgeht, ist kein ausreichender Grund, um ein Produkt als gefährlich anzusehen. Bei der Beurteilung wird Folgendes berücksichtigt:</w:t>
      </w:r>
    </w:p>
    <w:p w14:paraId="5BC592E9" w14:textId="77777777" w:rsidR="0009060C" w:rsidRPr="004676F5" w:rsidRDefault="0009060C" w:rsidP="0009060C">
      <w:pPr>
        <w:ind w:firstLine="708"/>
        <w:jc w:val="both"/>
        <w:rPr>
          <w:lang w:val="de-DE"/>
        </w:rPr>
      </w:pPr>
    </w:p>
    <w:p w14:paraId="45A1D1DB" w14:textId="77777777" w:rsidR="0009060C" w:rsidRPr="004676F5" w:rsidRDefault="0009060C" w:rsidP="0009060C">
      <w:pPr>
        <w:ind w:firstLine="708"/>
        <w:jc w:val="both"/>
        <w:rPr>
          <w:lang w:val="de-DE"/>
        </w:rPr>
      </w:pPr>
      <w:r w:rsidRPr="004676F5">
        <w:rPr>
          <w:i/>
          <w:lang w:val="de-DE"/>
        </w:rPr>
        <w:t>a)</w:t>
      </w:r>
      <w:r w:rsidRPr="004676F5">
        <w:rPr>
          <w:lang w:val="de-DE"/>
        </w:rPr>
        <w:t xml:space="preserve"> die Eigenschaften des Produkts, unter anderem seine Zusammensetzung, seine Verpackung, die Bedingungen für seinen Zusammenbau und gegebenenfalls seine Installation und seine Wartung,</w:t>
      </w:r>
    </w:p>
    <w:p w14:paraId="6BFC96E6" w14:textId="77777777" w:rsidR="0009060C" w:rsidRPr="004676F5" w:rsidRDefault="0009060C" w:rsidP="0009060C">
      <w:pPr>
        <w:ind w:firstLine="708"/>
        <w:jc w:val="both"/>
        <w:rPr>
          <w:lang w:val="de-DE"/>
        </w:rPr>
      </w:pPr>
    </w:p>
    <w:p w14:paraId="5435D550" w14:textId="77777777" w:rsidR="0009060C" w:rsidRPr="004676F5" w:rsidRDefault="0009060C" w:rsidP="0009060C">
      <w:pPr>
        <w:ind w:firstLine="708"/>
        <w:jc w:val="both"/>
        <w:rPr>
          <w:lang w:val="de-DE"/>
        </w:rPr>
      </w:pPr>
      <w:r w:rsidRPr="004676F5">
        <w:rPr>
          <w:i/>
          <w:lang w:val="de-DE"/>
        </w:rPr>
        <w:t>b)</w:t>
      </w:r>
      <w:r w:rsidRPr="004676F5">
        <w:rPr>
          <w:lang w:val="de-DE"/>
        </w:rPr>
        <w:t xml:space="preserve"> seine Einwirkung auf andere Produkte, wenn eine gemeinsame Verwendung mit anderen Produkten vernünftigerweise vorhersehbar ist,</w:t>
      </w:r>
    </w:p>
    <w:p w14:paraId="30453D4C" w14:textId="77777777" w:rsidR="0009060C" w:rsidRPr="004676F5" w:rsidRDefault="0009060C" w:rsidP="0009060C">
      <w:pPr>
        <w:ind w:firstLine="708"/>
        <w:rPr>
          <w:lang w:val="de-DE"/>
        </w:rPr>
      </w:pPr>
    </w:p>
    <w:p w14:paraId="6B4D6147" w14:textId="54A56B48" w:rsidR="0009060C" w:rsidRPr="004676F5" w:rsidRDefault="0009060C" w:rsidP="0009060C">
      <w:pPr>
        <w:ind w:firstLine="708"/>
        <w:jc w:val="both"/>
        <w:rPr>
          <w:lang w:val="de-DE"/>
        </w:rPr>
      </w:pPr>
      <w:r w:rsidRPr="004676F5">
        <w:rPr>
          <w:i/>
          <w:lang w:val="de-DE"/>
        </w:rPr>
        <w:t>c)</w:t>
      </w:r>
      <w:r w:rsidRPr="004676F5">
        <w:rPr>
          <w:lang w:val="de-DE"/>
        </w:rPr>
        <w:t xml:space="preserve"> seine Aufmachung, seine Etikettierung, gegebenenfalls Warnhinweise und seine Gebrauchs</w:t>
      </w:r>
      <w:r w:rsidR="005B7A5C" w:rsidRPr="004676F5">
        <w:rPr>
          <w:lang w:val="de-DE"/>
        </w:rPr>
        <w:t>- </w:t>
      </w:r>
      <w:r w:rsidRPr="004676F5">
        <w:rPr>
          <w:lang w:val="de-DE"/>
        </w:rPr>
        <w:t>und Bedienungsanleitung und Anweisungen für seine Beseitigung sowie alle sonstigen produktbezogenen Angaben oder Informationen,</w:t>
      </w:r>
    </w:p>
    <w:p w14:paraId="1299C460" w14:textId="77777777" w:rsidR="0009060C" w:rsidRPr="004676F5" w:rsidRDefault="0009060C" w:rsidP="0009060C">
      <w:pPr>
        <w:ind w:firstLine="708"/>
        <w:rPr>
          <w:lang w:val="de-DE"/>
        </w:rPr>
      </w:pPr>
    </w:p>
    <w:p w14:paraId="300F59CA" w14:textId="77777777" w:rsidR="0009060C" w:rsidRPr="004676F5" w:rsidRDefault="0009060C" w:rsidP="0009060C">
      <w:pPr>
        <w:ind w:firstLine="708"/>
        <w:jc w:val="both"/>
        <w:rPr>
          <w:lang w:val="de-DE"/>
        </w:rPr>
      </w:pPr>
      <w:r w:rsidRPr="004676F5">
        <w:rPr>
          <w:i/>
          <w:lang w:val="de-DE"/>
        </w:rPr>
        <w:t xml:space="preserve">d) </w:t>
      </w:r>
      <w:r w:rsidRPr="004676F5">
        <w:rPr>
          <w:lang w:val="de-DE"/>
        </w:rPr>
        <w:t>die Gruppen von Benutzern, die bei der Verwendung des Produkts einem großen Risiko ausgesetzt sind, vor allem Kinder und ältere Menschen,</w:t>
      </w:r>
    </w:p>
    <w:p w14:paraId="57F455BA" w14:textId="77777777" w:rsidR="0009060C" w:rsidRPr="004676F5" w:rsidRDefault="0009060C" w:rsidP="0009060C">
      <w:pPr>
        <w:ind w:firstLine="708"/>
        <w:rPr>
          <w:lang w:val="de-DE"/>
        </w:rPr>
      </w:pPr>
    </w:p>
    <w:p w14:paraId="53899503" w14:textId="77777777" w:rsidR="0009060C" w:rsidRPr="004676F5" w:rsidRDefault="0009060C" w:rsidP="0009060C">
      <w:pPr>
        <w:ind w:firstLine="708"/>
        <w:jc w:val="both"/>
        <w:rPr>
          <w:lang w:val="de-DE"/>
        </w:rPr>
      </w:pPr>
      <w:r w:rsidRPr="004676F5">
        <w:rPr>
          <w:lang w:val="de-DE"/>
        </w:rPr>
        <w:t>3. "gefährliches Produkt": Produkt, das nicht der Begriffsbestimmung des sicheren Produkts entspricht,</w:t>
      </w:r>
    </w:p>
    <w:p w14:paraId="60268920" w14:textId="77777777" w:rsidR="0009060C" w:rsidRPr="004676F5" w:rsidRDefault="0009060C" w:rsidP="0009060C">
      <w:pPr>
        <w:ind w:firstLine="708"/>
        <w:rPr>
          <w:lang w:val="de-DE"/>
        </w:rPr>
      </w:pPr>
    </w:p>
    <w:p w14:paraId="41678630" w14:textId="77777777" w:rsidR="0009060C" w:rsidRPr="004676F5" w:rsidRDefault="0009060C" w:rsidP="0009060C">
      <w:pPr>
        <w:ind w:firstLine="708"/>
        <w:jc w:val="both"/>
        <w:rPr>
          <w:lang w:val="de-DE"/>
        </w:rPr>
      </w:pPr>
      <w:r w:rsidRPr="004676F5">
        <w:rPr>
          <w:lang w:val="de-DE"/>
        </w:rPr>
        <w:t xml:space="preserve">4. "Produkt, das für Verbraucher bestimmt ist": Produkt, das für Verbraucher bestimmt ist oder unter vernünftigerweise vorhersehbaren Bedingungen von Verbrauchern benutzt werden könnte, selbst wenn es nicht spezifisch für sie bestimmt ist. Einzige Ausnahme sind Produkte, die für gewerbsmäßige Zwecke bestimmt sind, deren Etikettierung diese </w:t>
      </w:r>
      <w:r w:rsidRPr="004676F5">
        <w:rPr>
          <w:lang w:val="de-DE"/>
        </w:rPr>
        <w:lastRenderedPageBreak/>
        <w:t>gewerbsmäßige Nutzung angibt und die in individuellen Verbrauchern zugänglichen Vertriebsgeschäften nicht erhältlich sind,</w:t>
      </w:r>
    </w:p>
    <w:p w14:paraId="3B93B90D" w14:textId="77777777" w:rsidR="0009060C" w:rsidRPr="004676F5" w:rsidRDefault="0009060C" w:rsidP="0009060C">
      <w:pPr>
        <w:ind w:firstLine="708"/>
        <w:rPr>
          <w:lang w:val="de-DE"/>
        </w:rPr>
      </w:pPr>
    </w:p>
    <w:p w14:paraId="2D2F0ADB" w14:textId="77777777" w:rsidR="0009060C" w:rsidRPr="004676F5" w:rsidRDefault="0009060C" w:rsidP="0009060C">
      <w:pPr>
        <w:ind w:firstLine="708"/>
        <w:jc w:val="both"/>
        <w:rPr>
          <w:lang w:val="de-DE"/>
        </w:rPr>
      </w:pPr>
      <w:r w:rsidRPr="004676F5">
        <w:rPr>
          <w:lang w:val="de-DE"/>
        </w:rPr>
        <w:t xml:space="preserve">5. "Dienst": Bereitstellung eines Produkts an </w:t>
      </w:r>
      <w:r w:rsidR="001E466E" w:rsidRPr="004676F5">
        <w:rPr>
          <w:lang w:val="de-DE"/>
        </w:rPr>
        <w:t>[Benutzer]</w:t>
      </w:r>
      <w:r w:rsidRPr="004676F5">
        <w:rPr>
          <w:lang w:val="de-DE"/>
        </w:rPr>
        <w:t xml:space="preserve"> und Verwendung eines Produkts, von dem für den </w:t>
      </w:r>
      <w:r w:rsidR="001E466E" w:rsidRPr="004676F5">
        <w:rPr>
          <w:lang w:val="de-DE"/>
        </w:rPr>
        <w:t>[Benutzer]</w:t>
      </w:r>
      <w:r w:rsidRPr="004676F5">
        <w:rPr>
          <w:lang w:val="de-DE"/>
        </w:rPr>
        <w:t xml:space="preserve"> Risiken ausgehen, durch einen Dienstleistungserbringer, insofern es sich um ein Produkt handelt, das in direktem Zusammenhang mit der Dienstleistung steht,</w:t>
      </w:r>
    </w:p>
    <w:p w14:paraId="00C032F4" w14:textId="77777777" w:rsidR="0009060C" w:rsidRPr="004676F5" w:rsidRDefault="0009060C" w:rsidP="0009060C">
      <w:pPr>
        <w:ind w:firstLine="708"/>
        <w:jc w:val="both"/>
        <w:rPr>
          <w:lang w:val="de-DE"/>
        </w:rPr>
      </w:pPr>
    </w:p>
    <w:p w14:paraId="686F6160" w14:textId="77777777" w:rsidR="0009060C" w:rsidRPr="004676F5" w:rsidRDefault="0009060C" w:rsidP="0009060C">
      <w:pPr>
        <w:ind w:firstLine="708"/>
        <w:jc w:val="both"/>
        <w:rPr>
          <w:lang w:val="de-DE"/>
        </w:rPr>
      </w:pPr>
      <w:r w:rsidRPr="004676F5">
        <w:rPr>
          <w:lang w:val="de-DE"/>
        </w:rPr>
        <w:t>6. "sicherer Dienst": Dienst, bei dem nur sichere Produkte angeboten werden und die Dienstleistung keine oder nur geringe, mit der Dienstleistung zu vereinbarende und unter Wahrung eines hohen Schutzniveaus für die Gesundheit und die Sicherheit vertretbare Gefahren birgt,</w:t>
      </w:r>
    </w:p>
    <w:p w14:paraId="13F79C8F" w14:textId="77777777" w:rsidR="0009060C" w:rsidRPr="004676F5" w:rsidRDefault="0009060C" w:rsidP="0009060C">
      <w:pPr>
        <w:ind w:firstLine="708"/>
        <w:jc w:val="both"/>
        <w:rPr>
          <w:lang w:val="de-DE"/>
        </w:rPr>
      </w:pPr>
    </w:p>
    <w:p w14:paraId="1D3DE27B" w14:textId="77777777" w:rsidR="0009060C" w:rsidRPr="004676F5" w:rsidRDefault="0009060C" w:rsidP="0009060C">
      <w:pPr>
        <w:ind w:firstLine="708"/>
        <w:jc w:val="both"/>
        <w:rPr>
          <w:lang w:val="de-DE"/>
        </w:rPr>
      </w:pPr>
      <w:r w:rsidRPr="004676F5">
        <w:rPr>
          <w:lang w:val="de-DE"/>
        </w:rPr>
        <w:t>7. "gefährlicher Dienst": Dienst, der nicht der Begriffsbestimmung des sicheren Dienstes entspricht,</w:t>
      </w:r>
    </w:p>
    <w:p w14:paraId="6A265BED" w14:textId="77777777" w:rsidR="0009060C" w:rsidRPr="004676F5" w:rsidRDefault="0009060C" w:rsidP="0009060C">
      <w:pPr>
        <w:rPr>
          <w:lang w:val="de-DE"/>
        </w:rPr>
      </w:pPr>
    </w:p>
    <w:p w14:paraId="5CA18BBB" w14:textId="77777777" w:rsidR="0009060C" w:rsidRPr="004676F5" w:rsidRDefault="0009060C" w:rsidP="0009060C">
      <w:pPr>
        <w:ind w:firstLine="708"/>
        <w:rPr>
          <w:lang w:val="de-DE"/>
        </w:rPr>
      </w:pPr>
      <w:r w:rsidRPr="004676F5">
        <w:rPr>
          <w:lang w:val="de-DE"/>
        </w:rPr>
        <w:t>8. "Hersteller":</w:t>
      </w:r>
    </w:p>
    <w:p w14:paraId="3C7A6FB5" w14:textId="77777777" w:rsidR="0009060C" w:rsidRPr="004676F5" w:rsidRDefault="0009060C" w:rsidP="0009060C">
      <w:pPr>
        <w:ind w:firstLine="708"/>
        <w:rPr>
          <w:lang w:val="de-DE"/>
        </w:rPr>
      </w:pPr>
    </w:p>
    <w:p w14:paraId="401C4660" w14:textId="77777777" w:rsidR="0009060C" w:rsidRPr="004676F5" w:rsidRDefault="0009060C" w:rsidP="0009060C">
      <w:pPr>
        <w:ind w:firstLine="708"/>
        <w:jc w:val="both"/>
        <w:rPr>
          <w:lang w:val="de-DE"/>
        </w:rPr>
      </w:pPr>
      <w:r w:rsidRPr="004676F5">
        <w:rPr>
          <w:i/>
          <w:lang w:val="de-DE"/>
        </w:rPr>
        <w:t>a)</w:t>
      </w:r>
      <w:r w:rsidRPr="004676F5">
        <w:rPr>
          <w:lang w:val="de-DE"/>
        </w:rPr>
        <w:t xml:space="preserve"> Hersteller des Produkts oder Dienstleistungserbringer, wenn er seinen Sitz in einem Mitgliedstaat hat, und andere Personen, die als Hersteller auftreten, indem sie auf dem Produkt ihren Namen, ihr Markenzeichen oder ein anderes Unterscheidungszeichen anbringen, oder das Produkt wiederaufarbeiten oder als Dienstleistungserbringer auftreten,</w:t>
      </w:r>
    </w:p>
    <w:p w14:paraId="17C49FA1" w14:textId="77777777" w:rsidR="0009060C" w:rsidRPr="004676F5" w:rsidRDefault="0009060C" w:rsidP="0009060C">
      <w:pPr>
        <w:ind w:firstLine="708"/>
        <w:jc w:val="both"/>
        <w:rPr>
          <w:lang w:val="de-DE"/>
        </w:rPr>
      </w:pPr>
    </w:p>
    <w:p w14:paraId="6D2C934A" w14:textId="77777777" w:rsidR="0009060C" w:rsidRPr="004676F5" w:rsidRDefault="0009060C" w:rsidP="0009060C">
      <w:pPr>
        <w:ind w:firstLine="708"/>
        <w:jc w:val="both"/>
        <w:rPr>
          <w:lang w:val="de-DE"/>
        </w:rPr>
      </w:pPr>
      <w:r w:rsidRPr="004676F5">
        <w:rPr>
          <w:i/>
          <w:lang w:val="de-DE"/>
        </w:rPr>
        <w:t>b)</w:t>
      </w:r>
      <w:r w:rsidRPr="004676F5">
        <w:rPr>
          <w:lang w:val="de-DE"/>
        </w:rPr>
        <w:t xml:space="preserve"> Vertreter des Herstellers oder des Dienstleistungserbringers, wenn dieser seinen Sitz nicht in einem Mitgliedstaat hat, oder, falls kein Vertreter mit Sitz in einem Mitgliedstaat vorhanden ist, Importeur des Produkts oder Dienstleistungsanbieter,</w:t>
      </w:r>
    </w:p>
    <w:p w14:paraId="621B79BD" w14:textId="77777777" w:rsidR="0009060C" w:rsidRPr="004676F5" w:rsidRDefault="0009060C" w:rsidP="0009060C">
      <w:pPr>
        <w:jc w:val="both"/>
        <w:rPr>
          <w:lang w:val="de-DE"/>
        </w:rPr>
      </w:pPr>
    </w:p>
    <w:p w14:paraId="531A2B3D" w14:textId="77777777" w:rsidR="0009060C" w:rsidRPr="004676F5" w:rsidRDefault="0009060C" w:rsidP="0009060C">
      <w:pPr>
        <w:ind w:firstLine="708"/>
        <w:jc w:val="both"/>
        <w:rPr>
          <w:lang w:val="de-DE"/>
        </w:rPr>
      </w:pPr>
      <w:r w:rsidRPr="004676F5">
        <w:rPr>
          <w:i/>
          <w:lang w:val="de-DE"/>
        </w:rPr>
        <w:t>c)</w:t>
      </w:r>
      <w:r w:rsidRPr="004676F5">
        <w:rPr>
          <w:lang w:val="de-DE"/>
        </w:rPr>
        <w:t xml:space="preserve"> sonstige Gewerbetreibende der Absatzkette oder der Dienstleistungserbringung, soweit ihre Tätigkeit die Sicherheitseigenschaften eines in den Verkehr gebrachten Produkts beeinflussen kann,</w:t>
      </w:r>
    </w:p>
    <w:p w14:paraId="2DF9AC5C" w14:textId="77777777" w:rsidR="0009060C" w:rsidRPr="004676F5" w:rsidRDefault="0009060C" w:rsidP="0009060C">
      <w:pPr>
        <w:ind w:firstLine="708"/>
        <w:rPr>
          <w:lang w:val="de-DE"/>
        </w:rPr>
      </w:pPr>
    </w:p>
    <w:p w14:paraId="5E562029" w14:textId="77777777" w:rsidR="0009060C" w:rsidRPr="004676F5" w:rsidRDefault="0009060C" w:rsidP="0009060C">
      <w:pPr>
        <w:ind w:firstLine="708"/>
        <w:jc w:val="both"/>
        <w:rPr>
          <w:lang w:val="de-DE"/>
        </w:rPr>
      </w:pPr>
      <w:r w:rsidRPr="004676F5">
        <w:rPr>
          <w:i/>
          <w:lang w:val="de-DE"/>
        </w:rPr>
        <w:t>d)</w:t>
      </w:r>
      <w:r w:rsidRPr="004676F5">
        <w:rPr>
          <w:lang w:val="de-DE"/>
        </w:rPr>
        <w:t xml:space="preserve"> Arbeitgeber, der Produkte, die im eigenen Betrieb benutzt werden, herstellt,</w:t>
      </w:r>
    </w:p>
    <w:p w14:paraId="291C9D76" w14:textId="77777777" w:rsidR="0009060C" w:rsidRPr="004676F5" w:rsidRDefault="0009060C" w:rsidP="0009060C">
      <w:pPr>
        <w:jc w:val="both"/>
        <w:rPr>
          <w:lang w:val="de-DE"/>
        </w:rPr>
      </w:pPr>
    </w:p>
    <w:p w14:paraId="49D1862B" w14:textId="77777777" w:rsidR="0009060C" w:rsidRPr="004676F5" w:rsidRDefault="0009060C" w:rsidP="0009060C">
      <w:pPr>
        <w:ind w:firstLine="708"/>
        <w:jc w:val="both"/>
        <w:rPr>
          <w:lang w:val="de-DE"/>
        </w:rPr>
      </w:pPr>
      <w:r w:rsidRPr="004676F5">
        <w:rPr>
          <w:lang w:val="de-DE"/>
        </w:rPr>
        <w:t>9. "Händler": Gewerbetreibender der Absatzkette oder der Dienstleistungserbringung, dessen Tätigkeit die Sicherheitseigenschaften des Produkts nicht beeinflusst,</w:t>
      </w:r>
    </w:p>
    <w:p w14:paraId="0614F259" w14:textId="77777777" w:rsidR="0009060C" w:rsidRPr="004676F5" w:rsidRDefault="0009060C" w:rsidP="0009060C">
      <w:pPr>
        <w:ind w:firstLine="708"/>
        <w:rPr>
          <w:lang w:val="de-DE"/>
        </w:rPr>
      </w:pPr>
    </w:p>
    <w:p w14:paraId="6CA1E1D3" w14:textId="77777777" w:rsidR="0009060C" w:rsidRPr="004676F5" w:rsidRDefault="0009060C" w:rsidP="0009060C">
      <w:pPr>
        <w:ind w:firstLine="708"/>
        <w:jc w:val="both"/>
        <w:rPr>
          <w:lang w:val="de-DE"/>
        </w:rPr>
      </w:pPr>
      <w:r w:rsidRPr="004676F5">
        <w:rPr>
          <w:lang w:val="de-DE"/>
        </w:rPr>
        <w:t>10. "Arbeitnehmer": Arbeitnehmer, so wie er in Artikel 2 § 1 Nr. 1 des Gesetzes vom 4. August 1996 über das Wohlbefinden der Arbeitnehmer bei der Ausführung ihrer Arbeit bestimmt ist,</w:t>
      </w:r>
    </w:p>
    <w:p w14:paraId="19613CE9" w14:textId="77777777" w:rsidR="0009060C" w:rsidRPr="004676F5" w:rsidRDefault="0009060C" w:rsidP="0009060C">
      <w:pPr>
        <w:jc w:val="both"/>
        <w:rPr>
          <w:lang w:val="de-DE"/>
        </w:rPr>
      </w:pPr>
    </w:p>
    <w:p w14:paraId="426A87CB" w14:textId="77777777" w:rsidR="0009060C" w:rsidRPr="004676F5" w:rsidRDefault="0009060C" w:rsidP="0009060C">
      <w:pPr>
        <w:ind w:firstLine="708"/>
        <w:jc w:val="both"/>
        <w:rPr>
          <w:lang w:val="de-DE"/>
        </w:rPr>
      </w:pPr>
      <w:r w:rsidRPr="004676F5">
        <w:rPr>
          <w:lang w:val="de-DE"/>
        </w:rPr>
        <w:t>11. "Arbeitgeber": Arbeitgeber, so wie er in Artikel 2 § 1 Nr. 2 desselben Gesetzes bestimmt ist,</w:t>
      </w:r>
    </w:p>
    <w:p w14:paraId="0BE845B9" w14:textId="77777777" w:rsidR="0009060C" w:rsidRPr="004676F5" w:rsidRDefault="0009060C" w:rsidP="0009060C">
      <w:pPr>
        <w:ind w:firstLine="708"/>
        <w:jc w:val="both"/>
        <w:rPr>
          <w:lang w:val="de-DE"/>
        </w:rPr>
      </w:pPr>
    </w:p>
    <w:p w14:paraId="68C78EEA" w14:textId="77777777" w:rsidR="0009060C" w:rsidRPr="004676F5" w:rsidRDefault="0009060C" w:rsidP="0009060C">
      <w:pPr>
        <w:ind w:firstLine="708"/>
        <w:rPr>
          <w:lang w:val="de-DE"/>
        </w:rPr>
      </w:pPr>
      <w:r w:rsidRPr="004676F5">
        <w:rPr>
          <w:lang w:val="de-DE"/>
        </w:rPr>
        <w:t>12. "Benutzer": je nach Fall Verbraucher, Arbeitgeber beziehungsweise Arbeitnehmer,</w:t>
      </w:r>
    </w:p>
    <w:p w14:paraId="4AC29680" w14:textId="77777777" w:rsidR="0009060C" w:rsidRPr="004676F5" w:rsidRDefault="0009060C" w:rsidP="0009060C">
      <w:pPr>
        <w:ind w:firstLine="708"/>
        <w:rPr>
          <w:lang w:val="de-DE"/>
        </w:rPr>
      </w:pPr>
    </w:p>
    <w:p w14:paraId="26149121" w14:textId="77777777" w:rsidR="0009060C" w:rsidRPr="004676F5" w:rsidRDefault="0009060C" w:rsidP="0009060C">
      <w:pPr>
        <w:ind w:firstLine="708"/>
        <w:rPr>
          <w:lang w:val="de-DE"/>
        </w:rPr>
      </w:pPr>
      <w:r w:rsidRPr="004676F5">
        <w:rPr>
          <w:lang w:val="de-DE"/>
        </w:rPr>
        <w:t>13. "beteiligte Einrichtung":</w:t>
      </w:r>
    </w:p>
    <w:p w14:paraId="7E1076A7" w14:textId="77777777" w:rsidR="0009060C" w:rsidRPr="004676F5" w:rsidRDefault="0009060C" w:rsidP="0009060C">
      <w:pPr>
        <w:ind w:firstLine="708"/>
        <w:rPr>
          <w:lang w:val="de-DE"/>
        </w:rPr>
      </w:pPr>
    </w:p>
    <w:p w14:paraId="58A4D270" w14:textId="60EF35E4" w:rsidR="0009060C" w:rsidRPr="004676F5" w:rsidRDefault="0009060C" w:rsidP="0009060C">
      <w:pPr>
        <w:ind w:firstLine="708"/>
        <w:jc w:val="both"/>
        <w:rPr>
          <w:lang w:val="de-DE"/>
        </w:rPr>
      </w:pPr>
      <w:r w:rsidRPr="004676F5">
        <w:rPr>
          <w:i/>
          <w:lang w:val="de-DE"/>
        </w:rPr>
        <w:t>a)</w:t>
      </w:r>
      <w:r w:rsidRPr="004676F5">
        <w:rPr>
          <w:lang w:val="de-DE"/>
        </w:rPr>
        <w:t xml:space="preserve"> Einrichtung, die im Rahmen von Buch IX oder seiner Ausführungserlasse an der Erstellung einer Risikoanalyse, der Festlegung von Vorbeugungsmaßnahmen, der Durchführung von Inspektionen des Zusammenbaus, der Durchführung von </w:t>
      </w:r>
      <w:r w:rsidRPr="004676F5">
        <w:rPr>
          <w:lang w:val="de-DE"/>
        </w:rPr>
        <w:lastRenderedPageBreak/>
        <w:t>Wartungsinspektionen, der Erstellung von Inspektions</w:t>
      </w:r>
      <w:r w:rsidR="005B7A5C" w:rsidRPr="004676F5">
        <w:rPr>
          <w:lang w:val="de-DE"/>
        </w:rPr>
        <w:t>- </w:t>
      </w:r>
      <w:r w:rsidRPr="004676F5">
        <w:rPr>
          <w:lang w:val="de-DE"/>
        </w:rPr>
        <w:t>oder Wartungsplänen, der Durchführung periodischer Kontrollen oder periodischer Überprüfungen beteiligt ist,</w:t>
      </w:r>
    </w:p>
    <w:p w14:paraId="4629F093" w14:textId="77777777" w:rsidR="0009060C" w:rsidRPr="004676F5" w:rsidRDefault="0009060C" w:rsidP="0009060C">
      <w:pPr>
        <w:ind w:firstLine="708"/>
        <w:rPr>
          <w:lang w:val="de-DE"/>
        </w:rPr>
      </w:pPr>
    </w:p>
    <w:p w14:paraId="51FF01BB" w14:textId="77777777" w:rsidR="0009060C" w:rsidRPr="004676F5" w:rsidRDefault="0009060C" w:rsidP="0009060C">
      <w:pPr>
        <w:ind w:firstLine="708"/>
        <w:jc w:val="both"/>
        <w:rPr>
          <w:lang w:val="de-DE"/>
        </w:rPr>
      </w:pPr>
      <w:r w:rsidRPr="004676F5">
        <w:rPr>
          <w:i/>
          <w:lang w:val="de-DE"/>
        </w:rPr>
        <w:t>b)</w:t>
      </w:r>
      <w:r w:rsidRPr="004676F5">
        <w:rPr>
          <w:lang w:val="de-DE"/>
        </w:rPr>
        <w:t xml:space="preserve"> Einrichtung, die im Rahmen von Buch IX oder seiner Ausführungserlasse für die Durchführung von Konformitätsbewertungsverfahren als benannte oder zugelassene Stelle bestimmt ist,</w:t>
      </w:r>
    </w:p>
    <w:p w14:paraId="3EF243F7" w14:textId="77777777" w:rsidR="0009060C" w:rsidRPr="004676F5" w:rsidRDefault="0009060C" w:rsidP="0009060C">
      <w:pPr>
        <w:ind w:firstLine="708"/>
        <w:rPr>
          <w:lang w:val="de-DE"/>
        </w:rPr>
      </w:pPr>
    </w:p>
    <w:p w14:paraId="6F263D2F" w14:textId="77777777" w:rsidR="0009060C" w:rsidRPr="004676F5" w:rsidRDefault="0009060C" w:rsidP="0009060C">
      <w:pPr>
        <w:ind w:firstLine="708"/>
        <w:jc w:val="both"/>
        <w:rPr>
          <w:lang w:val="de-DE"/>
        </w:rPr>
      </w:pPr>
      <w:r w:rsidRPr="004676F5">
        <w:rPr>
          <w:i/>
          <w:lang w:val="de-DE"/>
        </w:rPr>
        <w:t>c)</w:t>
      </w:r>
      <w:r w:rsidRPr="004676F5">
        <w:rPr>
          <w:lang w:val="de-DE"/>
        </w:rPr>
        <w:t xml:space="preserve"> Einrichtung, die im Rahmen von Buch IX oder seiner Ausführungserlasse auf andere Weise an der Kontrolle der Sicherheit eines Produkts oder Dienstes beteiligt ist,</w:t>
      </w:r>
    </w:p>
    <w:p w14:paraId="290627D7" w14:textId="77777777" w:rsidR="0009060C" w:rsidRPr="004676F5" w:rsidRDefault="0009060C" w:rsidP="0009060C">
      <w:pPr>
        <w:ind w:firstLine="708"/>
        <w:rPr>
          <w:lang w:val="de-DE"/>
        </w:rPr>
      </w:pPr>
    </w:p>
    <w:p w14:paraId="6C332F01" w14:textId="77777777" w:rsidR="0009060C" w:rsidRPr="004676F5" w:rsidRDefault="0009060C" w:rsidP="0009060C">
      <w:pPr>
        <w:ind w:firstLine="708"/>
        <w:jc w:val="both"/>
        <w:rPr>
          <w:lang w:val="de-DE"/>
        </w:rPr>
      </w:pPr>
      <w:r w:rsidRPr="004676F5">
        <w:rPr>
          <w:lang w:val="de-DE"/>
        </w:rPr>
        <w:t>14. "Risiko": Möglichkeit, dass die Verwendung oder das Vorhandensein eines gefährlichen Produkts einen Schaden zur Folge hat. Risikofaktoren sind Umgebungsfaktoren und personenbedingte Faktoren, die Möglichkeit oder Schwere des Schadens beeinflussen,</w:t>
      </w:r>
    </w:p>
    <w:p w14:paraId="029F39A5" w14:textId="77777777" w:rsidR="0009060C" w:rsidRPr="004676F5" w:rsidRDefault="0009060C" w:rsidP="0009060C">
      <w:pPr>
        <w:ind w:firstLine="708"/>
        <w:jc w:val="both"/>
        <w:rPr>
          <w:lang w:val="de-DE"/>
        </w:rPr>
      </w:pPr>
    </w:p>
    <w:p w14:paraId="31732138" w14:textId="77777777" w:rsidR="0009060C" w:rsidRPr="004676F5" w:rsidRDefault="0009060C" w:rsidP="0009060C">
      <w:pPr>
        <w:ind w:firstLine="708"/>
        <w:jc w:val="both"/>
        <w:rPr>
          <w:lang w:val="de-DE"/>
        </w:rPr>
      </w:pPr>
      <w:r w:rsidRPr="004676F5">
        <w:rPr>
          <w:lang w:val="de-DE"/>
        </w:rPr>
        <w:t>15. "ernste Gefahr": Gefahr, die ein rasches Eingreifen der Behörden erfordern, auch wenn sie keine unmittelbare Auswirkung hat,</w:t>
      </w:r>
    </w:p>
    <w:p w14:paraId="28CE369E" w14:textId="77777777" w:rsidR="0009060C" w:rsidRPr="004676F5" w:rsidRDefault="0009060C" w:rsidP="0009060C">
      <w:pPr>
        <w:ind w:firstLine="708"/>
        <w:jc w:val="both"/>
        <w:rPr>
          <w:b/>
          <w:lang w:val="de-DE"/>
        </w:rPr>
      </w:pPr>
    </w:p>
    <w:p w14:paraId="0A120AA4" w14:textId="77777777" w:rsidR="0009060C" w:rsidRPr="004676F5" w:rsidRDefault="0009060C" w:rsidP="0009060C">
      <w:pPr>
        <w:ind w:firstLine="708"/>
        <w:jc w:val="both"/>
        <w:rPr>
          <w:lang w:val="de-DE"/>
        </w:rPr>
      </w:pPr>
      <w:r w:rsidRPr="004676F5">
        <w:rPr>
          <w:lang w:val="de-DE"/>
        </w:rPr>
        <w:t>16. "Minister": Minister, zu dessen Zuständigkeitsbereich der Schutz der Verbrauchersicherheit gehört,</w:t>
      </w:r>
    </w:p>
    <w:p w14:paraId="712EF4BD" w14:textId="77777777" w:rsidR="0009060C" w:rsidRPr="004676F5" w:rsidRDefault="0009060C" w:rsidP="0009060C">
      <w:pPr>
        <w:ind w:firstLine="708"/>
        <w:jc w:val="both"/>
        <w:rPr>
          <w:lang w:val="de-DE"/>
        </w:rPr>
      </w:pPr>
    </w:p>
    <w:p w14:paraId="316FFB96" w14:textId="77777777" w:rsidR="0009060C" w:rsidRPr="004676F5" w:rsidRDefault="0009060C" w:rsidP="0009060C">
      <w:pPr>
        <w:ind w:firstLine="708"/>
        <w:jc w:val="both"/>
        <w:rPr>
          <w:lang w:val="de-DE"/>
        </w:rPr>
      </w:pPr>
      <w:r w:rsidRPr="004676F5">
        <w:rPr>
          <w:lang w:val="de-DE"/>
        </w:rPr>
        <w:t>17. "Rückruf": Maßnahme, die auf Erwirkung der Rückgabe eines dem Benutzer vom Hersteller oder Händler bereits gelieferten oder zur Verfügung gestellten gefährlichen Produkts abzielen,</w:t>
      </w:r>
    </w:p>
    <w:p w14:paraId="301365F6" w14:textId="77777777" w:rsidR="0009060C" w:rsidRPr="004676F5" w:rsidRDefault="0009060C" w:rsidP="0009060C">
      <w:pPr>
        <w:ind w:firstLine="708"/>
        <w:jc w:val="both"/>
        <w:rPr>
          <w:lang w:val="de-DE"/>
        </w:rPr>
      </w:pPr>
    </w:p>
    <w:p w14:paraId="733B583E" w14:textId="77777777" w:rsidR="0009060C" w:rsidRPr="004676F5" w:rsidRDefault="0009060C" w:rsidP="0009060C">
      <w:pPr>
        <w:ind w:firstLine="708"/>
        <w:jc w:val="both"/>
        <w:rPr>
          <w:lang w:val="de-DE"/>
        </w:rPr>
      </w:pPr>
      <w:r w:rsidRPr="004676F5">
        <w:rPr>
          <w:lang w:val="de-DE"/>
        </w:rPr>
        <w:t>18. "Rücknahme": Maßnahme, mit der verhindert werden soll, dass ein gefährliches Produkt vertrieben, ausgestellt oder angeboten wird oder ein gefährlicher Dienst angeboten wird,</w:t>
      </w:r>
    </w:p>
    <w:p w14:paraId="46B54679" w14:textId="77777777" w:rsidR="0009060C" w:rsidRPr="004676F5" w:rsidRDefault="0009060C" w:rsidP="0009060C">
      <w:pPr>
        <w:ind w:firstLine="708"/>
        <w:rPr>
          <w:lang w:val="de-DE"/>
        </w:rPr>
      </w:pPr>
    </w:p>
    <w:p w14:paraId="335D64DA" w14:textId="77777777" w:rsidR="0009060C" w:rsidRPr="004676F5" w:rsidRDefault="0009060C" w:rsidP="0009060C">
      <w:pPr>
        <w:ind w:firstLine="708"/>
        <w:jc w:val="both"/>
        <w:rPr>
          <w:lang w:val="de-DE"/>
        </w:rPr>
      </w:pPr>
      <w:r w:rsidRPr="004676F5">
        <w:rPr>
          <w:lang w:val="de-DE"/>
        </w:rPr>
        <w:t xml:space="preserve">19. "harmonisierte Norm": nicht bindende nationale Norm eines Mitgliedstaats, die die Umsetzung einer europäischen Norm ist, für die die Europäische Kommission einer europäischen Normungsorganisation ein Mandat erteilt hat und deren Fundstelle im </w:t>
      </w:r>
      <w:r w:rsidRPr="004676F5">
        <w:rPr>
          <w:i/>
          <w:lang w:val="de-DE"/>
        </w:rPr>
        <w:t>Amtsblatt der Europäischen Union</w:t>
      </w:r>
      <w:r w:rsidRPr="004676F5">
        <w:rPr>
          <w:lang w:val="de-DE"/>
        </w:rPr>
        <w:t xml:space="preserve"> veröffentlicht worden ist. Die Fundstellen der belgischen Normen, die diese Bestimmung erfüllen, werden im </w:t>
      </w:r>
      <w:r w:rsidRPr="004676F5">
        <w:rPr>
          <w:i/>
          <w:lang w:val="de-DE"/>
        </w:rPr>
        <w:t>Belgischen Staatsblatt</w:t>
      </w:r>
      <w:r w:rsidRPr="004676F5">
        <w:rPr>
          <w:lang w:val="de-DE"/>
        </w:rPr>
        <w:t xml:space="preserve"> veröffentlicht,</w:t>
      </w:r>
    </w:p>
    <w:p w14:paraId="20F2D152" w14:textId="77777777" w:rsidR="0009060C" w:rsidRPr="004676F5" w:rsidRDefault="0009060C" w:rsidP="0009060C">
      <w:pPr>
        <w:ind w:firstLine="708"/>
        <w:jc w:val="both"/>
        <w:rPr>
          <w:lang w:val="de-DE"/>
        </w:rPr>
      </w:pPr>
    </w:p>
    <w:p w14:paraId="1E54ED44" w14:textId="77777777" w:rsidR="0009060C" w:rsidRPr="004676F5" w:rsidRDefault="0009060C" w:rsidP="0009060C">
      <w:pPr>
        <w:ind w:firstLine="708"/>
        <w:jc w:val="both"/>
        <w:rPr>
          <w:lang w:val="de-DE"/>
        </w:rPr>
      </w:pPr>
      <w:r w:rsidRPr="004676F5">
        <w:rPr>
          <w:lang w:val="de-DE"/>
        </w:rPr>
        <w:t>20. "Mitgliedstaat": Mitgliedstaat der Europäischen Union, die Türkei oder ein Mitgliedstaat der Europäischen Freihandelsassoziation, die Vertragspartei des Abkommens über den Europäischen Wirtschaftsraum ist.]</w:t>
      </w:r>
    </w:p>
    <w:p w14:paraId="3B1EFF34" w14:textId="77777777" w:rsidR="00F76466" w:rsidRPr="004676F5" w:rsidRDefault="00F76466" w:rsidP="005E6F74">
      <w:pPr>
        <w:jc w:val="center"/>
        <w:rPr>
          <w:lang w:val="de-DE"/>
        </w:rPr>
      </w:pPr>
    </w:p>
    <w:p w14:paraId="2F313BE4" w14:textId="76865518" w:rsidR="00337EDF" w:rsidRPr="004676F5" w:rsidRDefault="001E466E" w:rsidP="001E466E">
      <w:pPr>
        <w:jc w:val="both"/>
        <w:rPr>
          <w:i/>
          <w:lang w:val="de-DE"/>
        </w:rPr>
      </w:pPr>
      <w:r w:rsidRPr="004676F5">
        <w:rPr>
          <w:i/>
          <w:lang w:val="de-DE"/>
        </w:rPr>
        <w:t>[</w:t>
      </w:r>
      <w:r w:rsidR="00BE0A56" w:rsidRPr="004676F5">
        <w:rPr>
          <w:i/>
          <w:lang w:val="de-DE"/>
        </w:rPr>
        <w:t>Art. </w:t>
      </w:r>
      <w:r w:rsidRPr="004676F5">
        <w:rPr>
          <w:i/>
          <w:lang w:val="de-DE"/>
        </w:rPr>
        <w:t xml:space="preserve">I.10 einziger Absatz Nr. 5 abgeändert durch </w:t>
      </w:r>
      <w:r w:rsidR="00BE0A56" w:rsidRPr="004676F5">
        <w:rPr>
          <w:i/>
          <w:lang w:val="de-DE"/>
        </w:rPr>
        <w:t>Art. </w:t>
      </w:r>
      <w:r w:rsidRPr="004676F5">
        <w:rPr>
          <w:i/>
          <w:lang w:val="de-DE"/>
        </w:rPr>
        <w:t>5 des G. vom 29. Juni 2016 (B.S. vom 6. Juli 2016)]</w:t>
      </w:r>
      <w:r w:rsidR="00337EDF" w:rsidRPr="004676F5">
        <w:rPr>
          <w:i/>
          <w:lang w:val="de-DE"/>
        </w:rPr>
        <w:br w:type="page"/>
      </w:r>
    </w:p>
    <w:p w14:paraId="0ED3770B" w14:textId="3AA7160C" w:rsidR="00337EDF" w:rsidRPr="004676F5" w:rsidRDefault="00337EDF" w:rsidP="00337EDF">
      <w:pPr>
        <w:ind w:firstLine="708"/>
        <w:jc w:val="center"/>
        <w:rPr>
          <w:lang w:val="de-DE"/>
        </w:rPr>
      </w:pPr>
      <w:r w:rsidRPr="004676F5">
        <w:rPr>
          <w:lang w:val="de-DE"/>
        </w:rPr>
        <w:lastRenderedPageBreak/>
        <w:t xml:space="preserve">[KAPITEL 8 </w:t>
      </w:r>
      <w:r w:rsidR="005B7A5C" w:rsidRPr="004676F5">
        <w:rPr>
          <w:lang w:val="de-DE"/>
        </w:rPr>
        <w:t>- </w:t>
      </w:r>
      <w:r w:rsidRPr="004676F5">
        <w:rPr>
          <w:i/>
          <w:lang w:val="de-DE"/>
        </w:rPr>
        <w:t>Begriffsbestimmungen Buch X</w:t>
      </w:r>
    </w:p>
    <w:p w14:paraId="618A92F9" w14:textId="77777777" w:rsidR="00337EDF" w:rsidRPr="004676F5" w:rsidRDefault="00337EDF" w:rsidP="00D03290">
      <w:pPr>
        <w:rPr>
          <w:lang w:val="de-DE"/>
        </w:rPr>
      </w:pPr>
    </w:p>
    <w:p w14:paraId="1C353A38" w14:textId="77E141D3" w:rsidR="00D03290" w:rsidRPr="004676F5" w:rsidRDefault="00D03290" w:rsidP="00D03290">
      <w:pPr>
        <w:jc w:val="both"/>
        <w:rPr>
          <w:i/>
          <w:lang w:val="de-DE"/>
        </w:rPr>
      </w:pPr>
      <w:r w:rsidRPr="004676F5">
        <w:rPr>
          <w:i/>
          <w:lang w:val="de-DE"/>
        </w:rPr>
        <w:t xml:space="preserve">[Kapitel 8 mit </w:t>
      </w:r>
      <w:r w:rsidR="00BE0A56" w:rsidRPr="004676F5">
        <w:rPr>
          <w:i/>
          <w:lang w:val="de-DE"/>
        </w:rPr>
        <w:t>Art. </w:t>
      </w:r>
      <w:r w:rsidRPr="004676F5">
        <w:rPr>
          <w:i/>
          <w:lang w:val="de-DE"/>
        </w:rPr>
        <w:t xml:space="preserve">I.11 eingefügt durch </w:t>
      </w:r>
      <w:r w:rsidR="00BE0A56" w:rsidRPr="004676F5">
        <w:rPr>
          <w:i/>
          <w:lang w:val="de-DE"/>
        </w:rPr>
        <w:t>Art. </w:t>
      </w:r>
      <w:r w:rsidRPr="004676F5">
        <w:rPr>
          <w:i/>
          <w:lang w:val="de-DE"/>
        </w:rPr>
        <w:t>2 des G. vom 2. April 2014 (B.S. vom 28. April 2014)]</w:t>
      </w:r>
    </w:p>
    <w:p w14:paraId="41072F11" w14:textId="77777777" w:rsidR="00D03290" w:rsidRPr="004676F5" w:rsidRDefault="00D03290" w:rsidP="00D03290">
      <w:pPr>
        <w:rPr>
          <w:lang w:val="de-DE"/>
        </w:rPr>
      </w:pPr>
    </w:p>
    <w:p w14:paraId="4BA565E8" w14:textId="77777777" w:rsidR="00D03290" w:rsidRPr="004676F5" w:rsidRDefault="00D03290" w:rsidP="00D03290">
      <w:pPr>
        <w:rPr>
          <w:lang w:val="de-DE"/>
        </w:rPr>
      </w:pPr>
    </w:p>
    <w:p w14:paraId="2343611B" w14:textId="6D709618" w:rsidR="00337EDF" w:rsidRPr="004676F5" w:rsidRDefault="00BE0A56" w:rsidP="00337EDF">
      <w:pPr>
        <w:ind w:firstLine="708"/>
        <w:rPr>
          <w:lang w:val="de-DE"/>
        </w:rPr>
      </w:pPr>
      <w:r w:rsidRPr="004676F5">
        <w:rPr>
          <w:b/>
          <w:lang w:val="de-DE"/>
        </w:rPr>
        <w:t>Art. </w:t>
      </w:r>
      <w:r w:rsidR="00337EDF" w:rsidRPr="004676F5">
        <w:rPr>
          <w:b/>
          <w:lang w:val="de-DE"/>
        </w:rPr>
        <w:t>I.11</w:t>
      </w:r>
      <w:r w:rsidR="00337EDF" w:rsidRPr="004676F5">
        <w:rPr>
          <w:lang w:val="de-DE"/>
        </w:rPr>
        <w:t> </w:t>
      </w:r>
      <w:r w:rsidR="005B7A5C" w:rsidRPr="004676F5">
        <w:rPr>
          <w:lang w:val="de-DE"/>
        </w:rPr>
        <w:t>- </w:t>
      </w:r>
      <w:r w:rsidR="00337EDF" w:rsidRPr="004676F5">
        <w:rPr>
          <w:lang w:val="de-DE"/>
        </w:rPr>
        <w:t>Folgende Begriffsbestimmungen gelten für Buch X:</w:t>
      </w:r>
    </w:p>
    <w:p w14:paraId="6AF10AE5" w14:textId="77777777" w:rsidR="00337EDF" w:rsidRPr="004676F5" w:rsidRDefault="00337EDF" w:rsidP="00337EDF">
      <w:pPr>
        <w:ind w:firstLine="708"/>
        <w:rPr>
          <w:lang w:val="de-DE"/>
        </w:rPr>
      </w:pPr>
    </w:p>
    <w:p w14:paraId="3C3BD4F9" w14:textId="77777777" w:rsidR="00337EDF" w:rsidRPr="004676F5" w:rsidRDefault="00337EDF" w:rsidP="00337EDF">
      <w:pPr>
        <w:ind w:firstLine="708"/>
        <w:jc w:val="both"/>
        <w:rPr>
          <w:lang w:val="de-DE"/>
        </w:rPr>
      </w:pPr>
      <w:r w:rsidRPr="004676F5">
        <w:rPr>
          <w:lang w:val="de-DE"/>
        </w:rPr>
        <w:t>1. "Handelsvertretervertrag": Vertrag, durch den die eine Partei, der Handelsvertreter, von der anderen Partei, dem Auftraggeber, dem der Handelsvertreter nicht untersteht, ständig und gegen Vergütung damit betraut wird, im Namen und für Rechnung des Auftraggebers Geschäfte zu vermitteln und gegebenenfalls abzuschließen.</w:t>
      </w:r>
    </w:p>
    <w:p w14:paraId="5E662FF1" w14:textId="77777777" w:rsidR="00337EDF" w:rsidRPr="004676F5" w:rsidRDefault="00337EDF" w:rsidP="00337EDF">
      <w:pPr>
        <w:ind w:firstLine="708"/>
        <w:jc w:val="both"/>
        <w:rPr>
          <w:lang w:val="de-DE"/>
        </w:rPr>
      </w:pPr>
    </w:p>
    <w:p w14:paraId="114A2870" w14:textId="77777777" w:rsidR="00337EDF" w:rsidRPr="004676F5" w:rsidRDefault="00337EDF" w:rsidP="00337EDF">
      <w:pPr>
        <w:ind w:firstLine="708"/>
        <w:jc w:val="both"/>
        <w:rPr>
          <w:lang w:val="de-DE"/>
        </w:rPr>
      </w:pPr>
      <w:r w:rsidRPr="004676F5">
        <w:rPr>
          <w:lang w:val="de-DE"/>
        </w:rPr>
        <w:t>Der Handelsvertreter gestaltet seine Tätigkeit frei und bestimmt selbst über seine Zeit,</w:t>
      </w:r>
    </w:p>
    <w:p w14:paraId="64FE1C23" w14:textId="77777777" w:rsidR="00337EDF" w:rsidRPr="004676F5" w:rsidRDefault="00337EDF" w:rsidP="00337EDF">
      <w:pPr>
        <w:rPr>
          <w:lang w:val="de-DE"/>
        </w:rPr>
      </w:pPr>
    </w:p>
    <w:p w14:paraId="038A678D" w14:textId="77777777" w:rsidR="00337EDF" w:rsidRPr="004676F5" w:rsidRDefault="00337EDF" w:rsidP="00337EDF">
      <w:pPr>
        <w:ind w:firstLine="708"/>
        <w:jc w:val="both"/>
        <w:rPr>
          <w:lang w:val="de-DE"/>
        </w:rPr>
      </w:pPr>
      <w:r w:rsidRPr="004676F5">
        <w:rPr>
          <w:lang w:val="de-DE"/>
        </w:rPr>
        <w:t>2. "Vereinbarung über eine Handelspartnerschaft": Vereinbarung zwischen mehreren Personen, durch die eine Person der anderen das Recht erteilt, für den Verkauf von Produkten beziehungsweise die Erbringung von Dienstleistungen unter einer oder mehreren der folgenden Formen auf ein bestimmtes Geschäftsmodell zurückzugreifen:</w:t>
      </w:r>
    </w:p>
    <w:p w14:paraId="6FB330DC" w14:textId="77777777" w:rsidR="00337EDF" w:rsidRPr="004676F5" w:rsidRDefault="00337EDF" w:rsidP="00337EDF">
      <w:pPr>
        <w:ind w:firstLine="708"/>
        <w:jc w:val="both"/>
        <w:rPr>
          <w:lang w:val="de-DE"/>
        </w:rPr>
      </w:pPr>
    </w:p>
    <w:p w14:paraId="4866614E" w14:textId="5C2D7604" w:rsidR="00337EDF" w:rsidRPr="004676F5" w:rsidRDefault="005B7A5C" w:rsidP="00337EDF">
      <w:pPr>
        <w:ind w:firstLine="708"/>
        <w:jc w:val="both"/>
        <w:rPr>
          <w:lang w:val="de-DE"/>
        </w:rPr>
      </w:pPr>
      <w:r w:rsidRPr="004676F5">
        <w:rPr>
          <w:lang w:val="de-DE"/>
        </w:rPr>
        <w:t>- </w:t>
      </w:r>
      <w:r w:rsidR="00337EDF" w:rsidRPr="004676F5">
        <w:rPr>
          <w:lang w:val="de-DE"/>
        </w:rPr>
        <w:t>gemeinsames Firmenzeichen,</w:t>
      </w:r>
    </w:p>
    <w:p w14:paraId="1AAFD111" w14:textId="77777777" w:rsidR="00337EDF" w:rsidRPr="004676F5" w:rsidRDefault="00337EDF" w:rsidP="00337EDF">
      <w:pPr>
        <w:ind w:firstLine="708"/>
        <w:jc w:val="both"/>
        <w:rPr>
          <w:lang w:val="de-DE"/>
        </w:rPr>
      </w:pPr>
    </w:p>
    <w:p w14:paraId="65F449F2" w14:textId="695ACAB7" w:rsidR="00337EDF" w:rsidRPr="004676F5" w:rsidRDefault="005B7A5C" w:rsidP="00337EDF">
      <w:pPr>
        <w:ind w:firstLine="708"/>
        <w:jc w:val="both"/>
        <w:rPr>
          <w:lang w:val="de-DE"/>
        </w:rPr>
      </w:pPr>
      <w:r w:rsidRPr="004676F5">
        <w:rPr>
          <w:lang w:val="de-DE"/>
        </w:rPr>
        <w:t>- </w:t>
      </w:r>
      <w:r w:rsidR="00337EDF" w:rsidRPr="004676F5">
        <w:rPr>
          <w:lang w:val="de-DE"/>
        </w:rPr>
        <w:t>gemeinsamer Handelsname,</w:t>
      </w:r>
    </w:p>
    <w:p w14:paraId="67C5C1C5" w14:textId="77777777" w:rsidR="00337EDF" w:rsidRPr="004676F5" w:rsidRDefault="00337EDF" w:rsidP="00337EDF">
      <w:pPr>
        <w:ind w:firstLine="708"/>
        <w:jc w:val="both"/>
        <w:rPr>
          <w:lang w:val="de-DE"/>
        </w:rPr>
      </w:pPr>
    </w:p>
    <w:p w14:paraId="28A7A23F" w14:textId="6C911508" w:rsidR="00337EDF" w:rsidRPr="004676F5" w:rsidRDefault="005B7A5C" w:rsidP="00337EDF">
      <w:pPr>
        <w:ind w:firstLine="708"/>
        <w:jc w:val="both"/>
        <w:rPr>
          <w:lang w:val="de-DE"/>
        </w:rPr>
      </w:pPr>
      <w:r w:rsidRPr="004676F5">
        <w:rPr>
          <w:lang w:val="de-DE"/>
        </w:rPr>
        <w:t>- </w:t>
      </w:r>
      <w:r w:rsidR="00337EDF" w:rsidRPr="004676F5">
        <w:rPr>
          <w:lang w:val="de-DE"/>
        </w:rPr>
        <w:t>Übertragung von Know-how,</w:t>
      </w:r>
    </w:p>
    <w:p w14:paraId="42081225" w14:textId="77777777" w:rsidR="00337EDF" w:rsidRPr="004676F5" w:rsidRDefault="00337EDF" w:rsidP="00337EDF">
      <w:pPr>
        <w:ind w:firstLine="708"/>
        <w:jc w:val="both"/>
        <w:rPr>
          <w:lang w:val="de-DE"/>
        </w:rPr>
      </w:pPr>
    </w:p>
    <w:p w14:paraId="4AACE551" w14:textId="0CE60E00" w:rsidR="00337EDF" w:rsidRPr="004676F5" w:rsidRDefault="005B7A5C" w:rsidP="00337EDF">
      <w:pPr>
        <w:ind w:firstLine="708"/>
        <w:jc w:val="both"/>
        <w:rPr>
          <w:lang w:val="de-DE"/>
        </w:rPr>
      </w:pPr>
      <w:r w:rsidRPr="004676F5">
        <w:rPr>
          <w:lang w:val="de-DE"/>
        </w:rPr>
        <w:t>- </w:t>
      </w:r>
      <w:r w:rsidR="00337EDF" w:rsidRPr="004676F5">
        <w:rPr>
          <w:lang w:val="de-DE"/>
        </w:rPr>
        <w:t>kommerzielle oder technische Unterstützung,</w:t>
      </w:r>
    </w:p>
    <w:p w14:paraId="65E62007" w14:textId="77777777" w:rsidR="00337EDF" w:rsidRPr="004676F5" w:rsidRDefault="00337EDF" w:rsidP="00337EDF">
      <w:pPr>
        <w:ind w:firstLine="708"/>
        <w:jc w:val="both"/>
        <w:rPr>
          <w:lang w:val="de-DE"/>
        </w:rPr>
      </w:pPr>
    </w:p>
    <w:p w14:paraId="486790F2" w14:textId="77777777" w:rsidR="0009060C" w:rsidRPr="004676F5" w:rsidRDefault="00D03290" w:rsidP="00D03290">
      <w:pPr>
        <w:jc w:val="both"/>
        <w:rPr>
          <w:lang w:val="de-DE"/>
        </w:rPr>
      </w:pPr>
      <w:r w:rsidRPr="004676F5">
        <w:rPr>
          <w:lang w:val="de-DE"/>
        </w:rPr>
        <w:tab/>
      </w:r>
      <w:r w:rsidR="00337EDF" w:rsidRPr="004676F5">
        <w:rPr>
          <w:lang w:val="de-DE"/>
        </w:rPr>
        <w:t>3. "Vertriebsvertrag": Vereinbarung, aufgrund deren ein Lizenzgeber einem oder mehreren Vertragshändlern das Recht vorbehält, in ihrem eigenen Namen und für eigene Rechnung Produkte, die er herstellt oder verteilt, zu vertreiben.</w:t>
      </w:r>
      <w:r w:rsidRPr="004676F5">
        <w:rPr>
          <w:lang w:val="de-DE"/>
        </w:rPr>
        <w:t>]</w:t>
      </w:r>
    </w:p>
    <w:p w14:paraId="48307D0A" w14:textId="77777777" w:rsidR="00D03290" w:rsidRPr="004676F5" w:rsidRDefault="00D03290" w:rsidP="00337EDF">
      <w:pPr>
        <w:jc w:val="center"/>
        <w:rPr>
          <w:lang w:val="de-DE"/>
        </w:rPr>
      </w:pPr>
    </w:p>
    <w:p w14:paraId="0739BC68" w14:textId="77777777" w:rsidR="00D03290" w:rsidRPr="004676F5" w:rsidRDefault="00D03290" w:rsidP="00337EDF">
      <w:pPr>
        <w:jc w:val="center"/>
        <w:rPr>
          <w:lang w:val="de-DE"/>
        </w:rPr>
      </w:pPr>
    </w:p>
    <w:p w14:paraId="4CFD981B" w14:textId="77777777" w:rsidR="004808C3" w:rsidRPr="004676F5" w:rsidRDefault="004808C3">
      <w:pPr>
        <w:rPr>
          <w:lang w:val="de-DE"/>
        </w:rPr>
      </w:pPr>
      <w:r w:rsidRPr="004676F5">
        <w:rPr>
          <w:lang w:val="de-DE"/>
        </w:rPr>
        <w:br w:type="page"/>
      </w:r>
    </w:p>
    <w:p w14:paraId="37C111BC" w14:textId="3A6AD455" w:rsidR="004808C3" w:rsidRPr="004676F5" w:rsidRDefault="004808C3" w:rsidP="004808C3">
      <w:pPr>
        <w:jc w:val="center"/>
        <w:rPr>
          <w:i/>
          <w:lang w:val="de-DE"/>
        </w:rPr>
      </w:pPr>
      <w:r w:rsidRPr="004676F5">
        <w:rPr>
          <w:lang w:val="de-DE"/>
        </w:rPr>
        <w:lastRenderedPageBreak/>
        <w:t>[KAPITEL 9 </w:t>
      </w:r>
      <w:r w:rsidR="005B7A5C" w:rsidRPr="004676F5">
        <w:rPr>
          <w:lang w:val="de-DE"/>
        </w:rPr>
        <w:t>- </w:t>
      </w:r>
      <w:r w:rsidRPr="004676F5">
        <w:rPr>
          <w:i/>
          <w:lang w:val="de-DE"/>
        </w:rPr>
        <w:t>Begriffsbestimmungen Buch XI</w:t>
      </w:r>
    </w:p>
    <w:p w14:paraId="04D22F8B" w14:textId="77777777" w:rsidR="004808C3" w:rsidRPr="004676F5" w:rsidRDefault="004808C3" w:rsidP="004808C3">
      <w:pPr>
        <w:jc w:val="both"/>
        <w:rPr>
          <w:lang w:val="de-DE"/>
        </w:rPr>
      </w:pPr>
    </w:p>
    <w:p w14:paraId="0E769D99" w14:textId="63E33595" w:rsidR="004808C3" w:rsidRPr="004676F5" w:rsidRDefault="004808C3" w:rsidP="004808C3">
      <w:pPr>
        <w:jc w:val="both"/>
        <w:rPr>
          <w:i/>
          <w:lang w:val="de-DE"/>
        </w:rPr>
      </w:pPr>
      <w:r w:rsidRPr="004676F5">
        <w:rPr>
          <w:i/>
          <w:lang w:val="de-DE"/>
        </w:rPr>
        <w:t>[Kapitel 9 mit den Artikel</w:t>
      </w:r>
      <w:r w:rsidR="00AB2957" w:rsidRPr="004676F5">
        <w:rPr>
          <w:i/>
          <w:lang w:val="de-DE"/>
        </w:rPr>
        <w:t>n</w:t>
      </w:r>
      <w:r w:rsidRPr="004676F5">
        <w:rPr>
          <w:i/>
          <w:lang w:val="de-DE"/>
        </w:rPr>
        <w:t xml:space="preserve"> I.13 bis I.17 eingefügt durch </w:t>
      </w:r>
      <w:r w:rsidR="00BE0A56" w:rsidRPr="004676F5">
        <w:rPr>
          <w:i/>
          <w:lang w:val="de-DE"/>
        </w:rPr>
        <w:t>Art. </w:t>
      </w:r>
      <w:r w:rsidRPr="004676F5">
        <w:rPr>
          <w:i/>
          <w:lang w:val="de-DE"/>
        </w:rPr>
        <w:t>2 des G. vom 19. April 201</w:t>
      </w:r>
      <w:r w:rsidR="00094C4E" w:rsidRPr="004676F5">
        <w:rPr>
          <w:i/>
          <w:lang w:val="de-DE"/>
        </w:rPr>
        <w:t>4</w:t>
      </w:r>
      <w:r w:rsidRPr="004676F5">
        <w:rPr>
          <w:i/>
          <w:lang w:val="de-DE"/>
        </w:rPr>
        <w:t xml:space="preserve"> (II) (B.S. vom </w:t>
      </w:r>
      <w:r w:rsidR="001527B1" w:rsidRPr="004676F5">
        <w:rPr>
          <w:i/>
          <w:lang w:val="de-DE"/>
        </w:rPr>
        <w:t>12. Juni 2014)]</w:t>
      </w:r>
    </w:p>
    <w:p w14:paraId="7788AF99" w14:textId="77777777" w:rsidR="001527B1" w:rsidRPr="004676F5" w:rsidRDefault="001527B1" w:rsidP="004808C3">
      <w:pPr>
        <w:jc w:val="both"/>
        <w:rPr>
          <w:i/>
          <w:lang w:val="de-DE"/>
        </w:rPr>
      </w:pPr>
    </w:p>
    <w:p w14:paraId="51C5898D" w14:textId="77777777" w:rsidR="001527B1" w:rsidRPr="004676F5" w:rsidRDefault="001527B1" w:rsidP="004808C3">
      <w:pPr>
        <w:jc w:val="both"/>
        <w:rPr>
          <w:i/>
          <w:lang w:val="de-DE"/>
        </w:rPr>
      </w:pPr>
    </w:p>
    <w:p w14:paraId="223AC190" w14:textId="2678A966" w:rsidR="004808C3" w:rsidRPr="004676F5" w:rsidRDefault="00BE0A56" w:rsidP="004808C3">
      <w:pPr>
        <w:ind w:firstLine="708"/>
        <w:jc w:val="both"/>
        <w:rPr>
          <w:lang w:val="de-DE"/>
        </w:rPr>
      </w:pPr>
      <w:r w:rsidRPr="004676F5">
        <w:rPr>
          <w:b/>
          <w:lang w:val="de-DE"/>
        </w:rPr>
        <w:t>Art. </w:t>
      </w:r>
      <w:r w:rsidR="004808C3" w:rsidRPr="004676F5">
        <w:rPr>
          <w:b/>
          <w:lang w:val="de-DE"/>
        </w:rPr>
        <w:t>I.13</w:t>
      </w:r>
      <w:r w:rsidR="004808C3" w:rsidRPr="004676F5">
        <w:rPr>
          <w:lang w:val="de-DE"/>
        </w:rPr>
        <w:t> </w:t>
      </w:r>
      <w:r w:rsidR="005B7A5C" w:rsidRPr="004676F5">
        <w:rPr>
          <w:lang w:val="de-DE"/>
        </w:rPr>
        <w:t>- </w:t>
      </w:r>
      <w:r w:rsidR="004808C3" w:rsidRPr="004676F5">
        <w:rPr>
          <w:lang w:val="de-DE"/>
        </w:rPr>
        <w:t>Folgende Begriffsbestimmungen gelten für Buch XI:</w:t>
      </w:r>
    </w:p>
    <w:p w14:paraId="432074E6" w14:textId="77777777" w:rsidR="004808C3" w:rsidRPr="004676F5" w:rsidRDefault="004808C3" w:rsidP="004808C3">
      <w:pPr>
        <w:jc w:val="both"/>
        <w:rPr>
          <w:lang w:val="de-DE"/>
        </w:rPr>
      </w:pPr>
    </w:p>
    <w:p w14:paraId="4F316F40" w14:textId="77777777" w:rsidR="004808C3" w:rsidRPr="004676F5" w:rsidRDefault="004808C3" w:rsidP="004808C3">
      <w:pPr>
        <w:ind w:firstLine="708"/>
        <w:jc w:val="both"/>
        <w:rPr>
          <w:lang w:val="de-DE"/>
        </w:rPr>
      </w:pPr>
      <w:r w:rsidRPr="004676F5">
        <w:rPr>
          <w:lang w:val="de-DE"/>
        </w:rPr>
        <w:t>1. Pariser Übereinkunft: die Übereinkunft zum Schutze des gewerblichen Eigentums, am 20. März 1883 in Paris unterzeichnet und durch das Gesetz vom 5. Juli 1884 gebilligt, einschließlich jeder von Belgien ratifizierten Revisionsakte,</w:t>
      </w:r>
    </w:p>
    <w:p w14:paraId="3685BFF8" w14:textId="77777777" w:rsidR="004808C3" w:rsidRPr="004676F5" w:rsidRDefault="004808C3" w:rsidP="004808C3">
      <w:pPr>
        <w:ind w:firstLine="708"/>
        <w:jc w:val="both"/>
        <w:rPr>
          <w:lang w:val="de-DE"/>
        </w:rPr>
      </w:pPr>
    </w:p>
    <w:p w14:paraId="44225F24" w14:textId="77777777" w:rsidR="004808C3" w:rsidRPr="004676F5" w:rsidRDefault="004808C3" w:rsidP="004808C3">
      <w:pPr>
        <w:ind w:firstLine="708"/>
        <w:jc w:val="both"/>
        <w:rPr>
          <w:lang w:val="de-DE"/>
        </w:rPr>
      </w:pPr>
      <w:r w:rsidRPr="004676F5">
        <w:rPr>
          <w:lang w:val="de-DE"/>
        </w:rPr>
        <w:t>2. Berner Übereinkunft: Berner Übereinkunft vom 9. September 1886 zum Schutze von Werken der Literatur und der Kunst, am 4. Mai 1896 in Paris ergänzt, am 13. November 1908 in Berlin revidiert, am 20. März 1914 in Bern ergänzt und am 2. Juni 1928 in Rom, am 26. Juni 1948 in Brüssel, am 14. Juli 1967 in Stockholm und am 24. Juli 1971 in Paris revidiert, am 24. Juli 1971 in Paris abgeschlossen,</w:t>
      </w:r>
    </w:p>
    <w:p w14:paraId="75A8BDF1" w14:textId="77777777" w:rsidR="004808C3" w:rsidRPr="004676F5" w:rsidRDefault="004808C3" w:rsidP="004808C3">
      <w:pPr>
        <w:ind w:firstLine="708"/>
        <w:jc w:val="both"/>
        <w:rPr>
          <w:lang w:val="de-DE"/>
        </w:rPr>
      </w:pPr>
    </w:p>
    <w:p w14:paraId="658BCCE5" w14:textId="77777777" w:rsidR="004808C3" w:rsidRPr="004676F5" w:rsidRDefault="004808C3" w:rsidP="004808C3">
      <w:pPr>
        <w:ind w:firstLine="708"/>
        <w:jc w:val="both"/>
        <w:rPr>
          <w:lang w:val="de-DE"/>
        </w:rPr>
      </w:pPr>
      <w:r w:rsidRPr="004676F5">
        <w:rPr>
          <w:lang w:val="de-DE"/>
        </w:rPr>
        <w:t>3. TRIPS-Übereinkommen: das Übereinkommen über handelsbezogene Aspekte der Rechte des geistigen Eigentums, das Anhang 1C des Übereinkommens zur Errichtung der Welthandelsorganisation darstellt, am 15. April 1994 in Marrakesch unterzeichnet und durch das Gesetz vom 23. Dezember 1994 gebilligt,</w:t>
      </w:r>
    </w:p>
    <w:p w14:paraId="3F406141" w14:textId="77777777" w:rsidR="004808C3" w:rsidRPr="004676F5" w:rsidRDefault="004808C3" w:rsidP="004808C3">
      <w:pPr>
        <w:ind w:firstLine="708"/>
        <w:jc w:val="both"/>
        <w:rPr>
          <w:lang w:val="de-DE"/>
        </w:rPr>
      </w:pPr>
    </w:p>
    <w:p w14:paraId="23DFE251" w14:textId="77777777" w:rsidR="004808C3" w:rsidRPr="004676F5" w:rsidRDefault="004808C3" w:rsidP="004808C3">
      <w:pPr>
        <w:ind w:firstLine="708"/>
        <w:jc w:val="both"/>
        <w:rPr>
          <w:lang w:val="de-DE"/>
        </w:rPr>
      </w:pPr>
      <w:r w:rsidRPr="004676F5">
        <w:rPr>
          <w:lang w:val="de-DE"/>
        </w:rPr>
        <w:t>4. Welthandelsorganisation: die Organisation, die durch das Übereinkommen zur Errichtung der Welthandelsorganisation geschaffen worden ist, am 15. April 1994 in Marrakesch unterzeichnet und durch das Gesetz vom 23. Dezember 1994 gebilligt,</w:t>
      </w:r>
    </w:p>
    <w:p w14:paraId="5EF9FFE3" w14:textId="77777777" w:rsidR="004808C3" w:rsidRPr="004676F5" w:rsidRDefault="004808C3" w:rsidP="004808C3">
      <w:pPr>
        <w:ind w:firstLine="708"/>
        <w:jc w:val="both"/>
        <w:rPr>
          <w:lang w:val="de-DE"/>
        </w:rPr>
      </w:pPr>
    </w:p>
    <w:p w14:paraId="37DA85BA" w14:textId="77777777" w:rsidR="004808C3" w:rsidRPr="004676F5" w:rsidRDefault="004808C3" w:rsidP="004808C3">
      <w:pPr>
        <w:ind w:firstLine="708"/>
        <w:jc w:val="both"/>
        <w:rPr>
          <w:lang w:val="de-DE"/>
        </w:rPr>
      </w:pPr>
      <w:r w:rsidRPr="004676F5">
        <w:rPr>
          <w:lang w:val="de-DE"/>
        </w:rPr>
        <w:t>5. Amt: das Amt für geistiges Eigentum beim Föderalen Öffentlichen Dienst Wirtschaft,</w:t>
      </w:r>
    </w:p>
    <w:p w14:paraId="5548F760" w14:textId="77777777" w:rsidR="004808C3" w:rsidRPr="004676F5" w:rsidRDefault="004808C3" w:rsidP="004808C3">
      <w:pPr>
        <w:ind w:firstLine="708"/>
        <w:jc w:val="both"/>
        <w:rPr>
          <w:lang w:val="de-DE"/>
        </w:rPr>
      </w:pPr>
    </w:p>
    <w:p w14:paraId="6B4710AA" w14:textId="77777777" w:rsidR="004808C3" w:rsidRPr="004676F5" w:rsidRDefault="004808C3" w:rsidP="004808C3">
      <w:pPr>
        <w:ind w:firstLine="708"/>
        <w:jc w:val="both"/>
        <w:rPr>
          <w:lang w:val="de-DE"/>
        </w:rPr>
      </w:pPr>
      <w:r w:rsidRPr="004676F5">
        <w:rPr>
          <w:lang w:val="de-DE"/>
        </w:rPr>
        <w:t>6. Datenbank: eine Sammlung von Werken, Daten oder anderen unabhängigen Elementen, die systematisch oder methodisch angeordnet und einzeln mit elektronischen Mitteln oder auf andere Weise zugänglich sind,</w:t>
      </w:r>
    </w:p>
    <w:p w14:paraId="20572E17" w14:textId="77777777" w:rsidR="004808C3" w:rsidRPr="004676F5" w:rsidRDefault="004808C3" w:rsidP="004808C3">
      <w:pPr>
        <w:ind w:firstLine="708"/>
        <w:jc w:val="both"/>
        <w:rPr>
          <w:lang w:val="de-DE"/>
        </w:rPr>
      </w:pPr>
    </w:p>
    <w:p w14:paraId="4B8FE439" w14:textId="77777777" w:rsidR="004808C3" w:rsidRPr="004676F5" w:rsidRDefault="004808C3" w:rsidP="004808C3">
      <w:pPr>
        <w:ind w:firstLine="708"/>
        <w:jc w:val="both"/>
        <w:rPr>
          <w:lang w:val="de-DE"/>
        </w:rPr>
      </w:pPr>
      <w:r w:rsidRPr="004676F5">
        <w:rPr>
          <w:lang w:val="de-DE"/>
        </w:rPr>
        <w:t>7. technische Maßnahmen: Technologien, Vorrichtungen oder Bestandteile, die im normalen Betrieb dazu bestimmt sind, Werke, Leistungen oder Datenbanken betreffende Handlungen zu verhindern oder einzuschränken, die nicht von der Person genehmigt worden sind, die Inhaber der Urheberrechte oder der verwandten Schutzrechte oder</w:t>
      </w:r>
      <w:r w:rsidR="00AD40DF" w:rsidRPr="004676F5">
        <w:rPr>
          <w:lang w:val="de-DE"/>
        </w:rPr>
        <w:t xml:space="preserve"> Hersteller von Datenbanken ist,</w:t>
      </w:r>
    </w:p>
    <w:p w14:paraId="6A333D90" w14:textId="77777777" w:rsidR="00AD40DF" w:rsidRPr="004676F5" w:rsidRDefault="00AD40DF" w:rsidP="004808C3">
      <w:pPr>
        <w:ind w:firstLine="708"/>
        <w:jc w:val="both"/>
        <w:rPr>
          <w:lang w:val="de-DE"/>
        </w:rPr>
      </w:pPr>
    </w:p>
    <w:p w14:paraId="4ACDBBDE" w14:textId="79C5B6A5" w:rsidR="00AD40DF" w:rsidRPr="004676F5" w:rsidRDefault="00AD40DF" w:rsidP="004808C3">
      <w:pPr>
        <w:ind w:firstLine="708"/>
        <w:jc w:val="both"/>
        <w:rPr>
          <w:lang w:val="de-DE"/>
        </w:rPr>
      </w:pPr>
      <w:r w:rsidRPr="004676F5">
        <w:rPr>
          <w:lang w:val="de-DE"/>
        </w:rPr>
        <w:t>[8. </w:t>
      </w:r>
      <w:r w:rsidR="0073238E" w:rsidRPr="004676F5">
        <w:rPr>
          <w:lang w:val="de-DE"/>
        </w:rPr>
        <w:t>[Amt der Europäischen Union für geistiges Eigentum: durch Artikel 2 der Verordnung (EU) 2017/1001 des Europäischen Parlaments und des Rates vom 14. Juni 2017 über die Unionsmarke errichtetes Amt der Europäischen Union für geistiges Eigentum,]</w:t>
      </w:r>
      <w:r w:rsidRPr="004676F5">
        <w:rPr>
          <w:lang w:val="de-DE"/>
        </w:rPr>
        <w:t>]</w:t>
      </w:r>
    </w:p>
    <w:p w14:paraId="6B412B46" w14:textId="77777777" w:rsidR="0073238E" w:rsidRPr="004676F5" w:rsidRDefault="0073238E" w:rsidP="004808C3">
      <w:pPr>
        <w:ind w:firstLine="708"/>
        <w:jc w:val="both"/>
        <w:rPr>
          <w:lang w:val="de-DE"/>
        </w:rPr>
      </w:pPr>
    </w:p>
    <w:p w14:paraId="651E3161" w14:textId="422DE8C0" w:rsidR="0073238E" w:rsidRPr="004676F5" w:rsidRDefault="0073238E" w:rsidP="0073238E">
      <w:pPr>
        <w:ind w:firstLine="720"/>
        <w:jc w:val="both"/>
        <w:rPr>
          <w:lang w:val="de-DE"/>
        </w:rPr>
      </w:pPr>
      <w:r w:rsidRPr="004676F5">
        <w:rPr>
          <w:lang w:val="de-DE"/>
        </w:rPr>
        <w:t xml:space="preserve">[9. Forschungsorganisation: eine Universität einschließlich ihrer Bibliotheken, ein Forschungsinstitut oder eine sonstige Einrichtung, deren vorrangiges Ziel die wissenschaftliche Forschung oder die Lehrtätigkeit </w:t>
      </w:r>
      <w:r w:rsidR="005B7A5C" w:rsidRPr="004676F5">
        <w:rPr>
          <w:lang w:val="de-DE"/>
        </w:rPr>
        <w:t>- </w:t>
      </w:r>
      <w:r w:rsidRPr="004676F5">
        <w:rPr>
          <w:lang w:val="de-DE"/>
        </w:rPr>
        <w:t>auch in Verbindung mit wissenschaftlicher Forschung </w:t>
      </w:r>
      <w:r w:rsidR="005B7A5C" w:rsidRPr="004676F5">
        <w:rPr>
          <w:lang w:val="de-DE"/>
        </w:rPr>
        <w:t>- </w:t>
      </w:r>
      <w:r w:rsidRPr="004676F5">
        <w:rPr>
          <w:lang w:val="de-DE"/>
        </w:rPr>
        <w:t>ist, die:</w:t>
      </w:r>
    </w:p>
    <w:p w14:paraId="52594B47" w14:textId="77777777" w:rsidR="0073238E" w:rsidRPr="004676F5" w:rsidRDefault="0073238E" w:rsidP="0073238E">
      <w:pPr>
        <w:ind w:firstLine="720"/>
        <w:jc w:val="both"/>
        <w:rPr>
          <w:lang w:val="de-DE"/>
        </w:rPr>
      </w:pPr>
    </w:p>
    <w:p w14:paraId="46A9B1FE" w14:textId="77777777" w:rsidR="0073238E" w:rsidRPr="004676F5" w:rsidRDefault="0073238E" w:rsidP="0073238E">
      <w:pPr>
        <w:ind w:firstLine="720"/>
        <w:jc w:val="both"/>
        <w:rPr>
          <w:lang w:val="de-DE"/>
        </w:rPr>
      </w:pPr>
      <w:r w:rsidRPr="004676F5">
        <w:rPr>
          <w:i/>
          <w:lang w:val="de-DE"/>
        </w:rPr>
        <w:t>a)</w:t>
      </w:r>
      <w:r w:rsidRPr="004676F5">
        <w:rPr>
          <w:lang w:val="de-DE"/>
        </w:rPr>
        <w:t> in ihrer Tätigkeit nicht gewinnorientiert ist oder alle Gewinne in ihre wissenschaftliche Forschung reinvestiert oder</w:t>
      </w:r>
    </w:p>
    <w:p w14:paraId="771E36E2" w14:textId="77777777" w:rsidR="0073238E" w:rsidRPr="004676F5" w:rsidRDefault="0073238E" w:rsidP="0073238E">
      <w:pPr>
        <w:ind w:firstLine="720"/>
        <w:jc w:val="both"/>
        <w:rPr>
          <w:lang w:val="de-DE"/>
        </w:rPr>
      </w:pPr>
    </w:p>
    <w:p w14:paraId="5D2C8598" w14:textId="77777777" w:rsidR="0073238E" w:rsidRPr="004676F5" w:rsidRDefault="0073238E" w:rsidP="0073238E">
      <w:pPr>
        <w:jc w:val="both"/>
        <w:rPr>
          <w:lang w:val="de-DE"/>
        </w:rPr>
      </w:pPr>
      <w:r w:rsidRPr="004676F5">
        <w:rPr>
          <w:lang w:val="de-DE"/>
        </w:rPr>
        <w:lastRenderedPageBreak/>
        <w:tab/>
      </w:r>
      <w:r w:rsidRPr="004676F5">
        <w:rPr>
          <w:i/>
          <w:lang w:val="de-DE"/>
        </w:rPr>
        <w:t>b)</w:t>
      </w:r>
      <w:r w:rsidRPr="004676F5">
        <w:rPr>
          <w:lang w:val="de-DE"/>
        </w:rPr>
        <w:t> im Rahmen eines von einem Mitgliedstaat anerkannten Auftrags im öffentlichen Interesse tätig ist,</w:t>
      </w:r>
    </w:p>
    <w:p w14:paraId="100DFE0D" w14:textId="77777777" w:rsidR="0073238E" w:rsidRPr="004676F5" w:rsidRDefault="0073238E" w:rsidP="0073238E">
      <w:pPr>
        <w:jc w:val="both"/>
        <w:rPr>
          <w:lang w:val="de-DE"/>
        </w:rPr>
      </w:pPr>
    </w:p>
    <w:p w14:paraId="03D7E66F" w14:textId="77777777" w:rsidR="0073238E" w:rsidRPr="004676F5" w:rsidRDefault="0073238E" w:rsidP="0073238E">
      <w:pPr>
        <w:jc w:val="both"/>
        <w:rPr>
          <w:lang w:val="de-DE"/>
        </w:rPr>
      </w:pPr>
      <w:r w:rsidRPr="004676F5">
        <w:rPr>
          <w:lang w:val="de-DE"/>
        </w:rPr>
        <w:tab/>
        <w:t>wobei kein Unternehmen, das einen bestimmenden Einfluss auf diese Organisation hat, bevorzugten Zugang zu den Ergebnissen der wissenschaftlichen Forschung erhält,</w:t>
      </w:r>
    </w:p>
    <w:p w14:paraId="0CAFDC29" w14:textId="77777777" w:rsidR="0073238E" w:rsidRPr="004676F5" w:rsidRDefault="0073238E" w:rsidP="0073238E">
      <w:pPr>
        <w:jc w:val="both"/>
        <w:rPr>
          <w:lang w:val="de-DE"/>
        </w:rPr>
      </w:pPr>
    </w:p>
    <w:p w14:paraId="519DCE56" w14:textId="49C7CD91" w:rsidR="0073238E" w:rsidRPr="004676F5" w:rsidRDefault="0073238E" w:rsidP="0073238E">
      <w:pPr>
        <w:jc w:val="both"/>
        <w:rPr>
          <w:lang w:val="de-DE"/>
        </w:rPr>
      </w:pPr>
      <w:r w:rsidRPr="004676F5">
        <w:rPr>
          <w:lang w:val="de-DE"/>
        </w:rPr>
        <w:tab/>
        <w:t xml:space="preserve">10. Text und Data Mining: eine Technik für die automatisierte Analyse von Texten und Daten in digitaler Form, mit deren Hilfe Informationen unter anderem </w:t>
      </w:r>
      <w:r w:rsidR="005B7A5C" w:rsidRPr="004676F5">
        <w:rPr>
          <w:lang w:val="de-DE"/>
        </w:rPr>
        <w:t>- </w:t>
      </w:r>
      <w:r w:rsidRPr="004676F5">
        <w:rPr>
          <w:lang w:val="de-DE"/>
        </w:rPr>
        <w:t>aber nicht ausschließlich </w:t>
      </w:r>
      <w:r w:rsidR="005B7A5C" w:rsidRPr="004676F5">
        <w:rPr>
          <w:lang w:val="de-DE"/>
        </w:rPr>
        <w:t>- </w:t>
      </w:r>
      <w:r w:rsidRPr="004676F5">
        <w:rPr>
          <w:lang w:val="de-DE"/>
        </w:rPr>
        <w:t>über Muster, Trends und Korrelationen gewonnen werden können,</w:t>
      </w:r>
    </w:p>
    <w:p w14:paraId="2E0190FC" w14:textId="77777777" w:rsidR="0073238E" w:rsidRPr="004676F5" w:rsidRDefault="0073238E" w:rsidP="0073238E">
      <w:pPr>
        <w:jc w:val="both"/>
        <w:rPr>
          <w:lang w:val="de-DE"/>
        </w:rPr>
      </w:pPr>
    </w:p>
    <w:p w14:paraId="0D23E1ED" w14:textId="4CA4D7FE" w:rsidR="0073238E" w:rsidRPr="004676F5" w:rsidRDefault="0073238E" w:rsidP="0073238E">
      <w:pPr>
        <w:jc w:val="both"/>
        <w:rPr>
          <w:lang w:val="de-DE"/>
        </w:rPr>
      </w:pPr>
      <w:r w:rsidRPr="004676F5">
        <w:rPr>
          <w:lang w:val="de-DE"/>
        </w:rPr>
        <w:tab/>
        <w:t>11. Werke oder Leistungen, die sich dauerhaft in den Sammlungen einer öffentlich zugänglichen Bibliothek, eines öffentlich zugänglichen Museums, eines Archivs oder einer im Bereich des Film</w:t>
      </w:r>
      <w:r w:rsidR="005B7A5C" w:rsidRPr="004676F5">
        <w:rPr>
          <w:lang w:val="de-DE"/>
        </w:rPr>
        <w:t>- </w:t>
      </w:r>
      <w:r w:rsidRPr="004676F5">
        <w:rPr>
          <w:lang w:val="de-DE"/>
        </w:rPr>
        <w:t>oder Tonerbes tätigen Einrichtung befinden: Werke, Leistungen oder Vervielfältigungen, die Eigentum der betreffenden öffentlich zugänglichen Bibliothek, des betreffenden öffentlich zugänglichen Museums, des betreffenden Archivs oder der betreffenden im Bereich des Film</w:t>
      </w:r>
      <w:r w:rsidR="005B7A5C" w:rsidRPr="004676F5">
        <w:rPr>
          <w:lang w:val="de-DE"/>
        </w:rPr>
        <w:t>- </w:t>
      </w:r>
      <w:r w:rsidRPr="004676F5">
        <w:rPr>
          <w:lang w:val="de-DE"/>
        </w:rPr>
        <w:t>oder Tonerbes tätigen Einrichtung sind oder sich dauerhaft in ihrem Besitz befinden,</w:t>
      </w:r>
    </w:p>
    <w:p w14:paraId="349EF46D" w14:textId="77777777" w:rsidR="0073238E" w:rsidRPr="004676F5" w:rsidRDefault="0073238E" w:rsidP="0073238E">
      <w:pPr>
        <w:jc w:val="both"/>
        <w:rPr>
          <w:lang w:val="de-DE"/>
        </w:rPr>
      </w:pPr>
    </w:p>
    <w:p w14:paraId="53C12BA7" w14:textId="7A648E4F" w:rsidR="0073238E" w:rsidRPr="004676F5" w:rsidRDefault="0073238E" w:rsidP="0073238E">
      <w:pPr>
        <w:ind w:firstLine="708"/>
        <w:jc w:val="both"/>
        <w:rPr>
          <w:lang w:val="de-DE"/>
        </w:rPr>
      </w:pPr>
      <w:r w:rsidRPr="004676F5">
        <w:rPr>
          <w:lang w:val="de-DE"/>
        </w:rPr>
        <w:t>12. vergriffene Werke oder Leistungen: ein Werk oder eine Leistung, für das/die nach Treu und Glauben davon ausgegangen werden kann, dass das gesamte Werk oder die gesamte Leistung auf den üblichen Vertriebswegen für die Öffentlichkeit nicht erhältlich ist, nachdem ein vertretbarer Aufwand betrieben wurde, um festzustellen, ob es/sie für die Öffentlichkeit erhältlich ist.]</w:t>
      </w:r>
    </w:p>
    <w:p w14:paraId="51AD0578" w14:textId="77777777" w:rsidR="004808C3" w:rsidRPr="004676F5" w:rsidRDefault="004808C3" w:rsidP="00AD40DF">
      <w:pPr>
        <w:jc w:val="both"/>
        <w:rPr>
          <w:lang w:val="de-DE"/>
        </w:rPr>
      </w:pPr>
    </w:p>
    <w:p w14:paraId="75B7B3EB" w14:textId="66017CC7" w:rsidR="00AD40DF" w:rsidRPr="004676F5" w:rsidRDefault="00AD40DF" w:rsidP="00AD40DF">
      <w:pPr>
        <w:jc w:val="both"/>
        <w:rPr>
          <w:i/>
          <w:lang w:val="de-DE"/>
        </w:rPr>
      </w:pPr>
      <w:r w:rsidRPr="004676F5">
        <w:rPr>
          <w:i/>
          <w:lang w:val="de-DE"/>
        </w:rPr>
        <w:t>[</w:t>
      </w:r>
      <w:r w:rsidR="00BE0A56" w:rsidRPr="004676F5">
        <w:rPr>
          <w:i/>
          <w:lang w:val="de-DE"/>
        </w:rPr>
        <w:t>Art. </w:t>
      </w:r>
      <w:r w:rsidRPr="004676F5">
        <w:rPr>
          <w:i/>
          <w:lang w:val="de-DE"/>
        </w:rPr>
        <w:t xml:space="preserve">I.13 einziger Absatz Nr. 8 eingefügt durch </w:t>
      </w:r>
      <w:r w:rsidR="00BE0A56" w:rsidRPr="004676F5">
        <w:rPr>
          <w:i/>
          <w:lang w:val="de-DE"/>
        </w:rPr>
        <w:t>Art. </w:t>
      </w:r>
      <w:r w:rsidR="008A719D" w:rsidRPr="004676F5">
        <w:rPr>
          <w:i/>
          <w:lang w:val="de-DE"/>
        </w:rPr>
        <w:t>3 des G. vom 20. Juli 2015 (B.S. vom 24. August 2015)</w:t>
      </w:r>
      <w:r w:rsidR="0073238E" w:rsidRPr="004676F5">
        <w:rPr>
          <w:i/>
          <w:lang w:val="de-DE"/>
        </w:rPr>
        <w:t xml:space="preserve"> und ersetzt durch Art. 2 Nr. 1 des G. vom 19. Juni 2022 (B.S. vom 1. August 2022); einziger Absatz Nr. 9 bis 12 eingefügt durch Art. 2 Nr. 2 des G. vom 19. Juni 2022 (B.S. vom 1. August 2022)</w:t>
      </w:r>
      <w:r w:rsidR="008A719D" w:rsidRPr="004676F5">
        <w:rPr>
          <w:i/>
          <w:lang w:val="de-DE"/>
        </w:rPr>
        <w:t>]</w:t>
      </w:r>
    </w:p>
    <w:p w14:paraId="237E2AB8" w14:textId="77777777" w:rsidR="008A719D" w:rsidRPr="004676F5" w:rsidRDefault="008A719D" w:rsidP="00AD40DF">
      <w:pPr>
        <w:jc w:val="both"/>
        <w:rPr>
          <w:i/>
          <w:lang w:val="de-DE"/>
        </w:rPr>
      </w:pPr>
    </w:p>
    <w:p w14:paraId="3A39A17F" w14:textId="77777777" w:rsidR="001527B1" w:rsidRPr="004676F5" w:rsidRDefault="001527B1" w:rsidP="004808C3">
      <w:pPr>
        <w:ind w:firstLine="708"/>
        <w:jc w:val="both"/>
        <w:rPr>
          <w:lang w:val="de-DE"/>
        </w:rPr>
      </w:pPr>
    </w:p>
    <w:p w14:paraId="123E1A86" w14:textId="523DB4AF" w:rsidR="004808C3" w:rsidRPr="004676F5" w:rsidRDefault="00BE0A56" w:rsidP="004808C3">
      <w:pPr>
        <w:ind w:firstLine="708"/>
        <w:jc w:val="both"/>
        <w:rPr>
          <w:lang w:val="de-DE"/>
        </w:rPr>
      </w:pPr>
      <w:r w:rsidRPr="004676F5">
        <w:rPr>
          <w:b/>
          <w:lang w:val="de-DE"/>
        </w:rPr>
        <w:t>Art. </w:t>
      </w:r>
      <w:r w:rsidR="004808C3" w:rsidRPr="004676F5">
        <w:rPr>
          <w:b/>
          <w:lang w:val="de-DE"/>
        </w:rPr>
        <w:t>I.14</w:t>
      </w:r>
      <w:r w:rsidR="004808C3" w:rsidRPr="004676F5">
        <w:rPr>
          <w:lang w:val="de-DE"/>
        </w:rPr>
        <w:t> </w:t>
      </w:r>
      <w:r w:rsidR="005B7A5C" w:rsidRPr="004676F5">
        <w:rPr>
          <w:lang w:val="de-DE"/>
        </w:rPr>
        <w:t>- </w:t>
      </w:r>
      <w:r w:rsidR="004808C3" w:rsidRPr="004676F5">
        <w:rPr>
          <w:lang w:val="de-DE"/>
        </w:rPr>
        <w:t>Folgende Begriffsbestimmungen gelten für Buch XI Titel 1 und 2:</w:t>
      </w:r>
    </w:p>
    <w:p w14:paraId="738C3954" w14:textId="77777777" w:rsidR="004808C3" w:rsidRPr="004676F5" w:rsidRDefault="004808C3" w:rsidP="004808C3">
      <w:pPr>
        <w:ind w:firstLine="708"/>
        <w:jc w:val="both"/>
        <w:rPr>
          <w:lang w:val="de-DE"/>
        </w:rPr>
      </w:pPr>
    </w:p>
    <w:p w14:paraId="658043A0" w14:textId="77777777" w:rsidR="004808C3" w:rsidRPr="004676F5" w:rsidRDefault="004808C3" w:rsidP="004808C3">
      <w:pPr>
        <w:ind w:firstLine="708"/>
        <w:jc w:val="both"/>
        <w:rPr>
          <w:lang w:val="de-DE"/>
        </w:rPr>
      </w:pPr>
      <w:r w:rsidRPr="004676F5">
        <w:rPr>
          <w:lang w:val="de-DE"/>
        </w:rPr>
        <w:t>1. Zusammenarbeitsvertrag: der Vertrag über die internationale Zusammenarbeit auf dem Gebiet des Patentwesens, am 19. Juni 1970 in Washington abgeschlossen und durch das Gesetz vom 8. Juli 1977 gebilligt,</w:t>
      </w:r>
    </w:p>
    <w:p w14:paraId="04AF3190" w14:textId="77777777" w:rsidR="004808C3" w:rsidRPr="004676F5" w:rsidRDefault="004808C3" w:rsidP="004808C3">
      <w:pPr>
        <w:ind w:firstLine="708"/>
        <w:jc w:val="both"/>
        <w:rPr>
          <w:lang w:val="de-DE"/>
        </w:rPr>
      </w:pPr>
    </w:p>
    <w:p w14:paraId="500D0C05" w14:textId="77777777" w:rsidR="004808C3" w:rsidRPr="004676F5" w:rsidRDefault="004808C3" w:rsidP="004808C3">
      <w:pPr>
        <w:ind w:firstLine="708"/>
        <w:jc w:val="both"/>
        <w:rPr>
          <w:lang w:val="de-DE"/>
        </w:rPr>
      </w:pPr>
      <w:r w:rsidRPr="004676F5">
        <w:rPr>
          <w:lang w:val="de-DE"/>
        </w:rPr>
        <w:t>2. Europäisches Patentübereinkommen: das Übereinkommen über die Erteilung europäischer Patente, am 5. Oktober 1973 in München abgeschlossen und durch das Gesetz vom 8. Juli 1977 gebilligt, so wie es durch die Akte zur Revision des Übereinkommens über die Erteilung europäischer Patente abgeändert worden ist, am 29. November 2000 in München angenommen und durch das Gesetz vom 21. April 2007 gebilligt,</w:t>
      </w:r>
    </w:p>
    <w:p w14:paraId="1F930A30" w14:textId="77777777" w:rsidR="004808C3" w:rsidRPr="004676F5" w:rsidRDefault="004808C3" w:rsidP="004808C3">
      <w:pPr>
        <w:ind w:firstLine="708"/>
        <w:jc w:val="both"/>
        <w:rPr>
          <w:lang w:val="de-DE"/>
        </w:rPr>
      </w:pPr>
    </w:p>
    <w:p w14:paraId="66FA9C44" w14:textId="77777777" w:rsidR="004808C3" w:rsidRPr="004676F5" w:rsidRDefault="004808C3" w:rsidP="004808C3">
      <w:pPr>
        <w:ind w:firstLine="708"/>
        <w:jc w:val="both"/>
        <w:rPr>
          <w:lang w:val="de-DE"/>
        </w:rPr>
      </w:pPr>
      <w:r w:rsidRPr="004676F5">
        <w:rPr>
          <w:lang w:val="de-DE"/>
        </w:rPr>
        <w:t>3. Gesetz vom 10. Januar 1955: das Gesetz über die Offenbarung und die Anwendung von Erfindungen und Betriebsgeheimnissen, die die Verteidigung des Staatsgebiets oder die Sicherheit des Staates betreffen,</w:t>
      </w:r>
    </w:p>
    <w:p w14:paraId="3749CBD3" w14:textId="77777777" w:rsidR="004808C3" w:rsidRPr="004676F5" w:rsidRDefault="004808C3" w:rsidP="004808C3">
      <w:pPr>
        <w:ind w:firstLine="708"/>
        <w:jc w:val="both"/>
        <w:rPr>
          <w:lang w:val="de-DE"/>
        </w:rPr>
      </w:pPr>
    </w:p>
    <w:p w14:paraId="251D1F71" w14:textId="77777777" w:rsidR="004808C3" w:rsidRPr="004676F5" w:rsidRDefault="004808C3" w:rsidP="004808C3">
      <w:pPr>
        <w:ind w:firstLine="708"/>
        <w:jc w:val="both"/>
        <w:rPr>
          <w:lang w:val="de-DE"/>
        </w:rPr>
      </w:pPr>
      <w:r w:rsidRPr="004676F5">
        <w:rPr>
          <w:lang w:val="de-DE"/>
        </w:rPr>
        <w:t>4. Europäisches Patentamt: das durch das Europäische Patentübereinkommen eingesetzte Europäische Patentamt,</w:t>
      </w:r>
    </w:p>
    <w:p w14:paraId="694BF7F5" w14:textId="77777777" w:rsidR="004808C3" w:rsidRPr="004676F5" w:rsidRDefault="004808C3" w:rsidP="004808C3">
      <w:pPr>
        <w:ind w:firstLine="708"/>
        <w:jc w:val="both"/>
        <w:rPr>
          <w:lang w:val="de-DE"/>
        </w:rPr>
      </w:pPr>
    </w:p>
    <w:p w14:paraId="22745DE7" w14:textId="77777777" w:rsidR="004808C3" w:rsidRPr="004676F5" w:rsidRDefault="004808C3" w:rsidP="004808C3">
      <w:pPr>
        <w:ind w:firstLine="708"/>
        <w:jc w:val="both"/>
        <w:rPr>
          <w:lang w:val="de-DE"/>
        </w:rPr>
      </w:pPr>
      <w:r w:rsidRPr="004676F5">
        <w:rPr>
          <w:lang w:val="de-DE"/>
        </w:rPr>
        <w:t>5. Register: das Register der Erfindungspatente und der ergänzenden Schutzzertifikate,</w:t>
      </w:r>
    </w:p>
    <w:p w14:paraId="65432FF9" w14:textId="77777777" w:rsidR="004808C3" w:rsidRPr="004676F5" w:rsidRDefault="004808C3" w:rsidP="004808C3">
      <w:pPr>
        <w:ind w:firstLine="708"/>
        <w:jc w:val="both"/>
        <w:rPr>
          <w:lang w:val="de-DE"/>
        </w:rPr>
      </w:pPr>
    </w:p>
    <w:p w14:paraId="5D94411E" w14:textId="77777777" w:rsidR="004808C3" w:rsidRPr="004676F5" w:rsidRDefault="004808C3" w:rsidP="004808C3">
      <w:pPr>
        <w:ind w:firstLine="708"/>
        <w:jc w:val="both"/>
        <w:rPr>
          <w:lang w:val="de-DE"/>
        </w:rPr>
      </w:pPr>
      <w:r w:rsidRPr="004676F5">
        <w:rPr>
          <w:lang w:val="de-DE"/>
        </w:rPr>
        <w:lastRenderedPageBreak/>
        <w:t>6. Sammlung: die Sammlung der Erfindungspatente und der ergänzenden Schutz</w:t>
      </w:r>
      <w:r w:rsidRPr="004676F5">
        <w:rPr>
          <w:lang w:val="de-DE"/>
        </w:rPr>
        <w:softHyphen/>
        <w:t>zertifikate,</w:t>
      </w:r>
    </w:p>
    <w:p w14:paraId="1B92F7B0" w14:textId="77777777" w:rsidR="004808C3" w:rsidRPr="004676F5" w:rsidRDefault="004808C3" w:rsidP="004808C3">
      <w:pPr>
        <w:ind w:firstLine="708"/>
        <w:jc w:val="both"/>
        <w:rPr>
          <w:lang w:val="de-DE"/>
        </w:rPr>
      </w:pPr>
    </w:p>
    <w:p w14:paraId="7034E1F8" w14:textId="77777777" w:rsidR="004808C3" w:rsidRPr="004676F5" w:rsidRDefault="004808C3" w:rsidP="004808C3">
      <w:pPr>
        <w:ind w:firstLine="708"/>
        <w:jc w:val="both"/>
        <w:rPr>
          <w:lang w:val="de-DE"/>
        </w:rPr>
      </w:pPr>
      <w:r w:rsidRPr="004676F5">
        <w:rPr>
          <w:lang w:val="de-DE"/>
        </w:rPr>
        <w:t>7. biologisches Material: ein Material, das genetische Informationen enthält und sich selbst reproduzieren oder in einem biologischen System reproduziert werden kann,</w:t>
      </w:r>
    </w:p>
    <w:p w14:paraId="37CDC86D" w14:textId="77777777" w:rsidR="004808C3" w:rsidRPr="004676F5" w:rsidRDefault="004808C3" w:rsidP="004808C3">
      <w:pPr>
        <w:ind w:firstLine="708"/>
        <w:jc w:val="both"/>
        <w:rPr>
          <w:lang w:val="de-DE"/>
        </w:rPr>
      </w:pPr>
    </w:p>
    <w:p w14:paraId="6C8ED5A3" w14:textId="77777777" w:rsidR="004808C3" w:rsidRPr="004676F5" w:rsidRDefault="004808C3" w:rsidP="004808C3">
      <w:pPr>
        <w:ind w:firstLine="708"/>
        <w:jc w:val="both"/>
        <w:rPr>
          <w:lang w:val="de-DE"/>
        </w:rPr>
      </w:pPr>
      <w:r w:rsidRPr="004676F5">
        <w:rPr>
          <w:lang w:val="de-DE"/>
        </w:rPr>
        <w:t>8. mikrobiologisches Verfahren: ein Verfahren, bei dem mikrobiologisches Material verwendet, ein Eingriff in mikrobiologisches Material durchgeführt oder mikrobiologisches Material hervorgebracht wird,</w:t>
      </w:r>
    </w:p>
    <w:p w14:paraId="3EA6B877" w14:textId="77777777" w:rsidR="004808C3" w:rsidRPr="004676F5" w:rsidRDefault="004808C3" w:rsidP="004808C3">
      <w:pPr>
        <w:ind w:firstLine="708"/>
        <w:jc w:val="both"/>
        <w:rPr>
          <w:lang w:val="de-DE"/>
        </w:rPr>
      </w:pPr>
    </w:p>
    <w:p w14:paraId="1CFF7696" w14:textId="77777777" w:rsidR="004808C3" w:rsidRPr="004676F5" w:rsidRDefault="004808C3" w:rsidP="004808C3">
      <w:pPr>
        <w:ind w:firstLine="708"/>
        <w:jc w:val="both"/>
        <w:rPr>
          <w:lang w:val="de-DE"/>
        </w:rPr>
      </w:pPr>
      <w:r w:rsidRPr="004676F5">
        <w:rPr>
          <w:lang w:val="de-DE"/>
        </w:rPr>
        <w:t>9. ein im Wesentlichen biologisches Verfahren zur Züchtung von Pflanzen oder Tieren: ein Verfahren zur Züchtung von Pflanzen oder Tieren, das vollständig auf natürlichen Phänomenen wie Kreuzung oder Selektion beruht,</w:t>
      </w:r>
    </w:p>
    <w:p w14:paraId="0F752BAA" w14:textId="77777777" w:rsidR="004808C3" w:rsidRPr="004676F5" w:rsidRDefault="004808C3" w:rsidP="004808C3">
      <w:pPr>
        <w:ind w:firstLine="708"/>
        <w:jc w:val="both"/>
        <w:rPr>
          <w:lang w:val="de-DE"/>
        </w:rPr>
      </w:pPr>
    </w:p>
    <w:p w14:paraId="1D18E410" w14:textId="77777777" w:rsidR="004808C3" w:rsidRPr="004676F5" w:rsidRDefault="004808C3" w:rsidP="004808C3">
      <w:pPr>
        <w:ind w:firstLine="708"/>
        <w:jc w:val="both"/>
        <w:rPr>
          <w:lang w:val="de-DE"/>
        </w:rPr>
      </w:pPr>
      <w:r w:rsidRPr="004676F5">
        <w:rPr>
          <w:lang w:val="de-DE"/>
        </w:rPr>
        <w:t>10. Schriftstück: eine Folge deutlicher, unterzeichneter und zugänglicher Zeichen, die ungeachtet ihres Trägers und ihrer Übermittlungsart später eingesehen werden können,</w:t>
      </w:r>
    </w:p>
    <w:p w14:paraId="5EF20257" w14:textId="77777777" w:rsidR="004808C3" w:rsidRPr="004676F5" w:rsidRDefault="004808C3" w:rsidP="004808C3">
      <w:pPr>
        <w:ind w:firstLine="708"/>
        <w:jc w:val="both"/>
        <w:rPr>
          <w:lang w:val="de-DE"/>
        </w:rPr>
      </w:pPr>
    </w:p>
    <w:p w14:paraId="0550BD38" w14:textId="77777777" w:rsidR="004808C3" w:rsidRPr="004676F5" w:rsidRDefault="004808C3" w:rsidP="004808C3">
      <w:pPr>
        <w:ind w:firstLine="708"/>
        <w:jc w:val="both"/>
        <w:rPr>
          <w:lang w:val="de-DE"/>
        </w:rPr>
      </w:pPr>
      <w:r w:rsidRPr="004676F5">
        <w:rPr>
          <w:lang w:val="de-DE"/>
        </w:rPr>
        <w:t>11. Unterschrift: eine handschriftliche oder elektronische Unterschrift. Handelt es sich um eine elektronische Unterschrift, so bestimmt der König den oder die Mechanismen, die es ermöglichen vorauszusetzen, dass Identität des Unterzeichners und Integrität der Akte gewährleistet sind,</w:t>
      </w:r>
    </w:p>
    <w:p w14:paraId="0577B941" w14:textId="77777777" w:rsidR="004808C3" w:rsidRPr="004676F5" w:rsidRDefault="004808C3" w:rsidP="004808C3">
      <w:pPr>
        <w:ind w:firstLine="708"/>
        <w:jc w:val="both"/>
        <w:rPr>
          <w:lang w:val="de-DE"/>
        </w:rPr>
      </w:pPr>
    </w:p>
    <w:p w14:paraId="5D0AB705" w14:textId="77777777" w:rsidR="004808C3" w:rsidRPr="004676F5" w:rsidRDefault="004808C3" w:rsidP="004808C3">
      <w:pPr>
        <w:ind w:firstLine="708"/>
        <w:jc w:val="both"/>
        <w:rPr>
          <w:lang w:val="de-DE"/>
        </w:rPr>
      </w:pPr>
      <w:r w:rsidRPr="004676F5">
        <w:rPr>
          <w:lang w:val="de-DE"/>
        </w:rPr>
        <w:t>12. Verordnung 1257/2012: Verordnung (EU) Nr. 1257/2012 des Europäischen Parlaments und des Rates vom 17. Dezember 2012 über die Umsetzung der verstärkten Zusammenarbeit im Bereich der Schaffung eines einheitlichen Patentschutzes,</w:t>
      </w:r>
    </w:p>
    <w:p w14:paraId="7F1C34CC" w14:textId="77777777" w:rsidR="004808C3" w:rsidRPr="004676F5" w:rsidRDefault="004808C3" w:rsidP="004808C3">
      <w:pPr>
        <w:ind w:firstLine="708"/>
        <w:jc w:val="both"/>
        <w:rPr>
          <w:lang w:val="de-DE"/>
        </w:rPr>
      </w:pPr>
    </w:p>
    <w:p w14:paraId="78226B38" w14:textId="77777777" w:rsidR="004808C3" w:rsidRPr="004676F5" w:rsidRDefault="004808C3" w:rsidP="004808C3">
      <w:pPr>
        <w:ind w:firstLine="708"/>
        <w:jc w:val="both"/>
        <w:rPr>
          <w:lang w:val="de-DE"/>
        </w:rPr>
      </w:pPr>
      <w:r w:rsidRPr="004676F5">
        <w:rPr>
          <w:lang w:val="de-DE"/>
        </w:rPr>
        <w:t>13. Europäisches Patent: ein Patent, das vom Europäischen Patentamt ("EPA") nach den Regeln und Verfahren des Europäischen Patentübereinkommens erteilt wird, unabhängig davon, ob das Patent aufgrund der Verordnung 1257/2012 einheitliche Wirkung hat,</w:t>
      </w:r>
    </w:p>
    <w:p w14:paraId="5B783FF3" w14:textId="77777777" w:rsidR="004808C3" w:rsidRPr="004676F5" w:rsidRDefault="004808C3" w:rsidP="004808C3">
      <w:pPr>
        <w:jc w:val="both"/>
        <w:rPr>
          <w:lang w:val="de-DE"/>
        </w:rPr>
      </w:pPr>
    </w:p>
    <w:p w14:paraId="2F3A29D1" w14:textId="77777777" w:rsidR="004808C3" w:rsidRPr="004676F5" w:rsidRDefault="004808C3" w:rsidP="004808C3">
      <w:pPr>
        <w:ind w:firstLine="708"/>
        <w:jc w:val="both"/>
        <w:rPr>
          <w:lang w:val="de-DE"/>
        </w:rPr>
      </w:pPr>
      <w:r w:rsidRPr="004676F5">
        <w:rPr>
          <w:lang w:val="de-DE"/>
        </w:rPr>
        <w:t>14. Europäisches Patent mit einheitlicher Wirkung: ein Europäisches Patent, das einheitliche Wirkung aufgrund der Verordnung 1257/2012 hat,</w:t>
      </w:r>
    </w:p>
    <w:p w14:paraId="6562F6EA" w14:textId="77777777" w:rsidR="004808C3" w:rsidRPr="004676F5" w:rsidRDefault="004808C3" w:rsidP="004808C3">
      <w:pPr>
        <w:ind w:firstLine="708"/>
        <w:jc w:val="both"/>
        <w:rPr>
          <w:lang w:val="de-DE"/>
        </w:rPr>
      </w:pPr>
    </w:p>
    <w:p w14:paraId="20A74D7F" w14:textId="77777777" w:rsidR="004808C3" w:rsidRPr="004676F5" w:rsidRDefault="004808C3" w:rsidP="004808C3">
      <w:pPr>
        <w:ind w:firstLine="708"/>
        <w:jc w:val="both"/>
        <w:rPr>
          <w:lang w:val="de-DE"/>
        </w:rPr>
      </w:pPr>
      <w:r w:rsidRPr="004676F5">
        <w:rPr>
          <w:lang w:val="de-DE"/>
        </w:rPr>
        <w:t>15. Europäisches Patent ohne einheitliche Wirkung: ein Europäisches Patent, das keine einheitliche Wirkung aufgrund der Verordnung 1257/2012 hat,</w:t>
      </w:r>
    </w:p>
    <w:p w14:paraId="4D54B67C" w14:textId="77777777" w:rsidR="004808C3" w:rsidRPr="004676F5" w:rsidRDefault="004808C3" w:rsidP="004808C3">
      <w:pPr>
        <w:ind w:firstLine="708"/>
        <w:jc w:val="both"/>
        <w:rPr>
          <w:lang w:val="de-DE"/>
        </w:rPr>
      </w:pPr>
    </w:p>
    <w:p w14:paraId="45E99979" w14:textId="0FF16783" w:rsidR="004808C3" w:rsidRPr="004676F5" w:rsidRDefault="004808C3" w:rsidP="004808C3">
      <w:pPr>
        <w:ind w:firstLine="708"/>
        <w:jc w:val="both"/>
        <w:rPr>
          <w:lang w:val="de-DE"/>
        </w:rPr>
      </w:pPr>
      <w:r w:rsidRPr="004676F5">
        <w:rPr>
          <w:lang w:val="de-DE"/>
        </w:rPr>
        <w:t>16. Einheitliches Patentgericht: das gemeinsame Gericht der Vertragsmitgliedstaaten, errichtet durch das Übereinkommen über ein Einheitliches Patentgericht, am</w:t>
      </w:r>
      <w:r w:rsidR="00604C37" w:rsidRPr="004676F5">
        <w:rPr>
          <w:lang w:val="de-DE"/>
        </w:rPr>
        <w:t xml:space="preserve"> 19. Februar 2013 unterzeichnet,</w:t>
      </w:r>
    </w:p>
    <w:p w14:paraId="3B1CC5E9" w14:textId="59E153C2" w:rsidR="00604C37" w:rsidRPr="004676F5" w:rsidRDefault="00604C37" w:rsidP="004808C3">
      <w:pPr>
        <w:ind w:firstLine="708"/>
        <w:jc w:val="both"/>
        <w:rPr>
          <w:lang w:val="de-DE"/>
        </w:rPr>
      </w:pPr>
    </w:p>
    <w:p w14:paraId="34572AB2" w14:textId="75ED6696" w:rsidR="00604C37" w:rsidRPr="004676F5" w:rsidRDefault="00604C37" w:rsidP="004808C3">
      <w:pPr>
        <w:ind w:firstLine="708"/>
        <w:jc w:val="both"/>
        <w:rPr>
          <w:lang w:val="de-DE"/>
        </w:rPr>
      </w:pPr>
      <w:r w:rsidRPr="004676F5">
        <w:rPr>
          <w:lang w:val="de-DE"/>
        </w:rPr>
        <w:t>[17. Patentanwalt: ein Patentvertreter, der eine natürliche Person ist, gewerbsmäßig Patentanwaltsdienste leistet und Dritte vor dem Amt vertritt, mit Ausnahme der in Artikel XI.62 § 6 erwähnten Angestellten und der in Artikel XI.64/2 erwähnten Rechtsanwälte.]</w:t>
      </w:r>
    </w:p>
    <w:p w14:paraId="2DB19C69" w14:textId="2F8572AB" w:rsidR="004808C3" w:rsidRPr="004676F5" w:rsidRDefault="004808C3" w:rsidP="004808C3">
      <w:pPr>
        <w:jc w:val="both"/>
        <w:rPr>
          <w:lang w:val="de-DE"/>
        </w:rPr>
      </w:pPr>
    </w:p>
    <w:p w14:paraId="2D8CCC6F" w14:textId="6D65C50D" w:rsidR="00604C37" w:rsidRPr="004676F5" w:rsidRDefault="00604C37" w:rsidP="004808C3">
      <w:pPr>
        <w:jc w:val="both"/>
        <w:rPr>
          <w:i/>
          <w:iCs/>
          <w:lang w:val="de-DE"/>
        </w:rPr>
      </w:pPr>
      <w:r w:rsidRPr="004676F5">
        <w:rPr>
          <w:i/>
          <w:lang w:val="de-DE"/>
        </w:rPr>
        <w:t>[Art. I.14 einziger Absatz Nr. 17 eingefügt durch Art. 4</w:t>
      </w:r>
      <w:r w:rsidR="00437658" w:rsidRPr="004676F5">
        <w:rPr>
          <w:i/>
          <w:iCs/>
          <w:lang w:val="de-DE"/>
        </w:rPr>
        <w:t xml:space="preserve"> des G. vom 8. Juli 2018 (B.S. vom 19. Juli 2018)]</w:t>
      </w:r>
    </w:p>
    <w:p w14:paraId="7445655A" w14:textId="77777777" w:rsidR="00437658" w:rsidRPr="004676F5" w:rsidRDefault="00437658" w:rsidP="004808C3">
      <w:pPr>
        <w:jc w:val="both"/>
        <w:rPr>
          <w:i/>
          <w:lang w:val="de-DE"/>
        </w:rPr>
      </w:pPr>
    </w:p>
    <w:p w14:paraId="11CA3FBD" w14:textId="77777777" w:rsidR="001527B1" w:rsidRPr="004676F5" w:rsidRDefault="001527B1">
      <w:pPr>
        <w:rPr>
          <w:lang w:val="de-DE"/>
        </w:rPr>
      </w:pPr>
    </w:p>
    <w:p w14:paraId="4C25F965" w14:textId="77777777" w:rsidR="0073238E" w:rsidRPr="004676F5" w:rsidRDefault="0073238E">
      <w:pPr>
        <w:rPr>
          <w:b/>
          <w:lang w:val="de-DE"/>
        </w:rPr>
      </w:pPr>
      <w:r w:rsidRPr="004676F5">
        <w:rPr>
          <w:b/>
          <w:lang w:val="de-DE"/>
        </w:rPr>
        <w:br w:type="page"/>
      </w:r>
    </w:p>
    <w:p w14:paraId="16FBF61A" w14:textId="32572518" w:rsidR="004808C3" w:rsidRPr="004676F5" w:rsidRDefault="00BE0A56" w:rsidP="004808C3">
      <w:pPr>
        <w:ind w:firstLine="708"/>
        <w:jc w:val="both"/>
        <w:rPr>
          <w:lang w:val="de-DE"/>
        </w:rPr>
      </w:pPr>
      <w:r w:rsidRPr="004676F5">
        <w:rPr>
          <w:b/>
          <w:lang w:val="de-DE"/>
        </w:rPr>
        <w:lastRenderedPageBreak/>
        <w:t>Art. </w:t>
      </w:r>
      <w:r w:rsidR="004808C3" w:rsidRPr="004676F5">
        <w:rPr>
          <w:b/>
          <w:lang w:val="de-DE"/>
        </w:rPr>
        <w:t>I.15</w:t>
      </w:r>
      <w:r w:rsidR="004808C3" w:rsidRPr="004676F5">
        <w:rPr>
          <w:lang w:val="de-DE"/>
        </w:rPr>
        <w:t> </w:t>
      </w:r>
      <w:r w:rsidR="005B7A5C" w:rsidRPr="004676F5">
        <w:rPr>
          <w:lang w:val="de-DE"/>
        </w:rPr>
        <w:t>- </w:t>
      </w:r>
      <w:r w:rsidR="004808C3" w:rsidRPr="004676F5">
        <w:rPr>
          <w:lang w:val="de-DE"/>
        </w:rPr>
        <w:t>Folgende Begriffsbestimmungen gelten für Buch XI Titel 3:</w:t>
      </w:r>
    </w:p>
    <w:p w14:paraId="5B1CFF03" w14:textId="77777777" w:rsidR="004808C3" w:rsidRPr="004676F5" w:rsidRDefault="004808C3" w:rsidP="004808C3">
      <w:pPr>
        <w:ind w:firstLine="708"/>
        <w:jc w:val="both"/>
        <w:rPr>
          <w:lang w:val="de-DE"/>
        </w:rPr>
      </w:pPr>
    </w:p>
    <w:p w14:paraId="026FFF71" w14:textId="33FBCC4C" w:rsidR="004808C3" w:rsidRPr="004676F5" w:rsidRDefault="004808C3" w:rsidP="004808C3">
      <w:pPr>
        <w:ind w:firstLine="708"/>
        <w:jc w:val="both"/>
        <w:rPr>
          <w:lang w:val="de-DE"/>
        </w:rPr>
      </w:pPr>
      <w:r w:rsidRPr="004676F5">
        <w:rPr>
          <w:lang w:val="de-DE"/>
        </w:rPr>
        <w:t>1. Sorte: eine pflanzliche Gesamtheit innerhalb eines einzigen botanischen Taxons der untersten bekannten Rangstufe, die, unabhängig davon, ob die Bedingungen für die Erteilung des Sortenschutzes vollständig erfüllt sind,</w:t>
      </w:r>
    </w:p>
    <w:p w14:paraId="1DA7545D" w14:textId="77777777" w:rsidR="004808C3" w:rsidRPr="004676F5" w:rsidRDefault="004808C3" w:rsidP="004808C3">
      <w:pPr>
        <w:ind w:firstLine="708"/>
        <w:jc w:val="both"/>
        <w:rPr>
          <w:lang w:val="de-DE"/>
        </w:rPr>
      </w:pPr>
    </w:p>
    <w:p w14:paraId="375C441D" w14:textId="5685D07C" w:rsidR="004808C3" w:rsidRPr="004676F5" w:rsidRDefault="005B7A5C" w:rsidP="004808C3">
      <w:pPr>
        <w:ind w:firstLine="708"/>
        <w:jc w:val="both"/>
        <w:rPr>
          <w:lang w:val="de-DE"/>
        </w:rPr>
      </w:pPr>
      <w:r w:rsidRPr="004676F5">
        <w:rPr>
          <w:lang w:val="de-DE"/>
        </w:rPr>
        <w:t>- </w:t>
      </w:r>
      <w:r w:rsidR="004808C3" w:rsidRPr="004676F5">
        <w:rPr>
          <w:lang w:val="de-DE"/>
        </w:rPr>
        <w:t>durch die sich aus einem bestimmten Genotyp oder einer bestimmten Kombination von Genotypen ergebende Ausprägung der Merkmale definiert,</w:t>
      </w:r>
    </w:p>
    <w:p w14:paraId="69ADCC39" w14:textId="77777777" w:rsidR="004808C3" w:rsidRPr="004676F5" w:rsidRDefault="004808C3" w:rsidP="004808C3">
      <w:pPr>
        <w:ind w:firstLine="708"/>
        <w:jc w:val="both"/>
        <w:rPr>
          <w:lang w:val="de-DE"/>
        </w:rPr>
      </w:pPr>
    </w:p>
    <w:p w14:paraId="4B808FAE" w14:textId="0C45BCD8" w:rsidR="004808C3" w:rsidRPr="004676F5" w:rsidRDefault="005B7A5C" w:rsidP="004808C3">
      <w:pPr>
        <w:ind w:firstLine="708"/>
        <w:jc w:val="both"/>
        <w:rPr>
          <w:lang w:val="de-DE"/>
        </w:rPr>
      </w:pPr>
      <w:r w:rsidRPr="004676F5">
        <w:rPr>
          <w:lang w:val="de-DE"/>
        </w:rPr>
        <w:t>- </w:t>
      </w:r>
      <w:r w:rsidR="004808C3" w:rsidRPr="004676F5">
        <w:rPr>
          <w:lang w:val="de-DE"/>
        </w:rPr>
        <w:t>zumindest durch die Ausprägung eines der erwähnten Merkmale von jeder anderen pflanzlichen Gesamtheit unterschieden und</w:t>
      </w:r>
    </w:p>
    <w:p w14:paraId="1E14F269" w14:textId="77777777" w:rsidR="004808C3" w:rsidRPr="004676F5" w:rsidRDefault="004808C3" w:rsidP="004808C3">
      <w:pPr>
        <w:ind w:firstLine="708"/>
        <w:jc w:val="both"/>
        <w:rPr>
          <w:lang w:val="de-DE"/>
        </w:rPr>
      </w:pPr>
    </w:p>
    <w:p w14:paraId="24A464B6" w14:textId="0D975F1B" w:rsidR="004808C3" w:rsidRPr="004676F5" w:rsidRDefault="005B7A5C" w:rsidP="004808C3">
      <w:pPr>
        <w:ind w:firstLine="708"/>
        <w:jc w:val="both"/>
        <w:rPr>
          <w:lang w:val="de-DE"/>
        </w:rPr>
      </w:pPr>
      <w:r w:rsidRPr="004676F5">
        <w:rPr>
          <w:lang w:val="de-DE"/>
        </w:rPr>
        <w:t>- </w:t>
      </w:r>
      <w:r w:rsidR="004808C3" w:rsidRPr="004676F5">
        <w:rPr>
          <w:lang w:val="de-DE"/>
        </w:rPr>
        <w:t>in Anbetracht ihrer Eignung, unverändert vermehrt zu werden, als Einheit angesehen werden kann,</w:t>
      </w:r>
    </w:p>
    <w:p w14:paraId="51B8674B" w14:textId="77777777" w:rsidR="004808C3" w:rsidRPr="004676F5" w:rsidRDefault="004808C3" w:rsidP="004808C3">
      <w:pPr>
        <w:ind w:firstLine="708"/>
        <w:jc w:val="both"/>
        <w:rPr>
          <w:lang w:val="de-DE"/>
        </w:rPr>
      </w:pPr>
    </w:p>
    <w:p w14:paraId="2A5F8589" w14:textId="77777777" w:rsidR="004808C3" w:rsidRPr="004676F5" w:rsidRDefault="004808C3" w:rsidP="004808C3">
      <w:pPr>
        <w:ind w:firstLine="708"/>
        <w:jc w:val="both"/>
        <w:rPr>
          <w:lang w:val="de-DE"/>
        </w:rPr>
      </w:pPr>
      <w:r w:rsidRPr="004676F5">
        <w:rPr>
          <w:lang w:val="de-DE"/>
        </w:rPr>
        <w:t>2. Sortenbestandteile: ganze Pflanzen oder Teile von Pflanzen, soweit diese Teile wieder ganze Pflanzen erzeugen können,</w:t>
      </w:r>
    </w:p>
    <w:p w14:paraId="2D9291B7" w14:textId="77777777" w:rsidR="004808C3" w:rsidRPr="004676F5" w:rsidRDefault="004808C3" w:rsidP="004808C3">
      <w:pPr>
        <w:ind w:firstLine="708"/>
        <w:jc w:val="both"/>
        <w:rPr>
          <w:lang w:val="de-DE"/>
        </w:rPr>
      </w:pPr>
    </w:p>
    <w:p w14:paraId="6AECF51E" w14:textId="77777777" w:rsidR="004808C3" w:rsidRPr="004676F5" w:rsidRDefault="004808C3" w:rsidP="004808C3">
      <w:pPr>
        <w:ind w:firstLine="708"/>
        <w:jc w:val="both"/>
        <w:rPr>
          <w:lang w:val="de-DE"/>
        </w:rPr>
      </w:pPr>
      <w:r w:rsidRPr="004676F5">
        <w:rPr>
          <w:lang w:val="de-DE"/>
        </w:rPr>
        <w:t>3. Schriftstück: eine Folge deutlicher, unterzeichneter und zugänglicher Zeichen, die ungeachtet ihres Trägers und ihrer Übermittlungsart später eingesehen werden können.</w:t>
      </w:r>
    </w:p>
    <w:p w14:paraId="1F845F5C" w14:textId="77777777" w:rsidR="004808C3" w:rsidRPr="004676F5" w:rsidRDefault="004808C3" w:rsidP="004808C3">
      <w:pPr>
        <w:ind w:firstLine="708"/>
        <w:jc w:val="both"/>
        <w:rPr>
          <w:lang w:val="de-DE"/>
        </w:rPr>
      </w:pPr>
    </w:p>
    <w:p w14:paraId="344B0FC9" w14:textId="77777777" w:rsidR="001527B1" w:rsidRPr="004676F5" w:rsidRDefault="001527B1" w:rsidP="004808C3">
      <w:pPr>
        <w:ind w:firstLine="708"/>
        <w:jc w:val="both"/>
        <w:rPr>
          <w:lang w:val="de-DE"/>
        </w:rPr>
      </w:pPr>
    </w:p>
    <w:p w14:paraId="3EA950CF" w14:textId="29B5B16C" w:rsidR="00375BBA" w:rsidRPr="004676F5" w:rsidRDefault="00BE0A56" w:rsidP="00375BBA">
      <w:pPr>
        <w:ind w:firstLine="708"/>
        <w:jc w:val="both"/>
        <w:rPr>
          <w:lang w:val="de-DE"/>
        </w:rPr>
      </w:pPr>
      <w:r w:rsidRPr="004676F5">
        <w:rPr>
          <w:b/>
          <w:lang w:val="de-DE"/>
        </w:rPr>
        <w:t>Art. </w:t>
      </w:r>
      <w:r w:rsidR="004808C3" w:rsidRPr="004676F5">
        <w:rPr>
          <w:b/>
          <w:lang w:val="de-DE"/>
        </w:rPr>
        <w:t>I.16</w:t>
      </w:r>
      <w:r w:rsidR="004808C3" w:rsidRPr="004676F5">
        <w:rPr>
          <w:lang w:val="de-DE"/>
        </w:rPr>
        <w:t> </w:t>
      </w:r>
      <w:r w:rsidR="005B7A5C" w:rsidRPr="004676F5">
        <w:rPr>
          <w:lang w:val="de-DE"/>
        </w:rPr>
        <w:t>- </w:t>
      </w:r>
      <w:r w:rsidR="00375BBA" w:rsidRPr="004676F5">
        <w:rPr>
          <w:lang w:val="de-DE"/>
        </w:rPr>
        <w:t>[§ 1 </w:t>
      </w:r>
      <w:r w:rsidR="005B7A5C" w:rsidRPr="004676F5">
        <w:rPr>
          <w:lang w:val="de-DE"/>
        </w:rPr>
        <w:t>- </w:t>
      </w:r>
      <w:r w:rsidR="00375BBA" w:rsidRPr="004676F5">
        <w:rPr>
          <w:lang w:val="de-DE"/>
        </w:rPr>
        <w:t>Folgende Begriffsbestimmungen gelten für Buch XI Titel 5:</w:t>
      </w:r>
    </w:p>
    <w:p w14:paraId="008DF749" w14:textId="77777777" w:rsidR="00375BBA" w:rsidRPr="004676F5" w:rsidRDefault="00375BBA" w:rsidP="00375BBA">
      <w:pPr>
        <w:jc w:val="both"/>
        <w:rPr>
          <w:lang w:val="de-DE"/>
        </w:rPr>
      </w:pPr>
    </w:p>
    <w:p w14:paraId="61545614" w14:textId="77777777" w:rsidR="00375BBA" w:rsidRPr="004676F5" w:rsidRDefault="00375BBA" w:rsidP="00375BBA">
      <w:pPr>
        <w:jc w:val="both"/>
        <w:rPr>
          <w:lang w:val="de-DE"/>
        </w:rPr>
      </w:pPr>
      <w:r w:rsidRPr="004676F5">
        <w:rPr>
          <w:lang w:val="de-DE"/>
        </w:rPr>
        <w:tab/>
        <w:t>1. Kontrolldienst: der Kontrolldienst der Verwertungsgesellschaften für Urheberrechte und verwandte Schutzrechte beim Föderalen Öffentlichen Dienst Wirtschaft,</w:t>
      </w:r>
    </w:p>
    <w:p w14:paraId="7B771DB2" w14:textId="77777777" w:rsidR="00375BBA" w:rsidRPr="004676F5" w:rsidRDefault="00375BBA" w:rsidP="00375BBA">
      <w:pPr>
        <w:jc w:val="both"/>
        <w:rPr>
          <w:lang w:val="de-DE"/>
        </w:rPr>
      </w:pPr>
    </w:p>
    <w:p w14:paraId="23BB3891" w14:textId="77777777" w:rsidR="00375BBA" w:rsidRPr="004676F5" w:rsidRDefault="00375BBA" w:rsidP="00375BBA">
      <w:pPr>
        <w:jc w:val="both"/>
        <w:rPr>
          <w:lang w:val="de-DE"/>
        </w:rPr>
      </w:pPr>
      <w:r w:rsidRPr="004676F5">
        <w:rPr>
          <w:lang w:val="de-DE"/>
        </w:rPr>
        <w:tab/>
        <w:t>2. rechtmäßiger Nutzer: eine Person, die Handlungen vornimmt, die vom Urheber erlaubt werden oder durch Gesetz gestattet sind,</w:t>
      </w:r>
    </w:p>
    <w:p w14:paraId="6075D2BD" w14:textId="77777777" w:rsidR="00375BBA" w:rsidRPr="004676F5" w:rsidRDefault="00375BBA" w:rsidP="00375BBA">
      <w:pPr>
        <w:jc w:val="both"/>
        <w:rPr>
          <w:lang w:val="de-DE"/>
        </w:rPr>
      </w:pPr>
    </w:p>
    <w:p w14:paraId="2322821D" w14:textId="102EF839" w:rsidR="00375BBA" w:rsidRPr="004676F5" w:rsidRDefault="00375BBA" w:rsidP="00375BBA">
      <w:pPr>
        <w:jc w:val="both"/>
        <w:rPr>
          <w:lang w:val="de-DE"/>
        </w:rPr>
      </w:pPr>
      <w:r w:rsidRPr="004676F5">
        <w:rPr>
          <w:lang w:val="de-DE"/>
        </w:rPr>
        <w:tab/>
        <w:t>3. Kabelweiterverbreitung: die zeitgleiche, unveränderte und vollständige Weiterver</w:t>
      </w:r>
      <w:r w:rsidRPr="004676F5">
        <w:rPr>
          <w:lang w:val="de-DE"/>
        </w:rPr>
        <w:softHyphen/>
        <w:t>brei</w:t>
      </w:r>
      <w:r w:rsidRPr="004676F5">
        <w:rPr>
          <w:lang w:val="de-DE"/>
        </w:rPr>
        <w:softHyphen/>
        <w:t>tung einer drahtlosen oder drahtgebundenen, erdgebundenen oder durch Satellit übermit</w:t>
      </w:r>
      <w:r w:rsidRPr="004676F5">
        <w:rPr>
          <w:lang w:val="de-DE"/>
        </w:rPr>
        <w:softHyphen/>
        <w:t>telten Erstsendung von Fernseh</w:t>
      </w:r>
      <w:r w:rsidR="005B7A5C" w:rsidRPr="004676F5">
        <w:rPr>
          <w:lang w:val="de-DE"/>
        </w:rPr>
        <w:t>- </w:t>
      </w:r>
      <w:r w:rsidRPr="004676F5">
        <w:rPr>
          <w:lang w:val="de-DE"/>
        </w:rPr>
        <w:t>oder Hörfunkprogrammen, die zum öffentlichen Empfang bestimmt sind, durch Kabel</w:t>
      </w:r>
      <w:r w:rsidR="005B7A5C" w:rsidRPr="004676F5">
        <w:rPr>
          <w:lang w:val="de-DE"/>
        </w:rPr>
        <w:t>- </w:t>
      </w:r>
      <w:r w:rsidRPr="004676F5">
        <w:rPr>
          <w:lang w:val="de-DE"/>
        </w:rPr>
        <w:t>oder Mikrowellensysteme,</w:t>
      </w:r>
      <w:r w:rsidR="009169FB" w:rsidRPr="004676F5">
        <w:rPr>
          <w:lang w:val="de-DE"/>
        </w:rPr>
        <w:t xml:space="preserve"> [unabhängig davon, wie der Betreiber eines Kabelweiterverbreitungsdienstes die programmtragenden Signale von dem Sendeunternehmen für die Weiterverbreitung erlangt,]</w:t>
      </w:r>
    </w:p>
    <w:p w14:paraId="7AB27686" w14:textId="77777777" w:rsidR="00DE19D1" w:rsidRPr="004676F5" w:rsidRDefault="00DE19D1" w:rsidP="00375BBA">
      <w:pPr>
        <w:jc w:val="both"/>
        <w:rPr>
          <w:lang w:val="de-DE"/>
        </w:rPr>
      </w:pPr>
    </w:p>
    <w:p w14:paraId="536FCD17" w14:textId="04A4677B" w:rsidR="00DE19D1" w:rsidRPr="004676F5" w:rsidRDefault="00DE19D1" w:rsidP="00DE19D1">
      <w:pPr>
        <w:jc w:val="both"/>
        <w:rPr>
          <w:rFonts w:eastAsia="Calibri"/>
          <w:kern w:val="2"/>
          <w:lang w:val="de-DE"/>
          <w14:ligatures w14:val="standardContextual"/>
        </w:rPr>
      </w:pPr>
      <w:r w:rsidRPr="004676F5">
        <w:rPr>
          <w:lang w:val="de-DE"/>
        </w:rPr>
        <w:tab/>
        <w:t>[3/1. Weiterverbreitung: eine zum öffentlichen Empfang bestimmte zeitgleiche, unveränderte und vollständige Weiterverbreitung einer Erstsendung von zum öffentlichen Empfang bestimmten Fernseh</w:t>
      </w:r>
      <w:r w:rsidR="005B7A5C" w:rsidRPr="004676F5">
        <w:rPr>
          <w:lang w:val="de-DE"/>
        </w:rPr>
        <w:t>- </w:t>
      </w:r>
      <w:r w:rsidRPr="004676F5">
        <w:rPr>
          <w:lang w:val="de-DE"/>
        </w:rPr>
        <w:t>und Hörfunkprogrammen, ausgenommen die Kabelweiter</w:t>
      </w:r>
      <w:r w:rsidRPr="004676F5">
        <w:rPr>
          <w:lang w:val="de-DE"/>
        </w:rPr>
        <w:softHyphen/>
        <w:t>verbreitung, sofern diese Erstsendung drahtgebunden oder drahtlos, einschließlich über Satellit, aber nicht online erfolgt, vorausgesetzt:</w:t>
      </w:r>
    </w:p>
    <w:p w14:paraId="031BD2B0" w14:textId="77777777" w:rsidR="00DE19D1" w:rsidRPr="004676F5" w:rsidRDefault="00DE19D1" w:rsidP="00DE19D1">
      <w:pPr>
        <w:jc w:val="both"/>
        <w:rPr>
          <w:rFonts w:eastAsia="Calibri"/>
          <w:kern w:val="2"/>
          <w:lang w:val="de-DE"/>
          <w14:ligatures w14:val="standardContextual"/>
        </w:rPr>
      </w:pPr>
    </w:p>
    <w:p w14:paraId="5D6E498E" w14:textId="77777777" w:rsidR="00DE19D1" w:rsidRPr="004676F5" w:rsidRDefault="00DE19D1" w:rsidP="00DE19D1">
      <w:pPr>
        <w:jc w:val="both"/>
        <w:rPr>
          <w:rFonts w:eastAsia="Calibri"/>
          <w:kern w:val="2"/>
          <w:lang w:val="de-DE"/>
          <w14:ligatures w14:val="standardContextual"/>
        </w:rPr>
      </w:pPr>
      <w:r w:rsidRPr="004676F5">
        <w:rPr>
          <w:lang w:val="de-DE"/>
        </w:rPr>
        <w:tab/>
      </w:r>
      <w:r w:rsidRPr="004676F5">
        <w:rPr>
          <w:i/>
          <w:lang w:val="de-DE"/>
        </w:rPr>
        <w:t>a)</w:t>
      </w:r>
      <w:r w:rsidRPr="004676F5">
        <w:rPr>
          <w:lang w:val="de-DE"/>
        </w:rPr>
        <w:t> die Weiterverbreitung erfolgt durch eine andere Partei als das Sendeunternehmen, durch das oder unter dessen Kontrolle und Verantwortung diese Erstsendung erfolgte, und zwar unabhängig davon, wie die weiterverbreitende Partei die programmtragenden Signale von dem Sendeunternehmen für die Weiterverbreitung erlangt, und</w:t>
      </w:r>
    </w:p>
    <w:p w14:paraId="6B08BF73" w14:textId="77777777" w:rsidR="00DE19D1" w:rsidRPr="004676F5" w:rsidRDefault="00DE19D1" w:rsidP="00DE19D1">
      <w:pPr>
        <w:jc w:val="both"/>
        <w:rPr>
          <w:rFonts w:eastAsia="Calibri"/>
          <w:kern w:val="2"/>
          <w:lang w:val="de-DE"/>
          <w14:ligatures w14:val="standardContextual"/>
        </w:rPr>
      </w:pPr>
    </w:p>
    <w:p w14:paraId="49A5A114" w14:textId="77777777" w:rsidR="00DE19D1" w:rsidRPr="004676F5" w:rsidRDefault="00DE19D1" w:rsidP="00DE19D1">
      <w:pPr>
        <w:jc w:val="both"/>
        <w:rPr>
          <w:rFonts w:eastAsia="Calibri"/>
          <w:kern w:val="2"/>
          <w:lang w:val="de-DE"/>
          <w14:ligatures w14:val="standardContextual"/>
        </w:rPr>
      </w:pPr>
      <w:r w:rsidRPr="004676F5">
        <w:rPr>
          <w:lang w:val="de-DE"/>
        </w:rPr>
        <w:tab/>
      </w:r>
      <w:r w:rsidRPr="004676F5">
        <w:rPr>
          <w:i/>
          <w:lang w:val="de-DE"/>
        </w:rPr>
        <w:t>b)</w:t>
      </w:r>
      <w:r w:rsidRPr="004676F5">
        <w:rPr>
          <w:lang w:val="de-DE"/>
        </w:rPr>
        <w:t> die Weiterverbreitung über einen Internetzugangsdienst im Sinne von Artikel 2 Absatz 2 Nr. 2 der Verordnung (EU) 2015/2120 erfolgt in einer geordneten Umgebung.</w:t>
      </w:r>
    </w:p>
    <w:p w14:paraId="7221514E" w14:textId="77777777" w:rsidR="00DE19D1" w:rsidRPr="004676F5" w:rsidRDefault="00DE19D1" w:rsidP="00DE19D1">
      <w:pPr>
        <w:jc w:val="both"/>
        <w:rPr>
          <w:rFonts w:eastAsia="Calibri"/>
          <w:kern w:val="2"/>
          <w:lang w:val="de-DE"/>
          <w14:ligatures w14:val="standardContextual"/>
        </w:rPr>
      </w:pPr>
    </w:p>
    <w:p w14:paraId="006799DA" w14:textId="033923C3" w:rsidR="00DE19D1" w:rsidRPr="004676F5" w:rsidRDefault="00DE19D1" w:rsidP="00DE19D1">
      <w:pPr>
        <w:jc w:val="both"/>
        <w:rPr>
          <w:lang w:val="de-DE"/>
        </w:rPr>
      </w:pPr>
      <w:r w:rsidRPr="004676F5">
        <w:rPr>
          <w:lang w:val="de-DE"/>
        </w:rPr>
        <w:lastRenderedPageBreak/>
        <w:tab/>
        <w:t>Eine geordnete Umgebung ist eine Umgebung, in der der Betreiber von Weiterver</w:t>
      </w:r>
      <w:r w:rsidRPr="004676F5">
        <w:rPr>
          <w:lang w:val="de-DE"/>
        </w:rPr>
        <w:softHyphen/>
        <w:t>breitungsdiensten berechtigten Nutzern einen sicheren Weiterverbreitungsdienst erbringt,]</w:t>
      </w:r>
    </w:p>
    <w:p w14:paraId="7DE66A1F" w14:textId="77777777" w:rsidR="00375BBA" w:rsidRPr="004676F5" w:rsidRDefault="00375BBA" w:rsidP="00375BBA">
      <w:pPr>
        <w:jc w:val="both"/>
        <w:rPr>
          <w:lang w:val="de-DE"/>
        </w:rPr>
      </w:pPr>
    </w:p>
    <w:p w14:paraId="0B82346E" w14:textId="72773099" w:rsidR="00375BBA" w:rsidRPr="004676F5" w:rsidRDefault="00375BBA" w:rsidP="00375BBA">
      <w:pPr>
        <w:jc w:val="both"/>
        <w:rPr>
          <w:lang w:val="de-DE"/>
        </w:rPr>
      </w:pPr>
      <w:r w:rsidRPr="004676F5">
        <w:rPr>
          <w:lang w:val="de-DE"/>
        </w:rPr>
        <w:tab/>
        <w:t>4. Verwertungsgesellschaft: Gesellschaft mit Sitz in Belgien, deren ausschließlicher oder hauptsächlicher Zweck es ist, Urheberrechte oder verwandte Schutzrechte im Namen mehrerer Rechtsinhaber zu deren kollektivem Nutzen wahrzunehmen, die gesetzlich oder auf der Grundlage einer Abtretungs</w:t>
      </w:r>
      <w:r w:rsidR="005B7A5C" w:rsidRPr="004676F5">
        <w:rPr>
          <w:lang w:val="de-DE"/>
        </w:rPr>
        <w:t>- </w:t>
      </w:r>
      <w:r w:rsidRPr="004676F5">
        <w:rPr>
          <w:lang w:val="de-DE"/>
        </w:rPr>
        <w:t>oder Lizenzvereinbarung oder einer sonstigen vertraglichen Vereinbarung dazu berechtigt ist und die im Eigentum ihrer Gesellschafter steht oder von diesen beherrscht wird,</w:t>
      </w:r>
    </w:p>
    <w:p w14:paraId="1D221B88" w14:textId="77777777" w:rsidR="00375BBA" w:rsidRPr="004676F5" w:rsidRDefault="00375BBA" w:rsidP="00375BBA">
      <w:pPr>
        <w:jc w:val="both"/>
        <w:rPr>
          <w:lang w:val="de-DE"/>
        </w:rPr>
      </w:pPr>
    </w:p>
    <w:p w14:paraId="4086F364" w14:textId="798A83DA" w:rsidR="00375BBA" w:rsidRPr="004676F5" w:rsidRDefault="00375BBA" w:rsidP="00375BBA">
      <w:pPr>
        <w:jc w:val="both"/>
        <w:rPr>
          <w:lang w:val="de-DE"/>
        </w:rPr>
      </w:pPr>
      <w:r w:rsidRPr="004676F5">
        <w:rPr>
          <w:lang w:val="de-DE"/>
        </w:rPr>
        <w:tab/>
        <w:t>5. Organisation für die kollektive Rechtewahrnehmung: Organisation mit Sitz in einem anderen Mitgliedstaat der Europäischen Union, deren ausschließlicher oder hauptsächlicher Zweck es ist, Urheberrechte oder verwandte Schutzrechte im Namen mehrerer Rechtsinhaber zu deren kollektivem Nutzen wahrzunehmen, die gesetzlich oder auf der Grundlage einer Abtretungs</w:t>
      </w:r>
      <w:r w:rsidR="005B7A5C" w:rsidRPr="004676F5">
        <w:rPr>
          <w:lang w:val="de-DE"/>
        </w:rPr>
        <w:t>- </w:t>
      </w:r>
      <w:r w:rsidRPr="004676F5">
        <w:rPr>
          <w:lang w:val="de-DE"/>
        </w:rPr>
        <w:t>oder Lizenzvereinbarung oder einer sonstigen vertraglichen Vereinbarung dazu berechtigt ist und die eine oder beide der folgenden Voraussetzungen erfüllt:</w:t>
      </w:r>
    </w:p>
    <w:p w14:paraId="14342C02" w14:textId="77777777" w:rsidR="00375BBA" w:rsidRPr="004676F5" w:rsidRDefault="00375BBA" w:rsidP="00375BBA">
      <w:pPr>
        <w:jc w:val="both"/>
        <w:rPr>
          <w:lang w:val="de-DE"/>
        </w:rPr>
      </w:pPr>
    </w:p>
    <w:p w14:paraId="3088F2B0" w14:textId="77777777" w:rsidR="00375BBA" w:rsidRPr="004676F5" w:rsidRDefault="00375BBA" w:rsidP="00375BBA">
      <w:pPr>
        <w:jc w:val="both"/>
        <w:rPr>
          <w:lang w:val="de-DE"/>
        </w:rPr>
      </w:pPr>
      <w:r w:rsidRPr="004676F5">
        <w:rPr>
          <w:lang w:val="de-DE"/>
        </w:rPr>
        <w:tab/>
      </w:r>
      <w:r w:rsidRPr="004676F5">
        <w:rPr>
          <w:i/>
          <w:lang w:val="de-DE"/>
        </w:rPr>
        <w:t>a)</w:t>
      </w:r>
      <w:r w:rsidRPr="004676F5">
        <w:rPr>
          <w:lang w:val="de-DE"/>
        </w:rPr>
        <w:t> sie steht im Eigentum ihrer Mitglieder oder wird von ihren Mitgliedern beherrscht,</w:t>
      </w:r>
    </w:p>
    <w:p w14:paraId="10D318FD" w14:textId="77777777" w:rsidR="00375BBA" w:rsidRPr="004676F5" w:rsidRDefault="00375BBA" w:rsidP="00375BBA">
      <w:pPr>
        <w:jc w:val="both"/>
        <w:rPr>
          <w:lang w:val="de-DE"/>
        </w:rPr>
      </w:pPr>
    </w:p>
    <w:p w14:paraId="0D726D97" w14:textId="77777777" w:rsidR="00375BBA" w:rsidRPr="004676F5" w:rsidRDefault="00375BBA" w:rsidP="00375BBA">
      <w:pPr>
        <w:jc w:val="both"/>
        <w:rPr>
          <w:lang w:val="de-DE"/>
        </w:rPr>
      </w:pPr>
      <w:r w:rsidRPr="004676F5">
        <w:rPr>
          <w:lang w:val="de-DE"/>
        </w:rPr>
        <w:tab/>
      </w:r>
      <w:r w:rsidRPr="004676F5">
        <w:rPr>
          <w:i/>
          <w:lang w:val="de-DE"/>
        </w:rPr>
        <w:t>b)</w:t>
      </w:r>
      <w:r w:rsidRPr="004676F5">
        <w:rPr>
          <w:lang w:val="de-DE"/>
        </w:rPr>
        <w:t> sie ist nicht auf Gewinnerzielung ausgerichtet,</w:t>
      </w:r>
    </w:p>
    <w:p w14:paraId="79E2FEDC" w14:textId="77777777" w:rsidR="00375BBA" w:rsidRPr="004676F5" w:rsidRDefault="00375BBA" w:rsidP="00375BBA">
      <w:pPr>
        <w:jc w:val="both"/>
        <w:rPr>
          <w:lang w:val="de-DE"/>
        </w:rPr>
      </w:pPr>
    </w:p>
    <w:p w14:paraId="1458494B" w14:textId="2CF5129A" w:rsidR="00375BBA" w:rsidRPr="004676F5" w:rsidRDefault="00375BBA" w:rsidP="00375BBA">
      <w:pPr>
        <w:jc w:val="both"/>
        <w:rPr>
          <w:lang w:val="de-DE"/>
        </w:rPr>
      </w:pPr>
      <w:r w:rsidRPr="004676F5">
        <w:rPr>
          <w:lang w:val="de-DE"/>
        </w:rPr>
        <w:tab/>
        <w:t>6. unabhängige Verwertungseinrichtung: Organisation mit Sitz in einem Mitgliedstaat der Europäischen Union, deren ausschließlicher oder hauptsächlicher Zweck es ist, Urheberrechte oder verwandte Schutzrechte im Namen mehrerer Rechtsinhaber zu deren kollektivem Nutzen wahrzunehmen, die gesetzlich oder auf der Grundlage einer Abtretungs</w:t>
      </w:r>
      <w:r w:rsidR="005B7A5C" w:rsidRPr="004676F5">
        <w:rPr>
          <w:lang w:val="de-DE"/>
        </w:rPr>
        <w:t>- </w:t>
      </w:r>
      <w:r w:rsidRPr="004676F5">
        <w:rPr>
          <w:lang w:val="de-DE"/>
        </w:rPr>
        <w:t>oder Lizenzvereinbarung oder einer sonstigen vertraglichen Vereinbarung dazu berechtigt ist, die weder direkt noch indirekt, vollständig oder teilweise im Eigentum der Rechtsinhaber steht noch direkt oder indirekt, vollständig oder teilweise von den Rechtsinhabern beherrscht wird und die auf Gewinnerzielung ausgerichtet ist</w:t>
      </w:r>
      <w:r w:rsidR="007F5A05" w:rsidRPr="004676F5">
        <w:rPr>
          <w:lang w:val="de-DE"/>
        </w:rPr>
        <w:t>,</w:t>
      </w:r>
    </w:p>
    <w:p w14:paraId="52CB0B2F" w14:textId="77777777" w:rsidR="007F5A05" w:rsidRPr="004676F5" w:rsidRDefault="007F5A05" w:rsidP="00375BBA">
      <w:pPr>
        <w:jc w:val="both"/>
        <w:rPr>
          <w:lang w:val="de-DE"/>
        </w:rPr>
      </w:pPr>
    </w:p>
    <w:p w14:paraId="0589BA21" w14:textId="5F6C7B50" w:rsidR="007F5A05" w:rsidRPr="004676F5" w:rsidRDefault="007F5A05" w:rsidP="00375BBA">
      <w:pPr>
        <w:jc w:val="both"/>
        <w:rPr>
          <w:lang w:val="de-DE"/>
        </w:rPr>
      </w:pPr>
      <w:r w:rsidRPr="004676F5">
        <w:rPr>
          <w:lang w:val="de-DE"/>
        </w:rPr>
        <w:tab/>
        <w:t>[7. </w:t>
      </w:r>
      <w:r w:rsidR="00DE19D1" w:rsidRPr="004676F5">
        <w:rPr>
          <w:lang w:val="de-DE"/>
        </w:rPr>
        <w:t>[Direkteinspeisung: ein technisches Verfahren, bei dem ein Sendeunternehmen einem Signalverteiler seine programmtragenden Signale in einer Weise übermittelt, dass sie der Öffentlichkeit während dieser Übertragung nicht zugänglich sind,]</w:t>
      </w:r>
      <w:r w:rsidRPr="004676F5">
        <w:rPr>
          <w:lang w:val="de-DE"/>
        </w:rPr>
        <w:t>]</w:t>
      </w:r>
    </w:p>
    <w:p w14:paraId="2AF29B7E" w14:textId="77777777" w:rsidR="00DE19D1" w:rsidRPr="004676F5" w:rsidRDefault="00DE19D1" w:rsidP="00375BBA">
      <w:pPr>
        <w:jc w:val="both"/>
        <w:rPr>
          <w:lang w:val="de-DE"/>
        </w:rPr>
      </w:pPr>
    </w:p>
    <w:p w14:paraId="23F94A7D" w14:textId="73F8D8C0" w:rsidR="00DE19D1" w:rsidRPr="004676F5" w:rsidRDefault="00DE19D1" w:rsidP="00375BBA">
      <w:pPr>
        <w:jc w:val="both"/>
        <w:rPr>
          <w:lang w:val="de-DE"/>
        </w:rPr>
      </w:pPr>
      <w:r w:rsidRPr="004676F5">
        <w:rPr>
          <w:lang w:val="de-DE"/>
        </w:rPr>
        <w:tab/>
        <w:t>[8. ergänzender Online-Dienst: Dienst, der darin besteht, dass durch ein Sende</w:t>
      </w:r>
      <w:r w:rsidRPr="004676F5">
        <w:rPr>
          <w:lang w:val="de-DE"/>
        </w:rPr>
        <w:softHyphen/>
        <w:t>unternehmen oder unter dessen Kontrolle und Verantwortung Fernseh</w:t>
      </w:r>
      <w:r w:rsidR="005B7A5C" w:rsidRPr="004676F5">
        <w:rPr>
          <w:lang w:val="de-DE"/>
        </w:rPr>
        <w:t>- </w:t>
      </w:r>
      <w:r w:rsidRPr="004676F5">
        <w:rPr>
          <w:lang w:val="de-DE"/>
        </w:rPr>
        <w:t>oder Hörfunk</w:t>
      </w:r>
      <w:r w:rsidRPr="004676F5">
        <w:rPr>
          <w:lang w:val="de-DE"/>
        </w:rPr>
        <w:softHyphen/>
        <w:t>programme zeitgleich mit oder für einen begrenzten Zeitraum nach ihrer Übertragung durch das Sendeunternehmen sowie alle Materialien, die eine derartige Übertragung ergänzen, online öffentlich bereitgestellt werden.]</w:t>
      </w:r>
    </w:p>
    <w:p w14:paraId="1A007008" w14:textId="77777777" w:rsidR="00375BBA" w:rsidRPr="004676F5" w:rsidRDefault="00375BBA" w:rsidP="00375BBA">
      <w:pPr>
        <w:jc w:val="both"/>
        <w:rPr>
          <w:lang w:val="de-DE"/>
        </w:rPr>
      </w:pPr>
    </w:p>
    <w:p w14:paraId="004A5AB7" w14:textId="1986F60D" w:rsidR="00A37D44" w:rsidRPr="004676F5" w:rsidRDefault="00A37D44" w:rsidP="00A37D44">
      <w:pPr>
        <w:ind w:firstLine="708"/>
        <w:jc w:val="both"/>
        <w:rPr>
          <w:lang w:val="de-DE"/>
        </w:rPr>
      </w:pPr>
      <w:r w:rsidRPr="004676F5">
        <w:rPr>
          <w:lang w:val="de-DE"/>
        </w:rPr>
        <w:t>[§ 1/1 </w:t>
      </w:r>
      <w:r w:rsidR="005B7A5C" w:rsidRPr="004676F5">
        <w:rPr>
          <w:lang w:val="de-DE"/>
        </w:rPr>
        <w:t>- </w:t>
      </w:r>
      <w:r w:rsidRPr="004676F5">
        <w:rPr>
          <w:lang w:val="de-DE"/>
        </w:rPr>
        <w:t>Folgende Begriffsbestimmungen gelten für Buch XI Titel 5 Kapitel 2 Artikel XI.190 Nr. 18 und 19, XI.217 Nr. 17 und 18 und Kapitel 8/2, Titel 6 Artikel XI.299 § 4 und Titel 7 Kapitel 3 Artikel XI.310 § 2:</w:t>
      </w:r>
    </w:p>
    <w:p w14:paraId="3F86DC85" w14:textId="77777777" w:rsidR="00A37D44" w:rsidRPr="004676F5" w:rsidRDefault="00A37D44" w:rsidP="00A37D44">
      <w:pPr>
        <w:ind w:firstLine="708"/>
        <w:jc w:val="both"/>
        <w:rPr>
          <w:lang w:val="de-DE"/>
        </w:rPr>
      </w:pPr>
    </w:p>
    <w:p w14:paraId="33C6C371" w14:textId="77777777" w:rsidR="00A37D44" w:rsidRPr="004676F5" w:rsidRDefault="00A37D44" w:rsidP="00A37D44">
      <w:pPr>
        <w:ind w:firstLine="708"/>
        <w:jc w:val="both"/>
        <w:rPr>
          <w:lang w:val="de-DE"/>
        </w:rPr>
      </w:pPr>
      <w:r w:rsidRPr="004676F5">
        <w:rPr>
          <w:lang w:val="de-DE"/>
        </w:rPr>
        <w:t>1. Werk oder Leistung: Werk in Form eines Buches, einer Zeitung, einer Zeitschrift, eines Magazins oder anderen Schriftstücks, Notationen einschließlich Notenblättern, und zugehörige Illustrationen in jeder Medienform, auch in Audioformat wie Hörbücher, und in digitaler Form, das urheberrechtlich oder durch verwandte Schutzrechte geschützt ist und das veröffentlicht oder anderweitig rechtmäßig öffentlich zugänglich gemacht wurde,</w:t>
      </w:r>
    </w:p>
    <w:p w14:paraId="6B44A834" w14:textId="77777777" w:rsidR="00A37D44" w:rsidRPr="004676F5" w:rsidRDefault="00A37D44" w:rsidP="00A37D44">
      <w:pPr>
        <w:ind w:firstLine="708"/>
        <w:jc w:val="both"/>
        <w:rPr>
          <w:lang w:val="de-DE"/>
        </w:rPr>
      </w:pPr>
    </w:p>
    <w:p w14:paraId="3744C9F7" w14:textId="77777777" w:rsidR="0073238E" w:rsidRPr="004676F5" w:rsidRDefault="0073238E">
      <w:pPr>
        <w:rPr>
          <w:lang w:val="de-DE"/>
        </w:rPr>
      </w:pPr>
      <w:r w:rsidRPr="004676F5">
        <w:rPr>
          <w:lang w:val="de-DE"/>
        </w:rPr>
        <w:br w:type="page"/>
      </w:r>
    </w:p>
    <w:p w14:paraId="43F5D125" w14:textId="67DD7E57" w:rsidR="00A37D44" w:rsidRPr="004676F5" w:rsidRDefault="00A37D44" w:rsidP="00A37D44">
      <w:pPr>
        <w:ind w:firstLine="708"/>
        <w:jc w:val="both"/>
        <w:rPr>
          <w:lang w:val="de-DE"/>
        </w:rPr>
      </w:pPr>
      <w:r w:rsidRPr="004676F5">
        <w:rPr>
          <w:lang w:val="de-DE"/>
        </w:rPr>
        <w:lastRenderedPageBreak/>
        <w:t>2. begünstigte Person: unabhängig von weiteren Behinderungen, Person:</w:t>
      </w:r>
    </w:p>
    <w:p w14:paraId="486554D4" w14:textId="77777777" w:rsidR="00A37D44" w:rsidRPr="004676F5" w:rsidRDefault="00A37D44" w:rsidP="00A37D44">
      <w:pPr>
        <w:ind w:firstLine="708"/>
        <w:jc w:val="both"/>
        <w:rPr>
          <w:lang w:val="de-DE"/>
        </w:rPr>
      </w:pPr>
    </w:p>
    <w:p w14:paraId="7274216E" w14:textId="77777777" w:rsidR="00A37D44" w:rsidRPr="004676F5" w:rsidRDefault="00A37D44" w:rsidP="00A37D44">
      <w:pPr>
        <w:ind w:firstLine="708"/>
        <w:jc w:val="both"/>
        <w:rPr>
          <w:lang w:val="de-DE"/>
        </w:rPr>
      </w:pPr>
      <w:r w:rsidRPr="004676F5">
        <w:rPr>
          <w:i/>
          <w:lang w:val="de-DE"/>
        </w:rPr>
        <w:t>a)</w:t>
      </w:r>
      <w:r w:rsidRPr="004676F5">
        <w:rPr>
          <w:lang w:val="de-DE"/>
        </w:rPr>
        <w:t> die blind ist,</w:t>
      </w:r>
    </w:p>
    <w:p w14:paraId="6C335FAF" w14:textId="77777777" w:rsidR="00A37D44" w:rsidRPr="004676F5" w:rsidRDefault="00A37D44" w:rsidP="00A37D44">
      <w:pPr>
        <w:ind w:firstLine="708"/>
        <w:jc w:val="both"/>
        <w:rPr>
          <w:lang w:val="de-DE"/>
        </w:rPr>
      </w:pPr>
    </w:p>
    <w:p w14:paraId="09EABDFB" w14:textId="77777777" w:rsidR="00A37D44" w:rsidRPr="004676F5" w:rsidRDefault="00A37D44" w:rsidP="00A37D44">
      <w:pPr>
        <w:ind w:firstLine="708"/>
        <w:jc w:val="both"/>
        <w:rPr>
          <w:lang w:val="de-DE"/>
        </w:rPr>
      </w:pPr>
      <w:r w:rsidRPr="004676F5">
        <w:rPr>
          <w:i/>
          <w:lang w:val="de-DE"/>
        </w:rPr>
        <w:t>b)</w:t>
      </w:r>
      <w:r w:rsidRPr="004676F5">
        <w:rPr>
          <w:lang w:val="de-DE"/>
        </w:rPr>
        <w:t> mit einer Sehbehinderung, die nicht so weit ausgeglichen werden kann, dass die Person über eine Sehfunktion verfügt, die der einer Person ohne eine solche Beeinträchtigung im Wesentlichen gleichwertig ist, und die infolgedessen nicht in der Lage ist, Druckwerke in im Wesentlichen gleicher Weise wie eine Person ohne eine solche Beeinträchtigung zu lesen,</w:t>
      </w:r>
    </w:p>
    <w:p w14:paraId="0D86EDF9" w14:textId="77777777" w:rsidR="00A37D44" w:rsidRPr="004676F5" w:rsidRDefault="00A37D44" w:rsidP="00A37D44">
      <w:pPr>
        <w:ind w:firstLine="708"/>
        <w:jc w:val="both"/>
        <w:rPr>
          <w:lang w:val="de-DE"/>
        </w:rPr>
      </w:pPr>
    </w:p>
    <w:p w14:paraId="0C642E3F" w14:textId="77777777" w:rsidR="00A37D44" w:rsidRPr="004676F5" w:rsidRDefault="00A37D44" w:rsidP="00A37D44">
      <w:pPr>
        <w:ind w:firstLine="708"/>
        <w:jc w:val="both"/>
        <w:rPr>
          <w:lang w:val="de-DE"/>
        </w:rPr>
      </w:pPr>
      <w:r w:rsidRPr="004676F5">
        <w:rPr>
          <w:i/>
          <w:lang w:val="de-DE"/>
        </w:rPr>
        <w:t>c)</w:t>
      </w:r>
      <w:r w:rsidRPr="004676F5">
        <w:rPr>
          <w:lang w:val="de-DE"/>
        </w:rPr>
        <w:t> mit einer Wahrnehmungsstörung oder Lesebehinderung, die infolgedessen nicht in der Lage ist, Druckwerke in im Wesentlichen gleicher Weise wie eine Person ohne eine solche Behinderung zu lesen, oder</w:t>
      </w:r>
    </w:p>
    <w:p w14:paraId="7A4ED09E" w14:textId="77777777" w:rsidR="00A37D44" w:rsidRPr="004676F5" w:rsidRDefault="00A37D44" w:rsidP="00A37D44">
      <w:pPr>
        <w:ind w:firstLine="708"/>
        <w:jc w:val="both"/>
        <w:rPr>
          <w:lang w:val="de-DE"/>
        </w:rPr>
      </w:pPr>
    </w:p>
    <w:p w14:paraId="3CA64445" w14:textId="77777777" w:rsidR="00A37D44" w:rsidRPr="004676F5" w:rsidRDefault="00A37D44" w:rsidP="00A37D44">
      <w:pPr>
        <w:ind w:firstLine="708"/>
        <w:jc w:val="both"/>
        <w:rPr>
          <w:lang w:val="de-DE"/>
        </w:rPr>
      </w:pPr>
      <w:r w:rsidRPr="004676F5">
        <w:rPr>
          <w:i/>
          <w:lang w:val="de-DE"/>
        </w:rPr>
        <w:t>d)</w:t>
      </w:r>
      <w:r w:rsidRPr="004676F5">
        <w:rPr>
          <w:lang w:val="de-DE"/>
        </w:rPr>
        <w:t> die aufgrund einer körperlichen Behinderung nicht in der Lage ist, ein Buch zu halten oder handzuhaben oder ihre Augen in dem Umfang zu fokussieren oder zu bewegen, wie es für das Lesen normalerweise erforderlich wäre,</w:t>
      </w:r>
    </w:p>
    <w:p w14:paraId="5195E31B" w14:textId="77777777" w:rsidR="00A37D44" w:rsidRPr="004676F5" w:rsidRDefault="00A37D44" w:rsidP="00A37D44">
      <w:pPr>
        <w:ind w:firstLine="708"/>
        <w:jc w:val="both"/>
        <w:rPr>
          <w:lang w:val="de-DE"/>
        </w:rPr>
      </w:pPr>
    </w:p>
    <w:p w14:paraId="7E366D0E" w14:textId="77777777" w:rsidR="00A37D44" w:rsidRPr="004676F5" w:rsidRDefault="00A37D44" w:rsidP="00A37D44">
      <w:pPr>
        <w:ind w:firstLine="708"/>
        <w:jc w:val="both"/>
        <w:rPr>
          <w:lang w:val="de-DE"/>
        </w:rPr>
      </w:pPr>
      <w:r w:rsidRPr="004676F5">
        <w:rPr>
          <w:lang w:val="de-DE"/>
        </w:rPr>
        <w:t>3. Vervielfältigungsstück in einem barrierefreien Format: Vervielfältigungsstück eines Werkes oder einer Leistung in alternativer Weise oder alternativer Form, die einer begünstigten Person Zugang zu dem Werk oder der Leistung gibt; darunter fallen auch Vervielfältigungsstücke, die es einer solchen Person ermöglichen, sich einen genauso leichten und komfortablen Zugang zu verschaffen wie eine Person ohne eine der in Nr. 2 erwähnten Beeinträchtigungen oder Behinderungen,</w:t>
      </w:r>
    </w:p>
    <w:p w14:paraId="0902A1A8" w14:textId="77777777" w:rsidR="00A37D44" w:rsidRPr="004676F5" w:rsidRDefault="00A37D44" w:rsidP="00A37D44">
      <w:pPr>
        <w:ind w:firstLine="708"/>
        <w:jc w:val="both"/>
        <w:rPr>
          <w:lang w:val="de-DE"/>
        </w:rPr>
      </w:pPr>
    </w:p>
    <w:p w14:paraId="686EE6C7" w14:textId="54131089" w:rsidR="00A37D44" w:rsidRPr="004676F5" w:rsidRDefault="00A37D44" w:rsidP="00A37D44">
      <w:pPr>
        <w:jc w:val="both"/>
        <w:rPr>
          <w:lang w:val="de-DE"/>
        </w:rPr>
      </w:pPr>
      <w:r w:rsidRPr="004676F5">
        <w:rPr>
          <w:lang w:val="de-DE"/>
        </w:rPr>
        <w:tab/>
        <w:t>4. befugte Stelle: Stelle, die von einem Mitgliedstaat der Europäischen Union befugt wurde, Ausbildung, Schulung und adaptiven Lese</w:t>
      </w:r>
      <w:r w:rsidR="005B7A5C" w:rsidRPr="004676F5">
        <w:rPr>
          <w:lang w:val="de-DE"/>
        </w:rPr>
        <w:t>- </w:t>
      </w:r>
      <w:r w:rsidRPr="004676F5">
        <w:rPr>
          <w:lang w:val="de-DE"/>
        </w:rPr>
        <w:t>oder Informationszugang für begünstigte Personen in gemeinnütziger Weise bereitzustellen, oder für diese Tätigkeiten von einem Mitgliedstaat der Europäischen Union anerkannt wurde. Das umfasst auch öffentliche Einrichtungen oder gemeinnützige Organisationen, die als eine ihrer Kerntätigkeiten, institutionellen Aufgaben oder als Teil ihrer im Gemeinwohl liegenden Aufgaben begünstigten Personen dieselben Dienste anbieten.]</w:t>
      </w:r>
    </w:p>
    <w:p w14:paraId="1337A16B" w14:textId="77777777" w:rsidR="004C10A2" w:rsidRPr="004676F5" w:rsidRDefault="004C10A2">
      <w:pPr>
        <w:rPr>
          <w:lang w:val="de-DE"/>
        </w:rPr>
      </w:pPr>
    </w:p>
    <w:p w14:paraId="1DD695B6" w14:textId="71E4CEA8" w:rsidR="00375BBA" w:rsidRPr="004676F5" w:rsidRDefault="00375BBA" w:rsidP="0099437F">
      <w:pPr>
        <w:ind w:firstLine="708"/>
        <w:jc w:val="both"/>
        <w:rPr>
          <w:lang w:val="de-DE"/>
        </w:rPr>
      </w:pPr>
      <w:r w:rsidRPr="004676F5">
        <w:rPr>
          <w:lang w:val="de-DE"/>
        </w:rPr>
        <w:t>§ 2 </w:t>
      </w:r>
      <w:r w:rsidR="005B7A5C" w:rsidRPr="004676F5">
        <w:rPr>
          <w:lang w:val="de-DE"/>
        </w:rPr>
        <w:t>- </w:t>
      </w:r>
      <w:r w:rsidRPr="004676F5">
        <w:rPr>
          <w:lang w:val="de-DE"/>
        </w:rPr>
        <w:t>Folgende Begriffsbestimmungen gelten für § 1 Nr. 4, 5 und 6 und Buch XI Titel 5 Kapitel 9:</w:t>
      </w:r>
    </w:p>
    <w:p w14:paraId="4C3A2070" w14:textId="77777777" w:rsidR="00375BBA" w:rsidRPr="004676F5" w:rsidRDefault="00375BBA" w:rsidP="00375BBA">
      <w:pPr>
        <w:jc w:val="both"/>
        <w:rPr>
          <w:lang w:val="de-DE"/>
        </w:rPr>
      </w:pPr>
    </w:p>
    <w:p w14:paraId="6CFB40CD" w14:textId="77777777" w:rsidR="00375BBA" w:rsidRPr="004676F5" w:rsidRDefault="00375BBA" w:rsidP="00375BBA">
      <w:pPr>
        <w:jc w:val="both"/>
        <w:rPr>
          <w:lang w:val="de-DE"/>
        </w:rPr>
      </w:pPr>
      <w:r w:rsidRPr="004676F5">
        <w:rPr>
          <w:lang w:val="de-DE"/>
        </w:rPr>
        <w:tab/>
        <w:t>1. Rechtsinhaber: natürliche oder juristische Person mit Ausnahme von Verwertungs</w:t>
      </w:r>
      <w:r w:rsidRPr="004676F5">
        <w:rPr>
          <w:lang w:val="de-DE"/>
        </w:rPr>
        <w:softHyphen/>
        <w:t>ge</w:t>
      </w:r>
      <w:r w:rsidRPr="004676F5">
        <w:rPr>
          <w:lang w:val="de-DE"/>
        </w:rPr>
        <w:softHyphen/>
        <w:t>sell</w:t>
      </w:r>
      <w:r w:rsidRPr="004676F5">
        <w:rPr>
          <w:lang w:val="de-DE"/>
        </w:rPr>
        <w:softHyphen/>
        <w:t>schaften oder Organisationen für die kollektive Rechtewahrnehmung, die Inhaber eines Urheberrechts oder eines verwandten Schutzrechts ist oder die aufgrund eines Rechtever</w:t>
      </w:r>
      <w:r w:rsidRPr="004676F5">
        <w:rPr>
          <w:lang w:val="de-DE"/>
        </w:rPr>
        <w:softHyphen/>
        <w:t>wer</w:t>
      </w:r>
      <w:r w:rsidRPr="004676F5">
        <w:rPr>
          <w:lang w:val="de-DE"/>
        </w:rPr>
        <w:softHyphen/>
        <w:t>tungs</w:t>
      </w:r>
      <w:r w:rsidRPr="004676F5">
        <w:rPr>
          <w:lang w:val="de-DE"/>
        </w:rPr>
        <w:softHyphen/>
        <w:t>vertrags oder gesetzlich Anspruch auf einen Anteil an den Einnahmen aus den Rechten hat,</w:t>
      </w:r>
    </w:p>
    <w:p w14:paraId="7DF1E9B0" w14:textId="77777777" w:rsidR="00375BBA" w:rsidRPr="004676F5" w:rsidRDefault="00375BBA" w:rsidP="00375BBA">
      <w:pPr>
        <w:jc w:val="both"/>
        <w:rPr>
          <w:lang w:val="de-DE"/>
        </w:rPr>
      </w:pPr>
    </w:p>
    <w:p w14:paraId="449EF076" w14:textId="77777777" w:rsidR="00375BBA" w:rsidRPr="004676F5" w:rsidRDefault="00375BBA" w:rsidP="00375BBA">
      <w:pPr>
        <w:jc w:val="both"/>
        <w:rPr>
          <w:lang w:val="de-DE"/>
        </w:rPr>
      </w:pPr>
      <w:r w:rsidRPr="004676F5">
        <w:rPr>
          <w:lang w:val="de-DE"/>
        </w:rPr>
        <w:tab/>
        <w:t>2. Gesellschafter: ein Rechtsinhaber oder eine Einrichtung, die Rechtsinhaber vertritt, einschließlich anderer Verwertungsgesellschaften, Organisationen für die kollektive Rechtewahrnehmung und Vereinigungen von Rechtsinhabern, die die Bedingungen für die Mitgliedschaft in der Verwertungsgesellschaft erfüllen und von dieser aufgenommen wurden,</w:t>
      </w:r>
    </w:p>
    <w:p w14:paraId="207BAB85" w14:textId="77777777" w:rsidR="00375BBA" w:rsidRPr="004676F5" w:rsidRDefault="00375BBA" w:rsidP="00375BBA">
      <w:pPr>
        <w:jc w:val="both"/>
        <w:rPr>
          <w:lang w:val="de-DE"/>
        </w:rPr>
      </w:pPr>
    </w:p>
    <w:p w14:paraId="436FE030" w14:textId="77777777" w:rsidR="00375BBA" w:rsidRPr="004676F5" w:rsidRDefault="00375BBA" w:rsidP="00375BBA">
      <w:pPr>
        <w:jc w:val="both"/>
        <w:rPr>
          <w:lang w:val="de-DE"/>
        </w:rPr>
      </w:pPr>
      <w:r w:rsidRPr="004676F5">
        <w:rPr>
          <w:lang w:val="de-DE"/>
        </w:rPr>
        <w:tab/>
        <w:t>3. Mitglied: ein Rechtsinhaber oder eine Einrichtung, die Rechtsinhaber vertritt, einschließlich anderer Verwertungsgesellschaften, Organisationen für die kollektive Rechte</w:t>
      </w:r>
      <w:r w:rsidRPr="004676F5">
        <w:rPr>
          <w:lang w:val="de-DE"/>
        </w:rPr>
        <w:softHyphen/>
        <w:t>wahrnehmung und Vereinigungen von Rechtsinhabern, die die Bedingungen für die Mitglied</w:t>
      </w:r>
      <w:r w:rsidRPr="004676F5">
        <w:rPr>
          <w:lang w:val="de-DE"/>
        </w:rPr>
        <w:softHyphen/>
        <w:t>schaft in der Organisation für die kollektive Rechtewahrnehmung erfüllen und von dieser aufgenommen wurden,</w:t>
      </w:r>
    </w:p>
    <w:p w14:paraId="35F8673B" w14:textId="77777777" w:rsidR="00375BBA" w:rsidRPr="004676F5" w:rsidRDefault="00375BBA" w:rsidP="00375BBA">
      <w:pPr>
        <w:jc w:val="both"/>
        <w:rPr>
          <w:lang w:val="de-DE"/>
        </w:rPr>
      </w:pPr>
    </w:p>
    <w:p w14:paraId="159D1B74" w14:textId="2E215DC0" w:rsidR="00375BBA" w:rsidRPr="004676F5" w:rsidRDefault="00375BBA" w:rsidP="00375BBA">
      <w:pPr>
        <w:jc w:val="both"/>
        <w:rPr>
          <w:lang w:val="de-DE"/>
        </w:rPr>
      </w:pPr>
      <w:r w:rsidRPr="004676F5">
        <w:rPr>
          <w:lang w:val="de-DE"/>
        </w:rPr>
        <w:tab/>
        <w:t>4. Einnahmen aus den Rechten: von einer Verwertungsgesellschaft oder Organisation für die kollektive Rechtewahrnehmung für die Rechtsinhaber eingenommene Beträge aus einem ausschließlichen Recht oder einem Vergütungs</w:t>
      </w:r>
      <w:r w:rsidR="005B7A5C" w:rsidRPr="004676F5">
        <w:rPr>
          <w:lang w:val="de-DE"/>
        </w:rPr>
        <w:t>- </w:t>
      </w:r>
      <w:r w:rsidRPr="004676F5">
        <w:rPr>
          <w:lang w:val="de-DE"/>
        </w:rPr>
        <w:t>oder Ausgleichsanspruch,</w:t>
      </w:r>
    </w:p>
    <w:p w14:paraId="4732DC86" w14:textId="77777777" w:rsidR="00375BBA" w:rsidRPr="004676F5" w:rsidRDefault="00375BBA" w:rsidP="00375BBA">
      <w:pPr>
        <w:jc w:val="both"/>
        <w:rPr>
          <w:lang w:val="de-DE"/>
        </w:rPr>
      </w:pPr>
    </w:p>
    <w:p w14:paraId="0542E10B" w14:textId="77777777" w:rsidR="00375BBA" w:rsidRPr="004676F5" w:rsidRDefault="00375BBA" w:rsidP="00375BBA">
      <w:pPr>
        <w:jc w:val="both"/>
        <w:rPr>
          <w:lang w:val="de-DE"/>
        </w:rPr>
      </w:pPr>
      <w:r w:rsidRPr="004676F5">
        <w:rPr>
          <w:lang w:val="de-DE"/>
        </w:rPr>
        <w:tab/>
        <w:t>5. Verwaltungskosten: von einer Verwertungsgesellschaft oder Organisation für die kollektive Rechtewahrnehmung zur Deckung ihrer Kosten für die Wahrnehmung von Urheberrechten und verwandten Schutzrechten von Einnahmen aus den Rechten oder Erträgen aus der Anlage dieser Einnahmen erhobener, abgezogener oder verrechneter Betrag,</w:t>
      </w:r>
    </w:p>
    <w:p w14:paraId="71C006BC" w14:textId="77777777" w:rsidR="00375BBA" w:rsidRPr="004676F5" w:rsidRDefault="00375BBA" w:rsidP="00375BBA">
      <w:pPr>
        <w:jc w:val="both"/>
        <w:rPr>
          <w:lang w:val="de-DE"/>
        </w:rPr>
      </w:pPr>
    </w:p>
    <w:p w14:paraId="6ECF4CC9" w14:textId="77777777" w:rsidR="00375BBA" w:rsidRPr="004676F5" w:rsidRDefault="00375BBA" w:rsidP="00375BBA">
      <w:pPr>
        <w:jc w:val="both"/>
        <w:rPr>
          <w:lang w:val="de-DE"/>
        </w:rPr>
      </w:pPr>
      <w:r w:rsidRPr="004676F5">
        <w:rPr>
          <w:lang w:val="de-DE"/>
        </w:rPr>
        <w:tab/>
        <w:t>6. Repräsentationsvereinbarung: Vereinbarung zwischen Verwertungsgesellschaften und/oder Organisationen für die kollektive Rechtewahrnehmung, mit der eine Verwertungs</w:t>
      </w:r>
      <w:r w:rsidRPr="004676F5">
        <w:rPr>
          <w:lang w:val="de-DE"/>
        </w:rPr>
        <w:softHyphen/>
        <w:t>gesellschaft und/oder eine Organisation für die kollektive Rechtewahrnehmung eine andere Verwertungsgesellschaft oder eine andere Organisation für die kollektive Rechtewahrnehmung beauftragt, von ihr vertretene Rechte wahrzunehmen, einschließlich Verträge gemäß den Artikeln XI.273/8 und XI.273/9,</w:t>
      </w:r>
    </w:p>
    <w:p w14:paraId="21C1A9D7" w14:textId="77777777" w:rsidR="00375BBA" w:rsidRPr="004676F5" w:rsidRDefault="00375BBA" w:rsidP="00375BBA">
      <w:pPr>
        <w:jc w:val="both"/>
        <w:rPr>
          <w:lang w:val="de-DE"/>
        </w:rPr>
      </w:pPr>
    </w:p>
    <w:p w14:paraId="1D9D6976" w14:textId="77777777" w:rsidR="00375BBA" w:rsidRPr="004676F5" w:rsidRDefault="00375BBA" w:rsidP="00375BBA">
      <w:pPr>
        <w:jc w:val="both"/>
        <w:rPr>
          <w:lang w:val="de-DE"/>
        </w:rPr>
      </w:pPr>
      <w:r w:rsidRPr="004676F5">
        <w:rPr>
          <w:lang w:val="de-DE"/>
        </w:rPr>
        <w:tab/>
        <w:t>7. Repertoire: Werke und/oder Leistungen, in Bezug auf die eine Verwertungs</w:t>
      </w:r>
      <w:r w:rsidRPr="004676F5">
        <w:rPr>
          <w:lang w:val="de-DE"/>
        </w:rPr>
        <w:softHyphen/>
        <w:t>gesellschaft oder Organisation für die kollektive Rechtewahrnehmung die Rechte verwaltet,</w:t>
      </w:r>
    </w:p>
    <w:p w14:paraId="3AE38ADD" w14:textId="77777777" w:rsidR="00375BBA" w:rsidRPr="004676F5" w:rsidRDefault="00375BBA" w:rsidP="00375BBA">
      <w:pPr>
        <w:jc w:val="both"/>
        <w:rPr>
          <w:lang w:val="de-DE"/>
        </w:rPr>
      </w:pPr>
    </w:p>
    <w:p w14:paraId="46532690" w14:textId="77777777" w:rsidR="00375BBA" w:rsidRPr="004676F5" w:rsidRDefault="00375BBA" w:rsidP="00375BBA">
      <w:pPr>
        <w:jc w:val="both"/>
        <w:rPr>
          <w:lang w:val="de-DE"/>
        </w:rPr>
      </w:pPr>
      <w:r w:rsidRPr="004676F5">
        <w:rPr>
          <w:lang w:val="de-DE"/>
        </w:rPr>
        <w:tab/>
        <w:t>8. Mehrgebietslizenz: eine Lizenz, die sich auf das Hoheitsgebiet von mehr als einem Mitgliedstaat erstreckt,</w:t>
      </w:r>
    </w:p>
    <w:p w14:paraId="7EFB39D3" w14:textId="77777777" w:rsidR="00375BBA" w:rsidRPr="004676F5" w:rsidRDefault="00375BBA" w:rsidP="00375BBA">
      <w:pPr>
        <w:jc w:val="both"/>
        <w:rPr>
          <w:lang w:val="de-DE"/>
        </w:rPr>
      </w:pPr>
    </w:p>
    <w:p w14:paraId="06E659DA" w14:textId="77777777" w:rsidR="00375BBA" w:rsidRPr="004676F5" w:rsidRDefault="00375BBA" w:rsidP="00375BBA">
      <w:pPr>
        <w:jc w:val="both"/>
        <w:rPr>
          <w:lang w:val="de-DE"/>
        </w:rPr>
      </w:pPr>
      <w:r w:rsidRPr="004676F5">
        <w:rPr>
          <w:lang w:val="de-DE"/>
        </w:rPr>
        <w:tab/>
        <w:t>9. Online-Rechte an Musikwerken: dem Urheber zustehende Rechte an einem Musik</w:t>
      </w:r>
      <w:r w:rsidRPr="004676F5">
        <w:rPr>
          <w:lang w:val="de-DE"/>
        </w:rPr>
        <w:softHyphen/>
        <w:t>werk im Sinne von Artikel XI.165, die für die Bereitstellung eines Online-Dienstes erforderlich sind,</w:t>
      </w:r>
    </w:p>
    <w:p w14:paraId="4E11BFF5" w14:textId="77777777" w:rsidR="00375BBA" w:rsidRPr="004676F5" w:rsidRDefault="00375BBA" w:rsidP="00375BBA">
      <w:pPr>
        <w:jc w:val="both"/>
        <w:rPr>
          <w:lang w:val="de-DE"/>
        </w:rPr>
      </w:pPr>
    </w:p>
    <w:p w14:paraId="19FE09F3" w14:textId="129FB824" w:rsidR="00375BBA" w:rsidRPr="004676F5" w:rsidRDefault="00375BBA" w:rsidP="00375BBA">
      <w:pPr>
        <w:ind w:firstLine="708"/>
        <w:jc w:val="both"/>
        <w:rPr>
          <w:lang w:val="de-DE"/>
        </w:rPr>
      </w:pPr>
      <w:r w:rsidRPr="004676F5">
        <w:rPr>
          <w:lang w:val="de-DE"/>
        </w:rPr>
        <w:t>10. Mitgliedschaftsbedingungen: Bedingungen, die auf das Rechtsgeschäft anwendbar sind, durch das ein Rechtsinhaber die Wahrnehmung seiner Rechte einer Verwertungs</w:t>
      </w:r>
      <w:r w:rsidRPr="004676F5">
        <w:rPr>
          <w:lang w:val="de-DE"/>
        </w:rPr>
        <w:softHyphen/>
        <w:t>gesellschaft oder Organisation für die kollektive Rechtewahrnehmung überträgt, und auf das Rechtsgeschäft, durch das ein Rechtsinhaber Gesellschafter einer Verwertungsgesellschaft oder Mitglied einer Organisation für die kollektive Rechtewahrnehmung werden kann.]</w:t>
      </w:r>
    </w:p>
    <w:p w14:paraId="41D070FD" w14:textId="77777777" w:rsidR="00375BBA" w:rsidRPr="004676F5" w:rsidRDefault="00375BBA" w:rsidP="00375BBA">
      <w:pPr>
        <w:jc w:val="both"/>
        <w:rPr>
          <w:lang w:val="de-DE"/>
        </w:rPr>
      </w:pPr>
    </w:p>
    <w:p w14:paraId="748B7F36" w14:textId="34A6ED6D" w:rsidR="00375BBA" w:rsidRPr="004676F5" w:rsidRDefault="00375BBA" w:rsidP="00375BBA">
      <w:pPr>
        <w:jc w:val="both"/>
        <w:rPr>
          <w:i/>
          <w:lang w:val="de-DE"/>
        </w:rPr>
      </w:pPr>
      <w:r w:rsidRPr="004676F5">
        <w:rPr>
          <w:i/>
          <w:lang w:val="de-DE"/>
        </w:rPr>
        <w:t>[</w:t>
      </w:r>
      <w:r w:rsidR="00BE0A56" w:rsidRPr="004676F5">
        <w:rPr>
          <w:i/>
          <w:lang w:val="de-DE"/>
        </w:rPr>
        <w:t>Art. </w:t>
      </w:r>
      <w:r w:rsidRPr="004676F5">
        <w:rPr>
          <w:i/>
          <w:lang w:val="de-DE"/>
        </w:rPr>
        <w:t xml:space="preserve">I.16 ersetzt durch </w:t>
      </w:r>
      <w:r w:rsidR="00BE0A56" w:rsidRPr="004676F5">
        <w:rPr>
          <w:i/>
          <w:lang w:val="de-DE"/>
        </w:rPr>
        <w:t>Art. </w:t>
      </w:r>
      <w:r w:rsidRPr="004676F5">
        <w:rPr>
          <w:i/>
          <w:lang w:val="de-DE"/>
        </w:rPr>
        <w:t>2 des G. vom 8. Juni 2017 (B.S. vom 27. Juni 2017)</w:t>
      </w:r>
      <w:r w:rsidR="007F5A05" w:rsidRPr="004676F5">
        <w:rPr>
          <w:i/>
          <w:lang w:val="de-DE"/>
        </w:rPr>
        <w:t>;</w:t>
      </w:r>
      <w:r w:rsidR="009169FB" w:rsidRPr="004676F5">
        <w:rPr>
          <w:i/>
          <w:lang w:val="de-DE"/>
        </w:rPr>
        <w:t xml:space="preserve"> § 1 einziger Absatz Nr. 3 abgeändert durch Art. 2 Buchstabe b) des G. vom 1.</w:t>
      </w:r>
      <w:r w:rsidR="00DE19D1" w:rsidRPr="004676F5">
        <w:rPr>
          <w:i/>
          <w:lang w:val="de-DE"/>
        </w:rPr>
        <w:t> </w:t>
      </w:r>
      <w:r w:rsidR="009169FB" w:rsidRPr="004676F5">
        <w:rPr>
          <w:i/>
          <w:lang w:val="de-DE"/>
        </w:rPr>
        <w:t>April 2022 (B.S</w:t>
      </w:r>
      <w:r w:rsidR="00DE19D1" w:rsidRPr="004676F5">
        <w:rPr>
          <w:i/>
          <w:lang w:val="de-DE"/>
        </w:rPr>
        <w:t>.</w:t>
      </w:r>
      <w:r w:rsidR="009169FB" w:rsidRPr="004676F5">
        <w:rPr>
          <w:i/>
          <w:lang w:val="de-DE"/>
        </w:rPr>
        <w:t xml:space="preserve"> vom</w:t>
      </w:r>
      <w:r w:rsidR="007F5A05" w:rsidRPr="004676F5">
        <w:rPr>
          <w:i/>
          <w:lang w:val="de-DE"/>
        </w:rPr>
        <w:t xml:space="preserve"> </w:t>
      </w:r>
      <w:r w:rsidR="00DE19D1" w:rsidRPr="004676F5">
        <w:rPr>
          <w:i/>
          <w:lang w:val="de-DE"/>
        </w:rPr>
        <w:t xml:space="preserve">21. April 2022); § 1 einziger Absatz Nr. 3/1 eingefügt durch Art. 2 Buchstabe c) des G. vom 1. April 2022 (B.S. vom 21. April 2022); </w:t>
      </w:r>
      <w:r w:rsidR="007F5A05" w:rsidRPr="004676F5">
        <w:rPr>
          <w:i/>
          <w:lang w:val="de-DE"/>
        </w:rPr>
        <w:t xml:space="preserve">§ 1 einziger Absatz Nr. 7 eingefügt durch Art. 2 </w:t>
      </w:r>
      <w:r w:rsidR="00E43762" w:rsidRPr="004676F5">
        <w:rPr>
          <w:i/>
          <w:lang w:val="de-DE"/>
        </w:rPr>
        <w:t>des G. vom 25. November 2018 (I) (B.S. vom 12. Dezember 2018)</w:t>
      </w:r>
      <w:r w:rsidR="00DE19D1" w:rsidRPr="004676F5">
        <w:rPr>
          <w:i/>
          <w:lang w:val="de-DE"/>
        </w:rPr>
        <w:t xml:space="preserve"> und ersetzt durch Art. 2 Buchstabe d) des G. vom 1. April 2022 (B.S. vom 21. April 2022)</w:t>
      </w:r>
      <w:r w:rsidR="00A37D44" w:rsidRPr="004676F5">
        <w:rPr>
          <w:i/>
          <w:lang w:val="de-DE"/>
        </w:rPr>
        <w:t>;</w:t>
      </w:r>
      <w:r w:rsidR="00DE19D1" w:rsidRPr="004676F5">
        <w:rPr>
          <w:i/>
          <w:lang w:val="de-DE"/>
        </w:rPr>
        <w:t xml:space="preserve"> § 1 einziger Absatz Nr. 8 eingefügt durch Art. 2 Buchstabe e) des G. vom 1. April 2022 (B.S. vom 21. April 2022); </w:t>
      </w:r>
      <w:r w:rsidR="00A37D44" w:rsidRPr="004676F5">
        <w:rPr>
          <w:i/>
          <w:lang w:val="de-DE"/>
        </w:rPr>
        <w:t>§ 1/1 eingefügt durch Art. 2 des G. vom 25. November 2018 (II) (B.S. vom 12. Dezember 2018)</w:t>
      </w:r>
      <w:r w:rsidRPr="004676F5">
        <w:rPr>
          <w:i/>
          <w:lang w:val="de-DE"/>
        </w:rPr>
        <w:t>]</w:t>
      </w:r>
    </w:p>
    <w:p w14:paraId="269C2AA3" w14:textId="77777777" w:rsidR="004808C3" w:rsidRPr="004676F5" w:rsidRDefault="004808C3" w:rsidP="00375BBA">
      <w:pPr>
        <w:ind w:firstLine="708"/>
        <w:jc w:val="both"/>
        <w:rPr>
          <w:lang w:val="de-DE"/>
        </w:rPr>
      </w:pPr>
    </w:p>
    <w:p w14:paraId="501C77F8" w14:textId="77777777" w:rsidR="001527B1" w:rsidRPr="004676F5" w:rsidRDefault="001527B1" w:rsidP="004808C3">
      <w:pPr>
        <w:ind w:firstLine="708"/>
        <w:jc w:val="both"/>
        <w:rPr>
          <w:lang w:val="de-DE"/>
        </w:rPr>
      </w:pPr>
    </w:p>
    <w:p w14:paraId="6F334D3E" w14:textId="62F3C352" w:rsidR="004808C3" w:rsidRPr="004676F5" w:rsidRDefault="0095116E" w:rsidP="0095116E">
      <w:pPr>
        <w:rPr>
          <w:lang w:val="de-DE"/>
        </w:rPr>
      </w:pPr>
      <w:r w:rsidRPr="004676F5">
        <w:rPr>
          <w:b/>
          <w:lang w:val="de-DE"/>
        </w:rPr>
        <w:tab/>
      </w:r>
      <w:r w:rsidR="00BE0A56" w:rsidRPr="004676F5">
        <w:rPr>
          <w:b/>
          <w:lang w:val="de-DE"/>
        </w:rPr>
        <w:t>Art. </w:t>
      </w:r>
      <w:r w:rsidR="004808C3" w:rsidRPr="004676F5">
        <w:rPr>
          <w:b/>
          <w:lang w:val="de-DE"/>
        </w:rPr>
        <w:t>I.17</w:t>
      </w:r>
      <w:r w:rsidR="004808C3" w:rsidRPr="004676F5">
        <w:rPr>
          <w:lang w:val="de-DE"/>
        </w:rPr>
        <w:t> </w:t>
      </w:r>
      <w:r w:rsidR="005B7A5C" w:rsidRPr="004676F5">
        <w:rPr>
          <w:lang w:val="de-DE"/>
        </w:rPr>
        <w:t>- </w:t>
      </w:r>
      <w:r w:rsidR="004808C3" w:rsidRPr="004676F5">
        <w:rPr>
          <w:lang w:val="de-DE"/>
        </w:rPr>
        <w:t>Folgende Begriffsbestimmungen gelten für Buch XI Titel 7:</w:t>
      </w:r>
    </w:p>
    <w:p w14:paraId="1E272FCC" w14:textId="77777777" w:rsidR="004808C3" w:rsidRPr="004676F5" w:rsidRDefault="004808C3" w:rsidP="004808C3">
      <w:pPr>
        <w:ind w:firstLine="708"/>
        <w:jc w:val="both"/>
        <w:rPr>
          <w:lang w:val="de-DE"/>
        </w:rPr>
      </w:pPr>
    </w:p>
    <w:p w14:paraId="60616AB7" w14:textId="77777777" w:rsidR="004808C3" w:rsidRPr="004676F5" w:rsidRDefault="004808C3" w:rsidP="004808C3">
      <w:pPr>
        <w:ind w:firstLine="708"/>
        <w:jc w:val="both"/>
        <w:rPr>
          <w:lang w:val="de-DE"/>
        </w:rPr>
      </w:pPr>
      <w:r w:rsidRPr="004676F5">
        <w:rPr>
          <w:lang w:val="de-DE"/>
        </w:rPr>
        <w:t>1. rechtmäßiger Benutzer: eine Person, die Entnahmen und/oder Weiterverwendungen vornimmt, die vom Hersteller der Datenbank erlaubt werden oder durch das Gesetz gestattet sind,</w:t>
      </w:r>
    </w:p>
    <w:p w14:paraId="1447E4DF" w14:textId="77777777" w:rsidR="004808C3" w:rsidRPr="004676F5" w:rsidRDefault="004808C3" w:rsidP="004808C3">
      <w:pPr>
        <w:jc w:val="both"/>
        <w:rPr>
          <w:lang w:val="de-DE"/>
        </w:rPr>
      </w:pPr>
    </w:p>
    <w:p w14:paraId="2523F231" w14:textId="77777777" w:rsidR="004808C3" w:rsidRPr="004676F5" w:rsidRDefault="004808C3" w:rsidP="004808C3">
      <w:pPr>
        <w:ind w:firstLine="708"/>
        <w:jc w:val="both"/>
        <w:rPr>
          <w:lang w:val="de-DE"/>
        </w:rPr>
      </w:pPr>
      <w:r w:rsidRPr="004676F5">
        <w:rPr>
          <w:lang w:val="de-DE"/>
        </w:rPr>
        <w:t>2. Hersteller einer Datenbank: eine natürliche oder juristische Person, die die Initiative ergreift und das Risiko in Bezug auf die Investitionen für die Schaffung der Datenbank trägt,</w:t>
      </w:r>
    </w:p>
    <w:p w14:paraId="6F0EF799" w14:textId="77777777" w:rsidR="004808C3" w:rsidRPr="004676F5" w:rsidRDefault="004808C3" w:rsidP="004808C3">
      <w:pPr>
        <w:ind w:firstLine="708"/>
        <w:jc w:val="both"/>
        <w:rPr>
          <w:lang w:val="de-DE"/>
        </w:rPr>
      </w:pPr>
    </w:p>
    <w:p w14:paraId="2C3D9275" w14:textId="77777777" w:rsidR="004808C3" w:rsidRPr="004676F5" w:rsidRDefault="004808C3" w:rsidP="004808C3">
      <w:pPr>
        <w:ind w:firstLine="708"/>
        <w:jc w:val="both"/>
        <w:rPr>
          <w:lang w:val="de-DE"/>
        </w:rPr>
      </w:pPr>
      <w:r w:rsidRPr="004676F5">
        <w:rPr>
          <w:lang w:val="de-DE"/>
        </w:rPr>
        <w:t>3. Entnahme: eine ständige oder vorübergehende Übertragung der Gesamtheit oder eines wesentlichen Teils des Inhalts einer Datenbank auf einen anderen Träger, ungeachtet der dafür verwendeten Mittel und der Form der Entnahme; der öffentliche Verleih ist keine Entnahme,</w:t>
      </w:r>
    </w:p>
    <w:p w14:paraId="51285F4E" w14:textId="77777777" w:rsidR="004808C3" w:rsidRPr="004676F5" w:rsidRDefault="004808C3" w:rsidP="004808C3">
      <w:pPr>
        <w:jc w:val="both"/>
        <w:rPr>
          <w:lang w:val="de-DE"/>
        </w:rPr>
      </w:pPr>
    </w:p>
    <w:p w14:paraId="14DD1425" w14:textId="77777777" w:rsidR="005E6F74" w:rsidRPr="004676F5" w:rsidRDefault="004808C3" w:rsidP="001527B1">
      <w:pPr>
        <w:ind w:firstLine="708"/>
        <w:jc w:val="both"/>
        <w:rPr>
          <w:lang w:val="de-DE"/>
        </w:rPr>
      </w:pPr>
      <w:r w:rsidRPr="004676F5">
        <w:rPr>
          <w:lang w:val="de-DE"/>
        </w:rPr>
        <w:t>4. Weiterverwendung: jede Form öffentlicher Verfügbarmachung der Gesamtheit oder eines wesentlichen Teils des Inhalts der Datenbank durch die Verbreitung von Vervielfältigungsstücken, durch Vermietung, durch Online-Übermittlung oder durch andere Formen der Übermittlung; der öffentliche Verleih ist keine Weiterverwendung.</w:t>
      </w:r>
      <w:r w:rsidR="001527B1" w:rsidRPr="004676F5">
        <w:rPr>
          <w:lang w:val="de-DE"/>
        </w:rPr>
        <w:t>]</w:t>
      </w:r>
    </w:p>
    <w:p w14:paraId="005A9CFF" w14:textId="77777777" w:rsidR="005E6F74" w:rsidRPr="004676F5" w:rsidRDefault="005E6F74" w:rsidP="005E6F74">
      <w:pPr>
        <w:rPr>
          <w:lang w:val="de-DE"/>
        </w:rPr>
      </w:pPr>
    </w:p>
    <w:p w14:paraId="2F45960A" w14:textId="254E219D" w:rsidR="00C832AA" w:rsidRPr="004676F5" w:rsidRDefault="00C832AA">
      <w:pPr>
        <w:rPr>
          <w:lang w:val="de-DE"/>
        </w:rPr>
      </w:pPr>
    </w:p>
    <w:p w14:paraId="2DEE0FE2" w14:textId="5582F0C3" w:rsidR="009D1A1A" w:rsidRPr="004676F5" w:rsidRDefault="009D1A1A" w:rsidP="009D1A1A">
      <w:pPr>
        <w:ind w:firstLine="708"/>
        <w:jc w:val="both"/>
        <w:rPr>
          <w:lang w:val="de-DE"/>
        </w:rPr>
      </w:pPr>
      <w:r w:rsidRPr="004676F5">
        <w:rPr>
          <w:lang w:val="de-DE"/>
        </w:rPr>
        <w:t>[</w:t>
      </w:r>
      <w:r w:rsidRPr="004676F5">
        <w:rPr>
          <w:b/>
          <w:bCs/>
          <w:lang w:val="de-DE"/>
        </w:rPr>
        <w:t>Art. I.17/1</w:t>
      </w:r>
      <w:r w:rsidRPr="004676F5">
        <w:rPr>
          <w:lang w:val="de-DE"/>
        </w:rPr>
        <w:t> </w:t>
      </w:r>
      <w:r w:rsidR="005B7A5C" w:rsidRPr="004676F5">
        <w:rPr>
          <w:lang w:val="de-DE"/>
        </w:rPr>
        <w:t>- </w:t>
      </w:r>
      <w:r w:rsidRPr="004676F5">
        <w:rPr>
          <w:lang w:val="de-DE"/>
        </w:rPr>
        <w:t>Folgende Begriffsbestimmungen gelten für Buch XI Titel 8/1, 9/1 und 10 Kapitel 4/1:</w:t>
      </w:r>
    </w:p>
    <w:p w14:paraId="20E42A6B" w14:textId="77777777" w:rsidR="009D1A1A" w:rsidRPr="004676F5" w:rsidRDefault="009D1A1A" w:rsidP="009D1A1A">
      <w:pPr>
        <w:ind w:firstLine="708"/>
        <w:jc w:val="both"/>
        <w:rPr>
          <w:lang w:val="de-DE"/>
        </w:rPr>
      </w:pPr>
    </w:p>
    <w:p w14:paraId="6C3C1220" w14:textId="77777777" w:rsidR="009D1A1A" w:rsidRPr="004676F5" w:rsidRDefault="009D1A1A" w:rsidP="009D1A1A">
      <w:pPr>
        <w:ind w:firstLine="708"/>
        <w:jc w:val="both"/>
        <w:rPr>
          <w:lang w:val="de-DE"/>
        </w:rPr>
      </w:pPr>
      <w:r w:rsidRPr="004676F5">
        <w:rPr>
          <w:lang w:val="de-DE"/>
        </w:rPr>
        <w:t>1. Geschäftsgeheimnis: Informationen, die alle nachstehenden Kriterien erfüllen:</w:t>
      </w:r>
    </w:p>
    <w:p w14:paraId="57904BDC" w14:textId="77777777" w:rsidR="009D1A1A" w:rsidRPr="004676F5" w:rsidRDefault="009D1A1A" w:rsidP="009D1A1A">
      <w:pPr>
        <w:ind w:firstLine="708"/>
        <w:jc w:val="both"/>
        <w:rPr>
          <w:lang w:val="de-DE"/>
        </w:rPr>
      </w:pPr>
    </w:p>
    <w:p w14:paraId="55BB2909" w14:textId="77777777" w:rsidR="009D1A1A" w:rsidRPr="004676F5" w:rsidRDefault="009D1A1A" w:rsidP="009D1A1A">
      <w:pPr>
        <w:ind w:firstLine="708"/>
        <w:jc w:val="both"/>
        <w:rPr>
          <w:lang w:val="de-DE"/>
        </w:rPr>
      </w:pPr>
      <w:r w:rsidRPr="004676F5">
        <w:rPr>
          <w:i/>
          <w:lang w:val="de-DE"/>
        </w:rPr>
        <w:t>a)</w:t>
      </w:r>
      <w:r w:rsidRPr="004676F5">
        <w:rPr>
          <w:lang w:val="de-DE"/>
        </w:rPr>
        <w:t> Sie sind in dem Sinne geheim, dass sie weder in ihrer Gesamtheit noch in der genauen Anordnung und Zusammensetzung ihrer Bestandteile den Personen in den Kreisen, die üblicherweise mit dieser Art von Informationen umgehen, allgemein bekannt oder ohne weiteres zugänglich sind.</w:t>
      </w:r>
    </w:p>
    <w:p w14:paraId="0822309D" w14:textId="77777777" w:rsidR="009D1A1A" w:rsidRPr="004676F5" w:rsidRDefault="009D1A1A" w:rsidP="009D1A1A">
      <w:pPr>
        <w:ind w:firstLine="708"/>
        <w:jc w:val="both"/>
        <w:rPr>
          <w:lang w:val="de-DE"/>
        </w:rPr>
      </w:pPr>
    </w:p>
    <w:p w14:paraId="22AFB18E" w14:textId="77777777" w:rsidR="009D1A1A" w:rsidRPr="004676F5" w:rsidRDefault="009D1A1A" w:rsidP="009D1A1A">
      <w:pPr>
        <w:ind w:firstLine="708"/>
        <w:jc w:val="both"/>
        <w:rPr>
          <w:lang w:val="de-DE"/>
        </w:rPr>
      </w:pPr>
      <w:r w:rsidRPr="004676F5">
        <w:rPr>
          <w:i/>
          <w:lang w:val="de-DE"/>
        </w:rPr>
        <w:t>b)</w:t>
      </w:r>
      <w:r w:rsidRPr="004676F5">
        <w:rPr>
          <w:lang w:val="de-DE"/>
        </w:rPr>
        <w:t> Sie sind von kommerziellem Wert, weil sie geheim sind.</w:t>
      </w:r>
    </w:p>
    <w:p w14:paraId="493B691B" w14:textId="77777777" w:rsidR="009D1A1A" w:rsidRPr="004676F5" w:rsidRDefault="009D1A1A" w:rsidP="009D1A1A">
      <w:pPr>
        <w:ind w:firstLine="708"/>
        <w:jc w:val="both"/>
        <w:rPr>
          <w:lang w:val="de-DE"/>
        </w:rPr>
      </w:pPr>
    </w:p>
    <w:p w14:paraId="073C0675" w14:textId="77777777" w:rsidR="009D1A1A" w:rsidRPr="004676F5" w:rsidRDefault="009D1A1A" w:rsidP="009D1A1A">
      <w:pPr>
        <w:ind w:firstLine="708"/>
        <w:jc w:val="both"/>
        <w:rPr>
          <w:lang w:val="de-DE"/>
        </w:rPr>
      </w:pPr>
      <w:r w:rsidRPr="004676F5">
        <w:rPr>
          <w:i/>
          <w:lang w:val="de-DE"/>
        </w:rPr>
        <w:t>c)</w:t>
      </w:r>
      <w:r w:rsidRPr="004676F5">
        <w:rPr>
          <w:lang w:val="de-DE"/>
        </w:rPr>
        <w:t> Sie sind Gegenstand von den Umständen entsprechenden angemessenen Geheim</w:t>
      </w:r>
      <w:r w:rsidRPr="004676F5">
        <w:rPr>
          <w:lang w:val="de-DE"/>
        </w:rPr>
        <w:softHyphen/>
        <w:t>haltungsmaßnahmen durch die Person, die die rechtmäßige Kontrolle über die Informationen besitzt,</w:t>
      </w:r>
    </w:p>
    <w:p w14:paraId="24D05B39" w14:textId="77777777" w:rsidR="009D1A1A" w:rsidRPr="004676F5" w:rsidRDefault="009D1A1A" w:rsidP="009D1A1A">
      <w:pPr>
        <w:ind w:firstLine="708"/>
        <w:jc w:val="both"/>
        <w:rPr>
          <w:lang w:val="de-DE"/>
        </w:rPr>
      </w:pPr>
    </w:p>
    <w:p w14:paraId="68484D55" w14:textId="77777777" w:rsidR="009D1A1A" w:rsidRPr="004676F5" w:rsidRDefault="009D1A1A" w:rsidP="009D1A1A">
      <w:pPr>
        <w:ind w:firstLine="708"/>
        <w:jc w:val="both"/>
        <w:rPr>
          <w:lang w:val="de-DE"/>
        </w:rPr>
      </w:pPr>
      <w:r w:rsidRPr="004676F5">
        <w:rPr>
          <w:lang w:val="de-DE"/>
        </w:rPr>
        <w:t>2. Inhaber eines Geschäftsgeheimnisses: jede natürliche oder juristische Person, die die rechtmäßige Kontrolle über ein Geschäftsgeheimnis besitzt,</w:t>
      </w:r>
    </w:p>
    <w:p w14:paraId="38CB957D" w14:textId="77777777" w:rsidR="009D1A1A" w:rsidRPr="004676F5" w:rsidRDefault="009D1A1A" w:rsidP="009D1A1A">
      <w:pPr>
        <w:ind w:firstLine="708"/>
        <w:jc w:val="both"/>
        <w:rPr>
          <w:lang w:val="de-DE"/>
        </w:rPr>
      </w:pPr>
    </w:p>
    <w:p w14:paraId="7532AD8E" w14:textId="77777777" w:rsidR="009D1A1A" w:rsidRPr="004676F5" w:rsidRDefault="009D1A1A" w:rsidP="009D1A1A">
      <w:pPr>
        <w:ind w:firstLine="708"/>
        <w:jc w:val="both"/>
        <w:rPr>
          <w:lang w:val="de-DE"/>
        </w:rPr>
      </w:pPr>
      <w:r w:rsidRPr="004676F5">
        <w:rPr>
          <w:lang w:val="de-DE"/>
        </w:rPr>
        <w:t>3. Rechtsverletzer: jede natürliche oder juristische Person, die auf rechtswidrige Weise Geschäftsgeheimnisse erworben, genutzt oder offengelegt hat,</w:t>
      </w:r>
    </w:p>
    <w:p w14:paraId="343915ED" w14:textId="77777777" w:rsidR="009D1A1A" w:rsidRPr="004676F5" w:rsidRDefault="009D1A1A" w:rsidP="009D1A1A">
      <w:pPr>
        <w:ind w:firstLine="708"/>
        <w:jc w:val="both"/>
        <w:rPr>
          <w:lang w:val="de-DE"/>
        </w:rPr>
      </w:pPr>
    </w:p>
    <w:p w14:paraId="4D8CAAA8" w14:textId="77777777" w:rsidR="009D1A1A" w:rsidRPr="004676F5" w:rsidRDefault="009D1A1A" w:rsidP="009D1A1A">
      <w:pPr>
        <w:jc w:val="both"/>
        <w:rPr>
          <w:lang w:val="de-DE"/>
        </w:rPr>
      </w:pPr>
      <w:r w:rsidRPr="004676F5">
        <w:rPr>
          <w:lang w:val="de-DE"/>
        </w:rPr>
        <w:tab/>
        <w:t>4. rechtsverletzende Produkte: Produkte, deren Konzeption, Merkmale, Funktions</w:t>
      </w:r>
      <w:r w:rsidRPr="004676F5">
        <w:rPr>
          <w:lang w:val="de-DE"/>
        </w:rPr>
        <w:softHyphen/>
        <w:t>weise, Herstellungsprozess oder Marketing in erheblichem Umfang auf rechtswidrig erworbenen, genutzten oder offengelegten Geschäftsgeheimnissen beruhen.]</w:t>
      </w:r>
    </w:p>
    <w:p w14:paraId="2EB391BF" w14:textId="77777777" w:rsidR="009D1A1A" w:rsidRPr="004676F5" w:rsidRDefault="009D1A1A" w:rsidP="009D1A1A">
      <w:pPr>
        <w:jc w:val="both"/>
        <w:rPr>
          <w:lang w:val="de-DE"/>
        </w:rPr>
      </w:pPr>
    </w:p>
    <w:p w14:paraId="6F9A6E42" w14:textId="2774E368" w:rsidR="00437658" w:rsidRPr="004676F5" w:rsidRDefault="009D1A1A" w:rsidP="009D1A1A">
      <w:pPr>
        <w:jc w:val="both"/>
        <w:rPr>
          <w:lang w:val="de-DE"/>
        </w:rPr>
      </w:pPr>
      <w:r w:rsidRPr="004676F5">
        <w:rPr>
          <w:i/>
          <w:iCs/>
          <w:lang w:val="de-DE"/>
        </w:rPr>
        <w:t>[Art. I.17/1 eingefügt durch Art. 2 des G. vom 30. Juli 2018</w:t>
      </w:r>
      <w:r w:rsidR="004F314D" w:rsidRPr="004676F5">
        <w:rPr>
          <w:bCs/>
          <w:lang w:val="de-DE"/>
        </w:rPr>
        <w:t> </w:t>
      </w:r>
      <w:r w:rsidR="004F314D" w:rsidRPr="004676F5">
        <w:rPr>
          <w:bCs/>
          <w:i/>
          <w:iCs/>
          <w:lang w:val="de-DE"/>
        </w:rPr>
        <w:t>(I)</w:t>
      </w:r>
      <w:r w:rsidRPr="004676F5">
        <w:rPr>
          <w:i/>
          <w:iCs/>
          <w:lang w:val="de-DE"/>
        </w:rPr>
        <w:t xml:space="preserve"> (B.S. vom 14. August 2018)]</w:t>
      </w:r>
      <w:r w:rsidR="00437658" w:rsidRPr="004676F5">
        <w:rPr>
          <w:lang w:val="de-DE"/>
        </w:rPr>
        <w:br w:type="page"/>
      </w:r>
    </w:p>
    <w:p w14:paraId="1B99C857" w14:textId="1661E72A" w:rsidR="00973E94" w:rsidRPr="004676F5" w:rsidRDefault="00C832AA" w:rsidP="00973E94">
      <w:pPr>
        <w:jc w:val="center"/>
        <w:rPr>
          <w:lang w:val="de-DE"/>
        </w:rPr>
      </w:pPr>
      <w:r w:rsidRPr="004676F5">
        <w:rPr>
          <w:lang w:val="de-DE"/>
        </w:rPr>
        <w:lastRenderedPageBreak/>
        <w:t xml:space="preserve">[KAPITEL 10 </w:t>
      </w:r>
      <w:r w:rsidR="005B7A5C" w:rsidRPr="004676F5">
        <w:rPr>
          <w:lang w:val="de-DE"/>
        </w:rPr>
        <w:t>- </w:t>
      </w:r>
      <w:r w:rsidR="00973E94" w:rsidRPr="004676F5">
        <w:rPr>
          <w:i/>
          <w:lang w:val="de-DE"/>
        </w:rPr>
        <w:t>Begriffsbestimmungen Buch XII</w:t>
      </w:r>
    </w:p>
    <w:p w14:paraId="75A77723" w14:textId="77777777" w:rsidR="00973E94" w:rsidRPr="004676F5" w:rsidRDefault="00973E94" w:rsidP="00973E94">
      <w:pPr>
        <w:jc w:val="both"/>
        <w:rPr>
          <w:lang w:val="de-DE"/>
        </w:rPr>
      </w:pPr>
    </w:p>
    <w:p w14:paraId="34926922" w14:textId="45E7B8ED" w:rsidR="00973E94" w:rsidRPr="004676F5" w:rsidRDefault="00973E94" w:rsidP="00973E94">
      <w:pPr>
        <w:jc w:val="both"/>
        <w:rPr>
          <w:i/>
          <w:lang w:val="de-DE"/>
        </w:rPr>
      </w:pPr>
      <w:r w:rsidRPr="004676F5">
        <w:rPr>
          <w:i/>
          <w:lang w:val="de-DE"/>
        </w:rPr>
        <w:t xml:space="preserve">[Kapitel 10 mit </w:t>
      </w:r>
      <w:r w:rsidR="00BE0A56" w:rsidRPr="004676F5">
        <w:rPr>
          <w:i/>
          <w:lang w:val="de-DE"/>
        </w:rPr>
        <w:t>Art. </w:t>
      </w:r>
      <w:r w:rsidRPr="004676F5">
        <w:rPr>
          <w:i/>
          <w:lang w:val="de-DE"/>
        </w:rPr>
        <w:t xml:space="preserve">1.18 eingefügt durch </w:t>
      </w:r>
      <w:r w:rsidR="00BE0A56" w:rsidRPr="004676F5">
        <w:rPr>
          <w:i/>
          <w:lang w:val="de-DE"/>
        </w:rPr>
        <w:t>Art. </w:t>
      </w:r>
      <w:r w:rsidRPr="004676F5">
        <w:rPr>
          <w:i/>
          <w:lang w:val="de-DE"/>
        </w:rPr>
        <w:t>2 des G. vom 15. Dezember 2013 (I) (B.S. vom 14. Januar 2014)]</w:t>
      </w:r>
    </w:p>
    <w:p w14:paraId="6FD81B16" w14:textId="77777777" w:rsidR="00973E94" w:rsidRPr="004676F5" w:rsidRDefault="00973E94" w:rsidP="00973E94">
      <w:pPr>
        <w:jc w:val="both"/>
        <w:rPr>
          <w:i/>
          <w:lang w:val="de-DE"/>
        </w:rPr>
      </w:pPr>
    </w:p>
    <w:p w14:paraId="5093FDBF" w14:textId="77777777" w:rsidR="00973E94" w:rsidRPr="004676F5" w:rsidRDefault="00973E94" w:rsidP="00973E94">
      <w:pPr>
        <w:jc w:val="both"/>
        <w:rPr>
          <w:i/>
          <w:lang w:val="de-DE"/>
        </w:rPr>
      </w:pPr>
    </w:p>
    <w:p w14:paraId="587A71CF" w14:textId="75636C05" w:rsidR="00973E94" w:rsidRPr="004676F5" w:rsidRDefault="00973E94" w:rsidP="00973E94">
      <w:pPr>
        <w:jc w:val="both"/>
        <w:rPr>
          <w:lang w:val="de-DE"/>
        </w:rPr>
      </w:pPr>
      <w:r w:rsidRPr="004676F5">
        <w:rPr>
          <w:lang w:val="de-DE"/>
        </w:rPr>
        <w:tab/>
      </w:r>
      <w:r w:rsidR="00BE0A56" w:rsidRPr="004676F5">
        <w:rPr>
          <w:b/>
          <w:lang w:val="de-DE"/>
        </w:rPr>
        <w:t>Art. </w:t>
      </w:r>
      <w:r w:rsidRPr="004676F5">
        <w:rPr>
          <w:b/>
          <w:lang w:val="de-DE"/>
        </w:rPr>
        <w:t>I.18</w:t>
      </w:r>
      <w:r w:rsidRPr="004676F5">
        <w:rPr>
          <w:lang w:val="de-DE"/>
        </w:rPr>
        <w:t> </w:t>
      </w:r>
      <w:r w:rsidR="005B7A5C" w:rsidRPr="004676F5">
        <w:rPr>
          <w:lang w:val="de-DE"/>
        </w:rPr>
        <w:t>- </w:t>
      </w:r>
      <w:r w:rsidRPr="004676F5">
        <w:rPr>
          <w:lang w:val="de-DE"/>
        </w:rPr>
        <w:t>Folgende Begriffsbestimmungen gelten für Buch XII:</w:t>
      </w:r>
    </w:p>
    <w:p w14:paraId="6C6D01D7" w14:textId="77777777" w:rsidR="00973E94" w:rsidRPr="004676F5" w:rsidRDefault="00973E94" w:rsidP="00973E94">
      <w:pPr>
        <w:jc w:val="both"/>
        <w:rPr>
          <w:lang w:val="de-DE"/>
        </w:rPr>
      </w:pPr>
    </w:p>
    <w:p w14:paraId="2CEC87AC" w14:textId="77777777" w:rsidR="00973E94" w:rsidRPr="004676F5" w:rsidRDefault="00973E94" w:rsidP="00973E94">
      <w:pPr>
        <w:jc w:val="both"/>
        <w:rPr>
          <w:lang w:val="de-DE"/>
        </w:rPr>
      </w:pPr>
      <w:r w:rsidRPr="004676F5">
        <w:rPr>
          <w:lang w:val="de-DE"/>
        </w:rPr>
        <w:tab/>
        <w:t>1. Dienst der Informationsgesellschaft: in der Regel gegen Entgelt elektronisch im Fernabsatz und auf individuellen Abruf eines Nutzers erbrachte Dienstleistung,</w:t>
      </w:r>
    </w:p>
    <w:p w14:paraId="091DA0FD" w14:textId="77777777" w:rsidR="00973E94" w:rsidRPr="004676F5" w:rsidRDefault="00973E94" w:rsidP="00973E94">
      <w:pPr>
        <w:jc w:val="both"/>
        <w:rPr>
          <w:lang w:val="de-DE"/>
        </w:rPr>
      </w:pPr>
    </w:p>
    <w:p w14:paraId="50B5B2AC" w14:textId="1C83BE28" w:rsidR="00973E94" w:rsidRPr="004676F5" w:rsidRDefault="00973E94" w:rsidP="00973E94">
      <w:pPr>
        <w:jc w:val="both"/>
        <w:rPr>
          <w:lang w:val="de-DE"/>
        </w:rPr>
      </w:pPr>
      <w:r w:rsidRPr="004676F5">
        <w:rPr>
          <w:lang w:val="de-DE"/>
        </w:rPr>
        <w:tab/>
        <w:t>2. elektronische Post: über ein öffentliches Kommunikationsnetz verschickte Text-, Sprach-, Ton</w:t>
      </w:r>
      <w:r w:rsidR="005B7A5C" w:rsidRPr="004676F5">
        <w:rPr>
          <w:lang w:val="de-DE"/>
        </w:rPr>
        <w:t>- </w:t>
      </w:r>
      <w:r w:rsidRPr="004676F5">
        <w:rPr>
          <w:lang w:val="de-DE"/>
        </w:rPr>
        <w:t>oder Bildnachricht, die im Netz oder im Endgerät des Empfängers gespeichert werden kann, bis sie von diesem abgerufen wird,</w:t>
      </w:r>
    </w:p>
    <w:p w14:paraId="65944321" w14:textId="77777777" w:rsidR="00973E94" w:rsidRPr="004676F5" w:rsidRDefault="00973E94" w:rsidP="00973E94">
      <w:pPr>
        <w:jc w:val="both"/>
        <w:rPr>
          <w:lang w:val="de-DE"/>
        </w:rPr>
      </w:pPr>
    </w:p>
    <w:p w14:paraId="03E0303E" w14:textId="77777777" w:rsidR="00973E94" w:rsidRPr="004676F5" w:rsidRDefault="00973E94" w:rsidP="00973E94">
      <w:pPr>
        <w:jc w:val="both"/>
        <w:rPr>
          <w:lang w:val="de-DE"/>
        </w:rPr>
      </w:pPr>
      <w:r w:rsidRPr="004676F5">
        <w:rPr>
          <w:lang w:val="de-DE"/>
        </w:rPr>
        <w:tab/>
        <w:t>3. Diensteanbieter: natürliche oder juristische Person, die einen Dienst der Informationsgesellschaft anbietet,</w:t>
      </w:r>
    </w:p>
    <w:p w14:paraId="4AA7798A" w14:textId="77777777" w:rsidR="00973E94" w:rsidRPr="004676F5" w:rsidRDefault="00973E94" w:rsidP="00973E94">
      <w:pPr>
        <w:jc w:val="both"/>
        <w:rPr>
          <w:lang w:val="de-DE"/>
        </w:rPr>
      </w:pPr>
    </w:p>
    <w:p w14:paraId="15EE73C2" w14:textId="77777777" w:rsidR="00973E94" w:rsidRPr="004676F5" w:rsidRDefault="00973E94" w:rsidP="00973E94">
      <w:pPr>
        <w:jc w:val="both"/>
        <w:rPr>
          <w:lang w:val="de-DE"/>
        </w:rPr>
      </w:pPr>
      <w:r w:rsidRPr="004676F5">
        <w:rPr>
          <w:lang w:val="de-DE"/>
        </w:rPr>
        <w:tab/>
        <w:t>4. niedergelassener Diensteanbieter: Anbieter, der mittels einer festen Niederlassung auf unbestimmte Zeit eine Wirtschaftstätigkeit tatsächlich ausübt. Vorhandensein und Nutzung technischer Mittel und Technologien, die zum Anbieten des Dienstes erforderlich sind, begründen allein keine Niederlassung des Anbieters,</w:t>
      </w:r>
    </w:p>
    <w:p w14:paraId="77DB9E08" w14:textId="77777777" w:rsidR="00973E94" w:rsidRPr="004676F5" w:rsidRDefault="00973E94" w:rsidP="00973E94">
      <w:pPr>
        <w:jc w:val="both"/>
        <w:rPr>
          <w:lang w:val="de-DE"/>
        </w:rPr>
      </w:pPr>
    </w:p>
    <w:p w14:paraId="3F4AA0D4" w14:textId="77777777" w:rsidR="00973E94" w:rsidRPr="004676F5" w:rsidRDefault="00973E94" w:rsidP="00973E94">
      <w:pPr>
        <w:jc w:val="both"/>
        <w:rPr>
          <w:lang w:val="de-DE"/>
        </w:rPr>
      </w:pPr>
      <w:r w:rsidRPr="004676F5">
        <w:rPr>
          <w:lang w:val="de-DE"/>
        </w:rPr>
        <w:tab/>
        <w:t>5. Nutzer: natürliche oder juristische Person, die zu beruflichen oder sonstigen Zwecken einen Dienst der Informationsgesellschaft in Anspruch nimmt, insbesondere um Informationen zu erlangen oder zugänglich zu machen,</w:t>
      </w:r>
    </w:p>
    <w:p w14:paraId="2D08ABAD" w14:textId="77777777" w:rsidR="00973E94" w:rsidRPr="004676F5" w:rsidRDefault="00973E94" w:rsidP="00973E94">
      <w:pPr>
        <w:jc w:val="both"/>
        <w:rPr>
          <w:lang w:val="de-DE"/>
        </w:rPr>
      </w:pPr>
    </w:p>
    <w:p w14:paraId="40AECA57" w14:textId="77777777" w:rsidR="00973E94" w:rsidRPr="004676F5" w:rsidRDefault="00973E94" w:rsidP="00973E94">
      <w:pPr>
        <w:jc w:val="both"/>
        <w:rPr>
          <w:lang w:val="de-DE"/>
        </w:rPr>
      </w:pPr>
      <w:r w:rsidRPr="004676F5">
        <w:rPr>
          <w:lang w:val="de-DE"/>
        </w:rPr>
        <w:tab/>
        <w:t>6. Werbung: alle Formen der Kommunikation, die der unmittelbaren oder mittelbaren Förderung des Absatzes von Waren und Dienstleistungen oder des Erscheinungsbilds eines Unternehmens, einer Organisation oder einer natürlichen Person dienen, die eine Tätigkeit in Handel, Gewerbe oder Handwerk oder einen reglementierten Beruf ausübt.</w:t>
      </w:r>
    </w:p>
    <w:p w14:paraId="0C9531D1" w14:textId="77777777" w:rsidR="00973E94" w:rsidRPr="004676F5" w:rsidRDefault="00973E94" w:rsidP="00973E94">
      <w:pPr>
        <w:jc w:val="both"/>
        <w:rPr>
          <w:lang w:val="de-DE"/>
        </w:rPr>
      </w:pPr>
    </w:p>
    <w:p w14:paraId="52A4D9F8" w14:textId="77777777" w:rsidR="00973E94" w:rsidRPr="004676F5" w:rsidRDefault="00973E94" w:rsidP="00973E94">
      <w:pPr>
        <w:jc w:val="both"/>
        <w:rPr>
          <w:lang w:val="de-DE"/>
        </w:rPr>
      </w:pPr>
      <w:r w:rsidRPr="004676F5">
        <w:rPr>
          <w:lang w:val="de-DE"/>
        </w:rPr>
        <w:tab/>
        <w:t>Für die Anwendung von Buch XII stellen die folgenden Angaben als solche keine Form der Werbung dar:</w:t>
      </w:r>
    </w:p>
    <w:p w14:paraId="194ADE08" w14:textId="77777777" w:rsidR="00973E94" w:rsidRPr="004676F5" w:rsidRDefault="00973E94" w:rsidP="00973E94">
      <w:pPr>
        <w:jc w:val="both"/>
        <w:rPr>
          <w:lang w:val="de-DE"/>
        </w:rPr>
      </w:pPr>
    </w:p>
    <w:p w14:paraId="683491B3" w14:textId="77777777" w:rsidR="00973E94" w:rsidRPr="004676F5" w:rsidRDefault="00973E94" w:rsidP="00973E94">
      <w:pPr>
        <w:jc w:val="both"/>
        <w:rPr>
          <w:lang w:val="de-DE"/>
        </w:rPr>
      </w:pPr>
      <w:r w:rsidRPr="004676F5">
        <w:rPr>
          <w:lang w:val="de-DE"/>
        </w:rPr>
        <w:tab/>
      </w:r>
      <w:r w:rsidRPr="004676F5">
        <w:rPr>
          <w:i/>
          <w:lang w:val="de-DE"/>
        </w:rPr>
        <w:t>a)</w:t>
      </w:r>
      <w:r w:rsidRPr="004676F5">
        <w:rPr>
          <w:lang w:val="de-DE"/>
        </w:rPr>
        <w:t> Angaben, die direkten Zugang zur Tätigkeit des Unternehmens beziehungsweise der Organisation oder Person ermöglichen, wie insbesondere ein Domainname oder eine Adresse der elektronischen Post,</w:t>
      </w:r>
    </w:p>
    <w:p w14:paraId="43C67417" w14:textId="77777777" w:rsidR="00973E94" w:rsidRPr="004676F5" w:rsidRDefault="00973E94" w:rsidP="00973E94">
      <w:pPr>
        <w:jc w:val="both"/>
        <w:rPr>
          <w:lang w:val="de-DE"/>
        </w:rPr>
      </w:pPr>
    </w:p>
    <w:p w14:paraId="2F607E0F" w14:textId="77777777" w:rsidR="00973E94" w:rsidRPr="004676F5" w:rsidRDefault="00973E94" w:rsidP="00973E94">
      <w:pPr>
        <w:jc w:val="both"/>
        <w:rPr>
          <w:lang w:val="de-DE"/>
        </w:rPr>
      </w:pPr>
      <w:r w:rsidRPr="004676F5">
        <w:rPr>
          <w:lang w:val="de-DE"/>
        </w:rPr>
        <w:tab/>
      </w:r>
      <w:r w:rsidRPr="004676F5">
        <w:rPr>
          <w:i/>
          <w:lang w:val="de-DE"/>
        </w:rPr>
        <w:t>b)</w:t>
      </w:r>
      <w:r w:rsidRPr="004676F5">
        <w:rPr>
          <w:lang w:val="de-DE"/>
        </w:rPr>
        <w:t> Angaben, die unabhängig und insbesondere ohne finanzielle Gegenleistung gemacht werden,</w:t>
      </w:r>
    </w:p>
    <w:p w14:paraId="23D0C7EA" w14:textId="77777777" w:rsidR="00973E94" w:rsidRPr="004676F5" w:rsidRDefault="00973E94" w:rsidP="00973E94">
      <w:pPr>
        <w:jc w:val="both"/>
        <w:rPr>
          <w:lang w:val="de-DE"/>
        </w:rPr>
      </w:pPr>
    </w:p>
    <w:p w14:paraId="1B9213E8" w14:textId="215B9D7F" w:rsidR="00973E94" w:rsidRPr="004676F5" w:rsidRDefault="00973E94" w:rsidP="00973E94">
      <w:pPr>
        <w:jc w:val="both"/>
        <w:rPr>
          <w:lang w:val="de-DE"/>
        </w:rPr>
      </w:pPr>
      <w:r w:rsidRPr="004676F5">
        <w:rPr>
          <w:lang w:val="de-DE"/>
        </w:rPr>
        <w:tab/>
        <w:t>7. reglementierter Beruf: berufliche Tätigkeit, bei der die Aufnahme oder Ausübung oder eine der Arten der Ausübung direkt oder indirekt durch Gesetzes-, Verordnungs</w:t>
      </w:r>
      <w:r w:rsidR="005B7A5C" w:rsidRPr="004676F5">
        <w:rPr>
          <w:lang w:val="de-DE"/>
        </w:rPr>
        <w:t>- </w:t>
      </w:r>
      <w:r w:rsidRPr="004676F5">
        <w:rPr>
          <w:lang w:val="de-DE"/>
        </w:rPr>
        <w:t>und Verwaltungsbestimmungen an den Besitz eines Diploms, eines Ausbildungsnachweises oder eines Befähigungsnachweises gebunden ist,</w:t>
      </w:r>
    </w:p>
    <w:p w14:paraId="4E127217" w14:textId="77777777" w:rsidR="00973E94" w:rsidRPr="004676F5" w:rsidRDefault="00973E94" w:rsidP="00973E94">
      <w:pPr>
        <w:jc w:val="both"/>
        <w:rPr>
          <w:lang w:val="de-DE"/>
        </w:rPr>
      </w:pPr>
    </w:p>
    <w:p w14:paraId="34AFA8C9" w14:textId="77777777" w:rsidR="00973E94" w:rsidRPr="004676F5" w:rsidRDefault="00973E94" w:rsidP="00973E94">
      <w:pPr>
        <w:jc w:val="both"/>
        <w:rPr>
          <w:lang w:val="de-DE"/>
        </w:rPr>
      </w:pPr>
      <w:r w:rsidRPr="004676F5">
        <w:rPr>
          <w:lang w:val="de-DE"/>
        </w:rPr>
        <w:tab/>
        <w:t>8. geschützter Dienst: einer der Dienste der Informationsgesellschaft, soweit er gegen Entgelt erbracht wird und einer Zugangskontrolle unterliegt, sowie die Zugangskontrolle für die vorstehend genannten Dienste selbst, soweit sie als eigenständiger Dienst anzusehen ist,</w:t>
      </w:r>
    </w:p>
    <w:p w14:paraId="51EAE4FC" w14:textId="77777777" w:rsidR="00973E94" w:rsidRPr="004676F5" w:rsidRDefault="00973E94" w:rsidP="00973E94">
      <w:pPr>
        <w:jc w:val="both"/>
        <w:rPr>
          <w:lang w:val="de-DE"/>
        </w:rPr>
      </w:pPr>
    </w:p>
    <w:p w14:paraId="3B5F79B4" w14:textId="77777777" w:rsidR="00973E94" w:rsidRPr="004676F5" w:rsidRDefault="00973E94" w:rsidP="00973E94">
      <w:pPr>
        <w:jc w:val="both"/>
        <w:rPr>
          <w:lang w:val="de-DE"/>
        </w:rPr>
      </w:pPr>
      <w:r w:rsidRPr="004676F5">
        <w:rPr>
          <w:lang w:val="de-DE"/>
        </w:rPr>
        <w:lastRenderedPageBreak/>
        <w:tab/>
        <w:t>9. Zugangskontrolle: technische Maßnahme und/oder Vorrichtung, die den Zugang zu einem geschützten Dienst in verständlicher Form von einer vorherigen individuellen Erlaubnis abhängig macht,</w:t>
      </w:r>
    </w:p>
    <w:p w14:paraId="58CCC648" w14:textId="77777777" w:rsidR="00973E94" w:rsidRPr="004676F5" w:rsidRDefault="00973E94" w:rsidP="00973E94">
      <w:pPr>
        <w:jc w:val="both"/>
        <w:rPr>
          <w:lang w:val="de-DE"/>
        </w:rPr>
      </w:pPr>
    </w:p>
    <w:p w14:paraId="42DF9478" w14:textId="77777777" w:rsidR="00973E94" w:rsidRPr="004676F5" w:rsidRDefault="00973E94" w:rsidP="00973E94">
      <w:pPr>
        <w:jc w:val="both"/>
        <w:rPr>
          <w:lang w:val="de-DE"/>
        </w:rPr>
      </w:pPr>
      <w:r w:rsidRPr="004676F5">
        <w:rPr>
          <w:lang w:val="de-DE"/>
        </w:rPr>
        <w:tab/>
        <w:t>10. Zugangskontrollvorrichtung: Gerät oder Computerprogramm, das dazu bestimmt oder entsprechend angepasst ist, um den Zugang zu einem geschützten Dienst in verständlicher Form zu ermöglichen,</w:t>
      </w:r>
    </w:p>
    <w:p w14:paraId="164F910B" w14:textId="77777777" w:rsidR="00973E94" w:rsidRPr="004676F5" w:rsidRDefault="00973E94" w:rsidP="00973E94">
      <w:pPr>
        <w:jc w:val="both"/>
        <w:rPr>
          <w:lang w:val="de-DE"/>
        </w:rPr>
      </w:pPr>
    </w:p>
    <w:p w14:paraId="057C177C" w14:textId="77777777" w:rsidR="00973E94" w:rsidRPr="004676F5" w:rsidRDefault="00973E94" w:rsidP="00973E94">
      <w:pPr>
        <w:jc w:val="both"/>
        <w:rPr>
          <w:lang w:val="de-DE"/>
        </w:rPr>
      </w:pPr>
      <w:r w:rsidRPr="004676F5">
        <w:rPr>
          <w:lang w:val="de-DE"/>
        </w:rPr>
        <w:tab/>
        <w:t>11. illegale Vorrichtung: Gerät oder Computerprogramm, das dazu bestimmt oder entsprechend angepasst ist, um den Zugang zu einem geschützten Dienst in verständlicher Form ohne Erlaubnis des Diensteanbieters zu ermöglichen,</w:t>
      </w:r>
    </w:p>
    <w:p w14:paraId="049DA447" w14:textId="77777777" w:rsidR="00973E94" w:rsidRPr="004676F5" w:rsidRDefault="00973E94" w:rsidP="00973E94">
      <w:pPr>
        <w:jc w:val="both"/>
        <w:rPr>
          <w:lang w:val="de-DE"/>
        </w:rPr>
      </w:pPr>
    </w:p>
    <w:p w14:paraId="2EB3DC0F" w14:textId="77777777" w:rsidR="00973E94" w:rsidRPr="004676F5" w:rsidRDefault="00973E94" w:rsidP="00973E94">
      <w:pPr>
        <w:jc w:val="both"/>
        <w:rPr>
          <w:lang w:val="de-DE"/>
        </w:rPr>
      </w:pPr>
      <w:r w:rsidRPr="004676F5">
        <w:rPr>
          <w:lang w:val="de-DE"/>
        </w:rPr>
        <w:tab/>
        <w:t>12. Domainname: alphanumerische Darstellung einer numerischen IP-Adresse (Internet Protocol), die es ermöglicht, einen ans Internet angeschlossenen Computer zu identifizieren; ein Domainname wird unter einer Top-Level-Domain registriert, die entweder mit einer von der Internet Corporation for Assigned Names and Numbers (ICANN) definierten generischen Domain (gTLD) oder mit einem der Ländercodes (ccTLD) aufgrund der Norm ISO-3166-1 übereinstimmt,</w:t>
      </w:r>
    </w:p>
    <w:p w14:paraId="450E01FE" w14:textId="77777777" w:rsidR="00973E94" w:rsidRPr="004676F5" w:rsidRDefault="00973E94" w:rsidP="00973E94">
      <w:pPr>
        <w:jc w:val="both"/>
        <w:rPr>
          <w:lang w:val="de-DE"/>
        </w:rPr>
      </w:pPr>
    </w:p>
    <w:p w14:paraId="456F3F3F" w14:textId="77777777" w:rsidR="003323FA" w:rsidRPr="004676F5" w:rsidRDefault="00973E94" w:rsidP="003323FA">
      <w:pPr>
        <w:jc w:val="both"/>
        <w:rPr>
          <w:lang w:val="de-DE"/>
        </w:rPr>
      </w:pPr>
      <w:r w:rsidRPr="004676F5">
        <w:rPr>
          <w:lang w:val="de-DE"/>
        </w:rPr>
        <w:tab/>
        <w:t>13. unter der BE-Domain registrierter Domainname: Domainname, der unter der Top-Level-Domain registriert ist, die dem Ländercode ".be" entspricht, der aufgrund der Norm ISO-3166-1 dem Königreich Belgien zugewiesen worden ist.</w:t>
      </w:r>
      <w:r w:rsidR="003323FA" w:rsidRPr="004676F5">
        <w:rPr>
          <w:lang w:val="de-DE"/>
        </w:rPr>
        <w:t>]</w:t>
      </w:r>
    </w:p>
    <w:p w14:paraId="57DA22C9" w14:textId="77777777" w:rsidR="00B54AAB" w:rsidRPr="004676F5" w:rsidRDefault="00B54AAB" w:rsidP="003323FA">
      <w:pPr>
        <w:jc w:val="both"/>
        <w:rPr>
          <w:lang w:val="de-DE"/>
        </w:rPr>
      </w:pPr>
    </w:p>
    <w:p w14:paraId="66755D1F" w14:textId="77777777" w:rsidR="00B54AAB" w:rsidRPr="004676F5" w:rsidRDefault="00B54AAB" w:rsidP="00B54AAB">
      <w:pPr>
        <w:ind w:firstLine="708"/>
        <w:jc w:val="both"/>
        <w:rPr>
          <w:lang w:val="de-DE"/>
        </w:rPr>
      </w:pPr>
      <w:r w:rsidRPr="004676F5">
        <w:rPr>
          <w:lang w:val="de-DE"/>
        </w:rPr>
        <w:t>[14. Verordnung 910/2014: Verordnung (EU) Nr. 910/2014 des Europäischen Parlaments und des Rates vom 23. Juli 2014 über elektronische Identifizierung und Vertrauensdienste für elektronische Transaktionen im Binnenmarkt und zur Aufhebung der Richtlinie 1999/93/EG,</w:t>
      </w:r>
    </w:p>
    <w:p w14:paraId="3F8261E0" w14:textId="77777777" w:rsidR="00B54AAB" w:rsidRPr="004676F5" w:rsidRDefault="00B54AAB" w:rsidP="00B54AAB">
      <w:pPr>
        <w:ind w:firstLine="708"/>
        <w:jc w:val="both"/>
        <w:rPr>
          <w:lang w:val="de-DE"/>
        </w:rPr>
      </w:pPr>
    </w:p>
    <w:p w14:paraId="07F1B2A2" w14:textId="77777777" w:rsidR="00B54AAB" w:rsidRPr="004676F5" w:rsidRDefault="00B54AAB" w:rsidP="00B54AAB">
      <w:pPr>
        <w:ind w:firstLine="708"/>
        <w:jc w:val="both"/>
        <w:rPr>
          <w:lang w:val="de-DE"/>
        </w:rPr>
      </w:pPr>
      <w:r w:rsidRPr="004676F5">
        <w:rPr>
          <w:lang w:val="de-DE"/>
        </w:rPr>
        <w:t>15. Zertifikatsinhaber: natürliche oder juristische Person, der ein Vertrauensdienste</w:t>
      </w:r>
      <w:r w:rsidRPr="004676F5">
        <w:rPr>
          <w:lang w:val="de-DE"/>
        </w:rPr>
        <w:softHyphen/>
        <w:t>anbieter ein Zertifikat für elektronische Signaturen beziehungsweise ein Zertifikat für elektronische Siegel ausgestellt hat,</w:t>
      </w:r>
    </w:p>
    <w:p w14:paraId="5E5EA5AD" w14:textId="77777777" w:rsidR="00B54AAB" w:rsidRPr="004676F5" w:rsidRDefault="00B54AAB" w:rsidP="00B54AAB">
      <w:pPr>
        <w:ind w:firstLine="708"/>
        <w:jc w:val="both"/>
        <w:rPr>
          <w:lang w:val="de-DE"/>
        </w:rPr>
      </w:pPr>
    </w:p>
    <w:p w14:paraId="7006B9DB" w14:textId="77777777" w:rsidR="00B54AAB" w:rsidRPr="004676F5" w:rsidRDefault="00B54AAB" w:rsidP="00B54AAB">
      <w:pPr>
        <w:ind w:firstLine="708"/>
        <w:jc w:val="both"/>
        <w:rPr>
          <w:lang w:val="de-DE"/>
        </w:rPr>
      </w:pPr>
      <w:r w:rsidRPr="004676F5">
        <w:rPr>
          <w:lang w:val="de-DE"/>
        </w:rPr>
        <w:t>16. Aufsichtsstelle: in Artikel 17 Absatz 1 der Verordnung 910/2014 erwähnte Stelle, die beim Föderalen Öffentlichen Dienst Wirtschaft, KMB, Mittelstand und Energie geschaffen wird, sich aus den in Artikel XV.2 erwähnten Bediensteten zusammensetzt und mit der Wahrnehmung der Aufsicht über die in Belgien ansässigen Vertrauensdiensteanbieter beauftragt ist, einschließlich der Dienste für elektronische Archivierung,</w:t>
      </w:r>
    </w:p>
    <w:p w14:paraId="4D1508DC" w14:textId="77777777" w:rsidR="00B54AAB" w:rsidRPr="004676F5" w:rsidRDefault="00B54AAB" w:rsidP="00B54AAB">
      <w:pPr>
        <w:ind w:firstLine="708"/>
        <w:jc w:val="both"/>
        <w:rPr>
          <w:lang w:val="de-DE"/>
        </w:rPr>
      </w:pPr>
    </w:p>
    <w:p w14:paraId="3B01B4F7" w14:textId="77777777" w:rsidR="00B54AAB" w:rsidRPr="004676F5" w:rsidRDefault="00B54AAB" w:rsidP="00B54AAB">
      <w:pPr>
        <w:ind w:firstLine="708"/>
        <w:jc w:val="both"/>
        <w:rPr>
          <w:lang w:val="de-DE"/>
        </w:rPr>
      </w:pPr>
      <w:r w:rsidRPr="004676F5">
        <w:rPr>
          <w:lang w:val="de-DE"/>
        </w:rPr>
        <w:t>17. Dienst für elektronische Archivierung: zusätzlicher Vertrauensdienst zu den in Artikel 3 Nr. 16 der Verordnung 910/2014 erwähnten Diensten, der in der Aufbewahrung von elektronischen Daten oder der Digitalisierung von Papierunterlagen besteht und von einem Vertrauensdiensteanbieter im Sinne von Artikel 3 Nr. 19 der Verordnung 910/2014 erbracht oder für eigene Rechnung von einer öffentlichen Einrichtung oder einer natürlichen oder juristischen Person betrieben wird,</w:t>
      </w:r>
    </w:p>
    <w:p w14:paraId="4B8847CA" w14:textId="77777777" w:rsidR="00B54AAB" w:rsidRPr="004676F5" w:rsidRDefault="00B54AAB" w:rsidP="00B54AAB">
      <w:pPr>
        <w:ind w:firstLine="708"/>
        <w:jc w:val="both"/>
        <w:rPr>
          <w:lang w:val="de-DE"/>
        </w:rPr>
      </w:pPr>
    </w:p>
    <w:p w14:paraId="4636E4FA" w14:textId="77777777" w:rsidR="00B54AAB" w:rsidRPr="004676F5" w:rsidRDefault="00B54AAB">
      <w:pPr>
        <w:rPr>
          <w:lang w:val="de-DE"/>
        </w:rPr>
      </w:pPr>
      <w:r w:rsidRPr="004676F5">
        <w:rPr>
          <w:lang w:val="de-DE"/>
        </w:rPr>
        <w:br w:type="page"/>
      </w:r>
    </w:p>
    <w:p w14:paraId="42FB276F" w14:textId="47600796" w:rsidR="003323FA" w:rsidRDefault="00B54AAB" w:rsidP="00B54AAB">
      <w:pPr>
        <w:ind w:firstLine="708"/>
        <w:jc w:val="both"/>
        <w:rPr>
          <w:lang w:val="de-DE"/>
        </w:rPr>
      </w:pPr>
      <w:r w:rsidRPr="004676F5">
        <w:rPr>
          <w:lang w:val="de-DE"/>
        </w:rPr>
        <w:lastRenderedPageBreak/>
        <w:t>18. qualifizierter Dienst für elektronische Archivierung: Dienst für elektronische Archivierung, der von einem qualifizierten Vertrauensdiensteanbieter im Sinne von Artikel 3 Nr. 20 der Verordnung 910/2014 erbracht wird, der sich an die Bestimmungen von Titel 2 und der Anlage I zu Buch XII hält, oder der für eigene Rechnung von einer öffentlichen Einrichtung oder einer natürlichen oder juristischen Person betrieben wird, die sich an die Bestimmungen desselben Titels und derselben Anlage hält, ausgenommen der Buchstaben </w:t>
      </w:r>
      <w:r w:rsidRPr="004676F5">
        <w:rPr>
          <w:i/>
          <w:lang w:val="de-DE"/>
        </w:rPr>
        <w:t>e)</w:t>
      </w:r>
      <w:r w:rsidRPr="004676F5">
        <w:rPr>
          <w:lang w:val="de-DE"/>
        </w:rPr>
        <w:t xml:space="preserve">, </w:t>
      </w:r>
      <w:r w:rsidRPr="004676F5">
        <w:rPr>
          <w:i/>
          <w:lang w:val="de-DE"/>
        </w:rPr>
        <w:t>i)</w:t>
      </w:r>
      <w:r w:rsidRPr="004676F5">
        <w:rPr>
          <w:lang w:val="de-DE"/>
        </w:rPr>
        <w:t xml:space="preserve">, </w:t>
      </w:r>
      <w:r w:rsidRPr="004676F5">
        <w:rPr>
          <w:i/>
          <w:lang w:val="de-DE"/>
        </w:rPr>
        <w:t>j)</w:t>
      </w:r>
      <w:r w:rsidRPr="004676F5">
        <w:rPr>
          <w:lang w:val="de-DE"/>
        </w:rPr>
        <w:t xml:space="preserve"> und </w:t>
      </w:r>
      <w:r w:rsidRPr="004676F5">
        <w:rPr>
          <w:i/>
          <w:lang w:val="de-DE"/>
        </w:rPr>
        <w:t>k)</w:t>
      </w:r>
      <w:r w:rsidR="00872F21">
        <w:rPr>
          <w:iCs/>
          <w:lang w:val="de-DE"/>
        </w:rPr>
        <w:t>,</w:t>
      </w:r>
      <w:r w:rsidRPr="004676F5">
        <w:rPr>
          <w:lang w:val="de-DE"/>
        </w:rPr>
        <w:t>]</w:t>
      </w:r>
    </w:p>
    <w:p w14:paraId="5D5978AA" w14:textId="77777777" w:rsidR="00872F21" w:rsidRDefault="00872F21" w:rsidP="00B54AAB">
      <w:pPr>
        <w:ind w:firstLine="708"/>
        <w:jc w:val="both"/>
        <w:rPr>
          <w:lang w:val="de-DE"/>
        </w:rPr>
      </w:pPr>
    </w:p>
    <w:p w14:paraId="52B93FE1" w14:textId="6E022F4A" w:rsidR="00872F21" w:rsidRPr="00285483" w:rsidRDefault="00872F21" w:rsidP="00872F21">
      <w:pPr>
        <w:jc w:val="both"/>
        <w:rPr>
          <w:lang w:val="de-DE"/>
        </w:rPr>
      </w:pPr>
      <w:r>
        <w:rPr>
          <w:lang w:val="de-DE"/>
        </w:rPr>
        <w:tab/>
        <w:t>[</w:t>
      </w:r>
      <w:r w:rsidRPr="00285483">
        <w:rPr>
          <w:lang w:val="de-DE"/>
        </w:rPr>
        <w:t>19. Verordnung 2022/868: Verordnung (EU) 2022/868 des Europäischen Parlaments und des Rates vom 30. Mai 2022 über europäische Daten-Governance und zur Änderung der Verordnung (EU) 2018/1724,</w:t>
      </w:r>
    </w:p>
    <w:p w14:paraId="27D47434" w14:textId="77777777" w:rsidR="00872F21" w:rsidRPr="00285483" w:rsidRDefault="00872F21" w:rsidP="00872F21">
      <w:pPr>
        <w:jc w:val="both"/>
        <w:rPr>
          <w:lang w:val="de-DE"/>
        </w:rPr>
      </w:pPr>
    </w:p>
    <w:p w14:paraId="1C7AC416" w14:textId="77777777" w:rsidR="00872F21" w:rsidRPr="00285483" w:rsidRDefault="00872F21" w:rsidP="00872F21">
      <w:pPr>
        <w:jc w:val="both"/>
        <w:rPr>
          <w:lang w:val="de-DE"/>
        </w:rPr>
      </w:pPr>
      <w:r w:rsidRPr="00285483">
        <w:rPr>
          <w:lang w:val="de-DE"/>
        </w:rPr>
        <w:tab/>
        <w:t>20. Anbieter von Datenvermittlungsdiensten: Anbieter eines Dienstes im Sinne von Artikel 2 Nr. 11 und 15 der Verordnung 2022/868,</w:t>
      </w:r>
    </w:p>
    <w:p w14:paraId="2CC147A0" w14:textId="77777777" w:rsidR="00872F21" w:rsidRPr="00285483" w:rsidRDefault="00872F21" w:rsidP="00872F21">
      <w:pPr>
        <w:jc w:val="both"/>
        <w:rPr>
          <w:lang w:val="de-DE"/>
        </w:rPr>
      </w:pPr>
    </w:p>
    <w:p w14:paraId="0DE5917B" w14:textId="77777777" w:rsidR="00872F21" w:rsidRPr="00285483" w:rsidRDefault="00872F21" w:rsidP="00872F21">
      <w:pPr>
        <w:jc w:val="both"/>
        <w:rPr>
          <w:lang w:val="de-DE"/>
        </w:rPr>
      </w:pPr>
      <w:r w:rsidRPr="00285483">
        <w:rPr>
          <w:lang w:val="de-DE"/>
        </w:rPr>
        <w:tab/>
        <w:t>21. datenaltruistische Organisation: juristische Person, die eine gemeinnützige datenaltruistische Tätigkeit im Sinne von Artikel 2 Nr. 16 der Verordnung 2022/868 ausübt,</w:t>
      </w:r>
    </w:p>
    <w:p w14:paraId="3B0AD2AE" w14:textId="77777777" w:rsidR="00872F21" w:rsidRPr="00285483" w:rsidRDefault="00872F21" w:rsidP="00872F21">
      <w:pPr>
        <w:jc w:val="both"/>
        <w:rPr>
          <w:lang w:val="de-DE"/>
        </w:rPr>
      </w:pPr>
    </w:p>
    <w:p w14:paraId="2941437D" w14:textId="77777777" w:rsidR="00872F21" w:rsidRPr="00285483" w:rsidRDefault="00872F21" w:rsidP="00872F21">
      <w:pPr>
        <w:jc w:val="both"/>
        <w:rPr>
          <w:lang w:val="de-DE"/>
        </w:rPr>
      </w:pPr>
      <w:r w:rsidRPr="00285483">
        <w:rPr>
          <w:lang w:val="de-DE"/>
        </w:rPr>
        <w:tab/>
        <w:t>22. Eintragungsorgan: Organ wie in den Artikeln 13 und 23 der Verordnung 2022/868 erwähnt, das innerhalb des Föderalen Öffentlichen Dienstes Wirtschaft, KMB, Mittelstand und Energie eingerichtet ist und mit der Eintragung von Anbietern von Datenvermittlungsdiensten und der Registrierung von datenaltruistischen Organisationen, die in Belgien ansässig sind oder einen gesetzlichen Vertreter in Belgien haben, beauftragt ist,</w:t>
      </w:r>
    </w:p>
    <w:p w14:paraId="47C6E9ED" w14:textId="77777777" w:rsidR="00872F21" w:rsidRPr="00285483" w:rsidRDefault="00872F21" w:rsidP="00872F21">
      <w:pPr>
        <w:jc w:val="both"/>
        <w:rPr>
          <w:lang w:val="de-DE"/>
        </w:rPr>
      </w:pPr>
    </w:p>
    <w:p w14:paraId="08A0C51D" w14:textId="086A3865" w:rsidR="00872F21" w:rsidRPr="004676F5" w:rsidRDefault="00872F21" w:rsidP="00872F21">
      <w:pPr>
        <w:ind w:firstLine="708"/>
        <w:jc w:val="both"/>
        <w:rPr>
          <w:lang w:val="de-DE"/>
        </w:rPr>
      </w:pPr>
      <w:r w:rsidRPr="00285483">
        <w:rPr>
          <w:lang w:val="de-DE"/>
        </w:rPr>
        <w:t>23. Organ für die Überwachung von Datenvermittlungsdiensten und datenaltruistischen Organisationen: Organ wie in den Artikeln 13 und 23 der Verordnung 2022/868 erwähnt, das innerhalb des Föderalen Öffentlichen Dienstes Wirtschaft, KMB, Mittelstand und Energie eingerichtet ist, sich aus den in Artikel XV.2 erwähnten Bediensteten zusammensetzt und mit der Überwachung der Tätigkeiten von Anbietern von Datenvermittlungsdiensten und datenaltruistischen Organisationen, die in Belgien ansässig sind oder einen gesetzlichen Vertreter in Belgien haben, beauftragt ist.</w:t>
      </w:r>
      <w:r>
        <w:rPr>
          <w:lang w:val="de-DE"/>
        </w:rPr>
        <w:t>]</w:t>
      </w:r>
    </w:p>
    <w:p w14:paraId="38249448" w14:textId="77777777" w:rsidR="00B54AAB" w:rsidRPr="004676F5" w:rsidRDefault="00B54AAB" w:rsidP="00B54AAB">
      <w:pPr>
        <w:ind w:firstLine="708"/>
        <w:jc w:val="both"/>
        <w:rPr>
          <w:lang w:val="de-DE"/>
        </w:rPr>
      </w:pPr>
    </w:p>
    <w:p w14:paraId="6E596884" w14:textId="38E10951" w:rsidR="00B54AAB" w:rsidRDefault="00B54AAB" w:rsidP="00B54AAB">
      <w:pPr>
        <w:jc w:val="both"/>
        <w:rPr>
          <w:iCs/>
          <w:lang w:val="de-DE"/>
        </w:rPr>
      </w:pPr>
      <w:r w:rsidRPr="004676F5">
        <w:rPr>
          <w:i/>
          <w:lang w:val="de-DE"/>
        </w:rPr>
        <w:t>[</w:t>
      </w:r>
      <w:r w:rsidR="00BE0A56" w:rsidRPr="004676F5">
        <w:rPr>
          <w:i/>
          <w:lang w:val="de-DE"/>
        </w:rPr>
        <w:t>Art. </w:t>
      </w:r>
      <w:r w:rsidRPr="004676F5">
        <w:rPr>
          <w:i/>
          <w:lang w:val="de-DE"/>
        </w:rPr>
        <w:t xml:space="preserve">I.18 einziger Absatz Nr. 14 bis 18 eingefügt durch </w:t>
      </w:r>
      <w:r w:rsidR="00BE0A56" w:rsidRPr="004676F5">
        <w:rPr>
          <w:i/>
          <w:lang w:val="de-DE"/>
        </w:rPr>
        <w:t>Art. </w:t>
      </w:r>
      <w:r w:rsidRPr="004676F5">
        <w:rPr>
          <w:i/>
          <w:lang w:val="de-DE"/>
        </w:rPr>
        <w:t>2 des G. vom 21. Juli 2016 (B.S. vom 28. September 2016)</w:t>
      </w:r>
      <w:r w:rsidR="00872F21">
        <w:rPr>
          <w:i/>
          <w:lang w:val="de-DE"/>
        </w:rPr>
        <w:t>; einziger Absatz Nr. 19 bis 23 eingefügt durch das G. vom 15. Mai 2024 (B.S. vom 7. Juni 202</w:t>
      </w:r>
      <w:r w:rsidR="008E3B20">
        <w:rPr>
          <w:i/>
          <w:lang w:val="de-DE"/>
        </w:rPr>
        <w:t>4</w:t>
      </w:r>
      <w:r w:rsidR="00872F21">
        <w:rPr>
          <w:i/>
          <w:lang w:val="de-DE"/>
        </w:rPr>
        <w:t>)</w:t>
      </w:r>
      <w:r w:rsidRPr="004676F5">
        <w:rPr>
          <w:i/>
          <w:lang w:val="de-DE"/>
        </w:rPr>
        <w:t>]</w:t>
      </w:r>
    </w:p>
    <w:p w14:paraId="3F93745D" w14:textId="77777777" w:rsidR="00872F21" w:rsidRDefault="00872F21" w:rsidP="00B54AAB">
      <w:pPr>
        <w:jc w:val="both"/>
        <w:rPr>
          <w:iCs/>
          <w:lang w:val="de-DE"/>
        </w:rPr>
      </w:pPr>
    </w:p>
    <w:p w14:paraId="3F42BA44" w14:textId="77777777" w:rsidR="00872F21" w:rsidRPr="00872F21" w:rsidRDefault="00872F21" w:rsidP="00B54AAB">
      <w:pPr>
        <w:jc w:val="both"/>
        <w:rPr>
          <w:iCs/>
          <w:lang w:val="de-DE"/>
        </w:rPr>
      </w:pPr>
    </w:p>
    <w:p w14:paraId="1A0D9201" w14:textId="77777777" w:rsidR="00872F21" w:rsidRDefault="00872F21">
      <w:pPr>
        <w:rPr>
          <w:lang w:val="de-DE"/>
        </w:rPr>
      </w:pPr>
      <w:r>
        <w:rPr>
          <w:lang w:val="de-DE"/>
        </w:rPr>
        <w:br w:type="page"/>
      </w:r>
    </w:p>
    <w:p w14:paraId="770B9266" w14:textId="7A4A939B" w:rsidR="00456FEB" w:rsidRPr="004676F5" w:rsidRDefault="00456FEB" w:rsidP="00456FEB">
      <w:pPr>
        <w:jc w:val="center"/>
        <w:rPr>
          <w:lang w:val="de-DE"/>
        </w:rPr>
      </w:pPr>
      <w:r w:rsidRPr="004676F5">
        <w:rPr>
          <w:lang w:val="de-DE"/>
        </w:rPr>
        <w:lastRenderedPageBreak/>
        <w:t>[KAPITEL 11 </w:t>
      </w:r>
      <w:r w:rsidR="005B7A5C" w:rsidRPr="004676F5">
        <w:rPr>
          <w:lang w:val="de-DE"/>
        </w:rPr>
        <w:t>- </w:t>
      </w:r>
      <w:r w:rsidRPr="004676F5">
        <w:rPr>
          <w:i/>
          <w:lang w:val="de-DE"/>
        </w:rPr>
        <w:t>Begriffsbestimmungen Buch XVI</w:t>
      </w:r>
    </w:p>
    <w:p w14:paraId="11FC5C67" w14:textId="77777777" w:rsidR="00456FEB" w:rsidRPr="004676F5" w:rsidRDefault="00456FEB" w:rsidP="00456FEB">
      <w:pPr>
        <w:jc w:val="center"/>
        <w:rPr>
          <w:lang w:val="de-DE"/>
        </w:rPr>
      </w:pPr>
    </w:p>
    <w:p w14:paraId="19718CF3" w14:textId="03284264" w:rsidR="00456FEB" w:rsidRPr="004676F5" w:rsidRDefault="00456FEB" w:rsidP="00456FEB">
      <w:pPr>
        <w:jc w:val="both"/>
        <w:rPr>
          <w:i/>
          <w:lang w:val="de-DE"/>
        </w:rPr>
      </w:pPr>
      <w:r w:rsidRPr="004676F5">
        <w:rPr>
          <w:i/>
          <w:lang w:val="de-DE"/>
        </w:rPr>
        <w:t xml:space="preserve">[Kapitel 11 mit </w:t>
      </w:r>
      <w:r w:rsidR="00BE0A56" w:rsidRPr="004676F5">
        <w:rPr>
          <w:i/>
          <w:lang w:val="de-DE"/>
        </w:rPr>
        <w:t>Art. </w:t>
      </w:r>
      <w:r w:rsidRPr="004676F5">
        <w:rPr>
          <w:i/>
          <w:lang w:val="de-DE"/>
        </w:rPr>
        <w:t xml:space="preserve">I.19 eingefügt durch </w:t>
      </w:r>
      <w:r w:rsidR="00BE0A56" w:rsidRPr="004676F5">
        <w:rPr>
          <w:i/>
          <w:lang w:val="de-DE"/>
        </w:rPr>
        <w:t>Art. </w:t>
      </w:r>
      <w:r w:rsidRPr="004676F5">
        <w:rPr>
          <w:i/>
          <w:lang w:val="de-DE"/>
        </w:rPr>
        <w:t>2 des G. vom 4. April 2014 (B.S. vom 12. Mai 2014)]</w:t>
      </w:r>
    </w:p>
    <w:p w14:paraId="3438FC3A" w14:textId="77777777" w:rsidR="00456FEB" w:rsidRPr="004676F5" w:rsidRDefault="00456FEB" w:rsidP="00456FEB">
      <w:pPr>
        <w:jc w:val="both"/>
        <w:rPr>
          <w:i/>
          <w:lang w:val="de-DE"/>
        </w:rPr>
      </w:pPr>
    </w:p>
    <w:p w14:paraId="09310E85" w14:textId="77777777" w:rsidR="00456FEB" w:rsidRPr="004676F5" w:rsidRDefault="00456FEB" w:rsidP="00456FEB">
      <w:pPr>
        <w:ind w:firstLine="708"/>
        <w:jc w:val="both"/>
        <w:rPr>
          <w:lang w:val="de-DE"/>
        </w:rPr>
      </w:pPr>
    </w:p>
    <w:p w14:paraId="3A06C8CD" w14:textId="6D0232A1" w:rsidR="00456FEB" w:rsidRPr="004676F5" w:rsidRDefault="00BE0A56" w:rsidP="00456FEB">
      <w:pPr>
        <w:ind w:firstLine="708"/>
        <w:jc w:val="both"/>
        <w:rPr>
          <w:lang w:val="de-DE"/>
        </w:rPr>
      </w:pPr>
      <w:r w:rsidRPr="004676F5">
        <w:rPr>
          <w:b/>
          <w:lang w:val="de-DE"/>
        </w:rPr>
        <w:t>Art. </w:t>
      </w:r>
      <w:r w:rsidR="00456FEB" w:rsidRPr="004676F5">
        <w:rPr>
          <w:b/>
          <w:lang w:val="de-DE"/>
        </w:rPr>
        <w:t>I.19</w:t>
      </w:r>
      <w:r w:rsidR="00456FEB" w:rsidRPr="004676F5">
        <w:rPr>
          <w:lang w:val="de-DE"/>
        </w:rPr>
        <w:t> </w:t>
      </w:r>
      <w:r w:rsidR="005B7A5C" w:rsidRPr="004676F5">
        <w:rPr>
          <w:lang w:val="de-DE"/>
        </w:rPr>
        <w:t>- </w:t>
      </w:r>
      <w:r w:rsidR="00456FEB" w:rsidRPr="004676F5">
        <w:rPr>
          <w:lang w:val="de-DE"/>
        </w:rPr>
        <w:t>Folgende Begriffsbestimmungen gelten für Buch XVI:</w:t>
      </w:r>
    </w:p>
    <w:p w14:paraId="31523B10" w14:textId="77777777" w:rsidR="00456FEB" w:rsidRPr="004676F5" w:rsidRDefault="00456FEB" w:rsidP="00456FEB">
      <w:pPr>
        <w:ind w:firstLine="708"/>
        <w:jc w:val="both"/>
        <w:rPr>
          <w:lang w:val="de-DE"/>
        </w:rPr>
      </w:pPr>
    </w:p>
    <w:p w14:paraId="3AB09F71" w14:textId="77777777" w:rsidR="00456FEB" w:rsidRPr="004676F5" w:rsidRDefault="00456FEB" w:rsidP="00456FEB">
      <w:pPr>
        <w:ind w:firstLine="708"/>
        <w:jc w:val="both"/>
        <w:rPr>
          <w:lang w:val="de-DE"/>
        </w:rPr>
      </w:pPr>
      <w:r w:rsidRPr="004676F5">
        <w:rPr>
          <w:lang w:val="de-DE"/>
        </w:rPr>
        <w:t>1. Handelsvereinigung, Berufsverband oder Berufsorganisation: Vereinigung, deren Zweck ausschließlich oder hauptsächlich in der Untersuchung, dem Schutz und der Förderung der beruflichen oder überberuflichen Interessen ihrer Mitglieder besteht,</w:t>
      </w:r>
    </w:p>
    <w:p w14:paraId="24E18898" w14:textId="77777777" w:rsidR="00456FEB" w:rsidRPr="004676F5" w:rsidRDefault="00456FEB" w:rsidP="00456FEB">
      <w:pPr>
        <w:ind w:firstLine="708"/>
        <w:jc w:val="both"/>
        <w:rPr>
          <w:lang w:val="de-DE"/>
        </w:rPr>
      </w:pPr>
    </w:p>
    <w:p w14:paraId="7B420130" w14:textId="79FC689A" w:rsidR="00456FEB" w:rsidRPr="004676F5" w:rsidRDefault="00456FEB" w:rsidP="00456FEB">
      <w:pPr>
        <w:ind w:firstLine="708"/>
        <w:jc w:val="both"/>
        <w:rPr>
          <w:lang w:val="de-DE"/>
        </w:rPr>
      </w:pPr>
      <w:r w:rsidRPr="004676F5">
        <w:rPr>
          <w:lang w:val="de-DE"/>
        </w:rPr>
        <w:t>2. verbraucherrechtliche Streitigkeit: Streitigkeit zwischen einem Verbraucher und einem Unternehmen aus der Ausführung eines Kauf</w:t>
      </w:r>
      <w:r w:rsidR="005B7A5C" w:rsidRPr="004676F5">
        <w:rPr>
          <w:lang w:val="de-DE"/>
        </w:rPr>
        <w:t>- </w:t>
      </w:r>
      <w:r w:rsidRPr="004676F5">
        <w:rPr>
          <w:lang w:val="de-DE"/>
        </w:rPr>
        <w:t>oder Dienstleistungsvertrags oder der Benutzung eines Produkts,</w:t>
      </w:r>
    </w:p>
    <w:p w14:paraId="2E3483B4" w14:textId="77777777" w:rsidR="00456FEB" w:rsidRPr="004676F5" w:rsidRDefault="00456FEB" w:rsidP="00456FEB">
      <w:pPr>
        <w:jc w:val="both"/>
        <w:rPr>
          <w:lang w:val="de-DE"/>
        </w:rPr>
      </w:pPr>
    </w:p>
    <w:p w14:paraId="2FAD4E35" w14:textId="77777777" w:rsidR="00456FEB" w:rsidRPr="004676F5" w:rsidRDefault="00456FEB" w:rsidP="00456FEB">
      <w:pPr>
        <w:ind w:firstLine="708"/>
        <w:jc w:val="both"/>
        <w:rPr>
          <w:lang w:val="de-DE"/>
        </w:rPr>
      </w:pPr>
      <w:r w:rsidRPr="004676F5">
        <w:rPr>
          <w:lang w:val="de-DE"/>
        </w:rPr>
        <w:t>3. außergerichtliche Beilegung verbraucherrechtlicher Streitigkeiten: jegliche Einschaltung einer von den Behörden geschaffenen Einrichtung oder einer unabhängigen privaten Einrichtung, die eine Lösung vorschlägt oder auferlegt oder die Parteien mit dem Ziel zusammenbringt, eine verbraucherrechtliche Streitigkeit beizulegen,</w:t>
      </w:r>
    </w:p>
    <w:p w14:paraId="269E1B7A" w14:textId="77777777" w:rsidR="00456FEB" w:rsidRPr="004676F5" w:rsidRDefault="00456FEB" w:rsidP="00456FEB">
      <w:pPr>
        <w:ind w:firstLine="708"/>
        <w:jc w:val="both"/>
        <w:rPr>
          <w:lang w:val="de-DE"/>
        </w:rPr>
      </w:pPr>
    </w:p>
    <w:p w14:paraId="1A90D118" w14:textId="77777777" w:rsidR="000F3DD2" w:rsidRPr="004676F5" w:rsidRDefault="00456FEB" w:rsidP="00456FEB">
      <w:pPr>
        <w:jc w:val="both"/>
        <w:rPr>
          <w:lang w:val="de-DE"/>
        </w:rPr>
      </w:pPr>
      <w:r w:rsidRPr="004676F5">
        <w:rPr>
          <w:lang w:val="de-DE"/>
        </w:rPr>
        <w:tab/>
        <w:t>4. qualifizierte Einrichtung: private oder von einer öffentlichen Behörde geschaffene Einrichtung, die außergerichtlich verbraucherrechtliche Streitigkeiten beilegt und in dem Verzeichnis aufgenommen ist, das vom Föderalen Öffentlichen Dienst Wirtschaft, KMB, Mittelstand und Energie erstellt und in Ausführung der Richtlinie 2013/11/EU des Europäischen Parlaments und des Rates vom 21. Mai 2013 über die alternative Beilegung verbraucherrechtlicher Streitigkeiten und zur Änderung der Verordnung (EG) Nr. 2006/2004 und der Richtlinie 2009/22/EG der Europäischen Kommission übermittelt wird</w:t>
      </w:r>
      <w:r w:rsidR="0048281F" w:rsidRPr="004676F5">
        <w:rPr>
          <w:lang w:val="de-DE"/>
        </w:rPr>
        <w:t>,</w:t>
      </w:r>
      <w:r w:rsidRPr="004676F5">
        <w:rPr>
          <w:lang w:val="de-DE"/>
        </w:rPr>
        <w:t>]</w:t>
      </w:r>
    </w:p>
    <w:p w14:paraId="40B23AEB" w14:textId="77777777" w:rsidR="0048281F" w:rsidRPr="004676F5" w:rsidRDefault="0048281F" w:rsidP="00456FEB">
      <w:pPr>
        <w:jc w:val="both"/>
        <w:rPr>
          <w:lang w:val="de-DE"/>
        </w:rPr>
      </w:pPr>
    </w:p>
    <w:p w14:paraId="108B21DD" w14:textId="54EB0580" w:rsidR="0048281F" w:rsidRPr="004676F5" w:rsidRDefault="0048281F" w:rsidP="00456FEB">
      <w:pPr>
        <w:jc w:val="both"/>
        <w:rPr>
          <w:lang w:val="de-DE"/>
        </w:rPr>
      </w:pPr>
      <w:r w:rsidRPr="004676F5">
        <w:rPr>
          <w:lang w:val="de-DE"/>
        </w:rPr>
        <w:tab/>
        <w:t>[5. </w:t>
      </w:r>
      <w:r w:rsidR="00D04E8C" w:rsidRPr="004676F5">
        <w:rPr>
          <w:lang w:val="de-DE"/>
        </w:rPr>
        <w:t>[...]</w:t>
      </w:r>
      <w:r w:rsidRPr="004676F5">
        <w:rPr>
          <w:lang w:val="de-DE"/>
        </w:rPr>
        <w:t>]</w:t>
      </w:r>
    </w:p>
    <w:p w14:paraId="7F73B978" w14:textId="159F3A2A" w:rsidR="007851EF" w:rsidRPr="004676F5" w:rsidRDefault="007851EF" w:rsidP="00456FEB">
      <w:pPr>
        <w:jc w:val="both"/>
        <w:rPr>
          <w:lang w:val="de-DE"/>
        </w:rPr>
      </w:pPr>
    </w:p>
    <w:p w14:paraId="1887239E" w14:textId="78B59186" w:rsidR="007851EF" w:rsidRPr="004676F5" w:rsidRDefault="007851EF" w:rsidP="00456FEB">
      <w:pPr>
        <w:jc w:val="both"/>
        <w:rPr>
          <w:lang w:val="de-DE"/>
        </w:rPr>
      </w:pPr>
      <w:r w:rsidRPr="004676F5">
        <w:rPr>
          <w:lang w:val="de-DE"/>
        </w:rPr>
        <w:tab/>
        <w:t>[6. Unternehmen: natürliche oder juristische Personen, die auf dauerhafte Weise einen wirtschaftlichen Zweck verfolgen, und ihre Vereinigungen.]</w:t>
      </w:r>
    </w:p>
    <w:p w14:paraId="449EE29E" w14:textId="77777777" w:rsidR="0048281F" w:rsidRPr="004676F5" w:rsidRDefault="0048281F" w:rsidP="00456FEB">
      <w:pPr>
        <w:jc w:val="both"/>
        <w:rPr>
          <w:lang w:val="de-DE"/>
        </w:rPr>
      </w:pPr>
    </w:p>
    <w:p w14:paraId="1E689E3E" w14:textId="4AB9BD08" w:rsidR="0048281F" w:rsidRPr="004676F5" w:rsidRDefault="0048281F" w:rsidP="00456FEB">
      <w:pPr>
        <w:jc w:val="both"/>
        <w:rPr>
          <w:i/>
          <w:lang w:val="de-DE"/>
        </w:rPr>
      </w:pPr>
      <w:r w:rsidRPr="004676F5">
        <w:rPr>
          <w:i/>
          <w:lang w:val="de-DE"/>
        </w:rPr>
        <w:t>[</w:t>
      </w:r>
      <w:r w:rsidR="00BE0A56" w:rsidRPr="004676F5">
        <w:rPr>
          <w:i/>
          <w:lang w:val="de-DE"/>
        </w:rPr>
        <w:t>Art. </w:t>
      </w:r>
      <w:r w:rsidRPr="004676F5">
        <w:rPr>
          <w:i/>
          <w:lang w:val="de-DE"/>
        </w:rPr>
        <w:t xml:space="preserve">I.19 einziger Absatz Nr. 5 eingefügt durch </w:t>
      </w:r>
      <w:r w:rsidR="00BE0A56" w:rsidRPr="004676F5">
        <w:rPr>
          <w:i/>
          <w:lang w:val="de-DE"/>
        </w:rPr>
        <w:t>Art. </w:t>
      </w:r>
      <w:r w:rsidRPr="004676F5">
        <w:rPr>
          <w:i/>
          <w:lang w:val="de-DE"/>
        </w:rPr>
        <w:t>4</w:t>
      </w:r>
      <w:r w:rsidRPr="004676F5">
        <w:rPr>
          <w:i/>
          <w:iCs/>
          <w:lang w:val="de-DE"/>
        </w:rPr>
        <w:t xml:space="preserve"> </w:t>
      </w:r>
      <w:r w:rsidRPr="004676F5">
        <w:rPr>
          <w:i/>
          <w:lang w:val="de-DE"/>
        </w:rPr>
        <w:t>des G. vom 26. Oktober 2015 (B.S. vom 30. Oktober 2015)</w:t>
      </w:r>
      <w:r w:rsidR="00D04E8C" w:rsidRPr="004676F5">
        <w:rPr>
          <w:i/>
          <w:lang w:val="de-DE"/>
        </w:rPr>
        <w:t xml:space="preserve"> und aufgehoben durch Art. 4 Nr. 4</w:t>
      </w:r>
      <w:r w:rsidR="00D04E8C" w:rsidRPr="004676F5">
        <w:rPr>
          <w:i/>
          <w:iCs/>
          <w:lang w:val="de-DE"/>
        </w:rPr>
        <w:t xml:space="preserve"> des G. vom 20. September 2018 (B.S. vom 10. Oktober 2018)</w:t>
      </w:r>
      <w:r w:rsidR="007851EF" w:rsidRPr="004676F5">
        <w:rPr>
          <w:i/>
          <w:lang w:val="de-DE"/>
        </w:rPr>
        <w:t>; einziger Absatz Nr. 6 eingefügt durch Art. 45</w:t>
      </w:r>
      <w:r w:rsidR="007851EF" w:rsidRPr="004676F5">
        <w:rPr>
          <w:i/>
          <w:iCs/>
          <w:lang w:val="de-DE"/>
        </w:rPr>
        <w:t xml:space="preserve"> des G. vom 15. April 2018 (B.S. vom 27. April 2018)</w:t>
      </w:r>
      <w:r w:rsidRPr="004676F5">
        <w:rPr>
          <w:i/>
          <w:lang w:val="de-DE"/>
        </w:rPr>
        <w:t>]</w:t>
      </w:r>
    </w:p>
    <w:p w14:paraId="2E8B7802" w14:textId="77777777" w:rsidR="00456FEB" w:rsidRPr="004676F5" w:rsidRDefault="00456FEB" w:rsidP="00456FEB">
      <w:pPr>
        <w:rPr>
          <w:lang w:val="de-DE"/>
        </w:rPr>
      </w:pPr>
    </w:p>
    <w:p w14:paraId="3787A325" w14:textId="77777777" w:rsidR="00456FEB" w:rsidRPr="004676F5" w:rsidRDefault="00456FEB" w:rsidP="00456FEB">
      <w:pPr>
        <w:rPr>
          <w:b/>
          <w:lang w:val="de-DE"/>
        </w:rPr>
      </w:pPr>
    </w:p>
    <w:p w14:paraId="698A81AE" w14:textId="77777777" w:rsidR="00456FEB" w:rsidRPr="004676F5" w:rsidRDefault="00456FEB" w:rsidP="00302D19">
      <w:pPr>
        <w:jc w:val="center"/>
        <w:rPr>
          <w:b/>
          <w:lang w:val="de-DE"/>
        </w:rPr>
      </w:pPr>
      <w:r w:rsidRPr="004676F5">
        <w:rPr>
          <w:b/>
          <w:lang w:val="de-DE"/>
        </w:rPr>
        <w:br/>
      </w:r>
    </w:p>
    <w:p w14:paraId="019DD5BE" w14:textId="77777777" w:rsidR="00456FEB" w:rsidRPr="004676F5" w:rsidRDefault="00456FEB">
      <w:pPr>
        <w:rPr>
          <w:b/>
          <w:lang w:val="de-DE"/>
        </w:rPr>
      </w:pPr>
      <w:r w:rsidRPr="004676F5">
        <w:rPr>
          <w:b/>
          <w:lang w:val="de-DE"/>
        </w:rPr>
        <w:br w:type="page"/>
      </w:r>
    </w:p>
    <w:p w14:paraId="1F1D9239" w14:textId="09329A1B" w:rsidR="00302D19" w:rsidRPr="004676F5" w:rsidRDefault="00302D19" w:rsidP="00302D19">
      <w:pPr>
        <w:jc w:val="center"/>
        <w:rPr>
          <w:lang w:val="de-DE"/>
        </w:rPr>
      </w:pPr>
      <w:r w:rsidRPr="004676F5">
        <w:rPr>
          <w:lang w:val="de-DE"/>
        </w:rPr>
        <w:lastRenderedPageBreak/>
        <w:t>[KAPITEL 12 </w:t>
      </w:r>
      <w:r w:rsidR="005B7A5C" w:rsidRPr="004676F5">
        <w:rPr>
          <w:lang w:val="de-DE"/>
        </w:rPr>
        <w:t>- </w:t>
      </w:r>
      <w:r w:rsidRPr="004676F5">
        <w:rPr>
          <w:i/>
          <w:lang w:val="de-DE"/>
        </w:rPr>
        <w:t>Begriffsbestimmungen Buch XV</w:t>
      </w:r>
    </w:p>
    <w:p w14:paraId="4C7F5106" w14:textId="77777777" w:rsidR="00302D19" w:rsidRPr="004676F5" w:rsidRDefault="00302D19" w:rsidP="00302D19">
      <w:pPr>
        <w:jc w:val="both"/>
        <w:rPr>
          <w:lang w:val="de-DE"/>
        </w:rPr>
      </w:pPr>
    </w:p>
    <w:p w14:paraId="4B5440FD" w14:textId="2F7C3E6B" w:rsidR="00302D19" w:rsidRPr="004676F5" w:rsidRDefault="00302D19" w:rsidP="00302D19">
      <w:pPr>
        <w:jc w:val="both"/>
        <w:rPr>
          <w:i/>
          <w:lang w:val="de-DE"/>
        </w:rPr>
      </w:pPr>
      <w:r w:rsidRPr="004676F5">
        <w:rPr>
          <w:i/>
          <w:lang w:val="de-DE"/>
        </w:rPr>
        <w:t>[Kapitel</w:t>
      </w:r>
      <w:r w:rsidR="003A13B8" w:rsidRPr="004676F5">
        <w:rPr>
          <w:i/>
          <w:lang w:val="de-DE"/>
        </w:rPr>
        <w:t> </w:t>
      </w:r>
      <w:r w:rsidRPr="004676F5">
        <w:rPr>
          <w:i/>
          <w:lang w:val="de-DE"/>
        </w:rPr>
        <w:t xml:space="preserve">12 mit </w:t>
      </w:r>
      <w:r w:rsidR="00BE0A56" w:rsidRPr="004676F5">
        <w:rPr>
          <w:i/>
          <w:lang w:val="de-DE"/>
        </w:rPr>
        <w:t>Art. </w:t>
      </w:r>
      <w:r w:rsidRPr="004676F5">
        <w:rPr>
          <w:i/>
          <w:lang w:val="de-DE"/>
        </w:rPr>
        <w:t xml:space="preserve">I.20 eingefügt durch </w:t>
      </w:r>
      <w:r w:rsidR="00BE0A56" w:rsidRPr="004676F5">
        <w:rPr>
          <w:i/>
          <w:lang w:val="de-DE"/>
        </w:rPr>
        <w:t>Art. </w:t>
      </w:r>
      <w:r w:rsidRPr="004676F5">
        <w:rPr>
          <w:i/>
          <w:lang w:val="de-DE"/>
        </w:rPr>
        <w:t>3 des G. vom 17. Juli 2013 (B.S. vom 14. August 2013)]</w:t>
      </w:r>
    </w:p>
    <w:p w14:paraId="7A4DF7FB" w14:textId="77777777" w:rsidR="00302D19" w:rsidRPr="004676F5" w:rsidRDefault="00302D19" w:rsidP="00302D19">
      <w:pPr>
        <w:jc w:val="both"/>
        <w:rPr>
          <w:lang w:val="de-DE"/>
        </w:rPr>
      </w:pPr>
    </w:p>
    <w:p w14:paraId="1C2F62BB" w14:textId="77777777" w:rsidR="00302D19" w:rsidRPr="004676F5" w:rsidRDefault="00302D19" w:rsidP="00302D19">
      <w:pPr>
        <w:jc w:val="both"/>
        <w:rPr>
          <w:lang w:val="de-DE"/>
        </w:rPr>
      </w:pPr>
    </w:p>
    <w:p w14:paraId="60EB4DDD" w14:textId="6741ABB3" w:rsidR="00302D19" w:rsidRPr="004676F5" w:rsidRDefault="00302D19" w:rsidP="00302D19">
      <w:pPr>
        <w:jc w:val="both"/>
        <w:rPr>
          <w:lang w:val="de-DE"/>
        </w:rPr>
      </w:pPr>
      <w:r w:rsidRPr="004676F5">
        <w:rPr>
          <w:lang w:val="de-DE"/>
        </w:rPr>
        <w:tab/>
      </w:r>
      <w:r w:rsidR="00BE0A56" w:rsidRPr="004676F5">
        <w:rPr>
          <w:b/>
          <w:lang w:val="de-DE"/>
        </w:rPr>
        <w:t>Art. </w:t>
      </w:r>
      <w:r w:rsidRPr="004676F5">
        <w:rPr>
          <w:b/>
          <w:lang w:val="de-DE"/>
        </w:rPr>
        <w:t>I.20</w:t>
      </w:r>
      <w:r w:rsidRPr="004676F5">
        <w:rPr>
          <w:lang w:val="de-DE"/>
        </w:rPr>
        <w:t> </w:t>
      </w:r>
      <w:r w:rsidR="005B7A5C" w:rsidRPr="004676F5">
        <w:rPr>
          <w:lang w:val="de-DE"/>
        </w:rPr>
        <w:t>- </w:t>
      </w:r>
      <w:r w:rsidRPr="004676F5">
        <w:rPr>
          <w:lang w:val="de-DE"/>
        </w:rPr>
        <w:t>Folgende Begriffsbestimmungen gelten für Buch XV:</w:t>
      </w:r>
    </w:p>
    <w:p w14:paraId="3E16FE63" w14:textId="77777777" w:rsidR="00302D19" w:rsidRPr="004676F5" w:rsidRDefault="00302D19" w:rsidP="00302D19">
      <w:pPr>
        <w:jc w:val="both"/>
        <w:rPr>
          <w:lang w:val="de-DE"/>
        </w:rPr>
      </w:pPr>
    </w:p>
    <w:p w14:paraId="1329F369" w14:textId="77777777" w:rsidR="00302D19" w:rsidRPr="004676F5" w:rsidRDefault="00302D19" w:rsidP="00302D19">
      <w:pPr>
        <w:jc w:val="both"/>
        <w:rPr>
          <w:lang w:val="de-DE"/>
        </w:rPr>
      </w:pPr>
      <w:r w:rsidRPr="004676F5">
        <w:rPr>
          <w:lang w:val="de-DE"/>
        </w:rPr>
        <w:tab/>
        <w:t>1. personenbezogene Daten: Informationen über eine bestimmte oder bestimmbare natürliche Person gemäß der in Artikel 1 § 1 des Gesetzes vom 8. Dezember 1992 über den Schutz des Privatlebens hinsichtlich der Verarbeitung personenbezogener Daten vorgesehenen Begriffsbestimmung,</w:t>
      </w:r>
    </w:p>
    <w:p w14:paraId="4B6BB5A5" w14:textId="77777777" w:rsidR="00302D19" w:rsidRPr="004676F5" w:rsidRDefault="00302D19" w:rsidP="00302D19">
      <w:pPr>
        <w:jc w:val="both"/>
        <w:rPr>
          <w:lang w:val="de-DE"/>
        </w:rPr>
      </w:pPr>
    </w:p>
    <w:p w14:paraId="7E24651C" w14:textId="77777777" w:rsidR="00302D19" w:rsidRPr="004676F5" w:rsidRDefault="00302D19" w:rsidP="00302D19">
      <w:pPr>
        <w:jc w:val="both"/>
        <w:rPr>
          <w:lang w:val="de-DE"/>
        </w:rPr>
      </w:pPr>
      <w:r w:rsidRPr="004676F5">
        <w:rPr>
          <w:lang w:val="de-DE"/>
        </w:rPr>
        <w:tab/>
        <w:t>2. für die Verarbeitung Verantwortlicher: natürliche oder juristische Person, nichtrechtsfähige Vereinigung oder öffentliche Verwaltung, die allein oder gemeinsam mit anderen über die Zwecke und Mittel der Verarbeitung von personenbezogenen Daten entscheidet,</w:t>
      </w:r>
    </w:p>
    <w:p w14:paraId="5547F222" w14:textId="77777777" w:rsidR="00302D19" w:rsidRPr="004676F5" w:rsidRDefault="00302D19" w:rsidP="00302D19">
      <w:pPr>
        <w:jc w:val="both"/>
        <w:rPr>
          <w:lang w:val="de-DE"/>
        </w:rPr>
      </w:pPr>
    </w:p>
    <w:p w14:paraId="4420F212" w14:textId="77777777" w:rsidR="00302D19" w:rsidRPr="004676F5" w:rsidRDefault="00302D19" w:rsidP="00302D19">
      <w:pPr>
        <w:jc w:val="both"/>
        <w:rPr>
          <w:lang w:val="de-DE"/>
        </w:rPr>
      </w:pPr>
      <w:r w:rsidRPr="004676F5">
        <w:rPr>
          <w:lang w:val="de-DE"/>
        </w:rPr>
        <w:tab/>
        <w:t>3. Verarbeitung: mit oder ohne Hilfe automatisierter Verfahren ausgeführte Vorgänge oder Vorgangsreihen im Zusammenhang mit personenbezogenen Daten wie Erhebung, Speicherung, Organisation, Aufbewahrung, Anpassung oder Veränderung, Auslesung, Abfragung, Benutzung, Weitergabe durch Übermittlung, Verbreitung oder andere Formen der Bereitstellung, Kombination oder Verknüpfung und Sperrung, Löschung oder Vernichtung von personenbezogenen Daten,</w:t>
      </w:r>
    </w:p>
    <w:p w14:paraId="3EF36FB6" w14:textId="77777777" w:rsidR="00302D19" w:rsidRPr="004676F5" w:rsidRDefault="00302D19" w:rsidP="00302D19">
      <w:pPr>
        <w:jc w:val="both"/>
        <w:rPr>
          <w:lang w:val="de-DE"/>
        </w:rPr>
      </w:pPr>
    </w:p>
    <w:p w14:paraId="1C11646C" w14:textId="77777777" w:rsidR="00302D19" w:rsidRPr="004676F5" w:rsidRDefault="00302D19" w:rsidP="00302D19">
      <w:pPr>
        <w:jc w:val="both"/>
        <w:rPr>
          <w:lang w:val="de-DE"/>
        </w:rPr>
      </w:pPr>
      <w:r w:rsidRPr="004676F5">
        <w:rPr>
          <w:lang w:val="de-DE"/>
        </w:rPr>
        <w:tab/>
        <w:t>4. föderaler Koordinator: natürliche Person, die beim Föderalen Öffentlichen Dienst Wirtschaft bestimmt ist, um im Rahmen der in den Artikeln XV.35 bis XV.48 vorgesehenen Verwaltungszusammenarbeit die Kontaktstelle zwischen der Europäischen Kommission und den zuständigen belgischen Behörden zu sein,</w:t>
      </w:r>
    </w:p>
    <w:p w14:paraId="62464BC3" w14:textId="77777777" w:rsidR="00302D19" w:rsidRPr="004676F5" w:rsidRDefault="00302D19" w:rsidP="00302D19">
      <w:pPr>
        <w:jc w:val="both"/>
        <w:rPr>
          <w:lang w:val="de-DE"/>
        </w:rPr>
      </w:pPr>
    </w:p>
    <w:p w14:paraId="3DD57173" w14:textId="77777777" w:rsidR="00302D19" w:rsidRPr="004676F5" w:rsidRDefault="00302D19" w:rsidP="00302D19">
      <w:pPr>
        <w:jc w:val="both"/>
        <w:rPr>
          <w:lang w:val="de-DE"/>
        </w:rPr>
      </w:pPr>
      <w:r w:rsidRPr="004676F5">
        <w:rPr>
          <w:lang w:val="de-DE"/>
        </w:rPr>
        <w:tab/>
        <w:t>5. Vorwarnungskoordinator: auf föderaler Ebene bestimmte natürliche Person beziehungsweise Personen, die damit beauftragt sind, die Mitgliedstaaten und die Europäische Kommission über schwerwiegende und präzise Handlungen oder Umstände im Zusammenhang mit einer Dienstleistungstätigkeit, die einen schweren Schaden für die Gesundheit oder Sicherheit von Personen oder für die Umwelt verursachen können, zu unterrichten</w:t>
      </w:r>
      <w:r w:rsidR="00B43103" w:rsidRPr="004676F5">
        <w:rPr>
          <w:lang w:val="de-DE"/>
        </w:rPr>
        <w:t>,</w:t>
      </w:r>
      <w:r w:rsidRPr="004676F5">
        <w:rPr>
          <w:lang w:val="de-DE"/>
        </w:rPr>
        <w:t>]</w:t>
      </w:r>
    </w:p>
    <w:p w14:paraId="406E1B0D" w14:textId="77777777" w:rsidR="00B43103" w:rsidRPr="004676F5" w:rsidRDefault="00B43103" w:rsidP="00302D19">
      <w:pPr>
        <w:jc w:val="both"/>
        <w:rPr>
          <w:lang w:val="de-DE"/>
        </w:rPr>
      </w:pPr>
    </w:p>
    <w:p w14:paraId="5B108622" w14:textId="4BB864CC" w:rsidR="00B43103" w:rsidRPr="004676F5" w:rsidRDefault="00B43103" w:rsidP="00302D19">
      <w:pPr>
        <w:jc w:val="both"/>
        <w:rPr>
          <w:lang w:val="de-DE"/>
        </w:rPr>
      </w:pPr>
      <w:r w:rsidRPr="004676F5">
        <w:rPr>
          <w:lang w:val="de-DE"/>
        </w:rPr>
        <w:tab/>
        <w:t>[6. Bank: die Belgisch</w:t>
      </w:r>
      <w:r w:rsidR="007851EF" w:rsidRPr="004676F5">
        <w:rPr>
          <w:lang w:val="de-DE"/>
        </w:rPr>
        <w:t>e Nationalbank,</w:t>
      </w:r>
      <w:r w:rsidRPr="004676F5">
        <w:rPr>
          <w:lang w:val="de-DE"/>
        </w:rPr>
        <w:t>]</w:t>
      </w:r>
    </w:p>
    <w:p w14:paraId="7BFFC1E5" w14:textId="1DBE5B97" w:rsidR="007851EF" w:rsidRPr="004676F5" w:rsidRDefault="007851EF" w:rsidP="00302D19">
      <w:pPr>
        <w:jc w:val="both"/>
        <w:rPr>
          <w:lang w:val="de-DE"/>
        </w:rPr>
      </w:pPr>
    </w:p>
    <w:p w14:paraId="4BF9009B" w14:textId="19FA1A13" w:rsidR="007851EF" w:rsidRPr="004676F5" w:rsidRDefault="007851EF" w:rsidP="007851EF">
      <w:pPr>
        <w:ind w:firstLine="708"/>
        <w:jc w:val="both"/>
        <w:rPr>
          <w:lang w:val="de-DE"/>
        </w:rPr>
      </w:pPr>
      <w:r w:rsidRPr="004676F5">
        <w:rPr>
          <w:lang w:val="de-DE"/>
        </w:rPr>
        <w:t>[7. Unternehmen: natürliche oder juristische Personen, die auf dauerhafte Weise einen wirtschaftlichen Zweck verfolgen, und ihre Vereinigungen,</w:t>
      </w:r>
    </w:p>
    <w:p w14:paraId="2A991A12" w14:textId="77777777" w:rsidR="007851EF" w:rsidRPr="004676F5" w:rsidRDefault="007851EF" w:rsidP="007851EF">
      <w:pPr>
        <w:ind w:firstLine="708"/>
        <w:jc w:val="both"/>
        <w:rPr>
          <w:lang w:val="de-DE"/>
        </w:rPr>
      </w:pPr>
    </w:p>
    <w:p w14:paraId="2ACC6AD3" w14:textId="6F14AACA" w:rsidR="007851EF" w:rsidRPr="004676F5" w:rsidRDefault="007851EF" w:rsidP="007851EF">
      <w:pPr>
        <w:jc w:val="both"/>
        <w:rPr>
          <w:lang w:val="de-DE"/>
        </w:rPr>
      </w:pPr>
      <w:r w:rsidRPr="004676F5">
        <w:rPr>
          <w:lang w:val="de-DE"/>
        </w:rPr>
        <w:tab/>
        <w:t>8. eintragungspflichtiges Unternehmen: Körperschaft, die sich aufgrund des Artikels III.49 eintragen lassen muss</w:t>
      </w:r>
      <w:r w:rsidR="00E70517" w:rsidRPr="004676F5">
        <w:rPr>
          <w:lang w:val="de-DE"/>
        </w:rPr>
        <w:t>,</w:t>
      </w:r>
      <w:r w:rsidRPr="004676F5">
        <w:rPr>
          <w:lang w:val="de-DE"/>
        </w:rPr>
        <w:t>]</w:t>
      </w:r>
    </w:p>
    <w:p w14:paraId="35AC6D9E" w14:textId="77777777" w:rsidR="00E70517" w:rsidRPr="004676F5" w:rsidRDefault="00E70517" w:rsidP="007851EF">
      <w:pPr>
        <w:jc w:val="both"/>
        <w:rPr>
          <w:lang w:val="de-DE"/>
        </w:rPr>
      </w:pPr>
    </w:p>
    <w:p w14:paraId="2331E485" w14:textId="38EE2944" w:rsidR="00E70517" w:rsidRPr="004676F5" w:rsidRDefault="00E70517" w:rsidP="007851EF">
      <w:pPr>
        <w:jc w:val="both"/>
        <w:rPr>
          <w:lang w:val="de-DE"/>
        </w:rPr>
      </w:pPr>
      <w:r w:rsidRPr="004676F5">
        <w:rPr>
          <w:lang w:val="de-DE"/>
        </w:rPr>
        <w:tab/>
        <w:t>[9. Beschwerdeführer in der Agrar</w:t>
      </w:r>
      <w:r w:rsidR="005B7A5C" w:rsidRPr="004676F5">
        <w:rPr>
          <w:lang w:val="de-DE"/>
        </w:rPr>
        <w:t>- </w:t>
      </w:r>
      <w:r w:rsidRPr="004676F5">
        <w:rPr>
          <w:lang w:val="de-DE"/>
        </w:rPr>
        <w:t>und Lebensmittelversorgungskette: Lieferanten von Agrar</w:t>
      </w:r>
      <w:r w:rsidR="005B7A5C" w:rsidRPr="004676F5">
        <w:rPr>
          <w:lang w:val="de-DE"/>
        </w:rPr>
        <w:t>- </w:t>
      </w:r>
      <w:r w:rsidRPr="004676F5">
        <w:rPr>
          <w:lang w:val="de-DE"/>
        </w:rPr>
        <w:t>und Lebensmittelerzeugnissen, Erzeugerorganisationen, Lieferantenorganisa</w:t>
      </w:r>
      <w:r w:rsidRPr="004676F5">
        <w:rPr>
          <w:lang w:val="de-DE"/>
        </w:rPr>
        <w:softHyphen/>
        <w:t xml:space="preserve">tionen, Organisationen, bei denen ein Erzeuger oder Lieferant Mitglied ist, Vereinigungen von Organisationen, bei denen ein Lieferant Mitglied ist, und andere Organisationen mit einem berechtigten Interesse zur Vertretung von Lieferanten, vorausgesetzt, diese Organisationen sind unabhängige juristische Personen ohne Gewinnerzielungsabsicht, die es mit einem Käufer von </w:t>
      </w:r>
      <w:r w:rsidRPr="004676F5">
        <w:rPr>
          <w:lang w:val="de-DE"/>
        </w:rPr>
        <w:lastRenderedPageBreak/>
        <w:t>Agrar</w:t>
      </w:r>
      <w:r w:rsidR="005B7A5C" w:rsidRPr="004676F5">
        <w:rPr>
          <w:lang w:val="de-DE"/>
        </w:rPr>
        <w:t>- </w:t>
      </w:r>
      <w:r w:rsidRPr="004676F5">
        <w:rPr>
          <w:lang w:val="de-DE"/>
        </w:rPr>
        <w:t>und Lebensmittelerzeugnissen zu tun haben, der im Verdacht steht, gegen die in Artikel XV.83 Nr.15/1 erwähnten Bestimmungen zu verstoßen</w:t>
      </w:r>
      <w:r w:rsidR="00561321" w:rsidRPr="004676F5">
        <w:rPr>
          <w:lang w:val="de-DE"/>
        </w:rPr>
        <w:t>,</w:t>
      </w:r>
      <w:r w:rsidRPr="004676F5">
        <w:rPr>
          <w:lang w:val="de-DE"/>
        </w:rPr>
        <w:t>]</w:t>
      </w:r>
    </w:p>
    <w:p w14:paraId="4C13CC7A" w14:textId="77777777" w:rsidR="00561321" w:rsidRPr="004676F5" w:rsidRDefault="00561321" w:rsidP="007851EF">
      <w:pPr>
        <w:jc w:val="both"/>
        <w:rPr>
          <w:lang w:val="de-DE"/>
        </w:rPr>
      </w:pPr>
    </w:p>
    <w:p w14:paraId="1F6D9566" w14:textId="73D6A724" w:rsidR="00561321" w:rsidRPr="004676F5" w:rsidRDefault="00561321" w:rsidP="007851EF">
      <w:pPr>
        <w:jc w:val="both"/>
        <w:rPr>
          <w:lang w:val="de-DE"/>
        </w:rPr>
      </w:pPr>
      <w:r w:rsidRPr="004676F5">
        <w:rPr>
          <w:lang w:val="de-DE"/>
        </w:rPr>
        <w:tab/>
        <w:t>[10. Schädigung der kollektiven Verbraucherinteressen: tatsächliche oder mögliche Schädigung der Interessen mehrerer Verbraucher, die durch Verstöße betroffen sind,]</w:t>
      </w:r>
    </w:p>
    <w:p w14:paraId="2EC40C7F" w14:textId="77777777" w:rsidR="00561321" w:rsidRPr="004676F5" w:rsidRDefault="00561321" w:rsidP="007851EF">
      <w:pPr>
        <w:jc w:val="both"/>
        <w:rPr>
          <w:lang w:val="de-DE"/>
        </w:rPr>
      </w:pPr>
    </w:p>
    <w:p w14:paraId="565F8A45" w14:textId="77777777" w:rsidR="00561321" w:rsidRPr="004676F5" w:rsidRDefault="00561321" w:rsidP="00561321">
      <w:pPr>
        <w:jc w:val="both"/>
        <w:rPr>
          <w:lang w:val="de-DE"/>
        </w:rPr>
      </w:pPr>
      <w:r w:rsidRPr="004676F5">
        <w:rPr>
          <w:lang w:val="de-DE"/>
        </w:rPr>
        <w:tab/>
        <w:t>[11. grenzüberschreitender Verstoß: Fälle, in denen:</w:t>
      </w:r>
    </w:p>
    <w:p w14:paraId="2A4863FE" w14:textId="77777777" w:rsidR="00561321" w:rsidRPr="004676F5" w:rsidRDefault="00561321" w:rsidP="00561321">
      <w:pPr>
        <w:jc w:val="both"/>
        <w:rPr>
          <w:lang w:val="de-DE"/>
        </w:rPr>
      </w:pPr>
    </w:p>
    <w:p w14:paraId="3630C278" w14:textId="77777777" w:rsidR="00561321" w:rsidRPr="004676F5" w:rsidRDefault="00561321" w:rsidP="00561321">
      <w:pPr>
        <w:jc w:val="both"/>
        <w:rPr>
          <w:lang w:val="de-DE"/>
        </w:rPr>
      </w:pPr>
      <w:r w:rsidRPr="004676F5">
        <w:rPr>
          <w:lang w:val="de-DE"/>
        </w:rPr>
        <w:tab/>
      </w:r>
      <w:r w:rsidRPr="004676F5">
        <w:rPr>
          <w:i/>
          <w:lang w:val="de-DE"/>
        </w:rPr>
        <w:t>a)</w:t>
      </w:r>
      <w:r w:rsidRPr="004676F5">
        <w:rPr>
          <w:lang w:val="de-DE"/>
        </w:rPr>
        <w:t> der Verstoß seinen Ursprung in einem anderen Land als Belgien hat oder in einem anderen Land als Belgien stattfindet,</w:t>
      </w:r>
    </w:p>
    <w:p w14:paraId="07A13C1B" w14:textId="77777777" w:rsidR="00561321" w:rsidRPr="004676F5" w:rsidRDefault="00561321" w:rsidP="00561321">
      <w:pPr>
        <w:jc w:val="both"/>
        <w:rPr>
          <w:lang w:val="de-DE"/>
        </w:rPr>
      </w:pPr>
    </w:p>
    <w:p w14:paraId="4F8B885D" w14:textId="77777777" w:rsidR="00561321" w:rsidRPr="004676F5" w:rsidRDefault="00561321" w:rsidP="00561321">
      <w:pPr>
        <w:jc w:val="both"/>
        <w:rPr>
          <w:lang w:val="de-DE"/>
        </w:rPr>
      </w:pPr>
      <w:r w:rsidRPr="004676F5">
        <w:rPr>
          <w:lang w:val="de-DE"/>
        </w:rPr>
        <w:tab/>
      </w:r>
      <w:r w:rsidRPr="004676F5">
        <w:rPr>
          <w:i/>
          <w:lang w:val="de-DE"/>
        </w:rPr>
        <w:t>b) </w:t>
      </w:r>
      <w:r w:rsidRPr="004676F5">
        <w:rPr>
          <w:lang w:val="de-DE"/>
        </w:rPr>
        <w:t>derjenige, der infolge des Verstoßes einen Schaden erlitten hat, sich in einem anderen Land als Belgien befindet,</w:t>
      </w:r>
    </w:p>
    <w:p w14:paraId="36FB263C" w14:textId="77777777" w:rsidR="00561321" w:rsidRPr="004676F5" w:rsidRDefault="00561321" w:rsidP="00561321">
      <w:pPr>
        <w:jc w:val="both"/>
        <w:rPr>
          <w:lang w:val="de-DE"/>
        </w:rPr>
      </w:pPr>
    </w:p>
    <w:p w14:paraId="5BF6AC74" w14:textId="77777777" w:rsidR="00561321" w:rsidRPr="004676F5" w:rsidRDefault="00561321" w:rsidP="00561321">
      <w:pPr>
        <w:jc w:val="both"/>
        <w:rPr>
          <w:lang w:val="de-DE"/>
        </w:rPr>
      </w:pPr>
      <w:r w:rsidRPr="004676F5">
        <w:rPr>
          <w:lang w:val="de-DE"/>
        </w:rPr>
        <w:tab/>
      </w:r>
      <w:r w:rsidRPr="004676F5">
        <w:rPr>
          <w:i/>
          <w:lang w:val="de-DE"/>
        </w:rPr>
        <w:t>c)</w:t>
      </w:r>
      <w:r w:rsidRPr="004676F5">
        <w:rPr>
          <w:lang w:val="de-DE"/>
        </w:rPr>
        <w:t> das Unternehmen, das den Verstoß begeht, in einem anderen Land als Belgien ansässig ist,</w:t>
      </w:r>
    </w:p>
    <w:p w14:paraId="2142C41F" w14:textId="77777777" w:rsidR="00561321" w:rsidRPr="004676F5" w:rsidRDefault="00561321" w:rsidP="00561321">
      <w:pPr>
        <w:jc w:val="both"/>
        <w:rPr>
          <w:lang w:val="de-DE"/>
        </w:rPr>
      </w:pPr>
    </w:p>
    <w:p w14:paraId="159843CE" w14:textId="00B8F47C" w:rsidR="00561321" w:rsidRPr="004676F5" w:rsidRDefault="00561321" w:rsidP="00561321">
      <w:pPr>
        <w:jc w:val="both"/>
        <w:rPr>
          <w:lang w:val="de-DE"/>
        </w:rPr>
      </w:pPr>
      <w:r w:rsidRPr="004676F5">
        <w:rPr>
          <w:lang w:val="de-DE"/>
        </w:rPr>
        <w:tab/>
      </w:r>
      <w:r w:rsidRPr="004676F5">
        <w:rPr>
          <w:i/>
          <w:lang w:val="de-DE"/>
        </w:rPr>
        <w:t>d)</w:t>
      </w:r>
      <w:r w:rsidRPr="004676F5">
        <w:rPr>
          <w:lang w:val="de-DE"/>
        </w:rPr>
        <w:t> Beweismittel oder Vermögenswerte des Unternehmens, die mit dem Verstoß in Zusammenhang stehen, in einem anderen Land als Belgien gefunden werden können</w:t>
      </w:r>
      <w:r w:rsidR="003A13B8" w:rsidRPr="004676F5">
        <w:rPr>
          <w:lang w:val="de-DE"/>
        </w:rPr>
        <w:t>,</w:t>
      </w:r>
      <w:r w:rsidRPr="004676F5">
        <w:rPr>
          <w:lang w:val="de-DE"/>
        </w:rPr>
        <w:t>]</w:t>
      </w:r>
    </w:p>
    <w:p w14:paraId="448C56B7" w14:textId="77777777" w:rsidR="003A13B8" w:rsidRPr="004676F5" w:rsidRDefault="003A13B8" w:rsidP="00561321">
      <w:pPr>
        <w:jc w:val="both"/>
        <w:rPr>
          <w:lang w:val="de-DE"/>
        </w:rPr>
      </w:pPr>
    </w:p>
    <w:p w14:paraId="089B88AF" w14:textId="616027D0" w:rsidR="003A13B8" w:rsidRPr="004676F5" w:rsidRDefault="003A13B8" w:rsidP="00561321">
      <w:pPr>
        <w:jc w:val="both"/>
        <w:rPr>
          <w:lang w:val="de-DE"/>
        </w:rPr>
      </w:pPr>
      <w:r w:rsidRPr="004676F5">
        <w:rPr>
          <w:lang w:val="de-DE"/>
        </w:rPr>
        <w:tab/>
        <w:t>[12. Rechtsakt zur Cybersicherheit: Verordnung (EU) 2019/881 des Europäischen Parlaments und des Rates vom 17. April 2019 über die ENISA (Agentur der Europäischen Union für Cybersicherheit) und über die Zertifizierung der Cybersicherheit von Informations- und Kommunikationstechnik und zur Aufhebung der Verordnung (EU) Nr. 526/2013</w:t>
      </w:r>
      <w:r w:rsidR="004B23A4" w:rsidRPr="004676F5">
        <w:rPr>
          <w:lang w:val="de-DE"/>
        </w:rPr>
        <w:t>,</w:t>
      </w:r>
      <w:r w:rsidRPr="004676F5">
        <w:rPr>
          <w:lang w:val="de-DE"/>
        </w:rPr>
        <w:t>]</w:t>
      </w:r>
    </w:p>
    <w:p w14:paraId="37DD6D2B" w14:textId="77777777" w:rsidR="00F56DFE" w:rsidRPr="004676F5" w:rsidRDefault="00F56DFE" w:rsidP="00561321">
      <w:pPr>
        <w:jc w:val="both"/>
        <w:rPr>
          <w:lang w:val="de-DE"/>
        </w:rPr>
      </w:pPr>
    </w:p>
    <w:p w14:paraId="75CA693A" w14:textId="37FDDC2F" w:rsidR="00F56DFE" w:rsidRPr="004676F5" w:rsidRDefault="00F56DFE" w:rsidP="00561321">
      <w:pPr>
        <w:jc w:val="both"/>
        <w:rPr>
          <w:lang w:val="de-DE"/>
        </w:rPr>
      </w:pPr>
      <w:r w:rsidRPr="004676F5">
        <w:rPr>
          <w:lang w:val="de-DE"/>
        </w:rPr>
        <w:tab/>
        <w:t>[13. Wirtschaftsakteure: Hersteller, Bevollmächtigte, Importeure, Händler oder Dienst</w:t>
      </w:r>
      <w:r w:rsidRPr="004676F5">
        <w:rPr>
          <w:lang w:val="de-DE"/>
        </w:rPr>
        <w:softHyphen/>
        <w:t>leistungserbringer,]</w:t>
      </w:r>
    </w:p>
    <w:p w14:paraId="0D7DACF4" w14:textId="77777777" w:rsidR="004B23A4" w:rsidRPr="004676F5" w:rsidRDefault="004B23A4" w:rsidP="00561321">
      <w:pPr>
        <w:jc w:val="both"/>
        <w:rPr>
          <w:lang w:val="de-DE"/>
        </w:rPr>
      </w:pPr>
    </w:p>
    <w:p w14:paraId="02E1AC1B" w14:textId="08FE6FD1" w:rsidR="004B23A4" w:rsidRDefault="004B23A4" w:rsidP="00561321">
      <w:pPr>
        <w:jc w:val="both"/>
        <w:rPr>
          <w:lang w:val="de-DE"/>
        </w:rPr>
      </w:pPr>
      <w:r w:rsidRPr="004676F5">
        <w:rPr>
          <w:lang w:val="de-DE"/>
        </w:rPr>
        <w:tab/>
        <w:t>[13. Online-Schnittstelle: Software, einschließlich einer Website, eines Teils einer Website oder einer Anwendung, die von einem oder im Namen eines Unternehmens betrieben wird und es Verbrauchern ermöglicht, Zugang zu den vom Unternehmen angebotenen Waren oder Dienstleistungen zu erhalten</w:t>
      </w:r>
      <w:r w:rsidR="00872F21">
        <w:rPr>
          <w:lang w:val="de-DE"/>
        </w:rPr>
        <w:t>,</w:t>
      </w:r>
      <w:r w:rsidRPr="004676F5">
        <w:rPr>
          <w:lang w:val="de-DE"/>
        </w:rPr>
        <w:t>]</w:t>
      </w:r>
    </w:p>
    <w:p w14:paraId="3C2E51FA" w14:textId="77777777" w:rsidR="00872F21" w:rsidRDefault="00872F21" w:rsidP="00561321">
      <w:pPr>
        <w:jc w:val="both"/>
        <w:rPr>
          <w:lang w:val="de-DE"/>
        </w:rPr>
      </w:pPr>
    </w:p>
    <w:p w14:paraId="0FA0E31E" w14:textId="77777777" w:rsidR="00872F21" w:rsidRPr="00285483" w:rsidRDefault="00872F21" w:rsidP="00872F21">
      <w:pPr>
        <w:jc w:val="both"/>
        <w:rPr>
          <w:lang w:val="de-DE"/>
        </w:rPr>
      </w:pPr>
      <w:r>
        <w:rPr>
          <w:lang w:val="de-DE"/>
        </w:rPr>
        <w:tab/>
        <w:t>[</w:t>
      </w:r>
      <w:r w:rsidRPr="00285483">
        <w:rPr>
          <w:lang w:val="de-DE"/>
        </w:rPr>
        <w:t>14. Verordnung 2022/868: Verordnung (EU) 2022/868 des Europäischen Parlaments und des Rates vom 30. Mai 2022 über europäische Daten-Governance und zur Änderung der Verordnung (EU) 2018/1724,</w:t>
      </w:r>
    </w:p>
    <w:p w14:paraId="2A35B6DD" w14:textId="77777777" w:rsidR="00872F21" w:rsidRPr="00285483" w:rsidRDefault="00872F21" w:rsidP="00872F21">
      <w:pPr>
        <w:jc w:val="both"/>
        <w:rPr>
          <w:lang w:val="de-DE"/>
        </w:rPr>
      </w:pPr>
    </w:p>
    <w:p w14:paraId="69B50244" w14:textId="77777777" w:rsidR="00872F21" w:rsidRPr="00285483" w:rsidRDefault="00872F21" w:rsidP="00872F21">
      <w:pPr>
        <w:jc w:val="both"/>
        <w:rPr>
          <w:lang w:val="de-DE"/>
        </w:rPr>
      </w:pPr>
      <w:r w:rsidRPr="00285483">
        <w:rPr>
          <w:lang w:val="de-DE"/>
        </w:rPr>
        <w:tab/>
        <w:t>15. Anbieter von Datenvermittlungsdiensten: Anbieter eines Dienstes im Sinne von Artikel 2 Nr. 11 und 15 der Verordnung 2022/868,</w:t>
      </w:r>
    </w:p>
    <w:p w14:paraId="6024DD91" w14:textId="77777777" w:rsidR="00872F21" w:rsidRPr="00285483" w:rsidRDefault="00872F21" w:rsidP="00872F21">
      <w:pPr>
        <w:jc w:val="both"/>
        <w:rPr>
          <w:lang w:val="de-DE"/>
        </w:rPr>
      </w:pPr>
    </w:p>
    <w:p w14:paraId="0154EEFA" w14:textId="77777777" w:rsidR="00872F21" w:rsidRPr="00285483" w:rsidRDefault="00872F21" w:rsidP="00872F21">
      <w:pPr>
        <w:jc w:val="both"/>
        <w:rPr>
          <w:lang w:val="de-DE"/>
        </w:rPr>
      </w:pPr>
      <w:r w:rsidRPr="00285483">
        <w:rPr>
          <w:lang w:val="de-DE"/>
        </w:rPr>
        <w:tab/>
        <w:t>16. datenaltruistische Organisation: juristische Person, die eine gemeinnützige datenaltruistische Tätigkeit im Sinne von Artikel 2 Nr. 16 der Verordnung 2022/868 ausübt,</w:t>
      </w:r>
    </w:p>
    <w:p w14:paraId="3260A47E" w14:textId="77777777" w:rsidR="00872F21" w:rsidRPr="00285483" w:rsidRDefault="00872F21" w:rsidP="00872F21">
      <w:pPr>
        <w:jc w:val="both"/>
        <w:rPr>
          <w:lang w:val="de-DE"/>
        </w:rPr>
      </w:pPr>
    </w:p>
    <w:p w14:paraId="40934E0A" w14:textId="77777777" w:rsidR="00872F21" w:rsidRPr="00285483" w:rsidRDefault="00872F21" w:rsidP="00872F21">
      <w:pPr>
        <w:jc w:val="both"/>
        <w:rPr>
          <w:lang w:val="de-DE"/>
        </w:rPr>
      </w:pPr>
      <w:r w:rsidRPr="00285483">
        <w:rPr>
          <w:lang w:val="de-DE"/>
        </w:rPr>
        <w:tab/>
        <w:t>17. Eintragungsorgan: Organ wie in den Artikeln 13 und 23 der Verordnung 2022/868 erwähnt, das innerhalb des Föderalen Öffentlichen Dienstes Wirtschaft, KMB, Mittelstand und Energie eingerichtet ist und mit der Eintragung von Anbietern von Datenvermittlungsdiensten und der Registrierung von datenaltruistischen Organisationen, die in Belgien ansässig sind oder einen gesetzlichen Vertreter in Belgien haben, beauftragt ist,</w:t>
      </w:r>
    </w:p>
    <w:p w14:paraId="6E25B9EC" w14:textId="77777777" w:rsidR="00872F21" w:rsidRPr="00285483" w:rsidRDefault="00872F21" w:rsidP="00872F21">
      <w:pPr>
        <w:jc w:val="both"/>
        <w:rPr>
          <w:lang w:val="de-DE"/>
        </w:rPr>
      </w:pPr>
    </w:p>
    <w:p w14:paraId="55EDA8C3" w14:textId="385A84A0" w:rsidR="00872F21" w:rsidRPr="004676F5" w:rsidRDefault="00872F21" w:rsidP="00872F21">
      <w:pPr>
        <w:jc w:val="both"/>
        <w:rPr>
          <w:lang w:val="de-DE"/>
        </w:rPr>
      </w:pPr>
      <w:r w:rsidRPr="00285483">
        <w:rPr>
          <w:lang w:val="de-DE"/>
        </w:rPr>
        <w:tab/>
        <w:t xml:space="preserve">18. Organ für die Überwachung von Datenvermittlungsdiensten und datenaltruistischen Organisationen: Organ wie in den Artikeln 13 und 23 der Verordnung 2022/868 erwähnt, das </w:t>
      </w:r>
      <w:r w:rsidRPr="00285483">
        <w:rPr>
          <w:lang w:val="de-DE"/>
        </w:rPr>
        <w:lastRenderedPageBreak/>
        <w:t>innerhalb des Föderalen Öffentlichen Dienstes Wirtschaft, KMB, Mittelstand und Energie eingerichtet ist, sich aus den in Artikel XV.2 erwähnten Bediensteten zusammensetzt und mit der Überwachung der Tätigkeiten von Anbietern von Datenvermittlungsdiensten und datenaltruistischen Organisationen, die in Belgien ansässig sind oder einen gesetzlichen Vertreter in Belgien haben, beauftragt ist.</w:t>
      </w:r>
      <w:r>
        <w:rPr>
          <w:lang w:val="de-DE"/>
        </w:rPr>
        <w:t>]</w:t>
      </w:r>
    </w:p>
    <w:p w14:paraId="23F699F9" w14:textId="77777777" w:rsidR="00B43103" w:rsidRPr="004676F5" w:rsidRDefault="00B43103" w:rsidP="00302D19">
      <w:pPr>
        <w:jc w:val="both"/>
        <w:rPr>
          <w:lang w:val="de-DE"/>
        </w:rPr>
      </w:pPr>
    </w:p>
    <w:p w14:paraId="467DB435" w14:textId="4BAF6D12" w:rsidR="00B43103" w:rsidRPr="004676F5" w:rsidRDefault="00B43103" w:rsidP="00302D19">
      <w:pPr>
        <w:jc w:val="both"/>
        <w:rPr>
          <w:lang w:val="de-DE"/>
        </w:rPr>
      </w:pPr>
      <w:r w:rsidRPr="004676F5">
        <w:rPr>
          <w:i/>
          <w:lang w:val="de-DE"/>
        </w:rPr>
        <w:t>[</w:t>
      </w:r>
      <w:r w:rsidR="00BE0A56" w:rsidRPr="004676F5">
        <w:rPr>
          <w:i/>
          <w:lang w:val="de-DE"/>
        </w:rPr>
        <w:t>Art. </w:t>
      </w:r>
      <w:r w:rsidRPr="004676F5">
        <w:rPr>
          <w:i/>
          <w:lang w:val="de-DE"/>
        </w:rPr>
        <w:t xml:space="preserve">I.20 einziger Absatz Nr. 6 eingefügt durch </w:t>
      </w:r>
      <w:r w:rsidR="00BE0A56" w:rsidRPr="004676F5">
        <w:rPr>
          <w:i/>
          <w:lang w:val="de-DE"/>
        </w:rPr>
        <w:t>Art. </w:t>
      </w:r>
      <w:r w:rsidRPr="004676F5">
        <w:rPr>
          <w:i/>
          <w:lang w:val="de-DE"/>
        </w:rPr>
        <w:t>2 des G. vom 1. Dezember 2016 (B.S. vom 15. Dezember 2016)</w:t>
      </w:r>
      <w:r w:rsidR="007851EF" w:rsidRPr="004676F5">
        <w:rPr>
          <w:i/>
          <w:lang w:val="de-DE"/>
        </w:rPr>
        <w:t>; einziger Absatz Nr. 7 und 8 eingefügt durch Art. 46 des G. vom 15</w:t>
      </w:r>
      <w:r w:rsidR="00835D60" w:rsidRPr="004676F5">
        <w:rPr>
          <w:i/>
          <w:lang w:val="de-DE"/>
        </w:rPr>
        <w:t>. </w:t>
      </w:r>
      <w:r w:rsidR="007851EF" w:rsidRPr="004676F5">
        <w:rPr>
          <w:i/>
          <w:lang w:val="de-DE"/>
        </w:rPr>
        <w:t>April</w:t>
      </w:r>
      <w:r w:rsidR="00835D60" w:rsidRPr="004676F5">
        <w:rPr>
          <w:i/>
          <w:lang w:val="de-DE"/>
        </w:rPr>
        <w:t> 2018 (B.S. vom 27. April </w:t>
      </w:r>
      <w:r w:rsidR="007851EF" w:rsidRPr="004676F5">
        <w:rPr>
          <w:i/>
          <w:lang w:val="de-DE"/>
        </w:rPr>
        <w:t>2018)</w:t>
      </w:r>
      <w:r w:rsidR="00E70517" w:rsidRPr="004676F5">
        <w:rPr>
          <w:i/>
          <w:lang w:val="de-DE"/>
        </w:rPr>
        <w:t>; einziger Absatz Nr. 9 eingefügt durch Art. 3</w:t>
      </w:r>
      <w:r w:rsidR="00E70517" w:rsidRPr="004676F5">
        <w:rPr>
          <w:bCs/>
          <w:i/>
          <w:iCs/>
          <w:lang w:val="de-DE"/>
        </w:rPr>
        <w:t xml:space="preserve"> des G. vom 28. November 2021 (II) (B.S. vom 15. Dezember 2021)</w:t>
      </w:r>
      <w:r w:rsidR="00561321" w:rsidRPr="004676F5">
        <w:rPr>
          <w:bCs/>
          <w:i/>
          <w:iCs/>
          <w:lang w:val="de-DE"/>
        </w:rPr>
        <w:t>; einziger Absatz Nr. 10 eingefügt durch Art. 13 des G. vom 20. März 2022 (B.S. vom 31. März 2022); einziger Absatz Nr. 11 eingefügt durch Art. 5 des G. vom 8. Mai 2022 (B.S. vom 2. Juni 2022)</w:t>
      </w:r>
      <w:r w:rsidR="003A13B8" w:rsidRPr="004676F5">
        <w:rPr>
          <w:bCs/>
          <w:i/>
          <w:iCs/>
          <w:lang w:val="de-DE"/>
        </w:rPr>
        <w:t>; einziger Absatz Nr. 12 eingefügt durch Art. 45 des G. vom 20. Juli 2022 (B.S. vom 5. August 2022)</w:t>
      </w:r>
      <w:r w:rsidR="004B23A4" w:rsidRPr="004676F5">
        <w:rPr>
          <w:bCs/>
          <w:i/>
          <w:iCs/>
          <w:lang w:val="de-DE"/>
        </w:rPr>
        <w:t>;</w:t>
      </w:r>
      <w:r w:rsidR="00CC73B2" w:rsidRPr="004676F5">
        <w:rPr>
          <w:bCs/>
          <w:i/>
          <w:iCs/>
          <w:lang w:val="de-DE"/>
        </w:rPr>
        <w:t xml:space="preserve"> </w:t>
      </w:r>
      <w:r w:rsidR="00F56DFE" w:rsidRPr="004676F5">
        <w:rPr>
          <w:bCs/>
          <w:i/>
          <w:iCs/>
          <w:lang w:val="de-DE"/>
        </w:rPr>
        <w:t>einziger Absatz erste Nummer 13 eingefügt durch Art. 4 des G. vom 5. November 2023</w:t>
      </w:r>
      <w:r w:rsidR="003454B3" w:rsidRPr="004676F5">
        <w:rPr>
          <w:bCs/>
          <w:i/>
          <w:iCs/>
          <w:lang w:val="de-DE"/>
        </w:rPr>
        <w:t xml:space="preserve"> (II)</w:t>
      </w:r>
      <w:r w:rsidR="00F56DFE" w:rsidRPr="004676F5">
        <w:rPr>
          <w:bCs/>
          <w:i/>
          <w:iCs/>
          <w:lang w:val="de-DE"/>
        </w:rPr>
        <w:t xml:space="preserve"> (B.S. vom 28. November 2023);</w:t>
      </w:r>
      <w:r w:rsidR="004B23A4" w:rsidRPr="004676F5">
        <w:rPr>
          <w:bCs/>
          <w:i/>
          <w:iCs/>
          <w:lang w:val="de-DE"/>
        </w:rPr>
        <w:t xml:space="preserve"> einziger Absatz </w:t>
      </w:r>
      <w:r w:rsidR="00F56DFE" w:rsidRPr="004676F5">
        <w:rPr>
          <w:bCs/>
          <w:i/>
          <w:iCs/>
          <w:lang w:val="de-DE"/>
        </w:rPr>
        <w:t>zweiter Nummer</w:t>
      </w:r>
      <w:r w:rsidR="004B23A4" w:rsidRPr="004676F5">
        <w:rPr>
          <w:bCs/>
          <w:i/>
          <w:iCs/>
          <w:lang w:val="de-DE"/>
        </w:rPr>
        <w:t> 13 eingefügt durch Art. 3</w:t>
      </w:r>
      <w:r w:rsidR="004B23A4" w:rsidRPr="004676F5">
        <w:rPr>
          <w:i/>
          <w:lang w:val="de-DE"/>
        </w:rPr>
        <w:t xml:space="preserve"> des G. vom 5. November 2023 </w:t>
      </w:r>
      <w:r w:rsidR="003454B3" w:rsidRPr="004676F5">
        <w:rPr>
          <w:i/>
          <w:lang w:val="de-DE"/>
        </w:rPr>
        <w:t xml:space="preserve">(I) </w:t>
      </w:r>
      <w:r w:rsidR="004B23A4" w:rsidRPr="004676F5">
        <w:rPr>
          <w:i/>
          <w:lang w:val="de-DE"/>
        </w:rPr>
        <w:t>(B.S. vom 11. Dezember 2023)</w:t>
      </w:r>
      <w:r w:rsidR="00872F21">
        <w:rPr>
          <w:i/>
          <w:lang w:val="de-DE"/>
        </w:rPr>
        <w:t xml:space="preserve">; einziger Absatz Nr. 14 bis 18 </w:t>
      </w:r>
      <w:r w:rsidR="008F23A3" w:rsidRPr="004676F5">
        <w:rPr>
          <w:bCs/>
          <w:i/>
          <w:iCs/>
          <w:lang w:val="de-DE"/>
        </w:rPr>
        <w:t>eingefügt durch Art. </w:t>
      </w:r>
      <w:r w:rsidR="008F23A3">
        <w:rPr>
          <w:bCs/>
          <w:i/>
          <w:iCs/>
          <w:lang w:val="de-DE"/>
        </w:rPr>
        <w:t>9</w:t>
      </w:r>
      <w:r w:rsidR="008F23A3" w:rsidRPr="004676F5">
        <w:rPr>
          <w:i/>
          <w:lang w:val="de-DE"/>
        </w:rPr>
        <w:t xml:space="preserve"> </w:t>
      </w:r>
      <w:r w:rsidR="00872F21">
        <w:rPr>
          <w:i/>
          <w:lang w:val="de-DE"/>
        </w:rPr>
        <w:t>des G. vom 15. Mai 2024 (B.S. vom 7. Juni 2024)</w:t>
      </w:r>
      <w:r w:rsidRPr="004676F5">
        <w:rPr>
          <w:i/>
          <w:lang w:val="de-DE"/>
        </w:rPr>
        <w:t>]</w:t>
      </w:r>
    </w:p>
    <w:p w14:paraId="5F772B6B" w14:textId="77777777" w:rsidR="00302D19" w:rsidRPr="004676F5" w:rsidRDefault="00302D19" w:rsidP="00302D19">
      <w:pPr>
        <w:jc w:val="center"/>
        <w:rPr>
          <w:lang w:val="de-DE"/>
        </w:rPr>
      </w:pPr>
    </w:p>
    <w:p w14:paraId="79C9A3B9" w14:textId="77777777" w:rsidR="00302D19" w:rsidRPr="004676F5" w:rsidRDefault="00302D19" w:rsidP="00302D19">
      <w:pPr>
        <w:jc w:val="center"/>
        <w:rPr>
          <w:lang w:val="de-DE"/>
        </w:rPr>
      </w:pPr>
    </w:p>
    <w:p w14:paraId="479AFA13" w14:textId="77777777" w:rsidR="009F58FD" w:rsidRPr="004676F5" w:rsidRDefault="009F58FD">
      <w:pPr>
        <w:rPr>
          <w:lang w:val="de-DE"/>
        </w:rPr>
      </w:pPr>
      <w:r w:rsidRPr="004676F5">
        <w:rPr>
          <w:lang w:val="de-DE"/>
        </w:rPr>
        <w:br w:type="page"/>
      </w:r>
    </w:p>
    <w:p w14:paraId="1F788D23" w14:textId="7B1D263A" w:rsidR="009F58FD" w:rsidRPr="004676F5" w:rsidRDefault="009F58FD" w:rsidP="009F58FD">
      <w:pPr>
        <w:jc w:val="center"/>
        <w:rPr>
          <w:lang w:val="de-DE"/>
        </w:rPr>
      </w:pPr>
      <w:r w:rsidRPr="004676F5">
        <w:rPr>
          <w:lang w:val="de-DE"/>
        </w:rPr>
        <w:lastRenderedPageBreak/>
        <w:t xml:space="preserve">[KAPITEL 12 </w:t>
      </w:r>
      <w:r w:rsidR="005B7A5C" w:rsidRPr="004676F5">
        <w:rPr>
          <w:lang w:val="de-DE"/>
        </w:rPr>
        <w:t>- </w:t>
      </w:r>
      <w:r w:rsidR="00561321" w:rsidRPr="004676F5">
        <w:rPr>
          <w:iCs/>
          <w:lang w:val="de-DE"/>
        </w:rPr>
        <w:t>[...]</w:t>
      </w:r>
    </w:p>
    <w:p w14:paraId="6ECB3035" w14:textId="77777777" w:rsidR="009F58FD" w:rsidRPr="004676F5" w:rsidRDefault="009F58FD" w:rsidP="009F58FD">
      <w:pPr>
        <w:jc w:val="both"/>
        <w:rPr>
          <w:lang w:val="de-DE"/>
        </w:rPr>
      </w:pPr>
    </w:p>
    <w:p w14:paraId="04055FD0" w14:textId="65711CE2" w:rsidR="009F58FD" w:rsidRPr="004676F5" w:rsidRDefault="00D82343" w:rsidP="009F58FD">
      <w:pPr>
        <w:jc w:val="both"/>
        <w:rPr>
          <w:i/>
          <w:lang w:val="de-DE"/>
        </w:rPr>
      </w:pPr>
      <w:r w:rsidRPr="004676F5">
        <w:rPr>
          <w:i/>
          <w:lang w:val="de-DE"/>
        </w:rPr>
        <w:t xml:space="preserve">[Kapitel 12 mit </w:t>
      </w:r>
      <w:r w:rsidR="00BE0A56" w:rsidRPr="004676F5">
        <w:rPr>
          <w:i/>
          <w:lang w:val="de-DE"/>
        </w:rPr>
        <w:t>Art. </w:t>
      </w:r>
      <w:r w:rsidRPr="004676F5">
        <w:rPr>
          <w:i/>
          <w:lang w:val="de-DE"/>
        </w:rPr>
        <w:t>I</w:t>
      </w:r>
      <w:r w:rsidR="009F58FD" w:rsidRPr="004676F5">
        <w:rPr>
          <w:i/>
          <w:lang w:val="de-DE"/>
        </w:rPr>
        <w:t xml:space="preserve">.20 eingefügt durch </w:t>
      </w:r>
      <w:r w:rsidR="00BE0A56" w:rsidRPr="004676F5">
        <w:rPr>
          <w:i/>
          <w:lang w:val="de-DE"/>
        </w:rPr>
        <w:t>Art. </w:t>
      </w:r>
      <w:r w:rsidR="009F58FD" w:rsidRPr="004676F5">
        <w:rPr>
          <w:i/>
          <w:lang w:val="de-DE"/>
        </w:rPr>
        <w:t>2 des G. vom 26. Dezember 2013 (IV) (B.S. vom 28. Januar 2014)</w:t>
      </w:r>
      <w:r w:rsidR="00561321" w:rsidRPr="004676F5">
        <w:rPr>
          <w:i/>
          <w:lang w:val="de-DE"/>
        </w:rPr>
        <w:t xml:space="preserve"> und aufgehoben durch Art. 6</w:t>
      </w:r>
      <w:r w:rsidR="00561321" w:rsidRPr="004676F5">
        <w:rPr>
          <w:i/>
          <w:iCs/>
          <w:lang w:val="de-DE"/>
        </w:rPr>
        <w:t xml:space="preserve"> des G. vom 8. Mai 2022 (B.S. vom 2. Juni 2022)</w:t>
      </w:r>
      <w:r w:rsidR="009F58FD" w:rsidRPr="004676F5">
        <w:rPr>
          <w:i/>
          <w:lang w:val="de-DE"/>
        </w:rPr>
        <w:t>]</w:t>
      </w:r>
    </w:p>
    <w:p w14:paraId="5D395A18" w14:textId="77777777" w:rsidR="009F58FD" w:rsidRPr="004676F5" w:rsidRDefault="009F58FD" w:rsidP="009F58FD">
      <w:pPr>
        <w:jc w:val="both"/>
        <w:rPr>
          <w:i/>
          <w:lang w:val="de-DE"/>
        </w:rPr>
      </w:pPr>
    </w:p>
    <w:p w14:paraId="7C423903" w14:textId="77777777" w:rsidR="009F58FD" w:rsidRPr="004676F5" w:rsidRDefault="009F58FD" w:rsidP="009F58FD">
      <w:pPr>
        <w:jc w:val="both"/>
        <w:rPr>
          <w:lang w:val="de-DE"/>
        </w:rPr>
      </w:pPr>
    </w:p>
    <w:p w14:paraId="4A49119E" w14:textId="3240DCD6" w:rsidR="009F58FD" w:rsidRPr="004676F5" w:rsidRDefault="009F58FD" w:rsidP="00561321">
      <w:pPr>
        <w:jc w:val="both"/>
        <w:rPr>
          <w:lang w:val="de-DE"/>
        </w:rPr>
      </w:pPr>
      <w:r w:rsidRPr="004676F5">
        <w:rPr>
          <w:lang w:val="de-DE"/>
        </w:rPr>
        <w:tab/>
      </w:r>
      <w:r w:rsidR="00BE0A56" w:rsidRPr="004676F5">
        <w:rPr>
          <w:b/>
          <w:lang w:val="de-DE"/>
        </w:rPr>
        <w:t>Art. </w:t>
      </w:r>
      <w:r w:rsidRPr="004676F5">
        <w:rPr>
          <w:b/>
          <w:lang w:val="de-DE"/>
        </w:rPr>
        <w:t>I.20</w:t>
      </w:r>
      <w:r w:rsidRPr="004676F5">
        <w:rPr>
          <w:lang w:val="de-DE"/>
        </w:rPr>
        <w:t> </w:t>
      </w:r>
      <w:r w:rsidR="005B7A5C" w:rsidRPr="004676F5">
        <w:rPr>
          <w:lang w:val="de-DE"/>
        </w:rPr>
        <w:t>- </w:t>
      </w:r>
      <w:r w:rsidR="00561321" w:rsidRPr="004676F5">
        <w:rPr>
          <w:lang w:val="de-DE"/>
        </w:rPr>
        <w:t>[...]</w:t>
      </w:r>
      <w:r w:rsidRPr="004676F5">
        <w:rPr>
          <w:lang w:val="de-DE"/>
        </w:rPr>
        <w:t>]</w:t>
      </w:r>
    </w:p>
    <w:p w14:paraId="7035C611" w14:textId="77777777" w:rsidR="009F58FD" w:rsidRPr="004676F5" w:rsidRDefault="009F58FD" w:rsidP="00302D19">
      <w:pPr>
        <w:jc w:val="center"/>
        <w:rPr>
          <w:b/>
          <w:lang w:val="de-DE"/>
        </w:rPr>
      </w:pPr>
    </w:p>
    <w:p w14:paraId="46098BBF" w14:textId="77777777" w:rsidR="00E2419C" w:rsidRPr="004676F5" w:rsidRDefault="00E2419C">
      <w:pPr>
        <w:rPr>
          <w:lang w:val="de-DE"/>
        </w:rPr>
      </w:pPr>
      <w:r w:rsidRPr="004676F5">
        <w:rPr>
          <w:lang w:val="de-DE"/>
        </w:rPr>
        <w:br w:type="page"/>
      </w:r>
    </w:p>
    <w:p w14:paraId="7742F90C" w14:textId="20226724" w:rsidR="00E2419C" w:rsidRPr="004676F5" w:rsidRDefault="00E2419C" w:rsidP="00E2419C">
      <w:pPr>
        <w:jc w:val="center"/>
        <w:rPr>
          <w:lang w:val="de-DE"/>
        </w:rPr>
      </w:pPr>
      <w:r w:rsidRPr="004676F5">
        <w:rPr>
          <w:lang w:val="de-DE"/>
        </w:rPr>
        <w:lastRenderedPageBreak/>
        <w:t>[KAPITEL 13 </w:t>
      </w:r>
      <w:r w:rsidR="005B7A5C" w:rsidRPr="004676F5">
        <w:rPr>
          <w:lang w:val="de-DE"/>
        </w:rPr>
        <w:t>- </w:t>
      </w:r>
      <w:r w:rsidRPr="004676F5">
        <w:rPr>
          <w:i/>
          <w:lang w:val="de-DE"/>
        </w:rPr>
        <w:t>Begriffsbestimmungen Buch XVII</w:t>
      </w:r>
    </w:p>
    <w:p w14:paraId="5F593951" w14:textId="77777777" w:rsidR="00E2419C" w:rsidRPr="004676F5" w:rsidRDefault="00E2419C" w:rsidP="00E2419C">
      <w:pPr>
        <w:jc w:val="both"/>
        <w:rPr>
          <w:lang w:val="de-DE"/>
        </w:rPr>
      </w:pPr>
    </w:p>
    <w:p w14:paraId="7CF8D148" w14:textId="69D27973" w:rsidR="00E2419C" w:rsidRPr="004676F5" w:rsidRDefault="00E2419C" w:rsidP="00E2419C">
      <w:pPr>
        <w:jc w:val="both"/>
        <w:rPr>
          <w:i/>
          <w:lang w:val="de-DE"/>
        </w:rPr>
      </w:pPr>
      <w:r w:rsidRPr="004676F5">
        <w:rPr>
          <w:i/>
          <w:lang w:val="de-DE"/>
        </w:rPr>
        <w:t xml:space="preserve">[Kapitel 13 mit </w:t>
      </w:r>
      <w:r w:rsidR="00BE0A56" w:rsidRPr="004676F5">
        <w:rPr>
          <w:i/>
          <w:lang w:val="de-DE"/>
        </w:rPr>
        <w:t>Art. </w:t>
      </w:r>
      <w:r w:rsidRPr="004676F5">
        <w:rPr>
          <w:i/>
          <w:lang w:val="de-DE"/>
        </w:rPr>
        <w:t xml:space="preserve">I.21 eingefügt durch </w:t>
      </w:r>
      <w:r w:rsidR="00BE0A56" w:rsidRPr="004676F5">
        <w:rPr>
          <w:i/>
          <w:lang w:val="de-DE"/>
        </w:rPr>
        <w:t>Art. </w:t>
      </w:r>
      <w:r w:rsidRPr="004676F5">
        <w:rPr>
          <w:i/>
          <w:lang w:val="de-DE"/>
        </w:rPr>
        <w:t>2 des G. vom 28. März 2014 (B.S. vom 29. April 2014)]</w:t>
      </w:r>
    </w:p>
    <w:p w14:paraId="7081B6D5" w14:textId="77777777" w:rsidR="00E2419C" w:rsidRPr="004676F5" w:rsidRDefault="00E2419C" w:rsidP="00E2419C">
      <w:pPr>
        <w:jc w:val="both"/>
        <w:rPr>
          <w:lang w:val="de-DE"/>
        </w:rPr>
      </w:pPr>
    </w:p>
    <w:p w14:paraId="3B4FF700" w14:textId="77777777" w:rsidR="00E2419C" w:rsidRPr="004676F5" w:rsidRDefault="00E2419C" w:rsidP="00E2419C">
      <w:pPr>
        <w:jc w:val="both"/>
        <w:rPr>
          <w:lang w:val="de-DE"/>
        </w:rPr>
      </w:pPr>
    </w:p>
    <w:p w14:paraId="0AC6131D" w14:textId="4611B741" w:rsidR="007D64D3" w:rsidRPr="004676F5" w:rsidRDefault="007D64D3" w:rsidP="00E2419C">
      <w:pPr>
        <w:jc w:val="both"/>
        <w:rPr>
          <w:lang w:val="de-DE"/>
        </w:rPr>
      </w:pPr>
      <w:r w:rsidRPr="004676F5">
        <w:rPr>
          <w:lang w:val="de-DE"/>
        </w:rPr>
        <w:tab/>
        <w:t>[</w:t>
      </w:r>
      <w:r w:rsidRPr="004676F5">
        <w:rPr>
          <w:b/>
          <w:bCs/>
          <w:lang w:val="de-DE"/>
        </w:rPr>
        <w:t>Art. I.20/1</w:t>
      </w:r>
      <w:r w:rsidRPr="004676F5">
        <w:rPr>
          <w:lang w:val="de-DE"/>
        </w:rPr>
        <w:t> </w:t>
      </w:r>
      <w:r w:rsidR="00802794" w:rsidRPr="004676F5">
        <w:rPr>
          <w:lang w:val="de-DE"/>
        </w:rPr>
        <w:t>-</w:t>
      </w:r>
      <w:r w:rsidR="005B7A5C" w:rsidRPr="004676F5">
        <w:rPr>
          <w:lang w:val="de-DE"/>
        </w:rPr>
        <w:t> </w:t>
      </w:r>
      <w:r w:rsidR="00802794" w:rsidRPr="004676F5">
        <w:rPr>
          <w:lang w:val="de-DE"/>
        </w:rPr>
        <w:t>[...]</w:t>
      </w:r>
      <w:r w:rsidRPr="004676F5">
        <w:rPr>
          <w:lang w:val="de-DE"/>
        </w:rPr>
        <w:t>]</w:t>
      </w:r>
    </w:p>
    <w:p w14:paraId="61D022F7" w14:textId="77777777" w:rsidR="007D64D3" w:rsidRPr="004676F5" w:rsidRDefault="007D64D3" w:rsidP="00E2419C">
      <w:pPr>
        <w:jc w:val="both"/>
        <w:rPr>
          <w:lang w:val="de-DE"/>
        </w:rPr>
      </w:pPr>
    </w:p>
    <w:p w14:paraId="207761FB" w14:textId="683949AC" w:rsidR="007D64D3" w:rsidRPr="004676F5" w:rsidRDefault="007D64D3" w:rsidP="00E2419C">
      <w:pPr>
        <w:jc w:val="both"/>
        <w:rPr>
          <w:i/>
          <w:iCs/>
          <w:lang w:val="de-DE"/>
        </w:rPr>
      </w:pPr>
      <w:r w:rsidRPr="004676F5">
        <w:rPr>
          <w:i/>
          <w:iCs/>
          <w:lang w:val="de-DE"/>
        </w:rPr>
        <w:t>[Art. I.20/1 eingefügt durch Art. 7 des G. vom 8. Mai 2022 (B.S. vom 2. Juni 2022)</w:t>
      </w:r>
      <w:r w:rsidR="00802794" w:rsidRPr="004676F5">
        <w:rPr>
          <w:i/>
          <w:iCs/>
          <w:lang w:val="de-DE"/>
        </w:rPr>
        <w:t xml:space="preserve"> und aufgehoben durch Art. 4 des G. vom 21. April 2024 (II) (B.S. vom 31. Mai 2024)</w:t>
      </w:r>
      <w:r w:rsidRPr="004676F5">
        <w:rPr>
          <w:i/>
          <w:iCs/>
          <w:lang w:val="de-DE"/>
        </w:rPr>
        <w:t>]</w:t>
      </w:r>
    </w:p>
    <w:p w14:paraId="703C5995" w14:textId="77777777" w:rsidR="007D64D3" w:rsidRPr="004676F5" w:rsidRDefault="007D64D3" w:rsidP="00E2419C">
      <w:pPr>
        <w:jc w:val="both"/>
        <w:rPr>
          <w:i/>
          <w:iCs/>
          <w:lang w:val="de-DE"/>
        </w:rPr>
      </w:pPr>
    </w:p>
    <w:p w14:paraId="3B35D84D" w14:textId="77777777" w:rsidR="007D64D3" w:rsidRPr="004676F5" w:rsidRDefault="007D64D3" w:rsidP="00E2419C">
      <w:pPr>
        <w:jc w:val="both"/>
        <w:rPr>
          <w:lang w:val="de-DE"/>
        </w:rPr>
      </w:pPr>
    </w:p>
    <w:p w14:paraId="05C38AF4" w14:textId="060877BD" w:rsidR="00E2419C" w:rsidRPr="004676F5" w:rsidRDefault="00E2419C" w:rsidP="00E2419C">
      <w:pPr>
        <w:jc w:val="both"/>
        <w:rPr>
          <w:lang w:val="de-DE"/>
        </w:rPr>
      </w:pPr>
      <w:r w:rsidRPr="004676F5">
        <w:rPr>
          <w:lang w:val="de-DE"/>
        </w:rPr>
        <w:tab/>
      </w:r>
      <w:r w:rsidR="00BE0A56" w:rsidRPr="004676F5">
        <w:rPr>
          <w:b/>
          <w:lang w:val="de-DE"/>
        </w:rPr>
        <w:t>Art. </w:t>
      </w:r>
      <w:r w:rsidRPr="004676F5">
        <w:rPr>
          <w:b/>
          <w:lang w:val="de-DE"/>
        </w:rPr>
        <w:t>I.21</w:t>
      </w:r>
      <w:r w:rsidRPr="004676F5">
        <w:rPr>
          <w:lang w:val="de-DE"/>
        </w:rPr>
        <w:t> </w:t>
      </w:r>
      <w:r w:rsidR="005B7A5C" w:rsidRPr="004676F5">
        <w:rPr>
          <w:lang w:val="de-DE"/>
        </w:rPr>
        <w:t>- </w:t>
      </w:r>
      <w:r w:rsidRPr="004676F5">
        <w:rPr>
          <w:lang w:val="de-DE"/>
        </w:rPr>
        <w:t xml:space="preserve">Folgende Begriffsbestimmungen gelten für Buch XVII </w:t>
      </w:r>
      <w:r w:rsidR="007851EF" w:rsidRPr="004676F5">
        <w:rPr>
          <w:lang w:val="de-DE"/>
        </w:rPr>
        <w:t xml:space="preserve">[Titel 1 und] </w:t>
      </w:r>
      <w:r w:rsidRPr="004676F5">
        <w:rPr>
          <w:lang w:val="de-DE"/>
        </w:rPr>
        <w:t>Titel 2:</w:t>
      </w:r>
    </w:p>
    <w:p w14:paraId="39B65ED9" w14:textId="77777777" w:rsidR="00E2419C" w:rsidRPr="004676F5" w:rsidRDefault="00E2419C" w:rsidP="00E2419C">
      <w:pPr>
        <w:jc w:val="both"/>
        <w:rPr>
          <w:lang w:val="de-DE"/>
        </w:rPr>
      </w:pPr>
    </w:p>
    <w:p w14:paraId="24618B1E" w14:textId="77777777" w:rsidR="00E2419C" w:rsidRPr="004676F5" w:rsidRDefault="00E2419C" w:rsidP="00E2419C">
      <w:pPr>
        <w:jc w:val="both"/>
        <w:rPr>
          <w:lang w:val="de-DE"/>
        </w:rPr>
      </w:pPr>
      <w:r w:rsidRPr="004676F5">
        <w:rPr>
          <w:lang w:val="de-DE"/>
        </w:rPr>
        <w:tab/>
        <w:t>1. kollektiver Schaden: sämtliche individuellen Schäden mit gemeinsamer Ursache, die Mitglieder einer Gruppe erlitten haben,</w:t>
      </w:r>
    </w:p>
    <w:p w14:paraId="4D22C109" w14:textId="77777777" w:rsidR="00E2419C" w:rsidRPr="004676F5" w:rsidRDefault="00E2419C" w:rsidP="00E2419C">
      <w:pPr>
        <w:jc w:val="both"/>
        <w:rPr>
          <w:lang w:val="de-DE"/>
        </w:rPr>
      </w:pPr>
    </w:p>
    <w:p w14:paraId="49544684" w14:textId="78202E0A" w:rsidR="00E2419C" w:rsidRPr="004676F5" w:rsidRDefault="00E2419C" w:rsidP="00E2419C">
      <w:pPr>
        <w:jc w:val="both"/>
        <w:rPr>
          <w:lang w:val="de-DE"/>
        </w:rPr>
      </w:pPr>
      <w:r w:rsidRPr="004676F5">
        <w:rPr>
          <w:lang w:val="de-DE"/>
        </w:rPr>
        <w:tab/>
        <w:t>2. Gruppe: sämtliche Verbraucher</w:t>
      </w:r>
      <w:r w:rsidR="005D2648" w:rsidRPr="004676F5">
        <w:rPr>
          <w:lang w:val="de-DE"/>
        </w:rPr>
        <w:t xml:space="preserve"> [oder sämtliche KMU]</w:t>
      </w:r>
      <w:r w:rsidRPr="004676F5">
        <w:rPr>
          <w:lang w:val="de-DE"/>
        </w:rPr>
        <w:t>, die individuell durch einen kollektiven Schaden geschädigt worden sind und in einer kollektiven Schadenersatzklage vertreten sind,</w:t>
      </w:r>
    </w:p>
    <w:p w14:paraId="41222466" w14:textId="77777777" w:rsidR="00E2419C" w:rsidRPr="004676F5" w:rsidRDefault="00E2419C" w:rsidP="00E2419C">
      <w:pPr>
        <w:jc w:val="both"/>
        <w:rPr>
          <w:lang w:val="de-DE"/>
        </w:rPr>
      </w:pPr>
    </w:p>
    <w:p w14:paraId="55DB2CDA" w14:textId="77777777" w:rsidR="00E2419C" w:rsidRPr="004676F5" w:rsidRDefault="00E2419C" w:rsidP="00E2419C">
      <w:pPr>
        <w:jc w:val="both"/>
        <w:rPr>
          <w:lang w:val="de-DE"/>
        </w:rPr>
      </w:pPr>
      <w:r w:rsidRPr="004676F5">
        <w:rPr>
          <w:lang w:val="de-DE"/>
        </w:rPr>
        <w:tab/>
        <w:t>3. kollektive Schadenersatzklage: eine Klage, die den Ersatz eines kollektiven Schadens zum Ziel hat,</w:t>
      </w:r>
    </w:p>
    <w:p w14:paraId="54549231" w14:textId="77777777" w:rsidR="00E2419C" w:rsidRPr="004676F5" w:rsidRDefault="00E2419C" w:rsidP="00E2419C">
      <w:pPr>
        <w:jc w:val="both"/>
        <w:rPr>
          <w:lang w:val="de-DE"/>
        </w:rPr>
      </w:pPr>
    </w:p>
    <w:p w14:paraId="4B794A53" w14:textId="6794EBC2" w:rsidR="00E2419C" w:rsidRPr="004676F5" w:rsidRDefault="00E2419C" w:rsidP="00E2419C">
      <w:pPr>
        <w:jc w:val="both"/>
        <w:rPr>
          <w:lang w:val="de-DE"/>
        </w:rPr>
      </w:pPr>
      <w:r w:rsidRPr="004676F5">
        <w:rPr>
          <w:lang w:val="de-DE"/>
        </w:rPr>
        <w:tab/>
        <w:t xml:space="preserve">4. Opt-out-System: ein System, in dem alle durch den kollektiven Schaden geschädigten Verbraucher </w:t>
      </w:r>
      <w:r w:rsidR="00820491" w:rsidRPr="004676F5">
        <w:rPr>
          <w:lang w:val="de-DE"/>
        </w:rPr>
        <w:t xml:space="preserve">[oder KMU] </w:t>
      </w:r>
      <w:r w:rsidRPr="004676F5">
        <w:rPr>
          <w:lang w:val="de-DE"/>
        </w:rPr>
        <w:t>Mitglied der Gruppe sind, mit Ausnahme derjenigen, die ihren Willen geäußert haben, dieser Gruppe nicht anzugehören,</w:t>
      </w:r>
    </w:p>
    <w:p w14:paraId="07253AE8" w14:textId="77777777" w:rsidR="00E2419C" w:rsidRPr="004676F5" w:rsidRDefault="00E2419C" w:rsidP="00E2419C">
      <w:pPr>
        <w:jc w:val="both"/>
        <w:rPr>
          <w:lang w:val="de-DE"/>
        </w:rPr>
      </w:pPr>
    </w:p>
    <w:p w14:paraId="3A518736" w14:textId="6D55F8EE" w:rsidR="00E2419C" w:rsidRPr="004676F5" w:rsidRDefault="00E2419C" w:rsidP="00E2419C">
      <w:pPr>
        <w:jc w:val="both"/>
        <w:rPr>
          <w:lang w:val="de-DE"/>
        </w:rPr>
      </w:pPr>
      <w:r w:rsidRPr="004676F5">
        <w:rPr>
          <w:lang w:val="de-DE"/>
        </w:rPr>
        <w:tab/>
        <w:t>5. Opt-in-System: ein System, in dem nur die durch den kollektiven Schaden geschädigten Verbraucher</w:t>
      </w:r>
      <w:r w:rsidR="00820491" w:rsidRPr="004676F5">
        <w:rPr>
          <w:lang w:val="de-DE"/>
        </w:rPr>
        <w:t xml:space="preserve"> [oder KMU]</w:t>
      </w:r>
      <w:r w:rsidRPr="004676F5">
        <w:rPr>
          <w:lang w:val="de-DE"/>
        </w:rPr>
        <w:t>, die ihren Willen geäußert haben, einer Gruppe anzugehören, Mitglied der Gruppe sind,</w:t>
      </w:r>
    </w:p>
    <w:p w14:paraId="64BCED8B" w14:textId="77777777" w:rsidR="00E2419C" w:rsidRPr="004676F5" w:rsidRDefault="00E2419C" w:rsidP="00E2419C">
      <w:pPr>
        <w:jc w:val="both"/>
        <w:rPr>
          <w:lang w:val="de-DE"/>
        </w:rPr>
      </w:pPr>
    </w:p>
    <w:p w14:paraId="3EF1DFE9" w14:textId="77777777" w:rsidR="00E2419C" w:rsidRPr="004676F5" w:rsidRDefault="00E2419C" w:rsidP="00E2419C">
      <w:pPr>
        <w:jc w:val="both"/>
        <w:rPr>
          <w:lang w:val="de-DE"/>
        </w:rPr>
      </w:pPr>
      <w:r w:rsidRPr="004676F5">
        <w:rPr>
          <w:lang w:val="de-DE"/>
        </w:rPr>
        <w:tab/>
        <w:t>6. Gruppenvertreter: Vereinigung, die in einer kollektiven Schadenersatzklage im Namen der Gruppe auftritt, oder der in Artikel XVI.5 des vorliegenden Gesetzbuches erwähnte autonome öffentliche Dienst,</w:t>
      </w:r>
    </w:p>
    <w:p w14:paraId="6027D57E" w14:textId="77777777" w:rsidR="00E2419C" w:rsidRPr="004676F5" w:rsidRDefault="00E2419C" w:rsidP="00E2419C">
      <w:pPr>
        <w:jc w:val="both"/>
        <w:rPr>
          <w:lang w:val="de-DE"/>
        </w:rPr>
      </w:pPr>
    </w:p>
    <w:p w14:paraId="73363988" w14:textId="43DB2BA8" w:rsidR="009D3DCF" w:rsidRPr="004676F5" w:rsidRDefault="00E2419C" w:rsidP="00E2419C">
      <w:pPr>
        <w:jc w:val="both"/>
        <w:rPr>
          <w:lang w:val="de-DE"/>
        </w:rPr>
      </w:pPr>
      <w:r w:rsidRPr="004676F5">
        <w:rPr>
          <w:lang w:val="de-DE"/>
        </w:rPr>
        <w:tab/>
        <w:t xml:space="preserve">7. kollektive Schadenersatzvereinbarung: eine Vereinbarung zwischen dem Gruppenvertreter und dem Beklagten, der den Ersatz </w:t>
      </w:r>
      <w:r w:rsidR="007851EF" w:rsidRPr="004676F5">
        <w:rPr>
          <w:lang w:val="de-DE"/>
        </w:rPr>
        <w:t>des kollektiven Schadens regelt,</w:t>
      </w:r>
      <w:r w:rsidRPr="004676F5">
        <w:rPr>
          <w:lang w:val="de-DE"/>
        </w:rPr>
        <w:t>]</w:t>
      </w:r>
    </w:p>
    <w:p w14:paraId="4A269503" w14:textId="452F6AC8" w:rsidR="007851EF" w:rsidRPr="004676F5" w:rsidRDefault="007851EF" w:rsidP="00E2419C">
      <w:pPr>
        <w:jc w:val="both"/>
        <w:rPr>
          <w:lang w:val="de-DE"/>
        </w:rPr>
      </w:pPr>
    </w:p>
    <w:p w14:paraId="47205A90" w14:textId="4D0278D4" w:rsidR="007851EF" w:rsidRPr="004676F5" w:rsidRDefault="007851EF" w:rsidP="00E2419C">
      <w:pPr>
        <w:jc w:val="both"/>
        <w:rPr>
          <w:lang w:val="de-DE"/>
        </w:rPr>
      </w:pPr>
      <w:r w:rsidRPr="004676F5">
        <w:rPr>
          <w:lang w:val="de-DE"/>
        </w:rPr>
        <w:tab/>
        <w:t>[8. Unternehmen: natürliche oder juristische Personen, die auf dauerhafte Weise einen wirtschaftlichen Zweck verfolgen, und ihre Vereinigungen</w:t>
      </w:r>
      <w:r w:rsidR="00802794" w:rsidRPr="004676F5">
        <w:rPr>
          <w:lang w:val="de-DE"/>
        </w:rPr>
        <w:t>,</w:t>
      </w:r>
      <w:r w:rsidRPr="004676F5">
        <w:rPr>
          <w:lang w:val="de-DE"/>
        </w:rPr>
        <w:t>]</w:t>
      </w:r>
    </w:p>
    <w:p w14:paraId="6DA9A6D8" w14:textId="77777777" w:rsidR="00802794" w:rsidRPr="004676F5" w:rsidRDefault="00802794" w:rsidP="00E2419C">
      <w:pPr>
        <w:jc w:val="both"/>
        <w:rPr>
          <w:lang w:val="de-DE"/>
        </w:rPr>
      </w:pPr>
    </w:p>
    <w:p w14:paraId="6ACA0F0E" w14:textId="1F2CB19E" w:rsidR="00802794" w:rsidRPr="004676F5" w:rsidRDefault="00802794" w:rsidP="00E2419C">
      <w:pPr>
        <w:jc w:val="both"/>
        <w:rPr>
          <w:lang w:val="de-DE"/>
        </w:rPr>
      </w:pPr>
      <w:r w:rsidRPr="004676F5">
        <w:rPr>
          <w:lang w:val="de-DE"/>
        </w:rPr>
        <w:tab/>
        <w:t>[9.</w:t>
      </w:r>
      <w:r w:rsidR="00390224">
        <w:rPr>
          <w:lang w:val="de-DE"/>
        </w:rPr>
        <w:t> </w:t>
      </w:r>
      <w:r w:rsidRPr="004676F5">
        <w:rPr>
          <w:lang w:val="de-DE"/>
        </w:rPr>
        <w:t>KMU: KMU im Sinne der Empfehlung</w:t>
      </w:r>
      <w:r w:rsidR="00390224">
        <w:rPr>
          <w:lang w:val="de-DE"/>
        </w:rPr>
        <w:t> </w:t>
      </w:r>
      <w:r w:rsidRPr="004676F5">
        <w:rPr>
          <w:lang w:val="de-DE"/>
        </w:rPr>
        <w:t>2003/361/EG der Kommission vom 6.</w:t>
      </w:r>
      <w:r w:rsidR="00390224">
        <w:rPr>
          <w:lang w:val="de-DE"/>
        </w:rPr>
        <w:t> </w:t>
      </w:r>
      <w:r w:rsidRPr="004676F5">
        <w:rPr>
          <w:lang w:val="de-DE"/>
        </w:rPr>
        <w:t>Mai</w:t>
      </w:r>
      <w:r w:rsidR="00390224">
        <w:rPr>
          <w:lang w:val="de-DE"/>
        </w:rPr>
        <w:t> </w:t>
      </w:r>
      <w:r w:rsidRPr="004676F5">
        <w:rPr>
          <w:lang w:val="de-DE"/>
        </w:rPr>
        <w:t>2003 betreffend die Definition der Kleinstunternehmen sowie der kleinen und mittleren Unternehmen.]</w:t>
      </w:r>
    </w:p>
    <w:p w14:paraId="024A12CB" w14:textId="163BB421" w:rsidR="00977E4B" w:rsidRPr="004676F5" w:rsidRDefault="00977E4B" w:rsidP="00E2419C">
      <w:pPr>
        <w:jc w:val="both"/>
        <w:rPr>
          <w:lang w:val="de-DE"/>
        </w:rPr>
      </w:pPr>
    </w:p>
    <w:p w14:paraId="0B7A1E99" w14:textId="5463D62E" w:rsidR="00820491" w:rsidRPr="004676F5" w:rsidRDefault="00820491" w:rsidP="00E2419C">
      <w:pPr>
        <w:jc w:val="both"/>
        <w:rPr>
          <w:i/>
          <w:lang w:val="de-DE"/>
        </w:rPr>
      </w:pPr>
      <w:r w:rsidRPr="004676F5">
        <w:rPr>
          <w:i/>
          <w:lang w:val="de-DE"/>
        </w:rPr>
        <w:t xml:space="preserve">[Art. I.21 </w:t>
      </w:r>
      <w:r w:rsidR="007851EF" w:rsidRPr="004676F5">
        <w:rPr>
          <w:i/>
          <w:lang w:val="de-DE"/>
        </w:rPr>
        <w:t xml:space="preserve">einziger Absatz einleitende Bestimmung abgeändert durch Art. 47 Buchstabe a) des G. vom 15. April 2018 (B.S. vom 27. April 2018); </w:t>
      </w:r>
      <w:r w:rsidRPr="004676F5">
        <w:rPr>
          <w:i/>
          <w:lang w:val="de-DE"/>
        </w:rPr>
        <w:t>einziger Absatz Nr. 2 abgeändert durch Art. 2 Nr. 1 des G. vom 30. März 2018 (B.S. vom 22. Mai 2018); einziger Absatz Nr. 4 abgeändert durch Art. 2 Nr. 2 des G. vom 30. März 2018 (B.S. vom 22. Mai 2018); einziger Absatz Nr. 5 abgeändert durch Art. 2 Nr. 3 des G. vom 30. März 2018 (B.S. vom 22. Mai 2018)</w:t>
      </w:r>
      <w:r w:rsidR="007851EF" w:rsidRPr="004676F5">
        <w:rPr>
          <w:i/>
          <w:lang w:val="de-DE"/>
        </w:rPr>
        <w:t xml:space="preserve">; einziger </w:t>
      </w:r>
      <w:r w:rsidR="007851EF" w:rsidRPr="004676F5">
        <w:rPr>
          <w:i/>
          <w:lang w:val="de-DE"/>
        </w:rPr>
        <w:lastRenderedPageBreak/>
        <w:t>Absatz Nr. 8 eingefügt durch Art. 47 Buchstabe b)</w:t>
      </w:r>
      <w:r w:rsidR="007851EF" w:rsidRPr="004676F5">
        <w:rPr>
          <w:i/>
          <w:iCs/>
          <w:lang w:val="de-DE"/>
        </w:rPr>
        <w:t xml:space="preserve"> des G. vom 15. April 2018 (B.S. vom 27. April 2018)</w:t>
      </w:r>
      <w:r w:rsidR="00802794" w:rsidRPr="004676F5">
        <w:rPr>
          <w:i/>
          <w:iCs/>
          <w:lang w:val="de-DE"/>
        </w:rPr>
        <w:t>; einziger Absatz Nr. 9 eingefügt durch Art. 5 des G. vom 21. April 2024 (II) (B.S. vom 31. Mai 2024)</w:t>
      </w:r>
      <w:r w:rsidRPr="004676F5">
        <w:rPr>
          <w:i/>
          <w:lang w:val="de-DE"/>
        </w:rPr>
        <w:t>]</w:t>
      </w:r>
    </w:p>
    <w:p w14:paraId="6EBF96F0" w14:textId="3EEACB0D" w:rsidR="00977E4B" w:rsidRPr="004676F5" w:rsidRDefault="00977E4B" w:rsidP="00E2419C">
      <w:pPr>
        <w:jc w:val="both"/>
        <w:rPr>
          <w:lang w:val="de-DE"/>
        </w:rPr>
      </w:pPr>
    </w:p>
    <w:p w14:paraId="3BAE6E8D" w14:textId="77777777" w:rsidR="00B62F51" w:rsidRPr="004676F5" w:rsidRDefault="00B62F51" w:rsidP="00E2419C">
      <w:pPr>
        <w:jc w:val="both"/>
        <w:rPr>
          <w:lang w:val="de-DE"/>
        </w:rPr>
      </w:pPr>
    </w:p>
    <w:p w14:paraId="1EF05279" w14:textId="68297C5C" w:rsidR="00B62F51" w:rsidRPr="004676F5" w:rsidRDefault="00B62F51" w:rsidP="00B62F51">
      <w:pPr>
        <w:jc w:val="both"/>
        <w:rPr>
          <w:lang w:val="de-DE"/>
        </w:rPr>
      </w:pPr>
      <w:r w:rsidRPr="004676F5">
        <w:rPr>
          <w:lang w:val="de-DE"/>
        </w:rPr>
        <w:tab/>
        <w:t>[</w:t>
      </w:r>
      <w:r w:rsidRPr="004676F5">
        <w:rPr>
          <w:b/>
          <w:bCs/>
          <w:lang w:val="de-DE"/>
        </w:rPr>
        <w:t>Art. I.21/1</w:t>
      </w:r>
      <w:r w:rsidRPr="004676F5">
        <w:rPr>
          <w:lang w:val="de-DE"/>
        </w:rPr>
        <w:t xml:space="preserve"> - Folgende Begriffsbestimmungen gelten für Buch</w:t>
      </w:r>
      <w:r w:rsidR="00390224">
        <w:rPr>
          <w:lang w:val="de-DE"/>
        </w:rPr>
        <w:t> </w:t>
      </w:r>
      <w:r w:rsidRPr="004676F5">
        <w:rPr>
          <w:lang w:val="de-DE"/>
        </w:rPr>
        <w:t>XVII Titel 1/1:</w:t>
      </w:r>
    </w:p>
    <w:p w14:paraId="0498B158" w14:textId="77777777" w:rsidR="00B62F51" w:rsidRPr="004676F5" w:rsidRDefault="00B62F51" w:rsidP="00B62F51">
      <w:pPr>
        <w:jc w:val="both"/>
        <w:rPr>
          <w:lang w:val="de-DE"/>
        </w:rPr>
      </w:pPr>
    </w:p>
    <w:p w14:paraId="342A8323" w14:textId="70D83816" w:rsidR="00B62F51" w:rsidRPr="004676F5" w:rsidRDefault="00B62F51" w:rsidP="00B62F51">
      <w:pPr>
        <w:jc w:val="both"/>
        <w:rPr>
          <w:lang w:val="de-DE"/>
        </w:rPr>
      </w:pPr>
      <w:r w:rsidRPr="004676F5">
        <w:rPr>
          <w:lang w:val="de-DE"/>
        </w:rPr>
        <w:tab/>
        <w:t>1. illegaler Betrieb eines Online-Glücksspiels: Betreiben im Sinne von Artikel 2 Nr. 2 des Gesetzes vom 7. Mai 1999 über die Glücksspiele, die Wetten, die Glücksspieleinrichtungen und den Schutz der Spieler eines Glücksspiels im Sinne von Artikel 2 Nr. 1 desselben Gesetzes oder einer Wette im Sinne von Artikel 2 Nr. 5 desselben Gesetzes mittels Instrumenten der Informationsgesellschaft im Sinne von Artikel 2 Nr. 10 desselben Gesetzes, ohne über eine in Artikel 25 desselben Gesetzes erwähnte Zusatzlizenz zu verfügen.]</w:t>
      </w:r>
    </w:p>
    <w:p w14:paraId="322F30DC" w14:textId="77777777" w:rsidR="00B62F51" w:rsidRPr="004676F5" w:rsidRDefault="00B62F51" w:rsidP="00E2419C">
      <w:pPr>
        <w:jc w:val="both"/>
        <w:rPr>
          <w:lang w:val="de-DE"/>
        </w:rPr>
      </w:pPr>
    </w:p>
    <w:p w14:paraId="0DC70BA8" w14:textId="03731BC9" w:rsidR="00B62F51" w:rsidRPr="004676F5" w:rsidRDefault="00B62F51" w:rsidP="00E2419C">
      <w:pPr>
        <w:jc w:val="both"/>
        <w:rPr>
          <w:i/>
          <w:iCs/>
          <w:lang w:val="de-DE"/>
        </w:rPr>
      </w:pPr>
      <w:r w:rsidRPr="004676F5">
        <w:rPr>
          <w:i/>
          <w:iCs/>
          <w:lang w:val="de-DE"/>
        </w:rPr>
        <w:t>[Art. I/21/1 eingefügt durch Art. 82 des G. vom 22. Dezember 2023 (B.S. vom 29. Dezember 2023)]</w:t>
      </w:r>
    </w:p>
    <w:p w14:paraId="11300867" w14:textId="77777777" w:rsidR="00B62F51" w:rsidRPr="004676F5" w:rsidRDefault="00B62F51" w:rsidP="00E2419C">
      <w:pPr>
        <w:jc w:val="both"/>
        <w:rPr>
          <w:lang w:val="de-DE"/>
        </w:rPr>
      </w:pPr>
    </w:p>
    <w:p w14:paraId="507C754F" w14:textId="77777777" w:rsidR="00820491" w:rsidRPr="004676F5" w:rsidRDefault="00820491" w:rsidP="00E2419C">
      <w:pPr>
        <w:jc w:val="both"/>
        <w:rPr>
          <w:lang w:val="de-DE"/>
        </w:rPr>
      </w:pPr>
    </w:p>
    <w:p w14:paraId="470E60F0" w14:textId="53A8C10B" w:rsidR="00977E4B" w:rsidRPr="004676F5" w:rsidRDefault="00977E4B" w:rsidP="00977E4B">
      <w:pPr>
        <w:jc w:val="both"/>
        <w:rPr>
          <w:lang w:val="de-DE"/>
        </w:rPr>
      </w:pPr>
      <w:r w:rsidRPr="004676F5">
        <w:rPr>
          <w:lang w:val="de-DE"/>
        </w:rPr>
        <w:tab/>
        <w:t>[</w:t>
      </w:r>
      <w:r w:rsidR="00BE0A56" w:rsidRPr="004676F5">
        <w:rPr>
          <w:b/>
          <w:lang w:val="de-DE"/>
        </w:rPr>
        <w:t>Art. </w:t>
      </w:r>
      <w:r w:rsidRPr="004676F5">
        <w:rPr>
          <w:b/>
          <w:lang w:val="de-DE"/>
        </w:rPr>
        <w:t>I.22</w:t>
      </w:r>
      <w:r w:rsidRPr="004676F5">
        <w:rPr>
          <w:lang w:val="de-DE"/>
        </w:rPr>
        <w:t> </w:t>
      </w:r>
      <w:r w:rsidR="005B7A5C" w:rsidRPr="004676F5">
        <w:rPr>
          <w:lang w:val="de-DE"/>
        </w:rPr>
        <w:t>- </w:t>
      </w:r>
      <w:r w:rsidRPr="004676F5">
        <w:rPr>
          <w:lang w:val="de-DE"/>
        </w:rPr>
        <w:t>Folgende Begriffsbestimmungen gelten für Buch XVII Titel 3:</w:t>
      </w:r>
    </w:p>
    <w:p w14:paraId="0DA9A963" w14:textId="77777777" w:rsidR="00977E4B" w:rsidRPr="004676F5" w:rsidRDefault="00977E4B" w:rsidP="00977E4B">
      <w:pPr>
        <w:jc w:val="both"/>
        <w:rPr>
          <w:lang w:val="de-DE"/>
        </w:rPr>
      </w:pPr>
    </w:p>
    <w:p w14:paraId="40D3F868" w14:textId="1B49C7B8" w:rsidR="00977E4B" w:rsidRPr="004676F5" w:rsidRDefault="00977E4B" w:rsidP="00977E4B">
      <w:pPr>
        <w:jc w:val="both"/>
        <w:rPr>
          <w:lang w:val="de-DE"/>
        </w:rPr>
      </w:pPr>
      <w:r w:rsidRPr="004676F5">
        <w:rPr>
          <w:lang w:val="de-DE"/>
        </w:rPr>
        <w:tab/>
        <w:t xml:space="preserve">1. Zuwiderhandlung gegen das Wettbewerbsrecht: eine Zuwiderhandlung gegen Artikel 101 oder 102 des Vertrags über die Arbeitsweise der Europäischen Union (im Nachfolgenden AEUV) </w:t>
      </w:r>
      <w:r w:rsidR="00E54E98" w:rsidRPr="004676F5">
        <w:rPr>
          <w:lang w:val="de-DE"/>
        </w:rPr>
        <w:t>[und/oder gegen Artikel IV.1, IV.2 oder IV.2/1]</w:t>
      </w:r>
      <w:r w:rsidRPr="004676F5">
        <w:rPr>
          <w:lang w:val="de-DE"/>
        </w:rPr>
        <w:t>,</w:t>
      </w:r>
    </w:p>
    <w:p w14:paraId="1EED8586" w14:textId="77777777" w:rsidR="00977E4B" w:rsidRPr="004676F5" w:rsidRDefault="00977E4B" w:rsidP="00977E4B">
      <w:pPr>
        <w:jc w:val="both"/>
        <w:rPr>
          <w:lang w:val="de-DE"/>
        </w:rPr>
      </w:pPr>
    </w:p>
    <w:p w14:paraId="1928340F" w14:textId="77777777" w:rsidR="00977E4B" w:rsidRPr="004676F5" w:rsidRDefault="00977E4B" w:rsidP="00977E4B">
      <w:pPr>
        <w:jc w:val="both"/>
        <w:rPr>
          <w:lang w:val="de-DE"/>
        </w:rPr>
      </w:pPr>
      <w:r w:rsidRPr="004676F5">
        <w:rPr>
          <w:lang w:val="de-DE"/>
        </w:rPr>
        <w:tab/>
        <w:t>2. Rechtsverletzer: Unternehmen oder Unternehmensvereinigung, das/die eine Zuwiderhandlung gegen das Wettbewerbsrecht begangen hat,</w:t>
      </w:r>
    </w:p>
    <w:p w14:paraId="3661D6C7" w14:textId="77777777" w:rsidR="00977E4B" w:rsidRPr="004676F5" w:rsidRDefault="00977E4B" w:rsidP="00977E4B">
      <w:pPr>
        <w:jc w:val="both"/>
        <w:rPr>
          <w:lang w:val="de-DE"/>
        </w:rPr>
      </w:pPr>
    </w:p>
    <w:p w14:paraId="62795407" w14:textId="77777777" w:rsidR="00977E4B" w:rsidRPr="004676F5" w:rsidRDefault="00977E4B" w:rsidP="00977E4B">
      <w:pPr>
        <w:jc w:val="both"/>
        <w:rPr>
          <w:lang w:val="de-DE"/>
        </w:rPr>
      </w:pPr>
      <w:r w:rsidRPr="004676F5">
        <w:rPr>
          <w:lang w:val="de-DE"/>
        </w:rPr>
        <w:tab/>
        <w:t>3. Schadenersatzklage: eine Klage, die aufgrund des Artikels XVII.72 eingereicht wird und mit der vor einem Gericht von einem mutmaßlich Geschädigten, von jemandem, der im Namen eines mutmaßlich Geschädigten oder mehrerer mutmaßlich Geschädigter handelt, oder von einer natürlichen oder juristischen Person, die in die Rechte und Pflichten des mutmaßlich Geschädigten eingetreten ist, einschließlich der Person, die den Schadenersatzanspruch erworben hat, ein Schadenersatzanspruch geltend gemacht wird,</w:t>
      </w:r>
    </w:p>
    <w:p w14:paraId="6399722C" w14:textId="77777777" w:rsidR="00977E4B" w:rsidRPr="004676F5" w:rsidRDefault="00977E4B" w:rsidP="00977E4B">
      <w:pPr>
        <w:jc w:val="both"/>
        <w:rPr>
          <w:lang w:val="de-DE"/>
        </w:rPr>
      </w:pPr>
    </w:p>
    <w:p w14:paraId="10BDF5D4" w14:textId="77777777" w:rsidR="00977E4B" w:rsidRPr="004676F5" w:rsidRDefault="00977E4B" w:rsidP="00977E4B">
      <w:pPr>
        <w:jc w:val="both"/>
        <w:rPr>
          <w:lang w:val="de-DE"/>
        </w:rPr>
      </w:pPr>
      <w:r w:rsidRPr="004676F5">
        <w:rPr>
          <w:lang w:val="de-DE"/>
        </w:rPr>
        <w:tab/>
        <w:t>4. Schadenersatzanspruch: ein Anspruch auf Ersatz des durch eine Zuwiderhandlung gegen das Wettbewerbsrecht verursachten Schadens,</w:t>
      </w:r>
    </w:p>
    <w:p w14:paraId="628C7272" w14:textId="77777777" w:rsidR="00977E4B" w:rsidRPr="004676F5" w:rsidRDefault="00977E4B" w:rsidP="00977E4B">
      <w:pPr>
        <w:jc w:val="both"/>
        <w:rPr>
          <w:lang w:val="de-DE"/>
        </w:rPr>
      </w:pPr>
    </w:p>
    <w:p w14:paraId="410F749A" w14:textId="77777777" w:rsidR="00977E4B" w:rsidRPr="004676F5" w:rsidRDefault="00977E4B" w:rsidP="00977E4B">
      <w:pPr>
        <w:jc w:val="both"/>
        <w:rPr>
          <w:lang w:val="de-DE"/>
        </w:rPr>
      </w:pPr>
      <w:r w:rsidRPr="004676F5">
        <w:rPr>
          <w:lang w:val="de-DE"/>
        </w:rPr>
        <w:tab/>
        <w:t>5. Geschädigter: Person, die einen durch eine Zuwiderhandlung gegen das Wettbewerbsrecht verursachten Schaden erlitten hat,</w:t>
      </w:r>
    </w:p>
    <w:p w14:paraId="08F91516" w14:textId="77777777" w:rsidR="00977E4B" w:rsidRPr="004676F5" w:rsidRDefault="00977E4B" w:rsidP="00977E4B">
      <w:pPr>
        <w:jc w:val="both"/>
        <w:rPr>
          <w:lang w:val="de-DE"/>
        </w:rPr>
      </w:pPr>
    </w:p>
    <w:p w14:paraId="56AA9800" w14:textId="77777777" w:rsidR="00977E4B" w:rsidRPr="004676F5" w:rsidRDefault="00977E4B" w:rsidP="00977E4B">
      <w:pPr>
        <w:jc w:val="both"/>
        <w:rPr>
          <w:lang w:val="de-DE"/>
        </w:rPr>
      </w:pPr>
      <w:r w:rsidRPr="004676F5">
        <w:rPr>
          <w:lang w:val="de-DE"/>
        </w:rPr>
        <w:tab/>
        <w:t>6. nationale Wettbewerbsbehörde: Belgische Wettbewerbsbehörde oder eine andere für die Anwendung der Artikel 101 und 102 AEUV zuständige Behörde, die von einem Mitgliedstaat nach Artikel 35 der Verordnung (EG) Nr. 1/2003 des Rates vom 16. Dezem</w:t>
      </w:r>
      <w:r w:rsidRPr="004676F5">
        <w:rPr>
          <w:lang w:val="de-DE"/>
        </w:rPr>
        <w:softHyphen/>
        <w:t>ber 2002 zur Durchführung der in den Artikeln 101 und 102 des Vertrags niedergelegten Wettbewerbsregeln bestimmt worden ist,</w:t>
      </w:r>
    </w:p>
    <w:p w14:paraId="69961BE1" w14:textId="77777777" w:rsidR="00977E4B" w:rsidRPr="004676F5" w:rsidRDefault="00977E4B" w:rsidP="00977E4B">
      <w:pPr>
        <w:jc w:val="both"/>
        <w:rPr>
          <w:lang w:val="de-DE"/>
        </w:rPr>
      </w:pPr>
    </w:p>
    <w:p w14:paraId="3EB86573" w14:textId="77777777" w:rsidR="00977E4B" w:rsidRPr="004676F5" w:rsidRDefault="00977E4B" w:rsidP="00977E4B">
      <w:pPr>
        <w:jc w:val="both"/>
        <w:rPr>
          <w:lang w:val="de-DE"/>
        </w:rPr>
      </w:pPr>
      <w:r w:rsidRPr="004676F5">
        <w:rPr>
          <w:lang w:val="de-DE"/>
        </w:rPr>
        <w:tab/>
        <w:t>7. Wettbewerbsbehörde: die Europäische Kommission oder eine nationale Wettbewerbsbehörde oder beide, je nach Zusammenhang,</w:t>
      </w:r>
    </w:p>
    <w:p w14:paraId="4318B708" w14:textId="77777777" w:rsidR="00977E4B" w:rsidRPr="004676F5" w:rsidRDefault="00977E4B" w:rsidP="00977E4B">
      <w:pPr>
        <w:jc w:val="both"/>
        <w:rPr>
          <w:lang w:val="de-DE"/>
        </w:rPr>
      </w:pPr>
    </w:p>
    <w:p w14:paraId="263287F9" w14:textId="77777777" w:rsidR="00977E4B" w:rsidRPr="004676F5" w:rsidRDefault="00977E4B" w:rsidP="00977E4B">
      <w:pPr>
        <w:jc w:val="both"/>
        <w:rPr>
          <w:lang w:val="de-DE"/>
        </w:rPr>
      </w:pPr>
      <w:r w:rsidRPr="004676F5">
        <w:rPr>
          <w:lang w:val="de-DE"/>
        </w:rPr>
        <w:tab/>
        <w:t>8. nationales Gericht: ein Gericht eines Mitgliedstaats im Sinne des Artikels 267 AEUV,</w:t>
      </w:r>
    </w:p>
    <w:p w14:paraId="7B971BAB" w14:textId="77777777" w:rsidR="00977E4B" w:rsidRPr="004676F5" w:rsidRDefault="00977E4B" w:rsidP="00977E4B">
      <w:pPr>
        <w:jc w:val="both"/>
        <w:rPr>
          <w:lang w:val="de-DE"/>
        </w:rPr>
      </w:pPr>
    </w:p>
    <w:p w14:paraId="6F0D6282" w14:textId="312510A2" w:rsidR="00977E4B" w:rsidRPr="004676F5" w:rsidRDefault="00977E4B" w:rsidP="00977E4B">
      <w:pPr>
        <w:jc w:val="both"/>
        <w:rPr>
          <w:lang w:val="de-DE"/>
        </w:rPr>
      </w:pPr>
      <w:r w:rsidRPr="004676F5">
        <w:rPr>
          <w:lang w:val="de-DE"/>
        </w:rPr>
        <w:lastRenderedPageBreak/>
        <w:tab/>
        <w:t>9. </w:t>
      </w:r>
      <w:r w:rsidR="00DD6973" w:rsidRPr="004676F5">
        <w:rPr>
          <w:lang w:val="de-DE"/>
        </w:rPr>
        <w:t>[Rechtsmittelinstanz: das Gericht der Europäischen Union, das über ein Rechtsmittel gegen einen Beschluss der Europäischen Kommission über ein Verfahren zur Anwendung der Artikel 101 und/oder 102 AEUV entscheidet, oder gegebenenfalls der Gerichtshof der Europäischen Union, der gemäß Artikel 256 AEUV über ein Rechtsmittel gegen ein Urteil des Gerichts der Europäischen Union entscheidet, oder ein nationales Gericht, das im Wege ordentlicher Rechtsmittel befugt ist, Entscheidungen einer nationalen Wettbewerbsbehörde oder darüber ergehende gerichtliche Entscheidungen zu überprüfen, unabhängig davon, ob dieses Gericht selbst die Befugnis hat, eine Zuwiderhandlung gegen das Wettbewerbsrecht festzustellen,]</w:t>
      </w:r>
    </w:p>
    <w:p w14:paraId="6F890AF0" w14:textId="77777777" w:rsidR="00977E4B" w:rsidRPr="004676F5" w:rsidRDefault="00977E4B" w:rsidP="00977E4B">
      <w:pPr>
        <w:jc w:val="both"/>
        <w:rPr>
          <w:lang w:val="de-DE"/>
        </w:rPr>
      </w:pPr>
    </w:p>
    <w:p w14:paraId="777580CF" w14:textId="77777777" w:rsidR="00977E4B" w:rsidRPr="004676F5" w:rsidRDefault="00977E4B" w:rsidP="00977E4B">
      <w:pPr>
        <w:jc w:val="both"/>
        <w:rPr>
          <w:lang w:val="de-DE"/>
        </w:rPr>
      </w:pPr>
      <w:r w:rsidRPr="004676F5">
        <w:rPr>
          <w:lang w:val="de-DE"/>
        </w:rPr>
        <w:tab/>
        <w:t>10. Zuwiderhandlungsentscheidung: eine Entscheidung einer Wettbewerbsbehörde oder einer Rechtsmittelinstanz, mit der eine Zuwiderhandlung gegen das Wettbewerbsrecht festgestellt wird,</w:t>
      </w:r>
    </w:p>
    <w:p w14:paraId="71DB8D7E" w14:textId="77777777" w:rsidR="00977E4B" w:rsidRPr="004676F5" w:rsidRDefault="00977E4B" w:rsidP="00977E4B">
      <w:pPr>
        <w:jc w:val="both"/>
        <w:rPr>
          <w:lang w:val="de-DE"/>
        </w:rPr>
      </w:pPr>
    </w:p>
    <w:p w14:paraId="0ED00433" w14:textId="77777777" w:rsidR="00977E4B" w:rsidRPr="004676F5" w:rsidRDefault="00977E4B" w:rsidP="00977E4B">
      <w:pPr>
        <w:jc w:val="both"/>
        <w:rPr>
          <w:lang w:val="de-DE"/>
        </w:rPr>
      </w:pPr>
      <w:r w:rsidRPr="004676F5">
        <w:rPr>
          <w:lang w:val="de-DE"/>
        </w:rPr>
        <w:tab/>
        <w:t>11. bestandskräftige Zuwiderhandlungsentscheidung: eine Zuwiderhandlungsent</w:t>
      </w:r>
      <w:r w:rsidRPr="004676F5">
        <w:rPr>
          <w:lang w:val="de-DE"/>
        </w:rPr>
        <w:softHyphen/>
        <w:t>schei</w:t>
      </w:r>
      <w:r w:rsidRPr="004676F5">
        <w:rPr>
          <w:lang w:val="de-DE"/>
        </w:rPr>
        <w:softHyphen/>
        <w:t>dung, gegen die ein ordentliches Rechtsmittel nicht oder nicht mehr eingelegt werden kann,</w:t>
      </w:r>
    </w:p>
    <w:p w14:paraId="5D3DE1E1" w14:textId="77777777" w:rsidR="00977E4B" w:rsidRPr="004676F5" w:rsidRDefault="00977E4B" w:rsidP="00977E4B">
      <w:pPr>
        <w:jc w:val="both"/>
        <w:rPr>
          <w:lang w:val="de-DE"/>
        </w:rPr>
      </w:pPr>
    </w:p>
    <w:p w14:paraId="2A0F6E46" w14:textId="53EE358D" w:rsidR="00977E4B" w:rsidRPr="004676F5" w:rsidRDefault="00977E4B" w:rsidP="00977E4B">
      <w:pPr>
        <w:jc w:val="both"/>
        <w:rPr>
          <w:lang w:val="de-DE"/>
        </w:rPr>
      </w:pPr>
      <w:r w:rsidRPr="004676F5">
        <w:rPr>
          <w:lang w:val="de-DE"/>
        </w:rPr>
        <w:tab/>
        <w:t xml:space="preserve">12. Kartell: eine Absprache und/oder eine abgestimmte Verhaltensweise zwischen zwei oder mehr konkurrierenden Unternehmen und/oder Unternehmensvereinigungen </w:t>
      </w:r>
      <w:r w:rsidR="005B7A5C" w:rsidRPr="004676F5">
        <w:rPr>
          <w:lang w:val="de-DE"/>
        </w:rPr>
        <w:t>- </w:t>
      </w:r>
      <w:r w:rsidRPr="004676F5">
        <w:rPr>
          <w:lang w:val="de-DE"/>
        </w:rPr>
        <w:t>und gegebe</w:t>
      </w:r>
      <w:r w:rsidRPr="004676F5">
        <w:rPr>
          <w:lang w:val="de-DE"/>
        </w:rPr>
        <w:softHyphen/>
        <w:t>n</w:t>
      </w:r>
      <w:r w:rsidRPr="004676F5">
        <w:rPr>
          <w:lang w:val="de-DE"/>
        </w:rPr>
        <w:softHyphen/>
        <w:t>enfalls mit einem oder mehreren nicht konkurrierenden Unternehmen und/oder Unter</w:t>
      </w:r>
      <w:r w:rsidRPr="004676F5">
        <w:rPr>
          <w:lang w:val="de-DE"/>
        </w:rPr>
        <w:softHyphen/>
        <w:t>nehmens</w:t>
      </w:r>
      <w:r w:rsidRPr="004676F5">
        <w:rPr>
          <w:lang w:val="de-DE"/>
        </w:rPr>
        <w:softHyphen/>
        <w:t>vereinigungen </w:t>
      </w:r>
      <w:r w:rsidR="005B7A5C" w:rsidRPr="004676F5">
        <w:rPr>
          <w:lang w:val="de-DE"/>
        </w:rPr>
        <w:t>- </w:t>
      </w:r>
      <w:r w:rsidRPr="004676F5">
        <w:rPr>
          <w:lang w:val="de-DE"/>
        </w:rPr>
        <w:t>zwecks Abstimmung ihres Wettbewerbsverhaltens auf dem Markt oder Beeinflussung der relevanten Wettbewerbsparameter durch Verhaltensweisen wie unter anderem die Festsetzung oder Koordinierung der An</w:t>
      </w:r>
      <w:r w:rsidR="005B7A5C" w:rsidRPr="004676F5">
        <w:rPr>
          <w:lang w:val="de-DE"/>
        </w:rPr>
        <w:t>- </w:t>
      </w:r>
      <w:r w:rsidRPr="004676F5">
        <w:rPr>
          <w:lang w:val="de-DE"/>
        </w:rPr>
        <w:t>oder Verkaufspreise oder sonstiger Geschäftsbedingungen, auch im Zusammenhang mit den Rechten des geistigen Eigentums, die Aufteilung von Produktions</w:t>
      </w:r>
      <w:r w:rsidR="005B7A5C" w:rsidRPr="004676F5">
        <w:rPr>
          <w:lang w:val="de-DE"/>
        </w:rPr>
        <w:t>- </w:t>
      </w:r>
      <w:r w:rsidRPr="004676F5">
        <w:rPr>
          <w:lang w:val="de-DE"/>
        </w:rPr>
        <w:t>oder Absatzquoten, die Aufteilung von Märkten und Kunden einschließlich Angebotsabsprachen, Ein</w:t>
      </w:r>
      <w:r w:rsidR="005B7A5C" w:rsidRPr="004676F5">
        <w:rPr>
          <w:lang w:val="de-DE"/>
        </w:rPr>
        <w:t>- </w:t>
      </w:r>
      <w:r w:rsidRPr="004676F5">
        <w:rPr>
          <w:lang w:val="de-DE"/>
        </w:rPr>
        <w:t>und Ausfuhrbeschränkungen oder gegen andere Wettbewerber gerichtete wettbewerbsschädigende Maßnahmen,</w:t>
      </w:r>
    </w:p>
    <w:p w14:paraId="2D063EBC" w14:textId="77777777" w:rsidR="00977E4B" w:rsidRPr="004676F5" w:rsidRDefault="00977E4B" w:rsidP="00977E4B">
      <w:pPr>
        <w:jc w:val="both"/>
        <w:rPr>
          <w:lang w:val="de-DE"/>
        </w:rPr>
      </w:pPr>
    </w:p>
    <w:p w14:paraId="63A17AD3" w14:textId="39B8562B" w:rsidR="00977E4B" w:rsidRPr="004676F5" w:rsidRDefault="00977E4B" w:rsidP="00977E4B">
      <w:pPr>
        <w:jc w:val="both"/>
        <w:rPr>
          <w:lang w:val="de-DE"/>
        </w:rPr>
      </w:pPr>
      <w:r w:rsidRPr="004676F5">
        <w:rPr>
          <w:lang w:val="de-DE"/>
        </w:rPr>
        <w:tab/>
        <w:t>13. </w:t>
      </w:r>
      <w:r w:rsidR="00AF6977" w:rsidRPr="004676F5">
        <w:rPr>
          <w:lang w:val="de-DE"/>
        </w:rPr>
        <w:t>[Kronzeugenprogramm: ein Programm in Bezug auf die Anwendung des Artikels IV.1 und/oder des Artikels 101 AEUV, in dessen Rahmen ein an einem geheimen Kartell Beteiligter unabhängig von den übrigen kartellbeteiligten Unternehmen und/oder Unternehmensvereinigungen an einer Untersuchung der Wettbewerbsbehörde mitwirkt, indem der Beteiligte freiwillig seine Kenntnis von dem Kartell und seine Beteiligung daran darlegt und ihm dafür im Gegenzug durch Entscheidung die wegen seiner Beteiligung an dem Kartell zu verhängenden Geldbußen erlassen oder ermäßigt werden. Dieses Programm deckt auch die Befreiung von gerichtlicher Verfolgung ab, die einer in Artikel IV.1 § 4 erwähnten natürlichen Person gewährt werden kann,]</w:t>
      </w:r>
    </w:p>
    <w:p w14:paraId="44F1EA43" w14:textId="77777777" w:rsidR="00977E4B" w:rsidRPr="004676F5" w:rsidRDefault="00977E4B" w:rsidP="00977E4B">
      <w:pPr>
        <w:jc w:val="both"/>
        <w:rPr>
          <w:lang w:val="de-DE"/>
        </w:rPr>
      </w:pPr>
    </w:p>
    <w:p w14:paraId="0FB4DE9D" w14:textId="2FA80533" w:rsidR="00977E4B" w:rsidRPr="004676F5" w:rsidRDefault="00977E4B" w:rsidP="00977E4B">
      <w:pPr>
        <w:jc w:val="both"/>
        <w:rPr>
          <w:lang w:val="de-DE"/>
        </w:rPr>
      </w:pPr>
      <w:r w:rsidRPr="004676F5">
        <w:rPr>
          <w:lang w:val="de-DE"/>
        </w:rPr>
        <w:tab/>
        <w:t>14. </w:t>
      </w:r>
      <w:r w:rsidR="00AF6977" w:rsidRPr="004676F5">
        <w:rPr>
          <w:lang w:val="de-DE"/>
        </w:rPr>
        <w:t>[Kronzeugenerklärung: eine freiwillige mündliche oder schriftliche Darlegung seitens oder im Namen eines Unternehmens, einer Unternehmensvereinigung oder einer natürlichen Person gegenüber einer Wettbewerbsbehörde, in der das Unternehmen, die Unternehmensvereinigung oder die natürliche Person seine/ihre Kenntnis von einem geheimen Kartell und seine/ihre Beteiligung daran darlegt und die eigens zu dem Zweck formuliert wurde, im Rahmen eines Kronzeugenprogramms bei der Wettbewerbsbehörde Erlass oder Ermäßigung von Geldbußen oder Befreiung von gerichtlicher Verfolgung zu erwirken, oder eine Aufzeichnung dieser Darlegung. Dies umfasst nicht bereits vorhandene Informationen, das heißt Beweismittel, die unabhängig von einem wettbewerbsbehördlichen Verfahren vorliegen, unabhängig davon, ob diese Informationen in den Akten einer Wettbewerbsbehörde enthalten sind oder nicht,]</w:t>
      </w:r>
    </w:p>
    <w:p w14:paraId="28CCF172" w14:textId="77777777" w:rsidR="00977E4B" w:rsidRPr="004676F5" w:rsidRDefault="00977E4B" w:rsidP="00977E4B">
      <w:pPr>
        <w:jc w:val="both"/>
        <w:rPr>
          <w:lang w:val="de-DE"/>
        </w:rPr>
      </w:pPr>
    </w:p>
    <w:p w14:paraId="59577608" w14:textId="77777777" w:rsidR="00977E4B" w:rsidRPr="004676F5" w:rsidRDefault="00977E4B" w:rsidP="00977E4B">
      <w:pPr>
        <w:jc w:val="both"/>
        <w:rPr>
          <w:lang w:val="de-DE"/>
        </w:rPr>
      </w:pPr>
      <w:r w:rsidRPr="004676F5">
        <w:rPr>
          <w:lang w:val="de-DE"/>
        </w:rPr>
        <w:lastRenderedPageBreak/>
        <w:tab/>
        <w:t>15. Begünstigter eines Erlasses von Geldbußen: ein Unternehmen oder eine Unternehmensvereinigung, dem beziehungsweise der im Rahmen eines Kronzeugen</w:t>
      </w:r>
      <w:r w:rsidRPr="004676F5">
        <w:rPr>
          <w:lang w:val="de-DE"/>
        </w:rPr>
        <w:softHyphen/>
        <w:t>programms von einer Wettbewerbsbehörde ein Erlass von Geldbußen gewährt wurde,</w:t>
      </w:r>
    </w:p>
    <w:p w14:paraId="0B580606" w14:textId="77777777" w:rsidR="00977E4B" w:rsidRPr="004676F5" w:rsidRDefault="00977E4B" w:rsidP="00977E4B">
      <w:pPr>
        <w:jc w:val="both"/>
        <w:rPr>
          <w:lang w:val="de-DE"/>
        </w:rPr>
      </w:pPr>
    </w:p>
    <w:p w14:paraId="4AEBC3FC" w14:textId="148C3DD6" w:rsidR="00977E4B" w:rsidRPr="004676F5" w:rsidRDefault="00977E4B" w:rsidP="00977E4B">
      <w:pPr>
        <w:jc w:val="both"/>
        <w:rPr>
          <w:lang w:val="de-DE"/>
        </w:rPr>
      </w:pPr>
      <w:r w:rsidRPr="004676F5">
        <w:rPr>
          <w:lang w:val="de-DE"/>
        </w:rPr>
        <w:tab/>
        <w:t>16. </w:t>
      </w:r>
      <w:r w:rsidR="00DD6973" w:rsidRPr="004676F5">
        <w:rPr>
          <w:lang w:val="de-DE"/>
        </w:rPr>
        <w:t>[</w:t>
      </w:r>
      <w:r w:rsidR="00AF6977" w:rsidRPr="004676F5">
        <w:rPr>
          <w:lang w:val="de-DE"/>
        </w:rPr>
        <w:t>Vergleichsausführung: freiwillige Darlegung seitens oder im Namen eines Unternehmens oder einer Unternehmensvereinigung gegenüber einer Wettbewerbsbehörde, die ein Anerkenntnis oder seinen/ihren Verzicht auf das Bestreiten seiner/ihrer Beteiligung an einer Zuwiderhandlung gegen das Wettbewerbsrecht und seiner/ihrer Verantwortung für diese Zuwiderhandlung gegen das Wettbewerbsrecht enthält und die eigens zu dem Zweck formuliert wurde, der betreffenden Wettbewerbsbehörde die Anwendung eines vereinfachten oder beschleunigten Verfahrens zu ermöglichen,</w:t>
      </w:r>
      <w:r w:rsidR="00DD6973" w:rsidRPr="004676F5">
        <w:rPr>
          <w:lang w:val="de-DE"/>
        </w:rPr>
        <w:t>]</w:t>
      </w:r>
    </w:p>
    <w:p w14:paraId="51CA700A" w14:textId="77777777" w:rsidR="00977E4B" w:rsidRPr="004676F5" w:rsidRDefault="00977E4B" w:rsidP="00977E4B">
      <w:pPr>
        <w:jc w:val="both"/>
        <w:rPr>
          <w:lang w:val="de-DE"/>
        </w:rPr>
      </w:pPr>
    </w:p>
    <w:p w14:paraId="5E391323" w14:textId="77777777" w:rsidR="00977E4B" w:rsidRPr="004676F5" w:rsidRDefault="00977E4B" w:rsidP="00977E4B">
      <w:pPr>
        <w:jc w:val="both"/>
        <w:rPr>
          <w:lang w:val="de-DE"/>
        </w:rPr>
      </w:pPr>
      <w:r w:rsidRPr="004676F5">
        <w:rPr>
          <w:lang w:val="de-DE"/>
        </w:rPr>
        <w:tab/>
        <w:t>17. Preisaufschlag: Differenz zwischen dem tatsächlich gezahlten Preis und dem Preis, der sich ohne die Zuwiderhandlung gegen das Wettbewerbsrecht ergeben hätte,</w:t>
      </w:r>
    </w:p>
    <w:p w14:paraId="4EA007F2" w14:textId="77777777" w:rsidR="00977E4B" w:rsidRPr="004676F5" w:rsidRDefault="00977E4B" w:rsidP="00977E4B">
      <w:pPr>
        <w:jc w:val="both"/>
        <w:rPr>
          <w:lang w:val="de-DE"/>
        </w:rPr>
      </w:pPr>
    </w:p>
    <w:p w14:paraId="6C5DADC5" w14:textId="510E9943" w:rsidR="00977E4B" w:rsidRPr="004676F5" w:rsidRDefault="00977E4B" w:rsidP="00977E4B">
      <w:pPr>
        <w:jc w:val="both"/>
        <w:rPr>
          <w:lang w:val="de-DE"/>
        </w:rPr>
      </w:pPr>
      <w:r w:rsidRPr="004676F5">
        <w:rPr>
          <w:lang w:val="de-DE"/>
        </w:rPr>
        <w:tab/>
        <w:t>18. </w:t>
      </w:r>
      <w:r w:rsidR="00AF6977" w:rsidRPr="004676F5">
        <w:rPr>
          <w:lang w:val="de-DE"/>
        </w:rPr>
        <w:t>[einvernehmliche Streitbeilegung: ein Mechanismus, der es den Parteien ermöglicht, den Streit über einen Schadenersatzanspruch außergerichtlich beizulegen, zum Beispiel durch Mediation, außergerichtliche Schlichtung oder im Rahmen eines Schiedsverfahrens oder einer kooperativen Praxis,]</w:t>
      </w:r>
    </w:p>
    <w:p w14:paraId="60E05D1E" w14:textId="77777777" w:rsidR="00977E4B" w:rsidRPr="004676F5" w:rsidRDefault="00977E4B" w:rsidP="00977E4B">
      <w:pPr>
        <w:jc w:val="both"/>
        <w:rPr>
          <w:lang w:val="de-DE"/>
        </w:rPr>
      </w:pPr>
    </w:p>
    <w:p w14:paraId="1A614029" w14:textId="77777777" w:rsidR="00977E4B" w:rsidRPr="004676F5" w:rsidRDefault="00977E4B" w:rsidP="00977E4B">
      <w:pPr>
        <w:jc w:val="both"/>
        <w:rPr>
          <w:lang w:val="de-DE"/>
        </w:rPr>
      </w:pPr>
      <w:r w:rsidRPr="004676F5">
        <w:rPr>
          <w:lang w:val="de-DE"/>
        </w:rPr>
        <w:tab/>
        <w:t>19. Vergleich: eine durch einvernehmliche Streitbeilegung erzielte Einigung oder eine Schiedsentscheidung,</w:t>
      </w:r>
    </w:p>
    <w:p w14:paraId="1FE72CD4" w14:textId="77777777" w:rsidR="00977E4B" w:rsidRPr="004676F5" w:rsidRDefault="00977E4B" w:rsidP="00977E4B">
      <w:pPr>
        <w:jc w:val="both"/>
        <w:rPr>
          <w:lang w:val="de-DE"/>
        </w:rPr>
      </w:pPr>
    </w:p>
    <w:p w14:paraId="02AF82E2" w14:textId="77777777" w:rsidR="00977E4B" w:rsidRPr="004676F5" w:rsidRDefault="00977E4B" w:rsidP="00977E4B">
      <w:pPr>
        <w:jc w:val="both"/>
        <w:rPr>
          <w:lang w:val="de-DE"/>
        </w:rPr>
      </w:pPr>
      <w:r w:rsidRPr="004676F5">
        <w:rPr>
          <w:lang w:val="de-DE"/>
        </w:rPr>
        <w:tab/>
        <w:t>20. unmittelbarer Abnehmer: eine natürliche oder juristische Person, die Waren, die Gegenstand einer Zuwiderhandlung gegen das Wettbewerbsrecht waren, unmittelbar von einem Rechtsverletzer erworben hat,</w:t>
      </w:r>
    </w:p>
    <w:p w14:paraId="223CBE9E" w14:textId="77777777" w:rsidR="00977E4B" w:rsidRPr="004676F5" w:rsidRDefault="00977E4B" w:rsidP="00977E4B">
      <w:pPr>
        <w:jc w:val="both"/>
        <w:rPr>
          <w:lang w:val="de-DE"/>
        </w:rPr>
      </w:pPr>
    </w:p>
    <w:p w14:paraId="0F6974D1" w14:textId="77777777" w:rsidR="00977E4B" w:rsidRPr="004676F5" w:rsidRDefault="00977E4B" w:rsidP="00977E4B">
      <w:pPr>
        <w:jc w:val="both"/>
        <w:rPr>
          <w:lang w:val="de-DE"/>
        </w:rPr>
      </w:pPr>
      <w:r w:rsidRPr="004676F5">
        <w:rPr>
          <w:lang w:val="de-DE"/>
        </w:rPr>
        <w:tab/>
        <w:t>21. mittelbarer Abnehmer: eine natürliche oder juristische Person, die Waren nicht unmittelbar von einem Rechtsverletzer, sondern von einem unmittelbaren Abnehmer oder einem nachfolgenden Abnehmer erworben hat, wobei die Waren entweder Gegenstand einer Zuwiderhandlung gegen das Wettbewerbsrecht waren oder diese Waren enthalten oder aus diesen hervorgegangen sind.]</w:t>
      </w:r>
    </w:p>
    <w:p w14:paraId="5BB32FFE" w14:textId="77777777" w:rsidR="009D3DCF" w:rsidRPr="004676F5" w:rsidRDefault="009D3DCF" w:rsidP="00E2419C">
      <w:pPr>
        <w:jc w:val="both"/>
        <w:rPr>
          <w:lang w:val="de-DE"/>
        </w:rPr>
      </w:pPr>
    </w:p>
    <w:p w14:paraId="04451AB7" w14:textId="1460BCCA" w:rsidR="00977E4B" w:rsidRPr="004676F5" w:rsidRDefault="00977E4B" w:rsidP="00E2419C">
      <w:pPr>
        <w:jc w:val="both"/>
        <w:rPr>
          <w:i/>
          <w:lang w:val="de-DE"/>
        </w:rPr>
      </w:pPr>
      <w:r w:rsidRPr="004676F5">
        <w:rPr>
          <w:i/>
          <w:lang w:val="de-DE"/>
        </w:rPr>
        <w:t>[</w:t>
      </w:r>
      <w:r w:rsidR="00BE0A56" w:rsidRPr="004676F5">
        <w:rPr>
          <w:i/>
          <w:lang w:val="de-DE"/>
        </w:rPr>
        <w:t>Art. </w:t>
      </w:r>
      <w:r w:rsidRPr="004676F5">
        <w:rPr>
          <w:i/>
          <w:lang w:val="de-DE"/>
        </w:rPr>
        <w:t xml:space="preserve">I.22 eingefügt durch </w:t>
      </w:r>
      <w:r w:rsidR="00BE0A56" w:rsidRPr="004676F5">
        <w:rPr>
          <w:i/>
          <w:lang w:val="de-DE"/>
        </w:rPr>
        <w:t>Art. </w:t>
      </w:r>
      <w:r w:rsidRPr="004676F5">
        <w:rPr>
          <w:i/>
          <w:lang w:val="de-DE"/>
        </w:rPr>
        <w:t>3 des G. vom 6. Juni 2017 (B.S. vom 12. Juni 2017)</w:t>
      </w:r>
      <w:r w:rsidR="00DD6973" w:rsidRPr="004676F5">
        <w:rPr>
          <w:i/>
          <w:lang w:val="de-DE"/>
        </w:rPr>
        <w:t xml:space="preserve">; </w:t>
      </w:r>
      <w:r w:rsidR="00E54E98" w:rsidRPr="004676F5">
        <w:rPr>
          <w:i/>
          <w:lang w:val="de-DE"/>
        </w:rPr>
        <w:t>einziger Absatz Nr. 1 abgeändert durch Art. 3</w:t>
      </w:r>
      <w:r w:rsidR="00E54E98" w:rsidRPr="004676F5">
        <w:rPr>
          <w:i/>
          <w:iCs/>
          <w:lang w:val="de-DE"/>
        </w:rPr>
        <w:t xml:space="preserve"> des G. vom 4. April 2019 (B.S. vom 24. Mai 2019); </w:t>
      </w:r>
      <w:r w:rsidR="00DD6973" w:rsidRPr="004676F5">
        <w:rPr>
          <w:i/>
          <w:lang w:val="de-DE"/>
        </w:rPr>
        <w:t xml:space="preserve">einziger Absatz Nr. 9 ersetzt durch Art. 3 Buchstabe a) des G. vom 30. Juli 2018 (II) (B.S. vom 5. September 2018); einziger Absatz Nr. 13 </w:t>
      </w:r>
      <w:r w:rsidR="00AF6977" w:rsidRPr="004676F5">
        <w:rPr>
          <w:i/>
          <w:lang w:val="de-DE"/>
        </w:rPr>
        <w:t>ersetzt durch Art. 4 Buchstabe a) des G. vom 28. Februar 2022 (B.S. vom 7. März 2022)</w:t>
      </w:r>
      <w:r w:rsidR="00DD6973" w:rsidRPr="004676F5">
        <w:rPr>
          <w:i/>
          <w:lang w:val="de-DE"/>
        </w:rPr>
        <w:t xml:space="preserve">; einziger Absatz Nr. 14 </w:t>
      </w:r>
      <w:r w:rsidR="00AF6977" w:rsidRPr="004676F5">
        <w:rPr>
          <w:i/>
          <w:lang w:val="de-DE"/>
        </w:rPr>
        <w:t>ersetzt durch Art. 4 Buchstabe b) des G. vom 28. Februar 2022 (B.S. vom 7. März 2022)</w:t>
      </w:r>
      <w:r w:rsidR="00DD6973" w:rsidRPr="004676F5">
        <w:rPr>
          <w:i/>
          <w:lang w:val="de-DE"/>
        </w:rPr>
        <w:t>; einziger Absatz Nr. 16 ersetzt durch Art. </w:t>
      </w:r>
      <w:r w:rsidR="00AF6977" w:rsidRPr="004676F5">
        <w:rPr>
          <w:i/>
          <w:lang w:val="de-DE"/>
        </w:rPr>
        <w:t>4 Buchstabe c) des G. vom 28. Februar 2022 (B.S. vom 7. März 2022); einziger Absatz Nr. 18 ersetzt durch Art. 4 Buchstabe d) des G. vom 28. Februar 2022 (B.S. vom 7. März 2022)</w:t>
      </w:r>
      <w:r w:rsidRPr="004676F5">
        <w:rPr>
          <w:i/>
          <w:lang w:val="de-DE"/>
        </w:rPr>
        <w:t>]</w:t>
      </w:r>
    </w:p>
    <w:p w14:paraId="2391402D" w14:textId="77777777" w:rsidR="00C64D38" w:rsidRPr="004676F5" w:rsidRDefault="00C64D38">
      <w:pPr>
        <w:rPr>
          <w:lang w:val="de-DE"/>
        </w:rPr>
      </w:pPr>
    </w:p>
    <w:p w14:paraId="407578FC" w14:textId="77777777" w:rsidR="00C64D38" w:rsidRPr="004676F5" w:rsidRDefault="00C64D38">
      <w:pPr>
        <w:rPr>
          <w:lang w:val="de-DE"/>
        </w:rPr>
      </w:pPr>
    </w:p>
    <w:p w14:paraId="5C7D95B2" w14:textId="77777777" w:rsidR="00C64D38" w:rsidRPr="004676F5" w:rsidRDefault="00C64D38">
      <w:pPr>
        <w:rPr>
          <w:lang w:val="de-DE"/>
        </w:rPr>
      </w:pPr>
      <w:r w:rsidRPr="004676F5">
        <w:rPr>
          <w:lang w:val="de-DE"/>
        </w:rPr>
        <w:br w:type="page"/>
      </w:r>
    </w:p>
    <w:p w14:paraId="179C612C" w14:textId="53C8B5D5" w:rsidR="00C64D38" w:rsidRPr="004676F5" w:rsidRDefault="00C64D38" w:rsidP="00C64D38">
      <w:pPr>
        <w:jc w:val="center"/>
        <w:rPr>
          <w:lang w:val="de-DE"/>
        </w:rPr>
      </w:pPr>
      <w:r w:rsidRPr="004676F5">
        <w:rPr>
          <w:lang w:val="de-DE"/>
        </w:rPr>
        <w:lastRenderedPageBreak/>
        <w:t>[KAPITEL 13/1 </w:t>
      </w:r>
      <w:r w:rsidR="005B7A5C" w:rsidRPr="004676F5">
        <w:rPr>
          <w:lang w:val="de-DE"/>
        </w:rPr>
        <w:t>- </w:t>
      </w:r>
      <w:r w:rsidRPr="004676F5">
        <w:rPr>
          <w:i/>
          <w:iCs/>
          <w:lang w:val="de-DE"/>
        </w:rPr>
        <w:t>Begriffsbestimmungen Buch XIX</w:t>
      </w:r>
      <w:r w:rsidRPr="004676F5">
        <w:rPr>
          <w:lang w:val="de-DE"/>
        </w:rPr>
        <w:t>]</w:t>
      </w:r>
    </w:p>
    <w:p w14:paraId="2CE3EECE" w14:textId="77777777" w:rsidR="00C64D38" w:rsidRPr="004676F5" w:rsidRDefault="00C64D38" w:rsidP="00C64D38">
      <w:pPr>
        <w:jc w:val="center"/>
        <w:rPr>
          <w:lang w:val="de-DE"/>
        </w:rPr>
      </w:pPr>
    </w:p>
    <w:p w14:paraId="41A4C174" w14:textId="77777777" w:rsidR="00C64D38" w:rsidRPr="004676F5" w:rsidRDefault="00C64D38" w:rsidP="00C64D38">
      <w:pPr>
        <w:jc w:val="both"/>
        <w:rPr>
          <w:i/>
          <w:iCs/>
          <w:lang w:val="de-DE"/>
        </w:rPr>
      </w:pPr>
      <w:r w:rsidRPr="004676F5">
        <w:rPr>
          <w:i/>
          <w:iCs/>
          <w:lang w:val="de-DE"/>
        </w:rPr>
        <w:t>[Unterteilung Kapitel 13/1 eingefügt durch Art. 2 des G. vom 4. Mai 2023 (B.S. vom 23. Mai 2023)]</w:t>
      </w:r>
    </w:p>
    <w:p w14:paraId="1C8F14F4" w14:textId="77777777" w:rsidR="00C64D38" w:rsidRPr="004676F5" w:rsidRDefault="00C64D38" w:rsidP="00C64D38">
      <w:pPr>
        <w:jc w:val="both"/>
        <w:rPr>
          <w:i/>
          <w:iCs/>
          <w:lang w:val="de-DE"/>
        </w:rPr>
      </w:pPr>
    </w:p>
    <w:p w14:paraId="522833D4" w14:textId="77777777" w:rsidR="00C64D38" w:rsidRPr="004676F5" w:rsidRDefault="00C64D38" w:rsidP="00C64D38">
      <w:pPr>
        <w:jc w:val="both"/>
        <w:rPr>
          <w:i/>
          <w:iCs/>
          <w:lang w:val="de-DE"/>
        </w:rPr>
      </w:pPr>
    </w:p>
    <w:p w14:paraId="0D0BEED0" w14:textId="21355F5D" w:rsidR="00C64D38" w:rsidRPr="004676F5" w:rsidRDefault="00C64D38" w:rsidP="00C64D38">
      <w:pPr>
        <w:jc w:val="both"/>
        <w:rPr>
          <w:lang w:val="de-DE"/>
        </w:rPr>
      </w:pPr>
      <w:r w:rsidRPr="004676F5">
        <w:rPr>
          <w:lang w:val="de-DE"/>
        </w:rPr>
        <w:tab/>
        <w:t>[</w:t>
      </w:r>
      <w:r w:rsidRPr="004676F5">
        <w:rPr>
          <w:b/>
          <w:bCs/>
          <w:lang w:val="de-DE"/>
        </w:rPr>
        <w:t>Art. I.22/1</w:t>
      </w:r>
      <w:r w:rsidRPr="004676F5">
        <w:rPr>
          <w:lang w:val="de-DE"/>
        </w:rPr>
        <w:t> </w:t>
      </w:r>
      <w:r w:rsidR="005B7A5C" w:rsidRPr="004676F5">
        <w:rPr>
          <w:lang w:val="de-DE"/>
        </w:rPr>
        <w:t>- </w:t>
      </w:r>
      <w:r w:rsidRPr="004676F5">
        <w:rPr>
          <w:lang w:val="de-DE"/>
        </w:rPr>
        <w:t>Für die Anwendung von Buch XIX gelten folgende Begriffsbestimmungen:</w:t>
      </w:r>
    </w:p>
    <w:p w14:paraId="1DD55723" w14:textId="77777777" w:rsidR="00C64D38" w:rsidRPr="004676F5" w:rsidRDefault="00C64D38" w:rsidP="00C64D38">
      <w:pPr>
        <w:jc w:val="both"/>
        <w:rPr>
          <w:lang w:val="de-DE"/>
        </w:rPr>
      </w:pPr>
    </w:p>
    <w:p w14:paraId="1C7CAEB0" w14:textId="77777777" w:rsidR="00C64D38" w:rsidRPr="004676F5" w:rsidRDefault="00C64D38" w:rsidP="00C64D38">
      <w:pPr>
        <w:jc w:val="both"/>
        <w:rPr>
          <w:lang w:val="de-DE"/>
        </w:rPr>
      </w:pPr>
      <w:r w:rsidRPr="004676F5">
        <w:rPr>
          <w:lang w:val="de-DE"/>
        </w:rPr>
        <w:tab/>
        <w:t>1. gütliche Beitreibung von Schulden: jede Handlung oder Praxis eines Unternehmens, die darauf abzielt, einen Verbraucher zur Zahlung einer nicht beglichenen Schuld zu veranlassen, mit Ausnahme der Beitreibung auf der Grundlage eines Vollstreckungstitels,</w:t>
      </w:r>
    </w:p>
    <w:p w14:paraId="764648A9" w14:textId="77777777" w:rsidR="00C64D38" w:rsidRPr="004676F5" w:rsidRDefault="00C64D38" w:rsidP="00C64D38">
      <w:pPr>
        <w:jc w:val="both"/>
        <w:rPr>
          <w:lang w:val="de-DE"/>
        </w:rPr>
      </w:pPr>
    </w:p>
    <w:p w14:paraId="015E7A7A" w14:textId="77777777" w:rsidR="00C64D38" w:rsidRPr="004676F5" w:rsidRDefault="00C64D38" w:rsidP="00C64D38">
      <w:pPr>
        <w:jc w:val="both"/>
        <w:rPr>
          <w:lang w:val="de-DE"/>
        </w:rPr>
      </w:pPr>
      <w:r w:rsidRPr="004676F5">
        <w:rPr>
          <w:lang w:val="de-DE"/>
        </w:rPr>
        <w:tab/>
        <w:t>2. Tätigkeit der gütlichen Beitreibung von Schulden: jede von einem Unternehmen ausgeübte Tätigkeit der gütlichen Beitreibung nicht beglichener Schulden zugunsten Dritter und der gütlichen Beitreibung entgeltlich abgetretener Forderungen,</w:t>
      </w:r>
    </w:p>
    <w:p w14:paraId="208D5032" w14:textId="77777777" w:rsidR="00C64D38" w:rsidRPr="004676F5" w:rsidRDefault="00C64D38" w:rsidP="00C64D38">
      <w:pPr>
        <w:jc w:val="both"/>
        <w:rPr>
          <w:lang w:val="de-DE"/>
        </w:rPr>
      </w:pPr>
    </w:p>
    <w:p w14:paraId="684A58A4" w14:textId="77777777" w:rsidR="00C64D38" w:rsidRPr="004676F5" w:rsidRDefault="00C64D38" w:rsidP="00C64D38">
      <w:pPr>
        <w:jc w:val="both"/>
        <w:rPr>
          <w:lang w:val="de-DE"/>
        </w:rPr>
      </w:pPr>
      <w:r w:rsidRPr="004676F5">
        <w:rPr>
          <w:lang w:val="de-DE"/>
        </w:rPr>
        <w:tab/>
        <w:t>3. Schuldenbeitreiber: Unternehmen, die eine Tätigkeit der gütlichen Beitreibung von Schulden ausüben,</w:t>
      </w:r>
    </w:p>
    <w:p w14:paraId="0737860D" w14:textId="77777777" w:rsidR="00C64D38" w:rsidRPr="004676F5" w:rsidRDefault="00C64D38" w:rsidP="00C64D38">
      <w:pPr>
        <w:jc w:val="both"/>
        <w:rPr>
          <w:lang w:val="de-DE"/>
        </w:rPr>
      </w:pPr>
    </w:p>
    <w:p w14:paraId="75B7BF69" w14:textId="6287E3B1" w:rsidR="00C64D38" w:rsidRPr="004676F5" w:rsidRDefault="00C64D38" w:rsidP="00C64D38">
      <w:pPr>
        <w:jc w:val="both"/>
        <w:rPr>
          <w:lang w:val="de-DE"/>
        </w:rPr>
      </w:pPr>
      <w:r w:rsidRPr="004676F5">
        <w:rPr>
          <w:lang w:val="de-DE"/>
        </w:rPr>
        <w:tab/>
        <w:t>4. Unternehmen: natürliche oder juristische Personen, die auf dauerhafte Weise einen wirtschaftlichen Zweck verfolgen, und ihre Vereinigungen.]</w:t>
      </w:r>
    </w:p>
    <w:p w14:paraId="7A4D89B7" w14:textId="77777777" w:rsidR="00C64D38" w:rsidRPr="004676F5" w:rsidRDefault="00C64D38" w:rsidP="00C64D38">
      <w:pPr>
        <w:jc w:val="both"/>
        <w:rPr>
          <w:lang w:val="de-DE"/>
        </w:rPr>
      </w:pPr>
    </w:p>
    <w:p w14:paraId="71EFDA42" w14:textId="40748622" w:rsidR="00C64D38" w:rsidRPr="004676F5" w:rsidRDefault="00C64D38" w:rsidP="00C64D38">
      <w:pPr>
        <w:jc w:val="both"/>
        <w:rPr>
          <w:i/>
          <w:iCs/>
          <w:lang w:val="de-DE"/>
        </w:rPr>
      </w:pPr>
      <w:r w:rsidRPr="004676F5">
        <w:rPr>
          <w:i/>
          <w:iCs/>
          <w:lang w:val="de-DE"/>
        </w:rPr>
        <w:t>[Art. I.22/1 eingefügt durch Art. 3 des G. vom 4. Mai 2023 (B.S. vom 23. Mai 2023)]</w:t>
      </w:r>
    </w:p>
    <w:p w14:paraId="4F97C10C" w14:textId="77777777" w:rsidR="00C64D38" w:rsidRPr="004676F5" w:rsidRDefault="00C64D38" w:rsidP="00C64D38">
      <w:pPr>
        <w:jc w:val="both"/>
        <w:rPr>
          <w:lang w:val="de-DE"/>
        </w:rPr>
      </w:pPr>
    </w:p>
    <w:p w14:paraId="4A2BEA67" w14:textId="77777777" w:rsidR="00C64D38" w:rsidRPr="004676F5" w:rsidRDefault="00C64D38" w:rsidP="00C64D38">
      <w:pPr>
        <w:jc w:val="both"/>
        <w:rPr>
          <w:i/>
          <w:iCs/>
          <w:lang w:val="de-DE"/>
        </w:rPr>
      </w:pPr>
    </w:p>
    <w:p w14:paraId="2F261475" w14:textId="43B2E1FE" w:rsidR="009D3DCF" w:rsidRPr="004676F5" w:rsidRDefault="009D3DCF" w:rsidP="00C64D38">
      <w:pPr>
        <w:jc w:val="center"/>
        <w:rPr>
          <w:lang w:val="de-DE"/>
        </w:rPr>
      </w:pPr>
      <w:r w:rsidRPr="004676F5">
        <w:rPr>
          <w:lang w:val="de-DE"/>
        </w:rPr>
        <w:br w:type="page"/>
      </w:r>
      <w:r w:rsidRPr="004676F5">
        <w:rPr>
          <w:b/>
          <w:lang w:val="de-DE"/>
        </w:rPr>
        <w:lastRenderedPageBreak/>
        <w:t>[</w:t>
      </w:r>
      <w:r w:rsidRPr="004676F5">
        <w:rPr>
          <w:lang w:val="de-DE"/>
        </w:rPr>
        <w:t>KAPITEL 14 </w:t>
      </w:r>
      <w:r w:rsidR="005B7A5C" w:rsidRPr="004676F5">
        <w:rPr>
          <w:lang w:val="de-DE"/>
        </w:rPr>
        <w:t>- </w:t>
      </w:r>
      <w:r w:rsidRPr="004676F5">
        <w:rPr>
          <w:i/>
          <w:lang w:val="de-DE"/>
        </w:rPr>
        <w:t>Begriffsbestimmungen Buch XX</w:t>
      </w:r>
    </w:p>
    <w:p w14:paraId="62EB9542" w14:textId="77777777" w:rsidR="009D3DCF" w:rsidRPr="004676F5" w:rsidRDefault="009D3DCF" w:rsidP="009D3DCF">
      <w:pPr>
        <w:jc w:val="center"/>
        <w:rPr>
          <w:lang w:val="de-DE"/>
        </w:rPr>
      </w:pPr>
    </w:p>
    <w:p w14:paraId="02C9ED22" w14:textId="3D1F1901" w:rsidR="009D3DCF" w:rsidRPr="004676F5" w:rsidRDefault="009D3DCF" w:rsidP="009D3DCF">
      <w:pPr>
        <w:jc w:val="both"/>
        <w:rPr>
          <w:lang w:val="de-DE"/>
        </w:rPr>
      </w:pPr>
      <w:r w:rsidRPr="004676F5">
        <w:rPr>
          <w:i/>
          <w:lang w:val="de-DE"/>
        </w:rPr>
        <w:t>[Kapitel 14 mit</w:t>
      </w:r>
      <w:r w:rsidR="00692DC7" w:rsidRPr="004676F5">
        <w:rPr>
          <w:i/>
          <w:lang w:val="de-DE"/>
        </w:rPr>
        <w:t xml:space="preserve"> früherem</w:t>
      </w:r>
      <w:r w:rsidRPr="004676F5">
        <w:rPr>
          <w:i/>
          <w:lang w:val="de-DE"/>
        </w:rPr>
        <w:t xml:space="preserve"> </w:t>
      </w:r>
      <w:r w:rsidR="00BE0A56" w:rsidRPr="004676F5">
        <w:rPr>
          <w:i/>
          <w:lang w:val="de-DE"/>
        </w:rPr>
        <w:t>Art</w:t>
      </w:r>
      <w:r w:rsidR="00692DC7" w:rsidRPr="004676F5">
        <w:rPr>
          <w:i/>
          <w:lang w:val="de-DE"/>
        </w:rPr>
        <w:t>ikel</w:t>
      </w:r>
      <w:r w:rsidR="00BE0A56" w:rsidRPr="004676F5">
        <w:rPr>
          <w:i/>
          <w:lang w:val="de-DE"/>
        </w:rPr>
        <w:t> </w:t>
      </w:r>
      <w:r w:rsidRPr="004676F5">
        <w:rPr>
          <w:i/>
          <w:lang w:val="de-DE"/>
        </w:rPr>
        <w:t xml:space="preserve">I.22 eingefügt durch </w:t>
      </w:r>
      <w:r w:rsidR="00BE0A56" w:rsidRPr="004676F5">
        <w:rPr>
          <w:i/>
          <w:lang w:val="de-DE"/>
        </w:rPr>
        <w:t>Art. </w:t>
      </w:r>
      <w:r w:rsidRPr="004676F5">
        <w:rPr>
          <w:i/>
          <w:lang w:val="de-DE"/>
        </w:rPr>
        <w:t xml:space="preserve">2 des G. vom 11. August 2017 (B.S. vom </w:t>
      </w:r>
      <w:r w:rsidR="008E100F" w:rsidRPr="004676F5">
        <w:rPr>
          <w:i/>
          <w:lang w:val="de-DE"/>
        </w:rPr>
        <w:t>1</w:t>
      </w:r>
      <w:r w:rsidR="00454231" w:rsidRPr="004676F5">
        <w:rPr>
          <w:i/>
          <w:lang w:val="de-DE"/>
        </w:rPr>
        <w:t>1</w:t>
      </w:r>
      <w:r w:rsidR="008E100F" w:rsidRPr="004676F5">
        <w:rPr>
          <w:i/>
          <w:lang w:val="de-DE"/>
        </w:rPr>
        <w:t>. September 2017</w:t>
      </w:r>
      <w:r w:rsidRPr="004676F5">
        <w:rPr>
          <w:i/>
          <w:lang w:val="de-DE"/>
        </w:rPr>
        <w:t>)]</w:t>
      </w:r>
    </w:p>
    <w:p w14:paraId="179AD0E6" w14:textId="77777777" w:rsidR="008E100F" w:rsidRPr="004676F5" w:rsidRDefault="008E100F" w:rsidP="009D3DCF">
      <w:pPr>
        <w:jc w:val="both"/>
        <w:rPr>
          <w:lang w:val="de-DE"/>
        </w:rPr>
      </w:pPr>
    </w:p>
    <w:p w14:paraId="294CCD18" w14:textId="77777777" w:rsidR="008E100F" w:rsidRPr="004676F5" w:rsidRDefault="008E100F" w:rsidP="009D3DCF">
      <w:pPr>
        <w:jc w:val="both"/>
        <w:rPr>
          <w:lang w:val="de-DE"/>
        </w:rPr>
      </w:pPr>
    </w:p>
    <w:p w14:paraId="7A4CC405" w14:textId="77777777" w:rsidR="00692DC7" w:rsidRPr="004676F5" w:rsidRDefault="00692DC7" w:rsidP="00692DC7">
      <w:pPr>
        <w:ind w:firstLine="708"/>
        <w:jc w:val="both"/>
        <w:rPr>
          <w:lang w:val="de-DE"/>
        </w:rPr>
      </w:pPr>
      <w:r w:rsidRPr="004676F5">
        <w:rPr>
          <w:bCs/>
          <w:lang w:val="de-DE"/>
        </w:rPr>
        <w:t>[</w:t>
      </w:r>
      <w:r w:rsidR="00BE0A56" w:rsidRPr="004676F5">
        <w:rPr>
          <w:b/>
          <w:lang w:val="de-DE"/>
        </w:rPr>
        <w:t>Art. </w:t>
      </w:r>
      <w:r w:rsidR="008E100F" w:rsidRPr="004676F5">
        <w:rPr>
          <w:b/>
          <w:lang w:val="de-DE"/>
        </w:rPr>
        <w:t>I.2</w:t>
      </w:r>
      <w:r w:rsidRPr="004676F5">
        <w:rPr>
          <w:b/>
          <w:lang w:val="de-DE"/>
        </w:rPr>
        <w:t>3</w:t>
      </w:r>
      <w:r w:rsidRPr="004676F5">
        <w:rPr>
          <w:bCs/>
          <w:lang w:val="de-DE"/>
        </w:rPr>
        <w:t>]</w:t>
      </w:r>
      <w:r w:rsidR="008E100F" w:rsidRPr="004676F5">
        <w:rPr>
          <w:lang w:val="de-DE"/>
        </w:rPr>
        <w:t> </w:t>
      </w:r>
      <w:r w:rsidR="005B7A5C" w:rsidRPr="004676F5">
        <w:rPr>
          <w:lang w:val="de-DE"/>
        </w:rPr>
        <w:t>- </w:t>
      </w:r>
      <w:r w:rsidRPr="004676F5">
        <w:rPr>
          <w:lang w:val="de-DE"/>
        </w:rPr>
        <w:t>[Folgende Begriffsbestimmungen gelten für Buch XX:</w:t>
      </w:r>
    </w:p>
    <w:p w14:paraId="6E08E268" w14:textId="77777777" w:rsidR="00692DC7" w:rsidRPr="004676F5" w:rsidRDefault="00692DC7" w:rsidP="00692DC7">
      <w:pPr>
        <w:jc w:val="both"/>
        <w:rPr>
          <w:lang w:val="de-DE"/>
        </w:rPr>
      </w:pPr>
    </w:p>
    <w:p w14:paraId="65E2B3E1" w14:textId="77777777" w:rsidR="00692DC7" w:rsidRPr="004676F5" w:rsidRDefault="00692DC7" w:rsidP="00692DC7">
      <w:pPr>
        <w:jc w:val="both"/>
        <w:rPr>
          <w:lang w:val="de-DE"/>
        </w:rPr>
      </w:pPr>
      <w:r w:rsidRPr="004676F5">
        <w:rPr>
          <w:lang w:val="de-DE"/>
        </w:rPr>
        <w:tab/>
        <w:t>1. Insolvenzverfahren: ein Verfahren zur gütlichen Einigung außerhalb einer gerichtlichen Reorganisation, ein Verfahren der öffentlichen oder nicht öffentlichen gerichtlichen Reorganisation, ein Verfahren der Übertragung unter der Autorität des Gerichts, ein Verfahren der nicht öffentlichen Vorbereitung eines Konkurses oder ein Konkursverfahren,</w:t>
      </w:r>
    </w:p>
    <w:p w14:paraId="451BA192" w14:textId="77777777" w:rsidR="00692DC7" w:rsidRPr="004676F5" w:rsidRDefault="00692DC7" w:rsidP="00692DC7">
      <w:pPr>
        <w:jc w:val="both"/>
        <w:rPr>
          <w:lang w:val="de-DE"/>
        </w:rPr>
      </w:pPr>
    </w:p>
    <w:p w14:paraId="501227EB" w14:textId="77777777" w:rsidR="00692DC7" w:rsidRPr="004676F5" w:rsidRDefault="00692DC7" w:rsidP="00692DC7">
      <w:pPr>
        <w:jc w:val="both"/>
        <w:rPr>
          <w:lang w:val="de-DE"/>
        </w:rPr>
      </w:pPr>
      <w:r w:rsidRPr="004676F5">
        <w:rPr>
          <w:lang w:val="de-DE"/>
        </w:rPr>
        <w:tab/>
        <w:t>2. Hauptinsolvenzverfahren: Hauptverfahren wie in Artikel 3 der Verord</w:t>
      </w:r>
      <w:r w:rsidRPr="004676F5">
        <w:rPr>
          <w:lang w:val="de-DE"/>
        </w:rPr>
        <w:softHyphen/>
        <w:t>nung (EU) 2015/848 des Europäischen Parlaments und des Rates vom 20. Mai 2015 über Insolvenzverfahren bestimmt,</w:t>
      </w:r>
    </w:p>
    <w:p w14:paraId="63923FF4" w14:textId="77777777" w:rsidR="00692DC7" w:rsidRPr="004676F5" w:rsidRDefault="00692DC7" w:rsidP="00692DC7">
      <w:pPr>
        <w:jc w:val="both"/>
        <w:rPr>
          <w:lang w:val="de-DE"/>
        </w:rPr>
      </w:pPr>
    </w:p>
    <w:p w14:paraId="7CAC6ED2" w14:textId="77777777" w:rsidR="00692DC7" w:rsidRPr="004676F5" w:rsidRDefault="00692DC7" w:rsidP="00692DC7">
      <w:pPr>
        <w:jc w:val="both"/>
        <w:rPr>
          <w:lang w:val="de-DE"/>
        </w:rPr>
      </w:pPr>
      <w:r w:rsidRPr="004676F5">
        <w:rPr>
          <w:lang w:val="de-DE"/>
        </w:rPr>
        <w:tab/>
        <w:t>3. Entscheidung zur Eröffnung eines Insolvenzverfahrens: Entscheidung eines Gerichts zur Eröffnung eines Insolvenzverfahrens oder zur Bestätigung der Eröffnung eines solchen Verfahrens,</w:t>
      </w:r>
    </w:p>
    <w:p w14:paraId="7E245FCD" w14:textId="77777777" w:rsidR="00692DC7" w:rsidRPr="004676F5" w:rsidRDefault="00692DC7" w:rsidP="00692DC7">
      <w:pPr>
        <w:jc w:val="both"/>
        <w:rPr>
          <w:lang w:val="de-DE"/>
        </w:rPr>
      </w:pPr>
    </w:p>
    <w:p w14:paraId="547C42DE" w14:textId="77777777" w:rsidR="00692DC7" w:rsidRPr="004676F5" w:rsidRDefault="00692DC7" w:rsidP="00692DC7">
      <w:pPr>
        <w:jc w:val="both"/>
        <w:rPr>
          <w:lang w:val="de-DE"/>
        </w:rPr>
      </w:pPr>
      <w:r w:rsidRPr="004676F5">
        <w:rPr>
          <w:lang w:val="de-DE"/>
        </w:rPr>
        <w:tab/>
        <w:t>4. Insolvenzgericht: Unternehmensgericht, das für die Eröffnung eines Insolvenzverfahrens zuständig ist oder ein solches Verfahren eröffnet hat,</w:t>
      </w:r>
    </w:p>
    <w:p w14:paraId="3E1E212E" w14:textId="77777777" w:rsidR="00692DC7" w:rsidRPr="004676F5" w:rsidRDefault="00692DC7" w:rsidP="00692DC7">
      <w:pPr>
        <w:jc w:val="both"/>
        <w:rPr>
          <w:lang w:val="de-DE"/>
        </w:rPr>
      </w:pPr>
    </w:p>
    <w:p w14:paraId="24EBB615" w14:textId="77777777" w:rsidR="00692DC7" w:rsidRPr="004676F5" w:rsidRDefault="00692DC7" w:rsidP="00692DC7">
      <w:pPr>
        <w:jc w:val="both"/>
        <w:rPr>
          <w:lang w:val="de-DE"/>
        </w:rPr>
      </w:pPr>
      <w:r w:rsidRPr="004676F5">
        <w:rPr>
          <w:lang w:val="de-DE"/>
        </w:rPr>
        <w:tab/>
        <w:t>5. Zeitpunkt der Verfahrenseröffnung: Zeitpunkt, zu dem die Entscheidung zur Eröffnung eines Insolvenzverfahrens wirksam wird, unabhängig davon, ob gegen die Entscheidung noch ein Rechtsmittel eingelegt werden kann,</w:t>
      </w:r>
    </w:p>
    <w:p w14:paraId="01B50B57" w14:textId="77777777" w:rsidR="00692DC7" w:rsidRPr="004676F5" w:rsidRDefault="00692DC7" w:rsidP="00692DC7">
      <w:pPr>
        <w:jc w:val="both"/>
        <w:rPr>
          <w:lang w:val="de-DE"/>
        </w:rPr>
      </w:pPr>
    </w:p>
    <w:p w14:paraId="1980B591" w14:textId="77777777" w:rsidR="00692DC7" w:rsidRPr="004676F5" w:rsidRDefault="00692DC7" w:rsidP="00692DC7">
      <w:pPr>
        <w:jc w:val="both"/>
        <w:rPr>
          <w:lang w:val="de-DE"/>
        </w:rPr>
      </w:pPr>
      <w:r w:rsidRPr="004676F5">
        <w:rPr>
          <w:lang w:val="de-DE"/>
        </w:rPr>
        <w:tab/>
        <w:t>6. Register: das Zentrale Insolvenzregister, das die computergestützte Datenbank ist, in der Akten über gütliche Einigungen, über Verfahren der gerichtlichen Reorganisation, über Verfahren der Übertragung unter der Autorität des Gerichts und über Konkursverfahren aufgenommen und aufbewahrt werden,</w:t>
      </w:r>
    </w:p>
    <w:p w14:paraId="79C22E8D" w14:textId="77777777" w:rsidR="00692DC7" w:rsidRPr="004676F5" w:rsidRDefault="00692DC7" w:rsidP="00692DC7">
      <w:pPr>
        <w:jc w:val="both"/>
        <w:rPr>
          <w:lang w:val="de-DE"/>
        </w:rPr>
      </w:pPr>
    </w:p>
    <w:p w14:paraId="2980D4E1" w14:textId="77777777" w:rsidR="00692DC7" w:rsidRPr="004676F5" w:rsidRDefault="00692DC7" w:rsidP="00692DC7">
      <w:pPr>
        <w:jc w:val="both"/>
        <w:rPr>
          <w:lang w:val="de-DE"/>
        </w:rPr>
      </w:pPr>
      <w:r w:rsidRPr="004676F5">
        <w:rPr>
          <w:lang w:val="de-DE"/>
        </w:rPr>
        <w:tab/>
        <w:t>7. Liquidationsbearbeiter: ein gerichtlicher Bevollmächtigter, dessen Aufgabe es ist, auch vorläufig eine oder mehrere der folgenden Aufgaben wahrzunehmen:</w:t>
      </w:r>
    </w:p>
    <w:p w14:paraId="4E7386BE" w14:textId="77777777" w:rsidR="00692DC7" w:rsidRPr="004676F5" w:rsidRDefault="00692DC7" w:rsidP="00692DC7">
      <w:pPr>
        <w:jc w:val="both"/>
        <w:rPr>
          <w:lang w:val="de-DE"/>
        </w:rPr>
      </w:pPr>
    </w:p>
    <w:p w14:paraId="4104FA0B" w14:textId="77777777" w:rsidR="00692DC7" w:rsidRPr="004676F5" w:rsidRDefault="00692DC7" w:rsidP="00692DC7">
      <w:pPr>
        <w:jc w:val="both"/>
        <w:rPr>
          <w:lang w:val="de-DE"/>
        </w:rPr>
      </w:pPr>
      <w:r w:rsidRPr="004676F5">
        <w:rPr>
          <w:lang w:val="de-DE"/>
        </w:rPr>
        <w:tab/>
        <w:t>i) in Insolvenzverfahren angemeldete Forderungen prüfen und zulassen,</w:t>
      </w:r>
    </w:p>
    <w:p w14:paraId="76F95BB9" w14:textId="77777777" w:rsidR="00692DC7" w:rsidRPr="004676F5" w:rsidRDefault="00692DC7" w:rsidP="00692DC7">
      <w:pPr>
        <w:jc w:val="both"/>
        <w:rPr>
          <w:lang w:val="de-DE"/>
        </w:rPr>
      </w:pPr>
    </w:p>
    <w:p w14:paraId="5740BF58" w14:textId="77777777" w:rsidR="00692DC7" w:rsidRPr="004676F5" w:rsidRDefault="00692DC7" w:rsidP="00692DC7">
      <w:pPr>
        <w:jc w:val="both"/>
        <w:rPr>
          <w:lang w:val="de-DE"/>
        </w:rPr>
      </w:pPr>
      <w:r w:rsidRPr="004676F5">
        <w:rPr>
          <w:lang w:val="de-DE"/>
        </w:rPr>
        <w:tab/>
        <w:t>ii) die Kollektivinteressen der Gläubiger vertreten,</w:t>
      </w:r>
    </w:p>
    <w:p w14:paraId="69F9659D" w14:textId="77777777" w:rsidR="00692DC7" w:rsidRPr="004676F5" w:rsidRDefault="00692DC7" w:rsidP="00692DC7">
      <w:pPr>
        <w:jc w:val="both"/>
        <w:rPr>
          <w:lang w:val="de-DE"/>
        </w:rPr>
      </w:pPr>
    </w:p>
    <w:p w14:paraId="1FBC1F4A" w14:textId="77777777" w:rsidR="00692DC7" w:rsidRPr="004676F5" w:rsidRDefault="00692DC7" w:rsidP="00692DC7">
      <w:pPr>
        <w:jc w:val="both"/>
        <w:rPr>
          <w:lang w:val="de-DE"/>
        </w:rPr>
      </w:pPr>
      <w:r w:rsidRPr="004676F5">
        <w:rPr>
          <w:lang w:val="de-DE"/>
        </w:rPr>
        <w:tab/>
        <w:t>iii) Güter, deren Verwaltung und Verfügung dem Schuldner entzogen wurde, vollständig oder teilweise verwalten,</w:t>
      </w:r>
    </w:p>
    <w:p w14:paraId="0F0918E7" w14:textId="77777777" w:rsidR="00692DC7" w:rsidRPr="004676F5" w:rsidRDefault="00692DC7" w:rsidP="00692DC7">
      <w:pPr>
        <w:jc w:val="both"/>
        <w:rPr>
          <w:lang w:val="de-DE"/>
        </w:rPr>
      </w:pPr>
    </w:p>
    <w:p w14:paraId="6B0D002D" w14:textId="77777777" w:rsidR="00692DC7" w:rsidRPr="004676F5" w:rsidRDefault="00692DC7" w:rsidP="00692DC7">
      <w:pPr>
        <w:jc w:val="both"/>
        <w:rPr>
          <w:lang w:val="de-DE"/>
        </w:rPr>
      </w:pPr>
      <w:r w:rsidRPr="004676F5">
        <w:rPr>
          <w:lang w:val="de-DE"/>
        </w:rPr>
        <w:tab/>
        <w:t>iv) Güter im Sinne der Ziffer iii) verwerten und gegebenenfalls den Erlös unter den Gläubigern verteilen oder</w:t>
      </w:r>
    </w:p>
    <w:p w14:paraId="6CCCA945" w14:textId="77777777" w:rsidR="00692DC7" w:rsidRPr="004676F5" w:rsidRDefault="00692DC7" w:rsidP="00692DC7">
      <w:pPr>
        <w:jc w:val="both"/>
        <w:rPr>
          <w:lang w:val="de-DE"/>
        </w:rPr>
      </w:pPr>
    </w:p>
    <w:p w14:paraId="02869DB4" w14:textId="77777777" w:rsidR="00692DC7" w:rsidRPr="004676F5" w:rsidRDefault="00692DC7" w:rsidP="00692DC7">
      <w:pPr>
        <w:jc w:val="both"/>
        <w:rPr>
          <w:lang w:val="de-DE"/>
        </w:rPr>
      </w:pPr>
      <w:r w:rsidRPr="004676F5">
        <w:rPr>
          <w:lang w:val="de-DE"/>
        </w:rPr>
        <w:tab/>
        <w:t>v) die Geschäftstätigkeit des Schuldners überwachen,</w:t>
      </w:r>
    </w:p>
    <w:p w14:paraId="11902872" w14:textId="77777777" w:rsidR="002E737D" w:rsidRPr="004676F5" w:rsidRDefault="00692DC7" w:rsidP="00692DC7">
      <w:pPr>
        <w:jc w:val="both"/>
        <w:rPr>
          <w:lang w:val="de-DE"/>
        </w:rPr>
      </w:pPr>
      <w:r w:rsidRPr="004676F5">
        <w:rPr>
          <w:lang w:val="de-DE"/>
        </w:rPr>
        <w:tab/>
      </w:r>
    </w:p>
    <w:p w14:paraId="72CF30D2" w14:textId="77777777" w:rsidR="002E737D" w:rsidRPr="004676F5" w:rsidRDefault="002E737D">
      <w:pPr>
        <w:rPr>
          <w:lang w:val="de-DE"/>
        </w:rPr>
      </w:pPr>
      <w:r w:rsidRPr="004676F5">
        <w:rPr>
          <w:lang w:val="de-DE"/>
        </w:rPr>
        <w:br w:type="page"/>
      </w:r>
    </w:p>
    <w:p w14:paraId="5AE26C88" w14:textId="1190E87F" w:rsidR="00692DC7" w:rsidRPr="004676F5" w:rsidRDefault="002E737D" w:rsidP="00692DC7">
      <w:pPr>
        <w:jc w:val="both"/>
        <w:rPr>
          <w:lang w:val="de-DE"/>
        </w:rPr>
      </w:pPr>
      <w:r w:rsidRPr="004676F5">
        <w:rPr>
          <w:lang w:val="de-DE"/>
        </w:rPr>
        <w:lastRenderedPageBreak/>
        <w:tab/>
      </w:r>
      <w:r w:rsidR="00692DC7" w:rsidRPr="004676F5">
        <w:rPr>
          <w:lang w:val="de-DE"/>
        </w:rPr>
        <w:t>7/01. Reorganisationsbearbeiter: ein gerichtlicher Bevollmächtigter, der vom Insolvenzgericht bestellt wird, um insbesondere eine oder mehrere der folgenden Aufgaben zu erfüllen:</w:t>
      </w:r>
    </w:p>
    <w:p w14:paraId="3B6A7F1C" w14:textId="77777777" w:rsidR="00692DC7" w:rsidRPr="004676F5" w:rsidRDefault="00692DC7" w:rsidP="00692DC7">
      <w:pPr>
        <w:jc w:val="both"/>
        <w:rPr>
          <w:lang w:val="de-DE"/>
        </w:rPr>
      </w:pPr>
    </w:p>
    <w:p w14:paraId="7F9B1681" w14:textId="77777777" w:rsidR="00692DC7" w:rsidRPr="004676F5" w:rsidRDefault="00692DC7" w:rsidP="00692DC7">
      <w:pPr>
        <w:jc w:val="both"/>
        <w:rPr>
          <w:lang w:val="de-DE"/>
        </w:rPr>
      </w:pPr>
      <w:r w:rsidRPr="004676F5">
        <w:rPr>
          <w:lang w:val="de-DE"/>
        </w:rPr>
        <w:tab/>
        <w:t>i) Unterstützung des Schuldners oder der Gläubiger bei der Ausarbeitung oder Aushandlung eines Reorganisationsplans,</w:t>
      </w:r>
    </w:p>
    <w:p w14:paraId="7BBB620C" w14:textId="77777777" w:rsidR="00692DC7" w:rsidRPr="004676F5" w:rsidRDefault="00692DC7" w:rsidP="00692DC7">
      <w:pPr>
        <w:jc w:val="both"/>
        <w:rPr>
          <w:lang w:val="de-DE"/>
        </w:rPr>
      </w:pPr>
    </w:p>
    <w:p w14:paraId="5EAD6B0E" w14:textId="77777777" w:rsidR="00692DC7" w:rsidRPr="004676F5" w:rsidRDefault="00692DC7" w:rsidP="00692DC7">
      <w:pPr>
        <w:jc w:val="both"/>
        <w:rPr>
          <w:lang w:val="de-DE"/>
        </w:rPr>
      </w:pPr>
      <w:r w:rsidRPr="004676F5">
        <w:rPr>
          <w:lang w:val="de-DE"/>
        </w:rPr>
        <w:tab/>
        <w:t>ii) Überwachung der Tätigkeit des Schuldners während der Verhandlungen über einen Reorganisationsplan und Berichterstattung an eine Gerichtsbehörde,</w:t>
      </w:r>
    </w:p>
    <w:p w14:paraId="3DF0EC4D" w14:textId="77777777" w:rsidR="00692DC7" w:rsidRPr="004676F5" w:rsidRDefault="00692DC7" w:rsidP="00692DC7">
      <w:pPr>
        <w:jc w:val="both"/>
        <w:rPr>
          <w:lang w:val="de-DE"/>
        </w:rPr>
      </w:pPr>
    </w:p>
    <w:p w14:paraId="5EA6153F" w14:textId="77777777" w:rsidR="00692DC7" w:rsidRPr="004676F5" w:rsidRDefault="00692DC7" w:rsidP="00692DC7">
      <w:pPr>
        <w:jc w:val="both"/>
        <w:rPr>
          <w:lang w:val="de-DE"/>
        </w:rPr>
      </w:pPr>
      <w:r w:rsidRPr="004676F5">
        <w:rPr>
          <w:lang w:val="de-DE"/>
        </w:rPr>
        <w:tab/>
        <w:t>iii) ohne Besitzverlust Übernahme der teilweisen Kontrolle über die Aktiva oder Geschäfte des Schuldners vor oder während der Verhandlungen in Bezug auf eine gerichtliche Reorganisation,</w:t>
      </w:r>
    </w:p>
    <w:p w14:paraId="2489F279" w14:textId="77777777" w:rsidR="00692DC7" w:rsidRPr="004676F5" w:rsidRDefault="00692DC7" w:rsidP="00692DC7">
      <w:pPr>
        <w:jc w:val="both"/>
        <w:rPr>
          <w:lang w:val="de-DE"/>
        </w:rPr>
      </w:pPr>
    </w:p>
    <w:p w14:paraId="5B27C49A" w14:textId="77777777" w:rsidR="00692DC7" w:rsidRPr="004676F5" w:rsidRDefault="00692DC7" w:rsidP="00692DC7">
      <w:pPr>
        <w:jc w:val="both"/>
        <w:rPr>
          <w:lang w:val="de-DE"/>
        </w:rPr>
      </w:pPr>
      <w:r w:rsidRPr="004676F5">
        <w:rPr>
          <w:lang w:val="de-DE"/>
        </w:rPr>
        <w:tab/>
        <w:t>7/02. gerichtlicher Bevollmächtigter: ein Liquidationsbearbeiter, ein Reorganisations</w:t>
      </w:r>
      <w:r w:rsidRPr="004676F5">
        <w:rPr>
          <w:lang w:val="de-DE"/>
        </w:rPr>
        <w:softHyphen/>
        <w:t>bearbeiter oder ein von einer Gerichtsbehörde bestellter vorläufiger Verwalter,</w:t>
      </w:r>
    </w:p>
    <w:p w14:paraId="1FAE2E13" w14:textId="77777777" w:rsidR="00692DC7" w:rsidRPr="004676F5" w:rsidRDefault="00692DC7" w:rsidP="00692DC7">
      <w:pPr>
        <w:jc w:val="both"/>
        <w:rPr>
          <w:lang w:val="de-DE"/>
        </w:rPr>
      </w:pPr>
    </w:p>
    <w:p w14:paraId="782A587B" w14:textId="77777777" w:rsidR="00692DC7" w:rsidRPr="004676F5" w:rsidRDefault="00692DC7" w:rsidP="00692DC7">
      <w:pPr>
        <w:jc w:val="both"/>
        <w:rPr>
          <w:lang w:val="de-DE"/>
        </w:rPr>
      </w:pPr>
      <w:r w:rsidRPr="004676F5">
        <w:rPr>
          <w:lang w:val="de-DE"/>
        </w:rPr>
        <w:tab/>
        <w:t>7/1. Unternehmen: ein Unternehmen im Sinne von Artikel I.1 Absatz 1 Nr. 1 des vorliegenden Buches,</w:t>
      </w:r>
    </w:p>
    <w:p w14:paraId="0B914EC3" w14:textId="77777777" w:rsidR="00692DC7" w:rsidRPr="004676F5" w:rsidRDefault="00692DC7" w:rsidP="00692DC7">
      <w:pPr>
        <w:jc w:val="both"/>
        <w:rPr>
          <w:lang w:val="de-DE"/>
        </w:rPr>
      </w:pPr>
    </w:p>
    <w:p w14:paraId="60874DDA" w14:textId="77777777" w:rsidR="00692DC7" w:rsidRPr="004676F5" w:rsidRDefault="00692DC7" w:rsidP="00692DC7">
      <w:pPr>
        <w:jc w:val="both"/>
        <w:rPr>
          <w:lang w:val="de-DE"/>
        </w:rPr>
      </w:pPr>
      <w:r w:rsidRPr="004676F5">
        <w:rPr>
          <w:lang w:val="de-DE"/>
        </w:rPr>
        <w:tab/>
        <w:t>8. Schuldner: ein Unternehmen, juristische Personen des öffentlichen Rechts ausgenommen,</w:t>
      </w:r>
    </w:p>
    <w:p w14:paraId="41C29B2F" w14:textId="77777777" w:rsidR="00692DC7" w:rsidRPr="004676F5" w:rsidRDefault="00692DC7" w:rsidP="00692DC7">
      <w:pPr>
        <w:jc w:val="both"/>
        <w:rPr>
          <w:lang w:val="de-DE"/>
        </w:rPr>
      </w:pPr>
    </w:p>
    <w:p w14:paraId="61C81EA2" w14:textId="77777777" w:rsidR="00692DC7" w:rsidRPr="004676F5" w:rsidRDefault="00692DC7" w:rsidP="00692DC7">
      <w:pPr>
        <w:jc w:val="both"/>
        <w:rPr>
          <w:lang w:val="de-DE"/>
        </w:rPr>
      </w:pPr>
      <w:r w:rsidRPr="004676F5">
        <w:rPr>
          <w:lang w:val="de-DE"/>
        </w:rPr>
        <w:tab/>
        <w:t>9. Schuldner in Eigenverwaltung: ein Schuldner, über dessen Güter ein Insolvenz</w:t>
      </w:r>
      <w:r w:rsidRPr="004676F5">
        <w:rPr>
          <w:lang w:val="de-DE"/>
        </w:rPr>
        <w:softHyphen/>
        <w:t>verfahren eröffnet wurde, das nicht zwingend mit der Bestellung eines Liquidationsbearbeiters oder eines Reorganisationsbearbeiters oder der vollständigen Übertragung der Rechte und Pflichten zur Verwaltung der Güter des Schuldners auf einen Liquidationsbearbeiter oder einen Reorganisationsbearbeiter verbunden ist, und bei dem der Schuldner daher ganz oder zumindest teilweise die Kontrolle über seine Güter und seine Geschäfte behält,</w:t>
      </w:r>
    </w:p>
    <w:p w14:paraId="554C0E68" w14:textId="77777777" w:rsidR="00692DC7" w:rsidRPr="004676F5" w:rsidRDefault="00692DC7" w:rsidP="00692DC7">
      <w:pPr>
        <w:jc w:val="both"/>
        <w:rPr>
          <w:lang w:val="de-DE"/>
        </w:rPr>
      </w:pPr>
    </w:p>
    <w:p w14:paraId="61D198A6" w14:textId="77777777" w:rsidR="00692DC7" w:rsidRPr="004676F5" w:rsidRDefault="00692DC7" w:rsidP="00692DC7">
      <w:pPr>
        <w:jc w:val="both"/>
        <w:rPr>
          <w:lang w:val="de-DE"/>
        </w:rPr>
      </w:pPr>
      <w:r w:rsidRPr="004676F5">
        <w:rPr>
          <w:lang w:val="de-DE"/>
        </w:rPr>
        <w:tab/>
        <w:t>10. Freiberufler: ein Unternehmen im Sinne von Artikel I.1 Nr. 14 des vorliegenden Gesetzbuches,</w:t>
      </w:r>
    </w:p>
    <w:p w14:paraId="40DA1596" w14:textId="77777777" w:rsidR="00692DC7" w:rsidRPr="004676F5" w:rsidRDefault="00692DC7" w:rsidP="00692DC7">
      <w:pPr>
        <w:jc w:val="both"/>
        <w:rPr>
          <w:lang w:val="de-DE"/>
        </w:rPr>
      </w:pPr>
    </w:p>
    <w:p w14:paraId="097AE9F2" w14:textId="77777777" w:rsidR="00692DC7" w:rsidRPr="004676F5" w:rsidRDefault="00692DC7" w:rsidP="00692DC7">
      <w:pPr>
        <w:jc w:val="both"/>
        <w:rPr>
          <w:lang w:val="de-DE"/>
        </w:rPr>
      </w:pPr>
      <w:r w:rsidRPr="004676F5">
        <w:rPr>
          <w:lang w:val="de-DE"/>
        </w:rPr>
        <w:tab/>
        <w:t>11. aufgeschobene Forderungen: Forderungen, die vor dem Urteil zur Eröffnung eines Verfahrens der gerichtlichen Reorganisation oder aufgrund der Einreichung einer Antragschrift oder der im Rahmen des Verfahrens getroffenen gerichtlichen Entscheidungen entstanden sind,</w:t>
      </w:r>
    </w:p>
    <w:p w14:paraId="4B6DA335" w14:textId="77777777" w:rsidR="00692DC7" w:rsidRPr="004676F5" w:rsidRDefault="00692DC7" w:rsidP="00692DC7">
      <w:pPr>
        <w:jc w:val="both"/>
        <w:rPr>
          <w:lang w:val="de-DE"/>
        </w:rPr>
      </w:pPr>
    </w:p>
    <w:p w14:paraId="481B0E3B" w14:textId="77777777" w:rsidR="00692DC7" w:rsidRPr="004676F5" w:rsidRDefault="00692DC7" w:rsidP="00692DC7">
      <w:pPr>
        <w:jc w:val="both"/>
        <w:rPr>
          <w:lang w:val="de-DE"/>
        </w:rPr>
      </w:pPr>
      <w:r w:rsidRPr="004676F5">
        <w:rPr>
          <w:lang w:val="de-DE"/>
        </w:rPr>
        <w:tab/>
        <w:t>12. gewöhnliche aufgeschobene Forderungen: aufgeschobene Forderungen, die keine außergewöhnlichen aufgeschobenen Forderungen sind,</w:t>
      </w:r>
    </w:p>
    <w:p w14:paraId="50FDCF70" w14:textId="77777777" w:rsidR="00692DC7" w:rsidRPr="004676F5" w:rsidRDefault="00692DC7" w:rsidP="00692DC7">
      <w:pPr>
        <w:jc w:val="both"/>
        <w:rPr>
          <w:lang w:val="de-DE"/>
        </w:rPr>
      </w:pPr>
    </w:p>
    <w:p w14:paraId="340BEC02" w14:textId="77777777" w:rsidR="00692DC7" w:rsidRPr="004676F5" w:rsidRDefault="00692DC7" w:rsidP="00692DC7">
      <w:pPr>
        <w:jc w:val="both"/>
        <w:rPr>
          <w:lang w:val="de-DE"/>
        </w:rPr>
      </w:pPr>
      <w:r w:rsidRPr="004676F5">
        <w:rPr>
          <w:lang w:val="de-DE"/>
        </w:rPr>
        <w:tab/>
        <w:t>13. gewöhnlicher Aufschubgläubiger: eine Person, die Inhaber einer gewöhnlichen aufgeschobenen Forderung ist,</w:t>
      </w:r>
    </w:p>
    <w:p w14:paraId="4869C6EB" w14:textId="77777777" w:rsidR="00692DC7" w:rsidRPr="004676F5" w:rsidRDefault="00692DC7" w:rsidP="00692DC7">
      <w:pPr>
        <w:jc w:val="both"/>
        <w:rPr>
          <w:lang w:val="de-DE"/>
        </w:rPr>
      </w:pPr>
    </w:p>
    <w:p w14:paraId="1D00F612" w14:textId="77777777" w:rsidR="00692DC7" w:rsidRPr="004676F5" w:rsidRDefault="00692DC7" w:rsidP="00692DC7">
      <w:pPr>
        <w:jc w:val="both"/>
        <w:rPr>
          <w:lang w:val="de-DE"/>
        </w:rPr>
      </w:pPr>
      <w:r w:rsidRPr="004676F5">
        <w:rPr>
          <w:lang w:val="de-DE"/>
        </w:rPr>
        <w:tab/>
        <w:t>14. außergewöhnliche aufgeschobene Forderungen: aufgeschobene Forderungen, die durch eine dingliche Sicherheit im Sinne von Artikel 3.3 des Zivilgesetzbuches besichert sind, und Forderungen, die in vorliegendem Buch als außergewöhnliche aufgeschobene Forderungen bestimmt werden,</w:t>
      </w:r>
    </w:p>
    <w:p w14:paraId="48ECDC11" w14:textId="77777777" w:rsidR="00692DC7" w:rsidRPr="004676F5" w:rsidRDefault="00692DC7" w:rsidP="00692DC7">
      <w:pPr>
        <w:jc w:val="both"/>
        <w:rPr>
          <w:lang w:val="de-DE"/>
        </w:rPr>
      </w:pPr>
    </w:p>
    <w:p w14:paraId="41C3559D" w14:textId="77777777" w:rsidR="00692DC7" w:rsidRPr="004676F5" w:rsidRDefault="00692DC7" w:rsidP="00692DC7">
      <w:pPr>
        <w:jc w:val="both"/>
        <w:rPr>
          <w:lang w:val="de-DE"/>
        </w:rPr>
      </w:pPr>
      <w:r w:rsidRPr="004676F5">
        <w:rPr>
          <w:lang w:val="de-DE"/>
        </w:rPr>
        <w:tab/>
        <w:t>15. außergewöhnlicher Aufschubgläubiger: eine Person, die Inhaber einer außergewöhnlichen aufgeschobenen Forderung ist,</w:t>
      </w:r>
    </w:p>
    <w:p w14:paraId="7DB82EEA" w14:textId="77777777" w:rsidR="00692DC7" w:rsidRPr="004676F5" w:rsidRDefault="00692DC7" w:rsidP="00692DC7">
      <w:pPr>
        <w:jc w:val="both"/>
        <w:rPr>
          <w:lang w:val="de-DE"/>
        </w:rPr>
      </w:pPr>
    </w:p>
    <w:p w14:paraId="1DECC0C5" w14:textId="77777777" w:rsidR="00692DC7" w:rsidRPr="004676F5" w:rsidRDefault="00692DC7" w:rsidP="00692DC7">
      <w:pPr>
        <w:jc w:val="both"/>
        <w:rPr>
          <w:lang w:val="de-DE"/>
        </w:rPr>
      </w:pPr>
      <w:r w:rsidRPr="004676F5">
        <w:rPr>
          <w:lang w:val="de-DE"/>
        </w:rPr>
        <w:lastRenderedPageBreak/>
        <w:tab/>
        <w:t>16. [...]</w:t>
      </w:r>
    </w:p>
    <w:p w14:paraId="1EABFF7D" w14:textId="77777777" w:rsidR="00692DC7" w:rsidRPr="004676F5" w:rsidRDefault="00692DC7" w:rsidP="00692DC7">
      <w:pPr>
        <w:jc w:val="both"/>
        <w:rPr>
          <w:lang w:val="de-DE"/>
        </w:rPr>
      </w:pPr>
    </w:p>
    <w:p w14:paraId="4775218C" w14:textId="77777777" w:rsidR="00692DC7" w:rsidRPr="004676F5" w:rsidRDefault="00692DC7" w:rsidP="00692DC7">
      <w:pPr>
        <w:jc w:val="both"/>
        <w:rPr>
          <w:lang w:val="de-DE"/>
        </w:rPr>
      </w:pPr>
      <w:r w:rsidRPr="004676F5">
        <w:rPr>
          <w:lang w:val="de-DE"/>
        </w:rPr>
        <w:tab/>
        <w:t>16/1. betroffene Parteien: Gläubiger oder Gläubigerklassen und Anteilsinhaber, deren Forderungen beziehungsweise Interessen von einem Reorganisationsplan unmittelbar betroffen sind,</w:t>
      </w:r>
    </w:p>
    <w:p w14:paraId="7394C81B" w14:textId="77777777" w:rsidR="00692DC7" w:rsidRPr="004676F5" w:rsidRDefault="00692DC7" w:rsidP="00692DC7">
      <w:pPr>
        <w:jc w:val="both"/>
        <w:rPr>
          <w:lang w:val="de-DE"/>
        </w:rPr>
      </w:pPr>
    </w:p>
    <w:p w14:paraId="2DCDA241" w14:textId="77777777" w:rsidR="00692DC7" w:rsidRPr="004676F5" w:rsidRDefault="00692DC7" w:rsidP="00692DC7">
      <w:pPr>
        <w:jc w:val="both"/>
        <w:rPr>
          <w:lang w:val="de-DE"/>
        </w:rPr>
      </w:pPr>
      <w:r w:rsidRPr="004676F5">
        <w:rPr>
          <w:lang w:val="de-DE"/>
        </w:rPr>
        <w:tab/>
        <w:t>16/2. Anteilsinhaber: eine Person, die eine Beteiligung am Vermögen einer juristischen Person hält; dazu gehört auch ein Aktionär, soweit diese Person kein Gläubiger ist,</w:t>
      </w:r>
    </w:p>
    <w:p w14:paraId="44D66790" w14:textId="77777777" w:rsidR="00692DC7" w:rsidRPr="004676F5" w:rsidRDefault="00692DC7" w:rsidP="00692DC7">
      <w:pPr>
        <w:jc w:val="both"/>
        <w:rPr>
          <w:lang w:val="de-DE"/>
        </w:rPr>
      </w:pPr>
    </w:p>
    <w:p w14:paraId="704FD1E1" w14:textId="77777777" w:rsidR="00692DC7" w:rsidRPr="004676F5" w:rsidRDefault="00692DC7" w:rsidP="00692DC7">
      <w:pPr>
        <w:jc w:val="both"/>
        <w:rPr>
          <w:lang w:val="de-DE"/>
        </w:rPr>
      </w:pPr>
      <w:r w:rsidRPr="004676F5">
        <w:rPr>
          <w:lang w:val="de-DE"/>
        </w:rPr>
        <w:tab/>
        <w:t>17. Mittelpunkt der hauptsächlichen Interessen: Ort, an dem der Schuldner gewöhnlich der Verwaltung seiner Interessen nachgeht und der für Dritte feststellbar ist,</w:t>
      </w:r>
    </w:p>
    <w:p w14:paraId="4133AB62" w14:textId="77777777" w:rsidR="00692DC7" w:rsidRPr="004676F5" w:rsidRDefault="00692DC7" w:rsidP="00692DC7">
      <w:pPr>
        <w:jc w:val="both"/>
        <w:rPr>
          <w:lang w:val="de-DE"/>
        </w:rPr>
      </w:pPr>
    </w:p>
    <w:p w14:paraId="7642B82C" w14:textId="77777777" w:rsidR="00692DC7" w:rsidRPr="004676F5" w:rsidRDefault="00692DC7" w:rsidP="00692DC7">
      <w:pPr>
        <w:jc w:val="both"/>
        <w:rPr>
          <w:lang w:val="de-DE"/>
        </w:rPr>
      </w:pPr>
      <w:r w:rsidRPr="004676F5">
        <w:rPr>
          <w:lang w:val="de-DE"/>
        </w:rPr>
        <w:tab/>
        <w:t>18. Niederlassung: Tätigkeitsort, an dem ein Schuldner einer wirtschaftlichen Tätigkeit nicht vorübergehender Art nachgeht oder in den drei Monaten vor dem Antrag auf Eröffnung des Hauptinsolvenzverfahrens nachgegangen ist, die den Einsatz von Personal und Gütern voraussetzt,</w:t>
      </w:r>
    </w:p>
    <w:p w14:paraId="78A06D90" w14:textId="77777777" w:rsidR="00692DC7" w:rsidRPr="004676F5" w:rsidRDefault="00692DC7" w:rsidP="00692DC7">
      <w:pPr>
        <w:jc w:val="both"/>
        <w:rPr>
          <w:lang w:val="de-DE"/>
        </w:rPr>
      </w:pPr>
    </w:p>
    <w:p w14:paraId="3D9817A3" w14:textId="77777777" w:rsidR="00692DC7" w:rsidRPr="004676F5" w:rsidRDefault="00692DC7" w:rsidP="00692DC7">
      <w:pPr>
        <w:jc w:val="both"/>
        <w:rPr>
          <w:lang w:val="de-DE"/>
        </w:rPr>
      </w:pPr>
      <w:r w:rsidRPr="004676F5">
        <w:rPr>
          <w:lang w:val="de-DE"/>
        </w:rPr>
        <w:tab/>
        <w:t>19. Sitz: satzungsmäßiger Sitz,</w:t>
      </w:r>
    </w:p>
    <w:p w14:paraId="0ECF9877" w14:textId="77777777" w:rsidR="00692DC7" w:rsidRPr="004676F5" w:rsidRDefault="00692DC7" w:rsidP="00692DC7">
      <w:pPr>
        <w:jc w:val="both"/>
        <w:rPr>
          <w:lang w:val="de-DE"/>
        </w:rPr>
      </w:pPr>
    </w:p>
    <w:p w14:paraId="4D18D550" w14:textId="77777777" w:rsidR="00692DC7" w:rsidRPr="004676F5" w:rsidRDefault="00692DC7" w:rsidP="00692DC7">
      <w:pPr>
        <w:jc w:val="both"/>
        <w:rPr>
          <w:lang w:val="de-DE"/>
        </w:rPr>
      </w:pPr>
      <w:r w:rsidRPr="004676F5">
        <w:rPr>
          <w:lang w:val="de-DE"/>
        </w:rPr>
        <w:tab/>
        <w:t>20. Aufschub: Moratorium, das das Gericht dem Schuldner im Hinblick auf die Verwirklichung einer gerichtlichen Reorganisation und eine Übertragung unter der Autorität des Gerichts gewährt,</w:t>
      </w:r>
    </w:p>
    <w:p w14:paraId="4CBC2DDC" w14:textId="77777777" w:rsidR="00692DC7" w:rsidRPr="004676F5" w:rsidRDefault="00692DC7" w:rsidP="00692DC7">
      <w:pPr>
        <w:jc w:val="both"/>
        <w:rPr>
          <w:lang w:val="de-DE"/>
        </w:rPr>
      </w:pPr>
    </w:p>
    <w:p w14:paraId="6A383BEB" w14:textId="77777777" w:rsidR="00692DC7" w:rsidRPr="004676F5" w:rsidRDefault="00692DC7" w:rsidP="00692DC7">
      <w:pPr>
        <w:jc w:val="both"/>
        <w:rPr>
          <w:lang w:val="de-DE"/>
        </w:rPr>
      </w:pPr>
      <w:r w:rsidRPr="004676F5">
        <w:rPr>
          <w:lang w:val="de-DE"/>
        </w:rPr>
        <w:tab/>
        <w:t>21. Reorganisationsplan: Plan, der während des Aufschubs gemäß Artikel XX.70 und folgenden, XX.83/3 und folgenden oder während eines Verfahrens der nicht öffentlichen gerichtlichen Reorganisation gemäß Artikel XX.83/22 und folgenden erstellt wird,</w:t>
      </w:r>
    </w:p>
    <w:p w14:paraId="0A5F8EE6" w14:textId="77777777" w:rsidR="00692DC7" w:rsidRPr="004676F5" w:rsidRDefault="00692DC7" w:rsidP="00692DC7">
      <w:pPr>
        <w:jc w:val="both"/>
        <w:rPr>
          <w:lang w:val="de-DE"/>
        </w:rPr>
      </w:pPr>
    </w:p>
    <w:p w14:paraId="0EF9CFF2" w14:textId="77777777" w:rsidR="00692DC7" w:rsidRPr="004676F5" w:rsidRDefault="00692DC7" w:rsidP="00692DC7">
      <w:pPr>
        <w:jc w:val="both"/>
        <w:rPr>
          <w:lang w:val="de-DE"/>
        </w:rPr>
      </w:pPr>
      <w:r w:rsidRPr="004676F5">
        <w:rPr>
          <w:lang w:val="de-DE"/>
        </w:rPr>
        <w:tab/>
        <w:t>21/1. neue Finanzierung: von einem bestehenden oder einem neuen Gläubiger oder einem Anteilsinhaber zur Umsetzung eines Reorganisationsplans bereitgestellte neue finanzielle Unterstützung, die in diesem Reorganisationsplan enthalten ist,</w:t>
      </w:r>
    </w:p>
    <w:p w14:paraId="20AB27D8" w14:textId="77777777" w:rsidR="00692DC7" w:rsidRPr="004676F5" w:rsidRDefault="00692DC7" w:rsidP="00692DC7">
      <w:pPr>
        <w:jc w:val="both"/>
        <w:rPr>
          <w:lang w:val="de-DE"/>
        </w:rPr>
      </w:pPr>
    </w:p>
    <w:p w14:paraId="61245465" w14:textId="77777777" w:rsidR="00692DC7" w:rsidRPr="004676F5" w:rsidRDefault="00692DC7" w:rsidP="00692DC7">
      <w:pPr>
        <w:jc w:val="both"/>
        <w:rPr>
          <w:lang w:val="de-DE"/>
        </w:rPr>
      </w:pPr>
      <w:r w:rsidRPr="004676F5">
        <w:rPr>
          <w:lang w:val="de-DE"/>
        </w:rPr>
        <w:tab/>
        <w:t>22. Restschuld: bei Beendigung des Insolvenzverfahrens nicht beglichene Schuld,</w:t>
      </w:r>
    </w:p>
    <w:p w14:paraId="49C6991B" w14:textId="77777777" w:rsidR="00692DC7" w:rsidRPr="004676F5" w:rsidRDefault="00692DC7" w:rsidP="00692DC7">
      <w:pPr>
        <w:jc w:val="both"/>
        <w:rPr>
          <w:lang w:val="de-DE"/>
        </w:rPr>
      </w:pPr>
    </w:p>
    <w:p w14:paraId="62EC88A8" w14:textId="77777777" w:rsidR="00692DC7" w:rsidRPr="004676F5" w:rsidRDefault="00692DC7" w:rsidP="00692DC7">
      <w:pPr>
        <w:jc w:val="both"/>
        <w:rPr>
          <w:lang w:val="de-DE"/>
        </w:rPr>
      </w:pPr>
      <w:r w:rsidRPr="004676F5">
        <w:rPr>
          <w:lang w:val="de-DE"/>
        </w:rPr>
        <w:tab/>
        <w:t>23. Insolvenzverordnung: Verordnung (EU) 2015/848 des Europäischen Parlaments und des Rates vom 20. Mai 2015 über Insolvenzverfahren,</w:t>
      </w:r>
    </w:p>
    <w:p w14:paraId="27438BCB" w14:textId="77777777" w:rsidR="00692DC7" w:rsidRPr="004676F5" w:rsidRDefault="00692DC7" w:rsidP="00692DC7">
      <w:pPr>
        <w:jc w:val="both"/>
        <w:rPr>
          <w:lang w:val="de-DE"/>
        </w:rPr>
      </w:pPr>
    </w:p>
    <w:p w14:paraId="6556C0C3" w14:textId="77777777" w:rsidR="00692DC7" w:rsidRPr="004676F5" w:rsidRDefault="00692DC7" w:rsidP="00692DC7">
      <w:pPr>
        <w:jc w:val="both"/>
        <w:rPr>
          <w:lang w:val="de-DE"/>
        </w:rPr>
      </w:pPr>
      <w:r w:rsidRPr="004676F5">
        <w:rPr>
          <w:lang w:val="de-DE"/>
        </w:rPr>
        <w:tab/>
        <w:t>23/1. gerichtliche Liquidation: gerichtliche Auflösung mit anschließender Liquidation,</w:t>
      </w:r>
    </w:p>
    <w:p w14:paraId="4C2DE6C2" w14:textId="77777777" w:rsidR="00692DC7" w:rsidRPr="004676F5" w:rsidRDefault="00692DC7" w:rsidP="00692DC7">
      <w:pPr>
        <w:jc w:val="both"/>
        <w:rPr>
          <w:lang w:val="de-DE"/>
        </w:rPr>
      </w:pPr>
    </w:p>
    <w:p w14:paraId="17FA8C3A" w14:textId="77777777" w:rsidR="00692DC7" w:rsidRPr="004676F5" w:rsidRDefault="00692DC7" w:rsidP="00692DC7">
      <w:pPr>
        <w:jc w:val="both"/>
        <w:rPr>
          <w:lang w:val="de-DE"/>
        </w:rPr>
      </w:pPr>
      <w:r w:rsidRPr="004676F5">
        <w:rPr>
          <w:lang w:val="de-DE"/>
        </w:rPr>
        <w:tab/>
        <w:t>24. Mutterunternehmen: ein Unternehmen, das ein oder mehrere Unternehmen entweder unmittelbar oder mittelbar kontrolliert; ein Unternehmen, das einen konsolidierten Abschluss gemäß der Richtlinie 2013/34/EU des Europäischen Parlaments und des Rates erstellt, wird als Mutterunternehmen angesehen,</w:t>
      </w:r>
    </w:p>
    <w:p w14:paraId="01E24831" w14:textId="77777777" w:rsidR="00692DC7" w:rsidRPr="004676F5" w:rsidRDefault="00692DC7" w:rsidP="00692DC7">
      <w:pPr>
        <w:jc w:val="both"/>
        <w:rPr>
          <w:lang w:val="de-DE"/>
        </w:rPr>
      </w:pPr>
    </w:p>
    <w:p w14:paraId="60F83F57" w14:textId="77777777" w:rsidR="00692DC7" w:rsidRPr="004676F5" w:rsidRDefault="00692DC7" w:rsidP="00692DC7">
      <w:pPr>
        <w:jc w:val="both"/>
        <w:rPr>
          <w:lang w:val="de-DE"/>
        </w:rPr>
      </w:pPr>
      <w:r w:rsidRPr="004676F5">
        <w:rPr>
          <w:lang w:val="de-DE"/>
        </w:rPr>
        <w:tab/>
        <w:t>25. Unternehmensgruppe: ein Mutterunternehmen und alle seine Tochterunternehmen,</w:t>
      </w:r>
    </w:p>
    <w:p w14:paraId="2EA2C7A6" w14:textId="77777777" w:rsidR="00692DC7" w:rsidRPr="004676F5" w:rsidRDefault="00692DC7" w:rsidP="00692DC7">
      <w:pPr>
        <w:jc w:val="both"/>
        <w:rPr>
          <w:lang w:val="de-DE"/>
        </w:rPr>
      </w:pPr>
    </w:p>
    <w:p w14:paraId="35D1EA05" w14:textId="77777777" w:rsidR="00692DC7" w:rsidRPr="004676F5" w:rsidRDefault="00692DC7" w:rsidP="00692DC7">
      <w:pPr>
        <w:jc w:val="both"/>
        <w:rPr>
          <w:lang w:val="de-DE"/>
        </w:rPr>
      </w:pPr>
      <w:r w:rsidRPr="004676F5">
        <w:rPr>
          <w:lang w:val="de-DE"/>
        </w:rPr>
        <w:tab/>
        <w:t>26. verbundene Unternehmen: Unternehmen, die miteinander verbunden sind im Sinne von Artikel 1:20 des Gesetzbuches der Gesellschaften und Vereinigungen,</w:t>
      </w:r>
    </w:p>
    <w:p w14:paraId="510B9CEE" w14:textId="77777777" w:rsidR="00692DC7" w:rsidRPr="004676F5" w:rsidRDefault="00692DC7" w:rsidP="00692DC7">
      <w:pPr>
        <w:jc w:val="both"/>
        <w:rPr>
          <w:lang w:val="de-DE"/>
        </w:rPr>
      </w:pPr>
    </w:p>
    <w:p w14:paraId="45902B81" w14:textId="77777777" w:rsidR="00692DC7" w:rsidRPr="004676F5" w:rsidRDefault="00692DC7" w:rsidP="00692DC7">
      <w:pPr>
        <w:jc w:val="both"/>
        <w:rPr>
          <w:lang w:val="de-DE"/>
        </w:rPr>
      </w:pPr>
      <w:r w:rsidRPr="004676F5">
        <w:rPr>
          <w:lang w:val="de-DE"/>
        </w:rPr>
        <w:tab/>
        <w:t xml:space="preserve">27. elektronische Signatur: eine qualifizierte elektronische Signatur oder ein qualifiziertes elektronisches Siegel wie erwähnt in Artikel 3.12 beziehungsweise 3.27 der Verordnung (EU) Nr. 910/2014 des Europäischen Parlaments und des Rates vom 23. Juli 2014 </w:t>
      </w:r>
      <w:r w:rsidRPr="004676F5">
        <w:rPr>
          <w:lang w:val="de-DE"/>
        </w:rPr>
        <w:lastRenderedPageBreak/>
        <w:t>über elektronische Identifizierung und Vertrauensdienste für elektronische Transaktionen im Binnenmarkt und zur Aufhebung der Richtlinie 1999/93/EG oder eine andere elektronische Signatur, die den Kriterien genügt, die der König zur Gewährleistung der Identität der Parteien und ihrer Einwilligung zum Inhalt des Akts festlegen kann,</w:t>
      </w:r>
    </w:p>
    <w:p w14:paraId="46E1D3EC" w14:textId="77777777" w:rsidR="00692DC7" w:rsidRPr="004676F5" w:rsidRDefault="00692DC7" w:rsidP="00692DC7">
      <w:pPr>
        <w:jc w:val="both"/>
        <w:rPr>
          <w:lang w:val="de-DE"/>
        </w:rPr>
      </w:pPr>
    </w:p>
    <w:p w14:paraId="608BD954" w14:textId="77777777" w:rsidR="00692DC7" w:rsidRPr="004676F5" w:rsidRDefault="00692DC7" w:rsidP="00692DC7">
      <w:pPr>
        <w:jc w:val="both"/>
        <w:rPr>
          <w:lang w:val="de-DE"/>
        </w:rPr>
      </w:pPr>
      <w:r w:rsidRPr="004676F5">
        <w:rPr>
          <w:lang w:val="de-DE"/>
        </w:rPr>
        <w:tab/>
        <w:t>28. Minister: der für Justiz zuständige Minister,</w:t>
      </w:r>
    </w:p>
    <w:p w14:paraId="701D4820" w14:textId="77777777" w:rsidR="00692DC7" w:rsidRPr="004676F5" w:rsidRDefault="00692DC7" w:rsidP="00692DC7">
      <w:pPr>
        <w:jc w:val="both"/>
        <w:rPr>
          <w:lang w:val="de-DE"/>
        </w:rPr>
      </w:pPr>
    </w:p>
    <w:p w14:paraId="2E64E0F2" w14:textId="77777777" w:rsidR="00692DC7" w:rsidRPr="004676F5" w:rsidRDefault="00692DC7" w:rsidP="00692DC7">
      <w:pPr>
        <w:jc w:val="both"/>
        <w:rPr>
          <w:lang w:val="de-DE"/>
        </w:rPr>
      </w:pPr>
      <w:r w:rsidRPr="004676F5">
        <w:rPr>
          <w:lang w:val="de-DE"/>
        </w:rPr>
        <w:tab/>
        <w:t>29. wahrscheinliche Insolvenz: eine Lage, in der die Fortführung der Tätigkeiten des Schuldners kurz- oder mittelfristig gefährdet ist,</w:t>
      </w:r>
    </w:p>
    <w:p w14:paraId="6F167E5A" w14:textId="77777777" w:rsidR="00692DC7" w:rsidRPr="004676F5" w:rsidRDefault="00692DC7" w:rsidP="00692DC7">
      <w:pPr>
        <w:jc w:val="both"/>
        <w:rPr>
          <w:lang w:val="de-DE"/>
        </w:rPr>
      </w:pPr>
    </w:p>
    <w:p w14:paraId="0C648BFF" w14:textId="7B7F9AF7" w:rsidR="007851EF" w:rsidRPr="004676F5" w:rsidRDefault="00692DC7" w:rsidP="00692DC7">
      <w:pPr>
        <w:ind w:firstLine="708"/>
        <w:jc w:val="both"/>
        <w:rPr>
          <w:lang w:val="de-DE"/>
        </w:rPr>
      </w:pPr>
      <w:r w:rsidRPr="004676F5">
        <w:rPr>
          <w:lang w:val="de-DE"/>
        </w:rPr>
        <w:t>30. Richtlinie (EU) 2019/1023: die Richtlinie (EU) 2019/1023 des Europäischen Parlaments und des Rates vom 20. Juni 2019 über präventive Restrukturierungsrahmen, über Entschuldung und über Tätigkeitsverbote sowie über Maßnahmen zur Steigerung der Effizienz von Restrukturierungs-, Insolvenz- und Entschuldungsverfahren und zur Änderung der Richtlinie (EU) 2017/1132.]</w:t>
      </w:r>
    </w:p>
    <w:p w14:paraId="454BC9F4" w14:textId="078F5DF3" w:rsidR="007851EF" w:rsidRPr="004676F5" w:rsidRDefault="007851EF" w:rsidP="008E100F">
      <w:pPr>
        <w:ind w:firstLine="708"/>
        <w:jc w:val="both"/>
        <w:rPr>
          <w:lang w:val="de-DE"/>
        </w:rPr>
      </w:pPr>
    </w:p>
    <w:p w14:paraId="2213F19F" w14:textId="456BA903" w:rsidR="007851EF" w:rsidRPr="004676F5" w:rsidRDefault="007851EF" w:rsidP="007851EF">
      <w:pPr>
        <w:jc w:val="both"/>
        <w:rPr>
          <w:i/>
          <w:lang w:val="de-DE"/>
        </w:rPr>
      </w:pPr>
      <w:r w:rsidRPr="004676F5">
        <w:rPr>
          <w:i/>
          <w:lang w:val="de-DE"/>
        </w:rPr>
        <w:t>[</w:t>
      </w:r>
      <w:r w:rsidR="00692DC7" w:rsidRPr="004676F5">
        <w:rPr>
          <w:i/>
          <w:lang w:val="de-DE"/>
        </w:rPr>
        <w:t>Früherer </w:t>
      </w:r>
      <w:r w:rsidRPr="004676F5">
        <w:rPr>
          <w:i/>
          <w:lang w:val="de-DE"/>
        </w:rPr>
        <w:t>Art</w:t>
      </w:r>
      <w:r w:rsidR="00692DC7" w:rsidRPr="004676F5">
        <w:rPr>
          <w:i/>
          <w:lang w:val="de-DE"/>
        </w:rPr>
        <w:t>ikel</w:t>
      </w:r>
      <w:r w:rsidRPr="004676F5">
        <w:rPr>
          <w:i/>
          <w:lang w:val="de-DE"/>
        </w:rPr>
        <w:t> I.22</w:t>
      </w:r>
      <w:r w:rsidR="00692DC7" w:rsidRPr="004676F5">
        <w:rPr>
          <w:i/>
          <w:lang w:val="de-DE"/>
        </w:rPr>
        <w:t xml:space="preserve"> umnummeriert zu Art. I.23 und ersetzt durch Art. 3 des G. vom 7. Juni 2023 (B.S. vom 7. Juli 2023)</w:t>
      </w:r>
      <w:r w:rsidRPr="004676F5">
        <w:rPr>
          <w:i/>
          <w:iCs/>
          <w:lang w:val="de-DE"/>
        </w:rPr>
        <w:t>]</w:t>
      </w:r>
    </w:p>
    <w:p w14:paraId="5F598484" w14:textId="77777777" w:rsidR="00302D19" w:rsidRPr="004676F5" w:rsidRDefault="00302D19" w:rsidP="009D3DCF">
      <w:pPr>
        <w:jc w:val="both"/>
        <w:rPr>
          <w:b/>
          <w:lang w:val="de-DE"/>
        </w:rPr>
      </w:pPr>
      <w:r w:rsidRPr="004676F5">
        <w:rPr>
          <w:b/>
          <w:lang w:val="de-DE"/>
        </w:rPr>
        <w:br w:type="page"/>
      </w:r>
    </w:p>
    <w:p w14:paraId="083DA348" w14:textId="7E9EC93A" w:rsidR="00F94546" w:rsidRPr="004676F5" w:rsidRDefault="00F94546" w:rsidP="005E6F74">
      <w:pPr>
        <w:jc w:val="center"/>
        <w:rPr>
          <w:b/>
          <w:lang w:val="de-DE"/>
        </w:rPr>
      </w:pPr>
      <w:r w:rsidRPr="004676F5">
        <w:rPr>
          <w:b/>
          <w:lang w:val="de-DE"/>
        </w:rPr>
        <w:lastRenderedPageBreak/>
        <w:t>BUCH II </w:t>
      </w:r>
      <w:r w:rsidR="005B7A5C" w:rsidRPr="004676F5">
        <w:rPr>
          <w:b/>
          <w:lang w:val="de-DE"/>
        </w:rPr>
        <w:t>- </w:t>
      </w:r>
      <w:r w:rsidRPr="004676F5">
        <w:rPr>
          <w:b/>
          <w:lang w:val="de-DE"/>
        </w:rPr>
        <w:t>ALLGEMEINE GRUNDSÄTZE</w:t>
      </w:r>
    </w:p>
    <w:p w14:paraId="3FADC724" w14:textId="77777777" w:rsidR="00F94546" w:rsidRPr="004676F5" w:rsidRDefault="00F94546" w:rsidP="00F94546">
      <w:pPr>
        <w:jc w:val="center"/>
        <w:rPr>
          <w:lang w:val="de-DE"/>
        </w:rPr>
      </w:pPr>
    </w:p>
    <w:p w14:paraId="08BD7C95" w14:textId="77777777" w:rsidR="00F94546" w:rsidRPr="004676F5" w:rsidRDefault="00F94546" w:rsidP="00F94546">
      <w:pPr>
        <w:jc w:val="center"/>
        <w:rPr>
          <w:lang w:val="de-DE"/>
        </w:rPr>
      </w:pPr>
    </w:p>
    <w:p w14:paraId="68612510" w14:textId="4785DF36" w:rsidR="00F94546" w:rsidRPr="004676F5" w:rsidRDefault="00F94546" w:rsidP="00F94546">
      <w:pPr>
        <w:jc w:val="center"/>
        <w:rPr>
          <w:b/>
          <w:i/>
          <w:lang w:val="de-DE"/>
        </w:rPr>
      </w:pPr>
      <w:r w:rsidRPr="004676F5">
        <w:rPr>
          <w:b/>
          <w:lang w:val="de-DE"/>
        </w:rPr>
        <w:t>TITEL 1 </w:t>
      </w:r>
      <w:r w:rsidR="005B7A5C" w:rsidRPr="004676F5">
        <w:rPr>
          <w:b/>
          <w:lang w:val="de-DE"/>
        </w:rPr>
        <w:t>- </w:t>
      </w:r>
      <w:r w:rsidRPr="004676F5">
        <w:rPr>
          <w:b/>
          <w:i/>
          <w:lang w:val="de-DE"/>
        </w:rPr>
        <w:t>Anwendungsbereich</w:t>
      </w:r>
    </w:p>
    <w:p w14:paraId="71D7B4D8" w14:textId="77777777" w:rsidR="00F94546" w:rsidRPr="004676F5" w:rsidRDefault="00F94546" w:rsidP="00F94546">
      <w:pPr>
        <w:jc w:val="center"/>
        <w:rPr>
          <w:b/>
          <w:lang w:val="de-DE"/>
        </w:rPr>
      </w:pPr>
    </w:p>
    <w:p w14:paraId="7B41C118" w14:textId="77777777" w:rsidR="00F94546" w:rsidRPr="004676F5" w:rsidRDefault="00F94546" w:rsidP="00F94546">
      <w:pPr>
        <w:jc w:val="center"/>
        <w:rPr>
          <w:b/>
          <w:lang w:val="de-DE"/>
        </w:rPr>
      </w:pPr>
    </w:p>
    <w:p w14:paraId="2499B506" w14:textId="69C3BAC1" w:rsidR="00F94546" w:rsidRPr="004676F5" w:rsidRDefault="00BE0A56" w:rsidP="00F94546">
      <w:pPr>
        <w:ind w:firstLine="708"/>
        <w:jc w:val="both"/>
        <w:rPr>
          <w:lang w:val="de-DE"/>
        </w:rPr>
      </w:pPr>
      <w:r w:rsidRPr="004676F5">
        <w:rPr>
          <w:b/>
          <w:lang w:val="de-DE"/>
        </w:rPr>
        <w:t>Art. </w:t>
      </w:r>
      <w:r w:rsidR="00F94546" w:rsidRPr="004676F5">
        <w:rPr>
          <w:b/>
          <w:lang w:val="de-DE"/>
        </w:rPr>
        <w:t>II.1</w:t>
      </w:r>
      <w:r w:rsidR="00F94546" w:rsidRPr="004676F5">
        <w:rPr>
          <w:lang w:val="de-DE"/>
        </w:rPr>
        <w:t> </w:t>
      </w:r>
      <w:r w:rsidR="005B7A5C" w:rsidRPr="004676F5">
        <w:rPr>
          <w:lang w:val="de-DE"/>
        </w:rPr>
        <w:t>- </w:t>
      </w:r>
      <w:r w:rsidR="00F94546" w:rsidRPr="004676F5">
        <w:rPr>
          <w:lang w:val="de-DE"/>
        </w:rPr>
        <w:t>Vorbehaltlich der Anwendung internationaler Verträge, des Rechts der Europäischen Union oder besonderer Rechtsvorschriften umfasst vorliegendes Gesetzbuch den allgemeinen rechtlichen Rahmen für wirtschaftliche Angelegenheiten, für die die Föderalbehörde zuständig ist.</w:t>
      </w:r>
    </w:p>
    <w:p w14:paraId="37C27209" w14:textId="77777777" w:rsidR="00F94546" w:rsidRPr="004676F5" w:rsidRDefault="00F94546" w:rsidP="00F94546">
      <w:pPr>
        <w:jc w:val="both"/>
        <w:rPr>
          <w:lang w:val="de-DE"/>
        </w:rPr>
      </w:pPr>
    </w:p>
    <w:p w14:paraId="399D885B" w14:textId="77777777" w:rsidR="00F94546" w:rsidRPr="004676F5" w:rsidRDefault="00F94546" w:rsidP="00F94546">
      <w:pPr>
        <w:jc w:val="both"/>
        <w:rPr>
          <w:lang w:val="de-DE"/>
        </w:rPr>
      </w:pPr>
    </w:p>
    <w:p w14:paraId="6B84D0AA" w14:textId="01CE0CF3" w:rsidR="00F94546" w:rsidRPr="004676F5" w:rsidRDefault="00F94546" w:rsidP="00F94546">
      <w:pPr>
        <w:jc w:val="center"/>
        <w:rPr>
          <w:b/>
          <w:lang w:val="de-DE"/>
        </w:rPr>
      </w:pPr>
      <w:r w:rsidRPr="004676F5">
        <w:rPr>
          <w:b/>
          <w:lang w:val="de-DE"/>
        </w:rPr>
        <w:t>TITEL 2 </w:t>
      </w:r>
      <w:r w:rsidR="005B7A5C" w:rsidRPr="004676F5">
        <w:rPr>
          <w:b/>
          <w:lang w:val="de-DE"/>
        </w:rPr>
        <w:t>- </w:t>
      </w:r>
      <w:r w:rsidRPr="004676F5">
        <w:rPr>
          <w:b/>
          <w:i/>
          <w:lang w:val="de-DE"/>
        </w:rPr>
        <w:t>Zielsetzungen</w:t>
      </w:r>
    </w:p>
    <w:p w14:paraId="61460025" w14:textId="77777777" w:rsidR="00F94546" w:rsidRPr="004676F5" w:rsidRDefault="00F94546" w:rsidP="00F94546">
      <w:pPr>
        <w:jc w:val="both"/>
        <w:rPr>
          <w:lang w:val="de-DE"/>
        </w:rPr>
      </w:pPr>
    </w:p>
    <w:p w14:paraId="558064FB" w14:textId="77777777" w:rsidR="00F94546" w:rsidRPr="004676F5" w:rsidRDefault="00F94546" w:rsidP="00F94546">
      <w:pPr>
        <w:ind w:firstLine="708"/>
        <w:jc w:val="both"/>
        <w:rPr>
          <w:lang w:val="de-DE"/>
        </w:rPr>
      </w:pPr>
    </w:p>
    <w:p w14:paraId="39AECD59" w14:textId="42DEBF34" w:rsidR="00F94546" w:rsidRPr="004676F5" w:rsidRDefault="00BE0A56" w:rsidP="00F94546">
      <w:pPr>
        <w:ind w:firstLine="708"/>
        <w:jc w:val="both"/>
        <w:rPr>
          <w:lang w:val="de-DE"/>
        </w:rPr>
      </w:pPr>
      <w:r w:rsidRPr="004676F5">
        <w:rPr>
          <w:b/>
          <w:lang w:val="de-DE"/>
        </w:rPr>
        <w:t>Art. </w:t>
      </w:r>
      <w:r w:rsidR="00F94546" w:rsidRPr="004676F5">
        <w:rPr>
          <w:b/>
          <w:lang w:val="de-DE"/>
        </w:rPr>
        <w:t>II.2</w:t>
      </w:r>
      <w:r w:rsidR="00F94546" w:rsidRPr="004676F5">
        <w:rPr>
          <w:lang w:val="de-DE"/>
        </w:rPr>
        <w:t> </w:t>
      </w:r>
      <w:r w:rsidR="005B7A5C" w:rsidRPr="004676F5">
        <w:rPr>
          <w:lang w:val="de-DE"/>
        </w:rPr>
        <w:t>- </w:t>
      </w:r>
      <w:r w:rsidR="00F94546" w:rsidRPr="004676F5">
        <w:rPr>
          <w:lang w:val="de-DE"/>
        </w:rPr>
        <w:t>Vorliegendes Gesetzbuch zielt darauf ab, Unternehmensfreiheit, Redlichkeit der Wirtschaftsgeschäfte und ein hohes Maß an Verbraucherschutz zu gewährleisten.</w:t>
      </w:r>
    </w:p>
    <w:p w14:paraId="020892D9" w14:textId="77777777" w:rsidR="00F94546" w:rsidRPr="004676F5" w:rsidRDefault="00F94546" w:rsidP="00F94546">
      <w:pPr>
        <w:jc w:val="both"/>
        <w:rPr>
          <w:lang w:val="de-DE"/>
        </w:rPr>
      </w:pPr>
    </w:p>
    <w:p w14:paraId="1DF63533" w14:textId="77777777" w:rsidR="00F94546" w:rsidRPr="004676F5" w:rsidRDefault="00F94546" w:rsidP="00F94546">
      <w:pPr>
        <w:jc w:val="both"/>
        <w:rPr>
          <w:lang w:val="de-DE"/>
        </w:rPr>
      </w:pPr>
    </w:p>
    <w:p w14:paraId="09639902" w14:textId="7654C933" w:rsidR="00F94546" w:rsidRPr="004676F5" w:rsidRDefault="00F94546" w:rsidP="00F94546">
      <w:pPr>
        <w:jc w:val="center"/>
        <w:rPr>
          <w:b/>
          <w:i/>
          <w:lang w:val="de-DE"/>
        </w:rPr>
      </w:pPr>
      <w:r w:rsidRPr="004676F5">
        <w:rPr>
          <w:b/>
          <w:lang w:val="de-DE"/>
        </w:rPr>
        <w:t>TITEL 3 </w:t>
      </w:r>
      <w:r w:rsidR="005B7A5C" w:rsidRPr="004676F5">
        <w:rPr>
          <w:b/>
          <w:lang w:val="de-DE"/>
        </w:rPr>
        <w:t>- </w:t>
      </w:r>
      <w:r w:rsidRPr="004676F5">
        <w:rPr>
          <w:b/>
          <w:i/>
          <w:lang w:val="de-DE"/>
        </w:rPr>
        <w:t>Unternehmensfreiheit</w:t>
      </w:r>
    </w:p>
    <w:p w14:paraId="4CF1A40A" w14:textId="77777777" w:rsidR="00F94546" w:rsidRPr="004676F5" w:rsidRDefault="00F94546" w:rsidP="00F94546">
      <w:pPr>
        <w:jc w:val="both"/>
        <w:rPr>
          <w:lang w:val="de-DE"/>
        </w:rPr>
      </w:pPr>
    </w:p>
    <w:p w14:paraId="6D2EE3F4" w14:textId="77777777" w:rsidR="00F94546" w:rsidRPr="004676F5" w:rsidRDefault="00F94546" w:rsidP="00F94546">
      <w:pPr>
        <w:jc w:val="both"/>
        <w:rPr>
          <w:lang w:val="de-DE"/>
        </w:rPr>
      </w:pPr>
    </w:p>
    <w:p w14:paraId="3AEBFD0E" w14:textId="76E95FDB" w:rsidR="00F94546" w:rsidRPr="004676F5" w:rsidRDefault="00BE0A56" w:rsidP="00F94546">
      <w:pPr>
        <w:ind w:firstLine="708"/>
        <w:jc w:val="both"/>
        <w:rPr>
          <w:lang w:val="de-DE"/>
        </w:rPr>
      </w:pPr>
      <w:r w:rsidRPr="004676F5">
        <w:rPr>
          <w:b/>
          <w:lang w:val="de-DE"/>
        </w:rPr>
        <w:t>Art. </w:t>
      </w:r>
      <w:r w:rsidR="00F94546" w:rsidRPr="004676F5">
        <w:rPr>
          <w:b/>
          <w:lang w:val="de-DE"/>
        </w:rPr>
        <w:t>II.3</w:t>
      </w:r>
      <w:r w:rsidR="00F94546" w:rsidRPr="004676F5">
        <w:rPr>
          <w:lang w:val="de-DE"/>
        </w:rPr>
        <w:t> </w:t>
      </w:r>
      <w:r w:rsidR="005B7A5C" w:rsidRPr="004676F5">
        <w:rPr>
          <w:lang w:val="de-DE"/>
        </w:rPr>
        <w:t>- </w:t>
      </w:r>
      <w:r w:rsidR="00F94546" w:rsidRPr="004676F5">
        <w:rPr>
          <w:lang w:val="de-DE"/>
        </w:rPr>
        <w:t>Ein jeder ist frei, die wirtschaftliche Tätigkeit seiner Wahl auszuüben.</w:t>
      </w:r>
    </w:p>
    <w:p w14:paraId="0A57CDD8" w14:textId="77777777" w:rsidR="00F94546" w:rsidRPr="004676F5" w:rsidRDefault="00F94546" w:rsidP="00F94546">
      <w:pPr>
        <w:ind w:firstLine="708"/>
        <w:jc w:val="both"/>
        <w:rPr>
          <w:lang w:val="de-DE"/>
        </w:rPr>
      </w:pPr>
    </w:p>
    <w:p w14:paraId="65807D15" w14:textId="77777777" w:rsidR="00F94546" w:rsidRPr="004676F5" w:rsidRDefault="00F94546" w:rsidP="00F94546">
      <w:pPr>
        <w:ind w:firstLine="708"/>
        <w:jc w:val="both"/>
        <w:rPr>
          <w:lang w:val="de-DE"/>
        </w:rPr>
      </w:pPr>
    </w:p>
    <w:p w14:paraId="0D4B6F84" w14:textId="4DAFD724" w:rsidR="00F94546" w:rsidRPr="004676F5" w:rsidRDefault="00BE0A56" w:rsidP="00F94546">
      <w:pPr>
        <w:ind w:firstLine="708"/>
        <w:jc w:val="both"/>
        <w:rPr>
          <w:lang w:val="de-DE"/>
        </w:rPr>
      </w:pPr>
      <w:r w:rsidRPr="004676F5">
        <w:rPr>
          <w:b/>
          <w:lang w:val="de-DE"/>
        </w:rPr>
        <w:t>Art. </w:t>
      </w:r>
      <w:r w:rsidR="00F94546" w:rsidRPr="004676F5">
        <w:rPr>
          <w:b/>
          <w:lang w:val="de-DE"/>
        </w:rPr>
        <w:t>II.4</w:t>
      </w:r>
      <w:r w:rsidR="00F94546" w:rsidRPr="004676F5">
        <w:rPr>
          <w:lang w:val="de-DE"/>
        </w:rPr>
        <w:t> </w:t>
      </w:r>
      <w:r w:rsidR="005B7A5C" w:rsidRPr="004676F5">
        <w:rPr>
          <w:lang w:val="de-DE"/>
        </w:rPr>
        <w:t>- </w:t>
      </w:r>
      <w:r w:rsidR="00F94546" w:rsidRPr="004676F5">
        <w:rPr>
          <w:lang w:val="de-DE"/>
        </w:rPr>
        <w:t>Unternehmensfreiheit wird unter Achtung der in Belgien geltenden internationalen Verträge, des allgemeinen rechtlichen Rahmens der Wirtschaftsunion und der Währungseinheit, so wie er durch oder aufgrund der internationalen Verträge und des Gesetzes festgelegt ist, der Gesetze im Bereich der öffentlichen Ordnung und der Sittlichkeit und der bindenden Rechtsbestimmungen ausgeübt.</w:t>
      </w:r>
    </w:p>
    <w:p w14:paraId="2201C91C" w14:textId="77777777" w:rsidR="00F94546" w:rsidRPr="004676F5" w:rsidRDefault="00F94546" w:rsidP="00F94546">
      <w:pPr>
        <w:jc w:val="both"/>
        <w:rPr>
          <w:lang w:val="de-DE"/>
        </w:rPr>
      </w:pPr>
    </w:p>
    <w:p w14:paraId="398D0CD1" w14:textId="77777777" w:rsidR="005E6F74" w:rsidRPr="004676F5" w:rsidRDefault="005E6F74" w:rsidP="00F94546">
      <w:pPr>
        <w:jc w:val="center"/>
        <w:rPr>
          <w:b/>
          <w:lang w:val="de-DE"/>
        </w:rPr>
      </w:pPr>
    </w:p>
    <w:p w14:paraId="73317900" w14:textId="5FACDF98" w:rsidR="00F6427E" w:rsidRPr="004676F5" w:rsidRDefault="00B95783" w:rsidP="005E6F74">
      <w:pPr>
        <w:jc w:val="center"/>
        <w:rPr>
          <w:lang w:val="de-DE"/>
        </w:rPr>
      </w:pPr>
      <w:r w:rsidRPr="004676F5">
        <w:rPr>
          <w:lang w:val="de-DE"/>
        </w:rPr>
        <w:t>[</w:t>
      </w:r>
      <w:r w:rsidRPr="004676F5">
        <w:rPr>
          <w:b/>
          <w:lang w:val="de-DE"/>
        </w:rPr>
        <w:t>TITEL 4 </w:t>
      </w:r>
      <w:r w:rsidR="005B7A5C" w:rsidRPr="004676F5">
        <w:rPr>
          <w:b/>
          <w:lang w:val="de-DE"/>
        </w:rPr>
        <w:t>- </w:t>
      </w:r>
      <w:r w:rsidRPr="004676F5">
        <w:rPr>
          <w:b/>
          <w:i/>
          <w:lang w:val="de-DE"/>
        </w:rPr>
        <w:t>Konsultierung</w:t>
      </w:r>
      <w:r w:rsidRPr="004676F5">
        <w:rPr>
          <w:lang w:val="de-DE"/>
        </w:rPr>
        <w:t>]</w:t>
      </w:r>
    </w:p>
    <w:p w14:paraId="4BFBF55A" w14:textId="77777777" w:rsidR="00B95783" w:rsidRPr="004676F5" w:rsidRDefault="00B95783" w:rsidP="005E6F74">
      <w:pPr>
        <w:jc w:val="center"/>
        <w:rPr>
          <w:lang w:val="de-DE"/>
        </w:rPr>
      </w:pPr>
    </w:p>
    <w:p w14:paraId="1C005D62" w14:textId="384C22A1" w:rsidR="00B95783" w:rsidRPr="004676F5" w:rsidRDefault="00B95783" w:rsidP="00B95783">
      <w:pPr>
        <w:jc w:val="both"/>
        <w:rPr>
          <w:i/>
          <w:lang w:val="de-DE"/>
        </w:rPr>
      </w:pPr>
      <w:r w:rsidRPr="004676F5">
        <w:rPr>
          <w:i/>
          <w:lang w:val="de-DE"/>
        </w:rPr>
        <w:t xml:space="preserve">[Unterteilung Titel 4 eingefügt durch </w:t>
      </w:r>
      <w:r w:rsidR="00BE0A56" w:rsidRPr="004676F5">
        <w:rPr>
          <w:i/>
          <w:lang w:val="de-DE"/>
        </w:rPr>
        <w:t>Art. </w:t>
      </w:r>
      <w:r w:rsidRPr="004676F5">
        <w:rPr>
          <w:i/>
          <w:lang w:val="de-DE"/>
        </w:rPr>
        <w:t>2 des G. vom 18. April 2017 (B.S. vom 24. April 2017)]</w:t>
      </w:r>
    </w:p>
    <w:p w14:paraId="550B2A5A" w14:textId="77777777" w:rsidR="00B95783" w:rsidRPr="004676F5" w:rsidRDefault="00B95783" w:rsidP="00B95783">
      <w:pPr>
        <w:jc w:val="both"/>
        <w:rPr>
          <w:i/>
          <w:lang w:val="de-DE"/>
        </w:rPr>
      </w:pPr>
    </w:p>
    <w:p w14:paraId="2864AFEA" w14:textId="77777777" w:rsidR="00B95783" w:rsidRPr="004676F5" w:rsidRDefault="00B95783" w:rsidP="00B95783">
      <w:pPr>
        <w:jc w:val="both"/>
        <w:rPr>
          <w:i/>
          <w:lang w:val="de-DE"/>
        </w:rPr>
      </w:pPr>
    </w:p>
    <w:p w14:paraId="39BD6918" w14:textId="62E2927F" w:rsidR="00B95783" w:rsidRPr="004676F5" w:rsidRDefault="00B95783" w:rsidP="00B95783">
      <w:pPr>
        <w:jc w:val="both"/>
        <w:rPr>
          <w:rFonts w:eastAsiaTheme="minorHAnsi"/>
          <w:lang w:val="de-DE"/>
        </w:rPr>
      </w:pPr>
      <w:r w:rsidRPr="004676F5">
        <w:rPr>
          <w:lang w:val="de-DE"/>
        </w:rPr>
        <w:tab/>
        <w:t>[</w:t>
      </w:r>
      <w:r w:rsidR="00BE0A56" w:rsidRPr="004676F5">
        <w:rPr>
          <w:b/>
          <w:lang w:val="de-DE"/>
        </w:rPr>
        <w:t>Art. </w:t>
      </w:r>
      <w:r w:rsidRPr="004676F5">
        <w:rPr>
          <w:b/>
          <w:lang w:val="de-DE"/>
        </w:rPr>
        <w:t>II.5</w:t>
      </w:r>
      <w:r w:rsidRPr="004676F5">
        <w:rPr>
          <w:lang w:val="de-DE"/>
        </w:rPr>
        <w:t> </w:t>
      </w:r>
      <w:r w:rsidR="005B7A5C" w:rsidRPr="004676F5">
        <w:rPr>
          <w:lang w:val="de-DE"/>
        </w:rPr>
        <w:t>- </w:t>
      </w:r>
      <w:r w:rsidRPr="004676F5">
        <w:rPr>
          <w:lang w:val="de-DE"/>
        </w:rPr>
        <w:t>Für Erlasse, die eine einfache Umsetzung von Harmonisierungsmaßnahmen auf europäischer Ebene sind, ist die durch vorliegendes Gesetzbuch vorgesehene Konsultierung der Begutachtungsorgane nicht Pflicht; diese Erlasse werden diesen Begutachtungsorganen jedoch zur Kenntnisnahme übermittelt.</w:t>
      </w:r>
    </w:p>
    <w:p w14:paraId="32758354" w14:textId="77777777" w:rsidR="00B95783" w:rsidRPr="004676F5" w:rsidRDefault="00B95783" w:rsidP="00B95783">
      <w:pPr>
        <w:jc w:val="both"/>
        <w:rPr>
          <w:rFonts w:eastAsiaTheme="minorHAnsi"/>
          <w:lang w:val="de-DE" w:eastAsia="en-US"/>
        </w:rPr>
      </w:pPr>
    </w:p>
    <w:p w14:paraId="613BFD8A" w14:textId="77777777" w:rsidR="00B95783" w:rsidRPr="004676F5" w:rsidRDefault="00B95783" w:rsidP="00B95783">
      <w:pPr>
        <w:jc w:val="both"/>
        <w:rPr>
          <w:lang w:val="de-DE"/>
        </w:rPr>
      </w:pPr>
      <w:r w:rsidRPr="004676F5">
        <w:rPr>
          <w:lang w:val="de-DE"/>
        </w:rPr>
        <w:tab/>
        <w:t>Entwürfe von Erlassen, die den von der Maßnahme vorgesehenen politischen Spielraum ausfüllen oder Elemente enthalten, die über die Umsetzung der Maßnahme als solche hinausgehen, müssen jedoch wohl zur Begutachtung vorgelegt werden.]</w:t>
      </w:r>
    </w:p>
    <w:p w14:paraId="557A70AC" w14:textId="77777777" w:rsidR="00B95783" w:rsidRPr="004676F5" w:rsidRDefault="00B95783" w:rsidP="00B95783">
      <w:pPr>
        <w:jc w:val="both"/>
        <w:rPr>
          <w:lang w:val="de-DE"/>
        </w:rPr>
      </w:pPr>
    </w:p>
    <w:p w14:paraId="554152A5" w14:textId="1AA07FBA" w:rsidR="00B95783" w:rsidRPr="004676F5" w:rsidRDefault="00B95783" w:rsidP="00B95783">
      <w:pPr>
        <w:jc w:val="both"/>
        <w:rPr>
          <w:i/>
          <w:lang w:val="de-DE"/>
        </w:rPr>
      </w:pPr>
      <w:r w:rsidRPr="004676F5">
        <w:rPr>
          <w:i/>
          <w:lang w:val="de-DE"/>
        </w:rPr>
        <w:t>[</w:t>
      </w:r>
      <w:r w:rsidR="00BE0A56" w:rsidRPr="004676F5">
        <w:rPr>
          <w:i/>
          <w:lang w:val="de-DE"/>
        </w:rPr>
        <w:t>Art. </w:t>
      </w:r>
      <w:r w:rsidRPr="004676F5">
        <w:rPr>
          <w:i/>
          <w:lang w:val="de-DE"/>
        </w:rPr>
        <w:t xml:space="preserve">II.5 eingefügt durch </w:t>
      </w:r>
      <w:r w:rsidR="00BE0A56" w:rsidRPr="004676F5">
        <w:rPr>
          <w:i/>
          <w:lang w:val="de-DE"/>
        </w:rPr>
        <w:t>Art. </w:t>
      </w:r>
      <w:r w:rsidRPr="004676F5">
        <w:rPr>
          <w:i/>
          <w:lang w:val="de-DE"/>
        </w:rPr>
        <w:t>3 des G. vom 18. April 2017 (B.S. vom 24. April 2017)]</w:t>
      </w:r>
    </w:p>
    <w:p w14:paraId="460C6DD1" w14:textId="77777777" w:rsidR="00F6427E" w:rsidRPr="004676F5" w:rsidRDefault="00F6427E">
      <w:pPr>
        <w:rPr>
          <w:lang w:val="de-DE"/>
        </w:rPr>
      </w:pPr>
      <w:r w:rsidRPr="004676F5">
        <w:rPr>
          <w:lang w:val="de-DE"/>
        </w:rPr>
        <w:br w:type="page"/>
      </w:r>
    </w:p>
    <w:p w14:paraId="65DDB7A6" w14:textId="50687D6B" w:rsidR="00F6427E" w:rsidRPr="004676F5" w:rsidRDefault="00F6427E" w:rsidP="00F6427E">
      <w:pPr>
        <w:jc w:val="center"/>
        <w:rPr>
          <w:b/>
          <w:lang w:val="de-DE"/>
        </w:rPr>
      </w:pPr>
      <w:r w:rsidRPr="004676F5">
        <w:rPr>
          <w:lang w:val="de-DE"/>
        </w:rPr>
        <w:lastRenderedPageBreak/>
        <w:t>[</w:t>
      </w:r>
      <w:r w:rsidRPr="004676F5">
        <w:rPr>
          <w:b/>
          <w:lang w:val="de-DE"/>
        </w:rPr>
        <w:t>BUCH III </w:t>
      </w:r>
      <w:r w:rsidR="005B7A5C" w:rsidRPr="004676F5">
        <w:rPr>
          <w:b/>
          <w:lang w:val="de-DE"/>
        </w:rPr>
        <w:t>- </w:t>
      </w:r>
      <w:r w:rsidRPr="004676F5">
        <w:rPr>
          <w:b/>
          <w:lang w:val="de-DE"/>
        </w:rPr>
        <w:t>NIEDERLASSUNGS</w:t>
      </w:r>
      <w:r w:rsidR="005B7A5C" w:rsidRPr="004676F5">
        <w:rPr>
          <w:b/>
          <w:lang w:val="de-DE"/>
        </w:rPr>
        <w:t>- </w:t>
      </w:r>
      <w:r w:rsidRPr="004676F5">
        <w:rPr>
          <w:b/>
          <w:lang w:val="de-DE"/>
        </w:rPr>
        <w:t>UND DIENSTLEISTUNGSFREIHEIT UND ALLGEMEINE VERPFLICHTUNGEN DER UNTERNEHMEN</w:t>
      </w:r>
    </w:p>
    <w:p w14:paraId="05DB5B83" w14:textId="77777777" w:rsidR="00F6427E" w:rsidRPr="004676F5" w:rsidRDefault="00F6427E" w:rsidP="00F6427E">
      <w:pPr>
        <w:jc w:val="center"/>
        <w:rPr>
          <w:b/>
          <w:lang w:val="de-DE"/>
        </w:rPr>
      </w:pPr>
    </w:p>
    <w:p w14:paraId="4B525BE6" w14:textId="259879B5" w:rsidR="00F6427E" w:rsidRPr="004676F5" w:rsidRDefault="00F6427E" w:rsidP="00F6427E">
      <w:pPr>
        <w:jc w:val="both"/>
        <w:rPr>
          <w:i/>
          <w:lang w:val="de-DE"/>
        </w:rPr>
      </w:pPr>
      <w:r w:rsidRPr="004676F5">
        <w:rPr>
          <w:i/>
          <w:lang w:val="de-DE"/>
        </w:rPr>
        <w:t xml:space="preserve">[Buch III mit den Titeln 1 bis </w:t>
      </w:r>
      <w:r w:rsidR="00D068E9" w:rsidRPr="004676F5">
        <w:rPr>
          <w:i/>
          <w:lang w:val="de-DE"/>
        </w:rPr>
        <w:t>3 und den</w:t>
      </w:r>
      <w:r w:rsidRPr="004676F5">
        <w:rPr>
          <w:i/>
          <w:lang w:val="de-DE"/>
        </w:rPr>
        <w:t xml:space="preserve"> Artikeln </w:t>
      </w:r>
      <w:r w:rsidR="00D068E9" w:rsidRPr="004676F5">
        <w:rPr>
          <w:i/>
          <w:lang w:val="de-DE"/>
        </w:rPr>
        <w:t>II</w:t>
      </w:r>
      <w:r w:rsidRPr="004676F5">
        <w:rPr>
          <w:i/>
          <w:lang w:val="de-DE"/>
        </w:rPr>
        <w:t>I.</w:t>
      </w:r>
      <w:r w:rsidR="00D068E9" w:rsidRPr="004676F5">
        <w:rPr>
          <w:i/>
          <w:lang w:val="de-DE"/>
        </w:rPr>
        <w:t>1</w:t>
      </w:r>
      <w:r w:rsidRPr="004676F5">
        <w:rPr>
          <w:i/>
          <w:lang w:val="de-DE"/>
        </w:rPr>
        <w:t xml:space="preserve"> bis I</w:t>
      </w:r>
      <w:r w:rsidR="00D068E9" w:rsidRPr="004676F5">
        <w:rPr>
          <w:i/>
          <w:lang w:val="de-DE"/>
        </w:rPr>
        <w:t>II</w:t>
      </w:r>
      <w:r w:rsidRPr="004676F5">
        <w:rPr>
          <w:i/>
          <w:lang w:val="de-DE"/>
        </w:rPr>
        <w:t>.</w:t>
      </w:r>
      <w:r w:rsidR="00D068E9" w:rsidRPr="004676F5">
        <w:rPr>
          <w:i/>
          <w:lang w:val="de-DE"/>
        </w:rPr>
        <w:t>9</w:t>
      </w:r>
      <w:r w:rsidRPr="004676F5">
        <w:rPr>
          <w:i/>
          <w:lang w:val="de-DE"/>
        </w:rPr>
        <w:t xml:space="preserve">5 eingefügt durch </w:t>
      </w:r>
      <w:r w:rsidR="00BE0A56" w:rsidRPr="004676F5">
        <w:rPr>
          <w:i/>
          <w:lang w:val="de-DE"/>
        </w:rPr>
        <w:t>Art. </w:t>
      </w:r>
      <w:r w:rsidR="00D068E9" w:rsidRPr="004676F5">
        <w:rPr>
          <w:i/>
          <w:lang w:val="de-DE"/>
        </w:rPr>
        <w:t>4</w:t>
      </w:r>
      <w:r w:rsidRPr="004676F5">
        <w:rPr>
          <w:i/>
          <w:lang w:val="de-DE"/>
        </w:rPr>
        <w:t xml:space="preserve"> des G. vom 17. Juli 2013 (B.S. vom 14. August 2013)]</w:t>
      </w:r>
    </w:p>
    <w:p w14:paraId="319C5FF2" w14:textId="77777777" w:rsidR="00F6427E" w:rsidRPr="004676F5" w:rsidRDefault="00F6427E" w:rsidP="00F6427E">
      <w:pPr>
        <w:jc w:val="center"/>
        <w:rPr>
          <w:b/>
          <w:lang w:val="de-DE"/>
        </w:rPr>
      </w:pPr>
    </w:p>
    <w:p w14:paraId="57199523" w14:textId="77777777" w:rsidR="00F6427E" w:rsidRPr="004676F5" w:rsidRDefault="00F6427E" w:rsidP="00F6427E">
      <w:pPr>
        <w:jc w:val="center"/>
        <w:rPr>
          <w:b/>
          <w:lang w:val="de-DE"/>
        </w:rPr>
      </w:pPr>
    </w:p>
    <w:p w14:paraId="0B7B51D6" w14:textId="4BB258E4" w:rsidR="00F6427E" w:rsidRPr="004676F5" w:rsidRDefault="00F6427E" w:rsidP="00F6427E">
      <w:pPr>
        <w:jc w:val="center"/>
        <w:rPr>
          <w:lang w:val="de-DE"/>
        </w:rPr>
      </w:pPr>
      <w:r w:rsidRPr="004676F5">
        <w:rPr>
          <w:b/>
          <w:lang w:val="de-DE"/>
        </w:rPr>
        <w:t>TITEL 1 </w:t>
      </w:r>
      <w:r w:rsidR="005B7A5C" w:rsidRPr="004676F5">
        <w:rPr>
          <w:b/>
          <w:lang w:val="de-DE"/>
        </w:rPr>
        <w:t>- </w:t>
      </w:r>
      <w:r w:rsidRPr="004676F5">
        <w:rPr>
          <w:b/>
          <w:i/>
          <w:lang w:val="de-DE"/>
        </w:rPr>
        <w:t>Niederlassungs</w:t>
      </w:r>
      <w:r w:rsidR="005B7A5C" w:rsidRPr="004676F5">
        <w:rPr>
          <w:b/>
          <w:i/>
          <w:lang w:val="de-DE"/>
        </w:rPr>
        <w:t>- </w:t>
      </w:r>
      <w:r w:rsidRPr="004676F5">
        <w:rPr>
          <w:b/>
          <w:i/>
          <w:lang w:val="de-DE"/>
        </w:rPr>
        <w:t>und Dienstleistungsfreiheit</w:t>
      </w:r>
    </w:p>
    <w:p w14:paraId="14FF245C" w14:textId="77777777" w:rsidR="00F6427E" w:rsidRPr="004676F5" w:rsidRDefault="00F6427E" w:rsidP="00F6427E">
      <w:pPr>
        <w:jc w:val="center"/>
        <w:rPr>
          <w:lang w:val="de-DE"/>
        </w:rPr>
      </w:pPr>
    </w:p>
    <w:p w14:paraId="1B2297F2" w14:textId="77777777" w:rsidR="00D068E9" w:rsidRPr="004676F5" w:rsidRDefault="00D068E9" w:rsidP="00F6427E">
      <w:pPr>
        <w:jc w:val="center"/>
        <w:rPr>
          <w:lang w:val="de-DE"/>
        </w:rPr>
      </w:pPr>
    </w:p>
    <w:p w14:paraId="192BCD13" w14:textId="3AE2BA7D" w:rsidR="00F6427E" w:rsidRPr="004676F5" w:rsidRDefault="00F6427E" w:rsidP="00F6427E">
      <w:pPr>
        <w:jc w:val="center"/>
        <w:rPr>
          <w:lang w:val="de-DE"/>
        </w:rPr>
      </w:pPr>
      <w:r w:rsidRPr="004676F5">
        <w:rPr>
          <w:lang w:val="de-DE"/>
        </w:rPr>
        <w:t>KAPITEL 1 </w:t>
      </w:r>
      <w:r w:rsidR="005B7A5C" w:rsidRPr="004676F5">
        <w:rPr>
          <w:lang w:val="de-DE"/>
        </w:rPr>
        <w:t>- </w:t>
      </w:r>
      <w:r w:rsidRPr="004676F5">
        <w:rPr>
          <w:i/>
          <w:lang w:val="de-DE"/>
        </w:rPr>
        <w:t>Anwendungsbereich</w:t>
      </w:r>
    </w:p>
    <w:p w14:paraId="4067012F" w14:textId="77777777" w:rsidR="00F6427E" w:rsidRPr="004676F5" w:rsidRDefault="00F6427E" w:rsidP="00F6427E">
      <w:pPr>
        <w:jc w:val="both"/>
        <w:rPr>
          <w:lang w:val="de-DE"/>
        </w:rPr>
      </w:pPr>
    </w:p>
    <w:p w14:paraId="4AA53327" w14:textId="77777777" w:rsidR="00D068E9" w:rsidRPr="004676F5" w:rsidRDefault="00D068E9" w:rsidP="00F6427E">
      <w:pPr>
        <w:jc w:val="both"/>
        <w:rPr>
          <w:lang w:val="de-DE"/>
        </w:rPr>
      </w:pPr>
    </w:p>
    <w:p w14:paraId="3EA83928" w14:textId="5F82CCC5"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Vorliegender Titel setzt die Bestimmungen der Richt</w:t>
      </w:r>
      <w:r w:rsidRPr="004676F5">
        <w:rPr>
          <w:lang w:val="de-DE"/>
        </w:rPr>
        <w:softHyphen/>
        <w:t>linie 2006/123/EG des Europäischen Parlaments und des Rates vom 12. Dezember 2006 über Dienstleistungen im Binnenmarkt teilweise um.</w:t>
      </w:r>
    </w:p>
    <w:p w14:paraId="56A59324" w14:textId="77777777" w:rsidR="00F6427E" w:rsidRPr="004676F5" w:rsidRDefault="00F6427E" w:rsidP="00F6427E">
      <w:pPr>
        <w:jc w:val="both"/>
        <w:rPr>
          <w:lang w:val="de-DE"/>
        </w:rPr>
      </w:pPr>
    </w:p>
    <w:p w14:paraId="290A9D3A" w14:textId="08DD1472"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Unbeschadet der Zuständigkeit der Gemeinschaften und Regionen gilt vorliegender Titel für Dienstleistungen, mit Ausnahme von:</w:t>
      </w:r>
    </w:p>
    <w:p w14:paraId="173E890C" w14:textId="77777777" w:rsidR="00F6427E" w:rsidRPr="004676F5" w:rsidRDefault="00F6427E" w:rsidP="00F6427E">
      <w:pPr>
        <w:jc w:val="both"/>
        <w:rPr>
          <w:lang w:val="de-DE"/>
        </w:rPr>
      </w:pPr>
    </w:p>
    <w:p w14:paraId="551C5611" w14:textId="77777777" w:rsidR="00F6427E" w:rsidRPr="004676F5" w:rsidRDefault="00F6427E" w:rsidP="00F6427E">
      <w:pPr>
        <w:jc w:val="both"/>
        <w:rPr>
          <w:lang w:val="de-DE"/>
        </w:rPr>
      </w:pPr>
      <w:r w:rsidRPr="004676F5">
        <w:rPr>
          <w:lang w:val="de-DE"/>
        </w:rPr>
        <w:tab/>
        <w:t>1. nicht-wirtschaftlichen Dienstleistungen von allgemeinem Interesse einschließlich der sozialen Dienstleistungen, die nicht in Nr. 11 erwähnt sind,</w:t>
      </w:r>
    </w:p>
    <w:p w14:paraId="3B1EB9AB" w14:textId="77777777" w:rsidR="00F6427E" w:rsidRPr="004676F5" w:rsidRDefault="00F6427E" w:rsidP="00F6427E">
      <w:pPr>
        <w:jc w:val="both"/>
        <w:rPr>
          <w:lang w:val="de-DE"/>
        </w:rPr>
      </w:pPr>
    </w:p>
    <w:p w14:paraId="24C5B9C0" w14:textId="77777777" w:rsidR="00F6427E" w:rsidRPr="004676F5" w:rsidRDefault="00F6427E" w:rsidP="00F6427E">
      <w:pPr>
        <w:jc w:val="both"/>
        <w:rPr>
          <w:lang w:val="de-DE"/>
        </w:rPr>
      </w:pPr>
      <w:r w:rsidRPr="004676F5">
        <w:rPr>
          <w:lang w:val="de-DE"/>
        </w:rPr>
        <w:tab/>
        <w:t>2. Finanzdienstleistungen,</w:t>
      </w:r>
    </w:p>
    <w:p w14:paraId="5073D26A" w14:textId="77777777" w:rsidR="00F6427E" w:rsidRPr="004676F5" w:rsidRDefault="00F6427E" w:rsidP="00F6427E">
      <w:pPr>
        <w:jc w:val="both"/>
        <w:rPr>
          <w:lang w:val="de-DE"/>
        </w:rPr>
      </w:pPr>
    </w:p>
    <w:p w14:paraId="065C1A48" w14:textId="77777777" w:rsidR="00F6427E" w:rsidRPr="004676F5" w:rsidRDefault="00F6427E" w:rsidP="00F6427E">
      <w:pPr>
        <w:jc w:val="both"/>
        <w:rPr>
          <w:lang w:val="de-DE"/>
        </w:rPr>
      </w:pPr>
      <w:r w:rsidRPr="004676F5">
        <w:rPr>
          <w:lang w:val="de-DE"/>
        </w:rPr>
        <w:tab/>
        <w:t>3. Dienstleistungen und Netzen der elektronischen Kommunikation und zugehörigen Einrichtungen und Diensten in den Bereichen, die im Gesetz vom 13. Juni 2005 über die elektronische Kommunikation geregelt sind,</w:t>
      </w:r>
    </w:p>
    <w:p w14:paraId="1668F39B" w14:textId="77777777" w:rsidR="00F6427E" w:rsidRPr="004676F5" w:rsidRDefault="00F6427E" w:rsidP="00F6427E">
      <w:pPr>
        <w:jc w:val="both"/>
        <w:rPr>
          <w:lang w:val="de-DE"/>
        </w:rPr>
      </w:pPr>
    </w:p>
    <w:p w14:paraId="535644AB" w14:textId="77777777" w:rsidR="00F6427E" w:rsidRPr="004676F5" w:rsidRDefault="00F6427E" w:rsidP="00F6427E">
      <w:pPr>
        <w:jc w:val="both"/>
        <w:rPr>
          <w:lang w:val="de-DE"/>
        </w:rPr>
      </w:pPr>
      <w:r w:rsidRPr="004676F5">
        <w:rPr>
          <w:lang w:val="de-DE"/>
        </w:rPr>
        <w:tab/>
        <w:t>4. Verkehrsdienstleistungen einschließlich Hafendiensten, die in den Anwendungs</w:t>
      </w:r>
      <w:r w:rsidRPr="004676F5">
        <w:rPr>
          <w:lang w:val="de-DE"/>
        </w:rPr>
        <w:softHyphen/>
        <w:t>bereich von Titel VI AEUV fallen,</w:t>
      </w:r>
    </w:p>
    <w:p w14:paraId="2F953947" w14:textId="77777777" w:rsidR="00F6427E" w:rsidRPr="004676F5" w:rsidRDefault="00F6427E" w:rsidP="00F6427E">
      <w:pPr>
        <w:jc w:val="both"/>
        <w:rPr>
          <w:lang w:val="de-DE"/>
        </w:rPr>
      </w:pPr>
    </w:p>
    <w:p w14:paraId="0AC31484" w14:textId="77777777" w:rsidR="00F6427E" w:rsidRPr="004676F5" w:rsidRDefault="00F6427E" w:rsidP="00F6427E">
      <w:pPr>
        <w:jc w:val="both"/>
        <w:rPr>
          <w:lang w:val="de-DE"/>
        </w:rPr>
      </w:pPr>
      <w:r w:rsidRPr="004676F5">
        <w:rPr>
          <w:lang w:val="de-DE"/>
        </w:rPr>
        <w:tab/>
        <w:t>5. Tätigkeiten der durch Beschluss der Behörde bestellten Notare,</w:t>
      </w:r>
    </w:p>
    <w:p w14:paraId="78F6B682" w14:textId="77777777" w:rsidR="00F6427E" w:rsidRPr="004676F5" w:rsidRDefault="00F6427E" w:rsidP="00F6427E">
      <w:pPr>
        <w:jc w:val="both"/>
        <w:rPr>
          <w:lang w:val="de-DE"/>
        </w:rPr>
      </w:pPr>
    </w:p>
    <w:p w14:paraId="2BC4A006" w14:textId="77777777" w:rsidR="00F6427E" w:rsidRPr="004676F5" w:rsidRDefault="00F6427E" w:rsidP="00F6427E">
      <w:pPr>
        <w:jc w:val="both"/>
        <w:rPr>
          <w:lang w:val="de-DE"/>
        </w:rPr>
      </w:pPr>
      <w:r w:rsidRPr="004676F5">
        <w:rPr>
          <w:lang w:val="de-DE"/>
        </w:rPr>
        <w:tab/>
        <w:t>6. Tätigkeiten der durch Beschluss der Behörde bestellten Gerichtsvollzieher,</w:t>
      </w:r>
    </w:p>
    <w:p w14:paraId="313BD754" w14:textId="77777777" w:rsidR="00F6427E" w:rsidRPr="004676F5" w:rsidRDefault="00F6427E" w:rsidP="00F6427E">
      <w:pPr>
        <w:jc w:val="both"/>
        <w:rPr>
          <w:lang w:val="de-DE"/>
        </w:rPr>
      </w:pPr>
    </w:p>
    <w:p w14:paraId="5FC0807D" w14:textId="77777777" w:rsidR="00F6427E" w:rsidRPr="004676F5" w:rsidRDefault="00F6427E" w:rsidP="00F6427E">
      <w:pPr>
        <w:jc w:val="both"/>
        <w:rPr>
          <w:lang w:val="de-DE"/>
        </w:rPr>
      </w:pPr>
      <w:r w:rsidRPr="004676F5">
        <w:rPr>
          <w:lang w:val="de-DE"/>
        </w:rPr>
        <w:tab/>
        <w:t>7. Dienstleistungen von Leiharbeitsagenturen,</w:t>
      </w:r>
    </w:p>
    <w:p w14:paraId="770E267B" w14:textId="77777777" w:rsidR="00F6427E" w:rsidRPr="004676F5" w:rsidRDefault="00F6427E" w:rsidP="00F6427E">
      <w:pPr>
        <w:jc w:val="both"/>
        <w:rPr>
          <w:lang w:val="de-DE"/>
        </w:rPr>
      </w:pPr>
    </w:p>
    <w:p w14:paraId="74E72C2D" w14:textId="77777777" w:rsidR="00F6427E" w:rsidRPr="004676F5" w:rsidRDefault="00F6427E" w:rsidP="00F6427E">
      <w:pPr>
        <w:jc w:val="both"/>
        <w:rPr>
          <w:lang w:val="de-DE"/>
        </w:rPr>
      </w:pPr>
      <w:r w:rsidRPr="004676F5">
        <w:rPr>
          <w:lang w:val="de-DE"/>
        </w:rPr>
        <w:tab/>
        <w:t>8. Gesundheitsdienstleistungen, unabhängig davon, ob sie durch Einrichtungen der Gesundheitsversorgung erbracht werden, und unabhängig davon, wie sie organisiert sind und finanziert werden und ob es sich um öffentliche oder private Dienstleistungen handelt,</w:t>
      </w:r>
    </w:p>
    <w:p w14:paraId="63969EF9" w14:textId="77777777" w:rsidR="00F6427E" w:rsidRPr="004676F5" w:rsidRDefault="00F6427E" w:rsidP="00F6427E">
      <w:pPr>
        <w:jc w:val="both"/>
        <w:rPr>
          <w:lang w:val="de-DE"/>
        </w:rPr>
      </w:pPr>
    </w:p>
    <w:p w14:paraId="245DB490" w14:textId="77777777" w:rsidR="00F6427E" w:rsidRPr="004676F5" w:rsidRDefault="00F6427E" w:rsidP="00F6427E">
      <w:pPr>
        <w:jc w:val="both"/>
        <w:rPr>
          <w:lang w:val="de-DE"/>
        </w:rPr>
      </w:pPr>
      <w:r w:rsidRPr="004676F5">
        <w:rPr>
          <w:lang w:val="de-DE"/>
        </w:rPr>
        <w:tab/>
        <w:t>9. Gewinnspielen mit einem einen Geldwert darstellenden Einsatz bei Glücksspielen, einschließlich Lotterien, Glücksspielen in Spielkasinos und Wetten,</w:t>
      </w:r>
    </w:p>
    <w:p w14:paraId="39E4C6B0" w14:textId="77777777" w:rsidR="00F6427E" w:rsidRPr="004676F5" w:rsidRDefault="00F6427E" w:rsidP="00F6427E">
      <w:pPr>
        <w:jc w:val="both"/>
        <w:rPr>
          <w:lang w:val="de-DE"/>
        </w:rPr>
      </w:pPr>
    </w:p>
    <w:p w14:paraId="18A727A1" w14:textId="77777777" w:rsidR="00F6427E" w:rsidRPr="004676F5" w:rsidRDefault="00F6427E" w:rsidP="00F6427E">
      <w:pPr>
        <w:jc w:val="both"/>
        <w:rPr>
          <w:lang w:val="de-DE"/>
        </w:rPr>
      </w:pPr>
      <w:r w:rsidRPr="004676F5">
        <w:rPr>
          <w:lang w:val="de-DE"/>
        </w:rPr>
        <w:tab/>
        <w:t>10. Tätigkeiten, die im Sinne des Artikels 51 AEUV mit der Ausübung öffentlicher Gewalt verbunden sind,</w:t>
      </w:r>
    </w:p>
    <w:p w14:paraId="5FA80F39" w14:textId="77777777" w:rsidR="00F6427E" w:rsidRPr="004676F5" w:rsidRDefault="00F6427E" w:rsidP="00F6427E">
      <w:pPr>
        <w:jc w:val="both"/>
        <w:rPr>
          <w:lang w:val="de-DE"/>
        </w:rPr>
      </w:pPr>
    </w:p>
    <w:p w14:paraId="10DAEB47" w14:textId="77777777" w:rsidR="002E737D" w:rsidRPr="004676F5" w:rsidRDefault="002E737D">
      <w:pPr>
        <w:rPr>
          <w:lang w:val="de-DE"/>
        </w:rPr>
      </w:pPr>
      <w:r w:rsidRPr="004676F5">
        <w:rPr>
          <w:lang w:val="de-DE"/>
        </w:rPr>
        <w:br w:type="page"/>
      </w:r>
    </w:p>
    <w:p w14:paraId="4D5CDF57" w14:textId="2149374B" w:rsidR="00F6427E" w:rsidRPr="004676F5" w:rsidRDefault="00F6427E" w:rsidP="00F6427E">
      <w:pPr>
        <w:jc w:val="both"/>
        <w:rPr>
          <w:lang w:val="de-DE"/>
        </w:rPr>
      </w:pPr>
      <w:r w:rsidRPr="004676F5">
        <w:rPr>
          <w:lang w:val="de-DE"/>
        </w:rPr>
        <w:lastRenderedPageBreak/>
        <w:tab/>
        <w:t>11. sozialen Dienstleistungen im Zusammenhang mit Sozialwohnungen, der Kinderbetreuung und der Unterstützung von Familien und dauerhaft oder vorübergehend hilfsbedürftigen Personen, die direkt oder indirekt vom Föderalstaat erbracht werden, unbeschadet der Möglichkeit, diese sozialen Dienstleistungen als nicht-wirtschaftliche Dienstleistungen von allgemeinem Interesse wie in Nr. 1 erwähnt oder als Dienstleistungen von allgemeinem wirtschaftlichem Interesse zu betrachten,</w:t>
      </w:r>
    </w:p>
    <w:p w14:paraId="7EF0DA14" w14:textId="77777777" w:rsidR="00F6427E" w:rsidRPr="004676F5" w:rsidRDefault="00F6427E" w:rsidP="00F6427E">
      <w:pPr>
        <w:jc w:val="both"/>
        <w:rPr>
          <w:lang w:val="de-DE"/>
        </w:rPr>
      </w:pPr>
    </w:p>
    <w:p w14:paraId="78EB2A6C" w14:textId="77777777" w:rsidR="00F6427E" w:rsidRPr="004676F5" w:rsidRDefault="00F6427E" w:rsidP="00F6427E">
      <w:pPr>
        <w:jc w:val="both"/>
        <w:rPr>
          <w:lang w:val="de-DE"/>
        </w:rPr>
      </w:pPr>
      <w:r w:rsidRPr="004676F5">
        <w:rPr>
          <w:lang w:val="de-DE"/>
        </w:rPr>
        <w:tab/>
        <w:t>12. privaten Sicherheitsdiensten.</w:t>
      </w:r>
    </w:p>
    <w:p w14:paraId="70C7667F" w14:textId="77777777" w:rsidR="00F6427E" w:rsidRPr="004676F5" w:rsidRDefault="00F6427E" w:rsidP="00F6427E">
      <w:pPr>
        <w:jc w:val="both"/>
        <w:rPr>
          <w:lang w:val="de-DE"/>
        </w:rPr>
      </w:pPr>
    </w:p>
    <w:p w14:paraId="2CB3FA51" w14:textId="788549F5" w:rsidR="00F6427E" w:rsidRPr="004676F5" w:rsidRDefault="00F6427E" w:rsidP="00F6427E">
      <w:pPr>
        <w:jc w:val="both"/>
        <w:rPr>
          <w:lang w:val="de-DE"/>
        </w:rPr>
      </w:pPr>
      <w:r w:rsidRPr="004676F5">
        <w:rPr>
          <w:lang w:val="de-DE"/>
        </w:rPr>
        <w:tab/>
        <w:t>§ 2 </w:t>
      </w:r>
      <w:r w:rsidRPr="004676F5">
        <w:rPr>
          <w:i/>
          <w:lang w:val="de-DE"/>
        </w:rPr>
        <w:t>[sic]</w:t>
      </w:r>
      <w:r w:rsidRPr="004676F5">
        <w:rPr>
          <w:lang w:val="de-DE"/>
        </w:rPr>
        <w:t> </w:t>
      </w:r>
      <w:r w:rsidR="005B7A5C" w:rsidRPr="004676F5">
        <w:rPr>
          <w:lang w:val="de-DE"/>
        </w:rPr>
        <w:t>- </w:t>
      </w:r>
      <w:r w:rsidRPr="004676F5">
        <w:rPr>
          <w:lang w:val="de-DE"/>
        </w:rPr>
        <w:t>Vorliegender Titel ist nicht anwendbar auf:</w:t>
      </w:r>
    </w:p>
    <w:p w14:paraId="0F96C9B9" w14:textId="77777777" w:rsidR="00F6427E" w:rsidRPr="004676F5" w:rsidRDefault="00F6427E" w:rsidP="00F6427E">
      <w:pPr>
        <w:jc w:val="both"/>
        <w:rPr>
          <w:lang w:val="de-DE"/>
        </w:rPr>
      </w:pPr>
    </w:p>
    <w:p w14:paraId="26C57EF2" w14:textId="77777777" w:rsidR="00F6427E" w:rsidRPr="004676F5" w:rsidRDefault="00F6427E" w:rsidP="00F6427E">
      <w:pPr>
        <w:jc w:val="both"/>
        <w:rPr>
          <w:lang w:val="de-DE"/>
        </w:rPr>
      </w:pPr>
      <w:r w:rsidRPr="004676F5">
        <w:rPr>
          <w:lang w:val="de-DE"/>
        </w:rPr>
        <w:tab/>
        <w:t>1. den Bereich der Besteuerung,</w:t>
      </w:r>
    </w:p>
    <w:p w14:paraId="01A3E15C" w14:textId="77777777" w:rsidR="00F6427E" w:rsidRPr="004676F5" w:rsidRDefault="00F6427E" w:rsidP="00F6427E">
      <w:pPr>
        <w:jc w:val="both"/>
        <w:rPr>
          <w:lang w:val="de-DE"/>
        </w:rPr>
      </w:pPr>
    </w:p>
    <w:p w14:paraId="070938ED" w14:textId="77777777" w:rsidR="00F6427E" w:rsidRPr="004676F5" w:rsidRDefault="00F6427E" w:rsidP="00F6427E">
      <w:pPr>
        <w:jc w:val="both"/>
        <w:rPr>
          <w:lang w:val="de-DE"/>
        </w:rPr>
      </w:pPr>
      <w:r w:rsidRPr="004676F5">
        <w:rPr>
          <w:lang w:val="de-DE"/>
        </w:rPr>
        <w:tab/>
        <w:t>2. das Arbeitsrecht,</w:t>
      </w:r>
    </w:p>
    <w:p w14:paraId="07D99FEA" w14:textId="77777777" w:rsidR="00F6427E" w:rsidRPr="004676F5" w:rsidRDefault="00F6427E" w:rsidP="00F6427E">
      <w:pPr>
        <w:jc w:val="both"/>
        <w:rPr>
          <w:lang w:val="de-DE"/>
        </w:rPr>
      </w:pPr>
    </w:p>
    <w:p w14:paraId="42D87B62" w14:textId="77777777" w:rsidR="00F6427E" w:rsidRPr="004676F5" w:rsidRDefault="00F6427E" w:rsidP="00F6427E">
      <w:pPr>
        <w:jc w:val="both"/>
        <w:rPr>
          <w:lang w:val="de-DE"/>
        </w:rPr>
      </w:pPr>
      <w:r w:rsidRPr="004676F5">
        <w:rPr>
          <w:lang w:val="de-DE"/>
        </w:rPr>
        <w:tab/>
        <w:t>3. das Sozialsicherheitsrecht.</w:t>
      </w:r>
    </w:p>
    <w:p w14:paraId="0602369C" w14:textId="77777777" w:rsidR="00F6427E" w:rsidRPr="004676F5" w:rsidRDefault="00F6427E" w:rsidP="00F6427E">
      <w:pPr>
        <w:jc w:val="both"/>
        <w:rPr>
          <w:lang w:val="de-DE"/>
        </w:rPr>
      </w:pPr>
    </w:p>
    <w:p w14:paraId="1DF5ABEE" w14:textId="56E4DF7E" w:rsidR="00F6427E" w:rsidRPr="004676F5" w:rsidRDefault="00F6427E" w:rsidP="00F6427E">
      <w:pPr>
        <w:jc w:val="both"/>
        <w:rPr>
          <w:lang w:val="de-DE"/>
        </w:rPr>
      </w:pPr>
      <w:r w:rsidRPr="004676F5">
        <w:rPr>
          <w:lang w:val="de-DE"/>
        </w:rPr>
        <w:tab/>
        <w:t>§ 3 </w:t>
      </w:r>
      <w:r w:rsidR="005B7A5C" w:rsidRPr="004676F5">
        <w:rPr>
          <w:lang w:val="de-DE"/>
        </w:rPr>
        <w:t>- </w:t>
      </w:r>
      <w:r w:rsidRPr="004676F5">
        <w:rPr>
          <w:lang w:val="de-DE"/>
        </w:rPr>
        <w:t>Widersprechen Bestimmungen des vorliegenden Titels Gesetzes</w:t>
      </w:r>
      <w:r w:rsidR="005B7A5C" w:rsidRPr="004676F5">
        <w:rPr>
          <w:lang w:val="de-DE"/>
        </w:rPr>
        <w:t>- </w:t>
      </w:r>
      <w:r w:rsidRPr="004676F5">
        <w:rPr>
          <w:lang w:val="de-DE"/>
        </w:rPr>
        <w:t>und Verordnungsbestimmungen, die der Umsetzung des Gemeinschaftsrechts dienen und die spezifische Aspekte der Aufnahme oder Ausübung einer Dienstleistungstätigkeit in bestimmten Bereichen oder bestimmten Berufen regeln, so haben letztere Bestimmungen Vorrang.</w:t>
      </w:r>
    </w:p>
    <w:p w14:paraId="74D19835" w14:textId="77777777" w:rsidR="00F6427E" w:rsidRPr="004676F5" w:rsidRDefault="00F6427E" w:rsidP="00F6427E">
      <w:pPr>
        <w:jc w:val="both"/>
        <w:rPr>
          <w:lang w:val="de-DE"/>
        </w:rPr>
      </w:pPr>
    </w:p>
    <w:p w14:paraId="27C925C9" w14:textId="77777777" w:rsidR="00F6427E" w:rsidRPr="004676F5" w:rsidRDefault="00F6427E" w:rsidP="00F6427E">
      <w:pPr>
        <w:jc w:val="both"/>
        <w:rPr>
          <w:lang w:val="de-DE"/>
        </w:rPr>
      </w:pPr>
      <w:r w:rsidRPr="004676F5">
        <w:rPr>
          <w:lang w:val="de-DE"/>
        </w:rPr>
        <w:tab/>
        <w:t>Dies gilt insbesondere für:</w:t>
      </w:r>
    </w:p>
    <w:p w14:paraId="6ABB65A9" w14:textId="77777777" w:rsidR="00F6427E" w:rsidRPr="004676F5" w:rsidRDefault="00F6427E" w:rsidP="00F6427E">
      <w:pPr>
        <w:jc w:val="both"/>
        <w:rPr>
          <w:lang w:val="de-DE"/>
        </w:rPr>
      </w:pPr>
    </w:p>
    <w:p w14:paraId="3237F5D6" w14:textId="4247163A" w:rsidR="00F6427E" w:rsidRPr="004676F5" w:rsidRDefault="00F6427E" w:rsidP="00F6427E">
      <w:pPr>
        <w:jc w:val="both"/>
        <w:rPr>
          <w:lang w:val="de-DE"/>
        </w:rPr>
      </w:pPr>
      <w:r w:rsidRPr="004676F5">
        <w:rPr>
          <w:lang w:val="de-DE"/>
        </w:rPr>
        <w:tab/>
        <w:t>1. </w:t>
      </w:r>
      <w:r w:rsidR="00285FF9" w:rsidRPr="004676F5">
        <w:rPr>
          <w:lang w:val="de-DE"/>
        </w:rPr>
        <w:t>[das Gesetz vom 5. März 2002 über die Arbeits-, Entlohnungs</w:t>
      </w:r>
      <w:r w:rsidR="005B7A5C" w:rsidRPr="004676F5">
        <w:rPr>
          <w:lang w:val="de-DE"/>
        </w:rPr>
        <w:t>- </w:t>
      </w:r>
      <w:r w:rsidR="00285FF9" w:rsidRPr="004676F5">
        <w:rPr>
          <w:lang w:val="de-DE"/>
        </w:rPr>
        <w:t>und Beschäftigungsbedingungen bei einer Entsendung von Arbeitnehmern nach Belgien und die Einhaltung dieser Bedingungen,]</w:t>
      </w:r>
    </w:p>
    <w:p w14:paraId="27DEECBC" w14:textId="77777777" w:rsidR="00F6427E" w:rsidRPr="004676F5" w:rsidRDefault="00F6427E" w:rsidP="00F6427E">
      <w:pPr>
        <w:jc w:val="both"/>
        <w:rPr>
          <w:lang w:val="de-DE"/>
        </w:rPr>
      </w:pPr>
    </w:p>
    <w:p w14:paraId="2E2CA18B" w14:textId="7ACB8611" w:rsidR="00F6427E" w:rsidRPr="004676F5" w:rsidRDefault="00F6427E" w:rsidP="00F6427E">
      <w:pPr>
        <w:jc w:val="both"/>
        <w:rPr>
          <w:lang w:val="de-DE"/>
        </w:rPr>
      </w:pPr>
      <w:r w:rsidRPr="004676F5">
        <w:rPr>
          <w:lang w:val="de-DE"/>
        </w:rPr>
        <w:tab/>
        <w:t xml:space="preserve">2. das Gesetz vom 30. März 1995 über die elektronischen Kommunikationsnetze und </w:t>
      </w:r>
      <w:r w:rsidRPr="004676F5">
        <w:rPr>
          <w:lang w:val="de-DE"/>
        </w:rPr>
        <w:noBreakHyphen/>
        <w:t>dienste und über die Ausübung von Rundfunk</w:t>
      </w:r>
      <w:r w:rsidR="005B7A5C" w:rsidRPr="004676F5">
        <w:rPr>
          <w:lang w:val="de-DE"/>
        </w:rPr>
        <w:t>- </w:t>
      </w:r>
      <w:r w:rsidRPr="004676F5">
        <w:rPr>
          <w:lang w:val="de-DE"/>
        </w:rPr>
        <w:t>und Fernsehtätigkeiten im zweisprachigen Gebiet Brüssel-Hauptstadt, soweit es die Richtlinie 89/552/EWG des Rates vom 3. Oktober 1989 zur Koordinierung bestimmter Rechts</w:t>
      </w:r>
      <w:r w:rsidR="005B7A5C" w:rsidRPr="004676F5">
        <w:rPr>
          <w:lang w:val="de-DE"/>
        </w:rPr>
        <w:t>- </w:t>
      </w:r>
      <w:r w:rsidRPr="004676F5">
        <w:rPr>
          <w:lang w:val="de-DE"/>
        </w:rPr>
        <w:t>und Verwaltungsvorschriften der Mitgliedstaaten über die Ausübung der Fernsehtätigkeit umsetzt,</w:t>
      </w:r>
    </w:p>
    <w:p w14:paraId="013E22A6" w14:textId="77777777" w:rsidR="00F6427E" w:rsidRPr="004676F5" w:rsidRDefault="00F6427E" w:rsidP="00F6427E">
      <w:pPr>
        <w:jc w:val="both"/>
        <w:rPr>
          <w:lang w:val="de-DE"/>
        </w:rPr>
      </w:pPr>
    </w:p>
    <w:p w14:paraId="47C3E2EA" w14:textId="77777777" w:rsidR="00F6427E" w:rsidRPr="004676F5" w:rsidRDefault="00F6427E" w:rsidP="00F6427E">
      <w:pPr>
        <w:jc w:val="both"/>
        <w:rPr>
          <w:lang w:val="de-DE"/>
        </w:rPr>
      </w:pPr>
      <w:r w:rsidRPr="004676F5">
        <w:rPr>
          <w:lang w:val="de-DE"/>
        </w:rPr>
        <w:tab/>
        <w:t>3. das Gesetz vom 12. Februar 2008 zur Einführung eines neuen allgemeinen Rahmens für die Anerkennung von EG-Berufsqualifikationen.</w:t>
      </w:r>
    </w:p>
    <w:p w14:paraId="40E51615" w14:textId="77777777" w:rsidR="00F6427E" w:rsidRPr="004676F5" w:rsidRDefault="00F6427E" w:rsidP="00F6427E">
      <w:pPr>
        <w:jc w:val="both"/>
        <w:rPr>
          <w:lang w:val="de-DE"/>
        </w:rPr>
      </w:pPr>
    </w:p>
    <w:p w14:paraId="2F8CF839" w14:textId="6132B05D" w:rsidR="00F6427E" w:rsidRPr="004676F5" w:rsidRDefault="00F6427E" w:rsidP="00F6427E">
      <w:pPr>
        <w:jc w:val="both"/>
        <w:rPr>
          <w:lang w:val="de-DE"/>
        </w:rPr>
      </w:pPr>
      <w:r w:rsidRPr="004676F5">
        <w:rPr>
          <w:lang w:val="de-DE"/>
        </w:rPr>
        <w:tab/>
        <w:t>§ 4 </w:t>
      </w:r>
      <w:r w:rsidR="005B7A5C" w:rsidRPr="004676F5">
        <w:rPr>
          <w:lang w:val="de-DE"/>
        </w:rPr>
        <w:t>- </w:t>
      </w:r>
      <w:r w:rsidRPr="004676F5">
        <w:rPr>
          <w:lang w:val="de-DE"/>
        </w:rPr>
        <w:t>Vorliegender Titel betrifft nicht die Regeln des internationalen Privatrechts, insbesondere die Regeln des auf vertragliche und außervertragliche Schuldverhältnisse anzuwendenden Rechts, einschließlich der Bestimmungen, die sicherstellen, dass Verbraucher durch die im Verbraucherrecht ihres Mitgliedstaats niedergelegten Verbraucherschutzregeln geschützt sind.</w:t>
      </w:r>
    </w:p>
    <w:p w14:paraId="4E1B7F51" w14:textId="77777777" w:rsidR="00F6427E" w:rsidRPr="004676F5" w:rsidRDefault="00F6427E" w:rsidP="00F6427E">
      <w:pPr>
        <w:jc w:val="both"/>
        <w:rPr>
          <w:lang w:val="de-DE"/>
        </w:rPr>
      </w:pPr>
    </w:p>
    <w:p w14:paraId="340520E9" w14:textId="77777777" w:rsidR="00FD4FF3" w:rsidRPr="004676F5" w:rsidRDefault="00FD4FF3">
      <w:pPr>
        <w:rPr>
          <w:lang w:val="de-DE"/>
        </w:rPr>
      </w:pPr>
      <w:r w:rsidRPr="004676F5">
        <w:rPr>
          <w:lang w:val="de-DE"/>
        </w:rPr>
        <w:br w:type="page"/>
      </w:r>
    </w:p>
    <w:p w14:paraId="0FF033C0" w14:textId="7E5A53CA" w:rsidR="00F6427E" w:rsidRPr="004676F5" w:rsidRDefault="00F6427E" w:rsidP="00F6427E">
      <w:pPr>
        <w:jc w:val="both"/>
        <w:rPr>
          <w:lang w:val="de-DE"/>
        </w:rPr>
      </w:pPr>
      <w:r w:rsidRPr="004676F5">
        <w:rPr>
          <w:lang w:val="de-DE"/>
        </w:rPr>
        <w:lastRenderedPageBreak/>
        <w:tab/>
        <w:t>§ 5 </w:t>
      </w:r>
      <w:r w:rsidR="005B7A5C" w:rsidRPr="004676F5">
        <w:rPr>
          <w:lang w:val="de-DE"/>
        </w:rPr>
        <w:t>- </w:t>
      </w:r>
      <w:r w:rsidRPr="004676F5">
        <w:rPr>
          <w:lang w:val="de-DE"/>
        </w:rPr>
        <w:t>Vorliegender Titel und insbesondere seine Bestimmungen über die Kontrolle der Vorschriften zum Schutz personenbezogener Daten werden umgesetzt und angewandt unbeschadet der Vorschriften, die in der Richtlinie 95/46/EG, der Richtlinie 2002/58/EG und dem Gesetz vom 8. Dezember 1992 über den Schutz des Privatlebens hinsichtlich der Verarbeitung personenbezogener Daten vorgesehen sind, und der Vorschriften, die in Bezug auf den Schutz personenbezogener Daten im Gesetz vom 13. Juni 2005 über die elektronische Kommunikation und im Gesetz vom 24. August 2005 zur Umsetzung verschiedener Bestimmungen der Richtlinie über den Fernabsatz von Finanzdienstleistungen und der Datenschutzrichtlinie für elektronische Kommunikation vorgesehen sind.</w:t>
      </w:r>
    </w:p>
    <w:p w14:paraId="0CFE00C1" w14:textId="77777777" w:rsidR="00F6427E" w:rsidRPr="004676F5" w:rsidRDefault="00F6427E" w:rsidP="00F6427E">
      <w:pPr>
        <w:rPr>
          <w:lang w:val="de-DE"/>
        </w:rPr>
      </w:pPr>
    </w:p>
    <w:p w14:paraId="0BB5F918" w14:textId="4793EEED" w:rsidR="00285FF9" w:rsidRPr="004676F5" w:rsidRDefault="00285FF9" w:rsidP="00F6427E">
      <w:pPr>
        <w:rPr>
          <w:i/>
          <w:lang w:val="de-DE"/>
        </w:rPr>
      </w:pPr>
      <w:r w:rsidRPr="004676F5">
        <w:rPr>
          <w:i/>
          <w:lang w:val="de-DE"/>
        </w:rPr>
        <w:t>[Art. III.1 § 3 Abs. 2 Nr. 1 abgeändert durch Art. 2 des K.E. vom 5. Dezember 2017</w:t>
      </w:r>
      <w:r w:rsidR="008562C5" w:rsidRPr="004676F5">
        <w:rPr>
          <w:i/>
          <w:lang w:val="de-DE"/>
        </w:rPr>
        <w:t> (I)</w:t>
      </w:r>
      <w:r w:rsidRPr="004676F5">
        <w:rPr>
          <w:i/>
          <w:lang w:val="de-DE"/>
        </w:rPr>
        <w:t xml:space="preserve"> (B.S. vom 18. Dezember 2017)]</w:t>
      </w:r>
    </w:p>
    <w:p w14:paraId="076FA1D7" w14:textId="77777777" w:rsidR="00E37662" w:rsidRPr="004676F5" w:rsidRDefault="00E37662">
      <w:pPr>
        <w:rPr>
          <w:lang w:val="de-DE"/>
        </w:rPr>
      </w:pPr>
      <w:r w:rsidRPr="004676F5">
        <w:rPr>
          <w:lang w:val="de-DE"/>
        </w:rPr>
        <w:br w:type="page"/>
      </w:r>
    </w:p>
    <w:p w14:paraId="60A071A5" w14:textId="350CA21B" w:rsidR="00F6427E" w:rsidRPr="004676F5" w:rsidRDefault="00F6427E" w:rsidP="00F6427E">
      <w:pPr>
        <w:jc w:val="center"/>
        <w:rPr>
          <w:lang w:val="de-DE"/>
        </w:rPr>
      </w:pPr>
      <w:r w:rsidRPr="004676F5">
        <w:rPr>
          <w:lang w:val="de-DE"/>
        </w:rPr>
        <w:lastRenderedPageBreak/>
        <w:t>KAPITEL 2 </w:t>
      </w:r>
      <w:r w:rsidR="005B7A5C" w:rsidRPr="004676F5">
        <w:rPr>
          <w:lang w:val="de-DE"/>
        </w:rPr>
        <w:t>- </w:t>
      </w:r>
      <w:r w:rsidRPr="004676F5">
        <w:rPr>
          <w:i/>
          <w:lang w:val="de-DE"/>
        </w:rPr>
        <w:t>Niederlassungsfreiheit</w:t>
      </w:r>
    </w:p>
    <w:p w14:paraId="0634BE28" w14:textId="77777777" w:rsidR="00F6427E" w:rsidRPr="004676F5" w:rsidRDefault="00F6427E" w:rsidP="00F6427E">
      <w:pPr>
        <w:jc w:val="center"/>
        <w:rPr>
          <w:lang w:val="de-DE"/>
        </w:rPr>
      </w:pPr>
    </w:p>
    <w:p w14:paraId="306FB7A2" w14:textId="77777777" w:rsidR="00D068E9" w:rsidRPr="004676F5" w:rsidRDefault="00D068E9" w:rsidP="00F6427E">
      <w:pPr>
        <w:jc w:val="center"/>
        <w:rPr>
          <w:lang w:val="de-DE"/>
        </w:rPr>
      </w:pPr>
    </w:p>
    <w:p w14:paraId="48E4970B" w14:textId="48CF4BDE" w:rsidR="00F6427E" w:rsidRPr="004676F5" w:rsidRDefault="00F6427E" w:rsidP="00F6427E">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Zulassungsregelungen</w:t>
      </w:r>
    </w:p>
    <w:p w14:paraId="04836EFF" w14:textId="77777777" w:rsidR="00F6427E" w:rsidRPr="004676F5" w:rsidRDefault="00F6427E" w:rsidP="00F6427E">
      <w:pPr>
        <w:jc w:val="both"/>
        <w:rPr>
          <w:lang w:val="de-DE"/>
        </w:rPr>
      </w:pPr>
    </w:p>
    <w:p w14:paraId="4145D2A0" w14:textId="77777777" w:rsidR="00D068E9" w:rsidRPr="004676F5" w:rsidRDefault="00D068E9" w:rsidP="00F6427E">
      <w:pPr>
        <w:jc w:val="both"/>
        <w:rPr>
          <w:lang w:val="de-DE"/>
        </w:rPr>
      </w:pPr>
    </w:p>
    <w:p w14:paraId="2EAE217D" w14:textId="7D7835F3"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III.2</w:t>
      </w:r>
      <w:r w:rsidRPr="004676F5">
        <w:rPr>
          <w:lang w:val="de-DE"/>
        </w:rPr>
        <w:t> </w:t>
      </w:r>
      <w:r w:rsidR="005B7A5C" w:rsidRPr="004676F5">
        <w:rPr>
          <w:lang w:val="de-DE"/>
        </w:rPr>
        <w:t>- </w:t>
      </w:r>
      <w:r w:rsidRPr="004676F5">
        <w:rPr>
          <w:lang w:val="de-DE"/>
        </w:rPr>
        <w:t>Ist für die Aufnahme und die Ausübung einer Dienstleistungstätigkeit eine Zulassung erforderlich, so muss diese Zulassung folgende Bedingungen erfüllen:</w:t>
      </w:r>
    </w:p>
    <w:p w14:paraId="69477852" w14:textId="77777777" w:rsidR="00F6427E" w:rsidRPr="004676F5" w:rsidRDefault="00F6427E" w:rsidP="00F6427E">
      <w:pPr>
        <w:jc w:val="both"/>
        <w:rPr>
          <w:lang w:val="de-DE"/>
        </w:rPr>
      </w:pPr>
    </w:p>
    <w:p w14:paraId="75DFDFAA" w14:textId="77777777" w:rsidR="00F6427E" w:rsidRPr="004676F5" w:rsidRDefault="00F6427E" w:rsidP="00F6427E">
      <w:pPr>
        <w:jc w:val="both"/>
        <w:rPr>
          <w:lang w:val="de-DE"/>
        </w:rPr>
      </w:pPr>
      <w:r w:rsidRPr="004676F5">
        <w:rPr>
          <w:lang w:val="de-DE"/>
        </w:rPr>
        <w:tab/>
        <w:t>1. Die Zulassungsregelungen sind für den betreffenden Dienstleistungserbringer nicht diskriminierend.</w:t>
      </w:r>
    </w:p>
    <w:p w14:paraId="289482F5" w14:textId="77777777" w:rsidR="00F6427E" w:rsidRPr="004676F5" w:rsidRDefault="00F6427E" w:rsidP="00F6427E">
      <w:pPr>
        <w:jc w:val="both"/>
        <w:rPr>
          <w:lang w:val="de-DE"/>
        </w:rPr>
      </w:pPr>
    </w:p>
    <w:p w14:paraId="6470B0C4" w14:textId="77777777" w:rsidR="00F6427E" w:rsidRPr="004676F5" w:rsidRDefault="00F6427E" w:rsidP="00F6427E">
      <w:pPr>
        <w:jc w:val="both"/>
        <w:rPr>
          <w:lang w:val="de-DE"/>
        </w:rPr>
      </w:pPr>
      <w:r w:rsidRPr="004676F5">
        <w:rPr>
          <w:lang w:val="de-DE"/>
        </w:rPr>
        <w:tab/>
        <w:t>2. Die Zulassungsregelungen sind durch zwingende Gründe des Allgemeininteresses gerechtfertigt.</w:t>
      </w:r>
    </w:p>
    <w:p w14:paraId="523A3F25" w14:textId="77777777" w:rsidR="00F6427E" w:rsidRPr="004676F5" w:rsidRDefault="00F6427E" w:rsidP="00F6427E">
      <w:pPr>
        <w:jc w:val="both"/>
        <w:rPr>
          <w:lang w:val="de-DE"/>
        </w:rPr>
      </w:pPr>
    </w:p>
    <w:p w14:paraId="1F955685" w14:textId="77777777" w:rsidR="00F6427E" w:rsidRPr="004676F5" w:rsidRDefault="00F6427E" w:rsidP="00F6427E">
      <w:pPr>
        <w:jc w:val="both"/>
        <w:rPr>
          <w:lang w:val="de-DE"/>
        </w:rPr>
      </w:pPr>
      <w:r w:rsidRPr="004676F5">
        <w:rPr>
          <w:lang w:val="de-DE"/>
        </w:rPr>
        <w:tab/>
        <w:t>3. Das angestrebte Ziel kann nicht durch ein milderes Mittel erreicht werden, insbesondere weil eine nachträgliche Kontrolle zu spät erfolgen würde, um wirksam zu sein.</w:t>
      </w:r>
    </w:p>
    <w:p w14:paraId="3F24EB42" w14:textId="77777777" w:rsidR="00F6427E" w:rsidRPr="004676F5" w:rsidRDefault="00F6427E" w:rsidP="00F6427E">
      <w:pPr>
        <w:jc w:val="both"/>
        <w:rPr>
          <w:lang w:val="de-DE"/>
        </w:rPr>
      </w:pPr>
    </w:p>
    <w:p w14:paraId="06620CA3" w14:textId="77777777" w:rsidR="00F6427E" w:rsidRPr="004676F5" w:rsidRDefault="00F6427E" w:rsidP="00F6427E">
      <w:pPr>
        <w:jc w:val="both"/>
        <w:rPr>
          <w:lang w:val="de-DE"/>
        </w:rPr>
      </w:pPr>
      <w:r w:rsidRPr="004676F5">
        <w:rPr>
          <w:lang w:val="de-DE"/>
        </w:rPr>
        <w:tab/>
        <w:t>Absatz 1 gilt nicht für Zulassungsregelungen, die direkt oder indirekt durch das Gemeinschaftsrecht geregelt sind, wie unter anderem die Zulassungsregelungen, bei denen der Zugang zu einem reglementierten Beruf oder dessen Ausübung an den Besitz bestimmter Berufsqualifikationen geknüpft ist, und Sonderbestimmungen, die vorschreiben, dass eine bestimmte Tätigkeit einem bestimmten Beruf vorbehalten ist.</w:t>
      </w:r>
    </w:p>
    <w:p w14:paraId="7A8B6B87" w14:textId="77777777" w:rsidR="00F6427E" w:rsidRPr="004676F5" w:rsidRDefault="00F6427E" w:rsidP="00F6427E">
      <w:pPr>
        <w:jc w:val="both"/>
        <w:rPr>
          <w:lang w:val="de-DE"/>
        </w:rPr>
      </w:pPr>
    </w:p>
    <w:p w14:paraId="51A92196" w14:textId="77777777" w:rsidR="00D068E9" w:rsidRPr="004676F5" w:rsidRDefault="00D068E9" w:rsidP="00F6427E">
      <w:pPr>
        <w:jc w:val="both"/>
        <w:rPr>
          <w:lang w:val="de-DE"/>
        </w:rPr>
      </w:pPr>
    </w:p>
    <w:p w14:paraId="607A67F5" w14:textId="1EA20766"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III.3</w:t>
      </w:r>
      <w:r w:rsidRPr="004676F5">
        <w:rPr>
          <w:lang w:val="de-DE"/>
        </w:rPr>
        <w:t> </w:t>
      </w:r>
      <w:r w:rsidR="005B7A5C" w:rsidRPr="004676F5">
        <w:rPr>
          <w:lang w:val="de-DE"/>
        </w:rPr>
        <w:t>- </w:t>
      </w:r>
      <w:r w:rsidRPr="004676F5">
        <w:rPr>
          <w:lang w:val="de-DE"/>
        </w:rPr>
        <w:t>Gemäß Artikel III.2 eingeführte Zulassungsregelungen müssen auf Kriterien beruhen, die eine willkürliche Ausübung der Ermessensbefugnis der zuständigen Behörden verhindern.</w:t>
      </w:r>
    </w:p>
    <w:p w14:paraId="52F3147E" w14:textId="77777777" w:rsidR="00F6427E" w:rsidRPr="004676F5" w:rsidRDefault="00F6427E" w:rsidP="00F6427E">
      <w:pPr>
        <w:jc w:val="both"/>
        <w:rPr>
          <w:lang w:val="de-DE"/>
        </w:rPr>
      </w:pPr>
    </w:p>
    <w:p w14:paraId="52661497" w14:textId="77777777" w:rsidR="00F6427E" w:rsidRPr="004676F5" w:rsidRDefault="00F6427E" w:rsidP="00F6427E">
      <w:pPr>
        <w:jc w:val="both"/>
        <w:rPr>
          <w:lang w:val="de-DE"/>
        </w:rPr>
      </w:pPr>
      <w:r w:rsidRPr="004676F5">
        <w:rPr>
          <w:lang w:val="de-DE"/>
        </w:rPr>
        <w:tab/>
        <w:t>Diese Kriterien müssen:</w:t>
      </w:r>
    </w:p>
    <w:p w14:paraId="3130D77F" w14:textId="77777777" w:rsidR="00F6427E" w:rsidRPr="004676F5" w:rsidRDefault="00F6427E" w:rsidP="00F6427E">
      <w:pPr>
        <w:jc w:val="both"/>
        <w:rPr>
          <w:lang w:val="de-DE"/>
        </w:rPr>
      </w:pPr>
    </w:p>
    <w:p w14:paraId="39C7F988" w14:textId="77777777" w:rsidR="00F6427E" w:rsidRPr="004676F5" w:rsidRDefault="00F6427E" w:rsidP="00F6427E">
      <w:pPr>
        <w:jc w:val="both"/>
        <w:rPr>
          <w:lang w:val="de-DE"/>
        </w:rPr>
      </w:pPr>
      <w:r w:rsidRPr="004676F5">
        <w:rPr>
          <w:lang w:val="de-DE"/>
        </w:rPr>
        <w:tab/>
        <w:t>1. nicht diskriminierend sein,</w:t>
      </w:r>
    </w:p>
    <w:p w14:paraId="47BC9A71" w14:textId="77777777" w:rsidR="00F6427E" w:rsidRPr="004676F5" w:rsidRDefault="00F6427E" w:rsidP="00F6427E">
      <w:pPr>
        <w:jc w:val="both"/>
        <w:rPr>
          <w:lang w:val="de-DE"/>
        </w:rPr>
      </w:pPr>
    </w:p>
    <w:p w14:paraId="297DB832" w14:textId="77777777" w:rsidR="00F6427E" w:rsidRPr="004676F5" w:rsidRDefault="00F6427E" w:rsidP="00F6427E">
      <w:pPr>
        <w:jc w:val="both"/>
        <w:rPr>
          <w:lang w:val="de-DE"/>
        </w:rPr>
      </w:pPr>
      <w:r w:rsidRPr="004676F5">
        <w:rPr>
          <w:lang w:val="de-DE"/>
        </w:rPr>
        <w:tab/>
        <w:t>2. durch einen zwingenden Grund des Allgemeininteresses gerechtfertigt sein,</w:t>
      </w:r>
    </w:p>
    <w:p w14:paraId="57101328" w14:textId="77777777" w:rsidR="00F6427E" w:rsidRPr="004676F5" w:rsidRDefault="00F6427E" w:rsidP="00F6427E">
      <w:pPr>
        <w:jc w:val="both"/>
        <w:rPr>
          <w:lang w:val="de-DE"/>
        </w:rPr>
      </w:pPr>
    </w:p>
    <w:p w14:paraId="1EBBB9D4" w14:textId="77777777" w:rsidR="00F6427E" w:rsidRPr="004676F5" w:rsidRDefault="00F6427E" w:rsidP="00F6427E">
      <w:pPr>
        <w:jc w:val="both"/>
        <w:rPr>
          <w:lang w:val="de-DE"/>
        </w:rPr>
      </w:pPr>
      <w:r w:rsidRPr="004676F5">
        <w:rPr>
          <w:lang w:val="de-DE"/>
        </w:rPr>
        <w:tab/>
        <w:t>3. in Bezug auf diesen Grund des Allgemeininteresses verhältnismäßig sein,</w:t>
      </w:r>
    </w:p>
    <w:p w14:paraId="22D4BAC1" w14:textId="77777777" w:rsidR="00F6427E" w:rsidRPr="004676F5" w:rsidRDefault="00F6427E" w:rsidP="00F6427E">
      <w:pPr>
        <w:jc w:val="both"/>
        <w:rPr>
          <w:lang w:val="de-DE"/>
        </w:rPr>
      </w:pPr>
    </w:p>
    <w:p w14:paraId="560D558E" w14:textId="77777777" w:rsidR="00F6427E" w:rsidRPr="004676F5" w:rsidRDefault="00F6427E" w:rsidP="00F6427E">
      <w:pPr>
        <w:jc w:val="both"/>
        <w:rPr>
          <w:lang w:val="de-DE"/>
        </w:rPr>
      </w:pPr>
      <w:r w:rsidRPr="004676F5">
        <w:rPr>
          <w:lang w:val="de-DE"/>
        </w:rPr>
        <w:tab/>
        <w:t>4. klar und unzweideutig sein,</w:t>
      </w:r>
    </w:p>
    <w:p w14:paraId="58980173" w14:textId="77777777" w:rsidR="00F6427E" w:rsidRPr="004676F5" w:rsidRDefault="00F6427E" w:rsidP="00F6427E">
      <w:pPr>
        <w:jc w:val="both"/>
        <w:rPr>
          <w:lang w:val="de-DE"/>
        </w:rPr>
      </w:pPr>
    </w:p>
    <w:p w14:paraId="5A7C82F3" w14:textId="77777777" w:rsidR="00F6427E" w:rsidRPr="004676F5" w:rsidRDefault="00F6427E" w:rsidP="00F6427E">
      <w:pPr>
        <w:jc w:val="both"/>
        <w:rPr>
          <w:lang w:val="de-DE"/>
        </w:rPr>
      </w:pPr>
      <w:r w:rsidRPr="004676F5">
        <w:rPr>
          <w:lang w:val="de-DE"/>
        </w:rPr>
        <w:tab/>
        <w:t>5. objektiv sein,</w:t>
      </w:r>
    </w:p>
    <w:p w14:paraId="75B88CE0" w14:textId="77777777" w:rsidR="00F6427E" w:rsidRPr="004676F5" w:rsidRDefault="00F6427E" w:rsidP="00F6427E">
      <w:pPr>
        <w:jc w:val="both"/>
        <w:rPr>
          <w:lang w:val="de-DE"/>
        </w:rPr>
      </w:pPr>
    </w:p>
    <w:p w14:paraId="44015D18" w14:textId="77777777" w:rsidR="00F6427E" w:rsidRPr="004676F5" w:rsidRDefault="00F6427E" w:rsidP="00F6427E">
      <w:pPr>
        <w:jc w:val="both"/>
        <w:rPr>
          <w:lang w:val="de-DE"/>
        </w:rPr>
      </w:pPr>
      <w:r w:rsidRPr="004676F5">
        <w:rPr>
          <w:lang w:val="de-DE"/>
        </w:rPr>
        <w:tab/>
        <w:t>6. im Voraus bekannt gemacht werden,</w:t>
      </w:r>
    </w:p>
    <w:p w14:paraId="035D34F8" w14:textId="77777777" w:rsidR="00F6427E" w:rsidRPr="004676F5" w:rsidRDefault="00F6427E" w:rsidP="00F6427E">
      <w:pPr>
        <w:jc w:val="both"/>
        <w:rPr>
          <w:lang w:val="de-DE"/>
        </w:rPr>
      </w:pPr>
    </w:p>
    <w:p w14:paraId="29C5BA01" w14:textId="77777777" w:rsidR="00F6427E" w:rsidRPr="004676F5" w:rsidRDefault="00F6427E" w:rsidP="00F6427E">
      <w:pPr>
        <w:jc w:val="both"/>
        <w:rPr>
          <w:lang w:val="de-DE"/>
        </w:rPr>
      </w:pPr>
      <w:r w:rsidRPr="004676F5">
        <w:rPr>
          <w:lang w:val="de-DE"/>
        </w:rPr>
        <w:tab/>
        <w:t>7. transparent und zugänglich sein.</w:t>
      </w:r>
    </w:p>
    <w:p w14:paraId="217D7CC6" w14:textId="77777777" w:rsidR="00F6427E" w:rsidRPr="004676F5" w:rsidRDefault="00F6427E" w:rsidP="00F6427E">
      <w:pPr>
        <w:jc w:val="both"/>
        <w:rPr>
          <w:lang w:val="de-DE"/>
        </w:rPr>
      </w:pPr>
    </w:p>
    <w:p w14:paraId="66288B8C" w14:textId="77777777" w:rsidR="00D068E9" w:rsidRPr="004676F5" w:rsidRDefault="00D068E9" w:rsidP="00F6427E">
      <w:pPr>
        <w:jc w:val="both"/>
        <w:rPr>
          <w:lang w:val="de-DE"/>
        </w:rPr>
      </w:pPr>
    </w:p>
    <w:p w14:paraId="3C7E6EF9" w14:textId="0089646B"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III.4</w:t>
      </w:r>
      <w:r w:rsidRPr="004676F5">
        <w:rPr>
          <w:lang w:val="de-DE"/>
        </w:rPr>
        <w:t> </w:t>
      </w:r>
      <w:r w:rsidR="005B7A5C" w:rsidRPr="004676F5">
        <w:rPr>
          <w:lang w:val="de-DE"/>
        </w:rPr>
        <w:t>- </w:t>
      </w:r>
      <w:r w:rsidRPr="004676F5">
        <w:rPr>
          <w:lang w:val="de-DE"/>
        </w:rPr>
        <w:t>Zulassungsverfahren und -formalitäten müssen leicht zugänglich sein und eventuelle dem Antragsteller mit dem Antrag entstehende Kosten müssen vertretbar und zu den Kosten der Zulassungsverfahren verhältnismäßig sein.</w:t>
      </w:r>
    </w:p>
    <w:p w14:paraId="59741CA0" w14:textId="77777777" w:rsidR="00D068E9" w:rsidRPr="004676F5" w:rsidRDefault="00D068E9" w:rsidP="00F6427E">
      <w:pPr>
        <w:rPr>
          <w:lang w:val="de-DE"/>
        </w:rPr>
      </w:pPr>
    </w:p>
    <w:p w14:paraId="567AFB9E" w14:textId="77777777" w:rsidR="00F6427E" w:rsidRPr="004676F5" w:rsidRDefault="00F6427E" w:rsidP="00F6427E">
      <w:pPr>
        <w:rPr>
          <w:lang w:val="de-DE"/>
        </w:rPr>
      </w:pPr>
      <w:r w:rsidRPr="004676F5">
        <w:rPr>
          <w:lang w:val="de-DE"/>
        </w:rPr>
        <w:br w:type="page"/>
      </w:r>
    </w:p>
    <w:p w14:paraId="4713BFE7" w14:textId="3098C753" w:rsidR="00F6427E" w:rsidRPr="004676F5" w:rsidRDefault="00F6427E" w:rsidP="00F6427E">
      <w:pPr>
        <w:jc w:val="both"/>
        <w:rPr>
          <w:lang w:val="de-DE"/>
        </w:rPr>
      </w:pPr>
      <w:r w:rsidRPr="004676F5">
        <w:rPr>
          <w:lang w:val="de-DE"/>
        </w:rPr>
        <w:lastRenderedPageBreak/>
        <w:tab/>
      </w:r>
      <w:r w:rsidR="00BE0A56" w:rsidRPr="004676F5">
        <w:rPr>
          <w:b/>
          <w:lang w:val="de-DE"/>
        </w:rPr>
        <w:t>Art. </w:t>
      </w:r>
      <w:r w:rsidRPr="004676F5">
        <w:rPr>
          <w:b/>
          <w:lang w:val="de-DE"/>
        </w:rPr>
        <w:t>III.5</w:t>
      </w:r>
      <w:r w:rsidRPr="004676F5">
        <w:rPr>
          <w:lang w:val="de-DE"/>
        </w:rPr>
        <w:t> </w:t>
      </w:r>
      <w:r w:rsidR="005B7A5C" w:rsidRPr="004676F5">
        <w:rPr>
          <w:lang w:val="de-DE"/>
        </w:rPr>
        <w:t>- </w:t>
      </w:r>
      <w:r w:rsidRPr="004676F5">
        <w:rPr>
          <w:lang w:val="de-DE"/>
        </w:rPr>
        <w:t>Die Voraussetzungen für die Erteilung der Zulassung für eine neue Niederlassung dürfen nicht zu einer doppelten Anwendung von gleichwertigen oder aufgrund ihrer Zielsetzung im Wesentlichen vergleichbaren Anforderungen und Kontrollen führen, denen der Dienstleistungserbringer bereits in Belgien oder in einem anderen Mitgliedstaat unterworfen ist. Der föderale Koordinator und der Dienstleistungserbringer unterstützen die zuständige Behörde durch Übermittlung der im Hinblick auf diese Anforderungen notwendigen Informationen.</w:t>
      </w:r>
    </w:p>
    <w:p w14:paraId="5BB5E326" w14:textId="77777777" w:rsidR="00F6427E" w:rsidRPr="004676F5" w:rsidRDefault="00F6427E" w:rsidP="00F6427E">
      <w:pPr>
        <w:jc w:val="both"/>
        <w:rPr>
          <w:lang w:val="de-DE"/>
        </w:rPr>
      </w:pPr>
    </w:p>
    <w:p w14:paraId="6BD807A9" w14:textId="77777777" w:rsidR="00D068E9" w:rsidRPr="004676F5" w:rsidRDefault="00D068E9" w:rsidP="00F6427E">
      <w:pPr>
        <w:jc w:val="both"/>
        <w:rPr>
          <w:lang w:val="de-DE"/>
        </w:rPr>
      </w:pPr>
    </w:p>
    <w:p w14:paraId="59AADCF2" w14:textId="1CD1BBA5"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III.6</w:t>
      </w:r>
      <w:r w:rsidRPr="004676F5">
        <w:rPr>
          <w:lang w:val="de-DE"/>
        </w:rPr>
        <w:t> </w:t>
      </w:r>
      <w:r w:rsidR="005B7A5C" w:rsidRPr="004676F5">
        <w:rPr>
          <w:lang w:val="de-DE"/>
        </w:rPr>
        <w:t>- </w:t>
      </w:r>
      <w:r w:rsidRPr="004676F5">
        <w:rPr>
          <w:lang w:val="de-DE"/>
        </w:rPr>
        <w:t>Wenn ein Dienstleistungserbringer sich in Belgien niederlässt, darf keine Berufshaftpflichtversicherung oder Sicherheit von ihm verlangt werden, sofern er bereits durch eine gleichwertige oder aufgrund ihrer Zweckbestimmung und der vorgesehenen Deckung in Bezug auf das versicherte Risiko, die Versicherungssumme oder eine Höchstgrenze der Sicherheit und möglicher Ausnahmen von der Deckung im Wesentlichen vergleichbare Sicherheit in einem anderen Mitgliedstaat, in dem er bereits ansässig ist, abgedeckt ist.</w:t>
      </w:r>
    </w:p>
    <w:p w14:paraId="0AEB282D" w14:textId="77777777" w:rsidR="00F6427E" w:rsidRPr="004676F5" w:rsidRDefault="00F6427E" w:rsidP="00F6427E">
      <w:pPr>
        <w:jc w:val="both"/>
        <w:rPr>
          <w:lang w:val="de-DE"/>
        </w:rPr>
      </w:pPr>
    </w:p>
    <w:p w14:paraId="7A710E47" w14:textId="77777777" w:rsidR="00F6427E" w:rsidRPr="004676F5" w:rsidRDefault="00F6427E" w:rsidP="00F6427E">
      <w:pPr>
        <w:jc w:val="both"/>
        <w:rPr>
          <w:lang w:val="de-DE"/>
        </w:rPr>
      </w:pPr>
      <w:r w:rsidRPr="004676F5">
        <w:rPr>
          <w:lang w:val="de-DE"/>
        </w:rPr>
        <w:tab/>
        <w:t>Besteht nur eine teilweise Gleichwertigkeit, so wird eine zusätzliche Sicherheit verlangt, um nicht gedeckte Risiken abzusichern.</w:t>
      </w:r>
    </w:p>
    <w:p w14:paraId="5E3DA204" w14:textId="77777777" w:rsidR="00F6427E" w:rsidRPr="004676F5" w:rsidRDefault="00F6427E" w:rsidP="00F6427E">
      <w:pPr>
        <w:jc w:val="both"/>
        <w:rPr>
          <w:lang w:val="de-DE"/>
        </w:rPr>
      </w:pPr>
    </w:p>
    <w:p w14:paraId="7D7D66C4" w14:textId="77777777" w:rsidR="00F6427E" w:rsidRPr="004676F5" w:rsidRDefault="00F6427E" w:rsidP="00F6427E">
      <w:pPr>
        <w:jc w:val="both"/>
        <w:rPr>
          <w:lang w:val="de-DE"/>
        </w:rPr>
      </w:pPr>
      <w:r w:rsidRPr="004676F5">
        <w:rPr>
          <w:lang w:val="de-DE"/>
        </w:rPr>
        <w:tab/>
        <w:t>Wird von einem in Belgien ansässigen Dienstleistungserbringer eine Berufshaftpflicht</w:t>
      </w:r>
      <w:r w:rsidRPr="004676F5">
        <w:rPr>
          <w:lang w:val="de-DE"/>
        </w:rPr>
        <w:softHyphen/>
        <w:t>versicherung oder eine andere Sicherheit verlangt, so werden Bescheinigungen über den Versicherungsschutz, die von Kreditinstituten und Versicherern ausgestellt werden, die in anderen Mitgliedstaaten ansässig sind, als Beweismittel zugelassen.</w:t>
      </w:r>
    </w:p>
    <w:p w14:paraId="4EDC5BF2" w14:textId="77777777" w:rsidR="00F6427E" w:rsidRPr="004676F5" w:rsidRDefault="00F6427E" w:rsidP="00F6427E">
      <w:pPr>
        <w:jc w:val="both"/>
        <w:rPr>
          <w:lang w:val="de-DE"/>
        </w:rPr>
      </w:pPr>
    </w:p>
    <w:p w14:paraId="76C03EBC" w14:textId="77777777" w:rsidR="00D068E9" w:rsidRPr="004676F5" w:rsidRDefault="00D068E9" w:rsidP="00F6427E">
      <w:pPr>
        <w:jc w:val="both"/>
        <w:rPr>
          <w:lang w:val="de-DE"/>
        </w:rPr>
      </w:pPr>
    </w:p>
    <w:p w14:paraId="48339ABF" w14:textId="073E9144"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III.7</w:t>
      </w:r>
      <w:r w:rsidRPr="004676F5">
        <w:rPr>
          <w:lang w:val="de-DE"/>
        </w:rPr>
        <w:t> </w:t>
      </w:r>
      <w:r w:rsidR="005B7A5C" w:rsidRPr="004676F5">
        <w:rPr>
          <w:lang w:val="de-DE"/>
        </w:rPr>
        <w:t>- </w:t>
      </w:r>
      <w:r w:rsidRPr="004676F5">
        <w:rPr>
          <w:lang w:val="de-DE"/>
        </w:rPr>
        <w:t>Eine in Artikel III.2 erwähnte Zulassung ermöglicht dem Dienstleistungs</w:t>
      </w:r>
      <w:r w:rsidRPr="004676F5">
        <w:rPr>
          <w:lang w:val="de-DE"/>
        </w:rPr>
        <w:softHyphen/>
        <w:t>erbringer die Aufnahme oder die Ausübung der Dienstleistungstätigkeit im gesamten belgischen Hoheitsgebiet, einschließlich der Einrichtung von Agenturen, Tochter</w:t>
      </w:r>
      <w:r w:rsidRPr="004676F5">
        <w:rPr>
          <w:lang w:val="de-DE"/>
        </w:rPr>
        <w:softHyphen/>
        <w:t>gesellschaften, Geschäftsstellen oder Zweigniederlassungen.</w:t>
      </w:r>
    </w:p>
    <w:p w14:paraId="7EC47351" w14:textId="77777777" w:rsidR="00F6427E" w:rsidRPr="004676F5" w:rsidRDefault="00F6427E" w:rsidP="00F6427E">
      <w:pPr>
        <w:jc w:val="both"/>
        <w:rPr>
          <w:lang w:val="de-DE"/>
        </w:rPr>
      </w:pPr>
    </w:p>
    <w:p w14:paraId="5188D3C6" w14:textId="77777777" w:rsidR="00F6427E" w:rsidRPr="004676F5" w:rsidRDefault="00F6427E" w:rsidP="00F6427E">
      <w:pPr>
        <w:jc w:val="both"/>
        <w:rPr>
          <w:lang w:val="de-DE"/>
        </w:rPr>
      </w:pPr>
      <w:r w:rsidRPr="004676F5">
        <w:rPr>
          <w:lang w:val="de-DE"/>
        </w:rPr>
        <w:tab/>
        <w:t>Absatz 1 gilt nicht:</w:t>
      </w:r>
    </w:p>
    <w:p w14:paraId="09313BC2" w14:textId="77777777" w:rsidR="00F6427E" w:rsidRPr="004676F5" w:rsidRDefault="00F6427E" w:rsidP="00F6427E">
      <w:pPr>
        <w:jc w:val="both"/>
        <w:rPr>
          <w:lang w:val="de-DE"/>
        </w:rPr>
      </w:pPr>
    </w:p>
    <w:p w14:paraId="40CE3960" w14:textId="77777777" w:rsidR="00F6427E" w:rsidRPr="004676F5" w:rsidRDefault="00F6427E" w:rsidP="00F6427E">
      <w:pPr>
        <w:jc w:val="both"/>
        <w:rPr>
          <w:lang w:val="de-DE"/>
        </w:rPr>
      </w:pPr>
      <w:r w:rsidRPr="004676F5">
        <w:rPr>
          <w:lang w:val="de-DE"/>
        </w:rPr>
        <w:tab/>
        <w:t>1. wenn zwingende Gründe des Allgemeininteresses eine Zulassung für jede einzelne Betriebsstätte oder eine Beschränkung der Zulassung auf einen bestimmten Teil des nationalen Hoheitsgebiets rechtfertigen,</w:t>
      </w:r>
    </w:p>
    <w:p w14:paraId="427BDEAF" w14:textId="77777777" w:rsidR="00F6427E" w:rsidRPr="004676F5" w:rsidRDefault="00F6427E" w:rsidP="00F6427E">
      <w:pPr>
        <w:jc w:val="both"/>
        <w:rPr>
          <w:lang w:val="de-DE"/>
        </w:rPr>
      </w:pPr>
    </w:p>
    <w:p w14:paraId="251AAC01" w14:textId="66DCB53A" w:rsidR="00F6427E" w:rsidRPr="004676F5" w:rsidRDefault="00F6427E" w:rsidP="00F6427E">
      <w:pPr>
        <w:jc w:val="both"/>
        <w:rPr>
          <w:lang w:val="de-DE"/>
        </w:rPr>
      </w:pPr>
      <w:r w:rsidRPr="004676F5">
        <w:rPr>
          <w:lang w:val="de-DE"/>
        </w:rPr>
        <w:tab/>
        <w:t>2. für Zulassungen, die von Regional-, Gemeinschafts-, Provinzial</w:t>
      </w:r>
      <w:r w:rsidR="005B7A5C" w:rsidRPr="004676F5">
        <w:rPr>
          <w:lang w:val="de-DE"/>
        </w:rPr>
        <w:t>- </w:t>
      </w:r>
      <w:r w:rsidRPr="004676F5">
        <w:rPr>
          <w:lang w:val="de-DE"/>
        </w:rPr>
        <w:t>oder Gemeinde</w:t>
      </w:r>
      <w:r w:rsidRPr="004676F5">
        <w:rPr>
          <w:lang w:val="de-DE"/>
        </w:rPr>
        <w:softHyphen/>
        <w:t>behörden ausgestellt werden.</w:t>
      </w:r>
    </w:p>
    <w:p w14:paraId="0B456055" w14:textId="77777777" w:rsidR="00F6427E" w:rsidRPr="004676F5" w:rsidRDefault="00F6427E" w:rsidP="00F6427E">
      <w:pPr>
        <w:jc w:val="both"/>
        <w:rPr>
          <w:lang w:val="de-DE"/>
        </w:rPr>
      </w:pPr>
    </w:p>
    <w:p w14:paraId="7F8D58AB" w14:textId="77777777" w:rsidR="00D068E9" w:rsidRPr="004676F5" w:rsidRDefault="00D068E9" w:rsidP="00F6427E">
      <w:pPr>
        <w:jc w:val="both"/>
        <w:rPr>
          <w:lang w:val="de-DE"/>
        </w:rPr>
      </w:pPr>
    </w:p>
    <w:p w14:paraId="6C8F965F" w14:textId="6915C584"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III.8</w:t>
      </w:r>
      <w:r w:rsidRPr="004676F5">
        <w:rPr>
          <w:lang w:val="de-DE"/>
        </w:rPr>
        <w:t> </w:t>
      </w:r>
      <w:r w:rsidR="005B7A5C" w:rsidRPr="004676F5">
        <w:rPr>
          <w:lang w:val="de-DE"/>
        </w:rPr>
        <w:t>- </w:t>
      </w:r>
      <w:r w:rsidRPr="004676F5">
        <w:rPr>
          <w:lang w:val="de-DE"/>
        </w:rPr>
        <w:t>Für jeden Zulassungsantrag wird binnen zehn Werktagen eine Empfangs</w:t>
      </w:r>
      <w:r w:rsidRPr="004676F5">
        <w:rPr>
          <w:lang w:val="de-DE"/>
        </w:rPr>
        <w:softHyphen/>
        <w:t>bestätigung übermittelt.</w:t>
      </w:r>
    </w:p>
    <w:p w14:paraId="5B88BD43" w14:textId="77777777" w:rsidR="00F6427E" w:rsidRPr="004676F5" w:rsidRDefault="00F6427E" w:rsidP="00F6427E">
      <w:pPr>
        <w:jc w:val="both"/>
        <w:rPr>
          <w:lang w:val="de-DE"/>
        </w:rPr>
      </w:pPr>
    </w:p>
    <w:p w14:paraId="27D18BD5" w14:textId="77777777" w:rsidR="00F6427E" w:rsidRPr="004676F5" w:rsidRDefault="00F6427E" w:rsidP="00F6427E">
      <w:pPr>
        <w:jc w:val="both"/>
        <w:rPr>
          <w:lang w:val="de-DE"/>
        </w:rPr>
      </w:pPr>
      <w:r w:rsidRPr="004676F5">
        <w:rPr>
          <w:lang w:val="de-DE"/>
        </w:rPr>
        <w:tab/>
        <w:t>Die Empfangsbestätigung enthält folgende Angaben:</w:t>
      </w:r>
    </w:p>
    <w:p w14:paraId="2CEE31B6" w14:textId="77777777" w:rsidR="00F6427E" w:rsidRPr="004676F5" w:rsidRDefault="00F6427E" w:rsidP="00F6427E">
      <w:pPr>
        <w:jc w:val="both"/>
        <w:rPr>
          <w:lang w:val="de-DE"/>
        </w:rPr>
      </w:pPr>
    </w:p>
    <w:p w14:paraId="48F5E9F5" w14:textId="77777777" w:rsidR="00F6427E" w:rsidRPr="004676F5" w:rsidRDefault="00F6427E" w:rsidP="00F6427E">
      <w:pPr>
        <w:jc w:val="both"/>
        <w:rPr>
          <w:lang w:val="de-DE"/>
        </w:rPr>
      </w:pPr>
      <w:r w:rsidRPr="004676F5">
        <w:rPr>
          <w:lang w:val="de-DE"/>
        </w:rPr>
        <w:tab/>
        <w:t>1. Datum, an dem der Antrag eingegangen ist,</w:t>
      </w:r>
    </w:p>
    <w:p w14:paraId="1D1D49DA" w14:textId="77777777" w:rsidR="00F6427E" w:rsidRPr="004676F5" w:rsidRDefault="00F6427E" w:rsidP="00F6427E">
      <w:pPr>
        <w:jc w:val="both"/>
        <w:rPr>
          <w:lang w:val="de-DE"/>
        </w:rPr>
      </w:pPr>
    </w:p>
    <w:p w14:paraId="07A6EE9D" w14:textId="77777777" w:rsidR="00F6427E" w:rsidRPr="004676F5" w:rsidRDefault="00F6427E" w:rsidP="00F6427E">
      <w:pPr>
        <w:jc w:val="both"/>
        <w:rPr>
          <w:lang w:val="de-DE"/>
        </w:rPr>
      </w:pPr>
      <w:r w:rsidRPr="004676F5">
        <w:rPr>
          <w:lang w:val="de-DE"/>
        </w:rPr>
        <w:tab/>
        <w:t>2. Frist, innerhalb deren die Entscheidung getroffen werden muss,</w:t>
      </w:r>
    </w:p>
    <w:p w14:paraId="2A1CBC47" w14:textId="77777777" w:rsidR="00F6427E" w:rsidRPr="004676F5" w:rsidRDefault="00F6427E" w:rsidP="00F6427E">
      <w:pPr>
        <w:jc w:val="both"/>
        <w:rPr>
          <w:lang w:val="de-DE"/>
        </w:rPr>
      </w:pPr>
    </w:p>
    <w:p w14:paraId="2B6FAEF6" w14:textId="77777777" w:rsidR="00F6427E" w:rsidRPr="004676F5" w:rsidRDefault="00F6427E" w:rsidP="00D068E9">
      <w:pPr>
        <w:jc w:val="both"/>
        <w:rPr>
          <w:lang w:val="de-DE"/>
        </w:rPr>
      </w:pPr>
      <w:r w:rsidRPr="004676F5">
        <w:rPr>
          <w:lang w:val="de-DE"/>
        </w:rPr>
        <w:tab/>
        <w:t>3. verfügbare Rechtsbehelfe, zuständige Instanzen, die darüber erkennen, und zu beachtende Formalitäten und Fristen,</w:t>
      </w:r>
      <w:r w:rsidRPr="004676F5">
        <w:rPr>
          <w:lang w:val="de-DE"/>
        </w:rPr>
        <w:br w:type="page"/>
      </w:r>
    </w:p>
    <w:p w14:paraId="7697CB8F" w14:textId="77777777" w:rsidR="00D068E9" w:rsidRPr="004676F5" w:rsidRDefault="00F6427E" w:rsidP="00F6427E">
      <w:pPr>
        <w:jc w:val="both"/>
        <w:rPr>
          <w:lang w:val="de-DE"/>
        </w:rPr>
      </w:pPr>
      <w:r w:rsidRPr="004676F5">
        <w:rPr>
          <w:lang w:val="de-DE"/>
        </w:rPr>
        <w:lastRenderedPageBreak/>
        <w:tab/>
      </w:r>
    </w:p>
    <w:p w14:paraId="386935FE" w14:textId="77777777" w:rsidR="00F6427E" w:rsidRPr="004676F5" w:rsidRDefault="00D068E9" w:rsidP="00F6427E">
      <w:pPr>
        <w:jc w:val="both"/>
        <w:rPr>
          <w:lang w:val="de-DE"/>
        </w:rPr>
      </w:pPr>
      <w:r w:rsidRPr="004676F5">
        <w:rPr>
          <w:lang w:val="de-DE"/>
        </w:rPr>
        <w:tab/>
      </w:r>
      <w:r w:rsidR="00F6427E" w:rsidRPr="004676F5">
        <w:rPr>
          <w:lang w:val="de-DE"/>
        </w:rPr>
        <w:t>4. gegebenenfalls eine Erklärung, dass die Zulassung als erteilt gilt, wenn der Antrag nicht binnen der vorgesehenen Frist beantwortet wird.</w:t>
      </w:r>
    </w:p>
    <w:p w14:paraId="374933A8" w14:textId="77777777" w:rsidR="00F6427E" w:rsidRPr="004676F5" w:rsidRDefault="00F6427E" w:rsidP="00F6427E">
      <w:pPr>
        <w:jc w:val="both"/>
        <w:rPr>
          <w:lang w:val="de-DE"/>
        </w:rPr>
      </w:pPr>
    </w:p>
    <w:p w14:paraId="0E4F7A78" w14:textId="77777777" w:rsidR="00F6427E" w:rsidRPr="004676F5" w:rsidRDefault="00F6427E" w:rsidP="00F6427E">
      <w:pPr>
        <w:jc w:val="both"/>
        <w:rPr>
          <w:lang w:val="de-DE"/>
        </w:rPr>
      </w:pPr>
      <w:r w:rsidRPr="004676F5">
        <w:rPr>
          <w:lang w:val="de-DE"/>
        </w:rPr>
        <w:tab/>
        <w:t>Im Falle eines unvollständigen Antrags wird der Antragsteller binnen zehn Werktagen darüber informiert, dass Unterlagen nachzureichen sind, über welche Frist er verfügt, um dies zu tun, und welche Auswirkungen dies auf die in Absatz 2 erwähnte Frist hat.</w:t>
      </w:r>
    </w:p>
    <w:p w14:paraId="1A19F72E" w14:textId="77777777" w:rsidR="00F6427E" w:rsidRPr="004676F5" w:rsidRDefault="00F6427E" w:rsidP="00F6427E">
      <w:pPr>
        <w:jc w:val="both"/>
        <w:rPr>
          <w:lang w:val="de-DE"/>
        </w:rPr>
      </w:pPr>
    </w:p>
    <w:p w14:paraId="712C7247" w14:textId="77777777" w:rsidR="00F6427E" w:rsidRPr="004676F5" w:rsidRDefault="00F6427E" w:rsidP="00F6427E">
      <w:pPr>
        <w:jc w:val="both"/>
        <w:rPr>
          <w:lang w:val="de-DE"/>
        </w:rPr>
      </w:pPr>
      <w:r w:rsidRPr="004676F5">
        <w:rPr>
          <w:lang w:val="de-DE"/>
        </w:rPr>
        <w:tab/>
        <w:t>Wird ein Antrag wegen Nichtbeachtung der erforderlichen Verfahren oder Formalitäten abgelehnt, so wird der Antragsteller so schnell wie möglich von der Ablehnung in Kenntnis gesetzt.</w:t>
      </w:r>
    </w:p>
    <w:p w14:paraId="51291470" w14:textId="77777777" w:rsidR="00F6427E" w:rsidRPr="004676F5" w:rsidRDefault="00F6427E" w:rsidP="00F6427E">
      <w:pPr>
        <w:jc w:val="both"/>
        <w:rPr>
          <w:lang w:val="de-DE"/>
        </w:rPr>
      </w:pPr>
    </w:p>
    <w:p w14:paraId="3001F643" w14:textId="77777777" w:rsidR="00D068E9" w:rsidRPr="004676F5" w:rsidRDefault="00D068E9" w:rsidP="00F6427E">
      <w:pPr>
        <w:jc w:val="both"/>
        <w:rPr>
          <w:lang w:val="de-DE"/>
        </w:rPr>
      </w:pPr>
    </w:p>
    <w:p w14:paraId="56513F8E" w14:textId="5F2F1380"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III.9</w:t>
      </w:r>
      <w:r w:rsidRPr="004676F5">
        <w:rPr>
          <w:lang w:val="de-DE"/>
        </w:rPr>
        <w:t> </w:t>
      </w:r>
      <w:r w:rsidR="005B7A5C" w:rsidRPr="004676F5">
        <w:rPr>
          <w:lang w:val="de-DE"/>
        </w:rPr>
        <w:t>- </w:t>
      </w:r>
      <w:r w:rsidRPr="004676F5">
        <w:rPr>
          <w:lang w:val="de-DE"/>
        </w:rPr>
        <w:t>Die zuständige Behörde erteilt die Zulassung, nachdem eine angemessene Prüfung ergeben hat, dass die Zulassungsvoraussetzungen erfüllt sind.</w:t>
      </w:r>
    </w:p>
    <w:p w14:paraId="060014EA" w14:textId="77777777" w:rsidR="00F6427E" w:rsidRPr="004676F5" w:rsidRDefault="00F6427E" w:rsidP="00F6427E">
      <w:pPr>
        <w:jc w:val="both"/>
        <w:rPr>
          <w:lang w:val="de-DE"/>
        </w:rPr>
      </w:pPr>
    </w:p>
    <w:p w14:paraId="4C2EFED1" w14:textId="77777777" w:rsidR="00F6427E" w:rsidRPr="004676F5" w:rsidRDefault="00F6427E" w:rsidP="00F6427E">
      <w:pPr>
        <w:jc w:val="both"/>
        <w:rPr>
          <w:lang w:val="de-DE"/>
        </w:rPr>
      </w:pPr>
      <w:r w:rsidRPr="004676F5">
        <w:rPr>
          <w:lang w:val="de-DE"/>
        </w:rPr>
        <w:tab/>
        <w:t>Ist in den Vorschriften keine Frist vorgesehen, innerhalb deren die Entscheidung über den Zulassungsantrag getroffen werden muss, so muss diese Entscheidung spätestens dreißig Werktage nach dem Datum der Empfangsbestätigung oder, wenn die Akte unvollständig ist, nach dem Datum, an dem der Antragsteller die erforderlichen zusätzlichen Unterlagen nachgereicht hat, getroffen werden.</w:t>
      </w:r>
    </w:p>
    <w:p w14:paraId="41F27F67" w14:textId="77777777" w:rsidR="00F6427E" w:rsidRPr="004676F5" w:rsidRDefault="00F6427E" w:rsidP="00F6427E">
      <w:pPr>
        <w:jc w:val="both"/>
        <w:rPr>
          <w:lang w:val="de-DE"/>
        </w:rPr>
      </w:pPr>
    </w:p>
    <w:p w14:paraId="0F0E6657" w14:textId="77777777" w:rsidR="00F6427E" w:rsidRPr="004676F5" w:rsidRDefault="00F6427E" w:rsidP="00F6427E">
      <w:pPr>
        <w:jc w:val="both"/>
        <w:rPr>
          <w:lang w:val="de-DE"/>
        </w:rPr>
      </w:pPr>
      <w:r w:rsidRPr="004676F5">
        <w:rPr>
          <w:lang w:val="de-DE"/>
        </w:rPr>
        <w:tab/>
        <w:t>Die Frist darf einmal für eine begrenzte Dauer verlängert werden, wenn dies durch die Komplexität der Angelegenheit gerechtfertigt ist. Die Fristverlängerung und deren Ende sind dem Antragsteller vor Ablauf der ursprünglichen Frist mitzuteilen.</w:t>
      </w:r>
    </w:p>
    <w:p w14:paraId="3678DBDE" w14:textId="77777777" w:rsidR="00F6427E" w:rsidRPr="004676F5" w:rsidRDefault="00F6427E" w:rsidP="00F6427E">
      <w:pPr>
        <w:jc w:val="both"/>
        <w:rPr>
          <w:lang w:val="de-DE"/>
        </w:rPr>
      </w:pPr>
    </w:p>
    <w:p w14:paraId="55979955" w14:textId="77777777" w:rsidR="00F6427E" w:rsidRPr="004676F5" w:rsidRDefault="00F6427E" w:rsidP="00F6427E">
      <w:pPr>
        <w:jc w:val="both"/>
        <w:rPr>
          <w:lang w:val="de-DE"/>
        </w:rPr>
      </w:pPr>
      <w:r w:rsidRPr="004676F5">
        <w:rPr>
          <w:lang w:val="de-DE"/>
        </w:rPr>
        <w:tab/>
        <w:t>Wird der Antrag nicht binnen der durch das Gesetz oder die Verordnung vorgesehenen Frist beantwortet, so gilt die Zulassung unbeschadet besonderer gesetzlicher oder verordnungsrechtlicher Regelungen, die durch einen zwingenden Grund des Allgemein</w:t>
      </w:r>
      <w:r w:rsidRPr="004676F5">
        <w:rPr>
          <w:lang w:val="de-DE"/>
        </w:rPr>
        <w:softHyphen/>
        <w:t>interesses gerechtfertigt sind, als erteilt.</w:t>
      </w:r>
    </w:p>
    <w:p w14:paraId="33E228DF" w14:textId="77777777" w:rsidR="00F6427E" w:rsidRPr="004676F5" w:rsidRDefault="00F6427E" w:rsidP="00F6427E">
      <w:pPr>
        <w:jc w:val="both"/>
        <w:rPr>
          <w:lang w:val="de-DE"/>
        </w:rPr>
      </w:pPr>
    </w:p>
    <w:p w14:paraId="0646C86F" w14:textId="77777777" w:rsidR="00D068E9" w:rsidRPr="004676F5" w:rsidRDefault="00D068E9" w:rsidP="00F6427E">
      <w:pPr>
        <w:jc w:val="both"/>
        <w:rPr>
          <w:lang w:val="de-DE"/>
        </w:rPr>
      </w:pPr>
    </w:p>
    <w:p w14:paraId="6484007F" w14:textId="0C824AF8"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III.10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dem Dienstleistungserbringer erteilte Zulassung ist unbefristet, es sei denn:</w:t>
      </w:r>
    </w:p>
    <w:p w14:paraId="3713EE7D" w14:textId="77777777" w:rsidR="00F6427E" w:rsidRPr="004676F5" w:rsidRDefault="00F6427E" w:rsidP="00F6427E">
      <w:pPr>
        <w:jc w:val="both"/>
        <w:rPr>
          <w:lang w:val="de-DE"/>
        </w:rPr>
      </w:pPr>
    </w:p>
    <w:p w14:paraId="12B10FE6" w14:textId="77777777" w:rsidR="00F6427E" w:rsidRPr="004676F5" w:rsidRDefault="00F6427E" w:rsidP="00F6427E">
      <w:pPr>
        <w:jc w:val="both"/>
        <w:rPr>
          <w:lang w:val="de-DE"/>
        </w:rPr>
      </w:pPr>
      <w:r w:rsidRPr="004676F5">
        <w:rPr>
          <w:lang w:val="de-DE"/>
        </w:rPr>
        <w:tab/>
        <w:t>1. die Zulassung wird automatisch verlängert,</w:t>
      </w:r>
    </w:p>
    <w:p w14:paraId="2DBB9FE8" w14:textId="77777777" w:rsidR="00F6427E" w:rsidRPr="004676F5" w:rsidRDefault="00F6427E" w:rsidP="00F6427E">
      <w:pPr>
        <w:jc w:val="both"/>
        <w:rPr>
          <w:lang w:val="de-DE"/>
        </w:rPr>
      </w:pPr>
    </w:p>
    <w:p w14:paraId="11F24759" w14:textId="77777777" w:rsidR="00F6427E" w:rsidRPr="004676F5" w:rsidRDefault="00F6427E" w:rsidP="00F6427E">
      <w:pPr>
        <w:jc w:val="both"/>
        <w:rPr>
          <w:lang w:val="de-DE"/>
        </w:rPr>
      </w:pPr>
      <w:r w:rsidRPr="004676F5">
        <w:rPr>
          <w:lang w:val="de-DE"/>
        </w:rPr>
        <w:tab/>
        <w:t>2. die Zulassung hängt lediglich von der fortbestehenden Erfüllung der Anforderungen ab,</w:t>
      </w:r>
    </w:p>
    <w:p w14:paraId="16A7E06D" w14:textId="77777777" w:rsidR="00F6427E" w:rsidRPr="004676F5" w:rsidRDefault="00F6427E" w:rsidP="00F6427E">
      <w:pPr>
        <w:jc w:val="both"/>
        <w:rPr>
          <w:lang w:val="de-DE"/>
        </w:rPr>
      </w:pPr>
    </w:p>
    <w:p w14:paraId="415966D3" w14:textId="77777777" w:rsidR="00F6427E" w:rsidRPr="004676F5" w:rsidRDefault="00F6427E" w:rsidP="00F6427E">
      <w:pPr>
        <w:jc w:val="both"/>
        <w:rPr>
          <w:lang w:val="de-DE"/>
        </w:rPr>
      </w:pPr>
      <w:r w:rsidRPr="004676F5">
        <w:rPr>
          <w:lang w:val="de-DE"/>
        </w:rPr>
        <w:tab/>
        <w:t>3. die Zahl der verfügbaren Zulassungen ist durch zwingende Gründe des Allgemeininteresses begrenzt,</w:t>
      </w:r>
    </w:p>
    <w:p w14:paraId="1DCA9375" w14:textId="77777777" w:rsidR="00F6427E" w:rsidRPr="004676F5" w:rsidRDefault="00F6427E" w:rsidP="00F6427E">
      <w:pPr>
        <w:jc w:val="both"/>
        <w:rPr>
          <w:lang w:val="de-DE"/>
        </w:rPr>
      </w:pPr>
    </w:p>
    <w:p w14:paraId="7F87AB11" w14:textId="77777777" w:rsidR="00F6427E" w:rsidRPr="004676F5" w:rsidRDefault="00F6427E" w:rsidP="00F6427E">
      <w:pPr>
        <w:jc w:val="both"/>
        <w:rPr>
          <w:lang w:val="de-DE"/>
        </w:rPr>
      </w:pPr>
      <w:r w:rsidRPr="004676F5">
        <w:rPr>
          <w:lang w:val="de-DE"/>
        </w:rPr>
        <w:tab/>
        <w:t>4. eine Befristung ist durch einen zwingenden Grund des Allgemeininteresses gerechtfertigt.</w:t>
      </w:r>
    </w:p>
    <w:p w14:paraId="12BABAE4" w14:textId="77777777" w:rsidR="00F6427E" w:rsidRPr="004676F5" w:rsidRDefault="00F6427E" w:rsidP="00F6427E">
      <w:pPr>
        <w:jc w:val="both"/>
        <w:rPr>
          <w:lang w:val="de-DE"/>
        </w:rPr>
      </w:pPr>
    </w:p>
    <w:p w14:paraId="20A07F4B" w14:textId="1A444980"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Paragraph 1 lässt die Möglichkeit unberührt, Zulassungen zu widerrufen, wenn die Voraussetzungen für die Erteilung der Zulassung nicht mehr erfüllt sind.</w:t>
      </w:r>
    </w:p>
    <w:p w14:paraId="48401824" w14:textId="77777777" w:rsidR="00F6427E" w:rsidRPr="004676F5" w:rsidRDefault="00F6427E" w:rsidP="00F6427E">
      <w:pPr>
        <w:jc w:val="both"/>
        <w:rPr>
          <w:lang w:val="de-DE"/>
        </w:rPr>
      </w:pPr>
    </w:p>
    <w:p w14:paraId="5DEB0A3F" w14:textId="3421FA4D" w:rsidR="00F6427E" w:rsidRPr="004676F5" w:rsidRDefault="00F6427E" w:rsidP="00F6427E">
      <w:pPr>
        <w:jc w:val="both"/>
        <w:rPr>
          <w:lang w:val="de-DE"/>
        </w:rPr>
      </w:pPr>
      <w:r w:rsidRPr="004676F5">
        <w:rPr>
          <w:lang w:val="de-DE"/>
        </w:rPr>
        <w:tab/>
        <w:t>§ 3 </w:t>
      </w:r>
      <w:r w:rsidR="005B7A5C" w:rsidRPr="004676F5">
        <w:rPr>
          <w:lang w:val="de-DE"/>
        </w:rPr>
        <w:t>- </w:t>
      </w:r>
      <w:r w:rsidRPr="004676F5">
        <w:rPr>
          <w:lang w:val="de-DE"/>
        </w:rPr>
        <w:t>Paragraph 1 betrifft nicht die Höchstfrist, innerhalb deren der Dienstleistungs</w:t>
      </w:r>
      <w:r w:rsidRPr="004676F5">
        <w:rPr>
          <w:lang w:val="de-DE"/>
        </w:rPr>
        <w:softHyphen/>
        <w:t>erbringer nach Erteilung der Zulassung seine Tätigkeit tatsächlich aufnehmen muss.</w:t>
      </w:r>
    </w:p>
    <w:p w14:paraId="127FC300" w14:textId="4A68853B" w:rsidR="00FD4FF3" w:rsidRPr="004676F5" w:rsidRDefault="00FD4FF3" w:rsidP="00F6427E">
      <w:pPr>
        <w:jc w:val="both"/>
        <w:rPr>
          <w:lang w:val="de-DE"/>
        </w:rPr>
      </w:pPr>
    </w:p>
    <w:p w14:paraId="26CC050C" w14:textId="7BEA6450" w:rsidR="00FD4FF3" w:rsidRPr="004676F5" w:rsidRDefault="00FD4FF3" w:rsidP="00F6427E">
      <w:pPr>
        <w:jc w:val="both"/>
        <w:rPr>
          <w:lang w:val="de-DE"/>
        </w:rPr>
      </w:pPr>
    </w:p>
    <w:p w14:paraId="17457A82" w14:textId="1980DAB0"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III.11</w:t>
      </w:r>
      <w:r w:rsidRPr="004676F5">
        <w:rPr>
          <w:lang w:val="de-DE"/>
        </w:rPr>
        <w:t> </w:t>
      </w:r>
      <w:r w:rsidR="005B7A5C" w:rsidRPr="004676F5">
        <w:rPr>
          <w:lang w:val="de-DE"/>
        </w:rPr>
        <w:t>- </w:t>
      </w:r>
      <w:r w:rsidRPr="004676F5">
        <w:rPr>
          <w:lang w:val="de-DE"/>
        </w:rPr>
        <w:t>Ist die Zahl der für eine bestimmte Dienstleistungstätigkeit verfügbaren Zulassungen aufgrund der Knappheit der natürlichen Ressourcen oder der verfügbaren technischen Kapazitäten begrenzt, so wird ein neutrales und transparentes Verfahren zur Auswahl der Bewerber angewendet, wobei insbesondere die Eröffnung, der Ablauf und der Ausgang des Verfahrens angemessen bekannt gemacht werden.</w:t>
      </w:r>
    </w:p>
    <w:p w14:paraId="5F797EE7" w14:textId="77777777" w:rsidR="00F6427E" w:rsidRPr="004676F5" w:rsidRDefault="00F6427E" w:rsidP="00F6427E">
      <w:pPr>
        <w:jc w:val="both"/>
        <w:rPr>
          <w:lang w:val="de-DE"/>
        </w:rPr>
      </w:pPr>
    </w:p>
    <w:p w14:paraId="53064E2A" w14:textId="77777777" w:rsidR="00F6427E" w:rsidRPr="004676F5" w:rsidRDefault="00F6427E" w:rsidP="00F6427E">
      <w:pPr>
        <w:jc w:val="both"/>
        <w:rPr>
          <w:lang w:val="de-DE"/>
        </w:rPr>
      </w:pPr>
      <w:r w:rsidRPr="004676F5">
        <w:rPr>
          <w:lang w:val="de-DE"/>
        </w:rPr>
        <w:tab/>
        <w:t>In den in Absatz 1 erwähnten Fällen wird die Zulassung für einen angemessenen befristeten Zeitraum gewährt und darf weder automatisch verlängert werden noch dem Dienstleistungserbringer, dessen Zulassung gerade abgelaufen ist, oder Personen, die in besonderer Beziehung zu diesem Dienstleistungserbringer stehen, irgendeine andere Begünstigung gewähren.</w:t>
      </w:r>
    </w:p>
    <w:p w14:paraId="33F190D4" w14:textId="77777777" w:rsidR="00F6427E" w:rsidRPr="004676F5" w:rsidRDefault="00F6427E" w:rsidP="00F6427E">
      <w:pPr>
        <w:jc w:val="both"/>
        <w:rPr>
          <w:lang w:val="de-DE"/>
        </w:rPr>
      </w:pPr>
    </w:p>
    <w:p w14:paraId="554DDA40" w14:textId="77777777" w:rsidR="00F6427E" w:rsidRPr="004676F5" w:rsidRDefault="00F6427E" w:rsidP="00F6427E">
      <w:pPr>
        <w:jc w:val="both"/>
        <w:rPr>
          <w:lang w:val="de-DE"/>
        </w:rPr>
      </w:pPr>
      <w:r w:rsidRPr="004676F5">
        <w:rPr>
          <w:lang w:val="de-DE"/>
        </w:rPr>
        <w:tab/>
        <w:t>Bei den Regeln für das Auswahlverfahren können Überlegungen im Hinblick auf die Volksgesundheit, sozialpolitische Ziele, die Gesundheit und Sicherheit von Arbeitnehmern oder Selbständigen, den Schutz der Umwelt, die Erhaltung des kulturellen Erbes und jeden anderen zwingenden Grund des Allgemeininteresses berücksichtigt werden.</w:t>
      </w:r>
    </w:p>
    <w:p w14:paraId="26BA9CCC" w14:textId="77777777" w:rsidR="00F6427E" w:rsidRPr="004676F5" w:rsidRDefault="00F6427E" w:rsidP="00F6427E">
      <w:pPr>
        <w:jc w:val="both"/>
        <w:rPr>
          <w:lang w:val="de-DE"/>
        </w:rPr>
      </w:pPr>
    </w:p>
    <w:p w14:paraId="601E05E4" w14:textId="77777777" w:rsidR="00D068E9" w:rsidRPr="004676F5" w:rsidRDefault="00D068E9" w:rsidP="00F6427E">
      <w:pPr>
        <w:jc w:val="both"/>
        <w:rPr>
          <w:lang w:val="de-DE"/>
        </w:rPr>
      </w:pPr>
    </w:p>
    <w:p w14:paraId="7AD4D61D" w14:textId="15CFDC0F" w:rsidR="00F6427E" w:rsidRPr="004676F5" w:rsidRDefault="00F6427E" w:rsidP="00F6427E">
      <w:pPr>
        <w:jc w:val="center"/>
        <w:rPr>
          <w:lang w:val="de-DE"/>
        </w:rPr>
      </w:pPr>
      <w:r w:rsidRPr="004676F5">
        <w:rPr>
          <w:i/>
          <w:lang w:val="de-DE"/>
        </w:rPr>
        <w:t>Abschnitt 2</w:t>
      </w:r>
      <w:r w:rsidRPr="004676F5">
        <w:rPr>
          <w:lang w:val="de-DE"/>
        </w:rPr>
        <w:t> </w:t>
      </w:r>
      <w:r w:rsidR="005B7A5C" w:rsidRPr="004676F5">
        <w:rPr>
          <w:lang w:val="de-DE"/>
        </w:rPr>
        <w:t>- </w:t>
      </w:r>
      <w:r w:rsidRPr="004676F5">
        <w:rPr>
          <w:lang w:val="de-DE"/>
        </w:rPr>
        <w:t>Sonstige Anforderungen</w:t>
      </w:r>
    </w:p>
    <w:p w14:paraId="52271204" w14:textId="77777777" w:rsidR="00F6427E" w:rsidRPr="004676F5" w:rsidRDefault="00F6427E" w:rsidP="00F6427E">
      <w:pPr>
        <w:jc w:val="both"/>
        <w:rPr>
          <w:lang w:val="de-DE"/>
        </w:rPr>
      </w:pPr>
    </w:p>
    <w:p w14:paraId="3FEB0A7B" w14:textId="77777777" w:rsidR="00D068E9" w:rsidRPr="004676F5" w:rsidRDefault="00D068E9" w:rsidP="00F6427E">
      <w:pPr>
        <w:jc w:val="both"/>
        <w:rPr>
          <w:lang w:val="de-DE"/>
        </w:rPr>
      </w:pPr>
    </w:p>
    <w:p w14:paraId="36FDE128" w14:textId="2E932C63"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III.12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Aufnahme oder Ausübung einer Dienstleistungstätigkeit in Belgien darf nicht von einer der folgenden Anforderungen abhängig gemacht werden:</w:t>
      </w:r>
    </w:p>
    <w:p w14:paraId="44B39884" w14:textId="77777777" w:rsidR="00F6427E" w:rsidRPr="004676F5" w:rsidRDefault="00F6427E" w:rsidP="00F6427E">
      <w:pPr>
        <w:jc w:val="both"/>
        <w:rPr>
          <w:lang w:val="de-DE"/>
        </w:rPr>
      </w:pPr>
    </w:p>
    <w:p w14:paraId="38EEE9C1" w14:textId="6297289D" w:rsidR="00F6427E" w:rsidRPr="004676F5" w:rsidRDefault="00F6427E" w:rsidP="00F6427E">
      <w:pPr>
        <w:jc w:val="both"/>
        <w:rPr>
          <w:lang w:val="de-DE"/>
        </w:rPr>
      </w:pPr>
      <w:r w:rsidRPr="004676F5">
        <w:rPr>
          <w:lang w:val="de-DE"/>
        </w:rPr>
        <w:tab/>
        <w:t xml:space="preserve">1. diskriminierenden Anforderungen, die direkt oder indirekt auf der Staatsangehörigkeit oder </w:t>
      </w:r>
      <w:r w:rsidR="005B7A5C" w:rsidRPr="004676F5">
        <w:rPr>
          <w:lang w:val="de-DE"/>
        </w:rPr>
        <w:t>- </w:t>
      </w:r>
      <w:r w:rsidRPr="004676F5">
        <w:rPr>
          <w:lang w:val="de-DE"/>
        </w:rPr>
        <w:t xml:space="preserve">für Gesellschaften </w:t>
      </w:r>
      <w:r w:rsidR="005B7A5C" w:rsidRPr="004676F5">
        <w:rPr>
          <w:lang w:val="de-DE"/>
        </w:rPr>
        <w:t>- </w:t>
      </w:r>
      <w:r w:rsidRPr="004676F5">
        <w:rPr>
          <w:lang w:val="de-DE"/>
        </w:rPr>
        <w:t>dem satzungsmäßigen Sitz beruhen, insbesondere:</w:t>
      </w:r>
    </w:p>
    <w:p w14:paraId="408A56DF" w14:textId="77777777" w:rsidR="00F6427E" w:rsidRPr="004676F5" w:rsidRDefault="00F6427E" w:rsidP="00F6427E">
      <w:pPr>
        <w:jc w:val="both"/>
        <w:rPr>
          <w:lang w:val="de-DE"/>
        </w:rPr>
      </w:pPr>
    </w:p>
    <w:p w14:paraId="163386FA" w14:textId="77777777" w:rsidR="00F6427E" w:rsidRPr="004676F5" w:rsidRDefault="00F6427E" w:rsidP="00F6427E">
      <w:pPr>
        <w:jc w:val="both"/>
        <w:rPr>
          <w:lang w:val="de-DE"/>
        </w:rPr>
      </w:pPr>
      <w:r w:rsidRPr="004676F5">
        <w:rPr>
          <w:lang w:val="de-DE"/>
        </w:rPr>
        <w:tab/>
      </w:r>
      <w:r w:rsidRPr="004676F5">
        <w:rPr>
          <w:i/>
          <w:lang w:val="de-DE"/>
        </w:rPr>
        <w:t>a)</w:t>
      </w:r>
      <w:r w:rsidRPr="004676F5">
        <w:rPr>
          <w:lang w:val="de-DE"/>
        </w:rPr>
        <w:t> einem Staatsangehörigkeitserfordernis für den Dienstleistungserbringer, seine Beschäftigten, seine Gesellschafter oder die Mitglieder der Geschäftsführung oder Kontrollorgane,</w:t>
      </w:r>
    </w:p>
    <w:p w14:paraId="51CDCFC1" w14:textId="77777777" w:rsidR="00F6427E" w:rsidRPr="004676F5" w:rsidRDefault="00F6427E" w:rsidP="00F6427E">
      <w:pPr>
        <w:jc w:val="both"/>
        <w:rPr>
          <w:lang w:val="de-DE"/>
        </w:rPr>
      </w:pPr>
    </w:p>
    <w:p w14:paraId="5FA7FC06" w14:textId="77777777" w:rsidR="00F6427E" w:rsidRPr="004676F5" w:rsidRDefault="00F6427E" w:rsidP="00F6427E">
      <w:pPr>
        <w:jc w:val="both"/>
        <w:rPr>
          <w:lang w:val="de-DE"/>
        </w:rPr>
      </w:pPr>
      <w:r w:rsidRPr="004676F5">
        <w:rPr>
          <w:lang w:val="de-DE"/>
        </w:rPr>
        <w:tab/>
      </w:r>
      <w:r w:rsidRPr="004676F5">
        <w:rPr>
          <w:i/>
          <w:lang w:val="de-DE"/>
        </w:rPr>
        <w:t>b)</w:t>
      </w:r>
      <w:r w:rsidRPr="004676F5">
        <w:rPr>
          <w:lang w:val="de-DE"/>
        </w:rPr>
        <w:t> einer Residenzpflicht des Dienstleistungserbringers, seiner Beschäftigten, der Gesellschafter oder der Mitglieder der Geschäftsführung oder Kontrollorgane im belgischen Hoheitsgebiet,</w:t>
      </w:r>
    </w:p>
    <w:p w14:paraId="4A7C5503" w14:textId="77777777" w:rsidR="00F6427E" w:rsidRPr="004676F5" w:rsidRDefault="00F6427E" w:rsidP="00F6427E">
      <w:pPr>
        <w:jc w:val="both"/>
        <w:rPr>
          <w:lang w:val="de-DE"/>
        </w:rPr>
      </w:pPr>
    </w:p>
    <w:p w14:paraId="1ED61DF9" w14:textId="77777777" w:rsidR="00F6427E" w:rsidRPr="004676F5" w:rsidRDefault="00F6427E" w:rsidP="00F6427E">
      <w:pPr>
        <w:jc w:val="both"/>
        <w:rPr>
          <w:lang w:val="de-DE"/>
        </w:rPr>
      </w:pPr>
      <w:r w:rsidRPr="004676F5">
        <w:rPr>
          <w:lang w:val="de-DE"/>
        </w:rPr>
        <w:tab/>
        <w:t xml:space="preserve">2. einem Verbot der Errichtung von Niederlassungen in mehr als einem Mitgliedstaat oder der Eintragung in Register oder der Registrierung bei Berufsverbänden oder </w:t>
      </w:r>
      <w:r w:rsidRPr="004676F5">
        <w:rPr>
          <w:lang w:val="de-DE"/>
        </w:rPr>
        <w:noBreakHyphen/>
        <w:t>vereinigungen in mehr als einem Mitgliedstaat,</w:t>
      </w:r>
    </w:p>
    <w:p w14:paraId="174890AF" w14:textId="77777777" w:rsidR="00F6427E" w:rsidRPr="004676F5" w:rsidRDefault="00F6427E" w:rsidP="00F6427E">
      <w:pPr>
        <w:jc w:val="both"/>
        <w:rPr>
          <w:lang w:val="de-DE"/>
        </w:rPr>
      </w:pPr>
    </w:p>
    <w:p w14:paraId="55E33807" w14:textId="77777777" w:rsidR="00F6427E" w:rsidRPr="004676F5" w:rsidRDefault="00F6427E" w:rsidP="00F6427E">
      <w:pPr>
        <w:jc w:val="both"/>
        <w:rPr>
          <w:lang w:val="de-DE"/>
        </w:rPr>
      </w:pPr>
      <w:r w:rsidRPr="004676F5">
        <w:rPr>
          <w:lang w:val="de-DE"/>
        </w:rPr>
        <w:tab/>
        <w:t>3. Beschränkungen der Wahlfreiheit des Dienstleistungserbringers zwischen einer Hauptniederlassung und einer Zweitniederlassung, insbesondere der Verpflichtung für den Dienstleistungserbringer, seine Hauptniederlassung in ihrem Hoheitsgebiet zu unterhalten, oder Beschränkungen der Wahlfreiheit für eine Niederlassung in Form einer Agentur, einer Zweigstelle oder einer Tochtergesellschaft,</w:t>
      </w:r>
    </w:p>
    <w:p w14:paraId="08E95610" w14:textId="77777777" w:rsidR="00F6427E" w:rsidRPr="004676F5" w:rsidRDefault="00F6427E" w:rsidP="00F6427E">
      <w:pPr>
        <w:jc w:val="both"/>
        <w:rPr>
          <w:lang w:val="de-DE"/>
        </w:rPr>
      </w:pPr>
    </w:p>
    <w:p w14:paraId="7A975E67" w14:textId="52D1343D" w:rsidR="00F6427E" w:rsidRPr="004676F5" w:rsidRDefault="00F6427E" w:rsidP="00F6427E">
      <w:pPr>
        <w:jc w:val="both"/>
        <w:rPr>
          <w:lang w:val="de-DE"/>
        </w:rPr>
      </w:pPr>
      <w:r w:rsidRPr="004676F5">
        <w:rPr>
          <w:lang w:val="de-DE"/>
        </w:rPr>
        <w:tab/>
        <w:t>4. Bedingungen der Gegenseitigkeit in Bezug auf den Mitgliedstaat, in dem der Dienstleistungserbringer bereits eine Niederlassung unterhält, mit Ausnahme solcher, die durch Gemeinschaftsrechtsakte im Bereich der Energie vorgesehen sind,</w:t>
      </w:r>
    </w:p>
    <w:p w14:paraId="3ECDF721" w14:textId="7E8E8733" w:rsidR="00FD4FF3" w:rsidRPr="004676F5" w:rsidRDefault="00FD4FF3" w:rsidP="00F6427E">
      <w:pPr>
        <w:jc w:val="both"/>
        <w:rPr>
          <w:lang w:val="de-DE"/>
        </w:rPr>
      </w:pPr>
    </w:p>
    <w:p w14:paraId="507103AA" w14:textId="77777777" w:rsidR="00F6427E" w:rsidRPr="004676F5" w:rsidRDefault="00F6427E" w:rsidP="00F6427E">
      <w:pPr>
        <w:jc w:val="both"/>
        <w:rPr>
          <w:lang w:val="de-DE"/>
        </w:rPr>
      </w:pPr>
      <w:r w:rsidRPr="004676F5">
        <w:rPr>
          <w:lang w:val="de-DE"/>
        </w:rPr>
        <w:tab/>
        <w:t>5. einer wirtschaftlichen Überprüfung im Einzelfall, bei der die Erteilung der Zulassung vom Nachweis eines wirtschaftlichen Bedarfs oder einer Marktnachfrage abhängig gemacht wird, oder der Beurteilung der tatsächlichen oder möglichen wirtschaftlichen Auswirkungen der Tätigkeit oder der Bewertung ihrer Eignung für die Verwirklichung wirtschaftlicher, von der zuständigen Behörde festgelegter Programmziele,</w:t>
      </w:r>
    </w:p>
    <w:p w14:paraId="1AA6632E" w14:textId="77777777" w:rsidR="00F6427E" w:rsidRPr="004676F5" w:rsidRDefault="00F6427E" w:rsidP="00F6427E">
      <w:pPr>
        <w:jc w:val="both"/>
        <w:rPr>
          <w:lang w:val="de-DE"/>
        </w:rPr>
      </w:pPr>
    </w:p>
    <w:p w14:paraId="7C37AE0E" w14:textId="77777777" w:rsidR="00F6427E" w:rsidRPr="004676F5" w:rsidRDefault="00F6427E" w:rsidP="00F6427E">
      <w:pPr>
        <w:jc w:val="both"/>
        <w:rPr>
          <w:lang w:val="de-DE"/>
        </w:rPr>
      </w:pPr>
      <w:r w:rsidRPr="004676F5">
        <w:rPr>
          <w:lang w:val="de-DE"/>
        </w:rPr>
        <w:tab/>
        <w:t xml:space="preserve">6. der direkten oder indirekten Beteiligung von konkurrierenden Marktteilnehmern, einschließlich in Beratungsgremien, an der Erteilung von Zulassungen oder dem Erlass anderer Entscheidungen der zuständigen Behörden, mit Ausnahme der Berufsverbände und </w:t>
      </w:r>
      <w:r w:rsidRPr="004676F5">
        <w:rPr>
          <w:lang w:val="de-DE"/>
        </w:rPr>
        <w:noBreakHyphen/>
        <w:t>vereinigungen oder anderen Berufsorganisationen, die als zuständige Behörde fungieren; dieses Verbot gilt weder für die Anhörung von Organisationen wie Handelskammern oder Sozialpartnern zu Fragen, die nicht einzelne Zulassungsanträge betreffen, noch für die Anhörung der Öffentlichkeit,</w:t>
      </w:r>
    </w:p>
    <w:p w14:paraId="7F1D40D3" w14:textId="77777777" w:rsidR="00F6427E" w:rsidRPr="004676F5" w:rsidRDefault="00F6427E" w:rsidP="00F6427E">
      <w:pPr>
        <w:jc w:val="both"/>
        <w:rPr>
          <w:lang w:val="de-DE"/>
        </w:rPr>
      </w:pPr>
    </w:p>
    <w:p w14:paraId="204CD4AB" w14:textId="77777777" w:rsidR="00F6427E" w:rsidRPr="004676F5" w:rsidRDefault="00F6427E" w:rsidP="00F6427E">
      <w:pPr>
        <w:jc w:val="both"/>
        <w:rPr>
          <w:lang w:val="de-DE"/>
        </w:rPr>
      </w:pPr>
      <w:r w:rsidRPr="004676F5">
        <w:rPr>
          <w:lang w:val="de-DE"/>
        </w:rPr>
        <w:tab/>
        <w:t>7. der Pflicht, eine finanzielle Sicherheit zu stellen oder sich daran zu beteiligen, oder eine Versicherung bei einem Dienstleistungserbringer oder einer Einrichtung, die im belgischen Hoheitsgebiet ansässig sind, abzuschließen. Dies berührt weder die Möglichkeit, Versicherungen oder finanzielle Sicherheiten als solche zu verlangen, noch Anforderungen, die sich auf die Beteiligung an einem kollektiven Ausgleichsfonds, zum Beispiel für Mitglieder von Berufsverbänden oder -organisationen, beziehen,</w:t>
      </w:r>
    </w:p>
    <w:p w14:paraId="3E875AE5" w14:textId="77777777" w:rsidR="00F6427E" w:rsidRPr="004676F5" w:rsidRDefault="00F6427E" w:rsidP="00F6427E">
      <w:pPr>
        <w:jc w:val="both"/>
        <w:rPr>
          <w:lang w:val="de-DE"/>
        </w:rPr>
      </w:pPr>
    </w:p>
    <w:p w14:paraId="69B6D490" w14:textId="77777777" w:rsidR="00F6427E" w:rsidRPr="004676F5" w:rsidRDefault="00F6427E" w:rsidP="00F6427E">
      <w:pPr>
        <w:jc w:val="both"/>
        <w:rPr>
          <w:lang w:val="de-DE"/>
        </w:rPr>
      </w:pPr>
      <w:r w:rsidRPr="004676F5">
        <w:rPr>
          <w:lang w:val="de-DE"/>
        </w:rPr>
        <w:tab/>
        <w:t>8. der Pflicht, bereits vorher während eines bestimmten Zeitraums in den in Belgien geführten Registern eingetragen gewesen zu sein oder die Tätigkeit vorher während eines bestimmten Zeitraums in Belgien ausgeübt zu haben.</w:t>
      </w:r>
    </w:p>
    <w:p w14:paraId="26057C32" w14:textId="77777777" w:rsidR="00F6427E" w:rsidRPr="004676F5" w:rsidRDefault="00F6427E" w:rsidP="00F6427E">
      <w:pPr>
        <w:jc w:val="both"/>
        <w:rPr>
          <w:lang w:val="de-DE"/>
        </w:rPr>
      </w:pPr>
    </w:p>
    <w:p w14:paraId="3B7A4283" w14:textId="381D9C90"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Das in § 1 Nr. 5 enthaltene Verbot betrifft nicht Planungserfordernisse, die keine wirtschaftlichen Ziele verfolgen, sondern zwingenden Gründen des Allgemeininteresses dienen.</w:t>
      </w:r>
    </w:p>
    <w:p w14:paraId="5C5665D8" w14:textId="77777777" w:rsidR="00F6427E" w:rsidRPr="004676F5" w:rsidRDefault="00F6427E" w:rsidP="00F6427E">
      <w:pPr>
        <w:jc w:val="both"/>
        <w:rPr>
          <w:lang w:val="de-DE"/>
        </w:rPr>
      </w:pPr>
    </w:p>
    <w:p w14:paraId="798DE988" w14:textId="77777777" w:rsidR="00D068E9" w:rsidRPr="004676F5" w:rsidRDefault="00D068E9">
      <w:pPr>
        <w:rPr>
          <w:lang w:val="de-DE"/>
        </w:rPr>
      </w:pPr>
      <w:r w:rsidRPr="004676F5">
        <w:rPr>
          <w:lang w:val="de-DE"/>
        </w:rPr>
        <w:br w:type="page"/>
      </w:r>
    </w:p>
    <w:p w14:paraId="5444ECFB" w14:textId="6214DEAF" w:rsidR="00F6427E" w:rsidRPr="004676F5" w:rsidRDefault="00F6427E" w:rsidP="00F6427E">
      <w:pPr>
        <w:jc w:val="center"/>
        <w:rPr>
          <w:lang w:val="de-DE"/>
        </w:rPr>
      </w:pPr>
      <w:r w:rsidRPr="004676F5">
        <w:rPr>
          <w:lang w:val="de-DE"/>
        </w:rPr>
        <w:lastRenderedPageBreak/>
        <w:t>KAPITEL 3 </w:t>
      </w:r>
      <w:r w:rsidR="005B7A5C" w:rsidRPr="004676F5">
        <w:rPr>
          <w:lang w:val="de-DE"/>
        </w:rPr>
        <w:t>- </w:t>
      </w:r>
      <w:r w:rsidRPr="004676F5">
        <w:rPr>
          <w:i/>
          <w:lang w:val="de-DE"/>
        </w:rPr>
        <w:t>Dienstleistungsfreiheit</w:t>
      </w:r>
    </w:p>
    <w:p w14:paraId="73444CA5" w14:textId="77777777" w:rsidR="00F6427E" w:rsidRPr="004676F5" w:rsidRDefault="00F6427E" w:rsidP="00F6427E">
      <w:pPr>
        <w:jc w:val="both"/>
        <w:rPr>
          <w:lang w:val="de-DE"/>
        </w:rPr>
      </w:pPr>
    </w:p>
    <w:p w14:paraId="1E3D52A0" w14:textId="77777777" w:rsidR="00D068E9" w:rsidRPr="004676F5" w:rsidRDefault="00D068E9" w:rsidP="00F6427E">
      <w:pPr>
        <w:jc w:val="both"/>
        <w:rPr>
          <w:lang w:val="de-DE"/>
        </w:rPr>
      </w:pPr>
    </w:p>
    <w:p w14:paraId="31978131" w14:textId="677D0F2B"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III.13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Aufnahme oder Ausübung einer Dienstleistungstätigkeit darf nicht von Anforderungen abhängig gemacht werden, die:</w:t>
      </w:r>
    </w:p>
    <w:p w14:paraId="1C441011" w14:textId="77777777" w:rsidR="00F6427E" w:rsidRPr="004676F5" w:rsidRDefault="00F6427E" w:rsidP="00F6427E">
      <w:pPr>
        <w:jc w:val="both"/>
        <w:rPr>
          <w:lang w:val="de-DE"/>
        </w:rPr>
      </w:pPr>
    </w:p>
    <w:p w14:paraId="7A2918CA" w14:textId="1197AF43" w:rsidR="00F6427E" w:rsidRPr="004676F5" w:rsidRDefault="00F6427E" w:rsidP="00F6427E">
      <w:pPr>
        <w:jc w:val="both"/>
        <w:rPr>
          <w:lang w:val="de-DE"/>
        </w:rPr>
      </w:pPr>
      <w:r w:rsidRPr="004676F5">
        <w:rPr>
          <w:lang w:val="de-DE"/>
        </w:rPr>
        <w:tab/>
        <w:t xml:space="preserve">1. diskriminierend sind und direkt oder indirekt auf der Staatsangehörigkeit oder </w:t>
      </w:r>
      <w:r w:rsidR="005B7A5C" w:rsidRPr="004676F5">
        <w:rPr>
          <w:lang w:val="de-DE"/>
        </w:rPr>
        <w:t>- </w:t>
      </w:r>
      <w:r w:rsidRPr="004676F5">
        <w:rPr>
          <w:lang w:val="de-DE"/>
        </w:rPr>
        <w:t xml:space="preserve">für Gesellschaften </w:t>
      </w:r>
      <w:r w:rsidR="005B7A5C" w:rsidRPr="004676F5">
        <w:rPr>
          <w:lang w:val="de-DE"/>
        </w:rPr>
        <w:t>- </w:t>
      </w:r>
      <w:r w:rsidRPr="004676F5">
        <w:rPr>
          <w:lang w:val="de-DE"/>
        </w:rPr>
        <w:t>dem satzungsmäßigen Sitz beruhen,</w:t>
      </w:r>
    </w:p>
    <w:p w14:paraId="15A8FB91" w14:textId="77777777" w:rsidR="00F6427E" w:rsidRPr="004676F5" w:rsidRDefault="00F6427E" w:rsidP="00F6427E">
      <w:pPr>
        <w:jc w:val="both"/>
        <w:rPr>
          <w:lang w:val="de-DE"/>
        </w:rPr>
      </w:pPr>
    </w:p>
    <w:p w14:paraId="0EC798A9" w14:textId="77777777" w:rsidR="00F6427E" w:rsidRPr="004676F5" w:rsidRDefault="00F6427E" w:rsidP="00F6427E">
      <w:pPr>
        <w:jc w:val="both"/>
        <w:rPr>
          <w:lang w:val="de-DE"/>
        </w:rPr>
      </w:pPr>
      <w:r w:rsidRPr="004676F5">
        <w:rPr>
          <w:lang w:val="de-DE"/>
        </w:rPr>
        <w:tab/>
        <w:t>2. nicht aus Gründen der öffentlichen Ordnung, der öffentlichen Sicherheit, der Volksgesundheit oder des Schutzes der Umwelt gerechtfertigt sind,</w:t>
      </w:r>
    </w:p>
    <w:p w14:paraId="1A383A9A" w14:textId="77777777" w:rsidR="00F6427E" w:rsidRPr="004676F5" w:rsidRDefault="00F6427E" w:rsidP="00F6427E">
      <w:pPr>
        <w:jc w:val="both"/>
        <w:rPr>
          <w:lang w:val="de-DE"/>
        </w:rPr>
      </w:pPr>
    </w:p>
    <w:p w14:paraId="7A2CEA0D" w14:textId="77777777" w:rsidR="00F6427E" w:rsidRPr="004676F5" w:rsidRDefault="00F6427E" w:rsidP="00F6427E">
      <w:pPr>
        <w:jc w:val="both"/>
        <w:rPr>
          <w:lang w:val="de-DE"/>
        </w:rPr>
      </w:pPr>
      <w:r w:rsidRPr="004676F5">
        <w:rPr>
          <w:lang w:val="de-DE"/>
        </w:rPr>
        <w:tab/>
        <w:t>3. nicht zur Verwirklichung des mit ihnen verfolgten Ziels geeignet sind und über das hinausgehen, was zur Erreichung dieses Ziels erforderlich ist.</w:t>
      </w:r>
    </w:p>
    <w:p w14:paraId="281BF933" w14:textId="77777777" w:rsidR="00F6427E" w:rsidRPr="004676F5" w:rsidRDefault="00F6427E" w:rsidP="00F6427E">
      <w:pPr>
        <w:jc w:val="both"/>
        <w:rPr>
          <w:lang w:val="de-DE"/>
        </w:rPr>
      </w:pPr>
    </w:p>
    <w:p w14:paraId="5433D266" w14:textId="329C9302"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Die Dienstleistungsfreiheit eines in einem anderen Mitgliedstaat ansässigen Dienstleistungserbringers im belgischen Hoheitsgebiet darf nicht durch eine der folgenden Anforderungen eingeschränkt werden:</w:t>
      </w:r>
    </w:p>
    <w:p w14:paraId="631B67B9" w14:textId="77777777" w:rsidR="00F6427E" w:rsidRPr="004676F5" w:rsidRDefault="00F6427E" w:rsidP="00F6427E">
      <w:pPr>
        <w:jc w:val="both"/>
        <w:rPr>
          <w:lang w:val="de-DE"/>
        </w:rPr>
      </w:pPr>
    </w:p>
    <w:p w14:paraId="2D6707CA" w14:textId="77777777" w:rsidR="00F6427E" w:rsidRPr="004676F5" w:rsidRDefault="00F6427E" w:rsidP="00F6427E">
      <w:pPr>
        <w:jc w:val="both"/>
        <w:rPr>
          <w:lang w:val="de-DE"/>
        </w:rPr>
      </w:pPr>
      <w:r w:rsidRPr="004676F5">
        <w:rPr>
          <w:lang w:val="de-DE"/>
        </w:rPr>
        <w:tab/>
      </w:r>
      <w:r w:rsidRPr="004676F5">
        <w:rPr>
          <w:i/>
          <w:lang w:val="de-DE"/>
        </w:rPr>
        <w:t>a)</w:t>
      </w:r>
      <w:r w:rsidRPr="004676F5">
        <w:rPr>
          <w:lang w:val="de-DE"/>
        </w:rPr>
        <w:t> Pflicht des Dienstleistungserbringers, in Belgien eine Niederlassung zu unterhalten,</w:t>
      </w:r>
    </w:p>
    <w:p w14:paraId="64A29338" w14:textId="77777777" w:rsidR="00F6427E" w:rsidRPr="004676F5" w:rsidRDefault="00F6427E" w:rsidP="00F6427E">
      <w:pPr>
        <w:rPr>
          <w:lang w:val="de-DE"/>
        </w:rPr>
      </w:pPr>
    </w:p>
    <w:p w14:paraId="4BF6A615" w14:textId="77777777" w:rsidR="00F6427E" w:rsidRPr="004676F5" w:rsidRDefault="00F6427E" w:rsidP="00F6427E">
      <w:pPr>
        <w:jc w:val="both"/>
        <w:rPr>
          <w:lang w:val="de-DE"/>
        </w:rPr>
      </w:pPr>
      <w:r w:rsidRPr="004676F5">
        <w:rPr>
          <w:lang w:val="de-DE"/>
        </w:rPr>
        <w:tab/>
      </w:r>
      <w:r w:rsidRPr="004676F5">
        <w:rPr>
          <w:i/>
          <w:lang w:val="de-DE"/>
        </w:rPr>
        <w:t>b)</w:t>
      </w:r>
      <w:r w:rsidRPr="004676F5">
        <w:rPr>
          <w:lang w:val="de-DE"/>
        </w:rPr>
        <w:t> Pflicht des Dienstleistungserbringers, bei der zuständigen belgischen Behörde eine Zulassung einzuholen; dies gilt auch für die Verpflichtung zur Eintragung in ein Register oder zur Registrierung bei einem Berufsverband oder einer Berufsvereinigung in Belgien, außer in den in vorliegendem Titel vorgesehenen oder durch das Gemeinschaftsrecht geregelten Fällen,</w:t>
      </w:r>
    </w:p>
    <w:p w14:paraId="504E4C32" w14:textId="77777777" w:rsidR="00F6427E" w:rsidRPr="004676F5" w:rsidRDefault="00F6427E" w:rsidP="00F6427E">
      <w:pPr>
        <w:jc w:val="both"/>
        <w:rPr>
          <w:lang w:val="de-DE"/>
        </w:rPr>
      </w:pPr>
    </w:p>
    <w:p w14:paraId="66CDE876" w14:textId="77777777" w:rsidR="00F6427E" w:rsidRPr="004676F5" w:rsidRDefault="00F6427E" w:rsidP="00F6427E">
      <w:pPr>
        <w:jc w:val="both"/>
        <w:rPr>
          <w:lang w:val="de-DE"/>
        </w:rPr>
      </w:pPr>
      <w:r w:rsidRPr="004676F5">
        <w:rPr>
          <w:lang w:val="de-DE"/>
        </w:rPr>
        <w:tab/>
      </w:r>
      <w:r w:rsidRPr="004676F5">
        <w:rPr>
          <w:i/>
          <w:lang w:val="de-DE"/>
        </w:rPr>
        <w:t>c)</w:t>
      </w:r>
      <w:r w:rsidRPr="004676F5">
        <w:rPr>
          <w:lang w:val="de-DE"/>
        </w:rPr>
        <w:t> Verbot für den Dienstleistungserbringer, in Belgien eine bestimmte Form oder Art von Infrastruktur zu errichten, einschließlich Geschäftsräumen oder einer Kanzlei, die der Dienstleistungserbringer zur Erbringung der betreffenden Leistungen benötigt,</w:t>
      </w:r>
    </w:p>
    <w:p w14:paraId="045BEFF5" w14:textId="77777777" w:rsidR="00F6427E" w:rsidRPr="004676F5" w:rsidRDefault="00F6427E" w:rsidP="00F6427E">
      <w:pPr>
        <w:jc w:val="both"/>
        <w:rPr>
          <w:lang w:val="de-DE"/>
        </w:rPr>
      </w:pPr>
    </w:p>
    <w:p w14:paraId="56112B7F" w14:textId="77777777" w:rsidR="00F6427E" w:rsidRPr="004676F5" w:rsidRDefault="00F6427E" w:rsidP="00F6427E">
      <w:pPr>
        <w:jc w:val="both"/>
        <w:rPr>
          <w:lang w:val="de-DE"/>
        </w:rPr>
      </w:pPr>
      <w:r w:rsidRPr="004676F5">
        <w:rPr>
          <w:lang w:val="de-DE"/>
        </w:rPr>
        <w:tab/>
      </w:r>
      <w:r w:rsidRPr="004676F5">
        <w:rPr>
          <w:i/>
          <w:lang w:val="de-DE"/>
        </w:rPr>
        <w:t>d)</w:t>
      </w:r>
      <w:r w:rsidRPr="004676F5">
        <w:rPr>
          <w:lang w:val="de-DE"/>
        </w:rPr>
        <w:t> Anwendung bestimmter vertraglicher Vereinbarungen zur Regelung der Beziehungen zwischen dem Dienstleistungserbringer und dem Dienstleistungsempfänger, die eine selbständige Tätigkeit des Dienstleistungserbringers verhindert oder beschränkt,</w:t>
      </w:r>
    </w:p>
    <w:p w14:paraId="6BBE8864" w14:textId="77777777" w:rsidR="00F6427E" w:rsidRPr="004676F5" w:rsidRDefault="00F6427E" w:rsidP="00F6427E">
      <w:pPr>
        <w:jc w:val="both"/>
        <w:rPr>
          <w:lang w:val="de-DE"/>
        </w:rPr>
      </w:pPr>
    </w:p>
    <w:p w14:paraId="07835BB1" w14:textId="77777777" w:rsidR="00F6427E" w:rsidRPr="004676F5" w:rsidRDefault="00F6427E" w:rsidP="00F6427E">
      <w:pPr>
        <w:jc w:val="both"/>
        <w:rPr>
          <w:lang w:val="de-DE"/>
        </w:rPr>
      </w:pPr>
      <w:r w:rsidRPr="004676F5">
        <w:rPr>
          <w:lang w:val="de-DE"/>
        </w:rPr>
        <w:tab/>
      </w:r>
      <w:r w:rsidRPr="004676F5">
        <w:rPr>
          <w:i/>
          <w:lang w:val="de-DE"/>
        </w:rPr>
        <w:t>e)</w:t>
      </w:r>
      <w:r w:rsidRPr="004676F5">
        <w:rPr>
          <w:lang w:val="de-DE"/>
        </w:rPr>
        <w:t> Pflicht des Dienstleistungserbringers, sich von den zuständigen belgischen Behörden einen besonderen Ausweis für die Ausübung einer Dienstleistungstätigkeit ausstellen zu lassen,</w:t>
      </w:r>
    </w:p>
    <w:p w14:paraId="5561566A" w14:textId="77777777" w:rsidR="00F6427E" w:rsidRPr="004676F5" w:rsidRDefault="00F6427E" w:rsidP="00F6427E">
      <w:pPr>
        <w:jc w:val="both"/>
        <w:rPr>
          <w:lang w:val="de-DE"/>
        </w:rPr>
      </w:pPr>
    </w:p>
    <w:p w14:paraId="123CF46E" w14:textId="77777777" w:rsidR="00F6427E" w:rsidRPr="004676F5" w:rsidRDefault="00F6427E" w:rsidP="00F6427E">
      <w:pPr>
        <w:jc w:val="both"/>
        <w:rPr>
          <w:lang w:val="de-DE"/>
        </w:rPr>
      </w:pPr>
      <w:r w:rsidRPr="004676F5">
        <w:rPr>
          <w:lang w:val="de-DE"/>
        </w:rPr>
        <w:tab/>
      </w:r>
      <w:r w:rsidRPr="004676F5">
        <w:rPr>
          <w:i/>
          <w:lang w:val="de-DE"/>
        </w:rPr>
        <w:t>f)</w:t>
      </w:r>
      <w:r w:rsidRPr="004676F5">
        <w:rPr>
          <w:lang w:val="de-DE"/>
        </w:rPr>
        <w:t> Anforderungen betreffend die Verwendung von Ausrüstungsgegenständen und Materialien, die integraler Bestandteil der Dienstleistung sind, es sei denn, diese Anforderungen sind für den Schutz der Gesundheit und die Sicherheit am Arbeitsplatz notwendig,</w:t>
      </w:r>
    </w:p>
    <w:p w14:paraId="4779E438" w14:textId="77777777" w:rsidR="00F6427E" w:rsidRPr="004676F5" w:rsidRDefault="00F6427E" w:rsidP="00F6427E">
      <w:pPr>
        <w:jc w:val="both"/>
        <w:rPr>
          <w:lang w:val="de-DE"/>
        </w:rPr>
      </w:pPr>
    </w:p>
    <w:p w14:paraId="2A352464" w14:textId="77777777" w:rsidR="00F6427E" w:rsidRPr="004676F5" w:rsidRDefault="00F6427E" w:rsidP="00F6427E">
      <w:pPr>
        <w:jc w:val="both"/>
        <w:rPr>
          <w:lang w:val="de-DE"/>
        </w:rPr>
      </w:pPr>
      <w:r w:rsidRPr="004676F5">
        <w:rPr>
          <w:lang w:val="de-DE"/>
        </w:rPr>
        <w:tab/>
      </w:r>
      <w:r w:rsidRPr="004676F5">
        <w:rPr>
          <w:i/>
          <w:lang w:val="de-DE"/>
        </w:rPr>
        <w:t>g)</w:t>
      </w:r>
      <w:r w:rsidRPr="004676F5">
        <w:rPr>
          <w:lang w:val="de-DE"/>
        </w:rPr>
        <w:t> in Artikel III.80 erwähnte Beschränkungen des freien Dienstleistungsverkehrs.</w:t>
      </w:r>
    </w:p>
    <w:p w14:paraId="53C1E752" w14:textId="77777777" w:rsidR="00F6427E" w:rsidRPr="004676F5" w:rsidRDefault="00F6427E" w:rsidP="00F6427E">
      <w:pPr>
        <w:jc w:val="both"/>
        <w:rPr>
          <w:lang w:val="de-DE"/>
        </w:rPr>
      </w:pPr>
    </w:p>
    <w:p w14:paraId="50D40A35" w14:textId="77777777" w:rsidR="00D068E9" w:rsidRPr="004676F5" w:rsidRDefault="00D068E9" w:rsidP="00F6427E">
      <w:pPr>
        <w:jc w:val="both"/>
        <w:rPr>
          <w:lang w:val="de-DE"/>
        </w:rPr>
      </w:pPr>
    </w:p>
    <w:p w14:paraId="71986FCA" w14:textId="648B21C8"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III.14</w:t>
      </w:r>
      <w:r w:rsidRPr="004676F5">
        <w:rPr>
          <w:lang w:val="de-DE"/>
        </w:rPr>
        <w:t> </w:t>
      </w:r>
      <w:r w:rsidR="005B7A5C" w:rsidRPr="004676F5">
        <w:rPr>
          <w:lang w:val="de-DE"/>
        </w:rPr>
        <w:t>- </w:t>
      </w:r>
      <w:r w:rsidRPr="004676F5">
        <w:rPr>
          <w:lang w:val="de-DE"/>
        </w:rPr>
        <w:t>Artikel III.13 findet keine Anwendung auf:</w:t>
      </w:r>
    </w:p>
    <w:p w14:paraId="00057EBD" w14:textId="77777777" w:rsidR="00F6427E" w:rsidRPr="004676F5" w:rsidRDefault="00F6427E" w:rsidP="00F6427E">
      <w:pPr>
        <w:jc w:val="both"/>
        <w:rPr>
          <w:lang w:val="de-DE"/>
        </w:rPr>
      </w:pPr>
    </w:p>
    <w:p w14:paraId="6DDBD0EE" w14:textId="77777777" w:rsidR="00F6427E" w:rsidRPr="004676F5" w:rsidRDefault="00F6427E" w:rsidP="00F6427E">
      <w:pPr>
        <w:jc w:val="both"/>
        <w:rPr>
          <w:lang w:val="de-DE"/>
        </w:rPr>
      </w:pPr>
      <w:r w:rsidRPr="004676F5">
        <w:rPr>
          <w:lang w:val="de-DE"/>
        </w:rPr>
        <w:tab/>
        <w:t>1. Dienstleistungen von allgemeinem wirtschaftlichem Interesse,</w:t>
      </w:r>
    </w:p>
    <w:p w14:paraId="24EB241D" w14:textId="77777777" w:rsidR="00F6427E" w:rsidRPr="004676F5" w:rsidRDefault="00F6427E" w:rsidP="00F6427E">
      <w:pPr>
        <w:jc w:val="both"/>
        <w:rPr>
          <w:lang w:val="de-DE"/>
        </w:rPr>
      </w:pPr>
    </w:p>
    <w:p w14:paraId="6BD5324B" w14:textId="1DF81B5A" w:rsidR="00F6427E" w:rsidRPr="004676F5" w:rsidRDefault="00F6427E" w:rsidP="00F6427E">
      <w:pPr>
        <w:jc w:val="both"/>
        <w:rPr>
          <w:lang w:val="de-DE"/>
        </w:rPr>
      </w:pPr>
      <w:r w:rsidRPr="004676F5">
        <w:rPr>
          <w:lang w:val="de-DE"/>
        </w:rPr>
        <w:tab/>
        <w:t xml:space="preserve">2. Angelegenheiten, die unter </w:t>
      </w:r>
      <w:r w:rsidR="00285FF9" w:rsidRPr="004676F5">
        <w:rPr>
          <w:lang w:val="de-DE"/>
        </w:rPr>
        <w:t>[das Gesetz vom 5. März 2002 über die Arbeits-, Entlohnungs</w:t>
      </w:r>
      <w:r w:rsidR="005B7A5C" w:rsidRPr="004676F5">
        <w:rPr>
          <w:lang w:val="de-DE"/>
        </w:rPr>
        <w:t>- </w:t>
      </w:r>
      <w:r w:rsidR="00285FF9" w:rsidRPr="004676F5">
        <w:rPr>
          <w:lang w:val="de-DE"/>
        </w:rPr>
        <w:t xml:space="preserve">und Beschäftigungsbedingungen bei einer Entsendung von Arbeitnehmern nach </w:t>
      </w:r>
      <w:r w:rsidR="00285FF9" w:rsidRPr="004676F5">
        <w:rPr>
          <w:lang w:val="de-DE"/>
        </w:rPr>
        <w:lastRenderedPageBreak/>
        <w:t>Belgien und die Einhaltung dieser Bedingungen]</w:t>
      </w:r>
      <w:r w:rsidRPr="004676F5">
        <w:rPr>
          <w:lang w:val="de-DE"/>
        </w:rPr>
        <w:t xml:space="preserve"> fallen und nach den Regeln, die das Gesetz vom 5. März 2002 festlegt,</w:t>
      </w:r>
    </w:p>
    <w:p w14:paraId="6CF74534" w14:textId="77777777" w:rsidR="00F6427E" w:rsidRPr="004676F5" w:rsidRDefault="00F6427E" w:rsidP="00F6427E">
      <w:pPr>
        <w:jc w:val="both"/>
        <w:rPr>
          <w:lang w:val="de-DE"/>
        </w:rPr>
      </w:pPr>
    </w:p>
    <w:p w14:paraId="6526D3B3" w14:textId="77777777" w:rsidR="00F6427E" w:rsidRPr="004676F5" w:rsidRDefault="00F6427E" w:rsidP="00F6427E">
      <w:pPr>
        <w:jc w:val="both"/>
        <w:rPr>
          <w:lang w:val="de-DE"/>
        </w:rPr>
      </w:pPr>
      <w:r w:rsidRPr="004676F5">
        <w:rPr>
          <w:lang w:val="de-DE"/>
        </w:rPr>
        <w:tab/>
        <w:t>3. Angelegenheiten, die unter Teil II Buch III Titel I</w:t>
      </w:r>
      <w:r w:rsidRPr="004676F5">
        <w:rPr>
          <w:i/>
          <w:lang w:val="de-DE"/>
        </w:rPr>
        <w:t>bis</w:t>
      </w:r>
      <w:r w:rsidRPr="004676F5">
        <w:rPr>
          <w:lang w:val="de-DE"/>
        </w:rPr>
        <w:t xml:space="preserve"> Kapitel I des Gerichtsgesetz</w:t>
      </w:r>
      <w:r w:rsidRPr="004676F5">
        <w:rPr>
          <w:lang w:val="de-DE"/>
        </w:rPr>
        <w:softHyphen/>
        <w:t>buches fallen,</w:t>
      </w:r>
    </w:p>
    <w:p w14:paraId="1D9464F4" w14:textId="77777777" w:rsidR="00F6427E" w:rsidRPr="004676F5" w:rsidRDefault="00F6427E" w:rsidP="00F6427E">
      <w:pPr>
        <w:jc w:val="both"/>
        <w:rPr>
          <w:lang w:val="de-DE"/>
        </w:rPr>
      </w:pPr>
    </w:p>
    <w:p w14:paraId="60F19FD5" w14:textId="77777777" w:rsidR="00F6427E" w:rsidRPr="004676F5" w:rsidRDefault="00F6427E" w:rsidP="00F6427E">
      <w:pPr>
        <w:jc w:val="both"/>
        <w:rPr>
          <w:lang w:val="de-DE"/>
        </w:rPr>
      </w:pPr>
      <w:r w:rsidRPr="004676F5">
        <w:rPr>
          <w:lang w:val="de-DE"/>
        </w:rPr>
        <w:tab/>
        <w:t>4. die gerichtliche Beitreibung von Forderungen,</w:t>
      </w:r>
    </w:p>
    <w:p w14:paraId="308D9B40" w14:textId="77777777" w:rsidR="00F6427E" w:rsidRPr="004676F5" w:rsidRDefault="00F6427E" w:rsidP="00F6427E">
      <w:pPr>
        <w:jc w:val="both"/>
        <w:rPr>
          <w:lang w:val="de-DE"/>
        </w:rPr>
      </w:pPr>
    </w:p>
    <w:p w14:paraId="4389BD2B" w14:textId="77777777" w:rsidR="00F6427E" w:rsidRPr="004676F5" w:rsidRDefault="00F6427E" w:rsidP="00F6427E">
      <w:pPr>
        <w:jc w:val="both"/>
        <w:rPr>
          <w:lang w:val="de-DE"/>
        </w:rPr>
      </w:pPr>
      <w:r w:rsidRPr="004676F5">
        <w:rPr>
          <w:lang w:val="de-DE"/>
        </w:rPr>
        <w:tab/>
        <w:t>5. Angelegenheiten, die unter das Gesetz vom 12. Februar 2008 zur Einführung eines neuen allgemeinen Rahmens für die Anerkennung von EG-Berufsqualifikationen und unter Sonderbestimmungen, die vorschreiben, dass eine bestimmte Tätigkeit einem bestimmten Beruf vorbehalten ist, fallen,</w:t>
      </w:r>
    </w:p>
    <w:p w14:paraId="162AE913" w14:textId="77777777" w:rsidR="00F6427E" w:rsidRPr="004676F5" w:rsidRDefault="00F6427E" w:rsidP="00F6427E">
      <w:pPr>
        <w:jc w:val="both"/>
        <w:rPr>
          <w:lang w:val="de-DE"/>
        </w:rPr>
      </w:pPr>
    </w:p>
    <w:p w14:paraId="073C3833" w14:textId="323ECC75" w:rsidR="00F6427E" w:rsidRPr="004676F5" w:rsidRDefault="00F6427E" w:rsidP="00F6427E">
      <w:pPr>
        <w:jc w:val="both"/>
        <w:rPr>
          <w:lang w:val="de-DE"/>
        </w:rPr>
      </w:pPr>
      <w:r w:rsidRPr="004676F5">
        <w:rPr>
          <w:lang w:val="de-DE"/>
        </w:rPr>
        <w:tab/>
        <w:t>6. Angelegenheiten, die unter die Verordnung (EWG) Nr. 1408/71 des Rates der Europäischen Gemeinschaften vom 14. Juni 1971 über die Anwendung der Systeme der sozialen Sicherheit auf Arbeitnehmer und Selbständige sowie deren Familienangehörige, die innerhalb der Gemeinschaft zu</w:t>
      </w:r>
      <w:r w:rsidR="005B7A5C" w:rsidRPr="004676F5">
        <w:rPr>
          <w:lang w:val="de-DE"/>
        </w:rPr>
        <w:t>- </w:t>
      </w:r>
      <w:r w:rsidRPr="004676F5">
        <w:rPr>
          <w:lang w:val="de-DE"/>
        </w:rPr>
        <w:t>und abwandern, fallen,</w:t>
      </w:r>
    </w:p>
    <w:p w14:paraId="2C44BC25" w14:textId="77777777" w:rsidR="00F6427E" w:rsidRPr="004676F5" w:rsidRDefault="00F6427E" w:rsidP="00F6427E">
      <w:pPr>
        <w:jc w:val="both"/>
        <w:rPr>
          <w:lang w:val="de-DE"/>
        </w:rPr>
      </w:pPr>
    </w:p>
    <w:p w14:paraId="63F29315" w14:textId="77777777" w:rsidR="00F6427E" w:rsidRPr="004676F5" w:rsidRDefault="00F6427E" w:rsidP="00F6427E">
      <w:pPr>
        <w:jc w:val="both"/>
        <w:rPr>
          <w:lang w:val="de-DE"/>
        </w:rPr>
      </w:pPr>
      <w:r w:rsidRPr="004676F5">
        <w:rPr>
          <w:lang w:val="de-DE"/>
        </w:rPr>
        <w:tab/>
        <w:t>7. Angelegenheiten, die unter die Artikel 40 bis 47 des Gesetzes vom 15. Dezem</w:t>
      </w:r>
      <w:r w:rsidRPr="004676F5">
        <w:rPr>
          <w:lang w:val="de-DE"/>
        </w:rPr>
        <w:softHyphen/>
        <w:t>ber 1980 über die Einreise ins Staatsgebiet, den Aufenthalt, die Niederlassung und das Entfernen von Ausländern und unter die Artikel 43 bis 57 des Königlichen Erlasses vom 8. Oktober 1981 über die Einreise ins Staatsgebiet, den Aufenthalt, die Niederlassung und das Entfernen von Ausländern fallen,</w:t>
      </w:r>
    </w:p>
    <w:p w14:paraId="6C017CF2" w14:textId="77777777" w:rsidR="00F6427E" w:rsidRPr="004676F5" w:rsidRDefault="00F6427E" w:rsidP="00F6427E">
      <w:pPr>
        <w:jc w:val="both"/>
        <w:rPr>
          <w:lang w:val="de-DE"/>
        </w:rPr>
      </w:pPr>
    </w:p>
    <w:p w14:paraId="10233479" w14:textId="77777777" w:rsidR="00F6427E" w:rsidRPr="004676F5" w:rsidRDefault="00F6427E" w:rsidP="00F6427E">
      <w:pPr>
        <w:jc w:val="both"/>
        <w:rPr>
          <w:lang w:val="de-DE"/>
        </w:rPr>
      </w:pPr>
      <w:r w:rsidRPr="004676F5">
        <w:rPr>
          <w:lang w:val="de-DE"/>
        </w:rPr>
        <w:tab/>
        <w:t>8. in Bezug auf Drittstaatsangehörige, die sich im Rahmen einer Dienstleistungs</w:t>
      </w:r>
      <w:r w:rsidRPr="004676F5">
        <w:rPr>
          <w:lang w:val="de-DE"/>
        </w:rPr>
        <w:softHyphen/>
        <w:t>erbringung nach Belgien begeben, die Möglichkeit für die zuständigen Behörden, Visa oder Aufenthaltstitel für Drittstaatsangehörige zu verlangen, die nicht dem in Artikel 21 des Übereinkommens zur Durchführung des Übereinkommens von Schengen vom 14. Juni 1985 betreffend den schrittweisen Abbau der Kontrollen an den gemeinsamen Grenzen vorge</w:t>
      </w:r>
      <w:r w:rsidRPr="004676F5">
        <w:rPr>
          <w:lang w:val="de-DE"/>
        </w:rPr>
        <w:softHyphen/>
        <w:t>sehenen System der gegenseitigen Anerkennung unterliegen, oder die Möglichkeit für die zuständigen Behörden, Drittstaatsangehörige zu verpflichten, sich bei oder nach der Einreise ins Hoheitsgebiet bei ihnen zu melden,</w:t>
      </w:r>
    </w:p>
    <w:p w14:paraId="31A0B071" w14:textId="77777777" w:rsidR="00F6427E" w:rsidRPr="004676F5" w:rsidRDefault="00F6427E" w:rsidP="00F6427E">
      <w:pPr>
        <w:jc w:val="both"/>
        <w:rPr>
          <w:lang w:val="de-DE"/>
        </w:rPr>
      </w:pPr>
    </w:p>
    <w:p w14:paraId="7C9DB883" w14:textId="77777777" w:rsidR="00F6427E" w:rsidRPr="004676F5" w:rsidRDefault="00F6427E" w:rsidP="00F6427E">
      <w:pPr>
        <w:jc w:val="both"/>
        <w:rPr>
          <w:lang w:val="de-DE"/>
        </w:rPr>
      </w:pPr>
      <w:r w:rsidRPr="004676F5">
        <w:rPr>
          <w:lang w:val="de-DE"/>
        </w:rPr>
        <w:tab/>
        <w:t>9. in Bezug auf die Verbringung von Abfällen Angelegenheiten, die durch die Verordnung (EWG) Nr. 259/93 des Rates vom 1. Februar 1993 zur Überwachung und Kontrolle der Verbringung von Abfällen in der, in die und aus der Europäischen Gemeinschaft erfasst werden,</w:t>
      </w:r>
    </w:p>
    <w:p w14:paraId="49BC7525" w14:textId="77777777" w:rsidR="00F6427E" w:rsidRPr="004676F5" w:rsidRDefault="00F6427E" w:rsidP="00F6427E">
      <w:pPr>
        <w:jc w:val="both"/>
        <w:rPr>
          <w:lang w:val="de-DE"/>
        </w:rPr>
      </w:pPr>
    </w:p>
    <w:p w14:paraId="5DE6FA82" w14:textId="77777777" w:rsidR="00F6427E" w:rsidRPr="004676F5" w:rsidRDefault="00F6427E" w:rsidP="00F6427E">
      <w:pPr>
        <w:jc w:val="both"/>
        <w:rPr>
          <w:lang w:val="de-DE"/>
        </w:rPr>
      </w:pPr>
      <w:r w:rsidRPr="004676F5">
        <w:rPr>
          <w:lang w:val="de-DE"/>
        </w:rPr>
        <w:tab/>
        <w:t>10. Urheberrecht und verwandte Schutzrechte, Rechte in Bezug auf Topographien von Halbleitererzeugnissen, Schutzrechte sui generis in Bezug auf Datenbanken, gewerbliche Schutzrechte,</w:t>
      </w:r>
    </w:p>
    <w:p w14:paraId="012546EA" w14:textId="77777777" w:rsidR="00F6427E" w:rsidRPr="004676F5" w:rsidRDefault="00F6427E" w:rsidP="00F6427E">
      <w:pPr>
        <w:jc w:val="both"/>
        <w:rPr>
          <w:lang w:val="de-DE"/>
        </w:rPr>
      </w:pPr>
    </w:p>
    <w:p w14:paraId="0E1E31E3" w14:textId="77777777" w:rsidR="00F6427E" w:rsidRPr="004676F5" w:rsidRDefault="00F6427E" w:rsidP="00F6427E">
      <w:pPr>
        <w:jc w:val="both"/>
        <w:rPr>
          <w:lang w:val="de-DE"/>
        </w:rPr>
      </w:pPr>
      <w:r w:rsidRPr="004676F5">
        <w:rPr>
          <w:lang w:val="de-DE"/>
        </w:rPr>
        <w:tab/>
        <w:t>11. Handlungen, für die die Mitwirkung eines Notars gesetzlich vorgeschrieben ist,</w:t>
      </w:r>
    </w:p>
    <w:p w14:paraId="376C91C1" w14:textId="77777777" w:rsidR="00F6427E" w:rsidRPr="004676F5" w:rsidRDefault="00F6427E" w:rsidP="00F6427E">
      <w:pPr>
        <w:jc w:val="both"/>
        <w:rPr>
          <w:lang w:val="de-DE"/>
        </w:rPr>
      </w:pPr>
    </w:p>
    <w:p w14:paraId="5B20789C" w14:textId="77777777" w:rsidR="00F6427E" w:rsidRPr="004676F5" w:rsidRDefault="00F6427E" w:rsidP="00F6427E">
      <w:pPr>
        <w:jc w:val="both"/>
        <w:rPr>
          <w:lang w:val="de-DE"/>
        </w:rPr>
      </w:pPr>
      <w:r w:rsidRPr="004676F5">
        <w:rPr>
          <w:lang w:val="de-DE"/>
        </w:rPr>
        <w:tab/>
        <w:t>12. Angelegenheiten, die unter den Königlichen Erlass vom 21. April 2007 zur Umsetzung von Bestimmungen der Richtlinie 2006/43/EG des Europäischen Parlaments und des Rates vom 17. Mai 2006 über Abschlussprüfungen von Jahresabschlüssen und konsoli</w:t>
      </w:r>
      <w:r w:rsidRPr="004676F5">
        <w:rPr>
          <w:lang w:val="de-DE"/>
        </w:rPr>
        <w:softHyphen/>
        <w:t>dierten Abschlüssen, zur Änderung der Richtlinien 78/660/EWG und 83/349/EWG des Rates und zur Aufhebung der Richtlinie 84/253/EWG des Rates fallen,</w:t>
      </w:r>
    </w:p>
    <w:p w14:paraId="07BFD297" w14:textId="77777777" w:rsidR="00F6427E" w:rsidRPr="004676F5" w:rsidRDefault="00F6427E" w:rsidP="00F6427E">
      <w:pPr>
        <w:jc w:val="both"/>
        <w:rPr>
          <w:lang w:val="de-DE"/>
        </w:rPr>
      </w:pPr>
    </w:p>
    <w:p w14:paraId="64FE9D21" w14:textId="77777777" w:rsidR="00F6427E" w:rsidRPr="004676F5" w:rsidRDefault="00F6427E" w:rsidP="00F6427E">
      <w:pPr>
        <w:jc w:val="both"/>
        <w:rPr>
          <w:lang w:val="de-DE"/>
        </w:rPr>
      </w:pPr>
      <w:r w:rsidRPr="004676F5">
        <w:rPr>
          <w:lang w:val="de-DE"/>
        </w:rPr>
        <w:lastRenderedPageBreak/>
        <w:tab/>
        <w:t>13. Angelegenheiten, die unter die Artikel 132, 133 und 134 des Gesellschaftsgesetz</w:t>
      </w:r>
      <w:r w:rsidRPr="004676F5">
        <w:rPr>
          <w:lang w:val="de-DE"/>
        </w:rPr>
        <w:softHyphen/>
        <w:t>buches fallen,</w:t>
      </w:r>
    </w:p>
    <w:p w14:paraId="16DEF69F" w14:textId="77777777" w:rsidR="00F6427E" w:rsidRPr="004676F5" w:rsidRDefault="00F6427E" w:rsidP="00F6427E">
      <w:pPr>
        <w:jc w:val="both"/>
        <w:rPr>
          <w:lang w:val="de-DE"/>
        </w:rPr>
      </w:pPr>
    </w:p>
    <w:p w14:paraId="233F7B40" w14:textId="71E44597" w:rsidR="00285FF9" w:rsidRPr="004676F5" w:rsidRDefault="00F6427E" w:rsidP="00285FF9">
      <w:pPr>
        <w:jc w:val="both"/>
        <w:rPr>
          <w:lang w:val="de-DE"/>
        </w:rPr>
      </w:pPr>
      <w:r w:rsidRPr="004676F5">
        <w:rPr>
          <w:lang w:val="de-DE"/>
        </w:rPr>
        <w:tab/>
        <w:t>14. die Zulassung von Fahrzeugen, die in einem anderen Mitgliedstaat geleast wurden.</w:t>
      </w:r>
    </w:p>
    <w:p w14:paraId="15B54EC4" w14:textId="77777777" w:rsidR="00285FF9" w:rsidRPr="004676F5" w:rsidRDefault="00285FF9" w:rsidP="00285FF9">
      <w:pPr>
        <w:jc w:val="both"/>
        <w:rPr>
          <w:lang w:val="de-DE"/>
        </w:rPr>
      </w:pPr>
    </w:p>
    <w:p w14:paraId="0222B805" w14:textId="71987534" w:rsidR="00D068E9" w:rsidRPr="004676F5" w:rsidRDefault="00285FF9" w:rsidP="00285FF9">
      <w:pPr>
        <w:jc w:val="both"/>
        <w:rPr>
          <w:b/>
          <w:lang w:val="de-DE"/>
        </w:rPr>
      </w:pPr>
      <w:r w:rsidRPr="004676F5">
        <w:rPr>
          <w:i/>
          <w:lang w:val="de-DE"/>
        </w:rPr>
        <w:t>[Art. III.14 einziger Absatz Nr. 2 abgeändert durch Art. 2 des K.E. vom 5. Dezember 2017</w:t>
      </w:r>
      <w:r w:rsidR="008562C5" w:rsidRPr="004676F5">
        <w:rPr>
          <w:i/>
          <w:lang w:val="de-DE"/>
        </w:rPr>
        <w:t> (I)</w:t>
      </w:r>
      <w:r w:rsidRPr="004676F5">
        <w:rPr>
          <w:i/>
          <w:lang w:val="de-DE"/>
        </w:rPr>
        <w:t xml:space="preserve"> (B.S. vom 18. Dezember 2017)]</w:t>
      </w:r>
      <w:r w:rsidRPr="004676F5">
        <w:rPr>
          <w:b/>
          <w:lang w:val="de-DE"/>
        </w:rPr>
        <w:t xml:space="preserve"> </w:t>
      </w:r>
      <w:r w:rsidR="00D068E9" w:rsidRPr="004676F5">
        <w:rPr>
          <w:b/>
          <w:lang w:val="de-DE"/>
        </w:rPr>
        <w:br w:type="page"/>
      </w:r>
    </w:p>
    <w:p w14:paraId="08FA4F32" w14:textId="773B99F2" w:rsidR="00F6427E" w:rsidRPr="004676F5" w:rsidRDefault="00F6427E" w:rsidP="00F6427E">
      <w:pPr>
        <w:jc w:val="center"/>
        <w:rPr>
          <w:b/>
          <w:lang w:val="de-DE"/>
        </w:rPr>
      </w:pPr>
      <w:r w:rsidRPr="004676F5">
        <w:rPr>
          <w:b/>
          <w:lang w:val="de-DE"/>
        </w:rPr>
        <w:lastRenderedPageBreak/>
        <w:t>TITEL 2 </w:t>
      </w:r>
      <w:r w:rsidR="005B7A5C" w:rsidRPr="004676F5">
        <w:rPr>
          <w:b/>
          <w:lang w:val="de-DE"/>
        </w:rPr>
        <w:t>- </w:t>
      </w:r>
      <w:r w:rsidRPr="004676F5">
        <w:rPr>
          <w:b/>
          <w:i/>
          <w:lang w:val="de-DE"/>
        </w:rPr>
        <w:t>Zentrale Datenbank der Unternehmen und zugelassene Unternehmensschalter</w:t>
      </w:r>
    </w:p>
    <w:p w14:paraId="05BCDE32" w14:textId="77777777" w:rsidR="00F6427E" w:rsidRPr="004676F5" w:rsidRDefault="00F6427E" w:rsidP="00F6427E">
      <w:pPr>
        <w:jc w:val="center"/>
        <w:rPr>
          <w:lang w:val="de-DE"/>
        </w:rPr>
      </w:pPr>
    </w:p>
    <w:p w14:paraId="39A4D663" w14:textId="77777777" w:rsidR="00D068E9" w:rsidRPr="004676F5" w:rsidRDefault="00D068E9" w:rsidP="00F6427E">
      <w:pPr>
        <w:jc w:val="center"/>
        <w:rPr>
          <w:lang w:val="de-DE"/>
        </w:rPr>
      </w:pPr>
    </w:p>
    <w:p w14:paraId="03C15A6C" w14:textId="0F849472" w:rsidR="00F6427E" w:rsidRPr="004676F5" w:rsidRDefault="00F6427E" w:rsidP="00F6427E">
      <w:pPr>
        <w:jc w:val="center"/>
        <w:rPr>
          <w:lang w:val="de-DE"/>
        </w:rPr>
      </w:pPr>
      <w:r w:rsidRPr="004676F5">
        <w:rPr>
          <w:lang w:val="de-DE"/>
        </w:rPr>
        <w:t>KAPITEL 1 </w:t>
      </w:r>
      <w:r w:rsidR="005B7A5C" w:rsidRPr="004676F5">
        <w:rPr>
          <w:lang w:val="de-DE"/>
        </w:rPr>
        <w:t>- </w:t>
      </w:r>
      <w:r w:rsidRPr="004676F5">
        <w:rPr>
          <w:i/>
          <w:lang w:val="de-DE"/>
        </w:rPr>
        <w:t>Zentrale Datenbank der Unternehmen</w:t>
      </w:r>
    </w:p>
    <w:p w14:paraId="2BB682F4" w14:textId="77777777" w:rsidR="00F6427E" w:rsidRPr="004676F5" w:rsidRDefault="00F6427E" w:rsidP="00F6427E">
      <w:pPr>
        <w:jc w:val="center"/>
        <w:rPr>
          <w:lang w:val="de-DE"/>
        </w:rPr>
      </w:pPr>
    </w:p>
    <w:p w14:paraId="13CA9A71" w14:textId="77777777" w:rsidR="00D068E9" w:rsidRPr="004676F5" w:rsidRDefault="00D068E9" w:rsidP="00F6427E">
      <w:pPr>
        <w:jc w:val="center"/>
        <w:rPr>
          <w:lang w:val="de-DE"/>
        </w:rPr>
      </w:pPr>
    </w:p>
    <w:p w14:paraId="5E93A5AF" w14:textId="5F03E1DE" w:rsidR="00F6427E" w:rsidRPr="004676F5" w:rsidRDefault="00F6427E" w:rsidP="00F6427E">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Schaffung der Zentralen Datenbank der Unternehmen</w:t>
      </w:r>
    </w:p>
    <w:p w14:paraId="61481319" w14:textId="77777777" w:rsidR="00F6427E" w:rsidRPr="004676F5" w:rsidRDefault="00F6427E" w:rsidP="00F6427E">
      <w:pPr>
        <w:jc w:val="both"/>
        <w:rPr>
          <w:lang w:val="de-DE"/>
        </w:rPr>
      </w:pPr>
    </w:p>
    <w:p w14:paraId="25118ED5" w14:textId="77777777" w:rsidR="00D068E9" w:rsidRPr="004676F5" w:rsidRDefault="00D068E9" w:rsidP="00F6427E">
      <w:pPr>
        <w:jc w:val="both"/>
        <w:rPr>
          <w:lang w:val="de-DE"/>
        </w:rPr>
      </w:pPr>
    </w:p>
    <w:p w14:paraId="2DA158AC" w14:textId="2A96CF69"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III.15</w:t>
      </w:r>
      <w:r w:rsidRPr="004676F5">
        <w:rPr>
          <w:lang w:val="de-DE"/>
        </w:rPr>
        <w:t> </w:t>
      </w:r>
      <w:r w:rsidR="005B7A5C" w:rsidRPr="004676F5">
        <w:rPr>
          <w:lang w:val="de-DE"/>
        </w:rPr>
        <w:t>- </w:t>
      </w:r>
      <w:r w:rsidRPr="004676F5">
        <w:rPr>
          <w:lang w:val="de-DE"/>
        </w:rPr>
        <w:t>Es wird unter der Bezeichnung "Zentrale Datenbank der Unternehmen" ein Register geschaffen.</w:t>
      </w:r>
    </w:p>
    <w:p w14:paraId="21D3896A" w14:textId="77777777" w:rsidR="00F6427E" w:rsidRPr="004676F5" w:rsidRDefault="00F6427E" w:rsidP="00F6427E">
      <w:pPr>
        <w:jc w:val="both"/>
        <w:rPr>
          <w:lang w:val="de-DE"/>
        </w:rPr>
      </w:pPr>
    </w:p>
    <w:p w14:paraId="4B4B738F" w14:textId="0363167B" w:rsidR="00F6427E" w:rsidRPr="004676F5" w:rsidRDefault="00F6427E" w:rsidP="00F6427E">
      <w:pPr>
        <w:jc w:val="both"/>
        <w:rPr>
          <w:lang w:val="de-DE"/>
        </w:rPr>
      </w:pPr>
      <w:r w:rsidRPr="004676F5">
        <w:rPr>
          <w:lang w:val="de-DE"/>
        </w:rPr>
        <w:tab/>
        <w:t xml:space="preserve">Dieses Register und die damit verbundene Einführung einer einheitlichen Unternehmensnummer haben zum Ziel, durch die Verwirklichung des Grundsatzes einer einmaligen Datenerfassung die </w:t>
      </w:r>
      <w:r w:rsidR="007851EF" w:rsidRPr="004676F5">
        <w:rPr>
          <w:lang w:val="de-DE"/>
        </w:rPr>
        <w:t>[den registrierten Körperschaften]</w:t>
      </w:r>
      <w:r w:rsidRPr="004676F5">
        <w:rPr>
          <w:lang w:val="de-DE"/>
        </w:rPr>
        <w:t xml:space="preserve"> auferlegten administrativen Verpflichtungen zu vereinfachen und die Arbeitsweise der öffentlichen Dienste wirksamer zu gestalten.</w:t>
      </w:r>
    </w:p>
    <w:p w14:paraId="289D1CCD" w14:textId="77777777" w:rsidR="00F6427E" w:rsidRPr="004676F5" w:rsidRDefault="00F6427E" w:rsidP="00F6427E">
      <w:pPr>
        <w:jc w:val="both"/>
        <w:rPr>
          <w:lang w:val="de-DE"/>
        </w:rPr>
      </w:pPr>
    </w:p>
    <w:p w14:paraId="2E66B4DF" w14:textId="756F8CF6" w:rsidR="00F6427E" w:rsidRPr="004676F5" w:rsidRDefault="00F6427E" w:rsidP="00F6427E">
      <w:pPr>
        <w:jc w:val="both"/>
        <w:rPr>
          <w:lang w:val="de-DE"/>
        </w:rPr>
      </w:pPr>
      <w:r w:rsidRPr="004676F5">
        <w:rPr>
          <w:lang w:val="de-DE"/>
        </w:rPr>
        <w:tab/>
        <w:t xml:space="preserve">Die Zentrale Datenbank der Unternehmen ist gemäß den Bestimmungen des vorliegenden Titels und den gesetzlichen und verordnungsrechtlichen Bestimmungen, die die ursprüngliche Erfassung der in Artikel III.18 erwähnten Daten durch die aufgrund von Artikel III.19 bestimmten Behörden, Verwaltungen und Dienste erlauben, beauftragt mit Registrierung, Bewahrung, Verwaltung und Zurverfügungstellung von Informationen über </w:t>
      </w:r>
      <w:r w:rsidR="007851EF" w:rsidRPr="004676F5">
        <w:rPr>
          <w:lang w:val="de-DE"/>
        </w:rPr>
        <w:t>[die Identifizierung der registrierten Körperschaften]</w:t>
      </w:r>
      <w:r w:rsidR="00CB56FE" w:rsidRPr="004676F5">
        <w:rPr>
          <w:lang w:val="de-DE"/>
        </w:rPr>
        <w:t>[, ihrer Beauftragten, ihrer aktiven Gesellschafter und ihrer Helfer]</w:t>
      </w:r>
      <w:r w:rsidRPr="004676F5">
        <w:rPr>
          <w:lang w:val="de-DE"/>
        </w:rPr>
        <w:t>.</w:t>
      </w:r>
    </w:p>
    <w:p w14:paraId="3535A508" w14:textId="77777777" w:rsidR="00F6427E" w:rsidRPr="004676F5" w:rsidRDefault="00F6427E" w:rsidP="00F6427E">
      <w:pPr>
        <w:jc w:val="both"/>
        <w:rPr>
          <w:lang w:val="de-DE"/>
        </w:rPr>
      </w:pPr>
    </w:p>
    <w:p w14:paraId="6608EB76" w14:textId="5C612AA3" w:rsidR="00F6427E" w:rsidRPr="004676F5" w:rsidRDefault="00F6427E" w:rsidP="00F6427E">
      <w:pPr>
        <w:jc w:val="both"/>
        <w:rPr>
          <w:lang w:val="de-DE"/>
        </w:rPr>
      </w:pPr>
      <w:r w:rsidRPr="004676F5">
        <w:rPr>
          <w:lang w:val="de-DE"/>
        </w:rPr>
        <w:tab/>
        <w:t xml:space="preserve">Die Zentrale Datenbank der Unternehmen zielt auch auf eine Optimierung der Übertragung und Verbreitung der Daten </w:t>
      </w:r>
      <w:r w:rsidR="007851EF" w:rsidRPr="004676F5">
        <w:rPr>
          <w:lang w:val="de-DE"/>
        </w:rPr>
        <w:t>[</w:t>
      </w:r>
      <w:r w:rsidRPr="004676F5">
        <w:rPr>
          <w:lang w:val="de-DE"/>
        </w:rPr>
        <w:t xml:space="preserve">über die </w:t>
      </w:r>
      <w:r w:rsidR="007851EF" w:rsidRPr="004676F5">
        <w:rPr>
          <w:lang w:val="de-DE"/>
        </w:rPr>
        <w:t>registrierten Körperschaften]</w:t>
      </w:r>
      <w:r w:rsidRPr="004676F5">
        <w:rPr>
          <w:lang w:val="de-DE"/>
        </w:rPr>
        <w:t xml:space="preserve"> ab.</w:t>
      </w:r>
    </w:p>
    <w:p w14:paraId="7F3DF99C" w14:textId="77777777" w:rsidR="00F6427E" w:rsidRPr="004676F5" w:rsidRDefault="00F6427E" w:rsidP="00F6427E">
      <w:pPr>
        <w:jc w:val="both"/>
        <w:rPr>
          <w:lang w:val="de-DE"/>
        </w:rPr>
      </w:pPr>
    </w:p>
    <w:p w14:paraId="079DDD85" w14:textId="77777777" w:rsidR="00F6427E" w:rsidRPr="004676F5" w:rsidRDefault="00F6427E" w:rsidP="00F6427E">
      <w:pPr>
        <w:jc w:val="both"/>
        <w:rPr>
          <w:lang w:val="de-DE"/>
        </w:rPr>
      </w:pPr>
      <w:r w:rsidRPr="004676F5">
        <w:rPr>
          <w:lang w:val="de-DE"/>
        </w:rPr>
        <w:tab/>
        <w:t>Dazu kann sie insbesondere:</w:t>
      </w:r>
    </w:p>
    <w:p w14:paraId="4E47F6EE" w14:textId="77777777" w:rsidR="00F6427E" w:rsidRPr="004676F5" w:rsidRDefault="00F6427E" w:rsidP="00F6427E">
      <w:pPr>
        <w:jc w:val="both"/>
        <w:rPr>
          <w:lang w:val="de-DE"/>
        </w:rPr>
      </w:pPr>
    </w:p>
    <w:p w14:paraId="39D8EA78" w14:textId="77777777" w:rsidR="00F6427E" w:rsidRPr="004676F5" w:rsidRDefault="00F6427E" w:rsidP="00F6427E">
      <w:pPr>
        <w:jc w:val="both"/>
        <w:rPr>
          <w:lang w:val="de-DE"/>
        </w:rPr>
      </w:pPr>
      <w:r w:rsidRPr="004676F5">
        <w:rPr>
          <w:lang w:val="de-DE"/>
        </w:rPr>
        <w:tab/>
        <w:t>1. Links zu den Websites und Datenbanken der Behörden, Verwaltungen und Dienste erstellen,</w:t>
      </w:r>
    </w:p>
    <w:p w14:paraId="51A7C78C" w14:textId="77777777" w:rsidR="00F6427E" w:rsidRPr="004676F5" w:rsidRDefault="00F6427E" w:rsidP="00F6427E">
      <w:pPr>
        <w:jc w:val="both"/>
        <w:rPr>
          <w:lang w:val="de-DE"/>
        </w:rPr>
      </w:pPr>
    </w:p>
    <w:p w14:paraId="2C9F2A6A" w14:textId="3FD7F779" w:rsidR="00F6427E" w:rsidRPr="004676F5" w:rsidRDefault="00F6427E" w:rsidP="00F6427E">
      <w:pPr>
        <w:jc w:val="both"/>
        <w:rPr>
          <w:lang w:val="de-DE"/>
        </w:rPr>
      </w:pPr>
      <w:r w:rsidRPr="004676F5">
        <w:rPr>
          <w:lang w:val="de-DE"/>
        </w:rPr>
        <w:tab/>
        <w:t xml:space="preserve">2. Links zu Websites erstellen, die Informationen über </w:t>
      </w:r>
      <w:r w:rsidR="007851EF" w:rsidRPr="004676F5">
        <w:rPr>
          <w:lang w:val="de-DE"/>
        </w:rPr>
        <w:t xml:space="preserve">[die Identifizierung der registrierten Körperschaften] </w:t>
      </w:r>
      <w:r w:rsidRPr="004676F5">
        <w:rPr>
          <w:lang w:val="de-DE"/>
        </w:rPr>
        <w:t>und ihrer Beauftragten enthalten, einschließlich Links zu Websites der in der Zentralen Datenbank der Unternehmen eingetragenen Unternehmen</w:t>
      </w:r>
      <w:r w:rsidR="006017BB" w:rsidRPr="004676F5">
        <w:rPr>
          <w:lang w:val="de-DE"/>
        </w:rPr>
        <w:t>,</w:t>
      </w:r>
    </w:p>
    <w:p w14:paraId="695B44A0" w14:textId="77777777" w:rsidR="006017BB" w:rsidRPr="004676F5" w:rsidRDefault="006017BB" w:rsidP="00F6427E">
      <w:pPr>
        <w:jc w:val="both"/>
        <w:rPr>
          <w:lang w:val="de-DE"/>
        </w:rPr>
      </w:pPr>
    </w:p>
    <w:p w14:paraId="46C64920" w14:textId="5374E453" w:rsidR="006017BB" w:rsidRPr="004676F5" w:rsidRDefault="006017BB" w:rsidP="00F6427E">
      <w:pPr>
        <w:jc w:val="both"/>
        <w:rPr>
          <w:lang w:val="de-DE"/>
        </w:rPr>
      </w:pPr>
      <w:r w:rsidRPr="004676F5">
        <w:rPr>
          <w:lang w:val="de-DE"/>
        </w:rPr>
        <w:tab/>
        <w:t>[3. die im Register der juristischen Personen aufgenommenen Daten im Hinblick auf eine Zurverfügungstellung an die Öffentlichkeit und an die Zentral-, Handels- und Gesellschaftsregister der Mitgliedstaaten des Europäischen Wirtschaftsraums übermitteln. Diese Daten umfassen die Nationalregisternummer der Personen, die ermächtigt sind, ein Unternehmen zu verwalten und zu vertreten, wenn die Informationen über diese Personen den erwähnten Registern übermittelt werden.]</w:t>
      </w:r>
    </w:p>
    <w:p w14:paraId="27587CA6" w14:textId="77777777" w:rsidR="006017BB" w:rsidRPr="004676F5" w:rsidRDefault="006017BB" w:rsidP="00F6427E">
      <w:pPr>
        <w:jc w:val="both"/>
        <w:rPr>
          <w:lang w:val="de-DE"/>
        </w:rPr>
      </w:pPr>
    </w:p>
    <w:p w14:paraId="4AB66A27" w14:textId="3CCB07ED" w:rsidR="006017BB" w:rsidRPr="004676F5" w:rsidRDefault="006017BB" w:rsidP="00F6427E">
      <w:pPr>
        <w:jc w:val="both"/>
        <w:rPr>
          <w:lang w:val="de-DE"/>
        </w:rPr>
      </w:pPr>
      <w:r w:rsidRPr="004676F5">
        <w:rPr>
          <w:lang w:val="de-DE"/>
        </w:rPr>
        <w:tab/>
        <w:t>[Die in Absatz 5 Nr. 3 erwähnte Übermittlung erfolgt über das in Artikel 22 der Richtlinie (EU) 2017/1132 des Europäischen Parlaments und des Rates vom 14. Juni 2017 über bestimmte Aspekte des Gesellschaftsrechts erwähnte europäische System der Registervernetzung.]</w:t>
      </w:r>
    </w:p>
    <w:p w14:paraId="74976E58" w14:textId="77777777" w:rsidR="006017BB" w:rsidRPr="004676F5" w:rsidRDefault="006017BB" w:rsidP="00F6427E">
      <w:pPr>
        <w:jc w:val="both"/>
        <w:rPr>
          <w:lang w:val="de-DE"/>
        </w:rPr>
      </w:pPr>
    </w:p>
    <w:p w14:paraId="2EB75809" w14:textId="77777777" w:rsidR="006017BB" w:rsidRPr="004676F5" w:rsidRDefault="006017BB">
      <w:pPr>
        <w:rPr>
          <w:lang w:val="de-DE"/>
        </w:rPr>
      </w:pPr>
      <w:r w:rsidRPr="004676F5">
        <w:rPr>
          <w:lang w:val="de-DE"/>
        </w:rPr>
        <w:br w:type="page"/>
      </w:r>
    </w:p>
    <w:p w14:paraId="180DBDC9" w14:textId="771D00DF" w:rsidR="00F6427E" w:rsidRPr="004676F5" w:rsidRDefault="00F6427E" w:rsidP="00F6427E">
      <w:pPr>
        <w:jc w:val="both"/>
        <w:rPr>
          <w:lang w:val="de-DE"/>
        </w:rPr>
      </w:pPr>
      <w:r w:rsidRPr="004676F5">
        <w:rPr>
          <w:lang w:val="de-DE"/>
        </w:rPr>
        <w:lastRenderedPageBreak/>
        <w:tab/>
      </w:r>
      <w:r w:rsidR="006017BB" w:rsidRPr="004676F5">
        <w:rPr>
          <w:lang w:val="de-DE"/>
        </w:rPr>
        <w:t>[...]</w:t>
      </w:r>
    </w:p>
    <w:p w14:paraId="62367F17" w14:textId="5D409DA8" w:rsidR="00F6427E" w:rsidRPr="004676F5" w:rsidRDefault="00F6427E" w:rsidP="00F6427E">
      <w:pPr>
        <w:jc w:val="both"/>
        <w:rPr>
          <w:lang w:val="de-DE"/>
        </w:rPr>
      </w:pPr>
    </w:p>
    <w:p w14:paraId="12ED2D8C" w14:textId="7A85421D" w:rsidR="007851EF" w:rsidRPr="004676F5" w:rsidRDefault="007851EF" w:rsidP="00F6427E">
      <w:pPr>
        <w:jc w:val="both"/>
        <w:rPr>
          <w:i/>
          <w:lang w:val="de-DE"/>
        </w:rPr>
      </w:pPr>
      <w:r w:rsidRPr="004676F5">
        <w:rPr>
          <w:i/>
          <w:lang w:val="de-DE"/>
        </w:rPr>
        <w:t>[Art. III.15 Abs. 2 abgeändert durch Art. 49 Buchstabe a)</w:t>
      </w:r>
      <w:r w:rsidRPr="004676F5">
        <w:rPr>
          <w:i/>
          <w:iCs/>
          <w:lang w:val="de-DE"/>
        </w:rPr>
        <w:t xml:space="preserve"> des G. vom 15. April 2018 (B.S. vom 27. April 2018); </w:t>
      </w:r>
      <w:r w:rsidRPr="004676F5">
        <w:rPr>
          <w:i/>
          <w:lang w:val="de-DE"/>
        </w:rPr>
        <w:t>Abs. 3 abgeändert durch Art. 49 Buchstabe b)</w:t>
      </w:r>
      <w:r w:rsidRPr="004676F5">
        <w:rPr>
          <w:i/>
          <w:iCs/>
          <w:lang w:val="de-DE"/>
        </w:rPr>
        <w:t xml:space="preserve"> des G. vom 15. April 2018 (B.S. vom 27. April 2018)</w:t>
      </w:r>
      <w:r w:rsidR="00CB56FE" w:rsidRPr="004676F5">
        <w:rPr>
          <w:i/>
          <w:iCs/>
          <w:lang w:val="de-DE"/>
        </w:rPr>
        <w:t xml:space="preserve"> und Art. 73 des G. vom 22. Dezember 2023 (B.S. vom 29. Dezember 2023)</w:t>
      </w:r>
      <w:r w:rsidRPr="004676F5">
        <w:rPr>
          <w:i/>
          <w:iCs/>
          <w:lang w:val="de-DE"/>
        </w:rPr>
        <w:t>;</w:t>
      </w:r>
      <w:r w:rsidRPr="004676F5">
        <w:rPr>
          <w:i/>
          <w:lang w:val="de-DE"/>
        </w:rPr>
        <w:t xml:space="preserve"> Abs. 4 abgeändert durch Art. 49 Buchstabe c)</w:t>
      </w:r>
      <w:r w:rsidRPr="004676F5">
        <w:rPr>
          <w:i/>
          <w:iCs/>
          <w:lang w:val="de-DE"/>
        </w:rPr>
        <w:t xml:space="preserve"> des G. vom 15. April 2018 (B.S. vom 27. April 2018);</w:t>
      </w:r>
      <w:r w:rsidRPr="004676F5">
        <w:rPr>
          <w:i/>
          <w:lang w:val="de-DE"/>
        </w:rPr>
        <w:t xml:space="preserve"> Abs. 5 Nr. 2 abgeändert durch Art. 49 Buchstabe d)</w:t>
      </w:r>
      <w:r w:rsidRPr="004676F5">
        <w:rPr>
          <w:i/>
          <w:iCs/>
          <w:lang w:val="de-DE"/>
        </w:rPr>
        <w:t xml:space="preserve"> des G. vom 15. April 2018 (B.S. vom 27. April 2018)</w:t>
      </w:r>
      <w:r w:rsidR="006017BB" w:rsidRPr="004676F5">
        <w:rPr>
          <w:i/>
          <w:iCs/>
          <w:lang w:val="de-DE"/>
        </w:rPr>
        <w:t>; Abs. 5 Nr. 3 eingefügt durch Art. 4 Nr. 1 des G. vom 9. Februar 2024 (B.S. vom 21. März 2024); Abs</w:t>
      </w:r>
      <w:r w:rsidR="00A27F43" w:rsidRPr="004676F5">
        <w:rPr>
          <w:i/>
          <w:iCs/>
          <w:lang w:val="de-DE"/>
        </w:rPr>
        <w:t>.</w:t>
      </w:r>
      <w:r w:rsidR="006017BB" w:rsidRPr="004676F5">
        <w:rPr>
          <w:i/>
          <w:iCs/>
          <w:lang w:val="de-DE"/>
        </w:rPr>
        <w:t> 6 eingefügt durch Art. 4 Nr. 2 des G. vom 9. Februar 2024 (B.S. vom 21. März 2024); Abs. 7 aufgehoben durch Art. 4 Nr. 3 des G. vom 9. Februar 2024 (B.S. vom 21. März 2024)</w:t>
      </w:r>
      <w:r w:rsidRPr="004676F5">
        <w:rPr>
          <w:i/>
          <w:iCs/>
          <w:lang w:val="de-DE"/>
        </w:rPr>
        <w:t>]</w:t>
      </w:r>
    </w:p>
    <w:p w14:paraId="5FB68299" w14:textId="77777777" w:rsidR="00D068E9" w:rsidRPr="004676F5" w:rsidRDefault="00D068E9" w:rsidP="00F6427E">
      <w:pPr>
        <w:jc w:val="both"/>
        <w:rPr>
          <w:lang w:val="de-DE"/>
        </w:rPr>
      </w:pPr>
    </w:p>
    <w:p w14:paraId="303A0482" w14:textId="77777777" w:rsidR="007851EF" w:rsidRPr="004676F5" w:rsidRDefault="007851EF" w:rsidP="00F6427E">
      <w:pPr>
        <w:jc w:val="both"/>
        <w:rPr>
          <w:lang w:val="de-DE"/>
        </w:rPr>
      </w:pPr>
    </w:p>
    <w:p w14:paraId="09DAE5A9" w14:textId="68902584" w:rsidR="007851EF" w:rsidRPr="004676F5" w:rsidRDefault="00BE0A56" w:rsidP="007851EF">
      <w:pPr>
        <w:ind w:firstLine="708"/>
        <w:jc w:val="both"/>
        <w:rPr>
          <w:lang w:val="de-DE"/>
        </w:rPr>
      </w:pPr>
      <w:r w:rsidRPr="004676F5">
        <w:rPr>
          <w:b/>
          <w:lang w:val="de-DE"/>
        </w:rPr>
        <w:t>Art. </w:t>
      </w:r>
      <w:r w:rsidR="00F6427E" w:rsidRPr="004676F5">
        <w:rPr>
          <w:b/>
          <w:lang w:val="de-DE"/>
        </w:rPr>
        <w:t>III.16</w:t>
      </w:r>
      <w:r w:rsidR="00F6427E" w:rsidRPr="004676F5">
        <w:rPr>
          <w:lang w:val="de-DE"/>
        </w:rPr>
        <w:t> </w:t>
      </w:r>
      <w:r w:rsidR="005B7A5C" w:rsidRPr="004676F5">
        <w:rPr>
          <w:lang w:val="de-DE"/>
        </w:rPr>
        <w:t>- </w:t>
      </w:r>
      <w:r w:rsidR="007851EF" w:rsidRPr="004676F5">
        <w:rPr>
          <w:lang w:val="de-DE"/>
        </w:rPr>
        <w:t>[§ 1 </w:t>
      </w:r>
      <w:r w:rsidR="005B7A5C" w:rsidRPr="004676F5">
        <w:rPr>
          <w:lang w:val="de-DE"/>
        </w:rPr>
        <w:t>- </w:t>
      </w:r>
      <w:r w:rsidR="007851EF" w:rsidRPr="004676F5">
        <w:rPr>
          <w:lang w:val="de-DE"/>
        </w:rPr>
        <w:t>In der Zentralen Datenbank der Unternehmen werden Daten eingetragen in Bezug auf:</w:t>
      </w:r>
    </w:p>
    <w:p w14:paraId="2DA94D73" w14:textId="77777777" w:rsidR="007851EF" w:rsidRPr="004676F5" w:rsidRDefault="007851EF" w:rsidP="007851EF">
      <w:pPr>
        <w:ind w:firstLine="708"/>
        <w:jc w:val="both"/>
        <w:rPr>
          <w:lang w:val="de-DE"/>
        </w:rPr>
      </w:pPr>
    </w:p>
    <w:p w14:paraId="530D1270" w14:textId="11F68DCD" w:rsidR="007851EF" w:rsidRPr="004676F5" w:rsidRDefault="007851EF" w:rsidP="007851EF">
      <w:pPr>
        <w:ind w:firstLine="708"/>
        <w:jc w:val="both"/>
        <w:rPr>
          <w:lang w:val="de-DE"/>
        </w:rPr>
      </w:pPr>
      <w:r w:rsidRPr="004676F5">
        <w:rPr>
          <w:lang w:val="de-DE"/>
        </w:rPr>
        <w:t>1. </w:t>
      </w:r>
      <w:r w:rsidR="006017BB" w:rsidRPr="004676F5">
        <w:rPr>
          <w:lang w:val="de-DE"/>
        </w:rPr>
        <w:t>[natürliche Personen, die sich als eintragungspflichtiges Unternehmen eintragen lassen müssen,]</w:t>
      </w:r>
    </w:p>
    <w:p w14:paraId="37892E7A" w14:textId="77777777" w:rsidR="007851EF" w:rsidRPr="004676F5" w:rsidRDefault="007851EF" w:rsidP="007851EF">
      <w:pPr>
        <w:ind w:firstLine="708"/>
        <w:jc w:val="both"/>
        <w:rPr>
          <w:lang w:val="de-DE"/>
        </w:rPr>
      </w:pPr>
    </w:p>
    <w:p w14:paraId="24C8C55B" w14:textId="77777777" w:rsidR="007851EF" w:rsidRPr="004676F5" w:rsidRDefault="007851EF" w:rsidP="007851EF">
      <w:pPr>
        <w:ind w:firstLine="708"/>
        <w:jc w:val="both"/>
        <w:rPr>
          <w:lang w:val="de-DE"/>
        </w:rPr>
      </w:pPr>
      <w:r w:rsidRPr="004676F5">
        <w:rPr>
          <w:lang w:val="de-DE"/>
        </w:rPr>
        <w:t>2. juristische Personen nach belgischem Recht,</w:t>
      </w:r>
    </w:p>
    <w:p w14:paraId="4547EF07" w14:textId="77777777" w:rsidR="007851EF" w:rsidRPr="004676F5" w:rsidRDefault="007851EF" w:rsidP="007851EF">
      <w:pPr>
        <w:ind w:firstLine="708"/>
        <w:jc w:val="both"/>
        <w:rPr>
          <w:lang w:val="de-DE"/>
        </w:rPr>
      </w:pPr>
    </w:p>
    <w:p w14:paraId="73A9B782" w14:textId="2DF699D4" w:rsidR="007851EF" w:rsidRPr="004676F5" w:rsidRDefault="007851EF" w:rsidP="007851EF">
      <w:pPr>
        <w:ind w:firstLine="708"/>
        <w:jc w:val="both"/>
        <w:rPr>
          <w:lang w:val="de-DE"/>
        </w:rPr>
      </w:pPr>
      <w:r w:rsidRPr="004676F5">
        <w:rPr>
          <w:lang w:val="de-DE"/>
        </w:rPr>
        <w:t>3. juristische Personen nach ausländischem oder internationalem Recht mit Sitz</w:t>
      </w:r>
      <w:r w:rsidR="006017BB" w:rsidRPr="004676F5">
        <w:rPr>
          <w:lang w:val="de-DE"/>
        </w:rPr>
        <w:t>[,</w:t>
      </w:r>
      <w:r w:rsidR="00A84B30" w:rsidRPr="004676F5">
        <w:rPr>
          <w:lang w:val="de-DE"/>
        </w:rPr>
        <w:t xml:space="preserve"> </w:t>
      </w:r>
      <w:r w:rsidR="006017BB" w:rsidRPr="004676F5">
        <w:rPr>
          <w:lang w:val="de-DE"/>
        </w:rPr>
        <w:t xml:space="preserve">Niederlassungseinheit] </w:t>
      </w:r>
      <w:r w:rsidRPr="004676F5">
        <w:rPr>
          <w:lang w:val="de-DE"/>
        </w:rPr>
        <w:t>oder Zweigniederlassung in Belgien,</w:t>
      </w:r>
    </w:p>
    <w:p w14:paraId="50F1D981" w14:textId="77777777" w:rsidR="007851EF" w:rsidRPr="004676F5" w:rsidRDefault="007851EF" w:rsidP="007851EF">
      <w:pPr>
        <w:ind w:firstLine="708"/>
        <w:jc w:val="both"/>
        <w:rPr>
          <w:lang w:val="de-DE"/>
        </w:rPr>
      </w:pPr>
    </w:p>
    <w:p w14:paraId="69321DA0" w14:textId="2F383E2D" w:rsidR="007851EF" w:rsidRPr="004676F5" w:rsidRDefault="007851EF" w:rsidP="007851EF">
      <w:pPr>
        <w:ind w:firstLine="708"/>
        <w:jc w:val="both"/>
        <w:rPr>
          <w:lang w:val="de-DE"/>
        </w:rPr>
      </w:pPr>
      <w:r w:rsidRPr="004676F5">
        <w:rPr>
          <w:lang w:val="de-DE"/>
        </w:rPr>
        <w:t>4. </w:t>
      </w:r>
      <w:r w:rsidR="006017BB" w:rsidRPr="004676F5">
        <w:rPr>
          <w:lang w:val="de-DE"/>
        </w:rPr>
        <w:t>[Organisationen ohne Rechtspersönlichkeit, die sich als eintragungspflichtiges Unternehmen eintragen lassen müssen,]</w:t>
      </w:r>
    </w:p>
    <w:p w14:paraId="42A77551" w14:textId="77777777" w:rsidR="007851EF" w:rsidRPr="004676F5" w:rsidRDefault="007851EF" w:rsidP="007851EF">
      <w:pPr>
        <w:ind w:firstLine="708"/>
        <w:jc w:val="both"/>
        <w:rPr>
          <w:lang w:val="de-DE"/>
        </w:rPr>
      </w:pPr>
    </w:p>
    <w:p w14:paraId="2D4C775F" w14:textId="77777777" w:rsidR="007851EF" w:rsidRPr="004676F5" w:rsidRDefault="007851EF" w:rsidP="007851EF">
      <w:pPr>
        <w:ind w:firstLine="708"/>
        <w:jc w:val="both"/>
        <w:rPr>
          <w:lang w:val="de-DE"/>
        </w:rPr>
      </w:pPr>
      <w:r w:rsidRPr="004676F5">
        <w:rPr>
          <w:lang w:val="de-DE"/>
        </w:rPr>
        <w:t>5. Niederlassungen, Einrichtungen und Dienste nach belgischem Recht, die gemeinnützige Aufträge oder mit der öffentlichen Ordnung verbundene Aufträge ausführen und die über finanzielle und buchhalterische Autonomie verfügen, die getrennt von der der juristischen Personen nach belgischem öffentlichem Recht ist, von denen sie abhängen,</w:t>
      </w:r>
    </w:p>
    <w:p w14:paraId="698C5445" w14:textId="77777777" w:rsidR="007851EF" w:rsidRPr="004676F5" w:rsidRDefault="007851EF" w:rsidP="007851EF">
      <w:pPr>
        <w:ind w:firstLine="708"/>
        <w:jc w:val="both"/>
        <w:rPr>
          <w:lang w:val="de-DE"/>
        </w:rPr>
      </w:pPr>
    </w:p>
    <w:p w14:paraId="4789D653" w14:textId="7A212D23" w:rsidR="007851EF" w:rsidRPr="004676F5" w:rsidRDefault="007851EF" w:rsidP="007851EF">
      <w:pPr>
        <w:ind w:firstLine="708"/>
        <w:jc w:val="both"/>
        <w:rPr>
          <w:lang w:val="de-DE"/>
        </w:rPr>
      </w:pPr>
      <w:r w:rsidRPr="004676F5">
        <w:rPr>
          <w:lang w:val="de-DE"/>
        </w:rPr>
        <w:t xml:space="preserve">6. natürliche Personen, juristische Personen nach ausländischem oder internationalem Recht oder </w:t>
      </w:r>
      <w:r w:rsidR="006017BB" w:rsidRPr="004676F5">
        <w:rPr>
          <w:lang w:val="de-DE"/>
        </w:rPr>
        <w:t>[...]</w:t>
      </w:r>
      <w:r w:rsidRPr="004676F5">
        <w:rPr>
          <w:lang w:val="de-DE"/>
        </w:rPr>
        <w:t xml:space="preserve"> Organisationen ohne Rechtspersönlichkeit, die sich in Ausführung der besonderen belgischen Rechtsvorschriften registrieren lassen müssen,</w:t>
      </w:r>
    </w:p>
    <w:p w14:paraId="0DF00047" w14:textId="77777777" w:rsidR="007851EF" w:rsidRPr="004676F5" w:rsidRDefault="007851EF" w:rsidP="007851EF">
      <w:pPr>
        <w:ind w:firstLine="708"/>
        <w:jc w:val="both"/>
        <w:rPr>
          <w:lang w:val="de-DE"/>
        </w:rPr>
      </w:pPr>
    </w:p>
    <w:p w14:paraId="4B475A44" w14:textId="77777777" w:rsidR="007851EF" w:rsidRPr="004676F5" w:rsidRDefault="007851EF" w:rsidP="007851EF">
      <w:pPr>
        <w:ind w:firstLine="708"/>
        <w:jc w:val="both"/>
        <w:rPr>
          <w:lang w:val="de-DE"/>
        </w:rPr>
      </w:pPr>
      <w:r w:rsidRPr="004676F5">
        <w:rPr>
          <w:lang w:val="de-DE"/>
        </w:rPr>
        <w:t>7. Niederlassungseinheiten der vorerwähnten registrierten Körperschaften.</w:t>
      </w:r>
    </w:p>
    <w:p w14:paraId="0B5EBE92" w14:textId="77777777" w:rsidR="007851EF" w:rsidRPr="004676F5" w:rsidRDefault="007851EF" w:rsidP="007851EF">
      <w:pPr>
        <w:ind w:firstLine="708"/>
        <w:jc w:val="both"/>
        <w:rPr>
          <w:lang w:val="de-DE"/>
        </w:rPr>
      </w:pPr>
    </w:p>
    <w:p w14:paraId="5BC56278" w14:textId="7340842A" w:rsidR="00F6427E" w:rsidRPr="004676F5" w:rsidRDefault="007851EF" w:rsidP="007851EF">
      <w:pPr>
        <w:jc w:val="both"/>
        <w:rPr>
          <w:lang w:val="de-DE"/>
        </w:rPr>
      </w:pPr>
      <w:r w:rsidRPr="004676F5">
        <w:rPr>
          <w:lang w:val="de-DE"/>
        </w:rPr>
        <w:tab/>
        <w:t>§ 2 </w:t>
      </w:r>
      <w:r w:rsidR="005B7A5C" w:rsidRPr="004676F5">
        <w:rPr>
          <w:lang w:val="de-DE"/>
        </w:rPr>
        <w:t>- </w:t>
      </w:r>
      <w:r w:rsidRPr="004676F5">
        <w:rPr>
          <w:lang w:val="de-DE"/>
        </w:rPr>
        <w:t>Der König legt die Modalitäten für die Eintragung in die Zentrale Datenbank der Unternehmen der in § 1 erwähnten Körperschaften fest, die in Nummer 5 erwähnten Körperschaften ausgenommen.]</w:t>
      </w:r>
    </w:p>
    <w:p w14:paraId="3E5F6EE9" w14:textId="0AC9A42A" w:rsidR="00F6427E" w:rsidRPr="004676F5" w:rsidRDefault="00F6427E" w:rsidP="00F6427E">
      <w:pPr>
        <w:jc w:val="both"/>
        <w:rPr>
          <w:lang w:val="de-DE"/>
        </w:rPr>
      </w:pPr>
    </w:p>
    <w:p w14:paraId="74ABA5FD" w14:textId="457710B3" w:rsidR="007851EF" w:rsidRPr="004676F5" w:rsidRDefault="007851EF" w:rsidP="00F6427E">
      <w:pPr>
        <w:jc w:val="both"/>
        <w:rPr>
          <w:i/>
          <w:iCs/>
          <w:lang w:val="de-DE"/>
        </w:rPr>
      </w:pPr>
      <w:r w:rsidRPr="004676F5">
        <w:rPr>
          <w:i/>
          <w:lang w:val="de-DE"/>
        </w:rPr>
        <w:t>[Art. III.16 ersetzt durch Art. 50</w:t>
      </w:r>
      <w:r w:rsidRPr="004676F5">
        <w:rPr>
          <w:i/>
          <w:iCs/>
          <w:lang w:val="de-DE"/>
        </w:rPr>
        <w:t xml:space="preserve"> des G. vom 15. April 2018 (B.S. vom 27. April 2018)</w:t>
      </w:r>
      <w:r w:rsidR="006017BB" w:rsidRPr="004676F5">
        <w:rPr>
          <w:i/>
          <w:iCs/>
          <w:lang w:val="de-DE"/>
        </w:rPr>
        <w:t>; § 1 einziger Absatz Nr. 1 ersetzt durch Art. 5 Buchstabe a) des G. vom 9. Februar 2024 (B.S. vom 21. März 2024); § 1 einziger Absatz Nr. 3 abgeändert durch Art. 5 Buchstabe b) des G. vom 9. Februar 2024 (B.S. vom 21. März 2024); § 1 einziger Absatz Nr. 4 ersetzt durch Art. 5 Buchstabe c) des G. vom 9. Februar 2024 (B.S. vom 21. März 2024); § 1 einziger Absatz Nr. 6 abgeändert durch Art. 5 Buchstabe </w:t>
      </w:r>
      <w:r w:rsidR="00A27F43" w:rsidRPr="004676F5">
        <w:rPr>
          <w:i/>
          <w:iCs/>
          <w:lang w:val="de-DE"/>
        </w:rPr>
        <w:t>d</w:t>
      </w:r>
      <w:r w:rsidR="006017BB" w:rsidRPr="004676F5">
        <w:rPr>
          <w:i/>
          <w:iCs/>
          <w:lang w:val="de-DE"/>
        </w:rPr>
        <w:t>) des G. vom 9. Februar 2024 (B.S. vom 21. März 2024)</w:t>
      </w:r>
      <w:r w:rsidRPr="004676F5">
        <w:rPr>
          <w:i/>
          <w:iCs/>
          <w:lang w:val="de-DE"/>
        </w:rPr>
        <w:t>]</w:t>
      </w:r>
    </w:p>
    <w:p w14:paraId="753CBA1D" w14:textId="77777777" w:rsidR="007851EF" w:rsidRPr="004676F5" w:rsidRDefault="007851EF" w:rsidP="00F6427E">
      <w:pPr>
        <w:jc w:val="both"/>
        <w:rPr>
          <w:i/>
          <w:lang w:val="de-DE"/>
        </w:rPr>
      </w:pPr>
    </w:p>
    <w:p w14:paraId="6E2EA7E6" w14:textId="77777777" w:rsidR="00D068E9" w:rsidRPr="004676F5" w:rsidRDefault="00D068E9" w:rsidP="00F6427E">
      <w:pPr>
        <w:jc w:val="both"/>
        <w:rPr>
          <w:lang w:val="de-DE"/>
        </w:rPr>
      </w:pPr>
    </w:p>
    <w:p w14:paraId="1DA23F49" w14:textId="77777777" w:rsidR="006017BB" w:rsidRPr="004676F5" w:rsidRDefault="006017BB">
      <w:pPr>
        <w:rPr>
          <w:i/>
          <w:lang w:val="de-DE"/>
        </w:rPr>
      </w:pPr>
      <w:r w:rsidRPr="004676F5">
        <w:rPr>
          <w:i/>
          <w:lang w:val="de-DE"/>
        </w:rPr>
        <w:br w:type="page"/>
      </w:r>
    </w:p>
    <w:p w14:paraId="0EEC18CB" w14:textId="0B24CB91" w:rsidR="00F6427E" w:rsidRPr="004676F5" w:rsidRDefault="00F6427E" w:rsidP="00F6427E">
      <w:pPr>
        <w:jc w:val="center"/>
        <w:rPr>
          <w:lang w:val="de-DE"/>
        </w:rPr>
      </w:pPr>
      <w:r w:rsidRPr="004676F5">
        <w:rPr>
          <w:i/>
          <w:lang w:val="de-DE"/>
        </w:rPr>
        <w:lastRenderedPageBreak/>
        <w:t>Abschnitt 2</w:t>
      </w:r>
      <w:r w:rsidRPr="004676F5">
        <w:rPr>
          <w:lang w:val="de-DE"/>
        </w:rPr>
        <w:t> </w:t>
      </w:r>
      <w:r w:rsidR="005B7A5C" w:rsidRPr="004676F5">
        <w:rPr>
          <w:lang w:val="de-DE"/>
        </w:rPr>
        <w:t>- </w:t>
      </w:r>
      <w:r w:rsidRPr="004676F5">
        <w:rPr>
          <w:lang w:val="de-DE"/>
        </w:rPr>
        <w:t>Eintragung in die Zentrale Datenbank der Unternehmen</w:t>
      </w:r>
    </w:p>
    <w:p w14:paraId="127FEF80" w14:textId="77777777" w:rsidR="00F6427E" w:rsidRPr="004676F5" w:rsidRDefault="00F6427E" w:rsidP="00F6427E">
      <w:pPr>
        <w:jc w:val="both"/>
        <w:rPr>
          <w:lang w:val="de-DE"/>
        </w:rPr>
      </w:pPr>
    </w:p>
    <w:p w14:paraId="5113CD7A" w14:textId="77777777" w:rsidR="00D068E9" w:rsidRPr="004676F5" w:rsidRDefault="00D068E9" w:rsidP="00F6427E">
      <w:pPr>
        <w:jc w:val="both"/>
        <w:rPr>
          <w:lang w:val="de-DE"/>
        </w:rPr>
      </w:pPr>
    </w:p>
    <w:p w14:paraId="7FBEA233" w14:textId="5C2EFA41"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III.17</w:t>
      </w:r>
      <w:r w:rsidRPr="004676F5">
        <w:rPr>
          <w:lang w:val="de-DE"/>
        </w:rPr>
        <w:t> </w:t>
      </w:r>
      <w:r w:rsidR="005B7A5C" w:rsidRPr="004676F5">
        <w:rPr>
          <w:lang w:val="de-DE"/>
        </w:rPr>
        <w:t>- </w:t>
      </w:r>
      <w:r w:rsidR="002F3E72" w:rsidRPr="004676F5">
        <w:rPr>
          <w:lang w:val="de-DE"/>
        </w:rPr>
        <w:t>[In Artikel III.16 erwähnte registrierte Körperschaften oder Niederlassungseinheiten werden in der Zentralen Datenbank der Unternehmen eingetragen und jeder registrierten Körperschaft beziehungsweise jeder Niederlassungseinheit wird]</w:t>
      </w:r>
      <w:r w:rsidRPr="004676F5">
        <w:rPr>
          <w:lang w:val="de-DE"/>
        </w:rPr>
        <w:t xml:space="preserve"> bei der Eintragung eine Unternehmens</w:t>
      </w:r>
      <w:r w:rsidR="005B7A5C" w:rsidRPr="004676F5">
        <w:rPr>
          <w:lang w:val="de-DE"/>
        </w:rPr>
        <w:t>- </w:t>
      </w:r>
      <w:r w:rsidRPr="004676F5">
        <w:rPr>
          <w:lang w:val="de-DE"/>
        </w:rPr>
        <w:t>beziehungsweise Niederlassungseinheitsnummer zugeteilt. Diese Nummer bildet die einheitliche Erkennungs</w:t>
      </w:r>
      <w:r w:rsidRPr="004676F5">
        <w:rPr>
          <w:lang w:val="de-DE"/>
        </w:rPr>
        <w:softHyphen/>
        <w:t>nummer.</w:t>
      </w:r>
    </w:p>
    <w:p w14:paraId="4F617969" w14:textId="4556167D" w:rsidR="00F6427E" w:rsidRPr="004676F5" w:rsidRDefault="00F6427E" w:rsidP="00F6427E">
      <w:pPr>
        <w:jc w:val="both"/>
        <w:rPr>
          <w:lang w:val="de-DE"/>
        </w:rPr>
      </w:pPr>
    </w:p>
    <w:p w14:paraId="12A98611" w14:textId="5F727623" w:rsidR="002F3E72" w:rsidRPr="004676F5" w:rsidRDefault="002F3E72" w:rsidP="00F6427E">
      <w:pPr>
        <w:jc w:val="both"/>
        <w:rPr>
          <w:i/>
          <w:iCs/>
          <w:lang w:val="de-DE"/>
        </w:rPr>
      </w:pPr>
      <w:r w:rsidRPr="004676F5">
        <w:rPr>
          <w:i/>
          <w:lang w:val="de-DE"/>
        </w:rPr>
        <w:t>[Art. III.17 abgeändert durch Art. 51</w:t>
      </w:r>
      <w:r w:rsidRPr="004676F5">
        <w:rPr>
          <w:i/>
          <w:iCs/>
          <w:lang w:val="de-DE"/>
        </w:rPr>
        <w:t xml:space="preserve"> des G. vom 15. April 2018 (B.S. vom 27. April 2018)]</w:t>
      </w:r>
    </w:p>
    <w:p w14:paraId="452AF5BB" w14:textId="77777777" w:rsidR="002F3E72" w:rsidRPr="004676F5" w:rsidRDefault="002F3E72" w:rsidP="00F6427E">
      <w:pPr>
        <w:jc w:val="both"/>
        <w:rPr>
          <w:i/>
          <w:lang w:val="de-DE"/>
        </w:rPr>
      </w:pPr>
    </w:p>
    <w:p w14:paraId="697B86C9" w14:textId="77777777" w:rsidR="00D068E9" w:rsidRPr="004676F5" w:rsidRDefault="00D068E9" w:rsidP="00F6427E">
      <w:pPr>
        <w:jc w:val="both"/>
        <w:rPr>
          <w:lang w:val="de-DE"/>
        </w:rPr>
      </w:pPr>
    </w:p>
    <w:p w14:paraId="42EEBE76" w14:textId="796B976A"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III.18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aufgrund von Artikel III.17 vorgenommene Eintragung enthält folgende Daten:</w:t>
      </w:r>
    </w:p>
    <w:p w14:paraId="5C0D8EDB" w14:textId="77777777" w:rsidR="00F6427E" w:rsidRPr="004676F5" w:rsidRDefault="00F6427E" w:rsidP="00F6427E">
      <w:pPr>
        <w:jc w:val="both"/>
        <w:rPr>
          <w:lang w:val="de-DE"/>
        </w:rPr>
      </w:pPr>
    </w:p>
    <w:p w14:paraId="0F2E472C" w14:textId="77777777" w:rsidR="00F6427E" w:rsidRPr="004676F5" w:rsidRDefault="00F6427E" w:rsidP="00F6427E">
      <w:pPr>
        <w:jc w:val="both"/>
        <w:rPr>
          <w:lang w:val="de-DE"/>
        </w:rPr>
      </w:pPr>
      <w:r w:rsidRPr="004676F5">
        <w:rPr>
          <w:lang w:val="de-DE"/>
        </w:rPr>
        <w:tab/>
        <w:t>1. Namen, Bezeichnung oder Firma,</w:t>
      </w:r>
    </w:p>
    <w:p w14:paraId="7D6D0DC4" w14:textId="77777777" w:rsidR="00F6427E" w:rsidRPr="004676F5" w:rsidRDefault="00F6427E" w:rsidP="00F6427E">
      <w:pPr>
        <w:jc w:val="both"/>
        <w:rPr>
          <w:lang w:val="de-DE"/>
        </w:rPr>
      </w:pPr>
    </w:p>
    <w:p w14:paraId="5BB60D8A" w14:textId="2BC757D1" w:rsidR="00F6427E" w:rsidRPr="004676F5" w:rsidRDefault="00F6427E" w:rsidP="00F6427E">
      <w:pPr>
        <w:jc w:val="both"/>
        <w:rPr>
          <w:lang w:val="de-DE"/>
        </w:rPr>
      </w:pPr>
      <w:r w:rsidRPr="004676F5">
        <w:rPr>
          <w:lang w:val="de-DE"/>
        </w:rPr>
        <w:tab/>
        <w:t>2. genaue Angabe der verschiedenen Adressen, gegebenenfa</w:t>
      </w:r>
      <w:r w:rsidR="002F3E72" w:rsidRPr="004676F5">
        <w:rPr>
          <w:lang w:val="de-DE"/>
        </w:rPr>
        <w:t xml:space="preserve">lls des Gesellschaftssitzes [der registrierten Körperschaft] </w:t>
      </w:r>
      <w:r w:rsidRPr="004676F5">
        <w:rPr>
          <w:lang w:val="de-DE"/>
        </w:rPr>
        <w:t>und der verschiedenen Niederlassungseinheiten in Belgien,</w:t>
      </w:r>
    </w:p>
    <w:p w14:paraId="7232525A" w14:textId="77777777" w:rsidR="00F6427E" w:rsidRPr="004676F5" w:rsidRDefault="00F6427E" w:rsidP="00F6427E">
      <w:pPr>
        <w:jc w:val="both"/>
        <w:rPr>
          <w:lang w:val="de-DE"/>
        </w:rPr>
      </w:pPr>
    </w:p>
    <w:p w14:paraId="0F8E4421" w14:textId="77777777" w:rsidR="00F6427E" w:rsidRPr="004676F5" w:rsidRDefault="00F6427E" w:rsidP="00F6427E">
      <w:pPr>
        <w:jc w:val="both"/>
        <w:rPr>
          <w:lang w:val="de-DE"/>
        </w:rPr>
      </w:pPr>
      <w:r w:rsidRPr="004676F5">
        <w:rPr>
          <w:lang w:val="de-DE"/>
        </w:rPr>
        <w:tab/>
        <w:t>3. Rechtsform,</w:t>
      </w:r>
    </w:p>
    <w:p w14:paraId="5FD85C29" w14:textId="77777777" w:rsidR="00F6427E" w:rsidRPr="004676F5" w:rsidRDefault="00F6427E" w:rsidP="00F6427E">
      <w:pPr>
        <w:jc w:val="both"/>
        <w:rPr>
          <w:lang w:val="de-DE"/>
        </w:rPr>
      </w:pPr>
    </w:p>
    <w:p w14:paraId="0A547740" w14:textId="77777777" w:rsidR="00F6427E" w:rsidRPr="004676F5" w:rsidRDefault="00F6427E" w:rsidP="00F6427E">
      <w:pPr>
        <w:jc w:val="both"/>
        <w:rPr>
          <w:lang w:val="de-DE"/>
        </w:rPr>
      </w:pPr>
      <w:r w:rsidRPr="004676F5">
        <w:rPr>
          <w:lang w:val="de-DE"/>
        </w:rPr>
        <w:tab/>
        <w:t>4. Rechtslage,</w:t>
      </w:r>
    </w:p>
    <w:p w14:paraId="656F8A5F" w14:textId="77777777" w:rsidR="00F6427E" w:rsidRPr="004676F5" w:rsidRDefault="00F6427E" w:rsidP="00F6427E">
      <w:pPr>
        <w:jc w:val="both"/>
        <w:rPr>
          <w:lang w:val="de-DE"/>
        </w:rPr>
      </w:pPr>
    </w:p>
    <w:p w14:paraId="031C3A3A" w14:textId="7C0E421B" w:rsidR="00F6427E" w:rsidRPr="004676F5" w:rsidRDefault="00F6427E" w:rsidP="00F6427E">
      <w:pPr>
        <w:jc w:val="both"/>
        <w:rPr>
          <w:lang w:val="de-DE"/>
        </w:rPr>
      </w:pPr>
      <w:r w:rsidRPr="004676F5">
        <w:rPr>
          <w:lang w:val="de-DE"/>
        </w:rPr>
        <w:tab/>
        <w:t xml:space="preserve">5. Datum der Gründung beziehungsweise Auflösung </w:t>
      </w:r>
      <w:r w:rsidR="002F3E72" w:rsidRPr="004676F5">
        <w:rPr>
          <w:lang w:val="de-DE"/>
        </w:rPr>
        <w:t xml:space="preserve">[der registrierten Körperschaft] </w:t>
      </w:r>
      <w:r w:rsidRPr="004676F5">
        <w:rPr>
          <w:lang w:val="de-DE"/>
        </w:rPr>
        <w:t>oder der Niederlassungseinheit,</w:t>
      </w:r>
    </w:p>
    <w:p w14:paraId="6CF28322" w14:textId="77777777" w:rsidR="00F6427E" w:rsidRPr="004676F5" w:rsidRDefault="00F6427E" w:rsidP="00F6427E">
      <w:pPr>
        <w:jc w:val="both"/>
        <w:rPr>
          <w:lang w:val="de-DE"/>
        </w:rPr>
      </w:pPr>
    </w:p>
    <w:p w14:paraId="2E9D94CF" w14:textId="43FE17C0" w:rsidR="00F6427E" w:rsidRPr="004676F5" w:rsidRDefault="00F6427E" w:rsidP="00F6427E">
      <w:pPr>
        <w:jc w:val="both"/>
        <w:rPr>
          <w:lang w:val="de-DE"/>
        </w:rPr>
      </w:pPr>
      <w:r w:rsidRPr="004676F5">
        <w:rPr>
          <w:lang w:val="de-DE"/>
        </w:rPr>
        <w:tab/>
        <w:t>6. Identifizierungsdaten der Gründer, Beauftragten</w:t>
      </w:r>
      <w:r w:rsidR="00CB56FE" w:rsidRPr="004676F5">
        <w:rPr>
          <w:lang w:val="de-DE"/>
        </w:rPr>
        <w:t>[, Bevollmächtigten, aktiven Gesellschafter und Helfer]</w:t>
      </w:r>
      <w:r w:rsidRPr="004676F5">
        <w:rPr>
          <w:lang w:val="de-DE"/>
        </w:rPr>
        <w:t>,</w:t>
      </w:r>
    </w:p>
    <w:p w14:paraId="6E629181" w14:textId="77777777" w:rsidR="00F6427E" w:rsidRPr="004676F5" w:rsidRDefault="00F6427E" w:rsidP="00F6427E">
      <w:pPr>
        <w:jc w:val="both"/>
        <w:rPr>
          <w:lang w:val="de-DE"/>
        </w:rPr>
      </w:pPr>
    </w:p>
    <w:p w14:paraId="5674E691" w14:textId="373A687D" w:rsidR="00F6427E" w:rsidRPr="004676F5" w:rsidRDefault="00F6427E" w:rsidP="00F6427E">
      <w:pPr>
        <w:jc w:val="both"/>
        <w:rPr>
          <w:lang w:val="de-DE"/>
        </w:rPr>
      </w:pPr>
      <w:r w:rsidRPr="004676F5">
        <w:rPr>
          <w:lang w:val="de-DE"/>
        </w:rPr>
        <w:tab/>
        <w:t>7. </w:t>
      </w:r>
      <w:r w:rsidR="002F3E72" w:rsidRPr="004676F5">
        <w:rPr>
          <w:lang w:val="de-DE"/>
        </w:rPr>
        <w:t>[von de</w:t>
      </w:r>
      <w:r w:rsidR="00B00B1E" w:rsidRPr="004676F5">
        <w:rPr>
          <w:lang w:val="de-DE"/>
        </w:rPr>
        <w:t>r</w:t>
      </w:r>
      <w:r w:rsidR="002F3E72" w:rsidRPr="004676F5">
        <w:rPr>
          <w:lang w:val="de-DE"/>
        </w:rPr>
        <w:t xml:space="preserve"> registrierten Körperschaft] </w:t>
      </w:r>
      <w:r w:rsidRPr="004676F5">
        <w:rPr>
          <w:lang w:val="de-DE"/>
        </w:rPr>
        <w:t>ausgeübte wirtschaftliche Tätigkeiten,</w:t>
      </w:r>
    </w:p>
    <w:p w14:paraId="5DBE274F" w14:textId="77777777" w:rsidR="00F6427E" w:rsidRPr="004676F5" w:rsidRDefault="00F6427E" w:rsidP="00F6427E">
      <w:pPr>
        <w:jc w:val="both"/>
        <w:rPr>
          <w:lang w:val="de-DE"/>
        </w:rPr>
      </w:pPr>
    </w:p>
    <w:p w14:paraId="62F6EB59" w14:textId="77777777" w:rsidR="00F6427E" w:rsidRPr="004676F5" w:rsidRDefault="00F6427E" w:rsidP="00F6427E">
      <w:pPr>
        <w:jc w:val="both"/>
        <w:rPr>
          <w:lang w:val="de-DE"/>
        </w:rPr>
      </w:pPr>
      <w:r w:rsidRPr="004676F5">
        <w:rPr>
          <w:lang w:val="de-DE"/>
        </w:rPr>
        <w:tab/>
        <w:t>8. andere grundlegende Identifizierungsdaten, die zum Zeitpunkt der Schaffung der juristischen Person oder in Anwendung von Kapitel 2 mitgeteilt werden müssen,</w:t>
      </w:r>
    </w:p>
    <w:p w14:paraId="35AF9385" w14:textId="77777777" w:rsidR="00F6427E" w:rsidRPr="004676F5" w:rsidRDefault="00F6427E" w:rsidP="00F6427E">
      <w:pPr>
        <w:jc w:val="both"/>
        <w:rPr>
          <w:lang w:val="de-DE"/>
        </w:rPr>
      </w:pPr>
    </w:p>
    <w:p w14:paraId="2BBB1528" w14:textId="14CEB4BF" w:rsidR="00F6427E" w:rsidRPr="004676F5" w:rsidRDefault="00F6427E" w:rsidP="00F6427E">
      <w:pPr>
        <w:jc w:val="both"/>
        <w:rPr>
          <w:lang w:val="de-DE"/>
        </w:rPr>
      </w:pPr>
      <w:r w:rsidRPr="004676F5">
        <w:rPr>
          <w:lang w:val="de-DE"/>
        </w:rPr>
        <w:tab/>
        <w:t xml:space="preserve">9. Angabe über Zulassungen, Lizenzen und Anerkennungen, über die </w:t>
      </w:r>
      <w:r w:rsidR="002F3E72" w:rsidRPr="004676F5">
        <w:rPr>
          <w:lang w:val="de-DE"/>
        </w:rPr>
        <w:t xml:space="preserve">[die registrierte Körperschaft] </w:t>
      </w:r>
      <w:r w:rsidRPr="004676F5">
        <w:rPr>
          <w:lang w:val="de-DE"/>
        </w:rPr>
        <w:t xml:space="preserve">verfügt, oder Eigenschaften, für die </w:t>
      </w:r>
      <w:r w:rsidR="002F3E72" w:rsidRPr="004676F5">
        <w:rPr>
          <w:lang w:val="de-DE"/>
        </w:rPr>
        <w:t xml:space="preserve">[die registrierte Körperschaft] </w:t>
      </w:r>
      <w:r w:rsidRPr="004676F5">
        <w:rPr>
          <w:lang w:val="de-DE"/>
        </w:rPr>
        <w:t>bei Behörden, Verwaltungen und Diensten bekannt ist, und gegebenenfalls Verlauf der diesbezüglichen Anträge,</w:t>
      </w:r>
    </w:p>
    <w:p w14:paraId="43277014" w14:textId="77777777" w:rsidR="00F6427E" w:rsidRPr="004676F5" w:rsidRDefault="00F6427E" w:rsidP="00F6427E">
      <w:pPr>
        <w:rPr>
          <w:lang w:val="de-DE"/>
        </w:rPr>
      </w:pPr>
    </w:p>
    <w:p w14:paraId="5B039338" w14:textId="46867E62" w:rsidR="00F6427E" w:rsidRPr="004676F5" w:rsidRDefault="00F6427E" w:rsidP="00F6427E">
      <w:pPr>
        <w:jc w:val="both"/>
        <w:rPr>
          <w:lang w:val="de-DE"/>
        </w:rPr>
      </w:pPr>
      <w:r w:rsidRPr="004676F5">
        <w:rPr>
          <w:lang w:val="de-DE"/>
        </w:rPr>
        <w:tab/>
        <w:t xml:space="preserve">10. gegebenenfalls Verweis auf die Website </w:t>
      </w:r>
      <w:r w:rsidR="002F3E72" w:rsidRPr="004676F5">
        <w:rPr>
          <w:lang w:val="de-DE"/>
        </w:rPr>
        <w:t>[der registrierten Körperschaft]</w:t>
      </w:r>
      <w:r w:rsidRPr="004676F5">
        <w:rPr>
          <w:lang w:val="de-DE"/>
        </w:rPr>
        <w:t xml:space="preserve">, </w:t>
      </w:r>
      <w:r w:rsidR="00B00B1E" w:rsidRPr="004676F5">
        <w:rPr>
          <w:lang w:val="de-DE"/>
        </w:rPr>
        <w:t>[ihre]</w:t>
      </w:r>
      <w:r w:rsidRPr="004676F5">
        <w:rPr>
          <w:lang w:val="de-DE"/>
        </w:rPr>
        <w:t xml:space="preserve"> Telefonnummer, Faxnummer und E-Mail-Adresse,</w:t>
      </w:r>
    </w:p>
    <w:p w14:paraId="3333B106" w14:textId="77777777" w:rsidR="00F6427E" w:rsidRPr="004676F5" w:rsidRDefault="00F6427E" w:rsidP="00F6427E">
      <w:pPr>
        <w:jc w:val="both"/>
        <w:rPr>
          <w:lang w:val="de-DE"/>
        </w:rPr>
      </w:pPr>
    </w:p>
    <w:p w14:paraId="611AF950" w14:textId="5B7D2C13" w:rsidR="00F6427E" w:rsidRPr="004676F5" w:rsidRDefault="00F6427E" w:rsidP="00F6427E">
      <w:pPr>
        <w:jc w:val="both"/>
        <w:rPr>
          <w:lang w:val="de-DE"/>
        </w:rPr>
      </w:pPr>
      <w:r w:rsidRPr="004676F5">
        <w:rPr>
          <w:lang w:val="de-DE"/>
        </w:rPr>
        <w:tab/>
        <w:t xml:space="preserve">11. Daten des Bankkontos/der Bankkonten </w:t>
      </w:r>
      <w:r w:rsidR="002F3E72" w:rsidRPr="004676F5">
        <w:rPr>
          <w:lang w:val="de-DE"/>
        </w:rPr>
        <w:t>[der registrierten Körperschaft]</w:t>
      </w:r>
      <w:r w:rsidRPr="004676F5">
        <w:rPr>
          <w:lang w:val="de-DE"/>
        </w:rPr>
        <w:t>.</w:t>
      </w:r>
    </w:p>
    <w:p w14:paraId="62DB4C80" w14:textId="77777777" w:rsidR="00F6427E" w:rsidRPr="004676F5" w:rsidRDefault="00F6427E" w:rsidP="00F6427E">
      <w:pPr>
        <w:jc w:val="both"/>
        <w:rPr>
          <w:lang w:val="de-DE"/>
        </w:rPr>
      </w:pPr>
    </w:p>
    <w:p w14:paraId="1212AD8F" w14:textId="3B8616A3"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 xml:space="preserve">Der König kann </w:t>
      </w:r>
      <w:r w:rsidR="006017BB" w:rsidRPr="004676F5">
        <w:rPr>
          <w:lang w:val="de-DE"/>
        </w:rPr>
        <w:t>[...]</w:t>
      </w:r>
      <w:r w:rsidRPr="004676F5">
        <w:rPr>
          <w:lang w:val="de-DE"/>
        </w:rPr>
        <w:t xml:space="preserve"> durch einen im Ministerrat beratenen Erlass die in § 1 aufgezählten Daten durch andere Daten, die für die Identifizierung </w:t>
      </w:r>
      <w:r w:rsidR="002F3E72" w:rsidRPr="004676F5">
        <w:rPr>
          <w:lang w:val="de-DE"/>
        </w:rPr>
        <w:t xml:space="preserve">[der registrierten Körperschaften] </w:t>
      </w:r>
      <w:r w:rsidRPr="004676F5">
        <w:rPr>
          <w:lang w:val="de-DE"/>
        </w:rPr>
        <w:t>notwendig sind oder von gemeinsamem Interesse für mehrere öffentliche Dienste sind, ergänzen.</w:t>
      </w:r>
    </w:p>
    <w:p w14:paraId="7198FF5E" w14:textId="77777777" w:rsidR="00F6427E" w:rsidRPr="004676F5" w:rsidRDefault="00F6427E" w:rsidP="00F6427E">
      <w:pPr>
        <w:jc w:val="both"/>
        <w:rPr>
          <w:lang w:val="de-DE"/>
        </w:rPr>
      </w:pPr>
    </w:p>
    <w:p w14:paraId="1589B0BD" w14:textId="4084F803" w:rsidR="00F6427E" w:rsidRPr="004676F5" w:rsidRDefault="00F6427E" w:rsidP="00F6427E">
      <w:pPr>
        <w:jc w:val="both"/>
        <w:rPr>
          <w:lang w:val="de-DE"/>
        </w:rPr>
      </w:pPr>
      <w:r w:rsidRPr="004676F5">
        <w:rPr>
          <w:lang w:val="de-DE"/>
        </w:rPr>
        <w:lastRenderedPageBreak/>
        <w:tab/>
        <w:t>§ 3 </w:t>
      </w:r>
      <w:r w:rsidR="005B7A5C" w:rsidRPr="004676F5">
        <w:rPr>
          <w:lang w:val="de-DE"/>
        </w:rPr>
        <w:t>- </w:t>
      </w:r>
      <w:r w:rsidRPr="004676F5">
        <w:rPr>
          <w:lang w:val="de-DE"/>
        </w:rPr>
        <w:t>Änderungen an den in den Paragraphen 1 und 2 erwähnten Daten müssen sofort mit Hinweis auf das Datum des Inkrafttretens und auf den Dienst, von dem sie ausgehen, in der Zentralen Datenbank der Unternehmen aufgenommen werden.</w:t>
      </w:r>
    </w:p>
    <w:p w14:paraId="5E4DF23D" w14:textId="77777777" w:rsidR="00F6427E" w:rsidRPr="004676F5" w:rsidRDefault="00F6427E" w:rsidP="00F6427E">
      <w:pPr>
        <w:jc w:val="both"/>
        <w:rPr>
          <w:lang w:val="de-DE"/>
        </w:rPr>
      </w:pPr>
    </w:p>
    <w:p w14:paraId="6F52F51C" w14:textId="026C9885" w:rsidR="00F6427E" w:rsidRPr="004676F5" w:rsidRDefault="00F6427E" w:rsidP="00F6427E">
      <w:pPr>
        <w:jc w:val="both"/>
        <w:rPr>
          <w:lang w:val="de-DE"/>
        </w:rPr>
      </w:pPr>
      <w:r w:rsidRPr="004676F5">
        <w:rPr>
          <w:lang w:val="de-DE"/>
        </w:rPr>
        <w:tab/>
        <w:t>§ 4 </w:t>
      </w:r>
      <w:r w:rsidR="005B7A5C" w:rsidRPr="004676F5">
        <w:rPr>
          <w:lang w:val="de-DE"/>
        </w:rPr>
        <w:t>- </w:t>
      </w:r>
      <w:r w:rsidRPr="004676F5">
        <w:rPr>
          <w:lang w:val="de-DE"/>
        </w:rPr>
        <w:t xml:space="preserve">Diese Daten werden dreißig Jahre ab dem Tag des Verlusts der Rechtspersönlichkeit für juristische Personen </w:t>
      </w:r>
      <w:r w:rsidR="006017BB" w:rsidRPr="004676F5">
        <w:rPr>
          <w:lang w:val="de-DE"/>
        </w:rPr>
        <w:t>[nach belgischem Recht oder ab dem Tag der Streichung der Eintragung in der Zentralen Datenbank der Unternehmen]</w:t>
      </w:r>
      <w:r w:rsidRPr="004676F5">
        <w:rPr>
          <w:lang w:val="de-DE"/>
        </w:rPr>
        <w:t xml:space="preserve"> für andere in Artikel III.16 erwähnte Eintragungsinhaber aufbewahrt.</w:t>
      </w:r>
    </w:p>
    <w:p w14:paraId="5C92230A" w14:textId="442B3DF9" w:rsidR="00F6427E" w:rsidRPr="004676F5" w:rsidRDefault="00F6427E" w:rsidP="00F6427E">
      <w:pPr>
        <w:jc w:val="both"/>
        <w:rPr>
          <w:lang w:val="de-DE"/>
        </w:rPr>
      </w:pPr>
    </w:p>
    <w:p w14:paraId="49F553F8" w14:textId="54544A3E" w:rsidR="002F3E72" w:rsidRPr="004676F5" w:rsidRDefault="002F3E72" w:rsidP="00F6427E">
      <w:pPr>
        <w:jc w:val="both"/>
        <w:rPr>
          <w:i/>
          <w:iCs/>
          <w:lang w:val="de-DE"/>
        </w:rPr>
      </w:pPr>
      <w:r w:rsidRPr="004676F5">
        <w:rPr>
          <w:i/>
          <w:lang w:val="de-DE"/>
        </w:rPr>
        <w:t xml:space="preserve">[Art. III.18 </w:t>
      </w:r>
      <w:r w:rsidR="00DD7A85" w:rsidRPr="004676F5">
        <w:rPr>
          <w:i/>
          <w:lang w:val="de-DE"/>
        </w:rPr>
        <w:t>§ 1 einziger Absatz Nr. 2 und 5 abgeändert durch Art. 52 Nr. 1</w:t>
      </w:r>
      <w:r w:rsidR="00DD7A85" w:rsidRPr="004676F5">
        <w:rPr>
          <w:i/>
          <w:iCs/>
          <w:lang w:val="de-DE"/>
        </w:rPr>
        <w:t xml:space="preserve"> des G. vom 15. April 2018 (B.S. vom 27. April 2018); </w:t>
      </w:r>
      <w:r w:rsidR="00CB56FE" w:rsidRPr="004676F5">
        <w:rPr>
          <w:i/>
          <w:lang w:val="de-DE"/>
        </w:rPr>
        <w:t xml:space="preserve">§ 1 einziger Absatz Nr. 6 abgeändert durch Art. 74 des G. vom 22. Dezember 2023 (B.S. vom 29. Dezember 2023); </w:t>
      </w:r>
      <w:r w:rsidRPr="004676F5">
        <w:rPr>
          <w:i/>
          <w:lang w:val="de-DE"/>
        </w:rPr>
        <w:t>§ 1 einziger Absatz Nr. 7, 9, 10 und 11 abgeändert durch Art. 52 Nr. 1</w:t>
      </w:r>
      <w:r w:rsidRPr="004676F5">
        <w:rPr>
          <w:i/>
          <w:iCs/>
          <w:lang w:val="de-DE"/>
        </w:rPr>
        <w:t xml:space="preserve"> des G. vom 15. April 2018 (B.S. vom 27. April 2018); § 2 abgeändert durch Art. 52 Nr. 2 des G. vom 15. April 2018 (B.S. vom 27. April 2018)</w:t>
      </w:r>
      <w:r w:rsidR="006017BB" w:rsidRPr="004676F5">
        <w:rPr>
          <w:i/>
          <w:iCs/>
          <w:lang w:val="de-DE"/>
        </w:rPr>
        <w:t xml:space="preserve"> und Art. 6 Nr. 1 des G. vom 9. Februar 2024 (B.S. vom 21. März 2024); § 4 abgeändert durch Art. 6 Nr. 2 des G. vom 9. Februar 2024 (B.S. vom 21. März 2024)</w:t>
      </w:r>
      <w:r w:rsidRPr="004676F5">
        <w:rPr>
          <w:i/>
          <w:iCs/>
          <w:lang w:val="de-DE"/>
        </w:rPr>
        <w:t>]</w:t>
      </w:r>
    </w:p>
    <w:p w14:paraId="778C8BD3" w14:textId="77777777" w:rsidR="002F3E72" w:rsidRPr="004676F5" w:rsidRDefault="002F3E72" w:rsidP="00F6427E">
      <w:pPr>
        <w:jc w:val="both"/>
        <w:rPr>
          <w:i/>
          <w:lang w:val="de-DE"/>
        </w:rPr>
      </w:pPr>
    </w:p>
    <w:p w14:paraId="6D5717D0" w14:textId="77777777" w:rsidR="00D068E9" w:rsidRPr="004676F5" w:rsidRDefault="00D068E9" w:rsidP="00F6427E">
      <w:pPr>
        <w:jc w:val="both"/>
        <w:rPr>
          <w:lang w:val="de-DE"/>
        </w:rPr>
      </w:pPr>
    </w:p>
    <w:p w14:paraId="413976F5" w14:textId="1E904709"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III.19</w:t>
      </w:r>
      <w:r w:rsidRPr="004676F5">
        <w:rPr>
          <w:lang w:val="de-DE"/>
        </w:rPr>
        <w:t> </w:t>
      </w:r>
      <w:r w:rsidR="005B7A5C" w:rsidRPr="004676F5">
        <w:rPr>
          <w:lang w:val="de-DE"/>
        </w:rPr>
        <w:t>- </w:t>
      </w:r>
      <w:r w:rsidRPr="004676F5">
        <w:rPr>
          <w:lang w:val="de-DE"/>
        </w:rPr>
        <w:t xml:space="preserve">Der König bestimmt durch einen im Ministerrat beratenen Erlass die Behörden, Verwaltungen und Dienste, die in Bezug auf </w:t>
      </w:r>
      <w:r w:rsidR="002F3E72" w:rsidRPr="004676F5">
        <w:rPr>
          <w:lang w:val="de-DE"/>
        </w:rPr>
        <w:t>[Kategorien von registrierten Körperschaften]</w:t>
      </w:r>
      <w:r w:rsidRPr="004676F5">
        <w:rPr>
          <w:lang w:val="de-DE"/>
        </w:rPr>
        <w:t>, die Er festlegt, und gemäß einer funktionellen Verteilung, die Er festlegt, mit der einmaligen Erfassung und der laufenden Ergänzung der in Artikel III.18 erwähnten Daten beauftragt sind.</w:t>
      </w:r>
    </w:p>
    <w:p w14:paraId="54955A29" w14:textId="77777777" w:rsidR="00F6427E" w:rsidRPr="004676F5" w:rsidRDefault="00F6427E" w:rsidP="00F6427E">
      <w:pPr>
        <w:jc w:val="both"/>
        <w:rPr>
          <w:lang w:val="de-DE"/>
        </w:rPr>
      </w:pPr>
    </w:p>
    <w:p w14:paraId="00B0C9D7" w14:textId="2DE12A6D" w:rsidR="00F6427E" w:rsidRPr="004676F5" w:rsidRDefault="00F6427E" w:rsidP="00F6427E">
      <w:pPr>
        <w:jc w:val="both"/>
        <w:rPr>
          <w:lang w:val="de-DE"/>
        </w:rPr>
      </w:pPr>
      <w:r w:rsidRPr="004676F5">
        <w:rPr>
          <w:lang w:val="de-DE"/>
        </w:rPr>
        <w:tab/>
        <w:t>Bei Ausführung dieses Auftrags unterliegen die Behörden, Verwaltungen und Dienste den gesetzlichen und verordnungsrechtlichen Bestimmungen, die die ursprüngliche Erfassung der in Artikel III.18 erwähnten Daten erlauben.</w:t>
      </w:r>
    </w:p>
    <w:p w14:paraId="32255291" w14:textId="5CDD5CA4" w:rsidR="002F3E72" w:rsidRPr="004676F5" w:rsidRDefault="002F3E72" w:rsidP="00F6427E">
      <w:pPr>
        <w:jc w:val="both"/>
        <w:rPr>
          <w:lang w:val="de-DE"/>
        </w:rPr>
      </w:pPr>
    </w:p>
    <w:p w14:paraId="3337E2DC" w14:textId="2354EAE6" w:rsidR="002F3E72" w:rsidRPr="004676F5" w:rsidRDefault="002F3E72" w:rsidP="00F6427E">
      <w:pPr>
        <w:jc w:val="both"/>
        <w:rPr>
          <w:i/>
          <w:lang w:val="de-DE"/>
        </w:rPr>
      </w:pPr>
      <w:r w:rsidRPr="004676F5">
        <w:rPr>
          <w:i/>
          <w:lang w:val="de-DE"/>
        </w:rPr>
        <w:t>[Art. III.19 Abs. 1 abgeändert durch Art. 53</w:t>
      </w:r>
      <w:r w:rsidRPr="004676F5">
        <w:rPr>
          <w:i/>
          <w:iCs/>
          <w:lang w:val="de-DE"/>
        </w:rPr>
        <w:t xml:space="preserve"> des G. vom 15. April 2018 (B.S. vom 27. April 2018)]</w:t>
      </w:r>
    </w:p>
    <w:p w14:paraId="193BE2A6" w14:textId="77777777" w:rsidR="00F6427E" w:rsidRPr="004676F5" w:rsidRDefault="00F6427E" w:rsidP="00F6427E">
      <w:pPr>
        <w:jc w:val="both"/>
        <w:rPr>
          <w:lang w:val="de-DE"/>
        </w:rPr>
      </w:pPr>
    </w:p>
    <w:p w14:paraId="2972ADDC" w14:textId="77777777" w:rsidR="00D068E9" w:rsidRPr="004676F5" w:rsidRDefault="00D068E9" w:rsidP="00F6427E">
      <w:pPr>
        <w:jc w:val="both"/>
        <w:rPr>
          <w:lang w:val="de-DE"/>
        </w:rPr>
      </w:pPr>
    </w:p>
    <w:p w14:paraId="2F848EB4" w14:textId="79E829DD"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III.20</w:t>
      </w:r>
      <w:r w:rsidRPr="004676F5">
        <w:rPr>
          <w:lang w:val="de-DE"/>
        </w:rPr>
        <w:t> </w:t>
      </w:r>
      <w:r w:rsidR="005B7A5C" w:rsidRPr="004676F5">
        <w:rPr>
          <w:lang w:val="de-DE"/>
        </w:rPr>
        <w:t>- </w:t>
      </w:r>
      <w:r w:rsidR="006017BB" w:rsidRPr="004676F5">
        <w:rPr>
          <w:lang w:val="de-DE"/>
        </w:rPr>
        <w:t xml:space="preserve">[§ 1] - </w:t>
      </w:r>
      <w:r w:rsidRPr="004676F5">
        <w:rPr>
          <w:lang w:val="de-DE"/>
        </w:rPr>
        <w:t>Die Zentrale Datenbank der Unternehmen und die in Artikel III.19 Absatz 1 erwähnten Behörden, Verwaltungen und Dienste haben für die Ausführung ihrer Aufträge, wie in vorliegendem Titel und seinen Ausführungserlassen bestimmt:</w:t>
      </w:r>
    </w:p>
    <w:p w14:paraId="0B634CF3" w14:textId="77777777" w:rsidR="00F6427E" w:rsidRPr="004676F5" w:rsidRDefault="00F6427E" w:rsidP="00F6427E">
      <w:pPr>
        <w:jc w:val="both"/>
        <w:rPr>
          <w:lang w:val="de-DE"/>
        </w:rPr>
      </w:pPr>
    </w:p>
    <w:p w14:paraId="7B8BAEEC" w14:textId="77777777" w:rsidR="00F6427E" w:rsidRPr="004676F5" w:rsidRDefault="00F6427E" w:rsidP="00F6427E">
      <w:pPr>
        <w:jc w:val="both"/>
        <w:rPr>
          <w:lang w:val="de-DE"/>
        </w:rPr>
      </w:pPr>
      <w:r w:rsidRPr="004676F5">
        <w:rPr>
          <w:lang w:val="de-DE"/>
        </w:rPr>
        <w:tab/>
        <w:t>1. Zugriff auf die in Artikel 3 Absatz 1 Nr. 1 bis 9 und Absatz 2 des Gesetzes vom 8. August 1983 zur Organisation eines Nationalregisters der natürlichen Personen erwähnten Informationen,</w:t>
      </w:r>
    </w:p>
    <w:p w14:paraId="38C29579" w14:textId="77777777" w:rsidR="00F6427E" w:rsidRPr="004676F5" w:rsidRDefault="00F6427E" w:rsidP="00F6427E">
      <w:pPr>
        <w:jc w:val="both"/>
        <w:rPr>
          <w:lang w:val="de-DE"/>
        </w:rPr>
      </w:pPr>
    </w:p>
    <w:p w14:paraId="1BED1D40" w14:textId="77777777" w:rsidR="00F6427E" w:rsidRPr="004676F5" w:rsidRDefault="00F6427E" w:rsidP="00F6427E">
      <w:pPr>
        <w:jc w:val="both"/>
        <w:rPr>
          <w:lang w:val="de-DE"/>
        </w:rPr>
      </w:pPr>
      <w:r w:rsidRPr="004676F5">
        <w:rPr>
          <w:lang w:val="de-DE"/>
        </w:rPr>
        <w:tab/>
        <w:t>2. das Recht, die Erkennungsnummer des Nationalregisters zu benutzen.</w:t>
      </w:r>
    </w:p>
    <w:p w14:paraId="7287CF01" w14:textId="77777777" w:rsidR="00F6427E" w:rsidRPr="004676F5" w:rsidRDefault="00F6427E" w:rsidP="00F6427E">
      <w:pPr>
        <w:jc w:val="both"/>
        <w:rPr>
          <w:lang w:val="de-DE"/>
        </w:rPr>
      </w:pPr>
    </w:p>
    <w:p w14:paraId="09461420" w14:textId="55525B89" w:rsidR="006017BB" w:rsidRPr="004676F5" w:rsidRDefault="006017BB" w:rsidP="00F6427E">
      <w:pPr>
        <w:jc w:val="both"/>
        <w:rPr>
          <w:lang w:val="de-DE"/>
        </w:rPr>
      </w:pPr>
      <w:r w:rsidRPr="004676F5">
        <w:rPr>
          <w:lang w:val="de-DE"/>
        </w:rPr>
        <w:tab/>
        <w:t>[§ 2 - Im Rahmen der Identifizierung der Personen, die ermächtigt sind, Unternehmen zu verwalten und zu vertreten, können die Zentral-, Handels- und Gesellschaftsregister der Mitgliedstaaten des Europäischen Wirtschaftsraums die über das in Artikel III.15 Absatz 6 erwähnte System der Registervernetzung erhaltene Erkennungsnummer des Nationalregisters benutzen.]</w:t>
      </w:r>
    </w:p>
    <w:p w14:paraId="1AE77DD2" w14:textId="77777777" w:rsidR="006017BB" w:rsidRPr="004676F5" w:rsidRDefault="006017BB" w:rsidP="00F6427E">
      <w:pPr>
        <w:jc w:val="both"/>
        <w:rPr>
          <w:lang w:val="de-DE"/>
        </w:rPr>
      </w:pPr>
    </w:p>
    <w:p w14:paraId="53F245BE" w14:textId="0F8ADF4D" w:rsidR="006017BB" w:rsidRPr="004676F5" w:rsidRDefault="006017BB" w:rsidP="00F6427E">
      <w:pPr>
        <w:jc w:val="both"/>
        <w:rPr>
          <w:i/>
          <w:iCs/>
          <w:lang w:val="de-DE"/>
        </w:rPr>
      </w:pPr>
      <w:r w:rsidRPr="004676F5">
        <w:rPr>
          <w:i/>
          <w:iCs/>
          <w:lang w:val="de-DE"/>
        </w:rPr>
        <w:t>[Art. III.20 § 1 (früherer einziger Absatz) nummeriert durch Art. 7 des G. vom 9. Februar 2024 (B.S. vom 21. März 2024); § 2 eingefügt durch Art. 7 des G. vom 9. Februar 2024 (B.S. vom 21. März 2024)]</w:t>
      </w:r>
    </w:p>
    <w:p w14:paraId="5F1D4063" w14:textId="77777777" w:rsidR="00D068E9" w:rsidRPr="004676F5" w:rsidRDefault="00D068E9" w:rsidP="00F6427E">
      <w:pPr>
        <w:jc w:val="both"/>
        <w:rPr>
          <w:lang w:val="de-DE"/>
        </w:rPr>
      </w:pPr>
    </w:p>
    <w:p w14:paraId="265E9C32" w14:textId="77777777" w:rsidR="006017BB" w:rsidRPr="004676F5" w:rsidRDefault="006017BB" w:rsidP="00F6427E">
      <w:pPr>
        <w:jc w:val="both"/>
        <w:rPr>
          <w:lang w:val="de-DE"/>
        </w:rPr>
      </w:pPr>
    </w:p>
    <w:p w14:paraId="003C0CE1" w14:textId="2A2643AA"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III.21</w:t>
      </w:r>
      <w:r w:rsidRPr="004676F5">
        <w:rPr>
          <w:lang w:val="de-DE"/>
        </w:rPr>
        <w:t> </w:t>
      </w:r>
      <w:r w:rsidR="005B7A5C" w:rsidRPr="004676F5">
        <w:rPr>
          <w:lang w:val="de-DE"/>
        </w:rPr>
        <w:t>- </w:t>
      </w:r>
      <w:r w:rsidRPr="004676F5">
        <w:rPr>
          <w:lang w:val="de-DE"/>
        </w:rPr>
        <w:t xml:space="preserve">Der König legt durch einen im Ministerrat beratenen Erlass Modalitäten und Art der Eintragungen und Änderungen fest, die der Zentralen Datenbank der Unternehmen unmittelbar auf gesichertem elektronischem Weg </w:t>
      </w:r>
      <w:r w:rsidR="002F3E72" w:rsidRPr="004676F5">
        <w:rPr>
          <w:lang w:val="de-DE"/>
        </w:rPr>
        <w:t>[von den in Artikel III.16 erwähnten registrierten Körperschaften]</w:t>
      </w:r>
      <w:r w:rsidRPr="004676F5">
        <w:rPr>
          <w:lang w:val="de-DE"/>
        </w:rPr>
        <w:t xml:space="preserve"> mitgeteilt werden </w:t>
      </w:r>
      <w:r w:rsidR="00B62F51" w:rsidRPr="004676F5">
        <w:rPr>
          <w:lang w:val="de-DE"/>
        </w:rPr>
        <w:t>[</w:t>
      </w:r>
      <w:r w:rsidRPr="004676F5">
        <w:rPr>
          <w:lang w:val="de-DE"/>
        </w:rPr>
        <w:t>dürfen</w:t>
      </w:r>
      <w:r w:rsidR="00B62F51" w:rsidRPr="004676F5">
        <w:rPr>
          <w:lang w:val="de-DE"/>
        </w:rPr>
        <w:t xml:space="preserve"> oder müssen]</w:t>
      </w:r>
      <w:r w:rsidRPr="004676F5">
        <w:rPr>
          <w:lang w:val="de-DE"/>
        </w:rPr>
        <w:t>.</w:t>
      </w:r>
    </w:p>
    <w:p w14:paraId="3F37504E" w14:textId="481090F5" w:rsidR="002F3E72" w:rsidRPr="004676F5" w:rsidRDefault="002F3E72" w:rsidP="00F6427E">
      <w:pPr>
        <w:jc w:val="both"/>
        <w:rPr>
          <w:lang w:val="de-DE"/>
        </w:rPr>
      </w:pPr>
    </w:p>
    <w:p w14:paraId="3E95F1ED" w14:textId="13F3191D" w:rsidR="002F3E72" w:rsidRPr="004676F5" w:rsidRDefault="002F3E72" w:rsidP="00F6427E">
      <w:pPr>
        <w:jc w:val="both"/>
        <w:rPr>
          <w:i/>
          <w:lang w:val="de-DE"/>
        </w:rPr>
      </w:pPr>
      <w:r w:rsidRPr="004676F5">
        <w:rPr>
          <w:i/>
          <w:lang w:val="de-DE"/>
        </w:rPr>
        <w:t>[Art. III.21 abgeändert durch Art. 54</w:t>
      </w:r>
      <w:r w:rsidRPr="004676F5">
        <w:rPr>
          <w:i/>
          <w:iCs/>
          <w:lang w:val="de-DE"/>
        </w:rPr>
        <w:t xml:space="preserve"> des G. vom 15. April 2018 (B.S. vom 27. April 2018)</w:t>
      </w:r>
      <w:r w:rsidR="00B62F51" w:rsidRPr="004676F5">
        <w:rPr>
          <w:i/>
          <w:iCs/>
          <w:lang w:val="de-DE"/>
        </w:rPr>
        <w:t xml:space="preserve"> und Art. 75 des G. vom 22. Dezember 2023 (B.S. vom 29. Dezember 2023)</w:t>
      </w:r>
      <w:r w:rsidRPr="004676F5">
        <w:rPr>
          <w:i/>
          <w:iCs/>
          <w:lang w:val="de-DE"/>
        </w:rPr>
        <w:t>]</w:t>
      </w:r>
    </w:p>
    <w:p w14:paraId="1AC6D155" w14:textId="77777777" w:rsidR="00D068E9" w:rsidRPr="004676F5" w:rsidRDefault="00D068E9" w:rsidP="00F6427E">
      <w:pPr>
        <w:jc w:val="center"/>
        <w:rPr>
          <w:i/>
          <w:lang w:val="de-DE"/>
        </w:rPr>
      </w:pPr>
    </w:p>
    <w:p w14:paraId="58596932" w14:textId="77777777" w:rsidR="00D068E9" w:rsidRPr="004676F5" w:rsidRDefault="00D068E9" w:rsidP="00F6427E">
      <w:pPr>
        <w:jc w:val="center"/>
        <w:rPr>
          <w:i/>
          <w:lang w:val="de-DE"/>
        </w:rPr>
      </w:pPr>
    </w:p>
    <w:p w14:paraId="792577AE" w14:textId="4BFD792C" w:rsidR="00F6427E" w:rsidRPr="004676F5" w:rsidRDefault="00F6427E" w:rsidP="00F6427E">
      <w:pPr>
        <w:jc w:val="center"/>
        <w:rPr>
          <w:lang w:val="de-DE"/>
        </w:rPr>
      </w:pPr>
      <w:r w:rsidRPr="004676F5">
        <w:rPr>
          <w:i/>
          <w:lang w:val="de-DE"/>
        </w:rPr>
        <w:t>Abschnitt 3</w:t>
      </w:r>
      <w:r w:rsidRPr="004676F5">
        <w:rPr>
          <w:lang w:val="de-DE"/>
        </w:rPr>
        <w:t> </w:t>
      </w:r>
      <w:r w:rsidR="005B7A5C" w:rsidRPr="004676F5">
        <w:rPr>
          <w:lang w:val="de-DE"/>
        </w:rPr>
        <w:t>- </w:t>
      </w:r>
      <w:r w:rsidRPr="004676F5">
        <w:rPr>
          <w:lang w:val="de-DE"/>
        </w:rPr>
        <w:t>Zuteilung und Benutzung der Unternehmens</w:t>
      </w:r>
      <w:r w:rsidR="005B7A5C" w:rsidRPr="004676F5">
        <w:rPr>
          <w:lang w:val="de-DE"/>
        </w:rPr>
        <w:t>- </w:t>
      </w:r>
      <w:r w:rsidRPr="004676F5">
        <w:rPr>
          <w:lang w:val="de-DE"/>
        </w:rPr>
        <w:t>beziehungsweise Niederlassungseinheitsnummern</w:t>
      </w:r>
    </w:p>
    <w:p w14:paraId="2D6D4A38" w14:textId="77777777" w:rsidR="00F6427E" w:rsidRPr="004676F5" w:rsidRDefault="00F6427E" w:rsidP="00F6427E">
      <w:pPr>
        <w:jc w:val="both"/>
        <w:rPr>
          <w:lang w:val="de-DE"/>
        </w:rPr>
      </w:pPr>
    </w:p>
    <w:p w14:paraId="54C5117F" w14:textId="77777777" w:rsidR="00D068E9" w:rsidRPr="004676F5" w:rsidRDefault="00D068E9" w:rsidP="00F6427E">
      <w:pPr>
        <w:jc w:val="both"/>
        <w:rPr>
          <w:lang w:val="de-DE"/>
        </w:rPr>
      </w:pPr>
    </w:p>
    <w:p w14:paraId="273D1619" w14:textId="5C9D457B"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III.22</w:t>
      </w:r>
      <w:r w:rsidRPr="004676F5">
        <w:rPr>
          <w:lang w:val="de-DE"/>
        </w:rPr>
        <w:t> </w:t>
      </w:r>
      <w:r w:rsidR="005B7A5C" w:rsidRPr="004676F5">
        <w:rPr>
          <w:lang w:val="de-DE"/>
        </w:rPr>
        <w:t>- </w:t>
      </w:r>
      <w:r w:rsidRPr="004676F5">
        <w:rPr>
          <w:lang w:val="de-DE"/>
        </w:rPr>
        <w:t>Die Unternehmens</w:t>
      </w:r>
      <w:r w:rsidR="005B7A5C" w:rsidRPr="004676F5">
        <w:rPr>
          <w:lang w:val="de-DE"/>
        </w:rPr>
        <w:t>- </w:t>
      </w:r>
      <w:r w:rsidRPr="004676F5">
        <w:rPr>
          <w:lang w:val="de-DE"/>
        </w:rPr>
        <w:t xml:space="preserve">beziehungsweise Niederlassungseinheitsnummer, die zum Zeitpunkt der Eintragung in die Zentrale Datenbank der Unternehmen zugeteilt wird, wird von den aufgrund von Artikel III.19 Absatz 1 bestimmten Behörden, Verwaltungen und Diensten sofort nach Zuteilung </w:t>
      </w:r>
      <w:r w:rsidR="002F3E72" w:rsidRPr="004676F5">
        <w:rPr>
          <w:lang w:val="de-DE"/>
        </w:rPr>
        <w:t xml:space="preserve">[der registrierten Körperschaft] </w:t>
      </w:r>
      <w:r w:rsidRPr="004676F5">
        <w:rPr>
          <w:lang w:val="de-DE"/>
        </w:rPr>
        <w:t>mitgeteilt.</w:t>
      </w:r>
    </w:p>
    <w:p w14:paraId="6D857234" w14:textId="77777777" w:rsidR="00F6427E" w:rsidRPr="004676F5" w:rsidRDefault="00F6427E" w:rsidP="00F6427E">
      <w:pPr>
        <w:rPr>
          <w:lang w:val="de-DE"/>
        </w:rPr>
      </w:pPr>
    </w:p>
    <w:p w14:paraId="337B2CC7" w14:textId="69EA8C38" w:rsidR="00F6427E" w:rsidRPr="004676F5" w:rsidRDefault="00F6427E" w:rsidP="00F6427E">
      <w:pPr>
        <w:jc w:val="both"/>
        <w:rPr>
          <w:lang w:val="de-DE"/>
        </w:rPr>
      </w:pPr>
      <w:r w:rsidRPr="004676F5">
        <w:rPr>
          <w:lang w:val="de-DE"/>
        </w:rPr>
        <w:tab/>
        <w:t>Der König bestimmt, nach welchen Regeln die Unternehmens</w:t>
      </w:r>
      <w:r w:rsidR="005B7A5C" w:rsidRPr="004676F5">
        <w:rPr>
          <w:lang w:val="de-DE"/>
        </w:rPr>
        <w:t>- </w:t>
      </w:r>
      <w:r w:rsidRPr="004676F5">
        <w:rPr>
          <w:lang w:val="de-DE"/>
        </w:rPr>
        <w:t>beziehungsweise Niederlassungseinheitsnummer zugeteilt, ausgestellt und zusammengestellt wird.</w:t>
      </w:r>
    </w:p>
    <w:p w14:paraId="177199C0" w14:textId="311ADE40" w:rsidR="00F6427E" w:rsidRPr="004676F5" w:rsidRDefault="00F6427E" w:rsidP="00F6427E">
      <w:pPr>
        <w:jc w:val="both"/>
        <w:rPr>
          <w:lang w:val="de-DE"/>
        </w:rPr>
      </w:pPr>
    </w:p>
    <w:p w14:paraId="6ECD1A75" w14:textId="6E5A40FA" w:rsidR="002F3E72" w:rsidRPr="004676F5" w:rsidRDefault="002F3E72" w:rsidP="00F6427E">
      <w:pPr>
        <w:jc w:val="both"/>
        <w:rPr>
          <w:i/>
          <w:iCs/>
          <w:lang w:val="de-DE"/>
        </w:rPr>
      </w:pPr>
      <w:r w:rsidRPr="004676F5">
        <w:rPr>
          <w:i/>
          <w:lang w:val="de-DE"/>
        </w:rPr>
        <w:t>[Art. III.22 Abs. 1 abgeändert durch Art. 55</w:t>
      </w:r>
      <w:r w:rsidRPr="004676F5">
        <w:rPr>
          <w:i/>
          <w:iCs/>
          <w:lang w:val="de-DE"/>
        </w:rPr>
        <w:t xml:space="preserve"> des G. vom 15. April 2018 (B.S. vom 27. April 2018)]</w:t>
      </w:r>
    </w:p>
    <w:p w14:paraId="177BBA2C" w14:textId="77777777" w:rsidR="002F3E72" w:rsidRPr="004676F5" w:rsidRDefault="002F3E72" w:rsidP="00F6427E">
      <w:pPr>
        <w:jc w:val="both"/>
        <w:rPr>
          <w:i/>
          <w:lang w:val="de-DE"/>
        </w:rPr>
      </w:pPr>
    </w:p>
    <w:p w14:paraId="7C240ADA" w14:textId="77777777" w:rsidR="00D068E9" w:rsidRPr="004676F5" w:rsidRDefault="00D068E9" w:rsidP="00F6427E">
      <w:pPr>
        <w:jc w:val="both"/>
        <w:rPr>
          <w:lang w:val="de-DE"/>
        </w:rPr>
      </w:pPr>
    </w:p>
    <w:p w14:paraId="0DC13E91" w14:textId="06D0D21E"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III.23</w:t>
      </w:r>
      <w:r w:rsidRPr="004676F5">
        <w:rPr>
          <w:lang w:val="de-DE"/>
        </w:rPr>
        <w:t> </w:t>
      </w:r>
      <w:r w:rsidR="005B7A5C" w:rsidRPr="004676F5">
        <w:rPr>
          <w:lang w:val="de-DE"/>
        </w:rPr>
        <w:t>- </w:t>
      </w:r>
      <w:r w:rsidRPr="004676F5">
        <w:rPr>
          <w:lang w:val="de-DE"/>
        </w:rPr>
        <w:t xml:space="preserve">Die Benutzung der Unternehmensnummer ist in den Beziehungen </w:t>
      </w:r>
      <w:r w:rsidR="002F3E72" w:rsidRPr="004676F5">
        <w:rPr>
          <w:lang w:val="de-DE"/>
        </w:rPr>
        <w:t>[zwischen registrierten Körperschaften und]</w:t>
      </w:r>
      <w:r w:rsidRPr="004676F5">
        <w:rPr>
          <w:lang w:val="de-DE"/>
        </w:rPr>
        <w:t xml:space="preserve"> Verwaltungs</w:t>
      </w:r>
      <w:r w:rsidR="005B7A5C" w:rsidRPr="004676F5">
        <w:rPr>
          <w:lang w:val="de-DE"/>
        </w:rPr>
        <w:t>- </w:t>
      </w:r>
      <w:r w:rsidRPr="004676F5">
        <w:rPr>
          <w:lang w:val="de-DE"/>
        </w:rPr>
        <w:t>und Gerichtsbehörden und in den Beziehungen zwischen Letzteren obligatorisch.</w:t>
      </w:r>
    </w:p>
    <w:p w14:paraId="4989ED68" w14:textId="77777777" w:rsidR="00F6427E" w:rsidRPr="004676F5" w:rsidRDefault="00F6427E" w:rsidP="00F6427E">
      <w:pPr>
        <w:jc w:val="both"/>
        <w:rPr>
          <w:lang w:val="de-DE"/>
        </w:rPr>
      </w:pPr>
    </w:p>
    <w:p w14:paraId="4B65997B" w14:textId="302CE767" w:rsidR="00F6427E" w:rsidRPr="004676F5" w:rsidRDefault="00F6427E" w:rsidP="00F6427E">
      <w:pPr>
        <w:jc w:val="both"/>
        <w:rPr>
          <w:lang w:val="de-DE"/>
        </w:rPr>
      </w:pPr>
      <w:r w:rsidRPr="004676F5">
        <w:rPr>
          <w:lang w:val="de-DE"/>
        </w:rPr>
        <w:tab/>
        <w:t>Die aufgrund von Artikel III.19 Absatz 1 bestimmten Behörden, Verwaltungen und Dienste treffen im Hinblick auf die Ermöglichung der einmaligen Datenerfassung die notwendigen Maßnahmen, damit die Unternehmens</w:t>
      </w:r>
      <w:r w:rsidR="005B7A5C" w:rsidRPr="004676F5">
        <w:rPr>
          <w:lang w:val="de-DE"/>
        </w:rPr>
        <w:t>- </w:t>
      </w:r>
      <w:r w:rsidRPr="004676F5">
        <w:rPr>
          <w:lang w:val="de-DE"/>
        </w:rPr>
        <w:t>beziehungsweise Niederlassungs</w:t>
      </w:r>
      <w:r w:rsidRPr="004676F5">
        <w:rPr>
          <w:lang w:val="de-DE"/>
        </w:rPr>
        <w:softHyphen/>
        <w:t>einheitsnummer einen Schlüssel bildet, der Zugriff sowohl auf die Daten in der Zentralen Datenbank der Unternehmen als auch auf die Daten in den von den Behörden, Verwaltungen und Diensten verwalteten Registern und automatisierten Dateien gewährt, unbeschadet der gesetzlichen und verordnungsrechtlichen Bestimmungen, die den Zugriff auf diese Daten regeln.</w:t>
      </w:r>
    </w:p>
    <w:p w14:paraId="13BDD057" w14:textId="31D418D9" w:rsidR="00F6427E" w:rsidRPr="004676F5" w:rsidRDefault="00F6427E" w:rsidP="00F6427E">
      <w:pPr>
        <w:jc w:val="both"/>
        <w:rPr>
          <w:lang w:val="de-DE"/>
        </w:rPr>
      </w:pPr>
    </w:p>
    <w:p w14:paraId="30CA0716" w14:textId="109A7383" w:rsidR="002F3E72" w:rsidRPr="004676F5" w:rsidRDefault="002F3E72" w:rsidP="00F6427E">
      <w:pPr>
        <w:jc w:val="both"/>
        <w:rPr>
          <w:i/>
          <w:iCs/>
          <w:lang w:val="de-DE"/>
        </w:rPr>
      </w:pPr>
      <w:r w:rsidRPr="004676F5">
        <w:rPr>
          <w:i/>
          <w:lang w:val="de-DE"/>
        </w:rPr>
        <w:t>[Art. III.23 Abs. 1 abgeändert durch Art. 56</w:t>
      </w:r>
      <w:r w:rsidRPr="004676F5">
        <w:rPr>
          <w:i/>
          <w:iCs/>
          <w:lang w:val="de-DE"/>
        </w:rPr>
        <w:t xml:space="preserve"> des G. vom 15. April 2018 (B.S. vom 27. April 2018)]</w:t>
      </w:r>
    </w:p>
    <w:p w14:paraId="104E1434" w14:textId="77777777" w:rsidR="002F3E72" w:rsidRPr="004676F5" w:rsidRDefault="002F3E72" w:rsidP="00F6427E">
      <w:pPr>
        <w:jc w:val="both"/>
        <w:rPr>
          <w:i/>
          <w:lang w:val="de-DE"/>
        </w:rPr>
      </w:pPr>
    </w:p>
    <w:p w14:paraId="73EE461C" w14:textId="77777777" w:rsidR="00D068E9" w:rsidRPr="004676F5" w:rsidRDefault="00D068E9" w:rsidP="00F6427E">
      <w:pPr>
        <w:jc w:val="both"/>
        <w:rPr>
          <w:lang w:val="de-DE"/>
        </w:rPr>
      </w:pPr>
    </w:p>
    <w:p w14:paraId="17049C55" w14:textId="782B0EBA"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III.24</w:t>
      </w:r>
      <w:r w:rsidRPr="004676F5">
        <w:rPr>
          <w:lang w:val="de-DE"/>
        </w:rPr>
        <w:t> </w:t>
      </w:r>
      <w:r w:rsidR="005B7A5C" w:rsidRPr="004676F5">
        <w:rPr>
          <w:lang w:val="de-DE"/>
        </w:rPr>
        <w:t>- </w:t>
      </w:r>
      <w:r w:rsidR="002F3E72" w:rsidRPr="004676F5">
        <w:rPr>
          <w:lang w:val="de-DE"/>
        </w:rPr>
        <w:t>[...]</w:t>
      </w:r>
    </w:p>
    <w:p w14:paraId="69A78257" w14:textId="5A40430F" w:rsidR="002F3E72" w:rsidRPr="004676F5" w:rsidRDefault="002F3E72" w:rsidP="00F6427E">
      <w:pPr>
        <w:jc w:val="both"/>
        <w:rPr>
          <w:lang w:val="de-DE"/>
        </w:rPr>
      </w:pPr>
    </w:p>
    <w:p w14:paraId="6E596F29" w14:textId="41B7DB7A" w:rsidR="002F3E72" w:rsidRPr="004676F5" w:rsidRDefault="002F3E72" w:rsidP="00F6427E">
      <w:pPr>
        <w:jc w:val="both"/>
        <w:rPr>
          <w:i/>
          <w:lang w:val="de-DE"/>
        </w:rPr>
      </w:pPr>
      <w:r w:rsidRPr="004676F5">
        <w:rPr>
          <w:i/>
          <w:lang w:val="de-DE"/>
        </w:rPr>
        <w:t>[Art. III.24 aufgehoben durch Art. 57</w:t>
      </w:r>
      <w:r w:rsidRPr="004676F5">
        <w:rPr>
          <w:i/>
          <w:iCs/>
          <w:lang w:val="de-DE"/>
        </w:rPr>
        <w:t xml:space="preserve"> des G. vom 15. April 2018 (B.S. vom 27. April 2018)]</w:t>
      </w:r>
    </w:p>
    <w:p w14:paraId="26EE1B9B" w14:textId="77777777" w:rsidR="00F6427E" w:rsidRPr="004676F5" w:rsidRDefault="00F6427E" w:rsidP="00F6427E">
      <w:pPr>
        <w:jc w:val="both"/>
        <w:rPr>
          <w:lang w:val="de-DE"/>
        </w:rPr>
      </w:pPr>
    </w:p>
    <w:p w14:paraId="17A5E207" w14:textId="77777777" w:rsidR="00D068E9" w:rsidRPr="004676F5" w:rsidRDefault="00F6427E" w:rsidP="00F6427E">
      <w:pPr>
        <w:jc w:val="both"/>
        <w:rPr>
          <w:lang w:val="de-DE"/>
        </w:rPr>
      </w:pPr>
      <w:r w:rsidRPr="004676F5">
        <w:rPr>
          <w:lang w:val="de-DE"/>
        </w:rPr>
        <w:tab/>
      </w:r>
    </w:p>
    <w:p w14:paraId="51DCDC6A" w14:textId="1C5EBFFE" w:rsidR="00F6427E" w:rsidRPr="004676F5" w:rsidRDefault="00D068E9" w:rsidP="00F6427E">
      <w:pPr>
        <w:jc w:val="both"/>
        <w:rPr>
          <w:lang w:val="de-DE"/>
        </w:rPr>
      </w:pPr>
      <w:r w:rsidRPr="004676F5">
        <w:rPr>
          <w:lang w:val="de-DE"/>
        </w:rPr>
        <w:lastRenderedPageBreak/>
        <w:tab/>
      </w:r>
      <w:r w:rsidR="00BE0A56" w:rsidRPr="004676F5">
        <w:rPr>
          <w:b/>
          <w:lang w:val="de-DE"/>
        </w:rPr>
        <w:t>Art. </w:t>
      </w:r>
      <w:r w:rsidR="00F6427E" w:rsidRPr="004676F5">
        <w:rPr>
          <w:b/>
          <w:lang w:val="de-DE"/>
        </w:rPr>
        <w:t>III.25</w:t>
      </w:r>
      <w:r w:rsidR="00F6427E" w:rsidRPr="004676F5">
        <w:rPr>
          <w:lang w:val="de-DE"/>
        </w:rPr>
        <w:t> </w:t>
      </w:r>
      <w:r w:rsidR="005B7A5C" w:rsidRPr="004676F5">
        <w:rPr>
          <w:lang w:val="de-DE"/>
        </w:rPr>
        <w:t>- </w:t>
      </w:r>
      <w:r w:rsidR="00F6427E" w:rsidRPr="004676F5">
        <w:rPr>
          <w:lang w:val="de-DE"/>
        </w:rPr>
        <w:t xml:space="preserve">Auf Urkunden, Rechnungen, Ankündigungen, Bekanntmachungen, Briefen, Anweisungen und anderen Schriftstücken, die </w:t>
      </w:r>
      <w:r w:rsidR="002F3E72" w:rsidRPr="004676F5">
        <w:rPr>
          <w:lang w:val="de-DE"/>
        </w:rPr>
        <w:t>[von eintragungspflichtigen Unternehmen]</w:t>
      </w:r>
      <w:r w:rsidR="00F6427E" w:rsidRPr="004676F5">
        <w:rPr>
          <w:lang w:val="de-DE"/>
        </w:rPr>
        <w:t xml:space="preserve"> ausgehen, muss immer die Unternehmensnummer angegeben sein.</w:t>
      </w:r>
    </w:p>
    <w:p w14:paraId="2100BF5A" w14:textId="77777777" w:rsidR="00F6427E" w:rsidRPr="004676F5" w:rsidRDefault="00F6427E" w:rsidP="00F6427E">
      <w:pPr>
        <w:jc w:val="both"/>
        <w:rPr>
          <w:lang w:val="de-DE"/>
        </w:rPr>
      </w:pPr>
    </w:p>
    <w:p w14:paraId="34B9A84D" w14:textId="18D3E1D2" w:rsidR="00F6427E" w:rsidRPr="004676F5" w:rsidRDefault="00F6427E" w:rsidP="00F6427E">
      <w:pPr>
        <w:jc w:val="both"/>
        <w:rPr>
          <w:lang w:val="de-DE"/>
        </w:rPr>
      </w:pPr>
      <w:r w:rsidRPr="004676F5">
        <w:rPr>
          <w:lang w:val="de-DE"/>
        </w:rPr>
        <w:tab/>
      </w:r>
      <w:r w:rsidR="00AD2142" w:rsidRPr="004676F5">
        <w:rPr>
          <w:lang w:val="de-DE"/>
        </w:rPr>
        <w:t>[Auf diesen Unterlagen müssen ebenfalls die Domizilierung und die Nummer von mindestens einem Konto angegeben sein, dessen Inhaber das eintragungspflichtige Unternehmen ist und das bei einem Bankinstitut geführt wird, das im Europäischen Wirtschaftsraum ansässig ist und unter die Richtlinie (EU) 2015/2366 des Europäischen Parlaments und des Rates vom 25. November 2015 über Zahlungsdienste im Binnenmarkt, zur Änderung der Richtlinien 2002/65/EG, 2009/110/EG und 2013/36/EU und der Verordnung (EU) Nr. 1093/2010 sowie zur Aufhebung der Richtlinie 2007/64/EG fällt.]</w:t>
      </w:r>
    </w:p>
    <w:p w14:paraId="517A6C30" w14:textId="77777777" w:rsidR="00F6427E" w:rsidRPr="004676F5" w:rsidRDefault="00F6427E" w:rsidP="00F6427E">
      <w:pPr>
        <w:jc w:val="both"/>
        <w:rPr>
          <w:lang w:val="de-DE"/>
        </w:rPr>
      </w:pPr>
    </w:p>
    <w:p w14:paraId="60953B96" w14:textId="3FB70823" w:rsidR="00F6427E" w:rsidRPr="004676F5" w:rsidRDefault="00F6427E" w:rsidP="00F6427E">
      <w:pPr>
        <w:jc w:val="both"/>
        <w:rPr>
          <w:lang w:val="de-DE"/>
        </w:rPr>
      </w:pPr>
      <w:r w:rsidRPr="004676F5">
        <w:rPr>
          <w:lang w:val="de-DE"/>
        </w:rPr>
        <w:tab/>
        <w:t xml:space="preserve">Auf den für die Ausübung </w:t>
      </w:r>
      <w:r w:rsidR="002F3E72" w:rsidRPr="004676F5">
        <w:rPr>
          <w:lang w:val="de-DE"/>
        </w:rPr>
        <w:t>[</w:t>
      </w:r>
      <w:r w:rsidR="00F05273" w:rsidRPr="004676F5">
        <w:rPr>
          <w:lang w:val="de-DE"/>
        </w:rPr>
        <w:t>der wirtschaftlichen Tätigkeit eines eintragungspflichtigen Unternehmens]</w:t>
      </w:r>
      <w:r w:rsidR="002F3E72" w:rsidRPr="004676F5">
        <w:rPr>
          <w:lang w:val="de-DE"/>
        </w:rPr>
        <w:t xml:space="preserve"> </w:t>
      </w:r>
      <w:r w:rsidRPr="004676F5">
        <w:rPr>
          <w:lang w:val="de-DE"/>
        </w:rPr>
        <w:t xml:space="preserve">benutzten </w:t>
      </w:r>
      <w:r w:rsidR="00F05273" w:rsidRPr="004676F5">
        <w:rPr>
          <w:lang w:val="de-DE"/>
        </w:rPr>
        <w:t>[...]</w:t>
      </w:r>
      <w:r w:rsidRPr="004676F5">
        <w:rPr>
          <w:lang w:val="de-DE"/>
        </w:rPr>
        <w:t xml:space="preserve"> Marktständen und auf Transportmitteln, die hauptsächlich im Rahmen der Ausübung eines Wandergewerbes oder, für Arbeitgeber, im Rahmen von Hoch</w:t>
      </w:r>
      <w:r w:rsidR="005B7A5C" w:rsidRPr="004676F5">
        <w:rPr>
          <w:lang w:val="de-DE"/>
        </w:rPr>
        <w:t>- </w:t>
      </w:r>
      <w:r w:rsidRPr="004676F5">
        <w:rPr>
          <w:lang w:val="de-DE"/>
        </w:rPr>
        <w:t>und Tiefbauaktivitäten oder von Tätigkeiten der Gebäudeinnenreinigung benutzt werden, muss sichtbar die Unternehmensnummer angebracht sein.</w:t>
      </w:r>
    </w:p>
    <w:p w14:paraId="581BD4A3" w14:textId="77777777" w:rsidR="00F6427E" w:rsidRPr="004676F5" w:rsidRDefault="00F6427E" w:rsidP="00F6427E">
      <w:pPr>
        <w:jc w:val="both"/>
        <w:rPr>
          <w:lang w:val="de-DE"/>
        </w:rPr>
      </w:pPr>
    </w:p>
    <w:p w14:paraId="3EB967AD" w14:textId="77777777" w:rsidR="00F6427E" w:rsidRPr="004676F5" w:rsidRDefault="00F6427E" w:rsidP="00F6427E">
      <w:pPr>
        <w:jc w:val="both"/>
        <w:rPr>
          <w:lang w:val="de-DE"/>
        </w:rPr>
      </w:pPr>
      <w:r w:rsidRPr="004676F5">
        <w:rPr>
          <w:lang w:val="de-DE"/>
        </w:rPr>
        <w:tab/>
        <w:t>Der König kann durch einen im Ministerrat beratenen Erlass die in Absatz 3 erwähnten Tätigkeiten ändern, für die auf den verwendeten Transportmitteln die Unternehmensnummer sichtbar angebracht sein muss.</w:t>
      </w:r>
    </w:p>
    <w:p w14:paraId="69CB385A" w14:textId="77777777" w:rsidR="00CC6EF2" w:rsidRPr="004676F5" w:rsidRDefault="00CC6EF2" w:rsidP="00F6427E">
      <w:pPr>
        <w:jc w:val="both"/>
        <w:rPr>
          <w:lang w:val="de-DE"/>
        </w:rPr>
      </w:pPr>
    </w:p>
    <w:p w14:paraId="343DD31A" w14:textId="7F9D897D" w:rsidR="00CC6EF2" w:rsidRPr="004676F5" w:rsidRDefault="00CC6EF2" w:rsidP="00F6427E">
      <w:pPr>
        <w:jc w:val="both"/>
        <w:rPr>
          <w:i/>
          <w:lang w:val="de-DE"/>
        </w:rPr>
      </w:pPr>
      <w:r w:rsidRPr="004676F5">
        <w:rPr>
          <w:i/>
          <w:lang w:val="de-DE"/>
        </w:rPr>
        <w:t>[</w:t>
      </w:r>
      <w:r w:rsidR="00BE0A56" w:rsidRPr="004676F5">
        <w:rPr>
          <w:i/>
          <w:lang w:val="de-DE"/>
        </w:rPr>
        <w:t>Art. </w:t>
      </w:r>
      <w:r w:rsidRPr="004676F5">
        <w:rPr>
          <w:i/>
          <w:lang w:val="de-DE"/>
        </w:rPr>
        <w:t xml:space="preserve">III.25 </w:t>
      </w:r>
      <w:r w:rsidR="00F05273" w:rsidRPr="004676F5">
        <w:rPr>
          <w:i/>
          <w:lang w:val="de-DE"/>
        </w:rPr>
        <w:t>Abs. 1 abgeändert durch Art. 58 Nr. 1</w:t>
      </w:r>
      <w:r w:rsidR="00F05273" w:rsidRPr="004676F5">
        <w:rPr>
          <w:i/>
          <w:iCs/>
          <w:lang w:val="de-DE"/>
        </w:rPr>
        <w:t xml:space="preserve"> des G. vom 15. April 2018 (B.S. vom 27. April 2018)</w:t>
      </w:r>
      <w:r w:rsidR="00F05273" w:rsidRPr="004676F5">
        <w:rPr>
          <w:i/>
          <w:lang w:val="de-DE"/>
        </w:rPr>
        <w:t xml:space="preserve">; </w:t>
      </w:r>
      <w:r w:rsidRPr="004676F5">
        <w:rPr>
          <w:i/>
          <w:lang w:val="de-DE"/>
        </w:rPr>
        <w:t xml:space="preserve">Abs. 2 </w:t>
      </w:r>
      <w:r w:rsidR="00AD2142" w:rsidRPr="004676F5">
        <w:rPr>
          <w:i/>
          <w:lang w:val="de-DE"/>
        </w:rPr>
        <w:t>ersetzt durch Art. 3</w:t>
      </w:r>
      <w:r w:rsidR="00AD2142" w:rsidRPr="004676F5">
        <w:rPr>
          <w:i/>
          <w:iCs/>
          <w:lang w:val="de-DE"/>
        </w:rPr>
        <w:t xml:space="preserve"> des G. vom 25. September 2022 (B.S. vom 16. Januar 2023)</w:t>
      </w:r>
      <w:r w:rsidR="00F05273" w:rsidRPr="004676F5">
        <w:rPr>
          <w:i/>
          <w:iCs/>
          <w:lang w:val="de-DE"/>
        </w:rPr>
        <w:t>; Abs. 3 abgeändert durch Art. 58 Nr. 3 des G. vom 15. April 2018 (B.S. vom 27. April 2018)</w:t>
      </w:r>
      <w:r w:rsidRPr="004676F5">
        <w:rPr>
          <w:i/>
          <w:lang w:val="de-DE"/>
        </w:rPr>
        <w:t>]</w:t>
      </w:r>
    </w:p>
    <w:p w14:paraId="42D85055" w14:textId="77777777" w:rsidR="00F6427E" w:rsidRPr="004676F5" w:rsidRDefault="00F6427E" w:rsidP="00F6427E">
      <w:pPr>
        <w:jc w:val="both"/>
        <w:rPr>
          <w:lang w:val="de-DE"/>
        </w:rPr>
      </w:pPr>
    </w:p>
    <w:p w14:paraId="7F8E9615" w14:textId="77777777" w:rsidR="00D068E9" w:rsidRPr="004676F5" w:rsidRDefault="00D068E9" w:rsidP="00F6427E">
      <w:pPr>
        <w:jc w:val="both"/>
        <w:rPr>
          <w:lang w:val="de-DE"/>
        </w:rPr>
      </w:pPr>
    </w:p>
    <w:p w14:paraId="1C208F3A" w14:textId="2DF5A7EC"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III.26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Auf allen auf Antrag </w:t>
      </w:r>
      <w:r w:rsidR="00F05273" w:rsidRPr="004676F5">
        <w:rPr>
          <w:lang w:val="de-DE"/>
        </w:rPr>
        <w:t>[eines eintragungspflichtigen Unternehmens]</w:t>
      </w:r>
      <w:r w:rsidRPr="004676F5">
        <w:rPr>
          <w:lang w:val="de-DE"/>
        </w:rPr>
        <w:t xml:space="preserve"> notifizierten Gerichtsvollzieherurkunden ist die Unternehmensnummer anzugeben.</w:t>
      </w:r>
    </w:p>
    <w:p w14:paraId="2823779E" w14:textId="77777777" w:rsidR="00F6427E" w:rsidRPr="004676F5" w:rsidRDefault="00F6427E" w:rsidP="00F6427E">
      <w:pPr>
        <w:jc w:val="both"/>
        <w:rPr>
          <w:lang w:val="de-DE"/>
        </w:rPr>
      </w:pPr>
    </w:p>
    <w:p w14:paraId="73B0B02D" w14:textId="1DE8E4A7" w:rsidR="00F6427E" w:rsidRPr="004676F5" w:rsidRDefault="00F6427E" w:rsidP="00F6427E">
      <w:pPr>
        <w:jc w:val="both"/>
        <w:rPr>
          <w:lang w:val="de-DE"/>
        </w:rPr>
      </w:pPr>
      <w:r w:rsidRPr="004676F5">
        <w:rPr>
          <w:lang w:val="de-DE"/>
        </w:rPr>
        <w:tab/>
      </w:r>
      <w:r w:rsidR="00F05273" w:rsidRPr="004676F5">
        <w:rPr>
          <w:lang w:val="de-DE"/>
        </w:rPr>
        <w:t>[Fehlt die Angabe der Unternehmensnummer auf der Gerichtsvollzieherurkunde, bewilligt das Gericht dem eintragungspflichtigen Unternehmen im Hinblick auf die Erbringung des Nachweises seiner Eintragung in der Zentralen Datenbank der Unternehmen oder auf seine Eintragung in die Zentrale Datenbank der Unternehmen einen Aufschub.]</w:t>
      </w:r>
    </w:p>
    <w:p w14:paraId="5C63AF00" w14:textId="77777777" w:rsidR="00F6427E" w:rsidRPr="004676F5" w:rsidRDefault="00F6427E" w:rsidP="00F6427E">
      <w:pPr>
        <w:rPr>
          <w:lang w:val="de-DE"/>
        </w:rPr>
      </w:pPr>
    </w:p>
    <w:p w14:paraId="773D6831" w14:textId="487CC3B8" w:rsidR="00F6427E" w:rsidRPr="004676F5" w:rsidRDefault="00F6427E" w:rsidP="00F6427E">
      <w:pPr>
        <w:jc w:val="both"/>
        <w:rPr>
          <w:lang w:val="de-DE"/>
        </w:rPr>
      </w:pPr>
      <w:r w:rsidRPr="004676F5">
        <w:rPr>
          <w:lang w:val="de-DE"/>
        </w:rPr>
        <w:tab/>
      </w:r>
      <w:r w:rsidR="00F05273" w:rsidRPr="004676F5">
        <w:rPr>
          <w:lang w:val="de-DE"/>
        </w:rPr>
        <w:t>[Falls das eintragungspflichtige Unternehmen innerhalb der vom Gericht festgelegten Frist seine Eintragung in dieser Eigenschaft in der Zentralen Datenbank der Unternehmen nicht nachweist beziehungsweise wenn es nicht in der Zentralen Datenbank der Unternehmen eingetragen ist zum Zeitpunkt der Einleitung seiner Klage, erklärt das Gericht die Klage des eintragungspflichtigen Unternehmens von Amts wegen für unzulässig.]</w:t>
      </w:r>
    </w:p>
    <w:p w14:paraId="09D30DCD" w14:textId="77777777" w:rsidR="00F6427E" w:rsidRPr="004676F5" w:rsidRDefault="00F6427E" w:rsidP="00F6427E">
      <w:pPr>
        <w:jc w:val="both"/>
        <w:rPr>
          <w:lang w:val="de-DE"/>
        </w:rPr>
      </w:pPr>
    </w:p>
    <w:p w14:paraId="00C51777" w14:textId="2F5DAEAE" w:rsidR="00F6427E" w:rsidRPr="004676F5" w:rsidRDefault="00F6427E" w:rsidP="00F6427E">
      <w:pPr>
        <w:jc w:val="both"/>
        <w:rPr>
          <w:lang w:val="de-DE"/>
        </w:rPr>
      </w:pPr>
      <w:r w:rsidRPr="004676F5">
        <w:rPr>
          <w:lang w:val="de-DE"/>
        </w:rPr>
        <w:tab/>
        <w:t>§ 2 </w:t>
      </w:r>
      <w:r w:rsidR="005B7A5C" w:rsidRPr="004676F5">
        <w:rPr>
          <w:lang w:val="de-DE"/>
        </w:rPr>
        <w:t>- </w:t>
      </w:r>
      <w:r w:rsidR="00F05273" w:rsidRPr="004676F5">
        <w:rPr>
          <w:lang w:val="de-DE"/>
        </w:rPr>
        <w:t>[</w:t>
      </w:r>
      <w:r w:rsidR="001905F2" w:rsidRPr="004676F5">
        <w:rPr>
          <w:lang w:val="de-DE"/>
        </w:rPr>
        <w:t>..</w:t>
      </w:r>
      <w:r w:rsidR="00F05273" w:rsidRPr="004676F5">
        <w:rPr>
          <w:lang w:val="de-DE"/>
        </w:rPr>
        <w:t>.]</w:t>
      </w:r>
    </w:p>
    <w:p w14:paraId="398D2A2C" w14:textId="7797B671" w:rsidR="00F05273" w:rsidRPr="004676F5" w:rsidRDefault="00F05273" w:rsidP="00F6427E">
      <w:pPr>
        <w:jc w:val="both"/>
        <w:rPr>
          <w:lang w:val="de-DE"/>
        </w:rPr>
      </w:pPr>
    </w:p>
    <w:p w14:paraId="123F12CD" w14:textId="3F5A079A" w:rsidR="00F05273" w:rsidRPr="004676F5" w:rsidRDefault="00F05273" w:rsidP="00F6427E">
      <w:pPr>
        <w:jc w:val="both"/>
        <w:rPr>
          <w:i/>
          <w:lang w:val="de-DE"/>
        </w:rPr>
      </w:pPr>
      <w:r w:rsidRPr="004676F5">
        <w:rPr>
          <w:i/>
          <w:lang w:val="de-DE"/>
        </w:rPr>
        <w:t>[Art. III.26 § 1 Abs. 1 abgeändert durch Art. 59 Nr. 1</w:t>
      </w:r>
      <w:r w:rsidRPr="004676F5">
        <w:rPr>
          <w:i/>
          <w:iCs/>
          <w:lang w:val="de-DE"/>
        </w:rPr>
        <w:t xml:space="preserve"> des G. vom 15. April 2018 (B.S. vom 27. April 2018); § 1 Abs. 2 ersetzt durch Art. 59 Nr. 2 des G. vom 15. April 2018 (B.S. vom 27. April 2018); § 1 Abs. 3 ersetzt durch Art. 59 Nr. 3 des G. vom 15. April 2018 (B.S. vom 27. April 2018); § 2 </w:t>
      </w:r>
      <w:r w:rsidR="001905F2" w:rsidRPr="004676F5">
        <w:rPr>
          <w:i/>
          <w:iCs/>
          <w:lang w:val="de-DE"/>
        </w:rPr>
        <w:t>aufgehoben durch Art. 2 des G. vom 2. Mai 2019 (I) (B.S. vom 17. Mai 2019)</w:t>
      </w:r>
      <w:r w:rsidRPr="004676F5">
        <w:rPr>
          <w:i/>
          <w:iCs/>
          <w:lang w:val="de-DE"/>
        </w:rPr>
        <w:t>]</w:t>
      </w:r>
    </w:p>
    <w:p w14:paraId="2421E73B" w14:textId="77777777" w:rsidR="00F6427E" w:rsidRPr="004676F5" w:rsidRDefault="00F6427E" w:rsidP="00F6427E">
      <w:pPr>
        <w:jc w:val="both"/>
        <w:rPr>
          <w:lang w:val="de-DE"/>
        </w:rPr>
      </w:pPr>
    </w:p>
    <w:p w14:paraId="43B08259" w14:textId="77777777" w:rsidR="00D068E9" w:rsidRPr="004676F5" w:rsidRDefault="00D068E9" w:rsidP="00F6427E">
      <w:pPr>
        <w:jc w:val="both"/>
        <w:rPr>
          <w:lang w:val="de-DE"/>
        </w:rPr>
      </w:pPr>
    </w:p>
    <w:p w14:paraId="65857359" w14:textId="6793275D" w:rsidR="00F6427E" w:rsidRPr="004676F5" w:rsidRDefault="00F6427E" w:rsidP="00F6427E">
      <w:pPr>
        <w:jc w:val="both"/>
        <w:rPr>
          <w:lang w:val="de-DE"/>
        </w:rPr>
      </w:pPr>
      <w:r w:rsidRPr="004676F5">
        <w:rPr>
          <w:lang w:val="de-DE"/>
        </w:rPr>
        <w:lastRenderedPageBreak/>
        <w:tab/>
      </w:r>
      <w:r w:rsidR="00BE0A56" w:rsidRPr="004676F5">
        <w:rPr>
          <w:b/>
          <w:lang w:val="de-DE"/>
        </w:rPr>
        <w:t>Art. </w:t>
      </w:r>
      <w:r w:rsidRPr="004676F5">
        <w:rPr>
          <w:b/>
          <w:lang w:val="de-DE"/>
        </w:rPr>
        <w:t>III.27</w:t>
      </w:r>
      <w:r w:rsidRPr="004676F5">
        <w:rPr>
          <w:lang w:val="de-DE"/>
        </w:rPr>
        <w:t> </w:t>
      </w:r>
      <w:r w:rsidR="005B7A5C" w:rsidRPr="004676F5">
        <w:rPr>
          <w:lang w:val="de-DE"/>
        </w:rPr>
        <w:t>- </w:t>
      </w:r>
      <w:r w:rsidRPr="004676F5">
        <w:rPr>
          <w:lang w:val="de-DE"/>
        </w:rPr>
        <w:t>Durch die aufgrund von Artikel III.26 für unzulässig erklärten Verfahrenshandlungen werden die Verjährung und die zur Vermeidung der Nichtigkeit festgelegten Verfahrensfristen unterbrochen.</w:t>
      </w:r>
    </w:p>
    <w:p w14:paraId="4BA70BC7" w14:textId="77777777" w:rsidR="00F6427E" w:rsidRPr="004676F5" w:rsidRDefault="00F6427E" w:rsidP="00F6427E">
      <w:pPr>
        <w:jc w:val="both"/>
        <w:rPr>
          <w:lang w:val="de-DE"/>
        </w:rPr>
      </w:pPr>
    </w:p>
    <w:p w14:paraId="627BA117" w14:textId="77777777" w:rsidR="00D068E9" w:rsidRPr="004676F5" w:rsidRDefault="00D068E9" w:rsidP="00F6427E">
      <w:pPr>
        <w:jc w:val="both"/>
        <w:rPr>
          <w:lang w:val="de-DE"/>
        </w:rPr>
      </w:pPr>
    </w:p>
    <w:p w14:paraId="3BDFDA5B" w14:textId="7FFB8DE9"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III.28</w:t>
      </w:r>
      <w:r w:rsidRPr="004676F5">
        <w:rPr>
          <w:lang w:val="de-DE"/>
        </w:rPr>
        <w:t> </w:t>
      </w:r>
      <w:r w:rsidR="005B7A5C" w:rsidRPr="004676F5">
        <w:rPr>
          <w:lang w:val="de-DE"/>
        </w:rPr>
        <w:t>- </w:t>
      </w:r>
      <w:r w:rsidRPr="004676F5">
        <w:rPr>
          <w:lang w:val="de-DE"/>
        </w:rPr>
        <w:t xml:space="preserve">Der König kann durch einen im Ministerrat beratenen Erlass die in den Artikeln III.25 und III.26 erwähnten Verpflichtungen auf andere </w:t>
      </w:r>
      <w:r w:rsidR="00F05273" w:rsidRPr="004676F5">
        <w:rPr>
          <w:lang w:val="de-DE"/>
        </w:rPr>
        <w:t>[Kategorien von registrierten Körperschaften, die in der Zentralen Datenbank der Unternehmen aufgenommen sind,]</w:t>
      </w:r>
      <w:r w:rsidRPr="004676F5">
        <w:rPr>
          <w:lang w:val="de-DE"/>
        </w:rPr>
        <w:t xml:space="preserve"> ausdehnen.</w:t>
      </w:r>
    </w:p>
    <w:p w14:paraId="300B479D" w14:textId="3BC71745" w:rsidR="00F05273" w:rsidRPr="004676F5" w:rsidRDefault="00F05273" w:rsidP="00F6427E">
      <w:pPr>
        <w:jc w:val="both"/>
        <w:rPr>
          <w:lang w:val="de-DE"/>
        </w:rPr>
      </w:pPr>
    </w:p>
    <w:p w14:paraId="5FD4859C" w14:textId="6332F330" w:rsidR="00F05273" w:rsidRPr="004676F5" w:rsidRDefault="00F05273" w:rsidP="00F6427E">
      <w:pPr>
        <w:jc w:val="both"/>
        <w:rPr>
          <w:i/>
          <w:lang w:val="de-DE"/>
        </w:rPr>
      </w:pPr>
      <w:r w:rsidRPr="004676F5">
        <w:rPr>
          <w:i/>
          <w:lang w:val="de-DE"/>
        </w:rPr>
        <w:t>[Art. III.28 abgeändert durch Art. 60</w:t>
      </w:r>
      <w:r w:rsidRPr="004676F5">
        <w:rPr>
          <w:i/>
          <w:iCs/>
          <w:lang w:val="de-DE"/>
        </w:rPr>
        <w:t xml:space="preserve"> des G. vom 15. April 2018 (B.S. vom 27. April 2018)]</w:t>
      </w:r>
    </w:p>
    <w:p w14:paraId="15C89739" w14:textId="77777777" w:rsidR="00F6427E" w:rsidRPr="004676F5" w:rsidRDefault="00F6427E" w:rsidP="00F6427E">
      <w:pPr>
        <w:jc w:val="both"/>
        <w:rPr>
          <w:lang w:val="de-DE"/>
        </w:rPr>
      </w:pPr>
    </w:p>
    <w:p w14:paraId="4B5E2818" w14:textId="77777777" w:rsidR="00D068E9" w:rsidRPr="004676F5" w:rsidRDefault="00D068E9" w:rsidP="00F6427E">
      <w:pPr>
        <w:jc w:val="both"/>
        <w:rPr>
          <w:lang w:val="de-DE"/>
        </w:rPr>
      </w:pPr>
    </w:p>
    <w:p w14:paraId="691B5604" w14:textId="7E0617EC" w:rsidR="00F6427E" w:rsidRPr="004676F5" w:rsidRDefault="00F6427E" w:rsidP="00F05273">
      <w:pPr>
        <w:jc w:val="center"/>
        <w:rPr>
          <w:lang w:val="de-DE"/>
        </w:rPr>
      </w:pPr>
      <w:r w:rsidRPr="004676F5">
        <w:rPr>
          <w:i/>
          <w:lang w:val="de-DE"/>
        </w:rPr>
        <w:t>Abschnitt 4</w:t>
      </w:r>
      <w:r w:rsidRPr="004676F5">
        <w:rPr>
          <w:lang w:val="de-DE"/>
        </w:rPr>
        <w:t> </w:t>
      </w:r>
      <w:r w:rsidR="005B7A5C" w:rsidRPr="004676F5">
        <w:rPr>
          <w:lang w:val="de-DE"/>
        </w:rPr>
        <w:t>- </w:t>
      </w:r>
      <w:r w:rsidRPr="004676F5">
        <w:rPr>
          <w:lang w:val="de-DE"/>
        </w:rPr>
        <w:t>Zugriff auf die Daten in der Zentralen Datenbank der Unternehmen und Benutzung dieser Daten</w:t>
      </w:r>
    </w:p>
    <w:p w14:paraId="58BFC9DE" w14:textId="77777777" w:rsidR="00F6427E" w:rsidRPr="004676F5" w:rsidRDefault="00F6427E" w:rsidP="00F6427E">
      <w:pPr>
        <w:jc w:val="both"/>
        <w:rPr>
          <w:lang w:val="de-DE"/>
        </w:rPr>
      </w:pPr>
    </w:p>
    <w:p w14:paraId="50B03180" w14:textId="77777777" w:rsidR="00D068E9" w:rsidRPr="004676F5" w:rsidRDefault="00D068E9" w:rsidP="00F6427E">
      <w:pPr>
        <w:jc w:val="both"/>
        <w:rPr>
          <w:lang w:val="de-DE"/>
        </w:rPr>
      </w:pPr>
    </w:p>
    <w:p w14:paraId="1267CBE7" w14:textId="389A6E36"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III.29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Der Zugriff auf die nachfolgenden in der Zentralen Datenbank der Unternehmen aufgenommenen Daten kann </w:t>
      </w:r>
      <w:r w:rsidR="008E5AFC" w:rsidRPr="004676F5">
        <w:rPr>
          <w:lang w:val="de-DE"/>
        </w:rPr>
        <w:t>[Behörden, Verwaltungen, Diensten oder anderen Instanzen, die im Rahmen der Ausführung ihrer gesetzlichen oder verordnungsrechtlichen Aufträge handeln, gewährt werden]</w:t>
      </w:r>
      <w:r w:rsidRPr="004676F5">
        <w:rPr>
          <w:lang w:val="de-DE"/>
        </w:rPr>
        <w:t>:</w:t>
      </w:r>
    </w:p>
    <w:p w14:paraId="33060C93" w14:textId="77777777" w:rsidR="00F6427E" w:rsidRPr="004676F5" w:rsidRDefault="00F6427E" w:rsidP="00F6427E">
      <w:pPr>
        <w:jc w:val="both"/>
        <w:rPr>
          <w:lang w:val="de-DE"/>
        </w:rPr>
      </w:pPr>
    </w:p>
    <w:p w14:paraId="0A1D2AF6" w14:textId="2238E5CA" w:rsidR="00F6427E" w:rsidRPr="004676F5" w:rsidRDefault="00F6427E" w:rsidP="00F6427E">
      <w:pPr>
        <w:jc w:val="both"/>
        <w:rPr>
          <w:lang w:val="de-DE"/>
        </w:rPr>
      </w:pPr>
      <w:r w:rsidRPr="004676F5">
        <w:rPr>
          <w:lang w:val="de-DE"/>
        </w:rPr>
        <w:tab/>
        <w:t>1. von der Zentralen Datenbank der Unternehmen zugeteilte Unternehmens</w:t>
      </w:r>
      <w:r w:rsidR="005B7A5C" w:rsidRPr="004676F5">
        <w:rPr>
          <w:lang w:val="de-DE"/>
        </w:rPr>
        <w:t>- </w:t>
      </w:r>
      <w:r w:rsidRPr="004676F5">
        <w:rPr>
          <w:lang w:val="de-DE"/>
        </w:rPr>
        <w:t>und Niederlassungseinheitsnummern,</w:t>
      </w:r>
    </w:p>
    <w:p w14:paraId="1C05E4C1" w14:textId="77777777" w:rsidR="00F6427E" w:rsidRPr="004676F5" w:rsidRDefault="00F6427E" w:rsidP="00F6427E">
      <w:pPr>
        <w:jc w:val="both"/>
        <w:rPr>
          <w:lang w:val="de-DE"/>
        </w:rPr>
      </w:pPr>
    </w:p>
    <w:p w14:paraId="29257B3C" w14:textId="156E5096" w:rsidR="00F6427E" w:rsidRPr="004676F5" w:rsidRDefault="00F6427E" w:rsidP="00F6427E">
      <w:pPr>
        <w:jc w:val="both"/>
        <w:rPr>
          <w:lang w:val="de-DE"/>
        </w:rPr>
      </w:pPr>
      <w:r w:rsidRPr="004676F5">
        <w:rPr>
          <w:lang w:val="de-DE"/>
        </w:rPr>
        <w:tab/>
        <w:t xml:space="preserve">2. Bezeichnung </w:t>
      </w:r>
      <w:r w:rsidR="00C459E1" w:rsidRPr="004676F5">
        <w:rPr>
          <w:lang w:val="de-DE"/>
        </w:rPr>
        <w:t>[der registrierten Körperschaft]</w:t>
      </w:r>
      <w:r w:rsidRPr="004676F5">
        <w:rPr>
          <w:lang w:val="de-DE"/>
        </w:rPr>
        <w:t xml:space="preserve"> und </w:t>
      </w:r>
      <w:r w:rsidR="00B00B1E" w:rsidRPr="004676F5">
        <w:rPr>
          <w:lang w:val="de-DE"/>
        </w:rPr>
        <w:t>[ihr</w:t>
      </w:r>
      <w:r w:rsidRPr="004676F5">
        <w:rPr>
          <w:lang w:val="de-DE"/>
        </w:rPr>
        <w:t>er</w:t>
      </w:r>
      <w:r w:rsidR="00B00B1E" w:rsidRPr="004676F5">
        <w:rPr>
          <w:lang w:val="de-DE"/>
        </w:rPr>
        <w:t>]</w:t>
      </w:r>
      <w:r w:rsidRPr="004676F5">
        <w:rPr>
          <w:lang w:val="de-DE"/>
        </w:rPr>
        <w:t xml:space="preserve"> Niederlassungseinheiten,</w:t>
      </w:r>
    </w:p>
    <w:p w14:paraId="1DF56C57" w14:textId="77777777" w:rsidR="00F6427E" w:rsidRPr="004676F5" w:rsidRDefault="00F6427E" w:rsidP="00F6427E">
      <w:pPr>
        <w:jc w:val="both"/>
        <w:rPr>
          <w:lang w:val="de-DE"/>
        </w:rPr>
      </w:pPr>
    </w:p>
    <w:p w14:paraId="6B49FA47" w14:textId="7E26BBB7" w:rsidR="00F6427E" w:rsidRPr="004676F5" w:rsidRDefault="00F6427E" w:rsidP="00F6427E">
      <w:pPr>
        <w:jc w:val="both"/>
        <w:rPr>
          <w:lang w:val="de-DE"/>
        </w:rPr>
      </w:pPr>
      <w:r w:rsidRPr="004676F5">
        <w:rPr>
          <w:lang w:val="de-DE"/>
        </w:rPr>
        <w:tab/>
        <w:t xml:space="preserve">3. Rechtsform </w:t>
      </w:r>
      <w:r w:rsidR="00C459E1" w:rsidRPr="004676F5">
        <w:rPr>
          <w:lang w:val="de-DE"/>
        </w:rPr>
        <w:t>[der registrierten Körperschaft]</w:t>
      </w:r>
      <w:r w:rsidRPr="004676F5">
        <w:rPr>
          <w:lang w:val="de-DE"/>
        </w:rPr>
        <w:t>,</w:t>
      </w:r>
    </w:p>
    <w:p w14:paraId="10136A3C" w14:textId="77777777" w:rsidR="00F6427E" w:rsidRPr="004676F5" w:rsidRDefault="00F6427E" w:rsidP="00F6427E">
      <w:pPr>
        <w:jc w:val="both"/>
        <w:rPr>
          <w:lang w:val="de-DE"/>
        </w:rPr>
      </w:pPr>
    </w:p>
    <w:p w14:paraId="53DF3DC3" w14:textId="24168626" w:rsidR="00F6427E" w:rsidRPr="004676F5" w:rsidRDefault="00F6427E" w:rsidP="00F6427E">
      <w:pPr>
        <w:jc w:val="both"/>
        <w:rPr>
          <w:lang w:val="de-DE"/>
        </w:rPr>
      </w:pPr>
      <w:r w:rsidRPr="004676F5">
        <w:rPr>
          <w:lang w:val="de-DE"/>
        </w:rPr>
        <w:tab/>
        <w:t xml:space="preserve">4. Rechtslage </w:t>
      </w:r>
      <w:r w:rsidR="00C459E1" w:rsidRPr="004676F5">
        <w:rPr>
          <w:lang w:val="de-DE"/>
        </w:rPr>
        <w:t>[der registrierten Körperschaft]</w:t>
      </w:r>
      <w:r w:rsidRPr="004676F5">
        <w:rPr>
          <w:lang w:val="de-DE"/>
        </w:rPr>
        <w:t>,</w:t>
      </w:r>
    </w:p>
    <w:p w14:paraId="365143FF" w14:textId="77777777" w:rsidR="00F6427E" w:rsidRPr="004676F5" w:rsidRDefault="00F6427E" w:rsidP="00F6427E">
      <w:pPr>
        <w:jc w:val="both"/>
        <w:rPr>
          <w:lang w:val="de-DE"/>
        </w:rPr>
      </w:pPr>
    </w:p>
    <w:p w14:paraId="66AA6587" w14:textId="6373A902" w:rsidR="00F6427E" w:rsidRPr="004676F5" w:rsidRDefault="00F6427E" w:rsidP="00F6427E">
      <w:pPr>
        <w:jc w:val="both"/>
        <w:rPr>
          <w:lang w:val="de-DE"/>
        </w:rPr>
      </w:pPr>
      <w:r w:rsidRPr="004676F5">
        <w:rPr>
          <w:lang w:val="de-DE"/>
        </w:rPr>
        <w:tab/>
        <w:t xml:space="preserve">5. Adressen </w:t>
      </w:r>
      <w:r w:rsidR="00C459E1" w:rsidRPr="004676F5">
        <w:rPr>
          <w:lang w:val="de-DE"/>
        </w:rPr>
        <w:t>[der registrierten Körperschaft]</w:t>
      </w:r>
      <w:r w:rsidRPr="004676F5">
        <w:rPr>
          <w:lang w:val="de-DE"/>
        </w:rPr>
        <w:t xml:space="preserve"> und </w:t>
      </w:r>
      <w:r w:rsidR="00B00B1E" w:rsidRPr="004676F5">
        <w:rPr>
          <w:lang w:val="de-DE"/>
        </w:rPr>
        <w:t xml:space="preserve">[ihrer] </w:t>
      </w:r>
      <w:r w:rsidRPr="004676F5">
        <w:rPr>
          <w:lang w:val="de-DE"/>
        </w:rPr>
        <w:t>Niederlassungseinheiten,</w:t>
      </w:r>
    </w:p>
    <w:p w14:paraId="3205C85B" w14:textId="77777777" w:rsidR="00F6427E" w:rsidRPr="004676F5" w:rsidRDefault="00F6427E" w:rsidP="00F6427E">
      <w:pPr>
        <w:jc w:val="both"/>
        <w:rPr>
          <w:lang w:val="de-DE"/>
        </w:rPr>
      </w:pPr>
    </w:p>
    <w:p w14:paraId="22E41C82" w14:textId="4E235797" w:rsidR="00F6427E" w:rsidRPr="004676F5" w:rsidRDefault="00F6427E" w:rsidP="00F6427E">
      <w:pPr>
        <w:jc w:val="both"/>
        <w:rPr>
          <w:lang w:val="de-DE"/>
        </w:rPr>
      </w:pPr>
      <w:r w:rsidRPr="004676F5">
        <w:rPr>
          <w:lang w:val="de-DE"/>
        </w:rPr>
        <w:tab/>
        <w:t xml:space="preserve">6. wirtschaftliche Tätigkeiten </w:t>
      </w:r>
      <w:r w:rsidR="00C459E1" w:rsidRPr="004676F5">
        <w:rPr>
          <w:lang w:val="de-DE"/>
        </w:rPr>
        <w:t xml:space="preserve">[der registrierten Körperschaft] </w:t>
      </w:r>
      <w:r w:rsidRPr="004676F5">
        <w:rPr>
          <w:lang w:val="de-DE"/>
        </w:rPr>
        <w:t xml:space="preserve">und </w:t>
      </w:r>
      <w:r w:rsidR="00B00B1E" w:rsidRPr="004676F5">
        <w:rPr>
          <w:lang w:val="de-DE"/>
        </w:rPr>
        <w:t xml:space="preserve">[ihrer] </w:t>
      </w:r>
      <w:r w:rsidRPr="004676F5">
        <w:rPr>
          <w:lang w:val="de-DE"/>
        </w:rPr>
        <w:t>Niederlassungseinheiten,</w:t>
      </w:r>
    </w:p>
    <w:p w14:paraId="24266BB7" w14:textId="77777777" w:rsidR="00F6427E" w:rsidRPr="004676F5" w:rsidRDefault="00F6427E" w:rsidP="00F6427E">
      <w:pPr>
        <w:jc w:val="both"/>
        <w:rPr>
          <w:lang w:val="de-DE"/>
        </w:rPr>
      </w:pPr>
    </w:p>
    <w:p w14:paraId="70FEFFB4" w14:textId="643D64C1" w:rsidR="00F6427E" w:rsidRPr="004676F5" w:rsidRDefault="00F6427E" w:rsidP="00F6427E">
      <w:pPr>
        <w:jc w:val="both"/>
        <w:rPr>
          <w:lang w:val="de-DE"/>
        </w:rPr>
      </w:pPr>
      <w:r w:rsidRPr="004676F5">
        <w:rPr>
          <w:lang w:val="de-DE"/>
        </w:rPr>
        <w:tab/>
        <w:t xml:space="preserve">7. Eigenschaften, unter denen </w:t>
      </w:r>
      <w:r w:rsidR="00C459E1" w:rsidRPr="004676F5">
        <w:rPr>
          <w:lang w:val="de-DE"/>
        </w:rPr>
        <w:t xml:space="preserve">[eine registrierte Körperschaft] </w:t>
      </w:r>
      <w:r w:rsidRPr="004676F5">
        <w:rPr>
          <w:lang w:val="de-DE"/>
        </w:rPr>
        <w:t>in der Zentralen Datenbank der Unternehmen eingetragen ist, und gegebenenfalls Verlauf der diesbezüglichen Anträge,</w:t>
      </w:r>
    </w:p>
    <w:p w14:paraId="01A48D63" w14:textId="77777777" w:rsidR="00F6427E" w:rsidRPr="004676F5" w:rsidRDefault="00F6427E" w:rsidP="00F6427E">
      <w:pPr>
        <w:jc w:val="both"/>
        <w:rPr>
          <w:lang w:val="de-DE"/>
        </w:rPr>
      </w:pPr>
    </w:p>
    <w:p w14:paraId="20D0BF25" w14:textId="25DF6F9E" w:rsidR="00F6427E" w:rsidRPr="004676F5" w:rsidRDefault="00F6427E" w:rsidP="00F6427E">
      <w:pPr>
        <w:jc w:val="both"/>
        <w:rPr>
          <w:lang w:val="de-DE"/>
        </w:rPr>
      </w:pPr>
      <w:r w:rsidRPr="004676F5">
        <w:rPr>
          <w:lang w:val="de-DE"/>
        </w:rPr>
        <w:tab/>
        <w:t xml:space="preserve">8. Namen und Vornamen der Gründer und der Personen, die </w:t>
      </w:r>
      <w:r w:rsidR="00C459E1" w:rsidRPr="004676F5">
        <w:rPr>
          <w:lang w:val="de-DE"/>
        </w:rPr>
        <w:t xml:space="preserve">[in der registrierten Körperschaft] </w:t>
      </w:r>
      <w:r w:rsidRPr="004676F5">
        <w:rPr>
          <w:lang w:val="de-DE"/>
        </w:rPr>
        <w:t>eine Funktion ausüben, die der Offenlegung unterliegt,</w:t>
      </w:r>
    </w:p>
    <w:p w14:paraId="42BBFD5D" w14:textId="77777777" w:rsidR="00B62F51" w:rsidRPr="004676F5" w:rsidRDefault="00B62F51" w:rsidP="00F6427E">
      <w:pPr>
        <w:jc w:val="both"/>
        <w:rPr>
          <w:lang w:val="de-DE"/>
        </w:rPr>
      </w:pPr>
    </w:p>
    <w:p w14:paraId="7A59C5F0" w14:textId="77777777" w:rsidR="00B62F51" w:rsidRPr="004676F5" w:rsidRDefault="00B62F51" w:rsidP="00B62F51">
      <w:pPr>
        <w:jc w:val="both"/>
        <w:rPr>
          <w:lang w:val="de-DE"/>
        </w:rPr>
      </w:pPr>
      <w:r w:rsidRPr="004676F5">
        <w:rPr>
          <w:lang w:val="de-DE"/>
        </w:rPr>
        <w:tab/>
        <w:t>[8/1. Namen und Vornamen der aktiven Gesellschafter,</w:t>
      </w:r>
    </w:p>
    <w:p w14:paraId="610B7E6C" w14:textId="77777777" w:rsidR="00B62F51" w:rsidRPr="004676F5" w:rsidRDefault="00B62F51" w:rsidP="00B62F51">
      <w:pPr>
        <w:jc w:val="both"/>
        <w:rPr>
          <w:lang w:val="de-DE"/>
        </w:rPr>
      </w:pPr>
    </w:p>
    <w:p w14:paraId="6206DF8D" w14:textId="10FDE75A" w:rsidR="00B62F51" w:rsidRPr="004676F5" w:rsidRDefault="00B62F51" w:rsidP="00B62F51">
      <w:pPr>
        <w:jc w:val="both"/>
        <w:rPr>
          <w:lang w:val="de-DE"/>
        </w:rPr>
      </w:pPr>
      <w:r w:rsidRPr="004676F5">
        <w:rPr>
          <w:lang w:val="de-DE"/>
        </w:rPr>
        <w:tab/>
        <w:t>8/2. Namen und Vornamen der Helfer,]</w:t>
      </w:r>
    </w:p>
    <w:p w14:paraId="0341C06B" w14:textId="77777777" w:rsidR="00F6427E" w:rsidRPr="004676F5" w:rsidRDefault="00F6427E" w:rsidP="00F6427E">
      <w:pPr>
        <w:jc w:val="both"/>
        <w:rPr>
          <w:lang w:val="de-DE"/>
        </w:rPr>
      </w:pPr>
    </w:p>
    <w:p w14:paraId="0C7F7CEA" w14:textId="5414C737" w:rsidR="00F6427E" w:rsidRPr="004676F5" w:rsidRDefault="00F6427E" w:rsidP="00F6427E">
      <w:pPr>
        <w:jc w:val="both"/>
        <w:rPr>
          <w:lang w:val="de-DE"/>
        </w:rPr>
      </w:pPr>
      <w:r w:rsidRPr="004676F5">
        <w:rPr>
          <w:lang w:val="de-DE"/>
        </w:rPr>
        <w:tab/>
        <w:t xml:space="preserve">9. Anerkennungen, Zulassungen oder Lizenzen, über die </w:t>
      </w:r>
      <w:r w:rsidR="00C459E1" w:rsidRPr="004676F5">
        <w:rPr>
          <w:lang w:val="de-DE"/>
        </w:rPr>
        <w:t xml:space="preserve">[die registrierte Körperschaft] </w:t>
      </w:r>
      <w:r w:rsidRPr="004676F5">
        <w:rPr>
          <w:lang w:val="de-DE"/>
        </w:rPr>
        <w:t>verfügt, sofern diese einer Offenlegungspflicht unterliegen oder für Dritte von Interesse sind, und gegebenenfalls Verlauf der diesbezüglichen Anträge,</w:t>
      </w:r>
    </w:p>
    <w:p w14:paraId="11E7C30A" w14:textId="77777777" w:rsidR="00F6427E" w:rsidRPr="004676F5" w:rsidRDefault="00F6427E" w:rsidP="00F6427E">
      <w:pPr>
        <w:jc w:val="both"/>
        <w:rPr>
          <w:lang w:val="de-DE"/>
        </w:rPr>
      </w:pPr>
    </w:p>
    <w:p w14:paraId="033214EE" w14:textId="48DFEDF3" w:rsidR="00F6427E" w:rsidRPr="004676F5" w:rsidRDefault="00F6427E" w:rsidP="00F6427E">
      <w:pPr>
        <w:jc w:val="both"/>
        <w:rPr>
          <w:lang w:val="de-DE"/>
        </w:rPr>
      </w:pPr>
      <w:r w:rsidRPr="004676F5">
        <w:rPr>
          <w:lang w:val="de-DE"/>
        </w:rPr>
        <w:lastRenderedPageBreak/>
        <w:tab/>
        <w:t xml:space="preserve">10. Verweis auf die Website </w:t>
      </w:r>
      <w:r w:rsidR="00C459E1" w:rsidRPr="004676F5">
        <w:rPr>
          <w:lang w:val="de-DE"/>
        </w:rPr>
        <w:t>[der registrierten Körperschaft]</w:t>
      </w:r>
      <w:r w:rsidRPr="004676F5">
        <w:rPr>
          <w:lang w:val="de-DE"/>
        </w:rPr>
        <w:t xml:space="preserve">, </w:t>
      </w:r>
      <w:r w:rsidR="00B00B1E" w:rsidRPr="004676F5">
        <w:rPr>
          <w:lang w:val="de-DE"/>
        </w:rPr>
        <w:t>[ihre]</w:t>
      </w:r>
      <w:r w:rsidRPr="004676F5">
        <w:rPr>
          <w:lang w:val="de-DE"/>
        </w:rPr>
        <w:t xml:space="preserve"> Telefonnummer, Faxnummer und E-Mail-Adresse,</w:t>
      </w:r>
    </w:p>
    <w:p w14:paraId="3359A72F" w14:textId="77777777" w:rsidR="00F6427E" w:rsidRPr="004676F5" w:rsidRDefault="00F6427E" w:rsidP="00F6427E">
      <w:pPr>
        <w:jc w:val="both"/>
        <w:rPr>
          <w:lang w:val="de-DE"/>
        </w:rPr>
      </w:pPr>
    </w:p>
    <w:p w14:paraId="116F7CD0" w14:textId="77777777" w:rsidR="00F6427E" w:rsidRPr="004676F5" w:rsidRDefault="00F6427E" w:rsidP="00F6427E">
      <w:pPr>
        <w:jc w:val="both"/>
        <w:rPr>
          <w:lang w:val="de-DE"/>
        </w:rPr>
      </w:pPr>
      <w:r w:rsidRPr="004676F5">
        <w:rPr>
          <w:lang w:val="de-DE"/>
        </w:rPr>
        <w:tab/>
        <w:t>11. alle Daten, die offen gelegt werden müssen in Ausführung:</w:t>
      </w:r>
    </w:p>
    <w:p w14:paraId="7D13EDA8" w14:textId="77777777" w:rsidR="00F6427E" w:rsidRPr="004676F5" w:rsidRDefault="00F6427E" w:rsidP="00F6427E">
      <w:pPr>
        <w:jc w:val="both"/>
        <w:rPr>
          <w:lang w:val="de-DE"/>
        </w:rPr>
      </w:pPr>
    </w:p>
    <w:p w14:paraId="00914BC8" w14:textId="77777777" w:rsidR="00F6427E" w:rsidRPr="004676F5" w:rsidRDefault="00F6427E" w:rsidP="00F6427E">
      <w:pPr>
        <w:jc w:val="both"/>
        <w:rPr>
          <w:lang w:val="de-DE"/>
        </w:rPr>
      </w:pPr>
      <w:r w:rsidRPr="004676F5">
        <w:rPr>
          <w:lang w:val="de-DE"/>
        </w:rPr>
        <w:tab/>
      </w:r>
      <w:r w:rsidRPr="004676F5">
        <w:rPr>
          <w:i/>
          <w:lang w:val="de-DE"/>
        </w:rPr>
        <w:t>a)</w:t>
      </w:r>
      <w:r w:rsidRPr="004676F5">
        <w:rPr>
          <w:lang w:val="de-DE"/>
        </w:rPr>
        <w:t> des Gesellschaftsgesetzbuches,</w:t>
      </w:r>
    </w:p>
    <w:p w14:paraId="6114F3F9" w14:textId="77777777" w:rsidR="00F6427E" w:rsidRPr="004676F5" w:rsidRDefault="00F6427E" w:rsidP="00F6427E">
      <w:pPr>
        <w:jc w:val="both"/>
        <w:rPr>
          <w:lang w:val="de-DE"/>
        </w:rPr>
      </w:pPr>
    </w:p>
    <w:p w14:paraId="7BE079C3" w14:textId="77777777" w:rsidR="00F6427E" w:rsidRPr="004676F5" w:rsidRDefault="00F6427E" w:rsidP="00F6427E">
      <w:pPr>
        <w:jc w:val="both"/>
        <w:rPr>
          <w:lang w:val="de-DE"/>
        </w:rPr>
      </w:pPr>
      <w:r w:rsidRPr="004676F5">
        <w:rPr>
          <w:lang w:val="de-DE"/>
        </w:rPr>
        <w:tab/>
      </w:r>
      <w:r w:rsidRPr="004676F5">
        <w:rPr>
          <w:i/>
          <w:lang w:val="de-DE"/>
        </w:rPr>
        <w:t>b)</w:t>
      </w:r>
      <w:r w:rsidRPr="004676F5">
        <w:rPr>
          <w:lang w:val="de-DE"/>
        </w:rPr>
        <w:t> des Gesetzes vom 27. Juni 1921 über die Vereinigungen ohne Gewinnerzielungs</w:t>
      </w:r>
      <w:r w:rsidRPr="004676F5">
        <w:rPr>
          <w:lang w:val="de-DE"/>
        </w:rPr>
        <w:softHyphen/>
        <w:t>absicht, die internationalen Vereinigungen ohne Gewinnerzielungsabsicht und die Stiftungen,</w:t>
      </w:r>
    </w:p>
    <w:p w14:paraId="6DAC1F21" w14:textId="77777777" w:rsidR="00F6427E" w:rsidRPr="004676F5" w:rsidRDefault="00F6427E" w:rsidP="00F6427E">
      <w:pPr>
        <w:jc w:val="both"/>
        <w:rPr>
          <w:lang w:val="de-DE"/>
        </w:rPr>
      </w:pPr>
    </w:p>
    <w:p w14:paraId="7F332766" w14:textId="77777777" w:rsidR="00F6427E" w:rsidRPr="004676F5" w:rsidRDefault="00F6427E" w:rsidP="00F6427E">
      <w:pPr>
        <w:jc w:val="both"/>
        <w:rPr>
          <w:lang w:val="de-DE"/>
        </w:rPr>
      </w:pPr>
      <w:r w:rsidRPr="004676F5">
        <w:rPr>
          <w:lang w:val="de-DE"/>
        </w:rPr>
        <w:tab/>
      </w:r>
      <w:r w:rsidRPr="004676F5">
        <w:rPr>
          <w:i/>
          <w:lang w:val="de-DE"/>
        </w:rPr>
        <w:t>c)</w:t>
      </w:r>
      <w:r w:rsidRPr="004676F5">
        <w:rPr>
          <w:lang w:val="de-DE"/>
        </w:rPr>
        <w:t> des Gesetzes vom 12. Juli 1989 zur Festlegung verschiedener Maßnahmen zur Anwendung der Verordnung (EWG) Nr. 2137/85 des Rates vom 25. Juli 1985 über die Schaffung einer europäischen wirtschaftlichen Interessenvereinigung,</w:t>
      </w:r>
    </w:p>
    <w:p w14:paraId="687B8257" w14:textId="77777777" w:rsidR="00F6427E" w:rsidRPr="004676F5" w:rsidRDefault="00F6427E" w:rsidP="00F6427E">
      <w:pPr>
        <w:jc w:val="both"/>
        <w:rPr>
          <w:lang w:val="de-DE"/>
        </w:rPr>
      </w:pPr>
    </w:p>
    <w:p w14:paraId="65444168" w14:textId="77777777" w:rsidR="00F6427E" w:rsidRPr="004676F5" w:rsidRDefault="00F6427E" w:rsidP="00F6427E">
      <w:pPr>
        <w:jc w:val="both"/>
        <w:rPr>
          <w:lang w:val="de-DE"/>
        </w:rPr>
      </w:pPr>
      <w:r w:rsidRPr="004676F5">
        <w:rPr>
          <w:lang w:val="de-DE"/>
        </w:rPr>
        <w:tab/>
      </w:r>
      <w:r w:rsidRPr="004676F5">
        <w:rPr>
          <w:i/>
          <w:lang w:val="de-DE"/>
        </w:rPr>
        <w:t>d)</w:t>
      </w:r>
      <w:r w:rsidRPr="004676F5">
        <w:rPr>
          <w:lang w:val="de-DE"/>
        </w:rPr>
        <w:t> des Gesetzes vom 17. Juli 1997 über den gerichtlichen Vergleich,</w:t>
      </w:r>
    </w:p>
    <w:p w14:paraId="068E3203" w14:textId="77777777" w:rsidR="00F6427E" w:rsidRPr="004676F5" w:rsidRDefault="00F6427E" w:rsidP="00F6427E">
      <w:pPr>
        <w:jc w:val="both"/>
        <w:rPr>
          <w:lang w:val="de-DE"/>
        </w:rPr>
      </w:pPr>
    </w:p>
    <w:p w14:paraId="182160E7" w14:textId="77777777" w:rsidR="00F6427E" w:rsidRPr="004676F5" w:rsidRDefault="00F6427E" w:rsidP="00F6427E">
      <w:pPr>
        <w:jc w:val="both"/>
        <w:rPr>
          <w:lang w:val="de-DE"/>
        </w:rPr>
      </w:pPr>
      <w:r w:rsidRPr="004676F5">
        <w:rPr>
          <w:lang w:val="de-DE"/>
        </w:rPr>
        <w:tab/>
      </w:r>
      <w:r w:rsidRPr="004676F5">
        <w:rPr>
          <w:i/>
          <w:lang w:val="de-DE"/>
        </w:rPr>
        <w:t>e)</w:t>
      </w:r>
      <w:r w:rsidRPr="004676F5">
        <w:rPr>
          <w:lang w:val="de-DE"/>
        </w:rPr>
        <w:t> des Gesetzes vom 31. Januar 2009 über die Kontinuität der Unternehmen,</w:t>
      </w:r>
    </w:p>
    <w:p w14:paraId="538F4027" w14:textId="77777777" w:rsidR="00F6427E" w:rsidRPr="004676F5" w:rsidRDefault="00F6427E" w:rsidP="00F6427E">
      <w:pPr>
        <w:jc w:val="both"/>
        <w:rPr>
          <w:lang w:val="de-DE"/>
        </w:rPr>
      </w:pPr>
    </w:p>
    <w:p w14:paraId="399D07E3" w14:textId="77777777" w:rsidR="00F6427E" w:rsidRPr="004676F5" w:rsidRDefault="00F6427E" w:rsidP="00F6427E">
      <w:pPr>
        <w:jc w:val="both"/>
        <w:rPr>
          <w:lang w:val="de-DE"/>
        </w:rPr>
      </w:pPr>
      <w:r w:rsidRPr="004676F5">
        <w:rPr>
          <w:lang w:val="de-DE"/>
        </w:rPr>
        <w:tab/>
      </w:r>
      <w:r w:rsidRPr="004676F5">
        <w:rPr>
          <w:i/>
          <w:lang w:val="de-DE"/>
        </w:rPr>
        <w:t>f)</w:t>
      </w:r>
      <w:r w:rsidRPr="004676F5">
        <w:rPr>
          <w:lang w:val="de-DE"/>
        </w:rPr>
        <w:t> des Konkursgesetzes vom 8. August 1997,</w:t>
      </w:r>
    </w:p>
    <w:p w14:paraId="584462A2" w14:textId="77777777" w:rsidR="00F6427E" w:rsidRPr="004676F5" w:rsidRDefault="00F6427E" w:rsidP="00F6427E">
      <w:pPr>
        <w:jc w:val="both"/>
        <w:rPr>
          <w:lang w:val="de-DE"/>
        </w:rPr>
      </w:pPr>
    </w:p>
    <w:p w14:paraId="5288D284" w14:textId="68B5AB56" w:rsidR="00F6427E" w:rsidRPr="004676F5" w:rsidRDefault="00F6427E" w:rsidP="00F6427E">
      <w:pPr>
        <w:jc w:val="both"/>
        <w:rPr>
          <w:lang w:val="de-DE"/>
        </w:rPr>
      </w:pPr>
      <w:r w:rsidRPr="004676F5">
        <w:rPr>
          <w:lang w:val="de-DE"/>
        </w:rPr>
        <w:tab/>
      </w:r>
      <w:r w:rsidRPr="004676F5">
        <w:rPr>
          <w:i/>
          <w:lang w:val="de-DE"/>
        </w:rPr>
        <w:t>g)</w:t>
      </w:r>
      <w:r w:rsidRPr="004676F5">
        <w:rPr>
          <w:lang w:val="de-DE"/>
        </w:rPr>
        <w:t> des Gesetzes vom 27. Oktober 2006 über die Kontrolle der Einrichtungen der betrieblichen Altersversorgung,</w:t>
      </w:r>
    </w:p>
    <w:p w14:paraId="1C7B037F" w14:textId="3641DF47" w:rsidR="00C459E1" w:rsidRPr="004676F5" w:rsidRDefault="00C459E1" w:rsidP="00F6427E">
      <w:pPr>
        <w:jc w:val="both"/>
        <w:rPr>
          <w:lang w:val="de-DE"/>
        </w:rPr>
      </w:pPr>
    </w:p>
    <w:p w14:paraId="181F6CDB" w14:textId="1E2E0F4B" w:rsidR="00C459E1" w:rsidRPr="004676F5" w:rsidRDefault="00C459E1" w:rsidP="00F6427E">
      <w:pPr>
        <w:jc w:val="both"/>
        <w:rPr>
          <w:lang w:val="de-DE"/>
        </w:rPr>
      </w:pPr>
      <w:r w:rsidRPr="004676F5">
        <w:rPr>
          <w:lang w:val="de-DE"/>
        </w:rPr>
        <w:tab/>
        <w:t>[</w:t>
      </w:r>
      <w:r w:rsidRPr="004676F5">
        <w:rPr>
          <w:i/>
          <w:lang w:val="de-DE"/>
        </w:rPr>
        <w:t>h)</w:t>
      </w:r>
      <w:r w:rsidRPr="004676F5">
        <w:rPr>
          <w:lang w:val="de-DE"/>
        </w:rPr>
        <w:t> von Buch XX des vorliegenden Gesetzbuches,]</w:t>
      </w:r>
    </w:p>
    <w:p w14:paraId="13A0090F" w14:textId="77777777" w:rsidR="008E5AFC" w:rsidRPr="004676F5" w:rsidRDefault="008E5AFC" w:rsidP="00F6427E">
      <w:pPr>
        <w:jc w:val="both"/>
        <w:rPr>
          <w:lang w:val="de-DE"/>
        </w:rPr>
      </w:pPr>
    </w:p>
    <w:p w14:paraId="6F0CC2CD" w14:textId="1C107806" w:rsidR="008E5AFC" w:rsidRPr="004676F5" w:rsidRDefault="008E5AFC" w:rsidP="00F6427E">
      <w:pPr>
        <w:jc w:val="both"/>
        <w:rPr>
          <w:lang w:val="de-DE"/>
        </w:rPr>
      </w:pPr>
      <w:r w:rsidRPr="004676F5">
        <w:rPr>
          <w:lang w:val="de-DE"/>
        </w:rPr>
        <w:tab/>
        <w:t>[</w:t>
      </w:r>
      <w:r w:rsidRPr="004676F5">
        <w:rPr>
          <w:i/>
          <w:lang w:val="de-DE"/>
        </w:rPr>
        <w:t>i)</w:t>
      </w:r>
      <w:r w:rsidRPr="004676F5">
        <w:rPr>
          <w:lang w:val="de-DE"/>
        </w:rPr>
        <w:t xml:space="preserve"> des Gesetzbuches der Gesellschaften und Vereinigungen.]</w:t>
      </w:r>
    </w:p>
    <w:p w14:paraId="660100D8" w14:textId="77777777" w:rsidR="00F6427E" w:rsidRPr="004676F5" w:rsidRDefault="00F6427E" w:rsidP="00F6427E">
      <w:pPr>
        <w:jc w:val="both"/>
        <w:rPr>
          <w:lang w:val="de-DE"/>
        </w:rPr>
      </w:pPr>
    </w:p>
    <w:p w14:paraId="4F8A5814" w14:textId="16297218" w:rsidR="00F6427E" w:rsidRPr="004676F5" w:rsidRDefault="00F6427E" w:rsidP="00F6427E">
      <w:pPr>
        <w:jc w:val="both"/>
        <w:rPr>
          <w:lang w:val="de-DE"/>
        </w:rPr>
      </w:pPr>
      <w:r w:rsidRPr="004676F5">
        <w:rPr>
          <w:lang w:val="de-DE"/>
        </w:rPr>
        <w:tab/>
        <w:t xml:space="preserve">12. Daten, die </w:t>
      </w:r>
      <w:r w:rsidR="00C459E1" w:rsidRPr="004676F5">
        <w:rPr>
          <w:lang w:val="de-DE"/>
        </w:rPr>
        <w:t>[von eintragungspflichtigen Unternehmen]</w:t>
      </w:r>
      <w:r w:rsidRPr="004676F5">
        <w:rPr>
          <w:lang w:val="de-DE"/>
        </w:rPr>
        <w:t xml:space="preserve"> in Ausführung von Arti</w:t>
      </w:r>
      <w:r w:rsidRPr="004676F5">
        <w:rPr>
          <w:lang w:val="de-DE"/>
        </w:rPr>
        <w:softHyphen/>
        <w:t>kel III.53 mitgeteilt werden müssen, mit Ausnahme der Nummer des Nationalregisters oder der Erkennungsnummer der Zentralen Datenbank der sozialen Sicherheit,</w:t>
      </w:r>
    </w:p>
    <w:p w14:paraId="0961C98A" w14:textId="77777777" w:rsidR="00F6427E" w:rsidRPr="004676F5" w:rsidRDefault="00F6427E" w:rsidP="00F6427E">
      <w:pPr>
        <w:jc w:val="both"/>
        <w:rPr>
          <w:lang w:val="de-DE"/>
        </w:rPr>
      </w:pPr>
    </w:p>
    <w:p w14:paraId="077D778C" w14:textId="77777777" w:rsidR="00F6427E" w:rsidRPr="004676F5" w:rsidRDefault="00F6427E" w:rsidP="00F6427E">
      <w:pPr>
        <w:jc w:val="both"/>
        <w:rPr>
          <w:lang w:val="de-DE"/>
        </w:rPr>
      </w:pPr>
      <w:r w:rsidRPr="004676F5">
        <w:rPr>
          <w:lang w:val="de-DE"/>
        </w:rPr>
        <w:tab/>
        <w:t>13. Daten des Bankkontos/der Bankkonten.</w:t>
      </w:r>
    </w:p>
    <w:p w14:paraId="735FE31D" w14:textId="77777777" w:rsidR="00F6427E" w:rsidRPr="004676F5" w:rsidRDefault="00F6427E" w:rsidP="00F6427E">
      <w:pPr>
        <w:jc w:val="both"/>
        <w:rPr>
          <w:lang w:val="de-DE"/>
        </w:rPr>
      </w:pPr>
    </w:p>
    <w:p w14:paraId="4098C4A6" w14:textId="40245877"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 xml:space="preserve">Der König bestimmt durch einen im Ministerrat beratenen Erlass </w:t>
      </w:r>
      <w:r w:rsidR="008E5AFC" w:rsidRPr="004676F5">
        <w:rPr>
          <w:lang w:val="de-DE"/>
        </w:rPr>
        <w:t>[...]</w:t>
      </w:r>
      <w:r w:rsidRPr="004676F5">
        <w:rPr>
          <w:lang w:val="de-DE"/>
        </w:rPr>
        <w:t xml:space="preserve"> die Modalitäten für diesen Zugriff.</w:t>
      </w:r>
    </w:p>
    <w:p w14:paraId="3FBCEA8C" w14:textId="0FAE72AE" w:rsidR="00F6427E" w:rsidRPr="004676F5" w:rsidRDefault="00F6427E" w:rsidP="00F6427E">
      <w:pPr>
        <w:jc w:val="both"/>
        <w:rPr>
          <w:lang w:val="de-DE"/>
        </w:rPr>
      </w:pPr>
    </w:p>
    <w:p w14:paraId="32724990" w14:textId="3BC0FD85" w:rsidR="00C459E1" w:rsidRPr="004676F5" w:rsidRDefault="00C459E1" w:rsidP="00F6427E">
      <w:pPr>
        <w:jc w:val="both"/>
        <w:rPr>
          <w:i/>
          <w:iCs/>
          <w:lang w:val="de-DE"/>
        </w:rPr>
      </w:pPr>
      <w:r w:rsidRPr="004676F5">
        <w:rPr>
          <w:i/>
          <w:lang w:val="de-DE"/>
        </w:rPr>
        <w:t xml:space="preserve">[Art. III.29 </w:t>
      </w:r>
      <w:r w:rsidR="008E5AFC" w:rsidRPr="004676F5">
        <w:rPr>
          <w:i/>
          <w:lang w:val="de-DE"/>
        </w:rPr>
        <w:t>§ 1 einziger Absatz einleitende Bestimmung abgeändert durch Art. 8 Nr. 1</w:t>
      </w:r>
      <w:r w:rsidR="008E5AFC" w:rsidRPr="004676F5">
        <w:rPr>
          <w:i/>
          <w:iCs/>
          <w:lang w:val="de-DE"/>
        </w:rPr>
        <w:t xml:space="preserve"> des G. vom 9. Februar 2024 (B.S. vom 21. März 2024); </w:t>
      </w:r>
      <w:r w:rsidRPr="004676F5">
        <w:rPr>
          <w:i/>
          <w:lang w:val="de-DE"/>
        </w:rPr>
        <w:t xml:space="preserve">§ 1 einziger Absatz Nr. 2 bis </w:t>
      </w:r>
      <w:r w:rsidR="00B62F51" w:rsidRPr="004676F5">
        <w:rPr>
          <w:i/>
          <w:lang w:val="de-DE"/>
        </w:rPr>
        <w:t>8</w:t>
      </w:r>
      <w:r w:rsidRPr="004676F5">
        <w:rPr>
          <w:i/>
          <w:lang w:val="de-DE"/>
        </w:rPr>
        <w:t xml:space="preserve"> abgeändert durch Art. 61 Nr. 1</w:t>
      </w:r>
      <w:r w:rsidRPr="004676F5">
        <w:rPr>
          <w:i/>
          <w:iCs/>
          <w:lang w:val="de-DE"/>
        </w:rPr>
        <w:t xml:space="preserve"> des G. vom 15. April 2018 (B.S. vom 27. April 2018); </w:t>
      </w:r>
      <w:r w:rsidR="00B62F51" w:rsidRPr="004676F5">
        <w:rPr>
          <w:i/>
          <w:iCs/>
          <w:lang w:val="de-DE"/>
        </w:rPr>
        <w:t xml:space="preserve">§ 1 einziger Absatz Nr. 8/1 und 8/2 eingefügt durch Art. 76 des G. vom 22. Dezember 2023 (B.S. vom 29. Dezember 2023); </w:t>
      </w:r>
      <w:r w:rsidR="00B62F51" w:rsidRPr="004676F5">
        <w:rPr>
          <w:i/>
          <w:lang w:val="de-DE"/>
        </w:rPr>
        <w:t>§ 1 einziger Absatz Nr. 9 und 10 abgeändert durch Art. 61 Nr. 1</w:t>
      </w:r>
      <w:r w:rsidR="00B62F51" w:rsidRPr="004676F5">
        <w:rPr>
          <w:i/>
          <w:iCs/>
          <w:lang w:val="de-DE"/>
        </w:rPr>
        <w:t xml:space="preserve"> des G. vom 15. April 2018 (B.S. vom 27. April 2018); </w:t>
      </w:r>
      <w:r w:rsidRPr="004676F5">
        <w:rPr>
          <w:i/>
          <w:iCs/>
          <w:lang w:val="de-DE"/>
        </w:rPr>
        <w:t xml:space="preserve">§ 1 einziger Absatz Nr. 11 einziger Absatz Buchstabe h) eingefügt durch Art. 61 Nr. 2 des G. vom 15. April 2018 (B.S. vom 27. April 2018); </w:t>
      </w:r>
      <w:r w:rsidR="008E5AFC" w:rsidRPr="004676F5">
        <w:rPr>
          <w:i/>
          <w:iCs/>
          <w:lang w:val="de-DE"/>
        </w:rPr>
        <w:t xml:space="preserve">§ 1 einziger Absatz Nr. 11 einziger Absatz Buchstabe i) eingefügt durch Art. 8 Nr. 2 des G. vom 9. Februar 2024 (B.S. vom 21. März 2024); </w:t>
      </w:r>
      <w:r w:rsidRPr="004676F5">
        <w:rPr>
          <w:i/>
          <w:iCs/>
          <w:lang w:val="de-DE"/>
        </w:rPr>
        <w:t>§ 1 einziger Absatz Nr. 12 abgeändert durch Art. 61 Nr. 3 des G. vom 15. April 2018 (B.S. vom 27. April 2018)</w:t>
      </w:r>
      <w:r w:rsidR="008E5AFC" w:rsidRPr="004676F5">
        <w:rPr>
          <w:i/>
          <w:iCs/>
          <w:lang w:val="de-DE"/>
        </w:rPr>
        <w:t>; § 2 abgeändert durch Art. 8 Nr. 3 des G. vom 9. Februar 2024 (B.S. vom 21. März 2024)</w:t>
      </w:r>
      <w:r w:rsidRPr="004676F5">
        <w:rPr>
          <w:i/>
          <w:iCs/>
          <w:lang w:val="de-DE"/>
        </w:rPr>
        <w:t>]</w:t>
      </w:r>
    </w:p>
    <w:p w14:paraId="236591C2" w14:textId="77777777" w:rsidR="00C459E1" w:rsidRPr="004676F5" w:rsidRDefault="00C459E1" w:rsidP="00F6427E">
      <w:pPr>
        <w:jc w:val="both"/>
        <w:rPr>
          <w:i/>
          <w:lang w:val="de-DE"/>
        </w:rPr>
      </w:pPr>
    </w:p>
    <w:p w14:paraId="4D7ED952" w14:textId="77777777" w:rsidR="00D068E9" w:rsidRPr="004676F5" w:rsidRDefault="00D068E9" w:rsidP="00F6427E">
      <w:pPr>
        <w:jc w:val="both"/>
        <w:rPr>
          <w:lang w:val="de-DE"/>
        </w:rPr>
      </w:pPr>
    </w:p>
    <w:p w14:paraId="01A7E1BC" w14:textId="77777777" w:rsidR="008E5AFC" w:rsidRPr="004676F5" w:rsidRDefault="00F6427E" w:rsidP="008E5AFC">
      <w:pPr>
        <w:jc w:val="both"/>
        <w:rPr>
          <w:lang w:val="de-DE"/>
        </w:rPr>
      </w:pPr>
      <w:r w:rsidRPr="004676F5">
        <w:rPr>
          <w:lang w:val="de-DE"/>
        </w:rPr>
        <w:tab/>
      </w:r>
      <w:r w:rsidR="00BE0A56" w:rsidRPr="004676F5">
        <w:rPr>
          <w:b/>
          <w:lang w:val="de-DE"/>
        </w:rPr>
        <w:t>Art. </w:t>
      </w:r>
      <w:r w:rsidRPr="004676F5">
        <w:rPr>
          <w:b/>
          <w:lang w:val="de-DE"/>
        </w:rPr>
        <w:t>III.30</w:t>
      </w:r>
      <w:r w:rsidRPr="004676F5">
        <w:rPr>
          <w:lang w:val="de-DE"/>
        </w:rPr>
        <w:t> </w:t>
      </w:r>
      <w:r w:rsidR="005B7A5C" w:rsidRPr="004676F5">
        <w:rPr>
          <w:lang w:val="de-DE"/>
        </w:rPr>
        <w:t>- </w:t>
      </w:r>
      <w:r w:rsidR="008E5AFC" w:rsidRPr="004676F5">
        <w:rPr>
          <w:lang w:val="de-DE"/>
        </w:rPr>
        <w:t xml:space="preserve">[§ 1 - Der Zugriff auf andere als die in Artikel III.29 erwähnten Daten, die in der Zentralen Datenbank der Unternehmen aufgenommen sind, kann vom Verwaltungsdienst </w:t>
      </w:r>
      <w:r w:rsidR="008E5AFC" w:rsidRPr="004676F5">
        <w:rPr>
          <w:lang w:val="de-DE"/>
        </w:rPr>
        <w:lastRenderedPageBreak/>
        <w:t>der Zentralen Datenbank der Unternehmen mit Ermächtigung des für Wirtschaft zuständigen Ministers Behörden, Verwaltungen, Diensten oder anderen Instanzen, die im Rahmen der Ausführung ihrer gesetzlichen oder verordnungsrechtlichen Aufträge handeln, gewährt werden. Der Minister überprüft, ob die Zwecke, für die die Ermächtigung beantragt wird, bestimmt, eindeutig und rechtmäßig sind und ob die Daten angemessen, sachdienlich und nicht übertrieben im Verhältnis zu diesen Zwecken sind. Er überprüft ebenfalls, ob der beantragte Zugriff vorliegendem Titel und seinen Ausführungserlassen entspricht.</w:t>
      </w:r>
    </w:p>
    <w:p w14:paraId="208BAB9C" w14:textId="77777777" w:rsidR="008E5AFC" w:rsidRPr="004676F5" w:rsidRDefault="008E5AFC" w:rsidP="008E5AFC">
      <w:pPr>
        <w:jc w:val="both"/>
        <w:rPr>
          <w:lang w:val="de-DE"/>
        </w:rPr>
      </w:pPr>
    </w:p>
    <w:p w14:paraId="29434FFF" w14:textId="77777777" w:rsidR="008E5AFC" w:rsidRPr="004676F5" w:rsidRDefault="008E5AFC" w:rsidP="008E5AFC">
      <w:pPr>
        <w:jc w:val="both"/>
        <w:rPr>
          <w:lang w:val="de-DE"/>
        </w:rPr>
      </w:pPr>
      <w:r w:rsidRPr="004676F5">
        <w:rPr>
          <w:lang w:val="de-DE"/>
        </w:rPr>
        <w:tab/>
        <w:t>Der für Wirtschaft zuständige Minister holt die Stellungnahme des Datenschutzbeauftragten des Föderalen Öffentlichen Dienstes Wirtschaft, KMB, Mittelstand und Energie ein.</w:t>
      </w:r>
    </w:p>
    <w:p w14:paraId="1660C431" w14:textId="77777777" w:rsidR="008E5AFC" w:rsidRPr="004676F5" w:rsidRDefault="008E5AFC" w:rsidP="008E5AFC">
      <w:pPr>
        <w:jc w:val="both"/>
        <w:rPr>
          <w:lang w:val="de-DE"/>
        </w:rPr>
      </w:pPr>
    </w:p>
    <w:p w14:paraId="19533FC4" w14:textId="77777777" w:rsidR="008E5AFC" w:rsidRPr="004676F5" w:rsidRDefault="008E5AFC" w:rsidP="008E5AFC">
      <w:pPr>
        <w:jc w:val="both"/>
        <w:rPr>
          <w:lang w:val="de-DE"/>
        </w:rPr>
      </w:pPr>
      <w:r w:rsidRPr="004676F5">
        <w:rPr>
          <w:lang w:val="de-DE"/>
        </w:rPr>
        <w:tab/>
        <w:t>§ 2 - Der für Wirtschaft zuständige Minister kann die Befugnis zur Erteilung der in § 1 erwähnten Ermächtigung dem verantwortlichen Beamten des Verwaltungsdienstes der Zentralen Datenbank der Unternehmen übertragen.</w:t>
      </w:r>
    </w:p>
    <w:p w14:paraId="29C207A0" w14:textId="77777777" w:rsidR="008E5AFC" w:rsidRPr="004676F5" w:rsidRDefault="008E5AFC" w:rsidP="008E5AFC">
      <w:pPr>
        <w:jc w:val="both"/>
        <w:rPr>
          <w:lang w:val="de-DE"/>
        </w:rPr>
      </w:pPr>
    </w:p>
    <w:p w14:paraId="13AB56EA" w14:textId="77777777" w:rsidR="008E5AFC" w:rsidRPr="004676F5" w:rsidRDefault="008E5AFC" w:rsidP="008E5AFC">
      <w:pPr>
        <w:jc w:val="both"/>
        <w:rPr>
          <w:lang w:val="de-DE"/>
        </w:rPr>
      </w:pPr>
      <w:r w:rsidRPr="004676F5">
        <w:rPr>
          <w:lang w:val="de-DE"/>
        </w:rPr>
        <w:tab/>
        <w:t>§ 3 - Der König bestimmt durch einen im Ministerrat beratenen Erlass die Modalitäten für den in § 1 erwähnten Zugriff.</w:t>
      </w:r>
    </w:p>
    <w:p w14:paraId="2F31F94E" w14:textId="77777777" w:rsidR="008E5AFC" w:rsidRPr="004676F5" w:rsidRDefault="008E5AFC" w:rsidP="008E5AFC">
      <w:pPr>
        <w:jc w:val="both"/>
        <w:rPr>
          <w:lang w:val="de-DE"/>
        </w:rPr>
      </w:pPr>
    </w:p>
    <w:p w14:paraId="2B360090" w14:textId="77777777" w:rsidR="008E5AFC" w:rsidRPr="004676F5" w:rsidRDefault="008E5AFC" w:rsidP="008E5AFC">
      <w:pPr>
        <w:jc w:val="both"/>
        <w:rPr>
          <w:lang w:val="de-DE"/>
        </w:rPr>
      </w:pPr>
      <w:r w:rsidRPr="004676F5">
        <w:rPr>
          <w:lang w:val="de-DE"/>
        </w:rPr>
        <w:tab/>
        <w:t>§ 4 - In Abweichung von § 1 wird die Ermächtigung zum Zugriff auf und/oder zur Benutzung der Nationalregisternummer gemäß den Bestimmungen der Artikel 5 und 8 des Gesetzes vom 8. August 1983 zur Organisation eines Nationalregisters der natürlichen Personen erteilt.</w:t>
      </w:r>
    </w:p>
    <w:p w14:paraId="51C060A0" w14:textId="77777777" w:rsidR="008E5AFC" w:rsidRPr="004676F5" w:rsidRDefault="008E5AFC" w:rsidP="008E5AFC">
      <w:pPr>
        <w:jc w:val="both"/>
        <w:rPr>
          <w:lang w:val="de-DE"/>
        </w:rPr>
      </w:pPr>
    </w:p>
    <w:p w14:paraId="7C14D253" w14:textId="1264751E" w:rsidR="00F6427E" w:rsidRPr="004676F5" w:rsidRDefault="008E5AFC" w:rsidP="008E5AFC">
      <w:pPr>
        <w:jc w:val="both"/>
        <w:rPr>
          <w:lang w:val="de-DE"/>
        </w:rPr>
      </w:pPr>
      <w:r w:rsidRPr="004676F5">
        <w:rPr>
          <w:lang w:val="de-DE"/>
        </w:rPr>
        <w:tab/>
        <w:t>Der König kann durch einen im Ministerrat beratenen Erlass die Fälle erweitern, in denen in Abweichung von § 1 keine Ermächtigung des für Wirtschaft zuständigen Ministers erforderlich ist.]</w:t>
      </w:r>
    </w:p>
    <w:p w14:paraId="62A2CB95" w14:textId="77777777" w:rsidR="008E5AFC" w:rsidRPr="004676F5" w:rsidRDefault="008E5AFC" w:rsidP="008E5AFC">
      <w:pPr>
        <w:jc w:val="both"/>
        <w:rPr>
          <w:lang w:val="de-DE"/>
        </w:rPr>
      </w:pPr>
    </w:p>
    <w:p w14:paraId="481DE355" w14:textId="663820D1" w:rsidR="008E5AFC" w:rsidRPr="004676F5" w:rsidRDefault="008E5AFC" w:rsidP="008E5AFC">
      <w:pPr>
        <w:jc w:val="both"/>
        <w:rPr>
          <w:i/>
          <w:iCs/>
          <w:lang w:val="de-DE"/>
        </w:rPr>
      </w:pPr>
      <w:r w:rsidRPr="004676F5">
        <w:rPr>
          <w:i/>
          <w:iCs/>
          <w:lang w:val="de-DE"/>
        </w:rPr>
        <w:t>[Art. III.30 ersetzt durch Art. 9 des G. vom 9. Februar 2024 (B.S. vom 21. März 2024)]</w:t>
      </w:r>
    </w:p>
    <w:p w14:paraId="45D5A719" w14:textId="77777777" w:rsidR="00F6427E" w:rsidRPr="004676F5" w:rsidRDefault="00F6427E" w:rsidP="00F6427E">
      <w:pPr>
        <w:jc w:val="both"/>
        <w:rPr>
          <w:lang w:val="de-DE"/>
        </w:rPr>
      </w:pPr>
    </w:p>
    <w:p w14:paraId="3078481E" w14:textId="77777777" w:rsidR="00D068E9" w:rsidRPr="004676F5" w:rsidRDefault="00D068E9" w:rsidP="00F6427E">
      <w:pPr>
        <w:jc w:val="both"/>
        <w:rPr>
          <w:lang w:val="de-DE"/>
        </w:rPr>
      </w:pPr>
    </w:p>
    <w:p w14:paraId="11737F2B" w14:textId="6CC0676C"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III.31</w:t>
      </w:r>
      <w:r w:rsidRPr="004676F5">
        <w:rPr>
          <w:lang w:val="de-DE"/>
        </w:rPr>
        <w:t> </w:t>
      </w:r>
      <w:r w:rsidR="005B7A5C" w:rsidRPr="004676F5">
        <w:rPr>
          <w:lang w:val="de-DE"/>
        </w:rPr>
        <w:t>- </w:t>
      </w:r>
      <w:r w:rsidRPr="004676F5">
        <w:rPr>
          <w:lang w:val="de-DE"/>
        </w:rPr>
        <w:t>Über Internet haben natürliche oder juristische Personen oder Einrichtungen Zugriff auf die in Artikel III.29 § 1 erwähnten Daten, die in der Zentralen Datenbank der Unternehmen aufgenommen sind.</w:t>
      </w:r>
    </w:p>
    <w:p w14:paraId="16E2470D" w14:textId="77777777" w:rsidR="00F6427E" w:rsidRPr="004676F5" w:rsidRDefault="00F6427E" w:rsidP="00F6427E">
      <w:pPr>
        <w:jc w:val="both"/>
        <w:rPr>
          <w:lang w:val="de-DE"/>
        </w:rPr>
      </w:pPr>
    </w:p>
    <w:p w14:paraId="01CC7A92" w14:textId="77777777" w:rsidR="00F6427E" w:rsidRPr="004676F5" w:rsidRDefault="00F6427E" w:rsidP="00F6427E">
      <w:pPr>
        <w:jc w:val="both"/>
        <w:rPr>
          <w:lang w:val="de-DE"/>
        </w:rPr>
      </w:pPr>
      <w:r w:rsidRPr="004676F5">
        <w:rPr>
          <w:lang w:val="de-DE"/>
        </w:rPr>
        <w:tab/>
        <w:t>Vorgesehen wird mindestens eine frei zugängliche Website, auf der diese Daten in lesbarer Form zurückzufinden sind.</w:t>
      </w:r>
    </w:p>
    <w:p w14:paraId="1C86D309" w14:textId="77777777" w:rsidR="00F6427E" w:rsidRPr="004676F5" w:rsidRDefault="00F6427E" w:rsidP="00F6427E">
      <w:pPr>
        <w:jc w:val="both"/>
        <w:rPr>
          <w:lang w:val="de-DE"/>
        </w:rPr>
      </w:pPr>
    </w:p>
    <w:p w14:paraId="7B5AC940" w14:textId="77777777" w:rsidR="00F6427E" w:rsidRPr="004676F5" w:rsidRDefault="00F6427E" w:rsidP="00F6427E">
      <w:pPr>
        <w:jc w:val="both"/>
        <w:rPr>
          <w:lang w:val="de-DE"/>
        </w:rPr>
      </w:pPr>
      <w:r w:rsidRPr="004676F5">
        <w:rPr>
          <w:lang w:val="de-DE"/>
        </w:rPr>
        <w:tab/>
        <w:t>Der König bestimmt die so zugänglichen Daten und die Modalitäten für ihre Einsichtnahme.</w:t>
      </w:r>
    </w:p>
    <w:p w14:paraId="64E789F1" w14:textId="77777777" w:rsidR="00F6427E" w:rsidRPr="004676F5" w:rsidRDefault="00F6427E" w:rsidP="00F6427E">
      <w:pPr>
        <w:jc w:val="both"/>
        <w:rPr>
          <w:lang w:val="de-DE"/>
        </w:rPr>
      </w:pPr>
    </w:p>
    <w:p w14:paraId="21A3DFC2" w14:textId="77777777" w:rsidR="00D068E9" w:rsidRPr="004676F5" w:rsidRDefault="00D068E9" w:rsidP="00F6427E">
      <w:pPr>
        <w:jc w:val="both"/>
        <w:rPr>
          <w:lang w:val="de-DE"/>
        </w:rPr>
      </w:pPr>
    </w:p>
    <w:p w14:paraId="26CBDCF6" w14:textId="1015C04D"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III.32</w:t>
      </w:r>
      <w:r w:rsidRPr="004676F5">
        <w:rPr>
          <w:lang w:val="de-DE"/>
        </w:rPr>
        <w:t> </w:t>
      </w:r>
      <w:r w:rsidR="005B7A5C" w:rsidRPr="004676F5">
        <w:rPr>
          <w:lang w:val="de-DE"/>
        </w:rPr>
        <w:t>- </w:t>
      </w:r>
      <w:r w:rsidR="00C459E1" w:rsidRPr="004676F5">
        <w:rPr>
          <w:lang w:val="de-DE"/>
        </w:rPr>
        <w:t>[Registrierte Körperschaften]</w:t>
      </w:r>
      <w:r w:rsidRPr="004676F5">
        <w:rPr>
          <w:lang w:val="de-DE"/>
        </w:rPr>
        <w:t xml:space="preserve"> haben ein Recht auf Mitteilung der sie betreffenden Daten, die in der Zentralen Datenbank der Unternehmen enthalten sind. Wenn gemäß den geltenden Rechtsvorschriften mitgeteilte Daten sich als ungenau, unvollständig oder fehlerhaft erweisen, kann der Inhaber der Eintragung in der Zentralen Datenbank der Unternehmen die Berichtigung dieser Daten beantragen gemäß den Modalitäten und in den Fristen, die vom König festgelegt werden.</w:t>
      </w:r>
    </w:p>
    <w:p w14:paraId="57466BDD" w14:textId="43A4D421" w:rsidR="00C459E1" w:rsidRPr="004676F5" w:rsidRDefault="00C459E1" w:rsidP="00F6427E">
      <w:pPr>
        <w:jc w:val="both"/>
        <w:rPr>
          <w:lang w:val="de-DE"/>
        </w:rPr>
      </w:pPr>
    </w:p>
    <w:p w14:paraId="256ABD79" w14:textId="7038F53C" w:rsidR="00C459E1" w:rsidRPr="004676F5" w:rsidRDefault="00C459E1" w:rsidP="00F6427E">
      <w:pPr>
        <w:jc w:val="both"/>
        <w:rPr>
          <w:i/>
          <w:lang w:val="de-DE"/>
        </w:rPr>
      </w:pPr>
      <w:r w:rsidRPr="004676F5">
        <w:rPr>
          <w:i/>
          <w:lang w:val="de-DE"/>
        </w:rPr>
        <w:t>[Art. III.32 abgeändert durch Art. 62</w:t>
      </w:r>
      <w:r w:rsidRPr="004676F5">
        <w:rPr>
          <w:i/>
          <w:iCs/>
          <w:lang w:val="de-DE"/>
        </w:rPr>
        <w:t xml:space="preserve"> des G. vom 15. April 2018 (B.S. vom 27. April 2018)]</w:t>
      </w:r>
    </w:p>
    <w:p w14:paraId="75E887C8" w14:textId="77777777" w:rsidR="00F6427E" w:rsidRPr="004676F5" w:rsidRDefault="00F6427E" w:rsidP="00F6427E">
      <w:pPr>
        <w:jc w:val="both"/>
        <w:rPr>
          <w:lang w:val="de-DE"/>
        </w:rPr>
      </w:pPr>
    </w:p>
    <w:p w14:paraId="74ADE942" w14:textId="77777777" w:rsidR="00D068E9" w:rsidRPr="004676F5" w:rsidRDefault="00D068E9" w:rsidP="00F6427E">
      <w:pPr>
        <w:jc w:val="both"/>
        <w:rPr>
          <w:lang w:val="de-DE"/>
        </w:rPr>
      </w:pPr>
    </w:p>
    <w:p w14:paraId="4EDA6E81" w14:textId="2196EEC7"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III.33</w:t>
      </w:r>
      <w:r w:rsidRPr="004676F5">
        <w:rPr>
          <w:lang w:val="de-DE"/>
        </w:rPr>
        <w:t> </w:t>
      </w:r>
      <w:r w:rsidR="005B7A5C" w:rsidRPr="004676F5">
        <w:rPr>
          <w:lang w:val="de-DE"/>
        </w:rPr>
        <w:t>- </w:t>
      </w:r>
      <w:r w:rsidRPr="004676F5">
        <w:rPr>
          <w:lang w:val="de-DE"/>
        </w:rPr>
        <w:t xml:space="preserve">Unbeschadet der Bestimmungen der Artikel III.29 und III.30 bestimmt der König </w:t>
      </w:r>
      <w:r w:rsidR="008E5AFC" w:rsidRPr="004676F5">
        <w:rPr>
          <w:lang w:val="de-DE"/>
        </w:rPr>
        <w:t>[...]</w:t>
      </w:r>
      <w:r w:rsidRPr="004676F5">
        <w:rPr>
          <w:lang w:val="de-DE"/>
        </w:rPr>
        <w:t>, welche Daten der Zentralen Datenbank der Unternehmen Gegenstand einer kommerziellen oder nichtkommerziellen Weiter</w:t>
      </w:r>
      <w:r w:rsidRPr="004676F5">
        <w:rPr>
          <w:lang w:val="de-DE"/>
        </w:rPr>
        <w:softHyphen/>
        <w:t>verwendung sein können, und die Modalitäten für ihre Zurverfügungstellung.</w:t>
      </w:r>
    </w:p>
    <w:p w14:paraId="2CCE2980" w14:textId="77777777" w:rsidR="00F6427E" w:rsidRPr="004676F5" w:rsidRDefault="00F6427E" w:rsidP="00F6427E">
      <w:pPr>
        <w:jc w:val="both"/>
        <w:rPr>
          <w:lang w:val="de-DE"/>
        </w:rPr>
      </w:pPr>
    </w:p>
    <w:p w14:paraId="7C1AD6C8" w14:textId="77777777" w:rsidR="00F6427E" w:rsidRPr="004676F5" w:rsidRDefault="00F6427E" w:rsidP="00F6427E">
      <w:pPr>
        <w:jc w:val="both"/>
        <w:rPr>
          <w:lang w:val="de-DE"/>
        </w:rPr>
      </w:pPr>
      <w:r w:rsidRPr="004676F5">
        <w:rPr>
          <w:lang w:val="de-DE"/>
        </w:rPr>
        <w:tab/>
        <w:t>Nur der Verwaltungsdienst darf Unternehmen diese Ausgangsdaten zur Verfügung stellen.</w:t>
      </w:r>
    </w:p>
    <w:p w14:paraId="2AF00AF4" w14:textId="77777777" w:rsidR="008E5AFC" w:rsidRPr="004676F5" w:rsidRDefault="008E5AFC" w:rsidP="00F6427E">
      <w:pPr>
        <w:jc w:val="both"/>
        <w:rPr>
          <w:lang w:val="de-DE"/>
        </w:rPr>
      </w:pPr>
    </w:p>
    <w:p w14:paraId="31C3293C" w14:textId="0D01C7CF" w:rsidR="008E5AFC" w:rsidRPr="004676F5" w:rsidRDefault="008E5AFC" w:rsidP="00F6427E">
      <w:pPr>
        <w:jc w:val="both"/>
        <w:rPr>
          <w:i/>
          <w:iCs/>
          <w:lang w:val="de-DE"/>
        </w:rPr>
      </w:pPr>
      <w:r w:rsidRPr="004676F5">
        <w:rPr>
          <w:i/>
          <w:iCs/>
          <w:lang w:val="de-DE"/>
        </w:rPr>
        <w:t>[Art. III.33 Abs. 1 abgeändert durch Art. 10 des G. vom 9. Februar 2024 (B.S. vom 21. März 2024)]</w:t>
      </w:r>
    </w:p>
    <w:p w14:paraId="2CAEBB35" w14:textId="77777777" w:rsidR="00F6427E" w:rsidRPr="004676F5" w:rsidRDefault="00F6427E" w:rsidP="00F6427E">
      <w:pPr>
        <w:jc w:val="both"/>
        <w:rPr>
          <w:lang w:val="de-DE"/>
        </w:rPr>
      </w:pPr>
    </w:p>
    <w:p w14:paraId="4650A02B" w14:textId="77777777" w:rsidR="00D068E9" w:rsidRPr="004676F5" w:rsidRDefault="00D068E9" w:rsidP="00F6427E">
      <w:pPr>
        <w:jc w:val="both"/>
        <w:rPr>
          <w:lang w:val="de-DE"/>
        </w:rPr>
      </w:pPr>
    </w:p>
    <w:p w14:paraId="1E1D6924" w14:textId="61AC8FAA" w:rsidR="00F6427E" w:rsidRPr="004676F5" w:rsidRDefault="00F6427E" w:rsidP="00F6427E">
      <w:pPr>
        <w:jc w:val="both"/>
        <w:rPr>
          <w:lang w:val="de-DE"/>
        </w:rPr>
      </w:pPr>
      <w:bookmarkStart w:id="1" w:name="_Hlk208235016"/>
      <w:r w:rsidRPr="004676F5">
        <w:rPr>
          <w:lang w:val="de-DE"/>
        </w:rPr>
        <w:tab/>
      </w:r>
      <w:r w:rsidR="00BE0A56" w:rsidRPr="004676F5">
        <w:rPr>
          <w:b/>
          <w:lang w:val="de-DE"/>
        </w:rPr>
        <w:t>Art. </w:t>
      </w:r>
      <w:r w:rsidRPr="004676F5">
        <w:rPr>
          <w:b/>
          <w:lang w:val="de-DE"/>
        </w:rPr>
        <w:t>III.34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des Artikels III.33 kann jeder bei einem Unternehmens</w:t>
      </w:r>
      <w:r w:rsidRPr="004676F5">
        <w:rPr>
          <w:lang w:val="de-DE"/>
        </w:rPr>
        <w:softHyphen/>
        <w:t xml:space="preserve">schalter Daten </w:t>
      </w:r>
      <w:r w:rsidR="00C459E1" w:rsidRPr="004676F5">
        <w:rPr>
          <w:lang w:val="de-DE"/>
        </w:rPr>
        <w:t>[...]</w:t>
      </w:r>
      <w:r w:rsidRPr="004676F5">
        <w:rPr>
          <w:lang w:val="de-DE"/>
        </w:rPr>
        <w:t xml:space="preserve"> </w:t>
      </w:r>
      <w:r w:rsidR="00C459E1" w:rsidRPr="004676F5">
        <w:rPr>
          <w:lang w:val="de-DE"/>
        </w:rPr>
        <w:t>[in Bezug auf ein eintragungspflichtiges Unternehmen]</w:t>
      </w:r>
      <w:r w:rsidRPr="004676F5">
        <w:rPr>
          <w:lang w:val="de-DE"/>
        </w:rPr>
        <w:t xml:space="preserve"> einsehen und sich gemäß den vom König festgelegten Bedingungen voll</w:t>
      </w:r>
      <w:r w:rsidRPr="004676F5">
        <w:rPr>
          <w:lang w:val="de-DE"/>
        </w:rPr>
        <w:softHyphen/>
        <w:t>ständige Kopien oder Teilkopien beziehungsweise Auszüge aus dem Register aushändigen lassen.</w:t>
      </w:r>
    </w:p>
    <w:p w14:paraId="6957438C" w14:textId="77777777" w:rsidR="00F6427E" w:rsidRPr="004676F5" w:rsidRDefault="00F6427E" w:rsidP="00F6427E">
      <w:pPr>
        <w:jc w:val="both"/>
        <w:rPr>
          <w:lang w:val="de-DE"/>
        </w:rPr>
      </w:pPr>
    </w:p>
    <w:p w14:paraId="53C737E9" w14:textId="7464D438"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 xml:space="preserve">Kopien oder Auszüge </w:t>
      </w:r>
      <w:r w:rsidR="00C459E1" w:rsidRPr="004676F5">
        <w:rPr>
          <w:lang w:val="de-DE"/>
        </w:rPr>
        <w:t>[in Bezug auf ein eintragungspflichtiges Unternehmen]</w:t>
      </w:r>
      <w:r w:rsidRPr="004676F5">
        <w:rPr>
          <w:lang w:val="de-DE"/>
        </w:rPr>
        <w:t xml:space="preserve"> werden auf ausdrücklichen Antrag beglaubigt.</w:t>
      </w:r>
    </w:p>
    <w:p w14:paraId="1CB8CE9F" w14:textId="77777777" w:rsidR="00F6427E" w:rsidRPr="004676F5" w:rsidRDefault="00F6427E" w:rsidP="00F6427E">
      <w:pPr>
        <w:rPr>
          <w:lang w:val="de-DE"/>
        </w:rPr>
      </w:pPr>
    </w:p>
    <w:p w14:paraId="306BA25B" w14:textId="30BA6343" w:rsidR="00F6427E" w:rsidRPr="004676F5" w:rsidRDefault="00F6427E" w:rsidP="008E5AFC">
      <w:pPr>
        <w:jc w:val="both"/>
        <w:rPr>
          <w:lang w:val="de-DE"/>
        </w:rPr>
      </w:pPr>
      <w:r w:rsidRPr="004676F5">
        <w:rPr>
          <w:lang w:val="de-DE"/>
        </w:rPr>
        <w:tab/>
        <w:t>§ 3 </w:t>
      </w:r>
      <w:r w:rsidR="005B7A5C" w:rsidRPr="004676F5">
        <w:rPr>
          <w:lang w:val="de-DE"/>
        </w:rPr>
        <w:t>- </w:t>
      </w:r>
      <w:r w:rsidR="008E5AFC" w:rsidRPr="004676F5">
        <w:rPr>
          <w:lang w:val="de-DE"/>
        </w:rPr>
        <w:t>[...]</w:t>
      </w:r>
    </w:p>
    <w:p w14:paraId="2C40466A" w14:textId="353F25B3" w:rsidR="00F6427E" w:rsidRPr="004676F5" w:rsidRDefault="00F6427E" w:rsidP="00F6427E">
      <w:pPr>
        <w:jc w:val="both"/>
        <w:rPr>
          <w:lang w:val="de-DE"/>
        </w:rPr>
      </w:pPr>
    </w:p>
    <w:p w14:paraId="52960105" w14:textId="4F2DEE0B" w:rsidR="00C459E1" w:rsidRPr="004676F5" w:rsidRDefault="00C459E1" w:rsidP="00F6427E">
      <w:pPr>
        <w:jc w:val="both"/>
        <w:rPr>
          <w:i/>
          <w:iCs/>
          <w:lang w:val="de-DE"/>
        </w:rPr>
      </w:pPr>
      <w:r w:rsidRPr="004676F5">
        <w:rPr>
          <w:i/>
          <w:lang w:val="de-DE"/>
        </w:rPr>
        <w:t>[Art. III.34 § 1 abgeändert durch Art. 62 Nr. 1 und 2</w:t>
      </w:r>
      <w:r w:rsidRPr="004676F5">
        <w:rPr>
          <w:i/>
          <w:iCs/>
          <w:lang w:val="de-DE"/>
        </w:rPr>
        <w:t xml:space="preserve"> des G. vom 15. April 2018 (B.S. vom 27. April 2018); § 2 abgeändert durch Art. 62 Nr. 3 des G. vom 15. April 2018 (B.S. vom 27. April 2018)</w:t>
      </w:r>
      <w:r w:rsidR="008E5AFC" w:rsidRPr="004676F5">
        <w:rPr>
          <w:i/>
          <w:iCs/>
          <w:lang w:val="de-DE"/>
        </w:rPr>
        <w:t>; § 3 aufgehoben durch Art. 11 des G. vom 9. Februar 2024 (B.S. vom 21. März 2024)</w:t>
      </w:r>
      <w:r w:rsidRPr="004676F5">
        <w:rPr>
          <w:i/>
          <w:iCs/>
          <w:lang w:val="de-DE"/>
        </w:rPr>
        <w:t>]</w:t>
      </w:r>
    </w:p>
    <w:bookmarkEnd w:id="1"/>
    <w:p w14:paraId="348519BA" w14:textId="77777777" w:rsidR="00CE5BB7" w:rsidRPr="004676F5" w:rsidRDefault="00CE5BB7" w:rsidP="00F6427E">
      <w:pPr>
        <w:jc w:val="both"/>
        <w:rPr>
          <w:iCs/>
          <w:lang w:val="de-DE"/>
        </w:rPr>
      </w:pPr>
    </w:p>
    <w:p w14:paraId="7A180911" w14:textId="033CA8E6" w:rsidR="002E737D" w:rsidRPr="004676F5" w:rsidRDefault="002E737D">
      <w:pPr>
        <w:rPr>
          <w:iCs/>
          <w:sz w:val="20"/>
          <w:szCs w:val="20"/>
          <w:lang w:val="de-DE"/>
        </w:rPr>
      </w:pPr>
    </w:p>
    <w:p w14:paraId="23979584" w14:textId="4DD1C0C8"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III.35</w:t>
      </w:r>
      <w:r w:rsidRPr="004676F5">
        <w:rPr>
          <w:lang w:val="de-DE"/>
        </w:rPr>
        <w:t> </w:t>
      </w:r>
      <w:r w:rsidR="005B7A5C" w:rsidRPr="004676F5">
        <w:rPr>
          <w:lang w:val="de-DE"/>
        </w:rPr>
        <w:t>- </w:t>
      </w:r>
      <w:r w:rsidR="004E1A84" w:rsidRPr="004676F5">
        <w:rPr>
          <w:lang w:val="de-DE"/>
        </w:rPr>
        <w:t xml:space="preserve">[§ 1] </w:t>
      </w:r>
      <w:r w:rsidR="005B7A5C" w:rsidRPr="004676F5">
        <w:rPr>
          <w:lang w:val="de-DE"/>
        </w:rPr>
        <w:t>- </w:t>
      </w:r>
      <w:r w:rsidRPr="004676F5">
        <w:rPr>
          <w:lang w:val="de-DE"/>
        </w:rPr>
        <w:t>Die Daten auf den Auszügen der Zentralen Datenbank der Unternehmen haben bis zum Beweis des Gegenteils Beweiskraft.</w:t>
      </w:r>
    </w:p>
    <w:p w14:paraId="094FB17D" w14:textId="77777777" w:rsidR="004E1A84" w:rsidRPr="004676F5" w:rsidRDefault="004E1A84" w:rsidP="00F6427E">
      <w:pPr>
        <w:jc w:val="both"/>
        <w:rPr>
          <w:lang w:val="de-DE"/>
        </w:rPr>
      </w:pPr>
    </w:p>
    <w:p w14:paraId="532FD084" w14:textId="0C1B635A" w:rsidR="004E1A84" w:rsidRPr="004676F5" w:rsidRDefault="004E1A84" w:rsidP="00F6427E">
      <w:pPr>
        <w:jc w:val="both"/>
        <w:rPr>
          <w:lang w:val="de-DE"/>
        </w:rPr>
      </w:pPr>
      <w:r w:rsidRPr="004676F5">
        <w:rPr>
          <w:lang w:val="de-DE"/>
        </w:rPr>
        <w:tab/>
        <w:t>[§ 2 </w:t>
      </w:r>
      <w:r w:rsidR="005B7A5C" w:rsidRPr="004676F5">
        <w:rPr>
          <w:lang w:val="de-DE"/>
        </w:rPr>
        <w:t>- </w:t>
      </w:r>
      <w:r w:rsidRPr="004676F5">
        <w:rPr>
          <w:lang w:val="de-DE"/>
        </w:rPr>
        <w:t>Die Auszüge sind in den drei offiziellen Landessprachen erhältlich. Sie werden ebenfalls auf ausdrücklichen Antrag in Englisch ausgestellt.]</w:t>
      </w:r>
    </w:p>
    <w:p w14:paraId="6C5F42B9" w14:textId="77777777" w:rsidR="004E1A84" w:rsidRPr="004676F5" w:rsidRDefault="004E1A84" w:rsidP="00F6427E">
      <w:pPr>
        <w:jc w:val="both"/>
        <w:rPr>
          <w:lang w:val="de-DE"/>
        </w:rPr>
      </w:pPr>
    </w:p>
    <w:p w14:paraId="1D8FAD31" w14:textId="4F176BB0" w:rsidR="004E1A84" w:rsidRPr="004676F5" w:rsidRDefault="004E1A84" w:rsidP="00F6427E">
      <w:pPr>
        <w:jc w:val="both"/>
        <w:rPr>
          <w:i/>
          <w:lang w:val="de-DE"/>
        </w:rPr>
      </w:pPr>
      <w:r w:rsidRPr="004676F5">
        <w:rPr>
          <w:i/>
          <w:lang w:val="de-DE"/>
        </w:rPr>
        <w:t>[</w:t>
      </w:r>
      <w:r w:rsidR="00BE0A56" w:rsidRPr="004676F5">
        <w:rPr>
          <w:i/>
          <w:lang w:val="de-DE"/>
        </w:rPr>
        <w:t>Art. </w:t>
      </w:r>
      <w:r w:rsidRPr="004676F5">
        <w:rPr>
          <w:i/>
          <w:lang w:val="de-DE"/>
        </w:rPr>
        <w:t xml:space="preserve">III.35 § 1 (früherer einziger Absatz) nummeriert durch </w:t>
      </w:r>
      <w:r w:rsidR="00BE0A56" w:rsidRPr="004676F5">
        <w:rPr>
          <w:i/>
          <w:lang w:val="de-DE"/>
        </w:rPr>
        <w:t>Art. </w:t>
      </w:r>
      <w:r w:rsidRPr="004676F5">
        <w:rPr>
          <w:i/>
          <w:lang w:val="de-DE"/>
        </w:rPr>
        <w:t>2 des G. vom 6. Juni 2016 (B.S. vom 21. Juni 20</w:t>
      </w:r>
      <w:r w:rsidR="003105E2" w:rsidRPr="004676F5">
        <w:rPr>
          <w:i/>
          <w:lang w:val="de-DE"/>
        </w:rPr>
        <w:t xml:space="preserve">16); § 2 eingefügt durch </w:t>
      </w:r>
      <w:r w:rsidR="00BE0A56" w:rsidRPr="004676F5">
        <w:rPr>
          <w:i/>
          <w:lang w:val="de-DE"/>
        </w:rPr>
        <w:t>Art. </w:t>
      </w:r>
      <w:r w:rsidR="003105E2" w:rsidRPr="004676F5">
        <w:rPr>
          <w:i/>
          <w:lang w:val="de-DE"/>
        </w:rPr>
        <w:t>2</w:t>
      </w:r>
      <w:r w:rsidRPr="004676F5">
        <w:rPr>
          <w:i/>
          <w:lang w:val="de-DE"/>
        </w:rPr>
        <w:t xml:space="preserve"> des G. vom 6. Juni 2016 (B.S. vom 21. Juni 2016)]</w:t>
      </w:r>
    </w:p>
    <w:p w14:paraId="2BF3FF8D" w14:textId="77777777" w:rsidR="00F6427E" w:rsidRPr="004676F5" w:rsidRDefault="00F6427E" w:rsidP="00F6427E">
      <w:pPr>
        <w:jc w:val="both"/>
        <w:rPr>
          <w:lang w:val="de-DE"/>
        </w:rPr>
      </w:pPr>
    </w:p>
    <w:p w14:paraId="4A9F9A64" w14:textId="77777777" w:rsidR="00D068E9" w:rsidRPr="004676F5" w:rsidRDefault="00D068E9" w:rsidP="00F6427E">
      <w:pPr>
        <w:jc w:val="both"/>
        <w:rPr>
          <w:lang w:val="de-DE"/>
        </w:rPr>
      </w:pPr>
    </w:p>
    <w:p w14:paraId="67F2C3D2" w14:textId="6D7409F7" w:rsidR="00F6427E" w:rsidRPr="004676F5" w:rsidRDefault="00F6427E" w:rsidP="0012182F">
      <w:pPr>
        <w:jc w:val="center"/>
        <w:rPr>
          <w:lang w:val="de-DE"/>
        </w:rPr>
      </w:pPr>
      <w:r w:rsidRPr="004676F5">
        <w:rPr>
          <w:i/>
          <w:lang w:val="de-DE"/>
        </w:rPr>
        <w:t>Abschnitt 5</w:t>
      </w:r>
      <w:r w:rsidRPr="004676F5">
        <w:rPr>
          <w:lang w:val="de-DE"/>
        </w:rPr>
        <w:t> </w:t>
      </w:r>
      <w:r w:rsidR="005B7A5C" w:rsidRPr="004676F5">
        <w:rPr>
          <w:lang w:val="de-DE"/>
        </w:rPr>
        <w:t>- </w:t>
      </w:r>
      <w:r w:rsidRPr="004676F5">
        <w:rPr>
          <w:lang w:val="de-DE"/>
        </w:rPr>
        <w:t>Verwirklichung des Grundsatzes einer einmaligen Datenerfassung</w:t>
      </w:r>
    </w:p>
    <w:p w14:paraId="674F32CB" w14:textId="77777777" w:rsidR="00F6427E" w:rsidRPr="004676F5" w:rsidRDefault="00F6427E" w:rsidP="00F6427E">
      <w:pPr>
        <w:jc w:val="both"/>
        <w:rPr>
          <w:lang w:val="de-DE"/>
        </w:rPr>
      </w:pPr>
    </w:p>
    <w:p w14:paraId="645C77FA" w14:textId="77777777" w:rsidR="00D068E9" w:rsidRPr="004676F5" w:rsidRDefault="00D068E9" w:rsidP="00F6427E">
      <w:pPr>
        <w:jc w:val="both"/>
        <w:rPr>
          <w:lang w:val="de-DE"/>
        </w:rPr>
      </w:pPr>
    </w:p>
    <w:p w14:paraId="4A7390AE" w14:textId="3A4FFD51"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III.36</w:t>
      </w:r>
      <w:r w:rsidRPr="004676F5">
        <w:rPr>
          <w:lang w:val="de-DE"/>
        </w:rPr>
        <w:t> </w:t>
      </w:r>
      <w:r w:rsidR="005B7A5C" w:rsidRPr="004676F5">
        <w:rPr>
          <w:lang w:val="de-DE"/>
        </w:rPr>
        <w:t>- </w:t>
      </w:r>
      <w:r w:rsidRPr="004676F5">
        <w:rPr>
          <w:lang w:val="de-DE"/>
        </w:rPr>
        <w:t xml:space="preserve">Behörden, Verwaltungen und Dienste, die ermächtigt sind, die Daten der Zentralen Datenbank der Unternehmen einzusehen, dürfen diese Daten nicht mehr unmittelbar </w:t>
      </w:r>
      <w:r w:rsidR="00C459E1" w:rsidRPr="004676F5">
        <w:rPr>
          <w:lang w:val="de-DE"/>
        </w:rPr>
        <w:t>[von den registrierten Körperschaften]</w:t>
      </w:r>
      <w:r w:rsidRPr="004676F5">
        <w:rPr>
          <w:lang w:val="de-DE"/>
        </w:rPr>
        <w:t xml:space="preserve"> oder deren Beauftragten einfordern.</w:t>
      </w:r>
    </w:p>
    <w:p w14:paraId="4E823B67" w14:textId="5A4B0A9E" w:rsidR="00F6427E" w:rsidRPr="004676F5" w:rsidRDefault="00F6427E" w:rsidP="00F6427E">
      <w:pPr>
        <w:jc w:val="both"/>
        <w:rPr>
          <w:lang w:val="de-DE"/>
        </w:rPr>
      </w:pPr>
    </w:p>
    <w:p w14:paraId="0BE33C7F" w14:textId="1CAB7B04" w:rsidR="00C459E1" w:rsidRPr="004676F5" w:rsidRDefault="00C459E1" w:rsidP="00F6427E">
      <w:pPr>
        <w:jc w:val="both"/>
        <w:rPr>
          <w:i/>
          <w:iCs/>
          <w:lang w:val="de-DE"/>
        </w:rPr>
      </w:pPr>
      <w:r w:rsidRPr="004676F5">
        <w:rPr>
          <w:i/>
          <w:lang w:val="de-DE"/>
        </w:rPr>
        <w:t>[Art. III.36 abgeändert durch Art. 64</w:t>
      </w:r>
      <w:r w:rsidRPr="004676F5">
        <w:rPr>
          <w:i/>
          <w:iCs/>
          <w:lang w:val="de-DE"/>
        </w:rPr>
        <w:t xml:space="preserve"> des G. vom 15. April 2018 (B.S. vom 27. April 2018)]</w:t>
      </w:r>
    </w:p>
    <w:p w14:paraId="799B19E6" w14:textId="77777777" w:rsidR="00C459E1" w:rsidRPr="004676F5" w:rsidRDefault="00C459E1" w:rsidP="00F6427E">
      <w:pPr>
        <w:jc w:val="both"/>
        <w:rPr>
          <w:i/>
          <w:lang w:val="de-DE"/>
        </w:rPr>
      </w:pPr>
    </w:p>
    <w:p w14:paraId="752DB03D" w14:textId="77777777" w:rsidR="00D068E9" w:rsidRPr="004676F5" w:rsidRDefault="00D068E9" w:rsidP="00F6427E">
      <w:pPr>
        <w:jc w:val="both"/>
        <w:rPr>
          <w:lang w:val="de-DE"/>
        </w:rPr>
      </w:pPr>
    </w:p>
    <w:p w14:paraId="74CEFB7C" w14:textId="3ECBD8DB" w:rsidR="00F6427E" w:rsidRPr="004676F5" w:rsidRDefault="00F6427E" w:rsidP="00F6427E">
      <w:pPr>
        <w:jc w:val="both"/>
        <w:rPr>
          <w:lang w:val="de-DE"/>
        </w:rPr>
      </w:pPr>
      <w:r w:rsidRPr="004676F5">
        <w:rPr>
          <w:lang w:val="de-DE"/>
        </w:rPr>
        <w:lastRenderedPageBreak/>
        <w:tab/>
      </w:r>
      <w:r w:rsidR="00BE0A56" w:rsidRPr="004676F5">
        <w:rPr>
          <w:b/>
          <w:lang w:val="de-DE"/>
        </w:rPr>
        <w:t>Art. </w:t>
      </w:r>
      <w:r w:rsidRPr="004676F5">
        <w:rPr>
          <w:b/>
          <w:lang w:val="de-DE"/>
        </w:rPr>
        <w:t>III.37</w:t>
      </w:r>
      <w:r w:rsidRPr="004676F5">
        <w:rPr>
          <w:lang w:val="de-DE"/>
        </w:rPr>
        <w:t> </w:t>
      </w:r>
      <w:r w:rsidR="005B7A5C" w:rsidRPr="004676F5">
        <w:rPr>
          <w:lang w:val="de-DE"/>
        </w:rPr>
        <w:t>- </w:t>
      </w:r>
      <w:r w:rsidRPr="004676F5">
        <w:rPr>
          <w:lang w:val="de-DE"/>
        </w:rPr>
        <w:t>Sobald der Zentralen Datenbank der Unternehmen Daten mitgeteilt und diese Daten in der Zentralen Datenbank der Unternehmen aufgenommen worden sind, können Dienste, die ermächtigt sind, diese Daten einzusehen, den Betreffenden nicht länger anlasten, dass diese Daten ihnen nicht unmittelbar mitgeteilt worden sind.</w:t>
      </w:r>
    </w:p>
    <w:p w14:paraId="4392B078" w14:textId="77777777" w:rsidR="00F6427E" w:rsidRPr="004676F5" w:rsidRDefault="00F6427E" w:rsidP="00F6427E">
      <w:pPr>
        <w:jc w:val="both"/>
        <w:rPr>
          <w:lang w:val="de-DE"/>
        </w:rPr>
      </w:pPr>
    </w:p>
    <w:p w14:paraId="6D88BF23" w14:textId="77777777" w:rsidR="00D068E9" w:rsidRPr="004676F5" w:rsidRDefault="00D068E9" w:rsidP="00F6427E">
      <w:pPr>
        <w:jc w:val="both"/>
        <w:rPr>
          <w:lang w:val="de-DE"/>
        </w:rPr>
      </w:pPr>
    </w:p>
    <w:p w14:paraId="32198FDC" w14:textId="345DCB77" w:rsidR="00F6427E" w:rsidRPr="004676F5" w:rsidRDefault="00F6427E" w:rsidP="00F6427E">
      <w:pPr>
        <w:jc w:val="center"/>
        <w:rPr>
          <w:lang w:val="de-DE"/>
        </w:rPr>
      </w:pPr>
      <w:r w:rsidRPr="004676F5">
        <w:rPr>
          <w:i/>
          <w:lang w:val="de-DE"/>
        </w:rPr>
        <w:t>Abschnitt 6</w:t>
      </w:r>
      <w:r w:rsidRPr="004676F5">
        <w:rPr>
          <w:lang w:val="de-DE"/>
        </w:rPr>
        <w:t> </w:t>
      </w:r>
      <w:r w:rsidR="005B7A5C" w:rsidRPr="004676F5">
        <w:rPr>
          <w:lang w:val="de-DE"/>
        </w:rPr>
        <w:t>- </w:t>
      </w:r>
      <w:r w:rsidRPr="004676F5">
        <w:rPr>
          <w:lang w:val="de-DE"/>
        </w:rPr>
        <w:t>Eintragung, Änderung oder Streichung fehlerhafter oder fehlender Daten</w:t>
      </w:r>
    </w:p>
    <w:p w14:paraId="19B0C55D" w14:textId="77777777" w:rsidR="00F6427E" w:rsidRPr="004676F5" w:rsidRDefault="00F6427E" w:rsidP="00F6427E">
      <w:pPr>
        <w:jc w:val="both"/>
        <w:rPr>
          <w:lang w:val="de-DE"/>
        </w:rPr>
      </w:pPr>
    </w:p>
    <w:p w14:paraId="2D903D7B" w14:textId="77777777" w:rsidR="00D068E9" w:rsidRPr="004676F5" w:rsidRDefault="00D068E9" w:rsidP="00F6427E">
      <w:pPr>
        <w:jc w:val="both"/>
        <w:rPr>
          <w:lang w:val="de-DE"/>
        </w:rPr>
      </w:pPr>
    </w:p>
    <w:p w14:paraId="1193501C" w14:textId="27C0A00E"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III.38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Interessehabende können beim Verwaltungsdienst die Berichtigung fehlerhafter Daten oder die Eintragung fehlender Daten in die Zentrale Datenbank der Unternehmen beantragen. Zur Unterstützung dieses Antrags teilen sie alle Belege mit.</w:t>
      </w:r>
    </w:p>
    <w:p w14:paraId="5B74ED08" w14:textId="77777777" w:rsidR="00F6427E" w:rsidRPr="004676F5" w:rsidRDefault="00F6427E" w:rsidP="00F6427E">
      <w:pPr>
        <w:jc w:val="both"/>
        <w:rPr>
          <w:lang w:val="de-DE"/>
        </w:rPr>
      </w:pPr>
    </w:p>
    <w:p w14:paraId="2FB621DA" w14:textId="6BC7301A" w:rsidR="00F6427E" w:rsidRPr="004676F5" w:rsidRDefault="00F6427E" w:rsidP="00F6427E">
      <w:pPr>
        <w:jc w:val="both"/>
        <w:rPr>
          <w:lang w:val="de-DE"/>
        </w:rPr>
      </w:pPr>
      <w:r w:rsidRPr="004676F5">
        <w:rPr>
          <w:lang w:val="de-DE"/>
        </w:rPr>
        <w:tab/>
      </w:r>
      <w:r w:rsidR="00B00B1E" w:rsidRPr="004676F5">
        <w:rPr>
          <w:lang w:val="de-DE"/>
        </w:rPr>
        <w:t>[Registrierte Körperschaften]</w:t>
      </w:r>
      <w:r w:rsidRPr="004676F5">
        <w:rPr>
          <w:lang w:val="de-DE"/>
        </w:rPr>
        <w:t>, die die ihnen durch oder aufgrund eines Gesetzes, eines Dekrets oder einer Ordonnanz auferlegten Formalitäten nicht erfüllt haben, können sich für die in Absatz 1 erwähnte Berichtigung oder Eintragung nicht direkt an den Verwaltungsdienst wenden.</w:t>
      </w:r>
    </w:p>
    <w:p w14:paraId="793D68C8" w14:textId="77777777" w:rsidR="00F6427E" w:rsidRPr="004676F5" w:rsidRDefault="00F6427E" w:rsidP="00F6427E">
      <w:pPr>
        <w:jc w:val="both"/>
        <w:rPr>
          <w:lang w:val="de-DE"/>
        </w:rPr>
      </w:pPr>
    </w:p>
    <w:p w14:paraId="43E9B086" w14:textId="70D72313"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Dienste, die Zugriff auf die Daten der Zentralen Datenbank der Unternehmen haben, sind verpflichtet, den Verwaltungsdienst zu informieren, sobald sie feststellen, dass in der Zentralen Datenbank der Unternehmen fehlerhafte Daten vorhanden sind oder Daten fehlen.</w:t>
      </w:r>
    </w:p>
    <w:p w14:paraId="7725E5DC" w14:textId="77777777" w:rsidR="00F6427E" w:rsidRPr="004676F5" w:rsidRDefault="00F6427E" w:rsidP="00F6427E">
      <w:pPr>
        <w:jc w:val="both"/>
        <w:rPr>
          <w:lang w:val="de-DE"/>
        </w:rPr>
      </w:pPr>
    </w:p>
    <w:p w14:paraId="03F01951" w14:textId="77777777" w:rsidR="00F6427E" w:rsidRPr="004676F5" w:rsidRDefault="00F6427E" w:rsidP="00F6427E">
      <w:pPr>
        <w:jc w:val="both"/>
        <w:rPr>
          <w:lang w:val="de-DE"/>
        </w:rPr>
      </w:pPr>
      <w:r w:rsidRPr="004676F5">
        <w:rPr>
          <w:lang w:val="de-DE"/>
        </w:rPr>
        <w:tab/>
        <w:t>Zur Unterstützung dieser Information teilen sie alle Belege mit.</w:t>
      </w:r>
    </w:p>
    <w:p w14:paraId="2D07FD96" w14:textId="77777777" w:rsidR="00F6427E" w:rsidRPr="004676F5" w:rsidRDefault="00F6427E" w:rsidP="00F6427E">
      <w:pPr>
        <w:rPr>
          <w:lang w:val="de-DE"/>
        </w:rPr>
      </w:pPr>
    </w:p>
    <w:p w14:paraId="26983012" w14:textId="50D93AE0" w:rsidR="00F6427E" w:rsidRPr="004676F5" w:rsidRDefault="00F6427E" w:rsidP="00F6427E">
      <w:pPr>
        <w:jc w:val="both"/>
        <w:rPr>
          <w:lang w:val="de-DE"/>
        </w:rPr>
      </w:pPr>
      <w:r w:rsidRPr="004676F5">
        <w:rPr>
          <w:lang w:val="de-DE"/>
        </w:rPr>
        <w:tab/>
        <w:t>§ 3 </w:t>
      </w:r>
      <w:r w:rsidR="005B7A5C" w:rsidRPr="004676F5">
        <w:rPr>
          <w:lang w:val="de-DE"/>
        </w:rPr>
        <w:t>- </w:t>
      </w:r>
      <w:r w:rsidRPr="004676F5">
        <w:rPr>
          <w:lang w:val="de-DE"/>
        </w:rPr>
        <w:t>Die Polizeibeamten der lokalen oder föderalen Polizei und die von einem Dienst, einer Behörde oder einer Verwaltung ermächtigten Beamten sind bei Abfassen eines Untersuchungsberichts oder bei Erstellen eines Protokolls zur Feststellung fehlerhafter oder fehlender Daten in der Zentralen Datenbank der Unternehmen verpflichtet, dem Verwaltungs</w:t>
      </w:r>
      <w:r w:rsidRPr="004676F5">
        <w:rPr>
          <w:lang w:val="de-DE"/>
        </w:rPr>
        <w:softHyphen/>
        <w:t>dienst der Zentralen Datenbank der Unternehmen davon eine Kopie zu übermitteln.</w:t>
      </w:r>
    </w:p>
    <w:p w14:paraId="3778EE71" w14:textId="538D4311" w:rsidR="00F6427E" w:rsidRPr="004676F5" w:rsidRDefault="00F6427E" w:rsidP="00F6427E">
      <w:pPr>
        <w:jc w:val="both"/>
        <w:rPr>
          <w:lang w:val="de-DE"/>
        </w:rPr>
      </w:pPr>
    </w:p>
    <w:p w14:paraId="6D52B31F" w14:textId="6DE405BC" w:rsidR="00B00B1E" w:rsidRPr="004676F5" w:rsidRDefault="00B00B1E" w:rsidP="00F6427E">
      <w:pPr>
        <w:jc w:val="both"/>
        <w:rPr>
          <w:i/>
          <w:lang w:val="de-DE"/>
        </w:rPr>
      </w:pPr>
      <w:r w:rsidRPr="004676F5">
        <w:rPr>
          <w:i/>
          <w:lang w:val="de-DE"/>
        </w:rPr>
        <w:t>[Art. III.38 § 1 Abs. 2 abgeändert durch Art. 65</w:t>
      </w:r>
      <w:r w:rsidRPr="004676F5">
        <w:rPr>
          <w:i/>
          <w:iCs/>
          <w:lang w:val="de-DE"/>
        </w:rPr>
        <w:t xml:space="preserve"> des G. vom 15. April 2018 (B.S. vom 27. April 2018)]</w:t>
      </w:r>
    </w:p>
    <w:p w14:paraId="35603EF7" w14:textId="77777777" w:rsidR="008E7E02" w:rsidRPr="004676F5" w:rsidRDefault="008E7E02" w:rsidP="00F6427E">
      <w:pPr>
        <w:jc w:val="both"/>
        <w:rPr>
          <w:lang w:val="de-DE"/>
        </w:rPr>
      </w:pPr>
    </w:p>
    <w:p w14:paraId="6B8C8996" w14:textId="77777777" w:rsidR="00A72A5C" w:rsidRPr="004676F5" w:rsidRDefault="00A72A5C" w:rsidP="00F6427E">
      <w:pPr>
        <w:jc w:val="both"/>
        <w:rPr>
          <w:lang w:val="de-DE"/>
        </w:rPr>
      </w:pPr>
    </w:p>
    <w:p w14:paraId="485C625F" w14:textId="7D712CF4"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III.39</w:t>
      </w:r>
      <w:r w:rsidRPr="004676F5">
        <w:rPr>
          <w:lang w:val="de-DE"/>
        </w:rPr>
        <w:t> </w:t>
      </w:r>
      <w:r w:rsidR="005B7A5C" w:rsidRPr="004676F5">
        <w:rPr>
          <w:lang w:val="de-DE"/>
        </w:rPr>
        <w:t>- </w:t>
      </w:r>
      <w:r w:rsidRPr="004676F5">
        <w:rPr>
          <w:lang w:val="de-DE"/>
        </w:rPr>
        <w:t>Stellt der Verwaltungsdienst fest, dass fehlerhaften Daten oder dem Fehlen von Daten ein Irrtum oder eine Weglassung des Dienstes, der diese Daten eingibt, zugrunde liegen, teilt er diesem Dienst den Anpassungsantrag mit. Nach Überprüfung nimmt der Dienst binnen einer Frist von dreißig Tagen ab dem Empfang des Antrags die eventuelle Anpassung vor.</w:t>
      </w:r>
    </w:p>
    <w:p w14:paraId="1B36ABC8" w14:textId="77777777" w:rsidR="00F6427E" w:rsidRPr="004676F5" w:rsidRDefault="00F6427E" w:rsidP="00F6427E">
      <w:pPr>
        <w:jc w:val="both"/>
        <w:rPr>
          <w:lang w:val="de-DE"/>
        </w:rPr>
      </w:pPr>
    </w:p>
    <w:p w14:paraId="1B68E642" w14:textId="77777777" w:rsidR="008E7E02" w:rsidRPr="004676F5" w:rsidRDefault="008E7E02" w:rsidP="00F6427E">
      <w:pPr>
        <w:jc w:val="both"/>
        <w:rPr>
          <w:lang w:val="de-DE"/>
        </w:rPr>
      </w:pPr>
    </w:p>
    <w:p w14:paraId="7FE3BB49" w14:textId="77777777" w:rsidR="00485DD2" w:rsidRPr="004676F5" w:rsidRDefault="00F6427E" w:rsidP="00485DD2">
      <w:pPr>
        <w:jc w:val="both"/>
        <w:rPr>
          <w:lang w:val="de-DE"/>
        </w:rPr>
      </w:pPr>
      <w:r w:rsidRPr="004676F5">
        <w:rPr>
          <w:lang w:val="de-DE"/>
        </w:rPr>
        <w:tab/>
      </w:r>
      <w:r w:rsidR="00BE0A56" w:rsidRPr="004676F5">
        <w:rPr>
          <w:b/>
          <w:lang w:val="de-DE"/>
        </w:rPr>
        <w:t>Art. </w:t>
      </w:r>
      <w:r w:rsidRPr="004676F5">
        <w:rPr>
          <w:b/>
          <w:lang w:val="de-DE"/>
        </w:rPr>
        <w:t>III.40</w:t>
      </w:r>
      <w:r w:rsidRPr="004676F5">
        <w:rPr>
          <w:lang w:val="de-DE"/>
        </w:rPr>
        <w:t> </w:t>
      </w:r>
      <w:r w:rsidR="005B7A5C" w:rsidRPr="004676F5">
        <w:rPr>
          <w:lang w:val="de-DE"/>
        </w:rPr>
        <w:t>- </w:t>
      </w:r>
      <w:r w:rsidR="00AD2142" w:rsidRPr="004676F5">
        <w:rPr>
          <w:lang w:val="de-DE"/>
        </w:rPr>
        <w:t>[</w:t>
      </w:r>
      <w:r w:rsidR="00485DD2" w:rsidRPr="004676F5">
        <w:rPr>
          <w:lang w:val="de-DE"/>
        </w:rPr>
        <w:t>§ 1 - Sind fehlerhafte Daten oder das Fehlen von Daten darauf zurückzuführen, dass eine registrierte Körperschaft die ihr durch oder aufgrund eines Gesetzes, eines Dekrets oder einer Ordonnanz auferlegten Formalitäten nicht erfüllt hat, ersucht der Verwaltungsdienst die registrierte Körperschaft per Brief, bei dem Dienst, den der Verwaltungsdienst im Brief bestimmt, Eintragung, Änderung oder Streichung ihrer Daten vorzunehmen.</w:t>
      </w:r>
    </w:p>
    <w:p w14:paraId="5E94CAF7" w14:textId="77777777" w:rsidR="00485DD2" w:rsidRPr="004676F5" w:rsidRDefault="00485DD2" w:rsidP="00485DD2">
      <w:pPr>
        <w:jc w:val="both"/>
        <w:rPr>
          <w:lang w:val="de-DE"/>
        </w:rPr>
      </w:pPr>
    </w:p>
    <w:p w14:paraId="0D3B51DB" w14:textId="77777777" w:rsidR="00485DD2" w:rsidRPr="004676F5" w:rsidRDefault="00485DD2" w:rsidP="00485DD2">
      <w:pPr>
        <w:jc w:val="both"/>
        <w:rPr>
          <w:lang w:val="de-DE"/>
        </w:rPr>
      </w:pPr>
      <w:r w:rsidRPr="004676F5">
        <w:rPr>
          <w:lang w:val="de-DE"/>
        </w:rPr>
        <w:tab/>
        <w:t>Die registrierte Körperschaft verfügt über eine Frist von dreißig Tagen ab Versendung des Briefs, um bei dem darin bestimmten Dienst die erbetene Eintragung, Änderung oder Streichung vorzunehmen.</w:t>
      </w:r>
    </w:p>
    <w:p w14:paraId="37BFF628" w14:textId="77777777" w:rsidR="00485DD2" w:rsidRPr="004676F5" w:rsidRDefault="00485DD2" w:rsidP="00485DD2">
      <w:pPr>
        <w:jc w:val="both"/>
        <w:rPr>
          <w:lang w:val="de-DE"/>
        </w:rPr>
      </w:pPr>
    </w:p>
    <w:p w14:paraId="5A532DD4" w14:textId="77777777" w:rsidR="00485DD2" w:rsidRPr="004676F5" w:rsidRDefault="00485DD2" w:rsidP="00485DD2">
      <w:pPr>
        <w:jc w:val="both"/>
        <w:rPr>
          <w:lang w:val="de-DE"/>
        </w:rPr>
      </w:pPr>
      <w:r w:rsidRPr="004676F5">
        <w:rPr>
          <w:lang w:val="de-DE"/>
        </w:rPr>
        <w:tab/>
        <w:t>§ 2 ­ Hat die registrierte Körperschaft nach Ablauf der in § 1 Absatz 2 erwähnten Frist die Formalitäten nicht erfüllt, nimmt der Verwaltungsdienst die Streichung der fehlerhaften Daten von Amts wegen vor.</w:t>
      </w:r>
    </w:p>
    <w:p w14:paraId="4411FAED" w14:textId="77777777" w:rsidR="00485DD2" w:rsidRPr="004676F5" w:rsidRDefault="00485DD2" w:rsidP="00485DD2">
      <w:pPr>
        <w:jc w:val="both"/>
        <w:rPr>
          <w:lang w:val="de-DE"/>
        </w:rPr>
      </w:pPr>
    </w:p>
    <w:p w14:paraId="00D438EF" w14:textId="77777777" w:rsidR="00485DD2" w:rsidRPr="004676F5" w:rsidRDefault="00485DD2" w:rsidP="00485DD2">
      <w:pPr>
        <w:jc w:val="both"/>
        <w:rPr>
          <w:lang w:val="de-DE"/>
        </w:rPr>
      </w:pPr>
      <w:r w:rsidRPr="004676F5">
        <w:rPr>
          <w:lang w:val="de-DE"/>
        </w:rPr>
        <w:tab/>
        <w:t>Diese Streichung erfolgt auf der Grundlage eines Urteils oder Entscheids beziehungsweise eines Untersuchungsberichts oder Protokolls, die ein Polizeibeamter oder ein von einem Dienst, einer Behörde oder einer Verwaltung ermächtigter Beamter zur Feststellung der Unrichtigkeit der Daten erstellt hat. Betrifft die fehlerhafte Angabe eine Adresse, kann die Streichung von Amts wegen auch auf der Grundlage von Informationen erfolgen, die von einer authentischen Adressquelle übermittelt werden.</w:t>
      </w:r>
    </w:p>
    <w:p w14:paraId="6898CC57" w14:textId="77777777" w:rsidR="00485DD2" w:rsidRPr="004676F5" w:rsidRDefault="00485DD2" w:rsidP="00485DD2">
      <w:pPr>
        <w:jc w:val="both"/>
        <w:rPr>
          <w:lang w:val="de-DE"/>
        </w:rPr>
      </w:pPr>
    </w:p>
    <w:p w14:paraId="48E40331" w14:textId="77777777" w:rsidR="00485DD2" w:rsidRPr="004676F5" w:rsidRDefault="00485DD2" w:rsidP="00485DD2">
      <w:pPr>
        <w:jc w:val="both"/>
        <w:rPr>
          <w:lang w:val="de-DE"/>
        </w:rPr>
      </w:pPr>
      <w:r w:rsidRPr="004676F5">
        <w:rPr>
          <w:lang w:val="de-DE"/>
        </w:rPr>
        <w:tab/>
        <w:t>Verfügt der Verwaltungsdienst nicht über die in Absatz 2 erwähnten Informationen oder Unterlagen, fordert er die registrierte Körperschaft erneut per Brief auf, die Formalitäten innerhalb einer Frist von dreißig Tagen zu erfüllen. Nach Ablauf dieser Frist streicht der Verwaltungsdienst die betreffenden Daten von Amts wegen.</w:t>
      </w:r>
    </w:p>
    <w:p w14:paraId="6E5B4F15" w14:textId="77777777" w:rsidR="00485DD2" w:rsidRPr="004676F5" w:rsidRDefault="00485DD2" w:rsidP="00485DD2">
      <w:pPr>
        <w:jc w:val="both"/>
        <w:rPr>
          <w:lang w:val="de-DE"/>
        </w:rPr>
      </w:pPr>
    </w:p>
    <w:p w14:paraId="3FF5C221" w14:textId="77777777" w:rsidR="00485DD2" w:rsidRPr="004676F5" w:rsidRDefault="00485DD2" w:rsidP="00485DD2">
      <w:pPr>
        <w:jc w:val="both"/>
        <w:rPr>
          <w:lang w:val="de-DE"/>
        </w:rPr>
      </w:pPr>
      <w:r w:rsidRPr="004676F5">
        <w:rPr>
          <w:lang w:val="de-DE"/>
        </w:rPr>
        <w:tab/>
        <w:t>§ 3 ­ Der Verwaltungsdienst versendet die in § 1 Absatz 1 und § 2 Absatz 3 erwähnten Briefe an die Adresse des Sitzes der Körperschaft oder im Falle einer ausländischen Körperschaft an die Adresse einer ihrer Zweigniederlassungen.</w:t>
      </w:r>
    </w:p>
    <w:p w14:paraId="52253C3C" w14:textId="77777777" w:rsidR="00485DD2" w:rsidRPr="004676F5" w:rsidRDefault="00485DD2" w:rsidP="00485DD2">
      <w:pPr>
        <w:jc w:val="both"/>
        <w:rPr>
          <w:lang w:val="de-DE"/>
        </w:rPr>
      </w:pPr>
    </w:p>
    <w:p w14:paraId="7984B83D" w14:textId="77777777" w:rsidR="00485DD2" w:rsidRPr="004676F5" w:rsidRDefault="00485DD2" w:rsidP="00485DD2">
      <w:pPr>
        <w:jc w:val="both"/>
        <w:rPr>
          <w:lang w:val="de-DE"/>
        </w:rPr>
      </w:pPr>
      <w:r w:rsidRPr="004676F5">
        <w:rPr>
          <w:lang w:val="de-DE"/>
        </w:rPr>
        <w:tab/>
        <w:t>Betrifft das Streichungsverfahren eine Adresse, wird der Brief an eine Adresse geschickt, die in der Zentralen Datenbank der Unternehmen aufgenommen ist und sich von der Adresse unterscheidet, für die das Streichungsverfahren läuft. Wenn keine andere Adresse verfügbar ist, wird der Brief an den Wohnsitz eines Bevollmächtigten der Körperschaft geschickt.</w:t>
      </w:r>
    </w:p>
    <w:p w14:paraId="739CF252" w14:textId="77777777" w:rsidR="00485DD2" w:rsidRPr="004676F5" w:rsidRDefault="00485DD2" w:rsidP="00485DD2">
      <w:pPr>
        <w:jc w:val="both"/>
        <w:rPr>
          <w:lang w:val="de-DE"/>
        </w:rPr>
      </w:pPr>
    </w:p>
    <w:p w14:paraId="67091EDC" w14:textId="77777777" w:rsidR="00485DD2" w:rsidRPr="004676F5" w:rsidRDefault="00485DD2" w:rsidP="00485DD2">
      <w:pPr>
        <w:jc w:val="both"/>
        <w:rPr>
          <w:lang w:val="de-DE"/>
        </w:rPr>
      </w:pPr>
      <w:r w:rsidRPr="004676F5">
        <w:rPr>
          <w:lang w:val="de-DE"/>
        </w:rPr>
        <w:tab/>
        <w:t>§ 4 ­ Wenn es nicht möglich ist, die registrierte Körperschaft wie in § 3 vorgesehen zu kontaktieren, nimmt der Verwaltungsdienst die Streichung der fehlerhaften, in der Zentralen Datenbank der Unternehmen eingetragenen Daten von Amts wegen vor, es sei denn, es handelt sich um die Adresse einer registrierten Körperschaft, die eine natürliche Person ist. Diese Streichung erfolgt auf der Grundlage eines Urteils oder Entscheids beziehungsweise eines Untersuchungsberichts oder Protokolls, die ein Polizeibeamter oder ein von einem Dienst, einer Behörde oder einer Verwaltung ermächtigter Beamter zur Feststellung der Unrichtigkeit der Daten erstellt hat.</w:t>
      </w:r>
    </w:p>
    <w:p w14:paraId="63F1CD7D" w14:textId="77777777" w:rsidR="00485DD2" w:rsidRPr="004676F5" w:rsidRDefault="00485DD2" w:rsidP="00485DD2">
      <w:pPr>
        <w:jc w:val="both"/>
        <w:rPr>
          <w:lang w:val="de-DE"/>
        </w:rPr>
      </w:pPr>
    </w:p>
    <w:p w14:paraId="4E652002" w14:textId="77777777" w:rsidR="00485DD2" w:rsidRPr="004676F5" w:rsidRDefault="00485DD2" w:rsidP="00485DD2">
      <w:pPr>
        <w:jc w:val="both"/>
        <w:rPr>
          <w:lang w:val="de-DE"/>
        </w:rPr>
      </w:pPr>
      <w:r w:rsidRPr="004676F5">
        <w:rPr>
          <w:lang w:val="de-DE"/>
        </w:rPr>
        <w:tab/>
        <w:t>Betrifft die fehlerhafte Angabe eine Adresse, kann die Streichung von Amts wegen auch auf der Grundlage von Informationen erfolgen, die von einer authentischen Adressquelle übermittelt werden.</w:t>
      </w:r>
    </w:p>
    <w:p w14:paraId="1889C046" w14:textId="77777777" w:rsidR="00485DD2" w:rsidRPr="004676F5" w:rsidRDefault="00485DD2" w:rsidP="00485DD2">
      <w:pPr>
        <w:jc w:val="both"/>
        <w:rPr>
          <w:lang w:val="de-DE"/>
        </w:rPr>
      </w:pPr>
    </w:p>
    <w:p w14:paraId="77A20535" w14:textId="77777777" w:rsidR="00485DD2" w:rsidRPr="004676F5" w:rsidRDefault="00485DD2" w:rsidP="00485DD2">
      <w:pPr>
        <w:jc w:val="both"/>
        <w:rPr>
          <w:lang w:val="de-DE"/>
        </w:rPr>
      </w:pPr>
      <w:r w:rsidRPr="004676F5">
        <w:rPr>
          <w:lang w:val="de-DE"/>
        </w:rPr>
        <w:tab/>
        <w:t xml:space="preserve">§ 5 ­ Nimmt der Verwaltungsdienst die Streichung von Daten in der Zentralen Datenbank der Unternehmen vor, die in den Anlagen zum </w:t>
      </w:r>
      <w:r w:rsidRPr="004676F5">
        <w:rPr>
          <w:i/>
          <w:iCs/>
          <w:lang w:val="de-DE"/>
        </w:rPr>
        <w:t>Belgischen Staatsblatt</w:t>
      </w:r>
      <w:r w:rsidRPr="004676F5">
        <w:rPr>
          <w:lang w:val="de-DE"/>
        </w:rPr>
        <w:t xml:space="preserve"> veröffentlicht werden müssen, wird die Streichung auf Antrag des Verwaltungsdienstes kostenlos in den Anlagen zum </w:t>
      </w:r>
      <w:r w:rsidRPr="004676F5">
        <w:rPr>
          <w:i/>
          <w:iCs/>
          <w:lang w:val="de-DE"/>
        </w:rPr>
        <w:t>Belgischen Staatsblatt</w:t>
      </w:r>
      <w:r w:rsidRPr="004676F5">
        <w:rPr>
          <w:lang w:val="de-DE"/>
        </w:rPr>
        <w:t xml:space="preserve"> veröffentlicht.</w:t>
      </w:r>
    </w:p>
    <w:p w14:paraId="1DAEC2E9" w14:textId="77777777" w:rsidR="00485DD2" w:rsidRPr="004676F5" w:rsidRDefault="00485DD2" w:rsidP="00485DD2">
      <w:pPr>
        <w:jc w:val="both"/>
        <w:rPr>
          <w:lang w:val="de-DE"/>
        </w:rPr>
      </w:pPr>
    </w:p>
    <w:p w14:paraId="54781379" w14:textId="77777777" w:rsidR="00485DD2" w:rsidRPr="004676F5" w:rsidRDefault="00485DD2" w:rsidP="00485DD2">
      <w:pPr>
        <w:jc w:val="both"/>
        <w:rPr>
          <w:lang w:val="de-DE"/>
        </w:rPr>
      </w:pPr>
      <w:r w:rsidRPr="004676F5">
        <w:rPr>
          <w:lang w:val="de-DE"/>
        </w:rPr>
        <w:tab/>
        <w:t>§ 6 ­ Das Verfahren der Streichung von Daten von Amts wegen befreit die registrierte Körperschaft in keiner Weise von der Verpflichtung, die ihr auferlegten gesetzlichen Formalitäten zu erfüllen.</w:t>
      </w:r>
    </w:p>
    <w:p w14:paraId="1D8FF6F4" w14:textId="77777777" w:rsidR="00485DD2" w:rsidRPr="004676F5" w:rsidRDefault="00485DD2" w:rsidP="00485DD2">
      <w:pPr>
        <w:jc w:val="both"/>
        <w:rPr>
          <w:lang w:val="de-DE"/>
        </w:rPr>
      </w:pPr>
    </w:p>
    <w:p w14:paraId="3701BAFE" w14:textId="77777777" w:rsidR="00485DD2" w:rsidRPr="004676F5" w:rsidRDefault="00485DD2" w:rsidP="00485DD2">
      <w:pPr>
        <w:jc w:val="both"/>
        <w:rPr>
          <w:lang w:val="de-DE"/>
        </w:rPr>
      </w:pPr>
      <w:r w:rsidRPr="004676F5">
        <w:rPr>
          <w:lang w:val="de-DE"/>
        </w:rPr>
        <w:lastRenderedPageBreak/>
        <w:tab/>
        <w:t>Für Schäden, die Dritten zugefügt werden, weil die registrierte Körperschaft die ihr auferlegten gesetzlichen Formalitäten nicht erfüllt, kann der Verwaltungsdienst nicht haftbar gemacht werden.</w:t>
      </w:r>
    </w:p>
    <w:p w14:paraId="586F7FA2" w14:textId="77777777" w:rsidR="00485DD2" w:rsidRPr="004676F5" w:rsidRDefault="00485DD2" w:rsidP="00485DD2">
      <w:pPr>
        <w:jc w:val="both"/>
        <w:rPr>
          <w:lang w:val="de-DE"/>
        </w:rPr>
      </w:pPr>
    </w:p>
    <w:p w14:paraId="50AF7A1D" w14:textId="62C1F98B" w:rsidR="00F6427E" w:rsidRPr="004676F5" w:rsidRDefault="00485DD2" w:rsidP="00485DD2">
      <w:pPr>
        <w:jc w:val="both"/>
        <w:rPr>
          <w:lang w:val="de-DE"/>
        </w:rPr>
      </w:pPr>
      <w:r w:rsidRPr="004676F5">
        <w:rPr>
          <w:lang w:val="de-DE"/>
        </w:rPr>
        <w:tab/>
        <w:t>§ 7 ­ Um die Qualität der Daten in der Zentralen Datenbank der Unternehmen zu garantieren und zu verbessern, kann der König die Liste der Unterlagen und Informationen, die im Rahmen einer Streichung von Amts wegen verwendet werden können, erweitern. Er kann auch Bedingungen und Modalitäten für die Eintragung oder Änderung von Amts wegen bestimmen.]</w:t>
      </w:r>
    </w:p>
    <w:p w14:paraId="76EC9755" w14:textId="3004847A" w:rsidR="00F6427E" w:rsidRPr="004676F5" w:rsidRDefault="00F6427E" w:rsidP="00F6427E">
      <w:pPr>
        <w:rPr>
          <w:lang w:val="de-DE"/>
        </w:rPr>
      </w:pPr>
    </w:p>
    <w:p w14:paraId="635A4D84" w14:textId="45D980C2" w:rsidR="00B00B1E" w:rsidRPr="004676F5" w:rsidRDefault="00B00B1E" w:rsidP="00B00B1E">
      <w:pPr>
        <w:jc w:val="both"/>
        <w:rPr>
          <w:i/>
          <w:iCs/>
          <w:lang w:val="de-DE"/>
        </w:rPr>
      </w:pPr>
      <w:r w:rsidRPr="004676F5">
        <w:rPr>
          <w:i/>
          <w:lang w:val="de-DE"/>
        </w:rPr>
        <w:t xml:space="preserve">[Art. III.40 </w:t>
      </w:r>
      <w:r w:rsidR="00485DD2" w:rsidRPr="004676F5">
        <w:rPr>
          <w:i/>
          <w:lang w:val="de-DE"/>
        </w:rPr>
        <w:t>ersetzt durch Art. 4</w:t>
      </w:r>
      <w:r w:rsidR="00485DD2" w:rsidRPr="004676F5">
        <w:rPr>
          <w:i/>
          <w:iCs/>
          <w:lang w:val="de-DE"/>
        </w:rPr>
        <w:t xml:space="preserve"> des G. vom 25. September 2022 (B.S. vom 16. Januar 2023)</w:t>
      </w:r>
      <w:r w:rsidRPr="004676F5">
        <w:rPr>
          <w:i/>
          <w:iCs/>
          <w:lang w:val="de-DE"/>
        </w:rPr>
        <w:t>]</w:t>
      </w:r>
    </w:p>
    <w:p w14:paraId="385B03F4" w14:textId="3BB329E0" w:rsidR="00B00B1E" w:rsidRPr="004676F5" w:rsidRDefault="00B00B1E" w:rsidP="00B00B1E">
      <w:pPr>
        <w:jc w:val="both"/>
        <w:rPr>
          <w:i/>
          <w:lang w:val="de-DE"/>
        </w:rPr>
      </w:pPr>
      <w:r w:rsidRPr="004676F5">
        <w:rPr>
          <w:i/>
          <w:iCs/>
          <w:lang w:val="de-DE"/>
        </w:rPr>
        <w:t xml:space="preserve"> </w:t>
      </w:r>
    </w:p>
    <w:p w14:paraId="6D767ED4" w14:textId="77777777" w:rsidR="008E7E02" w:rsidRPr="004676F5" w:rsidRDefault="008E7E02" w:rsidP="00F6427E">
      <w:pPr>
        <w:rPr>
          <w:lang w:val="de-DE"/>
        </w:rPr>
      </w:pPr>
    </w:p>
    <w:p w14:paraId="5B83E8F7" w14:textId="214BC117" w:rsidR="00F6427E" w:rsidRPr="004676F5" w:rsidRDefault="00F6427E" w:rsidP="00485DD2">
      <w:pPr>
        <w:jc w:val="both"/>
        <w:rPr>
          <w:lang w:val="de-DE"/>
        </w:rPr>
      </w:pPr>
      <w:r w:rsidRPr="004676F5">
        <w:rPr>
          <w:lang w:val="de-DE"/>
        </w:rPr>
        <w:tab/>
      </w:r>
      <w:r w:rsidR="00BE0A56" w:rsidRPr="004676F5">
        <w:rPr>
          <w:b/>
          <w:lang w:val="de-DE"/>
        </w:rPr>
        <w:t>Art. </w:t>
      </w:r>
      <w:r w:rsidRPr="004676F5">
        <w:rPr>
          <w:b/>
          <w:lang w:val="de-DE"/>
        </w:rPr>
        <w:t>III.41</w:t>
      </w:r>
      <w:r w:rsidRPr="004676F5">
        <w:rPr>
          <w:lang w:val="de-DE"/>
        </w:rPr>
        <w:t> </w:t>
      </w:r>
      <w:r w:rsidR="005B7A5C" w:rsidRPr="004676F5">
        <w:rPr>
          <w:lang w:val="de-DE"/>
        </w:rPr>
        <w:t>- </w:t>
      </w:r>
      <w:r w:rsidR="00485DD2" w:rsidRPr="004676F5">
        <w:rPr>
          <w:lang w:val="de-DE"/>
        </w:rPr>
        <w:t>[...]</w:t>
      </w:r>
    </w:p>
    <w:p w14:paraId="7310A0B3" w14:textId="5FF1D94E" w:rsidR="007D0E8D" w:rsidRPr="004676F5" w:rsidRDefault="007D0E8D" w:rsidP="00F6427E">
      <w:pPr>
        <w:jc w:val="both"/>
        <w:rPr>
          <w:lang w:val="de-DE"/>
        </w:rPr>
      </w:pPr>
    </w:p>
    <w:p w14:paraId="5C2A5CED" w14:textId="386F1E06" w:rsidR="007D0E8D" w:rsidRPr="004676F5" w:rsidRDefault="007D0E8D" w:rsidP="00F6427E">
      <w:pPr>
        <w:jc w:val="both"/>
        <w:rPr>
          <w:i/>
          <w:lang w:val="de-DE"/>
        </w:rPr>
      </w:pPr>
      <w:r w:rsidRPr="004676F5">
        <w:rPr>
          <w:i/>
          <w:lang w:val="de-DE"/>
        </w:rPr>
        <w:t xml:space="preserve">[Art. III.41 </w:t>
      </w:r>
      <w:r w:rsidR="00485DD2" w:rsidRPr="004676F5">
        <w:rPr>
          <w:i/>
          <w:lang w:val="de-DE"/>
        </w:rPr>
        <w:t>aufgehoben durch Art. 5</w:t>
      </w:r>
      <w:r w:rsidR="00485DD2" w:rsidRPr="004676F5">
        <w:rPr>
          <w:i/>
          <w:iCs/>
          <w:lang w:val="de-DE"/>
        </w:rPr>
        <w:t xml:space="preserve"> des G. vom 25. September 2022 (B.S. vom 16. Januar 2023)</w:t>
      </w:r>
      <w:r w:rsidRPr="004676F5">
        <w:rPr>
          <w:i/>
          <w:iCs/>
          <w:lang w:val="de-DE"/>
        </w:rPr>
        <w:t>]</w:t>
      </w:r>
    </w:p>
    <w:p w14:paraId="6E8D3D65" w14:textId="77777777" w:rsidR="00F6427E" w:rsidRPr="004676F5" w:rsidRDefault="00F6427E" w:rsidP="00F6427E">
      <w:pPr>
        <w:jc w:val="both"/>
        <w:rPr>
          <w:lang w:val="de-DE"/>
        </w:rPr>
      </w:pPr>
    </w:p>
    <w:p w14:paraId="3B793A96" w14:textId="77777777" w:rsidR="008E7E02" w:rsidRPr="004676F5" w:rsidRDefault="008E7E02" w:rsidP="00F6427E">
      <w:pPr>
        <w:jc w:val="both"/>
        <w:rPr>
          <w:lang w:val="de-DE"/>
        </w:rPr>
      </w:pPr>
    </w:p>
    <w:p w14:paraId="34C95FBD" w14:textId="437E6F06"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III.42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In Abweichung von dem in Artikel III.39 vorgesehenen Verfahren kann der Verwaltungsdienst der Zentralen Datenbank der Unternehmen kostenlos folgende Streichungen durchführen:</w:t>
      </w:r>
    </w:p>
    <w:p w14:paraId="2C6AA7EF" w14:textId="77777777" w:rsidR="00F6427E" w:rsidRPr="004676F5" w:rsidRDefault="00F6427E" w:rsidP="00F6427E">
      <w:pPr>
        <w:jc w:val="both"/>
        <w:rPr>
          <w:lang w:val="de-DE"/>
        </w:rPr>
      </w:pPr>
    </w:p>
    <w:p w14:paraId="12B9403D" w14:textId="16E4E754" w:rsidR="00F6427E" w:rsidRPr="004676F5" w:rsidRDefault="00F6427E" w:rsidP="00F6427E">
      <w:pPr>
        <w:jc w:val="both"/>
        <w:rPr>
          <w:lang w:val="de-DE"/>
        </w:rPr>
      </w:pPr>
      <w:r w:rsidRPr="004676F5">
        <w:rPr>
          <w:lang w:val="de-DE"/>
        </w:rPr>
        <w:tab/>
        <w:t xml:space="preserve">1. Streichung von Amts wegen der Tätigkeiten, Eigenschaften, Zulassungen und Niederlassungseinheiten </w:t>
      </w:r>
      <w:r w:rsidR="007D0E8D" w:rsidRPr="004676F5">
        <w:rPr>
          <w:lang w:val="de-DE"/>
        </w:rPr>
        <w:t>[von registrierten Körperschaften]</w:t>
      </w:r>
      <w:r w:rsidRPr="004676F5">
        <w:rPr>
          <w:lang w:val="de-DE"/>
        </w:rPr>
        <w:t>, die natürliche Personen sind und deren Gründer laut Angaben des Nationalregisters der natürlichen Personen seit mindestens sechs Monaten verstorben ist,</w:t>
      </w:r>
    </w:p>
    <w:p w14:paraId="67E2116A" w14:textId="77777777" w:rsidR="00F6427E" w:rsidRPr="004676F5" w:rsidRDefault="00F6427E" w:rsidP="00F6427E">
      <w:pPr>
        <w:jc w:val="both"/>
        <w:rPr>
          <w:lang w:val="de-DE"/>
        </w:rPr>
      </w:pPr>
    </w:p>
    <w:p w14:paraId="66C3049E" w14:textId="058F6847" w:rsidR="00F6427E" w:rsidRPr="004676F5" w:rsidRDefault="00F6427E" w:rsidP="00F6427E">
      <w:pPr>
        <w:jc w:val="both"/>
        <w:rPr>
          <w:lang w:val="de-DE"/>
        </w:rPr>
      </w:pPr>
      <w:r w:rsidRPr="004676F5">
        <w:rPr>
          <w:lang w:val="de-DE"/>
        </w:rPr>
        <w:tab/>
        <w:t xml:space="preserve">2. Streichung von Amts wegen der Tätigkeiten, Eigenschaften, Zulassungen und Niederlassungseinheiten </w:t>
      </w:r>
      <w:r w:rsidR="007D0E8D" w:rsidRPr="004676F5">
        <w:rPr>
          <w:lang w:val="de-DE"/>
        </w:rPr>
        <w:t>[von juristischen Personen</w:t>
      </w:r>
      <w:r w:rsidR="008E5AFC" w:rsidRPr="004676F5">
        <w:rPr>
          <w:lang w:val="de-DE"/>
        </w:rPr>
        <w:t xml:space="preserve"> [und Organisationen ohne Rechtspersönlichkeit]</w:t>
      </w:r>
      <w:r w:rsidR="007D0E8D" w:rsidRPr="004676F5">
        <w:rPr>
          <w:lang w:val="de-DE"/>
        </w:rPr>
        <w:t>,]</w:t>
      </w:r>
      <w:r w:rsidRPr="004676F5">
        <w:rPr>
          <w:lang w:val="de-DE"/>
        </w:rPr>
        <w:t xml:space="preserve"> für die der Abschluss der Liquidation seit mindestens drei Monaten verkündet worden ist,</w:t>
      </w:r>
    </w:p>
    <w:p w14:paraId="62951DED" w14:textId="77777777" w:rsidR="00F6427E" w:rsidRPr="004676F5" w:rsidRDefault="00F6427E" w:rsidP="00F6427E">
      <w:pPr>
        <w:jc w:val="both"/>
        <w:rPr>
          <w:lang w:val="de-DE"/>
        </w:rPr>
      </w:pPr>
    </w:p>
    <w:p w14:paraId="0DAA08F5" w14:textId="51BEB8EB" w:rsidR="00F6427E" w:rsidRPr="004676F5" w:rsidRDefault="00F6427E" w:rsidP="00F6427E">
      <w:pPr>
        <w:jc w:val="both"/>
        <w:rPr>
          <w:lang w:val="de-DE"/>
        </w:rPr>
      </w:pPr>
      <w:r w:rsidRPr="004676F5">
        <w:rPr>
          <w:lang w:val="de-DE"/>
        </w:rPr>
        <w:tab/>
        <w:t xml:space="preserve">3. Streichung von Amts wegen der Tätigkeiten, Eigenschaften, Zulassungen und Niederlassungseinheiten </w:t>
      </w:r>
      <w:r w:rsidR="007D0E8D" w:rsidRPr="004676F5">
        <w:rPr>
          <w:lang w:val="de-DE"/>
        </w:rPr>
        <w:t>[von juristischen Personen</w:t>
      </w:r>
      <w:r w:rsidR="008E5AFC" w:rsidRPr="004676F5">
        <w:rPr>
          <w:lang w:val="de-DE"/>
        </w:rPr>
        <w:t>] [und Organisationen ohne Rechtspersönlichkeit, für die der Beschluss zum Abschluss des Konkursverfahrens seit mindestens drei Monaten verkündet worden ist],</w:t>
      </w:r>
    </w:p>
    <w:p w14:paraId="4F265C25" w14:textId="77777777" w:rsidR="00F6427E" w:rsidRPr="004676F5" w:rsidRDefault="00F6427E" w:rsidP="00F6427E">
      <w:pPr>
        <w:rPr>
          <w:lang w:val="de-DE"/>
        </w:rPr>
      </w:pPr>
    </w:p>
    <w:p w14:paraId="21D33CCB" w14:textId="680537FC" w:rsidR="004B23A4" w:rsidRPr="004676F5" w:rsidRDefault="004B23A4" w:rsidP="00F6427E">
      <w:pPr>
        <w:rPr>
          <w:lang w:val="de-DE"/>
        </w:rPr>
      </w:pPr>
      <w:r w:rsidRPr="004676F5">
        <w:rPr>
          <w:lang w:val="de-DE"/>
        </w:rPr>
        <w:tab/>
        <w:t>[3/1. Streichung von Amts wegen der Tätigkeiten, Eigenschaften, Zulassungen und Niederlassungseinheiten von registrierten Körperschaften, die infolge einer Fusion oder Aufspaltung nicht mehr bestehen, wenn diese Fusion oder Aufspaltung mindestens drei Monate zurückliegt,]</w:t>
      </w:r>
    </w:p>
    <w:p w14:paraId="0F0F992C" w14:textId="77777777" w:rsidR="004B23A4" w:rsidRPr="004676F5" w:rsidRDefault="004B23A4" w:rsidP="00F6427E">
      <w:pPr>
        <w:rPr>
          <w:lang w:val="de-DE"/>
        </w:rPr>
      </w:pPr>
    </w:p>
    <w:p w14:paraId="0DA9D9AD" w14:textId="77777777" w:rsidR="00F6427E" w:rsidRPr="004676F5" w:rsidRDefault="00F6427E" w:rsidP="00F6427E">
      <w:pPr>
        <w:jc w:val="both"/>
        <w:rPr>
          <w:lang w:val="de-DE"/>
        </w:rPr>
      </w:pPr>
      <w:r w:rsidRPr="004676F5">
        <w:rPr>
          <w:lang w:val="de-DE"/>
        </w:rPr>
        <w:tab/>
        <w:t>4. Streichung von Amts wegen von Gesellschaften wie in Artikel 2 des Gesellschaftsgesetzbuches erwähnt, die gemäß den Daten der Belgischen Nationalbank während mindestens dreier aufeinander folgender Geschäftsjahre ihrer Verpflichtung, gemäß den Artikeln 98 und 100 des Gesellschaftsgesetzbuches ihren Jahresabschluss zu hinterlegen, nicht nachgekommen sind. Diese Streichung ist auf die in Artikel 97 des Gesellschafts</w:t>
      </w:r>
      <w:r w:rsidRPr="004676F5">
        <w:rPr>
          <w:lang w:val="de-DE"/>
        </w:rPr>
        <w:softHyphen/>
        <w:t>gesetzbuches erwähnten Gesellschaften nicht anwendbar. Der Verwaltungsdienst hebt die Streichung nach Hinterlegung bei der Belgischen Nationalbank der nicht hinterlegten Jahresabschlüsse auf,</w:t>
      </w:r>
    </w:p>
    <w:p w14:paraId="48107A58" w14:textId="77777777" w:rsidR="00F6427E" w:rsidRPr="004676F5" w:rsidRDefault="00F6427E" w:rsidP="00F6427E">
      <w:pPr>
        <w:jc w:val="both"/>
        <w:rPr>
          <w:lang w:val="de-DE"/>
        </w:rPr>
      </w:pPr>
    </w:p>
    <w:p w14:paraId="3B325A29" w14:textId="77777777" w:rsidR="00F6427E" w:rsidRPr="004676F5" w:rsidRDefault="00F6427E" w:rsidP="00F6427E">
      <w:pPr>
        <w:jc w:val="both"/>
        <w:rPr>
          <w:lang w:val="de-DE"/>
        </w:rPr>
      </w:pPr>
      <w:r w:rsidRPr="004676F5">
        <w:rPr>
          <w:lang w:val="de-DE"/>
        </w:rPr>
        <w:tab/>
        <w:t>5. Streichung von Amts wegen von Gesellschaften wie in Artikel 2 des Gesellschafts</w:t>
      </w:r>
      <w:r w:rsidRPr="004676F5">
        <w:rPr>
          <w:lang w:val="de-DE"/>
        </w:rPr>
        <w:softHyphen/>
        <w:t>gesetzbuches erwähnt, die nicht in Nr. 4 erwähnt sind und folgende Kriterien kumulativ erfüllen:</w:t>
      </w:r>
    </w:p>
    <w:p w14:paraId="15B9A8B8" w14:textId="77777777" w:rsidR="00F6427E" w:rsidRPr="004676F5" w:rsidRDefault="00F6427E" w:rsidP="00F6427E">
      <w:pPr>
        <w:jc w:val="both"/>
        <w:rPr>
          <w:lang w:val="de-DE"/>
        </w:rPr>
      </w:pPr>
    </w:p>
    <w:p w14:paraId="0E8A5BCF" w14:textId="77777777" w:rsidR="00F6427E" w:rsidRPr="004676F5" w:rsidRDefault="00F6427E" w:rsidP="00F6427E">
      <w:pPr>
        <w:jc w:val="both"/>
        <w:rPr>
          <w:lang w:val="de-DE"/>
        </w:rPr>
      </w:pPr>
      <w:r w:rsidRPr="004676F5">
        <w:rPr>
          <w:lang w:val="de-DE"/>
        </w:rPr>
        <w:tab/>
      </w:r>
      <w:r w:rsidRPr="004676F5">
        <w:rPr>
          <w:i/>
          <w:lang w:val="de-DE"/>
        </w:rPr>
        <w:t>a)</w:t>
      </w:r>
      <w:r w:rsidRPr="004676F5">
        <w:rPr>
          <w:lang w:val="de-DE"/>
        </w:rPr>
        <w:t> Sie haben seit mindestens drei Jahren keine aktiven Eigenschaften, Tätigkeiten oder Niederlassungseinheiten, die in der Zentralen Datenbank der Unternehmen eingetragen sind.</w:t>
      </w:r>
    </w:p>
    <w:p w14:paraId="6CF0DA2E" w14:textId="77777777" w:rsidR="00F6427E" w:rsidRPr="004676F5" w:rsidRDefault="00F6427E" w:rsidP="00F6427E">
      <w:pPr>
        <w:jc w:val="both"/>
        <w:rPr>
          <w:lang w:val="de-DE"/>
        </w:rPr>
      </w:pPr>
    </w:p>
    <w:p w14:paraId="6EEF0993" w14:textId="77777777" w:rsidR="00F6427E" w:rsidRPr="004676F5" w:rsidRDefault="00F6427E" w:rsidP="00F6427E">
      <w:pPr>
        <w:jc w:val="both"/>
        <w:rPr>
          <w:lang w:val="de-DE"/>
        </w:rPr>
      </w:pPr>
      <w:r w:rsidRPr="004676F5">
        <w:rPr>
          <w:lang w:val="de-DE"/>
        </w:rPr>
        <w:tab/>
      </w:r>
      <w:r w:rsidRPr="004676F5">
        <w:rPr>
          <w:i/>
          <w:lang w:val="de-DE"/>
        </w:rPr>
        <w:t>b)</w:t>
      </w:r>
      <w:r w:rsidRPr="004676F5">
        <w:rPr>
          <w:lang w:val="de-DE"/>
        </w:rPr>
        <w:t> Sie sind in der Zentralen Datenbank der Unternehmen mit aktivem Status eingetragen.</w:t>
      </w:r>
    </w:p>
    <w:p w14:paraId="634F37C6" w14:textId="77777777" w:rsidR="00F6427E" w:rsidRPr="004676F5" w:rsidRDefault="00F6427E" w:rsidP="00F6427E">
      <w:pPr>
        <w:jc w:val="both"/>
        <w:rPr>
          <w:lang w:val="de-DE"/>
        </w:rPr>
      </w:pPr>
    </w:p>
    <w:p w14:paraId="711B8C01" w14:textId="77777777" w:rsidR="00F6427E" w:rsidRPr="004676F5" w:rsidRDefault="00F6427E" w:rsidP="00F6427E">
      <w:pPr>
        <w:jc w:val="both"/>
        <w:rPr>
          <w:lang w:val="de-DE"/>
        </w:rPr>
      </w:pPr>
      <w:r w:rsidRPr="004676F5">
        <w:rPr>
          <w:lang w:val="de-DE"/>
        </w:rPr>
        <w:tab/>
      </w:r>
      <w:r w:rsidRPr="004676F5">
        <w:rPr>
          <w:i/>
          <w:lang w:val="de-DE"/>
        </w:rPr>
        <w:t>c)</w:t>
      </w:r>
      <w:r w:rsidRPr="004676F5">
        <w:rPr>
          <w:lang w:val="de-DE"/>
        </w:rPr>
        <w:t> Sie verfügen nicht über laufende Anträge in Bezug auf Zulassungen oder Eigenschaften, die in der Zentralen Datenbank der Unternehmen eingetragen sind.</w:t>
      </w:r>
    </w:p>
    <w:p w14:paraId="48D703D7" w14:textId="77777777" w:rsidR="00F6427E" w:rsidRPr="004676F5" w:rsidRDefault="00F6427E" w:rsidP="00F6427E">
      <w:pPr>
        <w:jc w:val="both"/>
        <w:rPr>
          <w:lang w:val="de-DE"/>
        </w:rPr>
      </w:pPr>
    </w:p>
    <w:p w14:paraId="7BBB2425" w14:textId="77777777" w:rsidR="00F6427E" w:rsidRPr="004676F5" w:rsidRDefault="00F6427E" w:rsidP="00F6427E">
      <w:pPr>
        <w:jc w:val="both"/>
        <w:rPr>
          <w:lang w:val="de-DE"/>
        </w:rPr>
      </w:pPr>
      <w:r w:rsidRPr="004676F5">
        <w:rPr>
          <w:lang w:val="de-DE"/>
        </w:rPr>
        <w:tab/>
      </w:r>
      <w:r w:rsidRPr="004676F5">
        <w:rPr>
          <w:i/>
          <w:lang w:val="de-DE"/>
        </w:rPr>
        <w:t>d)</w:t>
      </w:r>
      <w:r w:rsidRPr="004676F5">
        <w:rPr>
          <w:lang w:val="de-DE"/>
        </w:rPr>
        <w:t> Sie haben seit sieben Jahren keine Änderung in Bezug auf die in der Zentralen Datenbank der Unternehmen eingetragenen Daten durchgeführt.</w:t>
      </w:r>
    </w:p>
    <w:p w14:paraId="5566A5DD" w14:textId="77777777" w:rsidR="00F6427E" w:rsidRPr="004676F5" w:rsidRDefault="00F6427E" w:rsidP="00F6427E">
      <w:pPr>
        <w:jc w:val="both"/>
        <w:rPr>
          <w:lang w:val="de-DE"/>
        </w:rPr>
      </w:pPr>
    </w:p>
    <w:p w14:paraId="5DF5E407" w14:textId="500337AC" w:rsidR="00F6427E" w:rsidRPr="004676F5" w:rsidRDefault="00F6427E" w:rsidP="00F6427E">
      <w:pPr>
        <w:jc w:val="both"/>
        <w:rPr>
          <w:lang w:val="de-DE"/>
        </w:rPr>
      </w:pPr>
      <w:r w:rsidRPr="004676F5">
        <w:rPr>
          <w:lang w:val="de-DE"/>
        </w:rPr>
        <w:tab/>
      </w:r>
      <w:r w:rsidRPr="004676F5">
        <w:rPr>
          <w:i/>
          <w:lang w:val="de-DE"/>
        </w:rPr>
        <w:t>e)</w:t>
      </w:r>
      <w:r w:rsidRPr="004676F5">
        <w:rPr>
          <w:lang w:val="de-DE"/>
        </w:rPr>
        <w:t> Sie haben seit sieben Jahren keine andere Veröffentlichung als die der Jahres</w:t>
      </w:r>
      <w:r w:rsidRPr="004676F5">
        <w:rPr>
          <w:lang w:val="de-DE"/>
        </w:rPr>
        <w:softHyphen/>
        <w:t xml:space="preserve">abschlüsse in den Anlagen zum </w:t>
      </w:r>
      <w:r w:rsidRPr="004676F5">
        <w:rPr>
          <w:i/>
          <w:lang w:val="de-DE"/>
        </w:rPr>
        <w:t>Belgischen Staatsblatt</w:t>
      </w:r>
      <w:r w:rsidRPr="004676F5">
        <w:rPr>
          <w:lang w:val="de-DE"/>
        </w:rPr>
        <w:t xml:space="preserve"> oder im </w:t>
      </w:r>
      <w:r w:rsidRPr="004676F5">
        <w:rPr>
          <w:i/>
          <w:lang w:val="de-DE"/>
        </w:rPr>
        <w:t>Belgischen Staatsblatt</w:t>
      </w:r>
      <w:r w:rsidRPr="004676F5">
        <w:rPr>
          <w:lang w:val="de-DE"/>
        </w:rPr>
        <w:t xml:space="preserve"> durchgeführt</w:t>
      </w:r>
      <w:r w:rsidR="004B23A4" w:rsidRPr="004676F5">
        <w:rPr>
          <w:lang w:val="de-DE"/>
        </w:rPr>
        <w:t>,</w:t>
      </w:r>
    </w:p>
    <w:p w14:paraId="6F41CDFA" w14:textId="77777777" w:rsidR="004B23A4" w:rsidRPr="004676F5" w:rsidRDefault="004B23A4" w:rsidP="00F6427E">
      <w:pPr>
        <w:jc w:val="both"/>
        <w:rPr>
          <w:lang w:val="de-DE"/>
        </w:rPr>
      </w:pPr>
    </w:p>
    <w:p w14:paraId="1ADC33DC" w14:textId="3BFE7EC4" w:rsidR="004B23A4" w:rsidRPr="004676F5" w:rsidRDefault="004B23A4" w:rsidP="004B23A4">
      <w:pPr>
        <w:ind w:firstLine="708"/>
        <w:jc w:val="both"/>
        <w:rPr>
          <w:lang w:val="de-DE"/>
        </w:rPr>
      </w:pPr>
      <w:r w:rsidRPr="004676F5">
        <w:rPr>
          <w:lang w:val="de-DE"/>
        </w:rPr>
        <w:t>[6. Streichung von Amts wegen von belgischen Auskunftspflichtigen erwähnt in Artikel 2 Nr. 3 des Königlichen Erlasses vom 30. Juli 2018 über die Modalitäten für die Betriebsweise des UBO-Registers, in der sich auf die Begriffsbestimmung in Artikel 74 § 1 des Gesetzes vom 18. September 2017 zur Verhinderung von Geldwäsche und Terrorismus</w:t>
      </w:r>
      <w:r w:rsidRPr="004676F5">
        <w:rPr>
          <w:lang w:val="de-DE"/>
        </w:rPr>
        <w:softHyphen/>
        <w:t>finanzierung und zur Beschränkung der Nutzung von Bargeld bezogen wird, sofern diese Einheiten nach den Angaben der Generalverwaltung Schatzamt des Föderalen Öffentlichen Dienstes Finanzen einem der folgenden Kriterien entsprechen:</w:t>
      </w:r>
    </w:p>
    <w:p w14:paraId="0CBE4BBA" w14:textId="77777777" w:rsidR="004B23A4" w:rsidRPr="004676F5" w:rsidRDefault="004B23A4" w:rsidP="004B23A4">
      <w:pPr>
        <w:ind w:firstLine="708"/>
        <w:jc w:val="both"/>
        <w:rPr>
          <w:lang w:val="de-DE"/>
        </w:rPr>
      </w:pPr>
    </w:p>
    <w:p w14:paraId="7B6BD903" w14:textId="77777777" w:rsidR="004B23A4" w:rsidRPr="004676F5" w:rsidRDefault="004B23A4" w:rsidP="004B23A4">
      <w:pPr>
        <w:ind w:firstLine="708"/>
        <w:jc w:val="both"/>
        <w:rPr>
          <w:lang w:val="de-DE"/>
        </w:rPr>
      </w:pPr>
      <w:r w:rsidRPr="004676F5">
        <w:rPr>
          <w:i/>
          <w:lang w:val="de-DE"/>
        </w:rPr>
        <w:t>a) </w:t>
      </w:r>
      <w:r w:rsidRPr="004676F5">
        <w:rPr>
          <w:lang w:val="de-DE"/>
        </w:rPr>
        <w:t>Sie kommen der in Artikel 1:35 des Gesetzbuches der Gesellschaften und Vereinigungen erwähnten Verpflichtung zur Übermittlung von Angaben an das UBO-Register nicht nach seit mindestens sechzig Kalendertagen nach Auferlegung einer administrativen Geldbuße in Anwendung von Artikel 132 § 6 des Gesetzes vom 18. September 2017 zur Verhinderung von Geldwäsche und Terrorismusfinanzierung und zur Beschränkung der Nutzung von Bargeld.</w:t>
      </w:r>
    </w:p>
    <w:p w14:paraId="73713C00" w14:textId="77777777" w:rsidR="004B23A4" w:rsidRPr="004676F5" w:rsidRDefault="004B23A4" w:rsidP="004B23A4">
      <w:pPr>
        <w:ind w:firstLine="708"/>
        <w:jc w:val="both"/>
        <w:rPr>
          <w:lang w:val="de-DE"/>
        </w:rPr>
      </w:pPr>
    </w:p>
    <w:p w14:paraId="5A17CC33" w14:textId="77777777" w:rsidR="004B23A4" w:rsidRPr="004676F5" w:rsidRDefault="004B23A4" w:rsidP="004B23A4">
      <w:pPr>
        <w:ind w:firstLine="708"/>
        <w:jc w:val="both"/>
        <w:rPr>
          <w:lang w:val="de-DE"/>
        </w:rPr>
      </w:pPr>
      <w:r w:rsidRPr="004676F5">
        <w:rPr>
          <w:i/>
          <w:lang w:val="de-DE"/>
        </w:rPr>
        <w:t>b)</w:t>
      </w:r>
      <w:r w:rsidRPr="004676F5">
        <w:rPr>
          <w:lang w:val="de-DE"/>
        </w:rPr>
        <w:t> Sie kommen der in Artikel 5 des Königlichen Erlasses vom 30. Juli 2018 über die Modalitäten für die Betriebsweise des UBO-Registers erwähnten Verpflichtung zur jährlichen Aktualisierung seit mindestens einem Jahr nicht nach.</w:t>
      </w:r>
    </w:p>
    <w:p w14:paraId="5E01B8A3" w14:textId="77777777" w:rsidR="004B23A4" w:rsidRPr="004676F5" w:rsidRDefault="004B23A4" w:rsidP="004B23A4">
      <w:pPr>
        <w:ind w:firstLine="708"/>
        <w:jc w:val="both"/>
        <w:rPr>
          <w:lang w:val="de-DE"/>
        </w:rPr>
      </w:pPr>
    </w:p>
    <w:p w14:paraId="59E800C1" w14:textId="2D51FAC6" w:rsidR="004B23A4" w:rsidRPr="004676F5" w:rsidRDefault="004B23A4" w:rsidP="004B23A4">
      <w:pPr>
        <w:ind w:firstLine="708"/>
        <w:jc w:val="both"/>
        <w:rPr>
          <w:lang w:val="de-DE"/>
        </w:rPr>
      </w:pPr>
      <w:r w:rsidRPr="004676F5">
        <w:rPr>
          <w:i/>
          <w:lang w:val="de-DE"/>
        </w:rPr>
        <w:t>c)</w:t>
      </w:r>
      <w:r w:rsidRPr="004676F5">
        <w:rPr>
          <w:lang w:val="de-DE"/>
        </w:rPr>
        <w:t xml:space="preserve"> Sie kommen der in Artikel 1:35 des Gesetzbuches der Gesellschaften und Vereinigungen erwähnten Verpflichtung zur Übermittlung von Angaben an das UBO-Register nicht nach und haben außerdem seit sieben Jahren keine Veröffentlichung in den Anlagen zum </w:t>
      </w:r>
      <w:r w:rsidRPr="004676F5">
        <w:rPr>
          <w:i/>
          <w:lang w:val="de-DE"/>
        </w:rPr>
        <w:t>Belgischen Staatsblatt</w:t>
      </w:r>
      <w:r w:rsidRPr="004676F5">
        <w:rPr>
          <w:lang w:val="de-DE"/>
        </w:rPr>
        <w:t xml:space="preserve"> oder im </w:t>
      </w:r>
      <w:r w:rsidRPr="004676F5">
        <w:rPr>
          <w:i/>
          <w:lang w:val="de-DE"/>
        </w:rPr>
        <w:t>Belgischen Staatsblatt</w:t>
      </w:r>
      <w:r w:rsidRPr="004676F5">
        <w:rPr>
          <w:lang w:val="de-DE"/>
        </w:rPr>
        <w:t xml:space="preserve"> vorgenommen.]</w:t>
      </w:r>
    </w:p>
    <w:p w14:paraId="3D39CB17" w14:textId="77777777" w:rsidR="00F6427E" w:rsidRPr="004676F5" w:rsidRDefault="00F6427E" w:rsidP="00F6427E">
      <w:pPr>
        <w:jc w:val="both"/>
        <w:rPr>
          <w:lang w:val="de-DE"/>
        </w:rPr>
      </w:pPr>
    </w:p>
    <w:p w14:paraId="630C29C3" w14:textId="2248A68C" w:rsidR="008E5AFC" w:rsidRPr="004676F5" w:rsidRDefault="008E5AFC" w:rsidP="00F6427E">
      <w:pPr>
        <w:jc w:val="both"/>
        <w:rPr>
          <w:lang w:val="de-DE"/>
        </w:rPr>
      </w:pPr>
      <w:r w:rsidRPr="004676F5">
        <w:rPr>
          <w:lang w:val="de-DE"/>
        </w:rPr>
        <w:tab/>
        <w:t>[7. Streichung von Amts wegen der Tätigkeiten, Eigenschaften, Zulassungen und Niederlassungseinheiten von ausländischen Gesellschaften, die seit mindestens drei Monaten stillgelegt worden sind, durch den Verwaltungsdienst infolge der in elektronischer Form über das in Artikel III.15 Absatz 6 erwähnte europäische System der Registervernetzung erhaltenen Informationen.]</w:t>
      </w:r>
    </w:p>
    <w:p w14:paraId="5DF8DE75" w14:textId="77777777" w:rsidR="008E5AFC" w:rsidRPr="004676F5" w:rsidRDefault="008E5AFC" w:rsidP="00F6427E">
      <w:pPr>
        <w:jc w:val="both"/>
        <w:rPr>
          <w:lang w:val="de-DE"/>
        </w:rPr>
      </w:pPr>
    </w:p>
    <w:p w14:paraId="6D31166E" w14:textId="77777777" w:rsidR="00F6427E" w:rsidRPr="004676F5" w:rsidRDefault="00F6427E" w:rsidP="00F6427E">
      <w:pPr>
        <w:jc w:val="both"/>
        <w:rPr>
          <w:lang w:val="de-DE"/>
        </w:rPr>
      </w:pPr>
      <w:r w:rsidRPr="004676F5">
        <w:rPr>
          <w:lang w:val="de-DE"/>
        </w:rPr>
        <w:lastRenderedPageBreak/>
        <w:tab/>
        <w:t>Für die Anwendung von Absatz 1 Nr. 5 stellen aktive kommerzielle Eigenschaften, Tätigkeiten oder Niederlassungseinheiten, deren Anfangsdatum vor dem 1. Juli 2003 liegt, kein brauchbares Kriterium dar.</w:t>
      </w:r>
    </w:p>
    <w:p w14:paraId="0F367B71" w14:textId="77777777" w:rsidR="00F6427E" w:rsidRPr="004676F5" w:rsidRDefault="00F6427E" w:rsidP="00F6427E">
      <w:pPr>
        <w:jc w:val="both"/>
        <w:rPr>
          <w:lang w:val="de-DE"/>
        </w:rPr>
      </w:pPr>
    </w:p>
    <w:p w14:paraId="382A4CBB" w14:textId="3C6DEDC7" w:rsidR="00F6427E" w:rsidRPr="004676F5" w:rsidRDefault="00F6427E" w:rsidP="00F6427E">
      <w:pPr>
        <w:jc w:val="both"/>
        <w:rPr>
          <w:lang w:val="de-DE"/>
        </w:rPr>
      </w:pPr>
      <w:r w:rsidRPr="004676F5">
        <w:rPr>
          <w:lang w:val="de-DE"/>
        </w:rPr>
        <w:tab/>
        <w:t>Der Verwaltungsdienst der Zentralen Datenbank der Unternehmen hebt die Streichung auf, wenn eines der in Absatz 1 Nr. 5 Buchstabe </w:t>
      </w:r>
      <w:r w:rsidRPr="004676F5">
        <w:rPr>
          <w:i/>
          <w:lang w:val="de-DE"/>
        </w:rPr>
        <w:t>a)</w:t>
      </w:r>
      <w:r w:rsidRPr="004676F5">
        <w:rPr>
          <w:lang w:val="de-DE"/>
        </w:rPr>
        <w:t xml:space="preserve"> bis </w:t>
      </w:r>
      <w:r w:rsidRPr="004676F5">
        <w:rPr>
          <w:i/>
          <w:lang w:val="de-DE"/>
        </w:rPr>
        <w:t>e)</w:t>
      </w:r>
      <w:r w:rsidRPr="004676F5">
        <w:rPr>
          <w:lang w:val="de-DE"/>
        </w:rPr>
        <w:t xml:space="preserve"> erwähnten Kriterien nicht mehr erfüllt ist</w:t>
      </w:r>
      <w:r w:rsidR="004B23A4" w:rsidRPr="004676F5">
        <w:rPr>
          <w:lang w:val="de-DE"/>
        </w:rPr>
        <w:t xml:space="preserve"> [oder wenn nach den Angaben der Generalverwaltung Schatzamt des Föderalen Öffentlichen Dienstes Finanzen keines der in Absatz 1 Nr. 6 erwähnten Kriterien mehr erfüllt ist]</w:t>
      </w:r>
      <w:r w:rsidRPr="004676F5">
        <w:rPr>
          <w:lang w:val="de-DE"/>
        </w:rPr>
        <w:t>.</w:t>
      </w:r>
    </w:p>
    <w:p w14:paraId="49CE81FE" w14:textId="77777777" w:rsidR="00F6427E" w:rsidRPr="004676F5" w:rsidRDefault="00F6427E" w:rsidP="00F6427E">
      <w:pPr>
        <w:jc w:val="both"/>
        <w:rPr>
          <w:lang w:val="de-DE"/>
        </w:rPr>
      </w:pPr>
    </w:p>
    <w:p w14:paraId="125DC1DF" w14:textId="77777777" w:rsidR="00F6427E" w:rsidRPr="004676F5" w:rsidRDefault="00F6427E" w:rsidP="00F6427E">
      <w:pPr>
        <w:jc w:val="both"/>
        <w:rPr>
          <w:lang w:val="de-DE"/>
        </w:rPr>
      </w:pPr>
      <w:r w:rsidRPr="004676F5">
        <w:rPr>
          <w:lang w:val="de-DE"/>
        </w:rPr>
        <w:tab/>
        <w:t>Der Verwaltungsdienst der Zentralen Datenbank der Unternehmen hebt die Streichung auch auf, wenn eine Behörde oder ein Dienst einen offensichtlichen Fehler feststellt.</w:t>
      </w:r>
    </w:p>
    <w:p w14:paraId="31E33E43" w14:textId="77777777" w:rsidR="00F6427E" w:rsidRPr="004676F5" w:rsidRDefault="00F6427E" w:rsidP="00F6427E">
      <w:pPr>
        <w:jc w:val="both"/>
        <w:rPr>
          <w:lang w:val="de-DE"/>
        </w:rPr>
      </w:pPr>
    </w:p>
    <w:p w14:paraId="75D8574B" w14:textId="345EF73C"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 xml:space="preserve">Streichungen und Aufhebungen erwähnt in § 1 Absatz 1 Nr. 4 </w:t>
      </w:r>
      <w:r w:rsidR="004B23A4" w:rsidRPr="004676F5">
        <w:rPr>
          <w:lang w:val="de-DE"/>
        </w:rPr>
        <w:t>[bis 6]</w:t>
      </w:r>
      <w:r w:rsidRPr="004676F5">
        <w:rPr>
          <w:lang w:val="de-DE"/>
        </w:rPr>
        <w:t xml:space="preserve"> und Absatz 3 und 4 werden auf Betreiben des Verwaltungsdienstes der Zentralen Datenbank der Unternehmen kostenlos in den Anlagen zum </w:t>
      </w:r>
      <w:r w:rsidRPr="004676F5">
        <w:rPr>
          <w:i/>
          <w:lang w:val="de-DE"/>
        </w:rPr>
        <w:t>Belgischen Staatsblatt</w:t>
      </w:r>
      <w:r w:rsidRPr="004676F5">
        <w:rPr>
          <w:lang w:val="de-DE"/>
        </w:rPr>
        <w:t xml:space="preserve"> veröffentlicht.</w:t>
      </w:r>
    </w:p>
    <w:p w14:paraId="313A47CC" w14:textId="63A4CD25" w:rsidR="004B23A4" w:rsidRPr="004676F5" w:rsidRDefault="004B23A4">
      <w:pPr>
        <w:rPr>
          <w:lang w:val="de-DE"/>
        </w:rPr>
      </w:pPr>
    </w:p>
    <w:p w14:paraId="3425A4B2" w14:textId="3A3F80BB" w:rsidR="00F6427E" w:rsidRPr="004676F5" w:rsidRDefault="00F6427E" w:rsidP="00F6427E">
      <w:pPr>
        <w:jc w:val="both"/>
        <w:rPr>
          <w:lang w:val="de-DE"/>
        </w:rPr>
      </w:pPr>
      <w:r w:rsidRPr="004676F5">
        <w:rPr>
          <w:lang w:val="de-DE"/>
        </w:rPr>
        <w:tab/>
        <w:t>§ 3 </w:t>
      </w:r>
      <w:r w:rsidR="005B7A5C" w:rsidRPr="004676F5">
        <w:rPr>
          <w:lang w:val="de-DE"/>
        </w:rPr>
        <w:t>- </w:t>
      </w:r>
      <w:r w:rsidRPr="004676F5">
        <w:rPr>
          <w:lang w:val="de-DE"/>
        </w:rPr>
        <w:t>Um die Qualität der Daten in der Zentralen Datenbank der Unternehmen zu garantieren und zu verbessern, kann der König durch einen im Ministerrat beratenen Erlass die in § 1 vorgesehenen Fälle erweitern oder abändern.</w:t>
      </w:r>
    </w:p>
    <w:p w14:paraId="232C0B25" w14:textId="42115D35" w:rsidR="00F6427E" w:rsidRPr="004676F5" w:rsidRDefault="00F6427E" w:rsidP="00F6427E">
      <w:pPr>
        <w:rPr>
          <w:lang w:val="de-DE"/>
        </w:rPr>
      </w:pPr>
    </w:p>
    <w:p w14:paraId="2F3186AF" w14:textId="0EA711E9" w:rsidR="007D0E8D" w:rsidRPr="004676F5" w:rsidRDefault="007D0E8D" w:rsidP="00C739CF">
      <w:pPr>
        <w:jc w:val="both"/>
        <w:rPr>
          <w:i/>
          <w:iCs/>
          <w:lang w:val="de-DE"/>
        </w:rPr>
      </w:pPr>
      <w:r w:rsidRPr="004676F5">
        <w:rPr>
          <w:i/>
          <w:lang w:val="de-DE"/>
        </w:rPr>
        <w:t>[Art. III.42 § 1 Abs. 1 Nr. 1 abgeändert durch Art. 68 Buchstabe a)</w:t>
      </w:r>
      <w:r w:rsidRPr="004676F5">
        <w:rPr>
          <w:i/>
          <w:iCs/>
          <w:lang w:val="de-DE"/>
        </w:rPr>
        <w:t xml:space="preserve"> des G. vom 15. April 2018 (B.S. vom 27. April 2018); § 1 Abs. 1 Nr. 2 abgeändert durch Art. 68 Buchstabe b) des G. vom 15. April 2018 (B.S. vom 27. April 2018)</w:t>
      </w:r>
      <w:r w:rsidR="008E5AFC" w:rsidRPr="004676F5">
        <w:rPr>
          <w:i/>
          <w:iCs/>
          <w:lang w:val="de-DE"/>
        </w:rPr>
        <w:t xml:space="preserve"> und Art. 12 Buchstabe a) des G. vom 9. Februar 2024 (B.S. vom 21. März 2024)</w:t>
      </w:r>
      <w:r w:rsidR="00C739CF" w:rsidRPr="004676F5">
        <w:rPr>
          <w:i/>
          <w:iCs/>
          <w:lang w:val="de-DE"/>
        </w:rPr>
        <w:t>; § 1 Abs. 1 Nr. 3 abgeändert durch Art. 68 Buchstabe b) des G. vom 15. April 2018 (B.S. vom 27. April 2018)</w:t>
      </w:r>
      <w:r w:rsidR="008E5AFC" w:rsidRPr="004676F5">
        <w:rPr>
          <w:i/>
          <w:iCs/>
          <w:lang w:val="de-DE"/>
        </w:rPr>
        <w:t>,</w:t>
      </w:r>
      <w:r w:rsidR="00C739CF" w:rsidRPr="004676F5">
        <w:rPr>
          <w:i/>
          <w:iCs/>
          <w:lang w:val="de-DE"/>
        </w:rPr>
        <w:t xml:space="preserve"> Art. 7</w:t>
      </w:r>
      <w:r w:rsidR="00C739CF" w:rsidRPr="004676F5">
        <w:rPr>
          <w:i/>
          <w:lang w:val="de-DE"/>
        </w:rPr>
        <w:t xml:space="preserve"> des K.E. vom 18. April 2022 (B.S. vom 1. Juni 2022)</w:t>
      </w:r>
      <w:r w:rsidR="008E5AFC" w:rsidRPr="004676F5">
        <w:rPr>
          <w:i/>
          <w:lang w:val="de-DE"/>
        </w:rPr>
        <w:t xml:space="preserve"> und Art. 12 Buchstabe b)</w:t>
      </w:r>
      <w:r w:rsidR="008E5AFC" w:rsidRPr="004676F5">
        <w:rPr>
          <w:i/>
          <w:iCs/>
          <w:lang w:val="de-DE"/>
        </w:rPr>
        <w:t xml:space="preserve"> des G. vom 9. Februar 2024 (B.S. vom 21. März 2024)</w:t>
      </w:r>
      <w:r w:rsidR="004B23A4" w:rsidRPr="004676F5">
        <w:rPr>
          <w:i/>
          <w:lang w:val="de-DE"/>
        </w:rPr>
        <w:t>; § 1 Abs. 1 Nr. 3/1 eingefügt durch Art. 4 Nr. 1 des G. vom 5. November 2023</w:t>
      </w:r>
      <w:r w:rsidR="003454B3" w:rsidRPr="004676F5">
        <w:rPr>
          <w:i/>
          <w:lang w:val="de-DE"/>
        </w:rPr>
        <w:t xml:space="preserve"> (I)</w:t>
      </w:r>
      <w:r w:rsidR="004B23A4" w:rsidRPr="004676F5">
        <w:rPr>
          <w:i/>
          <w:lang w:val="de-DE"/>
        </w:rPr>
        <w:t xml:space="preserve"> (B.S. vom 11. Dezember 2023); § 1 Abs. 1 Nr. 6 eingefügt durch Art. 4 Nr. 2 des G. vom 5. November 2023</w:t>
      </w:r>
      <w:r w:rsidR="003454B3" w:rsidRPr="004676F5">
        <w:rPr>
          <w:i/>
          <w:lang w:val="de-DE"/>
        </w:rPr>
        <w:t xml:space="preserve"> (I)</w:t>
      </w:r>
      <w:r w:rsidR="004B23A4" w:rsidRPr="004676F5">
        <w:rPr>
          <w:i/>
          <w:lang w:val="de-DE"/>
        </w:rPr>
        <w:t xml:space="preserve"> (B.S. vom 11. Dezember 2023); </w:t>
      </w:r>
      <w:r w:rsidR="008E5AFC" w:rsidRPr="004676F5">
        <w:rPr>
          <w:i/>
          <w:lang w:val="de-DE"/>
        </w:rPr>
        <w:t>§ 1 Abs. 1 Nr. 7 eingefügt durch Art. 12 Buchstabe c)</w:t>
      </w:r>
      <w:r w:rsidR="008E5AFC" w:rsidRPr="004676F5">
        <w:rPr>
          <w:i/>
          <w:iCs/>
          <w:lang w:val="de-DE"/>
        </w:rPr>
        <w:t xml:space="preserve"> des G. vom 9. Februar 2024 (B.S. vom 21. März 2024); </w:t>
      </w:r>
      <w:r w:rsidR="004B23A4" w:rsidRPr="004676F5">
        <w:rPr>
          <w:i/>
          <w:lang w:val="de-DE"/>
        </w:rPr>
        <w:t>§ 1 Abs.</w:t>
      </w:r>
      <w:r w:rsidR="0086612A" w:rsidRPr="004676F5">
        <w:rPr>
          <w:i/>
          <w:lang w:val="de-DE"/>
        </w:rPr>
        <w:t> 3</w:t>
      </w:r>
      <w:r w:rsidR="004B23A4" w:rsidRPr="004676F5">
        <w:rPr>
          <w:i/>
          <w:lang w:val="de-DE"/>
        </w:rPr>
        <w:t xml:space="preserve"> abgeändert durch Art. 4 Nr. 3 des G. vom 5. November 2023</w:t>
      </w:r>
      <w:r w:rsidR="003454B3" w:rsidRPr="004676F5">
        <w:rPr>
          <w:i/>
          <w:lang w:val="de-DE"/>
        </w:rPr>
        <w:t xml:space="preserve"> (I)</w:t>
      </w:r>
      <w:r w:rsidR="004B23A4" w:rsidRPr="004676F5">
        <w:rPr>
          <w:i/>
          <w:lang w:val="de-DE"/>
        </w:rPr>
        <w:t xml:space="preserve"> (B.S. vom 11. Dezember 2023); § 2 abgeändert durch Art. 4 Nr. 4 des G. vom 5. November 2023</w:t>
      </w:r>
      <w:r w:rsidR="00AA0B2E" w:rsidRPr="004676F5">
        <w:rPr>
          <w:i/>
          <w:lang w:val="de-DE"/>
        </w:rPr>
        <w:t> </w:t>
      </w:r>
      <w:r w:rsidR="003454B3" w:rsidRPr="004676F5">
        <w:rPr>
          <w:i/>
          <w:lang w:val="de-DE"/>
        </w:rPr>
        <w:t>(I)</w:t>
      </w:r>
      <w:r w:rsidR="004B23A4" w:rsidRPr="004676F5">
        <w:rPr>
          <w:i/>
          <w:lang w:val="de-DE"/>
        </w:rPr>
        <w:t xml:space="preserve"> (B.S. vom 11. Dezember 2023)</w:t>
      </w:r>
      <w:r w:rsidRPr="004676F5">
        <w:rPr>
          <w:i/>
          <w:iCs/>
          <w:lang w:val="de-DE"/>
        </w:rPr>
        <w:t>]</w:t>
      </w:r>
    </w:p>
    <w:p w14:paraId="06DAE8FF" w14:textId="108AB649" w:rsidR="007D0E8D" w:rsidRPr="004676F5" w:rsidRDefault="007D0E8D" w:rsidP="00F6427E">
      <w:pPr>
        <w:rPr>
          <w:iCs/>
          <w:lang w:val="de-DE"/>
        </w:rPr>
      </w:pPr>
    </w:p>
    <w:p w14:paraId="347FB808" w14:textId="22C3D683" w:rsidR="00DD6973" w:rsidRPr="004676F5" w:rsidRDefault="00DD6973" w:rsidP="00F6427E">
      <w:pPr>
        <w:rPr>
          <w:iCs/>
          <w:lang w:val="de-DE"/>
        </w:rPr>
      </w:pPr>
    </w:p>
    <w:p w14:paraId="36773A37" w14:textId="30946AE8" w:rsidR="00DD6973" w:rsidRPr="004676F5" w:rsidRDefault="00DD6973" w:rsidP="00DD6973">
      <w:pPr>
        <w:ind w:firstLine="708"/>
        <w:jc w:val="both"/>
        <w:rPr>
          <w:lang w:val="de-DE"/>
        </w:rPr>
      </w:pPr>
      <w:r w:rsidRPr="004676F5">
        <w:rPr>
          <w:iCs/>
          <w:lang w:val="de-DE"/>
        </w:rPr>
        <w:t>[</w:t>
      </w:r>
      <w:r w:rsidRPr="004676F5">
        <w:rPr>
          <w:b/>
          <w:bCs/>
          <w:lang w:val="de-DE"/>
        </w:rPr>
        <w:t>Art. III.42/1</w:t>
      </w:r>
      <w:r w:rsidRPr="004676F5">
        <w:rPr>
          <w:lang w:val="de-DE"/>
        </w:rPr>
        <w:t> </w:t>
      </w:r>
      <w:r w:rsidR="005B7A5C" w:rsidRPr="004676F5">
        <w:rPr>
          <w:lang w:val="de-DE"/>
        </w:rPr>
        <w:t>- </w:t>
      </w:r>
      <w:r w:rsidRPr="004676F5">
        <w:rPr>
          <w:lang w:val="de-DE"/>
        </w:rPr>
        <w:t>Wenn dem Verwaltungsdienst von einer authentischen Adressenquelle administrative Änderungen von Adressen übermittelt werden, nimmt er auf dieser Grundlage und in Abweichung von dem in den Artikeln III.40 und III.41 vorgesehenen Verfahren in der Zentralen Datenbank der Unternehmen von Amts wegen Änderungen der Adressen der dort eingetragenen Körperschaften vor.</w:t>
      </w:r>
    </w:p>
    <w:p w14:paraId="17011C09" w14:textId="77777777" w:rsidR="00DD6973" w:rsidRPr="004676F5" w:rsidRDefault="00DD6973" w:rsidP="00DD6973">
      <w:pPr>
        <w:ind w:firstLine="708"/>
        <w:jc w:val="both"/>
        <w:rPr>
          <w:lang w:val="de-DE"/>
        </w:rPr>
      </w:pPr>
    </w:p>
    <w:p w14:paraId="4E091DA1" w14:textId="36957477" w:rsidR="00DD6973" w:rsidRPr="004676F5" w:rsidRDefault="00DD6973" w:rsidP="00DD6973">
      <w:pPr>
        <w:ind w:firstLine="708"/>
        <w:jc w:val="both"/>
        <w:rPr>
          <w:lang w:val="de-DE"/>
        </w:rPr>
      </w:pPr>
      <w:r w:rsidRPr="004676F5">
        <w:rPr>
          <w:lang w:val="de-DE"/>
        </w:rPr>
        <w:t xml:space="preserve">Nimmt der Verwaltungsdienst von Amts wegen die Änderung einer Adresse vor, die in den Anlagen zum </w:t>
      </w:r>
      <w:r w:rsidRPr="004676F5">
        <w:rPr>
          <w:i/>
          <w:iCs/>
          <w:lang w:val="de-DE"/>
        </w:rPr>
        <w:t>Belgischen Staatsblatt</w:t>
      </w:r>
      <w:r w:rsidRPr="004676F5">
        <w:rPr>
          <w:lang w:val="de-DE"/>
        </w:rPr>
        <w:t xml:space="preserve"> veröffentlicht werden muss, wird die Änderung auf Antrag des Verwaltungsdienstes in den Anlagen zum </w:t>
      </w:r>
      <w:r w:rsidRPr="004676F5">
        <w:rPr>
          <w:i/>
          <w:iCs/>
          <w:lang w:val="de-DE"/>
        </w:rPr>
        <w:t>Belgischen Staatsblatt</w:t>
      </w:r>
      <w:r w:rsidRPr="004676F5">
        <w:rPr>
          <w:lang w:val="de-DE"/>
        </w:rPr>
        <w:t xml:space="preserve"> veröffentlicht. Diese Veröffentlichung erfolgt ohne Kosten für den Verwaltungsdienst und macht die Adressenänderung gegenüber Dritten wirksam.]</w:t>
      </w:r>
    </w:p>
    <w:p w14:paraId="1EA1C788" w14:textId="3F707F21" w:rsidR="00DD6973" w:rsidRPr="004676F5" w:rsidRDefault="00DD6973" w:rsidP="00DD6973">
      <w:pPr>
        <w:ind w:firstLine="708"/>
        <w:jc w:val="both"/>
        <w:rPr>
          <w:lang w:val="de-DE"/>
        </w:rPr>
      </w:pPr>
    </w:p>
    <w:p w14:paraId="59C9DCD8" w14:textId="1AD76377" w:rsidR="00DD6973" w:rsidRPr="004676F5" w:rsidRDefault="00DD6973" w:rsidP="00DD6973">
      <w:pPr>
        <w:jc w:val="both"/>
        <w:rPr>
          <w:i/>
          <w:iCs/>
          <w:lang w:val="de-DE"/>
        </w:rPr>
      </w:pPr>
      <w:r w:rsidRPr="004676F5">
        <w:rPr>
          <w:i/>
          <w:iCs/>
          <w:lang w:val="de-DE"/>
        </w:rPr>
        <w:t>[Art. III.42/1 eingefügt durch Art. 4</w:t>
      </w:r>
      <w:r w:rsidRPr="004676F5">
        <w:rPr>
          <w:i/>
          <w:lang w:val="de-DE"/>
        </w:rPr>
        <w:t xml:space="preserve"> des G. vom 30. Juli 2018 (II) (B.S. vom 5. September 2018)]</w:t>
      </w:r>
    </w:p>
    <w:p w14:paraId="6BB4530B" w14:textId="540F99C8" w:rsidR="008E7E02" w:rsidRPr="004676F5" w:rsidRDefault="008E7E02" w:rsidP="00DD6973">
      <w:pPr>
        <w:jc w:val="both"/>
        <w:rPr>
          <w:lang w:val="de-DE"/>
        </w:rPr>
      </w:pPr>
    </w:p>
    <w:p w14:paraId="758B676B" w14:textId="77777777" w:rsidR="00DD6973" w:rsidRPr="004676F5" w:rsidRDefault="00DD6973" w:rsidP="00DD6973">
      <w:pPr>
        <w:jc w:val="both"/>
        <w:rPr>
          <w:lang w:val="de-DE"/>
        </w:rPr>
      </w:pPr>
    </w:p>
    <w:p w14:paraId="7FE2CD92" w14:textId="6A70A9A8" w:rsidR="00F6427E" w:rsidRPr="004676F5" w:rsidRDefault="00F6427E" w:rsidP="00F6427E">
      <w:pPr>
        <w:jc w:val="center"/>
        <w:rPr>
          <w:lang w:val="de-DE"/>
        </w:rPr>
      </w:pPr>
      <w:r w:rsidRPr="004676F5">
        <w:rPr>
          <w:i/>
          <w:lang w:val="de-DE"/>
        </w:rPr>
        <w:lastRenderedPageBreak/>
        <w:t>Abschnitt 7</w:t>
      </w:r>
      <w:r w:rsidRPr="004676F5">
        <w:rPr>
          <w:lang w:val="de-DE"/>
        </w:rPr>
        <w:t> </w:t>
      </w:r>
      <w:r w:rsidR="005B7A5C" w:rsidRPr="004676F5">
        <w:rPr>
          <w:lang w:val="de-DE"/>
        </w:rPr>
        <w:t>- </w:t>
      </w:r>
      <w:r w:rsidRPr="004676F5">
        <w:rPr>
          <w:lang w:val="de-DE"/>
        </w:rPr>
        <w:t>Sonderbestimmungen in Bezug auf die Arbeitsweise der Zentralen Datenbank der Unternehmen</w:t>
      </w:r>
    </w:p>
    <w:p w14:paraId="3AF54E8E" w14:textId="77777777" w:rsidR="00F6427E" w:rsidRPr="004676F5" w:rsidRDefault="00F6427E" w:rsidP="00F6427E">
      <w:pPr>
        <w:jc w:val="both"/>
        <w:rPr>
          <w:lang w:val="de-DE"/>
        </w:rPr>
      </w:pPr>
    </w:p>
    <w:p w14:paraId="6FD36271" w14:textId="77777777" w:rsidR="008E7E02" w:rsidRPr="004676F5" w:rsidRDefault="008E7E02" w:rsidP="00F6427E">
      <w:pPr>
        <w:jc w:val="both"/>
        <w:rPr>
          <w:lang w:val="de-DE"/>
        </w:rPr>
      </w:pPr>
    </w:p>
    <w:p w14:paraId="1B74867C" w14:textId="1A52A790"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III.43</w:t>
      </w:r>
      <w:r w:rsidRPr="004676F5">
        <w:rPr>
          <w:lang w:val="de-DE"/>
        </w:rPr>
        <w:t> </w:t>
      </w:r>
      <w:r w:rsidR="005B7A5C" w:rsidRPr="004676F5">
        <w:rPr>
          <w:lang w:val="de-DE"/>
        </w:rPr>
        <w:t>- </w:t>
      </w:r>
      <w:r w:rsidRPr="004676F5">
        <w:rPr>
          <w:lang w:val="de-DE"/>
        </w:rPr>
        <w:t>Beim Föderalen Öffentlichen Dienst Wirtschaft, KMB, Mittelstand und Energie wird ein strategischer Ausschuss der Zentralen Datenbank der Unternehmen geschaffen.</w:t>
      </w:r>
    </w:p>
    <w:p w14:paraId="6057F938" w14:textId="77777777" w:rsidR="00F6427E" w:rsidRPr="004676F5" w:rsidRDefault="00F6427E" w:rsidP="00F6427E">
      <w:pPr>
        <w:jc w:val="both"/>
        <w:rPr>
          <w:lang w:val="de-DE"/>
        </w:rPr>
      </w:pPr>
    </w:p>
    <w:p w14:paraId="2A00BFB3" w14:textId="77777777" w:rsidR="00F6427E" w:rsidRPr="004676F5" w:rsidRDefault="00F6427E" w:rsidP="00F6427E">
      <w:pPr>
        <w:jc w:val="both"/>
        <w:rPr>
          <w:lang w:val="de-DE"/>
        </w:rPr>
      </w:pPr>
      <w:r w:rsidRPr="004676F5">
        <w:rPr>
          <w:lang w:val="de-DE"/>
        </w:rPr>
        <w:tab/>
        <w:t>Durch einen im Ministerrat beratenen Erlass bestimmt der König seine Aufgaben, seine Zusammensetzung und seine Arbeitsweise.</w:t>
      </w:r>
    </w:p>
    <w:p w14:paraId="79C6EE25" w14:textId="77777777" w:rsidR="00F6427E" w:rsidRPr="004676F5" w:rsidRDefault="00F6427E" w:rsidP="00F6427E">
      <w:pPr>
        <w:jc w:val="both"/>
        <w:rPr>
          <w:lang w:val="de-DE"/>
        </w:rPr>
      </w:pPr>
    </w:p>
    <w:p w14:paraId="5FAB0384" w14:textId="77777777" w:rsidR="008E7E02" w:rsidRPr="004676F5" w:rsidRDefault="008E7E02" w:rsidP="00F6427E">
      <w:pPr>
        <w:jc w:val="both"/>
        <w:rPr>
          <w:lang w:val="de-DE"/>
        </w:rPr>
      </w:pPr>
    </w:p>
    <w:p w14:paraId="0FCD6E39" w14:textId="328D5EDD" w:rsidR="00F6427E" w:rsidRPr="004676F5" w:rsidRDefault="00F6427E" w:rsidP="000D669D">
      <w:pPr>
        <w:jc w:val="both"/>
        <w:rPr>
          <w:lang w:val="de-DE"/>
        </w:rPr>
      </w:pPr>
      <w:r w:rsidRPr="004676F5">
        <w:rPr>
          <w:lang w:val="de-DE"/>
        </w:rPr>
        <w:tab/>
      </w:r>
      <w:r w:rsidR="00BE0A56" w:rsidRPr="004676F5">
        <w:rPr>
          <w:b/>
          <w:lang w:val="de-DE"/>
        </w:rPr>
        <w:t>Art. </w:t>
      </w:r>
      <w:r w:rsidRPr="004676F5">
        <w:rPr>
          <w:b/>
          <w:lang w:val="de-DE"/>
        </w:rPr>
        <w:t>III.44</w:t>
      </w:r>
      <w:r w:rsidRPr="004676F5">
        <w:rPr>
          <w:lang w:val="de-DE"/>
        </w:rPr>
        <w:t> </w:t>
      </w:r>
      <w:r w:rsidR="005B7A5C" w:rsidRPr="004676F5">
        <w:rPr>
          <w:lang w:val="de-DE"/>
        </w:rPr>
        <w:t>- </w:t>
      </w:r>
      <w:r w:rsidR="000D669D" w:rsidRPr="004676F5">
        <w:rPr>
          <w:lang w:val="de-DE"/>
        </w:rPr>
        <w:t>[...]</w:t>
      </w:r>
    </w:p>
    <w:p w14:paraId="7CEE5AD5" w14:textId="77777777" w:rsidR="000D669D" w:rsidRPr="004676F5" w:rsidRDefault="000D669D" w:rsidP="000D669D">
      <w:pPr>
        <w:jc w:val="both"/>
        <w:rPr>
          <w:lang w:val="de-DE"/>
        </w:rPr>
      </w:pPr>
    </w:p>
    <w:p w14:paraId="5846CD65" w14:textId="51CC336E" w:rsidR="000D669D" w:rsidRPr="004676F5" w:rsidRDefault="000D669D" w:rsidP="000D669D">
      <w:pPr>
        <w:jc w:val="both"/>
        <w:rPr>
          <w:i/>
          <w:iCs/>
          <w:lang w:val="de-DE"/>
        </w:rPr>
      </w:pPr>
      <w:r w:rsidRPr="004676F5">
        <w:rPr>
          <w:i/>
          <w:iCs/>
          <w:lang w:val="de-DE"/>
        </w:rPr>
        <w:t>[Art. III.44 aufgehoben durch Art. 13 des G. vom 9. Februar 2024 (B.S. vom 21. März 2024)]</w:t>
      </w:r>
    </w:p>
    <w:p w14:paraId="570A4D82" w14:textId="77777777" w:rsidR="00F6427E" w:rsidRPr="004676F5" w:rsidRDefault="00F6427E" w:rsidP="00F6427E">
      <w:pPr>
        <w:jc w:val="both"/>
        <w:rPr>
          <w:lang w:val="de-DE"/>
        </w:rPr>
      </w:pPr>
    </w:p>
    <w:p w14:paraId="414C5509" w14:textId="77777777" w:rsidR="008E7E02" w:rsidRPr="004676F5" w:rsidRDefault="008E7E02" w:rsidP="00F6427E">
      <w:pPr>
        <w:jc w:val="both"/>
        <w:rPr>
          <w:lang w:val="de-DE"/>
        </w:rPr>
      </w:pPr>
    </w:p>
    <w:p w14:paraId="286707D2" w14:textId="18C50C05"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III.45</w:t>
      </w:r>
      <w:r w:rsidRPr="004676F5">
        <w:rPr>
          <w:lang w:val="de-DE"/>
        </w:rPr>
        <w:t> </w:t>
      </w:r>
      <w:r w:rsidR="005B7A5C" w:rsidRPr="004676F5">
        <w:rPr>
          <w:lang w:val="de-DE"/>
        </w:rPr>
        <w:t>- </w:t>
      </w:r>
      <w:r w:rsidRPr="004676F5">
        <w:rPr>
          <w:lang w:val="de-DE"/>
        </w:rPr>
        <w:t>Personen, die bei der Ausübung ihres Amtes an der Registrierung, Aufbewahrung, Auswertung und Übermittlung der in Artikel III.18 erwähnten Daten beteiligt sind, sind an das Berufsgeheimnis gebunden.</w:t>
      </w:r>
    </w:p>
    <w:p w14:paraId="13A3DD0E" w14:textId="77777777" w:rsidR="00F6427E" w:rsidRPr="004676F5" w:rsidRDefault="00F6427E" w:rsidP="00F6427E">
      <w:pPr>
        <w:jc w:val="both"/>
        <w:rPr>
          <w:lang w:val="de-DE"/>
        </w:rPr>
      </w:pPr>
    </w:p>
    <w:p w14:paraId="10642CCB" w14:textId="77777777" w:rsidR="00F6427E" w:rsidRPr="004676F5" w:rsidRDefault="00F6427E" w:rsidP="00F6427E">
      <w:pPr>
        <w:jc w:val="both"/>
        <w:rPr>
          <w:lang w:val="de-DE"/>
        </w:rPr>
      </w:pPr>
      <w:r w:rsidRPr="004676F5">
        <w:rPr>
          <w:lang w:val="de-DE"/>
        </w:rPr>
        <w:tab/>
        <w:t>Sie treffen alle notwendigen Vorsichtsmaßnahmen, um die Sicherung der registrierten Informationen zu gewährleisten und insbesondere um deren Entstellung, Beschädigung oder Mitteilung an Personen, die nicht zu deren Kenntnisnahme ermächtigt worden sind, zu verhindern.</w:t>
      </w:r>
    </w:p>
    <w:p w14:paraId="6E171EE4" w14:textId="77777777" w:rsidR="00F6427E" w:rsidRPr="004676F5" w:rsidRDefault="00F6427E" w:rsidP="00F6427E">
      <w:pPr>
        <w:jc w:val="both"/>
        <w:rPr>
          <w:lang w:val="de-DE"/>
        </w:rPr>
      </w:pPr>
    </w:p>
    <w:p w14:paraId="0809050C" w14:textId="77777777" w:rsidR="00F6427E" w:rsidRPr="004676F5" w:rsidRDefault="00F6427E" w:rsidP="00F6427E">
      <w:pPr>
        <w:jc w:val="both"/>
        <w:rPr>
          <w:lang w:val="de-DE"/>
        </w:rPr>
      </w:pPr>
      <w:r w:rsidRPr="004676F5">
        <w:rPr>
          <w:lang w:val="de-DE"/>
        </w:rPr>
        <w:tab/>
        <w:t>Sie achten auf die Rechtmäßigkeit der Informationsübermittlung.</w:t>
      </w:r>
    </w:p>
    <w:p w14:paraId="5D134658" w14:textId="77777777" w:rsidR="00F6427E" w:rsidRPr="004676F5" w:rsidRDefault="00F6427E" w:rsidP="00F6427E">
      <w:pPr>
        <w:jc w:val="both"/>
        <w:rPr>
          <w:lang w:val="de-DE"/>
        </w:rPr>
      </w:pPr>
    </w:p>
    <w:p w14:paraId="477E8585" w14:textId="77777777" w:rsidR="008E7E02" w:rsidRPr="004676F5" w:rsidRDefault="008E7E02" w:rsidP="00F6427E">
      <w:pPr>
        <w:jc w:val="both"/>
        <w:rPr>
          <w:lang w:val="de-DE"/>
        </w:rPr>
      </w:pPr>
    </w:p>
    <w:p w14:paraId="5BD51A34" w14:textId="4EC7801B"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III.46</w:t>
      </w:r>
      <w:r w:rsidRPr="004676F5">
        <w:rPr>
          <w:lang w:val="de-DE"/>
        </w:rPr>
        <w:t> </w:t>
      </w:r>
      <w:r w:rsidR="005B7A5C" w:rsidRPr="004676F5">
        <w:rPr>
          <w:lang w:val="de-DE"/>
        </w:rPr>
        <w:t>- </w:t>
      </w:r>
      <w:r w:rsidRPr="004676F5">
        <w:rPr>
          <w:lang w:val="de-DE"/>
        </w:rPr>
        <w:t>Der König bestimmt durch einen im Ministerrat beratenen Erlass die Personen, die in Kriegszeiten oder in Zeiten, die gemäß Artikel 7 des Gesetzes vom 12. Mai 1927 über die militärischen Requirierungen damit gleichgesetzt sind, und während der Besetzung des belgischen Staatsgebiets durch den Feind mit der Zerstörung der Datenbanken der Zentralen Datenbank der Unternehmen beauftragt sind.</w:t>
      </w:r>
    </w:p>
    <w:p w14:paraId="195B2365" w14:textId="77777777" w:rsidR="00F6427E" w:rsidRPr="004676F5" w:rsidRDefault="00F6427E" w:rsidP="00F6427E">
      <w:pPr>
        <w:jc w:val="both"/>
        <w:rPr>
          <w:lang w:val="de-DE"/>
        </w:rPr>
      </w:pPr>
    </w:p>
    <w:p w14:paraId="58699FC0" w14:textId="77777777" w:rsidR="00F6427E" w:rsidRPr="004676F5" w:rsidRDefault="00F6427E" w:rsidP="00F6427E">
      <w:pPr>
        <w:jc w:val="both"/>
        <w:rPr>
          <w:lang w:val="de-DE"/>
        </w:rPr>
      </w:pPr>
      <w:r w:rsidRPr="004676F5">
        <w:rPr>
          <w:lang w:val="de-DE"/>
        </w:rPr>
        <w:tab/>
        <w:t>Der König legt Bedingungen und Modalitäten für diese Zerstörung fest.</w:t>
      </w:r>
    </w:p>
    <w:p w14:paraId="67225C38" w14:textId="77777777" w:rsidR="00F6427E" w:rsidRPr="004676F5" w:rsidRDefault="00F6427E" w:rsidP="00F6427E">
      <w:pPr>
        <w:jc w:val="both"/>
        <w:rPr>
          <w:lang w:val="de-DE"/>
        </w:rPr>
      </w:pPr>
    </w:p>
    <w:p w14:paraId="2C38B786" w14:textId="77777777" w:rsidR="008E7E02" w:rsidRPr="004676F5" w:rsidRDefault="008E7E02" w:rsidP="00F6427E">
      <w:pPr>
        <w:jc w:val="both"/>
        <w:rPr>
          <w:lang w:val="de-DE"/>
        </w:rPr>
      </w:pPr>
    </w:p>
    <w:p w14:paraId="16E547BB" w14:textId="193342E8"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III.47</w:t>
      </w:r>
      <w:r w:rsidRPr="004676F5">
        <w:rPr>
          <w:lang w:val="de-DE"/>
        </w:rPr>
        <w:t> </w:t>
      </w:r>
      <w:r w:rsidR="005B7A5C" w:rsidRPr="004676F5">
        <w:rPr>
          <w:lang w:val="de-DE"/>
        </w:rPr>
        <w:t>- </w:t>
      </w:r>
      <w:r w:rsidRPr="004676F5">
        <w:rPr>
          <w:lang w:val="de-DE"/>
        </w:rPr>
        <w:t>Die Kosten für Arbeit und Benutzung der Zentralen Datenbank der Unternehmen werden durch einen Haushaltsmittelbetrag getragen, der im Haushalt des Föderalen Öffentlichen Dienstes Wirtschaft, KMB, Mittelstand und Energie eingetragen ist.</w:t>
      </w:r>
    </w:p>
    <w:p w14:paraId="74FD7F50" w14:textId="77777777" w:rsidR="00F6427E" w:rsidRPr="004676F5" w:rsidRDefault="00F6427E" w:rsidP="00F6427E">
      <w:pPr>
        <w:jc w:val="both"/>
        <w:rPr>
          <w:lang w:val="de-DE"/>
        </w:rPr>
      </w:pPr>
    </w:p>
    <w:p w14:paraId="3C0A0A9C" w14:textId="77777777" w:rsidR="00F6427E" w:rsidRPr="004676F5" w:rsidRDefault="00F6427E" w:rsidP="00F6427E">
      <w:pPr>
        <w:jc w:val="both"/>
        <w:rPr>
          <w:lang w:val="de-DE"/>
        </w:rPr>
      </w:pPr>
      <w:r w:rsidRPr="004676F5">
        <w:rPr>
          <w:lang w:val="de-DE"/>
        </w:rPr>
        <w:tab/>
        <w:t>Der König kann eine Vergütung für die Benutzung der Zentralen Datenbank der Unternehmen durch Dienste, die keine Aufträge für die Föderalbehörde ausführen, festlegen. Gegebenenfalls legt Er für Kategorien von Benutzern und je nach Gegenstand des Antrags die Höhe der Vergütung fest.</w:t>
      </w:r>
    </w:p>
    <w:p w14:paraId="6845E7E6" w14:textId="77777777" w:rsidR="00F6427E" w:rsidRPr="004676F5" w:rsidRDefault="00F6427E" w:rsidP="00F6427E">
      <w:pPr>
        <w:jc w:val="both"/>
        <w:rPr>
          <w:lang w:val="de-DE"/>
        </w:rPr>
      </w:pPr>
    </w:p>
    <w:p w14:paraId="5CDE4B9A" w14:textId="77777777" w:rsidR="00F6427E" w:rsidRPr="004676F5" w:rsidRDefault="00F6427E" w:rsidP="00F6427E">
      <w:pPr>
        <w:jc w:val="both"/>
        <w:rPr>
          <w:lang w:val="de-DE"/>
        </w:rPr>
      </w:pPr>
      <w:r w:rsidRPr="004676F5">
        <w:rPr>
          <w:lang w:val="de-DE"/>
        </w:rPr>
        <w:tab/>
        <w:t xml:space="preserve">Außer in dem in Absatz 1 erwähnten Fall kann die spezifische Verarbeitung von Daten der Zentralen Datenbank der Unternehmen zur Erhebung einer Vergütung führen. Der Betrag dieser Vergütung wird in gegenseitigem Einvernehmen zwischen dem Verwaltungsdienst und </w:t>
      </w:r>
      <w:r w:rsidRPr="004676F5">
        <w:rPr>
          <w:lang w:val="de-DE"/>
        </w:rPr>
        <w:lastRenderedPageBreak/>
        <w:t>der Behörde, der Verwaltung oder dem Dienst, denen die Daten übermittelt werden, in einem Vertrag festgelegt.</w:t>
      </w:r>
    </w:p>
    <w:p w14:paraId="5707461C" w14:textId="77777777" w:rsidR="00F6427E" w:rsidRPr="004676F5" w:rsidRDefault="00F6427E" w:rsidP="00F6427E">
      <w:pPr>
        <w:jc w:val="both"/>
        <w:rPr>
          <w:lang w:val="de-DE"/>
        </w:rPr>
      </w:pPr>
    </w:p>
    <w:p w14:paraId="4D1980FB" w14:textId="77777777" w:rsidR="008E7E02" w:rsidRPr="004676F5" w:rsidRDefault="008E7E02" w:rsidP="00F6427E">
      <w:pPr>
        <w:jc w:val="both"/>
        <w:rPr>
          <w:lang w:val="de-DE"/>
        </w:rPr>
      </w:pPr>
    </w:p>
    <w:p w14:paraId="6675EABB" w14:textId="680A9A20" w:rsidR="00F6427E" w:rsidRPr="004676F5" w:rsidRDefault="00F6427E" w:rsidP="00B570D5">
      <w:pPr>
        <w:jc w:val="both"/>
        <w:rPr>
          <w:lang w:val="de-DE"/>
        </w:rPr>
      </w:pPr>
      <w:r w:rsidRPr="004676F5">
        <w:rPr>
          <w:lang w:val="de-DE"/>
        </w:rPr>
        <w:tab/>
      </w:r>
      <w:r w:rsidR="00BE0A56" w:rsidRPr="004676F5">
        <w:rPr>
          <w:b/>
          <w:lang w:val="de-DE"/>
        </w:rPr>
        <w:t>Art. </w:t>
      </w:r>
      <w:r w:rsidRPr="004676F5">
        <w:rPr>
          <w:b/>
          <w:lang w:val="de-DE"/>
        </w:rPr>
        <w:t>III.48</w:t>
      </w:r>
      <w:r w:rsidRPr="004676F5">
        <w:rPr>
          <w:lang w:val="de-DE"/>
        </w:rPr>
        <w:t> </w:t>
      </w:r>
      <w:r w:rsidR="005B7A5C" w:rsidRPr="004676F5">
        <w:rPr>
          <w:lang w:val="de-DE"/>
        </w:rPr>
        <w:t>- </w:t>
      </w:r>
      <w:r w:rsidR="00B570D5" w:rsidRPr="004676F5">
        <w:rPr>
          <w:lang w:val="de-DE"/>
        </w:rPr>
        <w:t>[...]</w:t>
      </w:r>
    </w:p>
    <w:p w14:paraId="54BB080F" w14:textId="77777777" w:rsidR="00B570D5" w:rsidRPr="004676F5" w:rsidRDefault="00B570D5" w:rsidP="00B570D5">
      <w:pPr>
        <w:jc w:val="both"/>
        <w:rPr>
          <w:lang w:val="de-DE"/>
        </w:rPr>
      </w:pPr>
    </w:p>
    <w:p w14:paraId="26311885" w14:textId="7E436DB5" w:rsidR="00B570D5" w:rsidRPr="004676F5" w:rsidRDefault="00B570D5" w:rsidP="00B570D5">
      <w:pPr>
        <w:jc w:val="both"/>
        <w:rPr>
          <w:i/>
          <w:lang w:val="de-DE"/>
        </w:rPr>
      </w:pPr>
      <w:r w:rsidRPr="004676F5">
        <w:rPr>
          <w:i/>
          <w:lang w:val="de-DE"/>
        </w:rPr>
        <w:t>[</w:t>
      </w:r>
      <w:r w:rsidR="00BE0A56" w:rsidRPr="004676F5">
        <w:rPr>
          <w:i/>
          <w:lang w:val="de-DE"/>
        </w:rPr>
        <w:t>Art. </w:t>
      </w:r>
      <w:r w:rsidRPr="004676F5">
        <w:rPr>
          <w:i/>
          <w:lang w:val="de-DE"/>
        </w:rPr>
        <w:t xml:space="preserve">III.48 aufgehoben durch </w:t>
      </w:r>
      <w:r w:rsidR="00BE0A56" w:rsidRPr="004676F5">
        <w:rPr>
          <w:i/>
          <w:lang w:val="de-DE"/>
        </w:rPr>
        <w:t>Art. </w:t>
      </w:r>
      <w:r w:rsidRPr="004676F5">
        <w:rPr>
          <w:i/>
          <w:lang w:val="de-DE"/>
        </w:rPr>
        <w:t>54 des G. (I) vom 26. Dezember 2015 (B.S. vom 30. Dezember 2015)]</w:t>
      </w:r>
    </w:p>
    <w:p w14:paraId="44865D77" w14:textId="77777777" w:rsidR="008E7E02" w:rsidRPr="004676F5" w:rsidRDefault="008E7E02">
      <w:pPr>
        <w:rPr>
          <w:lang w:val="de-DE"/>
        </w:rPr>
      </w:pPr>
      <w:r w:rsidRPr="004676F5">
        <w:rPr>
          <w:lang w:val="de-DE"/>
        </w:rPr>
        <w:br w:type="page"/>
      </w:r>
    </w:p>
    <w:p w14:paraId="71BC6C14" w14:textId="7E06C87A" w:rsidR="00F6427E" w:rsidRPr="004676F5" w:rsidRDefault="00F6427E" w:rsidP="00F6427E">
      <w:pPr>
        <w:jc w:val="center"/>
        <w:rPr>
          <w:lang w:val="de-DE"/>
        </w:rPr>
      </w:pPr>
      <w:r w:rsidRPr="004676F5">
        <w:rPr>
          <w:lang w:val="de-DE"/>
        </w:rPr>
        <w:lastRenderedPageBreak/>
        <w:t>KAPITEL 2 </w:t>
      </w:r>
      <w:r w:rsidR="005B7A5C" w:rsidRPr="004676F5">
        <w:rPr>
          <w:lang w:val="de-DE"/>
        </w:rPr>
        <w:t>- </w:t>
      </w:r>
      <w:r w:rsidR="00D77A0A" w:rsidRPr="004676F5">
        <w:rPr>
          <w:lang w:val="de-DE"/>
        </w:rPr>
        <w:t>[</w:t>
      </w:r>
      <w:r w:rsidRPr="004676F5">
        <w:rPr>
          <w:i/>
          <w:lang w:val="de-DE"/>
        </w:rPr>
        <w:t>Eintragung</w:t>
      </w:r>
      <w:r w:rsidR="00D77A0A" w:rsidRPr="004676F5">
        <w:rPr>
          <w:i/>
          <w:lang w:val="de-DE"/>
        </w:rPr>
        <w:t>spflichtige U</w:t>
      </w:r>
      <w:r w:rsidRPr="004676F5">
        <w:rPr>
          <w:i/>
          <w:lang w:val="de-DE"/>
        </w:rPr>
        <w:t>nternehmen</w:t>
      </w:r>
      <w:r w:rsidR="00D77A0A" w:rsidRPr="004676F5">
        <w:rPr>
          <w:lang w:val="de-DE"/>
        </w:rPr>
        <w:t>]</w:t>
      </w:r>
    </w:p>
    <w:p w14:paraId="648B30E7" w14:textId="49A4623A" w:rsidR="00F6427E" w:rsidRPr="004676F5" w:rsidRDefault="00F6427E" w:rsidP="00F6427E">
      <w:pPr>
        <w:jc w:val="center"/>
        <w:rPr>
          <w:lang w:val="de-DE"/>
        </w:rPr>
      </w:pPr>
    </w:p>
    <w:p w14:paraId="42591BD8" w14:textId="4D0C3AE5" w:rsidR="00D77A0A" w:rsidRPr="004676F5" w:rsidRDefault="00D77A0A" w:rsidP="00D77A0A">
      <w:pPr>
        <w:jc w:val="both"/>
        <w:rPr>
          <w:i/>
          <w:iCs/>
          <w:lang w:val="de-DE"/>
        </w:rPr>
      </w:pPr>
      <w:r w:rsidRPr="004676F5">
        <w:rPr>
          <w:i/>
          <w:lang w:val="de-DE"/>
        </w:rPr>
        <w:t>[Über</w:t>
      </w:r>
      <w:r w:rsidR="00860B33" w:rsidRPr="004676F5">
        <w:rPr>
          <w:i/>
          <w:lang w:val="de-DE"/>
        </w:rPr>
        <w:t>s</w:t>
      </w:r>
      <w:r w:rsidRPr="004676F5">
        <w:rPr>
          <w:i/>
          <w:lang w:val="de-DE"/>
        </w:rPr>
        <w:t>chrift von Kapitel 2 ersetzt durch Art. 69</w:t>
      </w:r>
      <w:r w:rsidRPr="004676F5">
        <w:rPr>
          <w:i/>
          <w:iCs/>
          <w:lang w:val="de-DE"/>
        </w:rPr>
        <w:t xml:space="preserve"> des G. vom 15. April 2018 (B.S. vom 27. April 2018)]</w:t>
      </w:r>
    </w:p>
    <w:p w14:paraId="204DA74D" w14:textId="77777777" w:rsidR="004B23A4" w:rsidRPr="004676F5" w:rsidRDefault="004B23A4" w:rsidP="00D77A0A">
      <w:pPr>
        <w:jc w:val="both"/>
        <w:rPr>
          <w:i/>
          <w:lang w:val="de-DE"/>
        </w:rPr>
      </w:pPr>
    </w:p>
    <w:p w14:paraId="4ADFEEA6" w14:textId="77777777" w:rsidR="008E7E02" w:rsidRPr="004676F5" w:rsidRDefault="008E7E02" w:rsidP="00F6427E">
      <w:pPr>
        <w:jc w:val="center"/>
        <w:rPr>
          <w:lang w:val="de-DE"/>
        </w:rPr>
      </w:pPr>
    </w:p>
    <w:p w14:paraId="0BD34341" w14:textId="48DE02C5" w:rsidR="00F6427E" w:rsidRPr="004676F5" w:rsidRDefault="00F6427E" w:rsidP="00F6427E">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Eintragungspflicht</w:t>
      </w:r>
    </w:p>
    <w:p w14:paraId="42C7CC23" w14:textId="77777777" w:rsidR="00F6427E" w:rsidRPr="004676F5" w:rsidRDefault="00F6427E" w:rsidP="00F6427E">
      <w:pPr>
        <w:jc w:val="both"/>
        <w:rPr>
          <w:lang w:val="de-DE"/>
        </w:rPr>
      </w:pPr>
    </w:p>
    <w:p w14:paraId="05EF250C" w14:textId="77777777" w:rsidR="008E7E02" w:rsidRPr="004676F5" w:rsidRDefault="008E7E02" w:rsidP="00F6427E">
      <w:pPr>
        <w:jc w:val="both"/>
        <w:rPr>
          <w:lang w:val="de-DE"/>
        </w:rPr>
      </w:pPr>
    </w:p>
    <w:p w14:paraId="2AA3AEED" w14:textId="256C8587" w:rsidR="00D77A0A" w:rsidRPr="004676F5" w:rsidRDefault="00BE0A56" w:rsidP="000D669D">
      <w:pPr>
        <w:ind w:firstLine="708"/>
        <w:jc w:val="both"/>
        <w:rPr>
          <w:lang w:val="de-DE"/>
        </w:rPr>
      </w:pPr>
      <w:r w:rsidRPr="004676F5">
        <w:rPr>
          <w:b/>
          <w:lang w:val="de-DE"/>
        </w:rPr>
        <w:t>Art. </w:t>
      </w:r>
      <w:r w:rsidR="00F6427E" w:rsidRPr="004676F5">
        <w:rPr>
          <w:b/>
          <w:lang w:val="de-DE"/>
        </w:rPr>
        <w:t>III.49</w:t>
      </w:r>
      <w:r w:rsidR="00F6427E" w:rsidRPr="004676F5">
        <w:rPr>
          <w:lang w:val="de-DE"/>
        </w:rPr>
        <w:t> </w:t>
      </w:r>
      <w:r w:rsidR="005B7A5C" w:rsidRPr="004676F5">
        <w:rPr>
          <w:lang w:val="de-DE"/>
        </w:rPr>
        <w:t>- </w:t>
      </w:r>
      <w:r w:rsidR="00D77A0A" w:rsidRPr="004676F5">
        <w:rPr>
          <w:lang w:val="de-DE"/>
        </w:rPr>
        <w:t>[§ 1 </w:t>
      </w:r>
      <w:r w:rsidR="005B7A5C" w:rsidRPr="004676F5">
        <w:rPr>
          <w:lang w:val="de-DE"/>
        </w:rPr>
        <w:t>- </w:t>
      </w:r>
      <w:r w:rsidR="000D669D" w:rsidRPr="004676F5">
        <w:rPr>
          <w:lang w:val="de-DE"/>
        </w:rPr>
        <w:t>[Unternehmen sind verpflichtet, sich vor Aufnahme ihrer Tätigkeiten in ihrer Eigenschaft als eintragungspflichtiges Unternehmen bei einem Unternehmensschalter ihrer Wahl in die Zentrale Datenbank der Unternehmen eintragen zu lassen. Diese Eintragung muss vorgenommen werden, sofern die Tätigkeiten innerhalb oder von einer Niederlassungseinheit aus ausgeübt werden.]</w:t>
      </w:r>
    </w:p>
    <w:p w14:paraId="647A9608" w14:textId="77777777" w:rsidR="00D77A0A" w:rsidRPr="004676F5" w:rsidRDefault="00D77A0A" w:rsidP="00D77A0A">
      <w:pPr>
        <w:ind w:firstLine="708"/>
        <w:jc w:val="both"/>
        <w:rPr>
          <w:lang w:val="de-DE"/>
        </w:rPr>
      </w:pPr>
    </w:p>
    <w:p w14:paraId="4DDAAC3D" w14:textId="0349AEDF" w:rsidR="00D77A0A" w:rsidRPr="004676F5" w:rsidRDefault="00D77A0A" w:rsidP="00D77A0A">
      <w:pPr>
        <w:ind w:firstLine="708"/>
        <w:jc w:val="both"/>
        <w:rPr>
          <w:lang w:val="de-DE"/>
        </w:rPr>
      </w:pPr>
      <w:r w:rsidRPr="004676F5">
        <w:rPr>
          <w:lang w:val="de-DE"/>
        </w:rPr>
        <w:t>§ 2 </w:t>
      </w:r>
      <w:r w:rsidR="005B7A5C" w:rsidRPr="004676F5">
        <w:rPr>
          <w:lang w:val="de-DE"/>
        </w:rPr>
        <w:t>- </w:t>
      </w:r>
      <w:r w:rsidRPr="004676F5">
        <w:rPr>
          <w:lang w:val="de-DE"/>
        </w:rPr>
        <w:t>In Abweichung von § 1 besteht keine Pflicht, sich als eintragungspflichtiges Unternehmen eintragen zu lassen, für:</w:t>
      </w:r>
    </w:p>
    <w:p w14:paraId="590E7940" w14:textId="77777777" w:rsidR="00D77A0A" w:rsidRPr="004676F5" w:rsidRDefault="00D77A0A" w:rsidP="00D77A0A">
      <w:pPr>
        <w:ind w:firstLine="708"/>
        <w:jc w:val="both"/>
        <w:rPr>
          <w:lang w:val="de-DE"/>
        </w:rPr>
      </w:pPr>
    </w:p>
    <w:p w14:paraId="1B4E64F8" w14:textId="49B686D4" w:rsidR="00D77A0A" w:rsidRPr="004676F5" w:rsidRDefault="00D77A0A" w:rsidP="00D77A0A">
      <w:pPr>
        <w:ind w:firstLine="708"/>
        <w:jc w:val="both"/>
        <w:rPr>
          <w:lang w:val="de-DE"/>
        </w:rPr>
      </w:pPr>
      <w:r w:rsidRPr="004676F5">
        <w:rPr>
          <w:lang w:val="de-DE"/>
        </w:rPr>
        <w:t>1. </w:t>
      </w:r>
      <w:r w:rsidR="000D669D" w:rsidRPr="004676F5">
        <w:rPr>
          <w:lang w:val="de-DE"/>
        </w:rPr>
        <w:t>[...]</w:t>
      </w:r>
    </w:p>
    <w:p w14:paraId="298433F8" w14:textId="77777777" w:rsidR="00D77A0A" w:rsidRPr="004676F5" w:rsidRDefault="00D77A0A" w:rsidP="00D77A0A">
      <w:pPr>
        <w:ind w:firstLine="708"/>
        <w:jc w:val="both"/>
        <w:rPr>
          <w:lang w:val="de-DE"/>
        </w:rPr>
      </w:pPr>
    </w:p>
    <w:p w14:paraId="4FCA7B92" w14:textId="77777777" w:rsidR="00D77A0A" w:rsidRPr="004676F5" w:rsidRDefault="00D77A0A" w:rsidP="00D77A0A">
      <w:pPr>
        <w:ind w:firstLine="708"/>
        <w:jc w:val="both"/>
        <w:rPr>
          <w:lang w:val="de-DE"/>
        </w:rPr>
      </w:pPr>
      <w:r w:rsidRPr="004676F5">
        <w:rPr>
          <w:lang w:val="de-DE"/>
        </w:rPr>
        <w:t>2. natürliche Personen, die allein in ihrer Eigenschaft als Arbeitgeber für Hauspersonal in der Zentralen Datenbank der Unternehmen eingetragen sind,</w:t>
      </w:r>
    </w:p>
    <w:p w14:paraId="25F37F03" w14:textId="77777777" w:rsidR="00D77A0A" w:rsidRPr="004676F5" w:rsidRDefault="00D77A0A" w:rsidP="00D77A0A">
      <w:pPr>
        <w:ind w:firstLine="708"/>
        <w:jc w:val="both"/>
        <w:rPr>
          <w:lang w:val="de-DE"/>
        </w:rPr>
      </w:pPr>
    </w:p>
    <w:p w14:paraId="095C49F2" w14:textId="77777777" w:rsidR="00D77A0A" w:rsidRPr="004676F5" w:rsidRDefault="00D77A0A" w:rsidP="00D77A0A">
      <w:pPr>
        <w:ind w:firstLine="708"/>
        <w:jc w:val="both"/>
        <w:rPr>
          <w:lang w:val="de-DE"/>
        </w:rPr>
      </w:pPr>
      <w:r w:rsidRPr="004676F5">
        <w:rPr>
          <w:lang w:val="de-DE"/>
        </w:rPr>
        <w:t>3. Berufsverbände,</w:t>
      </w:r>
    </w:p>
    <w:p w14:paraId="348D70B4" w14:textId="77777777" w:rsidR="00D77A0A" w:rsidRPr="004676F5" w:rsidRDefault="00D77A0A" w:rsidP="00D77A0A">
      <w:pPr>
        <w:ind w:firstLine="708"/>
        <w:jc w:val="both"/>
        <w:rPr>
          <w:lang w:val="de-DE"/>
        </w:rPr>
      </w:pPr>
    </w:p>
    <w:p w14:paraId="31296E2D" w14:textId="77777777" w:rsidR="00D77A0A" w:rsidRPr="004676F5" w:rsidRDefault="00D77A0A" w:rsidP="00D77A0A">
      <w:pPr>
        <w:ind w:firstLine="708"/>
        <w:jc w:val="both"/>
        <w:rPr>
          <w:lang w:val="de-DE"/>
        </w:rPr>
      </w:pPr>
      <w:r w:rsidRPr="004676F5">
        <w:rPr>
          <w:lang w:val="de-DE"/>
        </w:rPr>
        <w:t>4. Organisationsträger des subventionierten Unterrichtswesens,</w:t>
      </w:r>
    </w:p>
    <w:p w14:paraId="1D748473" w14:textId="77777777" w:rsidR="00D77A0A" w:rsidRPr="004676F5" w:rsidRDefault="00D77A0A" w:rsidP="00D77A0A">
      <w:pPr>
        <w:ind w:firstLine="708"/>
        <w:jc w:val="both"/>
        <w:rPr>
          <w:lang w:val="de-DE"/>
        </w:rPr>
      </w:pPr>
    </w:p>
    <w:p w14:paraId="1A09E9ED" w14:textId="77777777" w:rsidR="00D77A0A" w:rsidRPr="004676F5" w:rsidRDefault="00D77A0A" w:rsidP="00D77A0A">
      <w:pPr>
        <w:ind w:firstLine="708"/>
        <w:jc w:val="both"/>
        <w:rPr>
          <w:lang w:val="de-DE"/>
        </w:rPr>
      </w:pPr>
      <w:r w:rsidRPr="004676F5">
        <w:rPr>
          <w:lang w:val="de-DE"/>
        </w:rPr>
        <w:t>5. juristische Personen des öffentlichen Rechts, die nicht die Form einer Gesellschaft oder eine andere Form einer juristischen Person des Privatrechts angenommen haben,</w:t>
      </w:r>
    </w:p>
    <w:p w14:paraId="095FDAC7" w14:textId="77777777" w:rsidR="00D77A0A" w:rsidRPr="004676F5" w:rsidRDefault="00D77A0A" w:rsidP="00D77A0A">
      <w:pPr>
        <w:ind w:firstLine="708"/>
        <w:jc w:val="both"/>
        <w:rPr>
          <w:lang w:val="de-DE"/>
        </w:rPr>
      </w:pPr>
    </w:p>
    <w:p w14:paraId="3D58C82E" w14:textId="77777777" w:rsidR="00D77A0A" w:rsidRPr="004676F5" w:rsidRDefault="00D77A0A" w:rsidP="00D77A0A">
      <w:pPr>
        <w:ind w:firstLine="708"/>
        <w:jc w:val="both"/>
        <w:rPr>
          <w:lang w:val="de-DE"/>
        </w:rPr>
      </w:pPr>
      <w:r w:rsidRPr="004676F5">
        <w:rPr>
          <w:lang w:val="de-DE"/>
        </w:rPr>
        <w:t>6. natürliche Personen, deren berufliche Tätigkeit als Selbstständige in der Ausübung eines oder mehrerer Verwaltungsmandate besteht,</w:t>
      </w:r>
    </w:p>
    <w:p w14:paraId="120455EB" w14:textId="77777777" w:rsidR="00D77A0A" w:rsidRPr="004676F5" w:rsidRDefault="00D77A0A" w:rsidP="00D77A0A">
      <w:pPr>
        <w:ind w:firstLine="708"/>
        <w:jc w:val="both"/>
        <w:rPr>
          <w:lang w:val="de-DE"/>
        </w:rPr>
      </w:pPr>
    </w:p>
    <w:p w14:paraId="4B60DD9B" w14:textId="77777777" w:rsidR="00D77A0A" w:rsidRPr="004676F5" w:rsidRDefault="00D77A0A" w:rsidP="00D77A0A">
      <w:pPr>
        <w:ind w:firstLine="708"/>
        <w:jc w:val="both"/>
        <w:rPr>
          <w:lang w:val="de-DE"/>
        </w:rPr>
      </w:pPr>
      <w:r w:rsidRPr="004676F5">
        <w:rPr>
          <w:lang w:val="de-DE"/>
        </w:rPr>
        <w:t>7. Miteigentümervereinigungen,</w:t>
      </w:r>
    </w:p>
    <w:p w14:paraId="5E2256DA" w14:textId="77777777" w:rsidR="00D77A0A" w:rsidRPr="004676F5" w:rsidRDefault="00D77A0A" w:rsidP="00D77A0A">
      <w:pPr>
        <w:ind w:firstLine="708"/>
        <w:jc w:val="both"/>
        <w:rPr>
          <w:lang w:val="de-DE"/>
        </w:rPr>
      </w:pPr>
    </w:p>
    <w:p w14:paraId="666AD756" w14:textId="77777777" w:rsidR="00D77A0A" w:rsidRPr="004676F5" w:rsidRDefault="00D77A0A" w:rsidP="00D77A0A">
      <w:pPr>
        <w:ind w:firstLine="708"/>
        <w:jc w:val="both"/>
        <w:rPr>
          <w:lang w:val="de-DE"/>
        </w:rPr>
      </w:pPr>
      <w:r w:rsidRPr="004676F5">
        <w:rPr>
          <w:lang w:val="de-DE"/>
        </w:rPr>
        <w:t>8. repräsentative Arbeitnehmerorganisationen,</w:t>
      </w:r>
    </w:p>
    <w:p w14:paraId="2BD3FEE5" w14:textId="77777777" w:rsidR="00D77A0A" w:rsidRPr="004676F5" w:rsidRDefault="00D77A0A" w:rsidP="00D77A0A">
      <w:pPr>
        <w:ind w:firstLine="708"/>
        <w:jc w:val="both"/>
        <w:rPr>
          <w:lang w:val="de-DE"/>
        </w:rPr>
      </w:pPr>
    </w:p>
    <w:p w14:paraId="7EE66C4E" w14:textId="77777777" w:rsidR="00D77A0A" w:rsidRPr="004676F5" w:rsidRDefault="00D77A0A" w:rsidP="00D77A0A">
      <w:pPr>
        <w:ind w:firstLine="708"/>
        <w:jc w:val="both"/>
        <w:rPr>
          <w:lang w:val="de-DE"/>
        </w:rPr>
      </w:pPr>
      <w:r w:rsidRPr="004676F5">
        <w:rPr>
          <w:lang w:val="de-DE"/>
        </w:rPr>
        <w:t>9. natürliche Personen, die in Belgien eine Tätigkeit ausüben, die Einkünfte im Sinne von Artikel 90 Absatz 1 Nr. 1</w:t>
      </w:r>
      <w:r w:rsidRPr="004676F5">
        <w:rPr>
          <w:i/>
          <w:iCs/>
          <w:lang w:val="de-DE"/>
        </w:rPr>
        <w:t>bis</w:t>
      </w:r>
      <w:r w:rsidRPr="004676F5">
        <w:rPr>
          <w:lang w:val="de-DE"/>
        </w:rPr>
        <w:t xml:space="preserve"> des Einkommensteuergesetzbuches 1992 erzeugt, für die mit diesen Einkünften verbundene Tätigkeit, sofern diese Einkünfte die in Artikel 37</w:t>
      </w:r>
      <w:r w:rsidRPr="004676F5">
        <w:rPr>
          <w:i/>
          <w:iCs/>
          <w:lang w:val="de-DE"/>
        </w:rPr>
        <w:t>bis</w:t>
      </w:r>
      <w:r w:rsidRPr="004676F5">
        <w:rPr>
          <w:lang w:val="de-DE"/>
        </w:rPr>
        <w:t xml:space="preserve"> § 2 des Einkommensteuergesetzbuches 1992 erwähnten Bedingungen nicht erfüllen,</w:t>
      </w:r>
    </w:p>
    <w:p w14:paraId="68D5F9B9" w14:textId="77777777" w:rsidR="00D77A0A" w:rsidRPr="004676F5" w:rsidRDefault="00D77A0A" w:rsidP="00D77A0A">
      <w:pPr>
        <w:ind w:firstLine="708"/>
        <w:jc w:val="both"/>
        <w:rPr>
          <w:lang w:val="de-DE"/>
        </w:rPr>
      </w:pPr>
    </w:p>
    <w:p w14:paraId="73DA251E" w14:textId="77777777" w:rsidR="00D77A0A" w:rsidRPr="004676F5" w:rsidRDefault="00D77A0A" w:rsidP="00D77A0A">
      <w:pPr>
        <w:ind w:firstLine="708"/>
        <w:jc w:val="both"/>
        <w:rPr>
          <w:lang w:val="de-DE"/>
        </w:rPr>
      </w:pPr>
      <w:r w:rsidRPr="004676F5">
        <w:rPr>
          <w:lang w:val="de-DE"/>
        </w:rPr>
        <w:t>10. andere Unternehmen, die vom König bestimmt werden.</w:t>
      </w:r>
    </w:p>
    <w:p w14:paraId="12CED3DB" w14:textId="77777777" w:rsidR="00D77A0A" w:rsidRPr="004676F5" w:rsidRDefault="00D77A0A" w:rsidP="00D77A0A">
      <w:pPr>
        <w:ind w:firstLine="708"/>
        <w:jc w:val="both"/>
        <w:rPr>
          <w:lang w:val="de-DE"/>
        </w:rPr>
      </w:pPr>
    </w:p>
    <w:p w14:paraId="1C5A0ECB" w14:textId="1D5F6B36" w:rsidR="00F6427E" w:rsidRPr="004676F5" w:rsidRDefault="00D77A0A" w:rsidP="00D77A0A">
      <w:pPr>
        <w:jc w:val="both"/>
        <w:rPr>
          <w:lang w:val="de-DE"/>
        </w:rPr>
      </w:pPr>
      <w:r w:rsidRPr="004676F5">
        <w:rPr>
          <w:lang w:val="de-DE"/>
        </w:rPr>
        <w:tab/>
        <w:t>§ 3 </w:t>
      </w:r>
      <w:r w:rsidR="005B7A5C" w:rsidRPr="004676F5">
        <w:rPr>
          <w:lang w:val="de-DE"/>
        </w:rPr>
        <w:t>- </w:t>
      </w:r>
      <w:r w:rsidRPr="004676F5">
        <w:rPr>
          <w:lang w:val="de-DE"/>
        </w:rPr>
        <w:t>Die Eintragung in der Zentralen Datenbank der Unternehmen in der Eigenschaft als eintragungspflichtiges Unternehmen gilt außer bei Beweis des Gegenteils als Vermutung, dass die Eigenschaft als Unternehmen vorliegt.]</w:t>
      </w:r>
    </w:p>
    <w:p w14:paraId="45F631ED" w14:textId="77777777" w:rsidR="00F6427E" w:rsidRPr="004676F5" w:rsidRDefault="00F6427E" w:rsidP="00F6427E">
      <w:pPr>
        <w:jc w:val="both"/>
        <w:rPr>
          <w:lang w:val="de-DE"/>
        </w:rPr>
      </w:pPr>
    </w:p>
    <w:p w14:paraId="10E62313" w14:textId="79E00706" w:rsidR="006C2B87" w:rsidRPr="004676F5" w:rsidRDefault="00D77A0A" w:rsidP="00F6427E">
      <w:pPr>
        <w:jc w:val="both"/>
        <w:rPr>
          <w:i/>
          <w:iCs/>
          <w:lang w:val="de-DE"/>
        </w:rPr>
      </w:pPr>
      <w:r w:rsidRPr="004676F5">
        <w:rPr>
          <w:i/>
          <w:lang w:val="de-DE"/>
        </w:rPr>
        <w:t>[Art. III.49 ersetzt durch Art. 70</w:t>
      </w:r>
      <w:r w:rsidRPr="004676F5">
        <w:rPr>
          <w:i/>
          <w:iCs/>
          <w:lang w:val="de-DE"/>
        </w:rPr>
        <w:t xml:space="preserve"> des G. vom 15. April 2018 (B.S. vom 27. April 2018)</w:t>
      </w:r>
      <w:r w:rsidR="00F64195" w:rsidRPr="004676F5">
        <w:rPr>
          <w:i/>
          <w:iCs/>
          <w:lang w:val="de-DE"/>
        </w:rPr>
        <w:t xml:space="preserve">; </w:t>
      </w:r>
      <w:r w:rsidR="000D669D" w:rsidRPr="004676F5">
        <w:rPr>
          <w:i/>
          <w:iCs/>
          <w:lang w:val="de-DE"/>
        </w:rPr>
        <w:t xml:space="preserve">§ 1 ersetzt durch Art. 14 Nr. 1 des G. vom 9. Februar 2024 (B.S. vom 21. März 2024); </w:t>
      </w:r>
      <w:r w:rsidR="00F64195" w:rsidRPr="004676F5">
        <w:rPr>
          <w:i/>
          <w:iCs/>
          <w:lang w:val="de-DE"/>
        </w:rPr>
        <w:t xml:space="preserve">§ 2 einziger </w:t>
      </w:r>
      <w:r w:rsidR="00F64195" w:rsidRPr="004676F5">
        <w:rPr>
          <w:i/>
          <w:iCs/>
          <w:lang w:val="de-DE"/>
        </w:rPr>
        <w:lastRenderedPageBreak/>
        <w:t xml:space="preserve">Absatz Nr. 1 </w:t>
      </w:r>
      <w:r w:rsidR="000D669D" w:rsidRPr="004676F5">
        <w:rPr>
          <w:i/>
          <w:iCs/>
          <w:lang w:val="de-DE"/>
        </w:rPr>
        <w:t>aufgehoben durch Art. 14 Nr. 2 des G. vom 9. Februar 2024 (B.S. vom 21. März 2024)</w:t>
      </w:r>
      <w:r w:rsidRPr="004676F5">
        <w:rPr>
          <w:i/>
          <w:iCs/>
          <w:lang w:val="de-DE"/>
        </w:rPr>
        <w:t>]</w:t>
      </w:r>
    </w:p>
    <w:p w14:paraId="04607616" w14:textId="039EE3EA" w:rsidR="00D77A0A" w:rsidRPr="004676F5" w:rsidRDefault="00D77A0A" w:rsidP="00F6427E">
      <w:pPr>
        <w:jc w:val="both"/>
        <w:rPr>
          <w:i/>
          <w:iCs/>
          <w:lang w:val="de-DE"/>
        </w:rPr>
      </w:pPr>
    </w:p>
    <w:p w14:paraId="019A4B26" w14:textId="77777777" w:rsidR="00D77A0A" w:rsidRPr="004676F5" w:rsidRDefault="00D77A0A" w:rsidP="00F6427E">
      <w:pPr>
        <w:jc w:val="both"/>
        <w:rPr>
          <w:i/>
          <w:lang w:val="de-DE"/>
        </w:rPr>
      </w:pPr>
    </w:p>
    <w:p w14:paraId="67DC3870" w14:textId="44D03BBF"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III.50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Der König legt die Höhe der Gebühr für die Eintragung als </w:t>
      </w:r>
      <w:r w:rsidR="00D77A0A" w:rsidRPr="004676F5">
        <w:rPr>
          <w:lang w:val="de-DE"/>
        </w:rPr>
        <w:t>[eintragungspflichtiges Unternehmen]</w:t>
      </w:r>
      <w:r w:rsidRPr="004676F5">
        <w:rPr>
          <w:lang w:val="de-DE"/>
        </w:rPr>
        <w:t xml:space="preserve"> in die Zentrale Datenbank der Unternehmen fest.</w:t>
      </w:r>
    </w:p>
    <w:p w14:paraId="066E04CC" w14:textId="77777777" w:rsidR="00F6427E" w:rsidRPr="004676F5" w:rsidRDefault="00F6427E" w:rsidP="00F6427E">
      <w:pPr>
        <w:jc w:val="both"/>
        <w:rPr>
          <w:lang w:val="de-DE"/>
        </w:rPr>
      </w:pPr>
    </w:p>
    <w:p w14:paraId="45BAACFF" w14:textId="77777777" w:rsidR="00F6427E" w:rsidRPr="004676F5" w:rsidRDefault="00F6427E" w:rsidP="00F6427E">
      <w:pPr>
        <w:jc w:val="both"/>
        <w:rPr>
          <w:lang w:val="de-DE"/>
        </w:rPr>
      </w:pPr>
      <w:r w:rsidRPr="004676F5">
        <w:rPr>
          <w:lang w:val="de-DE"/>
        </w:rPr>
        <w:tab/>
        <w:t>Er kann hierbei eine Unterscheidung auf der Grundlage der Rechtsform des Unternehmens machen.</w:t>
      </w:r>
    </w:p>
    <w:p w14:paraId="258B96E5" w14:textId="77777777" w:rsidR="00F6427E" w:rsidRPr="004676F5" w:rsidRDefault="00F6427E" w:rsidP="00F6427E">
      <w:pPr>
        <w:jc w:val="both"/>
        <w:rPr>
          <w:lang w:val="de-DE"/>
        </w:rPr>
      </w:pPr>
    </w:p>
    <w:p w14:paraId="77288403" w14:textId="77777777" w:rsidR="00F6427E" w:rsidRPr="004676F5" w:rsidRDefault="00F6427E" w:rsidP="00F6427E">
      <w:pPr>
        <w:jc w:val="both"/>
        <w:rPr>
          <w:lang w:val="de-DE"/>
        </w:rPr>
      </w:pPr>
      <w:r w:rsidRPr="004676F5">
        <w:rPr>
          <w:lang w:val="de-DE"/>
        </w:rPr>
        <w:tab/>
        <w:t>Die somit festgelegten Beträge können am 1. Januar der prozentualen Schwankung des durchschnittlichen Indexes der Verbrauchspreise angepasst werden, insofern der indexierte Betrag mindestens 0,5 EUR höher als der anwendbare Betrag ist. Der Betrag der Erhöhung wird auf ein Vielfaches von 0,5 EUR nach unten abgerundet.</w:t>
      </w:r>
    </w:p>
    <w:p w14:paraId="685D6977" w14:textId="69F102B3" w:rsidR="006C2B87" w:rsidRPr="004676F5" w:rsidRDefault="006C2B87" w:rsidP="006C2B87">
      <w:pPr>
        <w:rPr>
          <w:lang w:val="de-DE"/>
        </w:rPr>
      </w:pPr>
    </w:p>
    <w:p w14:paraId="5E017A92" w14:textId="6957C8AC" w:rsidR="00D77A0A" w:rsidRPr="004676F5" w:rsidRDefault="00D77A0A" w:rsidP="00D77A0A">
      <w:pPr>
        <w:jc w:val="both"/>
        <w:rPr>
          <w:lang w:val="de-DE"/>
        </w:rPr>
      </w:pPr>
      <w:r w:rsidRPr="004676F5">
        <w:rPr>
          <w:lang w:val="de-DE"/>
        </w:rPr>
        <w:tab/>
        <w:t>[§ 2 </w:t>
      </w:r>
      <w:r w:rsidR="005B7A5C" w:rsidRPr="004676F5">
        <w:rPr>
          <w:lang w:val="de-DE"/>
        </w:rPr>
        <w:t>- </w:t>
      </w:r>
      <w:r w:rsidRPr="004676F5">
        <w:rPr>
          <w:lang w:val="de-DE"/>
        </w:rPr>
        <w:t>In Abweichung von § 1 sind Vereinigungen ohne Gewinnerzielungsabsicht, internationale Vereinigungen ohne Gewinnerzielungsabsicht und Stiftungen, die im Gesetz vom 27. Juni 1921 über die Vereinigungen ohne Gewinnerzielungsabsicht, die Stiftungen, die europäischen politischen Parteien und die europäischen politischen Stiftungen erwähnt sind, von der Zahlung der Gebühr für die Eintragung in die Zentrale Datenbank der Unternehmen befreit.]</w:t>
      </w:r>
    </w:p>
    <w:p w14:paraId="40BA701C" w14:textId="4B6BA682" w:rsidR="00D77A0A" w:rsidRPr="004676F5" w:rsidRDefault="00D77A0A" w:rsidP="006C2B87">
      <w:pPr>
        <w:rPr>
          <w:lang w:val="de-DE"/>
        </w:rPr>
      </w:pPr>
    </w:p>
    <w:p w14:paraId="7BDF95E0" w14:textId="62DF53E3" w:rsidR="00D77A0A" w:rsidRPr="004676F5" w:rsidRDefault="00D77A0A" w:rsidP="00D77A0A">
      <w:pPr>
        <w:jc w:val="both"/>
        <w:rPr>
          <w:i/>
          <w:lang w:val="de-DE"/>
        </w:rPr>
      </w:pPr>
      <w:r w:rsidRPr="004676F5">
        <w:rPr>
          <w:i/>
          <w:lang w:val="de-DE"/>
        </w:rPr>
        <w:t>[Art. III.50 § 1 Abs. 1 abgeändert durch Art. 71 Nr. 1</w:t>
      </w:r>
      <w:r w:rsidRPr="004676F5">
        <w:rPr>
          <w:i/>
          <w:iCs/>
          <w:lang w:val="de-DE"/>
        </w:rPr>
        <w:t xml:space="preserve"> des G. vom 15. April 2018 (B.S. vom 27. April 2018); § 2 eingefügt durch Art. 71 Nr. 2 des G. vom 15. April 2018 (B.S. vom 27. April 2018)]</w:t>
      </w:r>
    </w:p>
    <w:p w14:paraId="62A3D62A" w14:textId="77777777" w:rsidR="006C2B87" w:rsidRDefault="006C2B87" w:rsidP="006C2B87">
      <w:pPr>
        <w:rPr>
          <w:lang w:val="de-DE"/>
        </w:rPr>
      </w:pPr>
    </w:p>
    <w:p w14:paraId="4EA2BEAC" w14:textId="77777777" w:rsidR="00825F82" w:rsidRPr="004676F5" w:rsidRDefault="00825F82" w:rsidP="006C2B87">
      <w:pPr>
        <w:rPr>
          <w:lang w:val="de-DE"/>
        </w:rPr>
      </w:pPr>
    </w:p>
    <w:p w14:paraId="425C0497" w14:textId="720217F9" w:rsidR="00F6427E" w:rsidRPr="004676F5" w:rsidRDefault="00F6427E" w:rsidP="006C2B87">
      <w:pPr>
        <w:jc w:val="center"/>
        <w:rPr>
          <w:lang w:val="de-DE"/>
        </w:rPr>
      </w:pPr>
      <w:r w:rsidRPr="004676F5">
        <w:rPr>
          <w:i/>
          <w:lang w:val="de-DE"/>
        </w:rPr>
        <w:t>Abschnitt 2</w:t>
      </w:r>
      <w:r w:rsidRPr="004676F5">
        <w:rPr>
          <w:lang w:val="de-DE"/>
        </w:rPr>
        <w:t> </w:t>
      </w:r>
      <w:r w:rsidR="005B7A5C" w:rsidRPr="004676F5">
        <w:rPr>
          <w:lang w:val="de-DE"/>
        </w:rPr>
        <w:t>- </w:t>
      </w:r>
      <w:r w:rsidRPr="004676F5">
        <w:rPr>
          <w:lang w:val="de-DE"/>
        </w:rPr>
        <w:t>Änderungsverpflichtung</w:t>
      </w:r>
    </w:p>
    <w:p w14:paraId="5F28EDF2" w14:textId="77777777" w:rsidR="00F6427E" w:rsidRPr="004676F5" w:rsidRDefault="00F6427E" w:rsidP="00F6427E">
      <w:pPr>
        <w:jc w:val="both"/>
        <w:rPr>
          <w:lang w:val="de-DE"/>
        </w:rPr>
      </w:pPr>
    </w:p>
    <w:p w14:paraId="403D35A1" w14:textId="77777777" w:rsidR="006C2B87" w:rsidRPr="004676F5" w:rsidRDefault="006C2B87" w:rsidP="00F6427E">
      <w:pPr>
        <w:jc w:val="both"/>
        <w:rPr>
          <w:lang w:val="de-DE"/>
        </w:rPr>
      </w:pPr>
    </w:p>
    <w:p w14:paraId="29B5D55A" w14:textId="62BE58D2" w:rsidR="00BF34DE" w:rsidRPr="004676F5" w:rsidRDefault="00BE0A56" w:rsidP="00BF34DE">
      <w:pPr>
        <w:ind w:firstLine="720"/>
        <w:jc w:val="both"/>
        <w:rPr>
          <w:lang w:val="de-DE"/>
        </w:rPr>
      </w:pPr>
      <w:r w:rsidRPr="004676F5">
        <w:rPr>
          <w:b/>
          <w:lang w:val="de-DE"/>
        </w:rPr>
        <w:t>Art. </w:t>
      </w:r>
      <w:r w:rsidR="00F6427E" w:rsidRPr="004676F5">
        <w:rPr>
          <w:b/>
          <w:lang w:val="de-DE"/>
        </w:rPr>
        <w:t>III.51</w:t>
      </w:r>
      <w:r w:rsidR="00F6427E" w:rsidRPr="004676F5">
        <w:rPr>
          <w:lang w:val="de-DE"/>
        </w:rPr>
        <w:t> </w:t>
      </w:r>
      <w:r w:rsidR="005B7A5C" w:rsidRPr="004676F5">
        <w:rPr>
          <w:lang w:val="de-DE"/>
        </w:rPr>
        <w:t>- </w:t>
      </w:r>
      <w:r w:rsidR="00F6427E" w:rsidRPr="004676F5">
        <w:rPr>
          <w:lang w:val="de-DE"/>
        </w:rPr>
        <w:t>§ 1 </w:t>
      </w:r>
      <w:r w:rsidR="005B7A5C" w:rsidRPr="004676F5">
        <w:rPr>
          <w:lang w:val="de-DE"/>
        </w:rPr>
        <w:t>- </w:t>
      </w:r>
      <w:r w:rsidR="00F6427E" w:rsidRPr="004676F5">
        <w:rPr>
          <w:lang w:val="de-DE"/>
        </w:rPr>
        <w:t xml:space="preserve">Ungeachtet der Bestimmungen von § 2 müssen </w:t>
      </w:r>
      <w:r w:rsidR="00D77A0A" w:rsidRPr="004676F5">
        <w:rPr>
          <w:lang w:val="de-DE"/>
        </w:rPr>
        <w:t>[eintragungspflichtige Unternehmen]</w:t>
      </w:r>
      <w:r w:rsidR="00F6427E" w:rsidRPr="004676F5">
        <w:rPr>
          <w:lang w:val="de-DE"/>
        </w:rPr>
        <w:t xml:space="preserve">, die beabsichtigen, eine andere Tätigkeit auszuüben als die, für die sie eingetragen sind, im Voraus eine Änderung ihrer Eintragung in der Zentralen Datenbank der Unternehmen beantragen. Diese Verpflichtung gilt auf dieselbe Weise für </w:t>
      </w:r>
      <w:r w:rsidR="00D77A0A" w:rsidRPr="004676F5">
        <w:rPr>
          <w:lang w:val="de-DE"/>
        </w:rPr>
        <w:t>[eintragungspflichtige Unternehmen]</w:t>
      </w:r>
      <w:r w:rsidR="00F6427E" w:rsidRPr="004676F5">
        <w:rPr>
          <w:lang w:val="de-DE"/>
        </w:rPr>
        <w:t>, die beabsichtigen, eine neue Niederlassungseinheit in Belgien zu gründen.</w:t>
      </w:r>
      <w:r w:rsidR="00BF34DE" w:rsidRPr="004676F5">
        <w:rPr>
          <w:lang w:val="de-DE"/>
        </w:rPr>
        <w:t xml:space="preserve"> [Eintragungspflichtige Unternehmen sind jedoch nicht verpflichtet, eine Änderung ihrer Eintragung in der Zentralen Datenbank der Unternehmen zu beantragen, wenn sie ihre Tätigkeiten vorübergehend auf andere Weise ausüben wollen während des Zeitraums, in dem die restriktiven Maßnahmen anwendbar sind, die erwähnt sind in:</w:t>
      </w:r>
    </w:p>
    <w:p w14:paraId="3FC69DAF" w14:textId="77777777" w:rsidR="00BF34DE" w:rsidRPr="004676F5" w:rsidRDefault="00BF34DE" w:rsidP="00BF34DE">
      <w:pPr>
        <w:jc w:val="both"/>
        <w:rPr>
          <w:lang w:val="de-DE"/>
        </w:rPr>
      </w:pPr>
    </w:p>
    <w:p w14:paraId="419C210F" w14:textId="4A1DC7F9" w:rsidR="00BF34DE" w:rsidRPr="004676F5" w:rsidRDefault="005B7A5C" w:rsidP="00BF34DE">
      <w:pPr>
        <w:ind w:firstLine="720"/>
        <w:jc w:val="both"/>
        <w:rPr>
          <w:lang w:val="de-DE"/>
        </w:rPr>
      </w:pPr>
      <w:r w:rsidRPr="004676F5">
        <w:rPr>
          <w:lang w:val="de-DE"/>
        </w:rPr>
        <w:t>- </w:t>
      </w:r>
      <w:r w:rsidR="00BF34DE" w:rsidRPr="004676F5">
        <w:rPr>
          <w:lang w:val="de-DE"/>
        </w:rPr>
        <w:t>den Artikeln 1 bis 3 des Ministeriellen Erlasses vom 13. März 2020 zur Festlegung von Dringlichkeitsmaßnahmen zur Eindämmung der Ausbreitung des Coronavirus COVID-19,</w:t>
      </w:r>
    </w:p>
    <w:p w14:paraId="1DAD182A" w14:textId="77777777" w:rsidR="00BF34DE" w:rsidRPr="004676F5" w:rsidRDefault="00BF34DE" w:rsidP="00BF34DE">
      <w:pPr>
        <w:ind w:firstLine="720"/>
        <w:jc w:val="both"/>
        <w:rPr>
          <w:lang w:val="de-DE"/>
        </w:rPr>
      </w:pPr>
    </w:p>
    <w:p w14:paraId="1484C353" w14:textId="1366E6F8" w:rsidR="00BF34DE" w:rsidRPr="004676F5" w:rsidRDefault="005B7A5C" w:rsidP="00BF34DE">
      <w:pPr>
        <w:ind w:firstLine="720"/>
        <w:jc w:val="both"/>
        <w:rPr>
          <w:lang w:val="de-DE"/>
        </w:rPr>
      </w:pPr>
      <w:r w:rsidRPr="004676F5">
        <w:rPr>
          <w:lang w:val="de-DE"/>
        </w:rPr>
        <w:t>- </w:t>
      </w:r>
      <w:r w:rsidR="00BF34DE" w:rsidRPr="004676F5">
        <w:rPr>
          <w:lang w:val="de-DE"/>
        </w:rPr>
        <w:t>den Artikeln 1 und 2 des Ministeriellen Erlasses vom 18. März 2020 zur Festlegung von Dringlichkeitsmaßnahmen zur Eindämmung der Ausbreitung des Coronavirus COVID-19,</w:t>
      </w:r>
    </w:p>
    <w:p w14:paraId="4446063E" w14:textId="77777777" w:rsidR="00BF34DE" w:rsidRPr="004676F5" w:rsidRDefault="00BF34DE" w:rsidP="00BF34DE">
      <w:pPr>
        <w:ind w:firstLine="720"/>
        <w:jc w:val="both"/>
        <w:rPr>
          <w:lang w:val="de-DE"/>
        </w:rPr>
      </w:pPr>
    </w:p>
    <w:p w14:paraId="073F3DBB" w14:textId="2FC65BCD" w:rsidR="00F6427E" w:rsidRPr="004676F5" w:rsidRDefault="005B7A5C" w:rsidP="00BF34DE">
      <w:pPr>
        <w:ind w:firstLine="708"/>
        <w:jc w:val="both"/>
        <w:rPr>
          <w:lang w:val="de-DE"/>
        </w:rPr>
      </w:pPr>
      <w:r w:rsidRPr="004676F5">
        <w:rPr>
          <w:lang w:val="de-DE"/>
        </w:rPr>
        <w:t>- </w:t>
      </w:r>
      <w:r w:rsidR="00BF34DE" w:rsidRPr="004676F5">
        <w:rPr>
          <w:lang w:val="de-DE"/>
        </w:rPr>
        <w:t>Artikel 1 des Ministeriellen Erlasses vom 23. März 2020 zur Festlegung von Dringlichkeitsmaßnahmen zur Eindämmung der Ausbreitung des Coronavirus COVID-19.]</w:t>
      </w:r>
    </w:p>
    <w:p w14:paraId="202FD30D" w14:textId="77777777" w:rsidR="00F6427E" w:rsidRPr="004676F5" w:rsidRDefault="00F6427E" w:rsidP="00F6427E">
      <w:pPr>
        <w:jc w:val="both"/>
        <w:rPr>
          <w:lang w:val="de-DE"/>
        </w:rPr>
      </w:pPr>
    </w:p>
    <w:p w14:paraId="65C06254" w14:textId="76A10000" w:rsidR="00F6427E" w:rsidRPr="004676F5" w:rsidRDefault="00F6427E" w:rsidP="00F6427E">
      <w:pPr>
        <w:jc w:val="both"/>
        <w:rPr>
          <w:lang w:val="de-DE"/>
        </w:rPr>
      </w:pPr>
      <w:r w:rsidRPr="004676F5">
        <w:rPr>
          <w:lang w:val="de-DE"/>
        </w:rPr>
        <w:tab/>
        <w:t xml:space="preserve">Wenn die Ausübung einer neuen Tätigkeit aus der Übertragung der Tätigkeit </w:t>
      </w:r>
      <w:r w:rsidR="00D77A0A" w:rsidRPr="004676F5">
        <w:rPr>
          <w:lang w:val="de-DE"/>
        </w:rPr>
        <w:t xml:space="preserve">[eines eintragungspflichtigen Unternehmens] </w:t>
      </w:r>
      <w:r w:rsidRPr="004676F5">
        <w:rPr>
          <w:lang w:val="de-DE"/>
        </w:rPr>
        <w:t xml:space="preserve">hervorgeht, ob unentgeltlich oder entgeltlich und unter </w:t>
      </w:r>
      <w:r w:rsidRPr="004676F5">
        <w:rPr>
          <w:lang w:val="de-DE"/>
        </w:rPr>
        <w:lastRenderedPageBreak/>
        <w:t>Lebenden oder infolge eines Todesfalls, müssen diese Unternehmen in Abweichung von § 1 innerhalb einer Frist von einem Monat nach Übertragung oder Erbschaftsannahme die Änderung vornehmen lassen.</w:t>
      </w:r>
    </w:p>
    <w:p w14:paraId="20890ABB" w14:textId="77777777" w:rsidR="00F6427E" w:rsidRPr="004676F5" w:rsidRDefault="00F6427E" w:rsidP="00F6427E">
      <w:pPr>
        <w:jc w:val="both"/>
        <w:rPr>
          <w:lang w:val="de-DE"/>
        </w:rPr>
      </w:pPr>
    </w:p>
    <w:p w14:paraId="446D7615" w14:textId="46E1F5A3"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 xml:space="preserve">Innerhalb einer Frist von einem Monat nach Änderung ihrer Lage müssen </w:t>
      </w:r>
      <w:r w:rsidR="00D77A0A" w:rsidRPr="004676F5">
        <w:rPr>
          <w:lang w:val="de-DE"/>
        </w:rPr>
        <w:t>[eintragungspflichtige Unternehmen]</w:t>
      </w:r>
      <w:r w:rsidRPr="004676F5">
        <w:rPr>
          <w:lang w:val="de-DE"/>
        </w:rPr>
        <w:t xml:space="preserve"> eine Änderung ihrer Eintragung in der Zentralen Datenbank der Unternehmen beantragen, wenn eine der vom König gemäß Artikel III.53 festgelegten Angaben der Eintragung nicht mehr der tatsächlichen Lage entspricht.</w:t>
      </w:r>
    </w:p>
    <w:p w14:paraId="3657EEC7" w14:textId="7E6D634A" w:rsidR="00F6427E" w:rsidRPr="004676F5" w:rsidRDefault="00F6427E" w:rsidP="00F6427E">
      <w:pPr>
        <w:jc w:val="both"/>
        <w:rPr>
          <w:lang w:val="de-DE"/>
        </w:rPr>
      </w:pPr>
    </w:p>
    <w:p w14:paraId="4586FB81" w14:textId="6027D3A0" w:rsidR="00D77A0A" w:rsidRPr="004676F5" w:rsidRDefault="00D77A0A" w:rsidP="00F6427E">
      <w:pPr>
        <w:jc w:val="both"/>
        <w:rPr>
          <w:i/>
          <w:iCs/>
          <w:lang w:val="de-DE"/>
        </w:rPr>
      </w:pPr>
      <w:r w:rsidRPr="004676F5">
        <w:rPr>
          <w:i/>
          <w:lang w:val="de-DE"/>
        </w:rPr>
        <w:t>[Art. III.51 § 1 Abs. 1 abgeändert durch Art. 72 Nr. 1</w:t>
      </w:r>
      <w:r w:rsidRPr="004676F5">
        <w:rPr>
          <w:i/>
          <w:iCs/>
          <w:lang w:val="de-DE"/>
        </w:rPr>
        <w:t xml:space="preserve"> des G. vom 15. April 2018 (B.S. vom 27. April 2018)</w:t>
      </w:r>
      <w:r w:rsidR="00BF34DE" w:rsidRPr="004676F5">
        <w:rPr>
          <w:i/>
          <w:iCs/>
          <w:lang w:val="de-DE"/>
        </w:rPr>
        <w:t xml:space="preserve"> und Art. 2 des G. vom 27. Mai 2020 (B.S. vom 29. Mai 2020)</w:t>
      </w:r>
      <w:r w:rsidRPr="004676F5">
        <w:rPr>
          <w:i/>
          <w:iCs/>
          <w:lang w:val="de-DE"/>
        </w:rPr>
        <w:t>; § 1 Abs. 2 abgeändert durch Art. 72 Nr. 2 des G. vom 15. April 2018 (B.S. vom 27. April 2018); § 2 abgeändert durch Art. 72 Nr. 3 des G. vom 15. April 2018 (B.S. vom 27. April 2018)]</w:t>
      </w:r>
    </w:p>
    <w:p w14:paraId="29465C4A" w14:textId="77777777" w:rsidR="00D77A0A" w:rsidRPr="004676F5" w:rsidRDefault="00D77A0A" w:rsidP="00F6427E">
      <w:pPr>
        <w:jc w:val="both"/>
        <w:rPr>
          <w:i/>
          <w:lang w:val="de-DE"/>
        </w:rPr>
      </w:pPr>
    </w:p>
    <w:p w14:paraId="66701864" w14:textId="77777777" w:rsidR="006C2B87" w:rsidRPr="004676F5" w:rsidRDefault="006C2B87" w:rsidP="00F6427E">
      <w:pPr>
        <w:jc w:val="both"/>
        <w:rPr>
          <w:lang w:val="de-DE"/>
        </w:rPr>
      </w:pPr>
    </w:p>
    <w:p w14:paraId="756494D5" w14:textId="433D6077" w:rsidR="00F6427E" w:rsidRPr="004676F5" w:rsidRDefault="00F6427E" w:rsidP="00F6427E">
      <w:pPr>
        <w:jc w:val="center"/>
        <w:rPr>
          <w:lang w:val="de-DE"/>
        </w:rPr>
      </w:pPr>
      <w:r w:rsidRPr="004676F5">
        <w:rPr>
          <w:i/>
          <w:lang w:val="de-DE"/>
        </w:rPr>
        <w:t>Abschnitt 3</w:t>
      </w:r>
      <w:r w:rsidRPr="004676F5">
        <w:rPr>
          <w:lang w:val="de-DE"/>
        </w:rPr>
        <w:t> </w:t>
      </w:r>
      <w:r w:rsidR="005B7A5C" w:rsidRPr="004676F5">
        <w:rPr>
          <w:lang w:val="de-DE"/>
        </w:rPr>
        <w:t>- </w:t>
      </w:r>
      <w:r w:rsidRPr="004676F5">
        <w:rPr>
          <w:lang w:val="de-DE"/>
        </w:rPr>
        <w:t>Streichungsverpflichtung</w:t>
      </w:r>
    </w:p>
    <w:p w14:paraId="2EAEADC9" w14:textId="77777777" w:rsidR="00F6427E" w:rsidRPr="004676F5" w:rsidRDefault="00F6427E" w:rsidP="00F6427E">
      <w:pPr>
        <w:jc w:val="both"/>
        <w:rPr>
          <w:lang w:val="de-DE"/>
        </w:rPr>
      </w:pPr>
    </w:p>
    <w:p w14:paraId="7E4DBBFA" w14:textId="77777777" w:rsidR="006C2B87" w:rsidRPr="004676F5" w:rsidRDefault="006C2B87" w:rsidP="00F6427E">
      <w:pPr>
        <w:jc w:val="both"/>
        <w:rPr>
          <w:lang w:val="de-DE"/>
        </w:rPr>
      </w:pPr>
    </w:p>
    <w:p w14:paraId="07315C5C" w14:textId="40675E61"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III.52</w:t>
      </w:r>
      <w:r w:rsidRPr="004676F5">
        <w:rPr>
          <w:lang w:val="de-DE"/>
        </w:rPr>
        <w:t> </w:t>
      </w:r>
      <w:r w:rsidR="005B7A5C" w:rsidRPr="004676F5">
        <w:rPr>
          <w:lang w:val="de-DE"/>
        </w:rPr>
        <w:t>- </w:t>
      </w:r>
      <w:r w:rsidRPr="004676F5">
        <w:rPr>
          <w:lang w:val="de-DE"/>
        </w:rPr>
        <w:t>Bei Einstellung der Tätigkeiten oder Schließung einer der Niederlassungs</w:t>
      </w:r>
      <w:r w:rsidRPr="004676F5">
        <w:rPr>
          <w:lang w:val="de-DE"/>
        </w:rPr>
        <w:softHyphen/>
        <w:t xml:space="preserve">einheiten müssen </w:t>
      </w:r>
      <w:r w:rsidR="00D77A0A" w:rsidRPr="004676F5">
        <w:rPr>
          <w:lang w:val="de-DE"/>
        </w:rPr>
        <w:t>[das eintragungspflichtige Unternehmen]</w:t>
      </w:r>
      <w:r w:rsidRPr="004676F5">
        <w:rPr>
          <w:lang w:val="de-DE"/>
        </w:rPr>
        <w:t xml:space="preserve"> oder seine Rechtsnachfolger innerhalb einer Frist von einem Monat ab Einstellung der Tätigkeiten die Streichung der Eintragung beantragen.</w:t>
      </w:r>
    </w:p>
    <w:p w14:paraId="0BB0F6B0" w14:textId="77777777" w:rsidR="00F6427E" w:rsidRPr="004676F5" w:rsidRDefault="00F6427E" w:rsidP="00F6427E">
      <w:pPr>
        <w:jc w:val="both"/>
        <w:rPr>
          <w:lang w:val="de-DE"/>
        </w:rPr>
      </w:pPr>
    </w:p>
    <w:p w14:paraId="1EF4796F" w14:textId="7F00187E" w:rsidR="00F6427E" w:rsidRPr="004676F5" w:rsidRDefault="00F6427E" w:rsidP="00F6427E">
      <w:pPr>
        <w:jc w:val="both"/>
        <w:rPr>
          <w:lang w:val="de-DE"/>
        </w:rPr>
      </w:pPr>
      <w:r w:rsidRPr="004676F5">
        <w:rPr>
          <w:lang w:val="de-DE"/>
        </w:rPr>
        <w:tab/>
        <w:t xml:space="preserve">Wenn die in Absatz 1 erwähnte Einstellung aus der Übertragung der Tätigkeit </w:t>
      </w:r>
      <w:r w:rsidR="00D77A0A" w:rsidRPr="004676F5">
        <w:rPr>
          <w:lang w:val="de-DE"/>
        </w:rPr>
        <w:t>[</w:t>
      </w:r>
      <w:r w:rsidRPr="004676F5">
        <w:rPr>
          <w:lang w:val="de-DE"/>
        </w:rPr>
        <w:t>des</w:t>
      </w:r>
      <w:r w:rsidR="00D77A0A" w:rsidRPr="004676F5">
        <w:rPr>
          <w:lang w:val="de-DE"/>
        </w:rPr>
        <w:t xml:space="preserve"> eintragungspflichtigen Unternehmens]</w:t>
      </w:r>
      <w:r w:rsidRPr="004676F5">
        <w:rPr>
          <w:lang w:val="de-DE"/>
        </w:rPr>
        <w:t xml:space="preserve"> hervorgeht, ob unentgeltlich oder entgeltlich und unter Lebenden oder infolge eines Todesfalls, muss die Streichung innerhalb einer Frist von einem Monat nach Übertragung oder Erbschaftsannahme vorgenommen werden.</w:t>
      </w:r>
    </w:p>
    <w:p w14:paraId="23E35358" w14:textId="41B8A61D" w:rsidR="00F6427E" w:rsidRPr="004676F5" w:rsidRDefault="00F6427E" w:rsidP="00F6427E">
      <w:pPr>
        <w:jc w:val="both"/>
        <w:rPr>
          <w:lang w:val="de-DE"/>
        </w:rPr>
      </w:pPr>
    </w:p>
    <w:p w14:paraId="63C9889D" w14:textId="6976827B" w:rsidR="00D77A0A" w:rsidRPr="004676F5" w:rsidRDefault="00D77A0A" w:rsidP="00F6427E">
      <w:pPr>
        <w:jc w:val="both"/>
        <w:rPr>
          <w:i/>
          <w:iCs/>
          <w:lang w:val="de-DE"/>
        </w:rPr>
      </w:pPr>
      <w:r w:rsidRPr="004676F5">
        <w:rPr>
          <w:i/>
          <w:lang w:val="de-DE"/>
        </w:rPr>
        <w:t>[Art. III.52 Abs. 1 abgeändert durch Art. 73 Nr. 1</w:t>
      </w:r>
      <w:r w:rsidRPr="004676F5">
        <w:rPr>
          <w:i/>
          <w:iCs/>
          <w:lang w:val="de-DE"/>
        </w:rPr>
        <w:t xml:space="preserve"> des G. vom 15. April 2018 (B.S. vom 27. April 2018); Abs. 2 abgeändert durch Art. 73 Nr. 2 des G. vom 15. April 2018 (B.S. vom 27. April 2018)]</w:t>
      </w:r>
    </w:p>
    <w:p w14:paraId="0278A7A7" w14:textId="77777777" w:rsidR="00D77A0A" w:rsidRPr="004676F5" w:rsidRDefault="00D77A0A" w:rsidP="00F6427E">
      <w:pPr>
        <w:jc w:val="both"/>
        <w:rPr>
          <w:i/>
          <w:lang w:val="de-DE"/>
        </w:rPr>
      </w:pPr>
    </w:p>
    <w:p w14:paraId="63011D66" w14:textId="77777777" w:rsidR="006C2B87" w:rsidRPr="004676F5" w:rsidRDefault="006C2B87" w:rsidP="00F6427E">
      <w:pPr>
        <w:jc w:val="both"/>
        <w:rPr>
          <w:lang w:val="de-DE"/>
        </w:rPr>
      </w:pPr>
    </w:p>
    <w:p w14:paraId="3CD1C85E" w14:textId="0A5A3DE3" w:rsidR="00F6427E" w:rsidRPr="004676F5" w:rsidRDefault="00F6427E" w:rsidP="00F6427E">
      <w:pPr>
        <w:jc w:val="center"/>
        <w:rPr>
          <w:lang w:val="de-DE"/>
        </w:rPr>
      </w:pPr>
      <w:r w:rsidRPr="004676F5">
        <w:rPr>
          <w:i/>
          <w:lang w:val="de-DE"/>
        </w:rPr>
        <w:t>Abschnitt 4</w:t>
      </w:r>
      <w:r w:rsidRPr="004676F5">
        <w:rPr>
          <w:lang w:val="de-DE"/>
        </w:rPr>
        <w:t> </w:t>
      </w:r>
      <w:r w:rsidR="005B7A5C" w:rsidRPr="004676F5">
        <w:rPr>
          <w:lang w:val="de-DE"/>
        </w:rPr>
        <w:t>- </w:t>
      </w:r>
      <w:r w:rsidRPr="004676F5">
        <w:rPr>
          <w:lang w:val="de-DE"/>
        </w:rPr>
        <w:t>Gemeinschaftliche Bestimmungen für Eintragung, Änderung oder Streichung</w:t>
      </w:r>
    </w:p>
    <w:p w14:paraId="570090B8" w14:textId="77777777" w:rsidR="00F6427E" w:rsidRPr="004676F5" w:rsidRDefault="00F6427E" w:rsidP="00F6427E">
      <w:pPr>
        <w:jc w:val="both"/>
        <w:rPr>
          <w:lang w:val="de-DE"/>
        </w:rPr>
      </w:pPr>
    </w:p>
    <w:p w14:paraId="4BBCC320" w14:textId="77777777" w:rsidR="006C2B87" w:rsidRPr="004676F5" w:rsidRDefault="006C2B87" w:rsidP="00F6427E">
      <w:pPr>
        <w:jc w:val="both"/>
        <w:rPr>
          <w:lang w:val="de-DE"/>
        </w:rPr>
      </w:pPr>
    </w:p>
    <w:p w14:paraId="23968C20" w14:textId="34D6291F"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III.53</w:t>
      </w:r>
      <w:r w:rsidRPr="004676F5">
        <w:rPr>
          <w:lang w:val="de-DE"/>
        </w:rPr>
        <w:t> </w:t>
      </w:r>
      <w:r w:rsidR="005B7A5C" w:rsidRPr="004676F5">
        <w:rPr>
          <w:lang w:val="de-DE"/>
        </w:rPr>
        <w:t>- </w:t>
      </w:r>
      <w:r w:rsidRPr="004676F5">
        <w:rPr>
          <w:lang w:val="de-DE"/>
        </w:rPr>
        <w:t>Ein Eintragungs-, Änderungs</w:t>
      </w:r>
      <w:r w:rsidR="005B7A5C" w:rsidRPr="004676F5">
        <w:rPr>
          <w:lang w:val="de-DE"/>
        </w:rPr>
        <w:t>- </w:t>
      </w:r>
      <w:r w:rsidRPr="004676F5">
        <w:rPr>
          <w:lang w:val="de-DE"/>
        </w:rPr>
        <w:t xml:space="preserve">oder Streichungsantrag muss </w:t>
      </w:r>
      <w:r w:rsidR="00520C77" w:rsidRPr="004676F5">
        <w:rPr>
          <w:lang w:val="de-DE"/>
        </w:rPr>
        <w:t>[vom eintragungspflichtigen Unternehmen]</w:t>
      </w:r>
      <w:r w:rsidRPr="004676F5">
        <w:rPr>
          <w:lang w:val="de-DE"/>
        </w:rPr>
        <w:t xml:space="preserve"> eingereicht werden, das heißt von den eintragungspflichtigen natürlichen Personen oder den dazu befugten Vertretern des eintragungspflichtigen Unternehmens.</w:t>
      </w:r>
    </w:p>
    <w:p w14:paraId="618A77DF" w14:textId="77777777" w:rsidR="00F6427E" w:rsidRPr="004676F5" w:rsidRDefault="00F6427E" w:rsidP="00F6427E">
      <w:pPr>
        <w:jc w:val="both"/>
        <w:rPr>
          <w:lang w:val="de-DE"/>
        </w:rPr>
      </w:pPr>
    </w:p>
    <w:p w14:paraId="18259475" w14:textId="77777777" w:rsidR="00F6427E" w:rsidRPr="004676F5" w:rsidRDefault="00F6427E" w:rsidP="00F6427E">
      <w:pPr>
        <w:jc w:val="both"/>
        <w:rPr>
          <w:lang w:val="de-DE"/>
        </w:rPr>
      </w:pPr>
      <w:r w:rsidRPr="004676F5">
        <w:rPr>
          <w:lang w:val="de-DE"/>
        </w:rPr>
        <w:tab/>
        <w:t>Der Antrag erfolgt gemäß den vom König festgelegten Modalitäten.</w:t>
      </w:r>
    </w:p>
    <w:p w14:paraId="74BD1C4D" w14:textId="77777777" w:rsidR="00F6427E" w:rsidRPr="004676F5" w:rsidRDefault="00F6427E" w:rsidP="00F6427E">
      <w:pPr>
        <w:jc w:val="both"/>
        <w:rPr>
          <w:lang w:val="de-DE"/>
        </w:rPr>
      </w:pPr>
    </w:p>
    <w:p w14:paraId="15F3A0F9" w14:textId="3316FFF3" w:rsidR="00F6427E" w:rsidRPr="004676F5" w:rsidRDefault="00F6427E" w:rsidP="00F6427E">
      <w:pPr>
        <w:jc w:val="both"/>
        <w:rPr>
          <w:lang w:val="de-DE"/>
        </w:rPr>
      </w:pPr>
      <w:r w:rsidRPr="004676F5">
        <w:rPr>
          <w:lang w:val="de-DE"/>
        </w:rPr>
        <w:tab/>
        <w:t>Der König bestimmt die Angaben, die der Eintragungs-, Änderungs</w:t>
      </w:r>
      <w:r w:rsidR="005B7A5C" w:rsidRPr="004676F5">
        <w:rPr>
          <w:lang w:val="de-DE"/>
        </w:rPr>
        <w:t>- </w:t>
      </w:r>
      <w:r w:rsidRPr="004676F5">
        <w:rPr>
          <w:lang w:val="de-DE"/>
        </w:rPr>
        <w:t>oder Streichungs</w:t>
      </w:r>
      <w:r w:rsidRPr="004676F5">
        <w:rPr>
          <w:lang w:val="de-DE"/>
        </w:rPr>
        <w:softHyphen/>
        <w:t>antrag enthalten muss.</w:t>
      </w:r>
    </w:p>
    <w:p w14:paraId="3E73329E" w14:textId="0F00B130" w:rsidR="00F6427E" w:rsidRPr="004676F5" w:rsidRDefault="00F6427E" w:rsidP="00F6427E">
      <w:pPr>
        <w:jc w:val="both"/>
        <w:rPr>
          <w:lang w:val="de-DE"/>
        </w:rPr>
      </w:pPr>
    </w:p>
    <w:p w14:paraId="289A3669" w14:textId="43EE456A" w:rsidR="00520C77" w:rsidRPr="004676F5" w:rsidRDefault="00520C77" w:rsidP="00F6427E">
      <w:pPr>
        <w:jc w:val="both"/>
        <w:rPr>
          <w:i/>
          <w:lang w:val="de-DE"/>
        </w:rPr>
      </w:pPr>
      <w:r w:rsidRPr="004676F5">
        <w:rPr>
          <w:i/>
          <w:lang w:val="de-DE"/>
        </w:rPr>
        <w:t>[Art. III.53 Abs. 1 abgeändert durch Art. 74</w:t>
      </w:r>
      <w:r w:rsidRPr="004676F5">
        <w:rPr>
          <w:i/>
          <w:iCs/>
          <w:lang w:val="de-DE"/>
        </w:rPr>
        <w:t xml:space="preserve"> des G. vom 15. April 2018 (B.S. vom 27. April 2018)]</w:t>
      </w:r>
    </w:p>
    <w:p w14:paraId="6469C025" w14:textId="26E9D6A4" w:rsidR="006C2B87" w:rsidRPr="004676F5" w:rsidRDefault="006C2B87" w:rsidP="00F6427E">
      <w:pPr>
        <w:jc w:val="both"/>
        <w:rPr>
          <w:lang w:val="de-DE"/>
        </w:rPr>
      </w:pPr>
    </w:p>
    <w:p w14:paraId="73DC10F7" w14:textId="77777777" w:rsidR="00520C77" w:rsidRPr="004676F5" w:rsidRDefault="00520C77" w:rsidP="00F6427E">
      <w:pPr>
        <w:jc w:val="both"/>
        <w:rPr>
          <w:lang w:val="de-DE"/>
        </w:rPr>
      </w:pPr>
    </w:p>
    <w:p w14:paraId="47FD4919" w14:textId="187FB3DF" w:rsidR="00F6427E" w:rsidRPr="004676F5" w:rsidRDefault="00F6427E" w:rsidP="00F6427E">
      <w:pPr>
        <w:jc w:val="both"/>
        <w:rPr>
          <w:lang w:val="de-DE"/>
        </w:rPr>
      </w:pPr>
      <w:r w:rsidRPr="004676F5">
        <w:rPr>
          <w:lang w:val="de-DE"/>
        </w:rPr>
        <w:lastRenderedPageBreak/>
        <w:tab/>
      </w:r>
      <w:r w:rsidR="00BE0A56" w:rsidRPr="004676F5">
        <w:rPr>
          <w:b/>
          <w:lang w:val="de-DE"/>
        </w:rPr>
        <w:t>Art. </w:t>
      </w:r>
      <w:r w:rsidRPr="004676F5">
        <w:rPr>
          <w:b/>
          <w:lang w:val="de-DE"/>
        </w:rPr>
        <w:t>III.54</w:t>
      </w:r>
      <w:r w:rsidRPr="004676F5">
        <w:rPr>
          <w:lang w:val="de-DE"/>
        </w:rPr>
        <w:t> </w:t>
      </w:r>
      <w:r w:rsidR="005B7A5C" w:rsidRPr="004676F5">
        <w:rPr>
          <w:lang w:val="de-DE"/>
        </w:rPr>
        <w:t>- </w:t>
      </w:r>
      <w:r w:rsidRPr="004676F5">
        <w:rPr>
          <w:lang w:val="de-DE"/>
        </w:rPr>
        <w:t>Unternehmensschalter müssen die beantragte Eintragung, Änderung oder Streichung sofort vornehmen.</w:t>
      </w:r>
    </w:p>
    <w:p w14:paraId="5AEA0F02" w14:textId="77777777" w:rsidR="006C2B87" w:rsidRPr="004676F5" w:rsidRDefault="006C2B87" w:rsidP="006C2B87">
      <w:pPr>
        <w:rPr>
          <w:lang w:val="de-DE"/>
        </w:rPr>
      </w:pPr>
    </w:p>
    <w:p w14:paraId="604EB224" w14:textId="77777777" w:rsidR="006C2B87" w:rsidRPr="004676F5" w:rsidRDefault="006C2B87" w:rsidP="006C2B87">
      <w:pPr>
        <w:rPr>
          <w:lang w:val="de-DE"/>
        </w:rPr>
      </w:pPr>
    </w:p>
    <w:p w14:paraId="4614F6EE" w14:textId="1EE02E32" w:rsidR="00F6427E" w:rsidRPr="004676F5" w:rsidRDefault="006C2B87" w:rsidP="006C2B87">
      <w:pPr>
        <w:jc w:val="both"/>
        <w:rPr>
          <w:lang w:val="de-DE"/>
        </w:rPr>
      </w:pPr>
      <w:r w:rsidRPr="004676F5">
        <w:rPr>
          <w:lang w:val="de-DE"/>
        </w:rPr>
        <w:tab/>
      </w:r>
      <w:r w:rsidR="00BE0A56" w:rsidRPr="004676F5">
        <w:rPr>
          <w:b/>
          <w:lang w:val="de-DE"/>
        </w:rPr>
        <w:t>Art. </w:t>
      </w:r>
      <w:r w:rsidR="00F6427E" w:rsidRPr="004676F5">
        <w:rPr>
          <w:b/>
          <w:lang w:val="de-DE"/>
        </w:rPr>
        <w:t>III.55</w:t>
      </w:r>
      <w:r w:rsidR="00F6427E" w:rsidRPr="004676F5">
        <w:rPr>
          <w:lang w:val="de-DE"/>
        </w:rPr>
        <w:t> </w:t>
      </w:r>
      <w:r w:rsidR="005B7A5C" w:rsidRPr="004676F5">
        <w:rPr>
          <w:lang w:val="de-DE"/>
        </w:rPr>
        <w:t>- </w:t>
      </w:r>
      <w:r w:rsidR="00F6427E" w:rsidRPr="004676F5">
        <w:rPr>
          <w:lang w:val="de-DE"/>
        </w:rPr>
        <w:t>Unternehmensschalter müssen Eintragungs-, Änderungs</w:t>
      </w:r>
      <w:r w:rsidR="005B7A5C" w:rsidRPr="004676F5">
        <w:rPr>
          <w:lang w:val="de-DE"/>
        </w:rPr>
        <w:t>- </w:t>
      </w:r>
      <w:r w:rsidR="00F6427E" w:rsidRPr="004676F5">
        <w:rPr>
          <w:lang w:val="de-DE"/>
        </w:rPr>
        <w:t>oder Streichungsanträge ablehnen und die Gründe für diese Ablehnung angeben:</w:t>
      </w:r>
    </w:p>
    <w:p w14:paraId="2D51D8DC" w14:textId="77777777" w:rsidR="00F6427E" w:rsidRPr="004676F5" w:rsidRDefault="00F6427E" w:rsidP="00F6427E">
      <w:pPr>
        <w:jc w:val="both"/>
        <w:rPr>
          <w:lang w:val="de-DE"/>
        </w:rPr>
      </w:pPr>
    </w:p>
    <w:p w14:paraId="37F945F1" w14:textId="77777777" w:rsidR="00F6427E" w:rsidRPr="004676F5" w:rsidRDefault="00F6427E" w:rsidP="00F6427E">
      <w:pPr>
        <w:jc w:val="both"/>
        <w:rPr>
          <w:lang w:val="de-DE"/>
        </w:rPr>
      </w:pPr>
      <w:r w:rsidRPr="004676F5">
        <w:rPr>
          <w:lang w:val="de-DE"/>
        </w:rPr>
        <w:tab/>
        <w:t>1. wenn festgestellt wird, dass der Antrag von einer Person ausgeht, die nicht verpflichtet oder befugt ist, einen Antrag zu stellen,</w:t>
      </w:r>
    </w:p>
    <w:p w14:paraId="70FCF61B" w14:textId="77777777" w:rsidR="00F6427E" w:rsidRPr="004676F5" w:rsidRDefault="00F6427E" w:rsidP="00F6427E">
      <w:pPr>
        <w:jc w:val="both"/>
        <w:rPr>
          <w:lang w:val="de-DE"/>
        </w:rPr>
      </w:pPr>
    </w:p>
    <w:p w14:paraId="337A558E" w14:textId="77777777" w:rsidR="00F6427E" w:rsidRPr="004676F5" w:rsidRDefault="00F6427E" w:rsidP="00F6427E">
      <w:pPr>
        <w:jc w:val="both"/>
        <w:rPr>
          <w:lang w:val="de-DE"/>
        </w:rPr>
      </w:pPr>
      <w:r w:rsidRPr="004676F5">
        <w:rPr>
          <w:lang w:val="de-DE"/>
        </w:rPr>
        <w:tab/>
        <w:t>2. wenn Unterlagen oder Angaben, die der Antrag gemäß Artikel III.53 und seinen Ausführungserlassen enthalten muss, fehlen,</w:t>
      </w:r>
    </w:p>
    <w:p w14:paraId="77310A37" w14:textId="77777777" w:rsidR="00F6427E" w:rsidRPr="004676F5" w:rsidRDefault="00F6427E" w:rsidP="00F6427E">
      <w:pPr>
        <w:jc w:val="both"/>
        <w:rPr>
          <w:lang w:val="de-DE"/>
        </w:rPr>
      </w:pPr>
    </w:p>
    <w:p w14:paraId="2F61D3D2" w14:textId="77777777" w:rsidR="00F6427E" w:rsidRPr="004676F5" w:rsidRDefault="00F6427E" w:rsidP="00F6427E">
      <w:pPr>
        <w:jc w:val="both"/>
        <w:rPr>
          <w:lang w:val="de-DE"/>
        </w:rPr>
      </w:pPr>
      <w:r w:rsidRPr="004676F5">
        <w:rPr>
          <w:lang w:val="de-DE"/>
        </w:rPr>
        <w:tab/>
        <w:t>3. wenn die vor der Eintragung zu erfüllenden Bedingungen, die durch vorliegenden Titel und seine Ausführungserlasse oder aufgrund anderer Gesetze auferlegt sind und deren Kontrolle diesen Schaltern anvertraut ist, nicht erfüllt sind.</w:t>
      </w:r>
    </w:p>
    <w:p w14:paraId="5707F23C" w14:textId="77777777" w:rsidR="00F6427E" w:rsidRPr="004676F5" w:rsidRDefault="00F6427E" w:rsidP="00F6427E">
      <w:pPr>
        <w:jc w:val="both"/>
        <w:rPr>
          <w:lang w:val="de-DE"/>
        </w:rPr>
      </w:pPr>
    </w:p>
    <w:p w14:paraId="66E4C48E" w14:textId="77777777" w:rsidR="006C2B87" w:rsidRPr="004676F5" w:rsidRDefault="006C2B87" w:rsidP="00F6427E">
      <w:pPr>
        <w:jc w:val="both"/>
        <w:rPr>
          <w:lang w:val="de-DE"/>
        </w:rPr>
      </w:pPr>
    </w:p>
    <w:p w14:paraId="715576D7" w14:textId="054AB2C4"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III.56</w:t>
      </w:r>
      <w:r w:rsidRPr="004676F5">
        <w:rPr>
          <w:lang w:val="de-DE"/>
        </w:rPr>
        <w:t> </w:t>
      </w:r>
      <w:r w:rsidR="005B7A5C" w:rsidRPr="004676F5">
        <w:rPr>
          <w:lang w:val="de-DE"/>
        </w:rPr>
        <w:t>- </w:t>
      </w:r>
      <w:r w:rsidRPr="004676F5">
        <w:rPr>
          <w:lang w:val="de-DE"/>
        </w:rPr>
        <w:t>Die Ablehnung der Eintragung, Änderung oder Streichung in der Zentralen Datenbank der Unternehmen gilt als definitiv, außer wenn der Antragsteller einen neuen Antrag einreicht, der die Bedingungen erfüllt, oder innerhalb dreißig Werktagen ab dem Datum der Ablehnung der Eintragung beim Niederlassungsrat Widerspruch einlegt.</w:t>
      </w:r>
    </w:p>
    <w:p w14:paraId="76BD0E96" w14:textId="77777777" w:rsidR="00F6427E" w:rsidRPr="004676F5" w:rsidRDefault="00F6427E" w:rsidP="00F6427E">
      <w:pPr>
        <w:jc w:val="both"/>
        <w:rPr>
          <w:lang w:val="de-DE"/>
        </w:rPr>
      </w:pPr>
    </w:p>
    <w:p w14:paraId="4DE593B1" w14:textId="77777777" w:rsidR="006C2B87" w:rsidRPr="004676F5" w:rsidRDefault="006C2B87" w:rsidP="00F6427E">
      <w:pPr>
        <w:jc w:val="both"/>
        <w:rPr>
          <w:lang w:val="de-DE"/>
        </w:rPr>
      </w:pPr>
    </w:p>
    <w:p w14:paraId="7B5FC93C" w14:textId="56055008"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III.57</w:t>
      </w:r>
      <w:r w:rsidRPr="004676F5">
        <w:rPr>
          <w:lang w:val="de-DE"/>
        </w:rPr>
        <w:t> </w:t>
      </w:r>
      <w:r w:rsidR="005B7A5C" w:rsidRPr="004676F5">
        <w:rPr>
          <w:lang w:val="de-DE"/>
        </w:rPr>
        <w:t>- </w:t>
      </w:r>
      <w:r w:rsidRPr="004676F5">
        <w:rPr>
          <w:lang w:val="de-DE"/>
        </w:rPr>
        <w:t xml:space="preserve">Ein Unternehmensschalter übermittelt </w:t>
      </w:r>
      <w:r w:rsidR="00520C77" w:rsidRPr="004676F5">
        <w:rPr>
          <w:lang w:val="de-DE"/>
        </w:rPr>
        <w:t>[</w:t>
      </w:r>
      <w:r w:rsidRPr="004676F5">
        <w:rPr>
          <w:lang w:val="de-DE"/>
        </w:rPr>
        <w:t xml:space="preserve">dem </w:t>
      </w:r>
      <w:r w:rsidR="00520C77" w:rsidRPr="004676F5">
        <w:rPr>
          <w:lang w:val="de-DE"/>
        </w:rPr>
        <w:t xml:space="preserve">eintragungspflichtigen </w:t>
      </w:r>
      <w:r w:rsidRPr="004676F5">
        <w:rPr>
          <w:lang w:val="de-DE"/>
        </w:rPr>
        <w:t>Unternehmen</w:t>
      </w:r>
      <w:r w:rsidR="00520C77" w:rsidRPr="004676F5">
        <w:rPr>
          <w:lang w:val="de-DE"/>
        </w:rPr>
        <w:t>]</w:t>
      </w:r>
      <w:r w:rsidRPr="004676F5">
        <w:rPr>
          <w:lang w:val="de-DE"/>
        </w:rPr>
        <w:t xml:space="preserve"> unter den vom König festgelegten Bedingungen auf seinen Antrag hin einen vollständigen Auszug der Eintragung in die Zentrale Datenbank der Unternehmen mit Angabe des Ausstellungsdatums dieses Auszugs.</w:t>
      </w:r>
    </w:p>
    <w:p w14:paraId="24B7FE21" w14:textId="77777777" w:rsidR="00F6427E" w:rsidRPr="004676F5" w:rsidRDefault="00F6427E" w:rsidP="00F6427E">
      <w:pPr>
        <w:jc w:val="both"/>
        <w:rPr>
          <w:lang w:val="de-DE"/>
        </w:rPr>
      </w:pPr>
    </w:p>
    <w:p w14:paraId="419D113A" w14:textId="3ADAE8A6" w:rsidR="00F6427E" w:rsidRPr="004676F5" w:rsidRDefault="00F6427E" w:rsidP="00F6427E">
      <w:pPr>
        <w:jc w:val="both"/>
        <w:rPr>
          <w:lang w:val="de-DE"/>
        </w:rPr>
      </w:pPr>
      <w:r w:rsidRPr="004676F5">
        <w:rPr>
          <w:lang w:val="de-DE"/>
        </w:rPr>
        <w:tab/>
        <w:t xml:space="preserve">Der erste Auszug in Bezug auf eine Eintragung, Änderung oder Streichung wird </w:t>
      </w:r>
      <w:r w:rsidR="00520C77" w:rsidRPr="004676F5">
        <w:rPr>
          <w:lang w:val="de-DE"/>
        </w:rPr>
        <w:t xml:space="preserve">[dem eintragungspflichtigen Unternehmen] </w:t>
      </w:r>
      <w:r w:rsidRPr="004676F5">
        <w:rPr>
          <w:lang w:val="de-DE"/>
        </w:rPr>
        <w:t>kostenlos übermittelt.</w:t>
      </w:r>
    </w:p>
    <w:p w14:paraId="7B1BEB10" w14:textId="7915BEF1" w:rsidR="00520C77" w:rsidRPr="004676F5" w:rsidRDefault="00520C77" w:rsidP="00F6427E">
      <w:pPr>
        <w:jc w:val="both"/>
        <w:rPr>
          <w:lang w:val="de-DE"/>
        </w:rPr>
      </w:pPr>
    </w:p>
    <w:p w14:paraId="524B26C0" w14:textId="57551A5E" w:rsidR="00520C77" w:rsidRPr="004676F5" w:rsidRDefault="00520C77" w:rsidP="00F6427E">
      <w:pPr>
        <w:jc w:val="both"/>
        <w:rPr>
          <w:i/>
          <w:lang w:val="de-DE"/>
        </w:rPr>
      </w:pPr>
      <w:r w:rsidRPr="004676F5">
        <w:rPr>
          <w:i/>
          <w:lang w:val="de-DE"/>
        </w:rPr>
        <w:t>[Art. III. 57 Abs. 1 und 2 abgeändert durch Art. 75</w:t>
      </w:r>
      <w:r w:rsidRPr="004676F5">
        <w:rPr>
          <w:i/>
          <w:iCs/>
          <w:lang w:val="de-DE"/>
        </w:rPr>
        <w:t xml:space="preserve"> des G. vom 15. April 2018 (B.S. vom 27. April 2018)]</w:t>
      </w:r>
    </w:p>
    <w:p w14:paraId="41AAC4B9" w14:textId="77777777" w:rsidR="00F6427E" w:rsidRPr="004676F5" w:rsidRDefault="00F6427E" w:rsidP="00F6427E">
      <w:pPr>
        <w:jc w:val="both"/>
        <w:rPr>
          <w:lang w:val="de-DE"/>
        </w:rPr>
      </w:pPr>
    </w:p>
    <w:p w14:paraId="4F49C133" w14:textId="77777777" w:rsidR="006C2B87" w:rsidRPr="004676F5" w:rsidRDefault="006C2B87">
      <w:pPr>
        <w:rPr>
          <w:lang w:val="de-DE"/>
        </w:rPr>
      </w:pPr>
      <w:r w:rsidRPr="004676F5">
        <w:rPr>
          <w:lang w:val="de-DE"/>
        </w:rPr>
        <w:br w:type="page"/>
      </w:r>
    </w:p>
    <w:p w14:paraId="5B85B31E" w14:textId="2F526E81" w:rsidR="00F6427E" w:rsidRPr="004676F5" w:rsidRDefault="00F6427E" w:rsidP="00F6427E">
      <w:pPr>
        <w:jc w:val="center"/>
        <w:rPr>
          <w:lang w:val="de-DE"/>
        </w:rPr>
      </w:pPr>
      <w:r w:rsidRPr="004676F5">
        <w:rPr>
          <w:lang w:val="de-DE"/>
        </w:rPr>
        <w:lastRenderedPageBreak/>
        <w:t>KAPITEL 3 </w:t>
      </w:r>
      <w:r w:rsidR="005B7A5C" w:rsidRPr="004676F5">
        <w:rPr>
          <w:lang w:val="de-DE"/>
        </w:rPr>
        <w:t>- </w:t>
      </w:r>
      <w:r w:rsidRPr="004676F5">
        <w:rPr>
          <w:i/>
          <w:lang w:val="de-DE"/>
        </w:rPr>
        <w:t>Organisation der Unternehmensschalter</w:t>
      </w:r>
    </w:p>
    <w:p w14:paraId="33356DD3" w14:textId="77777777" w:rsidR="00F6427E" w:rsidRPr="004676F5" w:rsidRDefault="00F6427E" w:rsidP="00F6427E">
      <w:pPr>
        <w:jc w:val="center"/>
        <w:rPr>
          <w:lang w:val="de-DE"/>
        </w:rPr>
      </w:pPr>
    </w:p>
    <w:p w14:paraId="23C30F05" w14:textId="77777777" w:rsidR="006C2B87" w:rsidRPr="004676F5" w:rsidRDefault="006C2B87" w:rsidP="00F6427E">
      <w:pPr>
        <w:jc w:val="center"/>
        <w:rPr>
          <w:lang w:val="de-DE"/>
        </w:rPr>
      </w:pPr>
    </w:p>
    <w:p w14:paraId="0D2404B7" w14:textId="4DACCC53" w:rsidR="00F6427E" w:rsidRPr="004676F5" w:rsidRDefault="00F6427E" w:rsidP="00F6427E">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Einrichtung und Aufgaben der Unternehmensschalter</w:t>
      </w:r>
    </w:p>
    <w:p w14:paraId="39D5A86A" w14:textId="77777777" w:rsidR="00F6427E" w:rsidRPr="004676F5" w:rsidRDefault="00F6427E" w:rsidP="00F6427E">
      <w:pPr>
        <w:jc w:val="both"/>
        <w:rPr>
          <w:lang w:val="de-DE"/>
        </w:rPr>
      </w:pPr>
    </w:p>
    <w:p w14:paraId="54AAAC5E" w14:textId="77777777" w:rsidR="006C2B87" w:rsidRPr="004676F5" w:rsidRDefault="006C2B87" w:rsidP="00F6427E">
      <w:pPr>
        <w:jc w:val="both"/>
        <w:rPr>
          <w:lang w:val="de-DE"/>
        </w:rPr>
      </w:pPr>
    </w:p>
    <w:p w14:paraId="32A38564" w14:textId="7ADEEC25"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III.58</w:t>
      </w:r>
      <w:r w:rsidRPr="004676F5">
        <w:rPr>
          <w:lang w:val="de-DE"/>
        </w:rPr>
        <w:t> </w:t>
      </w:r>
      <w:r w:rsidR="005B7A5C" w:rsidRPr="004676F5">
        <w:rPr>
          <w:lang w:val="de-DE"/>
        </w:rPr>
        <w:t>- </w:t>
      </w:r>
      <w:r w:rsidRPr="004676F5">
        <w:rPr>
          <w:lang w:val="de-DE"/>
        </w:rPr>
        <w:t>Niemand darf ohne vorherige schriftliche Zulassung des Ministers die Tätigkeit eines Unternehmensschalters ausüben.</w:t>
      </w:r>
    </w:p>
    <w:p w14:paraId="46410EBE" w14:textId="77777777" w:rsidR="00F6427E" w:rsidRPr="004676F5" w:rsidRDefault="00F6427E" w:rsidP="00F6427E">
      <w:pPr>
        <w:jc w:val="both"/>
        <w:rPr>
          <w:lang w:val="de-DE"/>
        </w:rPr>
      </w:pPr>
    </w:p>
    <w:p w14:paraId="48DF5874" w14:textId="77777777" w:rsidR="006C2B87" w:rsidRPr="004676F5" w:rsidRDefault="006C2B87" w:rsidP="00F6427E">
      <w:pPr>
        <w:jc w:val="both"/>
        <w:rPr>
          <w:lang w:val="de-DE"/>
        </w:rPr>
      </w:pPr>
    </w:p>
    <w:p w14:paraId="3B513448" w14:textId="13155B62"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III.59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der Aufträge, die Unternehmensschaltern durch oder in Ausführung des vorliegenden Buches oder anderer Gesetze anvertraut werden, müssen sie folgende Aufträge erfüllen:</w:t>
      </w:r>
    </w:p>
    <w:p w14:paraId="354F7557" w14:textId="77777777" w:rsidR="00F6427E" w:rsidRPr="004676F5" w:rsidRDefault="00F6427E" w:rsidP="00F6427E">
      <w:pPr>
        <w:jc w:val="both"/>
        <w:rPr>
          <w:lang w:val="de-DE"/>
        </w:rPr>
      </w:pPr>
    </w:p>
    <w:p w14:paraId="44555383" w14:textId="77777777" w:rsidR="00F6427E" w:rsidRPr="004676F5" w:rsidRDefault="00F6427E" w:rsidP="00F6427E">
      <w:pPr>
        <w:jc w:val="both"/>
        <w:rPr>
          <w:lang w:val="de-DE"/>
        </w:rPr>
      </w:pPr>
      <w:r w:rsidRPr="004676F5">
        <w:rPr>
          <w:lang w:val="de-DE"/>
        </w:rPr>
        <w:tab/>
        <w:t>1. durch ihre Infrastruktur Dienstleistungserbringern ermöglichen:</w:t>
      </w:r>
    </w:p>
    <w:p w14:paraId="18719851" w14:textId="77777777" w:rsidR="00F6427E" w:rsidRPr="004676F5" w:rsidRDefault="00F6427E" w:rsidP="00F6427E">
      <w:pPr>
        <w:jc w:val="both"/>
        <w:rPr>
          <w:lang w:val="de-DE"/>
        </w:rPr>
      </w:pPr>
    </w:p>
    <w:p w14:paraId="58ED1917" w14:textId="77777777" w:rsidR="00F6427E" w:rsidRPr="004676F5" w:rsidRDefault="00F6427E" w:rsidP="00F6427E">
      <w:pPr>
        <w:jc w:val="both"/>
        <w:rPr>
          <w:lang w:val="de-DE"/>
        </w:rPr>
      </w:pPr>
      <w:r w:rsidRPr="004676F5">
        <w:rPr>
          <w:lang w:val="de-DE"/>
        </w:rPr>
        <w:tab/>
      </w:r>
      <w:r w:rsidRPr="004676F5">
        <w:rPr>
          <w:i/>
          <w:lang w:val="de-DE"/>
        </w:rPr>
        <w:t>a)</w:t>
      </w:r>
      <w:r w:rsidRPr="004676F5">
        <w:rPr>
          <w:lang w:val="de-DE"/>
        </w:rPr>
        <w:t> alle Verfahren und Formalitäten abzuwickeln, die für die Aufnahme der in den Artikeln 1 und 2 der Dienstleistungsrichtlinie erwähnten Dienstleistungstätigkeiten erforderlich sind, insbesondere Erklärungen, Anmeldungen oder die Beantragung von Genehmigungen bei den zuständigen Behörden, einschließlich der Beantragung der Eintragung in Register, Berufsrollen oder Datenbanken oder der Registrierung bei Berufsverbänden beziehungsweise -kammern oder Berufsorganisationen,</w:t>
      </w:r>
    </w:p>
    <w:p w14:paraId="1AE87401" w14:textId="77777777" w:rsidR="00F6427E" w:rsidRPr="004676F5" w:rsidRDefault="00F6427E" w:rsidP="00F6427E">
      <w:pPr>
        <w:jc w:val="both"/>
        <w:rPr>
          <w:lang w:val="de-DE"/>
        </w:rPr>
      </w:pPr>
    </w:p>
    <w:p w14:paraId="62B70C60" w14:textId="77777777" w:rsidR="00F6427E" w:rsidRPr="004676F5" w:rsidRDefault="00F6427E" w:rsidP="006C2B87">
      <w:pPr>
        <w:jc w:val="both"/>
        <w:rPr>
          <w:lang w:val="de-DE"/>
        </w:rPr>
      </w:pPr>
      <w:r w:rsidRPr="004676F5">
        <w:rPr>
          <w:lang w:val="de-DE"/>
        </w:rPr>
        <w:tab/>
      </w:r>
      <w:r w:rsidRPr="004676F5">
        <w:rPr>
          <w:i/>
          <w:lang w:val="de-DE"/>
        </w:rPr>
        <w:t>b)</w:t>
      </w:r>
      <w:r w:rsidRPr="004676F5">
        <w:rPr>
          <w:lang w:val="de-DE"/>
        </w:rPr>
        <w:t> die Beantragung der Genehmigungen abzuwickeln, die für die Ausübung der in der Dienstleistungsrichtlinie erwähnten Dienstleistungstätigkeiten erforderlich sind,</w:t>
      </w:r>
    </w:p>
    <w:p w14:paraId="236299B1" w14:textId="77777777" w:rsidR="006C2B87" w:rsidRPr="004676F5" w:rsidRDefault="006C2B87" w:rsidP="006C2B87">
      <w:pPr>
        <w:jc w:val="both"/>
        <w:rPr>
          <w:lang w:val="de-DE"/>
        </w:rPr>
      </w:pPr>
    </w:p>
    <w:p w14:paraId="18AED479" w14:textId="3ACDE960" w:rsidR="00F6427E" w:rsidRPr="004676F5" w:rsidRDefault="00F6427E" w:rsidP="00F6427E">
      <w:pPr>
        <w:jc w:val="both"/>
        <w:rPr>
          <w:lang w:val="de-DE"/>
        </w:rPr>
      </w:pPr>
      <w:r w:rsidRPr="004676F5">
        <w:rPr>
          <w:lang w:val="de-DE"/>
        </w:rPr>
        <w:tab/>
        <w:t>2. </w:t>
      </w:r>
      <w:r w:rsidR="00520C77" w:rsidRPr="004676F5">
        <w:rPr>
          <w:lang w:val="de-DE"/>
        </w:rPr>
        <w:t>[eintragungspflichtige Unternehmen]</w:t>
      </w:r>
      <w:r w:rsidRPr="004676F5">
        <w:rPr>
          <w:lang w:val="de-DE"/>
        </w:rPr>
        <w:t xml:space="preserve"> in dieser Eigenschaft bei der Zentralen Datenbank der Unternehmen eintragen,</w:t>
      </w:r>
    </w:p>
    <w:p w14:paraId="0619F024" w14:textId="77777777" w:rsidR="00F6427E" w:rsidRPr="004676F5" w:rsidRDefault="00F6427E" w:rsidP="00F6427E">
      <w:pPr>
        <w:jc w:val="both"/>
        <w:rPr>
          <w:lang w:val="de-DE"/>
        </w:rPr>
      </w:pPr>
    </w:p>
    <w:p w14:paraId="2C1E41D0" w14:textId="298FD758" w:rsidR="00F6427E" w:rsidRPr="004676F5" w:rsidRDefault="00F6427E" w:rsidP="00F6427E">
      <w:pPr>
        <w:jc w:val="both"/>
        <w:rPr>
          <w:lang w:val="de-DE"/>
        </w:rPr>
      </w:pPr>
      <w:r w:rsidRPr="004676F5">
        <w:rPr>
          <w:lang w:val="de-DE"/>
        </w:rPr>
        <w:tab/>
        <w:t xml:space="preserve">3. in den vom König bestimmten Fällen überprüfen, ob </w:t>
      </w:r>
      <w:r w:rsidR="00520C77" w:rsidRPr="004676F5">
        <w:rPr>
          <w:lang w:val="de-DE"/>
        </w:rPr>
        <w:t>[eintragungspflichtige Unternehmen]</w:t>
      </w:r>
      <w:r w:rsidRPr="004676F5">
        <w:rPr>
          <w:lang w:val="de-DE"/>
        </w:rPr>
        <w:t xml:space="preserve"> die aufgrund besonderer Gesetze und Regelungen vorgeschriebenen Eintragungsbedingungen erfüllen,</w:t>
      </w:r>
    </w:p>
    <w:p w14:paraId="1FCF8CE6" w14:textId="77777777" w:rsidR="00F6427E" w:rsidRPr="004676F5" w:rsidRDefault="00F6427E" w:rsidP="00F6427E">
      <w:pPr>
        <w:jc w:val="both"/>
        <w:rPr>
          <w:lang w:val="de-DE"/>
        </w:rPr>
      </w:pPr>
    </w:p>
    <w:p w14:paraId="785D2034" w14:textId="77777777" w:rsidR="00F6427E" w:rsidRPr="004676F5" w:rsidRDefault="00F6427E" w:rsidP="00F6427E">
      <w:pPr>
        <w:jc w:val="both"/>
        <w:rPr>
          <w:lang w:val="de-DE"/>
        </w:rPr>
      </w:pPr>
      <w:r w:rsidRPr="004676F5">
        <w:rPr>
          <w:lang w:val="de-DE"/>
        </w:rPr>
        <w:tab/>
        <w:t>4. gemäß den vom König festgelegten Modalitäten und Bedingungen Zugang zu den in Nr. 2 erwähnten Eintragungsdaten gewährleisten,</w:t>
      </w:r>
    </w:p>
    <w:p w14:paraId="27A96420" w14:textId="77777777" w:rsidR="00F6427E" w:rsidRPr="004676F5" w:rsidRDefault="00F6427E" w:rsidP="00F6427E">
      <w:pPr>
        <w:jc w:val="both"/>
        <w:rPr>
          <w:lang w:val="de-DE"/>
        </w:rPr>
      </w:pPr>
    </w:p>
    <w:p w14:paraId="2872F592" w14:textId="77777777" w:rsidR="00F6427E" w:rsidRPr="004676F5" w:rsidRDefault="00F6427E" w:rsidP="00F6427E">
      <w:pPr>
        <w:jc w:val="both"/>
        <w:rPr>
          <w:lang w:val="de-DE"/>
        </w:rPr>
      </w:pPr>
      <w:r w:rsidRPr="004676F5">
        <w:rPr>
          <w:lang w:val="de-DE"/>
        </w:rPr>
        <w:tab/>
        <w:t>5. gemäß den vom König festgelegten Modalitäten Archive über die in den Nummern 2 und 3 erwähnten Bedingungen und Eintragungen aufbewahren,</w:t>
      </w:r>
    </w:p>
    <w:p w14:paraId="5D43A2A0" w14:textId="77777777" w:rsidR="00F6427E" w:rsidRPr="004676F5" w:rsidRDefault="00F6427E" w:rsidP="00F6427E">
      <w:pPr>
        <w:jc w:val="both"/>
        <w:rPr>
          <w:lang w:val="de-DE"/>
        </w:rPr>
      </w:pPr>
    </w:p>
    <w:p w14:paraId="06C2C3FF" w14:textId="77777777" w:rsidR="00F6427E" w:rsidRPr="004676F5" w:rsidRDefault="00F6427E" w:rsidP="00F6427E">
      <w:pPr>
        <w:jc w:val="both"/>
        <w:rPr>
          <w:lang w:val="de-DE"/>
        </w:rPr>
      </w:pPr>
      <w:r w:rsidRPr="004676F5">
        <w:rPr>
          <w:lang w:val="de-DE"/>
        </w:rPr>
        <w:tab/>
        <w:t>6. in Ausführung des vorliegenden Buches oder anderer Gesetze oder aufgrund dieser Gesetze gemäß den vom König festgelegten Modalitäten administrative Formalitäten verrichten,</w:t>
      </w:r>
    </w:p>
    <w:p w14:paraId="78E5C861" w14:textId="77777777" w:rsidR="00F6427E" w:rsidRPr="004676F5" w:rsidRDefault="00F6427E" w:rsidP="00F6427E">
      <w:pPr>
        <w:jc w:val="both"/>
        <w:rPr>
          <w:lang w:val="de-DE"/>
        </w:rPr>
      </w:pPr>
    </w:p>
    <w:p w14:paraId="22451AAA" w14:textId="77777777" w:rsidR="00F6427E" w:rsidRPr="004676F5" w:rsidRDefault="00F6427E" w:rsidP="00F6427E">
      <w:pPr>
        <w:jc w:val="both"/>
        <w:rPr>
          <w:lang w:val="de-DE"/>
        </w:rPr>
      </w:pPr>
      <w:r w:rsidRPr="004676F5">
        <w:rPr>
          <w:lang w:val="de-DE"/>
        </w:rPr>
        <w:tab/>
        <w:t>7. sicherstellen, dass Dienstleistungserbringer und -empfänger für die in § 1 Nr. 1 Buchstabe </w:t>
      </w:r>
      <w:r w:rsidRPr="004676F5">
        <w:rPr>
          <w:i/>
          <w:lang w:val="de-DE"/>
        </w:rPr>
        <w:t>a)</w:t>
      </w:r>
      <w:r w:rsidRPr="004676F5">
        <w:rPr>
          <w:lang w:val="de-DE"/>
        </w:rPr>
        <w:t xml:space="preserve"> und </w:t>
      </w:r>
      <w:r w:rsidRPr="004676F5">
        <w:rPr>
          <w:i/>
          <w:lang w:val="de-DE"/>
        </w:rPr>
        <w:t>b)</w:t>
      </w:r>
      <w:r w:rsidRPr="004676F5">
        <w:rPr>
          <w:lang w:val="de-DE"/>
        </w:rPr>
        <w:t xml:space="preserve"> erwähnten Dienstleistungstätigkeiten folgende Informationen erhalten:</w:t>
      </w:r>
    </w:p>
    <w:p w14:paraId="501CB51D" w14:textId="77777777" w:rsidR="00F6427E" w:rsidRPr="004676F5" w:rsidRDefault="00F6427E" w:rsidP="00F6427E">
      <w:pPr>
        <w:jc w:val="both"/>
        <w:rPr>
          <w:lang w:val="de-DE"/>
        </w:rPr>
      </w:pPr>
    </w:p>
    <w:p w14:paraId="785CECB4" w14:textId="77777777" w:rsidR="00F6427E" w:rsidRPr="004676F5" w:rsidRDefault="00F6427E" w:rsidP="00F6427E">
      <w:pPr>
        <w:jc w:val="both"/>
        <w:rPr>
          <w:lang w:val="de-DE"/>
        </w:rPr>
      </w:pPr>
      <w:r w:rsidRPr="004676F5">
        <w:rPr>
          <w:lang w:val="de-DE"/>
        </w:rPr>
        <w:tab/>
      </w:r>
      <w:r w:rsidRPr="004676F5">
        <w:rPr>
          <w:i/>
          <w:lang w:val="de-DE"/>
        </w:rPr>
        <w:t>a)</w:t>
      </w:r>
      <w:r w:rsidRPr="004676F5">
        <w:rPr>
          <w:lang w:val="de-DE"/>
        </w:rPr>
        <w:t> Anforderungen, die für Dienstleistungserbringer gelten, insbesondere bezüglich der Verfahren und Formalitäten für die Aufnahme und Ausübung von Dienstleistungstätigkeiten,</w:t>
      </w:r>
    </w:p>
    <w:p w14:paraId="1FF1A70F" w14:textId="77777777" w:rsidR="00F6427E" w:rsidRPr="004676F5" w:rsidRDefault="00F6427E" w:rsidP="00F6427E">
      <w:pPr>
        <w:jc w:val="both"/>
        <w:rPr>
          <w:lang w:val="de-DE"/>
        </w:rPr>
      </w:pPr>
    </w:p>
    <w:p w14:paraId="14A2B30F" w14:textId="77777777" w:rsidR="00F6427E" w:rsidRPr="004676F5" w:rsidRDefault="00F6427E" w:rsidP="00F6427E">
      <w:pPr>
        <w:jc w:val="both"/>
        <w:rPr>
          <w:lang w:val="de-DE"/>
        </w:rPr>
      </w:pPr>
      <w:r w:rsidRPr="004676F5">
        <w:rPr>
          <w:lang w:val="de-DE"/>
        </w:rPr>
        <w:lastRenderedPageBreak/>
        <w:tab/>
      </w:r>
      <w:r w:rsidRPr="004676F5">
        <w:rPr>
          <w:i/>
          <w:lang w:val="de-DE"/>
        </w:rPr>
        <w:t>b)</w:t>
      </w:r>
      <w:r w:rsidRPr="004676F5">
        <w:rPr>
          <w:lang w:val="de-DE"/>
        </w:rPr>
        <w:t> Angaben zu den zuständigen Behörden, einschließlich der für die Ausübung von Dienstleistungstätigkeiten zuständigen Behörden, um eine direkte Kontaktaufnahme mit diesen zu ermöglichen,</w:t>
      </w:r>
    </w:p>
    <w:p w14:paraId="40BBFA4D" w14:textId="77777777" w:rsidR="00F6427E" w:rsidRPr="004676F5" w:rsidRDefault="00F6427E" w:rsidP="00F6427E">
      <w:pPr>
        <w:jc w:val="both"/>
        <w:rPr>
          <w:lang w:val="de-DE"/>
        </w:rPr>
      </w:pPr>
    </w:p>
    <w:p w14:paraId="067E2A20" w14:textId="77777777" w:rsidR="00F6427E" w:rsidRPr="004676F5" w:rsidRDefault="00F6427E" w:rsidP="00F6427E">
      <w:pPr>
        <w:jc w:val="both"/>
        <w:rPr>
          <w:lang w:val="de-DE"/>
        </w:rPr>
      </w:pPr>
      <w:r w:rsidRPr="004676F5">
        <w:rPr>
          <w:lang w:val="de-DE"/>
        </w:rPr>
        <w:tab/>
      </w:r>
      <w:r w:rsidRPr="004676F5">
        <w:rPr>
          <w:i/>
          <w:lang w:val="de-DE"/>
        </w:rPr>
        <w:t>c)</w:t>
      </w:r>
      <w:r w:rsidRPr="004676F5">
        <w:rPr>
          <w:lang w:val="de-DE"/>
        </w:rPr>
        <w:t> Mittel und Bedingungen für den Zugang zu öffentlichen Registern und Datenbanken über Dienstleistungserbringer und Dienstleistungen,</w:t>
      </w:r>
    </w:p>
    <w:p w14:paraId="3122D269" w14:textId="77777777" w:rsidR="00F6427E" w:rsidRPr="004676F5" w:rsidRDefault="00F6427E" w:rsidP="00F6427E">
      <w:pPr>
        <w:jc w:val="both"/>
        <w:rPr>
          <w:lang w:val="de-DE"/>
        </w:rPr>
      </w:pPr>
    </w:p>
    <w:p w14:paraId="1FEED63F" w14:textId="77777777" w:rsidR="00F6427E" w:rsidRPr="004676F5" w:rsidRDefault="00F6427E" w:rsidP="00F6427E">
      <w:pPr>
        <w:jc w:val="both"/>
        <w:rPr>
          <w:lang w:val="de-DE"/>
        </w:rPr>
      </w:pPr>
      <w:r w:rsidRPr="004676F5">
        <w:rPr>
          <w:lang w:val="de-DE"/>
        </w:rPr>
        <w:tab/>
      </w:r>
      <w:r w:rsidRPr="004676F5">
        <w:rPr>
          <w:i/>
          <w:lang w:val="de-DE"/>
        </w:rPr>
        <w:t>d)</w:t>
      </w:r>
      <w:r w:rsidRPr="004676F5">
        <w:rPr>
          <w:lang w:val="de-DE"/>
        </w:rPr>
        <w:t> allgemein verfügbare Rechtsbehelfe im Falle von Streitigkeiten zwischen den zuständigen Behörden und den Dienstleistungserbringern oder -empfängern oder zwischen Dienstleistungserbringern und -empfängern oder zwischen Dienstleistungserbringern,</w:t>
      </w:r>
    </w:p>
    <w:p w14:paraId="289DE908" w14:textId="77777777" w:rsidR="00F6427E" w:rsidRPr="004676F5" w:rsidRDefault="00F6427E" w:rsidP="00F6427E">
      <w:pPr>
        <w:jc w:val="both"/>
        <w:rPr>
          <w:lang w:val="de-DE"/>
        </w:rPr>
      </w:pPr>
    </w:p>
    <w:p w14:paraId="4D01AFF2" w14:textId="77777777" w:rsidR="00F6427E" w:rsidRPr="004676F5" w:rsidRDefault="00F6427E" w:rsidP="00F6427E">
      <w:pPr>
        <w:jc w:val="both"/>
        <w:rPr>
          <w:lang w:val="de-DE"/>
        </w:rPr>
      </w:pPr>
      <w:r w:rsidRPr="004676F5">
        <w:rPr>
          <w:lang w:val="de-DE"/>
        </w:rPr>
        <w:tab/>
      </w:r>
      <w:r w:rsidRPr="004676F5">
        <w:rPr>
          <w:i/>
          <w:lang w:val="de-DE"/>
        </w:rPr>
        <w:t>e)</w:t>
      </w:r>
      <w:r w:rsidRPr="004676F5">
        <w:rPr>
          <w:lang w:val="de-DE"/>
        </w:rPr>
        <w:t> Angaben zu Verbänden oder Organisationen, die, ohne eine zuständige Behörde zu sein, Dienstleistungserbringer oder -empfänger praktisch unterstützen,</w:t>
      </w:r>
    </w:p>
    <w:p w14:paraId="54C7C129" w14:textId="77777777" w:rsidR="00F6427E" w:rsidRPr="004676F5" w:rsidRDefault="00F6427E" w:rsidP="00F6427E">
      <w:pPr>
        <w:jc w:val="both"/>
        <w:rPr>
          <w:lang w:val="de-DE"/>
        </w:rPr>
      </w:pPr>
    </w:p>
    <w:p w14:paraId="0E4A3177" w14:textId="77777777" w:rsidR="00F6427E" w:rsidRPr="004676F5" w:rsidRDefault="00F6427E" w:rsidP="00F6427E">
      <w:pPr>
        <w:jc w:val="both"/>
        <w:rPr>
          <w:lang w:val="de-DE"/>
        </w:rPr>
      </w:pPr>
      <w:r w:rsidRPr="004676F5">
        <w:rPr>
          <w:lang w:val="de-DE"/>
        </w:rPr>
        <w:tab/>
        <w:t>8. gemäß den vom König festgelegten Modalitäten und Bedingungen Eintragungsgebühren, Registrierungsgebühren, Vergütungen und Offenlegungskosten in Bezug auf die in vorliegendem Artikel erwähnten Aufträge zugunsten der Staatskasse einnehmen,</w:t>
      </w:r>
    </w:p>
    <w:p w14:paraId="4F586777" w14:textId="77777777" w:rsidR="00F6427E" w:rsidRPr="004676F5" w:rsidRDefault="00F6427E" w:rsidP="00F6427E">
      <w:pPr>
        <w:jc w:val="both"/>
        <w:rPr>
          <w:lang w:val="de-DE"/>
        </w:rPr>
      </w:pPr>
    </w:p>
    <w:p w14:paraId="0D8613C7" w14:textId="77777777" w:rsidR="00F6427E" w:rsidRPr="004676F5" w:rsidRDefault="00F6427E" w:rsidP="00F6427E">
      <w:pPr>
        <w:jc w:val="both"/>
        <w:rPr>
          <w:lang w:val="de-DE"/>
        </w:rPr>
      </w:pPr>
      <w:r w:rsidRPr="004676F5">
        <w:rPr>
          <w:lang w:val="de-DE"/>
        </w:rPr>
        <w:tab/>
        <w:t>9. juristischen und natürlichen Personen, die eine Eintragung in die Zentrale Datenbank der Unternehmen beantragen, folgende Informationen erteilen:</w:t>
      </w:r>
    </w:p>
    <w:p w14:paraId="6BB18112" w14:textId="77777777" w:rsidR="00F6427E" w:rsidRPr="004676F5" w:rsidRDefault="00F6427E" w:rsidP="00F6427E">
      <w:pPr>
        <w:jc w:val="both"/>
        <w:rPr>
          <w:lang w:val="de-DE"/>
        </w:rPr>
      </w:pPr>
    </w:p>
    <w:p w14:paraId="13B19032" w14:textId="142AE397" w:rsidR="00F6427E" w:rsidRPr="004676F5" w:rsidRDefault="00F6427E" w:rsidP="006C2B87">
      <w:pPr>
        <w:jc w:val="both"/>
        <w:rPr>
          <w:lang w:val="de-DE"/>
        </w:rPr>
      </w:pPr>
      <w:r w:rsidRPr="004676F5">
        <w:rPr>
          <w:lang w:val="de-DE"/>
        </w:rPr>
        <w:tab/>
      </w:r>
      <w:r w:rsidRPr="004676F5">
        <w:rPr>
          <w:i/>
          <w:lang w:val="de-DE"/>
        </w:rPr>
        <w:t>a)</w:t>
      </w:r>
      <w:r w:rsidRPr="004676F5">
        <w:rPr>
          <w:lang w:val="de-DE"/>
        </w:rPr>
        <w:t xml:space="preserve"> Natürliche Personen, die in Belgien eine selbständige Berufstätigkeit ausüben, aufgrund deren sie einer Sozialversicherungskasse für Selbständige angeschlossen sein müssen, müssen sich </w:t>
      </w:r>
      <w:r w:rsidR="00AE551D" w:rsidRPr="004676F5">
        <w:rPr>
          <w:lang w:val="de-DE"/>
        </w:rPr>
        <w:t xml:space="preserve">[vor </w:t>
      </w:r>
      <w:r w:rsidRPr="004676F5">
        <w:rPr>
          <w:lang w:val="de-DE"/>
        </w:rPr>
        <w:t>Beginn</w:t>
      </w:r>
      <w:r w:rsidR="00AE551D" w:rsidRPr="004676F5">
        <w:rPr>
          <w:lang w:val="de-DE"/>
        </w:rPr>
        <w:t>]</w:t>
      </w:r>
      <w:r w:rsidRPr="004676F5">
        <w:rPr>
          <w:lang w:val="de-DE"/>
        </w:rPr>
        <w:t xml:space="preserve"> der selbständigen Tätigkeit anschließen.</w:t>
      </w:r>
    </w:p>
    <w:p w14:paraId="1DF57CFF" w14:textId="77777777" w:rsidR="006C2B87" w:rsidRPr="004676F5" w:rsidRDefault="006C2B87" w:rsidP="006C2B87">
      <w:pPr>
        <w:jc w:val="both"/>
        <w:rPr>
          <w:lang w:val="de-DE"/>
        </w:rPr>
      </w:pPr>
    </w:p>
    <w:p w14:paraId="6DC90A44" w14:textId="395F6B5C" w:rsidR="00F6427E" w:rsidRPr="004676F5" w:rsidRDefault="00F6427E" w:rsidP="00F6427E">
      <w:pPr>
        <w:jc w:val="both"/>
        <w:rPr>
          <w:lang w:val="de-DE"/>
        </w:rPr>
      </w:pPr>
      <w:r w:rsidRPr="004676F5">
        <w:rPr>
          <w:lang w:val="de-DE"/>
        </w:rPr>
        <w:tab/>
      </w:r>
      <w:r w:rsidRPr="004676F5">
        <w:rPr>
          <w:i/>
          <w:lang w:val="de-DE"/>
        </w:rPr>
        <w:t>b)</w:t>
      </w:r>
      <w:r w:rsidRPr="004676F5">
        <w:rPr>
          <w:lang w:val="de-DE"/>
        </w:rPr>
        <w:t> </w:t>
      </w:r>
      <w:r w:rsidR="00AE551D" w:rsidRPr="004676F5">
        <w:rPr>
          <w:lang w:val="de-DE"/>
        </w:rPr>
        <w:t>[Die in Buchstabe </w:t>
      </w:r>
      <w:r w:rsidR="00AE551D" w:rsidRPr="004676F5">
        <w:rPr>
          <w:i/>
          <w:iCs/>
          <w:lang w:val="de-DE"/>
        </w:rPr>
        <w:t>a)</w:t>
      </w:r>
      <w:r w:rsidR="00AE551D" w:rsidRPr="004676F5">
        <w:rPr>
          <w:lang w:val="de-DE"/>
        </w:rPr>
        <w:t xml:space="preserve"> erwähnte natürliche Person ist mit dem Helfer im Sinne von Artikel 6 des Königlichen Erlasses Nr. 38 vom 27. Juli 1967 zur Einführung des Sozialstatuts der Selbständigen gesamtschuldnerisch zur Zahlung der Beiträge und der in Artikel 17</w:t>
      </w:r>
      <w:r w:rsidR="00AE551D" w:rsidRPr="004676F5">
        <w:rPr>
          <w:i/>
          <w:iCs/>
          <w:lang w:val="de-DE"/>
        </w:rPr>
        <w:t>bis</w:t>
      </w:r>
      <w:r w:rsidR="00AE551D" w:rsidRPr="004676F5">
        <w:rPr>
          <w:lang w:val="de-DE"/>
        </w:rPr>
        <w:t xml:space="preserve"> desselben Königlichen Erlasses erwähnten administrativen Geldbußen verpflichtet, die letzterer schuldet.]</w:t>
      </w:r>
    </w:p>
    <w:p w14:paraId="549BC56B" w14:textId="77777777" w:rsidR="00F6427E" w:rsidRPr="004676F5" w:rsidRDefault="00F6427E" w:rsidP="00F6427E">
      <w:pPr>
        <w:jc w:val="both"/>
        <w:rPr>
          <w:lang w:val="de-DE"/>
        </w:rPr>
      </w:pPr>
    </w:p>
    <w:p w14:paraId="76F1774E" w14:textId="7692FF23" w:rsidR="00F6427E" w:rsidRPr="004676F5" w:rsidRDefault="00F6427E" w:rsidP="00F6427E">
      <w:pPr>
        <w:jc w:val="both"/>
        <w:rPr>
          <w:lang w:val="de-DE"/>
        </w:rPr>
      </w:pPr>
      <w:r w:rsidRPr="004676F5">
        <w:rPr>
          <w:lang w:val="de-DE"/>
        </w:rPr>
        <w:tab/>
      </w:r>
      <w:r w:rsidRPr="004676F5">
        <w:rPr>
          <w:i/>
          <w:lang w:val="de-DE"/>
        </w:rPr>
        <w:t>c)</w:t>
      </w:r>
      <w:r w:rsidRPr="004676F5">
        <w:rPr>
          <w:lang w:val="de-DE"/>
        </w:rPr>
        <w:t> </w:t>
      </w:r>
      <w:r w:rsidR="00AE551D" w:rsidRPr="004676F5">
        <w:rPr>
          <w:lang w:val="de-DE"/>
        </w:rPr>
        <w:t>[Juristische Personen sind gesamtschuldnerisch zur Zahlung der Beiträge und der in Artikel 17</w:t>
      </w:r>
      <w:r w:rsidR="00AE551D" w:rsidRPr="004676F5">
        <w:rPr>
          <w:i/>
          <w:iCs/>
          <w:lang w:val="de-DE"/>
        </w:rPr>
        <w:t>bis</w:t>
      </w:r>
      <w:r w:rsidR="00AE551D" w:rsidRPr="004676F5">
        <w:rPr>
          <w:lang w:val="de-DE"/>
        </w:rPr>
        <w:t xml:space="preserve"> des Königlichen Erlasses Nr. 38 vom 27. Juli 1967 zur Einführung des Sozialstatuts der Selbständigen erwähnten administrativen Geldbußen verpflichtet, die ihre Gesellschafter oder Beauftragten schulden.]</w:t>
      </w:r>
    </w:p>
    <w:p w14:paraId="287AD895" w14:textId="77777777" w:rsidR="00F6427E" w:rsidRPr="004676F5" w:rsidRDefault="00F6427E" w:rsidP="00F6427E">
      <w:pPr>
        <w:jc w:val="both"/>
        <w:rPr>
          <w:lang w:val="de-DE"/>
        </w:rPr>
      </w:pPr>
    </w:p>
    <w:p w14:paraId="0BD39FAD" w14:textId="77777777" w:rsidR="00F6427E" w:rsidRPr="004676F5" w:rsidRDefault="00F6427E" w:rsidP="00F6427E">
      <w:pPr>
        <w:jc w:val="both"/>
        <w:rPr>
          <w:lang w:val="de-DE"/>
        </w:rPr>
      </w:pPr>
      <w:r w:rsidRPr="004676F5">
        <w:rPr>
          <w:lang w:val="de-DE"/>
        </w:rPr>
        <w:tab/>
      </w:r>
      <w:r w:rsidRPr="004676F5">
        <w:rPr>
          <w:i/>
          <w:lang w:val="de-DE"/>
        </w:rPr>
        <w:t>d)</w:t>
      </w:r>
      <w:r w:rsidRPr="004676F5">
        <w:rPr>
          <w:lang w:val="de-DE"/>
        </w:rPr>
        <w:t> Selbständige, die eine selbständige Tätigkeit ausüben, für die sie nicht gemäß den Artikeln III.17, III.49 oder III.51 in der Zentralen Datenbank der Unternehmen eingetragen sind, können aufgrund der Artikel III.40, XV.77 Nr. 1, 2, 3 und 6 oder XV.78 und aufgrund von Artikel 17</w:t>
      </w:r>
      <w:r w:rsidRPr="004676F5">
        <w:rPr>
          <w:i/>
          <w:lang w:val="de-DE"/>
        </w:rPr>
        <w:t>bis</w:t>
      </w:r>
      <w:r w:rsidRPr="004676F5">
        <w:rPr>
          <w:lang w:val="de-DE"/>
        </w:rPr>
        <w:t xml:space="preserve"> des Königlichen Erlasses Nr. 38 vom 27. Juli 1967 zur Einführung des Sozialstatuts der Selbständigen bestraft werden.</w:t>
      </w:r>
    </w:p>
    <w:p w14:paraId="50A177A1" w14:textId="77777777" w:rsidR="00F6427E" w:rsidRPr="004676F5" w:rsidRDefault="00F6427E" w:rsidP="00F6427E">
      <w:pPr>
        <w:jc w:val="both"/>
        <w:rPr>
          <w:lang w:val="de-DE"/>
        </w:rPr>
      </w:pPr>
    </w:p>
    <w:p w14:paraId="5D7735C7" w14:textId="77777777" w:rsidR="00F6427E" w:rsidRPr="004676F5" w:rsidRDefault="00F6427E" w:rsidP="00F6427E">
      <w:pPr>
        <w:jc w:val="both"/>
        <w:rPr>
          <w:lang w:val="de-DE"/>
        </w:rPr>
      </w:pPr>
      <w:r w:rsidRPr="004676F5">
        <w:rPr>
          <w:lang w:val="de-DE"/>
        </w:rPr>
        <w:tab/>
        <w:t>Unternehmensschalter gehen auf alle in Absatz 1 erwähnten Auskunftsersuchen ein innerhalb einer Frist von fünf Werktagen ab dem Datum, an dem die Information verfügbar ist. Wenn das Ersuchen fehlerhaft, unvollständig oder unbegründet ist, setzen sie den Antragsteller unverzüglich davon in Kenntnis.</w:t>
      </w:r>
    </w:p>
    <w:p w14:paraId="4156E869" w14:textId="77777777" w:rsidR="00F6427E" w:rsidRPr="004676F5" w:rsidRDefault="00F6427E" w:rsidP="00F6427E">
      <w:pPr>
        <w:jc w:val="both"/>
        <w:rPr>
          <w:lang w:val="de-DE"/>
        </w:rPr>
      </w:pPr>
    </w:p>
    <w:p w14:paraId="3E1EEB2C" w14:textId="401BAA53"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Unternehmensschalter können Unternehmen zusätzlich Beratungs</w:t>
      </w:r>
      <w:r w:rsidR="005B7A5C" w:rsidRPr="004676F5">
        <w:rPr>
          <w:lang w:val="de-DE"/>
        </w:rPr>
        <w:t>- </w:t>
      </w:r>
      <w:r w:rsidRPr="004676F5">
        <w:rPr>
          <w:lang w:val="de-DE"/>
        </w:rPr>
        <w:t xml:space="preserve">und Begleitdienste leisten, mit Ausnahme von Diensten, die aufgrund des Gesetzes ausschließlich </w:t>
      </w:r>
      <w:r w:rsidRPr="004676F5">
        <w:rPr>
          <w:lang w:val="de-DE"/>
        </w:rPr>
        <w:lastRenderedPageBreak/>
        <w:t>bestimmten freien, geistigen und dienstleistenden Berufen aus dem Wirtschaftssektor vorbehalten sind.</w:t>
      </w:r>
    </w:p>
    <w:p w14:paraId="4330C775" w14:textId="77777777" w:rsidR="00F6427E" w:rsidRPr="004676F5" w:rsidRDefault="00F6427E" w:rsidP="00F6427E">
      <w:pPr>
        <w:jc w:val="both"/>
        <w:rPr>
          <w:lang w:val="de-DE"/>
        </w:rPr>
      </w:pPr>
    </w:p>
    <w:p w14:paraId="4160B07D" w14:textId="4AB554FE" w:rsidR="00F6427E" w:rsidRPr="004676F5" w:rsidRDefault="00F6427E" w:rsidP="00F6427E">
      <w:pPr>
        <w:jc w:val="both"/>
        <w:rPr>
          <w:lang w:val="de-DE"/>
        </w:rPr>
      </w:pPr>
      <w:r w:rsidRPr="004676F5">
        <w:rPr>
          <w:lang w:val="de-DE"/>
        </w:rPr>
        <w:tab/>
        <w:t>§ 3 </w:t>
      </w:r>
      <w:r w:rsidR="005B7A5C" w:rsidRPr="004676F5">
        <w:rPr>
          <w:lang w:val="de-DE"/>
        </w:rPr>
        <w:t>- </w:t>
      </w:r>
      <w:r w:rsidRPr="004676F5">
        <w:rPr>
          <w:lang w:val="de-DE"/>
        </w:rPr>
        <w:t>Unternehmensschalter sind problemlos aus der Ferne und elektronisch zugänglich, um alle in § 1 Nr. 1 Buchstabe </w:t>
      </w:r>
      <w:r w:rsidRPr="004676F5">
        <w:rPr>
          <w:i/>
          <w:lang w:val="de-DE"/>
        </w:rPr>
        <w:t>a)</w:t>
      </w:r>
      <w:r w:rsidRPr="004676F5">
        <w:rPr>
          <w:lang w:val="de-DE"/>
        </w:rPr>
        <w:t xml:space="preserve"> und </w:t>
      </w:r>
      <w:r w:rsidRPr="004676F5">
        <w:rPr>
          <w:i/>
          <w:lang w:val="de-DE"/>
        </w:rPr>
        <w:t>b)</w:t>
      </w:r>
      <w:r w:rsidRPr="004676F5">
        <w:rPr>
          <w:lang w:val="de-DE"/>
        </w:rPr>
        <w:t xml:space="preserve"> erwähnten Verfahren und Formalitäten, die die Aufnahme und die Ausübung einer Dienstleistungstätigkeit betreffen, abwickeln zu können, mit Ausnahme der Kontrolle des Ortes der Dienstleistungserbringung oder der Überprüfung der vom Dienstleistungserbringer verwendeten Ausrüstungsgegenstände oder der physischen Untersuchung der Eignung oder persönlichen Zuverlässigkeit des Dienst</w:t>
      </w:r>
      <w:r w:rsidRPr="004676F5">
        <w:rPr>
          <w:lang w:val="de-DE"/>
        </w:rPr>
        <w:softHyphen/>
        <w:t>leistungserbringers oder seiner zuständigen Mitarbeiter, wenn sie integraler Bestandteil eines Verfahrens oder einer Formalität sind.</w:t>
      </w:r>
    </w:p>
    <w:p w14:paraId="355F9536" w14:textId="0E450651" w:rsidR="006C2B87" w:rsidRPr="004676F5" w:rsidRDefault="006C2B87" w:rsidP="00F6427E">
      <w:pPr>
        <w:jc w:val="both"/>
        <w:rPr>
          <w:lang w:val="de-DE"/>
        </w:rPr>
      </w:pPr>
    </w:p>
    <w:p w14:paraId="090FFF83" w14:textId="590E2944" w:rsidR="00520C77" w:rsidRPr="004676F5" w:rsidRDefault="00520C77" w:rsidP="00F6427E">
      <w:pPr>
        <w:jc w:val="both"/>
        <w:rPr>
          <w:i/>
          <w:lang w:val="de-DE"/>
        </w:rPr>
      </w:pPr>
      <w:r w:rsidRPr="004676F5">
        <w:rPr>
          <w:i/>
          <w:lang w:val="de-DE"/>
        </w:rPr>
        <w:t>[Art. III.59 § 1 Abs. 1 Nr. 2 abgeändert durch Art. 76 Buchstabe a)</w:t>
      </w:r>
      <w:r w:rsidRPr="004676F5">
        <w:rPr>
          <w:i/>
          <w:iCs/>
          <w:lang w:val="de-DE"/>
        </w:rPr>
        <w:t xml:space="preserve"> des G. vom 15. April 2018 (B.S. vom 27. April 2018); </w:t>
      </w:r>
      <w:r w:rsidRPr="004676F5">
        <w:rPr>
          <w:i/>
          <w:lang w:val="de-DE"/>
        </w:rPr>
        <w:t>§ 1 Abs. 1 Nr. 3 abgeändert durch Art. 76 Buchstabe b)</w:t>
      </w:r>
      <w:r w:rsidRPr="004676F5">
        <w:rPr>
          <w:i/>
          <w:iCs/>
          <w:lang w:val="de-DE"/>
        </w:rPr>
        <w:t xml:space="preserve"> des G. vom 15. April 2018 (B.S. vom 27. April 2018)</w:t>
      </w:r>
      <w:r w:rsidR="00AE551D" w:rsidRPr="004676F5">
        <w:rPr>
          <w:i/>
          <w:iCs/>
          <w:lang w:val="de-DE"/>
        </w:rPr>
        <w:t>; § 1 Abs. 1 Nr. 9 einziger Absatz Buchstabe a) abgeändert durch Art. 5 Nr. 1</w:t>
      </w:r>
      <w:r w:rsidR="00AE551D" w:rsidRPr="004676F5">
        <w:rPr>
          <w:i/>
          <w:lang w:val="de-DE"/>
        </w:rPr>
        <w:t xml:space="preserve"> des G. vom 30. Juli 2018 (II) (B.S. vom 5. September 2018); </w:t>
      </w:r>
      <w:r w:rsidR="00AE551D" w:rsidRPr="004676F5">
        <w:rPr>
          <w:i/>
          <w:iCs/>
          <w:lang w:val="de-DE"/>
        </w:rPr>
        <w:t>§ 1 Abs. 1 Nr. 9 einziger Absatz Buchstabe b) ersetzt durch Art. 5 Nr. 2</w:t>
      </w:r>
      <w:r w:rsidR="00AE551D" w:rsidRPr="004676F5">
        <w:rPr>
          <w:i/>
          <w:lang w:val="de-DE"/>
        </w:rPr>
        <w:t xml:space="preserve"> des G. vom 30. Juli 2018 (II) (B.S. vom 5. September 2018); </w:t>
      </w:r>
      <w:r w:rsidR="00AE551D" w:rsidRPr="004676F5">
        <w:rPr>
          <w:i/>
          <w:iCs/>
          <w:lang w:val="de-DE"/>
        </w:rPr>
        <w:t>§ 1 Abs. 1 Nr. 9 einziger Absatz Buchstabe c) ersetzt durch Art. 5 Nr. 3</w:t>
      </w:r>
      <w:r w:rsidR="00AE551D" w:rsidRPr="004676F5">
        <w:rPr>
          <w:i/>
          <w:lang w:val="de-DE"/>
        </w:rPr>
        <w:t xml:space="preserve"> des G. vom 30. Juli 2018 (II) (B.S. vom 5. September 2018)</w:t>
      </w:r>
      <w:r w:rsidRPr="004676F5">
        <w:rPr>
          <w:i/>
          <w:iCs/>
          <w:lang w:val="de-DE"/>
        </w:rPr>
        <w:t xml:space="preserve">] </w:t>
      </w:r>
    </w:p>
    <w:p w14:paraId="2EEBFE60" w14:textId="15A7F992" w:rsidR="006C2B87" w:rsidRPr="004676F5" w:rsidRDefault="006C2B87" w:rsidP="00F6427E">
      <w:pPr>
        <w:jc w:val="both"/>
        <w:rPr>
          <w:lang w:val="de-DE"/>
        </w:rPr>
      </w:pPr>
    </w:p>
    <w:p w14:paraId="681E210A" w14:textId="77777777" w:rsidR="00520C77" w:rsidRPr="004676F5" w:rsidRDefault="00520C77" w:rsidP="00F6427E">
      <w:pPr>
        <w:jc w:val="both"/>
        <w:rPr>
          <w:w w:val="2"/>
          <w:lang w:val="de-DE"/>
        </w:rPr>
      </w:pPr>
    </w:p>
    <w:p w14:paraId="2E8A86D6" w14:textId="3C787FAA"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III.60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In Bezug </w:t>
      </w:r>
      <w:r w:rsidR="00520C77" w:rsidRPr="004676F5">
        <w:rPr>
          <w:lang w:val="de-DE"/>
        </w:rPr>
        <w:t>[auf eintragungspflichtige Unternehmen]</w:t>
      </w:r>
      <w:r w:rsidRPr="004676F5">
        <w:rPr>
          <w:lang w:val="de-DE"/>
        </w:rPr>
        <w:t>, für die Unter</w:t>
      </w:r>
      <w:r w:rsidRPr="004676F5">
        <w:rPr>
          <w:lang w:val="de-DE"/>
        </w:rPr>
        <w:softHyphen/>
        <w:t xml:space="preserve">nehmensschalter nicht ermächtigt sind, in Ausführung von Artikel III.59 Nr. 2 </w:t>
      </w:r>
      <w:r w:rsidRPr="004676F5">
        <w:rPr>
          <w:i/>
          <w:lang w:val="de-DE"/>
        </w:rPr>
        <w:t>[sic, zu lesen ist: Artikel III.59 § 1 Nr. 2]</w:t>
      </w:r>
      <w:r w:rsidRPr="004676F5">
        <w:rPr>
          <w:lang w:val="de-DE"/>
        </w:rPr>
        <w:t xml:space="preserve"> alleine über die Eintragung zu entscheiden, müssen Unter</w:t>
      </w:r>
      <w:r w:rsidRPr="004676F5">
        <w:rPr>
          <w:lang w:val="de-DE"/>
        </w:rPr>
        <w:softHyphen/>
        <w:t>nehmensschalter dem zu diesem Zweck bestimmten Dienst des Föderalen Öffentlichen Dienstes Wirtschaft, KMB, Mittelstand und Energie die Eintragungsakten vorher vorlegen.</w:t>
      </w:r>
    </w:p>
    <w:p w14:paraId="1363910B" w14:textId="77777777" w:rsidR="00F6427E" w:rsidRPr="004676F5" w:rsidRDefault="00F6427E" w:rsidP="00F6427E">
      <w:pPr>
        <w:jc w:val="both"/>
        <w:rPr>
          <w:lang w:val="de-DE"/>
        </w:rPr>
      </w:pPr>
    </w:p>
    <w:p w14:paraId="6DC0098B" w14:textId="56D25F02"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 xml:space="preserve">Dieser Dienst überprüft, ob die erforderlichen Bedingungen einerseits für die Eintragung </w:t>
      </w:r>
      <w:r w:rsidR="00520C77" w:rsidRPr="004676F5">
        <w:rPr>
          <w:lang w:val="de-DE"/>
        </w:rPr>
        <w:t>[als eintragungspflichtiges Unternehmen]</w:t>
      </w:r>
      <w:r w:rsidRPr="004676F5">
        <w:rPr>
          <w:lang w:val="de-DE"/>
        </w:rPr>
        <w:t xml:space="preserve"> und andererseits für die Ausübung der vorgesehenen gewerblichen Tätigkeit erfüllt sind. Nach Erhalt aller Unterlagen, die diesem Dienst erlauben, die Akte </w:t>
      </w:r>
      <w:r w:rsidR="00520C77" w:rsidRPr="004676F5">
        <w:rPr>
          <w:lang w:val="de-DE"/>
        </w:rPr>
        <w:t>[</w:t>
      </w:r>
      <w:r w:rsidR="00786EF4" w:rsidRPr="004676F5">
        <w:rPr>
          <w:lang w:val="de-DE"/>
        </w:rPr>
        <w:t>des eintragungspflichtigen Unternehmens]</w:t>
      </w:r>
      <w:r w:rsidRPr="004676F5">
        <w:rPr>
          <w:lang w:val="de-DE"/>
        </w:rPr>
        <w:t xml:space="preserve"> zu überprüfen, setzt er das Unternehmen und den Unternehmensschalter von der Vollständigkeit der Akte in Kenntnis. Er gibt innerhalb einer Frist von fünfzehn Tagen ab Notifizierung der Vollständigkeit der Akte eine mit Gründen versehene schriftliche Stellungnahme ab.</w:t>
      </w:r>
    </w:p>
    <w:p w14:paraId="7B3AFC53" w14:textId="77777777" w:rsidR="00F6427E" w:rsidRPr="004676F5" w:rsidRDefault="00F6427E" w:rsidP="00F6427E">
      <w:pPr>
        <w:jc w:val="both"/>
        <w:rPr>
          <w:lang w:val="de-DE"/>
        </w:rPr>
      </w:pPr>
    </w:p>
    <w:p w14:paraId="20EEEC79" w14:textId="3F052F8A" w:rsidR="00F6427E" w:rsidRPr="004676F5" w:rsidRDefault="00F6427E" w:rsidP="00F6427E">
      <w:pPr>
        <w:jc w:val="both"/>
        <w:rPr>
          <w:lang w:val="de-DE"/>
        </w:rPr>
      </w:pPr>
      <w:r w:rsidRPr="004676F5">
        <w:rPr>
          <w:lang w:val="de-DE"/>
        </w:rPr>
        <w:tab/>
        <w:t>§ 3 </w:t>
      </w:r>
      <w:r w:rsidR="005B7A5C" w:rsidRPr="004676F5">
        <w:rPr>
          <w:lang w:val="de-DE"/>
        </w:rPr>
        <w:t>- </w:t>
      </w:r>
      <w:r w:rsidRPr="004676F5">
        <w:rPr>
          <w:lang w:val="de-DE"/>
        </w:rPr>
        <w:t>Wird innerhalb fünfzehn Tagen nach Notifizierung der Vollständigkeit der Akte keine mit Gründen versehene schriftliche Stellungnahme abgegeben, gilt die Stellungnahme als günstig.</w:t>
      </w:r>
    </w:p>
    <w:p w14:paraId="7D122EE3" w14:textId="3D9DBAE4" w:rsidR="00786EF4" w:rsidRPr="004676F5" w:rsidRDefault="00786EF4" w:rsidP="00F6427E">
      <w:pPr>
        <w:jc w:val="both"/>
        <w:rPr>
          <w:lang w:val="de-DE"/>
        </w:rPr>
      </w:pPr>
    </w:p>
    <w:p w14:paraId="6717A38E" w14:textId="5BCD7765" w:rsidR="00786EF4" w:rsidRPr="004676F5" w:rsidRDefault="00786EF4" w:rsidP="00F6427E">
      <w:pPr>
        <w:jc w:val="both"/>
        <w:rPr>
          <w:i/>
          <w:lang w:val="de-DE"/>
        </w:rPr>
      </w:pPr>
      <w:r w:rsidRPr="004676F5">
        <w:rPr>
          <w:i/>
          <w:lang w:val="de-DE"/>
        </w:rPr>
        <w:t>[Art. III.60 § 1 abgeändert durch Art. 77 Nr. 1</w:t>
      </w:r>
      <w:r w:rsidRPr="004676F5">
        <w:rPr>
          <w:i/>
          <w:iCs/>
          <w:lang w:val="de-DE"/>
        </w:rPr>
        <w:t xml:space="preserve"> des G. vom 15. April 2018 (B.S. vom 27. April 2018); § 2 abgeändert durch Art. 77 Nr. 2 des G. vom 15. April 2018 (B.S. vom 27. April 2018)]</w:t>
      </w:r>
    </w:p>
    <w:p w14:paraId="08F29C3A" w14:textId="77777777" w:rsidR="00F6427E" w:rsidRPr="004676F5" w:rsidRDefault="00F6427E" w:rsidP="00F6427E">
      <w:pPr>
        <w:rPr>
          <w:lang w:val="de-DE"/>
        </w:rPr>
      </w:pPr>
    </w:p>
    <w:p w14:paraId="5E600E5F" w14:textId="77777777" w:rsidR="006C2B87" w:rsidRPr="004676F5" w:rsidRDefault="006C2B87" w:rsidP="00F6427E">
      <w:pPr>
        <w:rPr>
          <w:lang w:val="de-DE"/>
        </w:rPr>
      </w:pPr>
    </w:p>
    <w:p w14:paraId="54F23E15" w14:textId="77777777" w:rsidR="00AE551D" w:rsidRPr="004676F5" w:rsidRDefault="00AE551D">
      <w:pPr>
        <w:rPr>
          <w:i/>
          <w:lang w:val="de-DE"/>
        </w:rPr>
      </w:pPr>
      <w:r w:rsidRPr="004676F5">
        <w:rPr>
          <w:i/>
          <w:lang w:val="de-DE"/>
        </w:rPr>
        <w:br w:type="page"/>
      </w:r>
    </w:p>
    <w:p w14:paraId="26144049" w14:textId="4D383645" w:rsidR="00F6427E" w:rsidRPr="004676F5" w:rsidRDefault="00F6427E" w:rsidP="00F6427E">
      <w:pPr>
        <w:jc w:val="center"/>
        <w:rPr>
          <w:lang w:val="de-DE"/>
        </w:rPr>
      </w:pPr>
      <w:r w:rsidRPr="004676F5">
        <w:rPr>
          <w:i/>
          <w:lang w:val="de-DE"/>
        </w:rPr>
        <w:lastRenderedPageBreak/>
        <w:t>Abschnitt 2</w:t>
      </w:r>
      <w:r w:rsidRPr="004676F5">
        <w:rPr>
          <w:lang w:val="de-DE"/>
        </w:rPr>
        <w:t> </w:t>
      </w:r>
      <w:r w:rsidR="005B7A5C" w:rsidRPr="004676F5">
        <w:rPr>
          <w:lang w:val="de-DE"/>
        </w:rPr>
        <w:t>- </w:t>
      </w:r>
      <w:r w:rsidRPr="004676F5">
        <w:rPr>
          <w:lang w:val="de-DE"/>
        </w:rPr>
        <w:t>Bedingungen für die Zulassung von Unternehmensschaltern</w:t>
      </w:r>
    </w:p>
    <w:p w14:paraId="71F2E7F7" w14:textId="77777777" w:rsidR="00F6427E" w:rsidRPr="004676F5" w:rsidRDefault="00F6427E" w:rsidP="00F6427E">
      <w:pPr>
        <w:jc w:val="both"/>
        <w:rPr>
          <w:lang w:val="de-DE"/>
        </w:rPr>
      </w:pPr>
    </w:p>
    <w:p w14:paraId="0EB9D875" w14:textId="77777777" w:rsidR="006C2B87" w:rsidRPr="004676F5" w:rsidRDefault="006C2B87" w:rsidP="00F6427E">
      <w:pPr>
        <w:jc w:val="both"/>
        <w:rPr>
          <w:lang w:val="de-DE"/>
        </w:rPr>
      </w:pPr>
    </w:p>
    <w:p w14:paraId="0AB1BF5F" w14:textId="5EBC55B0"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III.61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Eine Organisation kann unter folgenden Bedingungen als Unter</w:t>
      </w:r>
      <w:r w:rsidRPr="004676F5">
        <w:rPr>
          <w:lang w:val="de-DE"/>
        </w:rPr>
        <w:softHyphen/>
        <w:t>nehmensschalter zugelassen werden:</w:t>
      </w:r>
    </w:p>
    <w:p w14:paraId="60076232" w14:textId="77777777" w:rsidR="00F6427E" w:rsidRPr="004676F5" w:rsidRDefault="00F6427E" w:rsidP="00F6427E">
      <w:pPr>
        <w:jc w:val="both"/>
        <w:rPr>
          <w:lang w:val="de-DE"/>
        </w:rPr>
      </w:pPr>
    </w:p>
    <w:p w14:paraId="164F0B55" w14:textId="77777777" w:rsidR="00F6427E" w:rsidRPr="004676F5" w:rsidRDefault="00F6427E" w:rsidP="00F6427E">
      <w:pPr>
        <w:jc w:val="both"/>
        <w:rPr>
          <w:lang w:val="de-DE"/>
        </w:rPr>
      </w:pPr>
      <w:r w:rsidRPr="004676F5">
        <w:rPr>
          <w:lang w:val="de-DE"/>
        </w:rPr>
        <w:tab/>
        <w:t>1. Sie nimmt gemäß dem Gesetz vom 27. Juni 1921 über die Vereinigungen ohne Gewinnerzielungsabsicht, die internationalen Vereinigungen ohne Gewinnerzielungsabsicht und die Stiftungen die Form einer Vereinigung ohne Gewinnerzielungsabsicht an.</w:t>
      </w:r>
    </w:p>
    <w:p w14:paraId="71727652" w14:textId="77777777" w:rsidR="00F6427E" w:rsidRPr="004676F5" w:rsidRDefault="00F6427E" w:rsidP="00F6427E">
      <w:pPr>
        <w:jc w:val="both"/>
        <w:rPr>
          <w:lang w:val="de-DE"/>
        </w:rPr>
      </w:pPr>
    </w:p>
    <w:p w14:paraId="4F321BB4" w14:textId="77777777" w:rsidR="00F6427E" w:rsidRPr="004676F5" w:rsidRDefault="00F6427E" w:rsidP="00F6427E">
      <w:pPr>
        <w:jc w:val="both"/>
        <w:rPr>
          <w:lang w:val="de-DE"/>
        </w:rPr>
      </w:pPr>
      <w:r w:rsidRPr="004676F5">
        <w:rPr>
          <w:lang w:val="de-DE"/>
        </w:rPr>
        <w:tab/>
        <w:t>2. Ihre Mitglieder gehören mindestens einer der folgenden Organisationen an:</w:t>
      </w:r>
    </w:p>
    <w:p w14:paraId="505DA23B" w14:textId="77777777" w:rsidR="00F6427E" w:rsidRPr="004676F5" w:rsidRDefault="00F6427E" w:rsidP="00F6427E">
      <w:pPr>
        <w:jc w:val="both"/>
        <w:rPr>
          <w:lang w:val="de-DE"/>
        </w:rPr>
      </w:pPr>
    </w:p>
    <w:p w14:paraId="3325831B" w14:textId="41E29214" w:rsidR="00F6427E" w:rsidRPr="004676F5" w:rsidRDefault="00F6427E" w:rsidP="00F6427E">
      <w:pPr>
        <w:jc w:val="both"/>
        <w:rPr>
          <w:lang w:val="de-DE"/>
        </w:rPr>
      </w:pPr>
      <w:r w:rsidRPr="004676F5">
        <w:rPr>
          <w:lang w:val="de-DE"/>
        </w:rPr>
        <w:tab/>
      </w:r>
      <w:r w:rsidRPr="004676F5">
        <w:rPr>
          <w:i/>
          <w:lang w:val="de-DE"/>
        </w:rPr>
        <w:t>a)</w:t>
      </w:r>
      <w:r w:rsidRPr="004676F5">
        <w:rPr>
          <w:lang w:val="de-DE"/>
        </w:rPr>
        <w:t> einer repräsentativen Arbeitgeber</w:t>
      </w:r>
      <w:r w:rsidR="005B7A5C" w:rsidRPr="004676F5">
        <w:rPr>
          <w:lang w:val="de-DE"/>
        </w:rPr>
        <w:t>- </w:t>
      </w:r>
      <w:r w:rsidRPr="004676F5">
        <w:rPr>
          <w:lang w:val="de-DE"/>
        </w:rPr>
        <w:t>oder Selbständigenorganisation, die vertreten ist im oder anerkannt ist durch den Hohen Rat für Selbständige und Kleine und Mittlere Betriebe, den Zentralen Wirtschaftsrat, den "Sociaal-Economische Raad van Vlaanderen", den Wirtschafts</w:t>
      </w:r>
      <w:r w:rsidR="005B7A5C" w:rsidRPr="004676F5">
        <w:rPr>
          <w:lang w:val="de-DE"/>
        </w:rPr>
        <w:t>- </w:t>
      </w:r>
      <w:r w:rsidRPr="004676F5">
        <w:rPr>
          <w:lang w:val="de-DE"/>
        </w:rPr>
        <w:t>und Sozialrat der Wallonischen Region, den "Conseil économique et social de la Région de Bruxelles-Capitale" oder eine paritätische Kommission, die in Anwendung des Gesetzes vom 5. Dezember 1968 über die kollektiven Arbeitsabkommen und die paritätischen Kommissionen geschaffen worden ist,</w:t>
      </w:r>
    </w:p>
    <w:p w14:paraId="41237C33" w14:textId="77777777" w:rsidR="00F6427E" w:rsidRPr="004676F5" w:rsidRDefault="00F6427E" w:rsidP="00F6427E">
      <w:pPr>
        <w:jc w:val="both"/>
        <w:rPr>
          <w:lang w:val="de-DE"/>
        </w:rPr>
      </w:pPr>
    </w:p>
    <w:p w14:paraId="09607EC2" w14:textId="77777777" w:rsidR="00F6427E" w:rsidRPr="004676F5" w:rsidRDefault="00F6427E" w:rsidP="00F6427E">
      <w:pPr>
        <w:jc w:val="both"/>
        <w:rPr>
          <w:lang w:val="de-DE"/>
        </w:rPr>
      </w:pPr>
      <w:r w:rsidRPr="004676F5">
        <w:rPr>
          <w:lang w:val="de-DE"/>
        </w:rPr>
        <w:tab/>
      </w:r>
      <w:r w:rsidRPr="004676F5">
        <w:rPr>
          <w:i/>
          <w:lang w:val="de-DE"/>
        </w:rPr>
        <w:t>b)</w:t>
      </w:r>
      <w:r w:rsidRPr="004676F5">
        <w:rPr>
          <w:lang w:val="de-DE"/>
        </w:rPr>
        <w:t> einer Sozialversicherungskasse für Selbständige, die in Anwendung des Königlichen Erlasses Nr. 38 vom 27. Juli 1967 zur Einführung des Sozialstatuts der Selbständigen zugelassen worden ist,</w:t>
      </w:r>
    </w:p>
    <w:p w14:paraId="55EB7DDD" w14:textId="77777777" w:rsidR="00F6427E" w:rsidRPr="004676F5" w:rsidRDefault="00F6427E" w:rsidP="00F6427E">
      <w:pPr>
        <w:jc w:val="both"/>
        <w:rPr>
          <w:lang w:val="de-DE"/>
        </w:rPr>
      </w:pPr>
    </w:p>
    <w:p w14:paraId="464879A0" w14:textId="77777777" w:rsidR="00F6427E" w:rsidRPr="004676F5" w:rsidRDefault="00F6427E" w:rsidP="00F6427E">
      <w:pPr>
        <w:jc w:val="both"/>
        <w:rPr>
          <w:lang w:val="de-DE"/>
        </w:rPr>
      </w:pPr>
      <w:r w:rsidRPr="004676F5">
        <w:rPr>
          <w:lang w:val="de-DE"/>
        </w:rPr>
        <w:tab/>
      </w:r>
      <w:r w:rsidRPr="004676F5">
        <w:rPr>
          <w:i/>
          <w:lang w:val="de-DE"/>
        </w:rPr>
        <w:t>c)</w:t>
      </w:r>
      <w:r w:rsidRPr="004676F5">
        <w:rPr>
          <w:lang w:val="de-DE"/>
        </w:rPr>
        <w:t> einem Sozialsekretariat für Arbeitgeber, das in Anwendung des Königlichen Erlasses vom 28. November 1969 zur Ausführung des Gesetzes vom 27. Juni 1969 zur Revision des Erlassgesetzes vom 28. Dezember 1944 über die soziale Sicherheit der Arbeitnehmer zugelassen worden ist,</w:t>
      </w:r>
    </w:p>
    <w:p w14:paraId="656ED001" w14:textId="77777777" w:rsidR="00F6427E" w:rsidRPr="004676F5" w:rsidRDefault="00F6427E" w:rsidP="00F6427E">
      <w:pPr>
        <w:jc w:val="both"/>
        <w:rPr>
          <w:lang w:val="de-DE"/>
        </w:rPr>
      </w:pPr>
    </w:p>
    <w:p w14:paraId="672EB13E" w14:textId="364A706A" w:rsidR="00F6427E" w:rsidRPr="004676F5" w:rsidRDefault="00F6427E" w:rsidP="00F6427E">
      <w:pPr>
        <w:jc w:val="both"/>
        <w:rPr>
          <w:lang w:val="de-DE"/>
        </w:rPr>
      </w:pPr>
      <w:r w:rsidRPr="004676F5">
        <w:rPr>
          <w:lang w:val="de-DE"/>
        </w:rPr>
        <w:tab/>
      </w:r>
      <w:r w:rsidRPr="004676F5">
        <w:rPr>
          <w:i/>
          <w:lang w:val="de-DE"/>
        </w:rPr>
        <w:t>d)</w:t>
      </w:r>
      <w:r w:rsidRPr="004676F5">
        <w:rPr>
          <w:lang w:val="de-DE"/>
        </w:rPr>
        <w:t> einer Kammer, die vom Verband der Industrie</w:t>
      </w:r>
      <w:r w:rsidR="005B7A5C" w:rsidRPr="004676F5">
        <w:rPr>
          <w:lang w:val="de-DE"/>
        </w:rPr>
        <w:t>- </w:t>
      </w:r>
      <w:r w:rsidRPr="004676F5">
        <w:rPr>
          <w:lang w:val="de-DE"/>
        </w:rPr>
        <w:t>und Handelskammern Belgiens zugelassen ist,</w:t>
      </w:r>
    </w:p>
    <w:p w14:paraId="05529389" w14:textId="77777777" w:rsidR="00F6427E" w:rsidRPr="004676F5" w:rsidRDefault="00F6427E" w:rsidP="00F6427E">
      <w:pPr>
        <w:jc w:val="both"/>
        <w:rPr>
          <w:lang w:val="de-DE"/>
        </w:rPr>
      </w:pPr>
    </w:p>
    <w:p w14:paraId="4BF2937C" w14:textId="77777777" w:rsidR="00F6427E" w:rsidRPr="004676F5" w:rsidRDefault="00F6427E" w:rsidP="00F6427E">
      <w:pPr>
        <w:jc w:val="both"/>
        <w:rPr>
          <w:lang w:val="de-DE"/>
        </w:rPr>
      </w:pPr>
      <w:r w:rsidRPr="004676F5">
        <w:rPr>
          <w:lang w:val="de-DE"/>
        </w:rPr>
        <w:tab/>
      </w:r>
      <w:r w:rsidRPr="004676F5">
        <w:rPr>
          <w:i/>
          <w:lang w:val="de-DE"/>
        </w:rPr>
        <w:t>e)</w:t>
      </w:r>
      <w:r w:rsidRPr="004676F5">
        <w:rPr>
          <w:lang w:val="de-DE"/>
        </w:rPr>
        <w:t> einem Zusammenarbeitsverband mehrerer der oben erwähnten Organisationen.</w:t>
      </w:r>
    </w:p>
    <w:p w14:paraId="3410D609" w14:textId="77777777" w:rsidR="00F6427E" w:rsidRPr="004676F5" w:rsidRDefault="00F6427E" w:rsidP="00F6427E">
      <w:pPr>
        <w:jc w:val="both"/>
        <w:rPr>
          <w:lang w:val="de-DE"/>
        </w:rPr>
      </w:pPr>
    </w:p>
    <w:p w14:paraId="04EFF6E2" w14:textId="77777777" w:rsidR="00F6427E" w:rsidRPr="004676F5" w:rsidRDefault="00F6427E" w:rsidP="00F6427E">
      <w:pPr>
        <w:jc w:val="both"/>
        <w:rPr>
          <w:lang w:val="de-DE"/>
        </w:rPr>
      </w:pPr>
      <w:r w:rsidRPr="004676F5">
        <w:rPr>
          <w:lang w:val="de-DE"/>
        </w:rPr>
        <w:tab/>
        <w:t>3. Ihre Satzung hat die Ausführung der Aufträge als Unternehmensschalter im Sinne des vorliegenden Buches als Zielsetzung.</w:t>
      </w:r>
    </w:p>
    <w:p w14:paraId="04DEE6E4" w14:textId="77777777" w:rsidR="00F6427E" w:rsidRPr="004676F5" w:rsidRDefault="00F6427E" w:rsidP="00F6427E">
      <w:pPr>
        <w:jc w:val="both"/>
        <w:rPr>
          <w:lang w:val="de-DE"/>
        </w:rPr>
      </w:pPr>
    </w:p>
    <w:p w14:paraId="764C6170" w14:textId="77777777" w:rsidR="00F6427E" w:rsidRPr="004676F5" w:rsidRDefault="00F6427E" w:rsidP="00F6427E">
      <w:pPr>
        <w:jc w:val="both"/>
        <w:rPr>
          <w:lang w:val="de-DE"/>
        </w:rPr>
      </w:pPr>
      <w:r w:rsidRPr="004676F5">
        <w:rPr>
          <w:lang w:val="de-DE"/>
        </w:rPr>
        <w:tab/>
        <w:t>4. Sie verfügt gemäß den vom König festgelegten Modalitäten und dem vom Minister erstellten Lastenheft über:</w:t>
      </w:r>
    </w:p>
    <w:p w14:paraId="6B42F0C2" w14:textId="77777777" w:rsidR="00F6427E" w:rsidRPr="004676F5" w:rsidRDefault="00F6427E" w:rsidP="00F6427E">
      <w:pPr>
        <w:jc w:val="both"/>
        <w:rPr>
          <w:lang w:val="de-DE"/>
        </w:rPr>
      </w:pPr>
    </w:p>
    <w:p w14:paraId="021B320D" w14:textId="77777777" w:rsidR="00F6427E" w:rsidRPr="004676F5" w:rsidRDefault="00F6427E" w:rsidP="00F6427E">
      <w:pPr>
        <w:jc w:val="both"/>
        <w:rPr>
          <w:lang w:val="de-DE"/>
        </w:rPr>
      </w:pPr>
      <w:r w:rsidRPr="004676F5">
        <w:rPr>
          <w:lang w:val="de-DE"/>
        </w:rPr>
        <w:tab/>
      </w:r>
      <w:r w:rsidRPr="004676F5">
        <w:rPr>
          <w:i/>
          <w:lang w:val="de-DE"/>
        </w:rPr>
        <w:t>a)</w:t>
      </w:r>
      <w:r w:rsidRPr="004676F5">
        <w:rPr>
          <w:lang w:val="de-DE"/>
        </w:rPr>
        <w:t> fachkundige Mitarbeiter,</w:t>
      </w:r>
    </w:p>
    <w:p w14:paraId="685BBBAA" w14:textId="77777777" w:rsidR="00F6427E" w:rsidRPr="004676F5" w:rsidRDefault="00F6427E" w:rsidP="00F6427E">
      <w:pPr>
        <w:jc w:val="both"/>
        <w:rPr>
          <w:lang w:val="de-DE"/>
        </w:rPr>
      </w:pPr>
    </w:p>
    <w:p w14:paraId="223B69A4" w14:textId="77777777" w:rsidR="00F6427E" w:rsidRPr="004676F5" w:rsidRDefault="00F6427E" w:rsidP="00F6427E">
      <w:pPr>
        <w:jc w:val="both"/>
        <w:rPr>
          <w:lang w:val="de-DE"/>
        </w:rPr>
      </w:pPr>
      <w:r w:rsidRPr="004676F5">
        <w:rPr>
          <w:lang w:val="de-DE"/>
        </w:rPr>
        <w:tab/>
      </w:r>
      <w:r w:rsidRPr="004676F5">
        <w:rPr>
          <w:i/>
          <w:lang w:val="de-DE"/>
        </w:rPr>
        <w:t>b)</w:t>
      </w:r>
      <w:r w:rsidRPr="004676F5">
        <w:rPr>
          <w:lang w:val="de-DE"/>
        </w:rPr>
        <w:t> interne Kontrollverfahren,</w:t>
      </w:r>
    </w:p>
    <w:p w14:paraId="5C506CE0" w14:textId="77777777" w:rsidR="00F6427E" w:rsidRPr="004676F5" w:rsidRDefault="00F6427E" w:rsidP="00F6427E">
      <w:pPr>
        <w:jc w:val="both"/>
        <w:rPr>
          <w:lang w:val="de-DE"/>
        </w:rPr>
      </w:pPr>
    </w:p>
    <w:p w14:paraId="146DC557" w14:textId="77777777" w:rsidR="00F6427E" w:rsidRPr="004676F5" w:rsidRDefault="00F6427E" w:rsidP="00F6427E">
      <w:pPr>
        <w:jc w:val="both"/>
        <w:rPr>
          <w:lang w:val="de-DE"/>
        </w:rPr>
      </w:pPr>
      <w:r w:rsidRPr="004676F5">
        <w:rPr>
          <w:lang w:val="de-DE"/>
        </w:rPr>
        <w:tab/>
      </w:r>
      <w:r w:rsidRPr="004676F5">
        <w:rPr>
          <w:i/>
          <w:lang w:val="de-DE"/>
        </w:rPr>
        <w:t>c)</w:t>
      </w:r>
      <w:r w:rsidRPr="004676F5">
        <w:rPr>
          <w:lang w:val="de-DE"/>
        </w:rPr>
        <w:t> Empfangsraum, Büroraum, Material und Archivraum,</w:t>
      </w:r>
    </w:p>
    <w:p w14:paraId="523846AA" w14:textId="77777777" w:rsidR="00F6427E" w:rsidRPr="004676F5" w:rsidRDefault="00F6427E" w:rsidP="00F6427E">
      <w:pPr>
        <w:jc w:val="both"/>
        <w:rPr>
          <w:lang w:val="de-DE"/>
        </w:rPr>
      </w:pPr>
    </w:p>
    <w:p w14:paraId="53FBBA1A" w14:textId="77777777" w:rsidR="00F6427E" w:rsidRPr="004676F5" w:rsidRDefault="00F6427E" w:rsidP="00F6427E">
      <w:pPr>
        <w:jc w:val="both"/>
        <w:rPr>
          <w:lang w:val="de-DE"/>
        </w:rPr>
      </w:pPr>
      <w:r w:rsidRPr="004676F5">
        <w:rPr>
          <w:lang w:val="de-DE"/>
        </w:rPr>
        <w:tab/>
      </w:r>
      <w:r w:rsidRPr="004676F5">
        <w:rPr>
          <w:i/>
          <w:lang w:val="de-DE"/>
        </w:rPr>
        <w:t>d)</w:t>
      </w:r>
      <w:r w:rsidRPr="004676F5">
        <w:rPr>
          <w:lang w:val="de-DE"/>
        </w:rPr>
        <w:t> eine eigene Buchhaltung,</w:t>
      </w:r>
    </w:p>
    <w:p w14:paraId="7B1F692F" w14:textId="77777777" w:rsidR="00F6427E" w:rsidRPr="004676F5" w:rsidRDefault="00F6427E" w:rsidP="00F6427E">
      <w:pPr>
        <w:jc w:val="both"/>
        <w:rPr>
          <w:lang w:val="de-DE"/>
        </w:rPr>
      </w:pPr>
    </w:p>
    <w:p w14:paraId="7F1325EF" w14:textId="5EAE1754" w:rsidR="00F6427E" w:rsidRPr="004676F5" w:rsidRDefault="00F6427E" w:rsidP="00F6427E">
      <w:pPr>
        <w:jc w:val="both"/>
        <w:rPr>
          <w:lang w:val="de-DE"/>
        </w:rPr>
      </w:pPr>
      <w:r w:rsidRPr="004676F5">
        <w:rPr>
          <w:lang w:val="de-DE"/>
        </w:rPr>
        <w:tab/>
      </w:r>
      <w:r w:rsidRPr="004676F5">
        <w:rPr>
          <w:i/>
          <w:lang w:val="de-DE"/>
        </w:rPr>
        <w:t>e)</w:t>
      </w:r>
      <w:r w:rsidRPr="004676F5">
        <w:rPr>
          <w:lang w:val="de-DE"/>
        </w:rPr>
        <w:t> eine Informatikstruktur einschließlich Kontroll</w:t>
      </w:r>
      <w:r w:rsidR="005B7A5C" w:rsidRPr="004676F5">
        <w:rPr>
          <w:lang w:val="de-DE"/>
        </w:rPr>
        <w:t>- </w:t>
      </w:r>
      <w:r w:rsidRPr="004676F5">
        <w:rPr>
          <w:lang w:val="de-DE"/>
        </w:rPr>
        <w:t>und Schutzmechanismen.</w:t>
      </w:r>
    </w:p>
    <w:p w14:paraId="1CA33764" w14:textId="77777777" w:rsidR="006C2B87" w:rsidRPr="004676F5" w:rsidRDefault="006C2B87" w:rsidP="006C2B87">
      <w:pPr>
        <w:rPr>
          <w:lang w:val="de-DE"/>
        </w:rPr>
      </w:pPr>
    </w:p>
    <w:p w14:paraId="3C90AAA8" w14:textId="77777777" w:rsidR="00F6427E" w:rsidRPr="004676F5" w:rsidRDefault="00F6427E" w:rsidP="006C2B87">
      <w:pPr>
        <w:rPr>
          <w:lang w:val="de-DE"/>
        </w:rPr>
      </w:pPr>
      <w:r w:rsidRPr="004676F5">
        <w:rPr>
          <w:lang w:val="de-DE"/>
        </w:rPr>
        <w:lastRenderedPageBreak/>
        <w:tab/>
        <w:t>5. Sie befindet sich nicht in Liquidation oder ist nicht Gegenstand eines Liquidations</w:t>
      </w:r>
      <w:r w:rsidRPr="004676F5">
        <w:rPr>
          <w:lang w:val="de-DE"/>
        </w:rPr>
        <w:softHyphen/>
        <w:t>verfahrens oder eines Verfahrens zur Einstellung der gewerblichen Tätigkeit.</w:t>
      </w:r>
    </w:p>
    <w:p w14:paraId="14EFB2C5" w14:textId="77777777" w:rsidR="00F6427E" w:rsidRPr="004676F5" w:rsidRDefault="00F6427E" w:rsidP="00F6427E">
      <w:pPr>
        <w:jc w:val="both"/>
        <w:rPr>
          <w:lang w:val="de-DE"/>
        </w:rPr>
      </w:pPr>
    </w:p>
    <w:p w14:paraId="4AA9EAD6" w14:textId="77777777" w:rsidR="00F6427E" w:rsidRPr="004676F5" w:rsidRDefault="00F6427E" w:rsidP="00F6427E">
      <w:pPr>
        <w:jc w:val="both"/>
        <w:rPr>
          <w:lang w:val="de-DE"/>
        </w:rPr>
      </w:pPr>
      <w:r w:rsidRPr="004676F5">
        <w:rPr>
          <w:lang w:val="de-DE"/>
        </w:rPr>
        <w:tab/>
        <w:t>6. Sie genügt den Verpflichtungen in Bezug auf die Zahlung der Sozialversicherungs</w:t>
      </w:r>
      <w:r w:rsidRPr="004676F5">
        <w:rPr>
          <w:lang w:val="de-DE"/>
        </w:rPr>
        <w:softHyphen/>
        <w:t>beiträge und die Zahlung der Steuern und Abgaben gemäß dem belgischen Gesetz.</w:t>
      </w:r>
    </w:p>
    <w:p w14:paraId="73A2E137" w14:textId="77777777" w:rsidR="00F6427E" w:rsidRPr="004676F5" w:rsidRDefault="00F6427E" w:rsidP="00F6427E">
      <w:pPr>
        <w:jc w:val="both"/>
        <w:rPr>
          <w:lang w:val="de-DE"/>
        </w:rPr>
      </w:pPr>
    </w:p>
    <w:p w14:paraId="4AA6F424" w14:textId="77777777" w:rsidR="00F6427E" w:rsidRPr="004676F5" w:rsidRDefault="00F6427E" w:rsidP="00F6427E">
      <w:pPr>
        <w:jc w:val="both"/>
        <w:rPr>
          <w:lang w:val="de-DE"/>
        </w:rPr>
      </w:pPr>
      <w:r w:rsidRPr="004676F5">
        <w:rPr>
          <w:lang w:val="de-DE"/>
        </w:rPr>
        <w:tab/>
        <w:t>7. Sie verfügt über ausreichende eigene finanzielle und wirtschaftliche Tragkraft, um die in vorliegendem Buch und seinen Ausführungserlassen definierten Aufträge auszuführen.</w:t>
      </w:r>
    </w:p>
    <w:p w14:paraId="01F0D7FB" w14:textId="77777777" w:rsidR="00F6427E" w:rsidRPr="004676F5" w:rsidRDefault="00F6427E" w:rsidP="00F6427E">
      <w:pPr>
        <w:jc w:val="both"/>
        <w:rPr>
          <w:lang w:val="de-DE"/>
        </w:rPr>
      </w:pPr>
    </w:p>
    <w:p w14:paraId="0F9A75EE" w14:textId="77777777" w:rsidR="00F6427E" w:rsidRPr="004676F5" w:rsidRDefault="00F6427E" w:rsidP="00F6427E">
      <w:pPr>
        <w:jc w:val="both"/>
        <w:rPr>
          <w:lang w:val="de-DE"/>
        </w:rPr>
      </w:pPr>
      <w:r w:rsidRPr="004676F5">
        <w:rPr>
          <w:lang w:val="de-DE"/>
        </w:rPr>
        <w:tab/>
        <w:t>8. Sie hat ihre Berufshaftpflicht versichern lassen.</w:t>
      </w:r>
    </w:p>
    <w:p w14:paraId="33AAD25A" w14:textId="77777777" w:rsidR="00F6427E" w:rsidRPr="004676F5" w:rsidRDefault="00F6427E" w:rsidP="00F6427E">
      <w:pPr>
        <w:jc w:val="both"/>
        <w:rPr>
          <w:lang w:val="de-DE"/>
        </w:rPr>
      </w:pPr>
    </w:p>
    <w:p w14:paraId="3B549B97" w14:textId="43499536"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Der König kann durch einen im Ministerrat beratenen Erlass Modalitäten zur Bestimmung der Mindestanzahl Niederlassungseinheiten der Unternehmensschalter und ihres Standortes festlegen unter Berücksichtigung einer angemessenen Verteilung und der Bedürfnisse.</w:t>
      </w:r>
    </w:p>
    <w:p w14:paraId="37E1C1FA" w14:textId="77777777" w:rsidR="00F6427E" w:rsidRPr="004676F5" w:rsidRDefault="00F6427E" w:rsidP="00F6427E">
      <w:pPr>
        <w:jc w:val="both"/>
        <w:rPr>
          <w:lang w:val="de-DE"/>
        </w:rPr>
      </w:pPr>
    </w:p>
    <w:p w14:paraId="6ADB70A7" w14:textId="5E303C3B" w:rsidR="00F6427E" w:rsidRPr="004676F5" w:rsidRDefault="00F6427E" w:rsidP="00F6427E">
      <w:pPr>
        <w:jc w:val="both"/>
        <w:rPr>
          <w:lang w:val="de-DE"/>
        </w:rPr>
      </w:pPr>
      <w:r w:rsidRPr="004676F5">
        <w:rPr>
          <w:lang w:val="de-DE"/>
        </w:rPr>
        <w:tab/>
        <w:t>§ 3 </w:t>
      </w:r>
      <w:r w:rsidR="005B7A5C" w:rsidRPr="004676F5">
        <w:rPr>
          <w:lang w:val="de-DE"/>
        </w:rPr>
        <w:t>- </w:t>
      </w:r>
      <w:r w:rsidRPr="004676F5">
        <w:rPr>
          <w:lang w:val="de-DE"/>
        </w:rPr>
        <w:t>In Abweichung von den Bestimmungen von § 1 bleiben die am 9. Septem</w:t>
      </w:r>
      <w:r w:rsidRPr="004676F5">
        <w:rPr>
          <w:lang w:val="de-DE"/>
        </w:rPr>
        <w:softHyphen/>
        <w:t>ber 2008 erteilten Zulassungen von Unternehmensschaltern bis zum 31. Dezember 2014 gültig unter den Bedingungen, die am Tag der Zulassung anwendbar waren.</w:t>
      </w:r>
    </w:p>
    <w:p w14:paraId="7F7DB8E4" w14:textId="77777777" w:rsidR="00F6427E" w:rsidRPr="004676F5" w:rsidRDefault="00F6427E" w:rsidP="00F6427E">
      <w:pPr>
        <w:jc w:val="both"/>
        <w:rPr>
          <w:lang w:val="de-DE"/>
        </w:rPr>
      </w:pPr>
    </w:p>
    <w:p w14:paraId="152AF758" w14:textId="77777777" w:rsidR="006C2B87" w:rsidRPr="004676F5" w:rsidRDefault="006C2B87" w:rsidP="00F6427E">
      <w:pPr>
        <w:jc w:val="both"/>
        <w:rPr>
          <w:lang w:val="de-DE"/>
        </w:rPr>
      </w:pPr>
    </w:p>
    <w:p w14:paraId="2C5FAFD4" w14:textId="4D901A8A"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III.62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Zulassungsantrag wird dem Minister per Einschreiben oder gegen Empfangsbestätigung zugesandt.</w:t>
      </w:r>
    </w:p>
    <w:p w14:paraId="6DE92F14" w14:textId="77777777" w:rsidR="00F6427E" w:rsidRPr="004676F5" w:rsidRDefault="00F6427E" w:rsidP="00F6427E">
      <w:pPr>
        <w:jc w:val="both"/>
        <w:rPr>
          <w:lang w:val="de-DE"/>
        </w:rPr>
      </w:pPr>
    </w:p>
    <w:p w14:paraId="25C01504" w14:textId="2025329B"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Dem Antrag müssen ein Geschäftsplan und alle hinsichtlich der Zulassungs</w:t>
      </w:r>
      <w:r w:rsidRPr="004676F5">
        <w:rPr>
          <w:lang w:val="de-DE"/>
        </w:rPr>
        <w:softHyphen/>
        <w:t>bedingungen erforderlichen Unterlagen beiliegen.</w:t>
      </w:r>
    </w:p>
    <w:p w14:paraId="54F312F1" w14:textId="77777777" w:rsidR="00F6427E" w:rsidRPr="004676F5" w:rsidRDefault="00F6427E" w:rsidP="00F6427E">
      <w:pPr>
        <w:jc w:val="both"/>
        <w:rPr>
          <w:lang w:val="de-DE"/>
        </w:rPr>
      </w:pPr>
    </w:p>
    <w:p w14:paraId="0C2A9540" w14:textId="77777777" w:rsidR="00F6427E" w:rsidRPr="004676F5" w:rsidRDefault="00F6427E" w:rsidP="00F6427E">
      <w:pPr>
        <w:jc w:val="both"/>
        <w:rPr>
          <w:lang w:val="de-DE"/>
        </w:rPr>
      </w:pPr>
      <w:r w:rsidRPr="004676F5">
        <w:rPr>
          <w:lang w:val="de-DE"/>
        </w:rPr>
        <w:tab/>
        <w:t>Im Geschäftsplan muss deutlich angegeben werden, wie die Tätigkeit als Unternehmensschalter finanziert werden soll, wie die erforderlichen fachlichen Fähigkeiten bereitgestellt werden sollen und welches geografische Gebiet der Unternehmensschalter abdecken soll. Diese Bedingungen sind ebenfalls für alle Niederlassungseinheiten des Schalters zu erfüllen.</w:t>
      </w:r>
    </w:p>
    <w:p w14:paraId="58AC68BA" w14:textId="77777777" w:rsidR="00F6427E" w:rsidRPr="004676F5" w:rsidRDefault="00F6427E" w:rsidP="00F6427E">
      <w:pPr>
        <w:jc w:val="both"/>
        <w:rPr>
          <w:lang w:val="de-DE"/>
        </w:rPr>
      </w:pPr>
    </w:p>
    <w:p w14:paraId="693A956A" w14:textId="4ED49C8F" w:rsidR="00F6427E" w:rsidRPr="004676F5" w:rsidRDefault="00F6427E" w:rsidP="00F6427E">
      <w:pPr>
        <w:jc w:val="both"/>
        <w:rPr>
          <w:lang w:val="de-DE"/>
        </w:rPr>
      </w:pPr>
      <w:r w:rsidRPr="004676F5">
        <w:rPr>
          <w:lang w:val="de-DE"/>
        </w:rPr>
        <w:tab/>
        <w:t>§ 3 </w:t>
      </w:r>
      <w:r w:rsidR="005B7A5C" w:rsidRPr="004676F5">
        <w:rPr>
          <w:lang w:val="de-DE"/>
        </w:rPr>
        <w:t>- </w:t>
      </w:r>
      <w:r w:rsidRPr="004676F5">
        <w:rPr>
          <w:lang w:val="de-DE"/>
        </w:rPr>
        <w:t>Öffentliche Einrichtungen können bei einem Unternehmensschalter im Namen ihrer Kunden als Bevollmächtigte auftreten.</w:t>
      </w:r>
    </w:p>
    <w:p w14:paraId="0782E84A" w14:textId="77777777" w:rsidR="00F6427E" w:rsidRPr="004676F5" w:rsidRDefault="00F6427E" w:rsidP="00F6427E">
      <w:pPr>
        <w:jc w:val="both"/>
        <w:rPr>
          <w:lang w:val="de-DE"/>
        </w:rPr>
      </w:pPr>
    </w:p>
    <w:p w14:paraId="44161E1F" w14:textId="74DB2A23" w:rsidR="00F6427E" w:rsidRPr="004676F5" w:rsidRDefault="00F6427E" w:rsidP="00F6427E">
      <w:pPr>
        <w:jc w:val="both"/>
        <w:rPr>
          <w:lang w:val="de-DE"/>
        </w:rPr>
      </w:pPr>
      <w:r w:rsidRPr="004676F5">
        <w:rPr>
          <w:lang w:val="de-DE"/>
        </w:rPr>
        <w:tab/>
        <w:t>§ 4 </w:t>
      </w:r>
      <w:r w:rsidR="005B7A5C" w:rsidRPr="004676F5">
        <w:rPr>
          <w:lang w:val="de-DE"/>
        </w:rPr>
        <w:t>- </w:t>
      </w:r>
      <w:r w:rsidRPr="004676F5">
        <w:rPr>
          <w:lang w:val="de-DE"/>
        </w:rPr>
        <w:t>Der Minister kann einen Unternehmensschalter zulassen, der von einer Vereinigung ohne Gewinnerzielungsabsicht eingerichtet wird, die hauptsächlich oder ausschließlich durch öffentliche Mittel finanziert wird und die für Unternehmensgründer Informations-, Begleit</w:t>
      </w:r>
      <w:r w:rsidR="005B7A5C" w:rsidRPr="004676F5">
        <w:rPr>
          <w:lang w:val="de-DE"/>
        </w:rPr>
        <w:t>- </w:t>
      </w:r>
      <w:r w:rsidRPr="004676F5">
        <w:rPr>
          <w:lang w:val="de-DE"/>
        </w:rPr>
        <w:t>oder Beratungstätigkeiten ausübt, wenn sich erweist, dass in einem von den europäischen oder regionalen Behörden bestimmten geografischen Gebiet, das für eine positive Diskriminierung in Betracht kommen soll, kein aktiver Unternehmensschalter besteht.</w:t>
      </w:r>
    </w:p>
    <w:p w14:paraId="1F8E70CB" w14:textId="77777777" w:rsidR="00F6427E" w:rsidRPr="004676F5" w:rsidRDefault="00F6427E" w:rsidP="00F6427E">
      <w:pPr>
        <w:jc w:val="both"/>
        <w:rPr>
          <w:lang w:val="de-DE"/>
        </w:rPr>
      </w:pPr>
    </w:p>
    <w:p w14:paraId="3689D3F1" w14:textId="77777777" w:rsidR="00F6427E" w:rsidRPr="004676F5" w:rsidRDefault="00F6427E" w:rsidP="00F6427E">
      <w:pPr>
        <w:jc w:val="both"/>
        <w:rPr>
          <w:lang w:val="de-DE"/>
        </w:rPr>
      </w:pPr>
      <w:r w:rsidRPr="004676F5">
        <w:rPr>
          <w:lang w:val="de-DE"/>
        </w:rPr>
        <w:tab/>
        <w:t>Für die Anwendung des vorhergehenden Absatzes sind die in Artikel III.61 § 1 Nr. 2 und § 2 erwähnten Zulassungsbedingungen nicht anwendbar.</w:t>
      </w:r>
    </w:p>
    <w:p w14:paraId="6094A73B" w14:textId="77777777" w:rsidR="006C2B87" w:rsidRPr="004676F5" w:rsidRDefault="006C2B87" w:rsidP="006C2B87">
      <w:pPr>
        <w:rPr>
          <w:lang w:val="de-DE"/>
        </w:rPr>
      </w:pPr>
    </w:p>
    <w:p w14:paraId="41E064BD" w14:textId="77777777" w:rsidR="006C2B87" w:rsidRPr="004676F5" w:rsidRDefault="006C2B87" w:rsidP="006C2B87">
      <w:pPr>
        <w:rPr>
          <w:lang w:val="de-DE"/>
        </w:rPr>
      </w:pPr>
    </w:p>
    <w:p w14:paraId="58858C7D" w14:textId="0982300D" w:rsidR="00F6427E" w:rsidRPr="004676F5" w:rsidRDefault="006C2B87" w:rsidP="0095116E">
      <w:pPr>
        <w:jc w:val="both"/>
        <w:rPr>
          <w:lang w:val="de-DE"/>
        </w:rPr>
      </w:pPr>
      <w:r w:rsidRPr="004676F5">
        <w:rPr>
          <w:lang w:val="de-DE"/>
        </w:rPr>
        <w:tab/>
      </w:r>
      <w:r w:rsidR="00BE0A56" w:rsidRPr="004676F5">
        <w:rPr>
          <w:b/>
          <w:lang w:val="de-DE"/>
        </w:rPr>
        <w:t>Art. </w:t>
      </w:r>
      <w:r w:rsidR="00F6427E" w:rsidRPr="004676F5">
        <w:rPr>
          <w:b/>
          <w:lang w:val="de-DE"/>
        </w:rPr>
        <w:t>III.63</w:t>
      </w:r>
      <w:r w:rsidR="00F6427E" w:rsidRPr="004676F5">
        <w:rPr>
          <w:lang w:val="de-DE"/>
        </w:rPr>
        <w:t> </w:t>
      </w:r>
      <w:r w:rsidR="005B7A5C" w:rsidRPr="004676F5">
        <w:rPr>
          <w:lang w:val="de-DE"/>
        </w:rPr>
        <w:t>- </w:t>
      </w:r>
      <w:r w:rsidR="0095116E" w:rsidRPr="004676F5">
        <w:rPr>
          <w:lang w:val="de-DE"/>
        </w:rPr>
        <w:t>[…]</w:t>
      </w:r>
    </w:p>
    <w:p w14:paraId="166B6B7C" w14:textId="77777777" w:rsidR="0095116E" w:rsidRPr="004676F5" w:rsidRDefault="0095116E" w:rsidP="0095116E">
      <w:pPr>
        <w:jc w:val="both"/>
        <w:rPr>
          <w:lang w:val="de-DE"/>
        </w:rPr>
      </w:pPr>
    </w:p>
    <w:p w14:paraId="32071FE2" w14:textId="46F16EE4" w:rsidR="0095116E" w:rsidRPr="004676F5" w:rsidRDefault="0095116E" w:rsidP="0095116E">
      <w:pPr>
        <w:jc w:val="both"/>
        <w:rPr>
          <w:i/>
          <w:lang w:val="de-DE"/>
        </w:rPr>
      </w:pPr>
      <w:r w:rsidRPr="004676F5">
        <w:rPr>
          <w:i/>
          <w:lang w:val="de-DE"/>
        </w:rPr>
        <w:t>[</w:t>
      </w:r>
      <w:r w:rsidR="00BE0A56" w:rsidRPr="004676F5">
        <w:rPr>
          <w:i/>
          <w:lang w:val="de-DE"/>
        </w:rPr>
        <w:t>Art. </w:t>
      </w:r>
      <w:r w:rsidRPr="004676F5">
        <w:rPr>
          <w:i/>
          <w:lang w:val="de-DE"/>
        </w:rPr>
        <w:t xml:space="preserve">III.63 aufgehoben durch </w:t>
      </w:r>
      <w:r w:rsidR="00BE0A56" w:rsidRPr="004676F5">
        <w:rPr>
          <w:i/>
          <w:lang w:val="de-DE"/>
        </w:rPr>
        <w:t>Art. </w:t>
      </w:r>
      <w:r w:rsidRPr="004676F5">
        <w:rPr>
          <w:i/>
          <w:lang w:val="de-DE"/>
        </w:rPr>
        <w:t>7 des G. vom 29. Juni 2016 (B.S. vom 6. Juli 2016)]</w:t>
      </w:r>
    </w:p>
    <w:p w14:paraId="565EDE8B" w14:textId="77777777" w:rsidR="0095116E" w:rsidRPr="004676F5" w:rsidRDefault="0095116E" w:rsidP="0095116E">
      <w:pPr>
        <w:jc w:val="both"/>
        <w:rPr>
          <w:lang w:val="de-DE"/>
        </w:rPr>
      </w:pPr>
    </w:p>
    <w:p w14:paraId="108C523E" w14:textId="77777777" w:rsidR="006C2B87" w:rsidRPr="004676F5" w:rsidRDefault="006C2B87" w:rsidP="00F6427E">
      <w:pPr>
        <w:jc w:val="both"/>
        <w:rPr>
          <w:lang w:val="de-DE"/>
        </w:rPr>
      </w:pPr>
    </w:p>
    <w:p w14:paraId="723BBC88" w14:textId="00F4913B"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III.64</w:t>
      </w:r>
      <w:r w:rsidRPr="004676F5">
        <w:rPr>
          <w:lang w:val="de-DE"/>
        </w:rPr>
        <w:t> </w:t>
      </w:r>
      <w:r w:rsidR="005B7A5C" w:rsidRPr="004676F5">
        <w:rPr>
          <w:lang w:val="de-DE"/>
        </w:rPr>
        <w:t>- </w:t>
      </w:r>
      <w:r w:rsidRPr="004676F5">
        <w:rPr>
          <w:lang w:val="de-DE"/>
        </w:rPr>
        <w:t>Die Zulassung wird innerhalb einer Frist von drei Monaten ab Notifizierung der Vollständigkeit der Zulassungsantragsakte vom Minister erteilt oder verweigert. Dieser Beschluss wird dem Antragsteller per Einschreibesendung notifiziert.</w:t>
      </w:r>
    </w:p>
    <w:p w14:paraId="78BCAD75" w14:textId="77777777" w:rsidR="00F6427E" w:rsidRPr="004676F5" w:rsidRDefault="00F6427E" w:rsidP="00F6427E">
      <w:pPr>
        <w:jc w:val="both"/>
        <w:rPr>
          <w:lang w:val="de-DE"/>
        </w:rPr>
      </w:pPr>
    </w:p>
    <w:p w14:paraId="79574BAD" w14:textId="77777777" w:rsidR="006C2B87" w:rsidRPr="004676F5" w:rsidRDefault="006C2B87" w:rsidP="00F6427E">
      <w:pPr>
        <w:jc w:val="both"/>
        <w:rPr>
          <w:lang w:val="de-DE"/>
        </w:rPr>
      </w:pPr>
    </w:p>
    <w:p w14:paraId="24FF1486" w14:textId="1FCBB743"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III.65</w:t>
      </w:r>
      <w:r w:rsidRPr="004676F5">
        <w:rPr>
          <w:lang w:val="de-DE"/>
        </w:rPr>
        <w:t> </w:t>
      </w:r>
      <w:r w:rsidR="005B7A5C" w:rsidRPr="004676F5">
        <w:rPr>
          <w:lang w:val="de-DE"/>
        </w:rPr>
        <w:t>- </w:t>
      </w:r>
      <w:r w:rsidRPr="004676F5">
        <w:rPr>
          <w:lang w:val="de-DE"/>
        </w:rPr>
        <w:t>Der Antragsteller hat die Möglichkeit einen neuen Antrag einzureichen, wenn die Gründe für die Verweigerung nicht mehr bestehen.</w:t>
      </w:r>
    </w:p>
    <w:p w14:paraId="68C32913" w14:textId="77777777" w:rsidR="00F6427E" w:rsidRPr="004676F5" w:rsidRDefault="00F6427E" w:rsidP="00F6427E">
      <w:pPr>
        <w:jc w:val="both"/>
        <w:rPr>
          <w:lang w:val="de-DE"/>
        </w:rPr>
      </w:pPr>
    </w:p>
    <w:p w14:paraId="220BBA49" w14:textId="77777777" w:rsidR="006C2B87" w:rsidRPr="004676F5" w:rsidRDefault="006C2B87" w:rsidP="00F6427E">
      <w:pPr>
        <w:jc w:val="both"/>
        <w:rPr>
          <w:lang w:val="de-DE"/>
        </w:rPr>
      </w:pPr>
    </w:p>
    <w:p w14:paraId="36F64A14" w14:textId="3D41C548"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III.66</w:t>
      </w:r>
      <w:r w:rsidRPr="004676F5">
        <w:rPr>
          <w:lang w:val="de-DE"/>
        </w:rPr>
        <w:t> </w:t>
      </w:r>
      <w:r w:rsidR="005B7A5C" w:rsidRPr="004676F5">
        <w:rPr>
          <w:lang w:val="de-DE"/>
        </w:rPr>
        <w:t>- </w:t>
      </w:r>
      <w:r w:rsidRPr="004676F5">
        <w:rPr>
          <w:lang w:val="de-DE"/>
        </w:rPr>
        <w:t>Die Zulassung ist für einen Zeitraum von fünf Jahren gültig und ist erneuerbar.</w:t>
      </w:r>
    </w:p>
    <w:p w14:paraId="2184A6A7" w14:textId="77777777" w:rsidR="00F6427E" w:rsidRPr="004676F5" w:rsidRDefault="00F6427E" w:rsidP="00F6427E">
      <w:pPr>
        <w:jc w:val="both"/>
        <w:rPr>
          <w:lang w:val="de-DE"/>
        </w:rPr>
      </w:pPr>
    </w:p>
    <w:p w14:paraId="78FA0FC9" w14:textId="77777777" w:rsidR="00F6427E" w:rsidRPr="004676F5" w:rsidRDefault="00F6427E" w:rsidP="00F6427E">
      <w:pPr>
        <w:jc w:val="both"/>
        <w:rPr>
          <w:lang w:val="de-DE"/>
        </w:rPr>
      </w:pPr>
      <w:r w:rsidRPr="004676F5">
        <w:rPr>
          <w:lang w:val="de-DE"/>
        </w:rPr>
        <w:tab/>
        <w:t xml:space="preserve">Der Minister veröffentlicht die Liste der zugelassenen Unternehmensschalter und ihrer Niederlassungseinheiten auf der Website des Föderalen Öffentlichen Dienstes Wirtschaft, KMB, Mittelstand und Energie, sowie jedes Jahr vor dem 31. März im </w:t>
      </w:r>
      <w:r w:rsidRPr="004676F5">
        <w:rPr>
          <w:i/>
          <w:lang w:val="de-DE"/>
        </w:rPr>
        <w:t>Belgischen Staatsblatt</w:t>
      </w:r>
      <w:r w:rsidRPr="004676F5">
        <w:rPr>
          <w:lang w:val="de-DE"/>
        </w:rPr>
        <w:t>.</w:t>
      </w:r>
    </w:p>
    <w:p w14:paraId="2C3C77EC" w14:textId="77777777" w:rsidR="00F6427E" w:rsidRPr="004676F5" w:rsidRDefault="00F6427E" w:rsidP="00F6427E">
      <w:pPr>
        <w:jc w:val="both"/>
        <w:rPr>
          <w:lang w:val="de-DE"/>
        </w:rPr>
      </w:pPr>
    </w:p>
    <w:p w14:paraId="26D173C6" w14:textId="77777777" w:rsidR="006C2B87" w:rsidRPr="004676F5" w:rsidRDefault="006C2B87" w:rsidP="00F6427E">
      <w:pPr>
        <w:jc w:val="both"/>
        <w:rPr>
          <w:lang w:val="de-DE"/>
        </w:rPr>
      </w:pPr>
    </w:p>
    <w:p w14:paraId="4C534101" w14:textId="165234D9"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III.67</w:t>
      </w:r>
      <w:r w:rsidRPr="004676F5">
        <w:rPr>
          <w:lang w:val="de-DE"/>
        </w:rPr>
        <w:t> </w:t>
      </w:r>
      <w:r w:rsidR="005B7A5C" w:rsidRPr="004676F5">
        <w:rPr>
          <w:lang w:val="de-DE"/>
        </w:rPr>
        <w:t>- </w:t>
      </w:r>
      <w:r w:rsidRPr="004676F5">
        <w:rPr>
          <w:lang w:val="de-DE"/>
        </w:rPr>
        <w:t>Der Antrag auf Erneuerung der Zulassung eines Unternehmensschalters wird sechs Monate vor Ablauf des Zeitraums, der durch die vorherige Zulassung gedeckt ist, beim Minister eingereicht.</w:t>
      </w:r>
    </w:p>
    <w:p w14:paraId="30F1A78B" w14:textId="77777777" w:rsidR="00F6427E" w:rsidRPr="004676F5" w:rsidRDefault="00F6427E" w:rsidP="00F6427E">
      <w:pPr>
        <w:jc w:val="both"/>
        <w:rPr>
          <w:lang w:val="de-DE"/>
        </w:rPr>
      </w:pPr>
    </w:p>
    <w:p w14:paraId="41B553B7" w14:textId="77777777" w:rsidR="00F6427E" w:rsidRPr="004676F5" w:rsidRDefault="00F6427E" w:rsidP="00F6427E">
      <w:pPr>
        <w:jc w:val="both"/>
        <w:rPr>
          <w:lang w:val="de-DE"/>
        </w:rPr>
      </w:pPr>
      <w:r w:rsidRPr="004676F5">
        <w:rPr>
          <w:lang w:val="de-DE"/>
        </w:rPr>
        <w:tab/>
        <w:t>Der Unternehmensschalter bleibt zugelassen, bis der Minister über den Erneuerungs</w:t>
      </w:r>
      <w:r w:rsidRPr="004676F5">
        <w:rPr>
          <w:lang w:val="de-DE"/>
        </w:rPr>
        <w:softHyphen/>
        <w:t>antrag entschieden hat.</w:t>
      </w:r>
    </w:p>
    <w:p w14:paraId="6459739D" w14:textId="77777777" w:rsidR="00F6427E" w:rsidRPr="004676F5" w:rsidRDefault="00F6427E" w:rsidP="00F6427E">
      <w:pPr>
        <w:jc w:val="both"/>
        <w:rPr>
          <w:lang w:val="de-DE"/>
        </w:rPr>
      </w:pPr>
    </w:p>
    <w:p w14:paraId="56B52999" w14:textId="77777777" w:rsidR="006C2B87" w:rsidRPr="004676F5" w:rsidRDefault="006C2B87" w:rsidP="00F6427E">
      <w:pPr>
        <w:jc w:val="both"/>
        <w:rPr>
          <w:lang w:val="de-DE"/>
        </w:rPr>
      </w:pPr>
    </w:p>
    <w:p w14:paraId="7F09AB12" w14:textId="3437CF33"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III.68</w:t>
      </w:r>
      <w:r w:rsidRPr="004676F5">
        <w:rPr>
          <w:lang w:val="de-DE"/>
        </w:rPr>
        <w:t> </w:t>
      </w:r>
      <w:r w:rsidR="005B7A5C" w:rsidRPr="004676F5">
        <w:rPr>
          <w:lang w:val="de-DE"/>
        </w:rPr>
        <w:t>- </w:t>
      </w:r>
      <w:r w:rsidRPr="004676F5">
        <w:rPr>
          <w:lang w:val="de-DE"/>
        </w:rPr>
        <w:t>Änderungen der Angaben, die zum Zeitpunkt des Zulassungsantrags übermittelt werden, müssen dem Minister innerhalb eines Monats mitgeteilt werden. In dieser Mitteilung wird die Änderung näher beschrieben und begründet.</w:t>
      </w:r>
    </w:p>
    <w:p w14:paraId="30F4BF3C" w14:textId="77777777" w:rsidR="00F6427E" w:rsidRPr="004676F5" w:rsidRDefault="00F6427E" w:rsidP="00F6427E">
      <w:pPr>
        <w:jc w:val="both"/>
        <w:rPr>
          <w:lang w:val="de-DE"/>
        </w:rPr>
      </w:pPr>
    </w:p>
    <w:p w14:paraId="385937A4" w14:textId="77777777" w:rsidR="006C2B87" w:rsidRPr="004676F5" w:rsidRDefault="006C2B87" w:rsidP="00F6427E">
      <w:pPr>
        <w:jc w:val="both"/>
        <w:rPr>
          <w:lang w:val="de-DE"/>
        </w:rPr>
      </w:pPr>
    </w:p>
    <w:p w14:paraId="51B8560F" w14:textId="1F1F0942"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III.69</w:t>
      </w:r>
      <w:r w:rsidRPr="004676F5">
        <w:rPr>
          <w:lang w:val="de-DE"/>
        </w:rPr>
        <w:t> </w:t>
      </w:r>
      <w:r w:rsidR="005B7A5C" w:rsidRPr="004676F5">
        <w:rPr>
          <w:lang w:val="de-DE"/>
        </w:rPr>
        <w:t>- </w:t>
      </w:r>
      <w:r w:rsidRPr="004676F5">
        <w:rPr>
          <w:lang w:val="de-DE"/>
        </w:rPr>
        <w:t>Der Minister kann von Amts wegen gemäß den vom König festgelegten Modalitäten entscheiden, die Zulassung auszusetzen oder zu entziehen, wenn die Bestim</w:t>
      </w:r>
      <w:r w:rsidRPr="004676F5">
        <w:rPr>
          <w:lang w:val="de-DE"/>
        </w:rPr>
        <w:softHyphen/>
        <w:t>mungen des vorliegenden Titels, seiner Ausführungserlasse oder die Zulassungsbedingungen nicht eingehalten werden.</w:t>
      </w:r>
    </w:p>
    <w:p w14:paraId="27CA623B" w14:textId="77777777" w:rsidR="00F6427E" w:rsidRPr="004676F5" w:rsidRDefault="00F6427E" w:rsidP="00F6427E">
      <w:pPr>
        <w:jc w:val="both"/>
        <w:rPr>
          <w:lang w:val="de-DE"/>
        </w:rPr>
      </w:pPr>
    </w:p>
    <w:p w14:paraId="1A2730AD" w14:textId="77777777" w:rsidR="006C2B87" w:rsidRPr="004676F5" w:rsidRDefault="006C2B87" w:rsidP="00F6427E">
      <w:pPr>
        <w:jc w:val="both"/>
        <w:rPr>
          <w:lang w:val="de-DE"/>
        </w:rPr>
      </w:pPr>
    </w:p>
    <w:p w14:paraId="6C831C03" w14:textId="5C86A266" w:rsidR="00F6427E" w:rsidRPr="004676F5" w:rsidRDefault="00F6427E" w:rsidP="00F6427E">
      <w:pPr>
        <w:jc w:val="center"/>
        <w:rPr>
          <w:lang w:val="de-DE"/>
        </w:rPr>
      </w:pPr>
      <w:r w:rsidRPr="004676F5">
        <w:rPr>
          <w:i/>
          <w:lang w:val="de-DE"/>
        </w:rPr>
        <w:t>Abschnitt 3</w:t>
      </w:r>
      <w:r w:rsidRPr="004676F5">
        <w:rPr>
          <w:lang w:val="de-DE"/>
        </w:rPr>
        <w:t> </w:t>
      </w:r>
      <w:r w:rsidR="005B7A5C" w:rsidRPr="004676F5">
        <w:rPr>
          <w:lang w:val="de-DE"/>
        </w:rPr>
        <w:t>- </w:t>
      </w:r>
      <w:r w:rsidRPr="004676F5">
        <w:rPr>
          <w:lang w:val="de-DE"/>
        </w:rPr>
        <w:t>Verpflichtungen der Unternehmensschalter</w:t>
      </w:r>
    </w:p>
    <w:p w14:paraId="7CD67DA5" w14:textId="77777777" w:rsidR="00F6427E" w:rsidRPr="004676F5" w:rsidRDefault="00F6427E" w:rsidP="00F6427E">
      <w:pPr>
        <w:jc w:val="both"/>
        <w:rPr>
          <w:lang w:val="de-DE"/>
        </w:rPr>
      </w:pPr>
    </w:p>
    <w:p w14:paraId="4B9F2C22" w14:textId="77777777" w:rsidR="006C2B87" w:rsidRPr="004676F5" w:rsidRDefault="006C2B87" w:rsidP="00F6427E">
      <w:pPr>
        <w:jc w:val="both"/>
        <w:rPr>
          <w:lang w:val="de-DE"/>
        </w:rPr>
      </w:pPr>
    </w:p>
    <w:p w14:paraId="346D04AC" w14:textId="0B8BE5D0"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III.70</w:t>
      </w:r>
      <w:r w:rsidRPr="004676F5">
        <w:rPr>
          <w:lang w:val="de-DE"/>
        </w:rPr>
        <w:t> </w:t>
      </w:r>
      <w:r w:rsidR="005B7A5C" w:rsidRPr="004676F5">
        <w:rPr>
          <w:lang w:val="de-DE"/>
        </w:rPr>
        <w:t>- </w:t>
      </w:r>
      <w:r w:rsidRPr="004676F5">
        <w:rPr>
          <w:lang w:val="de-DE"/>
        </w:rPr>
        <w:t>Unternehmensschalter müssen die zeitliche Kontinuität der Ausführung der in Artikel III.59 erwähnten Aufträge gewährleisten.</w:t>
      </w:r>
    </w:p>
    <w:p w14:paraId="5558F8AD" w14:textId="77777777" w:rsidR="00F6427E" w:rsidRPr="004676F5" w:rsidRDefault="00F6427E" w:rsidP="00F6427E">
      <w:pPr>
        <w:rPr>
          <w:lang w:val="de-DE"/>
        </w:rPr>
      </w:pPr>
    </w:p>
    <w:p w14:paraId="5148D58B" w14:textId="77777777" w:rsidR="00F6427E" w:rsidRPr="004676F5" w:rsidRDefault="00F6427E" w:rsidP="00F6427E">
      <w:pPr>
        <w:jc w:val="both"/>
        <w:rPr>
          <w:lang w:val="de-DE"/>
        </w:rPr>
      </w:pPr>
      <w:r w:rsidRPr="004676F5">
        <w:rPr>
          <w:lang w:val="de-DE"/>
        </w:rPr>
        <w:tab/>
        <w:t>Der König kann Modalitäten für die von den Unternehmensschaltern zu bietenden Sicherheiten festlegen, damit die zeitliche Kontinuität der Dienstleistungserbringung gewähr</w:t>
      </w:r>
      <w:r w:rsidRPr="004676F5">
        <w:rPr>
          <w:lang w:val="de-DE"/>
        </w:rPr>
        <w:softHyphen/>
        <w:t>leistet wird.</w:t>
      </w:r>
    </w:p>
    <w:p w14:paraId="72352762" w14:textId="77777777" w:rsidR="00F6427E" w:rsidRPr="004676F5" w:rsidRDefault="00F6427E" w:rsidP="00F6427E">
      <w:pPr>
        <w:jc w:val="both"/>
        <w:rPr>
          <w:lang w:val="de-DE"/>
        </w:rPr>
      </w:pPr>
    </w:p>
    <w:p w14:paraId="7C34DE66" w14:textId="77777777" w:rsidR="006C2B87" w:rsidRPr="004676F5" w:rsidRDefault="006C2B87" w:rsidP="00F6427E">
      <w:pPr>
        <w:jc w:val="both"/>
        <w:rPr>
          <w:lang w:val="de-DE"/>
        </w:rPr>
      </w:pPr>
    </w:p>
    <w:p w14:paraId="1344DC61" w14:textId="33B20244"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III.71</w:t>
      </w:r>
      <w:r w:rsidRPr="004676F5">
        <w:rPr>
          <w:lang w:val="de-DE"/>
        </w:rPr>
        <w:t> </w:t>
      </w:r>
      <w:r w:rsidR="005B7A5C" w:rsidRPr="004676F5">
        <w:rPr>
          <w:lang w:val="de-DE"/>
        </w:rPr>
        <w:t>- </w:t>
      </w:r>
      <w:r w:rsidRPr="004676F5">
        <w:rPr>
          <w:lang w:val="de-DE"/>
        </w:rPr>
        <w:t>Der König legt durch einen im Ministerrat beratenen Erlass die Qualitäts</w:t>
      </w:r>
      <w:r w:rsidRPr="004676F5">
        <w:rPr>
          <w:lang w:val="de-DE"/>
        </w:rPr>
        <w:softHyphen/>
        <w:t xml:space="preserve">normen, denen die von den Unternehmensschaltern erbrachten Dienste genügen müssen, die </w:t>
      </w:r>
      <w:r w:rsidRPr="004676F5">
        <w:rPr>
          <w:lang w:val="de-DE"/>
        </w:rPr>
        <w:lastRenderedPageBreak/>
        <w:t>minimalen Öffnungszeiten und die besonderen Regeln hinsichtlich Verwaltung, Buchführung und Jahresabschluss der Unternehmensschalter fest.</w:t>
      </w:r>
    </w:p>
    <w:p w14:paraId="53C72950" w14:textId="77777777" w:rsidR="00F6427E" w:rsidRPr="004676F5" w:rsidRDefault="00F6427E" w:rsidP="00F6427E">
      <w:pPr>
        <w:jc w:val="both"/>
        <w:rPr>
          <w:lang w:val="de-DE"/>
        </w:rPr>
      </w:pPr>
    </w:p>
    <w:p w14:paraId="1A88C51F" w14:textId="77777777" w:rsidR="006C2B87" w:rsidRPr="004676F5" w:rsidRDefault="006C2B87" w:rsidP="00F6427E">
      <w:pPr>
        <w:jc w:val="both"/>
        <w:rPr>
          <w:lang w:val="de-DE"/>
        </w:rPr>
      </w:pPr>
    </w:p>
    <w:p w14:paraId="0BFEEEB0" w14:textId="0542B1C7"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III.72</w:t>
      </w:r>
      <w:r w:rsidRPr="004676F5">
        <w:rPr>
          <w:lang w:val="de-DE"/>
        </w:rPr>
        <w:t> </w:t>
      </w:r>
      <w:r w:rsidR="005B7A5C" w:rsidRPr="004676F5">
        <w:rPr>
          <w:lang w:val="de-DE"/>
        </w:rPr>
        <w:t>- </w:t>
      </w:r>
      <w:r w:rsidRPr="004676F5">
        <w:rPr>
          <w:lang w:val="de-DE"/>
        </w:rPr>
        <w:t xml:space="preserve">Unternehmensschalter müssen unter den vom König festgelegten Bedingungen auf Antrag Behörden, Verwaltungen und Diensten </w:t>
      </w:r>
      <w:r w:rsidR="005B7A5C" w:rsidRPr="004676F5">
        <w:rPr>
          <w:lang w:val="de-DE"/>
        </w:rPr>
        <w:t>- </w:t>
      </w:r>
      <w:r w:rsidRPr="004676F5">
        <w:rPr>
          <w:lang w:val="de-DE"/>
        </w:rPr>
        <w:t xml:space="preserve">einschließlich der Staatsanwaltschaften, der Kanzleien der Höfe und anderen Gerichte, der Mitglieder der rechtsprechenden Gewalt und der dazu ermächtigten Beamten der Ministerien, der Verwaltungen der Gemeinschaften, der Regionen, der Provinzen, der Agglomerationen und Gemeindeföderationen, der Gemeinden und anderer vom König bestimmten Einrichtungen und Vereinigungen </w:t>
      </w:r>
      <w:r w:rsidR="005B7A5C" w:rsidRPr="004676F5">
        <w:rPr>
          <w:lang w:val="de-DE"/>
        </w:rPr>
        <w:t>- </w:t>
      </w:r>
      <w:r w:rsidRPr="004676F5">
        <w:rPr>
          <w:lang w:val="de-DE"/>
        </w:rPr>
        <w:t>unverzüglich und kostenlos alle in ihrem Besitz befindlichen Informationen übermitteln, in alle in ihrem Besitz befindlichen Unterlagen und Schriftstücke Einsicht gewähren und zudem diesen Instanzen für notwendig erachtete Kopien und Auszüge übermitteln.</w:t>
      </w:r>
    </w:p>
    <w:p w14:paraId="4E1780CC" w14:textId="1C28999D" w:rsidR="00F6427E" w:rsidRPr="004676F5" w:rsidRDefault="00F6427E" w:rsidP="00F6427E">
      <w:pPr>
        <w:jc w:val="both"/>
        <w:rPr>
          <w:lang w:val="de-DE"/>
        </w:rPr>
      </w:pPr>
    </w:p>
    <w:p w14:paraId="5C99D44E" w14:textId="77777777" w:rsidR="00AE551D" w:rsidRPr="004676F5" w:rsidRDefault="00AE551D" w:rsidP="00F6427E">
      <w:pPr>
        <w:jc w:val="both"/>
        <w:rPr>
          <w:lang w:val="de-DE"/>
        </w:rPr>
      </w:pPr>
    </w:p>
    <w:p w14:paraId="7F13B380" w14:textId="362843F4" w:rsidR="00F6427E" w:rsidRPr="004676F5" w:rsidRDefault="00F6427E" w:rsidP="00F6427E">
      <w:pPr>
        <w:jc w:val="center"/>
        <w:rPr>
          <w:lang w:val="de-DE"/>
        </w:rPr>
      </w:pPr>
      <w:r w:rsidRPr="004676F5">
        <w:rPr>
          <w:i/>
          <w:lang w:val="de-DE"/>
        </w:rPr>
        <w:t>Abschnitt 4</w:t>
      </w:r>
      <w:r w:rsidRPr="004676F5">
        <w:rPr>
          <w:lang w:val="de-DE"/>
        </w:rPr>
        <w:t> </w:t>
      </w:r>
      <w:r w:rsidR="005B7A5C" w:rsidRPr="004676F5">
        <w:rPr>
          <w:lang w:val="de-DE"/>
        </w:rPr>
        <w:t>- </w:t>
      </w:r>
      <w:r w:rsidRPr="004676F5">
        <w:rPr>
          <w:lang w:val="de-DE"/>
        </w:rPr>
        <w:t>Vergütung der Unternehmensschalter</w:t>
      </w:r>
    </w:p>
    <w:p w14:paraId="31DA248C" w14:textId="77777777" w:rsidR="00F6427E" w:rsidRPr="004676F5" w:rsidRDefault="00F6427E" w:rsidP="00F6427E">
      <w:pPr>
        <w:jc w:val="both"/>
        <w:rPr>
          <w:lang w:val="de-DE"/>
        </w:rPr>
      </w:pPr>
    </w:p>
    <w:p w14:paraId="18B8C9D5" w14:textId="77777777" w:rsidR="006C2B87" w:rsidRPr="004676F5" w:rsidRDefault="006C2B87" w:rsidP="00F6427E">
      <w:pPr>
        <w:jc w:val="both"/>
        <w:rPr>
          <w:lang w:val="de-DE"/>
        </w:rPr>
      </w:pPr>
    </w:p>
    <w:p w14:paraId="0423A1FC" w14:textId="66CC4459"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III.73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König kann durch einen im Ministerrat beratenen Erlass:</w:t>
      </w:r>
    </w:p>
    <w:p w14:paraId="6609FD76" w14:textId="77777777" w:rsidR="00F6427E" w:rsidRPr="004676F5" w:rsidRDefault="00F6427E" w:rsidP="00F6427E">
      <w:pPr>
        <w:jc w:val="both"/>
        <w:rPr>
          <w:lang w:val="de-DE"/>
        </w:rPr>
      </w:pPr>
    </w:p>
    <w:p w14:paraId="284D8B8F" w14:textId="77777777" w:rsidR="00F6427E" w:rsidRPr="004676F5" w:rsidRDefault="00F6427E" w:rsidP="00F6427E">
      <w:pPr>
        <w:jc w:val="both"/>
        <w:rPr>
          <w:lang w:val="de-DE"/>
        </w:rPr>
      </w:pPr>
      <w:r w:rsidRPr="004676F5">
        <w:rPr>
          <w:lang w:val="de-DE"/>
        </w:rPr>
        <w:tab/>
        <w:t xml:space="preserve">1. den Prozentsatz der in Anwendung von Artikel III.50 und III.59 Nr. 8 </w:t>
      </w:r>
      <w:r w:rsidRPr="004676F5">
        <w:rPr>
          <w:i/>
          <w:lang w:val="de-DE"/>
        </w:rPr>
        <w:t>[sic, zu lesen ist: III.59 § 1 Nr. 8]</w:t>
      </w:r>
      <w:r w:rsidRPr="004676F5">
        <w:rPr>
          <w:lang w:val="de-DE"/>
        </w:rPr>
        <w:t xml:space="preserve"> von den Unternehmensschaltern eingenommenen Eintragungsgebühren, Registrierungsgebühren, Offenlegungskosten und Vergütungen, den die Unternehmens</w:t>
      </w:r>
      <w:r w:rsidRPr="004676F5">
        <w:rPr>
          <w:lang w:val="de-DE"/>
        </w:rPr>
        <w:softHyphen/>
        <w:t>schalter als Vergütung für ihren Auftrag einbehalten, bestimmen,</w:t>
      </w:r>
    </w:p>
    <w:p w14:paraId="41EFB1CF" w14:textId="77777777" w:rsidR="00F6427E" w:rsidRPr="004676F5" w:rsidRDefault="00F6427E" w:rsidP="00F6427E">
      <w:pPr>
        <w:jc w:val="both"/>
        <w:rPr>
          <w:lang w:val="de-DE"/>
        </w:rPr>
      </w:pPr>
    </w:p>
    <w:p w14:paraId="23852945" w14:textId="77777777" w:rsidR="00F6427E" w:rsidRPr="004676F5" w:rsidRDefault="00F6427E" w:rsidP="00F6427E">
      <w:pPr>
        <w:jc w:val="both"/>
        <w:rPr>
          <w:lang w:val="de-DE"/>
        </w:rPr>
      </w:pPr>
      <w:r w:rsidRPr="004676F5">
        <w:rPr>
          <w:lang w:val="de-DE"/>
        </w:rPr>
        <w:tab/>
        <w:t>2. die in Nr. 1 erwähnte Vergütung gemäß den von Ihm festgelegten Modalitäten anpassen, um eine verbesserte Dienstleistungserbringung zu fördern,</w:t>
      </w:r>
    </w:p>
    <w:p w14:paraId="468CF217" w14:textId="77777777" w:rsidR="00F6427E" w:rsidRPr="004676F5" w:rsidRDefault="00F6427E" w:rsidP="00F6427E">
      <w:pPr>
        <w:jc w:val="both"/>
        <w:rPr>
          <w:lang w:val="de-DE"/>
        </w:rPr>
      </w:pPr>
    </w:p>
    <w:p w14:paraId="283034C6" w14:textId="77777777" w:rsidR="00F6427E" w:rsidRPr="004676F5" w:rsidRDefault="00F6427E" w:rsidP="00F6427E">
      <w:pPr>
        <w:jc w:val="both"/>
        <w:rPr>
          <w:lang w:val="de-DE"/>
        </w:rPr>
      </w:pPr>
      <w:r w:rsidRPr="004676F5">
        <w:rPr>
          <w:lang w:val="de-DE"/>
        </w:rPr>
        <w:tab/>
        <w:t xml:space="preserve">3. die Beträge bestimmen, die die Unternehmensschalter für Formalitäten wie in Artikel III.59 Nr. 6 </w:t>
      </w:r>
      <w:r w:rsidRPr="004676F5">
        <w:rPr>
          <w:i/>
          <w:lang w:val="de-DE"/>
        </w:rPr>
        <w:t>[sic, zu lesen ist: Artikel III.59 § 1 Nr. 6]</w:t>
      </w:r>
      <w:r w:rsidRPr="004676F5">
        <w:rPr>
          <w:lang w:val="de-DE"/>
        </w:rPr>
        <w:t xml:space="preserve"> erwähnt vereinnahmen, für die ihnen eine Föderalverwaltung die Entscheidungsbefugnis zuerkannt hat.</w:t>
      </w:r>
    </w:p>
    <w:p w14:paraId="5C65504B" w14:textId="77777777" w:rsidR="00F6427E" w:rsidRPr="004676F5" w:rsidRDefault="00F6427E" w:rsidP="00F6427E">
      <w:pPr>
        <w:jc w:val="both"/>
        <w:rPr>
          <w:lang w:val="de-DE"/>
        </w:rPr>
      </w:pPr>
    </w:p>
    <w:p w14:paraId="35C62836" w14:textId="1835132F"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Unternehmensschalter können für die in Artikel III.59 § 2 erwähnten zusätzlichen Dienste an Unternehmen Preise pro Leistung oder Pauschalbeträge auf Jahresbasis festsetzen.</w:t>
      </w:r>
    </w:p>
    <w:p w14:paraId="0E0166BA" w14:textId="77777777" w:rsidR="00F6427E" w:rsidRPr="004676F5" w:rsidRDefault="00F6427E" w:rsidP="00F6427E">
      <w:pPr>
        <w:jc w:val="both"/>
        <w:rPr>
          <w:lang w:val="de-DE"/>
        </w:rPr>
      </w:pPr>
    </w:p>
    <w:p w14:paraId="66CEAF81" w14:textId="77777777" w:rsidR="006C2B87" w:rsidRPr="004676F5" w:rsidRDefault="006C2B87">
      <w:pPr>
        <w:rPr>
          <w:b/>
          <w:lang w:val="de-DE"/>
        </w:rPr>
      </w:pPr>
      <w:r w:rsidRPr="004676F5">
        <w:rPr>
          <w:b/>
          <w:lang w:val="de-DE"/>
        </w:rPr>
        <w:br w:type="page"/>
      </w:r>
    </w:p>
    <w:p w14:paraId="222FE213" w14:textId="3EDB70E2" w:rsidR="00F6427E" w:rsidRPr="004676F5" w:rsidRDefault="00F6427E" w:rsidP="00F6427E">
      <w:pPr>
        <w:jc w:val="center"/>
        <w:rPr>
          <w:b/>
          <w:i/>
          <w:lang w:val="de-DE"/>
        </w:rPr>
      </w:pPr>
      <w:r w:rsidRPr="004676F5">
        <w:rPr>
          <w:b/>
          <w:lang w:val="de-DE"/>
        </w:rPr>
        <w:lastRenderedPageBreak/>
        <w:t>TITEL 3 </w:t>
      </w:r>
      <w:r w:rsidR="005B7A5C" w:rsidRPr="004676F5">
        <w:rPr>
          <w:b/>
          <w:lang w:val="de-DE"/>
        </w:rPr>
        <w:t>- </w:t>
      </w:r>
      <w:r w:rsidRPr="004676F5">
        <w:rPr>
          <w:b/>
          <w:i/>
          <w:lang w:val="de-DE"/>
        </w:rPr>
        <w:t>Allgemeine Verpflichtungen der Unternehmen</w:t>
      </w:r>
    </w:p>
    <w:p w14:paraId="2200B032" w14:textId="77777777" w:rsidR="00F6427E" w:rsidRPr="004676F5" w:rsidRDefault="00F6427E" w:rsidP="00F6427E">
      <w:pPr>
        <w:jc w:val="center"/>
        <w:rPr>
          <w:lang w:val="de-DE"/>
        </w:rPr>
      </w:pPr>
    </w:p>
    <w:p w14:paraId="0F7437F9" w14:textId="77777777" w:rsidR="006C2B87" w:rsidRPr="004676F5" w:rsidRDefault="006C2B87" w:rsidP="00F6427E">
      <w:pPr>
        <w:jc w:val="center"/>
        <w:rPr>
          <w:lang w:val="de-DE"/>
        </w:rPr>
      </w:pPr>
    </w:p>
    <w:p w14:paraId="7893FBB5" w14:textId="5770AD29" w:rsidR="00F6427E" w:rsidRPr="004676F5" w:rsidRDefault="00F6427E" w:rsidP="00F6427E">
      <w:pPr>
        <w:jc w:val="center"/>
        <w:rPr>
          <w:lang w:val="de-DE"/>
        </w:rPr>
      </w:pPr>
      <w:r w:rsidRPr="004676F5">
        <w:rPr>
          <w:lang w:val="de-DE"/>
        </w:rPr>
        <w:t>KAPITEL 1 </w:t>
      </w:r>
      <w:r w:rsidR="005B7A5C" w:rsidRPr="004676F5">
        <w:rPr>
          <w:lang w:val="de-DE"/>
        </w:rPr>
        <w:t>- </w:t>
      </w:r>
      <w:r w:rsidRPr="004676F5">
        <w:rPr>
          <w:i/>
          <w:lang w:val="de-DE"/>
        </w:rPr>
        <w:t>Information, Transparenz und Nichtdiskriminierung</w:t>
      </w:r>
    </w:p>
    <w:p w14:paraId="602C4E0E" w14:textId="77777777" w:rsidR="00F6427E" w:rsidRPr="004676F5" w:rsidRDefault="00F6427E" w:rsidP="00F6427E">
      <w:pPr>
        <w:jc w:val="center"/>
        <w:rPr>
          <w:lang w:val="de-DE"/>
        </w:rPr>
      </w:pPr>
    </w:p>
    <w:p w14:paraId="1EBB604E" w14:textId="77777777" w:rsidR="006C2B87" w:rsidRPr="004676F5" w:rsidRDefault="006C2B87" w:rsidP="00F6427E">
      <w:pPr>
        <w:jc w:val="center"/>
        <w:rPr>
          <w:lang w:val="de-DE"/>
        </w:rPr>
      </w:pPr>
    </w:p>
    <w:p w14:paraId="156A556C" w14:textId="3C4590AB" w:rsidR="00F6427E" w:rsidRPr="004676F5" w:rsidRDefault="00F6427E" w:rsidP="00F6427E">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Informations</w:t>
      </w:r>
      <w:r w:rsidR="005B7A5C" w:rsidRPr="004676F5">
        <w:rPr>
          <w:lang w:val="de-DE"/>
        </w:rPr>
        <w:t>- </w:t>
      </w:r>
      <w:r w:rsidRPr="004676F5">
        <w:rPr>
          <w:lang w:val="de-DE"/>
        </w:rPr>
        <w:t>und Transparenzverpflichtungen</w:t>
      </w:r>
    </w:p>
    <w:p w14:paraId="2B5BD5D8" w14:textId="746A4B3C" w:rsidR="00F6427E" w:rsidRPr="004676F5" w:rsidRDefault="00F6427E" w:rsidP="00F6427E">
      <w:pPr>
        <w:jc w:val="both"/>
        <w:rPr>
          <w:lang w:val="de-DE"/>
        </w:rPr>
      </w:pPr>
    </w:p>
    <w:p w14:paraId="2CD52C11" w14:textId="090857FA" w:rsidR="00786EF4" w:rsidRPr="004676F5" w:rsidRDefault="00786EF4" w:rsidP="00F6427E">
      <w:pPr>
        <w:jc w:val="both"/>
        <w:rPr>
          <w:lang w:val="de-DE"/>
        </w:rPr>
      </w:pPr>
    </w:p>
    <w:p w14:paraId="2023D675" w14:textId="4CB94C69" w:rsidR="00786EF4" w:rsidRPr="004676F5" w:rsidRDefault="00786EF4" w:rsidP="00F6427E">
      <w:pPr>
        <w:jc w:val="both"/>
        <w:rPr>
          <w:lang w:val="de-DE"/>
        </w:rPr>
      </w:pPr>
      <w:r w:rsidRPr="004676F5">
        <w:rPr>
          <w:lang w:val="de-DE"/>
        </w:rPr>
        <w:tab/>
        <w:t>[</w:t>
      </w:r>
      <w:r w:rsidRPr="004676F5">
        <w:rPr>
          <w:b/>
          <w:lang w:val="de-DE"/>
        </w:rPr>
        <w:t>Art. III.73/1</w:t>
      </w:r>
      <w:r w:rsidRPr="004676F5">
        <w:rPr>
          <w:lang w:val="de-DE"/>
        </w:rPr>
        <w:t> </w:t>
      </w:r>
      <w:r w:rsidR="005B7A5C" w:rsidRPr="004676F5">
        <w:rPr>
          <w:lang w:val="de-DE"/>
        </w:rPr>
        <w:t>- </w:t>
      </w:r>
      <w:r w:rsidRPr="004676F5">
        <w:rPr>
          <w:lang w:val="de-DE"/>
        </w:rPr>
        <w:t>Vorliegender Abschnitt ist nicht auf Rechtsanwälte anwendbar, die in Anwendung von Buch III</w:t>
      </w:r>
      <w:r w:rsidRPr="004676F5">
        <w:rPr>
          <w:i/>
          <w:iCs/>
          <w:lang w:val="de-DE"/>
        </w:rPr>
        <w:t>bis</w:t>
      </w:r>
      <w:r w:rsidRPr="004676F5">
        <w:rPr>
          <w:lang w:val="de-DE"/>
        </w:rPr>
        <w:t xml:space="preserve"> des Gerichtsgesetzbuches juristischen Beistand leisten.]</w:t>
      </w:r>
    </w:p>
    <w:p w14:paraId="7D278F7D" w14:textId="7DC78007" w:rsidR="006C2B87" w:rsidRPr="004676F5" w:rsidRDefault="006C2B87" w:rsidP="00F6427E">
      <w:pPr>
        <w:jc w:val="both"/>
        <w:rPr>
          <w:lang w:val="de-DE"/>
        </w:rPr>
      </w:pPr>
    </w:p>
    <w:p w14:paraId="698788EC" w14:textId="7D1B2D2E" w:rsidR="00786EF4" w:rsidRPr="004676F5" w:rsidRDefault="00786EF4" w:rsidP="00F6427E">
      <w:pPr>
        <w:jc w:val="both"/>
        <w:rPr>
          <w:i/>
          <w:iCs/>
          <w:lang w:val="de-DE"/>
        </w:rPr>
      </w:pPr>
      <w:r w:rsidRPr="004676F5">
        <w:rPr>
          <w:i/>
          <w:lang w:val="de-DE"/>
        </w:rPr>
        <w:t>[Art. III.73/1 eingefügt durch Art. 78</w:t>
      </w:r>
      <w:r w:rsidRPr="004676F5">
        <w:rPr>
          <w:i/>
          <w:iCs/>
          <w:lang w:val="de-DE"/>
        </w:rPr>
        <w:t xml:space="preserve"> des G. vom 15. April 2018 (B.S. vom 27. April 2018)]</w:t>
      </w:r>
    </w:p>
    <w:p w14:paraId="16A1475B" w14:textId="443B3B76" w:rsidR="00786EF4" w:rsidRPr="004676F5" w:rsidRDefault="00786EF4" w:rsidP="00F6427E">
      <w:pPr>
        <w:jc w:val="both"/>
        <w:rPr>
          <w:i/>
          <w:iCs/>
          <w:lang w:val="de-DE"/>
        </w:rPr>
      </w:pPr>
    </w:p>
    <w:p w14:paraId="2F64E9B2" w14:textId="77777777" w:rsidR="00786EF4" w:rsidRPr="004676F5" w:rsidRDefault="00786EF4" w:rsidP="00F6427E">
      <w:pPr>
        <w:jc w:val="both"/>
        <w:rPr>
          <w:i/>
          <w:lang w:val="de-DE"/>
        </w:rPr>
      </w:pPr>
    </w:p>
    <w:p w14:paraId="71B8AE4F" w14:textId="041EE12D"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III.74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besonderer gesetzlicher und verordnungsrechtlicher Vorschriften müssen Unternehmen in einer der in Artikel III.75 erwähnten Weisen folgende Informationen zur Verfügung stellen:</w:t>
      </w:r>
    </w:p>
    <w:p w14:paraId="55040F4C" w14:textId="77777777" w:rsidR="00F6427E" w:rsidRPr="004676F5" w:rsidRDefault="00F6427E" w:rsidP="00F6427E">
      <w:pPr>
        <w:jc w:val="both"/>
        <w:rPr>
          <w:lang w:val="de-DE"/>
        </w:rPr>
      </w:pPr>
    </w:p>
    <w:p w14:paraId="17CBC787" w14:textId="77777777" w:rsidR="00F6427E" w:rsidRPr="004676F5" w:rsidRDefault="00F6427E" w:rsidP="00F6427E">
      <w:pPr>
        <w:numPr>
          <w:ilvl w:val="0"/>
          <w:numId w:val="1"/>
        </w:numPr>
        <w:jc w:val="both"/>
        <w:rPr>
          <w:lang w:val="de-DE"/>
        </w:rPr>
      </w:pPr>
      <w:r w:rsidRPr="004676F5">
        <w:rPr>
          <w:lang w:val="de-DE"/>
        </w:rPr>
        <w:t>Namen oder Gesellschaftsnamen,</w:t>
      </w:r>
    </w:p>
    <w:p w14:paraId="7FB2559D" w14:textId="77777777" w:rsidR="00F6427E" w:rsidRPr="004676F5" w:rsidRDefault="00F6427E" w:rsidP="006C2B87">
      <w:pPr>
        <w:ind w:left="1065"/>
        <w:jc w:val="both"/>
        <w:rPr>
          <w:lang w:val="de-DE"/>
        </w:rPr>
      </w:pPr>
    </w:p>
    <w:p w14:paraId="778B647D" w14:textId="77777777" w:rsidR="00F6427E" w:rsidRPr="004676F5" w:rsidRDefault="00F6427E" w:rsidP="00F6427E">
      <w:pPr>
        <w:jc w:val="both"/>
        <w:rPr>
          <w:lang w:val="de-DE"/>
        </w:rPr>
      </w:pPr>
      <w:r w:rsidRPr="004676F5">
        <w:rPr>
          <w:lang w:val="de-DE"/>
        </w:rPr>
        <w:tab/>
        <w:t>2. Rechtsform,</w:t>
      </w:r>
    </w:p>
    <w:p w14:paraId="399B0460" w14:textId="77777777" w:rsidR="00F6427E" w:rsidRPr="004676F5" w:rsidRDefault="00F6427E" w:rsidP="00F6427E">
      <w:pPr>
        <w:jc w:val="both"/>
        <w:rPr>
          <w:lang w:val="de-DE"/>
        </w:rPr>
      </w:pPr>
    </w:p>
    <w:p w14:paraId="0B039F2F" w14:textId="77777777" w:rsidR="00F6427E" w:rsidRPr="004676F5" w:rsidRDefault="00F6427E" w:rsidP="00F6427E">
      <w:pPr>
        <w:jc w:val="both"/>
        <w:rPr>
          <w:lang w:val="de-DE"/>
        </w:rPr>
      </w:pPr>
      <w:r w:rsidRPr="004676F5">
        <w:rPr>
          <w:lang w:val="de-DE"/>
        </w:rPr>
        <w:tab/>
        <w:t>3. geografische Anschrift, an der das Unternehmen ansässig ist,</w:t>
      </w:r>
    </w:p>
    <w:p w14:paraId="24FE8C6B" w14:textId="77777777" w:rsidR="00F6427E" w:rsidRPr="004676F5" w:rsidRDefault="00F6427E" w:rsidP="00F6427E">
      <w:pPr>
        <w:jc w:val="both"/>
        <w:rPr>
          <w:lang w:val="de-DE"/>
        </w:rPr>
      </w:pPr>
    </w:p>
    <w:p w14:paraId="545D9D24" w14:textId="77777777" w:rsidR="00F6427E" w:rsidRPr="004676F5" w:rsidRDefault="00F6427E" w:rsidP="00F6427E">
      <w:pPr>
        <w:jc w:val="both"/>
        <w:rPr>
          <w:lang w:val="de-DE"/>
        </w:rPr>
      </w:pPr>
      <w:r w:rsidRPr="004676F5">
        <w:rPr>
          <w:lang w:val="de-DE"/>
        </w:rPr>
        <w:tab/>
        <w:t>4. Angaben, einschließlich der eventuellen E-Mail-Adresse, die eine schnelle Kontakt</w:t>
      </w:r>
      <w:r w:rsidRPr="004676F5">
        <w:rPr>
          <w:lang w:val="de-DE"/>
        </w:rPr>
        <w:softHyphen/>
        <w:t>aufnahme und eine direkte und effektive Kommunikation mit dem Unternehmen ermöglichen,</w:t>
      </w:r>
    </w:p>
    <w:p w14:paraId="266257BB" w14:textId="77777777" w:rsidR="00F6427E" w:rsidRPr="004676F5" w:rsidRDefault="00F6427E" w:rsidP="00F6427E">
      <w:pPr>
        <w:jc w:val="both"/>
        <w:rPr>
          <w:lang w:val="de-DE"/>
        </w:rPr>
      </w:pPr>
    </w:p>
    <w:p w14:paraId="25CC58C2" w14:textId="77777777" w:rsidR="00F6427E" w:rsidRPr="004676F5" w:rsidRDefault="00F6427E" w:rsidP="00F6427E">
      <w:pPr>
        <w:jc w:val="both"/>
        <w:rPr>
          <w:lang w:val="de-DE"/>
        </w:rPr>
      </w:pPr>
      <w:r w:rsidRPr="004676F5">
        <w:rPr>
          <w:lang w:val="de-DE"/>
        </w:rPr>
        <w:tab/>
        <w:t>5. Unternehmensnummer,</w:t>
      </w:r>
    </w:p>
    <w:p w14:paraId="2B75CA51" w14:textId="77777777" w:rsidR="00F6427E" w:rsidRPr="004676F5" w:rsidRDefault="00F6427E" w:rsidP="00F6427E">
      <w:pPr>
        <w:jc w:val="both"/>
        <w:rPr>
          <w:lang w:val="de-DE"/>
        </w:rPr>
      </w:pPr>
    </w:p>
    <w:p w14:paraId="60DF55F9" w14:textId="77777777" w:rsidR="00F6427E" w:rsidRPr="004676F5" w:rsidRDefault="00F6427E" w:rsidP="00F6427E">
      <w:pPr>
        <w:jc w:val="both"/>
        <w:rPr>
          <w:lang w:val="de-DE"/>
        </w:rPr>
      </w:pPr>
      <w:r w:rsidRPr="004676F5">
        <w:rPr>
          <w:lang w:val="de-DE"/>
        </w:rPr>
        <w:tab/>
        <w:t>6. Gesellschaftssitz,</w:t>
      </w:r>
    </w:p>
    <w:p w14:paraId="72F21569" w14:textId="77777777" w:rsidR="00F6427E" w:rsidRPr="004676F5" w:rsidRDefault="00F6427E" w:rsidP="00F6427E">
      <w:pPr>
        <w:jc w:val="both"/>
        <w:rPr>
          <w:lang w:val="de-DE"/>
        </w:rPr>
      </w:pPr>
    </w:p>
    <w:p w14:paraId="4C2C42D2" w14:textId="3C2A3D25" w:rsidR="00F6427E" w:rsidRPr="004676F5" w:rsidRDefault="00F6427E" w:rsidP="00F6427E">
      <w:pPr>
        <w:jc w:val="both"/>
        <w:rPr>
          <w:lang w:val="de-DE"/>
        </w:rPr>
      </w:pPr>
      <w:r w:rsidRPr="004676F5">
        <w:rPr>
          <w:lang w:val="de-DE"/>
        </w:rPr>
        <w:tab/>
        <w:t>7. falls die Tätigkeit einer Zulassungsregelung, einer Zulassungs</w:t>
      </w:r>
      <w:r w:rsidR="005B7A5C" w:rsidRPr="004676F5">
        <w:rPr>
          <w:lang w:val="de-DE"/>
        </w:rPr>
        <w:t>- </w:t>
      </w:r>
      <w:r w:rsidRPr="004676F5">
        <w:rPr>
          <w:lang w:val="de-DE"/>
        </w:rPr>
        <w:t>oder einer Erklärungspflicht gemäß Artikel 17 des Gesetzes vom 8. Dezember 1992 über den Schutz des Privatlebens hinsichtlich der Verarbeitung personenbezogener Daten unterliegt, Angaben zur zuständigen Behörde oder zum Unternehmensschalter,</w:t>
      </w:r>
    </w:p>
    <w:p w14:paraId="590C5EDC" w14:textId="77777777" w:rsidR="00F6427E" w:rsidRPr="004676F5" w:rsidRDefault="00F6427E" w:rsidP="00F6427E">
      <w:pPr>
        <w:jc w:val="both"/>
        <w:rPr>
          <w:lang w:val="de-DE"/>
        </w:rPr>
      </w:pPr>
    </w:p>
    <w:p w14:paraId="4A9FFF54" w14:textId="77777777" w:rsidR="00F6427E" w:rsidRPr="004676F5" w:rsidRDefault="00F6427E" w:rsidP="00F6427E">
      <w:pPr>
        <w:jc w:val="both"/>
        <w:rPr>
          <w:lang w:val="de-DE"/>
        </w:rPr>
      </w:pPr>
      <w:r w:rsidRPr="004676F5">
        <w:rPr>
          <w:lang w:val="de-DE"/>
        </w:rPr>
        <w:tab/>
        <w:t>8. bei reglementierten Berufen:</w:t>
      </w:r>
    </w:p>
    <w:p w14:paraId="77131872" w14:textId="77777777" w:rsidR="00F6427E" w:rsidRPr="004676F5" w:rsidRDefault="00F6427E" w:rsidP="00F6427E">
      <w:pPr>
        <w:jc w:val="both"/>
        <w:rPr>
          <w:lang w:val="de-DE"/>
        </w:rPr>
      </w:pPr>
    </w:p>
    <w:p w14:paraId="329DD2F0" w14:textId="77777777" w:rsidR="00F6427E" w:rsidRPr="004676F5" w:rsidRDefault="00F6427E" w:rsidP="00F6427E">
      <w:pPr>
        <w:jc w:val="both"/>
        <w:rPr>
          <w:lang w:val="de-DE"/>
        </w:rPr>
      </w:pPr>
      <w:r w:rsidRPr="004676F5">
        <w:rPr>
          <w:lang w:val="de-DE"/>
        </w:rPr>
        <w:tab/>
      </w:r>
      <w:r w:rsidRPr="004676F5">
        <w:rPr>
          <w:i/>
          <w:lang w:val="de-DE"/>
        </w:rPr>
        <w:t>a)</w:t>
      </w:r>
      <w:r w:rsidRPr="004676F5">
        <w:rPr>
          <w:lang w:val="de-DE"/>
        </w:rPr>
        <w:t> Berufsvereinigung oder Berufsorganisation, der das Unternehmen angehört,</w:t>
      </w:r>
    </w:p>
    <w:p w14:paraId="6BB20F09" w14:textId="77777777" w:rsidR="00F6427E" w:rsidRPr="004676F5" w:rsidRDefault="00F6427E" w:rsidP="00F6427E">
      <w:pPr>
        <w:jc w:val="both"/>
        <w:rPr>
          <w:lang w:val="de-DE"/>
        </w:rPr>
      </w:pPr>
    </w:p>
    <w:p w14:paraId="28F7C1E9" w14:textId="77777777" w:rsidR="00F6427E" w:rsidRPr="004676F5" w:rsidRDefault="00F6427E" w:rsidP="00F6427E">
      <w:pPr>
        <w:jc w:val="both"/>
        <w:rPr>
          <w:lang w:val="de-DE"/>
        </w:rPr>
      </w:pPr>
      <w:r w:rsidRPr="004676F5">
        <w:rPr>
          <w:lang w:val="de-DE"/>
        </w:rPr>
        <w:tab/>
      </w:r>
      <w:r w:rsidRPr="004676F5">
        <w:rPr>
          <w:i/>
          <w:lang w:val="de-DE"/>
        </w:rPr>
        <w:t>b)</w:t>
      </w:r>
      <w:r w:rsidRPr="004676F5">
        <w:rPr>
          <w:lang w:val="de-DE"/>
        </w:rPr>
        <w:t> Berufsbezeichnung und Mitgliedstaat, in dem sie verliehen wurde,</w:t>
      </w:r>
    </w:p>
    <w:p w14:paraId="43D6C204" w14:textId="77777777" w:rsidR="00F6427E" w:rsidRPr="004676F5" w:rsidRDefault="00F6427E" w:rsidP="00F6427E">
      <w:pPr>
        <w:jc w:val="both"/>
        <w:rPr>
          <w:lang w:val="de-DE"/>
        </w:rPr>
      </w:pPr>
    </w:p>
    <w:p w14:paraId="20DDDA0A" w14:textId="77777777" w:rsidR="00F6427E" w:rsidRPr="004676F5" w:rsidRDefault="00F6427E" w:rsidP="00F6427E">
      <w:pPr>
        <w:jc w:val="both"/>
        <w:rPr>
          <w:lang w:val="de-DE"/>
        </w:rPr>
      </w:pPr>
      <w:r w:rsidRPr="004676F5">
        <w:rPr>
          <w:lang w:val="de-DE"/>
        </w:rPr>
        <w:tab/>
        <w:t>9. gegebenenfalls vom Unternehmen verwendete allgemeine Geschäftsbedingungen und Klauseln und Sprachen, in denen diese allgemeinen Geschäftsbedingungen und Klauseln eingesehen werden können,</w:t>
      </w:r>
    </w:p>
    <w:p w14:paraId="7A026927" w14:textId="77777777" w:rsidR="00F6427E" w:rsidRPr="004676F5" w:rsidRDefault="00F6427E" w:rsidP="00F6427E">
      <w:pPr>
        <w:jc w:val="both"/>
        <w:rPr>
          <w:lang w:val="de-DE"/>
        </w:rPr>
      </w:pPr>
    </w:p>
    <w:p w14:paraId="4988EDDC" w14:textId="77777777" w:rsidR="00F6427E" w:rsidRPr="004676F5" w:rsidRDefault="00F6427E" w:rsidP="00F6427E">
      <w:pPr>
        <w:jc w:val="both"/>
        <w:rPr>
          <w:lang w:val="de-DE"/>
        </w:rPr>
      </w:pPr>
      <w:r w:rsidRPr="004676F5">
        <w:rPr>
          <w:lang w:val="de-DE"/>
        </w:rPr>
        <w:tab/>
        <w:t>10. gegebenenfalls das Vorliegen vom Unternehmen verwendeter Vertragsklauseln über das auf den Vertrag anwendbare Recht oder das zuständige Gericht,</w:t>
      </w:r>
    </w:p>
    <w:p w14:paraId="2519F1F5" w14:textId="77777777" w:rsidR="00F6427E" w:rsidRPr="004676F5" w:rsidRDefault="00F6427E" w:rsidP="00F6427E">
      <w:pPr>
        <w:jc w:val="both"/>
        <w:rPr>
          <w:lang w:val="de-DE"/>
        </w:rPr>
      </w:pPr>
    </w:p>
    <w:p w14:paraId="6F640018" w14:textId="77777777" w:rsidR="00F6427E" w:rsidRPr="004676F5" w:rsidRDefault="00F6427E" w:rsidP="00F6427E">
      <w:pPr>
        <w:jc w:val="both"/>
        <w:rPr>
          <w:lang w:val="de-DE"/>
        </w:rPr>
      </w:pPr>
      <w:r w:rsidRPr="004676F5">
        <w:rPr>
          <w:lang w:val="de-DE"/>
        </w:rPr>
        <w:lastRenderedPageBreak/>
        <w:tab/>
        <w:t>11. gegebenenfalls das Vorliegen einer gesetzlich nicht vorgeschriebenen nachvertrag</w:t>
      </w:r>
      <w:r w:rsidRPr="004676F5">
        <w:rPr>
          <w:lang w:val="de-DE"/>
        </w:rPr>
        <w:softHyphen/>
        <w:t>lichen Garantie,</w:t>
      </w:r>
    </w:p>
    <w:p w14:paraId="6A648C7B" w14:textId="77777777" w:rsidR="00F6427E" w:rsidRPr="004676F5" w:rsidRDefault="00F6427E" w:rsidP="00F6427E">
      <w:pPr>
        <w:jc w:val="both"/>
        <w:rPr>
          <w:lang w:val="de-DE"/>
        </w:rPr>
      </w:pPr>
    </w:p>
    <w:p w14:paraId="2E6E3CF3" w14:textId="77777777" w:rsidR="00F6427E" w:rsidRPr="004676F5" w:rsidRDefault="00F6427E" w:rsidP="00F6427E">
      <w:pPr>
        <w:jc w:val="both"/>
        <w:rPr>
          <w:lang w:val="de-DE"/>
        </w:rPr>
      </w:pPr>
      <w:r w:rsidRPr="004676F5">
        <w:rPr>
          <w:lang w:val="de-DE"/>
        </w:rPr>
        <w:tab/>
        <w:t>12. Preis der Dienstleistung, falls der Preis für eine bestimmte Art von Dienstleistung im Vorhinein vom Unternehmen festgelegt wurde,</w:t>
      </w:r>
    </w:p>
    <w:p w14:paraId="56251031" w14:textId="77777777" w:rsidR="00F6427E" w:rsidRPr="004676F5" w:rsidRDefault="00F6427E" w:rsidP="00F6427E">
      <w:pPr>
        <w:jc w:val="both"/>
        <w:rPr>
          <w:lang w:val="de-DE"/>
        </w:rPr>
      </w:pPr>
    </w:p>
    <w:p w14:paraId="66EB0070" w14:textId="77777777" w:rsidR="00F6427E" w:rsidRPr="004676F5" w:rsidRDefault="00F6427E" w:rsidP="00F6427E">
      <w:pPr>
        <w:jc w:val="both"/>
        <w:rPr>
          <w:lang w:val="de-DE"/>
        </w:rPr>
      </w:pPr>
      <w:r w:rsidRPr="004676F5">
        <w:rPr>
          <w:lang w:val="de-DE"/>
        </w:rPr>
        <w:tab/>
        <w:t>13. Hauptmerkmale der wirtschaftlichen Tätigkeit,</w:t>
      </w:r>
    </w:p>
    <w:p w14:paraId="607CC451" w14:textId="77777777" w:rsidR="00F6427E" w:rsidRPr="004676F5" w:rsidRDefault="00F6427E" w:rsidP="00F6427E">
      <w:pPr>
        <w:jc w:val="both"/>
        <w:rPr>
          <w:lang w:val="de-DE"/>
        </w:rPr>
      </w:pPr>
    </w:p>
    <w:p w14:paraId="2D844C64" w14:textId="77777777" w:rsidR="00F6427E" w:rsidRPr="004676F5" w:rsidRDefault="00F6427E" w:rsidP="00F6427E">
      <w:pPr>
        <w:jc w:val="both"/>
        <w:rPr>
          <w:lang w:val="de-DE"/>
        </w:rPr>
      </w:pPr>
      <w:r w:rsidRPr="004676F5">
        <w:rPr>
          <w:lang w:val="de-DE"/>
        </w:rPr>
        <w:tab/>
        <w:t>14. Angaben zur Versicherung oder zu den Sicherheiten, die in Artikel III.6 erwähnt sind, insbesondere den Namen und die Kontaktdaten des Versicherers oder Sicherungsgebers und den räumlichen Geltungsbereich.</w:t>
      </w:r>
    </w:p>
    <w:p w14:paraId="4773608F" w14:textId="77777777" w:rsidR="00F6427E" w:rsidRPr="004676F5" w:rsidRDefault="00F6427E" w:rsidP="00F6427E">
      <w:pPr>
        <w:jc w:val="both"/>
        <w:rPr>
          <w:lang w:val="de-DE"/>
        </w:rPr>
      </w:pPr>
    </w:p>
    <w:p w14:paraId="304C2BB0" w14:textId="174B3C1F"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Beschreiben Unternehmen ihre wirtschaftlichen Tätigkeiten in ausführlichen Informationsunterlagen, so müssen diese Unterlagen Informationen enthalten über ihre multidisziplinären Tätigkeiten und Partnerschaften, die in direkter Verbindung zu der fraglichen wirtschaftlichen Tätigkeit stehen, und über die Maßnahmen, die sie ergriffen haben, um Interessenkonflikte zu vermeiden.</w:t>
      </w:r>
    </w:p>
    <w:p w14:paraId="7534BB54" w14:textId="77777777" w:rsidR="00F6427E" w:rsidRPr="004676F5" w:rsidRDefault="00F6427E" w:rsidP="00F6427E">
      <w:pPr>
        <w:rPr>
          <w:lang w:val="de-DE"/>
        </w:rPr>
      </w:pPr>
    </w:p>
    <w:p w14:paraId="03036ECB" w14:textId="77777777" w:rsidR="006C2B87" w:rsidRPr="004676F5" w:rsidRDefault="006C2B87" w:rsidP="00F6427E">
      <w:pPr>
        <w:rPr>
          <w:lang w:val="de-DE"/>
        </w:rPr>
      </w:pPr>
    </w:p>
    <w:p w14:paraId="35BE1D2A" w14:textId="1D8DD0B4"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III.75</w:t>
      </w:r>
      <w:r w:rsidRPr="004676F5">
        <w:rPr>
          <w:lang w:val="de-DE"/>
        </w:rPr>
        <w:t> </w:t>
      </w:r>
      <w:r w:rsidR="005B7A5C" w:rsidRPr="004676F5">
        <w:rPr>
          <w:lang w:val="de-DE"/>
        </w:rPr>
        <w:t>- </w:t>
      </w:r>
      <w:r w:rsidRPr="004676F5">
        <w:rPr>
          <w:lang w:val="de-DE"/>
        </w:rPr>
        <w:t>Auf Initiative des Unternehmens werden die in Artikel III.74 erwähnten Informationen:</w:t>
      </w:r>
    </w:p>
    <w:p w14:paraId="5971AFAC" w14:textId="77777777" w:rsidR="00F6427E" w:rsidRPr="004676F5" w:rsidRDefault="00F6427E" w:rsidP="00F6427E">
      <w:pPr>
        <w:jc w:val="both"/>
        <w:rPr>
          <w:lang w:val="de-DE"/>
        </w:rPr>
      </w:pPr>
    </w:p>
    <w:p w14:paraId="796D3B0A" w14:textId="77777777" w:rsidR="00F6427E" w:rsidRPr="004676F5" w:rsidRDefault="00F6427E" w:rsidP="00F6427E">
      <w:pPr>
        <w:jc w:val="both"/>
        <w:rPr>
          <w:lang w:val="de-DE"/>
        </w:rPr>
      </w:pPr>
      <w:r w:rsidRPr="004676F5">
        <w:rPr>
          <w:lang w:val="de-DE"/>
        </w:rPr>
        <w:tab/>
        <w:t>1. dem Dienstleistungsempfänger mitgeteilt oder</w:t>
      </w:r>
    </w:p>
    <w:p w14:paraId="6E7EDB80" w14:textId="77777777" w:rsidR="00F6427E" w:rsidRPr="004676F5" w:rsidRDefault="00F6427E" w:rsidP="00F6427E">
      <w:pPr>
        <w:jc w:val="both"/>
        <w:rPr>
          <w:lang w:val="de-DE"/>
        </w:rPr>
      </w:pPr>
    </w:p>
    <w:p w14:paraId="13B7BADC" w14:textId="77777777" w:rsidR="00F6427E" w:rsidRPr="004676F5" w:rsidRDefault="00F6427E" w:rsidP="00F6427E">
      <w:pPr>
        <w:jc w:val="both"/>
        <w:rPr>
          <w:lang w:val="de-DE"/>
        </w:rPr>
      </w:pPr>
      <w:r w:rsidRPr="004676F5">
        <w:rPr>
          <w:lang w:val="de-DE"/>
        </w:rPr>
        <w:tab/>
        <w:t>2. für den Dienstleistungsempfänger am Ort der Unternehmenstätigkeit oder des Vertragsabschlusses leicht zugänglich gemacht oder</w:t>
      </w:r>
    </w:p>
    <w:p w14:paraId="0A88390E" w14:textId="77777777" w:rsidR="00F6427E" w:rsidRPr="004676F5" w:rsidRDefault="00F6427E" w:rsidP="00F6427E">
      <w:pPr>
        <w:jc w:val="both"/>
        <w:rPr>
          <w:lang w:val="de-DE"/>
        </w:rPr>
      </w:pPr>
    </w:p>
    <w:p w14:paraId="27018B3B" w14:textId="77777777" w:rsidR="00F6427E" w:rsidRPr="004676F5" w:rsidRDefault="00F6427E" w:rsidP="00F6427E">
      <w:pPr>
        <w:jc w:val="both"/>
        <w:rPr>
          <w:lang w:val="de-DE"/>
        </w:rPr>
      </w:pPr>
      <w:r w:rsidRPr="004676F5">
        <w:rPr>
          <w:lang w:val="de-DE"/>
        </w:rPr>
        <w:tab/>
        <w:t>3. für den Dienstleistungsempfänger über eine vom Unternehmen angegebene elektronische Adresse leicht zugänglich gemacht oder</w:t>
      </w:r>
    </w:p>
    <w:p w14:paraId="0147124E" w14:textId="77777777" w:rsidR="00F6427E" w:rsidRPr="004676F5" w:rsidRDefault="00F6427E" w:rsidP="00F6427E">
      <w:pPr>
        <w:jc w:val="both"/>
        <w:rPr>
          <w:lang w:val="de-DE"/>
        </w:rPr>
      </w:pPr>
    </w:p>
    <w:p w14:paraId="1E95F2D6" w14:textId="77777777" w:rsidR="00F6427E" w:rsidRPr="004676F5" w:rsidRDefault="00F6427E" w:rsidP="00F6427E">
      <w:pPr>
        <w:jc w:val="both"/>
        <w:rPr>
          <w:lang w:val="de-DE"/>
        </w:rPr>
      </w:pPr>
      <w:r w:rsidRPr="004676F5">
        <w:rPr>
          <w:lang w:val="de-DE"/>
        </w:rPr>
        <w:tab/>
        <w:t>4. in allen vom Unternehmen zur Verfügung gestellten ausführlichen Informations</w:t>
      </w:r>
      <w:r w:rsidRPr="004676F5">
        <w:rPr>
          <w:lang w:val="de-DE"/>
        </w:rPr>
        <w:softHyphen/>
        <w:t>unterlagen über die angebotenen Tätigkeiten aufgenommen.</w:t>
      </w:r>
    </w:p>
    <w:p w14:paraId="7991AD91" w14:textId="77777777" w:rsidR="00F6427E" w:rsidRPr="004676F5" w:rsidRDefault="00F6427E" w:rsidP="00F6427E">
      <w:pPr>
        <w:jc w:val="both"/>
        <w:rPr>
          <w:lang w:val="de-DE"/>
        </w:rPr>
      </w:pPr>
    </w:p>
    <w:p w14:paraId="64BC975C" w14:textId="77777777" w:rsidR="006C2B87" w:rsidRPr="004676F5" w:rsidRDefault="006C2B87" w:rsidP="00F6427E">
      <w:pPr>
        <w:jc w:val="both"/>
        <w:rPr>
          <w:lang w:val="de-DE"/>
        </w:rPr>
      </w:pPr>
    </w:p>
    <w:p w14:paraId="32079A6F" w14:textId="76C51740"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III.76</w:t>
      </w:r>
      <w:r w:rsidRPr="004676F5">
        <w:rPr>
          <w:lang w:val="de-DE"/>
        </w:rPr>
        <w:t> </w:t>
      </w:r>
      <w:r w:rsidR="005B7A5C" w:rsidRPr="004676F5">
        <w:rPr>
          <w:lang w:val="de-DE"/>
        </w:rPr>
        <w:t>- </w:t>
      </w:r>
      <w:r w:rsidRPr="004676F5">
        <w:rPr>
          <w:lang w:val="de-DE"/>
        </w:rPr>
        <w:t>Unternehmen teilen den Dienstleistungsempfängern auf Verlangen folgende Zusatzinformationen mit:</w:t>
      </w:r>
    </w:p>
    <w:p w14:paraId="68BC7162" w14:textId="77777777" w:rsidR="00F6427E" w:rsidRPr="004676F5" w:rsidRDefault="00F6427E" w:rsidP="00F6427E">
      <w:pPr>
        <w:jc w:val="both"/>
        <w:rPr>
          <w:lang w:val="de-DE"/>
        </w:rPr>
      </w:pPr>
    </w:p>
    <w:p w14:paraId="2056AD5F" w14:textId="77777777" w:rsidR="00F6427E" w:rsidRPr="004676F5" w:rsidRDefault="00F6427E" w:rsidP="00F6427E">
      <w:pPr>
        <w:jc w:val="both"/>
        <w:rPr>
          <w:lang w:val="de-DE"/>
        </w:rPr>
      </w:pPr>
      <w:r w:rsidRPr="004676F5">
        <w:rPr>
          <w:lang w:val="de-DE"/>
        </w:rPr>
        <w:tab/>
        <w:t>1. falls der Preis für eine bestimmte Art von Lieferung oder Dienstleistung nicht im Vorhinein vom Unternehmen festgelegt wurde, den Preis der Lieferung oder Dienstleistung oder, wenn kein genauer Preis angegeben werden kann, die Vorgehensweise zur Berechnung des Preises, die es dem Dienstleistungsempfänger ermöglicht, den Preis zu überprüfen, oder einen hinreichend ausführlichen Kostenvoranschlag,</w:t>
      </w:r>
    </w:p>
    <w:p w14:paraId="3845D726" w14:textId="77777777" w:rsidR="00F6427E" w:rsidRPr="004676F5" w:rsidRDefault="00F6427E" w:rsidP="00F6427E">
      <w:pPr>
        <w:jc w:val="both"/>
        <w:rPr>
          <w:lang w:val="de-DE"/>
        </w:rPr>
      </w:pPr>
    </w:p>
    <w:p w14:paraId="6A5BAB23" w14:textId="77777777" w:rsidR="00F6427E" w:rsidRPr="004676F5" w:rsidRDefault="00F6427E" w:rsidP="00F6427E">
      <w:pPr>
        <w:jc w:val="both"/>
        <w:rPr>
          <w:lang w:val="de-DE"/>
        </w:rPr>
      </w:pPr>
      <w:r w:rsidRPr="004676F5">
        <w:rPr>
          <w:lang w:val="de-DE"/>
        </w:rPr>
        <w:tab/>
        <w:t>2. bei reglementierten Berufen eine Verweisung auf die anwendbaren berufs</w:t>
      </w:r>
      <w:r w:rsidRPr="004676F5">
        <w:rPr>
          <w:lang w:val="de-DE"/>
        </w:rPr>
        <w:softHyphen/>
        <w:t>rechtlichen Regeln und Angaben dazu, wie sie zugänglich sind,</w:t>
      </w:r>
    </w:p>
    <w:p w14:paraId="59C151DA" w14:textId="77777777" w:rsidR="00F6427E" w:rsidRPr="004676F5" w:rsidRDefault="00F6427E" w:rsidP="00F6427E">
      <w:pPr>
        <w:jc w:val="both"/>
        <w:rPr>
          <w:lang w:val="de-DE"/>
        </w:rPr>
      </w:pPr>
    </w:p>
    <w:p w14:paraId="686E06DD" w14:textId="77777777" w:rsidR="00F6427E" w:rsidRPr="004676F5" w:rsidRDefault="00F6427E" w:rsidP="00F6427E">
      <w:pPr>
        <w:jc w:val="both"/>
        <w:rPr>
          <w:lang w:val="de-DE"/>
        </w:rPr>
      </w:pPr>
      <w:r w:rsidRPr="004676F5">
        <w:rPr>
          <w:lang w:val="de-DE"/>
        </w:rPr>
        <w:tab/>
        <w:t>3. Informationen über ihre multidisziplinären Tätigkeiten und Partnerschaften, die in direkter Verbindung zu der fraglichen Lieferung oder Dienstleistung stehen, und über die Maßnahmen, die sie ergriffen haben, um Interessenkonflikte zu vermeiden,</w:t>
      </w:r>
    </w:p>
    <w:p w14:paraId="600A30FD" w14:textId="77777777" w:rsidR="00F6427E" w:rsidRPr="004676F5" w:rsidRDefault="00F6427E" w:rsidP="00F6427E">
      <w:pPr>
        <w:jc w:val="both"/>
        <w:rPr>
          <w:lang w:val="de-DE"/>
        </w:rPr>
      </w:pPr>
    </w:p>
    <w:p w14:paraId="0206388C" w14:textId="77777777" w:rsidR="00F6427E" w:rsidRPr="004676F5" w:rsidRDefault="00F6427E" w:rsidP="00F6427E">
      <w:pPr>
        <w:jc w:val="both"/>
        <w:rPr>
          <w:lang w:val="de-DE"/>
        </w:rPr>
      </w:pPr>
      <w:r w:rsidRPr="004676F5">
        <w:rPr>
          <w:lang w:val="de-DE"/>
        </w:rPr>
        <w:lastRenderedPageBreak/>
        <w:tab/>
        <w:t>4. Verhaltenskodizes, die für das Unternehmen gelten, und die Adresse, unter der diese elektronisch abgerufen werden können, und Angaben über die Sprachen, in denen sie vorliegen,</w:t>
      </w:r>
    </w:p>
    <w:p w14:paraId="43B41625" w14:textId="77777777" w:rsidR="00F6427E" w:rsidRPr="004676F5" w:rsidRDefault="00F6427E" w:rsidP="00F6427E">
      <w:pPr>
        <w:jc w:val="both"/>
        <w:rPr>
          <w:lang w:val="de-DE"/>
        </w:rPr>
      </w:pPr>
    </w:p>
    <w:p w14:paraId="6EC267A0" w14:textId="77777777" w:rsidR="00F6427E" w:rsidRPr="004676F5" w:rsidRDefault="00F6427E" w:rsidP="00F6427E">
      <w:pPr>
        <w:jc w:val="both"/>
        <w:rPr>
          <w:lang w:val="de-DE"/>
        </w:rPr>
      </w:pPr>
      <w:r w:rsidRPr="004676F5">
        <w:rPr>
          <w:lang w:val="de-DE"/>
        </w:rPr>
        <w:tab/>
        <w:t xml:space="preserve">5. zum Zeitpunkt der Vertragsunterzeichnung geltende frühere Fassungen der in Artikel III.74 Nr. 9 </w:t>
      </w:r>
      <w:r w:rsidRPr="004676F5">
        <w:rPr>
          <w:i/>
          <w:lang w:val="de-DE"/>
        </w:rPr>
        <w:t>[sic, zu lesen ist: Artikel III.74 § 1 Nr. 9]</w:t>
      </w:r>
      <w:r w:rsidRPr="004676F5">
        <w:rPr>
          <w:lang w:val="de-DE"/>
        </w:rPr>
        <w:t xml:space="preserve"> erwähnten Informationen, unter Angabe von Beginn und Ende des Zeitraums, in dem sie anwendbar sind.</w:t>
      </w:r>
    </w:p>
    <w:p w14:paraId="330E6255" w14:textId="77777777" w:rsidR="00F6427E" w:rsidRPr="004676F5" w:rsidRDefault="00F6427E" w:rsidP="00F6427E">
      <w:pPr>
        <w:jc w:val="both"/>
        <w:rPr>
          <w:lang w:val="de-DE"/>
        </w:rPr>
      </w:pPr>
    </w:p>
    <w:p w14:paraId="49DF1E6F" w14:textId="77777777" w:rsidR="006C2B87" w:rsidRPr="004676F5" w:rsidRDefault="006C2B87" w:rsidP="00F6427E">
      <w:pPr>
        <w:jc w:val="both"/>
        <w:rPr>
          <w:lang w:val="de-DE"/>
        </w:rPr>
      </w:pPr>
    </w:p>
    <w:p w14:paraId="0F9F7413" w14:textId="39B62F9C"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III.77</w:t>
      </w:r>
      <w:r w:rsidRPr="004676F5">
        <w:rPr>
          <w:lang w:val="de-DE"/>
        </w:rPr>
        <w:t> </w:t>
      </w:r>
      <w:r w:rsidR="005B7A5C" w:rsidRPr="004676F5">
        <w:rPr>
          <w:lang w:val="de-DE"/>
        </w:rPr>
        <w:t>- </w:t>
      </w:r>
      <w:r w:rsidRPr="004676F5">
        <w:rPr>
          <w:lang w:val="de-DE"/>
        </w:rPr>
        <w:t>Die in den Artikeln III.74 und III.76 erwähnten Informationen müssen klar und unzweideutig sein und rechtzeitig vor Abschluss des Vertrags oder, wenn kein schriftlicher Vertrag geschlossen wird, vor Lieferung der Ware oder Erbringung der Dienstleistung zur Verfügung gestellt oder mitgeteilt werden.</w:t>
      </w:r>
    </w:p>
    <w:p w14:paraId="7334B805" w14:textId="77777777" w:rsidR="00F6427E" w:rsidRPr="004676F5" w:rsidRDefault="00F6427E" w:rsidP="00F6427E">
      <w:pPr>
        <w:jc w:val="both"/>
        <w:rPr>
          <w:lang w:val="de-DE"/>
        </w:rPr>
      </w:pPr>
    </w:p>
    <w:p w14:paraId="48847DB8" w14:textId="77777777" w:rsidR="006C4762" w:rsidRPr="004676F5" w:rsidRDefault="006C4762" w:rsidP="00F6427E">
      <w:pPr>
        <w:jc w:val="both"/>
        <w:rPr>
          <w:lang w:val="de-DE"/>
        </w:rPr>
      </w:pPr>
    </w:p>
    <w:p w14:paraId="1DD7D6E2" w14:textId="36594928"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III.78</w:t>
      </w:r>
      <w:r w:rsidRPr="004676F5">
        <w:rPr>
          <w:lang w:val="de-DE"/>
        </w:rPr>
        <w:t> </w:t>
      </w:r>
      <w:r w:rsidR="005B7A5C" w:rsidRPr="004676F5">
        <w:rPr>
          <w:lang w:val="de-DE"/>
        </w:rPr>
        <w:t>- </w:t>
      </w:r>
      <w:r w:rsidRPr="004676F5">
        <w:rPr>
          <w:lang w:val="de-DE"/>
        </w:rPr>
        <w:t>Jedes Unternehmen muss die Einhaltung der in den Artikeln III.74 bis III.77 vorgesehenen Anforderungen und die Richtigkeit der erteilten Informationen nachweisen.</w:t>
      </w:r>
    </w:p>
    <w:p w14:paraId="7C5B6A2C" w14:textId="77777777" w:rsidR="00F6427E" w:rsidRPr="004676F5" w:rsidRDefault="00F6427E" w:rsidP="00F6427E">
      <w:pPr>
        <w:jc w:val="both"/>
        <w:rPr>
          <w:lang w:val="de-DE"/>
        </w:rPr>
      </w:pPr>
    </w:p>
    <w:p w14:paraId="5A052487" w14:textId="77777777" w:rsidR="006C4762" w:rsidRPr="004676F5" w:rsidRDefault="006C4762" w:rsidP="00F6427E">
      <w:pPr>
        <w:jc w:val="both"/>
        <w:rPr>
          <w:lang w:val="de-DE"/>
        </w:rPr>
      </w:pPr>
    </w:p>
    <w:p w14:paraId="12572357" w14:textId="4C50482E"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III.79</w:t>
      </w:r>
      <w:r w:rsidRPr="004676F5">
        <w:rPr>
          <w:lang w:val="de-DE"/>
        </w:rPr>
        <w:t> </w:t>
      </w:r>
      <w:r w:rsidR="005B7A5C" w:rsidRPr="004676F5">
        <w:rPr>
          <w:lang w:val="de-DE"/>
        </w:rPr>
        <w:t>- </w:t>
      </w:r>
      <w:r w:rsidRPr="004676F5">
        <w:rPr>
          <w:lang w:val="de-DE"/>
        </w:rPr>
        <w:t>Die Bestimmungen des vorliegenden Abschnitts lassen zusätzliche Informationsanforderungen für Unternehmen, die in Belgien ansässig sind, unberührt.</w:t>
      </w:r>
    </w:p>
    <w:p w14:paraId="33F38158" w14:textId="77777777" w:rsidR="00F6427E" w:rsidRPr="004676F5" w:rsidRDefault="00F6427E" w:rsidP="00F6427E">
      <w:pPr>
        <w:rPr>
          <w:lang w:val="de-DE"/>
        </w:rPr>
      </w:pPr>
    </w:p>
    <w:p w14:paraId="1FB5E46A" w14:textId="77777777" w:rsidR="006C4762" w:rsidRPr="004676F5" w:rsidRDefault="006C4762" w:rsidP="00F6427E">
      <w:pPr>
        <w:rPr>
          <w:lang w:val="de-DE"/>
        </w:rPr>
      </w:pPr>
    </w:p>
    <w:p w14:paraId="20086903" w14:textId="4ABA9DFA" w:rsidR="00F6427E" w:rsidRPr="004676F5" w:rsidRDefault="00F6427E" w:rsidP="00F6427E">
      <w:pPr>
        <w:jc w:val="center"/>
        <w:rPr>
          <w:lang w:val="de-DE"/>
        </w:rPr>
      </w:pPr>
      <w:r w:rsidRPr="004676F5">
        <w:rPr>
          <w:i/>
          <w:lang w:val="de-DE"/>
        </w:rPr>
        <w:t>Abschnitt 2</w:t>
      </w:r>
      <w:r w:rsidRPr="004676F5">
        <w:rPr>
          <w:lang w:val="de-DE"/>
        </w:rPr>
        <w:t> </w:t>
      </w:r>
      <w:r w:rsidR="005B7A5C" w:rsidRPr="004676F5">
        <w:rPr>
          <w:lang w:val="de-DE"/>
        </w:rPr>
        <w:t>- </w:t>
      </w:r>
      <w:r w:rsidRPr="004676F5">
        <w:rPr>
          <w:lang w:val="de-DE"/>
        </w:rPr>
        <w:t>Nichtdiskriminierung der Dienstleistungsempfänger</w:t>
      </w:r>
    </w:p>
    <w:p w14:paraId="7DB15BE6" w14:textId="77777777" w:rsidR="00F6427E" w:rsidRPr="004676F5" w:rsidRDefault="00F6427E" w:rsidP="00F6427E">
      <w:pPr>
        <w:jc w:val="both"/>
        <w:rPr>
          <w:lang w:val="de-DE"/>
        </w:rPr>
      </w:pPr>
    </w:p>
    <w:p w14:paraId="181F6F28" w14:textId="77777777" w:rsidR="006C4762" w:rsidRPr="004676F5" w:rsidRDefault="006C4762" w:rsidP="00F6427E">
      <w:pPr>
        <w:jc w:val="both"/>
        <w:rPr>
          <w:lang w:val="de-DE"/>
        </w:rPr>
      </w:pPr>
    </w:p>
    <w:p w14:paraId="08F81AE4" w14:textId="09A47B1B"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III.80</w:t>
      </w:r>
      <w:r w:rsidRPr="004676F5">
        <w:rPr>
          <w:lang w:val="de-DE"/>
        </w:rPr>
        <w:t> </w:t>
      </w:r>
      <w:r w:rsidR="005B7A5C" w:rsidRPr="004676F5">
        <w:rPr>
          <w:lang w:val="de-DE"/>
        </w:rPr>
        <w:t>- </w:t>
      </w:r>
      <w:r w:rsidRPr="004676F5">
        <w:rPr>
          <w:lang w:val="de-DE"/>
        </w:rPr>
        <w:t>Dienstleistungsempfänger dürfen keinen Anforderungen unterliegen, die die Inanspruchnahme einer Dienstleistung beschränken, die von einem in einem anderen Mitgliedstaat ansässigen Unternehmen angeboten wird. Dies gilt insbesondere für folgende Anforderungen:</w:t>
      </w:r>
    </w:p>
    <w:p w14:paraId="312C49A3" w14:textId="77777777" w:rsidR="00F6427E" w:rsidRPr="004676F5" w:rsidRDefault="00F6427E" w:rsidP="00F6427E">
      <w:pPr>
        <w:jc w:val="both"/>
        <w:rPr>
          <w:lang w:val="de-DE"/>
        </w:rPr>
      </w:pPr>
    </w:p>
    <w:p w14:paraId="0B11BD85" w14:textId="77777777" w:rsidR="00F6427E" w:rsidRPr="004676F5" w:rsidRDefault="00F6427E" w:rsidP="00F6427E">
      <w:pPr>
        <w:jc w:val="both"/>
        <w:rPr>
          <w:lang w:val="de-DE"/>
        </w:rPr>
      </w:pPr>
      <w:r w:rsidRPr="004676F5">
        <w:rPr>
          <w:lang w:val="de-DE"/>
        </w:rPr>
        <w:tab/>
        <w:t>1. Pflicht, bei den zuständigen Behörden eine Zulassung einzuholen oder diesen gegenüber eine Erklärung abzugeben,</w:t>
      </w:r>
    </w:p>
    <w:p w14:paraId="42A05FD9" w14:textId="77777777" w:rsidR="00F6427E" w:rsidRPr="004676F5" w:rsidRDefault="00F6427E" w:rsidP="00F6427E">
      <w:pPr>
        <w:jc w:val="both"/>
        <w:rPr>
          <w:lang w:val="de-DE"/>
        </w:rPr>
      </w:pPr>
    </w:p>
    <w:p w14:paraId="1D89DB14" w14:textId="77777777" w:rsidR="00F6427E" w:rsidRPr="004676F5" w:rsidRDefault="00F6427E" w:rsidP="00F6427E">
      <w:pPr>
        <w:jc w:val="both"/>
        <w:rPr>
          <w:lang w:val="de-DE"/>
        </w:rPr>
      </w:pPr>
      <w:r w:rsidRPr="004676F5">
        <w:rPr>
          <w:lang w:val="de-DE"/>
        </w:rPr>
        <w:tab/>
        <w:t>2. diskriminierende Beschränkungen der Möglichkeit zur Erlangung finanzieller Unterstützung, die auf der Tatsache beruhen, dass das Unternehmen in einem anderen Mitgliedstaat ansässig ist, oder aufgrund des Ortes, an dem die Dienstleistung erbracht wird.</w:t>
      </w:r>
    </w:p>
    <w:p w14:paraId="4CA66089" w14:textId="77777777" w:rsidR="00F6427E" w:rsidRPr="004676F5" w:rsidRDefault="00F6427E" w:rsidP="00F6427E">
      <w:pPr>
        <w:jc w:val="both"/>
        <w:rPr>
          <w:lang w:val="de-DE"/>
        </w:rPr>
      </w:pPr>
    </w:p>
    <w:p w14:paraId="25D2528B" w14:textId="77777777" w:rsidR="00F6427E" w:rsidRPr="004676F5" w:rsidRDefault="00F6427E" w:rsidP="00F6427E">
      <w:pPr>
        <w:jc w:val="both"/>
        <w:rPr>
          <w:lang w:val="de-DE"/>
        </w:rPr>
      </w:pPr>
      <w:r w:rsidRPr="004676F5">
        <w:rPr>
          <w:lang w:val="de-DE"/>
        </w:rPr>
        <w:tab/>
        <w:t>Absatz 1 gilt nicht für Zulassungsregelungen, die auch für die Inanspruchnahme einer Dienstleistung gelten, die von einem in Belgien ansässigen Unternehmen erbracht wird.</w:t>
      </w:r>
    </w:p>
    <w:p w14:paraId="10B5721F" w14:textId="77777777" w:rsidR="00F6427E" w:rsidRPr="004676F5" w:rsidRDefault="00F6427E" w:rsidP="00F6427E">
      <w:pPr>
        <w:jc w:val="both"/>
        <w:rPr>
          <w:lang w:val="de-DE"/>
        </w:rPr>
      </w:pPr>
    </w:p>
    <w:p w14:paraId="1BE7B7A7" w14:textId="77777777" w:rsidR="006C4762" w:rsidRPr="004676F5" w:rsidRDefault="006C4762" w:rsidP="00F6427E">
      <w:pPr>
        <w:jc w:val="both"/>
        <w:rPr>
          <w:lang w:val="de-DE"/>
        </w:rPr>
      </w:pPr>
    </w:p>
    <w:p w14:paraId="237D3179" w14:textId="31A04205"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III.81</w:t>
      </w:r>
      <w:r w:rsidRPr="004676F5">
        <w:rPr>
          <w:lang w:val="de-DE"/>
        </w:rPr>
        <w:t> </w:t>
      </w:r>
      <w:r w:rsidR="005B7A5C" w:rsidRPr="004676F5">
        <w:rPr>
          <w:lang w:val="de-DE"/>
        </w:rPr>
        <w:t>- </w:t>
      </w:r>
      <w:r w:rsidRPr="004676F5">
        <w:rPr>
          <w:lang w:val="de-DE"/>
        </w:rPr>
        <w:t>Dienstleistungsempfänger dürfen keinen diskriminierenden Anforde</w:t>
      </w:r>
      <w:r w:rsidRPr="004676F5">
        <w:rPr>
          <w:lang w:val="de-DE"/>
        </w:rPr>
        <w:softHyphen/>
        <w:t>rungen unterliegen, die auf deren Staatsangehörigkeit oder Wohnort beruhen.</w:t>
      </w:r>
    </w:p>
    <w:p w14:paraId="14DFC474" w14:textId="77777777" w:rsidR="00F6427E" w:rsidRPr="004676F5" w:rsidRDefault="00F6427E" w:rsidP="00F6427E">
      <w:pPr>
        <w:jc w:val="both"/>
        <w:rPr>
          <w:lang w:val="de-DE"/>
        </w:rPr>
      </w:pPr>
    </w:p>
    <w:p w14:paraId="4107D363" w14:textId="4D66249C" w:rsidR="00F6427E" w:rsidRPr="004676F5" w:rsidRDefault="00F6427E" w:rsidP="00F6427E">
      <w:pPr>
        <w:jc w:val="both"/>
        <w:rPr>
          <w:lang w:val="de-DE"/>
        </w:rPr>
      </w:pPr>
      <w:r w:rsidRPr="004676F5">
        <w:rPr>
          <w:lang w:val="de-DE"/>
        </w:rPr>
        <w:tab/>
        <w:t>Die allgemeinen Bedingungen für den Zugang zu einer Dienstleistung, die das Unternehmen bekannt gemacht hat, dürfen keine auf der Staatsangehörigkeit oder dem Wohnort des Dienstleistungsempfängers beruhenden diskriminierenden Bestimmungen enthalten; dies berührt jedoch nicht die Möglichkeit, Unterschiede bei den Zugangs</w:t>
      </w:r>
      <w:r w:rsidRPr="004676F5">
        <w:rPr>
          <w:lang w:val="de-DE"/>
        </w:rPr>
        <w:softHyphen/>
        <w:t>bedingungen vorzusehen, die unmittelbar durch objektive Kriterien gerechtfertigt sind.</w:t>
      </w:r>
    </w:p>
    <w:p w14:paraId="64455BD2" w14:textId="77777777" w:rsidR="006C4762" w:rsidRPr="004676F5" w:rsidRDefault="006C4762">
      <w:pPr>
        <w:rPr>
          <w:lang w:val="de-DE"/>
        </w:rPr>
      </w:pPr>
      <w:r w:rsidRPr="004676F5">
        <w:rPr>
          <w:lang w:val="de-DE"/>
        </w:rPr>
        <w:br w:type="page"/>
      </w:r>
    </w:p>
    <w:p w14:paraId="53E085D8" w14:textId="7A3A9B9D" w:rsidR="00F6427E" w:rsidRPr="004676F5" w:rsidRDefault="00F6427E" w:rsidP="00F6427E">
      <w:pPr>
        <w:jc w:val="center"/>
        <w:rPr>
          <w:lang w:val="de-DE"/>
        </w:rPr>
      </w:pPr>
      <w:r w:rsidRPr="004676F5">
        <w:rPr>
          <w:lang w:val="de-DE"/>
        </w:rPr>
        <w:lastRenderedPageBreak/>
        <w:t>KAPITEL 2 </w:t>
      </w:r>
      <w:r w:rsidR="005B7A5C" w:rsidRPr="004676F5">
        <w:rPr>
          <w:lang w:val="de-DE"/>
        </w:rPr>
        <w:t>- </w:t>
      </w:r>
      <w:r w:rsidRPr="004676F5">
        <w:rPr>
          <w:i/>
          <w:lang w:val="de-DE"/>
        </w:rPr>
        <w:t>Buchhaltung der Unternehmen</w:t>
      </w:r>
    </w:p>
    <w:p w14:paraId="677B814A" w14:textId="77777777" w:rsidR="00F6427E" w:rsidRPr="004676F5" w:rsidRDefault="00F6427E" w:rsidP="00F6427E">
      <w:pPr>
        <w:jc w:val="both"/>
        <w:rPr>
          <w:lang w:val="de-DE"/>
        </w:rPr>
      </w:pPr>
    </w:p>
    <w:p w14:paraId="081BDB36" w14:textId="77777777" w:rsidR="006C4762" w:rsidRPr="004676F5" w:rsidRDefault="006C4762" w:rsidP="00F6427E">
      <w:pPr>
        <w:jc w:val="both"/>
        <w:rPr>
          <w:lang w:val="de-DE"/>
        </w:rPr>
      </w:pPr>
    </w:p>
    <w:p w14:paraId="5C3D9A1C" w14:textId="53AFD421" w:rsidR="00786EF4" w:rsidRPr="004676F5" w:rsidRDefault="00BE0A56" w:rsidP="00786EF4">
      <w:pPr>
        <w:ind w:firstLine="708"/>
        <w:jc w:val="both"/>
        <w:rPr>
          <w:lang w:val="de-DE"/>
        </w:rPr>
      </w:pPr>
      <w:r w:rsidRPr="004676F5">
        <w:rPr>
          <w:b/>
          <w:lang w:val="de-DE"/>
        </w:rPr>
        <w:t>Art. </w:t>
      </w:r>
      <w:r w:rsidR="00F6427E" w:rsidRPr="004676F5">
        <w:rPr>
          <w:b/>
          <w:lang w:val="de-DE"/>
        </w:rPr>
        <w:t>III.82</w:t>
      </w:r>
      <w:r w:rsidR="00F6427E" w:rsidRPr="004676F5">
        <w:rPr>
          <w:lang w:val="de-DE"/>
        </w:rPr>
        <w:t> </w:t>
      </w:r>
      <w:r w:rsidR="005B7A5C" w:rsidRPr="004676F5">
        <w:rPr>
          <w:lang w:val="de-DE"/>
        </w:rPr>
        <w:t>- </w:t>
      </w:r>
      <w:r w:rsidR="00786EF4" w:rsidRPr="004676F5">
        <w:rPr>
          <w:lang w:val="de-DE"/>
        </w:rPr>
        <w:t>[§ 1 </w:t>
      </w:r>
      <w:r w:rsidR="005B7A5C" w:rsidRPr="004676F5">
        <w:rPr>
          <w:lang w:val="de-DE"/>
        </w:rPr>
        <w:t>- </w:t>
      </w:r>
      <w:r w:rsidR="00786EF4" w:rsidRPr="004676F5">
        <w:rPr>
          <w:lang w:val="de-DE"/>
        </w:rPr>
        <w:t>Folgende Unternehmen unterliegen der Buchführungspflicht:</w:t>
      </w:r>
    </w:p>
    <w:p w14:paraId="424E1A69" w14:textId="77777777" w:rsidR="00786EF4" w:rsidRPr="004676F5" w:rsidRDefault="00786EF4" w:rsidP="00786EF4">
      <w:pPr>
        <w:ind w:firstLine="708"/>
        <w:jc w:val="both"/>
        <w:rPr>
          <w:lang w:val="de-DE"/>
        </w:rPr>
      </w:pPr>
    </w:p>
    <w:p w14:paraId="4957F9BF" w14:textId="77777777" w:rsidR="00786EF4" w:rsidRPr="004676F5" w:rsidRDefault="00786EF4" w:rsidP="00786EF4">
      <w:pPr>
        <w:ind w:firstLine="708"/>
        <w:jc w:val="both"/>
        <w:rPr>
          <w:lang w:val="de-DE"/>
        </w:rPr>
      </w:pPr>
      <w:r w:rsidRPr="004676F5">
        <w:rPr>
          <w:lang w:val="de-DE"/>
        </w:rPr>
        <w:t>1. Unternehmen im Sinne von Artikel I.1 Nr. 1 Absatz 1 Buchstabe </w:t>
      </w:r>
      <w:r w:rsidRPr="004676F5">
        <w:rPr>
          <w:i/>
          <w:iCs/>
          <w:lang w:val="de-DE"/>
        </w:rPr>
        <w:t>(a)</w:t>
      </w:r>
      <w:r w:rsidRPr="004676F5">
        <w:rPr>
          <w:lang w:val="de-DE"/>
        </w:rPr>
        <w:t>, die in Belgien eine berufliche Tätigkeit als Selbständige ausüben,</w:t>
      </w:r>
    </w:p>
    <w:p w14:paraId="4F14F8CA" w14:textId="77777777" w:rsidR="00786EF4" w:rsidRPr="004676F5" w:rsidRDefault="00786EF4" w:rsidP="00786EF4">
      <w:pPr>
        <w:ind w:firstLine="708"/>
        <w:jc w:val="both"/>
        <w:rPr>
          <w:lang w:val="de-DE"/>
        </w:rPr>
      </w:pPr>
    </w:p>
    <w:p w14:paraId="72994681" w14:textId="455C896E" w:rsidR="00786EF4" w:rsidRPr="004676F5" w:rsidRDefault="00EC6255" w:rsidP="00EC6255">
      <w:pPr>
        <w:jc w:val="both"/>
        <w:rPr>
          <w:lang w:val="de-DE"/>
        </w:rPr>
      </w:pPr>
      <w:r w:rsidRPr="004676F5">
        <w:rPr>
          <w:lang w:val="de-DE"/>
        </w:rPr>
        <w:tab/>
      </w:r>
      <w:r w:rsidR="00786EF4" w:rsidRPr="004676F5">
        <w:rPr>
          <w:lang w:val="de-DE"/>
        </w:rPr>
        <w:t>2. </w:t>
      </w:r>
      <w:r w:rsidRPr="004676F5">
        <w:rPr>
          <w:lang w:val="de-DE"/>
        </w:rPr>
        <w:t>[Unternehmen, deren Gegenstand ausschließlich der Betrieb eines Landwirtschafts</w:t>
      </w:r>
      <w:r w:rsidR="005B7A5C" w:rsidRPr="004676F5">
        <w:rPr>
          <w:lang w:val="de-DE"/>
        </w:rPr>
        <w:t>- </w:t>
      </w:r>
      <w:r w:rsidRPr="004676F5">
        <w:rPr>
          <w:lang w:val="de-DE"/>
        </w:rPr>
        <w:t>oder Gartenbauunternehmens ist, mit Ausnahme von Unternehmen, die der Gesellschaftssteuer unterliegen,]</w:t>
      </w:r>
    </w:p>
    <w:p w14:paraId="7D32BCFE" w14:textId="77777777" w:rsidR="00786EF4" w:rsidRPr="004676F5" w:rsidRDefault="00786EF4" w:rsidP="00786EF4">
      <w:pPr>
        <w:ind w:firstLine="708"/>
        <w:jc w:val="both"/>
        <w:rPr>
          <w:lang w:val="de-DE"/>
        </w:rPr>
      </w:pPr>
    </w:p>
    <w:p w14:paraId="1E895F7A" w14:textId="77777777" w:rsidR="00786EF4" w:rsidRPr="004676F5" w:rsidRDefault="00786EF4" w:rsidP="00786EF4">
      <w:pPr>
        <w:ind w:firstLine="708"/>
        <w:jc w:val="both"/>
        <w:rPr>
          <w:lang w:val="de-DE"/>
        </w:rPr>
      </w:pPr>
      <w:r w:rsidRPr="004676F5">
        <w:rPr>
          <w:lang w:val="de-DE"/>
        </w:rPr>
        <w:t>3. Unternehmen mit Zweigniederlassung oder Geschäftsstelle in Belgien,</w:t>
      </w:r>
    </w:p>
    <w:p w14:paraId="172080E6" w14:textId="77777777" w:rsidR="00786EF4" w:rsidRPr="004676F5" w:rsidRDefault="00786EF4" w:rsidP="00786EF4">
      <w:pPr>
        <w:ind w:firstLine="708"/>
        <w:jc w:val="both"/>
        <w:rPr>
          <w:lang w:val="de-DE"/>
        </w:rPr>
      </w:pPr>
    </w:p>
    <w:p w14:paraId="54FDA629" w14:textId="77777777" w:rsidR="00786EF4" w:rsidRPr="004676F5" w:rsidRDefault="00786EF4" w:rsidP="00786EF4">
      <w:pPr>
        <w:ind w:firstLine="708"/>
        <w:jc w:val="both"/>
        <w:rPr>
          <w:lang w:val="de-DE"/>
        </w:rPr>
      </w:pPr>
      <w:r w:rsidRPr="004676F5">
        <w:rPr>
          <w:lang w:val="de-DE"/>
        </w:rPr>
        <w:t>4. öffentliche Einrichtungen nach belgischem Recht, die einen satzungsmäßigen Auftrag kommerzieller, finanzieller oder industrieller Art erfüllen,</w:t>
      </w:r>
    </w:p>
    <w:p w14:paraId="21DC4BFD" w14:textId="77777777" w:rsidR="00786EF4" w:rsidRPr="004676F5" w:rsidRDefault="00786EF4" w:rsidP="00786EF4">
      <w:pPr>
        <w:ind w:firstLine="708"/>
        <w:jc w:val="both"/>
        <w:rPr>
          <w:lang w:val="de-DE"/>
        </w:rPr>
      </w:pPr>
    </w:p>
    <w:p w14:paraId="1B5BDB44" w14:textId="77777777" w:rsidR="00786EF4" w:rsidRPr="004676F5" w:rsidRDefault="00786EF4" w:rsidP="00786EF4">
      <w:pPr>
        <w:ind w:firstLine="708"/>
        <w:jc w:val="both"/>
        <w:rPr>
          <w:lang w:val="de-DE"/>
        </w:rPr>
      </w:pPr>
      <w:r w:rsidRPr="004676F5">
        <w:rPr>
          <w:lang w:val="de-DE"/>
        </w:rPr>
        <w:t>5. Einrichtungen mit oder ohne eigene Rechtspersönlichkeit, die mit oder ohne Gewinnerzielungsabsicht eine Tätigkeit kommerzieller, finanzieller oder industrieller Art ausüben und auf die die Bestimmungen des vorliegenden Kapitels nach Kategorien von Einrichtungen durch einen Königlichen Erlass anwendbar gemacht werden, durch den die Verpflichtungen, die sich für die betreffenden Unternehmen aus den Bestimmungen der Erlasse zur Ausführung von Buch III Titel 3 ergeben, angepasst werden an die Erfordernisse, die durch die besondere Art der Tätigkeiten und die Rechtsform der betreffenden Unternehmen begründet sind.</w:t>
      </w:r>
    </w:p>
    <w:p w14:paraId="2DF77594" w14:textId="77777777" w:rsidR="00786EF4" w:rsidRPr="004676F5" w:rsidRDefault="00786EF4" w:rsidP="00786EF4">
      <w:pPr>
        <w:ind w:firstLine="708"/>
        <w:jc w:val="both"/>
        <w:rPr>
          <w:lang w:val="de-DE"/>
        </w:rPr>
      </w:pPr>
    </w:p>
    <w:p w14:paraId="0966793F" w14:textId="2CED4A9F" w:rsidR="00786EF4" w:rsidRPr="004676F5" w:rsidRDefault="00786EF4" w:rsidP="00786EF4">
      <w:pPr>
        <w:ind w:firstLine="708"/>
        <w:jc w:val="both"/>
        <w:rPr>
          <w:lang w:val="de-DE"/>
        </w:rPr>
      </w:pPr>
      <w:r w:rsidRPr="004676F5">
        <w:rPr>
          <w:lang w:val="de-DE"/>
        </w:rPr>
        <w:t>In Abweichung von Absatz 1 unterliegen folgende Unternehmen nicht der Buchführungs</w:t>
      </w:r>
      <w:r w:rsidR="00487AC6" w:rsidRPr="004676F5">
        <w:rPr>
          <w:lang w:val="de-DE"/>
        </w:rPr>
        <w:t>p</w:t>
      </w:r>
      <w:r w:rsidRPr="004676F5">
        <w:rPr>
          <w:lang w:val="de-DE"/>
        </w:rPr>
        <w:t>flicht:</w:t>
      </w:r>
    </w:p>
    <w:p w14:paraId="3B462E7E" w14:textId="77777777" w:rsidR="00786EF4" w:rsidRPr="004676F5" w:rsidRDefault="00786EF4" w:rsidP="00786EF4">
      <w:pPr>
        <w:ind w:firstLine="708"/>
        <w:jc w:val="both"/>
        <w:rPr>
          <w:lang w:val="de-DE"/>
        </w:rPr>
      </w:pPr>
    </w:p>
    <w:p w14:paraId="0E7271FE" w14:textId="77777777" w:rsidR="00786EF4" w:rsidRPr="004676F5" w:rsidRDefault="00786EF4" w:rsidP="00786EF4">
      <w:pPr>
        <w:ind w:firstLine="708"/>
        <w:jc w:val="both"/>
        <w:rPr>
          <w:lang w:val="de-DE"/>
        </w:rPr>
      </w:pPr>
      <w:r w:rsidRPr="004676F5">
        <w:rPr>
          <w:lang w:val="de-DE"/>
        </w:rPr>
        <w:t>1. natürliche Personen, deren berufliche Tätigkeit als Selbstständige in der Ausübung eines oder mehrerer Verwaltungsmandate besteht,</w:t>
      </w:r>
    </w:p>
    <w:p w14:paraId="578BC50F" w14:textId="77777777" w:rsidR="00786EF4" w:rsidRPr="004676F5" w:rsidRDefault="00786EF4" w:rsidP="00786EF4">
      <w:pPr>
        <w:ind w:firstLine="708"/>
        <w:jc w:val="both"/>
        <w:rPr>
          <w:lang w:val="de-DE"/>
        </w:rPr>
      </w:pPr>
    </w:p>
    <w:p w14:paraId="2813BB99" w14:textId="2788B43D" w:rsidR="00786EF4" w:rsidRPr="004676F5" w:rsidRDefault="00786EF4" w:rsidP="00786EF4">
      <w:pPr>
        <w:ind w:firstLine="708"/>
        <w:jc w:val="both"/>
        <w:rPr>
          <w:lang w:val="de-DE"/>
        </w:rPr>
      </w:pPr>
      <w:r w:rsidRPr="004676F5">
        <w:rPr>
          <w:lang w:val="de-DE"/>
        </w:rPr>
        <w:t>2. </w:t>
      </w:r>
      <w:r w:rsidR="00091D23" w:rsidRPr="004676F5">
        <w:rPr>
          <w:lang w:val="de-DE"/>
        </w:rPr>
        <w:t>[Unternehmen, deren Gegenstand ausschließlich der Betrieb eines Landwirtschafts- oder Gartenbauunternehmens ist, mit Ausnahme von Unternehmen, die der Gesellschaftssteuer unterliegen,]</w:t>
      </w:r>
    </w:p>
    <w:p w14:paraId="1810ACAF" w14:textId="77777777" w:rsidR="00786EF4" w:rsidRPr="004676F5" w:rsidRDefault="00786EF4" w:rsidP="00786EF4">
      <w:pPr>
        <w:ind w:firstLine="708"/>
        <w:jc w:val="both"/>
        <w:rPr>
          <w:lang w:val="de-DE"/>
        </w:rPr>
      </w:pPr>
    </w:p>
    <w:p w14:paraId="52BD6FB8" w14:textId="77777777" w:rsidR="00786EF4" w:rsidRPr="004676F5" w:rsidRDefault="00786EF4" w:rsidP="00786EF4">
      <w:pPr>
        <w:ind w:firstLine="708"/>
        <w:jc w:val="both"/>
        <w:rPr>
          <w:lang w:val="de-DE"/>
        </w:rPr>
      </w:pPr>
      <w:r w:rsidRPr="004676F5">
        <w:rPr>
          <w:lang w:val="de-DE"/>
        </w:rPr>
        <w:t>3. Vereinigungen und Stiftungen, die aufgrund der Art ihrer Haupttätigkeiten besonderen aus Rechtsvorschriften oder öffentlichen Vorschriften hervorgehenden Regeln über die Führung ihrer Buchhaltung und über ihren Jahresabschluss unterliegen, insofern diese Regeln mindestens den aufgrund des vorliegenden Kapitels bestimmten Regeln gleichwertig sind,</w:t>
      </w:r>
    </w:p>
    <w:p w14:paraId="4873BDE2" w14:textId="77777777" w:rsidR="00786EF4" w:rsidRPr="004676F5" w:rsidRDefault="00786EF4" w:rsidP="00786EF4">
      <w:pPr>
        <w:ind w:firstLine="708"/>
        <w:jc w:val="both"/>
        <w:rPr>
          <w:lang w:val="de-DE"/>
        </w:rPr>
      </w:pPr>
    </w:p>
    <w:p w14:paraId="1B48715A" w14:textId="77777777" w:rsidR="00786EF4" w:rsidRPr="004676F5" w:rsidRDefault="00786EF4" w:rsidP="00786EF4">
      <w:pPr>
        <w:ind w:firstLine="708"/>
        <w:jc w:val="both"/>
        <w:rPr>
          <w:lang w:val="de-DE"/>
        </w:rPr>
      </w:pPr>
      <w:r w:rsidRPr="004676F5">
        <w:rPr>
          <w:lang w:val="de-DE"/>
        </w:rPr>
        <w:t>4. Vereinigungen, die in Artikel 1 Nr. 1 des Gesetzes vom 4. Juli 1989 über die Einschränkung und Kontrolle der Wahlausgaben für die Wahlen der Föderalen Kammern und über die Finanzierung und die offene Buchführung der politischen Parteien erwähnt sind,</w:t>
      </w:r>
    </w:p>
    <w:p w14:paraId="453152E6" w14:textId="77777777" w:rsidR="00786EF4" w:rsidRPr="004676F5" w:rsidRDefault="00786EF4" w:rsidP="00786EF4">
      <w:pPr>
        <w:ind w:firstLine="708"/>
        <w:jc w:val="both"/>
        <w:rPr>
          <w:lang w:val="de-DE"/>
        </w:rPr>
      </w:pPr>
    </w:p>
    <w:p w14:paraId="10462D28" w14:textId="77777777" w:rsidR="00786EF4" w:rsidRPr="004676F5" w:rsidRDefault="00786EF4" w:rsidP="00786EF4">
      <w:pPr>
        <w:ind w:firstLine="708"/>
        <w:jc w:val="both"/>
        <w:rPr>
          <w:lang w:val="de-DE"/>
        </w:rPr>
      </w:pPr>
      <w:r w:rsidRPr="004676F5">
        <w:rPr>
          <w:lang w:val="de-DE"/>
        </w:rPr>
        <w:t>5. natürliche Personen, die in Belgien eine Tätigkeit ausüben, die Einkünfte im Sinne von Artikel 90 Absatz 1 Nr. 1</w:t>
      </w:r>
      <w:r w:rsidRPr="004676F5">
        <w:rPr>
          <w:i/>
          <w:iCs/>
          <w:lang w:val="de-DE"/>
        </w:rPr>
        <w:t>bis</w:t>
      </w:r>
      <w:r w:rsidRPr="004676F5">
        <w:rPr>
          <w:lang w:val="de-DE"/>
        </w:rPr>
        <w:t xml:space="preserve"> des Einkommensteuergesetzbuches 1992 erzeugt, für die mit diesen Einkünften verbundene Tätigkeit, sofern diese Einkünfte die in Artikel 37</w:t>
      </w:r>
      <w:r w:rsidRPr="004676F5">
        <w:rPr>
          <w:i/>
          <w:iCs/>
          <w:lang w:val="de-DE"/>
        </w:rPr>
        <w:t>bis</w:t>
      </w:r>
      <w:r w:rsidRPr="004676F5">
        <w:rPr>
          <w:lang w:val="de-DE"/>
        </w:rPr>
        <w:t xml:space="preserve"> § 2 des Einkommensteuergesetzbuches 1992 erwähnten Bedingungen nicht erfüllen,</w:t>
      </w:r>
    </w:p>
    <w:p w14:paraId="6F3F04B6" w14:textId="77777777" w:rsidR="00786EF4" w:rsidRPr="004676F5" w:rsidRDefault="00786EF4" w:rsidP="00786EF4">
      <w:pPr>
        <w:ind w:firstLine="708"/>
        <w:jc w:val="both"/>
        <w:rPr>
          <w:lang w:val="de-DE"/>
        </w:rPr>
      </w:pPr>
    </w:p>
    <w:p w14:paraId="5FA4A843" w14:textId="77777777" w:rsidR="00786EF4" w:rsidRPr="004676F5" w:rsidRDefault="00786EF4" w:rsidP="00786EF4">
      <w:pPr>
        <w:ind w:firstLine="708"/>
        <w:jc w:val="both"/>
        <w:rPr>
          <w:lang w:val="de-DE"/>
        </w:rPr>
      </w:pPr>
      <w:r w:rsidRPr="004676F5">
        <w:rPr>
          <w:lang w:val="de-DE"/>
        </w:rPr>
        <w:lastRenderedPageBreak/>
        <w:t>6. Verwaltungsdienste mit autonomer Buchführung und öffentliche administrative Einrichtungen wie in Artikel 2 des Gesetzes vom 22. Mai 2003 zur Organisation des Haushaltsplans und der Buchführung des Föderalstaates erwähnt.</w:t>
      </w:r>
    </w:p>
    <w:p w14:paraId="4AD7ECC7" w14:textId="77777777" w:rsidR="00786EF4" w:rsidRPr="004676F5" w:rsidRDefault="00786EF4" w:rsidP="00786EF4">
      <w:pPr>
        <w:ind w:firstLine="708"/>
        <w:jc w:val="both"/>
        <w:rPr>
          <w:lang w:val="de-DE"/>
        </w:rPr>
      </w:pPr>
    </w:p>
    <w:p w14:paraId="58A37159" w14:textId="77777777" w:rsidR="00786EF4" w:rsidRPr="004676F5" w:rsidRDefault="00786EF4" w:rsidP="00786EF4">
      <w:pPr>
        <w:ind w:firstLine="708"/>
        <w:jc w:val="both"/>
        <w:rPr>
          <w:lang w:val="de-DE"/>
        </w:rPr>
      </w:pPr>
      <w:r w:rsidRPr="004676F5">
        <w:rPr>
          <w:lang w:val="de-DE"/>
        </w:rPr>
        <w:t>In Absatz 1 Nr. 3 erwähnte buchführungspflichtige Unternehmen unterliegen den Bestimmungen des vorliegenden Kapitels nur in Bezug auf Zweigniederlassungen und Geschäftsstellen, die sie in Belgien errichtet haben. Die Gesamtheit ihrer Zweigniederlassungen und Geschäftsstellen in Belgien gilt als ein buchführungspflichtiges Unternehmen.</w:t>
      </w:r>
    </w:p>
    <w:p w14:paraId="1140421F" w14:textId="77777777" w:rsidR="00786EF4" w:rsidRPr="004676F5" w:rsidRDefault="00786EF4" w:rsidP="00786EF4">
      <w:pPr>
        <w:ind w:firstLine="708"/>
        <w:jc w:val="both"/>
        <w:rPr>
          <w:lang w:val="de-DE"/>
        </w:rPr>
      </w:pPr>
    </w:p>
    <w:p w14:paraId="2FB56C9A" w14:textId="19D59216" w:rsidR="00F6427E" w:rsidRPr="004676F5" w:rsidRDefault="00786EF4" w:rsidP="00786EF4">
      <w:pPr>
        <w:jc w:val="both"/>
        <w:rPr>
          <w:lang w:val="de-DE"/>
        </w:rPr>
      </w:pPr>
      <w:r w:rsidRPr="004676F5">
        <w:rPr>
          <w:lang w:val="de-DE"/>
        </w:rPr>
        <w:tab/>
        <w:t>§ 2 </w:t>
      </w:r>
      <w:r w:rsidR="005B7A5C" w:rsidRPr="004676F5">
        <w:rPr>
          <w:lang w:val="de-DE"/>
        </w:rPr>
        <w:t>- </w:t>
      </w:r>
      <w:r w:rsidRPr="004676F5">
        <w:rPr>
          <w:lang w:val="de-DE"/>
        </w:rPr>
        <w:t>Buchführungspflichtige Unternehmen führen eine Art und Umfang ihrer Tätigkeiten angepasste Buchhaltung unter Einhaltung der besonderen Gesetzesbestimmungen in Bezug auf diese Tätigkeiten.]</w:t>
      </w:r>
    </w:p>
    <w:p w14:paraId="5E141C72" w14:textId="6D062690" w:rsidR="00F6427E" w:rsidRPr="004676F5" w:rsidRDefault="00F6427E" w:rsidP="00F6427E">
      <w:pPr>
        <w:jc w:val="both"/>
        <w:rPr>
          <w:lang w:val="de-DE"/>
        </w:rPr>
      </w:pPr>
    </w:p>
    <w:p w14:paraId="20024BBD" w14:textId="0318E02D" w:rsidR="00786EF4" w:rsidRPr="004676F5" w:rsidRDefault="00786EF4" w:rsidP="00F6427E">
      <w:pPr>
        <w:jc w:val="both"/>
        <w:rPr>
          <w:i/>
          <w:lang w:val="de-DE"/>
        </w:rPr>
      </w:pPr>
      <w:r w:rsidRPr="004676F5">
        <w:rPr>
          <w:i/>
          <w:lang w:val="de-DE"/>
        </w:rPr>
        <w:t>[Art. III.82 ersetzt durch Art. 79</w:t>
      </w:r>
      <w:r w:rsidRPr="004676F5">
        <w:rPr>
          <w:i/>
          <w:iCs/>
          <w:lang w:val="de-DE"/>
        </w:rPr>
        <w:t xml:space="preserve"> des G. vom 15. April 2018 (B.S. vom 27. April 2018)</w:t>
      </w:r>
      <w:r w:rsidR="00EC6255" w:rsidRPr="004676F5">
        <w:rPr>
          <w:i/>
          <w:iCs/>
          <w:lang w:val="de-DE"/>
        </w:rPr>
        <w:t>; § 1 Abs. 2 Nr. 2 ersetzt durch Art. 118 des G. vom 17. März 2019 (B.S. vom 10. Mai 2019)</w:t>
      </w:r>
      <w:r w:rsidRPr="004676F5">
        <w:rPr>
          <w:i/>
          <w:iCs/>
          <w:lang w:val="de-DE"/>
        </w:rPr>
        <w:t>]</w:t>
      </w:r>
    </w:p>
    <w:p w14:paraId="44942CB6" w14:textId="094869DD" w:rsidR="006C4762" w:rsidRPr="004676F5" w:rsidRDefault="006C4762" w:rsidP="00F6427E">
      <w:pPr>
        <w:jc w:val="both"/>
        <w:rPr>
          <w:lang w:val="de-DE"/>
        </w:rPr>
      </w:pPr>
    </w:p>
    <w:p w14:paraId="3A11E71A" w14:textId="77777777" w:rsidR="00786EF4" w:rsidRPr="004676F5" w:rsidRDefault="00786EF4" w:rsidP="00F6427E">
      <w:pPr>
        <w:jc w:val="both"/>
        <w:rPr>
          <w:lang w:val="de-DE"/>
        </w:rPr>
      </w:pPr>
    </w:p>
    <w:p w14:paraId="03842028" w14:textId="34DFFFA5"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III.83</w:t>
      </w:r>
      <w:r w:rsidRPr="004676F5">
        <w:rPr>
          <w:lang w:val="de-DE"/>
        </w:rPr>
        <w:t> </w:t>
      </w:r>
      <w:r w:rsidR="005B7A5C" w:rsidRPr="004676F5">
        <w:rPr>
          <w:lang w:val="de-DE"/>
        </w:rPr>
        <w:t>- </w:t>
      </w:r>
      <w:r w:rsidR="00786EF4" w:rsidRPr="004676F5">
        <w:rPr>
          <w:lang w:val="de-DE"/>
        </w:rPr>
        <w:t>[Die Buchhaltung buchführungspflichtiger Unternehmen umfasst all ihre Geschäfte, Vermögenswerte und Rechte, Forderungen, Schulden, Verbindlichkeiten und Verpflichtungen jeglicher Art. Die Buchhaltung buchführungspflichtiger Unternehmen im Sinne von Artikel III.82 § 1 Absatz 1 Nr. 1 umfasst diese Bestandteile jedoch ausschließlich in Bezug auf ihre berufliche Tätigkeit als Selbständige; für diese berufliche Tätigkeit verwendete eigene Mittel werden darin getrennt ausgewiesen.]</w:t>
      </w:r>
    </w:p>
    <w:p w14:paraId="7ED2506E" w14:textId="77777777" w:rsidR="00F6427E" w:rsidRPr="004676F5" w:rsidRDefault="00F6427E" w:rsidP="00F6427E">
      <w:pPr>
        <w:jc w:val="both"/>
        <w:rPr>
          <w:lang w:val="de-DE"/>
        </w:rPr>
      </w:pPr>
    </w:p>
    <w:p w14:paraId="65648B1D" w14:textId="4711B0B8" w:rsidR="00F6427E" w:rsidRPr="004676F5" w:rsidRDefault="00F6427E" w:rsidP="00F6427E">
      <w:pPr>
        <w:jc w:val="both"/>
        <w:rPr>
          <w:lang w:val="de-DE"/>
        </w:rPr>
      </w:pPr>
      <w:r w:rsidRPr="004676F5">
        <w:rPr>
          <w:lang w:val="de-DE"/>
        </w:rPr>
        <w:tab/>
        <w:t xml:space="preserve">Wenn </w:t>
      </w:r>
      <w:r w:rsidR="00786EF4" w:rsidRPr="004676F5">
        <w:rPr>
          <w:lang w:val="de-DE"/>
        </w:rPr>
        <w:t>[ein buchführungspflichtiges Unternehmen]</w:t>
      </w:r>
      <w:r w:rsidRPr="004676F5">
        <w:rPr>
          <w:lang w:val="de-DE"/>
        </w:rPr>
        <w:t xml:space="preserve"> unterschiedliche </w:t>
      </w:r>
      <w:r w:rsidR="00786EF4" w:rsidRPr="004676F5">
        <w:rPr>
          <w:lang w:val="de-DE"/>
        </w:rPr>
        <w:t>[</w:t>
      </w:r>
      <w:r w:rsidRPr="004676F5">
        <w:rPr>
          <w:lang w:val="de-DE"/>
        </w:rPr>
        <w:t>Tätigkeiten</w:t>
      </w:r>
      <w:r w:rsidR="00786EF4" w:rsidRPr="004676F5">
        <w:rPr>
          <w:lang w:val="de-DE"/>
        </w:rPr>
        <w:t>]</w:t>
      </w:r>
      <w:r w:rsidRPr="004676F5">
        <w:rPr>
          <w:lang w:val="de-DE"/>
        </w:rPr>
        <w:t xml:space="preserve"> durchführt, wird für jede dieser Tätigkeiten ein getrenntes Kontensystem geführt.</w:t>
      </w:r>
    </w:p>
    <w:p w14:paraId="5D39BAD0" w14:textId="77777777" w:rsidR="00F6427E" w:rsidRPr="004676F5" w:rsidRDefault="00F6427E" w:rsidP="00F6427E">
      <w:pPr>
        <w:jc w:val="both"/>
        <w:rPr>
          <w:lang w:val="de-DE"/>
        </w:rPr>
      </w:pPr>
    </w:p>
    <w:p w14:paraId="0AC0B141" w14:textId="45FD2CD4" w:rsidR="00F6427E" w:rsidRPr="004676F5" w:rsidRDefault="00F6427E" w:rsidP="00F6427E">
      <w:pPr>
        <w:jc w:val="both"/>
        <w:rPr>
          <w:lang w:val="de-DE"/>
        </w:rPr>
      </w:pPr>
      <w:r w:rsidRPr="004676F5">
        <w:rPr>
          <w:lang w:val="de-DE"/>
        </w:rPr>
        <w:tab/>
        <w:t xml:space="preserve">Wenn die Tätigkeit </w:t>
      </w:r>
      <w:r w:rsidR="00786EF4" w:rsidRPr="004676F5">
        <w:rPr>
          <w:lang w:val="de-DE"/>
        </w:rPr>
        <w:t>[</w:t>
      </w:r>
      <w:r w:rsidRPr="004676F5">
        <w:rPr>
          <w:lang w:val="de-DE"/>
        </w:rPr>
        <w:t xml:space="preserve">eines </w:t>
      </w:r>
      <w:r w:rsidR="00786EF4" w:rsidRPr="004676F5">
        <w:rPr>
          <w:lang w:val="de-DE"/>
        </w:rPr>
        <w:t xml:space="preserve">buchführungspflichtigen </w:t>
      </w:r>
      <w:r w:rsidRPr="004676F5">
        <w:rPr>
          <w:lang w:val="de-DE"/>
        </w:rPr>
        <w:t>Unternehmens</w:t>
      </w:r>
      <w:r w:rsidR="00786EF4" w:rsidRPr="004676F5">
        <w:rPr>
          <w:lang w:val="de-DE"/>
        </w:rPr>
        <w:t>]</w:t>
      </w:r>
      <w:r w:rsidRPr="004676F5">
        <w:rPr>
          <w:lang w:val="de-DE"/>
        </w:rPr>
        <w:t xml:space="preserve"> ebenfalls Geschäfte umfasst, die es als Geschäftsführer oder Gesellschafter </w:t>
      </w:r>
      <w:r w:rsidR="00786EF4" w:rsidRPr="004676F5">
        <w:rPr>
          <w:lang w:val="de-DE"/>
        </w:rPr>
        <w:t>[in einer Gesellschaft ohne Rechtspersönlichkeit]</w:t>
      </w:r>
      <w:r w:rsidRPr="004676F5">
        <w:rPr>
          <w:lang w:val="de-DE"/>
        </w:rPr>
        <w:t xml:space="preserve"> durchführt, wird seine Buchhaltung derart angepasst, dass sie gemäß der Vorschrift von Absatz 1 vollständig ist, sowohl hinsichtlich der Beziehungen zu Dritten als auch der Rechenschaft, die die Gesellschafter und gegebenenfalls die Gesellschafter und der Geschäftsführer untereinander ablegen müssen.</w:t>
      </w:r>
      <w:r w:rsidR="00786EF4" w:rsidRPr="004676F5">
        <w:rPr>
          <w:lang w:val="de-DE"/>
        </w:rPr>
        <w:t xml:space="preserve"> [Die Konten von Gesellschaften ohne Rechtspersönlichkeit werden von den Geschäftsführern oder Gesellschaftern in ihrer eigenen Buchhaltung nach der Methode der Quotenkonsolidierung geführt.]</w:t>
      </w:r>
    </w:p>
    <w:p w14:paraId="1D5CCF7A" w14:textId="1CAD9B75" w:rsidR="00F6427E" w:rsidRPr="004676F5" w:rsidRDefault="00F6427E" w:rsidP="00F6427E">
      <w:pPr>
        <w:jc w:val="both"/>
        <w:rPr>
          <w:lang w:val="de-DE"/>
        </w:rPr>
      </w:pPr>
    </w:p>
    <w:p w14:paraId="4B319432" w14:textId="6257A2FC" w:rsidR="00786EF4" w:rsidRPr="004676F5" w:rsidRDefault="00786EF4" w:rsidP="00F6427E">
      <w:pPr>
        <w:jc w:val="both"/>
        <w:rPr>
          <w:i/>
          <w:lang w:val="de-DE"/>
        </w:rPr>
      </w:pPr>
      <w:r w:rsidRPr="004676F5">
        <w:rPr>
          <w:i/>
          <w:lang w:val="de-DE"/>
        </w:rPr>
        <w:t>[Art. III.83 Abs. 1 ersetzt durch Art. 80 Nr. 1</w:t>
      </w:r>
      <w:r w:rsidRPr="004676F5">
        <w:rPr>
          <w:i/>
          <w:iCs/>
          <w:lang w:val="de-DE"/>
        </w:rPr>
        <w:t xml:space="preserve"> des G. vom 15. April 2018 (B.S. vom 27. April 2018); Abs. 2 abgeändert durch Art. 80 Nr. 2 des G. vom 15. April 2018 (B.S. vom 27. April 2018); Abs. 3 abgeändert durch Art. 80 Nr. 3 und 4 des G. vom 15. April 2018 (B.S. vom 27. April 2018)]</w:t>
      </w:r>
    </w:p>
    <w:p w14:paraId="0C902C07" w14:textId="571492A9" w:rsidR="006C4762" w:rsidRPr="004676F5" w:rsidRDefault="006C4762" w:rsidP="00F6427E">
      <w:pPr>
        <w:jc w:val="both"/>
        <w:rPr>
          <w:lang w:val="de-DE"/>
        </w:rPr>
      </w:pPr>
    </w:p>
    <w:p w14:paraId="4B4B3390" w14:textId="77777777" w:rsidR="00786EF4" w:rsidRPr="004676F5" w:rsidRDefault="00786EF4" w:rsidP="00F6427E">
      <w:pPr>
        <w:jc w:val="both"/>
        <w:rPr>
          <w:lang w:val="de-DE"/>
        </w:rPr>
      </w:pPr>
    </w:p>
    <w:p w14:paraId="11F5BE92" w14:textId="2D024825"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III.84</w:t>
      </w:r>
      <w:r w:rsidRPr="004676F5">
        <w:rPr>
          <w:lang w:val="de-DE"/>
        </w:rPr>
        <w:t> </w:t>
      </w:r>
      <w:r w:rsidR="005B7A5C" w:rsidRPr="004676F5">
        <w:rPr>
          <w:lang w:val="de-DE"/>
        </w:rPr>
        <w:t>- </w:t>
      </w:r>
      <w:r w:rsidRPr="004676F5">
        <w:rPr>
          <w:lang w:val="de-DE"/>
        </w:rPr>
        <w:t>Jede Buchhaltung wird gemäß einem System von Büchern und Konten und nach den üblichen Regeln der doppelten Buchführung geführt.</w:t>
      </w:r>
    </w:p>
    <w:p w14:paraId="1B9C9918" w14:textId="77777777" w:rsidR="00F6427E" w:rsidRPr="004676F5" w:rsidRDefault="00F6427E" w:rsidP="00F6427E">
      <w:pPr>
        <w:jc w:val="both"/>
        <w:rPr>
          <w:lang w:val="de-DE"/>
        </w:rPr>
      </w:pPr>
    </w:p>
    <w:p w14:paraId="61A9EE15" w14:textId="77777777" w:rsidR="00F6427E" w:rsidRPr="004676F5" w:rsidRDefault="00F6427E" w:rsidP="00F6427E">
      <w:pPr>
        <w:jc w:val="both"/>
        <w:rPr>
          <w:lang w:val="de-DE"/>
        </w:rPr>
      </w:pPr>
      <w:r w:rsidRPr="004676F5">
        <w:rPr>
          <w:lang w:val="de-DE"/>
        </w:rPr>
        <w:tab/>
        <w:t>Geschäfte werden unverzüglich, getreu, vollständig und chronologisch in ein einfaches Journal oder in ein Hilfsjournal eingetragen, das in besondere Journale unterteilt werden kann. Sie werden methodisch in die betreffenden Konten eingetragen oder übertragen.</w:t>
      </w:r>
    </w:p>
    <w:p w14:paraId="4F1F7697" w14:textId="77777777" w:rsidR="00F6427E" w:rsidRPr="004676F5" w:rsidRDefault="00F6427E" w:rsidP="00F6427E">
      <w:pPr>
        <w:jc w:val="both"/>
        <w:rPr>
          <w:lang w:val="de-DE"/>
        </w:rPr>
      </w:pPr>
    </w:p>
    <w:p w14:paraId="05156C54" w14:textId="2C89954E" w:rsidR="00944733" w:rsidRPr="004676F5" w:rsidRDefault="00944733" w:rsidP="00F6427E">
      <w:pPr>
        <w:jc w:val="both"/>
        <w:rPr>
          <w:lang w:val="de-DE"/>
        </w:rPr>
      </w:pPr>
      <w:r w:rsidRPr="004676F5">
        <w:rPr>
          <w:lang w:val="de-DE"/>
        </w:rPr>
        <w:tab/>
        <w:t xml:space="preserve">[Für </w:t>
      </w:r>
      <w:r w:rsidR="00DE60F0" w:rsidRPr="004676F5">
        <w:rPr>
          <w:lang w:val="de-DE"/>
        </w:rPr>
        <w:t>[buchführungspflichtige Unternehmen]</w:t>
      </w:r>
      <w:r w:rsidRPr="004676F5">
        <w:rPr>
          <w:lang w:val="de-DE"/>
        </w:rPr>
        <w:t>, die gemäß Artikel 21</w:t>
      </w:r>
      <w:r w:rsidRPr="004676F5">
        <w:rPr>
          <w:i/>
          <w:lang w:val="de-DE"/>
        </w:rPr>
        <w:t>bis</w:t>
      </w:r>
      <w:r w:rsidRPr="004676F5">
        <w:rPr>
          <w:lang w:val="de-DE"/>
        </w:rPr>
        <w:t xml:space="preserve"> Absatz 1 des Königlichen Erlasses Nr. 1 vom 29. Dezember 1992 über Maßnahmen im Hinblick auf die </w:t>
      </w:r>
      <w:r w:rsidRPr="004676F5">
        <w:rPr>
          <w:lang w:val="de-DE"/>
        </w:rPr>
        <w:lastRenderedPageBreak/>
        <w:t xml:space="preserve">Gewährleistung der Zahlung der Mehrwertsteuer ein Registrierkassensystem besitzen, werden das in Absatz 2 erwähnte Verkaufs-Hilfsjournal und das </w:t>
      </w:r>
      <w:r w:rsidR="00DE60F0" w:rsidRPr="004676F5">
        <w:rPr>
          <w:lang w:val="de-DE"/>
        </w:rPr>
        <w:t>[</w:t>
      </w:r>
      <w:r w:rsidRPr="004676F5">
        <w:rPr>
          <w:lang w:val="de-DE"/>
        </w:rPr>
        <w:t xml:space="preserve">in Artikel III.85 </w:t>
      </w:r>
      <w:r w:rsidR="00DE60F0" w:rsidRPr="004676F5">
        <w:rPr>
          <w:lang w:val="de-DE"/>
        </w:rPr>
        <w:t xml:space="preserve">§ 1 </w:t>
      </w:r>
      <w:r w:rsidRPr="004676F5">
        <w:rPr>
          <w:lang w:val="de-DE"/>
        </w:rPr>
        <w:t>Absatz 1 Nr. 3</w:t>
      </w:r>
      <w:r w:rsidR="00DE60F0" w:rsidRPr="004676F5">
        <w:rPr>
          <w:lang w:val="de-DE"/>
        </w:rPr>
        <w:t>]</w:t>
      </w:r>
      <w:r w:rsidRPr="004676F5">
        <w:rPr>
          <w:lang w:val="de-DE"/>
        </w:rPr>
        <w:t xml:space="preserve"> erwähnte dritte Journal durch das Registrierkassensystem ersetzt, das in Artikel 1 des Königlichen Erlasses vom 30. Dezember 2009 zur Bestimmung der Definition eines Registrierkassensystems im Horeca-Sektor und der Bedingungen, die ein solches System erfüllen muss, erwähnt ist.]</w:t>
      </w:r>
    </w:p>
    <w:p w14:paraId="21E99474" w14:textId="77777777" w:rsidR="00944733" w:rsidRPr="004676F5" w:rsidRDefault="00944733" w:rsidP="00F6427E">
      <w:pPr>
        <w:jc w:val="both"/>
        <w:rPr>
          <w:lang w:val="de-DE"/>
        </w:rPr>
      </w:pPr>
    </w:p>
    <w:p w14:paraId="18F0F9FD" w14:textId="5E63BFA7" w:rsidR="00F6427E" w:rsidRPr="004676F5" w:rsidRDefault="00F6427E" w:rsidP="00F6427E">
      <w:pPr>
        <w:jc w:val="both"/>
        <w:rPr>
          <w:lang w:val="de-DE"/>
        </w:rPr>
      </w:pPr>
      <w:r w:rsidRPr="004676F5">
        <w:rPr>
          <w:lang w:val="de-DE"/>
        </w:rPr>
        <w:tab/>
        <w:t>Während des betreffenden Zeitraums in das einfache Hilfsjournal oder in die besonderen Hilfsjournale eingetragene Gesamtbewegungen werden mindestens einmal monatlich in einer Sammelbuchung in einem Sammelbuch erfasst. Für die in Artikel III.85 erwähnten</w:t>
      </w:r>
      <w:r w:rsidR="00375085" w:rsidRPr="004676F5">
        <w:rPr>
          <w:lang w:val="de-DE"/>
        </w:rPr>
        <w:t xml:space="preserve"> [</w:t>
      </w:r>
      <w:r w:rsidR="00DE60F0" w:rsidRPr="004676F5">
        <w:rPr>
          <w:lang w:val="de-DE"/>
        </w:rPr>
        <w:t xml:space="preserve">buchführungspflichtigen </w:t>
      </w:r>
      <w:r w:rsidRPr="004676F5">
        <w:rPr>
          <w:lang w:val="de-DE"/>
        </w:rPr>
        <w:t>Unternehmen</w:t>
      </w:r>
      <w:r w:rsidR="00DE60F0" w:rsidRPr="004676F5">
        <w:rPr>
          <w:lang w:val="de-DE"/>
        </w:rPr>
        <w:t>]</w:t>
      </w:r>
      <w:r w:rsidRPr="004676F5">
        <w:rPr>
          <w:lang w:val="de-DE"/>
        </w:rPr>
        <w:t>, die ihre Buchhaltung gemäß den Vorschriften der Artikel III.83 und III.84 führen, erfolgt diese Buchung mindestens vierteljährlich.</w:t>
      </w:r>
    </w:p>
    <w:p w14:paraId="6FB31C33" w14:textId="77777777" w:rsidR="00F6427E" w:rsidRPr="004676F5" w:rsidRDefault="00F6427E" w:rsidP="00F6427E">
      <w:pPr>
        <w:jc w:val="both"/>
        <w:rPr>
          <w:lang w:val="de-DE"/>
        </w:rPr>
      </w:pPr>
    </w:p>
    <w:p w14:paraId="454DC0B2" w14:textId="444FE0EF" w:rsidR="00F6427E" w:rsidRPr="004676F5" w:rsidRDefault="00F6427E" w:rsidP="00F6427E">
      <w:pPr>
        <w:jc w:val="both"/>
        <w:rPr>
          <w:lang w:val="de-DE"/>
        </w:rPr>
      </w:pPr>
      <w:r w:rsidRPr="004676F5">
        <w:rPr>
          <w:lang w:val="de-DE"/>
        </w:rPr>
        <w:tab/>
        <w:t xml:space="preserve">Die in vorhergehendem Absatz erwähnte Sammelbuchung umfasst entweder den Gesamtbetrag der in sämtlichen Hilfsjournalen eingetragenen Bewegungen, aufgegliedert nach den allgemeinen Konten oder nach den entsprechenden im Kontenplan </w:t>
      </w:r>
      <w:r w:rsidR="00DE60F0" w:rsidRPr="004676F5">
        <w:rPr>
          <w:lang w:val="de-DE"/>
        </w:rPr>
        <w:t>[</w:t>
      </w:r>
      <w:r w:rsidRPr="004676F5">
        <w:rPr>
          <w:lang w:val="de-DE"/>
        </w:rPr>
        <w:t xml:space="preserve">des </w:t>
      </w:r>
      <w:r w:rsidR="00DE60F0" w:rsidRPr="004676F5">
        <w:rPr>
          <w:lang w:val="de-DE"/>
        </w:rPr>
        <w:t xml:space="preserve">buchführungspflichtigen </w:t>
      </w:r>
      <w:r w:rsidRPr="004676F5">
        <w:rPr>
          <w:lang w:val="de-DE"/>
        </w:rPr>
        <w:t>Unternehmens</w:t>
      </w:r>
      <w:r w:rsidR="00DE60F0" w:rsidRPr="004676F5">
        <w:rPr>
          <w:lang w:val="de-DE"/>
        </w:rPr>
        <w:t>]</w:t>
      </w:r>
      <w:r w:rsidRPr="004676F5">
        <w:rPr>
          <w:lang w:val="de-DE"/>
        </w:rPr>
        <w:t xml:space="preserve"> vorgesehenen zusammenfassenden Posten, oder, wenn </w:t>
      </w:r>
      <w:r w:rsidR="00DE60F0" w:rsidRPr="004676F5">
        <w:rPr>
          <w:lang w:val="de-DE"/>
        </w:rPr>
        <w:t>[</w:t>
      </w:r>
      <w:r w:rsidRPr="004676F5">
        <w:rPr>
          <w:lang w:val="de-DE"/>
        </w:rPr>
        <w:t xml:space="preserve">das </w:t>
      </w:r>
      <w:r w:rsidR="00DE60F0" w:rsidRPr="004676F5">
        <w:rPr>
          <w:lang w:val="de-DE"/>
        </w:rPr>
        <w:t xml:space="preserve">buchführungspflichtige </w:t>
      </w:r>
      <w:r w:rsidRPr="004676F5">
        <w:rPr>
          <w:lang w:val="de-DE"/>
        </w:rPr>
        <w:t>Unternehmen</w:t>
      </w:r>
      <w:r w:rsidR="00DE60F0" w:rsidRPr="004676F5">
        <w:rPr>
          <w:lang w:val="de-DE"/>
        </w:rPr>
        <w:t>]</w:t>
      </w:r>
      <w:r w:rsidRPr="004676F5">
        <w:rPr>
          <w:lang w:val="de-DE"/>
        </w:rPr>
        <w:t xml:space="preserve"> eine Buchhaltung führt, bei der Geschäfte gleichzeitig in die Hilfsjournale und in die entsprechenden Konten eingetragen werden, den Gesamtbetrag der in jedes der Hilfsjournale eingetragenen Bewegungen.</w:t>
      </w:r>
    </w:p>
    <w:p w14:paraId="52E6435B" w14:textId="77777777" w:rsidR="00F6427E" w:rsidRPr="004676F5" w:rsidRDefault="00F6427E" w:rsidP="00F6427E">
      <w:pPr>
        <w:jc w:val="both"/>
        <w:rPr>
          <w:lang w:val="de-DE"/>
        </w:rPr>
      </w:pPr>
    </w:p>
    <w:p w14:paraId="66B2D9F7" w14:textId="59A1C089" w:rsidR="00F6427E" w:rsidRPr="004676F5" w:rsidRDefault="00F6427E" w:rsidP="00F6427E">
      <w:pPr>
        <w:jc w:val="both"/>
        <w:rPr>
          <w:lang w:val="de-DE"/>
        </w:rPr>
      </w:pPr>
      <w:r w:rsidRPr="004676F5">
        <w:rPr>
          <w:lang w:val="de-DE"/>
        </w:rPr>
        <w:tab/>
        <w:t xml:space="preserve">Die eröffneten Konten werden in einem der Tätigkeit </w:t>
      </w:r>
      <w:r w:rsidR="00DE60F0" w:rsidRPr="004676F5">
        <w:rPr>
          <w:lang w:val="de-DE"/>
        </w:rPr>
        <w:t>[</w:t>
      </w:r>
      <w:r w:rsidRPr="004676F5">
        <w:rPr>
          <w:lang w:val="de-DE"/>
        </w:rPr>
        <w:t xml:space="preserve">des </w:t>
      </w:r>
      <w:r w:rsidR="00DE60F0" w:rsidRPr="004676F5">
        <w:rPr>
          <w:lang w:val="de-DE"/>
        </w:rPr>
        <w:t xml:space="preserve">buchführungspflichtigen </w:t>
      </w:r>
      <w:r w:rsidRPr="004676F5">
        <w:rPr>
          <w:lang w:val="de-DE"/>
        </w:rPr>
        <w:t>Unternehmens</w:t>
      </w:r>
      <w:r w:rsidR="00DE60F0" w:rsidRPr="004676F5">
        <w:rPr>
          <w:lang w:val="de-DE"/>
        </w:rPr>
        <w:t>]</w:t>
      </w:r>
      <w:r w:rsidRPr="004676F5">
        <w:rPr>
          <w:lang w:val="de-DE"/>
        </w:rPr>
        <w:t xml:space="preserve"> angepassten Kontenplan bestimmt. Dieser Kontenplan wird Interessehabenden am Sitz </w:t>
      </w:r>
      <w:r w:rsidR="00DE60F0" w:rsidRPr="004676F5">
        <w:rPr>
          <w:lang w:val="de-DE"/>
        </w:rPr>
        <w:t>[</w:t>
      </w:r>
      <w:r w:rsidRPr="004676F5">
        <w:rPr>
          <w:lang w:val="de-DE"/>
        </w:rPr>
        <w:t xml:space="preserve">des </w:t>
      </w:r>
      <w:r w:rsidR="00DE60F0" w:rsidRPr="004676F5">
        <w:rPr>
          <w:lang w:val="de-DE"/>
        </w:rPr>
        <w:t xml:space="preserve">buchführungspflichtigen </w:t>
      </w:r>
      <w:r w:rsidRPr="004676F5">
        <w:rPr>
          <w:lang w:val="de-DE"/>
        </w:rPr>
        <w:t>Unternehmens</w:t>
      </w:r>
      <w:r w:rsidR="00DE60F0" w:rsidRPr="004676F5">
        <w:rPr>
          <w:lang w:val="de-DE"/>
        </w:rPr>
        <w:t>]</w:t>
      </w:r>
      <w:r w:rsidRPr="004676F5">
        <w:rPr>
          <w:lang w:val="de-DE"/>
        </w:rPr>
        <w:t xml:space="preserve"> wie auch bei dessen wesentlichen Buchhaltungsabteilungen ständig zur Verfügung gehalten.</w:t>
      </w:r>
    </w:p>
    <w:p w14:paraId="7660C5C0" w14:textId="77777777" w:rsidR="00F6427E" w:rsidRPr="004676F5" w:rsidRDefault="00F6427E" w:rsidP="00F6427E">
      <w:pPr>
        <w:jc w:val="both"/>
        <w:rPr>
          <w:lang w:val="de-DE"/>
        </w:rPr>
      </w:pPr>
    </w:p>
    <w:p w14:paraId="798F3B9A" w14:textId="3531A5A2" w:rsidR="00F6427E" w:rsidRPr="004676F5" w:rsidRDefault="00F6427E" w:rsidP="00F6427E">
      <w:pPr>
        <w:jc w:val="both"/>
        <w:rPr>
          <w:lang w:val="de-DE"/>
        </w:rPr>
      </w:pPr>
      <w:r w:rsidRPr="004676F5">
        <w:rPr>
          <w:lang w:val="de-DE"/>
        </w:rPr>
        <w:tab/>
        <w:t>Der König bestimmt Inhalt und Aufgliederung eines Mindestkonteneinheitsplans. Er bestimmt Inhalt und Funktionsweise der Konten des Einheitsplans.</w:t>
      </w:r>
    </w:p>
    <w:p w14:paraId="4CABF897" w14:textId="7C6C904B" w:rsidR="00DE60F0" w:rsidRPr="004676F5" w:rsidRDefault="00DE60F0" w:rsidP="00F6427E">
      <w:pPr>
        <w:jc w:val="both"/>
        <w:rPr>
          <w:lang w:val="de-DE"/>
        </w:rPr>
      </w:pPr>
    </w:p>
    <w:p w14:paraId="6BE88C79" w14:textId="7D21B76E" w:rsidR="00DE60F0" w:rsidRPr="004676F5" w:rsidRDefault="00DE60F0" w:rsidP="00F6427E">
      <w:pPr>
        <w:jc w:val="both"/>
        <w:rPr>
          <w:lang w:val="de-DE"/>
        </w:rPr>
      </w:pPr>
      <w:r w:rsidRPr="004676F5">
        <w:rPr>
          <w:lang w:val="de-DE"/>
        </w:rPr>
        <w:tab/>
        <w:t>[Der König bestimmt Inhalt und Aufgliederung eines eigenen Mindestkonten</w:t>
      </w:r>
      <w:r w:rsidRPr="004676F5">
        <w:rPr>
          <w:lang w:val="de-DE"/>
        </w:rPr>
        <w:softHyphen/>
        <w:t>einheitsplans für Vereinigungen und Stiftungen. Er bestimmt Inhalt und Benutzung der Konten des Einheitsplans.]</w:t>
      </w:r>
    </w:p>
    <w:p w14:paraId="06EE6FAC" w14:textId="77777777" w:rsidR="00944733" w:rsidRPr="004676F5" w:rsidRDefault="00944733" w:rsidP="00F6427E">
      <w:pPr>
        <w:jc w:val="both"/>
        <w:rPr>
          <w:lang w:val="de-DE"/>
        </w:rPr>
      </w:pPr>
    </w:p>
    <w:p w14:paraId="043EBC2E" w14:textId="1FD26C82" w:rsidR="00944733" w:rsidRPr="004676F5" w:rsidRDefault="00944733" w:rsidP="00F6427E">
      <w:pPr>
        <w:jc w:val="both"/>
        <w:rPr>
          <w:i/>
          <w:lang w:val="de-DE"/>
        </w:rPr>
      </w:pPr>
      <w:r w:rsidRPr="004676F5">
        <w:rPr>
          <w:i/>
          <w:lang w:val="de-DE"/>
        </w:rPr>
        <w:t>[</w:t>
      </w:r>
      <w:r w:rsidR="00BE0A56" w:rsidRPr="004676F5">
        <w:rPr>
          <w:i/>
          <w:lang w:val="de-DE"/>
        </w:rPr>
        <w:t>Art. </w:t>
      </w:r>
      <w:r w:rsidRPr="004676F5">
        <w:rPr>
          <w:i/>
          <w:lang w:val="de-DE"/>
        </w:rPr>
        <w:t xml:space="preserve">III.84 neuer Absatz 3 eingefügt durch </w:t>
      </w:r>
      <w:r w:rsidR="00BE0A56" w:rsidRPr="004676F5">
        <w:rPr>
          <w:i/>
          <w:lang w:val="de-DE"/>
        </w:rPr>
        <w:t>Art. </w:t>
      </w:r>
      <w:r w:rsidRPr="004676F5">
        <w:rPr>
          <w:i/>
          <w:lang w:val="de-DE"/>
        </w:rPr>
        <w:t>5 des G. vom 2. April 2014 (B.S. vom 28. April 2014)</w:t>
      </w:r>
      <w:r w:rsidR="00DE60F0" w:rsidRPr="004676F5">
        <w:rPr>
          <w:i/>
          <w:lang w:val="de-DE"/>
        </w:rPr>
        <w:t xml:space="preserve"> und abgeändert durch Art. 81 Nr. 1 und 1/1</w:t>
      </w:r>
      <w:r w:rsidR="00DE60F0" w:rsidRPr="004676F5">
        <w:rPr>
          <w:i/>
          <w:iCs/>
          <w:lang w:val="de-DE"/>
        </w:rPr>
        <w:t xml:space="preserve"> des G. vom 15. April 2018 (B.S. vom 27. April 2018); Abs. 4 bis 6 abgeändert durch Art. 81 Nr. 1 des G. vom 15. April 2018 (B.S. vom 27. April 2018); Abs. 8 eingefügt durch Art. 81 Nr. 2 des G. vom 15. April 2018 (B.S. vom 27. April 2018)</w:t>
      </w:r>
      <w:r w:rsidRPr="004676F5">
        <w:rPr>
          <w:i/>
          <w:lang w:val="de-DE"/>
        </w:rPr>
        <w:t>]</w:t>
      </w:r>
    </w:p>
    <w:p w14:paraId="75C5E801" w14:textId="77777777" w:rsidR="00F6427E" w:rsidRPr="004676F5" w:rsidRDefault="00F6427E" w:rsidP="00F6427E">
      <w:pPr>
        <w:jc w:val="both"/>
        <w:rPr>
          <w:lang w:val="de-DE"/>
        </w:rPr>
      </w:pPr>
    </w:p>
    <w:p w14:paraId="44627084" w14:textId="77777777" w:rsidR="006C4762" w:rsidRPr="004676F5" w:rsidRDefault="006C4762" w:rsidP="00F6427E">
      <w:pPr>
        <w:jc w:val="both"/>
        <w:rPr>
          <w:lang w:val="de-DE"/>
        </w:rPr>
      </w:pPr>
    </w:p>
    <w:p w14:paraId="0F833F10" w14:textId="4FF20564" w:rsidR="00F6427E" w:rsidRPr="00CA6435" w:rsidRDefault="00F6427E" w:rsidP="00F6427E">
      <w:pPr>
        <w:jc w:val="both"/>
        <w:rPr>
          <w:spacing w:val="-6"/>
          <w:lang w:val="de-DE"/>
        </w:rPr>
      </w:pPr>
      <w:r w:rsidRPr="004676F5">
        <w:rPr>
          <w:lang w:val="de-DE"/>
        </w:rPr>
        <w:tab/>
      </w:r>
      <w:r w:rsidR="00BE0A56" w:rsidRPr="00CA6435">
        <w:rPr>
          <w:b/>
          <w:spacing w:val="-6"/>
          <w:lang w:val="de-DE"/>
        </w:rPr>
        <w:t>Art. </w:t>
      </w:r>
      <w:r w:rsidRPr="00CA6435">
        <w:rPr>
          <w:b/>
          <w:spacing w:val="-6"/>
          <w:lang w:val="de-DE"/>
        </w:rPr>
        <w:t>III.85</w:t>
      </w:r>
      <w:r w:rsidRPr="00CA6435">
        <w:rPr>
          <w:spacing w:val="-6"/>
          <w:lang w:val="de-DE"/>
        </w:rPr>
        <w:t> </w:t>
      </w:r>
      <w:r w:rsidR="005B7A5C" w:rsidRPr="00CA6435">
        <w:rPr>
          <w:spacing w:val="-6"/>
          <w:lang w:val="de-DE"/>
        </w:rPr>
        <w:t>- </w:t>
      </w:r>
      <w:r w:rsidR="00DE60F0" w:rsidRPr="00CA6435">
        <w:rPr>
          <w:spacing w:val="-6"/>
          <w:lang w:val="de-DE"/>
        </w:rPr>
        <w:t xml:space="preserve">[§ 1] </w:t>
      </w:r>
      <w:r w:rsidR="005B7A5C" w:rsidRPr="00CA6435">
        <w:rPr>
          <w:spacing w:val="-6"/>
          <w:lang w:val="de-DE"/>
        </w:rPr>
        <w:t>- </w:t>
      </w:r>
      <w:r w:rsidR="00DE60F0" w:rsidRPr="00CA6435">
        <w:rPr>
          <w:spacing w:val="-6"/>
          <w:lang w:val="de-DE"/>
        </w:rPr>
        <w:t xml:space="preserve">[Buchführungspflichtige Unternehmen, die Unternehmen im Sinne von </w:t>
      </w:r>
      <w:r w:rsidR="00E44C74" w:rsidRPr="00CA6435">
        <w:rPr>
          <w:spacing w:val="-6"/>
          <w:lang w:val="de-DE"/>
        </w:rPr>
        <w:t>[</w:t>
      </w:r>
      <w:r w:rsidR="00DE60F0" w:rsidRPr="00CA6435">
        <w:rPr>
          <w:spacing w:val="-6"/>
          <w:lang w:val="de-DE"/>
        </w:rPr>
        <w:t xml:space="preserve">Artikel I.1 Absatz 1 </w:t>
      </w:r>
      <w:r w:rsidR="00E44C74" w:rsidRPr="00CA6435">
        <w:rPr>
          <w:spacing w:val="-6"/>
          <w:lang w:val="de-DE"/>
        </w:rPr>
        <w:t xml:space="preserve">Nr. 1] </w:t>
      </w:r>
      <w:r w:rsidR="00DE60F0" w:rsidRPr="00CA6435">
        <w:rPr>
          <w:spacing w:val="-6"/>
          <w:lang w:val="de-DE"/>
        </w:rPr>
        <w:t xml:space="preserve">Buchstabe </w:t>
      </w:r>
      <w:r w:rsidR="00DE60F0" w:rsidRPr="00CA6435">
        <w:rPr>
          <w:i/>
          <w:iCs/>
          <w:spacing w:val="-6"/>
          <w:lang w:val="de-DE"/>
        </w:rPr>
        <w:t>(a)</w:t>
      </w:r>
      <w:r w:rsidR="00DE60F0" w:rsidRPr="00CA6435">
        <w:rPr>
          <w:spacing w:val="-6"/>
          <w:lang w:val="de-DE"/>
        </w:rPr>
        <w:t xml:space="preserve"> oder </w:t>
      </w:r>
      <w:r w:rsidR="00DE60F0" w:rsidRPr="00CA6435">
        <w:rPr>
          <w:i/>
          <w:iCs/>
          <w:spacing w:val="-6"/>
          <w:lang w:val="de-DE"/>
        </w:rPr>
        <w:t>(c)</w:t>
      </w:r>
      <w:r w:rsidR="00DE60F0" w:rsidRPr="00CA6435">
        <w:rPr>
          <w:spacing w:val="-6"/>
          <w:lang w:val="de-DE"/>
        </w:rPr>
        <w:t xml:space="preserve"> sind]</w:t>
      </w:r>
      <w:r w:rsidRPr="00CA6435">
        <w:rPr>
          <w:spacing w:val="-6"/>
          <w:lang w:val="de-DE"/>
        </w:rPr>
        <w:t xml:space="preserve">, offene Handelsgesellschaften oder </w:t>
      </w:r>
      <w:r w:rsidR="00F64195" w:rsidRPr="00CA6435">
        <w:rPr>
          <w:spacing w:val="-6"/>
          <w:lang w:val="de-DE"/>
        </w:rPr>
        <w:t>[</w:t>
      </w:r>
      <w:r w:rsidRPr="00CA6435">
        <w:rPr>
          <w:spacing w:val="-6"/>
          <w:lang w:val="de-DE"/>
        </w:rPr>
        <w:t>Kommanditgesellschaften</w:t>
      </w:r>
      <w:r w:rsidR="00F64195" w:rsidRPr="00CA6435">
        <w:rPr>
          <w:spacing w:val="-6"/>
          <w:lang w:val="de-DE"/>
        </w:rPr>
        <w:t>]</w:t>
      </w:r>
      <w:r w:rsidRPr="00CA6435">
        <w:rPr>
          <w:spacing w:val="-6"/>
          <w:lang w:val="de-DE"/>
        </w:rPr>
        <w:t>, deren Umsatz ohne Mehrwertsteuer im letzten Geschäftsjahr einen vom König festgelegten Betrag nicht überschreitet, brauchen keine Buchhaltung gemäß den Vorschriften der Artikel III.83 und III.84 zu führen, vorausgesetzt, dass sie ihre Geschäfte unverzüglich, getreu, vollständig und chronologisch in mindestens drei Journale eintragen, die derart eingerichtet sind, dass folgende Bewegungen in allen Einzelheiten verfolgt werden können:</w:t>
      </w:r>
    </w:p>
    <w:p w14:paraId="39170AC0" w14:textId="77777777" w:rsidR="00F6427E" w:rsidRPr="004676F5" w:rsidRDefault="00F6427E" w:rsidP="00F6427E">
      <w:pPr>
        <w:jc w:val="both"/>
        <w:rPr>
          <w:lang w:val="de-DE"/>
        </w:rPr>
      </w:pPr>
    </w:p>
    <w:p w14:paraId="44043B98" w14:textId="5E9738BA" w:rsidR="00F6427E" w:rsidRPr="004676F5" w:rsidRDefault="00F6427E" w:rsidP="00F6427E">
      <w:pPr>
        <w:jc w:val="both"/>
        <w:rPr>
          <w:lang w:val="de-DE"/>
        </w:rPr>
      </w:pPr>
      <w:r w:rsidRPr="004676F5">
        <w:rPr>
          <w:lang w:val="de-DE"/>
        </w:rPr>
        <w:tab/>
        <w:t>1. im ersten Journal Bargeld</w:t>
      </w:r>
      <w:r w:rsidR="005B7A5C" w:rsidRPr="004676F5">
        <w:rPr>
          <w:lang w:val="de-DE"/>
        </w:rPr>
        <w:t>- </w:t>
      </w:r>
      <w:r w:rsidRPr="004676F5">
        <w:rPr>
          <w:lang w:val="de-DE"/>
        </w:rPr>
        <w:t>oder Kontenbewegungen, mit Beschreibung des Gegenstands der Geschäfte und besonderem Vermerk der Geldentnahmen für außerbetrieb</w:t>
      </w:r>
      <w:r w:rsidRPr="004676F5">
        <w:rPr>
          <w:lang w:val="de-DE"/>
        </w:rPr>
        <w:softHyphen/>
        <w:t>liche Zwecke, und tägliche Bargeldsaldi,</w:t>
      </w:r>
    </w:p>
    <w:p w14:paraId="716F19DF" w14:textId="77777777" w:rsidR="00F6427E" w:rsidRPr="004676F5" w:rsidRDefault="00F6427E" w:rsidP="00F6427E">
      <w:pPr>
        <w:jc w:val="both"/>
        <w:rPr>
          <w:lang w:val="de-DE"/>
        </w:rPr>
      </w:pPr>
    </w:p>
    <w:p w14:paraId="4E40702E" w14:textId="38845762" w:rsidR="00F6427E" w:rsidRPr="004676F5" w:rsidRDefault="00F6427E" w:rsidP="00F6427E">
      <w:pPr>
        <w:jc w:val="both"/>
        <w:rPr>
          <w:lang w:val="de-DE"/>
        </w:rPr>
      </w:pPr>
      <w:r w:rsidRPr="004676F5">
        <w:rPr>
          <w:lang w:val="de-DE"/>
        </w:rPr>
        <w:tab/>
        <w:t>2. im zweiten Journal Kauf</w:t>
      </w:r>
      <w:r w:rsidR="005B7A5C" w:rsidRPr="004676F5">
        <w:rPr>
          <w:lang w:val="de-DE"/>
        </w:rPr>
        <w:t>- </w:t>
      </w:r>
      <w:r w:rsidRPr="004676F5">
        <w:rPr>
          <w:lang w:val="de-DE"/>
        </w:rPr>
        <w:t>und Einfuhrgeschäfte und erhaltene Leistungen, mit Vermerk von Betrag, Weise und Datum der betreffenden Zahlungen,</w:t>
      </w:r>
    </w:p>
    <w:p w14:paraId="191C6B68" w14:textId="77777777" w:rsidR="00F6427E" w:rsidRPr="004676F5" w:rsidRDefault="00F6427E" w:rsidP="00F6427E">
      <w:pPr>
        <w:jc w:val="both"/>
        <w:rPr>
          <w:lang w:val="de-DE"/>
        </w:rPr>
      </w:pPr>
    </w:p>
    <w:p w14:paraId="72512E53" w14:textId="05087236" w:rsidR="00F6427E" w:rsidRPr="004676F5" w:rsidRDefault="00F6427E" w:rsidP="00F6427E">
      <w:pPr>
        <w:jc w:val="both"/>
        <w:rPr>
          <w:lang w:val="de-DE"/>
        </w:rPr>
      </w:pPr>
      <w:r w:rsidRPr="004676F5">
        <w:rPr>
          <w:lang w:val="de-DE"/>
        </w:rPr>
        <w:tab/>
        <w:t>3. im dritten Journal Verkaufs</w:t>
      </w:r>
      <w:r w:rsidR="005B7A5C" w:rsidRPr="004676F5">
        <w:rPr>
          <w:lang w:val="de-DE"/>
        </w:rPr>
        <w:t>- </w:t>
      </w:r>
      <w:r w:rsidRPr="004676F5">
        <w:rPr>
          <w:lang w:val="de-DE"/>
        </w:rPr>
        <w:t>und Ausfuhrgeschäfte und erbrachte Leistungen, mit Vermerk von Betrag, Weise und Datum der betreffenden Einnahmen, und Sachentnahmen für außerbetriebliche Zwecke.</w:t>
      </w:r>
    </w:p>
    <w:p w14:paraId="2F6B132D" w14:textId="77777777" w:rsidR="00F6427E" w:rsidRPr="004676F5" w:rsidRDefault="00F6427E" w:rsidP="00F6427E">
      <w:pPr>
        <w:jc w:val="both"/>
        <w:rPr>
          <w:lang w:val="de-DE"/>
        </w:rPr>
      </w:pPr>
    </w:p>
    <w:p w14:paraId="39CB63EA" w14:textId="77777777" w:rsidR="00F6427E" w:rsidRPr="004676F5" w:rsidRDefault="00F6427E" w:rsidP="00F6427E">
      <w:pPr>
        <w:jc w:val="both"/>
        <w:rPr>
          <w:lang w:val="de-DE"/>
        </w:rPr>
      </w:pPr>
      <w:r w:rsidRPr="004676F5">
        <w:rPr>
          <w:lang w:val="de-DE"/>
        </w:rPr>
        <w:tab/>
        <w:t>In Absatz 1 Nr. 1 und 3 erwähnte Entnahmen für außerbetriebliche Zwecke können täglich als Gesamtbetrag eingetragen werden.</w:t>
      </w:r>
    </w:p>
    <w:p w14:paraId="4AC4D52F" w14:textId="77777777" w:rsidR="00F6427E" w:rsidRPr="004676F5" w:rsidRDefault="00F6427E" w:rsidP="00F6427E">
      <w:pPr>
        <w:rPr>
          <w:lang w:val="de-DE"/>
        </w:rPr>
      </w:pPr>
    </w:p>
    <w:p w14:paraId="7C33495B" w14:textId="77777777" w:rsidR="00F6427E" w:rsidRPr="004676F5" w:rsidRDefault="00F6427E" w:rsidP="00F6427E">
      <w:pPr>
        <w:jc w:val="both"/>
        <w:rPr>
          <w:lang w:val="de-DE"/>
        </w:rPr>
      </w:pPr>
      <w:r w:rsidRPr="004676F5">
        <w:rPr>
          <w:lang w:val="de-DE"/>
        </w:rPr>
        <w:tab/>
        <w:t>Betrag, Weise und Datum der Zahlungen und Einnahmen brauchen nicht in die in Absatz 1 Nr. 2 und 3 erwähnten Journale eingetragen zu werden, wenn diese Angaben auf den von Lieferanten erhaltenen Einkaufsrechnungen, auf dem Duplikat der an die Kunden gerichteten Verkaufsrechnungen oder auf den in Form von Lieferantenkonten oder Kundenkonten geführten vollständigen Aufstellungen vorkommen.</w:t>
      </w:r>
    </w:p>
    <w:p w14:paraId="56922DBB" w14:textId="23BDEF7B" w:rsidR="00F6427E" w:rsidRPr="004676F5" w:rsidRDefault="00F6427E" w:rsidP="00F6427E">
      <w:pPr>
        <w:jc w:val="both"/>
        <w:rPr>
          <w:lang w:val="de-DE"/>
        </w:rPr>
      </w:pPr>
    </w:p>
    <w:p w14:paraId="7F938F45" w14:textId="3164ABC6" w:rsidR="00A03CB1" w:rsidRPr="004676F5" w:rsidRDefault="00A03CB1" w:rsidP="00A03CB1">
      <w:pPr>
        <w:ind w:firstLine="708"/>
        <w:jc w:val="both"/>
        <w:rPr>
          <w:lang w:val="de-DE"/>
        </w:rPr>
      </w:pPr>
      <w:r w:rsidRPr="004676F5">
        <w:rPr>
          <w:lang w:val="de-DE"/>
        </w:rPr>
        <w:t>[§ 2 </w:t>
      </w:r>
      <w:r w:rsidR="005B7A5C" w:rsidRPr="004676F5">
        <w:rPr>
          <w:lang w:val="de-DE"/>
        </w:rPr>
        <w:t>- </w:t>
      </w:r>
      <w:r w:rsidR="009A7CE0" w:rsidRPr="004676F5">
        <w:rPr>
          <w:lang w:val="de-DE"/>
        </w:rPr>
        <w:t>[</w:t>
      </w:r>
      <w:r w:rsidR="00395FF2" w:rsidRPr="004676F5">
        <w:rPr>
          <w:spacing w:val="-2"/>
          <w:lang w:val="de-DE"/>
        </w:rPr>
        <w:t>Vereinigungen ohne Gewinnerzielungsabsicht, Stiftungen und internationale Vereinigungen ohne Gewinnerzielungsabsicht, die nicht mehr als eines der Kriterien überschreiten, die in § 2 von Artikel 3:47 beziehungsweise 3:51 des Gesetzbuches der Gesellschaften und Vereinigungen erwähnt sind, brauchen keine Buchhaltung gemäß den Vorschriften der Artikel III.83 und III.84 zu führen, wenn die Geschäfte, die sich in Bargeld- oder Kontenbewegungen niederschlagen, unverzüglich, getreu, vollständig und chronologisch in ein einfaches Geschäftsbuch gemäß dem vom König bestimmten Muster eingetragen werden.</w:t>
      </w:r>
      <w:r w:rsidR="009A7CE0" w:rsidRPr="004676F5">
        <w:rPr>
          <w:lang w:val="de-DE"/>
        </w:rPr>
        <w:t>]</w:t>
      </w:r>
      <w:r w:rsidR="00395FF2" w:rsidRPr="004676F5">
        <w:rPr>
          <w:lang w:val="de-DE"/>
        </w:rPr>
        <w:t>]</w:t>
      </w:r>
    </w:p>
    <w:p w14:paraId="5AEC5774" w14:textId="77777777" w:rsidR="00A03CB1" w:rsidRPr="004676F5" w:rsidRDefault="00A03CB1" w:rsidP="00A03CB1">
      <w:pPr>
        <w:ind w:firstLine="708"/>
        <w:jc w:val="both"/>
        <w:rPr>
          <w:lang w:val="de-DE"/>
        </w:rPr>
      </w:pPr>
    </w:p>
    <w:p w14:paraId="4898F72F" w14:textId="64EEDFA1" w:rsidR="00A03CB1" w:rsidRPr="004676F5" w:rsidRDefault="00A03CB1" w:rsidP="00A03CB1">
      <w:pPr>
        <w:jc w:val="both"/>
        <w:rPr>
          <w:lang w:val="de-DE"/>
        </w:rPr>
      </w:pPr>
      <w:r w:rsidRPr="004676F5">
        <w:rPr>
          <w:lang w:val="de-DE"/>
        </w:rPr>
        <w:tab/>
      </w:r>
      <w:r w:rsidR="009A7CE0" w:rsidRPr="004676F5">
        <w:rPr>
          <w:lang w:val="de-DE"/>
        </w:rPr>
        <w:t>[</w:t>
      </w:r>
      <w:r w:rsidRPr="004676F5">
        <w:rPr>
          <w:lang w:val="de-DE"/>
        </w:rPr>
        <w:t>§ 3 </w:t>
      </w:r>
      <w:r w:rsidR="005B7A5C" w:rsidRPr="004676F5">
        <w:rPr>
          <w:lang w:val="de-DE"/>
        </w:rPr>
        <w:t>- </w:t>
      </w:r>
      <w:r w:rsidRPr="004676F5">
        <w:rPr>
          <w:lang w:val="de-DE"/>
        </w:rPr>
        <w:t xml:space="preserve">Paragraph 2 ist entsprechend anwendbar auf </w:t>
      </w:r>
      <w:r w:rsidR="00E44C74" w:rsidRPr="004676F5">
        <w:rPr>
          <w:lang w:val="de-DE"/>
        </w:rPr>
        <w:t>[</w:t>
      </w:r>
      <w:r w:rsidR="00E44C74" w:rsidRPr="004676F5">
        <w:rPr>
          <w:rFonts w:eastAsia="Calibri"/>
          <w:szCs w:val="22"/>
          <w:lang w:val="de-DE" w:eastAsia="en-US"/>
        </w:rPr>
        <w:t>ausländische Vereinigungen ohne Gewinnerzielungsabsicht und Stiftungen, was ihre belgische Zweigniederlassung betrifft</w:t>
      </w:r>
      <w:r w:rsidR="00E44C74" w:rsidRPr="004676F5">
        <w:rPr>
          <w:lang w:val="de-DE"/>
        </w:rPr>
        <w:t>]</w:t>
      </w:r>
      <w:r w:rsidRPr="004676F5">
        <w:rPr>
          <w:lang w:val="de-DE"/>
        </w:rPr>
        <w:t>.]</w:t>
      </w:r>
    </w:p>
    <w:p w14:paraId="40F13A92" w14:textId="46F80DFE" w:rsidR="006C4762" w:rsidRPr="004676F5" w:rsidRDefault="006C4762" w:rsidP="00F6427E">
      <w:pPr>
        <w:jc w:val="both"/>
        <w:rPr>
          <w:lang w:val="de-DE"/>
        </w:rPr>
      </w:pPr>
    </w:p>
    <w:p w14:paraId="353D976D" w14:textId="2C60BACB" w:rsidR="00A03CB1" w:rsidRPr="004676F5" w:rsidRDefault="00A03CB1" w:rsidP="00F6427E">
      <w:pPr>
        <w:jc w:val="both"/>
        <w:rPr>
          <w:i/>
          <w:iCs/>
          <w:lang w:val="de-DE"/>
        </w:rPr>
      </w:pPr>
      <w:r w:rsidRPr="004676F5">
        <w:rPr>
          <w:i/>
          <w:lang w:val="de-DE"/>
        </w:rPr>
        <w:t>[Art. III.85 § 1 (frühere Absätze 1 bis 3) nummeriert durch Art. 82 Nr. 1</w:t>
      </w:r>
      <w:r w:rsidRPr="004676F5">
        <w:rPr>
          <w:i/>
          <w:iCs/>
          <w:lang w:val="de-DE"/>
        </w:rPr>
        <w:t xml:space="preserve"> des G. vom 15. April 2018 (B.S. vom 27. April 2018); § 1 Abs. 1 einleitende Bestimmung abgeändert durch Art. 82 Nr. 1 des G. vom 15. April 2018 (B.S. vom 27. April 2018)</w:t>
      </w:r>
      <w:r w:rsidR="00F64195" w:rsidRPr="004676F5">
        <w:rPr>
          <w:i/>
          <w:iCs/>
          <w:lang w:val="de-DE"/>
        </w:rPr>
        <w:t>,</w:t>
      </w:r>
      <w:r w:rsidR="00E44C74" w:rsidRPr="004676F5">
        <w:rPr>
          <w:i/>
          <w:iCs/>
          <w:lang w:val="de-DE"/>
        </w:rPr>
        <w:t xml:space="preserve"> Art. 233 Nr. 1 des G. vom 28. April 2020 (B.S. vom 6. Mai 2020)</w:t>
      </w:r>
      <w:r w:rsidR="00F64195" w:rsidRPr="004676F5">
        <w:rPr>
          <w:i/>
          <w:iCs/>
          <w:lang w:val="de-DE"/>
        </w:rPr>
        <w:t xml:space="preserve"> und Art. 31 Abs. 2 des G. vom 23. März 2019 (B.S. vom 4. April 2019)</w:t>
      </w:r>
      <w:r w:rsidRPr="004676F5">
        <w:rPr>
          <w:i/>
          <w:iCs/>
          <w:lang w:val="de-DE"/>
        </w:rPr>
        <w:t>; § 2 eingefügt durch Art. 82 Nr. 2 des G. vom 15. April 2018 (B.S. vom 27. April 2018)</w:t>
      </w:r>
      <w:r w:rsidR="00E44C74" w:rsidRPr="004676F5">
        <w:rPr>
          <w:i/>
          <w:lang w:val="de-DE"/>
        </w:rPr>
        <w:t xml:space="preserve"> und </w:t>
      </w:r>
      <w:r w:rsidR="00395FF2" w:rsidRPr="004676F5">
        <w:rPr>
          <w:i/>
          <w:lang w:val="de-DE"/>
        </w:rPr>
        <w:t>ersetzt durch Art. 29</w:t>
      </w:r>
      <w:r w:rsidR="00395FF2" w:rsidRPr="004676F5">
        <w:rPr>
          <w:i/>
          <w:iCs/>
          <w:lang w:val="de-DE"/>
        </w:rPr>
        <w:t xml:space="preserve"> des G. vom 23. März 2019 (B.S. vom 4. April 2019)</w:t>
      </w:r>
      <w:r w:rsidR="009A7CE0" w:rsidRPr="004676F5">
        <w:rPr>
          <w:i/>
          <w:lang w:val="de-DE"/>
        </w:rPr>
        <w:t xml:space="preserve">; </w:t>
      </w:r>
      <w:r w:rsidR="009A7CE0" w:rsidRPr="004676F5">
        <w:rPr>
          <w:i/>
          <w:iCs/>
          <w:lang w:val="de-DE"/>
        </w:rPr>
        <w:t>§ 3 eingefügt durch Art. 82 Nr. 2 des G. vom 15. April 2018 (B.S. vom 27. April 2018)</w:t>
      </w:r>
      <w:r w:rsidR="00E44C74" w:rsidRPr="004676F5">
        <w:rPr>
          <w:i/>
          <w:iCs/>
          <w:lang w:val="de-DE"/>
        </w:rPr>
        <w:t xml:space="preserve"> und abgeändert durch Art. 233 Nr. 3 des G. vom 28. April 2020 (B.S. vom 6. Mai 2020)</w:t>
      </w:r>
      <w:r w:rsidRPr="004676F5">
        <w:rPr>
          <w:i/>
          <w:iCs/>
          <w:lang w:val="de-DE"/>
        </w:rPr>
        <w:t>]</w:t>
      </w:r>
    </w:p>
    <w:p w14:paraId="04695E47" w14:textId="59526EBB" w:rsidR="00A03CB1" w:rsidRPr="004676F5" w:rsidRDefault="00A03CB1" w:rsidP="00F6427E">
      <w:pPr>
        <w:jc w:val="both"/>
        <w:rPr>
          <w:i/>
          <w:iCs/>
          <w:lang w:val="de-DE"/>
        </w:rPr>
      </w:pPr>
    </w:p>
    <w:p w14:paraId="4A6EEAD4" w14:textId="77777777" w:rsidR="00A03CB1" w:rsidRPr="004676F5" w:rsidRDefault="00A03CB1" w:rsidP="00F6427E">
      <w:pPr>
        <w:jc w:val="both"/>
        <w:rPr>
          <w:i/>
          <w:lang w:val="de-DE"/>
        </w:rPr>
      </w:pPr>
    </w:p>
    <w:p w14:paraId="0160D280" w14:textId="0F26078A"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III.86</w:t>
      </w:r>
      <w:r w:rsidRPr="004676F5">
        <w:rPr>
          <w:lang w:val="de-DE"/>
        </w:rPr>
        <w:t> </w:t>
      </w:r>
      <w:r w:rsidR="005B7A5C" w:rsidRPr="004676F5">
        <w:rPr>
          <w:lang w:val="de-DE"/>
        </w:rPr>
        <w:t>- </w:t>
      </w:r>
      <w:r w:rsidRPr="004676F5">
        <w:rPr>
          <w:lang w:val="de-DE"/>
        </w:rPr>
        <w:t>Jede Buchung beruht auf einem datierten Beleg, mit Verweis darauf.</w:t>
      </w:r>
    </w:p>
    <w:p w14:paraId="7A783BB5" w14:textId="77777777" w:rsidR="00F6427E" w:rsidRPr="004676F5" w:rsidRDefault="00F6427E" w:rsidP="00F6427E">
      <w:pPr>
        <w:jc w:val="both"/>
        <w:rPr>
          <w:lang w:val="de-DE"/>
        </w:rPr>
      </w:pPr>
    </w:p>
    <w:p w14:paraId="71978C55" w14:textId="77777777" w:rsidR="00F6427E" w:rsidRPr="004676F5" w:rsidRDefault="00F6427E" w:rsidP="00F6427E">
      <w:pPr>
        <w:jc w:val="both"/>
        <w:rPr>
          <w:lang w:val="de-DE"/>
        </w:rPr>
      </w:pPr>
      <w:r w:rsidRPr="004676F5">
        <w:rPr>
          <w:lang w:val="de-DE"/>
        </w:rPr>
        <w:tab/>
        <w:t>Einzelhandelsverkäufe und -leistungen, für die keine Rechnung ausgestellt werden muss, können täglich als Gesamtbetrag eingetragen werden.</w:t>
      </w:r>
    </w:p>
    <w:p w14:paraId="5DEF8EBD" w14:textId="77777777" w:rsidR="00F6427E" w:rsidRPr="004676F5" w:rsidRDefault="00F6427E" w:rsidP="00F6427E">
      <w:pPr>
        <w:jc w:val="both"/>
        <w:rPr>
          <w:lang w:val="de-DE"/>
        </w:rPr>
      </w:pPr>
    </w:p>
    <w:p w14:paraId="4A43DE39" w14:textId="77777777" w:rsidR="00F6427E" w:rsidRPr="004676F5" w:rsidRDefault="00F6427E" w:rsidP="00F6427E">
      <w:pPr>
        <w:jc w:val="both"/>
        <w:rPr>
          <w:lang w:val="de-DE"/>
        </w:rPr>
      </w:pPr>
      <w:r w:rsidRPr="004676F5">
        <w:rPr>
          <w:lang w:val="de-DE"/>
        </w:rPr>
        <w:tab/>
        <w:t>Der König legt die Bedingungen fest, die Belege für die in Absatz 2 erwähnten täglichen Gesamteintragungen erfüllen müssen.</w:t>
      </w:r>
    </w:p>
    <w:p w14:paraId="28B10A53" w14:textId="77777777" w:rsidR="00F6427E" w:rsidRPr="004676F5" w:rsidRDefault="00F6427E" w:rsidP="00F6427E">
      <w:pPr>
        <w:jc w:val="both"/>
        <w:rPr>
          <w:lang w:val="de-DE"/>
        </w:rPr>
      </w:pPr>
    </w:p>
    <w:p w14:paraId="2AE5CEEC" w14:textId="77777777" w:rsidR="00F6427E" w:rsidRPr="004676F5" w:rsidRDefault="00F6427E" w:rsidP="00F6427E">
      <w:pPr>
        <w:jc w:val="both"/>
        <w:rPr>
          <w:lang w:val="de-DE"/>
        </w:rPr>
      </w:pPr>
      <w:r w:rsidRPr="004676F5">
        <w:rPr>
          <w:lang w:val="de-DE"/>
        </w:rPr>
        <w:tab/>
        <w:t>Originalbelege oder Abschriften davon müssen methodisch eingeordnet und sieben Jahre aufbewahrt werden. Für Belege, die Dritten gegenüber nicht als Beweis dienen sollen, wird diese Frist auf drei Jahre verkürzt.</w:t>
      </w:r>
    </w:p>
    <w:p w14:paraId="4D3FF320" w14:textId="77777777" w:rsidR="00F6427E" w:rsidRPr="004676F5" w:rsidRDefault="00F6427E" w:rsidP="00F6427E">
      <w:pPr>
        <w:jc w:val="both"/>
        <w:rPr>
          <w:lang w:val="de-DE"/>
        </w:rPr>
      </w:pPr>
    </w:p>
    <w:p w14:paraId="295EDFBA" w14:textId="77777777" w:rsidR="006C4762" w:rsidRPr="004676F5" w:rsidRDefault="006C4762" w:rsidP="00F6427E">
      <w:pPr>
        <w:jc w:val="both"/>
        <w:rPr>
          <w:lang w:val="de-DE"/>
        </w:rPr>
      </w:pPr>
    </w:p>
    <w:p w14:paraId="37B9B8E3" w14:textId="3C249DDE" w:rsidR="00F6427E" w:rsidRPr="004676F5" w:rsidRDefault="00F6427E" w:rsidP="00F6427E">
      <w:pPr>
        <w:jc w:val="both"/>
        <w:rPr>
          <w:lang w:val="de-DE"/>
        </w:rPr>
      </w:pPr>
      <w:r w:rsidRPr="004676F5">
        <w:rPr>
          <w:lang w:val="de-DE"/>
        </w:rPr>
        <w:lastRenderedPageBreak/>
        <w:tab/>
      </w:r>
      <w:r w:rsidR="00BE0A56" w:rsidRPr="004676F5">
        <w:rPr>
          <w:b/>
          <w:lang w:val="de-DE"/>
        </w:rPr>
        <w:t>Art. </w:t>
      </w:r>
      <w:r w:rsidRPr="004676F5">
        <w:rPr>
          <w:b/>
          <w:lang w:val="de-DE"/>
        </w:rPr>
        <w:t>III.87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Bücher und Journale werden Blatt für Blatt fortlaufend nummeriert; sie bilden jedes in seiner Funktion eine fortlaufende Serie; sie werden durch die genaue Angabe dieser Funktion, ihren Platz in dieser Serie und den Namen, Gesellschaftsnamen oder besonderen Namen des Unternehmens gekennzeichnet.</w:t>
      </w:r>
    </w:p>
    <w:p w14:paraId="6AF6BFE4" w14:textId="77777777" w:rsidR="00F6427E" w:rsidRPr="004676F5" w:rsidRDefault="00F6427E" w:rsidP="00F6427E">
      <w:pPr>
        <w:jc w:val="both"/>
        <w:rPr>
          <w:lang w:val="de-DE"/>
        </w:rPr>
      </w:pPr>
    </w:p>
    <w:p w14:paraId="172C8F75" w14:textId="3565FA58"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Bücher und Journale werden derart geführt, dass ihre materielle Kontinuität und Ordnungsmäßigkeit und Unumkehrbarkeit der Buchungen gewährleistet werden.</w:t>
      </w:r>
    </w:p>
    <w:p w14:paraId="23883846" w14:textId="77777777" w:rsidR="00F6427E" w:rsidRPr="004676F5" w:rsidRDefault="00F6427E" w:rsidP="00F6427E">
      <w:pPr>
        <w:jc w:val="both"/>
        <w:rPr>
          <w:lang w:val="de-DE"/>
        </w:rPr>
      </w:pPr>
    </w:p>
    <w:p w14:paraId="3BE394D2" w14:textId="4E820D39" w:rsidR="00F6427E" w:rsidRPr="004676F5" w:rsidRDefault="00F6427E" w:rsidP="00F6427E">
      <w:pPr>
        <w:jc w:val="both"/>
        <w:rPr>
          <w:lang w:val="de-DE"/>
        </w:rPr>
      </w:pPr>
      <w:r w:rsidRPr="004676F5">
        <w:rPr>
          <w:lang w:val="de-DE"/>
        </w:rPr>
        <w:tab/>
        <w:t xml:space="preserve">Der König legt die Regeln zur Führung und Aufbewahrung dieser Bücher und Journale fest. Er kann die in Artikel III.84 </w:t>
      </w:r>
      <w:r w:rsidR="00A03CB1" w:rsidRPr="004676F5">
        <w:rPr>
          <w:lang w:val="de-DE"/>
        </w:rPr>
        <w:t>[</w:t>
      </w:r>
      <w:r w:rsidRPr="004676F5">
        <w:rPr>
          <w:lang w:val="de-DE"/>
        </w:rPr>
        <w:t>Absatz </w:t>
      </w:r>
      <w:r w:rsidR="00A03CB1" w:rsidRPr="004676F5">
        <w:rPr>
          <w:lang w:val="de-DE"/>
        </w:rPr>
        <w:t>4</w:t>
      </w:r>
      <w:r w:rsidRPr="004676F5">
        <w:rPr>
          <w:lang w:val="de-DE"/>
        </w:rPr>
        <w:t xml:space="preserve"> und </w:t>
      </w:r>
      <w:r w:rsidR="00A03CB1" w:rsidRPr="004676F5">
        <w:rPr>
          <w:lang w:val="de-DE"/>
        </w:rPr>
        <w:t>5]</w:t>
      </w:r>
      <w:r w:rsidRPr="004676F5">
        <w:rPr>
          <w:lang w:val="de-DE"/>
        </w:rPr>
        <w:t xml:space="preserve"> vorgesehene Vorgehensweise durch eine andere Vorgehensweise, die die materielle Kontinuität der Bücher und Journale und Ordnungsmäßigkeit und Unumkehrbarkeit der Buchungen gewährleistet, ersetzen oder unter Bedingungen, die Er bestimmt, erlauben, dass sie durch eine andere ersetzt wird.</w:t>
      </w:r>
    </w:p>
    <w:p w14:paraId="24D10964" w14:textId="52EEE63C" w:rsidR="00F6427E" w:rsidRPr="004676F5" w:rsidRDefault="00F6427E" w:rsidP="00F6427E">
      <w:pPr>
        <w:jc w:val="both"/>
        <w:rPr>
          <w:lang w:val="de-DE"/>
        </w:rPr>
      </w:pPr>
    </w:p>
    <w:p w14:paraId="32036BA2" w14:textId="4743BB76" w:rsidR="00A03CB1" w:rsidRPr="004676F5" w:rsidRDefault="00A03CB1" w:rsidP="00F6427E">
      <w:pPr>
        <w:jc w:val="both"/>
        <w:rPr>
          <w:i/>
          <w:iCs/>
          <w:lang w:val="de-DE"/>
        </w:rPr>
      </w:pPr>
      <w:r w:rsidRPr="004676F5">
        <w:rPr>
          <w:i/>
          <w:lang w:val="de-DE"/>
        </w:rPr>
        <w:t>[Art. </w:t>
      </w:r>
      <w:r w:rsidR="00825F82">
        <w:rPr>
          <w:i/>
          <w:lang w:val="de-DE"/>
        </w:rPr>
        <w:t>III.8</w:t>
      </w:r>
      <w:r w:rsidRPr="004676F5">
        <w:rPr>
          <w:i/>
          <w:lang w:val="de-DE"/>
        </w:rPr>
        <w:t>7 § 2 Abs. 2 abgeändert durch Art. 83</w:t>
      </w:r>
      <w:r w:rsidRPr="004676F5">
        <w:rPr>
          <w:i/>
          <w:iCs/>
          <w:lang w:val="de-DE"/>
        </w:rPr>
        <w:t xml:space="preserve"> des G. vom 15. April 2018 (B.S. vom 27. April 2018)]</w:t>
      </w:r>
    </w:p>
    <w:p w14:paraId="0E8ADA59" w14:textId="77777777" w:rsidR="00A03CB1" w:rsidRPr="004676F5" w:rsidRDefault="00A03CB1" w:rsidP="00F6427E">
      <w:pPr>
        <w:jc w:val="both"/>
        <w:rPr>
          <w:i/>
          <w:lang w:val="de-DE"/>
        </w:rPr>
      </w:pPr>
    </w:p>
    <w:p w14:paraId="026217A6" w14:textId="77777777" w:rsidR="006C4762" w:rsidRPr="004676F5" w:rsidRDefault="006C4762" w:rsidP="00F6427E">
      <w:pPr>
        <w:jc w:val="both"/>
        <w:rPr>
          <w:lang w:val="de-DE"/>
        </w:rPr>
      </w:pPr>
    </w:p>
    <w:p w14:paraId="0831F860" w14:textId="0E2A1F68"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III.88</w:t>
      </w:r>
      <w:r w:rsidRPr="004676F5">
        <w:rPr>
          <w:lang w:val="de-DE"/>
        </w:rPr>
        <w:t> </w:t>
      </w:r>
      <w:r w:rsidR="005B7A5C" w:rsidRPr="004676F5">
        <w:rPr>
          <w:lang w:val="de-DE"/>
        </w:rPr>
        <w:t>- </w:t>
      </w:r>
      <w:r w:rsidRPr="004676F5">
        <w:rPr>
          <w:lang w:val="de-DE"/>
        </w:rPr>
        <w:t>Bücher werden chronologisch, ohne Leerräume oder Auslassungen geführt. Bei Berichtigung müssen ursprüngliche Buchungen lesbar bleiben.</w:t>
      </w:r>
    </w:p>
    <w:p w14:paraId="00122FC8" w14:textId="77777777" w:rsidR="00F6427E" w:rsidRPr="004676F5" w:rsidRDefault="00F6427E" w:rsidP="00F6427E">
      <w:pPr>
        <w:jc w:val="both"/>
        <w:rPr>
          <w:lang w:val="de-DE"/>
        </w:rPr>
      </w:pPr>
    </w:p>
    <w:p w14:paraId="54BFB8E7" w14:textId="202E29EB" w:rsidR="00F6427E" w:rsidRPr="004676F5" w:rsidRDefault="00F6427E" w:rsidP="00F6427E">
      <w:pPr>
        <w:jc w:val="both"/>
        <w:rPr>
          <w:lang w:val="de-DE"/>
        </w:rPr>
      </w:pPr>
      <w:r w:rsidRPr="004676F5">
        <w:rPr>
          <w:lang w:val="de-DE"/>
        </w:rPr>
        <w:tab/>
      </w:r>
      <w:r w:rsidR="00A03CB1" w:rsidRPr="004676F5">
        <w:rPr>
          <w:lang w:val="de-DE"/>
        </w:rPr>
        <w:t xml:space="preserve">[Buchführungspflichtige </w:t>
      </w:r>
      <w:r w:rsidRPr="004676F5">
        <w:rPr>
          <w:lang w:val="de-DE"/>
        </w:rPr>
        <w:t>Unternehmen</w:t>
      </w:r>
      <w:r w:rsidR="00A03CB1" w:rsidRPr="004676F5">
        <w:rPr>
          <w:lang w:val="de-DE"/>
        </w:rPr>
        <w:t>]</w:t>
      </w:r>
      <w:r w:rsidRPr="004676F5">
        <w:rPr>
          <w:lang w:val="de-DE"/>
        </w:rPr>
        <w:t xml:space="preserve"> müssen ihre Bücher sieben Jahre ab dem 1. Januar des Jahres nach ihrem Abschluss aufbewahren.</w:t>
      </w:r>
    </w:p>
    <w:p w14:paraId="5A255BC6" w14:textId="210BD99A" w:rsidR="00F6427E" w:rsidRPr="004676F5" w:rsidRDefault="00F6427E" w:rsidP="00F6427E">
      <w:pPr>
        <w:jc w:val="both"/>
        <w:rPr>
          <w:lang w:val="de-DE"/>
        </w:rPr>
      </w:pPr>
    </w:p>
    <w:p w14:paraId="5EA7B31F" w14:textId="36B8CD6D" w:rsidR="00A03CB1" w:rsidRPr="004676F5" w:rsidRDefault="00A03CB1" w:rsidP="00F6427E">
      <w:pPr>
        <w:jc w:val="both"/>
        <w:rPr>
          <w:i/>
          <w:iCs/>
          <w:lang w:val="de-DE"/>
        </w:rPr>
      </w:pPr>
      <w:r w:rsidRPr="004676F5">
        <w:rPr>
          <w:i/>
          <w:lang w:val="de-DE"/>
        </w:rPr>
        <w:t>[Art. III.88 Abs. 2 abgeändert durch Art. 84</w:t>
      </w:r>
      <w:r w:rsidRPr="004676F5">
        <w:rPr>
          <w:i/>
          <w:iCs/>
          <w:lang w:val="de-DE"/>
        </w:rPr>
        <w:t xml:space="preserve"> des G. vom 15. April 2018 (B.S. vom 27. April 2018)]</w:t>
      </w:r>
    </w:p>
    <w:p w14:paraId="6AAD927B" w14:textId="77777777" w:rsidR="00A03CB1" w:rsidRPr="004676F5" w:rsidRDefault="00A03CB1" w:rsidP="00F6427E">
      <w:pPr>
        <w:jc w:val="both"/>
        <w:rPr>
          <w:i/>
          <w:lang w:val="de-DE"/>
        </w:rPr>
      </w:pPr>
    </w:p>
    <w:p w14:paraId="663EA40D" w14:textId="77777777" w:rsidR="006C4762" w:rsidRPr="004676F5" w:rsidRDefault="006C4762" w:rsidP="00F6427E">
      <w:pPr>
        <w:jc w:val="both"/>
        <w:rPr>
          <w:lang w:val="de-DE"/>
        </w:rPr>
      </w:pPr>
    </w:p>
    <w:p w14:paraId="0C2880DC" w14:textId="656B9475"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III.89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Jedes </w:t>
      </w:r>
      <w:r w:rsidR="00A03CB1" w:rsidRPr="004676F5">
        <w:rPr>
          <w:lang w:val="de-DE"/>
        </w:rPr>
        <w:t>[buchführungspflichtige Unternehmen]</w:t>
      </w:r>
      <w:r w:rsidRPr="004676F5">
        <w:rPr>
          <w:lang w:val="de-DE"/>
        </w:rPr>
        <w:t xml:space="preserve"> nimmt mindestens einmal jährlich in gutem Glauben und mit Vorsicht die Aufstellungen, Überprüfungen, Untersuchungen und Bewertungen vor, die notwendig sind, um zu dem von ihm gewählten Zeitpunkt ein vollständiges Inventar zu errichten über seine Vermögenswerte und Forderungen, seine Schulden, Verbindlichkeiten und Verpflichtungen aller Art, die mit seiner Tätigkeit in Zusammenhang stehen, sowie die dazu verwendeten eigenen Mittel. Schriftstücke im Inventar werden in ein Buch übertragen. Schriftstücke, deren Umfang die Übertragung erschwert, werden in dem Buch zusammengefasst und ihm beigefügt.</w:t>
      </w:r>
    </w:p>
    <w:p w14:paraId="08E42E40" w14:textId="77777777" w:rsidR="00F6427E" w:rsidRPr="004676F5" w:rsidRDefault="00F6427E" w:rsidP="00F6427E">
      <w:pPr>
        <w:jc w:val="both"/>
        <w:rPr>
          <w:lang w:val="de-DE"/>
        </w:rPr>
      </w:pPr>
    </w:p>
    <w:p w14:paraId="34CEF4D0" w14:textId="7610DA19"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 xml:space="preserve">Das Inventar ist in derselben Weise wie der Kontenplan </w:t>
      </w:r>
      <w:r w:rsidR="00A03CB1" w:rsidRPr="004676F5">
        <w:rPr>
          <w:lang w:val="de-DE"/>
        </w:rPr>
        <w:t>[</w:t>
      </w:r>
      <w:r w:rsidRPr="004676F5">
        <w:rPr>
          <w:lang w:val="de-DE"/>
        </w:rPr>
        <w:t xml:space="preserve">des </w:t>
      </w:r>
      <w:r w:rsidR="00A03CB1" w:rsidRPr="004676F5">
        <w:rPr>
          <w:lang w:val="de-DE"/>
        </w:rPr>
        <w:t xml:space="preserve">buchführungspflichtigen </w:t>
      </w:r>
      <w:r w:rsidRPr="004676F5">
        <w:rPr>
          <w:lang w:val="de-DE"/>
        </w:rPr>
        <w:t>Unternehmens</w:t>
      </w:r>
      <w:r w:rsidR="00A03CB1" w:rsidRPr="004676F5">
        <w:rPr>
          <w:lang w:val="de-DE"/>
        </w:rPr>
        <w:t>]</w:t>
      </w:r>
      <w:r w:rsidRPr="004676F5">
        <w:rPr>
          <w:lang w:val="de-DE"/>
        </w:rPr>
        <w:t xml:space="preserve"> aufgebaut.</w:t>
      </w:r>
    </w:p>
    <w:p w14:paraId="0292A5CF" w14:textId="77777777" w:rsidR="00F6427E" w:rsidRPr="004676F5" w:rsidRDefault="00F6427E" w:rsidP="00F6427E">
      <w:pPr>
        <w:rPr>
          <w:lang w:val="de-DE"/>
        </w:rPr>
      </w:pPr>
    </w:p>
    <w:p w14:paraId="4EEFAC4C" w14:textId="77777777" w:rsidR="00F6427E" w:rsidRPr="004676F5" w:rsidRDefault="00F6427E" w:rsidP="00F6427E">
      <w:pPr>
        <w:jc w:val="both"/>
        <w:rPr>
          <w:lang w:val="de-DE"/>
        </w:rPr>
      </w:pPr>
      <w:r w:rsidRPr="004676F5">
        <w:rPr>
          <w:lang w:val="de-DE"/>
        </w:rPr>
        <w:tab/>
        <w:t>Der König kann Maßstäbe für die Bewertung des Inventars festlegen.</w:t>
      </w:r>
    </w:p>
    <w:p w14:paraId="5BB1BEFE" w14:textId="77777777" w:rsidR="00F6427E" w:rsidRPr="004676F5" w:rsidRDefault="00F6427E" w:rsidP="00F6427E">
      <w:pPr>
        <w:jc w:val="both"/>
        <w:rPr>
          <w:lang w:val="de-DE"/>
        </w:rPr>
      </w:pPr>
    </w:p>
    <w:p w14:paraId="4CF90FE2" w14:textId="6B925DFA" w:rsidR="00F6427E" w:rsidRPr="004676F5" w:rsidRDefault="00F6427E" w:rsidP="00F6427E">
      <w:pPr>
        <w:jc w:val="both"/>
        <w:rPr>
          <w:lang w:val="de-DE"/>
        </w:rPr>
      </w:pPr>
      <w:r w:rsidRPr="004676F5">
        <w:rPr>
          <w:lang w:val="de-DE"/>
        </w:rPr>
        <w:tab/>
        <w:t xml:space="preserve">Vorliegender Paragraph ist nicht auf die in Artikel III.85 erwähnten </w:t>
      </w:r>
      <w:r w:rsidR="00A03CB1" w:rsidRPr="004676F5">
        <w:rPr>
          <w:lang w:val="de-DE"/>
        </w:rPr>
        <w:t xml:space="preserve">[buchführungspflichtigen </w:t>
      </w:r>
      <w:r w:rsidRPr="004676F5">
        <w:rPr>
          <w:lang w:val="de-DE"/>
        </w:rPr>
        <w:t>Unternehmen</w:t>
      </w:r>
      <w:r w:rsidR="00A03CB1" w:rsidRPr="004676F5">
        <w:rPr>
          <w:lang w:val="de-DE"/>
        </w:rPr>
        <w:t>]</w:t>
      </w:r>
      <w:r w:rsidRPr="004676F5">
        <w:rPr>
          <w:lang w:val="de-DE"/>
        </w:rPr>
        <w:t xml:space="preserve"> anwendbar.</w:t>
      </w:r>
    </w:p>
    <w:p w14:paraId="692C2D5D" w14:textId="5ED53834" w:rsidR="00A03CB1" w:rsidRPr="004676F5" w:rsidRDefault="00A03CB1" w:rsidP="00F6427E">
      <w:pPr>
        <w:jc w:val="both"/>
        <w:rPr>
          <w:lang w:val="de-DE"/>
        </w:rPr>
      </w:pPr>
    </w:p>
    <w:p w14:paraId="34DA008D" w14:textId="4B2C34DB" w:rsidR="00A03CB1" w:rsidRPr="004676F5" w:rsidRDefault="00A03CB1" w:rsidP="00F6427E">
      <w:pPr>
        <w:jc w:val="both"/>
        <w:rPr>
          <w:i/>
          <w:lang w:val="de-DE"/>
        </w:rPr>
      </w:pPr>
      <w:r w:rsidRPr="004676F5">
        <w:rPr>
          <w:i/>
          <w:lang w:val="de-DE"/>
        </w:rPr>
        <w:t>[Art. III.89 § 1 abgeändert durch Art. 85</w:t>
      </w:r>
      <w:r w:rsidRPr="004676F5">
        <w:rPr>
          <w:i/>
          <w:iCs/>
          <w:lang w:val="de-DE"/>
        </w:rPr>
        <w:t xml:space="preserve"> des G. vom 15. April 2018 (B.S. vom 27. April 2018); § 2 Abs. 1 und 3 abgeändert durch Art. 85 des G. vom 15. April 2018 (B.S. vom 27. April 2018)]</w:t>
      </w:r>
    </w:p>
    <w:p w14:paraId="09E32360" w14:textId="77777777" w:rsidR="00F6427E" w:rsidRPr="004676F5" w:rsidRDefault="00F6427E" w:rsidP="00F6427E">
      <w:pPr>
        <w:jc w:val="both"/>
        <w:rPr>
          <w:lang w:val="de-DE"/>
        </w:rPr>
      </w:pPr>
    </w:p>
    <w:p w14:paraId="69D0DE48" w14:textId="77777777" w:rsidR="006C4762" w:rsidRPr="004676F5" w:rsidRDefault="006C4762" w:rsidP="00F6427E">
      <w:pPr>
        <w:jc w:val="both"/>
        <w:rPr>
          <w:lang w:val="de-DE"/>
        </w:rPr>
      </w:pPr>
    </w:p>
    <w:p w14:paraId="0CEC6A25" w14:textId="2FF09181" w:rsidR="00F6427E" w:rsidRPr="004676F5" w:rsidRDefault="00F6427E" w:rsidP="00F6427E">
      <w:pPr>
        <w:jc w:val="both"/>
        <w:rPr>
          <w:lang w:val="de-DE"/>
        </w:rPr>
      </w:pPr>
      <w:r w:rsidRPr="004676F5">
        <w:rPr>
          <w:lang w:val="de-DE"/>
        </w:rPr>
        <w:lastRenderedPageBreak/>
        <w:tab/>
      </w:r>
      <w:r w:rsidR="00BE0A56" w:rsidRPr="004676F5">
        <w:rPr>
          <w:b/>
          <w:lang w:val="de-DE"/>
        </w:rPr>
        <w:t>Art. </w:t>
      </w:r>
      <w:r w:rsidRPr="004676F5">
        <w:rPr>
          <w:b/>
          <w:lang w:val="de-DE"/>
        </w:rPr>
        <w:t>III.90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Konten werden, nachdem sie mit den Angaben im Inventar in Übereinstimmung gebracht worden sind, zu einer beschreibenden Aufstellung zusammen</w:t>
      </w:r>
      <w:r w:rsidRPr="004676F5">
        <w:rPr>
          <w:lang w:val="de-DE"/>
        </w:rPr>
        <w:softHyphen/>
        <w:t>gefasst, die den Jahresabschluss bildet.</w:t>
      </w:r>
    </w:p>
    <w:p w14:paraId="64B0B5D3" w14:textId="77777777" w:rsidR="00F6427E" w:rsidRPr="004676F5" w:rsidRDefault="00F6427E" w:rsidP="00F6427E">
      <w:pPr>
        <w:jc w:val="both"/>
        <w:rPr>
          <w:lang w:val="de-DE"/>
        </w:rPr>
      </w:pPr>
    </w:p>
    <w:p w14:paraId="6A3C5C2E" w14:textId="2696485D" w:rsidR="00F6427E" w:rsidRPr="004676F5" w:rsidRDefault="00F6427E" w:rsidP="00F6427E">
      <w:pPr>
        <w:jc w:val="both"/>
        <w:rPr>
          <w:lang w:val="de-DE"/>
        </w:rPr>
      </w:pPr>
      <w:r w:rsidRPr="004676F5">
        <w:rPr>
          <w:lang w:val="de-DE"/>
        </w:rPr>
        <w:tab/>
        <w:t>§ 2 </w:t>
      </w:r>
      <w:r w:rsidR="005B7A5C" w:rsidRPr="004676F5">
        <w:rPr>
          <w:lang w:val="de-DE"/>
        </w:rPr>
        <w:t>- </w:t>
      </w:r>
      <w:r w:rsidR="00BE7695" w:rsidRPr="004676F5">
        <w:rPr>
          <w:lang w:val="de-DE"/>
        </w:rPr>
        <w:t xml:space="preserve">[Buchführungspflichtige </w:t>
      </w:r>
      <w:r w:rsidRPr="004676F5">
        <w:rPr>
          <w:lang w:val="de-DE"/>
        </w:rPr>
        <w:t>Unternehmen</w:t>
      </w:r>
      <w:r w:rsidR="00BE7695" w:rsidRPr="004676F5">
        <w:rPr>
          <w:lang w:val="de-DE"/>
        </w:rPr>
        <w:t>]</w:t>
      </w:r>
      <w:r w:rsidRPr="004676F5">
        <w:rPr>
          <w:lang w:val="de-DE"/>
        </w:rPr>
        <w:t>, die dem Gesellschaftsgesetzbuch und seinen Ausführungserlassen nicht unterliegen</w:t>
      </w:r>
      <w:r w:rsidR="00A568AA" w:rsidRPr="004676F5">
        <w:rPr>
          <w:lang w:val="de-DE"/>
        </w:rPr>
        <w:t xml:space="preserve"> [</w:t>
      </w:r>
      <w:r w:rsidR="00BE7695" w:rsidRPr="004676F5">
        <w:rPr>
          <w:lang w:val="de-DE" w:bidi="de-DE"/>
        </w:rPr>
        <w:t>...</w:t>
      </w:r>
      <w:r w:rsidR="00A568AA" w:rsidRPr="004676F5">
        <w:rPr>
          <w:lang w:val="de-DE"/>
        </w:rPr>
        <w:t>]</w:t>
      </w:r>
      <w:r w:rsidRPr="004676F5">
        <w:rPr>
          <w:lang w:val="de-DE"/>
        </w:rPr>
        <w:t>, sind dennoch verpflichtet, deren Bestimmungen einzuhalten, was Form, Inhalt, Kontrolle und Hinterlegung des Jahresabschlusses und des Lageberichts betrifft.</w:t>
      </w:r>
    </w:p>
    <w:p w14:paraId="28A94C92" w14:textId="77777777" w:rsidR="00F6427E" w:rsidRPr="004676F5" w:rsidRDefault="00F6427E" w:rsidP="00F6427E">
      <w:pPr>
        <w:jc w:val="both"/>
        <w:rPr>
          <w:lang w:val="de-DE"/>
        </w:rPr>
      </w:pPr>
    </w:p>
    <w:p w14:paraId="01EB3A2F" w14:textId="77777777" w:rsidR="00F6427E" w:rsidRPr="004676F5" w:rsidRDefault="00F6427E" w:rsidP="00F6427E">
      <w:pPr>
        <w:jc w:val="both"/>
        <w:rPr>
          <w:lang w:val="de-DE"/>
        </w:rPr>
      </w:pPr>
      <w:r w:rsidRPr="004676F5">
        <w:rPr>
          <w:lang w:val="de-DE"/>
        </w:rPr>
        <w:tab/>
        <w:t>Inhalt und Umfang ihrer Verpflichtungen werden auf Basis der Kriterien bezüglich des beschäftigten Personals, des Jahresumsatzes und der Bilanzsumme bestimmt, die für Unternehmen gelten, die dem Gesellschaftsgesetzbuch unterliegen.</w:t>
      </w:r>
    </w:p>
    <w:p w14:paraId="3823D8F1" w14:textId="77777777" w:rsidR="00F6427E" w:rsidRPr="004676F5" w:rsidRDefault="00F6427E" w:rsidP="00F6427E">
      <w:pPr>
        <w:jc w:val="both"/>
        <w:rPr>
          <w:lang w:val="de-DE"/>
        </w:rPr>
      </w:pPr>
    </w:p>
    <w:p w14:paraId="52467469" w14:textId="35261D03" w:rsidR="00F6427E" w:rsidRPr="004676F5" w:rsidRDefault="00F6427E" w:rsidP="00F6427E">
      <w:pPr>
        <w:jc w:val="both"/>
        <w:rPr>
          <w:lang w:val="de-DE"/>
        </w:rPr>
      </w:pPr>
      <w:r w:rsidRPr="004676F5">
        <w:rPr>
          <w:lang w:val="de-DE"/>
        </w:rPr>
        <w:tab/>
        <w:t xml:space="preserve">Der Jahresabschluss der </w:t>
      </w:r>
      <w:r w:rsidR="00BE7695" w:rsidRPr="004676F5">
        <w:rPr>
          <w:lang w:val="de-DE"/>
        </w:rPr>
        <w:t>[in Artikel III.82 § 1 Absatz 1 Nr. 4]</w:t>
      </w:r>
      <w:r w:rsidRPr="004676F5">
        <w:rPr>
          <w:lang w:val="de-DE"/>
        </w:rPr>
        <w:t xml:space="preserve"> erwähnten öffentlichen Einrichtungen wird binnen sieben Monaten ab dem Zeitpunkt des Abschlusses des Geschäftsjahres hinterlegt, selbst wenn das Verfahren zur Kontrolle und Billigung, dem der Jahresabschluss gegebenenfalls unterliegt, noch nicht abgeschlossen ist. In diesem Fall wird im hinterlegten Jahresabschluss ausdrücklich vermerkt, dass besagtes Verfahren noch nicht abgeschlossen ist.</w:t>
      </w:r>
    </w:p>
    <w:p w14:paraId="22E0E542" w14:textId="77777777" w:rsidR="009A7CE0" w:rsidRPr="004676F5" w:rsidRDefault="00F6427E" w:rsidP="00F6427E">
      <w:pPr>
        <w:jc w:val="both"/>
        <w:rPr>
          <w:lang w:val="de-DE"/>
        </w:rPr>
      </w:pPr>
      <w:r w:rsidRPr="004676F5">
        <w:rPr>
          <w:lang w:val="de-DE"/>
        </w:rPr>
        <w:tab/>
      </w:r>
    </w:p>
    <w:p w14:paraId="5EDB055C" w14:textId="17A130ED" w:rsidR="00F6427E" w:rsidRPr="004676F5" w:rsidRDefault="009A7CE0" w:rsidP="00F6427E">
      <w:pPr>
        <w:jc w:val="both"/>
        <w:rPr>
          <w:lang w:val="de-DE"/>
        </w:rPr>
      </w:pPr>
      <w:r w:rsidRPr="004676F5">
        <w:rPr>
          <w:lang w:val="de-DE"/>
        </w:rPr>
        <w:tab/>
      </w:r>
      <w:r w:rsidR="00F6427E" w:rsidRPr="004676F5">
        <w:rPr>
          <w:lang w:val="de-DE"/>
        </w:rPr>
        <w:t>Vorliegender Paragraph ist nicht anwendbar auf:</w:t>
      </w:r>
    </w:p>
    <w:p w14:paraId="136982A6" w14:textId="77777777" w:rsidR="00F6427E" w:rsidRPr="004676F5" w:rsidRDefault="00F6427E" w:rsidP="00F6427E">
      <w:pPr>
        <w:jc w:val="both"/>
        <w:rPr>
          <w:lang w:val="de-DE"/>
        </w:rPr>
      </w:pPr>
    </w:p>
    <w:p w14:paraId="51C5E72E" w14:textId="183DD7AA" w:rsidR="00F6427E" w:rsidRPr="004676F5" w:rsidRDefault="00F6427E" w:rsidP="00F6427E">
      <w:pPr>
        <w:jc w:val="both"/>
        <w:rPr>
          <w:lang w:val="de-DE"/>
        </w:rPr>
      </w:pPr>
      <w:r w:rsidRPr="004676F5">
        <w:rPr>
          <w:lang w:val="de-DE"/>
        </w:rPr>
        <w:tab/>
        <w:t>1. </w:t>
      </w:r>
      <w:r w:rsidR="00BE7695" w:rsidRPr="004676F5">
        <w:rPr>
          <w:lang w:val="de-DE"/>
        </w:rPr>
        <w:t>[in Artikel III.82 § 1 Absatz 1 Nr. 1 erwähnte Unternehmen, wie in Artikel III.85 § 1 erwähnt</w:t>
      </w:r>
      <w:r w:rsidRPr="004676F5">
        <w:rPr>
          <w:lang w:val="de-DE"/>
        </w:rPr>
        <w:t>,</w:t>
      </w:r>
      <w:r w:rsidR="00BE7695" w:rsidRPr="004676F5">
        <w:rPr>
          <w:lang w:val="de-DE"/>
        </w:rPr>
        <w:t>]</w:t>
      </w:r>
    </w:p>
    <w:p w14:paraId="3042B77D" w14:textId="77777777" w:rsidR="00F6427E" w:rsidRPr="004676F5" w:rsidRDefault="00F6427E" w:rsidP="00F6427E">
      <w:pPr>
        <w:jc w:val="both"/>
        <w:rPr>
          <w:lang w:val="de-DE"/>
        </w:rPr>
      </w:pPr>
    </w:p>
    <w:p w14:paraId="0A85FFD8" w14:textId="3750C6E8" w:rsidR="00F6427E" w:rsidRPr="004676F5" w:rsidRDefault="00F6427E" w:rsidP="00F6427E">
      <w:pPr>
        <w:jc w:val="both"/>
        <w:rPr>
          <w:lang w:val="de-DE"/>
        </w:rPr>
      </w:pPr>
      <w:r w:rsidRPr="004676F5">
        <w:rPr>
          <w:lang w:val="de-DE"/>
        </w:rPr>
        <w:tab/>
        <w:t>2. </w:t>
      </w:r>
      <w:r w:rsidR="00BE7695" w:rsidRPr="004676F5">
        <w:rPr>
          <w:lang w:val="de-DE"/>
        </w:rPr>
        <w:t>[in Artikel III.82 § 1 Absatz 1 Nr. 5]</w:t>
      </w:r>
      <w:r w:rsidRPr="004676F5">
        <w:rPr>
          <w:lang w:val="de-DE"/>
        </w:rPr>
        <w:t xml:space="preserve"> erwähnte Unternehmen, auf die vorliegendes Kapitel 2 nicht für anwendbar erklärt worden ist,</w:t>
      </w:r>
    </w:p>
    <w:p w14:paraId="51B4B53E" w14:textId="77777777" w:rsidR="00F6427E" w:rsidRPr="004676F5" w:rsidRDefault="00F6427E" w:rsidP="00F6427E">
      <w:pPr>
        <w:jc w:val="both"/>
        <w:rPr>
          <w:lang w:val="de-DE"/>
        </w:rPr>
      </w:pPr>
    </w:p>
    <w:p w14:paraId="1C99F912" w14:textId="77777777" w:rsidR="00F6427E" w:rsidRPr="004676F5" w:rsidRDefault="00F6427E" w:rsidP="00F6427E">
      <w:pPr>
        <w:jc w:val="both"/>
        <w:rPr>
          <w:lang w:val="de-DE"/>
        </w:rPr>
      </w:pPr>
      <w:r w:rsidRPr="004676F5">
        <w:rPr>
          <w:lang w:val="de-DE"/>
        </w:rPr>
        <w:tab/>
        <w:t>3. in Artikel III.95 § 1 erwähnte Unternehmen,</w:t>
      </w:r>
    </w:p>
    <w:p w14:paraId="59F4F071" w14:textId="77777777" w:rsidR="00F6427E" w:rsidRPr="004676F5" w:rsidRDefault="00F6427E" w:rsidP="00F6427E">
      <w:pPr>
        <w:jc w:val="both"/>
        <w:rPr>
          <w:lang w:val="de-DE"/>
        </w:rPr>
      </w:pPr>
    </w:p>
    <w:p w14:paraId="24B91524" w14:textId="61ABFD86" w:rsidR="00F6427E" w:rsidRPr="004676F5" w:rsidRDefault="00F6427E" w:rsidP="00F6427E">
      <w:pPr>
        <w:jc w:val="both"/>
        <w:rPr>
          <w:lang w:val="de-DE"/>
        </w:rPr>
      </w:pPr>
      <w:r w:rsidRPr="004676F5">
        <w:rPr>
          <w:lang w:val="de-DE"/>
        </w:rPr>
        <w:tab/>
        <w:t>4. Versicherungs</w:t>
      </w:r>
      <w:r w:rsidR="005B7A5C" w:rsidRPr="004676F5">
        <w:rPr>
          <w:lang w:val="de-DE"/>
        </w:rPr>
        <w:t>- </w:t>
      </w:r>
      <w:r w:rsidRPr="004676F5">
        <w:rPr>
          <w:lang w:val="de-DE"/>
        </w:rPr>
        <w:t>und Rückversicherungsunternehmen,</w:t>
      </w:r>
    </w:p>
    <w:p w14:paraId="6B6CC3BE" w14:textId="77777777" w:rsidR="00F6427E" w:rsidRPr="004676F5" w:rsidRDefault="00F6427E" w:rsidP="00F6427E">
      <w:pPr>
        <w:jc w:val="both"/>
        <w:rPr>
          <w:lang w:val="de-DE"/>
        </w:rPr>
      </w:pPr>
    </w:p>
    <w:p w14:paraId="469E3CAB" w14:textId="77777777" w:rsidR="00F6427E" w:rsidRPr="00CA6435" w:rsidRDefault="00F6427E" w:rsidP="00F6427E">
      <w:pPr>
        <w:jc w:val="both"/>
        <w:rPr>
          <w:spacing w:val="-6"/>
          <w:lang w:val="de-DE"/>
        </w:rPr>
      </w:pPr>
      <w:r w:rsidRPr="004676F5">
        <w:rPr>
          <w:lang w:val="de-DE"/>
        </w:rPr>
        <w:tab/>
      </w:r>
      <w:r w:rsidRPr="00CA6435">
        <w:rPr>
          <w:spacing w:val="-6"/>
          <w:lang w:val="de-DE"/>
        </w:rPr>
        <w:t>5. von ausländischen Unternehmen, die dem Gesellschaftsgesetzbuch nicht unterliegen, in Belgien errichtete Zweigniederlassungen und Geschäftsstellen, wenn diese Zweigniederlassungen und Geschäftsstellen keine eigenen Erträge erzielen aus dem Verkauf von Gütern oder der Erbringung von Dienstleistungen an Dritte oder aus der Lieferung von Gütern oder der Erbringung von Dienstleistungen an das ausländische Unternehmen, von dem sie abhängen, und ihre Betriebskosten vollständig von letztgenanntem Unternehmen getragen werden,</w:t>
      </w:r>
    </w:p>
    <w:p w14:paraId="3F8A54A5" w14:textId="77777777" w:rsidR="00F6427E" w:rsidRPr="004676F5" w:rsidRDefault="00F6427E" w:rsidP="00F6427E">
      <w:pPr>
        <w:jc w:val="both"/>
        <w:rPr>
          <w:lang w:val="de-DE"/>
        </w:rPr>
      </w:pPr>
    </w:p>
    <w:p w14:paraId="38DE26B1" w14:textId="18A31EE6" w:rsidR="00F6427E" w:rsidRPr="004676F5" w:rsidRDefault="00F6427E" w:rsidP="00F6427E">
      <w:pPr>
        <w:jc w:val="both"/>
        <w:rPr>
          <w:lang w:val="de-DE"/>
        </w:rPr>
      </w:pPr>
      <w:r w:rsidRPr="004676F5">
        <w:rPr>
          <w:lang w:val="de-DE"/>
        </w:rPr>
        <w:tab/>
        <w:t>6. </w:t>
      </w:r>
      <w:r w:rsidR="00BE7695" w:rsidRPr="004676F5">
        <w:rPr>
          <w:lang w:val="de-DE"/>
        </w:rPr>
        <w:t>[in Artikel III.82 § 1 Absatz 1 Nr. 1 erwähnte Unternehmen]</w:t>
      </w:r>
      <w:r w:rsidRPr="004676F5">
        <w:rPr>
          <w:lang w:val="de-DE"/>
        </w:rPr>
        <w:t>, was die Hinterlegung des Jahresabschlusse</w:t>
      </w:r>
      <w:r w:rsidR="00BE7695" w:rsidRPr="004676F5">
        <w:rPr>
          <w:lang w:val="de-DE"/>
        </w:rPr>
        <w:t>s und des Lageberichts betrifft,</w:t>
      </w:r>
    </w:p>
    <w:p w14:paraId="44E50EEF" w14:textId="227AB534" w:rsidR="00BE7695" w:rsidRPr="004676F5" w:rsidRDefault="00BE7695" w:rsidP="00F6427E">
      <w:pPr>
        <w:jc w:val="both"/>
        <w:rPr>
          <w:lang w:val="de-DE"/>
        </w:rPr>
      </w:pPr>
    </w:p>
    <w:p w14:paraId="58863F37" w14:textId="4218181E" w:rsidR="00BE7695" w:rsidRPr="004676F5" w:rsidRDefault="00BE7695" w:rsidP="00F6427E">
      <w:pPr>
        <w:jc w:val="both"/>
        <w:rPr>
          <w:lang w:val="de-DE"/>
        </w:rPr>
      </w:pPr>
      <w:r w:rsidRPr="004676F5">
        <w:rPr>
          <w:lang w:val="de-DE"/>
        </w:rPr>
        <w:tab/>
        <w:t>[7. Vereinigungen ohne Gewinnerzielungsabsicht, internationale Vereinigungen ohne Gewinnerzielungsabsicht und Stiftungen und Geschäftsstellen ausländischer Vereinigungen ohne Gewinnerzielungsabsicht und Stiftungen, die in den Artikeln 26</w:t>
      </w:r>
      <w:r w:rsidRPr="004676F5">
        <w:rPr>
          <w:i/>
          <w:iCs/>
          <w:lang w:val="de-DE"/>
        </w:rPr>
        <w:t>octies</w:t>
      </w:r>
      <w:r w:rsidRPr="004676F5">
        <w:rPr>
          <w:lang w:val="de-DE"/>
        </w:rPr>
        <w:t xml:space="preserve"> § 1 und 45 des Gesetzes vom 27. Juni 1921 über die Vereinigungen ohne Gewinnerzielungsabsicht, die Stiftungen, die europäischen politischen Parteien und die europäischen politischen Stiftungen erwähnt sind.]</w:t>
      </w:r>
    </w:p>
    <w:p w14:paraId="3D7F2B98" w14:textId="77777777" w:rsidR="00A568AA" w:rsidRPr="004676F5" w:rsidRDefault="00A568AA" w:rsidP="00F6427E">
      <w:pPr>
        <w:jc w:val="both"/>
        <w:rPr>
          <w:lang w:val="de-DE"/>
        </w:rPr>
      </w:pPr>
    </w:p>
    <w:p w14:paraId="52B83125" w14:textId="7B8B0E86" w:rsidR="00A568AA" w:rsidRPr="004676F5" w:rsidRDefault="00A568AA" w:rsidP="00F6427E">
      <w:pPr>
        <w:jc w:val="both"/>
        <w:rPr>
          <w:i/>
          <w:lang w:val="de-DE"/>
        </w:rPr>
      </w:pPr>
      <w:r w:rsidRPr="004676F5">
        <w:rPr>
          <w:i/>
          <w:lang w:val="de-DE"/>
        </w:rPr>
        <w:t>[</w:t>
      </w:r>
      <w:r w:rsidR="00BE0A56" w:rsidRPr="004676F5">
        <w:rPr>
          <w:i/>
          <w:lang w:val="de-DE"/>
        </w:rPr>
        <w:t>Art. </w:t>
      </w:r>
      <w:r w:rsidRPr="004676F5">
        <w:rPr>
          <w:i/>
          <w:lang w:val="de-DE"/>
        </w:rPr>
        <w:t xml:space="preserve">III.90 § 2 Abs. 1 abgeändert durch </w:t>
      </w:r>
      <w:r w:rsidR="00BE0A56" w:rsidRPr="004676F5">
        <w:rPr>
          <w:i/>
          <w:lang w:val="de-DE"/>
        </w:rPr>
        <w:t>Art. </w:t>
      </w:r>
      <w:r w:rsidRPr="004676F5">
        <w:rPr>
          <w:i/>
          <w:lang w:val="de-DE"/>
        </w:rPr>
        <w:t>38</w:t>
      </w:r>
      <w:r w:rsidRPr="004676F5">
        <w:rPr>
          <w:i/>
          <w:iCs/>
          <w:lang w:val="de-DE"/>
        </w:rPr>
        <w:t xml:space="preserve"> des G. vom 18. Dezember 2015 (</w:t>
      </w:r>
      <w:r w:rsidR="006F53F7" w:rsidRPr="004676F5">
        <w:rPr>
          <w:i/>
          <w:iCs/>
          <w:lang w:val="de-DE"/>
        </w:rPr>
        <w:t>II) (B.S. vom 30. Dezember 2015</w:t>
      </w:r>
      <w:r w:rsidRPr="004676F5">
        <w:rPr>
          <w:i/>
          <w:iCs/>
          <w:lang w:val="de-DE"/>
        </w:rPr>
        <w:t>)</w:t>
      </w:r>
      <w:r w:rsidR="00BE7695" w:rsidRPr="004676F5">
        <w:rPr>
          <w:i/>
          <w:iCs/>
          <w:lang w:val="de-DE"/>
        </w:rPr>
        <w:t xml:space="preserve"> und Art. 86 Buchstabe a) des G. vom 15. April 2018 (B.S. vom </w:t>
      </w:r>
      <w:r w:rsidR="00BE7695" w:rsidRPr="004676F5">
        <w:rPr>
          <w:i/>
          <w:iCs/>
          <w:lang w:val="de-DE"/>
        </w:rPr>
        <w:lastRenderedPageBreak/>
        <w:t>27. April 2018); § 2 Abs. 3 abgeändert durch Art. 86 Buchstabe b) des G. vom 15. April 2018 (B.S. vom 27. April 2018); § 2 Abs. 4 Nr. 1 abgeändert durch Art. 86 Buchstabe c) des G. vom 15. April 2018 (B.S. vom 27. April 2018); § 2 Abs. 4 Nr. 2 abgeändert durch Art. 86 Buchstabe d) des G. vom 15. April 2018 (B.S. vom 27. April 2018); § 2 Abs. 4 Nr. 6 abgeändert durch Art. 86 Buchstabe e) des G. vom 15. April 2018 (B.S. vom 27. April 2018); § 2 Abs. 4 Nr. 7 eingefügt durch Art. 86 Buchstabe f) des G. vom 15. April 2018 (B.S. vom 27. April 2018)</w:t>
      </w:r>
      <w:r w:rsidRPr="004676F5">
        <w:rPr>
          <w:i/>
          <w:iCs/>
          <w:lang w:val="de-DE"/>
        </w:rPr>
        <w:t>]</w:t>
      </w:r>
    </w:p>
    <w:p w14:paraId="7F424ADA" w14:textId="77777777" w:rsidR="00F6427E" w:rsidRPr="004676F5" w:rsidRDefault="00F6427E" w:rsidP="00F6427E">
      <w:pPr>
        <w:rPr>
          <w:lang w:val="de-DE"/>
        </w:rPr>
      </w:pPr>
    </w:p>
    <w:p w14:paraId="2D3E9B69" w14:textId="77777777" w:rsidR="006C4762" w:rsidRPr="004676F5" w:rsidRDefault="006C4762" w:rsidP="00F6427E">
      <w:pPr>
        <w:rPr>
          <w:lang w:val="de-DE"/>
        </w:rPr>
      </w:pPr>
    </w:p>
    <w:p w14:paraId="55DCDBB1" w14:textId="484D8D1B"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III.91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Öffentliche Einrichtungen nach belgischem Recht, die einen satzungsmäßigen Auftrag kommerzieller, finanzieller oder industrieller Art erfüllen, mit Ausnahme der in Artikel III.95 § 1 erwähnten Unternehmen, sind verpflichtet, das Gesellschaftsgesetzbuch und dessen Ausführungserlasse einzuhalten, was Form, Inhalt, Kontrolle und Hinterlegung des konsolidierten Jahresabschlusses und des konsolidierten Lageberichts betrifft.</w:t>
      </w:r>
    </w:p>
    <w:p w14:paraId="14E4F942" w14:textId="77777777" w:rsidR="00F6427E" w:rsidRPr="004676F5" w:rsidRDefault="00F6427E" w:rsidP="00F6427E">
      <w:pPr>
        <w:jc w:val="both"/>
        <w:rPr>
          <w:lang w:val="de-DE"/>
        </w:rPr>
      </w:pPr>
    </w:p>
    <w:p w14:paraId="2F3B184B" w14:textId="77777777" w:rsidR="00F6427E" w:rsidRPr="004676F5" w:rsidRDefault="00F6427E" w:rsidP="00F6427E">
      <w:pPr>
        <w:jc w:val="both"/>
        <w:rPr>
          <w:lang w:val="de-DE"/>
        </w:rPr>
      </w:pPr>
      <w:r w:rsidRPr="004676F5">
        <w:rPr>
          <w:lang w:val="de-DE"/>
        </w:rPr>
        <w:tab/>
        <w:t>Inhalt und Umfang ihrer Verpflichtungen werden auf Basis der Kriterien bezüglich des beschäftigten Personals, des Jahresumsatzes und der Bilanzsumme bestimmt, die für Unternehmen gelten, die dem Gesellschaftsgesetzbuch unterliegen.</w:t>
      </w:r>
    </w:p>
    <w:p w14:paraId="091FBB62" w14:textId="77777777" w:rsidR="00F6427E" w:rsidRPr="004676F5" w:rsidRDefault="00F6427E" w:rsidP="00F6427E">
      <w:pPr>
        <w:jc w:val="both"/>
        <w:rPr>
          <w:lang w:val="de-DE"/>
        </w:rPr>
      </w:pPr>
    </w:p>
    <w:p w14:paraId="216452AE" w14:textId="2D904E99" w:rsidR="00F6427E" w:rsidRPr="004676F5" w:rsidRDefault="00F6427E" w:rsidP="00F6427E">
      <w:pPr>
        <w:jc w:val="both"/>
        <w:rPr>
          <w:lang w:val="de-DE"/>
        </w:rPr>
      </w:pPr>
      <w:r w:rsidRPr="004676F5">
        <w:rPr>
          <w:lang w:val="de-DE"/>
        </w:rPr>
        <w:tab/>
        <w:t xml:space="preserve">Der König kann den Anwendungsbereich von Absatz 2 auf andere </w:t>
      </w:r>
      <w:r w:rsidR="00BE7695" w:rsidRPr="004676F5">
        <w:rPr>
          <w:lang w:val="de-DE"/>
        </w:rPr>
        <w:t>[buchführungspflichtige Unternehmen]</w:t>
      </w:r>
      <w:r w:rsidRPr="004676F5">
        <w:rPr>
          <w:lang w:val="de-DE"/>
        </w:rPr>
        <w:t xml:space="preserve"> erweitern.</w:t>
      </w:r>
    </w:p>
    <w:p w14:paraId="20C499E8" w14:textId="77777777" w:rsidR="00F6427E" w:rsidRPr="004676F5" w:rsidRDefault="00F6427E" w:rsidP="00F6427E">
      <w:pPr>
        <w:jc w:val="both"/>
        <w:rPr>
          <w:lang w:val="de-DE"/>
        </w:rPr>
      </w:pPr>
    </w:p>
    <w:p w14:paraId="315111B4" w14:textId="2C070F2F"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 xml:space="preserve">Der König kann die aufgrund der Artikel III.84 </w:t>
      </w:r>
      <w:r w:rsidR="00BE7695" w:rsidRPr="004676F5">
        <w:rPr>
          <w:lang w:val="de-DE"/>
        </w:rPr>
        <w:t>[</w:t>
      </w:r>
      <w:r w:rsidRPr="004676F5">
        <w:rPr>
          <w:lang w:val="de-DE"/>
        </w:rPr>
        <w:t>Absatz </w:t>
      </w:r>
      <w:r w:rsidR="00BE7695" w:rsidRPr="004676F5">
        <w:rPr>
          <w:lang w:val="de-DE"/>
        </w:rPr>
        <w:t>7]</w:t>
      </w:r>
      <w:r w:rsidRPr="004676F5">
        <w:rPr>
          <w:lang w:val="de-DE"/>
        </w:rPr>
        <w:t>, III.89 § 2, III.90 und III.91 § 1 von Ihm erlassenen Regeln anpassen und ergänzen beziehungsweise eine vollständige oder teilweise Befreiung von diesen Regeln vorsehen je nach der Größe der Unternehmen und je nach Beschäftigungszweigen oder Wirtschaftssektoren.</w:t>
      </w:r>
    </w:p>
    <w:p w14:paraId="0E20F79E" w14:textId="28A54901" w:rsidR="00F6427E" w:rsidRPr="004676F5" w:rsidRDefault="00F6427E" w:rsidP="00F6427E">
      <w:pPr>
        <w:jc w:val="both"/>
        <w:rPr>
          <w:lang w:val="de-DE"/>
        </w:rPr>
      </w:pPr>
    </w:p>
    <w:p w14:paraId="67EE6581" w14:textId="70A1F9C6" w:rsidR="00BE7695" w:rsidRPr="004676F5" w:rsidRDefault="00BE7695" w:rsidP="00F6427E">
      <w:pPr>
        <w:jc w:val="both"/>
        <w:rPr>
          <w:i/>
          <w:iCs/>
          <w:lang w:val="de-DE"/>
        </w:rPr>
      </w:pPr>
      <w:r w:rsidRPr="004676F5">
        <w:rPr>
          <w:i/>
          <w:lang w:val="de-DE"/>
        </w:rPr>
        <w:t>[Art. III.91 § 1 Abs. 3 abgeändert durch Art. 87 Nr. 1</w:t>
      </w:r>
      <w:r w:rsidRPr="004676F5">
        <w:rPr>
          <w:i/>
          <w:iCs/>
          <w:lang w:val="de-DE"/>
        </w:rPr>
        <w:t xml:space="preserve"> des G. vom 15. April 2018 (B.S. vom 27. April 2018); § 2 abgeändert durch Art. 87 Nr. 2 des G. vom 15. April 2018 (B.S. vom 27. April 2018)]</w:t>
      </w:r>
    </w:p>
    <w:p w14:paraId="10F80D6E" w14:textId="77777777" w:rsidR="00BE7695" w:rsidRPr="004676F5" w:rsidRDefault="00BE7695" w:rsidP="00F6427E">
      <w:pPr>
        <w:jc w:val="both"/>
        <w:rPr>
          <w:i/>
          <w:lang w:val="de-DE"/>
        </w:rPr>
      </w:pPr>
    </w:p>
    <w:p w14:paraId="21C817FB" w14:textId="77777777" w:rsidR="006C4762" w:rsidRPr="004676F5" w:rsidRDefault="006C4762" w:rsidP="00F6427E">
      <w:pPr>
        <w:jc w:val="both"/>
        <w:rPr>
          <w:lang w:val="de-DE"/>
        </w:rPr>
      </w:pPr>
    </w:p>
    <w:p w14:paraId="144CB8C6" w14:textId="5C0DD2A1"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III.92</w:t>
      </w:r>
      <w:r w:rsidRPr="004676F5">
        <w:rPr>
          <w:lang w:val="de-DE"/>
        </w:rPr>
        <w:t> </w:t>
      </w:r>
      <w:r w:rsidR="005B7A5C" w:rsidRPr="004676F5">
        <w:rPr>
          <w:lang w:val="de-DE"/>
        </w:rPr>
        <w:t>- </w:t>
      </w:r>
      <w:r w:rsidRPr="004676F5">
        <w:rPr>
          <w:lang w:val="de-DE"/>
        </w:rPr>
        <w:t>Königliche Erlasse zur Ausführung des vorliegenden Kapitels werden im Ministerrat beraten.</w:t>
      </w:r>
    </w:p>
    <w:p w14:paraId="5E594D6F" w14:textId="77777777" w:rsidR="00F6427E" w:rsidRPr="004676F5" w:rsidRDefault="00F6427E" w:rsidP="00F6427E">
      <w:pPr>
        <w:jc w:val="both"/>
        <w:rPr>
          <w:lang w:val="de-DE"/>
        </w:rPr>
      </w:pPr>
    </w:p>
    <w:p w14:paraId="22FC7C6F" w14:textId="3998E5D6" w:rsidR="00F6427E" w:rsidRPr="004676F5" w:rsidRDefault="00F6427E" w:rsidP="00F6427E">
      <w:pPr>
        <w:jc w:val="both"/>
        <w:rPr>
          <w:lang w:val="de-DE"/>
        </w:rPr>
      </w:pPr>
      <w:r w:rsidRPr="004676F5">
        <w:rPr>
          <w:lang w:val="de-DE"/>
        </w:rPr>
        <w:tab/>
        <w:t xml:space="preserve">Erlasse zur Ausführung von Artikel III.84 </w:t>
      </w:r>
      <w:r w:rsidR="00BE7695" w:rsidRPr="004676F5">
        <w:rPr>
          <w:lang w:val="de-DE"/>
        </w:rPr>
        <w:t>[</w:t>
      </w:r>
      <w:r w:rsidRPr="004676F5">
        <w:rPr>
          <w:lang w:val="de-DE"/>
        </w:rPr>
        <w:t>Absatz </w:t>
      </w:r>
      <w:r w:rsidR="00BE7695" w:rsidRPr="004676F5">
        <w:rPr>
          <w:lang w:val="de-DE"/>
        </w:rPr>
        <w:t>7]</w:t>
      </w:r>
      <w:r w:rsidRPr="004676F5">
        <w:rPr>
          <w:lang w:val="de-DE"/>
        </w:rPr>
        <w:t>, Artikel III.89 § 2, Artikel III.90 und Artikel III.91 ergehen nach Stellungnahme des Zentralen Wirtschaftsrates.</w:t>
      </w:r>
    </w:p>
    <w:p w14:paraId="4B3E7162" w14:textId="77777777" w:rsidR="00F6427E" w:rsidRPr="004676F5" w:rsidRDefault="00F6427E" w:rsidP="00F6427E">
      <w:pPr>
        <w:jc w:val="both"/>
        <w:rPr>
          <w:lang w:val="de-DE"/>
        </w:rPr>
      </w:pPr>
    </w:p>
    <w:p w14:paraId="3590AC3F" w14:textId="5D114DC9" w:rsidR="00F6427E" w:rsidRPr="004676F5" w:rsidRDefault="00F6427E" w:rsidP="00F6427E">
      <w:pPr>
        <w:jc w:val="both"/>
        <w:rPr>
          <w:lang w:val="de-DE"/>
        </w:rPr>
      </w:pPr>
      <w:r w:rsidRPr="004676F5">
        <w:rPr>
          <w:lang w:val="de-DE"/>
        </w:rPr>
        <w:tab/>
        <w:t xml:space="preserve">Erlasse zur Ausführung von </w:t>
      </w:r>
      <w:r w:rsidR="00BE7695" w:rsidRPr="004676F5">
        <w:rPr>
          <w:lang w:val="de-DE"/>
        </w:rPr>
        <w:t>[</w:t>
      </w:r>
      <w:r w:rsidRPr="004676F5">
        <w:rPr>
          <w:lang w:val="de-DE"/>
        </w:rPr>
        <w:t>Artikel </w:t>
      </w:r>
      <w:r w:rsidR="00BE7695" w:rsidRPr="004676F5">
        <w:rPr>
          <w:lang w:val="de-DE"/>
        </w:rPr>
        <w:t>II</w:t>
      </w:r>
      <w:r w:rsidRPr="004676F5">
        <w:rPr>
          <w:lang w:val="de-DE"/>
        </w:rPr>
        <w:t>I.</w:t>
      </w:r>
      <w:r w:rsidR="00BE7695" w:rsidRPr="004676F5">
        <w:rPr>
          <w:lang w:val="de-DE"/>
        </w:rPr>
        <w:t>82</w:t>
      </w:r>
      <w:r w:rsidRPr="004676F5">
        <w:rPr>
          <w:lang w:val="de-DE"/>
        </w:rPr>
        <w:t xml:space="preserve"> </w:t>
      </w:r>
      <w:r w:rsidR="00BE7695" w:rsidRPr="004676F5">
        <w:rPr>
          <w:lang w:val="de-DE"/>
        </w:rPr>
        <w:t>§ </w:t>
      </w:r>
      <w:r w:rsidRPr="004676F5">
        <w:rPr>
          <w:lang w:val="de-DE"/>
        </w:rPr>
        <w:t>1</w:t>
      </w:r>
      <w:r w:rsidR="00BE7695" w:rsidRPr="004676F5">
        <w:rPr>
          <w:lang w:val="de-DE"/>
        </w:rPr>
        <w:t>]</w:t>
      </w:r>
      <w:r w:rsidRPr="004676F5">
        <w:rPr>
          <w:lang w:val="de-DE"/>
        </w:rPr>
        <w:t xml:space="preserve"> und ihre Abänderungserlasse ergehen nach Stellungnahme der repräsentativen Organisationen der betreffenden Unternehmen.</w:t>
      </w:r>
    </w:p>
    <w:p w14:paraId="0A2CB918" w14:textId="77777777" w:rsidR="00F6427E" w:rsidRPr="004676F5" w:rsidRDefault="00F6427E" w:rsidP="00F6427E">
      <w:pPr>
        <w:jc w:val="both"/>
        <w:rPr>
          <w:lang w:val="de-DE"/>
        </w:rPr>
      </w:pPr>
    </w:p>
    <w:p w14:paraId="70C576C7" w14:textId="7E9CB1AA" w:rsidR="006C4762" w:rsidRPr="004676F5" w:rsidRDefault="00BE7695" w:rsidP="00F6427E">
      <w:pPr>
        <w:jc w:val="both"/>
        <w:rPr>
          <w:i/>
          <w:lang w:val="de-DE"/>
        </w:rPr>
      </w:pPr>
      <w:r w:rsidRPr="004676F5">
        <w:rPr>
          <w:i/>
          <w:lang w:val="de-DE"/>
        </w:rPr>
        <w:t>[Art. III.92 Abs. 2 abgeändert durch Art. 88</w:t>
      </w:r>
      <w:r w:rsidRPr="004676F5">
        <w:rPr>
          <w:i/>
          <w:iCs/>
          <w:lang w:val="de-DE"/>
        </w:rPr>
        <w:t xml:space="preserve"> des G. vom 15. April 2018 (B.S. vom 27. April 2018); Abs. 3 abgeändert durch Art. 88 des G. vom 15. April 2018 (B.S. vom 27. April 2018)]</w:t>
      </w:r>
    </w:p>
    <w:p w14:paraId="2DF1F9CD" w14:textId="77777777" w:rsidR="00BE7695" w:rsidRPr="004676F5" w:rsidRDefault="00BE7695" w:rsidP="00BE7695">
      <w:pPr>
        <w:rPr>
          <w:lang w:val="de-DE"/>
        </w:rPr>
      </w:pPr>
    </w:p>
    <w:p w14:paraId="6C626829" w14:textId="77777777" w:rsidR="00BE7695" w:rsidRPr="004676F5" w:rsidRDefault="00BE7695" w:rsidP="00BE7695">
      <w:pPr>
        <w:rPr>
          <w:lang w:val="de-DE"/>
        </w:rPr>
      </w:pPr>
    </w:p>
    <w:p w14:paraId="699F5888" w14:textId="77777777" w:rsidR="00CA6435" w:rsidRDefault="00CA6435">
      <w:pPr>
        <w:rPr>
          <w:lang w:val="de-DE"/>
        </w:rPr>
      </w:pPr>
      <w:r>
        <w:rPr>
          <w:lang w:val="de-DE"/>
        </w:rPr>
        <w:br w:type="page"/>
      </w:r>
    </w:p>
    <w:p w14:paraId="626A9ECF" w14:textId="38C145CB" w:rsidR="00480881" w:rsidRPr="004676F5" w:rsidRDefault="00F6427E" w:rsidP="00BE7695">
      <w:pPr>
        <w:rPr>
          <w:lang w:val="de-DE"/>
        </w:rPr>
      </w:pPr>
      <w:r w:rsidRPr="004676F5">
        <w:rPr>
          <w:lang w:val="de-DE"/>
        </w:rPr>
        <w:lastRenderedPageBreak/>
        <w:tab/>
      </w:r>
      <w:r w:rsidR="00BE0A56" w:rsidRPr="004676F5">
        <w:rPr>
          <w:b/>
          <w:lang w:val="de-DE"/>
        </w:rPr>
        <w:t>Art. </w:t>
      </w:r>
      <w:r w:rsidRPr="004676F5">
        <w:rPr>
          <w:b/>
          <w:lang w:val="de-DE"/>
        </w:rPr>
        <w:t>III.93</w:t>
      </w:r>
      <w:r w:rsidRPr="004676F5">
        <w:rPr>
          <w:lang w:val="de-DE"/>
        </w:rPr>
        <w:t> </w:t>
      </w:r>
      <w:r w:rsidR="005B7A5C" w:rsidRPr="004676F5">
        <w:rPr>
          <w:lang w:val="de-DE"/>
        </w:rPr>
        <w:t>- </w:t>
      </w:r>
      <w:r w:rsidR="00480881" w:rsidRPr="004676F5">
        <w:rPr>
          <w:lang w:val="de-DE"/>
        </w:rPr>
        <w:t>[§ 1 </w:t>
      </w:r>
      <w:r w:rsidR="005B7A5C" w:rsidRPr="004676F5">
        <w:rPr>
          <w:lang w:val="de-DE"/>
        </w:rPr>
        <w:t>- </w:t>
      </w:r>
      <w:r w:rsidR="00480881" w:rsidRPr="004676F5">
        <w:rPr>
          <w:lang w:val="de-DE"/>
        </w:rPr>
        <w:t>Der König schafft eine Kommission für Buchführungsnormen; diese hat als Auftrag:</w:t>
      </w:r>
    </w:p>
    <w:p w14:paraId="2F5B6868" w14:textId="77777777" w:rsidR="00480881" w:rsidRPr="004676F5" w:rsidRDefault="00480881" w:rsidP="00480881">
      <w:pPr>
        <w:jc w:val="both"/>
        <w:rPr>
          <w:lang w:val="de-DE"/>
        </w:rPr>
      </w:pPr>
    </w:p>
    <w:p w14:paraId="60C12543" w14:textId="77777777" w:rsidR="00480881" w:rsidRPr="004676F5" w:rsidRDefault="00480881" w:rsidP="00480881">
      <w:pPr>
        <w:jc w:val="both"/>
        <w:rPr>
          <w:lang w:val="de-DE"/>
        </w:rPr>
      </w:pPr>
      <w:r w:rsidRPr="004676F5">
        <w:rPr>
          <w:lang w:val="de-DE"/>
        </w:rPr>
        <w:tab/>
        <w:t>1. der Regierung und dem Parlament auf ihren Antrag hin oder aus eigener Initiative Stellungnahmen abzugeben,</w:t>
      </w:r>
    </w:p>
    <w:p w14:paraId="6CBF601E" w14:textId="77777777" w:rsidR="00480881" w:rsidRPr="004676F5" w:rsidRDefault="00480881" w:rsidP="00480881">
      <w:pPr>
        <w:jc w:val="both"/>
        <w:rPr>
          <w:lang w:val="de-DE"/>
        </w:rPr>
      </w:pPr>
    </w:p>
    <w:p w14:paraId="04D74481" w14:textId="77777777" w:rsidR="00480881" w:rsidRPr="004676F5" w:rsidRDefault="00480881" w:rsidP="00480881">
      <w:pPr>
        <w:jc w:val="both"/>
        <w:rPr>
          <w:lang w:val="de-DE"/>
        </w:rPr>
      </w:pPr>
      <w:r w:rsidRPr="004676F5">
        <w:rPr>
          <w:lang w:val="de-DE"/>
        </w:rPr>
        <w:tab/>
        <w:t>2. durch Stellungnahmen oder Empfehlungen zur Entwicklung der buchhalterischen Rechtslehre beizutragen und die Grundsätze einer ordnungsgemäßen Buchhaltung zu formulieren.</w:t>
      </w:r>
    </w:p>
    <w:p w14:paraId="516BC807" w14:textId="77777777" w:rsidR="00480881" w:rsidRPr="004676F5" w:rsidRDefault="00480881" w:rsidP="00480881">
      <w:pPr>
        <w:jc w:val="both"/>
        <w:rPr>
          <w:lang w:val="de-DE"/>
        </w:rPr>
      </w:pPr>
    </w:p>
    <w:p w14:paraId="2EE5931B" w14:textId="77777777" w:rsidR="00B95783" w:rsidRPr="004676F5" w:rsidRDefault="00B95783" w:rsidP="00B95783">
      <w:pPr>
        <w:jc w:val="both"/>
        <w:rPr>
          <w:lang w:val="de-DE"/>
        </w:rPr>
      </w:pPr>
      <w:r w:rsidRPr="004676F5">
        <w:rPr>
          <w:lang w:val="de-DE"/>
        </w:rPr>
        <w:tab/>
        <w:t>[Die Kommission für Buchführungsnormen ist eine autonome Einrichtung mit Rechtspersönlichkeit.]</w:t>
      </w:r>
    </w:p>
    <w:p w14:paraId="38492F20" w14:textId="77777777" w:rsidR="00B95783" w:rsidRPr="004676F5" w:rsidRDefault="00B95783" w:rsidP="00B95783">
      <w:pPr>
        <w:rPr>
          <w:lang w:val="de-DE"/>
        </w:rPr>
      </w:pPr>
    </w:p>
    <w:p w14:paraId="6AA1C0EE" w14:textId="01632C10" w:rsidR="00F6427E" w:rsidRPr="004676F5" w:rsidRDefault="00480881" w:rsidP="00480881">
      <w:pPr>
        <w:jc w:val="both"/>
        <w:rPr>
          <w:lang w:val="de-DE"/>
        </w:rPr>
      </w:pPr>
      <w:r w:rsidRPr="004676F5">
        <w:rPr>
          <w:lang w:val="de-DE"/>
        </w:rPr>
        <w:tab/>
        <w:t>§ 2 </w:t>
      </w:r>
      <w:r w:rsidR="005B7A5C" w:rsidRPr="004676F5">
        <w:rPr>
          <w:lang w:val="de-DE"/>
        </w:rPr>
        <w:t>- </w:t>
      </w:r>
      <w:r w:rsidRPr="004676F5">
        <w:rPr>
          <w:lang w:val="de-DE"/>
        </w:rPr>
        <w:t>Der König schafft bei der Kommission für Buchführungsnormen ein getrenntes Kollegium, das damit beauftragt ist, durch eine Einzelentscheidung des Buchhaltungsrechts Fragen in Bezug auf die Anwendung der Gesetzesbestimmungen des belgischen Buchhaltungsrechts im Zuständigkeitsbereich der Kommission, mit denen es formell befasst wird, zu beantworten.]</w:t>
      </w:r>
    </w:p>
    <w:p w14:paraId="5A73504A" w14:textId="77777777" w:rsidR="00B95783" w:rsidRPr="004676F5" w:rsidRDefault="00B95783" w:rsidP="00480881">
      <w:pPr>
        <w:jc w:val="both"/>
        <w:rPr>
          <w:lang w:val="de-DE"/>
        </w:rPr>
      </w:pPr>
    </w:p>
    <w:p w14:paraId="14DBFAF5" w14:textId="3DCF62E1" w:rsidR="00480881" w:rsidRPr="004676F5" w:rsidRDefault="00B95783" w:rsidP="00480881">
      <w:pPr>
        <w:jc w:val="both"/>
        <w:rPr>
          <w:i/>
          <w:lang w:val="de-DE"/>
        </w:rPr>
      </w:pPr>
      <w:r w:rsidRPr="004676F5">
        <w:rPr>
          <w:i/>
          <w:lang w:val="de-DE"/>
        </w:rPr>
        <w:t xml:space="preserve"> </w:t>
      </w:r>
      <w:r w:rsidR="00480881" w:rsidRPr="004676F5">
        <w:rPr>
          <w:i/>
          <w:lang w:val="de-DE"/>
        </w:rPr>
        <w:t>[</w:t>
      </w:r>
      <w:r w:rsidR="00BE0A56" w:rsidRPr="004676F5">
        <w:rPr>
          <w:i/>
          <w:lang w:val="de-DE"/>
        </w:rPr>
        <w:t>Art. </w:t>
      </w:r>
      <w:r w:rsidR="00480881" w:rsidRPr="004676F5">
        <w:rPr>
          <w:i/>
          <w:lang w:val="de-DE"/>
        </w:rPr>
        <w:t xml:space="preserve">III.93 ersetzt durch </w:t>
      </w:r>
      <w:r w:rsidR="00BE0A56" w:rsidRPr="004676F5">
        <w:rPr>
          <w:i/>
          <w:lang w:val="de-DE"/>
        </w:rPr>
        <w:t>Art. </w:t>
      </w:r>
      <w:r w:rsidR="00C902EF" w:rsidRPr="004676F5">
        <w:rPr>
          <w:i/>
          <w:lang w:val="de-DE"/>
        </w:rPr>
        <w:t>2</w:t>
      </w:r>
      <w:r w:rsidR="00480881" w:rsidRPr="004676F5">
        <w:rPr>
          <w:i/>
          <w:lang w:val="de-DE"/>
        </w:rPr>
        <w:t xml:space="preserve"> des G. vom 12. Dezember 2016</w:t>
      </w:r>
      <w:r w:rsidR="00B228E3" w:rsidRPr="004676F5">
        <w:rPr>
          <w:i/>
          <w:lang w:val="de-DE"/>
        </w:rPr>
        <w:t> </w:t>
      </w:r>
      <w:r w:rsidR="00480881" w:rsidRPr="004676F5">
        <w:rPr>
          <w:i/>
          <w:lang w:val="de-DE"/>
        </w:rPr>
        <w:t>(B.S. vom 20. Dezember 2016)</w:t>
      </w:r>
      <w:r w:rsidRPr="004676F5">
        <w:rPr>
          <w:i/>
          <w:lang w:val="de-DE"/>
        </w:rPr>
        <w:t xml:space="preserve">; § 1 Abs. 2 eingefügt durch </w:t>
      </w:r>
      <w:r w:rsidR="00BE0A56" w:rsidRPr="004676F5">
        <w:rPr>
          <w:i/>
          <w:lang w:val="de-DE"/>
        </w:rPr>
        <w:t>Art. </w:t>
      </w:r>
      <w:r w:rsidRPr="004676F5">
        <w:rPr>
          <w:i/>
          <w:lang w:val="de-DE"/>
        </w:rPr>
        <w:t>4 des G. vom 18. April 2017 (B.S. vom 24. April 2017)</w:t>
      </w:r>
      <w:r w:rsidR="00480881" w:rsidRPr="004676F5">
        <w:rPr>
          <w:i/>
          <w:lang w:val="de-DE"/>
        </w:rPr>
        <w:t>]</w:t>
      </w:r>
    </w:p>
    <w:p w14:paraId="563734D6" w14:textId="77777777" w:rsidR="00480881" w:rsidRPr="004676F5" w:rsidRDefault="00480881" w:rsidP="00F6427E">
      <w:pPr>
        <w:rPr>
          <w:lang w:val="de-DE"/>
        </w:rPr>
      </w:pPr>
    </w:p>
    <w:p w14:paraId="1EF2D98D" w14:textId="77777777" w:rsidR="00480881" w:rsidRPr="004676F5" w:rsidRDefault="00480881" w:rsidP="00F6427E">
      <w:pPr>
        <w:rPr>
          <w:lang w:val="de-DE"/>
        </w:rPr>
      </w:pPr>
    </w:p>
    <w:p w14:paraId="6590A799" w14:textId="2DDB1CFD" w:rsidR="00C902EF" w:rsidRPr="004676F5" w:rsidRDefault="00480881" w:rsidP="00C902EF">
      <w:pPr>
        <w:jc w:val="both"/>
        <w:rPr>
          <w:lang w:val="de-DE"/>
        </w:rPr>
      </w:pPr>
      <w:r w:rsidRPr="004676F5">
        <w:rPr>
          <w:lang w:val="de-DE"/>
        </w:rPr>
        <w:tab/>
        <w:t>[</w:t>
      </w:r>
      <w:r w:rsidR="00BE0A56" w:rsidRPr="004676F5">
        <w:rPr>
          <w:b/>
          <w:lang w:val="de-DE"/>
        </w:rPr>
        <w:t>Art. </w:t>
      </w:r>
      <w:r w:rsidR="00C902EF" w:rsidRPr="004676F5">
        <w:rPr>
          <w:b/>
          <w:lang w:val="de-DE"/>
        </w:rPr>
        <w:t>III.93/1</w:t>
      </w:r>
      <w:r w:rsidR="00C902EF" w:rsidRPr="004676F5">
        <w:rPr>
          <w:lang w:val="de-DE"/>
        </w:rPr>
        <w:t> </w:t>
      </w:r>
      <w:r w:rsidR="005B7A5C" w:rsidRPr="004676F5">
        <w:rPr>
          <w:lang w:val="de-DE"/>
        </w:rPr>
        <w:t>- </w:t>
      </w:r>
      <w:r w:rsidR="00C902EF" w:rsidRPr="004676F5">
        <w:rPr>
          <w:lang w:val="de-DE"/>
        </w:rPr>
        <w:t>§ 1 </w:t>
      </w:r>
      <w:r w:rsidR="005B7A5C" w:rsidRPr="004676F5">
        <w:rPr>
          <w:lang w:val="de-DE"/>
        </w:rPr>
        <w:t>- </w:t>
      </w:r>
      <w:r w:rsidR="00C902EF" w:rsidRPr="004676F5">
        <w:rPr>
          <w:lang w:val="de-DE"/>
        </w:rPr>
        <w:t>Unter Einzelentscheidung des Buchhaltungsrechts ist die Antwort zu verstehen, mit der das Kollegium gemäß den geltenden Bestimmungen festlegt, wie das Gesetz für den Antragsteller auf eine spezifische Situation oder Verrichtung angewandt wird, die noch keine Auswirkung auf Ebene des Jahresabschlussrechts gehabt hat.</w:t>
      </w:r>
    </w:p>
    <w:p w14:paraId="797A8D51" w14:textId="77777777" w:rsidR="00C902EF" w:rsidRPr="004676F5" w:rsidRDefault="00C902EF" w:rsidP="00C902EF">
      <w:pPr>
        <w:jc w:val="both"/>
        <w:rPr>
          <w:lang w:val="de-DE"/>
        </w:rPr>
      </w:pPr>
    </w:p>
    <w:p w14:paraId="6D8C5C7A" w14:textId="2BDD25F8" w:rsidR="00C902EF" w:rsidRPr="004676F5" w:rsidRDefault="00C902EF" w:rsidP="00C902EF">
      <w:pPr>
        <w:jc w:val="both"/>
        <w:rPr>
          <w:lang w:val="de-DE"/>
        </w:rPr>
      </w:pPr>
      <w:r w:rsidRPr="004676F5">
        <w:rPr>
          <w:lang w:val="de-DE"/>
        </w:rPr>
        <w:tab/>
        <w:t>§ 2 </w:t>
      </w:r>
      <w:r w:rsidR="005B7A5C" w:rsidRPr="004676F5">
        <w:rPr>
          <w:lang w:val="de-DE"/>
        </w:rPr>
        <w:t>- </w:t>
      </w:r>
      <w:r w:rsidRPr="004676F5">
        <w:rPr>
          <w:lang w:val="de-DE"/>
        </w:rPr>
        <w:t>Der Antrag auf eine Einzelentscheidung des Buchhaltungsrechts wird schriftlich an das Kollegium gerichtet. Er muss mit Gründen versehen sein und von einer vom Antragsteller dazu bevollmächtigten Person unterzeichnet worden sein.</w:t>
      </w:r>
    </w:p>
    <w:p w14:paraId="3CC49E7F" w14:textId="77777777" w:rsidR="00C902EF" w:rsidRPr="004676F5" w:rsidRDefault="00C902EF" w:rsidP="00C902EF">
      <w:pPr>
        <w:jc w:val="both"/>
        <w:rPr>
          <w:lang w:val="de-DE"/>
        </w:rPr>
      </w:pPr>
    </w:p>
    <w:p w14:paraId="6EAC7C19" w14:textId="77777777" w:rsidR="00C902EF" w:rsidRPr="004676F5" w:rsidRDefault="00C902EF" w:rsidP="00C902EF">
      <w:pPr>
        <w:jc w:val="both"/>
        <w:rPr>
          <w:lang w:val="de-DE"/>
        </w:rPr>
      </w:pPr>
      <w:r w:rsidRPr="004676F5">
        <w:rPr>
          <w:lang w:val="de-DE"/>
        </w:rPr>
        <w:tab/>
        <w:t>Er muss Folgendes enthalten:</w:t>
      </w:r>
    </w:p>
    <w:p w14:paraId="6A21C07E" w14:textId="77777777" w:rsidR="00C902EF" w:rsidRPr="004676F5" w:rsidRDefault="00C902EF" w:rsidP="00C902EF">
      <w:pPr>
        <w:jc w:val="both"/>
        <w:rPr>
          <w:lang w:val="de-DE"/>
        </w:rPr>
      </w:pPr>
    </w:p>
    <w:p w14:paraId="2BE293E4" w14:textId="38002F29" w:rsidR="00C902EF" w:rsidRPr="004676F5" w:rsidRDefault="00C902EF" w:rsidP="00C902EF">
      <w:pPr>
        <w:jc w:val="both"/>
        <w:rPr>
          <w:lang w:val="de-DE"/>
        </w:rPr>
      </w:pPr>
      <w:r w:rsidRPr="004676F5">
        <w:rPr>
          <w:lang w:val="de-DE"/>
        </w:rPr>
        <w:tab/>
      </w:r>
      <w:r w:rsidR="005B7A5C" w:rsidRPr="004676F5">
        <w:rPr>
          <w:lang w:val="de-DE"/>
        </w:rPr>
        <w:t>- </w:t>
      </w:r>
      <w:r w:rsidRPr="004676F5">
        <w:rPr>
          <w:lang w:val="de-DE"/>
        </w:rPr>
        <w:t>Identität des Antragstellers und gegebenenfalls der betroffenen Parteien und Dritten,</w:t>
      </w:r>
    </w:p>
    <w:p w14:paraId="2E505DCF" w14:textId="77777777" w:rsidR="00C902EF" w:rsidRPr="004676F5" w:rsidRDefault="00C902EF" w:rsidP="00C902EF">
      <w:pPr>
        <w:jc w:val="both"/>
        <w:rPr>
          <w:lang w:val="de-DE"/>
        </w:rPr>
      </w:pPr>
    </w:p>
    <w:p w14:paraId="5C2B88B8" w14:textId="6FAC3EAE" w:rsidR="00C902EF" w:rsidRPr="004676F5" w:rsidRDefault="00C902EF" w:rsidP="00C902EF">
      <w:pPr>
        <w:jc w:val="both"/>
        <w:rPr>
          <w:lang w:val="de-DE"/>
        </w:rPr>
      </w:pPr>
      <w:r w:rsidRPr="004676F5">
        <w:rPr>
          <w:lang w:val="de-DE"/>
        </w:rPr>
        <w:tab/>
      </w:r>
      <w:r w:rsidR="005B7A5C" w:rsidRPr="004676F5">
        <w:rPr>
          <w:lang w:val="de-DE"/>
        </w:rPr>
        <w:t>- </w:t>
      </w:r>
      <w:r w:rsidRPr="004676F5">
        <w:rPr>
          <w:lang w:val="de-DE"/>
        </w:rPr>
        <w:t>Beschreibung der Tätigkeiten des Antragstellers,</w:t>
      </w:r>
    </w:p>
    <w:p w14:paraId="0D28CF5E" w14:textId="77777777" w:rsidR="00C902EF" w:rsidRPr="004676F5" w:rsidRDefault="00C902EF" w:rsidP="00C902EF">
      <w:pPr>
        <w:jc w:val="both"/>
        <w:rPr>
          <w:lang w:val="de-DE"/>
        </w:rPr>
      </w:pPr>
    </w:p>
    <w:p w14:paraId="71A7F86D" w14:textId="5DE7177B" w:rsidR="00C902EF" w:rsidRPr="004676F5" w:rsidRDefault="00C902EF" w:rsidP="00C902EF">
      <w:pPr>
        <w:jc w:val="both"/>
        <w:rPr>
          <w:lang w:val="de-DE"/>
        </w:rPr>
      </w:pPr>
      <w:r w:rsidRPr="004676F5">
        <w:rPr>
          <w:lang w:val="de-DE"/>
        </w:rPr>
        <w:tab/>
      </w:r>
      <w:r w:rsidR="005B7A5C" w:rsidRPr="004676F5">
        <w:rPr>
          <w:lang w:val="de-DE"/>
        </w:rPr>
        <w:t>- </w:t>
      </w:r>
      <w:r w:rsidRPr="004676F5">
        <w:rPr>
          <w:lang w:val="de-DE"/>
        </w:rPr>
        <w:t>vollständige Beschreibung der spezifischen Situation oder Verrichtung,</w:t>
      </w:r>
    </w:p>
    <w:p w14:paraId="53F25F0A" w14:textId="77777777" w:rsidR="00C902EF" w:rsidRPr="004676F5" w:rsidRDefault="00C902EF" w:rsidP="00C902EF">
      <w:pPr>
        <w:jc w:val="both"/>
        <w:rPr>
          <w:lang w:val="de-DE"/>
        </w:rPr>
      </w:pPr>
    </w:p>
    <w:p w14:paraId="1434DCC6" w14:textId="49B8EBCC" w:rsidR="00C902EF" w:rsidRPr="004676F5" w:rsidRDefault="00C902EF" w:rsidP="00C902EF">
      <w:pPr>
        <w:jc w:val="both"/>
        <w:rPr>
          <w:lang w:val="de-DE"/>
        </w:rPr>
      </w:pPr>
      <w:r w:rsidRPr="004676F5">
        <w:rPr>
          <w:lang w:val="de-DE"/>
        </w:rPr>
        <w:tab/>
      </w:r>
      <w:r w:rsidR="005B7A5C" w:rsidRPr="004676F5">
        <w:rPr>
          <w:lang w:val="de-DE"/>
        </w:rPr>
        <w:t>- </w:t>
      </w:r>
      <w:r w:rsidRPr="004676F5">
        <w:rPr>
          <w:lang w:val="de-DE"/>
        </w:rPr>
        <w:t>Verweis auf die Gesetzes</w:t>
      </w:r>
      <w:r w:rsidR="005B7A5C" w:rsidRPr="004676F5">
        <w:rPr>
          <w:lang w:val="de-DE"/>
        </w:rPr>
        <w:t>- </w:t>
      </w:r>
      <w:r w:rsidRPr="004676F5">
        <w:rPr>
          <w:lang w:val="de-DE"/>
        </w:rPr>
        <w:t>oder Verordnungsbestimmungen, auf die sich die Antwort beziehen muss.</w:t>
      </w:r>
    </w:p>
    <w:p w14:paraId="4B065F1C" w14:textId="77777777" w:rsidR="00C902EF" w:rsidRPr="004676F5" w:rsidRDefault="00C902EF" w:rsidP="00C902EF">
      <w:pPr>
        <w:jc w:val="both"/>
        <w:rPr>
          <w:lang w:val="de-DE"/>
        </w:rPr>
      </w:pPr>
    </w:p>
    <w:p w14:paraId="4E7BA471" w14:textId="77777777" w:rsidR="00C902EF" w:rsidRPr="004676F5" w:rsidRDefault="00C902EF" w:rsidP="00C902EF">
      <w:pPr>
        <w:jc w:val="both"/>
        <w:rPr>
          <w:lang w:val="de-DE"/>
        </w:rPr>
      </w:pPr>
      <w:r w:rsidRPr="004676F5">
        <w:rPr>
          <w:lang w:val="de-DE"/>
        </w:rPr>
        <w:tab/>
        <w:t>Gegebenenfalls enthält der Antrag eine vollständige Abschrift der bei einer Behörde eingereichten Anträge mit demselben Gegenstand und der im Rahmen dieser Anträge gefassten Beschlüsse.</w:t>
      </w:r>
    </w:p>
    <w:p w14:paraId="786052C5" w14:textId="77777777" w:rsidR="00C902EF" w:rsidRPr="004676F5" w:rsidRDefault="00C902EF" w:rsidP="00C902EF">
      <w:pPr>
        <w:jc w:val="both"/>
        <w:rPr>
          <w:lang w:val="de-DE"/>
        </w:rPr>
      </w:pPr>
    </w:p>
    <w:p w14:paraId="225459F6" w14:textId="77777777" w:rsidR="00C902EF" w:rsidRPr="004676F5" w:rsidRDefault="00C902EF" w:rsidP="00C902EF">
      <w:pPr>
        <w:jc w:val="both"/>
        <w:rPr>
          <w:lang w:val="de-DE"/>
        </w:rPr>
      </w:pPr>
      <w:r w:rsidRPr="004676F5">
        <w:rPr>
          <w:lang w:val="de-DE"/>
        </w:rPr>
        <w:tab/>
        <w:t>Solange das Kollegium keine Antwort erteilt hat, muss der Antrag durch neue Angaben in Bezug auf die betreffende Situation oder Verrichtung ergänzt werden.</w:t>
      </w:r>
    </w:p>
    <w:p w14:paraId="190BF8BA" w14:textId="77777777" w:rsidR="00C902EF" w:rsidRPr="004676F5" w:rsidRDefault="00C902EF" w:rsidP="00C902EF">
      <w:pPr>
        <w:jc w:val="both"/>
        <w:rPr>
          <w:lang w:val="de-DE"/>
        </w:rPr>
      </w:pPr>
    </w:p>
    <w:p w14:paraId="7B51C08C" w14:textId="2A1DEBB7" w:rsidR="00C902EF" w:rsidRPr="004676F5" w:rsidRDefault="00C902EF" w:rsidP="00C902EF">
      <w:pPr>
        <w:jc w:val="both"/>
        <w:rPr>
          <w:lang w:val="de-DE"/>
        </w:rPr>
      </w:pPr>
      <w:r w:rsidRPr="004676F5">
        <w:rPr>
          <w:lang w:val="de-DE"/>
        </w:rPr>
        <w:lastRenderedPageBreak/>
        <w:tab/>
        <w:t>§ 3 </w:t>
      </w:r>
      <w:r w:rsidR="005B7A5C" w:rsidRPr="004676F5">
        <w:rPr>
          <w:lang w:val="de-DE"/>
        </w:rPr>
        <w:t>- </w:t>
      </w:r>
      <w:r w:rsidRPr="004676F5">
        <w:rPr>
          <w:lang w:val="de-DE"/>
        </w:rPr>
        <w:t>Die Einzelentscheidung des Buchhaltungsrechts wird dem Antragsteller innerhalb einer Frist von zwei Monaten ab dem Datum mitgeteilt, an dem die Akte alle zur Fassung einer Einzelentscheidung des Buchhaltungsrechts erforderlichen Angaben enthält. Das Kollegium und der Antragsteller können diese Frist in gegenseitigem Einvernehmen ändern.</w:t>
      </w:r>
    </w:p>
    <w:p w14:paraId="0A54B7EB" w14:textId="77777777" w:rsidR="00C902EF" w:rsidRPr="004676F5" w:rsidRDefault="00C902EF" w:rsidP="00C902EF">
      <w:pPr>
        <w:jc w:val="both"/>
        <w:rPr>
          <w:lang w:val="de-DE"/>
        </w:rPr>
      </w:pPr>
    </w:p>
    <w:p w14:paraId="6F206BFD" w14:textId="77777777" w:rsidR="00C902EF" w:rsidRPr="004676F5" w:rsidRDefault="00C902EF" w:rsidP="00C902EF">
      <w:pPr>
        <w:jc w:val="both"/>
        <w:rPr>
          <w:lang w:val="de-DE"/>
        </w:rPr>
      </w:pPr>
      <w:r w:rsidRPr="004676F5">
        <w:rPr>
          <w:lang w:val="de-DE"/>
        </w:rPr>
        <w:tab/>
        <w:t>Spätestens fünfzehn Werktage nach dem Zeitpunkt, zu dem der Antrag vollständig ist, setzt das Kollegium den Antragsteller von der gemäß vorhergehendem Absatz festgelegten Beantwortungsfrist in Kenntnis.</w:t>
      </w:r>
    </w:p>
    <w:p w14:paraId="49DBBCE6" w14:textId="77777777" w:rsidR="00C902EF" w:rsidRPr="004676F5" w:rsidRDefault="00C902EF" w:rsidP="00C902EF">
      <w:pPr>
        <w:jc w:val="both"/>
        <w:rPr>
          <w:lang w:val="de-DE"/>
        </w:rPr>
      </w:pPr>
    </w:p>
    <w:p w14:paraId="0DEAA44A" w14:textId="6F3236EF" w:rsidR="00C902EF" w:rsidRPr="004676F5" w:rsidRDefault="00C902EF" w:rsidP="00C902EF">
      <w:pPr>
        <w:jc w:val="both"/>
        <w:rPr>
          <w:lang w:val="de-DE"/>
        </w:rPr>
      </w:pPr>
      <w:r w:rsidRPr="004676F5">
        <w:rPr>
          <w:lang w:val="de-DE"/>
        </w:rPr>
        <w:tab/>
        <w:t>§ 4 </w:t>
      </w:r>
      <w:r w:rsidR="005B7A5C" w:rsidRPr="004676F5">
        <w:rPr>
          <w:lang w:val="de-DE"/>
        </w:rPr>
        <w:t>- </w:t>
      </w:r>
      <w:r w:rsidRPr="004676F5">
        <w:rPr>
          <w:lang w:val="de-DE"/>
        </w:rPr>
        <w:t>Eine Einzelentscheidung des Buchhaltungsrechts ist nicht möglich, wenn:</w:t>
      </w:r>
    </w:p>
    <w:p w14:paraId="7DAD7176" w14:textId="77777777" w:rsidR="00C902EF" w:rsidRPr="004676F5" w:rsidRDefault="00C902EF" w:rsidP="00C902EF">
      <w:pPr>
        <w:jc w:val="both"/>
        <w:rPr>
          <w:lang w:val="de-DE"/>
        </w:rPr>
      </w:pPr>
    </w:p>
    <w:p w14:paraId="01E6C01F" w14:textId="77777777" w:rsidR="00C902EF" w:rsidRPr="004676F5" w:rsidRDefault="00C902EF" w:rsidP="00C902EF">
      <w:pPr>
        <w:jc w:val="both"/>
        <w:rPr>
          <w:lang w:val="de-DE"/>
        </w:rPr>
      </w:pPr>
      <w:r w:rsidRPr="004676F5">
        <w:rPr>
          <w:lang w:val="de-DE"/>
        </w:rPr>
        <w:tab/>
        <w:t>1. der Antrag Situationen oder Verrichtungen betrifft, die Situationen oder Verrichtungen entsprechen, die auf Ebene des Jahresabschlussrechts bereits Auswirkungen für den Antragsteller haben oder die auf Ebene des Jahresabschlussrechts bereits Gegenstand einer administrativen Beschwerde oder einer gerichtlichen Handlung zwischen dem belgischen Staat und dem Antragsteller sind oder mit denen die Gerichtsbehörde befasst worden ist,</w:t>
      </w:r>
    </w:p>
    <w:p w14:paraId="0C65094E" w14:textId="77777777" w:rsidR="00C902EF" w:rsidRPr="004676F5" w:rsidRDefault="00C902EF" w:rsidP="00C902EF">
      <w:pPr>
        <w:jc w:val="both"/>
        <w:rPr>
          <w:lang w:val="de-DE"/>
        </w:rPr>
      </w:pPr>
    </w:p>
    <w:p w14:paraId="1B22B6FA" w14:textId="635125C7" w:rsidR="00C902EF" w:rsidRPr="004676F5" w:rsidRDefault="00C902EF" w:rsidP="00C902EF">
      <w:pPr>
        <w:jc w:val="both"/>
        <w:rPr>
          <w:lang w:val="de-DE"/>
        </w:rPr>
      </w:pPr>
      <w:r w:rsidRPr="004676F5">
        <w:rPr>
          <w:lang w:val="de-DE"/>
        </w:rPr>
        <w:tab/>
        <w:t>2. die Fassung einer Einzelentscheidung des Buchhaltungsrechts aufgrund der im Antrag angeführten Gesetzes</w:t>
      </w:r>
      <w:r w:rsidR="005B7A5C" w:rsidRPr="004676F5">
        <w:rPr>
          <w:lang w:val="de-DE"/>
        </w:rPr>
        <w:t>- </w:t>
      </w:r>
      <w:r w:rsidRPr="004676F5">
        <w:rPr>
          <w:lang w:val="de-DE"/>
        </w:rPr>
        <w:t>oder Verordnungsbestimmungen nicht angezeigt oder wirkungslos ist,</w:t>
      </w:r>
    </w:p>
    <w:p w14:paraId="1DD263CA" w14:textId="77777777" w:rsidR="00C902EF" w:rsidRPr="004676F5" w:rsidRDefault="00C902EF" w:rsidP="00C902EF">
      <w:pPr>
        <w:jc w:val="both"/>
        <w:rPr>
          <w:lang w:val="de-DE"/>
        </w:rPr>
      </w:pPr>
    </w:p>
    <w:p w14:paraId="2B4AF1D9" w14:textId="77777777" w:rsidR="00C902EF" w:rsidRPr="004676F5" w:rsidRDefault="00C902EF" w:rsidP="00C902EF">
      <w:pPr>
        <w:jc w:val="both"/>
        <w:rPr>
          <w:lang w:val="de-DE"/>
        </w:rPr>
      </w:pPr>
      <w:r w:rsidRPr="004676F5">
        <w:rPr>
          <w:lang w:val="de-DE"/>
        </w:rPr>
        <w:tab/>
        <w:t>3. der Antrag hauptsächlich steuerrechtliche Auswirkungen hat, außer wenn in diesem Fall der Vorrang des Buchhaltungsrechts bereits anerkannt worden ist oder wenn der Antragsteller annimmt, dass eine Konzertierung mit der zuständigen Steuerbehörde stattfindet oder dass für die betreffende Verrichtung oder Situation im Hinblick auf eine Konzertierung mit dem durch den Königlichen Erlass vom 13. August 2004 geschaffenen Dienst Vorabentscheidungen in Steuerangelegenheiten beim Föderalen Öffentlichen Dienst Finanzen ein Antrag auf Vorabentscheidung in Steuerangelegenheiten eingereicht wird.</w:t>
      </w:r>
    </w:p>
    <w:p w14:paraId="752CC92A" w14:textId="77777777" w:rsidR="00C902EF" w:rsidRPr="004676F5" w:rsidRDefault="00C902EF" w:rsidP="00C902EF">
      <w:pPr>
        <w:jc w:val="both"/>
        <w:rPr>
          <w:lang w:val="de-DE"/>
        </w:rPr>
      </w:pPr>
    </w:p>
    <w:p w14:paraId="522E42B6" w14:textId="77777777" w:rsidR="00C902EF" w:rsidRPr="004676F5" w:rsidRDefault="00C902EF" w:rsidP="00C902EF">
      <w:pPr>
        <w:jc w:val="both"/>
        <w:rPr>
          <w:lang w:val="de-DE"/>
        </w:rPr>
      </w:pPr>
      <w:r w:rsidRPr="004676F5">
        <w:rPr>
          <w:lang w:val="de-DE"/>
        </w:rPr>
        <w:tab/>
        <w:t>Darüber hinaus ist eine Einzelentscheidung des Buchhaltungsrechts nicht möglich, wenn:</w:t>
      </w:r>
    </w:p>
    <w:p w14:paraId="53C2184F" w14:textId="77777777" w:rsidR="00C902EF" w:rsidRPr="004676F5" w:rsidRDefault="00C902EF" w:rsidP="00C902EF">
      <w:pPr>
        <w:jc w:val="both"/>
        <w:rPr>
          <w:lang w:val="de-DE"/>
        </w:rPr>
      </w:pPr>
    </w:p>
    <w:p w14:paraId="582B6085" w14:textId="77777777" w:rsidR="00C902EF" w:rsidRPr="004676F5" w:rsidRDefault="00C902EF" w:rsidP="00C902EF">
      <w:pPr>
        <w:jc w:val="both"/>
        <w:rPr>
          <w:lang w:val="de-DE"/>
        </w:rPr>
      </w:pPr>
      <w:r w:rsidRPr="004676F5">
        <w:rPr>
          <w:lang w:val="de-DE"/>
        </w:rPr>
        <w:tab/>
        <w:t>1. bei Einreichung des Antrags wesentliche Bestandteile der beschriebenen Verrichtung oder Situation ein Fluchtland, das nicht mit der OECD zusammenarbeitet, betreffen,</w:t>
      </w:r>
    </w:p>
    <w:p w14:paraId="1322B5A5" w14:textId="77777777" w:rsidR="00C902EF" w:rsidRPr="004676F5" w:rsidRDefault="00C902EF" w:rsidP="00C902EF">
      <w:pPr>
        <w:jc w:val="both"/>
        <w:rPr>
          <w:lang w:val="de-DE"/>
        </w:rPr>
      </w:pPr>
    </w:p>
    <w:p w14:paraId="359F40ED" w14:textId="77777777" w:rsidR="00C902EF" w:rsidRPr="004676F5" w:rsidRDefault="00C902EF" w:rsidP="00C902EF">
      <w:pPr>
        <w:jc w:val="both"/>
        <w:rPr>
          <w:lang w:val="de-DE"/>
        </w:rPr>
      </w:pPr>
      <w:r w:rsidRPr="004676F5">
        <w:rPr>
          <w:lang w:val="de-DE"/>
        </w:rPr>
        <w:tab/>
        <w:t>2. die beschriebene Verrichtung oder Situation keine wirtschaftliche Substanz in Belgien hat.</w:t>
      </w:r>
    </w:p>
    <w:p w14:paraId="398A909A" w14:textId="77777777" w:rsidR="00C902EF" w:rsidRPr="004676F5" w:rsidRDefault="00C902EF" w:rsidP="00C902EF">
      <w:pPr>
        <w:jc w:val="both"/>
        <w:rPr>
          <w:lang w:val="de-DE"/>
        </w:rPr>
      </w:pPr>
    </w:p>
    <w:p w14:paraId="13DA28E2" w14:textId="4D88EE5E" w:rsidR="00C902EF" w:rsidRPr="004676F5" w:rsidRDefault="00C902EF" w:rsidP="00C902EF">
      <w:pPr>
        <w:jc w:val="both"/>
        <w:rPr>
          <w:lang w:val="de-DE"/>
        </w:rPr>
      </w:pPr>
      <w:r w:rsidRPr="004676F5">
        <w:rPr>
          <w:lang w:val="de-DE"/>
        </w:rPr>
        <w:tab/>
        <w:t>§ 5 </w:t>
      </w:r>
      <w:r w:rsidR="005B7A5C" w:rsidRPr="004676F5">
        <w:rPr>
          <w:lang w:val="de-DE"/>
        </w:rPr>
        <w:t>- </w:t>
      </w:r>
      <w:r w:rsidRPr="004676F5">
        <w:rPr>
          <w:lang w:val="de-DE"/>
        </w:rPr>
        <w:t>Der König bestimmt, wer die Mitglieder des Kollegiums vorschlagen muss, die unter den Mitgliedern der Kommission ausgewählt werden, wobei mindestens ein Mitglied ebenfalls im Kollegium tagt, das gemäß Artikel 26 des Gesetzes vom 24. Dezember 2002 mit der Leitung des Dienstes Vorabentscheidungen in Steuerangelegenheiten beim Föderalen Öffentlichen Dienst Finanzen beauftragt ist; Er ernennt die Mitglieder des Kollegiums, legt die Arbeitsweise des Kollegiums fest, bestimmt die in § 4 Absatz 1 Nr. 2 erwähnten Angelegenheiten und Bestimmungen, legt die Modalitäten in Bezug auf die Frist, in der eine Einzelentscheidung des Buchhaltungsrechts ergehen kann, fest und gibt an, zu welchem Zeitpunkt eine Einzelentscheidung des Buchhaltungsrechts zu bestehen aufhört.</w:t>
      </w:r>
    </w:p>
    <w:p w14:paraId="335F1DC6" w14:textId="77777777" w:rsidR="00C902EF" w:rsidRPr="004676F5" w:rsidRDefault="00C902EF" w:rsidP="00C902EF">
      <w:pPr>
        <w:jc w:val="both"/>
        <w:rPr>
          <w:lang w:val="de-DE"/>
        </w:rPr>
      </w:pPr>
    </w:p>
    <w:p w14:paraId="63060D32" w14:textId="7E60A48F" w:rsidR="00C902EF" w:rsidRPr="004676F5" w:rsidRDefault="00C902EF" w:rsidP="00C902EF">
      <w:pPr>
        <w:jc w:val="both"/>
        <w:rPr>
          <w:lang w:val="de-DE"/>
        </w:rPr>
      </w:pPr>
      <w:r w:rsidRPr="004676F5">
        <w:rPr>
          <w:lang w:val="de-DE"/>
        </w:rPr>
        <w:tab/>
        <w:t>§ 6 </w:t>
      </w:r>
      <w:r w:rsidR="005B7A5C" w:rsidRPr="004676F5">
        <w:rPr>
          <w:lang w:val="de-DE"/>
        </w:rPr>
        <w:t>- </w:t>
      </w:r>
      <w:r w:rsidRPr="004676F5">
        <w:rPr>
          <w:lang w:val="de-DE"/>
        </w:rPr>
        <w:t>Einzelentscheidungen des Buchhaltungsrechts werden in anonymer Form auf der Website der Kommission veröffentlicht.</w:t>
      </w:r>
    </w:p>
    <w:p w14:paraId="7A350FF3" w14:textId="77777777" w:rsidR="00C902EF" w:rsidRPr="004676F5" w:rsidRDefault="00C902EF" w:rsidP="00C902EF">
      <w:pPr>
        <w:jc w:val="both"/>
        <w:rPr>
          <w:lang w:val="de-DE"/>
        </w:rPr>
      </w:pPr>
    </w:p>
    <w:p w14:paraId="60B1E6D8" w14:textId="03C04E31" w:rsidR="00C902EF" w:rsidRPr="004676F5" w:rsidRDefault="00C902EF" w:rsidP="00C902EF">
      <w:pPr>
        <w:jc w:val="both"/>
        <w:rPr>
          <w:lang w:val="de-DE"/>
        </w:rPr>
      </w:pPr>
      <w:r w:rsidRPr="004676F5">
        <w:rPr>
          <w:lang w:val="de-DE"/>
        </w:rPr>
        <w:lastRenderedPageBreak/>
        <w:tab/>
        <w:t>§ 7 </w:t>
      </w:r>
      <w:r w:rsidR="005B7A5C" w:rsidRPr="004676F5">
        <w:rPr>
          <w:lang w:val="de-DE"/>
        </w:rPr>
        <w:t>- </w:t>
      </w:r>
      <w:r w:rsidRPr="004676F5">
        <w:rPr>
          <w:lang w:val="de-DE"/>
        </w:rPr>
        <w:t>Der Minister der Wirtschaft übermittelt der Abgeordnetenkammer jedes Jahr einen Bericht über die Anwendung von Artikel III.93 § 2 des Wirtschaftsgesetzbuches.</w:t>
      </w:r>
    </w:p>
    <w:p w14:paraId="23F1D931" w14:textId="77777777" w:rsidR="00C902EF" w:rsidRPr="004676F5" w:rsidRDefault="00C902EF" w:rsidP="00C902EF">
      <w:pPr>
        <w:jc w:val="both"/>
        <w:rPr>
          <w:lang w:val="de-DE"/>
        </w:rPr>
      </w:pPr>
    </w:p>
    <w:p w14:paraId="1025F5C9" w14:textId="77777777" w:rsidR="00C902EF" w:rsidRPr="004676F5" w:rsidRDefault="00C902EF" w:rsidP="00C902EF">
      <w:pPr>
        <w:jc w:val="both"/>
        <w:rPr>
          <w:lang w:val="de-DE"/>
        </w:rPr>
      </w:pPr>
      <w:r w:rsidRPr="004676F5">
        <w:rPr>
          <w:lang w:val="de-DE"/>
        </w:rPr>
        <w:tab/>
        <w:t>Weder die Identität der Antragsteller noch diejenige der Mitglieder des Kollegiums und des wissenschaftlichen Sekretariats werden im Bericht erwähnt.</w:t>
      </w:r>
    </w:p>
    <w:p w14:paraId="1B52D05A" w14:textId="77777777" w:rsidR="00C902EF" w:rsidRPr="004676F5" w:rsidRDefault="00C902EF" w:rsidP="00C902EF">
      <w:pPr>
        <w:jc w:val="both"/>
        <w:rPr>
          <w:lang w:val="de-DE"/>
        </w:rPr>
      </w:pPr>
    </w:p>
    <w:p w14:paraId="530FC63D" w14:textId="77777777" w:rsidR="00480881" w:rsidRPr="004676F5" w:rsidRDefault="00C902EF" w:rsidP="009812A6">
      <w:pPr>
        <w:jc w:val="both"/>
        <w:rPr>
          <w:lang w:val="de-DE"/>
        </w:rPr>
      </w:pPr>
      <w:r w:rsidRPr="004676F5">
        <w:rPr>
          <w:lang w:val="de-DE"/>
        </w:rPr>
        <w:tab/>
        <w:t>Der Bericht wird von der Abgeordnetenkammer veröffentlicht.</w:t>
      </w:r>
      <w:r w:rsidR="00480881" w:rsidRPr="004676F5">
        <w:rPr>
          <w:lang w:val="de-DE"/>
        </w:rPr>
        <w:t>]</w:t>
      </w:r>
    </w:p>
    <w:p w14:paraId="1F34FF2F" w14:textId="77777777" w:rsidR="00C902EF" w:rsidRPr="004676F5" w:rsidRDefault="00C902EF" w:rsidP="00C902EF">
      <w:pPr>
        <w:rPr>
          <w:lang w:val="de-DE"/>
        </w:rPr>
      </w:pPr>
    </w:p>
    <w:p w14:paraId="4F2E6C90" w14:textId="1B31839C" w:rsidR="00C902EF" w:rsidRPr="004676F5" w:rsidRDefault="00C902EF" w:rsidP="00C902EF">
      <w:pPr>
        <w:jc w:val="both"/>
        <w:rPr>
          <w:i/>
          <w:lang w:val="de-DE"/>
        </w:rPr>
      </w:pPr>
      <w:r w:rsidRPr="004676F5">
        <w:rPr>
          <w:i/>
          <w:lang w:val="de-DE"/>
        </w:rPr>
        <w:t>[</w:t>
      </w:r>
      <w:r w:rsidR="00BE0A56" w:rsidRPr="004676F5">
        <w:rPr>
          <w:i/>
          <w:lang w:val="de-DE"/>
        </w:rPr>
        <w:t>Art. </w:t>
      </w:r>
      <w:r w:rsidRPr="004676F5">
        <w:rPr>
          <w:i/>
          <w:lang w:val="de-DE"/>
        </w:rPr>
        <w:t xml:space="preserve">III.93/1 eingefügt durch </w:t>
      </w:r>
      <w:r w:rsidR="00BE0A56" w:rsidRPr="004676F5">
        <w:rPr>
          <w:i/>
          <w:lang w:val="de-DE"/>
        </w:rPr>
        <w:t>Art. </w:t>
      </w:r>
      <w:r w:rsidRPr="004676F5">
        <w:rPr>
          <w:i/>
          <w:lang w:val="de-DE"/>
        </w:rPr>
        <w:t>3 des G. vom 12. Dezember 2016</w:t>
      </w:r>
      <w:r w:rsidR="00B228E3" w:rsidRPr="004676F5">
        <w:rPr>
          <w:i/>
          <w:lang w:val="de-DE"/>
        </w:rPr>
        <w:t> </w:t>
      </w:r>
      <w:r w:rsidRPr="004676F5">
        <w:rPr>
          <w:i/>
          <w:lang w:val="de-DE"/>
        </w:rPr>
        <w:t>(B.S. vom 20. Dezember 2016)]</w:t>
      </w:r>
    </w:p>
    <w:p w14:paraId="4307BCE2" w14:textId="77777777" w:rsidR="00C902EF" w:rsidRPr="004676F5" w:rsidRDefault="00C902EF" w:rsidP="00C902EF">
      <w:pPr>
        <w:jc w:val="both"/>
        <w:rPr>
          <w:i/>
          <w:lang w:val="de-DE"/>
        </w:rPr>
      </w:pPr>
    </w:p>
    <w:p w14:paraId="1AE60B83" w14:textId="77777777" w:rsidR="006C4762" w:rsidRPr="004676F5" w:rsidRDefault="006C4762" w:rsidP="00F6427E">
      <w:pPr>
        <w:rPr>
          <w:lang w:val="de-DE"/>
        </w:rPr>
      </w:pPr>
    </w:p>
    <w:p w14:paraId="0654592A" w14:textId="250F56C3" w:rsidR="00C902EF" w:rsidRPr="004676F5" w:rsidRDefault="00C902EF" w:rsidP="00C902EF">
      <w:pPr>
        <w:jc w:val="both"/>
        <w:rPr>
          <w:lang w:val="de-DE"/>
        </w:rPr>
      </w:pPr>
      <w:r w:rsidRPr="004676F5">
        <w:rPr>
          <w:lang w:val="de-DE"/>
        </w:rPr>
        <w:tab/>
        <w:t>[</w:t>
      </w:r>
      <w:r w:rsidR="00BE0A56" w:rsidRPr="004676F5">
        <w:rPr>
          <w:b/>
          <w:lang w:val="de-DE"/>
        </w:rPr>
        <w:t>Art. </w:t>
      </w:r>
      <w:r w:rsidRPr="004676F5">
        <w:rPr>
          <w:b/>
          <w:lang w:val="de-DE"/>
        </w:rPr>
        <w:t>III.93/2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Funktionskosten der Kommission für Buchführungsnormen einschließlich derjenigen des vorerwähnten Kollegiums werden von den </w:t>
      </w:r>
      <w:r w:rsidR="00BE7695" w:rsidRPr="004676F5">
        <w:rPr>
          <w:lang w:val="de-DE"/>
        </w:rPr>
        <w:t>[buchführungspflichtigen]</w:t>
      </w:r>
      <w:r w:rsidRPr="004676F5">
        <w:rPr>
          <w:lang w:val="de-DE"/>
        </w:rPr>
        <w:t xml:space="preserve"> Unternehmen getragen, die ihren Jahresabschluss oder konsolidierten Abschluss durch Hinterlegung bei der Belgischen Nationalbank offenlegen müssen. Der König legt die Höhe dieses Beitrags fest, der 3,72 EUR jedoch nicht überschreiten darf, indexiert nach den Regeln für die Indexierung der Löhne und Gehälter im öffentlichen Dienst. Dieser Beitrag wird zusammen mit den Kosten für die Offenlegung der Jahresabschlüsse oder konsolidierten Abschlüsse von der Belgischen Nationalbank eingenommen, die ihn an die Kommission weiterleitet.</w:t>
      </w:r>
    </w:p>
    <w:p w14:paraId="6CED590D" w14:textId="77777777" w:rsidR="00C902EF" w:rsidRPr="004676F5" w:rsidRDefault="00C902EF" w:rsidP="00C902EF">
      <w:pPr>
        <w:jc w:val="both"/>
        <w:rPr>
          <w:lang w:val="de-DE"/>
        </w:rPr>
      </w:pPr>
    </w:p>
    <w:p w14:paraId="687E3BC9" w14:textId="4CC97EB6" w:rsidR="00C902EF" w:rsidRPr="004676F5" w:rsidRDefault="00C902EF" w:rsidP="00C902EF">
      <w:pPr>
        <w:jc w:val="both"/>
        <w:rPr>
          <w:lang w:val="de-DE"/>
        </w:rPr>
      </w:pPr>
      <w:r w:rsidRPr="004676F5">
        <w:rPr>
          <w:lang w:val="de-DE"/>
        </w:rPr>
        <w:tab/>
        <w:t>§ 2 </w:t>
      </w:r>
      <w:r w:rsidR="005B7A5C" w:rsidRPr="004676F5">
        <w:rPr>
          <w:lang w:val="de-DE"/>
        </w:rPr>
        <w:t>- </w:t>
      </w:r>
      <w:r w:rsidRPr="004676F5">
        <w:rPr>
          <w:lang w:val="de-DE"/>
        </w:rPr>
        <w:t>Die Mitglieder der Kommission und des Kollegiums, der Präsident ausgenommen, sind jeweils natürliche Personen, die zur Hälfte der niederländischen Sprachrolle und zur Hälfte der französischen Sprachrolle angehören.</w:t>
      </w:r>
    </w:p>
    <w:p w14:paraId="4DC875CB" w14:textId="77777777" w:rsidR="00C902EF" w:rsidRPr="004676F5" w:rsidRDefault="00C902EF" w:rsidP="00C902EF">
      <w:pPr>
        <w:jc w:val="both"/>
        <w:rPr>
          <w:lang w:val="de-DE"/>
        </w:rPr>
      </w:pPr>
    </w:p>
    <w:p w14:paraId="1E5BDC8B" w14:textId="0D4E9148" w:rsidR="00C902EF" w:rsidRPr="004676F5" w:rsidRDefault="00C902EF" w:rsidP="00B228E3">
      <w:pPr>
        <w:jc w:val="both"/>
        <w:rPr>
          <w:lang w:val="de-DE"/>
        </w:rPr>
      </w:pPr>
      <w:r w:rsidRPr="004676F5">
        <w:rPr>
          <w:lang w:val="de-DE"/>
        </w:rPr>
        <w:tab/>
        <w:t>§ 3 </w:t>
      </w:r>
      <w:r w:rsidR="005B7A5C" w:rsidRPr="004676F5">
        <w:rPr>
          <w:lang w:val="de-DE"/>
        </w:rPr>
        <w:t>- </w:t>
      </w:r>
      <w:r w:rsidRPr="004676F5">
        <w:rPr>
          <w:lang w:val="de-DE"/>
        </w:rPr>
        <w:t>Mitglieder der Kommission und des Kollegiums und Mitarbeiter der Kommission unterliegen außerhalb der Ausführung ihres Auftrags der strengsten Geheimhaltungspflicht in Bezug auf Angelegenheiten, von denen sie aufgrund der Ausübung ihres Amtes Kenntnis haben. Was Akten in Bezug auf Einzelentscheidungen des Buchhaltungsrechts betrifft, handeln die Mitglieder des Kollegiums und Mitarbeiter der Kommission im Rahmen der Ausübung ihres Amtes, wenn sie anderen staatlichen Verwaltungsdiensten einschließlich der Staatsanwaltschaften, der Kanzleien der Höfe und aller Gerichte, den Gemeinschaften, den Regionen und öffentlichen Einrichtungen Auskünfte übermitteln, die diese Dienste oder Einrichtungen im Rahmen der ihnen aufgetragenen Ausführung der Gesetzes</w:t>
      </w:r>
      <w:r w:rsidR="005B7A5C" w:rsidRPr="004676F5">
        <w:rPr>
          <w:lang w:val="de-DE"/>
        </w:rPr>
        <w:t>- </w:t>
      </w:r>
      <w:r w:rsidRPr="004676F5">
        <w:rPr>
          <w:lang w:val="de-DE"/>
        </w:rPr>
        <w:t>oder Verordnungsbestimmungen benötigen.]</w:t>
      </w:r>
    </w:p>
    <w:p w14:paraId="45287446" w14:textId="77777777" w:rsidR="00C902EF" w:rsidRPr="004676F5" w:rsidRDefault="00C902EF" w:rsidP="00F6427E">
      <w:pPr>
        <w:rPr>
          <w:lang w:val="de-DE"/>
        </w:rPr>
      </w:pPr>
    </w:p>
    <w:p w14:paraId="3C01689D" w14:textId="136A95ED" w:rsidR="00C902EF" w:rsidRPr="004676F5" w:rsidRDefault="00C902EF" w:rsidP="00C902EF">
      <w:pPr>
        <w:jc w:val="both"/>
        <w:rPr>
          <w:i/>
          <w:lang w:val="de-DE"/>
        </w:rPr>
      </w:pPr>
      <w:r w:rsidRPr="004676F5">
        <w:rPr>
          <w:i/>
          <w:lang w:val="de-DE"/>
        </w:rPr>
        <w:t>[</w:t>
      </w:r>
      <w:r w:rsidR="00BE0A56" w:rsidRPr="004676F5">
        <w:rPr>
          <w:i/>
          <w:lang w:val="de-DE"/>
        </w:rPr>
        <w:t>Art. </w:t>
      </w:r>
      <w:r w:rsidRPr="004676F5">
        <w:rPr>
          <w:i/>
          <w:lang w:val="de-DE"/>
        </w:rPr>
        <w:t xml:space="preserve">III.93/2 eingefügt durch </w:t>
      </w:r>
      <w:r w:rsidR="00BE0A56" w:rsidRPr="004676F5">
        <w:rPr>
          <w:i/>
          <w:lang w:val="de-DE"/>
        </w:rPr>
        <w:t>Art. </w:t>
      </w:r>
      <w:r w:rsidRPr="004676F5">
        <w:rPr>
          <w:i/>
          <w:lang w:val="de-DE"/>
        </w:rPr>
        <w:t>4 des G. vom 12. Dezember 2016</w:t>
      </w:r>
      <w:r w:rsidR="00B228E3" w:rsidRPr="004676F5">
        <w:rPr>
          <w:i/>
          <w:lang w:val="de-DE"/>
        </w:rPr>
        <w:t> </w:t>
      </w:r>
      <w:r w:rsidRPr="004676F5">
        <w:rPr>
          <w:i/>
          <w:lang w:val="de-DE"/>
        </w:rPr>
        <w:t>(B.S. vom 20. Dezember 2016)</w:t>
      </w:r>
      <w:r w:rsidR="00BE7695" w:rsidRPr="004676F5">
        <w:rPr>
          <w:i/>
          <w:lang w:val="de-DE"/>
        </w:rPr>
        <w:t>; § 1 abgeändert durch Art. 89</w:t>
      </w:r>
      <w:r w:rsidR="00BE7695" w:rsidRPr="004676F5">
        <w:rPr>
          <w:i/>
          <w:iCs/>
          <w:lang w:val="de-DE"/>
        </w:rPr>
        <w:t xml:space="preserve"> des G. vom 15. April 2018 (B.S. vom 27. April 2018)</w:t>
      </w:r>
      <w:r w:rsidRPr="004676F5">
        <w:rPr>
          <w:i/>
          <w:lang w:val="de-DE"/>
        </w:rPr>
        <w:t>]</w:t>
      </w:r>
    </w:p>
    <w:p w14:paraId="1D1717F1" w14:textId="77777777" w:rsidR="00C902EF" w:rsidRPr="004676F5" w:rsidRDefault="00C902EF" w:rsidP="00F6427E">
      <w:pPr>
        <w:rPr>
          <w:lang w:val="de-DE"/>
        </w:rPr>
      </w:pPr>
    </w:p>
    <w:p w14:paraId="19FE4847" w14:textId="77777777" w:rsidR="00C902EF" w:rsidRPr="004676F5" w:rsidRDefault="00C902EF" w:rsidP="00F6427E">
      <w:pPr>
        <w:rPr>
          <w:lang w:val="de-DE"/>
        </w:rPr>
      </w:pPr>
    </w:p>
    <w:p w14:paraId="6F1AE6EE" w14:textId="2E072CE0" w:rsidR="00BE7695" w:rsidRPr="004676F5" w:rsidRDefault="00BE0A56" w:rsidP="00BE7695">
      <w:pPr>
        <w:ind w:firstLine="708"/>
        <w:jc w:val="both"/>
        <w:rPr>
          <w:spacing w:val="-2"/>
          <w:lang w:val="de-DE"/>
        </w:rPr>
      </w:pPr>
      <w:r w:rsidRPr="004676F5">
        <w:rPr>
          <w:b/>
          <w:spacing w:val="-2"/>
          <w:lang w:val="de-DE"/>
        </w:rPr>
        <w:t>Art. </w:t>
      </w:r>
      <w:r w:rsidR="00F6427E" w:rsidRPr="004676F5">
        <w:rPr>
          <w:b/>
          <w:spacing w:val="-2"/>
          <w:lang w:val="de-DE"/>
        </w:rPr>
        <w:t>III.94</w:t>
      </w:r>
      <w:r w:rsidR="00F6427E" w:rsidRPr="004676F5">
        <w:rPr>
          <w:spacing w:val="-2"/>
          <w:lang w:val="de-DE"/>
        </w:rPr>
        <w:t> </w:t>
      </w:r>
      <w:r w:rsidR="005B7A5C" w:rsidRPr="004676F5">
        <w:rPr>
          <w:spacing w:val="-2"/>
          <w:lang w:val="de-DE"/>
        </w:rPr>
        <w:t>- </w:t>
      </w:r>
      <w:r w:rsidR="00BE7695" w:rsidRPr="004676F5">
        <w:rPr>
          <w:spacing w:val="-2"/>
          <w:lang w:val="de-DE"/>
        </w:rPr>
        <w:t>[§ 1 </w:t>
      </w:r>
      <w:r w:rsidR="005B7A5C" w:rsidRPr="004676F5">
        <w:rPr>
          <w:spacing w:val="-2"/>
          <w:lang w:val="de-DE"/>
        </w:rPr>
        <w:t>- </w:t>
      </w:r>
      <w:r w:rsidR="00BE7695" w:rsidRPr="004676F5">
        <w:rPr>
          <w:spacing w:val="-2"/>
          <w:lang w:val="de-DE"/>
        </w:rPr>
        <w:t>In besonderen Fällen und auf mit Gründen versehener Stellungnahme der in Artikel III.93 erwähnten Kommission für Buchführungsnormen kann der für Wirtschaftsangelegenheiten zuständige Minister oder sein Beauftragter Abweichungen von den aufgrund der Artikel III.84 Absatz 6, III.89 § 2, III.90 und III.91 festgelegten Regeln erlauben. Diese Befugnis wird auf dieselbe Weise von dem für den Mittelstand zuständigen Minister oder seinem Beauftragten ausgeübt für Gesellschaften und andere Unternehmen, die im Sinne des Gesellschaftsgesetzbuches als klein betrachtet werden können. Die Kommission für Buch</w:t>
      </w:r>
      <w:r w:rsidR="00EC6255" w:rsidRPr="004676F5">
        <w:rPr>
          <w:spacing w:val="-2"/>
          <w:lang w:val="de-DE"/>
        </w:rPr>
        <w:softHyphen/>
      </w:r>
      <w:r w:rsidR="00BE7695" w:rsidRPr="004676F5">
        <w:rPr>
          <w:spacing w:val="-2"/>
          <w:lang w:val="de-DE"/>
        </w:rPr>
        <w:t>führungsnormen wird vom Beschluss des Ministers oder seines Beauftragten in Kenntnis gesetzt.</w:t>
      </w:r>
    </w:p>
    <w:p w14:paraId="761A31FE" w14:textId="77777777" w:rsidR="00BE7695" w:rsidRPr="004676F5" w:rsidRDefault="00BE7695" w:rsidP="00BE7695">
      <w:pPr>
        <w:ind w:firstLine="708"/>
        <w:jc w:val="both"/>
        <w:rPr>
          <w:lang w:val="de-DE"/>
        </w:rPr>
      </w:pPr>
    </w:p>
    <w:p w14:paraId="4B278975" w14:textId="62890118" w:rsidR="00F6427E" w:rsidRPr="004676F5" w:rsidRDefault="00BE7695" w:rsidP="00BE7695">
      <w:pPr>
        <w:jc w:val="both"/>
        <w:rPr>
          <w:lang w:val="de-DE"/>
        </w:rPr>
      </w:pPr>
      <w:r w:rsidRPr="004676F5">
        <w:rPr>
          <w:lang w:val="de-DE"/>
        </w:rPr>
        <w:lastRenderedPageBreak/>
        <w:tab/>
        <w:t>§ 2 </w:t>
      </w:r>
      <w:r w:rsidR="005B7A5C" w:rsidRPr="004676F5">
        <w:rPr>
          <w:lang w:val="de-DE"/>
        </w:rPr>
        <w:t>- </w:t>
      </w:r>
      <w:r w:rsidRPr="004676F5">
        <w:rPr>
          <w:lang w:val="de-DE"/>
        </w:rPr>
        <w:t xml:space="preserve">In besonderen Fällen und auf mit Gründen versehener Stellungnahme der Kommission für Buchführungsnormen kann der für Justiz zuständige Minister oder sein Beauftragter erlauben, dass von den Artikeln 4 Absatz 6, 9 § 2 und 10 des Gesetzes vom 17. Juli 1975 über die Buchhaltung der Unternehmen </w:t>
      </w:r>
      <w:r w:rsidR="005B7A5C" w:rsidRPr="004676F5">
        <w:rPr>
          <w:lang w:val="de-DE"/>
        </w:rPr>
        <w:t>- </w:t>
      </w:r>
      <w:r w:rsidRPr="004676F5">
        <w:rPr>
          <w:lang w:val="de-DE"/>
        </w:rPr>
        <w:t>sofern diese durch den Königlichen Erlass vom 19. Dezember 2003 über die Buchhaltungspflichten und die Offenlegung des Jahresabschlusses bestimmter Vereinigungen ohne Gewinnerzielungsabsicht, internationaler Vereinigungen ohne Gewinnerzielungsabsicht und Stiftungen für anwendbar erklärt werden </w:t>
      </w:r>
      <w:r w:rsidR="005B7A5C" w:rsidRPr="004676F5">
        <w:rPr>
          <w:lang w:val="de-DE"/>
        </w:rPr>
        <w:t>- </w:t>
      </w:r>
      <w:r w:rsidRPr="004676F5">
        <w:rPr>
          <w:lang w:val="de-DE"/>
        </w:rPr>
        <w:t>und von den Bestimmungen des letzteren Königlichen Erlasses selbst abgewichen wird. Die Kommission für Buchführungsnormen wird vom Beschluss des Ministers oder seines Beauftragten in Kenntnis gesetzt.]</w:t>
      </w:r>
    </w:p>
    <w:p w14:paraId="37F54048" w14:textId="56AFEE69" w:rsidR="00BE7695" w:rsidRPr="004676F5" w:rsidRDefault="00BE7695" w:rsidP="00BE7695">
      <w:pPr>
        <w:jc w:val="both"/>
        <w:rPr>
          <w:lang w:val="de-DE"/>
        </w:rPr>
      </w:pPr>
    </w:p>
    <w:p w14:paraId="365A0D55" w14:textId="662F7183" w:rsidR="00BE7695" w:rsidRPr="004676F5" w:rsidRDefault="00BE7695" w:rsidP="00BE7695">
      <w:pPr>
        <w:jc w:val="both"/>
        <w:rPr>
          <w:i/>
          <w:lang w:val="de-DE"/>
        </w:rPr>
      </w:pPr>
      <w:r w:rsidRPr="004676F5">
        <w:rPr>
          <w:i/>
          <w:lang w:val="de-DE"/>
        </w:rPr>
        <w:t>[Art. III.94 ersetzt durch Art. 90</w:t>
      </w:r>
      <w:r w:rsidRPr="004676F5">
        <w:rPr>
          <w:i/>
          <w:iCs/>
          <w:lang w:val="de-DE"/>
        </w:rPr>
        <w:t xml:space="preserve"> des G. vom 15. April 2018 (B.S. vom 27. April 2018)]</w:t>
      </w:r>
    </w:p>
    <w:p w14:paraId="46D13A26" w14:textId="77777777" w:rsidR="00F6427E" w:rsidRPr="004676F5" w:rsidRDefault="00F6427E" w:rsidP="00F6427E">
      <w:pPr>
        <w:jc w:val="both"/>
        <w:rPr>
          <w:lang w:val="de-DE"/>
        </w:rPr>
      </w:pPr>
    </w:p>
    <w:p w14:paraId="63B0AC2E" w14:textId="77777777" w:rsidR="006C4762" w:rsidRPr="004676F5" w:rsidRDefault="006C4762" w:rsidP="00F6427E">
      <w:pPr>
        <w:jc w:val="both"/>
        <w:rPr>
          <w:lang w:val="de-DE"/>
        </w:rPr>
      </w:pPr>
    </w:p>
    <w:p w14:paraId="0BCA3B87" w14:textId="29BDC781" w:rsidR="00F6427E" w:rsidRPr="004676F5" w:rsidRDefault="00F6427E" w:rsidP="00F6427E">
      <w:pPr>
        <w:jc w:val="both"/>
        <w:rPr>
          <w:lang w:val="de-DE"/>
        </w:rPr>
      </w:pPr>
      <w:r w:rsidRPr="004676F5">
        <w:rPr>
          <w:lang w:val="de-DE"/>
        </w:rPr>
        <w:tab/>
      </w:r>
      <w:r w:rsidR="00BE0A56" w:rsidRPr="004676F5">
        <w:rPr>
          <w:b/>
          <w:lang w:val="de-DE"/>
        </w:rPr>
        <w:t>Art. </w:t>
      </w:r>
      <w:r w:rsidRPr="004676F5">
        <w:rPr>
          <w:b/>
          <w:lang w:val="de-DE"/>
        </w:rPr>
        <w:t>III.95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Artikel III.85 und die Artikel III.90 bis III.94 und die Erlasse zur Ausführung von Artikel III.84 </w:t>
      </w:r>
      <w:r w:rsidR="00D067D3" w:rsidRPr="004676F5">
        <w:rPr>
          <w:lang w:val="de-DE"/>
        </w:rPr>
        <w:t>[</w:t>
      </w:r>
      <w:r w:rsidRPr="004676F5">
        <w:rPr>
          <w:lang w:val="de-DE"/>
        </w:rPr>
        <w:t>Absatz </w:t>
      </w:r>
      <w:r w:rsidR="00D067D3" w:rsidRPr="004676F5">
        <w:rPr>
          <w:lang w:val="de-DE"/>
        </w:rPr>
        <w:t>7]</w:t>
      </w:r>
      <w:r w:rsidRPr="004676F5">
        <w:rPr>
          <w:lang w:val="de-DE"/>
        </w:rPr>
        <w:t xml:space="preserve"> und Artikel III.89 § 2 sind nicht anwendbar auf die Belgische Nationalbank, die Hinterlegungs</w:t>
      </w:r>
      <w:r w:rsidR="005B7A5C" w:rsidRPr="004676F5">
        <w:rPr>
          <w:lang w:val="de-DE"/>
        </w:rPr>
        <w:t>- </w:t>
      </w:r>
      <w:r w:rsidRPr="004676F5">
        <w:rPr>
          <w:lang w:val="de-DE"/>
        </w:rPr>
        <w:t xml:space="preserve">und Konsignationskasse, Kreditinstitute, </w:t>
      </w:r>
      <w:r w:rsidR="0012182F" w:rsidRPr="004676F5">
        <w:rPr>
          <w:lang w:val="de-DE"/>
        </w:rPr>
        <w:t>[die dem Gesetz vom 25. April 2014 über den Status und die Kontrolle der Kreditinstitute und der Börsengesellschaften unterliegen, und Investmentgesellschaften, die dem Gesetz vom 25. Oktober 2016 über den Zugang zu Wertpapierdienstleistungstätigkeiten und den Status und die Kontrolle der Vermögensverwaltungs</w:t>
      </w:r>
      <w:r w:rsidR="005B7A5C" w:rsidRPr="004676F5">
        <w:rPr>
          <w:lang w:val="de-DE"/>
        </w:rPr>
        <w:t>- </w:t>
      </w:r>
      <w:r w:rsidR="0012182F" w:rsidRPr="004676F5">
        <w:rPr>
          <w:lang w:val="de-DE"/>
        </w:rPr>
        <w:t>und Anlageberatungsgesellschaften unterliegen]</w:t>
      </w:r>
      <w:r w:rsidRPr="004676F5">
        <w:rPr>
          <w:lang w:val="de-DE"/>
        </w:rPr>
        <w:t>.</w:t>
      </w:r>
    </w:p>
    <w:p w14:paraId="685A6336" w14:textId="77777777" w:rsidR="00F6427E" w:rsidRPr="004676F5" w:rsidRDefault="00F6427E" w:rsidP="00F6427E">
      <w:pPr>
        <w:jc w:val="both"/>
        <w:rPr>
          <w:lang w:val="de-DE"/>
        </w:rPr>
      </w:pPr>
    </w:p>
    <w:p w14:paraId="6E9CFF28" w14:textId="1698EB93" w:rsidR="00F6427E" w:rsidRPr="004676F5" w:rsidRDefault="00F6427E" w:rsidP="00F6427E">
      <w:pPr>
        <w:jc w:val="both"/>
        <w:rPr>
          <w:lang w:val="de-DE"/>
        </w:rPr>
      </w:pPr>
      <w:r w:rsidRPr="004676F5">
        <w:rPr>
          <w:lang w:val="de-DE"/>
        </w:rPr>
        <w:tab/>
        <w:t>§ 2 </w:t>
      </w:r>
      <w:r w:rsidR="005B7A5C" w:rsidRPr="004676F5">
        <w:rPr>
          <w:lang w:val="de-DE"/>
        </w:rPr>
        <w:t>- </w:t>
      </w:r>
      <w:r w:rsidRPr="004676F5">
        <w:rPr>
          <w:lang w:val="de-DE"/>
        </w:rPr>
        <w:t>Artikel III.85 und Artikel III.90 § 2 Absatz 2 sind nicht anwendbar auf Versicherungsunternehmen, Unternehmen für Hypothekendarlehen und Kapitalisierungs</w:t>
      </w:r>
      <w:r w:rsidRPr="004676F5">
        <w:rPr>
          <w:lang w:val="de-DE"/>
        </w:rPr>
        <w:softHyphen/>
        <w:t>gesellschaften.</w:t>
      </w:r>
    </w:p>
    <w:p w14:paraId="17F59AFE" w14:textId="77777777" w:rsidR="00F6427E" w:rsidRPr="004676F5" w:rsidRDefault="00F6427E" w:rsidP="00F6427E">
      <w:pPr>
        <w:jc w:val="both"/>
        <w:rPr>
          <w:lang w:val="de-DE"/>
        </w:rPr>
      </w:pPr>
    </w:p>
    <w:p w14:paraId="4447C6AF" w14:textId="6107F599" w:rsidR="00F6427E" w:rsidRPr="004676F5" w:rsidRDefault="00F6427E" w:rsidP="00F6427E">
      <w:pPr>
        <w:jc w:val="both"/>
        <w:rPr>
          <w:lang w:val="de-DE"/>
        </w:rPr>
      </w:pPr>
      <w:r w:rsidRPr="004676F5">
        <w:rPr>
          <w:lang w:val="de-DE"/>
        </w:rPr>
        <w:tab/>
        <w:t xml:space="preserve">Artikel III.84 </w:t>
      </w:r>
      <w:r w:rsidR="00D067D3" w:rsidRPr="004676F5">
        <w:rPr>
          <w:lang w:val="de-DE"/>
        </w:rPr>
        <w:t>[</w:t>
      </w:r>
      <w:r w:rsidRPr="004676F5">
        <w:rPr>
          <w:lang w:val="de-DE"/>
        </w:rPr>
        <w:t>Absatz </w:t>
      </w:r>
      <w:r w:rsidR="00D067D3" w:rsidRPr="004676F5">
        <w:rPr>
          <w:lang w:val="de-DE"/>
        </w:rPr>
        <w:t>7]</w:t>
      </w:r>
      <w:r w:rsidRPr="004676F5">
        <w:rPr>
          <w:lang w:val="de-DE"/>
        </w:rPr>
        <w:t>, Artikel III.89 § 2, Artikel III.90 § 2 Absatz 1, Artikel III.91 § 2 und Artikel III.94 sind nicht anwendbar auf Versicherungsunternehmen, die vom König aufgrund der Rechtsvorschriften über die Kontrolle der Versicherungsunternehmen zugelassen sind.]</w:t>
      </w:r>
    </w:p>
    <w:p w14:paraId="109DFB33" w14:textId="77777777" w:rsidR="0012182F" w:rsidRPr="004676F5" w:rsidRDefault="0012182F" w:rsidP="00F6427E">
      <w:pPr>
        <w:jc w:val="both"/>
        <w:rPr>
          <w:lang w:val="de-DE"/>
        </w:rPr>
      </w:pPr>
    </w:p>
    <w:p w14:paraId="17BA7BEB" w14:textId="5E20CA59" w:rsidR="0012182F" w:rsidRPr="004676F5" w:rsidRDefault="0012182F" w:rsidP="00F6427E">
      <w:pPr>
        <w:jc w:val="both"/>
        <w:rPr>
          <w:i/>
          <w:lang w:val="de-DE"/>
        </w:rPr>
      </w:pPr>
      <w:r w:rsidRPr="004676F5">
        <w:rPr>
          <w:i/>
          <w:lang w:val="de-DE"/>
        </w:rPr>
        <w:t>[</w:t>
      </w:r>
      <w:r w:rsidR="00BE0A56" w:rsidRPr="004676F5">
        <w:rPr>
          <w:i/>
          <w:lang w:val="de-DE"/>
        </w:rPr>
        <w:t>Art. </w:t>
      </w:r>
      <w:r w:rsidRPr="004676F5">
        <w:rPr>
          <w:i/>
          <w:lang w:val="de-DE"/>
        </w:rPr>
        <w:t xml:space="preserve">III.95 § 1 abgeändert durch </w:t>
      </w:r>
      <w:r w:rsidR="00BE0A56" w:rsidRPr="004676F5">
        <w:rPr>
          <w:i/>
          <w:lang w:val="de-DE"/>
        </w:rPr>
        <w:t>Art. </w:t>
      </w:r>
      <w:r w:rsidRPr="004676F5">
        <w:rPr>
          <w:i/>
          <w:lang w:val="de-DE"/>
        </w:rPr>
        <w:t>171 des G. vom 25. Oktober 2016 (B.S. vom 18. November 2016)</w:t>
      </w:r>
      <w:r w:rsidR="00D067D3" w:rsidRPr="004676F5">
        <w:rPr>
          <w:i/>
          <w:lang w:val="de-DE"/>
        </w:rPr>
        <w:t xml:space="preserve"> und Art. 91</w:t>
      </w:r>
      <w:r w:rsidR="00D067D3" w:rsidRPr="004676F5">
        <w:rPr>
          <w:i/>
          <w:iCs/>
          <w:lang w:val="de-DE"/>
        </w:rPr>
        <w:t xml:space="preserve"> des G. vom 15. April 2018 (B.S. vom 27. April 2018); § 2 Abs. 2 abgeändert durch Art. 91 des G. vom 15. April 2018 (B.S. vom 27. April 2018)</w:t>
      </w:r>
      <w:r w:rsidRPr="004676F5">
        <w:rPr>
          <w:i/>
          <w:lang w:val="de-DE"/>
        </w:rPr>
        <w:t>]</w:t>
      </w:r>
    </w:p>
    <w:p w14:paraId="6830962C" w14:textId="77777777" w:rsidR="00F6427E" w:rsidRPr="004676F5" w:rsidRDefault="00F6427E" w:rsidP="00F6427E">
      <w:pPr>
        <w:jc w:val="center"/>
        <w:rPr>
          <w:lang w:val="de-DE"/>
        </w:rPr>
      </w:pPr>
    </w:p>
    <w:p w14:paraId="2AFE11D8" w14:textId="77777777" w:rsidR="00F6427E" w:rsidRPr="004676F5" w:rsidRDefault="00F6427E" w:rsidP="00F6427E">
      <w:pPr>
        <w:jc w:val="center"/>
        <w:rPr>
          <w:lang w:val="de-DE"/>
        </w:rPr>
      </w:pPr>
    </w:p>
    <w:p w14:paraId="6FFF489C" w14:textId="77777777" w:rsidR="00F76466" w:rsidRPr="004676F5" w:rsidRDefault="00F76466">
      <w:pPr>
        <w:rPr>
          <w:lang w:val="de-DE"/>
        </w:rPr>
      </w:pPr>
    </w:p>
    <w:p w14:paraId="2F916AE7" w14:textId="77777777" w:rsidR="00944733" w:rsidRPr="004676F5" w:rsidRDefault="00944733">
      <w:pPr>
        <w:rPr>
          <w:lang w:val="de-DE"/>
        </w:rPr>
      </w:pPr>
      <w:r w:rsidRPr="004676F5">
        <w:rPr>
          <w:lang w:val="de-DE"/>
        </w:rPr>
        <w:br w:type="page"/>
      </w:r>
    </w:p>
    <w:p w14:paraId="78BEFED9" w14:textId="1A2239F1" w:rsidR="00F76466" w:rsidRPr="004676F5" w:rsidRDefault="00F76466" w:rsidP="00F76466">
      <w:pPr>
        <w:jc w:val="center"/>
        <w:rPr>
          <w:lang w:val="de-DE"/>
        </w:rPr>
      </w:pPr>
      <w:r w:rsidRPr="004676F5">
        <w:rPr>
          <w:lang w:val="de-DE"/>
        </w:rPr>
        <w:lastRenderedPageBreak/>
        <w:t>[</w:t>
      </w:r>
      <w:r w:rsidRPr="004676F5">
        <w:rPr>
          <w:b/>
          <w:lang w:val="de-DE"/>
        </w:rPr>
        <w:t>BUCH IV </w:t>
      </w:r>
      <w:r w:rsidR="005B7A5C" w:rsidRPr="004676F5">
        <w:rPr>
          <w:b/>
          <w:lang w:val="de-DE"/>
        </w:rPr>
        <w:t>- </w:t>
      </w:r>
      <w:r w:rsidR="00BE3682" w:rsidRPr="004676F5">
        <w:rPr>
          <w:bCs/>
          <w:lang w:val="de-DE"/>
        </w:rPr>
        <w:t>[</w:t>
      </w:r>
      <w:r w:rsidRPr="004676F5">
        <w:rPr>
          <w:b/>
          <w:caps/>
          <w:lang w:val="de-DE"/>
        </w:rPr>
        <w:t>Schutz des Wettbewerbs</w:t>
      </w:r>
    </w:p>
    <w:p w14:paraId="5243D05A" w14:textId="77777777" w:rsidR="00F76466" w:rsidRPr="004676F5" w:rsidRDefault="00F76466" w:rsidP="00F76466">
      <w:pPr>
        <w:jc w:val="center"/>
        <w:rPr>
          <w:lang w:val="de-DE"/>
        </w:rPr>
      </w:pPr>
    </w:p>
    <w:p w14:paraId="0E9D00EA" w14:textId="77B61DF6" w:rsidR="00F76466" w:rsidRPr="004676F5" w:rsidRDefault="00F76466" w:rsidP="00F76466">
      <w:pPr>
        <w:jc w:val="both"/>
        <w:rPr>
          <w:i/>
          <w:lang w:val="de-DE"/>
        </w:rPr>
      </w:pPr>
      <w:r w:rsidRPr="004676F5">
        <w:rPr>
          <w:i/>
          <w:lang w:val="de-DE"/>
        </w:rPr>
        <w:t>[Buch</w:t>
      </w:r>
      <w:r w:rsidR="00BE3682" w:rsidRPr="004676F5">
        <w:rPr>
          <w:i/>
          <w:lang w:val="de-DE"/>
        </w:rPr>
        <w:t> </w:t>
      </w:r>
      <w:r w:rsidRPr="004676F5">
        <w:rPr>
          <w:i/>
          <w:lang w:val="de-DE"/>
        </w:rPr>
        <w:t xml:space="preserve">IV eingefügt durch </w:t>
      </w:r>
      <w:r w:rsidR="00BE0A56" w:rsidRPr="004676F5">
        <w:rPr>
          <w:i/>
          <w:lang w:val="de-DE"/>
        </w:rPr>
        <w:t>Art. </w:t>
      </w:r>
      <w:r w:rsidRPr="004676F5">
        <w:rPr>
          <w:i/>
          <w:lang w:val="de-DE"/>
        </w:rPr>
        <w:t>4 des G. vom 3. April 2013</w:t>
      </w:r>
      <w:r w:rsidR="00BE3682" w:rsidRPr="004676F5">
        <w:rPr>
          <w:i/>
          <w:lang w:val="de-DE"/>
        </w:rPr>
        <w:t> </w:t>
      </w:r>
      <w:r w:rsidR="0082197D" w:rsidRPr="004676F5">
        <w:rPr>
          <w:i/>
          <w:lang w:val="de-DE"/>
        </w:rPr>
        <w:t xml:space="preserve">(I) </w:t>
      </w:r>
      <w:r w:rsidRPr="004676F5">
        <w:rPr>
          <w:i/>
          <w:lang w:val="de-DE"/>
        </w:rPr>
        <w:t>(B.S. vom 26. April 2013)</w:t>
      </w:r>
      <w:r w:rsidR="00BE3682" w:rsidRPr="004676F5">
        <w:rPr>
          <w:i/>
          <w:lang w:val="de-DE"/>
        </w:rPr>
        <w:t xml:space="preserve"> und ersetzt durch Art. 3 des G. vom 2. Mai 2019 (V) (B.S. vom 24. Mai 2019)</w:t>
      </w:r>
      <w:r w:rsidRPr="004676F5">
        <w:rPr>
          <w:i/>
          <w:lang w:val="de-DE"/>
        </w:rPr>
        <w:t>]</w:t>
      </w:r>
    </w:p>
    <w:p w14:paraId="3838B9EB" w14:textId="77777777" w:rsidR="00F76466" w:rsidRPr="004676F5" w:rsidRDefault="00F76466" w:rsidP="00F76466">
      <w:pPr>
        <w:jc w:val="both"/>
        <w:rPr>
          <w:i/>
          <w:lang w:val="de-DE"/>
        </w:rPr>
      </w:pPr>
    </w:p>
    <w:p w14:paraId="73414CF3" w14:textId="77777777" w:rsidR="00F76466" w:rsidRPr="004676F5" w:rsidRDefault="00F76466" w:rsidP="00F76466">
      <w:pPr>
        <w:jc w:val="both"/>
        <w:rPr>
          <w:i/>
          <w:lang w:val="de-DE"/>
        </w:rPr>
      </w:pPr>
    </w:p>
    <w:p w14:paraId="2B320BA7" w14:textId="0EC2DE2E" w:rsidR="00F76466" w:rsidRPr="004676F5" w:rsidRDefault="00F76466" w:rsidP="00F76466">
      <w:pPr>
        <w:jc w:val="center"/>
        <w:rPr>
          <w:b/>
          <w:lang w:val="de-DE"/>
        </w:rPr>
      </w:pPr>
      <w:r w:rsidRPr="004676F5">
        <w:rPr>
          <w:b/>
          <w:lang w:val="de-DE"/>
        </w:rPr>
        <w:t>TITEL 1 </w:t>
      </w:r>
      <w:r w:rsidR="005B7A5C" w:rsidRPr="004676F5">
        <w:rPr>
          <w:b/>
          <w:lang w:val="de-DE"/>
        </w:rPr>
        <w:t>- </w:t>
      </w:r>
      <w:r w:rsidRPr="004676F5">
        <w:rPr>
          <w:b/>
          <w:i/>
          <w:lang w:val="de-DE"/>
        </w:rPr>
        <w:t>Wettbewerbsregeln</w:t>
      </w:r>
    </w:p>
    <w:p w14:paraId="39F5C56F" w14:textId="77777777" w:rsidR="00F76466" w:rsidRPr="004676F5" w:rsidRDefault="00F76466" w:rsidP="00F76466">
      <w:pPr>
        <w:jc w:val="center"/>
        <w:rPr>
          <w:lang w:val="de-DE"/>
        </w:rPr>
      </w:pPr>
    </w:p>
    <w:p w14:paraId="24A3FCE8" w14:textId="77777777" w:rsidR="00F76466" w:rsidRPr="004676F5" w:rsidRDefault="00F76466" w:rsidP="00F76466">
      <w:pPr>
        <w:jc w:val="center"/>
        <w:rPr>
          <w:lang w:val="de-DE"/>
        </w:rPr>
      </w:pPr>
    </w:p>
    <w:p w14:paraId="422A11FE" w14:textId="6F32D9EB" w:rsidR="00F76466" w:rsidRPr="004676F5" w:rsidRDefault="00F76466" w:rsidP="00F76466">
      <w:pPr>
        <w:jc w:val="center"/>
        <w:rPr>
          <w:iCs/>
          <w:lang w:val="de-DE"/>
        </w:rPr>
      </w:pPr>
      <w:r w:rsidRPr="004676F5">
        <w:rPr>
          <w:lang w:val="de-DE"/>
        </w:rPr>
        <w:t>KAPITEL 1 </w:t>
      </w:r>
      <w:r w:rsidR="005B7A5C" w:rsidRPr="004676F5">
        <w:rPr>
          <w:lang w:val="de-DE"/>
        </w:rPr>
        <w:t>- </w:t>
      </w:r>
      <w:r w:rsidR="00AF6977" w:rsidRPr="004676F5">
        <w:rPr>
          <w:lang w:val="de-DE"/>
        </w:rPr>
        <w:t>[</w:t>
      </w:r>
      <w:r w:rsidR="00AF6977" w:rsidRPr="004676F5">
        <w:rPr>
          <w:i/>
          <w:lang w:val="de-DE"/>
        </w:rPr>
        <w:t>Zuwiderhandlungen gegen das Wettbewerbsrecht</w:t>
      </w:r>
      <w:r w:rsidR="00AF6977" w:rsidRPr="004676F5">
        <w:rPr>
          <w:iCs/>
          <w:lang w:val="de-DE"/>
        </w:rPr>
        <w:t>]</w:t>
      </w:r>
    </w:p>
    <w:p w14:paraId="79B33D84" w14:textId="77777777" w:rsidR="00AF6977" w:rsidRPr="004676F5" w:rsidRDefault="00AF6977" w:rsidP="00F76466">
      <w:pPr>
        <w:jc w:val="center"/>
        <w:rPr>
          <w:iCs/>
          <w:lang w:val="de-DE"/>
        </w:rPr>
      </w:pPr>
    </w:p>
    <w:p w14:paraId="38471F17" w14:textId="5631A227" w:rsidR="00AF6977" w:rsidRPr="004676F5" w:rsidRDefault="00AF6977" w:rsidP="00AF6977">
      <w:pPr>
        <w:jc w:val="both"/>
        <w:rPr>
          <w:i/>
          <w:lang w:val="de-DE"/>
        </w:rPr>
      </w:pPr>
      <w:r w:rsidRPr="004676F5">
        <w:rPr>
          <w:i/>
          <w:lang w:val="de-DE"/>
        </w:rPr>
        <w:t>[Überschrift von Kapitel 1 ersetzt durch Art. 5 des G. vom 28. Februar 2022 (B.S. vom 7. März 2022)]</w:t>
      </w:r>
    </w:p>
    <w:p w14:paraId="63012293" w14:textId="77777777" w:rsidR="00F76466" w:rsidRPr="004676F5" w:rsidRDefault="00F76466" w:rsidP="00F76466">
      <w:pPr>
        <w:jc w:val="both"/>
        <w:rPr>
          <w:lang w:val="de-DE"/>
        </w:rPr>
      </w:pPr>
    </w:p>
    <w:p w14:paraId="3D98516C" w14:textId="77777777" w:rsidR="00F76466" w:rsidRPr="004676F5" w:rsidRDefault="00F76466" w:rsidP="00F76466">
      <w:pPr>
        <w:jc w:val="both"/>
        <w:rPr>
          <w:lang w:val="de-DE"/>
        </w:rPr>
      </w:pPr>
    </w:p>
    <w:p w14:paraId="369A74A8" w14:textId="63AD3840" w:rsidR="00BE3682" w:rsidRPr="004676F5" w:rsidRDefault="00BE0A56" w:rsidP="007854CD">
      <w:pPr>
        <w:ind w:firstLine="708"/>
        <w:jc w:val="both"/>
        <w:rPr>
          <w:rFonts w:eastAsia="Calibri"/>
          <w:kern w:val="2"/>
          <w:lang w:val="de-DE" w:eastAsia="en-US"/>
          <w14:ligatures w14:val="standardContextual"/>
        </w:rPr>
      </w:pPr>
      <w:r w:rsidRPr="004676F5">
        <w:rPr>
          <w:b/>
          <w:lang w:val="de-DE"/>
        </w:rPr>
        <w:t>Art. </w:t>
      </w:r>
      <w:r w:rsidR="00F76466" w:rsidRPr="004676F5">
        <w:rPr>
          <w:b/>
          <w:lang w:val="de-DE"/>
        </w:rPr>
        <w:t>IV.1</w:t>
      </w:r>
      <w:r w:rsidR="00F76466" w:rsidRPr="004676F5">
        <w:rPr>
          <w:lang w:val="de-DE"/>
        </w:rPr>
        <w:t> </w:t>
      </w:r>
      <w:r w:rsidR="005B7A5C" w:rsidRPr="004676F5">
        <w:rPr>
          <w:lang w:val="de-DE"/>
        </w:rPr>
        <w:t>- </w:t>
      </w:r>
      <w:r w:rsidR="00BE3682" w:rsidRPr="004676F5">
        <w:rPr>
          <w:rFonts w:eastAsia="Calibri"/>
          <w:kern w:val="2"/>
          <w:szCs w:val="22"/>
          <w:lang w:val="de-DE" w:eastAsia="en-US"/>
          <w14:ligatures w14:val="standardContextual"/>
        </w:rPr>
        <w:t>§ 1 ­ Verboten sind, ohne dass dies einer vorherigen Entscheidung bedarf, Vereinbarungen zwischen Unternehmen, Beschlüsse von Unternehmensvereinigungen und aufeinander abgestimmte Verhaltensweisen, die eine merkliche Verhinderung, Einschränkung oder Verfälschung des Wettbewerbs auf dem betreffenden belgischen Markt oder auf einem wesentlichen Teil davon bezwecken oder bewirken, insbesondere:</w:t>
      </w:r>
    </w:p>
    <w:p w14:paraId="5E7A34D6" w14:textId="77777777" w:rsidR="00BE3682" w:rsidRPr="004676F5" w:rsidRDefault="00BE3682" w:rsidP="00BE3682">
      <w:pPr>
        <w:jc w:val="both"/>
        <w:rPr>
          <w:rFonts w:eastAsia="Calibri"/>
          <w:kern w:val="2"/>
          <w:lang w:val="de-DE" w:eastAsia="en-US"/>
          <w14:ligatures w14:val="standardContextual"/>
        </w:rPr>
      </w:pPr>
    </w:p>
    <w:p w14:paraId="1149CD7D" w14:textId="38A3377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die unmittelbare oder mittelbare Festsetzung der An</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Verkaufspreise oder sonstiger Geschäftsbedingungen,</w:t>
      </w:r>
    </w:p>
    <w:p w14:paraId="575CDC6C" w14:textId="77777777" w:rsidR="00BE3682" w:rsidRPr="004676F5" w:rsidRDefault="00BE3682" w:rsidP="00BE3682">
      <w:pPr>
        <w:jc w:val="both"/>
        <w:rPr>
          <w:rFonts w:eastAsia="Calibri"/>
          <w:kern w:val="2"/>
          <w:lang w:val="de-DE" w:eastAsia="en-US"/>
          <w14:ligatures w14:val="standardContextual"/>
        </w:rPr>
      </w:pPr>
    </w:p>
    <w:p w14:paraId="2080F4E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die Einschränkung oder Kontrolle der Erzeugung, des Absatzes, der technischen Entwicklung oder der Investitionen,</w:t>
      </w:r>
    </w:p>
    <w:p w14:paraId="0E40EBD6" w14:textId="77777777" w:rsidR="00BE3682" w:rsidRPr="004676F5" w:rsidRDefault="00BE3682" w:rsidP="00BE3682">
      <w:pPr>
        <w:jc w:val="both"/>
        <w:rPr>
          <w:rFonts w:eastAsia="Calibri"/>
          <w:kern w:val="2"/>
          <w:lang w:val="de-DE" w:eastAsia="en-US"/>
          <w14:ligatures w14:val="standardContextual"/>
        </w:rPr>
      </w:pPr>
    </w:p>
    <w:p w14:paraId="6BA42C0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die Aufteilung der Märkte oder Versorgungsquellen,</w:t>
      </w:r>
    </w:p>
    <w:p w14:paraId="14393C92" w14:textId="77777777" w:rsidR="00BE3682" w:rsidRPr="004676F5" w:rsidRDefault="00BE3682" w:rsidP="00BE3682">
      <w:pPr>
        <w:jc w:val="both"/>
        <w:rPr>
          <w:rFonts w:eastAsia="Calibri"/>
          <w:kern w:val="2"/>
          <w:lang w:val="de-DE" w:eastAsia="en-US"/>
          <w14:ligatures w14:val="standardContextual"/>
        </w:rPr>
      </w:pPr>
    </w:p>
    <w:p w14:paraId="72D5599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4. die Anwendung unterschiedlicher Bedingungen bei gleichwertigen Leistungen gegenüber Handelspartnern, wodurch diese im Wettbewerb benachteiligt werden,</w:t>
      </w:r>
    </w:p>
    <w:p w14:paraId="7DDC0585" w14:textId="77777777" w:rsidR="00BE3682" w:rsidRPr="004676F5" w:rsidRDefault="00BE3682" w:rsidP="00BE3682">
      <w:pPr>
        <w:jc w:val="both"/>
        <w:rPr>
          <w:rFonts w:eastAsia="Calibri"/>
          <w:kern w:val="2"/>
          <w:lang w:val="de-DE" w:eastAsia="en-US"/>
          <w14:ligatures w14:val="standardContextual"/>
        </w:rPr>
      </w:pPr>
    </w:p>
    <w:p w14:paraId="7CCCBAB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5. die an den Abschluss von Verträgen geknüpfte Bedingung, dass die Vertragspartner zusätzliche Leistungen annehmen, die weder sachlich noch nach Handelsbrauch in Beziehung zum Vertragsgegenstand stehen.</w:t>
      </w:r>
    </w:p>
    <w:p w14:paraId="55242B57" w14:textId="77777777" w:rsidR="00BE3682" w:rsidRPr="004676F5" w:rsidRDefault="00BE3682" w:rsidP="00BE3682">
      <w:pPr>
        <w:jc w:val="both"/>
        <w:rPr>
          <w:rFonts w:eastAsia="Calibri"/>
          <w:kern w:val="2"/>
          <w:lang w:val="de-DE" w:eastAsia="en-US"/>
          <w14:ligatures w14:val="standardContextual"/>
        </w:rPr>
      </w:pPr>
    </w:p>
    <w:p w14:paraId="679F843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Aufgrund des vorliegenden Artikels verbotene Vereinbarungen oder Beschlüsse sind von Rechts wegen nichtig.</w:t>
      </w:r>
    </w:p>
    <w:p w14:paraId="6DA11DFB" w14:textId="77777777" w:rsidR="00BE3682" w:rsidRPr="004676F5" w:rsidRDefault="00BE3682" w:rsidP="00BE3682">
      <w:pPr>
        <w:jc w:val="both"/>
        <w:rPr>
          <w:rFonts w:eastAsia="Calibri"/>
          <w:kern w:val="2"/>
          <w:lang w:val="de-DE" w:eastAsia="en-US"/>
          <w14:ligatures w14:val="standardContextual"/>
        </w:rPr>
      </w:pPr>
    </w:p>
    <w:p w14:paraId="59080FC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Jedoch sind die Bestimmungen von § 1 nicht anwendbar auf:</w:t>
      </w:r>
    </w:p>
    <w:p w14:paraId="25515CC5" w14:textId="77777777" w:rsidR="00BE3682" w:rsidRPr="004676F5" w:rsidRDefault="00BE3682" w:rsidP="00BE3682">
      <w:pPr>
        <w:jc w:val="both"/>
        <w:rPr>
          <w:rFonts w:eastAsia="Calibri"/>
          <w:kern w:val="2"/>
          <w:lang w:val="de-DE" w:eastAsia="en-US"/>
          <w14:ligatures w14:val="standardContextual"/>
        </w:rPr>
      </w:pPr>
    </w:p>
    <w:p w14:paraId="3D60BC7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Vereinbarungen oder Gruppen von Vereinbarungen zwischen Unternehmen,</w:t>
      </w:r>
    </w:p>
    <w:p w14:paraId="432C2030" w14:textId="77777777" w:rsidR="00BE3682" w:rsidRPr="004676F5" w:rsidRDefault="00BE3682" w:rsidP="00BE3682">
      <w:pPr>
        <w:jc w:val="both"/>
        <w:rPr>
          <w:rFonts w:eastAsia="Calibri"/>
          <w:kern w:val="2"/>
          <w:lang w:val="de-DE" w:eastAsia="en-US"/>
          <w14:ligatures w14:val="standardContextual"/>
        </w:rPr>
      </w:pPr>
    </w:p>
    <w:p w14:paraId="0EDBB94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Beschlüsse oder Gruppen von Beschlüssen von Unternehmensvereinigungen und</w:t>
      </w:r>
    </w:p>
    <w:p w14:paraId="1E601C49" w14:textId="77777777" w:rsidR="00BE3682" w:rsidRPr="004676F5" w:rsidRDefault="00BE3682" w:rsidP="00BE3682">
      <w:pPr>
        <w:jc w:val="both"/>
        <w:rPr>
          <w:rFonts w:eastAsia="Calibri"/>
          <w:kern w:val="2"/>
          <w:lang w:val="de-DE" w:eastAsia="en-US"/>
          <w14:ligatures w14:val="standardContextual"/>
        </w:rPr>
      </w:pPr>
    </w:p>
    <w:p w14:paraId="6829CC2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aufeinander abgestimmte Verhaltensweisen oder Gruppen von solchen Verhaltensweisen,</w:t>
      </w:r>
    </w:p>
    <w:p w14:paraId="268AA1E8" w14:textId="77777777" w:rsidR="00BE3682" w:rsidRPr="004676F5" w:rsidRDefault="00BE3682" w:rsidP="00BE3682">
      <w:pPr>
        <w:jc w:val="both"/>
        <w:rPr>
          <w:rFonts w:eastAsia="Calibri"/>
          <w:kern w:val="2"/>
          <w:lang w:val="de-DE" w:eastAsia="en-US"/>
          <w14:ligatures w14:val="standardContextual"/>
        </w:rPr>
      </w:pPr>
    </w:p>
    <w:p w14:paraId="653F859A" w14:textId="77777777" w:rsidR="006F0E54" w:rsidRPr="004676F5" w:rsidRDefault="006F0E54">
      <w:pPr>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br w:type="page"/>
      </w:r>
    </w:p>
    <w:p w14:paraId="2F7206AB" w14:textId="56932000"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die unter angemessener Beteiligung der Verbraucher an dem entstehenden Gewinn zur Verbesserung der Warenerzeugung oder -verteilung oder zur Förderung des technischen oder wirtschaftlichen Fortschritts beitragen oder es kleinen und mittleren Betrieben ermöglichen, ihre Wettbewerbsstellung auf dem betreffenden Markt oder auf dem internationalen Markt zu festigen, ohne dass den beteiligten Unternehmen:</w:t>
      </w:r>
    </w:p>
    <w:p w14:paraId="4476893D" w14:textId="77777777" w:rsidR="00BE3682" w:rsidRPr="004676F5" w:rsidRDefault="00BE3682" w:rsidP="00BE3682">
      <w:pPr>
        <w:jc w:val="both"/>
        <w:rPr>
          <w:rFonts w:eastAsia="Calibri"/>
          <w:kern w:val="2"/>
          <w:lang w:val="de-DE" w:eastAsia="en-US"/>
          <w14:ligatures w14:val="standardContextual"/>
        </w:rPr>
      </w:pPr>
    </w:p>
    <w:p w14:paraId="127BCF1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a)</w:t>
      </w:r>
      <w:r w:rsidRPr="004676F5">
        <w:rPr>
          <w:rFonts w:eastAsia="Calibri"/>
          <w:kern w:val="2"/>
          <w:szCs w:val="22"/>
          <w:lang w:val="de-DE" w:eastAsia="en-US"/>
          <w14:ligatures w14:val="standardContextual"/>
        </w:rPr>
        <w:t> Beschränkungen auferlegt werden, die für die Verwirklichung dieser Ziele nicht unerlässlich sind, oder</w:t>
      </w:r>
    </w:p>
    <w:p w14:paraId="32C373DA" w14:textId="77777777" w:rsidR="00BE3682" w:rsidRPr="004676F5" w:rsidRDefault="00BE3682" w:rsidP="00BE3682">
      <w:pPr>
        <w:jc w:val="both"/>
        <w:rPr>
          <w:rFonts w:eastAsia="Calibri"/>
          <w:kern w:val="2"/>
          <w:lang w:val="de-DE" w:eastAsia="en-US"/>
          <w14:ligatures w14:val="standardContextual"/>
        </w:rPr>
      </w:pPr>
    </w:p>
    <w:p w14:paraId="0F40404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b)</w:t>
      </w:r>
      <w:r w:rsidRPr="004676F5">
        <w:rPr>
          <w:rFonts w:eastAsia="Calibri"/>
          <w:kern w:val="2"/>
          <w:szCs w:val="22"/>
          <w:lang w:val="de-DE" w:eastAsia="en-US"/>
          <w14:ligatures w14:val="standardContextual"/>
        </w:rPr>
        <w:t> Möglichkeiten eröffnet werden, für einen wesentlichen Teil der betreffenden Waren den Wettbewerb auszuschalten.</w:t>
      </w:r>
    </w:p>
    <w:p w14:paraId="2EEE7B3F" w14:textId="77777777" w:rsidR="00BE3682" w:rsidRPr="004676F5" w:rsidRDefault="00BE3682" w:rsidP="00BE3682">
      <w:pPr>
        <w:jc w:val="both"/>
        <w:rPr>
          <w:rFonts w:eastAsia="Calibri"/>
          <w:kern w:val="2"/>
          <w:lang w:val="de-DE" w:eastAsia="en-US"/>
          <w14:ligatures w14:val="standardContextual"/>
        </w:rPr>
      </w:pPr>
    </w:p>
    <w:p w14:paraId="0DFAF41C" w14:textId="310B1EB6"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Natürlichen Personen ist es verboten, im Rahmen der Geschäftstätigkeit eines Unternehmens oder einer Unternehmensvereinigung mit einem oder mehreren Konkurrenten zu verhandeln, Vereinbarungen zu treffen, Beschlüsse zu fassen oder sich abzustimmen über:</w:t>
      </w:r>
    </w:p>
    <w:p w14:paraId="6F738FF0" w14:textId="77777777" w:rsidR="00BE3682" w:rsidRPr="004676F5" w:rsidRDefault="00BE3682" w:rsidP="00BE3682">
      <w:pPr>
        <w:jc w:val="both"/>
        <w:rPr>
          <w:rFonts w:eastAsia="Calibri"/>
          <w:kern w:val="2"/>
          <w:lang w:val="de-DE" w:eastAsia="en-US"/>
          <w14:ligatures w14:val="standardContextual"/>
        </w:rPr>
      </w:pPr>
    </w:p>
    <w:p w14:paraId="3F65EC1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die Festsetzung der Preise beim Verkauf von Waren an Dritte,</w:t>
      </w:r>
    </w:p>
    <w:p w14:paraId="441FED2D" w14:textId="77777777" w:rsidR="00BE3682" w:rsidRPr="004676F5" w:rsidRDefault="00BE3682" w:rsidP="00BE3682">
      <w:pPr>
        <w:jc w:val="both"/>
        <w:rPr>
          <w:rFonts w:eastAsia="Calibri"/>
          <w:kern w:val="2"/>
          <w:lang w:val="de-DE" w:eastAsia="en-US"/>
          <w14:ligatures w14:val="standardContextual"/>
        </w:rPr>
      </w:pPr>
    </w:p>
    <w:p w14:paraId="17DAAC9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die Einschränkung der Erzeugung oder des Verkaufs von Waren,</w:t>
      </w:r>
    </w:p>
    <w:p w14:paraId="3B1CF800" w14:textId="77777777" w:rsidR="00BE3682" w:rsidRPr="004676F5" w:rsidRDefault="00BE3682" w:rsidP="00BE3682">
      <w:pPr>
        <w:jc w:val="both"/>
        <w:rPr>
          <w:rFonts w:eastAsia="Calibri"/>
          <w:kern w:val="2"/>
          <w:lang w:val="de-DE" w:eastAsia="en-US"/>
          <w14:ligatures w14:val="standardContextual"/>
        </w:rPr>
      </w:pPr>
    </w:p>
    <w:p w14:paraId="6162E03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die Zuweisung von Märkten oder Kunden.</w:t>
      </w:r>
    </w:p>
    <w:p w14:paraId="2941152C" w14:textId="77777777" w:rsidR="00BE3682" w:rsidRPr="004676F5" w:rsidRDefault="00BE3682" w:rsidP="00BE3682">
      <w:pPr>
        <w:jc w:val="both"/>
        <w:rPr>
          <w:rFonts w:eastAsia="Calibri"/>
          <w:kern w:val="2"/>
          <w:lang w:val="de-DE" w:eastAsia="en-US"/>
          <w14:ligatures w14:val="standardContextual"/>
        </w:rPr>
      </w:pPr>
    </w:p>
    <w:p w14:paraId="40D5F56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Ein Verstoß gegen das in Absatz 1 erwähnte Verbot kann nur festgestellt werden, wenn die Vereinbarung, der Beschluss oder die aufeinander abgestimmte Verhaltensweise Teil eines in derselben Sache vom Wettbewerbskollegium oder vom Auditor festgestellten Verstoßes gegen das in § 1 erwähnte Verbot ist, der von dem Unternehmen oder der Unternehmens</w:t>
      </w:r>
      <w:r w:rsidRPr="004676F5">
        <w:rPr>
          <w:rFonts w:eastAsia="Calibri"/>
          <w:kern w:val="2"/>
          <w:szCs w:val="22"/>
          <w:lang w:val="de-DE" w:eastAsia="en-US"/>
          <w14:ligatures w14:val="standardContextual"/>
        </w:rPr>
        <w:softHyphen/>
        <w:t>vereinigung im Rahmen von Geschäftstätigkeiten begangen wurde, an denen die betreffende natürliche Person beteiligt war.</w:t>
      </w:r>
    </w:p>
    <w:p w14:paraId="6B334D26" w14:textId="77777777" w:rsidR="00BE3682" w:rsidRPr="004676F5" w:rsidRDefault="00BE3682" w:rsidP="00BE3682">
      <w:pPr>
        <w:jc w:val="both"/>
        <w:rPr>
          <w:rFonts w:eastAsia="Calibri"/>
          <w:kern w:val="2"/>
          <w:lang w:val="de-DE" w:eastAsia="en-US"/>
          <w14:ligatures w14:val="standardContextual"/>
        </w:rPr>
      </w:pPr>
    </w:p>
    <w:p w14:paraId="2A238C8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In Abweichung von Absatz 2 kann in Fällen, in denen das Unternehmen oder die Unternehmensvereinigung nicht mehr existiert und keinen Rechtsnachfolger hat, die Untersuchung durchgeführt und die Entscheidung getroffen werden gegenüber der natürlichen Person allein.</w:t>
      </w:r>
    </w:p>
    <w:p w14:paraId="30D25209" w14:textId="77777777" w:rsidR="00BE3682" w:rsidRPr="004676F5" w:rsidRDefault="00BE3682" w:rsidP="00BE3682">
      <w:pPr>
        <w:jc w:val="both"/>
        <w:rPr>
          <w:rFonts w:eastAsia="Calibri"/>
          <w:kern w:val="2"/>
          <w:lang w:val="de-DE" w:eastAsia="en-US"/>
          <w14:ligatures w14:val="standardContextual"/>
        </w:rPr>
      </w:pPr>
    </w:p>
    <w:p w14:paraId="4B8543EF" w14:textId="77777777" w:rsidR="007854CD" w:rsidRPr="004676F5" w:rsidRDefault="007854CD" w:rsidP="00BE3682">
      <w:pPr>
        <w:jc w:val="both"/>
        <w:rPr>
          <w:rFonts w:eastAsia="Calibri"/>
          <w:kern w:val="2"/>
          <w:lang w:val="de-DE" w:eastAsia="en-US"/>
          <w14:ligatures w14:val="standardContextual"/>
        </w:rPr>
      </w:pPr>
    </w:p>
    <w:p w14:paraId="0FA1F1F3" w14:textId="033A1C78"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IV.2</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Verboten ist, ohne dass dies einer vorherigen Entscheidung bedarf, die missbräuchliche Ausnutzung einer beherrschenden Stellung auf dem betreffenden belgischen Markt oder auf einem wesentlichen Teil davon durch ein oder mehrere Unternehmen.</w:t>
      </w:r>
    </w:p>
    <w:p w14:paraId="52CBA01D" w14:textId="77777777" w:rsidR="00BE3682" w:rsidRPr="004676F5" w:rsidRDefault="00BE3682" w:rsidP="00BE3682">
      <w:pPr>
        <w:jc w:val="both"/>
        <w:rPr>
          <w:rFonts w:eastAsia="Calibri"/>
          <w:kern w:val="2"/>
          <w:lang w:val="de-DE" w:eastAsia="en-US"/>
          <w14:ligatures w14:val="standardContextual"/>
        </w:rPr>
      </w:pPr>
    </w:p>
    <w:p w14:paraId="68CA522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Dieser Missbrauch kann insbesondere in Folgendem bestehen:</w:t>
      </w:r>
    </w:p>
    <w:p w14:paraId="34BE5EF0" w14:textId="77777777" w:rsidR="00BE3682" w:rsidRPr="004676F5" w:rsidRDefault="00BE3682" w:rsidP="00BE3682">
      <w:pPr>
        <w:jc w:val="both"/>
        <w:rPr>
          <w:rFonts w:eastAsia="Calibri"/>
          <w:kern w:val="2"/>
          <w:lang w:val="de-DE" w:eastAsia="en-US"/>
          <w14:ligatures w14:val="standardContextual"/>
        </w:rPr>
      </w:pPr>
    </w:p>
    <w:p w14:paraId="064CDC95" w14:textId="55D17AD8"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der unmittelbaren oder mittelbaren Erzwingung von unangemessenen Einkaufs</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Verkaufspreisen oder sonstigen Geschäftsbedingungen,</w:t>
      </w:r>
    </w:p>
    <w:p w14:paraId="4DB6E6DE" w14:textId="77777777" w:rsidR="00BE3682" w:rsidRPr="004676F5" w:rsidRDefault="00BE3682" w:rsidP="00BE3682">
      <w:pPr>
        <w:jc w:val="both"/>
        <w:rPr>
          <w:rFonts w:eastAsia="Calibri"/>
          <w:kern w:val="2"/>
          <w:lang w:val="de-DE" w:eastAsia="en-US"/>
          <w14:ligatures w14:val="standardContextual"/>
        </w:rPr>
      </w:pPr>
    </w:p>
    <w:p w14:paraId="7CC3A8F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der Einschränkung der Erzeugung, des Absatzes oder der technischen Entwicklung zum Schaden der Verbraucher,</w:t>
      </w:r>
    </w:p>
    <w:p w14:paraId="7935EF28" w14:textId="77777777" w:rsidR="00BE3682" w:rsidRPr="004676F5" w:rsidRDefault="00BE3682" w:rsidP="00BE3682">
      <w:pPr>
        <w:jc w:val="both"/>
        <w:rPr>
          <w:rFonts w:eastAsia="Calibri"/>
          <w:kern w:val="2"/>
          <w:lang w:val="de-DE" w:eastAsia="en-US"/>
          <w14:ligatures w14:val="standardContextual"/>
        </w:rPr>
      </w:pPr>
    </w:p>
    <w:p w14:paraId="2524D33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der Anwendung unterschiedlicher Bedingungen bei gleichwertigen Leistungen gegenüber Handelspartnern, wodurch diese im Wettbewerb benachteiligt werden,</w:t>
      </w:r>
    </w:p>
    <w:p w14:paraId="10C86876" w14:textId="77777777" w:rsidR="00BE3682" w:rsidRPr="004676F5" w:rsidRDefault="00BE3682" w:rsidP="00BE3682">
      <w:pPr>
        <w:jc w:val="both"/>
        <w:rPr>
          <w:rFonts w:eastAsia="Calibri"/>
          <w:kern w:val="2"/>
          <w:lang w:val="de-DE" w:eastAsia="en-US"/>
          <w14:ligatures w14:val="standardContextual"/>
        </w:rPr>
      </w:pPr>
    </w:p>
    <w:p w14:paraId="735C2B2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4. der an den Abschluss von Verträgen geknüpften Bedingung, dass die Vertragspartner zusätzliche Leistungen annehmen, die weder sachlich noch nach Handelsbrauch in Beziehung zum Vertragsgegenstand stehen.</w:t>
      </w:r>
    </w:p>
    <w:p w14:paraId="31F0E238" w14:textId="77777777" w:rsidR="00BE3682" w:rsidRPr="004676F5" w:rsidRDefault="00BE3682" w:rsidP="00BE3682">
      <w:pPr>
        <w:jc w:val="both"/>
        <w:rPr>
          <w:rFonts w:eastAsia="Calibri"/>
          <w:kern w:val="2"/>
          <w:lang w:val="de-DE" w:eastAsia="en-US"/>
          <w14:ligatures w14:val="standardContextual"/>
        </w:rPr>
      </w:pPr>
    </w:p>
    <w:p w14:paraId="75A5F436" w14:textId="77777777" w:rsidR="007854CD" w:rsidRPr="004676F5" w:rsidRDefault="007854CD" w:rsidP="00BE3682">
      <w:pPr>
        <w:jc w:val="both"/>
        <w:rPr>
          <w:rFonts w:eastAsia="Calibri"/>
          <w:kern w:val="2"/>
          <w:lang w:val="de-DE" w:eastAsia="en-US"/>
          <w14:ligatures w14:val="standardContextual"/>
        </w:rPr>
      </w:pPr>
    </w:p>
    <w:p w14:paraId="012350D8" w14:textId="3EF38F4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IV.3</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Das Verbot von Artikel IV.1 § 1 ist nicht auf Vereinbarungen, Beschlüsse von Unternehmensvereinigungen und aufeinander abgestimmte Verhaltensweisen anwendbar, für die Artikel 101 Absatz 3 AEUV durch eine Verordnung des Rates der Europäischen Union oder durch Verordnung oder Entscheidung der Europäischen Kommission für anwendbar erklärt worden ist.</w:t>
      </w:r>
    </w:p>
    <w:p w14:paraId="42E1216C" w14:textId="77777777" w:rsidR="00BE3682" w:rsidRPr="004676F5" w:rsidRDefault="00BE3682" w:rsidP="00BE3682">
      <w:pPr>
        <w:jc w:val="both"/>
        <w:rPr>
          <w:rFonts w:eastAsia="Calibri"/>
          <w:kern w:val="2"/>
          <w:lang w:val="de-DE" w:eastAsia="en-US"/>
          <w14:ligatures w14:val="standardContextual"/>
        </w:rPr>
      </w:pPr>
    </w:p>
    <w:p w14:paraId="51CBF37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Verbot von Artikel IV.1 § 1 ist nicht auf Vereinbarungen, Beschlüsse von Unternehmensvereinigungen und aufeinander abgestimmte Verhaltensweisen anwendbar, die den Handel zwischen Mitgliedstaaten nicht beeinträchtigen oder den Wettbewerb auf dem Binnenmarkt weder einschränken noch verhindern noch verfälschen, jedoch den Schutz einer in Absatz 1 erwähnten Verordnung genießen könnten, wenn sie diesen Handel beeinträchtigt hätten oder diesen Wettbewerb eingeschränkt, verhindert oder verfälscht hätten.</w:t>
      </w:r>
    </w:p>
    <w:p w14:paraId="1849041D" w14:textId="77777777" w:rsidR="00BE3682" w:rsidRPr="004676F5" w:rsidRDefault="00BE3682" w:rsidP="00BE3682">
      <w:pPr>
        <w:jc w:val="both"/>
        <w:rPr>
          <w:rFonts w:eastAsia="Calibri"/>
          <w:kern w:val="2"/>
          <w:lang w:val="de-DE" w:eastAsia="en-US"/>
          <w14:ligatures w14:val="standardContextual"/>
        </w:rPr>
      </w:pPr>
    </w:p>
    <w:p w14:paraId="01B92F99" w14:textId="77777777" w:rsidR="007854CD" w:rsidRPr="004676F5" w:rsidRDefault="007854CD" w:rsidP="00BE3682">
      <w:pPr>
        <w:jc w:val="both"/>
        <w:rPr>
          <w:rFonts w:eastAsia="Calibri"/>
          <w:kern w:val="2"/>
          <w:lang w:val="de-DE" w:eastAsia="en-US"/>
          <w14:ligatures w14:val="standardContextual"/>
        </w:rPr>
      </w:pPr>
    </w:p>
    <w:p w14:paraId="442F901F" w14:textId="69F0BF70"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IV.4</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Das Verbot von Artikel IV.1 § 1 ist nicht auf Vereinbarungen, Beschlüsse von Unternehmensvereinigungen und aufeinander abgestimmte Verhaltensweisen von Unternehmen anwendbar, die in den Anwendungsbereich eines Königlichen Erlasses zur Ausführung von Artikel IV.5 fallen.</w:t>
      </w:r>
    </w:p>
    <w:p w14:paraId="6FB8C8F4" w14:textId="77777777" w:rsidR="00BE3682" w:rsidRPr="004676F5" w:rsidRDefault="00BE3682" w:rsidP="00BE3682">
      <w:pPr>
        <w:jc w:val="both"/>
        <w:rPr>
          <w:rFonts w:eastAsia="Calibri"/>
          <w:kern w:val="2"/>
          <w:lang w:val="de-DE" w:eastAsia="en-US"/>
          <w14:ligatures w14:val="standardContextual"/>
        </w:rPr>
      </w:pPr>
    </w:p>
    <w:p w14:paraId="62C90317" w14:textId="77777777" w:rsidR="007854CD" w:rsidRPr="004676F5" w:rsidRDefault="007854CD" w:rsidP="00BE3682">
      <w:pPr>
        <w:jc w:val="both"/>
        <w:rPr>
          <w:rFonts w:eastAsia="Calibri"/>
          <w:kern w:val="2"/>
          <w:lang w:val="de-DE" w:eastAsia="en-US"/>
          <w14:ligatures w14:val="standardContextual"/>
        </w:rPr>
      </w:pPr>
    </w:p>
    <w:p w14:paraId="1F0234B9" w14:textId="47AC15B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IV.5</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Der König kann nach Stellungnahme des Besonderen Beratungsausschusses Wettbewerb und der Belgischen Wettbewerbsbehörde durch einen mit Gründen versehenen und im Ministerrat beratenen Königlichen Erlass erklären, dass in Anwendung von Artikel IV.1 § 3 Artikel IV.1 § 1 auf Gruppen von Vereinbarungen, Beschlüssen und aufeinander abgestimmten Verhaltensweisen nicht anwendbar ist.</w:t>
      </w:r>
    </w:p>
    <w:p w14:paraId="32AD6F41" w14:textId="77777777" w:rsidR="00BE3682" w:rsidRPr="004676F5" w:rsidRDefault="00BE3682" w:rsidP="00BE3682">
      <w:pPr>
        <w:jc w:val="both"/>
        <w:rPr>
          <w:rFonts w:eastAsia="Calibri"/>
          <w:kern w:val="2"/>
          <w:lang w:val="de-DE" w:eastAsia="en-US"/>
          <w14:ligatures w14:val="standardContextual"/>
        </w:rPr>
      </w:pPr>
    </w:p>
    <w:p w14:paraId="4291E67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Der Königliche Erlass enthält eine Beschreibung der Gruppen von Vereinbarungen, Beschlüssen und aufeinander abgestimmten Verhaltensweisen, auf die er Anwendung findet, und bestimmt insbesondere:</w:t>
      </w:r>
    </w:p>
    <w:p w14:paraId="7243DCAA" w14:textId="77777777" w:rsidR="00BE3682" w:rsidRPr="004676F5" w:rsidRDefault="00BE3682" w:rsidP="00BE3682">
      <w:pPr>
        <w:jc w:val="both"/>
        <w:rPr>
          <w:rFonts w:eastAsia="Calibri"/>
          <w:kern w:val="2"/>
          <w:lang w:val="de-DE" w:eastAsia="en-US"/>
          <w14:ligatures w14:val="standardContextual"/>
        </w:rPr>
      </w:pPr>
    </w:p>
    <w:p w14:paraId="307559C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Beschränkungen oder Bestimmungen, die darin nicht enthalten sein dürfen,</w:t>
      </w:r>
    </w:p>
    <w:p w14:paraId="2100D51F" w14:textId="77777777" w:rsidR="00BE3682" w:rsidRPr="004676F5" w:rsidRDefault="00BE3682" w:rsidP="00BE3682">
      <w:pPr>
        <w:jc w:val="both"/>
        <w:rPr>
          <w:rFonts w:eastAsia="Calibri"/>
          <w:kern w:val="2"/>
          <w:lang w:val="de-DE" w:eastAsia="en-US"/>
          <w14:ligatures w14:val="standardContextual"/>
        </w:rPr>
      </w:pPr>
    </w:p>
    <w:p w14:paraId="37FCCCD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Bestimmungen, die darin enthalten sein müssen, oder sonstige Voraussetzungen, die erfüllt sein müssen.</w:t>
      </w:r>
    </w:p>
    <w:p w14:paraId="784B585A" w14:textId="77777777" w:rsidR="00BE3682" w:rsidRPr="004676F5" w:rsidRDefault="00BE3682" w:rsidP="00BE3682">
      <w:pPr>
        <w:jc w:val="both"/>
        <w:rPr>
          <w:rFonts w:eastAsia="Calibri"/>
          <w:kern w:val="2"/>
          <w:lang w:val="de-DE" w:eastAsia="en-US"/>
          <w14:ligatures w14:val="standardContextual"/>
        </w:rPr>
      </w:pPr>
    </w:p>
    <w:p w14:paraId="7D89656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Dieser Königliche Erlass ergeht für einen bestimmten Zeitraum. Er kann aufgehoben oder abgeändert werden, wenn sich die Verhältnisse in einem Punkt geändert haben, der für seine Verabschiedung wesentlich war. In diesem Fall werden Übergangsmaßnahmen für die unter den ursprünglichen Erlass fallenden Vereinbarungen, Beschlüsse und aufeinander abgestimmten Verhaltensweisen bestimmt.</w:t>
      </w:r>
    </w:p>
    <w:p w14:paraId="1B036800" w14:textId="77777777" w:rsidR="00BE3682" w:rsidRPr="004676F5" w:rsidRDefault="00BE3682" w:rsidP="00BE3682">
      <w:pPr>
        <w:jc w:val="both"/>
        <w:rPr>
          <w:rFonts w:eastAsia="Calibri"/>
          <w:kern w:val="2"/>
          <w:lang w:val="de-DE" w:eastAsia="en-US"/>
          <w14:ligatures w14:val="standardContextual"/>
        </w:rPr>
      </w:pPr>
    </w:p>
    <w:p w14:paraId="10691A4B" w14:textId="77777777" w:rsidR="007854CD" w:rsidRPr="004676F5" w:rsidRDefault="007854CD" w:rsidP="00BE3682">
      <w:pPr>
        <w:jc w:val="both"/>
        <w:rPr>
          <w:rFonts w:eastAsia="Calibri"/>
          <w:kern w:val="2"/>
          <w:lang w:val="de-DE" w:eastAsia="en-US"/>
          <w14:ligatures w14:val="standardContextual"/>
        </w:rPr>
      </w:pPr>
    </w:p>
    <w:p w14:paraId="64769F3E" w14:textId="77777777" w:rsidR="007854CD" w:rsidRPr="004676F5" w:rsidRDefault="007854CD">
      <w:pPr>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br w:type="page"/>
      </w:r>
    </w:p>
    <w:p w14:paraId="6CB9842A" w14:textId="2B227887" w:rsidR="00BE3682" w:rsidRPr="004676F5" w:rsidRDefault="00BE3682" w:rsidP="00BE3682">
      <w:pPr>
        <w:jc w:val="center"/>
        <w:rPr>
          <w:rFonts w:eastAsia="Calibri"/>
          <w:i/>
          <w:iCs/>
          <w:kern w:val="2"/>
          <w:lang w:val="de-DE" w:eastAsia="en-US"/>
          <w14:ligatures w14:val="standardContextual"/>
        </w:rPr>
      </w:pPr>
      <w:r w:rsidRPr="004676F5">
        <w:rPr>
          <w:rFonts w:eastAsia="Calibri"/>
          <w:kern w:val="2"/>
          <w:szCs w:val="22"/>
          <w:lang w:val="de-DE" w:eastAsia="en-US"/>
          <w14:ligatures w14:val="standardContextual"/>
        </w:rPr>
        <w:lastRenderedPageBreak/>
        <w:t xml:space="preserve">KAPITEL 2 ­ </w:t>
      </w:r>
      <w:r w:rsidRPr="004676F5">
        <w:rPr>
          <w:rFonts w:eastAsia="Calibri"/>
          <w:i/>
          <w:kern w:val="2"/>
          <w:szCs w:val="22"/>
          <w:lang w:val="de-DE" w:eastAsia="en-US"/>
          <w14:ligatures w14:val="standardContextual"/>
        </w:rPr>
        <w:t>Zusammenschlüsse</w:t>
      </w:r>
    </w:p>
    <w:p w14:paraId="241039FE" w14:textId="77777777" w:rsidR="00BE3682" w:rsidRPr="004676F5" w:rsidRDefault="00BE3682" w:rsidP="00BE3682">
      <w:pPr>
        <w:jc w:val="both"/>
        <w:rPr>
          <w:rFonts w:eastAsia="Calibri"/>
          <w:kern w:val="2"/>
          <w:lang w:val="de-DE" w:eastAsia="en-US"/>
          <w14:ligatures w14:val="standardContextual"/>
        </w:rPr>
      </w:pPr>
    </w:p>
    <w:p w14:paraId="1D8D8D22" w14:textId="54E03BC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IV.6</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Für die Anwendung des vorliegenden Buches wird ein Zusammenschluss dadurch bewirkt, dass eine dauerhafte Veränderung der Kontrolle in der Weise stattfindet, dass:</w:t>
      </w:r>
    </w:p>
    <w:p w14:paraId="5A6C0C3E" w14:textId="77777777" w:rsidR="00BE3682" w:rsidRPr="004676F5" w:rsidRDefault="00BE3682" w:rsidP="00BE3682">
      <w:pPr>
        <w:jc w:val="both"/>
        <w:rPr>
          <w:rFonts w:eastAsia="Calibri"/>
          <w:kern w:val="2"/>
          <w:lang w:val="de-DE" w:eastAsia="en-US"/>
          <w14:ligatures w14:val="standardContextual"/>
        </w:rPr>
      </w:pPr>
    </w:p>
    <w:p w14:paraId="7E1E9DE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zwei oder mehr bisher voneinander unabhängige Unternehmen oder Unternehmensteile fusionieren oder</w:t>
      </w:r>
    </w:p>
    <w:p w14:paraId="779BCE80" w14:textId="77777777" w:rsidR="00BE3682" w:rsidRPr="004676F5" w:rsidRDefault="00BE3682" w:rsidP="00BE3682">
      <w:pPr>
        <w:jc w:val="both"/>
        <w:rPr>
          <w:rFonts w:eastAsia="Calibri"/>
          <w:kern w:val="2"/>
          <w:lang w:val="de-DE" w:eastAsia="en-US"/>
          <w14:ligatures w14:val="standardContextual"/>
        </w:rPr>
      </w:pPr>
    </w:p>
    <w:p w14:paraId="2F4DF7D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eine oder mehrere Personen, die bereits mindestens ein Unternehmen kontrollieren, oder ein oder mehrere Unternehmen durch den Erwerb von Anteilsrechten oder Vermögenswerten, durch Vertrag oder in sonstiger Weise die unmittelbare oder mittelbare Kontrolle über die Gesamtheit oder über Teile eines oder mehrerer anderer Unternehmen erwerben.</w:t>
      </w:r>
    </w:p>
    <w:p w14:paraId="5D28D56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p>
    <w:p w14:paraId="028EDCE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Die Gründung eines Gemeinschaftsunternehmens, das auf Dauer alle Funktionen einer selbständigen wirtschaftlichen Einheit erfüllt, stellt einen Zusammenschluss im Sinne von § 1 Nr. 2 dar.</w:t>
      </w:r>
    </w:p>
    <w:p w14:paraId="3DBC7A22" w14:textId="77777777" w:rsidR="00BE3682" w:rsidRPr="004676F5" w:rsidRDefault="00BE3682" w:rsidP="00BE3682">
      <w:pPr>
        <w:jc w:val="both"/>
        <w:rPr>
          <w:rFonts w:eastAsia="Calibri"/>
          <w:kern w:val="2"/>
          <w:lang w:val="de-DE" w:eastAsia="en-US"/>
          <w14:ligatures w14:val="standardContextual"/>
        </w:rPr>
      </w:pPr>
    </w:p>
    <w:p w14:paraId="02A62E6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Für die Anwendung des vorliegenden Buches wird die Kontrolle durch Rechte, Verträge oder andere Mittel begründet, die einzeln oder zusammen unter Berücksichtigung aller tatsächlichen oder rechtlichen Umstände die Möglichkeit gewähren, einen bestimmenden Einfluss auf die Tätigkeit eines Unternehmens auszuüben, insbesondere durch:</w:t>
      </w:r>
    </w:p>
    <w:p w14:paraId="3C4E7A1C" w14:textId="77777777" w:rsidR="00BE3682" w:rsidRPr="004676F5" w:rsidRDefault="00BE3682" w:rsidP="00BE3682">
      <w:pPr>
        <w:jc w:val="both"/>
        <w:rPr>
          <w:rFonts w:eastAsia="Calibri"/>
          <w:kern w:val="2"/>
          <w:lang w:val="de-DE" w:eastAsia="en-US"/>
          <w14:ligatures w14:val="standardContextual"/>
        </w:rPr>
      </w:pPr>
    </w:p>
    <w:p w14:paraId="29AF5E77" w14:textId="315F6B30"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Eigentums</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Nutzungsrechte an der Gesamtheit oder an Teilen des Vermögens des Unternehmens,</w:t>
      </w:r>
    </w:p>
    <w:p w14:paraId="47C7C0FD" w14:textId="77777777" w:rsidR="00BE3682" w:rsidRPr="004676F5" w:rsidRDefault="00BE3682" w:rsidP="00BE3682">
      <w:pPr>
        <w:jc w:val="both"/>
        <w:rPr>
          <w:rFonts w:eastAsia="Calibri"/>
          <w:kern w:val="2"/>
          <w:lang w:val="de-DE" w:eastAsia="en-US"/>
          <w14:ligatures w14:val="standardContextual"/>
        </w:rPr>
      </w:pPr>
    </w:p>
    <w:p w14:paraId="554387D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Rechte oder Verträge, die einen bestimmenden Einfluss auf Zusammensetzung, Beratungen oder Beschlüsse der Organe des Unternehmens gewähren.</w:t>
      </w:r>
    </w:p>
    <w:p w14:paraId="1AC04750" w14:textId="77777777" w:rsidR="00BE3682" w:rsidRPr="004676F5" w:rsidRDefault="00BE3682" w:rsidP="00BE3682">
      <w:pPr>
        <w:jc w:val="both"/>
        <w:rPr>
          <w:rFonts w:eastAsia="Calibri"/>
          <w:kern w:val="2"/>
          <w:lang w:val="de-DE" w:eastAsia="en-US"/>
          <w14:ligatures w14:val="standardContextual"/>
        </w:rPr>
      </w:pPr>
    </w:p>
    <w:p w14:paraId="5D7C7E9C" w14:textId="71622BB6"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Die Kontrolle wird für Personen oder Unternehmen begründet:</w:t>
      </w:r>
    </w:p>
    <w:p w14:paraId="0C120981" w14:textId="77777777" w:rsidR="00BE3682" w:rsidRPr="004676F5" w:rsidRDefault="00BE3682" w:rsidP="00BE3682">
      <w:pPr>
        <w:jc w:val="both"/>
        <w:rPr>
          <w:rFonts w:eastAsia="Calibri"/>
          <w:kern w:val="2"/>
          <w:lang w:val="de-DE" w:eastAsia="en-US"/>
          <w14:ligatures w14:val="standardContextual"/>
        </w:rPr>
      </w:pPr>
    </w:p>
    <w:p w14:paraId="2B0363B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die aus diesen Rechten oder Verträgen selbst berechtigt sind oder</w:t>
      </w:r>
    </w:p>
    <w:p w14:paraId="3C164D9C" w14:textId="77777777" w:rsidR="00BE3682" w:rsidRPr="004676F5" w:rsidRDefault="00BE3682" w:rsidP="00BE3682">
      <w:pPr>
        <w:jc w:val="both"/>
        <w:rPr>
          <w:rFonts w:eastAsia="Calibri"/>
          <w:kern w:val="2"/>
          <w:lang w:val="de-DE" w:eastAsia="en-US"/>
          <w14:ligatures w14:val="standardContextual"/>
        </w:rPr>
      </w:pPr>
    </w:p>
    <w:p w14:paraId="3EAC2E7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die, obwohl sie aus diesen Rechten oder Verträgen nicht selbst berechtigt sind, die Befugnis haben, die sich daraus ergebenden Rechte auszuüben.</w:t>
      </w:r>
    </w:p>
    <w:p w14:paraId="6E8062ED" w14:textId="77777777" w:rsidR="00BE3682" w:rsidRPr="004676F5" w:rsidRDefault="00BE3682" w:rsidP="00BE3682">
      <w:pPr>
        <w:jc w:val="both"/>
        <w:rPr>
          <w:rFonts w:eastAsia="Calibri"/>
          <w:kern w:val="2"/>
          <w:lang w:val="de-DE" w:eastAsia="en-US"/>
          <w14:ligatures w14:val="standardContextual"/>
        </w:rPr>
      </w:pPr>
    </w:p>
    <w:p w14:paraId="4E5FFF0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5 ­ Ein Zusammenschluss im Sinne von § 1 wird nicht bewirkt:</w:t>
      </w:r>
    </w:p>
    <w:p w14:paraId="53C897B9" w14:textId="77777777" w:rsidR="00BE3682" w:rsidRPr="004676F5" w:rsidRDefault="00BE3682" w:rsidP="00BE3682">
      <w:pPr>
        <w:jc w:val="both"/>
        <w:rPr>
          <w:rFonts w:eastAsia="Calibri"/>
          <w:kern w:val="2"/>
          <w:lang w:val="de-DE" w:eastAsia="en-US"/>
          <w14:ligatures w14:val="standardContextual"/>
        </w:rPr>
      </w:pPr>
    </w:p>
    <w:p w14:paraId="517173A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wenn Kreditinstitute, sonstige Finanzinstitute oder Versicherungsgesellschaften, deren normale Tätigkeit Geschäfte und den Handel mit Finanzinstrumenten für eigene oder fremde Rechnung einschließt, vorübergehend Anteile an einem Unternehmen zum Zwecke der Veräußerung erwerben, sofern sie die mit den Anteilen verbundenen Stimmrechte nicht ausüben, um das Wettbewerbsverhalten des Unternehmens zu bestimmen, oder sofern sie die Stimmrechte nur ausüben, um die Veräußerung der Gesamtheit oder von Teilen des Unternehmens oder seiner Vermögenswerte oder die Veräußerung der Anteile vorzubereiten, und sofern die Veräußerung innerhalb eines Jahres nach dem Zeitpunkt des Erwerbs erfolgt; diese Frist beträgt zwei Jahre, wenn die Anteile zur Repräsentierung von zweifelhaften oder überfälligen Forderungen erworben wurden,</w:t>
      </w:r>
    </w:p>
    <w:p w14:paraId="086F2A56" w14:textId="77777777" w:rsidR="00BE3682" w:rsidRPr="004676F5" w:rsidRDefault="00BE3682" w:rsidP="00BE3682">
      <w:pPr>
        <w:jc w:val="both"/>
        <w:rPr>
          <w:rFonts w:eastAsia="Calibri"/>
          <w:kern w:val="2"/>
          <w:lang w:val="de-DE" w:eastAsia="en-US"/>
          <w14:ligatures w14:val="standardContextual"/>
        </w:rPr>
      </w:pPr>
    </w:p>
    <w:p w14:paraId="2BB7D61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2. wenn ein gerichtlich oder behördlich bestellter Vertreter aufgrund einer gerichtlichen Entscheidung oder eines anderen Verfahrens der Zwangsliquidation die Kontrolle erwirbt,</w:t>
      </w:r>
    </w:p>
    <w:p w14:paraId="469D410B" w14:textId="77777777" w:rsidR="00BE3682" w:rsidRPr="004676F5" w:rsidRDefault="00BE3682" w:rsidP="00BE3682">
      <w:pPr>
        <w:jc w:val="both"/>
        <w:rPr>
          <w:rFonts w:eastAsia="Calibri"/>
          <w:kern w:val="2"/>
          <w:lang w:val="de-DE" w:eastAsia="en-US"/>
          <w14:ligatures w14:val="standardContextual"/>
        </w:rPr>
      </w:pPr>
    </w:p>
    <w:p w14:paraId="19D5132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wenn die in § 1 Nr. 2 bezeichneten Handlungen von Beteiligungsgesellschaften im Sinne von Artikel 2 Nr. 15 der Richtlinie 2013/34/EU des Europäischen Parlaments und des Rates vom 26. Juni 2013 über den Jahresabschluss, den konsolidierten Abschluss und damit verbundene Berichte von Unternehmen bestimmter Rechtsformen und zur Änderung der Richtlinie 2006/43/EG des Europäischen Parlaments und des Rates und zur Aufhebung der Richtlinien 78/660/EWG und 83/349/EWG des Rates vorgenommen werden, jedoch mit der Einschränkung, dass die mit den erworbenen Anteilen verbundenen Stimmrechte, insbesondere wenn sie zur Ernennung der Mitglieder der geschäftsführenden oder aufsichtsführenden Organe der Unternehmen ausgeübt werden, an denen die Beteiligungsgesellschaften Anteile halten, nur zur Erhaltung des vollen Wertes der Investitionen benutzt werden und nicht dazu, unmittelbar oder mittelbar das Wettbewerbsverhalten dieser Unternehmen zu bestimmen.</w:t>
      </w:r>
    </w:p>
    <w:p w14:paraId="1E4D4019" w14:textId="77777777" w:rsidR="00BE3682" w:rsidRPr="004676F5" w:rsidRDefault="00BE3682" w:rsidP="00BE3682">
      <w:pPr>
        <w:jc w:val="center"/>
        <w:rPr>
          <w:rFonts w:eastAsia="Calibri"/>
          <w:kern w:val="2"/>
          <w:lang w:val="de-DE" w:eastAsia="en-US"/>
          <w14:ligatures w14:val="standardContextual"/>
        </w:rPr>
      </w:pPr>
    </w:p>
    <w:p w14:paraId="5533DC38" w14:textId="77777777" w:rsidR="007854CD" w:rsidRPr="004676F5" w:rsidRDefault="007854CD" w:rsidP="00BE3682">
      <w:pPr>
        <w:jc w:val="center"/>
        <w:rPr>
          <w:rFonts w:eastAsia="Calibri"/>
          <w:kern w:val="2"/>
          <w:lang w:val="de-DE" w:eastAsia="en-US"/>
          <w14:ligatures w14:val="standardContextual"/>
        </w:rPr>
      </w:pPr>
    </w:p>
    <w:p w14:paraId="14A0D301" w14:textId="046AB526"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IV.7</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Die Bestimmungen des vorliegenden Kapitels finden nur Anwendung, wenn die beteiligten Unternehmen in Belgien gemeinsam einen gemäß den in Artikel IV.8 erwähnten Kriterien bestimmten Umsatz von mehr als 100 Millionen EUR erzielen und mindestens zwei der beteiligten Unternehmen in Belgien jeweils einen Umsatz von mindestens 40 Millionen EUR erzielen.</w:t>
      </w:r>
    </w:p>
    <w:p w14:paraId="78CB919F" w14:textId="77777777" w:rsidR="00BE3682" w:rsidRPr="004676F5" w:rsidRDefault="00BE3682" w:rsidP="00BE3682">
      <w:pPr>
        <w:jc w:val="both"/>
        <w:rPr>
          <w:rFonts w:eastAsia="Calibri"/>
          <w:kern w:val="2"/>
          <w:lang w:val="de-DE" w:eastAsia="en-US"/>
          <w14:ligatures w14:val="standardContextual"/>
        </w:rPr>
      </w:pPr>
    </w:p>
    <w:p w14:paraId="349E6CC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Der König kann durch einen im Ministerrat beratenen Erlass und nach Stellungnahme der Belgischen Wettbewerbsbehörde und des Besonderen Beratungs</w:t>
      </w:r>
      <w:r w:rsidRPr="004676F5">
        <w:rPr>
          <w:rFonts w:eastAsia="Calibri"/>
          <w:kern w:val="2"/>
          <w:szCs w:val="22"/>
          <w:lang w:val="de-DE" w:eastAsia="en-US"/>
          <w14:ligatures w14:val="standardContextual"/>
        </w:rPr>
        <w:softHyphen/>
        <w:t>ausschusses Wettbewerb die in § 1 erwähnten Schwellen erhöhen.</w:t>
      </w:r>
    </w:p>
    <w:p w14:paraId="3CC11857" w14:textId="77777777" w:rsidR="00BE3682" w:rsidRPr="004676F5" w:rsidRDefault="00BE3682" w:rsidP="00BE3682">
      <w:pPr>
        <w:jc w:val="both"/>
        <w:rPr>
          <w:rFonts w:eastAsia="Calibri"/>
          <w:kern w:val="2"/>
          <w:lang w:val="de-DE" w:eastAsia="en-US"/>
          <w14:ligatures w14:val="standardContextual"/>
        </w:rPr>
      </w:pPr>
    </w:p>
    <w:p w14:paraId="56CFA4F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Alle drei Jahre prüft die Belgische Wettbewerbsbehörde die in § 1 erwähnten Schwellen und berücksichtigt dabei unter anderem die wirtschaftliche Auswirkung und den Verwaltungsaufwand für die Unternehmen.</w:t>
      </w:r>
    </w:p>
    <w:p w14:paraId="76F845A9" w14:textId="77777777" w:rsidR="00BE3682" w:rsidRPr="004676F5" w:rsidRDefault="00BE3682" w:rsidP="00BE3682">
      <w:pPr>
        <w:jc w:val="both"/>
        <w:rPr>
          <w:rFonts w:eastAsia="Calibri"/>
          <w:kern w:val="2"/>
          <w:lang w:val="de-DE" w:eastAsia="en-US"/>
          <w14:ligatures w14:val="standardContextual"/>
        </w:rPr>
      </w:pPr>
    </w:p>
    <w:p w14:paraId="6BAD440C" w14:textId="77777777" w:rsidR="007854CD" w:rsidRPr="004676F5" w:rsidRDefault="007854CD" w:rsidP="00BE3682">
      <w:pPr>
        <w:jc w:val="both"/>
        <w:rPr>
          <w:rFonts w:eastAsia="Calibri"/>
          <w:kern w:val="2"/>
          <w:lang w:val="de-DE" w:eastAsia="en-US"/>
          <w14:ligatures w14:val="standardContextual"/>
        </w:rPr>
      </w:pPr>
    </w:p>
    <w:p w14:paraId="2D954B7F" w14:textId="759AD06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IV.8</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Für die Berechnung des in Artikel IV.7 erwähnten Umsatzes sind die Umsätze zusammenzuzählen, die die beteiligten Unternehmen im letzten Geschäftsjahr erzielt haben und die dem normalen geschäftlichen Tätigkeitsbereich der Unternehmen zuzuordnen sind, unter Abzug von Erlösschmälerungen, der Mehrwertsteuer und anderer unmittelbar auf den Umsatz bezogener Steuern. Bei der Berechnung des Umsatzes werden die Umsätze zwischen den in § 4 erwähnten Unternehmen nicht berücksichtigt.</w:t>
      </w:r>
    </w:p>
    <w:p w14:paraId="537E1E94" w14:textId="77777777" w:rsidR="00BE3682" w:rsidRPr="004676F5" w:rsidRDefault="00BE3682" w:rsidP="00BE3682">
      <w:pPr>
        <w:jc w:val="both"/>
        <w:rPr>
          <w:rFonts w:eastAsia="Calibri"/>
          <w:kern w:val="2"/>
          <w:lang w:val="de-DE" w:eastAsia="en-US"/>
          <w14:ligatures w14:val="standardContextual"/>
        </w:rPr>
      </w:pPr>
    </w:p>
    <w:p w14:paraId="2867ECA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Wird ein Zusammenschluss durch Erwerb von Teilen eines oder mehrerer Unternehmen oder einer Gruppe von Unternehmen bewirkt, so ist unabhängig davon, ob diese Teile eigene Rechtspersönlichkeit besitzen, in Abweichung von § 1 auf Seiten des/der Veräußerer(s) nur der Umsatz zu berücksichtigen, der auf die veräußerten Teile entfällt.</w:t>
      </w:r>
    </w:p>
    <w:p w14:paraId="35EDC6AA" w14:textId="77777777" w:rsidR="00BE3682" w:rsidRPr="004676F5" w:rsidRDefault="00BE3682" w:rsidP="00BE3682">
      <w:pPr>
        <w:jc w:val="both"/>
        <w:rPr>
          <w:rFonts w:eastAsia="Calibri"/>
          <w:kern w:val="2"/>
          <w:lang w:val="de-DE" w:eastAsia="en-US"/>
          <w14:ligatures w14:val="standardContextual"/>
        </w:rPr>
      </w:pPr>
    </w:p>
    <w:p w14:paraId="7DEB29F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Jedoch sind zwei oder mehr in Absatz 1 erwähnte Erwerbsvorgänge, die innerhalb zweier Jahre zwischen denselben Personen oder Unternehmen getätigt werden, als ein einziger Zusammenschluss anzusehen, der zum Zeitpunkt des letzten Geschäftes stattfindet.</w:t>
      </w:r>
    </w:p>
    <w:p w14:paraId="41B6E4FE" w14:textId="77777777" w:rsidR="00BE3682" w:rsidRPr="004676F5" w:rsidRDefault="00BE3682" w:rsidP="00BE3682">
      <w:pPr>
        <w:jc w:val="both"/>
        <w:rPr>
          <w:rFonts w:eastAsia="Calibri"/>
          <w:kern w:val="2"/>
          <w:lang w:val="de-DE" w:eastAsia="en-US"/>
          <w14:ligatures w14:val="standardContextual"/>
        </w:rPr>
      </w:pPr>
    </w:p>
    <w:p w14:paraId="508AEE34" w14:textId="77777777" w:rsidR="007854CD" w:rsidRPr="004676F5" w:rsidRDefault="007854CD">
      <w:pPr>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br w:type="page"/>
      </w:r>
    </w:p>
    <w:p w14:paraId="207BB785" w14:textId="7118694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 3 ­ An die Stelle des Umsatzes tritt:</w:t>
      </w:r>
    </w:p>
    <w:p w14:paraId="453C3B96" w14:textId="77777777" w:rsidR="00BE3682" w:rsidRPr="004676F5" w:rsidRDefault="00BE3682" w:rsidP="00BE3682">
      <w:pPr>
        <w:jc w:val="both"/>
        <w:rPr>
          <w:rFonts w:eastAsia="Calibri"/>
          <w:kern w:val="2"/>
          <w:lang w:val="de-DE" w:eastAsia="en-US"/>
          <w14:ligatures w14:val="standardContextual"/>
        </w:rPr>
      </w:pPr>
    </w:p>
    <w:p w14:paraId="32C6D444" w14:textId="18BE40D1"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bei Kredit</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und sonstigen Finanzinstituten die Summe der folgenden im Königlichen Erlass vom 23. September 1992 über den Jahresabschluss von Kreditinstituten, Investment</w:t>
      </w:r>
      <w:r w:rsidRPr="004676F5">
        <w:rPr>
          <w:rFonts w:eastAsia="Calibri"/>
          <w:kern w:val="2"/>
          <w:szCs w:val="22"/>
          <w:lang w:val="de-DE" w:eastAsia="en-US"/>
          <w14:ligatures w14:val="standardContextual"/>
        </w:rPr>
        <w:softHyphen/>
        <w:t>gesellschaften und Verwaltungsgesellschaften von Organismen für gemeinsame Anlagen bestimmten Ertragsposten, gegebenenfalls nach Abzug der Mehrwertsteuer und sonstiger direkt auf diese Erträge erhobener Steuern:</w:t>
      </w:r>
    </w:p>
    <w:p w14:paraId="10CA0854" w14:textId="77777777" w:rsidR="00BE3682" w:rsidRPr="004676F5" w:rsidRDefault="00BE3682" w:rsidP="00BE3682">
      <w:pPr>
        <w:jc w:val="both"/>
        <w:rPr>
          <w:rFonts w:eastAsia="Calibri"/>
          <w:kern w:val="2"/>
          <w:lang w:val="de-DE" w:eastAsia="en-US"/>
          <w14:ligatures w14:val="standardContextual"/>
        </w:rPr>
      </w:pPr>
    </w:p>
    <w:p w14:paraId="31AE26E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a)</w:t>
      </w:r>
      <w:r w:rsidRPr="004676F5">
        <w:rPr>
          <w:rFonts w:eastAsia="Calibri"/>
          <w:kern w:val="2"/>
          <w:szCs w:val="22"/>
          <w:lang w:val="de-DE" w:eastAsia="en-US"/>
          <w14:ligatures w14:val="standardContextual"/>
        </w:rPr>
        <w:t> Zinserträge und ähnliche Erträge,</w:t>
      </w:r>
    </w:p>
    <w:p w14:paraId="01174217" w14:textId="77777777" w:rsidR="00BE3682" w:rsidRPr="004676F5" w:rsidRDefault="00BE3682" w:rsidP="00BE3682">
      <w:pPr>
        <w:jc w:val="both"/>
        <w:rPr>
          <w:rFonts w:eastAsia="Calibri"/>
          <w:kern w:val="2"/>
          <w:lang w:val="de-DE" w:eastAsia="en-US"/>
          <w14:ligatures w14:val="standardContextual"/>
        </w:rPr>
      </w:pPr>
    </w:p>
    <w:p w14:paraId="744F1B7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b)</w:t>
      </w:r>
      <w:r w:rsidRPr="004676F5">
        <w:rPr>
          <w:rFonts w:eastAsia="Calibri"/>
          <w:kern w:val="2"/>
          <w:szCs w:val="22"/>
          <w:lang w:val="de-DE" w:eastAsia="en-US"/>
          <w14:ligatures w14:val="standardContextual"/>
        </w:rPr>
        <w:t> Erträge aus Wertpapieren:</w:t>
      </w:r>
    </w:p>
    <w:p w14:paraId="19DE478E" w14:textId="77777777" w:rsidR="00BE3682" w:rsidRPr="004676F5" w:rsidRDefault="00BE3682" w:rsidP="00BE3682">
      <w:pPr>
        <w:jc w:val="both"/>
        <w:rPr>
          <w:rFonts w:eastAsia="Calibri"/>
          <w:kern w:val="2"/>
          <w:lang w:val="de-DE" w:eastAsia="en-US"/>
          <w14:ligatures w14:val="standardContextual"/>
        </w:rPr>
      </w:pPr>
    </w:p>
    <w:p w14:paraId="7F6BD9FD" w14:textId="295DC53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Erträge aus Aktien, anderen Anteilsrechten und nicht festverzinslichen Wertpapieren,</w:t>
      </w:r>
    </w:p>
    <w:p w14:paraId="6796C315" w14:textId="77777777" w:rsidR="00BE3682" w:rsidRPr="004676F5" w:rsidRDefault="00BE3682" w:rsidP="00BE3682">
      <w:pPr>
        <w:jc w:val="both"/>
        <w:rPr>
          <w:rFonts w:eastAsia="Calibri"/>
          <w:kern w:val="2"/>
          <w:lang w:val="de-DE" w:eastAsia="en-US"/>
          <w14:ligatures w14:val="standardContextual"/>
        </w:rPr>
      </w:pPr>
    </w:p>
    <w:p w14:paraId="1DC6E65B" w14:textId="41A9C4F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Erträge aus Beteiligungen,</w:t>
      </w:r>
    </w:p>
    <w:p w14:paraId="727FEFD9" w14:textId="77777777" w:rsidR="00BE3682" w:rsidRPr="004676F5" w:rsidRDefault="00BE3682" w:rsidP="00BE3682">
      <w:pPr>
        <w:jc w:val="both"/>
        <w:rPr>
          <w:rFonts w:eastAsia="Calibri"/>
          <w:kern w:val="2"/>
          <w:lang w:val="de-DE" w:eastAsia="en-US"/>
          <w14:ligatures w14:val="standardContextual"/>
        </w:rPr>
      </w:pPr>
    </w:p>
    <w:p w14:paraId="312139EA" w14:textId="0D4789E6"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Erträge aus Anteilen an verbundenen Unternehmen,</w:t>
      </w:r>
    </w:p>
    <w:p w14:paraId="62B79701" w14:textId="77777777" w:rsidR="00BE3682" w:rsidRPr="004676F5" w:rsidRDefault="00BE3682" w:rsidP="00BE3682">
      <w:pPr>
        <w:jc w:val="both"/>
        <w:rPr>
          <w:rFonts w:eastAsia="Calibri"/>
          <w:kern w:val="2"/>
          <w:lang w:val="de-DE" w:eastAsia="en-US"/>
          <w14:ligatures w14:val="standardContextual"/>
        </w:rPr>
      </w:pPr>
    </w:p>
    <w:p w14:paraId="3828E8C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c)</w:t>
      </w:r>
      <w:r w:rsidRPr="004676F5">
        <w:rPr>
          <w:rFonts w:eastAsia="Calibri"/>
          <w:kern w:val="2"/>
          <w:szCs w:val="22"/>
          <w:lang w:val="de-DE" w:eastAsia="en-US"/>
          <w14:ligatures w14:val="standardContextual"/>
        </w:rPr>
        <w:t> Provisionserträge,</w:t>
      </w:r>
    </w:p>
    <w:p w14:paraId="14767428" w14:textId="77777777" w:rsidR="00BE3682" w:rsidRPr="004676F5" w:rsidRDefault="00BE3682" w:rsidP="00BE3682">
      <w:pPr>
        <w:jc w:val="both"/>
        <w:rPr>
          <w:rFonts w:eastAsia="Calibri"/>
          <w:kern w:val="2"/>
          <w:lang w:val="de-DE" w:eastAsia="en-US"/>
          <w14:ligatures w14:val="standardContextual"/>
        </w:rPr>
      </w:pPr>
    </w:p>
    <w:p w14:paraId="1F52EAE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d)</w:t>
      </w:r>
      <w:r w:rsidRPr="004676F5">
        <w:rPr>
          <w:rFonts w:eastAsia="Calibri"/>
          <w:kern w:val="2"/>
          <w:szCs w:val="22"/>
          <w:lang w:val="de-DE" w:eastAsia="en-US"/>
          <w14:ligatures w14:val="standardContextual"/>
        </w:rPr>
        <w:t> Nettoerträge aus Finanzgeschäften,</w:t>
      </w:r>
    </w:p>
    <w:p w14:paraId="4B0AD851" w14:textId="77777777" w:rsidR="00BE3682" w:rsidRPr="004676F5" w:rsidRDefault="00BE3682" w:rsidP="00BE3682">
      <w:pPr>
        <w:jc w:val="both"/>
        <w:rPr>
          <w:rFonts w:eastAsia="Calibri"/>
          <w:kern w:val="2"/>
          <w:lang w:val="de-DE" w:eastAsia="en-US"/>
          <w14:ligatures w14:val="standardContextual"/>
        </w:rPr>
      </w:pPr>
    </w:p>
    <w:p w14:paraId="7A1975F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e)</w:t>
      </w:r>
      <w:r w:rsidRPr="004676F5">
        <w:rPr>
          <w:rFonts w:eastAsia="Calibri"/>
          <w:kern w:val="2"/>
          <w:szCs w:val="22"/>
          <w:lang w:val="de-DE" w:eastAsia="en-US"/>
          <w14:ligatures w14:val="standardContextual"/>
        </w:rPr>
        <w:t> sonstige betriebliche Erträge.</w:t>
      </w:r>
    </w:p>
    <w:p w14:paraId="3DCE6236" w14:textId="77777777" w:rsidR="00BE3682" w:rsidRPr="004676F5" w:rsidRDefault="00BE3682" w:rsidP="00BE3682">
      <w:pPr>
        <w:jc w:val="both"/>
        <w:rPr>
          <w:rFonts w:eastAsia="Calibri"/>
          <w:kern w:val="2"/>
          <w:lang w:val="de-DE" w:eastAsia="en-US"/>
          <w14:ligatures w14:val="standardContextual"/>
        </w:rPr>
      </w:pPr>
    </w:p>
    <w:p w14:paraId="319A8C5B" w14:textId="2535891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Umsatz eines Kredit</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Finanzinstituts in Belgien umfasst die vorerwähnten Ertragsposten einer in Belgien errichteten Zweig</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Geschäftsstelle des betreffenden Instituts,</w:t>
      </w:r>
    </w:p>
    <w:p w14:paraId="110757A1" w14:textId="77777777" w:rsidR="00BE3682" w:rsidRPr="004676F5" w:rsidRDefault="00BE3682" w:rsidP="00BE3682">
      <w:pPr>
        <w:jc w:val="both"/>
        <w:rPr>
          <w:rFonts w:eastAsia="Calibri"/>
          <w:kern w:val="2"/>
          <w:lang w:val="de-DE" w:eastAsia="en-US"/>
          <w14:ligatures w14:val="standardContextual"/>
        </w:rPr>
      </w:pPr>
    </w:p>
    <w:p w14:paraId="61B9636C"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2. bei Versicherungsunternehmen die Summe der Bruttoprämien; diese Summe umfasst alle vereinnahmten und alle noch zu vereinnahmenden Prämien aufgrund von Versicherungs</w:t>
      </w:r>
      <w:r w:rsidRPr="004676F5">
        <w:rPr>
          <w:rFonts w:eastAsia="Calibri"/>
          <w:kern w:val="2"/>
          <w:szCs w:val="22"/>
          <w:lang w:val="de-DE" w:eastAsia="en-US"/>
          <w14:ligatures w14:val="standardContextual"/>
        </w:rPr>
        <w:softHyphen/>
        <w:t>verträgen, die von diesen Unternehmen oder für ihre Rechnung abgeschlossen worden sind, einschließlich etwaiger Rückversicherungsprämien und abzüglich der aufgrund des Betrags der Prämien oder des gesamten Prämienvolumens berechneten Steuern und sonstigen Abgaben. Es ist auf die Bruttoprämien abzustellen, die von den in Belgien ansässigen Personen gezahlt werden.</w:t>
      </w:r>
    </w:p>
    <w:p w14:paraId="20281F52" w14:textId="7CE12A03" w:rsidR="00BE3682" w:rsidRPr="004676F5" w:rsidRDefault="00BE3682" w:rsidP="00BE3682">
      <w:pPr>
        <w:jc w:val="center"/>
        <w:rPr>
          <w:rFonts w:eastAsia="Calibri"/>
          <w:kern w:val="2"/>
          <w:szCs w:val="22"/>
          <w:lang w:val="de-DE" w:eastAsia="en-US"/>
          <w14:ligatures w14:val="standardContextual"/>
        </w:rPr>
      </w:pPr>
    </w:p>
    <w:p w14:paraId="3E4654A5" w14:textId="49E0DD1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Gesamtumsatz eines beteiligten Unternehmens setzt sich unbeschadet des Paragraphen 2 zusammen aus der Summe der Umsätze:</w:t>
      </w:r>
    </w:p>
    <w:p w14:paraId="2B2A1F33" w14:textId="77777777" w:rsidR="00BE3682" w:rsidRPr="004676F5" w:rsidRDefault="00BE3682" w:rsidP="00BE3682">
      <w:pPr>
        <w:jc w:val="both"/>
        <w:rPr>
          <w:rFonts w:eastAsia="Calibri"/>
          <w:kern w:val="2"/>
          <w:lang w:val="de-DE" w:eastAsia="en-US"/>
          <w14:ligatures w14:val="standardContextual"/>
        </w:rPr>
      </w:pPr>
    </w:p>
    <w:p w14:paraId="09FBB88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des beteiligten Unternehmens,</w:t>
      </w:r>
    </w:p>
    <w:p w14:paraId="18E2D415" w14:textId="77777777" w:rsidR="00BE3682" w:rsidRPr="004676F5" w:rsidRDefault="00BE3682" w:rsidP="00BE3682">
      <w:pPr>
        <w:jc w:val="both"/>
        <w:rPr>
          <w:rFonts w:eastAsia="Calibri"/>
          <w:kern w:val="2"/>
          <w:lang w:val="de-DE" w:eastAsia="en-US"/>
          <w14:ligatures w14:val="standardContextual"/>
        </w:rPr>
      </w:pPr>
    </w:p>
    <w:p w14:paraId="50EEF69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der Unternehmen, in denen das beteiligte Unternehmen unmittelbar oder mittelbar entweder:</w:t>
      </w:r>
    </w:p>
    <w:p w14:paraId="7A767A82" w14:textId="77777777" w:rsidR="00BE3682" w:rsidRPr="004676F5" w:rsidRDefault="00BE3682" w:rsidP="00BE3682">
      <w:pPr>
        <w:jc w:val="both"/>
        <w:rPr>
          <w:rFonts w:eastAsia="Calibri"/>
          <w:kern w:val="2"/>
          <w:lang w:val="de-DE" w:eastAsia="en-US"/>
          <w14:ligatures w14:val="standardContextual"/>
        </w:rPr>
      </w:pPr>
    </w:p>
    <w:p w14:paraId="2E46B8E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a)</w:t>
      </w:r>
      <w:r w:rsidRPr="004676F5">
        <w:rPr>
          <w:rFonts w:eastAsia="Calibri"/>
          <w:kern w:val="2"/>
          <w:szCs w:val="22"/>
          <w:lang w:val="de-DE" w:eastAsia="en-US"/>
          <w14:ligatures w14:val="standardContextual"/>
        </w:rPr>
        <w:t> mehr als die Hälfte des Kapitals oder des Betriebsvermögens besitzt oder</w:t>
      </w:r>
    </w:p>
    <w:p w14:paraId="6A302A24" w14:textId="77777777" w:rsidR="00BE3682" w:rsidRPr="004676F5" w:rsidRDefault="00BE3682" w:rsidP="00BE3682">
      <w:pPr>
        <w:jc w:val="both"/>
        <w:rPr>
          <w:rFonts w:eastAsia="Calibri"/>
          <w:kern w:val="2"/>
          <w:lang w:val="de-DE" w:eastAsia="en-US"/>
          <w14:ligatures w14:val="standardContextual"/>
        </w:rPr>
      </w:pPr>
    </w:p>
    <w:p w14:paraId="54CD981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b) </w:t>
      </w:r>
      <w:r w:rsidRPr="004676F5">
        <w:rPr>
          <w:rFonts w:eastAsia="Calibri"/>
          <w:kern w:val="2"/>
          <w:szCs w:val="22"/>
          <w:lang w:val="de-DE" w:eastAsia="en-US"/>
          <w14:ligatures w14:val="standardContextual"/>
        </w:rPr>
        <w:t>die Befugnis hat, mehr als die Hälfte der Stimmrechte auszuüben, oder</w:t>
      </w:r>
    </w:p>
    <w:p w14:paraId="6E4FC114" w14:textId="77777777" w:rsidR="00BE3682" w:rsidRPr="004676F5" w:rsidRDefault="00BE3682" w:rsidP="00BE3682">
      <w:pPr>
        <w:jc w:val="both"/>
        <w:rPr>
          <w:rFonts w:eastAsia="Calibri"/>
          <w:kern w:val="2"/>
          <w:lang w:val="de-DE" w:eastAsia="en-US"/>
          <w14:ligatures w14:val="standardContextual"/>
        </w:rPr>
      </w:pPr>
    </w:p>
    <w:p w14:paraId="04AF149B" w14:textId="61E7ECC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c) </w:t>
      </w:r>
      <w:r w:rsidRPr="004676F5">
        <w:rPr>
          <w:rFonts w:eastAsia="Calibri"/>
          <w:kern w:val="2"/>
          <w:szCs w:val="22"/>
          <w:lang w:val="de-DE" w:eastAsia="en-US"/>
          <w14:ligatures w14:val="standardContextual"/>
        </w:rPr>
        <w:t>die Befugnis hat, mehr als die Hälfte der Mitglieder des Aufsichts</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Verwaltungsrates oder der zur gesetzlichen Vertretung berufenen Organe zu bestellen, oder</w:t>
      </w:r>
    </w:p>
    <w:p w14:paraId="4BB626FF" w14:textId="77777777" w:rsidR="00BE3682" w:rsidRPr="004676F5" w:rsidRDefault="00BE3682" w:rsidP="00BE3682">
      <w:pPr>
        <w:jc w:val="both"/>
        <w:rPr>
          <w:rFonts w:eastAsia="Calibri"/>
          <w:kern w:val="2"/>
          <w:lang w:val="de-DE" w:eastAsia="en-US"/>
          <w14:ligatures w14:val="standardContextual"/>
        </w:rPr>
      </w:pPr>
    </w:p>
    <w:p w14:paraId="2602D05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r>
      <w:r w:rsidRPr="004676F5">
        <w:rPr>
          <w:rFonts w:eastAsia="Calibri"/>
          <w:i/>
          <w:kern w:val="2"/>
          <w:szCs w:val="22"/>
          <w:lang w:val="de-DE" w:eastAsia="en-US"/>
          <w14:ligatures w14:val="standardContextual"/>
        </w:rPr>
        <w:t>d) </w:t>
      </w:r>
      <w:r w:rsidRPr="004676F5">
        <w:rPr>
          <w:rFonts w:eastAsia="Calibri"/>
          <w:kern w:val="2"/>
          <w:szCs w:val="22"/>
          <w:lang w:val="de-DE" w:eastAsia="en-US"/>
          <w14:ligatures w14:val="standardContextual"/>
        </w:rPr>
        <w:t>das Recht hat, die Geschäfte des Unternehmens zu führen,</w:t>
      </w:r>
    </w:p>
    <w:p w14:paraId="54FE786F" w14:textId="77777777" w:rsidR="00BE3682" w:rsidRPr="004676F5" w:rsidRDefault="00BE3682" w:rsidP="00BE3682">
      <w:pPr>
        <w:jc w:val="both"/>
        <w:rPr>
          <w:rFonts w:eastAsia="Calibri"/>
          <w:kern w:val="2"/>
          <w:lang w:val="de-DE" w:eastAsia="en-US"/>
          <w14:ligatures w14:val="standardContextual"/>
        </w:rPr>
      </w:pPr>
    </w:p>
    <w:p w14:paraId="415F1F5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der Unternehmen, die in dem beteiligten Unternehmen die in Nr. 2 aufgeführten Rechte oder Befugnisse haben,</w:t>
      </w:r>
    </w:p>
    <w:p w14:paraId="7941ADA8" w14:textId="77777777" w:rsidR="00BE3682" w:rsidRPr="004676F5" w:rsidRDefault="00BE3682" w:rsidP="00BE3682">
      <w:pPr>
        <w:jc w:val="both"/>
        <w:rPr>
          <w:rFonts w:eastAsia="Calibri"/>
          <w:kern w:val="2"/>
          <w:lang w:val="de-DE" w:eastAsia="en-US"/>
          <w14:ligatures w14:val="standardContextual"/>
        </w:rPr>
      </w:pPr>
    </w:p>
    <w:p w14:paraId="67B0058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4. der Unternehmen, in denen ein in Nr. 3 erwähntes Unternehmen die in Nr. 2 aufgeführten Rechte oder Befugnisse hat,</w:t>
      </w:r>
    </w:p>
    <w:p w14:paraId="66D21EC8" w14:textId="77777777" w:rsidR="00BE3682" w:rsidRPr="004676F5" w:rsidRDefault="00BE3682" w:rsidP="00BE3682">
      <w:pPr>
        <w:jc w:val="both"/>
        <w:rPr>
          <w:rFonts w:eastAsia="Calibri"/>
          <w:kern w:val="2"/>
          <w:lang w:val="de-DE" w:eastAsia="en-US"/>
          <w14:ligatures w14:val="standardContextual"/>
        </w:rPr>
      </w:pPr>
    </w:p>
    <w:p w14:paraId="25F3C4B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5. der Unternehmen, in denen zwei oder mehr der in den Nummern 1 bis 4 erwähnten Unternehmen gemeinsam die in Nr. 2 aufgeführten Rechte oder Befugnisse haben.</w:t>
      </w:r>
    </w:p>
    <w:p w14:paraId="13CE3CBB" w14:textId="77777777" w:rsidR="00BE3682" w:rsidRPr="004676F5" w:rsidRDefault="00BE3682" w:rsidP="00BE3682">
      <w:pPr>
        <w:jc w:val="both"/>
        <w:rPr>
          <w:rFonts w:eastAsia="Calibri"/>
          <w:kern w:val="2"/>
          <w:lang w:val="de-DE" w:eastAsia="en-US"/>
          <w14:ligatures w14:val="standardContextual"/>
        </w:rPr>
      </w:pPr>
    </w:p>
    <w:p w14:paraId="69FC97C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Haben an dem Zusammenschluss beteiligte Unternehmen gemeinsam die in Absatz 1 Nr. 2 aufgeführten Rechte oder Befugnisse, so gilt bei der Berechnung des Umsatzes der beteiligten Unternehmen folgende Regelung:</w:t>
      </w:r>
    </w:p>
    <w:p w14:paraId="1A571F22" w14:textId="77777777" w:rsidR="00BE3682" w:rsidRPr="004676F5" w:rsidRDefault="00BE3682" w:rsidP="00BE3682">
      <w:pPr>
        <w:jc w:val="both"/>
        <w:rPr>
          <w:rFonts w:eastAsia="Calibri"/>
          <w:kern w:val="2"/>
          <w:lang w:val="de-DE" w:eastAsia="en-US"/>
          <w14:ligatures w14:val="standardContextual"/>
        </w:rPr>
      </w:pPr>
    </w:p>
    <w:p w14:paraId="1B52288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Nicht zu berücksichtigen sind Umsätze aus dem Verkauf von Erzeugnissen zwischen dem Gemeinschaftsunternehmen und jedem der beteiligten Unternehmen oder mit einem Unternehmen, das mit diesen im Sinne von Absatz 1 Nr. 2 bis 5 verbunden ist.</w:t>
      </w:r>
    </w:p>
    <w:p w14:paraId="39E9A054" w14:textId="77777777" w:rsidR="00BE3682" w:rsidRPr="004676F5" w:rsidRDefault="00BE3682" w:rsidP="00BE3682">
      <w:pPr>
        <w:jc w:val="both"/>
        <w:rPr>
          <w:rFonts w:eastAsia="Calibri"/>
          <w:kern w:val="2"/>
          <w:lang w:val="de-DE" w:eastAsia="en-US"/>
          <w14:ligatures w14:val="standardContextual"/>
        </w:rPr>
      </w:pPr>
    </w:p>
    <w:p w14:paraId="52B895D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Zu berücksichtigen sind Umsätze aus dem Verkauf von Erzeugnissen zwischen dem Gemeinschaftsunternehmen und jedem Drittunternehmen. Diese Umsätze sind den beteiligten Unternehmen zu gleichen Teilen zuzurechnen.</w:t>
      </w:r>
    </w:p>
    <w:p w14:paraId="0E589B4B" w14:textId="77777777" w:rsidR="00BE3682" w:rsidRPr="004676F5" w:rsidRDefault="00BE3682" w:rsidP="00BE3682">
      <w:pPr>
        <w:jc w:val="both"/>
        <w:rPr>
          <w:rFonts w:eastAsia="Calibri"/>
          <w:kern w:val="2"/>
          <w:lang w:val="de-DE" w:eastAsia="en-US"/>
          <w14:ligatures w14:val="standardContextual"/>
        </w:rPr>
      </w:pPr>
    </w:p>
    <w:p w14:paraId="784A455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5 ­ Für öffentliche Unternehmen ist der zu berücksichtigende Umsatz der Umsatz aller Unternehmen, die eine mit einer autonomen Entscheidungsbefugnis ausgestattete wirtschaft</w:t>
      </w:r>
      <w:r w:rsidRPr="004676F5">
        <w:rPr>
          <w:rFonts w:eastAsia="Calibri"/>
          <w:kern w:val="2"/>
          <w:szCs w:val="22"/>
          <w:lang w:val="de-DE" w:eastAsia="en-US"/>
          <w14:ligatures w14:val="standardContextual"/>
        </w:rPr>
        <w:softHyphen/>
        <w:t>liche Einheit bilden, unabhängig von den Eigentumsverhältnissen oder von den für sie geltenden Regeln der Verwaltungsaufsicht.</w:t>
      </w:r>
    </w:p>
    <w:p w14:paraId="5453042E" w14:textId="77777777" w:rsidR="00BE3682" w:rsidRPr="004676F5" w:rsidRDefault="00BE3682" w:rsidP="00BE3682">
      <w:pPr>
        <w:jc w:val="both"/>
        <w:rPr>
          <w:rFonts w:eastAsia="Calibri"/>
          <w:kern w:val="2"/>
          <w:lang w:val="de-DE" w:eastAsia="en-US"/>
          <w14:ligatures w14:val="standardContextual"/>
        </w:rPr>
      </w:pPr>
    </w:p>
    <w:p w14:paraId="52981FEC" w14:textId="77777777" w:rsidR="007854CD" w:rsidRPr="004676F5" w:rsidRDefault="007854CD" w:rsidP="00BE3682">
      <w:pPr>
        <w:jc w:val="both"/>
        <w:rPr>
          <w:rFonts w:eastAsia="Calibri"/>
          <w:kern w:val="2"/>
          <w:lang w:val="de-DE" w:eastAsia="en-US"/>
          <w14:ligatures w14:val="standardContextual"/>
        </w:rPr>
      </w:pPr>
    </w:p>
    <w:p w14:paraId="0FD43001" w14:textId="1F65B3CC"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IV.9</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Für Zusammenschlüsse, die der durch vorliegendes Kapitel eingeführten Überwachung unterliegen, ist eine vorherige Entscheidung der Belgischen Wettbewerbsbehörde erforderlich, die feststellt, ob sie zulässig sind.</w:t>
      </w:r>
    </w:p>
    <w:p w14:paraId="5A42614A" w14:textId="310D8D62" w:rsidR="00BE3682" w:rsidRPr="004676F5" w:rsidRDefault="00BE3682" w:rsidP="00BE3682">
      <w:pPr>
        <w:jc w:val="center"/>
        <w:rPr>
          <w:rFonts w:eastAsia="Calibri"/>
          <w:kern w:val="2"/>
          <w:szCs w:val="22"/>
          <w:lang w:val="de-DE" w:eastAsia="en-US"/>
          <w14:ligatures w14:val="standardContextual"/>
        </w:rPr>
      </w:pPr>
    </w:p>
    <w:p w14:paraId="3F9B464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Bei der in § 1 erwähnten Entscheidung wird Folgendes berücksichtigt:</w:t>
      </w:r>
    </w:p>
    <w:p w14:paraId="42E4B976" w14:textId="77777777" w:rsidR="00BE3682" w:rsidRPr="004676F5" w:rsidRDefault="00BE3682" w:rsidP="00BE3682">
      <w:pPr>
        <w:jc w:val="both"/>
        <w:rPr>
          <w:rFonts w:eastAsia="Calibri"/>
          <w:kern w:val="2"/>
          <w:lang w:val="de-DE" w:eastAsia="en-US"/>
          <w14:ligatures w14:val="standardContextual"/>
        </w:rPr>
      </w:pPr>
    </w:p>
    <w:p w14:paraId="5BABB44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die Notwendigkeit, auf dem Markt wirksamen Wettbewerb aufrechtzuerhalten und zu entwickeln, insbesondere in Bezug auf die Struktur aller betroffenen Märkte und den tatsächlichen oder potenziellen Wettbewerb durch innerhalb oder außerhalb des belgischen Staatsgebiets ansässige Unternehmen,</w:t>
      </w:r>
    </w:p>
    <w:p w14:paraId="652F6AB8" w14:textId="77777777" w:rsidR="00BE3682" w:rsidRPr="004676F5" w:rsidRDefault="00BE3682" w:rsidP="00BE3682">
      <w:pPr>
        <w:jc w:val="both"/>
        <w:rPr>
          <w:rFonts w:eastAsia="Calibri"/>
          <w:kern w:val="2"/>
          <w:lang w:val="de-DE" w:eastAsia="en-US"/>
          <w14:ligatures w14:val="standardContextual"/>
        </w:rPr>
      </w:pPr>
    </w:p>
    <w:p w14:paraId="671E02C3" w14:textId="6E3F71C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die Marktstellung und die wirtschaftliche Macht und Finanzkraft der beteiligten Unternehmen, die Wahlmöglichkeiten der Lieferanten und Abnehmer, ihren Zugang zu den Beschaffungs</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und Absatzmärkten, rechtliche oder tatsächliche Marktzutrittsschranken, die Entwicklung des Angebots und der Nachfrage bei den jeweiligen Erzeugnissen, die Interessen der Zwischen</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und Endverbraucher und die Entwicklung des technischen und wirtschaftlichen Fortschritts, sofern diese dem Verbraucher dient und den Wettbewerb nicht behindert.</w:t>
      </w:r>
    </w:p>
    <w:p w14:paraId="055CDE97" w14:textId="77777777" w:rsidR="00BE3682" w:rsidRPr="004676F5" w:rsidRDefault="00BE3682" w:rsidP="00BE3682">
      <w:pPr>
        <w:jc w:val="both"/>
        <w:rPr>
          <w:rFonts w:eastAsia="Calibri"/>
          <w:kern w:val="2"/>
          <w:lang w:val="de-DE" w:eastAsia="en-US"/>
          <w14:ligatures w14:val="standardContextual"/>
        </w:rPr>
      </w:pPr>
    </w:p>
    <w:p w14:paraId="56D401F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Zusammenschlüsse, die nicht zur Folge haben, dass ein wirksamer Wettbewerb auf dem belgischen Markt oder in einem wesentlichen Teil davon erheblich behindert wird, unter anderem durch Begründung oder Verstärkung einer beherrschenden Stellung, werden für zulässig erklärt.</w:t>
      </w:r>
    </w:p>
    <w:p w14:paraId="1E5C935D" w14:textId="77777777" w:rsidR="00BE3682" w:rsidRPr="004676F5" w:rsidRDefault="00BE3682" w:rsidP="00BE3682">
      <w:pPr>
        <w:jc w:val="both"/>
        <w:rPr>
          <w:rFonts w:eastAsia="Calibri"/>
          <w:kern w:val="2"/>
          <w:lang w:val="de-DE" w:eastAsia="en-US"/>
          <w14:ligatures w14:val="standardContextual"/>
        </w:rPr>
      </w:pPr>
    </w:p>
    <w:p w14:paraId="608E0B75" w14:textId="35AAC6E5"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Zusammenschlüsse, die zur Folge haben, dass ein wirksamer Wettbewerb auf dem belgischen Markt oder in einem wesentlichen Teil davon erheblich behindert wird, unter anderem durch Begründung oder Verstärkung einer beherrschenden Stellung, werden für unzulässig erklärt.</w:t>
      </w:r>
    </w:p>
    <w:p w14:paraId="445A7BF1" w14:textId="77777777" w:rsidR="00BE3682" w:rsidRPr="004676F5" w:rsidRDefault="00BE3682" w:rsidP="00BE3682">
      <w:pPr>
        <w:jc w:val="both"/>
        <w:rPr>
          <w:rFonts w:eastAsia="Calibri"/>
          <w:kern w:val="2"/>
          <w:lang w:val="de-DE" w:eastAsia="en-US"/>
          <w14:ligatures w14:val="standardContextual"/>
        </w:rPr>
      </w:pPr>
    </w:p>
    <w:p w14:paraId="5E51B0B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5 ­ Wenn die Gründung eines Gemeinschaftsunternehmens, das einen Zusammen</w:t>
      </w:r>
      <w:r w:rsidRPr="004676F5">
        <w:rPr>
          <w:rFonts w:eastAsia="Calibri"/>
          <w:kern w:val="2"/>
          <w:szCs w:val="22"/>
          <w:lang w:val="de-DE" w:eastAsia="en-US"/>
          <w14:ligatures w14:val="standardContextual"/>
        </w:rPr>
        <w:softHyphen/>
        <w:t>schluss gemäß Artikel IV.6 § 2 darstellt, die Koordinierung des Wettbewerbsverhaltens unabhängig bleibender Unternehmen bezweckt oder bewirkt, wird eine solche Koordinierung nach den Kriterien des Artikels IV.1 beurteilt, um festzustellen, ob das Vorhaben zulässig ist.</w:t>
      </w:r>
    </w:p>
    <w:p w14:paraId="7EF5CA26" w14:textId="77777777" w:rsidR="00BE3682" w:rsidRPr="004676F5" w:rsidRDefault="00BE3682" w:rsidP="00BE3682">
      <w:pPr>
        <w:jc w:val="both"/>
        <w:rPr>
          <w:rFonts w:eastAsia="Calibri"/>
          <w:kern w:val="2"/>
          <w:lang w:val="de-DE" w:eastAsia="en-US"/>
          <w14:ligatures w14:val="standardContextual"/>
        </w:rPr>
      </w:pPr>
    </w:p>
    <w:p w14:paraId="36591A4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Bei dieser Beurteilung wird insbesondere berücksichtigt, ob:</w:t>
      </w:r>
    </w:p>
    <w:p w14:paraId="1352D79D" w14:textId="77777777" w:rsidR="00BE3682" w:rsidRPr="004676F5" w:rsidRDefault="00BE3682" w:rsidP="00BE3682">
      <w:pPr>
        <w:jc w:val="both"/>
        <w:rPr>
          <w:rFonts w:eastAsia="Calibri"/>
          <w:kern w:val="2"/>
          <w:lang w:val="de-DE" w:eastAsia="en-US"/>
          <w14:ligatures w14:val="standardContextual"/>
        </w:rPr>
      </w:pPr>
    </w:p>
    <w:p w14:paraId="6C265B21" w14:textId="6D51B404"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es auf dem Markt des Gemeinschaftsunternehmens oder auf einem diesem vor</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nachgelagerten Markt oder auf einem eng mit ihm verknüpften Markt eine nennenswerte und gleichzeitige Präsenz von zwei oder mehr Gründerunternehmen gibt,</w:t>
      </w:r>
    </w:p>
    <w:p w14:paraId="1682EA91" w14:textId="77777777" w:rsidR="00BE3682" w:rsidRPr="004676F5" w:rsidRDefault="00BE3682" w:rsidP="00BE3682">
      <w:pPr>
        <w:jc w:val="both"/>
        <w:rPr>
          <w:rFonts w:eastAsia="Calibri"/>
          <w:kern w:val="2"/>
          <w:lang w:val="de-DE" w:eastAsia="en-US"/>
          <w14:ligatures w14:val="standardContextual"/>
        </w:rPr>
      </w:pPr>
    </w:p>
    <w:p w14:paraId="376D6D9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die unmittelbar aus der Gründung des Gemeinschaftsunternehmens erwachsende Koordinierung den beteiligten Unternehmen die Möglichkeit eröffnet, für einen wesentlichen Teil der betreffenden Erzeugnisse den Wettbewerb auszuschalten.</w:t>
      </w:r>
    </w:p>
    <w:p w14:paraId="7C129E3C" w14:textId="77777777" w:rsidR="00BE3682" w:rsidRPr="004676F5" w:rsidRDefault="00BE3682" w:rsidP="00BE3682">
      <w:pPr>
        <w:jc w:val="both"/>
        <w:rPr>
          <w:rFonts w:eastAsia="Calibri"/>
          <w:kern w:val="2"/>
          <w:lang w:val="de-DE" w:eastAsia="en-US"/>
          <w14:ligatures w14:val="standardContextual"/>
        </w:rPr>
      </w:pPr>
    </w:p>
    <w:p w14:paraId="3E9F23D9" w14:textId="77777777" w:rsidR="007854CD" w:rsidRPr="004676F5" w:rsidRDefault="007854CD" w:rsidP="00BE3682">
      <w:pPr>
        <w:jc w:val="both"/>
        <w:rPr>
          <w:rFonts w:eastAsia="Calibri"/>
          <w:kern w:val="2"/>
          <w:lang w:val="de-DE" w:eastAsia="en-US"/>
          <w14:ligatures w14:val="standardContextual"/>
        </w:rPr>
      </w:pPr>
    </w:p>
    <w:p w14:paraId="714D5636" w14:textId="0A82293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IV.10</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Zusammenschlüsse, die der durch vorliegendes Kapitel eingeführten Überwachung unterliegen, sind nach Vertragsabschluss, Veröffentlichung des Übernahme</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Tauschangebots oder Erwerb einer die Kontrolle begründenden Beteiligung und vor ihrem Vollzug beim Generalauditor anzumelden. Die Parteien können jedoch einen Vertragsentwurf anmelden, wenn sie ausdrücklich ihre Absicht erklären, einen Vertrag abzuschließen, der in allen wettbewerbsrechtlich relevanten Punkten nicht erheblich vom angemeldeten Entwurf abweicht. Im Falle eines öffentlichen Übernahme</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Tauschangebots können die Parteien ebenfalls einen Entwurf anmelden, wenn sie öffentlich ihre Absicht zur Abgabe eines solchen Angebots bekundet haben.</w:t>
      </w:r>
    </w:p>
    <w:p w14:paraId="3EF13D8B" w14:textId="77777777" w:rsidR="00BE3682" w:rsidRPr="004676F5" w:rsidRDefault="00BE3682" w:rsidP="00BE3682">
      <w:pPr>
        <w:jc w:val="both"/>
        <w:rPr>
          <w:rFonts w:eastAsia="Calibri"/>
          <w:kern w:val="2"/>
          <w:lang w:val="de-DE" w:eastAsia="en-US"/>
          <w14:ligatures w14:val="standardContextual"/>
        </w:rPr>
      </w:pPr>
    </w:p>
    <w:p w14:paraId="47D2D4F0"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 2 ­ Zusammenschlüsse in Form einer Fusion im Sinne von Artikel IV.6 § 1 Nr. 1 oder in Form der Begründung einer gemeinsamen Kontrolle im Sinne von Artikel IV.6 § 1 Nr. 2 sind von den an der Fusion oder der Begründung der gemeinsamen Kontrolle beteiligten Parteien gemeinsam anzumelden. In allen anderen Fällen ist die Anmeldung von der Person oder dem Unternehmen vorzunehmen, die/das die Kontrolle über die Gesamtheit oder über Teile eines oder mehrerer Unternehmen erwirbt.</w:t>
      </w:r>
    </w:p>
    <w:p w14:paraId="3F22F23F" w14:textId="77777777" w:rsidR="00380818" w:rsidRPr="004676F5" w:rsidRDefault="00380818" w:rsidP="00BE3682">
      <w:pPr>
        <w:jc w:val="both"/>
        <w:rPr>
          <w:rFonts w:eastAsia="Calibri"/>
          <w:kern w:val="2"/>
          <w:szCs w:val="22"/>
          <w:lang w:val="de-DE" w:eastAsia="en-US"/>
          <w14:ligatures w14:val="standardContextual"/>
        </w:rPr>
      </w:pPr>
    </w:p>
    <w:p w14:paraId="6A45416C" w14:textId="77777777" w:rsidR="00380818" w:rsidRPr="004676F5" w:rsidRDefault="00380818" w:rsidP="00380818">
      <w:pPr>
        <w:jc w:val="both"/>
        <w:rPr>
          <w:lang w:val="de-DE"/>
        </w:rPr>
      </w:pPr>
      <w:r w:rsidRPr="004676F5">
        <w:rPr>
          <w:rFonts w:eastAsia="Calibri"/>
          <w:kern w:val="2"/>
          <w:szCs w:val="22"/>
          <w:lang w:val="de-DE" w:eastAsia="en-US"/>
          <w14:ligatures w14:val="standardContextual"/>
        </w:rPr>
        <w:tab/>
        <w:t>[</w:t>
      </w:r>
      <w:r w:rsidRPr="004676F5">
        <w:rPr>
          <w:lang w:val="de-DE"/>
        </w:rPr>
        <w:t>Für die Anmeldung ist eine Pauschalgebühr von 52.350 EUR für einen Zusammen</w:t>
      </w:r>
      <w:r w:rsidRPr="004676F5">
        <w:rPr>
          <w:lang w:val="de-DE"/>
        </w:rPr>
        <w:softHyphen/>
        <w:t>schluss oder 17.450 EUR für einen Zusammenschluss, der einem vereinfachten Verfahren unterzogen wird, zu Lasten der anmeldenden Partei(en) zu entrichten, deren Betrag ab dem Jahr 2023 automatisch an den Verbraucherpreisindex angepasst wird.</w:t>
      </w:r>
    </w:p>
    <w:p w14:paraId="7DEBC338" w14:textId="77777777" w:rsidR="00380818" w:rsidRPr="004676F5" w:rsidRDefault="00380818" w:rsidP="00380818">
      <w:pPr>
        <w:jc w:val="both"/>
        <w:rPr>
          <w:lang w:val="de-DE"/>
        </w:rPr>
      </w:pPr>
    </w:p>
    <w:p w14:paraId="4D774D1A" w14:textId="77777777" w:rsidR="00380818" w:rsidRPr="004676F5" w:rsidRDefault="00380818">
      <w:pPr>
        <w:rPr>
          <w:lang w:val="de-DE"/>
        </w:rPr>
      </w:pPr>
      <w:r w:rsidRPr="004676F5">
        <w:rPr>
          <w:lang w:val="de-DE"/>
        </w:rPr>
        <w:br w:type="page"/>
      </w:r>
    </w:p>
    <w:p w14:paraId="58AD2644" w14:textId="113C32D8" w:rsidR="00380818" w:rsidRPr="004676F5" w:rsidRDefault="00380818" w:rsidP="00380818">
      <w:pPr>
        <w:jc w:val="both"/>
        <w:rPr>
          <w:lang w:val="de-DE"/>
        </w:rPr>
      </w:pPr>
      <w:r w:rsidRPr="004676F5">
        <w:rPr>
          <w:lang w:val="de-DE"/>
        </w:rPr>
        <w:lastRenderedPageBreak/>
        <w:tab/>
        <w:t>Für die Einnahme der Gebühr übermittelt das Sekretariat der Belgischen Wettbewerbs</w:t>
      </w:r>
      <w:r w:rsidRPr="004676F5">
        <w:rPr>
          <w:lang w:val="de-DE"/>
        </w:rPr>
        <w:softHyphen/>
        <w:t>behörde dem Föderalen Öffentlichen Dienst Finanzen innerhalb zehn Werktagen ab dem Tag nach der in den Artikeln IV.66 § 1 Nr. 1 und § 2 Nr. 1 und 2, IV.69 § 1 und IV.70 § 3 erwähnten Entscheidung des Wettbewerbskollegiums oder des Auditors oder ab dem Tag nach der in Artikel IV.74 § 1 Absatz 4 erwähnten Notifizierung über einen elektronischen Datenfluss folgende Angaben zu jeder einforderbaren Gebühr:</w:t>
      </w:r>
    </w:p>
    <w:p w14:paraId="05A1E057" w14:textId="77777777" w:rsidR="00380818" w:rsidRPr="004676F5" w:rsidRDefault="00380818" w:rsidP="00380818">
      <w:pPr>
        <w:jc w:val="both"/>
        <w:rPr>
          <w:lang w:val="de-DE"/>
        </w:rPr>
      </w:pPr>
    </w:p>
    <w:p w14:paraId="2E2810B8" w14:textId="77777777" w:rsidR="00380818" w:rsidRPr="004676F5" w:rsidRDefault="00380818" w:rsidP="00380818">
      <w:pPr>
        <w:jc w:val="both"/>
        <w:rPr>
          <w:lang w:val="de-DE"/>
        </w:rPr>
      </w:pPr>
      <w:r w:rsidRPr="004676F5">
        <w:rPr>
          <w:lang w:val="de-DE"/>
        </w:rPr>
        <w:tab/>
        <w:t>1. einen einmaligen Referenzcode pro Gebühr,</w:t>
      </w:r>
    </w:p>
    <w:p w14:paraId="521635A4" w14:textId="77777777" w:rsidR="00380818" w:rsidRPr="004676F5" w:rsidRDefault="00380818" w:rsidP="00380818">
      <w:pPr>
        <w:jc w:val="both"/>
        <w:rPr>
          <w:lang w:val="de-DE"/>
        </w:rPr>
      </w:pPr>
    </w:p>
    <w:p w14:paraId="3914A367" w14:textId="77777777" w:rsidR="00380818" w:rsidRPr="004676F5" w:rsidRDefault="00380818" w:rsidP="00380818">
      <w:pPr>
        <w:jc w:val="both"/>
        <w:rPr>
          <w:lang w:val="de-DE"/>
        </w:rPr>
      </w:pPr>
      <w:r w:rsidRPr="004676F5">
        <w:rPr>
          <w:lang w:val="de-DE"/>
        </w:rPr>
        <w:tab/>
        <w:t>2. Identifizierung des Unternehmens oder der Person, das/die die Gebühr schuldet, oder, im Falle einer Fusion im Sinne von Artikel IV.6 § 1 Nr. 1 oder der Begründung einer gemeinsamen Kontrolle im Sinne von Artikel IV.6 § 1 Nr. 2, Identifizierung der Unternehmen oder Personen, die die Gebühr zu gleichen Teilen schulden; für natürliche Personen wird falls verfügbar die Erkennungsnummer des Nationalregisters oder in deren Ermangelung die Erkennungsnummer der Zentralen Datenbank der sozialen Sicherheit und für juristische Personen die Erkennungsnummer der Zentralen Datenbank der Unternehmen angegeben,</w:t>
      </w:r>
    </w:p>
    <w:p w14:paraId="67CD838D" w14:textId="77777777" w:rsidR="00380818" w:rsidRPr="004676F5" w:rsidRDefault="00380818" w:rsidP="00380818">
      <w:pPr>
        <w:jc w:val="both"/>
        <w:rPr>
          <w:lang w:val="de-DE"/>
        </w:rPr>
      </w:pPr>
    </w:p>
    <w:p w14:paraId="523CAFF5" w14:textId="77777777" w:rsidR="00380818" w:rsidRPr="004676F5" w:rsidRDefault="00380818" w:rsidP="00380818">
      <w:pPr>
        <w:jc w:val="both"/>
        <w:rPr>
          <w:lang w:val="de-DE"/>
        </w:rPr>
      </w:pPr>
      <w:r w:rsidRPr="004676F5">
        <w:rPr>
          <w:lang w:val="de-DE"/>
        </w:rPr>
        <w:tab/>
        <w:t>3. Höhe der Gebühr,</w:t>
      </w:r>
    </w:p>
    <w:p w14:paraId="7D372DE1" w14:textId="77777777" w:rsidR="00380818" w:rsidRPr="004676F5" w:rsidRDefault="00380818" w:rsidP="00380818">
      <w:pPr>
        <w:jc w:val="both"/>
        <w:rPr>
          <w:lang w:val="de-DE"/>
        </w:rPr>
      </w:pPr>
    </w:p>
    <w:p w14:paraId="48E815D0" w14:textId="77777777" w:rsidR="00380818" w:rsidRPr="004676F5" w:rsidRDefault="00380818" w:rsidP="00380818">
      <w:pPr>
        <w:jc w:val="both"/>
        <w:rPr>
          <w:lang w:val="de-DE"/>
        </w:rPr>
      </w:pPr>
      <w:r w:rsidRPr="004676F5">
        <w:rPr>
          <w:lang w:val="de-DE"/>
        </w:rPr>
        <w:tab/>
        <w:t>4. Datum des Eingangs der Anmeldung im Sekretariat.</w:t>
      </w:r>
    </w:p>
    <w:p w14:paraId="0A9996D2" w14:textId="77777777" w:rsidR="00380818" w:rsidRPr="004676F5" w:rsidRDefault="00380818" w:rsidP="00380818">
      <w:pPr>
        <w:jc w:val="both"/>
        <w:rPr>
          <w:lang w:val="de-DE"/>
        </w:rPr>
      </w:pPr>
    </w:p>
    <w:p w14:paraId="413BA9FD" w14:textId="77777777" w:rsidR="00380818" w:rsidRPr="004676F5" w:rsidRDefault="00380818" w:rsidP="00380818">
      <w:pPr>
        <w:jc w:val="both"/>
        <w:rPr>
          <w:lang w:val="de-DE"/>
        </w:rPr>
      </w:pPr>
      <w:r w:rsidRPr="004676F5">
        <w:rPr>
          <w:lang w:val="de-DE"/>
        </w:rPr>
        <w:tab/>
        <w:t>Der Föderale Öffentliche Dienst Finanzen sendet dem Unternehmen oder der Person, das/die die Gebühr schuldet, unverzüglich einen Bescheid mit der Aufforderung, die zu entrichtende Gebühr innerhalb fünfzehn Tagen ab Eingang des Bescheids zu zahlen. Der Zahlungsbescheid gilt als am dritten Werktag nach seiner Aufgabe beim Universal</w:t>
      </w:r>
      <w:r w:rsidRPr="004676F5">
        <w:rPr>
          <w:lang w:val="de-DE"/>
        </w:rPr>
        <w:softHyphen/>
        <w:t>postdiensteanbieter eingegangen.</w:t>
      </w:r>
    </w:p>
    <w:p w14:paraId="28F5357D" w14:textId="77777777" w:rsidR="00380818" w:rsidRPr="004676F5" w:rsidRDefault="00380818" w:rsidP="00380818">
      <w:pPr>
        <w:jc w:val="both"/>
        <w:rPr>
          <w:lang w:val="de-DE"/>
        </w:rPr>
      </w:pPr>
    </w:p>
    <w:p w14:paraId="6211C96F" w14:textId="77777777" w:rsidR="00380818" w:rsidRPr="004676F5" w:rsidRDefault="00380818" w:rsidP="00380818">
      <w:pPr>
        <w:jc w:val="both"/>
        <w:rPr>
          <w:lang w:val="de-DE"/>
        </w:rPr>
      </w:pPr>
      <w:r w:rsidRPr="004676F5">
        <w:rPr>
          <w:lang w:val="de-DE"/>
        </w:rPr>
        <w:tab/>
        <w:t>Gebühren, die nicht rechtzeitig gezahlt werden, werden zugunsten der Staatskasse gemäß den Bestimmungen der Artikel 3 und folgenden des Domanialgesetzes vom 22. Dezember 1949 für die Beitreibung nichtsteuerlicher Forderungen beigetrieben.</w:t>
      </w:r>
    </w:p>
    <w:p w14:paraId="5F699D09" w14:textId="77777777" w:rsidR="00380818" w:rsidRPr="004676F5" w:rsidRDefault="00380818" w:rsidP="00380818">
      <w:pPr>
        <w:jc w:val="both"/>
        <w:rPr>
          <w:lang w:val="de-DE"/>
        </w:rPr>
      </w:pPr>
    </w:p>
    <w:p w14:paraId="304BBEBE" w14:textId="71BA49D1" w:rsidR="00380818" w:rsidRPr="004676F5" w:rsidRDefault="00380818" w:rsidP="00380818">
      <w:pPr>
        <w:jc w:val="both"/>
        <w:rPr>
          <w:rFonts w:eastAsia="Calibri"/>
          <w:kern w:val="2"/>
          <w:lang w:val="de-DE" w:eastAsia="en-US"/>
          <w14:ligatures w14:val="standardContextual"/>
        </w:rPr>
      </w:pPr>
      <w:r w:rsidRPr="004676F5">
        <w:rPr>
          <w:lang w:val="de-DE"/>
        </w:rPr>
        <w:tab/>
        <w:t>Der König kann durch einen im Ministerrat beratenen Erlass die Höhe der Pauschgebühr anpassen.</w:t>
      </w:r>
      <w:r w:rsidRPr="004676F5">
        <w:rPr>
          <w:rFonts w:eastAsia="Calibri"/>
          <w:kern w:val="2"/>
          <w:szCs w:val="22"/>
          <w:lang w:val="de-DE" w:eastAsia="en-US"/>
          <w14:ligatures w14:val="standardContextual"/>
        </w:rPr>
        <w:t>]</w:t>
      </w:r>
    </w:p>
    <w:p w14:paraId="7E3FD40D" w14:textId="77777777" w:rsidR="00BE3682" w:rsidRPr="004676F5" w:rsidRDefault="00BE3682" w:rsidP="00BE3682">
      <w:pPr>
        <w:jc w:val="both"/>
        <w:rPr>
          <w:rFonts w:eastAsia="Calibri"/>
          <w:kern w:val="2"/>
          <w:lang w:val="de-DE" w:eastAsia="en-US"/>
          <w14:ligatures w14:val="standardContextual"/>
        </w:rPr>
      </w:pPr>
    </w:p>
    <w:p w14:paraId="71B6E0E5" w14:textId="3A0F06B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 3 ­ Die Modalitäten der </w:t>
      </w:r>
      <w:r w:rsidR="00380818" w:rsidRPr="004676F5">
        <w:rPr>
          <w:rFonts w:eastAsia="Calibri"/>
          <w:kern w:val="2"/>
          <w:szCs w:val="22"/>
          <w:lang w:val="de-DE" w:eastAsia="en-US"/>
          <w14:ligatures w14:val="standardContextual"/>
        </w:rPr>
        <w:t>[</w:t>
      </w:r>
      <w:r w:rsidR="00380818" w:rsidRPr="004676F5">
        <w:rPr>
          <w:lang w:val="de-DE"/>
        </w:rPr>
        <w:t>in den Paragraphen 1 und 2</w:t>
      </w:r>
      <w:r w:rsidR="00380818"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erwähnten Anmeldungen werden vom König bestimmt. Die Belgische Wettbewerbsbehörde kann spezifische Regeln für eine vereinfachte Anmeldung bestimmen.</w:t>
      </w:r>
    </w:p>
    <w:p w14:paraId="0FDE99DF" w14:textId="77777777" w:rsidR="00BE3682" w:rsidRPr="004676F5" w:rsidRDefault="00BE3682" w:rsidP="00BE3682">
      <w:pPr>
        <w:jc w:val="both"/>
        <w:rPr>
          <w:rFonts w:eastAsia="Calibri"/>
          <w:kern w:val="2"/>
          <w:lang w:val="de-DE" w:eastAsia="en-US"/>
          <w14:ligatures w14:val="standardContextual"/>
        </w:rPr>
      </w:pPr>
    </w:p>
    <w:p w14:paraId="69C1AA0B" w14:textId="1E7E5603"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Solange die Belgische Wettbewerbsbehörde keine Entscheidung über die Zulässigkeit des Zusammenschlusses fasst, dürfen die beteiligten Unternehmen den Zusammenschluss nicht umsetzen.</w:t>
      </w:r>
    </w:p>
    <w:p w14:paraId="45A56461" w14:textId="77777777" w:rsidR="00BE3682" w:rsidRPr="004676F5" w:rsidRDefault="00BE3682" w:rsidP="00BE3682">
      <w:pPr>
        <w:jc w:val="both"/>
        <w:rPr>
          <w:rFonts w:eastAsia="Calibri"/>
          <w:kern w:val="2"/>
          <w:lang w:val="de-DE" w:eastAsia="en-US"/>
          <w14:ligatures w14:val="standardContextual"/>
        </w:rPr>
      </w:pPr>
    </w:p>
    <w:p w14:paraId="7508A4CB" w14:textId="448A515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5 ­ Paragraph 4 steht jedoch der Verwirklichung von Vorgängen nicht entgegen, bei denen die Kontrolle im Sinne von Artikel IV.6 von mehreren Veräußerern entweder im Wege eines öffentlichen Übernahme</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Tauschangebots oder im Wege einer Reihe von Rechtsgeschäften mit Finanzinstrumenten, einschließlich solcher, die in andere zum Handel an einer Börse oder an einem ähnlichen Markt zugelassene Finanzinstrumente konvertierbar sind, erworben wird, sofern:</w:t>
      </w:r>
    </w:p>
    <w:p w14:paraId="67A6EB7E" w14:textId="77777777" w:rsidR="00BE3682" w:rsidRPr="004676F5" w:rsidRDefault="00BE3682" w:rsidP="00BE3682">
      <w:pPr>
        <w:jc w:val="both"/>
        <w:rPr>
          <w:rFonts w:eastAsia="Calibri"/>
          <w:kern w:val="2"/>
          <w:lang w:val="de-DE" w:eastAsia="en-US"/>
          <w14:ligatures w14:val="standardContextual"/>
        </w:rPr>
      </w:pPr>
    </w:p>
    <w:p w14:paraId="09A5226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der Zusammenschluss gemäß vorliegendem Artikel unverzüglich beim General</w:t>
      </w:r>
      <w:r w:rsidRPr="004676F5">
        <w:rPr>
          <w:rFonts w:eastAsia="Calibri"/>
          <w:kern w:val="2"/>
          <w:szCs w:val="22"/>
          <w:lang w:val="de-DE" w:eastAsia="en-US"/>
          <w14:ligatures w14:val="standardContextual"/>
        </w:rPr>
        <w:softHyphen/>
        <w:t>auditor angemeldet wird und</w:t>
      </w:r>
    </w:p>
    <w:p w14:paraId="1F25BD42" w14:textId="77777777" w:rsidR="00BE3682" w:rsidRPr="004676F5" w:rsidRDefault="00BE3682" w:rsidP="00BE3682">
      <w:pPr>
        <w:jc w:val="both"/>
        <w:rPr>
          <w:rFonts w:eastAsia="Calibri"/>
          <w:kern w:val="2"/>
          <w:lang w:val="de-DE" w:eastAsia="en-US"/>
          <w14:ligatures w14:val="standardContextual"/>
        </w:rPr>
      </w:pPr>
    </w:p>
    <w:p w14:paraId="05DA5FC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der Erwerber die mit den Finanzinstrumenten verbundenen Stimmrechte nicht ausübt oder nur zur Erhaltung des vollen Wertes seiner Investition aufgrund einer vom Präsidenten nach § 6 erteilten Befreiung ausübt.</w:t>
      </w:r>
    </w:p>
    <w:p w14:paraId="2598FDC2" w14:textId="77777777" w:rsidR="00BE3682" w:rsidRPr="004676F5" w:rsidRDefault="00BE3682" w:rsidP="00BE3682">
      <w:pPr>
        <w:jc w:val="both"/>
        <w:rPr>
          <w:rFonts w:eastAsia="Calibri"/>
          <w:kern w:val="2"/>
          <w:lang w:val="de-DE" w:eastAsia="en-US"/>
          <w14:ligatures w14:val="standardContextual"/>
        </w:rPr>
      </w:pPr>
    </w:p>
    <w:p w14:paraId="794BB23F" w14:textId="316B91B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6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Unbeschadet der in § 5 vorgesehenen Bestimmungen kann der Präsident jederzeit auf Antrag einer der Parteien eine Befreiung von dem in § 4 vorgesehenen Umsetzungsverbot erteilen. Der Präsident fordert den Generalauditor auf, einen Bericht mit den Ermessens</w:t>
      </w:r>
      <w:r w:rsidRPr="004676F5">
        <w:rPr>
          <w:rFonts w:eastAsia="Calibri"/>
          <w:kern w:val="2"/>
          <w:szCs w:val="22"/>
          <w:lang w:val="de-DE" w:eastAsia="en-US"/>
          <w14:ligatures w14:val="standardContextual"/>
        </w:rPr>
        <w:softHyphen/>
        <w:t>elementen, die für die in vorliegendem Paragraphen erwähnte Entscheidungsfindung notwendig sind, zu hinterlegen. Der Generalauditor oder der von ihm bestimmte Auditor muss seinen Bericht innerhalb zweier Wochen ab Hinterlegung des Befreiungsantrags hinterlegen. Der Präsident kann diese Frist verkürzen.</w:t>
      </w:r>
    </w:p>
    <w:p w14:paraId="6802129F" w14:textId="77777777" w:rsidR="00BE3682" w:rsidRPr="004676F5" w:rsidRDefault="00BE3682" w:rsidP="00BE3682">
      <w:pPr>
        <w:jc w:val="both"/>
        <w:rPr>
          <w:rFonts w:eastAsia="Calibri"/>
          <w:kern w:val="2"/>
          <w:lang w:val="de-DE" w:eastAsia="en-US"/>
          <w14:ligatures w14:val="standardContextual"/>
        </w:rPr>
      </w:pPr>
    </w:p>
    <w:p w14:paraId="329141C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Präsident kann seine Entscheidung mit Bedingungen und Auflagen verbinden.</w:t>
      </w:r>
    </w:p>
    <w:p w14:paraId="0995CF08" w14:textId="77777777" w:rsidR="00BE3682" w:rsidRPr="004676F5" w:rsidRDefault="00BE3682" w:rsidP="00BE3682">
      <w:pPr>
        <w:jc w:val="both"/>
        <w:rPr>
          <w:rFonts w:eastAsia="Calibri"/>
          <w:kern w:val="2"/>
          <w:lang w:val="de-DE" w:eastAsia="en-US"/>
          <w14:ligatures w14:val="standardContextual"/>
        </w:rPr>
      </w:pPr>
    </w:p>
    <w:p w14:paraId="5A39F263" w14:textId="7CEC0A81" w:rsidR="00380818" w:rsidRPr="004676F5" w:rsidRDefault="00380818"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IV.10 § 2 Abs. 2 bis 6 eingefügt durch Art. 6 Nr. 1 des G. vom 28. Februar 2022 (B.S. vom 7. März 2022); § 3 abgeändert durch Art. 6 Nr. 2 des G. vom 28. Februar 2022 (B.S. vom 7. März 2022)]</w:t>
      </w:r>
    </w:p>
    <w:p w14:paraId="127549AA" w14:textId="77777777" w:rsidR="00380818" w:rsidRPr="004676F5" w:rsidRDefault="00380818" w:rsidP="00BE3682">
      <w:pPr>
        <w:jc w:val="both"/>
        <w:rPr>
          <w:rFonts w:eastAsia="Calibri"/>
          <w:i/>
          <w:iCs/>
          <w:kern w:val="2"/>
          <w:lang w:val="de-DE" w:eastAsia="en-US"/>
          <w14:ligatures w14:val="standardContextual"/>
        </w:rPr>
      </w:pPr>
    </w:p>
    <w:p w14:paraId="7C39AF53" w14:textId="77777777" w:rsidR="007854CD" w:rsidRPr="004676F5" w:rsidRDefault="007854CD" w:rsidP="00BE3682">
      <w:pPr>
        <w:jc w:val="both"/>
        <w:rPr>
          <w:rFonts w:eastAsia="Calibri"/>
          <w:kern w:val="2"/>
          <w:lang w:val="de-DE" w:eastAsia="en-US"/>
          <w14:ligatures w14:val="standardContextual"/>
        </w:rPr>
      </w:pPr>
    </w:p>
    <w:p w14:paraId="533427EB" w14:textId="3B8E7CC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IV.11</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Zusammenschlüsse, die der Kontrolle der Europäischen Kommission unterworfen sind, darin einbegriffen Zusammenschlüsse, die in Anwendung von Artikel 22 der Verordnung (EG) Nr. 139/2004 an die Europäische Kommission verwiesen werden, unterliegen nicht der durch vorliegendes Kapitel eingeführten Überwachung.</w:t>
      </w:r>
    </w:p>
    <w:p w14:paraId="12EC3D30" w14:textId="77777777" w:rsidR="00BE3682" w:rsidRPr="004676F5" w:rsidRDefault="00BE3682" w:rsidP="00BE3682">
      <w:pPr>
        <w:jc w:val="both"/>
        <w:rPr>
          <w:rFonts w:eastAsia="Calibri"/>
          <w:kern w:val="2"/>
          <w:lang w:val="de-DE" w:eastAsia="en-US"/>
          <w14:ligatures w14:val="standardContextual"/>
        </w:rPr>
      </w:pPr>
    </w:p>
    <w:p w14:paraId="0BF4139C" w14:textId="4C59A8E5"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Zusammenschlüsse, die von der Europäischen Kommission in Anwendung von </w:t>
      </w:r>
      <w:r w:rsidR="00D3425C"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Artikel 4 Absatz 4</w:t>
      </w:r>
      <w:r w:rsidR="00D3425C"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und Artikel 9 Absatz 1 der Verordnung (EG) Nr. 139/2004 an die Belgische Wettbewerbsbehörde verwiesen werden, unterliegen jedoch der durch vorliegendes Buch eingeführten Überwachung. In diesem Fall müssen die Parteien den Zusammenschluss erneut beim Generalauditor gemäß Artikel IV.10 anmelden.</w:t>
      </w:r>
    </w:p>
    <w:p w14:paraId="2DA111DA" w14:textId="77777777" w:rsidR="00BE3682" w:rsidRPr="004676F5" w:rsidRDefault="00BE3682" w:rsidP="00BE3682">
      <w:pPr>
        <w:jc w:val="both"/>
        <w:rPr>
          <w:rFonts w:eastAsia="Calibri"/>
          <w:kern w:val="2"/>
          <w:lang w:val="de-DE" w:eastAsia="en-US"/>
          <w14:ligatures w14:val="standardContextual"/>
        </w:rPr>
      </w:pPr>
    </w:p>
    <w:p w14:paraId="785B5BED" w14:textId="25E4F63F" w:rsidR="00D3425C" w:rsidRPr="004676F5" w:rsidRDefault="00D3425C"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IV.II Abs. 2 abgeändert durch Art. 4 des G. vom 29. März 2024 (B.S. vom 3. Mai 2024</w:t>
      </w:r>
      <w:r w:rsidR="006F1076" w:rsidRPr="004676F5">
        <w:rPr>
          <w:rFonts w:eastAsia="Calibri"/>
          <w:i/>
          <w:iCs/>
          <w:kern w:val="2"/>
          <w:lang w:val="de-DE" w:eastAsia="en-US"/>
          <w14:ligatures w14:val="standardContextual"/>
        </w:rPr>
        <w:t>)</w:t>
      </w:r>
      <w:r w:rsidRPr="004676F5">
        <w:rPr>
          <w:rFonts w:eastAsia="Calibri"/>
          <w:i/>
          <w:iCs/>
          <w:kern w:val="2"/>
          <w:lang w:val="de-DE" w:eastAsia="en-US"/>
          <w14:ligatures w14:val="standardContextual"/>
        </w:rPr>
        <w:t>]</w:t>
      </w:r>
    </w:p>
    <w:p w14:paraId="6978972F" w14:textId="77777777" w:rsidR="007854CD" w:rsidRPr="004676F5" w:rsidRDefault="007854CD" w:rsidP="00BE3682">
      <w:pPr>
        <w:jc w:val="both"/>
        <w:rPr>
          <w:rFonts w:eastAsia="Calibri"/>
          <w:kern w:val="2"/>
          <w:lang w:val="de-DE" w:eastAsia="en-US"/>
          <w14:ligatures w14:val="standardContextual"/>
        </w:rPr>
      </w:pPr>
    </w:p>
    <w:p w14:paraId="69003C6C" w14:textId="77777777" w:rsidR="007854CD" w:rsidRPr="004676F5" w:rsidRDefault="007854CD">
      <w:pPr>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br w:type="page"/>
      </w:r>
    </w:p>
    <w:p w14:paraId="1736AB4B" w14:textId="62560D31" w:rsidR="00BE3682" w:rsidRPr="004676F5" w:rsidRDefault="00BE3682" w:rsidP="00BE3682">
      <w:pPr>
        <w:jc w:val="center"/>
        <w:rPr>
          <w:rFonts w:eastAsia="Calibri"/>
          <w:i/>
          <w:iCs/>
          <w:kern w:val="2"/>
          <w:lang w:val="de-DE" w:eastAsia="en-US"/>
          <w14:ligatures w14:val="standardContextual"/>
        </w:rPr>
      </w:pPr>
      <w:r w:rsidRPr="004676F5">
        <w:rPr>
          <w:rFonts w:eastAsia="Calibri"/>
          <w:kern w:val="2"/>
          <w:szCs w:val="22"/>
          <w:lang w:val="de-DE" w:eastAsia="en-US"/>
          <w14:ligatures w14:val="standardContextual"/>
        </w:rPr>
        <w:lastRenderedPageBreak/>
        <w:t>KAPITEL 3 </w:t>
      </w:r>
      <w:r w:rsidR="005B7A5C" w:rsidRPr="004676F5">
        <w:rPr>
          <w:rFonts w:eastAsia="Calibri"/>
          <w:kern w:val="2"/>
          <w:szCs w:val="22"/>
          <w:lang w:val="de-DE" w:eastAsia="en-US"/>
          <w14:ligatures w14:val="standardContextual"/>
        </w:rPr>
        <w:t>- </w:t>
      </w:r>
      <w:r w:rsidRPr="004676F5">
        <w:rPr>
          <w:rFonts w:eastAsia="Calibri"/>
          <w:i/>
          <w:kern w:val="2"/>
          <w:szCs w:val="22"/>
          <w:lang w:val="de-DE" w:eastAsia="en-US"/>
          <w14:ligatures w14:val="standardContextual"/>
        </w:rPr>
        <w:t>Öffentliche Unternehmen</w:t>
      </w:r>
    </w:p>
    <w:p w14:paraId="27562095" w14:textId="77777777" w:rsidR="00BE3682" w:rsidRPr="004676F5" w:rsidRDefault="00BE3682" w:rsidP="00BE3682">
      <w:pPr>
        <w:jc w:val="both"/>
        <w:rPr>
          <w:rFonts w:eastAsia="Calibri"/>
          <w:kern w:val="2"/>
          <w:lang w:val="de-DE" w:eastAsia="en-US"/>
          <w14:ligatures w14:val="standardContextual"/>
        </w:rPr>
      </w:pPr>
    </w:p>
    <w:p w14:paraId="2991BBDB" w14:textId="77777777" w:rsidR="007854CD" w:rsidRPr="004676F5" w:rsidRDefault="007854CD" w:rsidP="00BE3682">
      <w:pPr>
        <w:jc w:val="both"/>
        <w:rPr>
          <w:rFonts w:eastAsia="Calibri"/>
          <w:kern w:val="2"/>
          <w:lang w:val="de-DE" w:eastAsia="en-US"/>
          <w14:ligatures w14:val="standardContextual"/>
        </w:rPr>
      </w:pPr>
    </w:p>
    <w:p w14:paraId="2E2CC0C8" w14:textId="63968878"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IV.12</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Für Unternehmen, die mit Dienstleistungen von allgemeinem wirtschaftlichem Interesse betraut sind oder den Charakter eines Finanzmonopols haben, gelten die Vorschriften des vorliegenden Buches, soweit die Anwendung dieser Vorschriften nicht die Erfüllung der ihnen durch oder aufgrund des Gesetzes übertragenen besonderen Aufgabe rechtlich oder tatsächlich verhindert.</w:t>
      </w:r>
    </w:p>
    <w:p w14:paraId="05EC8B88" w14:textId="77777777" w:rsidR="00BE3682" w:rsidRPr="004676F5" w:rsidRDefault="00BE3682" w:rsidP="00BE3682">
      <w:pPr>
        <w:jc w:val="both"/>
        <w:rPr>
          <w:rFonts w:eastAsia="Calibri"/>
          <w:kern w:val="2"/>
          <w:lang w:val="de-DE" w:eastAsia="en-US"/>
          <w14:ligatures w14:val="standardContextual"/>
        </w:rPr>
      </w:pPr>
    </w:p>
    <w:p w14:paraId="7DD2D7CA" w14:textId="77777777" w:rsidR="007854CD" w:rsidRPr="004676F5" w:rsidRDefault="007854CD">
      <w:pPr>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br w:type="page"/>
      </w:r>
    </w:p>
    <w:p w14:paraId="5EB18FD6" w14:textId="56F48110" w:rsidR="00BE3682" w:rsidRPr="004676F5" w:rsidRDefault="00BE3682" w:rsidP="00BE3682">
      <w:pPr>
        <w:jc w:val="center"/>
        <w:rPr>
          <w:rFonts w:eastAsia="Calibri"/>
          <w:i/>
          <w:iCs/>
          <w:kern w:val="2"/>
          <w:lang w:val="de-DE" w:eastAsia="en-US"/>
          <w14:ligatures w14:val="standardContextual"/>
        </w:rPr>
      </w:pPr>
      <w:r w:rsidRPr="004676F5">
        <w:rPr>
          <w:rFonts w:eastAsia="Calibri"/>
          <w:kern w:val="2"/>
          <w:szCs w:val="22"/>
          <w:lang w:val="de-DE" w:eastAsia="en-US"/>
          <w14:ligatures w14:val="standardContextual"/>
        </w:rPr>
        <w:lastRenderedPageBreak/>
        <w:t>KAPITEL 4 </w:t>
      </w:r>
      <w:r w:rsidR="005B7A5C" w:rsidRPr="004676F5">
        <w:rPr>
          <w:rFonts w:eastAsia="Calibri"/>
          <w:kern w:val="2"/>
          <w:szCs w:val="22"/>
          <w:lang w:val="de-DE" w:eastAsia="en-US"/>
          <w14:ligatures w14:val="standardContextual"/>
        </w:rPr>
        <w:t>- </w:t>
      </w:r>
      <w:r w:rsidRPr="004676F5">
        <w:rPr>
          <w:rFonts w:eastAsia="Calibri"/>
          <w:i/>
          <w:kern w:val="2"/>
          <w:szCs w:val="22"/>
          <w:lang w:val="de-DE" w:eastAsia="en-US"/>
          <w14:ligatures w14:val="standardContextual"/>
        </w:rPr>
        <w:t>Maßnahmen oder Entscheidungen eines ausländischen Staates</w:t>
      </w:r>
    </w:p>
    <w:p w14:paraId="5CE7DDC1" w14:textId="77777777" w:rsidR="00BE3682" w:rsidRPr="004676F5" w:rsidRDefault="00BE3682" w:rsidP="00BE3682">
      <w:pPr>
        <w:jc w:val="both"/>
        <w:rPr>
          <w:rFonts w:eastAsia="Calibri"/>
          <w:kern w:val="2"/>
          <w:lang w:val="de-DE" w:eastAsia="en-US"/>
          <w14:ligatures w14:val="standardContextual"/>
        </w:rPr>
      </w:pPr>
    </w:p>
    <w:p w14:paraId="40FD9C12" w14:textId="77777777" w:rsidR="007854CD" w:rsidRPr="004676F5" w:rsidRDefault="007854CD" w:rsidP="00BE3682">
      <w:pPr>
        <w:jc w:val="both"/>
        <w:rPr>
          <w:rFonts w:eastAsia="Calibri"/>
          <w:kern w:val="2"/>
          <w:lang w:val="de-DE" w:eastAsia="en-US"/>
          <w14:ligatures w14:val="standardContextual"/>
        </w:rPr>
      </w:pPr>
    </w:p>
    <w:p w14:paraId="46332D39" w14:textId="2492CC8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IV.13</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Außer bei einer Befreiung in den vom König bestimmten Fällen ist es Personen, die auf belgischem Staatsgebiet wohnen oder dort ihren Sitz oder eine Niederlassung haben, verboten, Maßnahmen oder Entscheidungen eines ausländischen Staates oder seiner Einrichtungen Folge zu leisten, die sich auf eine Vorschrift über den Wettbewerb, die wirtschaftliche Macht oder handelsbeschränkende Praktiken im Bereich des internationalen See</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und Luftverkehrs beziehen.</w:t>
      </w:r>
    </w:p>
    <w:p w14:paraId="345AC411" w14:textId="77777777" w:rsidR="00BE3682" w:rsidRPr="004676F5" w:rsidRDefault="00BE3682" w:rsidP="00BE3682">
      <w:pPr>
        <w:jc w:val="both"/>
        <w:rPr>
          <w:rFonts w:eastAsia="Calibri"/>
          <w:kern w:val="2"/>
          <w:lang w:val="de-DE" w:eastAsia="en-US"/>
          <w14:ligatures w14:val="standardContextual"/>
        </w:rPr>
      </w:pPr>
    </w:p>
    <w:p w14:paraId="19208A4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König bestimmt die durch das Verbot betroffenen Handlungen. Die Befreiung kann auf Antrag von Interessehabenden vom Minister gewährt werden und gegebenenfalls bestimmten Modalitäten unterworfen werden.</w:t>
      </w:r>
    </w:p>
    <w:p w14:paraId="1065B849" w14:textId="77777777" w:rsidR="00BE3682" w:rsidRPr="004676F5" w:rsidRDefault="00BE3682" w:rsidP="00BE3682">
      <w:pPr>
        <w:jc w:val="both"/>
        <w:rPr>
          <w:rFonts w:eastAsia="Calibri"/>
          <w:kern w:val="2"/>
          <w:lang w:val="de-DE" w:eastAsia="en-US"/>
          <w14:ligatures w14:val="standardContextual"/>
        </w:rPr>
      </w:pPr>
    </w:p>
    <w:p w14:paraId="66FCC596" w14:textId="77777777" w:rsidR="007854CD" w:rsidRPr="004676F5" w:rsidRDefault="007854CD" w:rsidP="00BE3682">
      <w:pPr>
        <w:jc w:val="both"/>
        <w:rPr>
          <w:rFonts w:eastAsia="Calibri"/>
          <w:kern w:val="2"/>
          <w:lang w:val="de-DE" w:eastAsia="en-US"/>
          <w14:ligatures w14:val="standardContextual"/>
        </w:rPr>
      </w:pPr>
    </w:p>
    <w:p w14:paraId="295B90FA" w14:textId="577A5FE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IV.14</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Minister oder sein Beauftragter muss innerhalb fünfzehn Tagen nach Erhalt von Anweisungen oder Anträgen, die auf den in Artikel IV.13 erwähnten Maßnahmen oder Entscheidungen basieren, in Kenntnis gesetzt werden.</w:t>
      </w:r>
    </w:p>
    <w:p w14:paraId="38D59319" w14:textId="77777777" w:rsidR="00BE3682" w:rsidRPr="004676F5" w:rsidRDefault="00BE3682" w:rsidP="00BE3682">
      <w:pPr>
        <w:jc w:val="both"/>
        <w:rPr>
          <w:rFonts w:eastAsia="Calibri"/>
          <w:kern w:val="2"/>
          <w:lang w:val="de-DE" w:eastAsia="en-US"/>
          <w14:ligatures w14:val="standardContextual"/>
        </w:rPr>
      </w:pPr>
    </w:p>
    <w:p w14:paraId="2F9E6262" w14:textId="77777777" w:rsidR="007854CD" w:rsidRPr="004676F5" w:rsidRDefault="007854CD" w:rsidP="00BE3682">
      <w:pPr>
        <w:jc w:val="both"/>
        <w:rPr>
          <w:rFonts w:eastAsia="Calibri"/>
          <w:kern w:val="2"/>
          <w:lang w:val="de-DE" w:eastAsia="en-US"/>
          <w14:ligatures w14:val="standardContextual"/>
        </w:rPr>
      </w:pPr>
    </w:p>
    <w:p w14:paraId="7478FC79" w14:textId="6E35C290"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IV.15</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Unbeschadet der Artikel IV.13 und IV.14 und abgesehen von den Ausnahmen, die der König bestimmt, kann der König durch einen im Ministerrat beratenen Erlass und nach Stellungnahme der Belgischen Wettbewerbsbehörde und des Besonderen Beratungsausschusses Wettbewerb Maßnahmen ergreifen, um Unternehmen zu verbieten, unveröffentlichte Auskünfte oder Unterlagen in Bezug auf ihre Wettbewerbspraktiken einem ausländischen Staat oder einer einem solchen Staat unterstehenden Einrichtung zu übermitteln.</w:t>
      </w:r>
    </w:p>
    <w:p w14:paraId="607A985B" w14:textId="77777777" w:rsidR="00BE3682" w:rsidRPr="004676F5" w:rsidRDefault="00BE3682" w:rsidP="00BE3682">
      <w:pPr>
        <w:jc w:val="both"/>
        <w:rPr>
          <w:rFonts w:eastAsia="Calibri"/>
          <w:kern w:val="2"/>
          <w:lang w:val="de-DE" w:eastAsia="en-US"/>
          <w14:ligatures w14:val="standardContextual"/>
        </w:rPr>
      </w:pPr>
    </w:p>
    <w:p w14:paraId="756F4E2A" w14:textId="77777777" w:rsidR="007854CD" w:rsidRPr="004676F5" w:rsidRDefault="007854CD">
      <w:pPr>
        <w:rPr>
          <w:rFonts w:eastAsia="Calibri"/>
          <w:b/>
          <w:kern w:val="2"/>
          <w:szCs w:val="22"/>
          <w:lang w:val="de-DE" w:eastAsia="en-US"/>
          <w14:ligatures w14:val="standardContextual"/>
        </w:rPr>
      </w:pPr>
      <w:r w:rsidRPr="004676F5">
        <w:rPr>
          <w:rFonts w:eastAsia="Calibri"/>
          <w:b/>
          <w:kern w:val="2"/>
          <w:szCs w:val="22"/>
          <w:lang w:val="de-DE" w:eastAsia="en-US"/>
          <w14:ligatures w14:val="standardContextual"/>
        </w:rPr>
        <w:br w:type="page"/>
      </w:r>
    </w:p>
    <w:p w14:paraId="5A33B233" w14:textId="587EA314" w:rsidR="00BE3682" w:rsidRPr="004676F5" w:rsidRDefault="00BE3682" w:rsidP="00BE3682">
      <w:pPr>
        <w:jc w:val="center"/>
        <w:rPr>
          <w:rFonts w:eastAsia="Calibri"/>
          <w:b/>
          <w:bCs/>
          <w:i/>
          <w:iCs/>
          <w:kern w:val="2"/>
          <w:lang w:val="de-DE" w:eastAsia="en-US"/>
          <w14:ligatures w14:val="standardContextual"/>
        </w:rPr>
      </w:pPr>
      <w:r w:rsidRPr="004676F5">
        <w:rPr>
          <w:rFonts w:eastAsia="Calibri"/>
          <w:b/>
          <w:kern w:val="2"/>
          <w:szCs w:val="22"/>
          <w:lang w:val="de-DE" w:eastAsia="en-US"/>
          <w14:ligatures w14:val="standardContextual"/>
        </w:rPr>
        <w:lastRenderedPageBreak/>
        <w:t>TITEL 2 </w:t>
      </w:r>
      <w:r w:rsidR="005B7A5C" w:rsidRPr="004676F5">
        <w:rPr>
          <w:rFonts w:eastAsia="Calibri"/>
          <w:b/>
          <w:kern w:val="2"/>
          <w:szCs w:val="22"/>
          <w:lang w:val="de-DE" w:eastAsia="en-US"/>
          <w14:ligatures w14:val="standardContextual"/>
        </w:rPr>
        <w:t>- </w:t>
      </w:r>
      <w:r w:rsidR="00D3425C" w:rsidRPr="004676F5">
        <w:rPr>
          <w:rFonts w:eastAsia="Calibri"/>
          <w:bCs/>
          <w:kern w:val="2"/>
          <w:szCs w:val="22"/>
          <w:lang w:val="de-DE" w:eastAsia="en-US"/>
          <w14:ligatures w14:val="standardContextual"/>
        </w:rPr>
        <w:t>[</w:t>
      </w:r>
      <w:r w:rsidR="006F1076" w:rsidRPr="004676F5">
        <w:rPr>
          <w:rFonts w:eastAsia="Calibri"/>
          <w:b/>
          <w:i/>
          <w:kern w:val="2"/>
          <w:szCs w:val="22"/>
          <w:lang w:val="de-DE" w:eastAsia="en-US"/>
          <w14:ligatures w14:val="standardContextual"/>
        </w:rPr>
        <w:t>Zuständige Einrichtungen</w:t>
      </w:r>
      <w:r w:rsidR="00D3425C" w:rsidRPr="004676F5">
        <w:rPr>
          <w:rFonts w:eastAsia="Calibri"/>
          <w:bCs/>
          <w:iCs/>
          <w:kern w:val="2"/>
          <w:szCs w:val="22"/>
          <w:lang w:val="de-DE" w:eastAsia="en-US"/>
          <w14:ligatures w14:val="standardContextual"/>
        </w:rPr>
        <w:t>]</w:t>
      </w:r>
    </w:p>
    <w:p w14:paraId="0C4831E3" w14:textId="77777777" w:rsidR="00BE3682" w:rsidRPr="004676F5" w:rsidRDefault="00BE3682" w:rsidP="00BE3682">
      <w:pPr>
        <w:jc w:val="both"/>
        <w:rPr>
          <w:rFonts w:eastAsia="Calibri"/>
          <w:kern w:val="2"/>
          <w:lang w:val="de-DE" w:eastAsia="en-US"/>
          <w14:ligatures w14:val="standardContextual"/>
        </w:rPr>
      </w:pPr>
    </w:p>
    <w:p w14:paraId="62764F71" w14:textId="6488028B" w:rsidR="007854CD" w:rsidRPr="004676F5" w:rsidRDefault="00D3425C"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[Überschrift von Titel 2 ersetzt durch Art. 5 des G. vom 29. März 2024 (B.S. vom </w:t>
      </w:r>
      <w:r w:rsidR="006F1076" w:rsidRPr="004676F5">
        <w:rPr>
          <w:rFonts w:eastAsia="Calibri"/>
          <w:i/>
          <w:iCs/>
          <w:kern w:val="2"/>
          <w:lang w:val="de-DE" w:eastAsia="en-US"/>
          <w14:ligatures w14:val="standardContextual"/>
        </w:rPr>
        <w:t>3</w:t>
      </w:r>
      <w:r w:rsidRPr="004676F5">
        <w:rPr>
          <w:rFonts w:eastAsia="Calibri"/>
          <w:i/>
          <w:iCs/>
          <w:kern w:val="2"/>
          <w:lang w:val="de-DE" w:eastAsia="en-US"/>
          <w14:ligatures w14:val="standardContextual"/>
        </w:rPr>
        <w:t>. Mai 2024)]</w:t>
      </w:r>
    </w:p>
    <w:p w14:paraId="39543B50" w14:textId="77777777" w:rsidR="00D3425C" w:rsidRPr="004676F5" w:rsidRDefault="00D3425C" w:rsidP="00BE3682">
      <w:pPr>
        <w:jc w:val="both"/>
        <w:rPr>
          <w:rFonts w:eastAsia="Calibri"/>
          <w:kern w:val="2"/>
          <w:lang w:val="de-DE" w:eastAsia="en-US"/>
          <w14:ligatures w14:val="standardContextual"/>
        </w:rPr>
      </w:pPr>
    </w:p>
    <w:p w14:paraId="59B34BB6" w14:textId="77777777" w:rsidR="00D3425C" w:rsidRPr="004676F5" w:rsidRDefault="00D3425C" w:rsidP="00BE3682">
      <w:pPr>
        <w:jc w:val="both"/>
        <w:rPr>
          <w:rFonts w:eastAsia="Calibri"/>
          <w:kern w:val="2"/>
          <w:lang w:val="de-DE" w:eastAsia="en-US"/>
          <w14:ligatures w14:val="standardContextual"/>
        </w:rPr>
      </w:pPr>
    </w:p>
    <w:p w14:paraId="48AE7F65" w14:textId="272CE57B" w:rsidR="00BE3682" w:rsidRPr="004676F5" w:rsidRDefault="00BE3682" w:rsidP="00BE3682">
      <w:pPr>
        <w:jc w:val="center"/>
        <w:rPr>
          <w:rFonts w:eastAsia="Calibri"/>
          <w:i/>
          <w:iCs/>
          <w:kern w:val="2"/>
          <w:lang w:val="de-DE" w:eastAsia="en-US"/>
          <w14:ligatures w14:val="standardContextual"/>
        </w:rPr>
      </w:pPr>
      <w:r w:rsidRPr="004676F5">
        <w:rPr>
          <w:rFonts w:eastAsia="Calibri"/>
          <w:kern w:val="2"/>
          <w:szCs w:val="22"/>
          <w:lang w:val="de-DE" w:eastAsia="en-US"/>
          <w14:ligatures w14:val="standardContextual"/>
        </w:rPr>
        <w:t>KAPITEL 1 </w:t>
      </w:r>
      <w:r w:rsidR="005B7A5C" w:rsidRPr="004676F5">
        <w:rPr>
          <w:rFonts w:eastAsia="Calibri"/>
          <w:kern w:val="2"/>
          <w:szCs w:val="22"/>
          <w:lang w:val="de-DE" w:eastAsia="en-US"/>
          <w14:ligatures w14:val="standardContextual"/>
        </w:rPr>
        <w:t>- </w:t>
      </w:r>
      <w:r w:rsidRPr="004676F5">
        <w:rPr>
          <w:rFonts w:eastAsia="Calibri"/>
          <w:i/>
          <w:kern w:val="2"/>
          <w:szCs w:val="22"/>
          <w:lang w:val="de-DE" w:eastAsia="en-US"/>
          <w14:ligatures w14:val="standardContextual"/>
        </w:rPr>
        <w:t>Belgische Wettbewerbsbehörde</w:t>
      </w:r>
    </w:p>
    <w:p w14:paraId="695A2CCA" w14:textId="77777777" w:rsidR="00BE3682" w:rsidRPr="004676F5" w:rsidRDefault="00BE3682" w:rsidP="00BE3682">
      <w:pPr>
        <w:jc w:val="both"/>
        <w:rPr>
          <w:rFonts w:eastAsia="Calibri"/>
          <w:kern w:val="2"/>
          <w:lang w:val="de-DE" w:eastAsia="en-US"/>
          <w14:ligatures w14:val="standardContextual"/>
        </w:rPr>
      </w:pPr>
    </w:p>
    <w:p w14:paraId="7A82B901" w14:textId="77777777" w:rsidR="007854CD" w:rsidRPr="004676F5" w:rsidRDefault="007854CD" w:rsidP="00BE3682">
      <w:pPr>
        <w:jc w:val="both"/>
        <w:rPr>
          <w:rFonts w:eastAsia="Calibri"/>
          <w:kern w:val="2"/>
          <w:lang w:val="de-DE" w:eastAsia="en-US"/>
          <w14:ligatures w14:val="standardContextual"/>
        </w:rPr>
      </w:pPr>
    </w:p>
    <w:p w14:paraId="43753F30" w14:textId="1A19E16F" w:rsidR="00BE3682" w:rsidRPr="004676F5" w:rsidRDefault="00BE3682" w:rsidP="00BE3682">
      <w:pPr>
        <w:jc w:val="center"/>
        <w:rPr>
          <w:rFonts w:eastAsia="Calibri"/>
          <w:kern w:val="2"/>
          <w:lang w:val="de-DE" w:eastAsia="en-US"/>
          <w14:ligatures w14:val="standardContextual"/>
        </w:rPr>
      </w:pPr>
      <w:r w:rsidRPr="004676F5">
        <w:rPr>
          <w:rFonts w:eastAsia="Calibri"/>
          <w:i/>
          <w:kern w:val="2"/>
          <w:szCs w:val="22"/>
          <w:lang w:val="de-DE" w:eastAsia="en-US"/>
          <w14:ligatures w14:val="standardContextual"/>
        </w:rPr>
        <w:t>Abschnitt 1 </w:t>
      </w:r>
      <w:r w:rsidR="005B7A5C" w:rsidRPr="004676F5">
        <w:rPr>
          <w:rFonts w:eastAsia="Calibri"/>
          <w:i/>
          <w:kern w:val="2"/>
          <w:szCs w:val="22"/>
          <w:lang w:val="de-DE" w:eastAsia="en-US"/>
          <w14:ligatures w14:val="standardContextual"/>
        </w:rPr>
        <w:t>- </w:t>
      </w:r>
      <w:r w:rsidR="00D3425C" w:rsidRPr="004676F5">
        <w:rPr>
          <w:rFonts w:eastAsia="Calibri"/>
          <w:iCs/>
          <w:kern w:val="2"/>
          <w:szCs w:val="22"/>
          <w:lang w:val="de-DE" w:eastAsia="en-US"/>
          <w14:ligatures w14:val="standardContextual"/>
        </w:rPr>
        <w:t>[Einrichtung</w:t>
      </w:r>
      <w:r w:rsidR="00D3425C" w:rsidRPr="004676F5">
        <w:rPr>
          <w:rFonts w:eastAsia="Calibri"/>
          <w:kern w:val="2"/>
          <w:szCs w:val="22"/>
          <w:lang w:val="de-DE" w:eastAsia="en-US"/>
          <w14:ligatures w14:val="standardContextual"/>
        </w:rPr>
        <w:t>]</w:t>
      </w:r>
    </w:p>
    <w:p w14:paraId="0405ED4E" w14:textId="77777777" w:rsidR="00BE3682" w:rsidRPr="004676F5" w:rsidRDefault="00BE3682" w:rsidP="00BE3682">
      <w:pPr>
        <w:jc w:val="both"/>
        <w:rPr>
          <w:rFonts w:eastAsia="Calibri"/>
          <w:kern w:val="2"/>
          <w:lang w:val="de-DE" w:eastAsia="en-US"/>
          <w14:ligatures w14:val="standardContextual"/>
        </w:rPr>
      </w:pPr>
    </w:p>
    <w:p w14:paraId="68F7BA6F" w14:textId="10086924" w:rsidR="00424B08" w:rsidRPr="004676F5" w:rsidRDefault="00424B08"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[Überschrift von Abschnitt</w:t>
      </w:r>
      <w:r w:rsidR="006F1076" w:rsidRPr="004676F5">
        <w:rPr>
          <w:rFonts w:eastAsia="Calibri"/>
          <w:i/>
          <w:iCs/>
          <w:kern w:val="2"/>
          <w:lang w:val="de-DE" w:eastAsia="en-US"/>
          <w14:ligatures w14:val="standardContextual"/>
        </w:rPr>
        <w:t> </w:t>
      </w:r>
      <w:r w:rsidRPr="004676F5">
        <w:rPr>
          <w:rFonts w:eastAsia="Calibri"/>
          <w:i/>
          <w:iCs/>
          <w:kern w:val="2"/>
          <w:lang w:val="de-DE" w:eastAsia="en-US"/>
          <w14:ligatures w14:val="standardContextual"/>
        </w:rPr>
        <w:t xml:space="preserve">1 ersetzt durch Art. 6 des G. vom 29. März 2024 (B.S. vom </w:t>
      </w:r>
      <w:r w:rsidR="006F1076" w:rsidRPr="004676F5">
        <w:rPr>
          <w:rFonts w:eastAsia="Calibri"/>
          <w:i/>
          <w:iCs/>
          <w:kern w:val="2"/>
          <w:lang w:val="de-DE" w:eastAsia="en-US"/>
          <w14:ligatures w14:val="standardContextual"/>
        </w:rPr>
        <w:t>3</w:t>
      </w:r>
      <w:r w:rsidRPr="004676F5">
        <w:rPr>
          <w:rFonts w:eastAsia="Calibri"/>
          <w:i/>
          <w:iCs/>
          <w:kern w:val="2"/>
          <w:lang w:val="de-DE" w:eastAsia="en-US"/>
          <w14:ligatures w14:val="standardContextual"/>
        </w:rPr>
        <w:t>. Mai 2024)]</w:t>
      </w:r>
    </w:p>
    <w:p w14:paraId="6AD049BF" w14:textId="77777777" w:rsidR="00424B08" w:rsidRPr="004676F5" w:rsidRDefault="00424B08" w:rsidP="00BE3682">
      <w:pPr>
        <w:jc w:val="both"/>
        <w:rPr>
          <w:rFonts w:eastAsia="Calibri"/>
          <w:kern w:val="2"/>
          <w:lang w:val="de-DE" w:eastAsia="en-US"/>
          <w14:ligatures w14:val="standardContextual"/>
        </w:rPr>
      </w:pPr>
    </w:p>
    <w:p w14:paraId="1AA373FF" w14:textId="77777777" w:rsidR="007854CD" w:rsidRPr="004676F5" w:rsidRDefault="007854CD" w:rsidP="00BE3682">
      <w:pPr>
        <w:jc w:val="both"/>
        <w:rPr>
          <w:rFonts w:eastAsia="Calibri"/>
          <w:kern w:val="2"/>
          <w:lang w:val="de-DE" w:eastAsia="en-US"/>
          <w14:ligatures w14:val="standardContextual"/>
        </w:rPr>
      </w:pPr>
    </w:p>
    <w:p w14:paraId="726D8D25" w14:textId="4643136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IV.16</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 1 ­ Die Belgische Wettbewerbsbehörde ist ein öffentlicher Dienst mit Rechtspersönlichkeit und Geschäftsführungsautonomie wie erwähnt in Artikel 2 Absatz 1 Nr. 3 </w:t>
      </w:r>
      <w:r w:rsidR="00380818" w:rsidRPr="004676F5">
        <w:rPr>
          <w:rFonts w:eastAsia="Calibri"/>
          <w:kern w:val="2"/>
          <w:szCs w:val="22"/>
          <w:lang w:val="de-DE" w:eastAsia="en-US"/>
          <w14:ligatures w14:val="standardContextual"/>
        </w:rPr>
        <w:t>[</w:t>
      </w:r>
      <w:r w:rsidR="00380818" w:rsidRPr="004676F5">
        <w:rPr>
          <w:lang w:val="de-DE"/>
        </w:rPr>
        <w:t>und</w:t>
      </w:r>
      <w:r w:rsidR="00380818" w:rsidRPr="004676F5">
        <w:rPr>
          <w:rFonts w:eastAsia="Calibri"/>
          <w:kern w:val="2"/>
          <w:szCs w:val="22"/>
          <w:lang w:val="de-DE" w:eastAsia="en-US"/>
          <w14:ligatures w14:val="standardContextual"/>
        </w:rPr>
        <w:t xml:space="preserve">] </w:t>
      </w:r>
      <w:r w:rsidRPr="004676F5">
        <w:rPr>
          <w:rFonts w:eastAsia="Calibri"/>
          <w:kern w:val="2"/>
          <w:szCs w:val="22"/>
          <w:lang w:val="de-DE" w:eastAsia="en-US"/>
          <w14:ligatures w14:val="standardContextual"/>
        </w:rPr>
        <w:t>Absatz 2 Buchstabe </w:t>
      </w:r>
      <w:r w:rsidRPr="004676F5">
        <w:rPr>
          <w:rFonts w:eastAsia="Calibri"/>
          <w:i/>
          <w:iCs/>
          <w:kern w:val="2"/>
          <w:szCs w:val="22"/>
          <w:lang w:val="de-DE" w:eastAsia="en-US"/>
          <w14:ligatures w14:val="standardContextual"/>
        </w:rPr>
        <w:t>b)</w:t>
      </w:r>
      <w:r w:rsidRPr="004676F5">
        <w:rPr>
          <w:rFonts w:eastAsia="Calibri"/>
          <w:kern w:val="2"/>
          <w:szCs w:val="22"/>
          <w:lang w:val="de-DE" w:eastAsia="en-US"/>
          <w14:ligatures w14:val="standardContextual"/>
        </w:rPr>
        <w:t xml:space="preserve"> des Gesetzes vom 22. Mai 2003 zur Organisation des Haushaltsplans und der Buchführung des Föderalstaates.</w:t>
      </w:r>
    </w:p>
    <w:p w14:paraId="6FCCAD0A" w14:textId="77777777" w:rsidR="00BE3682" w:rsidRPr="004676F5" w:rsidRDefault="00BE3682" w:rsidP="00BE3682">
      <w:pPr>
        <w:jc w:val="both"/>
        <w:rPr>
          <w:rFonts w:eastAsia="Calibri"/>
          <w:kern w:val="2"/>
          <w:lang w:val="de-DE" w:eastAsia="en-US"/>
          <w14:ligatures w14:val="standardContextual"/>
        </w:rPr>
      </w:pPr>
    </w:p>
    <w:p w14:paraId="7498224E" w14:textId="30AD0506" w:rsidR="00424B08" w:rsidRPr="004676F5" w:rsidRDefault="00424B08" w:rsidP="00BE3682">
      <w:pPr>
        <w:jc w:val="both"/>
        <w:rPr>
          <w:rFonts w:eastAsia="Calibri"/>
          <w:kern w:val="2"/>
          <w:lang w:val="de-DE" w:eastAsia="en-US"/>
          <w14:ligatures w14:val="standardContextual"/>
        </w:rPr>
      </w:pPr>
      <w:r w:rsidRPr="004676F5">
        <w:rPr>
          <w:rFonts w:eastAsia="Calibri"/>
          <w:kern w:val="2"/>
          <w:lang w:val="de-DE" w:eastAsia="en-US"/>
          <w14:ligatures w14:val="standardContextual"/>
        </w:rPr>
        <w:tab/>
        <w:t>[</w:t>
      </w:r>
      <w:r w:rsidR="003A7F3F" w:rsidRPr="004676F5">
        <w:rPr>
          <w:lang w:val="de-DE"/>
        </w:rPr>
        <w:t>§ 1/1 - Die Belgische Wettbewerbsbehörde ist die Wettbewerbsbehörde im Sinne von Artikel 35 der Verordnung (EG) Nr. 1/2003, die zuständige Behörde im Sinne der Verordnung (EG) Nr. 139/2004 und die für die Durchsetzung der in Artikel 1 Absatz 6 der Verordnung (EU) 2022/1925 genannten Vorschriften zuständige Behörde.</w:t>
      </w:r>
      <w:r w:rsidRPr="004676F5">
        <w:rPr>
          <w:rFonts w:eastAsia="Calibri"/>
          <w:kern w:val="2"/>
          <w:lang w:val="de-DE" w:eastAsia="en-US"/>
          <w14:ligatures w14:val="standardContextual"/>
        </w:rPr>
        <w:t>]</w:t>
      </w:r>
    </w:p>
    <w:p w14:paraId="5498A667" w14:textId="77777777" w:rsidR="00424B08" w:rsidRPr="004676F5" w:rsidRDefault="00424B08" w:rsidP="00BE3682">
      <w:pPr>
        <w:jc w:val="both"/>
        <w:rPr>
          <w:rFonts w:eastAsia="Calibri"/>
          <w:kern w:val="2"/>
          <w:lang w:val="de-DE" w:eastAsia="en-US"/>
          <w14:ligatures w14:val="standardContextual"/>
        </w:rPr>
      </w:pPr>
    </w:p>
    <w:p w14:paraId="21D796EA" w14:textId="77777777" w:rsidR="00424B08" w:rsidRPr="004676F5" w:rsidRDefault="00424B08" w:rsidP="00BE3682">
      <w:pPr>
        <w:jc w:val="both"/>
        <w:rPr>
          <w:rFonts w:eastAsia="Calibri"/>
          <w:kern w:val="2"/>
          <w:lang w:val="de-DE" w:eastAsia="en-US"/>
          <w14:ligatures w14:val="standardContextual"/>
        </w:rPr>
      </w:pPr>
    </w:p>
    <w:p w14:paraId="1A17485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Die Belgische Wettbewerbsbehörde setzt sich zusammen aus:</w:t>
      </w:r>
    </w:p>
    <w:p w14:paraId="0A3F77F2" w14:textId="77777777" w:rsidR="00BE3682" w:rsidRPr="004676F5" w:rsidRDefault="00BE3682" w:rsidP="00BE3682">
      <w:pPr>
        <w:jc w:val="both"/>
        <w:rPr>
          <w:rFonts w:eastAsia="Calibri"/>
          <w:kern w:val="2"/>
          <w:lang w:val="de-DE" w:eastAsia="en-US"/>
          <w14:ligatures w14:val="standardContextual"/>
        </w:rPr>
      </w:pPr>
    </w:p>
    <w:p w14:paraId="3FE92AD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dem Präsidenten und dem Dienst des Präsidenten,</w:t>
      </w:r>
    </w:p>
    <w:p w14:paraId="6F1CA50F" w14:textId="77777777" w:rsidR="00BE3682" w:rsidRPr="004676F5" w:rsidRDefault="00BE3682" w:rsidP="00BE3682">
      <w:pPr>
        <w:jc w:val="both"/>
        <w:rPr>
          <w:rFonts w:eastAsia="Calibri"/>
          <w:kern w:val="2"/>
          <w:lang w:val="de-DE" w:eastAsia="en-US"/>
          <w14:ligatures w14:val="standardContextual"/>
        </w:rPr>
      </w:pPr>
    </w:p>
    <w:p w14:paraId="38F52A6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dem Wettbewerbskollegium,</w:t>
      </w:r>
    </w:p>
    <w:p w14:paraId="3069B313" w14:textId="77777777" w:rsidR="00BE3682" w:rsidRPr="004676F5" w:rsidRDefault="00BE3682" w:rsidP="00BE3682">
      <w:pPr>
        <w:jc w:val="both"/>
        <w:rPr>
          <w:rFonts w:eastAsia="Calibri"/>
          <w:kern w:val="2"/>
          <w:lang w:val="de-DE" w:eastAsia="en-US"/>
          <w14:ligatures w14:val="standardContextual"/>
        </w:rPr>
      </w:pPr>
    </w:p>
    <w:p w14:paraId="6207B61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dem Direktionsausschuss,</w:t>
      </w:r>
    </w:p>
    <w:p w14:paraId="5CE0A608" w14:textId="77777777" w:rsidR="00BE3682" w:rsidRPr="004676F5" w:rsidRDefault="00BE3682" w:rsidP="00BE3682">
      <w:pPr>
        <w:jc w:val="both"/>
        <w:rPr>
          <w:rFonts w:eastAsia="Calibri"/>
          <w:kern w:val="2"/>
          <w:lang w:val="de-DE" w:eastAsia="en-US"/>
          <w14:ligatures w14:val="standardContextual"/>
        </w:rPr>
      </w:pPr>
    </w:p>
    <w:p w14:paraId="314E646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4. dem Auditorat unter der Leitung des Generalauditors.</w:t>
      </w:r>
    </w:p>
    <w:p w14:paraId="276EF261" w14:textId="77777777" w:rsidR="00BE3682" w:rsidRPr="004676F5" w:rsidRDefault="00BE3682" w:rsidP="00BE3682">
      <w:pPr>
        <w:jc w:val="both"/>
        <w:rPr>
          <w:rFonts w:eastAsia="Calibri"/>
          <w:kern w:val="2"/>
          <w:lang w:val="de-DE" w:eastAsia="en-US"/>
          <w14:ligatures w14:val="standardContextual"/>
        </w:rPr>
      </w:pPr>
    </w:p>
    <w:p w14:paraId="5C41BACC" w14:textId="5F036B8E" w:rsidR="00380818" w:rsidRPr="004676F5" w:rsidRDefault="00380818" w:rsidP="00380818">
      <w:pPr>
        <w:jc w:val="both"/>
        <w:rPr>
          <w:lang w:val="de-DE"/>
        </w:rPr>
      </w:pPr>
      <w:r w:rsidRPr="004676F5">
        <w:rPr>
          <w:rFonts w:eastAsia="Calibri"/>
          <w:kern w:val="2"/>
          <w:lang w:val="de-DE" w:eastAsia="en-US"/>
          <w14:ligatures w14:val="standardContextual"/>
        </w:rPr>
        <w:tab/>
        <w:t>[</w:t>
      </w:r>
      <w:r w:rsidRPr="004676F5">
        <w:rPr>
          <w:lang w:val="de-DE"/>
        </w:rPr>
        <w:t>§ 2/1 </w:t>
      </w:r>
      <w:r w:rsidR="005B7A5C" w:rsidRPr="004676F5">
        <w:rPr>
          <w:lang w:val="de-DE"/>
        </w:rPr>
        <w:t>- </w:t>
      </w:r>
      <w:r w:rsidRPr="004676F5">
        <w:rPr>
          <w:lang w:val="de-DE"/>
        </w:rPr>
        <w:t xml:space="preserve">Die Belgische Wettbewerbsbehörde nimmt die ihr durch vorliegendes Buch übertragenen Aufgaben und Befugnisse </w:t>
      </w:r>
      <w:r w:rsidR="005B7A5C" w:rsidRPr="004676F5">
        <w:rPr>
          <w:lang w:val="de-DE"/>
        </w:rPr>
        <w:t>- </w:t>
      </w:r>
      <w:r w:rsidRPr="004676F5">
        <w:rPr>
          <w:lang w:val="de-DE"/>
        </w:rPr>
        <w:t>auf der Grundlage verhältnismäßiger Rechenschafts</w:t>
      </w:r>
      <w:r w:rsidRPr="004676F5">
        <w:rPr>
          <w:lang w:val="de-DE"/>
        </w:rPr>
        <w:softHyphen/>
        <w:t>pflichten und unbeschadet der engen Zusammenarbeit zwischen den Wettbewerbsbehörden im Rahmen des Europäischen Wettbewerbsnetzes </w:t>
      </w:r>
      <w:r w:rsidR="005B7A5C" w:rsidRPr="004676F5">
        <w:rPr>
          <w:lang w:val="de-DE"/>
        </w:rPr>
        <w:t>- </w:t>
      </w:r>
      <w:r w:rsidRPr="004676F5">
        <w:rPr>
          <w:lang w:val="de-DE"/>
        </w:rPr>
        <w:t>in völliger Unabhängigkeit und Unpartei</w:t>
      </w:r>
      <w:r w:rsidRPr="004676F5">
        <w:rPr>
          <w:lang w:val="de-DE"/>
        </w:rPr>
        <w:softHyphen/>
        <w:t xml:space="preserve">lichkeit, ohne politische und andere externe Einflussnahme und im Interesse der wirksamen Anwendung der Artikel IV.1, IV.2 und IV.2/1 </w:t>
      </w:r>
      <w:r w:rsidR="003A7F3F" w:rsidRPr="004676F5">
        <w:rPr>
          <w:lang w:val="de-DE"/>
        </w:rPr>
        <w:t>[der Artikel 101 und 102 AEUV und der Verordnung (EU) 2022/1925]</w:t>
      </w:r>
      <w:r w:rsidRPr="004676F5">
        <w:rPr>
          <w:lang w:val="de-DE"/>
        </w:rPr>
        <w:t xml:space="preserve"> wahr.</w:t>
      </w:r>
    </w:p>
    <w:p w14:paraId="60A80956" w14:textId="77777777" w:rsidR="00380818" w:rsidRPr="004676F5" w:rsidRDefault="00380818" w:rsidP="00380818">
      <w:pPr>
        <w:jc w:val="both"/>
        <w:rPr>
          <w:lang w:val="de-DE"/>
        </w:rPr>
      </w:pPr>
    </w:p>
    <w:p w14:paraId="6D4A0D52" w14:textId="297B114B" w:rsidR="00380818" w:rsidRPr="004676F5" w:rsidRDefault="00380818" w:rsidP="00380818">
      <w:pPr>
        <w:jc w:val="both"/>
        <w:rPr>
          <w:rFonts w:eastAsia="Calibri"/>
          <w:kern w:val="2"/>
          <w:lang w:val="de-DE" w:eastAsia="en-US"/>
          <w14:ligatures w14:val="standardContextual"/>
        </w:rPr>
      </w:pPr>
      <w:r w:rsidRPr="004676F5">
        <w:rPr>
          <w:lang w:val="de-DE"/>
        </w:rPr>
        <w:tab/>
        <w:t>Der Präsident, der Beisitzer-Vizepräsident, die Beisitzer, die an der Entscheidung in einer Sache mitwirken, der Generalauditor, die Auditoren und die Personalmitglieder der Belgischen Wettbewerbsbehörde dürfen bei der Wahrnehmung der ihren durch vorliegendes Buch übertragenen Aufgaben und Befugnisse keinerlei Weisungen der Regierung oder einer anderen öffentlichen oder privaten Stelle einholen oder entgegennehmen; dies gilt unbeschadet des Rechts des Ministers, gegebenenfalls Vorschriften allgemeiner Art herauszugeben, die sich nicht auf Untersuchungen einzelner Wirtschaftszweige oder bestimmte Verfahren beziehen.</w:t>
      </w:r>
      <w:r w:rsidRPr="004676F5">
        <w:rPr>
          <w:rFonts w:eastAsia="Calibri"/>
          <w:kern w:val="2"/>
          <w:lang w:val="de-DE" w:eastAsia="en-US"/>
          <w14:ligatures w14:val="standardContextual"/>
        </w:rPr>
        <w:t>]</w:t>
      </w:r>
    </w:p>
    <w:p w14:paraId="78149EC1" w14:textId="77777777" w:rsidR="00380818" w:rsidRPr="004676F5" w:rsidRDefault="00380818" w:rsidP="00BE3682">
      <w:pPr>
        <w:jc w:val="both"/>
        <w:rPr>
          <w:rFonts w:eastAsia="Calibri"/>
          <w:kern w:val="2"/>
          <w:lang w:val="de-DE" w:eastAsia="en-US"/>
          <w14:ligatures w14:val="standardContextual"/>
        </w:rPr>
      </w:pPr>
    </w:p>
    <w:p w14:paraId="66552BBB" w14:textId="7918E3B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 xml:space="preserve">§ 3 ­ </w:t>
      </w:r>
      <w:r w:rsidR="00380818" w:rsidRPr="004676F5">
        <w:rPr>
          <w:rFonts w:eastAsia="Calibri"/>
          <w:kern w:val="2"/>
          <w:szCs w:val="22"/>
          <w:lang w:val="de-DE" w:eastAsia="en-US"/>
          <w14:ligatures w14:val="standardContextual"/>
        </w:rPr>
        <w:t>[</w:t>
      </w:r>
      <w:r w:rsidR="00380818" w:rsidRPr="004676F5">
        <w:rPr>
          <w:lang w:val="de-DE"/>
        </w:rPr>
        <w:t>Die Belgische Wettbewerbsbehörde nimmt die ihr durch vorliegendes Buch übertragenen Aufgaben und Befugnisse gemäß den allgemeinen Grundsätzen des Unionsrechts und der Charta der Grundrechte der Europäischen Union wahr.</w:t>
      </w:r>
      <w:r w:rsidR="00380818" w:rsidRPr="004676F5">
        <w:rPr>
          <w:rFonts w:eastAsia="Calibri"/>
          <w:kern w:val="2"/>
          <w:szCs w:val="22"/>
          <w:lang w:val="de-DE" w:eastAsia="en-US"/>
          <w14:ligatures w14:val="standardContextual"/>
        </w:rPr>
        <w:t>]</w:t>
      </w:r>
    </w:p>
    <w:p w14:paraId="6C7BA37C" w14:textId="77777777" w:rsidR="00BE3682" w:rsidRPr="004676F5" w:rsidRDefault="00BE3682" w:rsidP="00BE3682">
      <w:pPr>
        <w:jc w:val="both"/>
        <w:rPr>
          <w:rFonts w:eastAsia="Calibri"/>
          <w:kern w:val="2"/>
          <w:lang w:val="de-DE" w:eastAsia="en-US"/>
          <w14:ligatures w14:val="standardContextual"/>
        </w:rPr>
      </w:pPr>
    </w:p>
    <w:p w14:paraId="5E3BC43B" w14:textId="004DAF85"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König bestimmt, welche logistischen und materiellen Mittel der FÖD Wirtschaft der Belgischen Wettbewerbsbehörde zur Verfügung stellt. Zu diesem Zweck wird zwischen der Belgischen Wettbewerbsbehörde und dem FÖD Wirtschaft ein Dienstleistungs</w:t>
      </w:r>
      <w:r w:rsidRPr="004676F5">
        <w:rPr>
          <w:rFonts w:eastAsia="Calibri"/>
          <w:kern w:val="2"/>
          <w:szCs w:val="22"/>
          <w:lang w:val="de-DE" w:eastAsia="en-US"/>
          <w14:ligatures w14:val="standardContextual"/>
        </w:rPr>
        <w:softHyphen/>
        <w:t>vertrag abgeschlossen.</w:t>
      </w:r>
    </w:p>
    <w:p w14:paraId="35E3F2C3" w14:textId="77777777" w:rsidR="00BE3682" w:rsidRPr="004676F5" w:rsidRDefault="00BE3682" w:rsidP="00BE3682">
      <w:pPr>
        <w:jc w:val="both"/>
        <w:rPr>
          <w:rFonts w:eastAsia="Calibri"/>
          <w:kern w:val="2"/>
          <w:lang w:val="de-DE" w:eastAsia="en-US"/>
          <w14:ligatures w14:val="standardContextual"/>
        </w:rPr>
      </w:pPr>
    </w:p>
    <w:p w14:paraId="04E4E8D4" w14:textId="3C62AA65"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 5 ­ </w:t>
      </w:r>
      <w:r w:rsidR="003A7F3F" w:rsidRPr="004676F5">
        <w:rPr>
          <w:rFonts w:eastAsia="Calibri"/>
          <w:kern w:val="2"/>
          <w:szCs w:val="22"/>
          <w:lang w:val="de-DE" w:eastAsia="en-US"/>
          <w14:ligatures w14:val="standardContextual"/>
        </w:rPr>
        <w:t>[</w:t>
      </w:r>
      <w:r w:rsidR="003A7F3F" w:rsidRPr="004676F5">
        <w:rPr>
          <w:lang w:val="de-DE"/>
        </w:rPr>
        <w:t>Der König bestimmt durch einen im Ministerrat beratenen Erlass das Verwaltungs- und Besoldungsstatut des Präsidenten, des Beisitzer-Vizepräsidenten und der Beisitzer, die im Wettbewerbskollegium tagen, des Generalauditors, des Direktors der wirtschaftlichen Angelegenheiten, des Direktors der juristischen Angelegenheiten und des Direktors der Planung und des Haushalts der Belgischen Wettbewerbsbehörde.</w:t>
      </w:r>
    </w:p>
    <w:p w14:paraId="5CC4B327" w14:textId="77777777" w:rsidR="00BE3682" w:rsidRPr="004676F5" w:rsidRDefault="00BE3682" w:rsidP="00BE3682">
      <w:pPr>
        <w:jc w:val="both"/>
        <w:rPr>
          <w:rFonts w:eastAsia="Calibri"/>
          <w:kern w:val="2"/>
          <w:lang w:val="de-DE" w:eastAsia="en-US"/>
          <w14:ligatures w14:val="standardContextual"/>
        </w:rPr>
      </w:pPr>
    </w:p>
    <w:p w14:paraId="53544CCD" w14:textId="302FB7A3" w:rsidR="00491E54" w:rsidRPr="004676F5" w:rsidRDefault="003A7F3F" w:rsidP="00491E54">
      <w:pPr>
        <w:ind w:firstLine="720"/>
        <w:jc w:val="both"/>
        <w:rPr>
          <w:lang w:val="de-DE"/>
        </w:rPr>
      </w:pPr>
      <w:r w:rsidRPr="004676F5">
        <w:rPr>
          <w:lang w:val="de-DE"/>
        </w:rPr>
        <w:t>Die Gesetze über die Pensionsregelung der Staatsbediensteten sind auf den Präsidenten, den Generalauditor, den Direktor der wirtschaftlichen Angelegenheiten, den Direktor der juristischen Angelegenheiten und den Direktor der Planung und des Haushalts der Belgischen Wettbewerbsbehörde und ihre Rechtsnachfolger anwendbar.]</w:t>
      </w:r>
    </w:p>
    <w:p w14:paraId="641327A4" w14:textId="77777777" w:rsidR="00491E54" w:rsidRPr="004676F5" w:rsidRDefault="00491E54" w:rsidP="00491E54">
      <w:pPr>
        <w:ind w:firstLine="720"/>
        <w:jc w:val="both"/>
        <w:rPr>
          <w:lang w:val="de-DE"/>
        </w:rPr>
      </w:pPr>
    </w:p>
    <w:p w14:paraId="4DE4B03E" w14:textId="31A4C4FA" w:rsidR="00491E54" w:rsidRPr="004676F5" w:rsidRDefault="003A7F3F" w:rsidP="00491E54">
      <w:pPr>
        <w:ind w:firstLine="720"/>
        <w:jc w:val="both"/>
        <w:rPr>
          <w:lang w:val="de-DE"/>
        </w:rPr>
      </w:pPr>
      <w:r w:rsidRPr="004676F5">
        <w:rPr>
          <w:lang w:val="de-DE"/>
        </w:rPr>
        <w:t>[</w:t>
      </w:r>
      <w:r w:rsidR="00491E54" w:rsidRPr="004676F5">
        <w:rPr>
          <w:lang w:val="de-DE"/>
        </w:rPr>
        <w:t>Die Staatskasse trägt die Kosten für die Ruhestands- und Hinterbliebenenpensionen, die den in Absatz 2 erwähnten Mitgliedern der Belgischen Wettbewerbsbehörde und ihren Rechtsnachfolgern gewährt werden, nur für die bei der Belgischen Wettbewerbsbehörde geleisteten Jahre.]</w:t>
      </w:r>
    </w:p>
    <w:p w14:paraId="594A296B" w14:textId="77777777" w:rsidR="00491E54" w:rsidRPr="004676F5" w:rsidRDefault="00491E54" w:rsidP="00491E54">
      <w:pPr>
        <w:ind w:firstLine="720"/>
        <w:jc w:val="both"/>
        <w:rPr>
          <w:lang w:val="de-DE"/>
        </w:rPr>
      </w:pPr>
    </w:p>
    <w:p w14:paraId="2131A9F9" w14:textId="553C0143" w:rsidR="00BE3682" w:rsidRPr="004676F5" w:rsidRDefault="00491E54" w:rsidP="00491E54">
      <w:pPr>
        <w:ind w:firstLine="708"/>
        <w:jc w:val="both"/>
        <w:rPr>
          <w:rFonts w:eastAsia="Calibri"/>
          <w:kern w:val="2"/>
          <w:lang w:val="de-DE" w:eastAsia="en-US"/>
          <w14:ligatures w14:val="standardContextual"/>
        </w:rPr>
      </w:pPr>
      <w:r w:rsidRPr="004676F5">
        <w:rPr>
          <w:lang w:val="de-DE"/>
        </w:rPr>
        <w:t>[Für die Einforderbarkeit des Anspruchs auf die in vorliegendem Paragraphen erwähnten Pensionen und deren Berechnung werden nur Leistungen berücksichtigt, die als Mitglied der Belgischen Wettbewerbsbehörde erbracht wurden.]</w:t>
      </w:r>
    </w:p>
    <w:p w14:paraId="0952735A" w14:textId="77777777" w:rsidR="00BE3682" w:rsidRPr="004676F5" w:rsidRDefault="00BE3682" w:rsidP="00BE3682">
      <w:pPr>
        <w:jc w:val="both"/>
        <w:rPr>
          <w:rFonts w:eastAsia="Calibri"/>
          <w:kern w:val="2"/>
          <w:lang w:val="de-DE" w:eastAsia="en-US"/>
          <w14:ligatures w14:val="standardContextual"/>
        </w:rPr>
      </w:pPr>
    </w:p>
    <w:p w14:paraId="3B1FF885" w14:textId="05A320D3"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6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Die Personalmitglieder der Belgischen Wettbewerbsbehörde werden vom FÖD Wirtschaft zur Verfügung gestellt. Nach Stellungnahme der Belgischen Wettbewerbsbehörde legt der König Regeln für diese Zurverfügungstellung und deren Bedingungen fest.</w:t>
      </w:r>
    </w:p>
    <w:p w14:paraId="548DE254" w14:textId="77777777" w:rsidR="00BE3682" w:rsidRPr="004676F5" w:rsidRDefault="00BE3682" w:rsidP="00BE3682">
      <w:pPr>
        <w:jc w:val="both"/>
        <w:rPr>
          <w:rFonts w:eastAsia="Calibri"/>
          <w:kern w:val="2"/>
          <w:lang w:val="de-DE" w:eastAsia="en-US"/>
          <w14:ligatures w14:val="standardContextual"/>
        </w:rPr>
      </w:pPr>
    </w:p>
    <w:p w14:paraId="62308C7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7 ­ Der König bestimmt, wie der Personalplan der Belgischen Wettbewerbsbehörde verabschiedet wird.</w:t>
      </w:r>
    </w:p>
    <w:p w14:paraId="7B89131B" w14:textId="77777777" w:rsidR="00BE3682" w:rsidRPr="004676F5" w:rsidRDefault="00BE3682" w:rsidP="00BE3682">
      <w:pPr>
        <w:jc w:val="both"/>
        <w:rPr>
          <w:rFonts w:eastAsia="Calibri"/>
          <w:kern w:val="2"/>
          <w:lang w:val="de-DE" w:eastAsia="en-US"/>
          <w14:ligatures w14:val="standardContextual"/>
        </w:rPr>
      </w:pPr>
    </w:p>
    <w:p w14:paraId="54AEF243" w14:textId="47C427E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8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Die Belgische Wettbewerbsbehörde ist eine Einrichtung, die in den Artikeln 6 Absatz 1 Buchstabe </w:t>
      </w:r>
      <w:r w:rsidRPr="004676F5">
        <w:rPr>
          <w:rFonts w:eastAsia="Calibri"/>
          <w:i/>
          <w:iCs/>
          <w:kern w:val="2"/>
          <w:szCs w:val="22"/>
          <w:lang w:val="de-DE" w:eastAsia="en-US"/>
          <w14:ligatures w14:val="standardContextual"/>
        </w:rPr>
        <w:t>e)</w:t>
      </w:r>
      <w:r w:rsidRPr="004676F5">
        <w:rPr>
          <w:rFonts w:eastAsia="Calibri"/>
          <w:kern w:val="2"/>
          <w:szCs w:val="22"/>
          <w:lang w:val="de-DE" w:eastAsia="en-US"/>
          <w14:ligatures w14:val="standardContextual"/>
        </w:rPr>
        <w:t xml:space="preserve"> und 23 Absatz 1 Buchstabe </w:t>
      </w:r>
      <w:r w:rsidRPr="004676F5">
        <w:rPr>
          <w:rFonts w:eastAsia="Calibri"/>
          <w:i/>
          <w:iCs/>
          <w:kern w:val="2"/>
          <w:szCs w:val="22"/>
          <w:lang w:val="de-DE" w:eastAsia="en-US"/>
          <w14:ligatures w14:val="standardContextual"/>
        </w:rPr>
        <w:t>h)</w:t>
      </w:r>
      <w:r w:rsidRPr="004676F5">
        <w:rPr>
          <w:rFonts w:eastAsia="Calibri"/>
          <w:kern w:val="2"/>
          <w:szCs w:val="22"/>
          <w:lang w:val="de-DE" w:eastAsia="en-US"/>
          <w14:ligatures w14:val="standardContextual"/>
        </w:rPr>
        <w:t xml:space="preserve"> der Verordnung (EU) 2016/679 vom 27. April 2016 zum Schutz natürlicher Personen bei der Verarbeitung personenbezogener Daten, zum freien Datenverkehr und zur Aufhebung der Richtlinie 95/46/EG erwähnt ist.</w:t>
      </w:r>
    </w:p>
    <w:p w14:paraId="5690CD21" w14:textId="77777777" w:rsidR="00BE3682" w:rsidRPr="004676F5" w:rsidRDefault="00BE3682" w:rsidP="00BE3682">
      <w:pPr>
        <w:jc w:val="both"/>
        <w:rPr>
          <w:rFonts w:eastAsia="Calibri"/>
          <w:kern w:val="2"/>
          <w:lang w:val="de-DE" w:eastAsia="en-US"/>
          <w14:ligatures w14:val="standardContextual"/>
        </w:rPr>
      </w:pPr>
    </w:p>
    <w:p w14:paraId="0C1A4E32" w14:textId="40416D8D"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 xml:space="preserve">Die Belgische Wettbewerbsbehörde kann als für die Verarbeitung Verantwortliche Daten im Sinne dieser Verordnung zu den Zwecken und mit den Garantien verarbeiten, die </w:t>
      </w:r>
      <w:r w:rsidR="003A7F3F" w:rsidRPr="004676F5">
        <w:rPr>
          <w:rFonts w:eastAsia="Calibri"/>
          <w:kern w:val="2"/>
          <w:szCs w:val="22"/>
          <w:lang w:val="de-DE" w:eastAsia="en-US"/>
          <w14:ligatures w14:val="standardContextual"/>
        </w:rPr>
        <w:t>[</w:t>
      </w:r>
      <w:r w:rsidR="003A7F3F" w:rsidRPr="004676F5">
        <w:rPr>
          <w:lang w:val="de-DE"/>
        </w:rPr>
        <w:t>in den Titeln 2 bis 4</w:t>
      </w:r>
      <w:r w:rsidR="003A7F3F"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des vorliegenden Buches und insbesondere in Artikel IV.32 festgelegt sind. Sie kann diese Daten für den Zeitraum aufbewahren, der für ihre Untersuchungen und Verfahren erforderlich ist oder durch die allgemeinen Archivierungsregeln des Staates vorgeschrieben ist. Natürliche Personen können Zugang zu ihren eigenen personenbezogenen Daten erhalten.</w:t>
      </w:r>
    </w:p>
    <w:p w14:paraId="43631443" w14:textId="77777777" w:rsidR="00041A10" w:rsidRPr="004676F5" w:rsidRDefault="00041A10" w:rsidP="00BE3682">
      <w:pPr>
        <w:jc w:val="both"/>
        <w:rPr>
          <w:rFonts w:eastAsia="Calibri"/>
          <w:kern w:val="2"/>
          <w:szCs w:val="22"/>
          <w:lang w:val="de-DE" w:eastAsia="en-US"/>
          <w14:ligatures w14:val="standardContextual"/>
        </w:rPr>
      </w:pPr>
    </w:p>
    <w:p w14:paraId="66295742" w14:textId="77777777" w:rsidR="003A7F3F" w:rsidRPr="004676F5" w:rsidRDefault="003A7F3F">
      <w:pPr>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br w:type="page"/>
      </w:r>
    </w:p>
    <w:p w14:paraId="526F4285" w14:textId="5B057AD5" w:rsidR="00041A10" w:rsidRPr="004676F5" w:rsidRDefault="003A7F3F"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r>
      <w:r w:rsidR="00041A10" w:rsidRPr="004676F5">
        <w:rPr>
          <w:rFonts w:eastAsia="Calibri"/>
          <w:kern w:val="2"/>
          <w:szCs w:val="22"/>
          <w:lang w:val="de-DE" w:eastAsia="en-US"/>
          <w14:ligatures w14:val="standardContextual"/>
        </w:rPr>
        <w:t>[</w:t>
      </w:r>
      <w:r w:rsidR="007B7321" w:rsidRPr="004676F5">
        <w:rPr>
          <w:lang w:val="de-DE"/>
        </w:rPr>
        <w:t>§ 9 ­ Die Belgische Wettbewerbsbehörde ist eine Verwaltungsbehörde, die mit der Wahrung wichtiger wirtschaftlicher Interessen der Europäischen Union oder Belgiens wie in Artikel 127/1 § 2 Nr. 7 des Gesetzes vom 13. Juni 2005 über die elektronische Kommunikation erwähnt beauftragt ist.]</w:t>
      </w:r>
    </w:p>
    <w:p w14:paraId="68369A85" w14:textId="77777777" w:rsidR="00BE3682" w:rsidRPr="004676F5" w:rsidRDefault="00BE3682" w:rsidP="00BE3682">
      <w:pPr>
        <w:jc w:val="both"/>
        <w:rPr>
          <w:rFonts w:eastAsia="Calibri"/>
          <w:kern w:val="2"/>
          <w:lang w:val="de-DE" w:eastAsia="en-US"/>
          <w14:ligatures w14:val="standardContextual"/>
        </w:rPr>
      </w:pPr>
    </w:p>
    <w:p w14:paraId="6E3F40D0" w14:textId="49B575FB" w:rsidR="00380818" w:rsidRPr="004676F5" w:rsidRDefault="00380818" w:rsidP="00BE3682">
      <w:pPr>
        <w:jc w:val="both"/>
        <w:rPr>
          <w:rFonts w:eastAsia="Calibri"/>
          <w:kern w:val="2"/>
          <w:lang w:val="de-DE" w:eastAsia="en-US"/>
          <w14:ligatures w14:val="standardContextual"/>
        </w:rPr>
      </w:pPr>
      <w:r w:rsidRPr="004676F5">
        <w:rPr>
          <w:rFonts w:eastAsia="Calibri"/>
          <w:i/>
          <w:iCs/>
          <w:kern w:val="2"/>
          <w:lang w:val="de-DE" w:eastAsia="en-US"/>
          <w14:ligatures w14:val="standardContextual"/>
        </w:rPr>
        <w:t xml:space="preserve">[Art. IV.16 § 1 Abs. 1 abgeändert durch Art. 7 Nr. 1 des G. vom 28. Februar 2022 (B.S. vom 7. März 2022); </w:t>
      </w:r>
      <w:r w:rsidR="003A7F3F" w:rsidRPr="004676F5">
        <w:rPr>
          <w:rFonts w:eastAsia="Calibri"/>
          <w:i/>
          <w:iCs/>
          <w:kern w:val="2"/>
          <w:lang w:val="de-DE" w:eastAsia="en-US"/>
          <w14:ligatures w14:val="standardContextual"/>
        </w:rPr>
        <w:t xml:space="preserve">§ 1/1 eingefügt durch Art. 7 Nr. 1 des G. vom 29. März 2024 (B.S. vom 3. Mai 2024); </w:t>
      </w:r>
      <w:r w:rsidRPr="004676F5">
        <w:rPr>
          <w:rFonts w:eastAsia="Calibri"/>
          <w:i/>
          <w:iCs/>
          <w:kern w:val="2"/>
          <w:lang w:val="de-DE" w:eastAsia="en-US"/>
          <w14:ligatures w14:val="standardContextual"/>
        </w:rPr>
        <w:t xml:space="preserve">§ 2/1 eingefügt durch Art. 7 Nr. 2 des G. vom 28. Februar 2022 (B.S. vom 7. März 2022); </w:t>
      </w:r>
      <w:r w:rsidR="003A7F3F" w:rsidRPr="004676F5">
        <w:rPr>
          <w:rFonts w:eastAsia="Calibri"/>
          <w:i/>
          <w:iCs/>
          <w:kern w:val="2"/>
          <w:lang w:val="de-DE" w:eastAsia="en-US"/>
          <w14:ligatures w14:val="standardContextual"/>
        </w:rPr>
        <w:t xml:space="preserve">§ 2/1 Abs. 1 abgeändert durch Art. 7 Nr. 2 des G. vom 29. März 2024 (B.S. vom 3. Mai 2024); </w:t>
      </w:r>
      <w:r w:rsidRPr="004676F5">
        <w:rPr>
          <w:rFonts w:eastAsia="Calibri"/>
          <w:i/>
          <w:iCs/>
          <w:kern w:val="2"/>
          <w:lang w:val="de-DE" w:eastAsia="en-US"/>
          <w14:ligatures w14:val="standardContextual"/>
        </w:rPr>
        <w:t>§ 3 ersetzt durch Art. 7 Nr. 3 des G. vom 28. Februar 2022 (B.S. vom 7. März 2022)</w:t>
      </w:r>
      <w:r w:rsidR="00491E54" w:rsidRPr="004676F5">
        <w:rPr>
          <w:rFonts w:eastAsia="Calibri"/>
          <w:i/>
          <w:iCs/>
          <w:kern w:val="2"/>
          <w:lang w:val="de-DE" w:eastAsia="en-US"/>
          <w14:ligatures w14:val="standardContextual"/>
        </w:rPr>
        <w:t xml:space="preserve">; § 5 </w:t>
      </w:r>
      <w:r w:rsidR="003A7F3F" w:rsidRPr="004676F5">
        <w:rPr>
          <w:rFonts w:eastAsia="Calibri"/>
          <w:i/>
          <w:iCs/>
          <w:kern w:val="2"/>
          <w:lang w:val="de-DE" w:eastAsia="en-US"/>
          <w14:ligatures w14:val="standardContextual"/>
        </w:rPr>
        <w:t>Abs. 1</w:t>
      </w:r>
      <w:r w:rsidR="006F1076" w:rsidRPr="004676F5">
        <w:rPr>
          <w:rFonts w:eastAsia="Calibri"/>
          <w:i/>
          <w:iCs/>
          <w:kern w:val="2"/>
          <w:lang w:val="de-DE" w:eastAsia="en-US"/>
          <w14:ligatures w14:val="standardContextual"/>
        </w:rPr>
        <w:t xml:space="preserve"> </w:t>
      </w:r>
      <w:r w:rsidR="003A7F3F" w:rsidRPr="004676F5">
        <w:rPr>
          <w:rFonts w:eastAsia="Calibri"/>
          <w:i/>
          <w:iCs/>
          <w:kern w:val="2"/>
          <w:lang w:val="de-DE" w:eastAsia="en-US"/>
          <w14:ligatures w14:val="standardContextual"/>
        </w:rPr>
        <w:t xml:space="preserve">und </w:t>
      </w:r>
      <w:r w:rsidR="00491E54" w:rsidRPr="004676F5">
        <w:rPr>
          <w:rFonts w:eastAsia="Calibri"/>
          <w:i/>
          <w:iCs/>
          <w:kern w:val="2"/>
          <w:lang w:val="de-DE" w:eastAsia="en-US"/>
          <w14:ligatures w14:val="standardContextual"/>
        </w:rPr>
        <w:t xml:space="preserve">2 </w:t>
      </w:r>
      <w:r w:rsidR="003A7F3F" w:rsidRPr="004676F5">
        <w:rPr>
          <w:rFonts w:eastAsia="Calibri"/>
          <w:i/>
          <w:iCs/>
          <w:kern w:val="2"/>
          <w:lang w:val="de-DE" w:eastAsia="en-US"/>
          <w14:ligatures w14:val="standardContextual"/>
        </w:rPr>
        <w:t xml:space="preserve">ersetzt durch Art. 7 Nr. 3 des </w:t>
      </w:r>
      <w:r w:rsidR="006F1076" w:rsidRPr="004676F5">
        <w:rPr>
          <w:rFonts w:eastAsia="Calibri"/>
          <w:i/>
          <w:iCs/>
          <w:kern w:val="2"/>
          <w:lang w:val="de-DE" w:eastAsia="en-US"/>
          <w14:ligatures w14:val="standardContextual"/>
        </w:rPr>
        <w:t>G. vom 29. März 2024 (B.S. vom 3. Mai 2024)</w:t>
      </w:r>
      <w:r w:rsidR="003A7F3F" w:rsidRPr="004676F5">
        <w:rPr>
          <w:rFonts w:eastAsia="Calibri"/>
          <w:i/>
          <w:iCs/>
          <w:kern w:val="2"/>
          <w:lang w:val="de-DE" w:eastAsia="en-US"/>
          <w14:ligatures w14:val="standardContextual"/>
        </w:rPr>
        <w:t>; § 5 Abs.</w:t>
      </w:r>
      <w:r w:rsidR="006F1076" w:rsidRPr="004676F5">
        <w:rPr>
          <w:rFonts w:eastAsia="Calibri"/>
          <w:i/>
          <w:iCs/>
          <w:kern w:val="2"/>
          <w:lang w:val="de-DE" w:eastAsia="en-US"/>
          <w14:ligatures w14:val="standardContextual"/>
        </w:rPr>
        <w:t> </w:t>
      </w:r>
      <w:r w:rsidR="00491E54" w:rsidRPr="004676F5">
        <w:rPr>
          <w:rFonts w:eastAsia="Calibri"/>
          <w:i/>
          <w:iCs/>
          <w:kern w:val="2"/>
          <w:lang w:val="de-DE" w:eastAsia="en-US"/>
          <w14:ligatures w14:val="standardContextual"/>
        </w:rPr>
        <w:t>3 ersetzt durch Art. 2 des G. vom 25. September 2022 (B.S. vom 7. Oktober 2025); § 5 Abs. 4 eingefügt durch Art. 2 des G. vom 25. September 2022 (B.S. vom 7. Oktober 2025)</w:t>
      </w:r>
      <w:r w:rsidR="007B7321" w:rsidRPr="004676F5">
        <w:rPr>
          <w:rFonts w:eastAsia="Calibri"/>
          <w:i/>
          <w:iCs/>
          <w:kern w:val="2"/>
          <w:lang w:val="de-DE" w:eastAsia="en-US"/>
          <w14:ligatures w14:val="standardContextual"/>
        </w:rPr>
        <w:t xml:space="preserve">; </w:t>
      </w:r>
      <w:r w:rsidR="003A7F3F" w:rsidRPr="004676F5">
        <w:rPr>
          <w:rFonts w:eastAsia="Calibri"/>
          <w:i/>
          <w:iCs/>
          <w:kern w:val="2"/>
          <w:lang w:val="de-DE" w:eastAsia="en-US"/>
          <w14:ligatures w14:val="standardContextual"/>
        </w:rPr>
        <w:t xml:space="preserve">§ 8 Abs. 2 abgeändert durch Art. 7 Nr. 4 des </w:t>
      </w:r>
      <w:r w:rsidR="006F1076" w:rsidRPr="004676F5">
        <w:rPr>
          <w:rFonts w:eastAsia="Calibri"/>
          <w:i/>
          <w:iCs/>
          <w:kern w:val="2"/>
          <w:lang w:val="de-DE" w:eastAsia="en-US"/>
          <w14:ligatures w14:val="standardContextual"/>
        </w:rPr>
        <w:t>G. vom 29. März 2024 (B.S. vom 3. Mai 2024)</w:t>
      </w:r>
      <w:r w:rsidR="003A7F3F" w:rsidRPr="004676F5">
        <w:rPr>
          <w:rFonts w:eastAsia="Calibri"/>
          <w:i/>
          <w:iCs/>
          <w:kern w:val="2"/>
          <w:lang w:val="de-DE" w:eastAsia="en-US"/>
          <w14:ligatures w14:val="standardContextual"/>
        </w:rPr>
        <w:t xml:space="preserve">; </w:t>
      </w:r>
      <w:r w:rsidR="007B7321" w:rsidRPr="004676F5">
        <w:rPr>
          <w:rFonts w:eastAsia="Calibri"/>
          <w:i/>
          <w:iCs/>
          <w:kern w:val="2"/>
          <w:lang w:val="de-DE" w:eastAsia="en-US"/>
          <w14:ligatures w14:val="standardContextual"/>
        </w:rPr>
        <w:t>§ 9 eingefügt durch Art. 6 des G. vom 25. September 2022 (B.S. vom 16. Januar 2023)</w:t>
      </w:r>
      <w:r w:rsidRPr="004676F5">
        <w:rPr>
          <w:rFonts w:eastAsia="Calibri"/>
          <w:i/>
          <w:iCs/>
          <w:kern w:val="2"/>
          <w:lang w:val="de-DE" w:eastAsia="en-US"/>
          <w14:ligatures w14:val="standardContextual"/>
        </w:rPr>
        <w:t>]</w:t>
      </w:r>
    </w:p>
    <w:p w14:paraId="41DCB843" w14:textId="77777777" w:rsidR="00542FBC" w:rsidRPr="004676F5" w:rsidRDefault="00542FBC" w:rsidP="00BE3682">
      <w:pPr>
        <w:jc w:val="both"/>
        <w:rPr>
          <w:rFonts w:eastAsia="Calibri"/>
          <w:kern w:val="2"/>
          <w:lang w:val="de-DE" w:eastAsia="en-US"/>
          <w14:ligatures w14:val="standardContextual"/>
        </w:rPr>
      </w:pPr>
    </w:p>
    <w:p w14:paraId="18FBFF4F" w14:textId="0CF580B8" w:rsidR="007B7321" w:rsidRPr="004676F5" w:rsidRDefault="007B7321">
      <w:pPr>
        <w:rPr>
          <w:rFonts w:eastAsia="Calibri"/>
          <w:kern w:val="2"/>
          <w:szCs w:val="22"/>
          <w:lang w:val="de-DE" w:eastAsia="en-US"/>
          <w14:ligatures w14:val="standardContextual"/>
        </w:rPr>
      </w:pPr>
    </w:p>
    <w:p w14:paraId="11D2CFAA" w14:textId="0876FD1F" w:rsidR="00BE3682" w:rsidRPr="004676F5" w:rsidRDefault="003A7F3F"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2</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DB2D1B"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Präsident und Dienst des Präsidenten</w:t>
      </w:r>
      <w:r w:rsidR="00DB2D1B" w:rsidRPr="004676F5">
        <w:rPr>
          <w:rFonts w:eastAsia="Calibri"/>
          <w:kern w:val="2"/>
          <w:szCs w:val="22"/>
          <w:lang w:val="de-DE" w:eastAsia="en-US"/>
          <w14:ligatures w14:val="standardContextual"/>
        </w:rPr>
        <w:t>]</w:t>
      </w:r>
    </w:p>
    <w:p w14:paraId="5F755D16" w14:textId="77777777" w:rsidR="00BE3682" w:rsidRPr="004676F5" w:rsidRDefault="00BE3682" w:rsidP="00BE3682">
      <w:pPr>
        <w:jc w:val="both"/>
        <w:rPr>
          <w:rFonts w:eastAsia="Calibri"/>
          <w:kern w:val="2"/>
          <w:lang w:val="de-DE" w:eastAsia="en-US"/>
          <w14:ligatures w14:val="standardContextual"/>
        </w:rPr>
      </w:pPr>
    </w:p>
    <w:p w14:paraId="4A6D2CE0" w14:textId="28100C50" w:rsidR="003A7F3F" w:rsidRPr="004676F5" w:rsidRDefault="003A7F3F"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w:t>
      </w:r>
      <w:r w:rsidR="00D20ADC" w:rsidRPr="004676F5">
        <w:rPr>
          <w:rFonts w:eastAsia="Calibri"/>
          <w:i/>
          <w:iCs/>
          <w:kern w:val="2"/>
          <w:lang w:val="de-DE" w:eastAsia="en-US"/>
          <w14:ligatures w14:val="standardContextual"/>
        </w:rPr>
        <w:t xml:space="preserve">Früherer Unterabschnitt 1 umgegliedert zu Abschnitt 2 </w:t>
      </w:r>
      <w:r w:rsidR="00DB2D1B" w:rsidRPr="004676F5">
        <w:rPr>
          <w:rFonts w:eastAsia="Calibri"/>
          <w:i/>
          <w:iCs/>
          <w:kern w:val="2"/>
          <w:lang w:val="de-DE" w:eastAsia="en-US"/>
          <w14:ligatures w14:val="standardContextual"/>
        </w:rPr>
        <w:t xml:space="preserve">und Überschrift ersetzt </w:t>
      </w:r>
      <w:r w:rsidR="00D20ADC" w:rsidRPr="004676F5">
        <w:rPr>
          <w:rFonts w:eastAsia="Calibri"/>
          <w:i/>
          <w:iCs/>
          <w:kern w:val="2"/>
          <w:lang w:val="de-DE" w:eastAsia="en-US"/>
          <w14:ligatures w14:val="standardContextual"/>
        </w:rPr>
        <w:t>durc</w:t>
      </w:r>
      <w:r w:rsidR="00351084" w:rsidRPr="004676F5">
        <w:rPr>
          <w:rFonts w:eastAsia="Calibri"/>
          <w:i/>
          <w:iCs/>
          <w:kern w:val="2"/>
          <w:lang w:val="de-DE" w:eastAsia="en-US"/>
          <w14:ligatures w14:val="standardContextual"/>
        </w:rPr>
        <w:t>h Art. 8 des G. vom 29. März 2024 (B.S. vom 3. Mai 2024)</w:t>
      </w:r>
      <w:r w:rsidRPr="004676F5">
        <w:rPr>
          <w:rFonts w:eastAsia="Calibri"/>
          <w:i/>
          <w:iCs/>
          <w:kern w:val="2"/>
          <w:lang w:val="de-DE" w:eastAsia="en-US"/>
          <w14:ligatures w14:val="standardContextual"/>
        </w:rPr>
        <w:t>]</w:t>
      </w:r>
    </w:p>
    <w:p w14:paraId="3EFE5883" w14:textId="77777777" w:rsidR="003A7F3F" w:rsidRPr="004676F5" w:rsidRDefault="003A7F3F" w:rsidP="00BE3682">
      <w:pPr>
        <w:jc w:val="both"/>
        <w:rPr>
          <w:rFonts w:eastAsia="Calibri"/>
          <w:kern w:val="2"/>
          <w:lang w:val="de-DE" w:eastAsia="en-US"/>
          <w14:ligatures w14:val="standardContextual"/>
        </w:rPr>
      </w:pPr>
    </w:p>
    <w:p w14:paraId="2D38658A" w14:textId="77777777" w:rsidR="007854CD" w:rsidRPr="004676F5" w:rsidRDefault="007854CD" w:rsidP="00BE3682">
      <w:pPr>
        <w:jc w:val="both"/>
        <w:rPr>
          <w:rFonts w:eastAsia="Calibri"/>
          <w:kern w:val="2"/>
          <w:lang w:val="de-DE" w:eastAsia="en-US"/>
          <w14:ligatures w14:val="standardContextual"/>
        </w:rPr>
      </w:pPr>
    </w:p>
    <w:p w14:paraId="3480F4E7" w14:textId="12F94B8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IV.17</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Der Präsident wird vom König durch einen im Ministerrat beratenen Erlass für ein einmal erneuerbares Mandat von sechs Jahren ernannt.</w:t>
      </w:r>
    </w:p>
    <w:p w14:paraId="52400893" w14:textId="77777777" w:rsidR="00BE3682" w:rsidRPr="004676F5" w:rsidRDefault="00BE3682" w:rsidP="00BE3682">
      <w:pPr>
        <w:jc w:val="both"/>
        <w:rPr>
          <w:rFonts w:eastAsia="Calibri"/>
          <w:kern w:val="2"/>
          <w:lang w:val="de-DE" w:eastAsia="en-US"/>
          <w14:ligatures w14:val="standardContextual"/>
        </w:rPr>
      </w:pPr>
    </w:p>
    <w:p w14:paraId="7D95D44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Präsident erfüllt die Aufträge, die ihm durch vorliegendes Buch erteilt werden. Er kann bestimmte Aufgaben, die er als Mitglied des Wettbewerbskollegiums ausübt, dem Beisitzer-Vizepräsidenten und andere Aufgaben dem Direktor der wirtschaftlichen Angelegen</w:t>
      </w:r>
      <w:r w:rsidRPr="004676F5">
        <w:rPr>
          <w:rFonts w:eastAsia="Calibri"/>
          <w:kern w:val="2"/>
          <w:szCs w:val="22"/>
          <w:lang w:val="de-DE" w:eastAsia="en-US"/>
          <w14:ligatures w14:val="standardContextual"/>
        </w:rPr>
        <w:softHyphen/>
        <w:t>heiten, dem Direktor der juristischen Angelegenheiten und den Personalmitgliedern der Belgischen Wettbewerbsbehörde übertragen.</w:t>
      </w:r>
    </w:p>
    <w:p w14:paraId="77FCAE2E" w14:textId="77777777" w:rsidR="00BE3682" w:rsidRPr="004676F5" w:rsidRDefault="00BE3682" w:rsidP="00BE3682">
      <w:pPr>
        <w:jc w:val="both"/>
        <w:rPr>
          <w:rFonts w:eastAsia="Calibri"/>
          <w:kern w:val="2"/>
          <w:lang w:val="de-DE" w:eastAsia="en-US"/>
          <w14:ligatures w14:val="standardContextual"/>
        </w:rPr>
      </w:pPr>
    </w:p>
    <w:p w14:paraId="33B3228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Bei begründeter Nichtverfügbarkeit werden die Aufgaben des Präsidenten vom Direktionsausschuss wahrgenommen. Gegebenenfalls werden die Aufgaben des Präsidenten des Wettbewerbskollegiums vom Beisitzer-Vizepräsidenten wahrgenommen.</w:t>
      </w:r>
    </w:p>
    <w:p w14:paraId="7A41878F" w14:textId="77777777" w:rsidR="00BE3682" w:rsidRPr="004676F5" w:rsidRDefault="00BE3682" w:rsidP="00BE3682">
      <w:pPr>
        <w:jc w:val="both"/>
        <w:rPr>
          <w:rFonts w:eastAsia="Calibri"/>
          <w:kern w:val="2"/>
          <w:lang w:val="de-DE" w:eastAsia="en-US"/>
          <w14:ligatures w14:val="standardContextual"/>
        </w:rPr>
      </w:pPr>
    </w:p>
    <w:p w14:paraId="3EFA8152" w14:textId="649419B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Um zum Präsidenten ernannt werden zu können, muss der Kandidat die Prüfung der beruflichen Eignung bestehen. Mit dieser Prüfung sollen Kenntnisse und Reife, die für die Ausübung des betreffenden Amtes erforderlich sind, bewertet werden. Modalitäten und Programm der Prüfung werden vom König festgelegt. Der Kandidat erbringt außerdem den Nachweis einer zweckdienlichen Erfahrung für die Ausübung des Amtes. Er muss Inhaber eines Master</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Lizentiatdiploms sein und funktionelle Kenntnisse der französischen, niederländischen und englischen Sprache nachweisen.</w:t>
      </w:r>
    </w:p>
    <w:p w14:paraId="2B3FF0BF" w14:textId="77777777" w:rsidR="00BE3682" w:rsidRPr="004676F5" w:rsidRDefault="00BE3682" w:rsidP="00BE3682">
      <w:pPr>
        <w:jc w:val="both"/>
        <w:rPr>
          <w:rFonts w:eastAsia="Calibri"/>
          <w:kern w:val="2"/>
          <w:lang w:val="de-DE" w:eastAsia="en-US"/>
          <w14:ligatures w14:val="standardContextual"/>
        </w:rPr>
      </w:pPr>
    </w:p>
    <w:p w14:paraId="4F038D9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Gegebenenfalls wird die Ausübung des Amtes als Präsident als ein Auftrag im Sinne von Artikel 323</w:t>
      </w:r>
      <w:r w:rsidRPr="004676F5">
        <w:rPr>
          <w:rFonts w:eastAsia="Calibri"/>
          <w:i/>
          <w:iCs/>
          <w:kern w:val="2"/>
          <w:szCs w:val="22"/>
          <w:lang w:val="de-DE" w:eastAsia="en-US"/>
          <w14:ligatures w14:val="standardContextual"/>
        </w:rPr>
        <w:t>bis</w:t>
      </w:r>
      <w:r w:rsidRPr="004676F5">
        <w:rPr>
          <w:rFonts w:eastAsia="Calibri"/>
          <w:kern w:val="2"/>
          <w:szCs w:val="22"/>
          <w:lang w:val="de-DE" w:eastAsia="en-US"/>
          <w14:ligatures w14:val="standardContextual"/>
        </w:rPr>
        <w:t xml:space="preserve"> § 1 des Gerichtsgesetzbuches angesehen.</w:t>
      </w:r>
    </w:p>
    <w:p w14:paraId="565B3776" w14:textId="77777777" w:rsidR="00BE3682" w:rsidRPr="004676F5" w:rsidRDefault="00BE3682" w:rsidP="00BE3682">
      <w:pPr>
        <w:jc w:val="both"/>
        <w:rPr>
          <w:rFonts w:eastAsia="Calibri"/>
          <w:kern w:val="2"/>
          <w:lang w:val="de-DE" w:eastAsia="en-US"/>
          <w14:ligatures w14:val="standardContextual"/>
        </w:rPr>
      </w:pPr>
    </w:p>
    <w:p w14:paraId="046B9BC3" w14:textId="74AE0DB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Der Präsident wird durch Königlichen Erlass in den Ruhestand versetzt, wenn er wegen eines schweren und bleibenden Gebrechens sein Amt nicht mehr ordnungsgemäß </w:t>
      </w:r>
      <w:r w:rsidRPr="004676F5">
        <w:rPr>
          <w:rFonts w:eastAsia="Calibri"/>
          <w:kern w:val="2"/>
          <w:szCs w:val="22"/>
          <w:lang w:val="de-DE" w:eastAsia="en-US"/>
          <w14:ligatures w14:val="standardContextual"/>
        </w:rPr>
        <w:lastRenderedPageBreak/>
        <w:t>ausüben kann, und zwar unter Einhaltung von Artikel 117 des Gesetzes vom 14. Februar 1961 über den Wirtschaftsaufschwung, den sozialen Fortschritt und die Sanierung der Finanzen.</w:t>
      </w:r>
    </w:p>
    <w:p w14:paraId="2F433EEA" w14:textId="77777777" w:rsidR="00BE3682" w:rsidRPr="004676F5" w:rsidRDefault="00BE3682" w:rsidP="00BE3682">
      <w:pPr>
        <w:jc w:val="both"/>
        <w:rPr>
          <w:rFonts w:eastAsia="Calibri"/>
          <w:kern w:val="2"/>
          <w:lang w:val="de-DE" w:eastAsia="en-US"/>
          <w14:ligatures w14:val="standardContextual"/>
        </w:rPr>
      </w:pPr>
    </w:p>
    <w:p w14:paraId="6DBB8BB7" w14:textId="77777777" w:rsidR="007854CD" w:rsidRPr="004676F5" w:rsidRDefault="007854CD" w:rsidP="00BE3682">
      <w:pPr>
        <w:jc w:val="both"/>
        <w:rPr>
          <w:rFonts w:eastAsia="Calibri"/>
          <w:kern w:val="2"/>
          <w:lang w:val="de-DE" w:eastAsia="en-US"/>
          <w14:ligatures w14:val="standardContextual"/>
        </w:rPr>
      </w:pPr>
    </w:p>
    <w:p w14:paraId="41D15DE4" w14:textId="6E6F430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IV.18</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Präsident darf keine Anweisung entgegennehmen, wenn er in Ausführung der Aufträge, die ihm durch vorliegendes Buch erteilt werden, Entscheidungen trifft und wenn er zu Wettbewerbssachen der Europäischen Kommission in Bezug auf die Anwendung der Artikel 101 und 102 AEUV und der Verordnung (EG) Nr. 139/2004 Stellung bezieht. Personen, denen der Präsident Aufgaben übertragen hat, dürfen zu diesen Aufgaben nur Anweisungen des Präsidenten entgegennehmen.</w:t>
      </w:r>
    </w:p>
    <w:p w14:paraId="180BC73A" w14:textId="77777777" w:rsidR="00BE3682" w:rsidRPr="004676F5" w:rsidRDefault="00BE3682" w:rsidP="00BE3682">
      <w:pPr>
        <w:jc w:val="both"/>
        <w:rPr>
          <w:rFonts w:eastAsia="Calibri"/>
          <w:kern w:val="2"/>
          <w:lang w:val="de-DE" w:eastAsia="en-US"/>
          <w14:ligatures w14:val="standardContextual"/>
        </w:rPr>
      </w:pPr>
    </w:p>
    <w:p w14:paraId="496D44F6" w14:textId="77777777" w:rsidR="007854CD" w:rsidRPr="004676F5" w:rsidRDefault="007854CD" w:rsidP="00BE3682">
      <w:pPr>
        <w:jc w:val="both"/>
        <w:rPr>
          <w:rFonts w:eastAsia="Calibri"/>
          <w:kern w:val="2"/>
          <w:lang w:val="de-DE" w:eastAsia="en-US"/>
          <w14:ligatures w14:val="standardContextual"/>
        </w:rPr>
      </w:pPr>
    </w:p>
    <w:p w14:paraId="16E6B5EB" w14:textId="07D40DE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IV.19</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Der Präsident ist unter anderem damit beauftragt:</w:t>
      </w:r>
    </w:p>
    <w:p w14:paraId="2BDDB48A" w14:textId="77777777" w:rsidR="00BE3682" w:rsidRPr="004676F5" w:rsidRDefault="00BE3682" w:rsidP="00BE3682">
      <w:pPr>
        <w:jc w:val="both"/>
        <w:rPr>
          <w:rFonts w:eastAsia="Calibri"/>
          <w:kern w:val="2"/>
          <w:lang w:val="de-DE" w:eastAsia="en-US"/>
          <w14:ligatures w14:val="standardContextual"/>
        </w:rPr>
      </w:pPr>
    </w:p>
    <w:p w14:paraId="7363E68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Belgien in den europäischen und internationalen Wettbewerbsorganisationen bei allen Besprechungen, die die Zuständigkeiten der Belgischen Wettbewerbsbehörde betreffen, zu vertreten; er nimmt auch an anderen Besprechungen in europäischen und internationalen Einrichtungen über Rechtsvorschriften und Regelungen, die die Wettbewerbspolitik betreffen, teil, unbeschadet der einschlägigen Zuständigkeiten des Ministers und anderer öffentlicher Behörden,</w:t>
      </w:r>
    </w:p>
    <w:p w14:paraId="5A8EAA92" w14:textId="77777777" w:rsidR="00BE3682" w:rsidRPr="004676F5" w:rsidRDefault="00BE3682" w:rsidP="00BE3682">
      <w:pPr>
        <w:jc w:val="both"/>
        <w:rPr>
          <w:rFonts w:eastAsia="Calibri"/>
          <w:kern w:val="2"/>
          <w:lang w:val="de-DE" w:eastAsia="en-US"/>
          <w14:ligatures w14:val="standardContextual"/>
        </w:rPr>
      </w:pPr>
    </w:p>
    <w:p w14:paraId="2E32767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für den FÖD Wirtschaft, das Parlament, die Regierung oder andere Instanzen zur Vorbereitung und Bewertung der Wettbewerbspolitik in Belgien beizutragen, zu einer besseren Kenntnis dieser Politik beizutragen und Untersuchungen zu leiten,</w:t>
      </w:r>
    </w:p>
    <w:p w14:paraId="60F66088" w14:textId="77777777" w:rsidR="00BE3682" w:rsidRPr="004676F5" w:rsidRDefault="00BE3682" w:rsidP="00BE3682">
      <w:pPr>
        <w:jc w:val="both"/>
        <w:rPr>
          <w:rFonts w:eastAsia="Calibri"/>
          <w:kern w:val="2"/>
          <w:lang w:val="de-DE" w:eastAsia="en-US"/>
          <w14:ligatures w14:val="standardContextual"/>
        </w:rPr>
      </w:pPr>
    </w:p>
    <w:p w14:paraId="66E223E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zur Vorbereitung der belgischen Rechtsvorschriften und Regelungen über die Wettbewerbsregeln und die Wettbewerbspolitik beizutragen,</w:t>
      </w:r>
    </w:p>
    <w:p w14:paraId="0C89828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p>
    <w:p w14:paraId="12626FA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4. die Belgische Wettbewerbsbehörde in Verfahren, die in den Artikeln IV.86 bis IV.90 erwähnt sind, zu vertreten, vorbehaltlich der in Artikel IV.26 § 3 Nr. 8 erwähnten Vertretungsbefugnis des Generalauditors,</w:t>
      </w:r>
    </w:p>
    <w:p w14:paraId="65625359" w14:textId="77777777" w:rsidR="00BE3682" w:rsidRPr="004676F5" w:rsidRDefault="00BE3682" w:rsidP="00BE3682">
      <w:pPr>
        <w:jc w:val="both"/>
        <w:rPr>
          <w:rFonts w:eastAsia="Calibri"/>
          <w:kern w:val="2"/>
          <w:lang w:val="de-DE" w:eastAsia="en-US"/>
          <w14:ligatures w14:val="standardContextual"/>
        </w:rPr>
      </w:pPr>
    </w:p>
    <w:p w14:paraId="08247CF0" w14:textId="5A8620C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5. informelle Standpunkte zur Anwendung </w:t>
      </w:r>
      <w:r w:rsidR="00380818" w:rsidRPr="004676F5">
        <w:rPr>
          <w:rFonts w:eastAsia="Calibri"/>
          <w:kern w:val="2"/>
          <w:szCs w:val="22"/>
          <w:lang w:val="de-DE" w:eastAsia="en-US"/>
          <w14:ligatures w14:val="standardContextual"/>
        </w:rPr>
        <w:t>[</w:t>
      </w:r>
      <w:r w:rsidR="00380818" w:rsidRPr="004676F5">
        <w:rPr>
          <w:lang w:val="de-DE"/>
        </w:rPr>
        <w:t>der Regeln über Zuwiderhandlungen gegen das Wettbewerbsrecht</w:t>
      </w:r>
      <w:r w:rsidR="00380818"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auf eine geplante Praxis abzugeben, sofern eine identische, ähnliche oder verwandte Frage nicht Gegenstand eines Verfahrens vor der Europäischen Kommission, dem Auditorat oder dem Wettbewerbskollegium oder eines Verfahrens vor einem </w:t>
      </w:r>
      <w:r w:rsidR="00380818" w:rsidRPr="004676F5">
        <w:rPr>
          <w:rFonts w:eastAsia="Calibri"/>
          <w:kern w:val="2"/>
          <w:szCs w:val="22"/>
          <w:lang w:val="de-DE" w:eastAsia="en-US"/>
          <w14:ligatures w14:val="standardContextual"/>
        </w:rPr>
        <w:t>[nationalen]</w:t>
      </w:r>
      <w:r w:rsidRPr="004676F5">
        <w:rPr>
          <w:rFonts w:eastAsia="Calibri"/>
          <w:kern w:val="2"/>
          <w:szCs w:val="22"/>
          <w:lang w:val="de-DE" w:eastAsia="en-US"/>
          <w14:ligatures w14:val="standardContextual"/>
        </w:rPr>
        <w:t xml:space="preserve"> Gericht oder einem Gericht der Europäischen Union ist.</w:t>
      </w:r>
    </w:p>
    <w:p w14:paraId="7AD9C379" w14:textId="77777777" w:rsidR="00BE3682" w:rsidRPr="004676F5" w:rsidRDefault="00BE3682" w:rsidP="00BE3682">
      <w:pPr>
        <w:jc w:val="both"/>
        <w:rPr>
          <w:rFonts w:eastAsia="Calibri"/>
          <w:kern w:val="2"/>
          <w:lang w:val="de-DE" w:eastAsia="en-US"/>
          <w14:ligatures w14:val="standardContextual"/>
        </w:rPr>
      </w:pPr>
    </w:p>
    <w:p w14:paraId="0F2CF35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Bei der Belgischen Wettbewerbsbehörde wird ein Dienst des Präsidenten eingerichtet. Dieser Dienst untersteht der Leitung des Präsidenten und setzt sich aus den Personalmitgliedern der Belgischen Wettbewerbsbehörde zusammen, die der Direktions</w:t>
      </w:r>
      <w:r w:rsidRPr="004676F5">
        <w:rPr>
          <w:rFonts w:eastAsia="Calibri"/>
          <w:kern w:val="2"/>
          <w:szCs w:val="22"/>
          <w:lang w:val="de-DE" w:eastAsia="en-US"/>
          <w14:ligatures w14:val="standardContextual"/>
        </w:rPr>
        <w:softHyphen/>
        <w:t>ausschuss diesem Dienst zuweist. Für die Ausübung der in § 1 erwähnten Aufträge kann der Präsident auch auf Personalmitglieder des Auditorats zurückgreifen, und zwar bis zu einem Prozentsatz ihrer Zeit, den der Direktionsausschuss festlegt.</w:t>
      </w:r>
    </w:p>
    <w:p w14:paraId="4A7F35BA" w14:textId="77777777" w:rsidR="00BE3682" w:rsidRPr="004676F5" w:rsidRDefault="00BE3682" w:rsidP="00BE3682">
      <w:pPr>
        <w:jc w:val="both"/>
        <w:rPr>
          <w:rFonts w:eastAsia="Calibri"/>
          <w:kern w:val="2"/>
          <w:lang w:val="de-DE" w:eastAsia="en-US"/>
          <w14:ligatures w14:val="standardContextual"/>
        </w:rPr>
      </w:pPr>
    </w:p>
    <w:p w14:paraId="5F9DF670" w14:textId="28369937" w:rsidR="00380818" w:rsidRPr="004676F5" w:rsidRDefault="00380818"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IV.19 § 1 einziger Absatz Nr. 5 abgeändert durch Art. 8 des G. vom 28. Februar 2022 (B.S. vom 7. März 2022)]</w:t>
      </w:r>
    </w:p>
    <w:p w14:paraId="17C2F7A0" w14:textId="77777777" w:rsidR="00380818" w:rsidRPr="004676F5" w:rsidRDefault="00380818" w:rsidP="00BE3682">
      <w:pPr>
        <w:jc w:val="both"/>
        <w:rPr>
          <w:rFonts w:eastAsia="Calibri"/>
          <w:i/>
          <w:iCs/>
          <w:kern w:val="2"/>
          <w:lang w:val="de-DE" w:eastAsia="en-US"/>
          <w14:ligatures w14:val="standardContextual"/>
        </w:rPr>
      </w:pPr>
    </w:p>
    <w:p w14:paraId="6D046E23" w14:textId="77777777" w:rsidR="007854CD" w:rsidRPr="004676F5" w:rsidRDefault="007854CD" w:rsidP="00BE3682">
      <w:pPr>
        <w:jc w:val="both"/>
        <w:rPr>
          <w:rFonts w:eastAsia="Calibri"/>
          <w:kern w:val="2"/>
          <w:lang w:val="de-DE" w:eastAsia="en-US"/>
          <w14:ligatures w14:val="standardContextual"/>
        </w:rPr>
      </w:pPr>
    </w:p>
    <w:p w14:paraId="62B2E32E" w14:textId="77777777" w:rsidR="00542FBC" w:rsidRPr="004676F5" w:rsidRDefault="00542FBC">
      <w:pPr>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br w:type="page"/>
      </w:r>
    </w:p>
    <w:p w14:paraId="0D3D0F78" w14:textId="7E0FDA24" w:rsidR="00BE3682" w:rsidRPr="004676F5" w:rsidRDefault="00351084"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3</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DB2D1B"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Wettbewerbskollegium</w:t>
      </w:r>
      <w:r w:rsidR="00DB2D1B" w:rsidRPr="004676F5">
        <w:rPr>
          <w:rFonts w:eastAsia="Calibri"/>
          <w:kern w:val="2"/>
          <w:szCs w:val="22"/>
          <w:lang w:val="de-DE" w:eastAsia="en-US"/>
          <w14:ligatures w14:val="standardContextual"/>
        </w:rPr>
        <w:t>]</w:t>
      </w:r>
    </w:p>
    <w:p w14:paraId="7A871B79" w14:textId="77777777" w:rsidR="00BE3682" w:rsidRPr="004676F5" w:rsidRDefault="00BE3682" w:rsidP="00BE3682">
      <w:pPr>
        <w:jc w:val="both"/>
        <w:rPr>
          <w:rFonts w:eastAsia="Calibri"/>
          <w:kern w:val="2"/>
          <w:lang w:val="de-DE" w:eastAsia="en-US"/>
          <w14:ligatures w14:val="standardContextual"/>
        </w:rPr>
      </w:pPr>
    </w:p>
    <w:p w14:paraId="2D5ACC02" w14:textId="148B9F25" w:rsidR="00351084" w:rsidRPr="004676F5" w:rsidRDefault="00351084" w:rsidP="00BE3682">
      <w:pPr>
        <w:jc w:val="both"/>
        <w:rPr>
          <w:rFonts w:eastAsia="Calibri"/>
          <w:kern w:val="2"/>
          <w:lang w:val="de-DE" w:eastAsia="en-US"/>
          <w14:ligatures w14:val="standardContextual"/>
        </w:rPr>
      </w:pPr>
      <w:r w:rsidRPr="004676F5">
        <w:rPr>
          <w:rFonts w:eastAsia="Calibri"/>
          <w:i/>
          <w:iCs/>
          <w:kern w:val="2"/>
          <w:lang w:val="de-DE" w:eastAsia="en-US"/>
          <w14:ligatures w14:val="standardContextual"/>
        </w:rPr>
        <w:t xml:space="preserve">[Früherer Unterabschnitt 2 umgegliedert zu Abschnitt 3 </w:t>
      </w:r>
      <w:r w:rsidR="00DB2D1B"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9 des G. vom 29. März 2024 (B.S. vom 3. Mai 2024)]</w:t>
      </w:r>
    </w:p>
    <w:p w14:paraId="3AEF4C4C" w14:textId="77777777" w:rsidR="00351084" w:rsidRPr="004676F5" w:rsidRDefault="00351084" w:rsidP="00BE3682">
      <w:pPr>
        <w:jc w:val="both"/>
        <w:rPr>
          <w:rFonts w:eastAsia="Calibri"/>
          <w:kern w:val="2"/>
          <w:lang w:val="de-DE" w:eastAsia="en-US"/>
          <w14:ligatures w14:val="standardContextual"/>
        </w:rPr>
      </w:pPr>
    </w:p>
    <w:p w14:paraId="13258A9B" w14:textId="77777777" w:rsidR="007854CD" w:rsidRPr="004676F5" w:rsidRDefault="007854CD" w:rsidP="00BE3682">
      <w:pPr>
        <w:jc w:val="both"/>
        <w:rPr>
          <w:rFonts w:eastAsia="Calibri"/>
          <w:kern w:val="2"/>
          <w:lang w:val="de-DE" w:eastAsia="en-US"/>
          <w14:ligatures w14:val="standardContextual"/>
        </w:rPr>
      </w:pPr>
    </w:p>
    <w:p w14:paraId="2C35E998" w14:textId="33D201A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IV.20</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Das Wettbewerbskollegium wird pro Sache vom Präsidenten gemäß Artikel IV.21 gebildet, um </w:t>
      </w:r>
      <w:r w:rsidR="00351084" w:rsidRPr="004676F5">
        <w:rPr>
          <w:rFonts w:eastAsia="Calibri"/>
          <w:kern w:val="2"/>
          <w:szCs w:val="22"/>
          <w:lang w:val="de-DE" w:eastAsia="en-US"/>
          <w14:ligatures w14:val="standardContextual"/>
        </w:rPr>
        <w:t>[</w:t>
      </w:r>
      <w:r w:rsidR="00351084" w:rsidRPr="004676F5">
        <w:rPr>
          <w:lang w:val="de-DE"/>
        </w:rPr>
        <w:t>in Titel 3 Kapitel 1</w:t>
      </w:r>
      <w:r w:rsidR="00351084"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erwähnte Entscheidungen zu treffen.</w:t>
      </w:r>
    </w:p>
    <w:p w14:paraId="2B4F30C8" w14:textId="77777777" w:rsidR="00BE3682" w:rsidRPr="004676F5" w:rsidRDefault="00BE3682" w:rsidP="00BE3682">
      <w:pPr>
        <w:jc w:val="both"/>
        <w:rPr>
          <w:rFonts w:eastAsia="Calibri"/>
          <w:kern w:val="2"/>
          <w:lang w:val="de-DE" w:eastAsia="en-US"/>
          <w14:ligatures w14:val="standardContextual"/>
        </w:rPr>
      </w:pPr>
    </w:p>
    <w:p w14:paraId="058FD7DB" w14:textId="3A56B1A2" w:rsidR="007854CD" w:rsidRPr="004676F5" w:rsidRDefault="00351084"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IV.20 abgeändert durch Art. 10 des G. vom 29. März 2024 (B.S. vom 3. Mai 2024)]</w:t>
      </w:r>
    </w:p>
    <w:p w14:paraId="5F2F24B7" w14:textId="77777777" w:rsidR="00351084" w:rsidRPr="004676F5" w:rsidRDefault="00351084" w:rsidP="00BE3682">
      <w:pPr>
        <w:jc w:val="both"/>
        <w:rPr>
          <w:rFonts w:eastAsia="Calibri"/>
          <w:kern w:val="2"/>
          <w:lang w:val="de-DE" w:eastAsia="en-US"/>
          <w14:ligatures w14:val="standardContextual"/>
        </w:rPr>
      </w:pPr>
    </w:p>
    <w:p w14:paraId="5D81363D" w14:textId="77777777" w:rsidR="00351084" w:rsidRPr="004676F5" w:rsidRDefault="00351084" w:rsidP="00BE3682">
      <w:pPr>
        <w:jc w:val="both"/>
        <w:rPr>
          <w:rFonts w:eastAsia="Calibri"/>
          <w:kern w:val="2"/>
          <w:lang w:val="de-DE" w:eastAsia="en-US"/>
          <w14:ligatures w14:val="standardContextual"/>
        </w:rPr>
      </w:pPr>
    </w:p>
    <w:p w14:paraId="180F23DA" w14:textId="60369F8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IV.21</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Das Wettbewerbskollegium setzt sich zusammen aus:</w:t>
      </w:r>
    </w:p>
    <w:p w14:paraId="17DF28B5" w14:textId="77777777" w:rsidR="00BE3682" w:rsidRPr="004676F5" w:rsidRDefault="00BE3682" w:rsidP="00BE3682">
      <w:pPr>
        <w:jc w:val="both"/>
        <w:rPr>
          <w:rFonts w:eastAsia="Calibri"/>
          <w:kern w:val="2"/>
          <w:lang w:val="de-DE" w:eastAsia="en-US"/>
          <w14:ligatures w14:val="standardContextual"/>
        </w:rPr>
      </w:pPr>
    </w:p>
    <w:p w14:paraId="6729584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dem Präsidenten,</w:t>
      </w:r>
    </w:p>
    <w:p w14:paraId="382D9D26" w14:textId="77777777" w:rsidR="00BE3682" w:rsidRPr="004676F5" w:rsidRDefault="00BE3682" w:rsidP="00BE3682">
      <w:pPr>
        <w:jc w:val="both"/>
        <w:rPr>
          <w:rFonts w:eastAsia="Calibri"/>
          <w:kern w:val="2"/>
          <w:lang w:val="de-DE" w:eastAsia="en-US"/>
          <w14:ligatures w14:val="standardContextual"/>
        </w:rPr>
      </w:pPr>
    </w:p>
    <w:p w14:paraId="48F29B7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zwei Beisitzern, die auf den alphabetischen Listen der Beisitzer bestimmt werden.</w:t>
      </w:r>
    </w:p>
    <w:p w14:paraId="1E42E3D9" w14:textId="77777777" w:rsidR="00BE3682" w:rsidRPr="004676F5" w:rsidRDefault="00BE3682" w:rsidP="00BE3682">
      <w:pPr>
        <w:jc w:val="both"/>
        <w:rPr>
          <w:rFonts w:eastAsia="Calibri"/>
          <w:kern w:val="2"/>
          <w:lang w:val="de-DE" w:eastAsia="en-US"/>
          <w14:ligatures w14:val="standardContextual"/>
        </w:rPr>
      </w:pPr>
    </w:p>
    <w:p w14:paraId="072BB77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Bestimmung der Beisitzer erfolgt in alphabetischer Reihenfolge auf den in Artikel IV.22 § 1 Absatz 2 erwähnten Listen; die Beisitzer werden unter Berücksichtigung der Verfahrenssprache abwechselnd bestimmt.</w:t>
      </w:r>
    </w:p>
    <w:p w14:paraId="332A8D47" w14:textId="77777777" w:rsidR="00BE3682" w:rsidRPr="004676F5" w:rsidRDefault="00BE3682" w:rsidP="00BE3682">
      <w:pPr>
        <w:jc w:val="both"/>
        <w:rPr>
          <w:rFonts w:eastAsia="Calibri"/>
          <w:kern w:val="2"/>
          <w:lang w:val="de-DE" w:eastAsia="en-US"/>
          <w14:ligatures w14:val="standardContextual"/>
        </w:rPr>
      </w:pPr>
    </w:p>
    <w:p w14:paraId="027A9AFD" w14:textId="69BC88A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Im Wettbewerbskollegium tagt mindestens ein Inhaber eines Master</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Lizentiatdiploms der Rechte.</w:t>
      </w:r>
    </w:p>
    <w:p w14:paraId="3498863F" w14:textId="77777777" w:rsidR="00BE3682" w:rsidRPr="004676F5" w:rsidRDefault="00BE3682" w:rsidP="00BE3682">
      <w:pPr>
        <w:jc w:val="both"/>
        <w:rPr>
          <w:rFonts w:eastAsia="Calibri"/>
          <w:kern w:val="2"/>
          <w:lang w:val="de-DE" w:eastAsia="en-US"/>
          <w14:ligatures w14:val="standardContextual"/>
        </w:rPr>
      </w:pPr>
    </w:p>
    <w:p w14:paraId="5A62EA6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Können Beisitzer nicht gemäß der Verfahrenssprache zugewiesen werden, ohne einen Interessenkonflikt hervorzurufen, erfolgt die Bestimmung auf der Grundlage der Liste der Beisitzer der anderen Sprachgruppe.</w:t>
      </w:r>
    </w:p>
    <w:p w14:paraId="1FC7D8F3" w14:textId="77777777" w:rsidR="00BE3682" w:rsidRPr="004676F5" w:rsidRDefault="00BE3682" w:rsidP="00BE3682">
      <w:pPr>
        <w:jc w:val="both"/>
        <w:rPr>
          <w:rFonts w:eastAsia="Calibri"/>
          <w:kern w:val="2"/>
          <w:lang w:val="de-DE" w:eastAsia="en-US"/>
          <w14:ligatures w14:val="standardContextual"/>
        </w:rPr>
      </w:pPr>
    </w:p>
    <w:p w14:paraId="50DAA01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Im Falle eines Interessenkonflikts oder einer begründeten Nichtverfügbarkeit des Präsidenten wird das Wettbewerbskollegium vom Beisitzer-Vizepräsidenten zusammengesetzt und geleitet.</w:t>
      </w:r>
    </w:p>
    <w:p w14:paraId="6E3C8CF0" w14:textId="77777777" w:rsidR="00BE3682" w:rsidRPr="004676F5" w:rsidRDefault="00BE3682" w:rsidP="00BE3682">
      <w:pPr>
        <w:jc w:val="both"/>
        <w:rPr>
          <w:rFonts w:eastAsia="Calibri"/>
          <w:kern w:val="2"/>
          <w:lang w:val="de-DE" w:eastAsia="en-US"/>
          <w14:ligatures w14:val="standardContextual"/>
        </w:rPr>
      </w:pPr>
    </w:p>
    <w:p w14:paraId="23F7B35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Im Falle eines Interessenkonflikts oder einer begründeten Nichtverfügbarkeit des Präsidenten und des Beisitzer-Vizepräsidenten wird das Wettbewerbskollegium von dem Beisitzer zusammengesetzt und geleitet, der unter Berücksichtigung der Verfahrenssprache am ältesten ist.</w:t>
      </w:r>
    </w:p>
    <w:p w14:paraId="70A72C6C" w14:textId="77777777" w:rsidR="00BE3682" w:rsidRPr="004676F5" w:rsidRDefault="00BE3682" w:rsidP="00BE3682">
      <w:pPr>
        <w:jc w:val="both"/>
        <w:rPr>
          <w:rFonts w:eastAsia="Calibri"/>
          <w:kern w:val="2"/>
          <w:lang w:val="de-DE" w:eastAsia="en-US"/>
          <w14:ligatures w14:val="standardContextual"/>
        </w:rPr>
      </w:pPr>
    </w:p>
    <w:p w14:paraId="5860310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Wenn nach der Zusammensetzung des Wettbewerbskollegiums ein Interessenkonflikt oder eine begründete Nichtverfügbarkeit festgestellt wird, wird der Betreffende gemäß § 1 und gegebenenfalls § 2 ersetzt. Die Sitzung findet vor dem neu zusammengesetzten Wettbewerbskollegium statt.</w:t>
      </w:r>
    </w:p>
    <w:p w14:paraId="7D46CFCE" w14:textId="77777777" w:rsidR="00BE3682" w:rsidRPr="004676F5" w:rsidRDefault="00BE3682" w:rsidP="00BE3682">
      <w:pPr>
        <w:jc w:val="both"/>
        <w:rPr>
          <w:rFonts w:eastAsia="Calibri"/>
          <w:kern w:val="2"/>
          <w:lang w:val="de-DE" w:eastAsia="en-US"/>
          <w14:ligatures w14:val="standardContextual"/>
        </w:rPr>
      </w:pPr>
    </w:p>
    <w:p w14:paraId="328AC744" w14:textId="77777777" w:rsidR="007854CD" w:rsidRPr="004676F5" w:rsidRDefault="007854CD" w:rsidP="00BE3682">
      <w:pPr>
        <w:jc w:val="both"/>
        <w:rPr>
          <w:rFonts w:eastAsia="Calibri"/>
          <w:kern w:val="2"/>
          <w:lang w:val="de-DE" w:eastAsia="en-US"/>
          <w14:ligatures w14:val="standardContextual"/>
        </w:rPr>
      </w:pPr>
    </w:p>
    <w:p w14:paraId="209F1D5B" w14:textId="2B4972D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IV.22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 1 ­ Der Beisitzer-Vizepräsident, der einer anderen Sprachgruppe angehört als der Präsident, und die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höchstens zwanzig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Beisitzer werden vom König durch einen im Ministerrat beratenen Erlass für ein erneuerbares Mandat von sechs Jahren ernannt.</w:t>
      </w:r>
    </w:p>
    <w:p w14:paraId="1335E7EE" w14:textId="77777777" w:rsidR="00BE3682" w:rsidRPr="004676F5" w:rsidRDefault="00BE3682" w:rsidP="00BE3682">
      <w:pPr>
        <w:jc w:val="both"/>
        <w:rPr>
          <w:rFonts w:eastAsia="Calibri"/>
          <w:kern w:val="2"/>
          <w:lang w:val="de-DE" w:eastAsia="en-US"/>
          <w14:ligatures w14:val="standardContextual"/>
        </w:rPr>
      </w:pPr>
    </w:p>
    <w:p w14:paraId="160F4DF6" w14:textId="0A142BC0"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Sie werden entsprechend der niederländischen oder französischen Sprachgruppe, der sie angehören und die durch die Sprache des Master</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Lizentiatdiploms bestimmt wird, in alphabetischer Reihenfolge auf zwei gleich lange Listen verteilt.</w:t>
      </w:r>
    </w:p>
    <w:p w14:paraId="642E8831" w14:textId="77777777" w:rsidR="00BE3682" w:rsidRPr="004676F5" w:rsidRDefault="00BE3682" w:rsidP="00BE3682">
      <w:pPr>
        <w:jc w:val="both"/>
        <w:rPr>
          <w:rFonts w:eastAsia="Calibri"/>
          <w:kern w:val="2"/>
          <w:lang w:val="de-DE" w:eastAsia="en-US"/>
          <w14:ligatures w14:val="standardContextual"/>
        </w:rPr>
      </w:pPr>
    </w:p>
    <w:p w14:paraId="682BB7F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Diplome der Beisitzer werden auf jeder Liste aufgeführt.</w:t>
      </w:r>
    </w:p>
    <w:p w14:paraId="703E25DF" w14:textId="77777777" w:rsidR="00BE3682" w:rsidRPr="004676F5" w:rsidRDefault="00BE3682" w:rsidP="00BE3682">
      <w:pPr>
        <w:jc w:val="both"/>
        <w:rPr>
          <w:rFonts w:eastAsia="Calibri"/>
          <w:kern w:val="2"/>
          <w:lang w:val="de-DE" w:eastAsia="en-US"/>
          <w14:ligatures w14:val="standardContextual"/>
        </w:rPr>
      </w:pPr>
    </w:p>
    <w:p w14:paraId="1B3FC85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Um zum Beisitzer-Vizepräsidenten oder Beisitzer ernannt zu werden, muss der Kandidat die in Artikel IV.17 § 3 erwähnten Ernennungsbedingungen erfüllen, die für den Präsidenten festgelegt sind.</w:t>
      </w:r>
    </w:p>
    <w:p w14:paraId="78F63E12" w14:textId="77777777" w:rsidR="00BE3682" w:rsidRPr="004676F5" w:rsidRDefault="00BE3682" w:rsidP="00BE3682">
      <w:pPr>
        <w:jc w:val="both"/>
        <w:rPr>
          <w:rFonts w:eastAsia="Calibri"/>
          <w:kern w:val="2"/>
          <w:lang w:val="de-DE" w:eastAsia="en-US"/>
          <w14:ligatures w14:val="standardContextual"/>
        </w:rPr>
      </w:pPr>
    </w:p>
    <w:p w14:paraId="19B831C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Beisitzer-Vizepräsident und die Beisitzer werden durch Königlichen Erlass in den Ruhestand versetzt, wenn sie wegen eines schweren und bleibenden Gebrechens ihr Amt nicht mehr ordnungsgemäß ausüben können, und zwar unter Einhaltung von Artikel 117 des Gesetzes vom 14. Februar 1961 über den Wirtschaftsaufschwung, den sozialen Fortschritt und die Sanierung der Finanzen.</w:t>
      </w:r>
    </w:p>
    <w:p w14:paraId="4A5A4EDF" w14:textId="77777777" w:rsidR="00BE3682" w:rsidRPr="004676F5" w:rsidRDefault="00BE3682" w:rsidP="00BE3682">
      <w:pPr>
        <w:jc w:val="both"/>
        <w:rPr>
          <w:rFonts w:eastAsia="Calibri"/>
          <w:kern w:val="2"/>
          <w:lang w:val="de-DE" w:eastAsia="en-US"/>
          <w14:ligatures w14:val="standardContextual"/>
        </w:rPr>
      </w:pPr>
    </w:p>
    <w:p w14:paraId="0590A7F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Der Beisitzer-Vizepräsident und die Beisitzer, die an der Entscheidung in einer Sache mitwirken, dürfen in Bezug auf diese Sache keine Anweisung entgegennehmen, wenn sie in Ausführung der Aufträge, die ihnen durch vorliegendes Buch erteilt werden, Entscheidungen treffen.</w:t>
      </w:r>
    </w:p>
    <w:p w14:paraId="1988783D" w14:textId="77777777" w:rsidR="00BE3682" w:rsidRPr="004676F5" w:rsidRDefault="00BE3682" w:rsidP="00BE3682">
      <w:pPr>
        <w:jc w:val="both"/>
        <w:rPr>
          <w:rFonts w:eastAsia="Calibri"/>
          <w:kern w:val="2"/>
          <w:lang w:val="de-DE" w:eastAsia="en-US"/>
          <w14:ligatures w14:val="standardContextual"/>
        </w:rPr>
      </w:pPr>
    </w:p>
    <w:p w14:paraId="237976E8" w14:textId="047791D3"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Präsident, der Beisitzer-Vizepräsident und die Beisitzer legen unter dem Vorsitz des Präsidenten die Geschäftsordnung des Wettbewerbskollegiums fest.</w:t>
      </w:r>
    </w:p>
    <w:p w14:paraId="05D36559" w14:textId="77777777" w:rsidR="00BE3682" w:rsidRPr="004676F5" w:rsidRDefault="00BE3682" w:rsidP="00BE3682">
      <w:pPr>
        <w:jc w:val="both"/>
        <w:rPr>
          <w:rFonts w:eastAsia="Calibri"/>
          <w:kern w:val="2"/>
          <w:lang w:val="de-DE" w:eastAsia="en-US"/>
          <w14:ligatures w14:val="standardContextual"/>
        </w:rPr>
      </w:pPr>
    </w:p>
    <w:p w14:paraId="059FDA98" w14:textId="5602A96A" w:rsidR="007B7321" w:rsidRPr="004676F5" w:rsidRDefault="007B7321">
      <w:pPr>
        <w:rPr>
          <w:rFonts w:eastAsia="Calibri"/>
          <w:kern w:val="2"/>
          <w:szCs w:val="22"/>
          <w:lang w:val="de-DE" w:eastAsia="en-US"/>
          <w14:ligatures w14:val="standardContextual"/>
        </w:rPr>
      </w:pPr>
    </w:p>
    <w:p w14:paraId="19E3AA40" w14:textId="1FF69AAE" w:rsidR="00BE3682" w:rsidRPr="004676F5" w:rsidRDefault="00351084"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4</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DB2D1B"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Direktionsausschuss</w:t>
      </w:r>
      <w:r w:rsidR="00DB2D1B" w:rsidRPr="004676F5">
        <w:rPr>
          <w:rFonts w:eastAsia="Calibri"/>
          <w:kern w:val="2"/>
          <w:szCs w:val="22"/>
          <w:lang w:val="de-DE" w:eastAsia="en-US"/>
          <w14:ligatures w14:val="standardContextual"/>
        </w:rPr>
        <w:t>]</w:t>
      </w:r>
    </w:p>
    <w:p w14:paraId="4E072574"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 xml:space="preserve"> </w:t>
      </w:r>
    </w:p>
    <w:p w14:paraId="05328133" w14:textId="41309B54" w:rsidR="00351084" w:rsidRPr="004676F5" w:rsidRDefault="00351084" w:rsidP="00BE3682">
      <w:pPr>
        <w:jc w:val="both"/>
        <w:rPr>
          <w:rFonts w:eastAsia="Calibri"/>
          <w:kern w:val="2"/>
          <w:szCs w:val="22"/>
          <w:lang w:val="de-DE" w:eastAsia="en-US"/>
          <w14:ligatures w14:val="standardContextual"/>
        </w:rPr>
      </w:pPr>
      <w:r w:rsidRPr="004676F5">
        <w:rPr>
          <w:rFonts w:eastAsia="Calibri"/>
          <w:i/>
          <w:iCs/>
          <w:kern w:val="2"/>
          <w:lang w:val="de-DE" w:eastAsia="en-US"/>
          <w14:ligatures w14:val="standardContextual"/>
        </w:rPr>
        <w:t xml:space="preserve">[Früherer Unterabschnitt 3 umgegliedert zu Abschnitt 4 </w:t>
      </w:r>
      <w:r w:rsidR="00DB2D1B"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11 des G. vom 29. März 2024 (B.S. vom 3. Mai 2024)]</w:t>
      </w:r>
    </w:p>
    <w:p w14:paraId="10D016C9" w14:textId="77777777" w:rsidR="00351084" w:rsidRPr="004676F5" w:rsidRDefault="00351084" w:rsidP="00BE3682">
      <w:pPr>
        <w:jc w:val="both"/>
        <w:rPr>
          <w:rFonts w:eastAsia="Calibri"/>
          <w:kern w:val="2"/>
          <w:szCs w:val="22"/>
          <w:lang w:val="de-DE" w:eastAsia="en-US"/>
          <w14:ligatures w14:val="standardContextual"/>
        </w:rPr>
      </w:pPr>
    </w:p>
    <w:p w14:paraId="59DDCD1A" w14:textId="77777777" w:rsidR="007854CD" w:rsidRPr="004676F5" w:rsidRDefault="007854CD" w:rsidP="00BE3682">
      <w:pPr>
        <w:jc w:val="both"/>
        <w:rPr>
          <w:rFonts w:eastAsia="Calibri"/>
          <w:kern w:val="2"/>
          <w:lang w:val="de-DE" w:eastAsia="en-US"/>
          <w14:ligatures w14:val="standardContextual"/>
        </w:rPr>
      </w:pPr>
    </w:p>
    <w:p w14:paraId="0334A292" w14:textId="50AEE31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IV.23</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Direktionsausschuss ist mit der Leitung der Belgischen Wettbewerbsbehörde beauftragt.</w:t>
      </w:r>
    </w:p>
    <w:p w14:paraId="154D5CD6" w14:textId="77777777" w:rsidR="00BE3682" w:rsidRPr="004676F5" w:rsidRDefault="00BE3682" w:rsidP="00BE3682">
      <w:pPr>
        <w:jc w:val="both"/>
        <w:rPr>
          <w:rFonts w:eastAsia="Calibri"/>
          <w:kern w:val="2"/>
          <w:lang w:val="de-DE" w:eastAsia="en-US"/>
          <w14:ligatures w14:val="standardContextual"/>
        </w:rPr>
      </w:pPr>
    </w:p>
    <w:p w14:paraId="325BD3C8" w14:textId="77777777" w:rsidR="007854CD" w:rsidRPr="004676F5" w:rsidRDefault="007854CD" w:rsidP="00BE3682">
      <w:pPr>
        <w:jc w:val="both"/>
        <w:rPr>
          <w:rFonts w:eastAsia="Calibri"/>
          <w:kern w:val="2"/>
          <w:lang w:val="de-DE" w:eastAsia="en-US"/>
          <w14:ligatures w14:val="standardContextual"/>
        </w:rPr>
      </w:pPr>
    </w:p>
    <w:p w14:paraId="53EF2E26" w14:textId="57AF745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IV.24</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Der Direktionsausschuss setzt sich zusammen aus:</w:t>
      </w:r>
    </w:p>
    <w:p w14:paraId="19CA3F53" w14:textId="77777777" w:rsidR="00BE3682" w:rsidRPr="004676F5" w:rsidRDefault="00BE3682" w:rsidP="00BE3682">
      <w:pPr>
        <w:jc w:val="both"/>
        <w:rPr>
          <w:rFonts w:eastAsia="Calibri"/>
          <w:kern w:val="2"/>
          <w:lang w:val="de-DE" w:eastAsia="en-US"/>
          <w14:ligatures w14:val="standardContextual"/>
        </w:rPr>
      </w:pPr>
    </w:p>
    <w:p w14:paraId="7EEC0C9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dem Präsidenten,</w:t>
      </w:r>
    </w:p>
    <w:p w14:paraId="40AD15D0" w14:textId="77777777" w:rsidR="00BE3682" w:rsidRPr="004676F5" w:rsidRDefault="00BE3682" w:rsidP="00BE3682">
      <w:pPr>
        <w:jc w:val="both"/>
        <w:rPr>
          <w:rFonts w:eastAsia="Calibri"/>
          <w:kern w:val="2"/>
          <w:lang w:val="de-DE" w:eastAsia="en-US"/>
          <w14:ligatures w14:val="standardContextual"/>
        </w:rPr>
      </w:pPr>
    </w:p>
    <w:p w14:paraId="4B2AB5B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dem Generalauditor,</w:t>
      </w:r>
    </w:p>
    <w:p w14:paraId="4088F4B5" w14:textId="77777777" w:rsidR="00BE3682" w:rsidRPr="004676F5" w:rsidRDefault="00BE3682" w:rsidP="00BE3682">
      <w:pPr>
        <w:jc w:val="both"/>
        <w:rPr>
          <w:rFonts w:eastAsia="Calibri"/>
          <w:kern w:val="2"/>
          <w:lang w:val="de-DE" w:eastAsia="en-US"/>
          <w14:ligatures w14:val="standardContextual"/>
        </w:rPr>
      </w:pPr>
    </w:p>
    <w:p w14:paraId="6120A07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dem Direktor der wirtschaftlichen Angelegenheiten,</w:t>
      </w:r>
    </w:p>
    <w:p w14:paraId="3BB7DCFA" w14:textId="77777777" w:rsidR="00BE3682" w:rsidRPr="004676F5" w:rsidRDefault="00BE3682" w:rsidP="00BE3682">
      <w:pPr>
        <w:jc w:val="both"/>
        <w:rPr>
          <w:rFonts w:eastAsia="Calibri"/>
          <w:kern w:val="2"/>
          <w:lang w:val="de-DE" w:eastAsia="en-US"/>
          <w14:ligatures w14:val="standardContextual"/>
        </w:rPr>
      </w:pPr>
    </w:p>
    <w:p w14:paraId="17A53911" w14:textId="37A2C7E5"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4. dem Direktor der juristischen Angelegenheiten</w:t>
      </w:r>
      <w:r w:rsidR="00351084" w:rsidRPr="004676F5">
        <w:rPr>
          <w:rFonts w:eastAsia="Calibri"/>
          <w:kern w:val="2"/>
          <w:szCs w:val="22"/>
          <w:lang w:val="de-DE" w:eastAsia="en-US"/>
          <w14:ligatures w14:val="standardContextual"/>
        </w:rPr>
        <w:t>,</w:t>
      </w:r>
    </w:p>
    <w:p w14:paraId="4D46A55E" w14:textId="77777777" w:rsidR="00351084" w:rsidRPr="004676F5" w:rsidRDefault="00351084" w:rsidP="00BE3682">
      <w:pPr>
        <w:jc w:val="both"/>
        <w:rPr>
          <w:rFonts w:eastAsia="Calibri"/>
          <w:kern w:val="2"/>
          <w:szCs w:val="22"/>
          <w:lang w:val="de-DE" w:eastAsia="en-US"/>
          <w14:ligatures w14:val="standardContextual"/>
        </w:rPr>
      </w:pPr>
    </w:p>
    <w:p w14:paraId="62176315" w14:textId="6513F182" w:rsidR="00351084" w:rsidRPr="004676F5" w:rsidRDefault="00351084"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t>
      </w:r>
      <w:r w:rsidRPr="004676F5">
        <w:rPr>
          <w:lang w:val="de-DE"/>
        </w:rPr>
        <w:t>5. dem Direktor der Planung und des Haushalts.</w:t>
      </w:r>
      <w:r w:rsidRPr="004676F5">
        <w:rPr>
          <w:rFonts w:eastAsia="Calibri"/>
          <w:kern w:val="2"/>
          <w:szCs w:val="22"/>
          <w:lang w:val="de-DE" w:eastAsia="en-US"/>
          <w14:ligatures w14:val="standardContextual"/>
        </w:rPr>
        <w:t>]</w:t>
      </w:r>
    </w:p>
    <w:p w14:paraId="388AF746" w14:textId="77777777" w:rsidR="00BE3682" w:rsidRPr="004676F5" w:rsidRDefault="00BE3682" w:rsidP="00BE3682">
      <w:pPr>
        <w:jc w:val="both"/>
        <w:rPr>
          <w:rFonts w:eastAsia="Calibri"/>
          <w:kern w:val="2"/>
          <w:lang w:val="de-DE" w:eastAsia="en-US"/>
          <w14:ligatures w14:val="standardContextual"/>
        </w:rPr>
      </w:pPr>
    </w:p>
    <w:p w14:paraId="463D17D0" w14:textId="1A45E93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00351084" w:rsidRPr="004676F5">
        <w:rPr>
          <w:rFonts w:eastAsia="Calibri"/>
          <w:kern w:val="2"/>
          <w:szCs w:val="22"/>
          <w:lang w:val="de-DE" w:eastAsia="en-US"/>
          <w14:ligatures w14:val="standardContextual"/>
        </w:rPr>
        <w:t>[</w:t>
      </w:r>
      <w:r w:rsidR="00351084" w:rsidRPr="004676F5">
        <w:rPr>
          <w:lang w:val="de-DE"/>
        </w:rPr>
        <w:t>Mindestens zwei der fünf Mitglieder des Direktionsausschusses gehören derselben Sprachgruppe an.</w:t>
      </w:r>
      <w:r w:rsidR="00351084" w:rsidRPr="004676F5">
        <w:rPr>
          <w:rFonts w:eastAsia="Calibri"/>
          <w:kern w:val="2"/>
          <w:szCs w:val="22"/>
          <w:lang w:val="de-DE" w:eastAsia="en-US"/>
          <w14:ligatures w14:val="standardContextual"/>
        </w:rPr>
        <w:t>]</w:t>
      </w:r>
    </w:p>
    <w:p w14:paraId="30C7692B" w14:textId="77777777" w:rsidR="00BE3682" w:rsidRPr="004676F5" w:rsidRDefault="00BE3682" w:rsidP="00BE3682">
      <w:pPr>
        <w:jc w:val="both"/>
        <w:rPr>
          <w:rFonts w:eastAsia="Calibri"/>
          <w:kern w:val="2"/>
          <w:lang w:val="de-DE" w:eastAsia="en-US"/>
          <w14:ligatures w14:val="standardContextual"/>
        </w:rPr>
      </w:pPr>
    </w:p>
    <w:p w14:paraId="6D1A71F5"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Bei begründeter Nichtverfügbarkeit des Präsidenten führt das älteste anwesende Mitglied den Vorsitz.</w:t>
      </w:r>
    </w:p>
    <w:p w14:paraId="051AB6EE" w14:textId="77777777" w:rsidR="00FB55E9" w:rsidRPr="004676F5" w:rsidRDefault="00FB55E9" w:rsidP="00BE3682">
      <w:pPr>
        <w:jc w:val="both"/>
        <w:rPr>
          <w:rFonts w:eastAsia="Calibri"/>
          <w:kern w:val="2"/>
          <w:szCs w:val="22"/>
          <w:lang w:val="de-DE" w:eastAsia="en-US"/>
          <w14:ligatures w14:val="standardContextual"/>
        </w:rPr>
      </w:pPr>
    </w:p>
    <w:p w14:paraId="2D82DC63" w14:textId="20726363" w:rsidR="00FB55E9" w:rsidRPr="004676F5" w:rsidRDefault="00FB55E9"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w:t>
      </w:r>
      <w:r w:rsidRPr="004676F5">
        <w:rPr>
          <w:lang w:val="de-DE"/>
        </w:rPr>
        <w:t>In allen Angelegenheiten, die die Anwendung der Wettbewerbsregeln betreffen, wie sie unter anderem in Artikel IV.25 Nr. 2 und 4 vorgesehen sind, haben nur der Präsident, der Generalauditor, der Direktor der wirtschaftlichen Angelegenheiten und der Direktor der juristischen Angelegenheiten Stimmrecht. Bei Stimmengleichheit in diesen Angelegenheiten ist die Stimme des Präsidenten ausschlaggebend. Bei begründeter Nichtverfügbarkeit des Präsidenten führt das anwesende Mitglied, das unter dem Generalauditor, dem Direktor der wirtschaftlichen Angelegenheiten und dem Direktor der juristischen Angelegenheiten am ältesten ist, für diese Angelegenheiten den Vorsitz des Direktionsausschusses.</w:t>
      </w:r>
      <w:r w:rsidRPr="004676F5">
        <w:rPr>
          <w:rFonts w:eastAsia="Calibri"/>
          <w:kern w:val="2"/>
          <w:szCs w:val="22"/>
          <w:lang w:val="de-DE" w:eastAsia="en-US"/>
          <w14:ligatures w14:val="standardContextual"/>
        </w:rPr>
        <w:t>]</w:t>
      </w:r>
    </w:p>
    <w:p w14:paraId="2A92ADF4" w14:textId="77777777" w:rsidR="00BE3682" w:rsidRPr="004676F5" w:rsidRDefault="00BE3682" w:rsidP="00BE3682">
      <w:pPr>
        <w:jc w:val="both"/>
        <w:rPr>
          <w:rFonts w:eastAsia="Calibri"/>
          <w:kern w:val="2"/>
          <w:lang w:val="de-DE" w:eastAsia="en-US"/>
          <w14:ligatures w14:val="standardContextual"/>
        </w:rPr>
      </w:pPr>
    </w:p>
    <w:p w14:paraId="58283D7C" w14:textId="4580EEA8"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 2 ­ </w:t>
      </w:r>
      <w:r w:rsidR="00FB55E9" w:rsidRPr="004676F5">
        <w:rPr>
          <w:rFonts w:eastAsia="Calibri"/>
          <w:kern w:val="2"/>
          <w:szCs w:val="22"/>
          <w:lang w:val="de-DE" w:eastAsia="en-US"/>
          <w14:ligatures w14:val="standardContextual"/>
        </w:rPr>
        <w:t>[</w:t>
      </w:r>
      <w:r w:rsidR="00FB55E9" w:rsidRPr="004676F5">
        <w:rPr>
          <w:lang w:val="de-DE"/>
        </w:rPr>
        <w:t>Der Direktor der wirtschaftlichen Angelegenheiten, der Direktor der juristischen Angelegenheiten und der Direktor der Planung und des Haushalts</w:t>
      </w:r>
      <w:r w:rsidR="00FB55E9"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werden nach einer Prüfung der beruflichen Eignung wie in </w:t>
      </w:r>
      <w:r w:rsidR="0092239B"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Artikel IV.17 § </w:t>
      </w:r>
      <w:r w:rsidR="0092239B" w:rsidRPr="004676F5">
        <w:rPr>
          <w:rFonts w:eastAsia="Calibri"/>
          <w:kern w:val="2"/>
          <w:szCs w:val="22"/>
          <w:lang w:val="de-DE" w:eastAsia="en-US"/>
          <w14:ligatures w14:val="standardContextual"/>
        </w:rPr>
        <w:t>3]</w:t>
      </w:r>
      <w:r w:rsidRPr="004676F5">
        <w:rPr>
          <w:rFonts w:eastAsia="Calibri"/>
          <w:kern w:val="2"/>
          <w:szCs w:val="22"/>
          <w:lang w:val="de-DE" w:eastAsia="en-US"/>
          <w14:ligatures w14:val="standardContextual"/>
        </w:rPr>
        <w:t xml:space="preserve"> erwähnt vom König durch einen im Ministerrat beratenen Erlass für ein erneuerbares Mandat von sechs Jahren ernannt.</w:t>
      </w:r>
    </w:p>
    <w:p w14:paraId="1ACBA1B4" w14:textId="77777777" w:rsidR="00BE3682" w:rsidRPr="004676F5" w:rsidRDefault="00BE3682" w:rsidP="00BE3682">
      <w:pPr>
        <w:jc w:val="both"/>
        <w:rPr>
          <w:rFonts w:eastAsia="Calibri"/>
          <w:kern w:val="2"/>
          <w:lang w:val="de-DE" w:eastAsia="en-US"/>
          <w14:ligatures w14:val="standardContextual"/>
        </w:rPr>
      </w:pPr>
    </w:p>
    <w:p w14:paraId="11074033" w14:textId="24BAF72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 3 ­ </w:t>
      </w:r>
      <w:r w:rsidR="00FB55E9" w:rsidRPr="004676F5">
        <w:rPr>
          <w:rFonts w:eastAsia="Calibri"/>
          <w:kern w:val="2"/>
          <w:szCs w:val="22"/>
          <w:lang w:val="de-DE" w:eastAsia="en-US"/>
          <w14:ligatures w14:val="standardContextual"/>
        </w:rPr>
        <w:t>[</w:t>
      </w:r>
      <w:r w:rsidR="00FB55E9" w:rsidRPr="004676F5">
        <w:rPr>
          <w:lang w:val="de-DE"/>
        </w:rPr>
        <w:t>Der Direktor der wirtschaftlichen Angelegenheiten, der Direktor der juristischen Angelegenheiten und der Direktor der Planung und des Haushalts</w:t>
      </w:r>
      <w:r w:rsidR="00FB55E9"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werden durch Königlichen Erlass in den Ruhestand versetzt, wenn sie wegen eines schweren und bleibenden Gebrechens ihr Amt nicht mehr ordnungsgemäß ausüben können, und zwar unter Einhaltung von Artikel 117 des Gesetzes vom 14. Februar 1961 über den Wirtschaftsaufschwung, den sozialen Fortschritt und die Sanierung der Finanzen.</w:t>
      </w:r>
    </w:p>
    <w:p w14:paraId="5E3694C8" w14:textId="77777777" w:rsidR="00BE3682" w:rsidRPr="004676F5" w:rsidRDefault="00BE3682" w:rsidP="00BE3682">
      <w:pPr>
        <w:jc w:val="both"/>
        <w:rPr>
          <w:rFonts w:eastAsia="Calibri"/>
          <w:kern w:val="2"/>
          <w:lang w:val="de-DE" w:eastAsia="en-US"/>
          <w14:ligatures w14:val="standardContextual"/>
        </w:rPr>
      </w:pPr>
    </w:p>
    <w:p w14:paraId="784C7855" w14:textId="44EDF62B" w:rsidR="0092239B" w:rsidRPr="004676F5" w:rsidRDefault="0092239B"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[Art. IV.24 </w:t>
      </w:r>
      <w:r w:rsidR="00351084" w:rsidRPr="004676F5">
        <w:rPr>
          <w:rFonts w:eastAsia="Calibri"/>
          <w:i/>
          <w:iCs/>
          <w:kern w:val="2"/>
          <w:lang w:val="de-DE" w:eastAsia="en-US"/>
          <w14:ligatures w14:val="standardContextual"/>
        </w:rPr>
        <w:t xml:space="preserve">§ 1 Abs. 1 Nr. 5 eingefügt durch Art. 12 Nr. 1 des G. vom 29. März 2024 (B.S. vom 3. Mai 2024); § 1 Abs. 2 ersetzt durch Art. 12 Nr. 2 des G. vom 29. März 2024 (B.S. vom 3. Mai 2024); </w:t>
      </w:r>
      <w:r w:rsidR="00FB55E9" w:rsidRPr="004676F5">
        <w:rPr>
          <w:rFonts w:eastAsia="Calibri"/>
          <w:i/>
          <w:iCs/>
          <w:kern w:val="2"/>
          <w:lang w:val="de-DE" w:eastAsia="en-US"/>
          <w14:ligatures w14:val="standardContextual"/>
        </w:rPr>
        <w:t xml:space="preserve">§ 1 Abs. 4 eingefügt durch Art. 12 Nr. 3 des G. vom 29. März 2024 (B.S. vom 3. Mai 2024); </w:t>
      </w:r>
      <w:r w:rsidRPr="004676F5">
        <w:rPr>
          <w:rFonts w:eastAsia="Calibri"/>
          <w:i/>
          <w:iCs/>
          <w:kern w:val="2"/>
          <w:lang w:val="de-DE" w:eastAsia="en-US"/>
          <w14:ligatures w14:val="standardContextual"/>
        </w:rPr>
        <w:t>§ 2 abgeändert durch</w:t>
      </w:r>
      <w:r w:rsidR="00351084" w:rsidRPr="004676F5">
        <w:rPr>
          <w:rFonts w:eastAsia="Calibri"/>
          <w:i/>
          <w:iCs/>
          <w:kern w:val="2"/>
          <w:lang w:val="de-DE" w:eastAsia="en-US"/>
          <w14:ligatures w14:val="standardContextual"/>
        </w:rPr>
        <w:t xml:space="preserve"> </w:t>
      </w:r>
      <w:r w:rsidRPr="004676F5">
        <w:rPr>
          <w:rFonts w:eastAsia="Calibri"/>
          <w:i/>
          <w:iCs/>
          <w:kern w:val="2"/>
          <w:lang w:val="de-DE" w:eastAsia="en-US"/>
          <w14:ligatures w14:val="standardContextual"/>
        </w:rPr>
        <w:t>Art. 2 des G. vom 2. Februar 2021 (B.S. vom 11. Februar 2021)</w:t>
      </w:r>
      <w:r w:rsidR="00FB55E9" w:rsidRPr="004676F5">
        <w:rPr>
          <w:rFonts w:eastAsia="Calibri"/>
          <w:i/>
          <w:iCs/>
          <w:kern w:val="2"/>
          <w:lang w:val="de-DE" w:eastAsia="en-US"/>
          <w14:ligatures w14:val="standardContextual"/>
        </w:rPr>
        <w:t xml:space="preserve"> und Art. 12 Nr. 4 des G. vom 29. März 2024 (B.S. vom 3. Mai 2024); § 3 abgeändert durch Art. 12 Nr. 5 des G. vom 29. März 2024 (B.S. vom 3. Mai 2024)</w:t>
      </w:r>
      <w:r w:rsidRPr="004676F5">
        <w:rPr>
          <w:rFonts w:eastAsia="Calibri"/>
          <w:i/>
          <w:iCs/>
          <w:kern w:val="2"/>
          <w:lang w:val="de-DE" w:eastAsia="en-US"/>
          <w14:ligatures w14:val="standardContextual"/>
        </w:rPr>
        <w:t>]</w:t>
      </w:r>
    </w:p>
    <w:p w14:paraId="54E36FB9" w14:textId="77777777" w:rsidR="0092239B" w:rsidRPr="004676F5" w:rsidRDefault="0092239B" w:rsidP="00BE3682">
      <w:pPr>
        <w:jc w:val="both"/>
        <w:rPr>
          <w:rFonts w:eastAsia="Calibri"/>
          <w:i/>
          <w:iCs/>
          <w:kern w:val="2"/>
          <w:lang w:val="de-DE" w:eastAsia="en-US"/>
          <w14:ligatures w14:val="standardContextual"/>
        </w:rPr>
      </w:pPr>
    </w:p>
    <w:p w14:paraId="17356940" w14:textId="77777777" w:rsidR="007854CD" w:rsidRPr="004676F5" w:rsidRDefault="007854CD" w:rsidP="00BE3682">
      <w:pPr>
        <w:jc w:val="both"/>
        <w:rPr>
          <w:rFonts w:eastAsia="Calibri"/>
          <w:kern w:val="2"/>
          <w:lang w:val="de-DE" w:eastAsia="en-US"/>
          <w14:ligatures w14:val="standardContextual"/>
        </w:rPr>
      </w:pPr>
    </w:p>
    <w:p w14:paraId="6EF69598" w14:textId="529626F4"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IV.25</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Direktionsausschuss ist unter anderem beauftragt mit:</w:t>
      </w:r>
    </w:p>
    <w:p w14:paraId="04D5D95D" w14:textId="77777777" w:rsidR="00BE3682" w:rsidRPr="004676F5" w:rsidRDefault="00BE3682" w:rsidP="00BE3682">
      <w:pPr>
        <w:jc w:val="both"/>
        <w:rPr>
          <w:rFonts w:eastAsia="Calibri"/>
          <w:kern w:val="2"/>
          <w:lang w:val="de-DE" w:eastAsia="en-US"/>
          <w14:ligatures w14:val="standardContextual"/>
        </w:rPr>
      </w:pPr>
    </w:p>
    <w:p w14:paraId="1B00830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Organisation und Zusammensetzung des Dienstes des Präsidenten, des Auditorats und des Sekretariats,</w:t>
      </w:r>
    </w:p>
    <w:p w14:paraId="7DB06163" w14:textId="77777777" w:rsidR="00BE3682" w:rsidRPr="004676F5" w:rsidRDefault="00BE3682" w:rsidP="00BE3682">
      <w:pPr>
        <w:jc w:val="both"/>
        <w:rPr>
          <w:rFonts w:eastAsia="Calibri"/>
          <w:kern w:val="2"/>
          <w:lang w:val="de-DE" w:eastAsia="en-US"/>
          <w14:ligatures w14:val="standardContextual"/>
        </w:rPr>
      </w:pPr>
    </w:p>
    <w:p w14:paraId="729500B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Festlegung von Leitlinien und Bekanntmachungen in Bezug auf die Anwendung der Wettbewerbsregeln und des vorliegenden Buches,</w:t>
      </w:r>
    </w:p>
    <w:p w14:paraId="594A0A2E" w14:textId="77777777" w:rsidR="00BE3682" w:rsidRPr="004676F5" w:rsidRDefault="00BE3682" w:rsidP="00BE3682">
      <w:pPr>
        <w:jc w:val="both"/>
        <w:rPr>
          <w:rFonts w:eastAsia="Calibri"/>
          <w:kern w:val="2"/>
          <w:lang w:val="de-DE" w:eastAsia="en-US"/>
          <w14:ligatures w14:val="standardContextual"/>
        </w:rPr>
      </w:pPr>
    </w:p>
    <w:p w14:paraId="0875777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Erstellung eines jährlichen Berichts, in dem nach Stellungnahme des Ministers die Prioritäten der Belgischen Wettbewerbsbehörde im Bereich der Geschäftsführung festgelegt werden,</w:t>
      </w:r>
    </w:p>
    <w:p w14:paraId="1D756B53" w14:textId="77777777" w:rsidR="00BE3682" w:rsidRPr="004676F5" w:rsidRDefault="00BE3682" w:rsidP="00BE3682">
      <w:pPr>
        <w:jc w:val="both"/>
        <w:rPr>
          <w:rFonts w:eastAsia="Calibri"/>
          <w:kern w:val="2"/>
          <w:lang w:val="de-DE" w:eastAsia="en-US"/>
          <w14:ligatures w14:val="standardContextual"/>
        </w:rPr>
      </w:pPr>
    </w:p>
    <w:p w14:paraId="3CA3072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4. Ausübung der Befugnisse, die der Belgischen Wettbewerbsbehörde aufgrund der Artikel IV.5 § 1, IV.7 § 2, IV.10 § 3, IV.15, IV.16 §§ 4 und 6, IV.69 § 2 Absatz 4 und IV.88 zuerkannt werden,</w:t>
      </w:r>
    </w:p>
    <w:p w14:paraId="55552466" w14:textId="77777777" w:rsidR="00BE3682" w:rsidRPr="004676F5" w:rsidRDefault="00BE3682" w:rsidP="00BE3682">
      <w:pPr>
        <w:jc w:val="both"/>
        <w:rPr>
          <w:rFonts w:eastAsia="Calibri"/>
          <w:kern w:val="2"/>
          <w:lang w:val="de-DE" w:eastAsia="en-US"/>
          <w14:ligatures w14:val="standardContextual"/>
        </w:rPr>
      </w:pPr>
    </w:p>
    <w:p w14:paraId="3E624BB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5. Erstellung des jährlichen Tätigkeitsberichts, der der Abgeordnetenkammer übermittelt wird.</w:t>
      </w:r>
    </w:p>
    <w:p w14:paraId="5BFFDCE9" w14:textId="03C23CE6" w:rsidR="00542FBC" w:rsidRPr="004676F5" w:rsidRDefault="00542FBC">
      <w:pPr>
        <w:rPr>
          <w:rFonts w:eastAsia="Calibri"/>
          <w:kern w:val="2"/>
          <w:lang w:val="de-DE" w:eastAsia="en-US"/>
          <w14:ligatures w14:val="standardContextual"/>
        </w:rPr>
      </w:pPr>
      <w:r w:rsidRPr="004676F5">
        <w:rPr>
          <w:rFonts w:eastAsia="Calibri"/>
          <w:kern w:val="2"/>
          <w:lang w:val="de-DE" w:eastAsia="en-US"/>
          <w14:ligatures w14:val="standardContextual"/>
        </w:rPr>
        <w:br w:type="page"/>
      </w:r>
    </w:p>
    <w:p w14:paraId="4DA6E738" w14:textId="77777777" w:rsidR="00BE3682" w:rsidRPr="004676F5" w:rsidRDefault="00BE3682" w:rsidP="00BE3682">
      <w:pPr>
        <w:jc w:val="both"/>
        <w:rPr>
          <w:rFonts w:eastAsia="Calibri"/>
          <w:kern w:val="2"/>
          <w:lang w:val="de-DE" w:eastAsia="en-US"/>
          <w14:ligatures w14:val="standardContextual"/>
        </w:rPr>
      </w:pPr>
    </w:p>
    <w:p w14:paraId="013250E9" w14:textId="77777777" w:rsidR="007B7321" w:rsidRPr="004676F5" w:rsidRDefault="007B7321" w:rsidP="002D53BD">
      <w:pPr>
        <w:jc w:val="both"/>
        <w:rPr>
          <w:rFonts w:eastAsia="Calibri"/>
          <w:kern w:val="2"/>
          <w:szCs w:val="22"/>
          <w:lang w:val="de-DE" w:eastAsia="en-US"/>
          <w14:ligatures w14:val="standardContextual"/>
        </w:rPr>
      </w:pPr>
    </w:p>
    <w:p w14:paraId="01CAB548" w14:textId="41AF4EF7" w:rsidR="00BE3682" w:rsidRPr="004676F5" w:rsidRDefault="00FB55E9"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5</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DB2D1B"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Generalauditor und Auditorat</w:t>
      </w:r>
      <w:r w:rsidR="00DB2D1B" w:rsidRPr="004676F5">
        <w:rPr>
          <w:rFonts w:eastAsia="Calibri"/>
          <w:kern w:val="2"/>
          <w:szCs w:val="22"/>
          <w:lang w:val="de-DE" w:eastAsia="en-US"/>
          <w14:ligatures w14:val="standardContextual"/>
        </w:rPr>
        <w:softHyphen/>
        <w:t>]</w:t>
      </w:r>
    </w:p>
    <w:p w14:paraId="58994E71" w14:textId="77777777" w:rsidR="00BE3682" w:rsidRPr="004676F5" w:rsidRDefault="00BE3682" w:rsidP="00BE3682">
      <w:pPr>
        <w:jc w:val="both"/>
        <w:rPr>
          <w:rFonts w:eastAsia="Calibri"/>
          <w:kern w:val="2"/>
          <w:lang w:val="de-DE" w:eastAsia="en-US"/>
          <w14:ligatures w14:val="standardContextual"/>
        </w:rPr>
      </w:pPr>
    </w:p>
    <w:p w14:paraId="008A909D" w14:textId="5298C187" w:rsidR="00FB55E9" w:rsidRPr="004676F5" w:rsidRDefault="00FB55E9" w:rsidP="00FB55E9">
      <w:pPr>
        <w:jc w:val="both"/>
        <w:rPr>
          <w:rFonts w:eastAsia="Calibri"/>
          <w:kern w:val="2"/>
          <w:szCs w:val="22"/>
          <w:lang w:val="de-DE" w:eastAsia="en-US"/>
          <w14:ligatures w14:val="standardContextual"/>
        </w:rPr>
      </w:pPr>
      <w:r w:rsidRPr="004676F5">
        <w:rPr>
          <w:rFonts w:eastAsia="Calibri"/>
          <w:i/>
          <w:iCs/>
          <w:kern w:val="2"/>
          <w:lang w:val="de-DE" w:eastAsia="en-US"/>
          <w14:ligatures w14:val="standardContextual"/>
        </w:rPr>
        <w:t xml:space="preserve">[Früherer Unterabschnitt 4 umgegliedert zu Abschnitt 5 </w:t>
      </w:r>
      <w:r w:rsidR="00DB2D1B"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13 des G. vom 29. März 2024 (B.S. vom 3. Mai 2024)]</w:t>
      </w:r>
    </w:p>
    <w:p w14:paraId="434671DA" w14:textId="77777777" w:rsidR="00FB55E9" w:rsidRPr="004676F5" w:rsidRDefault="00FB55E9" w:rsidP="00BE3682">
      <w:pPr>
        <w:jc w:val="both"/>
        <w:rPr>
          <w:rFonts w:eastAsia="Calibri"/>
          <w:kern w:val="2"/>
          <w:lang w:val="de-DE" w:eastAsia="en-US"/>
          <w14:ligatures w14:val="standardContextual"/>
        </w:rPr>
      </w:pPr>
    </w:p>
    <w:p w14:paraId="167FD06E" w14:textId="77777777" w:rsidR="007854CD" w:rsidRPr="004676F5" w:rsidRDefault="007854CD" w:rsidP="00BE3682">
      <w:pPr>
        <w:jc w:val="both"/>
        <w:rPr>
          <w:rFonts w:eastAsia="Calibri"/>
          <w:kern w:val="2"/>
          <w:lang w:val="de-DE" w:eastAsia="en-US"/>
          <w14:ligatures w14:val="standardContextual"/>
        </w:rPr>
      </w:pPr>
    </w:p>
    <w:p w14:paraId="0C63233E" w14:textId="6F415D6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IV.26</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Der Generalauditor wird vom König durch einen im Ministerrat beratenen Erlass für ein einmal erneuerbares Mandat von sechs Jahren ernannt.</w:t>
      </w:r>
    </w:p>
    <w:p w14:paraId="524BB200" w14:textId="77777777" w:rsidR="00BE3682" w:rsidRPr="004676F5" w:rsidRDefault="00BE3682" w:rsidP="00BE3682">
      <w:pPr>
        <w:jc w:val="both"/>
        <w:rPr>
          <w:rFonts w:eastAsia="Calibri"/>
          <w:kern w:val="2"/>
          <w:lang w:val="de-DE" w:eastAsia="en-US"/>
          <w14:ligatures w14:val="standardContextual"/>
        </w:rPr>
      </w:pPr>
    </w:p>
    <w:p w14:paraId="3CF897D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Um zum Generalauditor ernannt zu werden, muss der Kandidat die in Artikel IV.17 § 3 erwähnten Ernennungsbedingungen erfüllen, die für den Präsidenten festgelegt sind.</w:t>
      </w:r>
    </w:p>
    <w:p w14:paraId="27E61E40" w14:textId="77777777" w:rsidR="00BE3682" w:rsidRPr="004676F5" w:rsidRDefault="00BE3682" w:rsidP="00BE3682">
      <w:pPr>
        <w:jc w:val="both"/>
        <w:rPr>
          <w:rFonts w:eastAsia="Calibri"/>
          <w:kern w:val="2"/>
          <w:lang w:val="de-DE" w:eastAsia="en-US"/>
          <w14:ligatures w14:val="standardContextual"/>
        </w:rPr>
      </w:pPr>
    </w:p>
    <w:p w14:paraId="42233C7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Gegebenenfalls wird die Ausübung des Amtes als Generalauditor als ein Auftrag im Sinne von Artikel 323</w:t>
      </w:r>
      <w:r w:rsidRPr="004676F5">
        <w:rPr>
          <w:rFonts w:eastAsia="Calibri"/>
          <w:i/>
          <w:iCs/>
          <w:kern w:val="2"/>
          <w:szCs w:val="22"/>
          <w:lang w:val="de-DE" w:eastAsia="en-US"/>
          <w14:ligatures w14:val="standardContextual"/>
        </w:rPr>
        <w:t>bis</w:t>
      </w:r>
      <w:r w:rsidRPr="004676F5">
        <w:rPr>
          <w:rFonts w:eastAsia="Calibri"/>
          <w:kern w:val="2"/>
          <w:szCs w:val="22"/>
          <w:lang w:val="de-DE" w:eastAsia="en-US"/>
          <w14:ligatures w14:val="standardContextual"/>
        </w:rPr>
        <w:t xml:space="preserve"> § 1 des Gerichtsgesetzbuches angesehen.</w:t>
      </w:r>
    </w:p>
    <w:p w14:paraId="5CD46CF0" w14:textId="77777777" w:rsidR="00BE3682" w:rsidRPr="004676F5" w:rsidRDefault="00BE3682" w:rsidP="00BE3682">
      <w:pPr>
        <w:jc w:val="both"/>
        <w:rPr>
          <w:rFonts w:eastAsia="Calibri"/>
          <w:kern w:val="2"/>
          <w:lang w:val="de-DE" w:eastAsia="en-US"/>
          <w14:ligatures w14:val="standardContextual"/>
        </w:rPr>
      </w:pPr>
    </w:p>
    <w:p w14:paraId="5C6411B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Der Generalauditor wird durch Königlichen Erlass in den Ruhestand versetzt, wenn er wegen eines schweren und bleibenden Gebrechens sein Amt nicht mehr ordnungsgemäß ausüben kann, und zwar unter Einhaltung von Artikel 117 des Gesetzes vom 14. Februar 1961 über den Wirtschaftsaufschwung, den sozialen Fortschritt und die Sanierung der Finanzen.</w:t>
      </w:r>
    </w:p>
    <w:p w14:paraId="0609AF12" w14:textId="77777777" w:rsidR="00BE3682" w:rsidRPr="004676F5" w:rsidRDefault="00BE3682" w:rsidP="00BE3682">
      <w:pPr>
        <w:jc w:val="both"/>
        <w:rPr>
          <w:rFonts w:eastAsia="Calibri"/>
          <w:kern w:val="2"/>
          <w:lang w:val="de-DE" w:eastAsia="en-US"/>
          <w14:ligatures w14:val="standardContextual"/>
        </w:rPr>
      </w:pPr>
    </w:p>
    <w:p w14:paraId="3C8E017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Der Generalauditor ist unter anderem damit beauftragt:</w:t>
      </w:r>
    </w:p>
    <w:p w14:paraId="2EDBB183" w14:textId="77777777" w:rsidR="00BE3682" w:rsidRPr="004676F5" w:rsidRDefault="00BE3682" w:rsidP="00BE3682">
      <w:pPr>
        <w:jc w:val="both"/>
        <w:rPr>
          <w:rFonts w:eastAsia="Calibri"/>
          <w:kern w:val="2"/>
          <w:lang w:val="de-DE" w:eastAsia="en-US"/>
          <w14:ligatures w14:val="standardContextual"/>
        </w:rPr>
      </w:pPr>
    </w:p>
    <w:p w14:paraId="3D35C2A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das Auditorat zu leiten,</w:t>
      </w:r>
    </w:p>
    <w:p w14:paraId="52799F97" w14:textId="77777777" w:rsidR="00BE3682" w:rsidRPr="004676F5" w:rsidRDefault="00BE3682" w:rsidP="00BE3682">
      <w:pPr>
        <w:jc w:val="both"/>
        <w:rPr>
          <w:rFonts w:eastAsia="Calibri"/>
          <w:kern w:val="2"/>
          <w:lang w:val="de-DE" w:eastAsia="en-US"/>
          <w14:ligatures w14:val="standardContextual"/>
        </w:rPr>
      </w:pPr>
    </w:p>
    <w:p w14:paraId="1EEC47AA" w14:textId="14EFC62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2. Klagen, Anträge und Anweisungen in Bezug auf </w:t>
      </w:r>
      <w:r w:rsidR="00380818" w:rsidRPr="004676F5">
        <w:rPr>
          <w:rFonts w:eastAsia="Calibri"/>
          <w:kern w:val="2"/>
          <w:szCs w:val="22"/>
          <w:lang w:val="de-DE" w:eastAsia="en-US"/>
          <w14:ligatures w14:val="standardContextual"/>
        </w:rPr>
        <w:t>[</w:t>
      </w:r>
      <w:r w:rsidR="00380818" w:rsidRPr="004676F5">
        <w:rPr>
          <w:lang w:val="de-DE"/>
        </w:rPr>
        <w:t>Zuwiderhandlungen gegen das Wettbewerbsrecht</w:t>
      </w:r>
      <w:r w:rsidR="00380818"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entgegenzunehmen,</w:t>
      </w:r>
    </w:p>
    <w:p w14:paraId="6985F622" w14:textId="77777777" w:rsidR="00BE3682" w:rsidRPr="004676F5" w:rsidRDefault="00BE3682" w:rsidP="00BE3682">
      <w:pPr>
        <w:jc w:val="both"/>
        <w:rPr>
          <w:rFonts w:eastAsia="Calibri"/>
          <w:kern w:val="2"/>
          <w:lang w:val="de-DE" w:eastAsia="en-US"/>
          <w14:ligatures w14:val="standardContextual"/>
        </w:rPr>
      </w:pPr>
    </w:p>
    <w:p w14:paraId="53406B17"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3. in den in Artikel IV.39 erwähnten Fällen eine Untersuchung einzuleiten und die Reihenfolge, in der die Sachen behandelt werden, nach Stellungnahme des Direktors der wirtschaftlichen Angelegenheiten festzulegen,</w:t>
      </w:r>
    </w:p>
    <w:p w14:paraId="658CBAC0" w14:textId="77777777" w:rsidR="00FB55E9" w:rsidRPr="004676F5" w:rsidRDefault="00FB55E9" w:rsidP="00BE3682">
      <w:pPr>
        <w:jc w:val="both"/>
        <w:rPr>
          <w:rFonts w:eastAsia="Calibri"/>
          <w:kern w:val="2"/>
          <w:szCs w:val="22"/>
          <w:lang w:val="de-DE" w:eastAsia="en-US"/>
          <w14:ligatures w14:val="standardContextual"/>
        </w:rPr>
      </w:pPr>
    </w:p>
    <w:p w14:paraId="0F418D4C" w14:textId="6E6065C5" w:rsidR="00FB55E9" w:rsidRPr="004676F5" w:rsidRDefault="00FB55E9"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t>
      </w:r>
      <w:r w:rsidRPr="004676F5">
        <w:rPr>
          <w:lang w:val="de-DE"/>
        </w:rPr>
        <w:t>3/1. eine Untersuchung im Sinne von Artikel 38 Absatz 7 der Verordnung (EU) 2022/1925 einzuleiten,</w:t>
      </w:r>
      <w:r w:rsidRPr="004676F5">
        <w:rPr>
          <w:rFonts w:eastAsia="Calibri"/>
          <w:kern w:val="2"/>
          <w:szCs w:val="22"/>
          <w:lang w:val="de-DE" w:eastAsia="en-US"/>
          <w14:ligatures w14:val="standardContextual"/>
        </w:rPr>
        <w:t>]</w:t>
      </w:r>
    </w:p>
    <w:p w14:paraId="69592B0B" w14:textId="77777777" w:rsidR="00BE3682" w:rsidRPr="004676F5" w:rsidRDefault="00BE3682" w:rsidP="00BE3682">
      <w:pPr>
        <w:jc w:val="both"/>
        <w:rPr>
          <w:rFonts w:eastAsia="Calibri"/>
          <w:kern w:val="2"/>
          <w:lang w:val="de-DE" w:eastAsia="en-US"/>
          <w14:ligatures w14:val="standardContextual"/>
        </w:rPr>
      </w:pPr>
    </w:p>
    <w:p w14:paraId="1CD52F1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4. Anmeldungen von Zusammenschlüssen entgegenzunehmen,</w:t>
      </w:r>
    </w:p>
    <w:p w14:paraId="397C8D5A" w14:textId="77777777" w:rsidR="00BE3682" w:rsidRPr="004676F5" w:rsidRDefault="00BE3682" w:rsidP="00BE3682">
      <w:pPr>
        <w:jc w:val="both"/>
        <w:rPr>
          <w:rFonts w:eastAsia="Calibri"/>
          <w:kern w:val="2"/>
          <w:lang w:val="de-DE" w:eastAsia="en-US"/>
          <w14:ligatures w14:val="standardContextual"/>
        </w:rPr>
      </w:pPr>
    </w:p>
    <w:p w14:paraId="7A47832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5. die allgemeine Leitung der vom Auditor durchgeführten Untersuchung zu gewährleisten und im Falle einer begründeten vorübergehenden Nichtverfügbarkeit des Auditors vorübergehend die Aufgabe des Auditors in einer Sache zu übernehmen,</w:t>
      </w:r>
    </w:p>
    <w:p w14:paraId="248001C8" w14:textId="77777777" w:rsidR="00BE3682" w:rsidRPr="004676F5" w:rsidRDefault="00BE3682" w:rsidP="00BE3682">
      <w:pPr>
        <w:jc w:val="both"/>
        <w:rPr>
          <w:rFonts w:eastAsia="Calibri"/>
          <w:kern w:val="2"/>
          <w:lang w:val="de-DE" w:eastAsia="en-US"/>
          <w14:ligatures w14:val="standardContextual"/>
        </w:rPr>
      </w:pPr>
    </w:p>
    <w:p w14:paraId="5DD1248E" w14:textId="47FB6B94"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6. </w:t>
      </w:r>
      <w:r w:rsidR="00FB55E9" w:rsidRPr="004676F5">
        <w:rPr>
          <w:rFonts w:eastAsia="Calibri"/>
          <w:kern w:val="2"/>
          <w:szCs w:val="22"/>
          <w:lang w:val="de-DE" w:eastAsia="en-US"/>
          <w14:ligatures w14:val="standardContextual"/>
        </w:rPr>
        <w:t>[</w:t>
      </w:r>
      <w:r w:rsidR="00FB55E9" w:rsidRPr="004676F5">
        <w:rPr>
          <w:lang w:val="de-DE"/>
        </w:rPr>
        <w:t>Dienstaufträge zu erteilen, wenn Personalmitglieder der Belgischen Wettbewerbsbehörde Beamte der Europäischen Kommission bei einer Nachprüfung unterstützen, die von der Europäischen Kommission in Anwendung von Artikel 20 der Verordnung (EG) Nr. 1/2003 angeordnet wird, und wenn Personalmitglieder der Belgischen Wettbewerbsbehörde eine Nachprüfung im Namen und für Rechnung der Wettbewerbsbehörde eines anderen Mitgliedstaats der Europäischen Union aufgrund von Artikel 22 der Verordnung (EG) Nr. 1/2003 durchführen,</w:t>
      </w:r>
      <w:r w:rsidR="00FB55E9" w:rsidRPr="004676F5">
        <w:rPr>
          <w:rFonts w:eastAsia="Calibri"/>
          <w:kern w:val="2"/>
          <w:szCs w:val="22"/>
          <w:lang w:val="de-DE" w:eastAsia="en-US"/>
          <w14:ligatures w14:val="standardContextual"/>
        </w:rPr>
        <w:t>]</w:t>
      </w:r>
    </w:p>
    <w:p w14:paraId="3B743FB1" w14:textId="77777777" w:rsidR="00BE3682" w:rsidRPr="004676F5" w:rsidRDefault="00BE3682" w:rsidP="00BE3682">
      <w:pPr>
        <w:jc w:val="both"/>
        <w:rPr>
          <w:rFonts w:eastAsia="Calibri"/>
          <w:kern w:val="2"/>
          <w:lang w:val="de-DE" w:eastAsia="en-US"/>
          <w14:ligatures w14:val="standardContextual"/>
        </w:rPr>
      </w:pPr>
    </w:p>
    <w:p w14:paraId="75BC368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7. darauf zu achten, dass Entscheidungen des Wettbewerbskollegiums, des Auditors und des Märktegerichtshofes im Bereich der Wettbewerbsregeln ausgeführt werden,</w:t>
      </w:r>
    </w:p>
    <w:p w14:paraId="5085A37A" w14:textId="77777777" w:rsidR="00BE3682" w:rsidRPr="004676F5" w:rsidRDefault="00BE3682" w:rsidP="00BE3682">
      <w:pPr>
        <w:jc w:val="both"/>
        <w:rPr>
          <w:rFonts w:eastAsia="Calibri"/>
          <w:kern w:val="2"/>
          <w:lang w:val="de-DE" w:eastAsia="en-US"/>
          <w14:ligatures w14:val="standardContextual"/>
        </w:rPr>
      </w:pPr>
    </w:p>
    <w:p w14:paraId="31DD5AA9" w14:textId="2DACB9E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8. die Belgische Wettbewerbsbehörde in den in Artikel IV.90 erwähnten Verfahren zu vertreten, wenn gegen eine Entscheidung des Generalauditors oder des Auditors </w:t>
      </w:r>
      <w:r w:rsidR="00380818" w:rsidRPr="004676F5">
        <w:rPr>
          <w:rFonts w:eastAsia="Calibri"/>
          <w:kern w:val="2"/>
          <w:szCs w:val="22"/>
          <w:lang w:val="de-DE" w:eastAsia="en-US"/>
          <w14:ligatures w14:val="standardContextual"/>
        </w:rPr>
        <w:t>[</w:t>
      </w:r>
      <w:r w:rsidR="00380818" w:rsidRPr="004676F5">
        <w:rPr>
          <w:lang w:val="de-DE"/>
        </w:rPr>
        <w:t>Beschwerde</w:t>
      </w:r>
      <w:r w:rsidR="00380818"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eingelegt wird; der Generalauditor kann die Vertretung in einer Sache dem Direktor der juristischen Angelegenheiten, dem Auditor oder einem Personalmitglied des Auditorats übertragen,</w:t>
      </w:r>
    </w:p>
    <w:p w14:paraId="13EBC8FC" w14:textId="77777777" w:rsidR="00BE3682" w:rsidRPr="004676F5" w:rsidRDefault="00BE3682" w:rsidP="00BE3682">
      <w:pPr>
        <w:jc w:val="both"/>
        <w:rPr>
          <w:rFonts w:eastAsia="Calibri"/>
          <w:kern w:val="2"/>
          <w:lang w:val="de-DE" w:eastAsia="en-US"/>
          <w14:ligatures w14:val="standardContextual"/>
        </w:rPr>
      </w:pPr>
    </w:p>
    <w:p w14:paraId="578A18E1" w14:textId="091B7CE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9. </w:t>
      </w:r>
      <w:r w:rsidR="00FB55E9" w:rsidRPr="004676F5">
        <w:rPr>
          <w:rFonts w:eastAsia="Calibri"/>
          <w:kern w:val="2"/>
          <w:szCs w:val="22"/>
          <w:lang w:val="de-DE" w:eastAsia="en-US"/>
          <w14:ligatures w14:val="standardContextual"/>
        </w:rPr>
        <w:t>[</w:t>
      </w:r>
      <w:r w:rsidR="00FB55E9" w:rsidRPr="004676F5">
        <w:rPr>
          <w:lang w:val="de-DE"/>
        </w:rPr>
        <w:t>die Verweisung eines Zusammenschlusses an die Belgische Wettbewerbsbehörde in Anwendung der Artikel 4 und 9 der Verordnung (EG) Nr. 139/2004 oder die Verweisung eines Zusammenschlusses an die Europäische Kommission in Anwendung des Artikels 22 derselben Verordnung zu beantragen,</w:t>
      </w:r>
      <w:r w:rsidR="00FB55E9" w:rsidRPr="004676F5">
        <w:rPr>
          <w:rFonts w:eastAsia="Calibri"/>
          <w:kern w:val="2"/>
          <w:szCs w:val="22"/>
          <w:lang w:val="de-DE" w:eastAsia="en-US"/>
          <w14:ligatures w14:val="standardContextual"/>
        </w:rPr>
        <w:t>]</w:t>
      </w:r>
    </w:p>
    <w:p w14:paraId="67E94574" w14:textId="77777777" w:rsidR="00BE3682" w:rsidRPr="004676F5" w:rsidRDefault="00BE3682" w:rsidP="00BE3682">
      <w:pPr>
        <w:jc w:val="both"/>
        <w:rPr>
          <w:rFonts w:eastAsia="Calibri"/>
          <w:kern w:val="2"/>
          <w:lang w:val="de-DE" w:eastAsia="en-US"/>
          <w14:ligatures w14:val="standardContextual"/>
        </w:rPr>
      </w:pPr>
    </w:p>
    <w:p w14:paraId="7B1A6B8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10. ein Vergleichsverfahren einzuleiten und zu beenden,</w:t>
      </w:r>
    </w:p>
    <w:p w14:paraId="3F9CD617" w14:textId="77777777" w:rsidR="00BE3682" w:rsidRPr="004676F5" w:rsidRDefault="00BE3682" w:rsidP="00BE3682">
      <w:pPr>
        <w:jc w:val="both"/>
        <w:rPr>
          <w:rFonts w:eastAsia="Calibri"/>
          <w:kern w:val="2"/>
          <w:lang w:val="de-DE" w:eastAsia="en-US"/>
          <w14:ligatures w14:val="standardContextual"/>
        </w:rPr>
      </w:pPr>
    </w:p>
    <w:p w14:paraId="7ECE107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11. die Besprechungen über die von einer beteiligten Partei angebotenen Verpflichtungs</w:t>
      </w:r>
      <w:r w:rsidRPr="004676F5">
        <w:rPr>
          <w:rFonts w:eastAsia="Calibri"/>
          <w:kern w:val="2"/>
          <w:szCs w:val="22"/>
          <w:lang w:val="de-DE" w:eastAsia="en-US"/>
          <w14:ligatures w14:val="standardContextual"/>
        </w:rPr>
        <w:softHyphen/>
        <w:t>zusagen zu beenden,</w:t>
      </w:r>
    </w:p>
    <w:p w14:paraId="425B66F9" w14:textId="77777777" w:rsidR="00BE3682" w:rsidRPr="004676F5" w:rsidRDefault="00BE3682" w:rsidP="00BE3682">
      <w:pPr>
        <w:jc w:val="both"/>
        <w:rPr>
          <w:rFonts w:eastAsia="Calibri"/>
          <w:kern w:val="2"/>
          <w:lang w:val="de-DE" w:eastAsia="en-US"/>
          <w14:ligatures w14:val="standardContextual"/>
        </w:rPr>
      </w:pPr>
    </w:p>
    <w:p w14:paraId="478A371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12. vorläufige Maßnahmen zu beantragen,</w:t>
      </w:r>
    </w:p>
    <w:p w14:paraId="1C708F5A" w14:textId="77777777" w:rsidR="00BE3682" w:rsidRPr="004676F5" w:rsidRDefault="00BE3682" w:rsidP="00BE3682">
      <w:pPr>
        <w:jc w:val="both"/>
        <w:rPr>
          <w:rFonts w:eastAsia="Calibri"/>
          <w:kern w:val="2"/>
          <w:lang w:val="de-DE" w:eastAsia="en-US"/>
          <w14:ligatures w14:val="standardContextual"/>
        </w:rPr>
      </w:pPr>
    </w:p>
    <w:p w14:paraId="79BAB1D6" w14:textId="6156ABB6"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13. im Rahmen einer Untersuchung ein kontradiktorisches Verfahren zu organisieren, bei dem ein Personalmitglied des Auditorats, das nicht zum Untersuchungsteam gehört, darüber entscheidet, ob Unterlagen und Angaben, die im Rahmen einer Durchsuchung beschafft oder kopiert wurden:</w:t>
      </w:r>
    </w:p>
    <w:p w14:paraId="0A4562D8" w14:textId="77777777" w:rsidR="00BE3682" w:rsidRPr="004676F5" w:rsidRDefault="00BE3682" w:rsidP="00BE3682">
      <w:pPr>
        <w:jc w:val="both"/>
        <w:rPr>
          <w:rFonts w:eastAsia="Calibri"/>
          <w:kern w:val="2"/>
          <w:lang w:val="de-DE" w:eastAsia="en-US"/>
          <w14:ligatures w14:val="standardContextual"/>
        </w:rPr>
      </w:pPr>
    </w:p>
    <w:p w14:paraId="22EDB4F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a) </w:t>
      </w:r>
      <w:r w:rsidRPr="004676F5">
        <w:rPr>
          <w:rFonts w:eastAsia="Calibri"/>
          <w:kern w:val="2"/>
          <w:szCs w:val="22"/>
          <w:lang w:val="de-DE" w:eastAsia="en-US"/>
          <w14:ligatures w14:val="standardContextual"/>
        </w:rPr>
        <w:t>im Rahmen des Schutzes des Briefwechsels mit und der Konsultierung von Rechtsanwälten oder der Vertraulichkeit der Stellungnahmen von Unternehmensjuristen gemäß Artikel 5 des Gesetzes vom 1. März 2000 zur Gründung eines Instituts der Unternehmens</w:t>
      </w:r>
      <w:r w:rsidRPr="004676F5">
        <w:rPr>
          <w:rFonts w:eastAsia="Calibri"/>
          <w:kern w:val="2"/>
          <w:szCs w:val="22"/>
          <w:lang w:val="de-DE" w:eastAsia="en-US"/>
          <w14:ligatures w14:val="standardContextual"/>
        </w:rPr>
        <w:softHyphen/>
        <w:t>juristen geschützt sind,</w:t>
      </w:r>
    </w:p>
    <w:p w14:paraId="14432512" w14:textId="77777777" w:rsidR="00BE3682" w:rsidRPr="004676F5" w:rsidRDefault="00BE3682" w:rsidP="00BE3682">
      <w:pPr>
        <w:jc w:val="both"/>
        <w:rPr>
          <w:rFonts w:eastAsia="Calibri"/>
          <w:kern w:val="2"/>
          <w:lang w:val="de-DE" w:eastAsia="en-US"/>
          <w14:ligatures w14:val="standardContextual"/>
        </w:rPr>
      </w:pPr>
    </w:p>
    <w:p w14:paraId="6EF1DAC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b) </w:t>
      </w:r>
      <w:r w:rsidRPr="004676F5">
        <w:rPr>
          <w:rFonts w:eastAsia="Calibri"/>
          <w:kern w:val="2"/>
          <w:szCs w:val="22"/>
          <w:lang w:val="de-DE" w:eastAsia="en-US"/>
          <w14:ligatures w14:val="standardContextual"/>
        </w:rPr>
        <w:t>in den Anwendungsbereich des Durchsuchungsdienstauftrags fallen.</w:t>
      </w:r>
    </w:p>
    <w:p w14:paraId="4F623FA8" w14:textId="77777777" w:rsidR="00BE3682" w:rsidRPr="004676F5" w:rsidRDefault="00BE3682" w:rsidP="00BE3682">
      <w:pPr>
        <w:jc w:val="both"/>
        <w:rPr>
          <w:rFonts w:eastAsia="Calibri"/>
          <w:kern w:val="2"/>
          <w:lang w:val="de-DE" w:eastAsia="en-US"/>
          <w14:ligatures w14:val="standardContextual"/>
        </w:rPr>
      </w:pPr>
    </w:p>
    <w:p w14:paraId="0731018D" w14:textId="353A126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Im Falle eines Interessenkonflikts oder einer begründeten Nichtverfügbarkeit wird der Generalauditor durch ein Personalmitglied des Auditorats ersetzt; dieses Mitglied wird vom Generalauditor bestimmt oder in Ermangelung einer solchen Bestimmung vom Direktionsausschuss.</w:t>
      </w:r>
    </w:p>
    <w:p w14:paraId="7E1538D0" w14:textId="77777777" w:rsidR="00BE3682" w:rsidRPr="004676F5" w:rsidRDefault="00BE3682" w:rsidP="00BE3682">
      <w:pPr>
        <w:jc w:val="both"/>
        <w:rPr>
          <w:rFonts w:eastAsia="Calibri"/>
          <w:kern w:val="2"/>
          <w:lang w:val="de-DE" w:eastAsia="en-US"/>
          <w14:ligatures w14:val="standardContextual"/>
        </w:rPr>
      </w:pPr>
    </w:p>
    <w:p w14:paraId="0F31856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5 ­ Der Generalauditor darf keine Anweisung entgegennehmen, wenn er in Ausführung der Aufträge, die ihm durch vorliegendes Buch erteilt werden, Entscheidungen trifft.</w:t>
      </w:r>
    </w:p>
    <w:p w14:paraId="79D8051A" w14:textId="77777777" w:rsidR="00BE3682" w:rsidRPr="004676F5" w:rsidRDefault="00BE3682" w:rsidP="00BE3682">
      <w:pPr>
        <w:jc w:val="both"/>
        <w:rPr>
          <w:rFonts w:eastAsia="Calibri"/>
          <w:kern w:val="2"/>
          <w:lang w:val="de-DE" w:eastAsia="en-US"/>
          <w14:ligatures w14:val="standardContextual"/>
        </w:rPr>
      </w:pPr>
    </w:p>
    <w:p w14:paraId="6F48AF3A" w14:textId="62DE607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6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Generalauditor kann Aufgaben, die zu den ihm durch vorliegendes Buch erteilten Aufträgen gehören, dem Auditor übertragen.</w:t>
      </w:r>
    </w:p>
    <w:p w14:paraId="52773CC7" w14:textId="77777777" w:rsidR="00BE3682" w:rsidRPr="004676F5" w:rsidRDefault="00BE3682" w:rsidP="00BE3682">
      <w:pPr>
        <w:jc w:val="both"/>
        <w:rPr>
          <w:rFonts w:eastAsia="Calibri"/>
          <w:kern w:val="2"/>
          <w:lang w:val="de-DE" w:eastAsia="en-US"/>
          <w14:ligatures w14:val="standardContextual"/>
        </w:rPr>
      </w:pPr>
    </w:p>
    <w:p w14:paraId="6F544730" w14:textId="486D03CD" w:rsidR="00380818" w:rsidRPr="004676F5" w:rsidRDefault="00380818"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[Art. IV.26 § 3 einziger Absatz Nr. 2 abgeändert durch Art. 9 Buchstabe a) des G. vom 28. Februar 2022 (B.S. vom 7. März 2022); </w:t>
      </w:r>
      <w:r w:rsidR="00FB55E9" w:rsidRPr="004676F5">
        <w:rPr>
          <w:rFonts w:eastAsia="Calibri"/>
          <w:i/>
          <w:iCs/>
          <w:kern w:val="2"/>
          <w:lang w:val="de-DE" w:eastAsia="en-US"/>
          <w14:ligatures w14:val="standardContextual"/>
        </w:rPr>
        <w:t xml:space="preserve">§ 3 einziger Absatz Nr. 3/1 eingefügt durch Art. 14 Buchstabe a) des G. vom 29. März 2024 (B.S. vom 3. Mai 2024); § 3 einziger Absatz Nr. 6 ersetzt durch Art. 14 Buchstabe b) des G. vom 29. März 2024 (B.S. vom 3. Mai 2024); </w:t>
      </w:r>
      <w:r w:rsidRPr="004676F5">
        <w:rPr>
          <w:rFonts w:eastAsia="Calibri"/>
          <w:i/>
          <w:iCs/>
          <w:kern w:val="2"/>
          <w:lang w:val="de-DE" w:eastAsia="en-US"/>
          <w14:ligatures w14:val="standardContextual"/>
        </w:rPr>
        <w:t xml:space="preserve">§ 3 einziger Absatz Nr. 8 abgeändert durch Art. 9 Buchstabe b) des G. vom 28. Februar 2022 (B.S. </w:t>
      </w:r>
      <w:r w:rsidRPr="004676F5">
        <w:rPr>
          <w:rFonts w:eastAsia="Calibri"/>
          <w:i/>
          <w:iCs/>
          <w:kern w:val="2"/>
          <w:lang w:val="de-DE" w:eastAsia="en-US"/>
          <w14:ligatures w14:val="standardContextual"/>
        </w:rPr>
        <w:lastRenderedPageBreak/>
        <w:t>vom 7. März 2022)</w:t>
      </w:r>
      <w:r w:rsidR="00FB55E9" w:rsidRPr="004676F5">
        <w:rPr>
          <w:rFonts w:eastAsia="Calibri"/>
          <w:i/>
          <w:iCs/>
          <w:kern w:val="2"/>
          <w:lang w:val="de-DE" w:eastAsia="en-US"/>
          <w14:ligatures w14:val="standardContextual"/>
        </w:rPr>
        <w:t>; § 3 einziger Absatz Nr. 9 ersetzt durch Art. 14 Buchstabe c) des G. vom 29. März 2024 (B.S. vom 3. Mai 2024)</w:t>
      </w:r>
      <w:r w:rsidRPr="004676F5">
        <w:rPr>
          <w:rFonts w:eastAsia="Calibri"/>
          <w:i/>
          <w:iCs/>
          <w:kern w:val="2"/>
          <w:lang w:val="de-DE" w:eastAsia="en-US"/>
          <w14:ligatures w14:val="standardContextual"/>
        </w:rPr>
        <w:t>]</w:t>
      </w:r>
    </w:p>
    <w:p w14:paraId="0656C33C" w14:textId="77777777" w:rsidR="00380818" w:rsidRPr="004676F5" w:rsidRDefault="00380818" w:rsidP="00BE3682">
      <w:pPr>
        <w:jc w:val="both"/>
        <w:rPr>
          <w:rFonts w:eastAsia="Calibri"/>
          <w:i/>
          <w:iCs/>
          <w:kern w:val="2"/>
          <w:lang w:val="de-DE" w:eastAsia="en-US"/>
          <w14:ligatures w14:val="standardContextual"/>
        </w:rPr>
      </w:pPr>
    </w:p>
    <w:p w14:paraId="4014C5F9" w14:textId="77777777" w:rsidR="007854CD" w:rsidRPr="004676F5" w:rsidRDefault="007854CD" w:rsidP="00BE3682">
      <w:pPr>
        <w:jc w:val="both"/>
        <w:rPr>
          <w:rFonts w:eastAsia="Calibri"/>
          <w:kern w:val="2"/>
          <w:lang w:val="de-DE" w:eastAsia="en-US"/>
          <w14:ligatures w14:val="standardContextual"/>
        </w:rPr>
      </w:pPr>
    </w:p>
    <w:p w14:paraId="4363901C" w14:textId="110D621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IV.27</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Bei der Belgischen Wettbewerbsbehörde wird ein Auditorat eingerichtet.</w:t>
      </w:r>
    </w:p>
    <w:p w14:paraId="5D9C58A3" w14:textId="77777777" w:rsidR="00BE3682" w:rsidRPr="004676F5" w:rsidRDefault="00BE3682" w:rsidP="00BE3682">
      <w:pPr>
        <w:jc w:val="both"/>
        <w:rPr>
          <w:rFonts w:eastAsia="Calibri"/>
          <w:kern w:val="2"/>
          <w:lang w:val="de-DE" w:eastAsia="en-US"/>
          <w14:ligatures w14:val="standardContextual"/>
        </w:rPr>
      </w:pPr>
    </w:p>
    <w:p w14:paraId="5201569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Auditorat setzt sich aus den Personalmitgliedern der Belgischen Wettbewerbs</w:t>
      </w:r>
      <w:r w:rsidRPr="004676F5">
        <w:rPr>
          <w:rFonts w:eastAsia="Calibri"/>
          <w:kern w:val="2"/>
          <w:szCs w:val="22"/>
          <w:lang w:val="de-DE" w:eastAsia="en-US"/>
          <w14:ligatures w14:val="standardContextual"/>
        </w:rPr>
        <w:softHyphen/>
        <w:t>behörde zusammen, die der Direktionsausschuss diesem Dienst zuweist.</w:t>
      </w:r>
    </w:p>
    <w:p w14:paraId="18636527" w14:textId="77777777" w:rsidR="00BE3682" w:rsidRPr="004676F5" w:rsidRDefault="00BE3682" w:rsidP="00BE3682">
      <w:pPr>
        <w:jc w:val="both"/>
        <w:rPr>
          <w:rFonts w:eastAsia="Calibri"/>
          <w:kern w:val="2"/>
          <w:lang w:val="de-DE" w:eastAsia="en-US"/>
          <w14:ligatures w14:val="standardContextual"/>
        </w:rPr>
      </w:pPr>
    </w:p>
    <w:p w14:paraId="382C468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Der Generalauditor bestimmt für jede Sache ein Personalmitglied des Auditorats, das als Auditor mit der täglichen Leitung der Untersuchung beauftragt ist.</w:t>
      </w:r>
    </w:p>
    <w:p w14:paraId="159AC68C" w14:textId="77777777" w:rsidR="00BE3682" w:rsidRPr="004676F5" w:rsidRDefault="00BE3682" w:rsidP="00BE3682">
      <w:pPr>
        <w:jc w:val="both"/>
        <w:rPr>
          <w:rFonts w:eastAsia="Calibri"/>
          <w:kern w:val="2"/>
          <w:lang w:val="de-DE" w:eastAsia="en-US"/>
          <w14:ligatures w14:val="standardContextual"/>
        </w:rPr>
      </w:pPr>
    </w:p>
    <w:p w14:paraId="6DBF94F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darf in Bezug auf die Untersuchung nur vom Generalauditor Anweisungen entgegennehmen.</w:t>
      </w:r>
    </w:p>
    <w:p w14:paraId="69C3AD96" w14:textId="77777777" w:rsidR="00BE3682" w:rsidRPr="004676F5" w:rsidRDefault="00BE3682" w:rsidP="00BE3682">
      <w:pPr>
        <w:jc w:val="both"/>
        <w:rPr>
          <w:rFonts w:eastAsia="Calibri"/>
          <w:kern w:val="2"/>
          <w:lang w:val="de-DE" w:eastAsia="en-US"/>
          <w14:ligatures w14:val="standardContextual"/>
        </w:rPr>
      </w:pPr>
    </w:p>
    <w:p w14:paraId="12E7411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Der Generalauditor stellt für jede Sache ein Team von Personalmitgliedern des Auditorats zusammen, das unter seiner allgemeinen Leitung und unter der täglichen Leitung des Auditors mit der Untersuchung beauftragt ist.</w:t>
      </w:r>
    </w:p>
    <w:p w14:paraId="4CB9C569" w14:textId="77777777" w:rsidR="00BE3682" w:rsidRPr="004676F5" w:rsidRDefault="00BE3682" w:rsidP="00BE3682">
      <w:pPr>
        <w:jc w:val="both"/>
        <w:rPr>
          <w:rFonts w:eastAsia="Calibri"/>
          <w:kern w:val="2"/>
          <w:lang w:val="de-DE" w:eastAsia="en-US"/>
          <w14:ligatures w14:val="standardContextual"/>
        </w:rPr>
      </w:pPr>
    </w:p>
    <w:p w14:paraId="0DD718C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Mitglieder des Untersuchungsteam dürfen in Bezug auf diese Untersuchung nur vom Generalauditor und vom Auditor Anweisungen entgegennehmen.</w:t>
      </w:r>
    </w:p>
    <w:p w14:paraId="0FDD3BCB" w14:textId="77777777" w:rsidR="00BE3682" w:rsidRPr="004676F5" w:rsidRDefault="00BE3682" w:rsidP="00BE3682">
      <w:pPr>
        <w:jc w:val="both"/>
        <w:rPr>
          <w:rFonts w:eastAsia="Calibri"/>
          <w:kern w:val="2"/>
          <w:lang w:val="de-DE" w:eastAsia="en-US"/>
          <w14:ligatures w14:val="standardContextual"/>
        </w:rPr>
      </w:pPr>
    </w:p>
    <w:p w14:paraId="354B9D82" w14:textId="3FE4CEB1" w:rsidR="00BE3682" w:rsidRPr="004676F5" w:rsidRDefault="00BE3682" w:rsidP="00BE3682">
      <w:pPr>
        <w:jc w:val="both"/>
        <w:rPr>
          <w:rFonts w:eastAsia="Calibri"/>
          <w:spacing w:val="-2"/>
          <w:kern w:val="2"/>
          <w:lang w:val="de-DE" w:eastAsia="en-US"/>
          <w14:ligatures w14:val="standardContextual"/>
        </w:rPr>
      </w:pPr>
      <w:r w:rsidRPr="004676F5">
        <w:rPr>
          <w:rFonts w:eastAsia="Calibri"/>
          <w:spacing w:val="-2"/>
          <w:kern w:val="2"/>
          <w:szCs w:val="22"/>
          <w:lang w:val="de-DE" w:eastAsia="en-US"/>
          <w14:ligatures w14:val="standardContextual"/>
        </w:rPr>
        <w:tab/>
        <w:t>§ 4 </w:t>
      </w:r>
      <w:r w:rsidR="005B7A5C" w:rsidRPr="004676F5">
        <w:rPr>
          <w:rFonts w:eastAsia="Calibri"/>
          <w:spacing w:val="-2"/>
          <w:kern w:val="2"/>
          <w:szCs w:val="22"/>
          <w:lang w:val="de-DE" w:eastAsia="en-US"/>
          <w14:ligatures w14:val="standardContextual"/>
        </w:rPr>
        <w:t>- </w:t>
      </w:r>
      <w:r w:rsidRPr="004676F5">
        <w:rPr>
          <w:rFonts w:eastAsia="Calibri"/>
          <w:spacing w:val="-2"/>
          <w:kern w:val="2"/>
          <w:szCs w:val="22"/>
          <w:lang w:val="de-DE" w:eastAsia="en-US"/>
          <w14:ligatures w14:val="standardContextual"/>
        </w:rPr>
        <w:t xml:space="preserve">Der Generalauditor bestimmt für jede Sache ein Personalmitglied des Auditorats, das als Auditor-Berater dem Auditor Stellungnahmen abgibt, wenn in den Bestimmungen </w:t>
      </w:r>
      <w:r w:rsidR="00FB55E9" w:rsidRPr="004676F5">
        <w:rPr>
          <w:rFonts w:eastAsia="Calibri"/>
          <w:spacing w:val="-2"/>
          <w:kern w:val="2"/>
          <w:szCs w:val="22"/>
          <w:lang w:val="de-DE" w:eastAsia="en-US"/>
          <w14:ligatures w14:val="standardContextual"/>
        </w:rPr>
        <w:t>[</w:t>
      </w:r>
      <w:r w:rsidR="00FB55E9" w:rsidRPr="004676F5">
        <w:rPr>
          <w:lang w:val="de-DE"/>
        </w:rPr>
        <w:t>von Titel 3 Kapitel 1</w:t>
      </w:r>
      <w:r w:rsidR="00FB55E9" w:rsidRPr="004676F5">
        <w:rPr>
          <w:rFonts w:eastAsia="Calibri"/>
          <w:spacing w:val="-2"/>
          <w:kern w:val="2"/>
          <w:szCs w:val="22"/>
          <w:lang w:val="de-DE" w:eastAsia="en-US"/>
          <w14:ligatures w14:val="standardContextual"/>
        </w:rPr>
        <w:t>]</w:t>
      </w:r>
      <w:r w:rsidRPr="004676F5">
        <w:rPr>
          <w:rFonts w:eastAsia="Calibri"/>
          <w:spacing w:val="-2"/>
          <w:kern w:val="2"/>
          <w:szCs w:val="22"/>
          <w:lang w:val="de-DE" w:eastAsia="en-US"/>
          <w14:ligatures w14:val="standardContextual"/>
        </w:rPr>
        <w:t xml:space="preserve"> des vorliegenden Buches eine solche Stellungnahme vorgesehen ist.</w:t>
      </w:r>
    </w:p>
    <w:p w14:paraId="30E657FF" w14:textId="77777777" w:rsidR="00BE3682" w:rsidRPr="004676F5" w:rsidRDefault="00BE3682" w:rsidP="00BE3682">
      <w:pPr>
        <w:jc w:val="both"/>
        <w:rPr>
          <w:rFonts w:eastAsia="Calibri"/>
          <w:kern w:val="2"/>
          <w:lang w:val="de-DE" w:eastAsia="en-US"/>
          <w14:ligatures w14:val="standardContextual"/>
        </w:rPr>
      </w:pPr>
    </w:p>
    <w:p w14:paraId="0FCAAE5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Auditor-Berater darf in der Sache nicht Mitglied des Untersuchungsteams sein oder gewesen sein und darf nur im Falle eines Interessenkonflikts oder einer begründeten Nichtverfügbarkeit ersetzt werden.</w:t>
      </w:r>
    </w:p>
    <w:p w14:paraId="6D8E7413" w14:textId="77777777" w:rsidR="00BE3682" w:rsidRPr="004676F5" w:rsidRDefault="00BE3682" w:rsidP="00BE3682">
      <w:pPr>
        <w:jc w:val="both"/>
        <w:rPr>
          <w:rFonts w:eastAsia="Calibri"/>
          <w:kern w:val="2"/>
          <w:lang w:val="de-DE" w:eastAsia="en-US"/>
          <w14:ligatures w14:val="standardContextual"/>
        </w:rPr>
      </w:pPr>
    </w:p>
    <w:p w14:paraId="70BE575E" w14:textId="2FBA6E80" w:rsidR="00FB55E9" w:rsidRPr="004676F5" w:rsidRDefault="00FB55E9"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IV.27</w:t>
      </w:r>
      <w:r w:rsidR="00542FBC" w:rsidRPr="004676F5">
        <w:rPr>
          <w:rFonts w:eastAsia="Calibri"/>
          <w:i/>
          <w:iCs/>
          <w:kern w:val="2"/>
          <w:lang w:val="de-DE" w:eastAsia="en-US"/>
          <w14:ligatures w14:val="standardContextual"/>
        </w:rPr>
        <w:t xml:space="preserve"> § 4 Abs. 1 abgeändert durch Art. 15 des G. vom 29. März 2024 (B.S. vom 3. Mai 2024)</w:t>
      </w:r>
      <w:r w:rsidRPr="004676F5">
        <w:rPr>
          <w:rFonts w:eastAsia="Calibri"/>
          <w:i/>
          <w:iCs/>
          <w:kern w:val="2"/>
          <w:lang w:val="de-DE" w:eastAsia="en-US"/>
          <w14:ligatures w14:val="standardContextual"/>
        </w:rPr>
        <w:t>]</w:t>
      </w:r>
    </w:p>
    <w:p w14:paraId="6CA0A9ED" w14:textId="77777777" w:rsidR="00FB55E9" w:rsidRPr="004676F5" w:rsidRDefault="00FB55E9" w:rsidP="00BE3682">
      <w:pPr>
        <w:jc w:val="both"/>
        <w:rPr>
          <w:rFonts w:eastAsia="Calibri"/>
          <w:kern w:val="2"/>
          <w:lang w:val="de-DE" w:eastAsia="en-US"/>
          <w14:ligatures w14:val="standardContextual"/>
        </w:rPr>
      </w:pPr>
    </w:p>
    <w:p w14:paraId="0CDD6BD0" w14:textId="77777777" w:rsidR="007854CD" w:rsidRPr="004676F5" w:rsidRDefault="007854CD" w:rsidP="00BE3682">
      <w:pPr>
        <w:jc w:val="both"/>
        <w:rPr>
          <w:rFonts w:eastAsia="Calibri"/>
          <w:kern w:val="2"/>
          <w:lang w:val="de-DE" w:eastAsia="en-US"/>
          <w14:ligatures w14:val="standardContextual"/>
        </w:rPr>
      </w:pPr>
    </w:p>
    <w:p w14:paraId="0D07F983" w14:textId="2FB8A1C0"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IV.28</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Auditor ist unter anderem damit beauftragt:</w:t>
      </w:r>
    </w:p>
    <w:p w14:paraId="05FBCCC4" w14:textId="77777777" w:rsidR="00BE3682" w:rsidRPr="004676F5" w:rsidRDefault="00BE3682" w:rsidP="00BE3682">
      <w:pPr>
        <w:jc w:val="both"/>
        <w:rPr>
          <w:rFonts w:eastAsia="Calibri"/>
          <w:kern w:val="2"/>
          <w:lang w:val="de-DE" w:eastAsia="en-US"/>
          <w14:ligatures w14:val="standardContextual"/>
        </w:rPr>
      </w:pPr>
    </w:p>
    <w:p w14:paraId="27EB3B3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die tägliche Leitung und Organisation der Untersuchung zu gewährleisten,</w:t>
      </w:r>
    </w:p>
    <w:p w14:paraId="064AA54A" w14:textId="77777777" w:rsidR="00BE3682" w:rsidRPr="004676F5" w:rsidRDefault="00BE3682" w:rsidP="00BE3682">
      <w:pPr>
        <w:jc w:val="both"/>
        <w:rPr>
          <w:rFonts w:eastAsia="Calibri"/>
          <w:kern w:val="2"/>
          <w:lang w:val="de-DE" w:eastAsia="en-US"/>
          <w14:ligatures w14:val="standardContextual"/>
        </w:rPr>
      </w:pPr>
    </w:p>
    <w:p w14:paraId="78B3BD3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Entscheidungen in Bezug auf Zusammenschlüsse zu treffen, die einem vereinfachten Verfahren unterzogen werden,</w:t>
      </w:r>
    </w:p>
    <w:p w14:paraId="226F66DD" w14:textId="77777777" w:rsidR="00BE3682" w:rsidRPr="004676F5" w:rsidRDefault="00BE3682" w:rsidP="00BE3682">
      <w:pPr>
        <w:jc w:val="both"/>
        <w:rPr>
          <w:rFonts w:eastAsia="Calibri"/>
          <w:kern w:val="2"/>
          <w:lang w:val="de-DE" w:eastAsia="en-US"/>
          <w14:ligatures w14:val="standardContextual"/>
        </w:rPr>
      </w:pPr>
    </w:p>
    <w:p w14:paraId="26C9EB7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auf Antrag Interesse habender natürlicher oder juristischer Personen oder aus eigener Initiative über den vertraulichen Charakter von Unterlagen und Angaben zu befinden, die im Laufe einer Untersuchung der Belgischen Wettbewerbsbehörde übermittelt oder zur Kenntnis gebracht werden,</w:t>
      </w:r>
    </w:p>
    <w:p w14:paraId="2B5A7957" w14:textId="77777777" w:rsidR="00BE3682" w:rsidRPr="004676F5" w:rsidRDefault="00BE3682" w:rsidP="00BE3682">
      <w:pPr>
        <w:jc w:val="both"/>
        <w:rPr>
          <w:rFonts w:eastAsia="Calibri"/>
          <w:kern w:val="2"/>
          <w:lang w:val="de-DE" w:eastAsia="en-US"/>
          <w14:ligatures w14:val="standardContextual"/>
        </w:rPr>
      </w:pPr>
    </w:p>
    <w:p w14:paraId="48EDBAE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4. Dienstaufträge zu erteilen, Dienstaufträge in Bezug auf Durchsuchungen, Beschlagnahmen oder Versiegelungen einbegriffen, außer wenn Personalmitglieder der Belgischen Wettbewerbsbehörde Beamte der Europäischen Kommission bei einer Nachprüfung </w:t>
      </w:r>
      <w:r w:rsidRPr="004676F5">
        <w:rPr>
          <w:rFonts w:eastAsia="Calibri"/>
          <w:kern w:val="2"/>
          <w:szCs w:val="22"/>
          <w:lang w:val="de-DE" w:eastAsia="en-US"/>
          <w14:ligatures w14:val="standardContextual"/>
        </w:rPr>
        <w:lastRenderedPageBreak/>
        <w:t>unterstützen, die von der Europäischen Kommission in Anwendung der Verordnung (EG) Nr. 1/2003 angeordnet wird,</w:t>
      </w:r>
    </w:p>
    <w:p w14:paraId="6328D20A" w14:textId="77777777" w:rsidR="00BE3682" w:rsidRPr="004676F5" w:rsidRDefault="00BE3682" w:rsidP="00BE3682">
      <w:pPr>
        <w:jc w:val="both"/>
        <w:rPr>
          <w:rFonts w:eastAsia="Calibri"/>
          <w:kern w:val="2"/>
          <w:lang w:val="de-DE" w:eastAsia="en-US"/>
          <w14:ligatures w14:val="standardContextual"/>
        </w:rPr>
      </w:pPr>
    </w:p>
    <w:p w14:paraId="300EAF7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5. Klagen, Anträge und Anweisungen einzustellen beziehungsweise zurückzuweisen,</w:t>
      </w:r>
    </w:p>
    <w:p w14:paraId="3E6E15F0" w14:textId="77777777" w:rsidR="00BE3682" w:rsidRPr="004676F5" w:rsidRDefault="00BE3682" w:rsidP="00BE3682">
      <w:pPr>
        <w:jc w:val="both"/>
        <w:rPr>
          <w:rFonts w:eastAsia="Calibri"/>
          <w:kern w:val="2"/>
          <w:lang w:val="de-DE" w:eastAsia="en-US"/>
          <w14:ligatures w14:val="standardContextual"/>
        </w:rPr>
      </w:pPr>
    </w:p>
    <w:p w14:paraId="204C6A6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6. Untersuchungen zu beenden,</w:t>
      </w:r>
    </w:p>
    <w:p w14:paraId="2E9A1568" w14:textId="77777777" w:rsidR="00BE3682" w:rsidRPr="004676F5" w:rsidRDefault="00BE3682" w:rsidP="00BE3682">
      <w:pPr>
        <w:jc w:val="both"/>
        <w:rPr>
          <w:rFonts w:eastAsia="Calibri"/>
          <w:kern w:val="2"/>
          <w:lang w:val="de-DE" w:eastAsia="en-US"/>
          <w14:ligatures w14:val="standardContextual"/>
        </w:rPr>
      </w:pPr>
    </w:p>
    <w:p w14:paraId="68340E8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7. Vergleichsentscheidungen zu treffen,</w:t>
      </w:r>
    </w:p>
    <w:p w14:paraId="301DF90E" w14:textId="77777777" w:rsidR="00BE3682" w:rsidRPr="004676F5" w:rsidRDefault="00BE3682" w:rsidP="00BE3682">
      <w:pPr>
        <w:jc w:val="both"/>
        <w:rPr>
          <w:rFonts w:eastAsia="Calibri"/>
          <w:kern w:val="2"/>
          <w:lang w:val="de-DE" w:eastAsia="en-US"/>
          <w14:ligatures w14:val="standardContextual"/>
        </w:rPr>
      </w:pPr>
    </w:p>
    <w:p w14:paraId="08E867C7" w14:textId="30D935C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8. in Sachen in Bezug auf </w:t>
      </w:r>
      <w:r w:rsidR="000A1E2C" w:rsidRPr="004676F5">
        <w:rPr>
          <w:rFonts w:eastAsia="Calibri"/>
          <w:kern w:val="2"/>
          <w:szCs w:val="22"/>
          <w:lang w:val="de-DE" w:eastAsia="en-US"/>
          <w14:ligatures w14:val="standardContextual"/>
        </w:rPr>
        <w:t>[Zuwiderhandlungen gegen das Wettbewerbsrecht]</w:t>
      </w:r>
      <w:r w:rsidRPr="004676F5">
        <w:rPr>
          <w:rFonts w:eastAsia="Calibri"/>
          <w:kern w:val="2"/>
          <w:szCs w:val="22"/>
          <w:lang w:val="de-DE" w:eastAsia="en-US"/>
          <w14:ligatures w14:val="standardContextual"/>
        </w:rPr>
        <w:t xml:space="preserve"> die Beschwerdegründe festzulegen,</w:t>
      </w:r>
    </w:p>
    <w:p w14:paraId="56E20107" w14:textId="77777777" w:rsidR="00BE3682" w:rsidRPr="004676F5" w:rsidRDefault="00BE3682" w:rsidP="00BE3682">
      <w:pPr>
        <w:jc w:val="both"/>
        <w:rPr>
          <w:rFonts w:eastAsia="Calibri"/>
          <w:kern w:val="2"/>
          <w:lang w:val="de-DE" w:eastAsia="en-US"/>
          <w14:ligatures w14:val="standardContextual"/>
        </w:rPr>
      </w:pPr>
    </w:p>
    <w:p w14:paraId="374E4B2D" w14:textId="585ADE68"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9. in Sachen in Bezug auf </w:t>
      </w:r>
      <w:r w:rsidR="000A1E2C" w:rsidRPr="004676F5">
        <w:rPr>
          <w:rFonts w:eastAsia="Calibri"/>
          <w:kern w:val="2"/>
          <w:szCs w:val="22"/>
          <w:lang w:val="de-DE" w:eastAsia="en-US"/>
          <w14:ligatures w14:val="standardContextual"/>
        </w:rPr>
        <w:t>[Zuwiderhandlungen gegen das Wettbewerbsrecht]</w:t>
      </w:r>
      <w:r w:rsidRPr="004676F5">
        <w:rPr>
          <w:rFonts w:eastAsia="Calibri"/>
          <w:kern w:val="2"/>
          <w:szCs w:val="22"/>
          <w:lang w:val="de-DE" w:eastAsia="en-US"/>
          <w14:ligatures w14:val="standardContextual"/>
        </w:rPr>
        <w:t xml:space="preserve"> und auf Zusammenschlüsse Entscheidungsvorschläge zu erstellen,</w:t>
      </w:r>
    </w:p>
    <w:p w14:paraId="51A6CAD3" w14:textId="77777777" w:rsidR="00BE3682" w:rsidRPr="004676F5" w:rsidRDefault="00BE3682" w:rsidP="00BE3682">
      <w:pPr>
        <w:jc w:val="both"/>
        <w:rPr>
          <w:rFonts w:eastAsia="Calibri"/>
          <w:kern w:val="2"/>
          <w:lang w:val="de-DE" w:eastAsia="en-US"/>
          <w14:ligatures w14:val="standardContextual"/>
        </w:rPr>
      </w:pPr>
    </w:p>
    <w:p w14:paraId="06BFD37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10. beim zuständigen Untersuchungsrichter vorhergehende Durchsuchungs</w:t>
      </w:r>
      <w:r w:rsidRPr="004676F5">
        <w:rPr>
          <w:rFonts w:eastAsia="Calibri"/>
          <w:kern w:val="2"/>
          <w:szCs w:val="22"/>
          <w:lang w:val="de-DE" w:eastAsia="en-US"/>
          <w14:ligatures w14:val="standardContextual"/>
        </w:rPr>
        <w:softHyphen/>
        <w:t>genehmi</w:t>
      </w:r>
      <w:r w:rsidRPr="004676F5">
        <w:rPr>
          <w:rFonts w:eastAsia="Calibri"/>
          <w:kern w:val="2"/>
          <w:szCs w:val="22"/>
          <w:lang w:val="de-DE" w:eastAsia="en-US"/>
          <w14:ligatures w14:val="standardContextual"/>
        </w:rPr>
        <w:softHyphen/>
        <w:t>gungen zu beantragen.</w:t>
      </w:r>
    </w:p>
    <w:p w14:paraId="081FB19B" w14:textId="77777777" w:rsidR="00BE3682" w:rsidRPr="004676F5" w:rsidRDefault="00BE3682" w:rsidP="00BE3682">
      <w:pPr>
        <w:jc w:val="both"/>
        <w:rPr>
          <w:rFonts w:eastAsia="Calibri"/>
          <w:kern w:val="2"/>
          <w:lang w:val="de-DE" w:eastAsia="en-US"/>
          <w14:ligatures w14:val="standardContextual"/>
        </w:rPr>
      </w:pPr>
    </w:p>
    <w:p w14:paraId="42ED3E15" w14:textId="72738CD1"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Auditoren können alle Handlungen zwecks Erfüllung ihres Auftrags ausführen, außer wenn vorliegendes Buch diese Handlungen dem Generalauditor vorbehält.</w:t>
      </w:r>
    </w:p>
    <w:p w14:paraId="5D96BB0A" w14:textId="77777777" w:rsidR="000A1E2C" w:rsidRPr="004676F5" w:rsidRDefault="000A1E2C" w:rsidP="00BE3682">
      <w:pPr>
        <w:jc w:val="both"/>
        <w:rPr>
          <w:rFonts w:eastAsia="Calibri"/>
          <w:kern w:val="2"/>
          <w:szCs w:val="22"/>
          <w:lang w:val="de-DE" w:eastAsia="en-US"/>
          <w14:ligatures w14:val="standardContextual"/>
        </w:rPr>
      </w:pPr>
    </w:p>
    <w:p w14:paraId="5AA2483B" w14:textId="2234CD2C" w:rsidR="000A1E2C" w:rsidRPr="004676F5" w:rsidRDefault="000A1E2C" w:rsidP="00BE3682">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IV.28 Abs. 1 Nr. 8 und 9 abgeändert durch Art. 10 des G. vom 28. Februar 2022 (B.S. vom 7. März 2022)]</w:t>
      </w:r>
    </w:p>
    <w:p w14:paraId="22737D01" w14:textId="77777777" w:rsidR="00BE3682" w:rsidRPr="004676F5" w:rsidRDefault="00BE3682" w:rsidP="00BE3682">
      <w:pPr>
        <w:jc w:val="both"/>
        <w:rPr>
          <w:rFonts w:eastAsia="Calibri"/>
          <w:i/>
          <w:iCs/>
          <w:kern w:val="2"/>
          <w:lang w:val="de-DE" w:eastAsia="en-US"/>
          <w14:ligatures w14:val="standardContextual"/>
        </w:rPr>
      </w:pPr>
    </w:p>
    <w:p w14:paraId="647A5118" w14:textId="77777777" w:rsidR="007854CD" w:rsidRPr="004676F5" w:rsidRDefault="007854CD" w:rsidP="00BE3682">
      <w:pPr>
        <w:jc w:val="both"/>
        <w:rPr>
          <w:rFonts w:eastAsia="Calibri"/>
          <w:i/>
          <w:iCs/>
          <w:kern w:val="2"/>
          <w:lang w:val="de-DE" w:eastAsia="en-US"/>
          <w14:ligatures w14:val="standardContextual"/>
        </w:rPr>
      </w:pPr>
    </w:p>
    <w:p w14:paraId="438F4CE1" w14:textId="47E1B553" w:rsidR="00BE3682" w:rsidRPr="004676F5" w:rsidRDefault="00542FBC"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6</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DB2D1B"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Sekretariat</w:t>
      </w:r>
      <w:r w:rsidR="00DB2D1B" w:rsidRPr="004676F5">
        <w:rPr>
          <w:rFonts w:eastAsia="Calibri"/>
          <w:kern w:val="2"/>
          <w:szCs w:val="22"/>
          <w:lang w:val="de-DE" w:eastAsia="en-US"/>
          <w14:ligatures w14:val="standardContextual"/>
        </w:rPr>
        <w:t>]</w:t>
      </w:r>
    </w:p>
    <w:p w14:paraId="6B853272" w14:textId="77777777" w:rsidR="00BE3682" w:rsidRPr="004676F5" w:rsidRDefault="00BE3682" w:rsidP="00BE3682">
      <w:pPr>
        <w:jc w:val="both"/>
        <w:rPr>
          <w:rFonts w:eastAsia="Calibri"/>
          <w:kern w:val="2"/>
          <w:lang w:val="de-DE" w:eastAsia="en-US"/>
          <w14:ligatures w14:val="standardContextual"/>
        </w:rPr>
      </w:pPr>
    </w:p>
    <w:p w14:paraId="56ABB4AC" w14:textId="7D752C13" w:rsidR="00542FBC" w:rsidRPr="004676F5" w:rsidRDefault="00542FBC"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[Früherer Unterabschnitt 5 umgegliedert zu Abschnitt 6 </w:t>
      </w:r>
      <w:r w:rsidR="00DB2D1B"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16 des G. vom 29. März 2024 (B.S. vom 3. Mai 2024)]</w:t>
      </w:r>
    </w:p>
    <w:p w14:paraId="0CCD8329" w14:textId="77777777" w:rsidR="00542FBC" w:rsidRPr="004676F5" w:rsidRDefault="00542FBC" w:rsidP="00BE3682">
      <w:pPr>
        <w:jc w:val="both"/>
        <w:rPr>
          <w:rFonts w:eastAsia="Calibri"/>
          <w:kern w:val="2"/>
          <w:lang w:val="de-DE" w:eastAsia="en-US"/>
          <w14:ligatures w14:val="standardContextual"/>
        </w:rPr>
      </w:pPr>
    </w:p>
    <w:p w14:paraId="06A6CB88" w14:textId="77777777" w:rsidR="007854CD" w:rsidRPr="004676F5" w:rsidRDefault="007854CD" w:rsidP="00BE3682">
      <w:pPr>
        <w:jc w:val="both"/>
        <w:rPr>
          <w:rFonts w:eastAsia="Calibri"/>
          <w:kern w:val="2"/>
          <w:lang w:val="de-DE" w:eastAsia="en-US"/>
          <w14:ligatures w14:val="standardContextual"/>
        </w:rPr>
      </w:pPr>
    </w:p>
    <w:p w14:paraId="6FED3007" w14:textId="56E9262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IV.29</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Das Sekretariat steht unter Leitung und Aufsicht des Generalauditors dem Auditorat bei.</w:t>
      </w:r>
    </w:p>
    <w:p w14:paraId="79587D0B" w14:textId="77777777" w:rsidR="00BE3682" w:rsidRPr="004676F5" w:rsidRDefault="00BE3682" w:rsidP="00BE3682">
      <w:pPr>
        <w:jc w:val="both"/>
        <w:rPr>
          <w:rFonts w:eastAsia="Calibri"/>
          <w:kern w:val="2"/>
          <w:lang w:val="de-DE" w:eastAsia="en-US"/>
          <w14:ligatures w14:val="standardContextual"/>
        </w:rPr>
      </w:pPr>
    </w:p>
    <w:p w14:paraId="52C1FC9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Sekretariat ist außerdem dafür zuständig, für Verfahren vor dem Wettbewerbskollegium unter Leitung und Aufsicht des Präsidenten die Aufgaben einer Kanzlei zu erfüllen.</w:t>
      </w:r>
    </w:p>
    <w:p w14:paraId="77050958" w14:textId="77777777" w:rsidR="00BE3682" w:rsidRPr="004676F5" w:rsidRDefault="00BE3682" w:rsidP="00BE3682">
      <w:pPr>
        <w:jc w:val="both"/>
        <w:rPr>
          <w:rFonts w:eastAsia="Calibri"/>
          <w:kern w:val="2"/>
          <w:lang w:val="de-DE" w:eastAsia="en-US"/>
          <w14:ligatures w14:val="standardContextual"/>
        </w:rPr>
      </w:pPr>
    </w:p>
    <w:p w14:paraId="17446DE8" w14:textId="47DADC93" w:rsidR="00BE3682" w:rsidRPr="004676F5" w:rsidRDefault="00BE3682" w:rsidP="00BE3682">
      <w:pPr>
        <w:rPr>
          <w:rFonts w:eastAsia="Calibri"/>
          <w:kern w:val="2"/>
          <w:szCs w:val="22"/>
          <w:lang w:val="de-DE" w:eastAsia="en-US"/>
          <w14:ligatures w14:val="standardContextual"/>
        </w:rPr>
      </w:pPr>
    </w:p>
    <w:p w14:paraId="3739175A" w14:textId="535B1512" w:rsidR="00BE3682" w:rsidRPr="004676F5" w:rsidRDefault="00542FBC"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7</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DB2D1B"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Ablehnung und Disziplin</w:t>
      </w:r>
      <w:r w:rsidR="00DB2D1B" w:rsidRPr="004676F5">
        <w:rPr>
          <w:rFonts w:eastAsia="Calibri"/>
          <w:kern w:val="2"/>
          <w:szCs w:val="22"/>
          <w:lang w:val="de-DE" w:eastAsia="en-US"/>
          <w14:ligatures w14:val="standardContextual"/>
        </w:rPr>
        <w:t>]</w:t>
      </w:r>
    </w:p>
    <w:p w14:paraId="2441A8C5" w14:textId="77777777" w:rsidR="00BE3682" w:rsidRPr="004676F5" w:rsidRDefault="00BE3682" w:rsidP="00BE3682">
      <w:pPr>
        <w:jc w:val="both"/>
        <w:rPr>
          <w:rFonts w:eastAsia="Calibri"/>
          <w:kern w:val="2"/>
          <w:lang w:val="de-DE" w:eastAsia="en-US"/>
          <w14:ligatures w14:val="standardContextual"/>
        </w:rPr>
      </w:pPr>
    </w:p>
    <w:p w14:paraId="1F11DEBC" w14:textId="1328C6A6" w:rsidR="00542FBC" w:rsidRPr="004676F5" w:rsidRDefault="00542FBC" w:rsidP="00BE3682">
      <w:pPr>
        <w:jc w:val="both"/>
        <w:rPr>
          <w:rFonts w:eastAsia="Calibri"/>
          <w:kern w:val="2"/>
          <w:lang w:val="de-DE" w:eastAsia="en-US"/>
          <w14:ligatures w14:val="standardContextual"/>
        </w:rPr>
      </w:pPr>
      <w:r w:rsidRPr="004676F5">
        <w:rPr>
          <w:rFonts w:eastAsia="Calibri"/>
          <w:i/>
          <w:iCs/>
          <w:kern w:val="2"/>
          <w:lang w:val="de-DE" w:eastAsia="en-US"/>
          <w14:ligatures w14:val="standardContextual"/>
        </w:rPr>
        <w:t xml:space="preserve">[Früherer Unterabschnitt 6 umgegliedert zu Abschnitt 7 </w:t>
      </w:r>
      <w:r w:rsidR="00DB2D1B"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17 des G. vom 29. März 2024 (B.S. vom 3. Mai 2024)]</w:t>
      </w:r>
    </w:p>
    <w:p w14:paraId="41C8B194" w14:textId="77777777" w:rsidR="00542FBC" w:rsidRPr="004676F5" w:rsidRDefault="00542FBC" w:rsidP="00BE3682">
      <w:pPr>
        <w:jc w:val="both"/>
        <w:rPr>
          <w:rFonts w:eastAsia="Calibri"/>
          <w:kern w:val="2"/>
          <w:lang w:val="de-DE" w:eastAsia="en-US"/>
          <w14:ligatures w14:val="standardContextual"/>
        </w:rPr>
      </w:pPr>
    </w:p>
    <w:p w14:paraId="4698BEA3" w14:textId="77777777" w:rsidR="007854CD" w:rsidRPr="004676F5" w:rsidRDefault="007854CD" w:rsidP="00BE3682">
      <w:pPr>
        <w:jc w:val="both"/>
        <w:rPr>
          <w:rFonts w:eastAsia="Calibri"/>
          <w:i/>
          <w:iCs/>
          <w:kern w:val="2"/>
          <w:lang w:val="de-DE" w:eastAsia="en-US"/>
          <w14:ligatures w14:val="standardContextual"/>
        </w:rPr>
      </w:pPr>
    </w:p>
    <w:p w14:paraId="05F45594" w14:textId="0A270516"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IV.30</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Präsident, der Beisitzer-Vizepräsident, die für eine Sache bestimmten Beisitzer, der Generalauditor und der Auditor können aus den in Artikel 828 des Gerichtsgesetzbuches aufgeführten Gründen abgelehnt werden.</w:t>
      </w:r>
    </w:p>
    <w:p w14:paraId="0983B13C" w14:textId="77777777" w:rsidR="00BE3682" w:rsidRPr="004676F5" w:rsidRDefault="00BE3682" w:rsidP="00BE3682">
      <w:pPr>
        <w:jc w:val="both"/>
        <w:rPr>
          <w:rFonts w:eastAsia="Calibri"/>
          <w:kern w:val="2"/>
          <w:lang w:val="de-DE" w:eastAsia="en-US"/>
          <w14:ligatures w14:val="standardContextual"/>
        </w:rPr>
      </w:pPr>
    </w:p>
    <w:p w14:paraId="1C33138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Wer weiß, dass gegen ihn ein Ablehnungsgrund besteht, muss sich der Sache enthalten.</w:t>
      </w:r>
    </w:p>
    <w:p w14:paraId="6E81F05F" w14:textId="77777777" w:rsidR="00BE3682" w:rsidRPr="004676F5" w:rsidRDefault="00BE3682" w:rsidP="00BE3682">
      <w:pPr>
        <w:jc w:val="both"/>
        <w:rPr>
          <w:rFonts w:eastAsia="Calibri"/>
          <w:kern w:val="2"/>
          <w:lang w:val="de-DE" w:eastAsia="en-US"/>
          <w14:ligatures w14:val="standardContextual"/>
        </w:rPr>
      </w:pPr>
    </w:p>
    <w:p w14:paraId="09EF58C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Die Ablehnung wird durch einen mit Gründen versehenen Antrag beim Sekretariat eingereicht. Der Antrag enthält die Gründe und wird von der antragstellenden Partei oder ihrem Sonderbevollmächtigten, der gegebenenfalls über eine dem Antrag beigefügte Sondervollmacht verfügt, unterzeichnet.</w:t>
      </w:r>
    </w:p>
    <w:p w14:paraId="3E2DDCA1" w14:textId="77777777" w:rsidR="00BE3682" w:rsidRPr="004676F5" w:rsidRDefault="00BE3682" w:rsidP="00BE3682">
      <w:pPr>
        <w:jc w:val="both"/>
        <w:rPr>
          <w:rFonts w:eastAsia="Calibri"/>
          <w:kern w:val="2"/>
          <w:lang w:val="de-DE" w:eastAsia="en-US"/>
          <w14:ligatures w14:val="standardContextual"/>
        </w:rPr>
      </w:pPr>
    </w:p>
    <w:p w14:paraId="0075DC8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Sekretariat übermittelt den Ablehnungsantrag innerhalb vierundzwanzig Stunden der abgelehnten Person.</w:t>
      </w:r>
    </w:p>
    <w:p w14:paraId="44996721" w14:textId="77777777" w:rsidR="00BE3682" w:rsidRPr="004676F5" w:rsidRDefault="00BE3682" w:rsidP="00BE3682">
      <w:pPr>
        <w:jc w:val="both"/>
        <w:rPr>
          <w:rFonts w:eastAsia="Calibri"/>
          <w:kern w:val="2"/>
          <w:lang w:val="de-DE" w:eastAsia="en-US"/>
          <w14:ligatures w14:val="standardContextual"/>
        </w:rPr>
      </w:pPr>
    </w:p>
    <w:p w14:paraId="4C16392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Diese gibt innerhalb zweier Tage unten auf dem Antrag eine schriftliche Erklärung ab mit ihrer Zustimmung zu der Ablehnung oder ihrer Enthaltungsverweigerung, wobei sie auf die Ablehnungsgründe eingeht.</w:t>
      </w:r>
    </w:p>
    <w:p w14:paraId="0B9B5C25" w14:textId="77777777" w:rsidR="00BE3682" w:rsidRPr="004676F5" w:rsidRDefault="00BE3682" w:rsidP="00BE3682">
      <w:pPr>
        <w:jc w:val="both"/>
        <w:rPr>
          <w:rFonts w:eastAsia="Calibri"/>
          <w:kern w:val="2"/>
          <w:lang w:val="de-DE" w:eastAsia="en-US"/>
          <w14:ligatures w14:val="standardContextual"/>
        </w:rPr>
      </w:pPr>
    </w:p>
    <w:p w14:paraId="622ABC2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Bei Enthaltungsverweigerung entscheidet der Märktegerichtshof über den Ablehnungsantrag auf Antrag der ablehnenden Partei. Die ablehnende Partei reicht innerhalb zweier Werktage nach Notifizierung durch das Sekretariat der Erklärung der abgelehnten Person ihren mit Gründen versehenen Antrag bei der Kanzlei des Appellationshofes von Brüssel ein. Die ablehnende Partei und die abgelehnte Person werden angehört. Der Märktegerichtshof entscheidet vor allem anderen wie im Eilverfahren. Gegen diesen Entscheid kann keine gesonderte Kassationsbeschwerde eingereicht werden.</w:t>
      </w:r>
    </w:p>
    <w:p w14:paraId="1C80ED4D" w14:textId="77777777" w:rsidR="00BE3682" w:rsidRPr="004676F5" w:rsidRDefault="00BE3682" w:rsidP="00BE3682">
      <w:pPr>
        <w:jc w:val="both"/>
        <w:rPr>
          <w:rFonts w:eastAsia="Calibri"/>
          <w:kern w:val="2"/>
          <w:lang w:val="de-DE" w:eastAsia="en-US"/>
          <w14:ligatures w14:val="standardContextual"/>
        </w:rPr>
      </w:pPr>
    </w:p>
    <w:p w14:paraId="191C613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Verfahren und die Fristen werden ab Einreichung des Ablehnungsantrags beim Sekretariat bis zu dem Tag ausgesetzt, an dem die abgelehnte Person ihre Enthaltung mitteilt oder aufgrund eines Entscheids des Märktegerichtshofes bestätigt oder ersetzt wird.</w:t>
      </w:r>
    </w:p>
    <w:p w14:paraId="70CB38D3" w14:textId="77777777" w:rsidR="00BE3682" w:rsidRPr="004676F5" w:rsidRDefault="00BE3682" w:rsidP="00BE3682">
      <w:pPr>
        <w:jc w:val="both"/>
        <w:rPr>
          <w:rFonts w:eastAsia="Calibri"/>
          <w:kern w:val="2"/>
          <w:lang w:val="de-DE" w:eastAsia="en-US"/>
          <w14:ligatures w14:val="standardContextual"/>
        </w:rPr>
      </w:pPr>
    </w:p>
    <w:p w14:paraId="735CCF02" w14:textId="77777777" w:rsidR="007854CD" w:rsidRPr="004676F5" w:rsidRDefault="007854CD" w:rsidP="00BE3682">
      <w:pPr>
        <w:jc w:val="both"/>
        <w:rPr>
          <w:rFonts w:eastAsia="Calibri"/>
          <w:kern w:val="2"/>
          <w:lang w:val="de-DE" w:eastAsia="en-US"/>
          <w14:ligatures w14:val="standardContextual"/>
        </w:rPr>
      </w:pPr>
    </w:p>
    <w:p w14:paraId="3F4FE46C" w14:textId="3C161D15"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IV.31</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Der Märktegerichtshof kann auf Antrag des Generalprokurators beim Appellationshof von Brüssel unter Angabe der Gründe dem Präsidenten, dem Beisitzer-Vizepräsidenten, den Beisitzern, dem Generalauditor, </w:t>
      </w:r>
      <w:r w:rsidR="00DF287F" w:rsidRPr="004676F5">
        <w:rPr>
          <w:rFonts w:eastAsia="Calibri"/>
          <w:kern w:val="2"/>
          <w:szCs w:val="22"/>
          <w:lang w:val="de-DE" w:eastAsia="en-US"/>
          <w14:ligatures w14:val="standardContextual"/>
        </w:rPr>
        <w:t>[</w:t>
      </w:r>
      <w:r w:rsidR="00DF287F" w:rsidRPr="004676F5">
        <w:rPr>
          <w:lang w:val="de-DE"/>
        </w:rPr>
        <w:t>dem Direktor der wirtschaftlichen Angelegenheiten, dem Direktor der juristischen Angelegenheiten und dem Direktor der Planung und des Haushalts</w:t>
      </w:r>
      <w:r w:rsidR="00DF287F"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als Disziplinarstrafe eine Zurechtweisung, einen Verweis oder eine Gehaltskürzung auferlegen. Der Gerichtshof kann sie auch ihres Amtes entheben oder suspendieren.</w:t>
      </w:r>
    </w:p>
    <w:p w14:paraId="76FAE11E" w14:textId="77777777" w:rsidR="00BE3682" w:rsidRPr="004676F5" w:rsidRDefault="00BE3682" w:rsidP="00BE3682">
      <w:pPr>
        <w:jc w:val="both"/>
        <w:rPr>
          <w:rFonts w:eastAsia="Calibri"/>
          <w:kern w:val="2"/>
          <w:lang w:val="de-DE" w:eastAsia="en-US"/>
          <w14:ligatures w14:val="standardContextual"/>
        </w:rPr>
      </w:pPr>
    </w:p>
    <w:p w14:paraId="6E2D4B2D" w14:textId="393EA877" w:rsidR="007854CD" w:rsidRPr="004676F5" w:rsidRDefault="00DF287F"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IV.31 abgeändert durch Art. 18 des G. vom 29. März 2024 (B.S. vom 3. Mai 2024)]</w:t>
      </w:r>
    </w:p>
    <w:p w14:paraId="28579F81" w14:textId="77777777" w:rsidR="00DF287F" w:rsidRPr="004676F5" w:rsidRDefault="00DF287F" w:rsidP="00BE3682">
      <w:pPr>
        <w:jc w:val="both"/>
        <w:rPr>
          <w:rFonts w:eastAsia="Calibri"/>
          <w:kern w:val="2"/>
          <w:lang w:val="de-DE" w:eastAsia="en-US"/>
          <w14:ligatures w14:val="standardContextual"/>
        </w:rPr>
      </w:pPr>
    </w:p>
    <w:p w14:paraId="5548C4A7" w14:textId="77777777" w:rsidR="00A63088" w:rsidRPr="004676F5" w:rsidRDefault="00A63088" w:rsidP="00BE3682">
      <w:pPr>
        <w:jc w:val="both"/>
        <w:rPr>
          <w:rFonts w:eastAsia="Calibri"/>
          <w:kern w:val="2"/>
          <w:lang w:val="de-DE" w:eastAsia="en-US"/>
          <w14:ligatures w14:val="standardContextual"/>
        </w:rPr>
      </w:pPr>
    </w:p>
    <w:p w14:paraId="119B2C98" w14:textId="5994CC0A" w:rsidR="00BE3682" w:rsidRPr="004676F5" w:rsidRDefault="00BA6079"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8</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DB2D1B"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Berufsgeheimnis, Schweigepflicht und Immunität</w:t>
      </w:r>
      <w:r w:rsidR="00DB2D1B" w:rsidRPr="004676F5">
        <w:rPr>
          <w:rFonts w:eastAsia="Calibri"/>
          <w:kern w:val="2"/>
          <w:szCs w:val="22"/>
          <w:lang w:val="de-DE" w:eastAsia="en-US"/>
          <w14:ligatures w14:val="standardContextual"/>
        </w:rPr>
        <w:t>]</w:t>
      </w:r>
    </w:p>
    <w:p w14:paraId="090A7DE4" w14:textId="77777777" w:rsidR="00BE3682" w:rsidRPr="004676F5" w:rsidRDefault="00BE3682" w:rsidP="00BE3682">
      <w:pPr>
        <w:jc w:val="both"/>
        <w:rPr>
          <w:rFonts w:eastAsia="Calibri"/>
          <w:kern w:val="2"/>
          <w:lang w:val="de-DE" w:eastAsia="en-US"/>
          <w14:ligatures w14:val="standardContextual"/>
        </w:rPr>
      </w:pPr>
    </w:p>
    <w:p w14:paraId="171D69FF" w14:textId="684445BA" w:rsidR="00BA6079" w:rsidRPr="004676F5" w:rsidRDefault="00BA6079" w:rsidP="00BA6079">
      <w:pPr>
        <w:jc w:val="both"/>
        <w:rPr>
          <w:rFonts w:eastAsia="Calibri"/>
          <w:kern w:val="2"/>
          <w:lang w:val="de-DE" w:eastAsia="en-US"/>
          <w14:ligatures w14:val="standardContextual"/>
        </w:rPr>
      </w:pPr>
      <w:r w:rsidRPr="004676F5">
        <w:rPr>
          <w:rFonts w:eastAsia="Calibri"/>
          <w:i/>
          <w:iCs/>
          <w:kern w:val="2"/>
          <w:lang w:val="de-DE" w:eastAsia="en-US"/>
          <w14:ligatures w14:val="standardContextual"/>
        </w:rPr>
        <w:t xml:space="preserve">[Früherer Unterabschnitt 7 umgegliedert zu Abschnitt 8 </w:t>
      </w:r>
      <w:r w:rsidR="00DB2D1B"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1</w:t>
      </w:r>
      <w:r w:rsidR="00A63088" w:rsidRPr="004676F5">
        <w:rPr>
          <w:rFonts w:eastAsia="Calibri"/>
          <w:i/>
          <w:iCs/>
          <w:kern w:val="2"/>
          <w:lang w:val="de-DE" w:eastAsia="en-US"/>
          <w14:ligatures w14:val="standardContextual"/>
        </w:rPr>
        <w:t>9</w:t>
      </w:r>
      <w:r w:rsidRPr="004676F5">
        <w:rPr>
          <w:rFonts w:eastAsia="Calibri"/>
          <w:i/>
          <w:iCs/>
          <w:kern w:val="2"/>
          <w:lang w:val="de-DE" w:eastAsia="en-US"/>
          <w14:ligatures w14:val="standardContextual"/>
        </w:rPr>
        <w:t xml:space="preserve"> des G. vom 29. März 2024 (B.S. vom 3. Mai 2024)]</w:t>
      </w:r>
    </w:p>
    <w:p w14:paraId="1C0C18BA" w14:textId="77777777" w:rsidR="00BA6079" w:rsidRPr="004676F5" w:rsidRDefault="00BA6079" w:rsidP="00BE3682">
      <w:pPr>
        <w:jc w:val="both"/>
        <w:rPr>
          <w:rFonts w:eastAsia="Calibri"/>
          <w:kern w:val="2"/>
          <w:lang w:val="de-DE" w:eastAsia="en-US"/>
          <w14:ligatures w14:val="standardContextual"/>
        </w:rPr>
      </w:pPr>
    </w:p>
    <w:p w14:paraId="44AD9059" w14:textId="77777777" w:rsidR="007854CD" w:rsidRPr="004676F5" w:rsidRDefault="007854CD" w:rsidP="00BE3682">
      <w:pPr>
        <w:jc w:val="both"/>
        <w:rPr>
          <w:rFonts w:eastAsia="Calibri"/>
          <w:kern w:val="2"/>
          <w:lang w:val="de-DE" w:eastAsia="en-US"/>
          <w14:ligatures w14:val="standardContextual"/>
        </w:rPr>
      </w:pPr>
    </w:p>
    <w:p w14:paraId="728C4FEB" w14:textId="4AF3F9A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IV.32</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 1 ­ </w:t>
      </w:r>
      <w:r w:rsidR="00A63088" w:rsidRPr="004676F5">
        <w:rPr>
          <w:rFonts w:eastAsia="Calibri"/>
          <w:kern w:val="2"/>
          <w:szCs w:val="22"/>
          <w:lang w:val="de-DE" w:eastAsia="en-US"/>
          <w14:ligatures w14:val="standardContextual"/>
        </w:rPr>
        <w:t>[</w:t>
      </w:r>
      <w:r w:rsidR="00A63088" w:rsidRPr="004676F5">
        <w:rPr>
          <w:lang w:val="de-DE"/>
        </w:rPr>
        <w:t xml:space="preserve">Der Präsident, der Beisitzer-Vizepräsident, die Beisitzer, der Generalauditor, der Direktor der wirtschaftlichen Angelegenheiten, der Direktor der juristischen Angelegenheiten, der Direktor der Planung und des Haushalts und die Personalmitglieder der Belgischen Wettbewerbsbehörde und unter ihrer Aufsicht tätige Personen sind an das Berufsgeheimnis gebunden und dürfen vorbehaltlich des Artikels IV.26 § 3 Nr. 9, der Bestimmungen von Titel 3 Kapitel 1 Abschnitt 1 und 11, Titel 4 und der Königlichen Erlasse zur Ausführung von Artikel IV.94 vertrauliche Angaben und Informationen, von denen sie aufgrund ihres Amtes Kenntnis erhalten, keiner Person oder Behörde mitteilen, es sei denn, sie werden vorgeladen, vor Gericht auszusagen, oder sie werden </w:t>
      </w:r>
      <w:r w:rsidR="00A63088" w:rsidRPr="004676F5">
        <w:rPr>
          <w:lang w:val="de-DE"/>
        </w:rPr>
        <w:lastRenderedPageBreak/>
        <w:t>aufgefordert, gemäß den Bestimmungen von Buch XVII Titel 3 Kapitel 3 Beweismittel vorzulegen.</w:t>
      </w:r>
      <w:r w:rsidR="00A63088" w:rsidRPr="004676F5">
        <w:rPr>
          <w:rFonts w:eastAsia="Calibri"/>
          <w:kern w:val="2"/>
          <w:szCs w:val="22"/>
          <w:lang w:val="de-DE" w:eastAsia="en-US"/>
          <w14:ligatures w14:val="standardContextual"/>
        </w:rPr>
        <w:t>]</w:t>
      </w:r>
    </w:p>
    <w:p w14:paraId="0BE2DE24" w14:textId="77777777" w:rsidR="00BE3682" w:rsidRPr="004676F5" w:rsidRDefault="00BE3682" w:rsidP="00BE3682">
      <w:pPr>
        <w:jc w:val="both"/>
        <w:rPr>
          <w:rFonts w:eastAsia="Calibri"/>
          <w:kern w:val="2"/>
          <w:lang w:val="de-DE" w:eastAsia="en-US"/>
          <w14:ligatures w14:val="standardContextual"/>
        </w:rPr>
      </w:pPr>
    </w:p>
    <w:p w14:paraId="1970B09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Sie dürfen diese Angaben und Informationen nur zu dem Zweck, für den sie erlangt wurden, verwerten.</w:t>
      </w:r>
    </w:p>
    <w:p w14:paraId="13347751" w14:textId="77777777" w:rsidR="00BE3682" w:rsidRPr="004676F5" w:rsidRDefault="00BE3682" w:rsidP="00BE3682">
      <w:pPr>
        <w:jc w:val="both"/>
        <w:rPr>
          <w:rFonts w:eastAsia="Calibri"/>
          <w:kern w:val="2"/>
          <w:lang w:val="de-DE" w:eastAsia="en-US"/>
          <w14:ligatures w14:val="standardContextual"/>
        </w:rPr>
      </w:pPr>
    </w:p>
    <w:p w14:paraId="5ED210B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Generalauditor kann in Abweichung von den Absätzen 1 und 2 Informationen über laufende Untersuchungen mitteilen, wenn das öffentliche Interesse es erfordert. Er sorgt für die Achtung der Unschuldsvermutung, der Rechte der Verteidigung der betroffenen Parteien, des Privatlebens und der Würde der Personen. Nach Möglichkeit wird die Identität der betroffenen Parteien nicht preisgegeben.</w:t>
      </w:r>
    </w:p>
    <w:p w14:paraId="3BD79EA9" w14:textId="77777777" w:rsidR="00BE3682" w:rsidRPr="004676F5" w:rsidRDefault="00BE3682" w:rsidP="00BE3682">
      <w:pPr>
        <w:jc w:val="both"/>
        <w:rPr>
          <w:rFonts w:eastAsia="Calibri"/>
          <w:kern w:val="2"/>
          <w:lang w:val="de-DE" w:eastAsia="en-US"/>
          <w14:ligatures w14:val="standardContextual"/>
        </w:rPr>
      </w:pPr>
    </w:p>
    <w:p w14:paraId="59EE87FE" w14:textId="586F49B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 2 ­ Das Berufsgeheimnis und die Schweigepflicht gemäß § 1 gelten auch für Vertreter der Belgischen Wettbewerbsbehörde und Sachverständige, die </w:t>
      </w:r>
      <w:r w:rsidR="00A63088" w:rsidRPr="004676F5">
        <w:rPr>
          <w:rFonts w:eastAsia="Calibri"/>
          <w:kern w:val="2"/>
          <w:szCs w:val="22"/>
          <w:lang w:val="de-DE" w:eastAsia="en-US"/>
          <w14:ligatures w14:val="standardContextual"/>
        </w:rPr>
        <w:t>[</w:t>
      </w:r>
      <w:r w:rsidR="00A63088" w:rsidRPr="004676F5">
        <w:rPr>
          <w:lang w:val="de-DE"/>
        </w:rPr>
        <w:t>an den Sitzungen des in Artikel 14 der Verordnung (EG) Nr. 1/2003, in Artikel 19 der Verordnung (EG) Nr. 139/2004 und in Artikel 50 der Verordnung (EU) 2022/1925 erwähnten Beratenden Ausschusses sowie an der in Artikel 40 der Verordnung (EU) 2022/1925 erwähnten hochrangigen Gruppe</w:t>
      </w:r>
      <w:r w:rsidR="00A63088"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teilnehmen.</w:t>
      </w:r>
    </w:p>
    <w:p w14:paraId="2EE409DE" w14:textId="77777777" w:rsidR="00BE3682" w:rsidRPr="004676F5" w:rsidRDefault="00BE3682" w:rsidP="00BE3682">
      <w:pPr>
        <w:jc w:val="both"/>
        <w:rPr>
          <w:rFonts w:eastAsia="Calibri"/>
          <w:kern w:val="2"/>
          <w:lang w:val="de-DE" w:eastAsia="en-US"/>
          <w14:ligatures w14:val="standardContextual"/>
        </w:rPr>
      </w:pPr>
    </w:p>
    <w:p w14:paraId="578BFB4D" w14:textId="58439A9E" w:rsidR="007854CD" w:rsidRPr="004676F5" w:rsidRDefault="00A63088"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IV.32 § 1 Abs. 1 ersetzt durch Art. 20 Nr. 1 des G. vom 29. März 2024 (B.S. vom 3. Mai 2024); § 2 abgeändert durch Art. 20 Nr. 2 des G. vom 29. März 2024 (B.S. vom 3. Mai 2024)]</w:t>
      </w:r>
    </w:p>
    <w:p w14:paraId="79986C9B" w14:textId="77777777" w:rsidR="00A63088" w:rsidRPr="004676F5" w:rsidRDefault="00A63088" w:rsidP="00BE3682">
      <w:pPr>
        <w:jc w:val="both"/>
        <w:rPr>
          <w:rFonts w:eastAsia="Calibri"/>
          <w:kern w:val="2"/>
          <w:lang w:val="de-DE" w:eastAsia="en-US"/>
          <w14:ligatures w14:val="standardContextual"/>
        </w:rPr>
      </w:pPr>
    </w:p>
    <w:p w14:paraId="6C2EB2AF" w14:textId="77777777" w:rsidR="00A63088" w:rsidRPr="004676F5" w:rsidRDefault="00A63088" w:rsidP="00BE3682">
      <w:pPr>
        <w:jc w:val="both"/>
        <w:rPr>
          <w:rFonts w:eastAsia="Calibri"/>
          <w:kern w:val="2"/>
          <w:lang w:val="de-DE" w:eastAsia="en-US"/>
          <w14:ligatures w14:val="standardContextual"/>
        </w:rPr>
      </w:pPr>
    </w:p>
    <w:p w14:paraId="7D5B6761" w14:textId="46B3DD0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IV.33</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0A1E2C" w:rsidRPr="004676F5">
        <w:rPr>
          <w:rFonts w:eastAsia="Calibri"/>
          <w:kern w:val="2"/>
          <w:szCs w:val="22"/>
          <w:lang w:val="de-DE" w:eastAsia="en-US"/>
          <w14:ligatures w14:val="standardContextual"/>
        </w:rPr>
        <w:t xml:space="preserve">[§ 1] </w:t>
      </w:r>
      <w:r w:rsidR="005B7A5C" w:rsidRPr="004676F5">
        <w:rPr>
          <w:rFonts w:eastAsia="Calibri"/>
          <w:kern w:val="2"/>
          <w:szCs w:val="22"/>
          <w:lang w:val="de-DE" w:eastAsia="en-US"/>
          <w14:ligatures w14:val="standardContextual"/>
        </w:rPr>
        <w:t>- </w:t>
      </w:r>
      <w:r w:rsidR="000A1E2C" w:rsidRPr="004676F5">
        <w:rPr>
          <w:rFonts w:eastAsia="Calibri"/>
          <w:kern w:val="2"/>
          <w:szCs w:val="22"/>
          <w:lang w:val="de-DE" w:eastAsia="en-US"/>
          <w14:ligatures w14:val="standardContextual"/>
        </w:rPr>
        <w:t>[</w:t>
      </w:r>
      <w:r w:rsidR="000A1E2C" w:rsidRPr="004676F5">
        <w:rPr>
          <w:lang w:val="de-DE"/>
        </w:rPr>
        <w:t>Unbeschadet der Artikel XVII.77, XVII.78 und XVII.79 ist es der Belgischen Wettbewerbsbehörde untersagt,</w:t>
      </w:r>
      <w:r w:rsidR="000A1E2C"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einer Anordnung oder einem Antrag eines Richters oder eines Gerichts Folge zu leisten, die auf die Übermittlung von Kronzeugenerklärungen, Erklärungen zur Erlangung </w:t>
      </w:r>
      <w:r w:rsidR="000A1E2C" w:rsidRPr="004676F5">
        <w:rPr>
          <w:rFonts w:eastAsia="Calibri"/>
          <w:kern w:val="2"/>
          <w:szCs w:val="22"/>
          <w:lang w:val="de-DE" w:eastAsia="en-US"/>
          <w14:ligatures w14:val="standardContextual"/>
        </w:rPr>
        <w:t>[</w:t>
      </w:r>
      <w:r w:rsidR="000A1E2C" w:rsidRPr="004676F5">
        <w:rPr>
          <w:lang w:val="de-DE"/>
        </w:rPr>
        <w:t>der Befreiung von gerichtlicher Verfolgung und Vergleichsausführungen</w:t>
      </w:r>
      <w:r w:rsidR="000A1E2C"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abzielen. Eine gerichtliche Instanz, einschließlich eines Untersuchungsrichters, kann keinen entsprechenden Befehl oder Antrag an die Belgische Wettbewerbsbehörde richten.</w:t>
      </w:r>
    </w:p>
    <w:p w14:paraId="3699FD5C" w14:textId="77777777" w:rsidR="00BE3682" w:rsidRPr="004676F5" w:rsidRDefault="00BE3682" w:rsidP="00BE3682">
      <w:pPr>
        <w:jc w:val="both"/>
        <w:rPr>
          <w:rFonts w:eastAsia="Calibri"/>
          <w:kern w:val="2"/>
          <w:lang w:val="de-DE" w:eastAsia="en-US"/>
          <w14:ligatures w14:val="standardContextual"/>
        </w:rPr>
      </w:pPr>
    </w:p>
    <w:p w14:paraId="4C99757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Absatz 1 gilt nicht im Falle einer strafrechtlichen Untersuchung gegen Personal</w:t>
      </w:r>
      <w:r w:rsidRPr="004676F5">
        <w:rPr>
          <w:rFonts w:eastAsia="Calibri"/>
          <w:kern w:val="2"/>
          <w:szCs w:val="22"/>
          <w:lang w:val="de-DE" w:eastAsia="en-US"/>
          <w14:ligatures w14:val="standardContextual"/>
        </w:rPr>
        <w:softHyphen/>
        <w:t>mitglieder der Belgischen Wettbewerbsbehörde, Mitglieder des Direktionsausschusses oder Beisitzer.</w:t>
      </w:r>
    </w:p>
    <w:p w14:paraId="363CDF54" w14:textId="77777777" w:rsidR="00BE3682" w:rsidRPr="004676F5" w:rsidRDefault="00BE3682" w:rsidP="00BE3682">
      <w:pPr>
        <w:jc w:val="both"/>
        <w:rPr>
          <w:rFonts w:eastAsia="Calibri"/>
          <w:kern w:val="2"/>
          <w:lang w:val="de-DE" w:eastAsia="en-US"/>
          <w14:ligatures w14:val="standardContextual"/>
        </w:rPr>
      </w:pPr>
    </w:p>
    <w:p w14:paraId="5681CFF6" w14:textId="424B7DDA" w:rsidR="000A1E2C" w:rsidRPr="004676F5" w:rsidRDefault="000A1E2C" w:rsidP="000A1E2C">
      <w:pPr>
        <w:jc w:val="both"/>
        <w:rPr>
          <w:lang w:val="de-DE"/>
        </w:rPr>
      </w:pPr>
      <w:r w:rsidRPr="004676F5">
        <w:rPr>
          <w:rFonts w:eastAsia="Calibri"/>
          <w:kern w:val="2"/>
          <w:lang w:val="de-DE" w:eastAsia="en-US"/>
          <w14:ligatures w14:val="standardContextual"/>
        </w:rPr>
        <w:tab/>
        <w:t>[</w:t>
      </w:r>
      <w:r w:rsidRPr="004676F5">
        <w:rPr>
          <w:lang w:val="de-DE"/>
        </w:rPr>
        <w:t>§ 2 </w:t>
      </w:r>
      <w:r w:rsidR="005B7A5C" w:rsidRPr="004676F5">
        <w:rPr>
          <w:lang w:val="de-DE"/>
        </w:rPr>
        <w:t>- </w:t>
      </w:r>
      <w:r w:rsidRPr="004676F5">
        <w:rPr>
          <w:lang w:val="de-DE"/>
        </w:rPr>
        <w:t>Eine Partei, die Einsicht in die Untersuchungsakte oder Verfahrensakte der Belgischen Wettbewerbsbehörde erhalten hat, darf Informationen aus Kronzeugenerklärungen und Vergleichsausführungen nur verwenden, wenn dies für die Ausübung ihrer Verteidigungsrechte in Verfahren vor nationalen Gerichten in Rechtssachen erforderlich ist, die sich unmittelbar auf den Fall beziehen, in dem Akteneinsicht gewährt wurde, und diese Verfahren Folgendes betreffen:</w:t>
      </w:r>
    </w:p>
    <w:p w14:paraId="4D1405C8" w14:textId="77777777" w:rsidR="000A1E2C" w:rsidRPr="004676F5" w:rsidRDefault="000A1E2C" w:rsidP="000A1E2C">
      <w:pPr>
        <w:jc w:val="both"/>
        <w:rPr>
          <w:lang w:val="de-DE"/>
        </w:rPr>
      </w:pPr>
    </w:p>
    <w:p w14:paraId="142E9556" w14:textId="77777777" w:rsidR="000A1E2C" w:rsidRPr="004676F5" w:rsidRDefault="000A1E2C" w:rsidP="000A1E2C">
      <w:pPr>
        <w:jc w:val="both"/>
        <w:rPr>
          <w:lang w:val="de-DE"/>
        </w:rPr>
      </w:pPr>
      <w:r w:rsidRPr="004676F5">
        <w:rPr>
          <w:lang w:val="de-DE"/>
        </w:rPr>
        <w:tab/>
        <w:t>1. Aufteilung einer den Kartellbeteiligten von einer nationalen Wettbewerbsbehörde gesamtschuldnerisch auferlegten Geldbuße auf die einzelnen Kartellbeteiligten oder</w:t>
      </w:r>
    </w:p>
    <w:p w14:paraId="5A23C940" w14:textId="77777777" w:rsidR="000A1E2C" w:rsidRPr="004676F5" w:rsidRDefault="000A1E2C" w:rsidP="000A1E2C">
      <w:pPr>
        <w:jc w:val="both"/>
        <w:rPr>
          <w:lang w:val="de-DE"/>
        </w:rPr>
      </w:pPr>
    </w:p>
    <w:p w14:paraId="29EC8141" w14:textId="77777777" w:rsidR="000A1E2C" w:rsidRPr="004676F5" w:rsidRDefault="000A1E2C" w:rsidP="000A1E2C">
      <w:pPr>
        <w:jc w:val="both"/>
        <w:rPr>
          <w:lang w:val="de-DE"/>
        </w:rPr>
      </w:pPr>
      <w:r w:rsidRPr="004676F5">
        <w:rPr>
          <w:lang w:val="de-DE"/>
        </w:rPr>
        <w:tab/>
        <w:t>2. Überprüfung einer in Artikel IV.52 § 1 Nr. 2 erwähnten Entscheidung des Wettbewerbskollegiums.</w:t>
      </w:r>
    </w:p>
    <w:p w14:paraId="71276EC1" w14:textId="77777777" w:rsidR="000A1E2C" w:rsidRPr="004676F5" w:rsidRDefault="000A1E2C" w:rsidP="000A1E2C">
      <w:pPr>
        <w:jc w:val="both"/>
        <w:rPr>
          <w:lang w:val="de-DE"/>
        </w:rPr>
      </w:pPr>
    </w:p>
    <w:p w14:paraId="10D0E1A5" w14:textId="77777777" w:rsidR="000A1E2C" w:rsidRPr="004676F5" w:rsidRDefault="000A1E2C" w:rsidP="000A1E2C">
      <w:pPr>
        <w:jc w:val="both"/>
        <w:rPr>
          <w:lang w:val="de-DE"/>
        </w:rPr>
      </w:pPr>
      <w:r w:rsidRPr="004676F5">
        <w:rPr>
          <w:lang w:val="de-DE"/>
        </w:rPr>
        <w:tab/>
        <w:t xml:space="preserve">§ 3 ­ Eine Partei, die im Laufe eines Verfahrens vor der Belgischen Wettbewerbsbehörde folgende Informationen erhalten hat, darf diese Informationen nicht in </w:t>
      </w:r>
      <w:r w:rsidRPr="004676F5">
        <w:rPr>
          <w:lang w:val="de-DE"/>
        </w:rPr>
        <w:lastRenderedPageBreak/>
        <w:t>Verfahren vor nationalen Gerichten verwenden, bevor die Belgische Wettbewerbsbehörde ihr Verfahren durch Erlass einer Entscheidung oder in anderer Weise beendet hat:</w:t>
      </w:r>
    </w:p>
    <w:p w14:paraId="386D306A" w14:textId="77777777" w:rsidR="000A1E2C" w:rsidRPr="004676F5" w:rsidRDefault="000A1E2C" w:rsidP="000A1E2C">
      <w:pPr>
        <w:jc w:val="both"/>
        <w:rPr>
          <w:lang w:val="de-DE"/>
        </w:rPr>
      </w:pPr>
    </w:p>
    <w:p w14:paraId="4FE71232" w14:textId="77777777" w:rsidR="000A1E2C" w:rsidRPr="004676F5" w:rsidRDefault="000A1E2C" w:rsidP="000A1E2C">
      <w:pPr>
        <w:jc w:val="both"/>
        <w:rPr>
          <w:lang w:val="de-DE"/>
        </w:rPr>
      </w:pPr>
      <w:r w:rsidRPr="004676F5">
        <w:rPr>
          <w:lang w:val="de-DE"/>
        </w:rPr>
        <w:tab/>
        <w:t>1. Informationen, die von natürlichen oder juristischen Person eigens für das Verfahren der Belgischen Wettbewerbsbehörde erstellt wurden,</w:t>
      </w:r>
    </w:p>
    <w:p w14:paraId="6EB1F123" w14:textId="77777777" w:rsidR="000A1E2C" w:rsidRPr="004676F5" w:rsidRDefault="000A1E2C" w:rsidP="000A1E2C">
      <w:pPr>
        <w:jc w:val="both"/>
        <w:rPr>
          <w:lang w:val="de-DE"/>
        </w:rPr>
      </w:pPr>
    </w:p>
    <w:p w14:paraId="3B7CB7E9" w14:textId="77777777" w:rsidR="000A1E2C" w:rsidRPr="004676F5" w:rsidRDefault="000A1E2C" w:rsidP="000A1E2C">
      <w:pPr>
        <w:jc w:val="both"/>
        <w:rPr>
          <w:lang w:val="de-DE"/>
        </w:rPr>
      </w:pPr>
      <w:r w:rsidRPr="004676F5">
        <w:rPr>
          <w:lang w:val="de-DE"/>
        </w:rPr>
        <w:tab/>
        <w:t>2. Informationen, die die Belgische Wettbewerbsbehörde im Laufe ihres Verfahrens erstellt und den Parteien übermittelt hat, und</w:t>
      </w:r>
    </w:p>
    <w:p w14:paraId="3AA84A93" w14:textId="77777777" w:rsidR="000A1E2C" w:rsidRPr="004676F5" w:rsidRDefault="000A1E2C" w:rsidP="000A1E2C">
      <w:pPr>
        <w:jc w:val="both"/>
        <w:rPr>
          <w:lang w:val="de-DE"/>
        </w:rPr>
      </w:pPr>
    </w:p>
    <w:p w14:paraId="1FBD7D76" w14:textId="6541B694" w:rsidR="000A1E2C" w:rsidRPr="004676F5" w:rsidRDefault="000A1E2C" w:rsidP="000A1E2C">
      <w:pPr>
        <w:jc w:val="both"/>
        <w:rPr>
          <w:rFonts w:eastAsia="Calibri"/>
          <w:kern w:val="2"/>
          <w:lang w:val="de-DE" w:eastAsia="en-US"/>
          <w14:ligatures w14:val="standardContextual"/>
        </w:rPr>
      </w:pPr>
      <w:r w:rsidRPr="004676F5">
        <w:rPr>
          <w:lang w:val="de-DE"/>
        </w:rPr>
        <w:tab/>
        <w:t>3. Vergleichsausführungen, die zurückgezogen wurden.</w:t>
      </w:r>
      <w:r w:rsidRPr="004676F5">
        <w:rPr>
          <w:rFonts w:eastAsia="Calibri"/>
          <w:kern w:val="2"/>
          <w:lang w:val="de-DE" w:eastAsia="en-US"/>
          <w14:ligatures w14:val="standardContextual"/>
        </w:rPr>
        <w:t>]</w:t>
      </w:r>
    </w:p>
    <w:p w14:paraId="539196CF" w14:textId="77777777" w:rsidR="000A1E2C" w:rsidRPr="004676F5" w:rsidRDefault="000A1E2C" w:rsidP="000A1E2C">
      <w:pPr>
        <w:jc w:val="both"/>
        <w:rPr>
          <w:rFonts w:eastAsia="Calibri"/>
          <w:kern w:val="2"/>
          <w:lang w:val="de-DE" w:eastAsia="en-US"/>
          <w14:ligatures w14:val="standardContextual"/>
        </w:rPr>
      </w:pPr>
    </w:p>
    <w:p w14:paraId="7FD1BE0D" w14:textId="3201C9A3" w:rsidR="000A1E2C" w:rsidRPr="004676F5" w:rsidRDefault="000A1E2C" w:rsidP="000A1E2C">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IV.33 § 1 (frühere Absätze 1 und 2) nummeriert durch Art. 11 Nr. 2 des G. vom 28. Februar 2022 (B.S. vom 7. März 2022); § 1 Abs. 1 abgeändert durch Art. 11 Nr. 1 des G. vom 28. Februar 2022 (B.S. vom 7. März 2022); §§ 2 und 3 eingefügt durch Art. 11 Nr. 2 des G. vom 28. Februar 2022 (B.S. vom 7. März 2022)]</w:t>
      </w:r>
    </w:p>
    <w:p w14:paraId="09BC201C" w14:textId="77777777" w:rsidR="000A1E2C" w:rsidRPr="004676F5" w:rsidRDefault="000A1E2C" w:rsidP="000A1E2C">
      <w:pPr>
        <w:jc w:val="both"/>
        <w:rPr>
          <w:rFonts w:eastAsia="Calibri"/>
          <w:i/>
          <w:iCs/>
          <w:kern w:val="2"/>
          <w:lang w:val="de-DE" w:eastAsia="en-US"/>
          <w14:ligatures w14:val="standardContextual"/>
        </w:rPr>
      </w:pPr>
    </w:p>
    <w:p w14:paraId="6C4FE2F7" w14:textId="77777777" w:rsidR="007854CD" w:rsidRPr="004676F5" w:rsidRDefault="007854CD" w:rsidP="00BE3682">
      <w:pPr>
        <w:jc w:val="both"/>
        <w:rPr>
          <w:rFonts w:eastAsia="Calibri"/>
          <w:kern w:val="2"/>
          <w:lang w:val="de-DE" w:eastAsia="en-US"/>
          <w14:ligatures w14:val="standardContextual"/>
        </w:rPr>
      </w:pPr>
    </w:p>
    <w:p w14:paraId="585065B7" w14:textId="7A8987F6"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IV.34</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Präsident, der Beisitzer-Vizepräsident, die Beisitzer, die an der Entscheidung in einer Sache mitwirken, der Generalauditor, der Direktor der wirtschaftlichen Angelegenheiten, der Direktor der juristischen Angelegenheiten</w:t>
      </w:r>
      <w:r w:rsidR="00A63088" w:rsidRPr="004676F5">
        <w:rPr>
          <w:rFonts w:eastAsia="Calibri"/>
          <w:kern w:val="2"/>
          <w:szCs w:val="22"/>
          <w:lang w:val="de-DE" w:eastAsia="en-US"/>
          <w14:ligatures w14:val="standardContextual"/>
        </w:rPr>
        <w:t>[</w:t>
      </w:r>
      <w:r w:rsidR="00A63088" w:rsidRPr="004676F5">
        <w:rPr>
          <w:lang w:val="de-DE"/>
        </w:rPr>
        <w:t>, der Direktor der Planung und des Haushalts</w:t>
      </w:r>
      <w:r w:rsidR="00A63088" w:rsidRPr="004676F5">
        <w:rPr>
          <w:rFonts w:eastAsia="Calibri"/>
          <w:kern w:val="2"/>
          <w:szCs w:val="22"/>
          <w:lang w:val="de-DE" w:eastAsia="en-US"/>
          <w14:ligatures w14:val="standardContextual"/>
        </w:rPr>
        <w:t xml:space="preserve">] </w:t>
      </w:r>
      <w:r w:rsidRPr="004676F5">
        <w:rPr>
          <w:rFonts w:eastAsia="Calibri"/>
          <w:kern w:val="2"/>
          <w:szCs w:val="22"/>
          <w:lang w:val="de-DE" w:eastAsia="en-US"/>
          <w14:ligatures w14:val="standardContextual"/>
        </w:rPr>
        <w:t>und die Personalmitglieder der Belgischen Wettbewerbsbehörde haben bei der Ausübung ihres Amtes dieselben Immunitäten wie Staatsbedienstete.</w:t>
      </w:r>
    </w:p>
    <w:p w14:paraId="1F5B1345" w14:textId="0931E44D" w:rsidR="00BE3682" w:rsidRPr="004676F5" w:rsidRDefault="00BE3682" w:rsidP="00BE3682">
      <w:pPr>
        <w:jc w:val="both"/>
        <w:rPr>
          <w:rFonts w:eastAsia="Calibri"/>
          <w:kern w:val="2"/>
          <w:szCs w:val="22"/>
          <w:lang w:val="de-DE" w:eastAsia="en-US"/>
          <w14:ligatures w14:val="standardContextual"/>
        </w:rPr>
      </w:pPr>
    </w:p>
    <w:p w14:paraId="37FE1D7B" w14:textId="58ED3BC3" w:rsidR="00A63088" w:rsidRPr="004676F5" w:rsidRDefault="00A63088" w:rsidP="00BE3682">
      <w:pPr>
        <w:jc w:val="both"/>
        <w:rPr>
          <w:rFonts w:eastAsia="Calibri"/>
          <w:kern w:val="2"/>
          <w:szCs w:val="22"/>
          <w:lang w:val="de-DE" w:eastAsia="en-US"/>
          <w14:ligatures w14:val="standardContextual"/>
        </w:rPr>
      </w:pPr>
      <w:r w:rsidRPr="004676F5">
        <w:rPr>
          <w:rFonts w:eastAsia="Calibri"/>
          <w:i/>
          <w:iCs/>
          <w:kern w:val="2"/>
          <w:szCs w:val="22"/>
          <w:lang w:val="de-DE" w:eastAsia="en-US"/>
          <w14:ligatures w14:val="standardContextual"/>
        </w:rPr>
        <w:t xml:space="preserve">[Art. IV.34 </w:t>
      </w:r>
      <w:r w:rsidRPr="004676F5">
        <w:rPr>
          <w:rFonts w:eastAsia="Calibri"/>
          <w:i/>
          <w:iCs/>
          <w:kern w:val="2"/>
          <w:lang w:val="de-DE" w:eastAsia="en-US"/>
          <w14:ligatures w14:val="standardContextual"/>
        </w:rPr>
        <w:t>abgeändert durch Art. 21 des G. vom 29. März 2024 (B.S. vom 3. Mai 2024)</w:t>
      </w:r>
      <w:r w:rsidRPr="004676F5">
        <w:rPr>
          <w:rFonts w:eastAsia="Calibri"/>
          <w:i/>
          <w:iCs/>
          <w:kern w:val="2"/>
          <w:szCs w:val="22"/>
          <w:lang w:val="de-DE" w:eastAsia="en-US"/>
          <w14:ligatures w14:val="standardContextual"/>
        </w:rPr>
        <w:t>]</w:t>
      </w:r>
    </w:p>
    <w:p w14:paraId="73B11B82" w14:textId="77777777" w:rsidR="00A63088" w:rsidRPr="004676F5" w:rsidRDefault="00A63088" w:rsidP="00BE3682">
      <w:pPr>
        <w:jc w:val="both"/>
        <w:rPr>
          <w:rFonts w:eastAsia="Calibri"/>
          <w:kern w:val="2"/>
          <w:szCs w:val="22"/>
          <w:lang w:val="de-DE" w:eastAsia="en-US"/>
          <w14:ligatures w14:val="standardContextual"/>
        </w:rPr>
      </w:pPr>
    </w:p>
    <w:p w14:paraId="082CF082" w14:textId="77777777" w:rsidR="007854CD" w:rsidRPr="004676F5" w:rsidRDefault="007854CD" w:rsidP="00BE3682">
      <w:pPr>
        <w:jc w:val="both"/>
        <w:rPr>
          <w:rFonts w:eastAsia="Calibri"/>
          <w:kern w:val="2"/>
          <w:lang w:val="de-DE" w:eastAsia="en-US"/>
          <w14:ligatures w14:val="standardContextual"/>
        </w:rPr>
      </w:pPr>
    </w:p>
    <w:p w14:paraId="03FF063A" w14:textId="7CCCBDDC" w:rsidR="00BE3682" w:rsidRPr="004676F5" w:rsidRDefault="00A63088"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9</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DB2D1B"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Unvereinbarkeiten und Interessenkonflikte</w:t>
      </w:r>
      <w:r w:rsidR="00DB2D1B" w:rsidRPr="004676F5">
        <w:rPr>
          <w:rFonts w:eastAsia="Calibri"/>
          <w:kern w:val="2"/>
          <w:szCs w:val="22"/>
          <w:lang w:val="de-DE" w:eastAsia="en-US"/>
          <w14:ligatures w14:val="standardContextual"/>
        </w:rPr>
        <w:t>]</w:t>
      </w:r>
    </w:p>
    <w:p w14:paraId="699E8F79" w14:textId="77777777" w:rsidR="00BE3682" w:rsidRPr="004676F5" w:rsidRDefault="00BE3682" w:rsidP="00BE3682">
      <w:pPr>
        <w:jc w:val="both"/>
        <w:rPr>
          <w:rFonts w:eastAsia="Calibri"/>
          <w:kern w:val="2"/>
          <w:lang w:val="de-DE" w:eastAsia="en-US"/>
          <w14:ligatures w14:val="standardContextual"/>
        </w:rPr>
      </w:pPr>
    </w:p>
    <w:p w14:paraId="1C46B137" w14:textId="559C8D91" w:rsidR="00A63088" w:rsidRPr="004676F5" w:rsidRDefault="00A63088" w:rsidP="00A63088">
      <w:pPr>
        <w:jc w:val="both"/>
        <w:rPr>
          <w:rFonts w:eastAsia="Calibri"/>
          <w:kern w:val="2"/>
          <w:lang w:val="de-DE" w:eastAsia="en-US"/>
          <w14:ligatures w14:val="standardContextual"/>
        </w:rPr>
      </w:pPr>
      <w:r w:rsidRPr="004676F5">
        <w:rPr>
          <w:rFonts w:eastAsia="Calibri"/>
          <w:i/>
          <w:iCs/>
          <w:kern w:val="2"/>
          <w:lang w:val="de-DE" w:eastAsia="en-US"/>
          <w14:ligatures w14:val="standardContextual"/>
        </w:rPr>
        <w:t xml:space="preserve">[Früherer Unterabschnitt 8 umgegliedert zu Abschnitt 9 </w:t>
      </w:r>
      <w:r w:rsidR="00DB2D1B"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22 des G. vom 29. März 2024 (B.S. vom 3. Mai 2024)]</w:t>
      </w:r>
    </w:p>
    <w:p w14:paraId="5383E7F4" w14:textId="77777777" w:rsidR="00A63088" w:rsidRPr="004676F5" w:rsidRDefault="00A63088" w:rsidP="00BE3682">
      <w:pPr>
        <w:jc w:val="both"/>
        <w:rPr>
          <w:rFonts w:eastAsia="Calibri"/>
          <w:kern w:val="2"/>
          <w:lang w:val="de-DE" w:eastAsia="en-US"/>
          <w14:ligatures w14:val="standardContextual"/>
        </w:rPr>
      </w:pPr>
    </w:p>
    <w:p w14:paraId="64F41342" w14:textId="77777777" w:rsidR="007854CD" w:rsidRPr="004676F5" w:rsidRDefault="007854CD" w:rsidP="00BE3682">
      <w:pPr>
        <w:jc w:val="both"/>
        <w:rPr>
          <w:rFonts w:eastAsia="Calibri"/>
          <w:kern w:val="2"/>
          <w:lang w:val="de-DE" w:eastAsia="en-US"/>
          <w14:ligatures w14:val="standardContextual"/>
        </w:rPr>
      </w:pPr>
    </w:p>
    <w:p w14:paraId="02F2FBD6" w14:textId="2C8F9DD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IV.35</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Die Ämter als Präsident, Generalauditor, Direktor der juristischen Angelegenheiten</w:t>
      </w:r>
      <w:r w:rsidR="00A63088" w:rsidRPr="004676F5">
        <w:rPr>
          <w:rFonts w:eastAsia="Calibri"/>
          <w:kern w:val="2"/>
          <w:szCs w:val="22"/>
          <w:lang w:val="de-DE" w:eastAsia="en-US"/>
          <w14:ligatures w14:val="standardContextual"/>
        </w:rPr>
        <w:t>[</w:t>
      </w:r>
      <w:r w:rsidR="00A63088" w:rsidRPr="004676F5">
        <w:rPr>
          <w:lang w:val="de-DE"/>
        </w:rPr>
        <w:t>, Direktor der wirtschaftlichen Angelegenheiten und Direktor der Planung und des Haushalts</w:t>
      </w:r>
      <w:r w:rsidR="00A63088"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und die Funktion als Personalmitglied der Belgischen Wettbewerbsbehörde sind unvereinbar mit gerichtlichen Funktionen, mit der Ausübung eines öffentlichen Mandats, das auf einer anderen Ebene als der lokalen oder der provinzialen Ebene durch Wahl vergeben wird, mit entlohnten Funktionen oder öffentlichen Ämtern politischer oder administrativer Art, mit dem Amt eines Notars oder Gerichtsvollziehers, mit dem Rechtsanwaltsberuf, mit dem Militärstand und mit der Funktion eines Dieners eines anerkannten Kultes.</w:t>
      </w:r>
    </w:p>
    <w:p w14:paraId="3EB40347" w14:textId="77777777" w:rsidR="00BE3682" w:rsidRPr="004676F5" w:rsidRDefault="00BE3682" w:rsidP="00BE3682">
      <w:pPr>
        <w:jc w:val="both"/>
        <w:rPr>
          <w:rFonts w:eastAsia="Calibri"/>
          <w:kern w:val="2"/>
          <w:lang w:val="de-DE" w:eastAsia="en-US"/>
          <w14:ligatures w14:val="standardContextual"/>
        </w:rPr>
      </w:pPr>
    </w:p>
    <w:p w14:paraId="1AEEA00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Die Ämter als Beisitzer-Vizepräsident und Beisitzer sind unvereinbar mit der Ausübung eines öffentlichen Mandats, das auf einer anderen Ebene als der lokalen oder der provinzialen Ebene durch Wahl vergeben wird, mit entlohnten Funktionen oder öffentlichen Ämtern politischer oder administrativer Art, mit Ausnahme von Ämtern in Hochschuleinrichtungen, mit dem Amt eines Notars oder Gerichtsvollziehers, mit dem Militärstand und mit der Funktion eines Dieners eines anerkannten Kultes.</w:t>
      </w:r>
    </w:p>
    <w:p w14:paraId="4F7DDFDE" w14:textId="77777777" w:rsidR="00BE3682" w:rsidRPr="004676F5" w:rsidRDefault="00BE3682" w:rsidP="00BE3682">
      <w:pPr>
        <w:jc w:val="both"/>
        <w:rPr>
          <w:rFonts w:eastAsia="Calibri"/>
          <w:kern w:val="2"/>
          <w:lang w:val="de-DE" w:eastAsia="en-US"/>
          <w14:ligatures w14:val="standardContextual"/>
        </w:rPr>
      </w:pPr>
    </w:p>
    <w:p w14:paraId="2B0231C0"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 3 ­ Von § 1 darf abgewichen werden, wenn es sich um die Ausübung der Ämter als Professor, Lehrbeauftragter, Lektor oder Assistent an Hochschuleinrichtungen handelt, insofern dieses Amt nicht an mehr als zwei halben Tagen pro Woche ausgeübt wird.</w:t>
      </w:r>
    </w:p>
    <w:p w14:paraId="0E3B4E06" w14:textId="77777777" w:rsidR="00BE3682" w:rsidRPr="004676F5" w:rsidRDefault="00BE3682" w:rsidP="00BE3682">
      <w:pPr>
        <w:jc w:val="center"/>
        <w:rPr>
          <w:rFonts w:eastAsia="Calibri"/>
          <w:kern w:val="2"/>
          <w:szCs w:val="22"/>
          <w:lang w:val="de-DE" w:eastAsia="en-US"/>
          <w14:ligatures w14:val="standardContextual"/>
        </w:rPr>
      </w:pPr>
    </w:p>
    <w:p w14:paraId="142CE34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Von den Paragraphen 1 und 2 darf abgewichen werden:</w:t>
      </w:r>
    </w:p>
    <w:p w14:paraId="1918870B" w14:textId="77777777" w:rsidR="00BE3682" w:rsidRPr="004676F5" w:rsidRDefault="00BE3682" w:rsidP="00BE3682">
      <w:pPr>
        <w:jc w:val="both"/>
        <w:rPr>
          <w:rFonts w:eastAsia="Calibri"/>
          <w:kern w:val="2"/>
          <w:lang w:val="de-DE" w:eastAsia="en-US"/>
          <w14:ligatures w14:val="standardContextual"/>
        </w:rPr>
      </w:pPr>
    </w:p>
    <w:p w14:paraId="5D017FD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wenn es sich um die Ausübung der Funktion als Mitglied eines Prüfungsausschusses handelt,</w:t>
      </w:r>
    </w:p>
    <w:p w14:paraId="1D91786D" w14:textId="77777777" w:rsidR="00BE3682" w:rsidRPr="004676F5" w:rsidRDefault="00BE3682" w:rsidP="00BE3682">
      <w:pPr>
        <w:jc w:val="both"/>
        <w:rPr>
          <w:rFonts w:eastAsia="Calibri"/>
          <w:kern w:val="2"/>
          <w:lang w:val="de-DE" w:eastAsia="en-US"/>
          <w14:ligatures w14:val="standardContextual"/>
        </w:rPr>
      </w:pPr>
    </w:p>
    <w:p w14:paraId="70C5BEF8" w14:textId="5ADB4021"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2. wenn es sich um die Beteiligung an einer Kommission, an einem Rat oder an einem beratenden Ausschuss handelt, insofern die Anzahl Aufträge oder Funktionen auf zwei begrenzt ist und es sich um nicht entlohnte Aufträge oder Funktionen handelt</w:t>
      </w:r>
      <w:r w:rsidR="000A1E2C" w:rsidRPr="004676F5">
        <w:rPr>
          <w:rFonts w:eastAsia="Calibri"/>
          <w:kern w:val="2"/>
          <w:szCs w:val="22"/>
          <w:lang w:val="de-DE" w:eastAsia="en-US"/>
          <w14:ligatures w14:val="standardContextual"/>
        </w:rPr>
        <w:t>,</w:t>
      </w:r>
    </w:p>
    <w:p w14:paraId="0CC26C4E" w14:textId="77777777" w:rsidR="000A1E2C" w:rsidRPr="004676F5" w:rsidRDefault="000A1E2C" w:rsidP="00BE3682">
      <w:pPr>
        <w:jc w:val="both"/>
        <w:rPr>
          <w:rFonts w:eastAsia="Calibri"/>
          <w:kern w:val="2"/>
          <w:szCs w:val="22"/>
          <w:lang w:val="de-DE" w:eastAsia="en-US"/>
          <w14:ligatures w14:val="standardContextual"/>
        </w:rPr>
      </w:pPr>
    </w:p>
    <w:p w14:paraId="37A357A0" w14:textId="005D9354" w:rsidR="000A1E2C" w:rsidRPr="004676F5" w:rsidRDefault="000A1E2C"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t>
      </w:r>
      <w:r w:rsidRPr="004676F5">
        <w:rPr>
          <w:lang w:val="de-DE"/>
        </w:rPr>
        <w:t>3. wenn es sich um eine entlohnte Funktion oder ein entlohntes öffentliches Amt administrativer Art handelt, bei der/dem kein unmittelbarer oder mittelbarer Vorteil aus den Entscheidungen und Stellungnahmen der Belgischen Wettbewerbsbehörde vorliegt, vorausgesetzt, dass diese Funktion oder dieses Amt nicht an mehr als zwei halben Tage pro Woche ausgeübt wird.</w:t>
      </w:r>
      <w:r w:rsidRPr="004676F5">
        <w:rPr>
          <w:rFonts w:eastAsia="Calibri"/>
          <w:kern w:val="2"/>
          <w:szCs w:val="22"/>
          <w:lang w:val="de-DE" w:eastAsia="en-US"/>
          <w14:ligatures w14:val="standardContextual"/>
        </w:rPr>
        <w:t>]</w:t>
      </w:r>
    </w:p>
    <w:p w14:paraId="6D3C13F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kern w:val="2"/>
          <w:szCs w:val="22"/>
          <w:lang w:val="de-DE" w:eastAsia="en-US"/>
          <w14:ligatures w14:val="standardContextual"/>
        </w:rPr>
        <w:tab/>
      </w:r>
    </w:p>
    <w:p w14:paraId="34D7163E"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Die in den Absätzen 1 und 2 erwähnten Abweichungen werden vom Präsidenten oder, wenn der Antrag ihn betrifft, vom Minister gewährt.</w:t>
      </w:r>
    </w:p>
    <w:p w14:paraId="1D4B9BDB" w14:textId="77777777" w:rsidR="000A1E2C" w:rsidRPr="004676F5" w:rsidRDefault="000A1E2C" w:rsidP="00BE3682">
      <w:pPr>
        <w:jc w:val="both"/>
        <w:rPr>
          <w:rFonts w:eastAsia="Calibri"/>
          <w:kern w:val="2"/>
          <w:szCs w:val="22"/>
          <w:lang w:val="de-DE" w:eastAsia="en-US"/>
          <w14:ligatures w14:val="standardContextual"/>
        </w:rPr>
      </w:pPr>
    </w:p>
    <w:p w14:paraId="37401F7B" w14:textId="3D47A8BE" w:rsidR="000A1E2C" w:rsidRPr="004676F5" w:rsidRDefault="000A1E2C" w:rsidP="00BE3682">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 xml:space="preserve">[Art. IV.35 </w:t>
      </w:r>
      <w:r w:rsidR="00A63088" w:rsidRPr="004676F5">
        <w:rPr>
          <w:rFonts w:eastAsia="Calibri"/>
          <w:i/>
          <w:iCs/>
          <w:kern w:val="2"/>
          <w:szCs w:val="22"/>
          <w:lang w:val="de-DE" w:eastAsia="en-US"/>
          <w14:ligatures w14:val="standardContextual"/>
        </w:rPr>
        <w:t xml:space="preserve">§ 1 Abs. 1 abgeändert durch </w:t>
      </w:r>
      <w:r w:rsidR="00A63088" w:rsidRPr="004676F5">
        <w:rPr>
          <w:rFonts w:eastAsia="Calibri"/>
          <w:i/>
          <w:iCs/>
          <w:kern w:val="2"/>
          <w:lang w:val="de-DE" w:eastAsia="en-US"/>
          <w14:ligatures w14:val="standardContextual"/>
        </w:rPr>
        <w:t xml:space="preserve">Art. 23 des G. vom 29. März 2024 (B.S. vom 3. Mai 2024); </w:t>
      </w:r>
      <w:r w:rsidRPr="004676F5">
        <w:rPr>
          <w:rFonts w:eastAsia="Calibri"/>
          <w:i/>
          <w:iCs/>
          <w:kern w:val="2"/>
          <w:szCs w:val="22"/>
          <w:lang w:val="de-DE" w:eastAsia="en-US"/>
          <w14:ligatures w14:val="standardContextual"/>
        </w:rPr>
        <w:t>§ 3 Abs. 2 Nr. 3 eingefügt durch Art. 12 des G. vom 28. Februar 2022 (B.S. vom 7. März 2022)]</w:t>
      </w:r>
    </w:p>
    <w:p w14:paraId="3A7D19D2" w14:textId="77777777" w:rsidR="00BE3682" w:rsidRPr="004676F5" w:rsidRDefault="00BE3682" w:rsidP="00BE3682">
      <w:pPr>
        <w:jc w:val="both"/>
        <w:rPr>
          <w:rFonts w:eastAsia="Calibri"/>
          <w:kern w:val="2"/>
          <w:lang w:val="de-DE" w:eastAsia="en-US"/>
          <w14:ligatures w14:val="standardContextual"/>
        </w:rPr>
      </w:pPr>
    </w:p>
    <w:p w14:paraId="79D561AA" w14:textId="77777777" w:rsidR="007854CD" w:rsidRPr="004676F5" w:rsidRDefault="007854CD" w:rsidP="00BE3682">
      <w:pPr>
        <w:jc w:val="both"/>
        <w:rPr>
          <w:rFonts w:eastAsia="Calibri"/>
          <w:kern w:val="2"/>
          <w:lang w:val="de-DE" w:eastAsia="en-US"/>
          <w14:ligatures w14:val="standardContextual"/>
        </w:rPr>
      </w:pPr>
    </w:p>
    <w:p w14:paraId="6C546A33" w14:textId="5856EFD8"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IV.36</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Der Präsident, der Beisitzer-Vizepräsident oder die Beisitzer, die an der Entscheidung in einer Sache mitwirken, der Generalauditor, der Direktor der wirtschaftlichen Angelegenheiten, der Direktor der juristischen Angelegenheiten</w:t>
      </w:r>
      <w:r w:rsidR="00A63088" w:rsidRPr="004676F5">
        <w:rPr>
          <w:rFonts w:eastAsia="Calibri"/>
          <w:kern w:val="2"/>
          <w:szCs w:val="22"/>
          <w:lang w:val="de-DE" w:eastAsia="en-US"/>
          <w14:ligatures w14:val="standardContextual"/>
        </w:rPr>
        <w:t>[</w:t>
      </w:r>
      <w:r w:rsidR="00A63088" w:rsidRPr="004676F5">
        <w:rPr>
          <w:lang w:val="de-DE"/>
        </w:rPr>
        <w:t>, der Direktor der Planung und des Haushalts</w:t>
      </w:r>
      <w:r w:rsidR="00A63088"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und die Personalmitglieder der Belgischen Wettbewerbsbehörde und unter ihrer Aufsicht tätige Personen dürfen die von einer Sache betroffenen Parteien weder mündlich noch schriftlich verteidigen oder ihnen beistehen und sie auch nicht beraten.</w:t>
      </w:r>
    </w:p>
    <w:p w14:paraId="38739FED" w14:textId="77777777" w:rsidR="00A63088" w:rsidRPr="004676F5" w:rsidRDefault="00A63088" w:rsidP="00BE3682">
      <w:pPr>
        <w:jc w:val="both"/>
        <w:rPr>
          <w:rFonts w:eastAsia="Calibri"/>
          <w:kern w:val="2"/>
          <w:szCs w:val="22"/>
          <w:lang w:val="de-DE" w:eastAsia="en-US"/>
          <w14:ligatures w14:val="standardContextual"/>
        </w:rPr>
      </w:pPr>
    </w:p>
    <w:p w14:paraId="7422D860" w14:textId="29A4081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Der Präsident, der Generalauditor, der Direktor der wirtschaftlichen Angelegenheiten, der Direktor der juristischen Angelegenheiten</w:t>
      </w:r>
      <w:r w:rsidR="00A63088" w:rsidRPr="004676F5">
        <w:rPr>
          <w:rFonts w:eastAsia="Calibri"/>
          <w:kern w:val="2"/>
          <w:szCs w:val="22"/>
          <w:lang w:val="de-DE" w:eastAsia="en-US"/>
          <w14:ligatures w14:val="standardContextual"/>
        </w:rPr>
        <w:t>[</w:t>
      </w:r>
      <w:r w:rsidR="00A63088" w:rsidRPr="004676F5">
        <w:rPr>
          <w:lang w:val="de-DE"/>
        </w:rPr>
        <w:t>, der Direktor der Planung und des Haushalts</w:t>
      </w:r>
      <w:r w:rsidR="00A63088"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und die Personalmitglieder der Belgischen Wettbewerbsbehörde und unter ihrer Aufsicht tätige Personen dürfen folgende Tätigkeiten nicht ausüben:</w:t>
      </w:r>
    </w:p>
    <w:p w14:paraId="77D3BF80" w14:textId="77777777" w:rsidR="00BE3682" w:rsidRPr="004676F5" w:rsidRDefault="00BE3682" w:rsidP="00BE3682">
      <w:pPr>
        <w:jc w:val="both"/>
        <w:rPr>
          <w:rFonts w:eastAsia="Calibri"/>
          <w:kern w:val="2"/>
          <w:lang w:val="de-DE" w:eastAsia="en-US"/>
          <w14:ligatures w14:val="standardContextual"/>
        </w:rPr>
      </w:pPr>
    </w:p>
    <w:p w14:paraId="11668F9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gegen Besoldung als Schiedsrichter auftreten,</w:t>
      </w:r>
    </w:p>
    <w:p w14:paraId="269FFBC3" w14:textId="77777777" w:rsidR="00BE3682" w:rsidRPr="004676F5" w:rsidRDefault="00BE3682" w:rsidP="00BE3682">
      <w:pPr>
        <w:jc w:val="both"/>
        <w:rPr>
          <w:rFonts w:eastAsia="Calibri"/>
          <w:kern w:val="2"/>
          <w:lang w:val="de-DE" w:eastAsia="en-US"/>
          <w14:ligatures w14:val="standardContextual"/>
        </w:rPr>
      </w:pPr>
    </w:p>
    <w:p w14:paraId="628A2222" w14:textId="10DB444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persönlich oder über eine Zwischenperson irgendeine Form von Handel betreiben, Sachverwalter sein oder an Leitung, Verwaltung oder Überwachung von Handelsgesellschaften oder Industrie</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beziehungsweise Geschäftsbetrieben beteiligt sein.</w:t>
      </w:r>
    </w:p>
    <w:p w14:paraId="684C5854" w14:textId="77777777" w:rsidR="00BE3682" w:rsidRPr="004676F5" w:rsidRDefault="00BE3682" w:rsidP="00BE3682">
      <w:pPr>
        <w:jc w:val="both"/>
        <w:rPr>
          <w:rFonts w:eastAsia="Calibri"/>
          <w:kern w:val="2"/>
          <w:lang w:val="de-DE" w:eastAsia="en-US"/>
          <w14:ligatures w14:val="standardContextual"/>
        </w:rPr>
      </w:pPr>
    </w:p>
    <w:p w14:paraId="53E5708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Der Präsident, der Generalauditor, der Direktor der wirtschaftlichen Angelegenheiten, der Direktor der juristischen Angelegenheiten, die Personalmitglieder der Belgischen Wettbewerbsbehörde und die Beisitzer, die an der Entscheidung in einer Sache mitwirken, dürfen kein persönliches oder finanzielles Interesse an betroffenen Unternehmen und an Unternehmen haben, die auf den relevanten Märkten tätig sind, die sie prüfen oder in Bezug auf die sie Entscheidungen treffen oder an Entscheidungen mitwirken, falls ein solches Interesse ihre Unparteilichkeit beeinträchtigen könnte. Gegebenenfalls muss die betreffende Person sich der Sache ganz enthalten.</w:t>
      </w:r>
    </w:p>
    <w:p w14:paraId="241A8EA3" w14:textId="77777777" w:rsidR="00BE3682" w:rsidRPr="004676F5" w:rsidRDefault="00BE3682" w:rsidP="00BE3682">
      <w:pPr>
        <w:jc w:val="both"/>
        <w:rPr>
          <w:rFonts w:eastAsia="Calibri"/>
          <w:kern w:val="2"/>
          <w:lang w:val="de-DE" w:eastAsia="en-US"/>
          <w14:ligatures w14:val="standardContextual"/>
        </w:rPr>
      </w:pPr>
    </w:p>
    <w:p w14:paraId="29DEC168" w14:textId="236EFF4A"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 xml:space="preserve">Absatz 1 gilt auch im Falle einer Beschäftigung, eines Mandats oder eines sonstigen Auftrags in oder für betroffene Unternehmen und Unternehmen, die auf den relevanten Märkten tätig sind, innerhalb eines Zeitraums </w:t>
      </w:r>
      <w:r w:rsidR="000A1E2C"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von ei</w:t>
      </w:r>
      <w:r w:rsidR="000A1E2C" w:rsidRPr="004676F5">
        <w:rPr>
          <w:rFonts w:eastAsia="Calibri"/>
          <w:kern w:val="2"/>
          <w:szCs w:val="22"/>
          <w:lang w:val="de-DE" w:eastAsia="en-US"/>
          <w14:ligatures w14:val="standardContextual"/>
        </w:rPr>
        <w:t>nem</w:t>
      </w:r>
      <w:r w:rsidRPr="004676F5">
        <w:rPr>
          <w:rFonts w:eastAsia="Calibri"/>
          <w:kern w:val="2"/>
          <w:szCs w:val="22"/>
          <w:lang w:val="de-DE" w:eastAsia="en-US"/>
          <w14:ligatures w14:val="standardContextual"/>
        </w:rPr>
        <w:t xml:space="preserve"> Jahr</w:t>
      </w:r>
      <w:r w:rsidR="000A1E2C"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vor dem geplanten Eingreifen in der Sache.</w:t>
      </w:r>
    </w:p>
    <w:p w14:paraId="0118891B" w14:textId="77777777" w:rsidR="000A1E2C" w:rsidRPr="004676F5" w:rsidRDefault="000A1E2C" w:rsidP="00BE3682">
      <w:pPr>
        <w:jc w:val="both"/>
        <w:rPr>
          <w:rFonts w:eastAsia="Calibri"/>
          <w:kern w:val="2"/>
          <w:szCs w:val="22"/>
          <w:lang w:val="de-DE" w:eastAsia="en-US"/>
          <w14:ligatures w14:val="standardContextual"/>
        </w:rPr>
      </w:pPr>
    </w:p>
    <w:p w14:paraId="1C20BF82" w14:textId="7BE38732" w:rsidR="000A1E2C" w:rsidRPr="004676F5" w:rsidRDefault="000A1E2C" w:rsidP="00BE3682">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 xml:space="preserve">[Art. IV.36 </w:t>
      </w:r>
      <w:r w:rsidR="00A63088" w:rsidRPr="004676F5">
        <w:rPr>
          <w:rFonts w:eastAsia="Calibri"/>
          <w:i/>
          <w:iCs/>
          <w:kern w:val="2"/>
          <w:szCs w:val="22"/>
          <w:lang w:val="de-DE" w:eastAsia="en-US"/>
          <w14:ligatures w14:val="standardContextual"/>
        </w:rPr>
        <w:t>§ 1 abgeändert durch Art. </w:t>
      </w:r>
      <w:r w:rsidR="00C966BA" w:rsidRPr="004676F5">
        <w:rPr>
          <w:rFonts w:eastAsia="Calibri"/>
          <w:i/>
          <w:iCs/>
          <w:kern w:val="2"/>
          <w:szCs w:val="22"/>
          <w:lang w:val="de-DE" w:eastAsia="en-US"/>
          <w14:ligatures w14:val="standardContextual"/>
        </w:rPr>
        <w:t xml:space="preserve">24 </w:t>
      </w:r>
      <w:r w:rsidR="00C966BA" w:rsidRPr="004676F5">
        <w:rPr>
          <w:rFonts w:eastAsia="Calibri"/>
          <w:i/>
          <w:iCs/>
          <w:kern w:val="2"/>
          <w:lang w:val="de-DE" w:eastAsia="en-US"/>
          <w14:ligatures w14:val="standardContextual"/>
        </w:rPr>
        <w:t xml:space="preserve">des G. vom 29. März 2024 (B.S. vom 3. Mai 2024); § 2 einziger Absatz einleitende Bestimmung </w:t>
      </w:r>
      <w:r w:rsidR="00C966BA" w:rsidRPr="004676F5">
        <w:rPr>
          <w:rFonts w:eastAsia="Calibri"/>
          <w:i/>
          <w:iCs/>
          <w:kern w:val="2"/>
          <w:szCs w:val="22"/>
          <w:lang w:val="de-DE" w:eastAsia="en-US"/>
          <w14:ligatures w14:val="standardContextual"/>
        </w:rPr>
        <w:t xml:space="preserve">abgeändert durch Art. 24 </w:t>
      </w:r>
      <w:r w:rsidR="00C966BA" w:rsidRPr="004676F5">
        <w:rPr>
          <w:rFonts w:eastAsia="Calibri"/>
          <w:i/>
          <w:iCs/>
          <w:kern w:val="2"/>
          <w:lang w:val="de-DE" w:eastAsia="en-US"/>
          <w14:ligatures w14:val="standardContextual"/>
        </w:rPr>
        <w:t xml:space="preserve">des G. vom 29. März 2024 (B.S. vom 3. Mai 2024); </w:t>
      </w:r>
      <w:r w:rsidRPr="004676F5">
        <w:rPr>
          <w:rFonts w:eastAsia="Calibri"/>
          <w:i/>
          <w:iCs/>
          <w:kern w:val="2"/>
          <w:szCs w:val="22"/>
          <w:lang w:val="de-DE" w:eastAsia="en-US"/>
          <w14:ligatures w14:val="standardContextual"/>
        </w:rPr>
        <w:t>§ 3 Abs. 2 abgeändert durch Art. 13 des G. vom 28. Februar 2022 (B.S. vom 7. März 2022)]</w:t>
      </w:r>
    </w:p>
    <w:p w14:paraId="61AE837A" w14:textId="77777777" w:rsidR="00BE3682" w:rsidRPr="004676F5" w:rsidRDefault="00BE3682" w:rsidP="00BE3682">
      <w:pPr>
        <w:jc w:val="both"/>
        <w:rPr>
          <w:rFonts w:eastAsia="Calibri"/>
          <w:kern w:val="2"/>
          <w:lang w:val="de-DE" w:eastAsia="en-US"/>
          <w14:ligatures w14:val="standardContextual"/>
        </w:rPr>
      </w:pPr>
    </w:p>
    <w:p w14:paraId="650AA2F3" w14:textId="77777777" w:rsidR="000A1E2C" w:rsidRPr="004676F5" w:rsidRDefault="000A1E2C" w:rsidP="00BE3682">
      <w:pPr>
        <w:jc w:val="both"/>
        <w:rPr>
          <w:rFonts w:eastAsia="Calibri"/>
          <w:kern w:val="2"/>
          <w:lang w:val="de-DE" w:eastAsia="en-US"/>
          <w14:ligatures w14:val="standardContextual"/>
        </w:rPr>
      </w:pPr>
    </w:p>
    <w:p w14:paraId="39C6B10F" w14:textId="0355A728" w:rsidR="000A1E2C" w:rsidRPr="004676F5" w:rsidRDefault="000A1E2C" w:rsidP="000A1E2C">
      <w:pPr>
        <w:jc w:val="both"/>
        <w:rPr>
          <w:lang w:val="de-DE"/>
        </w:rPr>
      </w:pPr>
      <w:r w:rsidRPr="004676F5">
        <w:rPr>
          <w:rFonts w:eastAsia="Calibri"/>
          <w:kern w:val="2"/>
          <w:lang w:val="de-DE" w:eastAsia="en-US"/>
          <w14:ligatures w14:val="standardContextual"/>
        </w:rPr>
        <w:tab/>
        <w:t>[</w:t>
      </w:r>
      <w:r w:rsidRPr="004676F5">
        <w:rPr>
          <w:b/>
          <w:bCs/>
          <w:lang w:val="de-DE"/>
        </w:rPr>
        <w:t>Art. IV.36/1</w:t>
      </w:r>
      <w:r w:rsidRPr="004676F5">
        <w:rPr>
          <w:lang w:val="de-DE"/>
        </w:rPr>
        <w:t> </w:t>
      </w:r>
      <w:r w:rsidR="005B7A5C" w:rsidRPr="004676F5">
        <w:rPr>
          <w:lang w:val="de-DE"/>
        </w:rPr>
        <w:t>- </w:t>
      </w:r>
      <w:r w:rsidRPr="004676F5">
        <w:rPr>
          <w:lang w:val="de-DE"/>
        </w:rPr>
        <w:t>Der Präsident, der Beisitzer-Vizepräsident, die Beisitzer, die an der Entscheidung in einer Sache mitwirken, der Generalauditor, der Direktor der wirtschaftlichen Angelegenheiten, der Direktor der juristischen Angelegenheiten</w:t>
      </w:r>
      <w:r w:rsidR="00C966BA" w:rsidRPr="004676F5">
        <w:rPr>
          <w:lang w:val="de-DE"/>
        </w:rPr>
        <w:t>[, der Direktor der Planung und des Haushalts]</w:t>
      </w:r>
      <w:r w:rsidRPr="004676F5">
        <w:rPr>
          <w:lang w:val="de-DE"/>
        </w:rPr>
        <w:t xml:space="preserve"> und die Personalmitglieder der Belgischen Wettbewerbsbehörde und unter ihrer Aufsicht tätige Personen unterlassen jede Handlung, die mit der Wahrnehmung ihrer Aufgaben oder der Befugnisse im Zusammenhang mit der Anwendung des vorliegenden Buches und der Artikel 101 und 102 AEUV unvereinbar ist.</w:t>
      </w:r>
    </w:p>
    <w:p w14:paraId="16836086" w14:textId="77777777" w:rsidR="000A1E2C" w:rsidRPr="004676F5" w:rsidRDefault="000A1E2C" w:rsidP="000A1E2C">
      <w:pPr>
        <w:jc w:val="both"/>
        <w:rPr>
          <w:lang w:val="de-DE"/>
        </w:rPr>
      </w:pPr>
    </w:p>
    <w:p w14:paraId="5BDF3597" w14:textId="491AA083" w:rsidR="000A1E2C" w:rsidRPr="004676F5" w:rsidRDefault="000A1E2C" w:rsidP="000A1E2C">
      <w:pPr>
        <w:jc w:val="both"/>
        <w:rPr>
          <w:rFonts w:eastAsia="Calibri"/>
          <w:kern w:val="2"/>
          <w:lang w:val="de-DE" w:eastAsia="en-US"/>
          <w14:ligatures w14:val="standardContextual"/>
        </w:rPr>
      </w:pPr>
      <w:r w:rsidRPr="004676F5">
        <w:rPr>
          <w:lang w:val="de-DE"/>
        </w:rPr>
        <w:tab/>
        <w:t>Nach Beendigung ihrer Aufgaben bei der Belgischen Wettbewerbsbehörde befassen sie sich während eines angemessenen Zeitraums mit keinem vor der Belgischen Wettbewerbsbehörde anhängigen Verfahren, bei dem Interessenkonflikte entstehen könnten.</w:t>
      </w:r>
      <w:r w:rsidRPr="004676F5">
        <w:rPr>
          <w:rFonts w:eastAsia="Calibri"/>
          <w:kern w:val="2"/>
          <w:lang w:val="de-DE" w:eastAsia="en-US"/>
          <w14:ligatures w14:val="standardContextual"/>
        </w:rPr>
        <w:t>]</w:t>
      </w:r>
    </w:p>
    <w:p w14:paraId="0F56FFE3" w14:textId="77777777" w:rsidR="000A1E2C" w:rsidRPr="004676F5" w:rsidRDefault="000A1E2C" w:rsidP="000A1E2C">
      <w:pPr>
        <w:jc w:val="both"/>
        <w:rPr>
          <w:rFonts w:eastAsia="Calibri"/>
          <w:kern w:val="2"/>
          <w:lang w:val="de-DE" w:eastAsia="en-US"/>
          <w14:ligatures w14:val="standardContextual"/>
        </w:rPr>
      </w:pPr>
    </w:p>
    <w:p w14:paraId="72DE8A75" w14:textId="1DDD50F9" w:rsidR="000A1E2C" w:rsidRPr="004676F5" w:rsidRDefault="000A1E2C" w:rsidP="000A1E2C">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IV.36/1 eingefügt durch Art. 14 des G. vom 28. Februar 2022 (B.S. vom 7. März 2022)</w:t>
      </w:r>
      <w:r w:rsidR="002D53BD" w:rsidRPr="004676F5">
        <w:rPr>
          <w:rFonts w:eastAsia="Calibri"/>
          <w:i/>
          <w:iCs/>
          <w:kern w:val="2"/>
          <w:lang w:val="de-DE" w:eastAsia="en-US"/>
          <w14:ligatures w14:val="standardContextual"/>
        </w:rPr>
        <w:t>; Abs. 1</w:t>
      </w:r>
      <w:r w:rsidR="00C966BA" w:rsidRPr="004676F5">
        <w:rPr>
          <w:rFonts w:eastAsia="Calibri"/>
          <w:i/>
          <w:iCs/>
          <w:kern w:val="2"/>
          <w:lang w:val="de-DE" w:eastAsia="en-US"/>
          <w14:ligatures w14:val="standardContextual"/>
        </w:rPr>
        <w:t xml:space="preserve"> abgeändert durch </w:t>
      </w:r>
      <w:r w:rsidR="00C966BA" w:rsidRPr="004676F5">
        <w:rPr>
          <w:rFonts w:eastAsia="Calibri"/>
          <w:i/>
          <w:iCs/>
          <w:kern w:val="2"/>
          <w:szCs w:val="22"/>
          <w:lang w:val="de-DE" w:eastAsia="en-US"/>
          <w14:ligatures w14:val="standardContextual"/>
        </w:rPr>
        <w:t xml:space="preserve">Art. 25 </w:t>
      </w:r>
      <w:r w:rsidR="00C966BA" w:rsidRPr="004676F5">
        <w:rPr>
          <w:rFonts w:eastAsia="Calibri"/>
          <w:i/>
          <w:iCs/>
          <w:kern w:val="2"/>
          <w:lang w:val="de-DE" w:eastAsia="en-US"/>
          <w14:ligatures w14:val="standardContextual"/>
        </w:rPr>
        <w:t>des G. vom 29. März 2024 (B.S. vom 3. Mai 2024)</w:t>
      </w:r>
      <w:r w:rsidRPr="004676F5">
        <w:rPr>
          <w:rFonts w:eastAsia="Calibri"/>
          <w:i/>
          <w:iCs/>
          <w:kern w:val="2"/>
          <w:lang w:val="de-DE" w:eastAsia="en-US"/>
          <w14:ligatures w14:val="standardContextual"/>
        </w:rPr>
        <w:t>]</w:t>
      </w:r>
    </w:p>
    <w:p w14:paraId="514C136A" w14:textId="77777777" w:rsidR="000A1E2C" w:rsidRPr="004676F5" w:rsidRDefault="000A1E2C" w:rsidP="000A1E2C">
      <w:pPr>
        <w:jc w:val="both"/>
        <w:rPr>
          <w:rFonts w:eastAsia="Calibri"/>
          <w:i/>
          <w:iCs/>
          <w:kern w:val="2"/>
          <w:lang w:val="de-DE" w:eastAsia="en-US"/>
          <w14:ligatures w14:val="standardContextual"/>
        </w:rPr>
      </w:pPr>
    </w:p>
    <w:p w14:paraId="3F647750" w14:textId="77777777" w:rsidR="007854CD" w:rsidRPr="004676F5" w:rsidRDefault="007854CD" w:rsidP="00BE3682">
      <w:pPr>
        <w:jc w:val="both"/>
        <w:rPr>
          <w:rFonts w:eastAsia="Calibri"/>
          <w:kern w:val="2"/>
          <w:lang w:val="de-DE" w:eastAsia="en-US"/>
          <w14:ligatures w14:val="standardContextual"/>
        </w:rPr>
      </w:pPr>
    </w:p>
    <w:p w14:paraId="715955B5" w14:textId="77777777" w:rsidR="002D53BD" w:rsidRPr="004676F5" w:rsidRDefault="002D53BD">
      <w:pPr>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br w:type="page"/>
      </w:r>
    </w:p>
    <w:p w14:paraId="7EF6D135" w14:textId="5C2CCB7A" w:rsidR="00BE3682" w:rsidRPr="004676F5" w:rsidRDefault="00C966BA"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[KAPITEL 2]</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DB2D1B"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Besonderer Beratungsausschuss Wettbewerb</w:t>
      </w:r>
      <w:r w:rsidR="00DB2D1B" w:rsidRPr="004676F5">
        <w:rPr>
          <w:rFonts w:eastAsia="Calibri"/>
          <w:kern w:val="2"/>
          <w:szCs w:val="22"/>
          <w:lang w:val="de-DE" w:eastAsia="en-US"/>
          <w14:ligatures w14:val="standardContextual"/>
        </w:rPr>
        <w:t>]</w:t>
      </w:r>
    </w:p>
    <w:p w14:paraId="5DC4E20D" w14:textId="77777777" w:rsidR="00BE3682" w:rsidRPr="004676F5" w:rsidRDefault="00BE3682" w:rsidP="00BE3682">
      <w:pPr>
        <w:jc w:val="both"/>
        <w:rPr>
          <w:rFonts w:eastAsia="Calibri"/>
          <w:kern w:val="2"/>
          <w:lang w:val="de-DE" w:eastAsia="en-US"/>
          <w14:ligatures w14:val="standardContextual"/>
        </w:rPr>
      </w:pPr>
    </w:p>
    <w:p w14:paraId="4A18EB6B" w14:textId="42808BA5" w:rsidR="00C966BA" w:rsidRPr="004676F5" w:rsidRDefault="00C966BA"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[Früherer Unterabschnitt </w:t>
      </w:r>
      <w:r w:rsidR="00DB2D1B" w:rsidRPr="004676F5">
        <w:rPr>
          <w:rFonts w:eastAsia="Calibri"/>
          <w:i/>
          <w:iCs/>
          <w:kern w:val="2"/>
          <w:lang w:val="de-DE" w:eastAsia="en-US"/>
          <w14:ligatures w14:val="standardContextual"/>
        </w:rPr>
        <w:t>9</w:t>
      </w:r>
      <w:r w:rsidRPr="004676F5">
        <w:rPr>
          <w:rFonts w:eastAsia="Calibri"/>
          <w:i/>
          <w:iCs/>
          <w:kern w:val="2"/>
          <w:lang w:val="de-DE" w:eastAsia="en-US"/>
          <w14:ligatures w14:val="standardContextual"/>
        </w:rPr>
        <w:t xml:space="preserve"> umgegliedert zu Kapitel 2</w:t>
      </w:r>
      <w:r w:rsidR="00DB2D1B" w:rsidRPr="004676F5">
        <w:rPr>
          <w:rFonts w:eastAsia="Calibri"/>
          <w:i/>
          <w:iCs/>
          <w:kern w:val="2"/>
          <w:lang w:val="de-DE" w:eastAsia="en-US"/>
          <w14:ligatures w14:val="standardContextual"/>
        </w:rPr>
        <w:t xml:space="preserve"> und Überschrift ersetzt</w:t>
      </w:r>
      <w:r w:rsidRPr="004676F5">
        <w:rPr>
          <w:rFonts w:eastAsia="Calibri"/>
          <w:i/>
          <w:iCs/>
          <w:kern w:val="2"/>
          <w:lang w:val="de-DE" w:eastAsia="en-US"/>
          <w14:ligatures w14:val="standardContextual"/>
        </w:rPr>
        <w:t xml:space="preserve"> durch Art. 26 des G. vom 29. März 2024 (B.S. vom 3. Mai 2024)]</w:t>
      </w:r>
    </w:p>
    <w:p w14:paraId="2519A21D" w14:textId="77777777" w:rsidR="00C966BA" w:rsidRPr="004676F5" w:rsidRDefault="00C966BA" w:rsidP="00BE3682">
      <w:pPr>
        <w:jc w:val="both"/>
        <w:rPr>
          <w:rFonts w:eastAsia="Calibri"/>
          <w:kern w:val="2"/>
          <w:lang w:val="de-DE" w:eastAsia="en-US"/>
          <w14:ligatures w14:val="standardContextual"/>
        </w:rPr>
      </w:pPr>
    </w:p>
    <w:p w14:paraId="5F6D68CD" w14:textId="77777777" w:rsidR="007854CD" w:rsidRPr="004676F5" w:rsidRDefault="007854CD" w:rsidP="00BE3682">
      <w:pPr>
        <w:jc w:val="both"/>
        <w:rPr>
          <w:rFonts w:eastAsia="Calibri"/>
          <w:kern w:val="2"/>
          <w:lang w:val="de-DE" w:eastAsia="en-US"/>
          <w14:ligatures w14:val="standardContextual"/>
        </w:rPr>
      </w:pPr>
    </w:p>
    <w:p w14:paraId="6520FA0B" w14:textId="7A1B79B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IV.37</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Beim Zentralen Wirtschaftsrat wird unter der Bezeichnung Besonderer Beratungsausschuss Wettbewerb eine beratende paritätische Kommission eingerichtet, die befugt ist, aus eigener Initiative oder auf Antrag des Ministers Stellungnahmen zu jeglichen allgemeinen Fragen der Wettbewerbspolitik abzugeben.</w:t>
      </w:r>
    </w:p>
    <w:p w14:paraId="3D25525C" w14:textId="77777777" w:rsidR="00BE3682" w:rsidRPr="004676F5" w:rsidRDefault="00BE3682" w:rsidP="00BE3682">
      <w:pPr>
        <w:jc w:val="both"/>
        <w:rPr>
          <w:rFonts w:eastAsia="Calibri"/>
          <w:kern w:val="2"/>
          <w:lang w:val="de-DE" w:eastAsia="en-US"/>
          <w14:ligatures w14:val="standardContextual"/>
        </w:rPr>
      </w:pPr>
    </w:p>
    <w:p w14:paraId="3F74FC23" w14:textId="77777777" w:rsidR="007854CD" w:rsidRPr="004676F5" w:rsidRDefault="007854CD" w:rsidP="00BE3682">
      <w:pPr>
        <w:jc w:val="both"/>
        <w:rPr>
          <w:rFonts w:eastAsia="Calibri"/>
          <w:kern w:val="2"/>
          <w:lang w:val="de-DE" w:eastAsia="en-US"/>
          <w14:ligatures w14:val="standardContextual"/>
        </w:rPr>
      </w:pPr>
    </w:p>
    <w:p w14:paraId="5BD56F82" w14:textId="05DA0DF0"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IV.38</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König bestimmt Zusammensetzung und Arbeitsweise des Besonderen Beratungsausschusses Wettbewerb und seines Sekretariats.</w:t>
      </w:r>
    </w:p>
    <w:p w14:paraId="2623B122" w14:textId="77777777" w:rsidR="00BE3682" w:rsidRPr="004676F5" w:rsidRDefault="00BE3682" w:rsidP="00BE3682">
      <w:pPr>
        <w:jc w:val="both"/>
        <w:rPr>
          <w:rFonts w:eastAsia="Calibri"/>
          <w:kern w:val="2"/>
          <w:lang w:val="de-DE" w:eastAsia="en-US"/>
          <w14:ligatures w14:val="standardContextual"/>
        </w:rPr>
      </w:pPr>
    </w:p>
    <w:p w14:paraId="424F363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Präsident, die ordentlichen Mitglieder und ihre Stellvertreter werden vom Minister ernannt.</w:t>
      </w:r>
    </w:p>
    <w:p w14:paraId="73DF1BFD" w14:textId="77777777" w:rsidR="00BE3682" w:rsidRPr="004676F5" w:rsidRDefault="00BE3682" w:rsidP="00BE3682">
      <w:pPr>
        <w:jc w:val="both"/>
        <w:rPr>
          <w:rFonts w:eastAsia="Calibri"/>
          <w:kern w:val="2"/>
          <w:lang w:val="de-DE" w:eastAsia="en-US"/>
          <w14:ligatures w14:val="standardContextual"/>
        </w:rPr>
      </w:pPr>
    </w:p>
    <w:p w14:paraId="5141B47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König bestimmt ebenfalls durch einen im Ministerrat beratenen Erlass die Höhe der Vergütungen, die dem Präsidenten und den Mitgliedern des Besonderen Beratungsausschusses Wettbewerb und Personen, die mit dem Besonderen Beratungsausschuss Wettbewerb zusammenarbeiten, zuerkannt werden.</w:t>
      </w:r>
    </w:p>
    <w:p w14:paraId="60B5274C" w14:textId="77777777" w:rsidR="00BE3682" w:rsidRPr="004676F5" w:rsidRDefault="00BE3682" w:rsidP="00BE3682">
      <w:pPr>
        <w:jc w:val="both"/>
        <w:rPr>
          <w:rFonts w:eastAsia="Calibri"/>
          <w:kern w:val="2"/>
          <w:lang w:val="de-DE" w:eastAsia="en-US"/>
          <w14:ligatures w14:val="standardContextual"/>
        </w:rPr>
      </w:pPr>
    </w:p>
    <w:p w14:paraId="48B14671" w14:textId="77777777" w:rsidR="002D53BD" w:rsidRPr="004676F5" w:rsidRDefault="002D53BD">
      <w:pPr>
        <w:rPr>
          <w:rFonts w:eastAsia="Calibri"/>
          <w:iCs/>
          <w:kern w:val="2"/>
          <w:szCs w:val="22"/>
          <w:lang w:val="de-DE" w:eastAsia="en-US"/>
          <w14:ligatures w14:val="standardContextual"/>
        </w:rPr>
      </w:pPr>
      <w:r w:rsidRPr="004676F5">
        <w:rPr>
          <w:rFonts w:eastAsia="Calibri"/>
          <w:iCs/>
          <w:kern w:val="2"/>
          <w:szCs w:val="22"/>
          <w:lang w:val="de-DE" w:eastAsia="en-US"/>
          <w14:ligatures w14:val="standardContextual"/>
        </w:rPr>
        <w:br w:type="page"/>
      </w:r>
    </w:p>
    <w:p w14:paraId="52CC288B" w14:textId="0B39EFCD" w:rsidR="007854CD" w:rsidRPr="004676F5" w:rsidRDefault="00C966BA" w:rsidP="00BE3682">
      <w:pPr>
        <w:jc w:val="center"/>
        <w:rPr>
          <w:rFonts w:eastAsia="Calibri"/>
          <w:iCs/>
          <w:kern w:val="2"/>
          <w:szCs w:val="22"/>
          <w:lang w:val="de-DE" w:eastAsia="en-US"/>
          <w14:ligatures w14:val="standardContextual"/>
        </w:rPr>
      </w:pPr>
      <w:r w:rsidRPr="004676F5">
        <w:rPr>
          <w:rFonts w:eastAsia="Calibri"/>
          <w:iCs/>
          <w:kern w:val="2"/>
          <w:szCs w:val="22"/>
          <w:lang w:val="de-DE" w:eastAsia="en-US"/>
          <w14:ligatures w14:val="standardContextual"/>
        </w:rPr>
        <w:lastRenderedPageBreak/>
        <w:t>[</w:t>
      </w:r>
      <w:r w:rsidRPr="004676F5">
        <w:rPr>
          <w:b/>
          <w:bCs/>
          <w:lang w:val="de-DE"/>
        </w:rPr>
        <w:t>TITEL 3 - </w:t>
      </w:r>
      <w:r w:rsidRPr="004676F5">
        <w:rPr>
          <w:b/>
          <w:bCs/>
          <w:i/>
          <w:iCs/>
          <w:lang w:val="de-DE"/>
        </w:rPr>
        <w:t>Durchsetzung des Wettbewerbsrechts</w:t>
      </w:r>
      <w:r w:rsidRPr="004676F5">
        <w:rPr>
          <w:rFonts w:eastAsia="Calibri"/>
          <w:iCs/>
          <w:kern w:val="2"/>
          <w:szCs w:val="22"/>
          <w:lang w:val="de-DE" w:eastAsia="en-US"/>
          <w14:ligatures w14:val="standardContextual"/>
        </w:rPr>
        <w:t>]</w:t>
      </w:r>
    </w:p>
    <w:p w14:paraId="62A6AC50" w14:textId="77777777" w:rsidR="00C966BA" w:rsidRPr="004676F5" w:rsidRDefault="00C966BA" w:rsidP="00BE3682">
      <w:pPr>
        <w:jc w:val="center"/>
        <w:rPr>
          <w:rFonts w:eastAsia="Calibri"/>
          <w:iCs/>
          <w:kern w:val="2"/>
          <w:szCs w:val="22"/>
          <w:lang w:val="de-DE" w:eastAsia="en-US"/>
          <w14:ligatures w14:val="standardContextual"/>
        </w:rPr>
      </w:pPr>
    </w:p>
    <w:p w14:paraId="5FE2434D" w14:textId="2FA4D579" w:rsidR="00C966BA" w:rsidRPr="004676F5" w:rsidRDefault="00C966BA" w:rsidP="00C966BA">
      <w:pPr>
        <w:jc w:val="both"/>
        <w:rPr>
          <w:rFonts w:eastAsia="Calibri"/>
          <w:i/>
          <w:kern w:val="2"/>
          <w:szCs w:val="22"/>
          <w:lang w:val="de-DE" w:eastAsia="en-US"/>
          <w14:ligatures w14:val="standardContextual"/>
        </w:rPr>
      </w:pPr>
      <w:r w:rsidRPr="004676F5">
        <w:rPr>
          <w:rFonts w:eastAsia="Calibri"/>
          <w:i/>
          <w:kern w:val="2"/>
          <w:szCs w:val="22"/>
          <w:lang w:val="de-DE" w:eastAsia="en-US"/>
          <w14:ligatures w14:val="standardContextual"/>
        </w:rPr>
        <w:t xml:space="preserve">[Unterteilung Titel 3 eingefügt </w:t>
      </w:r>
      <w:r w:rsidRPr="004676F5">
        <w:rPr>
          <w:rFonts w:eastAsia="Calibri"/>
          <w:i/>
          <w:iCs/>
          <w:kern w:val="2"/>
          <w:lang w:val="de-DE" w:eastAsia="en-US"/>
          <w14:ligatures w14:val="standardContextual"/>
        </w:rPr>
        <w:t>durch Art. 27 des G. vom 29. März 2024 (B.S. vom 3. Mai 2024)</w:t>
      </w:r>
      <w:r w:rsidRPr="004676F5">
        <w:rPr>
          <w:rFonts w:eastAsia="Calibri"/>
          <w:i/>
          <w:kern w:val="2"/>
          <w:szCs w:val="22"/>
          <w:lang w:val="de-DE" w:eastAsia="en-US"/>
          <w14:ligatures w14:val="standardContextual"/>
        </w:rPr>
        <w:t>]</w:t>
      </w:r>
    </w:p>
    <w:p w14:paraId="78FD57A6" w14:textId="77777777" w:rsidR="00C966BA" w:rsidRPr="004676F5" w:rsidRDefault="00C966BA" w:rsidP="00BE3682">
      <w:pPr>
        <w:jc w:val="center"/>
        <w:rPr>
          <w:rFonts w:eastAsia="Calibri"/>
          <w:iCs/>
          <w:kern w:val="2"/>
          <w:szCs w:val="22"/>
          <w:lang w:val="de-DE" w:eastAsia="en-US"/>
          <w14:ligatures w14:val="standardContextual"/>
        </w:rPr>
      </w:pPr>
    </w:p>
    <w:p w14:paraId="12D478EF" w14:textId="77777777" w:rsidR="00C966BA" w:rsidRPr="004676F5" w:rsidRDefault="00C966BA" w:rsidP="00BE3682">
      <w:pPr>
        <w:jc w:val="center"/>
        <w:rPr>
          <w:rFonts w:eastAsia="Calibri"/>
          <w:iCs/>
          <w:kern w:val="2"/>
          <w:szCs w:val="22"/>
          <w:lang w:val="de-DE" w:eastAsia="en-US"/>
          <w14:ligatures w14:val="standardContextual"/>
        </w:rPr>
      </w:pPr>
    </w:p>
    <w:p w14:paraId="20B1884C" w14:textId="6A24053F" w:rsidR="00BE3682" w:rsidRPr="004676F5" w:rsidRDefault="00C966BA" w:rsidP="00BE3682">
      <w:pPr>
        <w:jc w:val="center"/>
        <w:rPr>
          <w:rFonts w:eastAsia="Calibri"/>
          <w:kern w:val="2"/>
          <w:lang w:val="de-DE" w:eastAsia="en-US"/>
          <w14:ligatures w14:val="standardContextual"/>
        </w:rPr>
      </w:pPr>
      <w:r w:rsidRPr="004676F5">
        <w:rPr>
          <w:rFonts w:eastAsia="Calibri"/>
          <w:iCs/>
          <w:kern w:val="2"/>
          <w:szCs w:val="22"/>
          <w:lang w:val="de-DE" w:eastAsia="en-US"/>
          <w14:ligatures w14:val="standardContextual"/>
        </w:rPr>
        <w:t>[KAPITEL 1]</w:t>
      </w:r>
      <w:r w:rsidR="00BE3682" w:rsidRPr="004676F5">
        <w:rPr>
          <w:rFonts w:eastAsia="Calibri"/>
          <w:i/>
          <w:kern w:val="2"/>
          <w:szCs w:val="22"/>
          <w:lang w:val="de-DE" w:eastAsia="en-US"/>
          <w14:ligatures w14:val="standardContextual"/>
        </w:rPr>
        <w:t> </w:t>
      </w:r>
      <w:r w:rsidR="005B7A5C" w:rsidRPr="004676F5">
        <w:rPr>
          <w:rFonts w:eastAsia="Calibri"/>
          <w:i/>
          <w:kern w:val="2"/>
          <w:szCs w:val="22"/>
          <w:lang w:val="de-DE" w:eastAsia="en-US"/>
          <w14:ligatures w14:val="standardContextual"/>
        </w:rPr>
        <w:t>- </w:t>
      </w:r>
      <w:r w:rsidR="00DB2D1B" w:rsidRPr="004676F5">
        <w:rPr>
          <w:rFonts w:eastAsia="Calibri"/>
          <w:iCs/>
          <w:kern w:val="2"/>
          <w:szCs w:val="22"/>
          <w:lang w:val="de-DE" w:eastAsia="en-US"/>
          <w14:ligatures w14:val="standardContextual"/>
        </w:rPr>
        <w:t>[</w:t>
      </w:r>
      <w:r w:rsidR="00BE3682" w:rsidRPr="004676F5">
        <w:rPr>
          <w:rFonts w:eastAsia="Calibri"/>
          <w:kern w:val="2"/>
          <w:szCs w:val="22"/>
          <w:lang w:val="de-DE" w:eastAsia="en-US"/>
          <w14:ligatures w14:val="standardContextual"/>
        </w:rPr>
        <w:t>Verfahren und Entscheidungen</w:t>
      </w:r>
      <w:r w:rsidR="00DB2D1B" w:rsidRPr="004676F5">
        <w:rPr>
          <w:rFonts w:eastAsia="Calibri"/>
          <w:kern w:val="2"/>
          <w:szCs w:val="22"/>
          <w:lang w:val="de-DE" w:eastAsia="en-US"/>
          <w14:ligatures w14:val="standardContextual"/>
        </w:rPr>
        <w:t>]</w:t>
      </w:r>
    </w:p>
    <w:p w14:paraId="55C67E7C" w14:textId="77777777" w:rsidR="00BE3682" w:rsidRPr="004676F5" w:rsidRDefault="00BE3682" w:rsidP="00BE3682">
      <w:pPr>
        <w:jc w:val="both"/>
        <w:rPr>
          <w:rFonts w:eastAsia="Calibri"/>
          <w:kern w:val="2"/>
          <w:lang w:val="de-DE" w:eastAsia="en-US"/>
          <w14:ligatures w14:val="standardContextual"/>
        </w:rPr>
      </w:pPr>
    </w:p>
    <w:p w14:paraId="728DECB7" w14:textId="28615F18" w:rsidR="00C966BA" w:rsidRPr="004676F5" w:rsidRDefault="00C966BA" w:rsidP="00BE3682">
      <w:pPr>
        <w:jc w:val="both"/>
        <w:rPr>
          <w:rFonts w:eastAsia="Calibri"/>
          <w:kern w:val="2"/>
          <w:lang w:val="de-DE" w:eastAsia="en-US"/>
          <w14:ligatures w14:val="standardContextual"/>
        </w:rPr>
      </w:pPr>
      <w:r w:rsidRPr="004676F5">
        <w:rPr>
          <w:rFonts w:eastAsia="Calibri"/>
          <w:i/>
          <w:iCs/>
          <w:kern w:val="2"/>
          <w:lang w:val="de-DE" w:eastAsia="en-US"/>
          <w14:ligatures w14:val="standardContextual"/>
        </w:rPr>
        <w:t>[Früherer Abschnitt 2 umgegliedert zu Kapitel 1</w:t>
      </w:r>
      <w:r w:rsidR="00DB2D1B" w:rsidRPr="004676F5">
        <w:rPr>
          <w:rFonts w:eastAsia="Calibri"/>
          <w:i/>
          <w:iCs/>
          <w:kern w:val="2"/>
          <w:lang w:val="de-DE" w:eastAsia="en-US"/>
          <w14:ligatures w14:val="standardContextual"/>
        </w:rPr>
        <w:t xml:space="preserve"> und Überschrift ersetzt</w:t>
      </w:r>
      <w:r w:rsidRPr="004676F5">
        <w:rPr>
          <w:rFonts w:eastAsia="Calibri"/>
          <w:i/>
          <w:iCs/>
          <w:kern w:val="2"/>
          <w:lang w:val="de-DE" w:eastAsia="en-US"/>
          <w14:ligatures w14:val="standardContextual"/>
        </w:rPr>
        <w:t xml:space="preserve"> durch Art. 28 des G. vom 29. März 2024 (B.S. vom 3. Mai 2024)]</w:t>
      </w:r>
    </w:p>
    <w:p w14:paraId="43CB074B" w14:textId="77777777" w:rsidR="00C966BA" w:rsidRPr="004676F5" w:rsidRDefault="00C966BA" w:rsidP="00BE3682">
      <w:pPr>
        <w:jc w:val="both"/>
        <w:rPr>
          <w:rFonts w:eastAsia="Calibri"/>
          <w:kern w:val="2"/>
          <w:lang w:val="de-DE" w:eastAsia="en-US"/>
          <w14:ligatures w14:val="standardContextual"/>
        </w:rPr>
      </w:pPr>
    </w:p>
    <w:p w14:paraId="0DC04798" w14:textId="77777777" w:rsidR="007854CD" w:rsidRPr="004676F5" w:rsidRDefault="007854CD" w:rsidP="00BE3682">
      <w:pPr>
        <w:jc w:val="both"/>
        <w:rPr>
          <w:rFonts w:eastAsia="Calibri"/>
          <w:kern w:val="2"/>
          <w:lang w:val="de-DE" w:eastAsia="en-US"/>
          <w14:ligatures w14:val="standardContextual"/>
        </w:rPr>
      </w:pPr>
    </w:p>
    <w:p w14:paraId="3AEF41B3" w14:textId="6C3BE8F6" w:rsidR="00BE3682" w:rsidRPr="004676F5" w:rsidRDefault="00CD6ED7"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1</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DB2D1B"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Untersuchungsverfahren</w:t>
      </w:r>
      <w:r w:rsidR="00DB2D1B" w:rsidRPr="004676F5">
        <w:rPr>
          <w:rFonts w:eastAsia="Calibri"/>
          <w:kern w:val="2"/>
          <w:szCs w:val="22"/>
          <w:lang w:val="de-DE" w:eastAsia="en-US"/>
          <w14:ligatures w14:val="standardContextual"/>
        </w:rPr>
        <w:t>]</w:t>
      </w:r>
    </w:p>
    <w:p w14:paraId="07B84407" w14:textId="77777777" w:rsidR="00BE3682" w:rsidRPr="004676F5" w:rsidRDefault="00BE3682" w:rsidP="00BE3682">
      <w:pPr>
        <w:jc w:val="both"/>
        <w:rPr>
          <w:rFonts w:eastAsia="Calibri"/>
          <w:kern w:val="2"/>
          <w:lang w:val="de-DE" w:eastAsia="en-US"/>
          <w14:ligatures w14:val="standardContextual"/>
        </w:rPr>
      </w:pPr>
    </w:p>
    <w:p w14:paraId="10A8E873" w14:textId="24A4966C" w:rsidR="00CD6ED7" w:rsidRPr="004676F5" w:rsidRDefault="00CD6ED7" w:rsidP="00CD6ED7">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[Früherer Unterabschnitt 1 umgegliedert zu Abschnitt 1 </w:t>
      </w:r>
      <w:r w:rsidR="00DB2D1B" w:rsidRPr="004676F5">
        <w:rPr>
          <w:rFonts w:eastAsia="Calibri"/>
          <w:i/>
          <w:iCs/>
          <w:kern w:val="2"/>
          <w:lang w:val="de-DE" w:eastAsia="en-US"/>
          <w14:ligatures w14:val="standardContextual"/>
        </w:rPr>
        <w:t xml:space="preserve">und Überschrift </w:t>
      </w:r>
      <w:r w:rsidR="007E0589" w:rsidRPr="004676F5">
        <w:rPr>
          <w:rFonts w:eastAsia="Calibri"/>
          <w:i/>
          <w:iCs/>
          <w:kern w:val="2"/>
          <w:lang w:val="de-DE" w:eastAsia="en-US"/>
          <w14:ligatures w14:val="standardContextual"/>
        </w:rPr>
        <w:t xml:space="preserve">ersetzt </w:t>
      </w:r>
      <w:r w:rsidRPr="004676F5">
        <w:rPr>
          <w:rFonts w:eastAsia="Calibri"/>
          <w:i/>
          <w:iCs/>
          <w:kern w:val="2"/>
          <w:lang w:val="de-DE" w:eastAsia="en-US"/>
          <w14:ligatures w14:val="standardContextual"/>
        </w:rPr>
        <w:t>durch Art. 29 des G. vom 29. März 2024 (B.S. vom 3. Mai 2024)]</w:t>
      </w:r>
    </w:p>
    <w:p w14:paraId="71D37B2C" w14:textId="77777777" w:rsidR="00CD6ED7" w:rsidRPr="004676F5" w:rsidRDefault="00CD6ED7" w:rsidP="00BE3682">
      <w:pPr>
        <w:jc w:val="both"/>
        <w:rPr>
          <w:rFonts w:eastAsia="Calibri"/>
          <w:kern w:val="2"/>
          <w:lang w:val="de-DE" w:eastAsia="en-US"/>
          <w14:ligatures w14:val="standardContextual"/>
        </w:rPr>
      </w:pPr>
    </w:p>
    <w:p w14:paraId="748F4F13" w14:textId="77777777" w:rsidR="007854CD" w:rsidRPr="004676F5" w:rsidRDefault="007854CD" w:rsidP="00BE3682">
      <w:pPr>
        <w:jc w:val="both"/>
        <w:rPr>
          <w:rFonts w:eastAsia="Calibri"/>
          <w:kern w:val="2"/>
          <w:lang w:val="de-DE" w:eastAsia="en-US"/>
          <w14:ligatures w14:val="standardContextual"/>
        </w:rPr>
      </w:pPr>
    </w:p>
    <w:p w14:paraId="43166568" w14:textId="6DDE4F10"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IV.39</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Generalauditor entscheidet, ob eine Untersuchung eingeleitet wird:</w:t>
      </w:r>
    </w:p>
    <w:p w14:paraId="4D3D2EB5" w14:textId="77777777" w:rsidR="00BE3682" w:rsidRPr="004676F5" w:rsidRDefault="00BE3682" w:rsidP="00BE3682">
      <w:pPr>
        <w:jc w:val="both"/>
        <w:rPr>
          <w:rFonts w:eastAsia="Calibri"/>
          <w:kern w:val="2"/>
          <w:lang w:val="de-DE" w:eastAsia="en-US"/>
          <w14:ligatures w14:val="standardContextual"/>
        </w:rPr>
      </w:pPr>
    </w:p>
    <w:p w14:paraId="3F35AD1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auf Antrag der anmeldenden Parteien im Falle eines angemeldeten Zusammen</w:t>
      </w:r>
      <w:r w:rsidRPr="004676F5">
        <w:rPr>
          <w:rFonts w:eastAsia="Calibri"/>
          <w:kern w:val="2"/>
          <w:szCs w:val="22"/>
          <w:lang w:val="de-DE" w:eastAsia="en-US"/>
          <w14:ligatures w14:val="standardContextual"/>
        </w:rPr>
        <w:softHyphen/>
        <w:t>schlusses,</w:t>
      </w:r>
    </w:p>
    <w:p w14:paraId="093F5029" w14:textId="77777777" w:rsidR="00BE3682" w:rsidRPr="004676F5" w:rsidRDefault="00BE3682" w:rsidP="00BE3682">
      <w:pPr>
        <w:jc w:val="both"/>
        <w:rPr>
          <w:rFonts w:eastAsia="Calibri"/>
          <w:kern w:val="2"/>
          <w:lang w:val="de-DE" w:eastAsia="en-US"/>
          <w14:ligatures w14:val="standardContextual"/>
        </w:rPr>
      </w:pPr>
    </w:p>
    <w:p w14:paraId="5CF2FCD3" w14:textId="67388B7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2. von Amts wegen oder nach Klage einer natürlichen oder juristischen Person, die ein berechtigtes Interesse nachweist, im Falle eines Verstoßes gegen Artikel IV.1 § 1, IV.1 § 4, IV.2, </w:t>
      </w:r>
      <w:r w:rsidR="0028112E" w:rsidRPr="004676F5">
        <w:rPr>
          <w:rFonts w:eastAsia="Calibri"/>
          <w:kern w:val="2"/>
          <w:szCs w:val="22"/>
          <w:lang w:val="de-DE" w:eastAsia="en-US"/>
          <w14:ligatures w14:val="standardContextual"/>
        </w:rPr>
        <w:t xml:space="preserve">[IV.2/1,] </w:t>
      </w:r>
      <w:r w:rsidRPr="004676F5">
        <w:rPr>
          <w:rFonts w:eastAsia="Calibri"/>
          <w:kern w:val="2"/>
          <w:szCs w:val="22"/>
          <w:lang w:val="de-DE" w:eastAsia="en-US"/>
          <w14:ligatures w14:val="standardContextual"/>
        </w:rPr>
        <w:t>IV.10 § 1, IV.10 § 4 oder im Falle der Nichteinhaltung einer Entscheidung, die aufgrund von Artikel IV.10 § 6, IV.44 § 1 Nr. 2, IV.45 Absatz 1 Nr. 2, IV.46 § 2 Nr. 1, IV.52, IV.66, IV.69, IV.71 oder IV.73 getroffen wurde,</w:t>
      </w:r>
    </w:p>
    <w:p w14:paraId="70DA12E0" w14:textId="77777777" w:rsidR="00BE3682" w:rsidRPr="004676F5" w:rsidRDefault="00BE3682" w:rsidP="00BE3682">
      <w:pPr>
        <w:jc w:val="both"/>
        <w:rPr>
          <w:rFonts w:eastAsia="Calibri"/>
          <w:kern w:val="2"/>
          <w:lang w:val="de-DE" w:eastAsia="en-US"/>
          <w14:ligatures w14:val="standardContextual"/>
        </w:rPr>
      </w:pPr>
    </w:p>
    <w:p w14:paraId="79130E9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auf Antrag oder Anweisung des Ministers,</w:t>
      </w:r>
    </w:p>
    <w:p w14:paraId="6B2484F5" w14:textId="77777777" w:rsidR="00BE3682" w:rsidRPr="004676F5" w:rsidRDefault="00BE3682" w:rsidP="00BE3682">
      <w:pPr>
        <w:jc w:val="both"/>
        <w:rPr>
          <w:rFonts w:eastAsia="Calibri"/>
          <w:kern w:val="2"/>
          <w:lang w:val="de-DE" w:eastAsia="en-US"/>
          <w14:ligatures w14:val="standardContextual"/>
        </w:rPr>
      </w:pPr>
    </w:p>
    <w:p w14:paraId="730DA8CE" w14:textId="0A7D4CB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4. auf Antrag des Ministers des Mittelstands, einer bestimmten öffentlichen Einrichtung oder anderen öffentlichen Körperschaft, die mit der Kontrolle oder Überwachung eines Wirtschaftssektors beauftragt ist, im Falle eines Verstoßes gegen Artikel IV.1 § 1, IV.2</w:t>
      </w:r>
      <w:r w:rsidR="0028112E" w:rsidRPr="004676F5">
        <w:rPr>
          <w:rFonts w:eastAsia="Calibri"/>
          <w:kern w:val="2"/>
          <w:szCs w:val="22"/>
          <w:lang w:val="de-DE" w:eastAsia="en-US"/>
          <w14:ligatures w14:val="standardContextual"/>
        </w:rPr>
        <w:t>[, IV.2/1]</w:t>
      </w:r>
      <w:r w:rsidRPr="004676F5">
        <w:rPr>
          <w:rFonts w:eastAsia="Calibri"/>
          <w:kern w:val="2"/>
          <w:szCs w:val="22"/>
          <w:lang w:val="de-DE" w:eastAsia="en-US"/>
          <w14:ligatures w14:val="standardContextual"/>
        </w:rPr>
        <w:t xml:space="preserve"> oder IV.10 § 1,</w:t>
      </w:r>
    </w:p>
    <w:p w14:paraId="6E11E623" w14:textId="77777777" w:rsidR="00BE3682" w:rsidRPr="004676F5" w:rsidRDefault="00BE3682" w:rsidP="00BE3682">
      <w:pPr>
        <w:jc w:val="both"/>
        <w:rPr>
          <w:rFonts w:eastAsia="Calibri"/>
          <w:kern w:val="2"/>
          <w:lang w:val="de-DE" w:eastAsia="en-US"/>
          <w14:ligatures w14:val="standardContextual"/>
        </w:rPr>
      </w:pPr>
    </w:p>
    <w:p w14:paraId="3FB6BDEF"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5. von Amts wegen oder auf Antrag des Ministers im Hinblick auf die Annahme eines Königlichen Erlasses zur Gewährung einer Befreiung für Gruppen von Vereinbarungen, Beschlüssen und aufeinander abgestimmten Verhaltensweisen aufgrund von Artikel IV.5.</w:t>
      </w:r>
    </w:p>
    <w:p w14:paraId="2FE82FD5" w14:textId="77777777" w:rsidR="00115238" w:rsidRPr="004676F5" w:rsidRDefault="00115238" w:rsidP="00BE3682">
      <w:pPr>
        <w:jc w:val="both"/>
        <w:rPr>
          <w:rFonts w:eastAsia="Calibri"/>
          <w:kern w:val="2"/>
          <w:szCs w:val="22"/>
          <w:lang w:val="de-DE" w:eastAsia="en-US"/>
          <w14:ligatures w14:val="standardContextual"/>
        </w:rPr>
      </w:pPr>
    </w:p>
    <w:p w14:paraId="373DBD89" w14:textId="5985A65F" w:rsidR="00115238" w:rsidRPr="004676F5" w:rsidRDefault="00115238"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w:t>
      </w:r>
      <w:r w:rsidRPr="004676F5">
        <w:rPr>
          <w:lang w:val="de-DE"/>
        </w:rPr>
        <w:t>Um zu beurteilen, ob die Einleitung einer Untersuchung angezeigt ist, kann der Generalauditor einen Auditor bestellen, der beauftragt wird, anhand der in den Artikeln IV.40 und IV.40/1 erwähnten Maßnahmen nützliche Auskünfte einzuholen. Der Auditor gibt die Rechtsgrundlage und den Zweck der getroffenen Maßnahmen an. Stellt der Generalauditor fest, dass die Einleitung einer Untersuchung nicht gerechtfertigt ist, schließt er die Akte und nimmt alle diesbezüglich nützlichen Mitteilungen vor.]</w:t>
      </w:r>
    </w:p>
    <w:p w14:paraId="6A7D71B1" w14:textId="77777777" w:rsidR="0028112E" w:rsidRPr="004676F5" w:rsidRDefault="0028112E" w:rsidP="00BE3682">
      <w:pPr>
        <w:jc w:val="both"/>
        <w:rPr>
          <w:rFonts w:eastAsia="Calibri"/>
          <w:kern w:val="2"/>
          <w:szCs w:val="22"/>
          <w:lang w:val="de-DE" w:eastAsia="en-US"/>
          <w14:ligatures w14:val="standardContextual"/>
        </w:rPr>
      </w:pPr>
    </w:p>
    <w:p w14:paraId="5C8FE173" w14:textId="01754ECB" w:rsidR="0028112E" w:rsidRPr="004676F5" w:rsidRDefault="0028112E" w:rsidP="00BE3682">
      <w:pPr>
        <w:jc w:val="both"/>
        <w:rPr>
          <w:rFonts w:eastAsia="Calibri"/>
          <w:lang w:val="de-DE"/>
        </w:rPr>
      </w:pPr>
      <w:r w:rsidRPr="004676F5">
        <w:rPr>
          <w:rFonts w:eastAsia="Calibri"/>
          <w:i/>
          <w:iCs/>
          <w:kern w:val="2"/>
          <w:szCs w:val="22"/>
          <w:lang w:val="de-DE" w:eastAsia="en-US"/>
          <w14:ligatures w14:val="standardContextual"/>
        </w:rPr>
        <w:t xml:space="preserve">[Art. IV.39 </w:t>
      </w:r>
      <w:r w:rsidR="00115238" w:rsidRPr="004676F5">
        <w:rPr>
          <w:rFonts w:eastAsia="Calibri"/>
          <w:i/>
          <w:iCs/>
          <w:kern w:val="2"/>
          <w:szCs w:val="22"/>
          <w:lang w:val="de-DE" w:eastAsia="en-US"/>
          <w14:ligatures w14:val="standardContextual"/>
        </w:rPr>
        <w:t xml:space="preserve">Abs. 1 (früherer </w:t>
      </w:r>
      <w:r w:rsidRPr="004676F5">
        <w:rPr>
          <w:rFonts w:eastAsia="Calibri"/>
          <w:i/>
          <w:iCs/>
          <w:kern w:val="2"/>
          <w:szCs w:val="22"/>
          <w:lang w:val="de-DE" w:eastAsia="en-US"/>
          <w14:ligatures w14:val="standardContextual"/>
        </w:rPr>
        <w:t>einziger Absatz</w:t>
      </w:r>
      <w:r w:rsidR="00115238" w:rsidRPr="004676F5">
        <w:rPr>
          <w:rFonts w:eastAsia="Calibri"/>
          <w:i/>
          <w:iCs/>
          <w:kern w:val="2"/>
          <w:szCs w:val="22"/>
          <w:lang w:val="de-DE" w:eastAsia="en-US"/>
          <w14:ligatures w14:val="standardContextual"/>
        </w:rPr>
        <w:t>)</w:t>
      </w:r>
      <w:r w:rsidRPr="004676F5">
        <w:rPr>
          <w:rFonts w:eastAsia="Calibri"/>
          <w:i/>
          <w:iCs/>
          <w:kern w:val="2"/>
          <w:szCs w:val="22"/>
          <w:lang w:val="de-DE" w:eastAsia="en-US"/>
          <w14:ligatures w14:val="standardContextual"/>
        </w:rPr>
        <w:t xml:space="preserve"> Nr. 2 abgeändert durch Art. 2 Buchstabe a)</w:t>
      </w:r>
      <w:r w:rsidRPr="004676F5">
        <w:rPr>
          <w:i/>
          <w:lang w:val="de-DE"/>
        </w:rPr>
        <w:t xml:space="preserve"> des K.E. vom 31. Juli 2020 (B.S. vom 12. August 2020); Abs</w:t>
      </w:r>
      <w:r w:rsidR="00115238" w:rsidRPr="004676F5">
        <w:rPr>
          <w:i/>
          <w:lang w:val="de-DE"/>
        </w:rPr>
        <w:t>. 1</w:t>
      </w:r>
      <w:r w:rsidRPr="004676F5">
        <w:rPr>
          <w:i/>
          <w:lang w:val="de-DE"/>
        </w:rPr>
        <w:t xml:space="preserve"> Nr. 4 abgeändert durch Art. 2 Buchstabe b) des K.E. vom 31. Juli 2020 (B.S. vom 12. August 2020)</w:t>
      </w:r>
      <w:r w:rsidR="00115238" w:rsidRPr="004676F5">
        <w:rPr>
          <w:i/>
          <w:lang w:val="de-DE"/>
        </w:rPr>
        <w:t>; Abs. 2 eingefügt durch Art. 5 des G. vom 5. November 2023</w:t>
      </w:r>
      <w:r w:rsidR="003454B3" w:rsidRPr="004676F5">
        <w:rPr>
          <w:i/>
          <w:lang w:val="de-DE"/>
        </w:rPr>
        <w:t xml:space="preserve"> (I)</w:t>
      </w:r>
      <w:r w:rsidR="00115238" w:rsidRPr="004676F5">
        <w:rPr>
          <w:i/>
          <w:lang w:val="de-DE"/>
        </w:rPr>
        <w:t xml:space="preserve"> (B.S. vom 11. Dezember 2023)</w:t>
      </w:r>
      <w:r w:rsidRPr="004676F5">
        <w:rPr>
          <w:i/>
          <w:lang w:val="de-DE"/>
        </w:rPr>
        <w:t>]</w:t>
      </w:r>
    </w:p>
    <w:p w14:paraId="60A13EFB" w14:textId="77777777" w:rsidR="00BE3682" w:rsidRPr="004676F5" w:rsidRDefault="00BE3682" w:rsidP="00BE3682">
      <w:pPr>
        <w:jc w:val="both"/>
        <w:rPr>
          <w:rFonts w:eastAsia="Calibri"/>
          <w:kern w:val="2"/>
          <w:lang w:val="de-DE" w:eastAsia="en-US"/>
          <w14:ligatures w14:val="standardContextual"/>
        </w:rPr>
      </w:pPr>
    </w:p>
    <w:p w14:paraId="0B934890" w14:textId="77777777" w:rsidR="007854CD" w:rsidRPr="004676F5" w:rsidRDefault="007854CD" w:rsidP="00BE3682">
      <w:pPr>
        <w:jc w:val="both"/>
        <w:rPr>
          <w:rFonts w:eastAsia="Calibri"/>
          <w:kern w:val="2"/>
          <w:lang w:val="de-DE" w:eastAsia="en-US"/>
          <w14:ligatures w14:val="standardContextual"/>
        </w:rPr>
      </w:pPr>
    </w:p>
    <w:p w14:paraId="3C84C0C3" w14:textId="5398CD1A" w:rsidR="000A1E2C" w:rsidRPr="004676F5" w:rsidRDefault="00BE3682" w:rsidP="000A1E2C">
      <w:pPr>
        <w:jc w:val="both"/>
        <w:rPr>
          <w:lang w:val="de-DE"/>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IV.40</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0A1E2C" w:rsidRPr="004676F5">
        <w:rPr>
          <w:rFonts w:eastAsia="Calibri"/>
          <w:kern w:val="2"/>
          <w:szCs w:val="22"/>
          <w:lang w:val="de-DE" w:eastAsia="en-US"/>
          <w14:ligatures w14:val="standardContextual"/>
        </w:rPr>
        <w:t>[</w:t>
      </w:r>
      <w:r w:rsidR="000A1E2C" w:rsidRPr="004676F5">
        <w:rPr>
          <w:lang w:val="de-DE"/>
        </w:rPr>
        <w:t>§ 1 </w:t>
      </w:r>
      <w:r w:rsidR="005B7A5C" w:rsidRPr="004676F5">
        <w:rPr>
          <w:lang w:val="de-DE"/>
        </w:rPr>
        <w:t>- </w:t>
      </w:r>
      <w:r w:rsidR="000A1E2C" w:rsidRPr="004676F5">
        <w:rPr>
          <w:lang w:val="de-DE"/>
        </w:rPr>
        <w:t>Ein Auditor kann zur Erfüllung seiner Aufträge bei Unternehmen, Unternehmensvereinigungen und natürlichen Personen jegliche Auskünfte einholen</w:t>
      </w:r>
      <w:r w:rsidR="00115238" w:rsidRPr="004676F5">
        <w:rPr>
          <w:lang w:val="de-DE"/>
        </w:rPr>
        <w:t>[, auch vor Einleitung einer in Artikel IV.39 erwähnten Untersuchung]</w:t>
      </w:r>
      <w:r w:rsidR="000A1E2C" w:rsidRPr="004676F5">
        <w:rPr>
          <w:lang w:val="de-DE"/>
        </w:rPr>
        <w:t>. Er bestimmt die Frist, in der ihm diese Auskünfte erteilt werden. Der Auditor kann Mitglieder des Untersuchungsteams mit der Aufgabe betrauen, Auskünfte einzuholen.</w:t>
      </w:r>
    </w:p>
    <w:p w14:paraId="4BE3C26B" w14:textId="77777777" w:rsidR="000A1E2C" w:rsidRPr="004676F5" w:rsidRDefault="000A1E2C" w:rsidP="000A1E2C">
      <w:pPr>
        <w:jc w:val="both"/>
        <w:rPr>
          <w:lang w:val="de-DE"/>
        </w:rPr>
      </w:pPr>
    </w:p>
    <w:p w14:paraId="7BA66AF1" w14:textId="77777777" w:rsidR="000A1E2C" w:rsidRPr="004676F5" w:rsidRDefault="000A1E2C" w:rsidP="000A1E2C">
      <w:pPr>
        <w:jc w:val="both"/>
        <w:rPr>
          <w:lang w:val="de-DE"/>
        </w:rPr>
      </w:pPr>
      <w:r w:rsidRPr="004676F5">
        <w:rPr>
          <w:lang w:val="de-DE"/>
        </w:rPr>
        <w:tab/>
        <w:t>Die Verpflichtung zur Erteilung aller erforderlichen Auskünfte umfasst Informationen, die sich im Besitz des Unternehmens, der Unternehmensvereinigung oder der natürlichen Person befinden, und Informationen, die ihm/ihr zugänglich sind, unabhängig von Form oder Speichermedium, einschließlich E-Mails und Instant-Messaging-Systemnachrichten, und unabhängig von dem Ort, an dem diese Informationen gespeichert sind, einschließlich in Clouds und auf Servern, sofern sie dem Unternehmen, der Unternehmensvereinigung oder der natürlichen Person, das/die der Adressat des Auskunftsverlangens ist, zugänglich sind.</w:t>
      </w:r>
    </w:p>
    <w:p w14:paraId="3A61AB38" w14:textId="77777777" w:rsidR="000A1E2C" w:rsidRPr="004676F5" w:rsidRDefault="000A1E2C" w:rsidP="000A1E2C">
      <w:pPr>
        <w:jc w:val="both"/>
        <w:rPr>
          <w:lang w:val="de-DE"/>
        </w:rPr>
      </w:pPr>
    </w:p>
    <w:p w14:paraId="4FF24CFF" w14:textId="77777777" w:rsidR="000A1E2C" w:rsidRPr="004676F5" w:rsidRDefault="000A1E2C" w:rsidP="000A1E2C">
      <w:pPr>
        <w:jc w:val="both"/>
        <w:rPr>
          <w:lang w:val="de-DE"/>
        </w:rPr>
      </w:pPr>
      <w:r w:rsidRPr="004676F5">
        <w:rPr>
          <w:lang w:val="de-DE"/>
        </w:rPr>
        <w:tab/>
        <w:t>Im Auskunftsverlangen werden die Rechtsgrundlage und dessen Zweck angegeben.</w:t>
      </w:r>
    </w:p>
    <w:p w14:paraId="1D80C1AF" w14:textId="77777777" w:rsidR="000A1E2C" w:rsidRPr="004676F5" w:rsidRDefault="000A1E2C" w:rsidP="000A1E2C">
      <w:pPr>
        <w:jc w:val="both"/>
        <w:rPr>
          <w:lang w:val="de-DE"/>
        </w:rPr>
      </w:pPr>
    </w:p>
    <w:p w14:paraId="6F931164" w14:textId="77777777" w:rsidR="000A1E2C" w:rsidRPr="004676F5" w:rsidRDefault="000A1E2C" w:rsidP="000A1E2C">
      <w:pPr>
        <w:jc w:val="both"/>
        <w:rPr>
          <w:lang w:val="de-DE"/>
        </w:rPr>
      </w:pPr>
      <w:r w:rsidRPr="004676F5">
        <w:rPr>
          <w:lang w:val="de-DE"/>
        </w:rPr>
        <w:tab/>
        <w:t>Das Auskunftsverlangen ist verhältnismäßig und nötigt das Unternehmen, die Unternehmensvereinigung oder die natürliche Person, von dem/der die Auskünfte verlangt werden, nicht einzugestehen, dass es/sie eine Zuwiderhandlung gegen das Wettbewerbsrecht begangen hat.</w:t>
      </w:r>
    </w:p>
    <w:p w14:paraId="780F19B8" w14:textId="77777777" w:rsidR="000A1E2C" w:rsidRPr="004676F5" w:rsidRDefault="000A1E2C" w:rsidP="000A1E2C">
      <w:pPr>
        <w:jc w:val="both"/>
        <w:rPr>
          <w:lang w:val="de-DE"/>
        </w:rPr>
      </w:pPr>
    </w:p>
    <w:p w14:paraId="39F69B15" w14:textId="1C1F2F65" w:rsidR="007B7321" w:rsidRPr="004676F5" w:rsidRDefault="007B7321" w:rsidP="007B7321">
      <w:pPr>
        <w:jc w:val="both"/>
        <w:rPr>
          <w:lang w:val="de-DE"/>
        </w:rPr>
      </w:pPr>
      <w:r w:rsidRPr="004676F5">
        <w:rPr>
          <w:lang w:val="de-DE"/>
        </w:rPr>
        <w:tab/>
        <w:t>[§ 1/1 - Unbeschadet des Paragraphen 1 kann der Auditor zur Erfüllung der Aufträge der Belgischen Wettbewerbsbehörde, Verstöße gegen die Artikel 101 und 102 AEUV und die Artikel IV.1, IV.2 und IV.2/1 zu verfolgen und Zusammenschlüsse zu kontrollieren, zur Wahrung wichtiger wirtschaftlicher Interessen der Europäischen Union oder Belgiens Verkehrsdaten, Standortdaten, Identifizierungsdaten oder -dokumente und IP-Adressen wie in Artikel 127/1 §§ 2 und 3 des Gesetzes vom 13. Juni 2005 über die elektronische Kommunikation erwähnt von dem in Artikel 2 Nr. 11 des Gesetzes vom 13. Juni 2005 über die elektronische Kommunikation erwähnten Betreiber anfordern. Diese verschiedenen Daten beziehen sich auf ein Unternehmen, eine Unternehmensvereinigung oder eine natürliche Person, gegen das/die eine Untersuchung gemäß Artikel IV.39 läuft, oder auf eine natürliche Person, die im Rahmen der Tätigkeiten eines Unternehmens oder einer Unternehmens</w:t>
      </w:r>
      <w:r w:rsidRPr="004676F5">
        <w:rPr>
          <w:lang w:val="de-DE"/>
        </w:rPr>
        <w:softHyphen/>
        <w:t>vereinigung, gegen das/die eine solche Untersuchung läuft, tätig geworden ist.</w:t>
      </w:r>
    </w:p>
    <w:p w14:paraId="44A8445A" w14:textId="77777777" w:rsidR="007B7321" w:rsidRPr="004676F5" w:rsidRDefault="007B7321" w:rsidP="007B7321">
      <w:pPr>
        <w:jc w:val="both"/>
        <w:rPr>
          <w:lang w:val="de-DE"/>
        </w:rPr>
      </w:pPr>
    </w:p>
    <w:p w14:paraId="065314BA" w14:textId="77777777" w:rsidR="007B7321" w:rsidRPr="004676F5" w:rsidRDefault="007B7321" w:rsidP="007B7321">
      <w:pPr>
        <w:jc w:val="both"/>
        <w:rPr>
          <w:lang w:val="de-DE"/>
        </w:rPr>
      </w:pPr>
      <w:r w:rsidRPr="004676F5">
        <w:rPr>
          <w:lang w:val="de-DE"/>
        </w:rPr>
        <w:tab/>
        <w:t>Zugang zu diesen Daten kann nur auf mit Gründen versehenen Antrag und mit vorheriger Ermächtigung eines Untersuchungsrichters des niederländischsprachigen Gerichts Erster Instanz von Brüssel oder eines Untersuchungsrichters des französischsprachigen Gerichts Erster Instanz von Brüssel, die für die Anwendung des vorliegenden Absatzes auch außerhalb ihres Bezirks zuständig sind, erhalten werden.</w:t>
      </w:r>
    </w:p>
    <w:p w14:paraId="3C4EE9DB" w14:textId="77777777" w:rsidR="007B7321" w:rsidRPr="004676F5" w:rsidRDefault="007B7321" w:rsidP="007B7321">
      <w:pPr>
        <w:jc w:val="both"/>
        <w:rPr>
          <w:lang w:val="de-DE"/>
        </w:rPr>
      </w:pPr>
    </w:p>
    <w:p w14:paraId="3A6E3892" w14:textId="77777777" w:rsidR="007B7321" w:rsidRPr="004676F5" w:rsidRDefault="007B7321" w:rsidP="007B7321">
      <w:pPr>
        <w:jc w:val="both"/>
        <w:rPr>
          <w:lang w:val="de-DE"/>
        </w:rPr>
      </w:pPr>
      <w:r w:rsidRPr="004676F5">
        <w:rPr>
          <w:lang w:val="de-DE"/>
        </w:rPr>
        <w:tab/>
        <w:t>Gemäß Artikel IV.16 § 8 kann die Belgische Wettbewerbsbehörde diese Daten für den Zeitraum aufbewahren, der für ihre Untersuchungen und Verfahren erforderlich ist oder durch die allgemeinen Archivierungsregeln des Staates vorgeschrieben ist.</w:t>
      </w:r>
    </w:p>
    <w:p w14:paraId="317D13DA" w14:textId="77777777" w:rsidR="007B7321" w:rsidRPr="004676F5" w:rsidRDefault="007B7321" w:rsidP="007B7321">
      <w:pPr>
        <w:jc w:val="both"/>
        <w:rPr>
          <w:lang w:val="de-DE"/>
        </w:rPr>
      </w:pPr>
    </w:p>
    <w:p w14:paraId="513F502D" w14:textId="7BB59ADA" w:rsidR="007B7321" w:rsidRPr="004676F5" w:rsidRDefault="007B7321" w:rsidP="007B7321">
      <w:pPr>
        <w:jc w:val="both"/>
        <w:rPr>
          <w:lang w:val="de-DE"/>
        </w:rPr>
      </w:pPr>
      <w:r w:rsidRPr="004676F5">
        <w:rPr>
          <w:lang w:val="de-DE"/>
        </w:rPr>
        <w:tab/>
        <w:t>Die Belgische Wettbewerbsbehörde veröffentlicht in ihrem in Artikel IV.25 Nr. 5 erwähnten jährlichen Tätigkeitsbericht die Anzahl ihr gewährter Datenzugänge, die Anzahl Metadaten, zu denen sie Zugang hatte, die Anzahl von diesen Zugängen betroffener Personen und die Auswirkungen dieser Zugänge auf die Erfüllung ihrer Aufträge.]</w:t>
      </w:r>
    </w:p>
    <w:p w14:paraId="417A0D1D" w14:textId="77777777" w:rsidR="007B7321" w:rsidRPr="004676F5" w:rsidRDefault="007B7321" w:rsidP="007B7321">
      <w:pPr>
        <w:jc w:val="both"/>
        <w:rPr>
          <w:lang w:val="de-DE"/>
        </w:rPr>
      </w:pPr>
    </w:p>
    <w:p w14:paraId="765A935D" w14:textId="77777777" w:rsidR="000A1E2C" w:rsidRPr="004676F5" w:rsidRDefault="000A1E2C" w:rsidP="000A1E2C">
      <w:pPr>
        <w:jc w:val="both"/>
        <w:rPr>
          <w:lang w:val="de-DE"/>
        </w:rPr>
      </w:pPr>
      <w:r w:rsidRPr="004676F5">
        <w:rPr>
          <w:lang w:val="de-DE"/>
        </w:rPr>
        <w:lastRenderedPageBreak/>
        <w:tab/>
        <w:t>§ 2 ­ Werden die verlangten Auskünfte innerhalb der festgesetzten Frist nicht erteilt oder sind die erteilten Auskünfte unvollständig, unrichtig oder irreführend, so kann der Auditor die Auskünfte durch einen mit Gründen versehenen Beschluss anfordern.</w:t>
      </w:r>
    </w:p>
    <w:p w14:paraId="0BD449CE" w14:textId="77777777" w:rsidR="000A1E2C" w:rsidRPr="004676F5" w:rsidRDefault="000A1E2C" w:rsidP="000A1E2C">
      <w:pPr>
        <w:jc w:val="both"/>
        <w:rPr>
          <w:lang w:val="de-DE"/>
        </w:rPr>
      </w:pPr>
    </w:p>
    <w:p w14:paraId="6A20106B" w14:textId="77777777" w:rsidR="000A1E2C" w:rsidRPr="004676F5" w:rsidRDefault="000A1E2C" w:rsidP="000A1E2C">
      <w:pPr>
        <w:jc w:val="both"/>
        <w:rPr>
          <w:lang w:val="de-DE"/>
        </w:rPr>
      </w:pPr>
      <w:r w:rsidRPr="004676F5">
        <w:rPr>
          <w:lang w:val="de-DE"/>
        </w:rPr>
        <w:tab/>
        <w:t>In diesem Beschluss werden die Art der benötigten Auskünfte, die Rechtsgrundlage und der Zweck der Auskunftsanforderung angegeben und die Frist für die Erteilung der Auskünfte festgelegt.</w:t>
      </w:r>
    </w:p>
    <w:p w14:paraId="6B22B5A1" w14:textId="77777777" w:rsidR="000A1E2C" w:rsidRPr="004676F5" w:rsidRDefault="000A1E2C" w:rsidP="000A1E2C">
      <w:pPr>
        <w:jc w:val="both"/>
        <w:rPr>
          <w:lang w:val="de-DE"/>
        </w:rPr>
      </w:pPr>
    </w:p>
    <w:p w14:paraId="2D9EDCBF" w14:textId="77777777" w:rsidR="000A1E2C" w:rsidRPr="004676F5" w:rsidRDefault="000A1E2C" w:rsidP="000A1E2C">
      <w:pPr>
        <w:jc w:val="both"/>
        <w:rPr>
          <w:lang w:val="de-DE"/>
        </w:rPr>
      </w:pPr>
      <w:r w:rsidRPr="004676F5">
        <w:rPr>
          <w:lang w:val="de-DE"/>
        </w:rPr>
        <w:tab/>
        <w:t>Der Beschluss zur Auskunftsanforderung ist verhältnismäßig und nötigt das Unternehmen, die Unternehmensvereinigung oder die natürliche Person, von dem/der die Auskünfte angefordert werden, nicht einzugestehen, dass es/sie eine Zuwiderhandlung gegen das Wettbewerbsrecht begangen hat.</w:t>
      </w:r>
    </w:p>
    <w:p w14:paraId="42875D95" w14:textId="77777777" w:rsidR="000A1E2C" w:rsidRPr="004676F5" w:rsidRDefault="000A1E2C" w:rsidP="000A1E2C">
      <w:pPr>
        <w:jc w:val="both"/>
        <w:rPr>
          <w:lang w:val="de-DE"/>
        </w:rPr>
      </w:pPr>
    </w:p>
    <w:p w14:paraId="5E1E00EF" w14:textId="77777777" w:rsidR="000A1E2C" w:rsidRPr="004676F5" w:rsidRDefault="000A1E2C" w:rsidP="000A1E2C">
      <w:pPr>
        <w:jc w:val="both"/>
        <w:rPr>
          <w:lang w:val="de-DE"/>
        </w:rPr>
      </w:pPr>
      <w:r w:rsidRPr="004676F5">
        <w:rPr>
          <w:lang w:val="de-DE"/>
        </w:rPr>
        <w:tab/>
        <w:t>Wenn der Beschluss zur Auskunftsanforderung an eine der an einem Zusammenschluss beteiligten Parteien gerichtet wird, werden im Beschluss außerdem die in den Artikeln IV.64 § 2, IV.66 § 3, IV.67 § 2, IV.69 § 2 und IV.70 § 6 erwähnten Fristen bis zum Tag der Erteilung der Auskünfte ausgesetzt.</w:t>
      </w:r>
    </w:p>
    <w:p w14:paraId="4016A891" w14:textId="77777777" w:rsidR="000A1E2C" w:rsidRPr="004676F5" w:rsidRDefault="000A1E2C" w:rsidP="000A1E2C">
      <w:pPr>
        <w:jc w:val="both"/>
        <w:rPr>
          <w:lang w:val="de-DE"/>
        </w:rPr>
      </w:pPr>
    </w:p>
    <w:p w14:paraId="5B3225CC" w14:textId="06FC5133" w:rsidR="00BE3682" w:rsidRPr="004676F5" w:rsidRDefault="000A1E2C" w:rsidP="000A1E2C">
      <w:pPr>
        <w:jc w:val="both"/>
        <w:rPr>
          <w:rFonts w:eastAsia="Calibri"/>
          <w:kern w:val="2"/>
          <w:szCs w:val="22"/>
          <w:lang w:val="de-DE" w:eastAsia="en-US"/>
          <w14:ligatures w14:val="standardContextual"/>
        </w:rPr>
      </w:pPr>
      <w:r w:rsidRPr="004676F5">
        <w:rPr>
          <w:lang w:val="de-DE"/>
        </w:rPr>
        <w:tab/>
        <w:t>Der Auditor notifiziert seinen Beschluss dem Unternehmen, der Unternehmens</w:t>
      </w:r>
      <w:r w:rsidRPr="004676F5">
        <w:rPr>
          <w:lang w:val="de-DE"/>
        </w:rPr>
        <w:softHyphen/>
        <w:t>vereinigung oder der natürlichen Person, von dem/der die Auskünfte angefordert werden. Gegen diesen Beschluss kann keine gesonderte Beschwerde eingereicht werden.</w:t>
      </w:r>
      <w:r w:rsidRPr="004676F5">
        <w:rPr>
          <w:rFonts w:eastAsia="Calibri"/>
          <w:kern w:val="2"/>
          <w:szCs w:val="22"/>
          <w:lang w:val="de-DE" w:eastAsia="en-US"/>
          <w14:ligatures w14:val="standardContextual"/>
        </w:rPr>
        <w:t>]</w:t>
      </w:r>
    </w:p>
    <w:p w14:paraId="208AF73A" w14:textId="3A410523" w:rsidR="000A1E2C" w:rsidRPr="004676F5" w:rsidRDefault="000A1E2C" w:rsidP="000A1E2C">
      <w:pPr>
        <w:jc w:val="both"/>
        <w:rPr>
          <w:rFonts w:eastAsia="Calibri"/>
          <w:kern w:val="2"/>
          <w:szCs w:val="22"/>
          <w:lang w:val="de-DE" w:eastAsia="en-US"/>
          <w14:ligatures w14:val="standardContextual"/>
        </w:rPr>
      </w:pPr>
    </w:p>
    <w:p w14:paraId="0FAB9336" w14:textId="01809CFE" w:rsidR="000A1E2C" w:rsidRPr="004676F5" w:rsidRDefault="000A1E2C" w:rsidP="000A1E2C">
      <w:pPr>
        <w:jc w:val="both"/>
        <w:rPr>
          <w:rFonts w:eastAsia="Calibri"/>
          <w:i/>
          <w:iCs/>
          <w:kern w:val="2"/>
          <w:szCs w:val="22"/>
          <w:lang w:val="de-DE" w:eastAsia="en-US"/>
          <w14:ligatures w14:val="standardContextual"/>
        </w:rPr>
      </w:pPr>
      <w:r w:rsidRPr="004676F5">
        <w:rPr>
          <w:rFonts w:eastAsia="Calibri"/>
          <w:i/>
          <w:iCs/>
          <w:kern w:val="2"/>
          <w:szCs w:val="22"/>
          <w:lang w:val="de-DE" w:eastAsia="en-US"/>
          <w14:ligatures w14:val="standardContextual"/>
        </w:rPr>
        <w:t>[Art. IV.40 ersetzt durch Art. 15 des G. vom 28. Februar 2022 (B.S. vom 7. März 2022)</w:t>
      </w:r>
      <w:r w:rsidR="007B7321" w:rsidRPr="004676F5">
        <w:rPr>
          <w:rFonts w:eastAsia="Calibri"/>
          <w:i/>
          <w:iCs/>
          <w:kern w:val="2"/>
          <w:szCs w:val="22"/>
          <w:lang w:val="de-DE" w:eastAsia="en-US"/>
          <w14:ligatures w14:val="standardContextual"/>
        </w:rPr>
        <w:t>;</w:t>
      </w:r>
      <w:r w:rsidR="00115238" w:rsidRPr="004676F5">
        <w:rPr>
          <w:rFonts w:eastAsia="Calibri"/>
          <w:i/>
          <w:iCs/>
          <w:kern w:val="2"/>
          <w:szCs w:val="22"/>
          <w:lang w:val="de-DE" w:eastAsia="en-US"/>
          <w14:ligatures w14:val="standardContextual"/>
        </w:rPr>
        <w:t xml:space="preserve"> § 1 Abs. 1 abgeändert durch Art. 6</w:t>
      </w:r>
      <w:r w:rsidR="00115238" w:rsidRPr="004676F5">
        <w:rPr>
          <w:i/>
          <w:lang w:val="de-DE"/>
        </w:rPr>
        <w:t xml:space="preserve"> des G. vom 5. November 2023</w:t>
      </w:r>
      <w:r w:rsidR="00AA0B2E" w:rsidRPr="004676F5">
        <w:rPr>
          <w:i/>
          <w:lang w:val="de-DE"/>
        </w:rPr>
        <w:t> </w:t>
      </w:r>
      <w:r w:rsidR="003454B3" w:rsidRPr="004676F5">
        <w:rPr>
          <w:i/>
          <w:lang w:val="de-DE"/>
        </w:rPr>
        <w:t>(I)</w:t>
      </w:r>
      <w:r w:rsidR="00115238" w:rsidRPr="004676F5">
        <w:rPr>
          <w:i/>
          <w:lang w:val="de-DE"/>
        </w:rPr>
        <w:t xml:space="preserve"> (B.S. vom 11. Dezember 2023);</w:t>
      </w:r>
      <w:r w:rsidR="007B7321" w:rsidRPr="004676F5">
        <w:rPr>
          <w:rFonts w:eastAsia="Calibri"/>
          <w:i/>
          <w:iCs/>
          <w:kern w:val="2"/>
          <w:szCs w:val="22"/>
          <w:lang w:val="de-DE" w:eastAsia="en-US"/>
          <w14:ligatures w14:val="standardContextual"/>
        </w:rPr>
        <w:t xml:space="preserve"> § 1/1 eingefügt durch Art. 7 des G. vom 25. September 2022 (B.S. vom 16. Januar 2023)</w:t>
      </w:r>
      <w:r w:rsidRPr="004676F5">
        <w:rPr>
          <w:rFonts w:eastAsia="Calibri"/>
          <w:i/>
          <w:iCs/>
          <w:kern w:val="2"/>
          <w:szCs w:val="22"/>
          <w:lang w:val="de-DE" w:eastAsia="en-US"/>
          <w14:ligatures w14:val="standardContextual"/>
        </w:rPr>
        <w:t>]</w:t>
      </w:r>
    </w:p>
    <w:p w14:paraId="128A064D" w14:textId="77777777" w:rsidR="000A1E2C" w:rsidRPr="004676F5" w:rsidRDefault="000A1E2C" w:rsidP="000A1E2C">
      <w:pPr>
        <w:jc w:val="both"/>
        <w:rPr>
          <w:rFonts w:eastAsia="Calibri"/>
          <w:kern w:val="2"/>
          <w:szCs w:val="22"/>
          <w:lang w:val="de-DE" w:eastAsia="en-US"/>
          <w14:ligatures w14:val="standardContextual"/>
        </w:rPr>
      </w:pPr>
    </w:p>
    <w:p w14:paraId="7B1768D3" w14:textId="77777777" w:rsidR="000A1E2C" w:rsidRPr="004676F5" w:rsidRDefault="000A1E2C" w:rsidP="000A1E2C">
      <w:pPr>
        <w:jc w:val="both"/>
        <w:rPr>
          <w:rFonts w:eastAsia="Calibri"/>
          <w:kern w:val="2"/>
          <w:szCs w:val="22"/>
          <w:lang w:val="de-DE" w:eastAsia="en-US"/>
          <w14:ligatures w14:val="standardContextual"/>
        </w:rPr>
      </w:pPr>
    </w:p>
    <w:p w14:paraId="6D6EE4FE" w14:textId="05EAC5CF" w:rsidR="000A1E2C" w:rsidRPr="004676F5" w:rsidRDefault="000A1E2C" w:rsidP="000A1E2C">
      <w:pPr>
        <w:jc w:val="both"/>
        <w:rPr>
          <w:lang w:val="de-DE"/>
        </w:rPr>
      </w:pPr>
      <w:r w:rsidRPr="004676F5">
        <w:rPr>
          <w:rFonts w:eastAsia="Calibri"/>
          <w:kern w:val="2"/>
          <w:szCs w:val="22"/>
          <w:lang w:val="de-DE" w:eastAsia="en-US"/>
          <w14:ligatures w14:val="standardContextual"/>
        </w:rPr>
        <w:tab/>
        <w:t>[</w:t>
      </w:r>
      <w:r w:rsidRPr="004676F5">
        <w:rPr>
          <w:b/>
          <w:bCs/>
          <w:lang w:val="de-DE"/>
        </w:rPr>
        <w:t>Art. IV.40/1</w:t>
      </w:r>
      <w:r w:rsidRPr="004676F5">
        <w:rPr>
          <w:lang w:val="de-DE"/>
        </w:rPr>
        <w:t> </w:t>
      </w:r>
      <w:r w:rsidR="005B7A5C" w:rsidRPr="004676F5">
        <w:rPr>
          <w:lang w:val="de-DE"/>
        </w:rPr>
        <w:t>- </w:t>
      </w:r>
      <w:r w:rsidRPr="004676F5">
        <w:rPr>
          <w:lang w:val="de-DE"/>
        </w:rPr>
        <w:t>Unbeschadet der Befugnisse der Polizeibeamten der lokalen und föderalen Polizei sind der Auditor und die vom Minister bestellten Personalmitglieder der Belgischen Wettbewerbsbehörde befugt, Verstöße gegen vorliegendes Buch zu ermitteln und diese Verstöße durch Protokolle festzustellen, deren faktische Feststellungen bis zum Gegenbeweis Beweiskraft haben.</w:t>
      </w:r>
    </w:p>
    <w:p w14:paraId="5253DB69" w14:textId="77777777" w:rsidR="000A1E2C" w:rsidRPr="004676F5" w:rsidRDefault="000A1E2C" w:rsidP="000A1E2C">
      <w:pPr>
        <w:jc w:val="both"/>
        <w:rPr>
          <w:lang w:val="de-DE"/>
        </w:rPr>
      </w:pPr>
    </w:p>
    <w:p w14:paraId="76151DCA" w14:textId="77777777" w:rsidR="000A1E2C" w:rsidRPr="004676F5" w:rsidRDefault="000A1E2C" w:rsidP="000A1E2C">
      <w:pPr>
        <w:jc w:val="both"/>
        <w:rPr>
          <w:lang w:val="de-DE"/>
        </w:rPr>
      </w:pPr>
      <w:r w:rsidRPr="004676F5">
        <w:rPr>
          <w:lang w:val="de-DE"/>
        </w:rPr>
        <w:tab/>
        <w:t>Sie sind auch befugt, alle nützlichen Auskünfte zu ermitteln und alle im Hinblick auf die Anwendung der Artikel IV.6, IV.7, IV.9, IV.10 und IV.11 notwendigen Feststellungen zu machen.</w:t>
      </w:r>
    </w:p>
    <w:p w14:paraId="2324B5A3" w14:textId="77777777" w:rsidR="000A1E2C" w:rsidRPr="004676F5" w:rsidRDefault="000A1E2C" w:rsidP="000A1E2C">
      <w:pPr>
        <w:jc w:val="both"/>
        <w:rPr>
          <w:lang w:val="de-DE"/>
        </w:rPr>
      </w:pPr>
    </w:p>
    <w:p w14:paraId="5258ED61" w14:textId="765E29A0" w:rsidR="000A1E2C" w:rsidRPr="004676F5" w:rsidRDefault="000A1E2C" w:rsidP="000A1E2C">
      <w:pPr>
        <w:jc w:val="both"/>
        <w:rPr>
          <w:lang w:val="de-DE"/>
        </w:rPr>
      </w:pPr>
      <w:r w:rsidRPr="004676F5">
        <w:rPr>
          <w:lang w:val="de-DE"/>
        </w:rPr>
        <w:tab/>
      </w:r>
      <w:r w:rsidR="00115238" w:rsidRPr="004676F5">
        <w:rPr>
          <w:lang w:val="de-DE"/>
        </w:rPr>
        <w:t>[Auch vor Einleitung einer in Artikel IV.39 erwähnten Untersuchung tragen sie alle Informationen zusammen, bestellen Vertreter eines Unternehmens oder einer Unternehmensvereinigung oder natürliche Personen zu einer Anhörung, wenn diese Vertreter oder diese Personen im Besitz von wichtigen Informationen sein könnten, nehmen alle schriftlichen oder mündlichen Erklärungen oder Aussagen auf, lassen sich unter Einhaltung von Artikel IV.40 alle Unterlagen, Angaben oder Auskünfte mitteilen, die sie für die Erfüllung ihres Auftrags als erforderlich erachten und von denen sie Abschriften anfertigen dürfen, unabhängig von Form oder Speichermedium und ganz gleich, wer sie besitzt, und machen vor Ort alle notwendigen Feststellungen.]</w:t>
      </w:r>
      <w:r w:rsidRPr="004676F5">
        <w:rPr>
          <w:lang w:val="de-DE"/>
        </w:rPr>
        <w:t>]</w:t>
      </w:r>
    </w:p>
    <w:p w14:paraId="21629BF6" w14:textId="77777777" w:rsidR="000A1E2C" w:rsidRPr="004676F5" w:rsidRDefault="000A1E2C" w:rsidP="000A1E2C">
      <w:pPr>
        <w:jc w:val="both"/>
        <w:rPr>
          <w:lang w:val="de-DE"/>
        </w:rPr>
      </w:pPr>
    </w:p>
    <w:p w14:paraId="7FCAEEBD" w14:textId="2347F2B1" w:rsidR="000A1E2C" w:rsidRPr="004676F5" w:rsidRDefault="000A1E2C" w:rsidP="000A1E2C">
      <w:pPr>
        <w:jc w:val="both"/>
        <w:rPr>
          <w:i/>
          <w:iCs/>
          <w:lang w:val="de-DE"/>
        </w:rPr>
      </w:pPr>
      <w:r w:rsidRPr="004676F5">
        <w:rPr>
          <w:i/>
          <w:iCs/>
          <w:lang w:val="de-DE"/>
        </w:rPr>
        <w:t>[Art. IV.40/1 eingefügt durch Art. 16 des G. vom 28. Februar 2022 (B.S. vom 7. März 2022)</w:t>
      </w:r>
      <w:r w:rsidR="00115238" w:rsidRPr="004676F5">
        <w:rPr>
          <w:i/>
          <w:iCs/>
          <w:lang w:val="de-DE"/>
        </w:rPr>
        <w:t>; Abs. 3 ersetzt durch Art. 7</w:t>
      </w:r>
      <w:r w:rsidR="00115238" w:rsidRPr="004676F5">
        <w:rPr>
          <w:i/>
          <w:lang w:val="de-DE"/>
        </w:rPr>
        <w:t xml:space="preserve"> des G. vom 5. November 2023 </w:t>
      </w:r>
      <w:r w:rsidR="003454B3" w:rsidRPr="004676F5">
        <w:rPr>
          <w:i/>
          <w:lang w:val="de-DE"/>
        </w:rPr>
        <w:t xml:space="preserve">(I) </w:t>
      </w:r>
      <w:r w:rsidR="00115238" w:rsidRPr="004676F5">
        <w:rPr>
          <w:i/>
          <w:lang w:val="de-DE"/>
        </w:rPr>
        <w:t>(B.S. vom 11. Dezember 2023)</w:t>
      </w:r>
      <w:r w:rsidRPr="004676F5">
        <w:rPr>
          <w:i/>
          <w:iCs/>
          <w:lang w:val="de-DE"/>
        </w:rPr>
        <w:t>]</w:t>
      </w:r>
    </w:p>
    <w:p w14:paraId="389780CC" w14:textId="77777777" w:rsidR="000A1E2C" w:rsidRPr="004676F5" w:rsidRDefault="000A1E2C" w:rsidP="000A1E2C">
      <w:pPr>
        <w:jc w:val="both"/>
        <w:rPr>
          <w:lang w:val="de-DE"/>
        </w:rPr>
      </w:pPr>
    </w:p>
    <w:p w14:paraId="2734F4CB" w14:textId="77777777" w:rsidR="000A1E2C" w:rsidRPr="004676F5" w:rsidRDefault="000A1E2C" w:rsidP="000A1E2C">
      <w:pPr>
        <w:jc w:val="both"/>
        <w:rPr>
          <w:lang w:val="de-DE"/>
        </w:rPr>
      </w:pPr>
    </w:p>
    <w:p w14:paraId="5501A746" w14:textId="6B1B63A6" w:rsidR="000A1E2C" w:rsidRPr="004676F5" w:rsidRDefault="000A1E2C" w:rsidP="000A1E2C">
      <w:pPr>
        <w:ind w:firstLine="708"/>
        <w:jc w:val="both"/>
        <w:rPr>
          <w:lang w:val="de-DE"/>
        </w:rPr>
      </w:pPr>
      <w:r w:rsidRPr="004676F5">
        <w:rPr>
          <w:bCs/>
          <w:lang w:val="de-DE"/>
        </w:rPr>
        <w:t>[</w:t>
      </w:r>
      <w:r w:rsidRPr="004676F5">
        <w:rPr>
          <w:b/>
          <w:bCs/>
          <w:lang w:val="de-DE"/>
        </w:rPr>
        <w:t>Art. IV.40/2</w:t>
      </w:r>
      <w:r w:rsidRPr="004676F5">
        <w:rPr>
          <w:lang w:val="de-DE"/>
        </w:rPr>
        <w:t> </w:t>
      </w:r>
      <w:r w:rsidR="005B7A5C" w:rsidRPr="004676F5">
        <w:rPr>
          <w:lang w:val="de-DE"/>
        </w:rPr>
        <w:t>- </w:t>
      </w:r>
      <w:r w:rsidRPr="004676F5">
        <w:rPr>
          <w:lang w:val="de-DE"/>
        </w:rPr>
        <w:t>§ 1 ­ Der Auditor und die vom Minister bestellten Personalmitglieder der Belgischen Wettbewerbsbehörde dürfen zwischen acht und achtzehn Uhr und mit vorheriger Ermächtigung eines Untersuchungsrichters des niederländischsprachigen Gerichts Erster Instanz von Brüssel oder eines Untersuchungsrichters des französischsprachigen Gerichts Erster Instanz von Brüssel, die für die Anwendung des vorliegenden Paragraphen auch außerhalb ihres Bezirks zuständig sind, eine Durchsuchung durchführen in:</w:t>
      </w:r>
    </w:p>
    <w:p w14:paraId="3B7AFAA0" w14:textId="77777777" w:rsidR="000A1E2C" w:rsidRPr="004676F5" w:rsidRDefault="000A1E2C" w:rsidP="000A1E2C">
      <w:pPr>
        <w:jc w:val="both"/>
        <w:rPr>
          <w:lang w:val="de-DE"/>
        </w:rPr>
      </w:pPr>
    </w:p>
    <w:p w14:paraId="77EDAFED" w14:textId="77777777" w:rsidR="000A1E2C" w:rsidRPr="004676F5" w:rsidRDefault="000A1E2C" w:rsidP="000A1E2C">
      <w:pPr>
        <w:jc w:val="both"/>
        <w:rPr>
          <w:lang w:val="de-DE"/>
        </w:rPr>
      </w:pPr>
      <w:r w:rsidRPr="004676F5">
        <w:rPr>
          <w:lang w:val="de-DE"/>
        </w:rPr>
        <w:tab/>
        <w:t>1. Räumlichkeiten, Transportmitteln und an anderen Orten der Unternehmen oder Unternehmensvereinigungen,</w:t>
      </w:r>
    </w:p>
    <w:p w14:paraId="74831533" w14:textId="77777777" w:rsidR="000A1E2C" w:rsidRPr="004676F5" w:rsidRDefault="000A1E2C" w:rsidP="000A1E2C">
      <w:pPr>
        <w:jc w:val="both"/>
        <w:rPr>
          <w:lang w:val="de-DE"/>
        </w:rPr>
      </w:pPr>
    </w:p>
    <w:p w14:paraId="63D13A57" w14:textId="77777777" w:rsidR="000A1E2C" w:rsidRPr="004676F5" w:rsidRDefault="000A1E2C" w:rsidP="000A1E2C">
      <w:pPr>
        <w:jc w:val="both"/>
        <w:rPr>
          <w:lang w:val="de-DE"/>
        </w:rPr>
      </w:pPr>
      <w:r w:rsidRPr="004676F5">
        <w:rPr>
          <w:lang w:val="de-DE"/>
        </w:rPr>
        <w:tab/>
        <w:t>2. anderen Räumlichkeiten, Transportmitteln und an anderen Orten, einschließlich in der Wohnung von Unternehmensleitern, Verwaltern, Geschäftsführern, Direktoren und anderen Personalmitgliedern und in der Wohnung und in den gewerblich genutzten Räumen von natürlichen und juristischen Personen, die intern oder extern tätig sind und mit der kaufmännischen, buchhalterischen, administrativen, steuerlichen und finanziellen Geschäftsführung beauftragt sind, wo sie begründeterweise Unterlagen oder Angaben vermuten, die sie für die Erfüllung ihres Auftrags als erforderlich erachten.</w:t>
      </w:r>
    </w:p>
    <w:p w14:paraId="6CB7FC56" w14:textId="77777777" w:rsidR="000A1E2C" w:rsidRPr="004676F5" w:rsidRDefault="000A1E2C" w:rsidP="000A1E2C">
      <w:pPr>
        <w:jc w:val="both"/>
        <w:rPr>
          <w:lang w:val="de-DE"/>
        </w:rPr>
      </w:pPr>
    </w:p>
    <w:p w14:paraId="69585C30" w14:textId="339F03F7" w:rsidR="000A1E2C" w:rsidRPr="004676F5" w:rsidRDefault="000A1E2C" w:rsidP="000A1E2C">
      <w:pPr>
        <w:jc w:val="both"/>
        <w:rPr>
          <w:lang w:val="de-DE"/>
        </w:rPr>
      </w:pPr>
      <w:r w:rsidRPr="004676F5">
        <w:rPr>
          <w:lang w:val="de-DE"/>
        </w:rPr>
        <w:tab/>
        <w:t xml:space="preserve">§ 2 ­ Wird die in Absatz 1 erwähnte vorherige Ermächtigung zur Durchführung einer Durchsuchung </w:t>
      </w:r>
      <w:r w:rsidR="007B7321" w:rsidRPr="004676F5">
        <w:rPr>
          <w:lang w:val="de-DE"/>
        </w:rPr>
        <w:t xml:space="preserve">[oder die in Artikel IV.40 § 1/1 Absatz 2 vorgesehene Ermächtigung] </w:t>
      </w:r>
      <w:r w:rsidRPr="004676F5">
        <w:rPr>
          <w:lang w:val="de-DE"/>
        </w:rPr>
        <w:t>verweigert, kann der Auditor durch eine mit Gründen versehene Antragschrift, die binnen einer Frist von vier Werktagen ab Notifizierung der Verweigerungsentscheidung bei der Kanzlei des niederländischsprachigen oder französischsprachigen Gerichts Erster Instanz von Brüssel hinterlegt wird, bei der Anklagekammer Beschwerde einlegen.</w:t>
      </w:r>
    </w:p>
    <w:p w14:paraId="7DD57B78" w14:textId="77777777" w:rsidR="000A1E2C" w:rsidRPr="004676F5" w:rsidRDefault="000A1E2C" w:rsidP="000A1E2C">
      <w:pPr>
        <w:jc w:val="both"/>
        <w:rPr>
          <w:lang w:val="de-DE"/>
        </w:rPr>
      </w:pPr>
    </w:p>
    <w:p w14:paraId="01EEA93A" w14:textId="77777777" w:rsidR="000A1E2C" w:rsidRPr="004676F5" w:rsidRDefault="000A1E2C" w:rsidP="000A1E2C">
      <w:pPr>
        <w:jc w:val="both"/>
        <w:rPr>
          <w:lang w:val="de-DE"/>
        </w:rPr>
      </w:pPr>
      <w:r w:rsidRPr="004676F5">
        <w:rPr>
          <w:lang w:val="de-DE"/>
        </w:rPr>
        <w:tab/>
        <w:t>Die Anklagekammer befindet binnen zehn Tagen nach Hinterlegung der Antragschrift.</w:t>
      </w:r>
    </w:p>
    <w:p w14:paraId="3BDEC8A6" w14:textId="77777777" w:rsidR="000A1E2C" w:rsidRPr="004676F5" w:rsidRDefault="000A1E2C" w:rsidP="000A1E2C">
      <w:pPr>
        <w:jc w:val="both"/>
        <w:rPr>
          <w:lang w:val="de-DE"/>
        </w:rPr>
      </w:pPr>
    </w:p>
    <w:p w14:paraId="6CC45315" w14:textId="77777777" w:rsidR="000A1E2C" w:rsidRPr="004676F5" w:rsidRDefault="000A1E2C" w:rsidP="000A1E2C">
      <w:pPr>
        <w:jc w:val="both"/>
        <w:rPr>
          <w:lang w:val="de-DE"/>
        </w:rPr>
      </w:pPr>
      <w:r w:rsidRPr="004676F5">
        <w:rPr>
          <w:lang w:val="de-DE"/>
        </w:rPr>
        <w:tab/>
        <w:t>Der Greffier teilt dem Auditor spätestens achtundvierzig Stunden im Voraus per einfachen Brief oder auf elektronischem Wege Ort, Tag und Uhrzeit der Sitzung mit.</w:t>
      </w:r>
    </w:p>
    <w:p w14:paraId="42B4481C" w14:textId="77777777" w:rsidR="000A1E2C" w:rsidRPr="004676F5" w:rsidRDefault="000A1E2C" w:rsidP="000A1E2C">
      <w:pPr>
        <w:jc w:val="both"/>
        <w:rPr>
          <w:lang w:val="de-DE"/>
        </w:rPr>
      </w:pPr>
    </w:p>
    <w:p w14:paraId="193F4133" w14:textId="77777777" w:rsidR="000A1E2C" w:rsidRPr="004676F5" w:rsidRDefault="000A1E2C" w:rsidP="000A1E2C">
      <w:pPr>
        <w:jc w:val="both"/>
        <w:rPr>
          <w:lang w:val="de-DE"/>
        </w:rPr>
      </w:pPr>
      <w:r w:rsidRPr="004676F5">
        <w:rPr>
          <w:lang w:val="de-DE"/>
        </w:rPr>
        <w:tab/>
        <w:t>Der Untersuchungsrichter kann seine schriftlichen Ausführungen an die Anklage</w:t>
      </w:r>
      <w:r w:rsidRPr="004676F5">
        <w:rPr>
          <w:lang w:val="de-DE"/>
        </w:rPr>
        <w:softHyphen/>
        <w:t>kammer richten. Die Anklagekammer kann die Ausführungen des Untersuchungsrichters getrennt und in Abwesenheit des Auditors anhören. Sie kann den Auditor oder einen von der Belgischen Wettbewerbsbehörde bestimmten Anwalt in Anwesenheit des Untersuchungs</w:t>
      </w:r>
      <w:r w:rsidRPr="004676F5">
        <w:rPr>
          <w:lang w:val="de-DE"/>
        </w:rPr>
        <w:softHyphen/>
        <w:t>richters anhören.</w:t>
      </w:r>
    </w:p>
    <w:p w14:paraId="2AB51201" w14:textId="77777777" w:rsidR="000A1E2C" w:rsidRPr="004676F5" w:rsidRDefault="000A1E2C" w:rsidP="000A1E2C">
      <w:pPr>
        <w:jc w:val="both"/>
        <w:rPr>
          <w:lang w:val="de-DE"/>
        </w:rPr>
      </w:pPr>
    </w:p>
    <w:p w14:paraId="7F8066FC" w14:textId="77777777" w:rsidR="000A1E2C" w:rsidRPr="004676F5" w:rsidRDefault="000A1E2C" w:rsidP="000A1E2C">
      <w:pPr>
        <w:jc w:val="both"/>
        <w:rPr>
          <w:lang w:val="de-DE"/>
        </w:rPr>
      </w:pPr>
      <w:r w:rsidRPr="004676F5">
        <w:rPr>
          <w:lang w:val="de-DE"/>
        </w:rPr>
        <w:tab/>
        <w:t>§ 3 ­ Bei der Durchsuchung können der Auditor und die vom Minister bestellten Personalmitglieder der Belgischen Wettbewerbsbehörde alle Unterlagen und Angaben, die sich im Besitz des Unternehmens, der Unternehmensvereinigung oder der natürlichen Person befinden, bei dem/der die Durchsuchung durchgeführt wird, und Informationen, die ihm/ihr zugänglich sind, unabhängig vom Speichermedium kontrollieren. Sie können in jeglicher Form Abschriften dieser Unterlagen und Angaben anfertigen oder erhalten und, wenn sie es für zweckmäßig halten, ihre Untersuchung und die Auswahl der Abschriften in den Räumlichkeiten der Belgischen Wettbewerbsbehörde oder in anderen bezeichneten Räumlichkeiten fortsetzen.</w:t>
      </w:r>
    </w:p>
    <w:p w14:paraId="7BFBBB58" w14:textId="77777777" w:rsidR="000A1E2C" w:rsidRPr="004676F5" w:rsidRDefault="000A1E2C" w:rsidP="000A1E2C">
      <w:pPr>
        <w:jc w:val="both"/>
        <w:rPr>
          <w:lang w:val="de-DE"/>
        </w:rPr>
      </w:pPr>
    </w:p>
    <w:p w14:paraId="034F0B18" w14:textId="3F8783C7" w:rsidR="000A1E2C" w:rsidRPr="004676F5" w:rsidRDefault="000A1E2C" w:rsidP="000A1E2C">
      <w:pPr>
        <w:jc w:val="both"/>
        <w:rPr>
          <w:lang w:val="de-DE"/>
        </w:rPr>
      </w:pPr>
      <w:r w:rsidRPr="004676F5">
        <w:rPr>
          <w:lang w:val="de-DE"/>
        </w:rPr>
        <w:tab/>
        <w:t>§ 4 </w:t>
      </w:r>
      <w:r w:rsidR="005B7A5C" w:rsidRPr="004676F5">
        <w:rPr>
          <w:lang w:val="de-DE"/>
        </w:rPr>
        <w:t>- </w:t>
      </w:r>
      <w:r w:rsidRPr="004676F5">
        <w:rPr>
          <w:lang w:val="de-DE"/>
        </w:rPr>
        <w:t>Für die Dauer ihres Auftrags und sofern dies für seine Ausführung notwendig ist, können sie in den in § 1 Nr. 2 erwähnten Räumlichkeiten versiegeln, jedoch nicht länger als zweiundsiebzig Stunden.</w:t>
      </w:r>
    </w:p>
    <w:p w14:paraId="0A694F65" w14:textId="77777777" w:rsidR="000A1E2C" w:rsidRPr="004676F5" w:rsidRDefault="000A1E2C" w:rsidP="000A1E2C">
      <w:pPr>
        <w:jc w:val="both"/>
        <w:rPr>
          <w:lang w:val="de-DE"/>
        </w:rPr>
      </w:pPr>
    </w:p>
    <w:p w14:paraId="0517879A" w14:textId="77A1F341" w:rsidR="000A1E2C" w:rsidRPr="004676F5" w:rsidRDefault="000A1E2C" w:rsidP="000A1E2C">
      <w:pPr>
        <w:jc w:val="both"/>
        <w:rPr>
          <w:lang w:val="de-DE"/>
        </w:rPr>
      </w:pPr>
      <w:r w:rsidRPr="004676F5">
        <w:rPr>
          <w:lang w:val="de-DE"/>
        </w:rPr>
        <w:lastRenderedPageBreak/>
        <w:tab/>
        <w:t>§ 5 </w:t>
      </w:r>
      <w:r w:rsidR="005B7A5C" w:rsidRPr="004676F5">
        <w:rPr>
          <w:lang w:val="de-DE"/>
        </w:rPr>
        <w:t>- </w:t>
      </w:r>
      <w:r w:rsidRPr="004676F5">
        <w:rPr>
          <w:lang w:val="de-DE"/>
        </w:rPr>
        <w:t>Sie können Vertreter oder Personalmitglieder des Unternehmens oder der Unternehmensvereinigung zu Fakten oder Unterlagen befragen, die mit Gegenstand und Zweck des Dienstauftrags in Zusammenhang stehen, und zu der internen Organisation des Unternehmens, den Arbeitsmethoden und der Verteilung der Zuständigkeiten, um die Suche nach diesen Unterlagen zu erleichtern. Die Antworten können schriftlich oder elektronisch aufgezeichnet werden. Werden die Antworten elektronisch aufgezeichnet, wird entweder der Inhalt der Aufzeichnung in einem Protokoll aufgenommen, von dem der Befragte eine Abschrift erhält, oder ihm wird eine Kopie der Aufzeichnung zur Verfügung gestellt.</w:t>
      </w:r>
    </w:p>
    <w:p w14:paraId="72B9C200" w14:textId="77777777" w:rsidR="000A1E2C" w:rsidRPr="004676F5" w:rsidRDefault="000A1E2C" w:rsidP="000A1E2C">
      <w:pPr>
        <w:jc w:val="both"/>
        <w:rPr>
          <w:lang w:val="de-DE"/>
        </w:rPr>
      </w:pPr>
    </w:p>
    <w:p w14:paraId="5B546B3E" w14:textId="1ED1EEAD" w:rsidR="000A1E2C" w:rsidRPr="004676F5" w:rsidRDefault="000A1E2C" w:rsidP="000A1E2C">
      <w:pPr>
        <w:jc w:val="both"/>
        <w:rPr>
          <w:lang w:val="de-DE"/>
        </w:rPr>
      </w:pPr>
      <w:r w:rsidRPr="004676F5">
        <w:rPr>
          <w:lang w:val="de-DE"/>
        </w:rPr>
        <w:tab/>
        <w:t>§ 6 </w:t>
      </w:r>
      <w:r w:rsidR="005B7A5C" w:rsidRPr="004676F5">
        <w:rPr>
          <w:lang w:val="de-DE"/>
        </w:rPr>
        <w:t>- </w:t>
      </w:r>
      <w:r w:rsidRPr="004676F5">
        <w:rPr>
          <w:lang w:val="de-DE"/>
        </w:rPr>
        <w:t>Die in Anwendung der Paragraphen 1, 3, 4 und 5 getroffenen Maßnahmen werden in einem Protokoll festgehalten. Eine Abschrift dieses Protokolls wird dem Unternehmen, der Unternehmensvereinigung oder der Person, die Gegenstand dieser Maßnahmen ist, ausgehändigt.</w:t>
      </w:r>
    </w:p>
    <w:p w14:paraId="50A31C63" w14:textId="77777777" w:rsidR="000A1E2C" w:rsidRPr="004676F5" w:rsidRDefault="000A1E2C" w:rsidP="000A1E2C">
      <w:pPr>
        <w:jc w:val="both"/>
        <w:rPr>
          <w:lang w:val="de-DE"/>
        </w:rPr>
      </w:pPr>
    </w:p>
    <w:p w14:paraId="1C84ED44" w14:textId="78BB39AC" w:rsidR="000A1E2C" w:rsidRPr="004676F5" w:rsidRDefault="000A1E2C" w:rsidP="000A1E2C">
      <w:pPr>
        <w:jc w:val="both"/>
        <w:rPr>
          <w:lang w:val="de-DE"/>
        </w:rPr>
      </w:pPr>
      <w:r w:rsidRPr="004676F5">
        <w:rPr>
          <w:lang w:val="de-DE"/>
        </w:rPr>
        <w:tab/>
        <w:t>§ 7 </w:t>
      </w:r>
      <w:r w:rsidR="005B7A5C" w:rsidRPr="004676F5">
        <w:rPr>
          <w:lang w:val="de-DE"/>
        </w:rPr>
        <w:t>- </w:t>
      </w:r>
      <w:r w:rsidRPr="004676F5">
        <w:rPr>
          <w:lang w:val="de-DE"/>
        </w:rPr>
        <w:t>Für der Ausführung der Durchsuchung dürfen der Auditor und die vom Minister bestellten Personalmitglieder der Belgischen Wettbewerbsbehörde die Staatsgewalt anfordern.</w:t>
      </w:r>
    </w:p>
    <w:p w14:paraId="328F0160" w14:textId="77777777" w:rsidR="000A1E2C" w:rsidRPr="004676F5" w:rsidRDefault="000A1E2C" w:rsidP="000A1E2C">
      <w:pPr>
        <w:jc w:val="both"/>
        <w:rPr>
          <w:lang w:val="de-DE"/>
        </w:rPr>
      </w:pPr>
    </w:p>
    <w:p w14:paraId="33349824" w14:textId="40B0CEFC" w:rsidR="000A1E2C" w:rsidRPr="004676F5" w:rsidRDefault="000A1E2C" w:rsidP="000A1E2C">
      <w:pPr>
        <w:jc w:val="both"/>
        <w:rPr>
          <w:lang w:val="de-DE"/>
        </w:rPr>
      </w:pPr>
      <w:r w:rsidRPr="004676F5">
        <w:rPr>
          <w:lang w:val="de-DE"/>
        </w:rPr>
        <w:tab/>
        <w:t>§ 8 </w:t>
      </w:r>
      <w:r w:rsidR="005B7A5C" w:rsidRPr="004676F5">
        <w:rPr>
          <w:lang w:val="de-DE"/>
        </w:rPr>
        <w:t>- </w:t>
      </w:r>
      <w:r w:rsidRPr="004676F5">
        <w:rPr>
          <w:lang w:val="de-DE"/>
        </w:rPr>
        <w:t>Um eine Durchsuchung, eine Beschlagnahme oder eine Versiegelung vorzunehmen, müssen sie im Besitz eines spezifischen Dienstauftrags sein, der vom Auditor oder in dem in Artikel IV.26 § 3 Nr. 6 vorgesehenen Fall vom Generalauditor erteilt wird. In diesem Dienstauftrag werden Gegenstand und Zweck ihres Auftrags vermerkt.]</w:t>
      </w:r>
    </w:p>
    <w:p w14:paraId="5A385CC0" w14:textId="77777777" w:rsidR="000A1E2C" w:rsidRPr="004676F5" w:rsidRDefault="000A1E2C" w:rsidP="000A1E2C">
      <w:pPr>
        <w:jc w:val="both"/>
        <w:rPr>
          <w:lang w:val="de-DE"/>
        </w:rPr>
      </w:pPr>
    </w:p>
    <w:p w14:paraId="0568DEFB" w14:textId="40D5EA09" w:rsidR="000A1E2C" w:rsidRPr="00CA6435" w:rsidRDefault="000A1E2C" w:rsidP="000A1E2C">
      <w:pPr>
        <w:jc w:val="both"/>
        <w:rPr>
          <w:rFonts w:ascii="Times New Roman Italique" w:hAnsi="Times New Roman Italique"/>
          <w:i/>
          <w:iCs/>
          <w:spacing w:val="-6"/>
          <w:lang w:val="de-DE"/>
        </w:rPr>
      </w:pPr>
      <w:r w:rsidRPr="00CA6435">
        <w:rPr>
          <w:rFonts w:ascii="Times New Roman Italique" w:hAnsi="Times New Roman Italique"/>
          <w:i/>
          <w:iCs/>
          <w:spacing w:val="-6"/>
          <w:lang w:val="de-DE"/>
        </w:rPr>
        <w:t>[Art. IV.40/2 eingefügt durch Art. 17 des G. vom 28. Februar 2022 (B.S. vom 7. März 2022)</w:t>
      </w:r>
      <w:r w:rsidR="008860E5" w:rsidRPr="00CA6435">
        <w:rPr>
          <w:rFonts w:ascii="Times New Roman Italique" w:hAnsi="Times New Roman Italique"/>
          <w:i/>
          <w:iCs/>
          <w:spacing w:val="-6"/>
          <w:lang w:val="de-DE"/>
        </w:rPr>
        <w:t>; § 2 Abs. 1 abgeändert durch Art. 8 des G. vom 25. September 2022 (B.S. vom 16. Januar 2023)</w:t>
      </w:r>
      <w:r w:rsidRPr="00CA6435">
        <w:rPr>
          <w:rFonts w:ascii="Times New Roman Italique" w:hAnsi="Times New Roman Italique"/>
          <w:i/>
          <w:iCs/>
          <w:spacing w:val="-6"/>
          <w:lang w:val="de-DE"/>
        </w:rPr>
        <w:t>]</w:t>
      </w:r>
    </w:p>
    <w:p w14:paraId="3D02B1C9" w14:textId="77777777" w:rsidR="000A1E2C" w:rsidRPr="004676F5" w:rsidRDefault="000A1E2C" w:rsidP="000A1E2C">
      <w:pPr>
        <w:jc w:val="both"/>
        <w:rPr>
          <w:lang w:val="de-DE"/>
        </w:rPr>
      </w:pPr>
    </w:p>
    <w:p w14:paraId="03BD75DF" w14:textId="77777777" w:rsidR="000A1E2C" w:rsidRPr="004676F5" w:rsidRDefault="000A1E2C" w:rsidP="000A1E2C">
      <w:pPr>
        <w:jc w:val="both"/>
        <w:rPr>
          <w:lang w:val="de-DE"/>
        </w:rPr>
      </w:pPr>
    </w:p>
    <w:p w14:paraId="66EF2A89" w14:textId="028F6758" w:rsidR="000A1E2C" w:rsidRPr="004676F5" w:rsidRDefault="000A1E2C" w:rsidP="000A1E2C">
      <w:pPr>
        <w:jc w:val="both"/>
        <w:rPr>
          <w:lang w:val="de-DE"/>
        </w:rPr>
      </w:pPr>
      <w:r w:rsidRPr="004676F5">
        <w:rPr>
          <w:lang w:val="de-DE"/>
        </w:rPr>
        <w:tab/>
        <w:t>[</w:t>
      </w:r>
      <w:r w:rsidRPr="004676F5">
        <w:rPr>
          <w:b/>
          <w:bCs/>
          <w:lang w:val="de-DE"/>
        </w:rPr>
        <w:t>Art. IV.40/3</w:t>
      </w:r>
      <w:r w:rsidRPr="004676F5">
        <w:rPr>
          <w:lang w:val="de-DE"/>
        </w:rPr>
        <w:t> </w:t>
      </w:r>
      <w:r w:rsidR="005B7A5C" w:rsidRPr="004676F5">
        <w:rPr>
          <w:lang w:val="de-DE"/>
        </w:rPr>
        <w:t>- </w:t>
      </w:r>
      <w:r w:rsidRPr="004676F5">
        <w:rPr>
          <w:lang w:val="de-DE"/>
        </w:rPr>
        <w:t>Ungeachtet besonderer Gesetze, die die Geheimhaltung von Erklärungen gewährleisten, unterstützen die Behörden und öffentlichen Verwaltungen die Auditoren bei der Ausführung ihres Auftrags, insbesondere indem sie deren Auskunfts</w:t>
      </w:r>
      <w:r w:rsidRPr="004676F5">
        <w:rPr>
          <w:lang w:val="de-DE"/>
        </w:rPr>
        <w:softHyphen/>
        <w:t>ersuchen beantworten.]</w:t>
      </w:r>
    </w:p>
    <w:p w14:paraId="02BE7CEA" w14:textId="77777777" w:rsidR="000A1E2C" w:rsidRPr="004676F5" w:rsidRDefault="000A1E2C" w:rsidP="000A1E2C">
      <w:pPr>
        <w:jc w:val="both"/>
        <w:rPr>
          <w:lang w:val="de-DE"/>
        </w:rPr>
      </w:pPr>
    </w:p>
    <w:p w14:paraId="4D40CD61" w14:textId="7EC077F6" w:rsidR="000A1E2C" w:rsidRPr="004676F5" w:rsidRDefault="000A1E2C" w:rsidP="000A1E2C">
      <w:pPr>
        <w:jc w:val="both"/>
        <w:rPr>
          <w:i/>
          <w:iCs/>
          <w:lang w:val="de-DE"/>
        </w:rPr>
      </w:pPr>
      <w:r w:rsidRPr="004676F5">
        <w:rPr>
          <w:i/>
          <w:iCs/>
          <w:lang w:val="de-DE"/>
        </w:rPr>
        <w:t>[Art. IV.40/3 eingefügt durch Art. 18 des G. vom 28. Februar 2022 (B.S. vom 7. März 2022)]</w:t>
      </w:r>
    </w:p>
    <w:p w14:paraId="6161E310" w14:textId="77777777" w:rsidR="000A1E2C" w:rsidRPr="004676F5" w:rsidRDefault="000A1E2C" w:rsidP="000A1E2C">
      <w:pPr>
        <w:jc w:val="both"/>
        <w:rPr>
          <w:lang w:val="de-DE"/>
        </w:rPr>
      </w:pPr>
    </w:p>
    <w:p w14:paraId="003FB79E" w14:textId="77777777" w:rsidR="000A1E2C" w:rsidRPr="004676F5" w:rsidRDefault="000A1E2C" w:rsidP="000A1E2C">
      <w:pPr>
        <w:jc w:val="both"/>
        <w:rPr>
          <w:lang w:val="de-DE"/>
        </w:rPr>
      </w:pPr>
    </w:p>
    <w:p w14:paraId="3C852BC0" w14:textId="0302FDD0" w:rsidR="000A1E2C" w:rsidRPr="004676F5" w:rsidRDefault="000A1E2C" w:rsidP="000A1E2C">
      <w:pPr>
        <w:jc w:val="both"/>
        <w:rPr>
          <w:lang w:val="de-DE"/>
        </w:rPr>
      </w:pPr>
      <w:r w:rsidRPr="004676F5">
        <w:rPr>
          <w:lang w:val="de-DE"/>
        </w:rPr>
        <w:tab/>
        <w:t>[</w:t>
      </w:r>
      <w:r w:rsidRPr="004676F5">
        <w:rPr>
          <w:b/>
          <w:bCs/>
          <w:lang w:val="de-DE"/>
        </w:rPr>
        <w:t>Art. IV.40/4</w:t>
      </w:r>
      <w:r w:rsidRPr="004676F5">
        <w:rPr>
          <w:lang w:val="de-DE"/>
        </w:rPr>
        <w:t> </w:t>
      </w:r>
      <w:r w:rsidR="005B7A5C" w:rsidRPr="004676F5">
        <w:rPr>
          <w:lang w:val="de-DE"/>
        </w:rPr>
        <w:t>- </w:t>
      </w:r>
      <w:r w:rsidRPr="004676F5">
        <w:rPr>
          <w:lang w:val="de-DE"/>
        </w:rPr>
        <w:t>Der Generalauditor kann Sachverständige bestellen, deren Auftrag er festlegt, um dem Auditor und den vom Minister bestellten Personalmitgliedern der Belgischen Wettbewerbsbehörde beizustehen.]</w:t>
      </w:r>
    </w:p>
    <w:p w14:paraId="61E52601" w14:textId="77777777" w:rsidR="000A1E2C" w:rsidRPr="004676F5" w:rsidRDefault="000A1E2C" w:rsidP="000A1E2C">
      <w:pPr>
        <w:jc w:val="both"/>
        <w:rPr>
          <w:lang w:val="de-DE"/>
        </w:rPr>
      </w:pPr>
    </w:p>
    <w:p w14:paraId="4076E409" w14:textId="201C74C4" w:rsidR="000A1E2C" w:rsidRPr="004676F5" w:rsidRDefault="000A1E2C" w:rsidP="000A1E2C">
      <w:pPr>
        <w:jc w:val="both"/>
        <w:rPr>
          <w:i/>
          <w:iCs/>
          <w:lang w:val="de-DE"/>
        </w:rPr>
      </w:pPr>
      <w:r w:rsidRPr="004676F5">
        <w:rPr>
          <w:i/>
          <w:iCs/>
          <w:lang w:val="de-DE"/>
        </w:rPr>
        <w:t>[Art. IV.40/4 eingefügt durch Art. 19 des G. vom 28. Februar 2022 (B.S. vom 7. März 2022)]</w:t>
      </w:r>
    </w:p>
    <w:p w14:paraId="451C00A5" w14:textId="77777777" w:rsidR="000A1E2C" w:rsidRPr="004676F5" w:rsidRDefault="000A1E2C" w:rsidP="000A1E2C">
      <w:pPr>
        <w:jc w:val="both"/>
        <w:rPr>
          <w:lang w:val="de-DE"/>
        </w:rPr>
      </w:pPr>
    </w:p>
    <w:p w14:paraId="5BEC2F74" w14:textId="77777777" w:rsidR="000A1E2C" w:rsidRPr="004676F5" w:rsidRDefault="000A1E2C" w:rsidP="000A1E2C">
      <w:pPr>
        <w:jc w:val="both"/>
        <w:rPr>
          <w:lang w:val="de-DE"/>
        </w:rPr>
      </w:pPr>
    </w:p>
    <w:p w14:paraId="44D83870" w14:textId="50E108D3" w:rsidR="000A1E2C" w:rsidRPr="004676F5" w:rsidRDefault="000A1E2C" w:rsidP="000A1E2C">
      <w:pPr>
        <w:jc w:val="both"/>
        <w:rPr>
          <w:lang w:val="de-DE"/>
        </w:rPr>
      </w:pPr>
      <w:r w:rsidRPr="004676F5">
        <w:rPr>
          <w:lang w:val="de-DE"/>
        </w:rPr>
        <w:tab/>
      </w:r>
      <w:r w:rsidR="00071582" w:rsidRPr="004676F5">
        <w:rPr>
          <w:lang w:val="de-DE"/>
        </w:rPr>
        <w:t>[</w:t>
      </w:r>
      <w:r w:rsidRPr="004676F5">
        <w:rPr>
          <w:b/>
          <w:bCs/>
          <w:lang w:val="de-DE"/>
        </w:rPr>
        <w:t>Art. IV.40/5</w:t>
      </w:r>
      <w:r w:rsidRPr="004676F5">
        <w:rPr>
          <w:lang w:val="de-DE"/>
        </w:rPr>
        <w:t> </w:t>
      </w:r>
      <w:r w:rsidR="005B7A5C" w:rsidRPr="004676F5">
        <w:rPr>
          <w:lang w:val="de-DE"/>
        </w:rPr>
        <w:t>- </w:t>
      </w:r>
      <w:r w:rsidRPr="004676F5">
        <w:rPr>
          <w:lang w:val="de-DE"/>
        </w:rPr>
        <w:t>Durch einen mit Gründen versehenen Beschluss kann der Auditor Unterlagen und Angaben, die gemäß den Bestimmungen der Artikel IV.40 bis IV.40/4 erhalten wurden und mit dem Gegenstand der Sache nicht in Zusammenhang stehen, an die Person zurückgeben, die sie übermittelt hat oder bei der sie beschafft oder kopiert worden sind, und diese Unterlagen und Angaben aus der Untersuchungsakte entfernen.</w:t>
      </w:r>
    </w:p>
    <w:p w14:paraId="35F9FFB3" w14:textId="77777777" w:rsidR="000A1E2C" w:rsidRPr="004676F5" w:rsidRDefault="000A1E2C" w:rsidP="000A1E2C">
      <w:pPr>
        <w:jc w:val="both"/>
        <w:rPr>
          <w:lang w:val="de-DE"/>
        </w:rPr>
      </w:pPr>
    </w:p>
    <w:p w14:paraId="52D335CA" w14:textId="775EA8A3" w:rsidR="000A1E2C" w:rsidRPr="004676F5" w:rsidRDefault="000A1E2C" w:rsidP="000A1E2C">
      <w:pPr>
        <w:jc w:val="both"/>
        <w:rPr>
          <w:lang w:val="de-DE"/>
        </w:rPr>
      </w:pPr>
      <w:r w:rsidRPr="004676F5">
        <w:rPr>
          <w:lang w:val="de-DE"/>
        </w:rPr>
        <w:tab/>
        <w:t>Der Beschluss wird in die Untersuchungsakte aufgenommen. Gegen diesen Beschluss kann keine gesonderte Beschwerde eingereicht werden.</w:t>
      </w:r>
      <w:r w:rsidR="00071582" w:rsidRPr="004676F5">
        <w:rPr>
          <w:lang w:val="de-DE"/>
        </w:rPr>
        <w:t>]</w:t>
      </w:r>
    </w:p>
    <w:p w14:paraId="782C47D3" w14:textId="77777777" w:rsidR="00071582" w:rsidRPr="004676F5" w:rsidRDefault="00071582" w:rsidP="000A1E2C">
      <w:pPr>
        <w:jc w:val="both"/>
        <w:rPr>
          <w:lang w:val="de-DE"/>
        </w:rPr>
      </w:pPr>
    </w:p>
    <w:p w14:paraId="4BE9AE1A" w14:textId="2C601FF1" w:rsidR="00071582" w:rsidRPr="004676F5" w:rsidRDefault="00071582" w:rsidP="00071582">
      <w:pPr>
        <w:jc w:val="both"/>
        <w:rPr>
          <w:i/>
          <w:iCs/>
          <w:lang w:val="de-DE"/>
        </w:rPr>
      </w:pPr>
      <w:r w:rsidRPr="004676F5">
        <w:rPr>
          <w:i/>
          <w:iCs/>
          <w:lang w:val="de-DE"/>
        </w:rPr>
        <w:t>[Art. IV.40/5 eingefügt durch Art. 20 des G. vom 28. Februar 2022 (B.S. vom 7. März 2022)]</w:t>
      </w:r>
    </w:p>
    <w:p w14:paraId="1F225B94" w14:textId="77777777" w:rsidR="00071582" w:rsidRPr="004676F5" w:rsidRDefault="00071582" w:rsidP="000A1E2C">
      <w:pPr>
        <w:jc w:val="both"/>
        <w:rPr>
          <w:lang w:val="de-DE"/>
        </w:rPr>
      </w:pPr>
    </w:p>
    <w:p w14:paraId="0BC37654" w14:textId="77777777" w:rsidR="000A1E2C" w:rsidRPr="004676F5" w:rsidRDefault="000A1E2C" w:rsidP="000A1E2C">
      <w:pPr>
        <w:jc w:val="both"/>
        <w:rPr>
          <w:lang w:val="de-DE"/>
        </w:rPr>
      </w:pPr>
    </w:p>
    <w:p w14:paraId="7584FA15" w14:textId="326ED3C3" w:rsidR="000A1E2C" w:rsidRPr="004676F5" w:rsidRDefault="000A1E2C" w:rsidP="000A1E2C">
      <w:pPr>
        <w:jc w:val="both"/>
        <w:rPr>
          <w:lang w:val="de-DE"/>
        </w:rPr>
      </w:pPr>
      <w:r w:rsidRPr="004676F5">
        <w:rPr>
          <w:lang w:val="de-DE"/>
        </w:rPr>
        <w:tab/>
      </w:r>
      <w:r w:rsidR="00071582" w:rsidRPr="004676F5">
        <w:rPr>
          <w:lang w:val="de-DE"/>
        </w:rPr>
        <w:t>[</w:t>
      </w:r>
      <w:r w:rsidRPr="004676F5">
        <w:rPr>
          <w:b/>
          <w:bCs/>
          <w:lang w:val="de-DE"/>
        </w:rPr>
        <w:t>Art. IV</w:t>
      </w:r>
      <w:r w:rsidR="00071582" w:rsidRPr="004676F5">
        <w:rPr>
          <w:b/>
          <w:bCs/>
          <w:lang w:val="de-DE"/>
        </w:rPr>
        <w:t>.</w:t>
      </w:r>
      <w:r w:rsidRPr="004676F5">
        <w:rPr>
          <w:b/>
          <w:bCs/>
          <w:lang w:val="de-DE"/>
        </w:rPr>
        <w:t>40/6</w:t>
      </w:r>
      <w:r w:rsidRPr="004676F5">
        <w:rPr>
          <w:lang w:val="de-DE"/>
        </w:rPr>
        <w:t> </w:t>
      </w:r>
      <w:r w:rsidR="005B7A5C" w:rsidRPr="004676F5">
        <w:rPr>
          <w:lang w:val="de-DE"/>
        </w:rPr>
        <w:t>- </w:t>
      </w:r>
      <w:r w:rsidRPr="004676F5">
        <w:rPr>
          <w:lang w:val="de-DE"/>
        </w:rPr>
        <w:t>Vor der Belgischen Wettbewerbsbehörde zulässige Beweismittel umfassen Unterlagen, mündliche Erklärungen, elektronische Nachrichten, Aufzeichnungen und alle sonstigen Gegenstände, die Informationen enthalten, unabhängig von ihrer Form und dem Medium, auf dem die Informationen gespeichert sind.</w:t>
      </w:r>
    </w:p>
    <w:p w14:paraId="097AFF54" w14:textId="77777777" w:rsidR="000A1E2C" w:rsidRPr="004676F5" w:rsidRDefault="000A1E2C" w:rsidP="000A1E2C">
      <w:pPr>
        <w:jc w:val="both"/>
        <w:rPr>
          <w:lang w:val="de-DE"/>
        </w:rPr>
      </w:pPr>
    </w:p>
    <w:p w14:paraId="4EA1EB31" w14:textId="29B7297B" w:rsidR="000A1E2C" w:rsidRPr="004676F5" w:rsidRDefault="000A1E2C" w:rsidP="000A1E2C">
      <w:pPr>
        <w:jc w:val="both"/>
        <w:rPr>
          <w:lang w:val="de-DE"/>
        </w:rPr>
      </w:pPr>
      <w:r w:rsidRPr="004676F5">
        <w:rPr>
          <w:lang w:val="de-DE"/>
        </w:rPr>
        <w:tab/>
        <w:t>Dass ein unrechtmäßig erlangtes Beweiselement unzulässig ist, wird nur beschlossen:</w:t>
      </w:r>
    </w:p>
    <w:p w14:paraId="34C8A10D" w14:textId="77777777" w:rsidR="000A1E2C" w:rsidRPr="004676F5" w:rsidRDefault="000A1E2C" w:rsidP="000A1E2C">
      <w:pPr>
        <w:jc w:val="both"/>
        <w:rPr>
          <w:lang w:val="de-DE"/>
        </w:rPr>
      </w:pPr>
    </w:p>
    <w:p w14:paraId="0FD738EE" w14:textId="77777777" w:rsidR="000A1E2C" w:rsidRPr="004676F5" w:rsidRDefault="000A1E2C" w:rsidP="000A1E2C">
      <w:pPr>
        <w:jc w:val="both"/>
        <w:rPr>
          <w:lang w:val="de-DE"/>
        </w:rPr>
      </w:pPr>
      <w:r w:rsidRPr="004676F5">
        <w:rPr>
          <w:lang w:val="de-DE"/>
        </w:rPr>
        <w:tab/>
        <w:t>1. wenn zur Vermeidung der Nichtigkeit die Einhaltung der betreffenden Formbedingungen vorgeschrieben ist oder</w:t>
      </w:r>
    </w:p>
    <w:p w14:paraId="4EAFC7B2" w14:textId="77777777" w:rsidR="000A1E2C" w:rsidRPr="004676F5" w:rsidRDefault="000A1E2C" w:rsidP="000A1E2C">
      <w:pPr>
        <w:jc w:val="both"/>
        <w:rPr>
          <w:lang w:val="de-DE"/>
        </w:rPr>
      </w:pPr>
    </w:p>
    <w:p w14:paraId="488CCB35" w14:textId="77777777" w:rsidR="000A1E2C" w:rsidRPr="004676F5" w:rsidRDefault="000A1E2C" w:rsidP="000A1E2C">
      <w:pPr>
        <w:jc w:val="both"/>
        <w:rPr>
          <w:lang w:val="de-DE"/>
        </w:rPr>
      </w:pPr>
      <w:r w:rsidRPr="004676F5">
        <w:rPr>
          <w:lang w:val="de-DE"/>
        </w:rPr>
        <w:tab/>
        <w:t>2. wenn die begangene Unregelmäßigkeit die Zuverlässigkeit des Beweises beeinträchtigt hat oder</w:t>
      </w:r>
    </w:p>
    <w:p w14:paraId="5C5C9E66" w14:textId="77777777" w:rsidR="000A1E2C" w:rsidRPr="004676F5" w:rsidRDefault="000A1E2C" w:rsidP="000A1E2C">
      <w:pPr>
        <w:jc w:val="both"/>
        <w:rPr>
          <w:lang w:val="de-DE"/>
        </w:rPr>
      </w:pPr>
    </w:p>
    <w:p w14:paraId="1EE2F29A" w14:textId="68358957" w:rsidR="000A1E2C" w:rsidRPr="004676F5" w:rsidRDefault="000A1E2C" w:rsidP="000A1E2C">
      <w:pPr>
        <w:jc w:val="both"/>
        <w:rPr>
          <w:rFonts w:eastAsia="Calibri"/>
          <w:kern w:val="2"/>
          <w:lang w:val="de-DE" w:eastAsia="en-US"/>
          <w14:ligatures w14:val="standardContextual"/>
        </w:rPr>
      </w:pPr>
      <w:r w:rsidRPr="004676F5">
        <w:rPr>
          <w:lang w:val="de-DE"/>
        </w:rPr>
        <w:tab/>
        <w:t>3. wenn die Verwendung des Beweises dem Recht auf ein faires Verfahren zuwiderläuft.</w:t>
      </w:r>
      <w:r w:rsidRPr="004676F5">
        <w:rPr>
          <w:rFonts w:eastAsia="Calibri"/>
          <w:kern w:val="2"/>
          <w:szCs w:val="22"/>
          <w:lang w:val="de-DE" w:eastAsia="en-US"/>
          <w14:ligatures w14:val="standardContextual"/>
        </w:rPr>
        <w:t>]</w:t>
      </w:r>
    </w:p>
    <w:p w14:paraId="2DE0EC4F" w14:textId="77777777" w:rsidR="00BE3682" w:rsidRPr="004676F5" w:rsidRDefault="00BE3682" w:rsidP="00BE3682">
      <w:pPr>
        <w:jc w:val="both"/>
        <w:rPr>
          <w:rFonts w:eastAsia="Calibri"/>
          <w:kern w:val="2"/>
          <w:lang w:val="de-DE" w:eastAsia="en-US"/>
          <w14:ligatures w14:val="standardContextual"/>
        </w:rPr>
      </w:pPr>
    </w:p>
    <w:p w14:paraId="25CE1CB8" w14:textId="0D7E0340" w:rsidR="00071582" w:rsidRPr="004676F5" w:rsidRDefault="00071582" w:rsidP="000715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IV.40/6 eingefügt durch Art. 21 des G. vom 28. Februar 2022 (B.S. vom 7. März 2022)]</w:t>
      </w:r>
    </w:p>
    <w:p w14:paraId="2B4D336E" w14:textId="77777777" w:rsidR="00071582" w:rsidRPr="004676F5" w:rsidRDefault="00071582" w:rsidP="00BE3682">
      <w:pPr>
        <w:jc w:val="both"/>
        <w:rPr>
          <w:rFonts w:eastAsia="Calibri"/>
          <w:kern w:val="2"/>
          <w:lang w:val="de-DE" w:eastAsia="en-US"/>
          <w14:ligatures w14:val="standardContextual"/>
        </w:rPr>
      </w:pPr>
    </w:p>
    <w:p w14:paraId="15D52280" w14:textId="77777777" w:rsidR="007854CD" w:rsidRPr="004676F5" w:rsidRDefault="007854CD" w:rsidP="00BE3682">
      <w:pPr>
        <w:jc w:val="both"/>
        <w:rPr>
          <w:rFonts w:eastAsia="Calibri"/>
          <w:kern w:val="2"/>
          <w:lang w:val="de-DE" w:eastAsia="en-US"/>
          <w14:ligatures w14:val="standardContextual"/>
        </w:rPr>
      </w:pPr>
    </w:p>
    <w:p w14:paraId="28D66D70" w14:textId="0E004FB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IV.41</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Der Auditor beurteilt den vertraulichen Charakter der Unterlagen und Angaben gegenüber allen Personen, die von der Mitteilung der Beschwerdegründe und dem Entscheidungsvorschlag Kenntnis nehmen.</w:t>
      </w:r>
    </w:p>
    <w:p w14:paraId="45313A41" w14:textId="77777777" w:rsidR="00BE3682" w:rsidRPr="004676F5" w:rsidRDefault="00BE3682" w:rsidP="00BE3682">
      <w:pPr>
        <w:jc w:val="both"/>
        <w:rPr>
          <w:rFonts w:eastAsia="Calibri"/>
          <w:kern w:val="2"/>
          <w:lang w:val="de-DE" w:eastAsia="en-US"/>
          <w14:ligatures w14:val="standardContextual"/>
        </w:rPr>
      </w:pPr>
    </w:p>
    <w:p w14:paraId="1D361611" w14:textId="77777777" w:rsidR="00071582" w:rsidRPr="004676F5" w:rsidRDefault="00BE3682" w:rsidP="00071582">
      <w:pPr>
        <w:jc w:val="both"/>
        <w:rPr>
          <w:lang w:val="de-DE"/>
        </w:rPr>
      </w:pPr>
      <w:r w:rsidRPr="004676F5">
        <w:rPr>
          <w:rFonts w:eastAsia="Calibri"/>
          <w:kern w:val="2"/>
          <w:szCs w:val="22"/>
          <w:lang w:val="de-DE" w:eastAsia="en-US"/>
          <w14:ligatures w14:val="standardContextual"/>
        </w:rPr>
        <w:tab/>
        <w:t xml:space="preserve">§ 2 ­ </w:t>
      </w:r>
      <w:r w:rsidR="00071582" w:rsidRPr="004676F5">
        <w:rPr>
          <w:rFonts w:eastAsia="Calibri"/>
          <w:kern w:val="2"/>
          <w:szCs w:val="22"/>
          <w:lang w:val="de-DE" w:eastAsia="en-US"/>
          <w14:ligatures w14:val="standardContextual"/>
        </w:rPr>
        <w:t>[</w:t>
      </w:r>
      <w:r w:rsidR="00071582" w:rsidRPr="004676F5">
        <w:rPr>
          <w:lang w:val="de-DE"/>
        </w:rPr>
        <w:t>Wenn eine Person Unterlagen oder Angaben übermittelt und sie der Ansicht ist, dass bestimmte Unterlagen oder Angaben vertraulich sind, muss sie deren Vertraulichkeit geltend machen und begründen und gleichzeitig eine nicht vertrauliche Fassung oder Zusammenfassung übermitteln. Wird keine nicht vertrauliche Fassung oder Zusammenfassung übermittelt, gelten die betreffenden Unterlagen und Angaben als nicht vertraulich.</w:t>
      </w:r>
    </w:p>
    <w:p w14:paraId="3EF94EA9" w14:textId="77777777" w:rsidR="00071582" w:rsidRPr="004676F5" w:rsidRDefault="00071582" w:rsidP="00071582">
      <w:pPr>
        <w:jc w:val="both"/>
        <w:rPr>
          <w:lang w:val="de-DE"/>
        </w:rPr>
      </w:pPr>
    </w:p>
    <w:p w14:paraId="019EC394" w14:textId="7D4B83FB" w:rsidR="00BE3682" w:rsidRPr="004676F5" w:rsidRDefault="00071582" w:rsidP="00071582">
      <w:pPr>
        <w:jc w:val="both"/>
        <w:rPr>
          <w:rFonts w:eastAsia="Calibri"/>
          <w:kern w:val="2"/>
          <w:lang w:val="de-DE" w:eastAsia="en-US"/>
          <w14:ligatures w14:val="standardContextual"/>
        </w:rPr>
      </w:pPr>
      <w:r w:rsidRPr="004676F5">
        <w:rPr>
          <w:lang w:val="de-DE"/>
        </w:rPr>
        <w:tab/>
        <w:t>Wenn Unterlagen oder Angaben in Anwendung von Artikel IV.40/2 beschafft worden sind und eine Person der Ansicht ist, dass bestimmte Unterlagen oder Angaben vertraulich sind, unterrichtet sie innerhalb zehn Werktagen nach Abschluss des Verfahrens, bei dem die Angaben beschafft worden sind, den Auditor über die Vertraulichkeit bestimmter Unterlagen oder Angaben und beantragt eine Frist für die Übermittlung einer nicht vertraulichen Fassung oder Zusammenfassung der betreffenden Unterlagen und Angaben. Der Auditor gewährt in diesem Fall eine Frist von mindestens zwei Monaten, die auf Antrag der Person eventuell verlängert werden kann. Diese Person beruft sich auf die Vertraulichkeit jeder als vertraulich angesehenen Unterlage oder Angabe und begründet sie; gleichzeitig übermittelt sie eine nicht vertrauliche Fassung oder Zusammenfassung der betreffenden Unterlage. Wenn die Person den Auditor nicht innerhalb zehn Werktagen über die Vertraulichkeit bestimmter Unterlagen oder Angaben unterrichtet hat oder wenn innerhalb der vom Auditor gewährten Frist keine nicht vertrauliche Fassung oder Zusammenfassung übermittelt wird, gelten die betreffenden Unterlagen und Angaben als nicht vertraulich.</w:t>
      </w:r>
      <w:r w:rsidRPr="004676F5">
        <w:rPr>
          <w:rFonts w:eastAsia="Calibri"/>
          <w:kern w:val="2"/>
          <w:szCs w:val="22"/>
          <w:lang w:val="de-DE" w:eastAsia="en-US"/>
          <w14:ligatures w14:val="standardContextual"/>
        </w:rPr>
        <w:t>]</w:t>
      </w:r>
    </w:p>
    <w:p w14:paraId="42C1C5CE" w14:textId="77777777" w:rsidR="00BE3682" w:rsidRPr="004676F5" w:rsidRDefault="00BE3682" w:rsidP="00BE3682">
      <w:pPr>
        <w:jc w:val="both"/>
        <w:rPr>
          <w:rFonts w:eastAsia="Calibri"/>
          <w:kern w:val="2"/>
          <w:lang w:val="de-DE" w:eastAsia="en-US"/>
          <w14:ligatures w14:val="standardContextual"/>
        </w:rPr>
      </w:pPr>
    </w:p>
    <w:p w14:paraId="1ECE3CC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Wenn der Auditor gegenüber einer betroffenen Partei die Vertraulichkeit annimmt, hat diese Partei vorbehaltlich der Anwendung von Absatz 3 nur Zugang zu der nicht vertraulichen Fassung oder Zusammenfassung.</w:t>
      </w:r>
    </w:p>
    <w:p w14:paraId="68FEE53A" w14:textId="77777777" w:rsidR="00BE3682" w:rsidRPr="004676F5" w:rsidRDefault="00BE3682" w:rsidP="00BE3682">
      <w:pPr>
        <w:jc w:val="both"/>
        <w:rPr>
          <w:rFonts w:eastAsia="Calibri"/>
          <w:kern w:val="2"/>
          <w:lang w:val="de-DE" w:eastAsia="en-US"/>
          <w14:ligatures w14:val="standardContextual"/>
        </w:rPr>
      </w:pPr>
    </w:p>
    <w:p w14:paraId="15ACC5B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Wenn der Auditor den vertraulichen Charakter von Unterlagen oder Angaben oder die nicht vertrauliche Fassung oder Zusammenfassung nicht annimmt, teilt er dies unter Angabe der Gründe der Person mit, die die Unterlagen oder Angaben übermittelt hat oder bei der sie beschafft worden sind.</w:t>
      </w:r>
    </w:p>
    <w:p w14:paraId="202A3A60" w14:textId="77777777" w:rsidR="00BE3682" w:rsidRPr="004676F5" w:rsidRDefault="00BE3682" w:rsidP="00BE3682">
      <w:pPr>
        <w:jc w:val="both"/>
        <w:rPr>
          <w:rFonts w:eastAsia="Calibri"/>
          <w:kern w:val="2"/>
          <w:lang w:val="de-DE" w:eastAsia="en-US"/>
          <w14:ligatures w14:val="standardContextual"/>
        </w:rPr>
      </w:pPr>
    </w:p>
    <w:p w14:paraId="0F0E4B7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kann beschließen, dass die Bedeutung einer wirksamen Anwendung des vorliegenden Buches den Schutz der Vertraulichkeit der bereitgestellten Unterlagen oder Angaben überwiegt, so dass die Vertraulichkeit gegenüber den von ihm bestimmten betroffenen Parteien aufgehoben wird.</w:t>
      </w:r>
    </w:p>
    <w:p w14:paraId="3272F9B7" w14:textId="77777777" w:rsidR="00BE3682" w:rsidRPr="004676F5" w:rsidRDefault="00BE3682" w:rsidP="00BE3682">
      <w:pPr>
        <w:jc w:val="both"/>
        <w:rPr>
          <w:rFonts w:eastAsia="Calibri"/>
          <w:kern w:val="2"/>
          <w:lang w:val="de-DE" w:eastAsia="en-US"/>
          <w14:ligatures w14:val="standardContextual"/>
        </w:rPr>
      </w:pPr>
    </w:p>
    <w:p w14:paraId="7FE2AC4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teilt seinen mit Gründen versehenen Beschluss der Person mit, die die Unterlagen oder Angaben übermittelt hat oder bei der sie beschafft worden sind.</w:t>
      </w:r>
    </w:p>
    <w:p w14:paraId="35F74475" w14:textId="77777777" w:rsidR="00BE3682" w:rsidRPr="004676F5" w:rsidRDefault="00BE3682" w:rsidP="00BE3682">
      <w:pPr>
        <w:jc w:val="both"/>
        <w:rPr>
          <w:rFonts w:eastAsia="Calibri"/>
          <w:kern w:val="2"/>
          <w:lang w:val="de-DE" w:eastAsia="en-US"/>
          <w14:ligatures w14:val="standardContextual"/>
        </w:rPr>
      </w:pPr>
    </w:p>
    <w:p w14:paraId="6A0A064E" w14:textId="3FFFD9B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Auditor kann im Interesse der Untersuchung beschließen, dass bestimmte Unterlagen und Angaben, die er bestimmt, vertraulich zu behandeln sind. Er informiert die Person, die die Unterlagen oder Angaben übermittelt hat oder bei der sie beschafft worden sind, darüber und beauftragt sie, eine nicht vertrauliche Fassung oder Zusammenfassung zu übermitteln</w:t>
      </w:r>
      <w:r w:rsidR="00071582" w:rsidRPr="004676F5">
        <w:rPr>
          <w:rFonts w:eastAsia="Calibri"/>
          <w:kern w:val="2"/>
          <w:szCs w:val="22"/>
          <w:lang w:val="de-DE" w:eastAsia="en-US"/>
          <w14:ligatures w14:val="standardContextual"/>
        </w:rPr>
        <w:t xml:space="preserve">[, </w:t>
      </w:r>
      <w:r w:rsidR="00071582" w:rsidRPr="004676F5">
        <w:rPr>
          <w:lang w:val="de-DE"/>
        </w:rPr>
        <w:t>oder er erstellt selbst eine nicht vertrauliche Fassung oder Zusammenfassung</w:t>
      </w:r>
      <w:r w:rsidR="00071582"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w:t>
      </w:r>
    </w:p>
    <w:p w14:paraId="1DA0DB52" w14:textId="77777777" w:rsidR="00BE3682" w:rsidRPr="004676F5" w:rsidRDefault="00BE3682" w:rsidP="00BE3682">
      <w:pPr>
        <w:jc w:val="both"/>
        <w:rPr>
          <w:rFonts w:eastAsia="Calibri"/>
          <w:kern w:val="2"/>
          <w:lang w:val="de-DE" w:eastAsia="en-US"/>
          <w14:ligatures w14:val="standardContextual"/>
        </w:rPr>
      </w:pPr>
    </w:p>
    <w:p w14:paraId="3F0A8B5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5 ­ Gegen Beschlüsse des Auditors in Bezug auf die Vertraulichkeit von Unterlagen und Angaben können Personen, die die Unterlagen oder Angaben übermittelt haben oder bei denen sie beschafft wurden, innerhalb dreier Werktage ab Erhalt der Notifizierung des Beschlusses beim Präsidenten Beschwerde einreichen. Der Präsident bestimmt ohne Kenntnisnahme der Beschwerdegründe einen Beisitzer, der über die Vertraulichkeit befindet und nicht im Wettbewerbskollegium tagen darf, das mit der Sache befasst ist.</w:t>
      </w:r>
    </w:p>
    <w:p w14:paraId="12915FEE" w14:textId="77777777" w:rsidR="00BE3682" w:rsidRPr="004676F5" w:rsidRDefault="00BE3682" w:rsidP="00BE3682">
      <w:pPr>
        <w:jc w:val="both"/>
        <w:rPr>
          <w:rFonts w:eastAsia="Calibri"/>
          <w:kern w:val="2"/>
          <w:lang w:val="de-DE" w:eastAsia="en-US"/>
          <w14:ligatures w14:val="standardContextual"/>
        </w:rPr>
      </w:pPr>
    </w:p>
    <w:p w14:paraId="6E19EB9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bestimmte Beisitzer hört die Person, die die Unterlagen oder Angaben übermittelt hat oder bei der sie beschafft worden sind, und den Auditor auf ihren Antrag hin innerhalb fünf Werktagen ab Erhalt der Beschwerde an und befindet innerhalb fünf Werktagen nach der Anhörung über die Beschwerde. Die Frist von fünf Werktagen wird auf zwei Werktage herabgesetzt bei einer Untersuchung in Zusammenhang mit einem Zusammenschluss.</w:t>
      </w:r>
    </w:p>
    <w:p w14:paraId="736F567E" w14:textId="77777777" w:rsidR="00BE3682" w:rsidRPr="004676F5" w:rsidRDefault="00BE3682" w:rsidP="00BE3682">
      <w:pPr>
        <w:jc w:val="both"/>
        <w:rPr>
          <w:rFonts w:eastAsia="Calibri"/>
          <w:kern w:val="2"/>
          <w:lang w:val="de-DE" w:eastAsia="en-US"/>
          <w14:ligatures w14:val="standardContextual"/>
        </w:rPr>
      </w:pPr>
    </w:p>
    <w:p w14:paraId="115615C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Beschluss des bestimmten Beisitzers wird nach Entfernung der vertraulichen Angaben in die Untersuchungsakte aufgenommen.</w:t>
      </w:r>
    </w:p>
    <w:p w14:paraId="2E8E9D28" w14:textId="77777777" w:rsidR="00BE3682" w:rsidRPr="004676F5" w:rsidRDefault="00BE3682" w:rsidP="00BE3682">
      <w:pPr>
        <w:jc w:val="both"/>
        <w:rPr>
          <w:rFonts w:eastAsia="Calibri"/>
          <w:kern w:val="2"/>
          <w:lang w:val="de-DE" w:eastAsia="en-US"/>
          <w14:ligatures w14:val="standardContextual"/>
        </w:rPr>
      </w:pPr>
    </w:p>
    <w:p w14:paraId="302FD8E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Gegen den Beschluss des bestimmten Beisitzers kann keine gesonderte Beschwerde eingereicht werden.</w:t>
      </w:r>
    </w:p>
    <w:p w14:paraId="36A0F9CC" w14:textId="77777777" w:rsidR="00BE3682" w:rsidRPr="004676F5" w:rsidRDefault="00BE3682" w:rsidP="00BE3682">
      <w:pPr>
        <w:jc w:val="both"/>
        <w:rPr>
          <w:rFonts w:eastAsia="Calibri"/>
          <w:kern w:val="2"/>
          <w:lang w:val="de-DE" w:eastAsia="en-US"/>
          <w14:ligatures w14:val="standardContextual"/>
        </w:rPr>
      </w:pPr>
    </w:p>
    <w:p w14:paraId="589BE5D1"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Der Auditor teilt keine vertraulichen Unterlagen oder Angaben mit, die Gegenstand der in Absatz 1 erwähnten Beschwerde sind, solange nicht über die Beschwerde befunden worden ist.</w:t>
      </w:r>
    </w:p>
    <w:p w14:paraId="1C304E84" w14:textId="77777777" w:rsidR="00071582" w:rsidRPr="004676F5" w:rsidRDefault="00071582" w:rsidP="00BE3682">
      <w:pPr>
        <w:jc w:val="both"/>
        <w:rPr>
          <w:rFonts w:eastAsia="Calibri"/>
          <w:kern w:val="2"/>
          <w:szCs w:val="22"/>
          <w:lang w:val="de-DE" w:eastAsia="en-US"/>
          <w14:ligatures w14:val="standardContextual"/>
        </w:rPr>
      </w:pPr>
    </w:p>
    <w:p w14:paraId="48E5BF6D" w14:textId="150B77E8" w:rsidR="00071582" w:rsidRPr="004676F5" w:rsidRDefault="00071582" w:rsidP="00071582">
      <w:pPr>
        <w:jc w:val="both"/>
        <w:rPr>
          <w:lang w:val="de-DE"/>
        </w:rPr>
      </w:pPr>
      <w:r w:rsidRPr="004676F5">
        <w:rPr>
          <w:rFonts w:eastAsia="Calibri"/>
          <w:kern w:val="2"/>
          <w:szCs w:val="22"/>
          <w:lang w:val="de-DE" w:eastAsia="en-US"/>
          <w14:ligatures w14:val="standardContextual"/>
        </w:rPr>
        <w:tab/>
        <w:t>[</w:t>
      </w:r>
      <w:r w:rsidRPr="004676F5">
        <w:rPr>
          <w:lang w:val="de-DE"/>
        </w:rPr>
        <w:t>§ 6 </w:t>
      </w:r>
      <w:r w:rsidR="005B7A5C" w:rsidRPr="004676F5">
        <w:rPr>
          <w:lang w:val="de-DE"/>
        </w:rPr>
        <w:t>- </w:t>
      </w:r>
      <w:r w:rsidRPr="004676F5">
        <w:rPr>
          <w:lang w:val="de-DE"/>
        </w:rPr>
        <w:t>Der Auditor kann seine Einwilligung geben, dass die betroffenen Parteien und die Personen, die die Unterlagen oder Angaben übermittelt haben oder bei denen sie beschafft worden sind, auf freiwilliger Basis die Anwendung eines ausgehandelten Offenlegungs</w:t>
      </w:r>
      <w:r w:rsidRPr="004676F5">
        <w:rPr>
          <w:lang w:val="de-DE"/>
        </w:rPr>
        <w:softHyphen/>
        <w:t>verfahrens vereinbaren.</w:t>
      </w:r>
    </w:p>
    <w:p w14:paraId="30ED8301" w14:textId="77777777" w:rsidR="00071582" w:rsidRPr="004676F5" w:rsidRDefault="00071582" w:rsidP="00071582">
      <w:pPr>
        <w:jc w:val="both"/>
        <w:rPr>
          <w:lang w:val="de-DE"/>
        </w:rPr>
      </w:pPr>
    </w:p>
    <w:p w14:paraId="22C77F01" w14:textId="77777777" w:rsidR="00071582" w:rsidRPr="004676F5" w:rsidRDefault="00071582" w:rsidP="00071582">
      <w:pPr>
        <w:jc w:val="both"/>
        <w:rPr>
          <w:lang w:val="de-DE"/>
        </w:rPr>
      </w:pPr>
      <w:r w:rsidRPr="004676F5">
        <w:rPr>
          <w:lang w:val="de-DE"/>
        </w:rPr>
        <w:tab/>
        <w:t xml:space="preserve">Im Rahmen dieses Verfahrens vereinbaren die betroffenen Parteien, die ein Recht auf Akteneinsicht haben werden, und die Personen, die die Unterlagen oder Angaben übermittelt haben oder bei denen sie beschafft worden sind und die die Vertraulichkeit geltend machen, untereinander, dass die betroffenen Parteien Zugang zu allen oder einem Teil der Unterlagen </w:t>
      </w:r>
      <w:r w:rsidRPr="004676F5">
        <w:rPr>
          <w:lang w:val="de-DE"/>
        </w:rPr>
        <w:lastRenderedPageBreak/>
        <w:t>oder Angaben erhalten, die diese Personen der Belgischen Wettbewerbsbehörde übermittelt haben oder die diese Behörde sich bei ihnen beschafft hat, einschließlich der vertraulichen Informationen. Soweit personenbezogene Daten betroffen sind, dürfen diese von einer betroffenen Partei nur dazu verwendet werden, ihren Interessen im Zusammenhang mit dem bei der Belgischen Wettbewerbsbehörde anhängigen Verfahren zu dienen. Die Vereinbarung wird vom Auditor gebilligt.</w:t>
      </w:r>
    </w:p>
    <w:p w14:paraId="5A600155" w14:textId="77777777" w:rsidR="00071582" w:rsidRPr="004676F5" w:rsidRDefault="00071582" w:rsidP="00071582">
      <w:pPr>
        <w:jc w:val="both"/>
        <w:rPr>
          <w:lang w:val="de-DE"/>
        </w:rPr>
      </w:pPr>
    </w:p>
    <w:p w14:paraId="30200E05" w14:textId="77777777" w:rsidR="00071582" w:rsidRPr="004676F5" w:rsidRDefault="00071582" w:rsidP="00071582">
      <w:pPr>
        <w:jc w:val="both"/>
        <w:rPr>
          <w:lang w:val="de-DE"/>
        </w:rPr>
      </w:pPr>
      <w:r w:rsidRPr="004676F5">
        <w:rPr>
          <w:lang w:val="de-DE"/>
        </w:rPr>
        <w:tab/>
        <w:t>Betroffene Parteien, die Akteneinsicht erhalten, beschränken den Zugang zu den Informationen auf eine begrenzte Gruppe von Personen gemäß den vereinbarten Bedingungen.</w:t>
      </w:r>
    </w:p>
    <w:p w14:paraId="58C69E1F" w14:textId="77777777" w:rsidR="00071582" w:rsidRPr="004676F5" w:rsidRDefault="00071582" w:rsidP="00071582">
      <w:pPr>
        <w:jc w:val="both"/>
        <w:rPr>
          <w:lang w:val="de-DE"/>
        </w:rPr>
      </w:pPr>
    </w:p>
    <w:p w14:paraId="56ACEFF7" w14:textId="77777777" w:rsidR="00071582" w:rsidRPr="004676F5" w:rsidRDefault="00071582" w:rsidP="00071582">
      <w:pPr>
        <w:jc w:val="both"/>
        <w:rPr>
          <w:lang w:val="de-DE"/>
        </w:rPr>
      </w:pPr>
      <w:r w:rsidRPr="004676F5">
        <w:rPr>
          <w:lang w:val="de-DE"/>
        </w:rPr>
        <w:tab/>
        <w:t>Sofern eine solche ausgehandelte Akteneinsicht einer Einschränkung des Rechts auf Akteneinsicht einer betroffenen Partei gleichkommt, muss diese Partei gegenüber der Belgischen Wettbewerbsbehörde auf ihr Recht auf Akteneinsicht verzichten.</w:t>
      </w:r>
    </w:p>
    <w:p w14:paraId="437EB55D" w14:textId="77777777" w:rsidR="00071582" w:rsidRPr="004676F5" w:rsidRDefault="00071582" w:rsidP="00071582">
      <w:pPr>
        <w:jc w:val="both"/>
        <w:rPr>
          <w:lang w:val="de-DE"/>
        </w:rPr>
      </w:pPr>
    </w:p>
    <w:p w14:paraId="488F1986" w14:textId="6F009A6E" w:rsidR="00071582" w:rsidRPr="004676F5" w:rsidRDefault="00071582" w:rsidP="00071582">
      <w:pPr>
        <w:jc w:val="both"/>
        <w:rPr>
          <w:rFonts w:eastAsia="Calibri"/>
          <w:kern w:val="2"/>
          <w:szCs w:val="22"/>
          <w:lang w:val="de-DE" w:eastAsia="en-US"/>
          <w14:ligatures w14:val="standardContextual"/>
        </w:rPr>
      </w:pPr>
      <w:r w:rsidRPr="004676F5">
        <w:rPr>
          <w:lang w:val="de-DE"/>
        </w:rPr>
        <w:tab/>
        <w:t>In Abweichung von den Paragraphen 1 und 2 kann der Auditor im Rahmen des ausgehandelten Offenlegungsverfahrens davon absehen, die Vertraulichkeit von Unterlagen und Angaben, die Gegenstand dieses Verfahrens sind, zu beurteilen, oder die Parteien davon in Kenntnis setzen, dass sie die Vertraulichkeit dieser Unterlagen und Angaben nicht geltend machen und begründen müssen.</w:t>
      </w:r>
      <w:r w:rsidRPr="004676F5">
        <w:rPr>
          <w:rFonts w:eastAsia="Calibri"/>
          <w:kern w:val="2"/>
          <w:szCs w:val="22"/>
          <w:lang w:val="de-DE" w:eastAsia="en-US"/>
          <w14:ligatures w14:val="standardContextual"/>
        </w:rPr>
        <w:t>]</w:t>
      </w:r>
    </w:p>
    <w:p w14:paraId="55C8206F" w14:textId="77777777" w:rsidR="00071582" w:rsidRPr="004676F5" w:rsidRDefault="00071582" w:rsidP="00071582">
      <w:pPr>
        <w:jc w:val="both"/>
        <w:rPr>
          <w:rFonts w:eastAsia="Calibri"/>
          <w:kern w:val="2"/>
          <w:szCs w:val="22"/>
          <w:lang w:val="de-DE" w:eastAsia="en-US"/>
          <w14:ligatures w14:val="standardContextual"/>
        </w:rPr>
      </w:pPr>
    </w:p>
    <w:p w14:paraId="6FCC738A" w14:textId="79C63E4E" w:rsidR="00BE3682" w:rsidRPr="004676F5" w:rsidRDefault="00071582" w:rsidP="00BE3682">
      <w:pPr>
        <w:jc w:val="both"/>
        <w:rPr>
          <w:rFonts w:eastAsia="Calibri"/>
          <w:i/>
          <w:iCs/>
          <w:kern w:val="2"/>
          <w:szCs w:val="22"/>
          <w:lang w:val="de-DE" w:eastAsia="en-US"/>
          <w14:ligatures w14:val="standardContextual"/>
        </w:rPr>
      </w:pPr>
      <w:r w:rsidRPr="004676F5">
        <w:rPr>
          <w:rFonts w:eastAsia="Calibri"/>
          <w:i/>
          <w:iCs/>
          <w:kern w:val="2"/>
          <w:szCs w:val="22"/>
          <w:lang w:val="de-DE" w:eastAsia="en-US"/>
          <w14:ligatures w14:val="standardContextual"/>
        </w:rPr>
        <w:t>[Art. IV.41 § 2 ersetzt durch Art. 22 Nr. 1 des G. vom 28. Februar 2022 (B.S. vom 7. März 2022); § 4 abgeändert durch Art. 22 Nr. 2 des G. vom 28. Februar 2022 (B.S. vom 7. März 2022); § 6 eingefügt durch Art. 22 Nr. 3 des G. vom 28. Februar 2022 (B.S. vom 7. März 2022)]</w:t>
      </w:r>
    </w:p>
    <w:p w14:paraId="57726035" w14:textId="77777777" w:rsidR="00071582" w:rsidRPr="004676F5" w:rsidRDefault="00071582" w:rsidP="00BE3682">
      <w:pPr>
        <w:jc w:val="both"/>
        <w:rPr>
          <w:rFonts w:eastAsia="Calibri"/>
          <w:kern w:val="2"/>
          <w:lang w:val="de-DE" w:eastAsia="en-US"/>
          <w14:ligatures w14:val="standardContextual"/>
        </w:rPr>
      </w:pPr>
    </w:p>
    <w:p w14:paraId="0F4B043A" w14:textId="77777777" w:rsidR="007854CD" w:rsidRPr="004676F5" w:rsidRDefault="007854CD" w:rsidP="00BE3682">
      <w:pPr>
        <w:jc w:val="both"/>
        <w:rPr>
          <w:rFonts w:eastAsia="Calibri"/>
          <w:kern w:val="2"/>
          <w:lang w:val="de-DE" w:eastAsia="en-US"/>
          <w14:ligatures w14:val="standardContextual"/>
        </w:rPr>
      </w:pPr>
    </w:p>
    <w:p w14:paraId="11797590" w14:textId="4C88F2A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IV.42</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Nachdem der Auditor die Vertraulichkeit geregelt hat, legt er eine Untersuchungsakte an.</w:t>
      </w:r>
    </w:p>
    <w:p w14:paraId="7B9FD5AC" w14:textId="77777777" w:rsidR="00BE3682" w:rsidRPr="004676F5" w:rsidRDefault="00BE3682" w:rsidP="00BE3682">
      <w:pPr>
        <w:jc w:val="both"/>
        <w:rPr>
          <w:rFonts w:eastAsia="Calibri"/>
          <w:kern w:val="2"/>
          <w:lang w:val="de-DE" w:eastAsia="en-US"/>
          <w14:ligatures w14:val="standardContextual"/>
        </w:rPr>
      </w:pPr>
    </w:p>
    <w:p w14:paraId="3DD528D0" w14:textId="45FB33B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Die Untersuchungsakte enthält alle Unterlagen und Angaben, die im Laufe der Untersuchung </w:t>
      </w:r>
      <w:r w:rsidR="00115238" w:rsidRPr="004676F5">
        <w:rPr>
          <w:rFonts w:eastAsia="Calibri"/>
          <w:kern w:val="2"/>
          <w:szCs w:val="22"/>
          <w:lang w:val="de-DE" w:eastAsia="en-US"/>
          <w14:ligatures w14:val="standardContextual"/>
        </w:rPr>
        <w:t>[</w:t>
      </w:r>
      <w:r w:rsidR="00115238" w:rsidRPr="004676F5">
        <w:rPr>
          <w:lang w:val="de-DE"/>
        </w:rPr>
        <w:t>und auch vor Einleitung einer in Artikel IV.39 erwähnten Untersuchung</w:t>
      </w:r>
      <w:r w:rsidR="00115238" w:rsidRPr="004676F5">
        <w:rPr>
          <w:rFonts w:eastAsia="Calibri"/>
          <w:kern w:val="2"/>
          <w:szCs w:val="22"/>
          <w:lang w:val="de-DE" w:eastAsia="en-US"/>
          <w14:ligatures w14:val="standardContextual"/>
        </w:rPr>
        <w:t xml:space="preserve">] </w:t>
      </w:r>
      <w:r w:rsidRPr="004676F5">
        <w:rPr>
          <w:rFonts w:eastAsia="Calibri"/>
          <w:kern w:val="2"/>
          <w:szCs w:val="22"/>
          <w:lang w:val="de-DE" w:eastAsia="en-US"/>
          <w14:ligatures w14:val="standardContextual"/>
        </w:rPr>
        <w:t xml:space="preserve">erhalten, beschafft, kopiert, vorgelegt oder gesammelt wurden, und alle Unterlagen, die von oder auf Ersuchen der Belgischen Wettbewerbsbehörde verfasst wurden, mit Ausnahme der Unterlagen und Angaben, die </w:t>
      </w:r>
      <w:r w:rsidR="00071582"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in Anwendung von Artikel IV.40</w:t>
      </w:r>
      <w:r w:rsidR="00071582" w:rsidRPr="004676F5">
        <w:rPr>
          <w:rFonts w:eastAsia="Calibri"/>
          <w:kern w:val="2"/>
          <w:szCs w:val="22"/>
          <w:lang w:val="de-DE" w:eastAsia="en-US"/>
          <w14:ligatures w14:val="standardContextual"/>
        </w:rPr>
        <w:t>/5]</w:t>
      </w:r>
      <w:r w:rsidRPr="004676F5">
        <w:rPr>
          <w:rFonts w:eastAsia="Calibri"/>
          <w:kern w:val="2"/>
          <w:szCs w:val="22"/>
          <w:lang w:val="de-DE" w:eastAsia="en-US"/>
          <w14:ligatures w14:val="standardContextual"/>
        </w:rPr>
        <w:t xml:space="preserve"> entfernt wurden. Die Untersuchungsakte enthält außer bei gegenteiligem Beschluss des Auditors weder interne Unterlagen der Belgischen Wettbewerbsbehörde noch die Korrespondenz zwischen der Belgischen Wettbewerbsbehörde und anderen Wettbewerbsbehörden.</w:t>
      </w:r>
    </w:p>
    <w:p w14:paraId="358B7AD2" w14:textId="77777777" w:rsidR="00BE3682" w:rsidRPr="004676F5" w:rsidRDefault="00BE3682" w:rsidP="00BE3682">
      <w:pPr>
        <w:jc w:val="both"/>
        <w:rPr>
          <w:rFonts w:eastAsia="Calibri"/>
          <w:kern w:val="2"/>
          <w:lang w:val="de-DE" w:eastAsia="en-US"/>
          <w14:ligatures w14:val="standardContextual"/>
        </w:rPr>
      </w:pPr>
    </w:p>
    <w:p w14:paraId="42F39A2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erstellt ein Verzeichnis der Untersuchungsakte und gibt für jede Unterlage die Vertraulichkeitsregelung an. Das Verzeichnis ist Teil der Untersuchungsakte.</w:t>
      </w:r>
    </w:p>
    <w:p w14:paraId="166E08DD" w14:textId="77777777" w:rsidR="00BE3682" w:rsidRPr="004676F5" w:rsidRDefault="00BE3682" w:rsidP="00BE3682">
      <w:pPr>
        <w:jc w:val="both"/>
        <w:rPr>
          <w:rFonts w:eastAsia="Calibri"/>
          <w:kern w:val="2"/>
          <w:lang w:val="de-DE" w:eastAsia="en-US"/>
          <w14:ligatures w14:val="standardContextual"/>
        </w:rPr>
      </w:pPr>
    </w:p>
    <w:p w14:paraId="1656C45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Der Auditor legt auch die Verfahrensakte an.</w:t>
      </w:r>
    </w:p>
    <w:p w14:paraId="19B68D48" w14:textId="77777777" w:rsidR="00BE3682" w:rsidRPr="004676F5" w:rsidRDefault="00BE3682" w:rsidP="00BE3682">
      <w:pPr>
        <w:jc w:val="both"/>
        <w:rPr>
          <w:rFonts w:eastAsia="Calibri"/>
          <w:kern w:val="2"/>
          <w:lang w:val="de-DE" w:eastAsia="en-US"/>
          <w14:ligatures w14:val="standardContextual"/>
        </w:rPr>
      </w:pPr>
    </w:p>
    <w:p w14:paraId="0B56B09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Verfahrensakte enthält die Unterlagen und Angaben der Untersuchungsakte, auf die der Auditor sich bei seinem Entscheidungsvorschlag stützt.</w:t>
      </w:r>
    </w:p>
    <w:p w14:paraId="17C06100" w14:textId="77777777" w:rsidR="00BE3682" w:rsidRPr="004676F5" w:rsidRDefault="00BE3682" w:rsidP="00BE3682">
      <w:pPr>
        <w:jc w:val="both"/>
        <w:rPr>
          <w:rFonts w:eastAsia="Calibri"/>
          <w:kern w:val="2"/>
          <w:lang w:val="de-DE" w:eastAsia="en-US"/>
          <w14:ligatures w14:val="standardContextual"/>
        </w:rPr>
      </w:pPr>
    </w:p>
    <w:p w14:paraId="4A560AE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erstellt ein Verzeichnis der Verfahrensakte und gibt für jede Unterlage die Vertraulichkeitsregelung an. Das Verzeichnis ist Teil der Verfahrensakte.</w:t>
      </w:r>
    </w:p>
    <w:p w14:paraId="61EDFC57" w14:textId="77777777" w:rsidR="00BE3682" w:rsidRPr="004676F5" w:rsidRDefault="00BE3682" w:rsidP="00BE3682">
      <w:pPr>
        <w:jc w:val="both"/>
        <w:rPr>
          <w:rFonts w:eastAsia="Calibri"/>
          <w:kern w:val="2"/>
          <w:lang w:val="de-DE" w:eastAsia="en-US"/>
          <w14:ligatures w14:val="standardContextual"/>
        </w:rPr>
      </w:pPr>
    </w:p>
    <w:p w14:paraId="1D5141CE" w14:textId="77777777" w:rsidR="00CA6435" w:rsidRDefault="00CA6435">
      <w:pPr>
        <w:rPr>
          <w:rFonts w:eastAsia="Calibri"/>
          <w:kern w:val="2"/>
          <w:szCs w:val="22"/>
          <w:lang w:val="de-DE" w:eastAsia="en-US"/>
          <w14:ligatures w14:val="standardContextual"/>
        </w:rPr>
      </w:pPr>
      <w:r>
        <w:rPr>
          <w:rFonts w:eastAsia="Calibri"/>
          <w:kern w:val="2"/>
          <w:szCs w:val="22"/>
          <w:lang w:val="de-DE" w:eastAsia="en-US"/>
          <w14:ligatures w14:val="standardContextual"/>
        </w:rPr>
        <w:br w:type="page"/>
      </w:r>
    </w:p>
    <w:p w14:paraId="01F67212" w14:textId="21ED07C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 3 ­ Das Sekretariat ergänzt die Verfahrensakte und ihr Verzeichnis mit allen Unterlagen des Verfahrens vor dem Wettbewerbskollegium, insbesondere:</w:t>
      </w:r>
    </w:p>
    <w:p w14:paraId="6682D58F" w14:textId="77777777" w:rsidR="00BE3682" w:rsidRPr="004676F5" w:rsidRDefault="00BE3682" w:rsidP="00BE3682">
      <w:pPr>
        <w:jc w:val="both"/>
        <w:rPr>
          <w:rFonts w:eastAsia="Calibri"/>
          <w:kern w:val="2"/>
          <w:lang w:val="de-DE" w:eastAsia="en-US"/>
          <w14:ligatures w14:val="standardContextual"/>
        </w:rPr>
      </w:pPr>
    </w:p>
    <w:p w14:paraId="4447B18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allen beim Wettbewerbskollegium eingereichten Unterlagen,</w:t>
      </w:r>
    </w:p>
    <w:p w14:paraId="0D7386EE" w14:textId="77777777" w:rsidR="00BE3682" w:rsidRPr="004676F5" w:rsidRDefault="00BE3682" w:rsidP="00BE3682">
      <w:pPr>
        <w:jc w:val="both"/>
        <w:rPr>
          <w:rFonts w:eastAsia="Calibri"/>
          <w:kern w:val="2"/>
          <w:lang w:val="de-DE" w:eastAsia="en-US"/>
          <w14:ligatures w14:val="standardContextual"/>
        </w:rPr>
      </w:pPr>
    </w:p>
    <w:p w14:paraId="240C12F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der Korrespondenz des Wettbewerbskollegiums, des Präsidenten des Wettbewerbskollegiums oder eines Beisitzers mit dem Generalauditor, dem Auditor, den betroffenen Parteien, dem Kläger, Interesse habenden Dritten oder Dritten, die vom Wettbewerbskollegium angehört oder zur Einreichung von Unterlagen und Schriftstücken aufgefordert wurden,</w:t>
      </w:r>
    </w:p>
    <w:p w14:paraId="7E40FBB3" w14:textId="77777777" w:rsidR="00BE3682" w:rsidRPr="004676F5" w:rsidRDefault="00BE3682" w:rsidP="00BE3682">
      <w:pPr>
        <w:jc w:val="both"/>
        <w:rPr>
          <w:rFonts w:eastAsia="Calibri"/>
          <w:kern w:val="2"/>
          <w:lang w:val="de-DE" w:eastAsia="en-US"/>
          <w14:ligatures w14:val="standardContextual"/>
        </w:rPr>
      </w:pPr>
    </w:p>
    <w:p w14:paraId="1E04FE0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Entscheidungen und ihren eventuellen Ergänzungen, Änderungen und Durch</w:t>
      </w:r>
      <w:r w:rsidRPr="004676F5">
        <w:rPr>
          <w:rFonts w:eastAsia="Calibri"/>
          <w:kern w:val="2"/>
          <w:szCs w:val="22"/>
          <w:lang w:val="de-DE" w:eastAsia="en-US"/>
          <w14:ligatures w14:val="standardContextual"/>
        </w:rPr>
        <w:softHyphen/>
        <w:t>führungs</w:t>
      </w:r>
      <w:r w:rsidRPr="004676F5">
        <w:rPr>
          <w:rFonts w:eastAsia="Calibri"/>
          <w:kern w:val="2"/>
          <w:szCs w:val="22"/>
          <w:lang w:val="de-DE" w:eastAsia="en-US"/>
          <w14:ligatures w14:val="standardContextual"/>
        </w:rPr>
        <w:softHyphen/>
        <w:t>maßnahmen, die in der Sache vom Wettbewerbskollegium, dem Präsidenten des Wettbewerbskollegiums oder einem Beisitzer getroffen wurden.</w:t>
      </w:r>
    </w:p>
    <w:p w14:paraId="40926A6C" w14:textId="77777777" w:rsidR="00BE3682" w:rsidRPr="004676F5" w:rsidRDefault="00BE3682" w:rsidP="00BE3682">
      <w:pPr>
        <w:jc w:val="both"/>
        <w:rPr>
          <w:rFonts w:eastAsia="Calibri"/>
          <w:kern w:val="2"/>
          <w:lang w:val="de-DE" w:eastAsia="en-US"/>
          <w14:ligatures w14:val="standardContextual"/>
        </w:rPr>
      </w:pPr>
    </w:p>
    <w:p w14:paraId="4C09923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Sekretariat gewährt den betroffenen Parteien Zugang zu der Verfahrensakte und ihrem aktualisierten Verzeichnis unter Einhaltung der Klassifizierung der Vertraulichkeit der betreffenden Unterlagen und Angaben.</w:t>
      </w:r>
    </w:p>
    <w:p w14:paraId="263A3D4A"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 xml:space="preserve"> </w:t>
      </w:r>
    </w:p>
    <w:p w14:paraId="32B10899" w14:textId="40C31159" w:rsidR="008E5BFF" w:rsidRPr="004676F5" w:rsidRDefault="008E5BFF" w:rsidP="00BE3682">
      <w:pPr>
        <w:jc w:val="both"/>
        <w:rPr>
          <w:rFonts w:ascii="Times New Roman Italique" w:eastAsia="Calibri" w:hAnsi="Times New Roman Italique"/>
          <w:i/>
          <w:iCs/>
          <w:spacing w:val="-4"/>
          <w:kern w:val="2"/>
          <w:lang w:val="de-DE" w:eastAsia="en-US"/>
          <w14:ligatures w14:val="standardContextual"/>
        </w:rPr>
      </w:pPr>
      <w:r w:rsidRPr="004676F5">
        <w:rPr>
          <w:rFonts w:ascii="Times New Roman Italique" w:eastAsia="Calibri" w:hAnsi="Times New Roman Italique"/>
          <w:i/>
          <w:iCs/>
          <w:spacing w:val="-4"/>
          <w:kern w:val="2"/>
          <w:szCs w:val="22"/>
          <w:lang w:val="de-DE" w:eastAsia="en-US"/>
          <w14:ligatures w14:val="standardContextual"/>
        </w:rPr>
        <w:t xml:space="preserve">[Art. IV.42 § 1 Abs. 2 abgeändert durch Art. 23 </w:t>
      </w:r>
      <w:r w:rsidRPr="004676F5">
        <w:rPr>
          <w:rFonts w:ascii="Times New Roman Italique" w:eastAsia="Calibri" w:hAnsi="Times New Roman Italique"/>
          <w:i/>
          <w:iCs/>
          <w:spacing w:val="-4"/>
          <w:kern w:val="2"/>
          <w:lang w:val="de-DE" w:eastAsia="en-US"/>
          <w14:ligatures w14:val="standardContextual"/>
        </w:rPr>
        <w:t>des G. vom 28. Februar 2022 (B.S. vom 7. März 2022)</w:t>
      </w:r>
      <w:r w:rsidR="00115238" w:rsidRPr="004676F5">
        <w:rPr>
          <w:rFonts w:ascii="Times New Roman Italique" w:eastAsia="Calibri" w:hAnsi="Times New Roman Italique"/>
          <w:i/>
          <w:iCs/>
          <w:spacing w:val="-4"/>
          <w:kern w:val="2"/>
          <w:lang w:val="de-DE" w:eastAsia="en-US"/>
          <w14:ligatures w14:val="standardContextual"/>
        </w:rPr>
        <w:t xml:space="preserve"> und Art. 8</w:t>
      </w:r>
      <w:r w:rsidR="00115238" w:rsidRPr="004676F5">
        <w:rPr>
          <w:i/>
          <w:lang w:val="de-DE"/>
        </w:rPr>
        <w:t xml:space="preserve"> des G. vom 5. November 2023</w:t>
      </w:r>
      <w:r w:rsidR="003454B3" w:rsidRPr="004676F5">
        <w:rPr>
          <w:i/>
          <w:lang w:val="de-DE"/>
        </w:rPr>
        <w:t xml:space="preserve"> (I)</w:t>
      </w:r>
      <w:r w:rsidR="00115238" w:rsidRPr="004676F5">
        <w:rPr>
          <w:i/>
          <w:lang w:val="de-DE"/>
        </w:rPr>
        <w:t xml:space="preserve"> (B.S. vom 11. Dezember 2023)</w:t>
      </w:r>
      <w:r w:rsidRPr="004676F5">
        <w:rPr>
          <w:rFonts w:ascii="Times New Roman Italique" w:eastAsia="Calibri" w:hAnsi="Times New Roman Italique"/>
          <w:i/>
          <w:iCs/>
          <w:spacing w:val="-4"/>
          <w:kern w:val="2"/>
          <w:lang w:val="de-DE" w:eastAsia="en-US"/>
          <w14:ligatures w14:val="standardContextual"/>
        </w:rPr>
        <w:t>]</w:t>
      </w:r>
    </w:p>
    <w:p w14:paraId="3CFEE387" w14:textId="77777777" w:rsidR="008E5BFF" w:rsidRPr="004676F5" w:rsidRDefault="008E5BFF" w:rsidP="00BE3682">
      <w:pPr>
        <w:jc w:val="both"/>
        <w:rPr>
          <w:rFonts w:eastAsia="Calibri"/>
          <w:i/>
          <w:iCs/>
          <w:kern w:val="2"/>
          <w:szCs w:val="22"/>
          <w:lang w:val="de-DE" w:eastAsia="en-US"/>
          <w14:ligatures w14:val="standardContextual"/>
        </w:rPr>
      </w:pPr>
    </w:p>
    <w:p w14:paraId="7E7F65B1" w14:textId="77777777" w:rsidR="007854CD" w:rsidRPr="004676F5" w:rsidRDefault="007854CD" w:rsidP="00BE3682">
      <w:pPr>
        <w:jc w:val="both"/>
        <w:rPr>
          <w:rFonts w:eastAsia="Calibri"/>
          <w:kern w:val="2"/>
          <w:lang w:val="de-DE" w:eastAsia="en-US"/>
          <w14:ligatures w14:val="standardContextual"/>
        </w:rPr>
      </w:pPr>
    </w:p>
    <w:p w14:paraId="234E1168" w14:textId="07BC8637" w:rsidR="00BE3682" w:rsidRPr="004676F5" w:rsidRDefault="00CD6ED7"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2</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7E0589"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xml:space="preserve">Spezifische Untersuchungsregeln in Bezug auf </w:t>
      </w:r>
      <w:r w:rsidR="00071582" w:rsidRPr="004676F5">
        <w:rPr>
          <w:rFonts w:eastAsia="Calibri"/>
          <w:kern w:val="2"/>
          <w:szCs w:val="22"/>
          <w:lang w:val="de-DE" w:eastAsia="en-US"/>
          <w14:ligatures w14:val="standardContextual"/>
        </w:rPr>
        <w:t>Zuwiderhandlungen gegen das Wettbewerbsrecht</w:t>
      </w:r>
      <w:r w:rsidR="00BE3682" w:rsidRPr="004676F5">
        <w:rPr>
          <w:rFonts w:eastAsia="Calibri"/>
          <w:kern w:val="2"/>
          <w:szCs w:val="22"/>
          <w:lang w:val="de-DE" w:eastAsia="en-US"/>
          <w14:ligatures w14:val="standardContextual"/>
        </w:rPr>
        <w:t xml:space="preserve"> und Nichteinhaltung der Entscheidungen</w:t>
      </w:r>
      <w:r w:rsidR="007E0589" w:rsidRPr="004676F5">
        <w:rPr>
          <w:rFonts w:eastAsia="Calibri"/>
          <w:kern w:val="2"/>
          <w:szCs w:val="22"/>
          <w:lang w:val="de-DE" w:eastAsia="en-US"/>
          <w14:ligatures w14:val="standardContextual"/>
        </w:rPr>
        <w:t>]</w:t>
      </w:r>
    </w:p>
    <w:p w14:paraId="04FE8E3D" w14:textId="77777777" w:rsidR="00BE3682" w:rsidRPr="004676F5" w:rsidRDefault="00BE3682" w:rsidP="00BE3682">
      <w:pPr>
        <w:jc w:val="both"/>
        <w:rPr>
          <w:rFonts w:eastAsia="Calibri"/>
          <w:kern w:val="2"/>
          <w:lang w:val="de-DE" w:eastAsia="en-US"/>
          <w14:ligatures w14:val="standardContextual"/>
        </w:rPr>
      </w:pPr>
    </w:p>
    <w:p w14:paraId="426E4536" w14:textId="3E327C03" w:rsidR="00071582" w:rsidRPr="004676F5" w:rsidRDefault="00071582"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w:t>
      </w:r>
      <w:r w:rsidR="00CD6ED7" w:rsidRPr="004676F5">
        <w:rPr>
          <w:rFonts w:eastAsia="Calibri"/>
          <w:i/>
          <w:iCs/>
          <w:kern w:val="2"/>
          <w:lang w:val="de-DE" w:eastAsia="en-US"/>
          <w14:ligatures w14:val="standardContextual"/>
        </w:rPr>
        <w:t xml:space="preserve">Früherer Unterabschnitt 2 umgegliedert zu Abschnitt 2 </w:t>
      </w:r>
      <w:r w:rsidR="007E0589" w:rsidRPr="004676F5">
        <w:rPr>
          <w:rFonts w:eastAsia="Calibri"/>
          <w:i/>
          <w:iCs/>
          <w:kern w:val="2"/>
          <w:lang w:val="de-DE" w:eastAsia="en-US"/>
          <w14:ligatures w14:val="standardContextual"/>
        </w:rPr>
        <w:t xml:space="preserve">und Überschrift ersetzt </w:t>
      </w:r>
      <w:r w:rsidR="00CD6ED7" w:rsidRPr="004676F5">
        <w:rPr>
          <w:rFonts w:eastAsia="Calibri"/>
          <w:i/>
          <w:iCs/>
          <w:kern w:val="2"/>
          <w:lang w:val="de-DE" w:eastAsia="en-US"/>
          <w14:ligatures w14:val="standardContextual"/>
        </w:rPr>
        <w:t>durch Art. 30 des G. vom 29. März 2024 (B.S. vom 3. Mai 2024)</w:t>
      </w:r>
      <w:r w:rsidRPr="004676F5">
        <w:rPr>
          <w:rFonts w:eastAsia="Calibri"/>
          <w:i/>
          <w:iCs/>
          <w:kern w:val="2"/>
          <w:lang w:val="de-DE" w:eastAsia="en-US"/>
          <w14:ligatures w14:val="standardContextual"/>
        </w:rPr>
        <w:t>]</w:t>
      </w:r>
    </w:p>
    <w:p w14:paraId="758329FD" w14:textId="77777777" w:rsidR="00071582" w:rsidRPr="004676F5" w:rsidRDefault="00071582" w:rsidP="00BE3682">
      <w:pPr>
        <w:jc w:val="both"/>
        <w:rPr>
          <w:rFonts w:eastAsia="Calibri"/>
          <w:i/>
          <w:iCs/>
          <w:kern w:val="2"/>
          <w:lang w:val="de-DE" w:eastAsia="en-US"/>
          <w14:ligatures w14:val="standardContextual"/>
        </w:rPr>
      </w:pPr>
    </w:p>
    <w:p w14:paraId="10B50483" w14:textId="77777777" w:rsidR="007854CD" w:rsidRPr="004676F5" w:rsidRDefault="007854CD" w:rsidP="00BE3682">
      <w:pPr>
        <w:jc w:val="both"/>
        <w:rPr>
          <w:rFonts w:eastAsia="Calibri"/>
          <w:kern w:val="2"/>
          <w:lang w:val="de-DE" w:eastAsia="en-US"/>
          <w14:ligatures w14:val="standardContextual"/>
        </w:rPr>
      </w:pPr>
    </w:p>
    <w:p w14:paraId="34A36A44" w14:textId="100FA463"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IV.43</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Klagen, Anträge und Anweisungen im Hinblick auf die Eröffnung einer Untersuchung in Bezug auf </w:t>
      </w:r>
      <w:r w:rsidR="005946A7" w:rsidRPr="004676F5">
        <w:rPr>
          <w:rFonts w:eastAsia="Calibri"/>
          <w:kern w:val="2"/>
          <w:szCs w:val="22"/>
          <w:lang w:val="de-DE" w:eastAsia="en-US"/>
          <w14:ligatures w14:val="standardContextual"/>
        </w:rPr>
        <w:t>[Zuwiderhandlungen gegen das Wettbewerbsrecht]</w:t>
      </w:r>
      <w:r w:rsidRPr="004676F5">
        <w:rPr>
          <w:rFonts w:eastAsia="Calibri"/>
          <w:kern w:val="2"/>
          <w:szCs w:val="22"/>
          <w:lang w:val="de-DE" w:eastAsia="en-US"/>
          <w14:ligatures w14:val="standardContextual"/>
        </w:rPr>
        <w:t xml:space="preserve"> und die Nichteinhaltung von Entscheidungen, die aufgrund der Artikel IV.10 § 6, IV.44 § 1 Nr. 2, IV.45 Absatz 1 Nr. 2, IV.46 § 2 Nr. 1, IV.52, IV.66, IV.69, IV.71 oder IV.73 getroffen wurden, werden beim Generalauditor eingereicht.</w:t>
      </w:r>
    </w:p>
    <w:p w14:paraId="641C91B3" w14:textId="77777777" w:rsidR="003F0B4D" w:rsidRPr="004676F5" w:rsidRDefault="003F0B4D" w:rsidP="00BE3682">
      <w:pPr>
        <w:jc w:val="both"/>
        <w:rPr>
          <w:rFonts w:eastAsia="Calibri"/>
          <w:kern w:val="2"/>
          <w:szCs w:val="22"/>
          <w:lang w:val="de-DE" w:eastAsia="en-US"/>
          <w14:ligatures w14:val="standardContextual"/>
        </w:rPr>
      </w:pPr>
    </w:p>
    <w:p w14:paraId="3EEA90AE" w14:textId="56E10F5E" w:rsidR="003F0B4D" w:rsidRPr="004676F5" w:rsidRDefault="003F0B4D" w:rsidP="00BE3682">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IV.43 abgeändert durch Art. 25 des G. vom 28. Februar 2022 (B.S. vom 7. März 2022)</w:t>
      </w:r>
    </w:p>
    <w:p w14:paraId="7C307DB4" w14:textId="77777777" w:rsidR="00BE3682" w:rsidRPr="004676F5" w:rsidRDefault="00BE3682" w:rsidP="00BE3682">
      <w:pPr>
        <w:jc w:val="both"/>
        <w:rPr>
          <w:rFonts w:eastAsia="Calibri"/>
          <w:kern w:val="2"/>
          <w:lang w:val="de-DE" w:eastAsia="en-US"/>
          <w14:ligatures w14:val="standardContextual"/>
        </w:rPr>
      </w:pPr>
    </w:p>
    <w:p w14:paraId="0326C455" w14:textId="77777777" w:rsidR="007854CD" w:rsidRPr="004676F5" w:rsidRDefault="007854CD" w:rsidP="00BE3682">
      <w:pPr>
        <w:jc w:val="both"/>
        <w:rPr>
          <w:rFonts w:eastAsia="Calibri"/>
          <w:kern w:val="2"/>
          <w:lang w:val="de-DE" w:eastAsia="en-US"/>
          <w14:ligatures w14:val="standardContextual"/>
        </w:rPr>
      </w:pPr>
    </w:p>
    <w:p w14:paraId="6B535BC6" w14:textId="68EFBDC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IV.44</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 1 ­ Der Auditor kann nach Stellungnahme des Auditor-Beraters eine Klage, einen Antrag oder eine Anweisung durch eine mit Gründen versehene Entscheidung zu den Akten legen: </w:t>
      </w:r>
    </w:p>
    <w:p w14:paraId="77F49EA8" w14:textId="77777777" w:rsidR="00BE3682" w:rsidRPr="004676F5" w:rsidRDefault="00BE3682" w:rsidP="00BE3682">
      <w:pPr>
        <w:jc w:val="both"/>
        <w:rPr>
          <w:rFonts w:eastAsia="Calibri"/>
          <w:kern w:val="2"/>
          <w:lang w:val="de-DE" w:eastAsia="en-US"/>
          <w14:ligatures w14:val="standardContextual"/>
        </w:rPr>
      </w:pPr>
    </w:p>
    <w:p w14:paraId="7E778A3D" w14:textId="68496F9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1. wenn er zu dem Schluss kommt, dass die Klage, der Antrag oder die Anweisung in Bezug auf </w:t>
      </w:r>
      <w:r w:rsidR="003F0B4D" w:rsidRPr="004676F5">
        <w:rPr>
          <w:rFonts w:eastAsia="Calibri"/>
          <w:kern w:val="2"/>
          <w:szCs w:val="22"/>
          <w:lang w:val="de-DE" w:eastAsia="en-US"/>
          <w14:ligatures w14:val="standardContextual"/>
        </w:rPr>
        <w:t>[</w:t>
      </w:r>
      <w:r w:rsidR="003F0B4D" w:rsidRPr="004676F5">
        <w:rPr>
          <w:lang w:val="de-DE"/>
        </w:rPr>
        <w:t>die Zuwiderhandlung gegen das Wettbewerbsrecht</w:t>
      </w:r>
      <w:r w:rsidR="003F0B4D"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oder die Nichteinhaltung einer Entscheidung, die Gegenstand der Klage, des Antrags oder der Anweisung ist, unzulässig, unbegründet oder verjährt ist,</w:t>
      </w:r>
    </w:p>
    <w:p w14:paraId="4AFF4610" w14:textId="77777777" w:rsidR="00BE3682" w:rsidRPr="004676F5" w:rsidRDefault="00BE3682" w:rsidP="00BE3682">
      <w:pPr>
        <w:jc w:val="both"/>
        <w:rPr>
          <w:rFonts w:eastAsia="Calibri"/>
          <w:kern w:val="2"/>
          <w:lang w:val="de-DE" w:eastAsia="en-US"/>
          <w14:ligatures w14:val="standardContextual"/>
        </w:rPr>
      </w:pPr>
    </w:p>
    <w:p w14:paraId="3E2FB00D" w14:textId="4F21269C" w:rsidR="00BE3682" w:rsidRPr="004676F5" w:rsidRDefault="00BE3682" w:rsidP="00BE3682">
      <w:pPr>
        <w:jc w:val="both"/>
        <w:rPr>
          <w:rFonts w:eastAsia="Calibri"/>
          <w:spacing w:val="-4"/>
          <w:kern w:val="2"/>
          <w:lang w:val="de-DE" w:eastAsia="en-US"/>
          <w14:ligatures w14:val="standardContextual"/>
        </w:rPr>
      </w:pPr>
      <w:r w:rsidRPr="004676F5">
        <w:rPr>
          <w:rFonts w:eastAsia="Calibri"/>
          <w:spacing w:val="-4"/>
          <w:kern w:val="2"/>
          <w:szCs w:val="22"/>
          <w:lang w:val="de-DE" w:eastAsia="en-US"/>
          <w14:ligatures w14:val="standardContextual"/>
        </w:rPr>
        <w:tab/>
        <w:t>2. </w:t>
      </w:r>
      <w:r w:rsidR="003F0B4D" w:rsidRPr="004676F5">
        <w:rPr>
          <w:rFonts w:eastAsia="Calibri"/>
          <w:spacing w:val="-4"/>
          <w:kern w:val="2"/>
          <w:szCs w:val="22"/>
          <w:lang w:val="de-DE" w:eastAsia="en-US"/>
          <w14:ligatures w14:val="standardContextual"/>
        </w:rPr>
        <w:t>[</w:t>
      </w:r>
      <w:r w:rsidR="003F0B4D" w:rsidRPr="004676F5">
        <w:rPr>
          <w:spacing w:val="-4"/>
          <w:lang w:val="de-DE"/>
        </w:rPr>
        <w:t>wenn er nach formeller oder informeller Einholung von Stellungnahmen der Markt</w:t>
      </w:r>
      <w:r w:rsidR="008E5BFF" w:rsidRPr="004676F5">
        <w:rPr>
          <w:spacing w:val="-4"/>
          <w:lang w:val="de-DE"/>
        </w:rPr>
        <w:softHyphen/>
      </w:r>
      <w:r w:rsidR="003F0B4D" w:rsidRPr="004676F5">
        <w:rPr>
          <w:spacing w:val="-4"/>
          <w:lang w:val="de-DE"/>
        </w:rPr>
        <w:t>teil</w:t>
      </w:r>
      <w:r w:rsidR="008E5BFF" w:rsidRPr="004676F5">
        <w:rPr>
          <w:spacing w:val="-4"/>
          <w:lang w:val="de-DE"/>
        </w:rPr>
        <w:softHyphen/>
      </w:r>
      <w:r w:rsidR="003F0B4D" w:rsidRPr="004676F5">
        <w:rPr>
          <w:spacing w:val="-4"/>
          <w:lang w:val="de-DE"/>
        </w:rPr>
        <w:t>nehmer zu dem Schluss kommt, dass die von einer betroffenen Partei angebotenen Ver</w:t>
      </w:r>
      <w:r w:rsidR="008E5BFF" w:rsidRPr="004676F5">
        <w:rPr>
          <w:spacing w:val="-4"/>
          <w:lang w:val="de-DE"/>
        </w:rPr>
        <w:softHyphen/>
      </w:r>
      <w:r w:rsidR="003F0B4D" w:rsidRPr="004676F5">
        <w:rPr>
          <w:spacing w:val="-4"/>
          <w:lang w:val="de-DE"/>
        </w:rPr>
        <w:t>pflichtungs</w:t>
      </w:r>
      <w:r w:rsidR="008E5BFF" w:rsidRPr="004676F5">
        <w:rPr>
          <w:spacing w:val="-4"/>
          <w:lang w:val="de-DE"/>
        </w:rPr>
        <w:softHyphen/>
      </w:r>
      <w:r w:rsidR="003F0B4D" w:rsidRPr="004676F5">
        <w:rPr>
          <w:spacing w:val="-4"/>
          <w:lang w:val="de-DE"/>
        </w:rPr>
        <w:t xml:space="preserve">zusagen, die er für bindend erklärt, geeignet sind, seine Bedenken auszuräumen. Eine solche </w:t>
      </w:r>
      <w:r w:rsidR="003F0B4D" w:rsidRPr="004676F5">
        <w:rPr>
          <w:spacing w:val="-4"/>
          <w:lang w:val="de-DE"/>
        </w:rPr>
        <w:lastRenderedPageBreak/>
        <w:t>Entscheidung kann befristet sein. Der Generalauditor kann auf der Grundlage neuer Elemente oder Entwicklungen die Untersuchung gegenüber einer betroffenen Partei wieder aufnehmen,</w:t>
      </w:r>
      <w:r w:rsidR="003F0B4D" w:rsidRPr="004676F5">
        <w:rPr>
          <w:rFonts w:eastAsia="Calibri"/>
          <w:spacing w:val="-4"/>
          <w:kern w:val="2"/>
          <w:szCs w:val="22"/>
          <w:lang w:val="de-DE" w:eastAsia="en-US"/>
          <w14:ligatures w14:val="standardContextual"/>
        </w:rPr>
        <w:t>]</w:t>
      </w:r>
    </w:p>
    <w:p w14:paraId="4681AD34" w14:textId="77777777" w:rsidR="00BE3682" w:rsidRPr="004676F5" w:rsidRDefault="00BE3682" w:rsidP="00BE3682">
      <w:pPr>
        <w:jc w:val="both"/>
        <w:rPr>
          <w:rFonts w:eastAsia="Calibri"/>
          <w:kern w:val="2"/>
          <w:lang w:val="de-DE" w:eastAsia="en-US"/>
          <w14:ligatures w14:val="standardContextual"/>
        </w:rPr>
      </w:pPr>
    </w:p>
    <w:p w14:paraId="77DE6C7E" w14:textId="145E5B16"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w:t>
      </w:r>
      <w:r w:rsidR="003F0B4D" w:rsidRPr="004676F5">
        <w:rPr>
          <w:rFonts w:eastAsia="Calibri"/>
          <w:kern w:val="2"/>
          <w:szCs w:val="22"/>
          <w:lang w:val="de-DE" w:eastAsia="en-US"/>
          <w14:ligatures w14:val="standardContextual"/>
        </w:rPr>
        <w:t>[</w:t>
      </w:r>
      <w:r w:rsidR="003F0B4D" w:rsidRPr="004676F5">
        <w:rPr>
          <w:lang w:val="de-DE"/>
        </w:rPr>
        <w:t>wenn die Sache nicht als Priorität betrachtet wird oder in Anbetracht der verfügbaren Mittel keine Untersuchung rechtfertigt.</w:t>
      </w:r>
      <w:r w:rsidR="003F0B4D" w:rsidRPr="004676F5">
        <w:rPr>
          <w:rFonts w:eastAsia="Calibri"/>
          <w:kern w:val="2"/>
          <w:szCs w:val="22"/>
          <w:lang w:val="de-DE" w:eastAsia="en-US"/>
          <w14:ligatures w14:val="standardContextual"/>
        </w:rPr>
        <w:t>]</w:t>
      </w:r>
    </w:p>
    <w:p w14:paraId="2AF51E5A" w14:textId="77777777" w:rsidR="00BE3682" w:rsidRPr="004676F5" w:rsidRDefault="00BE3682" w:rsidP="00BE3682">
      <w:pPr>
        <w:jc w:val="both"/>
        <w:rPr>
          <w:rFonts w:eastAsia="Calibri"/>
          <w:kern w:val="2"/>
          <w:lang w:val="de-DE" w:eastAsia="en-US"/>
          <w14:ligatures w14:val="standardContextual"/>
        </w:rPr>
      </w:pPr>
    </w:p>
    <w:p w14:paraId="189A30D9" w14:textId="179EC17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Eine Entscheidung zur Verfahrenseinstellung beeinträchtigt nicht die Möglichkeit der Gerichte, für die Vergangenheit </w:t>
      </w:r>
      <w:r w:rsidR="003F0B4D" w:rsidRPr="004676F5">
        <w:rPr>
          <w:rFonts w:eastAsia="Calibri"/>
          <w:kern w:val="2"/>
          <w:szCs w:val="22"/>
          <w:lang w:val="de-DE" w:eastAsia="en-US"/>
          <w14:ligatures w14:val="standardContextual"/>
        </w:rPr>
        <w:t>[Zuwiderhandlungen gegen das Wettbewerbsrecht]</w:t>
      </w:r>
      <w:r w:rsidRPr="004676F5">
        <w:rPr>
          <w:rFonts w:eastAsia="Calibri"/>
          <w:kern w:val="2"/>
          <w:szCs w:val="22"/>
          <w:lang w:val="de-DE" w:eastAsia="en-US"/>
          <w14:ligatures w14:val="standardContextual"/>
        </w:rPr>
        <w:t xml:space="preserve"> festzustellen. Verpflichtungszusagen können nicht als nachteilige Anerkennung seitens der betroffenen Partei ausgelegt werden.</w:t>
      </w:r>
    </w:p>
    <w:p w14:paraId="6E50B99D" w14:textId="77777777" w:rsidR="00BE3682" w:rsidRPr="004676F5" w:rsidRDefault="00BE3682" w:rsidP="00BE3682">
      <w:pPr>
        <w:jc w:val="both"/>
        <w:rPr>
          <w:rFonts w:eastAsia="Calibri"/>
          <w:kern w:val="2"/>
          <w:lang w:val="de-DE" w:eastAsia="en-US"/>
          <w14:ligatures w14:val="standardContextual"/>
        </w:rPr>
      </w:pPr>
    </w:p>
    <w:p w14:paraId="29EDB28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notifiziert dem Kläger, dem Antragsteller oder dem Urheber der Anweisung und den betroffenen Parteien die Entscheidung zur Verfahrenseinstellung. Er teilt ihnen mit, dass sie beim Sekretariat die Unterlagen und Angaben der Untersuchungsakte einsehen können, auf die sich der Auditor in seiner Entscheidung zur Verfahrenseinstellung stützt, sie gegen Zahlung eine elektronische Abschrift davon erhalten können und sie Beschwerde gegen die Entscheidung zur Verfahrenseinstellung beim Präsidenten einreichen können.</w:t>
      </w:r>
    </w:p>
    <w:p w14:paraId="1EE592B9" w14:textId="77777777" w:rsidR="00BE3682" w:rsidRPr="004676F5" w:rsidRDefault="00BE3682" w:rsidP="00BE3682">
      <w:pPr>
        <w:jc w:val="both"/>
        <w:rPr>
          <w:rFonts w:eastAsia="Calibri"/>
          <w:kern w:val="2"/>
          <w:lang w:val="de-DE" w:eastAsia="en-US"/>
          <w14:ligatures w14:val="standardContextual"/>
        </w:rPr>
      </w:pPr>
    </w:p>
    <w:p w14:paraId="683A7BD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Die Beschwerde gegen die Entscheidung zur Verfahrenseinstellung wird zur Vermeidung der Unzulässigkeit durch einen mit Gründen versehenen und unterzeichneten Antrag, der innerhalb einer Frist von einem Monat ab Notifizierung der Entscheidung beim Sekretariat hinterlegt wird, eingereicht. Zur Vermeidung der Nichtigkeit erfüllt der Antrag die in Artikel IV.90 § 5 Absatz 2 und 3 vorgesehenen Bedingungen.</w:t>
      </w:r>
    </w:p>
    <w:p w14:paraId="26AE4053" w14:textId="77777777" w:rsidR="00BE3682" w:rsidRPr="004676F5" w:rsidRDefault="00BE3682" w:rsidP="00BE3682">
      <w:pPr>
        <w:jc w:val="both"/>
        <w:rPr>
          <w:rFonts w:eastAsia="Calibri"/>
          <w:kern w:val="2"/>
          <w:lang w:val="de-DE" w:eastAsia="en-US"/>
          <w14:ligatures w14:val="standardContextual"/>
        </w:rPr>
      </w:pPr>
    </w:p>
    <w:p w14:paraId="05E679B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Der Präsident bildet das Wettbewerbskollegium, das sich mit der Beschwerde befasst.</w:t>
      </w:r>
    </w:p>
    <w:p w14:paraId="75D8E302" w14:textId="77777777" w:rsidR="00BE3682" w:rsidRPr="004676F5" w:rsidRDefault="00BE3682" w:rsidP="00BE3682">
      <w:pPr>
        <w:jc w:val="both"/>
        <w:rPr>
          <w:rFonts w:eastAsia="Calibri"/>
          <w:kern w:val="2"/>
          <w:lang w:val="de-DE" w:eastAsia="en-US"/>
          <w14:ligatures w14:val="standardContextual"/>
        </w:rPr>
      </w:pPr>
    </w:p>
    <w:p w14:paraId="1C89A908" w14:textId="1074025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Präsident des Wettbewerbskollegiums legt die Fristen fest, in denen die betroffenen Parteien, der Kläger, der Antragsteller oder der Urheber der Anweisung schriftliche Anmerkungen hinterlegen können. Er befindet gegebenenfalls über die Vertraulichkeit der Unterlagen und Angaben.</w:t>
      </w:r>
    </w:p>
    <w:p w14:paraId="6826618F" w14:textId="77777777" w:rsidR="00BE3682" w:rsidRPr="004676F5" w:rsidRDefault="00BE3682" w:rsidP="00BE3682">
      <w:pPr>
        <w:jc w:val="both"/>
        <w:rPr>
          <w:rFonts w:eastAsia="Calibri"/>
          <w:kern w:val="2"/>
          <w:lang w:val="de-DE" w:eastAsia="en-US"/>
          <w14:ligatures w14:val="standardContextual"/>
        </w:rPr>
      </w:pPr>
    </w:p>
    <w:p w14:paraId="237999F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Bei einer Entscheidung zur Verfahrenseinstellung aufgrund der Prioritätenpolitik oder der verfügbaren Mittel kann der Präsident des Wettbewerbskollegiums auf Antrag der beschwerdeführenden Partei und sofern schwerwiegende Gründe angeführt werden, beschließen, dass der Auditor seine Begründung erläutern muss, bevor das Wettbewerbskollegium über die Beschwerde befindet.</w:t>
      </w:r>
    </w:p>
    <w:p w14:paraId="0B158676" w14:textId="77777777" w:rsidR="00BE3682" w:rsidRPr="004676F5" w:rsidRDefault="00BE3682" w:rsidP="00BE3682">
      <w:pPr>
        <w:jc w:val="both"/>
        <w:rPr>
          <w:rFonts w:eastAsia="Calibri"/>
          <w:kern w:val="2"/>
          <w:lang w:val="de-DE" w:eastAsia="en-US"/>
          <w14:ligatures w14:val="standardContextual"/>
        </w:rPr>
      </w:pPr>
    </w:p>
    <w:p w14:paraId="53D4008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Wettbewerbskollegium befindet auf der Grundlage der Schriftstücke, es sei denn, der Präsident des Wettbewerbskollegiums beschließt die Anhörung der Parteien. Hält das Wettbewerbskollegium die Beschwerde für begründet, wird die Akte an den Auditor zurückverwiesen.</w:t>
      </w:r>
    </w:p>
    <w:p w14:paraId="07254CEF" w14:textId="77777777" w:rsidR="00BE3682" w:rsidRPr="004676F5" w:rsidRDefault="00BE3682" w:rsidP="00BE3682">
      <w:pPr>
        <w:jc w:val="both"/>
        <w:rPr>
          <w:rFonts w:eastAsia="Calibri"/>
          <w:kern w:val="2"/>
          <w:lang w:val="de-DE" w:eastAsia="en-US"/>
          <w14:ligatures w14:val="standardContextual"/>
        </w:rPr>
      </w:pPr>
    </w:p>
    <w:p w14:paraId="3D05130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Gegen die Entscheidung des Wettbewerbskollegiums kann keine Beschwerde eingereicht werden.</w:t>
      </w:r>
    </w:p>
    <w:p w14:paraId="06B8328A" w14:textId="77777777" w:rsidR="00BE3682" w:rsidRPr="004676F5" w:rsidRDefault="00BE3682" w:rsidP="00BE3682">
      <w:pPr>
        <w:rPr>
          <w:rFonts w:eastAsia="Calibri"/>
          <w:kern w:val="2"/>
          <w:lang w:val="de-DE" w:eastAsia="en-US"/>
          <w14:ligatures w14:val="standardContextual"/>
        </w:rPr>
      </w:pPr>
    </w:p>
    <w:p w14:paraId="42B1275E" w14:textId="0906BD62" w:rsidR="003F0B4D" w:rsidRPr="004676F5" w:rsidRDefault="003F0B4D" w:rsidP="0058577B">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w:t>
      </w:r>
      <w:r w:rsidR="00A234B5" w:rsidRPr="004676F5">
        <w:rPr>
          <w:rFonts w:eastAsia="Calibri"/>
          <w:i/>
          <w:iCs/>
          <w:kern w:val="2"/>
          <w:lang w:val="de-DE" w:eastAsia="en-US"/>
          <w14:ligatures w14:val="standardContextual"/>
        </w:rPr>
        <w:t> </w:t>
      </w:r>
      <w:r w:rsidRPr="004676F5">
        <w:rPr>
          <w:rFonts w:eastAsia="Calibri"/>
          <w:i/>
          <w:iCs/>
          <w:kern w:val="2"/>
          <w:lang w:val="de-DE" w:eastAsia="en-US"/>
          <w14:ligatures w14:val="standardContextual"/>
        </w:rPr>
        <w:t>IV.44 § 1 Abs. 1 Nr. 1 abgeändert durch Art. 26 Nr.</w:t>
      </w:r>
      <w:r w:rsidR="00ED0C8C" w:rsidRPr="004676F5">
        <w:rPr>
          <w:rFonts w:eastAsia="Calibri"/>
          <w:i/>
          <w:iCs/>
          <w:kern w:val="2"/>
          <w:lang w:val="de-DE" w:eastAsia="en-US"/>
          <w14:ligatures w14:val="standardContextual"/>
        </w:rPr>
        <w:t> </w:t>
      </w:r>
      <w:r w:rsidRPr="004676F5">
        <w:rPr>
          <w:rFonts w:eastAsia="Calibri"/>
          <w:i/>
          <w:iCs/>
          <w:kern w:val="2"/>
          <w:lang w:val="de-DE" w:eastAsia="en-US"/>
          <w14:ligatures w14:val="standardContextual"/>
        </w:rPr>
        <w:t xml:space="preserve">1 des G. vom 28. Februar 2022 (B.S. vom 7. März 2022); </w:t>
      </w:r>
      <w:r w:rsidR="008E5BFF" w:rsidRPr="004676F5">
        <w:rPr>
          <w:rFonts w:eastAsia="Calibri"/>
          <w:i/>
          <w:iCs/>
          <w:kern w:val="2"/>
          <w:lang w:val="de-DE" w:eastAsia="en-US"/>
          <w14:ligatures w14:val="standardContextual"/>
        </w:rPr>
        <w:t xml:space="preserve">§ 1 </w:t>
      </w:r>
      <w:r w:rsidR="0058577B" w:rsidRPr="004676F5">
        <w:rPr>
          <w:rFonts w:eastAsia="Calibri"/>
          <w:i/>
          <w:iCs/>
          <w:kern w:val="2"/>
          <w:lang w:val="de-DE" w:eastAsia="en-US"/>
          <w14:ligatures w14:val="standardContextual"/>
        </w:rPr>
        <w:t xml:space="preserve">Abs. 1 Nr. 2 ersetzt durch Art. 26 Nr. 2 des G. vom 28. Februar 2022 (B.S. vom 7. März 2022); </w:t>
      </w:r>
      <w:r w:rsidR="008E5BFF" w:rsidRPr="004676F5">
        <w:rPr>
          <w:rFonts w:eastAsia="Calibri"/>
          <w:i/>
          <w:iCs/>
          <w:kern w:val="2"/>
          <w:lang w:val="de-DE" w:eastAsia="en-US"/>
          <w14:ligatures w14:val="standardContextual"/>
        </w:rPr>
        <w:t xml:space="preserve">§ 1 </w:t>
      </w:r>
      <w:r w:rsidR="0058577B" w:rsidRPr="004676F5">
        <w:rPr>
          <w:rFonts w:eastAsia="Calibri"/>
          <w:i/>
          <w:iCs/>
          <w:kern w:val="2"/>
          <w:lang w:val="de-DE" w:eastAsia="en-US"/>
          <w14:ligatures w14:val="standardContextual"/>
        </w:rPr>
        <w:t xml:space="preserve">Abs. 1 Nr. 3 ersetzt durch Art. 26 Nr. 3 des G. vom 28. Februar 2022 (B.S. vom 7. März 2022); </w:t>
      </w:r>
      <w:r w:rsidR="008E5BFF" w:rsidRPr="004676F5">
        <w:rPr>
          <w:rFonts w:eastAsia="Calibri"/>
          <w:i/>
          <w:iCs/>
          <w:kern w:val="2"/>
          <w:lang w:val="de-DE" w:eastAsia="en-US"/>
          <w14:ligatures w14:val="standardContextual"/>
        </w:rPr>
        <w:t xml:space="preserve">§ 1 </w:t>
      </w:r>
      <w:r w:rsidR="0058577B" w:rsidRPr="004676F5">
        <w:rPr>
          <w:rFonts w:eastAsia="Calibri"/>
          <w:i/>
          <w:iCs/>
          <w:kern w:val="2"/>
          <w:lang w:val="de-DE" w:eastAsia="en-US"/>
          <w14:ligatures w14:val="standardContextual"/>
        </w:rPr>
        <w:t>Abs. 2 abgeändert durch Art. 26 Nr. 4 des G. vom 28. Februar 2022 (B.S. vom 7. März 2022)]</w:t>
      </w:r>
    </w:p>
    <w:p w14:paraId="0C0560CA" w14:textId="77777777" w:rsidR="007854CD" w:rsidRPr="004676F5" w:rsidRDefault="007854CD" w:rsidP="00BE3682">
      <w:pPr>
        <w:rPr>
          <w:rFonts w:eastAsia="Calibri"/>
          <w:kern w:val="2"/>
          <w:lang w:val="de-DE" w:eastAsia="en-US"/>
          <w14:ligatures w14:val="standardContextual"/>
        </w:rPr>
      </w:pPr>
    </w:p>
    <w:p w14:paraId="12264C25" w14:textId="77777777" w:rsidR="0058577B" w:rsidRPr="004676F5" w:rsidRDefault="0058577B" w:rsidP="00BE3682">
      <w:pPr>
        <w:rPr>
          <w:rFonts w:eastAsia="Calibri"/>
          <w:kern w:val="2"/>
          <w:lang w:val="de-DE" w:eastAsia="en-US"/>
          <w14:ligatures w14:val="standardContextual"/>
        </w:rPr>
      </w:pPr>
    </w:p>
    <w:p w14:paraId="63778BAF" w14:textId="62895D0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IV.45</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Auditor kann nach Stellungnahme des Auditor-Beraters beschließen, eine Untersuchung von Amts wegen in Bezug auf einige oder alle betroffenen Parteien teilweise oder vollständig einzustellen:</w:t>
      </w:r>
    </w:p>
    <w:p w14:paraId="7C369136" w14:textId="77777777" w:rsidR="00BE3682" w:rsidRPr="004676F5" w:rsidRDefault="00BE3682" w:rsidP="00BE3682">
      <w:pPr>
        <w:jc w:val="both"/>
        <w:rPr>
          <w:rFonts w:eastAsia="Calibri"/>
          <w:kern w:val="2"/>
          <w:lang w:val="de-DE" w:eastAsia="en-US"/>
          <w14:ligatures w14:val="standardContextual"/>
        </w:rPr>
      </w:pPr>
    </w:p>
    <w:p w14:paraId="546DC03F" w14:textId="4F2FCA3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1. wenn er zu dem Schluss kommt, dass die Ergebnisse der von Amts wegen durchgeführten Untersuchung nicht ausreichen, um das Vorliegen einer mutmaßlichen </w:t>
      </w:r>
      <w:r w:rsidR="0058577B" w:rsidRPr="004676F5">
        <w:rPr>
          <w:rFonts w:eastAsia="Calibri"/>
          <w:kern w:val="2"/>
          <w:szCs w:val="22"/>
          <w:lang w:val="de-DE" w:eastAsia="en-US"/>
          <w14:ligatures w14:val="standardContextual"/>
        </w:rPr>
        <w:t>[Zuwiderhandlung gegen das Wettbewerbsrecht]</w:t>
      </w:r>
      <w:r w:rsidRPr="004676F5">
        <w:rPr>
          <w:rFonts w:eastAsia="Calibri"/>
          <w:kern w:val="2"/>
          <w:szCs w:val="22"/>
          <w:lang w:val="de-DE" w:eastAsia="en-US"/>
          <w14:ligatures w14:val="standardContextual"/>
        </w:rPr>
        <w:t xml:space="preserve"> oder die Nichteinhaltung einer Entscheidung hinreichend zu belegen,</w:t>
      </w:r>
    </w:p>
    <w:p w14:paraId="11752601" w14:textId="77777777" w:rsidR="00BE3682" w:rsidRPr="004676F5" w:rsidRDefault="00BE3682" w:rsidP="00BE3682">
      <w:pPr>
        <w:jc w:val="both"/>
        <w:rPr>
          <w:rFonts w:eastAsia="Calibri"/>
          <w:kern w:val="2"/>
          <w:lang w:val="de-DE" w:eastAsia="en-US"/>
          <w14:ligatures w14:val="standardContextual"/>
        </w:rPr>
      </w:pPr>
    </w:p>
    <w:p w14:paraId="01306929" w14:textId="5F4CAB72" w:rsidR="0058577B" w:rsidRPr="004676F5" w:rsidRDefault="00BE3682" w:rsidP="0058577B">
      <w:pPr>
        <w:jc w:val="both"/>
        <w:rPr>
          <w:lang w:val="de-DE"/>
        </w:rPr>
      </w:pPr>
      <w:r w:rsidRPr="004676F5">
        <w:rPr>
          <w:rFonts w:eastAsia="Calibri"/>
          <w:kern w:val="2"/>
          <w:szCs w:val="22"/>
          <w:lang w:val="de-DE" w:eastAsia="en-US"/>
          <w14:ligatures w14:val="standardContextual"/>
        </w:rPr>
        <w:tab/>
        <w:t>2. </w:t>
      </w:r>
      <w:r w:rsidR="0058577B" w:rsidRPr="004676F5">
        <w:rPr>
          <w:rFonts w:eastAsia="Calibri"/>
          <w:kern w:val="2"/>
          <w:szCs w:val="22"/>
          <w:lang w:val="de-DE" w:eastAsia="en-US"/>
          <w14:ligatures w14:val="standardContextual"/>
        </w:rPr>
        <w:t>[</w:t>
      </w:r>
      <w:r w:rsidR="0058577B" w:rsidRPr="004676F5">
        <w:rPr>
          <w:lang w:val="de-DE"/>
        </w:rPr>
        <w:t>wenn er nach formeller oder informeller Einholung von Stellungnahmen der Marktteilnehmer zu dem Schluss kommt, dass die von einer betroffenen Partei angebotenen Verpflichtungszusagen, die er für bindend erklärt, geeignet sind, seine Bedenken auszuräumen. Eine solche Entscheidung kann befristet sein,]</w:t>
      </w:r>
    </w:p>
    <w:p w14:paraId="393EF162" w14:textId="77777777" w:rsidR="0058577B" w:rsidRPr="004676F5" w:rsidRDefault="0058577B" w:rsidP="0058577B">
      <w:pPr>
        <w:jc w:val="both"/>
        <w:rPr>
          <w:lang w:val="de-DE"/>
        </w:rPr>
      </w:pPr>
    </w:p>
    <w:p w14:paraId="563FA42B" w14:textId="6AF28D7D" w:rsidR="00BE3682" w:rsidRPr="004676F5" w:rsidRDefault="0058577B" w:rsidP="0058577B">
      <w:pPr>
        <w:ind w:firstLine="708"/>
        <w:jc w:val="both"/>
        <w:rPr>
          <w:rFonts w:eastAsia="Calibri"/>
          <w:kern w:val="2"/>
          <w:lang w:val="de-DE" w:eastAsia="en-US"/>
          <w14:ligatures w14:val="standardContextual"/>
        </w:rPr>
      </w:pPr>
      <w:r w:rsidRPr="004676F5">
        <w:rPr>
          <w:lang w:val="de-DE"/>
        </w:rPr>
        <w:t>[3. wenn die Sache nicht als Priorität betrachtet wird oder in Anbetracht der verfügbaren Mittel keine Untersuchung rechtfertigt.</w:t>
      </w:r>
      <w:r w:rsidRPr="004676F5">
        <w:rPr>
          <w:rFonts w:eastAsia="Calibri"/>
          <w:kern w:val="2"/>
          <w:szCs w:val="22"/>
          <w:lang w:val="de-DE" w:eastAsia="en-US"/>
          <w14:ligatures w14:val="standardContextual"/>
        </w:rPr>
        <w:t>]</w:t>
      </w:r>
    </w:p>
    <w:p w14:paraId="6289DB1D" w14:textId="77777777" w:rsidR="00BE3682" w:rsidRPr="004676F5" w:rsidRDefault="00BE3682" w:rsidP="00BE3682">
      <w:pPr>
        <w:jc w:val="both"/>
        <w:rPr>
          <w:rFonts w:eastAsia="Calibri"/>
          <w:kern w:val="2"/>
          <w:lang w:val="de-DE" w:eastAsia="en-US"/>
          <w14:ligatures w14:val="standardContextual"/>
        </w:rPr>
      </w:pPr>
    </w:p>
    <w:p w14:paraId="5DA7CB0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Generalauditor kann auf der Grundlage neuer Elemente oder Entwicklungen die Untersuchung gegenüber einer betroffenen Partei wieder aufnehmen.</w:t>
      </w:r>
    </w:p>
    <w:p w14:paraId="092520DE" w14:textId="77777777" w:rsidR="00BE3682" w:rsidRPr="004676F5" w:rsidRDefault="00BE3682" w:rsidP="00BE3682">
      <w:pPr>
        <w:jc w:val="both"/>
        <w:rPr>
          <w:rFonts w:eastAsia="Calibri"/>
          <w:kern w:val="2"/>
          <w:lang w:val="de-DE" w:eastAsia="en-US"/>
          <w14:ligatures w14:val="standardContextual"/>
        </w:rPr>
      </w:pPr>
    </w:p>
    <w:p w14:paraId="706A9D24" w14:textId="04BD0A2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Eine Entscheidung zur Einstellung einer Untersuchung von Amts wegen beeinträchtigt nicht die Möglichkeit der Gerichte, für die Vergangenheit </w:t>
      </w:r>
      <w:r w:rsidR="00741D66" w:rsidRPr="004676F5">
        <w:rPr>
          <w:rFonts w:eastAsia="Calibri"/>
          <w:kern w:val="2"/>
          <w:szCs w:val="22"/>
          <w:lang w:val="de-DE" w:eastAsia="en-US"/>
          <w14:ligatures w14:val="standardContextual"/>
        </w:rPr>
        <w:t>[Zuwiderhandlungen gegen das Wettbewerbsrecht]</w:t>
      </w:r>
      <w:r w:rsidRPr="004676F5">
        <w:rPr>
          <w:rFonts w:eastAsia="Calibri"/>
          <w:kern w:val="2"/>
          <w:szCs w:val="22"/>
          <w:lang w:val="de-DE" w:eastAsia="en-US"/>
          <w14:ligatures w14:val="standardContextual"/>
        </w:rPr>
        <w:t xml:space="preserve"> festzustellen. Verpflichtungszusagen können nicht als nachteilige Anerkennung seitens der betroffenen Partei ausgelegt werden.</w:t>
      </w:r>
    </w:p>
    <w:p w14:paraId="451B6CA2" w14:textId="77777777" w:rsidR="00BE3682" w:rsidRPr="004676F5" w:rsidRDefault="00BE3682" w:rsidP="00BE3682">
      <w:pPr>
        <w:jc w:val="both"/>
        <w:rPr>
          <w:rFonts w:eastAsia="Calibri"/>
          <w:kern w:val="2"/>
          <w:lang w:val="de-DE" w:eastAsia="en-US"/>
          <w14:ligatures w14:val="standardContextual"/>
        </w:rPr>
      </w:pPr>
    </w:p>
    <w:p w14:paraId="482354BF"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Gegen die Entscheidung zur Einstellung der Untersuchung von Amts wegen kann keine Beschwerde eingelegt werden.</w:t>
      </w:r>
    </w:p>
    <w:p w14:paraId="5D2D156E" w14:textId="77777777" w:rsidR="00741D66" w:rsidRPr="004676F5" w:rsidRDefault="00741D66" w:rsidP="00BE3682">
      <w:pPr>
        <w:jc w:val="both"/>
        <w:rPr>
          <w:rFonts w:eastAsia="Calibri"/>
          <w:kern w:val="2"/>
          <w:szCs w:val="22"/>
          <w:lang w:val="de-DE" w:eastAsia="en-US"/>
          <w14:ligatures w14:val="standardContextual"/>
        </w:rPr>
      </w:pPr>
    </w:p>
    <w:p w14:paraId="6DC4CC35" w14:textId="2A084306" w:rsidR="00741D66" w:rsidRPr="004676F5" w:rsidRDefault="00741D66" w:rsidP="00BE3682">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IV.45 Abs. 1 Nr. 1 ersetzt durch Art. 27 Nr. 2 des G. vom 28. Februar 2022 (B.S. vom 7. März 2022); Abs. 1 Nr. 2 ersetzt durch Art. 27 Nr. 3 des G. vom 28. Februar 2022 (B.S. vom 7. März 2022); Abs. 1 Nr. 3 eingefügt durch Art. 2</w:t>
      </w:r>
      <w:r w:rsidR="00A2647A" w:rsidRPr="004676F5">
        <w:rPr>
          <w:rFonts w:eastAsia="Calibri"/>
          <w:i/>
          <w:iCs/>
          <w:kern w:val="2"/>
          <w:szCs w:val="22"/>
          <w:lang w:val="de-DE" w:eastAsia="en-US"/>
          <w14:ligatures w14:val="standardContextual"/>
        </w:rPr>
        <w:t>7</w:t>
      </w:r>
      <w:r w:rsidRPr="004676F5">
        <w:rPr>
          <w:rFonts w:eastAsia="Calibri"/>
          <w:i/>
          <w:iCs/>
          <w:kern w:val="2"/>
          <w:szCs w:val="22"/>
          <w:lang w:val="de-DE" w:eastAsia="en-US"/>
          <w14:ligatures w14:val="standardContextual"/>
        </w:rPr>
        <w:t xml:space="preserve"> Nr. 4 des G. vom 28. Februar 2022 (B.S. vom 7. März 2022); Abs. 3 abgeändert durch Art. 2</w:t>
      </w:r>
      <w:r w:rsidR="00A2647A" w:rsidRPr="004676F5">
        <w:rPr>
          <w:rFonts w:eastAsia="Calibri"/>
          <w:i/>
          <w:iCs/>
          <w:kern w:val="2"/>
          <w:szCs w:val="22"/>
          <w:lang w:val="de-DE" w:eastAsia="en-US"/>
          <w14:ligatures w14:val="standardContextual"/>
        </w:rPr>
        <w:t>7</w:t>
      </w:r>
      <w:r w:rsidRPr="004676F5">
        <w:rPr>
          <w:rFonts w:eastAsia="Calibri"/>
          <w:i/>
          <w:iCs/>
          <w:kern w:val="2"/>
          <w:szCs w:val="22"/>
          <w:lang w:val="de-DE" w:eastAsia="en-US"/>
          <w14:ligatures w14:val="standardContextual"/>
        </w:rPr>
        <w:t xml:space="preserve"> Nr. 5 des G. vom 28. Februar 2022 (B.S. vom 7. März 2022)]</w:t>
      </w:r>
    </w:p>
    <w:p w14:paraId="0E7711AF" w14:textId="77777777" w:rsidR="00BE3682" w:rsidRPr="004676F5" w:rsidRDefault="00BE3682" w:rsidP="00BE3682">
      <w:pPr>
        <w:jc w:val="both"/>
        <w:rPr>
          <w:rFonts w:eastAsia="Calibri"/>
          <w:kern w:val="2"/>
          <w:lang w:val="de-DE" w:eastAsia="en-US"/>
          <w14:ligatures w14:val="standardContextual"/>
        </w:rPr>
      </w:pPr>
    </w:p>
    <w:p w14:paraId="65F68278" w14:textId="77777777" w:rsidR="007854CD" w:rsidRPr="004676F5" w:rsidRDefault="007854CD" w:rsidP="00BE3682">
      <w:pPr>
        <w:jc w:val="both"/>
        <w:rPr>
          <w:rFonts w:eastAsia="Calibri"/>
          <w:kern w:val="2"/>
          <w:lang w:val="de-DE" w:eastAsia="en-US"/>
          <w14:ligatures w14:val="standardContextual"/>
        </w:rPr>
      </w:pPr>
    </w:p>
    <w:p w14:paraId="08EE2871" w14:textId="2C040B94"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IV.46</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 1 ­ </w:t>
      </w:r>
      <w:r w:rsidR="00CD6ED7" w:rsidRPr="004676F5">
        <w:rPr>
          <w:rFonts w:eastAsia="Calibri"/>
          <w:kern w:val="2"/>
          <w:szCs w:val="22"/>
          <w:lang w:val="de-DE" w:eastAsia="en-US"/>
          <w14:ligatures w14:val="standardContextual"/>
        </w:rPr>
        <w:t>[</w:t>
      </w:r>
      <w:r w:rsidR="00CD6ED7" w:rsidRPr="004676F5">
        <w:rPr>
          <w:lang w:val="de-DE"/>
        </w:rPr>
        <w:t>Hält der Auditor eine Klage, einen Antrag, eine Anweisung oder eine Untersuchung von Amts wegen für begründet, teilt er nach Stellungnahme des Auditor-Beraters den betroffenen Parteien die gegen sie berücksichtigten, mit Gründen versehenen Beschwerdegründe mit und teilt er ihnen mit, dass sie die Untersuchungsakte, so wie sie zum Zeitpunkt der Mitteilung der Beschwerdegründe angelegt worden ist, beim Sekretariat einsehen und gegen Zahlung eine elektronische Abschrift davon erhalten können. Er räumt ihnen eine Frist von mindestens zwei Monaten ein, um auf die Beschwerdegründe zu antworten und ihre Schriftstücke beim Sekretariat zu hinterlegen. Der Auditor kann diese Frist auf einen mit Gründen versehenen Antrag einer betroffenen Partei verlängern.</w:t>
      </w:r>
      <w:r w:rsidR="00CD6ED7" w:rsidRPr="004676F5">
        <w:rPr>
          <w:rFonts w:eastAsia="Calibri"/>
          <w:kern w:val="2"/>
          <w:szCs w:val="22"/>
          <w:lang w:val="de-DE" w:eastAsia="en-US"/>
          <w14:ligatures w14:val="standardContextual"/>
        </w:rPr>
        <w:t>]</w:t>
      </w:r>
    </w:p>
    <w:p w14:paraId="33921D91" w14:textId="77777777" w:rsidR="00BE3682" w:rsidRPr="004676F5" w:rsidRDefault="00BE3682" w:rsidP="00BE3682">
      <w:pPr>
        <w:jc w:val="both"/>
        <w:rPr>
          <w:rFonts w:eastAsia="Calibri"/>
          <w:kern w:val="2"/>
          <w:lang w:val="de-DE" w:eastAsia="en-US"/>
          <w14:ligatures w14:val="standardContextual"/>
        </w:rPr>
      </w:pPr>
    </w:p>
    <w:p w14:paraId="07850518" w14:textId="22387843"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00CD6ED7" w:rsidRPr="004676F5">
        <w:rPr>
          <w:rFonts w:eastAsia="Calibri"/>
          <w:kern w:val="2"/>
          <w:szCs w:val="22"/>
          <w:lang w:val="de-DE" w:eastAsia="en-US"/>
          <w14:ligatures w14:val="standardContextual"/>
        </w:rPr>
        <w:t>[…]</w:t>
      </w:r>
    </w:p>
    <w:p w14:paraId="15210CCA" w14:textId="77777777" w:rsidR="00BE3682" w:rsidRPr="004676F5" w:rsidRDefault="00BE3682" w:rsidP="00BE3682">
      <w:pPr>
        <w:jc w:val="both"/>
        <w:rPr>
          <w:rFonts w:eastAsia="Calibri"/>
          <w:kern w:val="2"/>
          <w:lang w:val="de-DE" w:eastAsia="en-US"/>
          <w14:ligatures w14:val="standardContextual"/>
        </w:rPr>
      </w:pPr>
    </w:p>
    <w:p w14:paraId="2FF4552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Beschwerdegründe gegenüber einer betroffenen Partei können sich nicht auf Unterlagen und Angaben stützen, die ihr gegenüber vertraulich sind.</w:t>
      </w:r>
    </w:p>
    <w:p w14:paraId="4B73CD13" w14:textId="77777777" w:rsidR="00BE3682" w:rsidRPr="004676F5" w:rsidRDefault="00BE3682" w:rsidP="00BE3682">
      <w:pPr>
        <w:jc w:val="both"/>
        <w:rPr>
          <w:rFonts w:eastAsia="Calibri"/>
          <w:kern w:val="2"/>
          <w:lang w:val="de-DE" w:eastAsia="en-US"/>
          <w14:ligatures w14:val="standardContextual"/>
        </w:rPr>
      </w:pPr>
    </w:p>
    <w:p w14:paraId="348F412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Eine betroffene Partei kann innerhalb der in Absatz 1 erwähnten Antwortfrist Verpflichtungszusagen anbieten.</w:t>
      </w:r>
    </w:p>
    <w:p w14:paraId="76C404B4" w14:textId="77777777" w:rsidR="00BE3682" w:rsidRPr="004676F5" w:rsidRDefault="00BE3682" w:rsidP="00BE3682">
      <w:pPr>
        <w:jc w:val="both"/>
        <w:rPr>
          <w:rFonts w:eastAsia="Calibri"/>
          <w:kern w:val="2"/>
          <w:lang w:val="de-DE" w:eastAsia="en-US"/>
          <w14:ligatures w14:val="standardContextual"/>
        </w:rPr>
      </w:pPr>
    </w:p>
    <w:p w14:paraId="5C012060" w14:textId="15CBA30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Der Auditor kann in einer Frist von zwei Monaten nach Ablauf der in § 1 Absatz 1 erwähnten Antwortfrist nach Stellungnahme des Auditor-Beraters beschließen, eine Untersuchung in Bezug auf eine betroffene Partei teilweise oder vollständig einzustellen:</w:t>
      </w:r>
    </w:p>
    <w:p w14:paraId="3243F238" w14:textId="77777777" w:rsidR="00BE3682" w:rsidRPr="004676F5" w:rsidRDefault="00BE3682" w:rsidP="00BE3682">
      <w:pPr>
        <w:jc w:val="both"/>
        <w:rPr>
          <w:rFonts w:eastAsia="Calibri"/>
          <w:kern w:val="2"/>
          <w:lang w:val="de-DE" w:eastAsia="en-US"/>
          <w14:ligatures w14:val="standardContextual"/>
        </w:rPr>
      </w:pPr>
    </w:p>
    <w:p w14:paraId="73B02508" w14:textId="18BAE8D5"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w:t>
      </w:r>
      <w:r w:rsidR="00AA3C05" w:rsidRPr="004676F5">
        <w:rPr>
          <w:rFonts w:eastAsia="Calibri"/>
          <w:kern w:val="2"/>
          <w:szCs w:val="22"/>
          <w:lang w:val="de-DE" w:eastAsia="en-US"/>
          <w14:ligatures w14:val="standardContextual"/>
        </w:rPr>
        <w:t>[</w:t>
      </w:r>
      <w:r w:rsidR="00AA3C05" w:rsidRPr="004676F5">
        <w:rPr>
          <w:lang w:val="de-DE"/>
        </w:rPr>
        <w:t>wenn er nach formeller oder informeller Einholung von Stellungnahmen der Marktteilnehmer zu dem Schluss kommt, dass die von einer betroffenen Partei angebotenen Verpflichtungszusagen, die er für bindend erklärt, geeignet sind, die Beschwerdegründe auszuräumen. Eine solche Entscheidung kann befristet sein,</w:t>
      </w:r>
      <w:r w:rsidR="00AA3C05" w:rsidRPr="004676F5">
        <w:rPr>
          <w:rFonts w:eastAsia="Calibri"/>
          <w:kern w:val="2"/>
          <w:szCs w:val="22"/>
          <w:lang w:val="de-DE" w:eastAsia="en-US"/>
          <w14:ligatures w14:val="standardContextual"/>
        </w:rPr>
        <w:t>]</w:t>
      </w:r>
    </w:p>
    <w:p w14:paraId="4789AA2D" w14:textId="77777777" w:rsidR="00BE3682" w:rsidRPr="004676F5" w:rsidRDefault="00BE3682" w:rsidP="00BE3682">
      <w:pPr>
        <w:jc w:val="both"/>
        <w:rPr>
          <w:rFonts w:eastAsia="Calibri"/>
          <w:kern w:val="2"/>
          <w:lang w:val="de-DE" w:eastAsia="en-US"/>
          <w14:ligatures w14:val="standardContextual"/>
        </w:rPr>
      </w:pPr>
    </w:p>
    <w:p w14:paraId="07526D5F" w14:textId="2431F619"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2. wenn er zu dem Schluss kommt, dass er die Beschwerdegründe gegenüber einer betroffenen Partei nicht mehr für begründet hält, nachdem er die Verteidigungsmittel zur Kenntnis genommen hat</w:t>
      </w:r>
      <w:r w:rsidR="00AA3C05" w:rsidRPr="004676F5">
        <w:rPr>
          <w:rFonts w:eastAsia="Calibri"/>
          <w:kern w:val="2"/>
          <w:szCs w:val="22"/>
          <w:lang w:val="de-DE" w:eastAsia="en-US"/>
          <w14:ligatures w14:val="standardContextual"/>
        </w:rPr>
        <w:t>,</w:t>
      </w:r>
    </w:p>
    <w:p w14:paraId="3966E98B" w14:textId="77777777" w:rsidR="00AA3C05" w:rsidRPr="004676F5" w:rsidRDefault="00AA3C05" w:rsidP="00BE3682">
      <w:pPr>
        <w:jc w:val="both"/>
        <w:rPr>
          <w:rFonts w:eastAsia="Calibri"/>
          <w:kern w:val="2"/>
          <w:szCs w:val="22"/>
          <w:lang w:val="de-DE" w:eastAsia="en-US"/>
          <w14:ligatures w14:val="standardContextual"/>
        </w:rPr>
      </w:pPr>
    </w:p>
    <w:p w14:paraId="58A2BFEC" w14:textId="4536ED0C" w:rsidR="00AA3C05" w:rsidRPr="004676F5" w:rsidRDefault="00AA3C05"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t>
      </w:r>
      <w:r w:rsidRPr="004676F5">
        <w:rPr>
          <w:lang w:val="de-DE"/>
        </w:rPr>
        <w:t>3. wenn die Sache nicht mehr als Priorität betrachtet wird oder in Anbetracht der verfügbaren Mittel keine Untersuchung rechtfertigt.</w:t>
      </w:r>
      <w:r w:rsidRPr="004676F5">
        <w:rPr>
          <w:rFonts w:eastAsia="Calibri"/>
          <w:kern w:val="2"/>
          <w:szCs w:val="22"/>
          <w:lang w:val="de-DE" w:eastAsia="en-US"/>
          <w14:ligatures w14:val="standardContextual"/>
        </w:rPr>
        <w:t>]</w:t>
      </w:r>
    </w:p>
    <w:p w14:paraId="003A9402" w14:textId="77777777" w:rsidR="00BE3682" w:rsidRPr="004676F5" w:rsidRDefault="00BE3682" w:rsidP="00BE3682">
      <w:pPr>
        <w:jc w:val="both"/>
        <w:rPr>
          <w:rFonts w:eastAsia="Calibri"/>
          <w:kern w:val="2"/>
          <w:lang w:val="de-DE" w:eastAsia="en-US"/>
          <w14:ligatures w14:val="standardContextual"/>
        </w:rPr>
      </w:pPr>
    </w:p>
    <w:p w14:paraId="0082AA0F" w14:textId="35676BE2" w:rsidR="00AA3C05" w:rsidRPr="004676F5" w:rsidRDefault="00AA3C05" w:rsidP="00BE3682">
      <w:pPr>
        <w:jc w:val="both"/>
        <w:rPr>
          <w:rFonts w:eastAsia="Calibri"/>
          <w:kern w:val="2"/>
          <w:lang w:val="de-DE" w:eastAsia="en-US"/>
          <w14:ligatures w14:val="standardContextual"/>
        </w:rPr>
      </w:pPr>
      <w:r w:rsidRPr="004676F5">
        <w:rPr>
          <w:rFonts w:eastAsia="Calibri"/>
          <w:kern w:val="2"/>
          <w:lang w:val="de-DE" w:eastAsia="en-US"/>
          <w14:ligatures w14:val="standardContextual"/>
        </w:rPr>
        <w:tab/>
        <w:t>[</w:t>
      </w:r>
      <w:r w:rsidRPr="004676F5">
        <w:rPr>
          <w:lang w:val="de-DE"/>
        </w:rPr>
        <w:t>Bei Anwendung von Absatz 1 Nr. 1 wird die in Absatz 1 erwähnte Frist von zwei Monaten um zwei Monate verlängert. Wenn die vom Auditor beabsichtigte Entscheidung die Konsultation der Europäischen Kommission gemäß Artikel IV.78/1 Absatz 3 erfordert, wird die Frist ab dem Tag der Versendung des Entscheidungsentwurfs bis zu dem Tag, an dem die Belgische Wettbewerbsbehörde die Bemerkungen der Europäischen Kommission erhält, ausgesetzt.</w:t>
      </w:r>
      <w:r w:rsidRPr="004676F5">
        <w:rPr>
          <w:rFonts w:eastAsia="Calibri"/>
          <w:kern w:val="2"/>
          <w:lang w:val="de-DE" w:eastAsia="en-US"/>
          <w14:ligatures w14:val="standardContextual"/>
        </w:rPr>
        <w:t>]</w:t>
      </w:r>
    </w:p>
    <w:p w14:paraId="45607C3A" w14:textId="77777777" w:rsidR="00AA3C05" w:rsidRPr="004676F5" w:rsidRDefault="00AA3C05" w:rsidP="00BE3682">
      <w:pPr>
        <w:jc w:val="both"/>
        <w:rPr>
          <w:rFonts w:eastAsia="Calibri"/>
          <w:kern w:val="2"/>
          <w:lang w:val="de-DE" w:eastAsia="en-US"/>
          <w14:ligatures w14:val="standardContextual"/>
        </w:rPr>
      </w:pPr>
    </w:p>
    <w:p w14:paraId="624CB09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notifiziert dem Kläger, dem Antragsteller oder dem Urheber der Anweisung und den betroffenen Parteien die Entscheidung zur Einstellung der Untersuchung. Er teilt ihnen mit, dass sie beim Sekretariat die Unterlagen und Angaben der Untersuchungsakte einsehen können, auf die sich der Auditor in seiner Entscheidung zur Einstellung der Untersuchung stützt, sie gegen Zahlung eine elektronische Abschrift davon erhalten können und sie Beschwerde gegen die Entscheidung zur Einstellung der Untersuchung beim Präsidenten einreichen können.</w:t>
      </w:r>
    </w:p>
    <w:p w14:paraId="331EB273" w14:textId="77777777" w:rsidR="00BE3682" w:rsidRPr="004676F5" w:rsidRDefault="00BE3682" w:rsidP="00BE3682">
      <w:pPr>
        <w:jc w:val="both"/>
        <w:rPr>
          <w:rFonts w:eastAsia="Calibri"/>
          <w:kern w:val="2"/>
          <w:lang w:val="de-DE" w:eastAsia="en-US"/>
          <w14:ligatures w14:val="standardContextual"/>
        </w:rPr>
      </w:pPr>
    </w:p>
    <w:p w14:paraId="3BB0ACB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Beschwerde gegen die Entscheidung zur Einstellung der Untersuchung wird zur Vermeidung der Unzulässigkeit durch einen mit Gründen versehenen und unterzeichneten Antrag eingereicht, der innerhalb einer Frist von einem Monat ab Notifizierung der Entscheidung beim Sekretariat hinterlegt wird. Zur Vermeidung der Nichtigkeit erfüllt der Antrag die in Artikel IV.90 § 5 Absatz 2 und 3 vorgesehenen Bedingungen.</w:t>
      </w:r>
    </w:p>
    <w:p w14:paraId="03DF82AA" w14:textId="77777777" w:rsidR="00BE3682" w:rsidRPr="004676F5" w:rsidRDefault="00BE3682" w:rsidP="00BE3682">
      <w:pPr>
        <w:jc w:val="both"/>
        <w:rPr>
          <w:rFonts w:eastAsia="Calibri"/>
          <w:kern w:val="2"/>
          <w:lang w:val="de-DE" w:eastAsia="en-US"/>
          <w14:ligatures w14:val="standardContextual"/>
        </w:rPr>
      </w:pPr>
    </w:p>
    <w:p w14:paraId="30A4697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Präsident bildet das Wettbewerbskollegium, das sich mit der Beschwerde befasst.</w:t>
      </w:r>
    </w:p>
    <w:p w14:paraId="2E6F7697" w14:textId="77777777" w:rsidR="00BE3682" w:rsidRPr="004676F5" w:rsidRDefault="00BE3682" w:rsidP="00BE3682">
      <w:pPr>
        <w:jc w:val="both"/>
        <w:rPr>
          <w:rFonts w:eastAsia="Calibri"/>
          <w:kern w:val="2"/>
          <w:lang w:val="de-DE" w:eastAsia="en-US"/>
          <w14:ligatures w14:val="standardContextual"/>
        </w:rPr>
      </w:pPr>
    </w:p>
    <w:p w14:paraId="05254FB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Präsident des Wettbewerbskollegiums legt die Fristen fest, in denen die betroffenen Parteien, der Kläger, der Antragsteller oder der Urheber der Anweisung schriftliche Anmerkungen hinterlegen können. Er befindet gegebenenfalls über die Vertraulichkeit der Unterlagen und Angaben.</w:t>
      </w:r>
    </w:p>
    <w:p w14:paraId="036F85DC" w14:textId="77777777" w:rsidR="00BE3682" w:rsidRPr="004676F5" w:rsidRDefault="00BE3682" w:rsidP="00BE3682">
      <w:pPr>
        <w:jc w:val="both"/>
        <w:rPr>
          <w:rFonts w:eastAsia="Calibri"/>
          <w:kern w:val="2"/>
          <w:lang w:val="de-DE" w:eastAsia="en-US"/>
          <w14:ligatures w14:val="standardContextual"/>
        </w:rPr>
      </w:pPr>
    </w:p>
    <w:p w14:paraId="686EF7C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Das Wettbewerbskollegium befindet auf der Grundlage der Schriftstücke, es sei denn, der Präsident des Wettbewerbskollegiums beschließt die Anhörung der Parteien. Hält das </w:t>
      </w:r>
      <w:r w:rsidRPr="004676F5">
        <w:rPr>
          <w:rFonts w:eastAsia="Calibri"/>
          <w:kern w:val="2"/>
          <w:szCs w:val="22"/>
          <w:lang w:val="de-DE" w:eastAsia="en-US"/>
          <w14:ligatures w14:val="standardContextual"/>
        </w:rPr>
        <w:lastRenderedPageBreak/>
        <w:t>Wettbewerbskollegium die Beschwerde für begründet, wird die Akte an den Auditor zurückverwiesen.</w:t>
      </w:r>
    </w:p>
    <w:p w14:paraId="04236EC0" w14:textId="77777777" w:rsidR="00BE3682" w:rsidRPr="004676F5" w:rsidRDefault="00BE3682" w:rsidP="00BE3682">
      <w:pPr>
        <w:jc w:val="both"/>
        <w:rPr>
          <w:rFonts w:eastAsia="Calibri"/>
          <w:kern w:val="2"/>
          <w:lang w:val="de-DE" w:eastAsia="en-US"/>
          <w14:ligatures w14:val="standardContextual"/>
        </w:rPr>
      </w:pPr>
    </w:p>
    <w:p w14:paraId="5E5C61B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Gegen die Entscheidung des Wettbewerbskollegiums kann keine Beschwerde eingereicht werden.</w:t>
      </w:r>
    </w:p>
    <w:p w14:paraId="191E6D06" w14:textId="77777777" w:rsidR="00BE3682" w:rsidRPr="004676F5" w:rsidRDefault="00BE3682" w:rsidP="00BE3682">
      <w:pPr>
        <w:jc w:val="both"/>
        <w:rPr>
          <w:rFonts w:eastAsia="Calibri"/>
          <w:kern w:val="2"/>
          <w:lang w:val="de-DE" w:eastAsia="en-US"/>
          <w14:ligatures w14:val="standardContextual"/>
        </w:rPr>
      </w:pPr>
    </w:p>
    <w:p w14:paraId="3F493F18" w14:textId="24BEDFD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Eine Entscheidung zur Einstellung einer Untersuchung beeinträchtigt nicht die Möglichkeit der Gerichte, für die Vergangenheit </w:t>
      </w:r>
      <w:r w:rsidR="00AA3C05" w:rsidRPr="004676F5">
        <w:rPr>
          <w:rFonts w:eastAsia="Calibri"/>
          <w:kern w:val="2"/>
          <w:szCs w:val="22"/>
          <w:lang w:val="de-DE" w:eastAsia="en-US"/>
          <w14:ligatures w14:val="standardContextual"/>
        </w:rPr>
        <w:t>[Zuwiderhandlungen gegen das Wettbewerbsrecht]</w:t>
      </w:r>
      <w:r w:rsidRPr="004676F5">
        <w:rPr>
          <w:rFonts w:eastAsia="Calibri"/>
          <w:kern w:val="2"/>
          <w:szCs w:val="22"/>
          <w:lang w:val="de-DE" w:eastAsia="en-US"/>
          <w14:ligatures w14:val="standardContextual"/>
        </w:rPr>
        <w:t xml:space="preserve"> festzustellen. Verpflichtungszusagen können nicht als nachteilige Anerkennung seitens der betroffenen Partei ausgelegt werden.</w:t>
      </w:r>
    </w:p>
    <w:p w14:paraId="7806533B" w14:textId="77777777" w:rsidR="00BE3682" w:rsidRPr="004676F5" w:rsidRDefault="00BE3682" w:rsidP="00BE3682">
      <w:pPr>
        <w:jc w:val="both"/>
        <w:rPr>
          <w:rFonts w:eastAsia="Calibri"/>
          <w:kern w:val="2"/>
          <w:lang w:val="de-DE" w:eastAsia="en-US"/>
          <w14:ligatures w14:val="standardContextual"/>
        </w:rPr>
      </w:pPr>
    </w:p>
    <w:p w14:paraId="25B404A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Generalauditor kann von Amts wegen auf der Grundlage neuer Elemente oder Entwicklungen die Untersuchung gegenüber einer betroffenen Partei wieder aufnehmen.</w:t>
      </w:r>
    </w:p>
    <w:p w14:paraId="06227A9F" w14:textId="77777777" w:rsidR="00BE3682" w:rsidRPr="004676F5" w:rsidRDefault="00BE3682" w:rsidP="00BE3682">
      <w:pPr>
        <w:jc w:val="both"/>
        <w:rPr>
          <w:rFonts w:eastAsia="Calibri"/>
          <w:kern w:val="2"/>
          <w:lang w:val="de-DE" w:eastAsia="en-US"/>
          <w14:ligatures w14:val="standardContextual"/>
        </w:rPr>
      </w:pPr>
    </w:p>
    <w:p w14:paraId="73C6C8F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Der Auditor kann in einer Frist von zwei Monaten nach Ablauf der in § 1 Absatz 1 erwähnten Antwortfrist beschließen, neue Beschwerdegründe zu erheben oder zuvor erhobene Beschwerdegründe umzuqualifizieren. In diesem Fall wird erneut § 1 und gegebenenfalls § 2 angewandt.</w:t>
      </w:r>
    </w:p>
    <w:p w14:paraId="2C1906E6" w14:textId="77777777" w:rsidR="00BE3682" w:rsidRPr="004676F5" w:rsidRDefault="00BE3682" w:rsidP="00BE3682">
      <w:pPr>
        <w:jc w:val="both"/>
        <w:rPr>
          <w:rFonts w:eastAsia="Calibri"/>
          <w:kern w:val="2"/>
          <w:lang w:val="de-DE" w:eastAsia="en-US"/>
          <w14:ligatures w14:val="standardContextual"/>
        </w:rPr>
      </w:pPr>
    </w:p>
    <w:p w14:paraId="572A6491" w14:textId="65F4A9F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Auditor legt zur Vermeidung des Verfalls in einer Frist von zwei Monaten nach Ablauf der in § 1 Absatz 1 erwähnten Antwortfrist nach Stellungnahme des Auditor-Beraters dem Präsidenten einen mit Gründen versehenen Entscheidungsvorschlag vor, es sei denn, die Paragraphen 2 oder 3 kommen zur Anwendung. Der Entscheidungsvorschlag bezieht sich nur auf Beschwerdegründe, die in der Mitteilung der Beschwerdegründe enthalten waren.</w:t>
      </w:r>
    </w:p>
    <w:p w14:paraId="106105AA" w14:textId="77777777" w:rsidR="00BE3682" w:rsidRPr="004676F5" w:rsidRDefault="00BE3682" w:rsidP="00BE3682">
      <w:pPr>
        <w:jc w:val="both"/>
        <w:rPr>
          <w:rFonts w:eastAsia="Calibri"/>
          <w:kern w:val="2"/>
          <w:lang w:val="de-DE" w:eastAsia="en-US"/>
          <w14:ligatures w14:val="standardContextual"/>
        </w:rPr>
      </w:pPr>
    </w:p>
    <w:p w14:paraId="75230F5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Dem Entscheidungsvorschlag ist die Verfahrensakte beigefügt.</w:t>
      </w:r>
    </w:p>
    <w:p w14:paraId="5D0F77FB" w14:textId="77777777" w:rsidR="00BE3682" w:rsidRPr="004676F5" w:rsidRDefault="00BE3682" w:rsidP="00BE3682">
      <w:pPr>
        <w:jc w:val="both"/>
        <w:rPr>
          <w:rFonts w:eastAsia="Calibri"/>
          <w:kern w:val="2"/>
          <w:lang w:val="de-DE" w:eastAsia="en-US"/>
          <w14:ligatures w14:val="standardContextual"/>
        </w:rPr>
      </w:pPr>
    </w:p>
    <w:p w14:paraId="357AC53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in Absatz 1 erwähnte Frist wird ausgesetzt, wenn innerhalb dieser Frist ein Vergleichsverfahren eingeleitet oder Verpflichtungszusagen angeboten werden, bis zu dem Tag, an dem der Generalauditor beschließt, das Vergleichsverfahren oder die Besprechungen über die Verpflichtungszusagen zu beenden.</w:t>
      </w:r>
    </w:p>
    <w:p w14:paraId="41EC40BF" w14:textId="77777777" w:rsidR="00BE3682" w:rsidRPr="004676F5" w:rsidRDefault="00BE3682" w:rsidP="00BE3682">
      <w:pPr>
        <w:jc w:val="both"/>
        <w:rPr>
          <w:rFonts w:eastAsia="Calibri"/>
          <w:kern w:val="2"/>
          <w:lang w:val="de-DE" w:eastAsia="en-US"/>
          <w14:ligatures w14:val="standardContextual"/>
        </w:rPr>
      </w:pPr>
    </w:p>
    <w:p w14:paraId="61180790" w14:textId="346B5347" w:rsidR="00AA3C05" w:rsidRPr="004676F5" w:rsidRDefault="00AA3C05"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[Art. IV.46 </w:t>
      </w:r>
      <w:r w:rsidR="00C47B55" w:rsidRPr="004676F5">
        <w:rPr>
          <w:rFonts w:eastAsia="Calibri"/>
          <w:i/>
          <w:iCs/>
          <w:kern w:val="2"/>
          <w:lang w:val="de-DE" w:eastAsia="en-US"/>
          <w14:ligatures w14:val="standardContextual"/>
        </w:rPr>
        <w:t xml:space="preserve">§ 1 Abs. 1 ersetzt durch Art. 31 Nr. 1 des G. vom 29. März 2024 (B.S. vom 3. Mai 2024); § 1 </w:t>
      </w:r>
      <w:r w:rsidR="001D448B" w:rsidRPr="004676F5">
        <w:rPr>
          <w:rFonts w:eastAsia="Calibri"/>
          <w:i/>
          <w:iCs/>
          <w:kern w:val="2"/>
          <w:lang w:val="de-DE" w:eastAsia="en-US"/>
          <w14:ligatures w14:val="standardContextual"/>
        </w:rPr>
        <w:t xml:space="preserve">früherer </w:t>
      </w:r>
      <w:r w:rsidR="00C47B55" w:rsidRPr="004676F5">
        <w:rPr>
          <w:rFonts w:eastAsia="Calibri"/>
          <w:i/>
          <w:iCs/>
          <w:kern w:val="2"/>
          <w:lang w:val="de-DE" w:eastAsia="en-US"/>
          <w14:ligatures w14:val="standardContextual"/>
        </w:rPr>
        <w:t>Abs</w:t>
      </w:r>
      <w:r w:rsidR="001D448B" w:rsidRPr="004676F5">
        <w:rPr>
          <w:rFonts w:eastAsia="Calibri"/>
          <w:i/>
          <w:iCs/>
          <w:kern w:val="2"/>
          <w:lang w:val="de-DE" w:eastAsia="en-US"/>
          <w14:ligatures w14:val="standardContextual"/>
        </w:rPr>
        <w:t>atz</w:t>
      </w:r>
      <w:r w:rsidR="00C47B55" w:rsidRPr="004676F5">
        <w:rPr>
          <w:rFonts w:eastAsia="Calibri"/>
          <w:i/>
          <w:iCs/>
          <w:kern w:val="2"/>
          <w:lang w:val="de-DE" w:eastAsia="en-US"/>
          <w14:ligatures w14:val="standardContextual"/>
        </w:rPr>
        <w:t xml:space="preserve"> 2 aufgehoben durch Art. 32 Nr. 2 des G. vom 29. März 2024 (B.S. vom 3. Mai 2024); </w:t>
      </w:r>
      <w:r w:rsidRPr="004676F5">
        <w:rPr>
          <w:rFonts w:eastAsia="Calibri"/>
          <w:i/>
          <w:iCs/>
          <w:kern w:val="2"/>
          <w:lang w:val="de-DE" w:eastAsia="en-US"/>
          <w14:ligatures w14:val="standardContextual"/>
        </w:rPr>
        <w:t>§ 2 Abs. 1 Nr. 1 ersetzt durch Art. 28 Nr. 1 des G. vom 28. Februar 2022 (B.S. vom 7. März 2022); § 2 Abs. 1 Nr. 3 eingefügt durch Art. 28 Nr. 2 des G. vom 28. Februar 2022 (B.S. vom 7. März 2022); § 2 neuer Absatz 2 eingefügt durch Art. 28 Nr. 3 des G. vom 28. Februar 2022 (B.S. vom 7. März 2022); § 2 Abs. 9 abgeändert durch Art. 28 Nr. 4 des G. vom 28. Februar 2022 (B.S. vom 7. März 2022)]</w:t>
      </w:r>
    </w:p>
    <w:p w14:paraId="59C27DE5" w14:textId="77777777" w:rsidR="00AA3C05" w:rsidRPr="004676F5" w:rsidRDefault="00AA3C05" w:rsidP="00BE3682">
      <w:pPr>
        <w:jc w:val="both"/>
        <w:rPr>
          <w:rFonts w:eastAsia="Calibri"/>
          <w:i/>
          <w:iCs/>
          <w:kern w:val="2"/>
          <w:lang w:val="de-DE" w:eastAsia="en-US"/>
          <w14:ligatures w14:val="standardContextual"/>
        </w:rPr>
      </w:pPr>
    </w:p>
    <w:p w14:paraId="3772E996" w14:textId="77777777" w:rsidR="007854CD" w:rsidRPr="004676F5" w:rsidRDefault="007854CD" w:rsidP="00BE3682">
      <w:pPr>
        <w:jc w:val="both"/>
        <w:rPr>
          <w:rFonts w:eastAsia="Calibri"/>
          <w:kern w:val="2"/>
          <w:lang w:val="de-DE" w:eastAsia="en-US"/>
          <w14:ligatures w14:val="standardContextual"/>
        </w:rPr>
      </w:pPr>
    </w:p>
    <w:p w14:paraId="1F7CA599" w14:textId="37D4D575"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IV.47</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Der Direktionsausschuss kann auf Antrag des Präsidenten, des Ministers oder des für den betreffenden Sektor zuständigen Ministers beschließen, dass der Präsident eine allgemeine oder sektorielle Untersuchung durchführt, wenn schwerwiegende Indizien für Marktstörungen bestehen. Gegebenenfalls kann der Präsident den Generalauditor um Mitarbeit des Auditorats bei einer allgemeinen oder sektoriellen Untersuchung bitten. </w:t>
      </w:r>
      <w:r w:rsidR="00AA3C05" w:rsidRPr="004676F5">
        <w:rPr>
          <w:rFonts w:eastAsia="Calibri"/>
          <w:kern w:val="2"/>
          <w:szCs w:val="22"/>
          <w:lang w:val="de-DE" w:eastAsia="en-US"/>
          <w14:ligatures w14:val="standardContextual"/>
        </w:rPr>
        <w:t>[</w:t>
      </w:r>
      <w:r w:rsidR="00AA3C05" w:rsidRPr="004676F5">
        <w:rPr>
          <w:lang w:val="de-DE"/>
        </w:rPr>
        <w:t>Die Bestimmungen des Artikels IV.40, des Artikels IV.40/1</w:t>
      </w:r>
      <w:r w:rsidR="00AA3C05" w:rsidRPr="004676F5">
        <w:rPr>
          <w:rFonts w:eastAsia="Calibri"/>
          <w:kern w:val="2"/>
          <w:szCs w:val="22"/>
          <w:lang w:val="de-DE" w:eastAsia="en-US"/>
          <w14:ligatures w14:val="standardContextual"/>
        </w:rPr>
        <w:t xml:space="preserve">] </w:t>
      </w:r>
      <w:r w:rsidRPr="004676F5">
        <w:rPr>
          <w:rFonts w:eastAsia="Calibri"/>
          <w:kern w:val="2"/>
          <w:szCs w:val="22"/>
          <w:lang w:val="de-DE" w:eastAsia="en-US"/>
          <w14:ligatures w14:val="standardContextual"/>
        </w:rPr>
        <w:t>und des Artikels IV.41 sind auf die Untersuchung entsprechend anwendbar.</w:t>
      </w:r>
    </w:p>
    <w:p w14:paraId="264DCF94" w14:textId="77777777" w:rsidR="00AA3C05" w:rsidRPr="004676F5" w:rsidRDefault="00AA3C05" w:rsidP="00BE3682">
      <w:pPr>
        <w:jc w:val="both"/>
        <w:rPr>
          <w:rFonts w:eastAsia="Calibri"/>
          <w:kern w:val="2"/>
          <w:szCs w:val="22"/>
          <w:lang w:val="de-DE" w:eastAsia="en-US"/>
          <w14:ligatures w14:val="standardContextual"/>
        </w:rPr>
      </w:pPr>
    </w:p>
    <w:p w14:paraId="1F9E6050" w14:textId="68D1F3B2" w:rsidR="00AA3C05" w:rsidRPr="004676F5" w:rsidRDefault="00AA3C05" w:rsidP="00BE3682">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IV.47 abgeändert durch Art. 29 des G. vom 28. Februar 2022 (B.S. vom 7. März 2022)]</w:t>
      </w:r>
    </w:p>
    <w:p w14:paraId="0BE999A1" w14:textId="77777777" w:rsidR="00BE3682" w:rsidRPr="004676F5" w:rsidRDefault="00BE3682" w:rsidP="00BE3682">
      <w:pPr>
        <w:jc w:val="both"/>
        <w:rPr>
          <w:rFonts w:eastAsia="Calibri"/>
          <w:kern w:val="2"/>
          <w:lang w:val="de-DE" w:eastAsia="en-US"/>
          <w14:ligatures w14:val="standardContextual"/>
        </w:rPr>
      </w:pPr>
    </w:p>
    <w:p w14:paraId="6A57928D" w14:textId="77777777" w:rsidR="007854CD" w:rsidRPr="004676F5" w:rsidRDefault="007854CD" w:rsidP="00BE3682">
      <w:pPr>
        <w:jc w:val="both"/>
        <w:rPr>
          <w:rFonts w:eastAsia="Calibri"/>
          <w:kern w:val="2"/>
          <w:lang w:val="de-DE" w:eastAsia="en-US"/>
          <w14:ligatures w14:val="standardContextual"/>
        </w:rPr>
      </w:pPr>
    </w:p>
    <w:p w14:paraId="1BB76E10" w14:textId="6AC408EA" w:rsidR="00BE3682" w:rsidRPr="004676F5" w:rsidRDefault="005A2CB2"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3</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7E0589"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xml:space="preserve">Entscheidungen in Bezug auf </w:t>
      </w:r>
      <w:r w:rsidR="00AA3C05" w:rsidRPr="004676F5">
        <w:rPr>
          <w:rFonts w:eastAsia="Calibri"/>
          <w:kern w:val="2"/>
          <w:szCs w:val="22"/>
          <w:lang w:val="de-DE" w:eastAsia="en-US"/>
          <w14:ligatures w14:val="standardContextual"/>
        </w:rPr>
        <w:t>Zuwiderhandlungen gegen das Wettbewerbsrecht</w:t>
      </w:r>
      <w:r w:rsidR="00BE3682" w:rsidRPr="004676F5">
        <w:rPr>
          <w:rFonts w:eastAsia="Calibri"/>
          <w:kern w:val="2"/>
          <w:szCs w:val="22"/>
          <w:lang w:val="de-DE" w:eastAsia="en-US"/>
          <w14:ligatures w14:val="standardContextual"/>
        </w:rPr>
        <w:t xml:space="preserve"> und Nichteinhaltung von Entscheidungen</w:t>
      </w:r>
      <w:r w:rsidR="007E0589" w:rsidRPr="004676F5">
        <w:rPr>
          <w:rFonts w:eastAsia="Calibri"/>
          <w:kern w:val="2"/>
          <w:szCs w:val="22"/>
          <w:lang w:val="de-DE" w:eastAsia="en-US"/>
          <w14:ligatures w14:val="standardContextual"/>
        </w:rPr>
        <w:t>]</w:t>
      </w:r>
    </w:p>
    <w:p w14:paraId="6706149B" w14:textId="77777777" w:rsidR="00BE3682" w:rsidRPr="004676F5" w:rsidRDefault="00BE3682" w:rsidP="00BE3682">
      <w:pPr>
        <w:jc w:val="both"/>
        <w:rPr>
          <w:rFonts w:eastAsia="Calibri"/>
          <w:kern w:val="2"/>
          <w:lang w:val="de-DE" w:eastAsia="en-US"/>
          <w14:ligatures w14:val="standardContextual"/>
        </w:rPr>
      </w:pPr>
    </w:p>
    <w:p w14:paraId="27090886" w14:textId="767339D0" w:rsidR="00AA3C05" w:rsidRPr="004676F5" w:rsidRDefault="00AA3C05" w:rsidP="00AA3C05">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w:t>
      </w:r>
      <w:r w:rsidR="005A2CB2" w:rsidRPr="004676F5">
        <w:rPr>
          <w:rFonts w:eastAsia="Calibri"/>
          <w:i/>
          <w:iCs/>
          <w:kern w:val="2"/>
          <w:lang w:val="de-DE" w:eastAsia="en-US"/>
          <w14:ligatures w14:val="standardContextual"/>
        </w:rPr>
        <w:t xml:space="preserve">Früherer Unterabschnitt 3 umgegliedert zu Abschnitt 3 </w:t>
      </w:r>
      <w:r w:rsidR="007E0589" w:rsidRPr="004676F5">
        <w:rPr>
          <w:rFonts w:eastAsia="Calibri"/>
          <w:i/>
          <w:iCs/>
          <w:kern w:val="2"/>
          <w:lang w:val="de-DE" w:eastAsia="en-US"/>
          <w14:ligatures w14:val="standardContextual"/>
        </w:rPr>
        <w:t xml:space="preserve">und Überschrift ersetzt </w:t>
      </w:r>
      <w:r w:rsidR="005A2CB2" w:rsidRPr="004676F5">
        <w:rPr>
          <w:rFonts w:eastAsia="Calibri"/>
          <w:i/>
          <w:iCs/>
          <w:kern w:val="2"/>
          <w:lang w:val="de-DE" w:eastAsia="en-US"/>
          <w14:ligatures w14:val="standardContextual"/>
        </w:rPr>
        <w:t>durch Art. 32 des G. vom 29. März 2024 (B.S. vom 3. Mai 2024)</w:t>
      </w:r>
      <w:r w:rsidR="007E0589" w:rsidRPr="004676F5">
        <w:rPr>
          <w:rFonts w:eastAsia="Calibri"/>
          <w:i/>
          <w:iCs/>
          <w:kern w:val="2"/>
          <w:lang w:val="de-DE" w:eastAsia="en-US"/>
          <w14:ligatures w14:val="standardContextual"/>
        </w:rPr>
        <w:t>]</w:t>
      </w:r>
    </w:p>
    <w:p w14:paraId="78EF6326" w14:textId="77777777" w:rsidR="00AA3C05" w:rsidRPr="004676F5" w:rsidRDefault="00AA3C05" w:rsidP="00BE3682">
      <w:pPr>
        <w:jc w:val="both"/>
        <w:rPr>
          <w:rFonts w:eastAsia="Calibri"/>
          <w:kern w:val="2"/>
          <w:lang w:val="de-DE" w:eastAsia="en-US"/>
          <w14:ligatures w14:val="standardContextual"/>
        </w:rPr>
      </w:pPr>
    </w:p>
    <w:p w14:paraId="17CA2ABE" w14:textId="77777777" w:rsidR="007854CD" w:rsidRPr="004676F5" w:rsidRDefault="007854CD" w:rsidP="00BE3682">
      <w:pPr>
        <w:jc w:val="both"/>
        <w:rPr>
          <w:rFonts w:eastAsia="Calibri"/>
          <w:kern w:val="2"/>
          <w:lang w:val="de-DE" w:eastAsia="en-US"/>
          <w14:ligatures w14:val="standardContextual"/>
        </w:rPr>
      </w:pPr>
    </w:p>
    <w:p w14:paraId="6F51725F" w14:textId="2108348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IV.48</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Nach Erhalt des Entscheidungsvorschlags stellt der Präsident unverzüglich das Wettbewerbskollegium, das in der Sache erkennen wird, zusammen. Er übermittelt dem Wettbewerbskollegium den Entscheidungsvorschlag und, nach Ablauf der in Artikel IV.49 § 5 Absatz 1 erwähnten Frist und gegebenenfalls unter Berücksichtigung der in Artikel IV.49 § 5 Absatz 2 erwähnten Entscheidung, die Verfahrensakte.</w:t>
      </w:r>
    </w:p>
    <w:p w14:paraId="229D8E37" w14:textId="77777777" w:rsidR="00BE3682" w:rsidRPr="004676F5" w:rsidRDefault="00BE3682" w:rsidP="00BE3682">
      <w:pPr>
        <w:jc w:val="both"/>
        <w:rPr>
          <w:rFonts w:eastAsia="Calibri"/>
          <w:kern w:val="2"/>
          <w:lang w:val="de-DE" w:eastAsia="en-US"/>
          <w14:ligatures w14:val="standardContextual"/>
        </w:rPr>
      </w:pPr>
    </w:p>
    <w:p w14:paraId="5BF7E38C" w14:textId="77777777" w:rsidR="007854CD" w:rsidRPr="004676F5" w:rsidRDefault="007854CD" w:rsidP="00BE3682">
      <w:pPr>
        <w:jc w:val="both"/>
        <w:rPr>
          <w:rFonts w:eastAsia="Calibri"/>
          <w:kern w:val="2"/>
          <w:lang w:val="de-DE" w:eastAsia="en-US"/>
          <w14:ligatures w14:val="standardContextual"/>
        </w:rPr>
      </w:pPr>
    </w:p>
    <w:p w14:paraId="11659672" w14:textId="0EE8192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IV.49</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Am Tag der Hinterlegung des Entscheidungsvorschlags setzt der Auditor die betroffenen Parteien davon in Kenntnis und sendet ihnen eine Abschrift des Entscheidungsvorschlags zu. Er teilt ihnen mit, dass sie die Untersuchungsakte und die Verfahrensakte beim Sekretariat einsehen und gegen Zahlung eine elektronische Abschrift davon erhalten können.</w:t>
      </w:r>
    </w:p>
    <w:p w14:paraId="01494B51" w14:textId="77777777" w:rsidR="00BE3682" w:rsidRPr="004676F5" w:rsidRDefault="00BE3682" w:rsidP="00BE3682">
      <w:pPr>
        <w:jc w:val="both"/>
        <w:rPr>
          <w:rFonts w:eastAsia="Calibri"/>
          <w:kern w:val="2"/>
          <w:lang w:val="de-DE" w:eastAsia="en-US"/>
          <w14:ligatures w14:val="standardContextual"/>
        </w:rPr>
      </w:pPr>
    </w:p>
    <w:p w14:paraId="73DB02D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Sekretariat setzt den Kläger, den Antragsteller oder den Minister von der Hinterlegung des Entscheidungsvorschlags in Kenntnis.</w:t>
      </w:r>
    </w:p>
    <w:p w14:paraId="3409F171" w14:textId="77777777" w:rsidR="00BE3682" w:rsidRPr="004676F5" w:rsidRDefault="00BE3682" w:rsidP="00BE3682">
      <w:pPr>
        <w:jc w:val="both"/>
        <w:rPr>
          <w:rFonts w:eastAsia="Calibri"/>
          <w:kern w:val="2"/>
          <w:lang w:val="de-DE" w:eastAsia="en-US"/>
          <w14:ligatures w14:val="standardContextual"/>
        </w:rPr>
      </w:pPr>
    </w:p>
    <w:p w14:paraId="7C80458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Wenn der Präsident des Wettbewerbskollegiums es für notwendig hält, erhalten der Kläger und Dritte, die das Wettbewerbskollegium anhören wird, eine nicht vertrauliche Fassung des Entscheidungsvorschlags oder einen Auszug daraus.</w:t>
      </w:r>
    </w:p>
    <w:p w14:paraId="5FF939B1" w14:textId="77777777" w:rsidR="00BE3682" w:rsidRPr="004676F5" w:rsidRDefault="00BE3682" w:rsidP="00BE3682">
      <w:pPr>
        <w:jc w:val="both"/>
        <w:rPr>
          <w:rFonts w:eastAsia="Calibri"/>
          <w:kern w:val="2"/>
          <w:lang w:val="de-DE" w:eastAsia="en-US"/>
          <w14:ligatures w14:val="standardContextual"/>
        </w:rPr>
      </w:pPr>
    </w:p>
    <w:p w14:paraId="772724B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ersucht die betroffenen Parteien, im Hinblick auf die Übermittlung einer nicht vertraulichen Fassung des Entscheidungsvorschlags oder eines Auszugs daraus an den Kläger und an die Dritten, die das Wettbewerbskollegium anhören wird, die im Entscheidungsvorschlag aufgenommenen vertraulichen Passagen zu kennzeichnen. Anschließend erstellt der Auditor die nicht vertrauliche Fassung. Gegen seinen Beschluss kann keine gesonderte Beschwerde eingereicht werden.</w:t>
      </w:r>
    </w:p>
    <w:p w14:paraId="33B8BCDA" w14:textId="77777777" w:rsidR="00BE3682" w:rsidRPr="004676F5" w:rsidRDefault="00BE3682" w:rsidP="00BE3682">
      <w:pPr>
        <w:jc w:val="both"/>
        <w:rPr>
          <w:rFonts w:eastAsia="Calibri"/>
          <w:kern w:val="2"/>
          <w:lang w:val="de-DE" w:eastAsia="en-US"/>
          <w14:ligatures w14:val="standardContextual"/>
        </w:rPr>
      </w:pPr>
    </w:p>
    <w:p w14:paraId="5131C38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Kläger und die Dritten, die das Wettbewerbskollegium anhören wird, haben keinen Zugang zur Untersuchungsakte und zur Verfahrensakte, außer wenn der Präsident des Wettbewerbskollegiums in Bezug auf Schriftstücke aus der Verfahrensakte, die er bestimmt, anders entscheidet, unbeschadet der Artikel XVII.77, XVII.78 und XVII.79.</w:t>
      </w:r>
    </w:p>
    <w:p w14:paraId="7D27AF37" w14:textId="77777777" w:rsidR="00BE3682" w:rsidRPr="004676F5" w:rsidRDefault="00BE3682" w:rsidP="00BE3682">
      <w:pPr>
        <w:jc w:val="both"/>
        <w:rPr>
          <w:rFonts w:eastAsia="Calibri"/>
          <w:kern w:val="2"/>
          <w:lang w:val="de-DE" w:eastAsia="en-US"/>
          <w14:ligatures w14:val="standardContextual"/>
        </w:rPr>
      </w:pPr>
    </w:p>
    <w:p w14:paraId="7679DD9E" w14:textId="12D7341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 3 ­ </w:t>
      </w:r>
      <w:r w:rsidR="005A2CB2" w:rsidRPr="004676F5">
        <w:rPr>
          <w:rFonts w:eastAsia="Calibri"/>
          <w:kern w:val="2"/>
          <w:szCs w:val="22"/>
          <w:lang w:val="de-DE" w:eastAsia="en-US"/>
          <w14:ligatures w14:val="standardContextual"/>
        </w:rPr>
        <w:t>[</w:t>
      </w:r>
      <w:r w:rsidR="005A2CB2" w:rsidRPr="004676F5">
        <w:rPr>
          <w:lang w:val="de-DE"/>
        </w:rPr>
        <w:t>Die betroffenen Parteien verfügen ab dem Tag der Übermittlung einer Abschrift des Entscheidungsvorschlags über eine Frist von einem Monat, um ihre schriftlichen Anmerkungen und Schriftstücke, die sie der Verfahrensakte hinzufügen möchten, beim Sekretariat zu hinterlegen, mit Übermittlung an den Auditor am selben Tag.</w:t>
      </w:r>
      <w:r w:rsidR="005A2CB2" w:rsidRPr="004676F5">
        <w:rPr>
          <w:rFonts w:eastAsia="Calibri"/>
          <w:kern w:val="2"/>
          <w:szCs w:val="22"/>
          <w:lang w:val="de-DE" w:eastAsia="en-US"/>
          <w14:ligatures w14:val="standardContextual"/>
        </w:rPr>
        <w:t>]</w:t>
      </w:r>
    </w:p>
    <w:p w14:paraId="3C37F45A" w14:textId="77777777" w:rsidR="00BE3682" w:rsidRPr="004676F5" w:rsidRDefault="00BE3682" w:rsidP="00BE3682">
      <w:pPr>
        <w:jc w:val="both"/>
        <w:rPr>
          <w:rFonts w:eastAsia="Calibri"/>
          <w:kern w:val="2"/>
          <w:lang w:val="de-DE" w:eastAsia="en-US"/>
          <w14:ligatures w14:val="standardContextual"/>
        </w:rPr>
      </w:pPr>
    </w:p>
    <w:p w14:paraId="017D54F1" w14:textId="17DB4D98"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r>
      <w:r w:rsidR="005A2CB2" w:rsidRPr="004676F5">
        <w:rPr>
          <w:rFonts w:eastAsia="Calibri"/>
          <w:kern w:val="2"/>
          <w:szCs w:val="22"/>
          <w:lang w:val="de-DE" w:eastAsia="en-US"/>
          <w14:ligatures w14:val="standardContextual"/>
        </w:rPr>
        <w:t>[…]</w:t>
      </w:r>
    </w:p>
    <w:p w14:paraId="51C79E7B" w14:textId="77777777" w:rsidR="005A2CB2" w:rsidRPr="004676F5" w:rsidRDefault="005A2CB2" w:rsidP="00BE3682">
      <w:pPr>
        <w:jc w:val="both"/>
        <w:rPr>
          <w:rFonts w:eastAsia="Calibri"/>
          <w:kern w:val="2"/>
          <w:lang w:val="de-DE" w:eastAsia="en-US"/>
          <w14:ligatures w14:val="standardContextual"/>
        </w:rPr>
      </w:pPr>
    </w:p>
    <w:p w14:paraId="4030606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Präsident des Wettbewerbskollegiums verlängert die in Absatz 1 erwähnte Frist auf einen mit Gründen versehenen Antrag einer betroffenen Partei oder des Auditors hin, wenn er es für erforderlich hält und für einen Zeitraum, der den beantragten Zeitraum nicht überschreitet.</w:t>
      </w:r>
    </w:p>
    <w:p w14:paraId="1AEFAB90" w14:textId="77777777" w:rsidR="00BE3682" w:rsidRPr="004676F5" w:rsidRDefault="00BE3682" w:rsidP="00BE3682">
      <w:pPr>
        <w:jc w:val="both"/>
        <w:rPr>
          <w:rFonts w:eastAsia="Calibri"/>
          <w:kern w:val="2"/>
          <w:lang w:val="de-DE" w:eastAsia="en-US"/>
          <w14:ligatures w14:val="standardContextual"/>
        </w:rPr>
      </w:pPr>
    </w:p>
    <w:p w14:paraId="77956536" w14:textId="7852FFE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Hinterlegt eine betroffene Partei ein Schriftstück, das sie im Laufe der Untersuchung nicht hinterlegt hatte, legt der Präsident des Wettbewerbskollegiums eine Frist fest, in der der Auditor schriftliche Anmerkungen zu diesem Schriftstück hinterlegen kann, und eine Frist, in der die betroffene Partei auf diese schriftlichen Anmerkungen antworten kann. Der Auditor kann bei der Vorbereitung seiner schriftlichen Anmerkungen </w:t>
      </w:r>
      <w:r w:rsidR="00AA3C05"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Artikel IV.40</w:t>
      </w:r>
      <w:r w:rsidR="00AA3C05"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anwenden.</w:t>
      </w:r>
    </w:p>
    <w:p w14:paraId="3958C7C5" w14:textId="77777777" w:rsidR="00BE3682" w:rsidRPr="004676F5" w:rsidRDefault="00BE3682" w:rsidP="00BE3682">
      <w:pPr>
        <w:jc w:val="both"/>
        <w:rPr>
          <w:rFonts w:eastAsia="Calibri"/>
          <w:kern w:val="2"/>
          <w:lang w:val="de-DE" w:eastAsia="en-US"/>
          <w14:ligatures w14:val="standardContextual"/>
        </w:rPr>
      </w:pPr>
    </w:p>
    <w:p w14:paraId="1DF4B3D9" w14:textId="030B865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Präsident des Wettbewerbskollegiums entscheidet über den von einer betroffenen Partei beantragten Zugang zu den von einer anderen betroffenen Partei hinterlegten schriftlichen Anmerkungen und zusätzlichen Schriftstücken. Er legt die Frist fest, in der die andere betroffene Partei schriftlich eine Replik auf diesen Antrag hinterlegen kann. Er befindet in einem mit Gründen versehenen Beschluss über die Vertraulichkeit der Angaben, die in diesen schriftlichen Anmerkungen und Schriftstücken der anderen betroffenen Partei enthalten sind. Gegen seinen Beschluss kann keine gesonderte Beschwerde eingereicht werden.</w:t>
      </w:r>
    </w:p>
    <w:p w14:paraId="4FA45928" w14:textId="77777777" w:rsidR="00BE3682" w:rsidRPr="004676F5" w:rsidRDefault="00BE3682" w:rsidP="00BE3682">
      <w:pPr>
        <w:jc w:val="both"/>
        <w:rPr>
          <w:rFonts w:eastAsia="Calibri"/>
          <w:kern w:val="2"/>
          <w:lang w:val="de-DE" w:eastAsia="en-US"/>
          <w14:ligatures w14:val="standardContextual"/>
        </w:rPr>
      </w:pPr>
    </w:p>
    <w:p w14:paraId="6EFD3EC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5 ­ Wenn der Auditor den vertraulichen Charakter einer Unterlage oder Angabe gegenüber einer betroffenen Partei angenommen hat, kann diese Partei, wenn sie sich in ihrem Verteidigungsrecht verletzt fühlt, beim Präsidenten des Wettbewerbskollegiums Beschwerde gegen die Vertraulichkeitsentscheidung des Auditors einlegen. Die Beschwerde wird innerhalb fünf Werktagen, nachdem die betroffene Partei Zugang zu der Untersuchungsakte und der Verfahrensakte und gegebenenfalls zu der elektronischen Abschrift dieser Akten erhalten hat, hinterlegt.</w:t>
      </w:r>
    </w:p>
    <w:p w14:paraId="045D492F" w14:textId="77777777" w:rsidR="00BE3682" w:rsidRPr="004676F5" w:rsidRDefault="00BE3682" w:rsidP="00BE3682">
      <w:pPr>
        <w:jc w:val="both"/>
        <w:rPr>
          <w:rFonts w:eastAsia="Calibri"/>
          <w:kern w:val="2"/>
          <w:lang w:val="de-DE" w:eastAsia="en-US"/>
          <w14:ligatures w14:val="standardContextual"/>
        </w:rPr>
      </w:pPr>
    </w:p>
    <w:p w14:paraId="09CD464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Präsident des Wettbewerbskollegiums bestimmt ohne Kenntnisnahme der betreffenden Unterlage oder Angabe beziehungsweise der Beschwerdegründe einen Beisitzer, der nicht im Wettbewerbskollegium tagt. Der Beisitzer hört den Antragsteller, den Auditor und die Person an, die die Unterlage oder Angabe übermittelt hat oder bei der sie beschafft worden ist. Er befindet innerhalb zehn Werktagen nach Einlegung der Beschwerde durch einen mit Gründen versehenen Beschluss. Der Beisitzer hebt die Entscheidung des Auditors ganz oder teilweise auf, wenn die Kenntnisnahme durch das Wettbewerbskollegium oder durch bestimmte betroffene Parteien die Verteidigungsrechte der anderen betroffenen Partei, die die Beschwerde hinterlegt hat, gefährden könnte. In diesem Fall wird die betreffende Unterlage oder Angabe aus der Untersuchungsakte und der Verfahrensakte genommen und durch die nicht vertrauliche Fassung oder Zusammenfassung ersetzt, es sei denn, die Person, die die Unterlage oder Angabe übermittelt hat oder bei der sie beschafft worden ist, verzichtet auf die Vertraulichkeit.</w:t>
      </w:r>
    </w:p>
    <w:p w14:paraId="230CC53E" w14:textId="77777777" w:rsidR="00BE3682" w:rsidRPr="004676F5" w:rsidRDefault="00BE3682" w:rsidP="00BE3682">
      <w:pPr>
        <w:jc w:val="both"/>
        <w:rPr>
          <w:rFonts w:eastAsia="Calibri"/>
          <w:kern w:val="2"/>
          <w:lang w:val="de-DE" w:eastAsia="en-US"/>
          <w14:ligatures w14:val="standardContextual"/>
        </w:rPr>
      </w:pPr>
    </w:p>
    <w:p w14:paraId="3BF793A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Gegen den Beschluss des Beisitzers kann keine gesonderte Beschwerde eingereicht werden.</w:t>
      </w:r>
    </w:p>
    <w:p w14:paraId="23E7FCA8" w14:textId="77777777" w:rsidR="00BE3682" w:rsidRPr="004676F5" w:rsidRDefault="00BE3682" w:rsidP="00BE3682">
      <w:pPr>
        <w:jc w:val="both"/>
        <w:rPr>
          <w:rFonts w:eastAsia="Calibri"/>
          <w:kern w:val="2"/>
          <w:lang w:val="de-DE" w:eastAsia="en-US"/>
          <w14:ligatures w14:val="standardContextual"/>
        </w:rPr>
      </w:pPr>
    </w:p>
    <w:p w14:paraId="15D47919" w14:textId="4521A958"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6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Präsident des Wettbewerbskollegiums kann innerhalb der in § 3 erwähnten Frist eine Frist festlegen, in der der Kläger oder Dritte, die vom Wettbewerbskollegium angehört werden, ihre schriftlichen Anmerkungen und Schriftstücke hinterlegen können. Der Präsident des Wettbewerbskollegiums legt außerdem eine Frist fest, in der der Auditor und die betroffenen Parteien ihre schriftlichen Repliken hinterlegen können.</w:t>
      </w:r>
    </w:p>
    <w:p w14:paraId="1336732D" w14:textId="77777777" w:rsidR="00BE3682" w:rsidRPr="004676F5" w:rsidRDefault="00BE3682" w:rsidP="00BE3682">
      <w:pPr>
        <w:jc w:val="both"/>
        <w:rPr>
          <w:rFonts w:eastAsia="Calibri"/>
          <w:kern w:val="2"/>
          <w:lang w:val="de-DE" w:eastAsia="en-US"/>
          <w14:ligatures w14:val="standardContextual"/>
        </w:rPr>
      </w:pPr>
    </w:p>
    <w:p w14:paraId="2AED369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Wenn der Kläger und Dritte, die das Wettbewerbskollegium anhören wird, dem Wettbewerbskollegium vertrauliche Unterlagen und Angaben übermitteln möchten, bestimmt der Präsident des Wettbewerbskollegiums einen Beisitzer, der nicht im Wettbewerbskollegium tagt und der durch entsprechende Anwendung des in Artikel IV.41 §§ 1 bis 4 erwähnten Verfahrens über die Vertraulichkeit beschließt. Wenn die Kenntnisnahme durch das Wettbewerbskollegium oder durch bestimmte betroffene Parteien die Verteidigungsrechte einer </w:t>
      </w:r>
      <w:r w:rsidRPr="004676F5">
        <w:rPr>
          <w:rFonts w:eastAsia="Calibri"/>
          <w:kern w:val="2"/>
          <w:szCs w:val="22"/>
          <w:lang w:val="de-DE" w:eastAsia="en-US"/>
          <w14:ligatures w14:val="standardContextual"/>
        </w:rPr>
        <w:lastRenderedPageBreak/>
        <w:t>anderen betroffenen Partei gefährden könnte, beschließt der Beisitzer, dass die betreffende Unterlage oder Angabe nicht in die Verfahrensakte aufgenommen wird und durch die nicht vertrauliche Fassung oder Zusammenfassung ersetzt wird. Gegen den Beschluss des Beisitzers kann keine gesonderte Beschwerde eingereicht werden.</w:t>
      </w:r>
    </w:p>
    <w:p w14:paraId="69538C34" w14:textId="77777777" w:rsidR="00BE3682" w:rsidRPr="004676F5" w:rsidRDefault="00BE3682" w:rsidP="00BE3682">
      <w:pPr>
        <w:jc w:val="both"/>
        <w:rPr>
          <w:rFonts w:eastAsia="Calibri"/>
          <w:kern w:val="2"/>
          <w:lang w:val="de-DE" w:eastAsia="en-US"/>
          <w14:ligatures w14:val="standardContextual"/>
        </w:rPr>
      </w:pPr>
    </w:p>
    <w:p w14:paraId="453688D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7 ­ Die betroffenen Parteien, der Kläger, Dritte, die das Wettbewerbskollegium anhören wird, und der Auditor übermitteln sich gegenseitig per E-Mail ihre schriftlichen Anmerkungen und Schriftstücke am Tag ihrer Hinterlegung beim Sekretariat.</w:t>
      </w:r>
    </w:p>
    <w:p w14:paraId="582BC9A3" w14:textId="77777777" w:rsidR="00BE3682" w:rsidRPr="004676F5" w:rsidRDefault="00BE3682" w:rsidP="00BE3682">
      <w:pPr>
        <w:jc w:val="both"/>
        <w:rPr>
          <w:rFonts w:eastAsia="Calibri"/>
          <w:kern w:val="2"/>
          <w:lang w:val="de-DE" w:eastAsia="en-US"/>
          <w14:ligatures w14:val="standardContextual"/>
        </w:rPr>
      </w:pPr>
    </w:p>
    <w:p w14:paraId="239752A7" w14:textId="28595280" w:rsidR="00AA3C05" w:rsidRPr="004676F5" w:rsidRDefault="00AA3C05"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[Art. IV.49 § 3 </w:t>
      </w:r>
      <w:r w:rsidR="005A2CB2" w:rsidRPr="004676F5">
        <w:rPr>
          <w:rFonts w:eastAsia="Calibri"/>
          <w:i/>
          <w:iCs/>
          <w:kern w:val="2"/>
          <w:lang w:val="de-DE" w:eastAsia="en-US"/>
          <w14:ligatures w14:val="standardContextual"/>
        </w:rPr>
        <w:t xml:space="preserve">Abs. 1 ersetzt durch Art. 33 Nr. 1 des G. vom 29. März 2024 (B.S. vom 3. Mai 2024); § 3 </w:t>
      </w:r>
      <w:r w:rsidR="001D448B" w:rsidRPr="004676F5">
        <w:rPr>
          <w:rFonts w:eastAsia="Calibri"/>
          <w:i/>
          <w:iCs/>
          <w:kern w:val="2"/>
          <w:lang w:val="de-DE" w:eastAsia="en-US"/>
          <w14:ligatures w14:val="standardContextual"/>
        </w:rPr>
        <w:t>früherer Absatz 2</w:t>
      </w:r>
      <w:r w:rsidR="005A2CB2" w:rsidRPr="004676F5">
        <w:rPr>
          <w:rFonts w:eastAsia="Calibri"/>
          <w:i/>
          <w:iCs/>
          <w:color w:val="EE0000"/>
          <w:kern w:val="2"/>
          <w:lang w:val="de-DE" w:eastAsia="en-US"/>
          <w14:ligatures w14:val="standardContextual"/>
        </w:rPr>
        <w:t xml:space="preserve"> </w:t>
      </w:r>
      <w:r w:rsidR="005A2CB2" w:rsidRPr="004676F5">
        <w:rPr>
          <w:rFonts w:eastAsia="Calibri"/>
          <w:i/>
          <w:iCs/>
          <w:kern w:val="2"/>
          <w:lang w:val="de-DE" w:eastAsia="en-US"/>
          <w14:ligatures w14:val="standardContextual"/>
        </w:rPr>
        <w:t xml:space="preserve">aufgehoben durch Art. 33 Nr. 2 des G. vom 29. März 2024 (B.S. vom 3. Mai 2024); § 3 </w:t>
      </w:r>
      <w:r w:rsidRPr="004676F5">
        <w:rPr>
          <w:rFonts w:eastAsia="Calibri"/>
          <w:i/>
          <w:iCs/>
          <w:kern w:val="2"/>
          <w:lang w:val="de-DE" w:eastAsia="en-US"/>
          <w14:ligatures w14:val="standardContextual"/>
        </w:rPr>
        <w:t>Abs. </w:t>
      </w:r>
      <w:r w:rsidR="001D448B" w:rsidRPr="004676F5">
        <w:rPr>
          <w:rFonts w:eastAsia="Calibri"/>
          <w:i/>
          <w:iCs/>
          <w:kern w:val="2"/>
          <w:lang w:val="de-DE" w:eastAsia="en-US"/>
          <w14:ligatures w14:val="standardContextual"/>
        </w:rPr>
        <w:t>3</w:t>
      </w:r>
      <w:r w:rsidRPr="004676F5">
        <w:rPr>
          <w:rFonts w:eastAsia="Calibri"/>
          <w:i/>
          <w:iCs/>
          <w:kern w:val="2"/>
          <w:lang w:val="de-DE" w:eastAsia="en-US"/>
          <w14:ligatures w14:val="standardContextual"/>
        </w:rPr>
        <w:t xml:space="preserve"> </w:t>
      </w:r>
      <w:r w:rsidR="001D448B" w:rsidRPr="004676F5">
        <w:rPr>
          <w:rFonts w:eastAsia="Calibri"/>
          <w:i/>
          <w:iCs/>
          <w:kern w:val="2"/>
          <w:lang w:val="de-DE" w:eastAsia="en-US"/>
          <w14:ligatures w14:val="standardContextual"/>
        </w:rPr>
        <w:t xml:space="preserve">(früherer Absatz 4) </w:t>
      </w:r>
      <w:r w:rsidRPr="004676F5">
        <w:rPr>
          <w:rFonts w:eastAsia="Calibri"/>
          <w:i/>
          <w:iCs/>
          <w:kern w:val="2"/>
          <w:lang w:val="de-DE" w:eastAsia="en-US"/>
          <w14:ligatures w14:val="standardContextual"/>
        </w:rPr>
        <w:t>abgeändert durch Art. 31 des G. vom 28. Februar 2022 (B.S. vom 7. März 2022)]</w:t>
      </w:r>
    </w:p>
    <w:p w14:paraId="3922B27A" w14:textId="77777777" w:rsidR="00AA3C05" w:rsidRPr="004676F5" w:rsidRDefault="00AA3C05" w:rsidP="00BE3682">
      <w:pPr>
        <w:jc w:val="both"/>
        <w:rPr>
          <w:rFonts w:eastAsia="Calibri"/>
          <w:i/>
          <w:iCs/>
          <w:kern w:val="2"/>
          <w:lang w:val="de-DE" w:eastAsia="en-US"/>
          <w14:ligatures w14:val="standardContextual"/>
        </w:rPr>
      </w:pPr>
    </w:p>
    <w:p w14:paraId="141E814D" w14:textId="77777777" w:rsidR="007854CD" w:rsidRPr="004676F5" w:rsidRDefault="007854CD" w:rsidP="00BE3682">
      <w:pPr>
        <w:jc w:val="both"/>
        <w:rPr>
          <w:rFonts w:eastAsia="Calibri"/>
          <w:kern w:val="2"/>
          <w:lang w:val="de-DE" w:eastAsia="en-US"/>
          <w14:ligatures w14:val="standardContextual"/>
        </w:rPr>
      </w:pPr>
    </w:p>
    <w:p w14:paraId="22E35AE4" w14:textId="0BB92F63"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IV.50</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Nach Erhalt der schriftlichen Anmerkungen und Schriftstücke oder nach Ablauf der Frist, in der schriftliche Anmerkungen und Schriftstücke hinterlegt werden können, erklärt der Präsident des Wettbewerbskollegiums das schriftliche Verfahren für abgeschlossen und organisiert er unverzüglich eine Sitzung des Wettbewerbskollegiums. Diese Sitzung findet frühestens zwei Wochen und spätestens zwei Monate nach Abschluss des schriftlichen Verfahrens statt.</w:t>
      </w:r>
    </w:p>
    <w:p w14:paraId="0722AD28" w14:textId="77777777" w:rsidR="00BE3682" w:rsidRPr="004676F5" w:rsidRDefault="00BE3682" w:rsidP="00BE3682">
      <w:pPr>
        <w:jc w:val="both"/>
        <w:rPr>
          <w:rFonts w:eastAsia="Calibri"/>
          <w:kern w:val="2"/>
          <w:lang w:val="de-DE" w:eastAsia="en-US"/>
          <w14:ligatures w14:val="standardContextual"/>
        </w:rPr>
      </w:pPr>
    </w:p>
    <w:p w14:paraId="5859803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Das Wettbewerbskollegium untersucht die Sachen in einer Sitzung. Es hört den Generalauditor und/oder den Auditor, die betroffenen Parteien sowie den Kläger und Interesse habende Dritte, die es beantragen, an.</w:t>
      </w:r>
    </w:p>
    <w:p w14:paraId="7C98B005" w14:textId="77777777" w:rsidR="00BE3682" w:rsidRPr="004676F5" w:rsidRDefault="00BE3682" w:rsidP="00BE3682">
      <w:pPr>
        <w:jc w:val="both"/>
        <w:rPr>
          <w:rFonts w:eastAsia="Calibri"/>
          <w:kern w:val="2"/>
          <w:lang w:val="de-DE" w:eastAsia="en-US"/>
          <w14:ligatures w14:val="standardContextual"/>
        </w:rPr>
      </w:pPr>
    </w:p>
    <w:p w14:paraId="08A59B3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Wenn das Wettbewerbskollegium es für erforderlich hält, hört es andere natürliche oder juristische Personen, die es vorlädt, an.</w:t>
      </w:r>
    </w:p>
    <w:p w14:paraId="543F6584" w14:textId="77777777" w:rsidR="00BE3682" w:rsidRPr="004676F5" w:rsidRDefault="00BE3682" w:rsidP="00BE3682">
      <w:pPr>
        <w:jc w:val="both"/>
        <w:rPr>
          <w:rFonts w:eastAsia="Calibri"/>
          <w:kern w:val="2"/>
          <w:lang w:val="de-DE" w:eastAsia="en-US"/>
          <w14:ligatures w14:val="standardContextual"/>
        </w:rPr>
      </w:pPr>
    </w:p>
    <w:p w14:paraId="1F26541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Wettbewerbskollegium hört auch Dritte an, die ein hinreichendes Interesse darlegen und einen Antrag auf Anhörung stellen. Für Wirtschaftssektoren, die unter der Kontrolle oder Überwachung einer bestimmten öffentlichen Einrichtung oder anderen öffentlichen Körperschaft stehen, gilt, dass diese Einrichtungen oder Körperschaften ein hinreichendes Interesse haben. Es wird davon ausgegangen, dass der Minister ein hinreichendes Interesse hat.</w:t>
      </w:r>
    </w:p>
    <w:p w14:paraId="1C73E539" w14:textId="77777777" w:rsidR="00BE3682" w:rsidRPr="004676F5" w:rsidRDefault="00BE3682" w:rsidP="00BE3682">
      <w:pPr>
        <w:jc w:val="both"/>
        <w:rPr>
          <w:rFonts w:eastAsia="Calibri"/>
          <w:kern w:val="2"/>
          <w:lang w:val="de-DE" w:eastAsia="en-US"/>
          <w14:ligatures w14:val="standardContextual"/>
        </w:rPr>
      </w:pPr>
    </w:p>
    <w:p w14:paraId="252D756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Direktor der juristischen Angelegenheiten und der Direktor der wirtschaftlichen Angelegenheiten werden auf ihren Antrag hin angehört.</w:t>
      </w:r>
    </w:p>
    <w:p w14:paraId="5BFDC503" w14:textId="77777777" w:rsidR="00BE3682" w:rsidRPr="004676F5" w:rsidRDefault="00BE3682" w:rsidP="00BE3682">
      <w:pPr>
        <w:jc w:val="both"/>
        <w:rPr>
          <w:rFonts w:eastAsia="Calibri"/>
          <w:kern w:val="2"/>
          <w:lang w:val="de-DE" w:eastAsia="en-US"/>
          <w14:ligatures w14:val="standardContextual"/>
        </w:rPr>
      </w:pPr>
    </w:p>
    <w:p w14:paraId="317BE0B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Nichterscheinen der vorgeladenen Parteien oder Personen oder ihrer Bevoll</w:t>
      </w:r>
      <w:r w:rsidRPr="004676F5">
        <w:rPr>
          <w:rFonts w:eastAsia="Calibri"/>
          <w:kern w:val="2"/>
          <w:szCs w:val="22"/>
          <w:lang w:val="de-DE" w:eastAsia="en-US"/>
          <w14:ligatures w14:val="standardContextual"/>
        </w:rPr>
        <w:softHyphen/>
        <w:t>mächtigten beeinträchtigt die Gültigkeit des Verfahrens nicht.</w:t>
      </w:r>
    </w:p>
    <w:p w14:paraId="78682058" w14:textId="77777777" w:rsidR="00BE3682" w:rsidRPr="004676F5" w:rsidRDefault="00BE3682" w:rsidP="00BE3682">
      <w:pPr>
        <w:jc w:val="both"/>
        <w:rPr>
          <w:rFonts w:eastAsia="Calibri"/>
          <w:kern w:val="2"/>
          <w:lang w:val="de-DE" w:eastAsia="en-US"/>
          <w14:ligatures w14:val="standardContextual"/>
        </w:rPr>
      </w:pPr>
    </w:p>
    <w:p w14:paraId="4DADD0B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Der Präsident des Wettbewerbskollegiums kann beschließen, innerhalb der in § 1 erwähnten Höchstfrist mehr als eine Sitzung zu organisieren. Wenn eine zusätzliche Sitzung nicht erforderlich ist, kann das Wettbewerbskollegium in seiner Entscheidung den Abschluss der Verhandlungen feststellen.</w:t>
      </w:r>
    </w:p>
    <w:p w14:paraId="202C18E7" w14:textId="77777777" w:rsidR="00BE3682" w:rsidRPr="004676F5" w:rsidRDefault="00BE3682" w:rsidP="00BE3682">
      <w:pPr>
        <w:jc w:val="both"/>
        <w:rPr>
          <w:rFonts w:eastAsia="Calibri"/>
          <w:kern w:val="2"/>
          <w:lang w:val="de-DE" w:eastAsia="en-US"/>
          <w14:ligatures w14:val="standardContextual"/>
        </w:rPr>
      </w:pPr>
    </w:p>
    <w:p w14:paraId="56C42065" w14:textId="0A678BE1"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Eine betroffene Partei kann bis zum dritten Werktag nach der ersten Sitzung Verpflichtungszusagen anbieten, die geeignet sind, die Bedenken des Wettbewerbskollegiums auszuräumen. </w:t>
      </w:r>
      <w:r w:rsidR="00AA3C05" w:rsidRPr="004676F5">
        <w:rPr>
          <w:rFonts w:eastAsia="Calibri"/>
          <w:kern w:val="2"/>
          <w:szCs w:val="22"/>
          <w:lang w:val="de-DE" w:eastAsia="en-US"/>
          <w14:ligatures w14:val="standardContextual"/>
        </w:rPr>
        <w:t>[</w:t>
      </w:r>
      <w:r w:rsidR="00AA3C05" w:rsidRPr="004676F5">
        <w:rPr>
          <w:lang w:val="de-DE"/>
        </w:rPr>
        <w:t xml:space="preserve">Gegebenenfalls fordert das Wettbewerbskollegium den Auditor auf, formell oder informell die Stellungnahme der Marktteilnehmer einzuholen und eventuell schriftliche </w:t>
      </w:r>
      <w:r w:rsidR="00AA3C05" w:rsidRPr="004676F5">
        <w:rPr>
          <w:lang w:val="de-DE"/>
        </w:rPr>
        <w:lastRenderedPageBreak/>
        <w:t>Anmerkungen zu den angebotenen Verpflichtungszusagen einzureichen.</w:t>
      </w:r>
      <w:r w:rsidR="00AA3C05"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In diesem Fall kann die betroffene Partei schriftlich auf diese schriftlichen Anmerkungen antworten.</w:t>
      </w:r>
    </w:p>
    <w:p w14:paraId="3D1BB1A9" w14:textId="77777777" w:rsidR="00BE3682" w:rsidRPr="004676F5" w:rsidRDefault="00BE3682" w:rsidP="00BE3682">
      <w:pPr>
        <w:jc w:val="both"/>
        <w:rPr>
          <w:rFonts w:eastAsia="Calibri"/>
          <w:kern w:val="2"/>
          <w:lang w:val="de-DE" w:eastAsia="en-US"/>
          <w14:ligatures w14:val="standardContextual"/>
        </w:rPr>
      </w:pPr>
    </w:p>
    <w:p w14:paraId="6A7B7A9B" w14:textId="3EB217E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Der Auditor kann bei der Vorbereitung seiner schriftlichen Anmerkungen </w:t>
      </w:r>
      <w:r w:rsidR="00AA3C05"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Artikel IV.40</w:t>
      </w:r>
      <w:r w:rsidR="00AA3C05"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anwenden.</w:t>
      </w:r>
    </w:p>
    <w:p w14:paraId="1E1B80D3" w14:textId="77777777" w:rsidR="00BE3682" w:rsidRPr="004676F5" w:rsidRDefault="00BE3682" w:rsidP="00BE3682">
      <w:pPr>
        <w:jc w:val="both"/>
        <w:rPr>
          <w:rFonts w:eastAsia="Calibri"/>
          <w:kern w:val="2"/>
          <w:lang w:val="de-DE" w:eastAsia="en-US"/>
          <w14:ligatures w14:val="standardContextual"/>
        </w:rPr>
      </w:pPr>
    </w:p>
    <w:p w14:paraId="2029E37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Wettbewerbskollegium legt die Fristen für die Hinterlegung der schriftlichen Anmerkungen und der Antwort fest.</w:t>
      </w:r>
    </w:p>
    <w:p w14:paraId="02070FCA" w14:textId="77777777" w:rsidR="00BE3682" w:rsidRPr="004676F5" w:rsidRDefault="00BE3682" w:rsidP="00BE3682">
      <w:pPr>
        <w:jc w:val="both"/>
        <w:rPr>
          <w:rFonts w:eastAsia="Calibri"/>
          <w:kern w:val="2"/>
          <w:lang w:val="de-DE" w:eastAsia="en-US"/>
          <w14:ligatures w14:val="standardContextual"/>
        </w:rPr>
      </w:pPr>
    </w:p>
    <w:p w14:paraId="63F5728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Wettbewerbskollegium kann beschließen, die betroffene Partei und den Auditor anzuhören.</w:t>
      </w:r>
    </w:p>
    <w:p w14:paraId="5A377D16" w14:textId="77777777" w:rsidR="00BE3682" w:rsidRPr="004676F5" w:rsidRDefault="00BE3682" w:rsidP="00BE3682">
      <w:pPr>
        <w:jc w:val="both"/>
        <w:rPr>
          <w:rFonts w:eastAsia="Calibri"/>
          <w:kern w:val="2"/>
          <w:lang w:val="de-DE" w:eastAsia="en-US"/>
          <w14:ligatures w14:val="standardContextual"/>
        </w:rPr>
      </w:pPr>
    </w:p>
    <w:p w14:paraId="1DC68FE2" w14:textId="079B01EC"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 xml:space="preserve">Im Falle der Anwendung von Absatz 1 kann der Präsident des Wettbewerbskollegiums die in § 1 erwähnte Höchstfrist von zwei Monaten um höchstens </w:t>
      </w:r>
      <w:r w:rsidR="00FE0EB5" w:rsidRPr="004676F5">
        <w:rPr>
          <w:rFonts w:eastAsia="Calibri"/>
          <w:kern w:val="2"/>
          <w:szCs w:val="22"/>
          <w:lang w:val="de-DE" w:eastAsia="en-US"/>
          <w14:ligatures w14:val="standardContextual"/>
        </w:rPr>
        <w:t>[zw</w:t>
      </w:r>
      <w:r w:rsidRPr="004676F5">
        <w:rPr>
          <w:rFonts w:eastAsia="Calibri"/>
          <w:kern w:val="2"/>
          <w:szCs w:val="22"/>
          <w:lang w:val="de-DE" w:eastAsia="en-US"/>
          <w14:ligatures w14:val="standardContextual"/>
        </w:rPr>
        <w:t>ei Monat</w:t>
      </w:r>
      <w:r w:rsidR="00FE0EB5" w:rsidRPr="004676F5">
        <w:rPr>
          <w:rFonts w:eastAsia="Calibri"/>
          <w:kern w:val="2"/>
          <w:szCs w:val="22"/>
          <w:lang w:val="de-DE" w:eastAsia="en-US"/>
          <w14:ligatures w14:val="standardContextual"/>
        </w:rPr>
        <w:t>e]</w:t>
      </w:r>
      <w:r w:rsidRPr="004676F5">
        <w:rPr>
          <w:rFonts w:eastAsia="Calibri"/>
          <w:kern w:val="2"/>
          <w:szCs w:val="22"/>
          <w:lang w:val="de-DE" w:eastAsia="en-US"/>
          <w14:ligatures w14:val="standardContextual"/>
        </w:rPr>
        <w:t xml:space="preserve"> verlängern.</w:t>
      </w:r>
    </w:p>
    <w:p w14:paraId="441D6F53" w14:textId="77777777" w:rsidR="00FE0EB5" w:rsidRPr="004676F5" w:rsidRDefault="00FE0EB5" w:rsidP="00BE3682">
      <w:pPr>
        <w:jc w:val="both"/>
        <w:rPr>
          <w:rFonts w:eastAsia="Calibri"/>
          <w:kern w:val="2"/>
          <w:szCs w:val="22"/>
          <w:lang w:val="de-DE" w:eastAsia="en-US"/>
          <w14:ligatures w14:val="standardContextual"/>
        </w:rPr>
      </w:pPr>
    </w:p>
    <w:p w14:paraId="3D0DB983" w14:textId="0856302C" w:rsidR="00FE0EB5" w:rsidRPr="004676F5" w:rsidRDefault="00FE0EB5" w:rsidP="00BE3682">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IV.50 § 4 Abs. 1 abgeändert durch Art. 32 Nr. 1 des G. vom 28. Februar 2022 (B.S. vom 7. März 2022); § 4 Abs. 2 abgeändert durch Art. 32 Nr. 2 des G. vom 28. Februar 2022 (B.S. vom 7. März 2022); § 4 Abs. 5 abgeändert durch Art. 32 Nr. 3 des G. vom 28. Februar 2022 (B.S. vom 7. März 2022)]</w:t>
      </w:r>
    </w:p>
    <w:p w14:paraId="658A913D" w14:textId="77777777" w:rsidR="00BE3682" w:rsidRPr="004676F5" w:rsidRDefault="00BE3682" w:rsidP="00BE3682">
      <w:pPr>
        <w:jc w:val="both"/>
        <w:rPr>
          <w:rFonts w:eastAsia="Calibri"/>
          <w:kern w:val="2"/>
          <w:lang w:val="de-DE" w:eastAsia="en-US"/>
          <w14:ligatures w14:val="standardContextual"/>
        </w:rPr>
      </w:pPr>
    </w:p>
    <w:p w14:paraId="2EC9F36C" w14:textId="77777777" w:rsidR="00490221" w:rsidRPr="004676F5" w:rsidRDefault="00490221" w:rsidP="00BE3682">
      <w:pPr>
        <w:jc w:val="both"/>
        <w:rPr>
          <w:rFonts w:eastAsia="Calibri"/>
          <w:kern w:val="2"/>
          <w:lang w:val="de-DE" w:eastAsia="en-US"/>
          <w14:ligatures w14:val="standardContextual"/>
        </w:rPr>
      </w:pPr>
    </w:p>
    <w:p w14:paraId="0FF2BD96" w14:textId="05BEC2C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IV.51</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Das Wettbewerbskollegium trifft seine Entscheidung innerhalb eines Monats nach Schließung der Verhandlung.</w:t>
      </w:r>
    </w:p>
    <w:p w14:paraId="6E5FD099" w14:textId="77777777" w:rsidR="00BE3682" w:rsidRPr="004676F5" w:rsidRDefault="00BE3682" w:rsidP="00BE3682">
      <w:pPr>
        <w:jc w:val="both"/>
        <w:rPr>
          <w:rFonts w:eastAsia="Calibri"/>
          <w:kern w:val="2"/>
          <w:lang w:val="de-DE" w:eastAsia="en-US"/>
          <w14:ligatures w14:val="standardContextual"/>
        </w:rPr>
      </w:pPr>
    </w:p>
    <w:p w14:paraId="6CD264C2" w14:textId="27357095" w:rsidR="00BE3682" w:rsidRPr="004676F5" w:rsidRDefault="00B70DD5"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00BE3682" w:rsidRPr="004676F5">
        <w:rPr>
          <w:rFonts w:eastAsia="Calibri"/>
          <w:kern w:val="2"/>
          <w:szCs w:val="22"/>
          <w:lang w:val="de-DE" w:eastAsia="en-US"/>
          <w14:ligatures w14:val="standardContextual"/>
        </w:rPr>
        <w:t xml:space="preserve">Die in Absatz 1 erwähnte Frist wird ausgesetzt, wenn die beabsichtigte Entscheidung </w:t>
      </w:r>
      <w:r w:rsidR="00FE0EB5" w:rsidRPr="004676F5">
        <w:rPr>
          <w:rFonts w:eastAsia="Calibri"/>
          <w:kern w:val="2"/>
          <w:szCs w:val="22"/>
          <w:lang w:val="de-DE" w:eastAsia="en-US"/>
          <w14:ligatures w14:val="standardContextual"/>
        </w:rPr>
        <w:t>[</w:t>
      </w:r>
      <w:r w:rsidR="00FE0EB5" w:rsidRPr="004676F5">
        <w:rPr>
          <w:lang w:val="de-DE"/>
        </w:rPr>
        <w:t>in Anwendung von Artikel IV.78/1 Absatz 3</w:t>
      </w:r>
      <w:r w:rsidR="00FE0EB5" w:rsidRPr="004676F5">
        <w:rPr>
          <w:rFonts w:eastAsia="Calibri"/>
          <w:kern w:val="2"/>
          <w:szCs w:val="22"/>
          <w:lang w:val="de-DE" w:eastAsia="en-US"/>
          <w14:ligatures w14:val="standardContextual"/>
        </w:rPr>
        <w:t xml:space="preserve">] </w:t>
      </w:r>
      <w:r w:rsidR="00BE3682" w:rsidRPr="004676F5">
        <w:rPr>
          <w:rFonts w:eastAsia="Calibri"/>
          <w:kern w:val="2"/>
          <w:szCs w:val="22"/>
          <w:lang w:val="de-DE" w:eastAsia="en-US"/>
          <w14:ligatures w14:val="standardContextual"/>
        </w:rPr>
        <w:t>die Konsultation der Europäischen Kommission erfordert, und zwar ab Versendung des Entscheidungsentwurfs bis zu dem Tag, an dem die Belgische Wettbewerbsbehörde die Bemerkungen der Europäischen Kommission erhält.</w:t>
      </w:r>
    </w:p>
    <w:p w14:paraId="5E7044F6" w14:textId="77777777" w:rsidR="00BE3682" w:rsidRPr="004676F5" w:rsidRDefault="00BE3682" w:rsidP="00BE3682">
      <w:pPr>
        <w:jc w:val="both"/>
        <w:rPr>
          <w:rFonts w:eastAsia="Calibri"/>
          <w:kern w:val="2"/>
          <w:lang w:val="de-DE" w:eastAsia="en-US"/>
          <w14:ligatures w14:val="standardContextual"/>
        </w:rPr>
      </w:pPr>
    </w:p>
    <w:p w14:paraId="139A08D7" w14:textId="17345B8C" w:rsidR="00FE0EB5" w:rsidRPr="004676F5" w:rsidRDefault="00FE0EB5"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IV.51 Abs. 2 abgeändert durch Art. 33 des G. vom 28. Februar 2022 (B.S. vom 7. März 2022)]</w:t>
      </w:r>
    </w:p>
    <w:p w14:paraId="3A99BC3C" w14:textId="77777777" w:rsidR="00FE0EB5" w:rsidRPr="004676F5" w:rsidRDefault="00FE0EB5" w:rsidP="00BE3682">
      <w:pPr>
        <w:jc w:val="both"/>
        <w:rPr>
          <w:rFonts w:eastAsia="Calibri"/>
          <w:i/>
          <w:iCs/>
          <w:kern w:val="2"/>
          <w:lang w:val="de-DE" w:eastAsia="en-US"/>
          <w14:ligatures w14:val="standardContextual"/>
        </w:rPr>
      </w:pPr>
    </w:p>
    <w:p w14:paraId="337BADE5" w14:textId="77777777" w:rsidR="008A1473" w:rsidRPr="004676F5" w:rsidRDefault="008A1473" w:rsidP="00BE3682">
      <w:pPr>
        <w:jc w:val="both"/>
        <w:rPr>
          <w:rFonts w:eastAsia="Calibri"/>
          <w:kern w:val="2"/>
          <w:lang w:val="de-DE" w:eastAsia="en-US"/>
          <w14:ligatures w14:val="standardContextual"/>
        </w:rPr>
      </w:pPr>
    </w:p>
    <w:p w14:paraId="14126D28" w14:textId="5943299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IV.52</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Das Wettbewerbskollegium kann durch eine mit Gründen versehene Entscheidung:</w:t>
      </w:r>
    </w:p>
    <w:p w14:paraId="21F25E91" w14:textId="77777777" w:rsidR="00BE3682" w:rsidRPr="004676F5" w:rsidRDefault="00BE3682" w:rsidP="00BE3682">
      <w:pPr>
        <w:jc w:val="both"/>
        <w:rPr>
          <w:rFonts w:eastAsia="Calibri"/>
          <w:kern w:val="2"/>
          <w:lang w:val="de-DE" w:eastAsia="en-US"/>
          <w14:ligatures w14:val="standardContextual"/>
        </w:rPr>
      </w:pPr>
    </w:p>
    <w:p w14:paraId="6A229BA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erklären, dass es nach den ihm bekannten Fakten keinen Anlass zum Einschreiten sieht,</w:t>
      </w:r>
    </w:p>
    <w:p w14:paraId="4CB9E0E8" w14:textId="77777777" w:rsidR="00BE3682" w:rsidRPr="004676F5" w:rsidRDefault="00BE3682" w:rsidP="00BE3682">
      <w:pPr>
        <w:jc w:val="both"/>
        <w:rPr>
          <w:rFonts w:eastAsia="Calibri"/>
          <w:kern w:val="2"/>
          <w:lang w:val="de-DE" w:eastAsia="en-US"/>
          <w14:ligatures w14:val="standardContextual"/>
        </w:rPr>
      </w:pPr>
    </w:p>
    <w:p w14:paraId="11F60790" w14:textId="7AC2FC7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2. feststellen, dass eine </w:t>
      </w:r>
      <w:r w:rsidR="00FE0EB5" w:rsidRPr="004676F5">
        <w:rPr>
          <w:rFonts w:eastAsia="Calibri"/>
          <w:kern w:val="2"/>
          <w:szCs w:val="22"/>
          <w:lang w:val="de-DE" w:eastAsia="en-US"/>
          <w14:ligatures w14:val="standardContextual"/>
        </w:rPr>
        <w:t xml:space="preserve">[Zuwiderhandlung gegen das Wettbewerbsrecht] </w:t>
      </w:r>
      <w:r w:rsidRPr="004676F5">
        <w:rPr>
          <w:rFonts w:eastAsia="Calibri"/>
          <w:kern w:val="2"/>
          <w:szCs w:val="22"/>
          <w:lang w:val="de-DE" w:eastAsia="en-US"/>
          <w14:ligatures w14:val="standardContextual"/>
        </w:rPr>
        <w:t>und gegebenenfalls ein Verstoß gegen Artikel IV.1 § 4 vorliegt, ihre Einstellung anordnen, falls notwendig gemäß den vom Wettbewerbskollegium vorgeschriebenen Modalitäten, und gegebenenfalls eine Geldbuße verhängen,</w:t>
      </w:r>
    </w:p>
    <w:p w14:paraId="268CECA4" w14:textId="77777777" w:rsidR="00BE3682" w:rsidRPr="004676F5" w:rsidRDefault="00BE3682" w:rsidP="00BE3682">
      <w:pPr>
        <w:jc w:val="both"/>
        <w:rPr>
          <w:rFonts w:eastAsia="Calibri"/>
          <w:kern w:val="2"/>
          <w:lang w:val="de-DE" w:eastAsia="en-US"/>
          <w14:ligatures w14:val="standardContextual"/>
        </w:rPr>
      </w:pPr>
    </w:p>
    <w:p w14:paraId="04E7B6ED" w14:textId="6AF933C5" w:rsidR="00FE0EB5" w:rsidRPr="004676F5" w:rsidRDefault="00FE0EB5" w:rsidP="00BE3682">
      <w:pPr>
        <w:jc w:val="both"/>
        <w:rPr>
          <w:rFonts w:eastAsia="Calibri"/>
          <w:kern w:val="2"/>
          <w:lang w:val="de-DE" w:eastAsia="en-US"/>
          <w14:ligatures w14:val="standardContextual"/>
        </w:rPr>
      </w:pPr>
      <w:r w:rsidRPr="004676F5">
        <w:rPr>
          <w:rFonts w:eastAsia="Calibri"/>
          <w:kern w:val="2"/>
          <w:lang w:val="de-DE" w:eastAsia="en-US"/>
          <w14:ligatures w14:val="standardContextual"/>
        </w:rPr>
        <w:tab/>
        <w:t>[</w:t>
      </w:r>
      <w:r w:rsidRPr="004676F5">
        <w:rPr>
          <w:lang w:val="de-DE"/>
        </w:rPr>
        <w:t>2/1. feststellen, dass in der Vergangenheit eine Zuwiderhandlung gegen das Wettbewerbsrecht begangen wurde, und gegebenenfalls eine Geldbuße verhängen,</w:t>
      </w:r>
      <w:r w:rsidRPr="004676F5">
        <w:rPr>
          <w:rFonts w:eastAsia="Calibri"/>
          <w:kern w:val="2"/>
          <w:lang w:val="de-DE" w:eastAsia="en-US"/>
          <w14:ligatures w14:val="standardContextual"/>
        </w:rPr>
        <w:t>]</w:t>
      </w:r>
    </w:p>
    <w:p w14:paraId="0D16C2A1" w14:textId="77777777" w:rsidR="00FE0EB5" w:rsidRPr="004676F5" w:rsidRDefault="00FE0EB5" w:rsidP="00BE3682">
      <w:pPr>
        <w:jc w:val="both"/>
        <w:rPr>
          <w:rFonts w:eastAsia="Calibri"/>
          <w:kern w:val="2"/>
          <w:lang w:val="de-DE" w:eastAsia="en-US"/>
          <w14:ligatures w14:val="standardContextual"/>
        </w:rPr>
      </w:pPr>
    </w:p>
    <w:p w14:paraId="075F1471" w14:textId="591A9FD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3. feststellen, dass, sofern der Handel zwischen Mitgliedstaaten der Europäischen Union nicht beeinträchtigt wird, keine </w:t>
      </w:r>
      <w:r w:rsidR="00FE0EB5" w:rsidRPr="004676F5">
        <w:rPr>
          <w:rFonts w:eastAsia="Calibri"/>
          <w:kern w:val="2"/>
          <w:szCs w:val="22"/>
          <w:lang w:val="de-DE" w:eastAsia="en-US"/>
          <w14:ligatures w14:val="standardContextual"/>
        </w:rPr>
        <w:t xml:space="preserve">[Zuwiderhandlung gegen das Wettbewerbsrecht] </w:t>
      </w:r>
      <w:r w:rsidRPr="004676F5">
        <w:rPr>
          <w:rFonts w:eastAsia="Calibri"/>
          <w:kern w:val="2"/>
          <w:szCs w:val="22"/>
          <w:lang w:val="de-DE" w:eastAsia="en-US"/>
          <w14:ligatures w14:val="standardContextual"/>
        </w:rPr>
        <w:t>vorliegt,</w:t>
      </w:r>
    </w:p>
    <w:p w14:paraId="659FE3C1" w14:textId="77777777" w:rsidR="00BE3682" w:rsidRPr="004676F5" w:rsidRDefault="00BE3682" w:rsidP="00BE3682">
      <w:pPr>
        <w:jc w:val="both"/>
        <w:rPr>
          <w:rFonts w:eastAsia="Calibri"/>
          <w:kern w:val="2"/>
          <w:lang w:val="de-DE" w:eastAsia="en-US"/>
          <w14:ligatures w14:val="standardContextual"/>
        </w:rPr>
      </w:pPr>
    </w:p>
    <w:p w14:paraId="41F13F8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4. feststellen, dass Vereinbarungen zwischen Unternehmen, Beschlüsse von Unternehmensvereinigungen oder aufeinander abgestimmte Verhaltensweisen, auf die die Untersuchung sich bezog, Gegenstand einer Verordnung des Rates der Europäischen Union oder der Europäischen Kommission, durch die Artikel 101 Absatz 1 AEUV für nicht anwendbar erklärt wird, oder eines Königlichen Erlasses im Sinne von Artikel IV.5 sind, und eine Entscheidung zur Verfahrenseinstellung erlassen,</w:t>
      </w:r>
    </w:p>
    <w:p w14:paraId="5F1DE9EA" w14:textId="77777777" w:rsidR="00BE3682" w:rsidRPr="004676F5" w:rsidRDefault="00BE3682" w:rsidP="00BE3682">
      <w:pPr>
        <w:jc w:val="both"/>
        <w:rPr>
          <w:rFonts w:eastAsia="Calibri"/>
          <w:kern w:val="2"/>
          <w:lang w:val="de-DE" w:eastAsia="en-US"/>
          <w14:ligatures w14:val="standardContextual"/>
        </w:rPr>
      </w:pPr>
    </w:p>
    <w:p w14:paraId="19A39CBD" w14:textId="79CAD095"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5. feststellen, dass Artikel IV.3 Absatz 2 oder ein Königlicher Erlass im Sinne von Artikel IV.4 und Artikel IV.5 in einem bestimmten Fall keine Wirkung hat, wenn die betreffende </w:t>
      </w:r>
      <w:r w:rsidR="00FE0EB5" w:rsidRPr="004676F5">
        <w:rPr>
          <w:rFonts w:eastAsia="Calibri"/>
          <w:kern w:val="2"/>
          <w:szCs w:val="22"/>
          <w:lang w:val="de-DE" w:eastAsia="en-US"/>
          <w14:ligatures w14:val="standardContextual"/>
        </w:rPr>
        <w:t xml:space="preserve">[Zuwiderhandlung gegen das Wettbewerbsrecht] </w:t>
      </w:r>
      <w:r w:rsidRPr="004676F5">
        <w:rPr>
          <w:rFonts w:eastAsia="Calibri"/>
          <w:kern w:val="2"/>
          <w:szCs w:val="22"/>
          <w:lang w:val="de-DE" w:eastAsia="en-US"/>
          <w14:ligatures w14:val="standardContextual"/>
        </w:rPr>
        <w:t>Wirkungen hat, die mit Artikel IV.1 § 3 unvereinbar sind,</w:t>
      </w:r>
    </w:p>
    <w:p w14:paraId="34C0B343" w14:textId="77777777" w:rsidR="00BE3682" w:rsidRPr="004676F5" w:rsidRDefault="00BE3682" w:rsidP="00BE3682">
      <w:pPr>
        <w:jc w:val="both"/>
        <w:rPr>
          <w:rFonts w:eastAsia="Calibri"/>
          <w:kern w:val="2"/>
          <w:lang w:val="de-DE" w:eastAsia="en-US"/>
          <w14:ligatures w14:val="standardContextual"/>
        </w:rPr>
      </w:pPr>
    </w:p>
    <w:p w14:paraId="5FA9D872" w14:textId="2CDAFBC5"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6. feststellen, dass eine Verordnung im Sinne von Artikel IV.3 Absatz 1 in einem bestimmten Fall keine Wirkung hat, wenn die betreffende </w:t>
      </w:r>
      <w:r w:rsidR="00FE0EB5" w:rsidRPr="004676F5">
        <w:rPr>
          <w:rFonts w:eastAsia="Calibri"/>
          <w:kern w:val="2"/>
          <w:szCs w:val="22"/>
          <w:lang w:val="de-DE" w:eastAsia="en-US"/>
          <w14:ligatures w14:val="standardContextual"/>
        </w:rPr>
        <w:t xml:space="preserve">[Zuwiderhandlung gegen das Wettbewerbsrecht] </w:t>
      </w:r>
      <w:r w:rsidRPr="004676F5">
        <w:rPr>
          <w:rFonts w:eastAsia="Calibri"/>
          <w:kern w:val="2"/>
          <w:szCs w:val="22"/>
          <w:lang w:val="de-DE" w:eastAsia="en-US"/>
          <w14:ligatures w14:val="standardContextual"/>
        </w:rPr>
        <w:t>Wirkungen hat, die mit Artikel 101 Absatz 3 AEUV unvereinbar sind und im Staatsgebiet oder in einem Teil des Staatsgebietes, das alle Merkmale eines gesonderten räumlichen Marktes aufweist, auftreten,</w:t>
      </w:r>
    </w:p>
    <w:p w14:paraId="11E175B8" w14:textId="77777777" w:rsidR="00BE3682" w:rsidRPr="004676F5" w:rsidRDefault="00BE3682" w:rsidP="00BE3682">
      <w:pPr>
        <w:jc w:val="both"/>
        <w:rPr>
          <w:rFonts w:eastAsia="Calibri"/>
          <w:kern w:val="2"/>
          <w:lang w:val="de-DE" w:eastAsia="en-US"/>
          <w14:ligatures w14:val="standardContextual"/>
        </w:rPr>
      </w:pPr>
    </w:p>
    <w:p w14:paraId="116DC154" w14:textId="3B6F97D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7. </w:t>
      </w:r>
      <w:r w:rsidR="00FE0EB5" w:rsidRPr="004676F5">
        <w:rPr>
          <w:rFonts w:eastAsia="Calibri"/>
          <w:kern w:val="2"/>
          <w:szCs w:val="22"/>
          <w:lang w:val="de-DE" w:eastAsia="en-US"/>
          <w14:ligatures w14:val="standardContextual"/>
        </w:rPr>
        <w:t>[</w:t>
      </w:r>
      <w:r w:rsidR="00FE0EB5" w:rsidRPr="004676F5">
        <w:rPr>
          <w:lang w:val="de-DE"/>
        </w:rPr>
        <w:t>angebotene Verpflichtungszusagen für bindend erklären und feststellen, dass für ein Tätigwerden der Belgischen Wettbewerbsbehörde kein Anlass mehr besteht. Eine solche Entscheidung kann befristet sein. Sie lässt die Zuständigkeit der Gerichte in Bezug auf die Feststellung von Zuwiderhandlungen gegen das Wettbewerbsrecht unberührt. Verpflichtungs</w:t>
      </w:r>
      <w:r w:rsidR="00FE0EB5" w:rsidRPr="004676F5">
        <w:rPr>
          <w:lang w:val="de-DE"/>
        </w:rPr>
        <w:softHyphen/>
        <w:t>zusagen können nicht als nachteilige Anerkennung seitens der betroffenen Partei ausgelegt werden,</w:t>
      </w:r>
      <w:r w:rsidR="00FE0EB5" w:rsidRPr="004676F5">
        <w:rPr>
          <w:rFonts w:eastAsia="Calibri"/>
          <w:kern w:val="2"/>
          <w:szCs w:val="22"/>
          <w:lang w:val="de-DE" w:eastAsia="en-US"/>
          <w14:ligatures w14:val="standardContextual"/>
        </w:rPr>
        <w:t>]</w:t>
      </w:r>
    </w:p>
    <w:p w14:paraId="3A9E70CF" w14:textId="77777777" w:rsidR="00BE3682" w:rsidRPr="004676F5" w:rsidRDefault="00BE3682" w:rsidP="00BE3682">
      <w:pPr>
        <w:jc w:val="both"/>
        <w:rPr>
          <w:rFonts w:eastAsia="Calibri"/>
          <w:kern w:val="2"/>
          <w:lang w:val="de-DE" w:eastAsia="en-US"/>
          <w14:ligatures w14:val="standardContextual"/>
        </w:rPr>
      </w:pPr>
    </w:p>
    <w:p w14:paraId="6B5A7F00"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8. feststellen, dass eine aufgrund der Artikel IV.10 § 6, IV.44 § 1 Nr. 2, IV.45 Absatz 1 Nr. 2, IV.46 § 2 Nr. 1, IV.52, IV.66, IV.69, IV.71 oder IV.73 getroffene Entscheidung befolgt wurde oder nicht, und gegebenenfalls anordnen, dass die betreffende, gegebenenfalls vom Wettbewerbskollegium geänderte Entscheidung gemäß den vom Wettbewerbskollegium festgelegten Modalitäten befolgt werden muss, und eine Geldbuße verhängen. Wird eine aufgrund von Artikel IV.69 § 1 auferlegte Bedingung nicht erfüllt und war in der betreffenden Entscheidung angegeben, dass der Zusammenschluss ohne diese Bedingung nicht zulässig wäre, kann das Wettbewerbskollegium im Hinblick auf die Wiederherstellung eines wirksamen Wettbewerbs die Aufspaltung der zusammengefassten Unternehmen oder Vermögenswerte, die Beendigung der gemeinsamen Kontrolle oder andere geeignete Maßnahmen anordnen.</w:t>
      </w:r>
    </w:p>
    <w:p w14:paraId="1DAF1088" w14:textId="77777777" w:rsidR="00FE0EB5" w:rsidRPr="004676F5" w:rsidRDefault="00FE0EB5" w:rsidP="00BE3682">
      <w:pPr>
        <w:jc w:val="both"/>
        <w:rPr>
          <w:rFonts w:eastAsia="Calibri"/>
          <w:kern w:val="2"/>
          <w:szCs w:val="22"/>
          <w:lang w:val="de-DE" w:eastAsia="en-US"/>
          <w14:ligatures w14:val="standardContextual"/>
        </w:rPr>
      </w:pPr>
    </w:p>
    <w:p w14:paraId="41EA74FB" w14:textId="14B31D3D" w:rsidR="00FE0EB5" w:rsidRPr="004676F5" w:rsidRDefault="00FE0EB5" w:rsidP="00FE0EB5">
      <w:pPr>
        <w:jc w:val="both"/>
        <w:rPr>
          <w:lang w:val="de-DE"/>
        </w:rPr>
      </w:pPr>
      <w:r w:rsidRPr="004676F5">
        <w:rPr>
          <w:rFonts w:eastAsia="Calibri"/>
          <w:kern w:val="2"/>
          <w:szCs w:val="22"/>
          <w:lang w:val="de-DE" w:eastAsia="en-US"/>
          <w14:ligatures w14:val="standardContextual"/>
        </w:rPr>
        <w:tab/>
        <w:t>[</w:t>
      </w:r>
      <w:r w:rsidRPr="004676F5">
        <w:rPr>
          <w:lang w:val="de-DE"/>
        </w:rPr>
        <w:t>Die Entscheidung des Wettbewerbskollegiums ist ausdrücklich und angemessen mit Gründen versehen.]</w:t>
      </w:r>
    </w:p>
    <w:p w14:paraId="7BAF4659" w14:textId="77777777" w:rsidR="00FE0EB5" w:rsidRPr="004676F5" w:rsidRDefault="00FE0EB5" w:rsidP="00FE0EB5">
      <w:pPr>
        <w:jc w:val="both"/>
        <w:rPr>
          <w:lang w:val="de-DE"/>
        </w:rPr>
      </w:pPr>
    </w:p>
    <w:p w14:paraId="0E2ACE47" w14:textId="53C87425" w:rsidR="00FE0EB5" w:rsidRPr="004676F5" w:rsidRDefault="00FE0EB5" w:rsidP="00FE0EB5">
      <w:pPr>
        <w:jc w:val="both"/>
        <w:rPr>
          <w:lang w:val="de-DE"/>
        </w:rPr>
      </w:pPr>
      <w:r w:rsidRPr="004676F5">
        <w:rPr>
          <w:lang w:val="de-DE"/>
        </w:rPr>
        <w:tab/>
        <w:t>[§ 1/1 </w:t>
      </w:r>
      <w:r w:rsidR="005B7A5C" w:rsidRPr="004676F5">
        <w:rPr>
          <w:lang w:val="de-DE"/>
        </w:rPr>
        <w:t>- </w:t>
      </w:r>
      <w:r w:rsidRPr="004676F5">
        <w:rPr>
          <w:lang w:val="de-DE"/>
        </w:rPr>
        <w:t>Wenn das Wettbewerbskollegium eine in § 1 Absatz 1 Nr. 2 erwähnte Entscheidung trifft, kann es alle Abhilfemaßnahmen struktureller oder verhaltensorientierter Art vorschreiben, die gegenüber der festgestellten Zuwiderhandlung gegen das Wettbewerbsrecht verhältnismäßig und für eine wirksame Abstellung der Zuwiderhandlung erforderlich sind. Hat das Wettbewerbskollegium die Wahl zwischen mehreren gleichermaßen wirksamen Abhilfemaßnahmen, so entscheidet es sich im Einklang mit dem Grundsatz der Verhältnismäßigkeit für die Abhilfemaßnahme, die für das Unternehmen oder die Unternehmensvereinigung mit dem geringsten Aufwand verbunden ist.</w:t>
      </w:r>
    </w:p>
    <w:p w14:paraId="1B383CB5" w14:textId="77777777" w:rsidR="00FE0EB5" w:rsidRPr="004676F5" w:rsidRDefault="00FE0EB5" w:rsidP="00FE0EB5">
      <w:pPr>
        <w:jc w:val="both"/>
        <w:rPr>
          <w:lang w:val="de-DE"/>
        </w:rPr>
      </w:pPr>
    </w:p>
    <w:p w14:paraId="577DA719" w14:textId="77777777" w:rsidR="00FE0EB5" w:rsidRPr="004676F5" w:rsidRDefault="00FE0EB5" w:rsidP="00FE0EB5">
      <w:pPr>
        <w:jc w:val="both"/>
        <w:rPr>
          <w:lang w:val="de-DE"/>
        </w:rPr>
      </w:pPr>
      <w:r w:rsidRPr="004676F5">
        <w:rPr>
          <w:lang w:val="de-DE"/>
        </w:rPr>
        <w:tab/>
        <w:t>Das Wettbewerbskollegium kann bei Anwendung von Absatz 1 den Auditor auffordern, schriftliche Anmerkungen zu den beabsichtigten Abhilfemaßnahmen einzureichen. In diesem Fall kann die betroffene Partei schriftlich auf diese Anmerkungen antworten.</w:t>
      </w:r>
    </w:p>
    <w:p w14:paraId="0A803E88" w14:textId="77777777" w:rsidR="00FE0EB5" w:rsidRPr="004676F5" w:rsidRDefault="00FE0EB5" w:rsidP="00FE0EB5">
      <w:pPr>
        <w:jc w:val="both"/>
        <w:rPr>
          <w:lang w:val="de-DE"/>
        </w:rPr>
      </w:pPr>
    </w:p>
    <w:p w14:paraId="74EB8FB7" w14:textId="77777777" w:rsidR="00FE0EB5" w:rsidRPr="004676F5" w:rsidRDefault="00FE0EB5" w:rsidP="00FE0EB5">
      <w:pPr>
        <w:jc w:val="both"/>
        <w:rPr>
          <w:lang w:val="de-DE"/>
        </w:rPr>
      </w:pPr>
      <w:r w:rsidRPr="004676F5">
        <w:rPr>
          <w:lang w:val="de-DE"/>
        </w:rPr>
        <w:tab/>
        <w:t>Der Auditor kann bei der Vorbereitung seiner schriftlichen Anmerkungen Artikel IV.40 anwenden.</w:t>
      </w:r>
    </w:p>
    <w:p w14:paraId="0BF5550C" w14:textId="77777777" w:rsidR="00FE0EB5" w:rsidRPr="004676F5" w:rsidRDefault="00FE0EB5" w:rsidP="00FE0EB5">
      <w:pPr>
        <w:jc w:val="both"/>
        <w:rPr>
          <w:lang w:val="de-DE"/>
        </w:rPr>
      </w:pPr>
    </w:p>
    <w:p w14:paraId="5DCC60AF" w14:textId="77777777" w:rsidR="00FE0EB5" w:rsidRPr="004676F5" w:rsidRDefault="00FE0EB5" w:rsidP="00FE0EB5">
      <w:pPr>
        <w:jc w:val="both"/>
        <w:rPr>
          <w:lang w:val="de-DE"/>
        </w:rPr>
      </w:pPr>
      <w:r w:rsidRPr="004676F5">
        <w:rPr>
          <w:lang w:val="de-DE"/>
        </w:rPr>
        <w:tab/>
        <w:t>Das Wettbewerbskollegium legt die Fristen für die Hinterlegung der schriftlichen Anmerkungen und der Antwort fest.</w:t>
      </w:r>
    </w:p>
    <w:p w14:paraId="04A603AD" w14:textId="77777777" w:rsidR="00FE0EB5" w:rsidRPr="004676F5" w:rsidRDefault="00FE0EB5" w:rsidP="00FE0EB5">
      <w:pPr>
        <w:jc w:val="both"/>
        <w:rPr>
          <w:lang w:val="de-DE"/>
        </w:rPr>
      </w:pPr>
    </w:p>
    <w:p w14:paraId="6FE7BF1D" w14:textId="77777777" w:rsidR="00FE0EB5" w:rsidRPr="004676F5" w:rsidRDefault="00FE0EB5" w:rsidP="00FE0EB5">
      <w:pPr>
        <w:jc w:val="both"/>
        <w:rPr>
          <w:lang w:val="de-DE"/>
        </w:rPr>
      </w:pPr>
      <w:r w:rsidRPr="004676F5">
        <w:rPr>
          <w:lang w:val="de-DE"/>
        </w:rPr>
        <w:tab/>
        <w:t>Das Wettbewerbskollegium kann beschließen, die betroffene Partei und den Auditor anzuhören.</w:t>
      </w:r>
    </w:p>
    <w:p w14:paraId="289BAF60" w14:textId="77777777" w:rsidR="00FE0EB5" w:rsidRPr="004676F5" w:rsidRDefault="00FE0EB5" w:rsidP="00FE0EB5">
      <w:pPr>
        <w:jc w:val="both"/>
        <w:rPr>
          <w:lang w:val="de-DE"/>
        </w:rPr>
      </w:pPr>
    </w:p>
    <w:p w14:paraId="5EB60985" w14:textId="77A3C8D1" w:rsidR="00FE0EB5" w:rsidRPr="004676F5" w:rsidRDefault="00FE0EB5" w:rsidP="00FE0EB5">
      <w:pPr>
        <w:jc w:val="both"/>
        <w:rPr>
          <w:rFonts w:eastAsia="Calibri"/>
          <w:kern w:val="2"/>
          <w:lang w:val="de-DE" w:eastAsia="en-US"/>
          <w14:ligatures w14:val="standardContextual"/>
        </w:rPr>
      </w:pPr>
      <w:r w:rsidRPr="004676F5">
        <w:rPr>
          <w:lang w:val="de-DE"/>
        </w:rPr>
        <w:tab/>
        <w:t>Im Falle der Anwendung des vorliegenden Paragraphen kann der Präsident des Wettbewerbskollegiums die in Artikel IV.50 § 1 erwähnte Höchstfrist von zwei Monaten um höchstens zwei Monate verlängern.</w:t>
      </w:r>
      <w:r w:rsidRPr="004676F5">
        <w:rPr>
          <w:rFonts w:eastAsia="Calibri"/>
          <w:kern w:val="2"/>
          <w:szCs w:val="22"/>
          <w:lang w:val="de-DE" w:eastAsia="en-US"/>
          <w14:ligatures w14:val="standardContextual"/>
        </w:rPr>
        <w:t>]</w:t>
      </w:r>
    </w:p>
    <w:p w14:paraId="09C71FFC" w14:textId="77777777" w:rsidR="00BE3682" w:rsidRPr="004676F5" w:rsidRDefault="00BE3682" w:rsidP="00BE3682">
      <w:pPr>
        <w:jc w:val="both"/>
        <w:rPr>
          <w:rFonts w:eastAsia="Calibri"/>
          <w:kern w:val="2"/>
          <w:lang w:val="de-DE" w:eastAsia="en-US"/>
          <w14:ligatures w14:val="standardContextual"/>
        </w:rPr>
      </w:pPr>
    </w:p>
    <w:p w14:paraId="3722B92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Die Entscheidung des Wettbewerbskollegiums in der Sache selbst gegenüber einer betroffenen Partei kann sich nicht auf Unterlagen und Angaben stützen, deren vertraulicher Charakter ihr gegenüber festgestellt wurde.</w:t>
      </w:r>
    </w:p>
    <w:p w14:paraId="4A24CB67" w14:textId="77777777" w:rsidR="00BE3682" w:rsidRPr="004676F5" w:rsidRDefault="00BE3682" w:rsidP="00BE3682">
      <w:pPr>
        <w:jc w:val="both"/>
        <w:rPr>
          <w:rFonts w:eastAsia="Calibri"/>
          <w:kern w:val="2"/>
          <w:lang w:val="de-DE" w:eastAsia="en-US"/>
          <w14:ligatures w14:val="standardContextual"/>
        </w:rPr>
      </w:pPr>
    </w:p>
    <w:p w14:paraId="697D6EB5" w14:textId="2F1CE532" w:rsidR="00FE0EB5" w:rsidRPr="004676F5" w:rsidRDefault="00FE0EB5"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IV.52 § 1 Abs. 1 Nr. 2 abgeändert durch Art. 34 Nr. 1 des G. vom 28. Februar 2022 (B.S. vom 7. März 2022); § 1 Abs. 1 Nr. 2/1 eingefügt durch Art. 34 Nr. 2 des G. vom 28. Februar 2022 (B.S. vom 7. März 2022); § 1 Abs. 1 Nr. 3 abgeändert durch Art. 34 Nr. 3 des G. vom 28. Februar 2022 (B.S. vom 7. März 2022); § 1 Abs. 1 Nr. 5 abgeändert durch Art. 34 Nr. 4 des G. vom 28. Februar 2022 (B.S. vom 7. März 2022); § 1 Abs. 1 Nr. 6 abgeändert durch Art. 34 Nr. 5 des G. vom 28. Februar 2022 (B.S. vom 7. März 2022); § 1 Abs. 1 Nr. 7 ersetzt durch Art. 34 Nr. </w:t>
      </w:r>
      <w:r w:rsidR="005368EC" w:rsidRPr="004676F5">
        <w:rPr>
          <w:rFonts w:eastAsia="Calibri"/>
          <w:i/>
          <w:iCs/>
          <w:kern w:val="2"/>
          <w:lang w:val="de-DE" w:eastAsia="en-US"/>
          <w14:ligatures w14:val="standardContextual"/>
        </w:rPr>
        <w:t>6</w:t>
      </w:r>
      <w:r w:rsidRPr="004676F5">
        <w:rPr>
          <w:rFonts w:eastAsia="Calibri"/>
          <w:i/>
          <w:iCs/>
          <w:kern w:val="2"/>
          <w:lang w:val="de-DE" w:eastAsia="en-US"/>
          <w14:ligatures w14:val="standardContextual"/>
        </w:rPr>
        <w:t xml:space="preserve"> des G. vom 28. Februar 2022 (B.S. vom 7. März 2022); § 1 Abs. 2 </w:t>
      </w:r>
      <w:r w:rsidR="005368EC" w:rsidRPr="004676F5">
        <w:rPr>
          <w:rFonts w:eastAsia="Calibri"/>
          <w:i/>
          <w:iCs/>
          <w:kern w:val="2"/>
          <w:lang w:val="de-DE" w:eastAsia="en-US"/>
          <w14:ligatures w14:val="standardContextual"/>
        </w:rPr>
        <w:t>eingefüg</w:t>
      </w:r>
      <w:r w:rsidRPr="004676F5">
        <w:rPr>
          <w:rFonts w:eastAsia="Calibri"/>
          <w:i/>
          <w:iCs/>
          <w:kern w:val="2"/>
          <w:lang w:val="de-DE" w:eastAsia="en-US"/>
          <w14:ligatures w14:val="standardContextual"/>
        </w:rPr>
        <w:t>t durch Art. 34 Nr. </w:t>
      </w:r>
      <w:r w:rsidR="005368EC" w:rsidRPr="004676F5">
        <w:rPr>
          <w:rFonts w:eastAsia="Calibri"/>
          <w:i/>
          <w:iCs/>
          <w:kern w:val="2"/>
          <w:lang w:val="de-DE" w:eastAsia="en-US"/>
          <w14:ligatures w14:val="standardContextual"/>
        </w:rPr>
        <w:t>7</w:t>
      </w:r>
      <w:r w:rsidRPr="004676F5">
        <w:rPr>
          <w:rFonts w:eastAsia="Calibri"/>
          <w:i/>
          <w:iCs/>
          <w:kern w:val="2"/>
          <w:lang w:val="de-DE" w:eastAsia="en-US"/>
          <w14:ligatures w14:val="standardContextual"/>
        </w:rPr>
        <w:t xml:space="preserve"> des G. vom 28. Februar 2022 (B.S. vom 7. März 2022); § 1</w:t>
      </w:r>
      <w:r w:rsidR="005368EC" w:rsidRPr="004676F5">
        <w:rPr>
          <w:rFonts w:eastAsia="Calibri"/>
          <w:i/>
          <w:iCs/>
          <w:kern w:val="2"/>
          <w:lang w:val="de-DE" w:eastAsia="en-US"/>
          <w14:ligatures w14:val="standardContextual"/>
        </w:rPr>
        <w:t>/1</w:t>
      </w:r>
      <w:r w:rsidRPr="004676F5">
        <w:rPr>
          <w:rFonts w:eastAsia="Calibri"/>
          <w:i/>
          <w:iCs/>
          <w:kern w:val="2"/>
          <w:lang w:val="de-DE" w:eastAsia="en-US"/>
          <w14:ligatures w14:val="standardContextual"/>
        </w:rPr>
        <w:t xml:space="preserve"> </w:t>
      </w:r>
      <w:r w:rsidR="005368EC" w:rsidRPr="004676F5">
        <w:rPr>
          <w:rFonts w:eastAsia="Calibri"/>
          <w:i/>
          <w:iCs/>
          <w:kern w:val="2"/>
          <w:lang w:val="de-DE" w:eastAsia="en-US"/>
          <w14:ligatures w14:val="standardContextual"/>
        </w:rPr>
        <w:t>eingefügt</w:t>
      </w:r>
      <w:r w:rsidRPr="004676F5">
        <w:rPr>
          <w:rFonts w:eastAsia="Calibri"/>
          <w:i/>
          <w:iCs/>
          <w:kern w:val="2"/>
          <w:lang w:val="de-DE" w:eastAsia="en-US"/>
          <w14:ligatures w14:val="standardContextual"/>
        </w:rPr>
        <w:t xml:space="preserve"> durch Art. 34 Nr. </w:t>
      </w:r>
      <w:r w:rsidR="005368EC" w:rsidRPr="004676F5">
        <w:rPr>
          <w:rFonts w:eastAsia="Calibri"/>
          <w:i/>
          <w:iCs/>
          <w:kern w:val="2"/>
          <w:lang w:val="de-DE" w:eastAsia="en-US"/>
          <w14:ligatures w14:val="standardContextual"/>
        </w:rPr>
        <w:t>8</w:t>
      </w:r>
      <w:r w:rsidRPr="004676F5">
        <w:rPr>
          <w:rFonts w:eastAsia="Calibri"/>
          <w:i/>
          <w:iCs/>
          <w:kern w:val="2"/>
          <w:lang w:val="de-DE" w:eastAsia="en-US"/>
          <w14:ligatures w14:val="standardContextual"/>
        </w:rPr>
        <w:t xml:space="preserve"> des G. vom 28. Februar 2022 (B.S. vom 7. März 2022)]</w:t>
      </w:r>
    </w:p>
    <w:p w14:paraId="4A944B00" w14:textId="77777777" w:rsidR="008A1473" w:rsidRPr="004676F5" w:rsidRDefault="008A1473" w:rsidP="00BE3682">
      <w:pPr>
        <w:jc w:val="both"/>
        <w:rPr>
          <w:rFonts w:eastAsia="Calibri"/>
          <w:kern w:val="2"/>
          <w:lang w:val="de-DE" w:eastAsia="en-US"/>
          <w14:ligatures w14:val="standardContextual"/>
        </w:rPr>
      </w:pPr>
    </w:p>
    <w:p w14:paraId="20288C3E" w14:textId="5A126D9D" w:rsidR="005368EC" w:rsidRPr="004676F5" w:rsidRDefault="005368EC" w:rsidP="00BE3682">
      <w:pPr>
        <w:jc w:val="both"/>
        <w:rPr>
          <w:rFonts w:eastAsia="Calibri"/>
          <w:kern w:val="2"/>
          <w:lang w:val="de-DE" w:eastAsia="en-US"/>
          <w14:ligatures w14:val="standardContextual"/>
        </w:rPr>
      </w:pPr>
    </w:p>
    <w:p w14:paraId="009C12E7" w14:textId="193EFDC4"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IV.53</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Generalauditor kann auf Antrag oder aus eigener Initiative das Untersuchungs</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und Entscheidungsverfahren wieder aufnehmen:</w:t>
      </w:r>
    </w:p>
    <w:p w14:paraId="7E8DCB48" w14:textId="77777777" w:rsidR="00BE3682" w:rsidRPr="004676F5" w:rsidRDefault="00BE3682" w:rsidP="00BE3682">
      <w:pPr>
        <w:jc w:val="both"/>
        <w:rPr>
          <w:rFonts w:eastAsia="Calibri"/>
          <w:kern w:val="2"/>
          <w:lang w:val="de-DE" w:eastAsia="en-US"/>
          <w14:ligatures w14:val="standardContextual"/>
        </w:rPr>
      </w:pPr>
    </w:p>
    <w:p w14:paraId="20BC7F2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wenn sich die tatsächlichen Verhältnisse in einem für die Entscheidung wesentlichen Punkt geändert haben,</w:t>
      </w:r>
    </w:p>
    <w:p w14:paraId="7A677D4B" w14:textId="77777777" w:rsidR="00BE3682" w:rsidRPr="004676F5" w:rsidRDefault="00BE3682" w:rsidP="00BE3682">
      <w:pPr>
        <w:jc w:val="both"/>
        <w:rPr>
          <w:rFonts w:eastAsia="Calibri"/>
          <w:kern w:val="2"/>
          <w:lang w:val="de-DE" w:eastAsia="en-US"/>
          <w14:ligatures w14:val="standardContextual"/>
        </w:rPr>
      </w:pPr>
    </w:p>
    <w:p w14:paraId="6F3E9CE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wenn die betroffenen Parteien ihre Verpflichtungszusagen nicht einhalten oder</w:t>
      </w:r>
    </w:p>
    <w:p w14:paraId="50174BDF" w14:textId="77777777" w:rsidR="00BE3682" w:rsidRPr="004676F5" w:rsidRDefault="00BE3682" w:rsidP="00BE3682">
      <w:pPr>
        <w:jc w:val="both"/>
        <w:rPr>
          <w:rFonts w:eastAsia="Calibri"/>
          <w:kern w:val="2"/>
          <w:lang w:val="de-DE" w:eastAsia="en-US"/>
          <w14:ligatures w14:val="standardContextual"/>
        </w:rPr>
      </w:pPr>
    </w:p>
    <w:p w14:paraId="28C69C2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wenn die Entscheidung auf unvollständigen, unrichtigen oder irreführenden Auskünften der betroffenen Parteien beruht.</w:t>
      </w:r>
    </w:p>
    <w:p w14:paraId="666069F7" w14:textId="77777777" w:rsidR="00BE3682" w:rsidRPr="004676F5" w:rsidRDefault="00BE3682" w:rsidP="00BE3682">
      <w:pPr>
        <w:jc w:val="both"/>
        <w:rPr>
          <w:rFonts w:eastAsia="Calibri"/>
          <w:kern w:val="2"/>
          <w:lang w:val="de-DE" w:eastAsia="en-US"/>
          <w14:ligatures w14:val="standardContextual"/>
        </w:rPr>
      </w:pPr>
    </w:p>
    <w:p w14:paraId="542F750C" w14:textId="77777777" w:rsidR="008A1473" w:rsidRPr="004676F5" w:rsidRDefault="008A1473" w:rsidP="00BE3682">
      <w:pPr>
        <w:jc w:val="both"/>
        <w:rPr>
          <w:rFonts w:eastAsia="Calibri"/>
          <w:kern w:val="2"/>
          <w:lang w:val="de-DE" w:eastAsia="en-US"/>
          <w14:ligatures w14:val="standardContextual"/>
        </w:rPr>
      </w:pPr>
    </w:p>
    <w:p w14:paraId="03061E84" w14:textId="7BD7895B" w:rsidR="005368EC" w:rsidRPr="004676F5" w:rsidRDefault="005368EC" w:rsidP="005368EC">
      <w:pPr>
        <w:jc w:val="center"/>
        <w:rPr>
          <w:rFonts w:eastAsia="Calibri"/>
          <w:kern w:val="2"/>
          <w:lang w:val="de-DE" w:eastAsia="en-US"/>
          <w14:ligatures w14:val="standardContextual"/>
        </w:rPr>
      </w:pPr>
      <w:r w:rsidRPr="004676F5">
        <w:rPr>
          <w:rFonts w:eastAsia="Calibri"/>
          <w:kern w:val="2"/>
          <w:lang w:val="de-DE" w:eastAsia="en-US"/>
          <w14:ligatures w14:val="standardContextual"/>
        </w:rPr>
        <w:t>[</w:t>
      </w:r>
      <w:r w:rsidR="00B70DD5" w:rsidRPr="004676F5">
        <w:rPr>
          <w:rFonts w:eastAsia="Calibri"/>
          <w:kern w:val="2"/>
          <w:lang w:val="de-DE" w:eastAsia="en-US"/>
          <w14:ligatures w14:val="standardContextual"/>
        </w:rPr>
        <w:t>[</w:t>
      </w:r>
      <w:r w:rsidR="00B70DD5" w:rsidRPr="004676F5">
        <w:rPr>
          <w:rFonts w:eastAsia="Calibri"/>
          <w:i/>
          <w:iCs/>
          <w:kern w:val="2"/>
          <w:lang w:val="de-DE" w:eastAsia="en-US"/>
          <w14:ligatures w14:val="standardContextual"/>
        </w:rPr>
        <w:t>A</w:t>
      </w:r>
      <w:r w:rsidRPr="004676F5">
        <w:rPr>
          <w:i/>
          <w:iCs/>
          <w:lang w:val="de-DE"/>
        </w:rPr>
        <w:t>bschnitt </w:t>
      </w:r>
      <w:r w:rsidR="00B70DD5" w:rsidRPr="004676F5">
        <w:rPr>
          <w:i/>
          <w:iCs/>
          <w:lang w:val="de-DE"/>
        </w:rPr>
        <w:t>4</w:t>
      </w:r>
      <w:r w:rsidR="00B70DD5" w:rsidRPr="004676F5">
        <w:rPr>
          <w:lang w:val="de-DE"/>
        </w:rPr>
        <w:t>]</w:t>
      </w:r>
      <w:r w:rsidRPr="004676F5">
        <w:rPr>
          <w:lang w:val="de-DE"/>
        </w:rPr>
        <w:t xml:space="preserve"> </w:t>
      </w:r>
      <w:r w:rsidR="005B7A5C" w:rsidRPr="004676F5">
        <w:rPr>
          <w:lang w:val="de-DE"/>
        </w:rPr>
        <w:t>- </w:t>
      </w:r>
      <w:r w:rsidR="007E0589" w:rsidRPr="004676F5">
        <w:rPr>
          <w:lang w:val="de-DE"/>
        </w:rPr>
        <w:t>[</w:t>
      </w:r>
      <w:r w:rsidRPr="004676F5">
        <w:rPr>
          <w:lang w:val="de-DE"/>
        </w:rPr>
        <w:t>Kronzeugenprogramm</w:t>
      </w:r>
      <w:r w:rsidRPr="004676F5">
        <w:rPr>
          <w:rFonts w:eastAsia="Calibri"/>
          <w:kern w:val="2"/>
          <w:lang w:val="de-DE" w:eastAsia="en-US"/>
          <w14:ligatures w14:val="standardContextual"/>
        </w:rPr>
        <w:t>]</w:t>
      </w:r>
      <w:r w:rsidR="007E0589" w:rsidRPr="004676F5">
        <w:rPr>
          <w:rFonts w:eastAsia="Calibri"/>
          <w:kern w:val="2"/>
          <w:lang w:val="de-DE" w:eastAsia="en-US"/>
          <w14:ligatures w14:val="standardContextual"/>
        </w:rPr>
        <w:t>]</w:t>
      </w:r>
    </w:p>
    <w:p w14:paraId="476BEA4D" w14:textId="77777777" w:rsidR="005368EC" w:rsidRPr="004676F5" w:rsidRDefault="005368EC" w:rsidP="005368EC">
      <w:pPr>
        <w:jc w:val="center"/>
        <w:rPr>
          <w:rFonts w:eastAsia="Calibri"/>
          <w:kern w:val="2"/>
          <w:lang w:val="de-DE" w:eastAsia="en-US"/>
          <w14:ligatures w14:val="standardContextual"/>
        </w:rPr>
      </w:pPr>
    </w:p>
    <w:p w14:paraId="67872A9C" w14:textId="48758B4E" w:rsidR="005368EC" w:rsidRPr="004676F5" w:rsidRDefault="005368EC" w:rsidP="005368EC">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w:t>
      </w:r>
      <w:r w:rsidR="007E0589" w:rsidRPr="004676F5">
        <w:rPr>
          <w:rFonts w:eastAsia="Calibri"/>
          <w:i/>
          <w:iCs/>
          <w:kern w:val="2"/>
          <w:lang w:val="de-DE" w:eastAsia="en-US"/>
          <w14:ligatures w14:val="standardContextual"/>
        </w:rPr>
        <w:t>F</w:t>
      </w:r>
      <w:r w:rsidR="00B70DD5" w:rsidRPr="004676F5">
        <w:rPr>
          <w:rFonts w:eastAsia="Calibri"/>
          <w:i/>
          <w:iCs/>
          <w:kern w:val="2"/>
          <w:lang w:val="de-DE" w:eastAsia="en-US"/>
          <w14:ligatures w14:val="standardContextual"/>
        </w:rPr>
        <w:t xml:space="preserve">rühere </w:t>
      </w:r>
      <w:r w:rsidRPr="004676F5">
        <w:rPr>
          <w:rFonts w:eastAsia="Calibri"/>
          <w:i/>
          <w:iCs/>
          <w:kern w:val="2"/>
          <w:lang w:val="de-DE" w:eastAsia="en-US"/>
          <w14:ligatures w14:val="standardContextual"/>
        </w:rPr>
        <w:t>Unterteilung Unterabschnitt 3/1 eingefügt durch Art. 35 des G. vom 28. Februar 2022 (B.S. vom 7. März 2022)</w:t>
      </w:r>
      <w:r w:rsidR="00B70DD5" w:rsidRPr="004676F5">
        <w:rPr>
          <w:rFonts w:eastAsia="Calibri"/>
          <w:i/>
          <w:iCs/>
          <w:kern w:val="2"/>
          <w:lang w:val="de-DE" w:eastAsia="en-US"/>
          <w14:ligatures w14:val="standardContextual"/>
        </w:rPr>
        <w:t xml:space="preserve"> und umgegliedert </w:t>
      </w:r>
      <w:r w:rsidR="007E0589" w:rsidRPr="004676F5">
        <w:rPr>
          <w:rFonts w:eastAsia="Calibri"/>
          <w:i/>
          <w:iCs/>
          <w:kern w:val="2"/>
          <w:lang w:val="de-DE" w:eastAsia="en-US"/>
          <w14:ligatures w14:val="standardContextual"/>
        </w:rPr>
        <w:t xml:space="preserve">zu Abschnitt 4 und Überschrift ersetzt </w:t>
      </w:r>
      <w:r w:rsidR="00B70DD5" w:rsidRPr="004676F5">
        <w:rPr>
          <w:rFonts w:eastAsia="Calibri"/>
          <w:i/>
          <w:iCs/>
          <w:kern w:val="2"/>
          <w:lang w:val="de-DE" w:eastAsia="en-US"/>
          <w14:ligatures w14:val="standardContextual"/>
        </w:rPr>
        <w:t>durch Art. 34 des G. vom 29. März 2024 (B.S. vom 3. Mai 2024)</w:t>
      </w:r>
      <w:r w:rsidRPr="004676F5">
        <w:rPr>
          <w:rFonts w:eastAsia="Calibri"/>
          <w:i/>
          <w:iCs/>
          <w:kern w:val="2"/>
          <w:lang w:val="de-DE" w:eastAsia="en-US"/>
          <w14:ligatures w14:val="standardContextual"/>
        </w:rPr>
        <w:t>]</w:t>
      </w:r>
    </w:p>
    <w:p w14:paraId="472093C7" w14:textId="77777777" w:rsidR="005368EC" w:rsidRPr="004676F5" w:rsidRDefault="005368EC" w:rsidP="005368EC">
      <w:pPr>
        <w:jc w:val="both"/>
        <w:rPr>
          <w:rFonts w:eastAsia="Calibri"/>
          <w:i/>
          <w:iCs/>
          <w:kern w:val="2"/>
          <w:lang w:val="de-DE" w:eastAsia="en-US"/>
          <w14:ligatures w14:val="standardContextual"/>
        </w:rPr>
      </w:pPr>
    </w:p>
    <w:p w14:paraId="103072D8" w14:textId="77777777" w:rsidR="005368EC" w:rsidRPr="004676F5" w:rsidRDefault="005368EC" w:rsidP="00BE3682">
      <w:pPr>
        <w:jc w:val="both"/>
        <w:rPr>
          <w:rFonts w:eastAsia="Calibri"/>
          <w:kern w:val="2"/>
          <w:lang w:val="de-DE" w:eastAsia="en-US"/>
          <w14:ligatures w14:val="standardContextual"/>
        </w:rPr>
      </w:pPr>
    </w:p>
    <w:p w14:paraId="0343D4B5" w14:textId="5A63ADE4" w:rsidR="008C6746" w:rsidRPr="004676F5" w:rsidRDefault="00BE3682" w:rsidP="008C6746">
      <w:pPr>
        <w:jc w:val="both"/>
        <w:rPr>
          <w:lang w:val="de-DE"/>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IV.54</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5368EC" w:rsidRPr="004676F5">
        <w:rPr>
          <w:rFonts w:eastAsia="Calibri"/>
          <w:kern w:val="2"/>
          <w:szCs w:val="22"/>
          <w:lang w:val="de-DE" w:eastAsia="en-US"/>
          <w14:ligatures w14:val="standardContextual"/>
        </w:rPr>
        <w:t>[</w:t>
      </w:r>
      <w:r w:rsidR="008C6746" w:rsidRPr="004676F5">
        <w:rPr>
          <w:lang w:val="de-DE"/>
        </w:rPr>
        <w:t>§ 1 </w:t>
      </w:r>
      <w:r w:rsidR="005B7A5C" w:rsidRPr="004676F5">
        <w:rPr>
          <w:lang w:val="de-DE"/>
        </w:rPr>
        <w:t>- </w:t>
      </w:r>
      <w:r w:rsidR="008C6746" w:rsidRPr="004676F5">
        <w:rPr>
          <w:lang w:val="de-DE"/>
        </w:rPr>
        <w:t>Erlass oder Ermäßigung der in vorliegendem Buch vorgesehenen Geldbußen kann einem Unternehmen oder einer Unternehmensvereinigung gewährt werden, das/die mit anderen an einem geheimen Kartell beteiligt war.</w:t>
      </w:r>
    </w:p>
    <w:p w14:paraId="5C43D8BA" w14:textId="77777777" w:rsidR="008C6746" w:rsidRPr="004676F5" w:rsidRDefault="008C6746" w:rsidP="008C6746">
      <w:pPr>
        <w:jc w:val="both"/>
        <w:rPr>
          <w:lang w:val="de-DE"/>
        </w:rPr>
      </w:pPr>
    </w:p>
    <w:p w14:paraId="31DE4186" w14:textId="77777777" w:rsidR="008C6746" w:rsidRPr="004676F5" w:rsidRDefault="008C6746" w:rsidP="008C6746">
      <w:pPr>
        <w:jc w:val="both"/>
        <w:rPr>
          <w:lang w:val="de-DE"/>
        </w:rPr>
      </w:pPr>
      <w:r w:rsidRPr="004676F5">
        <w:rPr>
          <w:lang w:val="de-DE"/>
        </w:rPr>
        <w:tab/>
        <w:t>Erlass oder Ermäßigung von Geldbußen, der/die einer Unternehmensvereinigung gewährt wird, gilt nicht für ihre Mitglieder.</w:t>
      </w:r>
    </w:p>
    <w:p w14:paraId="36847604" w14:textId="77777777" w:rsidR="008C6746" w:rsidRPr="004676F5" w:rsidRDefault="008C6746" w:rsidP="008C6746">
      <w:pPr>
        <w:jc w:val="both"/>
        <w:rPr>
          <w:lang w:val="de-DE"/>
        </w:rPr>
      </w:pPr>
    </w:p>
    <w:p w14:paraId="12B0441C" w14:textId="77777777" w:rsidR="008C6746" w:rsidRPr="004676F5" w:rsidRDefault="008C6746" w:rsidP="008C6746">
      <w:pPr>
        <w:jc w:val="both"/>
        <w:rPr>
          <w:lang w:val="de-DE"/>
        </w:rPr>
      </w:pPr>
      <w:r w:rsidRPr="004676F5">
        <w:rPr>
          <w:lang w:val="de-DE"/>
        </w:rPr>
        <w:tab/>
        <w:t>§ 2 ­ Geldbußenerlass kann nur gewährt werden, wenn der Beantrager der Kronzeugen</w:t>
      </w:r>
      <w:r w:rsidRPr="004676F5">
        <w:rPr>
          <w:lang w:val="de-DE"/>
        </w:rPr>
        <w:softHyphen/>
        <w:t>behandlung:</w:t>
      </w:r>
    </w:p>
    <w:p w14:paraId="0F3192AF" w14:textId="77777777" w:rsidR="008C6746" w:rsidRPr="004676F5" w:rsidRDefault="008C6746" w:rsidP="008C6746">
      <w:pPr>
        <w:jc w:val="both"/>
        <w:rPr>
          <w:lang w:val="de-DE"/>
        </w:rPr>
      </w:pPr>
    </w:p>
    <w:p w14:paraId="7BD4F300" w14:textId="77777777" w:rsidR="008C6746" w:rsidRPr="004676F5" w:rsidRDefault="008C6746" w:rsidP="008C6746">
      <w:pPr>
        <w:jc w:val="both"/>
        <w:rPr>
          <w:lang w:val="de-DE"/>
        </w:rPr>
      </w:pPr>
      <w:r w:rsidRPr="004676F5">
        <w:rPr>
          <w:lang w:val="de-DE"/>
        </w:rPr>
        <w:tab/>
        <w:t>1. seine Beteiligung an einem geheimen Kartell offenlegt,</w:t>
      </w:r>
    </w:p>
    <w:p w14:paraId="337B4661" w14:textId="77777777" w:rsidR="008C6746" w:rsidRPr="004676F5" w:rsidRDefault="008C6746" w:rsidP="008C6746">
      <w:pPr>
        <w:jc w:val="both"/>
        <w:rPr>
          <w:lang w:val="de-DE"/>
        </w:rPr>
      </w:pPr>
    </w:p>
    <w:p w14:paraId="1B47C8FD" w14:textId="77777777" w:rsidR="008C6746" w:rsidRPr="004676F5" w:rsidRDefault="008C6746" w:rsidP="008C6746">
      <w:pPr>
        <w:jc w:val="both"/>
        <w:rPr>
          <w:lang w:val="de-DE"/>
        </w:rPr>
      </w:pPr>
      <w:r w:rsidRPr="004676F5">
        <w:rPr>
          <w:lang w:val="de-DE"/>
        </w:rPr>
        <w:tab/>
        <w:t>2. dazu beiträgt, die Beteiligten zu identifizieren,</w:t>
      </w:r>
    </w:p>
    <w:p w14:paraId="2BF64BE8" w14:textId="77777777" w:rsidR="008C6746" w:rsidRPr="004676F5" w:rsidRDefault="008C6746" w:rsidP="008C6746">
      <w:pPr>
        <w:jc w:val="both"/>
        <w:rPr>
          <w:lang w:val="de-DE"/>
        </w:rPr>
      </w:pPr>
    </w:p>
    <w:p w14:paraId="22CACD63" w14:textId="77777777" w:rsidR="008C6746" w:rsidRPr="004676F5" w:rsidRDefault="008C6746" w:rsidP="008C6746">
      <w:pPr>
        <w:jc w:val="both"/>
        <w:rPr>
          <w:lang w:val="de-DE"/>
        </w:rPr>
      </w:pPr>
      <w:r w:rsidRPr="004676F5">
        <w:rPr>
          <w:lang w:val="de-DE"/>
        </w:rPr>
        <w:tab/>
        <w:t>3. der erste ist, der Informationen und Beweismittel vorlegt, die:</w:t>
      </w:r>
    </w:p>
    <w:p w14:paraId="59361B17" w14:textId="77777777" w:rsidR="008C6746" w:rsidRPr="004676F5" w:rsidRDefault="008C6746" w:rsidP="008C6746">
      <w:pPr>
        <w:jc w:val="both"/>
        <w:rPr>
          <w:lang w:val="de-DE"/>
        </w:rPr>
      </w:pPr>
    </w:p>
    <w:p w14:paraId="0BBA302E" w14:textId="4321E748" w:rsidR="008C6746" w:rsidRPr="004676F5" w:rsidRDefault="008C6746" w:rsidP="008C6746">
      <w:pPr>
        <w:jc w:val="both"/>
        <w:rPr>
          <w:lang w:val="de-DE"/>
        </w:rPr>
      </w:pPr>
      <w:r w:rsidRPr="004676F5">
        <w:rPr>
          <w:lang w:val="de-DE"/>
        </w:rPr>
        <w:tab/>
      </w:r>
      <w:r w:rsidRPr="004676F5">
        <w:rPr>
          <w:i/>
          <w:lang w:val="de-DE"/>
        </w:rPr>
        <w:t>a)</w:t>
      </w:r>
      <w:r w:rsidRPr="004676F5">
        <w:rPr>
          <w:lang w:val="de-DE"/>
        </w:rPr>
        <w:t> die Belgische Wettbewerbsbehörde zum Zeitpunkt des Antrags auf Kronzeugen</w:t>
      </w:r>
      <w:r w:rsidRPr="004676F5">
        <w:rPr>
          <w:lang w:val="de-DE"/>
        </w:rPr>
        <w:softHyphen/>
        <w:t>behandlung in die Lage versetzen, gezielte Durchsuchungen im Zusammenhang mit dem geheimen Kartell durchzuführen, vorausgesetzt, die Belgische Wettbewerbsbehörde verfügte bislang nicht über ausreichende Angaben, um eine solche Durchsuchung durchzuführen, beziehungsweise hat noch keine derartigen Durchsuchungen durchgeführt (Geldbußenerlass Typ A), oder</w:t>
      </w:r>
    </w:p>
    <w:p w14:paraId="00D6FAA1" w14:textId="77777777" w:rsidR="008C6746" w:rsidRPr="004676F5" w:rsidRDefault="008C6746" w:rsidP="008C6746">
      <w:pPr>
        <w:jc w:val="both"/>
        <w:rPr>
          <w:lang w:val="de-DE"/>
        </w:rPr>
      </w:pPr>
    </w:p>
    <w:p w14:paraId="5259A284" w14:textId="77777777" w:rsidR="008C6746" w:rsidRPr="004676F5" w:rsidRDefault="008C6746" w:rsidP="008C6746">
      <w:pPr>
        <w:jc w:val="both"/>
        <w:rPr>
          <w:lang w:val="de-DE"/>
        </w:rPr>
      </w:pPr>
      <w:r w:rsidRPr="004676F5">
        <w:rPr>
          <w:lang w:val="de-DE"/>
        </w:rPr>
        <w:tab/>
      </w:r>
      <w:r w:rsidRPr="004676F5">
        <w:rPr>
          <w:i/>
          <w:lang w:val="de-DE"/>
        </w:rPr>
        <w:t>b)</w:t>
      </w:r>
      <w:r w:rsidRPr="004676F5">
        <w:rPr>
          <w:lang w:val="de-DE"/>
        </w:rPr>
        <w:t> für die Feststellung seitens der Belgischen Wettbewerbsbehörde des geheimen Kartells ausreichen, vorausgesetzt, die Behörde verfügte zum Zeitpunkt des Antrags auf Kronzeugenbehandlung noch nicht über ausreichende Beweismittel, um ein solches Kartell festzustellen, und keinem anderen Unternehmen oder keiner anderen Unternehmens</w:t>
      </w:r>
      <w:r w:rsidRPr="004676F5">
        <w:rPr>
          <w:lang w:val="de-DE"/>
        </w:rPr>
        <w:softHyphen/>
        <w:t>vereinigung ist bislang Geldbußenerlass des Typs A im Zusammenhang mit diesem Kartell gewährt worden (Geldbußenerlass Typ B), und</w:t>
      </w:r>
    </w:p>
    <w:p w14:paraId="53BC8C5A" w14:textId="77777777" w:rsidR="008C6746" w:rsidRPr="004676F5" w:rsidRDefault="008C6746" w:rsidP="008C6746">
      <w:pPr>
        <w:jc w:val="both"/>
        <w:rPr>
          <w:lang w:val="de-DE"/>
        </w:rPr>
      </w:pPr>
    </w:p>
    <w:p w14:paraId="03613B4E" w14:textId="77777777" w:rsidR="008C6746" w:rsidRPr="004676F5" w:rsidRDefault="008C6746" w:rsidP="008C6746">
      <w:pPr>
        <w:jc w:val="both"/>
        <w:rPr>
          <w:lang w:val="de-DE"/>
        </w:rPr>
      </w:pPr>
      <w:r w:rsidRPr="004676F5">
        <w:rPr>
          <w:lang w:val="de-DE"/>
        </w:rPr>
        <w:tab/>
        <w:t>4. die in § 4 erwähnten Voraussetzungen erfüllt.</w:t>
      </w:r>
    </w:p>
    <w:p w14:paraId="442CD44F" w14:textId="77777777" w:rsidR="008C6746" w:rsidRPr="004676F5" w:rsidRDefault="008C6746" w:rsidP="008C6746">
      <w:pPr>
        <w:jc w:val="both"/>
        <w:rPr>
          <w:lang w:val="de-DE"/>
        </w:rPr>
      </w:pPr>
    </w:p>
    <w:p w14:paraId="06D9C4A7" w14:textId="77777777" w:rsidR="008C6746" w:rsidRPr="004676F5" w:rsidRDefault="008C6746" w:rsidP="008C6746">
      <w:pPr>
        <w:jc w:val="both"/>
        <w:rPr>
          <w:lang w:val="de-DE"/>
        </w:rPr>
      </w:pPr>
      <w:r w:rsidRPr="004676F5">
        <w:rPr>
          <w:lang w:val="de-DE"/>
        </w:rPr>
        <w:tab/>
        <w:t>Unternehmen oder Unternehmensvereinigungen, die Schritte unternommen haben, um andere Unternehmen oder Unternehmensvereinigungen zur Beteiligung an oder zum Verbleib in einem geheimen Kartell zu zwingen, kommen für einen Geldbußenerlass nicht in Frage. Sie kommen jedoch wohl für eine Geldbußenermäßigung in Frage, wenn sie die in § 3 erwähnten Voraussetzungen erfüllen.</w:t>
      </w:r>
    </w:p>
    <w:p w14:paraId="6B59E7FF" w14:textId="77777777" w:rsidR="008C6746" w:rsidRPr="004676F5" w:rsidRDefault="008C6746" w:rsidP="008C6746">
      <w:pPr>
        <w:jc w:val="both"/>
        <w:rPr>
          <w:lang w:val="de-DE"/>
        </w:rPr>
      </w:pPr>
    </w:p>
    <w:p w14:paraId="73261DB7" w14:textId="77777777" w:rsidR="008C6746" w:rsidRPr="004676F5" w:rsidRDefault="008C6746" w:rsidP="008C6746">
      <w:pPr>
        <w:jc w:val="both"/>
        <w:rPr>
          <w:lang w:val="de-DE"/>
        </w:rPr>
      </w:pPr>
      <w:r w:rsidRPr="004676F5">
        <w:rPr>
          <w:lang w:val="de-DE"/>
        </w:rPr>
        <w:tab/>
        <w:t>§ 3 ­ Geldbußenermäßigung kann nur gewährt werden, wenn der Beantrager der Kronzeugenbehandlung:</w:t>
      </w:r>
    </w:p>
    <w:p w14:paraId="184EEDE5" w14:textId="77777777" w:rsidR="008C6746" w:rsidRPr="004676F5" w:rsidRDefault="008C6746" w:rsidP="008C6746">
      <w:pPr>
        <w:jc w:val="both"/>
        <w:rPr>
          <w:lang w:val="de-DE"/>
        </w:rPr>
      </w:pPr>
    </w:p>
    <w:p w14:paraId="270919C6" w14:textId="77777777" w:rsidR="008C6746" w:rsidRPr="004676F5" w:rsidRDefault="008C6746" w:rsidP="008C6746">
      <w:pPr>
        <w:jc w:val="both"/>
        <w:rPr>
          <w:lang w:val="de-DE"/>
        </w:rPr>
      </w:pPr>
      <w:r w:rsidRPr="004676F5">
        <w:rPr>
          <w:lang w:val="de-DE"/>
        </w:rPr>
        <w:tab/>
        <w:t>1. seine Beteiligung an einem geheimen Kartell offenlegt,</w:t>
      </w:r>
    </w:p>
    <w:p w14:paraId="232E8185" w14:textId="77777777" w:rsidR="008C6746" w:rsidRPr="004676F5" w:rsidRDefault="008C6746" w:rsidP="008C6746">
      <w:pPr>
        <w:jc w:val="both"/>
        <w:rPr>
          <w:lang w:val="de-DE"/>
        </w:rPr>
      </w:pPr>
    </w:p>
    <w:p w14:paraId="4A2B94D2" w14:textId="77777777" w:rsidR="008C6746" w:rsidRPr="004676F5" w:rsidRDefault="008C6746" w:rsidP="008C6746">
      <w:pPr>
        <w:jc w:val="both"/>
        <w:rPr>
          <w:lang w:val="de-DE"/>
        </w:rPr>
      </w:pPr>
      <w:r w:rsidRPr="004676F5">
        <w:rPr>
          <w:lang w:val="de-DE"/>
        </w:rPr>
        <w:tab/>
        <w:t>2. dazu beiträgt, die Beteiligten zu identifizieren, und</w:t>
      </w:r>
    </w:p>
    <w:p w14:paraId="04F91D66" w14:textId="77777777" w:rsidR="008C6746" w:rsidRPr="004676F5" w:rsidRDefault="008C6746" w:rsidP="008C6746">
      <w:pPr>
        <w:jc w:val="both"/>
        <w:rPr>
          <w:lang w:val="de-DE"/>
        </w:rPr>
      </w:pPr>
    </w:p>
    <w:p w14:paraId="63E9951D" w14:textId="77777777" w:rsidR="008C6746" w:rsidRPr="004676F5" w:rsidRDefault="008C6746" w:rsidP="008C6746">
      <w:pPr>
        <w:jc w:val="both"/>
        <w:rPr>
          <w:lang w:val="de-DE"/>
        </w:rPr>
      </w:pPr>
      <w:r w:rsidRPr="004676F5">
        <w:rPr>
          <w:lang w:val="de-DE"/>
        </w:rPr>
        <w:tab/>
        <w:t>3. Beweismittel für das geheime Kartell vorlegt, die gegenüber den Beweismitteln, die sich zum Zeitpunkt des Antrags auf Kronzeugenbehandlung bereits im Besitz der Belgischen Wettbewerbsbehörde befinden, einen erheblichen Mehrwert aufweisen, und</w:t>
      </w:r>
    </w:p>
    <w:p w14:paraId="130A692E" w14:textId="77777777" w:rsidR="008C6746" w:rsidRPr="004676F5" w:rsidRDefault="008C6746" w:rsidP="008C6746">
      <w:pPr>
        <w:jc w:val="both"/>
        <w:rPr>
          <w:lang w:val="de-DE"/>
        </w:rPr>
      </w:pPr>
    </w:p>
    <w:p w14:paraId="1171D5EB" w14:textId="77777777" w:rsidR="008C6746" w:rsidRPr="004676F5" w:rsidRDefault="008C6746" w:rsidP="008C6746">
      <w:pPr>
        <w:jc w:val="both"/>
        <w:rPr>
          <w:lang w:val="de-DE"/>
        </w:rPr>
      </w:pPr>
      <w:r w:rsidRPr="004676F5">
        <w:rPr>
          <w:lang w:val="de-DE"/>
        </w:rPr>
        <w:tab/>
        <w:t>4. die in § 4 erwähnten Voraussetzungen erfüllt.</w:t>
      </w:r>
    </w:p>
    <w:p w14:paraId="5728416E" w14:textId="77777777" w:rsidR="008C6746" w:rsidRPr="004676F5" w:rsidRDefault="008C6746" w:rsidP="008C6746">
      <w:pPr>
        <w:jc w:val="both"/>
        <w:rPr>
          <w:lang w:val="de-DE"/>
        </w:rPr>
      </w:pPr>
    </w:p>
    <w:p w14:paraId="3E63077B" w14:textId="77777777" w:rsidR="008C6746" w:rsidRPr="004676F5" w:rsidRDefault="008C6746" w:rsidP="008C6746">
      <w:pPr>
        <w:jc w:val="both"/>
        <w:rPr>
          <w:lang w:val="de-DE"/>
        </w:rPr>
      </w:pPr>
      <w:r w:rsidRPr="004676F5">
        <w:rPr>
          <w:lang w:val="de-DE"/>
        </w:rPr>
        <w:tab/>
        <w:t xml:space="preserve">Übermittelt ein Beantrager der Kronzeugenbehandlung Beweismittel, die einen erheblichen Mehrwert aufweisen und die die Belgische Wettbewerbsbehörde zur Feststellung zusätzlicher Tatsachen heranzieht, die die Schwere oder Dauer der Zuwiderhandlung erhöhen, </w:t>
      </w:r>
      <w:r w:rsidRPr="004676F5">
        <w:rPr>
          <w:lang w:val="de-DE"/>
        </w:rPr>
        <w:lastRenderedPageBreak/>
        <w:t>berücksichtigt die Belgische Wettbewerbsbehörde diese zusätzlichen Tatsachen nicht bei der Festsetzung der Geldbuße, die gegen den Beantrager der Kronzeugenbehandlung, der diese Beweismittel vorgelegt hat, verhängt wird.</w:t>
      </w:r>
    </w:p>
    <w:p w14:paraId="7822D073" w14:textId="77777777" w:rsidR="008C6746" w:rsidRPr="004676F5" w:rsidRDefault="008C6746" w:rsidP="008C6746">
      <w:pPr>
        <w:jc w:val="both"/>
        <w:rPr>
          <w:lang w:val="de-DE"/>
        </w:rPr>
      </w:pPr>
    </w:p>
    <w:p w14:paraId="6AA3B2A7" w14:textId="1B1BD4C6" w:rsidR="008C6746" w:rsidRPr="004676F5" w:rsidRDefault="008C6746" w:rsidP="008C6746">
      <w:pPr>
        <w:jc w:val="both"/>
        <w:rPr>
          <w:lang w:val="de-DE"/>
        </w:rPr>
      </w:pPr>
      <w:r w:rsidRPr="004676F5">
        <w:rPr>
          <w:lang w:val="de-DE"/>
        </w:rPr>
        <w:tab/>
        <w:t>§ 4 </w:t>
      </w:r>
      <w:r w:rsidR="005B7A5C" w:rsidRPr="004676F5">
        <w:rPr>
          <w:lang w:val="de-DE"/>
        </w:rPr>
        <w:t>- </w:t>
      </w:r>
      <w:r w:rsidRPr="004676F5">
        <w:rPr>
          <w:lang w:val="de-DE"/>
        </w:rPr>
        <w:t>Um für Erlass oder Ermäßigung von Geldbußen wie in den Paragraphen 2 und 3 erwähnt in Frage zu kommen, erfüllt der Beantrager der Kronzeugenbehandlung zusätzlich folgende Zusammenarbeitsvoraussetzungen:</w:t>
      </w:r>
    </w:p>
    <w:p w14:paraId="250999A5" w14:textId="77777777" w:rsidR="008C6746" w:rsidRPr="004676F5" w:rsidRDefault="008C6746" w:rsidP="008C6746">
      <w:pPr>
        <w:jc w:val="both"/>
        <w:rPr>
          <w:lang w:val="de-DE"/>
        </w:rPr>
      </w:pPr>
    </w:p>
    <w:p w14:paraId="7C5814C5" w14:textId="0FFAAF4F" w:rsidR="008C6746" w:rsidRPr="004676F5" w:rsidRDefault="008C6746" w:rsidP="008C6746">
      <w:pPr>
        <w:jc w:val="both"/>
        <w:rPr>
          <w:lang w:val="de-DE"/>
        </w:rPr>
      </w:pPr>
      <w:r w:rsidRPr="004676F5">
        <w:rPr>
          <w:lang w:val="de-DE"/>
        </w:rPr>
        <w:tab/>
        <w:t>1</w:t>
      </w:r>
      <w:r w:rsidR="001D448B" w:rsidRPr="004676F5">
        <w:rPr>
          <w:lang w:val="de-DE"/>
        </w:rPr>
        <w:t>.</w:t>
      </w:r>
      <w:r w:rsidRPr="004676F5">
        <w:rPr>
          <w:lang w:val="de-DE"/>
        </w:rPr>
        <w:t> während er die Stellung eines Antrags auf Kronzeugenbehandlung erwägt und vor dessen Einreichung:</w:t>
      </w:r>
    </w:p>
    <w:p w14:paraId="5A21D4DB" w14:textId="77777777" w:rsidR="008C6746" w:rsidRPr="004676F5" w:rsidRDefault="008C6746" w:rsidP="008C6746">
      <w:pPr>
        <w:jc w:val="both"/>
        <w:rPr>
          <w:lang w:val="de-DE"/>
        </w:rPr>
      </w:pPr>
    </w:p>
    <w:p w14:paraId="5EEFC92C" w14:textId="77777777" w:rsidR="008C6746" w:rsidRPr="004676F5" w:rsidRDefault="008C6746" w:rsidP="008C6746">
      <w:pPr>
        <w:jc w:val="both"/>
        <w:rPr>
          <w:lang w:val="de-DE"/>
        </w:rPr>
      </w:pPr>
      <w:r w:rsidRPr="004676F5">
        <w:rPr>
          <w:lang w:val="de-DE"/>
        </w:rPr>
        <w:tab/>
      </w:r>
      <w:r w:rsidRPr="004676F5">
        <w:rPr>
          <w:i/>
          <w:lang w:val="de-DE"/>
        </w:rPr>
        <w:t>a)</w:t>
      </w:r>
      <w:r w:rsidRPr="004676F5">
        <w:rPr>
          <w:lang w:val="de-DE"/>
        </w:rPr>
        <w:t> Beweise für das geheime Kartell nicht vernichtet, verfälscht oder unterdrückt haben, oder</w:t>
      </w:r>
    </w:p>
    <w:p w14:paraId="3005813D" w14:textId="77777777" w:rsidR="008C6746" w:rsidRPr="004676F5" w:rsidRDefault="008C6746" w:rsidP="008C6746">
      <w:pPr>
        <w:jc w:val="both"/>
        <w:rPr>
          <w:lang w:val="de-DE"/>
        </w:rPr>
      </w:pPr>
    </w:p>
    <w:p w14:paraId="5E3BDC59" w14:textId="77777777" w:rsidR="008C6746" w:rsidRPr="004676F5" w:rsidRDefault="008C6746" w:rsidP="008C6746">
      <w:pPr>
        <w:jc w:val="both"/>
        <w:rPr>
          <w:lang w:val="de-DE"/>
        </w:rPr>
      </w:pPr>
      <w:r w:rsidRPr="004676F5">
        <w:rPr>
          <w:lang w:val="de-DE"/>
        </w:rPr>
        <w:tab/>
      </w:r>
      <w:r w:rsidRPr="004676F5">
        <w:rPr>
          <w:i/>
          <w:lang w:val="de-DE"/>
        </w:rPr>
        <w:t>b)</w:t>
      </w:r>
      <w:r w:rsidRPr="004676F5">
        <w:rPr>
          <w:lang w:val="de-DE"/>
        </w:rPr>
        <w:t> die Tatsache, dass er eine Antragstellung erwägt, oder den Inhalt des von ihm erwogenen Antrags auf Kronzeugenbehandlung nicht offengelegt haben; dies gilt mit Ausnahme der Offenlegung gegenüber anderen Wettbewerbsbehörden des Europäischen Wettbewerbsnetzes oder Wettbewerbsbehörden von Drittländern,</w:t>
      </w:r>
    </w:p>
    <w:p w14:paraId="39811E58" w14:textId="77777777" w:rsidR="008C6746" w:rsidRPr="004676F5" w:rsidRDefault="008C6746" w:rsidP="008C6746">
      <w:pPr>
        <w:jc w:val="both"/>
        <w:rPr>
          <w:lang w:val="de-DE"/>
        </w:rPr>
      </w:pPr>
    </w:p>
    <w:p w14:paraId="2975F1E8" w14:textId="77777777" w:rsidR="008C6746" w:rsidRPr="004676F5" w:rsidRDefault="008C6746" w:rsidP="008C6746">
      <w:pPr>
        <w:jc w:val="both"/>
        <w:rPr>
          <w:lang w:val="de-DE"/>
        </w:rPr>
      </w:pPr>
      <w:r w:rsidRPr="004676F5">
        <w:rPr>
          <w:lang w:val="de-DE"/>
        </w:rPr>
        <w:tab/>
        <w:t>2. seine Beteiligung an dem geheimen Kartell spätestens unmittelbar nach Einreichung seines Antrags auf Kronzeugenbehandlung beendet haben, außer wenn nach Auffassung des mit der Sache beauftragten Auditors Kartellaktivitäten nach vernünftigem Ermessen erforderlich sind, um die Integrität der Untersuchung zu wahren,</w:t>
      </w:r>
    </w:p>
    <w:p w14:paraId="0AE42E66" w14:textId="0A4018F8" w:rsidR="00115238" w:rsidRPr="004676F5" w:rsidRDefault="00115238">
      <w:pPr>
        <w:rPr>
          <w:lang w:val="de-DE"/>
        </w:rPr>
      </w:pPr>
    </w:p>
    <w:p w14:paraId="7B9E3E56" w14:textId="4F9B10E6" w:rsidR="008C6746" w:rsidRPr="004676F5" w:rsidRDefault="008C6746" w:rsidP="008C6746">
      <w:pPr>
        <w:jc w:val="both"/>
        <w:rPr>
          <w:lang w:val="de-DE"/>
        </w:rPr>
      </w:pPr>
      <w:r w:rsidRPr="004676F5">
        <w:rPr>
          <w:lang w:val="de-DE"/>
        </w:rPr>
        <w:tab/>
        <w:t>3. ab Einreichung seines Antrags auf Kronzeugenbehandlung bis zum Abschluss des Verfahrens durch eine Entscheidung der Belgischen Wettbewerbsbehörde in vollem Umfang, kontinuierlich, gutgläubig und zügig mit der Belgischen Wettbewerbsbehörde zusammen</w:t>
      </w:r>
      <w:r w:rsidRPr="004676F5">
        <w:rPr>
          <w:lang w:val="de-DE"/>
        </w:rPr>
        <w:softHyphen/>
        <w:t>arbeiten. Diese Zusammenarbeit beinhaltet für den Beantrager der Kronzeugenbehandlung unter anderem, dass er:</w:t>
      </w:r>
    </w:p>
    <w:p w14:paraId="00CA6853" w14:textId="77777777" w:rsidR="008C6746" w:rsidRPr="004676F5" w:rsidRDefault="008C6746" w:rsidP="008C6746">
      <w:pPr>
        <w:jc w:val="both"/>
        <w:rPr>
          <w:lang w:val="de-DE"/>
        </w:rPr>
      </w:pPr>
    </w:p>
    <w:p w14:paraId="7010EE06" w14:textId="4BFE2078" w:rsidR="008C6746" w:rsidRPr="004676F5" w:rsidRDefault="008C6746" w:rsidP="008C6746">
      <w:pPr>
        <w:jc w:val="both"/>
        <w:rPr>
          <w:lang w:val="de-DE"/>
        </w:rPr>
      </w:pPr>
      <w:r w:rsidRPr="004676F5">
        <w:rPr>
          <w:lang w:val="de-DE"/>
        </w:rPr>
        <w:tab/>
      </w:r>
      <w:r w:rsidRPr="004676F5">
        <w:rPr>
          <w:i/>
          <w:lang w:val="de-DE"/>
        </w:rPr>
        <w:t>a) </w:t>
      </w:r>
      <w:r w:rsidR="007A54C0" w:rsidRPr="004676F5">
        <w:rPr>
          <w:iCs/>
          <w:lang w:val="de-DE"/>
        </w:rPr>
        <w:t>[</w:t>
      </w:r>
      <w:r w:rsidR="007A54C0" w:rsidRPr="004676F5">
        <w:rPr>
          <w:lang w:val="de-DE"/>
        </w:rPr>
        <w:t>der Belgischen Wettbewerbsbehörde unverzüglich seine Kronzeugenerklärung und alle relevanten Informationen über und Beweise für]</w:t>
      </w:r>
      <w:r w:rsidRPr="004676F5">
        <w:rPr>
          <w:lang w:val="de-DE"/>
        </w:rPr>
        <w:t xml:space="preserve"> das geheime Kartell übermittelt, die in seinem Besitz sind oder zu denen er Zugang hat, insbesondere:</w:t>
      </w:r>
    </w:p>
    <w:p w14:paraId="54884D06" w14:textId="77777777" w:rsidR="008C6746" w:rsidRPr="004676F5" w:rsidRDefault="008C6746" w:rsidP="008C6746">
      <w:pPr>
        <w:jc w:val="both"/>
        <w:rPr>
          <w:lang w:val="de-DE"/>
        </w:rPr>
      </w:pPr>
    </w:p>
    <w:p w14:paraId="0BFFB354" w14:textId="77777777" w:rsidR="008C6746" w:rsidRPr="004676F5" w:rsidRDefault="008C6746" w:rsidP="008C6746">
      <w:pPr>
        <w:jc w:val="both"/>
        <w:rPr>
          <w:lang w:val="de-DE"/>
        </w:rPr>
      </w:pPr>
      <w:r w:rsidRPr="004676F5">
        <w:rPr>
          <w:lang w:val="de-DE"/>
        </w:rPr>
        <w:tab/>
        <w:t>i) Name und Anschrift des Beantragers der Kronzeugenbehandlung,</w:t>
      </w:r>
    </w:p>
    <w:p w14:paraId="6B8F5051" w14:textId="77777777" w:rsidR="008C6746" w:rsidRPr="004676F5" w:rsidRDefault="008C6746" w:rsidP="008C6746">
      <w:pPr>
        <w:jc w:val="both"/>
        <w:rPr>
          <w:lang w:val="de-DE"/>
        </w:rPr>
      </w:pPr>
    </w:p>
    <w:p w14:paraId="7409131B" w14:textId="77777777" w:rsidR="008C6746" w:rsidRPr="004676F5" w:rsidRDefault="008C6746" w:rsidP="008C6746">
      <w:pPr>
        <w:jc w:val="both"/>
        <w:rPr>
          <w:lang w:val="de-DE"/>
        </w:rPr>
      </w:pPr>
      <w:r w:rsidRPr="004676F5">
        <w:rPr>
          <w:lang w:val="de-DE"/>
        </w:rPr>
        <w:tab/>
        <w:t>ii) die Namen aller anderen Unternehmen oder Unternehmensvereinigungen, die an dem geheimen Kartell beteiligt sind oder waren,</w:t>
      </w:r>
    </w:p>
    <w:p w14:paraId="1B2EF15D" w14:textId="77777777" w:rsidR="008C6746" w:rsidRPr="004676F5" w:rsidRDefault="008C6746" w:rsidP="008C6746">
      <w:pPr>
        <w:jc w:val="both"/>
        <w:rPr>
          <w:lang w:val="de-DE"/>
        </w:rPr>
      </w:pPr>
    </w:p>
    <w:p w14:paraId="72EE4EAE" w14:textId="77777777" w:rsidR="008C6746" w:rsidRPr="004676F5" w:rsidRDefault="008C6746" w:rsidP="008C6746">
      <w:pPr>
        <w:jc w:val="both"/>
        <w:rPr>
          <w:lang w:val="de-DE"/>
        </w:rPr>
      </w:pPr>
      <w:r w:rsidRPr="004676F5">
        <w:rPr>
          <w:lang w:val="de-DE"/>
        </w:rPr>
        <w:tab/>
        <w:t>iii) eine ausführliche Beschreibung des geheimen Kartells, einschließlich der betroffenen Produkte, der betroffenen Gebiete, der Dauer und der Art des geheimen Kartells,</w:t>
      </w:r>
    </w:p>
    <w:p w14:paraId="3B4D5782" w14:textId="77777777" w:rsidR="008C6746" w:rsidRPr="004676F5" w:rsidRDefault="008C6746" w:rsidP="008C6746">
      <w:pPr>
        <w:jc w:val="both"/>
        <w:rPr>
          <w:lang w:val="de-DE"/>
        </w:rPr>
      </w:pPr>
    </w:p>
    <w:p w14:paraId="2122D817" w14:textId="77777777" w:rsidR="008C6746" w:rsidRPr="004676F5" w:rsidRDefault="008C6746" w:rsidP="008C6746">
      <w:pPr>
        <w:jc w:val="both"/>
        <w:rPr>
          <w:lang w:val="de-DE"/>
        </w:rPr>
      </w:pPr>
      <w:r w:rsidRPr="004676F5">
        <w:rPr>
          <w:lang w:val="de-DE"/>
        </w:rPr>
        <w:tab/>
        <w:t>iv) Informationen über frühere oder mögliche künftige Anträge auf Kronzeugen</w:t>
      </w:r>
      <w:r w:rsidRPr="004676F5">
        <w:rPr>
          <w:lang w:val="de-DE"/>
        </w:rPr>
        <w:softHyphen/>
        <w:t>behandlung im Zusammenhang mit dem geheimen Kartell bei anderen Wettbewerbsbehörden des Europäischen Wettbewerbsnetzes oder der Wettbewerbsbehörde eines Drittlandes,</w:t>
      </w:r>
    </w:p>
    <w:p w14:paraId="50C8B73B" w14:textId="77777777" w:rsidR="008C6746" w:rsidRPr="004676F5" w:rsidRDefault="008C6746" w:rsidP="008C6746">
      <w:pPr>
        <w:jc w:val="both"/>
        <w:rPr>
          <w:lang w:val="de-DE"/>
        </w:rPr>
      </w:pPr>
    </w:p>
    <w:p w14:paraId="3F2A3A36" w14:textId="77777777" w:rsidR="008C6746" w:rsidRPr="004676F5" w:rsidRDefault="008C6746" w:rsidP="008C6746">
      <w:pPr>
        <w:jc w:val="both"/>
        <w:rPr>
          <w:lang w:val="de-DE"/>
        </w:rPr>
      </w:pPr>
      <w:r w:rsidRPr="004676F5">
        <w:rPr>
          <w:lang w:val="de-DE"/>
        </w:rPr>
        <w:tab/>
      </w:r>
      <w:r w:rsidRPr="004676F5">
        <w:rPr>
          <w:i/>
          <w:lang w:val="de-DE"/>
        </w:rPr>
        <w:t>b)</w:t>
      </w:r>
      <w:r w:rsidRPr="004676F5">
        <w:rPr>
          <w:lang w:val="de-DE"/>
        </w:rPr>
        <w:t> sich der Belgischen Wettbewerbsbehörde zur Verfügung hält, um zügig jede Anfrage zu beantworten, die zur Feststellung des Sachverhalts beitragen kann,</w:t>
      </w:r>
    </w:p>
    <w:p w14:paraId="5207F30C" w14:textId="77777777" w:rsidR="008C6746" w:rsidRPr="004676F5" w:rsidRDefault="008C6746" w:rsidP="008C6746">
      <w:pPr>
        <w:jc w:val="both"/>
        <w:rPr>
          <w:lang w:val="de-DE"/>
        </w:rPr>
      </w:pPr>
    </w:p>
    <w:p w14:paraId="1603ED80" w14:textId="77777777" w:rsidR="008C6746" w:rsidRPr="004676F5" w:rsidRDefault="008C6746" w:rsidP="008C6746">
      <w:pPr>
        <w:jc w:val="both"/>
        <w:rPr>
          <w:lang w:val="de-DE"/>
        </w:rPr>
      </w:pPr>
      <w:r w:rsidRPr="004676F5">
        <w:rPr>
          <w:lang w:val="de-DE"/>
        </w:rPr>
        <w:lastRenderedPageBreak/>
        <w:tab/>
      </w:r>
      <w:r w:rsidRPr="004676F5">
        <w:rPr>
          <w:i/>
          <w:lang w:val="de-DE"/>
        </w:rPr>
        <w:t>c)</w:t>
      </w:r>
      <w:r w:rsidRPr="004676F5">
        <w:rPr>
          <w:lang w:val="de-DE"/>
        </w:rPr>
        <w:t> dafür sorgt, dass Unternehmensleiter, Verwalter und sonstige Mitarbeiter und soweit möglich frühere Unternehmensleiter, Verwalter und sonstige Mitarbeiter für Befragungen durch die Belgische Wettbewerbsbehörde zur Verfügung stehen,</w:t>
      </w:r>
    </w:p>
    <w:p w14:paraId="2FBB0EAF" w14:textId="77777777" w:rsidR="008C6746" w:rsidRPr="004676F5" w:rsidRDefault="008C6746" w:rsidP="008C6746">
      <w:pPr>
        <w:jc w:val="both"/>
        <w:rPr>
          <w:lang w:val="de-DE"/>
        </w:rPr>
      </w:pPr>
    </w:p>
    <w:p w14:paraId="362F187B" w14:textId="77777777" w:rsidR="008C6746" w:rsidRPr="004676F5" w:rsidRDefault="008C6746" w:rsidP="008C6746">
      <w:pPr>
        <w:jc w:val="both"/>
        <w:rPr>
          <w:lang w:val="de-DE"/>
        </w:rPr>
      </w:pPr>
      <w:r w:rsidRPr="004676F5">
        <w:rPr>
          <w:lang w:val="de-DE"/>
        </w:rPr>
        <w:tab/>
      </w:r>
      <w:r w:rsidRPr="004676F5">
        <w:rPr>
          <w:i/>
          <w:lang w:val="de-DE"/>
        </w:rPr>
        <w:t>d)</w:t>
      </w:r>
      <w:r w:rsidRPr="004676F5">
        <w:rPr>
          <w:lang w:val="de-DE"/>
        </w:rPr>
        <w:t> relevante Informationen und Beweise nicht vernichtet, verfälscht oder unterdrückt,</w:t>
      </w:r>
    </w:p>
    <w:p w14:paraId="47CAF668" w14:textId="77777777" w:rsidR="008C6746" w:rsidRPr="004676F5" w:rsidRDefault="008C6746" w:rsidP="008C6746">
      <w:pPr>
        <w:jc w:val="both"/>
        <w:rPr>
          <w:lang w:val="de-DE"/>
        </w:rPr>
      </w:pPr>
    </w:p>
    <w:p w14:paraId="505BD7CF" w14:textId="77777777" w:rsidR="008C6746" w:rsidRPr="004676F5" w:rsidRDefault="008C6746" w:rsidP="008C6746">
      <w:pPr>
        <w:jc w:val="both"/>
        <w:rPr>
          <w:lang w:val="de-DE"/>
        </w:rPr>
      </w:pPr>
      <w:r w:rsidRPr="004676F5">
        <w:rPr>
          <w:lang w:val="de-DE"/>
        </w:rPr>
        <w:tab/>
      </w:r>
      <w:r w:rsidRPr="004676F5">
        <w:rPr>
          <w:i/>
          <w:lang w:val="de-DE"/>
        </w:rPr>
        <w:t>e)</w:t>
      </w:r>
      <w:r w:rsidRPr="004676F5">
        <w:rPr>
          <w:lang w:val="de-DE"/>
        </w:rPr>
        <w:t> weder die Tatsache seiner Antragstellung noch den Inhalt seines Antrags auf Kronzeugenbehandlung offenlegt, bis gemäß Artikel IV.64 § 1 der Entscheidungsvorschlag beim Wettbewerbskollegium hinterlegt worden ist, sofern mit dem Auditor nichts anderes vereinbart wurde und unbeschadet des Absatzes 2.</w:t>
      </w:r>
    </w:p>
    <w:p w14:paraId="6E730CD8" w14:textId="77777777" w:rsidR="008C6746" w:rsidRPr="004676F5" w:rsidRDefault="008C6746" w:rsidP="008C6746">
      <w:pPr>
        <w:jc w:val="both"/>
        <w:rPr>
          <w:lang w:val="de-DE"/>
        </w:rPr>
      </w:pPr>
    </w:p>
    <w:p w14:paraId="4EC0A2D8" w14:textId="77777777" w:rsidR="008C6746" w:rsidRPr="004676F5" w:rsidRDefault="008C6746" w:rsidP="008C6746">
      <w:pPr>
        <w:jc w:val="both"/>
        <w:rPr>
          <w:lang w:val="de-DE"/>
        </w:rPr>
      </w:pPr>
      <w:r w:rsidRPr="004676F5">
        <w:rPr>
          <w:lang w:val="de-DE"/>
        </w:rPr>
        <w:tab/>
        <w:t>Die in Absatz 1 Nr. 3 Buchstabe </w:t>
      </w:r>
      <w:r w:rsidRPr="004676F5">
        <w:rPr>
          <w:i/>
          <w:iCs/>
          <w:lang w:val="de-DE"/>
        </w:rPr>
        <w:t>e)</w:t>
      </w:r>
      <w:r w:rsidRPr="004676F5">
        <w:rPr>
          <w:lang w:val="de-DE"/>
        </w:rPr>
        <w:t xml:space="preserve"> erwähnte Vertraulichkeitspflicht wird nicht verletzt, wenn:</w:t>
      </w:r>
    </w:p>
    <w:p w14:paraId="4F34135B" w14:textId="77777777" w:rsidR="008C6746" w:rsidRPr="004676F5" w:rsidRDefault="008C6746" w:rsidP="008C6746">
      <w:pPr>
        <w:jc w:val="both"/>
        <w:rPr>
          <w:lang w:val="de-DE"/>
        </w:rPr>
      </w:pPr>
    </w:p>
    <w:p w14:paraId="1BD77090" w14:textId="77777777" w:rsidR="008C6746" w:rsidRPr="004676F5" w:rsidRDefault="008C6746" w:rsidP="008C6746">
      <w:pPr>
        <w:jc w:val="both"/>
        <w:rPr>
          <w:lang w:val="de-DE"/>
        </w:rPr>
      </w:pPr>
      <w:r w:rsidRPr="004676F5">
        <w:rPr>
          <w:lang w:val="de-DE"/>
        </w:rPr>
        <w:tab/>
        <w:t>1. der Beantrager der Kronzeugenbehandlung eine andere Wettbewerbsbehörde des Europäischen Wettbewerbsnetzes oder eines Drittlandes über die Tatsache seiner Antragstellung oder den Inhalt seines Antrags auf Kronzeugenbehandlung im Rahmen von Mehrfachanträgen, die er selbst stellt, informiert,</w:t>
      </w:r>
    </w:p>
    <w:p w14:paraId="33060A5F" w14:textId="77777777" w:rsidR="008C6746" w:rsidRPr="004676F5" w:rsidRDefault="008C6746" w:rsidP="008C6746">
      <w:pPr>
        <w:jc w:val="both"/>
        <w:rPr>
          <w:lang w:val="de-DE"/>
        </w:rPr>
      </w:pPr>
    </w:p>
    <w:p w14:paraId="09C8B1FC" w14:textId="77777777" w:rsidR="008C6746" w:rsidRPr="004676F5" w:rsidRDefault="008C6746" w:rsidP="008C6746">
      <w:pPr>
        <w:jc w:val="both"/>
        <w:rPr>
          <w:lang w:val="de-DE"/>
        </w:rPr>
      </w:pPr>
      <w:r w:rsidRPr="004676F5">
        <w:rPr>
          <w:lang w:val="de-DE"/>
        </w:rPr>
        <w:tab/>
        <w:t>2. der Beantrager der Kronzeugenbehandlung aufgrund einer gesetzlichen Verpflichtung oder einer vollstreckbaren Entscheidung eines nationalen Gerichts seine Zusammenarbeit mit der Belgischen Wettbewerbsbehörde offenlegen muss, oder</w:t>
      </w:r>
    </w:p>
    <w:p w14:paraId="7360D15B" w14:textId="77777777" w:rsidR="008C6746" w:rsidRPr="004676F5" w:rsidRDefault="008C6746" w:rsidP="008C6746">
      <w:pPr>
        <w:jc w:val="both"/>
        <w:rPr>
          <w:lang w:val="de-DE"/>
        </w:rPr>
      </w:pPr>
    </w:p>
    <w:p w14:paraId="644C94D4" w14:textId="77777777" w:rsidR="008C6746" w:rsidRPr="004676F5" w:rsidRDefault="008C6746" w:rsidP="008C6746">
      <w:pPr>
        <w:jc w:val="both"/>
        <w:rPr>
          <w:lang w:val="de-DE"/>
        </w:rPr>
      </w:pPr>
      <w:r w:rsidRPr="004676F5">
        <w:rPr>
          <w:lang w:val="de-DE"/>
        </w:rPr>
        <w:tab/>
        <w:t>3. der Beantrager der Kronzeugenbehandlung externe Berater in Anspruch nimmt, um ein Rechtsgutachten zu erhalten.</w:t>
      </w:r>
    </w:p>
    <w:p w14:paraId="68F6841F" w14:textId="77777777" w:rsidR="008C6746" w:rsidRPr="004676F5" w:rsidRDefault="008C6746" w:rsidP="008C6746">
      <w:pPr>
        <w:jc w:val="both"/>
        <w:rPr>
          <w:lang w:val="de-DE"/>
        </w:rPr>
      </w:pPr>
    </w:p>
    <w:p w14:paraId="543783CF" w14:textId="77777777" w:rsidR="008C6746" w:rsidRPr="004676F5" w:rsidRDefault="008C6746" w:rsidP="008C6746">
      <w:pPr>
        <w:jc w:val="both"/>
        <w:rPr>
          <w:lang w:val="de-DE"/>
        </w:rPr>
      </w:pPr>
      <w:r w:rsidRPr="004676F5">
        <w:rPr>
          <w:lang w:val="de-DE"/>
        </w:rPr>
        <w:tab/>
        <w:t>Die in Absatz 1 Nr. 3 Buchstabe </w:t>
      </w:r>
      <w:r w:rsidRPr="004676F5">
        <w:rPr>
          <w:i/>
          <w:lang w:val="de-DE"/>
        </w:rPr>
        <w:t>a)</w:t>
      </w:r>
      <w:r w:rsidRPr="004676F5">
        <w:rPr>
          <w:lang w:val="de-DE"/>
        </w:rPr>
        <w:t xml:space="preserve"> erwähnte Kronzeugenerklärung, die sich auf einen vollständigen Antrag oder einen Kurzantrag bezieht, kann schriftlich oder mündlich abgegeben werden.</w:t>
      </w:r>
    </w:p>
    <w:p w14:paraId="70C88146" w14:textId="77777777" w:rsidR="008C6746" w:rsidRPr="004676F5" w:rsidRDefault="008C6746" w:rsidP="008C6746">
      <w:pPr>
        <w:jc w:val="both"/>
        <w:rPr>
          <w:lang w:val="de-DE"/>
        </w:rPr>
      </w:pPr>
    </w:p>
    <w:p w14:paraId="57145BE8" w14:textId="464E438E" w:rsidR="008C6746" w:rsidRPr="004676F5" w:rsidRDefault="008C6746" w:rsidP="008C6746">
      <w:pPr>
        <w:jc w:val="both"/>
        <w:rPr>
          <w:lang w:val="de-DE"/>
        </w:rPr>
      </w:pPr>
      <w:r w:rsidRPr="004676F5">
        <w:rPr>
          <w:lang w:val="de-DE"/>
        </w:rPr>
        <w:tab/>
        <w:t>§ 5 </w:t>
      </w:r>
      <w:r w:rsidR="005B7A5C" w:rsidRPr="004676F5">
        <w:rPr>
          <w:lang w:val="de-DE"/>
        </w:rPr>
        <w:t>- </w:t>
      </w:r>
      <w:r w:rsidRPr="004676F5">
        <w:rPr>
          <w:lang w:val="de-DE"/>
        </w:rPr>
        <w:t>Ein Antrag einer natürlichen Person auf Befreiung von gerichtlicher Verfolgung gemäß Artikel IV.54/4 steht einem Erlass oder einer Ermäßigung von Geldbußen zugunsten des Unternehmens oder der Unternehmensvereinigung, in dem/der diese Person gemäß Artikel IV.1 § 4 handelt oder gehandelt hat, nicht entgegen.]</w:t>
      </w:r>
    </w:p>
    <w:p w14:paraId="4316A853" w14:textId="77777777" w:rsidR="008C6746" w:rsidRPr="004676F5" w:rsidRDefault="008C6746" w:rsidP="008C6746">
      <w:pPr>
        <w:jc w:val="both"/>
        <w:rPr>
          <w:lang w:val="de-DE"/>
        </w:rPr>
      </w:pPr>
    </w:p>
    <w:p w14:paraId="57445836" w14:textId="0CB40D32" w:rsidR="008C6746" w:rsidRPr="004676F5" w:rsidRDefault="008C6746" w:rsidP="008C6746">
      <w:pPr>
        <w:jc w:val="both"/>
        <w:rPr>
          <w:i/>
          <w:iCs/>
          <w:lang w:val="de-DE"/>
        </w:rPr>
      </w:pPr>
      <w:r w:rsidRPr="004676F5">
        <w:rPr>
          <w:i/>
          <w:iCs/>
          <w:lang w:val="de-DE"/>
        </w:rPr>
        <w:t>[Art. IV.54 ersetzt durch Art. 36 des G. vom 28. Februar 2022 (B.S. vom 7. März 2022)</w:t>
      </w:r>
      <w:r w:rsidR="007A54C0" w:rsidRPr="004676F5">
        <w:rPr>
          <w:i/>
          <w:iCs/>
          <w:lang w:val="de-DE"/>
        </w:rPr>
        <w:t>; § 4 Abs. 1 Nr. 3 einziger Absatz Buchstabe a) abgeändert durch Art. 35 des G. vom 29.März 2024 (B.S. vom 3. Mai 2024)</w:t>
      </w:r>
      <w:r w:rsidRPr="004676F5">
        <w:rPr>
          <w:i/>
          <w:iCs/>
          <w:lang w:val="de-DE"/>
        </w:rPr>
        <w:t>]</w:t>
      </w:r>
    </w:p>
    <w:p w14:paraId="3ECC70BE" w14:textId="77777777" w:rsidR="008C6746" w:rsidRPr="004676F5" w:rsidRDefault="008C6746" w:rsidP="008C6746">
      <w:pPr>
        <w:jc w:val="both"/>
        <w:rPr>
          <w:lang w:val="de-DE"/>
        </w:rPr>
      </w:pPr>
    </w:p>
    <w:p w14:paraId="2E57C83B" w14:textId="77777777" w:rsidR="008C6746" w:rsidRPr="004676F5" w:rsidRDefault="008C6746" w:rsidP="008C6746">
      <w:pPr>
        <w:jc w:val="both"/>
        <w:rPr>
          <w:lang w:val="de-DE"/>
        </w:rPr>
      </w:pPr>
    </w:p>
    <w:p w14:paraId="78A94663" w14:textId="7D4796CE" w:rsidR="008C6746" w:rsidRPr="004676F5" w:rsidRDefault="008C6746" w:rsidP="008C6746">
      <w:pPr>
        <w:jc w:val="both"/>
        <w:rPr>
          <w:lang w:val="de-DE"/>
        </w:rPr>
      </w:pPr>
      <w:r w:rsidRPr="004676F5">
        <w:rPr>
          <w:lang w:val="de-DE"/>
        </w:rPr>
        <w:tab/>
        <w:t>[</w:t>
      </w:r>
      <w:r w:rsidRPr="004676F5">
        <w:rPr>
          <w:b/>
          <w:bCs/>
          <w:lang w:val="de-DE"/>
        </w:rPr>
        <w:t>Art. IV.54/1</w:t>
      </w:r>
      <w:r w:rsidRPr="004676F5">
        <w:rPr>
          <w:lang w:val="de-DE"/>
        </w:rPr>
        <w:t> </w:t>
      </w:r>
      <w:r w:rsidR="005B7A5C" w:rsidRPr="004676F5">
        <w:rPr>
          <w:lang w:val="de-DE"/>
        </w:rPr>
        <w:t>- </w:t>
      </w:r>
      <w:r w:rsidRPr="004676F5">
        <w:rPr>
          <w:lang w:val="de-DE"/>
        </w:rPr>
        <w:t>Ein Unternehmen oder eine Unternehmensvereinigung, das/die einen Antrag auf Geldbußenerlass oder -ermäßigung stellen möchte, kann zunächst schriftlich oder mündlich einen Marker beim Generalauditor beantragen.</w:t>
      </w:r>
    </w:p>
    <w:p w14:paraId="10FE44B2" w14:textId="77777777" w:rsidR="008C6746" w:rsidRPr="004676F5" w:rsidRDefault="008C6746" w:rsidP="008C6746">
      <w:pPr>
        <w:jc w:val="both"/>
        <w:rPr>
          <w:lang w:val="de-DE"/>
        </w:rPr>
      </w:pPr>
    </w:p>
    <w:p w14:paraId="059E168B" w14:textId="77777777" w:rsidR="008C6746" w:rsidRPr="004676F5" w:rsidRDefault="008C6746" w:rsidP="008C6746">
      <w:pPr>
        <w:jc w:val="both"/>
        <w:rPr>
          <w:lang w:val="de-DE"/>
        </w:rPr>
      </w:pPr>
      <w:r w:rsidRPr="004676F5">
        <w:rPr>
          <w:lang w:val="de-DE"/>
        </w:rPr>
        <w:tab/>
        <w:t>Um einen Marker erhalten zu können, teilt der Beantrager der Kronzeugenbehandlung dem Generalauditor seinen Namen und seine Anschrift mit und erteilt ihm soweit verfügbar Informationen über:</w:t>
      </w:r>
    </w:p>
    <w:p w14:paraId="1CD3769D" w14:textId="77777777" w:rsidR="008C6746" w:rsidRPr="004676F5" w:rsidRDefault="008C6746" w:rsidP="008C6746">
      <w:pPr>
        <w:jc w:val="both"/>
        <w:rPr>
          <w:lang w:val="de-DE"/>
        </w:rPr>
      </w:pPr>
    </w:p>
    <w:p w14:paraId="777A2DA3" w14:textId="77777777" w:rsidR="008C6746" w:rsidRPr="004676F5" w:rsidRDefault="008C6746" w:rsidP="008C6746">
      <w:pPr>
        <w:jc w:val="both"/>
        <w:rPr>
          <w:lang w:val="de-DE"/>
        </w:rPr>
      </w:pPr>
      <w:r w:rsidRPr="004676F5">
        <w:rPr>
          <w:lang w:val="de-DE"/>
        </w:rPr>
        <w:tab/>
        <w:t>1. die Gründe für die Beantragung eines Markers,</w:t>
      </w:r>
    </w:p>
    <w:p w14:paraId="2535C6CB" w14:textId="77777777" w:rsidR="008C6746" w:rsidRPr="004676F5" w:rsidRDefault="008C6746" w:rsidP="008C6746">
      <w:pPr>
        <w:jc w:val="both"/>
        <w:rPr>
          <w:lang w:val="de-DE"/>
        </w:rPr>
      </w:pPr>
    </w:p>
    <w:p w14:paraId="1B1827E6" w14:textId="77777777" w:rsidR="008C6746" w:rsidRPr="004676F5" w:rsidRDefault="008C6746" w:rsidP="008C6746">
      <w:pPr>
        <w:jc w:val="both"/>
        <w:rPr>
          <w:lang w:val="de-DE"/>
        </w:rPr>
      </w:pPr>
      <w:r w:rsidRPr="004676F5">
        <w:rPr>
          <w:lang w:val="de-DE"/>
        </w:rPr>
        <w:tab/>
        <w:t>2. die Namen aller Parteien, die an dem geheimen Kartell beteiligt sind oder waren,</w:t>
      </w:r>
    </w:p>
    <w:p w14:paraId="08BF6758" w14:textId="77777777" w:rsidR="008C6746" w:rsidRPr="004676F5" w:rsidRDefault="008C6746" w:rsidP="008C6746">
      <w:pPr>
        <w:jc w:val="both"/>
        <w:rPr>
          <w:lang w:val="de-DE"/>
        </w:rPr>
      </w:pPr>
    </w:p>
    <w:p w14:paraId="31EC44B4" w14:textId="77777777" w:rsidR="008C6746" w:rsidRPr="004676F5" w:rsidRDefault="008C6746" w:rsidP="008C6746">
      <w:pPr>
        <w:jc w:val="both"/>
        <w:rPr>
          <w:lang w:val="de-DE"/>
        </w:rPr>
      </w:pPr>
      <w:r w:rsidRPr="004676F5">
        <w:rPr>
          <w:lang w:val="de-DE"/>
        </w:rPr>
        <w:tab/>
        <w:t>3. betroffenes Produkt und Gebiet/betroffene Produkte und Gebiete,</w:t>
      </w:r>
    </w:p>
    <w:p w14:paraId="50148DE6" w14:textId="77777777" w:rsidR="008C6746" w:rsidRPr="004676F5" w:rsidRDefault="008C6746" w:rsidP="008C6746">
      <w:pPr>
        <w:jc w:val="both"/>
        <w:rPr>
          <w:lang w:val="de-DE"/>
        </w:rPr>
      </w:pPr>
    </w:p>
    <w:p w14:paraId="3F948899" w14:textId="77777777" w:rsidR="008C6746" w:rsidRPr="004676F5" w:rsidRDefault="008C6746" w:rsidP="008C6746">
      <w:pPr>
        <w:jc w:val="both"/>
        <w:rPr>
          <w:lang w:val="de-DE"/>
        </w:rPr>
      </w:pPr>
      <w:r w:rsidRPr="004676F5">
        <w:rPr>
          <w:lang w:val="de-DE"/>
        </w:rPr>
        <w:tab/>
        <w:t>4. Dauer und Art des geheimen Kartells,</w:t>
      </w:r>
    </w:p>
    <w:p w14:paraId="40491978" w14:textId="77777777" w:rsidR="008C6746" w:rsidRPr="004676F5" w:rsidRDefault="008C6746" w:rsidP="008C6746">
      <w:pPr>
        <w:jc w:val="both"/>
        <w:rPr>
          <w:lang w:val="de-DE"/>
        </w:rPr>
      </w:pPr>
    </w:p>
    <w:p w14:paraId="4F62D9CC" w14:textId="77777777" w:rsidR="008C6746" w:rsidRPr="004676F5" w:rsidRDefault="008C6746" w:rsidP="008C6746">
      <w:pPr>
        <w:jc w:val="both"/>
        <w:rPr>
          <w:lang w:val="de-DE"/>
        </w:rPr>
      </w:pPr>
      <w:r w:rsidRPr="004676F5">
        <w:rPr>
          <w:lang w:val="de-DE"/>
        </w:rPr>
        <w:tab/>
        <w:t>5. Informationen über frühere oder mögliche künftige Anträge auf Kronzeugen</w:t>
      </w:r>
      <w:r w:rsidRPr="004676F5">
        <w:rPr>
          <w:lang w:val="de-DE"/>
        </w:rPr>
        <w:softHyphen/>
        <w:t>behandlung im Zusammenhang mit dem geheimen Kartell bei anderen Wettbewerbsbehörden des Europäischen Wettbewerbsnetzes oder der Wettbewerbsbehörde eines Drittlandes.</w:t>
      </w:r>
    </w:p>
    <w:p w14:paraId="1E4A52B5" w14:textId="77777777" w:rsidR="008C6746" w:rsidRPr="004676F5" w:rsidRDefault="008C6746" w:rsidP="008C6746">
      <w:pPr>
        <w:jc w:val="both"/>
        <w:rPr>
          <w:lang w:val="de-DE"/>
        </w:rPr>
      </w:pPr>
    </w:p>
    <w:p w14:paraId="2453BD4D" w14:textId="77777777" w:rsidR="008C6746" w:rsidRPr="004676F5" w:rsidRDefault="008C6746" w:rsidP="008C6746">
      <w:pPr>
        <w:jc w:val="both"/>
        <w:rPr>
          <w:lang w:val="de-DE"/>
        </w:rPr>
      </w:pPr>
      <w:r w:rsidRPr="004676F5">
        <w:rPr>
          <w:lang w:val="de-DE"/>
        </w:rPr>
        <w:tab/>
        <w:t>Der Generalauditor oder in seiner Abwesenheit ein vom Generalauditor bestimmtes Personalmitglied des Auditorats entscheidet unter Berücksichtigung der Ernsthaftigkeit und Glaubwürdigkeit der vom Beantrager der Kronzeugenbehandlung angeführten Gründe, ob ein Marker gewährt wird. Diese Entscheidung wird schriftlich zugestellt, wenn der Beantrager der Kronzeugenbehandlung dies wünscht.</w:t>
      </w:r>
    </w:p>
    <w:p w14:paraId="3B91FAC1" w14:textId="77777777" w:rsidR="008C6746" w:rsidRPr="004676F5" w:rsidRDefault="008C6746" w:rsidP="008C6746">
      <w:pPr>
        <w:jc w:val="both"/>
        <w:rPr>
          <w:lang w:val="de-DE"/>
        </w:rPr>
      </w:pPr>
    </w:p>
    <w:p w14:paraId="6A4D9866" w14:textId="7D01FAE6" w:rsidR="008C6746" w:rsidRPr="004676F5" w:rsidRDefault="007A54C0" w:rsidP="008C6746">
      <w:pPr>
        <w:jc w:val="both"/>
        <w:rPr>
          <w:lang w:val="de-DE"/>
        </w:rPr>
      </w:pPr>
      <w:r w:rsidRPr="004676F5">
        <w:rPr>
          <w:lang w:val="de-DE"/>
        </w:rPr>
        <w:tab/>
      </w:r>
      <w:r w:rsidR="008C6746" w:rsidRPr="004676F5">
        <w:rPr>
          <w:lang w:val="de-DE"/>
        </w:rPr>
        <w:t>In der Entscheidung, mit der ein Marker gewährt wird, wird die Frist festgelegt, innerhalb deren der Beantrager der Kronzeugenbehandlung die erforderlichen Informationen mitteilen muss, damit sein Antrag auf Kronzeugenbehandlung berücksichtigt werden kann. Wenn der Beantrager der Kronzeugenbehandlung diese Informationen innerhalb der festgelegten Frist vorlegt, gilt sein Antrag als Antrag auf Kronzeugenbehandlung im Sinne von Artikel IV.54 und die beigebrachten Informationen und Beweismittel gelten als zum Zeitpunkt der Gewährung des Markers vorgelegt. Wenn der Beantrager der Kronzeugenbehandlung die erforderlichen Informationen nicht innerhalb der festgelegten Frist vorlegt, verliert er seinen vorbehaltenen Rang und muss er einen Antrag auf Kronzeugenbehandlung stellen, um noch für irgendeinen Geldbußenerlass in Frage zu kommen.]</w:t>
      </w:r>
    </w:p>
    <w:p w14:paraId="0F1AC177" w14:textId="77777777" w:rsidR="008C6746" w:rsidRPr="004676F5" w:rsidRDefault="008C6746" w:rsidP="008C6746">
      <w:pPr>
        <w:jc w:val="both"/>
        <w:rPr>
          <w:lang w:val="de-DE"/>
        </w:rPr>
      </w:pPr>
    </w:p>
    <w:p w14:paraId="57C63B0C" w14:textId="36836ECC" w:rsidR="008C6746" w:rsidRPr="004676F5" w:rsidRDefault="008C6746" w:rsidP="008C6746">
      <w:pPr>
        <w:jc w:val="both"/>
        <w:rPr>
          <w:i/>
          <w:iCs/>
          <w:lang w:val="de-DE"/>
        </w:rPr>
      </w:pPr>
      <w:r w:rsidRPr="004676F5">
        <w:rPr>
          <w:i/>
          <w:iCs/>
          <w:lang w:val="de-DE"/>
        </w:rPr>
        <w:t>[Art. IV.54/1 eingefügt durch Art. 37 des G. vom 28. Februar 2022 (B.S. vom 7. März 2022)]</w:t>
      </w:r>
    </w:p>
    <w:p w14:paraId="17E56E54" w14:textId="77777777" w:rsidR="008C6746" w:rsidRPr="004676F5" w:rsidRDefault="008C6746" w:rsidP="008C6746">
      <w:pPr>
        <w:jc w:val="both"/>
        <w:rPr>
          <w:lang w:val="de-DE"/>
        </w:rPr>
      </w:pPr>
    </w:p>
    <w:p w14:paraId="3DDC7C89" w14:textId="77777777" w:rsidR="008C6746" w:rsidRPr="004676F5" w:rsidRDefault="008C6746" w:rsidP="008C6746">
      <w:pPr>
        <w:jc w:val="both"/>
        <w:rPr>
          <w:lang w:val="de-DE"/>
        </w:rPr>
      </w:pPr>
    </w:p>
    <w:p w14:paraId="31066356" w14:textId="1B64B8E7" w:rsidR="008C6746" w:rsidRPr="004676F5" w:rsidRDefault="008C6746" w:rsidP="008C6746">
      <w:pPr>
        <w:jc w:val="both"/>
        <w:rPr>
          <w:lang w:val="de-DE"/>
        </w:rPr>
      </w:pPr>
      <w:r w:rsidRPr="004676F5">
        <w:rPr>
          <w:lang w:val="de-DE"/>
        </w:rPr>
        <w:tab/>
        <w:t>[</w:t>
      </w:r>
      <w:r w:rsidRPr="004676F5">
        <w:rPr>
          <w:b/>
          <w:bCs/>
          <w:lang w:val="de-DE"/>
        </w:rPr>
        <w:t>Art. IV.54/2</w:t>
      </w:r>
      <w:r w:rsidRPr="004676F5">
        <w:rPr>
          <w:lang w:val="de-DE"/>
        </w:rPr>
        <w:t> </w:t>
      </w:r>
      <w:r w:rsidR="005B7A5C" w:rsidRPr="004676F5">
        <w:rPr>
          <w:lang w:val="de-DE"/>
        </w:rPr>
        <w:t>- </w:t>
      </w:r>
      <w:r w:rsidRPr="004676F5">
        <w:rPr>
          <w:lang w:val="de-DE"/>
        </w:rPr>
        <w:t>Ein Beantrager der Kronzeugenbehandlung, der bei der Europäischen Kommission einen Marker beantragt oder einen Antrag auf Kronzeugenbehandlung in Bezug auf ein geheimes Kartell gestellt hat, kann, sofern der Antrag mehr als drei Mitgliedstaaten als betroffene Gebiete umfasst, einen Kurzantrag auf Kronzeugenbehandlung beim Generalauditor stellen.</w:t>
      </w:r>
    </w:p>
    <w:p w14:paraId="5D1DA000" w14:textId="77777777" w:rsidR="008C6746" w:rsidRPr="004676F5" w:rsidRDefault="008C6746" w:rsidP="008C6746">
      <w:pPr>
        <w:jc w:val="both"/>
        <w:rPr>
          <w:lang w:val="de-DE"/>
        </w:rPr>
      </w:pPr>
    </w:p>
    <w:p w14:paraId="548FFDF6" w14:textId="77777777" w:rsidR="008C6746" w:rsidRPr="004676F5" w:rsidRDefault="008C6746" w:rsidP="008C6746">
      <w:pPr>
        <w:jc w:val="both"/>
        <w:rPr>
          <w:lang w:val="de-DE"/>
        </w:rPr>
      </w:pPr>
      <w:r w:rsidRPr="004676F5">
        <w:rPr>
          <w:lang w:val="de-DE"/>
        </w:rPr>
        <w:tab/>
        <w:t>Kurzanträge auf Kronzeugenbehandlung enthalten folgende Angaben in Kurzform:</w:t>
      </w:r>
    </w:p>
    <w:p w14:paraId="330E97AA" w14:textId="77777777" w:rsidR="008C6746" w:rsidRPr="004676F5" w:rsidRDefault="008C6746" w:rsidP="008C6746">
      <w:pPr>
        <w:jc w:val="both"/>
        <w:rPr>
          <w:lang w:val="de-DE"/>
        </w:rPr>
      </w:pPr>
    </w:p>
    <w:p w14:paraId="51DD31AB" w14:textId="77777777" w:rsidR="008C6746" w:rsidRPr="004676F5" w:rsidRDefault="008C6746" w:rsidP="008C6746">
      <w:pPr>
        <w:jc w:val="both"/>
        <w:rPr>
          <w:lang w:val="de-DE"/>
        </w:rPr>
      </w:pPr>
      <w:r w:rsidRPr="004676F5">
        <w:rPr>
          <w:lang w:val="de-DE"/>
        </w:rPr>
        <w:tab/>
        <w:t>1. Name und Anschrift des Beantragers der Kronzeugenbehandlung,</w:t>
      </w:r>
    </w:p>
    <w:p w14:paraId="2DC74FF4" w14:textId="77777777" w:rsidR="008C6746" w:rsidRPr="004676F5" w:rsidRDefault="008C6746" w:rsidP="008C6746">
      <w:pPr>
        <w:jc w:val="both"/>
        <w:rPr>
          <w:lang w:val="de-DE"/>
        </w:rPr>
      </w:pPr>
    </w:p>
    <w:p w14:paraId="52530D85" w14:textId="77777777" w:rsidR="008C6746" w:rsidRPr="004676F5" w:rsidRDefault="008C6746" w:rsidP="008C6746">
      <w:pPr>
        <w:jc w:val="both"/>
        <w:rPr>
          <w:lang w:val="de-DE"/>
        </w:rPr>
      </w:pPr>
      <w:r w:rsidRPr="004676F5">
        <w:rPr>
          <w:lang w:val="de-DE"/>
        </w:rPr>
        <w:tab/>
        <w:t>2. die Namen der anderen Unternehmen oder Unternehmensvereinigungen, die an dem geheimen Kartell beteiligt sind oder waren,</w:t>
      </w:r>
    </w:p>
    <w:p w14:paraId="573A84E7" w14:textId="77777777" w:rsidR="008C6746" w:rsidRPr="004676F5" w:rsidRDefault="008C6746" w:rsidP="008C6746">
      <w:pPr>
        <w:jc w:val="both"/>
        <w:rPr>
          <w:lang w:val="de-DE"/>
        </w:rPr>
      </w:pPr>
    </w:p>
    <w:p w14:paraId="7B0966BC" w14:textId="77777777" w:rsidR="008C6746" w:rsidRPr="004676F5" w:rsidRDefault="008C6746" w:rsidP="008C6746">
      <w:pPr>
        <w:jc w:val="both"/>
        <w:rPr>
          <w:lang w:val="de-DE"/>
        </w:rPr>
      </w:pPr>
      <w:r w:rsidRPr="004676F5">
        <w:rPr>
          <w:lang w:val="de-DE"/>
        </w:rPr>
        <w:tab/>
        <w:t>3. betroffenes Produkt und Gebiet/betroffene Produkte und Gebiete,</w:t>
      </w:r>
    </w:p>
    <w:p w14:paraId="32B72BD0" w14:textId="77777777" w:rsidR="008C6746" w:rsidRPr="004676F5" w:rsidRDefault="008C6746" w:rsidP="008C6746">
      <w:pPr>
        <w:jc w:val="both"/>
        <w:rPr>
          <w:lang w:val="de-DE"/>
        </w:rPr>
      </w:pPr>
    </w:p>
    <w:p w14:paraId="3818AB98" w14:textId="77777777" w:rsidR="008C6746" w:rsidRPr="004676F5" w:rsidRDefault="008C6746" w:rsidP="008C6746">
      <w:pPr>
        <w:jc w:val="both"/>
        <w:rPr>
          <w:lang w:val="de-DE"/>
        </w:rPr>
      </w:pPr>
      <w:r w:rsidRPr="004676F5">
        <w:rPr>
          <w:lang w:val="de-DE"/>
        </w:rPr>
        <w:tab/>
        <w:t>4. Dauer und Art der Zuwiderhandlung,</w:t>
      </w:r>
    </w:p>
    <w:p w14:paraId="257BC8AD" w14:textId="77777777" w:rsidR="008C6746" w:rsidRPr="004676F5" w:rsidRDefault="008C6746" w:rsidP="008C6746">
      <w:pPr>
        <w:jc w:val="both"/>
        <w:rPr>
          <w:lang w:val="de-DE"/>
        </w:rPr>
      </w:pPr>
    </w:p>
    <w:p w14:paraId="18CE6240" w14:textId="77777777" w:rsidR="008C6746" w:rsidRPr="004676F5" w:rsidRDefault="008C6746" w:rsidP="008C6746">
      <w:pPr>
        <w:jc w:val="both"/>
        <w:rPr>
          <w:lang w:val="de-DE"/>
        </w:rPr>
      </w:pPr>
      <w:r w:rsidRPr="004676F5">
        <w:rPr>
          <w:lang w:val="de-DE"/>
        </w:rPr>
        <w:tab/>
        <w:t>5. Mitgliedstaat(en), in dessen/deren Hoheitsgebiet sich die Beweismittel wahrschein</w:t>
      </w:r>
      <w:r w:rsidRPr="004676F5">
        <w:rPr>
          <w:lang w:val="de-DE"/>
        </w:rPr>
        <w:softHyphen/>
        <w:t>lich befinden, und</w:t>
      </w:r>
    </w:p>
    <w:p w14:paraId="409BFD14" w14:textId="77777777" w:rsidR="008C6746" w:rsidRPr="004676F5" w:rsidRDefault="008C6746" w:rsidP="008C6746">
      <w:pPr>
        <w:jc w:val="both"/>
        <w:rPr>
          <w:lang w:val="de-DE"/>
        </w:rPr>
      </w:pPr>
    </w:p>
    <w:p w14:paraId="3B48BB36" w14:textId="77777777" w:rsidR="008C6746" w:rsidRPr="004676F5" w:rsidRDefault="008C6746" w:rsidP="008C6746">
      <w:pPr>
        <w:jc w:val="both"/>
        <w:rPr>
          <w:lang w:val="de-DE"/>
        </w:rPr>
      </w:pPr>
      <w:r w:rsidRPr="004676F5">
        <w:rPr>
          <w:lang w:val="de-DE"/>
        </w:rPr>
        <w:lastRenderedPageBreak/>
        <w:tab/>
        <w:t>6. Informationen über frühere oder mögliche künftige Anträge auf Kronzeugen</w:t>
      </w:r>
      <w:r w:rsidRPr="004676F5">
        <w:rPr>
          <w:lang w:val="de-DE"/>
        </w:rPr>
        <w:softHyphen/>
        <w:t>behandlung im Zusammenhang mit dem geheimen Kartell bei anderen Wettbewerbsbehörden des Europäischen Wettbewerbsnetzes oder der Wettbewerbsbehörde eines Drittlandes.</w:t>
      </w:r>
    </w:p>
    <w:p w14:paraId="7042E360" w14:textId="77777777" w:rsidR="008C6746" w:rsidRPr="004676F5" w:rsidRDefault="008C6746" w:rsidP="008C6746">
      <w:pPr>
        <w:jc w:val="both"/>
        <w:rPr>
          <w:lang w:val="de-DE"/>
        </w:rPr>
      </w:pPr>
    </w:p>
    <w:p w14:paraId="5119D522" w14:textId="77777777" w:rsidR="008C6746" w:rsidRPr="004676F5" w:rsidRDefault="008C6746" w:rsidP="008C6746">
      <w:pPr>
        <w:jc w:val="both"/>
        <w:rPr>
          <w:lang w:val="de-DE"/>
        </w:rPr>
      </w:pPr>
      <w:r w:rsidRPr="004676F5">
        <w:rPr>
          <w:lang w:val="de-DE"/>
        </w:rPr>
        <w:tab/>
        <w:t>Vor Einreichung eines vollständigen Antrags auf Kronzeugenbehandlung nach Absatz 5 kann die Belgische Wettbewerbsbehörde vom Beantrager der Kronzeugen</w:t>
      </w:r>
      <w:r w:rsidRPr="004676F5">
        <w:rPr>
          <w:lang w:val="de-DE"/>
        </w:rPr>
        <w:softHyphen/>
        <w:t>behandlung nur zu den in Absatz 2 aufgeführten Punkten konkrete Klarstellungen verlangen.</w:t>
      </w:r>
    </w:p>
    <w:p w14:paraId="67124B8C" w14:textId="77777777" w:rsidR="008C6746" w:rsidRPr="004676F5" w:rsidRDefault="008C6746" w:rsidP="008C6746">
      <w:pPr>
        <w:jc w:val="both"/>
        <w:rPr>
          <w:lang w:val="de-DE"/>
        </w:rPr>
      </w:pPr>
    </w:p>
    <w:p w14:paraId="43E91DAA" w14:textId="77777777" w:rsidR="008C6746" w:rsidRPr="004676F5" w:rsidRDefault="008C6746" w:rsidP="008C6746">
      <w:pPr>
        <w:jc w:val="both"/>
        <w:rPr>
          <w:lang w:val="de-DE"/>
        </w:rPr>
      </w:pPr>
      <w:r w:rsidRPr="004676F5">
        <w:rPr>
          <w:lang w:val="de-DE"/>
        </w:rPr>
        <w:tab/>
        <w:t>Wenn dem Generalauditor zum Zeitpunkt des Eingangs des Kurzantrags auf Kronzeugenbehandlung im Zusammenhang mit demselben geheimen Kartell nicht bereits ein Kurzantrag oder ein vollständiger Antrag auf Kronzeugenbehandlung eines anderen Beantragers der Kronzeugenbehandlung vorliegt und der Kurzantrag seines Erachtens den Anforderungen gemäß Absatz 2 genügt, setzt er den Beantrager der Kronzeugenbehandlung hiervon in Kenntnis.</w:t>
      </w:r>
    </w:p>
    <w:p w14:paraId="6123DA7F" w14:textId="77777777" w:rsidR="008C6746" w:rsidRPr="004676F5" w:rsidRDefault="008C6746" w:rsidP="008C6746">
      <w:pPr>
        <w:jc w:val="both"/>
        <w:rPr>
          <w:lang w:val="de-DE"/>
        </w:rPr>
      </w:pPr>
    </w:p>
    <w:p w14:paraId="37822EE0" w14:textId="240F6667" w:rsidR="008C6746" w:rsidRPr="004676F5" w:rsidRDefault="007A54C0" w:rsidP="008C6746">
      <w:pPr>
        <w:jc w:val="both"/>
        <w:rPr>
          <w:lang w:val="de-DE"/>
        </w:rPr>
      </w:pPr>
      <w:r w:rsidRPr="004676F5">
        <w:rPr>
          <w:lang w:val="de-DE"/>
        </w:rPr>
        <w:tab/>
      </w:r>
      <w:r w:rsidR="008C6746" w:rsidRPr="004676F5">
        <w:rPr>
          <w:lang w:val="de-DE"/>
        </w:rPr>
        <w:t>Wenn die Europäische Kommission die Belgische Wettbewerbsbehörde davon in Kenntnis setzt, dass sie die Sache weder insgesamt noch in Teilen weiterzuverfolgen beabsichtigt, kann der Beantrager der Kronzeugenbehandlung bei der Belgischen Wettbewerbsbehörde einen vollständigen Antrag auf Kronzeugenbehandlung einreichen.</w:t>
      </w:r>
    </w:p>
    <w:p w14:paraId="184D2111" w14:textId="77777777" w:rsidR="008C6746" w:rsidRPr="004676F5" w:rsidRDefault="008C6746" w:rsidP="008C6746">
      <w:pPr>
        <w:jc w:val="both"/>
        <w:rPr>
          <w:lang w:val="de-DE"/>
        </w:rPr>
      </w:pPr>
    </w:p>
    <w:p w14:paraId="61FA4CE9" w14:textId="77777777" w:rsidR="008C6746" w:rsidRPr="004676F5" w:rsidRDefault="008C6746" w:rsidP="008C6746">
      <w:pPr>
        <w:jc w:val="both"/>
        <w:rPr>
          <w:lang w:val="de-DE"/>
        </w:rPr>
      </w:pPr>
      <w:r w:rsidRPr="004676F5">
        <w:rPr>
          <w:lang w:val="de-DE"/>
        </w:rPr>
        <w:tab/>
        <w:t>Absatz 5 gilt unbeschadet des Rechts des Beantragers der Kronzeugenbehandlung, freiwillig bereits zu einem früheren Zeitpunkt einen vollständigen Antrag auf Kronzeugenbehandlung einzureichen.</w:t>
      </w:r>
    </w:p>
    <w:p w14:paraId="5A656846" w14:textId="77777777" w:rsidR="008C6746" w:rsidRPr="004676F5" w:rsidRDefault="008C6746" w:rsidP="008C6746">
      <w:pPr>
        <w:jc w:val="both"/>
        <w:rPr>
          <w:lang w:val="de-DE"/>
        </w:rPr>
      </w:pPr>
    </w:p>
    <w:p w14:paraId="7F5E3944" w14:textId="77777777" w:rsidR="008C6746" w:rsidRPr="004676F5" w:rsidRDefault="008C6746" w:rsidP="008C6746">
      <w:pPr>
        <w:jc w:val="both"/>
        <w:rPr>
          <w:lang w:val="de-DE"/>
        </w:rPr>
      </w:pPr>
      <w:r w:rsidRPr="004676F5">
        <w:rPr>
          <w:lang w:val="de-DE"/>
        </w:rPr>
        <w:tab/>
        <w:t>In Abweichung von Absatz 5 darf der Generalauditor nur in Ausnahmefällen, wenn dies für die Abgrenzung oder die Zuweisung einer Sache unbedingt notwendig ist, vom Beantrager der Kronzeugenbehandlung einen vollständigen Antrag auf Kronzeugen</w:t>
      </w:r>
      <w:r w:rsidRPr="004676F5">
        <w:rPr>
          <w:lang w:val="de-DE"/>
        </w:rPr>
        <w:softHyphen/>
        <w:t>behandlung anfordern, bevor die Europäische Kommission der Belgischen Wettbewerbs</w:t>
      </w:r>
      <w:r w:rsidRPr="004676F5">
        <w:rPr>
          <w:lang w:val="de-DE"/>
        </w:rPr>
        <w:softHyphen/>
        <w:t>behörde mitgeteilt hat, dass sie nicht die Absicht hat, die Sache insgesamt oder in Teilen weiterzuverfolgen.</w:t>
      </w:r>
    </w:p>
    <w:p w14:paraId="5CC7DEDC" w14:textId="77777777" w:rsidR="008C6746" w:rsidRPr="004676F5" w:rsidRDefault="008C6746" w:rsidP="008C6746">
      <w:pPr>
        <w:jc w:val="both"/>
        <w:rPr>
          <w:lang w:val="de-DE"/>
        </w:rPr>
      </w:pPr>
    </w:p>
    <w:p w14:paraId="7ABD932E" w14:textId="77777777" w:rsidR="008C6746" w:rsidRPr="004676F5" w:rsidRDefault="008C6746" w:rsidP="008C6746">
      <w:pPr>
        <w:jc w:val="both"/>
        <w:rPr>
          <w:lang w:val="de-DE"/>
        </w:rPr>
      </w:pPr>
      <w:r w:rsidRPr="004676F5">
        <w:rPr>
          <w:lang w:val="de-DE"/>
        </w:rPr>
        <w:tab/>
        <w:t>Der Generalauditor setzt eine angemessene Frist fest, vor deren Ablauf der vollständige Antrag auf Kronzeugenbehandlung zusammen mit den entsprechenden Beweismitteln und Informationen einzureichen ist.</w:t>
      </w:r>
    </w:p>
    <w:p w14:paraId="55C4562D" w14:textId="77777777" w:rsidR="008C6746" w:rsidRPr="004676F5" w:rsidRDefault="008C6746" w:rsidP="008C6746">
      <w:pPr>
        <w:jc w:val="both"/>
        <w:rPr>
          <w:lang w:val="de-DE"/>
        </w:rPr>
      </w:pPr>
    </w:p>
    <w:p w14:paraId="682AEFF6" w14:textId="77777777" w:rsidR="008C6746" w:rsidRPr="004676F5" w:rsidRDefault="008C6746" w:rsidP="008C6746">
      <w:pPr>
        <w:jc w:val="both"/>
        <w:rPr>
          <w:lang w:val="de-DE"/>
        </w:rPr>
      </w:pPr>
      <w:r w:rsidRPr="004676F5">
        <w:rPr>
          <w:lang w:val="de-DE"/>
        </w:rPr>
        <w:tab/>
        <w:t>Der vollständige Antrag auf Kronzeugenbehandlung gilt als zum Zeitpunkt des Eingangs des Kurzantrags auf Kronzeugenbehandlung vorgelegt, sofern der Kurzantrag auf Kronzeugenbehandlung dasselbe betroffene Produkt und Gebiet/dieselben betroffenen Produkte und Gebiete sowie dieselbe Dauer des geheimen Kartells erfasst wie der bei der Europäischen Kommission gestellte Antrag auf Kronzeugenbehandlung.</w:t>
      </w:r>
    </w:p>
    <w:p w14:paraId="5244949F" w14:textId="77777777" w:rsidR="008C6746" w:rsidRPr="004676F5" w:rsidRDefault="008C6746" w:rsidP="008C6746">
      <w:pPr>
        <w:jc w:val="both"/>
        <w:rPr>
          <w:lang w:val="de-DE"/>
        </w:rPr>
      </w:pPr>
    </w:p>
    <w:p w14:paraId="2C0672F3" w14:textId="3AAF1EBD" w:rsidR="008C6746" w:rsidRPr="004676F5" w:rsidRDefault="008C6746" w:rsidP="008C6746">
      <w:pPr>
        <w:jc w:val="both"/>
        <w:rPr>
          <w:lang w:val="de-DE"/>
        </w:rPr>
      </w:pPr>
      <w:r w:rsidRPr="004676F5">
        <w:rPr>
          <w:lang w:val="de-DE"/>
        </w:rPr>
        <w:tab/>
        <w:t>Der Beantrager der Kronzeugenbehandlung aktualisiert falls erforderlich die in Absatz 2 erwähnten übermittelten Angaben.]</w:t>
      </w:r>
    </w:p>
    <w:p w14:paraId="52A67CAA" w14:textId="77777777" w:rsidR="008C6746" w:rsidRPr="004676F5" w:rsidRDefault="008C6746" w:rsidP="008C6746">
      <w:pPr>
        <w:jc w:val="both"/>
        <w:rPr>
          <w:lang w:val="de-DE"/>
        </w:rPr>
      </w:pPr>
    </w:p>
    <w:p w14:paraId="3D716A56" w14:textId="6EDE2BFC" w:rsidR="008C6746" w:rsidRPr="004676F5" w:rsidRDefault="008C6746" w:rsidP="008C6746">
      <w:pPr>
        <w:jc w:val="both"/>
        <w:rPr>
          <w:i/>
          <w:iCs/>
          <w:lang w:val="de-DE"/>
        </w:rPr>
      </w:pPr>
      <w:r w:rsidRPr="004676F5">
        <w:rPr>
          <w:i/>
          <w:iCs/>
          <w:lang w:val="de-DE"/>
        </w:rPr>
        <w:t>[Art. IV.54/2 eingefügt durch Art. 38 des G. vom 28. Februar 2022 (B.S. vom 7. März 2022)]</w:t>
      </w:r>
    </w:p>
    <w:p w14:paraId="7CAAAAF9" w14:textId="77777777" w:rsidR="008C6746" w:rsidRPr="004676F5" w:rsidRDefault="008C6746" w:rsidP="008C6746">
      <w:pPr>
        <w:jc w:val="both"/>
        <w:rPr>
          <w:lang w:val="de-DE"/>
        </w:rPr>
      </w:pPr>
    </w:p>
    <w:p w14:paraId="10DB2812" w14:textId="77777777" w:rsidR="008C6746" w:rsidRPr="004676F5" w:rsidRDefault="008C6746" w:rsidP="008C6746">
      <w:pPr>
        <w:jc w:val="both"/>
        <w:rPr>
          <w:lang w:val="de-DE"/>
        </w:rPr>
      </w:pPr>
    </w:p>
    <w:p w14:paraId="429CECE4" w14:textId="2A3E56D6" w:rsidR="008C6746" w:rsidRPr="004676F5" w:rsidRDefault="008C6746" w:rsidP="008C6746">
      <w:pPr>
        <w:jc w:val="both"/>
        <w:rPr>
          <w:lang w:val="de-DE"/>
        </w:rPr>
      </w:pPr>
      <w:r w:rsidRPr="004676F5">
        <w:rPr>
          <w:lang w:val="de-DE"/>
        </w:rPr>
        <w:tab/>
        <w:t>[</w:t>
      </w:r>
      <w:r w:rsidRPr="004676F5">
        <w:rPr>
          <w:b/>
          <w:bCs/>
          <w:lang w:val="de-DE"/>
        </w:rPr>
        <w:t>Art. IV.54/3</w:t>
      </w:r>
      <w:r w:rsidRPr="004676F5">
        <w:rPr>
          <w:lang w:val="de-DE"/>
        </w:rPr>
        <w:t> </w:t>
      </w:r>
      <w:r w:rsidR="005B7A5C" w:rsidRPr="004676F5">
        <w:rPr>
          <w:lang w:val="de-DE"/>
        </w:rPr>
        <w:t>- </w:t>
      </w:r>
      <w:r w:rsidRPr="004676F5">
        <w:rPr>
          <w:lang w:val="de-DE"/>
        </w:rPr>
        <w:t>§ 1 ­ Das Unternehmen oder die Unternehmensvereinigung reicht den Antrag auf Kronzeugenbehandlung beim Generalauditor ein.</w:t>
      </w:r>
    </w:p>
    <w:p w14:paraId="1938C311" w14:textId="77777777" w:rsidR="008C6746" w:rsidRPr="004676F5" w:rsidRDefault="008C6746" w:rsidP="008C6746">
      <w:pPr>
        <w:jc w:val="both"/>
        <w:rPr>
          <w:lang w:val="de-DE"/>
        </w:rPr>
      </w:pPr>
    </w:p>
    <w:p w14:paraId="31A02DA8" w14:textId="77777777" w:rsidR="008C6746" w:rsidRPr="004676F5" w:rsidRDefault="008C6746" w:rsidP="008C6746">
      <w:pPr>
        <w:jc w:val="both"/>
        <w:rPr>
          <w:lang w:val="de-DE"/>
        </w:rPr>
      </w:pPr>
      <w:r w:rsidRPr="004676F5">
        <w:rPr>
          <w:lang w:val="de-DE"/>
        </w:rPr>
        <w:lastRenderedPageBreak/>
        <w:tab/>
        <w:t>Auf Ersuchen des Beantragers der Kronzeugenbehandlung stellt der Generalauditor für den vollständigen Antrag oder Kurzantrag auf Kronzeugenbehandlung schriftlich eine Empfangsbestätigung mit Datum und Uhrzeit des Antragseingangs aus.</w:t>
      </w:r>
    </w:p>
    <w:p w14:paraId="69044EA2" w14:textId="77777777" w:rsidR="008C6746" w:rsidRPr="004676F5" w:rsidRDefault="008C6746" w:rsidP="008C6746">
      <w:pPr>
        <w:jc w:val="both"/>
        <w:rPr>
          <w:lang w:val="de-DE"/>
        </w:rPr>
      </w:pPr>
    </w:p>
    <w:p w14:paraId="65499D6D" w14:textId="77777777" w:rsidR="008C6746" w:rsidRPr="004676F5" w:rsidRDefault="008C6746" w:rsidP="008C6746">
      <w:pPr>
        <w:jc w:val="both"/>
        <w:rPr>
          <w:lang w:val="de-DE"/>
        </w:rPr>
      </w:pPr>
      <w:r w:rsidRPr="004676F5">
        <w:rPr>
          <w:lang w:val="de-DE"/>
        </w:rPr>
        <w:tab/>
        <w:t>Der Generalauditor kann einen Antrag auf Kronzeugenbehandlung unberücksichtigt lassen, wenn er nach Mitteilung der Beschwerdegründe an den Beantrager der Kronzeugenbehandlung eingereicht wird.</w:t>
      </w:r>
    </w:p>
    <w:p w14:paraId="5429531C" w14:textId="77777777" w:rsidR="008C6746" w:rsidRPr="004676F5" w:rsidRDefault="008C6746" w:rsidP="008C6746">
      <w:pPr>
        <w:jc w:val="both"/>
        <w:rPr>
          <w:lang w:val="de-DE"/>
        </w:rPr>
      </w:pPr>
    </w:p>
    <w:p w14:paraId="50664452" w14:textId="77777777" w:rsidR="008C6746" w:rsidRPr="004676F5" w:rsidRDefault="008C6746" w:rsidP="008C6746">
      <w:pPr>
        <w:jc w:val="both"/>
        <w:rPr>
          <w:lang w:val="de-DE"/>
        </w:rPr>
      </w:pPr>
      <w:r w:rsidRPr="004676F5">
        <w:rPr>
          <w:lang w:val="de-DE"/>
        </w:rPr>
        <w:tab/>
        <w:t>Der Generalauditor hinterlegt beim Präsidenten einen Entscheidungsvorschlag. Er gibt dem Beantrager der Kronzeugenbehandlung Zugang zu dem Entscheidungsvorschlag, so dass dieser dem Präsidenten etwaige schriftliche Anmerkungen mitteilen kann.</w:t>
      </w:r>
    </w:p>
    <w:p w14:paraId="7E57CDE2" w14:textId="77777777" w:rsidR="008C6746" w:rsidRPr="004676F5" w:rsidRDefault="008C6746" w:rsidP="008C6746">
      <w:pPr>
        <w:jc w:val="both"/>
        <w:rPr>
          <w:lang w:val="de-DE"/>
        </w:rPr>
      </w:pPr>
    </w:p>
    <w:p w14:paraId="09825DFA" w14:textId="77777777" w:rsidR="008C6746" w:rsidRPr="004676F5" w:rsidRDefault="008C6746" w:rsidP="008C6746">
      <w:pPr>
        <w:jc w:val="both"/>
        <w:rPr>
          <w:lang w:val="de-DE"/>
        </w:rPr>
      </w:pPr>
      <w:r w:rsidRPr="004676F5">
        <w:rPr>
          <w:lang w:val="de-DE"/>
        </w:rPr>
        <w:tab/>
        <w:t>§ 2 ­ Der Präsident trifft eine mit Gründen versehene Entscheidung, nachdem er den Beantrager der Kronzeugenbehandlung auf dessen Antrag hin angehört hat.</w:t>
      </w:r>
    </w:p>
    <w:p w14:paraId="695BF17F" w14:textId="77777777" w:rsidR="008C6746" w:rsidRPr="004676F5" w:rsidRDefault="008C6746" w:rsidP="008C6746">
      <w:pPr>
        <w:jc w:val="both"/>
        <w:rPr>
          <w:lang w:val="de-DE"/>
        </w:rPr>
      </w:pPr>
    </w:p>
    <w:p w14:paraId="074C7F64" w14:textId="77777777" w:rsidR="008C6746" w:rsidRPr="004676F5" w:rsidRDefault="008C6746" w:rsidP="008C6746">
      <w:pPr>
        <w:jc w:val="both"/>
        <w:rPr>
          <w:lang w:val="de-DE"/>
        </w:rPr>
      </w:pPr>
      <w:r w:rsidRPr="004676F5">
        <w:rPr>
          <w:lang w:val="de-DE"/>
        </w:rPr>
        <w:tab/>
        <w:t>Wenn der Präsident feststellt, dass der Antrag auf Kronzeugenbehandlung entweder die in Artikel IV.54 §§ 2 und 4 erwähnten Voraussetzungen für einen Geldbußenerlass oder die in Artikel IV.54 §§ 3 und 4 erwähnten Voraussetzungen für eine Geldbußenermäßigung erfüllt, fasst er eine Kronzeugenentscheidung, in der er die mit der Kronzeugenbehandlung verbundenen Verpflichtungen festlegt.</w:t>
      </w:r>
    </w:p>
    <w:p w14:paraId="1CBFC22C" w14:textId="77777777" w:rsidR="008C6746" w:rsidRPr="004676F5" w:rsidRDefault="008C6746" w:rsidP="008C6746">
      <w:pPr>
        <w:jc w:val="both"/>
        <w:rPr>
          <w:lang w:val="de-DE"/>
        </w:rPr>
      </w:pPr>
    </w:p>
    <w:p w14:paraId="0388D739" w14:textId="77777777" w:rsidR="008C6746" w:rsidRPr="004676F5" w:rsidRDefault="008C6746" w:rsidP="008C6746">
      <w:pPr>
        <w:jc w:val="both"/>
        <w:rPr>
          <w:lang w:val="de-DE"/>
        </w:rPr>
      </w:pPr>
      <w:r w:rsidRPr="004676F5">
        <w:rPr>
          <w:lang w:val="de-DE"/>
        </w:rPr>
        <w:tab/>
        <w:t>Entscheidet der Präsident, dass die in Artikel IV.54 §§ 2 und 4 oder Artikel IV.54 §§ 3 und 4 erwähnten Voraussetzungen für einen Geldbußenerlass beziehungsweise eine Geldbußenermäßigung nicht erfüllt sind, kann der Beantrager der Kronzeugenbehandlung seinen Antrag auf Kronzeugenbehandlung und beigefügte Schriftstücke zurückziehen.</w:t>
      </w:r>
    </w:p>
    <w:p w14:paraId="33B552E4" w14:textId="77777777" w:rsidR="008C6746" w:rsidRPr="004676F5" w:rsidRDefault="008C6746" w:rsidP="008C6746">
      <w:pPr>
        <w:jc w:val="both"/>
        <w:rPr>
          <w:lang w:val="de-DE"/>
        </w:rPr>
      </w:pPr>
    </w:p>
    <w:p w14:paraId="4E39BC9C" w14:textId="77777777" w:rsidR="008C6746" w:rsidRPr="004676F5" w:rsidRDefault="008C6746" w:rsidP="008C6746">
      <w:pPr>
        <w:jc w:val="both"/>
        <w:rPr>
          <w:lang w:val="de-DE"/>
        </w:rPr>
      </w:pPr>
      <w:r w:rsidRPr="004676F5">
        <w:rPr>
          <w:lang w:val="de-DE"/>
        </w:rPr>
        <w:tab/>
        <w:t>Falls in der Kronzeugenentscheidung festgestellt wird, dass die in Artikel IV.54 §§ 2 und 4 erwähnten Voraussetzungen für die Gewährung eines Geldbußenerlasses nicht erfüllt sind, gilt der Antrag als Antrag auf Geldbußenermäßigung. In diesem Fall nimmt der Antrag auf Kronzeugenbehandlung Rang ein am Tag, an dem der Antrag auf Geldbußenerlass gestellt worden ist.</w:t>
      </w:r>
    </w:p>
    <w:p w14:paraId="180586F7" w14:textId="77777777" w:rsidR="008C6746" w:rsidRPr="004676F5" w:rsidRDefault="008C6746" w:rsidP="008C6746">
      <w:pPr>
        <w:jc w:val="both"/>
        <w:rPr>
          <w:lang w:val="de-DE"/>
        </w:rPr>
      </w:pPr>
    </w:p>
    <w:p w14:paraId="2717607D" w14:textId="77777777" w:rsidR="008C6746" w:rsidRPr="004676F5" w:rsidRDefault="008C6746" w:rsidP="008C6746">
      <w:pPr>
        <w:jc w:val="both"/>
        <w:rPr>
          <w:lang w:val="de-DE"/>
        </w:rPr>
      </w:pPr>
      <w:r w:rsidRPr="004676F5">
        <w:rPr>
          <w:lang w:val="de-DE"/>
        </w:rPr>
        <w:tab/>
        <w:t>Das Sekretariat teilt dem Beantrager der Kronzeugenbehandlung die Kronzeugenentscheidung mit. Die Entscheidung wird nicht offengelegt; gegen sie kann keine gesonderte Beschwerde eingereicht werden.</w:t>
      </w:r>
    </w:p>
    <w:p w14:paraId="46DD5C13" w14:textId="77777777" w:rsidR="008C6746" w:rsidRPr="004676F5" w:rsidRDefault="008C6746" w:rsidP="008C6746">
      <w:pPr>
        <w:jc w:val="both"/>
        <w:rPr>
          <w:lang w:val="de-DE"/>
        </w:rPr>
      </w:pPr>
    </w:p>
    <w:p w14:paraId="35221560" w14:textId="7E47ACED" w:rsidR="008C6746" w:rsidRPr="004676F5" w:rsidRDefault="008C6746" w:rsidP="008C6746">
      <w:pPr>
        <w:jc w:val="both"/>
        <w:rPr>
          <w:lang w:val="de-DE"/>
        </w:rPr>
      </w:pPr>
      <w:r w:rsidRPr="004676F5">
        <w:rPr>
          <w:lang w:val="de-DE"/>
        </w:rPr>
        <w:tab/>
        <w:t>§ 3 ­ Wenn die in der Kronzeugenentscheidung festgelegten Verpflichtungen erfüllt worden sind, gewährt das Wettbewerbskollegium bei der Entscheidung in der Sache Geldbußenerlass oder -ermäßigung im Verhältnis zum Beitrag am Nachweis des geheimen Kartells.]</w:t>
      </w:r>
    </w:p>
    <w:p w14:paraId="779AE0DC" w14:textId="77777777" w:rsidR="008C6746" w:rsidRPr="004676F5" w:rsidRDefault="008C6746" w:rsidP="008C6746">
      <w:pPr>
        <w:jc w:val="both"/>
        <w:rPr>
          <w:lang w:val="de-DE"/>
        </w:rPr>
      </w:pPr>
    </w:p>
    <w:p w14:paraId="252BC15F" w14:textId="0BF93DE2" w:rsidR="008C6746" w:rsidRPr="004676F5" w:rsidRDefault="008C6746" w:rsidP="008C6746">
      <w:pPr>
        <w:jc w:val="both"/>
        <w:rPr>
          <w:i/>
          <w:iCs/>
          <w:lang w:val="de-DE"/>
        </w:rPr>
      </w:pPr>
      <w:r w:rsidRPr="004676F5">
        <w:rPr>
          <w:i/>
          <w:iCs/>
          <w:lang w:val="de-DE"/>
        </w:rPr>
        <w:t>[Art. IV.54/3 eingefügt durch Art. 39 des G. vom 28. Februar 2022 (B.S. vom 7. März 2022)]</w:t>
      </w:r>
    </w:p>
    <w:p w14:paraId="0BB141B9" w14:textId="77777777" w:rsidR="008C6746" w:rsidRPr="004676F5" w:rsidRDefault="008C6746" w:rsidP="008C6746">
      <w:pPr>
        <w:jc w:val="both"/>
        <w:rPr>
          <w:lang w:val="de-DE"/>
        </w:rPr>
      </w:pPr>
    </w:p>
    <w:p w14:paraId="05C4B0B2" w14:textId="77777777" w:rsidR="008C6746" w:rsidRPr="004676F5" w:rsidRDefault="008C6746" w:rsidP="008C6746">
      <w:pPr>
        <w:jc w:val="both"/>
        <w:rPr>
          <w:lang w:val="de-DE"/>
        </w:rPr>
      </w:pPr>
    </w:p>
    <w:p w14:paraId="65BB4799" w14:textId="7BC9AFB6" w:rsidR="008C6746" w:rsidRPr="004676F5" w:rsidRDefault="008C6746" w:rsidP="008C6746">
      <w:pPr>
        <w:jc w:val="both"/>
        <w:rPr>
          <w:lang w:val="de-DE"/>
        </w:rPr>
      </w:pPr>
      <w:r w:rsidRPr="004676F5">
        <w:rPr>
          <w:lang w:val="de-DE"/>
        </w:rPr>
        <w:tab/>
        <w:t>[</w:t>
      </w:r>
      <w:r w:rsidRPr="004676F5">
        <w:rPr>
          <w:b/>
          <w:bCs/>
          <w:lang w:val="de-DE"/>
        </w:rPr>
        <w:t>Art. IV.54/4</w:t>
      </w:r>
      <w:r w:rsidRPr="004676F5">
        <w:rPr>
          <w:lang w:val="de-DE"/>
        </w:rPr>
        <w:t> </w:t>
      </w:r>
      <w:r w:rsidR="005B7A5C" w:rsidRPr="004676F5">
        <w:rPr>
          <w:lang w:val="de-DE"/>
        </w:rPr>
        <w:t>- </w:t>
      </w:r>
      <w:r w:rsidRPr="004676F5">
        <w:rPr>
          <w:lang w:val="de-DE"/>
        </w:rPr>
        <w:t>§ 1 ­ Eine in Artikel IV.1 § 4 erwähnte natürliche Person kann beim Generalauditor in Bezug auf die in Artikel IV.1 § 4 erwähnten Zuwiderhandlungen einen Antrag auf Befreiung von gerichtlicher Verfolgung einreichen.</w:t>
      </w:r>
    </w:p>
    <w:p w14:paraId="5CB6957E" w14:textId="77777777" w:rsidR="008C6746" w:rsidRPr="004676F5" w:rsidRDefault="008C6746" w:rsidP="008C6746">
      <w:pPr>
        <w:jc w:val="both"/>
        <w:rPr>
          <w:lang w:val="de-DE"/>
        </w:rPr>
      </w:pPr>
    </w:p>
    <w:p w14:paraId="6391E59A" w14:textId="77777777" w:rsidR="008C6746" w:rsidRPr="004676F5" w:rsidRDefault="008C6746" w:rsidP="008C6746">
      <w:pPr>
        <w:jc w:val="both"/>
        <w:rPr>
          <w:lang w:val="de-DE"/>
        </w:rPr>
      </w:pPr>
      <w:r w:rsidRPr="004676F5">
        <w:rPr>
          <w:lang w:val="de-DE"/>
        </w:rPr>
        <w:tab/>
        <w:t xml:space="preserve">Eine natürliche Person, die für ein Unternehmen oder eine Unternehmensvereinigung durch eine Managementgesellschaft handelt, wird einer natürlichen Person gleichgestellt, es sei denn, die Tatsachen in einem konkreten Fall müssen zu dem Schluss führen, dass die </w:t>
      </w:r>
      <w:r w:rsidRPr="004676F5">
        <w:rPr>
          <w:lang w:val="de-DE"/>
        </w:rPr>
        <w:lastRenderedPageBreak/>
        <w:t>Handlungen der betreffenden Managementgesellschaft als Handlungen eines Unternehmens angesehen werden müssen, das am geheimen Kartell beteiligt ist.</w:t>
      </w:r>
    </w:p>
    <w:p w14:paraId="6F22352F" w14:textId="77777777" w:rsidR="008C6746" w:rsidRPr="004676F5" w:rsidRDefault="008C6746" w:rsidP="008C6746">
      <w:pPr>
        <w:jc w:val="both"/>
        <w:rPr>
          <w:lang w:val="de-DE"/>
        </w:rPr>
      </w:pPr>
    </w:p>
    <w:p w14:paraId="0E5F5007" w14:textId="08133B08" w:rsidR="008C6746" w:rsidRPr="004676F5" w:rsidRDefault="008C6746" w:rsidP="008C6746">
      <w:pPr>
        <w:jc w:val="both"/>
        <w:rPr>
          <w:lang w:val="de-DE"/>
        </w:rPr>
      </w:pPr>
      <w:r w:rsidRPr="004676F5">
        <w:rPr>
          <w:lang w:val="de-DE"/>
        </w:rPr>
        <w:tab/>
        <w:t>§ 2 ­ Befreiung von gerichtlicher Verfolgung wird unabhängig von einem Antrag auf Kronzeugenbehandlung gewährt, wenn der Beantrager der Befreiung zum Nachweis des Bestehens eines geheimen Kartells und zur Identifizierung der beteiligten Personen beiträgt, unter anderem:</w:t>
      </w:r>
    </w:p>
    <w:p w14:paraId="798DCB12" w14:textId="77777777" w:rsidR="008C6746" w:rsidRPr="004676F5" w:rsidRDefault="008C6746" w:rsidP="008C6746">
      <w:pPr>
        <w:jc w:val="both"/>
        <w:rPr>
          <w:lang w:val="de-DE"/>
        </w:rPr>
      </w:pPr>
    </w:p>
    <w:p w14:paraId="4FB46A06" w14:textId="77777777" w:rsidR="008C6746" w:rsidRPr="004676F5" w:rsidRDefault="008C6746" w:rsidP="008C6746">
      <w:pPr>
        <w:jc w:val="both"/>
        <w:rPr>
          <w:lang w:val="de-DE"/>
        </w:rPr>
      </w:pPr>
      <w:r w:rsidRPr="004676F5">
        <w:rPr>
          <w:lang w:val="de-DE"/>
        </w:rPr>
        <w:tab/>
        <w:t>1. durch Mitteilung von Auskünften, über die die Belgische Wettbewerbsbehörde vorher nicht verfügt hat,</w:t>
      </w:r>
    </w:p>
    <w:p w14:paraId="57544504" w14:textId="77777777" w:rsidR="008C6746" w:rsidRPr="004676F5" w:rsidRDefault="008C6746" w:rsidP="008C6746">
      <w:pPr>
        <w:jc w:val="both"/>
        <w:rPr>
          <w:lang w:val="de-DE"/>
        </w:rPr>
      </w:pPr>
    </w:p>
    <w:p w14:paraId="56E88650" w14:textId="77777777" w:rsidR="008C6746" w:rsidRPr="004676F5" w:rsidRDefault="008C6746" w:rsidP="008C6746">
      <w:pPr>
        <w:jc w:val="both"/>
        <w:rPr>
          <w:lang w:val="de-DE"/>
        </w:rPr>
      </w:pPr>
      <w:r w:rsidRPr="004676F5">
        <w:rPr>
          <w:lang w:val="de-DE"/>
        </w:rPr>
        <w:tab/>
        <w:t>2. durch Erbringung des Nachweises eines Kartells, dessen Bestehen noch nicht feststand, oder</w:t>
      </w:r>
    </w:p>
    <w:p w14:paraId="31759F6D" w14:textId="77777777" w:rsidR="008C6746" w:rsidRPr="004676F5" w:rsidRDefault="008C6746" w:rsidP="008C6746">
      <w:pPr>
        <w:jc w:val="both"/>
        <w:rPr>
          <w:lang w:val="de-DE"/>
        </w:rPr>
      </w:pPr>
    </w:p>
    <w:p w14:paraId="0871F5D0" w14:textId="77777777" w:rsidR="008C6746" w:rsidRPr="004676F5" w:rsidRDefault="008C6746" w:rsidP="008C6746">
      <w:pPr>
        <w:jc w:val="both"/>
        <w:rPr>
          <w:lang w:val="de-DE"/>
        </w:rPr>
      </w:pPr>
      <w:r w:rsidRPr="004676F5">
        <w:rPr>
          <w:lang w:val="de-DE"/>
        </w:rPr>
        <w:tab/>
        <w:t>3. durch Eingeständnis seiner Beteiligung an einer Zuwiderhandlung gegen Artikel IV.1 § 4.</w:t>
      </w:r>
    </w:p>
    <w:p w14:paraId="28D6B6B0" w14:textId="77777777" w:rsidR="007A54C0" w:rsidRPr="004676F5" w:rsidRDefault="007A54C0" w:rsidP="008C6746">
      <w:pPr>
        <w:jc w:val="both"/>
        <w:rPr>
          <w:lang w:val="de-DE"/>
        </w:rPr>
      </w:pPr>
    </w:p>
    <w:p w14:paraId="26B702CA" w14:textId="581EAE07" w:rsidR="007A54C0" w:rsidRPr="004676F5" w:rsidRDefault="007A54C0" w:rsidP="008C6746">
      <w:pPr>
        <w:jc w:val="both"/>
        <w:rPr>
          <w:lang w:val="de-DE"/>
        </w:rPr>
      </w:pPr>
      <w:r w:rsidRPr="004676F5">
        <w:rPr>
          <w:lang w:val="de-DE"/>
        </w:rPr>
        <w:tab/>
        <w:t>[Um Befreiung in Anspruch nehmen zu können, muss der Beantrager der Befreiung aktiv mit der Belgischen Wettbewerbsbehörde zusammenarbeiten.]</w:t>
      </w:r>
    </w:p>
    <w:p w14:paraId="16EFDE8B" w14:textId="77777777" w:rsidR="008C6746" w:rsidRPr="004676F5" w:rsidRDefault="008C6746" w:rsidP="008C6746">
      <w:pPr>
        <w:jc w:val="both"/>
        <w:rPr>
          <w:lang w:val="de-DE"/>
        </w:rPr>
      </w:pPr>
    </w:p>
    <w:p w14:paraId="0B3933E5" w14:textId="77777777" w:rsidR="008C6746" w:rsidRPr="004676F5" w:rsidRDefault="008C6746" w:rsidP="008C6746">
      <w:pPr>
        <w:jc w:val="both"/>
        <w:rPr>
          <w:lang w:val="de-DE"/>
        </w:rPr>
      </w:pPr>
      <w:r w:rsidRPr="004676F5">
        <w:rPr>
          <w:lang w:val="de-DE"/>
        </w:rPr>
        <w:tab/>
        <w:t>§ 3 ­ Ein Befreiungsantrag kann auch im Rahmen einer Zusammenarbeit bei einem Antrag auf Kronzeugenbehandlung eines Unternehmens oder einer Unternehmensvereinigung und nach einem Antrag auf Kronzeugenbehandlung gestellt werden.</w:t>
      </w:r>
    </w:p>
    <w:p w14:paraId="2C8890EA" w14:textId="77777777" w:rsidR="008C6746" w:rsidRPr="004676F5" w:rsidRDefault="008C6746" w:rsidP="008C6746">
      <w:pPr>
        <w:jc w:val="both"/>
        <w:rPr>
          <w:lang w:val="de-DE"/>
        </w:rPr>
      </w:pPr>
    </w:p>
    <w:p w14:paraId="0E2C27BE" w14:textId="77777777" w:rsidR="008C6746" w:rsidRPr="004676F5" w:rsidRDefault="008C6746" w:rsidP="008C6746">
      <w:pPr>
        <w:jc w:val="both"/>
        <w:rPr>
          <w:lang w:val="de-DE"/>
        </w:rPr>
      </w:pPr>
      <w:r w:rsidRPr="004676F5">
        <w:rPr>
          <w:lang w:val="de-DE"/>
        </w:rPr>
        <w:tab/>
        <w:t>In diesem Fall wird Befreiung gewährt, wenn folgende Voraussetzungen erfüllt sind:</w:t>
      </w:r>
    </w:p>
    <w:p w14:paraId="4EFD697B" w14:textId="77777777" w:rsidR="008C6746" w:rsidRPr="004676F5" w:rsidRDefault="008C6746" w:rsidP="008C6746">
      <w:pPr>
        <w:jc w:val="both"/>
        <w:rPr>
          <w:lang w:val="de-DE"/>
        </w:rPr>
      </w:pPr>
    </w:p>
    <w:p w14:paraId="6AC47C22" w14:textId="77777777" w:rsidR="008C6746" w:rsidRPr="004676F5" w:rsidRDefault="008C6746" w:rsidP="008C6746">
      <w:pPr>
        <w:jc w:val="both"/>
        <w:rPr>
          <w:lang w:val="de-DE"/>
        </w:rPr>
      </w:pPr>
      <w:r w:rsidRPr="004676F5">
        <w:rPr>
          <w:lang w:val="de-DE"/>
        </w:rPr>
        <w:tab/>
        <w:t>1. Der Antrag auf Kronzeugenbehandlung des Unternehmens oder der Unternehmens</w:t>
      </w:r>
      <w:r w:rsidRPr="004676F5">
        <w:rPr>
          <w:lang w:val="de-DE"/>
        </w:rPr>
        <w:softHyphen/>
        <w:t>vereinigung erfüllt:</w:t>
      </w:r>
    </w:p>
    <w:p w14:paraId="0EDB0623" w14:textId="77777777" w:rsidR="008C6746" w:rsidRPr="004676F5" w:rsidRDefault="008C6746" w:rsidP="008C6746">
      <w:pPr>
        <w:jc w:val="both"/>
        <w:rPr>
          <w:lang w:val="de-DE"/>
        </w:rPr>
      </w:pPr>
    </w:p>
    <w:p w14:paraId="038721D8" w14:textId="77777777" w:rsidR="008C6746" w:rsidRPr="004676F5" w:rsidRDefault="008C6746" w:rsidP="008C6746">
      <w:pPr>
        <w:jc w:val="both"/>
        <w:rPr>
          <w:lang w:val="de-DE"/>
        </w:rPr>
      </w:pPr>
      <w:r w:rsidRPr="004676F5">
        <w:rPr>
          <w:lang w:val="de-DE"/>
        </w:rPr>
        <w:tab/>
      </w:r>
      <w:r w:rsidRPr="004676F5">
        <w:rPr>
          <w:i/>
          <w:lang w:val="de-DE"/>
        </w:rPr>
        <w:t>a)</w:t>
      </w:r>
      <w:r w:rsidRPr="004676F5">
        <w:rPr>
          <w:lang w:val="de-DE"/>
        </w:rPr>
        <w:t> die in Artikel IV.54 § 2 Absatz 1 Nr. 1 und 3 erwähnten Voraussetzungen, wenn es sich um einen Antrag auf Geldbußenerlass handelt, oder</w:t>
      </w:r>
    </w:p>
    <w:p w14:paraId="722A06A0" w14:textId="77777777" w:rsidR="008C6746" w:rsidRPr="004676F5" w:rsidRDefault="008C6746" w:rsidP="008C6746">
      <w:pPr>
        <w:jc w:val="both"/>
        <w:rPr>
          <w:lang w:val="de-DE"/>
        </w:rPr>
      </w:pPr>
    </w:p>
    <w:p w14:paraId="514D19F1" w14:textId="77777777" w:rsidR="008C6746" w:rsidRPr="004676F5" w:rsidRDefault="008C6746" w:rsidP="008C6746">
      <w:pPr>
        <w:jc w:val="both"/>
        <w:rPr>
          <w:lang w:val="de-DE"/>
        </w:rPr>
      </w:pPr>
      <w:r w:rsidRPr="004676F5">
        <w:rPr>
          <w:lang w:val="de-DE"/>
        </w:rPr>
        <w:tab/>
      </w:r>
      <w:r w:rsidRPr="004676F5">
        <w:rPr>
          <w:i/>
          <w:lang w:val="de-DE"/>
        </w:rPr>
        <w:t>b) </w:t>
      </w:r>
      <w:r w:rsidRPr="004676F5">
        <w:rPr>
          <w:lang w:val="de-DE"/>
        </w:rPr>
        <w:t>die in Artikel IV.54 § 3 Absatz 1 Nr. 1 und 3 erwähnten Voraussetzungen, wenn es sich um einen Antrag auf Geldbußenermäßigung handelt.</w:t>
      </w:r>
    </w:p>
    <w:p w14:paraId="15E90919" w14:textId="77777777" w:rsidR="008C6746" w:rsidRPr="004676F5" w:rsidRDefault="008C6746" w:rsidP="008C6746">
      <w:pPr>
        <w:jc w:val="both"/>
        <w:rPr>
          <w:lang w:val="de-DE"/>
        </w:rPr>
      </w:pPr>
    </w:p>
    <w:p w14:paraId="280EAFB1" w14:textId="77777777" w:rsidR="008C6746" w:rsidRPr="004676F5" w:rsidRDefault="008C6746" w:rsidP="008C6746">
      <w:pPr>
        <w:jc w:val="both"/>
        <w:rPr>
          <w:lang w:val="de-DE"/>
        </w:rPr>
      </w:pPr>
      <w:r w:rsidRPr="004676F5">
        <w:rPr>
          <w:lang w:val="de-DE"/>
        </w:rPr>
        <w:tab/>
        <w:t>2. Der Antrag des Unternehmens oder der Unternehmensvereinigung auf Kronzeugen</w:t>
      </w:r>
      <w:r w:rsidRPr="004676F5">
        <w:rPr>
          <w:lang w:val="de-DE"/>
        </w:rPr>
        <w:softHyphen/>
        <w:t>behandlung ist vor dem Datum gestellt worden, an dem der Generalauditor den Beantrager der Befreiung von dem Verfahren in Kenntnis gesetzt hat, bei dem gegen ihn die in Artikel IV.79 § 4 erwähnte Sanktion verhängt werden kann.</w:t>
      </w:r>
    </w:p>
    <w:p w14:paraId="5676E833" w14:textId="77777777" w:rsidR="008C6746" w:rsidRPr="004676F5" w:rsidRDefault="008C6746" w:rsidP="008C6746">
      <w:pPr>
        <w:jc w:val="both"/>
        <w:rPr>
          <w:lang w:val="de-DE"/>
        </w:rPr>
      </w:pPr>
    </w:p>
    <w:p w14:paraId="2AB6D0A2" w14:textId="77777777" w:rsidR="008C6746" w:rsidRPr="004676F5" w:rsidRDefault="008C6746" w:rsidP="008C6746">
      <w:pPr>
        <w:jc w:val="both"/>
        <w:rPr>
          <w:lang w:val="de-DE"/>
        </w:rPr>
      </w:pPr>
      <w:r w:rsidRPr="004676F5">
        <w:rPr>
          <w:lang w:val="de-DE"/>
        </w:rPr>
        <w:tab/>
        <w:t>3. Der Beantrager der Befreiung arbeitet aktiv mit der Belgischen Wettbewerbsbehörde zusammen.</w:t>
      </w:r>
    </w:p>
    <w:p w14:paraId="426EA41A" w14:textId="77777777" w:rsidR="008C6746" w:rsidRPr="004676F5" w:rsidRDefault="008C6746" w:rsidP="008C6746">
      <w:pPr>
        <w:jc w:val="both"/>
        <w:rPr>
          <w:lang w:val="de-DE"/>
        </w:rPr>
      </w:pPr>
    </w:p>
    <w:p w14:paraId="299A5DB3" w14:textId="1B05380A" w:rsidR="008C6746" w:rsidRPr="004676F5" w:rsidRDefault="008C6746" w:rsidP="008C6746">
      <w:pPr>
        <w:jc w:val="both"/>
        <w:rPr>
          <w:lang w:val="de-DE"/>
        </w:rPr>
      </w:pPr>
      <w:r w:rsidRPr="004676F5">
        <w:rPr>
          <w:lang w:val="de-DE"/>
        </w:rPr>
        <w:tab/>
        <w:t>§ 4 </w:t>
      </w:r>
      <w:r w:rsidR="005B7A5C" w:rsidRPr="004676F5">
        <w:rPr>
          <w:lang w:val="de-DE"/>
        </w:rPr>
        <w:t>- </w:t>
      </w:r>
      <w:r w:rsidRPr="004676F5">
        <w:rPr>
          <w:lang w:val="de-DE"/>
        </w:rPr>
        <w:t>Der Generalauditor kann einen Befreiungsantrag unberücksichtigt lassen, wenn er nach Mitteilung der Beschwerdegründe an den Beantrager der Befreiung eingereicht wird.</w:t>
      </w:r>
    </w:p>
    <w:p w14:paraId="22097738" w14:textId="77777777" w:rsidR="008C6746" w:rsidRPr="004676F5" w:rsidRDefault="008C6746" w:rsidP="008C6746">
      <w:pPr>
        <w:jc w:val="both"/>
        <w:rPr>
          <w:lang w:val="de-DE"/>
        </w:rPr>
      </w:pPr>
    </w:p>
    <w:p w14:paraId="602F54FE" w14:textId="77777777" w:rsidR="008C6746" w:rsidRPr="004676F5" w:rsidRDefault="008C6746" w:rsidP="008C6746">
      <w:pPr>
        <w:jc w:val="both"/>
        <w:rPr>
          <w:lang w:val="de-DE"/>
        </w:rPr>
      </w:pPr>
      <w:r w:rsidRPr="004676F5">
        <w:rPr>
          <w:lang w:val="de-DE"/>
        </w:rPr>
        <w:tab/>
        <w:t>Der Generalauditor hinterlegt beim Präsidenten einen Entscheidungsvorschlag. Er gibt dem Beantrager der Befreiung Zugang zu dem Entscheidungsvorschlag, so dass dieser dem Präsidenten etwaige schriftliche Anmerkungen mitteilen kann.</w:t>
      </w:r>
    </w:p>
    <w:p w14:paraId="12DC7037" w14:textId="77777777" w:rsidR="008C6746" w:rsidRPr="004676F5" w:rsidRDefault="008C6746" w:rsidP="008C6746">
      <w:pPr>
        <w:jc w:val="both"/>
        <w:rPr>
          <w:lang w:val="de-DE"/>
        </w:rPr>
      </w:pPr>
    </w:p>
    <w:p w14:paraId="2DC99C96" w14:textId="6689C854" w:rsidR="008C6746" w:rsidRPr="004676F5" w:rsidRDefault="008C6746" w:rsidP="008C6746">
      <w:pPr>
        <w:jc w:val="both"/>
        <w:rPr>
          <w:lang w:val="de-DE"/>
        </w:rPr>
      </w:pPr>
      <w:r w:rsidRPr="004676F5">
        <w:rPr>
          <w:lang w:val="de-DE"/>
        </w:rPr>
        <w:lastRenderedPageBreak/>
        <w:tab/>
        <w:t>§ 5 </w:t>
      </w:r>
      <w:r w:rsidR="005B7A5C" w:rsidRPr="004676F5">
        <w:rPr>
          <w:lang w:val="de-DE"/>
        </w:rPr>
        <w:t>- </w:t>
      </w:r>
      <w:r w:rsidRPr="004676F5">
        <w:rPr>
          <w:lang w:val="de-DE"/>
        </w:rPr>
        <w:t>Der Präsident trifft eine mit Gründen versehene Entscheidung, nachdem er den Beantrager der Befreiung auf dessen Antrag hin angehört hat.</w:t>
      </w:r>
    </w:p>
    <w:p w14:paraId="2A88FF95" w14:textId="77777777" w:rsidR="008C6746" w:rsidRPr="004676F5" w:rsidRDefault="008C6746" w:rsidP="008C6746">
      <w:pPr>
        <w:jc w:val="both"/>
        <w:rPr>
          <w:lang w:val="de-DE"/>
        </w:rPr>
      </w:pPr>
    </w:p>
    <w:p w14:paraId="64C1CFD8" w14:textId="77777777" w:rsidR="008C6746" w:rsidRPr="004676F5" w:rsidRDefault="008C6746" w:rsidP="008C6746">
      <w:pPr>
        <w:jc w:val="both"/>
        <w:rPr>
          <w:lang w:val="de-DE"/>
        </w:rPr>
      </w:pPr>
      <w:r w:rsidRPr="004676F5">
        <w:rPr>
          <w:lang w:val="de-DE"/>
        </w:rPr>
        <w:tab/>
        <w:t>Stellt der Präsident fest, dass der Befreiungsantrag die in § 2 erwähnten Bedingungen erfüllt, fasst er eine Befreiungsentscheidung, in der er die mit der Befreiung verbundenen Verpflichtungen festlegt.</w:t>
      </w:r>
    </w:p>
    <w:p w14:paraId="7A4F6DB4" w14:textId="77777777" w:rsidR="008C6746" w:rsidRPr="004676F5" w:rsidRDefault="008C6746" w:rsidP="008C6746">
      <w:pPr>
        <w:jc w:val="both"/>
        <w:rPr>
          <w:lang w:val="de-DE"/>
        </w:rPr>
      </w:pPr>
    </w:p>
    <w:p w14:paraId="5430833B" w14:textId="77777777" w:rsidR="008C6746" w:rsidRPr="004676F5" w:rsidRDefault="008C6746" w:rsidP="008C6746">
      <w:pPr>
        <w:jc w:val="both"/>
        <w:rPr>
          <w:lang w:val="de-DE"/>
        </w:rPr>
      </w:pPr>
      <w:r w:rsidRPr="004676F5">
        <w:rPr>
          <w:lang w:val="de-DE"/>
        </w:rPr>
        <w:tab/>
        <w:t>Entscheidet der Präsident, dass die in § 2 erwähnten Bedingungen für die Befreiung nicht erfüllt sind, kann die natürliche Person ihren Befreiungsantrag und beigefügte Schriftstücke zurückziehen.</w:t>
      </w:r>
    </w:p>
    <w:p w14:paraId="64275D8D" w14:textId="77777777" w:rsidR="008C6746" w:rsidRPr="004676F5" w:rsidRDefault="008C6746" w:rsidP="008C6746">
      <w:pPr>
        <w:jc w:val="both"/>
        <w:rPr>
          <w:lang w:val="de-DE"/>
        </w:rPr>
      </w:pPr>
    </w:p>
    <w:p w14:paraId="553CD25F" w14:textId="77777777" w:rsidR="008C6746" w:rsidRPr="004676F5" w:rsidRDefault="008C6746" w:rsidP="008C6746">
      <w:pPr>
        <w:jc w:val="both"/>
        <w:rPr>
          <w:lang w:val="de-DE"/>
        </w:rPr>
      </w:pPr>
      <w:r w:rsidRPr="004676F5">
        <w:rPr>
          <w:lang w:val="de-DE"/>
        </w:rPr>
        <w:tab/>
        <w:t>Das Sekretariat teilt dem Beantrager der Befreiung die Befreiungsentscheidung mit. Die Entscheidung wird nicht offengelegt; gegen sie kann keine gesonderte Beschwerde eingereicht werden.</w:t>
      </w:r>
    </w:p>
    <w:p w14:paraId="195F72C9" w14:textId="77777777" w:rsidR="008C6746" w:rsidRPr="004676F5" w:rsidRDefault="008C6746" w:rsidP="008C6746">
      <w:pPr>
        <w:jc w:val="both"/>
        <w:rPr>
          <w:lang w:val="de-DE"/>
        </w:rPr>
      </w:pPr>
    </w:p>
    <w:p w14:paraId="7DC34E8D" w14:textId="325D0CB7" w:rsidR="008C6746" w:rsidRPr="004676F5" w:rsidRDefault="008C6746" w:rsidP="008C6746">
      <w:pPr>
        <w:jc w:val="both"/>
        <w:rPr>
          <w:lang w:val="de-DE"/>
        </w:rPr>
      </w:pPr>
      <w:r w:rsidRPr="004676F5">
        <w:rPr>
          <w:lang w:val="de-DE"/>
        </w:rPr>
        <w:tab/>
        <w:t>§ 6 </w:t>
      </w:r>
      <w:r w:rsidR="005B7A5C" w:rsidRPr="004676F5">
        <w:rPr>
          <w:lang w:val="de-DE"/>
        </w:rPr>
        <w:t>- </w:t>
      </w:r>
      <w:r w:rsidRPr="004676F5">
        <w:rPr>
          <w:lang w:val="de-DE"/>
        </w:rPr>
        <w:t>Vorbehaltlich der Verjährungsfristen kann das Wettbewerbskollegium auf Antrag des Generalauditors eine Geldbuße in Anwendung von Artikel IV.79 § 4 verhängen, wenn die betreffende Person die vom Präsidenten in der Befreiungsentscheidung festgelegten Verpflichtungen nicht einhält.]</w:t>
      </w:r>
    </w:p>
    <w:p w14:paraId="48A966A4" w14:textId="77777777" w:rsidR="008C6746" w:rsidRPr="004676F5" w:rsidRDefault="008C6746" w:rsidP="008C6746">
      <w:pPr>
        <w:jc w:val="both"/>
        <w:rPr>
          <w:lang w:val="de-DE"/>
        </w:rPr>
      </w:pPr>
    </w:p>
    <w:p w14:paraId="6A39AA38" w14:textId="66EDB6C6" w:rsidR="008C6746" w:rsidRPr="004676F5" w:rsidRDefault="008C6746" w:rsidP="008C6746">
      <w:pPr>
        <w:jc w:val="both"/>
        <w:rPr>
          <w:i/>
          <w:iCs/>
          <w:lang w:val="de-DE"/>
        </w:rPr>
      </w:pPr>
      <w:r w:rsidRPr="004676F5">
        <w:rPr>
          <w:i/>
          <w:iCs/>
          <w:lang w:val="de-DE"/>
        </w:rPr>
        <w:t>[Art. IV.54/4 eingefügt durch Art. 40 des G. vom 28. Februar 2022 (B.S. vom 7. März 2022)</w:t>
      </w:r>
      <w:r w:rsidR="007A54C0" w:rsidRPr="004676F5">
        <w:rPr>
          <w:i/>
          <w:iCs/>
          <w:lang w:val="de-DE"/>
        </w:rPr>
        <w:t>; § 2 Abs. 2 eingefügt durch Art. 36 des G. vom 29. März 20</w:t>
      </w:r>
      <w:r w:rsidR="00A77A0F" w:rsidRPr="004676F5">
        <w:rPr>
          <w:i/>
          <w:iCs/>
          <w:lang w:val="de-DE"/>
        </w:rPr>
        <w:t xml:space="preserve"> </w:t>
      </w:r>
      <w:r w:rsidR="007A54C0" w:rsidRPr="004676F5">
        <w:rPr>
          <w:i/>
          <w:iCs/>
          <w:lang w:val="de-DE"/>
        </w:rPr>
        <w:t>24 (B.S. vom 3. Mai 2024)</w:t>
      </w:r>
      <w:r w:rsidRPr="004676F5">
        <w:rPr>
          <w:i/>
          <w:iCs/>
          <w:lang w:val="de-DE"/>
        </w:rPr>
        <w:t>]</w:t>
      </w:r>
    </w:p>
    <w:p w14:paraId="08BA4E80" w14:textId="77777777" w:rsidR="008C6746" w:rsidRPr="004676F5" w:rsidRDefault="008C6746" w:rsidP="008C6746">
      <w:pPr>
        <w:jc w:val="both"/>
        <w:rPr>
          <w:lang w:val="de-DE"/>
        </w:rPr>
      </w:pPr>
    </w:p>
    <w:p w14:paraId="25D37F51" w14:textId="77777777" w:rsidR="008C6746" w:rsidRPr="004676F5" w:rsidRDefault="008C6746" w:rsidP="008C6746">
      <w:pPr>
        <w:jc w:val="both"/>
        <w:rPr>
          <w:lang w:val="de-DE"/>
        </w:rPr>
      </w:pPr>
    </w:p>
    <w:p w14:paraId="346B873C" w14:textId="36BB8DE9" w:rsidR="008C6746" w:rsidRPr="004676F5" w:rsidRDefault="008C6746" w:rsidP="008C6746">
      <w:pPr>
        <w:jc w:val="both"/>
        <w:rPr>
          <w:lang w:val="de-DE"/>
        </w:rPr>
      </w:pPr>
      <w:r w:rsidRPr="004676F5">
        <w:rPr>
          <w:lang w:val="de-DE"/>
        </w:rPr>
        <w:tab/>
        <w:t>[</w:t>
      </w:r>
      <w:r w:rsidRPr="004676F5">
        <w:rPr>
          <w:b/>
          <w:bCs/>
          <w:lang w:val="de-DE"/>
        </w:rPr>
        <w:t>Art. IV.54/5</w:t>
      </w:r>
      <w:r w:rsidRPr="004676F5">
        <w:rPr>
          <w:lang w:val="de-DE"/>
        </w:rPr>
        <w:t> </w:t>
      </w:r>
      <w:r w:rsidR="005B7A5C" w:rsidRPr="004676F5">
        <w:rPr>
          <w:lang w:val="de-DE"/>
        </w:rPr>
        <w:t>- </w:t>
      </w:r>
      <w:r w:rsidR="007A54C0" w:rsidRPr="004676F5">
        <w:rPr>
          <w:lang w:val="de-DE"/>
        </w:rPr>
        <w:t>[Anträge auf Kronzeugenbehandlung und Anträge auf Befreiung von gerichtlicher Verfolgung und Kronzeugen- und Befreiungsentscheidungen des Präsidenten sind Teil der Untersuchungsakte und der Verfahrensakte. Andere betroffene Parteien erhalten Zugang zu den Anträgen auf Kronzeugenbehandlung und den Befreiungsanträgen und zu den Kronzeugen- und Befreiungsentscheidungen des Präsidenten, haben aber nicht das Recht, eine Abschrift der Kronzeugenerklärungen im Sinne von Artikel I.6 Nr. 27 und der diesbezüglichen Entscheidungen des Präsidenten anzufertigen. Kläger und Interesse habende Dritte erhalten weder Zugang zu den Anträgen auf Kronzeugenbehandlung und den Befreiungsanträgen noch zu den diesbezüglichen Entscheidungen des Präsidenten, es sei denn gemäß den Bestimmungen von Buch XVII Titel 3 Kapitel 3.]</w:t>
      </w:r>
      <w:r w:rsidRPr="004676F5">
        <w:rPr>
          <w:lang w:val="de-DE"/>
        </w:rPr>
        <w:t>]</w:t>
      </w:r>
    </w:p>
    <w:p w14:paraId="1C2FDD3E" w14:textId="77777777" w:rsidR="008C6746" w:rsidRPr="004676F5" w:rsidRDefault="008C6746" w:rsidP="008C6746">
      <w:pPr>
        <w:jc w:val="both"/>
        <w:rPr>
          <w:lang w:val="de-DE"/>
        </w:rPr>
      </w:pPr>
    </w:p>
    <w:p w14:paraId="480B36E7" w14:textId="252B472B" w:rsidR="008C6746" w:rsidRPr="004676F5" w:rsidRDefault="008C6746" w:rsidP="008C6746">
      <w:pPr>
        <w:jc w:val="both"/>
        <w:rPr>
          <w:i/>
          <w:iCs/>
          <w:lang w:val="de-DE"/>
        </w:rPr>
      </w:pPr>
      <w:r w:rsidRPr="004676F5">
        <w:rPr>
          <w:i/>
          <w:iCs/>
          <w:lang w:val="de-DE"/>
        </w:rPr>
        <w:t>[Art. IV.54/5 eingefügt durch Art. 41 des G. vom 28. Februar 2022 (B.S. vom 7. März 2022)</w:t>
      </w:r>
      <w:r w:rsidR="007A54C0" w:rsidRPr="004676F5">
        <w:rPr>
          <w:i/>
          <w:iCs/>
          <w:lang w:val="de-DE"/>
        </w:rPr>
        <w:t xml:space="preserve"> und ersetzt durch Art. 37 des G. vom 29. März 2024 (B.S. vom 3. Mai 2024)</w:t>
      </w:r>
      <w:r w:rsidRPr="004676F5">
        <w:rPr>
          <w:i/>
          <w:iCs/>
          <w:lang w:val="de-DE"/>
        </w:rPr>
        <w:t>]</w:t>
      </w:r>
    </w:p>
    <w:p w14:paraId="733AB2E4" w14:textId="77777777" w:rsidR="008C6746" w:rsidRPr="004676F5" w:rsidRDefault="008C6746" w:rsidP="008C6746">
      <w:pPr>
        <w:jc w:val="both"/>
        <w:rPr>
          <w:lang w:val="de-DE"/>
        </w:rPr>
      </w:pPr>
    </w:p>
    <w:p w14:paraId="73476232" w14:textId="77777777" w:rsidR="008C6746" w:rsidRPr="004676F5" w:rsidRDefault="008C6746" w:rsidP="008C6746">
      <w:pPr>
        <w:jc w:val="both"/>
        <w:rPr>
          <w:lang w:val="de-DE"/>
        </w:rPr>
      </w:pPr>
    </w:p>
    <w:p w14:paraId="16A8D216" w14:textId="15E89ECF" w:rsidR="00BE3682" w:rsidRPr="004676F5" w:rsidRDefault="008C6746" w:rsidP="008C6746">
      <w:pPr>
        <w:jc w:val="both"/>
        <w:rPr>
          <w:rFonts w:eastAsia="Calibri"/>
          <w:kern w:val="2"/>
          <w:lang w:val="de-DE" w:eastAsia="en-US"/>
          <w14:ligatures w14:val="standardContextual"/>
        </w:rPr>
      </w:pPr>
      <w:r w:rsidRPr="004676F5">
        <w:rPr>
          <w:lang w:val="de-DE"/>
        </w:rPr>
        <w:tab/>
        <w:t>[</w:t>
      </w:r>
      <w:r w:rsidRPr="004676F5">
        <w:rPr>
          <w:b/>
          <w:bCs/>
          <w:lang w:val="de-DE"/>
        </w:rPr>
        <w:t>Art. IV.54/6</w:t>
      </w:r>
      <w:r w:rsidRPr="004676F5">
        <w:rPr>
          <w:lang w:val="de-DE"/>
        </w:rPr>
        <w:t> </w:t>
      </w:r>
      <w:r w:rsidR="005B7A5C" w:rsidRPr="004676F5">
        <w:rPr>
          <w:lang w:val="de-DE"/>
        </w:rPr>
        <w:t>- </w:t>
      </w:r>
      <w:r w:rsidRPr="004676F5">
        <w:rPr>
          <w:lang w:val="de-DE"/>
        </w:rPr>
        <w:t>Der Direktionsausschuss kann in Leitlinien die Modalitäten der Anwendung der Artikel IV.54 bis IV.54/5 festlegen, einschließlich der Bandbreiten für die Geldbußenermäßigung, die das Wettbewerbskollegium je nach dem Beitrag zur Feststellung des geheimen Kartells in Betracht ziehen wird.</w:t>
      </w:r>
      <w:r w:rsidR="005368EC" w:rsidRPr="004676F5">
        <w:rPr>
          <w:rFonts w:eastAsia="Calibri"/>
          <w:kern w:val="2"/>
          <w:szCs w:val="22"/>
          <w:lang w:val="de-DE" w:eastAsia="en-US"/>
          <w14:ligatures w14:val="standardContextual"/>
        </w:rPr>
        <w:t>]</w:t>
      </w:r>
    </w:p>
    <w:p w14:paraId="659052FB" w14:textId="77777777" w:rsidR="00BE3682" w:rsidRPr="004676F5" w:rsidRDefault="00BE3682" w:rsidP="00BE3682">
      <w:pPr>
        <w:jc w:val="both"/>
        <w:rPr>
          <w:rFonts w:eastAsia="Calibri"/>
          <w:kern w:val="2"/>
          <w:lang w:val="de-DE" w:eastAsia="en-US"/>
          <w14:ligatures w14:val="standardContextual"/>
        </w:rPr>
      </w:pPr>
    </w:p>
    <w:p w14:paraId="0852A038" w14:textId="08AC7623" w:rsidR="008C6746" w:rsidRPr="004676F5" w:rsidRDefault="008C6746" w:rsidP="008C6746">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IV.54/6 eingefügt durch Art. 42 des G. vom 28. Februar 2022 (B.S. vom 7. März 2022)]</w:t>
      </w:r>
    </w:p>
    <w:p w14:paraId="21AD4628" w14:textId="77777777" w:rsidR="008C6746" w:rsidRPr="004676F5" w:rsidRDefault="008C6746" w:rsidP="00BE3682">
      <w:pPr>
        <w:jc w:val="both"/>
        <w:rPr>
          <w:rFonts w:eastAsia="Calibri"/>
          <w:kern w:val="2"/>
          <w:lang w:val="de-DE" w:eastAsia="en-US"/>
          <w14:ligatures w14:val="standardContextual"/>
        </w:rPr>
      </w:pPr>
    </w:p>
    <w:p w14:paraId="09A60197" w14:textId="77777777" w:rsidR="008A1473" w:rsidRPr="004676F5" w:rsidRDefault="008A1473" w:rsidP="00BE3682">
      <w:pPr>
        <w:jc w:val="both"/>
        <w:rPr>
          <w:rFonts w:eastAsia="Calibri"/>
          <w:kern w:val="2"/>
          <w:lang w:val="de-DE" w:eastAsia="en-US"/>
          <w14:ligatures w14:val="standardContextual"/>
        </w:rPr>
      </w:pPr>
    </w:p>
    <w:p w14:paraId="7E07F49C" w14:textId="77777777" w:rsidR="00CA6435" w:rsidRDefault="00CA6435">
      <w:pPr>
        <w:rPr>
          <w:rFonts w:eastAsia="Calibri"/>
          <w:kern w:val="2"/>
          <w:szCs w:val="22"/>
          <w:lang w:val="de-DE" w:eastAsia="en-US"/>
          <w14:ligatures w14:val="standardContextual"/>
        </w:rPr>
      </w:pPr>
      <w:r>
        <w:rPr>
          <w:rFonts w:eastAsia="Calibri"/>
          <w:kern w:val="2"/>
          <w:szCs w:val="22"/>
          <w:lang w:val="de-DE" w:eastAsia="en-US"/>
          <w14:ligatures w14:val="standardContextual"/>
        </w:rPr>
        <w:br w:type="page"/>
      </w:r>
    </w:p>
    <w:p w14:paraId="6CCC61D7" w14:textId="7DE2BA09" w:rsidR="00BE3682" w:rsidRPr="004676F5" w:rsidRDefault="007A54C0"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5</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7E0589"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Vergleichsverfahren</w:t>
      </w:r>
      <w:r w:rsidR="007E0589" w:rsidRPr="004676F5">
        <w:rPr>
          <w:rFonts w:eastAsia="Calibri"/>
          <w:kern w:val="2"/>
          <w:szCs w:val="22"/>
          <w:lang w:val="de-DE" w:eastAsia="en-US"/>
          <w14:ligatures w14:val="standardContextual"/>
        </w:rPr>
        <w:t>]</w:t>
      </w:r>
    </w:p>
    <w:p w14:paraId="01E8AFD8" w14:textId="77777777" w:rsidR="007A54C0" w:rsidRPr="004676F5" w:rsidRDefault="007A54C0" w:rsidP="00BE3682">
      <w:pPr>
        <w:jc w:val="both"/>
        <w:rPr>
          <w:rFonts w:eastAsia="Calibri"/>
          <w:i/>
          <w:iCs/>
          <w:kern w:val="2"/>
          <w:lang w:val="de-DE" w:eastAsia="en-US"/>
          <w14:ligatures w14:val="standardContextual"/>
        </w:rPr>
      </w:pPr>
    </w:p>
    <w:p w14:paraId="77D25C34" w14:textId="2A1E2CA7" w:rsidR="00BE3682" w:rsidRPr="004676F5" w:rsidRDefault="007A54C0"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[Früherer Unterabschnitt 4 umgegliedert zu Abschnitt 5 </w:t>
      </w:r>
      <w:r w:rsidR="007E0589"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38 des G. vom 29. März 2024 (B.S. vom 3. Mai 2024)]</w:t>
      </w:r>
    </w:p>
    <w:p w14:paraId="6254A4A6" w14:textId="77777777" w:rsidR="007A54C0" w:rsidRPr="004676F5" w:rsidRDefault="007A54C0" w:rsidP="00BE3682">
      <w:pPr>
        <w:jc w:val="both"/>
        <w:rPr>
          <w:rFonts w:eastAsia="Calibri"/>
          <w:kern w:val="2"/>
          <w:lang w:val="de-DE" w:eastAsia="en-US"/>
          <w14:ligatures w14:val="standardContextual"/>
        </w:rPr>
      </w:pPr>
    </w:p>
    <w:p w14:paraId="21D9F15D" w14:textId="77777777" w:rsidR="007A54C0" w:rsidRPr="004676F5" w:rsidRDefault="007A54C0" w:rsidP="00BE3682">
      <w:pPr>
        <w:jc w:val="both"/>
        <w:rPr>
          <w:rFonts w:eastAsia="Calibri"/>
          <w:kern w:val="2"/>
          <w:lang w:val="de-DE" w:eastAsia="en-US"/>
          <w14:ligatures w14:val="standardContextual"/>
        </w:rPr>
      </w:pPr>
    </w:p>
    <w:p w14:paraId="5C2834B2" w14:textId="2B8C658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IV.55</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Im Laufe </w:t>
      </w:r>
      <w:r w:rsidR="0028112E" w:rsidRPr="004676F5">
        <w:rPr>
          <w:rFonts w:eastAsia="Calibri"/>
          <w:kern w:val="2"/>
          <w:szCs w:val="22"/>
          <w:lang w:val="de-DE" w:eastAsia="en-US"/>
          <w14:ligatures w14:val="standardContextual"/>
        </w:rPr>
        <w:t>[</w:t>
      </w:r>
      <w:r w:rsidR="0028112E" w:rsidRPr="004676F5">
        <w:rPr>
          <w:lang w:val="de-DE"/>
        </w:rPr>
        <w:t>einer Untersuchung auf der Grundlage eines Verstoßes gegen Artikel IV.1, IV.2 oder IV.2/1</w:t>
      </w:r>
      <w:r w:rsidR="0028112E"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mit oder ohne gleichzeitige Anwendung von Artikel 101 oder 102 AEUV, kann der Generalauditor zu jedem Zeitpunkt des Verfahrens, aber vor Hinterlegung des Entscheidungsvorschlags für betroffene Parteien eine Frist festlegen, in der diese schriftlich angeben können, dass sie zu Vergleichsgesprächen bereit sind.</w:t>
      </w:r>
      <w:r w:rsidR="008C6746" w:rsidRPr="004676F5">
        <w:rPr>
          <w:rFonts w:eastAsia="Calibri"/>
          <w:kern w:val="2"/>
          <w:szCs w:val="22"/>
          <w:lang w:val="de-DE" w:eastAsia="en-US"/>
          <w14:ligatures w14:val="standardContextual"/>
        </w:rPr>
        <w:t xml:space="preserve"> [</w:t>
      </w:r>
      <w:r w:rsidR="008C6746" w:rsidRPr="004676F5">
        <w:rPr>
          <w:lang w:val="de-DE"/>
        </w:rPr>
        <w:t>Diese Frist beträgt mindestens zwei Wochen.</w:t>
      </w:r>
      <w:r w:rsidR="008C6746" w:rsidRPr="004676F5">
        <w:rPr>
          <w:rFonts w:eastAsia="Calibri"/>
          <w:kern w:val="2"/>
          <w:szCs w:val="22"/>
          <w:lang w:val="de-DE" w:eastAsia="en-US"/>
          <w14:ligatures w14:val="standardContextual"/>
        </w:rPr>
        <w:t>]</w:t>
      </w:r>
    </w:p>
    <w:p w14:paraId="0D7A699B" w14:textId="77777777" w:rsidR="00BE3682" w:rsidRPr="004676F5" w:rsidRDefault="00BE3682" w:rsidP="00BE3682">
      <w:pPr>
        <w:jc w:val="both"/>
        <w:rPr>
          <w:rFonts w:eastAsia="Calibri"/>
          <w:kern w:val="2"/>
          <w:lang w:val="de-DE" w:eastAsia="en-US"/>
          <w14:ligatures w14:val="standardContextual"/>
        </w:rPr>
      </w:pPr>
    </w:p>
    <w:p w14:paraId="2C322A17"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Der Generalauditor ist nicht verpflichtet, nach Ablauf der festgelegten Frist erhaltene Antworten zu berücksichtigen.</w:t>
      </w:r>
    </w:p>
    <w:p w14:paraId="7DE30792" w14:textId="77777777" w:rsidR="0028112E" w:rsidRPr="004676F5" w:rsidRDefault="0028112E" w:rsidP="00BE3682">
      <w:pPr>
        <w:jc w:val="both"/>
        <w:rPr>
          <w:rFonts w:eastAsia="Calibri"/>
          <w:kern w:val="2"/>
          <w:szCs w:val="22"/>
          <w:lang w:val="de-DE" w:eastAsia="en-US"/>
          <w14:ligatures w14:val="standardContextual"/>
        </w:rPr>
      </w:pPr>
    </w:p>
    <w:p w14:paraId="4FA7A2E0" w14:textId="61A4FFBE" w:rsidR="0028112E" w:rsidRPr="004676F5" w:rsidRDefault="0028112E" w:rsidP="00BE3682">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IV.55 Abs. 1 abgeändert durch Art. 3</w:t>
      </w:r>
      <w:r w:rsidRPr="004676F5">
        <w:rPr>
          <w:i/>
          <w:lang w:val="de-DE"/>
        </w:rPr>
        <w:t xml:space="preserve"> des K.E. vom 31. Juli 2020 (B.S. vom 12. August 2020)</w:t>
      </w:r>
      <w:r w:rsidR="008C6746" w:rsidRPr="004676F5">
        <w:rPr>
          <w:i/>
          <w:lang w:val="de-DE"/>
        </w:rPr>
        <w:t xml:space="preserve"> und Art. 43 des G. vom 28. Februar 2022 (B.S. vom 7. März 2022)</w:t>
      </w:r>
      <w:r w:rsidRPr="004676F5">
        <w:rPr>
          <w:i/>
          <w:lang w:val="de-DE"/>
        </w:rPr>
        <w:t>]</w:t>
      </w:r>
    </w:p>
    <w:p w14:paraId="1B857279" w14:textId="77777777" w:rsidR="00BE3682" w:rsidRPr="004676F5" w:rsidRDefault="00BE3682" w:rsidP="00BE3682">
      <w:pPr>
        <w:jc w:val="both"/>
        <w:rPr>
          <w:rFonts w:eastAsia="Calibri"/>
          <w:kern w:val="2"/>
          <w:lang w:val="de-DE" w:eastAsia="en-US"/>
          <w14:ligatures w14:val="standardContextual"/>
        </w:rPr>
      </w:pPr>
    </w:p>
    <w:p w14:paraId="4D22EA80" w14:textId="77777777" w:rsidR="008A1473" w:rsidRPr="004676F5" w:rsidRDefault="008A1473" w:rsidP="00BE3682">
      <w:pPr>
        <w:jc w:val="both"/>
        <w:rPr>
          <w:rFonts w:eastAsia="Calibri"/>
          <w:kern w:val="2"/>
          <w:lang w:val="de-DE" w:eastAsia="en-US"/>
          <w14:ligatures w14:val="standardContextual"/>
        </w:rPr>
      </w:pPr>
    </w:p>
    <w:p w14:paraId="698555AF" w14:textId="34955210"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IV.56</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Wenn eine oder mehrere betroffene Parteien angeben, dass sie zu Vergleichsgesprächen bereit sind, kann der Generalauditor beschließen, ihnen gegenüber ein Vergleichsverfahren zu eröffnen.</w:t>
      </w:r>
    </w:p>
    <w:p w14:paraId="3B351096" w14:textId="77777777" w:rsidR="00BE3682" w:rsidRPr="004676F5" w:rsidRDefault="00BE3682" w:rsidP="00BE3682">
      <w:pPr>
        <w:jc w:val="both"/>
        <w:rPr>
          <w:rFonts w:eastAsia="Calibri"/>
          <w:kern w:val="2"/>
          <w:lang w:val="de-DE" w:eastAsia="en-US"/>
          <w14:ligatures w14:val="standardContextual"/>
        </w:rPr>
      </w:pPr>
    </w:p>
    <w:p w14:paraId="7DCA278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teilt der oder den betroffenen Parteien die Beschwerdegründe mit, auf die er sich seiner Meinung nach stützen kann, und gewährt ihnen Zugang zu nicht vertraulichen Fassungen der Unterlagen und Angaben, auf die er in seinen Beschwerdegründen Bezug nimmt oder zu nehmen beabsichtigt, und zum Verzeichnis der Untersuchungsakte.</w:t>
      </w:r>
    </w:p>
    <w:p w14:paraId="4F5C3CFD" w14:textId="77777777" w:rsidR="00BE3682" w:rsidRPr="004676F5" w:rsidRDefault="00BE3682" w:rsidP="00BE3682">
      <w:pPr>
        <w:jc w:val="both"/>
        <w:rPr>
          <w:rFonts w:eastAsia="Calibri"/>
          <w:kern w:val="2"/>
          <w:lang w:val="de-DE" w:eastAsia="en-US"/>
          <w14:ligatures w14:val="standardContextual"/>
        </w:rPr>
      </w:pPr>
    </w:p>
    <w:p w14:paraId="209C9DF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kann auf mit Gründen versehenen Antrag einer betroffenen Partei dieser Partei Zugang zu nicht vertraulichen Fassungen anderer Unterlagen und Angaben aus der Untersuchungsakte geben, die diese Partei bestimmt.</w:t>
      </w:r>
    </w:p>
    <w:p w14:paraId="3365B1DA" w14:textId="77777777" w:rsidR="00BE3682" w:rsidRPr="004676F5" w:rsidRDefault="00BE3682" w:rsidP="00BE3682">
      <w:pPr>
        <w:jc w:val="both"/>
        <w:rPr>
          <w:rFonts w:eastAsia="Calibri"/>
          <w:kern w:val="2"/>
          <w:lang w:val="de-DE" w:eastAsia="en-US"/>
          <w14:ligatures w14:val="standardContextual"/>
        </w:rPr>
      </w:pPr>
    </w:p>
    <w:p w14:paraId="5F64C1D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gibt auch Auskunft über die Höhe der Geldbuße, die er dem Wettbewerbskollegium vorzuschlagen beabsichtigt.</w:t>
      </w:r>
    </w:p>
    <w:p w14:paraId="376D90E0" w14:textId="77777777" w:rsidR="00BE3682" w:rsidRPr="004676F5" w:rsidRDefault="00BE3682" w:rsidP="00BE3682">
      <w:pPr>
        <w:jc w:val="both"/>
        <w:rPr>
          <w:rFonts w:eastAsia="Calibri"/>
          <w:kern w:val="2"/>
          <w:lang w:val="de-DE" w:eastAsia="en-US"/>
          <w14:ligatures w14:val="standardContextual"/>
        </w:rPr>
      </w:pPr>
    </w:p>
    <w:p w14:paraId="244F28AF" w14:textId="77777777" w:rsidR="008A1473" w:rsidRPr="004676F5" w:rsidRDefault="008A1473" w:rsidP="00BE3682">
      <w:pPr>
        <w:jc w:val="both"/>
        <w:rPr>
          <w:rFonts w:eastAsia="Calibri"/>
          <w:kern w:val="2"/>
          <w:lang w:val="de-DE" w:eastAsia="en-US"/>
          <w14:ligatures w14:val="standardContextual"/>
        </w:rPr>
      </w:pPr>
    </w:p>
    <w:p w14:paraId="015BC290" w14:textId="66B48A24"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IV.57</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Wenn die Vergleichsgespräche Aussichten auf eine Vergleichsentscheidung bieten, erstellt der Auditor den Vorentwurf einer Vergleichsentscheidung.</w:t>
      </w:r>
    </w:p>
    <w:p w14:paraId="3843B1FB" w14:textId="77777777" w:rsidR="00BE3682" w:rsidRPr="004676F5" w:rsidRDefault="00BE3682" w:rsidP="00BE3682">
      <w:pPr>
        <w:jc w:val="both"/>
        <w:rPr>
          <w:rFonts w:eastAsia="Calibri"/>
          <w:kern w:val="2"/>
          <w:lang w:val="de-DE" w:eastAsia="en-US"/>
          <w14:ligatures w14:val="standardContextual"/>
        </w:rPr>
      </w:pPr>
    </w:p>
    <w:p w14:paraId="180FAF59" w14:textId="0D6A3335"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r>
      <w:r w:rsidR="008C6746" w:rsidRPr="004676F5">
        <w:rPr>
          <w:rFonts w:eastAsia="Calibri"/>
          <w:kern w:val="2"/>
          <w:szCs w:val="22"/>
          <w:lang w:val="de-DE" w:eastAsia="en-US"/>
          <w14:ligatures w14:val="standardContextual"/>
        </w:rPr>
        <w:t>[...]</w:t>
      </w:r>
    </w:p>
    <w:p w14:paraId="01BB5792" w14:textId="77777777" w:rsidR="008C6746" w:rsidRPr="004676F5" w:rsidRDefault="008C6746" w:rsidP="00BE3682">
      <w:pPr>
        <w:jc w:val="both"/>
        <w:rPr>
          <w:rFonts w:eastAsia="Calibri"/>
          <w:i/>
          <w:iCs/>
          <w:kern w:val="2"/>
          <w:szCs w:val="22"/>
          <w:lang w:val="de-DE" w:eastAsia="en-US"/>
          <w14:ligatures w14:val="standardContextual"/>
        </w:rPr>
      </w:pPr>
    </w:p>
    <w:p w14:paraId="2E2B5EEC" w14:textId="673BDB26" w:rsidR="008C6746" w:rsidRPr="004676F5" w:rsidRDefault="008C6746" w:rsidP="00BE3682">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IV.57 früherer Absatz 2 aufgehoben durch Art. 44 des G. vom 28. Februar 2022 (B.S. vom 7. März 2022)]</w:t>
      </w:r>
    </w:p>
    <w:p w14:paraId="2CC69B03" w14:textId="77777777" w:rsidR="00BE3682" w:rsidRPr="004676F5" w:rsidRDefault="00BE3682" w:rsidP="00BE3682">
      <w:pPr>
        <w:jc w:val="both"/>
        <w:rPr>
          <w:rFonts w:eastAsia="Calibri"/>
          <w:kern w:val="2"/>
          <w:lang w:val="de-DE" w:eastAsia="en-US"/>
          <w14:ligatures w14:val="standardContextual"/>
        </w:rPr>
      </w:pPr>
    </w:p>
    <w:p w14:paraId="0D39E0EE" w14:textId="77777777" w:rsidR="008A1473" w:rsidRPr="004676F5" w:rsidRDefault="008A1473" w:rsidP="00BE3682">
      <w:pPr>
        <w:jc w:val="both"/>
        <w:rPr>
          <w:rFonts w:eastAsia="Calibri"/>
          <w:kern w:val="2"/>
          <w:lang w:val="de-DE" w:eastAsia="en-US"/>
          <w14:ligatures w14:val="standardContextual"/>
        </w:rPr>
      </w:pPr>
    </w:p>
    <w:p w14:paraId="5A3585F9" w14:textId="0D3BDFC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IV.58</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Nachdem der Auditor gegebenenfalls die Bemerkungen der Europäischen Kommission erhalten hat, übermittelt er seinen Entwurf einer Vergleichsentscheidung der/den betroffenen Partei(en). Er legt die Frist fest, in der die betroffene(n) Partei(en) freiwillig eine Vergleichserklärung hinterlegen können.</w:t>
      </w:r>
      <w:r w:rsidR="008C6746" w:rsidRPr="004676F5">
        <w:rPr>
          <w:rFonts w:eastAsia="Calibri"/>
          <w:kern w:val="2"/>
          <w:szCs w:val="22"/>
          <w:lang w:val="de-DE" w:eastAsia="en-US"/>
          <w14:ligatures w14:val="standardContextual"/>
        </w:rPr>
        <w:t xml:space="preserve"> [</w:t>
      </w:r>
      <w:r w:rsidR="008C6746" w:rsidRPr="004676F5">
        <w:rPr>
          <w:lang w:val="de-DE"/>
        </w:rPr>
        <w:t>Diese Frist beträgt mindestens zwei Wochen.</w:t>
      </w:r>
      <w:r w:rsidR="008C6746" w:rsidRPr="004676F5">
        <w:rPr>
          <w:rFonts w:eastAsia="Calibri"/>
          <w:kern w:val="2"/>
          <w:szCs w:val="22"/>
          <w:lang w:val="de-DE" w:eastAsia="en-US"/>
          <w14:ligatures w14:val="standardContextual"/>
        </w:rPr>
        <w:t>]</w:t>
      </w:r>
    </w:p>
    <w:p w14:paraId="52619106" w14:textId="77777777" w:rsidR="00BE3682" w:rsidRPr="004676F5" w:rsidRDefault="00BE3682" w:rsidP="00BE3682">
      <w:pPr>
        <w:jc w:val="both"/>
        <w:rPr>
          <w:rFonts w:eastAsia="Calibri"/>
          <w:kern w:val="2"/>
          <w:lang w:val="de-DE" w:eastAsia="en-US"/>
          <w14:ligatures w14:val="standardContextual"/>
        </w:rPr>
      </w:pPr>
    </w:p>
    <w:p w14:paraId="04057EC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In dieser Vergleichserklärung gibt die betroffene Partei ihre Beteiligung an dem im Entwurf der Vergleichsentscheidung angegebenen Verstoß und die sich daraus ergebende Verantwortlichkeit zu. Sie nimmt auch die im Entwurf der Vergleichsentscheidung vorgeschlagene Geldbuße an.</w:t>
      </w:r>
    </w:p>
    <w:p w14:paraId="61DD6BD6" w14:textId="77777777" w:rsidR="00BE3682" w:rsidRPr="004676F5" w:rsidRDefault="00BE3682" w:rsidP="00BE3682">
      <w:pPr>
        <w:jc w:val="both"/>
        <w:rPr>
          <w:rFonts w:eastAsia="Calibri"/>
          <w:kern w:val="2"/>
          <w:lang w:val="de-DE" w:eastAsia="en-US"/>
          <w14:ligatures w14:val="standardContextual"/>
        </w:rPr>
      </w:pPr>
    </w:p>
    <w:p w14:paraId="067EDEE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ist nicht verpflichtet, nach Ablauf der festgelegten Frist erhaltene Vergleichserklärungen zu berücksichtigen.</w:t>
      </w:r>
    </w:p>
    <w:p w14:paraId="4C3984C1" w14:textId="77777777" w:rsidR="00BE3682" w:rsidRPr="004676F5" w:rsidRDefault="00BE3682" w:rsidP="00BE3682">
      <w:pPr>
        <w:jc w:val="both"/>
        <w:rPr>
          <w:rFonts w:eastAsia="Calibri"/>
          <w:kern w:val="2"/>
          <w:lang w:val="de-DE" w:eastAsia="en-US"/>
          <w14:ligatures w14:val="standardContextual"/>
        </w:rPr>
      </w:pPr>
    </w:p>
    <w:p w14:paraId="6A46EA06" w14:textId="58297E45" w:rsidR="008C6746" w:rsidRPr="004676F5" w:rsidRDefault="008C6746"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IV.58 Abs. 1 abgeändert durch Art. 45 des G. vom 28. Februar 2022 (B.S. vom 7. März 2022)]</w:t>
      </w:r>
    </w:p>
    <w:p w14:paraId="43864F3A" w14:textId="77777777" w:rsidR="008C6746" w:rsidRPr="004676F5" w:rsidRDefault="008C6746" w:rsidP="00BE3682">
      <w:pPr>
        <w:jc w:val="both"/>
        <w:rPr>
          <w:rFonts w:eastAsia="Calibri"/>
          <w:i/>
          <w:iCs/>
          <w:kern w:val="2"/>
          <w:lang w:val="de-DE" w:eastAsia="en-US"/>
          <w14:ligatures w14:val="standardContextual"/>
        </w:rPr>
      </w:pPr>
    </w:p>
    <w:p w14:paraId="64A10608" w14:textId="77777777" w:rsidR="008A1473" w:rsidRPr="004676F5" w:rsidRDefault="008A1473" w:rsidP="00BE3682">
      <w:pPr>
        <w:jc w:val="both"/>
        <w:rPr>
          <w:rFonts w:eastAsia="Calibri"/>
          <w:kern w:val="2"/>
          <w:lang w:val="de-DE" w:eastAsia="en-US"/>
          <w14:ligatures w14:val="standardContextual"/>
        </w:rPr>
      </w:pPr>
    </w:p>
    <w:p w14:paraId="55A6B53B" w14:textId="5763A8D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IV.59</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Wenn die Vergleichserklärung einer betroffenen Partei die in Artikel IV.58 festgelegten Bedingungen erfüllt, kann der Auditor nach Stellungnahme des Auditor-Beraters eine Vergleichsentscheidung gemäß dem Entwurf der Vergleichsentscheidung treffen und das Verfahren in Bezug auf diese Partei abschließen.</w:t>
      </w:r>
    </w:p>
    <w:p w14:paraId="77837F75" w14:textId="77777777" w:rsidR="00BE3682" w:rsidRPr="004676F5" w:rsidRDefault="00BE3682" w:rsidP="00BE3682">
      <w:pPr>
        <w:jc w:val="both"/>
        <w:rPr>
          <w:rFonts w:eastAsia="Calibri"/>
          <w:kern w:val="2"/>
          <w:lang w:val="de-DE" w:eastAsia="en-US"/>
          <w14:ligatures w14:val="standardContextual"/>
        </w:rPr>
      </w:pPr>
    </w:p>
    <w:p w14:paraId="0ABDA258" w14:textId="5EC09C5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008C6746" w:rsidRPr="004676F5">
        <w:rPr>
          <w:rFonts w:eastAsia="Calibri"/>
          <w:kern w:val="2"/>
          <w:szCs w:val="22"/>
          <w:lang w:val="de-DE" w:eastAsia="en-US"/>
          <w14:ligatures w14:val="standardContextual"/>
        </w:rPr>
        <w:t>[</w:t>
      </w:r>
      <w:r w:rsidR="008C6746" w:rsidRPr="004676F5">
        <w:rPr>
          <w:lang w:val="de-DE"/>
        </w:rPr>
        <w:t>In der Vergleichsentscheidung wird die Zuwiderhandlung gegen das Wettbewerbs</w:t>
      </w:r>
      <w:r w:rsidR="008C6746" w:rsidRPr="004676F5">
        <w:rPr>
          <w:lang w:val="de-DE"/>
        </w:rPr>
        <w:softHyphen/>
        <w:t>recht und die Geldbuße für den vorsätzlich oder fahrlässig begangenen Verstoß gegenüber der/den betroffenen Partei(en) festgestellt und werden deren Vergleichserklärungen zur Kenntnis genommen. Die Entscheidung gilt als eine Entscheidung des Wettbewerbskollegiums wie in Artikel IV.52 erwähnt.</w:t>
      </w:r>
      <w:r w:rsidR="008C6746" w:rsidRPr="004676F5">
        <w:rPr>
          <w:rFonts w:eastAsia="Calibri"/>
          <w:kern w:val="2"/>
          <w:szCs w:val="22"/>
          <w:lang w:val="de-DE" w:eastAsia="en-US"/>
          <w14:ligatures w14:val="standardContextual"/>
        </w:rPr>
        <w:t>]</w:t>
      </w:r>
    </w:p>
    <w:p w14:paraId="2809C0BE" w14:textId="77777777" w:rsidR="00BE3682" w:rsidRPr="004676F5" w:rsidRDefault="00BE3682" w:rsidP="00BE3682">
      <w:pPr>
        <w:jc w:val="both"/>
        <w:rPr>
          <w:rFonts w:eastAsia="Calibri"/>
          <w:kern w:val="2"/>
          <w:lang w:val="de-DE" w:eastAsia="en-US"/>
          <w14:ligatures w14:val="standardContextual"/>
        </w:rPr>
      </w:pPr>
    </w:p>
    <w:p w14:paraId="19340A6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Gegen die Vergleichsentscheidung kann keine Beschwerde eingelegt werden.</w:t>
      </w:r>
    </w:p>
    <w:p w14:paraId="7C7FA891" w14:textId="77777777" w:rsidR="00BE3682" w:rsidRPr="004676F5" w:rsidRDefault="00BE3682" w:rsidP="00BE3682">
      <w:pPr>
        <w:jc w:val="both"/>
        <w:rPr>
          <w:rFonts w:eastAsia="Calibri"/>
          <w:kern w:val="2"/>
          <w:lang w:val="de-DE" w:eastAsia="en-US"/>
          <w14:ligatures w14:val="standardContextual"/>
        </w:rPr>
      </w:pPr>
    </w:p>
    <w:p w14:paraId="4872C7C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Der Auditor notifiziert der betroffenen Partei die Vergleichsentscheidung und fordert sie auf, vertrauliche Passagen zu kennzeichnen. Gegen die Entscheidung des Auditors zur Festlegung der nicht vertraulichen Fassung der Vergleichsentscheidung kann keine Beschwerde eingelegt werden.</w:t>
      </w:r>
    </w:p>
    <w:p w14:paraId="7665DB0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p>
    <w:p w14:paraId="3C8F8F6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stellt dem Sekretariat eine Abschrift der nicht vertraulichen Fassung zur Veröffentlichung und gegebenenfalls zur Mitteilung an den Kläger zur Verfügung.</w:t>
      </w:r>
    </w:p>
    <w:p w14:paraId="6A7E2F52" w14:textId="77777777" w:rsidR="00BE3682" w:rsidRPr="004676F5" w:rsidRDefault="00BE3682" w:rsidP="00BE3682">
      <w:pPr>
        <w:jc w:val="both"/>
        <w:rPr>
          <w:rFonts w:eastAsia="Calibri"/>
          <w:kern w:val="2"/>
          <w:lang w:val="de-DE" w:eastAsia="en-US"/>
          <w14:ligatures w14:val="standardContextual"/>
        </w:rPr>
      </w:pPr>
    </w:p>
    <w:p w14:paraId="77EECA31" w14:textId="30AEFAE7" w:rsidR="008C6746" w:rsidRPr="004676F5" w:rsidRDefault="008C6746"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IV.59 § 1 Abs. 2 ersetzt durch Art. 46 des G. vom 28. Februar 2022 (B.S. vom 7. März 2022)]</w:t>
      </w:r>
    </w:p>
    <w:p w14:paraId="71185669" w14:textId="77777777" w:rsidR="008C6746" w:rsidRPr="004676F5" w:rsidRDefault="008C6746" w:rsidP="00BE3682">
      <w:pPr>
        <w:jc w:val="both"/>
        <w:rPr>
          <w:rFonts w:eastAsia="Calibri"/>
          <w:i/>
          <w:iCs/>
          <w:kern w:val="2"/>
          <w:lang w:val="de-DE" w:eastAsia="en-US"/>
          <w14:ligatures w14:val="standardContextual"/>
        </w:rPr>
      </w:pPr>
    </w:p>
    <w:p w14:paraId="67319D1E" w14:textId="77777777" w:rsidR="008A1473" w:rsidRPr="004676F5" w:rsidRDefault="008A1473" w:rsidP="00BE3682">
      <w:pPr>
        <w:jc w:val="both"/>
        <w:rPr>
          <w:rFonts w:eastAsia="Calibri"/>
          <w:kern w:val="2"/>
          <w:lang w:val="de-DE" w:eastAsia="en-US"/>
          <w14:ligatures w14:val="standardContextual"/>
        </w:rPr>
      </w:pPr>
    </w:p>
    <w:p w14:paraId="05EA5E1F" w14:textId="635DA1B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IV.60</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Bei der Berechnung der Höhe der Geldbuße gemäß den Leitlinien der Belgischen Wettbewerbsbehörde für die Berechnung von Geldbußen wendet der Auditor eine Ermäßigung von 10 Prozent an. Er kann auch berücksichtigen, ob sich die betroffene Partei zur Zahlung von Schadensersatz verpflichtet hat. Bei den in Artikel IV.1 § 4 erwähnten natürlichen Personen wendet der Auditor eine Ermäßigung von 10 Prozent auf die in Artikel IV.79 § 2 erwähnte Geldbuße an.</w:t>
      </w:r>
    </w:p>
    <w:p w14:paraId="0B296C02" w14:textId="77777777" w:rsidR="00BE3682" w:rsidRPr="004676F5" w:rsidRDefault="00BE3682" w:rsidP="00BE3682">
      <w:pPr>
        <w:jc w:val="both"/>
        <w:rPr>
          <w:rFonts w:eastAsia="Calibri"/>
          <w:kern w:val="2"/>
          <w:lang w:val="de-DE" w:eastAsia="en-US"/>
          <w14:ligatures w14:val="standardContextual"/>
        </w:rPr>
      </w:pPr>
    </w:p>
    <w:p w14:paraId="4F214AA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Wenn die Vergleichsentscheidung einen Fall betrifft, in dem eine Kronzeugenentscheidung getroffen wurde, wird die Ermäßigung der Geldbuße um 10 Prozent nach Berücksichtigung der in der Kronzeugenentscheidung angegebenen Befreiung von der Geldbuße berechnet, sofern der Auditor festgestellt hat, dass die in der Kronzeugen</w:t>
      </w:r>
      <w:r w:rsidRPr="004676F5">
        <w:rPr>
          <w:rFonts w:eastAsia="Calibri"/>
          <w:kern w:val="2"/>
          <w:szCs w:val="22"/>
          <w:lang w:val="de-DE" w:eastAsia="en-US"/>
          <w14:ligatures w14:val="standardContextual"/>
        </w:rPr>
        <w:softHyphen/>
        <w:t xml:space="preserve">entscheidung festgelegten Bedingungen für eine Befreiung von der Geldbuße auf der Grundlage der Kronzeugenregelung erfüllt wurden. Wenn in der Kronzeugenentscheidung eine Bandbreite für die Befreiung von der Geldbuße vorgesehen ist, legt der Auditor die Befreiung von der </w:t>
      </w:r>
      <w:r w:rsidRPr="004676F5">
        <w:rPr>
          <w:rFonts w:eastAsia="Calibri"/>
          <w:kern w:val="2"/>
          <w:szCs w:val="22"/>
          <w:lang w:val="de-DE" w:eastAsia="en-US"/>
          <w14:ligatures w14:val="standardContextual"/>
        </w:rPr>
        <w:lastRenderedPageBreak/>
        <w:t>Geldbuße, die aufgrund der Kronzeugenregelung zu gewähren ist, innerhalb dieser Bandbreite fest.</w:t>
      </w:r>
    </w:p>
    <w:p w14:paraId="4B3A2F9A" w14:textId="77777777" w:rsidR="00BE3682" w:rsidRPr="004676F5" w:rsidRDefault="00BE3682" w:rsidP="00BE3682">
      <w:pPr>
        <w:jc w:val="both"/>
        <w:rPr>
          <w:rFonts w:eastAsia="Calibri"/>
          <w:kern w:val="2"/>
          <w:lang w:val="de-DE" w:eastAsia="en-US"/>
          <w14:ligatures w14:val="standardContextual"/>
        </w:rPr>
      </w:pPr>
    </w:p>
    <w:p w14:paraId="12410A9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Betrifft die Vergleichsentscheidung einen Fall, in dem eine Befreiungsentscheidung getroffen wurde, bestätigt der Auditor in der Vergleichsentscheidung die gewährte Befreiung von gerichtlicher Verfolgung, sofern er feststellt, dass die in der Befreiungsentscheidung gestellten Bedingungen für eine solche Befreiung erfüllt wurden.</w:t>
      </w:r>
    </w:p>
    <w:p w14:paraId="64407FBF" w14:textId="77777777" w:rsidR="00BE3682" w:rsidRPr="004676F5" w:rsidRDefault="00BE3682" w:rsidP="00BE3682">
      <w:pPr>
        <w:jc w:val="both"/>
        <w:rPr>
          <w:rFonts w:eastAsia="Calibri"/>
          <w:kern w:val="2"/>
          <w:lang w:val="de-DE" w:eastAsia="en-US"/>
          <w14:ligatures w14:val="standardContextual"/>
        </w:rPr>
      </w:pPr>
    </w:p>
    <w:p w14:paraId="51AA900F" w14:textId="77777777" w:rsidR="008A1473" w:rsidRPr="004676F5" w:rsidRDefault="008A1473" w:rsidP="00BE3682">
      <w:pPr>
        <w:jc w:val="both"/>
        <w:rPr>
          <w:rFonts w:eastAsia="Calibri"/>
          <w:kern w:val="2"/>
          <w:lang w:val="de-DE" w:eastAsia="en-US"/>
          <w14:ligatures w14:val="standardContextual"/>
        </w:rPr>
      </w:pPr>
    </w:p>
    <w:p w14:paraId="1971BF5F" w14:textId="3ADD202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IV.61</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Alle Unterlagen und Angaben, die zwischen dem Generalauditor, dem Auditor und einer betroffenen Partei im Rahmen eines Vergleichsverfahrens ausgetauscht werden, sind unbeschadet der Anwendung von Artikel XVII.79 vertraulich. Wenn das Verfahren nicht zu einer Vergleichsentscheidung führt und der Generalauditor beschließt, die Untersuchung fortzusetzen, werden diese Unterlagen und Angaben, sofern sie zu Beginn des Vergleichsverfahrens noch nicht Teil der Untersuchungsakte waren, weder in die Untersuchungsakte noch in die Verfahrensakte aufgenommen.</w:t>
      </w:r>
    </w:p>
    <w:p w14:paraId="3BC75217" w14:textId="77777777" w:rsidR="00BE3682" w:rsidRPr="004676F5" w:rsidRDefault="00BE3682" w:rsidP="00BE3682">
      <w:pPr>
        <w:jc w:val="both"/>
        <w:rPr>
          <w:rFonts w:eastAsia="Calibri"/>
          <w:kern w:val="2"/>
          <w:lang w:val="de-DE" w:eastAsia="en-US"/>
          <w14:ligatures w14:val="standardContextual"/>
        </w:rPr>
      </w:pPr>
    </w:p>
    <w:p w14:paraId="68A5072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Eine betroffene Partei und die Belgische Wettbewerbsbehörde machen die Durchführung von Vergleichsbesprechungen nicht auf andere Weise als durch die Vergleichsentscheidung öffentlich, es sei denn, die betroffene Partei und der Generalauditor haben schriftlich zugestimmt. Diese Vertraulichkeitspflicht wird nicht verletzt, wenn die betroffene Partei die Besprechungen einer anderen Wettbewerbsbehörde, ihrem Anwalt oder einer anderen durch das Berufsgeheimnis gebundenen Person zur Kenntnis bringt oder nach Rücksprache mit dem Generalauditor in Ausführung einer gesetzlichen Bestimmung oder einer vollstreckbaren Entscheidung eines Gerichts eine Mitteilung machen muss.</w:t>
      </w:r>
    </w:p>
    <w:p w14:paraId="1E0F87D5" w14:textId="77777777" w:rsidR="00BE3682" w:rsidRPr="004676F5" w:rsidRDefault="00BE3682" w:rsidP="00BE3682">
      <w:pPr>
        <w:jc w:val="both"/>
        <w:rPr>
          <w:rFonts w:eastAsia="Calibri"/>
          <w:kern w:val="2"/>
          <w:lang w:val="de-DE" w:eastAsia="en-US"/>
          <w14:ligatures w14:val="standardContextual"/>
        </w:rPr>
      </w:pPr>
    </w:p>
    <w:p w14:paraId="28E1096B" w14:textId="77777777" w:rsidR="008A1473" w:rsidRPr="004676F5" w:rsidRDefault="008A1473" w:rsidP="00BE3682">
      <w:pPr>
        <w:jc w:val="both"/>
        <w:rPr>
          <w:rFonts w:eastAsia="Calibri"/>
          <w:kern w:val="2"/>
          <w:lang w:val="de-DE" w:eastAsia="en-US"/>
          <w14:ligatures w14:val="standardContextual"/>
        </w:rPr>
      </w:pPr>
    </w:p>
    <w:p w14:paraId="54DAC01B" w14:textId="10A9FB15"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IV.62</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Generalauditor kann das Vergleichsverfahren gegenüber einer betroffenen Partei jederzeit beenden. Gegen diese Entscheidung kann keine Beschwerde eingelegt werden.</w:t>
      </w:r>
    </w:p>
    <w:p w14:paraId="6708C1D2" w14:textId="77777777" w:rsidR="00BE3682" w:rsidRPr="004676F5" w:rsidRDefault="00BE3682" w:rsidP="00BE3682">
      <w:pPr>
        <w:jc w:val="both"/>
        <w:rPr>
          <w:rFonts w:eastAsia="Calibri"/>
          <w:kern w:val="2"/>
          <w:lang w:val="de-DE" w:eastAsia="en-US"/>
          <w14:ligatures w14:val="standardContextual"/>
        </w:rPr>
      </w:pPr>
    </w:p>
    <w:p w14:paraId="2EF22089" w14:textId="77777777" w:rsidR="008A1473" w:rsidRPr="004676F5" w:rsidRDefault="008A1473" w:rsidP="00BE3682">
      <w:pPr>
        <w:jc w:val="both"/>
        <w:rPr>
          <w:rFonts w:eastAsia="Calibri"/>
          <w:kern w:val="2"/>
          <w:lang w:val="de-DE" w:eastAsia="en-US"/>
          <w14:ligatures w14:val="standardContextual"/>
        </w:rPr>
      </w:pPr>
    </w:p>
    <w:p w14:paraId="56007259" w14:textId="41E50932" w:rsidR="00BE3682" w:rsidRPr="004676F5" w:rsidRDefault="007A54C0"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6</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7E0589"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Besondere Untersuchungsvorschriften in Bezug auf Zusammenschlüsse</w:t>
      </w:r>
      <w:r w:rsidR="007E0589" w:rsidRPr="004676F5">
        <w:rPr>
          <w:rFonts w:eastAsia="Calibri"/>
          <w:kern w:val="2"/>
          <w:szCs w:val="22"/>
          <w:lang w:val="de-DE" w:eastAsia="en-US"/>
          <w14:ligatures w14:val="standardContextual"/>
        </w:rPr>
        <w:t>]</w:t>
      </w:r>
    </w:p>
    <w:p w14:paraId="6A2FB119" w14:textId="77777777" w:rsidR="00BE3682" w:rsidRPr="004676F5" w:rsidRDefault="00BE3682" w:rsidP="00BE3682">
      <w:pPr>
        <w:jc w:val="both"/>
        <w:rPr>
          <w:rFonts w:eastAsia="Calibri"/>
          <w:kern w:val="2"/>
          <w:lang w:val="de-DE" w:eastAsia="en-US"/>
          <w14:ligatures w14:val="standardContextual"/>
        </w:rPr>
      </w:pPr>
    </w:p>
    <w:p w14:paraId="47E208A1" w14:textId="1871D785" w:rsidR="007A54C0" w:rsidRPr="004676F5" w:rsidRDefault="007A54C0" w:rsidP="007A54C0">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[Früherer Unterabschnitt 5 umgegliedert zu Abschnitt 6 </w:t>
      </w:r>
      <w:r w:rsidR="007E0589"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39 des G. vom 29. März 2024 (B.S. vom 3. Mai 2024)]</w:t>
      </w:r>
    </w:p>
    <w:p w14:paraId="7F219F1D" w14:textId="77777777" w:rsidR="007A54C0" w:rsidRPr="004676F5" w:rsidRDefault="007A54C0" w:rsidP="00BE3682">
      <w:pPr>
        <w:jc w:val="both"/>
        <w:rPr>
          <w:rFonts w:eastAsia="Calibri"/>
          <w:kern w:val="2"/>
          <w:lang w:val="de-DE" w:eastAsia="en-US"/>
          <w14:ligatures w14:val="standardContextual"/>
        </w:rPr>
      </w:pPr>
    </w:p>
    <w:p w14:paraId="66A52384" w14:textId="77777777" w:rsidR="008A1473" w:rsidRPr="004676F5" w:rsidRDefault="008A1473" w:rsidP="00BE3682">
      <w:pPr>
        <w:jc w:val="both"/>
        <w:rPr>
          <w:rFonts w:eastAsia="Calibri"/>
          <w:kern w:val="2"/>
          <w:lang w:val="de-DE" w:eastAsia="en-US"/>
          <w14:ligatures w14:val="standardContextual"/>
        </w:rPr>
      </w:pPr>
    </w:p>
    <w:p w14:paraId="42A9F415" w14:textId="5B370FF6"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IV.63</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Der Auditor führt die Untersuchung des Zusammenschlusses durch, sobald er die Anmeldung erhalten hat oder, wenn die erteilten Auskünfte unvollständig sind, sobald er die vollständigen Auskünfte erhalten hat.</w:t>
      </w:r>
      <w:r w:rsidR="00115238" w:rsidRPr="004676F5">
        <w:rPr>
          <w:rFonts w:eastAsia="Calibri"/>
          <w:kern w:val="2"/>
          <w:szCs w:val="22"/>
          <w:lang w:val="de-DE" w:eastAsia="en-US"/>
          <w14:ligatures w14:val="standardContextual"/>
        </w:rPr>
        <w:t xml:space="preserve"> [</w:t>
      </w:r>
      <w:r w:rsidR="00115238" w:rsidRPr="004676F5">
        <w:rPr>
          <w:lang w:val="de-DE"/>
        </w:rPr>
        <w:t>Mit der vorherigen Zustimmung der Parteien, die eine Anmeldung einreichen können, kann der Auditor auch vor Erhalt der Anmeldung von den in den Artikeln IV.40 und IV.40/1 erwähnten Verfahren Gebrauch machen.]</w:t>
      </w:r>
    </w:p>
    <w:p w14:paraId="0D05A7F8" w14:textId="77777777" w:rsidR="00BE3682" w:rsidRPr="004676F5" w:rsidRDefault="00BE3682" w:rsidP="00BE3682">
      <w:pPr>
        <w:jc w:val="both"/>
        <w:rPr>
          <w:rFonts w:eastAsia="Calibri"/>
          <w:kern w:val="2"/>
          <w:lang w:val="de-DE" w:eastAsia="en-US"/>
          <w14:ligatures w14:val="standardContextual"/>
        </w:rPr>
      </w:pPr>
    </w:p>
    <w:p w14:paraId="2D097C8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Wenn die Bedingungen für die Anwendung des vereinfachten Verfahrens nicht erfüllt sind, übermittelt der Auditor eine Ausfertigung der Anmeldung unverzüglich dem Präsidenten, der das Wettbewerbskollegium, das in der Sache erkennen wird, zusammenstellt.</w:t>
      </w:r>
    </w:p>
    <w:p w14:paraId="5FFA4F88" w14:textId="77777777" w:rsidR="00BE3682" w:rsidRPr="004676F5" w:rsidRDefault="00BE3682" w:rsidP="00BE3682">
      <w:pPr>
        <w:jc w:val="both"/>
        <w:rPr>
          <w:rFonts w:eastAsia="Calibri"/>
          <w:kern w:val="2"/>
          <w:lang w:val="de-DE" w:eastAsia="en-US"/>
          <w14:ligatures w14:val="standardContextual"/>
        </w:rPr>
      </w:pPr>
    </w:p>
    <w:p w14:paraId="20C9F91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 2 ­ Wenn der Auditor der Ansicht ist, dass ein wirksamer Wettbewerb auf dem belgischen Markt oder auf einem wesentlichen Teil davon erheblich behindert wird, unter </w:t>
      </w:r>
      <w:r w:rsidRPr="004676F5">
        <w:rPr>
          <w:rFonts w:eastAsia="Calibri"/>
          <w:kern w:val="2"/>
          <w:szCs w:val="22"/>
          <w:lang w:val="de-DE" w:eastAsia="en-US"/>
          <w14:ligatures w14:val="standardContextual"/>
        </w:rPr>
        <w:lastRenderedPageBreak/>
        <w:t>anderem durch Begründung oder Verstärkung einer beherrschenden Stellung, setzt er die anmeldenden Parteien mindestens fünf Werktage vor Hinterlegung des Entscheidungs</w:t>
      </w:r>
      <w:r w:rsidRPr="004676F5">
        <w:rPr>
          <w:rFonts w:eastAsia="Calibri"/>
          <w:kern w:val="2"/>
          <w:szCs w:val="22"/>
          <w:lang w:val="de-DE" w:eastAsia="en-US"/>
          <w14:ligatures w14:val="standardContextual"/>
        </w:rPr>
        <w:softHyphen/>
        <w:t>vorschlags beim Präsidenten des Wettbewerbskollegiums hiervon in Kenntnis.</w:t>
      </w:r>
    </w:p>
    <w:p w14:paraId="7F6685CE" w14:textId="77777777" w:rsidR="00BE3682" w:rsidRPr="004676F5" w:rsidRDefault="00BE3682" w:rsidP="00BE3682">
      <w:pPr>
        <w:jc w:val="both"/>
        <w:rPr>
          <w:rFonts w:eastAsia="Calibri"/>
          <w:kern w:val="2"/>
          <w:lang w:val="de-DE" w:eastAsia="en-US"/>
          <w14:ligatures w14:val="standardContextual"/>
        </w:rPr>
      </w:pPr>
    </w:p>
    <w:p w14:paraId="1B28197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anmeldenden Parteien verfügen in diesem Fall über eine Frist von fünf Werktagen, um Verpflichtungszusagen anzubieten, mit denen bezweckt wird, eine Zulässigkeits</w:t>
      </w:r>
      <w:r w:rsidRPr="004676F5">
        <w:rPr>
          <w:rFonts w:eastAsia="Calibri"/>
          <w:kern w:val="2"/>
          <w:szCs w:val="22"/>
          <w:lang w:val="de-DE" w:eastAsia="en-US"/>
          <w14:ligatures w14:val="standardContextual"/>
        </w:rPr>
        <w:softHyphen/>
        <w:t>entscheidung zu erwirken.</w:t>
      </w:r>
    </w:p>
    <w:p w14:paraId="6C668861" w14:textId="77777777" w:rsidR="00BE3682" w:rsidRPr="004676F5" w:rsidRDefault="00BE3682" w:rsidP="00BE3682">
      <w:pPr>
        <w:jc w:val="both"/>
        <w:rPr>
          <w:rFonts w:eastAsia="Calibri"/>
          <w:kern w:val="2"/>
          <w:lang w:val="de-DE" w:eastAsia="en-US"/>
          <w14:ligatures w14:val="standardContextual"/>
        </w:rPr>
      </w:pPr>
    </w:p>
    <w:p w14:paraId="348AE56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hört die anmeldenden Parteien in Bezug auf die angebotenen Verpflichtungszusagen an und bezieht im Entscheidungsvorschlag Stellung dazu.</w:t>
      </w:r>
    </w:p>
    <w:p w14:paraId="4F8E82B1" w14:textId="77777777" w:rsidR="00BE3682" w:rsidRPr="004676F5" w:rsidRDefault="00BE3682" w:rsidP="00BE3682">
      <w:pPr>
        <w:jc w:val="both"/>
        <w:rPr>
          <w:rFonts w:eastAsia="Calibri"/>
          <w:kern w:val="2"/>
          <w:lang w:val="de-DE" w:eastAsia="en-US"/>
          <w14:ligatures w14:val="standardContextual"/>
        </w:rPr>
      </w:pPr>
    </w:p>
    <w:p w14:paraId="563F5B06" w14:textId="7C3873F2" w:rsidR="00115238" w:rsidRPr="004676F5" w:rsidRDefault="00115238" w:rsidP="00BE3682">
      <w:pPr>
        <w:jc w:val="both"/>
        <w:rPr>
          <w:i/>
          <w:lang w:val="de-DE"/>
        </w:rPr>
      </w:pPr>
      <w:r w:rsidRPr="004676F5">
        <w:rPr>
          <w:rFonts w:eastAsia="Calibri"/>
          <w:i/>
          <w:iCs/>
          <w:kern w:val="2"/>
          <w:lang w:val="de-DE" w:eastAsia="en-US"/>
          <w14:ligatures w14:val="standardContextual"/>
        </w:rPr>
        <w:t>[Art. IV.63 § 1 Abs. 1 abgeändert durch Art. 9</w:t>
      </w:r>
      <w:r w:rsidRPr="004676F5">
        <w:rPr>
          <w:i/>
          <w:lang w:val="de-DE"/>
        </w:rPr>
        <w:t xml:space="preserve"> des G. vom 5. November 2023</w:t>
      </w:r>
      <w:r w:rsidR="003454B3" w:rsidRPr="004676F5">
        <w:rPr>
          <w:i/>
          <w:lang w:val="de-DE"/>
        </w:rPr>
        <w:t xml:space="preserve"> (I)</w:t>
      </w:r>
      <w:r w:rsidRPr="004676F5">
        <w:rPr>
          <w:i/>
          <w:lang w:val="de-DE"/>
        </w:rPr>
        <w:t xml:space="preserve"> (B.S. vom 11. Dezember 2023)]</w:t>
      </w:r>
    </w:p>
    <w:p w14:paraId="13FE4C75" w14:textId="77777777" w:rsidR="00115238" w:rsidRPr="004676F5" w:rsidRDefault="00115238" w:rsidP="00BE3682">
      <w:pPr>
        <w:jc w:val="both"/>
        <w:rPr>
          <w:rFonts w:eastAsia="Calibri"/>
          <w:i/>
          <w:iCs/>
          <w:kern w:val="2"/>
          <w:lang w:val="de-DE" w:eastAsia="en-US"/>
          <w14:ligatures w14:val="standardContextual"/>
        </w:rPr>
      </w:pPr>
    </w:p>
    <w:p w14:paraId="71B54403" w14:textId="77777777" w:rsidR="008A1473" w:rsidRPr="004676F5" w:rsidRDefault="008A1473" w:rsidP="00BE3682">
      <w:pPr>
        <w:jc w:val="both"/>
        <w:rPr>
          <w:rFonts w:eastAsia="Calibri"/>
          <w:kern w:val="2"/>
          <w:lang w:val="de-DE" w:eastAsia="en-US"/>
          <w14:ligatures w14:val="standardContextual"/>
        </w:rPr>
      </w:pPr>
    </w:p>
    <w:p w14:paraId="2938B2F1" w14:textId="15C9F886"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IV.64</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Der Auditor hinterlegt nach Stellungnahme des Auditor-Beraters seinen mit Gründen versehenen Entscheidungsvorschlag und die Verfahrensakte beim Präsidenten des Wettbewerbskollegiums.</w:t>
      </w:r>
    </w:p>
    <w:p w14:paraId="7F359DF1" w14:textId="77777777" w:rsidR="00BE3682" w:rsidRPr="004676F5" w:rsidRDefault="00BE3682" w:rsidP="00BE3682">
      <w:pPr>
        <w:jc w:val="both"/>
        <w:rPr>
          <w:rFonts w:eastAsia="Calibri"/>
          <w:kern w:val="2"/>
          <w:lang w:val="de-DE" w:eastAsia="en-US"/>
          <w14:ligatures w14:val="standardContextual"/>
        </w:rPr>
      </w:pPr>
    </w:p>
    <w:p w14:paraId="46F910F3" w14:textId="4CC9A63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 2 ­ Der Entscheidungsvorschlag wird innerhalb einer Frist von fünfundzwanzig Werktagen ab dem Tag, der auf den Tag des Eingangs der Anmeldung beim Generalauditor folgt, hinterlegt. Wenn die bei der Anmeldung übermittelten Auskünfte nicht vollständig waren, beginnt diese Frist mit dem Tag, der auf den Tag des Eingangs der vollständigen Auskünfte folgt. Gegebenenfalls wird die Frist in Anwendung von </w:t>
      </w:r>
      <w:r w:rsidR="008C6746"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Artikel IV.40 § </w:t>
      </w:r>
      <w:r w:rsidR="008C6746" w:rsidRPr="004676F5">
        <w:rPr>
          <w:rFonts w:eastAsia="Calibri"/>
          <w:kern w:val="2"/>
          <w:szCs w:val="22"/>
          <w:lang w:val="de-DE" w:eastAsia="en-US"/>
          <w14:ligatures w14:val="standardContextual"/>
        </w:rPr>
        <w:t>2</w:t>
      </w:r>
      <w:r w:rsidRPr="004676F5">
        <w:rPr>
          <w:rFonts w:eastAsia="Calibri"/>
          <w:kern w:val="2"/>
          <w:szCs w:val="22"/>
          <w:lang w:val="de-DE" w:eastAsia="en-US"/>
          <w14:ligatures w14:val="standardContextual"/>
        </w:rPr>
        <w:t xml:space="preserve"> Absatz 4</w:t>
      </w:r>
      <w:r w:rsidR="008C6746"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ausgesetzt.</w:t>
      </w:r>
    </w:p>
    <w:p w14:paraId="5C0C116B" w14:textId="77777777" w:rsidR="00BE3682" w:rsidRPr="004676F5" w:rsidRDefault="00BE3682" w:rsidP="00BE3682">
      <w:pPr>
        <w:jc w:val="both"/>
        <w:rPr>
          <w:rFonts w:eastAsia="Calibri"/>
          <w:kern w:val="2"/>
          <w:lang w:val="de-DE" w:eastAsia="en-US"/>
          <w14:ligatures w14:val="standardContextual"/>
        </w:rPr>
      </w:pPr>
    </w:p>
    <w:p w14:paraId="5605193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Frist von fünfundzwanzig Werktagen wird um zehn Werktage verlängert, wenn die anmeldenden Parteien dem Auditor Verpflichtungszusagen anbieten.</w:t>
      </w:r>
    </w:p>
    <w:p w14:paraId="1CA59A5E" w14:textId="77777777" w:rsidR="00BE3682" w:rsidRPr="004676F5" w:rsidRDefault="00BE3682" w:rsidP="00BE3682">
      <w:pPr>
        <w:jc w:val="both"/>
        <w:rPr>
          <w:rFonts w:eastAsia="Calibri"/>
          <w:kern w:val="2"/>
          <w:lang w:val="de-DE" w:eastAsia="en-US"/>
          <w14:ligatures w14:val="standardContextual"/>
        </w:rPr>
      </w:pPr>
    </w:p>
    <w:p w14:paraId="181FC8E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Am Tag der Hinterlegung des Entscheidungsvorschlags sendet der Auditor den anmeldenden Parteien eine Abschrift des Entscheidungsvorschlags zu. Er ersucht sie, vertrauliche Passagen zu kennzeichnen. Anschließend erstellt der Auditor die nicht vertrauliche Fassung. Gegen seinen Beschluss in Bezug auf die Vertraulichkeit kann keine gesonderte Beschwerde eingereicht werden.</w:t>
      </w:r>
    </w:p>
    <w:p w14:paraId="166A83E9" w14:textId="77777777" w:rsidR="00BE3682" w:rsidRPr="004676F5" w:rsidRDefault="00BE3682" w:rsidP="00BE3682">
      <w:pPr>
        <w:jc w:val="both"/>
        <w:rPr>
          <w:rFonts w:eastAsia="Calibri"/>
          <w:kern w:val="2"/>
          <w:lang w:val="de-DE" w:eastAsia="en-US"/>
          <w14:ligatures w14:val="standardContextual"/>
        </w:rPr>
      </w:pPr>
    </w:p>
    <w:p w14:paraId="0F53342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übermittelt auch den Vertretern der repräsentativsten Arbeitnehmer</w:t>
      </w:r>
      <w:r w:rsidRPr="004676F5">
        <w:rPr>
          <w:rFonts w:eastAsia="Calibri"/>
          <w:kern w:val="2"/>
          <w:szCs w:val="22"/>
          <w:lang w:val="de-DE" w:eastAsia="en-US"/>
          <w14:ligatures w14:val="standardContextual"/>
        </w:rPr>
        <w:softHyphen/>
        <w:t>organisationen der an dem Zusammenschluss beteiligten Parteien oder denjenigen, die sie bestimmen, eine Abschrift der nicht vertraulichen Fassung des Entscheidungsvorschlags.</w:t>
      </w:r>
    </w:p>
    <w:p w14:paraId="0604599E" w14:textId="77777777" w:rsidR="00BE3682" w:rsidRPr="004676F5" w:rsidRDefault="00BE3682" w:rsidP="00BE3682">
      <w:pPr>
        <w:jc w:val="both"/>
        <w:rPr>
          <w:rFonts w:eastAsia="Calibri"/>
          <w:kern w:val="2"/>
          <w:lang w:val="de-DE" w:eastAsia="en-US"/>
          <w14:ligatures w14:val="standardContextual"/>
        </w:rPr>
      </w:pPr>
    </w:p>
    <w:p w14:paraId="6FEEC4A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Er teilt den anmeldenden Parteien mit, dass sie die Untersuchungsakte und die Verfahrensakte beim Sekretariat einsehen können, Unterlagen und Angaben, die ihnen gegenüber vertraulich sind, ausgenommen, und dass sie gegen Zahlung eine elektronische Abschrift davon erhalten können.</w:t>
      </w:r>
    </w:p>
    <w:p w14:paraId="35FA6A92" w14:textId="77777777" w:rsidR="00BE3682" w:rsidRPr="004676F5" w:rsidRDefault="00BE3682" w:rsidP="00BE3682">
      <w:pPr>
        <w:jc w:val="both"/>
        <w:rPr>
          <w:rFonts w:eastAsia="Calibri"/>
          <w:kern w:val="2"/>
          <w:lang w:val="de-DE" w:eastAsia="en-US"/>
          <w14:ligatures w14:val="standardContextual"/>
        </w:rPr>
      </w:pPr>
    </w:p>
    <w:p w14:paraId="3FF7849A" w14:textId="46B6338C" w:rsidR="008C6746" w:rsidRPr="004676F5" w:rsidRDefault="008C6746"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IV.64 § 2 Abs. 1 abgeändert durch Art. 47 des G. vom 28. Februar 2022 (B.S. vom 7. März 2022)]</w:t>
      </w:r>
    </w:p>
    <w:p w14:paraId="0F710CCB" w14:textId="77777777" w:rsidR="008C6746" w:rsidRPr="004676F5" w:rsidRDefault="008C6746" w:rsidP="00BE3682">
      <w:pPr>
        <w:jc w:val="both"/>
        <w:rPr>
          <w:rFonts w:eastAsia="Calibri"/>
          <w:i/>
          <w:iCs/>
          <w:kern w:val="2"/>
          <w:lang w:val="de-DE" w:eastAsia="en-US"/>
          <w14:ligatures w14:val="standardContextual"/>
        </w:rPr>
      </w:pPr>
    </w:p>
    <w:p w14:paraId="1AA0BCB9" w14:textId="47D49F11" w:rsidR="00115238" w:rsidRPr="004676F5" w:rsidRDefault="00115238">
      <w:pPr>
        <w:rPr>
          <w:rFonts w:eastAsia="Calibri"/>
          <w:kern w:val="2"/>
          <w:szCs w:val="22"/>
          <w:lang w:val="de-DE" w:eastAsia="en-US"/>
          <w14:ligatures w14:val="standardContextual"/>
        </w:rPr>
      </w:pPr>
    </w:p>
    <w:p w14:paraId="3CBD1A7C" w14:textId="77777777" w:rsidR="00CA6435" w:rsidRDefault="00CA6435">
      <w:pPr>
        <w:rPr>
          <w:rFonts w:eastAsia="Calibri"/>
          <w:kern w:val="2"/>
          <w:szCs w:val="22"/>
          <w:lang w:val="de-DE" w:eastAsia="en-US"/>
          <w14:ligatures w14:val="standardContextual"/>
        </w:rPr>
      </w:pPr>
      <w:r>
        <w:rPr>
          <w:rFonts w:eastAsia="Calibri"/>
          <w:kern w:val="2"/>
          <w:szCs w:val="22"/>
          <w:lang w:val="de-DE" w:eastAsia="en-US"/>
          <w14:ligatures w14:val="standardContextual"/>
        </w:rPr>
        <w:br w:type="page"/>
      </w:r>
    </w:p>
    <w:p w14:paraId="62D73648" w14:textId="124002EE" w:rsidR="00BE3682" w:rsidRPr="004676F5" w:rsidRDefault="007A54C0"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7</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7E0589"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Entscheidung in Bezug auf Zusammenschlüsse</w:t>
      </w:r>
      <w:r w:rsidR="007E0589" w:rsidRPr="004676F5">
        <w:rPr>
          <w:rFonts w:eastAsia="Calibri"/>
          <w:kern w:val="2"/>
          <w:szCs w:val="22"/>
          <w:lang w:val="de-DE" w:eastAsia="en-US"/>
          <w14:ligatures w14:val="standardContextual"/>
        </w:rPr>
        <w:t>]</w:t>
      </w:r>
    </w:p>
    <w:p w14:paraId="754A60CA" w14:textId="77777777" w:rsidR="00BE3682" w:rsidRPr="004676F5" w:rsidRDefault="00BE3682" w:rsidP="00BE3682">
      <w:pPr>
        <w:jc w:val="both"/>
        <w:rPr>
          <w:rFonts w:eastAsia="Calibri"/>
          <w:kern w:val="2"/>
          <w:lang w:val="de-DE" w:eastAsia="en-US"/>
          <w14:ligatures w14:val="standardContextual"/>
        </w:rPr>
      </w:pPr>
    </w:p>
    <w:p w14:paraId="4ADCABAB" w14:textId="2939CEA6" w:rsidR="007A54C0" w:rsidRPr="004676F5" w:rsidRDefault="007A54C0" w:rsidP="007A54C0">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[Früherer Unterabschnitt 6 umgegliedert zu Abschnitt 7 </w:t>
      </w:r>
      <w:r w:rsidR="007E0589"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40 des G. vom 29. März 2024 (B.S. vom 3. Mai 2024)]</w:t>
      </w:r>
    </w:p>
    <w:p w14:paraId="01162D83" w14:textId="77777777" w:rsidR="007A54C0" w:rsidRPr="004676F5" w:rsidRDefault="007A54C0" w:rsidP="00BE3682">
      <w:pPr>
        <w:jc w:val="both"/>
        <w:rPr>
          <w:rFonts w:eastAsia="Calibri"/>
          <w:kern w:val="2"/>
          <w:lang w:val="de-DE" w:eastAsia="en-US"/>
          <w14:ligatures w14:val="standardContextual"/>
        </w:rPr>
      </w:pPr>
    </w:p>
    <w:p w14:paraId="132A0791" w14:textId="77777777" w:rsidR="008A1473" w:rsidRPr="004676F5" w:rsidRDefault="008A1473" w:rsidP="00BE3682">
      <w:pPr>
        <w:jc w:val="both"/>
        <w:rPr>
          <w:rFonts w:eastAsia="Calibri"/>
          <w:kern w:val="2"/>
          <w:lang w:val="de-DE" w:eastAsia="en-US"/>
          <w14:ligatures w14:val="standardContextual"/>
        </w:rPr>
      </w:pPr>
    </w:p>
    <w:p w14:paraId="41701028" w14:textId="020F7C9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IV.65</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Die anmeldenden Parteien hinterlegen ihre eventuellen schriftlichen Anmerkungen und Schriftstücke spätestens am Tag vor der Sitzung des Wettbewerbskollegiums und übermitteln dem Auditor am selben Tag per E-Mail eine Abschrift davon.</w:t>
      </w:r>
    </w:p>
    <w:p w14:paraId="0328A23B" w14:textId="77777777" w:rsidR="00BE3682" w:rsidRPr="004676F5" w:rsidRDefault="00BE3682" w:rsidP="00BE3682">
      <w:pPr>
        <w:jc w:val="both"/>
        <w:rPr>
          <w:rFonts w:eastAsia="Calibri"/>
          <w:kern w:val="2"/>
          <w:lang w:val="de-DE" w:eastAsia="en-US"/>
          <w14:ligatures w14:val="standardContextual"/>
        </w:rPr>
      </w:pPr>
    </w:p>
    <w:p w14:paraId="48E460CA" w14:textId="1C2F857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Hinterlegen anmeldende Parteien ein Schriftstück, das sich nicht in der Untersuchungsakte befindet, legt der Präsident des Wettbewerbskollegiums eine Frist fest, in der der Auditor schriftliche Anmerkungen zu diesem Schriftstück hinterlegen kann, und eine Frist, in der die anmeldenden Parteien auf diese schriftlichen Anmerkungen antworten können. Der Auditor kann bei der Vorbereitung seiner schriftlichen Anmerkungen </w:t>
      </w:r>
      <w:r w:rsidR="008C6746"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Artikel IV.40</w:t>
      </w:r>
      <w:r w:rsidR="008C6746"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anwenden. Die anmeldenden Parteien und der Auditor übermitteln sich gegenseitig per E-Mail ihre schriftlichen Anmerkungen und Schriftstücke am Tag ihrer Hinterlegung beim Sekretariat. Die in Artikel IV.66 § 3 erwähnte Frist für die Entscheidung wird ab dem Tag der Entscheidung des Präsidenten des Wettbewerbskollegiums, mit der die im zweiten Satz des vorliegenden Absatzes erwähnten Fristen festgelegt werden, bis zu dem Tag ausgesetzt, an dem die Frist abläuft, in der die anmeldenden Parteien ihre Antwort hinterlegen können.</w:t>
      </w:r>
    </w:p>
    <w:p w14:paraId="7C61F76E" w14:textId="77777777" w:rsidR="00BE3682" w:rsidRPr="004676F5" w:rsidRDefault="00BE3682" w:rsidP="00BE3682">
      <w:pPr>
        <w:jc w:val="both"/>
        <w:rPr>
          <w:rFonts w:eastAsia="Calibri"/>
          <w:kern w:val="2"/>
          <w:lang w:val="de-DE" w:eastAsia="en-US"/>
          <w14:ligatures w14:val="standardContextual"/>
        </w:rPr>
      </w:pPr>
    </w:p>
    <w:p w14:paraId="555E23D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Dritte, die das Wettbewerbskollegium anhören wird, können dem Wettbewerbs</w:t>
      </w:r>
      <w:r w:rsidRPr="004676F5">
        <w:rPr>
          <w:rFonts w:eastAsia="Calibri"/>
          <w:kern w:val="2"/>
          <w:szCs w:val="22"/>
          <w:lang w:val="de-DE" w:eastAsia="en-US"/>
          <w14:ligatures w14:val="standardContextual"/>
        </w:rPr>
        <w:softHyphen/>
        <w:t>kollegium bis spätestens drei Werktage vor der Sitzung schriftliche Anmerkungen und Schriftstücke übermitteln, mit Abschrift per E-Mail an die anmeldenden Parteien und den Auditor am selben Tag.</w:t>
      </w:r>
    </w:p>
    <w:p w14:paraId="17917960" w14:textId="77777777" w:rsidR="00BE3682" w:rsidRPr="004676F5" w:rsidRDefault="00BE3682" w:rsidP="00BE3682">
      <w:pPr>
        <w:jc w:val="both"/>
        <w:rPr>
          <w:rFonts w:eastAsia="Calibri"/>
          <w:kern w:val="2"/>
          <w:lang w:val="de-DE" w:eastAsia="en-US"/>
          <w14:ligatures w14:val="standardContextual"/>
        </w:rPr>
      </w:pPr>
    </w:p>
    <w:p w14:paraId="42EA06E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Wenn Dritte dem Wettbewerbskollegium vertrauliche Unterlagen oder Angaben übermitteln möchten, bestimmt der Präsident des Wettbewerbskollegiums ohne Kenntnisnahme der betreffenden Unterlagen oder Angaben einen Beisitzer, der nicht im Wettbewerbskollegium tagt und der durch entsprechende Anwendung des in Artikel IV.41 §§ 1 bis 4 erwähnten Verfahrens über die Vertraulichkeit beschließt. Wenn die Kenntnisnahme durch das Wettbewerbskollegium oder durch bestimmte betroffene Parteien die Verteidigungsrechte einer anderen betroffenen Partei gefährden könnte, beschließt der Beisitzer, dass die betreffende Unterlage oder Angabe nicht in die Verfahrensakte aufgenommen wird und durch die nicht vertrauliche Fassung oder Zusammenfassung ersetzt wird. Gegen den Beschluss des Beisitzers kann keine gesonderte Beschwerde eingereicht werden.</w:t>
      </w:r>
    </w:p>
    <w:p w14:paraId="2718B500" w14:textId="77777777" w:rsidR="00BE3682" w:rsidRPr="004676F5" w:rsidRDefault="00BE3682" w:rsidP="00BE3682">
      <w:pPr>
        <w:jc w:val="both"/>
        <w:rPr>
          <w:rFonts w:eastAsia="Calibri"/>
          <w:kern w:val="2"/>
          <w:lang w:val="de-DE" w:eastAsia="en-US"/>
          <w14:ligatures w14:val="standardContextual"/>
        </w:rPr>
      </w:pPr>
    </w:p>
    <w:p w14:paraId="79E480F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Dritte, die das Wettbewerbskollegium anhören wird, haben keinen Zugang zur Untersuchungsakte und zur Verfahrensakte, außer wenn der Präsident des Wettbewerbs</w:t>
      </w:r>
      <w:r w:rsidRPr="004676F5">
        <w:rPr>
          <w:rFonts w:eastAsia="Calibri"/>
          <w:kern w:val="2"/>
          <w:szCs w:val="22"/>
          <w:lang w:val="de-DE" w:eastAsia="en-US"/>
          <w14:ligatures w14:val="standardContextual"/>
        </w:rPr>
        <w:softHyphen/>
        <w:t>kollegiums in Bezug auf Schriftstücke aus der Verfahrensakte, die er bestimmt, anders entscheidet.</w:t>
      </w:r>
    </w:p>
    <w:p w14:paraId="4E354865" w14:textId="77777777" w:rsidR="00BE3682" w:rsidRPr="004676F5" w:rsidRDefault="00BE3682" w:rsidP="00BE3682">
      <w:pPr>
        <w:jc w:val="both"/>
        <w:rPr>
          <w:rFonts w:eastAsia="Calibri"/>
          <w:kern w:val="2"/>
          <w:lang w:val="de-DE" w:eastAsia="en-US"/>
          <w14:ligatures w14:val="standardContextual"/>
        </w:rPr>
      </w:pPr>
    </w:p>
    <w:p w14:paraId="6D27267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Das Wettbewerbskollegium untersucht die Sachen in einer Sitzung. Die Sitzung findet mindestens zehn Werktage nach Übermittlung des Entscheidungsvorschlags an die anmeldenden Parteien statt.</w:t>
      </w:r>
    </w:p>
    <w:p w14:paraId="11FC03B8" w14:textId="77777777" w:rsidR="00BE3682" w:rsidRPr="004676F5" w:rsidRDefault="00BE3682" w:rsidP="00BE3682">
      <w:pPr>
        <w:jc w:val="both"/>
        <w:rPr>
          <w:rFonts w:eastAsia="Calibri"/>
          <w:kern w:val="2"/>
          <w:lang w:val="de-DE" w:eastAsia="en-US"/>
          <w14:ligatures w14:val="standardContextual"/>
        </w:rPr>
      </w:pPr>
    </w:p>
    <w:p w14:paraId="0C2764D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Präsident des Wettbewerbskollegiums kann beschließen, mehr als eine Sitzung in der Sache zu organisieren. Wenn eine zusätzliche Sitzung nicht erforderlich ist, kann das Wettbewerbskollegium in seiner Entscheidung den Abschluss der Verhandlungen feststellen.</w:t>
      </w:r>
    </w:p>
    <w:p w14:paraId="5E535787" w14:textId="77777777" w:rsidR="00BE3682" w:rsidRPr="004676F5" w:rsidRDefault="00BE3682" w:rsidP="00BE3682">
      <w:pPr>
        <w:jc w:val="both"/>
        <w:rPr>
          <w:rFonts w:eastAsia="Calibri"/>
          <w:kern w:val="2"/>
          <w:lang w:val="de-DE" w:eastAsia="en-US"/>
          <w14:ligatures w14:val="standardContextual"/>
        </w:rPr>
      </w:pPr>
    </w:p>
    <w:p w14:paraId="3E51B953" w14:textId="4F84422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Das Wettbewerbskollegium hört den Generalauditor, den Auditor, die anmeldenden Parteien und, falls sie dies beantragen oder auf Antrag des Wettbewerbs</w:t>
      </w:r>
      <w:r w:rsidRPr="004676F5">
        <w:rPr>
          <w:rFonts w:eastAsia="Calibri"/>
          <w:kern w:val="2"/>
          <w:szCs w:val="22"/>
          <w:lang w:val="de-DE" w:eastAsia="en-US"/>
          <w14:ligatures w14:val="standardContextual"/>
        </w:rPr>
        <w:softHyphen/>
        <w:t>kollegiums, die anderen an dem Zusammenschluss beteiligten Parteien an.</w:t>
      </w:r>
    </w:p>
    <w:p w14:paraId="603F727A" w14:textId="77777777" w:rsidR="00BE3682" w:rsidRPr="004676F5" w:rsidRDefault="00BE3682" w:rsidP="00BE3682">
      <w:pPr>
        <w:jc w:val="both"/>
        <w:rPr>
          <w:rFonts w:eastAsia="Calibri"/>
          <w:kern w:val="2"/>
          <w:lang w:val="de-DE" w:eastAsia="en-US"/>
          <w14:ligatures w14:val="standardContextual"/>
        </w:rPr>
      </w:pPr>
    </w:p>
    <w:p w14:paraId="7D179D8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Wenn das Wettbewerbskollegium es für erforderlich hält, hört es andere natürliche oder juristische Personen, die es vorlädt, an.</w:t>
      </w:r>
    </w:p>
    <w:p w14:paraId="0E03B491" w14:textId="77777777" w:rsidR="00BE3682" w:rsidRPr="004676F5" w:rsidRDefault="00BE3682" w:rsidP="00BE3682">
      <w:pPr>
        <w:jc w:val="both"/>
        <w:rPr>
          <w:rFonts w:eastAsia="Calibri"/>
          <w:kern w:val="2"/>
          <w:lang w:val="de-DE" w:eastAsia="en-US"/>
          <w14:ligatures w14:val="standardContextual"/>
        </w:rPr>
      </w:pPr>
    </w:p>
    <w:p w14:paraId="3F32D4D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Es hört auch Dritte an, die ein hinreichendes Interesse darlegen und einen Antrag auf Anhörung stellen. Für Wirtschaftssektoren, die unter der Kontrolle oder Überwachung einer bestimmten öffentlichen Einrichtung oder anderen öffentlichen Körperschaft stehen, gilt, dass diese Einrichtungen oder Körperschaften ein hinreichendes Interesse haben. Es wird davon ausgegangen, dass der Minister ein hinreichendes Interesse hat.</w:t>
      </w:r>
    </w:p>
    <w:p w14:paraId="1C1C6F30" w14:textId="77777777" w:rsidR="00BE3682" w:rsidRPr="004676F5" w:rsidRDefault="00BE3682" w:rsidP="00BE3682">
      <w:pPr>
        <w:jc w:val="both"/>
        <w:rPr>
          <w:rFonts w:eastAsia="Calibri"/>
          <w:kern w:val="2"/>
          <w:lang w:val="de-DE" w:eastAsia="en-US"/>
          <w14:ligatures w14:val="standardContextual"/>
        </w:rPr>
      </w:pPr>
    </w:p>
    <w:p w14:paraId="09E23C90" w14:textId="2E98877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Es wird davon ausgegangen, dass Mitglieder der Verwaltungs</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Leitungsorgane der an einem Zusammenschluss beteiligten Parteien und Vertreter der repräsentativsten Arbeitnehmerorganisationen dieser Unternehmen oder diejenigen, die sie bestimmen, ein hinreichendes Interesse haben.</w:t>
      </w:r>
    </w:p>
    <w:p w14:paraId="473A15A9" w14:textId="77777777" w:rsidR="00BE3682" w:rsidRPr="004676F5" w:rsidRDefault="00BE3682" w:rsidP="00BE3682">
      <w:pPr>
        <w:jc w:val="both"/>
        <w:rPr>
          <w:rFonts w:eastAsia="Calibri"/>
          <w:kern w:val="2"/>
          <w:lang w:val="de-DE" w:eastAsia="en-US"/>
          <w14:ligatures w14:val="standardContextual"/>
        </w:rPr>
      </w:pPr>
    </w:p>
    <w:p w14:paraId="1A5DDAD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Direktor der wirtschaftlichen Angelegenheiten und der Direktor der juristischen Angelegenheiten werden auf ihren Antrag hin angehört.</w:t>
      </w:r>
    </w:p>
    <w:p w14:paraId="1DA08FBF" w14:textId="77777777" w:rsidR="00BE3682" w:rsidRPr="004676F5" w:rsidRDefault="00BE3682" w:rsidP="00BE3682">
      <w:pPr>
        <w:jc w:val="both"/>
        <w:rPr>
          <w:rFonts w:eastAsia="Calibri"/>
          <w:kern w:val="2"/>
          <w:lang w:val="de-DE" w:eastAsia="en-US"/>
          <w14:ligatures w14:val="standardContextual"/>
        </w:rPr>
      </w:pPr>
    </w:p>
    <w:p w14:paraId="33B7439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Nichterscheinen der vorgeladenen Parteien oder Personen oder ihrer Bevoll</w:t>
      </w:r>
      <w:r w:rsidRPr="004676F5">
        <w:rPr>
          <w:rFonts w:eastAsia="Calibri"/>
          <w:kern w:val="2"/>
          <w:szCs w:val="22"/>
          <w:lang w:val="de-DE" w:eastAsia="en-US"/>
          <w14:ligatures w14:val="standardContextual"/>
        </w:rPr>
        <w:softHyphen/>
        <w:t>mächtigten beeinträchtigt die Gültigkeit des Verfahrens nicht.</w:t>
      </w:r>
    </w:p>
    <w:p w14:paraId="18A9C4D7" w14:textId="77777777" w:rsidR="00BE3682" w:rsidRPr="004676F5" w:rsidRDefault="00BE3682" w:rsidP="00BE3682">
      <w:pPr>
        <w:jc w:val="both"/>
        <w:rPr>
          <w:rFonts w:eastAsia="Calibri"/>
          <w:kern w:val="2"/>
          <w:lang w:val="de-DE" w:eastAsia="en-US"/>
          <w14:ligatures w14:val="standardContextual"/>
        </w:rPr>
      </w:pPr>
    </w:p>
    <w:p w14:paraId="43F127A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5 ­ Die anmeldenden Parteien können in der vom Präsidenten des Wettbewerbs</w:t>
      </w:r>
      <w:r w:rsidRPr="004676F5">
        <w:rPr>
          <w:rFonts w:eastAsia="Calibri"/>
          <w:kern w:val="2"/>
          <w:szCs w:val="22"/>
          <w:lang w:val="de-DE" w:eastAsia="en-US"/>
          <w14:ligatures w14:val="standardContextual"/>
        </w:rPr>
        <w:softHyphen/>
        <w:t>kollegiums festgelegten Frist neue Verpflichtungszusagen vorschlagen.</w:t>
      </w:r>
    </w:p>
    <w:p w14:paraId="158BDAD6" w14:textId="77777777" w:rsidR="00BE3682" w:rsidRPr="004676F5" w:rsidRDefault="00BE3682" w:rsidP="00BE3682">
      <w:pPr>
        <w:jc w:val="both"/>
        <w:rPr>
          <w:rFonts w:eastAsia="Calibri"/>
          <w:kern w:val="2"/>
          <w:lang w:val="de-DE" w:eastAsia="en-US"/>
          <w14:ligatures w14:val="standardContextual"/>
        </w:rPr>
      </w:pPr>
    </w:p>
    <w:p w14:paraId="3157060E" w14:textId="7D4BC18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6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Die an dem Zusammenschluss beteiligten Unternehmen können den Zusammenschluss bis zum Abschluss der Verhandlungen durch das Wettbewerbskollegium ändern. In diesem Fall bezieht sich die Entscheidung des Wettbewerbskollegiums auf den so geänderten Zusammenschluss.</w:t>
      </w:r>
    </w:p>
    <w:p w14:paraId="72901768" w14:textId="77777777" w:rsidR="00BE3682" w:rsidRPr="004676F5" w:rsidRDefault="00BE3682" w:rsidP="00BE3682">
      <w:pPr>
        <w:jc w:val="both"/>
        <w:rPr>
          <w:rFonts w:eastAsia="Calibri"/>
          <w:kern w:val="2"/>
          <w:lang w:val="de-DE" w:eastAsia="en-US"/>
          <w14:ligatures w14:val="standardContextual"/>
        </w:rPr>
      </w:pPr>
    </w:p>
    <w:p w14:paraId="6F2C2D92" w14:textId="7015FFF9" w:rsidR="008C6746" w:rsidRPr="004676F5" w:rsidRDefault="008C6746" w:rsidP="008C6746">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IV.65 § 1 Abs. 2 abgeändert durch Art. 48 des G. vom 28. Februar 2022 (B.S. vom 7. März 2022)]</w:t>
      </w:r>
    </w:p>
    <w:p w14:paraId="1D906C77" w14:textId="77777777" w:rsidR="008A1473" w:rsidRPr="004676F5" w:rsidRDefault="008A1473" w:rsidP="00BE3682">
      <w:pPr>
        <w:rPr>
          <w:rFonts w:eastAsia="Calibri"/>
          <w:kern w:val="2"/>
          <w:szCs w:val="22"/>
          <w:lang w:val="de-DE" w:eastAsia="en-US"/>
          <w14:ligatures w14:val="standardContextual"/>
        </w:rPr>
      </w:pPr>
    </w:p>
    <w:p w14:paraId="6FD61A2E" w14:textId="77777777" w:rsidR="008C6746" w:rsidRPr="004676F5" w:rsidRDefault="008C6746" w:rsidP="00BE3682">
      <w:pPr>
        <w:rPr>
          <w:rFonts w:eastAsia="Calibri"/>
          <w:kern w:val="2"/>
          <w:szCs w:val="22"/>
          <w:lang w:val="de-DE" w:eastAsia="en-US"/>
          <w14:ligatures w14:val="standardContextual"/>
        </w:rPr>
      </w:pPr>
    </w:p>
    <w:p w14:paraId="2E31D7EB" w14:textId="42AB995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IV.66</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Das Wettbewerbskollegium stellt durch eine mit Gründen versehene Entscheidung fest:</w:t>
      </w:r>
    </w:p>
    <w:p w14:paraId="49351E59" w14:textId="77777777" w:rsidR="00BE3682" w:rsidRPr="004676F5" w:rsidRDefault="00BE3682" w:rsidP="00BE3682">
      <w:pPr>
        <w:jc w:val="both"/>
        <w:rPr>
          <w:rFonts w:eastAsia="Calibri"/>
          <w:kern w:val="2"/>
          <w:lang w:val="de-DE" w:eastAsia="en-US"/>
          <w14:ligatures w14:val="standardContextual"/>
        </w:rPr>
      </w:pPr>
    </w:p>
    <w:p w14:paraId="15DA1D3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dass der Zusammenschluss nicht in den Anwendungsbereich von Titel 1 Kapitel 2 des vorliegenden Buches fällt</w:t>
      </w:r>
    </w:p>
    <w:p w14:paraId="6B9F9B7F" w14:textId="77777777" w:rsidR="00BE3682" w:rsidRPr="004676F5" w:rsidRDefault="00BE3682" w:rsidP="00BE3682">
      <w:pPr>
        <w:jc w:val="both"/>
        <w:rPr>
          <w:rFonts w:eastAsia="Calibri"/>
          <w:kern w:val="2"/>
          <w:lang w:val="de-DE" w:eastAsia="en-US"/>
          <w14:ligatures w14:val="standardContextual"/>
        </w:rPr>
      </w:pPr>
    </w:p>
    <w:p w14:paraId="651D532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oder dass der Zusammenschluss in den Anwendungsbereich von Titel 1 Kapitel 2 des vorliegenden Buches fällt.</w:t>
      </w:r>
    </w:p>
    <w:p w14:paraId="310B7D99" w14:textId="77777777" w:rsidR="00BE3682" w:rsidRPr="004676F5" w:rsidRDefault="00BE3682" w:rsidP="00BE3682">
      <w:pPr>
        <w:jc w:val="both"/>
        <w:rPr>
          <w:rFonts w:eastAsia="Calibri"/>
          <w:kern w:val="2"/>
          <w:lang w:val="de-DE" w:eastAsia="en-US"/>
          <w14:ligatures w14:val="standardContextual"/>
        </w:rPr>
      </w:pPr>
    </w:p>
    <w:p w14:paraId="20DE112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Wenn der Zusammenschluss in den Anwendungsbereich von Titel 1 Kapitel 2 des vorliegenden Buches fällt, trifft das Wettbewerbskollegium eine der folgenden mit Gründen versehenen Entscheidungen:</w:t>
      </w:r>
    </w:p>
    <w:p w14:paraId="0245C6D7" w14:textId="77777777" w:rsidR="00BE3682" w:rsidRPr="004676F5" w:rsidRDefault="00BE3682" w:rsidP="00BE3682">
      <w:pPr>
        <w:jc w:val="both"/>
        <w:rPr>
          <w:rFonts w:eastAsia="Calibri"/>
          <w:kern w:val="2"/>
          <w:lang w:val="de-DE" w:eastAsia="en-US"/>
          <w14:ligatures w14:val="standardContextual"/>
        </w:rPr>
      </w:pPr>
    </w:p>
    <w:p w14:paraId="49E9D14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1. Es entscheidet, dass der Zusammenschluss zulässig ist. Mit der Entscheidung kann es Bedingungen und Auflagen verbinden, mit denen sichergestellt werden soll, dass die beteiligten </w:t>
      </w:r>
      <w:r w:rsidRPr="004676F5">
        <w:rPr>
          <w:rFonts w:eastAsia="Calibri"/>
          <w:kern w:val="2"/>
          <w:szCs w:val="22"/>
          <w:lang w:val="de-DE" w:eastAsia="en-US"/>
          <w14:ligatures w14:val="standardContextual"/>
        </w:rPr>
        <w:lastRenderedPageBreak/>
        <w:t>Unternehmen den Verpflichtungszusagen nachkommen, die sie angeboten haben, damit der Zusammenschluss für zulässig erklärt wird. Wenn das Wettbewerbskollegium Bedingungen und Auflagen berücksichtigen möchte, die nicht im Entscheidungsvorschlag aufgenommen sind, werden die anmeldenden Parteien und der Auditor hierzu angehört und verfügen sie über mindestens zwei Werktage ab der entsprechenden Mitteilung des Wettbewerbskollegiums, um sich schriftlich dazu zu äußern.</w:t>
      </w:r>
    </w:p>
    <w:p w14:paraId="2A0DE929" w14:textId="77777777" w:rsidR="00BE3682" w:rsidRPr="004676F5" w:rsidRDefault="00BE3682" w:rsidP="00BE3682">
      <w:pPr>
        <w:jc w:val="both"/>
        <w:rPr>
          <w:rFonts w:eastAsia="Calibri"/>
          <w:kern w:val="2"/>
          <w:lang w:val="de-DE" w:eastAsia="en-US"/>
          <w14:ligatures w14:val="standardContextual"/>
        </w:rPr>
      </w:pPr>
    </w:p>
    <w:p w14:paraId="72B6910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Es erklärt, dass der Zusammenschluss zulässig ist, wenn die am Zusammenschluss beteiligten Unternehmen gemeinsam nicht mehr als 25 Prozent eines für das Geschäft relevanten Marktes kontrollieren, ob es sich um horizontale oder vertikale Beziehungen handelt.</w:t>
      </w:r>
    </w:p>
    <w:p w14:paraId="60E5954C" w14:textId="77777777" w:rsidR="00BE3682" w:rsidRPr="004676F5" w:rsidRDefault="00BE3682" w:rsidP="00BE3682">
      <w:pPr>
        <w:jc w:val="both"/>
        <w:rPr>
          <w:rFonts w:eastAsia="Calibri"/>
          <w:kern w:val="2"/>
          <w:lang w:val="de-DE" w:eastAsia="en-US"/>
          <w14:ligatures w14:val="standardContextual"/>
        </w:rPr>
      </w:pPr>
    </w:p>
    <w:p w14:paraId="629D7ED1" w14:textId="21BE5FC0"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3. Es stellt fest, dass ernsthafte Zweifel in Bezug auf die Zulässigkeit des Zusammenschlusses bestehen, und entscheidet, das in den Artikeln IV.67 bis IV.69 erwähnte zusätzliche Untersuchungs</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und Entscheidungsverfahren einzuleiten; gegen diese Entscheidung kann keine Beschwerde eingelegt werden.</w:t>
      </w:r>
    </w:p>
    <w:p w14:paraId="6AB5D013" w14:textId="77777777" w:rsidR="008C6746" w:rsidRPr="004676F5" w:rsidRDefault="008C6746" w:rsidP="00BE3682">
      <w:pPr>
        <w:jc w:val="both"/>
        <w:rPr>
          <w:rFonts w:eastAsia="Calibri"/>
          <w:kern w:val="2"/>
          <w:szCs w:val="22"/>
          <w:lang w:val="de-DE" w:eastAsia="en-US"/>
          <w14:ligatures w14:val="standardContextual"/>
        </w:rPr>
      </w:pPr>
    </w:p>
    <w:p w14:paraId="78513C6A" w14:textId="7AE246E3" w:rsidR="008C6746" w:rsidRPr="004676F5" w:rsidRDefault="008C6746"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t>
      </w:r>
      <w:r w:rsidRPr="004676F5">
        <w:rPr>
          <w:lang w:val="de-DE"/>
        </w:rPr>
        <w:t>Die Entscheidung des Wettbewerbskollegiums ist ausdrücklich und angemessen mit Gründen versehen.</w:t>
      </w:r>
      <w:r w:rsidRPr="004676F5">
        <w:rPr>
          <w:rFonts w:eastAsia="Calibri"/>
          <w:kern w:val="2"/>
          <w:szCs w:val="22"/>
          <w:lang w:val="de-DE" w:eastAsia="en-US"/>
          <w14:ligatures w14:val="standardContextual"/>
        </w:rPr>
        <w:t>]</w:t>
      </w:r>
    </w:p>
    <w:p w14:paraId="4F16FB94" w14:textId="77777777" w:rsidR="00BE3682" w:rsidRPr="004676F5" w:rsidRDefault="00BE3682" w:rsidP="00BE3682">
      <w:pPr>
        <w:jc w:val="both"/>
        <w:rPr>
          <w:rFonts w:eastAsia="Calibri"/>
          <w:kern w:val="2"/>
          <w:lang w:val="de-DE" w:eastAsia="en-US"/>
          <w14:ligatures w14:val="standardContextual"/>
        </w:rPr>
      </w:pPr>
    </w:p>
    <w:p w14:paraId="3FBE4CEF" w14:textId="2BC5F82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Die in den Paragraphen 1 und 2 erwähnten Entscheidungen des Wettbewerbs</w:t>
      </w:r>
      <w:r w:rsidRPr="004676F5">
        <w:rPr>
          <w:rFonts w:eastAsia="Calibri"/>
          <w:kern w:val="2"/>
          <w:szCs w:val="22"/>
          <w:lang w:val="de-DE" w:eastAsia="en-US"/>
          <w14:ligatures w14:val="standardContextual"/>
        </w:rPr>
        <w:softHyphen/>
        <w:t xml:space="preserve">kollegiums ergehen innerhalb einer Frist von vierzig Werktagen ab dem Tag, der auf den Tag des Eingangs der Anmeldung folgt. Wenn die bei der Anmeldung übermittelten Auskünfte nicht vollständig sind, beginnt diese Frist mit dem Tag, der auf den Tag des Eingangs der vollständigen Auskünfte folgt. Gegebenenfalls wird die Frist in Anwendung der </w:t>
      </w:r>
      <w:r w:rsidR="00653947"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Artikel IV.40 § </w:t>
      </w:r>
      <w:r w:rsidR="00653947" w:rsidRPr="004676F5">
        <w:rPr>
          <w:rFonts w:eastAsia="Calibri"/>
          <w:kern w:val="2"/>
          <w:szCs w:val="22"/>
          <w:lang w:val="de-DE" w:eastAsia="en-US"/>
          <w14:ligatures w14:val="standardContextual"/>
        </w:rPr>
        <w:t>2</w:t>
      </w:r>
      <w:r w:rsidRPr="004676F5">
        <w:rPr>
          <w:rFonts w:eastAsia="Calibri"/>
          <w:kern w:val="2"/>
          <w:szCs w:val="22"/>
          <w:lang w:val="de-DE" w:eastAsia="en-US"/>
          <w14:ligatures w14:val="standardContextual"/>
        </w:rPr>
        <w:t xml:space="preserve"> Absatz 4</w:t>
      </w:r>
      <w:r w:rsidR="00653947"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und IV.65 § 1 Absatz 2 ausgesetzt.</w:t>
      </w:r>
    </w:p>
    <w:p w14:paraId="029A4372" w14:textId="77777777" w:rsidR="00BE3682" w:rsidRPr="004676F5" w:rsidRDefault="00BE3682" w:rsidP="00BE3682">
      <w:pPr>
        <w:jc w:val="both"/>
        <w:rPr>
          <w:rFonts w:eastAsia="Calibri"/>
          <w:kern w:val="2"/>
          <w:lang w:val="de-DE" w:eastAsia="en-US"/>
          <w14:ligatures w14:val="standardContextual"/>
        </w:rPr>
      </w:pPr>
    </w:p>
    <w:p w14:paraId="731A1EF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in Absatz 1 erwähnte Frist wird verlängert:</w:t>
      </w:r>
    </w:p>
    <w:p w14:paraId="4C23C10E" w14:textId="77777777" w:rsidR="00BE3682" w:rsidRPr="004676F5" w:rsidRDefault="00BE3682" w:rsidP="00BE3682">
      <w:pPr>
        <w:jc w:val="both"/>
        <w:rPr>
          <w:rFonts w:eastAsia="Calibri"/>
          <w:kern w:val="2"/>
          <w:lang w:val="de-DE" w:eastAsia="en-US"/>
          <w14:ligatures w14:val="standardContextual"/>
        </w:rPr>
      </w:pPr>
    </w:p>
    <w:p w14:paraId="12B20B48" w14:textId="5929357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1. um fünfzehn Werktage, wenn die anmeldenden Parteien </w:t>
      </w:r>
      <w:r w:rsidR="0092239B"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Verpflichtungszusagen anbieten oder ändern oder den Zusammenschluss ändern,</w:t>
      </w:r>
    </w:p>
    <w:p w14:paraId="536790C9" w14:textId="77777777" w:rsidR="00BE3682" w:rsidRPr="004676F5" w:rsidRDefault="00BE3682" w:rsidP="00BE3682">
      <w:pPr>
        <w:jc w:val="both"/>
        <w:rPr>
          <w:rFonts w:eastAsia="Calibri"/>
          <w:kern w:val="2"/>
          <w:lang w:val="de-DE" w:eastAsia="en-US"/>
          <w14:ligatures w14:val="standardContextual"/>
        </w:rPr>
      </w:pPr>
    </w:p>
    <w:p w14:paraId="472A61B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durch Beschluss des Wettbewerbskollegiums auf ausdrücklichen Antrag der anmeldenden Parteien für eine Dauer, die die von ihnen vorgeschlagene Dauer nicht überschreiten darf; auf Antrag der anmeldenden Parteien gewährt das Wettbewerbskollegium auf jeden Fall eine Verlängerung um fünfzehn Werktage und eine neue Sitzung.</w:t>
      </w:r>
    </w:p>
    <w:p w14:paraId="3FF446A8" w14:textId="77777777" w:rsidR="00BE3682" w:rsidRPr="004676F5" w:rsidRDefault="00BE3682" w:rsidP="00BE3682">
      <w:pPr>
        <w:jc w:val="both"/>
        <w:rPr>
          <w:rFonts w:eastAsia="Calibri"/>
          <w:kern w:val="2"/>
          <w:lang w:val="de-DE" w:eastAsia="en-US"/>
          <w14:ligatures w14:val="standardContextual"/>
        </w:rPr>
      </w:pPr>
    </w:p>
    <w:p w14:paraId="19478150" w14:textId="0F1C5333"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Es wird davon ausgegangen, dass über den Zusammenschluss eine Zulässigkeitsentscheidung getroffen worden ist, wenn das Wettbewerbskollegium in der in § 3 vorgesehenen Frist keine Entscheidung getroffen hat.</w:t>
      </w:r>
    </w:p>
    <w:p w14:paraId="67388B37" w14:textId="77777777" w:rsidR="00BE3682" w:rsidRPr="004676F5" w:rsidRDefault="00BE3682" w:rsidP="00BE3682">
      <w:pPr>
        <w:jc w:val="both"/>
        <w:rPr>
          <w:rFonts w:eastAsia="Calibri"/>
          <w:kern w:val="2"/>
          <w:lang w:val="de-DE" w:eastAsia="en-US"/>
          <w14:ligatures w14:val="standardContextual"/>
        </w:rPr>
      </w:pPr>
    </w:p>
    <w:p w14:paraId="7F419CC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5 ­ Die Entscheidung des Wettbewerbskollegiums in der Sache selbst kann sich nicht auf Unterlagen und Angaben stützen, deren vertraulicher Charakter gegenüber einer anmeldenden Partei festgestellt wurde, es sei denn, es handelt sich um Schriftstücke des Verkäufers, einer anderen anmeldenden Partei oder des Zielunternehmens und die anmeldende Partei konnte von einer nicht vertraulichen Fassung oder einer nicht vertraulichen Zusammenfassung dieser Unterlagen und Angaben Kenntnis nehmen.</w:t>
      </w:r>
    </w:p>
    <w:p w14:paraId="1329BD9E" w14:textId="77777777" w:rsidR="00BE3682" w:rsidRPr="004676F5" w:rsidRDefault="00BE3682" w:rsidP="00BE3682">
      <w:pPr>
        <w:jc w:val="both"/>
        <w:rPr>
          <w:rFonts w:eastAsia="Calibri"/>
          <w:kern w:val="2"/>
          <w:lang w:val="de-DE" w:eastAsia="en-US"/>
          <w14:ligatures w14:val="standardContextual"/>
        </w:rPr>
      </w:pPr>
    </w:p>
    <w:p w14:paraId="2A5DBA59" w14:textId="480C3CDF" w:rsidR="0092239B" w:rsidRPr="004676F5" w:rsidRDefault="0092239B"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[Art. IV.66 </w:t>
      </w:r>
      <w:r w:rsidR="00653947" w:rsidRPr="004676F5">
        <w:rPr>
          <w:rFonts w:eastAsia="Calibri"/>
          <w:i/>
          <w:iCs/>
          <w:kern w:val="2"/>
          <w:lang w:val="de-DE" w:eastAsia="en-US"/>
          <w14:ligatures w14:val="standardContextual"/>
        </w:rPr>
        <w:t xml:space="preserve">§ 2 Abs. 2 eingefügt durch Art. 49 Nr. 1 des G. vom 28. Februar 2022 (B.S. vom 7. März 2022); § 3 Abs. 1 abgeändert durch Art. 49 Nr. 2 des G. vom 28. Februar 2022 (B.S. </w:t>
      </w:r>
      <w:r w:rsidR="00653947" w:rsidRPr="004676F5">
        <w:rPr>
          <w:rFonts w:eastAsia="Calibri"/>
          <w:i/>
          <w:iCs/>
          <w:kern w:val="2"/>
          <w:lang w:val="de-DE" w:eastAsia="en-US"/>
          <w14:ligatures w14:val="standardContextual"/>
        </w:rPr>
        <w:lastRenderedPageBreak/>
        <w:t xml:space="preserve">vom 7. März 2022); </w:t>
      </w:r>
      <w:r w:rsidRPr="004676F5">
        <w:rPr>
          <w:rFonts w:eastAsia="Calibri"/>
          <w:i/>
          <w:iCs/>
          <w:kern w:val="2"/>
          <w:lang w:val="de-DE" w:eastAsia="en-US"/>
          <w14:ligatures w14:val="standardContextual"/>
        </w:rPr>
        <w:t>§ 3 Abs. 2 Nr. 1 abgeändert durch Art. 3 des G. vom 2. Februar 2021 (B.S. vom 11. Februar 2021)]</w:t>
      </w:r>
    </w:p>
    <w:p w14:paraId="42B6D72A" w14:textId="77777777" w:rsidR="0092239B" w:rsidRPr="004676F5" w:rsidRDefault="0092239B" w:rsidP="00BE3682">
      <w:pPr>
        <w:jc w:val="both"/>
        <w:rPr>
          <w:rFonts w:eastAsia="Calibri"/>
          <w:lang w:val="de-DE"/>
        </w:rPr>
      </w:pPr>
    </w:p>
    <w:p w14:paraId="32041574" w14:textId="77777777" w:rsidR="008A1473" w:rsidRPr="004676F5" w:rsidRDefault="008A1473" w:rsidP="00BE3682">
      <w:pPr>
        <w:jc w:val="both"/>
        <w:rPr>
          <w:rFonts w:eastAsia="Calibri"/>
          <w:kern w:val="2"/>
          <w:lang w:val="de-DE" w:eastAsia="en-US"/>
          <w14:ligatures w14:val="standardContextual"/>
        </w:rPr>
      </w:pPr>
    </w:p>
    <w:p w14:paraId="435C1929" w14:textId="2810B9C6"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IV.67</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Beschließt das Wettbewerbskollegium die Einleitung des zusätzlichen Untersuchungs</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und Entscheidungsverfahrens, führt der Auditor eine zusätzliche Untersuchung durch.</w:t>
      </w:r>
    </w:p>
    <w:p w14:paraId="3F3E0DAA" w14:textId="77777777" w:rsidR="00BE3682" w:rsidRPr="004676F5" w:rsidRDefault="00BE3682" w:rsidP="00BE3682">
      <w:pPr>
        <w:jc w:val="both"/>
        <w:rPr>
          <w:rFonts w:eastAsia="Calibri"/>
          <w:kern w:val="2"/>
          <w:lang w:val="de-DE" w:eastAsia="en-US"/>
          <w14:ligatures w14:val="standardContextual"/>
        </w:rPr>
      </w:pPr>
    </w:p>
    <w:p w14:paraId="4A9F0F7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Spätestens zwanzig Werktage nach dem Datum der Entscheidung zur Einleitung eines zusätzlichen Untersuchungsverfahrens können die anmeldenden Parteien dem Auditor Verpflichtungszusagen anbieten im Hinblick auf die Erwirkung einer Zulässigkeits</w:t>
      </w:r>
      <w:r w:rsidRPr="004676F5">
        <w:rPr>
          <w:rFonts w:eastAsia="Calibri"/>
          <w:kern w:val="2"/>
          <w:szCs w:val="22"/>
          <w:lang w:val="de-DE" w:eastAsia="en-US"/>
          <w14:ligatures w14:val="standardContextual"/>
        </w:rPr>
        <w:softHyphen/>
        <w:t>entscheidung. Der Auditor kann die Frist um zwanzig Werktage verlängern.</w:t>
      </w:r>
    </w:p>
    <w:p w14:paraId="53205657" w14:textId="77777777" w:rsidR="00BE3682" w:rsidRPr="004676F5" w:rsidRDefault="00BE3682" w:rsidP="00BE3682">
      <w:pPr>
        <w:jc w:val="both"/>
        <w:rPr>
          <w:rFonts w:eastAsia="Calibri"/>
          <w:kern w:val="2"/>
          <w:lang w:val="de-DE" w:eastAsia="en-US"/>
          <w14:ligatures w14:val="standardContextual"/>
        </w:rPr>
      </w:pPr>
    </w:p>
    <w:p w14:paraId="1A9D1DDA" w14:textId="24A38ED4"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 2 ­ Nach Stellungnahme des Auditor-Beraters hinterlegt der Auditor innerhalb einer Frist von dreißig Werktagen nach der Entscheidung zur Einleitung eines zusätzlichen Untersuchungsverfahrens einen mit Gründen versehenen Entscheidungsvorschlag beim Präsidenten des Wettbewerbskollegiums. Diese Frist wird um die Dauer verlängert, die von den anmeldenden Parteien benutzt wurde, um gemäß § 1 Absatz 2 Verpflichtungszusagen anzubieten. Gegebenenfalls wird die Frist in Anwendung von </w:t>
      </w:r>
      <w:r w:rsidR="00653947"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Artikel IV.40 § </w:t>
      </w:r>
      <w:r w:rsidR="00653947" w:rsidRPr="004676F5">
        <w:rPr>
          <w:rFonts w:eastAsia="Calibri"/>
          <w:kern w:val="2"/>
          <w:szCs w:val="22"/>
          <w:lang w:val="de-DE" w:eastAsia="en-US"/>
          <w14:ligatures w14:val="standardContextual"/>
        </w:rPr>
        <w:t>2</w:t>
      </w:r>
      <w:r w:rsidRPr="004676F5">
        <w:rPr>
          <w:rFonts w:eastAsia="Calibri"/>
          <w:kern w:val="2"/>
          <w:szCs w:val="22"/>
          <w:lang w:val="de-DE" w:eastAsia="en-US"/>
          <w14:ligatures w14:val="standardContextual"/>
        </w:rPr>
        <w:t xml:space="preserve"> Absatz 4</w:t>
      </w:r>
      <w:r w:rsidR="00653947"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ausgesetzt.</w:t>
      </w:r>
    </w:p>
    <w:p w14:paraId="188EEA4C" w14:textId="77777777" w:rsidR="00BE3682" w:rsidRPr="004676F5" w:rsidRDefault="00BE3682" w:rsidP="00BE3682">
      <w:pPr>
        <w:jc w:val="both"/>
        <w:rPr>
          <w:rFonts w:eastAsia="Calibri"/>
          <w:kern w:val="2"/>
          <w:lang w:val="de-DE" w:eastAsia="en-US"/>
          <w14:ligatures w14:val="standardContextual"/>
        </w:rPr>
      </w:pPr>
    </w:p>
    <w:p w14:paraId="3DBF1EA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Am Tag der Hinterlegung des Entscheidungsvorschlags sendet der Auditor den anmeldenden Parteien eine Abschrift des Entscheidungsvorschlags zu. Er ersucht sie, vertrauliche Passagen im Entscheidungsvorschlag zu kennzeichnen. Anschließend erstellt der Auditor die nicht vertrauliche Fassung. Gegen seinen Beschluss in Bezug auf die Vertraulichkeit kann keine gesonderte Beschwerde eingereicht werden.</w:t>
      </w:r>
    </w:p>
    <w:p w14:paraId="6806E917" w14:textId="77777777" w:rsidR="00BE3682" w:rsidRPr="004676F5" w:rsidRDefault="00BE3682" w:rsidP="00BE3682">
      <w:pPr>
        <w:jc w:val="both"/>
        <w:rPr>
          <w:rFonts w:eastAsia="Calibri"/>
          <w:kern w:val="2"/>
          <w:lang w:val="de-DE" w:eastAsia="en-US"/>
          <w14:ligatures w14:val="standardContextual"/>
        </w:rPr>
      </w:pPr>
    </w:p>
    <w:p w14:paraId="6C29190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Auditor übermittelt auch den Vertretern der repräsentativsten Arbeitnehmer</w:t>
      </w:r>
      <w:r w:rsidRPr="004676F5">
        <w:rPr>
          <w:rFonts w:eastAsia="Calibri"/>
          <w:kern w:val="2"/>
          <w:szCs w:val="22"/>
          <w:lang w:val="de-DE" w:eastAsia="en-US"/>
          <w14:ligatures w14:val="standardContextual"/>
        </w:rPr>
        <w:softHyphen/>
        <w:t>organisationen der an dem Zusammenschluss beteiligten Parteien oder denjenigen, die sie bestimmen, eine Abschrift der nicht vertraulichen Fassung des Entscheidungsvorschlags.</w:t>
      </w:r>
    </w:p>
    <w:p w14:paraId="7FB31808" w14:textId="77777777" w:rsidR="00BE3682" w:rsidRPr="004676F5" w:rsidRDefault="00BE3682" w:rsidP="00BE3682">
      <w:pPr>
        <w:jc w:val="both"/>
        <w:rPr>
          <w:rFonts w:eastAsia="Calibri"/>
          <w:kern w:val="2"/>
          <w:lang w:val="de-DE" w:eastAsia="en-US"/>
          <w14:ligatures w14:val="standardContextual"/>
        </w:rPr>
      </w:pPr>
    </w:p>
    <w:p w14:paraId="14ADE51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Er teilt den anmeldenden Parteien mit, dass sie die Untersuchungsakte und die Verfahrensakte beim Sekretariat einsehen können, Unterlagen und Angaben, die ihnen gegenüber vertraulich sind, ausgenommen, und dass sie gegen Zahlung eine elektronische Abschrift davon erhalten können.</w:t>
      </w:r>
    </w:p>
    <w:p w14:paraId="6E3B6D43" w14:textId="77777777" w:rsidR="00BE3682" w:rsidRPr="004676F5" w:rsidRDefault="00BE3682" w:rsidP="00BE3682">
      <w:pPr>
        <w:jc w:val="both"/>
        <w:rPr>
          <w:rFonts w:eastAsia="Calibri"/>
          <w:kern w:val="2"/>
          <w:lang w:val="de-DE" w:eastAsia="en-US"/>
          <w14:ligatures w14:val="standardContextual"/>
        </w:rPr>
      </w:pPr>
    </w:p>
    <w:p w14:paraId="78DB9A79" w14:textId="1BACA4C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Ist der Auditor der Ansicht, dass ein Zusammenschluss zulässig ist, wird im Entscheidungsvorschlag angegeben, warum der Zusammenschluss nicht zur Folge hat, dass ein wirksamer Wettbewerb auf dem belgischen Markt oder in einem wesentlichen Teil davon erheblich behindert wird, insbesondere durch Begründung oder Verstärkung einer beherrschenden Stellung.</w:t>
      </w:r>
    </w:p>
    <w:p w14:paraId="1BC20CF8" w14:textId="77777777" w:rsidR="00BE3682" w:rsidRPr="004676F5" w:rsidRDefault="00BE3682" w:rsidP="00BE3682">
      <w:pPr>
        <w:jc w:val="both"/>
        <w:rPr>
          <w:rFonts w:eastAsia="Calibri"/>
          <w:kern w:val="2"/>
          <w:lang w:val="de-DE" w:eastAsia="en-US"/>
          <w14:ligatures w14:val="standardContextual"/>
        </w:rPr>
      </w:pPr>
    </w:p>
    <w:p w14:paraId="7E78470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Ist der Auditor der Ansicht, dass ein Zusammenschluss für unzulässig zu erklären ist oder Bedingungen und Auflagen auferlegt werden müssen, wird im Entscheidungsvorschlag angegeben, warum der Zusammenschluss verboten werden muss, und wird Stellung zu den angebotenen Verpflichtungszusagen genommen.</w:t>
      </w:r>
    </w:p>
    <w:p w14:paraId="674AD06E" w14:textId="77777777" w:rsidR="00BE3682" w:rsidRPr="004676F5" w:rsidRDefault="00BE3682" w:rsidP="00BE3682">
      <w:pPr>
        <w:jc w:val="both"/>
        <w:rPr>
          <w:rFonts w:eastAsia="Calibri"/>
          <w:kern w:val="2"/>
          <w:lang w:val="de-DE" w:eastAsia="en-US"/>
          <w14:ligatures w14:val="standardContextual"/>
        </w:rPr>
      </w:pPr>
    </w:p>
    <w:p w14:paraId="0C51B2B0" w14:textId="20560E36" w:rsidR="00653947" w:rsidRPr="004676F5" w:rsidRDefault="00653947"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IV.67 § 2 abgeändert durch Art. 47 des G. vom 28. Februar 2022 (B.S. vom 7. März 2022)]</w:t>
      </w:r>
    </w:p>
    <w:p w14:paraId="685068BD" w14:textId="77777777" w:rsidR="00653947" w:rsidRPr="004676F5" w:rsidRDefault="00653947" w:rsidP="00BE3682">
      <w:pPr>
        <w:jc w:val="both"/>
        <w:rPr>
          <w:rFonts w:eastAsia="Calibri"/>
          <w:i/>
          <w:iCs/>
          <w:kern w:val="2"/>
          <w:lang w:val="de-DE" w:eastAsia="en-US"/>
          <w14:ligatures w14:val="standardContextual"/>
        </w:rPr>
      </w:pPr>
    </w:p>
    <w:p w14:paraId="625E009E" w14:textId="77777777" w:rsidR="008A1473" w:rsidRPr="004676F5" w:rsidRDefault="008A1473" w:rsidP="00BE3682">
      <w:pPr>
        <w:jc w:val="both"/>
        <w:rPr>
          <w:rFonts w:eastAsia="Calibri"/>
          <w:kern w:val="2"/>
          <w:lang w:val="de-DE" w:eastAsia="en-US"/>
          <w14:ligatures w14:val="standardContextual"/>
        </w:rPr>
      </w:pPr>
    </w:p>
    <w:p w14:paraId="3C2AFEFA" w14:textId="657A0E4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r>
      <w:r w:rsidRPr="004676F5">
        <w:rPr>
          <w:rFonts w:eastAsia="Calibri"/>
          <w:b/>
          <w:bCs/>
          <w:kern w:val="2"/>
          <w:szCs w:val="22"/>
          <w:lang w:val="de-DE" w:eastAsia="en-US"/>
          <w14:ligatures w14:val="standardContextual"/>
        </w:rPr>
        <w:t>Art. IV.68</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Die anmeldenden Parteien und Dritte, die das Wettbewerbskollegium anhören wird, hinterlegen in einer Frist von zehn Werktagen ab Hinterlegung des Entscheidungsvorschlags ihre eventuellen schriftlichen Anmerkungen und Schriftstücke beim Sekretariat, mit Abschrift per E-Mail an den Auditor und die anmeldenden Parteien am selben Tag.</w:t>
      </w:r>
    </w:p>
    <w:p w14:paraId="58848FB1" w14:textId="77777777" w:rsidR="00BE3682" w:rsidRPr="004676F5" w:rsidRDefault="00BE3682" w:rsidP="00BE3682">
      <w:pPr>
        <w:jc w:val="both"/>
        <w:rPr>
          <w:rFonts w:eastAsia="Calibri"/>
          <w:kern w:val="2"/>
          <w:lang w:val="de-DE" w:eastAsia="en-US"/>
          <w14:ligatures w14:val="standardContextual"/>
        </w:rPr>
      </w:pPr>
    </w:p>
    <w:p w14:paraId="70894F17" w14:textId="1FAD684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Hinterlegen anmeldende Parteien ein Schriftstück, das sich nicht in der Untersuchungs</w:t>
      </w:r>
      <w:r w:rsidRPr="004676F5">
        <w:rPr>
          <w:rFonts w:eastAsia="Calibri"/>
          <w:kern w:val="2"/>
          <w:szCs w:val="22"/>
          <w:lang w:val="de-DE" w:eastAsia="en-US"/>
          <w14:ligatures w14:val="standardContextual"/>
        </w:rPr>
        <w:softHyphen/>
        <w:t xml:space="preserve">akte befindet, legt der Präsident des Wettbewerbskollegiums eine Frist fest, in der der Auditor schriftliche Anmerkungen zu diesem Schriftstück hinterlegen kann, und eine Frist, in der die anmeldenden Parteien auf diese schriftlichen Anmerkungen antworten können. Der Auditor kann bei der Vorbereitung seiner schriftlichen Anmerkungen </w:t>
      </w:r>
      <w:r w:rsidR="00653947"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Artikel IV.40</w:t>
      </w:r>
      <w:r w:rsidR="00653947"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anwenden. Die anmeldenden Parteien und der Auditor übermitteln sich gegenseitig per E-Mail ihre schriftlichen Anmerkungen und Schriftstücke am Tag ihrer Hinterlegung beim Sekretariat. </w:t>
      </w:r>
      <w:r w:rsidR="00653947" w:rsidRPr="004676F5">
        <w:rPr>
          <w:rFonts w:eastAsia="Calibri"/>
          <w:kern w:val="2"/>
          <w:szCs w:val="22"/>
          <w:lang w:val="de-DE" w:eastAsia="en-US"/>
          <w14:ligatures w14:val="standardContextual"/>
        </w:rPr>
        <w:t>[</w:t>
      </w:r>
      <w:r w:rsidR="00653947" w:rsidRPr="004676F5">
        <w:rPr>
          <w:lang w:val="de-DE"/>
        </w:rPr>
        <w:t>Die in Artikel IV.69 § 2 erwähnte Frist für die Entscheidung wird ab dem ersten Werktag nach dem Tag der Hinterlegung der in Absatz 1 erwähnten schriftlichen Anmerkungen der anmeldenden Parteien bis zu dem Tag ausgesetzt, an dem die Frist abläuft, in der die anmeldenden Parteien ihre Antwort hinterlegen können.</w:t>
      </w:r>
      <w:r w:rsidR="00653947" w:rsidRPr="004676F5">
        <w:rPr>
          <w:rFonts w:eastAsia="Calibri"/>
          <w:kern w:val="2"/>
          <w:szCs w:val="22"/>
          <w:lang w:val="de-DE" w:eastAsia="en-US"/>
          <w14:ligatures w14:val="standardContextual"/>
        </w:rPr>
        <w:t>]</w:t>
      </w:r>
    </w:p>
    <w:p w14:paraId="5EAC24BB" w14:textId="77777777" w:rsidR="00BE3682" w:rsidRPr="004676F5" w:rsidRDefault="00BE3682" w:rsidP="00BE3682">
      <w:pPr>
        <w:jc w:val="both"/>
        <w:rPr>
          <w:rFonts w:eastAsia="Calibri"/>
          <w:kern w:val="2"/>
          <w:lang w:val="de-DE" w:eastAsia="en-US"/>
          <w14:ligatures w14:val="standardContextual"/>
        </w:rPr>
      </w:pPr>
    </w:p>
    <w:p w14:paraId="0D0A120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Bei vertraulichen Informationen, die von Dritten übermittelt werden, gilt Artikel IV.65 § 2 Absatz 2.</w:t>
      </w:r>
    </w:p>
    <w:p w14:paraId="5663105A" w14:textId="77777777" w:rsidR="00BE3682" w:rsidRPr="004676F5" w:rsidRDefault="00BE3682" w:rsidP="00BE3682">
      <w:pPr>
        <w:jc w:val="both"/>
        <w:rPr>
          <w:rFonts w:eastAsia="Calibri"/>
          <w:kern w:val="2"/>
          <w:lang w:val="de-DE" w:eastAsia="en-US"/>
          <w14:ligatures w14:val="standardContextual"/>
        </w:rPr>
      </w:pPr>
    </w:p>
    <w:p w14:paraId="31773D2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Dritte, die das Wettbewerbskollegium anhören wird, haben keinen Zugang zur Untersuchungsakte und zur Verfahrensakte, außer wenn der Präsident des Wettbewerbs</w:t>
      </w:r>
      <w:r w:rsidRPr="004676F5">
        <w:rPr>
          <w:rFonts w:eastAsia="Calibri"/>
          <w:kern w:val="2"/>
          <w:szCs w:val="22"/>
          <w:lang w:val="de-DE" w:eastAsia="en-US"/>
          <w14:ligatures w14:val="standardContextual"/>
        </w:rPr>
        <w:softHyphen/>
        <w:t>kollegiums in Bezug auf Schriftstücke aus der Verfahrensakte, die er bestimmt, anders entscheidet.</w:t>
      </w:r>
    </w:p>
    <w:p w14:paraId="46724063" w14:textId="77777777" w:rsidR="00BE3682" w:rsidRPr="004676F5" w:rsidRDefault="00BE3682" w:rsidP="00BE3682">
      <w:pPr>
        <w:jc w:val="both"/>
        <w:rPr>
          <w:rFonts w:eastAsia="Calibri"/>
          <w:kern w:val="2"/>
          <w:lang w:val="de-DE" w:eastAsia="en-US"/>
          <w14:ligatures w14:val="standardContextual"/>
        </w:rPr>
      </w:pPr>
    </w:p>
    <w:p w14:paraId="281CDE6C" w14:textId="3EADA97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 2 ­ Wenn schriftliche Anmerkungen oder Schriftstücke hinterlegt werden, kann der Auditor innerhalb einer Frist von fünf Werktagen nach Ablauf der in § 1 Absatz 1 vorgesehenen Frist einen neuen mit Gründen versehenen Entscheidungsvorschlag beim Präsidenten des Wettbewerbskollegiums hinterlegen. Gegebenenfalls beginnt die Frist von fünf Werktagen </w:t>
      </w:r>
      <w:r w:rsidR="00653947" w:rsidRPr="004676F5">
        <w:rPr>
          <w:rFonts w:eastAsia="Calibri"/>
          <w:kern w:val="2"/>
          <w:szCs w:val="22"/>
          <w:lang w:val="de-DE" w:eastAsia="en-US"/>
          <w14:ligatures w14:val="standardContextual"/>
        </w:rPr>
        <w:t>[</w:t>
      </w:r>
      <w:r w:rsidR="00653947" w:rsidRPr="004676F5">
        <w:rPr>
          <w:lang w:val="de-DE"/>
        </w:rPr>
        <w:t>am Tag nach dem Tag, an dem die Frist abläuft</w:t>
      </w:r>
      <w:r w:rsidR="00653947"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in der die anmeldenden Parteien ihre Antwort gemäß § 1 Absatz 2 letzter Satz hinterlegen können.</w:t>
      </w:r>
    </w:p>
    <w:p w14:paraId="768DA182" w14:textId="77777777" w:rsidR="00BE3682" w:rsidRPr="004676F5" w:rsidRDefault="00BE3682" w:rsidP="00BE3682">
      <w:pPr>
        <w:jc w:val="both"/>
        <w:rPr>
          <w:rFonts w:eastAsia="Calibri"/>
          <w:kern w:val="2"/>
          <w:lang w:val="de-DE" w:eastAsia="en-US"/>
          <w14:ligatures w14:val="standardContextual"/>
        </w:rPr>
      </w:pPr>
    </w:p>
    <w:p w14:paraId="3279F4F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neue Entscheidungsvorschlag wird gemäß Artikel IV.67 § 3 übermittelt.</w:t>
      </w:r>
    </w:p>
    <w:p w14:paraId="0BB82BA9" w14:textId="77777777" w:rsidR="00BE3682" w:rsidRPr="004676F5" w:rsidRDefault="00BE3682" w:rsidP="00BE3682">
      <w:pPr>
        <w:jc w:val="both"/>
        <w:rPr>
          <w:rFonts w:eastAsia="Calibri"/>
          <w:kern w:val="2"/>
          <w:lang w:val="de-DE" w:eastAsia="en-US"/>
          <w14:ligatures w14:val="standardContextual"/>
        </w:rPr>
      </w:pPr>
    </w:p>
    <w:p w14:paraId="336FAA2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Die anmeldenden Parteien hinterlegen spätestens am Tag vor der Sitzung ihre eventuellen schriftlichen Anmerkungen zu dem neuen Entscheidungsvorschlag oder als Antwort auf die schriftlichen Anmerkungen Dritter beim Sekretariat, mit Abschrift per E-Mail an den Auditor am Tag der Hinterlegung. Sie dürfen keine zusätzlichen Schriftstücke hinzufügen, die nicht zuvor in der vorhergehenden Untersuchung oder in Anwendung der Artikel IV.65 § 1 und IV.68 § 1 hinterlegt wurden, es sei denn, es betrifft einen Tatsachenbeweis.</w:t>
      </w:r>
    </w:p>
    <w:p w14:paraId="5DDF064F" w14:textId="77777777" w:rsidR="00BE3682" w:rsidRPr="004676F5" w:rsidRDefault="00BE3682" w:rsidP="00BE3682">
      <w:pPr>
        <w:jc w:val="both"/>
        <w:rPr>
          <w:rFonts w:eastAsia="Calibri"/>
          <w:kern w:val="2"/>
          <w:lang w:val="de-DE" w:eastAsia="en-US"/>
          <w14:ligatures w14:val="standardContextual"/>
        </w:rPr>
      </w:pPr>
    </w:p>
    <w:p w14:paraId="5001FFB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Eventuelle zusätzliche schriftliche Anmerkungen und Schriftstücke von Dritten, die das Wettbewerbskollegium zu dem neuen Entscheidungsvorschlag anhören wird, werden bei den Verhandlungen zurückgewiesen.</w:t>
      </w:r>
    </w:p>
    <w:p w14:paraId="77BC8C83" w14:textId="77777777" w:rsidR="00BE3682" w:rsidRPr="004676F5" w:rsidRDefault="00BE3682" w:rsidP="00BE3682">
      <w:pPr>
        <w:jc w:val="both"/>
        <w:rPr>
          <w:rFonts w:eastAsia="Calibri"/>
          <w:kern w:val="2"/>
          <w:lang w:val="de-DE" w:eastAsia="en-US"/>
          <w14:ligatures w14:val="standardContextual"/>
        </w:rPr>
      </w:pPr>
    </w:p>
    <w:p w14:paraId="176766CB" w14:textId="0EB8DE51"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Das Wettbewerbskollegium untersucht die Sachen in einer Sitzung. Die Sitzung findet mindestens zehn Werktage nach Übermittlung des in Artikel IV.67 § 2 erwähnten Entscheidungsvorschlags an die anmeldenden Parteien statt.</w:t>
      </w:r>
    </w:p>
    <w:p w14:paraId="74DF2E1E" w14:textId="77777777" w:rsidR="00BE3682" w:rsidRPr="004676F5" w:rsidRDefault="00BE3682" w:rsidP="00BE3682">
      <w:pPr>
        <w:jc w:val="both"/>
        <w:rPr>
          <w:rFonts w:eastAsia="Calibri"/>
          <w:kern w:val="2"/>
          <w:lang w:val="de-DE" w:eastAsia="en-US"/>
          <w14:ligatures w14:val="standardContextual"/>
        </w:rPr>
      </w:pPr>
    </w:p>
    <w:p w14:paraId="30F933D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Der Präsident des Wettbewerbskollegiums kann beschließen, mehr als eine Sitzung zu organisieren. Wenn eine zusätzliche Sitzung nicht erforderlich ist, kann das Wettbewerbs</w:t>
      </w:r>
      <w:r w:rsidRPr="004676F5">
        <w:rPr>
          <w:rFonts w:eastAsia="Calibri"/>
          <w:kern w:val="2"/>
          <w:szCs w:val="22"/>
          <w:lang w:val="de-DE" w:eastAsia="en-US"/>
          <w14:ligatures w14:val="standardContextual"/>
        </w:rPr>
        <w:softHyphen/>
        <w:t>kollegium in seiner Entscheidung den Abschluss der Verhandlungen feststellen.</w:t>
      </w:r>
    </w:p>
    <w:p w14:paraId="63461A77" w14:textId="77777777" w:rsidR="00BE3682" w:rsidRPr="004676F5" w:rsidRDefault="00BE3682" w:rsidP="00BE3682">
      <w:pPr>
        <w:jc w:val="both"/>
        <w:rPr>
          <w:rFonts w:eastAsia="Calibri"/>
          <w:kern w:val="2"/>
          <w:lang w:val="de-DE" w:eastAsia="en-US"/>
          <w14:ligatures w14:val="standardContextual"/>
        </w:rPr>
      </w:pPr>
    </w:p>
    <w:p w14:paraId="137227E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Wettbewerbskollegium hört die in Artikel IV.65 § 4 erwähnten Personen an.</w:t>
      </w:r>
    </w:p>
    <w:p w14:paraId="1D711572" w14:textId="77777777" w:rsidR="00BE3682" w:rsidRPr="004676F5" w:rsidRDefault="00BE3682" w:rsidP="00BE3682">
      <w:pPr>
        <w:jc w:val="both"/>
        <w:rPr>
          <w:rFonts w:eastAsia="Calibri"/>
          <w:kern w:val="2"/>
          <w:lang w:val="de-DE" w:eastAsia="en-US"/>
          <w14:ligatures w14:val="standardContextual"/>
        </w:rPr>
      </w:pPr>
    </w:p>
    <w:p w14:paraId="1650720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5 ­ Die anmeldenden Parteien können in der vom Präsidenten des Wettbewerbs</w:t>
      </w:r>
      <w:r w:rsidRPr="004676F5">
        <w:rPr>
          <w:rFonts w:eastAsia="Calibri"/>
          <w:kern w:val="2"/>
          <w:szCs w:val="22"/>
          <w:lang w:val="de-DE" w:eastAsia="en-US"/>
          <w14:ligatures w14:val="standardContextual"/>
        </w:rPr>
        <w:softHyphen/>
        <w:t>kollegiums festgelegten Frist neue Verpflichtungszusagen anbieten.</w:t>
      </w:r>
    </w:p>
    <w:p w14:paraId="27347368" w14:textId="77777777" w:rsidR="00BE3682" w:rsidRPr="004676F5" w:rsidRDefault="00BE3682" w:rsidP="00BE3682">
      <w:pPr>
        <w:jc w:val="both"/>
        <w:rPr>
          <w:rFonts w:eastAsia="Calibri"/>
          <w:kern w:val="2"/>
          <w:lang w:val="de-DE" w:eastAsia="en-US"/>
          <w14:ligatures w14:val="standardContextual"/>
        </w:rPr>
      </w:pPr>
    </w:p>
    <w:p w14:paraId="223C1AF9" w14:textId="4EC669F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6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Die an dem Zusammenschluss beteiligten Unternehmen können den Zusammenschluss bis zum Abschluss der Verhandlungen durch das Wettbewerbskollegium ändern. In diesem Fall bezieht sich die Entscheidung des Wettbewerbskollegiums auf den so geänderten Zusammenschluss.</w:t>
      </w:r>
    </w:p>
    <w:p w14:paraId="76E39327" w14:textId="77777777" w:rsidR="00BE3682" w:rsidRPr="004676F5" w:rsidRDefault="00BE3682" w:rsidP="00BE3682">
      <w:pPr>
        <w:jc w:val="both"/>
        <w:rPr>
          <w:rFonts w:eastAsia="Calibri"/>
          <w:kern w:val="2"/>
          <w:lang w:val="de-DE" w:eastAsia="en-US"/>
          <w14:ligatures w14:val="standardContextual"/>
        </w:rPr>
      </w:pPr>
    </w:p>
    <w:p w14:paraId="67FFC436" w14:textId="216ED15F" w:rsidR="00653947" w:rsidRPr="004676F5" w:rsidRDefault="00653947"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IV.68 § 1 Abs. 2 abgeändert durch Art. 48 und 50 Nr. 1 des G. vom 28. Februar 2022 (B.S. vom 7. März 2022); § 2 Abs. 1 abgeändert durch Art. 50 Nr. 2 des G. vom 28. Februar 2022 (B.S. vom 7. März 2022)]</w:t>
      </w:r>
    </w:p>
    <w:p w14:paraId="1E566350" w14:textId="77777777" w:rsidR="00653947" w:rsidRPr="004676F5" w:rsidRDefault="00653947" w:rsidP="00BE3682">
      <w:pPr>
        <w:jc w:val="both"/>
        <w:rPr>
          <w:rFonts w:eastAsia="Calibri"/>
          <w:i/>
          <w:iCs/>
          <w:kern w:val="2"/>
          <w:lang w:val="de-DE" w:eastAsia="en-US"/>
          <w14:ligatures w14:val="standardContextual"/>
        </w:rPr>
      </w:pPr>
    </w:p>
    <w:p w14:paraId="073E294C" w14:textId="77777777" w:rsidR="008A1473" w:rsidRPr="004676F5" w:rsidRDefault="008A1473" w:rsidP="00BE3682">
      <w:pPr>
        <w:jc w:val="both"/>
        <w:rPr>
          <w:rFonts w:eastAsia="Calibri"/>
          <w:kern w:val="2"/>
          <w:lang w:val="de-DE" w:eastAsia="en-US"/>
          <w14:ligatures w14:val="standardContextual"/>
        </w:rPr>
      </w:pPr>
    </w:p>
    <w:p w14:paraId="13913110" w14:textId="721B5D9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IV.69</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Das Wettbewerbskollegium entscheidet durch eine mit Gründen versehene Entscheidung über die Zulässigkeit des Zusammenschlusses in Anwendung der in Artikel IV.9 erwähnten Kriterien.</w:t>
      </w:r>
    </w:p>
    <w:p w14:paraId="4413E9E3" w14:textId="77777777" w:rsidR="00BE3682" w:rsidRPr="004676F5" w:rsidRDefault="00BE3682" w:rsidP="00BE3682">
      <w:pPr>
        <w:jc w:val="both"/>
        <w:rPr>
          <w:rFonts w:eastAsia="Calibri"/>
          <w:kern w:val="2"/>
          <w:lang w:val="de-DE" w:eastAsia="en-US"/>
          <w14:ligatures w14:val="standardContextual"/>
        </w:rPr>
      </w:pPr>
    </w:p>
    <w:p w14:paraId="4B00705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Wenn das Wettbewerbskollegium feststellt, dass der Zusammenschluss zulässig ist, kann es seine Entscheidung mit Bedingungen und Auflagen verbinden, mit denen sichergestellt werden soll, dass die beteiligten Unternehmen den Verpflichtungszusagen nachkommen, die sie angeboten haben, damit der Zusammenschluss für zulässig erklärt wird.</w:t>
      </w:r>
    </w:p>
    <w:p w14:paraId="6AE2D9BA" w14:textId="77777777" w:rsidR="00BE3682" w:rsidRPr="004676F5" w:rsidRDefault="00BE3682" w:rsidP="00BE3682">
      <w:pPr>
        <w:jc w:val="both"/>
        <w:rPr>
          <w:rFonts w:eastAsia="Calibri"/>
          <w:kern w:val="2"/>
          <w:lang w:val="de-DE" w:eastAsia="en-US"/>
          <w14:ligatures w14:val="standardContextual"/>
        </w:rPr>
      </w:pPr>
    </w:p>
    <w:p w14:paraId="1BC794C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Wenn das Wettbewerbskollegium Bedingungen und Auflagen berücksichtigen möchte, die nicht im Entscheidungsvorschlag aufgenommen sind, werden die anmeldenden Parteien und der Auditor hierzu angehört und verfügen sie über mindestens fünf Werktage ab der entsprechenden Mitteilung des Wettbewerbskollegiums, um sich schriftlich dazu zu äußern.</w:t>
      </w:r>
    </w:p>
    <w:p w14:paraId="52A378D3" w14:textId="77777777" w:rsidR="00BE3682" w:rsidRPr="004676F5" w:rsidRDefault="00BE3682" w:rsidP="00BE3682">
      <w:pPr>
        <w:jc w:val="both"/>
        <w:rPr>
          <w:rFonts w:eastAsia="Calibri"/>
          <w:kern w:val="2"/>
          <w:lang w:val="de-DE" w:eastAsia="en-US"/>
          <w14:ligatures w14:val="standardContextual"/>
        </w:rPr>
      </w:pPr>
    </w:p>
    <w:p w14:paraId="645F0B05"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Wenn das Wettbewerbskollegium feststellt, dass der Zusammenschluss unzulässig ist, ordnet es gegebenenfalls im Hinblick auf die Wiederherstellung eines wirksamen Wettbewerbs die Aufspaltung der zusammengefassten Unternehmen oder Vermögenswerte, die Beendigung der gemeinsamen Kontrolle oder andere geeignete Maßnahmen an.</w:t>
      </w:r>
    </w:p>
    <w:p w14:paraId="0F5ECD48" w14:textId="77777777" w:rsidR="00653947" w:rsidRPr="004676F5" w:rsidRDefault="00653947" w:rsidP="00BE3682">
      <w:pPr>
        <w:jc w:val="both"/>
        <w:rPr>
          <w:rFonts w:eastAsia="Calibri"/>
          <w:kern w:val="2"/>
          <w:szCs w:val="22"/>
          <w:lang w:val="de-DE" w:eastAsia="en-US"/>
          <w14:ligatures w14:val="standardContextual"/>
        </w:rPr>
      </w:pPr>
    </w:p>
    <w:p w14:paraId="6F208C3F" w14:textId="4A033B47" w:rsidR="00653947" w:rsidRPr="004676F5" w:rsidRDefault="00653947"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t>
      </w:r>
      <w:r w:rsidRPr="004676F5">
        <w:rPr>
          <w:lang w:val="de-DE"/>
        </w:rPr>
        <w:t>Die Entscheidung des Wettbewerbskollegiums ist ausdrücklich und angemessen mit Gründen versehen.</w:t>
      </w:r>
      <w:r w:rsidRPr="004676F5">
        <w:rPr>
          <w:rFonts w:eastAsia="Calibri"/>
          <w:kern w:val="2"/>
          <w:szCs w:val="22"/>
          <w:lang w:val="de-DE" w:eastAsia="en-US"/>
          <w14:ligatures w14:val="standardContextual"/>
        </w:rPr>
        <w:t>]</w:t>
      </w:r>
    </w:p>
    <w:p w14:paraId="2D36ACE3" w14:textId="77777777" w:rsidR="00BE3682" w:rsidRPr="004676F5" w:rsidRDefault="00BE3682" w:rsidP="00BE3682">
      <w:pPr>
        <w:jc w:val="both"/>
        <w:rPr>
          <w:rFonts w:eastAsia="Calibri"/>
          <w:kern w:val="2"/>
          <w:lang w:val="de-DE" w:eastAsia="en-US"/>
          <w14:ligatures w14:val="standardContextual"/>
        </w:rPr>
      </w:pPr>
    </w:p>
    <w:p w14:paraId="259353C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Die Entscheidung des Wettbewerbskollegiums in Bezug auf die Zulässigkeit eines Zusammenschlusses wird innerhalb sechzig Werktagen nach der Entscheidung zur Einleitung des zusätzlichen Untersuchungsverfahrens getroffen.</w:t>
      </w:r>
    </w:p>
    <w:p w14:paraId="20021F43" w14:textId="77777777" w:rsidR="00BE3682" w:rsidRPr="004676F5" w:rsidRDefault="00BE3682" w:rsidP="00BE3682">
      <w:pPr>
        <w:jc w:val="both"/>
        <w:rPr>
          <w:rFonts w:eastAsia="Calibri"/>
          <w:kern w:val="2"/>
          <w:lang w:val="de-DE" w:eastAsia="en-US"/>
          <w14:ligatures w14:val="standardContextual"/>
        </w:rPr>
      </w:pPr>
    </w:p>
    <w:p w14:paraId="0C760DA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in Absatz 1 erwähnte Frist wird verlängert:</w:t>
      </w:r>
    </w:p>
    <w:p w14:paraId="27F5AD7C" w14:textId="77777777" w:rsidR="00BE3682" w:rsidRPr="004676F5" w:rsidRDefault="00BE3682" w:rsidP="00BE3682">
      <w:pPr>
        <w:jc w:val="both"/>
        <w:rPr>
          <w:rFonts w:eastAsia="Calibri"/>
          <w:kern w:val="2"/>
          <w:lang w:val="de-DE" w:eastAsia="en-US"/>
          <w14:ligatures w14:val="standardContextual"/>
        </w:rPr>
      </w:pPr>
    </w:p>
    <w:p w14:paraId="170D394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um die Dauer, die von den anmeldenden Parteien benutzt wurde, um gemäß Artikel IV.67 § 1 Verpflichtungszusagen anzubieten,</w:t>
      </w:r>
    </w:p>
    <w:p w14:paraId="715B1A5A" w14:textId="77777777" w:rsidR="00BE3682" w:rsidRPr="004676F5" w:rsidRDefault="00BE3682" w:rsidP="00BE3682">
      <w:pPr>
        <w:jc w:val="both"/>
        <w:rPr>
          <w:rFonts w:eastAsia="Calibri"/>
          <w:kern w:val="2"/>
          <w:lang w:val="de-DE" w:eastAsia="en-US"/>
          <w14:ligatures w14:val="standardContextual"/>
        </w:rPr>
      </w:pPr>
    </w:p>
    <w:p w14:paraId="4F0EEC6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2. um fünfzehn Werktage, wenn die an dem Zusammenschluss beteiligten Unternehmen den Zusammenschluss ändern,</w:t>
      </w:r>
    </w:p>
    <w:p w14:paraId="0A90E3A6" w14:textId="77777777" w:rsidR="00BE3682" w:rsidRPr="004676F5" w:rsidRDefault="00BE3682" w:rsidP="00BE3682">
      <w:pPr>
        <w:jc w:val="both"/>
        <w:rPr>
          <w:rFonts w:eastAsia="Calibri"/>
          <w:kern w:val="2"/>
          <w:lang w:val="de-DE" w:eastAsia="en-US"/>
          <w14:ligatures w14:val="standardContextual"/>
        </w:rPr>
      </w:pPr>
    </w:p>
    <w:p w14:paraId="737A06C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durch Beschluss des Wettbewerbskollegiums auf ausdrücklichen Antrag der anmeldenden Parteien für eine Dauer, die die von ihnen vorgeschlagene Dauer nicht überschreiten darf; auf Antrag der anmeldenden Parteien gewährt das Wettbewerbskollegium auf jeden Fall die beantragte Verlängerung um höchstens zwanzig Werktage und eine neue Sitzung, damit sie neue Verpflichtungszusagen vorschlagen können.</w:t>
      </w:r>
    </w:p>
    <w:p w14:paraId="2B64132F" w14:textId="77777777" w:rsidR="00BE3682" w:rsidRPr="004676F5" w:rsidRDefault="00BE3682" w:rsidP="00BE3682">
      <w:pPr>
        <w:jc w:val="both"/>
        <w:rPr>
          <w:rFonts w:eastAsia="Calibri"/>
          <w:kern w:val="2"/>
          <w:lang w:val="de-DE" w:eastAsia="en-US"/>
          <w14:ligatures w14:val="standardContextual"/>
        </w:rPr>
      </w:pPr>
    </w:p>
    <w:p w14:paraId="3940BFC7" w14:textId="6D19CDA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Gegebenenfalls wird die in Absatz 1 erwähnte Frist in Anwendung der </w:t>
      </w:r>
      <w:r w:rsidR="00653947"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Artikel IV.40 § </w:t>
      </w:r>
      <w:r w:rsidR="00653947" w:rsidRPr="004676F5">
        <w:rPr>
          <w:rFonts w:eastAsia="Calibri"/>
          <w:kern w:val="2"/>
          <w:szCs w:val="22"/>
          <w:lang w:val="de-DE" w:eastAsia="en-US"/>
          <w14:ligatures w14:val="standardContextual"/>
        </w:rPr>
        <w:t>2</w:t>
      </w:r>
      <w:r w:rsidRPr="004676F5">
        <w:rPr>
          <w:rFonts w:eastAsia="Calibri"/>
          <w:kern w:val="2"/>
          <w:szCs w:val="22"/>
          <w:lang w:val="de-DE" w:eastAsia="en-US"/>
          <w14:ligatures w14:val="standardContextual"/>
        </w:rPr>
        <w:t xml:space="preserve"> Absatz 4</w:t>
      </w:r>
      <w:r w:rsidR="00653947" w:rsidRPr="004676F5">
        <w:rPr>
          <w:rFonts w:eastAsia="Calibri"/>
          <w:kern w:val="2"/>
          <w:szCs w:val="22"/>
          <w:lang w:val="de-DE" w:eastAsia="en-US"/>
          <w14:ligatures w14:val="standardContextual"/>
        </w:rPr>
        <w:t xml:space="preserve">] </w:t>
      </w:r>
      <w:r w:rsidRPr="004676F5">
        <w:rPr>
          <w:rFonts w:eastAsia="Calibri"/>
          <w:kern w:val="2"/>
          <w:szCs w:val="22"/>
          <w:lang w:val="de-DE" w:eastAsia="en-US"/>
          <w14:ligatures w14:val="standardContextual"/>
        </w:rPr>
        <w:t>und IV.68 § 1 Absatz 2 ausgesetzt.</w:t>
      </w:r>
    </w:p>
    <w:p w14:paraId="0409F6A2" w14:textId="77777777" w:rsidR="00BE3682" w:rsidRPr="004676F5" w:rsidRDefault="00BE3682" w:rsidP="00BE3682">
      <w:pPr>
        <w:jc w:val="both"/>
        <w:rPr>
          <w:rFonts w:eastAsia="Calibri"/>
          <w:kern w:val="2"/>
          <w:lang w:val="de-DE" w:eastAsia="en-US"/>
          <w14:ligatures w14:val="standardContextual"/>
        </w:rPr>
      </w:pPr>
    </w:p>
    <w:p w14:paraId="0D47675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König kann auf Stellungnahme der Belgischen Wettbewerbsbehörde die in Absatz 1 erwähnte Frist ändern.</w:t>
      </w:r>
    </w:p>
    <w:p w14:paraId="07534653" w14:textId="77777777" w:rsidR="00BE3682" w:rsidRPr="004676F5" w:rsidRDefault="00BE3682" w:rsidP="00BE3682">
      <w:pPr>
        <w:jc w:val="both"/>
        <w:rPr>
          <w:rFonts w:eastAsia="Calibri"/>
          <w:kern w:val="2"/>
          <w:lang w:val="de-DE" w:eastAsia="en-US"/>
          <w14:ligatures w14:val="standardContextual"/>
        </w:rPr>
      </w:pPr>
    </w:p>
    <w:p w14:paraId="20BDA4F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Es wird davon ausgegangen, dass über den Zusammenschluss eine Zulässigkeits</w:t>
      </w:r>
      <w:r w:rsidRPr="004676F5">
        <w:rPr>
          <w:rFonts w:eastAsia="Calibri"/>
          <w:kern w:val="2"/>
          <w:szCs w:val="22"/>
          <w:lang w:val="de-DE" w:eastAsia="en-US"/>
          <w14:ligatures w14:val="standardContextual"/>
        </w:rPr>
        <w:softHyphen/>
        <w:t>entscheidung getroffen worden ist, wenn das Wettbewerbskollegium in der in § 2 vorgesehenen Frist keine Entscheidung getroffen hat.</w:t>
      </w:r>
    </w:p>
    <w:p w14:paraId="266E3DCC" w14:textId="77777777" w:rsidR="00BE3682" w:rsidRPr="004676F5" w:rsidRDefault="00BE3682" w:rsidP="00BE3682">
      <w:pPr>
        <w:jc w:val="both"/>
        <w:rPr>
          <w:rFonts w:eastAsia="Calibri"/>
          <w:kern w:val="2"/>
          <w:lang w:val="de-DE" w:eastAsia="en-US"/>
          <w14:ligatures w14:val="standardContextual"/>
        </w:rPr>
      </w:pPr>
    </w:p>
    <w:p w14:paraId="6E457913" w14:textId="7F45383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Die Entscheidung des Wettbewerbskollegiums in der Sache selbst kann sich nicht auf Unterlagen und Angaben stützen, deren vertraulicher Charakter gegenüber einer anmeldenden Partei festgestellt wurde, es sei denn, es handelt sich um Schriftstücke des Verkäufers, einer anderen anmeldenden Partei oder des Zielunternehmens und die anmeldende Partei konnte von einer nicht vertraulichen Fassung oder einer nicht vertraulichen Zusammenfassung dieser Unterlagen und Angaben Kenntnis nehmen.</w:t>
      </w:r>
    </w:p>
    <w:p w14:paraId="7A42B00E" w14:textId="77777777" w:rsidR="00BE3682" w:rsidRPr="004676F5" w:rsidRDefault="00BE3682" w:rsidP="00BE3682">
      <w:pPr>
        <w:jc w:val="both"/>
        <w:rPr>
          <w:rFonts w:eastAsia="Calibri"/>
          <w:kern w:val="2"/>
          <w:lang w:val="de-DE" w:eastAsia="en-US"/>
          <w14:ligatures w14:val="standardContextual"/>
        </w:rPr>
      </w:pPr>
    </w:p>
    <w:p w14:paraId="51D471B4" w14:textId="76A2E64D" w:rsidR="00653947" w:rsidRPr="004676F5" w:rsidRDefault="00653947"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IV.69 § 1 Abs. 5 eingefügt durch Art. 51 Nr. 1 des G. vom 28. Februar 2022 (B.S. vom 7. März 2022); § 2 Abs. 3 abgeändert durch Art. 51 Nr. 2 des G. vom 28. Februar 2022 (B.S. vom 7. März 2022)]</w:t>
      </w:r>
    </w:p>
    <w:p w14:paraId="1859E8B0" w14:textId="77777777" w:rsidR="00653947" w:rsidRPr="004676F5" w:rsidRDefault="00653947" w:rsidP="00BE3682">
      <w:pPr>
        <w:jc w:val="both"/>
        <w:rPr>
          <w:rFonts w:eastAsia="Calibri"/>
          <w:i/>
          <w:iCs/>
          <w:kern w:val="2"/>
          <w:lang w:val="de-DE" w:eastAsia="en-US"/>
          <w14:ligatures w14:val="standardContextual"/>
        </w:rPr>
      </w:pPr>
    </w:p>
    <w:p w14:paraId="33D18CB2" w14:textId="77777777" w:rsidR="008A1473" w:rsidRPr="004676F5" w:rsidRDefault="008A1473" w:rsidP="00BE3682">
      <w:pPr>
        <w:jc w:val="both"/>
        <w:rPr>
          <w:rFonts w:eastAsia="Calibri"/>
          <w:kern w:val="2"/>
          <w:lang w:val="de-DE" w:eastAsia="en-US"/>
          <w14:ligatures w14:val="standardContextual"/>
        </w:rPr>
      </w:pPr>
    </w:p>
    <w:p w14:paraId="6B69077D" w14:textId="718E813C" w:rsidR="00BE3682" w:rsidRPr="004676F5" w:rsidRDefault="007A54C0"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8</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513978"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Untersuchung und Entscheidung in einem vereinfachten Verfahren bei Zusammenschlüssen</w:t>
      </w:r>
      <w:r w:rsidR="00513978" w:rsidRPr="004676F5">
        <w:rPr>
          <w:rFonts w:eastAsia="Calibri"/>
          <w:kern w:val="2"/>
          <w:szCs w:val="22"/>
          <w:lang w:val="de-DE" w:eastAsia="en-US"/>
          <w14:ligatures w14:val="standardContextual"/>
        </w:rPr>
        <w:t>]</w:t>
      </w:r>
    </w:p>
    <w:p w14:paraId="375130BC" w14:textId="77777777" w:rsidR="00BE3682" w:rsidRPr="004676F5" w:rsidRDefault="00BE3682" w:rsidP="00BE3682">
      <w:pPr>
        <w:jc w:val="both"/>
        <w:rPr>
          <w:rFonts w:eastAsia="Calibri"/>
          <w:kern w:val="2"/>
          <w:lang w:val="de-DE" w:eastAsia="en-US"/>
          <w14:ligatures w14:val="standardContextual"/>
        </w:rPr>
      </w:pPr>
    </w:p>
    <w:p w14:paraId="72B9A047" w14:textId="34A47C4B" w:rsidR="007A54C0" w:rsidRPr="004676F5" w:rsidRDefault="007A54C0" w:rsidP="007A54C0">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[Früherer Unterabschnitt 7 umgegliedert zu Abschnitt 8 </w:t>
      </w:r>
      <w:r w:rsidR="00513978"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41 des G. vom 29. März 2024 (B.S. vom 3. Mai 2024)]</w:t>
      </w:r>
    </w:p>
    <w:p w14:paraId="382EB3EF" w14:textId="77777777" w:rsidR="007A54C0" w:rsidRPr="004676F5" w:rsidRDefault="007A54C0" w:rsidP="00BE3682">
      <w:pPr>
        <w:jc w:val="both"/>
        <w:rPr>
          <w:rFonts w:eastAsia="Calibri"/>
          <w:kern w:val="2"/>
          <w:lang w:val="de-DE" w:eastAsia="en-US"/>
          <w14:ligatures w14:val="standardContextual"/>
        </w:rPr>
      </w:pPr>
    </w:p>
    <w:p w14:paraId="25E51716" w14:textId="77777777" w:rsidR="008A1473" w:rsidRPr="004676F5" w:rsidRDefault="008A1473" w:rsidP="00BE3682">
      <w:pPr>
        <w:jc w:val="both"/>
        <w:rPr>
          <w:rFonts w:eastAsia="Calibri"/>
          <w:kern w:val="2"/>
          <w:lang w:val="de-DE" w:eastAsia="en-US"/>
          <w14:ligatures w14:val="standardContextual"/>
        </w:rPr>
      </w:pPr>
    </w:p>
    <w:p w14:paraId="40C76C8C" w14:textId="25D1A47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IV.70</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Die anmeldenden Parteien können die Anwendung des vereinfachten Verfahrens beantragen. In diesem Fall gelten in Abweichung von den Bestimmungen der Artikel IV.63 bis IV.69 folgende Bestimmungen.</w:t>
      </w:r>
    </w:p>
    <w:p w14:paraId="3D9BFEF1" w14:textId="77777777" w:rsidR="00BE3682" w:rsidRPr="004676F5" w:rsidRDefault="00BE3682" w:rsidP="00BE3682">
      <w:pPr>
        <w:jc w:val="both"/>
        <w:rPr>
          <w:rFonts w:eastAsia="Calibri"/>
          <w:kern w:val="2"/>
          <w:lang w:val="de-DE" w:eastAsia="en-US"/>
          <w14:ligatures w14:val="standardContextual"/>
        </w:rPr>
      </w:pPr>
    </w:p>
    <w:p w14:paraId="2490335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Der Auditor führt die Untersuchung der Sache durch, sobald er die Anmeldung erhalten hat oder, wenn die erteilten Auskünfte unvollständig sind, sobald er die vollständigen Auskünfte erhalten hat.</w:t>
      </w:r>
    </w:p>
    <w:p w14:paraId="4B0EC854" w14:textId="77777777" w:rsidR="00BE3682" w:rsidRPr="004676F5" w:rsidRDefault="00BE3682" w:rsidP="00BE3682">
      <w:pPr>
        <w:jc w:val="both"/>
        <w:rPr>
          <w:rFonts w:eastAsia="Calibri"/>
          <w:kern w:val="2"/>
          <w:lang w:val="de-DE" w:eastAsia="en-US"/>
          <w14:ligatures w14:val="standardContextual"/>
        </w:rPr>
      </w:pPr>
    </w:p>
    <w:p w14:paraId="1128270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Stellt der Auditor fest, dass die Bedingungen für die Anwendung des vereinfachten Verfahrens erfüllt sind und dass gegen den angemeldeten Zusammenschluss keine Einwände erhoben werden, stellt er dies in einer schriftlichen Entscheidung fest, die er den anmeldenden Parteien übermittelt. Gleichzeitig übermittelt der Auditor dem Sekretariat eine Abschrift dieser Entscheidung im Hinblick auf ihre Veröffentlichung.</w:t>
      </w:r>
    </w:p>
    <w:p w14:paraId="4C6E9362" w14:textId="77777777" w:rsidR="00BE3682" w:rsidRPr="004676F5" w:rsidRDefault="00BE3682" w:rsidP="00BE3682">
      <w:pPr>
        <w:jc w:val="both"/>
        <w:rPr>
          <w:rFonts w:eastAsia="Calibri"/>
          <w:kern w:val="2"/>
          <w:lang w:val="de-DE" w:eastAsia="en-US"/>
          <w14:ligatures w14:val="standardContextual"/>
        </w:rPr>
      </w:pPr>
    </w:p>
    <w:p w14:paraId="4918EDE5" w14:textId="6C7A424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Die in § 3 erwähnte Entscheidung des Auditors gilt für die Anwendung des vorliegenden Buches als Entscheidung des Wettbewerbskollegiums, mit der der Zusammen</w:t>
      </w:r>
      <w:r w:rsidRPr="004676F5">
        <w:rPr>
          <w:rFonts w:eastAsia="Calibri"/>
          <w:kern w:val="2"/>
          <w:szCs w:val="22"/>
          <w:lang w:val="de-DE" w:eastAsia="en-US"/>
          <w14:ligatures w14:val="standardContextual"/>
        </w:rPr>
        <w:softHyphen/>
        <w:t>schluss für zulässig erklärt wird.</w:t>
      </w:r>
    </w:p>
    <w:p w14:paraId="5C6B351E" w14:textId="77777777" w:rsidR="00BE3682" w:rsidRPr="004676F5" w:rsidRDefault="00BE3682" w:rsidP="00BE3682">
      <w:pPr>
        <w:jc w:val="both"/>
        <w:rPr>
          <w:rFonts w:eastAsia="Calibri"/>
          <w:kern w:val="2"/>
          <w:lang w:val="de-DE" w:eastAsia="en-US"/>
          <w14:ligatures w14:val="standardContextual"/>
        </w:rPr>
      </w:pPr>
    </w:p>
    <w:p w14:paraId="17E1B25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5 ­ Stellt der Auditor fest, dass die Bedingungen für die Anwendung des vereinfachten Verfahrens nicht erfüllt sind oder dass Zweifel in Bezug auf die Zulässigkeit des Zusammenschlusses bestehen, stellt er dies in einer Entscheidung anhand einer summarischen Begründung fest, die er den anmeldenden Parteien mit Abschrift an das Sekretariat übermittelt.</w:t>
      </w:r>
    </w:p>
    <w:p w14:paraId="48828EEA" w14:textId="77777777" w:rsidR="00BE3682" w:rsidRPr="004676F5" w:rsidRDefault="00BE3682" w:rsidP="00BE3682">
      <w:pPr>
        <w:jc w:val="both"/>
        <w:rPr>
          <w:rFonts w:eastAsia="Calibri"/>
          <w:kern w:val="2"/>
          <w:lang w:val="de-DE" w:eastAsia="en-US"/>
          <w14:ligatures w14:val="standardContextual"/>
        </w:rPr>
      </w:pPr>
    </w:p>
    <w:p w14:paraId="53B17768" w14:textId="3BFB04F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00653947" w:rsidRPr="004676F5">
        <w:rPr>
          <w:rFonts w:eastAsia="Calibri"/>
          <w:kern w:val="2"/>
          <w:szCs w:val="22"/>
          <w:lang w:val="de-DE" w:eastAsia="en-US"/>
          <w14:ligatures w14:val="standardContextual"/>
        </w:rPr>
        <w:t>[</w:t>
      </w:r>
      <w:r w:rsidR="00653947" w:rsidRPr="004676F5">
        <w:rPr>
          <w:lang w:val="de-DE"/>
        </w:rPr>
        <w:t>Gegen diese Entscheidung kann keine gesonderte Beschwerde eingereicht werden.</w:t>
      </w:r>
      <w:r w:rsidR="00653947" w:rsidRPr="004676F5">
        <w:rPr>
          <w:rFonts w:eastAsia="Calibri"/>
          <w:kern w:val="2"/>
          <w:szCs w:val="22"/>
          <w:lang w:val="de-DE" w:eastAsia="en-US"/>
          <w14:ligatures w14:val="standardContextual"/>
        </w:rPr>
        <w:t>]</w:t>
      </w:r>
    </w:p>
    <w:p w14:paraId="5A3EA6CC" w14:textId="77777777" w:rsidR="00BE3682" w:rsidRPr="004676F5" w:rsidRDefault="00BE3682" w:rsidP="00BE3682">
      <w:pPr>
        <w:jc w:val="both"/>
        <w:rPr>
          <w:rFonts w:eastAsia="Calibri"/>
          <w:kern w:val="2"/>
          <w:lang w:val="de-DE" w:eastAsia="en-US"/>
          <w14:ligatures w14:val="standardContextual"/>
        </w:rPr>
      </w:pPr>
    </w:p>
    <w:p w14:paraId="3091CE0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Durch diese Entscheidung des Auditors wird das vereinfachte Verfahren beendet, sodass die Artikel IV.63 bis IV.69 vollständig anwendbar sind. In diesem Fall gilt die Anmeldung als von Beginn an unvollständig. Die Anmeldung gilt als vollständig am Tag nach dem Tag, an dem die anmeldenden Parteien die fehlende Information übermitteln, die in der Entscheidung des Auditors vermerkt ist.</w:t>
      </w:r>
    </w:p>
    <w:p w14:paraId="6499CE4A" w14:textId="77777777" w:rsidR="00BE3682" w:rsidRPr="004676F5" w:rsidRDefault="00BE3682" w:rsidP="00BE3682">
      <w:pPr>
        <w:jc w:val="both"/>
        <w:rPr>
          <w:rFonts w:eastAsia="Calibri"/>
          <w:kern w:val="2"/>
          <w:lang w:val="de-DE" w:eastAsia="en-US"/>
          <w14:ligatures w14:val="standardContextual"/>
        </w:rPr>
      </w:pPr>
    </w:p>
    <w:p w14:paraId="7B8BCE5C" w14:textId="005F913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6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Auditor übermittelt die in § 3 oder § 5 erwähnte Entscheidung den anmeldenden Parteien innerhalb einer Frist von fünfzehn Werktagen ab dem Tag, der auf den Tag des Eingangs der Anmeldung folgt. Es wird davon ausgegangen, dass über den Zusammenschluss eine Zulassungsentscheidung getroffen worden ist, wenn der Auditor die erwähnte Entscheidung innerhalb der erwähnten Frist nicht übermittelt hat.</w:t>
      </w:r>
    </w:p>
    <w:p w14:paraId="3D78ABB0" w14:textId="77777777" w:rsidR="00BE3682" w:rsidRPr="004676F5" w:rsidRDefault="00BE3682" w:rsidP="00BE3682">
      <w:pPr>
        <w:jc w:val="both"/>
        <w:rPr>
          <w:rFonts w:eastAsia="Calibri"/>
          <w:kern w:val="2"/>
          <w:lang w:val="de-DE" w:eastAsia="en-US"/>
          <w14:ligatures w14:val="standardContextual"/>
        </w:rPr>
      </w:pPr>
    </w:p>
    <w:p w14:paraId="595F59F9" w14:textId="5B04420F"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 xml:space="preserve">Wenn die bei der Anmeldung übermittelten Auskünfte nicht vollständig sind, beginnt die in Absatz 1 erwähnte Frist mit dem Tag, der auf den Tag des Eingangs der vollständigen Auskünfte folgt. Gegebenenfalls wird die Frist in Anwendung von </w:t>
      </w:r>
      <w:r w:rsidR="00653947"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Artikel IV.40 § </w:t>
      </w:r>
      <w:r w:rsidR="00653947" w:rsidRPr="004676F5">
        <w:rPr>
          <w:rFonts w:eastAsia="Calibri"/>
          <w:kern w:val="2"/>
          <w:szCs w:val="22"/>
          <w:lang w:val="de-DE" w:eastAsia="en-US"/>
          <w14:ligatures w14:val="standardContextual"/>
        </w:rPr>
        <w:t>2</w:t>
      </w:r>
      <w:r w:rsidRPr="004676F5">
        <w:rPr>
          <w:rFonts w:eastAsia="Calibri"/>
          <w:kern w:val="2"/>
          <w:szCs w:val="22"/>
          <w:lang w:val="de-DE" w:eastAsia="en-US"/>
          <w14:ligatures w14:val="standardContextual"/>
        </w:rPr>
        <w:t xml:space="preserve"> Absatz 4</w:t>
      </w:r>
      <w:r w:rsidR="00653947"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ausgesetzt.</w:t>
      </w:r>
    </w:p>
    <w:p w14:paraId="0AD3DC16" w14:textId="77777777" w:rsidR="00653947" w:rsidRPr="004676F5" w:rsidRDefault="00653947" w:rsidP="00BE3682">
      <w:pPr>
        <w:jc w:val="both"/>
        <w:rPr>
          <w:rFonts w:eastAsia="Calibri"/>
          <w:kern w:val="2"/>
          <w:szCs w:val="22"/>
          <w:lang w:val="de-DE" w:eastAsia="en-US"/>
          <w14:ligatures w14:val="standardContextual"/>
        </w:rPr>
      </w:pPr>
    </w:p>
    <w:p w14:paraId="5EE51CBF" w14:textId="312D6A54" w:rsidR="00653947" w:rsidRPr="004676F5" w:rsidRDefault="00653947" w:rsidP="00BE3682">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IV.70 § 5 Abs. 2 ersetzt durch Art. 52 Nr. 1 des G. vom 28. Februar 2022 (B.S. vom 7. März 2022); § 6 Abs. 2 abgeändert durch Art. 52 Nr. 2 des G. vom 28. Februar 2022 (B.S. vom 7. März 2022)]</w:t>
      </w:r>
    </w:p>
    <w:p w14:paraId="3A0B99E5" w14:textId="77777777" w:rsidR="00BE3682" w:rsidRPr="004676F5" w:rsidRDefault="00BE3682" w:rsidP="00BE3682">
      <w:pPr>
        <w:jc w:val="center"/>
        <w:rPr>
          <w:rFonts w:eastAsia="Calibri"/>
          <w:i/>
          <w:iCs/>
          <w:kern w:val="2"/>
          <w:lang w:val="de-DE" w:eastAsia="en-US"/>
          <w14:ligatures w14:val="standardContextual"/>
        </w:rPr>
      </w:pPr>
    </w:p>
    <w:p w14:paraId="13078C6A" w14:textId="77777777" w:rsidR="008A1473" w:rsidRPr="004676F5" w:rsidRDefault="008A1473" w:rsidP="00BE3682">
      <w:pPr>
        <w:jc w:val="center"/>
        <w:rPr>
          <w:rFonts w:eastAsia="Calibri"/>
          <w:kern w:val="2"/>
          <w:szCs w:val="22"/>
          <w:lang w:val="de-DE" w:eastAsia="en-US"/>
          <w14:ligatures w14:val="standardContextual"/>
        </w:rPr>
      </w:pPr>
    </w:p>
    <w:p w14:paraId="6A1BCA5E" w14:textId="4DE6406F" w:rsidR="00BE3682" w:rsidRPr="004676F5" w:rsidRDefault="007A54C0"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9</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513978"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Vorläufige Maßnahmen</w:t>
      </w:r>
      <w:r w:rsidR="00513978" w:rsidRPr="004676F5">
        <w:rPr>
          <w:rFonts w:eastAsia="Calibri"/>
          <w:kern w:val="2"/>
          <w:szCs w:val="22"/>
          <w:lang w:val="de-DE" w:eastAsia="en-US"/>
          <w14:ligatures w14:val="standardContextual"/>
        </w:rPr>
        <w:t>]</w:t>
      </w:r>
    </w:p>
    <w:p w14:paraId="4FF14EEC" w14:textId="77777777" w:rsidR="007A54C0" w:rsidRPr="004676F5" w:rsidRDefault="007A54C0" w:rsidP="00BE3682">
      <w:pPr>
        <w:jc w:val="both"/>
        <w:rPr>
          <w:rFonts w:eastAsia="Calibri"/>
          <w:kern w:val="2"/>
          <w:szCs w:val="22"/>
          <w:lang w:val="de-DE" w:eastAsia="en-US"/>
          <w14:ligatures w14:val="standardContextual"/>
        </w:rPr>
      </w:pPr>
    </w:p>
    <w:p w14:paraId="3AA47F04" w14:textId="6D8C537F" w:rsidR="007A54C0" w:rsidRPr="004676F5" w:rsidRDefault="007A54C0" w:rsidP="007A54C0">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[Früherer Unterabschnitt 8 umgegliedert zu Abschnitt 9 </w:t>
      </w:r>
      <w:r w:rsidR="00513978"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42 des G. vom 29. März 2024 (B.S. vom 3. Mai 2024)]</w:t>
      </w:r>
    </w:p>
    <w:p w14:paraId="472F72BB" w14:textId="776D8D45"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r>
    </w:p>
    <w:p w14:paraId="2D1D9E23" w14:textId="77777777" w:rsidR="008A1473" w:rsidRPr="004676F5" w:rsidRDefault="008A1473" w:rsidP="00BE3682">
      <w:pPr>
        <w:jc w:val="both"/>
        <w:rPr>
          <w:rFonts w:eastAsia="Calibri"/>
          <w:kern w:val="2"/>
          <w:lang w:val="de-DE" w:eastAsia="en-US"/>
          <w14:ligatures w14:val="standardContextual"/>
        </w:rPr>
      </w:pPr>
    </w:p>
    <w:p w14:paraId="02515012" w14:textId="63C46A2C"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IV.71</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Das Wettbewerbskollegium kann vorläufige Maßnahmen ergreifen, um </w:t>
      </w:r>
      <w:r w:rsidR="00653947" w:rsidRPr="004676F5">
        <w:rPr>
          <w:rFonts w:eastAsia="Calibri"/>
          <w:kern w:val="2"/>
          <w:szCs w:val="22"/>
          <w:lang w:val="de-DE" w:eastAsia="en-US"/>
          <w14:ligatures w14:val="standardContextual"/>
        </w:rPr>
        <w:t>[Zuwiderhandlungen gegen das Wettbewerbsrecht]</w:t>
      </w:r>
      <w:r w:rsidRPr="004676F5">
        <w:rPr>
          <w:rFonts w:eastAsia="Calibri"/>
          <w:kern w:val="2"/>
          <w:szCs w:val="22"/>
          <w:lang w:val="de-DE" w:eastAsia="en-US"/>
          <w14:ligatures w14:val="standardContextual"/>
        </w:rPr>
        <w:t xml:space="preserve">, die Gegenstand der Untersuchung sind, auszusetzen, falls dringend eine Lage vermieden werden muss, in der Unternehmen, deren Interessen durch diese </w:t>
      </w:r>
      <w:r w:rsidR="00D76094" w:rsidRPr="004676F5">
        <w:rPr>
          <w:rFonts w:eastAsia="Calibri"/>
          <w:kern w:val="2"/>
          <w:szCs w:val="22"/>
          <w:lang w:val="de-DE" w:eastAsia="en-US"/>
          <w14:ligatures w14:val="standardContextual"/>
        </w:rPr>
        <w:t xml:space="preserve">[Zuwiderhandlungen] </w:t>
      </w:r>
      <w:r w:rsidRPr="004676F5">
        <w:rPr>
          <w:rFonts w:eastAsia="Calibri"/>
          <w:kern w:val="2"/>
          <w:szCs w:val="22"/>
          <w:lang w:val="de-DE" w:eastAsia="en-US"/>
          <w14:ligatures w14:val="standardContextual"/>
        </w:rPr>
        <w:t>beeinträchtigt werden, schwerer, unmittelbarer und schwer wiedergut</w:t>
      </w:r>
      <w:r w:rsidRPr="004676F5">
        <w:rPr>
          <w:rFonts w:eastAsia="Calibri"/>
          <w:kern w:val="2"/>
          <w:szCs w:val="22"/>
          <w:lang w:val="de-DE" w:eastAsia="en-US"/>
          <w14:ligatures w14:val="standardContextual"/>
        </w:rPr>
        <w:softHyphen/>
        <w:t>zumachender Schaden droht oder in der dem allgemeinen wirtschaftlichen Interesse geschadet wird.</w:t>
      </w:r>
    </w:p>
    <w:p w14:paraId="1476AE95" w14:textId="77777777" w:rsidR="00653947" w:rsidRPr="004676F5" w:rsidRDefault="00653947" w:rsidP="00BE3682">
      <w:pPr>
        <w:jc w:val="both"/>
        <w:rPr>
          <w:rFonts w:eastAsia="Calibri"/>
          <w:kern w:val="2"/>
          <w:szCs w:val="22"/>
          <w:lang w:val="de-DE" w:eastAsia="en-US"/>
          <w14:ligatures w14:val="standardContextual"/>
        </w:rPr>
      </w:pPr>
    </w:p>
    <w:p w14:paraId="2C276E00" w14:textId="4A34DAF5" w:rsidR="00653947" w:rsidRPr="004676F5" w:rsidRDefault="00653947" w:rsidP="00BE3682">
      <w:pPr>
        <w:jc w:val="both"/>
        <w:rPr>
          <w:rFonts w:eastAsia="Calibri"/>
          <w:i/>
          <w:iCs/>
          <w:kern w:val="2"/>
          <w:szCs w:val="22"/>
          <w:lang w:val="de-DE" w:eastAsia="en-US"/>
          <w14:ligatures w14:val="standardContextual"/>
        </w:rPr>
      </w:pPr>
      <w:r w:rsidRPr="004676F5">
        <w:rPr>
          <w:rFonts w:eastAsia="Calibri"/>
          <w:i/>
          <w:iCs/>
          <w:kern w:val="2"/>
          <w:szCs w:val="22"/>
          <w:lang w:val="de-DE" w:eastAsia="en-US"/>
          <w14:ligatures w14:val="standardContextual"/>
        </w:rPr>
        <w:t>[Art. IV.71 abgeändert durch Art. 53 des G. vom 28. Februar 2022 (B.S. vom 7. März 2022)]</w:t>
      </w:r>
    </w:p>
    <w:p w14:paraId="0CF71A17" w14:textId="77777777" w:rsidR="008A1473" w:rsidRPr="004676F5" w:rsidRDefault="008A1473" w:rsidP="00BE3682">
      <w:pPr>
        <w:jc w:val="both"/>
        <w:rPr>
          <w:rFonts w:eastAsia="Calibri"/>
          <w:kern w:val="2"/>
          <w:lang w:val="de-DE" w:eastAsia="en-US"/>
          <w14:ligatures w14:val="standardContextual"/>
        </w:rPr>
      </w:pPr>
    </w:p>
    <w:p w14:paraId="047977BE" w14:textId="77777777" w:rsidR="00BE3682" w:rsidRPr="004676F5" w:rsidRDefault="00BE3682" w:rsidP="00BE3682">
      <w:pPr>
        <w:jc w:val="both"/>
        <w:rPr>
          <w:rFonts w:eastAsia="Calibri"/>
          <w:kern w:val="2"/>
          <w:lang w:val="de-DE" w:eastAsia="en-US"/>
          <w14:ligatures w14:val="standardContextual"/>
        </w:rPr>
      </w:pPr>
    </w:p>
    <w:p w14:paraId="42F36627" w14:textId="417037D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r>
      <w:r w:rsidRPr="004676F5">
        <w:rPr>
          <w:rFonts w:eastAsia="Calibri"/>
          <w:b/>
          <w:bCs/>
          <w:kern w:val="2"/>
          <w:szCs w:val="22"/>
          <w:lang w:val="de-DE" w:eastAsia="en-US"/>
          <w14:ligatures w14:val="standardContextual"/>
        </w:rPr>
        <w:t>Art. IV.72</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Mit Gründen versehene Anträge auf vorläufige Maßnahmen werden mit den Schriftstücken, die sich darauf beziehen, von dem Kläger, dem Generalauditor, dem Minister oder dem für den betreffenden Sektor zuständigen Minister beim Präsidenten hinterlegt.</w:t>
      </w:r>
    </w:p>
    <w:p w14:paraId="0EA2C47F" w14:textId="77777777" w:rsidR="00BE3682" w:rsidRPr="004676F5" w:rsidRDefault="00BE3682" w:rsidP="00BE3682">
      <w:pPr>
        <w:jc w:val="both"/>
        <w:rPr>
          <w:rFonts w:eastAsia="Calibri"/>
          <w:kern w:val="2"/>
          <w:lang w:val="de-DE" w:eastAsia="en-US"/>
          <w14:ligatures w14:val="standardContextual"/>
        </w:rPr>
      </w:pPr>
    </w:p>
    <w:p w14:paraId="1558FAA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Zur Vermeidung der Nichtigkeit übermittelt der Antragsteller am Tag der Hinterlegung den Unternehmen oder Unternehmensvereinigungen, gegen die sich der Antrag auf vorläufige Maßnahmen richtet, per Einschreibesendung mit Rückschein eine Abschrift seines Antrags und der beigefügten Schriftstücke.</w:t>
      </w:r>
    </w:p>
    <w:p w14:paraId="1193B8B3" w14:textId="77777777" w:rsidR="00BE3682" w:rsidRPr="004676F5" w:rsidRDefault="00BE3682" w:rsidP="00BE3682">
      <w:pPr>
        <w:jc w:val="both"/>
        <w:rPr>
          <w:rFonts w:eastAsia="Calibri"/>
          <w:kern w:val="2"/>
          <w:lang w:val="de-DE" w:eastAsia="en-US"/>
          <w14:ligatures w14:val="standardContextual"/>
        </w:rPr>
      </w:pPr>
    </w:p>
    <w:p w14:paraId="6B216612" w14:textId="5BA48883"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Das Sekretariat übermittelt dem Generalauditor, wenn er nicht der Antragsteller ist, eine Abschrift dieses Antrags und der beigefügten Schriftstücke und der späteren Verfahrensunterlagen. Es übermittelt außerdem auf Antrag des Präsidenten des Wettbewerbs</w:t>
      </w:r>
      <w:r w:rsidRPr="004676F5">
        <w:rPr>
          <w:rFonts w:eastAsia="Calibri"/>
          <w:kern w:val="2"/>
          <w:szCs w:val="22"/>
          <w:lang w:val="de-DE" w:eastAsia="en-US"/>
          <w14:ligatures w14:val="standardContextual"/>
        </w:rPr>
        <w:softHyphen/>
        <w:t xml:space="preserve">kollegiums den Antrag und die Schriftstücke ganz oder teilweise Dritten, die von der </w:t>
      </w:r>
      <w:r w:rsidR="00653947" w:rsidRPr="004676F5">
        <w:rPr>
          <w:rFonts w:eastAsia="Calibri"/>
          <w:kern w:val="2"/>
          <w:szCs w:val="22"/>
          <w:lang w:val="de-DE" w:eastAsia="en-US"/>
          <w14:ligatures w14:val="standardContextual"/>
        </w:rPr>
        <w:t xml:space="preserve">[Zuwiderhandlung] </w:t>
      </w:r>
      <w:r w:rsidRPr="004676F5">
        <w:rPr>
          <w:rFonts w:eastAsia="Calibri"/>
          <w:kern w:val="2"/>
          <w:szCs w:val="22"/>
          <w:lang w:val="de-DE" w:eastAsia="en-US"/>
          <w14:ligatures w14:val="standardContextual"/>
        </w:rPr>
        <w:t>betroffen sind oder ein Interesse an den vorläufigen Maßnahmen haben können.</w:t>
      </w:r>
    </w:p>
    <w:p w14:paraId="7B559F78" w14:textId="77777777" w:rsidR="00BE3682" w:rsidRPr="004676F5" w:rsidRDefault="00BE3682" w:rsidP="00BE3682">
      <w:pPr>
        <w:jc w:val="both"/>
        <w:rPr>
          <w:rFonts w:eastAsia="Calibri"/>
          <w:kern w:val="2"/>
          <w:lang w:val="de-DE" w:eastAsia="en-US"/>
          <w14:ligatures w14:val="standardContextual"/>
        </w:rPr>
      </w:pPr>
    </w:p>
    <w:p w14:paraId="1ED3C43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Der Präsident stellt unverzüglich das Wettbewerbskollegium, das in der Sache erkennen wird, zusammen und übermittelt ihm den Antrag und die beigefügten Schriftstücke.</w:t>
      </w:r>
    </w:p>
    <w:p w14:paraId="3D1A608C" w14:textId="77777777" w:rsidR="00BE3682" w:rsidRPr="004676F5" w:rsidRDefault="00BE3682" w:rsidP="00BE3682">
      <w:pPr>
        <w:jc w:val="both"/>
        <w:rPr>
          <w:rFonts w:eastAsia="Calibri"/>
          <w:kern w:val="2"/>
          <w:lang w:val="de-DE" w:eastAsia="en-US"/>
          <w14:ligatures w14:val="standardContextual"/>
        </w:rPr>
      </w:pPr>
    </w:p>
    <w:p w14:paraId="37F69F0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Präsident des Wettbewerbskollegiums legt das Datum der Sitzung des Wettbewerbskollegiums fest, die nicht früher als zwei Wochen und nicht später als einen Monat nach Hinterlegung des Antrags stattfindet.</w:t>
      </w:r>
    </w:p>
    <w:p w14:paraId="0B404E14" w14:textId="77777777" w:rsidR="00BE3682" w:rsidRPr="004676F5" w:rsidRDefault="00BE3682" w:rsidP="00BE3682">
      <w:pPr>
        <w:jc w:val="both"/>
        <w:rPr>
          <w:rFonts w:eastAsia="Calibri"/>
          <w:kern w:val="2"/>
          <w:lang w:val="de-DE" w:eastAsia="en-US"/>
          <w14:ligatures w14:val="standardContextual"/>
        </w:rPr>
      </w:pPr>
    </w:p>
    <w:p w14:paraId="3D000A0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Sekretariat setzt den Antragsteller, die Unternehmen oder Unternehmens</w:t>
      </w:r>
      <w:r w:rsidRPr="004676F5">
        <w:rPr>
          <w:rFonts w:eastAsia="Calibri"/>
          <w:kern w:val="2"/>
          <w:szCs w:val="22"/>
          <w:lang w:val="de-DE" w:eastAsia="en-US"/>
          <w14:ligatures w14:val="standardContextual"/>
        </w:rPr>
        <w:softHyphen/>
        <w:t>vereinigungen, gegen die sich der Antrag auf vorläufige Maßnahmen richtet, den Generalauditor und den Minister von dieser Entscheidung und der Zusammensetzung des Wettbewerbskollegiums in Kenntnis.</w:t>
      </w:r>
    </w:p>
    <w:p w14:paraId="458D107F" w14:textId="77777777" w:rsidR="00BE3682" w:rsidRPr="004676F5" w:rsidRDefault="00BE3682" w:rsidP="00BE3682">
      <w:pPr>
        <w:jc w:val="both"/>
        <w:rPr>
          <w:rFonts w:eastAsia="Calibri"/>
          <w:kern w:val="2"/>
          <w:lang w:val="de-DE" w:eastAsia="en-US"/>
          <w14:ligatures w14:val="standardContextual"/>
        </w:rPr>
      </w:pPr>
    </w:p>
    <w:p w14:paraId="4FBEB832" w14:textId="7033A15F"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Generalauditor oder der Auditor, wenn der Generalauditor nicht der Antragsteller ist, Dritte, die ein hinreichendes Interesse darlegen und einen Antrag auf Anhörung beim Wettbewerbskollegium stellen, und Dritte, die das Wettbewerbskollegium anzuhören wünscht, hinterlegen ihre eventuellen schriftlichen Anmerkungen und Schriftstücke spätestens sechs Werktage vor dem Tag der Sitzung. Es wird davon ausgegangen, dass der Minister ein hinreichendes Interesse hat.</w:t>
      </w:r>
    </w:p>
    <w:p w14:paraId="62AD2AC2" w14:textId="77777777" w:rsidR="00BE3682" w:rsidRPr="004676F5" w:rsidRDefault="00BE3682" w:rsidP="00BE3682">
      <w:pPr>
        <w:jc w:val="both"/>
        <w:rPr>
          <w:rFonts w:eastAsia="Calibri"/>
          <w:kern w:val="2"/>
          <w:lang w:val="de-DE" w:eastAsia="en-US"/>
          <w14:ligatures w14:val="standardContextual"/>
        </w:rPr>
      </w:pPr>
    </w:p>
    <w:p w14:paraId="284E311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Unternehmen oder Unternehmensvereinigungen, gegen die sich der Antrag auf vorläufige Maßnahmen richtet, hinterlegen ihre eventuellen schriftlichen Anmerkungen und Schriftstücke spätestens zwei Werktage vor dem Tag der Sitzung.</w:t>
      </w:r>
    </w:p>
    <w:p w14:paraId="5ABE0650" w14:textId="77777777" w:rsidR="00BE3682" w:rsidRPr="004676F5" w:rsidRDefault="00BE3682" w:rsidP="00BE3682">
      <w:pPr>
        <w:jc w:val="both"/>
        <w:rPr>
          <w:rFonts w:eastAsia="Calibri"/>
          <w:kern w:val="2"/>
          <w:lang w:val="de-DE" w:eastAsia="en-US"/>
          <w14:ligatures w14:val="standardContextual"/>
        </w:rPr>
      </w:pPr>
    </w:p>
    <w:p w14:paraId="4705056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Antragsteller darf in der Sitzung keine anderen schriftlichen Anmerkungen oder Schriftstücke als die seinem Antrag beigefügten Schriftstücke hinterlegen oder geltend machen, außer im Fall der Anwendung von § 6 Absatz 2.</w:t>
      </w:r>
    </w:p>
    <w:p w14:paraId="26AE02B0" w14:textId="77777777" w:rsidR="00BE3682" w:rsidRPr="004676F5" w:rsidRDefault="00BE3682" w:rsidP="00BE3682">
      <w:pPr>
        <w:jc w:val="both"/>
        <w:rPr>
          <w:rFonts w:eastAsia="Calibri"/>
          <w:kern w:val="2"/>
          <w:lang w:val="de-DE" w:eastAsia="en-US"/>
          <w14:ligatures w14:val="standardContextual"/>
        </w:rPr>
      </w:pPr>
    </w:p>
    <w:p w14:paraId="7CA9D67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Schriftliche Anmerkungen und Schriftstücke werden beim Sekretariat hinterlegt. Die Partei, die schriftliche Anmerkungen und Schriftstücke hinterlegt, muss zur Vermeidung der Nichtigkeit allen anderen Parteien des Verfahrens per E-Mail mit Empfangsbestätigung eine Abschrift übermitteln.</w:t>
      </w:r>
    </w:p>
    <w:p w14:paraId="1A95FD89" w14:textId="77777777" w:rsidR="00BE3682" w:rsidRPr="004676F5" w:rsidRDefault="00BE3682" w:rsidP="00BE3682">
      <w:pPr>
        <w:jc w:val="both"/>
        <w:rPr>
          <w:rFonts w:eastAsia="Calibri"/>
          <w:kern w:val="2"/>
          <w:lang w:val="de-DE" w:eastAsia="en-US"/>
          <w14:ligatures w14:val="standardContextual"/>
        </w:rPr>
      </w:pPr>
    </w:p>
    <w:p w14:paraId="072C23F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5 ­ Bei der Sitzung werden der Antragsteller, die Unternehmen oder Unternehmens</w:t>
      </w:r>
      <w:r w:rsidRPr="004676F5">
        <w:rPr>
          <w:rFonts w:eastAsia="Calibri"/>
          <w:kern w:val="2"/>
          <w:szCs w:val="22"/>
          <w:lang w:val="de-DE" w:eastAsia="en-US"/>
          <w14:ligatures w14:val="standardContextual"/>
        </w:rPr>
        <w:softHyphen/>
        <w:t xml:space="preserve">vereinigungen, gegen die sich der Antrag auf vorläufige Maßnahmen richtet, und auf deren </w:t>
      </w:r>
      <w:r w:rsidRPr="004676F5">
        <w:rPr>
          <w:rFonts w:eastAsia="Calibri"/>
          <w:kern w:val="2"/>
          <w:szCs w:val="22"/>
          <w:lang w:val="de-DE" w:eastAsia="en-US"/>
          <w14:ligatures w14:val="standardContextual"/>
        </w:rPr>
        <w:lastRenderedPageBreak/>
        <w:t>Antrag hin der Generalauditor, der Auditor, der Direktor der wirtschaftlichen Angelegenheiten, der Direktor der juristischen Angelegenheiten und Dritte, die ein hinreichendes Interesse darlegen, angehört.</w:t>
      </w:r>
    </w:p>
    <w:p w14:paraId="436BD713" w14:textId="77777777" w:rsidR="00BE3682" w:rsidRPr="004676F5" w:rsidRDefault="00BE3682" w:rsidP="00BE3682">
      <w:pPr>
        <w:jc w:val="both"/>
        <w:rPr>
          <w:rFonts w:eastAsia="Calibri"/>
          <w:kern w:val="2"/>
          <w:lang w:val="de-DE" w:eastAsia="en-US"/>
          <w14:ligatures w14:val="standardContextual"/>
        </w:rPr>
      </w:pPr>
    </w:p>
    <w:p w14:paraId="1B26DDC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Das Nichterscheinen der in Absatz 1 erwähnten Parteien oder Personen oder ihrer Bevollmächtigten beeinträchtigt die Gültigkeit des Verfahrens nicht.</w:t>
      </w:r>
    </w:p>
    <w:p w14:paraId="3D16E805" w14:textId="77777777" w:rsidR="00BE3682" w:rsidRPr="004676F5" w:rsidRDefault="00BE3682" w:rsidP="00BE3682">
      <w:pPr>
        <w:jc w:val="both"/>
        <w:rPr>
          <w:rFonts w:eastAsia="Calibri"/>
          <w:kern w:val="2"/>
          <w:lang w:val="de-DE" w:eastAsia="en-US"/>
          <w14:ligatures w14:val="standardContextual"/>
        </w:rPr>
      </w:pPr>
    </w:p>
    <w:p w14:paraId="32CFE1A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Präsident des Wettbewerbskollegiums kann beschließen, innerhalb der in § 3 Absatz 2 erwähnten Höchstfrist mehr als eine Sitzung zu organisieren. Wenn eine zusätzliche Sitzung nicht erforderlich ist, kann das Wettbewerbskollegium in seiner Entscheidung den Abschluss der Verhandlungen feststellen.</w:t>
      </w:r>
    </w:p>
    <w:p w14:paraId="6C10BBB3" w14:textId="77777777" w:rsidR="00BE3682" w:rsidRPr="004676F5" w:rsidRDefault="00BE3682" w:rsidP="00BE3682">
      <w:pPr>
        <w:jc w:val="both"/>
        <w:rPr>
          <w:rFonts w:eastAsia="Calibri"/>
          <w:kern w:val="2"/>
          <w:lang w:val="de-DE" w:eastAsia="en-US"/>
          <w14:ligatures w14:val="standardContextual"/>
        </w:rPr>
      </w:pPr>
    </w:p>
    <w:p w14:paraId="58FDC1C7" w14:textId="5327E0F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6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Präsident des Wettbewerbskollegiums kann die in § 3 Absatz 2 erwähnte Höchstfrist um höchstens zwei Wochen verlängern.</w:t>
      </w:r>
    </w:p>
    <w:p w14:paraId="19FFE3F5" w14:textId="77777777" w:rsidR="00BE3682" w:rsidRPr="004676F5" w:rsidRDefault="00BE3682" w:rsidP="00BE3682">
      <w:pPr>
        <w:jc w:val="both"/>
        <w:rPr>
          <w:rFonts w:eastAsia="Calibri"/>
          <w:kern w:val="2"/>
          <w:lang w:val="de-DE" w:eastAsia="en-US"/>
          <w14:ligatures w14:val="standardContextual"/>
        </w:rPr>
      </w:pPr>
    </w:p>
    <w:p w14:paraId="08D900B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Wird die Frist verlängert, um dem Antragsteller Gelegenheit zu geben, schriftlich auf die hinterlegten schriftlichen Anmerkungen und Schriftstücke zu antworten, so verfügen die Unternehmen oder Unternehmensvereinigungen, gegen die sich der Antrag auf vorläufige Maßnahmen richtet, für ihre Replik in der zusätzlichen Frist von zwei Wochen über dieselbe Frist wie der Antragsteller.</w:t>
      </w:r>
    </w:p>
    <w:p w14:paraId="07FDA76E" w14:textId="77777777" w:rsidR="00BE3682" w:rsidRPr="004676F5" w:rsidRDefault="00BE3682" w:rsidP="00BE3682">
      <w:pPr>
        <w:jc w:val="both"/>
        <w:rPr>
          <w:rFonts w:eastAsia="Calibri"/>
          <w:kern w:val="2"/>
          <w:lang w:val="de-DE" w:eastAsia="en-US"/>
          <w14:ligatures w14:val="standardContextual"/>
        </w:rPr>
      </w:pPr>
    </w:p>
    <w:p w14:paraId="290CE1D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7 ­ Parteien, die schriftliche Anmerkungen und Schriftstücke hinterlegen, können die Passagen kennzeichnen, die sie als vertraulich betrachten, sofern sie Gründe dafür angeben und eine nicht vertrauliche Fassung oder Zusammenfassung hinterlegen. Der Präsident des Wettbewerbskollegiums oder der Beisitzer, den er beauftragt, befindet über die Vertraulichkeit der betreffenden Passagen. Gegen diesen Beschluss in Bezug auf die Vertraulichkeit kann keine gesonderte Beschwerde eingereicht werden.</w:t>
      </w:r>
    </w:p>
    <w:p w14:paraId="6E415F8E" w14:textId="77777777" w:rsidR="00BE3682" w:rsidRPr="004676F5" w:rsidRDefault="00BE3682" w:rsidP="00BE3682">
      <w:pPr>
        <w:jc w:val="both"/>
        <w:rPr>
          <w:rFonts w:eastAsia="Calibri"/>
          <w:kern w:val="2"/>
          <w:lang w:val="de-DE" w:eastAsia="en-US"/>
          <w14:ligatures w14:val="standardContextual"/>
        </w:rPr>
      </w:pPr>
    </w:p>
    <w:p w14:paraId="30B0D75F" w14:textId="0AF9FBAE" w:rsidR="00653947" w:rsidRPr="004676F5" w:rsidRDefault="00653947"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IV.72 § 2 abgeändert durch Art. 54 des G. vom 28. Februar 2022 (B.S. vom 7. März 2022)]</w:t>
      </w:r>
    </w:p>
    <w:p w14:paraId="2AA39935" w14:textId="77777777" w:rsidR="00653947" w:rsidRPr="004676F5" w:rsidRDefault="00653947" w:rsidP="00BE3682">
      <w:pPr>
        <w:jc w:val="both"/>
        <w:rPr>
          <w:rFonts w:eastAsia="Calibri"/>
          <w:i/>
          <w:iCs/>
          <w:kern w:val="2"/>
          <w:lang w:val="de-DE" w:eastAsia="en-US"/>
          <w14:ligatures w14:val="standardContextual"/>
        </w:rPr>
      </w:pPr>
    </w:p>
    <w:p w14:paraId="5AB76CC6" w14:textId="77777777" w:rsidR="008A1473" w:rsidRPr="004676F5" w:rsidRDefault="008A1473" w:rsidP="00BE3682">
      <w:pPr>
        <w:jc w:val="both"/>
        <w:rPr>
          <w:rFonts w:eastAsia="Calibri"/>
          <w:kern w:val="2"/>
          <w:lang w:val="de-DE" w:eastAsia="en-US"/>
          <w14:ligatures w14:val="standardContextual"/>
        </w:rPr>
      </w:pPr>
    </w:p>
    <w:p w14:paraId="5CFBB1FC" w14:textId="63014E7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IV.73</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Innerhalb einer Frist von einem Monat ab der Sitzung befindet das Wettbewerbskollegium durch eine mit Gründen versehene Entscheidung. Wird innerhalb dieser Frist keine Entscheidung getroffen, gilt der Antrag auf vorläufige Maßnahmen als abgelehnt.</w:t>
      </w:r>
    </w:p>
    <w:p w14:paraId="3EE803DD" w14:textId="77777777" w:rsidR="00BE3682" w:rsidRPr="004676F5" w:rsidRDefault="00BE3682" w:rsidP="00BE3682">
      <w:pPr>
        <w:jc w:val="both"/>
        <w:rPr>
          <w:rFonts w:eastAsia="Calibri"/>
          <w:kern w:val="2"/>
          <w:lang w:val="de-DE" w:eastAsia="en-US"/>
          <w14:ligatures w14:val="standardContextual"/>
        </w:rPr>
      </w:pPr>
    </w:p>
    <w:p w14:paraId="65E8FDAA" w14:textId="75252322"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Hält das Wettbewerbskollegium vorläufige Maßnahmen für notwendig, so teilt es mit, welche Maßnahmen es zu ergreifen beabsichtigt. </w:t>
      </w:r>
      <w:r w:rsidR="00D76094" w:rsidRPr="004676F5">
        <w:rPr>
          <w:rFonts w:eastAsia="Calibri"/>
          <w:kern w:val="2"/>
          <w:szCs w:val="22"/>
          <w:lang w:val="de-DE" w:eastAsia="en-US"/>
          <w14:ligatures w14:val="standardContextual"/>
        </w:rPr>
        <w:t>[</w:t>
      </w:r>
      <w:r w:rsidR="00D76094" w:rsidRPr="004676F5">
        <w:rPr>
          <w:lang w:val="de-DE"/>
        </w:rPr>
        <w:t>Der Antragsteller, der Auditor, wenn der Antragsteller nicht der Generalauditor ist, und die Unternehmen oder Unternehmens</w:t>
      </w:r>
      <w:r w:rsidR="00D76094" w:rsidRPr="004676F5">
        <w:rPr>
          <w:lang w:val="de-DE"/>
        </w:rPr>
        <w:softHyphen/>
        <w:t>vereinigungen</w:t>
      </w:r>
      <w:r w:rsidR="00D76094"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gegen die sich der Antrag auf vorläufige Maßnahmen richtet, verfügen ab dem ersten Werktag nach dieser Mitteilung über fünf Werktage, um dazu schriftliche Anmerkungen zu hinterlegen. Unternehmen oder Unternehmensvereinigungen, gegen die sich der Antrag auf vorläufige Maßnahmen richtet, verfügen über eine zusätzliche Frist von drei Werktagen ab dem ersten Werktag nach Hinterlegung der schriftlichen Anmerkungen </w:t>
      </w:r>
      <w:r w:rsidR="00D76094" w:rsidRPr="004676F5">
        <w:rPr>
          <w:rFonts w:eastAsia="Calibri"/>
          <w:kern w:val="2"/>
          <w:szCs w:val="22"/>
          <w:lang w:val="de-DE" w:eastAsia="en-US"/>
          <w14:ligatures w14:val="standardContextual"/>
        </w:rPr>
        <w:t>[</w:t>
      </w:r>
      <w:r w:rsidR="00D76094" w:rsidRPr="004676F5">
        <w:rPr>
          <w:lang w:val="de-DE"/>
        </w:rPr>
        <w:t>des Antragstellers und des Auditors</w:t>
      </w:r>
      <w:r w:rsidR="00D76094"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um schriftlich auf diese Anmerkungen zu antworten.</w:t>
      </w:r>
    </w:p>
    <w:p w14:paraId="36584E6E" w14:textId="77777777" w:rsidR="00BE3682" w:rsidRPr="004676F5" w:rsidRDefault="00BE3682" w:rsidP="00BE3682">
      <w:pPr>
        <w:jc w:val="both"/>
        <w:rPr>
          <w:rFonts w:eastAsia="Calibri"/>
          <w:kern w:val="2"/>
          <w:lang w:val="de-DE" w:eastAsia="en-US"/>
          <w14:ligatures w14:val="standardContextual"/>
        </w:rPr>
      </w:pPr>
    </w:p>
    <w:p w14:paraId="74C5AC7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in Absatz 1 erwähnte Frist für die Entscheidung wird ab der Mitteilung der beabsichtigten vorläufigen Maßnahmen durch das Wettbewerbskollegium bis zum ersten Werktag nach Ablauf der letzten in Absatz 2 erwähnten Frist ausgesetzt.</w:t>
      </w:r>
    </w:p>
    <w:p w14:paraId="5E7687FB" w14:textId="77777777" w:rsidR="00BE3682" w:rsidRPr="004676F5" w:rsidRDefault="00BE3682" w:rsidP="00BE3682">
      <w:pPr>
        <w:jc w:val="both"/>
        <w:rPr>
          <w:rFonts w:eastAsia="Calibri"/>
          <w:kern w:val="2"/>
          <w:lang w:val="de-DE" w:eastAsia="en-US"/>
          <w14:ligatures w14:val="standardContextual"/>
        </w:rPr>
      </w:pPr>
    </w:p>
    <w:p w14:paraId="044B82ED" w14:textId="77777777"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lastRenderedPageBreak/>
        <w:tab/>
        <w:t>Die Absätze 2 und 3 finden keine Anwendung, wenn die vorläufigen Maßnahmen, die das Wettbewerbskollegium aufzuerlegen beabsichtigt, Teil der vorläufigen Maßnahmen sind, die in dem in Artikel IV.72 § 1 erwähnten Antrag angegeben waren.</w:t>
      </w:r>
    </w:p>
    <w:p w14:paraId="62683F4B" w14:textId="77777777" w:rsidR="00D76094" w:rsidRPr="004676F5" w:rsidRDefault="00D76094" w:rsidP="00BE3682">
      <w:pPr>
        <w:jc w:val="both"/>
        <w:rPr>
          <w:rFonts w:eastAsia="Calibri"/>
          <w:kern w:val="2"/>
          <w:szCs w:val="22"/>
          <w:lang w:val="de-DE" w:eastAsia="en-US"/>
          <w14:ligatures w14:val="standardContextual"/>
        </w:rPr>
      </w:pPr>
    </w:p>
    <w:p w14:paraId="46E6927E" w14:textId="02B7FBD8" w:rsidR="00D76094" w:rsidRPr="004676F5" w:rsidRDefault="00D76094"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t>
      </w:r>
      <w:r w:rsidRPr="004676F5">
        <w:rPr>
          <w:lang w:val="de-DE"/>
        </w:rPr>
        <w:t>Die Entscheidung des Wettbewerbskollegiums ist ausdrücklich und angemessen mit Gründen versehen.</w:t>
      </w:r>
      <w:r w:rsidRPr="004676F5">
        <w:rPr>
          <w:rFonts w:eastAsia="Calibri"/>
          <w:kern w:val="2"/>
          <w:szCs w:val="22"/>
          <w:lang w:val="de-DE" w:eastAsia="en-US"/>
          <w14:ligatures w14:val="standardContextual"/>
        </w:rPr>
        <w:t>]</w:t>
      </w:r>
    </w:p>
    <w:p w14:paraId="5FEA704C" w14:textId="77777777" w:rsidR="00BE3682" w:rsidRPr="004676F5" w:rsidRDefault="00BE3682" w:rsidP="00BE3682">
      <w:pPr>
        <w:jc w:val="both"/>
        <w:rPr>
          <w:rFonts w:eastAsia="Calibri"/>
          <w:kern w:val="2"/>
          <w:lang w:val="de-DE" w:eastAsia="en-US"/>
          <w14:ligatures w14:val="standardContextual"/>
        </w:rPr>
      </w:pPr>
    </w:p>
    <w:p w14:paraId="3FE3084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Das Wettbewerbskollegium kann unter Berücksichtigung des allgemeinen Interesses an einem reibungslosen Funktionieren des Marktes den ernsthaften, unmittelbaren und schwer wiedergutzumachenden Schaden des Antragstellers gegen den Schaden abwägen, der den Unternehmen oder Unternehmensvereinigungen, gegen die sich der Antrag auf vorläufige Maßnahmen richtet, oder Interesse habenden Dritten entstehen würde, wenn der Verstoß in der Sache letztlich nicht festgestellt würde.</w:t>
      </w:r>
    </w:p>
    <w:p w14:paraId="03C13828" w14:textId="77777777" w:rsidR="00BE3682" w:rsidRPr="004676F5" w:rsidRDefault="00BE3682" w:rsidP="00BE3682">
      <w:pPr>
        <w:jc w:val="both"/>
        <w:rPr>
          <w:rFonts w:eastAsia="Calibri"/>
          <w:kern w:val="2"/>
          <w:lang w:val="de-DE" w:eastAsia="en-US"/>
          <w14:ligatures w14:val="standardContextual"/>
        </w:rPr>
      </w:pPr>
    </w:p>
    <w:p w14:paraId="2693F80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Die Entscheidung des Wettbewerbskollegiums darf nicht auf Unterlagen und Angaben beruhen, von denen die Unternehmen und Unternehmensvereinigungen, denen gegenüber vorläufige Maßnahmen ergriffen werden, keine Kenntnis nehmen konnten.</w:t>
      </w:r>
    </w:p>
    <w:p w14:paraId="159EDF71" w14:textId="77777777" w:rsidR="00BE3682" w:rsidRPr="004676F5" w:rsidRDefault="00BE3682" w:rsidP="00BE3682">
      <w:pPr>
        <w:jc w:val="both"/>
        <w:rPr>
          <w:rFonts w:eastAsia="Calibri"/>
          <w:kern w:val="2"/>
          <w:lang w:val="de-DE" w:eastAsia="en-US"/>
          <w14:ligatures w14:val="standardContextual"/>
        </w:rPr>
      </w:pPr>
    </w:p>
    <w:p w14:paraId="38D7D44B" w14:textId="79431EF2" w:rsidR="00D76094" w:rsidRPr="004676F5" w:rsidRDefault="00D76094" w:rsidP="00BE3682">
      <w:pPr>
        <w:jc w:val="both"/>
        <w:rPr>
          <w:rFonts w:eastAsia="Calibri"/>
          <w:kern w:val="2"/>
          <w:lang w:val="de-DE" w:eastAsia="en-US"/>
          <w14:ligatures w14:val="standardContextual"/>
        </w:rPr>
      </w:pPr>
      <w:r w:rsidRPr="004676F5">
        <w:rPr>
          <w:rFonts w:eastAsia="Calibri"/>
          <w:kern w:val="2"/>
          <w:lang w:val="de-DE" w:eastAsia="en-US"/>
          <w14:ligatures w14:val="standardContextual"/>
        </w:rPr>
        <w:tab/>
        <w:t>[</w:t>
      </w:r>
      <w:r w:rsidRPr="004676F5">
        <w:rPr>
          <w:lang w:val="de-DE"/>
        </w:rPr>
        <w:t>§ 4 </w:t>
      </w:r>
      <w:r w:rsidR="005B7A5C" w:rsidRPr="004676F5">
        <w:rPr>
          <w:lang w:val="de-DE"/>
        </w:rPr>
        <w:t>- </w:t>
      </w:r>
      <w:r w:rsidRPr="004676F5">
        <w:rPr>
          <w:lang w:val="de-DE"/>
        </w:rPr>
        <w:t xml:space="preserve">Die in § 1 erwähnte Entscheidung ist verhältnismäßig und gilt entweder für eine bestimmte Dauer, die </w:t>
      </w:r>
      <w:r w:rsidR="005B7A5C" w:rsidRPr="004676F5">
        <w:rPr>
          <w:lang w:val="de-DE"/>
        </w:rPr>
        <w:t>- </w:t>
      </w:r>
      <w:r w:rsidRPr="004676F5">
        <w:rPr>
          <w:lang w:val="de-DE"/>
        </w:rPr>
        <w:t>sofern erforderlich und angemessen </w:t>
      </w:r>
      <w:r w:rsidR="005B7A5C" w:rsidRPr="004676F5">
        <w:rPr>
          <w:lang w:val="de-DE"/>
        </w:rPr>
        <w:t>- </w:t>
      </w:r>
      <w:r w:rsidRPr="004676F5">
        <w:rPr>
          <w:lang w:val="de-DE"/>
        </w:rPr>
        <w:t>verlängerbar ist, oder bis zu dem Zeitpunkt, zu dem gegen die in Artikel IV.52 § 1 erwähnte Entscheidung des Wettbewerbskollegiums oder die in Artikel IV.44 § 1 Absatz 1, Artikel IV.45 Absatz 1 oder Artikel IV.59 § 1 erwähnte Entscheidung des Auditors kein ordentliches Rechtsmittel mehr eingelegt werden kann.</w:t>
      </w:r>
      <w:r w:rsidRPr="004676F5">
        <w:rPr>
          <w:rFonts w:eastAsia="Calibri"/>
          <w:kern w:val="2"/>
          <w:lang w:val="de-DE" w:eastAsia="en-US"/>
          <w14:ligatures w14:val="standardContextual"/>
        </w:rPr>
        <w:t>]</w:t>
      </w:r>
    </w:p>
    <w:p w14:paraId="508CDA44" w14:textId="77777777" w:rsidR="00D76094" w:rsidRPr="004676F5" w:rsidRDefault="00D76094" w:rsidP="00BE3682">
      <w:pPr>
        <w:jc w:val="both"/>
        <w:rPr>
          <w:rFonts w:eastAsia="Calibri"/>
          <w:kern w:val="2"/>
          <w:lang w:val="de-DE" w:eastAsia="en-US"/>
          <w14:ligatures w14:val="standardContextual"/>
        </w:rPr>
      </w:pPr>
    </w:p>
    <w:p w14:paraId="3FADB05C" w14:textId="5571BC9E" w:rsidR="00D76094" w:rsidRPr="004676F5" w:rsidRDefault="00D76094" w:rsidP="00BE3682">
      <w:pPr>
        <w:jc w:val="both"/>
        <w:rPr>
          <w:rFonts w:eastAsia="Calibri"/>
          <w:lang w:val="de-DE"/>
        </w:rPr>
      </w:pPr>
      <w:r w:rsidRPr="004676F5">
        <w:rPr>
          <w:rFonts w:eastAsia="Calibri"/>
          <w:i/>
          <w:iCs/>
          <w:kern w:val="2"/>
          <w:lang w:val="de-DE" w:eastAsia="en-US"/>
          <w14:ligatures w14:val="standardContextual"/>
        </w:rPr>
        <w:t>[Art. IV.73 § 1 Abs. 2 abgeändert durch Art. 55 Nr. 1 des G. vom 28. Februar 2022 (B.S. vom 7. März 2022); § 1 Abs. 5 eingefügt durch Art. 55 Nr. 2 des G. vom 28. Februar 2022 (B.S. vom 7. März 2022); § 4 eingefügt durch Art. 55 Nr. 3 des G. vom 28. Februar 2022 (B.S. vom 7. März 2022)]</w:t>
      </w:r>
    </w:p>
    <w:p w14:paraId="32F50F30" w14:textId="77777777" w:rsidR="008A1473" w:rsidRPr="004676F5" w:rsidRDefault="008A1473" w:rsidP="00BE3682">
      <w:pPr>
        <w:jc w:val="both"/>
        <w:rPr>
          <w:rFonts w:eastAsia="Calibri"/>
          <w:kern w:val="2"/>
          <w:lang w:val="de-DE" w:eastAsia="en-US"/>
          <w14:ligatures w14:val="standardContextual"/>
        </w:rPr>
      </w:pPr>
    </w:p>
    <w:p w14:paraId="0D65AC6F" w14:textId="52BAE244" w:rsidR="0092239B" w:rsidRPr="004676F5" w:rsidRDefault="0092239B">
      <w:pPr>
        <w:rPr>
          <w:rFonts w:eastAsia="Calibri"/>
          <w:kern w:val="2"/>
          <w:szCs w:val="22"/>
          <w:lang w:val="de-DE" w:eastAsia="en-US"/>
          <w14:ligatures w14:val="standardContextual"/>
        </w:rPr>
      </w:pPr>
    </w:p>
    <w:p w14:paraId="0AEE9CB0" w14:textId="738B20DC" w:rsidR="00BE3682" w:rsidRPr="004676F5" w:rsidRDefault="007A54C0"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w:t>
      </w:r>
      <w:r w:rsidRPr="004676F5">
        <w:rPr>
          <w:rFonts w:eastAsia="Calibri"/>
          <w:i/>
          <w:iCs/>
          <w:kern w:val="2"/>
          <w:szCs w:val="22"/>
          <w:lang w:val="de-DE" w:eastAsia="en-US"/>
          <w14:ligatures w14:val="standardContextual"/>
        </w:rPr>
        <w:t>10</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513978"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Notifizierung und Veröffentlichung</w:t>
      </w:r>
      <w:r w:rsidR="00513978" w:rsidRPr="004676F5">
        <w:rPr>
          <w:rFonts w:eastAsia="Calibri"/>
          <w:kern w:val="2"/>
          <w:szCs w:val="22"/>
          <w:lang w:val="de-DE" w:eastAsia="en-US"/>
          <w14:ligatures w14:val="standardContextual"/>
        </w:rPr>
        <w:t>]</w:t>
      </w:r>
    </w:p>
    <w:p w14:paraId="7EFDCCF9" w14:textId="77777777" w:rsidR="00BE3682" w:rsidRPr="004676F5" w:rsidRDefault="00BE3682" w:rsidP="00BE3682">
      <w:pPr>
        <w:jc w:val="both"/>
        <w:rPr>
          <w:rFonts w:eastAsia="Calibri"/>
          <w:kern w:val="2"/>
          <w:lang w:val="de-DE" w:eastAsia="en-US"/>
          <w14:ligatures w14:val="standardContextual"/>
        </w:rPr>
      </w:pPr>
    </w:p>
    <w:p w14:paraId="7FE0E307" w14:textId="3FDCB44D" w:rsidR="007A54C0" w:rsidRPr="004676F5" w:rsidRDefault="007A54C0" w:rsidP="007A54C0">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[Früherer Unterabschnitt 9 umgegliedert zu Abschnitt 10 </w:t>
      </w:r>
      <w:r w:rsidR="00513978"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43 des G. vom 29. März 2024 (B.S. vom 3. Mai 2024)]</w:t>
      </w:r>
    </w:p>
    <w:p w14:paraId="4F656502" w14:textId="77777777" w:rsidR="007A54C0" w:rsidRPr="004676F5" w:rsidRDefault="007A54C0" w:rsidP="00BE3682">
      <w:pPr>
        <w:jc w:val="both"/>
        <w:rPr>
          <w:rFonts w:eastAsia="Calibri"/>
          <w:kern w:val="2"/>
          <w:lang w:val="de-DE" w:eastAsia="en-US"/>
          <w14:ligatures w14:val="standardContextual"/>
        </w:rPr>
      </w:pPr>
    </w:p>
    <w:p w14:paraId="0B6EB09B" w14:textId="77777777" w:rsidR="008A1473" w:rsidRPr="004676F5" w:rsidRDefault="008A1473" w:rsidP="00BE3682">
      <w:pPr>
        <w:jc w:val="both"/>
        <w:rPr>
          <w:rFonts w:eastAsia="Calibri"/>
          <w:kern w:val="2"/>
          <w:lang w:val="de-DE" w:eastAsia="en-US"/>
          <w14:ligatures w14:val="standardContextual"/>
        </w:rPr>
      </w:pPr>
    </w:p>
    <w:p w14:paraId="69AD5FC5" w14:textId="430FA41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IV.74</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Entscheidungen des Wettbewerbskollegiums, Entscheidungen zur Verfahrenseinstellung, Vergleichsentscheidungen, Entscheidungen zur Beendigung der Untersuchung und Entscheidungen im vereinfachten Verfahren bei Zusammenschlüssen werden den betroffenen Parteien, den Klägern, den Antragstellern, dem Minister und allen Personen, die ein hinreichendes Interesse darlegen und beim Wettbewerbskollegium einen Antrag auf Anhörung gestellt haben, vom Sekretariat per Einschreibesendung mit Rückschein notifiziert.</w:t>
      </w:r>
    </w:p>
    <w:p w14:paraId="3B3FF763" w14:textId="77777777" w:rsidR="00BE3682" w:rsidRPr="004676F5" w:rsidRDefault="00BE3682" w:rsidP="00BE3682">
      <w:pPr>
        <w:jc w:val="both"/>
        <w:rPr>
          <w:rFonts w:eastAsia="Calibri"/>
          <w:kern w:val="2"/>
          <w:lang w:val="de-DE" w:eastAsia="en-US"/>
          <w14:ligatures w14:val="standardContextual"/>
        </w:rPr>
      </w:pPr>
    </w:p>
    <w:p w14:paraId="20025D3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Präsident des Wettbewerbskollegiums und der Auditor tragen den berechtigten Interessen der Unternehmen an der Nichtveröffentlichung ihrer Geschäftsgeheimnisse und anderer vertraulicher Informationen Rechnung.</w:t>
      </w:r>
    </w:p>
    <w:p w14:paraId="15BFE9EB" w14:textId="77777777" w:rsidR="00BE3682" w:rsidRPr="004676F5" w:rsidRDefault="00BE3682" w:rsidP="00BE3682">
      <w:pPr>
        <w:jc w:val="both"/>
        <w:rPr>
          <w:rFonts w:eastAsia="Calibri"/>
          <w:kern w:val="2"/>
          <w:lang w:val="de-DE" w:eastAsia="en-US"/>
          <w14:ligatures w14:val="standardContextual"/>
        </w:rPr>
      </w:pPr>
    </w:p>
    <w:p w14:paraId="7E7DA06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Wenn in Ermangelung einer Entscheidung davon ausgegangen wird, dass über einen Zusammenschluss eine Zulässigkeitsentscheidung getroffen oder ein Antrag auf vorläufige </w:t>
      </w:r>
      <w:r w:rsidRPr="004676F5">
        <w:rPr>
          <w:rFonts w:eastAsia="Calibri"/>
          <w:kern w:val="2"/>
          <w:szCs w:val="22"/>
          <w:lang w:val="de-DE" w:eastAsia="en-US"/>
          <w14:ligatures w14:val="standardContextual"/>
        </w:rPr>
        <w:lastRenderedPageBreak/>
        <w:t>Maßnahmen abgelehnt worden ist, wird dies den betroffenen Parteien beziehungsweise den Antragstellern, dem Minister und allen Personen, die ein hinreichendes Interesse darlegen und beim Wettbewerbskollegium einen Antrag auf Anhörung gestellt haben, vom Sekretariat per Bekanntmachung notifiziert. Diese Notifizierung erfolgt per Einschreibesendung mit Rückschein.</w:t>
      </w:r>
    </w:p>
    <w:p w14:paraId="347F8CED" w14:textId="77777777" w:rsidR="00BE3682" w:rsidRPr="004676F5" w:rsidRDefault="00BE3682" w:rsidP="00BE3682">
      <w:pPr>
        <w:jc w:val="both"/>
        <w:rPr>
          <w:rFonts w:eastAsia="Calibri"/>
          <w:kern w:val="2"/>
          <w:lang w:val="de-DE" w:eastAsia="en-US"/>
          <w14:ligatures w14:val="standardContextual"/>
        </w:rPr>
      </w:pPr>
    </w:p>
    <w:p w14:paraId="1C4E1D2B" w14:textId="4A846EF4"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Vorbehaltlich gegenteiliger Bestimmungen in vorliegendem Buch oder seinen Ausführungserlassen erfolgen alle anderen Notifizierungen und Mitteilungen in Bezug auf eine Sache per E-Mail mit Empfangsbestätigung</w:t>
      </w:r>
      <w:r w:rsidR="00D76094" w:rsidRPr="004676F5">
        <w:rPr>
          <w:rFonts w:eastAsia="Calibri"/>
          <w:kern w:val="2"/>
          <w:szCs w:val="22"/>
          <w:lang w:val="de-DE" w:eastAsia="en-US"/>
          <w14:ligatures w14:val="standardContextual"/>
        </w:rPr>
        <w:t xml:space="preserve"> [...]</w:t>
      </w:r>
      <w:r w:rsidRPr="004676F5">
        <w:rPr>
          <w:rFonts w:eastAsia="Calibri"/>
          <w:kern w:val="2"/>
          <w:szCs w:val="22"/>
          <w:lang w:val="de-DE" w:eastAsia="en-US"/>
          <w14:ligatures w14:val="standardContextual"/>
        </w:rPr>
        <w:t>.</w:t>
      </w:r>
    </w:p>
    <w:p w14:paraId="7BC1AF84" w14:textId="77777777" w:rsidR="00BE3682" w:rsidRPr="004676F5" w:rsidRDefault="00BE3682" w:rsidP="00BE3682">
      <w:pPr>
        <w:jc w:val="both"/>
        <w:rPr>
          <w:rFonts w:eastAsia="Calibri"/>
          <w:kern w:val="2"/>
          <w:lang w:val="de-DE" w:eastAsia="en-US"/>
          <w14:ligatures w14:val="standardContextual"/>
        </w:rPr>
      </w:pPr>
    </w:p>
    <w:p w14:paraId="5077644C" w14:textId="66873B65"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Die in § 1 Absatz 1 und 3 erwähnten Notifizierungen enthalten zur Vermeidung der Nichtigkeit die Namen und Anschriften der Parteien, an die die Notifizierung erfolgen muss, und gegebenenfalls Frist und Modalitäten für die Einreichung einer Beschwerde.</w:t>
      </w:r>
    </w:p>
    <w:p w14:paraId="0F4F8F81" w14:textId="77777777" w:rsidR="00BE3682" w:rsidRPr="004676F5" w:rsidRDefault="00BE3682" w:rsidP="00BE3682">
      <w:pPr>
        <w:jc w:val="both"/>
        <w:rPr>
          <w:rFonts w:eastAsia="Calibri"/>
          <w:kern w:val="2"/>
          <w:lang w:val="de-DE" w:eastAsia="en-US"/>
          <w14:ligatures w14:val="standardContextual"/>
        </w:rPr>
      </w:pPr>
    </w:p>
    <w:p w14:paraId="2BC5776F" w14:textId="7E9EA41B" w:rsidR="00D76094" w:rsidRPr="004676F5" w:rsidRDefault="00D76094"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IV.74 § 1 Abs. 4 abgeändert durch Art. 56 des G. vom 28. Februar 2022 (B.S. vom 7. März 2022)]</w:t>
      </w:r>
    </w:p>
    <w:p w14:paraId="5E27DF25" w14:textId="77777777" w:rsidR="00D76094" w:rsidRPr="004676F5" w:rsidRDefault="00D76094" w:rsidP="00BE3682">
      <w:pPr>
        <w:jc w:val="both"/>
        <w:rPr>
          <w:rFonts w:eastAsia="Calibri"/>
          <w:i/>
          <w:iCs/>
          <w:kern w:val="2"/>
          <w:lang w:val="de-DE" w:eastAsia="en-US"/>
          <w14:ligatures w14:val="standardContextual"/>
        </w:rPr>
      </w:pPr>
    </w:p>
    <w:p w14:paraId="4E103BC3" w14:textId="77777777" w:rsidR="008A1473" w:rsidRPr="004676F5" w:rsidRDefault="008A1473" w:rsidP="00BE3682">
      <w:pPr>
        <w:jc w:val="both"/>
        <w:rPr>
          <w:rFonts w:eastAsia="Calibri"/>
          <w:kern w:val="2"/>
          <w:lang w:val="de-DE" w:eastAsia="en-US"/>
          <w14:ligatures w14:val="standardContextual"/>
        </w:rPr>
      </w:pPr>
    </w:p>
    <w:p w14:paraId="7A40FDCF" w14:textId="08B10260"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IV.75</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 1 ­ </w:t>
      </w:r>
      <w:r w:rsidR="008860E5" w:rsidRPr="004676F5">
        <w:rPr>
          <w:rFonts w:eastAsia="Calibri"/>
          <w:kern w:val="2"/>
          <w:szCs w:val="22"/>
          <w:lang w:val="de-DE" w:eastAsia="en-US"/>
          <w14:ligatures w14:val="standardContextual"/>
        </w:rPr>
        <w:t>[</w:t>
      </w:r>
      <w:r w:rsidR="008860E5" w:rsidRPr="004676F5">
        <w:rPr>
          <w:lang w:val="de-DE"/>
        </w:rPr>
        <w:t>Auf Betreiben des Generalauditors wird jede Anmeldung eines Zusammenschlusses in Form eines Auszugs auf der Website der Belgischen Wettbewerbs</w:t>
      </w:r>
      <w:r w:rsidR="008860E5" w:rsidRPr="004676F5">
        <w:rPr>
          <w:lang w:val="de-DE"/>
        </w:rPr>
        <w:softHyphen/>
        <w:t>behörde veröffentlicht. Der Auszug enthält die Namen der am Zusammenschluss beteiligten Unternehmen und die Wirtschaftssektoren, die möglicherweise betroffen sein werden. In der Veröffentlichung wird angegeben, ob die Anwendung des vereinfachten Verfahrens beantragt wird.]</w:t>
      </w:r>
    </w:p>
    <w:p w14:paraId="2A55E603" w14:textId="77777777" w:rsidR="00BE3682" w:rsidRPr="004676F5" w:rsidRDefault="00BE3682" w:rsidP="00BE3682">
      <w:pPr>
        <w:jc w:val="both"/>
        <w:rPr>
          <w:rFonts w:eastAsia="Calibri"/>
          <w:kern w:val="2"/>
          <w:lang w:val="de-DE" w:eastAsia="en-US"/>
          <w14:ligatures w14:val="standardContextual"/>
        </w:rPr>
      </w:pPr>
    </w:p>
    <w:p w14:paraId="3C65C5A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Entscheidungen des Wettbewerbskollegiums, Vergleichsentscheidungen und Entscheidungen im vereinfachten Verfahren bei Zusammenschlüssen, Bekanntmachungen, denen zufolge ein Zusammenschluss in Ermangelung einer Entscheidung als zulässig gilt, und Bekanntmachungen, denen zufolge ein Antrag auf vorläufige Maßnahmen in Ermangelung einer Entscheidung als abgelehnt gilt, werden auf der Website der Belgischen Wettbewerbs</w:t>
      </w:r>
      <w:r w:rsidRPr="004676F5">
        <w:rPr>
          <w:rFonts w:eastAsia="Calibri"/>
          <w:kern w:val="2"/>
          <w:szCs w:val="22"/>
          <w:lang w:val="de-DE" w:eastAsia="en-US"/>
          <w14:ligatures w14:val="standardContextual"/>
        </w:rPr>
        <w:softHyphen/>
        <w:t>behörde veröffentlicht, wobei den berechtigten Interessen der Unternehmen an der Nichtveröffentlichung ihrer Geschäftsgeheimnisse und anderer vertraulicher Informationen Rechnung getragen wird. Diese Entscheidungen werden unverzüglich dem Besonderen Beratungsausschusses Wettbewerb in der zur Veröffentlichung auf der Website der Belgischen Wettbewerbsbehörde bestimmten Form mitgeteilt.</w:t>
      </w:r>
    </w:p>
    <w:p w14:paraId="275C52DD" w14:textId="77777777" w:rsidR="00BE3682" w:rsidRPr="004676F5" w:rsidRDefault="00BE3682" w:rsidP="00BE3682">
      <w:pPr>
        <w:jc w:val="both"/>
        <w:rPr>
          <w:rFonts w:eastAsia="Calibri"/>
          <w:kern w:val="2"/>
          <w:lang w:val="de-DE" w:eastAsia="en-US"/>
          <w14:ligatures w14:val="standardContextual"/>
        </w:rPr>
      </w:pPr>
    </w:p>
    <w:p w14:paraId="1BE3AEC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Entscheidungen zur Verfahrenseinstellung und Entscheidungen zur Beendigung der Untersuchung werden außer bei gegenteiligem Beschluss des Generalauditors gemäß Absatz 1 veröffentlicht.</w:t>
      </w:r>
    </w:p>
    <w:p w14:paraId="08B578AB" w14:textId="77777777" w:rsidR="00BE3682" w:rsidRPr="004676F5" w:rsidRDefault="00BE3682" w:rsidP="00BE3682">
      <w:pPr>
        <w:jc w:val="both"/>
        <w:rPr>
          <w:rFonts w:eastAsia="Calibri"/>
          <w:kern w:val="2"/>
          <w:lang w:val="de-DE" w:eastAsia="en-US"/>
          <w14:ligatures w14:val="standardContextual"/>
        </w:rPr>
      </w:pPr>
    </w:p>
    <w:p w14:paraId="34E2E03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Entscheidungen des Märktegerichtshofes und des Kassationshofes, in denen vorliegendes Buch angewendet wird oder die in Berufungsverfahren gegen Entscheidungen aufgrund des vorliegenden Buches ausgesprochen werden, werden auf der Website der Belgischen Wettbewerbsbehörde veröffentlicht, wobei den berechtigten Interessen der Unternehmen an der Nichtveröffentlichung ihrer Geschäftsgeheimnisse und anderer vertraulicher Informationen Rechnung getragen wird.</w:t>
      </w:r>
    </w:p>
    <w:p w14:paraId="7EC031E8" w14:textId="77777777" w:rsidR="00BE3682" w:rsidRPr="004676F5" w:rsidRDefault="00BE3682" w:rsidP="00BE3682">
      <w:pPr>
        <w:jc w:val="both"/>
        <w:rPr>
          <w:rFonts w:eastAsia="Calibri"/>
          <w:kern w:val="2"/>
          <w:lang w:val="de-DE" w:eastAsia="en-US"/>
          <w14:ligatures w14:val="standardContextual"/>
        </w:rPr>
      </w:pPr>
    </w:p>
    <w:p w14:paraId="2E479DA0" w14:textId="7C495C98"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Die in Artikel IV.25 Nr. 2 erwähnten Leitlinien und Bekanntmachungen werden im </w:t>
      </w:r>
      <w:r w:rsidRPr="004676F5">
        <w:rPr>
          <w:rFonts w:eastAsia="Calibri"/>
          <w:i/>
          <w:kern w:val="2"/>
          <w:szCs w:val="22"/>
          <w:lang w:val="de-DE" w:eastAsia="en-US"/>
          <w14:ligatures w14:val="standardContextual"/>
        </w:rPr>
        <w:t>Belgischen Staatsblatt</w:t>
      </w:r>
      <w:r w:rsidRPr="004676F5">
        <w:rPr>
          <w:rFonts w:eastAsia="Calibri"/>
          <w:kern w:val="2"/>
          <w:szCs w:val="22"/>
          <w:lang w:val="de-DE" w:eastAsia="en-US"/>
          <w14:ligatures w14:val="standardContextual"/>
        </w:rPr>
        <w:t xml:space="preserve"> und auf der Website der Belgischen Wettbewerbsbehörde veröffentlicht.</w:t>
      </w:r>
    </w:p>
    <w:p w14:paraId="0C76BED9" w14:textId="77777777" w:rsidR="00BE3682" w:rsidRPr="004676F5" w:rsidRDefault="00BE3682" w:rsidP="00BE3682">
      <w:pPr>
        <w:jc w:val="both"/>
        <w:rPr>
          <w:rFonts w:eastAsia="Calibri"/>
          <w:kern w:val="2"/>
          <w:lang w:val="de-DE" w:eastAsia="en-US"/>
          <w14:ligatures w14:val="standardContextual"/>
        </w:rPr>
      </w:pPr>
    </w:p>
    <w:p w14:paraId="6C41E678" w14:textId="2773BBD8" w:rsidR="00D76094" w:rsidRPr="004676F5" w:rsidRDefault="00D76094" w:rsidP="00BE3682">
      <w:pPr>
        <w:jc w:val="both"/>
        <w:rPr>
          <w:rFonts w:eastAsia="Calibri"/>
          <w:kern w:val="2"/>
          <w:lang w:val="de-DE" w:eastAsia="en-US"/>
          <w14:ligatures w14:val="standardContextual"/>
        </w:rPr>
      </w:pPr>
      <w:r w:rsidRPr="004676F5">
        <w:rPr>
          <w:rFonts w:eastAsia="Calibri"/>
          <w:kern w:val="2"/>
          <w:lang w:val="de-DE" w:eastAsia="en-US"/>
          <w14:ligatures w14:val="standardContextual"/>
        </w:rPr>
        <w:lastRenderedPageBreak/>
        <w:tab/>
        <w:t>[</w:t>
      </w:r>
      <w:r w:rsidRPr="004676F5">
        <w:rPr>
          <w:lang w:val="de-DE"/>
        </w:rPr>
        <w:t>§ 5 </w:t>
      </w:r>
      <w:r w:rsidR="005B7A5C" w:rsidRPr="004676F5">
        <w:rPr>
          <w:lang w:val="de-DE"/>
        </w:rPr>
        <w:t>- </w:t>
      </w:r>
      <w:r w:rsidRPr="004676F5">
        <w:rPr>
          <w:lang w:val="de-DE"/>
        </w:rPr>
        <w:t>Der in Artikel IV.25 Nr. 5 erwähnte jährliche Tätigkeitsbericht wird dem Minister übermittelt und auf der Website der Belgischen Wettbewerbsbehörde veröffentlicht.</w:t>
      </w:r>
      <w:r w:rsidRPr="004676F5">
        <w:rPr>
          <w:rFonts w:eastAsia="Calibri"/>
          <w:kern w:val="2"/>
          <w:lang w:val="de-DE" w:eastAsia="en-US"/>
          <w14:ligatures w14:val="standardContextual"/>
        </w:rPr>
        <w:t>]</w:t>
      </w:r>
    </w:p>
    <w:p w14:paraId="47756B09" w14:textId="77777777" w:rsidR="00D76094" w:rsidRPr="004676F5" w:rsidRDefault="00D76094" w:rsidP="00BE3682">
      <w:pPr>
        <w:jc w:val="both"/>
        <w:rPr>
          <w:rFonts w:eastAsia="Calibri"/>
          <w:kern w:val="2"/>
          <w:lang w:val="de-DE" w:eastAsia="en-US"/>
          <w14:ligatures w14:val="standardContextual"/>
        </w:rPr>
      </w:pPr>
    </w:p>
    <w:p w14:paraId="2ACD8FEA" w14:textId="443456C4" w:rsidR="00D76094" w:rsidRPr="004676F5" w:rsidRDefault="00D76094"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IV.75</w:t>
      </w:r>
      <w:r w:rsidR="008860E5" w:rsidRPr="004676F5">
        <w:rPr>
          <w:rFonts w:eastAsia="Calibri"/>
          <w:i/>
          <w:iCs/>
          <w:kern w:val="2"/>
          <w:lang w:val="de-DE" w:eastAsia="en-US"/>
          <w14:ligatures w14:val="standardContextual"/>
        </w:rPr>
        <w:t xml:space="preserve"> § 1 ersetzt durch Art. 9 des G. vom 25. September 2022 (B.S. vom 16. Januar 2023);</w:t>
      </w:r>
      <w:r w:rsidRPr="004676F5">
        <w:rPr>
          <w:rFonts w:eastAsia="Calibri"/>
          <w:i/>
          <w:iCs/>
          <w:kern w:val="2"/>
          <w:lang w:val="de-DE" w:eastAsia="en-US"/>
          <w14:ligatures w14:val="standardContextual"/>
        </w:rPr>
        <w:t xml:space="preserve"> § 5 eingefügt durch Art. 57 des G. vom 28. Februar 2022 (B.S. vom 7. März 2022)]</w:t>
      </w:r>
    </w:p>
    <w:p w14:paraId="12C24292" w14:textId="77777777" w:rsidR="00D76094" w:rsidRPr="004676F5" w:rsidRDefault="00D76094" w:rsidP="00BE3682">
      <w:pPr>
        <w:jc w:val="both"/>
        <w:rPr>
          <w:rFonts w:eastAsia="Calibri"/>
          <w:i/>
          <w:iCs/>
          <w:kern w:val="2"/>
          <w:lang w:val="de-DE" w:eastAsia="en-US"/>
          <w14:ligatures w14:val="standardContextual"/>
        </w:rPr>
      </w:pPr>
    </w:p>
    <w:p w14:paraId="01B99549" w14:textId="77777777" w:rsidR="008A1473" w:rsidRPr="004676F5" w:rsidRDefault="008A1473" w:rsidP="00BE3682">
      <w:pPr>
        <w:jc w:val="both"/>
        <w:rPr>
          <w:rFonts w:eastAsia="Calibri"/>
          <w:kern w:val="2"/>
          <w:lang w:val="de-DE" w:eastAsia="en-US"/>
          <w14:ligatures w14:val="standardContextual"/>
        </w:rPr>
      </w:pPr>
    </w:p>
    <w:p w14:paraId="42843564" w14:textId="1BAA7E5F" w:rsidR="00BE3682" w:rsidRPr="004676F5" w:rsidRDefault="007165D2"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Pr="004676F5">
        <w:rPr>
          <w:rFonts w:eastAsia="Calibri"/>
          <w:i/>
          <w:iCs/>
          <w:kern w:val="2"/>
          <w:szCs w:val="22"/>
          <w:lang w:val="de-DE" w:eastAsia="en-US"/>
          <w14:ligatures w14:val="standardContextual"/>
        </w:rPr>
        <w:t>A</w:t>
      </w:r>
      <w:r w:rsidR="00BE3682" w:rsidRPr="004676F5">
        <w:rPr>
          <w:rFonts w:eastAsia="Calibri"/>
          <w:i/>
          <w:iCs/>
          <w:kern w:val="2"/>
          <w:szCs w:val="22"/>
          <w:lang w:val="de-DE" w:eastAsia="en-US"/>
          <w14:ligatures w14:val="standardContextual"/>
        </w:rPr>
        <w:t>bschnitt 1</w:t>
      </w:r>
      <w:r w:rsidRPr="004676F5">
        <w:rPr>
          <w:rFonts w:eastAsia="Calibri"/>
          <w:i/>
          <w:iCs/>
          <w:kern w:val="2"/>
          <w:szCs w:val="22"/>
          <w:lang w:val="de-DE" w:eastAsia="en-US"/>
          <w14:ligatures w14:val="standardContextual"/>
        </w:rPr>
        <w:t>1</w:t>
      </w:r>
      <w:r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513978"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Zusammenarbeit mit der Europäischen Kommission und den Wettbewerbsbehörden der anderen Mitgliedstaaten der Europäischen Union</w:t>
      </w:r>
      <w:r w:rsidR="00513978" w:rsidRPr="004676F5">
        <w:rPr>
          <w:rFonts w:eastAsia="Calibri"/>
          <w:kern w:val="2"/>
          <w:szCs w:val="22"/>
          <w:lang w:val="de-DE" w:eastAsia="en-US"/>
          <w14:ligatures w14:val="standardContextual"/>
        </w:rPr>
        <w:t>]</w:t>
      </w:r>
    </w:p>
    <w:p w14:paraId="65011DC2" w14:textId="77777777" w:rsidR="00BE3682" w:rsidRPr="004676F5" w:rsidRDefault="00BE3682" w:rsidP="00BE3682">
      <w:pPr>
        <w:jc w:val="both"/>
        <w:rPr>
          <w:rFonts w:eastAsia="Calibri"/>
          <w:kern w:val="2"/>
          <w:lang w:val="de-DE" w:eastAsia="en-US"/>
          <w14:ligatures w14:val="standardContextual"/>
        </w:rPr>
      </w:pPr>
    </w:p>
    <w:p w14:paraId="18D8E4C5" w14:textId="76BED348" w:rsidR="007165D2" w:rsidRPr="004676F5" w:rsidRDefault="007165D2" w:rsidP="007165D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[Früherer Unterabschnitt 10 umgegliedert zu Abschnitt 11 </w:t>
      </w:r>
      <w:r w:rsidR="00513978"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44 des G. vom 29. März 2024 (B.S. vom 3. Mai 2024)]</w:t>
      </w:r>
    </w:p>
    <w:p w14:paraId="1F584843" w14:textId="77777777" w:rsidR="007165D2" w:rsidRPr="004676F5" w:rsidRDefault="007165D2" w:rsidP="00BE3682">
      <w:pPr>
        <w:jc w:val="both"/>
        <w:rPr>
          <w:rFonts w:eastAsia="Calibri"/>
          <w:kern w:val="2"/>
          <w:lang w:val="de-DE" w:eastAsia="en-US"/>
          <w14:ligatures w14:val="standardContextual"/>
        </w:rPr>
      </w:pPr>
    </w:p>
    <w:p w14:paraId="68547780" w14:textId="77777777" w:rsidR="008A1473" w:rsidRPr="004676F5" w:rsidRDefault="008A1473" w:rsidP="00BE3682">
      <w:pPr>
        <w:jc w:val="both"/>
        <w:rPr>
          <w:rFonts w:eastAsia="Calibri"/>
          <w:kern w:val="2"/>
          <w:lang w:val="de-DE" w:eastAsia="en-US"/>
          <w14:ligatures w14:val="standardContextual"/>
        </w:rPr>
      </w:pPr>
    </w:p>
    <w:p w14:paraId="76DF92E9" w14:textId="0D64920C"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IV.76</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Befindet die Belgische Wettbewerbsbehörde in Anwendung von Artikel 104 AEUV über die Zulässigkeit von Vereinbarungen und über die missbräuchliche Ausnutzung einer beherrschenden Stellung auf dem Binnenmarkt, wird die Entscheidung in Übereinstimmung mit den Artikeln 101 Absatz 1 und 102 AEUV gemäß dem Verfahren und den Sanktionen, die in vorliegendem Buch vorgesehen sind, getroffen.</w:t>
      </w:r>
    </w:p>
    <w:p w14:paraId="7A13E303" w14:textId="77777777" w:rsidR="00BE3682" w:rsidRPr="004676F5" w:rsidRDefault="00BE3682" w:rsidP="00BE3682">
      <w:pPr>
        <w:jc w:val="both"/>
        <w:rPr>
          <w:rFonts w:eastAsia="Calibri"/>
          <w:kern w:val="2"/>
          <w:lang w:val="de-DE" w:eastAsia="en-US"/>
          <w14:ligatures w14:val="standardContextual"/>
        </w:rPr>
      </w:pPr>
    </w:p>
    <w:p w14:paraId="67F8D95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Befindet die Belgische Wettbewerbsbehörde in Anwendung der Verordnungen oder Richtlinien zur Ausführung von Artikel 103 AEUV über die Anwendung der in den Artikeln 101 und 102 AEUV niedergelegten Grundsätze, wird die Entscheidung in Übereinstimmung mit diesen Verordnungen oder Richtlinien gemäß dem Verfahren und den Sanktionen, die in vorliegendem Buch vorgesehen sind, getroffen.</w:t>
      </w:r>
    </w:p>
    <w:p w14:paraId="50B76E38" w14:textId="77777777" w:rsidR="00BE3682" w:rsidRPr="004676F5" w:rsidRDefault="00BE3682" w:rsidP="00BE3682">
      <w:pPr>
        <w:jc w:val="both"/>
        <w:rPr>
          <w:rFonts w:eastAsia="Calibri"/>
          <w:kern w:val="2"/>
          <w:lang w:val="de-DE" w:eastAsia="en-US"/>
          <w14:ligatures w14:val="standardContextual"/>
        </w:rPr>
      </w:pPr>
    </w:p>
    <w:p w14:paraId="4A29C376" w14:textId="77777777" w:rsidR="008A1473" w:rsidRPr="004676F5" w:rsidRDefault="008A1473" w:rsidP="00BE3682">
      <w:pPr>
        <w:jc w:val="both"/>
        <w:rPr>
          <w:rFonts w:eastAsia="Calibri"/>
          <w:kern w:val="2"/>
          <w:lang w:val="de-DE" w:eastAsia="en-US"/>
          <w14:ligatures w14:val="standardContextual"/>
        </w:rPr>
      </w:pPr>
    </w:p>
    <w:p w14:paraId="507DAFF6" w14:textId="45FAC036" w:rsidR="00D76094" w:rsidRPr="004676F5" w:rsidRDefault="00BE3682" w:rsidP="00D76094">
      <w:pPr>
        <w:jc w:val="both"/>
        <w:rPr>
          <w:lang w:val="de-DE"/>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IV.77</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D76094" w:rsidRPr="004676F5">
        <w:rPr>
          <w:rFonts w:eastAsia="Calibri"/>
          <w:kern w:val="2"/>
          <w:szCs w:val="22"/>
          <w:lang w:val="de-DE" w:eastAsia="en-US"/>
          <w14:ligatures w14:val="standardContextual"/>
        </w:rPr>
        <w:t>[</w:t>
      </w:r>
      <w:r w:rsidR="00D76094" w:rsidRPr="004676F5">
        <w:rPr>
          <w:lang w:val="de-DE"/>
        </w:rPr>
        <w:t>Die zu diesem Zweck vom Generalauditor bestimmten Personalmitglieder der Belgischen Wettbewerbsbehörde sind in Anwendung der Artikel 20 Absatz 5 und 22 der Verordnung (EG) Nr. 1/2003 beauftragt, bei Unternehmen, Unternehmensvereinigungen und natürlichen Personen Aufträge zur Unterstützung, zur Überprüfung oder andere Aufträge im Rahmen der Überwachung der Einhaltung der Wettbewerbsregeln von Verträgen der Europäischen Union auszuführen, die sie von Amts wegen, auf Ersuchen der Europäischen Kommission oder auf Ersuchen einer nationalen Wettbewerbsbehörde ausführen.</w:t>
      </w:r>
    </w:p>
    <w:p w14:paraId="00D45347" w14:textId="77777777" w:rsidR="00D76094" w:rsidRPr="004676F5" w:rsidRDefault="00D76094" w:rsidP="00D76094">
      <w:pPr>
        <w:jc w:val="both"/>
        <w:rPr>
          <w:lang w:val="de-DE"/>
        </w:rPr>
      </w:pPr>
    </w:p>
    <w:p w14:paraId="6C8B7546" w14:textId="77777777" w:rsidR="00D76094" w:rsidRPr="004676F5" w:rsidRDefault="00D76094" w:rsidP="00D76094">
      <w:pPr>
        <w:jc w:val="both"/>
        <w:rPr>
          <w:lang w:val="de-DE"/>
        </w:rPr>
      </w:pPr>
      <w:r w:rsidRPr="004676F5">
        <w:rPr>
          <w:lang w:val="de-DE"/>
        </w:rPr>
        <w:tab/>
        <w:t>Zu diesem Zweck beauftragte Personalmitglieder haben dieselben Befugnisse und Verpflichtungen wie der Auditor und die ermächtigten Personalmitglieder, die in den Artikeln IV.40, IV.40/1 und IV.40/2 erwähnt sind, wenn sie auf Ersuchen einer nationalen Wettbewerbsbehörde eingreifen, und wie die in Artikel 20 Absatz 2 der Verordnung (EG) Nr. 1/2003 erwähnten beauftragten Personalmitglieder, wenn sie auf Ersuchen der Europäischen Kommission eingreifen.</w:t>
      </w:r>
    </w:p>
    <w:p w14:paraId="3D1EFE42" w14:textId="77777777" w:rsidR="00D76094" w:rsidRPr="004676F5" w:rsidRDefault="00D76094" w:rsidP="00D76094">
      <w:pPr>
        <w:jc w:val="both"/>
        <w:rPr>
          <w:lang w:val="de-DE"/>
        </w:rPr>
      </w:pPr>
    </w:p>
    <w:p w14:paraId="690D0AB5" w14:textId="77777777" w:rsidR="00D76094" w:rsidRPr="004676F5" w:rsidRDefault="00D76094" w:rsidP="00D76094">
      <w:pPr>
        <w:jc w:val="both"/>
        <w:rPr>
          <w:lang w:val="de-DE"/>
        </w:rPr>
      </w:pPr>
      <w:r w:rsidRPr="004676F5">
        <w:rPr>
          <w:lang w:val="de-DE"/>
        </w:rPr>
        <w:tab/>
        <w:t>Bedienstete und andere Begleitpersonen, die von einer nationalen Wettbewerbsbehörde oder der Europäischen Kommission ermächtigt oder benannt wurden, sind berechtigt, den in Anwendung von Absatz 1 von den Personalmitgliedern der Belgischen Wettbewerbsbehörde ausgeführten Aufträgen beizuwohnen.</w:t>
      </w:r>
    </w:p>
    <w:p w14:paraId="3460AEB3" w14:textId="77777777" w:rsidR="00D76094" w:rsidRPr="004676F5" w:rsidRDefault="00D76094" w:rsidP="00D76094">
      <w:pPr>
        <w:jc w:val="both"/>
        <w:rPr>
          <w:lang w:val="de-DE"/>
        </w:rPr>
      </w:pPr>
    </w:p>
    <w:p w14:paraId="7C1AE6E9" w14:textId="77777777" w:rsidR="00D76094" w:rsidRPr="004676F5" w:rsidRDefault="00D76094" w:rsidP="00D76094">
      <w:pPr>
        <w:jc w:val="both"/>
        <w:rPr>
          <w:lang w:val="de-DE"/>
        </w:rPr>
      </w:pPr>
      <w:r w:rsidRPr="004676F5">
        <w:rPr>
          <w:lang w:val="de-DE"/>
        </w:rPr>
        <w:tab/>
        <w:t>Die in Absatz 1 erwähnten Personalmitglieder der Belgischen Wettbewerbsbehörde können die Artikel IV.40 bis IV.40/2 auch im Namen und für Rechnung einer nationalen Wettbewerbsbehörde anwenden, um festzustellen, ob Unternehmen oder Unternehmens</w:t>
      </w:r>
      <w:r w:rsidRPr="004676F5">
        <w:rPr>
          <w:lang w:val="de-DE"/>
        </w:rPr>
        <w:softHyphen/>
        <w:t xml:space="preserve">vereinigungen Ermittlungsmaßnahmen und Entscheidungen dieser Behörde nicht befolgt </w:t>
      </w:r>
      <w:r w:rsidRPr="004676F5">
        <w:rPr>
          <w:lang w:val="de-DE"/>
        </w:rPr>
        <w:lastRenderedPageBreak/>
        <w:t>haben. Die Belgische Wettbewerbsbehörde und eine nationale Wettbewerbsbehörde können vorbehaltlich der in Artikel 12 der Verordnung (EG) Nr. 1/2003 erwähnten Einschränkungen zu diesem Zweck Informationen austauschen und als Beweismittel verwenden.</w:t>
      </w:r>
    </w:p>
    <w:p w14:paraId="49FDAAB9" w14:textId="22B3042F" w:rsidR="00A77A0F" w:rsidRPr="004676F5" w:rsidRDefault="00A77A0F">
      <w:pPr>
        <w:rPr>
          <w:lang w:val="de-DE"/>
        </w:rPr>
      </w:pPr>
    </w:p>
    <w:p w14:paraId="48FDF1BD" w14:textId="238B666E" w:rsidR="00BE3682" w:rsidRPr="004676F5" w:rsidRDefault="00A77A0F" w:rsidP="00D76094">
      <w:pPr>
        <w:jc w:val="both"/>
        <w:rPr>
          <w:rFonts w:eastAsia="Calibri"/>
          <w:kern w:val="2"/>
          <w:szCs w:val="22"/>
          <w:lang w:val="de-DE" w:eastAsia="en-US"/>
          <w14:ligatures w14:val="standardContextual"/>
        </w:rPr>
      </w:pPr>
      <w:r w:rsidRPr="004676F5">
        <w:rPr>
          <w:lang w:val="de-DE"/>
        </w:rPr>
        <w:tab/>
      </w:r>
      <w:r w:rsidR="00D76094" w:rsidRPr="004676F5">
        <w:rPr>
          <w:lang w:val="de-DE"/>
        </w:rPr>
        <w:t>Auf Ersuchen des Generalauditors trägt die betreffende nationale Wettbewerbsbehörde alle vertretbaren zusätzlichen Kosten einschließlich Übersetzungs-, Personal</w:t>
      </w:r>
      <w:r w:rsidR="005B7A5C" w:rsidRPr="004676F5">
        <w:rPr>
          <w:lang w:val="de-DE"/>
        </w:rPr>
        <w:t>- </w:t>
      </w:r>
      <w:r w:rsidR="00D76094" w:rsidRPr="004676F5">
        <w:rPr>
          <w:lang w:val="de-DE"/>
        </w:rPr>
        <w:t>und Verwaltungskosten für Maßnahmen gemäß vorliegendem Artikel.</w:t>
      </w:r>
      <w:r w:rsidR="00D76094" w:rsidRPr="004676F5">
        <w:rPr>
          <w:rFonts w:eastAsia="Calibri"/>
          <w:kern w:val="2"/>
          <w:szCs w:val="22"/>
          <w:lang w:val="de-DE" w:eastAsia="en-US"/>
          <w14:ligatures w14:val="standardContextual"/>
        </w:rPr>
        <w:t>]</w:t>
      </w:r>
    </w:p>
    <w:p w14:paraId="434969FD" w14:textId="77777777" w:rsidR="00D76094" w:rsidRPr="004676F5" w:rsidRDefault="00D76094" w:rsidP="00D76094">
      <w:pPr>
        <w:jc w:val="both"/>
        <w:rPr>
          <w:rFonts w:eastAsia="Calibri"/>
          <w:kern w:val="2"/>
          <w:szCs w:val="22"/>
          <w:lang w:val="de-DE" w:eastAsia="en-US"/>
          <w14:ligatures w14:val="standardContextual"/>
        </w:rPr>
      </w:pPr>
    </w:p>
    <w:p w14:paraId="60A422BA" w14:textId="11E68FC5" w:rsidR="00D76094" w:rsidRPr="004676F5" w:rsidRDefault="00D76094" w:rsidP="00D76094">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IV.77 ersetzt durch Art. 58 des G. vom 28. Februar 2022 (B.S. vom 7. März 2022)]</w:t>
      </w:r>
    </w:p>
    <w:p w14:paraId="512FB71A" w14:textId="77777777" w:rsidR="00BE3682" w:rsidRPr="004676F5" w:rsidRDefault="00BE3682" w:rsidP="00BE3682">
      <w:pPr>
        <w:jc w:val="both"/>
        <w:rPr>
          <w:rFonts w:eastAsia="Calibri"/>
          <w:kern w:val="2"/>
          <w:lang w:val="de-DE" w:eastAsia="en-US"/>
          <w14:ligatures w14:val="standardContextual"/>
        </w:rPr>
      </w:pPr>
    </w:p>
    <w:p w14:paraId="0AC5EDB4" w14:textId="77777777" w:rsidR="008A1473" w:rsidRPr="004676F5" w:rsidRDefault="008A1473" w:rsidP="00BE3682">
      <w:pPr>
        <w:jc w:val="both"/>
        <w:rPr>
          <w:rFonts w:eastAsia="Calibri"/>
          <w:kern w:val="2"/>
          <w:lang w:val="de-DE" w:eastAsia="en-US"/>
          <w14:ligatures w14:val="standardContextual"/>
        </w:rPr>
      </w:pPr>
    </w:p>
    <w:p w14:paraId="17F2FA54" w14:textId="1F0FA157" w:rsidR="00D76094" w:rsidRPr="004676F5" w:rsidRDefault="00BE3682" w:rsidP="00D76094">
      <w:pPr>
        <w:jc w:val="both"/>
        <w:rPr>
          <w:lang w:val="de-DE"/>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IV.78</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D76094" w:rsidRPr="004676F5">
        <w:rPr>
          <w:rFonts w:eastAsia="Calibri"/>
          <w:kern w:val="2"/>
          <w:szCs w:val="22"/>
          <w:lang w:val="de-DE" w:eastAsia="en-US"/>
          <w14:ligatures w14:val="standardContextual"/>
        </w:rPr>
        <w:t>[</w:t>
      </w:r>
      <w:r w:rsidR="00D76094" w:rsidRPr="004676F5">
        <w:rPr>
          <w:lang w:val="de-DE"/>
        </w:rPr>
        <w:t>Für die Zwecke der Anwendung der Artikel 101 und 102 AEUV, der Verordnung (EG) Nr. 1/2003 und der Verordnung (EG) Nr. 139/2004 können vorbehaltlich der in Artikel 12 der Verordnung (EG) Nr. 1/2003 erwähnten Einschränkungen der Präsident, der Generalauditor und die Personalmitglieder der Belgischen Wettbewerbsbehörde der Europäischen Kommission und den nationalen Wettbewerbsbehörden alle tatsächlichen oder rechtlichen Umstände, einschließlich vertraulicher Informationen, mitteilen und gegebenen</w:t>
      </w:r>
      <w:r w:rsidR="00D76094" w:rsidRPr="004676F5">
        <w:rPr>
          <w:lang w:val="de-DE"/>
        </w:rPr>
        <w:softHyphen/>
        <w:t>falls die von der Europäischen Kommission oder den nationalen Wettbewerbsbehörden übermittelten Informationen als Beweismittel verwenden.</w:t>
      </w:r>
    </w:p>
    <w:p w14:paraId="5F7A1552" w14:textId="77777777" w:rsidR="00D76094" w:rsidRPr="004676F5" w:rsidRDefault="00D76094" w:rsidP="00D76094">
      <w:pPr>
        <w:jc w:val="both"/>
        <w:rPr>
          <w:lang w:val="de-DE"/>
        </w:rPr>
      </w:pPr>
    </w:p>
    <w:p w14:paraId="6990DC74" w14:textId="77777777" w:rsidR="00D76094" w:rsidRPr="004676F5" w:rsidRDefault="00D76094" w:rsidP="00D76094">
      <w:pPr>
        <w:jc w:val="both"/>
        <w:rPr>
          <w:lang w:val="de-DE"/>
        </w:rPr>
      </w:pPr>
      <w:r w:rsidRPr="004676F5">
        <w:rPr>
          <w:lang w:val="de-DE"/>
        </w:rPr>
        <w:tab/>
        <w:t>In Anwendung von Absatz 1 können die bei der Belgischen Wettbewerbsbehörde eingereichten Kronzeugenerklärungen unter folgenden Bedingungen an die Europäische Kommission und die nationalen Wettbewerbsbehörden weitergeleitet werden:</w:t>
      </w:r>
    </w:p>
    <w:p w14:paraId="75663D08" w14:textId="77777777" w:rsidR="00D76094" w:rsidRPr="004676F5" w:rsidRDefault="00D76094" w:rsidP="00D76094">
      <w:pPr>
        <w:jc w:val="both"/>
        <w:rPr>
          <w:lang w:val="de-DE"/>
        </w:rPr>
      </w:pPr>
    </w:p>
    <w:p w14:paraId="6E405583" w14:textId="77777777" w:rsidR="00D76094" w:rsidRPr="004676F5" w:rsidRDefault="00D76094" w:rsidP="00D76094">
      <w:pPr>
        <w:jc w:val="both"/>
        <w:rPr>
          <w:lang w:val="de-DE"/>
        </w:rPr>
      </w:pPr>
      <w:r w:rsidRPr="004676F5">
        <w:rPr>
          <w:lang w:val="de-DE"/>
        </w:rPr>
        <w:tab/>
        <w:t>1. wenn der Beantrager dem zustimmt oder</w:t>
      </w:r>
    </w:p>
    <w:p w14:paraId="351D7B4D" w14:textId="77777777" w:rsidR="00D76094" w:rsidRPr="004676F5" w:rsidRDefault="00D76094" w:rsidP="00D76094">
      <w:pPr>
        <w:jc w:val="both"/>
        <w:rPr>
          <w:lang w:val="de-DE"/>
        </w:rPr>
      </w:pPr>
    </w:p>
    <w:p w14:paraId="4710046D" w14:textId="77777777" w:rsidR="00D76094" w:rsidRPr="004676F5" w:rsidRDefault="00D76094" w:rsidP="00D76094">
      <w:pPr>
        <w:jc w:val="both"/>
        <w:rPr>
          <w:lang w:val="de-DE"/>
        </w:rPr>
      </w:pPr>
      <w:r w:rsidRPr="004676F5">
        <w:rPr>
          <w:lang w:val="de-DE"/>
        </w:rPr>
        <w:tab/>
        <w:t>2. wenn bei der nationalen Wettbewerbsbehörde, die die Kronzeugenerklärung erhalten soll, wie bei der Belgischen Wettbewerbsbehörde von demselben Beantrager ebenfalls ein Antrag auf Kronzeugenbehandlung eingegangen ist und dieser sich auf ein und dieselbe Zuwiderhandlung bezieht, sofern es dem Beantrager zu dem Zeitpunkt, zu dem die Kronzeugenerklärung weitergeleitet wird, nicht freisteht, die Informationen zurückzuziehen, die der nationalen Wettbewerbsbehörde, die die Kronzeugenerklärung erhalten hat, vorgelegt worden sind.</w:t>
      </w:r>
    </w:p>
    <w:p w14:paraId="4C86A011" w14:textId="77777777" w:rsidR="00D76094" w:rsidRPr="004676F5" w:rsidRDefault="00D76094" w:rsidP="00D76094">
      <w:pPr>
        <w:jc w:val="both"/>
        <w:rPr>
          <w:lang w:val="de-DE"/>
        </w:rPr>
      </w:pPr>
    </w:p>
    <w:p w14:paraId="2FFDD49D" w14:textId="63B7772D" w:rsidR="00BE3682" w:rsidRPr="004676F5" w:rsidRDefault="00D76094" w:rsidP="00D76094">
      <w:pPr>
        <w:jc w:val="both"/>
        <w:rPr>
          <w:rFonts w:eastAsia="Calibri"/>
          <w:kern w:val="2"/>
          <w:lang w:val="de-DE" w:eastAsia="en-US"/>
          <w14:ligatures w14:val="standardContextual"/>
        </w:rPr>
      </w:pPr>
      <w:r w:rsidRPr="004676F5">
        <w:rPr>
          <w:lang w:val="de-DE"/>
        </w:rPr>
        <w:tab/>
        <w:t>Die Belgische Wettbewerbsbehörde kann Zusammenarbeitsabkommen über den Austausch von Informationen und die Verwendung dieser Informationen als Beweismittel mit Wettbewerbsbehörden von Drittländern schließen unter Vorbehalt der in Absatz 2 vorgesehenen Bedingungen. Diese Zusammenarbeitsabkommen werden erst wirksam, nachdem der König sie gebilligt hat.</w:t>
      </w:r>
      <w:r w:rsidRPr="004676F5">
        <w:rPr>
          <w:rFonts w:eastAsia="Calibri"/>
          <w:kern w:val="2"/>
          <w:szCs w:val="22"/>
          <w:lang w:val="de-DE" w:eastAsia="en-US"/>
          <w14:ligatures w14:val="standardContextual"/>
        </w:rPr>
        <w:t>]</w:t>
      </w:r>
    </w:p>
    <w:p w14:paraId="37D25464" w14:textId="77777777" w:rsidR="00BE3682" w:rsidRPr="004676F5" w:rsidRDefault="00BE3682" w:rsidP="00BE3682">
      <w:pPr>
        <w:jc w:val="both"/>
        <w:rPr>
          <w:rFonts w:eastAsia="Calibri"/>
          <w:kern w:val="2"/>
          <w:lang w:val="de-DE" w:eastAsia="en-US"/>
          <w14:ligatures w14:val="standardContextual"/>
        </w:rPr>
      </w:pPr>
    </w:p>
    <w:p w14:paraId="3C00D9D5" w14:textId="2BA6679E" w:rsidR="00D76094" w:rsidRPr="004676F5" w:rsidRDefault="00D76094" w:rsidP="00D76094">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IV.78 ersetzt durch Art. 59 des G. vom 28. Februar 2022 (B.S. vom 7. März 2022)]</w:t>
      </w:r>
    </w:p>
    <w:p w14:paraId="7D583547" w14:textId="77777777" w:rsidR="00D76094" w:rsidRPr="004676F5" w:rsidRDefault="00D76094" w:rsidP="00BE3682">
      <w:pPr>
        <w:jc w:val="both"/>
        <w:rPr>
          <w:rFonts w:eastAsia="Calibri"/>
          <w:kern w:val="2"/>
          <w:lang w:val="de-DE" w:eastAsia="en-US"/>
          <w14:ligatures w14:val="standardContextual"/>
        </w:rPr>
      </w:pPr>
    </w:p>
    <w:p w14:paraId="46CFCCAE" w14:textId="77777777" w:rsidR="008A1473" w:rsidRPr="004676F5" w:rsidRDefault="008A1473" w:rsidP="00BE3682">
      <w:pPr>
        <w:jc w:val="both"/>
        <w:rPr>
          <w:rFonts w:eastAsia="Calibri"/>
          <w:kern w:val="2"/>
          <w:lang w:val="de-DE" w:eastAsia="en-US"/>
          <w14:ligatures w14:val="standardContextual"/>
        </w:rPr>
      </w:pPr>
    </w:p>
    <w:p w14:paraId="2B79B310" w14:textId="5B416169" w:rsidR="00D76094" w:rsidRPr="004676F5" w:rsidRDefault="00D76094" w:rsidP="00D76094">
      <w:pPr>
        <w:jc w:val="both"/>
        <w:rPr>
          <w:lang w:val="de-DE"/>
        </w:rPr>
      </w:pPr>
      <w:r w:rsidRPr="004676F5">
        <w:rPr>
          <w:rFonts w:eastAsia="Calibri"/>
          <w:kern w:val="2"/>
          <w:lang w:val="de-DE" w:eastAsia="en-US"/>
          <w14:ligatures w14:val="standardContextual"/>
        </w:rPr>
        <w:tab/>
        <w:t>[</w:t>
      </w:r>
      <w:r w:rsidRPr="004676F5">
        <w:rPr>
          <w:b/>
          <w:bCs/>
          <w:lang w:val="de-DE"/>
        </w:rPr>
        <w:t>Art. IV.78/1</w:t>
      </w:r>
      <w:r w:rsidRPr="004676F5">
        <w:rPr>
          <w:lang w:val="de-DE"/>
        </w:rPr>
        <w:t> </w:t>
      </w:r>
      <w:r w:rsidR="005B7A5C" w:rsidRPr="004676F5">
        <w:rPr>
          <w:lang w:val="de-DE"/>
        </w:rPr>
        <w:t>- </w:t>
      </w:r>
      <w:r w:rsidR="007165D2" w:rsidRPr="004676F5">
        <w:rPr>
          <w:lang w:val="de-DE"/>
        </w:rPr>
        <w:t xml:space="preserve">[§ 1] - </w:t>
      </w:r>
      <w:r w:rsidRPr="004676F5">
        <w:rPr>
          <w:lang w:val="de-DE"/>
        </w:rPr>
        <w:t>Betrifft ein aufgrund des Artikels IV.39 eingeleitetes Untersuchungs</w:t>
      </w:r>
      <w:r w:rsidRPr="004676F5">
        <w:rPr>
          <w:lang w:val="de-DE"/>
        </w:rPr>
        <w:softHyphen/>
        <w:t>verfahren die Anwendung von Artikel 101 oder 102 AEUV, so unterrichtet der mit der Untersuchung beauftragte Auditor hierüber die Europäische Kommission gemäß Artikel 11 Absatz 3 der Verordnung (EG) Nr. 1/2003 spätestens unverzüglich nach Einleitung der ersten Untersuchungshandlung. Er unterrichtet die Europäische Kommission auch über die Notifizierung dieser ersten Untersuchungshandlung und über seine etwaige spätere Entscheidung, die Untersuchung gemäß Artikel IV.44 § 1 Absatz 1 Nr. 1 oder 3, Artikel IV.45 Absatz 1 Nr. 1 oder 3 oder Artikel IV.46 § 2 Absatz 1 Nr. 2 oder 3 einzustellen.</w:t>
      </w:r>
    </w:p>
    <w:p w14:paraId="76D74407" w14:textId="77777777" w:rsidR="00D76094" w:rsidRPr="004676F5" w:rsidRDefault="00D76094" w:rsidP="00D76094">
      <w:pPr>
        <w:jc w:val="both"/>
        <w:rPr>
          <w:lang w:val="de-DE"/>
        </w:rPr>
      </w:pPr>
    </w:p>
    <w:p w14:paraId="3B59AADE" w14:textId="77777777" w:rsidR="00D76094" w:rsidRPr="004676F5" w:rsidRDefault="00D76094" w:rsidP="00D76094">
      <w:pPr>
        <w:jc w:val="both"/>
        <w:rPr>
          <w:lang w:val="de-DE"/>
        </w:rPr>
      </w:pPr>
      <w:r w:rsidRPr="004676F5">
        <w:rPr>
          <w:lang w:val="de-DE"/>
        </w:rPr>
        <w:tab/>
        <w:t>Betrifft eine in Artikel IV.52 § 1 Absatz 1 Nr. 1, 3, 4 oder 8 erwähnte Entscheidung die Anwendung von Artikel 101 oder 102 AEUV, so unterrichtet das Wettbewerbskollegium hierüber die Europäische Kommission.</w:t>
      </w:r>
    </w:p>
    <w:p w14:paraId="79FCD6E5" w14:textId="77777777" w:rsidR="00D76094" w:rsidRPr="004676F5" w:rsidRDefault="00D76094" w:rsidP="00D76094">
      <w:pPr>
        <w:jc w:val="both"/>
        <w:rPr>
          <w:lang w:val="de-DE"/>
        </w:rPr>
      </w:pPr>
    </w:p>
    <w:p w14:paraId="73CCFDA2" w14:textId="77777777" w:rsidR="00D76094" w:rsidRPr="004676F5" w:rsidRDefault="00D76094" w:rsidP="00D76094">
      <w:pPr>
        <w:jc w:val="both"/>
        <w:rPr>
          <w:lang w:val="de-DE"/>
        </w:rPr>
      </w:pPr>
      <w:r w:rsidRPr="004676F5">
        <w:rPr>
          <w:lang w:val="de-DE"/>
        </w:rPr>
        <w:tab/>
        <w:t>Betrifft eine in Artikel IV.44 § 1 Absatz 1 Nr. 2, IV.45 Absatz 1 Nr. 2, IV.46 § 2 Absatz 1 Nr. 1, IV.52 § 1 Absatz 1 Nr. 2, 6 oder 7 oder IV.57 erwähnte Entscheidung die Anwendung von Artikel 101 oder 102 AEUV, so übermittelt das Wettbewerbskollegium beziehungsweise der Generalauditor den Entscheidungsentwurf gemäß Artikel 11 Absatz 4 der Verordnung (EG) Nr. 1/2003 der Europäischen Kommission.</w:t>
      </w:r>
    </w:p>
    <w:p w14:paraId="1A2B262A" w14:textId="77777777" w:rsidR="00D76094" w:rsidRPr="004676F5" w:rsidRDefault="00D76094" w:rsidP="00D76094">
      <w:pPr>
        <w:jc w:val="both"/>
        <w:rPr>
          <w:lang w:val="de-DE"/>
        </w:rPr>
      </w:pPr>
    </w:p>
    <w:p w14:paraId="0463EBE8" w14:textId="77777777" w:rsidR="00D76094" w:rsidRPr="004676F5" w:rsidRDefault="00D76094" w:rsidP="00D76094">
      <w:pPr>
        <w:jc w:val="both"/>
        <w:rPr>
          <w:lang w:val="de-DE"/>
        </w:rPr>
      </w:pPr>
      <w:r w:rsidRPr="004676F5">
        <w:rPr>
          <w:lang w:val="de-DE"/>
        </w:rPr>
        <w:tab/>
        <w:t>Die in den Absätzen 1 bis 3 erwähnten Informationen können den nationalen Wettbewerbsbehörden zugänglich gemacht werden.</w:t>
      </w:r>
    </w:p>
    <w:p w14:paraId="085DE42C" w14:textId="77777777" w:rsidR="00D76094" w:rsidRPr="004676F5" w:rsidRDefault="00D76094" w:rsidP="00D76094">
      <w:pPr>
        <w:jc w:val="both"/>
        <w:rPr>
          <w:lang w:val="de-DE"/>
        </w:rPr>
      </w:pPr>
    </w:p>
    <w:p w14:paraId="15072B01" w14:textId="1BAA0DE3" w:rsidR="00D76094" w:rsidRPr="004676F5" w:rsidRDefault="00D76094" w:rsidP="00D76094">
      <w:pPr>
        <w:jc w:val="both"/>
        <w:rPr>
          <w:lang w:val="de-DE"/>
        </w:rPr>
      </w:pPr>
      <w:r w:rsidRPr="004676F5">
        <w:rPr>
          <w:lang w:val="de-DE"/>
        </w:rPr>
        <w:tab/>
        <w:t>Betrifft die in Artikel IV.73 erwähnte Entscheidung zur Auferlegung von vorläufigen Maßnahmen die Anwendung von Artikel 101 oder Artikel 102 AEUV, so unterrichtet das Wettbewerbskollegium hierüber die Wettbewerbsbehörden des Europäischen Wettbewerbs</w:t>
      </w:r>
      <w:r w:rsidRPr="004676F5">
        <w:rPr>
          <w:lang w:val="de-DE"/>
        </w:rPr>
        <w:softHyphen/>
        <w:t>netzes.]</w:t>
      </w:r>
    </w:p>
    <w:p w14:paraId="00AFB0AA" w14:textId="77777777" w:rsidR="007165D2" w:rsidRPr="004676F5" w:rsidRDefault="007165D2" w:rsidP="00D76094">
      <w:pPr>
        <w:jc w:val="both"/>
        <w:rPr>
          <w:lang w:val="de-DE"/>
        </w:rPr>
      </w:pPr>
    </w:p>
    <w:p w14:paraId="335AC343" w14:textId="4F62F02A" w:rsidR="007165D2" w:rsidRPr="004676F5" w:rsidRDefault="007165D2" w:rsidP="00D76094">
      <w:pPr>
        <w:jc w:val="both"/>
        <w:rPr>
          <w:lang w:val="de-DE"/>
        </w:rPr>
      </w:pPr>
      <w:r w:rsidRPr="004676F5">
        <w:rPr>
          <w:lang w:val="de-DE"/>
        </w:rPr>
        <w:tab/>
        <w:t>[§ 2 - Der Generalauditor, der Auditor beziehungsweise das Wettbewerbskollegium nimmt die in Artikel 38 Absatz 2 und 3 der Verordnung (EU) 2022/1925 erwähnten Mitteilungen vor.]</w:t>
      </w:r>
    </w:p>
    <w:p w14:paraId="62A15183" w14:textId="77777777" w:rsidR="00D76094" w:rsidRPr="004676F5" w:rsidRDefault="00D76094" w:rsidP="00D76094">
      <w:pPr>
        <w:jc w:val="both"/>
        <w:rPr>
          <w:lang w:val="de-DE"/>
        </w:rPr>
      </w:pPr>
    </w:p>
    <w:p w14:paraId="4C472C3B" w14:textId="688D7981" w:rsidR="00D76094" w:rsidRPr="004676F5" w:rsidRDefault="00D76094" w:rsidP="00D76094">
      <w:pPr>
        <w:jc w:val="both"/>
        <w:rPr>
          <w:i/>
          <w:iCs/>
          <w:lang w:val="de-DE"/>
        </w:rPr>
      </w:pPr>
      <w:r w:rsidRPr="004676F5">
        <w:rPr>
          <w:i/>
          <w:iCs/>
          <w:lang w:val="de-DE"/>
        </w:rPr>
        <w:t>[Art. IV.78/1 eingefügt durch Art. 60 des G. vom 28. Februar 2022 (B.S. vom 7. März 2022)</w:t>
      </w:r>
      <w:r w:rsidR="00A77A0F" w:rsidRPr="004676F5">
        <w:rPr>
          <w:i/>
          <w:iCs/>
          <w:lang w:val="de-DE"/>
        </w:rPr>
        <w:t xml:space="preserve">; § 1 (frühere Absätze 1 bis 5) </w:t>
      </w:r>
      <w:r w:rsidR="007165D2" w:rsidRPr="004676F5">
        <w:rPr>
          <w:i/>
          <w:iCs/>
          <w:lang w:val="de-DE"/>
        </w:rPr>
        <w:t>nummeriert durch Art. 45 des G. vom 29. März 2024 (B.S. vom 3. Mai 2024); § 2 eingefügt durch Art. 45 des G. vom 29. März 2024 (B.S. vom 3. Mai 2024)</w:t>
      </w:r>
      <w:r w:rsidRPr="004676F5">
        <w:rPr>
          <w:i/>
          <w:iCs/>
          <w:lang w:val="de-DE"/>
        </w:rPr>
        <w:t>]</w:t>
      </w:r>
    </w:p>
    <w:p w14:paraId="4416EDCD" w14:textId="77777777" w:rsidR="00D76094" w:rsidRPr="004676F5" w:rsidRDefault="00D76094" w:rsidP="00D76094">
      <w:pPr>
        <w:jc w:val="both"/>
        <w:rPr>
          <w:lang w:val="de-DE"/>
        </w:rPr>
      </w:pPr>
    </w:p>
    <w:p w14:paraId="420F4822" w14:textId="0A3EB288" w:rsidR="00D76094" w:rsidRPr="004676F5" w:rsidRDefault="00D76094" w:rsidP="00D76094">
      <w:pPr>
        <w:rPr>
          <w:lang w:val="de-DE"/>
        </w:rPr>
      </w:pPr>
    </w:p>
    <w:p w14:paraId="6DDE928E" w14:textId="6D66CEE7" w:rsidR="00D76094" w:rsidRPr="004676F5" w:rsidRDefault="00D76094" w:rsidP="00D76094">
      <w:pPr>
        <w:jc w:val="both"/>
        <w:rPr>
          <w:lang w:val="de-DE"/>
        </w:rPr>
      </w:pPr>
      <w:r w:rsidRPr="004676F5">
        <w:rPr>
          <w:lang w:val="de-DE"/>
        </w:rPr>
        <w:tab/>
        <w:t>[</w:t>
      </w:r>
      <w:r w:rsidRPr="004676F5">
        <w:rPr>
          <w:b/>
          <w:bCs/>
          <w:lang w:val="de-DE"/>
        </w:rPr>
        <w:t>Art. IV.78/2 </w:t>
      </w:r>
      <w:r w:rsidR="005B7A5C" w:rsidRPr="004676F5">
        <w:rPr>
          <w:lang w:val="de-DE"/>
        </w:rPr>
        <w:t>- </w:t>
      </w:r>
      <w:r w:rsidRPr="004676F5">
        <w:rPr>
          <w:lang w:val="de-DE"/>
        </w:rPr>
        <w:t>§ 1 ­ Der Generalauditor stellt auf Ersuchen und im Namen einer anderen nationalen Wettbewerbsbehörde einem betroffenen Unternehmen, einer betroffenen Unternehmensvereinigung oder einer betroffenen natürlichen Person Verfahrens</w:t>
      </w:r>
      <w:r w:rsidR="005B7A5C" w:rsidRPr="004676F5">
        <w:rPr>
          <w:lang w:val="de-DE"/>
        </w:rPr>
        <w:t>- </w:t>
      </w:r>
      <w:r w:rsidRPr="004676F5">
        <w:rPr>
          <w:lang w:val="de-DE"/>
        </w:rPr>
        <w:t>oder Entscheidungsakte zu, die die Anwendung der Artikel 101 oder 102 AEUV seitens dieser Behörde betreffen.</w:t>
      </w:r>
    </w:p>
    <w:p w14:paraId="0EA93252" w14:textId="77777777" w:rsidR="00D76094" w:rsidRPr="004676F5" w:rsidRDefault="00D76094" w:rsidP="00D76094">
      <w:pPr>
        <w:jc w:val="both"/>
        <w:rPr>
          <w:lang w:val="de-DE"/>
        </w:rPr>
      </w:pPr>
    </w:p>
    <w:p w14:paraId="0BFC3A73" w14:textId="77777777" w:rsidR="00D76094" w:rsidRPr="004676F5" w:rsidRDefault="00D76094" w:rsidP="00D76094">
      <w:pPr>
        <w:jc w:val="both"/>
        <w:rPr>
          <w:lang w:val="de-DE"/>
        </w:rPr>
      </w:pPr>
      <w:r w:rsidRPr="004676F5">
        <w:rPr>
          <w:lang w:val="de-DE"/>
        </w:rPr>
        <w:tab/>
        <w:t>§ 2 ­ Das Zustellungsersuchen wird ohne ungebührliche Verzögerung nur und ausschließlich auf der Grundlage des einheitlichen Titels durchgeführt, der gemäß Artikel IV.78/6 § 1 abgefasst ist.</w:t>
      </w:r>
    </w:p>
    <w:p w14:paraId="665B0C44" w14:textId="77777777" w:rsidR="00D76094" w:rsidRPr="004676F5" w:rsidRDefault="00D76094" w:rsidP="00D76094">
      <w:pPr>
        <w:jc w:val="both"/>
        <w:rPr>
          <w:lang w:val="de-DE"/>
        </w:rPr>
      </w:pPr>
    </w:p>
    <w:p w14:paraId="4DF27946" w14:textId="77777777" w:rsidR="00D76094" w:rsidRPr="004676F5" w:rsidRDefault="00D76094" w:rsidP="00D76094">
      <w:pPr>
        <w:jc w:val="both"/>
        <w:rPr>
          <w:lang w:val="de-DE"/>
        </w:rPr>
      </w:pPr>
      <w:r w:rsidRPr="004676F5">
        <w:rPr>
          <w:lang w:val="de-DE"/>
        </w:rPr>
        <w:tab/>
        <w:t>§ 3 ­ Der Generalauditor wendet sich an die betreffende nationale Wettbewerbs</w:t>
      </w:r>
      <w:r w:rsidRPr="004676F5">
        <w:rPr>
          <w:lang w:val="de-DE"/>
        </w:rPr>
        <w:softHyphen/>
        <w:t>behörde, wenn er erwägt, ein Zustellungsersuchen abzulehnen oder zusätzliche Informationen anzufordern.</w:t>
      </w:r>
    </w:p>
    <w:p w14:paraId="6A2353D6" w14:textId="77777777" w:rsidR="00D76094" w:rsidRPr="004676F5" w:rsidRDefault="00D76094" w:rsidP="00D76094">
      <w:pPr>
        <w:jc w:val="both"/>
        <w:rPr>
          <w:lang w:val="de-DE"/>
        </w:rPr>
      </w:pPr>
    </w:p>
    <w:p w14:paraId="685417AD" w14:textId="77777777" w:rsidR="00D76094" w:rsidRPr="004676F5" w:rsidRDefault="00D76094" w:rsidP="00D76094">
      <w:pPr>
        <w:jc w:val="both"/>
        <w:rPr>
          <w:lang w:val="de-DE"/>
        </w:rPr>
      </w:pPr>
      <w:r w:rsidRPr="004676F5">
        <w:rPr>
          <w:lang w:val="de-DE"/>
        </w:rPr>
        <w:tab/>
        <w:t>Der Generalauditor kann beschließen, das Zustellungsersuchen nicht zu erledigen, wenn das Ersuchen den Anforderungen des vorliegenden Artikels und des Artikels IV.78/6 § 1 nicht entspricht oder wenn er schlüssig darlegt, dass diese Erledigung der öffentlichen Ordnung widersprechen würde.</w:t>
      </w:r>
    </w:p>
    <w:p w14:paraId="7D1D2701" w14:textId="77777777" w:rsidR="00D76094" w:rsidRPr="004676F5" w:rsidRDefault="00D76094" w:rsidP="00D76094">
      <w:pPr>
        <w:jc w:val="both"/>
        <w:rPr>
          <w:lang w:val="de-DE"/>
        </w:rPr>
      </w:pPr>
    </w:p>
    <w:p w14:paraId="626E456D" w14:textId="05D1525D" w:rsidR="00D76094" w:rsidRPr="004676F5" w:rsidRDefault="00D76094" w:rsidP="00D76094">
      <w:pPr>
        <w:jc w:val="both"/>
        <w:rPr>
          <w:lang w:val="de-DE"/>
        </w:rPr>
      </w:pPr>
      <w:r w:rsidRPr="004676F5">
        <w:rPr>
          <w:lang w:val="de-DE"/>
        </w:rPr>
        <w:tab/>
        <w:t>§ 4 </w:t>
      </w:r>
      <w:r w:rsidR="005B7A5C" w:rsidRPr="004676F5">
        <w:rPr>
          <w:lang w:val="de-DE"/>
        </w:rPr>
        <w:t>- </w:t>
      </w:r>
      <w:r w:rsidRPr="004676F5">
        <w:rPr>
          <w:lang w:val="de-DE"/>
        </w:rPr>
        <w:t>Die in § 1 erwähnte Zustellung wird vom Sekretariat per an das betroffene Unternehmen, die betroffene Unternehmensvereinigung oder die betroffene natürliche Person gesandte Einschreibesendung mit Rückschein vorgenommen.</w:t>
      </w:r>
    </w:p>
    <w:p w14:paraId="3B6A4E60" w14:textId="77777777" w:rsidR="00D76094" w:rsidRPr="004676F5" w:rsidRDefault="00D76094" w:rsidP="00D76094">
      <w:pPr>
        <w:jc w:val="both"/>
        <w:rPr>
          <w:lang w:val="de-DE"/>
        </w:rPr>
      </w:pPr>
    </w:p>
    <w:p w14:paraId="784D824D" w14:textId="167B268D" w:rsidR="00D76094" w:rsidRPr="004676F5" w:rsidRDefault="00D76094" w:rsidP="00D76094">
      <w:pPr>
        <w:jc w:val="both"/>
        <w:rPr>
          <w:lang w:val="de-DE"/>
        </w:rPr>
      </w:pPr>
      <w:r w:rsidRPr="004676F5">
        <w:rPr>
          <w:lang w:val="de-DE"/>
        </w:rPr>
        <w:lastRenderedPageBreak/>
        <w:tab/>
        <w:t>§ 5 </w:t>
      </w:r>
      <w:r w:rsidR="005B7A5C" w:rsidRPr="004676F5">
        <w:rPr>
          <w:lang w:val="de-DE"/>
        </w:rPr>
        <w:t>- </w:t>
      </w:r>
      <w:r w:rsidRPr="004676F5">
        <w:rPr>
          <w:lang w:val="de-DE"/>
        </w:rPr>
        <w:t>Auf Ersuchen des Generalauditors trägt die betreffende nationale Wettbewerbsbehörde alle vertretbaren zusätzlichen Kosten einschließlich Übersetzungs-, Personal</w:t>
      </w:r>
      <w:r w:rsidR="005B7A5C" w:rsidRPr="004676F5">
        <w:rPr>
          <w:lang w:val="de-DE"/>
        </w:rPr>
        <w:t>- </w:t>
      </w:r>
      <w:r w:rsidRPr="004676F5">
        <w:rPr>
          <w:lang w:val="de-DE"/>
        </w:rPr>
        <w:t>und Verwaltungskosten für Maßnahmen gemäß vorliegendem Artikel.]</w:t>
      </w:r>
    </w:p>
    <w:p w14:paraId="48856F19" w14:textId="77777777" w:rsidR="00D76094" w:rsidRPr="004676F5" w:rsidRDefault="00D76094" w:rsidP="00D76094">
      <w:pPr>
        <w:jc w:val="both"/>
        <w:rPr>
          <w:lang w:val="de-DE"/>
        </w:rPr>
      </w:pPr>
    </w:p>
    <w:p w14:paraId="02884A72" w14:textId="3BD0A7EF" w:rsidR="00D76094" w:rsidRPr="004676F5" w:rsidRDefault="00D76094" w:rsidP="00D76094">
      <w:pPr>
        <w:jc w:val="both"/>
        <w:rPr>
          <w:i/>
          <w:iCs/>
          <w:lang w:val="de-DE"/>
        </w:rPr>
      </w:pPr>
      <w:r w:rsidRPr="004676F5">
        <w:rPr>
          <w:i/>
          <w:iCs/>
          <w:lang w:val="de-DE"/>
        </w:rPr>
        <w:t>[Art. IV.78/2 eingefügt durch Art. 61 des G. vom 28. Februar 2022 (B.S. vom 7. März 2022)]</w:t>
      </w:r>
    </w:p>
    <w:p w14:paraId="2D7877A5" w14:textId="77777777" w:rsidR="00D76094" w:rsidRPr="004676F5" w:rsidRDefault="00D76094" w:rsidP="00D76094">
      <w:pPr>
        <w:jc w:val="both"/>
        <w:rPr>
          <w:lang w:val="de-DE"/>
        </w:rPr>
      </w:pPr>
    </w:p>
    <w:p w14:paraId="508CC479" w14:textId="77777777" w:rsidR="00D76094" w:rsidRPr="004676F5" w:rsidRDefault="00D76094" w:rsidP="00D76094">
      <w:pPr>
        <w:jc w:val="both"/>
        <w:rPr>
          <w:lang w:val="de-DE"/>
        </w:rPr>
      </w:pPr>
    </w:p>
    <w:p w14:paraId="781E4030" w14:textId="70B9CA69" w:rsidR="00D76094" w:rsidRPr="004676F5" w:rsidRDefault="00D76094" w:rsidP="00D76094">
      <w:pPr>
        <w:jc w:val="both"/>
        <w:rPr>
          <w:lang w:val="de-DE"/>
        </w:rPr>
      </w:pPr>
      <w:r w:rsidRPr="004676F5">
        <w:rPr>
          <w:lang w:val="de-DE"/>
        </w:rPr>
        <w:tab/>
        <w:t>[</w:t>
      </w:r>
      <w:r w:rsidRPr="004676F5">
        <w:rPr>
          <w:b/>
          <w:bCs/>
          <w:lang w:val="de-DE"/>
        </w:rPr>
        <w:t>Art. IV.78/3</w:t>
      </w:r>
      <w:r w:rsidRPr="004676F5">
        <w:rPr>
          <w:lang w:val="de-DE"/>
        </w:rPr>
        <w:t> </w:t>
      </w:r>
      <w:r w:rsidR="005B7A5C" w:rsidRPr="004676F5">
        <w:rPr>
          <w:lang w:val="de-DE"/>
        </w:rPr>
        <w:t>- </w:t>
      </w:r>
      <w:r w:rsidRPr="004676F5">
        <w:rPr>
          <w:lang w:val="de-DE"/>
        </w:rPr>
        <w:t>§ 1 ­ Der Auditor, der mit der täglichen Leitung der Untersuchung einer Sache beauftragt ist, kann eine andere nationale Wettbewerbsbehörde ersuchen, im Namen der Belgischen Wettbewerbsbehörde einem betroffenen Unternehmen, einer betroffenen Unternehmensvereinigung oder einer betroffenen natürlichen Person Verfahrens</w:t>
      </w:r>
      <w:r w:rsidR="005B7A5C" w:rsidRPr="004676F5">
        <w:rPr>
          <w:lang w:val="de-DE"/>
        </w:rPr>
        <w:t>- </w:t>
      </w:r>
      <w:r w:rsidRPr="004676F5">
        <w:rPr>
          <w:lang w:val="de-DE"/>
        </w:rPr>
        <w:t>oder Entscheidungsakte zuzustellen, die die Anwendung der Artikel 101 oder 102 AEUV betreffen.</w:t>
      </w:r>
    </w:p>
    <w:p w14:paraId="3B916188" w14:textId="77777777" w:rsidR="00D76094" w:rsidRPr="004676F5" w:rsidRDefault="00D76094" w:rsidP="00D76094">
      <w:pPr>
        <w:jc w:val="both"/>
        <w:rPr>
          <w:lang w:val="de-DE"/>
        </w:rPr>
      </w:pPr>
    </w:p>
    <w:p w14:paraId="53576E0E" w14:textId="77777777" w:rsidR="00D76094" w:rsidRPr="004676F5" w:rsidRDefault="00D76094" w:rsidP="00D76094">
      <w:pPr>
        <w:jc w:val="both"/>
        <w:rPr>
          <w:lang w:val="de-DE"/>
        </w:rPr>
      </w:pPr>
      <w:r w:rsidRPr="004676F5">
        <w:rPr>
          <w:lang w:val="de-DE"/>
        </w:rPr>
        <w:tab/>
        <w:t>§ 2 ­ Das Zustellungsersuchen wird der betreffenden nationalen Wettbewerbsbehörde auf der Grundlage des einheitlichen Titels übermittelt, der gemäß Artikel IV.78/6 § 1 abgefasst ist.</w:t>
      </w:r>
    </w:p>
    <w:p w14:paraId="5C25EC25" w14:textId="77777777" w:rsidR="00D76094" w:rsidRPr="004676F5" w:rsidRDefault="00D76094" w:rsidP="00D76094">
      <w:pPr>
        <w:jc w:val="both"/>
        <w:rPr>
          <w:lang w:val="de-DE"/>
        </w:rPr>
      </w:pPr>
    </w:p>
    <w:p w14:paraId="35E13836" w14:textId="77777777" w:rsidR="00D76094" w:rsidRPr="004676F5" w:rsidRDefault="00D76094" w:rsidP="00D76094">
      <w:pPr>
        <w:jc w:val="both"/>
        <w:rPr>
          <w:lang w:val="de-DE"/>
        </w:rPr>
      </w:pPr>
      <w:r w:rsidRPr="004676F5">
        <w:rPr>
          <w:lang w:val="de-DE"/>
        </w:rPr>
        <w:tab/>
        <w:t>Der Auditor stellt den einheitlichen Titel gleichzeitig dem betroffenen Unternehmen, der betroffenen Unternehmensvereinigung oder der betroffenen natürlichen Person zu.</w:t>
      </w:r>
    </w:p>
    <w:p w14:paraId="1C363142" w14:textId="77777777" w:rsidR="00D76094" w:rsidRPr="004676F5" w:rsidRDefault="00D76094" w:rsidP="00D76094">
      <w:pPr>
        <w:jc w:val="both"/>
        <w:rPr>
          <w:lang w:val="de-DE"/>
        </w:rPr>
      </w:pPr>
    </w:p>
    <w:p w14:paraId="660C68F2" w14:textId="77777777" w:rsidR="00D76094" w:rsidRPr="004676F5" w:rsidRDefault="00D76094" w:rsidP="00D76094">
      <w:pPr>
        <w:jc w:val="both"/>
        <w:rPr>
          <w:lang w:val="de-DE"/>
        </w:rPr>
      </w:pPr>
      <w:r w:rsidRPr="004676F5">
        <w:rPr>
          <w:lang w:val="de-DE"/>
        </w:rPr>
        <w:tab/>
        <w:t>§ 3 ­ Der in § 1 erwähnte Auditor erteilt der betreffenden nationalen Wettbewerbs</w:t>
      </w:r>
      <w:r w:rsidRPr="004676F5">
        <w:rPr>
          <w:lang w:val="de-DE"/>
        </w:rPr>
        <w:softHyphen/>
        <w:t>behörde auf deren Ersuchen weitere Informationen.</w:t>
      </w:r>
    </w:p>
    <w:p w14:paraId="0523000F" w14:textId="77777777" w:rsidR="00D76094" w:rsidRPr="004676F5" w:rsidRDefault="00D76094" w:rsidP="00D76094">
      <w:pPr>
        <w:jc w:val="both"/>
        <w:rPr>
          <w:lang w:val="de-DE"/>
        </w:rPr>
      </w:pPr>
    </w:p>
    <w:p w14:paraId="2AC5E165" w14:textId="62B77E1F" w:rsidR="00D76094" w:rsidRPr="004676F5" w:rsidRDefault="00D76094" w:rsidP="00D76094">
      <w:pPr>
        <w:jc w:val="both"/>
        <w:rPr>
          <w:lang w:val="de-DE"/>
        </w:rPr>
      </w:pPr>
      <w:r w:rsidRPr="004676F5">
        <w:rPr>
          <w:lang w:val="de-DE"/>
        </w:rPr>
        <w:tab/>
        <w:t>§ 4 </w:t>
      </w:r>
      <w:r w:rsidR="005B7A5C" w:rsidRPr="004676F5">
        <w:rPr>
          <w:lang w:val="de-DE"/>
        </w:rPr>
        <w:t>- </w:t>
      </w:r>
      <w:r w:rsidRPr="004676F5">
        <w:rPr>
          <w:lang w:val="de-DE"/>
        </w:rPr>
        <w:t>Auf Ersuchen der betreffenden nationalen Wettbewerbsbehörde trägt die Belgische Wettbewerbsbehörde alle vertretbaren zusätzlichen Kosten einschließlich Übersetzungs-, Personal</w:t>
      </w:r>
      <w:r w:rsidR="005B7A5C" w:rsidRPr="004676F5">
        <w:rPr>
          <w:lang w:val="de-DE"/>
        </w:rPr>
        <w:t>- </w:t>
      </w:r>
      <w:r w:rsidRPr="004676F5">
        <w:rPr>
          <w:lang w:val="de-DE"/>
        </w:rPr>
        <w:t>und Verwaltungskosten für die getroffenen Maßnahmen.]</w:t>
      </w:r>
    </w:p>
    <w:p w14:paraId="34DC678A" w14:textId="77777777" w:rsidR="00D76094" w:rsidRPr="004676F5" w:rsidRDefault="00D76094" w:rsidP="00D76094">
      <w:pPr>
        <w:jc w:val="both"/>
        <w:rPr>
          <w:lang w:val="de-DE"/>
        </w:rPr>
      </w:pPr>
    </w:p>
    <w:p w14:paraId="09EC46C3" w14:textId="0FE9BB9E" w:rsidR="00D76094" w:rsidRPr="004676F5" w:rsidRDefault="00D76094" w:rsidP="00D76094">
      <w:pPr>
        <w:jc w:val="both"/>
        <w:rPr>
          <w:i/>
          <w:iCs/>
          <w:lang w:val="de-DE"/>
        </w:rPr>
      </w:pPr>
      <w:r w:rsidRPr="004676F5">
        <w:rPr>
          <w:i/>
          <w:iCs/>
          <w:lang w:val="de-DE"/>
        </w:rPr>
        <w:t>[Art. IV.78/3 eingefügt durch Art. 62 des G. vom 28. Februar 2022 (B.S. vom 7. März 2022)]</w:t>
      </w:r>
    </w:p>
    <w:p w14:paraId="00D89F46" w14:textId="77777777" w:rsidR="00D76094" w:rsidRPr="004676F5" w:rsidRDefault="00D76094" w:rsidP="00D76094">
      <w:pPr>
        <w:jc w:val="both"/>
        <w:rPr>
          <w:lang w:val="de-DE"/>
        </w:rPr>
      </w:pPr>
    </w:p>
    <w:p w14:paraId="04649E09" w14:textId="77777777" w:rsidR="00D76094" w:rsidRPr="004676F5" w:rsidRDefault="00D76094" w:rsidP="00D76094">
      <w:pPr>
        <w:jc w:val="both"/>
        <w:rPr>
          <w:lang w:val="de-DE"/>
        </w:rPr>
      </w:pPr>
    </w:p>
    <w:p w14:paraId="71A0BE4E" w14:textId="05F62144" w:rsidR="00D76094" w:rsidRPr="004676F5" w:rsidRDefault="00D76094" w:rsidP="00D76094">
      <w:pPr>
        <w:jc w:val="both"/>
        <w:rPr>
          <w:lang w:val="de-DE"/>
        </w:rPr>
      </w:pPr>
      <w:r w:rsidRPr="004676F5">
        <w:rPr>
          <w:lang w:val="de-DE"/>
        </w:rPr>
        <w:tab/>
        <w:t>[</w:t>
      </w:r>
      <w:r w:rsidRPr="004676F5">
        <w:rPr>
          <w:b/>
          <w:bCs/>
          <w:lang w:val="de-DE"/>
        </w:rPr>
        <w:t>Art. IV.78/4</w:t>
      </w:r>
      <w:r w:rsidRPr="004676F5">
        <w:rPr>
          <w:lang w:val="de-DE"/>
        </w:rPr>
        <w:t> </w:t>
      </w:r>
      <w:r w:rsidR="005B7A5C" w:rsidRPr="004676F5">
        <w:rPr>
          <w:lang w:val="de-DE"/>
        </w:rPr>
        <w:t>- </w:t>
      </w:r>
      <w:r w:rsidRPr="004676F5">
        <w:rPr>
          <w:lang w:val="de-DE"/>
        </w:rPr>
        <w:t>§ 1 ­ Auf Ersuchen einer nationalen Wettbewerbsbehörde vollstreckt der Generalauditor die Entscheidungen dieser nationalen Wettbewerbsbehörde, mit denen Geldbußen und Zwangsgelder wegen eines Verstoßes gegen Artikel 101 oder 102 AEUV und/oder die entsprechende Bestimmung ihres nationalen Rechts verhängt wurden, wenn:</w:t>
      </w:r>
    </w:p>
    <w:p w14:paraId="3EB1AD3F" w14:textId="77777777" w:rsidR="00D76094" w:rsidRPr="004676F5" w:rsidRDefault="00D76094" w:rsidP="00D76094">
      <w:pPr>
        <w:jc w:val="both"/>
        <w:rPr>
          <w:lang w:val="de-DE"/>
        </w:rPr>
      </w:pPr>
    </w:p>
    <w:p w14:paraId="41502DEB" w14:textId="77777777" w:rsidR="00D76094" w:rsidRPr="004676F5" w:rsidRDefault="00D76094" w:rsidP="00D76094">
      <w:pPr>
        <w:jc w:val="both"/>
        <w:rPr>
          <w:lang w:val="de-DE"/>
        </w:rPr>
      </w:pPr>
      <w:r w:rsidRPr="004676F5">
        <w:rPr>
          <w:lang w:val="de-DE"/>
        </w:rPr>
        <w:tab/>
        <w:t>1. gegen die Entscheidung ein ordentliches Rechtsmittel nicht oder nicht mehr eingelegt werden kann und</w:t>
      </w:r>
    </w:p>
    <w:p w14:paraId="3BFE56A8" w14:textId="77777777" w:rsidR="00D76094" w:rsidRPr="004676F5" w:rsidRDefault="00D76094" w:rsidP="00D76094">
      <w:pPr>
        <w:jc w:val="both"/>
        <w:rPr>
          <w:lang w:val="de-DE"/>
        </w:rPr>
      </w:pPr>
    </w:p>
    <w:p w14:paraId="274F2D0B" w14:textId="77777777" w:rsidR="00D76094" w:rsidRPr="004676F5" w:rsidRDefault="00D76094" w:rsidP="00D76094">
      <w:pPr>
        <w:jc w:val="both"/>
        <w:rPr>
          <w:lang w:val="de-DE"/>
        </w:rPr>
      </w:pPr>
      <w:r w:rsidRPr="004676F5">
        <w:rPr>
          <w:lang w:val="de-DE"/>
        </w:rPr>
        <w:tab/>
        <w:t>2. die betreffende nationale Wettbewerbsbehörde nach angemessenen Bemühungen in ihrem Hoheitsgebiet festgestellt hat, dass das Unternehmen oder die Unternehmens</w:t>
      </w:r>
      <w:r w:rsidRPr="004676F5">
        <w:rPr>
          <w:lang w:val="de-DE"/>
        </w:rPr>
        <w:softHyphen/>
        <w:t>vereinigung, gegen das/die die Geldbuße oder das Zwangsgeld vollstreckbar ist, im Mitgliedstaat dieser nationalen Wettbewerbsbehörde keine zur Einziehung dieser Geldbuße oder dieses Zwangsgeldes ausreichenden Vermögenswerte hat.</w:t>
      </w:r>
    </w:p>
    <w:p w14:paraId="237FD9D0" w14:textId="77777777" w:rsidR="00D76094" w:rsidRPr="004676F5" w:rsidRDefault="00D76094" w:rsidP="00D76094">
      <w:pPr>
        <w:jc w:val="both"/>
        <w:rPr>
          <w:lang w:val="de-DE"/>
        </w:rPr>
      </w:pPr>
    </w:p>
    <w:p w14:paraId="7AD3B9BB" w14:textId="77777777" w:rsidR="00D76094" w:rsidRPr="004676F5" w:rsidRDefault="00D76094" w:rsidP="00D76094">
      <w:pPr>
        <w:jc w:val="both"/>
        <w:rPr>
          <w:lang w:val="de-DE"/>
        </w:rPr>
      </w:pPr>
      <w:r w:rsidRPr="004676F5">
        <w:rPr>
          <w:lang w:val="de-DE"/>
        </w:rPr>
        <w:tab/>
        <w:t>Der Generalauditor kann die in Absatz 1 erwähnten Entscheidungen auf Ersuchen einer nationalen Wettbewerbsbehörde auch in anderen als den in Absatz 1 Nr. 2 erwähnten Fällen vollstrecken, insbesondere wenn das Unternehmen oder die Unternehmensvereinigung, gegen das/die die Geldbuße oder das Zwangsgeld vollstreckbar ist, im Mitgliedstaat der betreffenden nationalen Wettbewerbsbehörde keine Niederlassung hat.</w:t>
      </w:r>
    </w:p>
    <w:p w14:paraId="27892B7A" w14:textId="77777777" w:rsidR="00D76094" w:rsidRPr="004676F5" w:rsidRDefault="00D76094" w:rsidP="00D76094">
      <w:pPr>
        <w:jc w:val="both"/>
        <w:rPr>
          <w:lang w:val="de-DE"/>
        </w:rPr>
      </w:pPr>
    </w:p>
    <w:p w14:paraId="5455BA91" w14:textId="77777777" w:rsidR="00D76094" w:rsidRPr="004676F5" w:rsidRDefault="00D76094" w:rsidP="00D76094">
      <w:pPr>
        <w:jc w:val="both"/>
        <w:rPr>
          <w:lang w:val="de-DE"/>
        </w:rPr>
      </w:pPr>
      <w:r w:rsidRPr="004676F5">
        <w:rPr>
          <w:lang w:val="de-DE"/>
        </w:rPr>
        <w:lastRenderedPageBreak/>
        <w:tab/>
        <w:t>§ 2 ­ Das Ersuchen um Vollstreckung einer in § 1 erwähnten Entscheidung wird ohne ungebührliche Verzögerung nur und ausschließlich auf der Grundlage des einheitlichen Titels durchgeführt, der gemäß Artikel IV.78/6 abgefasst ist.</w:t>
      </w:r>
    </w:p>
    <w:p w14:paraId="77E31EF2" w14:textId="77777777" w:rsidR="00D76094" w:rsidRPr="004676F5" w:rsidRDefault="00D76094" w:rsidP="00D76094">
      <w:pPr>
        <w:jc w:val="both"/>
        <w:rPr>
          <w:lang w:val="de-DE"/>
        </w:rPr>
      </w:pPr>
    </w:p>
    <w:p w14:paraId="5F2714AF" w14:textId="77777777" w:rsidR="00D76094" w:rsidRPr="004676F5" w:rsidRDefault="00D76094" w:rsidP="00D76094">
      <w:pPr>
        <w:jc w:val="both"/>
        <w:rPr>
          <w:lang w:val="de-DE"/>
        </w:rPr>
      </w:pPr>
      <w:r w:rsidRPr="004676F5">
        <w:rPr>
          <w:lang w:val="de-DE"/>
        </w:rPr>
        <w:tab/>
        <w:t>§ 3 ­ Der Generalauditor wendet sich an die betreffende nationale Wettbewerbs</w:t>
      </w:r>
      <w:r w:rsidRPr="004676F5">
        <w:rPr>
          <w:lang w:val="de-DE"/>
        </w:rPr>
        <w:softHyphen/>
        <w:t>behörde, wenn er erwägt, ein Ersuchen um Vollstreckung einer Entscheidung abzulehnen oder zusätzliche Informationen anzufordern.</w:t>
      </w:r>
    </w:p>
    <w:p w14:paraId="795177A1" w14:textId="77777777" w:rsidR="00D76094" w:rsidRPr="004676F5" w:rsidRDefault="00D76094" w:rsidP="00D76094">
      <w:pPr>
        <w:jc w:val="both"/>
        <w:rPr>
          <w:lang w:val="de-DE"/>
        </w:rPr>
      </w:pPr>
    </w:p>
    <w:p w14:paraId="45675792" w14:textId="77777777" w:rsidR="00D76094" w:rsidRPr="004676F5" w:rsidRDefault="00D76094" w:rsidP="00D76094">
      <w:pPr>
        <w:jc w:val="both"/>
        <w:rPr>
          <w:lang w:val="de-DE"/>
        </w:rPr>
      </w:pPr>
      <w:r w:rsidRPr="004676F5">
        <w:rPr>
          <w:lang w:val="de-DE"/>
        </w:rPr>
        <w:tab/>
        <w:t>Er kann beschließen, das Ersuchen um Vollstreckung einer in § 1 erwähnten Entscheidung nicht zu erledigen, wenn das Ersuchen den Anforderungen des vorliegenden Artikels und des Artikels IV.78/6 nicht entspricht oder wenn er schlüssig darlegt, dass diese Erledigung der öffentlichen Ordnung widersprechen würde.</w:t>
      </w:r>
    </w:p>
    <w:p w14:paraId="28974E16" w14:textId="77777777" w:rsidR="00D76094" w:rsidRPr="004676F5" w:rsidRDefault="00D76094" w:rsidP="00D76094">
      <w:pPr>
        <w:jc w:val="both"/>
        <w:rPr>
          <w:lang w:val="de-DE"/>
        </w:rPr>
      </w:pPr>
    </w:p>
    <w:p w14:paraId="4F9B77DC" w14:textId="5D8B7FDA" w:rsidR="00D76094" w:rsidRPr="004676F5" w:rsidRDefault="00D76094" w:rsidP="00D76094">
      <w:pPr>
        <w:jc w:val="both"/>
        <w:rPr>
          <w:lang w:val="de-DE"/>
        </w:rPr>
      </w:pPr>
      <w:r w:rsidRPr="004676F5">
        <w:rPr>
          <w:lang w:val="de-DE"/>
        </w:rPr>
        <w:tab/>
        <w:t>§ 4 </w:t>
      </w:r>
      <w:r w:rsidR="005B7A5C" w:rsidRPr="004676F5">
        <w:rPr>
          <w:lang w:val="de-DE"/>
        </w:rPr>
        <w:t>- </w:t>
      </w:r>
      <w:r w:rsidRPr="004676F5">
        <w:rPr>
          <w:lang w:val="de-DE"/>
        </w:rPr>
        <w:t>Der Generalauditor leitet die Ersuchen um Vollstreckung der in § 1 erwähnten Entscheidungen zwecks Beitreibung des geschuldeten Betrags an den FÖD Finanzen weiter. Dieser treibt die Beträge gemäß den Artikeln 3 und folgenden des Domanialgesetzes vom 22. Dezember 1949 für die Beitreibung nichtsteuerlicher Forderungen bei.</w:t>
      </w:r>
    </w:p>
    <w:p w14:paraId="1A5212E8" w14:textId="77777777" w:rsidR="00D76094" w:rsidRPr="004676F5" w:rsidRDefault="00D76094" w:rsidP="00D76094">
      <w:pPr>
        <w:jc w:val="both"/>
        <w:rPr>
          <w:lang w:val="de-DE"/>
        </w:rPr>
      </w:pPr>
    </w:p>
    <w:p w14:paraId="59AC1BE8" w14:textId="7108E01D" w:rsidR="00D76094" w:rsidRPr="004676F5" w:rsidRDefault="00D76094" w:rsidP="00D76094">
      <w:pPr>
        <w:jc w:val="both"/>
        <w:rPr>
          <w:lang w:val="de-DE"/>
        </w:rPr>
      </w:pPr>
      <w:r w:rsidRPr="004676F5">
        <w:rPr>
          <w:lang w:val="de-DE"/>
        </w:rPr>
        <w:tab/>
        <w:t>§ 5 </w:t>
      </w:r>
      <w:r w:rsidR="005B7A5C" w:rsidRPr="004676F5">
        <w:rPr>
          <w:lang w:val="de-DE"/>
        </w:rPr>
        <w:t>- </w:t>
      </w:r>
      <w:r w:rsidRPr="004676F5">
        <w:rPr>
          <w:lang w:val="de-DE"/>
        </w:rPr>
        <w:t>Für die Verjährungsfristen für die Vollstreckung der in § 1 erwähnten Entscheidungen gilt das nationale Recht des Mitgliedstaats der ersuchenden nationalen Wettbewerbsbehörde.</w:t>
      </w:r>
    </w:p>
    <w:p w14:paraId="3AB77404" w14:textId="77777777" w:rsidR="00D76094" w:rsidRPr="004676F5" w:rsidRDefault="00D76094" w:rsidP="00D76094">
      <w:pPr>
        <w:jc w:val="both"/>
        <w:rPr>
          <w:lang w:val="de-DE"/>
        </w:rPr>
      </w:pPr>
    </w:p>
    <w:p w14:paraId="2AEA840A" w14:textId="1FAC8B4C" w:rsidR="00D76094" w:rsidRPr="004676F5" w:rsidRDefault="00D76094" w:rsidP="00D76094">
      <w:pPr>
        <w:jc w:val="both"/>
        <w:rPr>
          <w:lang w:val="de-DE"/>
        </w:rPr>
      </w:pPr>
      <w:r w:rsidRPr="004676F5">
        <w:rPr>
          <w:lang w:val="de-DE"/>
        </w:rPr>
        <w:tab/>
        <w:t>§ 6 </w:t>
      </w:r>
      <w:r w:rsidR="005B7A5C" w:rsidRPr="004676F5">
        <w:rPr>
          <w:lang w:val="de-DE"/>
        </w:rPr>
        <w:t>- </w:t>
      </w:r>
      <w:r w:rsidRPr="004676F5">
        <w:rPr>
          <w:lang w:val="de-DE"/>
        </w:rPr>
        <w:t>Die Belgische Wettbewerbsbehörde und der FÖD Finanzen können alle im Zusammenhang mit Maßnahmen gemäß vorliegendem Artikel entstandenen Kosten einschließlich Übersetzungs-, Personal</w:t>
      </w:r>
      <w:r w:rsidR="005B7A5C" w:rsidRPr="004676F5">
        <w:rPr>
          <w:lang w:val="de-DE"/>
        </w:rPr>
        <w:t>- </w:t>
      </w:r>
      <w:r w:rsidRPr="004676F5">
        <w:rPr>
          <w:lang w:val="de-DE"/>
        </w:rPr>
        <w:t>und Verwaltungskosten decken:</w:t>
      </w:r>
    </w:p>
    <w:p w14:paraId="01D82B29" w14:textId="77777777" w:rsidR="00D76094" w:rsidRPr="004676F5" w:rsidRDefault="00D76094" w:rsidP="00D76094">
      <w:pPr>
        <w:jc w:val="both"/>
        <w:rPr>
          <w:lang w:val="de-DE"/>
        </w:rPr>
      </w:pPr>
    </w:p>
    <w:p w14:paraId="5CFC67DC" w14:textId="77777777" w:rsidR="00D76094" w:rsidRPr="004676F5" w:rsidRDefault="00D76094" w:rsidP="00D76094">
      <w:pPr>
        <w:jc w:val="both"/>
        <w:rPr>
          <w:lang w:val="de-DE"/>
        </w:rPr>
      </w:pPr>
      <w:r w:rsidRPr="004676F5">
        <w:rPr>
          <w:lang w:val="de-DE"/>
        </w:rPr>
        <w:tab/>
        <w:t>1. aus den für die betreffende nationale Wettbewerbsbehörde erhobenen Geldbußen oder Zwangsgeldern oder</w:t>
      </w:r>
    </w:p>
    <w:p w14:paraId="5A2943F5" w14:textId="77777777" w:rsidR="00D76094" w:rsidRPr="004676F5" w:rsidRDefault="00D76094" w:rsidP="00D76094">
      <w:pPr>
        <w:jc w:val="both"/>
        <w:rPr>
          <w:lang w:val="de-DE"/>
        </w:rPr>
      </w:pPr>
    </w:p>
    <w:p w14:paraId="7C20E119" w14:textId="77777777" w:rsidR="00D76094" w:rsidRPr="004676F5" w:rsidRDefault="00D76094" w:rsidP="00D76094">
      <w:pPr>
        <w:jc w:val="both"/>
        <w:rPr>
          <w:lang w:val="de-DE"/>
        </w:rPr>
      </w:pPr>
      <w:r w:rsidRPr="004676F5">
        <w:rPr>
          <w:lang w:val="de-DE"/>
        </w:rPr>
        <w:tab/>
        <w:t>2. indem sie sich an das Unternehmen oder die Unternehmensvereinigung wenden, gegen das/die die Geldbuße oder das Zwangsgeld vollstreckbar ist.</w:t>
      </w:r>
    </w:p>
    <w:p w14:paraId="146866C8" w14:textId="77777777" w:rsidR="00D76094" w:rsidRPr="004676F5" w:rsidRDefault="00D76094" w:rsidP="00D76094">
      <w:pPr>
        <w:jc w:val="both"/>
        <w:rPr>
          <w:lang w:val="de-DE"/>
        </w:rPr>
      </w:pPr>
    </w:p>
    <w:p w14:paraId="043BD350" w14:textId="77777777" w:rsidR="00D76094" w:rsidRPr="004676F5" w:rsidRDefault="00D76094" w:rsidP="00D76094">
      <w:pPr>
        <w:jc w:val="both"/>
        <w:rPr>
          <w:lang w:val="de-DE"/>
        </w:rPr>
      </w:pPr>
      <w:r w:rsidRPr="004676F5">
        <w:rPr>
          <w:lang w:val="de-DE"/>
        </w:rPr>
        <w:tab/>
        <w:t>Selbst wenn es der Belgischen Wettbewerbsbehörde und dem FÖD Finanzen nicht gelingt, die Geldbußen oder Zwangsgelder beizutreiben, können sie die betreffende nationale Wettbewerbsbehörde um Übernahme der entstandenen Kosten ersuchen.</w:t>
      </w:r>
    </w:p>
    <w:p w14:paraId="06265093" w14:textId="77777777" w:rsidR="00D76094" w:rsidRPr="004676F5" w:rsidRDefault="00D76094" w:rsidP="00D76094">
      <w:pPr>
        <w:jc w:val="both"/>
        <w:rPr>
          <w:lang w:val="de-DE"/>
        </w:rPr>
      </w:pPr>
    </w:p>
    <w:p w14:paraId="06EDC6D6" w14:textId="77777777" w:rsidR="00D76094" w:rsidRPr="004676F5" w:rsidRDefault="00D76094" w:rsidP="00D76094">
      <w:pPr>
        <w:jc w:val="both"/>
        <w:rPr>
          <w:lang w:val="de-DE"/>
        </w:rPr>
      </w:pPr>
      <w:r w:rsidRPr="004676F5">
        <w:rPr>
          <w:lang w:val="de-DE"/>
        </w:rPr>
        <w:tab/>
        <w:t>Geschuldete Beträge werden in Euro erhoben.</w:t>
      </w:r>
    </w:p>
    <w:p w14:paraId="6AF1B264" w14:textId="77777777" w:rsidR="00D76094" w:rsidRPr="004676F5" w:rsidRDefault="00D76094" w:rsidP="00D76094">
      <w:pPr>
        <w:jc w:val="both"/>
        <w:rPr>
          <w:lang w:val="de-DE"/>
        </w:rPr>
      </w:pPr>
    </w:p>
    <w:p w14:paraId="55559E70" w14:textId="7F019CC0" w:rsidR="00D76094" w:rsidRPr="004676F5" w:rsidRDefault="00D76094" w:rsidP="00D76094">
      <w:pPr>
        <w:jc w:val="both"/>
        <w:rPr>
          <w:lang w:val="de-DE"/>
        </w:rPr>
      </w:pPr>
      <w:r w:rsidRPr="004676F5">
        <w:rPr>
          <w:lang w:val="de-DE"/>
        </w:rPr>
        <w:tab/>
        <w:t>§ 7 </w:t>
      </w:r>
      <w:r w:rsidR="005B7A5C" w:rsidRPr="004676F5">
        <w:rPr>
          <w:lang w:val="de-DE"/>
        </w:rPr>
        <w:t>- </w:t>
      </w:r>
      <w:r w:rsidRPr="004676F5">
        <w:rPr>
          <w:lang w:val="de-DE"/>
        </w:rPr>
        <w:t>Die Belgische Wettbewerbsbehörde stellt dem betroffenen Unternehmen oder der betroffenen Unternehmensvereinigung unverzüglich die von ihr in Anwendung des vorliegenden Artikels getroffenen Vollstreckungsmaßnahmen zu.]</w:t>
      </w:r>
    </w:p>
    <w:p w14:paraId="02E02896" w14:textId="77777777" w:rsidR="00D76094" w:rsidRPr="004676F5" w:rsidRDefault="00D76094" w:rsidP="00D76094">
      <w:pPr>
        <w:jc w:val="both"/>
        <w:rPr>
          <w:lang w:val="de-DE"/>
        </w:rPr>
      </w:pPr>
    </w:p>
    <w:p w14:paraId="153964C5" w14:textId="555F7884" w:rsidR="00D76094" w:rsidRPr="004676F5" w:rsidRDefault="00D76094" w:rsidP="00D76094">
      <w:pPr>
        <w:jc w:val="both"/>
        <w:rPr>
          <w:i/>
          <w:iCs/>
          <w:lang w:val="de-DE"/>
        </w:rPr>
      </w:pPr>
      <w:r w:rsidRPr="004676F5">
        <w:rPr>
          <w:i/>
          <w:iCs/>
          <w:lang w:val="de-DE"/>
        </w:rPr>
        <w:t>[Art. IV.78/4 eingefügt durch Art. 63 des G. vom 28. Februar 2022 (B.S. vom 7. März 2022)]</w:t>
      </w:r>
    </w:p>
    <w:p w14:paraId="445D3D3B" w14:textId="77777777" w:rsidR="00D76094" w:rsidRPr="004676F5" w:rsidRDefault="00D76094" w:rsidP="00D76094">
      <w:pPr>
        <w:jc w:val="both"/>
        <w:rPr>
          <w:lang w:val="de-DE"/>
        </w:rPr>
      </w:pPr>
    </w:p>
    <w:p w14:paraId="50AC0F1F" w14:textId="77777777" w:rsidR="00D76094" w:rsidRPr="004676F5" w:rsidRDefault="00D76094" w:rsidP="00D76094">
      <w:pPr>
        <w:jc w:val="both"/>
        <w:rPr>
          <w:lang w:val="de-DE"/>
        </w:rPr>
      </w:pPr>
    </w:p>
    <w:p w14:paraId="0FEB2B7B" w14:textId="77777777" w:rsidR="00CA6435" w:rsidRDefault="00CA6435">
      <w:pPr>
        <w:rPr>
          <w:lang w:val="de-DE"/>
        </w:rPr>
      </w:pPr>
      <w:r>
        <w:rPr>
          <w:lang w:val="de-DE"/>
        </w:rPr>
        <w:br w:type="page"/>
      </w:r>
    </w:p>
    <w:p w14:paraId="77E27E40" w14:textId="462EE3EF" w:rsidR="00D76094" w:rsidRPr="004676F5" w:rsidRDefault="00D76094" w:rsidP="00D76094">
      <w:pPr>
        <w:jc w:val="both"/>
        <w:rPr>
          <w:lang w:val="de-DE"/>
        </w:rPr>
      </w:pPr>
      <w:r w:rsidRPr="004676F5">
        <w:rPr>
          <w:lang w:val="de-DE"/>
        </w:rPr>
        <w:lastRenderedPageBreak/>
        <w:tab/>
        <w:t>[</w:t>
      </w:r>
      <w:r w:rsidRPr="004676F5">
        <w:rPr>
          <w:b/>
          <w:bCs/>
          <w:lang w:val="de-DE"/>
        </w:rPr>
        <w:t>Art. IV.78/5</w:t>
      </w:r>
      <w:r w:rsidRPr="004676F5">
        <w:rPr>
          <w:lang w:val="de-DE"/>
        </w:rPr>
        <w:t> </w:t>
      </w:r>
      <w:r w:rsidR="005B7A5C" w:rsidRPr="004676F5">
        <w:rPr>
          <w:lang w:val="de-DE"/>
        </w:rPr>
        <w:t>- </w:t>
      </w:r>
      <w:r w:rsidRPr="004676F5">
        <w:rPr>
          <w:lang w:val="de-DE"/>
        </w:rPr>
        <w:t>§ 1 ­ Der Generalauditor kann eine andere nationale Wettbewerbs</w:t>
      </w:r>
      <w:r w:rsidRPr="004676F5">
        <w:rPr>
          <w:lang w:val="de-DE"/>
        </w:rPr>
        <w:softHyphen/>
        <w:t>behörde ersuchen, Entscheidungen der Belgischen Wettbewerbsbehörde, mit denen Geldbußen und Zwangsgelder wegen einer Zuwiderhandlung gegen das Wettbewerbsrecht verhängt werden, zu vollstrecken, wenn:</w:t>
      </w:r>
    </w:p>
    <w:p w14:paraId="471267A4" w14:textId="77777777" w:rsidR="00D76094" w:rsidRPr="004676F5" w:rsidRDefault="00D76094" w:rsidP="00D76094">
      <w:pPr>
        <w:jc w:val="both"/>
        <w:rPr>
          <w:lang w:val="de-DE"/>
        </w:rPr>
      </w:pPr>
    </w:p>
    <w:p w14:paraId="281EEB4D" w14:textId="77777777" w:rsidR="00D76094" w:rsidRPr="004676F5" w:rsidRDefault="00D76094" w:rsidP="00D76094">
      <w:pPr>
        <w:jc w:val="both"/>
        <w:rPr>
          <w:lang w:val="de-DE"/>
        </w:rPr>
      </w:pPr>
      <w:r w:rsidRPr="004676F5">
        <w:rPr>
          <w:lang w:val="de-DE"/>
        </w:rPr>
        <w:tab/>
        <w:t>1. gegen die Entscheidung ein ordentliches Rechtsmittel nicht oder nicht mehr eingelegt werden kann und</w:t>
      </w:r>
    </w:p>
    <w:p w14:paraId="4535B1F4" w14:textId="77777777" w:rsidR="00D76094" w:rsidRPr="004676F5" w:rsidRDefault="00D76094" w:rsidP="00D76094">
      <w:pPr>
        <w:jc w:val="both"/>
        <w:rPr>
          <w:lang w:val="de-DE"/>
        </w:rPr>
      </w:pPr>
    </w:p>
    <w:p w14:paraId="37F8B455" w14:textId="77777777" w:rsidR="00D76094" w:rsidRPr="004676F5" w:rsidRDefault="00D76094" w:rsidP="00D76094">
      <w:pPr>
        <w:jc w:val="both"/>
        <w:rPr>
          <w:lang w:val="de-DE"/>
        </w:rPr>
      </w:pPr>
      <w:r w:rsidRPr="004676F5">
        <w:rPr>
          <w:lang w:val="de-DE"/>
        </w:rPr>
        <w:tab/>
        <w:t>2. er nach angemessenen Bemühungen im belgischen Hoheitsgebiet festgestellt hat, dass das Unternehmen oder die Unternehmensvereinigung, gegen das/die die Geldbuße oder das Zwangsgeld vollstreckbar ist, in Belgien keine zur Einziehung dieser Geldbuße oder dieses Zwangsgeldes ausreichenden Vermögenswerte hat.</w:t>
      </w:r>
    </w:p>
    <w:p w14:paraId="5B2B00C9" w14:textId="77777777" w:rsidR="00D76094" w:rsidRPr="004676F5" w:rsidRDefault="00D76094" w:rsidP="00D76094">
      <w:pPr>
        <w:jc w:val="both"/>
        <w:rPr>
          <w:lang w:val="de-DE"/>
        </w:rPr>
      </w:pPr>
    </w:p>
    <w:p w14:paraId="1BCA0C0B" w14:textId="77777777" w:rsidR="00D76094" w:rsidRPr="004676F5" w:rsidRDefault="00D76094" w:rsidP="00D76094">
      <w:pPr>
        <w:jc w:val="both"/>
        <w:rPr>
          <w:lang w:val="de-DE"/>
        </w:rPr>
      </w:pPr>
      <w:r w:rsidRPr="004676F5">
        <w:rPr>
          <w:lang w:val="de-DE"/>
        </w:rPr>
        <w:tab/>
        <w:t>Der Generalauditor kann die betreffende nationale Wettbewerbsbehörde auch ersuchen, in Absatz 1 erwähnte Entscheidungen in anderen als den in Absatz 1 Nr. 2 erwähnten Fällen zu vollstrecken, insbesondere wenn das Unternehmen oder die Unternehmensvereinigung, gegen das/die die Geldbuße oder das Zwangsgeld vollstreckbar ist, in Belgien keine Niederlassung hat.</w:t>
      </w:r>
    </w:p>
    <w:p w14:paraId="313CC07D" w14:textId="77777777" w:rsidR="00D76094" w:rsidRPr="004676F5" w:rsidRDefault="00D76094" w:rsidP="00D76094">
      <w:pPr>
        <w:jc w:val="both"/>
        <w:rPr>
          <w:lang w:val="de-DE"/>
        </w:rPr>
      </w:pPr>
    </w:p>
    <w:p w14:paraId="02B1419F" w14:textId="77777777" w:rsidR="00D76094" w:rsidRPr="004676F5" w:rsidRDefault="00D76094" w:rsidP="00D76094">
      <w:pPr>
        <w:jc w:val="both"/>
        <w:rPr>
          <w:lang w:val="de-DE"/>
        </w:rPr>
      </w:pPr>
      <w:r w:rsidRPr="004676F5">
        <w:rPr>
          <w:lang w:val="de-DE"/>
        </w:rPr>
        <w:tab/>
        <w:t>§ 2 ­ Das Ersuchen um Vollstreckung einer in § 1 erwähnten Entscheidung wird der betreffenden nationalen Behörde auf der Grundlage des einheitlichen Titels übermittelt, der gemäß Artikel IV.78/6 abgefasst ist.</w:t>
      </w:r>
    </w:p>
    <w:p w14:paraId="652F2BCE" w14:textId="77777777" w:rsidR="00D76094" w:rsidRPr="004676F5" w:rsidRDefault="00D76094" w:rsidP="00D76094">
      <w:pPr>
        <w:jc w:val="both"/>
        <w:rPr>
          <w:lang w:val="de-DE"/>
        </w:rPr>
      </w:pPr>
    </w:p>
    <w:p w14:paraId="5DB05CC5" w14:textId="77777777" w:rsidR="00D76094" w:rsidRPr="004676F5" w:rsidRDefault="00D76094" w:rsidP="00D76094">
      <w:pPr>
        <w:jc w:val="both"/>
        <w:rPr>
          <w:lang w:val="de-DE"/>
        </w:rPr>
      </w:pPr>
      <w:r w:rsidRPr="004676F5">
        <w:rPr>
          <w:lang w:val="de-DE"/>
        </w:rPr>
        <w:tab/>
        <w:t>Der Generalauditor stellt den einheitlichen Titel gleichzeitig dem betroffenen Unternehmen oder der betroffenen Unternehmensvereinigung zu.</w:t>
      </w:r>
    </w:p>
    <w:p w14:paraId="51E3E7BA" w14:textId="77777777" w:rsidR="00D76094" w:rsidRPr="004676F5" w:rsidRDefault="00D76094" w:rsidP="00D76094">
      <w:pPr>
        <w:jc w:val="both"/>
        <w:rPr>
          <w:lang w:val="de-DE"/>
        </w:rPr>
      </w:pPr>
    </w:p>
    <w:p w14:paraId="2F3DB592" w14:textId="77777777" w:rsidR="00D76094" w:rsidRPr="004676F5" w:rsidRDefault="00D76094" w:rsidP="00D76094">
      <w:pPr>
        <w:jc w:val="both"/>
        <w:rPr>
          <w:lang w:val="de-DE"/>
        </w:rPr>
      </w:pPr>
      <w:r w:rsidRPr="004676F5">
        <w:rPr>
          <w:lang w:val="de-DE"/>
        </w:rPr>
        <w:tab/>
        <w:t>§ 3 ­ Der Generalauditor erteilt der betreffenden nationalen Wettbewerbsbehörde auf deren Ersuchen weitere Informationen.</w:t>
      </w:r>
    </w:p>
    <w:p w14:paraId="6D6B6433" w14:textId="77777777" w:rsidR="00D76094" w:rsidRPr="004676F5" w:rsidRDefault="00D76094" w:rsidP="00D76094">
      <w:pPr>
        <w:jc w:val="both"/>
        <w:rPr>
          <w:lang w:val="de-DE"/>
        </w:rPr>
      </w:pPr>
    </w:p>
    <w:p w14:paraId="4BEFE147" w14:textId="6C0A71ED" w:rsidR="00D76094" w:rsidRPr="004676F5" w:rsidRDefault="00D76094" w:rsidP="00D76094">
      <w:pPr>
        <w:jc w:val="both"/>
        <w:rPr>
          <w:lang w:val="de-DE"/>
        </w:rPr>
      </w:pPr>
      <w:r w:rsidRPr="004676F5">
        <w:rPr>
          <w:lang w:val="de-DE"/>
        </w:rPr>
        <w:tab/>
        <w:t>§ 4 </w:t>
      </w:r>
      <w:r w:rsidR="005B7A5C" w:rsidRPr="004676F5">
        <w:rPr>
          <w:lang w:val="de-DE"/>
        </w:rPr>
        <w:t>- </w:t>
      </w:r>
      <w:r w:rsidRPr="004676F5">
        <w:rPr>
          <w:lang w:val="de-DE"/>
        </w:rPr>
        <w:t>Auf Ersuchen der betreffenden nationalen Wettbewerbsbehörde trägt die Belgische Wettbewerbsbehörde alle Kosten einschließlich Übersetzungs-, Personal</w:t>
      </w:r>
      <w:r w:rsidR="005B7A5C" w:rsidRPr="004676F5">
        <w:rPr>
          <w:lang w:val="de-DE"/>
        </w:rPr>
        <w:t>- </w:t>
      </w:r>
      <w:r w:rsidRPr="004676F5">
        <w:rPr>
          <w:lang w:val="de-DE"/>
        </w:rPr>
        <w:t>und Verwaltungskosten für die getroffenen Maßnahmen.</w:t>
      </w:r>
    </w:p>
    <w:p w14:paraId="4CA2383C" w14:textId="77777777" w:rsidR="00D76094" w:rsidRPr="004676F5" w:rsidRDefault="00D76094" w:rsidP="00D76094">
      <w:pPr>
        <w:jc w:val="both"/>
        <w:rPr>
          <w:lang w:val="de-DE"/>
        </w:rPr>
      </w:pPr>
    </w:p>
    <w:p w14:paraId="06542EAA" w14:textId="2B3EF7CD" w:rsidR="00D76094" w:rsidRPr="004676F5" w:rsidRDefault="00D76094" w:rsidP="00D76094">
      <w:pPr>
        <w:jc w:val="both"/>
        <w:rPr>
          <w:lang w:val="de-DE"/>
        </w:rPr>
      </w:pPr>
      <w:r w:rsidRPr="004676F5">
        <w:rPr>
          <w:lang w:val="de-DE"/>
        </w:rPr>
        <w:tab/>
        <w:t>Selbst wenn es der betreffenden nationalen Wettbewerbsbehörde nicht gelingt, die Geldbußen oder Zwangsgelder beizutreiben, kann sie die Belgische Wettbewerbsbehörde um Übernahme der entstandenen Kosten ersuchen.]</w:t>
      </w:r>
    </w:p>
    <w:p w14:paraId="2A21D638" w14:textId="77777777" w:rsidR="00D76094" w:rsidRPr="004676F5" w:rsidRDefault="00D76094" w:rsidP="00D76094">
      <w:pPr>
        <w:jc w:val="both"/>
        <w:rPr>
          <w:lang w:val="de-DE"/>
        </w:rPr>
      </w:pPr>
    </w:p>
    <w:p w14:paraId="6A464250" w14:textId="0EF1438E" w:rsidR="00D76094" w:rsidRPr="004676F5" w:rsidRDefault="00D76094" w:rsidP="00D76094">
      <w:pPr>
        <w:jc w:val="both"/>
        <w:rPr>
          <w:i/>
          <w:iCs/>
          <w:lang w:val="de-DE"/>
        </w:rPr>
      </w:pPr>
      <w:r w:rsidRPr="004676F5">
        <w:rPr>
          <w:i/>
          <w:iCs/>
          <w:lang w:val="de-DE"/>
        </w:rPr>
        <w:t>[Art. IV.78/5 eingefügt durch Art. 64 des G. vom 28. Februar 2022 (B.S. vom 7. März 2022)]</w:t>
      </w:r>
    </w:p>
    <w:p w14:paraId="52AB2774" w14:textId="77777777" w:rsidR="00D76094" w:rsidRPr="004676F5" w:rsidRDefault="00D76094" w:rsidP="00D76094">
      <w:pPr>
        <w:jc w:val="both"/>
        <w:rPr>
          <w:lang w:val="de-DE"/>
        </w:rPr>
      </w:pPr>
    </w:p>
    <w:p w14:paraId="668EF391" w14:textId="77777777" w:rsidR="00D76094" w:rsidRPr="004676F5" w:rsidRDefault="00D76094" w:rsidP="00D76094">
      <w:pPr>
        <w:jc w:val="both"/>
        <w:rPr>
          <w:lang w:val="de-DE"/>
        </w:rPr>
      </w:pPr>
    </w:p>
    <w:p w14:paraId="22E05D46" w14:textId="056C25B1" w:rsidR="00D76094" w:rsidRPr="004676F5" w:rsidRDefault="00D76094" w:rsidP="00D76094">
      <w:pPr>
        <w:jc w:val="both"/>
        <w:rPr>
          <w:lang w:val="de-DE"/>
        </w:rPr>
      </w:pPr>
      <w:r w:rsidRPr="004676F5">
        <w:rPr>
          <w:lang w:val="de-DE"/>
        </w:rPr>
        <w:tab/>
        <w:t>[</w:t>
      </w:r>
      <w:r w:rsidRPr="004676F5">
        <w:rPr>
          <w:b/>
          <w:bCs/>
          <w:lang w:val="de-DE"/>
        </w:rPr>
        <w:t>Art. IV.78/6</w:t>
      </w:r>
      <w:r w:rsidRPr="004676F5">
        <w:rPr>
          <w:lang w:val="de-DE"/>
        </w:rPr>
        <w:t> </w:t>
      </w:r>
      <w:r w:rsidR="005B7A5C" w:rsidRPr="004676F5">
        <w:rPr>
          <w:lang w:val="de-DE"/>
        </w:rPr>
        <w:t>- </w:t>
      </w:r>
      <w:r w:rsidRPr="004676F5">
        <w:rPr>
          <w:lang w:val="de-DE"/>
        </w:rPr>
        <w:t>§ 1 ­ Ersuchen im Sinne der Artikel IV.78/2 bis IV.78/5 werden auf der Grundlage eines einheitlichen Titels durchgeführt, dem eine Kopie des zuzustellenden oder zu vollstreckenden Aktes beigefügt ist. Dieser einheitliche Titel enthält folgende Angaben:</w:t>
      </w:r>
    </w:p>
    <w:p w14:paraId="14671CE6" w14:textId="77777777" w:rsidR="00D76094" w:rsidRPr="004676F5" w:rsidRDefault="00D76094" w:rsidP="00D76094">
      <w:pPr>
        <w:jc w:val="both"/>
        <w:rPr>
          <w:lang w:val="de-DE"/>
        </w:rPr>
      </w:pPr>
    </w:p>
    <w:p w14:paraId="52CC6E8F" w14:textId="77777777" w:rsidR="00D76094" w:rsidRPr="004676F5" w:rsidRDefault="00D76094" w:rsidP="00D76094">
      <w:pPr>
        <w:jc w:val="both"/>
        <w:rPr>
          <w:lang w:val="de-DE"/>
        </w:rPr>
      </w:pPr>
      <w:r w:rsidRPr="004676F5">
        <w:rPr>
          <w:lang w:val="de-DE"/>
        </w:rPr>
        <w:tab/>
      </w:r>
      <w:r w:rsidRPr="004676F5">
        <w:rPr>
          <w:i/>
          <w:iCs/>
          <w:lang w:val="de-DE"/>
        </w:rPr>
        <w:t>a)</w:t>
      </w:r>
      <w:r w:rsidRPr="004676F5">
        <w:rPr>
          <w:lang w:val="de-DE"/>
        </w:rPr>
        <w:t> Name, Anschrift des Empfängers und alle weiteren relevanten Informationen zur Identifizierung des Empfängers,</w:t>
      </w:r>
    </w:p>
    <w:p w14:paraId="07BA36F9" w14:textId="77777777" w:rsidR="00D76094" w:rsidRPr="004676F5" w:rsidRDefault="00D76094" w:rsidP="00D76094">
      <w:pPr>
        <w:jc w:val="both"/>
        <w:rPr>
          <w:lang w:val="de-DE"/>
        </w:rPr>
      </w:pPr>
    </w:p>
    <w:p w14:paraId="0DDBABD4" w14:textId="77777777" w:rsidR="00D76094" w:rsidRPr="004676F5" w:rsidRDefault="00D76094" w:rsidP="00D76094">
      <w:pPr>
        <w:jc w:val="both"/>
        <w:rPr>
          <w:lang w:val="de-DE"/>
        </w:rPr>
      </w:pPr>
      <w:r w:rsidRPr="004676F5">
        <w:rPr>
          <w:lang w:val="de-DE"/>
        </w:rPr>
        <w:tab/>
      </w:r>
      <w:r w:rsidRPr="004676F5">
        <w:rPr>
          <w:i/>
          <w:lang w:val="de-DE"/>
        </w:rPr>
        <w:t>b)</w:t>
      </w:r>
      <w:r w:rsidRPr="004676F5">
        <w:rPr>
          <w:lang w:val="de-DE"/>
        </w:rPr>
        <w:t> eine Zusammenfassung der einschlägigen Fakten und Umstände,</w:t>
      </w:r>
    </w:p>
    <w:p w14:paraId="3F5B8E6D" w14:textId="77777777" w:rsidR="00D76094" w:rsidRPr="004676F5" w:rsidRDefault="00D76094" w:rsidP="00D76094">
      <w:pPr>
        <w:jc w:val="both"/>
        <w:rPr>
          <w:lang w:val="de-DE"/>
        </w:rPr>
      </w:pPr>
    </w:p>
    <w:p w14:paraId="3673BE18" w14:textId="77777777" w:rsidR="00D76094" w:rsidRPr="004676F5" w:rsidRDefault="00D76094" w:rsidP="00D76094">
      <w:pPr>
        <w:jc w:val="both"/>
        <w:rPr>
          <w:lang w:val="de-DE"/>
        </w:rPr>
      </w:pPr>
      <w:r w:rsidRPr="004676F5">
        <w:rPr>
          <w:lang w:val="de-DE"/>
        </w:rPr>
        <w:tab/>
      </w:r>
      <w:r w:rsidRPr="004676F5">
        <w:rPr>
          <w:i/>
          <w:lang w:val="de-DE"/>
        </w:rPr>
        <w:t>c)</w:t>
      </w:r>
      <w:r w:rsidRPr="004676F5">
        <w:rPr>
          <w:lang w:val="de-DE"/>
        </w:rPr>
        <w:t> eine Zusammenfassung der Kopie des beigefügten zuzustellenden oder zu vollstreckenden Aktes,</w:t>
      </w:r>
    </w:p>
    <w:p w14:paraId="11507809" w14:textId="77777777" w:rsidR="00D76094" w:rsidRPr="004676F5" w:rsidRDefault="00D76094" w:rsidP="00D76094">
      <w:pPr>
        <w:jc w:val="both"/>
        <w:rPr>
          <w:lang w:val="de-DE"/>
        </w:rPr>
      </w:pPr>
    </w:p>
    <w:p w14:paraId="5719B886" w14:textId="77777777" w:rsidR="00D76094" w:rsidRPr="004676F5" w:rsidRDefault="00D76094" w:rsidP="00D76094">
      <w:pPr>
        <w:jc w:val="both"/>
        <w:rPr>
          <w:lang w:val="de-DE"/>
        </w:rPr>
      </w:pPr>
      <w:r w:rsidRPr="004676F5">
        <w:rPr>
          <w:lang w:val="de-DE"/>
        </w:rPr>
        <w:tab/>
      </w:r>
      <w:r w:rsidRPr="004676F5">
        <w:rPr>
          <w:i/>
          <w:lang w:val="de-DE"/>
        </w:rPr>
        <w:t>d)</w:t>
      </w:r>
      <w:r w:rsidRPr="004676F5">
        <w:rPr>
          <w:lang w:val="de-DE"/>
        </w:rPr>
        <w:t> Name, Anschrift und andere Kontaktangaben der nationalen Wettbewerbsbehörde, an die das Ersuchen gerichtet ist,</w:t>
      </w:r>
    </w:p>
    <w:p w14:paraId="10C8E2EB" w14:textId="77777777" w:rsidR="00D76094" w:rsidRPr="004676F5" w:rsidRDefault="00D76094" w:rsidP="00D76094">
      <w:pPr>
        <w:jc w:val="both"/>
        <w:rPr>
          <w:lang w:val="de-DE"/>
        </w:rPr>
      </w:pPr>
    </w:p>
    <w:p w14:paraId="05B61CFA" w14:textId="77777777" w:rsidR="00D76094" w:rsidRPr="004676F5" w:rsidRDefault="00D76094" w:rsidP="00D76094">
      <w:pPr>
        <w:jc w:val="both"/>
        <w:rPr>
          <w:lang w:val="de-DE"/>
        </w:rPr>
      </w:pPr>
      <w:r w:rsidRPr="004676F5">
        <w:rPr>
          <w:lang w:val="de-DE"/>
        </w:rPr>
        <w:tab/>
      </w:r>
      <w:r w:rsidRPr="004676F5">
        <w:rPr>
          <w:i/>
          <w:lang w:val="de-DE"/>
        </w:rPr>
        <w:t>e)</w:t>
      </w:r>
      <w:r w:rsidRPr="004676F5">
        <w:rPr>
          <w:lang w:val="de-DE"/>
        </w:rPr>
        <w:t> Zeitraum, in dem die Zustellung oder Vollstreckung erfolgen sollte, beispielsweise gesetzliche Fristen oder Verjährungsfristen.</w:t>
      </w:r>
    </w:p>
    <w:p w14:paraId="368260DD" w14:textId="77777777" w:rsidR="00D76094" w:rsidRPr="004676F5" w:rsidRDefault="00D76094" w:rsidP="00D76094">
      <w:pPr>
        <w:jc w:val="both"/>
        <w:rPr>
          <w:lang w:val="de-DE"/>
        </w:rPr>
      </w:pPr>
    </w:p>
    <w:p w14:paraId="42CAC10C" w14:textId="77777777" w:rsidR="00D76094" w:rsidRPr="004676F5" w:rsidRDefault="00D76094" w:rsidP="00D76094">
      <w:pPr>
        <w:jc w:val="both"/>
        <w:rPr>
          <w:lang w:val="de-DE"/>
        </w:rPr>
      </w:pPr>
      <w:r w:rsidRPr="004676F5">
        <w:rPr>
          <w:lang w:val="de-DE"/>
        </w:rPr>
        <w:tab/>
        <w:t>§ 2 ­ Neben den in § 1 erwähnten Anforderungen enthält der einheitliche Titel für Ersuchen gemäß den Artikeln IV.78/4 und IV.78/5 folgende Angaben:</w:t>
      </w:r>
    </w:p>
    <w:p w14:paraId="775CBD20" w14:textId="77777777" w:rsidR="00D76094" w:rsidRPr="004676F5" w:rsidRDefault="00D76094" w:rsidP="00D76094">
      <w:pPr>
        <w:jc w:val="both"/>
        <w:rPr>
          <w:lang w:val="de-DE"/>
        </w:rPr>
      </w:pPr>
    </w:p>
    <w:p w14:paraId="3BD077AD" w14:textId="77777777" w:rsidR="00D76094" w:rsidRPr="004676F5" w:rsidRDefault="00D76094" w:rsidP="00D76094">
      <w:pPr>
        <w:jc w:val="both"/>
        <w:rPr>
          <w:lang w:val="de-DE"/>
        </w:rPr>
      </w:pPr>
      <w:r w:rsidRPr="004676F5">
        <w:rPr>
          <w:lang w:val="de-DE"/>
        </w:rPr>
        <w:tab/>
      </w:r>
      <w:r w:rsidRPr="004676F5">
        <w:rPr>
          <w:i/>
          <w:lang w:val="de-DE"/>
        </w:rPr>
        <w:t>a)</w:t>
      </w:r>
      <w:r w:rsidRPr="004676F5">
        <w:rPr>
          <w:lang w:val="de-DE"/>
        </w:rPr>
        <w:t> Informationen zu der Entscheidung, mit der die Vollstreckung im Mitgliedstaat der nationalen Wettbewerbsbehörde, die das Ersuchen gestellt hat, gestattet wird,</w:t>
      </w:r>
    </w:p>
    <w:p w14:paraId="478BF5D9" w14:textId="77777777" w:rsidR="00D76094" w:rsidRPr="004676F5" w:rsidRDefault="00D76094" w:rsidP="00D76094">
      <w:pPr>
        <w:jc w:val="both"/>
        <w:rPr>
          <w:lang w:val="de-DE"/>
        </w:rPr>
      </w:pPr>
    </w:p>
    <w:p w14:paraId="5F63630B" w14:textId="77777777" w:rsidR="00D76094" w:rsidRPr="004676F5" w:rsidRDefault="00D76094" w:rsidP="00D76094">
      <w:pPr>
        <w:jc w:val="both"/>
        <w:rPr>
          <w:lang w:val="de-DE"/>
        </w:rPr>
      </w:pPr>
      <w:r w:rsidRPr="004676F5">
        <w:rPr>
          <w:lang w:val="de-DE"/>
        </w:rPr>
        <w:tab/>
      </w:r>
      <w:r w:rsidRPr="004676F5">
        <w:rPr>
          <w:i/>
          <w:lang w:val="de-DE"/>
        </w:rPr>
        <w:t>b)</w:t>
      </w:r>
      <w:r w:rsidRPr="004676F5">
        <w:rPr>
          <w:lang w:val="de-DE"/>
        </w:rPr>
        <w:t> Datum, an dem die Entscheidung rechtskräftig wurde,</w:t>
      </w:r>
    </w:p>
    <w:p w14:paraId="02DB7557" w14:textId="77777777" w:rsidR="00D76094" w:rsidRPr="004676F5" w:rsidRDefault="00D76094" w:rsidP="00D76094">
      <w:pPr>
        <w:jc w:val="both"/>
        <w:rPr>
          <w:lang w:val="de-DE"/>
        </w:rPr>
      </w:pPr>
    </w:p>
    <w:p w14:paraId="38314400" w14:textId="77777777" w:rsidR="00D76094" w:rsidRPr="004676F5" w:rsidRDefault="00D76094" w:rsidP="00D76094">
      <w:pPr>
        <w:jc w:val="both"/>
        <w:rPr>
          <w:lang w:val="de-DE"/>
        </w:rPr>
      </w:pPr>
      <w:r w:rsidRPr="004676F5">
        <w:rPr>
          <w:lang w:val="de-DE"/>
        </w:rPr>
        <w:tab/>
      </w:r>
      <w:r w:rsidRPr="004676F5">
        <w:rPr>
          <w:i/>
          <w:lang w:val="de-DE"/>
        </w:rPr>
        <w:t>c)</w:t>
      </w:r>
      <w:r w:rsidRPr="004676F5">
        <w:rPr>
          <w:lang w:val="de-DE"/>
        </w:rPr>
        <w:t> Betrag der Geldbuße oder des Zwangsgeldes und</w:t>
      </w:r>
    </w:p>
    <w:p w14:paraId="550A9316" w14:textId="77777777" w:rsidR="00D76094" w:rsidRPr="004676F5" w:rsidRDefault="00D76094" w:rsidP="00D76094">
      <w:pPr>
        <w:jc w:val="both"/>
        <w:rPr>
          <w:lang w:val="de-DE"/>
        </w:rPr>
      </w:pPr>
    </w:p>
    <w:p w14:paraId="5A0BB75E" w14:textId="11B990BB" w:rsidR="00D76094" w:rsidRPr="004676F5" w:rsidRDefault="00D76094" w:rsidP="00D76094">
      <w:pPr>
        <w:jc w:val="both"/>
        <w:rPr>
          <w:rFonts w:eastAsia="Calibri"/>
          <w:kern w:val="2"/>
          <w:lang w:val="de-DE" w:eastAsia="en-US"/>
          <w14:ligatures w14:val="standardContextual"/>
        </w:rPr>
      </w:pPr>
      <w:r w:rsidRPr="004676F5">
        <w:rPr>
          <w:lang w:val="de-DE"/>
        </w:rPr>
        <w:tab/>
      </w:r>
      <w:r w:rsidRPr="004676F5">
        <w:rPr>
          <w:i/>
          <w:lang w:val="de-DE"/>
        </w:rPr>
        <w:t>d)</w:t>
      </w:r>
      <w:r w:rsidRPr="004676F5">
        <w:rPr>
          <w:lang w:val="de-DE"/>
        </w:rPr>
        <w:t> Informationen, die belegen, dass sich die nationale Wettbewerbsbehörde, die das Ersuchen gestellt hat, nach besten Kräften um die Vollstreckung der Entscheidung in ihrem Hoheitsgebiet bemüht hat. Diese Anforderung gilt nicht für Ersuchen auf der Grundlage der Artikel IV.78/4 § 1 Absatz 2 und IV.78/5 § 1 Absatz 2.</w:t>
      </w:r>
      <w:r w:rsidRPr="004676F5">
        <w:rPr>
          <w:rFonts w:eastAsia="Calibri"/>
          <w:kern w:val="2"/>
          <w:lang w:val="de-DE" w:eastAsia="en-US"/>
          <w14:ligatures w14:val="standardContextual"/>
        </w:rPr>
        <w:t>]</w:t>
      </w:r>
    </w:p>
    <w:p w14:paraId="67244C2D" w14:textId="77777777" w:rsidR="00D76094" w:rsidRPr="004676F5" w:rsidRDefault="00D76094" w:rsidP="00D76094">
      <w:pPr>
        <w:jc w:val="both"/>
        <w:rPr>
          <w:rFonts w:eastAsia="Calibri"/>
          <w:kern w:val="2"/>
          <w:lang w:val="de-DE" w:eastAsia="en-US"/>
          <w14:ligatures w14:val="standardContextual"/>
        </w:rPr>
      </w:pPr>
    </w:p>
    <w:p w14:paraId="5C9E026C" w14:textId="33050571" w:rsidR="00D76094" w:rsidRPr="004676F5" w:rsidRDefault="00D76094" w:rsidP="00D76094">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IV.78/6 eingefügt durch Art. 6</w:t>
      </w:r>
      <w:r w:rsidR="00BA0C3D" w:rsidRPr="004676F5">
        <w:rPr>
          <w:rFonts w:eastAsia="Calibri"/>
          <w:i/>
          <w:iCs/>
          <w:kern w:val="2"/>
          <w:lang w:val="de-DE" w:eastAsia="en-US"/>
          <w14:ligatures w14:val="standardContextual"/>
        </w:rPr>
        <w:t>5</w:t>
      </w:r>
      <w:r w:rsidRPr="004676F5">
        <w:rPr>
          <w:rFonts w:eastAsia="Calibri"/>
          <w:i/>
          <w:iCs/>
          <w:kern w:val="2"/>
          <w:lang w:val="de-DE" w:eastAsia="en-US"/>
          <w14:ligatures w14:val="standardContextual"/>
        </w:rPr>
        <w:t xml:space="preserve"> des G. vom 28. Februar 2022 (B.S. vom 7. März 2022)]</w:t>
      </w:r>
    </w:p>
    <w:p w14:paraId="1BE5B2D1" w14:textId="77777777" w:rsidR="00D76094" w:rsidRPr="004676F5" w:rsidRDefault="00D76094" w:rsidP="00D76094">
      <w:pPr>
        <w:jc w:val="both"/>
        <w:rPr>
          <w:rFonts w:eastAsia="Calibri"/>
          <w:kern w:val="2"/>
          <w:lang w:val="de-DE" w:eastAsia="en-US"/>
          <w14:ligatures w14:val="standardContextual"/>
        </w:rPr>
      </w:pPr>
    </w:p>
    <w:p w14:paraId="5A8B0B7D" w14:textId="77777777" w:rsidR="00D76094" w:rsidRPr="004676F5" w:rsidRDefault="00D76094" w:rsidP="00D76094">
      <w:pPr>
        <w:jc w:val="both"/>
        <w:rPr>
          <w:rFonts w:eastAsia="Calibri"/>
          <w:kern w:val="2"/>
          <w:lang w:val="de-DE" w:eastAsia="en-US"/>
          <w14:ligatures w14:val="standardContextual"/>
        </w:rPr>
      </w:pPr>
    </w:p>
    <w:p w14:paraId="1AFC5380" w14:textId="043BF4D9" w:rsidR="00BE3682" w:rsidRPr="004676F5" w:rsidRDefault="003B741E"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t>[</w:t>
      </w:r>
      <w:r w:rsidR="00BE3682" w:rsidRPr="004676F5">
        <w:rPr>
          <w:rFonts w:eastAsia="Calibri"/>
          <w:i/>
          <w:iCs/>
          <w:kern w:val="2"/>
          <w:szCs w:val="22"/>
          <w:lang w:val="de-DE" w:eastAsia="en-US"/>
          <w14:ligatures w14:val="standardContextual"/>
        </w:rPr>
        <w:t>Abschnitt </w:t>
      </w:r>
      <w:r w:rsidRPr="004676F5">
        <w:rPr>
          <w:rFonts w:eastAsia="Calibri"/>
          <w:i/>
          <w:iCs/>
          <w:kern w:val="2"/>
          <w:szCs w:val="22"/>
          <w:lang w:val="de-DE" w:eastAsia="en-US"/>
          <w14:ligatures w14:val="standardContextual"/>
        </w:rPr>
        <w:t>12</w:t>
      </w:r>
      <w:r w:rsidRPr="004676F5">
        <w:rPr>
          <w:rFonts w:eastAsia="Calibri"/>
          <w:kern w:val="2"/>
          <w:szCs w:val="22"/>
          <w:lang w:val="de-DE" w:eastAsia="en-US"/>
          <w14:ligatures w14:val="standardContextual"/>
        </w:rPr>
        <w:t>]</w:t>
      </w:r>
      <w:r w:rsidR="00BE3682" w:rsidRPr="004676F5">
        <w:rPr>
          <w:rFonts w:eastAsia="Calibri"/>
          <w:i/>
          <w:iCs/>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513978" w:rsidRPr="004676F5">
        <w:rPr>
          <w:rFonts w:eastAsia="Calibri"/>
          <w:kern w:val="2"/>
          <w:szCs w:val="22"/>
          <w:lang w:val="de-DE" w:eastAsia="en-US"/>
          <w14:ligatures w14:val="standardContextual"/>
        </w:rPr>
        <w:t>[</w:t>
      </w:r>
      <w:r w:rsidR="00BE3682" w:rsidRPr="004676F5">
        <w:rPr>
          <w:rFonts w:eastAsia="Calibri"/>
          <w:kern w:val="2"/>
          <w:szCs w:val="22"/>
          <w:lang w:val="de-DE" w:eastAsia="en-US"/>
          <w14:ligatures w14:val="standardContextual"/>
        </w:rPr>
        <w:t>Administrative Geldbußen und Zwangsgelder</w:t>
      </w:r>
      <w:r w:rsidR="00513978" w:rsidRPr="004676F5">
        <w:rPr>
          <w:rFonts w:eastAsia="Calibri"/>
          <w:kern w:val="2"/>
          <w:szCs w:val="22"/>
          <w:lang w:val="de-DE" w:eastAsia="en-US"/>
          <w14:ligatures w14:val="standardContextual"/>
        </w:rPr>
        <w:t>]</w:t>
      </w:r>
    </w:p>
    <w:p w14:paraId="5D1C20CD" w14:textId="77777777" w:rsidR="00BE3682" w:rsidRPr="004676F5" w:rsidRDefault="00BE3682" w:rsidP="00BE3682">
      <w:pPr>
        <w:jc w:val="both"/>
        <w:rPr>
          <w:rFonts w:eastAsia="Calibri"/>
          <w:kern w:val="2"/>
          <w:lang w:val="de-DE" w:eastAsia="en-US"/>
          <w14:ligatures w14:val="standardContextual"/>
        </w:rPr>
      </w:pPr>
    </w:p>
    <w:p w14:paraId="49F58C99" w14:textId="0B2CD0B3" w:rsidR="003B741E" w:rsidRPr="004676F5" w:rsidRDefault="003B741E"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[Früherer Abschnitt 3 umnummeriert zu Abschnitt 12 </w:t>
      </w:r>
      <w:r w:rsidR="00513978" w:rsidRPr="004676F5">
        <w:rPr>
          <w:rFonts w:eastAsia="Calibri"/>
          <w:i/>
          <w:iCs/>
          <w:kern w:val="2"/>
          <w:lang w:val="de-DE" w:eastAsia="en-US"/>
          <w14:ligatures w14:val="standardContextual"/>
        </w:rPr>
        <w:t xml:space="preserve">und Überschrift ersetzt </w:t>
      </w:r>
      <w:r w:rsidRPr="004676F5">
        <w:rPr>
          <w:rFonts w:eastAsia="Calibri"/>
          <w:i/>
          <w:iCs/>
          <w:kern w:val="2"/>
          <w:lang w:val="de-DE" w:eastAsia="en-US"/>
          <w14:ligatures w14:val="standardContextual"/>
        </w:rPr>
        <w:t>durch Art. 46 des G. vom 29. März 2024 (B.S. vom 3. Mai 2024)]</w:t>
      </w:r>
    </w:p>
    <w:p w14:paraId="1437BEA2" w14:textId="77777777" w:rsidR="003B741E" w:rsidRPr="004676F5" w:rsidRDefault="003B741E" w:rsidP="00BE3682">
      <w:pPr>
        <w:jc w:val="both"/>
        <w:rPr>
          <w:rFonts w:eastAsia="Calibri"/>
          <w:kern w:val="2"/>
          <w:lang w:val="de-DE" w:eastAsia="en-US"/>
          <w14:ligatures w14:val="standardContextual"/>
        </w:rPr>
      </w:pPr>
    </w:p>
    <w:p w14:paraId="421C0254" w14:textId="77777777" w:rsidR="008A1473" w:rsidRPr="004676F5" w:rsidRDefault="008A1473" w:rsidP="00BE3682">
      <w:pPr>
        <w:jc w:val="both"/>
        <w:rPr>
          <w:rFonts w:eastAsia="Calibri"/>
          <w:kern w:val="2"/>
          <w:lang w:val="de-DE" w:eastAsia="en-US"/>
          <w14:ligatures w14:val="standardContextual"/>
        </w:rPr>
      </w:pPr>
    </w:p>
    <w:p w14:paraId="5A40BC14" w14:textId="0EC0519F" w:rsidR="0028112E" w:rsidRPr="004676F5" w:rsidRDefault="00BE3682" w:rsidP="0028112E">
      <w:pPr>
        <w:ind w:firstLine="708"/>
        <w:jc w:val="both"/>
        <w:rPr>
          <w:lang w:val="de-DE"/>
        </w:rPr>
      </w:pPr>
      <w:r w:rsidRPr="004676F5">
        <w:rPr>
          <w:rFonts w:eastAsia="Calibri"/>
          <w:b/>
          <w:bCs/>
          <w:kern w:val="2"/>
          <w:szCs w:val="22"/>
          <w:lang w:val="de-DE" w:eastAsia="en-US"/>
          <w14:ligatures w14:val="standardContextual"/>
        </w:rPr>
        <w:t>Art. IV.79</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28112E" w:rsidRPr="004676F5">
        <w:rPr>
          <w:rFonts w:eastAsia="Calibri"/>
          <w:kern w:val="2"/>
          <w:szCs w:val="22"/>
          <w:lang w:val="de-DE" w:eastAsia="en-US"/>
          <w14:ligatures w14:val="standardContextual"/>
        </w:rPr>
        <w:t>[</w:t>
      </w:r>
      <w:r w:rsidR="0028112E" w:rsidRPr="004676F5">
        <w:rPr>
          <w:lang w:val="de-DE"/>
        </w:rPr>
        <w:t xml:space="preserve">§ 1 ­ </w:t>
      </w:r>
      <w:r w:rsidR="00BA0C3D" w:rsidRPr="004676F5">
        <w:rPr>
          <w:lang w:val="de-DE"/>
        </w:rPr>
        <w:t>[Wenn das Wettbewerbskollegium eine in Artikel IV.52 § 1 Absatz 1 Nr. 2 oder 2/1 erwähnte Entscheidung trifft, kann es gegen beteiligte Unternehmen und Unternehmens</w:t>
      </w:r>
      <w:r w:rsidR="00BA0C3D" w:rsidRPr="004676F5">
        <w:rPr>
          <w:lang w:val="de-DE"/>
        </w:rPr>
        <w:softHyphen/>
        <w:t>vereinigungen jeweils Geldbußen in Höhe von bis zu 10 Prozent ihres Umsatzes festsetzen, wenn sie vorsätzlich oder fahrlässig eine Zuwiderhandlung gegen das Wettbewerbsrecht begehen. Außerdem kann es zur Durchsetzung seiner Entscheidung gegen beteiligte Unternehmen und Unternehmensvereinigungen jeweils Zwangsgelder von bis zu 5 Prozent des durchschnittlichen Tagesumsatzes für jeden Tag Verzug ab dem in seiner Entscheidung bestimmten Tag festsetzen.]</w:t>
      </w:r>
    </w:p>
    <w:p w14:paraId="007C36B8" w14:textId="77777777" w:rsidR="0028112E" w:rsidRPr="004676F5" w:rsidRDefault="0028112E" w:rsidP="0028112E">
      <w:pPr>
        <w:jc w:val="both"/>
        <w:rPr>
          <w:lang w:val="de-DE"/>
        </w:rPr>
      </w:pPr>
    </w:p>
    <w:p w14:paraId="2A5331EE" w14:textId="38ED6806" w:rsidR="00BA0C3D" w:rsidRPr="004676F5" w:rsidRDefault="00BA0C3D" w:rsidP="0028112E">
      <w:pPr>
        <w:jc w:val="both"/>
        <w:rPr>
          <w:lang w:val="de-DE"/>
        </w:rPr>
      </w:pPr>
      <w:r w:rsidRPr="004676F5">
        <w:rPr>
          <w:lang w:val="de-DE"/>
        </w:rPr>
        <w:tab/>
        <w:t>[Bei der in Absatz 1 erwähnten Festlegung der Höhe der Geldbuße berücksichtigt das Wettbewerbskollegium die Schwere der Zuwiderhandlung gegen das Wettbewerbsrecht und ihre Dauer.]</w:t>
      </w:r>
    </w:p>
    <w:p w14:paraId="58194F55" w14:textId="77777777" w:rsidR="00BA0C3D" w:rsidRPr="004676F5" w:rsidRDefault="00BA0C3D" w:rsidP="0028112E">
      <w:pPr>
        <w:jc w:val="both"/>
        <w:rPr>
          <w:lang w:val="de-DE"/>
        </w:rPr>
      </w:pPr>
    </w:p>
    <w:p w14:paraId="384BD017" w14:textId="77777777" w:rsidR="0028112E" w:rsidRPr="004676F5" w:rsidRDefault="0028112E" w:rsidP="0028112E">
      <w:pPr>
        <w:ind w:firstLine="708"/>
        <w:jc w:val="both"/>
        <w:rPr>
          <w:lang w:val="de-DE"/>
        </w:rPr>
      </w:pPr>
      <w:r w:rsidRPr="004676F5">
        <w:rPr>
          <w:lang w:val="de-DE"/>
        </w:rPr>
        <w:t>Das Wettbewerbskollegium kann darüber hinaus die in Absatz 1 erwähnten Geldbußen und Zwangsgelder verhängen:</w:t>
      </w:r>
    </w:p>
    <w:p w14:paraId="4F7AD261" w14:textId="77777777" w:rsidR="0028112E" w:rsidRPr="004676F5" w:rsidRDefault="0028112E" w:rsidP="0028112E">
      <w:pPr>
        <w:jc w:val="both"/>
        <w:rPr>
          <w:lang w:val="de-DE"/>
        </w:rPr>
      </w:pPr>
    </w:p>
    <w:p w14:paraId="35E5B83E" w14:textId="77777777" w:rsidR="0028112E" w:rsidRPr="004676F5" w:rsidRDefault="0028112E" w:rsidP="0028112E">
      <w:pPr>
        <w:ind w:firstLine="708"/>
        <w:jc w:val="both"/>
        <w:rPr>
          <w:lang w:val="de-DE"/>
        </w:rPr>
      </w:pPr>
      <w:r w:rsidRPr="004676F5">
        <w:rPr>
          <w:lang w:val="de-DE"/>
        </w:rPr>
        <w:t>1. bei Wiederaufnahme des Verfahrens in Anwendung von Artikel IV.53 Nr. 2 oder 3,</w:t>
      </w:r>
    </w:p>
    <w:p w14:paraId="48D9F6AB" w14:textId="77777777" w:rsidR="0028112E" w:rsidRPr="004676F5" w:rsidRDefault="0028112E" w:rsidP="0028112E">
      <w:pPr>
        <w:jc w:val="both"/>
        <w:rPr>
          <w:lang w:val="de-DE"/>
        </w:rPr>
      </w:pPr>
    </w:p>
    <w:p w14:paraId="6CD8D749" w14:textId="76DA49D7" w:rsidR="0028112E" w:rsidRPr="004676F5" w:rsidRDefault="0028112E" w:rsidP="0028112E">
      <w:pPr>
        <w:ind w:firstLine="708"/>
        <w:jc w:val="both"/>
        <w:rPr>
          <w:lang w:val="de-DE"/>
        </w:rPr>
      </w:pPr>
      <w:r w:rsidRPr="004676F5">
        <w:rPr>
          <w:lang w:val="de-DE"/>
        </w:rPr>
        <w:lastRenderedPageBreak/>
        <w:t xml:space="preserve">2. auf Antrag des Auditors, um die Einhaltung des in </w:t>
      </w:r>
      <w:r w:rsidR="00BA0C3D" w:rsidRPr="004676F5">
        <w:rPr>
          <w:lang w:val="de-DE"/>
        </w:rPr>
        <w:t>[</w:t>
      </w:r>
      <w:r w:rsidRPr="004676F5">
        <w:rPr>
          <w:lang w:val="de-DE"/>
        </w:rPr>
        <w:t>Artikel IV.40 § </w:t>
      </w:r>
      <w:r w:rsidR="00BA0C3D" w:rsidRPr="004676F5">
        <w:rPr>
          <w:lang w:val="de-DE"/>
        </w:rPr>
        <w:t>2</w:t>
      </w:r>
      <w:r w:rsidRPr="004676F5">
        <w:rPr>
          <w:lang w:val="de-DE"/>
        </w:rPr>
        <w:t xml:space="preserve"> Absatz </w:t>
      </w:r>
      <w:r w:rsidR="00BA0C3D" w:rsidRPr="004676F5">
        <w:rPr>
          <w:lang w:val="de-DE"/>
        </w:rPr>
        <w:t>1]</w:t>
      </w:r>
      <w:r w:rsidRPr="004676F5">
        <w:rPr>
          <w:lang w:val="de-DE"/>
        </w:rPr>
        <w:t xml:space="preserve"> erwähnten Beschlusses des Auditors zur Anforderung von Auskünften durchzusetzen; das Zwangsgeld kann während der Untersuchung verhängt werden.</w:t>
      </w:r>
    </w:p>
    <w:p w14:paraId="55C7EB34" w14:textId="77777777" w:rsidR="0028112E" w:rsidRPr="004676F5" w:rsidRDefault="0028112E" w:rsidP="0028112E">
      <w:pPr>
        <w:jc w:val="both"/>
        <w:rPr>
          <w:lang w:val="de-DE"/>
        </w:rPr>
      </w:pPr>
    </w:p>
    <w:p w14:paraId="71970214" w14:textId="6342D90E" w:rsidR="0028112E" w:rsidRPr="004676F5" w:rsidRDefault="0028112E" w:rsidP="0028112E">
      <w:pPr>
        <w:ind w:firstLine="708"/>
        <w:jc w:val="both"/>
        <w:rPr>
          <w:lang w:val="de-DE"/>
        </w:rPr>
      </w:pPr>
      <w:r w:rsidRPr="004676F5">
        <w:rPr>
          <w:lang w:val="de-DE"/>
        </w:rPr>
        <w:t xml:space="preserve">§ 2 </w:t>
      </w:r>
      <w:r w:rsidR="005B7A5C" w:rsidRPr="004676F5">
        <w:rPr>
          <w:lang w:val="de-DE"/>
        </w:rPr>
        <w:t>- </w:t>
      </w:r>
      <w:r w:rsidRPr="004676F5">
        <w:rPr>
          <w:lang w:val="de-DE"/>
        </w:rPr>
        <w:t>Betrifft die Entscheidung oder das Verfahren die missbräuchliche Ausnutzung einer Position der wirtschaftlichen Abhängigkeit im Sinne von Artikel IV.2/1, so darf in Abweichung von § 1 die in § 1 erwähnte Geldbuße 2 Prozent des Umsatzes des beteiligten Unternehmens oder der beteiligten Unternehmensvereinigung nicht übersteigen und beträgt das in § 1 erwähnte Zwangsgeld bis zu 2 Prozent des durchschnittlichen Tagesumsatzes für jeden Tag Verzug ab dem vom Wettbewerbskollegium festgesetzten Zeitpunkt.</w:t>
      </w:r>
    </w:p>
    <w:p w14:paraId="4937B173" w14:textId="77777777" w:rsidR="0028112E" w:rsidRPr="004676F5" w:rsidRDefault="0028112E" w:rsidP="0028112E">
      <w:pPr>
        <w:jc w:val="both"/>
        <w:rPr>
          <w:lang w:val="de-DE"/>
        </w:rPr>
      </w:pPr>
    </w:p>
    <w:p w14:paraId="789F701A" w14:textId="77777777" w:rsidR="0028112E" w:rsidRPr="004676F5" w:rsidRDefault="0028112E" w:rsidP="0028112E">
      <w:pPr>
        <w:ind w:firstLine="708"/>
        <w:jc w:val="both"/>
        <w:rPr>
          <w:lang w:val="de-DE"/>
        </w:rPr>
      </w:pPr>
      <w:r w:rsidRPr="004676F5">
        <w:rPr>
          <w:lang w:val="de-DE"/>
        </w:rPr>
        <w:t>Der König kann durch einen im Ministerrat beratenen Erlass und nach Konsultierung der Belgischen Wettbewerbsbehörde und des in Artikel IV.37 erwähnten Besonderen Beratungsausschusses Wettbewerb die Obergrenze der Geldbußen erhöhen.</w:t>
      </w:r>
    </w:p>
    <w:p w14:paraId="179C81CB" w14:textId="77777777" w:rsidR="0028112E" w:rsidRPr="004676F5" w:rsidRDefault="0028112E" w:rsidP="0028112E">
      <w:pPr>
        <w:jc w:val="both"/>
        <w:rPr>
          <w:lang w:val="de-DE"/>
        </w:rPr>
      </w:pPr>
    </w:p>
    <w:p w14:paraId="6A2C1565" w14:textId="77777777" w:rsidR="0028112E" w:rsidRPr="004676F5" w:rsidRDefault="0028112E" w:rsidP="0028112E">
      <w:pPr>
        <w:ind w:firstLine="708"/>
        <w:jc w:val="both"/>
        <w:rPr>
          <w:lang w:val="de-DE"/>
        </w:rPr>
      </w:pPr>
      <w:r w:rsidRPr="004676F5">
        <w:rPr>
          <w:lang w:val="de-DE"/>
        </w:rPr>
        <w:t>Alle drei Jahre führt die Belgische Wettbewerbsbehörde eine Beurteilung der Obergrenze der Geldbußen durch, um festzustellen, ob diese Obergrenze ausreichend abschreckende Geldbußen ermöglicht.</w:t>
      </w:r>
    </w:p>
    <w:p w14:paraId="383DBCED" w14:textId="77777777" w:rsidR="0028112E" w:rsidRPr="004676F5" w:rsidRDefault="0028112E" w:rsidP="0028112E">
      <w:pPr>
        <w:ind w:firstLine="708"/>
        <w:jc w:val="both"/>
        <w:rPr>
          <w:lang w:val="de-DE"/>
        </w:rPr>
      </w:pPr>
    </w:p>
    <w:p w14:paraId="3385A5E4" w14:textId="5A35A103" w:rsidR="0028112E" w:rsidRPr="004676F5" w:rsidRDefault="0028112E" w:rsidP="0028112E">
      <w:pPr>
        <w:ind w:firstLine="708"/>
        <w:jc w:val="both"/>
        <w:rPr>
          <w:lang w:val="de-DE"/>
        </w:rPr>
      </w:pPr>
      <w:r w:rsidRPr="004676F5">
        <w:rPr>
          <w:lang w:val="de-DE"/>
        </w:rPr>
        <w:t xml:space="preserve">§ 3 </w:t>
      </w:r>
      <w:r w:rsidR="005B7A5C" w:rsidRPr="004676F5">
        <w:rPr>
          <w:lang w:val="de-DE"/>
        </w:rPr>
        <w:t>- </w:t>
      </w:r>
      <w:r w:rsidRPr="004676F5">
        <w:rPr>
          <w:lang w:val="de-DE"/>
        </w:rPr>
        <w:t xml:space="preserve">Das Wettbewerbskollegium kann bei der Festsetzung der Höhe der Geldbuße die Wiedergutmachung des Schadens, der durch den der Entscheidung zugrunde liegenden Verstoß verursacht wurde, die vor der Entscheidung </w:t>
      </w:r>
      <w:r w:rsidR="00BA0C3D" w:rsidRPr="004676F5">
        <w:rPr>
          <w:lang w:val="de-DE"/>
        </w:rPr>
        <w:t>[durch Vergleich]</w:t>
      </w:r>
      <w:r w:rsidRPr="004676F5">
        <w:rPr>
          <w:lang w:val="de-DE"/>
        </w:rPr>
        <w:t xml:space="preserve"> erfolgt ist, als mildernden Umstand berücksichtigen.</w:t>
      </w:r>
    </w:p>
    <w:p w14:paraId="2939F4D8" w14:textId="77777777" w:rsidR="0028112E" w:rsidRPr="004676F5" w:rsidRDefault="0028112E" w:rsidP="0028112E">
      <w:pPr>
        <w:jc w:val="both"/>
        <w:rPr>
          <w:lang w:val="de-DE"/>
        </w:rPr>
      </w:pPr>
    </w:p>
    <w:p w14:paraId="7DB1905F" w14:textId="796E27E1" w:rsidR="00BE3682" w:rsidRPr="004676F5" w:rsidRDefault="003B741E" w:rsidP="003B741E">
      <w:pPr>
        <w:rPr>
          <w:rFonts w:eastAsia="Calibri"/>
          <w:kern w:val="2"/>
          <w:szCs w:val="22"/>
          <w:lang w:val="de-DE" w:eastAsia="en-US"/>
          <w14:ligatures w14:val="standardContextual"/>
        </w:rPr>
      </w:pPr>
      <w:r w:rsidRPr="004676F5">
        <w:rPr>
          <w:lang w:val="de-DE"/>
        </w:rPr>
        <w:tab/>
      </w:r>
      <w:r w:rsidR="0028112E" w:rsidRPr="004676F5">
        <w:rPr>
          <w:lang w:val="de-DE"/>
        </w:rPr>
        <w:t xml:space="preserve">§ 4 </w:t>
      </w:r>
      <w:r w:rsidR="005B7A5C" w:rsidRPr="004676F5">
        <w:rPr>
          <w:lang w:val="de-DE"/>
        </w:rPr>
        <w:t>- </w:t>
      </w:r>
      <w:r w:rsidR="0028112E" w:rsidRPr="004676F5">
        <w:rPr>
          <w:lang w:val="de-DE"/>
        </w:rPr>
        <w:t>Verstöße gegen Artikel IV.1 § 4 können mit einer Geldbuße von 100 bis zu 10.000 EUR geahndet werden.</w:t>
      </w:r>
      <w:r w:rsidR="0028112E" w:rsidRPr="004676F5">
        <w:rPr>
          <w:rFonts w:eastAsia="Calibri"/>
          <w:kern w:val="2"/>
          <w:szCs w:val="22"/>
          <w:lang w:val="de-DE" w:eastAsia="en-US"/>
          <w14:ligatures w14:val="standardContextual"/>
        </w:rPr>
        <w:t>]</w:t>
      </w:r>
    </w:p>
    <w:p w14:paraId="0967C306" w14:textId="77777777" w:rsidR="0028112E" w:rsidRPr="004676F5" w:rsidRDefault="0028112E" w:rsidP="0028112E">
      <w:pPr>
        <w:ind w:firstLine="708"/>
        <w:jc w:val="both"/>
        <w:rPr>
          <w:rFonts w:eastAsia="Calibri"/>
          <w:kern w:val="2"/>
          <w:szCs w:val="22"/>
          <w:lang w:val="de-DE" w:eastAsia="en-US"/>
          <w14:ligatures w14:val="standardContextual"/>
        </w:rPr>
      </w:pPr>
    </w:p>
    <w:p w14:paraId="6ED127FA" w14:textId="0DB36A9A" w:rsidR="0028112E" w:rsidRPr="004676F5" w:rsidRDefault="0028112E" w:rsidP="0028112E">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IV.79 ersetzt durch Art. 4</w:t>
      </w:r>
      <w:r w:rsidRPr="004676F5">
        <w:rPr>
          <w:i/>
          <w:lang w:val="de-DE"/>
        </w:rPr>
        <w:t xml:space="preserve"> des K.E. vom 31. Juli 2020 (B.S. vom 12. August 2020)</w:t>
      </w:r>
      <w:r w:rsidR="00BA0C3D" w:rsidRPr="004676F5">
        <w:rPr>
          <w:i/>
          <w:lang w:val="de-DE"/>
        </w:rPr>
        <w:t>; § 1 Abs. 1 ersetzt durch Art. 66 Nr. 1 des G. vom 28. Februar 2022 (B.S. vom 7. März 2022); § 1 neuer Absatz 2 eingefügt durch Art. 66 Nr. 2 des G. vom 28. Februar 2022 (B.S. vom 7. März 2022); § 1 Abs. 3 Nr. 2 abgeändert durch Art. 66 Nr. 3 des G. vom 28. Februar 2022 (B.S. vom 7. März 2022); § 3 abgeändert durch Art. 66 Nr. 4 des G. vom 28. Februar 2022 (B.S. vom 7. März 2022)</w:t>
      </w:r>
      <w:r w:rsidRPr="004676F5">
        <w:rPr>
          <w:i/>
          <w:lang w:val="de-DE"/>
        </w:rPr>
        <w:t>]</w:t>
      </w:r>
    </w:p>
    <w:p w14:paraId="1FFC8B11" w14:textId="77777777" w:rsidR="00BE3682" w:rsidRPr="004676F5" w:rsidRDefault="00BE3682" w:rsidP="00BE3682">
      <w:pPr>
        <w:jc w:val="both"/>
        <w:rPr>
          <w:rFonts w:eastAsia="Calibri"/>
          <w:kern w:val="2"/>
          <w:lang w:val="de-DE" w:eastAsia="en-US"/>
          <w14:ligatures w14:val="standardContextual"/>
        </w:rPr>
      </w:pPr>
    </w:p>
    <w:p w14:paraId="4FDF7AAB" w14:textId="77777777" w:rsidR="008A1473" w:rsidRPr="004676F5" w:rsidRDefault="008A1473" w:rsidP="00BE3682">
      <w:pPr>
        <w:jc w:val="both"/>
        <w:rPr>
          <w:rFonts w:eastAsia="Calibri"/>
          <w:kern w:val="2"/>
          <w:lang w:val="de-DE" w:eastAsia="en-US"/>
          <w14:ligatures w14:val="standardContextual"/>
        </w:rPr>
      </w:pPr>
    </w:p>
    <w:p w14:paraId="59A78B25" w14:textId="70F9DC83" w:rsidR="0092239B" w:rsidRPr="004676F5" w:rsidRDefault="00BE3682" w:rsidP="0092239B">
      <w:pPr>
        <w:jc w:val="both"/>
        <w:rPr>
          <w:lang w:val="de-DE"/>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IV.80</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92239B" w:rsidRPr="004676F5">
        <w:rPr>
          <w:rFonts w:eastAsia="Calibri"/>
          <w:kern w:val="2"/>
          <w:szCs w:val="22"/>
          <w:lang w:val="de-DE" w:eastAsia="en-US"/>
          <w14:ligatures w14:val="standardContextual"/>
        </w:rPr>
        <w:t>[</w:t>
      </w:r>
      <w:r w:rsidR="0092239B" w:rsidRPr="004676F5">
        <w:rPr>
          <w:lang w:val="de-DE"/>
        </w:rPr>
        <w:t>§ 1 </w:t>
      </w:r>
      <w:r w:rsidR="005B7A5C" w:rsidRPr="004676F5">
        <w:rPr>
          <w:lang w:val="de-DE"/>
        </w:rPr>
        <w:t>- </w:t>
      </w:r>
      <w:r w:rsidR="0092239B" w:rsidRPr="004676F5">
        <w:rPr>
          <w:lang w:val="de-DE"/>
        </w:rPr>
        <w:t xml:space="preserve">Das Wettbewerbskollegium kann in Artikel IV.79 § 1 Absatz 1 erwähnte Geldbußen und Zwangsgelder auferlegen bei Verstößen gegen Artikel IV.10 § 4 und bei Nichtbeachtung der in </w:t>
      </w:r>
      <w:r w:rsidR="00BA0C3D" w:rsidRPr="004676F5">
        <w:rPr>
          <w:lang w:val="de-DE"/>
        </w:rPr>
        <w:t>[</w:t>
      </w:r>
      <w:r w:rsidR="0092239B" w:rsidRPr="004676F5">
        <w:rPr>
          <w:lang w:val="de-DE"/>
        </w:rPr>
        <w:t xml:space="preserve">Artikel IV.52 § 1 </w:t>
      </w:r>
      <w:r w:rsidR="00BA0C3D" w:rsidRPr="004676F5">
        <w:rPr>
          <w:lang w:val="de-DE"/>
        </w:rPr>
        <w:t xml:space="preserve">Absatz 1 </w:t>
      </w:r>
      <w:r w:rsidR="0092239B" w:rsidRPr="004676F5">
        <w:rPr>
          <w:lang w:val="de-DE"/>
        </w:rPr>
        <w:t>Nr. 8</w:t>
      </w:r>
      <w:r w:rsidR="00BA0C3D" w:rsidRPr="004676F5">
        <w:rPr>
          <w:lang w:val="de-DE"/>
        </w:rPr>
        <w:t>]</w:t>
      </w:r>
      <w:r w:rsidR="0092239B" w:rsidRPr="004676F5">
        <w:rPr>
          <w:lang w:val="de-DE"/>
        </w:rPr>
        <w:t xml:space="preserve"> erwähnten Entscheidungen.</w:t>
      </w:r>
    </w:p>
    <w:p w14:paraId="0B91E8C8" w14:textId="77777777" w:rsidR="0092239B" w:rsidRPr="004676F5" w:rsidRDefault="0092239B" w:rsidP="0092239B">
      <w:pPr>
        <w:jc w:val="both"/>
        <w:rPr>
          <w:lang w:val="de-DE"/>
        </w:rPr>
      </w:pPr>
    </w:p>
    <w:p w14:paraId="7897789A" w14:textId="71956A2D" w:rsidR="00BE3682" w:rsidRPr="004676F5" w:rsidRDefault="0092239B" w:rsidP="0092239B">
      <w:pPr>
        <w:jc w:val="both"/>
        <w:rPr>
          <w:rFonts w:eastAsia="Calibri"/>
          <w:kern w:val="2"/>
          <w:lang w:val="de-DE" w:eastAsia="en-US"/>
          <w14:ligatures w14:val="standardContextual"/>
        </w:rPr>
      </w:pPr>
      <w:r w:rsidRPr="004676F5">
        <w:rPr>
          <w:lang w:val="de-DE"/>
        </w:rPr>
        <w:tab/>
        <w:t>§ 2 ­ Bei Nichtbeachtung einer Entscheidung in Bezug auf die missbräuchliche Ausnutzung einer Position der wirtschaftlichen Abhängigkeit im Sinne von Artikel IV.2/1 darf in Abweichung von § 1 die Geldbuße 2 Prozent des Umsatzes des beteiligten Unternehmens oder der beteiligten Unternehmensvereinigung nicht übersteigen und beträgt das Zwangsgeld bis zu 2 Prozent des durchschnittlichen Tagesumsatzes für jeden Tag Verzug ab dem vom Wettbewerbskollegium festgesetzten Zeitpunkt.</w:t>
      </w:r>
      <w:r w:rsidRPr="004676F5">
        <w:rPr>
          <w:rFonts w:eastAsia="Calibri"/>
          <w:kern w:val="2"/>
          <w:szCs w:val="22"/>
          <w:lang w:val="de-DE" w:eastAsia="en-US"/>
          <w14:ligatures w14:val="standardContextual"/>
        </w:rPr>
        <w:t>]</w:t>
      </w:r>
    </w:p>
    <w:p w14:paraId="65FA9F42" w14:textId="77777777" w:rsidR="00BE3682" w:rsidRPr="004676F5" w:rsidRDefault="00BE3682" w:rsidP="00BE3682">
      <w:pPr>
        <w:jc w:val="both"/>
        <w:rPr>
          <w:rFonts w:eastAsia="Calibri"/>
          <w:kern w:val="2"/>
          <w:lang w:val="de-DE" w:eastAsia="en-US"/>
          <w14:ligatures w14:val="standardContextual"/>
        </w:rPr>
      </w:pPr>
    </w:p>
    <w:p w14:paraId="788A8AED" w14:textId="11B269AF" w:rsidR="0092239B" w:rsidRPr="004676F5" w:rsidRDefault="0092239B"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IV.80 ersetzt durch Art. 4 des G. vom 2. Februar 2021 (B.S. vom 11. Februar 2021)</w:t>
      </w:r>
      <w:r w:rsidR="00BA0C3D" w:rsidRPr="004676F5">
        <w:rPr>
          <w:rFonts w:eastAsia="Calibri"/>
          <w:i/>
          <w:iCs/>
          <w:kern w:val="2"/>
          <w:lang w:val="de-DE" w:eastAsia="en-US"/>
          <w14:ligatures w14:val="standardContextual"/>
        </w:rPr>
        <w:t>; § 1 abgeändert durch Art. 67 des G. vom 28. Februar 2022 (B.S. vom 7. März 2022)</w:t>
      </w:r>
      <w:r w:rsidRPr="004676F5">
        <w:rPr>
          <w:rFonts w:eastAsia="Calibri"/>
          <w:i/>
          <w:iCs/>
          <w:kern w:val="2"/>
          <w:lang w:val="de-DE" w:eastAsia="en-US"/>
          <w14:ligatures w14:val="standardContextual"/>
        </w:rPr>
        <w:t>]</w:t>
      </w:r>
    </w:p>
    <w:p w14:paraId="31B898E1" w14:textId="77777777" w:rsidR="0092239B" w:rsidRPr="004676F5" w:rsidRDefault="0092239B" w:rsidP="00BE3682">
      <w:pPr>
        <w:jc w:val="both"/>
        <w:rPr>
          <w:rFonts w:eastAsia="Calibri"/>
          <w:i/>
          <w:iCs/>
          <w:kern w:val="2"/>
          <w:lang w:val="de-DE" w:eastAsia="en-US"/>
          <w14:ligatures w14:val="standardContextual"/>
        </w:rPr>
      </w:pPr>
    </w:p>
    <w:p w14:paraId="62D4DFD8" w14:textId="77777777" w:rsidR="008A1473" w:rsidRPr="004676F5" w:rsidRDefault="008A1473" w:rsidP="00BE3682">
      <w:pPr>
        <w:jc w:val="both"/>
        <w:rPr>
          <w:rFonts w:eastAsia="Calibri"/>
          <w:kern w:val="2"/>
          <w:lang w:val="de-DE" w:eastAsia="en-US"/>
          <w14:ligatures w14:val="standardContextual"/>
        </w:rPr>
      </w:pPr>
    </w:p>
    <w:p w14:paraId="5ABC95CB" w14:textId="2D2BA4A4"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lastRenderedPageBreak/>
        <w:tab/>
      </w:r>
      <w:r w:rsidRPr="004676F5">
        <w:rPr>
          <w:rFonts w:eastAsia="Calibri"/>
          <w:b/>
          <w:bCs/>
          <w:kern w:val="2"/>
          <w:szCs w:val="22"/>
          <w:lang w:val="de-DE" w:eastAsia="en-US"/>
          <w14:ligatures w14:val="standardContextual"/>
        </w:rPr>
        <w:t>Art. IV.81</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0028112E" w:rsidRPr="004676F5">
        <w:rPr>
          <w:rFonts w:eastAsia="Calibri"/>
          <w:kern w:val="2"/>
          <w:szCs w:val="22"/>
          <w:lang w:val="de-DE" w:eastAsia="en-US"/>
          <w14:ligatures w14:val="standardContextual"/>
        </w:rPr>
        <w:t xml:space="preserve">[§ 1]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Das Wettbewerbskollegium kann </w:t>
      </w:r>
      <w:r w:rsidR="009D4ADF" w:rsidRPr="004676F5">
        <w:rPr>
          <w:lang w:val="de-DE"/>
        </w:rPr>
        <w:t xml:space="preserve">[die in Artikel IV.79 § 1 Absatz 1 erwähnten Geldbußen und Zwangsgelder] </w:t>
      </w:r>
      <w:r w:rsidRPr="004676F5">
        <w:rPr>
          <w:rFonts w:eastAsia="Calibri"/>
          <w:kern w:val="2"/>
          <w:szCs w:val="22"/>
          <w:lang w:val="de-DE" w:eastAsia="en-US"/>
          <w14:ligatures w14:val="standardContextual"/>
        </w:rPr>
        <w:t>auferlegen, um die Einhaltung der in Artikel IV.71 erwähnten vorläufigen Maßnahmen durchzusetzen.</w:t>
      </w:r>
    </w:p>
    <w:p w14:paraId="2EAAF3D7" w14:textId="77777777" w:rsidR="0028112E" w:rsidRPr="004676F5" w:rsidRDefault="0028112E" w:rsidP="00BE3682">
      <w:pPr>
        <w:jc w:val="both"/>
        <w:rPr>
          <w:rFonts w:eastAsia="Calibri"/>
          <w:kern w:val="2"/>
          <w:szCs w:val="22"/>
          <w:lang w:val="de-DE" w:eastAsia="en-US"/>
          <w14:ligatures w14:val="standardContextual"/>
        </w:rPr>
      </w:pPr>
    </w:p>
    <w:p w14:paraId="50855B4B" w14:textId="6B9F310B" w:rsidR="0028112E" w:rsidRPr="004676F5" w:rsidRDefault="0028112E" w:rsidP="0028112E">
      <w:pPr>
        <w:ind w:firstLine="708"/>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w:t>
      </w:r>
      <w:r w:rsidRPr="004676F5">
        <w:rPr>
          <w:lang w:val="de-DE"/>
        </w:rPr>
        <w:t>§ 2 </w:t>
      </w:r>
      <w:r w:rsidR="005B7A5C" w:rsidRPr="004676F5">
        <w:rPr>
          <w:lang w:val="de-DE"/>
        </w:rPr>
        <w:t>- </w:t>
      </w:r>
      <w:r w:rsidR="009D4ADF" w:rsidRPr="004676F5">
        <w:rPr>
          <w:lang w:val="de-DE"/>
        </w:rPr>
        <w:t>Betreffen die vorläufigen Maßnahmen die missbräuchliche Ausnutzung einer Position der wirtschaftlichen Abhängigkeit im Sinne von Artikel IV.2/1, ist in Abweichung von § 1 das in Artikel IV.79 § 2 erwähnte Zwangsgeld anwendbar</w:t>
      </w:r>
      <w:r w:rsidRPr="004676F5">
        <w:rPr>
          <w:lang w:val="de-DE"/>
        </w:rPr>
        <w:t>.</w:t>
      </w:r>
      <w:r w:rsidRPr="004676F5">
        <w:rPr>
          <w:rFonts w:eastAsia="Calibri"/>
          <w:kern w:val="2"/>
          <w:szCs w:val="22"/>
          <w:lang w:val="de-DE" w:eastAsia="en-US"/>
          <w14:ligatures w14:val="standardContextual"/>
        </w:rPr>
        <w:t>]</w:t>
      </w:r>
    </w:p>
    <w:p w14:paraId="2EB5C32D" w14:textId="77777777" w:rsidR="0028112E" w:rsidRPr="004676F5" w:rsidRDefault="0028112E" w:rsidP="0028112E">
      <w:pPr>
        <w:ind w:firstLine="708"/>
        <w:jc w:val="both"/>
        <w:rPr>
          <w:rFonts w:eastAsia="Calibri"/>
          <w:kern w:val="2"/>
          <w:szCs w:val="22"/>
          <w:lang w:val="de-DE" w:eastAsia="en-US"/>
          <w14:ligatures w14:val="standardContextual"/>
        </w:rPr>
      </w:pPr>
    </w:p>
    <w:p w14:paraId="3532CD51" w14:textId="52A2D554" w:rsidR="0028112E" w:rsidRPr="004676F5" w:rsidRDefault="0028112E" w:rsidP="0028112E">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IV.81 § 1 (früherer einziger Absatz) nummeriert durch Art. 5</w:t>
      </w:r>
      <w:r w:rsidRPr="004676F5">
        <w:rPr>
          <w:i/>
          <w:lang w:val="de-DE"/>
        </w:rPr>
        <w:t xml:space="preserve"> des K.E. vom 31. Juli 2020 (B.S. vom 12. August 2020)</w:t>
      </w:r>
      <w:r w:rsidR="009D4ADF" w:rsidRPr="004676F5">
        <w:rPr>
          <w:i/>
          <w:lang w:val="de-DE"/>
        </w:rPr>
        <w:t xml:space="preserve"> und abgeändert durch Art. 68 des G. vom 28. Februar 2022 (B.S. vom 7. März 2022)</w:t>
      </w:r>
      <w:r w:rsidRPr="004676F5">
        <w:rPr>
          <w:i/>
          <w:lang w:val="de-DE"/>
        </w:rPr>
        <w:t>; § 2 eingefügt durch Art. 5 des K.E. vom 31. Juli 2020 (B.S. vom 12. August 2020)]</w:t>
      </w:r>
    </w:p>
    <w:p w14:paraId="0FCB7F64" w14:textId="77777777" w:rsidR="00BE3682" w:rsidRPr="004676F5" w:rsidRDefault="00BE3682" w:rsidP="00BE3682">
      <w:pPr>
        <w:jc w:val="both"/>
        <w:rPr>
          <w:rFonts w:eastAsia="Calibri"/>
          <w:kern w:val="2"/>
          <w:lang w:val="de-DE" w:eastAsia="en-US"/>
          <w14:ligatures w14:val="standardContextual"/>
        </w:rPr>
      </w:pPr>
    </w:p>
    <w:p w14:paraId="58C09C23" w14:textId="77777777" w:rsidR="008A1473" w:rsidRPr="004676F5" w:rsidRDefault="008A1473" w:rsidP="00BE3682">
      <w:pPr>
        <w:jc w:val="both"/>
        <w:rPr>
          <w:rFonts w:eastAsia="Calibri"/>
          <w:kern w:val="2"/>
          <w:lang w:val="de-DE" w:eastAsia="en-US"/>
          <w14:ligatures w14:val="standardContextual"/>
        </w:rPr>
      </w:pPr>
    </w:p>
    <w:p w14:paraId="0CE2CF5C" w14:textId="2F4E0AB1"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IV.82</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Das Wettbewerbskollegium kann gegen Unternehmen oder Unternehmensvereinigungen Geldbußen bis zu einem Prozent des Umsatzes festsetzen, wenn sie vorsätzlich oder fahrlässig:</w:t>
      </w:r>
    </w:p>
    <w:p w14:paraId="7439C074" w14:textId="77777777" w:rsidR="00BE3682" w:rsidRPr="004676F5" w:rsidRDefault="00BE3682" w:rsidP="00BE3682">
      <w:pPr>
        <w:jc w:val="both"/>
        <w:rPr>
          <w:rFonts w:eastAsia="Calibri"/>
          <w:kern w:val="2"/>
          <w:lang w:val="de-DE" w:eastAsia="en-US"/>
          <w14:ligatures w14:val="standardContextual"/>
        </w:rPr>
      </w:pPr>
    </w:p>
    <w:p w14:paraId="66991FA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in einer Anmeldung oder infolge eines Auskunftsverlangens unrichtige, irreführende oder unvollständige Angaben machen,</w:t>
      </w:r>
    </w:p>
    <w:p w14:paraId="1B5FE060" w14:textId="77777777" w:rsidR="00BE3682" w:rsidRPr="004676F5" w:rsidRDefault="00BE3682" w:rsidP="00BE3682">
      <w:pPr>
        <w:jc w:val="both"/>
        <w:rPr>
          <w:rFonts w:eastAsia="Calibri"/>
          <w:kern w:val="2"/>
          <w:lang w:val="de-DE" w:eastAsia="en-US"/>
          <w14:ligatures w14:val="standardContextual"/>
        </w:rPr>
      </w:pPr>
    </w:p>
    <w:p w14:paraId="482F77C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die Auskünfte nicht innerhalb der in dem Beschluss zum Auskunftsverlangen festgesetzten Frist erteilen,</w:t>
      </w:r>
    </w:p>
    <w:p w14:paraId="6012C9E9" w14:textId="77777777" w:rsidR="00BE3682" w:rsidRPr="004676F5" w:rsidRDefault="00BE3682" w:rsidP="00BE3682">
      <w:pPr>
        <w:jc w:val="both"/>
        <w:rPr>
          <w:rFonts w:eastAsia="Calibri"/>
          <w:kern w:val="2"/>
          <w:lang w:val="de-DE" w:eastAsia="en-US"/>
          <w14:ligatures w14:val="standardContextual"/>
        </w:rPr>
      </w:pPr>
    </w:p>
    <w:p w14:paraId="0BD5C265" w14:textId="0517957C" w:rsidR="00BA0C3D" w:rsidRPr="004676F5" w:rsidRDefault="00BE3682" w:rsidP="00BA0C3D">
      <w:pPr>
        <w:jc w:val="both"/>
        <w:rPr>
          <w:lang w:val="de-DE"/>
        </w:rPr>
      </w:pPr>
      <w:r w:rsidRPr="004676F5">
        <w:rPr>
          <w:rFonts w:eastAsia="Calibri"/>
          <w:kern w:val="2"/>
          <w:szCs w:val="22"/>
          <w:lang w:val="de-DE" w:eastAsia="en-US"/>
          <w14:ligatures w14:val="standardContextual"/>
        </w:rPr>
        <w:tab/>
        <w:t>3. </w:t>
      </w:r>
      <w:r w:rsidR="00BA0C3D" w:rsidRPr="004676F5">
        <w:rPr>
          <w:rFonts w:eastAsia="Calibri"/>
          <w:kern w:val="2"/>
          <w:szCs w:val="22"/>
          <w:lang w:val="de-DE" w:eastAsia="en-US"/>
          <w14:ligatures w14:val="standardContextual"/>
        </w:rPr>
        <w:t>[</w:t>
      </w:r>
      <w:r w:rsidR="00BA0C3D" w:rsidRPr="004676F5">
        <w:rPr>
          <w:lang w:val="de-DE"/>
        </w:rPr>
        <w:t>die in den Artikeln IV.39, IV.40 bis IV.40/2 und IV.47 erwähnten Untersuchungen ver</w:t>
      </w:r>
      <w:r w:rsidR="005B7A5C" w:rsidRPr="004676F5">
        <w:rPr>
          <w:lang w:val="de-DE"/>
        </w:rPr>
        <w:t>- </w:t>
      </w:r>
      <w:r w:rsidR="00BA0C3D" w:rsidRPr="004676F5">
        <w:rPr>
          <w:lang w:val="de-DE"/>
        </w:rPr>
        <w:t>oder behindern,]</w:t>
      </w:r>
    </w:p>
    <w:p w14:paraId="7CBC829A" w14:textId="77777777" w:rsidR="00BA0C3D" w:rsidRPr="004676F5" w:rsidRDefault="00BA0C3D" w:rsidP="00BA0C3D">
      <w:pPr>
        <w:jc w:val="both"/>
        <w:rPr>
          <w:lang w:val="de-DE"/>
        </w:rPr>
      </w:pPr>
    </w:p>
    <w:p w14:paraId="48524764" w14:textId="028BBB87" w:rsidR="00BA0C3D" w:rsidRPr="004676F5" w:rsidRDefault="00BA0C3D" w:rsidP="00BA0C3D">
      <w:pPr>
        <w:jc w:val="both"/>
        <w:rPr>
          <w:lang w:val="de-DE"/>
        </w:rPr>
      </w:pPr>
      <w:r w:rsidRPr="004676F5">
        <w:rPr>
          <w:lang w:val="de-DE"/>
        </w:rPr>
        <w:tab/>
        <w:t>[4. davon absehen, zu einer in Artikel IV.40/1 Absatz 3 erwähnten Anhörung zu erscheinen.]</w:t>
      </w:r>
    </w:p>
    <w:p w14:paraId="1C893737" w14:textId="77777777" w:rsidR="00BA0C3D" w:rsidRPr="004676F5" w:rsidRDefault="00BA0C3D" w:rsidP="00BA0C3D">
      <w:pPr>
        <w:jc w:val="both"/>
        <w:rPr>
          <w:lang w:val="de-DE"/>
        </w:rPr>
      </w:pPr>
    </w:p>
    <w:p w14:paraId="57180C13" w14:textId="083E3CD6" w:rsidR="00BA0C3D" w:rsidRPr="004676F5" w:rsidRDefault="00BA0C3D" w:rsidP="00BA0C3D">
      <w:pPr>
        <w:jc w:val="both"/>
        <w:rPr>
          <w:lang w:val="de-DE"/>
        </w:rPr>
      </w:pPr>
      <w:r w:rsidRPr="004676F5">
        <w:rPr>
          <w:lang w:val="de-DE"/>
        </w:rPr>
        <w:tab/>
        <w:t>[Das Wettbewerbskollegium kann gegen Unternehmen oder Unternehmens</w:t>
      </w:r>
      <w:r w:rsidRPr="004676F5">
        <w:rPr>
          <w:lang w:val="de-DE"/>
        </w:rPr>
        <w:softHyphen/>
        <w:t>vereinigungen für jeden Tag Verzug ab dem in seiner Entscheidung bestimmten Zeitpunkt Zwangsgelder bis zu einem Prozent des durchschnittlichen Tagesumsatzes des vorangegangenen Geschäftsjahres festsetzen, um sie zu verpflichten:</w:t>
      </w:r>
    </w:p>
    <w:p w14:paraId="50941F99" w14:textId="77777777" w:rsidR="00BA0C3D" w:rsidRPr="004676F5" w:rsidRDefault="00BA0C3D" w:rsidP="00BA0C3D">
      <w:pPr>
        <w:jc w:val="both"/>
        <w:rPr>
          <w:lang w:val="de-DE"/>
        </w:rPr>
      </w:pPr>
    </w:p>
    <w:p w14:paraId="5D8D2398" w14:textId="77777777" w:rsidR="00BA0C3D" w:rsidRPr="004676F5" w:rsidRDefault="00BA0C3D" w:rsidP="00BA0C3D">
      <w:pPr>
        <w:jc w:val="both"/>
        <w:rPr>
          <w:lang w:val="de-DE"/>
        </w:rPr>
      </w:pPr>
      <w:r w:rsidRPr="004676F5">
        <w:rPr>
          <w:lang w:val="de-DE"/>
        </w:rPr>
        <w:tab/>
        <w:t>1. in einer Anmeldung oder infolge eines Auskunftsverlangens vollständige und richtige Angaben zu machen,</w:t>
      </w:r>
    </w:p>
    <w:p w14:paraId="0A9B7775" w14:textId="77777777" w:rsidR="00BA0C3D" w:rsidRPr="004676F5" w:rsidRDefault="00BA0C3D" w:rsidP="00BA0C3D">
      <w:pPr>
        <w:jc w:val="both"/>
        <w:rPr>
          <w:lang w:val="de-DE"/>
        </w:rPr>
      </w:pPr>
    </w:p>
    <w:p w14:paraId="094272F0" w14:textId="77777777" w:rsidR="00BA0C3D" w:rsidRPr="004676F5" w:rsidRDefault="00BA0C3D" w:rsidP="00BA0C3D">
      <w:pPr>
        <w:jc w:val="both"/>
        <w:rPr>
          <w:lang w:val="de-DE"/>
        </w:rPr>
      </w:pPr>
      <w:r w:rsidRPr="004676F5">
        <w:rPr>
          <w:lang w:val="de-DE"/>
        </w:rPr>
        <w:tab/>
        <w:t>2. Auskünfte zu erteilen, wenn die im Beschluss zur Auskunftsanforderung festgelegte Frist nicht eingehalten wird,</w:t>
      </w:r>
    </w:p>
    <w:p w14:paraId="554013D7" w14:textId="77777777" w:rsidR="00BA0C3D" w:rsidRPr="004676F5" w:rsidRDefault="00BA0C3D" w:rsidP="00BA0C3D">
      <w:pPr>
        <w:jc w:val="both"/>
        <w:rPr>
          <w:lang w:val="de-DE"/>
        </w:rPr>
      </w:pPr>
    </w:p>
    <w:p w14:paraId="1645F0DB" w14:textId="77777777" w:rsidR="00BA0C3D" w:rsidRPr="004676F5" w:rsidRDefault="00BA0C3D" w:rsidP="00BA0C3D">
      <w:pPr>
        <w:jc w:val="both"/>
        <w:rPr>
          <w:lang w:val="de-DE"/>
        </w:rPr>
      </w:pPr>
      <w:r w:rsidRPr="004676F5">
        <w:rPr>
          <w:lang w:val="de-DE"/>
        </w:rPr>
        <w:tab/>
        <w:t>3. sich den in den Artikeln IV.39, IV.40 bis IV.40/2 und IV.47 erwähnten Untersuchungsmaßnahmen zu unterziehen,</w:t>
      </w:r>
    </w:p>
    <w:p w14:paraId="1435BB8E" w14:textId="77777777" w:rsidR="00BA0C3D" w:rsidRPr="004676F5" w:rsidRDefault="00BA0C3D" w:rsidP="00BA0C3D">
      <w:pPr>
        <w:jc w:val="both"/>
        <w:rPr>
          <w:lang w:val="de-DE"/>
        </w:rPr>
      </w:pPr>
    </w:p>
    <w:p w14:paraId="4BD8C776" w14:textId="6C6900B0" w:rsidR="00BE3682" w:rsidRPr="004676F5" w:rsidRDefault="00BA0C3D" w:rsidP="00BA0C3D">
      <w:pPr>
        <w:jc w:val="both"/>
        <w:rPr>
          <w:rFonts w:eastAsia="Calibri"/>
          <w:kern w:val="2"/>
          <w:lang w:val="de-DE" w:eastAsia="en-US"/>
          <w14:ligatures w14:val="standardContextual"/>
        </w:rPr>
      </w:pPr>
      <w:r w:rsidRPr="004676F5">
        <w:rPr>
          <w:lang w:val="de-DE"/>
        </w:rPr>
        <w:tab/>
        <w:t>4. zu einer in Artikel IV.40/1 Absatz 3 erwähnten Anhörung zu erscheinen.</w:t>
      </w:r>
      <w:r w:rsidRPr="004676F5">
        <w:rPr>
          <w:rFonts w:eastAsia="Calibri"/>
          <w:kern w:val="2"/>
          <w:szCs w:val="22"/>
          <w:lang w:val="de-DE" w:eastAsia="en-US"/>
          <w14:ligatures w14:val="standardContextual"/>
        </w:rPr>
        <w:t>]</w:t>
      </w:r>
    </w:p>
    <w:p w14:paraId="5668CF36" w14:textId="77777777" w:rsidR="00BE3682" w:rsidRPr="004676F5" w:rsidRDefault="00BE3682" w:rsidP="00BE3682">
      <w:pPr>
        <w:jc w:val="both"/>
        <w:rPr>
          <w:rFonts w:eastAsia="Calibri"/>
          <w:kern w:val="2"/>
          <w:lang w:val="de-DE" w:eastAsia="en-US"/>
          <w14:ligatures w14:val="standardContextual"/>
        </w:rPr>
      </w:pPr>
    </w:p>
    <w:p w14:paraId="36F9958C" w14:textId="56B0A406" w:rsidR="00BE3682" w:rsidRPr="004676F5" w:rsidRDefault="00BE3682" w:rsidP="00BA0C3D">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Das Wettbewerbskollegium kann auf der Grundlage der in § 1 erwähnten Gründe gegen die in Artikel IV.1 § 4 erwähnten natürlichen Personen Geldbußen von 50 bis 2.000 EUR verhängen.</w:t>
      </w:r>
    </w:p>
    <w:p w14:paraId="517EBC66" w14:textId="77777777" w:rsidR="00BA0C3D" w:rsidRPr="004676F5" w:rsidRDefault="00BA0C3D" w:rsidP="00BA0C3D">
      <w:pPr>
        <w:jc w:val="both"/>
        <w:rPr>
          <w:rFonts w:eastAsia="Calibri"/>
          <w:kern w:val="2"/>
          <w:lang w:val="de-DE" w:eastAsia="en-US"/>
          <w14:ligatures w14:val="standardContextual"/>
        </w:rPr>
      </w:pPr>
    </w:p>
    <w:p w14:paraId="739B8F08" w14:textId="5EA33421" w:rsidR="00BA0C3D" w:rsidRPr="004676F5" w:rsidRDefault="00BA0C3D" w:rsidP="00BA0C3D">
      <w:pPr>
        <w:jc w:val="both"/>
        <w:rPr>
          <w:rFonts w:eastAsia="Calibri"/>
          <w:kern w:val="2"/>
          <w:lang w:val="de-DE" w:eastAsia="en-US"/>
          <w14:ligatures w14:val="standardContextual"/>
        </w:rPr>
      </w:pPr>
      <w:r w:rsidRPr="004676F5">
        <w:rPr>
          <w:rFonts w:eastAsia="Calibri"/>
          <w:kern w:val="2"/>
          <w:lang w:val="de-DE" w:eastAsia="en-US"/>
          <w14:ligatures w14:val="standardContextual"/>
        </w:rPr>
        <w:lastRenderedPageBreak/>
        <w:tab/>
        <w:t>[</w:t>
      </w:r>
      <w:r w:rsidRPr="004676F5">
        <w:rPr>
          <w:lang w:val="de-DE"/>
        </w:rPr>
        <w:t>§ 3 ­ Die in § 1 erwähnten Geldbußen können auferlegt werden, wenn ein Unternehmen einen Zusammenschluss ohne vorhergehende Anmeldung gemäß Artikel IV.10 durchgeführt hat, selbst wenn sich herausstellt, dass der Zusammenschluss zulässig ist.</w:t>
      </w:r>
      <w:r w:rsidRPr="004676F5">
        <w:rPr>
          <w:rFonts w:eastAsia="Calibri"/>
          <w:kern w:val="2"/>
          <w:lang w:val="de-DE" w:eastAsia="en-US"/>
          <w14:ligatures w14:val="standardContextual"/>
        </w:rPr>
        <w:t>]</w:t>
      </w:r>
    </w:p>
    <w:p w14:paraId="2530C7AC" w14:textId="77777777" w:rsidR="00BA0C3D" w:rsidRPr="004676F5" w:rsidRDefault="00BA0C3D" w:rsidP="00BA0C3D">
      <w:pPr>
        <w:jc w:val="both"/>
        <w:rPr>
          <w:rFonts w:eastAsia="Calibri"/>
          <w:i/>
          <w:iCs/>
          <w:kern w:val="2"/>
          <w:lang w:val="de-DE" w:eastAsia="en-US"/>
          <w14:ligatures w14:val="standardContextual"/>
        </w:rPr>
      </w:pPr>
    </w:p>
    <w:p w14:paraId="5E335935" w14:textId="3454660A" w:rsidR="00BA0C3D" w:rsidRPr="004676F5" w:rsidRDefault="00BA0C3D" w:rsidP="00BA0C3D">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IV.82 § 1 Abs. 1 Nr. 3 ersetzt durch Art. 69 Buchstabe a) des G. vom 28. Februar 2022 (B.S. vom 7. März 2022); § 1 Abs. 1 Nr. 4 eingefügt durch Art. 69 Buchstabe b) des G. vom 28. Februar 2022 (B.S. vom 7. März 2022); § 1 Abs. 2 eingefügt durch Art. 69 Buchstabe c) des G. vom 28. Februar 2022 (B.S. vom 7. März 2022); § 3 eingefügt durch Art. 69 Buchstabe d) des G. vom 28. Februar 2022 (B.S. vom 7. März 2022)]</w:t>
      </w:r>
    </w:p>
    <w:p w14:paraId="10625B87" w14:textId="77777777" w:rsidR="00BA0C3D" w:rsidRPr="004676F5" w:rsidRDefault="00BA0C3D" w:rsidP="00BA0C3D">
      <w:pPr>
        <w:jc w:val="both"/>
        <w:rPr>
          <w:rFonts w:eastAsia="Calibri"/>
          <w:i/>
          <w:iCs/>
          <w:kern w:val="2"/>
          <w:lang w:val="de-DE" w:eastAsia="en-US"/>
          <w14:ligatures w14:val="standardContextual"/>
        </w:rPr>
      </w:pPr>
    </w:p>
    <w:p w14:paraId="14EF2578" w14:textId="77777777" w:rsidR="008A1473" w:rsidRPr="004676F5" w:rsidRDefault="008A1473" w:rsidP="00BE3682">
      <w:pPr>
        <w:rPr>
          <w:rFonts w:eastAsia="Calibri"/>
          <w:kern w:val="2"/>
          <w:lang w:val="de-DE" w:eastAsia="en-US"/>
          <w14:ligatures w14:val="standardContextual"/>
        </w:rPr>
      </w:pPr>
    </w:p>
    <w:p w14:paraId="1FEAF9F9" w14:textId="2ACD6CB8"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IV.83</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In den Artikeln IV.79 bis IV.82 und in Artikel IV.59 § 1 erwähnte Geldbußen und Zwangsgelder sind nicht steuerlich abzugsfähig.</w:t>
      </w:r>
    </w:p>
    <w:p w14:paraId="14847E55" w14:textId="77777777" w:rsidR="00BE3682" w:rsidRPr="004676F5" w:rsidRDefault="00BE3682" w:rsidP="00BE3682">
      <w:pPr>
        <w:jc w:val="both"/>
        <w:rPr>
          <w:rFonts w:eastAsia="Calibri"/>
          <w:kern w:val="2"/>
          <w:lang w:val="de-DE" w:eastAsia="en-US"/>
          <w14:ligatures w14:val="standardContextual"/>
        </w:rPr>
      </w:pPr>
    </w:p>
    <w:p w14:paraId="1D1BBA84" w14:textId="77777777" w:rsidR="008A1473" w:rsidRPr="004676F5" w:rsidRDefault="008A1473" w:rsidP="00BE3682">
      <w:pPr>
        <w:jc w:val="both"/>
        <w:rPr>
          <w:rFonts w:eastAsia="Calibri"/>
          <w:kern w:val="2"/>
          <w:lang w:val="de-DE" w:eastAsia="en-US"/>
          <w14:ligatures w14:val="standardContextual"/>
        </w:rPr>
      </w:pPr>
    </w:p>
    <w:p w14:paraId="39EF312F" w14:textId="4F2F26E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IV.84</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Der in den Artikeln IV.79 und IV.82 erwähnte Umsatz ist:</w:t>
      </w:r>
    </w:p>
    <w:p w14:paraId="283EBBA8" w14:textId="77777777" w:rsidR="00BE3682" w:rsidRPr="004676F5" w:rsidRDefault="00BE3682" w:rsidP="00BE3682">
      <w:pPr>
        <w:jc w:val="both"/>
        <w:rPr>
          <w:rFonts w:eastAsia="Calibri"/>
          <w:kern w:val="2"/>
          <w:lang w:val="de-DE" w:eastAsia="en-US"/>
          <w14:ligatures w14:val="standardContextual"/>
        </w:rPr>
      </w:pPr>
    </w:p>
    <w:p w14:paraId="09B1DED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bei Verstößen, die vor Inkrafttreten des vorliegenden Gesetzes begonnen und geendet haben, der Gesamtumsatz, der im Geschäftsjahr vor der Entscheidung auf dem nationalen Markt und bei der Ausfuhr erzielt worden ist,</w:t>
      </w:r>
    </w:p>
    <w:p w14:paraId="07BFC564" w14:textId="77777777" w:rsidR="00BE3682" w:rsidRPr="004676F5" w:rsidRDefault="00BE3682" w:rsidP="00BE3682">
      <w:pPr>
        <w:jc w:val="both"/>
        <w:rPr>
          <w:rFonts w:eastAsia="Calibri"/>
          <w:kern w:val="2"/>
          <w:lang w:val="de-DE" w:eastAsia="en-US"/>
          <w14:ligatures w14:val="standardContextual"/>
        </w:rPr>
      </w:pPr>
    </w:p>
    <w:p w14:paraId="63043F8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bei Verstößen, die ab Inkrafttreten des vorliegenden Gesetzes begonnen haben, der weltweite Gesamtumsatz, der im Geschäftsjahr vor der Entscheidung erzielt worden ist,</w:t>
      </w:r>
    </w:p>
    <w:p w14:paraId="350612B5" w14:textId="77777777" w:rsidR="00BE3682" w:rsidRPr="004676F5" w:rsidRDefault="00BE3682" w:rsidP="00BE3682">
      <w:pPr>
        <w:jc w:val="both"/>
        <w:rPr>
          <w:rFonts w:eastAsia="Calibri"/>
          <w:kern w:val="2"/>
          <w:lang w:val="de-DE" w:eastAsia="en-US"/>
          <w14:ligatures w14:val="standardContextual"/>
        </w:rPr>
      </w:pPr>
    </w:p>
    <w:p w14:paraId="45087C7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bei Verstößen, die vor Inkrafttreten des vorliegenden Gesetzes begonnen haben und sich ab diesem Inkrafttreten fortgesetzt oder wiederholt haben:</w:t>
      </w:r>
    </w:p>
    <w:p w14:paraId="719C1C2D" w14:textId="77777777" w:rsidR="00BE3682" w:rsidRPr="004676F5" w:rsidRDefault="00BE3682" w:rsidP="00BE3682">
      <w:pPr>
        <w:jc w:val="both"/>
        <w:rPr>
          <w:rFonts w:eastAsia="Calibri"/>
          <w:kern w:val="2"/>
          <w:lang w:val="de-DE" w:eastAsia="en-US"/>
          <w14:ligatures w14:val="standardContextual"/>
        </w:rPr>
      </w:pPr>
    </w:p>
    <w:p w14:paraId="0CF1CB9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a) </w:t>
      </w:r>
      <w:r w:rsidRPr="004676F5">
        <w:rPr>
          <w:rFonts w:eastAsia="Calibri"/>
          <w:kern w:val="2"/>
          <w:szCs w:val="22"/>
          <w:lang w:val="de-DE" w:eastAsia="en-US"/>
          <w14:ligatures w14:val="standardContextual"/>
        </w:rPr>
        <w:t>der Gesamtumsatz, der im Geschäftsjahr vor der Entscheidung auf dem nationalen Markt und bei der Ausfuhr erzielt worden ist, für den Verstoßzeitraum vor Inkrafttreten des vorliegenden Gesetzes,</w:t>
      </w:r>
    </w:p>
    <w:p w14:paraId="331CCA75" w14:textId="77777777" w:rsidR="00BE3682" w:rsidRPr="004676F5" w:rsidRDefault="00BE3682" w:rsidP="00BE3682">
      <w:pPr>
        <w:jc w:val="both"/>
        <w:rPr>
          <w:rFonts w:eastAsia="Calibri"/>
          <w:kern w:val="2"/>
          <w:lang w:val="de-DE" w:eastAsia="en-US"/>
          <w14:ligatures w14:val="standardContextual"/>
        </w:rPr>
      </w:pPr>
    </w:p>
    <w:p w14:paraId="728FB97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b) </w:t>
      </w:r>
      <w:r w:rsidRPr="004676F5">
        <w:rPr>
          <w:rFonts w:eastAsia="Calibri"/>
          <w:kern w:val="2"/>
          <w:szCs w:val="22"/>
          <w:lang w:val="de-DE" w:eastAsia="en-US"/>
          <w14:ligatures w14:val="standardContextual"/>
        </w:rPr>
        <w:t>der weltweite Gesamtumsatz, der im Geschäftsjahr vor der Entscheidung erzielt worden ist, für den Verstoßzeitraum ab Inkrafttreten des vorliegenden Gesetzes,</w:t>
      </w:r>
    </w:p>
    <w:p w14:paraId="0ECB6865" w14:textId="77777777" w:rsidR="00BE3682" w:rsidRPr="004676F5" w:rsidRDefault="00BE3682" w:rsidP="00BE3682">
      <w:pPr>
        <w:jc w:val="both"/>
        <w:rPr>
          <w:rFonts w:eastAsia="Calibri"/>
          <w:kern w:val="2"/>
          <w:lang w:val="de-DE" w:eastAsia="en-US"/>
          <w14:ligatures w14:val="standardContextual"/>
        </w:rPr>
      </w:pPr>
    </w:p>
    <w:p w14:paraId="2C70B3E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ohne dass der Gesamtbetrag der Geldbuße jedoch mehr als 10 Prozent des weltweiten Gesamtumsatzes, der im Geschäftsjahr vor der Entscheidung erzielt worden ist, betragen darf.</w:t>
      </w:r>
    </w:p>
    <w:p w14:paraId="7AB243C9" w14:textId="77777777" w:rsidR="00BE3682" w:rsidRPr="004676F5" w:rsidRDefault="00BE3682" w:rsidP="00BE3682">
      <w:pPr>
        <w:jc w:val="both"/>
        <w:rPr>
          <w:rFonts w:eastAsia="Calibri"/>
          <w:kern w:val="2"/>
          <w:lang w:val="de-DE" w:eastAsia="en-US"/>
          <w14:ligatures w14:val="standardContextual"/>
        </w:rPr>
      </w:pPr>
    </w:p>
    <w:p w14:paraId="23DF6FEE" w14:textId="2819A1A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Betrifft der Verstoß die missbräuchliche Ausnutzung einer Position der wirtschaftlichen Abhängigkeit im Sinne von Artikel IV.2/1, ist in Abweichung von § 1 der in den Artikeln IV.79</w:t>
      </w:r>
      <w:r w:rsidR="0092239B" w:rsidRPr="004676F5">
        <w:rPr>
          <w:rFonts w:eastAsia="Calibri"/>
          <w:kern w:val="2"/>
          <w:szCs w:val="22"/>
          <w:lang w:val="de-DE" w:eastAsia="en-US"/>
          <w14:ligatures w14:val="standardContextual"/>
        </w:rPr>
        <w:t xml:space="preserve">[, </w:t>
      </w:r>
      <w:r w:rsidR="00626AF8" w:rsidRPr="004676F5">
        <w:rPr>
          <w:rFonts w:eastAsia="Calibri"/>
          <w:kern w:val="2"/>
          <w:szCs w:val="22"/>
          <w:lang w:val="de-DE" w:eastAsia="en-US"/>
          <w14:ligatures w14:val="standardContextual"/>
        </w:rPr>
        <w:t>IV.80 § 2</w:t>
      </w:r>
      <w:r w:rsidR="0092239B"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und IV.82 erwähnte Umsatz der Gesamtumsatz, der im Geschäftsjahr vor der Entscheidung auf dem nationalen Markt und bei der Ausfuhr erzielt worden ist.</w:t>
      </w:r>
    </w:p>
    <w:p w14:paraId="4DD5C551" w14:textId="77777777" w:rsidR="00BE3682" w:rsidRPr="004676F5" w:rsidRDefault="00BE3682" w:rsidP="00BE3682">
      <w:pPr>
        <w:jc w:val="both"/>
        <w:rPr>
          <w:rFonts w:eastAsia="Calibri"/>
          <w:kern w:val="2"/>
          <w:lang w:val="de-DE" w:eastAsia="en-US"/>
          <w14:ligatures w14:val="standardContextual"/>
        </w:rPr>
      </w:pPr>
    </w:p>
    <w:p w14:paraId="1CFF95A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Der zu berücksichtigende Umsatz eines Unternehmens ist die Summe der Umsätze aller Unternehmen, die eine wirtschaftliche Einheit wie in Artikel IV.8 § 4 bestimmt bilden. Für die in Artikel IV.12 erwähnten öffentlichen Unternehmen ist der zu berücksichtigende Umsatz jedoch der Umsatz aller Unternehmen, die eine mit einer autonomen Entscheidungsbefugnis ausgestattete wirtschaftliche Einheit bilden, unabhängig von den Eigentumsverhältnissen oder von den für sie geltenden Regeln der Verwaltungsaufsicht.</w:t>
      </w:r>
    </w:p>
    <w:p w14:paraId="141E2B93" w14:textId="77777777" w:rsidR="00BE3682" w:rsidRPr="004676F5" w:rsidRDefault="00BE3682" w:rsidP="00BE3682">
      <w:pPr>
        <w:jc w:val="both"/>
        <w:rPr>
          <w:rFonts w:eastAsia="Calibri"/>
          <w:kern w:val="2"/>
          <w:lang w:val="de-DE" w:eastAsia="en-US"/>
          <w14:ligatures w14:val="standardContextual"/>
        </w:rPr>
      </w:pPr>
    </w:p>
    <w:p w14:paraId="647A677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Für die Berechnung des Umsatzes sind die Umsätze zusammenzuzählen, die das Unternehmen erzielt hat und die dem normalen geschäftlichen Tätigkeitsbereich des Unternehmens zuzuordnen sind, unter Abzug von Erlösschmälerungen, der Mehrwertsteuer und anderer unmittelbar auf den Umsatz bezogener Steuern. Bei der Berechnung des Umsatzes werden die Umsätze zwischen den in Artikel IV.8 § 4 erwähnten Unternehmen nicht berücksichtigt.</w:t>
      </w:r>
    </w:p>
    <w:p w14:paraId="46DF2701" w14:textId="77777777" w:rsidR="00BE3682" w:rsidRPr="004676F5" w:rsidRDefault="00BE3682" w:rsidP="00BE3682">
      <w:pPr>
        <w:jc w:val="both"/>
        <w:rPr>
          <w:rFonts w:eastAsia="Calibri"/>
          <w:kern w:val="2"/>
          <w:lang w:val="de-DE" w:eastAsia="en-US"/>
          <w14:ligatures w14:val="standardContextual"/>
        </w:rPr>
      </w:pPr>
    </w:p>
    <w:p w14:paraId="79E819BE" w14:textId="3BD63790"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r>
      <w:r w:rsidR="00BA0C3D" w:rsidRPr="004676F5">
        <w:rPr>
          <w:rFonts w:eastAsia="Calibri"/>
          <w:kern w:val="2"/>
          <w:szCs w:val="22"/>
          <w:lang w:val="de-DE" w:eastAsia="en-US"/>
          <w14:ligatures w14:val="standardContextual"/>
        </w:rPr>
        <w:t>[...]</w:t>
      </w:r>
    </w:p>
    <w:p w14:paraId="3B84480F" w14:textId="77777777" w:rsidR="00BA0C3D" w:rsidRPr="004676F5" w:rsidRDefault="00BA0C3D" w:rsidP="00BE3682">
      <w:pPr>
        <w:jc w:val="both"/>
        <w:rPr>
          <w:rFonts w:eastAsia="Calibri"/>
          <w:kern w:val="2"/>
          <w:szCs w:val="22"/>
          <w:lang w:val="de-DE" w:eastAsia="en-US"/>
          <w14:ligatures w14:val="standardContextual"/>
        </w:rPr>
      </w:pPr>
    </w:p>
    <w:p w14:paraId="0A8C3B35" w14:textId="5DF6A032" w:rsidR="00BA0C3D" w:rsidRPr="004676F5" w:rsidRDefault="00BA0C3D" w:rsidP="00BA0C3D">
      <w:pPr>
        <w:jc w:val="both"/>
        <w:rPr>
          <w:lang w:val="de-DE"/>
        </w:rPr>
      </w:pPr>
      <w:r w:rsidRPr="004676F5">
        <w:rPr>
          <w:rFonts w:eastAsia="Calibri"/>
          <w:kern w:val="2"/>
          <w:szCs w:val="22"/>
          <w:lang w:val="de-DE" w:eastAsia="en-US"/>
          <w14:ligatures w14:val="standardContextual"/>
        </w:rPr>
        <w:tab/>
        <w:t>[</w:t>
      </w:r>
      <w:r w:rsidRPr="004676F5">
        <w:rPr>
          <w:lang w:val="de-DE"/>
        </w:rPr>
        <w:t>§ 4 </w:t>
      </w:r>
      <w:r w:rsidR="005B7A5C" w:rsidRPr="004676F5">
        <w:rPr>
          <w:lang w:val="de-DE"/>
        </w:rPr>
        <w:t>- </w:t>
      </w:r>
      <w:r w:rsidRPr="004676F5">
        <w:rPr>
          <w:lang w:val="de-DE"/>
        </w:rPr>
        <w:t>Bei Unternehmensvereinigungen umfasst der Umsatz die Summe der Umsätze der einzelnen Mitglieder der Vereinigung, die auf dem betreffenden Markt tätig sind. Die finanzielle Haftung jedes Unternehmens für die Zahlung der Geldbuße darf jedoch bei Zuwiderhandlungen gegen das Wettbewerbsrecht den Höchstbetrag von zehn Prozent seines Umsatzes in dem der Entscheidung vorangehenden Geschäftsjahr und bei Geldbußen im Rahmen von Artikel IV.82 § 1 den Höchstbetrag von einem Prozent seines Umsatzes in dem der Entscheidung vorangehenden Geschäftsjahr nicht übersteigen.</w:t>
      </w:r>
    </w:p>
    <w:p w14:paraId="40C807F7" w14:textId="77777777" w:rsidR="00BA0C3D" w:rsidRPr="004676F5" w:rsidRDefault="00BA0C3D" w:rsidP="00BA0C3D">
      <w:pPr>
        <w:jc w:val="both"/>
        <w:rPr>
          <w:lang w:val="de-DE"/>
        </w:rPr>
      </w:pPr>
    </w:p>
    <w:p w14:paraId="54E672E9" w14:textId="77777777" w:rsidR="00BA0C3D" w:rsidRPr="004676F5" w:rsidRDefault="00BA0C3D" w:rsidP="00BA0C3D">
      <w:pPr>
        <w:jc w:val="both"/>
        <w:rPr>
          <w:lang w:val="de-DE"/>
        </w:rPr>
      </w:pPr>
      <w:r w:rsidRPr="004676F5">
        <w:rPr>
          <w:lang w:val="de-DE"/>
        </w:rPr>
        <w:tab/>
        <w:t>Wird gegen eine Unternehmensvereinigung eine Geldbuße unter Berücksichtigung des Umsatzes ihrer Mitglieder verhängt und ist die Unternehmensvereinigung selbst nicht zahlungsfähig, so ist sie verpflichtet, von ihren Mitgliedern Beiträge zur Deckung des Betrags dieser Geldbuße zu fordern.</w:t>
      </w:r>
    </w:p>
    <w:p w14:paraId="27D328DE" w14:textId="77777777" w:rsidR="00BA0C3D" w:rsidRPr="004676F5" w:rsidRDefault="00BA0C3D" w:rsidP="00BA0C3D">
      <w:pPr>
        <w:jc w:val="both"/>
        <w:rPr>
          <w:lang w:val="de-DE"/>
        </w:rPr>
      </w:pPr>
    </w:p>
    <w:p w14:paraId="6AD3866A" w14:textId="77777777" w:rsidR="00BA0C3D" w:rsidRPr="004676F5" w:rsidRDefault="00BA0C3D" w:rsidP="00BA0C3D">
      <w:pPr>
        <w:jc w:val="both"/>
        <w:rPr>
          <w:lang w:val="de-DE"/>
        </w:rPr>
      </w:pPr>
      <w:r w:rsidRPr="004676F5">
        <w:rPr>
          <w:lang w:val="de-DE"/>
        </w:rPr>
        <w:tab/>
        <w:t>Werden die in Absatz 2 erwähnten Beiträge innerhalb der vom Generalauditor festgesetzten Frist nicht vollständig an die Vereinigung geleistet, so kann der Generalauditor die Zahlung der Geldbuße unmittelbar von jedem Unternehmen verlangen, dessen Vertreter Mitglieder der Entscheidungsorgane der Vereinigung waren.</w:t>
      </w:r>
    </w:p>
    <w:p w14:paraId="4FD8926F" w14:textId="77777777" w:rsidR="00BA0C3D" w:rsidRPr="004676F5" w:rsidRDefault="00BA0C3D" w:rsidP="00BA0C3D">
      <w:pPr>
        <w:jc w:val="both"/>
        <w:rPr>
          <w:lang w:val="de-DE"/>
        </w:rPr>
      </w:pPr>
    </w:p>
    <w:p w14:paraId="427684F7" w14:textId="77777777" w:rsidR="00BA0C3D" w:rsidRPr="004676F5" w:rsidRDefault="00BA0C3D" w:rsidP="00BA0C3D">
      <w:pPr>
        <w:jc w:val="both"/>
        <w:rPr>
          <w:lang w:val="de-DE"/>
        </w:rPr>
      </w:pPr>
      <w:r w:rsidRPr="004676F5">
        <w:rPr>
          <w:lang w:val="de-DE"/>
        </w:rPr>
        <w:tab/>
        <w:t>Nachdem der Generalauditor die Zahlung gemäß Absatz 3 verlangt hat, kann er, soweit es zur vollständigen Zahlung der Geldbuße erforderlich ist, die Zahlung des Restbetrags von jedem Mitglied der Vereinigung verlangen, das auf dem Markt tätig war, auf dem die Zuwiderhandlung erfolgte.</w:t>
      </w:r>
    </w:p>
    <w:p w14:paraId="57D7CCFF" w14:textId="77777777" w:rsidR="00BA0C3D" w:rsidRPr="004676F5" w:rsidRDefault="00BA0C3D" w:rsidP="00BA0C3D">
      <w:pPr>
        <w:jc w:val="both"/>
        <w:rPr>
          <w:lang w:val="de-DE"/>
        </w:rPr>
      </w:pPr>
    </w:p>
    <w:p w14:paraId="0CE0479A" w14:textId="77777777" w:rsidR="00BA0C3D" w:rsidRPr="004676F5" w:rsidRDefault="00BA0C3D" w:rsidP="00BA0C3D">
      <w:pPr>
        <w:jc w:val="both"/>
        <w:rPr>
          <w:lang w:val="de-DE"/>
        </w:rPr>
      </w:pPr>
      <w:r w:rsidRPr="004676F5">
        <w:rPr>
          <w:lang w:val="de-DE"/>
        </w:rPr>
        <w:tab/>
        <w:t>Wenn der Generalauditor gemäß den Absätzen 3 und 4 die Zahlung des ausstehenden Betrags von den Mitgliedern der Vereinigung verlangt, berücksichtigt er die relative Größe der der Vereinigung angehörenden Unternehmen, insbesondere die Lage der kleinen und mittleren Betriebe im Sinne der Empfehlung 2003/361/EG der Kommission vom 6. Mai 2003 betreffend die Definition der Kleinstunternehmen sowie der kleinen und mittleren Unternehmen.</w:t>
      </w:r>
    </w:p>
    <w:p w14:paraId="1327A72E" w14:textId="77777777" w:rsidR="00BA0C3D" w:rsidRPr="004676F5" w:rsidRDefault="00BA0C3D" w:rsidP="00BA0C3D">
      <w:pPr>
        <w:jc w:val="both"/>
        <w:rPr>
          <w:lang w:val="de-DE"/>
        </w:rPr>
      </w:pPr>
    </w:p>
    <w:p w14:paraId="73454715" w14:textId="77777777" w:rsidR="00BA0C3D" w:rsidRPr="004676F5" w:rsidRDefault="00BA0C3D" w:rsidP="00BA0C3D">
      <w:pPr>
        <w:jc w:val="both"/>
        <w:rPr>
          <w:lang w:val="de-DE"/>
        </w:rPr>
      </w:pPr>
      <w:r w:rsidRPr="004676F5">
        <w:rPr>
          <w:lang w:val="de-DE"/>
        </w:rPr>
        <w:tab/>
        <w:t>Der Generalauditor darf die in den Absätzen 3 und 4 erwähnten Zahlungen jedoch nicht von Unternehmen verlangen, die nachweisen, dass sie den die Zuwiderhandlung begründenden Beschluss der Vereinigung nicht umgesetzt haben und dass sie entweder von dessen Existenz keine Kenntnis hatten oder sich vor Einleitung der Untersuchung aktiv davon distanziert haben.</w:t>
      </w:r>
    </w:p>
    <w:p w14:paraId="43C4D362" w14:textId="77777777" w:rsidR="00BA0C3D" w:rsidRPr="004676F5" w:rsidRDefault="00BA0C3D" w:rsidP="00BA0C3D">
      <w:pPr>
        <w:jc w:val="both"/>
        <w:rPr>
          <w:lang w:val="de-DE"/>
        </w:rPr>
      </w:pPr>
    </w:p>
    <w:p w14:paraId="48EFA9D2" w14:textId="2201B7EC" w:rsidR="00BA0C3D" w:rsidRPr="004676F5" w:rsidRDefault="00A77A0F" w:rsidP="00BA0C3D">
      <w:pPr>
        <w:jc w:val="both"/>
        <w:rPr>
          <w:rFonts w:eastAsia="Calibri"/>
          <w:kern w:val="2"/>
          <w:lang w:val="de-DE" w:eastAsia="en-US"/>
          <w14:ligatures w14:val="standardContextual"/>
        </w:rPr>
      </w:pPr>
      <w:r w:rsidRPr="004676F5">
        <w:rPr>
          <w:lang w:val="de-DE"/>
        </w:rPr>
        <w:tab/>
      </w:r>
      <w:r w:rsidR="00BA0C3D" w:rsidRPr="004676F5">
        <w:rPr>
          <w:lang w:val="de-DE"/>
        </w:rPr>
        <w:t>Wird eine Geldbuße nicht nur gegen die Unternehmensvereinigung, sondern auch gegen ihre Mitglieder verhängt, so wird der Umsatz der Mitglieder, gegen die eine Geldbuße verhängt wird, bei der Berechnung der gegen die Vereinigung verhängten Geldbuße nicht berücksichtigt.</w:t>
      </w:r>
      <w:r w:rsidR="00BA0C3D" w:rsidRPr="004676F5">
        <w:rPr>
          <w:rFonts w:eastAsia="Calibri"/>
          <w:kern w:val="2"/>
          <w:szCs w:val="22"/>
          <w:lang w:val="de-DE" w:eastAsia="en-US"/>
          <w14:ligatures w14:val="standardContextual"/>
        </w:rPr>
        <w:t>]</w:t>
      </w:r>
    </w:p>
    <w:p w14:paraId="583079B2" w14:textId="75E32BE2" w:rsidR="00BE3682" w:rsidRPr="004676F5" w:rsidRDefault="00BE3682" w:rsidP="00BE3682">
      <w:pPr>
        <w:jc w:val="both"/>
        <w:rPr>
          <w:rFonts w:eastAsia="Calibri"/>
          <w:kern w:val="2"/>
          <w:lang w:val="de-DE" w:eastAsia="en-US"/>
          <w14:ligatures w14:val="standardContextual"/>
        </w:rPr>
      </w:pPr>
    </w:p>
    <w:p w14:paraId="35FE42F4" w14:textId="3F238B41" w:rsidR="00626AF8" w:rsidRPr="004676F5" w:rsidRDefault="00626AF8"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IV.84 § 2 abgeändert durch Art. 5 des G. vom 2. Februar 2021 (B.S. vom 11. Februar 2021)</w:t>
      </w:r>
      <w:r w:rsidR="00BA0C3D" w:rsidRPr="004676F5">
        <w:rPr>
          <w:rFonts w:eastAsia="Calibri"/>
          <w:i/>
          <w:iCs/>
          <w:kern w:val="2"/>
          <w:lang w:val="de-DE" w:eastAsia="en-US"/>
          <w14:ligatures w14:val="standardContextual"/>
        </w:rPr>
        <w:t xml:space="preserve">; § 3 Abs. 3 aufgehoben durch Art. 70 Nr. 1 des G. vom 28. Februar 2022 </w:t>
      </w:r>
      <w:r w:rsidR="00BA0C3D" w:rsidRPr="004676F5">
        <w:rPr>
          <w:rFonts w:eastAsia="Calibri"/>
          <w:i/>
          <w:iCs/>
          <w:kern w:val="2"/>
          <w:lang w:val="de-DE" w:eastAsia="en-US"/>
          <w14:ligatures w14:val="standardContextual"/>
        </w:rPr>
        <w:lastRenderedPageBreak/>
        <w:t>(B.S. vom 7. März 2022); § 4 eingefügt durch Art. 70 Nr. 2 des G. vom 28. Februar 2022 (B.S. vom 7. März 2022)</w:t>
      </w:r>
      <w:r w:rsidRPr="004676F5">
        <w:rPr>
          <w:rFonts w:eastAsia="Calibri"/>
          <w:i/>
          <w:iCs/>
          <w:kern w:val="2"/>
          <w:lang w:val="de-DE" w:eastAsia="en-US"/>
          <w14:ligatures w14:val="standardContextual"/>
        </w:rPr>
        <w:t>]</w:t>
      </w:r>
    </w:p>
    <w:p w14:paraId="371DA179" w14:textId="77777777" w:rsidR="00626AF8" w:rsidRPr="004676F5" w:rsidRDefault="00626AF8" w:rsidP="00BE3682">
      <w:pPr>
        <w:jc w:val="both"/>
        <w:rPr>
          <w:rFonts w:eastAsia="Calibri"/>
          <w:lang w:val="de-DE"/>
        </w:rPr>
      </w:pPr>
    </w:p>
    <w:p w14:paraId="60DE6B28" w14:textId="77777777" w:rsidR="008A1473" w:rsidRPr="004676F5" w:rsidRDefault="008A1473" w:rsidP="00BE3682">
      <w:pPr>
        <w:jc w:val="both"/>
        <w:rPr>
          <w:rFonts w:eastAsia="Calibri"/>
          <w:kern w:val="2"/>
          <w:lang w:val="de-DE" w:eastAsia="en-US"/>
          <w14:ligatures w14:val="standardContextual"/>
        </w:rPr>
      </w:pPr>
    </w:p>
    <w:p w14:paraId="56B97C40" w14:textId="34A2E93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IV.85</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Der König bestimmt Fristen und Modalitäten für die Zahlung der Geldbußen und Zwangsgelder.</w:t>
      </w:r>
    </w:p>
    <w:p w14:paraId="24E0943E" w14:textId="77777777" w:rsidR="00BE3682" w:rsidRPr="004676F5" w:rsidRDefault="00BE3682" w:rsidP="00BE3682">
      <w:pPr>
        <w:jc w:val="both"/>
        <w:rPr>
          <w:rFonts w:eastAsia="Calibri"/>
          <w:kern w:val="2"/>
          <w:lang w:val="de-DE" w:eastAsia="en-US"/>
          <w14:ligatures w14:val="standardContextual"/>
        </w:rPr>
      </w:pPr>
    </w:p>
    <w:p w14:paraId="56A3E51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Wenn der Betreffende mit der Zahlung von Geldbußen oder Zwangsgeldern in Verzug ist, wird die Entscheidung des Wettbewerbskollegiums oder des Auditors oder die formell rechtskräftige Entscheidung des Märktegerichtshofes dem FÖD Finanzen übermittelt im Hinblick auf die Beitreibung des geschuldeten Betrags.</w:t>
      </w:r>
    </w:p>
    <w:p w14:paraId="68978F25" w14:textId="77777777" w:rsidR="00BE3682" w:rsidRPr="004676F5" w:rsidRDefault="00BE3682" w:rsidP="00BE3682">
      <w:pPr>
        <w:jc w:val="both"/>
        <w:rPr>
          <w:rFonts w:eastAsia="Calibri"/>
          <w:kern w:val="2"/>
          <w:lang w:val="de-DE" w:eastAsia="en-US"/>
          <w14:ligatures w14:val="standardContextual"/>
        </w:rPr>
      </w:pPr>
    </w:p>
    <w:p w14:paraId="6472A47E" w14:textId="3524C39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Für Verfolgungen, die die vorerwähnte Verwaltung einleitet, gilt Artikel 3 des Domanialgesetzes vom 22. Dezember 1949.</w:t>
      </w:r>
    </w:p>
    <w:p w14:paraId="59F177A7" w14:textId="77777777" w:rsidR="008A1473" w:rsidRPr="004676F5" w:rsidRDefault="008A1473" w:rsidP="00BE3682">
      <w:pPr>
        <w:jc w:val="both"/>
        <w:rPr>
          <w:rFonts w:eastAsia="Calibri"/>
          <w:kern w:val="2"/>
          <w:lang w:val="de-DE" w:eastAsia="en-US"/>
          <w14:ligatures w14:val="standardContextual"/>
        </w:rPr>
      </w:pPr>
    </w:p>
    <w:p w14:paraId="42B1061E" w14:textId="6A623C68" w:rsidR="008A1473" w:rsidRPr="004676F5" w:rsidRDefault="008A1473">
      <w:pPr>
        <w:rPr>
          <w:rFonts w:eastAsia="Calibri"/>
          <w:kern w:val="2"/>
          <w:szCs w:val="22"/>
          <w:lang w:val="de-DE" w:eastAsia="en-US"/>
          <w14:ligatures w14:val="standardContextual"/>
        </w:rPr>
      </w:pPr>
    </w:p>
    <w:p w14:paraId="029BC3AF" w14:textId="77777777" w:rsidR="00115238" w:rsidRPr="004676F5" w:rsidRDefault="00115238">
      <w:pPr>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br w:type="page"/>
      </w:r>
    </w:p>
    <w:p w14:paraId="1D1D6964" w14:textId="55B457DE" w:rsidR="00BE3682" w:rsidRPr="004676F5" w:rsidRDefault="00BE3682" w:rsidP="00BE3682">
      <w:pPr>
        <w:jc w:val="center"/>
        <w:rPr>
          <w:rFonts w:eastAsia="Calibri"/>
          <w:i/>
          <w:iCs/>
          <w:kern w:val="2"/>
          <w:lang w:val="de-DE" w:eastAsia="en-US"/>
          <w14:ligatures w14:val="standardContextual"/>
        </w:rPr>
      </w:pPr>
      <w:r w:rsidRPr="004676F5">
        <w:rPr>
          <w:rFonts w:eastAsia="Calibri"/>
          <w:kern w:val="2"/>
          <w:szCs w:val="22"/>
          <w:lang w:val="de-DE" w:eastAsia="en-US"/>
          <w14:ligatures w14:val="standardContextual"/>
        </w:rPr>
        <w:lastRenderedPageBreak/>
        <w:t xml:space="preserve">KAPITEL 2 ­ </w:t>
      </w:r>
      <w:r w:rsidRPr="004676F5">
        <w:rPr>
          <w:rFonts w:eastAsia="Calibri"/>
          <w:i/>
          <w:kern w:val="2"/>
          <w:szCs w:val="22"/>
          <w:lang w:val="de-DE" w:eastAsia="en-US"/>
          <w14:ligatures w14:val="standardContextual"/>
        </w:rPr>
        <w:t xml:space="preserve">Vorabentscheidungsfragen, Amicus-Curiae-Interventionen und Urteile und Entscheide </w:t>
      </w:r>
      <w:r w:rsidR="00BA0C3D" w:rsidRPr="004676F5">
        <w:rPr>
          <w:rFonts w:eastAsia="Calibri"/>
          <w:iCs/>
          <w:kern w:val="2"/>
          <w:szCs w:val="22"/>
          <w:lang w:val="de-DE" w:eastAsia="en-US"/>
          <w14:ligatures w14:val="standardContextual"/>
        </w:rPr>
        <w:t>[</w:t>
      </w:r>
      <w:r w:rsidR="00BA0C3D" w:rsidRPr="004676F5">
        <w:rPr>
          <w:rFonts w:eastAsia="Calibri"/>
          <w:i/>
          <w:kern w:val="2"/>
          <w:szCs w:val="22"/>
          <w:lang w:val="de-DE" w:eastAsia="en-US"/>
          <w14:ligatures w14:val="standardContextual"/>
        </w:rPr>
        <w:t>in Bezug auf Zuwiderhandlungen gegen das Wettbewerbsrecht</w:t>
      </w:r>
      <w:r w:rsidR="00BA0C3D" w:rsidRPr="004676F5">
        <w:rPr>
          <w:rFonts w:eastAsia="Calibri"/>
          <w:iCs/>
          <w:kern w:val="2"/>
          <w:szCs w:val="22"/>
          <w:lang w:val="de-DE" w:eastAsia="en-US"/>
          <w14:ligatures w14:val="standardContextual"/>
        </w:rPr>
        <w:t>]</w:t>
      </w:r>
    </w:p>
    <w:p w14:paraId="0C60DF39" w14:textId="77777777" w:rsidR="00BE3682" w:rsidRPr="004676F5" w:rsidRDefault="00BE3682" w:rsidP="00BE3682">
      <w:pPr>
        <w:jc w:val="both"/>
        <w:rPr>
          <w:rFonts w:eastAsia="Calibri"/>
          <w:i/>
          <w:iCs/>
          <w:kern w:val="2"/>
          <w:lang w:val="de-DE" w:eastAsia="en-US"/>
          <w14:ligatures w14:val="standardContextual"/>
        </w:rPr>
      </w:pPr>
    </w:p>
    <w:p w14:paraId="6DE88815" w14:textId="0CF0A7D0" w:rsidR="00BA0C3D" w:rsidRPr="004676F5" w:rsidRDefault="00BA0C3D"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[Überschrift von Kapitel 2 abgeändert durch Art. 71 des G. vom 28. Februar 2022 (B.S. vom 7. März 2022)]</w:t>
      </w:r>
    </w:p>
    <w:p w14:paraId="6CE01613" w14:textId="77777777" w:rsidR="00BA0C3D" w:rsidRPr="004676F5" w:rsidRDefault="00BA0C3D" w:rsidP="00BE3682">
      <w:pPr>
        <w:jc w:val="both"/>
        <w:rPr>
          <w:rFonts w:eastAsia="Calibri"/>
          <w:i/>
          <w:iCs/>
          <w:kern w:val="2"/>
          <w:lang w:val="de-DE" w:eastAsia="en-US"/>
          <w14:ligatures w14:val="standardContextual"/>
        </w:rPr>
      </w:pPr>
    </w:p>
    <w:p w14:paraId="08EC9520" w14:textId="77777777" w:rsidR="008A1473" w:rsidRPr="004676F5" w:rsidRDefault="008A1473" w:rsidP="00BE3682">
      <w:pPr>
        <w:jc w:val="both"/>
        <w:rPr>
          <w:rFonts w:eastAsia="Calibri"/>
          <w:i/>
          <w:iCs/>
          <w:kern w:val="2"/>
          <w:lang w:val="de-DE" w:eastAsia="en-US"/>
          <w14:ligatures w14:val="standardContextual"/>
        </w:rPr>
      </w:pPr>
    </w:p>
    <w:p w14:paraId="7B604287" w14:textId="254D5874"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IV.86</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Kassationshof entscheidet durch Vorabentscheidungsentscheid über Fragen in Bezug auf die Interpretation der Bestimmungen des vorliegenden Buches.</w:t>
      </w:r>
    </w:p>
    <w:p w14:paraId="36E5376B" w14:textId="77777777" w:rsidR="00BE3682" w:rsidRPr="004676F5" w:rsidRDefault="00BE3682" w:rsidP="00BE3682">
      <w:pPr>
        <w:jc w:val="both"/>
        <w:rPr>
          <w:rFonts w:eastAsia="Calibri"/>
          <w:kern w:val="2"/>
          <w:lang w:val="de-DE" w:eastAsia="en-US"/>
          <w14:ligatures w14:val="standardContextual"/>
        </w:rPr>
      </w:pPr>
    </w:p>
    <w:p w14:paraId="5F5E3EBF" w14:textId="77777777" w:rsidR="008A1473" w:rsidRPr="004676F5" w:rsidRDefault="008A1473" w:rsidP="00BE3682">
      <w:pPr>
        <w:jc w:val="both"/>
        <w:rPr>
          <w:rFonts w:eastAsia="Calibri"/>
          <w:kern w:val="2"/>
          <w:lang w:val="de-DE" w:eastAsia="en-US"/>
          <w14:ligatures w14:val="standardContextual"/>
        </w:rPr>
      </w:pPr>
    </w:p>
    <w:p w14:paraId="128BDFD0" w14:textId="786C31D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IV.87</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Wenn die Entscheidung in einem Rechtsstreit von der Interpretation der Bestimmungen des vorliegenden Buches abhängt, kann das Gericht, das mit der Sache befasst ist, die Entscheidung aufschieben und dem Kassationshof eine Vorabentscheidungsfrage stellen.</w:t>
      </w:r>
    </w:p>
    <w:p w14:paraId="1B15DD2C" w14:textId="77777777" w:rsidR="00BE3682" w:rsidRPr="004676F5" w:rsidRDefault="00BE3682" w:rsidP="00BE3682">
      <w:pPr>
        <w:jc w:val="both"/>
        <w:rPr>
          <w:rFonts w:eastAsia="Calibri"/>
          <w:kern w:val="2"/>
          <w:lang w:val="de-DE" w:eastAsia="en-US"/>
          <w14:ligatures w14:val="standardContextual"/>
        </w:rPr>
      </w:pPr>
    </w:p>
    <w:p w14:paraId="30D293B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Beschluss, dem Kassationshof eine Vorabentscheidungsfrage zu stellen, setzt die Fristen und das Verfahren vor dem Gericht, das die Frage stellt, aus ab dem Tag, an dem der betreffende Beschluss getroffen worden ist, bis zum Tag, an dem dieses Gericht die Antwort des Kassationshofes erhält.</w:t>
      </w:r>
    </w:p>
    <w:p w14:paraId="197985D6" w14:textId="77777777" w:rsidR="00BE3682" w:rsidRPr="004676F5" w:rsidRDefault="00BE3682" w:rsidP="00BE3682">
      <w:pPr>
        <w:jc w:val="both"/>
        <w:rPr>
          <w:rFonts w:eastAsia="Calibri"/>
          <w:kern w:val="2"/>
          <w:lang w:val="de-DE" w:eastAsia="en-US"/>
          <w14:ligatures w14:val="standardContextual"/>
        </w:rPr>
      </w:pPr>
    </w:p>
    <w:p w14:paraId="6610189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Gegen den Beschluss dieses Gerichts, eine Vorabentscheidungsfrage zu stellen oder nicht, kann keine Beschwerde eingereicht werden.</w:t>
      </w:r>
    </w:p>
    <w:p w14:paraId="128D2FE1" w14:textId="77777777" w:rsidR="00BE3682" w:rsidRPr="004676F5" w:rsidRDefault="00BE3682" w:rsidP="00BE3682">
      <w:pPr>
        <w:jc w:val="both"/>
        <w:rPr>
          <w:rFonts w:eastAsia="Calibri"/>
          <w:kern w:val="2"/>
          <w:lang w:val="de-DE" w:eastAsia="en-US"/>
          <w14:ligatures w14:val="standardContextual"/>
        </w:rPr>
      </w:pPr>
    </w:p>
    <w:p w14:paraId="4D72935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Der Greffier des Kassationshofes setzt unverzüglich die Parteien, die Belgische Wettbewerbsbehörde, den Minister und bei Anwendung der Artikel 101 und 102 AEUV die Europäische Kommission von der Vorabentscheidungsfrage in Kenntnis.</w:t>
      </w:r>
    </w:p>
    <w:p w14:paraId="3F8B712F" w14:textId="77777777" w:rsidR="00BE3682" w:rsidRPr="004676F5" w:rsidRDefault="00BE3682" w:rsidP="00BE3682">
      <w:pPr>
        <w:jc w:val="both"/>
        <w:rPr>
          <w:rFonts w:eastAsia="Calibri"/>
          <w:kern w:val="2"/>
          <w:lang w:val="de-DE" w:eastAsia="en-US"/>
          <w14:ligatures w14:val="standardContextual"/>
        </w:rPr>
      </w:pPr>
    </w:p>
    <w:p w14:paraId="6381E63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Greffier des Kassationshofes fordert die Parteien, die Belgische Wettbewerbs</w:t>
      </w:r>
      <w:r w:rsidRPr="004676F5">
        <w:rPr>
          <w:rFonts w:eastAsia="Calibri"/>
          <w:kern w:val="2"/>
          <w:szCs w:val="22"/>
          <w:lang w:val="de-DE" w:eastAsia="en-US"/>
          <w14:ligatures w14:val="standardContextual"/>
        </w:rPr>
        <w:softHyphen/>
        <w:t>behörde, den Minister und die Europäische Kommission auf, gegebenenfalls ihre schriftlichen Anmerkungen innerhalb eines Monats ab Notifizierung der Vorabentscheidungsfrage zu übermitteln; ansonsten sind sie unzulässig. Sie können einen Antrag auf Anhörung stellen und die Verfahrensakte vor Ort einsehen oder darum bitten, dass ihnen eine Abschrift zugesandt wird.</w:t>
      </w:r>
    </w:p>
    <w:p w14:paraId="096A03DC" w14:textId="77777777" w:rsidR="00BE3682" w:rsidRPr="004676F5" w:rsidRDefault="00BE3682" w:rsidP="00BE3682">
      <w:pPr>
        <w:jc w:val="both"/>
        <w:rPr>
          <w:rFonts w:eastAsia="Calibri"/>
          <w:kern w:val="2"/>
          <w:lang w:val="de-DE" w:eastAsia="en-US"/>
          <w14:ligatures w14:val="standardContextual"/>
        </w:rPr>
      </w:pPr>
    </w:p>
    <w:p w14:paraId="4322B8A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Der Kassationshof kann die Vorabentscheidungsfrage neu formulieren. Der Kassationshof entscheidet vor allem anderen.</w:t>
      </w:r>
    </w:p>
    <w:p w14:paraId="2612E58A" w14:textId="77777777" w:rsidR="00BE3682" w:rsidRPr="004676F5" w:rsidRDefault="00BE3682" w:rsidP="00BE3682">
      <w:pPr>
        <w:jc w:val="both"/>
        <w:rPr>
          <w:rFonts w:eastAsia="Calibri"/>
          <w:kern w:val="2"/>
          <w:lang w:val="de-DE" w:eastAsia="en-US"/>
          <w14:ligatures w14:val="standardContextual"/>
        </w:rPr>
      </w:pPr>
    </w:p>
    <w:p w14:paraId="3DFCB72D" w14:textId="48BCF97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Das Gericht, das die Vorabentscheidungsfrage gestellt hat, und alle Gerichte, die in derselben Sache entscheiden, müssen sich für die Entscheidung in dem Rechtsstreit, in dessen Rahmen die Frage gestellt wurde, an den Entscheid des Kassationshofes halten.</w:t>
      </w:r>
    </w:p>
    <w:p w14:paraId="230BFD3C" w14:textId="77777777" w:rsidR="00BE3682" w:rsidRPr="004676F5" w:rsidRDefault="00BE3682" w:rsidP="00BE3682">
      <w:pPr>
        <w:jc w:val="both"/>
        <w:rPr>
          <w:rFonts w:eastAsia="Calibri"/>
          <w:kern w:val="2"/>
          <w:lang w:val="de-DE" w:eastAsia="en-US"/>
          <w14:ligatures w14:val="standardContextual"/>
        </w:rPr>
      </w:pPr>
    </w:p>
    <w:p w14:paraId="59C41004" w14:textId="77777777" w:rsidR="008A1473" w:rsidRPr="004676F5" w:rsidRDefault="008A1473" w:rsidP="00BE3682">
      <w:pPr>
        <w:jc w:val="both"/>
        <w:rPr>
          <w:rFonts w:eastAsia="Calibri"/>
          <w:kern w:val="2"/>
          <w:lang w:val="de-DE" w:eastAsia="en-US"/>
          <w14:ligatures w14:val="standardContextual"/>
        </w:rPr>
      </w:pPr>
    </w:p>
    <w:p w14:paraId="1DFEB001" w14:textId="14FA8DA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IV.88</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 1 ­ Die Belgische Wettbewerbsbehörde kann von Amts wegen oder auf Ersuchen des Gerichts, das mit der Sache befasst ist, in den von dem Gericht festgelegten Fristen schriftliche Anmerkungen zur Anwendung der </w:t>
      </w:r>
      <w:r w:rsidR="00863E59" w:rsidRPr="004676F5">
        <w:rPr>
          <w:rFonts w:eastAsia="Calibri"/>
          <w:kern w:val="2"/>
          <w:szCs w:val="22"/>
          <w:lang w:val="de-DE" w:eastAsia="en-US"/>
          <w14:ligatures w14:val="standardContextual"/>
        </w:rPr>
        <w:t>[</w:t>
      </w:r>
      <w:r w:rsidR="00863E59" w:rsidRPr="004676F5">
        <w:rPr>
          <w:lang w:val="de-DE"/>
        </w:rPr>
        <w:t>Artikel IV.1, IV.2 und IV.2/1</w:t>
      </w:r>
      <w:r w:rsidR="00863E59"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oder der Artikel 101 und 102 AEUV übermitteln.</w:t>
      </w:r>
    </w:p>
    <w:p w14:paraId="4EB2DB99" w14:textId="77777777" w:rsidR="00BE3682" w:rsidRPr="004676F5" w:rsidRDefault="00BE3682" w:rsidP="00BE3682">
      <w:pPr>
        <w:jc w:val="both"/>
        <w:rPr>
          <w:rFonts w:eastAsia="Calibri"/>
          <w:kern w:val="2"/>
          <w:lang w:val="de-DE" w:eastAsia="en-US"/>
          <w14:ligatures w14:val="standardContextual"/>
        </w:rPr>
      </w:pPr>
    </w:p>
    <w:p w14:paraId="3E9F502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Mit Erlaubnis des betreffenden Gerichts kann sie auch mündlich Stellung nehmen.</w:t>
      </w:r>
    </w:p>
    <w:p w14:paraId="00D1C9C6" w14:textId="77777777" w:rsidR="00BE3682" w:rsidRPr="004676F5" w:rsidRDefault="00BE3682" w:rsidP="00BE3682">
      <w:pPr>
        <w:jc w:val="both"/>
        <w:rPr>
          <w:rFonts w:eastAsia="Calibri"/>
          <w:kern w:val="2"/>
          <w:lang w:val="de-DE" w:eastAsia="en-US"/>
          <w14:ligatures w14:val="standardContextual"/>
        </w:rPr>
      </w:pPr>
    </w:p>
    <w:p w14:paraId="0B3664D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Zum ausschließlichen Zweck der Ausarbeitung ihrer Anmerkungen kann die Belgische Wettbewerbsbehörde das betreffende Gericht ersuchen, ihr alle zur Beurteilung der Sache notwendigen Schriftstücke zu übermitteln oder für deren Übermittlung zu sorgen.</w:t>
      </w:r>
    </w:p>
    <w:p w14:paraId="40C7FAAE" w14:textId="77777777" w:rsidR="00BE3682" w:rsidRPr="004676F5" w:rsidRDefault="00BE3682" w:rsidP="00BE3682">
      <w:pPr>
        <w:jc w:val="both"/>
        <w:rPr>
          <w:rFonts w:eastAsia="Calibri"/>
          <w:kern w:val="2"/>
          <w:lang w:val="de-DE" w:eastAsia="en-US"/>
          <w14:ligatures w14:val="standardContextual"/>
        </w:rPr>
      </w:pPr>
    </w:p>
    <w:p w14:paraId="52E8B16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Wenn die Belgische Wettbewerbsbehörde Anmerkungen hinterlegt, müssen die anderen Parteien die Möglichkeit haben, auf diese Anmerkungen zu antworten.</w:t>
      </w:r>
    </w:p>
    <w:p w14:paraId="43E98F09" w14:textId="77777777" w:rsidR="00BE3682" w:rsidRPr="004676F5" w:rsidRDefault="00BE3682" w:rsidP="00BE3682">
      <w:pPr>
        <w:jc w:val="both"/>
        <w:rPr>
          <w:rFonts w:eastAsia="Calibri"/>
          <w:kern w:val="2"/>
          <w:lang w:val="de-DE" w:eastAsia="en-US"/>
          <w14:ligatures w14:val="standardContextual"/>
        </w:rPr>
      </w:pPr>
    </w:p>
    <w:p w14:paraId="722119F8" w14:textId="0486512A"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 2 ­ Bei Verfahren über Schadenersatzklagen wegen Verstoß gegen das Wettbewerbs</w:t>
      </w:r>
      <w:r w:rsidRPr="004676F5">
        <w:rPr>
          <w:rFonts w:eastAsia="Calibri"/>
          <w:kern w:val="2"/>
          <w:szCs w:val="22"/>
          <w:lang w:val="de-DE" w:eastAsia="en-US"/>
          <w14:ligatures w14:val="standardContextual"/>
        </w:rPr>
        <w:softHyphen/>
        <w:t xml:space="preserve">recht kann die Belgische Wettbewerbsbehörde auf Antrag eines nationalen Gerichts </w:t>
      </w:r>
      <w:r w:rsidR="00FF66A4"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diesem nationalen Gericht bei der Festlegung der Höhe des Schadenersatzes behilflich sein, wenn sie dies für angebracht hält.</w:t>
      </w:r>
    </w:p>
    <w:p w14:paraId="2CF8384A" w14:textId="77777777" w:rsidR="00863E59" w:rsidRPr="004676F5" w:rsidRDefault="00863E59" w:rsidP="00BE3682">
      <w:pPr>
        <w:jc w:val="both"/>
        <w:rPr>
          <w:rFonts w:eastAsia="Calibri"/>
          <w:kern w:val="2"/>
          <w:szCs w:val="22"/>
          <w:lang w:val="de-DE" w:eastAsia="en-US"/>
          <w14:ligatures w14:val="standardContextual"/>
        </w:rPr>
      </w:pPr>
    </w:p>
    <w:p w14:paraId="58AB3365" w14:textId="1FAE381E" w:rsidR="00863E59" w:rsidRPr="004676F5" w:rsidRDefault="00863E59" w:rsidP="00BE3682">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[Art. IV.88 § 1 Abs. 1 abgeändert durch Art. 6</w:t>
      </w:r>
      <w:r w:rsidRPr="004676F5">
        <w:rPr>
          <w:i/>
          <w:lang w:val="de-DE"/>
        </w:rPr>
        <w:t xml:space="preserve"> des K.E. vom 31. Juli 2020 (B.S. vom 12. August 2020)</w:t>
      </w:r>
      <w:r w:rsidR="00FF66A4" w:rsidRPr="004676F5">
        <w:rPr>
          <w:i/>
          <w:lang w:val="de-DE"/>
        </w:rPr>
        <w:t>; § 2 abgeändert durch Art. 72 des G. vom 28. Februar 2022 (B.S. vom 7. März 2022)</w:t>
      </w:r>
      <w:r w:rsidRPr="004676F5">
        <w:rPr>
          <w:i/>
          <w:lang w:val="de-DE"/>
        </w:rPr>
        <w:t>]</w:t>
      </w:r>
    </w:p>
    <w:p w14:paraId="7AEE26CB" w14:textId="77777777" w:rsidR="00BE3682" w:rsidRPr="004676F5" w:rsidRDefault="00BE3682" w:rsidP="00BE3682">
      <w:pPr>
        <w:jc w:val="both"/>
        <w:rPr>
          <w:rFonts w:eastAsia="Calibri"/>
          <w:kern w:val="2"/>
          <w:lang w:val="de-DE" w:eastAsia="en-US"/>
          <w14:ligatures w14:val="standardContextual"/>
        </w:rPr>
      </w:pPr>
    </w:p>
    <w:p w14:paraId="187729CD" w14:textId="77777777" w:rsidR="008A1473" w:rsidRPr="004676F5" w:rsidRDefault="008A1473" w:rsidP="00BE3682">
      <w:pPr>
        <w:jc w:val="both"/>
        <w:rPr>
          <w:rFonts w:eastAsia="Calibri"/>
          <w:kern w:val="2"/>
          <w:lang w:val="de-DE" w:eastAsia="en-US"/>
          <w14:ligatures w14:val="standardContextual"/>
        </w:rPr>
      </w:pPr>
    </w:p>
    <w:p w14:paraId="1D532293" w14:textId="6289510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IV.89</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Urteile oder Entscheide von Gerichtshöfen und Gerichten, die sich auf die Rechtmäßigkeit einer Wettbewerbspraktik im Sinne des vorliegenden Buches beziehen, werden auf Betreiben des Greffiers des zuständigen Gerichts innerhalb acht Tagen der Belgischen Wettbewerbsbehörde, dem Minister und, sofern es sich um Urteile oder Entscheide handelt, die das europäische Wettbewerbsrecht betreffen, der Europäischen Kommission übermittelt.</w:t>
      </w:r>
    </w:p>
    <w:p w14:paraId="19621960" w14:textId="77777777" w:rsidR="00BE3682" w:rsidRPr="004676F5" w:rsidRDefault="00BE3682" w:rsidP="00BE3682">
      <w:pPr>
        <w:jc w:val="both"/>
        <w:rPr>
          <w:rFonts w:eastAsia="Calibri"/>
          <w:kern w:val="2"/>
          <w:lang w:val="de-DE" w:eastAsia="en-US"/>
          <w14:ligatures w14:val="standardContextual"/>
        </w:rPr>
      </w:pPr>
    </w:p>
    <w:p w14:paraId="637445A6" w14:textId="6B3038E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Außerdem informiert der Greffier unverzüglich die Belgische Wettbewerbsbehörde </w:t>
      </w:r>
      <w:r w:rsidR="00F52A2D" w:rsidRPr="004676F5">
        <w:rPr>
          <w:rFonts w:eastAsia="Calibri"/>
          <w:kern w:val="2"/>
          <w:szCs w:val="22"/>
          <w:lang w:val="de-DE" w:eastAsia="en-US"/>
          <w14:ligatures w14:val="standardContextual"/>
        </w:rPr>
        <w:t>[</w:t>
      </w:r>
      <w:r w:rsidR="00F52A2D" w:rsidRPr="004676F5">
        <w:rPr>
          <w:lang w:val="de-DE"/>
        </w:rPr>
        <w:t>und den Minister</w:t>
      </w:r>
      <w:r w:rsidR="00F52A2D" w:rsidRPr="004676F5">
        <w:rPr>
          <w:rFonts w:eastAsia="Calibri"/>
          <w:kern w:val="2"/>
          <w:szCs w:val="22"/>
          <w:lang w:val="de-DE" w:eastAsia="en-US"/>
          <w14:ligatures w14:val="standardContextual"/>
        </w:rPr>
        <w:t xml:space="preserve">] </w:t>
      </w:r>
      <w:r w:rsidRPr="004676F5">
        <w:rPr>
          <w:rFonts w:eastAsia="Calibri"/>
          <w:kern w:val="2"/>
          <w:szCs w:val="22"/>
          <w:lang w:val="de-DE" w:eastAsia="en-US"/>
          <w14:ligatures w14:val="standardContextual"/>
        </w:rPr>
        <w:t>über Beschwerden, die gegen die in vorhergehendem Absatz erwähnten Urteile oder Entscheide eingereicht werden.</w:t>
      </w:r>
    </w:p>
    <w:p w14:paraId="7EA0DFF8" w14:textId="77777777" w:rsidR="00BE3682" w:rsidRPr="004676F5" w:rsidRDefault="00BE3682" w:rsidP="00BE3682">
      <w:pPr>
        <w:jc w:val="both"/>
        <w:rPr>
          <w:rFonts w:eastAsia="Calibri"/>
          <w:kern w:val="2"/>
          <w:lang w:val="de-DE" w:eastAsia="en-US"/>
          <w14:ligatures w14:val="standardContextual"/>
        </w:rPr>
      </w:pPr>
    </w:p>
    <w:p w14:paraId="52698A96" w14:textId="65D178C1" w:rsidR="00F52A2D" w:rsidRPr="004676F5" w:rsidRDefault="00F52A2D"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[Art. IV.89 Abs. 2 abgeändert durch Art. 47 des G. vom 29. März 2024 (B.S. vom 3. Mai 2024)]</w:t>
      </w:r>
    </w:p>
    <w:p w14:paraId="4CCFD969" w14:textId="77777777" w:rsidR="00F52A2D" w:rsidRPr="004676F5" w:rsidRDefault="00F52A2D" w:rsidP="00BE3682">
      <w:pPr>
        <w:jc w:val="both"/>
        <w:rPr>
          <w:rFonts w:eastAsia="Calibri"/>
          <w:kern w:val="2"/>
          <w:lang w:val="de-DE" w:eastAsia="en-US"/>
          <w14:ligatures w14:val="standardContextual"/>
        </w:rPr>
      </w:pPr>
    </w:p>
    <w:p w14:paraId="32E3BDFC" w14:textId="77777777" w:rsidR="008A1473" w:rsidRPr="004676F5" w:rsidRDefault="008A1473">
      <w:pPr>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br w:type="page"/>
      </w:r>
    </w:p>
    <w:p w14:paraId="7CBD3828" w14:textId="467DC1AB" w:rsidR="00BE3682" w:rsidRPr="004676F5" w:rsidRDefault="00BE3682" w:rsidP="00BE3682">
      <w:pPr>
        <w:jc w:val="center"/>
        <w:rPr>
          <w:rFonts w:eastAsia="Calibri"/>
          <w:i/>
          <w:iCs/>
          <w:kern w:val="2"/>
          <w:lang w:val="de-DE" w:eastAsia="en-US"/>
          <w14:ligatures w14:val="standardContextual"/>
        </w:rPr>
      </w:pPr>
      <w:r w:rsidRPr="004676F5">
        <w:rPr>
          <w:rFonts w:eastAsia="Calibri"/>
          <w:kern w:val="2"/>
          <w:szCs w:val="22"/>
          <w:lang w:val="de-DE" w:eastAsia="en-US"/>
          <w14:ligatures w14:val="standardContextual"/>
        </w:rPr>
        <w:lastRenderedPageBreak/>
        <w:t>KAPITEL 3 </w:t>
      </w:r>
      <w:r w:rsidR="005B7A5C" w:rsidRPr="004676F5">
        <w:rPr>
          <w:rFonts w:eastAsia="Calibri"/>
          <w:kern w:val="2"/>
          <w:szCs w:val="22"/>
          <w:lang w:val="de-DE" w:eastAsia="en-US"/>
          <w14:ligatures w14:val="standardContextual"/>
        </w:rPr>
        <w:t>- </w:t>
      </w:r>
      <w:r w:rsidRPr="004676F5">
        <w:rPr>
          <w:rFonts w:eastAsia="Calibri"/>
          <w:i/>
          <w:kern w:val="2"/>
          <w:szCs w:val="22"/>
          <w:lang w:val="de-DE" w:eastAsia="en-US"/>
          <w14:ligatures w14:val="standardContextual"/>
        </w:rPr>
        <w:t>Beschwerden</w:t>
      </w:r>
    </w:p>
    <w:p w14:paraId="02205B88" w14:textId="77777777" w:rsidR="00BE3682" w:rsidRPr="004676F5" w:rsidRDefault="00BE3682" w:rsidP="00BE3682">
      <w:pPr>
        <w:jc w:val="both"/>
        <w:rPr>
          <w:rFonts w:eastAsia="Calibri"/>
          <w:kern w:val="2"/>
          <w:lang w:val="de-DE" w:eastAsia="en-US"/>
          <w14:ligatures w14:val="standardContextual"/>
        </w:rPr>
      </w:pPr>
    </w:p>
    <w:p w14:paraId="169E7E3F" w14:textId="77777777" w:rsidR="008A1473" w:rsidRPr="004676F5" w:rsidRDefault="008A1473" w:rsidP="00BE3682">
      <w:pPr>
        <w:jc w:val="both"/>
        <w:rPr>
          <w:rFonts w:eastAsia="Calibri"/>
          <w:kern w:val="2"/>
          <w:lang w:val="de-DE" w:eastAsia="en-US"/>
          <w14:ligatures w14:val="standardContextual"/>
        </w:rPr>
      </w:pPr>
    </w:p>
    <w:p w14:paraId="2E6433C5" w14:textId="5EF91A6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IV.90</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 1 ­ Gegen Entscheidungen des Wettbewerbskollegiums oder des Auditors wie in den Artikeln IV.52, </w:t>
      </w:r>
      <w:r w:rsidR="00FF66A4" w:rsidRPr="004676F5">
        <w:rPr>
          <w:rFonts w:eastAsia="Calibri"/>
          <w:kern w:val="2"/>
          <w:szCs w:val="22"/>
          <w:lang w:val="de-DE" w:eastAsia="en-US"/>
          <w14:ligatures w14:val="standardContextual"/>
        </w:rPr>
        <w:t>[</w:t>
      </w:r>
      <w:r w:rsidR="00FF66A4" w:rsidRPr="004676F5">
        <w:rPr>
          <w:lang w:val="de-DE"/>
        </w:rPr>
        <w:t>IV.66 § 1 Nr. 1 und § 2 Absatz 1 Nr. 1 und 2</w:t>
      </w:r>
      <w:r w:rsidR="00FF66A4"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IV.69 § 1, IV.70 § 3, IV.71, IV.79, IV.80, IV.81 und IV.82 erwähnt, gegen stillschweigende Entscheidungen über die Zulässigkeit von Zusammenschlüssen durch Ablauf der in den Artikeln IV.66 § 3, IV.69 § 2 und IV.70 § 6 festgelegten Fristen und gegen die stillschweigende Ablehnung eines Antrags auf vorläufige Maßnahmen durch Ablauf der in Artikel IV.73 § 1 festgelegten Frist kann Beschwerde ausschließlich beim Märktegerichtshof eingereicht werden.</w:t>
      </w:r>
    </w:p>
    <w:p w14:paraId="5522CB5C" w14:textId="77777777" w:rsidR="00BE3682" w:rsidRPr="004676F5" w:rsidRDefault="00BE3682" w:rsidP="00BE3682">
      <w:pPr>
        <w:jc w:val="both"/>
        <w:rPr>
          <w:rFonts w:eastAsia="Calibri"/>
          <w:kern w:val="2"/>
          <w:lang w:val="de-DE" w:eastAsia="en-US"/>
          <w14:ligatures w14:val="standardContextual"/>
        </w:rPr>
      </w:pPr>
    </w:p>
    <w:p w14:paraId="32E05B25" w14:textId="174C922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Nach Mitteilung der Beschwerdegründe wie in den Artikeln IV.46 §§ 1 und 3 und IV.63 § 2 erwähnt kann beim Märktegerichtshof auch Beschwerde gegen Entscheidungen des Auditors und des in </w:t>
      </w:r>
      <w:r w:rsidR="00626AF8" w:rsidRPr="004676F5">
        <w:rPr>
          <w:rFonts w:eastAsia="Calibri"/>
          <w:kern w:val="2"/>
          <w:szCs w:val="22"/>
          <w:lang w:val="de-DE" w:eastAsia="en-US"/>
          <w14:ligatures w14:val="standardContextual"/>
        </w:rPr>
        <w:t>[</w:t>
      </w:r>
      <w:r w:rsidR="00626AF8" w:rsidRPr="004676F5">
        <w:rPr>
          <w:lang w:val="de-DE"/>
        </w:rPr>
        <w:t>Artikel IV.26 § 3 Nr. 13</w:t>
      </w:r>
      <w:r w:rsidR="00626AF8"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erwähnten Personalmitglieds des Auditorats über die Verwertung in einer Untersuchung von Angaben, die im Rahmen einer Durchsuchung erlangt wurden, eingereicht werden, sofern diese Angaben tatsächlich verwendet wurden, um die Beschwerdegründe zu untermauern.</w:t>
      </w:r>
    </w:p>
    <w:p w14:paraId="6415624C" w14:textId="77777777" w:rsidR="00BE3682" w:rsidRPr="004676F5" w:rsidRDefault="00BE3682" w:rsidP="00BE3682">
      <w:pPr>
        <w:jc w:val="both"/>
        <w:rPr>
          <w:rFonts w:eastAsia="Calibri"/>
          <w:kern w:val="2"/>
          <w:lang w:val="de-DE" w:eastAsia="en-US"/>
          <w14:ligatures w14:val="standardContextual"/>
        </w:rPr>
      </w:pPr>
    </w:p>
    <w:p w14:paraId="2368DEDE" w14:textId="6D4DB2F0"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 xml:space="preserve">Gegen andere Entscheidungen des Wettbewerbskollegiums, des Auditors, des Generalauditors, des Präsidenten, des Präsidenten des Wettbewerbskollegiums oder eines bestimmten Beisitzers kann nur die ausdrücklich in vorliegendem Buch vorgesehene Beschwerde eingereicht werden, unbeschadet der Möglichkeit, in einem in vorliegendem Paragraphen erwähnten </w:t>
      </w:r>
      <w:r w:rsidR="00FF66A4" w:rsidRPr="004676F5">
        <w:rPr>
          <w:rFonts w:eastAsia="Calibri"/>
          <w:kern w:val="2"/>
          <w:szCs w:val="22"/>
          <w:lang w:val="de-DE" w:eastAsia="en-US"/>
          <w14:ligatures w14:val="standardContextual"/>
        </w:rPr>
        <w:t>[</w:t>
      </w:r>
      <w:r w:rsidR="00FF66A4" w:rsidRPr="004676F5">
        <w:rPr>
          <w:lang w:val="de-DE"/>
        </w:rPr>
        <w:t>Beschwerdeverfahren</w:t>
      </w:r>
      <w:r w:rsidR="00FF66A4"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vor dem Märktegerichtshof daraus Klagegründe zu entnehmen, es sei denn, in vorliegendem Buch ist ausdrücklich festgelegt, dass gegen eine bestimmte Entscheidung keine Beschwerde eingereicht werden kann.</w:t>
      </w:r>
    </w:p>
    <w:p w14:paraId="6B63C754" w14:textId="77777777" w:rsidR="00FF66A4" w:rsidRPr="004676F5" w:rsidRDefault="00FF66A4" w:rsidP="00BE3682">
      <w:pPr>
        <w:jc w:val="both"/>
        <w:rPr>
          <w:rFonts w:eastAsia="Calibri"/>
          <w:kern w:val="2"/>
          <w:szCs w:val="22"/>
          <w:lang w:val="de-DE" w:eastAsia="en-US"/>
          <w14:ligatures w14:val="standardContextual"/>
        </w:rPr>
      </w:pPr>
    </w:p>
    <w:p w14:paraId="29AA9F18" w14:textId="77777777" w:rsidR="00FF66A4" w:rsidRPr="004676F5" w:rsidRDefault="00FF66A4" w:rsidP="00FF66A4">
      <w:pPr>
        <w:jc w:val="both"/>
        <w:rPr>
          <w:lang w:val="de-DE"/>
        </w:rPr>
      </w:pPr>
      <w:r w:rsidRPr="004676F5">
        <w:rPr>
          <w:rFonts w:eastAsia="Calibri"/>
          <w:kern w:val="2"/>
          <w:szCs w:val="22"/>
          <w:lang w:val="de-DE" w:eastAsia="en-US"/>
          <w14:ligatures w14:val="standardContextual"/>
        </w:rPr>
        <w:tab/>
        <w:t>[</w:t>
      </w:r>
      <w:r w:rsidRPr="004676F5">
        <w:rPr>
          <w:lang w:val="de-DE"/>
        </w:rPr>
        <w:t>Der Märktegerichtshof erkennt außerdem über Beschwerden über die Rechtmäßigkeit folgender Handlungen:</w:t>
      </w:r>
    </w:p>
    <w:p w14:paraId="11A637F5" w14:textId="77777777" w:rsidR="00FF66A4" w:rsidRPr="004676F5" w:rsidRDefault="00FF66A4" w:rsidP="00FF66A4">
      <w:pPr>
        <w:jc w:val="both"/>
        <w:rPr>
          <w:lang w:val="de-DE"/>
        </w:rPr>
      </w:pPr>
    </w:p>
    <w:p w14:paraId="30BD7C7C" w14:textId="77777777" w:rsidR="00FF66A4" w:rsidRPr="004676F5" w:rsidRDefault="00FF66A4" w:rsidP="00FF66A4">
      <w:pPr>
        <w:jc w:val="both"/>
        <w:rPr>
          <w:lang w:val="de-DE"/>
        </w:rPr>
      </w:pPr>
      <w:r w:rsidRPr="004676F5">
        <w:rPr>
          <w:lang w:val="de-DE"/>
        </w:rPr>
        <w:tab/>
        <w:t>1. der Zustellung durch die Belgische Wettbewerbsbehörde in Anwendung von Artikel IV.78/2,</w:t>
      </w:r>
    </w:p>
    <w:p w14:paraId="705D69A6" w14:textId="77777777" w:rsidR="00FF66A4" w:rsidRPr="004676F5" w:rsidRDefault="00FF66A4" w:rsidP="00FF66A4">
      <w:pPr>
        <w:jc w:val="both"/>
        <w:rPr>
          <w:lang w:val="de-DE"/>
        </w:rPr>
      </w:pPr>
    </w:p>
    <w:p w14:paraId="4AAB05E2" w14:textId="77777777" w:rsidR="00FF66A4" w:rsidRPr="004676F5" w:rsidRDefault="00FF66A4" w:rsidP="00FF66A4">
      <w:pPr>
        <w:jc w:val="both"/>
        <w:rPr>
          <w:lang w:val="de-DE"/>
        </w:rPr>
      </w:pPr>
      <w:r w:rsidRPr="004676F5">
        <w:rPr>
          <w:lang w:val="de-DE"/>
        </w:rPr>
        <w:tab/>
        <w:t>2. des in Artikel IV.78/3 § 2 erwähnten einheitlichen Titels,</w:t>
      </w:r>
    </w:p>
    <w:p w14:paraId="1E0D7D41" w14:textId="77777777" w:rsidR="00FF66A4" w:rsidRPr="004676F5" w:rsidRDefault="00FF66A4" w:rsidP="00FF66A4">
      <w:pPr>
        <w:jc w:val="both"/>
        <w:rPr>
          <w:lang w:val="de-DE"/>
        </w:rPr>
      </w:pPr>
    </w:p>
    <w:p w14:paraId="068AEB67" w14:textId="77777777" w:rsidR="00FF66A4" w:rsidRPr="004676F5" w:rsidRDefault="00FF66A4" w:rsidP="00FF66A4">
      <w:pPr>
        <w:jc w:val="both"/>
        <w:rPr>
          <w:lang w:val="de-DE"/>
        </w:rPr>
      </w:pPr>
      <w:r w:rsidRPr="004676F5">
        <w:rPr>
          <w:lang w:val="de-DE"/>
        </w:rPr>
        <w:tab/>
        <w:t>3. der von der Belgischen Wettbewerbsbehörde in Anwendung des Artikels IV.78/4 getroffenen Vollstreckungsmaßnahmen,</w:t>
      </w:r>
    </w:p>
    <w:p w14:paraId="1A757828" w14:textId="77777777" w:rsidR="00FF66A4" w:rsidRPr="004676F5" w:rsidRDefault="00FF66A4" w:rsidP="00FF66A4">
      <w:pPr>
        <w:jc w:val="both"/>
        <w:rPr>
          <w:lang w:val="de-DE"/>
        </w:rPr>
      </w:pPr>
    </w:p>
    <w:p w14:paraId="33FFE155" w14:textId="278F50AD" w:rsidR="00FF66A4" w:rsidRPr="004676F5" w:rsidRDefault="00FF66A4" w:rsidP="00FF66A4">
      <w:pPr>
        <w:jc w:val="both"/>
        <w:rPr>
          <w:rFonts w:eastAsia="Calibri"/>
          <w:kern w:val="2"/>
          <w:lang w:val="de-DE" w:eastAsia="en-US"/>
          <w14:ligatures w14:val="standardContextual"/>
        </w:rPr>
      </w:pPr>
      <w:r w:rsidRPr="004676F5">
        <w:rPr>
          <w:lang w:val="de-DE"/>
        </w:rPr>
        <w:tab/>
        <w:t>4. des in Artikel IV.78/5 § 2 erwähnten einheitlichen Titels.</w:t>
      </w:r>
      <w:r w:rsidRPr="004676F5">
        <w:rPr>
          <w:rFonts w:eastAsia="Calibri"/>
          <w:kern w:val="2"/>
          <w:szCs w:val="22"/>
          <w:lang w:val="de-DE" w:eastAsia="en-US"/>
          <w14:ligatures w14:val="standardContextual"/>
        </w:rPr>
        <w:t>]</w:t>
      </w:r>
    </w:p>
    <w:p w14:paraId="093ABBA6" w14:textId="77777777" w:rsidR="00BE3682" w:rsidRPr="004676F5" w:rsidRDefault="00BE3682" w:rsidP="00BE3682">
      <w:pPr>
        <w:jc w:val="both"/>
        <w:rPr>
          <w:rFonts w:eastAsia="Calibri"/>
          <w:kern w:val="2"/>
          <w:lang w:val="de-DE" w:eastAsia="en-US"/>
          <w14:ligatures w14:val="standardContextual"/>
        </w:rPr>
      </w:pPr>
    </w:p>
    <w:p w14:paraId="2D3D905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Der Märktegerichtshof entscheidet de jure und de facto wie im Eilverfahren über die von den Parteien vorgelegte Sache.</w:t>
      </w:r>
    </w:p>
    <w:p w14:paraId="2DD74CEC" w14:textId="77777777" w:rsidR="00BE3682" w:rsidRPr="004676F5" w:rsidRDefault="00BE3682" w:rsidP="00BE3682">
      <w:pPr>
        <w:jc w:val="both"/>
        <w:rPr>
          <w:rFonts w:eastAsia="Calibri"/>
          <w:kern w:val="2"/>
          <w:lang w:val="de-DE" w:eastAsia="en-US"/>
          <w14:ligatures w14:val="standardContextual"/>
        </w:rPr>
      </w:pPr>
    </w:p>
    <w:p w14:paraId="37AEC21E" w14:textId="31B8963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Außer in </w:t>
      </w:r>
      <w:r w:rsidR="00FF66A4" w:rsidRPr="004676F5">
        <w:rPr>
          <w:rFonts w:eastAsia="Calibri"/>
          <w:kern w:val="2"/>
          <w:szCs w:val="22"/>
          <w:lang w:val="de-DE" w:eastAsia="en-US"/>
          <w14:ligatures w14:val="standardContextual"/>
        </w:rPr>
        <w:t>[</w:t>
      </w:r>
      <w:r w:rsidR="00FF66A4" w:rsidRPr="004676F5">
        <w:rPr>
          <w:lang w:val="de-DE"/>
        </w:rPr>
        <w:t>den in den Absätzen 3 und 4 erwähnten Fällen</w:t>
      </w:r>
      <w:r w:rsidR="00FF66A4"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entscheidet der Gerichtshof mit voller Rechtsprechungsbefugnis; darunter fällt auch die Befugnis, die angefochtene Entscheidung durch eine eigene Entscheidung zu ersetzen.</w:t>
      </w:r>
    </w:p>
    <w:p w14:paraId="4659BE35" w14:textId="77777777" w:rsidR="00BE3682" w:rsidRPr="004676F5" w:rsidRDefault="00BE3682" w:rsidP="00BE3682">
      <w:pPr>
        <w:jc w:val="both"/>
        <w:rPr>
          <w:rFonts w:eastAsia="Calibri"/>
          <w:kern w:val="2"/>
          <w:lang w:val="de-DE" w:eastAsia="en-US"/>
          <w14:ligatures w14:val="standardContextual"/>
        </w:rPr>
      </w:pPr>
    </w:p>
    <w:p w14:paraId="7BE2D1C4" w14:textId="53BB645C"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In Sachen, die sich auf die Zulässigkeit von Zusammenschlüssen </w:t>
      </w:r>
      <w:r w:rsidR="00626AF8" w:rsidRPr="004676F5">
        <w:rPr>
          <w:rFonts w:eastAsia="Calibri"/>
          <w:kern w:val="2"/>
          <w:szCs w:val="22"/>
          <w:lang w:val="de-DE" w:eastAsia="en-US"/>
          <w14:ligatures w14:val="standardContextual"/>
        </w:rPr>
        <w:t xml:space="preserve">[oder die vom Wettbewerbskollegium in Bezug auf Zusammenschlüsse auferlegten Bedingungen oder Auflagen] </w:t>
      </w:r>
      <w:r w:rsidRPr="004676F5">
        <w:rPr>
          <w:rFonts w:eastAsia="Calibri"/>
          <w:kern w:val="2"/>
          <w:szCs w:val="22"/>
          <w:lang w:val="de-DE" w:eastAsia="en-US"/>
          <w14:ligatures w14:val="standardContextual"/>
        </w:rPr>
        <w:t xml:space="preserve">beziehen, und in Sachen, in denen der Gerichtshof im Gegensatz zu der angefochtenen Entscheidung einen Verstoß gegen Artikel 101 oder 102 AEUV feststellt, entscheidet der Gerichtshof über die angefochtene Entscheidung nur mit </w:t>
      </w:r>
      <w:r w:rsidRPr="004676F5">
        <w:rPr>
          <w:rFonts w:eastAsia="Calibri"/>
          <w:kern w:val="2"/>
          <w:szCs w:val="22"/>
          <w:lang w:val="de-DE" w:eastAsia="en-US"/>
          <w14:ligatures w14:val="standardContextual"/>
        </w:rPr>
        <w:lastRenderedPageBreak/>
        <w:t>Nichtigerklärungsbefugnis.</w:t>
      </w:r>
      <w:r w:rsidR="00FF66A4" w:rsidRPr="004676F5">
        <w:rPr>
          <w:rFonts w:eastAsia="Calibri"/>
          <w:kern w:val="2"/>
          <w:szCs w:val="22"/>
          <w:lang w:val="de-DE" w:eastAsia="en-US"/>
          <w14:ligatures w14:val="standardContextual"/>
        </w:rPr>
        <w:t xml:space="preserve"> [</w:t>
      </w:r>
      <w:r w:rsidR="00FF66A4" w:rsidRPr="004676F5">
        <w:rPr>
          <w:lang w:val="de-DE"/>
        </w:rPr>
        <w:t>Wenn der Märktegerichtshof im Rahmen einer Nichtigkeitsklage gegen eine in den Artikeln IV.66 § 1 Nr. 1 und § 2 Absatz 1 Nr. 1 und 2 und IV.69 § 1 erwähnte Entscheidung des Wettbewerbskollegiums oder gegen eine implizite Zulassungsentscheidung in Bezug auf einen Zusammenschluss durch Ablauf der in den Artikeln IV.66 § 3 und IV.69 § 2 erwähnten Fristen über die Gesetzmäßigkeit einer in Artikel IV.70 § 5 erwähnten Entscheidung befindet, kann sich der Märktegerichtshof auf Antrag des Antragstellers und für den Fall, dass er entscheidet, dass diese Entscheidung rechtswidrig ist, darauf beschränken, die Teilrückzahlung der in Artikel IV.10 § 2 Absatz 2 erwähnten Pauschalgebühr für einen Zusammenschluss anzuordnen.</w:t>
      </w:r>
      <w:r w:rsidR="00FF66A4" w:rsidRPr="004676F5">
        <w:rPr>
          <w:rFonts w:eastAsia="Calibri"/>
          <w:kern w:val="2"/>
          <w:szCs w:val="22"/>
          <w:lang w:val="de-DE" w:eastAsia="en-US"/>
          <w14:ligatures w14:val="standardContextual"/>
        </w:rPr>
        <w:t>]</w:t>
      </w:r>
    </w:p>
    <w:p w14:paraId="4796363A" w14:textId="77777777" w:rsidR="00BE3682" w:rsidRPr="004676F5" w:rsidRDefault="00BE3682" w:rsidP="00BE3682">
      <w:pPr>
        <w:jc w:val="both"/>
        <w:rPr>
          <w:rFonts w:eastAsia="Calibri"/>
          <w:kern w:val="2"/>
          <w:lang w:val="de-DE" w:eastAsia="en-US"/>
          <w14:ligatures w14:val="standardContextual"/>
        </w:rPr>
      </w:pPr>
    </w:p>
    <w:p w14:paraId="41DB0EC7" w14:textId="320B9B26" w:rsidR="00FF66A4" w:rsidRPr="004676F5" w:rsidRDefault="00FF66A4" w:rsidP="00BE3682">
      <w:pPr>
        <w:jc w:val="both"/>
        <w:rPr>
          <w:rFonts w:eastAsia="Calibri"/>
          <w:kern w:val="2"/>
          <w:lang w:val="de-DE" w:eastAsia="en-US"/>
          <w14:ligatures w14:val="standardContextual"/>
        </w:rPr>
      </w:pPr>
      <w:r w:rsidRPr="004676F5">
        <w:rPr>
          <w:rFonts w:eastAsia="Calibri"/>
          <w:kern w:val="2"/>
          <w:lang w:val="de-DE" w:eastAsia="en-US"/>
          <w14:ligatures w14:val="standardContextual"/>
        </w:rPr>
        <w:tab/>
        <w:t>[</w:t>
      </w:r>
      <w:r w:rsidRPr="004676F5">
        <w:rPr>
          <w:lang w:val="de-DE"/>
        </w:rPr>
        <w:t>In Bezug auf die in § 1 Absatz 4 erwähnten Beschwerden entscheidet der Gerichtshof über die angefochtene Handlung ebenfalls nur mit Nichtigerklärungsbefugnis.</w:t>
      </w:r>
      <w:r w:rsidRPr="004676F5">
        <w:rPr>
          <w:rFonts w:eastAsia="Calibri"/>
          <w:kern w:val="2"/>
          <w:lang w:val="de-DE" w:eastAsia="en-US"/>
          <w14:ligatures w14:val="standardContextual"/>
        </w:rPr>
        <w:t>]</w:t>
      </w:r>
    </w:p>
    <w:p w14:paraId="6FCD010E" w14:textId="77777777" w:rsidR="00FF66A4" w:rsidRPr="004676F5" w:rsidRDefault="00FF66A4" w:rsidP="00BE3682">
      <w:pPr>
        <w:jc w:val="both"/>
        <w:rPr>
          <w:rFonts w:eastAsia="Calibri"/>
          <w:kern w:val="2"/>
          <w:lang w:val="de-DE" w:eastAsia="en-US"/>
          <w14:ligatures w14:val="standardContextual"/>
        </w:rPr>
      </w:pPr>
    </w:p>
    <w:p w14:paraId="68AB29CE" w14:textId="1CE8310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Wenn der Märktegerichtshof eine in Absatz 3 erwähnte Entscheidung </w:t>
      </w:r>
      <w:r w:rsidR="00FF66A4" w:rsidRPr="004676F5">
        <w:rPr>
          <w:rFonts w:eastAsia="Calibri"/>
          <w:kern w:val="2"/>
          <w:szCs w:val="22"/>
          <w:lang w:val="de-DE" w:eastAsia="en-US"/>
          <w14:ligatures w14:val="standardContextual"/>
        </w:rPr>
        <w:t>[</w:t>
      </w:r>
      <w:r w:rsidR="00FF66A4" w:rsidRPr="004676F5">
        <w:rPr>
          <w:lang w:val="de-DE"/>
        </w:rPr>
        <w:t>oder eine in § 1 Absatz 4 erwähnte Handlung</w:t>
      </w:r>
      <w:r w:rsidR="00FF66A4" w:rsidRPr="004676F5">
        <w:rPr>
          <w:rFonts w:eastAsia="Calibri"/>
          <w:kern w:val="2"/>
          <w:szCs w:val="22"/>
          <w:lang w:val="de-DE" w:eastAsia="en-US"/>
          <w14:ligatures w14:val="standardContextual"/>
        </w:rPr>
        <w:t xml:space="preserve">] </w:t>
      </w:r>
      <w:r w:rsidRPr="004676F5">
        <w:rPr>
          <w:rFonts w:eastAsia="Calibri"/>
          <w:kern w:val="2"/>
          <w:szCs w:val="22"/>
          <w:lang w:val="de-DE" w:eastAsia="en-US"/>
          <w14:ligatures w14:val="standardContextual"/>
        </w:rPr>
        <w:t xml:space="preserve">ganz oder teilweise für nichtig erklärt, wird die Sache in den Grenzen der Nichtigerklärung an die Belgische Wettbewerbsbehörde zurückverwiesen. Im Falle eines Zusammenschlusses wird der Zusammenschluss unter Berücksichtigung der zu diesem Zeitpunkt herrschenden Marktbedingungen erneut geprüft und bewertet. Die anmeldenden Parteien reichen unverzüglich eine neue Anmeldung ein oder ergänzen die ursprüngliche Anmeldung, wenn die ursprüngliche Anmeldung aufgrund von Änderungen der Marktbedingungen oder der bereitgestellten Informationen unvollständig geworden ist. Wenn es keine solchen Änderungen gegeben hat, bescheinigen die anmeldenden Parteien dies unverzüglich. Die </w:t>
      </w:r>
      <w:r w:rsidR="00F52A2D" w:rsidRPr="004676F5">
        <w:rPr>
          <w:rFonts w:eastAsia="Calibri"/>
          <w:kern w:val="2"/>
          <w:szCs w:val="22"/>
          <w:lang w:val="de-DE" w:eastAsia="en-US"/>
          <w14:ligatures w14:val="standardContextual"/>
        </w:rPr>
        <w:t>[</w:t>
      </w:r>
      <w:r w:rsidR="00F52A2D" w:rsidRPr="004676F5">
        <w:rPr>
          <w:lang w:val="de-DE"/>
        </w:rPr>
        <w:t>in Titel 3 Kapitel 1 Abschnitt 6 und 7</w:t>
      </w:r>
      <w:r w:rsidR="00F52A2D"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xml:space="preserve"> erwähnten Fristen beginnen am ersten Werktag nach dem Tag, an dem der Generalauditor die vollständigen Auskünfte in einer neuen Anmeldung, eine ergänzende Anmeldung oder die Bescheinigung der anmeldenden Parteien, dass keine Änderungen vorliegen, erhält.</w:t>
      </w:r>
    </w:p>
    <w:p w14:paraId="096FC2C5" w14:textId="77777777" w:rsidR="00BE3682" w:rsidRPr="004676F5" w:rsidRDefault="00BE3682" w:rsidP="00BE3682">
      <w:pPr>
        <w:jc w:val="both"/>
        <w:rPr>
          <w:rFonts w:eastAsia="Calibri"/>
          <w:kern w:val="2"/>
          <w:lang w:val="de-DE" w:eastAsia="en-US"/>
          <w14:ligatures w14:val="standardContextual"/>
        </w:rPr>
      </w:pPr>
    </w:p>
    <w:p w14:paraId="1F8FA781" w14:textId="7BC0DB6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 3 ­ Eine Beschwerde setzt angefochtene Entscheidungen </w:t>
      </w:r>
      <w:r w:rsidR="00FF66A4" w:rsidRPr="004676F5">
        <w:rPr>
          <w:rFonts w:eastAsia="Calibri"/>
          <w:kern w:val="2"/>
          <w:szCs w:val="22"/>
          <w:lang w:val="de-DE" w:eastAsia="en-US"/>
          <w14:ligatures w14:val="standardContextual"/>
        </w:rPr>
        <w:t>[</w:t>
      </w:r>
      <w:r w:rsidR="00FF66A4" w:rsidRPr="004676F5">
        <w:rPr>
          <w:lang w:val="de-DE"/>
        </w:rPr>
        <w:t>oder Handlungen</w:t>
      </w:r>
      <w:r w:rsidR="00FF66A4" w:rsidRPr="004676F5">
        <w:rPr>
          <w:rFonts w:eastAsia="Calibri"/>
          <w:kern w:val="2"/>
          <w:szCs w:val="22"/>
          <w:lang w:val="de-DE" w:eastAsia="en-US"/>
          <w14:ligatures w14:val="standardContextual"/>
        </w:rPr>
        <w:t xml:space="preserve">] </w:t>
      </w:r>
      <w:r w:rsidRPr="004676F5">
        <w:rPr>
          <w:rFonts w:eastAsia="Calibri"/>
          <w:kern w:val="2"/>
          <w:szCs w:val="22"/>
          <w:lang w:val="de-DE" w:eastAsia="en-US"/>
          <w14:ligatures w14:val="standardContextual"/>
        </w:rPr>
        <w:t>nicht aus.</w:t>
      </w:r>
    </w:p>
    <w:p w14:paraId="6519D295" w14:textId="77777777" w:rsidR="00BE3682" w:rsidRPr="004676F5" w:rsidRDefault="00BE3682" w:rsidP="00BE3682">
      <w:pPr>
        <w:jc w:val="both"/>
        <w:rPr>
          <w:rFonts w:eastAsia="Calibri"/>
          <w:kern w:val="2"/>
          <w:lang w:val="de-DE" w:eastAsia="en-US"/>
          <w14:ligatures w14:val="standardContextual"/>
        </w:rPr>
      </w:pPr>
    </w:p>
    <w:p w14:paraId="2AB08C5A" w14:textId="2560E8D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Märktegerichtshof kann jedoch auf Antrag des Interessehabenden und durch Zwischenentscheidung die Ausführung der Entscheidung</w:t>
      </w:r>
      <w:r w:rsidR="00FF66A4" w:rsidRPr="004676F5">
        <w:rPr>
          <w:rFonts w:eastAsia="Calibri"/>
          <w:kern w:val="2"/>
          <w:szCs w:val="22"/>
          <w:lang w:val="de-DE" w:eastAsia="en-US"/>
          <w14:ligatures w14:val="standardContextual"/>
        </w:rPr>
        <w:t xml:space="preserve"> [</w:t>
      </w:r>
      <w:r w:rsidR="00FF66A4" w:rsidRPr="004676F5">
        <w:rPr>
          <w:lang w:val="de-DE"/>
        </w:rPr>
        <w:t>oder der Handlung</w:t>
      </w:r>
      <w:r w:rsidR="00FF66A4"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gegen die Beschwerde eingereicht wird, bis zum Tag der Verkündung des Entscheids ganz oder teilweise aussetzen.</w:t>
      </w:r>
    </w:p>
    <w:p w14:paraId="52051397" w14:textId="77777777" w:rsidR="00BE3682" w:rsidRPr="004676F5" w:rsidRDefault="00BE3682" w:rsidP="00BE3682">
      <w:pPr>
        <w:jc w:val="both"/>
        <w:rPr>
          <w:rFonts w:eastAsia="Calibri"/>
          <w:kern w:val="2"/>
          <w:lang w:val="de-DE" w:eastAsia="en-US"/>
          <w14:ligatures w14:val="standardContextual"/>
        </w:rPr>
      </w:pPr>
    </w:p>
    <w:p w14:paraId="27CD58DB" w14:textId="4DF5CAC6"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Die Aussetzung der Ausführung kann nur angeordnet werden, wenn triftige Gründe, die die Nichtigerklärung der angefochtenen Entscheidung </w:t>
      </w:r>
      <w:r w:rsidR="00FF66A4" w:rsidRPr="004676F5">
        <w:rPr>
          <w:rFonts w:eastAsia="Calibri"/>
          <w:kern w:val="2"/>
          <w:szCs w:val="22"/>
          <w:lang w:val="de-DE" w:eastAsia="en-US"/>
          <w14:ligatures w14:val="standardContextual"/>
        </w:rPr>
        <w:t xml:space="preserve">[oder Handlung] </w:t>
      </w:r>
      <w:r w:rsidRPr="004676F5">
        <w:rPr>
          <w:rFonts w:eastAsia="Calibri"/>
          <w:kern w:val="2"/>
          <w:szCs w:val="22"/>
          <w:lang w:val="de-DE" w:eastAsia="en-US"/>
          <w14:ligatures w14:val="standardContextual"/>
        </w:rPr>
        <w:t xml:space="preserve">rechtfertigen können, geltend gemacht werden und unter der Voraussetzung, dass die unmittelbare Ausführung der Entscheidung </w:t>
      </w:r>
      <w:r w:rsidR="00FF66A4" w:rsidRPr="004676F5">
        <w:rPr>
          <w:rFonts w:eastAsia="Calibri"/>
          <w:kern w:val="2"/>
          <w:szCs w:val="22"/>
          <w:lang w:val="de-DE" w:eastAsia="en-US"/>
          <w14:ligatures w14:val="standardContextual"/>
        </w:rPr>
        <w:t xml:space="preserve">[oder Handlung] </w:t>
      </w:r>
      <w:r w:rsidRPr="004676F5">
        <w:rPr>
          <w:rFonts w:eastAsia="Calibri"/>
          <w:kern w:val="2"/>
          <w:szCs w:val="22"/>
          <w:lang w:val="de-DE" w:eastAsia="en-US"/>
          <w14:ligatures w14:val="standardContextual"/>
        </w:rPr>
        <w:t>für den Betreffenden schwerwiegende Folgen haben kann.</w:t>
      </w:r>
    </w:p>
    <w:p w14:paraId="0BD68A9A" w14:textId="77777777" w:rsidR="00BE3682" w:rsidRPr="004676F5" w:rsidRDefault="00BE3682" w:rsidP="00BE3682">
      <w:pPr>
        <w:jc w:val="both"/>
        <w:rPr>
          <w:rFonts w:eastAsia="Calibri"/>
          <w:kern w:val="2"/>
          <w:lang w:val="de-DE" w:eastAsia="en-US"/>
          <w14:ligatures w14:val="standardContextual"/>
        </w:rPr>
      </w:pPr>
    </w:p>
    <w:p w14:paraId="408FDC8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Märktegerichtshof kann gegebenenfalls die Rückzahlung der gezahlten Geldbußen an den Betreffenden anordnen.</w:t>
      </w:r>
    </w:p>
    <w:p w14:paraId="6A0C3C26" w14:textId="77777777" w:rsidR="00BE3682" w:rsidRPr="004676F5" w:rsidRDefault="00BE3682" w:rsidP="00BE3682">
      <w:pPr>
        <w:jc w:val="both"/>
        <w:rPr>
          <w:rFonts w:eastAsia="Calibri"/>
          <w:kern w:val="2"/>
          <w:lang w:val="de-DE" w:eastAsia="en-US"/>
          <w14:ligatures w14:val="standardContextual"/>
        </w:rPr>
      </w:pPr>
    </w:p>
    <w:p w14:paraId="726C6979" w14:textId="1B367B9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xml:space="preserve">Eine Beschwerde beim Märktegerichtshof kann von den durch die angefochtene Entscheidung </w:t>
      </w:r>
      <w:r w:rsidR="00FF66A4" w:rsidRPr="004676F5">
        <w:rPr>
          <w:rFonts w:eastAsia="Calibri"/>
          <w:kern w:val="2"/>
          <w:szCs w:val="22"/>
          <w:lang w:val="de-DE" w:eastAsia="en-US"/>
          <w14:ligatures w14:val="standardContextual"/>
        </w:rPr>
        <w:t xml:space="preserve">[oder Handlung] </w:t>
      </w:r>
      <w:r w:rsidRPr="004676F5">
        <w:rPr>
          <w:rFonts w:eastAsia="Calibri"/>
          <w:kern w:val="2"/>
          <w:szCs w:val="22"/>
          <w:lang w:val="de-DE" w:eastAsia="en-US"/>
          <w14:ligatures w14:val="standardContextual"/>
        </w:rPr>
        <w:t>betroffenen Parteien eingereicht werden. Eine Beschwerde kann auch von Personen eingereicht werden, die gemäß Artikel IV.39 Nr. 2, Artikel IV.50 § 2 oder Artikel IV.65 § 4 ein Interesse nachweisen können und beim Wettbewerbskollegium beziehungsweise beim Auditor eine Anhörung beantragt haben. Eine Beschwerde kann auch vom Minister eingereicht werden, ohne dass dieser ein Interesse nachweisen muss und ohne dass er vor dem Wettbewerbskollegium vertreten war.</w:t>
      </w:r>
    </w:p>
    <w:p w14:paraId="441747D5" w14:textId="77777777" w:rsidR="00BE3682" w:rsidRPr="004676F5" w:rsidRDefault="00BE3682" w:rsidP="00BE3682">
      <w:pPr>
        <w:jc w:val="both"/>
        <w:rPr>
          <w:rFonts w:eastAsia="Calibri"/>
          <w:kern w:val="2"/>
          <w:lang w:val="de-DE" w:eastAsia="en-US"/>
          <w14:ligatures w14:val="standardContextual"/>
        </w:rPr>
      </w:pPr>
    </w:p>
    <w:p w14:paraId="4E1AA4A0" w14:textId="77777777" w:rsidR="00FF66A4" w:rsidRPr="004676F5" w:rsidRDefault="00BE3682" w:rsidP="00FF66A4">
      <w:pPr>
        <w:jc w:val="both"/>
        <w:rPr>
          <w:lang w:val="de-DE"/>
        </w:rPr>
      </w:pPr>
      <w:r w:rsidRPr="004676F5">
        <w:rPr>
          <w:rFonts w:eastAsia="Calibri"/>
          <w:kern w:val="2"/>
          <w:szCs w:val="22"/>
          <w:lang w:val="de-DE" w:eastAsia="en-US"/>
          <w14:ligatures w14:val="standardContextual"/>
        </w:rPr>
        <w:lastRenderedPageBreak/>
        <w:tab/>
        <w:t xml:space="preserve">§ 5 ­ </w:t>
      </w:r>
      <w:r w:rsidR="00FF66A4" w:rsidRPr="004676F5">
        <w:rPr>
          <w:rFonts w:eastAsia="Calibri"/>
          <w:kern w:val="2"/>
          <w:szCs w:val="22"/>
          <w:lang w:val="de-DE" w:eastAsia="en-US"/>
          <w14:ligatures w14:val="standardContextual"/>
        </w:rPr>
        <w:t>[</w:t>
      </w:r>
      <w:r w:rsidR="00FF66A4" w:rsidRPr="004676F5">
        <w:rPr>
          <w:lang w:val="de-DE"/>
        </w:rPr>
        <w:t>Gegen die Belgische Wettbewerbsbehörde gerichtete Beschwerden werden zur Vermeidung der von Amts wegen ausgesprochenen Unzulässigkeit durch einen unterzeichneten Antrag eingereicht, der bei der Kanzlei des Appellationshofes von Brüssel hinterlegt wird innerhalb einer Frist von dreißig Tagen ab:</w:t>
      </w:r>
    </w:p>
    <w:p w14:paraId="6F2A7214" w14:textId="77777777" w:rsidR="00FF66A4" w:rsidRPr="004676F5" w:rsidRDefault="00FF66A4" w:rsidP="00FF66A4">
      <w:pPr>
        <w:jc w:val="both"/>
        <w:rPr>
          <w:lang w:val="de-DE"/>
        </w:rPr>
      </w:pPr>
    </w:p>
    <w:p w14:paraId="4A674EF1" w14:textId="77777777" w:rsidR="00FF66A4" w:rsidRPr="004676F5" w:rsidRDefault="00FF66A4" w:rsidP="00FF66A4">
      <w:pPr>
        <w:jc w:val="both"/>
        <w:rPr>
          <w:lang w:val="de-DE"/>
        </w:rPr>
      </w:pPr>
      <w:r w:rsidRPr="004676F5">
        <w:rPr>
          <w:lang w:val="de-DE"/>
        </w:rPr>
        <w:tab/>
        <w:t>1. Notifizierung der mit Gründen versehenen angefochtenen Entscheidung,</w:t>
      </w:r>
    </w:p>
    <w:p w14:paraId="784C601E" w14:textId="77777777" w:rsidR="00FF66A4" w:rsidRPr="004676F5" w:rsidRDefault="00FF66A4" w:rsidP="00FF66A4">
      <w:pPr>
        <w:jc w:val="both"/>
        <w:rPr>
          <w:lang w:val="de-DE"/>
        </w:rPr>
      </w:pPr>
    </w:p>
    <w:p w14:paraId="251066AC" w14:textId="77777777" w:rsidR="00FF66A4" w:rsidRPr="004676F5" w:rsidRDefault="00FF66A4" w:rsidP="00FF66A4">
      <w:pPr>
        <w:jc w:val="both"/>
        <w:rPr>
          <w:lang w:val="de-DE"/>
        </w:rPr>
      </w:pPr>
      <w:r w:rsidRPr="004676F5">
        <w:rPr>
          <w:lang w:val="de-DE"/>
        </w:rPr>
        <w:tab/>
        <w:t>2. Zustellung per Einschreibesendung mit Rückschein wie erwähnt in Artikel IV.78/2 § 4,</w:t>
      </w:r>
    </w:p>
    <w:p w14:paraId="013F8D0F" w14:textId="77777777" w:rsidR="00FF66A4" w:rsidRPr="004676F5" w:rsidRDefault="00FF66A4" w:rsidP="00FF66A4">
      <w:pPr>
        <w:jc w:val="both"/>
        <w:rPr>
          <w:lang w:val="de-DE"/>
        </w:rPr>
      </w:pPr>
    </w:p>
    <w:p w14:paraId="7E13313E" w14:textId="77777777" w:rsidR="00FF66A4" w:rsidRPr="004676F5" w:rsidRDefault="00FF66A4" w:rsidP="00FF66A4">
      <w:pPr>
        <w:jc w:val="both"/>
        <w:rPr>
          <w:lang w:val="de-DE"/>
        </w:rPr>
      </w:pPr>
      <w:r w:rsidRPr="004676F5">
        <w:rPr>
          <w:lang w:val="de-DE"/>
        </w:rPr>
        <w:tab/>
        <w:t>3. Zustellung des in Artikel IV.78/3 § 2 erwähnten einheitlichen Titels,</w:t>
      </w:r>
    </w:p>
    <w:p w14:paraId="41550B97" w14:textId="77777777" w:rsidR="00FF66A4" w:rsidRPr="004676F5" w:rsidRDefault="00FF66A4" w:rsidP="00FF66A4">
      <w:pPr>
        <w:jc w:val="both"/>
        <w:rPr>
          <w:lang w:val="de-DE"/>
        </w:rPr>
      </w:pPr>
    </w:p>
    <w:p w14:paraId="76AA6CCE" w14:textId="77777777" w:rsidR="00FF66A4" w:rsidRPr="004676F5" w:rsidRDefault="00FF66A4" w:rsidP="00FF66A4">
      <w:pPr>
        <w:jc w:val="both"/>
        <w:rPr>
          <w:lang w:val="de-DE"/>
        </w:rPr>
      </w:pPr>
      <w:r w:rsidRPr="004676F5">
        <w:rPr>
          <w:lang w:val="de-DE"/>
        </w:rPr>
        <w:tab/>
        <w:t>4. den in Anwendung von Artikel IV.78/4 getroffenen Vollstreckungsmaßnahmen,</w:t>
      </w:r>
    </w:p>
    <w:p w14:paraId="031D0996" w14:textId="77777777" w:rsidR="00FF66A4" w:rsidRPr="004676F5" w:rsidRDefault="00FF66A4" w:rsidP="00FF66A4">
      <w:pPr>
        <w:jc w:val="both"/>
        <w:rPr>
          <w:lang w:val="de-DE"/>
        </w:rPr>
      </w:pPr>
    </w:p>
    <w:p w14:paraId="4C2BA067" w14:textId="0C055E97" w:rsidR="00BE3682" w:rsidRPr="004676F5" w:rsidRDefault="00FF66A4" w:rsidP="00FF66A4">
      <w:pPr>
        <w:jc w:val="both"/>
        <w:rPr>
          <w:rFonts w:eastAsia="Calibri"/>
          <w:kern w:val="2"/>
          <w:lang w:val="de-DE" w:eastAsia="en-US"/>
          <w14:ligatures w14:val="standardContextual"/>
        </w:rPr>
      </w:pPr>
      <w:r w:rsidRPr="004676F5">
        <w:rPr>
          <w:lang w:val="de-DE"/>
        </w:rPr>
        <w:tab/>
        <w:t>5. Zustellung des in Artikel IV.78/5 § 2 erwähnten einheitlichen Titels.</w:t>
      </w:r>
      <w:r w:rsidRPr="004676F5">
        <w:rPr>
          <w:rFonts w:eastAsia="Calibri"/>
          <w:kern w:val="2"/>
          <w:szCs w:val="22"/>
          <w:lang w:val="de-DE" w:eastAsia="en-US"/>
          <w14:ligatures w14:val="standardContextual"/>
        </w:rPr>
        <w:t>]</w:t>
      </w:r>
    </w:p>
    <w:p w14:paraId="40B56A15" w14:textId="77777777" w:rsidR="00BE3682" w:rsidRPr="004676F5" w:rsidRDefault="00BE3682" w:rsidP="00BE3682">
      <w:pPr>
        <w:jc w:val="both"/>
        <w:rPr>
          <w:rFonts w:eastAsia="Calibri"/>
          <w:kern w:val="2"/>
          <w:lang w:val="de-DE" w:eastAsia="en-US"/>
          <w14:ligatures w14:val="standardContextual"/>
        </w:rPr>
      </w:pPr>
    </w:p>
    <w:p w14:paraId="0AB3793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Zur Vermeidung der Nichtigkeit enthält der Antrag:</w:t>
      </w:r>
    </w:p>
    <w:p w14:paraId="223E787E" w14:textId="77777777" w:rsidR="00BE3682" w:rsidRPr="004676F5" w:rsidRDefault="00BE3682" w:rsidP="00BE3682">
      <w:pPr>
        <w:jc w:val="both"/>
        <w:rPr>
          <w:rFonts w:eastAsia="Calibri"/>
          <w:kern w:val="2"/>
          <w:lang w:val="de-DE" w:eastAsia="en-US"/>
          <w14:ligatures w14:val="standardContextual"/>
        </w:rPr>
      </w:pPr>
    </w:p>
    <w:p w14:paraId="51A14C1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Tag, Monat und Jahr,</w:t>
      </w:r>
    </w:p>
    <w:p w14:paraId="33F20CA4" w14:textId="77777777" w:rsidR="00BE3682" w:rsidRPr="004676F5" w:rsidRDefault="00BE3682" w:rsidP="00BE3682">
      <w:pPr>
        <w:jc w:val="both"/>
        <w:rPr>
          <w:rFonts w:eastAsia="Calibri"/>
          <w:kern w:val="2"/>
          <w:lang w:val="de-DE" w:eastAsia="en-US"/>
          <w14:ligatures w14:val="standardContextual"/>
        </w:rPr>
      </w:pPr>
    </w:p>
    <w:p w14:paraId="67DBBF1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wenn der Antragsteller eine natürliche Person ist, Namen, Vornamen, Beruf und Wohnsitz des Antragstellers und gegebenenfalls Unternehmensnummer; wenn der Antragsteller eine juristische Person ist, Bezeichnung, Rechtsform, Gesellschaftssitz, Eigenschaft der Person beziehungsweise des Organs, die/das sie vertritt, und gegebenenfalls Unternehmensnummer; wenn die Beschwerde vom Minister ausgeht, Bezeichnung und Adresse des Dienstes, der ihn vertritt,</w:t>
      </w:r>
    </w:p>
    <w:p w14:paraId="743E3163" w14:textId="77777777" w:rsidR="00BE3682" w:rsidRPr="004676F5" w:rsidRDefault="00BE3682" w:rsidP="00BE3682">
      <w:pPr>
        <w:jc w:val="both"/>
        <w:rPr>
          <w:rFonts w:eastAsia="Calibri"/>
          <w:kern w:val="2"/>
          <w:lang w:val="de-DE" w:eastAsia="en-US"/>
          <w14:ligatures w14:val="standardContextual"/>
        </w:rPr>
      </w:pPr>
    </w:p>
    <w:p w14:paraId="659FA0B8" w14:textId="77777777" w:rsidR="00FF66A4" w:rsidRPr="004676F5" w:rsidRDefault="00BE3682" w:rsidP="00FF66A4">
      <w:pPr>
        <w:jc w:val="both"/>
        <w:rPr>
          <w:lang w:val="de-DE"/>
        </w:rPr>
      </w:pPr>
      <w:r w:rsidRPr="004676F5">
        <w:rPr>
          <w:rFonts w:eastAsia="Calibri"/>
          <w:kern w:val="2"/>
          <w:szCs w:val="22"/>
          <w:lang w:val="de-DE" w:eastAsia="en-US"/>
          <w14:ligatures w14:val="standardContextual"/>
        </w:rPr>
        <w:tab/>
        <w:t>3. </w:t>
      </w:r>
      <w:r w:rsidR="00FF66A4" w:rsidRPr="004676F5">
        <w:rPr>
          <w:rFonts w:eastAsia="Calibri"/>
          <w:kern w:val="2"/>
          <w:szCs w:val="22"/>
          <w:lang w:val="de-DE" w:eastAsia="en-US"/>
          <w14:ligatures w14:val="standardContextual"/>
        </w:rPr>
        <w:t>[</w:t>
      </w:r>
      <w:r w:rsidR="00FF66A4" w:rsidRPr="004676F5">
        <w:rPr>
          <w:lang w:val="de-DE"/>
        </w:rPr>
        <w:t>Angabe der Entscheidung oder der Handlung, gegen die Beschwerde eingereicht wird,</w:t>
      </w:r>
    </w:p>
    <w:p w14:paraId="37E5ADE0" w14:textId="77777777" w:rsidR="00FF66A4" w:rsidRPr="004676F5" w:rsidRDefault="00FF66A4" w:rsidP="00FF66A4">
      <w:pPr>
        <w:jc w:val="both"/>
        <w:rPr>
          <w:lang w:val="de-DE"/>
        </w:rPr>
      </w:pPr>
    </w:p>
    <w:p w14:paraId="30FC9301" w14:textId="014C4DF5" w:rsidR="00BE3682" w:rsidRPr="004676F5" w:rsidRDefault="00FF66A4" w:rsidP="00FF66A4">
      <w:pPr>
        <w:jc w:val="both"/>
        <w:rPr>
          <w:rFonts w:eastAsia="Calibri"/>
          <w:kern w:val="2"/>
          <w:lang w:val="de-DE" w:eastAsia="en-US"/>
          <w14:ligatures w14:val="standardContextual"/>
        </w:rPr>
      </w:pPr>
      <w:r w:rsidRPr="004676F5">
        <w:rPr>
          <w:lang w:val="de-DE"/>
        </w:rPr>
        <w:tab/>
        <w:t>4. Liste der Namen und Adressen der Parteien, denen die Entscheidung oder die Handlung notifiziert beziehungsweise zugestellt wurde,</w:t>
      </w:r>
      <w:r w:rsidRPr="004676F5">
        <w:rPr>
          <w:rFonts w:eastAsia="Calibri"/>
          <w:kern w:val="2"/>
          <w:szCs w:val="22"/>
          <w:lang w:val="de-DE" w:eastAsia="en-US"/>
          <w14:ligatures w14:val="standardContextual"/>
        </w:rPr>
        <w:t>]</w:t>
      </w:r>
    </w:p>
    <w:p w14:paraId="64A059DD" w14:textId="77777777" w:rsidR="00BE3682" w:rsidRPr="004676F5" w:rsidRDefault="00BE3682" w:rsidP="00BE3682">
      <w:pPr>
        <w:jc w:val="both"/>
        <w:rPr>
          <w:rFonts w:eastAsia="Calibri"/>
          <w:kern w:val="2"/>
          <w:lang w:val="de-DE" w:eastAsia="en-US"/>
          <w14:ligatures w14:val="standardContextual"/>
        </w:rPr>
      </w:pPr>
    </w:p>
    <w:p w14:paraId="76A45E9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5. Darlegung der Klagegründe,</w:t>
      </w:r>
    </w:p>
    <w:p w14:paraId="1ACD582B" w14:textId="77777777" w:rsidR="00BE3682" w:rsidRPr="004676F5" w:rsidRDefault="00BE3682" w:rsidP="00BE3682">
      <w:pPr>
        <w:jc w:val="both"/>
        <w:rPr>
          <w:rFonts w:eastAsia="Calibri"/>
          <w:kern w:val="2"/>
          <w:lang w:val="de-DE" w:eastAsia="en-US"/>
          <w14:ligatures w14:val="standardContextual"/>
        </w:rPr>
      </w:pPr>
    </w:p>
    <w:p w14:paraId="52BC1B99"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6. Ort, Tag und Uhrzeit für das Erscheinen, von der Kanzlei des Appellationshofes von Brüssel festgelegt,</w:t>
      </w:r>
    </w:p>
    <w:p w14:paraId="157B9C58" w14:textId="77777777" w:rsidR="00BE3682" w:rsidRPr="004676F5" w:rsidRDefault="00BE3682" w:rsidP="00BE3682">
      <w:pPr>
        <w:jc w:val="both"/>
        <w:rPr>
          <w:rFonts w:eastAsia="Calibri"/>
          <w:kern w:val="2"/>
          <w:lang w:val="de-DE" w:eastAsia="en-US"/>
          <w14:ligatures w14:val="standardContextual"/>
        </w:rPr>
      </w:pPr>
    </w:p>
    <w:p w14:paraId="422994B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7. Unterschrift des Antragstellers oder seines Rechtsanwalts.</w:t>
      </w:r>
    </w:p>
    <w:p w14:paraId="503A1108" w14:textId="77777777" w:rsidR="00BE3682" w:rsidRPr="004676F5" w:rsidRDefault="00BE3682" w:rsidP="00BE3682">
      <w:pPr>
        <w:jc w:val="both"/>
        <w:rPr>
          <w:rFonts w:eastAsia="Calibri"/>
          <w:kern w:val="2"/>
          <w:lang w:val="de-DE" w:eastAsia="en-US"/>
          <w14:ligatures w14:val="standardContextual"/>
        </w:rPr>
      </w:pPr>
    </w:p>
    <w:p w14:paraId="5EAC4BBA" w14:textId="2A5D014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Zur Vermeidung der Nichtigkeit der Beschwerde muss der Antragsteller binnen fünf Tagen nach Hinterlegung des Antrags eine Abschrift des Antrags dem Sekretariat der Belgischen Wettbewerbsbehörde, das den Präsidenten und den Generalauditor davon in Kenntnis setzt, den Parteien, </w:t>
      </w:r>
      <w:r w:rsidR="00FF66A4" w:rsidRPr="004676F5">
        <w:rPr>
          <w:rFonts w:eastAsia="Calibri"/>
          <w:kern w:val="2"/>
          <w:szCs w:val="22"/>
          <w:lang w:val="de-DE" w:eastAsia="en-US"/>
          <w14:ligatures w14:val="standardContextual"/>
        </w:rPr>
        <w:t>[</w:t>
      </w:r>
      <w:r w:rsidR="00FF66A4" w:rsidRPr="004676F5">
        <w:rPr>
          <w:lang w:val="de-DE"/>
        </w:rPr>
        <w:t>denen die angefochtene Entscheidung oder Handlung notifiziert beziehungsweise zugestellt wurde, wie aus dem Notifizierungs</w:t>
      </w:r>
      <w:r w:rsidR="005B7A5C" w:rsidRPr="004676F5">
        <w:rPr>
          <w:lang w:val="de-DE"/>
        </w:rPr>
        <w:t>- </w:t>
      </w:r>
      <w:r w:rsidR="00FF66A4" w:rsidRPr="004676F5">
        <w:rPr>
          <w:lang w:val="de-DE"/>
        </w:rPr>
        <w:t>beziehungsweise Zustellungsschreiben ersichtlich</w:t>
      </w:r>
      <w:r w:rsidR="00FF66A4" w:rsidRPr="004676F5">
        <w:rPr>
          <w:rFonts w:eastAsia="Calibri"/>
          <w:kern w:val="2"/>
          <w:szCs w:val="22"/>
          <w:lang w:val="de-DE" w:eastAsia="en-US"/>
          <w14:ligatures w14:val="standardContextual"/>
        </w:rPr>
        <w:t>]</w:t>
      </w:r>
      <w:r w:rsidRPr="004676F5">
        <w:rPr>
          <w:rFonts w:eastAsia="Calibri"/>
          <w:kern w:val="2"/>
          <w:szCs w:val="22"/>
          <w:lang w:val="de-DE" w:eastAsia="en-US"/>
          <w14:ligatures w14:val="standardContextual"/>
        </w:rPr>
        <w:t>, und dem Minister, sofern er nicht der Antragsteller ist, per Einschreibesendung mit Rückschein senden.</w:t>
      </w:r>
    </w:p>
    <w:p w14:paraId="12E20706" w14:textId="77777777" w:rsidR="00BE3682" w:rsidRPr="004676F5" w:rsidRDefault="00BE3682" w:rsidP="00BE3682">
      <w:pPr>
        <w:jc w:val="both"/>
        <w:rPr>
          <w:rFonts w:eastAsia="Calibri"/>
          <w:kern w:val="2"/>
          <w:lang w:val="de-DE" w:eastAsia="en-US"/>
          <w14:ligatures w14:val="standardContextual"/>
        </w:rPr>
      </w:pPr>
    </w:p>
    <w:p w14:paraId="04342C9A" w14:textId="167ABE84"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6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Eine Anschlussbeschwerde kann erhoben werden. Sie ist nur zulässig, wenn sie innerhalb eines Monats ab Erhalt des in § 5 vorgesehenen Schreibens eingereicht wird.</w:t>
      </w:r>
    </w:p>
    <w:p w14:paraId="609FC4FE" w14:textId="77777777" w:rsidR="00BE3682" w:rsidRPr="004676F5" w:rsidRDefault="00BE3682" w:rsidP="00BE3682">
      <w:pPr>
        <w:jc w:val="both"/>
        <w:rPr>
          <w:rFonts w:eastAsia="Calibri"/>
          <w:kern w:val="2"/>
          <w:lang w:val="de-DE" w:eastAsia="en-US"/>
          <w14:ligatures w14:val="standardContextual"/>
        </w:rPr>
      </w:pPr>
    </w:p>
    <w:p w14:paraId="6C553530"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Die Anschlussbeschwerde wird jedoch nicht zugelassen, wenn die Hauptbeschwerde für nichtig oder verspätet erklärt wird.</w:t>
      </w:r>
    </w:p>
    <w:p w14:paraId="1BE66861" w14:textId="77777777" w:rsidR="00BE3682" w:rsidRPr="004676F5" w:rsidRDefault="00BE3682" w:rsidP="00BE3682">
      <w:pPr>
        <w:jc w:val="both"/>
        <w:rPr>
          <w:rFonts w:eastAsia="Calibri"/>
          <w:kern w:val="2"/>
          <w:lang w:val="de-DE" w:eastAsia="en-US"/>
          <w14:ligatures w14:val="standardContextual"/>
        </w:rPr>
      </w:pPr>
    </w:p>
    <w:p w14:paraId="713F011D" w14:textId="4FCE1F40"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 7 ­ Der Märktegerichtshof kann jederzeit Personen, die Partei in dem Verfahren waren, das zu der angefochtenen Entscheidung </w:t>
      </w:r>
      <w:r w:rsidR="00FF66A4" w:rsidRPr="004676F5">
        <w:rPr>
          <w:rFonts w:eastAsia="Calibri"/>
          <w:kern w:val="2"/>
          <w:szCs w:val="22"/>
          <w:lang w:val="de-DE" w:eastAsia="en-US"/>
          <w14:ligatures w14:val="standardContextual"/>
        </w:rPr>
        <w:t xml:space="preserve">[oder Handlung] </w:t>
      </w:r>
      <w:r w:rsidRPr="004676F5">
        <w:rPr>
          <w:rFonts w:eastAsia="Calibri"/>
          <w:kern w:val="2"/>
          <w:szCs w:val="22"/>
          <w:lang w:val="de-DE" w:eastAsia="en-US"/>
          <w14:ligatures w14:val="standardContextual"/>
        </w:rPr>
        <w:t>geführt hat, von Rechts wegen in das Verfahren heranziehen, wenn die Haupt</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Anschlussbeschwerde ihre Interessen oder Auflagen beeinträchtigen kann.</w:t>
      </w:r>
    </w:p>
    <w:p w14:paraId="191AB85D" w14:textId="77777777" w:rsidR="00BE3682" w:rsidRPr="004676F5" w:rsidRDefault="00BE3682" w:rsidP="00BE3682">
      <w:pPr>
        <w:jc w:val="both"/>
        <w:rPr>
          <w:rFonts w:eastAsia="Calibri"/>
          <w:kern w:val="2"/>
          <w:lang w:val="de-DE" w:eastAsia="en-US"/>
          <w14:ligatures w14:val="standardContextual"/>
        </w:rPr>
      </w:pPr>
    </w:p>
    <w:p w14:paraId="311F80F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Märktegerichtshof kann die Belgische Wettbewerbsbehörde ersuchen, ihm die Verfahrensakte zu übermitteln.</w:t>
      </w:r>
    </w:p>
    <w:p w14:paraId="20A3012F" w14:textId="77777777" w:rsidR="00BE3682" w:rsidRPr="004676F5" w:rsidRDefault="00BE3682" w:rsidP="00BE3682">
      <w:pPr>
        <w:jc w:val="both"/>
        <w:rPr>
          <w:rFonts w:eastAsia="Calibri"/>
          <w:kern w:val="2"/>
          <w:lang w:val="de-DE" w:eastAsia="en-US"/>
          <w14:ligatures w14:val="standardContextual"/>
        </w:rPr>
      </w:pPr>
    </w:p>
    <w:p w14:paraId="28713B2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Minister kann seine schriftlichen Anmerkungen bei der Kanzlei des Appellations</w:t>
      </w:r>
      <w:r w:rsidRPr="004676F5">
        <w:rPr>
          <w:rFonts w:eastAsia="Calibri"/>
          <w:kern w:val="2"/>
          <w:szCs w:val="22"/>
          <w:lang w:val="de-DE" w:eastAsia="en-US"/>
          <w14:ligatures w14:val="standardContextual"/>
        </w:rPr>
        <w:softHyphen/>
        <w:t>hofes von Brüssel hinterlegen und die Akte vor Ort bei der Kanzlei einsehen. Der Märktegerichtshof bestimmt die Fristen für die Hinterlegung dieser Anmerkungen. Die Kanzlei setzt die Parteien von den Anmerkungen in Kenntnis.</w:t>
      </w:r>
    </w:p>
    <w:p w14:paraId="1AF7CB52" w14:textId="77777777" w:rsidR="00BE3682" w:rsidRPr="004676F5" w:rsidRDefault="00BE3682" w:rsidP="00BE3682">
      <w:pPr>
        <w:jc w:val="both"/>
        <w:rPr>
          <w:rFonts w:eastAsia="Calibri"/>
          <w:kern w:val="2"/>
          <w:lang w:val="de-DE" w:eastAsia="en-US"/>
          <w14:ligatures w14:val="standardContextual"/>
        </w:rPr>
      </w:pPr>
    </w:p>
    <w:p w14:paraId="2F3FD57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Der Märktegerichtshof regelt die Vertraulichkeit der Unterlagen und Angaben. Er ergreift wirksame Maßnahmen, um vertrauliche Unterlagen und Angaben zu schützen.</w:t>
      </w:r>
    </w:p>
    <w:p w14:paraId="3EEC22EC" w14:textId="77777777" w:rsidR="00BE3682" w:rsidRPr="004676F5" w:rsidRDefault="00BE3682" w:rsidP="00BE3682">
      <w:pPr>
        <w:jc w:val="both"/>
        <w:rPr>
          <w:rFonts w:eastAsia="Calibri"/>
          <w:kern w:val="2"/>
          <w:lang w:val="de-DE" w:eastAsia="en-US"/>
          <w14:ligatures w14:val="standardContextual"/>
        </w:rPr>
      </w:pPr>
    </w:p>
    <w:p w14:paraId="04048D88" w14:textId="40D00455"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 8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Soweit der Märktegerichtshof mit der angefochtenen Entscheidung verhängte Geldbußen bestätigt, werden ab dem Datum der angefochtenen Entscheidung Zinsen geschuldet.</w:t>
      </w:r>
    </w:p>
    <w:p w14:paraId="0B1ADECD" w14:textId="77777777" w:rsidR="00626AF8" w:rsidRPr="004676F5" w:rsidRDefault="00626AF8" w:rsidP="00BE3682">
      <w:pPr>
        <w:jc w:val="both"/>
        <w:rPr>
          <w:rFonts w:eastAsia="Calibri"/>
          <w:kern w:val="2"/>
          <w:szCs w:val="22"/>
          <w:lang w:val="de-DE" w:eastAsia="en-US"/>
          <w14:ligatures w14:val="standardContextual"/>
        </w:rPr>
      </w:pPr>
    </w:p>
    <w:p w14:paraId="1E9EAAF5" w14:textId="5AE3BC82" w:rsidR="00626AF8" w:rsidRPr="004676F5" w:rsidRDefault="00626AF8" w:rsidP="00BE3682">
      <w:pPr>
        <w:jc w:val="both"/>
        <w:rPr>
          <w:rFonts w:eastAsia="Calibri"/>
          <w:i/>
          <w:iCs/>
          <w:kern w:val="2"/>
          <w:lang w:val="de-DE" w:eastAsia="en-US"/>
          <w14:ligatures w14:val="standardContextual"/>
        </w:rPr>
      </w:pPr>
      <w:r w:rsidRPr="004676F5">
        <w:rPr>
          <w:rFonts w:eastAsia="Calibri"/>
          <w:i/>
          <w:iCs/>
          <w:kern w:val="2"/>
          <w:szCs w:val="22"/>
          <w:lang w:val="de-DE" w:eastAsia="en-US"/>
          <w14:ligatures w14:val="standardContextual"/>
        </w:rPr>
        <w:t xml:space="preserve">[Art. IV.90 </w:t>
      </w:r>
      <w:r w:rsidR="00FF66A4" w:rsidRPr="004676F5">
        <w:rPr>
          <w:rFonts w:eastAsia="Calibri"/>
          <w:i/>
          <w:iCs/>
          <w:kern w:val="2"/>
          <w:szCs w:val="22"/>
          <w:lang w:val="de-DE" w:eastAsia="en-US"/>
          <w14:ligatures w14:val="standardContextual"/>
        </w:rPr>
        <w:t xml:space="preserve">§ 1 Abs. 1 abgeändert durch Art. 73 Nr. 1 des G. vom 28. Februar 2022 (B.S. vom 7. März 2022); </w:t>
      </w:r>
      <w:r w:rsidRPr="004676F5">
        <w:rPr>
          <w:rFonts w:eastAsia="Calibri"/>
          <w:i/>
          <w:iCs/>
          <w:kern w:val="2"/>
          <w:szCs w:val="22"/>
          <w:lang w:val="de-DE" w:eastAsia="en-US"/>
          <w14:ligatures w14:val="standardContextual"/>
        </w:rPr>
        <w:t>§ 1 Abs. 2 abgeändert durch Art. 6 Nr. 1</w:t>
      </w:r>
      <w:r w:rsidRPr="004676F5">
        <w:rPr>
          <w:rFonts w:eastAsia="Calibri"/>
          <w:i/>
          <w:iCs/>
          <w:kern w:val="2"/>
          <w:lang w:val="de-DE" w:eastAsia="en-US"/>
          <w14:ligatures w14:val="standardContextual"/>
        </w:rPr>
        <w:t xml:space="preserve"> des G. vom 2. Februar 2021 (B.S. vom 11. Februar 2021); </w:t>
      </w:r>
      <w:r w:rsidR="00FF66A4" w:rsidRPr="004676F5">
        <w:rPr>
          <w:rFonts w:eastAsia="Calibri"/>
          <w:i/>
          <w:iCs/>
          <w:kern w:val="2"/>
          <w:szCs w:val="22"/>
          <w:lang w:val="de-DE" w:eastAsia="en-US"/>
          <w14:ligatures w14:val="standardContextual"/>
        </w:rPr>
        <w:t xml:space="preserve">§ 1 Abs. 3 abgeändert durch Art. 73 Nr. 2 des G. vom 28. Februar 2022 (B.S. vom 7. März 2022); </w:t>
      </w:r>
      <w:r w:rsidR="00806B08" w:rsidRPr="004676F5">
        <w:rPr>
          <w:rFonts w:eastAsia="Calibri"/>
          <w:i/>
          <w:iCs/>
          <w:kern w:val="2"/>
          <w:szCs w:val="22"/>
          <w:lang w:val="de-DE" w:eastAsia="en-US"/>
          <w14:ligatures w14:val="standardContextual"/>
        </w:rPr>
        <w:t xml:space="preserve">§ 1 Abs. 4 eingefügt durch Art. 73 Nr. 3 des G. vom 28. Februar 2022 (B.S. vom 7. März 2022); § 2 Abs. 2 abgeändert durch Art. 73 Nr. 4 des G. vom 28. Februar 2022 (B.S. vom 7. März 2022); </w:t>
      </w:r>
      <w:r w:rsidRPr="004676F5">
        <w:rPr>
          <w:rFonts w:eastAsia="Calibri"/>
          <w:i/>
          <w:iCs/>
          <w:kern w:val="2"/>
          <w:lang w:val="de-DE" w:eastAsia="en-US"/>
          <w14:ligatures w14:val="standardContextual"/>
        </w:rPr>
        <w:t>§ 2 Abs. 3 abgeändert durch Art. 6 Nr. 2 des G. vom 2. Februar 2021 (B.S. vom 11. Februar 2021)</w:t>
      </w:r>
      <w:r w:rsidR="00806B08" w:rsidRPr="004676F5">
        <w:rPr>
          <w:rFonts w:eastAsia="Calibri"/>
          <w:i/>
          <w:iCs/>
          <w:kern w:val="2"/>
          <w:lang w:val="de-DE" w:eastAsia="en-US"/>
          <w14:ligatures w14:val="standardContextual"/>
        </w:rPr>
        <w:t xml:space="preserve"> und Art. 73 Nr. 5 des G. vom 28. Februar 2022 (B.S. vom 7. März 2022); § 2 neuer Absatz 4 eingefügt durch Art. 73 Nr. 7 des G. vom 28. Februar 2022 (B.S. vom 7. März 2022); § 2 Abs. 5 abgeändert durch Art. 73 Nr. 6 des G. vom 28. Februar 2022 (B.S. vom 7. März 2022)</w:t>
      </w:r>
      <w:r w:rsidR="00820C08" w:rsidRPr="004676F5">
        <w:rPr>
          <w:rFonts w:eastAsia="Calibri"/>
          <w:i/>
          <w:iCs/>
          <w:kern w:val="2"/>
          <w:lang w:val="de-DE" w:eastAsia="en-US"/>
          <w14:ligatures w14:val="standardContextual"/>
        </w:rPr>
        <w:t xml:space="preserve"> und Art. 48 des G. vom 29. März 2024 (B.S</w:t>
      </w:r>
      <w:r w:rsidR="0007593E" w:rsidRPr="004676F5">
        <w:rPr>
          <w:rFonts w:eastAsia="Calibri"/>
          <w:i/>
          <w:iCs/>
          <w:kern w:val="2"/>
          <w:lang w:val="de-DE" w:eastAsia="en-US"/>
          <w14:ligatures w14:val="standardContextual"/>
        </w:rPr>
        <w:t>.</w:t>
      </w:r>
      <w:r w:rsidR="00820C08" w:rsidRPr="004676F5">
        <w:rPr>
          <w:rFonts w:eastAsia="Calibri"/>
          <w:i/>
          <w:iCs/>
          <w:kern w:val="2"/>
          <w:lang w:val="de-DE" w:eastAsia="en-US"/>
          <w14:ligatures w14:val="standardContextual"/>
        </w:rPr>
        <w:t xml:space="preserve"> vom 3. Mai 2024)</w:t>
      </w:r>
      <w:r w:rsidR="00806B08" w:rsidRPr="004676F5">
        <w:rPr>
          <w:rFonts w:eastAsia="Calibri"/>
          <w:i/>
          <w:iCs/>
          <w:kern w:val="2"/>
          <w:lang w:val="de-DE" w:eastAsia="en-US"/>
          <w14:ligatures w14:val="standardContextual"/>
        </w:rPr>
        <w:t>; § 3 Abs. 1 abgeändert durch Art. 73 Nr. 8 des G. vom 28. Februar 2022 (B.S. vom 7. März 2022); § 3 Abs. 2 abgeändert durch Art. 73 Nr. 9 des G. vom 28. Februar 2022 (B.S. vom 7. März 2022); § 3 Abs. 3 abgeändert durch Art. 73 Nr. 10 des G. vom 28. Februar 2022 (B.S. vom 7. März 2022); § 4 abgeändert durch Art. 73 Nr. 11 des G. vom 28. Februar 2022 (B.S. vom 7. März 2022); § 5 Abs. 1 ersetzt durch Art. 73 Nr. 12 des G. vom 28. Februar 2022 (B.S. vom 7. März 2022); § 5 Abs. 2 Nr. 3 und 4 ersetzt durch Art. 73 Nr. 13 des G. vom 28. Februar 2022 (B.S. vom 7. März 2022); § 5 Abs. 3 abgeändert durch Art. 73 Nr. 14 des G. vom 28. Februar 2022 (B.S. vom 7. März 2022); § 7 Abs. 1 abgeändert durch Art. 73 Nr. 16 des G. vom 28. Februar 2022 (B.S. vom 7. März 2022)</w:t>
      </w:r>
      <w:r w:rsidRPr="004676F5">
        <w:rPr>
          <w:rFonts w:eastAsia="Calibri"/>
          <w:i/>
          <w:iCs/>
          <w:kern w:val="2"/>
          <w:lang w:val="de-DE" w:eastAsia="en-US"/>
          <w14:ligatures w14:val="standardContextual"/>
        </w:rPr>
        <w:t>]</w:t>
      </w:r>
    </w:p>
    <w:p w14:paraId="3DB64D0F" w14:textId="77777777" w:rsidR="00BE3682" w:rsidRPr="004676F5" w:rsidRDefault="00BE3682" w:rsidP="00BE3682">
      <w:pPr>
        <w:jc w:val="both"/>
        <w:rPr>
          <w:rFonts w:eastAsia="Calibri"/>
          <w:kern w:val="2"/>
          <w:lang w:val="de-DE" w:eastAsia="en-US"/>
          <w14:ligatures w14:val="standardContextual"/>
        </w:rPr>
      </w:pPr>
    </w:p>
    <w:p w14:paraId="15B70A33" w14:textId="33F33004" w:rsidR="00BE3682" w:rsidRPr="004676F5" w:rsidRDefault="008A1473" w:rsidP="00806B08">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br w:type="page"/>
      </w:r>
      <w:r w:rsidR="00BE3682" w:rsidRPr="004676F5">
        <w:rPr>
          <w:rFonts w:eastAsia="Calibri"/>
          <w:kern w:val="2"/>
          <w:szCs w:val="22"/>
          <w:lang w:val="de-DE" w:eastAsia="en-US"/>
          <w14:ligatures w14:val="standardContextual"/>
        </w:rPr>
        <w:lastRenderedPageBreak/>
        <w:t>KAPITEL 4 </w:t>
      </w:r>
      <w:r w:rsidR="005B7A5C" w:rsidRPr="004676F5">
        <w:rPr>
          <w:rFonts w:eastAsia="Calibri"/>
          <w:kern w:val="2"/>
          <w:szCs w:val="22"/>
          <w:lang w:val="de-DE" w:eastAsia="en-US"/>
          <w14:ligatures w14:val="standardContextual"/>
        </w:rPr>
        <w:t>- </w:t>
      </w:r>
      <w:r w:rsidR="00BE3682" w:rsidRPr="004676F5">
        <w:rPr>
          <w:rFonts w:eastAsia="Calibri"/>
          <w:i/>
          <w:kern w:val="2"/>
          <w:szCs w:val="22"/>
          <w:lang w:val="de-DE" w:eastAsia="en-US"/>
          <w14:ligatures w14:val="standardContextual"/>
        </w:rPr>
        <w:t>Verjährung</w:t>
      </w:r>
    </w:p>
    <w:p w14:paraId="2A0F0086" w14:textId="77777777" w:rsidR="00BE3682" w:rsidRPr="004676F5" w:rsidRDefault="00BE3682" w:rsidP="00BE3682">
      <w:pPr>
        <w:jc w:val="both"/>
        <w:rPr>
          <w:rFonts w:eastAsia="Calibri"/>
          <w:b/>
          <w:bCs/>
          <w:kern w:val="2"/>
          <w:lang w:val="de-DE" w:eastAsia="en-US"/>
          <w14:ligatures w14:val="standardContextual"/>
        </w:rPr>
      </w:pPr>
    </w:p>
    <w:p w14:paraId="3875C209" w14:textId="77777777" w:rsidR="008A1473" w:rsidRPr="004676F5" w:rsidRDefault="008A1473" w:rsidP="00BE3682">
      <w:pPr>
        <w:jc w:val="both"/>
        <w:rPr>
          <w:rFonts w:eastAsia="Calibri"/>
          <w:b/>
          <w:bCs/>
          <w:kern w:val="2"/>
          <w:lang w:val="de-DE" w:eastAsia="en-US"/>
          <w14:ligatures w14:val="standardContextual"/>
        </w:rPr>
      </w:pPr>
    </w:p>
    <w:p w14:paraId="1C93DEC9" w14:textId="0E62B47B"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IV.91</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Die in Artikel IV.39 erwähnte Untersuchung darf sich nur auf Fakten beziehen, die nicht länger als fünf Jahre ab dem Datum der Entscheidung des Generalauditors, eine Untersuchung von Amts wegen einzuleiten, oder ab dem Datum der Befassung des Generalauditors gemäß Artikel IV.39 zurückliegen.</w:t>
      </w:r>
    </w:p>
    <w:p w14:paraId="6FD69125" w14:textId="77777777" w:rsidR="00BE3682" w:rsidRPr="004676F5" w:rsidRDefault="00BE3682" w:rsidP="00BE3682">
      <w:pPr>
        <w:jc w:val="both"/>
        <w:rPr>
          <w:rFonts w:eastAsia="Calibri"/>
          <w:kern w:val="2"/>
          <w:lang w:val="de-DE" w:eastAsia="en-US"/>
          <w14:ligatures w14:val="standardContextual"/>
        </w:rPr>
      </w:pPr>
    </w:p>
    <w:p w14:paraId="158B2743"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Bei dauernden oder fortgesetzten Verstößen beginnt die fünfjährige Frist jedoch erst mit dem Tag der Beendigung des letzten Verstoßes.</w:t>
      </w:r>
    </w:p>
    <w:p w14:paraId="166E01B2" w14:textId="77777777" w:rsidR="00BE3682" w:rsidRPr="004676F5" w:rsidRDefault="00BE3682" w:rsidP="00BE3682">
      <w:pPr>
        <w:jc w:val="both"/>
        <w:rPr>
          <w:rFonts w:eastAsia="Calibri"/>
          <w:kern w:val="2"/>
          <w:lang w:val="de-DE" w:eastAsia="en-US"/>
          <w14:ligatures w14:val="standardContextual"/>
        </w:rPr>
      </w:pPr>
    </w:p>
    <w:p w14:paraId="1543C0AA" w14:textId="08DD7B13"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Die Verjährungsfrist in Bezug auf das Untersuchungs</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und Entscheidungsverfahren beträgt fünf Jahre ab dem Datum der Entscheidung des Generalauditors, eine Untersuchung von Amts wegen einzuleiten, oder ab dem Datum der Befassung des Generalauditors gemäß Artikel IV.39.</w:t>
      </w:r>
    </w:p>
    <w:p w14:paraId="6342F9AB" w14:textId="77777777" w:rsidR="00BE3682" w:rsidRPr="004676F5" w:rsidRDefault="00BE3682" w:rsidP="00BE3682">
      <w:pPr>
        <w:jc w:val="both"/>
        <w:rPr>
          <w:rFonts w:eastAsia="Calibri"/>
          <w:kern w:val="2"/>
          <w:lang w:val="de-DE" w:eastAsia="en-US"/>
          <w14:ligatures w14:val="standardContextual"/>
        </w:rPr>
      </w:pPr>
    </w:p>
    <w:p w14:paraId="1B71130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Bei dauernden oder fortgesetzten Verstößen, die nach dem in Absatz 1 erwähnten Datum andauern, beginnt diese Frist jedoch erst mit dem Tag der Beendigung des letzten Verstoßes.</w:t>
      </w:r>
    </w:p>
    <w:p w14:paraId="5BF2C6D5" w14:textId="77777777" w:rsidR="00BE3682" w:rsidRPr="004676F5" w:rsidRDefault="00BE3682" w:rsidP="00BE3682">
      <w:pPr>
        <w:jc w:val="both"/>
        <w:rPr>
          <w:rFonts w:eastAsia="Calibri"/>
          <w:kern w:val="2"/>
          <w:lang w:val="de-DE" w:eastAsia="en-US"/>
          <w14:ligatures w14:val="standardContextual"/>
        </w:rPr>
      </w:pPr>
    </w:p>
    <w:p w14:paraId="0BC2BF6F" w14:textId="7B665F1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Verjährung wird nur durch Untersuchungs</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oder Entscheidungshandlungen, die in der in Absatz 1 oder Absatz 2 bestimmten Frist vorgenommen werden, oder durch einen mit Gründen versehenen Antrag, der vom Kläger oder Antragsteller an den Präsidenten gerichtet wird, unterbrochen; mit diesen Handlungen beginnt eine neue Frist von fünf Jahren.</w:t>
      </w:r>
    </w:p>
    <w:p w14:paraId="4936C7EF" w14:textId="77777777" w:rsidR="00BE3682" w:rsidRPr="004676F5" w:rsidRDefault="00BE3682" w:rsidP="00BE3682">
      <w:pPr>
        <w:jc w:val="both"/>
        <w:rPr>
          <w:rFonts w:eastAsia="Calibri"/>
          <w:kern w:val="2"/>
          <w:lang w:val="de-DE" w:eastAsia="en-US"/>
          <w14:ligatures w14:val="standardContextual"/>
        </w:rPr>
      </w:pPr>
    </w:p>
    <w:p w14:paraId="55A10805" w14:textId="5F84CB50"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Verjährungsfrist in Bezug auf das Untersuchungs</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und Entscheidungsverfahren ruht, solange in der Sache ein Verfahren vor dem Märktegerichtshof oder dem Kassationshof anhängig ist.</w:t>
      </w:r>
    </w:p>
    <w:p w14:paraId="1DBD8CBF" w14:textId="77777777" w:rsidR="00BE3682" w:rsidRPr="004676F5" w:rsidRDefault="00BE3682" w:rsidP="00BE3682">
      <w:pPr>
        <w:jc w:val="both"/>
        <w:rPr>
          <w:rFonts w:eastAsia="Calibri"/>
          <w:kern w:val="2"/>
          <w:lang w:val="de-DE" w:eastAsia="en-US"/>
          <w14:ligatures w14:val="standardContextual"/>
        </w:rPr>
      </w:pPr>
    </w:p>
    <w:p w14:paraId="0BCD489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Die Verjährungsfrist in Bezug auf die Festsetzung von Geldbußen und Zwangsgeldern beträgt:</w:t>
      </w:r>
    </w:p>
    <w:p w14:paraId="5D659999" w14:textId="77777777" w:rsidR="00BE3682" w:rsidRPr="004676F5" w:rsidRDefault="00BE3682" w:rsidP="00BE3682">
      <w:pPr>
        <w:jc w:val="both"/>
        <w:rPr>
          <w:rFonts w:eastAsia="Calibri"/>
          <w:kern w:val="2"/>
          <w:lang w:val="de-DE" w:eastAsia="en-US"/>
          <w14:ligatures w14:val="standardContextual"/>
        </w:rPr>
      </w:pPr>
    </w:p>
    <w:p w14:paraId="1DC261E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drei Jahre bei Verstößen gegen Vorschriften über die Einholung von Auskünften oder die Vornahme von Durchsuchungen,</w:t>
      </w:r>
    </w:p>
    <w:p w14:paraId="45324377" w14:textId="77777777" w:rsidR="00BE3682" w:rsidRPr="004676F5" w:rsidRDefault="00BE3682" w:rsidP="00BE3682">
      <w:pPr>
        <w:jc w:val="both"/>
        <w:rPr>
          <w:rFonts w:eastAsia="Calibri"/>
          <w:kern w:val="2"/>
          <w:lang w:val="de-DE" w:eastAsia="en-US"/>
          <w14:ligatures w14:val="standardContextual"/>
        </w:rPr>
      </w:pPr>
    </w:p>
    <w:p w14:paraId="34530BB1"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fünf Jahre bei den übrigen Verstößen.</w:t>
      </w:r>
    </w:p>
    <w:p w14:paraId="70F44882" w14:textId="77777777" w:rsidR="00BE3682" w:rsidRPr="004676F5" w:rsidRDefault="00BE3682" w:rsidP="00BE3682">
      <w:pPr>
        <w:jc w:val="both"/>
        <w:rPr>
          <w:rFonts w:eastAsia="Calibri"/>
          <w:kern w:val="2"/>
          <w:lang w:val="de-DE" w:eastAsia="en-US"/>
          <w14:ligatures w14:val="standardContextual"/>
        </w:rPr>
      </w:pPr>
    </w:p>
    <w:p w14:paraId="668EA0C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Verjährungsfrist beginnt mit dem Tag, an dem der Verstoß begangen worden ist. Bei dauernden oder fortgesetzten Verstößen beginnt diese Frist jedoch erst mit dem Tag der Beendigung des letzten Verstoßes.</w:t>
      </w:r>
    </w:p>
    <w:p w14:paraId="08BBE92A" w14:textId="77777777" w:rsidR="00BE3682" w:rsidRPr="004676F5" w:rsidRDefault="00BE3682" w:rsidP="00BE3682">
      <w:pPr>
        <w:jc w:val="both"/>
        <w:rPr>
          <w:rFonts w:eastAsia="Calibri"/>
          <w:kern w:val="2"/>
          <w:lang w:val="de-DE" w:eastAsia="en-US"/>
          <w14:ligatures w14:val="standardContextual"/>
        </w:rPr>
      </w:pPr>
    </w:p>
    <w:p w14:paraId="2BEC9A12" w14:textId="261AB70B"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r>
      <w:r w:rsidR="00806B08" w:rsidRPr="004676F5">
        <w:rPr>
          <w:rFonts w:eastAsia="Calibri"/>
          <w:kern w:val="2"/>
          <w:szCs w:val="22"/>
          <w:lang w:val="de-DE" w:eastAsia="en-US"/>
          <w14:ligatures w14:val="standardContextual"/>
        </w:rPr>
        <w:t>[</w:t>
      </w:r>
      <w:r w:rsidR="00806B08" w:rsidRPr="004676F5">
        <w:rPr>
          <w:lang w:val="de-DE"/>
        </w:rPr>
        <w:t>Die Verjährungsfrist in Bezug auf die Festsetzung von Geldbußen oder Zwangsgeldern wird nur durch Untersuchungs</w:t>
      </w:r>
      <w:r w:rsidR="005B7A5C" w:rsidRPr="004676F5">
        <w:rPr>
          <w:lang w:val="de-DE"/>
        </w:rPr>
        <w:t>- </w:t>
      </w:r>
      <w:r w:rsidR="00806B08" w:rsidRPr="004676F5">
        <w:rPr>
          <w:lang w:val="de-DE"/>
        </w:rPr>
        <w:t>oder Entscheidungshandlungen der Belgischen Wettbewerbsbehörde oder, was die Anwendung der Artikel 101 und 102 AEUV betrifft, der Europäischen Kommission oder einer nationalen Wettbewerbsbehörde zur Untersuchung oder Verfolgung einer Zuwiderhandlung in Bezug auf dieselbe Absprache, dieselbe Entscheidung einer Unternehmensvereinigung, dieselbe abgestimmte Verhaltensweise oder ein anderes durch die Artikel 101 oder 102 AEUV verbotenes Verhalten unterbrochen.</w:t>
      </w:r>
      <w:r w:rsidR="00806B08" w:rsidRPr="004676F5">
        <w:rPr>
          <w:rFonts w:eastAsia="Calibri"/>
          <w:kern w:val="2"/>
          <w:szCs w:val="22"/>
          <w:lang w:val="de-DE" w:eastAsia="en-US"/>
          <w14:ligatures w14:val="standardContextual"/>
        </w:rPr>
        <w:t>]</w:t>
      </w:r>
    </w:p>
    <w:p w14:paraId="5699ACB0" w14:textId="6082C536" w:rsidR="00806B08" w:rsidRPr="004676F5" w:rsidRDefault="00806B08"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r>
    </w:p>
    <w:p w14:paraId="5DF34DC4" w14:textId="1B50B12C" w:rsidR="00806B08" w:rsidRPr="004676F5" w:rsidRDefault="00806B08"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t>
      </w:r>
      <w:r w:rsidRPr="004676F5">
        <w:rPr>
          <w:lang w:val="de-DE"/>
        </w:rPr>
        <w:t>Die Unterbrechung der Verjährung tritt mit dem Tag ein, an dem die Handlung mindestens einem Unternehmen oder einer Unternehmensvereinigung bekannt gegeben wird, die an dem Verstoß beteiligt sind.</w:t>
      </w:r>
      <w:r w:rsidRPr="004676F5">
        <w:rPr>
          <w:rFonts w:eastAsia="Calibri"/>
          <w:kern w:val="2"/>
          <w:szCs w:val="22"/>
          <w:lang w:val="de-DE" w:eastAsia="en-US"/>
          <w14:ligatures w14:val="standardContextual"/>
        </w:rPr>
        <w:t>]</w:t>
      </w:r>
    </w:p>
    <w:p w14:paraId="2EDF65A7" w14:textId="77777777" w:rsidR="00BE3682" w:rsidRPr="004676F5" w:rsidRDefault="00BE3682" w:rsidP="00BE3682">
      <w:pPr>
        <w:jc w:val="both"/>
        <w:rPr>
          <w:rFonts w:eastAsia="Calibri"/>
          <w:kern w:val="2"/>
          <w:lang w:val="de-DE" w:eastAsia="en-US"/>
          <w14:ligatures w14:val="standardContextual"/>
        </w:rPr>
      </w:pPr>
    </w:p>
    <w:p w14:paraId="4B4B8B9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Als verjährungsunterbrechende Handlungen gelten unter anderem:</w:t>
      </w:r>
    </w:p>
    <w:p w14:paraId="2C36E41E" w14:textId="77777777" w:rsidR="00BE3682" w:rsidRPr="004676F5" w:rsidRDefault="00BE3682" w:rsidP="00BE3682">
      <w:pPr>
        <w:jc w:val="both"/>
        <w:rPr>
          <w:rFonts w:eastAsia="Calibri"/>
          <w:kern w:val="2"/>
          <w:lang w:val="de-DE" w:eastAsia="en-US"/>
          <w14:ligatures w14:val="standardContextual"/>
        </w:rPr>
      </w:pPr>
    </w:p>
    <w:p w14:paraId="50DA189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schriftliche Auskunftsersuchen,</w:t>
      </w:r>
    </w:p>
    <w:p w14:paraId="59EDE31F" w14:textId="77777777" w:rsidR="00BE3682" w:rsidRPr="004676F5" w:rsidRDefault="00BE3682" w:rsidP="00BE3682">
      <w:pPr>
        <w:jc w:val="both"/>
        <w:rPr>
          <w:rFonts w:eastAsia="Calibri"/>
          <w:kern w:val="2"/>
          <w:lang w:val="de-DE" w:eastAsia="en-US"/>
          <w14:ligatures w14:val="standardContextual"/>
        </w:rPr>
      </w:pPr>
    </w:p>
    <w:p w14:paraId="162EF1A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schriftliche Durchsuchungsbefehle,</w:t>
      </w:r>
    </w:p>
    <w:p w14:paraId="21FA7CC0" w14:textId="77777777" w:rsidR="00BE3682" w:rsidRPr="004676F5" w:rsidRDefault="00BE3682" w:rsidP="00BE3682">
      <w:pPr>
        <w:jc w:val="both"/>
        <w:rPr>
          <w:rFonts w:eastAsia="Calibri"/>
          <w:kern w:val="2"/>
          <w:lang w:val="de-DE" w:eastAsia="en-US"/>
          <w14:ligatures w14:val="standardContextual"/>
        </w:rPr>
      </w:pPr>
    </w:p>
    <w:p w14:paraId="219091B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die Einleitung eines Verfahrens,</w:t>
      </w:r>
    </w:p>
    <w:p w14:paraId="4233DE25" w14:textId="77777777" w:rsidR="00BE3682" w:rsidRPr="004676F5" w:rsidRDefault="00BE3682" w:rsidP="00BE3682">
      <w:pPr>
        <w:jc w:val="both"/>
        <w:rPr>
          <w:rFonts w:eastAsia="Calibri"/>
          <w:kern w:val="2"/>
          <w:lang w:val="de-DE" w:eastAsia="en-US"/>
          <w14:ligatures w14:val="standardContextual"/>
        </w:rPr>
      </w:pPr>
    </w:p>
    <w:p w14:paraId="5ADE0D2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4. die Mitteilung der Beschwerdegründe und die Hinterlegung des Entscheidungs</w:t>
      </w:r>
      <w:r w:rsidRPr="004676F5">
        <w:rPr>
          <w:rFonts w:eastAsia="Calibri"/>
          <w:kern w:val="2"/>
          <w:szCs w:val="22"/>
          <w:lang w:val="de-DE" w:eastAsia="en-US"/>
          <w14:ligatures w14:val="standardContextual"/>
        </w:rPr>
        <w:softHyphen/>
        <w:t>vorschlags,</w:t>
      </w:r>
    </w:p>
    <w:p w14:paraId="13AB7799" w14:textId="77777777" w:rsidR="00BE3682" w:rsidRPr="004676F5" w:rsidRDefault="00BE3682" w:rsidP="00BE3682">
      <w:pPr>
        <w:jc w:val="both"/>
        <w:rPr>
          <w:rFonts w:eastAsia="Calibri"/>
          <w:kern w:val="2"/>
          <w:lang w:val="de-DE" w:eastAsia="en-US"/>
          <w14:ligatures w14:val="standardContextual"/>
        </w:rPr>
      </w:pPr>
    </w:p>
    <w:p w14:paraId="3417E7A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5. die Eröffnung eines Vergleichsverfahrens.</w:t>
      </w:r>
    </w:p>
    <w:p w14:paraId="141F8914" w14:textId="77777777" w:rsidR="00BE3682" w:rsidRPr="004676F5" w:rsidRDefault="00BE3682" w:rsidP="00BE3682">
      <w:pPr>
        <w:jc w:val="both"/>
        <w:rPr>
          <w:rFonts w:eastAsia="Calibri"/>
          <w:kern w:val="2"/>
          <w:lang w:val="de-DE" w:eastAsia="en-US"/>
          <w14:ligatures w14:val="standardContextual"/>
        </w:rPr>
      </w:pPr>
    </w:p>
    <w:p w14:paraId="18DA84B5"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Unterbrechung wirkt gegenüber allen an dem Verstoß beteiligten Unternehmen und Unternehmensvereinigungen.</w:t>
      </w:r>
    </w:p>
    <w:p w14:paraId="1221CF53" w14:textId="77777777" w:rsidR="00BE3682" w:rsidRPr="004676F5" w:rsidRDefault="00BE3682" w:rsidP="00BE3682">
      <w:pPr>
        <w:jc w:val="both"/>
        <w:rPr>
          <w:rFonts w:eastAsia="Calibri"/>
          <w:kern w:val="2"/>
          <w:lang w:val="de-DE" w:eastAsia="en-US"/>
          <w14:ligatures w14:val="standardContextual"/>
        </w:rPr>
      </w:pPr>
    </w:p>
    <w:p w14:paraId="361B6624" w14:textId="2B80C7C3"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 xml:space="preserve">Nach jeder Unterbrechung beginnt eine neue Verjährungsfrist. </w:t>
      </w:r>
      <w:r w:rsidR="00806B08" w:rsidRPr="004676F5">
        <w:rPr>
          <w:rFonts w:eastAsia="Calibri"/>
          <w:kern w:val="2"/>
          <w:szCs w:val="22"/>
          <w:lang w:val="de-DE" w:eastAsia="en-US"/>
          <w14:ligatures w14:val="standardContextual"/>
        </w:rPr>
        <w:t>[...]</w:t>
      </w:r>
    </w:p>
    <w:p w14:paraId="6B2E58E0" w14:textId="77777777" w:rsidR="00806B08" w:rsidRPr="004676F5" w:rsidRDefault="00806B08" w:rsidP="00BE3682">
      <w:pPr>
        <w:jc w:val="both"/>
        <w:rPr>
          <w:rFonts w:eastAsia="Calibri"/>
          <w:kern w:val="2"/>
          <w:szCs w:val="22"/>
          <w:lang w:val="de-DE" w:eastAsia="en-US"/>
          <w14:ligatures w14:val="standardContextual"/>
        </w:rPr>
      </w:pPr>
    </w:p>
    <w:p w14:paraId="65DE5EC3" w14:textId="17DCC123" w:rsidR="00806B08" w:rsidRPr="004676F5" w:rsidRDefault="00806B08"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t>
      </w:r>
      <w:r w:rsidRPr="004676F5">
        <w:rPr>
          <w:lang w:val="de-DE"/>
        </w:rPr>
        <w:t>Die Unterbrechung endet jedoch an dem Tag, an dem die Wettbewerbsbehörde ihr Verfahren durch Erlass einer Entscheidung oder in anderer Weise abschließt. Außerdem tritt die Verjährung spätestens mit dem Tag ein, an dem die doppelte Verjährungsfrist verstrichen ist, ohne dass das Wettbewerbskollegium eine Geldbuße oder ein Zwangsgeld festgesetzt hat. Diese Frist verlängert sich um den Zeitraum, in dem die Verjährung gemäß Absatz 9 ruht.</w:t>
      </w:r>
      <w:r w:rsidRPr="004676F5">
        <w:rPr>
          <w:rFonts w:eastAsia="Calibri"/>
          <w:kern w:val="2"/>
          <w:szCs w:val="22"/>
          <w:lang w:val="de-DE" w:eastAsia="en-US"/>
          <w14:ligatures w14:val="standardContextual"/>
        </w:rPr>
        <w:t>]</w:t>
      </w:r>
    </w:p>
    <w:p w14:paraId="542A3564" w14:textId="77777777" w:rsidR="00BE3682" w:rsidRPr="004676F5" w:rsidRDefault="00BE3682" w:rsidP="00BE3682">
      <w:pPr>
        <w:jc w:val="both"/>
        <w:rPr>
          <w:rFonts w:eastAsia="Calibri"/>
          <w:kern w:val="2"/>
          <w:lang w:val="de-DE" w:eastAsia="en-US"/>
          <w14:ligatures w14:val="standardContextual"/>
        </w:rPr>
      </w:pPr>
    </w:p>
    <w:p w14:paraId="724F0DA6"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Verjährungsfrist in Bezug auf die Festsetzung von Geldbußen oder Zwangsgeldern ruht, solange in der Sache ein Verfahren vor dem Märktegerichtshof oder dem Kassationshof anhängig ist.</w:t>
      </w:r>
    </w:p>
    <w:p w14:paraId="5DCB8EB7" w14:textId="77777777" w:rsidR="00BE3682" w:rsidRPr="004676F5" w:rsidRDefault="00BE3682" w:rsidP="00BE3682">
      <w:pPr>
        <w:jc w:val="both"/>
        <w:rPr>
          <w:rFonts w:eastAsia="Calibri"/>
          <w:kern w:val="2"/>
          <w:lang w:val="de-DE" w:eastAsia="en-US"/>
          <w14:ligatures w14:val="standardContextual"/>
        </w:rPr>
      </w:pPr>
    </w:p>
    <w:p w14:paraId="652EF498" w14:textId="3EB10B58"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4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Die Befugnis zur Vollstreckung der Entscheidungen in Bezug auf die Festsetzung von Geldbußen oder Zwangsgeldern verjährt in fünf Jahren.</w:t>
      </w:r>
    </w:p>
    <w:p w14:paraId="556A5D8F" w14:textId="77777777" w:rsidR="00BE3682" w:rsidRPr="004676F5" w:rsidRDefault="00BE3682" w:rsidP="00BE3682">
      <w:pPr>
        <w:jc w:val="both"/>
        <w:rPr>
          <w:rFonts w:eastAsia="Calibri"/>
          <w:kern w:val="2"/>
          <w:lang w:val="de-DE" w:eastAsia="en-US"/>
          <w14:ligatures w14:val="standardContextual"/>
        </w:rPr>
      </w:pPr>
    </w:p>
    <w:p w14:paraId="6C9417D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Verjährungsfrist beginnt mit dem Tag der Endentscheidung.</w:t>
      </w:r>
    </w:p>
    <w:p w14:paraId="08631AE7" w14:textId="77777777" w:rsidR="00BE3682" w:rsidRPr="004676F5" w:rsidRDefault="00BE3682" w:rsidP="00BE3682">
      <w:pPr>
        <w:jc w:val="both"/>
        <w:rPr>
          <w:rFonts w:eastAsia="Calibri"/>
          <w:kern w:val="2"/>
          <w:lang w:val="de-DE" w:eastAsia="en-US"/>
          <w14:ligatures w14:val="standardContextual"/>
        </w:rPr>
      </w:pPr>
    </w:p>
    <w:p w14:paraId="5D0BBF3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Verjährung der Vollstreckung von Geldbußen oder Zwangsgeldern wird unterbrochen:</w:t>
      </w:r>
    </w:p>
    <w:p w14:paraId="26B2D29B" w14:textId="77777777" w:rsidR="00BE3682" w:rsidRPr="004676F5" w:rsidRDefault="00BE3682" w:rsidP="00BE3682">
      <w:pPr>
        <w:jc w:val="both"/>
        <w:rPr>
          <w:rFonts w:eastAsia="Calibri"/>
          <w:kern w:val="2"/>
          <w:lang w:val="de-DE" w:eastAsia="en-US"/>
          <w14:ligatures w14:val="standardContextual"/>
        </w:rPr>
      </w:pPr>
    </w:p>
    <w:p w14:paraId="35465E4C"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durch die Bekanntgabe einer Entscheidung, durch die der ursprüngliche Betrag der Geldbuße oder des Zwangsgelds geändert oder ein Antrag auf eine solche Änderung abgelehnt wird,</w:t>
      </w:r>
    </w:p>
    <w:p w14:paraId="679C6937" w14:textId="77777777" w:rsidR="00BE3682" w:rsidRPr="004676F5" w:rsidRDefault="00BE3682" w:rsidP="00BE3682">
      <w:pPr>
        <w:jc w:val="both"/>
        <w:rPr>
          <w:rFonts w:eastAsia="Calibri"/>
          <w:kern w:val="2"/>
          <w:lang w:val="de-DE" w:eastAsia="en-US"/>
          <w14:ligatures w14:val="standardContextual"/>
        </w:rPr>
      </w:pPr>
    </w:p>
    <w:p w14:paraId="767D5A7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durch jede auf Beitreibung der Geldbuße oder des Zwangsgelds gerichtete Handlung eines zuständigen Organs oder eines Mitgliedstaats auf Antrag des zuständigen Organs.</w:t>
      </w:r>
    </w:p>
    <w:p w14:paraId="420562C0" w14:textId="77777777" w:rsidR="00BE3682" w:rsidRPr="004676F5" w:rsidRDefault="00BE3682" w:rsidP="00BE3682">
      <w:pPr>
        <w:jc w:val="both"/>
        <w:rPr>
          <w:rFonts w:eastAsia="Calibri"/>
          <w:kern w:val="2"/>
          <w:lang w:val="de-DE" w:eastAsia="en-US"/>
          <w14:ligatures w14:val="standardContextual"/>
        </w:rPr>
      </w:pPr>
    </w:p>
    <w:p w14:paraId="63AA249B"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Nach jeder Unterbrechung beginnt eine neue Verjährungsfrist.</w:t>
      </w:r>
    </w:p>
    <w:p w14:paraId="114B4BBE" w14:textId="77777777" w:rsidR="00BE3682" w:rsidRPr="004676F5" w:rsidRDefault="00BE3682" w:rsidP="00BE3682">
      <w:pPr>
        <w:jc w:val="both"/>
        <w:rPr>
          <w:rFonts w:eastAsia="Calibri"/>
          <w:kern w:val="2"/>
          <w:lang w:val="de-DE" w:eastAsia="en-US"/>
          <w14:ligatures w14:val="standardContextual"/>
        </w:rPr>
      </w:pPr>
    </w:p>
    <w:p w14:paraId="10A56E0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Die Verjährung der Vollstreckung von Geldbußen oder Zwangsgeldern ruht:</w:t>
      </w:r>
    </w:p>
    <w:p w14:paraId="357B9AC7" w14:textId="77777777" w:rsidR="00BE3682" w:rsidRPr="004676F5" w:rsidRDefault="00BE3682" w:rsidP="00BE3682">
      <w:pPr>
        <w:jc w:val="both"/>
        <w:rPr>
          <w:rFonts w:eastAsia="Calibri"/>
          <w:kern w:val="2"/>
          <w:lang w:val="de-DE" w:eastAsia="en-US"/>
          <w14:ligatures w14:val="standardContextual"/>
        </w:rPr>
      </w:pPr>
    </w:p>
    <w:p w14:paraId="61ED84A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solange ein Zahlungsaufschub bewilligt ist,</w:t>
      </w:r>
    </w:p>
    <w:p w14:paraId="7006FBFE" w14:textId="77777777" w:rsidR="00BE3682" w:rsidRPr="004676F5" w:rsidRDefault="00BE3682" w:rsidP="00BE3682">
      <w:pPr>
        <w:jc w:val="both"/>
        <w:rPr>
          <w:rFonts w:eastAsia="Calibri"/>
          <w:kern w:val="2"/>
          <w:lang w:val="de-DE" w:eastAsia="en-US"/>
          <w14:ligatures w14:val="standardContextual"/>
        </w:rPr>
      </w:pPr>
    </w:p>
    <w:p w14:paraId="56FE2CBE"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ab/>
        <w:t>2. solange die Zwangsvollstreckung der Zahlung durch eine Entscheidung des Märktegerichtshofes ausgesetzt ist.</w:t>
      </w:r>
    </w:p>
    <w:p w14:paraId="70075D65" w14:textId="77777777" w:rsidR="00BE3682" w:rsidRPr="004676F5" w:rsidRDefault="00BE3682" w:rsidP="00BE3682">
      <w:pPr>
        <w:jc w:val="both"/>
        <w:rPr>
          <w:rFonts w:eastAsia="Calibri"/>
          <w:kern w:val="2"/>
          <w:lang w:val="de-DE" w:eastAsia="en-US"/>
          <w14:ligatures w14:val="standardContextual"/>
        </w:rPr>
      </w:pPr>
    </w:p>
    <w:p w14:paraId="1212161A" w14:textId="7A8520B9" w:rsidR="00806B08" w:rsidRPr="004676F5" w:rsidRDefault="00806B08" w:rsidP="00BE3682">
      <w:pPr>
        <w:jc w:val="both"/>
        <w:rPr>
          <w:rFonts w:eastAsia="Calibri"/>
          <w:i/>
          <w:iCs/>
          <w:kern w:val="2"/>
          <w:lang w:val="de-DE" w:eastAsia="en-US"/>
          <w14:ligatures w14:val="standardContextual"/>
        </w:rPr>
      </w:pPr>
      <w:r w:rsidRPr="004676F5">
        <w:rPr>
          <w:rFonts w:eastAsia="Calibri"/>
          <w:i/>
          <w:iCs/>
          <w:kern w:val="2"/>
          <w:lang w:val="de-DE" w:eastAsia="en-US"/>
          <w14:ligatures w14:val="standardContextual"/>
        </w:rPr>
        <w:t xml:space="preserve">[Art. IV.91 § 3 Abs. 3 ersetzt durch Art. 74 Nr. 1 des G. vom 28. Februar 2022 (B.S. vom 7. März 2022); § 3 neuer Absatz 4 eingefügt durch Art. 74 Nr. 2 des G. vom 28. Februar 2022 (B.S. vom 7. März 2022); </w:t>
      </w:r>
      <w:r w:rsidR="009C4D11" w:rsidRPr="004676F5">
        <w:rPr>
          <w:rFonts w:eastAsia="Calibri"/>
          <w:i/>
          <w:iCs/>
          <w:kern w:val="2"/>
          <w:lang w:val="de-DE" w:eastAsia="en-US"/>
          <w14:ligatures w14:val="standardContextual"/>
        </w:rPr>
        <w:t>§ 3 Abs. 7 abgeändert durch Art. 74 Nr. 3 des G. vom 28. Februar 2022 (B.S. vom 7. März 2022); § 3 neuer Absatz 8 eingefügt durch Art. 74 Nr. 4 des G. vom 28. Februar 2022 (B.S. vom 7. März 2022)]</w:t>
      </w:r>
    </w:p>
    <w:p w14:paraId="0CA066AD" w14:textId="4DDD44D2" w:rsidR="008A1473" w:rsidRPr="004676F5" w:rsidRDefault="008A1473">
      <w:pPr>
        <w:rPr>
          <w:rFonts w:eastAsia="Calibri"/>
          <w:kern w:val="2"/>
          <w:szCs w:val="22"/>
          <w:lang w:val="de-DE" w:eastAsia="en-US"/>
          <w14:ligatures w14:val="standardContextual"/>
        </w:rPr>
      </w:pPr>
    </w:p>
    <w:p w14:paraId="487C8F34" w14:textId="77777777" w:rsidR="00806B08" w:rsidRPr="004676F5" w:rsidRDefault="00806B08">
      <w:pPr>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br w:type="page"/>
      </w:r>
    </w:p>
    <w:p w14:paraId="6596ECDE" w14:textId="72D8AD39" w:rsidR="00BE3682" w:rsidRPr="004676F5" w:rsidRDefault="00BE3682" w:rsidP="00BE3682">
      <w:pPr>
        <w:jc w:val="center"/>
        <w:rPr>
          <w:rFonts w:eastAsia="Calibri"/>
          <w:i/>
          <w:iCs/>
          <w:kern w:val="2"/>
          <w:lang w:val="de-DE" w:eastAsia="en-US"/>
          <w14:ligatures w14:val="standardContextual"/>
        </w:rPr>
      </w:pPr>
      <w:r w:rsidRPr="004676F5">
        <w:rPr>
          <w:rFonts w:eastAsia="Calibri"/>
          <w:kern w:val="2"/>
          <w:szCs w:val="22"/>
          <w:lang w:val="de-DE" w:eastAsia="en-US"/>
          <w14:ligatures w14:val="standardContextual"/>
        </w:rPr>
        <w:lastRenderedPageBreak/>
        <w:t>KAPITEL 5 </w:t>
      </w:r>
      <w:r w:rsidR="005B7A5C" w:rsidRPr="004676F5">
        <w:rPr>
          <w:rFonts w:eastAsia="Calibri"/>
          <w:kern w:val="2"/>
          <w:szCs w:val="22"/>
          <w:lang w:val="de-DE" w:eastAsia="en-US"/>
          <w14:ligatures w14:val="standardContextual"/>
        </w:rPr>
        <w:t>- </w:t>
      </w:r>
      <w:r w:rsidRPr="004676F5">
        <w:rPr>
          <w:rFonts w:eastAsia="Calibri"/>
          <w:i/>
          <w:kern w:val="2"/>
          <w:szCs w:val="22"/>
          <w:lang w:val="de-DE" w:eastAsia="en-US"/>
          <w14:ligatures w14:val="standardContextual"/>
        </w:rPr>
        <w:t>Sprachengebrauch</w:t>
      </w:r>
    </w:p>
    <w:p w14:paraId="6A09E02E" w14:textId="77777777" w:rsidR="00BE3682" w:rsidRPr="004676F5" w:rsidRDefault="00BE3682" w:rsidP="00BE3682">
      <w:pPr>
        <w:jc w:val="both"/>
        <w:rPr>
          <w:rFonts w:eastAsia="Calibri"/>
          <w:kern w:val="2"/>
          <w:lang w:val="de-DE" w:eastAsia="en-US"/>
          <w14:ligatures w14:val="standardContextual"/>
        </w:rPr>
      </w:pPr>
    </w:p>
    <w:p w14:paraId="23FFADBD" w14:textId="77777777" w:rsidR="008A1473" w:rsidRPr="004676F5" w:rsidRDefault="008A1473" w:rsidP="00BE3682">
      <w:pPr>
        <w:jc w:val="both"/>
        <w:rPr>
          <w:rFonts w:eastAsia="Calibri"/>
          <w:kern w:val="2"/>
          <w:lang w:val="de-DE" w:eastAsia="en-US"/>
          <w14:ligatures w14:val="standardContextual"/>
        </w:rPr>
      </w:pPr>
    </w:p>
    <w:p w14:paraId="17EA3542" w14:textId="5AD65949"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IV.92</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 1 ­ Unbeschadet des Paragraphen 3 wird die Untersuchung geführt und in der Sache entschieden in der Sprache des Sprachgebietes, in dem das Unternehmen oder die Unternehmensvereinigung, das/die Gegenstand der Untersuchung ist, seinen/ihren Sitz oder, im Falle eines ausländischen Unternehmens oder einer ausländischen Unternehmensvereinigung, eine Niederlassung hat.</w:t>
      </w:r>
    </w:p>
    <w:p w14:paraId="0F09D1B6" w14:textId="77777777" w:rsidR="00BE3682" w:rsidRPr="004676F5" w:rsidRDefault="00BE3682" w:rsidP="00BE3682">
      <w:pPr>
        <w:jc w:val="both"/>
        <w:rPr>
          <w:rFonts w:eastAsia="Calibri"/>
          <w:kern w:val="2"/>
          <w:lang w:val="de-DE" w:eastAsia="en-US"/>
          <w14:ligatures w14:val="standardContextual"/>
        </w:rPr>
      </w:pPr>
    </w:p>
    <w:p w14:paraId="06BEF775" w14:textId="77777777" w:rsidR="00BE3682" w:rsidRPr="00CA6435" w:rsidRDefault="00BE3682" w:rsidP="00BE3682">
      <w:pPr>
        <w:jc w:val="both"/>
        <w:rPr>
          <w:rFonts w:eastAsia="Calibri"/>
          <w:spacing w:val="-6"/>
          <w:kern w:val="2"/>
          <w:lang w:val="de-DE" w:eastAsia="en-US"/>
          <w14:ligatures w14:val="standardContextual"/>
        </w:rPr>
      </w:pPr>
      <w:r w:rsidRPr="004676F5">
        <w:rPr>
          <w:rFonts w:eastAsia="Calibri"/>
          <w:kern w:val="2"/>
          <w:szCs w:val="22"/>
          <w:lang w:val="de-DE" w:eastAsia="en-US"/>
          <w14:ligatures w14:val="standardContextual"/>
        </w:rPr>
        <w:tab/>
      </w:r>
      <w:r w:rsidRPr="00CA6435">
        <w:rPr>
          <w:rFonts w:eastAsia="Calibri"/>
          <w:spacing w:val="-6"/>
          <w:kern w:val="2"/>
          <w:szCs w:val="22"/>
          <w:lang w:val="de-DE" w:eastAsia="en-US"/>
          <w14:ligatures w14:val="standardContextual"/>
        </w:rPr>
        <w:t>Wenn das Unternehmen oder die Unternehmensvereinigung im zweisprachigen Gebiet Brüssel-Hauptstadt ansässig ist oder keine Niederlassung in Belgien hat, wird die Sprache, Französisch oder Niederländisch, vom Auditor gewählt. Das Unternehmen oder die Unternehmensvereinigung hat jedoch das Recht zu verlangen, dass die Untersuchung geführt und in der Sache entschieden wird in der anderen Sprache. Zur Vermeidung der Unzulässigkeit wird der Antrag auf Änderung der Sprache spätestens zehn Werktage nach dem ersten Tag der Durchsuchung oder, wenn es keine Durchsuchung gibt, zehn Werktage nach Eingang des ersten Auskunftsersuchens schriftlich beim Auditor eingereicht. Die Änderung der Sprache gilt nur für die Zukunft.</w:t>
      </w:r>
    </w:p>
    <w:p w14:paraId="6727E9CA" w14:textId="77777777" w:rsidR="00BE3682" w:rsidRPr="004676F5" w:rsidRDefault="00BE3682" w:rsidP="00BE3682">
      <w:pPr>
        <w:jc w:val="both"/>
        <w:rPr>
          <w:rFonts w:eastAsia="Calibri"/>
          <w:kern w:val="2"/>
          <w:lang w:val="de-DE" w:eastAsia="en-US"/>
          <w14:ligatures w14:val="standardContextual"/>
        </w:rPr>
      </w:pPr>
    </w:p>
    <w:p w14:paraId="0140E39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Sind mehrere Unternehmen und Unternehmensvereinigungen Gegenstand der Untersuchung, so wird bei deren Eröffnung die Sprache des Sprachgebietes verwendet, in dem die Mehrheit dieser Unternehmen und Unternehmensvereinigungen ihren Sitz oder ihre Niederlassung hat. Für Unternehmen und Unternehmensvereinigungen, die ihren Sitz im zweisprachigen Gebiet Brüssel-Hauptstadt haben oder keine Niederlassung haben, wird die für die Bestimmung dieser Mehrheit berücksichtigte Sprache gemäß Absatz 2 festgelegt. Bei Parität wird nach Wahl des Auditors Französisch oder Niederländisch verwendet.</w:t>
      </w:r>
    </w:p>
    <w:p w14:paraId="3168FA31" w14:textId="77777777" w:rsidR="00BE3682" w:rsidRPr="004676F5" w:rsidRDefault="00BE3682" w:rsidP="00BE3682">
      <w:pPr>
        <w:jc w:val="both"/>
        <w:rPr>
          <w:rFonts w:eastAsia="Calibri"/>
          <w:kern w:val="2"/>
          <w:lang w:val="de-DE" w:eastAsia="en-US"/>
          <w14:ligatures w14:val="standardContextual"/>
        </w:rPr>
      </w:pPr>
    </w:p>
    <w:p w14:paraId="235302D2" w14:textId="74CFD1AD"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2 ­ Unbeschadet des Paragraphen 3 werden alle Schriftstücke, schriftlichen Anmerkungen, Unterlagen und Entscheidungen, die im Rahmen des Untersuchungs</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und Entscheidungsverfahrens von dem Auditor, dem Generalauditor, dem Wettbewerbskollegium, den betroffenen Parteien, den anmeldenden Parteien und den vom Wettbewerbskollegium angehörten Dritten verfasst werden, in der gemäß § 1 festgelegten Sprache aufgesetzt.</w:t>
      </w:r>
    </w:p>
    <w:p w14:paraId="429FE92D" w14:textId="77777777" w:rsidR="00BE3682" w:rsidRPr="004676F5" w:rsidRDefault="00BE3682" w:rsidP="00BE3682">
      <w:pPr>
        <w:jc w:val="both"/>
        <w:rPr>
          <w:rFonts w:eastAsia="Calibri"/>
          <w:kern w:val="2"/>
          <w:lang w:val="de-DE" w:eastAsia="en-US"/>
          <w14:ligatures w14:val="standardContextual"/>
        </w:rPr>
      </w:pPr>
    </w:p>
    <w:p w14:paraId="0BC12BF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3 ­ Für den Sprachengebrauch gelten folgende besondere Regeln:</w:t>
      </w:r>
    </w:p>
    <w:p w14:paraId="0CC179C1" w14:textId="77777777" w:rsidR="00BE3682" w:rsidRPr="004676F5" w:rsidRDefault="00BE3682" w:rsidP="00BE3682">
      <w:pPr>
        <w:jc w:val="both"/>
        <w:rPr>
          <w:rFonts w:eastAsia="Calibri"/>
          <w:kern w:val="2"/>
          <w:lang w:val="de-DE" w:eastAsia="en-US"/>
          <w14:ligatures w14:val="standardContextual"/>
        </w:rPr>
      </w:pPr>
    </w:p>
    <w:p w14:paraId="7568A9B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1. Natürliche Personen werden befragt und verwenden für alle ihre mündlichen und schriftlichen Erklärungen und schriftlichen Anmerkungen Deutsch, Französisch oder Niederländisch, je nach ihrer Wahl, oder eine Sprache, deren Gebrauch während der Untersuchung beziehungsweise dem Verfahren vor dem Wettbewerbskollegium der Auditor oder der Präsident des Wettbewerbskollegiums ihnen erlaubt.</w:t>
      </w:r>
    </w:p>
    <w:p w14:paraId="4B43D20F" w14:textId="77777777" w:rsidR="00BE3682" w:rsidRPr="004676F5" w:rsidRDefault="00BE3682" w:rsidP="00BE3682">
      <w:pPr>
        <w:jc w:val="both"/>
        <w:rPr>
          <w:rFonts w:eastAsia="Calibri"/>
          <w:kern w:val="2"/>
          <w:lang w:val="de-DE" w:eastAsia="en-US"/>
          <w14:ligatures w14:val="standardContextual"/>
        </w:rPr>
      </w:pPr>
    </w:p>
    <w:p w14:paraId="03DE579A"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2. Die Belgische Wettbewerbsbehörde übermittelt die Teile der Beschwerdegründe und des Entscheidungsvorschlags, die insbesondere eine natürliche Person betreffen, in deutscher, französischer oder niederländischer Sprache, je nach der Sprache, die diese Person gewählt hat.</w:t>
      </w:r>
    </w:p>
    <w:p w14:paraId="03D373BC" w14:textId="77777777" w:rsidR="00BE3682" w:rsidRPr="004676F5" w:rsidRDefault="00BE3682" w:rsidP="00BE3682">
      <w:pPr>
        <w:jc w:val="both"/>
        <w:rPr>
          <w:rFonts w:eastAsia="Calibri"/>
          <w:kern w:val="2"/>
          <w:lang w:val="de-DE" w:eastAsia="en-US"/>
          <w14:ligatures w14:val="standardContextual"/>
        </w:rPr>
      </w:pPr>
    </w:p>
    <w:p w14:paraId="620B9D0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3. Klagen werden in der Sprache des Sprachgebietes verfasst, in dem der Sitz, die Niederlassung oder der Wohnsitz des Klägers liegt, oder, falls der Kläger keinen Sitz, keine Niederlassung oder keinen Wohnsitz in Belgien hat, in Französisch oder Niederländisch, je nach Wahl des Klägers.</w:t>
      </w:r>
    </w:p>
    <w:p w14:paraId="72941C69" w14:textId="77777777" w:rsidR="00BE3682" w:rsidRPr="004676F5" w:rsidRDefault="00BE3682" w:rsidP="00BE3682">
      <w:pPr>
        <w:jc w:val="both"/>
        <w:rPr>
          <w:rFonts w:eastAsia="Calibri"/>
          <w:kern w:val="2"/>
          <w:lang w:val="de-DE" w:eastAsia="en-US"/>
          <w14:ligatures w14:val="standardContextual"/>
        </w:rPr>
      </w:pPr>
    </w:p>
    <w:p w14:paraId="3712E68D"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 xml:space="preserve">4. Anträge auf vorläufige Maßnahmen werden in der Sprache des Sprachgebietes verfasst, in dem die Unternehmen oder Unternehmensvereinigungen, gegen die Maßnahmen </w:t>
      </w:r>
      <w:r w:rsidRPr="004676F5">
        <w:rPr>
          <w:rFonts w:eastAsia="Calibri"/>
          <w:kern w:val="2"/>
          <w:szCs w:val="22"/>
          <w:lang w:val="de-DE" w:eastAsia="en-US"/>
          <w14:ligatures w14:val="standardContextual"/>
        </w:rPr>
        <w:lastRenderedPageBreak/>
        <w:t>beantragt werden, ihren Sitz oder ihre Niederlassung haben; wenn das Unternehmen oder die Unternehmensvereinigung, gegen das/die Maßnahmen beantragt werden, nicht in Belgien ansässig ist, wird der Antrag in Französisch oder Niederländisch verfasst.</w:t>
      </w:r>
    </w:p>
    <w:p w14:paraId="6B23732E" w14:textId="77777777" w:rsidR="00BE3682" w:rsidRPr="004676F5" w:rsidRDefault="00BE3682" w:rsidP="00BE3682">
      <w:pPr>
        <w:jc w:val="both"/>
        <w:rPr>
          <w:rFonts w:eastAsia="Calibri"/>
          <w:kern w:val="2"/>
          <w:lang w:val="de-DE" w:eastAsia="en-US"/>
          <w14:ligatures w14:val="standardContextual"/>
        </w:rPr>
      </w:pPr>
    </w:p>
    <w:p w14:paraId="4A06A23F"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5. Zusammenschlüsse werden auf Französisch oder Niederländisch angemeldet je nach der Sprache, die die anmeldenden Parteien wählen; die Untersuchung wird geführt und über den Zusammenschluss wird entschieden in der Sprache der Anmeldung.</w:t>
      </w:r>
    </w:p>
    <w:p w14:paraId="7B8B3282" w14:textId="77777777" w:rsidR="00BE3682" w:rsidRPr="004676F5" w:rsidRDefault="00BE3682" w:rsidP="00BE3682">
      <w:pPr>
        <w:jc w:val="both"/>
        <w:rPr>
          <w:rFonts w:eastAsia="Calibri"/>
          <w:kern w:val="2"/>
          <w:lang w:val="de-DE" w:eastAsia="en-US"/>
          <w14:ligatures w14:val="standardContextual"/>
        </w:rPr>
      </w:pPr>
    </w:p>
    <w:p w14:paraId="261DAD73" w14:textId="6B88466A"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6. </w:t>
      </w:r>
      <w:r w:rsidR="009C4D11" w:rsidRPr="004676F5">
        <w:rPr>
          <w:rFonts w:eastAsia="Calibri"/>
          <w:kern w:val="2"/>
          <w:szCs w:val="22"/>
          <w:lang w:val="de-DE" w:eastAsia="en-US"/>
          <w14:ligatures w14:val="standardContextual"/>
        </w:rPr>
        <w:t>[</w:t>
      </w:r>
      <w:r w:rsidR="009C4D11" w:rsidRPr="004676F5">
        <w:rPr>
          <w:lang w:val="de-DE"/>
        </w:rPr>
        <w:t>Vollständige Anträge oder Kurzanträge auf Kronzeugenbehandlung, Anträge auf Befreiung von gerichtlicher Verfolgung, Kronzeugenerklärungen und Anträge für Marker werden in Französisch, Niederländisch, Deutsch oder einer anderen zwischen dem Auditor und dem Beantrager der Kronzeugenbehandlung oder der Befreiung vereinbarten Sprache der Europäischen Union verfasst. Beweismittel werden in ihrer Ursprungssprache hinterlegt. Ist diese Sprache nicht Französisch, Niederländisch oder Deutsch, kann der Generalauditor, der Auditor oder der Präsident des Wettbewerbskollegiums die Übersetzung in eine dieser Landessprachen verlangen.</w:t>
      </w:r>
      <w:r w:rsidR="009C4D11" w:rsidRPr="004676F5">
        <w:rPr>
          <w:rFonts w:eastAsia="Calibri"/>
          <w:kern w:val="2"/>
          <w:szCs w:val="22"/>
          <w:lang w:val="de-DE" w:eastAsia="en-US"/>
          <w14:ligatures w14:val="standardContextual"/>
        </w:rPr>
        <w:t>]</w:t>
      </w:r>
    </w:p>
    <w:p w14:paraId="5B93D0F2" w14:textId="77777777" w:rsidR="00BE3682" w:rsidRPr="004676F5" w:rsidRDefault="00BE3682" w:rsidP="00BE3682">
      <w:pPr>
        <w:jc w:val="both"/>
        <w:rPr>
          <w:rFonts w:eastAsia="Calibri"/>
          <w:kern w:val="2"/>
          <w:lang w:val="de-DE" w:eastAsia="en-US"/>
          <w14:ligatures w14:val="standardContextual"/>
        </w:rPr>
      </w:pPr>
    </w:p>
    <w:p w14:paraId="50C3A848"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7. Unterlagen, die Schriftstücken und schriftlichen Anmerkungen beigefügt werden, werden in ihrer Ursprungssprache hinterlegt; ist diese Sprache nicht Französisch oder Niederländisch, kann der Generalauditor, der Auditor oder der Präsident des Wettbewerbs</w:t>
      </w:r>
      <w:r w:rsidRPr="004676F5">
        <w:rPr>
          <w:rFonts w:eastAsia="Calibri"/>
          <w:kern w:val="2"/>
          <w:szCs w:val="22"/>
          <w:lang w:val="de-DE" w:eastAsia="en-US"/>
          <w14:ligatures w14:val="standardContextual"/>
        </w:rPr>
        <w:softHyphen/>
        <w:t>kollegiums die Übersetzung ins Französische oder Niederländische verlangen; wird die Übersetzung nicht geliefert, wird die Unterlage nicht in die Akte aufgenommen.</w:t>
      </w:r>
    </w:p>
    <w:p w14:paraId="7D1BC039" w14:textId="77777777" w:rsidR="00BE3682" w:rsidRPr="004676F5" w:rsidRDefault="00BE3682" w:rsidP="00BE3682">
      <w:pPr>
        <w:jc w:val="both"/>
        <w:rPr>
          <w:rFonts w:eastAsia="Calibri"/>
          <w:kern w:val="2"/>
          <w:lang w:val="de-DE" w:eastAsia="en-US"/>
          <w14:ligatures w14:val="standardContextual"/>
        </w:rPr>
      </w:pPr>
    </w:p>
    <w:p w14:paraId="2CAA4464"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8. In der Sprache des Sprachgebietes, in dem die betreffende Niederlassung des Unternehmens oder der Unternehmensvereinigung gelegen ist, werden verfasst:</w:t>
      </w:r>
    </w:p>
    <w:p w14:paraId="1B0E8992" w14:textId="77777777" w:rsidR="00BE3682" w:rsidRPr="004676F5" w:rsidRDefault="00BE3682" w:rsidP="00BE3682">
      <w:pPr>
        <w:jc w:val="both"/>
        <w:rPr>
          <w:rFonts w:eastAsia="Calibri"/>
          <w:kern w:val="2"/>
          <w:lang w:val="de-DE" w:eastAsia="en-US"/>
          <w14:ligatures w14:val="standardContextual"/>
        </w:rPr>
      </w:pPr>
    </w:p>
    <w:p w14:paraId="17C06655" w14:textId="77777777" w:rsidR="00BE3682" w:rsidRPr="00CA6435" w:rsidRDefault="00BE3682" w:rsidP="00BE3682">
      <w:pPr>
        <w:jc w:val="both"/>
        <w:rPr>
          <w:rFonts w:eastAsia="Calibri"/>
          <w:spacing w:val="-8"/>
          <w:kern w:val="2"/>
          <w:lang w:val="de-DE" w:eastAsia="en-US"/>
          <w14:ligatures w14:val="standardContextual"/>
        </w:rPr>
      </w:pPr>
      <w:r w:rsidRPr="004676F5">
        <w:rPr>
          <w:rFonts w:eastAsia="Calibri"/>
          <w:kern w:val="2"/>
          <w:szCs w:val="22"/>
          <w:lang w:val="de-DE" w:eastAsia="en-US"/>
          <w14:ligatures w14:val="standardContextual"/>
        </w:rPr>
        <w:tab/>
      </w:r>
      <w:r w:rsidRPr="00CA6435">
        <w:rPr>
          <w:rFonts w:eastAsia="Calibri"/>
          <w:i/>
          <w:spacing w:val="-8"/>
          <w:kern w:val="2"/>
          <w:szCs w:val="22"/>
          <w:lang w:val="de-DE" w:eastAsia="en-US"/>
          <w14:ligatures w14:val="standardContextual"/>
        </w:rPr>
        <w:t>a) </w:t>
      </w:r>
      <w:r w:rsidRPr="00CA6435">
        <w:rPr>
          <w:rFonts w:eastAsia="Calibri"/>
          <w:spacing w:val="-8"/>
          <w:kern w:val="2"/>
          <w:szCs w:val="22"/>
          <w:lang w:val="de-DE" w:eastAsia="en-US"/>
          <w14:ligatures w14:val="standardContextual"/>
        </w:rPr>
        <w:t>Auskunftsersuchen und Entscheidungen, Auskünfte zu verlangen, und Antworten darauf,</w:t>
      </w:r>
    </w:p>
    <w:p w14:paraId="4B227883" w14:textId="77777777" w:rsidR="00BE3682" w:rsidRPr="004676F5" w:rsidRDefault="00BE3682" w:rsidP="00BE3682">
      <w:pPr>
        <w:jc w:val="both"/>
        <w:rPr>
          <w:rFonts w:eastAsia="Calibri"/>
          <w:kern w:val="2"/>
          <w:lang w:val="de-DE" w:eastAsia="en-US"/>
          <w14:ligatures w14:val="standardContextual"/>
        </w:rPr>
      </w:pPr>
    </w:p>
    <w:p w14:paraId="047604D2"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b) </w:t>
      </w:r>
      <w:r w:rsidRPr="004676F5">
        <w:rPr>
          <w:rFonts w:eastAsia="Calibri"/>
          <w:kern w:val="2"/>
          <w:szCs w:val="22"/>
          <w:lang w:val="de-DE" w:eastAsia="en-US"/>
          <w14:ligatures w14:val="standardContextual"/>
        </w:rPr>
        <w:t>Dienstaufträge, Durchsuchungsbefehle und Durchsuchungsprotokolle, Beschlag</w:t>
      </w:r>
      <w:r w:rsidRPr="004676F5">
        <w:rPr>
          <w:rFonts w:eastAsia="Calibri"/>
          <w:kern w:val="2"/>
          <w:szCs w:val="22"/>
          <w:lang w:val="de-DE" w:eastAsia="en-US"/>
          <w14:ligatures w14:val="standardContextual"/>
        </w:rPr>
        <w:softHyphen/>
        <w:t>nahmen und Versiegelungen,</w:t>
      </w:r>
    </w:p>
    <w:p w14:paraId="3EA3ADDA" w14:textId="77777777" w:rsidR="00BE3682" w:rsidRPr="004676F5" w:rsidRDefault="00BE3682" w:rsidP="00BE3682">
      <w:pPr>
        <w:jc w:val="both"/>
        <w:rPr>
          <w:rFonts w:eastAsia="Calibri"/>
          <w:kern w:val="2"/>
          <w:lang w:val="de-DE" w:eastAsia="en-US"/>
          <w14:ligatures w14:val="standardContextual"/>
        </w:rPr>
      </w:pPr>
    </w:p>
    <w:p w14:paraId="28515B90" w14:textId="3B2AE16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i/>
          <w:kern w:val="2"/>
          <w:szCs w:val="22"/>
          <w:lang w:val="de-DE" w:eastAsia="en-US"/>
          <w14:ligatures w14:val="standardContextual"/>
        </w:rPr>
        <w:t>c) </w:t>
      </w:r>
      <w:r w:rsidR="009C4D11" w:rsidRPr="004676F5">
        <w:rPr>
          <w:rFonts w:eastAsia="Calibri"/>
          <w:kern w:val="2"/>
          <w:szCs w:val="22"/>
          <w:lang w:val="de-DE" w:eastAsia="en-US"/>
          <w14:ligatures w14:val="standardContextual"/>
        </w:rPr>
        <w:t>[</w:t>
      </w:r>
      <w:r w:rsidR="009C4D11" w:rsidRPr="004676F5">
        <w:rPr>
          <w:lang w:val="de-DE"/>
        </w:rPr>
        <w:t>in Artikel IV.40/1 Absatz 1 erwähnte Feststellungsprotokolle.</w:t>
      </w:r>
      <w:r w:rsidR="009C4D11" w:rsidRPr="004676F5">
        <w:rPr>
          <w:rFonts w:eastAsia="Calibri"/>
          <w:kern w:val="2"/>
          <w:szCs w:val="22"/>
          <w:lang w:val="de-DE" w:eastAsia="en-US"/>
          <w14:ligatures w14:val="standardContextual"/>
        </w:rPr>
        <w:t>]</w:t>
      </w:r>
    </w:p>
    <w:p w14:paraId="54327535" w14:textId="77777777" w:rsidR="00BE3682" w:rsidRPr="004676F5" w:rsidRDefault="00BE3682" w:rsidP="00BE3682">
      <w:pPr>
        <w:jc w:val="both"/>
        <w:rPr>
          <w:rFonts w:eastAsia="Calibri"/>
          <w:kern w:val="2"/>
          <w:lang w:val="de-DE" w:eastAsia="en-US"/>
          <w14:ligatures w14:val="standardContextual"/>
        </w:rPr>
      </w:pPr>
    </w:p>
    <w:p w14:paraId="2EC7608D" w14:textId="17E239C3" w:rsidR="00BE3682" w:rsidRPr="004676F5" w:rsidRDefault="00BE3682" w:rsidP="00BE3682">
      <w:pPr>
        <w:jc w:val="both"/>
        <w:rPr>
          <w:rFonts w:eastAsia="Calibri"/>
          <w:kern w:val="2"/>
          <w:szCs w:val="22"/>
          <w:lang w:val="de-DE" w:eastAsia="en-US"/>
          <w14:ligatures w14:val="standardContextual"/>
        </w:rPr>
      </w:pPr>
      <w:r w:rsidRPr="004676F5">
        <w:rPr>
          <w:rFonts w:eastAsia="Calibri"/>
          <w:kern w:val="2"/>
          <w:szCs w:val="22"/>
          <w:lang w:val="de-DE" w:eastAsia="en-US"/>
          <w14:ligatures w14:val="standardContextual"/>
        </w:rPr>
        <w:tab/>
        <w:t>9. Wenn die betreffende Niederlassung im zweisprachigen Gebiet Brüssel-Hauptstadt gelegen ist oder das Unternehmen oder die Unternehmensvereinigung keine Niederlassung in Belgien hat, werden die in Nr. 8 erwähnten Unterlagen in der vom Auditor gewählten Sprache verfasst, unbeschadet der Anwendung von § 1 Absatz 2</w:t>
      </w:r>
      <w:r w:rsidR="009C4D11" w:rsidRPr="004676F5">
        <w:rPr>
          <w:rFonts w:eastAsia="Calibri"/>
          <w:kern w:val="2"/>
          <w:szCs w:val="22"/>
          <w:lang w:val="de-DE" w:eastAsia="en-US"/>
          <w14:ligatures w14:val="standardContextual"/>
        </w:rPr>
        <w:t>,</w:t>
      </w:r>
    </w:p>
    <w:p w14:paraId="7E0F7218" w14:textId="77777777" w:rsidR="009C4D11" w:rsidRPr="004676F5" w:rsidRDefault="009C4D11" w:rsidP="00BE3682">
      <w:pPr>
        <w:jc w:val="both"/>
        <w:rPr>
          <w:rFonts w:eastAsia="Calibri"/>
          <w:kern w:val="2"/>
          <w:szCs w:val="22"/>
          <w:lang w:val="de-DE" w:eastAsia="en-US"/>
          <w14:ligatures w14:val="standardContextual"/>
        </w:rPr>
      </w:pPr>
    </w:p>
    <w:p w14:paraId="5600AA42" w14:textId="0FB06B8E" w:rsidR="009C4D11" w:rsidRPr="004676F5" w:rsidRDefault="009C4D11"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t>[</w:t>
      </w:r>
      <w:r w:rsidRPr="004676F5">
        <w:rPr>
          <w:lang w:val="de-DE"/>
        </w:rPr>
        <w:t>10. Einheitliche Titel, mit denen die in Artikel IV.78/2 und Artikel IV.78/4 erwähnten Ersuchen an die Belgische Wettbewerbsbehörde gerichtet werden, werden in Französisch, Niederländisch, Deutsch oder einer anderen zwischen dem Generalauditor und den ersuchenden nationalen Wettbewerbsbehörden vereinbarten Sprache der Europäischen Union verfasst. Der zuzustellende Akt oder die Entscheidung, die zur Vollstreckung der Geldbuße oder des Zwangsgeldes ermächtigt, die einem einheitlichen Titel beigefügt sind, wird in der Ursprungssprache übermittelt. Ist diese Sprache nicht Französisch, Niederländisch oder Deutsch, kann der Generalauditor die Übersetzung in eine dieser Landessprachen oder in eine andere zwischen dem Generalauditor und der ersuchenden nationalen Wettbewerbsbehörde vereinbarte Sprache der Europäischen Union verlangen.</w:t>
      </w:r>
      <w:r w:rsidRPr="004676F5">
        <w:rPr>
          <w:rFonts w:eastAsia="Calibri"/>
          <w:kern w:val="2"/>
          <w:szCs w:val="22"/>
          <w:lang w:val="de-DE" w:eastAsia="en-US"/>
          <w14:ligatures w14:val="standardContextual"/>
        </w:rPr>
        <w:t>]</w:t>
      </w:r>
    </w:p>
    <w:p w14:paraId="31CFC316" w14:textId="77777777" w:rsidR="00BE3682" w:rsidRPr="004676F5" w:rsidRDefault="00BE3682" w:rsidP="00BE3682">
      <w:pPr>
        <w:jc w:val="both"/>
        <w:rPr>
          <w:rFonts w:eastAsia="Calibri"/>
          <w:kern w:val="2"/>
          <w:lang w:val="de-DE" w:eastAsia="en-US"/>
          <w14:ligatures w14:val="standardContextual"/>
        </w:rPr>
      </w:pPr>
    </w:p>
    <w:p w14:paraId="0A7BEFDF" w14:textId="3F54DD65" w:rsidR="00BE3682" w:rsidRPr="004676F5" w:rsidRDefault="00626AF8" w:rsidP="00626AF8">
      <w:pPr>
        <w:jc w:val="both"/>
        <w:rPr>
          <w:rFonts w:eastAsia="Calibri"/>
          <w:kern w:val="2"/>
          <w:szCs w:val="22"/>
          <w:lang w:val="de-DE" w:eastAsia="en-US"/>
          <w14:ligatures w14:val="standardContextual"/>
        </w:rPr>
      </w:pPr>
      <w:r w:rsidRPr="004676F5">
        <w:rPr>
          <w:rFonts w:eastAsia="Calibri"/>
          <w:i/>
          <w:iCs/>
          <w:kern w:val="2"/>
          <w:szCs w:val="22"/>
          <w:lang w:val="de-DE" w:eastAsia="en-US"/>
          <w14:ligatures w14:val="standardContextual"/>
        </w:rPr>
        <w:t xml:space="preserve">[Art. IV.92 § 3 einziger Absatz Nr. 6 </w:t>
      </w:r>
      <w:r w:rsidR="009C4D11" w:rsidRPr="004676F5">
        <w:rPr>
          <w:rFonts w:eastAsia="Calibri"/>
          <w:i/>
          <w:iCs/>
          <w:kern w:val="2"/>
          <w:szCs w:val="22"/>
          <w:lang w:val="de-DE" w:eastAsia="en-US"/>
          <w14:ligatures w14:val="standardContextual"/>
        </w:rPr>
        <w:t xml:space="preserve">ersetzt durch Art. 75 Buchstabe a) des G. vom 28. Februar 2022 (B.S. vom 7. März 2022); § 3 einziger Absatz Nr. 8 einziger Absatz </w:t>
      </w:r>
      <w:r w:rsidR="009C4D11" w:rsidRPr="004676F5">
        <w:rPr>
          <w:rFonts w:eastAsia="Calibri"/>
          <w:i/>
          <w:iCs/>
          <w:kern w:val="2"/>
          <w:szCs w:val="22"/>
          <w:lang w:val="de-DE" w:eastAsia="en-US"/>
          <w14:ligatures w14:val="standardContextual"/>
        </w:rPr>
        <w:lastRenderedPageBreak/>
        <w:t>Buchstabe c) ersetzt durch Art. 75 Buchstabe b) des G. vom 28. Februar 2022 (B.S. vom 7. März 2022); § 3 einziger Absatz Nr. 10 eingefügt durch Art. 75 Buchstabe c) des G. vom 28. Februar 2022 (B.S. vom 7. März 2022)</w:t>
      </w:r>
      <w:r w:rsidRPr="004676F5">
        <w:rPr>
          <w:rFonts w:eastAsia="Calibri"/>
          <w:i/>
          <w:iCs/>
          <w:kern w:val="2"/>
          <w:lang w:val="de-DE" w:eastAsia="en-US"/>
          <w14:ligatures w14:val="standardContextual"/>
        </w:rPr>
        <w:t>]</w:t>
      </w:r>
      <w:r w:rsidR="00BE3682" w:rsidRPr="004676F5">
        <w:rPr>
          <w:rFonts w:eastAsia="Calibri"/>
          <w:kern w:val="2"/>
          <w:szCs w:val="22"/>
          <w:lang w:val="de-DE" w:eastAsia="en-US"/>
          <w14:ligatures w14:val="standardContextual"/>
        </w:rPr>
        <w:br w:type="page"/>
      </w:r>
    </w:p>
    <w:p w14:paraId="4FADFF6C" w14:textId="51018BAE" w:rsidR="00BE3682" w:rsidRPr="004676F5" w:rsidRDefault="00BE3682" w:rsidP="00BE3682">
      <w:pPr>
        <w:jc w:val="center"/>
        <w:rPr>
          <w:rFonts w:eastAsia="Calibri"/>
          <w:kern w:val="2"/>
          <w:lang w:val="de-DE" w:eastAsia="en-US"/>
          <w14:ligatures w14:val="standardContextual"/>
        </w:rPr>
      </w:pPr>
      <w:r w:rsidRPr="004676F5">
        <w:rPr>
          <w:rFonts w:eastAsia="Calibri"/>
          <w:kern w:val="2"/>
          <w:szCs w:val="22"/>
          <w:lang w:val="de-DE" w:eastAsia="en-US"/>
          <w14:ligatures w14:val="standardContextual"/>
        </w:rPr>
        <w:lastRenderedPageBreak/>
        <w:t>KAPITEL 6 </w:t>
      </w:r>
      <w:r w:rsidR="005B7A5C" w:rsidRPr="004676F5">
        <w:rPr>
          <w:rFonts w:eastAsia="Calibri"/>
          <w:kern w:val="2"/>
          <w:szCs w:val="22"/>
          <w:lang w:val="de-DE" w:eastAsia="en-US"/>
          <w14:ligatures w14:val="standardContextual"/>
        </w:rPr>
        <w:t>- </w:t>
      </w:r>
      <w:r w:rsidRPr="004676F5">
        <w:rPr>
          <w:rFonts w:eastAsia="Calibri"/>
          <w:i/>
          <w:kern w:val="2"/>
          <w:szCs w:val="22"/>
          <w:lang w:val="de-DE" w:eastAsia="en-US"/>
          <w14:ligatures w14:val="standardContextual"/>
        </w:rPr>
        <w:t>Sonstige Bestimmungen</w:t>
      </w:r>
    </w:p>
    <w:p w14:paraId="612CC207" w14:textId="77777777"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p>
    <w:p w14:paraId="0D1C60AF" w14:textId="30FCAE7E" w:rsidR="00BE3682" w:rsidRPr="004676F5" w:rsidRDefault="00BE3682" w:rsidP="00BE3682">
      <w:pPr>
        <w:jc w:val="both"/>
        <w:rPr>
          <w:rFonts w:eastAsia="Calibri"/>
          <w:kern w:val="2"/>
          <w:lang w:val="de-DE" w:eastAsia="en-US"/>
          <w14:ligatures w14:val="standardContextual"/>
        </w:rPr>
      </w:pPr>
      <w:r w:rsidRPr="004676F5">
        <w:rPr>
          <w:rFonts w:eastAsia="Calibri"/>
          <w:kern w:val="2"/>
          <w:szCs w:val="22"/>
          <w:lang w:val="de-DE" w:eastAsia="en-US"/>
          <w14:ligatures w14:val="standardContextual"/>
        </w:rPr>
        <w:tab/>
      </w:r>
      <w:r w:rsidRPr="004676F5">
        <w:rPr>
          <w:rFonts w:eastAsia="Calibri"/>
          <w:b/>
          <w:bCs/>
          <w:kern w:val="2"/>
          <w:szCs w:val="22"/>
          <w:lang w:val="de-DE" w:eastAsia="en-US"/>
          <w14:ligatures w14:val="standardContextual"/>
        </w:rPr>
        <w:t>Art. IV.93</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König kann Modalitäten in Bezug auf die Zusammenstellung der Akten, die Hinterlegung von schriftlichen Anmerkungen und Schriftstücken und die Mitteilung und Notifizierung von Entscheidungen und Unterlagen sowie Modalitäten der in vorliegendem Buch erwähnten Verfahren festlegen.</w:t>
      </w:r>
    </w:p>
    <w:p w14:paraId="14B5E0C2" w14:textId="77777777" w:rsidR="00BE3682" w:rsidRPr="004676F5" w:rsidRDefault="00BE3682" w:rsidP="00BE3682">
      <w:pPr>
        <w:jc w:val="both"/>
        <w:rPr>
          <w:rFonts w:eastAsia="Calibri"/>
          <w:kern w:val="2"/>
          <w:lang w:val="de-DE" w:eastAsia="en-US"/>
          <w14:ligatures w14:val="standardContextual"/>
        </w:rPr>
      </w:pPr>
    </w:p>
    <w:p w14:paraId="2CD5F68A" w14:textId="77777777" w:rsidR="008A1473" w:rsidRPr="004676F5" w:rsidRDefault="008A1473" w:rsidP="00BE3682">
      <w:pPr>
        <w:jc w:val="both"/>
        <w:rPr>
          <w:rFonts w:eastAsia="Calibri"/>
          <w:kern w:val="2"/>
          <w:lang w:val="de-DE" w:eastAsia="en-US"/>
          <w14:ligatures w14:val="standardContextual"/>
        </w:rPr>
      </w:pPr>
    </w:p>
    <w:p w14:paraId="207C3B62" w14:textId="7E8A59C0" w:rsidR="00BE3682" w:rsidRPr="004676F5" w:rsidRDefault="00BE3682" w:rsidP="00BE3682">
      <w:pPr>
        <w:jc w:val="both"/>
        <w:rPr>
          <w:rFonts w:eastAsia="Calibri"/>
          <w:kern w:val="2"/>
          <w:lang w:val="de-DE" w:eastAsia="en-US"/>
          <w14:ligatures w14:val="standardContextual"/>
        </w:rPr>
      </w:pPr>
      <w:r w:rsidRPr="004676F5">
        <w:rPr>
          <w:rFonts w:eastAsia="Calibri"/>
          <w:kern w:val="2"/>
          <w:lang w:val="de-DE" w:eastAsia="en-US"/>
          <w14:ligatures w14:val="standardContextual"/>
        </w:rPr>
        <w:tab/>
      </w:r>
      <w:r w:rsidRPr="004676F5">
        <w:rPr>
          <w:rFonts w:eastAsia="Calibri"/>
          <w:b/>
          <w:bCs/>
          <w:kern w:val="2"/>
          <w:szCs w:val="22"/>
          <w:lang w:val="de-DE" w:eastAsia="en-US"/>
          <w14:ligatures w14:val="standardContextual"/>
        </w:rPr>
        <w:t>Art. IV.94</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Für Wirtschaftssektoren, die unter der Kontrolle oder Überwachung einer bestimmten öffentlichen Einrichtung oder anderen öffentlichen Körperschaft stehen, kann der König nach Konsultierung dieser Einrichtungen oder Körperschaften die Zusammenarbeit zwischen der Belgischen Wettbewerbsbehörde und diesen Einrichtungen oder Körperschaften bei der Untersuchung und dem gegenseitigen Austausch von vertraulichen Auskünften regeln.</w:t>
      </w:r>
    </w:p>
    <w:p w14:paraId="58FEEE53" w14:textId="77777777" w:rsidR="00BE3682" w:rsidRPr="004676F5" w:rsidRDefault="00BE3682" w:rsidP="00BE3682">
      <w:pPr>
        <w:jc w:val="both"/>
        <w:rPr>
          <w:rFonts w:eastAsia="Calibri"/>
          <w:kern w:val="2"/>
          <w:lang w:val="de-DE" w:eastAsia="en-US"/>
          <w14:ligatures w14:val="standardContextual"/>
        </w:rPr>
      </w:pPr>
    </w:p>
    <w:p w14:paraId="24302CC4" w14:textId="77777777" w:rsidR="008A1473" w:rsidRPr="004676F5" w:rsidRDefault="008A1473" w:rsidP="00BE3682">
      <w:pPr>
        <w:jc w:val="both"/>
        <w:rPr>
          <w:rFonts w:eastAsia="Calibri"/>
          <w:kern w:val="2"/>
          <w:lang w:val="de-DE" w:eastAsia="en-US"/>
          <w14:ligatures w14:val="standardContextual"/>
        </w:rPr>
      </w:pPr>
    </w:p>
    <w:p w14:paraId="4709CA2E" w14:textId="0FDD0C64" w:rsidR="00BE3682" w:rsidRPr="004676F5" w:rsidRDefault="00BE3682" w:rsidP="00BE3682">
      <w:pPr>
        <w:jc w:val="both"/>
        <w:rPr>
          <w:rFonts w:eastAsia="Calibri"/>
          <w:kern w:val="2"/>
          <w:lang w:val="de-DE" w:eastAsia="en-US"/>
          <w14:ligatures w14:val="standardContextual"/>
        </w:rPr>
      </w:pPr>
      <w:r w:rsidRPr="004676F5">
        <w:rPr>
          <w:rFonts w:eastAsia="Calibri"/>
          <w:kern w:val="2"/>
          <w:lang w:val="de-DE" w:eastAsia="en-US"/>
          <w14:ligatures w14:val="standardContextual"/>
        </w:rPr>
        <w:tab/>
      </w:r>
      <w:r w:rsidRPr="004676F5">
        <w:rPr>
          <w:rFonts w:eastAsia="Calibri"/>
          <w:b/>
          <w:bCs/>
          <w:kern w:val="2"/>
          <w:szCs w:val="22"/>
          <w:lang w:val="de-DE" w:eastAsia="en-US"/>
          <w14:ligatures w14:val="standardContextual"/>
        </w:rPr>
        <w:t>Art. IV.95</w:t>
      </w:r>
      <w:r w:rsidRPr="004676F5">
        <w:rPr>
          <w:rFonts w:eastAsia="Calibri"/>
          <w:kern w:val="2"/>
          <w:szCs w:val="22"/>
          <w:lang w:val="de-DE" w:eastAsia="en-US"/>
          <w14:ligatures w14:val="standardContextual"/>
        </w:rPr>
        <w:t> </w:t>
      </w:r>
      <w:r w:rsidR="005B7A5C" w:rsidRPr="004676F5">
        <w:rPr>
          <w:rFonts w:eastAsia="Calibri"/>
          <w:kern w:val="2"/>
          <w:szCs w:val="22"/>
          <w:lang w:val="de-DE" w:eastAsia="en-US"/>
          <w14:ligatures w14:val="standardContextual"/>
        </w:rPr>
        <w:t>- </w:t>
      </w:r>
      <w:r w:rsidRPr="004676F5">
        <w:rPr>
          <w:rFonts w:eastAsia="Calibri"/>
          <w:kern w:val="2"/>
          <w:szCs w:val="22"/>
          <w:lang w:val="de-DE" w:eastAsia="en-US"/>
          <w14:ligatures w14:val="standardContextual"/>
        </w:rPr>
        <w:t>Der König kann durch einen im Ministerrat beratenen Erlass die Liste der Verfahrenshandlungen einschließlich der Untersuchungsmaßnahmen festlegen, für die eine Vergütung zu Lasten der anmeldenden Parteien oder der Parteien, die gegen vorliegendes Buch verstoßen, gelegt wird; sie wird gemäß dem Königlichen Erlass in der Entscheidung des Auditors oder des Wettbewerbskollegiums festgelegt.</w:t>
      </w:r>
    </w:p>
    <w:p w14:paraId="5D9E335B" w14:textId="77777777" w:rsidR="00BE3682" w:rsidRPr="004676F5" w:rsidRDefault="00BE3682" w:rsidP="00BE3682">
      <w:pPr>
        <w:jc w:val="both"/>
        <w:rPr>
          <w:rFonts w:eastAsia="Calibri"/>
          <w:kern w:val="2"/>
          <w:lang w:val="de-DE" w:eastAsia="en-US"/>
          <w14:ligatures w14:val="standardContextual"/>
        </w:rPr>
      </w:pPr>
    </w:p>
    <w:p w14:paraId="310742F1" w14:textId="1D8F0C19" w:rsidR="00820C08" w:rsidRPr="004676F5" w:rsidRDefault="00BE3682" w:rsidP="00BE3682">
      <w:pPr>
        <w:ind w:firstLine="708"/>
        <w:jc w:val="both"/>
        <w:rPr>
          <w:lang w:val="de-DE"/>
        </w:rPr>
      </w:pPr>
      <w:r w:rsidRPr="004676F5">
        <w:rPr>
          <w:rFonts w:eastAsia="Calibri"/>
          <w:kern w:val="2"/>
          <w:szCs w:val="22"/>
          <w:lang w:val="de-DE" w:eastAsia="en-US"/>
          <w14:ligatures w14:val="standardContextual"/>
        </w:rPr>
        <w:t>Im Erlass werden Höhe, Bedingungen und Modalitäten für die Einnahme der Vergütung festgelegt. Die Einkünfte aus den Vergütungen werden von der Belgischen Wettbewerbs</w:t>
      </w:r>
      <w:r w:rsidRPr="004676F5">
        <w:rPr>
          <w:rFonts w:eastAsia="Calibri"/>
          <w:kern w:val="2"/>
          <w:szCs w:val="22"/>
          <w:lang w:val="de-DE" w:eastAsia="en-US"/>
          <w14:ligatures w14:val="standardContextual"/>
        </w:rPr>
        <w:softHyphen/>
        <w:t>behörde als Einnahme verbucht.</w:t>
      </w:r>
      <w:r w:rsidRPr="004676F5">
        <w:rPr>
          <w:lang w:val="de-DE"/>
        </w:rPr>
        <w:t>]</w:t>
      </w:r>
      <w:r w:rsidR="00E71B2F" w:rsidRPr="004676F5">
        <w:rPr>
          <w:lang w:val="de-DE"/>
        </w:rPr>
        <w:t>]</w:t>
      </w:r>
    </w:p>
    <w:p w14:paraId="13CFE4D1" w14:textId="77777777" w:rsidR="00820C08" w:rsidRPr="004676F5" w:rsidRDefault="00820C08">
      <w:pPr>
        <w:rPr>
          <w:lang w:val="de-DE"/>
        </w:rPr>
      </w:pPr>
      <w:r w:rsidRPr="004676F5">
        <w:rPr>
          <w:lang w:val="de-DE"/>
        </w:rPr>
        <w:br w:type="page"/>
      </w:r>
    </w:p>
    <w:p w14:paraId="4EA15036" w14:textId="26FA4CEF" w:rsidR="00F76466" w:rsidRPr="004676F5" w:rsidRDefault="00820C08" w:rsidP="00820C08">
      <w:pPr>
        <w:ind w:firstLine="708"/>
        <w:jc w:val="center"/>
        <w:rPr>
          <w:lang w:val="de-DE"/>
        </w:rPr>
      </w:pPr>
      <w:r w:rsidRPr="004676F5">
        <w:rPr>
          <w:lang w:val="de-DE"/>
        </w:rPr>
        <w:lastRenderedPageBreak/>
        <w:t>[</w:t>
      </w:r>
      <w:r w:rsidRPr="004676F5">
        <w:rPr>
          <w:b/>
          <w:bCs/>
          <w:lang w:val="de-DE"/>
        </w:rPr>
        <w:t>TITEL 4 - </w:t>
      </w:r>
      <w:r w:rsidRPr="004676F5">
        <w:rPr>
          <w:b/>
          <w:bCs/>
          <w:i/>
          <w:iCs/>
          <w:lang w:val="de-DE"/>
        </w:rPr>
        <w:t>Anwendung der Verordnung (EU) 2022/1925</w:t>
      </w:r>
      <w:r w:rsidRPr="004676F5">
        <w:rPr>
          <w:lang w:val="de-DE"/>
        </w:rPr>
        <w:t>]</w:t>
      </w:r>
    </w:p>
    <w:p w14:paraId="4CA38596" w14:textId="77777777" w:rsidR="00820C08" w:rsidRPr="004676F5" w:rsidRDefault="00820C08" w:rsidP="00BE3682">
      <w:pPr>
        <w:ind w:firstLine="708"/>
        <w:jc w:val="both"/>
        <w:rPr>
          <w:lang w:val="de-DE"/>
        </w:rPr>
      </w:pPr>
    </w:p>
    <w:p w14:paraId="7434D8B2" w14:textId="25FA7127" w:rsidR="00E82417" w:rsidRPr="004676F5" w:rsidRDefault="00E82417" w:rsidP="00E82417">
      <w:pPr>
        <w:jc w:val="both"/>
        <w:rPr>
          <w:lang w:val="de-DE"/>
        </w:rPr>
      </w:pPr>
      <w:r w:rsidRPr="004676F5">
        <w:rPr>
          <w:i/>
          <w:iCs/>
          <w:lang w:val="de-DE"/>
        </w:rPr>
        <w:t>[Unterteilung Titel 4 eingefügt durch Art. 49 des G. vom 29. März 2024 (B.S. vom 3. Mai 2024)]</w:t>
      </w:r>
    </w:p>
    <w:p w14:paraId="522ABB25" w14:textId="77777777" w:rsidR="00E82417" w:rsidRPr="004676F5" w:rsidRDefault="00E82417" w:rsidP="00E82417">
      <w:pPr>
        <w:jc w:val="both"/>
        <w:rPr>
          <w:lang w:val="de-DE"/>
        </w:rPr>
      </w:pPr>
    </w:p>
    <w:p w14:paraId="4248C9D8" w14:textId="77777777" w:rsidR="00E82417" w:rsidRPr="004676F5" w:rsidRDefault="00E82417" w:rsidP="00E82417">
      <w:pPr>
        <w:jc w:val="both"/>
        <w:rPr>
          <w:lang w:val="de-DE"/>
        </w:rPr>
      </w:pPr>
    </w:p>
    <w:p w14:paraId="2A69DECB" w14:textId="55712D98" w:rsidR="00E82417" w:rsidRPr="004676F5" w:rsidRDefault="00E82417" w:rsidP="00E82417">
      <w:pPr>
        <w:ind w:firstLine="708"/>
        <w:jc w:val="both"/>
        <w:rPr>
          <w:lang w:val="de-DE"/>
        </w:rPr>
      </w:pPr>
      <w:r w:rsidRPr="004676F5">
        <w:rPr>
          <w:lang w:val="de-DE"/>
        </w:rPr>
        <w:t>[</w:t>
      </w:r>
      <w:r w:rsidRPr="004676F5">
        <w:rPr>
          <w:b/>
          <w:bCs/>
          <w:lang w:val="de-DE"/>
        </w:rPr>
        <w:t>Art. IV.96</w:t>
      </w:r>
      <w:r w:rsidRPr="004676F5">
        <w:rPr>
          <w:lang w:val="de-DE"/>
        </w:rPr>
        <w:t> - § 1 - Der Generalauditor kann beschließen, eine Untersuchung im Sinne von Artikel 38 Absatz 7 der Verordnung (EU) 2022/1925 über die Nichteinhaltung der Artikel 5, 6 und 7 derselben Verordnung auf belgischem Staatsgebiet einzuleiten. Gemäß Artikel IV.27 §§ 2 und 3 bestimmt er ein Personalmitglied des Auditorats, das als Auditor mit der täglichen Leitung der Untersuchung beauftragt ist, und stellt er ein Untersuchungsteam zusammen, das unter seiner allgemeinen Leitung und unter der täglichen Leitung des Auditors mit der Untersuchung beauftragt ist.</w:t>
      </w:r>
    </w:p>
    <w:p w14:paraId="3A94E272" w14:textId="77777777" w:rsidR="00E82417" w:rsidRPr="004676F5" w:rsidRDefault="00E82417" w:rsidP="00E82417">
      <w:pPr>
        <w:jc w:val="both"/>
        <w:rPr>
          <w:lang w:val="de-DE"/>
        </w:rPr>
      </w:pPr>
    </w:p>
    <w:p w14:paraId="7CBFFAF0" w14:textId="77777777" w:rsidR="00E82417" w:rsidRPr="004676F5" w:rsidRDefault="00E82417" w:rsidP="00E82417">
      <w:pPr>
        <w:ind w:firstLine="708"/>
        <w:jc w:val="both"/>
        <w:rPr>
          <w:lang w:val="de-DE"/>
        </w:rPr>
      </w:pPr>
      <w:r w:rsidRPr="004676F5">
        <w:rPr>
          <w:lang w:val="de-DE"/>
        </w:rPr>
        <w:t>Der Auditor und die Personalmitglieder der Belgischen Wettbewerbsbehörde können im Rahmen der Untersuchung die Artikel IV.40 bis IV.40/5 anwenden.</w:t>
      </w:r>
    </w:p>
    <w:p w14:paraId="6C0ACCFC" w14:textId="77777777" w:rsidR="00E82417" w:rsidRPr="004676F5" w:rsidRDefault="00E82417" w:rsidP="00E82417">
      <w:pPr>
        <w:jc w:val="both"/>
        <w:rPr>
          <w:lang w:val="de-DE"/>
        </w:rPr>
      </w:pPr>
    </w:p>
    <w:p w14:paraId="6DCE6379" w14:textId="71EF1661" w:rsidR="00E82417" w:rsidRPr="004676F5" w:rsidRDefault="00E82417" w:rsidP="00E82417">
      <w:pPr>
        <w:jc w:val="both"/>
        <w:rPr>
          <w:lang w:val="de-DE"/>
        </w:rPr>
      </w:pPr>
      <w:r w:rsidRPr="004676F5">
        <w:rPr>
          <w:lang w:val="de-DE"/>
        </w:rPr>
        <w:tab/>
        <w:t>§ 2 ­ Nach Abschluss der Untersuchung teilt der Generalauditor der Europäischen Kommission die Ergebnisse mit.]</w:t>
      </w:r>
    </w:p>
    <w:p w14:paraId="693D5052" w14:textId="77777777" w:rsidR="00E82417" w:rsidRPr="004676F5" w:rsidRDefault="00E82417" w:rsidP="00E82417">
      <w:pPr>
        <w:jc w:val="both"/>
        <w:rPr>
          <w:lang w:val="de-DE"/>
        </w:rPr>
      </w:pPr>
    </w:p>
    <w:p w14:paraId="45EB5F4C" w14:textId="6FE5C392" w:rsidR="00E82417" w:rsidRPr="004676F5" w:rsidRDefault="00E82417" w:rsidP="00E82417">
      <w:pPr>
        <w:jc w:val="both"/>
        <w:rPr>
          <w:lang w:val="de-DE"/>
        </w:rPr>
      </w:pPr>
      <w:r w:rsidRPr="004676F5">
        <w:rPr>
          <w:i/>
          <w:iCs/>
          <w:lang w:val="de-DE"/>
        </w:rPr>
        <w:t>[Art. IV.96 eingefügt durch Art. 50 des G. vom 29. März 2024 (B.S. vom 3. Mai 2024)]</w:t>
      </w:r>
    </w:p>
    <w:p w14:paraId="1B2C2F60" w14:textId="77777777" w:rsidR="00E82417" w:rsidRPr="004676F5" w:rsidRDefault="00E82417" w:rsidP="00E82417">
      <w:pPr>
        <w:jc w:val="both"/>
        <w:rPr>
          <w:lang w:val="de-DE"/>
        </w:rPr>
      </w:pPr>
    </w:p>
    <w:p w14:paraId="03369E38" w14:textId="77777777" w:rsidR="00E82417" w:rsidRPr="004676F5" w:rsidRDefault="00E82417" w:rsidP="00E82417">
      <w:pPr>
        <w:jc w:val="both"/>
        <w:rPr>
          <w:lang w:val="de-DE"/>
        </w:rPr>
      </w:pPr>
    </w:p>
    <w:p w14:paraId="6FFF8825" w14:textId="18D581E0" w:rsidR="00E82417" w:rsidRPr="004676F5" w:rsidRDefault="00E82417" w:rsidP="00E82417">
      <w:pPr>
        <w:ind w:firstLine="708"/>
        <w:jc w:val="both"/>
        <w:rPr>
          <w:lang w:val="de-DE"/>
        </w:rPr>
      </w:pPr>
      <w:r w:rsidRPr="004676F5">
        <w:rPr>
          <w:lang w:val="de-DE"/>
        </w:rPr>
        <w:t>[</w:t>
      </w:r>
      <w:r w:rsidRPr="004676F5">
        <w:rPr>
          <w:b/>
          <w:bCs/>
          <w:lang w:val="de-DE"/>
        </w:rPr>
        <w:t>Art. IV.97</w:t>
      </w:r>
      <w:r w:rsidRPr="004676F5">
        <w:rPr>
          <w:lang w:val="de-DE"/>
        </w:rPr>
        <w:t xml:space="preserve"> - Die zu diesem Zweck vom Generalauditor bestimmten Personalmitglieder der Belgischen Wettbewerbsbehörde sind in Anwendung der Artikel 21 Absatz 5, 22 Absatz 2, 23 Absatz 3 und 26 Absatz 2 der Verordnung (EU) 2022/1925 mit Unterstützungsaufgaben beauftragt.</w:t>
      </w:r>
    </w:p>
    <w:p w14:paraId="3916F48B" w14:textId="77777777" w:rsidR="00E82417" w:rsidRPr="004676F5" w:rsidRDefault="00E82417" w:rsidP="00E82417">
      <w:pPr>
        <w:jc w:val="both"/>
        <w:rPr>
          <w:lang w:val="de-DE"/>
        </w:rPr>
      </w:pPr>
    </w:p>
    <w:p w14:paraId="4CD91DB2" w14:textId="51E41FAD" w:rsidR="00E82417" w:rsidRPr="004676F5" w:rsidRDefault="00E82417" w:rsidP="00E82417">
      <w:pPr>
        <w:jc w:val="both"/>
        <w:rPr>
          <w:lang w:val="de-DE"/>
        </w:rPr>
      </w:pPr>
      <w:r w:rsidRPr="004676F5">
        <w:rPr>
          <w:lang w:val="de-DE"/>
        </w:rPr>
        <w:tab/>
        <w:t>Darüber hinaus können sie die Europäische Kommission bei ihren Marktuntersuchungen gemäß den Artikeln 16 Absatz 5 und 38 Absatz 6 der Verordnung (EU) 2022/1925 unterstützen.]</w:t>
      </w:r>
    </w:p>
    <w:p w14:paraId="5679F9DC" w14:textId="77777777" w:rsidR="00820C08" w:rsidRPr="004676F5" w:rsidRDefault="00820C08" w:rsidP="00E82417">
      <w:pPr>
        <w:jc w:val="both"/>
        <w:rPr>
          <w:lang w:val="de-DE"/>
        </w:rPr>
      </w:pPr>
    </w:p>
    <w:p w14:paraId="726E4498" w14:textId="1A8919F0" w:rsidR="00E82417" w:rsidRPr="004676F5" w:rsidRDefault="00E82417" w:rsidP="00E82417">
      <w:pPr>
        <w:jc w:val="both"/>
        <w:rPr>
          <w:lang w:val="de-DE"/>
        </w:rPr>
      </w:pPr>
      <w:r w:rsidRPr="004676F5">
        <w:rPr>
          <w:i/>
          <w:iCs/>
          <w:lang w:val="de-DE"/>
        </w:rPr>
        <w:t>[Art. IV.97 eingefügt durch Art. 51 des G. vom 29. März 2024 (B.S. vom 3. Mai 2024)]</w:t>
      </w:r>
    </w:p>
    <w:p w14:paraId="7E9FD656" w14:textId="18B4C8CF" w:rsidR="00F76466" w:rsidRPr="004676F5" w:rsidRDefault="00F76466" w:rsidP="00E71B2F">
      <w:pPr>
        <w:rPr>
          <w:lang w:val="de-DE"/>
        </w:rPr>
      </w:pPr>
    </w:p>
    <w:p w14:paraId="0CA40204" w14:textId="77777777" w:rsidR="00E82417" w:rsidRPr="004676F5" w:rsidRDefault="00E82417" w:rsidP="00E71B2F">
      <w:pPr>
        <w:rPr>
          <w:lang w:val="de-DE"/>
        </w:rPr>
      </w:pPr>
    </w:p>
    <w:p w14:paraId="121F9030" w14:textId="251E98B5" w:rsidR="00E82417" w:rsidRPr="004676F5" w:rsidRDefault="00E82417" w:rsidP="00E82417">
      <w:pPr>
        <w:jc w:val="both"/>
        <w:rPr>
          <w:lang w:val="de-DE"/>
        </w:rPr>
      </w:pPr>
      <w:r w:rsidRPr="004676F5">
        <w:rPr>
          <w:lang w:val="de-DE"/>
        </w:rPr>
        <w:tab/>
        <w:t>[</w:t>
      </w:r>
      <w:r w:rsidRPr="004676F5">
        <w:rPr>
          <w:b/>
          <w:bCs/>
          <w:lang w:val="de-DE"/>
        </w:rPr>
        <w:t>Art. IV.98</w:t>
      </w:r>
      <w:r w:rsidRPr="004676F5">
        <w:rPr>
          <w:lang w:val="de-DE"/>
        </w:rPr>
        <w:t xml:space="preserve"> - Für die Zwecke der Anwendung der Verordnung (EU) 2022/1925 können der Präsident, der Generalauditor und die Personalmitglieder der Belgischen Wettbewerbsbehörde der Europäischen Kommission und den nationalen Wettbewerbsbehörden alle tatsächlichen oder rechtlichen Umstände, einschließlich vertraulicher Informationen, mitteilen.]</w:t>
      </w:r>
    </w:p>
    <w:p w14:paraId="5C8ACFFD" w14:textId="77777777" w:rsidR="00E82417" w:rsidRPr="004676F5" w:rsidRDefault="00E82417" w:rsidP="00E82417">
      <w:pPr>
        <w:jc w:val="both"/>
        <w:rPr>
          <w:lang w:val="de-DE"/>
        </w:rPr>
      </w:pPr>
    </w:p>
    <w:p w14:paraId="2F30956E" w14:textId="7876E78D" w:rsidR="00E82417" w:rsidRPr="004676F5" w:rsidRDefault="00E82417" w:rsidP="00E82417">
      <w:pPr>
        <w:jc w:val="both"/>
        <w:rPr>
          <w:lang w:val="de-DE"/>
        </w:rPr>
      </w:pPr>
      <w:r w:rsidRPr="004676F5">
        <w:rPr>
          <w:i/>
          <w:iCs/>
          <w:lang w:val="de-DE"/>
        </w:rPr>
        <w:t>[Art. IV.98 eingefügt durch Art. 52 des G. vom 29. März 2024 (B.S. vom 3. Mai 2024)]</w:t>
      </w:r>
    </w:p>
    <w:p w14:paraId="62784C18" w14:textId="77777777" w:rsidR="00E82417" w:rsidRPr="004676F5" w:rsidRDefault="00E82417" w:rsidP="00E82417">
      <w:pPr>
        <w:jc w:val="both"/>
        <w:rPr>
          <w:lang w:val="de-DE"/>
        </w:rPr>
      </w:pPr>
    </w:p>
    <w:p w14:paraId="3CD6F436" w14:textId="77777777" w:rsidR="00E82417" w:rsidRPr="004676F5" w:rsidRDefault="00E82417" w:rsidP="00E82417">
      <w:pPr>
        <w:jc w:val="both"/>
        <w:rPr>
          <w:lang w:val="de-DE"/>
        </w:rPr>
      </w:pPr>
    </w:p>
    <w:p w14:paraId="10E0898C" w14:textId="1B7839A8" w:rsidR="00E82417" w:rsidRPr="004676F5" w:rsidRDefault="00E82417" w:rsidP="00E82417">
      <w:pPr>
        <w:ind w:firstLine="708"/>
        <w:jc w:val="both"/>
        <w:rPr>
          <w:lang w:val="de-DE"/>
        </w:rPr>
      </w:pPr>
      <w:r w:rsidRPr="004676F5">
        <w:rPr>
          <w:lang w:val="de-DE"/>
        </w:rPr>
        <w:t>[</w:t>
      </w:r>
      <w:r w:rsidRPr="004676F5">
        <w:rPr>
          <w:b/>
          <w:bCs/>
          <w:lang w:val="de-DE"/>
        </w:rPr>
        <w:t>Art. IV.99</w:t>
      </w:r>
      <w:r w:rsidRPr="004676F5">
        <w:rPr>
          <w:lang w:val="de-DE"/>
        </w:rPr>
        <w:t> - Praktiken oder Verhaltensweisen, die in den Anwendungsbereich der Verordnung (EU) 2022/1925 fallen, werden in Anwendung von Artikel 27 Absatz 1 derselben Verordnung dem Generalauditor mitgeteilt.</w:t>
      </w:r>
    </w:p>
    <w:p w14:paraId="11096E05" w14:textId="77777777" w:rsidR="00E82417" w:rsidRPr="004676F5" w:rsidRDefault="00E82417" w:rsidP="00E82417">
      <w:pPr>
        <w:jc w:val="both"/>
        <w:rPr>
          <w:lang w:val="de-DE"/>
        </w:rPr>
      </w:pPr>
    </w:p>
    <w:p w14:paraId="10C2972B" w14:textId="6E48AD2F" w:rsidR="00E82417" w:rsidRPr="004676F5" w:rsidRDefault="00E82417" w:rsidP="00E82417">
      <w:pPr>
        <w:jc w:val="both"/>
        <w:rPr>
          <w:lang w:val="de-DE"/>
        </w:rPr>
      </w:pPr>
      <w:r w:rsidRPr="004676F5">
        <w:rPr>
          <w:lang w:val="de-DE"/>
        </w:rPr>
        <w:tab/>
        <w:t xml:space="preserve">Der Generalauditor kann nach freiem Ermessen über geeignete Maßnahmen entscheiden und ist in keiner Weise verpflichtet, Folgemaßnahmen zu den erhaltenen Informationen zu ergreifen. Kommt er zu dem Schluss, dass die auf der Grundlage von Absatz 1 erhaltenen </w:t>
      </w:r>
      <w:r w:rsidRPr="004676F5">
        <w:rPr>
          <w:lang w:val="de-DE"/>
        </w:rPr>
        <w:lastRenderedPageBreak/>
        <w:t>Informationen möglicherweise eine Nichteinhaltung der Verordnung (EU) 2022/1925 darstellen, so übermittelt er diese Informationen der Europäischen Kommission.]</w:t>
      </w:r>
    </w:p>
    <w:p w14:paraId="381B9F8B" w14:textId="77777777" w:rsidR="00E82417" w:rsidRPr="004676F5" w:rsidRDefault="00E82417" w:rsidP="00E82417">
      <w:pPr>
        <w:jc w:val="both"/>
        <w:rPr>
          <w:lang w:val="de-DE"/>
        </w:rPr>
      </w:pPr>
    </w:p>
    <w:p w14:paraId="0A173817" w14:textId="1318D594" w:rsidR="00E82417" w:rsidRPr="004676F5" w:rsidRDefault="00E82417" w:rsidP="00E82417">
      <w:pPr>
        <w:jc w:val="both"/>
        <w:rPr>
          <w:i/>
          <w:iCs/>
          <w:lang w:val="de-DE"/>
        </w:rPr>
      </w:pPr>
      <w:r w:rsidRPr="004676F5">
        <w:rPr>
          <w:i/>
          <w:iCs/>
          <w:lang w:val="de-DE"/>
        </w:rPr>
        <w:t>[Art. IV.99 eingefügt durch Art. 53 des G. vom 29. März 2024 (B.S. vom 3. Mai 2024)]</w:t>
      </w:r>
    </w:p>
    <w:p w14:paraId="7C8547F9" w14:textId="77777777" w:rsidR="00E82417" w:rsidRPr="004676F5" w:rsidRDefault="00E82417" w:rsidP="00E82417">
      <w:pPr>
        <w:jc w:val="both"/>
        <w:rPr>
          <w:lang w:val="de-DE"/>
        </w:rPr>
      </w:pPr>
    </w:p>
    <w:p w14:paraId="6699CBA5" w14:textId="77777777" w:rsidR="00E82417" w:rsidRPr="004676F5" w:rsidRDefault="00E82417" w:rsidP="00E82417">
      <w:pPr>
        <w:jc w:val="both"/>
        <w:rPr>
          <w:lang w:val="de-DE"/>
        </w:rPr>
      </w:pPr>
    </w:p>
    <w:p w14:paraId="101BE4A8" w14:textId="6156DBE0" w:rsidR="00E82417" w:rsidRPr="004676F5" w:rsidRDefault="00E82417" w:rsidP="00E82417">
      <w:pPr>
        <w:ind w:firstLine="708"/>
        <w:jc w:val="both"/>
        <w:rPr>
          <w:lang w:val="de-DE"/>
        </w:rPr>
      </w:pPr>
      <w:r w:rsidRPr="004676F5">
        <w:rPr>
          <w:lang w:val="de-DE"/>
        </w:rPr>
        <w:t>[</w:t>
      </w:r>
      <w:r w:rsidRPr="004676F5">
        <w:rPr>
          <w:b/>
          <w:bCs/>
          <w:lang w:val="de-DE"/>
        </w:rPr>
        <w:t>Art. IV.100</w:t>
      </w:r>
      <w:r w:rsidRPr="004676F5">
        <w:rPr>
          <w:lang w:val="de-DE"/>
        </w:rPr>
        <w:t> - § 1 - Der Generalauditor kann die Europäische Kommission ersuchen, eine Marktuntersuchung nach Artikel 41 Absatz 1, 2 und 3 der Verordnung (EU) 2022/1925 einzuleiten.</w:t>
      </w:r>
    </w:p>
    <w:p w14:paraId="191FC7B1" w14:textId="77777777" w:rsidR="00E82417" w:rsidRPr="004676F5" w:rsidRDefault="00E82417" w:rsidP="00E82417">
      <w:pPr>
        <w:jc w:val="both"/>
        <w:rPr>
          <w:lang w:val="de-DE"/>
        </w:rPr>
      </w:pPr>
    </w:p>
    <w:p w14:paraId="733C8FCA" w14:textId="77777777" w:rsidR="00E82417" w:rsidRPr="004676F5" w:rsidRDefault="00E82417" w:rsidP="00E82417">
      <w:pPr>
        <w:ind w:firstLine="708"/>
        <w:jc w:val="both"/>
        <w:rPr>
          <w:lang w:val="de-DE"/>
        </w:rPr>
      </w:pPr>
      <w:r w:rsidRPr="004676F5">
        <w:rPr>
          <w:lang w:val="de-DE"/>
        </w:rPr>
        <w:t>Um zu bewerten, ob hinreichende Gründe im Sinne der vorerwähnten Absätze von Artikel 41 der Verordnung (EU) 2022/1925 vorliegen, kann der Generalauditor gemäß Artikel IV.27 §§ 2 und 3 ein Personalmitglied des Auditorats, das als Auditor mit der täglichen Leitung der Untersuchung beauftragt ist, bestimmen und ein Untersuchungsteam zusammenstellen. Die Artikel IV.40 bis IV.40/5 sind auf die Untersuchung entsprechend anwendbar.</w:t>
      </w:r>
    </w:p>
    <w:p w14:paraId="756524F3" w14:textId="77777777" w:rsidR="00E82417" w:rsidRPr="004676F5" w:rsidRDefault="00E82417" w:rsidP="00E82417">
      <w:pPr>
        <w:jc w:val="both"/>
        <w:rPr>
          <w:lang w:val="de-DE"/>
        </w:rPr>
      </w:pPr>
    </w:p>
    <w:p w14:paraId="4447861F" w14:textId="77777777" w:rsidR="00E82417" w:rsidRPr="004676F5" w:rsidRDefault="00E82417" w:rsidP="00E82417">
      <w:pPr>
        <w:ind w:firstLine="708"/>
        <w:jc w:val="both"/>
        <w:rPr>
          <w:lang w:val="de-DE"/>
        </w:rPr>
      </w:pPr>
      <w:r w:rsidRPr="004676F5">
        <w:rPr>
          <w:lang w:val="de-DE"/>
        </w:rPr>
        <w:t>§ 2 - Ist eine belgische Behörde, die Mitglied eines in Artikel 40 Absatz 2 der Verordnung (EU) 2022/1925 aufgeführten Netzwerks ist, oder eine bestimmte öffentliche Einrichtung oder andere öffentliche Körperschaft, die mit der Kontrolle oder Überwachung eines Wirtschaftssektors beauftragt ist, der Ansicht, dass die Europäische Kommission um die Einleitung einer Marktuntersuchung ersucht werden sollte, meldet sie dies dem Generalauditor.</w:t>
      </w:r>
    </w:p>
    <w:p w14:paraId="06F1393E" w14:textId="77777777" w:rsidR="00E82417" w:rsidRPr="004676F5" w:rsidRDefault="00E82417" w:rsidP="00E82417">
      <w:pPr>
        <w:jc w:val="both"/>
        <w:rPr>
          <w:lang w:val="de-DE"/>
        </w:rPr>
      </w:pPr>
    </w:p>
    <w:p w14:paraId="6F2DBB2A" w14:textId="77777777" w:rsidR="00E82417" w:rsidRPr="004676F5" w:rsidRDefault="00E82417" w:rsidP="00E82417">
      <w:pPr>
        <w:ind w:firstLine="708"/>
        <w:jc w:val="both"/>
        <w:rPr>
          <w:lang w:val="de-DE"/>
        </w:rPr>
      </w:pPr>
      <w:r w:rsidRPr="004676F5">
        <w:rPr>
          <w:lang w:val="de-DE"/>
        </w:rPr>
        <w:t>Ist der Generalauditor der Ansicht, dass in Anwendung von § 1 Absatz 1 um Einleitung einer Marktuntersuchung ersucht werden sollte, so holt er die Stellungnahme der anderen betroffenen Behörden ein, bevor er das Ersuchen stellt.</w:t>
      </w:r>
    </w:p>
    <w:p w14:paraId="48722A93" w14:textId="77777777" w:rsidR="00E82417" w:rsidRPr="004676F5" w:rsidRDefault="00E82417" w:rsidP="00E82417">
      <w:pPr>
        <w:jc w:val="both"/>
        <w:rPr>
          <w:lang w:val="de-DE"/>
        </w:rPr>
      </w:pPr>
    </w:p>
    <w:p w14:paraId="1DFA0986" w14:textId="5C3E06BA" w:rsidR="00E82417" w:rsidRPr="004676F5" w:rsidRDefault="00E82417" w:rsidP="00E82417">
      <w:pPr>
        <w:jc w:val="both"/>
        <w:rPr>
          <w:lang w:val="de-DE"/>
        </w:rPr>
      </w:pPr>
      <w:r w:rsidRPr="004676F5">
        <w:rPr>
          <w:lang w:val="de-DE"/>
        </w:rPr>
        <w:tab/>
        <w:t>Einschlägige Informationen, einschließlich vertraulicher Informationen, die zwischen der Belgischen Wettbewerbsbehörde und anderen betroffenen Stellen im Rahmen der Anwendung von Artikel 41 der Verordnung (EU) 2022/1925 ausgetauscht werden, dürfen nur unter Einhaltung von Artikel 36 dieser Verordnung ausgetauscht werden und sofern dies im Hinblick auf den Zweck des Ersuchens um Marktuntersuchung und dessen Weiterverfolgung bei der Europäischen Kommission erforderlich und angemessen ist. Sofern verfügbar, wird eine nicht vertrauliche Fassung der ausgetauschten Information von der Stelle, die die Information erteilt, an die Stelle, die sie erhält, auf deren Ersuchen hin übermittelt.]</w:t>
      </w:r>
    </w:p>
    <w:p w14:paraId="3630B0CD" w14:textId="77777777" w:rsidR="00E82417" w:rsidRPr="004676F5" w:rsidRDefault="00E82417" w:rsidP="00E82417">
      <w:pPr>
        <w:jc w:val="both"/>
        <w:rPr>
          <w:lang w:val="de-DE"/>
        </w:rPr>
      </w:pPr>
    </w:p>
    <w:p w14:paraId="3BE63539" w14:textId="5B53437A" w:rsidR="00E82417" w:rsidRPr="004676F5" w:rsidRDefault="00E82417" w:rsidP="00E82417">
      <w:pPr>
        <w:jc w:val="both"/>
        <w:rPr>
          <w:lang w:val="de-DE"/>
        </w:rPr>
      </w:pPr>
      <w:r w:rsidRPr="004676F5">
        <w:rPr>
          <w:i/>
          <w:iCs/>
          <w:lang w:val="de-DE"/>
        </w:rPr>
        <w:t>[Art. IV.100 eingefügt durch Art. 54 des G. vom 29. März 2024 (B.S. vom 3. Mai 2024)]</w:t>
      </w:r>
    </w:p>
    <w:p w14:paraId="27999351" w14:textId="77777777" w:rsidR="00784609" w:rsidRPr="004676F5" w:rsidRDefault="00784609" w:rsidP="00E82417">
      <w:pPr>
        <w:jc w:val="both"/>
        <w:rPr>
          <w:lang w:val="de-DE"/>
        </w:rPr>
      </w:pPr>
    </w:p>
    <w:p w14:paraId="4C61B291" w14:textId="77777777" w:rsidR="00784609" w:rsidRPr="004676F5" w:rsidRDefault="00784609" w:rsidP="00E82417">
      <w:pPr>
        <w:jc w:val="both"/>
        <w:rPr>
          <w:lang w:val="de-DE"/>
        </w:rPr>
      </w:pPr>
    </w:p>
    <w:p w14:paraId="541E7A3C" w14:textId="3F4E644E" w:rsidR="00784609" w:rsidRPr="004676F5" w:rsidRDefault="00784609" w:rsidP="00784609">
      <w:pPr>
        <w:ind w:firstLine="708"/>
        <w:jc w:val="both"/>
        <w:rPr>
          <w:lang w:val="de-DE"/>
        </w:rPr>
      </w:pPr>
      <w:r w:rsidRPr="004676F5">
        <w:rPr>
          <w:lang w:val="de-DE"/>
        </w:rPr>
        <w:t>[</w:t>
      </w:r>
      <w:r w:rsidRPr="004676F5">
        <w:rPr>
          <w:b/>
          <w:bCs/>
          <w:lang w:val="de-DE"/>
        </w:rPr>
        <w:t>Art. IV.101</w:t>
      </w:r>
      <w:r w:rsidRPr="004676F5">
        <w:rPr>
          <w:lang w:val="de-DE"/>
        </w:rPr>
        <w:t> - Der Belgische Staat wird in dem in Artikel 50 der Verordnung (EU) 2022/1925 erwähnten Beratenden Ausschuss für digitale Märkte durch die Belgische Wettbewerbsbehörde vertreten, die ihrerseits durch ihren Präsidenten oder ein von ihm bestimmtes Mitglied des Direktionsausschusses oder des Personals vertreten wird. Er beziehungsweise es kann von einem Vertreter einer oder mehrerer anderer Behörden oder Einrichtungen begleitet werden, die über Fachkompetenz zu einem spezifischen Thema verfügen, das dem Beratenden Ausschuss vorgelegt wird. Gegebenenfalls wird dieser Vertreter vom Präsidenten der Belgischen Wettbewerbsbehörde eingeladen.</w:t>
      </w:r>
    </w:p>
    <w:p w14:paraId="30444583" w14:textId="77777777" w:rsidR="00784609" w:rsidRPr="004676F5" w:rsidRDefault="00784609" w:rsidP="00784609">
      <w:pPr>
        <w:jc w:val="both"/>
        <w:rPr>
          <w:lang w:val="de-DE"/>
        </w:rPr>
      </w:pPr>
    </w:p>
    <w:p w14:paraId="34A869D0" w14:textId="77777777" w:rsidR="00784609" w:rsidRPr="004676F5" w:rsidRDefault="00784609">
      <w:pPr>
        <w:rPr>
          <w:lang w:val="de-DE"/>
        </w:rPr>
      </w:pPr>
      <w:r w:rsidRPr="004676F5">
        <w:rPr>
          <w:lang w:val="de-DE"/>
        </w:rPr>
        <w:br w:type="page"/>
      </w:r>
    </w:p>
    <w:p w14:paraId="021D04BB" w14:textId="193F839A" w:rsidR="00784609" w:rsidRPr="004676F5" w:rsidRDefault="00784609" w:rsidP="00784609">
      <w:pPr>
        <w:jc w:val="both"/>
        <w:rPr>
          <w:lang w:val="de-DE"/>
        </w:rPr>
      </w:pPr>
      <w:r w:rsidRPr="004676F5">
        <w:rPr>
          <w:lang w:val="de-DE"/>
        </w:rPr>
        <w:lastRenderedPageBreak/>
        <w:tab/>
        <w:t>Für Beratungsverfahren im Rahmen von Artikel 46 der Verordnung (EU) 2022/1925 lädt der Präsident einen Vertreter des FÖD Wirtschaft zur Teilnahme am Beratenden Ausschuss ein.]</w:t>
      </w:r>
    </w:p>
    <w:p w14:paraId="041F4B0E" w14:textId="77777777" w:rsidR="00784609" w:rsidRPr="004676F5" w:rsidRDefault="00784609" w:rsidP="00784609">
      <w:pPr>
        <w:jc w:val="both"/>
        <w:rPr>
          <w:lang w:val="de-DE"/>
        </w:rPr>
      </w:pPr>
    </w:p>
    <w:p w14:paraId="5A542F11" w14:textId="764D944F" w:rsidR="00784609" w:rsidRPr="004676F5" w:rsidRDefault="00784609" w:rsidP="00784609">
      <w:pPr>
        <w:jc w:val="both"/>
        <w:rPr>
          <w:lang w:val="de-DE"/>
        </w:rPr>
      </w:pPr>
      <w:r w:rsidRPr="004676F5">
        <w:rPr>
          <w:i/>
          <w:iCs/>
          <w:lang w:val="de-DE"/>
        </w:rPr>
        <w:t>[Art. IV.101 eingefügt durch Art. 55 des G. vom 29. März 2024 (B.S. vom 3. Mai 2024)]</w:t>
      </w:r>
    </w:p>
    <w:p w14:paraId="6EC6B8F4" w14:textId="77777777" w:rsidR="00784609" w:rsidRPr="004676F5" w:rsidRDefault="00784609" w:rsidP="00784609">
      <w:pPr>
        <w:jc w:val="both"/>
        <w:rPr>
          <w:lang w:val="de-DE"/>
        </w:rPr>
      </w:pPr>
    </w:p>
    <w:p w14:paraId="4F6A186B" w14:textId="77777777" w:rsidR="00784609" w:rsidRPr="004676F5" w:rsidRDefault="00784609" w:rsidP="00784609">
      <w:pPr>
        <w:jc w:val="both"/>
        <w:rPr>
          <w:lang w:val="de-DE"/>
        </w:rPr>
      </w:pPr>
    </w:p>
    <w:p w14:paraId="56DA8B65" w14:textId="578F6864" w:rsidR="00784609" w:rsidRPr="004676F5" w:rsidRDefault="00784609" w:rsidP="00784609">
      <w:pPr>
        <w:jc w:val="both"/>
        <w:rPr>
          <w:lang w:val="de-DE"/>
        </w:rPr>
      </w:pPr>
      <w:r w:rsidRPr="004676F5">
        <w:rPr>
          <w:lang w:val="de-DE"/>
        </w:rPr>
        <w:tab/>
        <w:t>[</w:t>
      </w:r>
      <w:r w:rsidRPr="004676F5">
        <w:rPr>
          <w:b/>
          <w:bCs/>
          <w:lang w:val="de-DE"/>
        </w:rPr>
        <w:t>Art. IV.102</w:t>
      </w:r>
      <w:r w:rsidRPr="004676F5">
        <w:rPr>
          <w:lang w:val="de-DE"/>
        </w:rPr>
        <w:t xml:space="preserve"> - Artikel IV.92 ist auch auf die Bestimmungen von Titel 4 des vorliegenden Buches anwendbar.]</w:t>
      </w:r>
    </w:p>
    <w:p w14:paraId="51B8DD76" w14:textId="77777777" w:rsidR="00784609" w:rsidRPr="004676F5" w:rsidRDefault="00784609" w:rsidP="00784609">
      <w:pPr>
        <w:jc w:val="both"/>
        <w:rPr>
          <w:lang w:val="de-DE"/>
        </w:rPr>
      </w:pPr>
    </w:p>
    <w:p w14:paraId="07A68872" w14:textId="48B0F8E3" w:rsidR="00784609" w:rsidRPr="004676F5" w:rsidRDefault="00784609" w:rsidP="00784609">
      <w:pPr>
        <w:jc w:val="both"/>
        <w:rPr>
          <w:lang w:val="de-DE"/>
        </w:rPr>
      </w:pPr>
      <w:r w:rsidRPr="004676F5">
        <w:rPr>
          <w:i/>
          <w:iCs/>
          <w:lang w:val="de-DE"/>
        </w:rPr>
        <w:t>[Art. IV.102 eingefügt durch Art. 56 des G. vom 29. März 2024 (B.S. vom 3. Mai 2024)]</w:t>
      </w:r>
    </w:p>
    <w:p w14:paraId="778CB4D6" w14:textId="77777777" w:rsidR="00784609" w:rsidRPr="004676F5" w:rsidRDefault="00784609" w:rsidP="00784609">
      <w:pPr>
        <w:jc w:val="both"/>
        <w:rPr>
          <w:lang w:val="de-DE"/>
        </w:rPr>
      </w:pPr>
    </w:p>
    <w:p w14:paraId="31A5226E" w14:textId="77777777" w:rsidR="00784609" w:rsidRPr="004676F5" w:rsidRDefault="00784609" w:rsidP="00784609">
      <w:pPr>
        <w:jc w:val="both"/>
        <w:rPr>
          <w:lang w:val="de-DE"/>
        </w:rPr>
      </w:pPr>
    </w:p>
    <w:p w14:paraId="67E8D181" w14:textId="7C61C4F7" w:rsidR="00E82417" w:rsidRPr="004676F5" w:rsidRDefault="00E82417">
      <w:pPr>
        <w:rPr>
          <w:lang w:val="de-DE"/>
        </w:rPr>
      </w:pPr>
      <w:r w:rsidRPr="004676F5">
        <w:rPr>
          <w:lang w:val="de-DE"/>
        </w:rPr>
        <w:br w:type="page"/>
      </w:r>
    </w:p>
    <w:p w14:paraId="54EEA9B0" w14:textId="2BE940A3" w:rsidR="00F76466" w:rsidRPr="004676F5" w:rsidRDefault="00E71B2F" w:rsidP="00F76466">
      <w:pPr>
        <w:jc w:val="center"/>
        <w:rPr>
          <w:lang w:val="de-DE"/>
        </w:rPr>
      </w:pPr>
      <w:r w:rsidRPr="004676F5">
        <w:rPr>
          <w:lang w:val="de-DE"/>
        </w:rPr>
        <w:lastRenderedPageBreak/>
        <w:t>[</w:t>
      </w:r>
      <w:r w:rsidR="00F76466" w:rsidRPr="004676F5">
        <w:rPr>
          <w:b/>
          <w:lang w:val="de-DE"/>
        </w:rPr>
        <w:t>BUCH V </w:t>
      </w:r>
      <w:r w:rsidR="005B7A5C" w:rsidRPr="004676F5">
        <w:rPr>
          <w:b/>
          <w:lang w:val="de-DE"/>
        </w:rPr>
        <w:t>- </w:t>
      </w:r>
      <w:r w:rsidR="00F76466" w:rsidRPr="004676F5">
        <w:rPr>
          <w:b/>
          <w:caps/>
          <w:lang w:val="de-DE"/>
        </w:rPr>
        <w:t>Wettbewerb und Preisentwicklungen</w:t>
      </w:r>
    </w:p>
    <w:p w14:paraId="62F095EF" w14:textId="77777777" w:rsidR="00F76466" w:rsidRPr="004676F5" w:rsidRDefault="00F76466" w:rsidP="00F76466">
      <w:pPr>
        <w:jc w:val="center"/>
        <w:rPr>
          <w:lang w:val="de-DE"/>
        </w:rPr>
      </w:pPr>
    </w:p>
    <w:p w14:paraId="42B4D93A" w14:textId="6D585D76" w:rsidR="00E71B2F" w:rsidRPr="004676F5" w:rsidRDefault="00E71B2F" w:rsidP="00E71B2F">
      <w:pPr>
        <w:jc w:val="both"/>
        <w:rPr>
          <w:i/>
          <w:lang w:val="de-DE"/>
        </w:rPr>
      </w:pPr>
      <w:r w:rsidRPr="004676F5">
        <w:rPr>
          <w:i/>
          <w:lang w:val="de-DE"/>
        </w:rPr>
        <w:t>[Buch V mit den Artikeln V.1 bis V.</w:t>
      </w:r>
      <w:r w:rsidR="00962A0A" w:rsidRPr="004676F5">
        <w:rPr>
          <w:i/>
          <w:lang w:val="de-DE"/>
        </w:rPr>
        <w:t xml:space="preserve">4 und V.6 bis </w:t>
      </w:r>
      <w:r w:rsidR="00502F1C" w:rsidRPr="004676F5">
        <w:rPr>
          <w:i/>
          <w:lang w:val="de-DE"/>
        </w:rPr>
        <w:t>V.</w:t>
      </w:r>
      <w:r w:rsidRPr="004676F5">
        <w:rPr>
          <w:i/>
          <w:lang w:val="de-DE"/>
        </w:rPr>
        <w:t xml:space="preserve">14 eingefügt durch </w:t>
      </w:r>
      <w:r w:rsidR="00BE0A56" w:rsidRPr="004676F5">
        <w:rPr>
          <w:i/>
          <w:lang w:val="de-DE"/>
        </w:rPr>
        <w:t>Art. </w:t>
      </w:r>
      <w:r w:rsidRPr="004676F5">
        <w:rPr>
          <w:i/>
          <w:lang w:val="de-DE"/>
        </w:rPr>
        <w:t>5 des G. vom 3. April 2013</w:t>
      </w:r>
      <w:r w:rsidR="00962A0A" w:rsidRPr="004676F5">
        <w:rPr>
          <w:i/>
          <w:lang w:val="de-DE"/>
        </w:rPr>
        <w:t xml:space="preserve"> (I)</w:t>
      </w:r>
      <w:r w:rsidRPr="004676F5">
        <w:rPr>
          <w:i/>
          <w:lang w:val="de-DE"/>
        </w:rPr>
        <w:t xml:space="preserve"> (B.S. vom 26. April 2013)]</w:t>
      </w:r>
    </w:p>
    <w:p w14:paraId="2EFE5306" w14:textId="77777777" w:rsidR="00E71B2F" w:rsidRPr="004676F5" w:rsidRDefault="00E71B2F" w:rsidP="00E71B2F">
      <w:pPr>
        <w:jc w:val="both"/>
        <w:rPr>
          <w:i/>
          <w:lang w:val="de-DE"/>
        </w:rPr>
      </w:pPr>
    </w:p>
    <w:p w14:paraId="6DC3D58F" w14:textId="77777777" w:rsidR="00E71B2F" w:rsidRPr="004676F5" w:rsidRDefault="00E71B2F" w:rsidP="00E71B2F">
      <w:pPr>
        <w:jc w:val="both"/>
        <w:rPr>
          <w:i/>
          <w:lang w:val="de-DE"/>
        </w:rPr>
      </w:pPr>
    </w:p>
    <w:p w14:paraId="0CE4BAA0" w14:textId="6C6D6DF0" w:rsidR="00F76466" w:rsidRPr="004676F5" w:rsidRDefault="00F76466" w:rsidP="00F76466">
      <w:pPr>
        <w:jc w:val="center"/>
        <w:rPr>
          <w:b/>
          <w:lang w:val="de-DE"/>
        </w:rPr>
      </w:pPr>
      <w:r w:rsidRPr="004676F5">
        <w:rPr>
          <w:b/>
          <w:lang w:val="de-DE"/>
        </w:rPr>
        <w:t>TITEL 1 </w:t>
      </w:r>
      <w:r w:rsidR="005B7A5C" w:rsidRPr="004676F5">
        <w:rPr>
          <w:b/>
          <w:lang w:val="de-DE"/>
        </w:rPr>
        <w:t>- </w:t>
      </w:r>
      <w:r w:rsidRPr="004676F5">
        <w:rPr>
          <w:b/>
          <w:i/>
          <w:lang w:val="de-DE"/>
        </w:rPr>
        <w:t>Allgemeine Bestimmungen</w:t>
      </w:r>
    </w:p>
    <w:p w14:paraId="3DD8405A" w14:textId="77777777" w:rsidR="00F76466" w:rsidRPr="004676F5" w:rsidRDefault="00F76466" w:rsidP="00F76466">
      <w:pPr>
        <w:jc w:val="center"/>
        <w:rPr>
          <w:lang w:val="de-DE"/>
        </w:rPr>
      </w:pPr>
    </w:p>
    <w:p w14:paraId="2C298753" w14:textId="77777777" w:rsidR="00E71B2F" w:rsidRPr="004676F5" w:rsidRDefault="00E71B2F" w:rsidP="00F76466">
      <w:pPr>
        <w:jc w:val="center"/>
        <w:rPr>
          <w:lang w:val="de-DE"/>
        </w:rPr>
      </w:pPr>
    </w:p>
    <w:p w14:paraId="503951B2" w14:textId="7F63391A" w:rsidR="00F76466" w:rsidRPr="004676F5" w:rsidRDefault="00BE0A56" w:rsidP="00F76466">
      <w:pPr>
        <w:ind w:firstLine="708"/>
        <w:jc w:val="both"/>
        <w:rPr>
          <w:lang w:val="de-DE"/>
        </w:rPr>
      </w:pPr>
      <w:r w:rsidRPr="004676F5">
        <w:rPr>
          <w:b/>
          <w:lang w:val="de-DE"/>
        </w:rPr>
        <w:t>Art. </w:t>
      </w:r>
      <w:r w:rsidR="00F76466" w:rsidRPr="004676F5">
        <w:rPr>
          <w:b/>
          <w:lang w:val="de-DE"/>
        </w:rPr>
        <w:t>V.1</w:t>
      </w:r>
      <w:r w:rsidR="00F76466" w:rsidRPr="004676F5">
        <w:rPr>
          <w:lang w:val="de-DE"/>
        </w:rPr>
        <w:t> </w:t>
      </w:r>
      <w:r w:rsidR="005B7A5C" w:rsidRPr="004676F5">
        <w:rPr>
          <w:lang w:val="de-DE"/>
        </w:rPr>
        <w:t>- </w:t>
      </w:r>
      <w:r w:rsidR="00F76466" w:rsidRPr="004676F5">
        <w:rPr>
          <w:lang w:val="de-DE"/>
        </w:rPr>
        <w:t>Vorliegender Titel ist auf Preise anwendbar, die von Unternehmen angewandt werden, mit Ausnahme der Preise von Gütern erwähnt in Titel 2.</w:t>
      </w:r>
    </w:p>
    <w:p w14:paraId="41FFEBA3" w14:textId="77777777" w:rsidR="00F76466" w:rsidRPr="004676F5" w:rsidRDefault="00F76466" w:rsidP="00F76466">
      <w:pPr>
        <w:jc w:val="both"/>
        <w:rPr>
          <w:lang w:val="de-DE"/>
        </w:rPr>
      </w:pPr>
    </w:p>
    <w:p w14:paraId="11FF9B1E" w14:textId="77777777" w:rsidR="00E71B2F" w:rsidRPr="004676F5" w:rsidRDefault="00E71B2F" w:rsidP="00F76466">
      <w:pPr>
        <w:jc w:val="both"/>
        <w:rPr>
          <w:lang w:val="de-DE"/>
        </w:rPr>
      </w:pPr>
    </w:p>
    <w:p w14:paraId="15EE8BA4" w14:textId="40323965" w:rsidR="00F76466" w:rsidRPr="004676F5" w:rsidRDefault="00BE0A56" w:rsidP="00F76466">
      <w:pPr>
        <w:ind w:firstLine="708"/>
        <w:jc w:val="both"/>
        <w:rPr>
          <w:lang w:val="de-DE"/>
        </w:rPr>
      </w:pPr>
      <w:r w:rsidRPr="004676F5">
        <w:rPr>
          <w:b/>
          <w:lang w:val="de-DE"/>
        </w:rPr>
        <w:t>Art. </w:t>
      </w:r>
      <w:r w:rsidR="00F76466" w:rsidRPr="004676F5">
        <w:rPr>
          <w:b/>
          <w:lang w:val="de-DE"/>
        </w:rPr>
        <w:t>V.2</w:t>
      </w:r>
      <w:r w:rsidR="00F76466" w:rsidRPr="004676F5">
        <w:rPr>
          <w:lang w:val="de-DE"/>
        </w:rPr>
        <w:t> </w:t>
      </w:r>
      <w:r w:rsidR="005B7A5C" w:rsidRPr="004676F5">
        <w:rPr>
          <w:lang w:val="de-DE"/>
        </w:rPr>
        <w:t>- </w:t>
      </w:r>
      <w:r w:rsidR="00F76466" w:rsidRPr="004676F5">
        <w:rPr>
          <w:lang w:val="de-DE"/>
        </w:rPr>
        <w:t>Preise von Gütern und Dienstleistungen werden durch den freien Wettbewerb bestimmt.</w:t>
      </w:r>
    </w:p>
    <w:p w14:paraId="7B6FDFD3" w14:textId="77777777" w:rsidR="00F76466" w:rsidRPr="004676F5" w:rsidRDefault="00F76466" w:rsidP="00F76466">
      <w:pPr>
        <w:jc w:val="both"/>
        <w:rPr>
          <w:lang w:val="de-DE"/>
        </w:rPr>
      </w:pPr>
    </w:p>
    <w:p w14:paraId="0DEAAC46" w14:textId="77777777" w:rsidR="00E71B2F" w:rsidRPr="004676F5" w:rsidRDefault="00E71B2F" w:rsidP="00F76466">
      <w:pPr>
        <w:jc w:val="both"/>
        <w:rPr>
          <w:lang w:val="de-DE"/>
        </w:rPr>
      </w:pPr>
    </w:p>
    <w:p w14:paraId="7EDFAE67" w14:textId="1AF8C575" w:rsidR="00F76466" w:rsidRPr="004676F5" w:rsidRDefault="00BE0A56" w:rsidP="00F76466">
      <w:pPr>
        <w:ind w:firstLine="708"/>
        <w:jc w:val="both"/>
        <w:rPr>
          <w:lang w:val="de-DE"/>
        </w:rPr>
      </w:pPr>
      <w:r w:rsidRPr="004676F5">
        <w:rPr>
          <w:b/>
          <w:lang w:val="de-DE"/>
        </w:rPr>
        <w:t>Art. </w:t>
      </w:r>
      <w:r w:rsidR="00F76466" w:rsidRPr="004676F5">
        <w:rPr>
          <w:b/>
          <w:lang w:val="de-DE"/>
        </w:rPr>
        <w:t>V.3</w:t>
      </w:r>
      <w:r w:rsidR="00F76466" w:rsidRPr="004676F5">
        <w:rPr>
          <w:lang w:val="de-DE"/>
        </w:rPr>
        <w:t> </w:t>
      </w:r>
      <w:r w:rsidR="005B7A5C" w:rsidRPr="004676F5">
        <w:rPr>
          <w:lang w:val="de-DE"/>
        </w:rPr>
        <w:t>- </w:t>
      </w:r>
      <w:r w:rsidR="00F76466" w:rsidRPr="004676F5">
        <w:rPr>
          <w:lang w:val="de-DE"/>
        </w:rPr>
        <w:t>Stellt die Preisbeobachtungsstelle ein Problem in Bezug auf Preise oder Margen, eine anormale Preisentwicklung oder ein strukturelles Marktproblem fest, kann sie die betreffenden Parteien, die Berufsverbände und die Verbraucherverbände konsultieren und erstattet sie dem Minister Bericht über ihre Feststellungen. Gleichzeitig wird ihr Bericht der Belgischen Wettbewerbsbehörde, die dadurch befasst wird, und gegebenenfalls den betreffenden sektoriellen Regulierungsbehörden übermittelt.</w:t>
      </w:r>
    </w:p>
    <w:p w14:paraId="66328F5D" w14:textId="77777777" w:rsidR="00F76466" w:rsidRPr="004676F5" w:rsidRDefault="00F76466" w:rsidP="00F76466">
      <w:pPr>
        <w:jc w:val="both"/>
        <w:rPr>
          <w:lang w:val="de-DE"/>
        </w:rPr>
      </w:pPr>
    </w:p>
    <w:p w14:paraId="3CB2DCFE" w14:textId="77777777" w:rsidR="00F76466" w:rsidRPr="004676F5" w:rsidRDefault="00F76466" w:rsidP="00F76466">
      <w:pPr>
        <w:ind w:firstLine="708"/>
        <w:jc w:val="both"/>
        <w:rPr>
          <w:lang w:val="de-DE"/>
        </w:rPr>
      </w:pPr>
      <w:r w:rsidRPr="004676F5">
        <w:rPr>
          <w:lang w:val="de-DE"/>
        </w:rPr>
        <w:t>Der Bericht der Preisbeobachtungsstelle kann unter Wahrung der Vertraulichkeit der Angaben veröffentlicht werden. Enthält dieser Bericht Geschäftsgeheimnisse, kann eine Fassung ohne diese Geschäftsgeheimnisse veröffentlicht werden. Der Bericht der Preisbeobachtungsstelle wird vor jeder Veröffentlichung den betreffenden Parteien, den Berufsverbänden oder den Verbraucherverbänden übermittelt.</w:t>
      </w:r>
    </w:p>
    <w:p w14:paraId="34D4DFEE" w14:textId="77777777" w:rsidR="00F76466" w:rsidRPr="004676F5" w:rsidRDefault="00F76466" w:rsidP="00F76466">
      <w:pPr>
        <w:jc w:val="both"/>
        <w:rPr>
          <w:lang w:val="de-DE"/>
        </w:rPr>
      </w:pPr>
    </w:p>
    <w:p w14:paraId="659F7743" w14:textId="77777777" w:rsidR="00F76466" w:rsidRPr="004676F5" w:rsidRDefault="00F76466" w:rsidP="00F76466">
      <w:pPr>
        <w:ind w:firstLine="708"/>
        <w:jc w:val="both"/>
        <w:rPr>
          <w:lang w:val="de-DE"/>
        </w:rPr>
      </w:pPr>
      <w:r w:rsidRPr="004676F5">
        <w:rPr>
          <w:lang w:val="de-DE"/>
        </w:rPr>
        <w:t>Die Preisbeobachtungsstelle kann sich im Rahmen der durch Gesetz und Verordnung zuerkannten Befugnisse des FÖD Wirtschaft das Beweismaterial zur Verfügung stellen lassen, das für den Nachweis dieser Feststellungen notwendig ist.</w:t>
      </w:r>
    </w:p>
    <w:p w14:paraId="31AF4252" w14:textId="77777777" w:rsidR="00F76466" w:rsidRPr="004676F5" w:rsidRDefault="00F76466" w:rsidP="00F76466">
      <w:pPr>
        <w:jc w:val="both"/>
        <w:rPr>
          <w:lang w:val="de-DE"/>
        </w:rPr>
      </w:pPr>
    </w:p>
    <w:p w14:paraId="2B901CBB" w14:textId="77777777" w:rsidR="00F76466" w:rsidRPr="004676F5" w:rsidRDefault="00F76466" w:rsidP="00F76466">
      <w:pPr>
        <w:ind w:firstLine="708"/>
        <w:jc w:val="both"/>
        <w:rPr>
          <w:lang w:val="de-DE"/>
        </w:rPr>
      </w:pPr>
      <w:r w:rsidRPr="004676F5">
        <w:rPr>
          <w:lang w:val="de-DE"/>
        </w:rPr>
        <w:t>Die Preisbeobachtungsstelle kann in Absatz 1 erwähnte Feststellungen und Analysen aus eigener Initiative oder auf Antrag des Ministers machen.</w:t>
      </w:r>
    </w:p>
    <w:p w14:paraId="52AAFCB6" w14:textId="77777777" w:rsidR="00F76466" w:rsidRPr="004676F5" w:rsidRDefault="00F76466" w:rsidP="00F76466">
      <w:pPr>
        <w:jc w:val="both"/>
        <w:rPr>
          <w:lang w:val="de-DE"/>
        </w:rPr>
      </w:pPr>
    </w:p>
    <w:p w14:paraId="04ADB69A" w14:textId="77777777" w:rsidR="00E71B2F" w:rsidRPr="004676F5" w:rsidRDefault="00E71B2F" w:rsidP="00F76466">
      <w:pPr>
        <w:jc w:val="both"/>
        <w:rPr>
          <w:lang w:val="de-DE"/>
        </w:rPr>
      </w:pPr>
    </w:p>
    <w:p w14:paraId="1742D550" w14:textId="24EEA7F4" w:rsidR="00F76466" w:rsidRPr="004676F5" w:rsidRDefault="00BE0A56" w:rsidP="00F76466">
      <w:pPr>
        <w:ind w:firstLine="708"/>
        <w:jc w:val="both"/>
        <w:rPr>
          <w:lang w:val="de-DE"/>
        </w:rPr>
      </w:pPr>
      <w:r w:rsidRPr="004676F5">
        <w:rPr>
          <w:b/>
          <w:lang w:val="de-DE"/>
        </w:rPr>
        <w:t>Art. </w:t>
      </w:r>
      <w:r w:rsidR="00F76466" w:rsidRPr="004676F5">
        <w:rPr>
          <w:b/>
          <w:lang w:val="de-DE"/>
        </w:rPr>
        <w:t>V.4</w:t>
      </w:r>
      <w:r w:rsidR="00F76466" w:rsidRPr="004676F5">
        <w:rPr>
          <w:lang w:val="de-DE"/>
        </w:rPr>
        <w:t> </w:t>
      </w:r>
      <w:r w:rsidR="005B7A5C" w:rsidRPr="004676F5">
        <w:rPr>
          <w:lang w:val="de-DE"/>
        </w:rPr>
        <w:t>- </w:t>
      </w:r>
      <w:r w:rsidR="00F76466" w:rsidRPr="004676F5">
        <w:rPr>
          <w:lang w:val="de-DE"/>
        </w:rPr>
        <w:t>§ 1 </w:t>
      </w:r>
      <w:r w:rsidR="005B7A5C" w:rsidRPr="004676F5">
        <w:rPr>
          <w:lang w:val="de-DE"/>
        </w:rPr>
        <w:t>- </w:t>
      </w:r>
      <w:r w:rsidR="00F76466" w:rsidRPr="004676F5">
        <w:rPr>
          <w:lang w:val="de-DE"/>
        </w:rPr>
        <w:t>Falls dringend eine Lage vermieden werden muss, in der den betreffenden Unternehmen oder Verbrauchern, deren Interessen beeinträchtigt werden, schwerer, unmittelbarer und schwer wiedergutzumachender Schaden droht oder in der dem allgemeinen wirtschaftlichen Interesse geschadet wird, kann das Wettbewerbskollegium außer für Preise von Gütern und Dienstleistungen, deren Niveaus durch oder aufgrund des Gesetzes festgelegt werden können, vorläufige Maßnahmen ergreifen, um auf die in Artikel V.3 erwähnten Feststellungen zu reagieren. Diese Maßnahmen werden für einen Zeitraum von höchstens sechs Monaten festgelegt. Die Preisbeobachtungsstelle kann dem Wettbewerbskollegium sämtliche Informationen über Preise und Margen, die sie aufgrund von Artikel V.3 eingeholt hat, mitteilen. Dabei berücksichtigt die Preisbeobachtungsstelle die Bestimmungen des Gesetzes vom 4. Juli 1962 über die öffentliche Statistik und der Verordnung Nr. 223/2009 des Europäischen Parlaments und des Rates vom 11. März 2009 über europäische Statistiken, insbesondere in Bezug auf die statistische Geheimhaltung und das Zweckprinzip.</w:t>
      </w:r>
    </w:p>
    <w:p w14:paraId="79FE2DB5" w14:textId="77777777" w:rsidR="00F76466" w:rsidRPr="004676F5" w:rsidRDefault="00F76466" w:rsidP="00F76466">
      <w:pPr>
        <w:jc w:val="both"/>
        <w:rPr>
          <w:lang w:val="de-DE"/>
        </w:rPr>
      </w:pPr>
    </w:p>
    <w:p w14:paraId="272C7C2E" w14:textId="16257ECA" w:rsidR="00F76466" w:rsidRPr="004676F5" w:rsidRDefault="00F76466" w:rsidP="00F76466">
      <w:pPr>
        <w:ind w:firstLine="708"/>
        <w:jc w:val="both"/>
        <w:rPr>
          <w:lang w:val="de-DE"/>
        </w:rPr>
      </w:pPr>
      <w:r w:rsidRPr="004676F5">
        <w:rPr>
          <w:lang w:val="de-DE"/>
        </w:rPr>
        <w:t>§ 2 </w:t>
      </w:r>
      <w:r w:rsidR="005B7A5C" w:rsidRPr="004676F5">
        <w:rPr>
          <w:lang w:val="de-DE"/>
        </w:rPr>
        <w:t>- </w:t>
      </w:r>
      <w:r w:rsidRPr="004676F5">
        <w:rPr>
          <w:lang w:val="de-DE"/>
        </w:rPr>
        <w:t>Der Präsident oder der Beisitzer-Vizepräsident oder der Beisitzer, den er beauftragt, legt das Datum der Sitzung fest, die innerhalb fünfzehn Kalendertagen ab Hinterlegung des Berichts der Preisbeobachtungsstelle stattfindet und bei der die Preisbeobachtungsstelle und die betreffenden Parteien, die in diesem Bericht erwähnt sind, angehört werden. Das Sekretariat setzt die betreffenden Parteien von dieser Entscheidung in Kenntnis. Die Parteien verfügen über eine Frist von fünf Werktagen, um vor der Sitzung die hinterlegten Anmerkungen und Schriftstücke einzusehen, mit Ausnahme der Passagen, die der Präsident des Wettbewerbskollegiums oder der Beisitzer-Vizepräsident oder der Beisitzer, den er beauftragt, ihnen gegenüber als vertraulich anerkannt hat.</w:t>
      </w:r>
    </w:p>
    <w:p w14:paraId="70A4BB43" w14:textId="77777777" w:rsidR="00F76466" w:rsidRPr="004676F5" w:rsidRDefault="00F76466" w:rsidP="00F76466">
      <w:pPr>
        <w:jc w:val="both"/>
        <w:rPr>
          <w:lang w:val="de-DE"/>
        </w:rPr>
      </w:pPr>
    </w:p>
    <w:p w14:paraId="7AB0EF46" w14:textId="77777777" w:rsidR="00F76466" w:rsidRPr="004676F5" w:rsidRDefault="00F76466" w:rsidP="00F76466">
      <w:pPr>
        <w:ind w:firstLine="708"/>
        <w:jc w:val="both"/>
        <w:rPr>
          <w:lang w:val="de-DE"/>
        </w:rPr>
      </w:pPr>
      <w:r w:rsidRPr="004676F5">
        <w:rPr>
          <w:lang w:val="de-DE"/>
        </w:rPr>
        <w:t>Die in vorliegendem Paragraphen und in § 4 erwähnten Fristen können um höchstens zwei Wochen verlängert werden.</w:t>
      </w:r>
    </w:p>
    <w:p w14:paraId="70D84D08" w14:textId="77777777" w:rsidR="00F76466" w:rsidRPr="004676F5" w:rsidRDefault="00F76466" w:rsidP="00F76466">
      <w:pPr>
        <w:jc w:val="both"/>
        <w:rPr>
          <w:lang w:val="de-DE"/>
        </w:rPr>
      </w:pPr>
    </w:p>
    <w:p w14:paraId="35102ECF" w14:textId="77777777" w:rsidR="00F76466" w:rsidRPr="004676F5" w:rsidRDefault="00F76466" w:rsidP="00F76466">
      <w:pPr>
        <w:ind w:firstLine="708"/>
        <w:jc w:val="both"/>
        <w:rPr>
          <w:lang w:val="de-DE"/>
        </w:rPr>
      </w:pPr>
      <w:r w:rsidRPr="004676F5">
        <w:rPr>
          <w:lang w:val="de-DE"/>
        </w:rPr>
        <w:t>Sind die betreffenden Parteien nicht im Bericht angegeben, lädt der Präsident oder der Beisitzer-Vizepräsident oder der Beisitzer, den er beauftragt, unverzüglich die im Zentralen Wirtschaftsrat vertretenen Organisationen, die den oder die betreffenden Sektoren vertreten, ein.</w:t>
      </w:r>
    </w:p>
    <w:p w14:paraId="48E07B43" w14:textId="77777777" w:rsidR="00F76466" w:rsidRPr="004676F5" w:rsidRDefault="00F76466" w:rsidP="00F76466">
      <w:pPr>
        <w:jc w:val="both"/>
        <w:rPr>
          <w:lang w:val="de-DE"/>
        </w:rPr>
      </w:pPr>
    </w:p>
    <w:p w14:paraId="66E59ECA" w14:textId="6E26CE8E" w:rsidR="00F76466" w:rsidRPr="004676F5" w:rsidRDefault="00F76466" w:rsidP="00F76466">
      <w:pPr>
        <w:ind w:firstLine="708"/>
        <w:jc w:val="both"/>
        <w:rPr>
          <w:lang w:val="de-DE"/>
        </w:rPr>
      </w:pPr>
      <w:r w:rsidRPr="004676F5">
        <w:rPr>
          <w:lang w:val="de-DE"/>
        </w:rPr>
        <w:t>§ 3 </w:t>
      </w:r>
      <w:r w:rsidR="005B7A5C" w:rsidRPr="004676F5">
        <w:rPr>
          <w:lang w:val="de-DE"/>
        </w:rPr>
        <w:t>- </w:t>
      </w:r>
      <w:r w:rsidRPr="004676F5">
        <w:rPr>
          <w:lang w:val="de-DE"/>
        </w:rPr>
        <w:t>Parteien, die Schriftstücke hinterlegen, können die Passagen kennzeichnen, die sie als vertraulich betrachten, sofern sie Gründe für ihre Vorgehensweise angeben und eine nicht vertrauliche Zusammenfassung hinterlegen. Der Präsident des Wettbewerbskollegiums oder der Beisitzer-Vizepräsident oder der Beisitzer, den er beauftragt, befindet über die Vertraulichkeit der Passagen; gegen diesen Beschluss kann keine Beschwerde eingereicht werden.</w:t>
      </w:r>
    </w:p>
    <w:p w14:paraId="1209A957" w14:textId="77777777" w:rsidR="00F76466" w:rsidRPr="004676F5" w:rsidRDefault="00F76466" w:rsidP="00F76466">
      <w:pPr>
        <w:jc w:val="both"/>
        <w:rPr>
          <w:lang w:val="de-DE"/>
        </w:rPr>
      </w:pPr>
    </w:p>
    <w:p w14:paraId="17B22F0C" w14:textId="62745798" w:rsidR="00F76466" w:rsidRPr="004676F5" w:rsidRDefault="00F76466" w:rsidP="00F76466">
      <w:pPr>
        <w:ind w:firstLine="708"/>
        <w:jc w:val="both"/>
        <w:rPr>
          <w:lang w:val="de-DE"/>
        </w:rPr>
      </w:pPr>
      <w:r w:rsidRPr="004676F5">
        <w:rPr>
          <w:lang w:val="de-DE"/>
        </w:rPr>
        <w:t>§ 4 </w:t>
      </w:r>
      <w:r w:rsidR="005B7A5C" w:rsidRPr="004676F5">
        <w:rPr>
          <w:lang w:val="de-DE"/>
        </w:rPr>
        <w:t>- </w:t>
      </w:r>
      <w:r w:rsidRPr="004676F5">
        <w:rPr>
          <w:lang w:val="de-DE"/>
        </w:rPr>
        <w:t>Innerhalb einer Frist von einem Kalendermonat ab der in § 2 erwähnten Sitzung befindet das Wettbewerbskollegium durch eine mit Gründen versehene Entscheidung, ob Anlass dazu besteht, vorläufige Maßnahmen zu ergreifen. Wird innerhalb dieser Frist keine Entscheidung getroffen, wird keine vorläufige Maßnahme festgelegt.</w:t>
      </w:r>
    </w:p>
    <w:p w14:paraId="29C39AEE" w14:textId="77777777" w:rsidR="00F76466" w:rsidRPr="004676F5" w:rsidRDefault="00F76466" w:rsidP="00F76466">
      <w:pPr>
        <w:jc w:val="both"/>
        <w:rPr>
          <w:lang w:val="de-DE"/>
        </w:rPr>
      </w:pPr>
    </w:p>
    <w:p w14:paraId="501B5F72" w14:textId="77777777" w:rsidR="00F76466" w:rsidRPr="004676F5" w:rsidRDefault="00F76466" w:rsidP="00F76466">
      <w:pPr>
        <w:ind w:firstLine="708"/>
        <w:jc w:val="both"/>
        <w:rPr>
          <w:lang w:val="de-DE"/>
        </w:rPr>
      </w:pPr>
      <w:r w:rsidRPr="004676F5">
        <w:rPr>
          <w:lang w:val="de-DE"/>
        </w:rPr>
        <w:t>Die Entscheidung des Wettbewerbskollegiums darf nicht auf Schriftstücken beruhen, von denen die in § 2 erwähnten Unternehmen oder Organisationen, denen gegenüber Maßnahmen getroffen werden, keine Kenntnis nehmen konnten.</w:t>
      </w:r>
    </w:p>
    <w:p w14:paraId="45298117" w14:textId="77777777" w:rsidR="00F76466" w:rsidRPr="004676F5" w:rsidRDefault="00F76466" w:rsidP="00F76466">
      <w:pPr>
        <w:jc w:val="both"/>
        <w:rPr>
          <w:lang w:val="de-DE"/>
        </w:rPr>
      </w:pPr>
    </w:p>
    <w:p w14:paraId="644A1FAD" w14:textId="5BEFB7D1" w:rsidR="00F76466" w:rsidRPr="004676F5" w:rsidRDefault="00F76466" w:rsidP="00F76466">
      <w:pPr>
        <w:ind w:firstLine="708"/>
        <w:jc w:val="both"/>
        <w:rPr>
          <w:lang w:val="de-DE"/>
        </w:rPr>
      </w:pPr>
      <w:r w:rsidRPr="004676F5">
        <w:rPr>
          <w:lang w:val="de-DE"/>
        </w:rPr>
        <w:t>§ 5 </w:t>
      </w:r>
      <w:r w:rsidR="005B7A5C" w:rsidRPr="004676F5">
        <w:rPr>
          <w:lang w:val="de-DE"/>
        </w:rPr>
        <w:t>- </w:t>
      </w:r>
      <w:r w:rsidRPr="004676F5">
        <w:rPr>
          <w:lang w:val="de-DE"/>
        </w:rPr>
        <w:t>Das Wettbewerbskollegium kann sämtliche Modalitäten vorschreiben, die für Anwendung und Ausführung seiner Entscheidung notwendig sind.</w:t>
      </w:r>
    </w:p>
    <w:p w14:paraId="0AAE2544" w14:textId="77777777" w:rsidR="00F76466" w:rsidRPr="004676F5" w:rsidRDefault="00F76466" w:rsidP="00F76466">
      <w:pPr>
        <w:jc w:val="both"/>
        <w:rPr>
          <w:lang w:val="de-DE"/>
        </w:rPr>
      </w:pPr>
    </w:p>
    <w:p w14:paraId="55D84704" w14:textId="3E44F835" w:rsidR="00F76466" w:rsidRPr="004676F5" w:rsidRDefault="00F76466" w:rsidP="00F76466">
      <w:pPr>
        <w:ind w:firstLine="708"/>
        <w:jc w:val="both"/>
        <w:rPr>
          <w:lang w:val="de-DE"/>
        </w:rPr>
      </w:pPr>
      <w:r w:rsidRPr="004676F5">
        <w:rPr>
          <w:lang w:val="de-DE"/>
        </w:rPr>
        <w:t xml:space="preserve"> § 6 </w:t>
      </w:r>
      <w:r w:rsidR="005B7A5C" w:rsidRPr="004676F5">
        <w:rPr>
          <w:lang w:val="de-DE"/>
        </w:rPr>
        <w:t>- </w:t>
      </w:r>
      <w:r w:rsidRPr="004676F5">
        <w:rPr>
          <w:lang w:val="de-DE"/>
        </w:rPr>
        <w:t>Es kann sich das Beweismaterial zur Verfügung stellen lassen, das für die Ausübung der Befugnisse, die ihm durch vorliegenden Artikel zugewiesen werden, notwendig ist.</w:t>
      </w:r>
    </w:p>
    <w:p w14:paraId="65294FD3" w14:textId="77777777" w:rsidR="00F76466" w:rsidRPr="004676F5" w:rsidRDefault="00F76466" w:rsidP="00F76466">
      <w:pPr>
        <w:jc w:val="both"/>
        <w:rPr>
          <w:lang w:val="de-DE"/>
        </w:rPr>
      </w:pPr>
    </w:p>
    <w:p w14:paraId="7CE836A7" w14:textId="77777777" w:rsidR="00F76466" w:rsidRPr="004676F5" w:rsidRDefault="00F76466" w:rsidP="00F76466">
      <w:pPr>
        <w:ind w:firstLine="708"/>
        <w:jc w:val="both"/>
        <w:rPr>
          <w:lang w:val="de-DE"/>
        </w:rPr>
      </w:pPr>
      <w:r w:rsidRPr="004676F5">
        <w:rPr>
          <w:lang w:val="de-DE"/>
        </w:rPr>
        <w:t>Es kann insbesondere die Übermittlung von Büchern, Registern und anderen Buchungsunterlagen, die durch oder aufgrund von Gesetzesbestimmungen geführt werden müssen, vorschreiben.</w:t>
      </w:r>
    </w:p>
    <w:p w14:paraId="73859F2C" w14:textId="77777777" w:rsidR="00F76466" w:rsidRPr="004676F5" w:rsidRDefault="00F76466" w:rsidP="00F76466">
      <w:pPr>
        <w:jc w:val="both"/>
        <w:rPr>
          <w:lang w:val="de-DE"/>
        </w:rPr>
      </w:pPr>
    </w:p>
    <w:p w14:paraId="68385A96" w14:textId="5E3E4A0E" w:rsidR="00F76466" w:rsidRPr="004676F5" w:rsidRDefault="00F76466" w:rsidP="00F76466">
      <w:pPr>
        <w:ind w:firstLine="708"/>
        <w:jc w:val="both"/>
        <w:rPr>
          <w:lang w:val="de-DE"/>
        </w:rPr>
      </w:pPr>
      <w:r w:rsidRPr="004676F5">
        <w:rPr>
          <w:lang w:val="de-DE"/>
        </w:rPr>
        <w:t>§ 7 </w:t>
      </w:r>
      <w:r w:rsidR="005B7A5C" w:rsidRPr="004676F5">
        <w:rPr>
          <w:lang w:val="de-DE"/>
        </w:rPr>
        <w:t>- </w:t>
      </w:r>
      <w:r w:rsidRPr="004676F5">
        <w:rPr>
          <w:lang w:val="de-DE"/>
        </w:rPr>
        <w:t>Vorliegender Artikel beeinträchtigt nicht die Befugnisse der Belgischen Wettbewerbsbehörde wie in Buch IV beschrieben.</w:t>
      </w:r>
    </w:p>
    <w:p w14:paraId="54F81338" w14:textId="77777777" w:rsidR="007E4185" w:rsidRPr="004676F5" w:rsidRDefault="007E4185" w:rsidP="00F76466">
      <w:pPr>
        <w:ind w:firstLine="708"/>
        <w:jc w:val="both"/>
        <w:rPr>
          <w:lang w:val="de-DE"/>
        </w:rPr>
      </w:pPr>
    </w:p>
    <w:p w14:paraId="4C06264E" w14:textId="77777777" w:rsidR="00CB6EEC" w:rsidRPr="004676F5" w:rsidRDefault="00CB6EEC" w:rsidP="00F76466">
      <w:pPr>
        <w:ind w:firstLine="708"/>
        <w:jc w:val="both"/>
        <w:rPr>
          <w:lang w:val="de-DE"/>
        </w:rPr>
      </w:pPr>
    </w:p>
    <w:p w14:paraId="22F86BCF" w14:textId="5DD69FB1" w:rsidR="007E4185" w:rsidRPr="004676F5" w:rsidRDefault="007E4185" w:rsidP="007E4185">
      <w:pPr>
        <w:ind w:firstLine="708"/>
        <w:jc w:val="both"/>
        <w:rPr>
          <w:lang w:val="de-DE"/>
        </w:rPr>
      </w:pPr>
      <w:r w:rsidRPr="004676F5">
        <w:rPr>
          <w:lang w:val="de-DE"/>
        </w:rPr>
        <w:lastRenderedPageBreak/>
        <w:t>[</w:t>
      </w:r>
      <w:r w:rsidR="00BE0A56" w:rsidRPr="004676F5">
        <w:rPr>
          <w:b/>
          <w:lang w:val="de-DE"/>
        </w:rPr>
        <w:t>Art. </w:t>
      </w:r>
      <w:r w:rsidRPr="004676F5">
        <w:rPr>
          <w:b/>
          <w:lang w:val="de-DE"/>
        </w:rPr>
        <w:t>V.5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Eine Beschwerde kann von den betreffenden Parteien oder den aufgrund von Artikel V.4 angehörten Organisationen und von den Interessehabenden beim </w:t>
      </w:r>
      <w:r w:rsidR="008506A5" w:rsidRPr="004676F5">
        <w:rPr>
          <w:lang w:val="de-DE"/>
        </w:rPr>
        <w:t>[Märktegerichtshof]</w:t>
      </w:r>
      <w:r w:rsidRPr="004676F5">
        <w:rPr>
          <w:lang w:val="de-DE"/>
        </w:rPr>
        <w:t xml:space="preserve"> eingereicht werden.</w:t>
      </w:r>
    </w:p>
    <w:p w14:paraId="2F4CA623" w14:textId="77777777" w:rsidR="007E4185" w:rsidRPr="004676F5" w:rsidRDefault="007E4185" w:rsidP="007E4185">
      <w:pPr>
        <w:jc w:val="both"/>
        <w:rPr>
          <w:lang w:val="de-DE"/>
        </w:rPr>
      </w:pPr>
    </w:p>
    <w:p w14:paraId="2A8E6090" w14:textId="77777777" w:rsidR="007E4185" w:rsidRPr="004676F5" w:rsidRDefault="007E4185" w:rsidP="007E4185">
      <w:pPr>
        <w:ind w:firstLine="708"/>
        <w:jc w:val="both"/>
        <w:rPr>
          <w:lang w:val="de-DE"/>
        </w:rPr>
      </w:pPr>
      <w:r w:rsidRPr="004676F5">
        <w:rPr>
          <w:lang w:val="de-DE"/>
        </w:rPr>
        <w:t>Diese Beschwerde wird in den in Artikel IV.79 § 4 Absatz 1 und 2 vorgeschriebenen Formen eingereicht.</w:t>
      </w:r>
    </w:p>
    <w:p w14:paraId="331B319B" w14:textId="77777777" w:rsidR="007E4185" w:rsidRPr="004676F5" w:rsidRDefault="007E4185" w:rsidP="007E4185">
      <w:pPr>
        <w:jc w:val="both"/>
        <w:rPr>
          <w:lang w:val="de-DE"/>
        </w:rPr>
      </w:pPr>
    </w:p>
    <w:p w14:paraId="354AD11D" w14:textId="77777777" w:rsidR="007E4185" w:rsidRPr="004676F5" w:rsidRDefault="007E4185" w:rsidP="007E4185">
      <w:pPr>
        <w:ind w:firstLine="708"/>
        <w:jc w:val="both"/>
        <w:rPr>
          <w:lang w:val="de-DE"/>
        </w:rPr>
      </w:pPr>
      <w:r w:rsidRPr="004676F5">
        <w:rPr>
          <w:lang w:val="de-DE"/>
        </w:rPr>
        <w:t xml:space="preserve">Im Fall einer Beschwerde übermittelt das Wettbewerbskollegium seine Entscheidung und alle zusätzlichen Schriftstücke unverzüglich dem </w:t>
      </w:r>
      <w:r w:rsidR="008506A5" w:rsidRPr="004676F5">
        <w:rPr>
          <w:lang w:val="de-DE"/>
        </w:rPr>
        <w:t>[Märktegerichtshof]</w:t>
      </w:r>
      <w:r w:rsidRPr="004676F5">
        <w:rPr>
          <w:lang w:val="de-DE"/>
        </w:rPr>
        <w:t>, der die Entscheidung des Wettbewerbskollegiums bestätigt, ändert oder für nichtig erklärt und den bedingten oder befristeten Charakter seiner Entscheidung festlegt.</w:t>
      </w:r>
    </w:p>
    <w:p w14:paraId="12451C28" w14:textId="77777777" w:rsidR="007E4185" w:rsidRPr="004676F5" w:rsidRDefault="007E4185" w:rsidP="007E4185">
      <w:pPr>
        <w:jc w:val="both"/>
        <w:rPr>
          <w:lang w:val="de-DE"/>
        </w:rPr>
      </w:pPr>
    </w:p>
    <w:p w14:paraId="0055DD1D" w14:textId="77777777" w:rsidR="007E4185" w:rsidRPr="004676F5" w:rsidRDefault="00750245" w:rsidP="007E4185">
      <w:pPr>
        <w:ind w:firstLine="708"/>
        <w:jc w:val="both"/>
        <w:rPr>
          <w:lang w:val="de-DE"/>
        </w:rPr>
      </w:pPr>
      <w:r w:rsidRPr="004676F5">
        <w:rPr>
          <w:lang w:val="de-DE"/>
        </w:rPr>
        <w:t>Dieser Entscheid des</w:t>
      </w:r>
      <w:r w:rsidR="008506A5" w:rsidRPr="004676F5">
        <w:rPr>
          <w:lang w:val="de-DE"/>
        </w:rPr>
        <w:t xml:space="preserve"> [Märktegerichtshofes] </w:t>
      </w:r>
      <w:r w:rsidR="007E4185" w:rsidRPr="004676F5">
        <w:rPr>
          <w:lang w:val="de-DE"/>
        </w:rPr>
        <w:t>ergeht innerhalb sechs Monaten ab der Entscheidung des Wettbewerbskollegiums.</w:t>
      </w:r>
    </w:p>
    <w:p w14:paraId="791045F2" w14:textId="77777777" w:rsidR="007E4185" w:rsidRPr="004676F5" w:rsidRDefault="007E4185" w:rsidP="007E4185">
      <w:pPr>
        <w:jc w:val="both"/>
        <w:rPr>
          <w:lang w:val="de-DE"/>
        </w:rPr>
      </w:pPr>
    </w:p>
    <w:p w14:paraId="00585FC3" w14:textId="173D3770" w:rsidR="007E4185" w:rsidRPr="004676F5" w:rsidRDefault="007E4185" w:rsidP="007E4185">
      <w:pPr>
        <w:ind w:firstLine="708"/>
        <w:jc w:val="both"/>
        <w:rPr>
          <w:lang w:val="de-DE"/>
        </w:rPr>
      </w:pPr>
      <w:r w:rsidRPr="004676F5">
        <w:rPr>
          <w:lang w:val="de-DE"/>
        </w:rPr>
        <w:t>§ 2 </w:t>
      </w:r>
      <w:r w:rsidR="005B7A5C" w:rsidRPr="004676F5">
        <w:rPr>
          <w:lang w:val="de-DE"/>
        </w:rPr>
        <w:t>- </w:t>
      </w:r>
      <w:r w:rsidRPr="004676F5">
        <w:rPr>
          <w:lang w:val="de-DE"/>
        </w:rPr>
        <w:t xml:space="preserve">Der </w:t>
      </w:r>
      <w:r w:rsidR="008506A5" w:rsidRPr="004676F5">
        <w:rPr>
          <w:lang w:val="de-DE"/>
        </w:rPr>
        <w:t xml:space="preserve">[Märktegerichtshof] </w:t>
      </w:r>
      <w:r w:rsidRPr="004676F5">
        <w:rPr>
          <w:lang w:val="de-DE"/>
        </w:rPr>
        <w:t>kann auf Antrag des in § 1 erwähnten Antragstellers und durch Zwischenentscheidung die Ausführung der in Artikel V.4 § 1 erwähnten vorläufigen Maßnahmen bis zum Tag der Verkündung des Entscheids ganz oder teilweise aussetzen.</w:t>
      </w:r>
    </w:p>
    <w:p w14:paraId="595E6DAA" w14:textId="77777777" w:rsidR="007E4185" w:rsidRPr="004676F5" w:rsidRDefault="007E4185" w:rsidP="007E4185">
      <w:pPr>
        <w:jc w:val="both"/>
        <w:rPr>
          <w:lang w:val="de-DE"/>
        </w:rPr>
      </w:pPr>
    </w:p>
    <w:p w14:paraId="16A20AF2" w14:textId="77777777" w:rsidR="007E4185" w:rsidRPr="004676F5" w:rsidRDefault="007E4185" w:rsidP="007E4185">
      <w:pPr>
        <w:ind w:firstLine="708"/>
        <w:jc w:val="both"/>
        <w:rPr>
          <w:lang w:val="de-DE"/>
        </w:rPr>
      </w:pPr>
      <w:r w:rsidRPr="004676F5">
        <w:rPr>
          <w:lang w:val="de-DE"/>
        </w:rPr>
        <w:t>Beschließt das Wettbewerbskollegium gemäß Artikel V.4 § 2, dass die vorläufigen Maßnahmen unmittelbar anwendbar sind, kann eine Beschwerde mit aufschiebender Wirkung eingereicht werden.</w:t>
      </w:r>
    </w:p>
    <w:p w14:paraId="618AB543" w14:textId="77777777" w:rsidR="007E4185" w:rsidRPr="004676F5" w:rsidRDefault="007E4185" w:rsidP="007E4185">
      <w:pPr>
        <w:jc w:val="both"/>
        <w:rPr>
          <w:lang w:val="de-DE"/>
        </w:rPr>
      </w:pPr>
    </w:p>
    <w:p w14:paraId="2158B2E5" w14:textId="77777777" w:rsidR="007E4185" w:rsidRPr="004676F5" w:rsidRDefault="007E4185" w:rsidP="007E4185">
      <w:pPr>
        <w:ind w:firstLine="708"/>
        <w:jc w:val="both"/>
        <w:rPr>
          <w:lang w:val="de-DE"/>
        </w:rPr>
      </w:pPr>
      <w:r w:rsidRPr="004676F5">
        <w:rPr>
          <w:lang w:val="de-DE"/>
        </w:rPr>
        <w:t>Die Aussetzung der Ausführung kann nur angeordnet werden, wenn triftige Gründe, die die Nichtigerklärung der angefochtenen Entscheidung rechtfertigen können, geltend gemacht werden und unter der Voraussetzung, dass die unmittelbare Ausführung der Entscheidung für den Betreffenden schwerwiegende Folgen haben kann.</w:t>
      </w:r>
    </w:p>
    <w:p w14:paraId="62D3AFB7" w14:textId="77777777" w:rsidR="007E4185" w:rsidRPr="004676F5" w:rsidRDefault="007E4185" w:rsidP="007E4185">
      <w:pPr>
        <w:jc w:val="both"/>
        <w:rPr>
          <w:lang w:val="de-DE"/>
        </w:rPr>
      </w:pPr>
    </w:p>
    <w:p w14:paraId="6E08E5FB" w14:textId="77777777" w:rsidR="007E4185" w:rsidRPr="004676F5" w:rsidRDefault="007E4185" w:rsidP="007E4185">
      <w:pPr>
        <w:ind w:firstLine="708"/>
        <w:jc w:val="both"/>
        <w:rPr>
          <w:lang w:val="de-DE"/>
        </w:rPr>
      </w:pPr>
      <w:r w:rsidRPr="004676F5">
        <w:rPr>
          <w:lang w:val="de-DE"/>
        </w:rPr>
        <w:t xml:space="preserve">Entscheidungen des Wettbewerbskollegiums erwähnt in Artikel V.4 und des </w:t>
      </w:r>
      <w:r w:rsidR="008506A5" w:rsidRPr="004676F5">
        <w:rPr>
          <w:lang w:val="de-DE"/>
        </w:rPr>
        <w:t>[Märktegerichtshofes]</w:t>
      </w:r>
      <w:r w:rsidRPr="004676F5">
        <w:rPr>
          <w:lang w:val="de-DE"/>
        </w:rPr>
        <w:t xml:space="preserve"> erwähnt in Artikel V.5 §§ 1 und 2 können im </w:t>
      </w:r>
      <w:r w:rsidRPr="004676F5">
        <w:rPr>
          <w:i/>
          <w:lang w:val="de-DE"/>
        </w:rPr>
        <w:t>Belgischen Staatsblatt</w:t>
      </w:r>
      <w:r w:rsidRPr="004676F5">
        <w:rPr>
          <w:lang w:val="de-DE"/>
        </w:rPr>
        <w:t xml:space="preserve"> und auf der Website der Belgischen Wettbewerbsbehörde veröffentlicht werden.]</w:t>
      </w:r>
    </w:p>
    <w:p w14:paraId="666BBA9A" w14:textId="77777777" w:rsidR="007E4185" w:rsidRPr="004676F5" w:rsidRDefault="007E4185" w:rsidP="007E4185">
      <w:pPr>
        <w:ind w:firstLine="708"/>
        <w:jc w:val="both"/>
        <w:rPr>
          <w:lang w:val="de-DE"/>
        </w:rPr>
      </w:pPr>
    </w:p>
    <w:p w14:paraId="4DE29FDA" w14:textId="49C5B481" w:rsidR="007E4185" w:rsidRPr="004676F5" w:rsidRDefault="007E4185" w:rsidP="007E4185">
      <w:pPr>
        <w:jc w:val="both"/>
        <w:rPr>
          <w:i/>
          <w:lang w:val="de-DE"/>
        </w:rPr>
      </w:pPr>
      <w:r w:rsidRPr="004676F5">
        <w:rPr>
          <w:i/>
          <w:lang w:val="de-DE"/>
        </w:rPr>
        <w:t>[</w:t>
      </w:r>
      <w:r w:rsidR="00BE0A56" w:rsidRPr="004676F5">
        <w:rPr>
          <w:i/>
          <w:lang w:val="de-DE"/>
        </w:rPr>
        <w:t>Art. </w:t>
      </w:r>
      <w:r w:rsidRPr="004676F5">
        <w:rPr>
          <w:i/>
          <w:lang w:val="de-DE"/>
        </w:rPr>
        <w:t xml:space="preserve">V.5 eingefügt durch </w:t>
      </w:r>
      <w:r w:rsidR="00BE0A56" w:rsidRPr="004676F5">
        <w:rPr>
          <w:i/>
          <w:lang w:val="de-DE"/>
        </w:rPr>
        <w:t>Art. </w:t>
      </w:r>
      <w:r w:rsidRPr="004676F5">
        <w:rPr>
          <w:i/>
          <w:lang w:val="de-DE"/>
        </w:rPr>
        <w:t xml:space="preserve">13 des G. vom 3. April 2013 </w:t>
      </w:r>
      <w:r w:rsidR="00962A0A" w:rsidRPr="004676F5">
        <w:rPr>
          <w:i/>
          <w:lang w:val="de-DE"/>
        </w:rPr>
        <w:t xml:space="preserve">(II) </w:t>
      </w:r>
      <w:r w:rsidRPr="004676F5">
        <w:rPr>
          <w:i/>
          <w:lang w:val="de-DE"/>
        </w:rPr>
        <w:t>(B.S. vom 26. April 2013)</w:t>
      </w:r>
      <w:r w:rsidR="008506A5" w:rsidRPr="004676F5">
        <w:rPr>
          <w:i/>
          <w:lang w:val="de-DE"/>
        </w:rPr>
        <w:t xml:space="preserve">; § 1 Abs. 1, 3 und 4 abgeändert durch </w:t>
      </w:r>
      <w:r w:rsidR="00BE0A56" w:rsidRPr="004676F5">
        <w:rPr>
          <w:i/>
          <w:lang w:val="de-DE"/>
        </w:rPr>
        <w:t>Art. </w:t>
      </w:r>
      <w:r w:rsidR="008506A5" w:rsidRPr="004676F5">
        <w:rPr>
          <w:i/>
          <w:lang w:val="de-DE"/>
        </w:rPr>
        <w:t xml:space="preserve">2 des G. vom 20. Februar 2017 (B.S. vom 27. Februar 2017); § 2 Abs. 1 und 4 abgeändert durch </w:t>
      </w:r>
      <w:r w:rsidR="00BE0A56" w:rsidRPr="004676F5">
        <w:rPr>
          <w:i/>
          <w:lang w:val="de-DE"/>
        </w:rPr>
        <w:t>Art. </w:t>
      </w:r>
      <w:r w:rsidR="008506A5" w:rsidRPr="004676F5">
        <w:rPr>
          <w:i/>
          <w:lang w:val="de-DE"/>
        </w:rPr>
        <w:t>2 des G. vom 20. Februar 2017 (B.S. vom 27. Februar 2017)</w:t>
      </w:r>
      <w:r w:rsidRPr="004676F5">
        <w:rPr>
          <w:i/>
          <w:lang w:val="de-DE"/>
        </w:rPr>
        <w:t>]</w:t>
      </w:r>
    </w:p>
    <w:p w14:paraId="0A1B5C58" w14:textId="77777777" w:rsidR="00E71B2F" w:rsidRPr="004676F5" w:rsidRDefault="00E71B2F" w:rsidP="00F76466">
      <w:pPr>
        <w:ind w:firstLine="708"/>
        <w:jc w:val="both"/>
        <w:rPr>
          <w:lang w:val="de-DE"/>
        </w:rPr>
      </w:pPr>
    </w:p>
    <w:p w14:paraId="56B24FE5" w14:textId="77777777" w:rsidR="00F76466" w:rsidRPr="004676F5" w:rsidRDefault="00F76466" w:rsidP="00F76466">
      <w:pPr>
        <w:jc w:val="both"/>
        <w:rPr>
          <w:lang w:val="de-DE"/>
        </w:rPr>
      </w:pPr>
    </w:p>
    <w:p w14:paraId="11AFD950" w14:textId="4E1EA077" w:rsidR="00F76466" w:rsidRPr="004676F5" w:rsidRDefault="00BE0A56" w:rsidP="00F76466">
      <w:pPr>
        <w:ind w:firstLine="708"/>
        <w:jc w:val="both"/>
        <w:rPr>
          <w:lang w:val="de-DE"/>
        </w:rPr>
      </w:pPr>
      <w:r w:rsidRPr="004676F5">
        <w:rPr>
          <w:b/>
          <w:lang w:val="de-DE"/>
        </w:rPr>
        <w:t>Art. </w:t>
      </w:r>
      <w:r w:rsidR="00F76466" w:rsidRPr="004676F5">
        <w:rPr>
          <w:b/>
          <w:lang w:val="de-DE"/>
        </w:rPr>
        <w:t>V.6</w:t>
      </w:r>
      <w:r w:rsidR="00F76466" w:rsidRPr="004676F5">
        <w:rPr>
          <w:lang w:val="de-DE"/>
        </w:rPr>
        <w:t> </w:t>
      </w:r>
      <w:r w:rsidR="005B7A5C" w:rsidRPr="004676F5">
        <w:rPr>
          <w:lang w:val="de-DE"/>
        </w:rPr>
        <w:t>- </w:t>
      </w:r>
      <w:r w:rsidR="00F76466" w:rsidRPr="004676F5">
        <w:rPr>
          <w:lang w:val="de-DE"/>
        </w:rPr>
        <w:t>Das Wettbewerbskollegium stellt dem Minister seine Entscheidung zu. Wenn das Wettbewerbskollegium vorläufige Maßnahmen festlegt, legt der Minister der Regierung binnen sechs Monaten einen Plan über eine strukturelle Änderung der Funktionsweise des Marktes in dem betreffenden Sektor vor.</w:t>
      </w:r>
    </w:p>
    <w:p w14:paraId="223092BA" w14:textId="77777777" w:rsidR="00F76466" w:rsidRPr="004676F5" w:rsidRDefault="00F76466" w:rsidP="00F76466">
      <w:pPr>
        <w:jc w:val="both"/>
        <w:rPr>
          <w:lang w:val="de-DE"/>
        </w:rPr>
      </w:pPr>
    </w:p>
    <w:p w14:paraId="3C79BA0B" w14:textId="77777777" w:rsidR="00E71B2F" w:rsidRPr="004676F5" w:rsidRDefault="00E71B2F" w:rsidP="00F76466">
      <w:pPr>
        <w:jc w:val="both"/>
        <w:rPr>
          <w:lang w:val="de-DE"/>
        </w:rPr>
      </w:pPr>
    </w:p>
    <w:p w14:paraId="24E314FC" w14:textId="17AFDF11" w:rsidR="00F76466" w:rsidRPr="004676F5" w:rsidRDefault="00BE0A56" w:rsidP="00F76466">
      <w:pPr>
        <w:ind w:firstLine="708"/>
        <w:jc w:val="both"/>
        <w:rPr>
          <w:lang w:val="de-DE"/>
        </w:rPr>
      </w:pPr>
      <w:r w:rsidRPr="004676F5">
        <w:rPr>
          <w:b/>
          <w:lang w:val="de-DE"/>
        </w:rPr>
        <w:t>Art. </w:t>
      </w:r>
      <w:r w:rsidR="00F76466" w:rsidRPr="004676F5">
        <w:rPr>
          <w:b/>
          <w:lang w:val="de-DE"/>
        </w:rPr>
        <w:t>V.7</w:t>
      </w:r>
      <w:r w:rsidR="00F76466" w:rsidRPr="004676F5">
        <w:rPr>
          <w:lang w:val="de-DE"/>
        </w:rPr>
        <w:t> </w:t>
      </w:r>
      <w:r w:rsidR="005B7A5C" w:rsidRPr="004676F5">
        <w:rPr>
          <w:lang w:val="de-DE"/>
        </w:rPr>
        <w:t>- </w:t>
      </w:r>
      <w:r w:rsidR="00F76466" w:rsidRPr="004676F5">
        <w:rPr>
          <w:lang w:val="de-DE"/>
        </w:rPr>
        <w:t>§ 1 </w:t>
      </w:r>
      <w:r w:rsidR="005B7A5C" w:rsidRPr="004676F5">
        <w:rPr>
          <w:lang w:val="de-DE"/>
        </w:rPr>
        <w:t>- </w:t>
      </w:r>
      <w:r w:rsidR="00F76466" w:rsidRPr="004676F5">
        <w:rPr>
          <w:lang w:val="de-DE"/>
        </w:rPr>
        <w:t>Der Minister kann mit einzelnen oder gruppierten Unternehmen Programmverträge abschließen, die insbesondere in Bezug auf die angewandten Preise Verpflichtungen enthalten.</w:t>
      </w:r>
    </w:p>
    <w:p w14:paraId="36A8CAFC" w14:textId="77777777" w:rsidR="00F76466" w:rsidRPr="004676F5" w:rsidRDefault="00F76466" w:rsidP="00F76466">
      <w:pPr>
        <w:jc w:val="both"/>
        <w:rPr>
          <w:lang w:val="de-DE"/>
        </w:rPr>
      </w:pPr>
    </w:p>
    <w:p w14:paraId="047FEB4F" w14:textId="77777777" w:rsidR="00F76466" w:rsidRPr="004676F5" w:rsidRDefault="00F76466" w:rsidP="00F76466">
      <w:pPr>
        <w:ind w:firstLine="708"/>
        <w:jc w:val="both"/>
        <w:rPr>
          <w:lang w:val="de-DE"/>
        </w:rPr>
      </w:pPr>
      <w:r w:rsidRPr="004676F5">
        <w:rPr>
          <w:lang w:val="de-DE"/>
        </w:rPr>
        <w:t>Diese Verträge werden für eine bestimmte Dauer abgeschlossen und können unter Einhaltung der vorgesehenen Kündigungsfrist von den Parteien aufgekündigt werden.</w:t>
      </w:r>
    </w:p>
    <w:p w14:paraId="3A72ED4C" w14:textId="77777777" w:rsidR="00F76466" w:rsidRPr="004676F5" w:rsidRDefault="00F76466" w:rsidP="00F76466">
      <w:pPr>
        <w:jc w:val="both"/>
        <w:rPr>
          <w:lang w:val="de-DE"/>
        </w:rPr>
      </w:pPr>
    </w:p>
    <w:p w14:paraId="66064DE8" w14:textId="77777777" w:rsidR="00F76466" w:rsidRPr="004676F5" w:rsidRDefault="00F76466" w:rsidP="00F76466">
      <w:pPr>
        <w:ind w:firstLine="708"/>
        <w:jc w:val="both"/>
        <w:rPr>
          <w:lang w:val="de-DE"/>
        </w:rPr>
      </w:pPr>
      <w:r w:rsidRPr="004676F5">
        <w:rPr>
          <w:lang w:val="de-DE"/>
        </w:rPr>
        <w:lastRenderedPageBreak/>
        <w:t>Diese Verträge enthalten eine Klausel, die bei Nichtausführung die Zahlung einer Entschädigung vorsieht. Aufgrund dieser Klausel geschuldete Summen werden vom Minister oder von seinem Beauftragten durch eine mit Gründen versehene Entscheidung eingetragen.</w:t>
      </w:r>
    </w:p>
    <w:p w14:paraId="1AE79A32" w14:textId="77777777" w:rsidR="00F76466" w:rsidRPr="004676F5" w:rsidRDefault="00F76466" w:rsidP="00F76466">
      <w:pPr>
        <w:jc w:val="both"/>
        <w:rPr>
          <w:lang w:val="de-DE"/>
        </w:rPr>
      </w:pPr>
    </w:p>
    <w:p w14:paraId="42132CA2" w14:textId="77777777" w:rsidR="00F76466" w:rsidRPr="004676F5" w:rsidRDefault="00F76466" w:rsidP="00F76466">
      <w:pPr>
        <w:ind w:firstLine="708"/>
        <w:jc w:val="both"/>
        <w:rPr>
          <w:lang w:val="de-DE"/>
        </w:rPr>
      </w:pPr>
      <w:r w:rsidRPr="004676F5">
        <w:rPr>
          <w:lang w:val="de-DE"/>
        </w:rPr>
        <w:t>Die mit Gründen versehene Entscheidung wird dem Schuldner notifiziert. Ab Erhalt dieser Entscheidung verfügt der Schuldner über eine Frist von fünfzehn Tagen, um bei den Zivilgerichten Beschwerde einzureichen. Diese Beschwerde hat aufschiebende Wirkung und gegen die Entscheidung kann Berufung eingelegt werden.</w:t>
      </w:r>
    </w:p>
    <w:p w14:paraId="74A40CBA" w14:textId="77777777" w:rsidR="00F76466" w:rsidRPr="004676F5" w:rsidRDefault="00F76466" w:rsidP="00F76466">
      <w:pPr>
        <w:jc w:val="both"/>
        <w:rPr>
          <w:lang w:val="de-DE"/>
        </w:rPr>
      </w:pPr>
    </w:p>
    <w:p w14:paraId="54893F85" w14:textId="77777777" w:rsidR="00F76466" w:rsidRPr="004676F5" w:rsidRDefault="00F76466" w:rsidP="00F76466">
      <w:pPr>
        <w:ind w:firstLine="708"/>
        <w:jc w:val="both"/>
        <w:rPr>
          <w:lang w:val="de-DE"/>
        </w:rPr>
      </w:pPr>
      <w:r w:rsidRPr="004676F5">
        <w:rPr>
          <w:lang w:val="de-DE"/>
        </w:rPr>
        <w:t>In Ermangelung einer Beschwerde und bei Abweisung der Beschwerde wird die nicht freiwillig gezahlte Entschädigung wie bei den direkten Steuern eingetrieben.</w:t>
      </w:r>
    </w:p>
    <w:p w14:paraId="3056A636" w14:textId="77777777" w:rsidR="00F76466" w:rsidRPr="004676F5" w:rsidRDefault="00F76466" w:rsidP="00F76466">
      <w:pPr>
        <w:jc w:val="both"/>
        <w:rPr>
          <w:lang w:val="de-DE"/>
        </w:rPr>
      </w:pPr>
    </w:p>
    <w:p w14:paraId="073337BE" w14:textId="048954EE" w:rsidR="00F76466" w:rsidRPr="004676F5" w:rsidRDefault="00F76466" w:rsidP="00F76466">
      <w:pPr>
        <w:ind w:firstLine="708"/>
        <w:jc w:val="both"/>
        <w:rPr>
          <w:lang w:val="de-DE"/>
        </w:rPr>
      </w:pPr>
      <w:r w:rsidRPr="004676F5">
        <w:rPr>
          <w:lang w:val="de-DE"/>
        </w:rPr>
        <w:t>§ 2 </w:t>
      </w:r>
      <w:r w:rsidR="005B7A5C" w:rsidRPr="004676F5">
        <w:rPr>
          <w:lang w:val="de-DE"/>
        </w:rPr>
        <w:t>- </w:t>
      </w:r>
      <w:r w:rsidRPr="004676F5">
        <w:rPr>
          <w:lang w:val="de-DE"/>
        </w:rPr>
        <w:t>Der Minister kann auch mit Berufsverbänden, die in der Raffination, der Einfuhr oder dem Vertrieb von Erdölerzeugnissen tätig sind, einen Programmvertrag abschließen.</w:t>
      </w:r>
    </w:p>
    <w:p w14:paraId="52EE2A7F" w14:textId="77777777" w:rsidR="00F76466" w:rsidRPr="004676F5" w:rsidRDefault="00F76466" w:rsidP="00F76466">
      <w:pPr>
        <w:jc w:val="both"/>
        <w:rPr>
          <w:lang w:val="de-DE"/>
        </w:rPr>
      </w:pPr>
    </w:p>
    <w:p w14:paraId="15E12600" w14:textId="77777777" w:rsidR="00F76466" w:rsidRPr="004676F5" w:rsidRDefault="00F76466" w:rsidP="00F76466">
      <w:pPr>
        <w:ind w:firstLine="708"/>
        <w:jc w:val="both"/>
        <w:rPr>
          <w:lang w:val="de-DE"/>
        </w:rPr>
      </w:pPr>
      <w:r w:rsidRPr="004676F5">
        <w:rPr>
          <w:lang w:val="de-DE"/>
        </w:rPr>
        <w:t>Falls der Berufsverband oder mehrere Berufsverbände, mit dem/denen ein Programm</w:t>
      </w:r>
      <w:r w:rsidRPr="004676F5">
        <w:rPr>
          <w:lang w:val="de-DE"/>
        </w:rPr>
        <w:softHyphen/>
        <w:t>vertrag abgeschlossen wird, mindestens 60 Prozent der in Belgien in den Verkehr gebrachten Mengen Erdölerzeugnisse vertreten, ist der Programmvertrag für den gesamten Sektor bindend. Wenn ein Berufsverband des Sektors im Namen seiner Mitglieder per Einschreiben beim Minister eine mit Gründen versehene Beschwerde gegen einen oder mehrere Bestandteile des geltenden Programmvertrags einreicht, berücksichtigt der Minister diese Beschwerde. Er nimmt innerhalb eines Monats ab Erhalt der mit Gründen versehenen Beschwerde eine neue Verhandlung in Bezug auf diese Beschwerde im Rahmen des Programmvertrags auf. Er setzt innerhalb dreier Monate ab Erhalt der Beschwerde den betreffenden Berufsverband per Einschreiben vom Ergebnis der Verhandlung in Kenntnis. Die mit Gründen versehene Beschwerde hat keine aufschiebende Wirkung auf den geltenden Programmvertrag.</w:t>
      </w:r>
    </w:p>
    <w:p w14:paraId="797B9BFF" w14:textId="77777777" w:rsidR="00F76466" w:rsidRPr="004676F5" w:rsidRDefault="00F76466" w:rsidP="00F76466">
      <w:pPr>
        <w:jc w:val="both"/>
        <w:rPr>
          <w:lang w:val="de-DE"/>
        </w:rPr>
      </w:pPr>
    </w:p>
    <w:p w14:paraId="161C8937" w14:textId="77777777" w:rsidR="00E71B2F" w:rsidRPr="004676F5" w:rsidRDefault="00E71B2F" w:rsidP="00F76466">
      <w:pPr>
        <w:jc w:val="both"/>
        <w:rPr>
          <w:lang w:val="de-DE"/>
        </w:rPr>
      </w:pPr>
    </w:p>
    <w:p w14:paraId="5FC8B4F5" w14:textId="4930BCCE" w:rsidR="00F76466" w:rsidRPr="004676F5" w:rsidRDefault="00BE0A56" w:rsidP="00F76466">
      <w:pPr>
        <w:ind w:firstLine="708"/>
        <w:jc w:val="both"/>
        <w:rPr>
          <w:lang w:val="de-DE"/>
        </w:rPr>
      </w:pPr>
      <w:r w:rsidRPr="004676F5">
        <w:rPr>
          <w:b/>
          <w:lang w:val="de-DE"/>
        </w:rPr>
        <w:t>Art. </w:t>
      </w:r>
      <w:r w:rsidR="00F76466" w:rsidRPr="004676F5">
        <w:rPr>
          <w:b/>
          <w:lang w:val="de-DE"/>
        </w:rPr>
        <w:t>V.8</w:t>
      </w:r>
      <w:r w:rsidR="00F76466" w:rsidRPr="004676F5">
        <w:rPr>
          <w:lang w:val="de-DE"/>
        </w:rPr>
        <w:t> </w:t>
      </w:r>
      <w:r w:rsidR="005B7A5C" w:rsidRPr="004676F5">
        <w:rPr>
          <w:lang w:val="de-DE"/>
        </w:rPr>
        <w:t>- </w:t>
      </w:r>
      <w:r w:rsidR="00F76466" w:rsidRPr="004676F5">
        <w:rPr>
          <w:lang w:val="de-DE"/>
        </w:rPr>
        <w:t>Bei der Anwendung der Bestimmungen des vorliegenden Titels können Erzeuger und Vertreiber sich nicht weigern, im Rahmen ihrer Möglichkeiten und unter Bedingungen, die den Handelsbräuchen entsprechen, der Nachfrage der Vertreiber oder Verbraucher nach Waren oder Dienstleistungen nachzukommen, wenn diese Nachfrage in keiner Weise anormal ist.</w:t>
      </w:r>
    </w:p>
    <w:p w14:paraId="31D2FAC3" w14:textId="77777777" w:rsidR="00E71B2F" w:rsidRPr="004676F5" w:rsidRDefault="00E71B2F">
      <w:pPr>
        <w:rPr>
          <w:lang w:val="de-DE"/>
        </w:rPr>
      </w:pPr>
      <w:r w:rsidRPr="004676F5">
        <w:rPr>
          <w:lang w:val="de-DE"/>
        </w:rPr>
        <w:br w:type="page"/>
      </w:r>
    </w:p>
    <w:p w14:paraId="05EAE9ED" w14:textId="301A137C" w:rsidR="00F76466" w:rsidRPr="004676F5" w:rsidRDefault="00F76466" w:rsidP="00F76466">
      <w:pPr>
        <w:jc w:val="center"/>
        <w:rPr>
          <w:b/>
          <w:lang w:val="de-DE"/>
        </w:rPr>
      </w:pPr>
      <w:r w:rsidRPr="004676F5">
        <w:rPr>
          <w:b/>
          <w:lang w:val="de-DE"/>
        </w:rPr>
        <w:lastRenderedPageBreak/>
        <w:t>TITEL 2 </w:t>
      </w:r>
      <w:r w:rsidR="005B7A5C" w:rsidRPr="004676F5">
        <w:rPr>
          <w:b/>
          <w:lang w:val="de-DE"/>
        </w:rPr>
        <w:t>- </w:t>
      </w:r>
      <w:r w:rsidRPr="004676F5">
        <w:rPr>
          <w:b/>
          <w:i/>
          <w:lang w:val="de-DE"/>
        </w:rPr>
        <w:t>Preisfestsetzung für Arzneimittel und damit gleichgesetzte Mittel</w:t>
      </w:r>
    </w:p>
    <w:p w14:paraId="201CEFD5" w14:textId="77777777" w:rsidR="00F76466" w:rsidRPr="004676F5" w:rsidRDefault="00F76466" w:rsidP="00F76466">
      <w:pPr>
        <w:jc w:val="center"/>
        <w:rPr>
          <w:lang w:val="de-DE"/>
        </w:rPr>
      </w:pPr>
    </w:p>
    <w:p w14:paraId="112983D7" w14:textId="77777777" w:rsidR="00E71B2F" w:rsidRPr="004676F5" w:rsidRDefault="00E71B2F" w:rsidP="00F76466">
      <w:pPr>
        <w:jc w:val="center"/>
        <w:rPr>
          <w:lang w:val="de-DE"/>
        </w:rPr>
      </w:pPr>
    </w:p>
    <w:p w14:paraId="00B39132" w14:textId="4CE46B62" w:rsidR="00F76466" w:rsidRPr="004676F5" w:rsidRDefault="00F76466" w:rsidP="00F76466">
      <w:pPr>
        <w:jc w:val="center"/>
        <w:rPr>
          <w:lang w:val="de-DE"/>
        </w:rPr>
      </w:pPr>
      <w:r w:rsidRPr="004676F5">
        <w:rPr>
          <w:lang w:val="de-DE"/>
        </w:rPr>
        <w:t>KAPITEL 1 </w:t>
      </w:r>
      <w:r w:rsidR="005B7A5C" w:rsidRPr="004676F5">
        <w:rPr>
          <w:lang w:val="de-DE"/>
        </w:rPr>
        <w:t>- </w:t>
      </w:r>
      <w:r w:rsidRPr="004676F5">
        <w:rPr>
          <w:i/>
          <w:lang w:val="de-DE"/>
        </w:rPr>
        <w:t>Anwendungsbereich</w:t>
      </w:r>
    </w:p>
    <w:p w14:paraId="03D5E696" w14:textId="77777777" w:rsidR="00F76466" w:rsidRPr="004676F5" w:rsidRDefault="00F76466" w:rsidP="00F76466">
      <w:pPr>
        <w:jc w:val="center"/>
        <w:rPr>
          <w:lang w:val="de-DE"/>
        </w:rPr>
      </w:pPr>
    </w:p>
    <w:p w14:paraId="3FFBBD8B" w14:textId="77777777" w:rsidR="00E71B2F" w:rsidRPr="004676F5" w:rsidRDefault="00E71B2F" w:rsidP="00F76466">
      <w:pPr>
        <w:jc w:val="center"/>
        <w:rPr>
          <w:lang w:val="de-DE"/>
        </w:rPr>
      </w:pPr>
    </w:p>
    <w:p w14:paraId="37A3538C" w14:textId="640A6EDB" w:rsidR="00F76466" w:rsidRPr="004676F5" w:rsidRDefault="00BE0A56" w:rsidP="00F76466">
      <w:pPr>
        <w:ind w:firstLine="708"/>
        <w:jc w:val="both"/>
        <w:rPr>
          <w:lang w:val="de-DE"/>
        </w:rPr>
      </w:pPr>
      <w:r w:rsidRPr="004676F5">
        <w:rPr>
          <w:b/>
          <w:lang w:val="de-DE"/>
        </w:rPr>
        <w:t>Art. </w:t>
      </w:r>
      <w:r w:rsidR="00F76466" w:rsidRPr="004676F5">
        <w:rPr>
          <w:b/>
          <w:lang w:val="de-DE"/>
        </w:rPr>
        <w:t>V.9</w:t>
      </w:r>
      <w:r w:rsidR="00F76466" w:rsidRPr="004676F5">
        <w:rPr>
          <w:lang w:val="de-DE"/>
        </w:rPr>
        <w:t> </w:t>
      </w:r>
      <w:r w:rsidR="005B7A5C" w:rsidRPr="004676F5">
        <w:rPr>
          <w:lang w:val="de-DE"/>
        </w:rPr>
        <w:t>- </w:t>
      </w:r>
      <w:r w:rsidR="00F76466" w:rsidRPr="004676F5">
        <w:rPr>
          <w:lang w:val="de-DE"/>
        </w:rPr>
        <w:t>Den Bestimmungen des vorliegenden Titels unterliegen:</w:t>
      </w:r>
    </w:p>
    <w:p w14:paraId="0FC8F87B" w14:textId="77777777" w:rsidR="00F76466" w:rsidRPr="004676F5" w:rsidRDefault="00F76466" w:rsidP="00F76466">
      <w:pPr>
        <w:jc w:val="both"/>
        <w:rPr>
          <w:lang w:val="de-DE"/>
        </w:rPr>
      </w:pPr>
    </w:p>
    <w:p w14:paraId="2BF13943" w14:textId="77777777" w:rsidR="00F76466" w:rsidRPr="004676F5" w:rsidRDefault="00F76466" w:rsidP="00F76466">
      <w:pPr>
        <w:ind w:firstLine="708"/>
        <w:jc w:val="both"/>
        <w:rPr>
          <w:lang w:val="de-DE"/>
        </w:rPr>
      </w:pPr>
      <w:r w:rsidRPr="004676F5">
        <w:rPr>
          <w:lang w:val="de-DE"/>
        </w:rPr>
        <w:t>1. in Artikel 1 des Gesetzes vom 25. März 1964 über Arzneimittel erwähnte Human</w:t>
      </w:r>
      <w:r w:rsidRPr="004676F5">
        <w:rPr>
          <w:lang w:val="de-DE"/>
        </w:rPr>
        <w:softHyphen/>
        <w:t>arzneimittel, mit Ausnahme der magistralen Präparate und der Tierarzneimittel,</w:t>
      </w:r>
    </w:p>
    <w:p w14:paraId="602E8A1E" w14:textId="77777777" w:rsidR="00F76466" w:rsidRPr="004676F5" w:rsidRDefault="00F76466" w:rsidP="00F76466">
      <w:pPr>
        <w:jc w:val="both"/>
        <w:rPr>
          <w:lang w:val="de-DE"/>
        </w:rPr>
      </w:pPr>
    </w:p>
    <w:p w14:paraId="74758560" w14:textId="77777777" w:rsidR="00F76466" w:rsidRPr="004676F5" w:rsidRDefault="00F76466" w:rsidP="00F76466">
      <w:pPr>
        <w:ind w:firstLine="708"/>
        <w:jc w:val="both"/>
        <w:rPr>
          <w:lang w:val="de-DE"/>
        </w:rPr>
      </w:pPr>
      <w:r w:rsidRPr="004676F5">
        <w:rPr>
          <w:lang w:val="de-DE"/>
        </w:rPr>
        <w:t>2. Gegenstände, Apparate und Stoffe, die vom König gemäß Artikel 1</w:t>
      </w:r>
      <w:r w:rsidRPr="004676F5">
        <w:rPr>
          <w:i/>
          <w:lang w:val="de-DE"/>
        </w:rPr>
        <w:t>bis</w:t>
      </w:r>
      <w:r w:rsidRPr="004676F5">
        <w:rPr>
          <w:lang w:val="de-DE"/>
        </w:rPr>
        <w:t xml:space="preserve"> des vorerwähnten Gesetzes vom 25. März 1964 ganz oder teilweise mit Arzneimitteln gleichgesetzt und vom Minister bestimmt werden,</w:t>
      </w:r>
    </w:p>
    <w:p w14:paraId="5B8AA3F7" w14:textId="77777777" w:rsidR="00F76466" w:rsidRPr="004676F5" w:rsidRDefault="00F76466" w:rsidP="00F76466">
      <w:pPr>
        <w:jc w:val="both"/>
        <w:rPr>
          <w:lang w:val="de-DE"/>
        </w:rPr>
      </w:pPr>
    </w:p>
    <w:p w14:paraId="70C130BD" w14:textId="77777777" w:rsidR="00F76466" w:rsidRPr="004676F5" w:rsidRDefault="00F76466" w:rsidP="00F76466">
      <w:pPr>
        <w:ind w:firstLine="708"/>
        <w:jc w:val="both"/>
        <w:rPr>
          <w:lang w:val="de-DE"/>
        </w:rPr>
      </w:pPr>
      <w:r w:rsidRPr="004676F5">
        <w:rPr>
          <w:lang w:val="de-DE"/>
        </w:rPr>
        <w:t>3. Rohstoffe, die in magistralen Präparaten verwendet werden und deren Liste vom Minister festgelegt wird.</w:t>
      </w:r>
    </w:p>
    <w:p w14:paraId="3E77C616" w14:textId="77777777" w:rsidR="00F76466" w:rsidRPr="004676F5" w:rsidRDefault="00F76466" w:rsidP="00F76466">
      <w:pPr>
        <w:jc w:val="both"/>
        <w:rPr>
          <w:lang w:val="de-DE"/>
        </w:rPr>
      </w:pPr>
    </w:p>
    <w:p w14:paraId="13F7048D" w14:textId="77777777" w:rsidR="00E71B2F" w:rsidRPr="004676F5" w:rsidRDefault="00E71B2F" w:rsidP="00F76466">
      <w:pPr>
        <w:jc w:val="both"/>
        <w:rPr>
          <w:lang w:val="de-DE"/>
        </w:rPr>
      </w:pPr>
    </w:p>
    <w:p w14:paraId="06763E70" w14:textId="77777777" w:rsidR="00E71B2F" w:rsidRPr="004676F5" w:rsidRDefault="00E71B2F">
      <w:pPr>
        <w:rPr>
          <w:lang w:val="de-DE"/>
        </w:rPr>
      </w:pPr>
      <w:r w:rsidRPr="004676F5">
        <w:rPr>
          <w:lang w:val="de-DE"/>
        </w:rPr>
        <w:br w:type="page"/>
      </w:r>
    </w:p>
    <w:p w14:paraId="0145FE6C" w14:textId="1666F61B" w:rsidR="00F76466" w:rsidRPr="004676F5" w:rsidRDefault="00F76466" w:rsidP="00F76466">
      <w:pPr>
        <w:jc w:val="center"/>
        <w:rPr>
          <w:lang w:val="de-DE"/>
        </w:rPr>
      </w:pPr>
      <w:r w:rsidRPr="004676F5">
        <w:rPr>
          <w:lang w:val="de-DE"/>
        </w:rPr>
        <w:lastRenderedPageBreak/>
        <w:t>KAPITEL 2 </w:t>
      </w:r>
      <w:r w:rsidR="005B7A5C" w:rsidRPr="004676F5">
        <w:rPr>
          <w:lang w:val="de-DE"/>
        </w:rPr>
        <w:t>- </w:t>
      </w:r>
      <w:r w:rsidRPr="004676F5">
        <w:rPr>
          <w:i/>
          <w:lang w:val="de-DE"/>
        </w:rPr>
        <w:t>Entscheidungen zur Preisfestsetzung</w:t>
      </w:r>
    </w:p>
    <w:p w14:paraId="753E1D65" w14:textId="77777777" w:rsidR="00F76466" w:rsidRPr="004676F5" w:rsidRDefault="00F76466" w:rsidP="00F76466">
      <w:pPr>
        <w:jc w:val="both"/>
        <w:rPr>
          <w:lang w:val="de-DE"/>
        </w:rPr>
      </w:pPr>
    </w:p>
    <w:p w14:paraId="6AFA9351" w14:textId="77777777" w:rsidR="00E71B2F" w:rsidRPr="004676F5" w:rsidRDefault="00E71B2F" w:rsidP="00F76466">
      <w:pPr>
        <w:jc w:val="both"/>
        <w:rPr>
          <w:lang w:val="de-DE"/>
        </w:rPr>
      </w:pPr>
    </w:p>
    <w:p w14:paraId="29F277E6" w14:textId="68AFDC83" w:rsidR="00F76466" w:rsidRPr="004676F5" w:rsidRDefault="00BE0A56" w:rsidP="00F76466">
      <w:pPr>
        <w:ind w:firstLine="708"/>
        <w:jc w:val="both"/>
        <w:rPr>
          <w:lang w:val="de-DE"/>
        </w:rPr>
      </w:pPr>
      <w:r w:rsidRPr="004676F5">
        <w:rPr>
          <w:b/>
          <w:lang w:val="de-DE"/>
        </w:rPr>
        <w:t>Art. </w:t>
      </w:r>
      <w:r w:rsidR="00F76466" w:rsidRPr="004676F5">
        <w:rPr>
          <w:b/>
          <w:lang w:val="de-DE"/>
        </w:rPr>
        <w:t>V.10</w:t>
      </w:r>
      <w:r w:rsidR="00F76466" w:rsidRPr="004676F5">
        <w:rPr>
          <w:lang w:val="de-DE"/>
        </w:rPr>
        <w:t> </w:t>
      </w:r>
      <w:r w:rsidR="005B7A5C" w:rsidRPr="004676F5">
        <w:rPr>
          <w:lang w:val="de-DE"/>
        </w:rPr>
        <w:t>- </w:t>
      </w:r>
      <w:r w:rsidR="00F76466" w:rsidRPr="004676F5">
        <w:rPr>
          <w:lang w:val="de-DE"/>
        </w:rPr>
        <w:t>§ 1 </w:t>
      </w:r>
      <w:r w:rsidR="005B7A5C" w:rsidRPr="004676F5">
        <w:rPr>
          <w:lang w:val="de-DE"/>
        </w:rPr>
        <w:t>- </w:t>
      </w:r>
      <w:r w:rsidR="00F76466" w:rsidRPr="004676F5">
        <w:rPr>
          <w:lang w:val="de-DE"/>
        </w:rPr>
        <w:t>Herstellerpreise für neue Arzneimittel und damit gleichgesetzte Mittel erwähnt in Artikel V.9 Nr. 1 und 2, Erhöhungen von Herstellerpreisen für bereits bestehende Arzneimittel und damit gleichgesetzte Mittel erwähnt in Artikel V.9 Nr. 1 und 2 und Preiserhöhungen für Rohstoffe erwähnt in Artikel V.9 Nr. 3 unterliegen der vorherigen Zulassung durch den Minister.</w:t>
      </w:r>
    </w:p>
    <w:p w14:paraId="55EE7491" w14:textId="77777777" w:rsidR="00F76466" w:rsidRPr="004676F5" w:rsidRDefault="00F76466" w:rsidP="00F76466">
      <w:pPr>
        <w:jc w:val="both"/>
        <w:rPr>
          <w:lang w:val="de-DE"/>
        </w:rPr>
      </w:pPr>
    </w:p>
    <w:p w14:paraId="37FAB97D" w14:textId="77777777" w:rsidR="0095116E" w:rsidRPr="004676F5" w:rsidRDefault="0095116E" w:rsidP="0095116E">
      <w:pPr>
        <w:ind w:firstLine="708"/>
        <w:jc w:val="both"/>
        <w:rPr>
          <w:lang w:val="de-DE"/>
        </w:rPr>
      </w:pPr>
      <w:r w:rsidRPr="004676F5">
        <w:rPr>
          <w:lang w:val="de-DE"/>
        </w:rPr>
        <w:t>[Als neue Arzneimittel gelten:</w:t>
      </w:r>
    </w:p>
    <w:p w14:paraId="28AACFF2" w14:textId="77777777" w:rsidR="0095116E" w:rsidRPr="004676F5" w:rsidRDefault="0095116E" w:rsidP="0095116E">
      <w:pPr>
        <w:ind w:firstLine="708"/>
        <w:jc w:val="both"/>
        <w:rPr>
          <w:lang w:val="de-DE"/>
        </w:rPr>
      </w:pPr>
    </w:p>
    <w:p w14:paraId="3BF84118" w14:textId="70D25AE8" w:rsidR="0095116E" w:rsidRPr="004676F5" w:rsidRDefault="005B7A5C" w:rsidP="0095116E">
      <w:pPr>
        <w:ind w:firstLine="708"/>
        <w:jc w:val="both"/>
        <w:rPr>
          <w:lang w:val="de-DE"/>
        </w:rPr>
      </w:pPr>
      <w:r w:rsidRPr="004676F5">
        <w:rPr>
          <w:lang w:val="de-DE"/>
        </w:rPr>
        <w:t>- </w:t>
      </w:r>
      <w:r w:rsidR="0095116E" w:rsidRPr="004676F5">
        <w:rPr>
          <w:lang w:val="de-DE"/>
        </w:rPr>
        <w:t xml:space="preserve">in Artikel V.9 Nr. 1 erwähnte Arzneimittel, die zum ersten Mal von einem Inhaber der Inverkehrbringungsgenehmigung oder Registrierung des Arzneimittels, vom Inhaber einer Parallelimportzulassung oder vom Inhaber </w:t>
      </w:r>
      <w:r w:rsidR="000D669D" w:rsidRPr="004676F5">
        <w:rPr>
          <w:lang w:val="de-DE"/>
        </w:rPr>
        <w:t>[einer Parallelvertriebsmeldung in den Verkehr gebracht werden]</w:t>
      </w:r>
      <w:r w:rsidR="0095116E" w:rsidRPr="004676F5">
        <w:rPr>
          <w:lang w:val="de-DE"/>
        </w:rPr>
        <w:t>,</w:t>
      </w:r>
    </w:p>
    <w:p w14:paraId="3DE608D1" w14:textId="77777777" w:rsidR="0095116E" w:rsidRPr="004676F5" w:rsidRDefault="0095116E" w:rsidP="0095116E">
      <w:pPr>
        <w:ind w:firstLine="708"/>
        <w:jc w:val="both"/>
        <w:rPr>
          <w:lang w:val="de-DE"/>
        </w:rPr>
      </w:pPr>
    </w:p>
    <w:p w14:paraId="3CECFE43" w14:textId="2F8EB55E" w:rsidR="00F76466" w:rsidRPr="004676F5" w:rsidRDefault="005B7A5C" w:rsidP="0095116E">
      <w:pPr>
        <w:ind w:firstLine="708"/>
        <w:jc w:val="both"/>
        <w:rPr>
          <w:lang w:val="de-DE"/>
        </w:rPr>
      </w:pPr>
      <w:r w:rsidRPr="004676F5">
        <w:rPr>
          <w:lang w:val="de-DE"/>
        </w:rPr>
        <w:t>- </w:t>
      </w:r>
      <w:r w:rsidR="0095116E" w:rsidRPr="004676F5">
        <w:rPr>
          <w:lang w:val="de-DE"/>
        </w:rPr>
        <w:t>ganz oder teilweise mit Arzneimitteln gleichgesetzte Gegenstände, Apparate und Stoffe wie in Artikel V.9 Nr. 2 erwähnt, die zum ersten Mal von einem Hersteller, Importeur oder Vertreiber in den Verkehr gebracht werden.]</w:t>
      </w:r>
    </w:p>
    <w:p w14:paraId="6AE31CFD" w14:textId="77777777" w:rsidR="00F76466" w:rsidRPr="004676F5" w:rsidRDefault="00F76466" w:rsidP="00F76466">
      <w:pPr>
        <w:jc w:val="both"/>
        <w:rPr>
          <w:lang w:val="de-DE"/>
        </w:rPr>
      </w:pPr>
    </w:p>
    <w:p w14:paraId="25DC0F25" w14:textId="77777777" w:rsidR="00F76466" w:rsidRPr="004676F5" w:rsidRDefault="00F76466" w:rsidP="00F76466">
      <w:pPr>
        <w:ind w:firstLine="708"/>
        <w:jc w:val="both"/>
        <w:rPr>
          <w:lang w:val="de-DE"/>
        </w:rPr>
      </w:pPr>
      <w:r w:rsidRPr="004676F5">
        <w:rPr>
          <w:lang w:val="de-DE"/>
        </w:rPr>
        <w:t>Als Herstellerpreis gilt der Verkaufspreis ohne MwSt., der Großhändlern vom Hersteller oder Importeur eines in Artikel V.9 Nr. 1 erwähnten Arzneimittels fakturiert wird, oder der Verkaufspreis ohne MwSt., der Personen, die für die Abgabe zuständig sind, vom Hersteller, Importeur oder Vertreiber eines damit gleichgesetzten Gegenstands, Apparats oder Stoffs wie in Artikel V.9 Nr. 2 erwähnt fakturiert wird.</w:t>
      </w:r>
    </w:p>
    <w:p w14:paraId="063DD463" w14:textId="77777777" w:rsidR="00F76466" w:rsidRPr="004676F5" w:rsidRDefault="00F76466" w:rsidP="00F76466">
      <w:pPr>
        <w:jc w:val="both"/>
        <w:rPr>
          <w:lang w:val="de-DE"/>
        </w:rPr>
      </w:pPr>
    </w:p>
    <w:p w14:paraId="0D099A8E" w14:textId="4B1AF655" w:rsidR="00F76466" w:rsidRPr="004676F5" w:rsidRDefault="00F76466" w:rsidP="00F76466">
      <w:pPr>
        <w:ind w:firstLine="708"/>
        <w:jc w:val="both"/>
        <w:rPr>
          <w:lang w:val="de-DE"/>
        </w:rPr>
      </w:pPr>
      <w:r w:rsidRPr="004676F5">
        <w:rPr>
          <w:lang w:val="de-DE"/>
        </w:rPr>
        <w:t>§ 2 </w:t>
      </w:r>
      <w:r w:rsidR="005B7A5C" w:rsidRPr="004676F5">
        <w:rPr>
          <w:lang w:val="de-DE"/>
        </w:rPr>
        <w:t>- </w:t>
      </w:r>
      <w:r w:rsidRPr="004676F5">
        <w:rPr>
          <w:lang w:val="de-DE"/>
        </w:rPr>
        <w:t>Der König bestimmt die Zulässigkeitsbedingungen eines Preis</w:t>
      </w:r>
      <w:r w:rsidR="005B7A5C" w:rsidRPr="004676F5">
        <w:rPr>
          <w:lang w:val="de-DE"/>
        </w:rPr>
        <w:t>- </w:t>
      </w:r>
      <w:r w:rsidRPr="004676F5">
        <w:rPr>
          <w:lang w:val="de-DE"/>
        </w:rPr>
        <w:t>oder Preiserhöhungsantrags, der von einem Inhaber der Inverkehrbringungsgenehmigung oder Registrierung eines Arzneimittels</w:t>
      </w:r>
      <w:r w:rsidR="000D669D" w:rsidRPr="004676F5">
        <w:rPr>
          <w:lang w:val="de-DE"/>
        </w:rPr>
        <w:t>[, von einem Inhaber einer Parallelimportzulassung oder von einem Inhaber einer Parallelvertriebsmeldung]</w:t>
      </w:r>
      <w:r w:rsidRPr="004676F5">
        <w:rPr>
          <w:lang w:val="de-DE"/>
        </w:rPr>
        <w:t xml:space="preserve"> für Arzneimittel erwähnt in Artikel V.9 Nr. 1, von einem Hersteller, Importeur oder Vertreiber eines damit gleichgesetzten Gegenstands, Apparats oder Stoffs wie in Artikel V.9 Nr. 2 erwähnt oder von einem Hersteller, Importeur oder Vertreiber von Rohstoffen erwähnt in Artikel V.9 Nr. 3 gestellt wird, sowie die Fristen, binnen denen Unternehmen Entscheidungen zur Preisfestsetzung zugestellt werden.</w:t>
      </w:r>
      <w:r w:rsidR="00AE551D" w:rsidRPr="004676F5">
        <w:rPr>
          <w:lang w:val="de-DE"/>
        </w:rPr>
        <w:t xml:space="preserve"> [Er kann bestimmen, dass Anträge nur auf elektronischem Wege eingereicht werden.]</w:t>
      </w:r>
    </w:p>
    <w:p w14:paraId="447B0317" w14:textId="77777777" w:rsidR="00F76466" w:rsidRPr="004676F5" w:rsidRDefault="00F76466" w:rsidP="00F76466">
      <w:pPr>
        <w:jc w:val="both"/>
        <w:rPr>
          <w:lang w:val="de-DE"/>
        </w:rPr>
      </w:pPr>
    </w:p>
    <w:p w14:paraId="3E326A77" w14:textId="77777777" w:rsidR="00F76466" w:rsidRPr="004676F5" w:rsidRDefault="00F76466" w:rsidP="00F76466">
      <w:pPr>
        <w:ind w:firstLine="708"/>
        <w:jc w:val="both"/>
        <w:rPr>
          <w:lang w:val="de-DE"/>
        </w:rPr>
      </w:pPr>
      <w:r w:rsidRPr="004676F5">
        <w:rPr>
          <w:lang w:val="de-DE"/>
        </w:rPr>
        <w:t>Bei einer außergewöhnlich hohen Anzahl von Anträgen kann der König die Fristen verlängern.</w:t>
      </w:r>
    </w:p>
    <w:p w14:paraId="2F2B1A4B" w14:textId="77777777" w:rsidR="00F76466" w:rsidRPr="004676F5" w:rsidRDefault="00F76466" w:rsidP="00F76466">
      <w:pPr>
        <w:jc w:val="both"/>
        <w:rPr>
          <w:lang w:val="de-DE"/>
        </w:rPr>
      </w:pPr>
    </w:p>
    <w:p w14:paraId="239C7887" w14:textId="6FE95578" w:rsidR="00F76466" w:rsidRPr="004676F5" w:rsidRDefault="00F76466" w:rsidP="00F76466">
      <w:pPr>
        <w:ind w:firstLine="708"/>
        <w:jc w:val="both"/>
        <w:rPr>
          <w:lang w:val="de-DE"/>
        </w:rPr>
      </w:pPr>
      <w:r w:rsidRPr="004676F5">
        <w:rPr>
          <w:lang w:val="de-DE"/>
        </w:rPr>
        <w:t>§ 3 </w:t>
      </w:r>
      <w:r w:rsidR="005B7A5C" w:rsidRPr="004676F5">
        <w:rPr>
          <w:lang w:val="de-DE"/>
        </w:rPr>
        <w:t>- </w:t>
      </w:r>
      <w:r w:rsidRPr="004676F5">
        <w:rPr>
          <w:lang w:val="de-DE"/>
        </w:rPr>
        <w:t>Der König kann bestimmte Kategorien von Arzneimitteln und damit gleichgesetzten Mitteln erwähnt in Artikel V.9 Nr. 1 und 2 vom Anwendungsbereich von Kapitel 2 ausschließen.</w:t>
      </w:r>
    </w:p>
    <w:p w14:paraId="44C89F3F" w14:textId="77777777" w:rsidR="00F76466" w:rsidRPr="004676F5" w:rsidRDefault="00F76466" w:rsidP="00F76466">
      <w:pPr>
        <w:jc w:val="both"/>
        <w:rPr>
          <w:lang w:val="de-DE"/>
        </w:rPr>
      </w:pPr>
    </w:p>
    <w:p w14:paraId="5F92034F" w14:textId="1BB48F15" w:rsidR="00F76466" w:rsidRPr="004676F5" w:rsidRDefault="00F76466" w:rsidP="00F76466">
      <w:pPr>
        <w:ind w:firstLine="708"/>
        <w:jc w:val="both"/>
        <w:rPr>
          <w:lang w:val="de-DE"/>
        </w:rPr>
      </w:pPr>
      <w:r w:rsidRPr="004676F5">
        <w:rPr>
          <w:lang w:val="de-DE"/>
        </w:rPr>
        <w:t>§ 4 </w:t>
      </w:r>
      <w:r w:rsidR="005B7A5C" w:rsidRPr="004676F5">
        <w:rPr>
          <w:lang w:val="de-DE"/>
        </w:rPr>
        <w:t>- </w:t>
      </w:r>
      <w:r w:rsidRPr="004676F5">
        <w:rPr>
          <w:lang w:val="de-DE"/>
        </w:rPr>
        <w:t>Der König kann Modalitäten vorschreiben, die für die Anwendung der Bestimmungen des vorliegenden Artikels notwendig sind.</w:t>
      </w:r>
    </w:p>
    <w:p w14:paraId="7F95DC37" w14:textId="77777777" w:rsidR="00F76466" w:rsidRPr="004676F5" w:rsidRDefault="00F76466" w:rsidP="00F76466">
      <w:pPr>
        <w:jc w:val="both"/>
        <w:rPr>
          <w:lang w:val="de-DE"/>
        </w:rPr>
      </w:pPr>
    </w:p>
    <w:p w14:paraId="332E271D" w14:textId="0C6536B2" w:rsidR="00F76466" w:rsidRPr="004676F5" w:rsidRDefault="00F76466" w:rsidP="00F76466">
      <w:pPr>
        <w:ind w:firstLine="708"/>
        <w:jc w:val="both"/>
        <w:rPr>
          <w:lang w:val="de-DE"/>
        </w:rPr>
      </w:pPr>
      <w:r w:rsidRPr="004676F5">
        <w:rPr>
          <w:lang w:val="de-DE"/>
        </w:rPr>
        <w:t>§ 5 </w:t>
      </w:r>
      <w:r w:rsidR="005B7A5C" w:rsidRPr="004676F5">
        <w:rPr>
          <w:lang w:val="de-DE"/>
        </w:rPr>
        <w:t>- </w:t>
      </w:r>
      <w:r w:rsidRPr="004676F5">
        <w:rPr>
          <w:lang w:val="de-DE"/>
        </w:rPr>
        <w:t>Wird binnen den in § 2 erwähnten Fristen keine Entscheidung in Bezug auf die Preise getroffen, darf der Antragsteller den beantragten Preis oder die beantragte Preiserhöhung anwenden.</w:t>
      </w:r>
    </w:p>
    <w:p w14:paraId="0C9F4434" w14:textId="77777777" w:rsidR="00F76466" w:rsidRPr="004676F5" w:rsidRDefault="00F76466" w:rsidP="00F76466">
      <w:pPr>
        <w:jc w:val="both"/>
        <w:rPr>
          <w:lang w:val="de-DE"/>
        </w:rPr>
      </w:pPr>
    </w:p>
    <w:p w14:paraId="55082900" w14:textId="0F7F768C" w:rsidR="00F76466" w:rsidRPr="004676F5" w:rsidRDefault="00F76466" w:rsidP="00F76466">
      <w:pPr>
        <w:ind w:firstLine="708"/>
        <w:jc w:val="both"/>
        <w:rPr>
          <w:lang w:val="de-DE"/>
        </w:rPr>
      </w:pPr>
      <w:r w:rsidRPr="004676F5">
        <w:rPr>
          <w:lang w:val="de-DE"/>
        </w:rPr>
        <w:lastRenderedPageBreak/>
        <w:t>§ 6 </w:t>
      </w:r>
      <w:r w:rsidR="005B7A5C" w:rsidRPr="004676F5">
        <w:rPr>
          <w:lang w:val="de-DE"/>
        </w:rPr>
        <w:t>- </w:t>
      </w:r>
      <w:r w:rsidRPr="004676F5">
        <w:rPr>
          <w:lang w:val="de-DE"/>
        </w:rPr>
        <w:t>Der König kann durch einen im Ministerrat beratenen Erlass die Bedingungen festlegen, unter denen der Minister Preissenkungen für bestehende Arzneimittel und damit gleichgesetzte Mittel erwähnt in Artikel V.9 Nr. 1 und 2 auferlegen kann.</w:t>
      </w:r>
    </w:p>
    <w:p w14:paraId="3519C1FD" w14:textId="77777777" w:rsidR="00F76466" w:rsidRPr="004676F5" w:rsidRDefault="00F76466" w:rsidP="00F76466">
      <w:pPr>
        <w:jc w:val="both"/>
        <w:rPr>
          <w:lang w:val="de-DE"/>
        </w:rPr>
      </w:pPr>
    </w:p>
    <w:p w14:paraId="3833CA59" w14:textId="44645C09" w:rsidR="00F76466" w:rsidRPr="004676F5" w:rsidRDefault="00F76466" w:rsidP="00F76466">
      <w:pPr>
        <w:ind w:firstLine="708"/>
        <w:jc w:val="both"/>
        <w:rPr>
          <w:lang w:val="de-DE"/>
        </w:rPr>
      </w:pPr>
      <w:r w:rsidRPr="004676F5">
        <w:rPr>
          <w:lang w:val="de-DE"/>
        </w:rPr>
        <w:t>§ 7 </w:t>
      </w:r>
      <w:r w:rsidR="005B7A5C" w:rsidRPr="004676F5">
        <w:rPr>
          <w:lang w:val="de-DE"/>
        </w:rPr>
        <w:t>- </w:t>
      </w:r>
      <w:r w:rsidRPr="004676F5">
        <w:rPr>
          <w:lang w:val="de-DE"/>
        </w:rPr>
        <w:t>Der Minister kann für die in vorliegendem Artikel erwähnten Einzelentscheidungen in Bezug auf die Preise eine Vollmacht erteilen.</w:t>
      </w:r>
    </w:p>
    <w:p w14:paraId="35E67E17" w14:textId="77777777" w:rsidR="0048281F" w:rsidRPr="004676F5" w:rsidRDefault="0048281F" w:rsidP="00F76466">
      <w:pPr>
        <w:ind w:firstLine="708"/>
        <w:jc w:val="both"/>
        <w:rPr>
          <w:lang w:val="de-DE"/>
        </w:rPr>
      </w:pPr>
    </w:p>
    <w:p w14:paraId="66801650" w14:textId="7AD137D7" w:rsidR="0048281F" w:rsidRPr="004676F5" w:rsidRDefault="0048281F" w:rsidP="00F76466">
      <w:pPr>
        <w:ind w:firstLine="708"/>
        <w:jc w:val="both"/>
        <w:rPr>
          <w:lang w:val="de-DE"/>
        </w:rPr>
      </w:pPr>
      <w:r w:rsidRPr="004676F5">
        <w:rPr>
          <w:lang w:val="de-DE"/>
        </w:rPr>
        <w:t>[§ 8 </w:t>
      </w:r>
      <w:r w:rsidR="005B7A5C" w:rsidRPr="004676F5">
        <w:rPr>
          <w:lang w:val="de-DE"/>
        </w:rPr>
        <w:t>- </w:t>
      </w:r>
      <w:r w:rsidRPr="004676F5">
        <w:rPr>
          <w:lang w:val="de-DE"/>
        </w:rPr>
        <w:t>Der Minister kann vorschreiben, dass alle Bücher, Register und anderen Buchungsbelege, deren Führung durch oder aufgrund von Gesetzesbestimmungen vorgeschrieben ist, den von ihm bestellten Bediensteten vor Ort vorgelegt werden.]</w:t>
      </w:r>
    </w:p>
    <w:p w14:paraId="5AE4F2B9" w14:textId="77777777" w:rsidR="00F76466" w:rsidRPr="004676F5" w:rsidRDefault="00F76466" w:rsidP="00F76466">
      <w:pPr>
        <w:jc w:val="both"/>
        <w:rPr>
          <w:lang w:val="de-DE"/>
        </w:rPr>
      </w:pPr>
    </w:p>
    <w:p w14:paraId="1C40801F" w14:textId="59296B44" w:rsidR="0048281F" w:rsidRPr="004676F5" w:rsidRDefault="0048281F" w:rsidP="00F76466">
      <w:pPr>
        <w:jc w:val="both"/>
        <w:rPr>
          <w:i/>
          <w:lang w:val="de-DE"/>
        </w:rPr>
      </w:pPr>
      <w:r w:rsidRPr="004676F5">
        <w:rPr>
          <w:i/>
          <w:lang w:val="de-DE"/>
        </w:rPr>
        <w:t>[</w:t>
      </w:r>
      <w:r w:rsidR="00BE0A56" w:rsidRPr="004676F5">
        <w:rPr>
          <w:i/>
          <w:lang w:val="de-DE"/>
        </w:rPr>
        <w:t>Art. </w:t>
      </w:r>
      <w:r w:rsidRPr="004676F5">
        <w:rPr>
          <w:i/>
          <w:lang w:val="de-DE"/>
        </w:rPr>
        <w:t>V.10</w:t>
      </w:r>
      <w:r w:rsidR="0095116E" w:rsidRPr="004676F5">
        <w:rPr>
          <w:i/>
          <w:lang w:val="de-DE"/>
        </w:rPr>
        <w:t xml:space="preserve"> § 1 Abs. 2 ersetzt durch </w:t>
      </w:r>
      <w:r w:rsidR="00BE0A56" w:rsidRPr="004676F5">
        <w:rPr>
          <w:i/>
          <w:lang w:val="de-DE"/>
        </w:rPr>
        <w:t>Art. </w:t>
      </w:r>
      <w:r w:rsidR="0095116E" w:rsidRPr="004676F5">
        <w:rPr>
          <w:i/>
          <w:lang w:val="de-DE"/>
        </w:rPr>
        <w:t xml:space="preserve">8 des G. vom 29. Juni 2016 (B.S. vom 6. Juli 2016); </w:t>
      </w:r>
      <w:r w:rsidR="000D669D" w:rsidRPr="004676F5">
        <w:rPr>
          <w:i/>
          <w:lang w:val="de-DE"/>
        </w:rPr>
        <w:t>§ 1 Abs. 2 erster Gedankenstrich abgeändert durch Art. 15 Nr. 1</w:t>
      </w:r>
      <w:r w:rsidR="000D669D" w:rsidRPr="004676F5">
        <w:rPr>
          <w:i/>
          <w:iCs/>
          <w:lang w:val="de-DE"/>
        </w:rPr>
        <w:t xml:space="preserve"> des G. vom 9. Februar 2024 (B.S. vom 21. März 2024)</w:t>
      </w:r>
      <w:r w:rsidR="000D669D" w:rsidRPr="004676F5">
        <w:rPr>
          <w:i/>
          <w:lang w:val="de-DE"/>
        </w:rPr>
        <w:t xml:space="preserve">; </w:t>
      </w:r>
      <w:r w:rsidR="00AE551D" w:rsidRPr="004676F5">
        <w:rPr>
          <w:i/>
          <w:lang w:val="de-DE"/>
        </w:rPr>
        <w:t xml:space="preserve">§ 2 Abs. 1 </w:t>
      </w:r>
      <w:r w:rsidR="000D669D" w:rsidRPr="004676F5">
        <w:rPr>
          <w:i/>
          <w:lang w:val="de-DE"/>
        </w:rPr>
        <w:t>abgeändert</w:t>
      </w:r>
      <w:r w:rsidR="00AE551D" w:rsidRPr="004676F5">
        <w:rPr>
          <w:i/>
          <w:lang w:val="de-DE"/>
        </w:rPr>
        <w:t xml:space="preserve"> durch Art. 6 des G. vom 30. Juli 2018 (II) (B.S. vom 5. September 2018)</w:t>
      </w:r>
      <w:r w:rsidR="000D669D" w:rsidRPr="004676F5">
        <w:rPr>
          <w:i/>
          <w:lang w:val="de-DE"/>
        </w:rPr>
        <w:t xml:space="preserve"> und Art. 15 Nr. 3</w:t>
      </w:r>
      <w:r w:rsidR="000D669D" w:rsidRPr="004676F5">
        <w:rPr>
          <w:i/>
          <w:iCs/>
          <w:lang w:val="de-DE"/>
        </w:rPr>
        <w:t xml:space="preserve"> des G. vom 9. Februar 2024 (B.S. vom 21. März 2024)</w:t>
      </w:r>
      <w:r w:rsidR="00AE551D" w:rsidRPr="004676F5">
        <w:rPr>
          <w:i/>
          <w:lang w:val="de-DE"/>
        </w:rPr>
        <w:t xml:space="preserve">; </w:t>
      </w:r>
      <w:r w:rsidRPr="004676F5">
        <w:rPr>
          <w:i/>
          <w:lang w:val="de-DE"/>
        </w:rPr>
        <w:t xml:space="preserve">§ 8 eingefügt durch </w:t>
      </w:r>
      <w:r w:rsidR="00BE0A56" w:rsidRPr="004676F5">
        <w:rPr>
          <w:i/>
          <w:lang w:val="de-DE"/>
        </w:rPr>
        <w:t>Art. </w:t>
      </w:r>
      <w:r w:rsidRPr="004676F5">
        <w:rPr>
          <w:i/>
          <w:lang w:val="de-DE"/>
        </w:rPr>
        <w:t>5</w:t>
      </w:r>
      <w:r w:rsidRPr="004676F5">
        <w:rPr>
          <w:i/>
          <w:iCs/>
          <w:lang w:val="de-DE"/>
        </w:rPr>
        <w:t xml:space="preserve"> </w:t>
      </w:r>
      <w:r w:rsidRPr="004676F5">
        <w:rPr>
          <w:i/>
          <w:lang w:val="de-DE"/>
        </w:rPr>
        <w:t>des G. vom 26. Oktober 2015 (B.S. vom 30. Oktober 2015)]</w:t>
      </w:r>
    </w:p>
    <w:p w14:paraId="717FE1BA" w14:textId="77777777" w:rsidR="0048281F" w:rsidRPr="004676F5" w:rsidRDefault="0048281F" w:rsidP="00F76466">
      <w:pPr>
        <w:jc w:val="both"/>
        <w:rPr>
          <w:i/>
          <w:lang w:val="de-DE"/>
        </w:rPr>
      </w:pPr>
    </w:p>
    <w:p w14:paraId="52038CD0" w14:textId="77777777" w:rsidR="00E71B2F" w:rsidRPr="004676F5" w:rsidRDefault="00E71B2F" w:rsidP="00F76466">
      <w:pPr>
        <w:jc w:val="both"/>
        <w:rPr>
          <w:lang w:val="de-DE"/>
        </w:rPr>
      </w:pPr>
    </w:p>
    <w:p w14:paraId="6D3DE54C" w14:textId="713B8CF6" w:rsidR="00F76466" w:rsidRPr="004676F5" w:rsidRDefault="00BE0A56" w:rsidP="00F76466">
      <w:pPr>
        <w:ind w:firstLine="708"/>
        <w:jc w:val="both"/>
        <w:rPr>
          <w:lang w:val="de-DE"/>
        </w:rPr>
      </w:pPr>
      <w:r w:rsidRPr="004676F5">
        <w:rPr>
          <w:b/>
          <w:lang w:val="de-DE"/>
        </w:rPr>
        <w:t>Art. </w:t>
      </w:r>
      <w:r w:rsidR="00F76466" w:rsidRPr="004676F5">
        <w:rPr>
          <w:b/>
          <w:lang w:val="de-DE"/>
        </w:rPr>
        <w:t>V.11</w:t>
      </w:r>
      <w:r w:rsidR="00F76466" w:rsidRPr="004676F5">
        <w:rPr>
          <w:lang w:val="de-DE"/>
        </w:rPr>
        <w:t> </w:t>
      </w:r>
      <w:r w:rsidR="005B7A5C" w:rsidRPr="004676F5">
        <w:rPr>
          <w:lang w:val="de-DE"/>
        </w:rPr>
        <w:t>- </w:t>
      </w:r>
      <w:r w:rsidR="00F76466" w:rsidRPr="004676F5">
        <w:rPr>
          <w:lang w:val="de-DE"/>
        </w:rPr>
        <w:t>§ 1 </w:t>
      </w:r>
      <w:r w:rsidR="005B7A5C" w:rsidRPr="004676F5">
        <w:rPr>
          <w:lang w:val="de-DE"/>
        </w:rPr>
        <w:t>- </w:t>
      </w:r>
      <w:r w:rsidR="00F76466" w:rsidRPr="004676F5">
        <w:rPr>
          <w:lang w:val="de-DE"/>
        </w:rPr>
        <w:t xml:space="preserve">Der König kann durch einen im Ministerrat beratenen Erlass einen vollständigen oder teilweisen Preisstopp für alle Arzneimittel oder bestimmte Kategorien von Arzneimitteln und damit gleichgesetzten Mitteln erwähnt in Artikel V.9 Nr. 1 und 2 beschließen. </w:t>
      </w:r>
    </w:p>
    <w:p w14:paraId="7A92775D" w14:textId="77777777" w:rsidR="00F76466" w:rsidRPr="004676F5" w:rsidRDefault="00F76466" w:rsidP="00F76466">
      <w:pPr>
        <w:jc w:val="both"/>
        <w:rPr>
          <w:lang w:val="de-DE"/>
        </w:rPr>
      </w:pPr>
    </w:p>
    <w:p w14:paraId="5FFA1435" w14:textId="1D51E06F" w:rsidR="00F76466" w:rsidRPr="004676F5" w:rsidRDefault="00F76466" w:rsidP="00F76466">
      <w:pPr>
        <w:ind w:firstLine="708"/>
        <w:jc w:val="both"/>
        <w:rPr>
          <w:lang w:val="de-DE"/>
        </w:rPr>
      </w:pPr>
      <w:r w:rsidRPr="004676F5">
        <w:rPr>
          <w:lang w:val="de-DE"/>
        </w:rPr>
        <w:t>§ 2 </w:t>
      </w:r>
      <w:r w:rsidR="005B7A5C" w:rsidRPr="004676F5">
        <w:rPr>
          <w:lang w:val="de-DE"/>
        </w:rPr>
        <w:t>- </w:t>
      </w:r>
      <w:r w:rsidRPr="004676F5">
        <w:rPr>
          <w:lang w:val="de-DE"/>
        </w:rPr>
        <w:t>Im Fall eines Preisstopps für Arzneimittel erwähnt in Artikel V.9 Nr. 1, für die eine Beteiligung der Gesundheitspflege</w:t>
      </w:r>
      <w:r w:rsidR="005B7A5C" w:rsidRPr="004676F5">
        <w:rPr>
          <w:lang w:val="de-DE"/>
        </w:rPr>
        <w:t>- </w:t>
      </w:r>
      <w:r w:rsidRPr="004676F5">
        <w:rPr>
          <w:lang w:val="de-DE"/>
        </w:rPr>
        <w:t>und Entschädigungspflichtversicherung vorgesehen ist, überprüfen die für die Wirtschaftsangelegenheiten und die Sozialen Angelegenheiten zuständigen Minister mindestens einmal jährlich, ob nach der gemeinwirtschaftlichen Lage die Beibehaltung des Preisstopps gerechtfertigt ist.</w:t>
      </w:r>
    </w:p>
    <w:p w14:paraId="17E624FA" w14:textId="77777777" w:rsidR="00F76466" w:rsidRPr="004676F5" w:rsidRDefault="00F76466" w:rsidP="00F76466">
      <w:pPr>
        <w:jc w:val="both"/>
        <w:rPr>
          <w:lang w:val="de-DE"/>
        </w:rPr>
      </w:pPr>
    </w:p>
    <w:p w14:paraId="732537A0" w14:textId="692293BC" w:rsidR="00F76466" w:rsidRPr="004676F5" w:rsidRDefault="00F76466" w:rsidP="00F76466">
      <w:pPr>
        <w:ind w:firstLine="708"/>
        <w:jc w:val="both"/>
        <w:rPr>
          <w:lang w:val="de-DE"/>
        </w:rPr>
      </w:pPr>
      <w:r w:rsidRPr="004676F5">
        <w:rPr>
          <w:lang w:val="de-DE"/>
        </w:rPr>
        <w:t>§ 3 </w:t>
      </w:r>
      <w:r w:rsidR="005B7A5C" w:rsidRPr="004676F5">
        <w:rPr>
          <w:lang w:val="de-DE"/>
        </w:rPr>
        <w:t>- </w:t>
      </w:r>
      <w:r w:rsidRPr="004676F5">
        <w:rPr>
          <w:lang w:val="de-DE"/>
        </w:rPr>
        <w:t>Auf Antrag eines Inhabers der Inverkehrbringungsgenehmigung oder Registrierung eines Arzneimittels für Arzneimittel erwähnt in Artikel V.9 Nr. 1 oder des Importeurs oder Vertreibers damit gleichgesetzter Mittel wie in Artikel V.9 Nr. 2 erwähnt kann der Minister in Ausnahmefällen und sofern besondere Gründe in Zusammenhang mit der Rentabilität, die der Antragsteller nachweist, es rechtfertigen, eine Abweichung vom Preisstopp gewähren.</w:t>
      </w:r>
    </w:p>
    <w:p w14:paraId="75D3E6CA" w14:textId="77777777" w:rsidR="00F76466" w:rsidRPr="004676F5" w:rsidRDefault="00F76466" w:rsidP="00F76466">
      <w:pPr>
        <w:jc w:val="both"/>
        <w:rPr>
          <w:lang w:val="de-DE"/>
        </w:rPr>
      </w:pPr>
    </w:p>
    <w:p w14:paraId="5D49C25A" w14:textId="77777777" w:rsidR="00E71B2F" w:rsidRPr="004676F5" w:rsidRDefault="00E71B2F" w:rsidP="00F76466">
      <w:pPr>
        <w:jc w:val="both"/>
        <w:rPr>
          <w:lang w:val="de-DE"/>
        </w:rPr>
      </w:pPr>
    </w:p>
    <w:p w14:paraId="71B1D0FB" w14:textId="542BFDBA" w:rsidR="00F76466" w:rsidRPr="004676F5" w:rsidRDefault="00BE0A56" w:rsidP="00F76466">
      <w:pPr>
        <w:ind w:firstLine="708"/>
        <w:jc w:val="both"/>
        <w:rPr>
          <w:lang w:val="de-DE"/>
        </w:rPr>
      </w:pPr>
      <w:r w:rsidRPr="004676F5">
        <w:rPr>
          <w:b/>
          <w:lang w:val="de-DE"/>
        </w:rPr>
        <w:t>Art. </w:t>
      </w:r>
      <w:r w:rsidR="00F76466" w:rsidRPr="004676F5">
        <w:rPr>
          <w:b/>
          <w:lang w:val="de-DE"/>
        </w:rPr>
        <w:t>V.12</w:t>
      </w:r>
      <w:r w:rsidR="00F76466" w:rsidRPr="004676F5">
        <w:rPr>
          <w:lang w:val="de-DE"/>
        </w:rPr>
        <w:t> </w:t>
      </w:r>
      <w:r w:rsidR="005B7A5C" w:rsidRPr="004676F5">
        <w:rPr>
          <w:lang w:val="de-DE"/>
        </w:rPr>
        <w:t>- </w:t>
      </w:r>
      <w:r w:rsidR="00F76466" w:rsidRPr="004676F5">
        <w:rPr>
          <w:lang w:val="de-DE"/>
        </w:rPr>
        <w:t>§ 1 </w:t>
      </w:r>
      <w:r w:rsidR="005B7A5C" w:rsidRPr="004676F5">
        <w:rPr>
          <w:lang w:val="de-DE"/>
        </w:rPr>
        <w:t>- </w:t>
      </w:r>
      <w:r w:rsidR="00F76466" w:rsidRPr="004676F5">
        <w:rPr>
          <w:lang w:val="de-DE"/>
        </w:rPr>
        <w:t>Der Minister kann den maximalen Herstellerpreis für die von ihm bestimmten Kategorien von Arzneimitteln und damit gleichgesetzten Mitteln erwähnt in Artikel V.9 Nr. 1 und 2 festlegen. Diese Preise können unter den Preisen liegen, die am Datum seiner Entscheidung anwendbar sind.</w:t>
      </w:r>
    </w:p>
    <w:p w14:paraId="4DAB28AA" w14:textId="77777777" w:rsidR="00F76466" w:rsidRPr="004676F5" w:rsidRDefault="00F76466" w:rsidP="00F76466">
      <w:pPr>
        <w:jc w:val="both"/>
        <w:rPr>
          <w:lang w:val="de-DE"/>
        </w:rPr>
      </w:pPr>
    </w:p>
    <w:p w14:paraId="3A43E8C9" w14:textId="5731ED81" w:rsidR="00F76466" w:rsidRPr="004676F5" w:rsidRDefault="00F76466" w:rsidP="00F76466">
      <w:pPr>
        <w:ind w:firstLine="708"/>
        <w:jc w:val="both"/>
        <w:rPr>
          <w:lang w:val="de-DE"/>
        </w:rPr>
      </w:pPr>
      <w:r w:rsidRPr="004676F5">
        <w:rPr>
          <w:lang w:val="de-DE"/>
        </w:rPr>
        <w:t>§ 2 </w:t>
      </w:r>
      <w:r w:rsidR="005B7A5C" w:rsidRPr="004676F5">
        <w:rPr>
          <w:lang w:val="de-DE"/>
        </w:rPr>
        <w:t>- </w:t>
      </w:r>
      <w:r w:rsidRPr="004676F5">
        <w:rPr>
          <w:lang w:val="de-DE"/>
        </w:rPr>
        <w:t>Der Minister kann maximale Gewinnspannen für den Großhandelsvertrieb oder die Abgabe von Arzneimitteln und damit gleichgesetzten Mitteln erwähnt in Artikel V.9 Nr. 1 und 2 und gegebenenfalls maximale Einzelhandelspreise festlegen.</w:t>
      </w:r>
    </w:p>
    <w:p w14:paraId="5A46377E" w14:textId="77777777" w:rsidR="00F76466" w:rsidRPr="004676F5" w:rsidRDefault="00F76466" w:rsidP="00F76466">
      <w:pPr>
        <w:jc w:val="both"/>
        <w:rPr>
          <w:lang w:val="de-DE"/>
        </w:rPr>
      </w:pPr>
    </w:p>
    <w:p w14:paraId="52CBB9C2" w14:textId="65F4A6BA" w:rsidR="00F76466" w:rsidRPr="004676F5" w:rsidRDefault="00F76466" w:rsidP="00F76466">
      <w:pPr>
        <w:ind w:firstLine="708"/>
        <w:jc w:val="both"/>
        <w:rPr>
          <w:lang w:val="de-DE"/>
        </w:rPr>
      </w:pPr>
      <w:r w:rsidRPr="004676F5">
        <w:rPr>
          <w:lang w:val="de-DE"/>
        </w:rPr>
        <w:t>Für die Festlegung der maximalen Gewinnspannen für den Großhandelsvertrieb und die Abgabe von Arzneimitteln erwähnt in Artikel V.9 Nr. 1, die im Rahmen der Gesundheitspflege</w:t>
      </w:r>
      <w:r w:rsidR="005B7A5C" w:rsidRPr="004676F5">
        <w:rPr>
          <w:lang w:val="de-DE"/>
        </w:rPr>
        <w:t>- </w:t>
      </w:r>
      <w:r w:rsidRPr="004676F5">
        <w:rPr>
          <w:lang w:val="de-DE"/>
        </w:rPr>
        <w:t>und Entschädigungspflichtversicherung erstattungsfähig sind, spricht der Minister sich mit dem für die Sozialen Angelegenheiten zuständigen Minister ab.</w:t>
      </w:r>
    </w:p>
    <w:p w14:paraId="6CA23146" w14:textId="77777777" w:rsidR="00F76466" w:rsidRPr="004676F5" w:rsidRDefault="00F76466" w:rsidP="00F76466">
      <w:pPr>
        <w:jc w:val="both"/>
        <w:rPr>
          <w:lang w:val="de-DE"/>
        </w:rPr>
      </w:pPr>
    </w:p>
    <w:p w14:paraId="2549368E" w14:textId="77777777" w:rsidR="00E71B2F" w:rsidRPr="004676F5" w:rsidRDefault="00E71B2F" w:rsidP="00F76466">
      <w:pPr>
        <w:jc w:val="both"/>
        <w:rPr>
          <w:lang w:val="de-DE"/>
        </w:rPr>
      </w:pPr>
    </w:p>
    <w:p w14:paraId="04BE9D43" w14:textId="0DDEEC55" w:rsidR="00F76466" w:rsidRPr="004676F5" w:rsidRDefault="00BE0A56" w:rsidP="00F76466">
      <w:pPr>
        <w:ind w:firstLine="708"/>
        <w:jc w:val="both"/>
        <w:rPr>
          <w:lang w:val="de-DE"/>
        </w:rPr>
      </w:pPr>
      <w:r w:rsidRPr="004676F5">
        <w:rPr>
          <w:b/>
          <w:lang w:val="de-DE"/>
        </w:rPr>
        <w:t>Art. </w:t>
      </w:r>
      <w:r w:rsidR="00F76466" w:rsidRPr="004676F5">
        <w:rPr>
          <w:b/>
          <w:lang w:val="de-DE"/>
        </w:rPr>
        <w:t>V.13</w:t>
      </w:r>
      <w:r w:rsidR="00F76466" w:rsidRPr="004676F5">
        <w:rPr>
          <w:lang w:val="de-DE"/>
        </w:rPr>
        <w:t> </w:t>
      </w:r>
      <w:r w:rsidR="005B7A5C" w:rsidRPr="004676F5">
        <w:rPr>
          <w:lang w:val="de-DE"/>
        </w:rPr>
        <w:t>- </w:t>
      </w:r>
      <w:r w:rsidR="00F76466" w:rsidRPr="004676F5">
        <w:rPr>
          <w:lang w:val="de-DE"/>
        </w:rPr>
        <w:t>Bevor der Minister in Anwendung des vorliegenden Kapitels Entscheidungen trifft und Modalitäten festlegt, konsultiert er die Preiskommission für Arzneimittel, deren Satzung, Zusammensetzung und Arbeitsweise der König festlegt. Der Minister bestimmt ebenfalls die für die Abgabe der Stellungnahme angemessene Frist. Nach Ablauf dieser Frist ist die Stellungnahme nicht mehr erforderlich.</w:t>
      </w:r>
    </w:p>
    <w:p w14:paraId="1FA3C53F" w14:textId="77777777" w:rsidR="00F76466" w:rsidRPr="004676F5" w:rsidRDefault="00F76466" w:rsidP="00F76466">
      <w:pPr>
        <w:jc w:val="both"/>
        <w:rPr>
          <w:lang w:val="de-DE"/>
        </w:rPr>
      </w:pPr>
    </w:p>
    <w:p w14:paraId="68D2B450" w14:textId="77777777" w:rsidR="00E71B2F" w:rsidRPr="004676F5" w:rsidRDefault="00E71B2F" w:rsidP="00F76466">
      <w:pPr>
        <w:jc w:val="both"/>
        <w:rPr>
          <w:lang w:val="de-DE"/>
        </w:rPr>
      </w:pPr>
    </w:p>
    <w:p w14:paraId="765C4444" w14:textId="331A8BFE" w:rsidR="00F76466" w:rsidRPr="004676F5" w:rsidRDefault="00BE0A56" w:rsidP="00F76466">
      <w:pPr>
        <w:ind w:firstLine="708"/>
        <w:jc w:val="both"/>
        <w:rPr>
          <w:lang w:val="de-DE"/>
        </w:rPr>
      </w:pPr>
      <w:r w:rsidRPr="004676F5">
        <w:rPr>
          <w:b/>
          <w:lang w:val="de-DE"/>
        </w:rPr>
        <w:t>Art. </w:t>
      </w:r>
      <w:r w:rsidR="00F76466" w:rsidRPr="004676F5">
        <w:rPr>
          <w:b/>
          <w:lang w:val="de-DE"/>
        </w:rPr>
        <w:t>V.14</w:t>
      </w:r>
      <w:r w:rsidR="00F76466" w:rsidRPr="004676F5">
        <w:rPr>
          <w:lang w:val="de-DE"/>
        </w:rPr>
        <w:t> </w:t>
      </w:r>
      <w:r w:rsidR="005B7A5C" w:rsidRPr="004676F5">
        <w:rPr>
          <w:lang w:val="de-DE"/>
        </w:rPr>
        <w:t>- </w:t>
      </w:r>
      <w:r w:rsidR="00F76466" w:rsidRPr="004676F5">
        <w:rPr>
          <w:lang w:val="de-DE"/>
        </w:rPr>
        <w:t>§ 1 </w:t>
      </w:r>
      <w:r w:rsidR="005B7A5C" w:rsidRPr="004676F5">
        <w:rPr>
          <w:lang w:val="de-DE"/>
        </w:rPr>
        <w:t>- </w:t>
      </w:r>
      <w:r w:rsidR="00F76466" w:rsidRPr="004676F5">
        <w:rPr>
          <w:lang w:val="de-DE"/>
        </w:rPr>
        <w:t>Der Inhaber der Inverkehrbringungsgenehmigung oder Registrierung eines Arzneimittels</w:t>
      </w:r>
      <w:r w:rsidR="000D669D" w:rsidRPr="004676F5">
        <w:rPr>
          <w:lang w:val="de-DE"/>
        </w:rPr>
        <w:t xml:space="preserve">[, der Inhaber einer Parallelimportzulassung oder der Inhaber einer Parallelvertriebsmeldung] </w:t>
      </w:r>
      <w:r w:rsidR="00F76466" w:rsidRPr="004676F5">
        <w:rPr>
          <w:lang w:val="de-DE"/>
        </w:rPr>
        <w:t>für Arzneimittel erwähnt in Artikel V.9 Nr. 1, die im Rahmen der Gesundheitspflege</w:t>
      </w:r>
      <w:r w:rsidR="005B7A5C" w:rsidRPr="004676F5">
        <w:rPr>
          <w:lang w:val="de-DE"/>
        </w:rPr>
        <w:t>- </w:t>
      </w:r>
      <w:r w:rsidR="00F76466" w:rsidRPr="004676F5">
        <w:rPr>
          <w:lang w:val="de-DE"/>
        </w:rPr>
        <w:t>und Entschädigungspflicht</w:t>
      </w:r>
      <w:r w:rsidR="00F76466" w:rsidRPr="004676F5">
        <w:rPr>
          <w:lang w:val="de-DE"/>
        </w:rPr>
        <w:softHyphen/>
        <w:t xml:space="preserve">versicherung erstattungsfähig sind, und das Unternehmen, </w:t>
      </w:r>
      <w:r w:rsidR="003A35D2" w:rsidRPr="004676F5">
        <w:rPr>
          <w:lang w:val="de-DE"/>
        </w:rPr>
        <w:t>[das damit gleichgesetzte Gegenstände, Apparate und Stoffe erwähnt in Artikel V.9 Nr. 2, die in Ausführung desselben Artikels V.9 Nr. 2 vom Minister bestimmt werden und im Rahmen der Gesundheitspflege</w:t>
      </w:r>
      <w:r w:rsidR="005B7A5C" w:rsidRPr="004676F5">
        <w:rPr>
          <w:lang w:val="de-DE"/>
        </w:rPr>
        <w:t>- </w:t>
      </w:r>
      <w:r w:rsidR="003A35D2" w:rsidRPr="004676F5">
        <w:rPr>
          <w:lang w:val="de-DE"/>
        </w:rPr>
        <w:t>und Entschädigungspflichtversicherung erstattungsfähig sind,]</w:t>
      </w:r>
      <w:r w:rsidR="00F76466" w:rsidRPr="004676F5">
        <w:rPr>
          <w:lang w:val="de-DE"/>
        </w:rPr>
        <w:t xml:space="preserve"> in Verkehr bringt, müssen dem Preisdienst des Föderalen Öffentlichen Dienstes Wirtschaft, KMB, Mittelstand und Energie jährlich nach dem 1. Februar und vor dem 1. März die Herstellerpreise ohne MwSt. mitteilen, die in den Mitgliedstaaten der Europäischen Union angewandt werden, die der König auf Vorschlag des Ministers der Wirtschaft und des Ministers der Sozialen Angelegenheiten durch einen im Ministerrat beratenen Erlass bestimmt.</w:t>
      </w:r>
    </w:p>
    <w:p w14:paraId="4CB3D16C" w14:textId="77777777" w:rsidR="00F76466" w:rsidRPr="004676F5" w:rsidRDefault="00F76466" w:rsidP="00F76466">
      <w:pPr>
        <w:jc w:val="both"/>
        <w:rPr>
          <w:lang w:val="de-DE"/>
        </w:rPr>
      </w:pPr>
    </w:p>
    <w:p w14:paraId="29760BA8" w14:textId="6019B63F" w:rsidR="00F76466" w:rsidRPr="004676F5" w:rsidRDefault="00F76466" w:rsidP="00F76466">
      <w:pPr>
        <w:ind w:firstLine="708"/>
        <w:jc w:val="both"/>
        <w:rPr>
          <w:lang w:val="de-DE"/>
        </w:rPr>
      </w:pPr>
      <w:r w:rsidRPr="004676F5">
        <w:rPr>
          <w:lang w:val="de-DE"/>
        </w:rPr>
        <w:t>§ 2 </w:t>
      </w:r>
      <w:r w:rsidR="005B7A5C" w:rsidRPr="004676F5">
        <w:rPr>
          <w:lang w:val="de-DE"/>
        </w:rPr>
        <w:t>- </w:t>
      </w:r>
      <w:r w:rsidRPr="004676F5">
        <w:rPr>
          <w:lang w:val="de-DE"/>
        </w:rPr>
        <w:t>Der Inhaber der Inverkehrbringungsgenehmigung oder Registrierung eines Arzneimittels</w:t>
      </w:r>
      <w:r w:rsidR="000D669D" w:rsidRPr="004676F5">
        <w:rPr>
          <w:lang w:val="de-DE"/>
        </w:rPr>
        <w:t xml:space="preserve">[, der Inhaber einer Parallelimportzulassung oder der Inhaber einer Parallelvertriebsmeldung] </w:t>
      </w:r>
      <w:r w:rsidRPr="004676F5">
        <w:rPr>
          <w:lang w:val="de-DE"/>
        </w:rPr>
        <w:t>für Arzneimittel erwähnt in Artikel V.9 Nr. 1, die im Rahmen der Gesundheitspflege</w:t>
      </w:r>
      <w:r w:rsidR="005B7A5C" w:rsidRPr="004676F5">
        <w:rPr>
          <w:lang w:val="de-DE"/>
        </w:rPr>
        <w:t>- </w:t>
      </w:r>
      <w:r w:rsidRPr="004676F5">
        <w:rPr>
          <w:lang w:val="de-DE"/>
        </w:rPr>
        <w:t>und Entschädigungspflicht</w:t>
      </w:r>
      <w:r w:rsidRPr="004676F5">
        <w:rPr>
          <w:lang w:val="de-DE"/>
        </w:rPr>
        <w:softHyphen/>
        <w:t xml:space="preserve">versicherung nicht erstattungsfähig sind, </w:t>
      </w:r>
      <w:r w:rsidR="003A35D2" w:rsidRPr="004676F5">
        <w:rPr>
          <w:lang w:val="de-DE"/>
        </w:rPr>
        <w:t>[und das Unternehmen, das damit gleichgesetzte Gegenstände, Apparate und Stoffe erwähnt in Artikel V.9 Nr. 2, die in Ausführung desselben Artikels V.9 Nr. 2 vom Minister bestimmt werden und im Rahmen der Gesundheitspflege</w:t>
      </w:r>
      <w:r w:rsidR="005B7A5C" w:rsidRPr="004676F5">
        <w:rPr>
          <w:lang w:val="de-DE"/>
        </w:rPr>
        <w:t>- </w:t>
      </w:r>
      <w:r w:rsidR="003A35D2" w:rsidRPr="004676F5">
        <w:rPr>
          <w:lang w:val="de-DE"/>
        </w:rPr>
        <w:t>und Entschädigungspflichtversicherung nicht erstattungsfähig sind, in Verkehr bringt, müssen]</w:t>
      </w:r>
      <w:r w:rsidRPr="004676F5">
        <w:rPr>
          <w:lang w:val="de-DE"/>
        </w:rPr>
        <w:t xml:space="preserve"> dem Preisdienst des Föderalen Öffentlichen Dienstes Wirtschaft, KMB, Mittelstand und Energie jährlich nach dem 1. Februar und vor dem 1. März die Herstellerpreise ohne MwSt. mitteilen, die in den Mitgliedstaaten der Europäischen Union angewandt werden, die der König durch einen im Ministerrat beratenen Erlass bestimmt.</w:t>
      </w:r>
    </w:p>
    <w:p w14:paraId="30A9E354" w14:textId="77777777" w:rsidR="00F76466" w:rsidRPr="004676F5" w:rsidRDefault="00F76466" w:rsidP="00F76466">
      <w:pPr>
        <w:jc w:val="both"/>
        <w:rPr>
          <w:lang w:val="de-DE"/>
        </w:rPr>
      </w:pPr>
    </w:p>
    <w:p w14:paraId="0082E94F" w14:textId="59442C8F" w:rsidR="00F76466" w:rsidRPr="004676F5" w:rsidRDefault="00F76466" w:rsidP="00F76466">
      <w:pPr>
        <w:ind w:firstLine="708"/>
        <w:jc w:val="both"/>
        <w:rPr>
          <w:lang w:val="de-DE"/>
        </w:rPr>
      </w:pPr>
      <w:r w:rsidRPr="004676F5">
        <w:rPr>
          <w:lang w:val="de-DE"/>
        </w:rPr>
        <w:t>§ 3 </w:t>
      </w:r>
      <w:r w:rsidR="005B7A5C" w:rsidRPr="004676F5">
        <w:rPr>
          <w:lang w:val="de-DE"/>
        </w:rPr>
        <w:t>- </w:t>
      </w:r>
      <w:r w:rsidRPr="004676F5">
        <w:rPr>
          <w:lang w:val="de-DE"/>
        </w:rPr>
        <w:t>Der Minister kann unter Bedingungen und gemäß Kriterien, die der König durch einen im Ministerrat beratenen Erlass bestimmt, in Belgien geltende Herstellerpreise gegebenenfalls anpassen. Für Arzneimittel erwähnt in Artikel V.9 Nr. 1, die im Rahmen der Gesundheitspflege</w:t>
      </w:r>
      <w:r w:rsidR="005B7A5C" w:rsidRPr="004676F5">
        <w:rPr>
          <w:lang w:val="de-DE"/>
        </w:rPr>
        <w:t>- </w:t>
      </w:r>
      <w:r w:rsidRPr="004676F5">
        <w:rPr>
          <w:lang w:val="de-DE"/>
        </w:rPr>
        <w:t>und Entschädigungspflichtversicherung erstattungsfähig sind, und für erstattungsfähige Implantate erwähnt in § 1 teilt der Minister dem für die Sozialen Angelegenheiten zuständigen Minister die vorgenommenen Anpassungen der Herstellerpreise mit, damit Letzterer die Erstattungsgrundlage oder die Erstattungsbeträge anpassen kann.]</w:t>
      </w:r>
    </w:p>
    <w:p w14:paraId="393D1C5E" w14:textId="77777777" w:rsidR="003A35D2" w:rsidRPr="004676F5" w:rsidRDefault="003A35D2" w:rsidP="003A35D2">
      <w:pPr>
        <w:jc w:val="both"/>
        <w:rPr>
          <w:lang w:val="de-DE"/>
        </w:rPr>
      </w:pPr>
    </w:p>
    <w:p w14:paraId="7876237A" w14:textId="687823BE" w:rsidR="003A35D2" w:rsidRPr="004676F5" w:rsidRDefault="003A35D2" w:rsidP="003A35D2">
      <w:pPr>
        <w:jc w:val="both"/>
        <w:rPr>
          <w:i/>
          <w:lang w:val="de-DE"/>
        </w:rPr>
      </w:pPr>
      <w:r w:rsidRPr="004676F5">
        <w:rPr>
          <w:i/>
          <w:lang w:val="de-DE"/>
        </w:rPr>
        <w:t>[</w:t>
      </w:r>
      <w:r w:rsidR="00BE0A56" w:rsidRPr="004676F5">
        <w:rPr>
          <w:i/>
          <w:lang w:val="de-DE"/>
        </w:rPr>
        <w:t>Art. </w:t>
      </w:r>
      <w:r w:rsidRPr="004676F5">
        <w:rPr>
          <w:i/>
          <w:lang w:val="de-DE"/>
        </w:rPr>
        <w:t xml:space="preserve">V.14 § 1 abgeändert durch </w:t>
      </w:r>
      <w:r w:rsidR="00BE0A56" w:rsidRPr="004676F5">
        <w:rPr>
          <w:i/>
          <w:lang w:val="de-DE"/>
        </w:rPr>
        <w:t>Art. </w:t>
      </w:r>
      <w:r w:rsidRPr="004676F5">
        <w:rPr>
          <w:i/>
          <w:lang w:val="de-DE"/>
        </w:rPr>
        <w:t>9 Nr. 1 des G.</w:t>
      </w:r>
      <w:r w:rsidR="00024CC5" w:rsidRPr="004676F5">
        <w:rPr>
          <w:i/>
          <w:lang w:val="de-DE"/>
        </w:rPr>
        <w:t> </w:t>
      </w:r>
      <w:r w:rsidR="00D9557F" w:rsidRPr="004676F5">
        <w:rPr>
          <w:i/>
          <w:lang w:val="de-DE"/>
        </w:rPr>
        <w:t xml:space="preserve">(I) </w:t>
      </w:r>
      <w:r w:rsidRPr="004676F5">
        <w:rPr>
          <w:i/>
          <w:lang w:val="de-DE"/>
        </w:rPr>
        <w:t>vom 26. Dezember 2013</w:t>
      </w:r>
      <w:r w:rsidR="000D669D" w:rsidRPr="004676F5">
        <w:rPr>
          <w:i/>
          <w:lang w:val="de-DE"/>
        </w:rPr>
        <w:t> </w:t>
      </w:r>
      <w:r w:rsidR="00D9557F" w:rsidRPr="004676F5">
        <w:rPr>
          <w:i/>
          <w:lang w:val="de-DE"/>
        </w:rPr>
        <w:t xml:space="preserve">(I) </w:t>
      </w:r>
      <w:r w:rsidRPr="004676F5">
        <w:rPr>
          <w:i/>
          <w:lang w:val="de-DE"/>
        </w:rPr>
        <w:t>(B.S. vom 31. Dezember 2013)</w:t>
      </w:r>
      <w:r w:rsidR="000D669D" w:rsidRPr="004676F5">
        <w:rPr>
          <w:i/>
          <w:lang w:val="de-DE"/>
        </w:rPr>
        <w:t xml:space="preserve"> und Art. 16</w:t>
      </w:r>
      <w:r w:rsidR="000D669D" w:rsidRPr="004676F5">
        <w:rPr>
          <w:i/>
          <w:iCs/>
          <w:lang w:val="de-DE"/>
        </w:rPr>
        <w:t xml:space="preserve"> des G. vom 9. Februar 2024 (B.S. vom 21. März 2024)</w:t>
      </w:r>
      <w:r w:rsidRPr="004676F5">
        <w:rPr>
          <w:i/>
          <w:lang w:val="de-DE"/>
        </w:rPr>
        <w:t xml:space="preserve">; § 2 abgeändert durch </w:t>
      </w:r>
      <w:r w:rsidR="00BE0A56" w:rsidRPr="004676F5">
        <w:rPr>
          <w:i/>
          <w:lang w:val="de-DE"/>
        </w:rPr>
        <w:t>Art. </w:t>
      </w:r>
      <w:r w:rsidRPr="004676F5">
        <w:rPr>
          <w:i/>
          <w:lang w:val="de-DE"/>
        </w:rPr>
        <w:t xml:space="preserve">9 Nr. 2 </w:t>
      </w:r>
      <w:r w:rsidR="00024CC5" w:rsidRPr="004676F5">
        <w:rPr>
          <w:i/>
          <w:lang w:val="de-DE"/>
        </w:rPr>
        <w:t xml:space="preserve">des G. (I) </w:t>
      </w:r>
      <w:r w:rsidRPr="004676F5">
        <w:rPr>
          <w:i/>
          <w:lang w:val="de-DE"/>
        </w:rPr>
        <w:t>vom 26. Dezember 2013</w:t>
      </w:r>
      <w:r w:rsidR="000D669D" w:rsidRPr="004676F5">
        <w:rPr>
          <w:i/>
          <w:lang w:val="de-DE"/>
        </w:rPr>
        <w:t> </w:t>
      </w:r>
      <w:r w:rsidR="00D9557F" w:rsidRPr="004676F5">
        <w:rPr>
          <w:i/>
          <w:lang w:val="de-DE"/>
        </w:rPr>
        <w:t xml:space="preserve">(I) </w:t>
      </w:r>
      <w:r w:rsidRPr="004676F5">
        <w:rPr>
          <w:i/>
          <w:lang w:val="de-DE"/>
        </w:rPr>
        <w:t>(B.S. vom 31. Dezember 2013)</w:t>
      </w:r>
      <w:r w:rsidR="000D669D" w:rsidRPr="004676F5">
        <w:rPr>
          <w:i/>
          <w:lang w:val="de-DE"/>
        </w:rPr>
        <w:t xml:space="preserve"> und Art. 16</w:t>
      </w:r>
      <w:r w:rsidR="000D669D" w:rsidRPr="004676F5">
        <w:rPr>
          <w:i/>
          <w:iCs/>
          <w:lang w:val="de-DE"/>
        </w:rPr>
        <w:t xml:space="preserve"> des G. vom 9. Februar 2024 (B.S. vom 21. März 2024)</w:t>
      </w:r>
      <w:r w:rsidRPr="004676F5">
        <w:rPr>
          <w:i/>
          <w:lang w:val="de-DE"/>
        </w:rPr>
        <w:t>]</w:t>
      </w:r>
    </w:p>
    <w:p w14:paraId="673C091D" w14:textId="77777777" w:rsidR="00B45D75" w:rsidRPr="004676F5" w:rsidRDefault="00B45D75" w:rsidP="005E6F74">
      <w:pPr>
        <w:jc w:val="center"/>
        <w:rPr>
          <w:b/>
          <w:lang w:val="de-DE"/>
        </w:rPr>
      </w:pPr>
    </w:p>
    <w:p w14:paraId="053678E0" w14:textId="77777777" w:rsidR="00B45D75" w:rsidRPr="004676F5" w:rsidRDefault="00B45D75">
      <w:pPr>
        <w:rPr>
          <w:b/>
          <w:lang w:val="de-DE"/>
        </w:rPr>
      </w:pPr>
      <w:r w:rsidRPr="004676F5">
        <w:rPr>
          <w:b/>
          <w:lang w:val="de-DE"/>
        </w:rPr>
        <w:br w:type="page"/>
      </w:r>
    </w:p>
    <w:p w14:paraId="15C7ECF7" w14:textId="508C7B9E" w:rsidR="00626208" w:rsidRPr="004676F5" w:rsidRDefault="00626208" w:rsidP="00626208">
      <w:pPr>
        <w:jc w:val="center"/>
        <w:rPr>
          <w:b/>
          <w:lang w:val="de-DE"/>
        </w:rPr>
      </w:pPr>
      <w:r w:rsidRPr="004676F5">
        <w:rPr>
          <w:b/>
          <w:lang w:val="de-DE"/>
        </w:rPr>
        <w:lastRenderedPageBreak/>
        <w:t>[BUCH VI </w:t>
      </w:r>
      <w:r w:rsidR="005B7A5C" w:rsidRPr="004676F5">
        <w:rPr>
          <w:b/>
          <w:lang w:val="de-DE"/>
        </w:rPr>
        <w:t>- </w:t>
      </w:r>
      <w:r w:rsidRPr="004676F5">
        <w:rPr>
          <w:b/>
          <w:lang w:val="de-DE"/>
        </w:rPr>
        <w:t>MARKTPRAKTIKEN UND VERBRAUCHERSCHUTZ</w:t>
      </w:r>
    </w:p>
    <w:p w14:paraId="31DA6D10" w14:textId="77777777" w:rsidR="00626208" w:rsidRPr="004676F5" w:rsidRDefault="00626208" w:rsidP="00626208">
      <w:pPr>
        <w:jc w:val="center"/>
        <w:rPr>
          <w:b/>
          <w:lang w:val="de-DE"/>
        </w:rPr>
      </w:pPr>
    </w:p>
    <w:p w14:paraId="2396D488" w14:textId="794034D4" w:rsidR="00626208" w:rsidRPr="004676F5" w:rsidRDefault="00626208" w:rsidP="00626208">
      <w:pPr>
        <w:jc w:val="both"/>
        <w:rPr>
          <w:i/>
          <w:lang w:val="de-DE"/>
        </w:rPr>
      </w:pPr>
      <w:r w:rsidRPr="004676F5">
        <w:rPr>
          <w:i/>
          <w:lang w:val="de-DE"/>
        </w:rPr>
        <w:t xml:space="preserve">[Buch VI mit den </w:t>
      </w:r>
      <w:r w:rsidR="00DA252E" w:rsidRPr="004676F5">
        <w:rPr>
          <w:i/>
          <w:lang w:val="de-DE"/>
        </w:rPr>
        <w:t xml:space="preserve">Titeln 1 bis 7 und den </w:t>
      </w:r>
      <w:r w:rsidRPr="004676F5">
        <w:rPr>
          <w:i/>
          <w:lang w:val="de-DE"/>
        </w:rPr>
        <w:t xml:space="preserve">Artikeln VI.1 bis VI.128 eingefügt durch </w:t>
      </w:r>
      <w:r w:rsidR="00BE0A56" w:rsidRPr="004676F5">
        <w:rPr>
          <w:i/>
          <w:lang w:val="de-DE"/>
        </w:rPr>
        <w:t>Art. </w:t>
      </w:r>
      <w:r w:rsidRPr="004676F5">
        <w:rPr>
          <w:i/>
          <w:lang w:val="de-DE"/>
        </w:rPr>
        <w:t>3 des G. vom 21. Dezember 2013 (B.S. vom 30. Dezember 2013, Err. vom 20. Januar 2014)]</w:t>
      </w:r>
    </w:p>
    <w:p w14:paraId="6C643773" w14:textId="77777777" w:rsidR="00626208" w:rsidRPr="004676F5" w:rsidRDefault="00626208" w:rsidP="00626208">
      <w:pPr>
        <w:jc w:val="both"/>
        <w:rPr>
          <w:i/>
          <w:lang w:val="de-DE"/>
        </w:rPr>
      </w:pPr>
    </w:p>
    <w:p w14:paraId="5BB03302" w14:textId="77777777" w:rsidR="00626208" w:rsidRPr="004676F5" w:rsidRDefault="00626208" w:rsidP="00626208">
      <w:pPr>
        <w:jc w:val="both"/>
        <w:rPr>
          <w:lang w:val="de-DE"/>
        </w:rPr>
      </w:pPr>
    </w:p>
    <w:p w14:paraId="11A1B3DD" w14:textId="1E0A8DA0" w:rsidR="00626208" w:rsidRPr="004676F5" w:rsidRDefault="00626208" w:rsidP="00626208">
      <w:pPr>
        <w:jc w:val="center"/>
        <w:rPr>
          <w:b/>
          <w:lang w:val="de-DE"/>
        </w:rPr>
      </w:pPr>
      <w:r w:rsidRPr="004676F5">
        <w:rPr>
          <w:b/>
          <w:lang w:val="de-DE"/>
        </w:rPr>
        <w:t>TITEL 1 </w:t>
      </w:r>
      <w:r w:rsidR="005B7A5C" w:rsidRPr="004676F5">
        <w:rPr>
          <w:b/>
          <w:lang w:val="de-DE"/>
        </w:rPr>
        <w:t>- </w:t>
      </w:r>
      <w:r w:rsidRPr="004676F5">
        <w:rPr>
          <w:b/>
          <w:i/>
          <w:lang w:val="de-DE"/>
        </w:rPr>
        <w:t>Allgemeine Grundsätze</w:t>
      </w:r>
    </w:p>
    <w:p w14:paraId="037DDA7D" w14:textId="77777777" w:rsidR="00626208" w:rsidRPr="004676F5" w:rsidRDefault="00626208" w:rsidP="00626208">
      <w:pPr>
        <w:jc w:val="both"/>
        <w:rPr>
          <w:lang w:val="de-DE"/>
        </w:rPr>
      </w:pPr>
    </w:p>
    <w:p w14:paraId="0E339F8A" w14:textId="77777777" w:rsidR="00626208" w:rsidRPr="004676F5" w:rsidRDefault="00626208" w:rsidP="00626208">
      <w:pPr>
        <w:jc w:val="both"/>
        <w:rPr>
          <w:lang w:val="de-DE"/>
        </w:rPr>
      </w:pPr>
    </w:p>
    <w:p w14:paraId="6D7C3876" w14:textId="35C882FD"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Vorliegendes Buch dient hauptsächlich der Regelung der Marktpraktiken und dem Verbraucherschutz unbeschadet der diesbezüglich in bestimmten Sektoren geltenden Sonderbestimmungen.</w:t>
      </w:r>
    </w:p>
    <w:p w14:paraId="518F0412" w14:textId="77777777" w:rsidR="00626208" w:rsidRPr="004676F5" w:rsidRDefault="00626208" w:rsidP="00626208">
      <w:pPr>
        <w:jc w:val="both"/>
        <w:rPr>
          <w:lang w:val="de-DE"/>
        </w:rPr>
      </w:pPr>
    </w:p>
    <w:p w14:paraId="769C1475" w14:textId="77777777" w:rsidR="00626208" w:rsidRPr="004676F5" w:rsidRDefault="00626208" w:rsidP="00626208">
      <w:pPr>
        <w:jc w:val="both"/>
        <w:rPr>
          <w:lang w:val="de-DE"/>
        </w:rPr>
      </w:pPr>
      <w:r w:rsidRPr="004676F5">
        <w:rPr>
          <w:lang w:val="de-DE"/>
        </w:rPr>
        <w:tab/>
        <w:t>Es dient der Umsetzung der:</w:t>
      </w:r>
    </w:p>
    <w:p w14:paraId="5CC9B840" w14:textId="77777777" w:rsidR="00626208" w:rsidRPr="004676F5" w:rsidRDefault="00626208" w:rsidP="00626208">
      <w:pPr>
        <w:jc w:val="both"/>
        <w:rPr>
          <w:lang w:val="de-DE"/>
        </w:rPr>
      </w:pPr>
    </w:p>
    <w:p w14:paraId="41AE50E2" w14:textId="77777777" w:rsidR="00626208" w:rsidRPr="004676F5" w:rsidRDefault="00626208" w:rsidP="00626208">
      <w:pPr>
        <w:jc w:val="both"/>
        <w:rPr>
          <w:lang w:val="de-DE"/>
        </w:rPr>
      </w:pPr>
      <w:r w:rsidRPr="004676F5">
        <w:rPr>
          <w:lang w:val="de-DE"/>
        </w:rPr>
        <w:tab/>
        <w:t>1. Richtlinie 76/211/EWG des Rates vom 20. Januar 1976 zur Angleichung der Rechtsvorschriften der Mitgliedstaaten über die Abfüllung bestimmter Erzeugnisse nach Gewicht oder Volumen in Fertigpackungen,</w:t>
      </w:r>
    </w:p>
    <w:p w14:paraId="5761BB94" w14:textId="77777777" w:rsidR="00626208" w:rsidRPr="004676F5" w:rsidRDefault="00626208" w:rsidP="00626208">
      <w:pPr>
        <w:jc w:val="both"/>
        <w:rPr>
          <w:lang w:val="de-DE"/>
        </w:rPr>
      </w:pPr>
    </w:p>
    <w:p w14:paraId="5B65EF8F" w14:textId="77777777" w:rsidR="00626208" w:rsidRPr="004676F5" w:rsidRDefault="00626208" w:rsidP="00626208">
      <w:pPr>
        <w:jc w:val="both"/>
        <w:rPr>
          <w:lang w:val="de-DE"/>
        </w:rPr>
      </w:pPr>
      <w:r w:rsidRPr="004676F5">
        <w:rPr>
          <w:lang w:val="de-DE"/>
        </w:rPr>
        <w:tab/>
        <w:t>2. Richtlinie 93/13/EWG des Rates vom 5. April 1993 über missbräuchliche Klauseln in Verbraucherverträgen,</w:t>
      </w:r>
    </w:p>
    <w:p w14:paraId="70A43622" w14:textId="77777777" w:rsidR="00626208" w:rsidRPr="004676F5" w:rsidRDefault="00626208" w:rsidP="00626208">
      <w:pPr>
        <w:jc w:val="both"/>
        <w:rPr>
          <w:lang w:val="de-DE"/>
        </w:rPr>
      </w:pPr>
    </w:p>
    <w:p w14:paraId="66BDB9D9" w14:textId="77777777" w:rsidR="00626208" w:rsidRPr="004676F5" w:rsidRDefault="00626208" w:rsidP="00626208">
      <w:pPr>
        <w:jc w:val="both"/>
        <w:rPr>
          <w:lang w:val="de-DE"/>
        </w:rPr>
      </w:pPr>
      <w:r w:rsidRPr="004676F5">
        <w:rPr>
          <w:lang w:val="de-DE"/>
        </w:rPr>
        <w:tab/>
        <w:t>3. Richtlinie 98/6/EG des Europäischen Parlaments und des Rates vom 16. Februar 1998 über den Schutz der Verbraucher bei der Angabe der Preise der ihnen angebotenen Erzeugnisse,</w:t>
      </w:r>
    </w:p>
    <w:p w14:paraId="178FB1A5" w14:textId="77777777" w:rsidR="00626208" w:rsidRPr="004676F5" w:rsidRDefault="00626208" w:rsidP="00626208">
      <w:pPr>
        <w:jc w:val="both"/>
        <w:rPr>
          <w:lang w:val="de-DE"/>
        </w:rPr>
      </w:pPr>
    </w:p>
    <w:p w14:paraId="7E9ECB6C" w14:textId="77777777" w:rsidR="00626208" w:rsidRPr="004676F5" w:rsidRDefault="00626208" w:rsidP="00626208">
      <w:pPr>
        <w:jc w:val="both"/>
        <w:rPr>
          <w:lang w:val="de-DE"/>
        </w:rPr>
      </w:pPr>
      <w:r w:rsidRPr="004676F5">
        <w:rPr>
          <w:lang w:val="de-DE"/>
        </w:rPr>
        <w:tab/>
        <w:t>4. Richtlinie 2002/58/EG des Europäischen Parlaments und des Rates vom 12. Juli 2002 über die Verarbeitung personenbezogener Daten und den Schutz der Privatsphäre in der elektronischen Kommunikation (Datenschutzrichtlinie für elektronische Kommunikation),</w:t>
      </w:r>
    </w:p>
    <w:p w14:paraId="2CEEEF30" w14:textId="77777777" w:rsidR="00626208" w:rsidRPr="004676F5" w:rsidRDefault="00626208" w:rsidP="00626208">
      <w:pPr>
        <w:jc w:val="both"/>
        <w:rPr>
          <w:lang w:val="de-DE"/>
        </w:rPr>
      </w:pPr>
    </w:p>
    <w:p w14:paraId="655ACF24" w14:textId="77777777" w:rsidR="00626208" w:rsidRPr="004676F5" w:rsidRDefault="00626208" w:rsidP="00626208">
      <w:pPr>
        <w:jc w:val="both"/>
        <w:rPr>
          <w:lang w:val="de-DE"/>
        </w:rPr>
      </w:pPr>
      <w:r w:rsidRPr="004676F5">
        <w:rPr>
          <w:lang w:val="de-DE"/>
        </w:rPr>
        <w:tab/>
        <w:t>5. Richtlinie 2002/65/EG des Europäischen Parlaments und des Rates vom 23. September 2002 über den Fernabsatz von Finanzdienstleistungen an Verbraucher und zur Änderung der Richtlinien 90/619/EWG, 97/7/EG und 98/27/EG des Rates,</w:t>
      </w:r>
    </w:p>
    <w:p w14:paraId="67C97596" w14:textId="77777777" w:rsidR="00626208" w:rsidRPr="004676F5" w:rsidRDefault="00626208" w:rsidP="00626208">
      <w:pPr>
        <w:jc w:val="both"/>
        <w:rPr>
          <w:lang w:val="de-DE"/>
        </w:rPr>
      </w:pPr>
    </w:p>
    <w:p w14:paraId="36B0EFB5" w14:textId="77777777" w:rsidR="00626208" w:rsidRPr="004676F5" w:rsidRDefault="00626208" w:rsidP="00626208">
      <w:pPr>
        <w:jc w:val="both"/>
        <w:rPr>
          <w:lang w:val="de-DE"/>
        </w:rPr>
      </w:pPr>
      <w:r w:rsidRPr="004676F5">
        <w:rPr>
          <w:lang w:val="de-DE"/>
        </w:rPr>
        <w:tab/>
        <w:t>6. Richtlinie 2004/48/EG des Europäischen Parlaments und des Rates vom 29. April 2004 zur Durchsetzung der Rechte des geistigen Eigentums,</w:t>
      </w:r>
    </w:p>
    <w:p w14:paraId="3CE8C207" w14:textId="77777777" w:rsidR="00626208" w:rsidRPr="004676F5" w:rsidRDefault="00626208" w:rsidP="00626208">
      <w:pPr>
        <w:jc w:val="both"/>
        <w:rPr>
          <w:lang w:val="de-DE"/>
        </w:rPr>
      </w:pPr>
    </w:p>
    <w:p w14:paraId="48686720" w14:textId="394A910A" w:rsidR="00626208" w:rsidRPr="004676F5" w:rsidRDefault="00626208" w:rsidP="00626208">
      <w:pPr>
        <w:jc w:val="both"/>
        <w:rPr>
          <w:lang w:val="de-DE"/>
        </w:rPr>
      </w:pPr>
      <w:r w:rsidRPr="004676F5">
        <w:rPr>
          <w:lang w:val="de-DE"/>
        </w:rPr>
        <w:tab/>
        <w:t>7. </w:t>
      </w:r>
      <w:r w:rsidR="0069647C" w:rsidRPr="004676F5">
        <w:rPr>
          <w:lang w:val="de-DE"/>
        </w:rPr>
        <w:t>[Verordnung (EU) 2017/2394 des Europäischen Parlaments und des Rates vom 12. Dezember 2017 über die Zusammenarbeit zwischen den für die Durchsetzung der Verbraucherschutzgesetze zuständigen nationalen Behörden und zur Aufhebung der Verordnung (EG) Nr. 2006/2004,]</w:t>
      </w:r>
    </w:p>
    <w:p w14:paraId="684915A2" w14:textId="77777777" w:rsidR="00626208" w:rsidRPr="004676F5" w:rsidRDefault="00626208" w:rsidP="00626208">
      <w:pPr>
        <w:jc w:val="both"/>
        <w:rPr>
          <w:lang w:val="de-DE"/>
        </w:rPr>
      </w:pPr>
    </w:p>
    <w:p w14:paraId="56CFCDFA" w14:textId="77777777" w:rsidR="00626208" w:rsidRPr="004676F5" w:rsidRDefault="00626208" w:rsidP="00626208">
      <w:pPr>
        <w:jc w:val="both"/>
        <w:rPr>
          <w:lang w:val="de-DE"/>
        </w:rPr>
      </w:pPr>
      <w:r w:rsidRPr="004676F5">
        <w:rPr>
          <w:lang w:val="de-DE"/>
        </w:rPr>
        <w:tab/>
        <w:t>8. Richtlinie 2005/29/EG des Europäischen Parlaments und des Rates vom 11. Mai 2005 über unlautere Geschäftspraktiken im binnenmarktinternen Geschäftsverkehr zwischen Unternehmen und Verbrauchern und zur Änderung der Richtlinie 84/450/EWG des Rates, der Richtlinien 97/7/EG, 98/27/EG und 2002/65/EG des Europäischen Parlaments und des Rates sowie der Verordnung (EG) Nr. 2006/2004 des Europäischen Parlaments und des Rates ("Verordnung über unlautere Geschäftspraktiken"),</w:t>
      </w:r>
    </w:p>
    <w:p w14:paraId="7D1DDFC3" w14:textId="77777777" w:rsidR="00626208" w:rsidRPr="004676F5" w:rsidRDefault="00626208" w:rsidP="00626208">
      <w:pPr>
        <w:jc w:val="both"/>
        <w:rPr>
          <w:lang w:val="de-DE"/>
        </w:rPr>
      </w:pPr>
    </w:p>
    <w:p w14:paraId="7E1E23E9" w14:textId="77777777" w:rsidR="00626208" w:rsidRPr="004676F5" w:rsidRDefault="00626208" w:rsidP="00626208">
      <w:pPr>
        <w:jc w:val="both"/>
        <w:rPr>
          <w:lang w:val="de-DE"/>
        </w:rPr>
      </w:pPr>
      <w:r w:rsidRPr="004676F5">
        <w:rPr>
          <w:lang w:val="de-DE"/>
        </w:rPr>
        <w:tab/>
        <w:t>9. Richtlinie 2006/114/EG des Europäischen Parlaments und des Rates vom 12. Dezember 2006 über irreführende und vergleichende Werbung (kodifizierte Fassung),</w:t>
      </w:r>
    </w:p>
    <w:p w14:paraId="6554AD62" w14:textId="77777777" w:rsidR="00626208" w:rsidRPr="004676F5" w:rsidRDefault="00626208" w:rsidP="00626208">
      <w:pPr>
        <w:jc w:val="both"/>
        <w:rPr>
          <w:lang w:val="de-DE"/>
        </w:rPr>
      </w:pPr>
    </w:p>
    <w:p w14:paraId="7C8C7FA9" w14:textId="77777777" w:rsidR="00626208" w:rsidRPr="004676F5" w:rsidRDefault="00626208" w:rsidP="00626208">
      <w:pPr>
        <w:jc w:val="both"/>
        <w:rPr>
          <w:lang w:val="de-DE"/>
        </w:rPr>
      </w:pPr>
      <w:r w:rsidRPr="004676F5">
        <w:rPr>
          <w:lang w:val="de-DE"/>
        </w:rPr>
        <w:tab/>
        <w:t>10. Richtlinie 2011/83/EU des Europäischen Parlaments und des Rates vom 25. Oktober 2011 über die Rechte der Verbraucher, zur Abänderung der Richtlinie 93/13/EWG des Rates und der Richtlinie 1999/44/EG des Europäischen Parlaments und des Rates sowie zur Aufhebung der Richtlinie 85/577/EWG des Rates und der Richtlinie 97/7/EG des Europäischen Parlaments und des Rates.</w:t>
      </w:r>
    </w:p>
    <w:p w14:paraId="350A6849" w14:textId="77777777" w:rsidR="00626208" w:rsidRPr="004676F5" w:rsidRDefault="00626208" w:rsidP="00626208">
      <w:pPr>
        <w:jc w:val="both"/>
        <w:rPr>
          <w:lang w:val="de-DE"/>
        </w:rPr>
      </w:pPr>
    </w:p>
    <w:p w14:paraId="6B4F95F4" w14:textId="44F4ABEF"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In den in vorliegendem Buch erwähnten Angelegenheiten kann der König auf Vorschlag der für Wirtschaft, Verbrauch und Finanzen zuständigen Minister für eine oder mehrere Kategorien von Finanzdienstleistungen Sonderbestimmungen erlassen oder von der Anwendung der Bestimmungen des vorliegenden Buches abweichen.</w:t>
      </w:r>
    </w:p>
    <w:p w14:paraId="67389EE2" w14:textId="77777777" w:rsidR="00626208" w:rsidRPr="004676F5" w:rsidRDefault="00626208" w:rsidP="00626208">
      <w:pPr>
        <w:jc w:val="both"/>
        <w:rPr>
          <w:lang w:val="de-DE"/>
        </w:rPr>
      </w:pPr>
    </w:p>
    <w:p w14:paraId="02343E04" w14:textId="77777777" w:rsidR="00626208" w:rsidRPr="004676F5" w:rsidRDefault="00626208" w:rsidP="00626208">
      <w:pPr>
        <w:jc w:val="both"/>
        <w:rPr>
          <w:lang w:val="de-DE"/>
        </w:rPr>
      </w:pPr>
      <w:r w:rsidRPr="004676F5">
        <w:rPr>
          <w:lang w:val="de-DE"/>
        </w:rPr>
        <w:tab/>
        <w:t>Bevor der Minister einen Erlass zur Ausführung von Absatz 1 vorschlägt, konsultiert er den Verbraucherrat und die Autorität Finanzielle Dienste und Märkte (FSMA), wobei er die für die Abgabe der Stellungnahme angemessene Frist bestimmt. Nach Ablauf dieser Frist ist die Stellungnahme nicht mehr erforderlich.</w:t>
      </w:r>
    </w:p>
    <w:p w14:paraId="293BC0DF" w14:textId="77777777" w:rsidR="00626208" w:rsidRPr="004676F5" w:rsidRDefault="00626208" w:rsidP="00626208">
      <w:pPr>
        <w:jc w:val="both"/>
        <w:rPr>
          <w:lang w:val="de-DE"/>
        </w:rPr>
      </w:pPr>
    </w:p>
    <w:p w14:paraId="7463054D" w14:textId="690A7355" w:rsidR="00626208" w:rsidRPr="004676F5" w:rsidRDefault="0069647C" w:rsidP="0069647C">
      <w:pPr>
        <w:jc w:val="both"/>
        <w:rPr>
          <w:bCs/>
          <w:i/>
          <w:iCs/>
          <w:lang w:val="de-DE"/>
        </w:rPr>
      </w:pPr>
      <w:r w:rsidRPr="004676F5">
        <w:rPr>
          <w:bCs/>
          <w:i/>
          <w:iCs/>
          <w:lang w:val="de-DE"/>
        </w:rPr>
        <w:t>[Art. VI.1 § </w:t>
      </w:r>
      <w:r w:rsidR="000E6035" w:rsidRPr="004676F5">
        <w:rPr>
          <w:bCs/>
          <w:i/>
          <w:iCs/>
          <w:lang w:val="de-DE"/>
        </w:rPr>
        <w:t>1</w:t>
      </w:r>
      <w:r w:rsidRPr="004676F5">
        <w:rPr>
          <w:bCs/>
          <w:i/>
          <w:iCs/>
          <w:lang w:val="de-DE"/>
        </w:rPr>
        <w:t xml:space="preserve"> Abs. 2 Nr. 7 ersetzt durch Art. 2 des G. vom 29. September 2020 (B.S. vom 20. November 2020)]</w:t>
      </w:r>
      <w:r w:rsidR="00626208" w:rsidRPr="004676F5">
        <w:rPr>
          <w:b/>
          <w:lang w:val="de-DE"/>
        </w:rPr>
        <w:br w:type="page"/>
      </w:r>
    </w:p>
    <w:p w14:paraId="15CF4719" w14:textId="0DD14E4F" w:rsidR="00626208" w:rsidRPr="004676F5" w:rsidRDefault="00626208" w:rsidP="00626208">
      <w:pPr>
        <w:jc w:val="center"/>
        <w:rPr>
          <w:b/>
          <w:lang w:val="de-DE"/>
        </w:rPr>
      </w:pPr>
      <w:r w:rsidRPr="004676F5">
        <w:rPr>
          <w:b/>
          <w:lang w:val="de-DE"/>
        </w:rPr>
        <w:lastRenderedPageBreak/>
        <w:t>TITEL 2 </w:t>
      </w:r>
      <w:r w:rsidR="005B7A5C" w:rsidRPr="004676F5">
        <w:rPr>
          <w:b/>
          <w:lang w:val="de-DE"/>
        </w:rPr>
        <w:t>- </w:t>
      </w:r>
      <w:r w:rsidRPr="004676F5">
        <w:rPr>
          <w:b/>
          <w:i/>
          <w:lang w:val="de-DE"/>
        </w:rPr>
        <w:t>Information des Marktes</w:t>
      </w:r>
    </w:p>
    <w:p w14:paraId="4BE741C1" w14:textId="77777777" w:rsidR="00626208" w:rsidRPr="004676F5" w:rsidRDefault="00626208" w:rsidP="00626208">
      <w:pPr>
        <w:jc w:val="both"/>
        <w:rPr>
          <w:lang w:val="de-DE"/>
        </w:rPr>
      </w:pPr>
    </w:p>
    <w:p w14:paraId="01D26162" w14:textId="77777777" w:rsidR="00626208" w:rsidRPr="004676F5" w:rsidRDefault="00626208" w:rsidP="00626208">
      <w:pPr>
        <w:jc w:val="both"/>
        <w:rPr>
          <w:lang w:val="de-DE"/>
        </w:rPr>
      </w:pPr>
    </w:p>
    <w:p w14:paraId="7EEE9F06" w14:textId="28467CF4" w:rsidR="00626208" w:rsidRPr="004676F5" w:rsidRDefault="00626208" w:rsidP="00626208">
      <w:pPr>
        <w:jc w:val="center"/>
        <w:rPr>
          <w:lang w:val="de-DE"/>
        </w:rPr>
      </w:pPr>
      <w:r w:rsidRPr="004676F5">
        <w:rPr>
          <w:lang w:val="de-DE"/>
        </w:rPr>
        <w:t>KAPITEL 1 </w:t>
      </w:r>
      <w:r w:rsidR="005B7A5C" w:rsidRPr="004676F5">
        <w:rPr>
          <w:lang w:val="de-DE"/>
        </w:rPr>
        <w:t>- </w:t>
      </w:r>
      <w:r w:rsidRPr="004676F5">
        <w:rPr>
          <w:i/>
          <w:lang w:val="de-DE"/>
        </w:rPr>
        <w:t>Allgemeine Pflicht zur Information der Verbraucher</w:t>
      </w:r>
    </w:p>
    <w:p w14:paraId="2357B2C1" w14:textId="77777777" w:rsidR="00626208" w:rsidRPr="004676F5" w:rsidRDefault="00626208" w:rsidP="00626208">
      <w:pPr>
        <w:jc w:val="both"/>
        <w:rPr>
          <w:lang w:val="de-DE"/>
        </w:rPr>
      </w:pPr>
    </w:p>
    <w:p w14:paraId="76714D2F" w14:textId="77777777" w:rsidR="00626208" w:rsidRPr="004676F5" w:rsidRDefault="00626208" w:rsidP="00626208">
      <w:pPr>
        <w:jc w:val="both"/>
        <w:rPr>
          <w:lang w:val="de-DE"/>
        </w:rPr>
      </w:pPr>
    </w:p>
    <w:p w14:paraId="494CC201" w14:textId="77016818" w:rsidR="00B56B00" w:rsidRPr="004676F5" w:rsidRDefault="00B56B00" w:rsidP="00B56B00">
      <w:pPr>
        <w:ind w:firstLine="708"/>
        <w:jc w:val="both"/>
        <w:rPr>
          <w:lang w:val="de-DE"/>
        </w:rPr>
      </w:pPr>
      <w:r w:rsidRPr="004676F5">
        <w:rPr>
          <w:lang w:val="de-DE"/>
        </w:rPr>
        <w:t>[</w:t>
      </w:r>
      <w:r w:rsidRPr="004676F5">
        <w:rPr>
          <w:b/>
          <w:lang w:val="de-DE"/>
        </w:rPr>
        <w:t>Art. VI.1/1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Vorliegendes Kapitel ist nicht auf Verträge anwendbar, die Notare oder Gerichtsvollzieher in ihrer Eigenschaft als öffentliche Amtsträger aufsetzen.</w:t>
      </w:r>
    </w:p>
    <w:p w14:paraId="20BB76AF" w14:textId="77777777" w:rsidR="00B56B00" w:rsidRPr="004676F5" w:rsidRDefault="00B56B00" w:rsidP="00B56B00">
      <w:pPr>
        <w:ind w:firstLine="708"/>
        <w:jc w:val="both"/>
        <w:rPr>
          <w:lang w:val="de-DE"/>
        </w:rPr>
      </w:pPr>
    </w:p>
    <w:p w14:paraId="52C4D4A4" w14:textId="75B051D3" w:rsidR="00B56B00" w:rsidRPr="004676F5" w:rsidRDefault="00B56B00" w:rsidP="00B56B00">
      <w:pPr>
        <w:jc w:val="both"/>
        <w:rPr>
          <w:lang w:val="de-DE"/>
        </w:rPr>
      </w:pPr>
      <w:r w:rsidRPr="004676F5">
        <w:rPr>
          <w:lang w:val="de-DE"/>
        </w:rPr>
        <w:tab/>
        <w:t>§ 2 </w:t>
      </w:r>
      <w:r w:rsidR="005B7A5C" w:rsidRPr="004676F5">
        <w:rPr>
          <w:lang w:val="de-DE"/>
        </w:rPr>
        <w:t>- </w:t>
      </w:r>
      <w:r w:rsidRPr="004676F5">
        <w:rPr>
          <w:lang w:val="de-DE"/>
        </w:rPr>
        <w:t>Vorliegendes Kapitel ist nicht auf Verträge über juristischen Beistand anwendbar, den ein Rechtsanwalt in Anwendung von Teil 2 Buch 3</w:t>
      </w:r>
      <w:r w:rsidRPr="004676F5">
        <w:rPr>
          <w:i/>
          <w:iCs/>
          <w:lang w:val="de-DE"/>
        </w:rPr>
        <w:t>bis</w:t>
      </w:r>
      <w:r w:rsidRPr="004676F5">
        <w:rPr>
          <w:lang w:val="de-DE"/>
        </w:rPr>
        <w:t xml:space="preserve"> des Gerichtsgesetzbuches erbringt.]</w:t>
      </w:r>
    </w:p>
    <w:p w14:paraId="641E72D7" w14:textId="77777777" w:rsidR="00B56B00" w:rsidRPr="004676F5" w:rsidRDefault="00B56B00" w:rsidP="00B56B00">
      <w:pPr>
        <w:jc w:val="both"/>
        <w:rPr>
          <w:lang w:val="de-DE"/>
        </w:rPr>
      </w:pPr>
    </w:p>
    <w:p w14:paraId="7F288515" w14:textId="77777777" w:rsidR="00B56B00" w:rsidRPr="004676F5" w:rsidRDefault="00B56B00" w:rsidP="00B56B00">
      <w:pPr>
        <w:jc w:val="both"/>
        <w:rPr>
          <w:i/>
          <w:iCs/>
          <w:lang w:val="de-DE"/>
        </w:rPr>
      </w:pPr>
      <w:r w:rsidRPr="004676F5">
        <w:rPr>
          <w:i/>
          <w:lang w:val="de-DE"/>
        </w:rPr>
        <w:t>[Art. VI.1/1 eingefügt durch Art. 92</w:t>
      </w:r>
      <w:r w:rsidRPr="004676F5">
        <w:rPr>
          <w:i/>
          <w:iCs/>
          <w:lang w:val="de-DE"/>
        </w:rPr>
        <w:t xml:space="preserve"> des G. vom 15. April 2018 (B.S. vom 27. April 2018)]</w:t>
      </w:r>
    </w:p>
    <w:p w14:paraId="508674CF" w14:textId="77777777" w:rsidR="00B56B00" w:rsidRPr="004676F5" w:rsidRDefault="00B56B00" w:rsidP="00B56B00">
      <w:pPr>
        <w:jc w:val="both"/>
        <w:rPr>
          <w:i/>
          <w:lang w:val="de-DE"/>
        </w:rPr>
      </w:pPr>
    </w:p>
    <w:p w14:paraId="513BFE8B" w14:textId="77777777" w:rsidR="00B56B00" w:rsidRPr="004676F5" w:rsidRDefault="00B56B00" w:rsidP="00B56B00">
      <w:pPr>
        <w:jc w:val="both"/>
        <w:rPr>
          <w:lang w:val="de-DE"/>
        </w:rPr>
      </w:pPr>
    </w:p>
    <w:p w14:paraId="73AAF151" w14:textId="1B084E69"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VI.2</w:t>
      </w:r>
      <w:r w:rsidRPr="004676F5">
        <w:rPr>
          <w:lang w:val="de-DE"/>
        </w:rPr>
        <w:t> </w:t>
      </w:r>
      <w:r w:rsidR="005B7A5C" w:rsidRPr="004676F5">
        <w:rPr>
          <w:lang w:val="de-DE"/>
        </w:rPr>
        <w:t>- </w:t>
      </w:r>
      <w:r w:rsidRPr="004676F5">
        <w:rPr>
          <w:lang w:val="de-DE"/>
        </w:rPr>
        <w:t xml:space="preserve">Bevor der Verbraucher durch einen anderen als einen Fernabsatzvertrag, einen außerhalb von Geschäftsräumen geschlossenen Vertrag oder einen </w:t>
      </w:r>
      <w:r w:rsidR="007D64D3" w:rsidRPr="004676F5">
        <w:rPr>
          <w:lang w:val="de-DE"/>
        </w:rPr>
        <w:t>[</w:t>
      </w:r>
      <w:r w:rsidRPr="004676F5">
        <w:rPr>
          <w:lang w:val="de-DE"/>
        </w:rPr>
        <w:t>in Artikel VI.66</w:t>
      </w:r>
      <w:r w:rsidR="007D64D3" w:rsidRPr="004676F5">
        <w:rPr>
          <w:lang w:val="de-DE"/>
        </w:rPr>
        <w:t xml:space="preserve"> § 1</w:t>
      </w:r>
      <w:r w:rsidRPr="004676F5">
        <w:rPr>
          <w:lang w:val="de-DE"/>
        </w:rPr>
        <w:t xml:space="preserve"> erwähnten Vertrag</w:t>
      </w:r>
      <w:r w:rsidR="007D64D3" w:rsidRPr="004676F5">
        <w:rPr>
          <w:lang w:val="de-DE"/>
        </w:rPr>
        <w:t>]</w:t>
      </w:r>
      <w:r w:rsidRPr="004676F5">
        <w:rPr>
          <w:lang w:val="de-DE"/>
        </w:rPr>
        <w:t xml:space="preserve"> gebunden ist, informiert das Unternehmen den Verbraucher in klarer und verständlicher Weise über Folgendes, sofern sich diese Informationen nicht bereits unmittelbar aus den Umständen ergeben:</w:t>
      </w:r>
    </w:p>
    <w:p w14:paraId="7FF8AA55" w14:textId="77777777" w:rsidR="00626208" w:rsidRPr="004676F5" w:rsidRDefault="00626208" w:rsidP="00626208">
      <w:pPr>
        <w:jc w:val="both"/>
        <w:rPr>
          <w:lang w:val="de-DE"/>
        </w:rPr>
      </w:pPr>
    </w:p>
    <w:p w14:paraId="01AB6D1A" w14:textId="77777777" w:rsidR="00626208" w:rsidRPr="004676F5" w:rsidRDefault="00626208" w:rsidP="00626208">
      <w:pPr>
        <w:jc w:val="both"/>
        <w:rPr>
          <w:lang w:val="de-DE"/>
        </w:rPr>
      </w:pPr>
      <w:r w:rsidRPr="004676F5">
        <w:rPr>
          <w:lang w:val="de-DE"/>
        </w:rPr>
        <w:tab/>
        <w:t>1. wesentliche Merkmale der Produkte in dem für das Kommunikationsmittel und die Produkte angemessenen Umfang,</w:t>
      </w:r>
    </w:p>
    <w:p w14:paraId="2885396A" w14:textId="77777777" w:rsidR="00626208" w:rsidRPr="004676F5" w:rsidRDefault="00626208" w:rsidP="00626208">
      <w:pPr>
        <w:jc w:val="both"/>
        <w:rPr>
          <w:lang w:val="de-DE"/>
        </w:rPr>
      </w:pPr>
    </w:p>
    <w:p w14:paraId="19F86F7B" w14:textId="77777777" w:rsidR="00626208" w:rsidRPr="004676F5" w:rsidRDefault="00626208" w:rsidP="00626208">
      <w:pPr>
        <w:jc w:val="both"/>
        <w:rPr>
          <w:lang w:val="de-DE"/>
        </w:rPr>
      </w:pPr>
      <w:r w:rsidRPr="004676F5">
        <w:rPr>
          <w:lang w:val="de-DE"/>
        </w:rPr>
        <w:tab/>
        <w:t>2. Identität des Unternehmens, unter anderem seine Unternehmensnummer, seinen Handelsnamen und Anschrift des Ortes, an dem es ansässig ist, sowie seine Telefonnummer,</w:t>
      </w:r>
    </w:p>
    <w:p w14:paraId="6AD96F3D" w14:textId="77777777" w:rsidR="00626208" w:rsidRPr="004676F5" w:rsidRDefault="00626208" w:rsidP="00626208">
      <w:pPr>
        <w:jc w:val="both"/>
        <w:rPr>
          <w:lang w:val="de-DE"/>
        </w:rPr>
      </w:pPr>
    </w:p>
    <w:p w14:paraId="328D61C9" w14:textId="3C053FCD" w:rsidR="00626208" w:rsidRPr="004676F5" w:rsidRDefault="00626208" w:rsidP="00626208">
      <w:pPr>
        <w:jc w:val="both"/>
        <w:rPr>
          <w:lang w:val="de-DE"/>
        </w:rPr>
      </w:pPr>
      <w:r w:rsidRPr="004676F5">
        <w:rPr>
          <w:lang w:val="de-DE"/>
        </w:rPr>
        <w:tab/>
        <w:t>3. Gesamtpreis der Produkte einschließlich aller Steuern und Abgaben und Kosten aller Dienstleistungen, die der Verbraucher gezwungenermaßen zusätzlich bezahlen muss, oder in Fällen, in denen der Preis aufgrund der Beschaffenheit des Produkts vernünftigerweise nicht im Voraus berechnet werden kann, Art der Preisberechnung und gegebenenfalls alle zusätzlichen Fracht-, Liefer</w:t>
      </w:r>
      <w:r w:rsidR="005B7A5C" w:rsidRPr="004676F5">
        <w:rPr>
          <w:lang w:val="de-DE"/>
        </w:rPr>
        <w:t>- </w:t>
      </w:r>
      <w:r w:rsidRPr="004676F5">
        <w:rPr>
          <w:lang w:val="de-DE"/>
        </w:rPr>
        <w:t>oder Versandkosten oder in Fällen, in denen diese Kosten vernünftigerweise nicht im Voraus berechnet werden können, Tatsache, dass solche zusätzlichen Kosten anfallen können,</w:t>
      </w:r>
    </w:p>
    <w:p w14:paraId="74ED21C6" w14:textId="77777777" w:rsidR="00626208" w:rsidRPr="004676F5" w:rsidRDefault="00626208" w:rsidP="00626208">
      <w:pPr>
        <w:jc w:val="both"/>
        <w:rPr>
          <w:lang w:val="de-DE"/>
        </w:rPr>
      </w:pPr>
    </w:p>
    <w:p w14:paraId="4835AD41" w14:textId="73512330" w:rsidR="00626208" w:rsidRPr="004676F5" w:rsidRDefault="00626208" w:rsidP="00626208">
      <w:pPr>
        <w:jc w:val="both"/>
        <w:rPr>
          <w:lang w:val="de-DE"/>
        </w:rPr>
      </w:pPr>
      <w:r w:rsidRPr="004676F5">
        <w:rPr>
          <w:lang w:val="de-DE"/>
        </w:rPr>
        <w:tab/>
        <w:t>4. gegebenenfalls Zahlungs-, Liefer</w:t>
      </w:r>
      <w:r w:rsidR="005B7A5C" w:rsidRPr="004676F5">
        <w:rPr>
          <w:lang w:val="de-DE"/>
        </w:rPr>
        <w:t>- </w:t>
      </w:r>
      <w:r w:rsidRPr="004676F5">
        <w:rPr>
          <w:lang w:val="de-DE"/>
        </w:rPr>
        <w:t>und Leistungsbedingungen, Termin, bis zu dem sich das Unternehmen verpflichtet, die Produkte zu liefern, und Verfahren des Unternehmens hinsichtlich des Umgangs mit Beschwerden,</w:t>
      </w:r>
    </w:p>
    <w:p w14:paraId="4E44680F" w14:textId="77777777" w:rsidR="00626208" w:rsidRPr="004676F5" w:rsidRDefault="00626208" w:rsidP="00626208">
      <w:pPr>
        <w:jc w:val="both"/>
        <w:rPr>
          <w:lang w:val="de-DE"/>
        </w:rPr>
      </w:pPr>
    </w:p>
    <w:p w14:paraId="3158F24C" w14:textId="60E283A2" w:rsidR="00626208" w:rsidRPr="004676F5" w:rsidRDefault="00626208" w:rsidP="00626208">
      <w:pPr>
        <w:jc w:val="both"/>
        <w:rPr>
          <w:lang w:val="de-DE"/>
        </w:rPr>
      </w:pPr>
      <w:r w:rsidRPr="004676F5">
        <w:rPr>
          <w:lang w:val="de-DE"/>
        </w:rPr>
        <w:tab/>
        <w:t>5. zusätzlich zu dem Hinweis auf das Bestehen eines gesetzlichen Gewähr</w:t>
      </w:r>
      <w:r w:rsidRPr="004676F5">
        <w:rPr>
          <w:lang w:val="de-DE"/>
        </w:rPr>
        <w:softHyphen/>
        <w:t xml:space="preserve">leistungsrechts </w:t>
      </w:r>
      <w:r w:rsidR="007D64D3" w:rsidRPr="004676F5">
        <w:rPr>
          <w:lang w:val="de-DE"/>
        </w:rPr>
        <w:t>[für die Waren, digitalen Inhalte und digitalen Dienstleistungen, wie in den Artikeln 1649</w:t>
      </w:r>
      <w:r w:rsidR="007D64D3" w:rsidRPr="004676F5">
        <w:rPr>
          <w:i/>
          <w:iCs/>
          <w:lang w:val="de-DE"/>
        </w:rPr>
        <w:t>bis</w:t>
      </w:r>
      <w:r w:rsidR="007D64D3" w:rsidRPr="004676F5">
        <w:rPr>
          <w:lang w:val="de-DE"/>
        </w:rPr>
        <w:t xml:space="preserve"> bis 1649</w:t>
      </w:r>
      <w:r w:rsidR="007D64D3" w:rsidRPr="004676F5">
        <w:rPr>
          <w:i/>
          <w:iCs/>
          <w:lang w:val="de-DE"/>
        </w:rPr>
        <w:t>nonies</w:t>
      </w:r>
      <w:r w:rsidR="007D64D3" w:rsidRPr="004676F5">
        <w:rPr>
          <w:lang w:val="de-DE"/>
        </w:rPr>
        <w:t xml:space="preserve"> und 1701/1 bis 1701/19 des früheren Zivilgesetzbuches vorgesehen,]</w:t>
      </w:r>
      <w:r w:rsidRPr="004676F5">
        <w:rPr>
          <w:lang w:val="de-DE"/>
        </w:rPr>
        <w:t xml:space="preserve"> gegebenenfalls Bestehen und Bedingungen von Kundendienstleistungen nach dem Verkauf und gewerblichen Garantien,</w:t>
      </w:r>
    </w:p>
    <w:p w14:paraId="3C542833" w14:textId="77777777" w:rsidR="00626208" w:rsidRPr="004676F5" w:rsidRDefault="00626208" w:rsidP="00626208">
      <w:pPr>
        <w:jc w:val="both"/>
        <w:rPr>
          <w:lang w:val="de-DE"/>
        </w:rPr>
      </w:pPr>
    </w:p>
    <w:p w14:paraId="0396F729" w14:textId="77777777" w:rsidR="00626208" w:rsidRPr="004676F5" w:rsidRDefault="00626208" w:rsidP="00626208">
      <w:pPr>
        <w:jc w:val="both"/>
        <w:rPr>
          <w:lang w:val="de-DE"/>
        </w:rPr>
      </w:pPr>
      <w:r w:rsidRPr="004676F5">
        <w:rPr>
          <w:lang w:val="de-DE"/>
        </w:rPr>
        <w:tab/>
        <w:t>6. gegebenenfalls Laufzeit des Vertrags oder Bedingungen der Kündigung unbefristeter Verträge oder sich automatisch verlängernder Verträge,</w:t>
      </w:r>
    </w:p>
    <w:p w14:paraId="51949013" w14:textId="77777777" w:rsidR="00626208" w:rsidRPr="004676F5" w:rsidRDefault="00626208" w:rsidP="00626208">
      <w:pPr>
        <w:jc w:val="both"/>
        <w:rPr>
          <w:lang w:val="de-DE"/>
        </w:rPr>
      </w:pPr>
    </w:p>
    <w:p w14:paraId="4B67FAE0" w14:textId="77777777" w:rsidR="00626208" w:rsidRPr="004676F5" w:rsidRDefault="00626208" w:rsidP="00626208">
      <w:pPr>
        <w:jc w:val="both"/>
        <w:rPr>
          <w:lang w:val="de-DE"/>
        </w:rPr>
      </w:pPr>
      <w:r w:rsidRPr="004676F5">
        <w:rPr>
          <w:lang w:val="de-DE"/>
        </w:rPr>
        <w:tab/>
        <w:t>7. gegebenenfalls Verkaufsbedingungen unter Berücksichtigung des vom Verbraucher zum Ausdruck gebrachten Informationsbedarfs und des vom Verbraucher mitgeteilten oder vernünftigerweise zu erwartenden Gebrauchs,</w:t>
      </w:r>
    </w:p>
    <w:p w14:paraId="6F103246" w14:textId="77777777" w:rsidR="00626208" w:rsidRPr="004676F5" w:rsidRDefault="00626208" w:rsidP="00626208">
      <w:pPr>
        <w:jc w:val="both"/>
        <w:rPr>
          <w:lang w:val="de-DE"/>
        </w:rPr>
      </w:pPr>
    </w:p>
    <w:p w14:paraId="734B3A9B" w14:textId="77777777" w:rsidR="007D64D3" w:rsidRPr="004676F5" w:rsidRDefault="00626208" w:rsidP="007D64D3">
      <w:pPr>
        <w:jc w:val="both"/>
        <w:rPr>
          <w:lang w:val="de-DE"/>
        </w:rPr>
      </w:pPr>
      <w:r w:rsidRPr="004676F5">
        <w:rPr>
          <w:lang w:val="de-DE"/>
        </w:rPr>
        <w:tab/>
        <w:t>8. </w:t>
      </w:r>
      <w:r w:rsidR="007D64D3" w:rsidRPr="004676F5">
        <w:rPr>
          <w:lang w:val="de-DE"/>
        </w:rPr>
        <w:t>[gegebenenfalls Funktionalität von Waren mit digitalen Elementen, digitalen Inhalten und digitalen Dienstleistungen, einschließlich anwendbarer technischer Schutzmaß</w:t>
      </w:r>
      <w:r w:rsidR="007D64D3" w:rsidRPr="004676F5">
        <w:rPr>
          <w:lang w:val="de-DE"/>
        </w:rPr>
        <w:softHyphen/>
        <w:t>nahmen,</w:t>
      </w:r>
    </w:p>
    <w:p w14:paraId="28144DDD" w14:textId="77777777" w:rsidR="007D64D3" w:rsidRPr="004676F5" w:rsidRDefault="007D64D3" w:rsidP="007D64D3">
      <w:pPr>
        <w:jc w:val="both"/>
        <w:rPr>
          <w:lang w:val="de-DE"/>
        </w:rPr>
      </w:pPr>
    </w:p>
    <w:p w14:paraId="5820A812" w14:textId="6C847DEC" w:rsidR="00626208" w:rsidRPr="004676F5" w:rsidRDefault="007D64D3" w:rsidP="007D64D3">
      <w:pPr>
        <w:jc w:val="both"/>
        <w:rPr>
          <w:lang w:val="de-DE"/>
        </w:rPr>
      </w:pPr>
      <w:r w:rsidRPr="004676F5">
        <w:rPr>
          <w:lang w:val="de-DE"/>
        </w:rPr>
        <w:tab/>
        <w:t xml:space="preserve">9. gegebenenfalls </w:t>
      </w:r>
      <w:r w:rsidR="005B7A5C" w:rsidRPr="004676F5">
        <w:rPr>
          <w:lang w:val="de-DE"/>
        </w:rPr>
        <w:t>- </w:t>
      </w:r>
      <w:r w:rsidRPr="004676F5">
        <w:rPr>
          <w:lang w:val="de-DE"/>
        </w:rPr>
        <w:t>soweit wesentlich </w:t>
      </w:r>
      <w:r w:rsidR="005B7A5C" w:rsidRPr="004676F5">
        <w:rPr>
          <w:lang w:val="de-DE"/>
        </w:rPr>
        <w:t>- </w:t>
      </w:r>
      <w:r w:rsidRPr="004676F5">
        <w:rPr>
          <w:lang w:val="de-DE"/>
        </w:rPr>
        <w:t>Kompatibilität und Interoperabilität von Waren mit digitalen Elementen, digitalen Inhalten und digitalen Dienstleistungen, soweit diese dem Unternehmen bekannt sind oder vernünftigerweise bekannt sein müssen,]</w:t>
      </w:r>
    </w:p>
    <w:p w14:paraId="77DC95B9" w14:textId="77777777" w:rsidR="006F1B24" w:rsidRPr="004676F5" w:rsidRDefault="006F1B24" w:rsidP="00626208">
      <w:pPr>
        <w:jc w:val="both"/>
        <w:rPr>
          <w:lang w:val="de-DE"/>
        </w:rPr>
      </w:pPr>
    </w:p>
    <w:p w14:paraId="6395E9C9" w14:textId="10EEC566" w:rsidR="009B2EBE" w:rsidRPr="004676F5" w:rsidRDefault="006F1B24" w:rsidP="009B2EBE">
      <w:pPr>
        <w:jc w:val="both"/>
        <w:rPr>
          <w:lang w:val="de-DE"/>
        </w:rPr>
      </w:pPr>
      <w:r w:rsidRPr="004676F5">
        <w:rPr>
          <w:lang w:val="de-DE"/>
        </w:rPr>
        <w:tab/>
        <w:t>[10. </w:t>
      </w:r>
      <w:r w:rsidR="009B2EBE" w:rsidRPr="004676F5">
        <w:rPr>
          <w:lang w:val="de-DE"/>
        </w:rPr>
        <w:t>gegebenenfalls dass bei Vertragsabschluss der vom Verbraucher zu zahlende Gesamtbetrag auf das nächste Vielfache von 5 Cent gerundet wird [gemäß den Artikeln VI.7/1 und VI.7/2].]</w:t>
      </w:r>
    </w:p>
    <w:p w14:paraId="158DF3E8" w14:textId="77777777" w:rsidR="008860E5" w:rsidRPr="004676F5" w:rsidRDefault="008860E5" w:rsidP="009B2EBE">
      <w:pPr>
        <w:jc w:val="both"/>
        <w:rPr>
          <w:lang w:val="de-DE"/>
        </w:rPr>
      </w:pPr>
    </w:p>
    <w:p w14:paraId="1059A2B5" w14:textId="34C01B0F" w:rsidR="008860E5" w:rsidRPr="004676F5" w:rsidRDefault="008860E5" w:rsidP="009B2EBE">
      <w:pPr>
        <w:jc w:val="both"/>
        <w:rPr>
          <w:lang w:val="de-DE"/>
        </w:rPr>
      </w:pPr>
      <w:r w:rsidRPr="004676F5">
        <w:rPr>
          <w:lang w:val="de-DE"/>
        </w:rPr>
        <w:tab/>
        <w:t>[Der König kann für die von Ihm bestimmten Produkte zusätzliche Informationen, die das Unternehmen dem Verbraucher zur Verfügung stellt, und Modalitäten, nach denen diese Informationen dem Verbraucher zur Verfügung gestellt werden, bevor dieser durch einen in Absatz 1 erwähnten Vertrag gebunden ist, festlegen. Er kann ebenfalls die Benutzung eines standardisierten Informationsblatts vorschreiben.]</w:t>
      </w:r>
    </w:p>
    <w:p w14:paraId="0936A881" w14:textId="77777777" w:rsidR="009B2EBE" w:rsidRPr="004676F5" w:rsidRDefault="009B2EBE" w:rsidP="009B2EBE">
      <w:pPr>
        <w:jc w:val="both"/>
        <w:rPr>
          <w:lang w:val="de-DE"/>
        </w:rPr>
      </w:pPr>
    </w:p>
    <w:p w14:paraId="25E31C11" w14:textId="3F3F3420" w:rsidR="006F1B24" w:rsidRPr="004676F5" w:rsidRDefault="009B2EBE" w:rsidP="00626208">
      <w:pPr>
        <w:jc w:val="both"/>
        <w:rPr>
          <w:i/>
          <w:lang w:val="de-DE"/>
        </w:rPr>
      </w:pPr>
      <w:r w:rsidRPr="004676F5">
        <w:rPr>
          <w:i/>
          <w:lang w:val="de-DE"/>
        </w:rPr>
        <w:t xml:space="preserve">[Art. VI.2 </w:t>
      </w:r>
      <w:r w:rsidR="008860E5" w:rsidRPr="004676F5">
        <w:rPr>
          <w:i/>
          <w:lang w:val="de-DE"/>
        </w:rPr>
        <w:t xml:space="preserve">Abs. 1 (früherer </w:t>
      </w:r>
      <w:r w:rsidR="007D64D3" w:rsidRPr="004676F5">
        <w:rPr>
          <w:i/>
          <w:lang w:val="de-DE"/>
        </w:rPr>
        <w:t>einziger Absatz</w:t>
      </w:r>
      <w:r w:rsidR="008860E5" w:rsidRPr="004676F5">
        <w:rPr>
          <w:i/>
          <w:lang w:val="de-DE"/>
        </w:rPr>
        <w:t>)</w:t>
      </w:r>
      <w:r w:rsidR="007D64D3" w:rsidRPr="004676F5">
        <w:rPr>
          <w:i/>
          <w:lang w:val="de-DE"/>
        </w:rPr>
        <w:t xml:space="preserve"> einleitende Bestimmung abgeändert durch Art. 8 Nr. 1</w:t>
      </w:r>
      <w:r w:rsidR="007D64D3" w:rsidRPr="004676F5">
        <w:rPr>
          <w:i/>
          <w:iCs/>
          <w:lang w:val="de-DE"/>
        </w:rPr>
        <w:t xml:space="preserve"> des G. vom 8. Mai 2022 (B.S. vom 2. Juni 2022); </w:t>
      </w:r>
      <w:r w:rsidR="008860E5" w:rsidRPr="004676F5">
        <w:rPr>
          <w:i/>
          <w:iCs/>
          <w:lang w:val="de-DE"/>
        </w:rPr>
        <w:t>Abs. 1</w:t>
      </w:r>
      <w:r w:rsidR="007D64D3" w:rsidRPr="004676F5">
        <w:rPr>
          <w:i/>
          <w:iCs/>
          <w:lang w:val="de-DE"/>
        </w:rPr>
        <w:t xml:space="preserve"> Nr. 5 abgeändert durch Art. 14</w:t>
      </w:r>
      <w:r w:rsidR="007D64D3" w:rsidRPr="004676F5">
        <w:rPr>
          <w:bCs/>
          <w:i/>
          <w:iCs/>
          <w:lang w:val="de-DE"/>
        </w:rPr>
        <w:t xml:space="preserve"> des G. vom 20. März 2022 (B.S. vom 31. März 2022); Abs</w:t>
      </w:r>
      <w:r w:rsidR="008860E5" w:rsidRPr="004676F5">
        <w:rPr>
          <w:bCs/>
          <w:i/>
          <w:iCs/>
          <w:lang w:val="de-DE"/>
        </w:rPr>
        <w:t>. 1</w:t>
      </w:r>
      <w:r w:rsidR="007D64D3" w:rsidRPr="004676F5">
        <w:rPr>
          <w:bCs/>
          <w:i/>
          <w:iCs/>
          <w:lang w:val="de-DE"/>
        </w:rPr>
        <w:t xml:space="preserve"> Nr. 8 und 9 ersetzt durch Art. 8 Nr. 2 des G. vom 8. Mai 2022 (B.S. vom 2. Juni 2022); </w:t>
      </w:r>
      <w:r w:rsidRPr="004676F5">
        <w:rPr>
          <w:i/>
          <w:lang w:val="de-DE"/>
        </w:rPr>
        <w:t>Abs</w:t>
      </w:r>
      <w:r w:rsidR="008860E5" w:rsidRPr="004676F5">
        <w:rPr>
          <w:i/>
          <w:lang w:val="de-DE"/>
        </w:rPr>
        <w:t>. 1</w:t>
      </w:r>
      <w:r w:rsidRPr="004676F5">
        <w:rPr>
          <w:i/>
          <w:lang w:val="de-DE"/>
        </w:rPr>
        <w:t xml:space="preserve"> Nr. 10 eingefügt durch Art. 40 </w:t>
      </w:r>
      <w:r w:rsidRPr="004676F5">
        <w:rPr>
          <w:i/>
          <w:iCs/>
          <w:lang w:val="de-DE"/>
        </w:rPr>
        <w:t>des G. vom 15. Mai 2014 (I) (B.S. vom 22. Mai 2014) und abgeändert durch Art. 48 des G. vom 18. Dezember 2015 (I) (B.S. vom 29. Dezember 2015, Err. vom 21. Januar 2016)</w:t>
      </w:r>
      <w:r w:rsidR="008860E5" w:rsidRPr="004676F5">
        <w:rPr>
          <w:i/>
          <w:iCs/>
          <w:lang w:val="de-DE"/>
        </w:rPr>
        <w:t>; Abs. 2 eingefügt durch Art. 10 des G. vom 25. September 2022 (B.S. vom 16. Januar 2023)</w:t>
      </w:r>
      <w:r w:rsidRPr="004676F5">
        <w:rPr>
          <w:i/>
          <w:iCs/>
          <w:lang w:val="de-DE"/>
        </w:rPr>
        <w:t>]</w:t>
      </w:r>
    </w:p>
    <w:p w14:paraId="14B88D26" w14:textId="77777777" w:rsidR="006F1B24" w:rsidRPr="004676F5" w:rsidRDefault="006F1B24" w:rsidP="00626208">
      <w:pPr>
        <w:jc w:val="both"/>
        <w:rPr>
          <w:lang w:val="de-DE"/>
        </w:rPr>
      </w:pPr>
    </w:p>
    <w:p w14:paraId="100B419A" w14:textId="77777777" w:rsidR="009B2EBE" w:rsidRPr="004676F5" w:rsidRDefault="009B2EBE" w:rsidP="006F1B24">
      <w:pPr>
        <w:jc w:val="both"/>
        <w:rPr>
          <w:lang w:val="de-DE"/>
        </w:rPr>
      </w:pPr>
    </w:p>
    <w:p w14:paraId="1AE0659F" w14:textId="249EA308" w:rsidR="009B2EBE" w:rsidRPr="004676F5" w:rsidRDefault="009B2EBE" w:rsidP="009B2EBE">
      <w:pPr>
        <w:jc w:val="both"/>
        <w:rPr>
          <w:iCs/>
          <w:sz w:val="20"/>
          <w:szCs w:val="20"/>
          <w:lang w:val="de-DE"/>
        </w:rPr>
      </w:pPr>
      <w:r w:rsidRPr="004676F5">
        <w:rPr>
          <w:sz w:val="20"/>
          <w:szCs w:val="20"/>
          <w:lang w:val="de-DE"/>
        </w:rPr>
        <w:t xml:space="preserve">Am Tag des Inkrafttretens des Königlichen Erlasses zur Ausführung von Artikel VI.7/1 § 2 Absatz 2 (gemäß Art. 7 </w:t>
      </w:r>
      <w:r w:rsidRPr="004676F5">
        <w:rPr>
          <w:iCs/>
          <w:sz w:val="20"/>
          <w:szCs w:val="20"/>
          <w:lang w:val="de-DE"/>
        </w:rPr>
        <w:t>des G. vom 2. Mai 2019 (IV) (B.S. vom 22. Mai 2019)) lautet Art. VI.2 wie folgt:</w:t>
      </w:r>
    </w:p>
    <w:p w14:paraId="2DA752D7" w14:textId="77777777" w:rsidR="009B2EBE" w:rsidRPr="004676F5" w:rsidRDefault="009B2EBE" w:rsidP="009B2EBE">
      <w:pPr>
        <w:jc w:val="both"/>
        <w:rPr>
          <w:iCs/>
          <w:sz w:val="20"/>
          <w:szCs w:val="20"/>
          <w:lang w:val="de-DE"/>
        </w:rPr>
      </w:pPr>
    </w:p>
    <w:p w14:paraId="323B1583" w14:textId="6CDD852D" w:rsidR="009B2EBE" w:rsidRPr="004676F5" w:rsidRDefault="009B2EBE" w:rsidP="009B2EBE">
      <w:pPr>
        <w:jc w:val="both"/>
        <w:rPr>
          <w:iCs/>
          <w:sz w:val="20"/>
          <w:szCs w:val="20"/>
          <w:lang w:val="de-DE"/>
        </w:rPr>
      </w:pPr>
      <w:r w:rsidRPr="004676F5">
        <w:rPr>
          <w:iCs/>
          <w:sz w:val="20"/>
          <w:szCs w:val="20"/>
          <w:lang w:val="de-DE"/>
        </w:rPr>
        <w:t>"</w:t>
      </w:r>
      <w:r w:rsidRPr="004676F5">
        <w:rPr>
          <w:bCs/>
          <w:iCs/>
          <w:sz w:val="20"/>
          <w:szCs w:val="20"/>
          <w:lang w:val="de-DE"/>
        </w:rPr>
        <w:t>Art. VI.2</w:t>
      </w:r>
      <w:r w:rsidRPr="004676F5">
        <w:rPr>
          <w:iCs/>
          <w:sz w:val="20"/>
          <w:szCs w:val="20"/>
          <w:lang w:val="de-DE"/>
        </w:rPr>
        <w:t> </w:t>
      </w:r>
      <w:r w:rsidR="005B7A5C" w:rsidRPr="004676F5">
        <w:rPr>
          <w:iCs/>
          <w:sz w:val="20"/>
          <w:szCs w:val="20"/>
          <w:lang w:val="de-DE"/>
        </w:rPr>
        <w:t>- </w:t>
      </w:r>
      <w:r w:rsidRPr="004676F5">
        <w:rPr>
          <w:iCs/>
          <w:sz w:val="20"/>
          <w:szCs w:val="20"/>
          <w:lang w:val="de-DE"/>
        </w:rPr>
        <w:t xml:space="preserve">Bevor der Verbraucher durch einen anderen als einen Fernabsatzvertrag, einen außerhalb von Geschäftsräumen geschlossenen Vertrag oder einen </w:t>
      </w:r>
      <w:r w:rsidR="007D64D3" w:rsidRPr="004676F5">
        <w:rPr>
          <w:iCs/>
          <w:sz w:val="20"/>
          <w:szCs w:val="20"/>
          <w:lang w:val="de-DE"/>
        </w:rPr>
        <w:t>[</w:t>
      </w:r>
      <w:r w:rsidRPr="004676F5">
        <w:rPr>
          <w:iCs/>
          <w:sz w:val="20"/>
          <w:szCs w:val="20"/>
          <w:lang w:val="de-DE"/>
        </w:rPr>
        <w:t xml:space="preserve">in Artikel VI.66 </w:t>
      </w:r>
      <w:r w:rsidR="007D64D3" w:rsidRPr="004676F5">
        <w:rPr>
          <w:iCs/>
          <w:sz w:val="20"/>
          <w:szCs w:val="20"/>
          <w:lang w:val="de-DE"/>
        </w:rPr>
        <w:t xml:space="preserve">§ 1 </w:t>
      </w:r>
      <w:r w:rsidRPr="004676F5">
        <w:rPr>
          <w:iCs/>
          <w:sz w:val="20"/>
          <w:szCs w:val="20"/>
          <w:lang w:val="de-DE"/>
        </w:rPr>
        <w:t>erwähnten Vertrag</w:t>
      </w:r>
      <w:r w:rsidR="007D64D3" w:rsidRPr="004676F5">
        <w:rPr>
          <w:iCs/>
          <w:sz w:val="20"/>
          <w:szCs w:val="20"/>
          <w:lang w:val="de-DE"/>
        </w:rPr>
        <w:t>]</w:t>
      </w:r>
      <w:r w:rsidRPr="004676F5">
        <w:rPr>
          <w:iCs/>
          <w:sz w:val="20"/>
          <w:szCs w:val="20"/>
          <w:lang w:val="de-DE"/>
        </w:rPr>
        <w:t xml:space="preserve"> gebunden ist, informiert das Unternehmen den Verbraucher in klarer und verständlicher Weise über Folgendes, sofern sich diese Informationen nicht bereits unmittelbar aus den Umständen ergeben:</w:t>
      </w:r>
    </w:p>
    <w:p w14:paraId="1FB50547" w14:textId="77777777" w:rsidR="009B2EBE" w:rsidRPr="004676F5" w:rsidRDefault="009B2EBE" w:rsidP="009B2EBE">
      <w:pPr>
        <w:jc w:val="both"/>
        <w:rPr>
          <w:iCs/>
          <w:sz w:val="20"/>
          <w:szCs w:val="20"/>
          <w:lang w:val="de-DE"/>
        </w:rPr>
      </w:pPr>
    </w:p>
    <w:p w14:paraId="7E984197" w14:textId="7E027BD6" w:rsidR="009B2EBE" w:rsidRPr="004676F5" w:rsidRDefault="009B2EBE" w:rsidP="009B2EBE">
      <w:pPr>
        <w:jc w:val="both"/>
        <w:rPr>
          <w:iCs/>
          <w:sz w:val="20"/>
          <w:szCs w:val="20"/>
          <w:lang w:val="de-DE"/>
        </w:rPr>
      </w:pPr>
      <w:r w:rsidRPr="004676F5">
        <w:rPr>
          <w:iCs/>
          <w:sz w:val="20"/>
          <w:szCs w:val="20"/>
          <w:lang w:val="de-DE"/>
        </w:rPr>
        <w:t>1. wesentliche Merkmale der Produkte in dem für das Kommunikationsmittel und die Produkte angemessenen Umfang,</w:t>
      </w:r>
    </w:p>
    <w:p w14:paraId="32194507" w14:textId="77777777" w:rsidR="009B2EBE" w:rsidRPr="004676F5" w:rsidRDefault="009B2EBE" w:rsidP="009B2EBE">
      <w:pPr>
        <w:jc w:val="both"/>
        <w:rPr>
          <w:iCs/>
          <w:sz w:val="20"/>
          <w:szCs w:val="20"/>
          <w:lang w:val="de-DE"/>
        </w:rPr>
      </w:pPr>
    </w:p>
    <w:p w14:paraId="0E79EB19" w14:textId="4055BF86" w:rsidR="009B2EBE" w:rsidRPr="004676F5" w:rsidRDefault="009B2EBE" w:rsidP="009B2EBE">
      <w:pPr>
        <w:jc w:val="both"/>
        <w:rPr>
          <w:iCs/>
          <w:sz w:val="20"/>
          <w:szCs w:val="20"/>
          <w:lang w:val="de-DE"/>
        </w:rPr>
      </w:pPr>
      <w:r w:rsidRPr="004676F5">
        <w:rPr>
          <w:iCs/>
          <w:sz w:val="20"/>
          <w:szCs w:val="20"/>
          <w:lang w:val="de-DE"/>
        </w:rPr>
        <w:t>2. Identität des Unternehmens, unter anderem seine Unternehmensnummer, seinen Handelsnamen und Anschrift des Ortes, an dem es ansässig ist, sowie seine Telefonnummer,</w:t>
      </w:r>
    </w:p>
    <w:p w14:paraId="763CD17B" w14:textId="77777777" w:rsidR="009B2EBE" w:rsidRPr="004676F5" w:rsidRDefault="009B2EBE" w:rsidP="009B2EBE">
      <w:pPr>
        <w:jc w:val="both"/>
        <w:rPr>
          <w:iCs/>
          <w:sz w:val="20"/>
          <w:szCs w:val="20"/>
          <w:lang w:val="de-DE"/>
        </w:rPr>
      </w:pPr>
    </w:p>
    <w:p w14:paraId="163D4CC1" w14:textId="1DE899D5" w:rsidR="009B2EBE" w:rsidRPr="004676F5" w:rsidRDefault="009B2EBE" w:rsidP="009B2EBE">
      <w:pPr>
        <w:jc w:val="both"/>
        <w:rPr>
          <w:iCs/>
          <w:sz w:val="20"/>
          <w:szCs w:val="20"/>
          <w:lang w:val="de-DE"/>
        </w:rPr>
      </w:pPr>
      <w:r w:rsidRPr="004676F5">
        <w:rPr>
          <w:iCs/>
          <w:sz w:val="20"/>
          <w:szCs w:val="20"/>
          <w:lang w:val="de-DE"/>
        </w:rPr>
        <w:t>3. Gesamtpreis der Produkte einschließlich aller Steuern und Abgaben und Kosten aller Dienstleistungen, die der Verbraucher gezwungenermaßen zusätzlich bezahlen muss, oder in Fällen, in denen der Preis aufgrund der Beschaffenheit des Produkts vernünftigerweise nicht im Voraus berechnet werden kann, Art der Preisberechnung und gegebenenfalls alle zusätzlichen Fracht-, Liefer</w:t>
      </w:r>
      <w:r w:rsidR="005B7A5C" w:rsidRPr="004676F5">
        <w:rPr>
          <w:iCs/>
          <w:sz w:val="20"/>
          <w:szCs w:val="20"/>
          <w:lang w:val="de-DE"/>
        </w:rPr>
        <w:t>- </w:t>
      </w:r>
      <w:r w:rsidRPr="004676F5">
        <w:rPr>
          <w:iCs/>
          <w:sz w:val="20"/>
          <w:szCs w:val="20"/>
          <w:lang w:val="de-DE"/>
        </w:rPr>
        <w:t>oder Versandkosten oder in Fällen, in denen diese Kosten vernünftigerweise nicht im Voraus berechnet werden können, Tatsache, dass solche zusätzlichen Kosten anfallen können,</w:t>
      </w:r>
    </w:p>
    <w:p w14:paraId="48B63F56" w14:textId="77777777" w:rsidR="009B2EBE" w:rsidRPr="004676F5" w:rsidRDefault="009B2EBE" w:rsidP="009B2EBE">
      <w:pPr>
        <w:jc w:val="both"/>
        <w:rPr>
          <w:iCs/>
          <w:sz w:val="20"/>
          <w:szCs w:val="20"/>
          <w:lang w:val="de-DE"/>
        </w:rPr>
      </w:pPr>
    </w:p>
    <w:p w14:paraId="12A89B10" w14:textId="79F2961C" w:rsidR="009B2EBE" w:rsidRPr="004676F5" w:rsidRDefault="009B2EBE" w:rsidP="009B2EBE">
      <w:pPr>
        <w:jc w:val="both"/>
        <w:rPr>
          <w:iCs/>
          <w:sz w:val="20"/>
          <w:szCs w:val="20"/>
          <w:lang w:val="de-DE"/>
        </w:rPr>
      </w:pPr>
      <w:r w:rsidRPr="004676F5">
        <w:rPr>
          <w:iCs/>
          <w:sz w:val="20"/>
          <w:szCs w:val="20"/>
          <w:lang w:val="de-DE"/>
        </w:rPr>
        <w:t>4. gegebenenfalls Zahlungs-, Liefer</w:t>
      </w:r>
      <w:r w:rsidR="005B7A5C" w:rsidRPr="004676F5">
        <w:rPr>
          <w:iCs/>
          <w:sz w:val="20"/>
          <w:szCs w:val="20"/>
          <w:lang w:val="de-DE"/>
        </w:rPr>
        <w:t>- </w:t>
      </w:r>
      <w:r w:rsidRPr="004676F5">
        <w:rPr>
          <w:iCs/>
          <w:sz w:val="20"/>
          <w:szCs w:val="20"/>
          <w:lang w:val="de-DE"/>
        </w:rPr>
        <w:t>und Leistungsbedingungen, Termin, bis zu dem sich das Unternehmen verpflichtet, die Produkte zu liefern, und Verfahren des Unternehmens hinsichtlich des Umgangs mit Beschwerden,</w:t>
      </w:r>
    </w:p>
    <w:p w14:paraId="69517FF7" w14:textId="77777777" w:rsidR="009B2EBE" w:rsidRPr="004676F5" w:rsidRDefault="009B2EBE" w:rsidP="009B2EBE">
      <w:pPr>
        <w:jc w:val="both"/>
        <w:rPr>
          <w:iCs/>
          <w:sz w:val="20"/>
          <w:szCs w:val="20"/>
          <w:lang w:val="de-DE"/>
        </w:rPr>
      </w:pPr>
    </w:p>
    <w:p w14:paraId="76A707AF" w14:textId="3F7867C9" w:rsidR="009B2EBE" w:rsidRPr="004676F5" w:rsidRDefault="009B2EBE" w:rsidP="009B2EBE">
      <w:pPr>
        <w:jc w:val="both"/>
        <w:rPr>
          <w:iCs/>
          <w:sz w:val="20"/>
          <w:szCs w:val="20"/>
          <w:lang w:val="de-DE"/>
        </w:rPr>
      </w:pPr>
      <w:r w:rsidRPr="004676F5">
        <w:rPr>
          <w:iCs/>
          <w:sz w:val="20"/>
          <w:szCs w:val="20"/>
          <w:lang w:val="de-DE"/>
        </w:rPr>
        <w:t>5. zusätzlich zu dem Hinweis auf das Bestehen eines gesetzlichen Gewähr</w:t>
      </w:r>
      <w:r w:rsidRPr="004676F5">
        <w:rPr>
          <w:iCs/>
          <w:sz w:val="20"/>
          <w:szCs w:val="20"/>
          <w:lang w:val="de-DE"/>
        </w:rPr>
        <w:softHyphen/>
        <w:t xml:space="preserve">leistungsrechts </w:t>
      </w:r>
      <w:r w:rsidR="007D64D3" w:rsidRPr="004676F5">
        <w:rPr>
          <w:iCs/>
          <w:sz w:val="20"/>
          <w:szCs w:val="20"/>
          <w:lang w:val="de-DE"/>
        </w:rPr>
        <w:t>[für die Waren, digitalen Inhalte und digitalen Dienstleistungen, wie in den Artikeln 1649</w:t>
      </w:r>
      <w:r w:rsidR="007D64D3" w:rsidRPr="004676F5">
        <w:rPr>
          <w:i/>
          <w:iCs/>
          <w:sz w:val="20"/>
          <w:szCs w:val="20"/>
          <w:lang w:val="de-DE"/>
        </w:rPr>
        <w:t>bis</w:t>
      </w:r>
      <w:r w:rsidR="007D64D3" w:rsidRPr="004676F5">
        <w:rPr>
          <w:iCs/>
          <w:sz w:val="20"/>
          <w:szCs w:val="20"/>
          <w:lang w:val="de-DE"/>
        </w:rPr>
        <w:t xml:space="preserve"> bis 1649</w:t>
      </w:r>
      <w:r w:rsidR="007D64D3" w:rsidRPr="004676F5">
        <w:rPr>
          <w:i/>
          <w:iCs/>
          <w:sz w:val="20"/>
          <w:szCs w:val="20"/>
          <w:lang w:val="de-DE"/>
        </w:rPr>
        <w:t>nonies</w:t>
      </w:r>
      <w:r w:rsidR="007D64D3" w:rsidRPr="004676F5">
        <w:rPr>
          <w:iCs/>
          <w:sz w:val="20"/>
          <w:szCs w:val="20"/>
          <w:lang w:val="de-DE"/>
        </w:rPr>
        <w:t xml:space="preserve"> und 1701/1 bis 1701/19 des früheren Zivilgesetzbuches vorgesehen,]</w:t>
      </w:r>
      <w:r w:rsidRPr="004676F5">
        <w:rPr>
          <w:iCs/>
          <w:sz w:val="20"/>
          <w:szCs w:val="20"/>
          <w:lang w:val="de-DE"/>
        </w:rPr>
        <w:t xml:space="preserve"> gegebenenfalls Bestehen und Bedingungen von Kundendienstleistungen nach dem Verkauf und gewerblichen Garantien,</w:t>
      </w:r>
    </w:p>
    <w:p w14:paraId="00DEC66E" w14:textId="77777777" w:rsidR="009B2EBE" w:rsidRPr="004676F5" w:rsidRDefault="009B2EBE" w:rsidP="009B2EBE">
      <w:pPr>
        <w:jc w:val="both"/>
        <w:rPr>
          <w:iCs/>
          <w:sz w:val="20"/>
          <w:szCs w:val="20"/>
          <w:lang w:val="de-DE"/>
        </w:rPr>
      </w:pPr>
    </w:p>
    <w:p w14:paraId="7D6F1531" w14:textId="6C30757B" w:rsidR="009B2EBE" w:rsidRPr="004676F5" w:rsidRDefault="009B2EBE" w:rsidP="009B2EBE">
      <w:pPr>
        <w:jc w:val="both"/>
        <w:rPr>
          <w:iCs/>
          <w:sz w:val="20"/>
          <w:szCs w:val="20"/>
          <w:lang w:val="de-DE"/>
        </w:rPr>
      </w:pPr>
      <w:r w:rsidRPr="004676F5">
        <w:rPr>
          <w:iCs/>
          <w:sz w:val="20"/>
          <w:szCs w:val="20"/>
          <w:lang w:val="de-DE"/>
        </w:rPr>
        <w:t>6. gegebenenfalls Laufzeit des Vertrags oder Bedingungen der Kündigung unbefristeter Verträge oder sich automatisch verlängernder Verträge,</w:t>
      </w:r>
    </w:p>
    <w:p w14:paraId="298CF197" w14:textId="77777777" w:rsidR="009B2EBE" w:rsidRPr="004676F5" w:rsidRDefault="009B2EBE" w:rsidP="009B2EBE">
      <w:pPr>
        <w:jc w:val="both"/>
        <w:rPr>
          <w:iCs/>
          <w:sz w:val="20"/>
          <w:szCs w:val="20"/>
          <w:lang w:val="de-DE"/>
        </w:rPr>
      </w:pPr>
    </w:p>
    <w:p w14:paraId="1F1CE561" w14:textId="1A17E4A6" w:rsidR="009B2EBE" w:rsidRPr="004676F5" w:rsidRDefault="009B2EBE" w:rsidP="009B2EBE">
      <w:pPr>
        <w:jc w:val="both"/>
        <w:rPr>
          <w:iCs/>
          <w:sz w:val="20"/>
          <w:szCs w:val="20"/>
          <w:lang w:val="de-DE"/>
        </w:rPr>
      </w:pPr>
      <w:r w:rsidRPr="004676F5">
        <w:rPr>
          <w:iCs/>
          <w:sz w:val="20"/>
          <w:szCs w:val="20"/>
          <w:lang w:val="de-DE"/>
        </w:rPr>
        <w:t>7. gegebenenfalls Verkaufsbedingungen unter Berücksichtigung des vom Verbraucher zum Ausdruck gebrachten Informationsbedarfs und des vom Verbraucher mitgeteilten oder vernünftigerweise zu erwartenden Gebrauchs,</w:t>
      </w:r>
    </w:p>
    <w:p w14:paraId="32988491" w14:textId="77777777" w:rsidR="009B2EBE" w:rsidRPr="004676F5" w:rsidRDefault="009B2EBE" w:rsidP="009B2EBE">
      <w:pPr>
        <w:jc w:val="both"/>
        <w:rPr>
          <w:iCs/>
          <w:sz w:val="20"/>
          <w:szCs w:val="20"/>
          <w:lang w:val="de-DE"/>
        </w:rPr>
      </w:pPr>
    </w:p>
    <w:p w14:paraId="587C01E5" w14:textId="77777777" w:rsidR="007D64D3" w:rsidRPr="004676F5" w:rsidRDefault="009B2EBE" w:rsidP="007D64D3">
      <w:pPr>
        <w:jc w:val="both"/>
        <w:rPr>
          <w:iCs/>
          <w:sz w:val="20"/>
          <w:szCs w:val="20"/>
          <w:lang w:val="de-DE"/>
        </w:rPr>
      </w:pPr>
      <w:r w:rsidRPr="004676F5">
        <w:rPr>
          <w:iCs/>
          <w:sz w:val="20"/>
          <w:szCs w:val="20"/>
          <w:lang w:val="de-DE"/>
        </w:rPr>
        <w:t>8. </w:t>
      </w:r>
      <w:r w:rsidR="007D64D3" w:rsidRPr="004676F5">
        <w:rPr>
          <w:iCs/>
          <w:sz w:val="20"/>
          <w:szCs w:val="20"/>
          <w:lang w:val="de-DE"/>
        </w:rPr>
        <w:t>[gegebenenfalls Funktionalität von Waren mit digitalen Elementen, digitalen Inhalten und digitalen Dienstleistungen, einschließlich anwendbarer technischer Schutzmaß</w:t>
      </w:r>
      <w:r w:rsidR="007D64D3" w:rsidRPr="004676F5">
        <w:rPr>
          <w:iCs/>
          <w:sz w:val="20"/>
          <w:szCs w:val="20"/>
          <w:lang w:val="de-DE"/>
        </w:rPr>
        <w:softHyphen/>
        <w:t>nahmen,</w:t>
      </w:r>
    </w:p>
    <w:p w14:paraId="286198F8" w14:textId="77777777" w:rsidR="007D64D3" w:rsidRPr="004676F5" w:rsidRDefault="007D64D3" w:rsidP="007D64D3">
      <w:pPr>
        <w:jc w:val="both"/>
        <w:rPr>
          <w:iCs/>
          <w:sz w:val="20"/>
          <w:szCs w:val="20"/>
          <w:lang w:val="de-DE"/>
        </w:rPr>
      </w:pPr>
    </w:p>
    <w:p w14:paraId="589EE604" w14:textId="2DC2D824" w:rsidR="009B2EBE" w:rsidRPr="004676F5" w:rsidRDefault="007D64D3" w:rsidP="007D64D3">
      <w:pPr>
        <w:jc w:val="both"/>
        <w:rPr>
          <w:iCs/>
          <w:sz w:val="20"/>
          <w:szCs w:val="20"/>
          <w:lang w:val="de-DE"/>
        </w:rPr>
      </w:pPr>
      <w:r w:rsidRPr="004676F5">
        <w:rPr>
          <w:iCs/>
          <w:sz w:val="20"/>
          <w:szCs w:val="20"/>
          <w:lang w:val="de-DE"/>
        </w:rPr>
        <w:t xml:space="preserve">9. gegebenenfalls </w:t>
      </w:r>
      <w:r w:rsidR="005B7A5C" w:rsidRPr="004676F5">
        <w:rPr>
          <w:iCs/>
          <w:sz w:val="20"/>
          <w:szCs w:val="20"/>
          <w:lang w:val="de-DE"/>
        </w:rPr>
        <w:t>- </w:t>
      </w:r>
      <w:r w:rsidRPr="004676F5">
        <w:rPr>
          <w:iCs/>
          <w:sz w:val="20"/>
          <w:szCs w:val="20"/>
          <w:lang w:val="de-DE"/>
        </w:rPr>
        <w:t>soweit wesentlich </w:t>
      </w:r>
      <w:r w:rsidR="005B7A5C" w:rsidRPr="004676F5">
        <w:rPr>
          <w:iCs/>
          <w:sz w:val="20"/>
          <w:szCs w:val="20"/>
          <w:lang w:val="de-DE"/>
        </w:rPr>
        <w:t>- </w:t>
      </w:r>
      <w:r w:rsidRPr="004676F5">
        <w:rPr>
          <w:iCs/>
          <w:sz w:val="20"/>
          <w:szCs w:val="20"/>
          <w:lang w:val="de-DE"/>
        </w:rPr>
        <w:t>Kompatibilität und Interoperabilität von Waren mit digitalen Elementen, digitalen Inhalten und digitalen Dienstleistungen, soweit diese dem Unternehmen bekannt sind oder vernünftigerweise bekannt sein müssen,]</w:t>
      </w:r>
    </w:p>
    <w:p w14:paraId="62EB19A4" w14:textId="77777777" w:rsidR="009B2EBE" w:rsidRPr="004676F5" w:rsidRDefault="009B2EBE" w:rsidP="009B2EBE">
      <w:pPr>
        <w:jc w:val="both"/>
        <w:rPr>
          <w:iCs/>
          <w:sz w:val="20"/>
          <w:szCs w:val="20"/>
          <w:lang w:val="de-DE"/>
        </w:rPr>
      </w:pPr>
    </w:p>
    <w:p w14:paraId="6DA65E39" w14:textId="5F6DCD84" w:rsidR="009B2EBE" w:rsidRPr="004676F5" w:rsidRDefault="009B2EBE" w:rsidP="009B2EBE">
      <w:pPr>
        <w:jc w:val="both"/>
        <w:rPr>
          <w:iCs/>
          <w:sz w:val="20"/>
          <w:szCs w:val="20"/>
          <w:lang w:val="de-DE"/>
        </w:rPr>
      </w:pPr>
      <w:r w:rsidRPr="004676F5">
        <w:rPr>
          <w:iCs/>
          <w:sz w:val="20"/>
          <w:szCs w:val="20"/>
          <w:lang w:val="de-DE"/>
        </w:rPr>
        <w:t>[10. [...]]</w:t>
      </w:r>
    </w:p>
    <w:p w14:paraId="326F16D8" w14:textId="77777777" w:rsidR="008860E5" w:rsidRPr="004676F5" w:rsidRDefault="008860E5" w:rsidP="009B2EBE">
      <w:pPr>
        <w:jc w:val="both"/>
        <w:rPr>
          <w:iCs/>
          <w:sz w:val="20"/>
          <w:szCs w:val="20"/>
          <w:lang w:val="de-DE"/>
        </w:rPr>
      </w:pPr>
    </w:p>
    <w:p w14:paraId="34106B9E" w14:textId="211960D5" w:rsidR="008860E5" w:rsidRPr="004676F5" w:rsidRDefault="008860E5" w:rsidP="009B2EBE">
      <w:pPr>
        <w:jc w:val="both"/>
        <w:rPr>
          <w:iCs/>
          <w:sz w:val="20"/>
          <w:szCs w:val="20"/>
          <w:lang w:val="de-DE"/>
        </w:rPr>
      </w:pPr>
      <w:r w:rsidRPr="004676F5">
        <w:rPr>
          <w:iCs/>
          <w:sz w:val="20"/>
          <w:szCs w:val="20"/>
          <w:lang w:val="de-DE"/>
        </w:rPr>
        <w:t>[</w:t>
      </w:r>
      <w:r w:rsidRPr="004676F5">
        <w:rPr>
          <w:sz w:val="20"/>
          <w:szCs w:val="20"/>
          <w:lang w:val="de-DE"/>
        </w:rPr>
        <w:t>Der König kann für die von Ihm bestimmten Produkte zusätzliche Informationen, die das Unternehmen dem Verbraucher zur Verfügung stellt, und Modalitäten, nach denen diese Informationen dem Verbraucher zur Verfügung gestellt werden, bevor dieser durch einen in Absatz 1 erwähnten Vertrag gebunden ist, festlegen. Er kann ebenfalls die Benutzung eines standardisierten Informationsblatts vorschreiben.</w:t>
      </w:r>
      <w:r w:rsidRPr="004676F5">
        <w:rPr>
          <w:lang w:val="de-DE"/>
        </w:rPr>
        <w:t>]</w:t>
      </w:r>
    </w:p>
    <w:p w14:paraId="2279AC1E" w14:textId="77777777" w:rsidR="009B2EBE" w:rsidRPr="004676F5" w:rsidRDefault="009B2EBE" w:rsidP="009B2EBE">
      <w:pPr>
        <w:jc w:val="both"/>
        <w:rPr>
          <w:iCs/>
          <w:sz w:val="20"/>
          <w:szCs w:val="20"/>
          <w:lang w:val="de-DE"/>
        </w:rPr>
      </w:pPr>
    </w:p>
    <w:p w14:paraId="30CCB4AB" w14:textId="553A47F3" w:rsidR="009B2EBE" w:rsidRPr="004676F5" w:rsidRDefault="009B2EBE" w:rsidP="009B2EBE">
      <w:pPr>
        <w:jc w:val="both"/>
        <w:rPr>
          <w:sz w:val="20"/>
          <w:szCs w:val="20"/>
          <w:lang w:val="de-DE"/>
        </w:rPr>
      </w:pPr>
      <w:r w:rsidRPr="004676F5">
        <w:rPr>
          <w:i/>
          <w:iCs/>
          <w:sz w:val="20"/>
          <w:szCs w:val="20"/>
          <w:lang w:val="de-DE"/>
        </w:rPr>
        <w:t xml:space="preserve">[Art. VI.2 </w:t>
      </w:r>
      <w:r w:rsidR="008860E5" w:rsidRPr="004676F5">
        <w:rPr>
          <w:i/>
          <w:iCs/>
          <w:sz w:val="20"/>
          <w:szCs w:val="20"/>
          <w:lang w:val="de-DE"/>
        </w:rPr>
        <w:t xml:space="preserve">Abs. 1 (früherer </w:t>
      </w:r>
      <w:r w:rsidR="007D64D3" w:rsidRPr="004676F5">
        <w:rPr>
          <w:i/>
          <w:iCs/>
          <w:sz w:val="20"/>
          <w:szCs w:val="20"/>
          <w:lang w:val="de-DE"/>
        </w:rPr>
        <w:t>einziger Absatz</w:t>
      </w:r>
      <w:r w:rsidR="008860E5" w:rsidRPr="004676F5">
        <w:rPr>
          <w:i/>
          <w:iCs/>
          <w:sz w:val="20"/>
          <w:szCs w:val="20"/>
          <w:lang w:val="de-DE"/>
        </w:rPr>
        <w:t>)</w:t>
      </w:r>
      <w:r w:rsidR="007D64D3" w:rsidRPr="004676F5">
        <w:rPr>
          <w:i/>
          <w:iCs/>
          <w:sz w:val="20"/>
          <w:szCs w:val="20"/>
          <w:lang w:val="de-DE"/>
        </w:rPr>
        <w:t xml:space="preserve"> einleitende Bestimmung abgeändert durch Art. 8 Nr. 1 des G. vom 8. Mai 2022 (B.S. vom 2. Juni 2022); Abs</w:t>
      </w:r>
      <w:r w:rsidR="008860E5" w:rsidRPr="004676F5">
        <w:rPr>
          <w:i/>
          <w:iCs/>
          <w:sz w:val="20"/>
          <w:szCs w:val="20"/>
          <w:lang w:val="de-DE"/>
        </w:rPr>
        <w:t>. 1</w:t>
      </w:r>
      <w:r w:rsidR="007D64D3" w:rsidRPr="004676F5">
        <w:rPr>
          <w:i/>
          <w:iCs/>
          <w:sz w:val="20"/>
          <w:szCs w:val="20"/>
          <w:lang w:val="de-DE"/>
        </w:rPr>
        <w:t xml:space="preserve"> Nr. 5 abgeändert durch Art. 14</w:t>
      </w:r>
      <w:r w:rsidR="007D64D3" w:rsidRPr="004676F5">
        <w:rPr>
          <w:bCs/>
          <w:i/>
          <w:iCs/>
          <w:sz w:val="20"/>
          <w:szCs w:val="20"/>
          <w:lang w:val="de-DE"/>
        </w:rPr>
        <w:t xml:space="preserve"> des G. vom 20. März 2022 (B.S. vom 31. März 2022); Abs</w:t>
      </w:r>
      <w:r w:rsidR="008860E5" w:rsidRPr="004676F5">
        <w:rPr>
          <w:bCs/>
          <w:i/>
          <w:iCs/>
          <w:sz w:val="20"/>
          <w:szCs w:val="20"/>
          <w:lang w:val="de-DE"/>
        </w:rPr>
        <w:t>. 1</w:t>
      </w:r>
      <w:r w:rsidR="007D64D3" w:rsidRPr="004676F5">
        <w:rPr>
          <w:bCs/>
          <w:i/>
          <w:iCs/>
          <w:sz w:val="20"/>
          <w:szCs w:val="20"/>
          <w:lang w:val="de-DE"/>
        </w:rPr>
        <w:t xml:space="preserve"> Nr. 8 und 9 ersetzt durch Art. 8 Nr. 2 des G. vom 8. Mai 2022 (B.S. vom 2. Juni 2022); </w:t>
      </w:r>
      <w:r w:rsidRPr="004676F5">
        <w:rPr>
          <w:i/>
          <w:iCs/>
          <w:sz w:val="20"/>
          <w:szCs w:val="20"/>
          <w:lang w:val="de-DE"/>
        </w:rPr>
        <w:t>Abs</w:t>
      </w:r>
      <w:r w:rsidR="008860E5" w:rsidRPr="004676F5">
        <w:rPr>
          <w:i/>
          <w:iCs/>
          <w:sz w:val="20"/>
          <w:szCs w:val="20"/>
          <w:lang w:val="de-DE"/>
        </w:rPr>
        <w:t>. 1</w:t>
      </w:r>
      <w:r w:rsidRPr="004676F5">
        <w:rPr>
          <w:i/>
          <w:iCs/>
          <w:sz w:val="20"/>
          <w:szCs w:val="20"/>
          <w:lang w:val="de-DE"/>
        </w:rPr>
        <w:t xml:space="preserve"> Nr. 10 eingefügt durch Art. 40 des G. vom 15. Mai 2014 (I) (B.S. vom 22. Mai 2014) und aufgehoben durch Art. 7 des G. vom 2. Mai 2019 (IV) (B.S. vom 22. Mai 2019)</w:t>
      </w:r>
      <w:r w:rsidR="008860E5" w:rsidRPr="004676F5">
        <w:rPr>
          <w:i/>
          <w:iCs/>
          <w:sz w:val="20"/>
          <w:szCs w:val="20"/>
          <w:lang w:val="de-DE"/>
        </w:rPr>
        <w:t>; Abs. 2 eingefügt durch Art. 10 des G. vom 25. September 2022 (B.S. vom 16. Januar 2023)</w:t>
      </w:r>
      <w:r w:rsidRPr="004676F5">
        <w:rPr>
          <w:i/>
          <w:iCs/>
          <w:sz w:val="20"/>
          <w:szCs w:val="20"/>
          <w:lang w:val="de-DE"/>
        </w:rPr>
        <w:t>]</w:t>
      </w:r>
      <w:r w:rsidRPr="004676F5">
        <w:rPr>
          <w:sz w:val="20"/>
          <w:szCs w:val="20"/>
          <w:lang w:val="de-DE"/>
        </w:rPr>
        <w:t>"</w:t>
      </w:r>
    </w:p>
    <w:p w14:paraId="3B83C45E" w14:textId="383BDFAF" w:rsidR="009B2EBE" w:rsidRPr="004676F5" w:rsidRDefault="009B2EBE" w:rsidP="009B2EBE">
      <w:pPr>
        <w:jc w:val="both"/>
        <w:rPr>
          <w:iCs/>
          <w:sz w:val="20"/>
          <w:szCs w:val="20"/>
          <w:lang w:val="de-DE"/>
        </w:rPr>
      </w:pPr>
    </w:p>
    <w:p w14:paraId="766A899A" w14:textId="77777777" w:rsidR="007D64D3" w:rsidRPr="004676F5" w:rsidRDefault="007D64D3" w:rsidP="006F1B24">
      <w:pPr>
        <w:jc w:val="both"/>
        <w:rPr>
          <w:iCs/>
          <w:lang w:val="de-DE"/>
        </w:rPr>
      </w:pPr>
    </w:p>
    <w:p w14:paraId="4652D833" w14:textId="14363588" w:rsidR="007D64D3" w:rsidRPr="004676F5" w:rsidRDefault="007D64D3" w:rsidP="006F1B24">
      <w:pPr>
        <w:jc w:val="both"/>
        <w:rPr>
          <w:iCs/>
          <w:lang w:val="de-DE"/>
        </w:rPr>
      </w:pPr>
      <w:r w:rsidRPr="004676F5">
        <w:rPr>
          <w:iCs/>
          <w:lang w:val="de-DE"/>
        </w:rPr>
        <w:tab/>
        <w:t>[</w:t>
      </w:r>
      <w:r w:rsidRPr="004676F5">
        <w:rPr>
          <w:b/>
          <w:bCs/>
          <w:lang w:val="de-DE"/>
        </w:rPr>
        <w:t>Art. VI.2/1</w:t>
      </w:r>
      <w:r w:rsidRPr="004676F5">
        <w:rPr>
          <w:lang w:val="de-DE"/>
        </w:rPr>
        <w:t> </w:t>
      </w:r>
      <w:r w:rsidR="005B7A5C" w:rsidRPr="004676F5">
        <w:rPr>
          <w:lang w:val="de-DE"/>
        </w:rPr>
        <w:t>- </w:t>
      </w:r>
      <w:r w:rsidRPr="004676F5">
        <w:rPr>
          <w:lang w:val="de-DE"/>
        </w:rPr>
        <w:t>Artikel VI.2 gilt auch, wenn das Unternehmen dem Verbraucher digitale Inhalte, die nicht auf einem körperlichen Datenträger geliefert werden, bereitstellt oder deren Bereitstellung zusagt oder für den Verbraucher digitale Dienstleistungen bereitstellt oder deren Bereitstellung zusagt und der Verbraucher dem Unternehmen personenbezogene Daten bereitstellt oder deren Bereitstellung zusagt, außer in Fällen, in denen die vom Verbraucher bereitgestellten personenbezogenen Daten durch das Unternehmen ausschließlich zur Bereitstellung digitaler Inhalte, die nicht auf einem körperlichen Datenträger geliefert werden, oder digitaler Dienstleistungen oder zur Erfüllung der vom Unternehmen einzuhaltenden rechtlichen Anforderungen verarbeitet werden und das Unternehmen diese Daten zu keinen anderen Zwecken verarbeitet.</w:t>
      </w:r>
      <w:r w:rsidRPr="004676F5">
        <w:rPr>
          <w:iCs/>
          <w:lang w:val="de-DE"/>
        </w:rPr>
        <w:t>]</w:t>
      </w:r>
    </w:p>
    <w:p w14:paraId="052A5145" w14:textId="77777777" w:rsidR="007D64D3" w:rsidRPr="004676F5" w:rsidRDefault="007D64D3" w:rsidP="006F1B24">
      <w:pPr>
        <w:jc w:val="both"/>
        <w:rPr>
          <w:iCs/>
          <w:lang w:val="de-DE"/>
        </w:rPr>
      </w:pPr>
    </w:p>
    <w:p w14:paraId="070B9D89" w14:textId="7E0CEE27" w:rsidR="006F1B24" w:rsidRPr="004676F5" w:rsidRDefault="007D64D3" w:rsidP="006F1B24">
      <w:pPr>
        <w:jc w:val="both"/>
        <w:rPr>
          <w:i/>
          <w:lang w:val="de-DE"/>
        </w:rPr>
      </w:pPr>
      <w:r w:rsidRPr="004676F5">
        <w:rPr>
          <w:i/>
          <w:lang w:val="de-DE"/>
        </w:rPr>
        <w:t>[Art. VI.2/1 eingefügt durch Art. 9</w:t>
      </w:r>
      <w:r w:rsidRPr="004676F5">
        <w:rPr>
          <w:i/>
          <w:iCs/>
          <w:lang w:val="de-DE"/>
        </w:rPr>
        <w:t xml:space="preserve"> des G. vom 8. Mai 2022 (B.S. vom 2. Juni 2022)]</w:t>
      </w:r>
      <w:r w:rsidR="006F1B24" w:rsidRPr="004676F5">
        <w:rPr>
          <w:i/>
          <w:lang w:val="de-DE"/>
        </w:rPr>
        <w:br w:type="page"/>
      </w:r>
    </w:p>
    <w:p w14:paraId="63A7431F" w14:textId="4DF84F7B" w:rsidR="00626208" w:rsidRPr="004676F5" w:rsidRDefault="00626208" w:rsidP="00626208">
      <w:pPr>
        <w:jc w:val="center"/>
        <w:rPr>
          <w:lang w:val="de-DE"/>
        </w:rPr>
      </w:pPr>
      <w:r w:rsidRPr="004676F5">
        <w:rPr>
          <w:lang w:val="de-DE"/>
        </w:rPr>
        <w:lastRenderedPageBreak/>
        <w:t>KAPITEL 2 </w:t>
      </w:r>
      <w:r w:rsidR="005B7A5C" w:rsidRPr="004676F5">
        <w:rPr>
          <w:lang w:val="de-DE"/>
        </w:rPr>
        <w:t>- </w:t>
      </w:r>
      <w:r w:rsidRPr="004676F5">
        <w:rPr>
          <w:i/>
          <w:lang w:val="de-DE"/>
        </w:rPr>
        <w:t>Angabe der Preise</w:t>
      </w:r>
    </w:p>
    <w:p w14:paraId="22C6D880" w14:textId="77777777" w:rsidR="00626208" w:rsidRPr="004676F5" w:rsidRDefault="00626208" w:rsidP="00626208">
      <w:pPr>
        <w:jc w:val="both"/>
        <w:rPr>
          <w:lang w:val="de-DE"/>
        </w:rPr>
      </w:pPr>
    </w:p>
    <w:p w14:paraId="416C70FB" w14:textId="77777777" w:rsidR="00626208" w:rsidRPr="004676F5" w:rsidRDefault="00626208" w:rsidP="00626208">
      <w:pPr>
        <w:jc w:val="both"/>
        <w:rPr>
          <w:lang w:val="de-DE"/>
        </w:rPr>
      </w:pPr>
    </w:p>
    <w:p w14:paraId="783715C9" w14:textId="3B480C4C"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Außer bei öffentlichem Verkauf gibt ein Unternehmen, das Verbrauchern Waren zum Kauf anbietet, den Preis für diese Waren schriftlich und unzweideutig an.</w:t>
      </w:r>
    </w:p>
    <w:p w14:paraId="744BC098" w14:textId="77777777" w:rsidR="00626208" w:rsidRPr="004676F5" w:rsidRDefault="00626208" w:rsidP="00626208">
      <w:pPr>
        <w:jc w:val="both"/>
        <w:rPr>
          <w:lang w:val="de-DE"/>
        </w:rPr>
      </w:pPr>
    </w:p>
    <w:p w14:paraId="19287BBC" w14:textId="77777777" w:rsidR="00626208" w:rsidRPr="004676F5" w:rsidRDefault="00626208" w:rsidP="00626208">
      <w:pPr>
        <w:jc w:val="both"/>
        <w:rPr>
          <w:lang w:val="de-DE"/>
        </w:rPr>
      </w:pPr>
      <w:r w:rsidRPr="004676F5">
        <w:rPr>
          <w:lang w:val="de-DE"/>
        </w:rPr>
        <w:tab/>
        <w:t>Falls Waren zum Verkauf ausgelegt werden, ist der Preis außerdem lesbar und sichtbar angegeben.</w:t>
      </w:r>
    </w:p>
    <w:p w14:paraId="411FA028" w14:textId="77777777" w:rsidR="00626208" w:rsidRPr="004676F5" w:rsidRDefault="00626208" w:rsidP="00626208">
      <w:pPr>
        <w:jc w:val="both"/>
        <w:rPr>
          <w:lang w:val="de-DE"/>
        </w:rPr>
      </w:pPr>
    </w:p>
    <w:p w14:paraId="754FF598" w14:textId="3A84B82D"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Ein Unternehmen, das Verbrauchern homogene Dienstleistungen anbietet, gibt den Preis für diese homogenen Dienstleistungen schriftlich, lesbar, sichtbar und unzweideutig an.</w:t>
      </w:r>
    </w:p>
    <w:p w14:paraId="178DCAF9" w14:textId="77777777" w:rsidR="00626208" w:rsidRPr="004676F5" w:rsidRDefault="00626208" w:rsidP="00626208">
      <w:pPr>
        <w:jc w:val="both"/>
        <w:rPr>
          <w:lang w:val="de-DE"/>
        </w:rPr>
      </w:pPr>
    </w:p>
    <w:p w14:paraId="35B06496" w14:textId="77777777" w:rsidR="00626208" w:rsidRPr="004676F5" w:rsidRDefault="00626208" w:rsidP="00626208">
      <w:pPr>
        <w:jc w:val="both"/>
        <w:rPr>
          <w:lang w:val="de-DE"/>
        </w:rPr>
      </w:pPr>
    </w:p>
    <w:p w14:paraId="4B0F95D3" w14:textId="100270C9"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VI.4</w:t>
      </w:r>
      <w:r w:rsidRPr="004676F5">
        <w:rPr>
          <w:lang w:val="de-DE"/>
        </w:rPr>
        <w:t> </w:t>
      </w:r>
      <w:r w:rsidR="005B7A5C" w:rsidRPr="004676F5">
        <w:rPr>
          <w:lang w:val="de-DE"/>
        </w:rPr>
        <w:t>- </w:t>
      </w:r>
      <w:r w:rsidR="006F1B24" w:rsidRPr="004676F5">
        <w:rPr>
          <w:lang w:val="de-DE"/>
        </w:rPr>
        <w:t>[Unbeschadet des Artikels VI.7/1 ist der angegebene Preis]</w:t>
      </w:r>
      <w:r w:rsidRPr="004676F5">
        <w:rPr>
          <w:lang w:val="de-DE"/>
        </w:rPr>
        <w:t xml:space="preserve"> der von Verbrauchern zu zahlende Gesamtpreis einschließlich Mehrwertsteuer, aller sonstigen Abgaben und der Kosten aller Dienst</w:t>
      </w:r>
      <w:r w:rsidRPr="004676F5">
        <w:rPr>
          <w:lang w:val="de-DE"/>
        </w:rPr>
        <w:softHyphen/>
        <w:t>leistungen, die der Verbraucher gezwungenermaßen zusätzlich bezahlen muss.</w:t>
      </w:r>
    </w:p>
    <w:p w14:paraId="2FF3967F" w14:textId="77777777" w:rsidR="00626208" w:rsidRPr="004676F5" w:rsidRDefault="00626208" w:rsidP="00626208">
      <w:pPr>
        <w:jc w:val="both"/>
        <w:rPr>
          <w:lang w:val="de-DE"/>
        </w:rPr>
      </w:pPr>
    </w:p>
    <w:p w14:paraId="2EE14D9F" w14:textId="2307B81C" w:rsidR="006F1B24" w:rsidRPr="004676F5" w:rsidRDefault="006F1B24" w:rsidP="00626208">
      <w:pPr>
        <w:jc w:val="both"/>
        <w:rPr>
          <w:i/>
          <w:lang w:val="de-DE"/>
        </w:rPr>
      </w:pPr>
      <w:r w:rsidRPr="004676F5">
        <w:rPr>
          <w:i/>
          <w:lang w:val="de-DE"/>
        </w:rPr>
        <w:t>[</w:t>
      </w:r>
      <w:r w:rsidR="00BE0A56" w:rsidRPr="004676F5">
        <w:rPr>
          <w:i/>
          <w:lang w:val="de-DE"/>
        </w:rPr>
        <w:t>Art. </w:t>
      </w:r>
      <w:r w:rsidRPr="004676F5">
        <w:rPr>
          <w:i/>
          <w:lang w:val="de-DE"/>
        </w:rPr>
        <w:t xml:space="preserve">VI.4 abgeändert durch </w:t>
      </w:r>
      <w:r w:rsidR="00BE0A56" w:rsidRPr="004676F5">
        <w:rPr>
          <w:i/>
          <w:lang w:val="de-DE"/>
        </w:rPr>
        <w:t>Art. </w:t>
      </w:r>
      <w:r w:rsidRPr="004676F5">
        <w:rPr>
          <w:i/>
          <w:lang w:val="de-DE"/>
        </w:rPr>
        <w:t>41</w:t>
      </w:r>
      <w:r w:rsidRPr="004676F5">
        <w:rPr>
          <w:i/>
          <w:iCs/>
          <w:lang w:val="de-DE"/>
        </w:rPr>
        <w:t xml:space="preserve"> des G. vom 15. Mai 2014</w:t>
      </w:r>
      <w:r w:rsidR="0094304C" w:rsidRPr="004676F5">
        <w:rPr>
          <w:i/>
          <w:iCs/>
          <w:lang w:val="de-DE"/>
        </w:rPr>
        <w:t> (I)</w:t>
      </w:r>
      <w:r w:rsidRPr="004676F5">
        <w:rPr>
          <w:i/>
          <w:iCs/>
          <w:lang w:val="de-DE"/>
        </w:rPr>
        <w:t xml:space="preserve"> (B.S. vom 22. Mai 2014)</w:t>
      </w:r>
      <w:r w:rsidRPr="004676F5">
        <w:rPr>
          <w:i/>
          <w:lang w:val="de-DE"/>
        </w:rPr>
        <w:t>]</w:t>
      </w:r>
    </w:p>
    <w:p w14:paraId="146B8B2E" w14:textId="77777777" w:rsidR="006F1B24" w:rsidRPr="004676F5" w:rsidRDefault="006F1B24" w:rsidP="00626208">
      <w:pPr>
        <w:jc w:val="both"/>
        <w:rPr>
          <w:lang w:val="de-DE"/>
        </w:rPr>
      </w:pPr>
    </w:p>
    <w:p w14:paraId="7CC722F2" w14:textId="77777777" w:rsidR="00626208" w:rsidRPr="004676F5" w:rsidRDefault="00626208" w:rsidP="00626208">
      <w:pPr>
        <w:jc w:val="both"/>
        <w:rPr>
          <w:lang w:val="de-DE"/>
        </w:rPr>
      </w:pPr>
    </w:p>
    <w:p w14:paraId="7E94A9CD" w14:textId="43C49030"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VI.5</w:t>
      </w:r>
      <w:r w:rsidRPr="004676F5">
        <w:rPr>
          <w:lang w:val="de-DE"/>
        </w:rPr>
        <w:t> </w:t>
      </w:r>
      <w:r w:rsidR="005B7A5C" w:rsidRPr="004676F5">
        <w:rPr>
          <w:lang w:val="de-DE"/>
        </w:rPr>
        <w:t>- </w:t>
      </w:r>
      <w:r w:rsidRPr="004676F5">
        <w:rPr>
          <w:lang w:val="de-DE"/>
        </w:rPr>
        <w:t>Preise für Verbraucher werden mindestens in Euro angegeben.</w:t>
      </w:r>
    </w:p>
    <w:p w14:paraId="28432279" w14:textId="77777777" w:rsidR="00626208" w:rsidRPr="004676F5" w:rsidRDefault="00626208" w:rsidP="00626208">
      <w:pPr>
        <w:jc w:val="both"/>
        <w:rPr>
          <w:lang w:val="de-DE"/>
        </w:rPr>
      </w:pPr>
    </w:p>
    <w:p w14:paraId="328E3F52" w14:textId="77777777" w:rsidR="00626208" w:rsidRPr="004676F5" w:rsidRDefault="00626208" w:rsidP="00626208">
      <w:pPr>
        <w:jc w:val="both"/>
        <w:rPr>
          <w:lang w:val="de-DE"/>
        </w:rPr>
      </w:pPr>
      <w:r w:rsidRPr="004676F5">
        <w:rPr>
          <w:lang w:val="de-DE"/>
        </w:rPr>
        <w:tab/>
      </w:r>
    </w:p>
    <w:p w14:paraId="161FEB95" w14:textId="2E89C5C2"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VI.6</w:t>
      </w:r>
      <w:r w:rsidRPr="004676F5">
        <w:rPr>
          <w:lang w:val="de-DE"/>
        </w:rPr>
        <w:t> </w:t>
      </w:r>
      <w:r w:rsidR="005B7A5C" w:rsidRPr="004676F5">
        <w:rPr>
          <w:lang w:val="de-DE"/>
        </w:rPr>
        <w:t>- </w:t>
      </w:r>
      <w:r w:rsidRPr="004676F5">
        <w:rPr>
          <w:lang w:val="de-DE"/>
        </w:rPr>
        <w:t>An Verbraucher gerichtete Werbung, in der ein Preis angeführt wird, führt diesen Preis gemäß den Vorschriften der Artikel VI.4 und VI.5 und der Bestimmungen zur Ausführung von Artikel VI.7 Nr. 1 an.</w:t>
      </w:r>
    </w:p>
    <w:p w14:paraId="619D6ED8" w14:textId="77777777" w:rsidR="00626208" w:rsidRPr="004676F5" w:rsidRDefault="00626208" w:rsidP="00626208">
      <w:pPr>
        <w:jc w:val="both"/>
        <w:rPr>
          <w:lang w:val="de-DE"/>
        </w:rPr>
      </w:pPr>
    </w:p>
    <w:p w14:paraId="6FB24BC1" w14:textId="77777777" w:rsidR="00626208" w:rsidRPr="004676F5" w:rsidRDefault="00626208" w:rsidP="00626208">
      <w:pPr>
        <w:jc w:val="both"/>
        <w:rPr>
          <w:lang w:val="de-DE"/>
        </w:rPr>
      </w:pPr>
    </w:p>
    <w:p w14:paraId="26110B8C" w14:textId="6E5459F5"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VI.7</w:t>
      </w:r>
      <w:r w:rsidRPr="004676F5">
        <w:rPr>
          <w:lang w:val="de-DE"/>
        </w:rPr>
        <w:t> </w:t>
      </w:r>
      <w:r w:rsidR="005B7A5C" w:rsidRPr="004676F5">
        <w:rPr>
          <w:lang w:val="de-DE"/>
        </w:rPr>
        <w:t>- </w:t>
      </w:r>
      <w:r w:rsidRPr="004676F5">
        <w:rPr>
          <w:lang w:val="de-DE"/>
        </w:rPr>
        <w:t>Der König kann für Produkte beziehungsweise Kategorien von Produkten, die Er bestimmt:</w:t>
      </w:r>
    </w:p>
    <w:p w14:paraId="76F4CB01" w14:textId="77777777" w:rsidR="00626208" w:rsidRPr="004676F5" w:rsidRDefault="00626208" w:rsidP="00626208">
      <w:pPr>
        <w:jc w:val="both"/>
        <w:rPr>
          <w:lang w:val="de-DE"/>
        </w:rPr>
      </w:pPr>
    </w:p>
    <w:p w14:paraId="281CDAB4" w14:textId="77777777" w:rsidR="00626208" w:rsidRPr="004676F5" w:rsidRDefault="00626208" w:rsidP="00626208">
      <w:pPr>
        <w:jc w:val="both"/>
        <w:rPr>
          <w:lang w:val="de-DE"/>
        </w:rPr>
      </w:pPr>
      <w:r w:rsidRPr="004676F5">
        <w:rPr>
          <w:lang w:val="de-DE"/>
        </w:rPr>
        <w:tab/>
        <w:t>1. besondere Modalitäten für die Angabe der Preise vorschreiben,</w:t>
      </w:r>
    </w:p>
    <w:p w14:paraId="75FEF03F" w14:textId="77777777" w:rsidR="00626208" w:rsidRPr="004676F5" w:rsidRDefault="00626208" w:rsidP="00626208">
      <w:pPr>
        <w:jc w:val="both"/>
        <w:rPr>
          <w:lang w:val="de-DE"/>
        </w:rPr>
      </w:pPr>
    </w:p>
    <w:p w14:paraId="50539E51" w14:textId="77777777" w:rsidR="00626208" w:rsidRPr="004676F5" w:rsidRDefault="00626208" w:rsidP="00626208">
      <w:pPr>
        <w:jc w:val="both"/>
        <w:rPr>
          <w:lang w:val="de-DE"/>
        </w:rPr>
      </w:pPr>
      <w:r w:rsidRPr="004676F5">
        <w:rPr>
          <w:lang w:val="de-DE"/>
        </w:rPr>
        <w:tab/>
        <w:t>2. bei Ausstellung zum Verkauf von der Verpflichtung befreien, den Preis sichtbar anzugeben,</w:t>
      </w:r>
    </w:p>
    <w:p w14:paraId="32ED65F7" w14:textId="77777777" w:rsidR="00626208" w:rsidRPr="004676F5" w:rsidRDefault="00626208" w:rsidP="00626208">
      <w:pPr>
        <w:jc w:val="both"/>
        <w:rPr>
          <w:lang w:val="de-DE"/>
        </w:rPr>
      </w:pPr>
    </w:p>
    <w:p w14:paraId="586D74B8" w14:textId="77777777" w:rsidR="006F1B24" w:rsidRPr="004676F5" w:rsidRDefault="00626208" w:rsidP="00626208">
      <w:pPr>
        <w:jc w:val="both"/>
        <w:rPr>
          <w:lang w:val="de-DE"/>
        </w:rPr>
      </w:pPr>
      <w:r w:rsidRPr="004676F5">
        <w:rPr>
          <w:lang w:val="de-DE"/>
        </w:rPr>
        <w:tab/>
        <w:t>3. für Dienstleistungen beziehungsweise Kategorien von Dienstleistungen, die keine homogenen Dienstleistungen sind, festlegen, in welchen Fällen und gemäß welchen Modalitäten Verbrauchern ein Kostenvoranschlag auszustellen ist, sofern sie dies beantragen und das Unternehmen bereit ist, die Dienstleistung zu erbringen.</w:t>
      </w:r>
    </w:p>
    <w:p w14:paraId="7A239553" w14:textId="77777777" w:rsidR="006F1B24" w:rsidRPr="004676F5" w:rsidRDefault="006F1B24">
      <w:pPr>
        <w:rPr>
          <w:lang w:val="de-DE"/>
        </w:rPr>
      </w:pPr>
      <w:r w:rsidRPr="004676F5">
        <w:rPr>
          <w:lang w:val="de-DE"/>
        </w:rPr>
        <w:br w:type="page"/>
      </w:r>
    </w:p>
    <w:p w14:paraId="4224933A" w14:textId="27ADBC7D" w:rsidR="00626208" w:rsidRPr="004676F5" w:rsidRDefault="006F1B24" w:rsidP="006F1B24">
      <w:pPr>
        <w:jc w:val="center"/>
        <w:rPr>
          <w:lang w:val="de-DE"/>
        </w:rPr>
      </w:pPr>
      <w:r w:rsidRPr="004676F5">
        <w:rPr>
          <w:lang w:val="de-DE"/>
        </w:rPr>
        <w:lastRenderedPageBreak/>
        <w:t>[KAPITEL 2/1 </w:t>
      </w:r>
      <w:r w:rsidR="005B7A5C" w:rsidRPr="004676F5">
        <w:rPr>
          <w:lang w:val="de-DE"/>
        </w:rPr>
        <w:t>- </w:t>
      </w:r>
      <w:r w:rsidR="000D4028" w:rsidRPr="004676F5">
        <w:rPr>
          <w:lang w:val="de-DE"/>
        </w:rPr>
        <w:t>[</w:t>
      </w:r>
      <w:r w:rsidR="000D4028" w:rsidRPr="004676F5">
        <w:rPr>
          <w:i/>
          <w:iCs/>
          <w:lang w:val="de-DE"/>
        </w:rPr>
        <w:t>Von Verbrauchern durchgeführte Zahlungen</w:t>
      </w:r>
      <w:r w:rsidR="000D4028" w:rsidRPr="004676F5">
        <w:rPr>
          <w:iCs/>
          <w:lang w:val="de-DE"/>
        </w:rPr>
        <w:t>]</w:t>
      </w:r>
      <w:r w:rsidRPr="004676F5">
        <w:rPr>
          <w:lang w:val="de-DE"/>
        </w:rPr>
        <w:t>]</w:t>
      </w:r>
    </w:p>
    <w:p w14:paraId="1030FE80" w14:textId="77777777" w:rsidR="006F1B24" w:rsidRPr="004676F5" w:rsidRDefault="006F1B24" w:rsidP="006F1B24">
      <w:pPr>
        <w:jc w:val="center"/>
        <w:rPr>
          <w:lang w:val="de-DE"/>
        </w:rPr>
      </w:pPr>
    </w:p>
    <w:p w14:paraId="42A03397" w14:textId="349141E6" w:rsidR="006F1B24" w:rsidRPr="004676F5" w:rsidRDefault="006F1B24" w:rsidP="006F1B24">
      <w:pPr>
        <w:jc w:val="both"/>
        <w:rPr>
          <w:i/>
          <w:lang w:val="de-DE"/>
        </w:rPr>
      </w:pPr>
      <w:r w:rsidRPr="004676F5">
        <w:rPr>
          <w:i/>
          <w:lang w:val="de-DE"/>
        </w:rPr>
        <w:t xml:space="preserve">[Unterteilung Kapitel 2/1 eingefügt durch </w:t>
      </w:r>
      <w:r w:rsidR="00BE0A56" w:rsidRPr="004676F5">
        <w:rPr>
          <w:i/>
          <w:lang w:val="de-DE"/>
        </w:rPr>
        <w:t>Art.</w:t>
      </w:r>
      <w:r w:rsidR="002A7B89" w:rsidRPr="004676F5">
        <w:rPr>
          <w:i/>
          <w:lang w:val="de-DE"/>
        </w:rPr>
        <w:t> </w:t>
      </w:r>
      <w:r w:rsidRPr="004676F5">
        <w:rPr>
          <w:i/>
          <w:lang w:val="de-DE"/>
        </w:rPr>
        <w:t>42</w:t>
      </w:r>
      <w:r w:rsidRPr="004676F5">
        <w:rPr>
          <w:i/>
          <w:iCs/>
          <w:lang w:val="de-DE"/>
        </w:rPr>
        <w:t xml:space="preserve"> des G. vom 15.</w:t>
      </w:r>
      <w:r w:rsidR="002519FC" w:rsidRPr="004676F5">
        <w:rPr>
          <w:i/>
          <w:iCs/>
          <w:lang w:val="de-DE"/>
        </w:rPr>
        <w:t> </w:t>
      </w:r>
      <w:r w:rsidRPr="004676F5">
        <w:rPr>
          <w:i/>
          <w:iCs/>
          <w:lang w:val="de-DE"/>
        </w:rPr>
        <w:t>Mai</w:t>
      </w:r>
      <w:r w:rsidR="002519FC" w:rsidRPr="004676F5">
        <w:rPr>
          <w:i/>
          <w:iCs/>
          <w:lang w:val="de-DE"/>
        </w:rPr>
        <w:t> </w:t>
      </w:r>
      <w:r w:rsidRPr="004676F5">
        <w:rPr>
          <w:i/>
          <w:iCs/>
          <w:lang w:val="de-DE"/>
        </w:rPr>
        <w:t>2014</w:t>
      </w:r>
      <w:r w:rsidR="002A7B89" w:rsidRPr="004676F5">
        <w:rPr>
          <w:i/>
          <w:iCs/>
          <w:lang w:val="de-DE"/>
        </w:rPr>
        <w:t> </w:t>
      </w:r>
      <w:r w:rsidR="0094304C" w:rsidRPr="004676F5">
        <w:rPr>
          <w:i/>
          <w:iCs/>
          <w:lang w:val="de-DE"/>
        </w:rPr>
        <w:t>(I)</w:t>
      </w:r>
      <w:r w:rsidRPr="004676F5">
        <w:rPr>
          <w:i/>
          <w:iCs/>
          <w:lang w:val="de-DE"/>
        </w:rPr>
        <w:t xml:space="preserve"> (B.S. vom 22. Mai 2014)</w:t>
      </w:r>
      <w:r w:rsidR="000D4028" w:rsidRPr="004676F5">
        <w:rPr>
          <w:i/>
          <w:iCs/>
          <w:lang w:val="de-DE"/>
        </w:rPr>
        <w:t>;</w:t>
      </w:r>
      <w:r w:rsidR="002A7B89" w:rsidRPr="004676F5">
        <w:rPr>
          <w:i/>
          <w:iCs/>
          <w:lang w:val="de-DE"/>
        </w:rPr>
        <w:t xml:space="preserve"> </w:t>
      </w:r>
      <w:r w:rsidR="000D4028" w:rsidRPr="004676F5">
        <w:rPr>
          <w:i/>
          <w:iCs/>
          <w:lang w:val="de-DE"/>
        </w:rPr>
        <w:t>Überschrift ersetzt durch Art.</w:t>
      </w:r>
      <w:r w:rsidR="002A7B89" w:rsidRPr="004676F5">
        <w:rPr>
          <w:i/>
          <w:iCs/>
          <w:lang w:val="de-DE"/>
        </w:rPr>
        <w:t> </w:t>
      </w:r>
      <w:r w:rsidR="000D4028" w:rsidRPr="004676F5">
        <w:rPr>
          <w:i/>
          <w:iCs/>
          <w:lang w:val="de-DE"/>
        </w:rPr>
        <w:t>17 des G. vom 17.</w:t>
      </w:r>
      <w:r w:rsidR="002A7B89" w:rsidRPr="004676F5">
        <w:rPr>
          <w:i/>
          <w:iCs/>
          <w:lang w:val="de-DE"/>
        </w:rPr>
        <w:t> </w:t>
      </w:r>
      <w:r w:rsidR="000D4028" w:rsidRPr="004676F5">
        <w:rPr>
          <w:i/>
          <w:iCs/>
          <w:lang w:val="de-DE"/>
        </w:rPr>
        <w:t>März</w:t>
      </w:r>
      <w:r w:rsidR="002A7B89" w:rsidRPr="004676F5">
        <w:rPr>
          <w:i/>
          <w:iCs/>
          <w:lang w:val="de-DE"/>
        </w:rPr>
        <w:t> </w:t>
      </w:r>
      <w:r w:rsidR="000D4028" w:rsidRPr="004676F5">
        <w:rPr>
          <w:i/>
          <w:iCs/>
          <w:lang w:val="de-DE"/>
        </w:rPr>
        <w:t>2022 (B.S. vom 25. März 2022)</w:t>
      </w:r>
      <w:r w:rsidRPr="004676F5">
        <w:rPr>
          <w:i/>
          <w:lang w:val="de-DE"/>
        </w:rPr>
        <w:t>]</w:t>
      </w:r>
    </w:p>
    <w:p w14:paraId="16E7FF73" w14:textId="77777777" w:rsidR="00626208" w:rsidRPr="004676F5" w:rsidRDefault="00626208" w:rsidP="00626208">
      <w:pPr>
        <w:jc w:val="both"/>
        <w:rPr>
          <w:lang w:val="de-DE"/>
        </w:rPr>
      </w:pPr>
    </w:p>
    <w:p w14:paraId="7499BBAC" w14:textId="77777777" w:rsidR="00F74229" w:rsidRPr="004676F5" w:rsidRDefault="00F74229" w:rsidP="00F74229">
      <w:pPr>
        <w:ind w:firstLine="720"/>
        <w:jc w:val="both"/>
        <w:rPr>
          <w:lang w:val="de-DE"/>
        </w:rPr>
      </w:pPr>
    </w:p>
    <w:p w14:paraId="3551F323" w14:textId="52F0DC4B" w:rsidR="00F74229" w:rsidRPr="004676F5" w:rsidRDefault="006F1B24" w:rsidP="00F74229">
      <w:pPr>
        <w:ind w:firstLine="720"/>
        <w:jc w:val="both"/>
        <w:rPr>
          <w:lang w:val="de-DE"/>
        </w:rPr>
      </w:pPr>
      <w:r w:rsidRPr="004676F5">
        <w:rPr>
          <w:lang w:val="de-DE"/>
        </w:rPr>
        <w:t>[</w:t>
      </w:r>
      <w:r w:rsidR="00BE0A56" w:rsidRPr="004676F5">
        <w:rPr>
          <w:b/>
          <w:lang w:val="de-DE"/>
        </w:rPr>
        <w:t>Art. </w:t>
      </w:r>
      <w:r w:rsidRPr="004676F5">
        <w:rPr>
          <w:b/>
          <w:lang w:val="de-DE"/>
        </w:rPr>
        <w:t>VI.7/1</w:t>
      </w:r>
      <w:r w:rsidRPr="004676F5">
        <w:rPr>
          <w:lang w:val="de-DE"/>
        </w:rPr>
        <w:t> </w:t>
      </w:r>
      <w:r w:rsidR="005B7A5C" w:rsidRPr="004676F5">
        <w:rPr>
          <w:lang w:val="de-DE"/>
        </w:rPr>
        <w:t>- </w:t>
      </w:r>
      <w:r w:rsidR="00F74229" w:rsidRPr="004676F5">
        <w:rPr>
          <w:lang w:val="de-DE"/>
        </w:rPr>
        <w:t>[§ 1 ­ Jedes Unternehmen rundet den vom Verbraucher in bar gezahlten Gesamtbetrag auf das nächste Vielfache von fünf Cent.</w:t>
      </w:r>
    </w:p>
    <w:p w14:paraId="23E9567D" w14:textId="77777777" w:rsidR="00F74229" w:rsidRPr="004676F5" w:rsidRDefault="00F74229" w:rsidP="00F74229">
      <w:pPr>
        <w:ind w:firstLine="720"/>
        <w:jc w:val="both"/>
        <w:rPr>
          <w:lang w:val="de-DE"/>
        </w:rPr>
      </w:pPr>
    </w:p>
    <w:p w14:paraId="49A7CBE8" w14:textId="1F0D6EC6" w:rsidR="00F74229" w:rsidRPr="004676F5" w:rsidRDefault="00F74229" w:rsidP="00F74229">
      <w:pPr>
        <w:ind w:firstLine="720"/>
        <w:jc w:val="both"/>
        <w:rPr>
          <w:lang w:val="de-DE"/>
        </w:rPr>
      </w:pPr>
      <w:r w:rsidRPr="004676F5">
        <w:rPr>
          <w:lang w:val="de-DE"/>
        </w:rPr>
        <w:t>§ 2 </w:t>
      </w:r>
      <w:r w:rsidR="005B7A5C" w:rsidRPr="004676F5">
        <w:rPr>
          <w:lang w:val="de-DE"/>
        </w:rPr>
        <w:t>- </w:t>
      </w:r>
      <w:r w:rsidRPr="004676F5">
        <w:rPr>
          <w:lang w:val="de-DE"/>
        </w:rPr>
        <w:t>Unternehmen dürfen den Gesamtbetrag ebenfalls runden, wenn die Zahlung bargeldlos erfolgt.</w:t>
      </w:r>
    </w:p>
    <w:p w14:paraId="45465C99" w14:textId="77777777" w:rsidR="00F74229" w:rsidRPr="004676F5" w:rsidRDefault="00F74229" w:rsidP="00F74229">
      <w:pPr>
        <w:ind w:firstLine="720"/>
        <w:jc w:val="both"/>
        <w:rPr>
          <w:lang w:val="de-DE"/>
        </w:rPr>
      </w:pPr>
    </w:p>
    <w:p w14:paraId="375B20D7" w14:textId="77777777" w:rsidR="00F74229" w:rsidRPr="004676F5" w:rsidRDefault="00F74229" w:rsidP="00F74229">
      <w:pPr>
        <w:ind w:firstLine="720"/>
        <w:jc w:val="both"/>
        <w:rPr>
          <w:lang w:val="de-DE"/>
        </w:rPr>
      </w:pPr>
      <w:r w:rsidRPr="004676F5">
        <w:rPr>
          <w:lang w:val="de-DE"/>
        </w:rPr>
        <w:t>Wenn die freiwillige Rundung sich weit verbreitet hat, kann der König durch einen im Ministerrat beratenen Erlass die Rundung von bargeldlosen Zahlungen zwingend vorschreiben.</w:t>
      </w:r>
    </w:p>
    <w:p w14:paraId="3E07A7FB" w14:textId="77777777" w:rsidR="00F74229" w:rsidRPr="004676F5" w:rsidRDefault="00F74229" w:rsidP="00F74229">
      <w:pPr>
        <w:jc w:val="both"/>
        <w:rPr>
          <w:lang w:val="de-DE"/>
        </w:rPr>
      </w:pPr>
    </w:p>
    <w:p w14:paraId="46C413C9" w14:textId="77777777" w:rsidR="00F74229" w:rsidRPr="004676F5" w:rsidRDefault="00F74229" w:rsidP="00F74229">
      <w:pPr>
        <w:ind w:firstLine="720"/>
        <w:jc w:val="both"/>
        <w:rPr>
          <w:lang w:val="de-DE"/>
        </w:rPr>
      </w:pPr>
      <w:r w:rsidRPr="004676F5">
        <w:rPr>
          <w:lang w:val="de-DE"/>
        </w:rPr>
        <w:t>§ 3 ­ Die Bestimmungen der Paragraphen 1 und 2 gelten nur, sofern:</w:t>
      </w:r>
    </w:p>
    <w:p w14:paraId="6B37EA6C" w14:textId="77777777" w:rsidR="00F74229" w:rsidRPr="004676F5" w:rsidRDefault="00F74229" w:rsidP="00F74229">
      <w:pPr>
        <w:ind w:firstLine="720"/>
        <w:jc w:val="both"/>
        <w:rPr>
          <w:lang w:val="de-DE"/>
        </w:rPr>
      </w:pPr>
    </w:p>
    <w:p w14:paraId="5B291A5C" w14:textId="77777777" w:rsidR="00F74229" w:rsidRPr="004676F5" w:rsidRDefault="00F74229" w:rsidP="00F74229">
      <w:pPr>
        <w:ind w:firstLine="720"/>
        <w:jc w:val="both"/>
        <w:rPr>
          <w:lang w:val="de-DE"/>
        </w:rPr>
      </w:pPr>
      <w:r w:rsidRPr="004676F5">
        <w:rPr>
          <w:lang w:val="de-DE"/>
        </w:rPr>
        <w:t>1. die Zahlung bei gleichzeitiger körperlicher Anwesenheit des Verbrauchers und des Unternehmens erfolgt,</w:t>
      </w:r>
    </w:p>
    <w:p w14:paraId="52E50F44" w14:textId="77777777" w:rsidR="00F74229" w:rsidRPr="004676F5" w:rsidRDefault="00F74229" w:rsidP="00F74229">
      <w:pPr>
        <w:ind w:firstLine="720"/>
        <w:jc w:val="both"/>
        <w:rPr>
          <w:lang w:val="de-DE"/>
        </w:rPr>
      </w:pPr>
    </w:p>
    <w:p w14:paraId="3887875C" w14:textId="77777777" w:rsidR="00F74229" w:rsidRPr="004676F5" w:rsidRDefault="00F74229" w:rsidP="00F74229">
      <w:pPr>
        <w:ind w:firstLine="720"/>
        <w:jc w:val="both"/>
        <w:rPr>
          <w:lang w:val="de-DE"/>
        </w:rPr>
      </w:pPr>
      <w:r w:rsidRPr="004676F5">
        <w:rPr>
          <w:lang w:val="de-DE"/>
        </w:rPr>
        <w:t>2. der Gesamtbetrag fünf Cent überschreitet,</w:t>
      </w:r>
    </w:p>
    <w:p w14:paraId="42609E3A" w14:textId="77777777" w:rsidR="00F74229" w:rsidRPr="004676F5" w:rsidRDefault="00F74229" w:rsidP="00F74229">
      <w:pPr>
        <w:ind w:firstLine="720"/>
        <w:jc w:val="both"/>
        <w:rPr>
          <w:lang w:val="de-DE"/>
        </w:rPr>
      </w:pPr>
    </w:p>
    <w:p w14:paraId="6EA2C62C" w14:textId="0FA2EDB1" w:rsidR="006F1B24" w:rsidRPr="004676F5" w:rsidRDefault="00F74229" w:rsidP="00F74229">
      <w:pPr>
        <w:ind w:firstLine="708"/>
        <w:jc w:val="both"/>
        <w:rPr>
          <w:lang w:val="de-DE"/>
        </w:rPr>
      </w:pPr>
      <w:r w:rsidRPr="004676F5">
        <w:rPr>
          <w:lang w:val="de-DE"/>
        </w:rPr>
        <w:t>3. die Bedingungen von Artikel VI.7/2 eingehalten werden.]</w:t>
      </w:r>
      <w:r w:rsidR="006F1B24" w:rsidRPr="004676F5">
        <w:rPr>
          <w:lang w:val="de-DE"/>
        </w:rPr>
        <w:t>]</w:t>
      </w:r>
    </w:p>
    <w:p w14:paraId="75996823" w14:textId="77777777" w:rsidR="006F1B24" w:rsidRPr="004676F5" w:rsidRDefault="006F1B24" w:rsidP="006F1B24">
      <w:pPr>
        <w:rPr>
          <w:lang w:val="de-DE"/>
        </w:rPr>
      </w:pPr>
    </w:p>
    <w:p w14:paraId="193D051F" w14:textId="502B2F11" w:rsidR="006F1B24" w:rsidRPr="004676F5" w:rsidRDefault="006F1B24" w:rsidP="002F716B">
      <w:pPr>
        <w:jc w:val="both"/>
        <w:rPr>
          <w:i/>
          <w:lang w:val="de-DE"/>
        </w:rPr>
      </w:pPr>
      <w:r w:rsidRPr="004676F5">
        <w:rPr>
          <w:i/>
          <w:lang w:val="de-DE"/>
        </w:rPr>
        <w:t>[</w:t>
      </w:r>
      <w:r w:rsidR="00BE0A56" w:rsidRPr="004676F5">
        <w:rPr>
          <w:i/>
          <w:lang w:val="de-DE"/>
        </w:rPr>
        <w:t>Art. </w:t>
      </w:r>
      <w:r w:rsidRPr="004676F5">
        <w:rPr>
          <w:i/>
          <w:lang w:val="de-DE"/>
        </w:rPr>
        <w:t>VI.7/1</w:t>
      </w:r>
      <w:r w:rsidR="002F716B" w:rsidRPr="004676F5">
        <w:rPr>
          <w:i/>
          <w:lang w:val="de-DE"/>
        </w:rPr>
        <w:t xml:space="preserve"> eingefügt durch </w:t>
      </w:r>
      <w:r w:rsidR="00BE0A56" w:rsidRPr="004676F5">
        <w:rPr>
          <w:i/>
          <w:lang w:val="de-DE"/>
        </w:rPr>
        <w:t>Art. </w:t>
      </w:r>
      <w:r w:rsidR="002F716B" w:rsidRPr="004676F5">
        <w:rPr>
          <w:i/>
          <w:lang w:val="de-DE"/>
        </w:rPr>
        <w:t>43</w:t>
      </w:r>
      <w:r w:rsidR="002F716B" w:rsidRPr="004676F5">
        <w:rPr>
          <w:i/>
          <w:iCs/>
          <w:lang w:val="de-DE"/>
        </w:rPr>
        <w:t xml:space="preserve"> des G. vom 15.</w:t>
      </w:r>
      <w:r w:rsidR="002519FC" w:rsidRPr="004676F5">
        <w:rPr>
          <w:i/>
          <w:iCs/>
          <w:lang w:val="de-DE"/>
        </w:rPr>
        <w:t> </w:t>
      </w:r>
      <w:r w:rsidR="002F716B" w:rsidRPr="004676F5">
        <w:rPr>
          <w:i/>
          <w:iCs/>
          <w:lang w:val="de-DE"/>
        </w:rPr>
        <w:t>Mai 2014</w:t>
      </w:r>
      <w:r w:rsidR="0094304C" w:rsidRPr="004676F5">
        <w:rPr>
          <w:i/>
          <w:iCs/>
          <w:lang w:val="de-DE"/>
        </w:rPr>
        <w:t> (I)</w:t>
      </w:r>
      <w:r w:rsidR="002F716B" w:rsidRPr="004676F5">
        <w:rPr>
          <w:i/>
          <w:iCs/>
          <w:lang w:val="de-DE"/>
        </w:rPr>
        <w:t xml:space="preserve"> (B.S. vom 22.</w:t>
      </w:r>
      <w:r w:rsidR="002519FC" w:rsidRPr="004676F5">
        <w:rPr>
          <w:i/>
          <w:iCs/>
          <w:lang w:val="de-DE"/>
        </w:rPr>
        <w:t> </w:t>
      </w:r>
      <w:r w:rsidR="002F716B" w:rsidRPr="004676F5">
        <w:rPr>
          <w:i/>
          <w:iCs/>
          <w:lang w:val="de-DE"/>
        </w:rPr>
        <w:t>Mai</w:t>
      </w:r>
      <w:r w:rsidR="002519FC" w:rsidRPr="004676F5">
        <w:rPr>
          <w:i/>
          <w:iCs/>
          <w:lang w:val="de-DE"/>
        </w:rPr>
        <w:t> </w:t>
      </w:r>
      <w:r w:rsidR="002F716B" w:rsidRPr="004676F5">
        <w:rPr>
          <w:i/>
          <w:iCs/>
          <w:lang w:val="de-DE"/>
        </w:rPr>
        <w:t>2014)</w:t>
      </w:r>
      <w:r w:rsidR="00F74229" w:rsidRPr="004676F5">
        <w:rPr>
          <w:i/>
          <w:iCs/>
          <w:lang w:val="de-DE"/>
        </w:rPr>
        <w:t xml:space="preserve"> und ersetzt durch Art. 4</w:t>
      </w:r>
      <w:r w:rsidR="00F74229" w:rsidRPr="004676F5">
        <w:rPr>
          <w:i/>
          <w:lang w:val="de-DE"/>
        </w:rPr>
        <w:t xml:space="preserve"> des G. vom 2. Mai 2019 (IV) (B.S. vom 22. Mai 2019)</w:t>
      </w:r>
      <w:r w:rsidRPr="004676F5">
        <w:rPr>
          <w:i/>
          <w:lang w:val="de-DE"/>
        </w:rPr>
        <w:t>]</w:t>
      </w:r>
    </w:p>
    <w:p w14:paraId="54FA3A39" w14:textId="77777777" w:rsidR="006F1B24" w:rsidRPr="004676F5" w:rsidRDefault="006F1B24" w:rsidP="006F1B24">
      <w:pPr>
        <w:rPr>
          <w:lang w:val="de-DE"/>
        </w:rPr>
      </w:pPr>
    </w:p>
    <w:p w14:paraId="1E986CE2" w14:textId="77777777" w:rsidR="006F1B24" w:rsidRPr="004676F5" w:rsidRDefault="006F1B24" w:rsidP="006F1B24">
      <w:pPr>
        <w:jc w:val="both"/>
        <w:rPr>
          <w:lang w:val="de-DE"/>
        </w:rPr>
      </w:pPr>
    </w:p>
    <w:p w14:paraId="5895DB37" w14:textId="632DDC29" w:rsidR="006F1B24" w:rsidRPr="004676F5" w:rsidRDefault="006F1B24" w:rsidP="006F1B24">
      <w:pPr>
        <w:jc w:val="both"/>
        <w:rPr>
          <w:lang w:val="de-DE"/>
        </w:rPr>
      </w:pPr>
      <w:r w:rsidRPr="004676F5">
        <w:rPr>
          <w:lang w:val="de-DE"/>
        </w:rPr>
        <w:tab/>
        <w:t>[</w:t>
      </w:r>
      <w:r w:rsidR="00BE0A56" w:rsidRPr="004676F5">
        <w:rPr>
          <w:b/>
          <w:lang w:val="de-DE"/>
        </w:rPr>
        <w:t>Art. </w:t>
      </w:r>
      <w:r w:rsidRPr="004676F5">
        <w:rPr>
          <w:b/>
          <w:lang w:val="de-DE"/>
        </w:rPr>
        <w:t>VI.7/2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Endet der zu zahlende Gesamtbetrag auf 1, 2, 6 oder 7 Cent, wird er auf das nächstniedrigere Vielfache von 5 Cent gerundet.</w:t>
      </w:r>
    </w:p>
    <w:p w14:paraId="0807A0E7" w14:textId="77777777" w:rsidR="006F1B24" w:rsidRPr="004676F5" w:rsidRDefault="006F1B24" w:rsidP="006F1B24">
      <w:pPr>
        <w:jc w:val="both"/>
        <w:rPr>
          <w:lang w:val="de-DE"/>
        </w:rPr>
      </w:pPr>
    </w:p>
    <w:p w14:paraId="27B4822E" w14:textId="77777777" w:rsidR="006F1B24" w:rsidRPr="004676F5" w:rsidRDefault="006F1B24" w:rsidP="006F1B24">
      <w:pPr>
        <w:jc w:val="both"/>
        <w:rPr>
          <w:lang w:val="de-DE"/>
        </w:rPr>
      </w:pPr>
      <w:r w:rsidRPr="004676F5">
        <w:rPr>
          <w:lang w:val="de-DE"/>
        </w:rPr>
        <w:tab/>
        <w:t>Endet der zu zahlende Gesamtbetrag auf 3, 4, 8 oder 9 Cent, wird er auf das nächsthöhere Vielfache von 5 Cent gerundet.</w:t>
      </w:r>
    </w:p>
    <w:p w14:paraId="52F2E465" w14:textId="77777777" w:rsidR="006F1B24" w:rsidRPr="004676F5" w:rsidRDefault="006F1B24" w:rsidP="006F1B24">
      <w:pPr>
        <w:jc w:val="both"/>
        <w:rPr>
          <w:lang w:val="de-DE"/>
        </w:rPr>
      </w:pPr>
    </w:p>
    <w:p w14:paraId="4B30CDAF" w14:textId="237B6597" w:rsidR="006F1B24" w:rsidRPr="004676F5" w:rsidRDefault="006F1B24" w:rsidP="006F1B24">
      <w:pPr>
        <w:jc w:val="both"/>
        <w:rPr>
          <w:lang w:val="de-DE"/>
        </w:rPr>
      </w:pPr>
      <w:r w:rsidRPr="004676F5">
        <w:rPr>
          <w:lang w:val="de-DE"/>
        </w:rPr>
        <w:tab/>
        <w:t>§ 2 </w:t>
      </w:r>
      <w:r w:rsidR="005B7A5C" w:rsidRPr="004676F5">
        <w:rPr>
          <w:lang w:val="de-DE"/>
        </w:rPr>
        <w:t>- </w:t>
      </w:r>
      <w:r w:rsidRPr="004676F5">
        <w:rPr>
          <w:lang w:val="de-DE"/>
        </w:rPr>
        <w:t>In jedem Dokument, in dem der zu zahlende Gesamtbetrag vermerkt ist, gibt das Unternehmen die angewandte Rundung ausdrücklich an.</w:t>
      </w:r>
    </w:p>
    <w:p w14:paraId="2A4F87FE" w14:textId="77777777" w:rsidR="006F1B24" w:rsidRPr="004676F5" w:rsidRDefault="006F1B24" w:rsidP="006F1B24">
      <w:pPr>
        <w:jc w:val="both"/>
        <w:rPr>
          <w:lang w:val="de-DE"/>
        </w:rPr>
      </w:pPr>
    </w:p>
    <w:p w14:paraId="7F6D8685" w14:textId="064D5A62" w:rsidR="00F74229" w:rsidRPr="004676F5" w:rsidRDefault="006F1B24" w:rsidP="00F74229">
      <w:pPr>
        <w:ind w:firstLine="720"/>
        <w:jc w:val="both"/>
        <w:rPr>
          <w:lang w:val="de-DE"/>
        </w:rPr>
      </w:pPr>
      <w:r w:rsidRPr="004676F5">
        <w:rPr>
          <w:lang w:val="de-DE"/>
        </w:rPr>
        <w:t>§ 3 </w:t>
      </w:r>
      <w:r w:rsidR="005B7A5C" w:rsidRPr="004676F5">
        <w:rPr>
          <w:lang w:val="de-DE"/>
        </w:rPr>
        <w:t>- </w:t>
      </w:r>
      <w:r w:rsidR="00F74229" w:rsidRPr="004676F5">
        <w:rPr>
          <w:lang w:val="de-DE"/>
        </w:rPr>
        <w:t>[Wenn das Unternehmen in Anwendung von Artikel VI.7/1 bei bargeldlosen Zahlungen die Rundung anwendet, geht es auch bei allen anderen Zahlungsarten gleichermaßen vor.</w:t>
      </w:r>
    </w:p>
    <w:p w14:paraId="27CE9F71" w14:textId="77777777" w:rsidR="00F74229" w:rsidRPr="004676F5" w:rsidRDefault="00F74229" w:rsidP="00F74229">
      <w:pPr>
        <w:ind w:firstLine="720"/>
        <w:jc w:val="both"/>
        <w:rPr>
          <w:lang w:val="de-DE"/>
        </w:rPr>
      </w:pPr>
    </w:p>
    <w:p w14:paraId="40354DB5" w14:textId="3CC78718" w:rsidR="006F1B24" w:rsidRPr="004676F5" w:rsidRDefault="00F74229" w:rsidP="00F74229">
      <w:pPr>
        <w:ind w:firstLine="708"/>
        <w:jc w:val="both"/>
        <w:rPr>
          <w:lang w:val="de-DE"/>
        </w:rPr>
      </w:pPr>
      <w:r w:rsidRPr="004676F5">
        <w:rPr>
          <w:lang w:val="de-DE"/>
        </w:rPr>
        <w:t>Außerdem informiert es den Verbraucher mit folgendem Vermerk darüber: "Der Gesamtbetrag wird immer gerundet". Dieser Vermerk wird in der unmittelbaren Umgebung des Ortes, an dem der Verbraucher zahlt, deutlich angegeben.]</w:t>
      </w:r>
    </w:p>
    <w:p w14:paraId="57F2F477" w14:textId="77777777" w:rsidR="006F1B24" w:rsidRPr="004676F5" w:rsidRDefault="006F1B24" w:rsidP="006F1B24">
      <w:pPr>
        <w:jc w:val="both"/>
        <w:rPr>
          <w:lang w:val="de-DE"/>
        </w:rPr>
      </w:pPr>
    </w:p>
    <w:p w14:paraId="429F4B10" w14:textId="77777777" w:rsidR="002E11BF" w:rsidRPr="004676F5" w:rsidRDefault="002E11BF">
      <w:pPr>
        <w:rPr>
          <w:lang w:val="de-DE"/>
        </w:rPr>
      </w:pPr>
      <w:r w:rsidRPr="004676F5">
        <w:rPr>
          <w:lang w:val="de-DE"/>
        </w:rPr>
        <w:br w:type="page"/>
      </w:r>
    </w:p>
    <w:p w14:paraId="1E995FA9" w14:textId="371C465F" w:rsidR="00626208" w:rsidRPr="004676F5" w:rsidRDefault="006F1B24" w:rsidP="003042D1">
      <w:pPr>
        <w:jc w:val="both"/>
        <w:rPr>
          <w:lang w:val="de-DE"/>
        </w:rPr>
      </w:pPr>
      <w:r w:rsidRPr="004676F5">
        <w:rPr>
          <w:lang w:val="de-DE"/>
        </w:rPr>
        <w:lastRenderedPageBreak/>
        <w:tab/>
        <w:t>§ 4 </w:t>
      </w:r>
      <w:r w:rsidR="005B7A5C" w:rsidRPr="004676F5">
        <w:rPr>
          <w:lang w:val="de-DE"/>
        </w:rPr>
        <w:t>- </w:t>
      </w:r>
      <w:r w:rsidRPr="004676F5">
        <w:rPr>
          <w:lang w:val="de-DE"/>
        </w:rPr>
        <w:t xml:space="preserve">Das Unternehmen wendet ebenfalls die Rundung auf Gesamtbeträge an, die es dem Verbraucher </w:t>
      </w:r>
      <w:r w:rsidR="00F74229" w:rsidRPr="004676F5">
        <w:rPr>
          <w:lang w:val="de-DE"/>
        </w:rPr>
        <w:t xml:space="preserve">[in bar] </w:t>
      </w:r>
      <w:r w:rsidR="00642C49" w:rsidRPr="004676F5">
        <w:rPr>
          <w:lang w:val="de-DE"/>
        </w:rPr>
        <w:t>[...]</w:t>
      </w:r>
      <w:r w:rsidRPr="004676F5">
        <w:rPr>
          <w:lang w:val="de-DE"/>
        </w:rPr>
        <w:t xml:space="preserve"> erstattet.]</w:t>
      </w:r>
      <w:r w:rsidR="002E11BF" w:rsidRPr="004676F5">
        <w:rPr>
          <w:lang w:val="de-DE"/>
        </w:rPr>
        <w:t xml:space="preserve"> </w:t>
      </w:r>
      <w:bookmarkStart w:id="2" w:name="_Hlk158876675"/>
      <w:r w:rsidR="002E11BF" w:rsidRPr="004676F5">
        <w:rPr>
          <w:lang w:val="de-DE"/>
        </w:rPr>
        <w:t>[Wenn das Unternehmen in Anwendung von Artikel VI.7/1 § 2 auch bei bargeldlosen Zahlungen den Gesamtbetrag rundet, so wendet es die Rundung auf alle Gesamtbeträge an, die es dem Verbraucher erstattet.]</w:t>
      </w:r>
      <w:bookmarkEnd w:id="2"/>
    </w:p>
    <w:p w14:paraId="7CF7957B" w14:textId="77777777" w:rsidR="006F1B24" w:rsidRPr="004676F5" w:rsidRDefault="006F1B24" w:rsidP="006F1B24">
      <w:pPr>
        <w:rPr>
          <w:lang w:val="de-DE"/>
        </w:rPr>
      </w:pPr>
    </w:p>
    <w:p w14:paraId="412E8DA3" w14:textId="313D026B" w:rsidR="002F716B" w:rsidRPr="004676F5" w:rsidRDefault="002F716B" w:rsidP="002F716B">
      <w:pPr>
        <w:jc w:val="both"/>
        <w:rPr>
          <w:i/>
          <w:lang w:val="de-DE"/>
        </w:rPr>
      </w:pPr>
      <w:r w:rsidRPr="004676F5">
        <w:rPr>
          <w:i/>
          <w:lang w:val="de-DE"/>
        </w:rPr>
        <w:t>[</w:t>
      </w:r>
      <w:r w:rsidR="00BE0A56" w:rsidRPr="004676F5">
        <w:rPr>
          <w:i/>
          <w:lang w:val="de-DE"/>
        </w:rPr>
        <w:t>Art. </w:t>
      </w:r>
      <w:r w:rsidRPr="004676F5">
        <w:rPr>
          <w:i/>
          <w:lang w:val="de-DE"/>
        </w:rPr>
        <w:t xml:space="preserve">VI.7/2 eingefügt durch </w:t>
      </w:r>
      <w:r w:rsidR="00BE0A56" w:rsidRPr="004676F5">
        <w:rPr>
          <w:i/>
          <w:lang w:val="de-DE"/>
        </w:rPr>
        <w:t>Art. </w:t>
      </w:r>
      <w:r w:rsidRPr="004676F5">
        <w:rPr>
          <w:i/>
          <w:lang w:val="de-DE"/>
        </w:rPr>
        <w:t>44</w:t>
      </w:r>
      <w:r w:rsidRPr="004676F5">
        <w:rPr>
          <w:i/>
          <w:iCs/>
          <w:lang w:val="de-DE"/>
        </w:rPr>
        <w:t xml:space="preserve"> des G. vom 15.</w:t>
      </w:r>
      <w:r w:rsidR="003042D1" w:rsidRPr="004676F5">
        <w:rPr>
          <w:i/>
          <w:iCs/>
          <w:lang w:val="de-DE"/>
        </w:rPr>
        <w:t> </w:t>
      </w:r>
      <w:r w:rsidRPr="004676F5">
        <w:rPr>
          <w:i/>
          <w:iCs/>
          <w:lang w:val="de-DE"/>
        </w:rPr>
        <w:t>Mai 2014</w:t>
      </w:r>
      <w:r w:rsidR="0094304C" w:rsidRPr="004676F5">
        <w:rPr>
          <w:i/>
          <w:iCs/>
          <w:lang w:val="de-DE"/>
        </w:rPr>
        <w:t> (I)</w:t>
      </w:r>
      <w:r w:rsidRPr="004676F5">
        <w:rPr>
          <w:i/>
          <w:iCs/>
          <w:lang w:val="de-DE"/>
        </w:rPr>
        <w:t xml:space="preserve"> (B.S. vom 22.</w:t>
      </w:r>
      <w:r w:rsidR="003042D1" w:rsidRPr="004676F5">
        <w:rPr>
          <w:i/>
          <w:iCs/>
          <w:lang w:val="de-DE"/>
        </w:rPr>
        <w:t> </w:t>
      </w:r>
      <w:r w:rsidRPr="004676F5">
        <w:rPr>
          <w:i/>
          <w:iCs/>
          <w:lang w:val="de-DE"/>
        </w:rPr>
        <w:t>Mai 2014)</w:t>
      </w:r>
      <w:r w:rsidR="009531C0" w:rsidRPr="004676F5">
        <w:rPr>
          <w:i/>
          <w:iCs/>
          <w:lang w:val="de-DE"/>
        </w:rPr>
        <w:t xml:space="preserve">; § 3 </w:t>
      </w:r>
      <w:r w:rsidR="00F74229" w:rsidRPr="004676F5">
        <w:rPr>
          <w:i/>
          <w:iCs/>
          <w:lang w:val="de-DE"/>
        </w:rPr>
        <w:t>ersetzt durch Art. 5 Nr. 1</w:t>
      </w:r>
      <w:r w:rsidR="00F74229" w:rsidRPr="004676F5">
        <w:rPr>
          <w:i/>
          <w:lang w:val="de-DE"/>
        </w:rPr>
        <w:t xml:space="preserve"> des G. vom 2. Mai 2019 (IV) (B.S. vom 22. Mai 2019)</w:t>
      </w:r>
      <w:r w:rsidR="009531C0" w:rsidRPr="004676F5">
        <w:rPr>
          <w:i/>
          <w:iCs/>
          <w:lang w:val="de-DE"/>
        </w:rPr>
        <w:t xml:space="preserve">; § 4 abgeändert durch </w:t>
      </w:r>
      <w:r w:rsidR="00BE0A56" w:rsidRPr="004676F5">
        <w:rPr>
          <w:i/>
          <w:iCs/>
          <w:lang w:val="de-DE"/>
        </w:rPr>
        <w:t>Art. </w:t>
      </w:r>
      <w:r w:rsidR="009531C0" w:rsidRPr="004676F5">
        <w:rPr>
          <w:i/>
          <w:iCs/>
          <w:lang w:val="de-DE"/>
        </w:rPr>
        <w:t>50 Nr. 2 des G. vom 18. Dezember 2015 (I) (B.S. vom 29. Dezember 2015, Err. vom 21. Januar 2016)</w:t>
      </w:r>
      <w:r w:rsidR="00F74229" w:rsidRPr="004676F5">
        <w:rPr>
          <w:i/>
          <w:iCs/>
          <w:lang w:val="de-DE"/>
        </w:rPr>
        <w:t xml:space="preserve"> und Art. 5 Nr. 2</w:t>
      </w:r>
      <w:r w:rsidR="00F74229" w:rsidRPr="004676F5">
        <w:rPr>
          <w:i/>
          <w:lang w:val="de-DE"/>
        </w:rPr>
        <w:t xml:space="preserve"> </w:t>
      </w:r>
      <w:r w:rsidR="002E11BF" w:rsidRPr="004676F5">
        <w:rPr>
          <w:i/>
          <w:lang w:val="de-DE"/>
        </w:rPr>
        <w:t xml:space="preserve">und 3 </w:t>
      </w:r>
      <w:r w:rsidR="00F74229" w:rsidRPr="004676F5">
        <w:rPr>
          <w:i/>
          <w:lang w:val="de-DE"/>
        </w:rPr>
        <w:t>des G. vom 2. Mai 2019 (IV) (B.S. vom 22. Mai 2019)</w:t>
      </w:r>
      <w:r w:rsidRPr="004676F5">
        <w:rPr>
          <w:i/>
          <w:lang w:val="de-DE"/>
        </w:rPr>
        <w:t>]</w:t>
      </w:r>
    </w:p>
    <w:p w14:paraId="31FC8D18" w14:textId="77777777" w:rsidR="002F716B" w:rsidRPr="004676F5" w:rsidRDefault="002F716B" w:rsidP="006F1B24">
      <w:pPr>
        <w:rPr>
          <w:lang w:val="de-DE"/>
        </w:rPr>
      </w:pPr>
    </w:p>
    <w:p w14:paraId="4B0E0471" w14:textId="77777777" w:rsidR="00DC288B" w:rsidRPr="004676F5" w:rsidRDefault="00DC288B" w:rsidP="006F1B24">
      <w:pPr>
        <w:rPr>
          <w:lang w:val="de-DE"/>
        </w:rPr>
      </w:pPr>
    </w:p>
    <w:p w14:paraId="24BC9BF5" w14:textId="4F3D199D" w:rsidR="00DC288B" w:rsidRPr="004676F5" w:rsidRDefault="00DC288B" w:rsidP="0055630A">
      <w:pPr>
        <w:jc w:val="both"/>
        <w:rPr>
          <w:iCs/>
          <w:sz w:val="20"/>
          <w:szCs w:val="20"/>
          <w:lang w:val="de-DE"/>
        </w:rPr>
      </w:pPr>
      <w:r w:rsidRPr="004676F5">
        <w:rPr>
          <w:sz w:val="20"/>
          <w:szCs w:val="20"/>
          <w:lang w:val="de-DE"/>
        </w:rPr>
        <w:t>Am Tag des Inkrafttretens des Königlichen Erlasses zur Ausführung von Artikel VI.7/1 § 2 Absatz 2</w:t>
      </w:r>
      <w:r w:rsidR="0055630A" w:rsidRPr="004676F5">
        <w:rPr>
          <w:sz w:val="20"/>
          <w:szCs w:val="20"/>
          <w:lang w:val="de-DE"/>
        </w:rPr>
        <w:t xml:space="preserve"> (gemäß Art. 7 </w:t>
      </w:r>
      <w:r w:rsidR="0055630A" w:rsidRPr="004676F5">
        <w:rPr>
          <w:iCs/>
          <w:sz w:val="20"/>
          <w:szCs w:val="20"/>
          <w:lang w:val="de-DE"/>
        </w:rPr>
        <w:t>des G. vom 2. Mai 2019 (IV) (B.S. vom 22. Mai 2019)) lautet Art. VI.7/2 wie folgt:</w:t>
      </w:r>
    </w:p>
    <w:p w14:paraId="56130F8E" w14:textId="77777777" w:rsidR="0055630A" w:rsidRPr="004676F5" w:rsidRDefault="0055630A" w:rsidP="0055630A">
      <w:pPr>
        <w:jc w:val="both"/>
        <w:rPr>
          <w:iCs/>
          <w:sz w:val="20"/>
          <w:szCs w:val="20"/>
          <w:lang w:val="de-DE"/>
        </w:rPr>
      </w:pPr>
    </w:p>
    <w:p w14:paraId="2BF858E0" w14:textId="07A1DD4E" w:rsidR="0055630A" w:rsidRPr="004676F5" w:rsidRDefault="0055630A" w:rsidP="0055630A">
      <w:pPr>
        <w:jc w:val="both"/>
        <w:rPr>
          <w:iCs/>
          <w:sz w:val="20"/>
          <w:szCs w:val="20"/>
          <w:lang w:val="de-DE"/>
        </w:rPr>
      </w:pPr>
      <w:r w:rsidRPr="004676F5">
        <w:rPr>
          <w:iCs/>
          <w:sz w:val="20"/>
          <w:szCs w:val="20"/>
          <w:lang w:val="de-DE"/>
        </w:rPr>
        <w:t>"[</w:t>
      </w:r>
      <w:r w:rsidRPr="004676F5">
        <w:rPr>
          <w:bCs/>
          <w:iCs/>
          <w:sz w:val="20"/>
          <w:szCs w:val="20"/>
          <w:lang w:val="de-DE"/>
        </w:rPr>
        <w:t>Art. VI.7/2</w:t>
      </w:r>
      <w:r w:rsidRPr="004676F5">
        <w:rPr>
          <w:iCs/>
          <w:sz w:val="20"/>
          <w:szCs w:val="20"/>
          <w:lang w:val="de-DE"/>
        </w:rPr>
        <w:t> </w:t>
      </w:r>
      <w:r w:rsidR="005B7A5C" w:rsidRPr="004676F5">
        <w:rPr>
          <w:iCs/>
          <w:sz w:val="20"/>
          <w:szCs w:val="20"/>
          <w:lang w:val="de-DE"/>
        </w:rPr>
        <w:t>- </w:t>
      </w:r>
      <w:r w:rsidRPr="004676F5">
        <w:rPr>
          <w:iCs/>
          <w:sz w:val="20"/>
          <w:szCs w:val="20"/>
          <w:lang w:val="de-DE"/>
        </w:rPr>
        <w:t>§ 1 </w:t>
      </w:r>
      <w:r w:rsidR="005B7A5C" w:rsidRPr="004676F5">
        <w:rPr>
          <w:iCs/>
          <w:sz w:val="20"/>
          <w:szCs w:val="20"/>
          <w:lang w:val="de-DE"/>
        </w:rPr>
        <w:t>- </w:t>
      </w:r>
      <w:r w:rsidRPr="004676F5">
        <w:rPr>
          <w:iCs/>
          <w:sz w:val="20"/>
          <w:szCs w:val="20"/>
          <w:lang w:val="de-DE"/>
        </w:rPr>
        <w:t>Endet der zu zahlende Gesamtbetrag auf 1, 2, 6 oder 7 Cent, wird er auf das nächstniedrigere Vielfache von 5 Cent gerundet.</w:t>
      </w:r>
    </w:p>
    <w:p w14:paraId="71764C49" w14:textId="77777777" w:rsidR="0055630A" w:rsidRPr="004676F5" w:rsidRDefault="0055630A" w:rsidP="0055630A">
      <w:pPr>
        <w:jc w:val="both"/>
        <w:rPr>
          <w:iCs/>
          <w:sz w:val="20"/>
          <w:szCs w:val="20"/>
          <w:lang w:val="de-DE"/>
        </w:rPr>
      </w:pPr>
    </w:p>
    <w:p w14:paraId="625979BA" w14:textId="0484D2A0" w:rsidR="0055630A" w:rsidRPr="004676F5" w:rsidRDefault="0055630A" w:rsidP="0055630A">
      <w:pPr>
        <w:jc w:val="both"/>
        <w:rPr>
          <w:iCs/>
          <w:sz w:val="20"/>
          <w:szCs w:val="20"/>
          <w:lang w:val="de-DE"/>
        </w:rPr>
      </w:pPr>
      <w:r w:rsidRPr="004676F5">
        <w:rPr>
          <w:iCs/>
          <w:sz w:val="20"/>
          <w:szCs w:val="20"/>
          <w:lang w:val="de-DE"/>
        </w:rPr>
        <w:t>Endet der zu zahlende Gesamtbetrag auf 3, 4, 8 oder 9 Cent, wird er auf das nächsthöhere Vielfache von 5 Cent gerundet.</w:t>
      </w:r>
    </w:p>
    <w:p w14:paraId="1D9FB7B4" w14:textId="77777777" w:rsidR="0055630A" w:rsidRPr="004676F5" w:rsidRDefault="0055630A" w:rsidP="0055630A">
      <w:pPr>
        <w:jc w:val="both"/>
        <w:rPr>
          <w:iCs/>
          <w:sz w:val="20"/>
          <w:szCs w:val="20"/>
          <w:lang w:val="de-DE"/>
        </w:rPr>
      </w:pPr>
    </w:p>
    <w:p w14:paraId="135733C8" w14:textId="75AB5A31" w:rsidR="0055630A" w:rsidRPr="004676F5" w:rsidRDefault="0055630A" w:rsidP="0055630A">
      <w:pPr>
        <w:jc w:val="both"/>
        <w:rPr>
          <w:iCs/>
          <w:sz w:val="20"/>
          <w:szCs w:val="20"/>
          <w:lang w:val="de-DE"/>
        </w:rPr>
      </w:pPr>
      <w:r w:rsidRPr="004676F5">
        <w:rPr>
          <w:iCs/>
          <w:sz w:val="20"/>
          <w:szCs w:val="20"/>
          <w:lang w:val="de-DE"/>
        </w:rPr>
        <w:t>§ 2 </w:t>
      </w:r>
      <w:r w:rsidR="005B7A5C" w:rsidRPr="004676F5">
        <w:rPr>
          <w:iCs/>
          <w:sz w:val="20"/>
          <w:szCs w:val="20"/>
          <w:lang w:val="de-DE"/>
        </w:rPr>
        <w:t>- </w:t>
      </w:r>
      <w:r w:rsidRPr="004676F5">
        <w:rPr>
          <w:iCs/>
          <w:sz w:val="20"/>
          <w:szCs w:val="20"/>
          <w:lang w:val="de-DE"/>
        </w:rPr>
        <w:t>In jedem Dokument, in dem der zu zahlende Gesamtbetrag vermerkt ist, gibt das Unternehmen die angewandte Rundung ausdrücklich an.</w:t>
      </w:r>
    </w:p>
    <w:p w14:paraId="136A4CC3" w14:textId="77777777" w:rsidR="0055630A" w:rsidRPr="004676F5" w:rsidRDefault="0055630A" w:rsidP="0055630A">
      <w:pPr>
        <w:jc w:val="both"/>
        <w:rPr>
          <w:iCs/>
          <w:sz w:val="20"/>
          <w:szCs w:val="20"/>
          <w:lang w:val="de-DE"/>
        </w:rPr>
      </w:pPr>
    </w:p>
    <w:p w14:paraId="700F84CB" w14:textId="02AD4C68" w:rsidR="0055630A" w:rsidRPr="004676F5" w:rsidRDefault="0055630A" w:rsidP="0055630A">
      <w:pPr>
        <w:jc w:val="both"/>
        <w:rPr>
          <w:iCs/>
          <w:sz w:val="20"/>
          <w:szCs w:val="20"/>
          <w:lang w:val="de-DE"/>
        </w:rPr>
      </w:pPr>
      <w:r w:rsidRPr="004676F5">
        <w:rPr>
          <w:iCs/>
          <w:sz w:val="20"/>
          <w:szCs w:val="20"/>
          <w:lang w:val="de-DE"/>
        </w:rPr>
        <w:t>§ 3 </w:t>
      </w:r>
      <w:r w:rsidR="005B7A5C" w:rsidRPr="004676F5">
        <w:rPr>
          <w:iCs/>
          <w:sz w:val="20"/>
          <w:szCs w:val="20"/>
          <w:lang w:val="de-DE"/>
        </w:rPr>
        <w:t>- </w:t>
      </w:r>
      <w:r w:rsidRPr="004676F5">
        <w:rPr>
          <w:iCs/>
          <w:sz w:val="20"/>
          <w:szCs w:val="20"/>
          <w:lang w:val="de-DE"/>
        </w:rPr>
        <w:t>[Wenn das Unternehmen in Anwendung von Artikel VI.7/1 bei bargeldlosen Zahlungen die Rundung anwendet, geht es auch bei allen anderen Zahlungsarten gleichermaßen vor.</w:t>
      </w:r>
    </w:p>
    <w:p w14:paraId="1E66432E" w14:textId="77777777" w:rsidR="0055630A" w:rsidRPr="004676F5" w:rsidRDefault="0055630A" w:rsidP="0055630A">
      <w:pPr>
        <w:jc w:val="both"/>
        <w:rPr>
          <w:iCs/>
          <w:sz w:val="20"/>
          <w:szCs w:val="20"/>
          <w:lang w:val="de-DE"/>
        </w:rPr>
      </w:pPr>
    </w:p>
    <w:p w14:paraId="542BF0AF" w14:textId="39ABE36D" w:rsidR="0055630A" w:rsidRPr="004676F5" w:rsidRDefault="0055630A" w:rsidP="0055630A">
      <w:pPr>
        <w:jc w:val="both"/>
        <w:rPr>
          <w:iCs/>
          <w:sz w:val="20"/>
          <w:szCs w:val="20"/>
          <w:lang w:val="de-DE"/>
        </w:rPr>
      </w:pPr>
      <w:r w:rsidRPr="004676F5">
        <w:rPr>
          <w:iCs/>
          <w:sz w:val="20"/>
          <w:szCs w:val="20"/>
          <w:lang w:val="de-DE"/>
        </w:rPr>
        <w:t>[...]]</w:t>
      </w:r>
    </w:p>
    <w:p w14:paraId="5682B9BF" w14:textId="77777777" w:rsidR="0055630A" w:rsidRPr="004676F5" w:rsidRDefault="0055630A" w:rsidP="0055630A">
      <w:pPr>
        <w:jc w:val="both"/>
        <w:rPr>
          <w:iCs/>
          <w:vanish/>
          <w:sz w:val="20"/>
          <w:szCs w:val="20"/>
          <w:lang w:val="de-DE"/>
          <w:specVanish/>
        </w:rPr>
      </w:pPr>
    </w:p>
    <w:p w14:paraId="34BD5386" w14:textId="26AF99CC" w:rsidR="0055630A" w:rsidRPr="004676F5" w:rsidRDefault="0055630A" w:rsidP="0055630A">
      <w:pPr>
        <w:jc w:val="both"/>
        <w:rPr>
          <w:iCs/>
          <w:sz w:val="20"/>
          <w:szCs w:val="20"/>
          <w:lang w:val="de-DE"/>
        </w:rPr>
      </w:pPr>
      <w:r w:rsidRPr="004676F5">
        <w:rPr>
          <w:iCs/>
          <w:sz w:val="20"/>
          <w:szCs w:val="20"/>
          <w:lang w:val="de-DE"/>
        </w:rPr>
        <w:t xml:space="preserve"> </w:t>
      </w:r>
    </w:p>
    <w:p w14:paraId="5E3A0F60" w14:textId="6520D501" w:rsidR="0055630A" w:rsidRPr="004676F5" w:rsidRDefault="0055630A" w:rsidP="0055630A">
      <w:pPr>
        <w:jc w:val="both"/>
        <w:rPr>
          <w:iCs/>
          <w:sz w:val="20"/>
          <w:szCs w:val="20"/>
          <w:lang w:val="de-DE"/>
        </w:rPr>
      </w:pPr>
      <w:r w:rsidRPr="004676F5">
        <w:rPr>
          <w:iCs/>
          <w:sz w:val="20"/>
          <w:szCs w:val="20"/>
          <w:lang w:val="de-DE"/>
        </w:rPr>
        <w:t>§ 4 </w:t>
      </w:r>
      <w:r w:rsidR="005B7A5C" w:rsidRPr="004676F5">
        <w:rPr>
          <w:iCs/>
          <w:sz w:val="20"/>
          <w:szCs w:val="20"/>
          <w:lang w:val="de-DE"/>
        </w:rPr>
        <w:t>- </w:t>
      </w:r>
      <w:r w:rsidRPr="004676F5">
        <w:rPr>
          <w:iCs/>
          <w:sz w:val="20"/>
          <w:szCs w:val="20"/>
          <w:lang w:val="de-DE"/>
        </w:rPr>
        <w:t>Das Unternehmen wendet ebenfalls die Rundung auf Gesamtbeträge an, die es dem Verbraucher [in bar] [...] erstattet.]</w:t>
      </w:r>
      <w:r w:rsidR="002E11BF" w:rsidRPr="004676F5">
        <w:rPr>
          <w:iCs/>
          <w:sz w:val="20"/>
          <w:szCs w:val="20"/>
          <w:lang w:val="de-DE"/>
        </w:rPr>
        <w:t xml:space="preserve"> [Wenn das Unternehmen in Anwendung von Artikel VI.7/1 § 2 auch bei bargeldlosen Zahlungen den Gesamtbetrag rundet, so wendet es die Rundung auf alle Gesamtbeträge an, die es dem Verbraucher erstattet.]</w:t>
      </w:r>
    </w:p>
    <w:p w14:paraId="746CAB97" w14:textId="77777777" w:rsidR="0055630A" w:rsidRPr="004676F5" w:rsidRDefault="0055630A" w:rsidP="0055630A">
      <w:pPr>
        <w:jc w:val="both"/>
        <w:rPr>
          <w:iCs/>
          <w:sz w:val="20"/>
          <w:szCs w:val="20"/>
          <w:lang w:val="de-DE"/>
        </w:rPr>
      </w:pPr>
    </w:p>
    <w:p w14:paraId="07FFB845" w14:textId="76D33BF2" w:rsidR="0055630A" w:rsidRPr="004676F5" w:rsidRDefault="0055630A" w:rsidP="0055630A">
      <w:pPr>
        <w:jc w:val="both"/>
        <w:rPr>
          <w:sz w:val="20"/>
          <w:szCs w:val="20"/>
          <w:lang w:val="de-DE"/>
        </w:rPr>
      </w:pPr>
      <w:r w:rsidRPr="004676F5">
        <w:rPr>
          <w:i/>
          <w:iCs/>
          <w:sz w:val="20"/>
          <w:szCs w:val="20"/>
          <w:lang w:val="de-DE"/>
        </w:rPr>
        <w:t xml:space="preserve">[Art. VI.7/2 eingefügt durch Art. 44 des G. vom 15. Mai 2014 (I) (B.S. vom 22. Mai 2014); § 3 ersetzt durch Art. 5 Nr. 1 des G. vom 2. Mai 2019 (IV) (B.S. vom 22. Mai 2019); § 3 früherer Absatz 2 aufgehoben durch Art. 7 des G. vom 2. Mai 2019 (IV) (B.S. vom 22. Mai 2019); § 4 abgeändert durch Art. 50 Nr. 2 des G. vom 18. Dezember 2015 (I) (B.S. vom 29. Dezember 2015, Err. vom 21. Januar 2016) und Art. 5 Nr. 2 </w:t>
      </w:r>
      <w:r w:rsidR="002E11BF" w:rsidRPr="004676F5">
        <w:rPr>
          <w:i/>
          <w:iCs/>
          <w:sz w:val="20"/>
          <w:szCs w:val="20"/>
          <w:lang w:val="de-DE"/>
        </w:rPr>
        <w:t xml:space="preserve">und 3 </w:t>
      </w:r>
      <w:r w:rsidRPr="004676F5">
        <w:rPr>
          <w:i/>
          <w:iCs/>
          <w:sz w:val="20"/>
          <w:szCs w:val="20"/>
          <w:lang w:val="de-DE"/>
        </w:rPr>
        <w:t>des G. vom 2. Mai 2019 (IV) (B.S. vom 22. Mai 2019)]</w:t>
      </w:r>
      <w:r w:rsidRPr="004676F5">
        <w:rPr>
          <w:sz w:val="20"/>
          <w:szCs w:val="20"/>
          <w:lang w:val="de-DE"/>
        </w:rPr>
        <w:t>"</w:t>
      </w:r>
    </w:p>
    <w:p w14:paraId="629D86CC" w14:textId="784CDEA5" w:rsidR="0055630A" w:rsidRPr="004676F5" w:rsidRDefault="0055630A" w:rsidP="0055630A">
      <w:pPr>
        <w:jc w:val="both"/>
        <w:rPr>
          <w:iCs/>
          <w:sz w:val="20"/>
          <w:szCs w:val="20"/>
          <w:lang w:val="de-DE"/>
        </w:rPr>
      </w:pPr>
    </w:p>
    <w:p w14:paraId="40BD9441" w14:textId="77777777" w:rsidR="006F1B24" w:rsidRPr="004676F5" w:rsidRDefault="006F1B24" w:rsidP="006F1B24">
      <w:pPr>
        <w:rPr>
          <w:lang w:val="de-DE"/>
        </w:rPr>
      </w:pPr>
    </w:p>
    <w:p w14:paraId="43ED66D7" w14:textId="6EC6F7AD" w:rsidR="006F1B24" w:rsidRPr="004676F5" w:rsidRDefault="006F1B24" w:rsidP="006F1B24">
      <w:pPr>
        <w:jc w:val="both"/>
        <w:rPr>
          <w:lang w:val="de-DE"/>
        </w:rPr>
      </w:pPr>
      <w:r w:rsidRPr="004676F5">
        <w:rPr>
          <w:lang w:val="de-DE"/>
        </w:rPr>
        <w:tab/>
        <w:t>[</w:t>
      </w:r>
      <w:r w:rsidR="00BE0A56" w:rsidRPr="004676F5">
        <w:rPr>
          <w:b/>
          <w:lang w:val="de-DE"/>
        </w:rPr>
        <w:t>Art. </w:t>
      </w:r>
      <w:r w:rsidRPr="004676F5">
        <w:rPr>
          <w:b/>
          <w:lang w:val="de-DE"/>
        </w:rPr>
        <w:t>VI.7/3</w:t>
      </w:r>
      <w:r w:rsidRPr="004676F5">
        <w:rPr>
          <w:lang w:val="de-DE"/>
        </w:rPr>
        <w:t> </w:t>
      </w:r>
      <w:r w:rsidR="005B7A5C" w:rsidRPr="004676F5">
        <w:rPr>
          <w:lang w:val="de-DE"/>
        </w:rPr>
        <w:t>- </w:t>
      </w:r>
      <w:r w:rsidRPr="004676F5">
        <w:rPr>
          <w:lang w:val="de-DE"/>
        </w:rPr>
        <w:t xml:space="preserve">Die Zahlung des zu zahlenden Gesamtbetrags, der in Anwendung von Artikel VI.7/2 gerundet wird, befreit den Verbraucher </w:t>
      </w:r>
      <w:r w:rsidR="009531C0" w:rsidRPr="004676F5">
        <w:rPr>
          <w:lang w:val="de-DE"/>
        </w:rPr>
        <w:t>[und das Unternehmen von ihrer Schuld]</w:t>
      </w:r>
      <w:r w:rsidRPr="004676F5">
        <w:rPr>
          <w:lang w:val="de-DE"/>
        </w:rPr>
        <w:t>.</w:t>
      </w:r>
    </w:p>
    <w:p w14:paraId="058F2F29" w14:textId="77777777" w:rsidR="006F1B24" w:rsidRPr="004676F5" w:rsidRDefault="006F1B24" w:rsidP="006F1B24">
      <w:pPr>
        <w:jc w:val="both"/>
        <w:rPr>
          <w:lang w:val="de-DE"/>
        </w:rPr>
      </w:pPr>
    </w:p>
    <w:p w14:paraId="6110DE55" w14:textId="1F6267A3" w:rsidR="006F1B24" w:rsidRPr="004676F5" w:rsidRDefault="006F1B24" w:rsidP="003042D1">
      <w:pPr>
        <w:jc w:val="both"/>
        <w:rPr>
          <w:lang w:val="de-DE"/>
        </w:rPr>
      </w:pPr>
      <w:r w:rsidRPr="004676F5">
        <w:rPr>
          <w:lang w:val="de-DE"/>
        </w:rPr>
        <w:tab/>
        <w:t>In Abweichung von Artikel</w:t>
      </w:r>
      <w:r w:rsidR="008C2036" w:rsidRPr="004676F5">
        <w:rPr>
          <w:lang w:val="de-DE"/>
        </w:rPr>
        <w:t> [</w:t>
      </w:r>
      <w:r w:rsidR="00AA1D42" w:rsidRPr="004676F5">
        <w:rPr>
          <w:lang w:val="de-DE"/>
        </w:rPr>
        <w:t>5.195</w:t>
      </w:r>
      <w:r w:rsidR="008C2036" w:rsidRPr="004676F5">
        <w:rPr>
          <w:lang w:val="de-DE"/>
        </w:rPr>
        <w:t>]</w:t>
      </w:r>
      <w:r w:rsidRPr="004676F5">
        <w:rPr>
          <w:lang w:val="de-DE"/>
        </w:rPr>
        <w:t xml:space="preserve"> des Zivilgesetzbuches kann die Differenz zwischen dem gerundeten und in Anwendung von Artikel VI.7/2 gezahlten Gesamtbetrag und dem Gesamtbetrag vor der Rundung nicht zurückgefordert werden.]</w:t>
      </w:r>
    </w:p>
    <w:p w14:paraId="778FD9B3" w14:textId="77777777" w:rsidR="002A7B89" w:rsidRPr="004676F5" w:rsidRDefault="002A7B89" w:rsidP="003042D1">
      <w:pPr>
        <w:jc w:val="both"/>
        <w:rPr>
          <w:lang w:val="de-DE"/>
        </w:rPr>
      </w:pPr>
    </w:p>
    <w:p w14:paraId="0CE7847E" w14:textId="2E1468EE" w:rsidR="002F716B" w:rsidRPr="004676F5" w:rsidRDefault="002F716B" w:rsidP="002F716B">
      <w:pPr>
        <w:jc w:val="both"/>
        <w:rPr>
          <w:i/>
          <w:lang w:val="de-DE"/>
        </w:rPr>
      </w:pPr>
      <w:r w:rsidRPr="004676F5">
        <w:rPr>
          <w:i/>
          <w:lang w:val="de-DE"/>
        </w:rPr>
        <w:t>[</w:t>
      </w:r>
      <w:r w:rsidR="00BE0A56" w:rsidRPr="004676F5">
        <w:rPr>
          <w:i/>
          <w:lang w:val="de-DE"/>
        </w:rPr>
        <w:t>Art. </w:t>
      </w:r>
      <w:r w:rsidRPr="004676F5">
        <w:rPr>
          <w:i/>
          <w:lang w:val="de-DE"/>
        </w:rPr>
        <w:t xml:space="preserve">VI.7/3 eingefügt durch </w:t>
      </w:r>
      <w:r w:rsidR="00BE0A56" w:rsidRPr="004676F5">
        <w:rPr>
          <w:i/>
          <w:lang w:val="de-DE"/>
        </w:rPr>
        <w:t>Art. </w:t>
      </w:r>
      <w:r w:rsidRPr="004676F5">
        <w:rPr>
          <w:i/>
          <w:lang w:val="de-DE"/>
        </w:rPr>
        <w:t>45</w:t>
      </w:r>
      <w:r w:rsidRPr="004676F5">
        <w:rPr>
          <w:i/>
          <w:iCs/>
          <w:lang w:val="de-DE"/>
        </w:rPr>
        <w:t xml:space="preserve"> des G. vom 15.</w:t>
      </w:r>
      <w:r w:rsidR="003042D1" w:rsidRPr="004676F5">
        <w:rPr>
          <w:i/>
          <w:iCs/>
          <w:lang w:val="de-DE"/>
        </w:rPr>
        <w:t> </w:t>
      </w:r>
      <w:r w:rsidRPr="004676F5">
        <w:rPr>
          <w:i/>
          <w:iCs/>
          <w:lang w:val="de-DE"/>
        </w:rPr>
        <w:t>Mai 2014</w:t>
      </w:r>
      <w:r w:rsidR="0094304C" w:rsidRPr="004676F5">
        <w:rPr>
          <w:i/>
          <w:iCs/>
          <w:lang w:val="de-DE"/>
        </w:rPr>
        <w:t> (I)</w:t>
      </w:r>
      <w:r w:rsidRPr="004676F5">
        <w:rPr>
          <w:i/>
          <w:iCs/>
          <w:lang w:val="de-DE"/>
        </w:rPr>
        <w:t xml:space="preserve"> (B.S. vom 22. Mai 2014)</w:t>
      </w:r>
      <w:r w:rsidR="009531C0" w:rsidRPr="004676F5">
        <w:rPr>
          <w:i/>
          <w:iCs/>
          <w:lang w:val="de-DE"/>
        </w:rPr>
        <w:t xml:space="preserve">; Abs. 1 abgeändert durch </w:t>
      </w:r>
      <w:r w:rsidR="00BE0A56" w:rsidRPr="004676F5">
        <w:rPr>
          <w:i/>
          <w:iCs/>
          <w:lang w:val="de-DE"/>
        </w:rPr>
        <w:t>Art. </w:t>
      </w:r>
      <w:r w:rsidR="009531C0" w:rsidRPr="004676F5">
        <w:rPr>
          <w:i/>
          <w:iCs/>
          <w:lang w:val="de-DE"/>
        </w:rPr>
        <w:t>51 des G. vom 18. Dezember 2015 (I) (B.S. vom 29. Dezember 2015, Err. vom 21. Januar 2016)</w:t>
      </w:r>
      <w:r w:rsidR="008C2036" w:rsidRPr="004676F5">
        <w:rPr>
          <w:i/>
          <w:iCs/>
          <w:lang w:val="de-DE"/>
        </w:rPr>
        <w:t>; Abs. 2 abgeändert durch Art. 15 des G. vom 28.</w:t>
      </w:r>
      <w:r w:rsidR="004809DE" w:rsidRPr="004676F5">
        <w:rPr>
          <w:i/>
          <w:iCs/>
          <w:lang w:val="de-DE"/>
        </w:rPr>
        <w:t> </w:t>
      </w:r>
      <w:r w:rsidR="008C2036" w:rsidRPr="004676F5">
        <w:rPr>
          <w:i/>
          <w:iCs/>
          <w:lang w:val="de-DE"/>
        </w:rPr>
        <w:t>April 2022 (B.S. vom 1. Juli</w:t>
      </w:r>
      <w:r w:rsidR="004809DE" w:rsidRPr="004676F5">
        <w:rPr>
          <w:i/>
          <w:iCs/>
          <w:lang w:val="de-DE"/>
        </w:rPr>
        <w:t> </w:t>
      </w:r>
      <w:r w:rsidR="008C2036" w:rsidRPr="004676F5">
        <w:rPr>
          <w:i/>
          <w:iCs/>
          <w:lang w:val="de-DE"/>
        </w:rPr>
        <w:t>2022)</w:t>
      </w:r>
      <w:r w:rsidRPr="004676F5">
        <w:rPr>
          <w:i/>
          <w:lang w:val="de-DE"/>
        </w:rPr>
        <w:t>]</w:t>
      </w:r>
    </w:p>
    <w:p w14:paraId="28D2892D" w14:textId="77777777" w:rsidR="006F1B24" w:rsidRPr="004676F5" w:rsidRDefault="006F1B24" w:rsidP="006F1B24">
      <w:pPr>
        <w:rPr>
          <w:lang w:val="de-DE"/>
        </w:rPr>
      </w:pPr>
    </w:p>
    <w:p w14:paraId="2FE54E0D" w14:textId="77777777" w:rsidR="006F1B24" w:rsidRPr="004676F5" w:rsidRDefault="006F1B24" w:rsidP="006F1B24">
      <w:pPr>
        <w:rPr>
          <w:lang w:val="de-DE"/>
        </w:rPr>
      </w:pPr>
    </w:p>
    <w:p w14:paraId="5D04D2E9" w14:textId="660DD6D0" w:rsidR="002A7B89" w:rsidRPr="004676F5" w:rsidRDefault="009531C0" w:rsidP="002A7B89">
      <w:pPr>
        <w:ind w:firstLine="708"/>
        <w:jc w:val="both"/>
        <w:rPr>
          <w:lang w:val="de-DE"/>
        </w:rPr>
      </w:pPr>
      <w:r w:rsidRPr="004676F5">
        <w:rPr>
          <w:lang w:val="de-DE"/>
        </w:rPr>
        <w:br w:type="page"/>
      </w:r>
      <w:r w:rsidR="002A7B89" w:rsidRPr="004676F5">
        <w:rPr>
          <w:lang w:val="de-DE"/>
        </w:rPr>
        <w:lastRenderedPageBreak/>
        <w:t>[</w:t>
      </w:r>
      <w:r w:rsidR="002A7B89" w:rsidRPr="004676F5">
        <w:rPr>
          <w:b/>
          <w:bCs/>
          <w:lang w:val="de-DE"/>
        </w:rPr>
        <w:t>Art. VI.7/4</w:t>
      </w:r>
      <w:r w:rsidR="002A7B89" w:rsidRPr="004676F5">
        <w:rPr>
          <w:lang w:val="de-DE"/>
        </w:rPr>
        <w:t> </w:t>
      </w:r>
      <w:r w:rsidR="005B7A5C" w:rsidRPr="004676F5">
        <w:rPr>
          <w:lang w:val="de-DE"/>
        </w:rPr>
        <w:t>- </w:t>
      </w:r>
      <w:r w:rsidR="002A7B89" w:rsidRPr="004676F5">
        <w:rPr>
          <w:lang w:val="de-DE"/>
        </w:rPr>
        <w:t>Wenn eine Zahlung in Euro bei gleichzeitiger körperlicher Anwesenheit des Verbrauchers und des Unternehmens erfolgt, stellt das Unternehmen unbeschadet des Artikels VII.30 § 3 dem Verbraucher auch ein elektronisches Zahlungsmittel zur Verfügung.</w:t>
      </w:r>
    </w:p>
    <w:p w14:paraId="1D1C275D" w14:textId="77777777" w:rsidR="002A7B89" w:rsidRPr="004676F5" w:rsidRDefault="002A7B89" w:rsidP="002A7B89">
      <w:pPr>
        <w:jc w:val="both"/>
        <w:rPr>
          <w:lang w:val="de-DE"/>
        </w:rPr>
      </w:pPr>
    </w:p>
    <w:p w14:paraId="5C1ED1C8" w14:textId="77777777" w:rsidR="002A7B89" w:rsidRPr="004676F5" w:rsidRDefault="002A7B89" w:rsidP="002A7B89">
      <w:pPr>
        <w:jc w:val="both"/>
        <w:rPr>
          <w:lang w:val="de-DE"/>
        </w:rPr>
      </w:pPr>
      <w:r w:rsidRPr="004676F5">
        <w:rPr>
          <w:lang w:val="de-DE"/>
        </w:rPr>
        <w:tab/>
        <w:t>Für die Anwendung des vorliegenden Artikels ist ein elektronisches Zahlungsmittel ein anderes Zahlungsmittel als auf Euro lautende Münzen und Banknoten, das von einem Zahlungsdienstleister bereitgestellt wird wie in Nr. 2 des Artikels I.9 mit den für Buch VII des Wirtschaftsgesetzbuches geltenden Begriffsbestimmungen erwähnt.]</w:t>
      </w:r>
    </w:p>
    <w:p w14:paraId="23DF32BE" w14:textId="77777777" w:rsidR="002A7B89" w:rsidRPr="004676F5" w:rsidRDefault="002A7B89" w:rsidP="002A7B89">
      <w:pPr>
        <w:jc w:val="both"/>
        <w:rPr>
          <w:lang w:val="de-DE"/>
        </w:rPr>
      </w:pPr>
    </w:p>
    <w:p w14:paraId="2D64D577" w14:textId="751302FE" w:rsidR="002A7B89" w:rsidRPr="004676F5" w:rsidRDefault="002A7B89" w:rsidP="002A7B89">
      <w:pPr>
        <w:jc w:val="both"/>
        <w:rPr>
          <w:i/>
          <w:iCs/>
          <w:lang w:val="de-DE"/>
        </w:rPr>
      </w:pPr>
      <w:r w:rsidRPr="004676F5">
        <w:rPr>
          <w:i/>
          <w:iCs/>
          <w:lang w:val="de-DE"/>
        </w:rPr>
        <w:t>[Art. VI.7/4 eingefügt durch Art. 18 des G. vom 17. März 2022 (B.S. vom 25. März 2022)]</w:t>
      </w:r>
    </w:p>
    <w:p w14:paraId="580FA3CA" w14:textId="77777777" w:rsidR="002A7B89" w:rsidRPr="004676F5" w:rsidRDefault="002A7B89" w:rsidP="002A7B89">
      <w:pPr>
        <w:jc w:val="both"/>
        <w:rPr>
          <w:lang w:val="de-DE"/>
        </w:rPr>
      </w:pPr>
    </w:p>
    <w:p w14:paraId="0AF0263D" w14:textId="2562CBEF" w:rsidR="009531C0" w:rsidRPr="004676F5" w:rsidRDefault="009531C0">
      <w:pPr>
        <w:rPr>
          <w:lang w:val="de-DE"/>
        </w:rPr>
      </w:pPr>
    </w:p>
    <w:p w14:paraId="26DBBB81" w14:textId="77777777" w:rsidR="00E30873" w:rsidRPr="004676F5" w:rsidRDefault="00E30873" w:rsidP="00E30873">
      <w:pPr>
        <w:jc w:val="both"/>
        <w:rPr>
          <w:lang w:val="de-DE"/>
        </w:rPr>
      </w:pPr>
      <w:r w:rsidRPr="004676F5">
        <w:rPr>
          <w:lang w:val="de-DE"/>
        </w:rPr>
        <w:tab/>
        <w:t>[</w:t>
      </w:r>
      <w:r w:rsidRPr="004676F5">
        <w:rPr>
          <w:b/>
          <w:bCs/>
          <w:lang w:val="de-DE"/>
        </w:rPr>
        <w:t>Art. VI.7/5</w:t>
      </w:r>
      <w:r w:rsidRPr="004676F5">
        <w:rPr>
          <w:lang w:val="de-DE"/>
        </w:rPr>
        <w:t> - § 1 - Gemäß Artikel 128 § 1 des Vertrags über die Arbeitsweise der Europäischen Union, durch den dem Euro der Status als gesetzliches Zahlungsmittel zuerkannt wird, und gemäß den Artikeln 10 und 11 der Verordnung (EG) Nr. 974/98 des Rates vom 3. Mai 1998 über die Einführung des Euro nimmt das Unternehmen Barzahlungen des Verbrauchers an, wenn eine Zahlung in Euro bei gleichzeitiger körperlicher Anwesenheit des Verbrauchers und des Unternehmens erfolgt.</w:t>
      </w:r>
    </w:p>
    <w:p w14:paraId="56B513D0" w14:textId="77777777" w:rsidR="00E30873" w:rsidRPr="004676F5" w:rsidRDefault="00E30873" w:rsidP="00E30873">
      <w:pPr>
        <w:jc w:val="both"/>
        <w:rPr>
          <w:lang w:val="de-DE"/>
        </w:rPr>
      </w:pPr>
    </w:p>
    <w:p w14:paraId="7BC5E521" w14:textId="77777777" w:rsidR="00E30873" w:rsidRPr="004676F5" w:rsidRDefault="00E30873" w:rsidP="00E30873">
      <w:pPr>
        <w:jc w:val="both"/>
        <w:rPr>
          <w:lang w:val="de-DE"/>
        </w:rPr>
      </w:pPr>
      <w:r w:rsidRPr="004676F5">
        <w:rPr>
          <w:lang w:val="de-DE"/>
        </w:rPr>
        <w:tab/>
        <w:t>Vorliegender Artikel gilt unbeschadet der Bestimmungen von Buch III des Gesetzes vom 18. September 2017 zur Verhinderung von Geldwäsche und Terrorismusfinanzierung und zur Beschränkung der Nutzung von Bargeld.</w:t>
      </w:r>
    </w:p>
    <w:p w14:paraId="71F429A2" w14:textId="77777777" w:rsidR="00E30873" w:rsidRPr="004676F5" w:rsidRDefault="00E30873" w:rsidP="00E30873">
      <w:pPr>
        <w:jc w:val="both"/>
        <w:rPr>
          <w:lang w:val="de-DE"/>
        </w:rPr>
      </w:pPr>
    </w:p>
    <w:p w14:paraId="3EEE156D" w14:textId="77777777" w:rsidR="00E30873" w:rsidRPr="004676F5" w:rsidRDefault="00E30873" w:rsidP="00E30873">
      <w:pPr>
        <w:jc w:val="both"/>
        <w:rPr>
          <w:lang w:val="de-DE"/>
        </w:rPr>
      </w:pPr>
      <w:r w:rsidRPr="004676F5">
        <w:rPr>
          <w:lang w:val="de-DE"/>
        </w:rPr>
        <w:tab/>
        <w:t>§ 2 - In Abweichung von § 1 darf das Unternehmen aus ordnungsgemäß gerechtfertigten Sicherheitsgründen Barzahlungen vorübergehend ablehnen. Es informiert den Verbraucher in klarer, verständlicher und gut sichtbarer Weise am Eingang seines Geschäftsraums und an der Kasse darüber.</w:t>
      </w:r>
    </w:p>
    <w:p w14:paraId="4EB8CDE3" w14:textId="77777777" w:rsidR="00E30873" w:rsidRPr="004676F5" w:rsidRDefault="00E30873" w:rsidP="00E30873">
      <w:pPr>
        <w:jc w:val="both"/>
        <w:rPr>
          <w:lang w:val="de-DE"/>
        </w:rPr>
      </w:pPr>
    </w:p>
    <w:p w14:paraId="188780EC" w14:textId="67180E0E" w:rsidR="00E30873" w:rsidRPr="004676F5" w:rsidRDefault="00E30873" w:rsidP="00E30873">
      <w:pPr>
        <w:jc w:val="both"/>
        <w:rPr>
          <w:lang w:val="de-DE"/>
        </w:rPr>
      </w:pPr>
      <w:r w:rsidRPr="004676F5">
        <w:rPr>
          <w:lang w:val="de-DE"/>
        </w:rPr>
        <w:tab/>
        <w:t>Das Unternehmen darf den Nennwert der von ihm angenommenen Banknoten begrenzen, wenn der Nennwert der angebotenen Banknote im Vergleich zu dem vom Verbraucher geschuldeten Betrag unverhältnismäßig ist.]</w:t>
      </w:r>
    </w:p>
    <w:p w14:paraId="4FF6A46C" w14:textId="77777777" w:rsidR="00E30873" w:rsidRPr="004676F5" w:rsidRDefault="00E30873" w:rsidP="00E30873">
      <w:pPr>
        <w:rPr>
          <w:lang w:val="de-DE"/>
        </w:rPr>
      </w:pPr>
    </w:p>
    <w:p w14:paraId="7FB37E26" w14:textId="0CAD8B2B" w:rsidR="00E30873" w:rsidRPr="004676F5" w:rsidRDefault="00E30873" w:rsidP="00E30873">
      <w:pPr>
        <w:rPr>
          <w:i/>
          <w:iCs/>
          <w:lang w:val="de-DE"/>
        </w:rPr>
      </w:pPr>
      <w:r w:rsidRPr="004676F5">
        <w:rPr>
          <w:i/>
          <w:iCs/>
          <w:lang w:val="de-DE"/>
        </w:rPr>
        <w:t>[Art. VI.7/5 eingefügt durch Art. 17 des G. vom 9. Februar 2024 (B.S. vom 21. März 2024)]</w:t>
      </w:r>
    </w:p>
    <w:p w14:paraId="10365256" w14:textId="77777777" w:rsidR="00E30873" w:rsidRPr="004676F5" w:rsidRDefault="00E30873" w:rsidP="00E30873">
      <w:pPr>
        <w:rPr>
          <w:i/>
          <w:iCs/>
          <w:lang w:val="de-DE"/>
        </w:rPr>
      </w:pPr>
    </w:p>
    <w:p w14:paraId="7F4AF7F8" w14:textId="77777777" w:rsidR="00E30873" w:rsidRPr="004676F5" w:rsidRDefault="00E30873" w:rsidP="00E30873">
      <w:pPr>
        <w:rPr>
          <w:lang w:val="de-DE"/>
        </w:rPr>
      </w:pPr>
    </w:p>
    <w:p w14:paraId="4474F2AB" w14:textId="77777777" w:rsidR="00E30873" w:rsidRPr="004676F5" w:rsidRDefault="00E30873">
      <w:pPr>
        <w:rPr>
          <w:lang w:val="de-DE"/>
        </w:rPr>
      </w:pPr>
      <w:r w:rsidRPr="004676F5">
        <w:rPr>
          <w:lang w:val="de-DE"/>
        </w:rPr>
        <w:br w:type="page"/>
      </w:r>
    </w:p>
    <w:p w14:paraId="39F799A6" w14:textId="0F016B10" w:rsidR="00626208" w:rsidRPr="004676F5" w:rsidRDefault="00626208" w:rsidP="00626208">
      <w:pPr>
        <w:jc w:val="center"/>
        <w:rPr>
          <w:lang w:val="de-DE"/>
        </w:rPr>
      </w:pPr>
      <w:r w:rsidRPr="004676F5">
        <w:rPr>
          <w:lang w:val="de-DE"/>
        </w:rPr>
        <w:lastRenderedPageBreak/>
        <w:t>KAPITEL 3 </w:t>
      </w:r>
      <w:r w:rsidR="005B7A5C" w:rsidRPr="004676F5">
        <w:rPr>
          <w:lang w:val="de-DE"/>
        </w:rPr>
        <w:t>- </w:t>
      </w:r>
      <w:r w:rsidRPr="004676F5">
        <w:rPr>
          <w:i/>
          <w:lang w:val="de-DE"/>
        </w:rPr>
        <w:t>Bezeichnung, Zusammensetzung und Etikettierung von Waren und Dienstleistungen</w:t>
      </w:r>
    </w:p>
    <w:p w14:paraId="6ACE4494" w14:textId="77777777" w:rsidR="00626208" w:rsidRPr="004676F5" w:rsidRDefault="00626208" w:rsidP="00626208">
      <w:pPr>
        <w:jc w:val="both"/>
        <w:rPr>
          <w:lang w:val="de-DE"/>
        </w:rPr>
      </w:pPr>
    </w:p>
    <w:p w14:paraId="0629C25A" w14:textId="77777777" w:rsidR="00626208" w:rsidRPr="004676F5" w:rsidRDefault="00626208" w:rsidP="00626208">
      <w:pPr>
        <w:jc w:val="both"/>
        <w:rPr>
          <w:lang w:val="de-DE"/>
        </w:rPr>
      </w:pPr>
    </w:p>
    <w:p w14:paraId="0B11AF6B" w14:textId="361B03E5"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VI.8</w:t>
      </w:r>
      <w:r w:rsidRPr="004676F5">
        <w:rPr>
          <w:lang w:val="de-DE"/>
        </w:rPr>
        <w:t> </w:t>
      </w:r>
      <w:r w:rsidR="005B7A5C" w:rsidRPr="004676F5">
        <w:rPr>
          <w:lang w:val="de-DE"/>
        </w:rPr>
        <w:t>- </w:t>
      </w:r>
      <w:r w:rsidRPr="004676F5">
        <w:rPr>
          <w:lang w:val="de-DE"/>
        </w:rPr>
        <w:t>Etikettierungsangaben, die durch vorliegendes Buch, seine Ausführungs</w:t>
      </w:r>
      <w:r w:rsidRPr="004676F5">
        <w:rPr>
          <w:lang w:val="de-DE"/>
        </w:rPr>
        <w:softHyphen/>
        <w:t xml:space="preserve">erlasse oder Erlasse zur Ausführung des Gesetzes vom 9. Februar 1960, das den König ermächtigt, die Verwendung der Bezeichnungen, unter denen Waren vermarktet werden, zu regeln, des Gesetzes vom 14. Juli 1971 über die Handelspraktiken und des Gesetzes vom 14. Juli 1991 über die Handelspraktiken sowie die Aufklärung und den Schutz der Verbraucher </w:t>
      </w:r>
      <w:r w:rsidR="00EE76B7" w:rsidRPr="004676F5">
        <w:rPr>
          <w:lang w:val="de-DE"/>
        </w:rPr>
        <w:t xml:space="preserve">[oder durch Verordnungen der Europäischen Union, die die Bestimmungen des vorliegenden Buches oder der vorerwähnten Ausführungserlasse ersetzen,] </w:t>
      </w:r>
      <w:r w:rsidRPr="004676F5">
        <w:rPr>
          <w:lang w:val="de-DE"/>
        </w:rPr>
        <w:t>vorgeschrieben sind, Gebrauchsanweisungen und Garantiescheine müssen zumindest in einer für den Durchschnittsverbraucher verständlichen Sprache abgefasst sein in Anbetracht des Sprachgebiets, in dem die Waren oder Dienstleistungen den Verbrauchern entgeltlich oder unentgeltlich angeboten werden.</w:t>
      </w:r>
    </w:p>
    <w:p w14:paraId="4083629B" w14:textId="77777777" w:rsidR="00626208" w:rsidRPr="004676F5" w:rsidRDefault="00626208" w:rsidP="00626208">
      <w:pPr>
        <w:jc w:val="both"/>
        <w:rPr>
          <w:lang w:val="de-DE"/>
        </w:rPr>
      </w:pPr>
    </w:p>
    <w:p w14:paraId="0B6A99C5" w14:textId="77777777" w:rsidR="00626208" w:rsidRPr="004676F5" w:rsidRDefault="00626208" w:rsidP="00626208">
      <w:pPr>
        <w:jc w:val="both"/>
        <w:rPr>
          <w:lang w:val="de-DE"/>
        </w:rPr>
      </w:pPr>
      <w:r w:rsidRPr="004676F5">
        <w:rPr>
          <w:lang w:val="de-DE"/>
        </w:rPr>
        <w:tab/>
        <w:t>Wenn die Etikettierung Pflicht ist, muss sie sichtbar und lesbar sein, in der Form und mit dem Inhalt vorgenommen werden, die durch die anwendbaren Vorschriften festgelegt sind, und sich von Werbung deutlich unterscheiden.</w:t>
      </w:r>
    </w:p>
    <w:p w14:paraId="1399DCA8" w14:textId="77777777" w:rsidR="00EE76B7" w:rsidRPr="004676F5" w:rsidRDefault="00EE76B7" w:rsidP="00626208">
      <w:pPr>
        <w:jc w:val="both"/>
        <w:rPr>
          <w:lang w:val="de-DE"/>
        </w:rPr>
      </w:pPr>
    </w:p>
    <w:p w14:paraId="10B2D474" w14:textId="385D4A45" w:rsidR="00EE76B7" w:rsidRPr="004676F5" w:rsidRDefault="00EE76B7" w:rsidP="00626208">
      <w:pPr>
        <w:jc w:val="both"/>
        <w:rPr>
          <w:i/>
          <w:lang w:val="de-DE"/>
        </w:rPr>
      </w:pPr>
      <w:r w:rsidRPr="004676F5">
        <w:rPr>
          <w:i/>
          <w:lang w:val="de-DE"/>
        </w:rPr>
        <w:t>[</w:t>
      </w:r>
      <w:r w:rsidR="00BE0A56" w:rsidRPr="004676F5">
        <w:rPr>
          <w:i/>
          <w:lang w:val="de-DE"/>
        </w:rPr>
        <w:t>Art. </w:t>
      </w:r>
      <w:r w:rsidRPr="004676F5">
        <w:rPr>
          <w:i/>
          <w:lang w:val="de-DE"/>
        </w:rPr>
        <w:t xml:space="preserve">VI.8 Abs. 1 abgeändert durch </w:t>
      </w:r>
      <w:r w:rsidR="00BE0A56" w:rsidRPr="004676F5">
        <w:rPr>
          <w:i/>
          <w:lang w:val="de-DE"/>
        </w:rPr>
        <w:t>Art. </w:t>
      </w:r>
      <w:r w:rsidRPr="004676F5">
        <w:rPr>
          <w:i/>
          <w:lang w:val="de-DE"/>
        </w:rPr>
        <w:t>6</w:t>
      </w:r>
      <w:r w:rsidRPr="004676F5">
        <w:rPr>
          <w:i/>
          <w:iCs/>
          <w:lang w:val="de-DE"/>
        </w:rPr>
        <w:t xml:space="preserve"> </w:t>
      </w:r>
      <w:r w:rsidRPr="004676F5">
        <w:rPr>
          <w:i/>
          <w:lang w:val="de-DE"/>
        </w:rPr>
        <w:t>des G. vom 26. Oktober 2015 (B.S. vom 30. Oktober 2015)]</w:t>
      </w:r>
    </w:p>
    <w:p w14:paraId="378D1B31" w14:textId="77777777" w:rsidR="00626208" w:rsidRPr="004676F5" w:rsidRDefault="00626208" w:rsidP="00626208">
      <w:pPr>
        <w:jc w:val="both"/>
        <w:rPr>
          <w:lang w:val="de-DE"/>
        </w:rPr>
      </w:pPr>
    </w:p>
    <w:p w14:paraId="3B58F15B" w14:textId="77777777" w:rsidR="00626208" w:rsidRPr="004676F5" w:rsidRDefault="00626208" w:rsidP="00626208">
      <w:pPr>
        <w:jc w:val="both"/>
        <w:rPr>
          <w:lang w:val="de-DE"/>
        </w:rPr>
      </w:pPr>
    </w:p>
    <w:p w14:paraId="5E2FFFA2" w14:textId="42EC1ACA"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König kann unbeschadet der Ihm im Bereich der Volksgesundheit übertragenen Zuständigkeit zur Gewährleistung der Redlichkeit der Wirtschaftsgeschäfte oder des Schutzes der Verbraucher:</w:t>
      </w:r>
    </w:p>
    <w:p w14:paraId="726EBFF1" w14:textId="77777777" w:rsidR="00626208" w:rsidRPr="004676F5" w:rsidRDefault="00626208" w:rsidP="00626208">
      <w:pPr>
        <w:jc w:val="both"/>
        <w:rPr>
          <w:lang w:val="de-DE"/>
        </w:rPr>
      </w:pPr>
    </w:p>
    <w:p w14:paraId="1DC67571" w14:textId="77777777" w:rsidR="00626208" w:rsidRPr="004676F5" w:rsidRDefault="00626208" w:rsidP="00626208">
      <w:pPr>
        <w:jc w:val="both"/>
        <w:rPr>
          <w:lang w:val="de-DE"/>
        </w:rPr>
      </w:pPr>
      <w:r w:rsidRPr="004676F5">
        <w:rPr>
          <w:lang w:val="de-DE"/>
        </w:rPr>
        <w:tab/>
        <w:t>1. für Waren beziehungsweise Kategorien von Waren, die Er bestimmt, die Etikettierung vorschreiben und deren Angaben und sonstige Merkmale festlegen,</w:t>
      </w:r>
    </w:p>
    <w:p w14:paraId="61943150" w14:textId="77777777" w:rsidR="00626208" w:rsidRPr="004676F5" w:rsidRDefault="00626208" w:rsidP="00626208">
      <w:pPr>
        <w:jc w:val="both"/>
        <w:rPr>
          <w:lang w:val="de-DE"/>
        </w:rPr>
      </w:pPr>
    </w:p>
    <w:p w14:paraId="0D34ABEC" w14:textId="200333DB" w:rsidR="00626208" w:rsidRPr="004676F5" w:rsidRDefault="00626208" w:rsidP="00626208">
      <w:pPr>
        <w:jc w:val="both"/>
        <w:rPr>
          <w:lang w:val="de-DE"/>
        </w:rPr>
      </w:pPr>
      <w:r w:rsidRPr="004676F5">
        <w:rPr>
          <w:lang w:val="de-DE"/>
        </w:rPr>
        <w:tab/>
        <w:t>2. Zusammensetzungs-, Beschaffenheits-, Präsentations-, Qualitäts</w:t>
      </w:r>
      <w:r w:rsidR="005B7A5C" w:rsidRPr="004676F5">
        <w:rPr>
          <w:lang w:val="de-DE"/>
        </w:rPr>
        <w:t>- </w:t>
      </w:r>
      <w:r w:rsidRPr="004676F5">
        <w:rPr>
          <w:lang w:val="de-DE"/>
        </w:rPr>
        <w:t>und Sicherheits</w:t>
      </w:r>
      <w:r w:rsidRPr="004676F5">
        <w:rPr>
          <w:lang w:val="de-DE"/>
        </w:rPr>
        <w:softHyphen/>
        <w:t>bedingungen festlegen, denen Waren entsprechen müssen, um unter einer bestimmten Bezeichnung oder ohne bestimmte Bezeichnung in Verkehr gebracht werden zu dürfen,</w:t>
      </w:r>
    </w:p>
    <w:p w14:paraId="38B438C1" w14:textId="77777777" w:rsidR="00626208" w:rsidRPr="004676F5" w:rsidRDefault="00626208" w:rsidP="00626208">
      <w:pPr>
        <w:jc w:val="both"/>
        <w:rPr>
          <w:lang w:val="de-DE"/>
        </w:rPr>
      </w:pPr>
    </w:p>
    <w:p w14:paraId="74F20A8B" w14:textId="77777777" w:rsidR="00626208" w:rsidRPr="004676F5" w:rsidRDefault="00626208" w:rsidP="00626208">
      <w:pPr>
        <w:jc w:val="both"/>
        <w:rPr>
          <w:lang w:val="de-DE"/>
        </w:rPr>
      </w:pPr>
      <w:r w:rsidRPr="004676F5">
        <w:rPr>
          <w:lang w:val="de-DE"/>
        </w:rPr>
        <w:tab/>
        <w:t>3. verbieten, dass Waren unter einer bestimmten Bezeichnung in Verkehr gebracht werden,</w:t>
      </w:r>
    </w:p>
    <w:p w14:paraId="048B6CD0" w14:textId="77777777" w:rsidR="00626208" w:rsidRPr="004676F5" w:rsidRDefault="00626208" w:rsidP="00626208">
      <w:pPr>
        <w:jc w:val="both"/>
        <w:rPr>
          <w:lang w:val="de-DE"/>
        </w:rPr>
      </w:pPr>
    </w:p>
    <w:p w14:paraId="73DA13D8" w14:textId="77777777" w:rsidR="00626208" w:rsidRPr="004676F5" w:rsidRDefault="00626208" w:rsidP="00626208">
      <w:pPr>
        <w:jc w:val="both"/>
        <w:rPr>
          <w:lang w:val="de-DE"/>
        </w:rPr>
      </w:pPr>
      <w:r w:rsidRPr="004676F5">
        <w:rPr>
          <w:lang w:val="de-DE"/>
        </w:rPr>
        <w:tab/>
        <w:t>4. die Verwendung einer bestimmten Bezeichnung für in Verkehr gebrachte Waren auferlegen,</w:t>
      </w:r>
    </w:p>
    <w:p w14:paraId="10382CB9" w14:textId="77777777" w:rsidR="00626208" w:rsidRPr="004676F5" w:rsidRDefault="00626208" w:rsidP="00626208">
      <w:pPr>
        <w:jc w:val="both"/>
        <w:rPr>
          <w:lang w:val="de-DE"/>
        </w:rPr>
      </w:pPr>
    </w:p>
    <w:p w14:paraId="5618745F" w14:textId="77777777" w:rsidR="00626208" w:rsidRPr="004676F5" w:rsidRDefault="00626208" w:rsidP="00626208">
      <w:pPr>
        <w:jc w:val="both"/>
        <w:rPr>
          <w:lang w:val="de-DE"/>
        </w:rPr>
      </w:pPr>
      <w:r w:rsidRPr="004676F5">
        <w:rPr>
          <w:lang w:val="de-DE"/>
        </w:rPr>
        <w:tab/>
        <w:t>5. auferlegen, dass Bezeichnungen, unter denen Waren in Verkehr gebracht werden, Zeichen, Wörter oder Wendungen zur Verdeutlichung ihrer Bedeutung hinzugefügt werden,</w:t>
      </w:r>
    </w:p>
    <w:p w14:paraId="03353F13" w14:textId="77777777" w:rsidR="00626208" w:rsidRPr="004676F5" w:rsidRDefault="00626208" w:rsidP="00626208">
      <w:pPr>
        <w:jc w:val="both"/>
        <w:rPr>
          <w:lang w:val="de-DE"/>
        </w:rPr>
      </w:pPr>
    </w:p>
    <w:p w14:paraId="2CC17839" w14:textId="77777777" w:rsidR="00626208" w:rsidRPr="004676F5" w:rsidRDefault="00626208" w:rsidP="00626208">
      <w:pPr>
        <w:jc w:val="both"/>
        <w:rPr>
          <w:lang w:val="de-DE"/>
        </w:rPr>
      </w:pPr>
      <w:r w:rsidRPr="004676F5">
        <w:rPr>
          <w:lang w:val="de-DE"/>
        </w:rPr>
        <w:tab/>
        <w:t>6. verbieten, dass Bezeichnungen, unter denen Waren in Verkehr gebracht werden, bestimmte Zeichen, Wörter oder Wendungen hinzugefügt werden.</w:t>
      </w:r>
    </w:p>
    <w:p w14:paraId="152DDEA8" w14:textId="77777777" w:rsidR="00626208" w:rsidRPr="004676F5" w:rsidRDefault="00626208" w:rsidP="00626208">
      <w:pPr>
        <w:jc w:val="both"/>
        <w:rPr>
          <w:lang w:val="de-DE"/>
        </w:rPr>
      </w:pPr>
    </w:p>
    <w:p w14:paraId="1BC38323" w14:textId="4C791929"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Bevor der Minister einen Erlass zur Ausführung des vorhergehenden Paragraphen vorschlägt, konsultiert er den Verbraucherrat und den Hohen Rat für Selbständige und KMB, wobei er die für die Abgabe der Stellungnahme angemessene Frist bestimmt. Nach Ablauf dieser Frist ist die Stellungnahme nicht mehr erforderlich.</w:t>
      </w:r>
    </w:p>
    <w:p w14:paraId="5C877D9C" w14:textId="54EAAD8D" w:rsidR="00FD4FF3" w:rsidRPr="004676F5" w:rsidRDefault="00FD4FF3" w:rsidP="00626208">
      <w:pPr>
        <w:jc w:val="both"/>
        <w:rPr>
          <w:lang w:val="de-DE"/>
        </w:rPr>
      </w:pPr>
    </w:p>
    <w:p w14:paraId="716BC054" w14:textId="77777777" w:rsidR="00FD4FF3" w:rsidRPr="004676F5" w:rsidRDefault="00FD4FF3" w:rsidP="00626208">
      <w:pPr>
        <w:jc w:val="both"/>
        <w:rPr>
          <w:lang w:val="de-DE"/>
        </w:rPr>
      </w:pPr>
    </w:p>
    <w:p w14:paraId="02D05305" w14:textId="5C13678E"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VI.10</w:t>
      </w:r>
      <w:r w:rsidRPr="004676F5">
        <w:rPr>
          <w:lang w:val="de-DE"/>
        </w:rPr>
        <w:t> </w:t>
      </w:r>
      <w:r w:rsidR="005B7A5C" w:rsidRPr="004676F5">
        <w:rPr>
          <w:lang w:val="de-DE"/>
        </w:rPr>
        <w:t>- </w:t>
      </w:r>
      <w:r w:rsidRPr="004676F5">
        <w:rPr>
          <w:lang w:val="de-DE"/>
        </w:rPr>
        <w:t>Unter Einhaltung der in Artikel VI.9 § 2 vorgeschriebenen Formen kann der König zur Gewährleistung der Redlichkeit der Wirtschaftsgeschäfte oder des Schutzes der Verbraucher für Dienstleistungen beziehungsweise Kategorien von Dienstleistungen:</w:t>
      </w:r>
    </w:p>
    <w:p w14:paraId="0D0D914E" w14:textId="77777777" w:rsidR="00626208" w:rsidRPr="004676F5" w:rsidRDefault="00626208" w:rsidP="00626208">
      <w:pPr>
        <w:jc w:val="both"/>
        <w:rPr>
          <w:lang w:val="de-DE"/>
        </w:rPr>
      </w:pPr>
    </w:p>
    <w:p w14:paraId="5C8C1070" w14:textId="77777777" w:rsidR="00626208" w:rsidRPr="004676F5" w:rsidRDefault="00626208" w:rsidP="00626208">
      <w:pPr>
        <w:jc w:val="both"/>
        <w:rPr>
          <w:lang w:val="de-DE"/>
        </w:rPr>
      </w:pPr>
      <w:r w:rsidRPr="004676F5">
        <w:rPr>
          <w:lang w:val="de-DE"/>
        </w:rPr>
        <w:tab/>
        <w:t>1. festlegen, auf welche Weise welche Beschreibung und welche allgemeinen Angaben über die Dienstleistungen Verbrauchern mitzuteilen sind,</w:t>
      </w:r>
    </w:p>
    <w:p w14:paraId="045F84E1" w14:textId="77777777" w:rsidR="00626208" w:rsidRPr="004676F5" w:rsidRDefault="00626208" w:rsidP="00626208">
      <w:pPr>
        <w:jc w:val="both"/>
        <w:rPr>
          <w:lang w:val="de-DE"/>
        </w:rPr>
      </w:pPr>
    </w:p>
    <w:p w14:paraId="5F795B04" w14:textId="77777777" w:rsidR="00626208" w:rsidRPr="004676F5" w:rsidRDefault="00626208" w:rsidP="00626208">
      <w:pPr>
        <w:jc w:val="both"/>
        <w:rPr>
          <w:lang w:val="de-DE"/>
        </w:rPr>
      </w:pPr>
      <w:r w:rsidRPr="004676F5">
        <w:rPr>
          <w:lang w:val="de-DE"/>
        </w:rPr>
        <w:tab/>
        <w:t>2. verbieten, dass Dienstleistungen unter einer bestimmten Bezeichnung in Verkehr gebracht werden,</w:t>
      </w:r>
    </w:p>
    <w:p w14:paraId="4DA599E5" w14:textId="77777777" w:rsidR="00626208" w:rsidRPr="004676F5" w:rsidRDefault="00626208" w:rsidP="00626208">
      <w:pPr>
        <w:jc w:val="both"/>
        <w:rPr>
          <w:lang w:val="de-DE"/>
        </w:rPr>
      </w:pPr>
    </w:p>
    <w:p w14:paraId="650DC02E" w14:textId="77777777" w:rsidR="00626208" w:rsidRPr="004676F5" w:rsidRDefault="00626208" w:rsidP="00626208">
      <w:pPr>
        <w:jc w:val="both"/>
        <w:rPr>
          <w:lang w:val="de-DE"/>
        </w:rPr>
      </w:pPr>
      <w:r w:rsidRPr="004676F5">
        <w:rPr>
          <w:lang w:val="de-DE"/>
        </w:rPr>
        <w:tab/>
        <w:t>3. die Verwendung einer bestimmten Bezeichnung für in Verkehr gebrachte Dienstleistungen auferlegen,</w:t>
      </w:r>
    </w:p>
    <w:p w14:paraId="5B928451" w14:textId="77777777" w:rsidR="00626208" w:rsidRPr="004676F5" w:rsidRDefault="00626208" w:rsidP="00626208">
      <w:pPr>
        <w:jc w:val="both"/>
        <w:rPr>
          <w:lang w:val="de-DE"/>
        </w:rPr>
      </w:pPr>
    </w:p>
    <w:p w14:paraId="1EEB0EF0" w14:textId="77777777" w:rsidR="00626208" w:rsidRPr="004676F5" w:rsidRDefault="00626208" w:rsidP="00626208">
      <w:pPr>
        <w:jc w:val="both"/>
        <w:rPr>
          <w:lang w:val="de-DE"/>
        </w:rPr>
      </w:pPr>
      <w:r w:rsidRPr="004676F5">
        <w:rPr>
          <w:lang w:val="de-DE"/>
        </w:rPr>
        <w:tab/>
        <w:t>4. auferlegen, dass Bezeichnungen, unter denen Dienstleistungen in Verkehr gebracht werden, Zeichen, Wörter oder Wendungen zur Verdeutlichung ihrer Bedeutung hinzugefügt werden,</w:t>
      </w:r>
    </w:p>
    <w:p w14:paraId="3AA8DC2A" w14:textId="77777777" w:rsidR="00626208" w:rsidRPr="004676F5" w:rsidRDefault="00626208" w:rsidP="00626208">
      <w:pPr>
        <w:jc w:val="both"/>
        <w:rPr>
          <w:lang w:val="de-DE"/>
        </w:rPr>
      </w:pPr>
    </w:p>
    <w:p w14:paraId="7B12FBF7" w14:textId="77777777" w:rsidR="00626208" w:rsidRPr="004676F5" w:rsidRDefault="00626208" w:rsidP="00626208">
      <w:pPr>
        <w:jc w:val="both"/>
        <w:rPr>
          <w:lang w:val="de-DE"/>
        </w:rPr>
      </w:pPr>
      <w:r w:rsidRPr="004676F5">
        <w:rPr>
          <w:lang w:val="de-DE"/>
        </w:rPr>
        <w:tab/>
        <w:t>5. verbieten, dass Bezeichnungen, unter denen Dienstleistungen in Verkehr gebracht werden, bestimmte Zeichen, Wörter oder Wendungen hinzugefügt werden.</w:t>
      </w:r>
    </w:p>
    <w:p w14:paraId="2259223A" w14:textId="77777777" w:rsidR="00626208" w:rsidRPr="004676F5" w:rsidRDefault="00626208" w:rsidP="00626208">
      <w:pPr>
        <w:jc w:val="both"/>
        <w:rPr>
          <w:lang w:val="de-DE"/>
        </w:rPr>
      </w:pPr>
    </w:p>
    <w:p w14:paraId="5082C956" w14:textId="77777777" w:rsidR="00626208" w:rsidRPr="004676F5" w:rsidRDefault="00626208" w:rsidP="00626208">
      <w:pPr>
        <w:jc w:val="both"/>
        <w:rPr>
          <w:lang w:val="de-DE"/>
        </w:rPr>
      </w:pPr>
      <w:r w:rsidRPr="004676F5">
        <w:rPr>
          <w:lang w:val="de-DE"/>
        </w:rPr>
        <w:tab/>
        <w:t>Wenn zur Ausführung des vorliegenden Artikels zu ergreifende Maßnahmen sich auf Finanzdienstleistungen beziehen, werden diese Maßnahmen gemeinsam vom Minister und vom Minister der Finanzen vorgeschlagen.</w:t>
      </w:r>
    </w:p>
    <w:p w14:paraId="4472BFE9" w14:textId="77777777" w:rsidR="00626208" w:rsidRPr="004676F5" w:rsidRDefault="00626208" w:rsidP="00626208">
      <w:pPr>
        <w:jc w:val="both"/>
        <w:rPr>
          <w:lang w:val="de-DE"/>
        </w:rPr>
      </w:pPr>
    </w:p>
    <w:p w14:paraId="0139150E" w14:textId="77777777" w:rsidR="00626208" w:rsidRPr="004676F5" w:rsidRDefault="00626208">
      <w:pPr>
        <w:rPr>
          <w:lang w:val="de-DE"/>
        </w:rPr>
      </w:pPr>
      <w:r w:rsidRPr="004676F5">
        <w:rPr>
          <w:lang w:val="de-DE"/>
        </w:rPr>
        <w:br w:type="page"/>
      </w:r>
    </w:p>
    <w:p w14:paraId="05E97189" w14:textId="7F793A37" w:rsidR="00626208" w:rsidRPr="004676F5" w:rsidRDefault="00626208" w:rsidP="00626208">
      <w:pPr>
        <w:jc w:val="center"/>
        <w:rPr>
          <w:lang w:val="de-DE"/>
        </w:rPr>
      </w:pPr>
      <w:r w:rsidRPr="004676F5">
        <w:rPr>
          <w:lang w:val="de-DE"/>
        </w:rPr>
        <w:lastRenderedPageBreak/>
        <w:t>KAPITEL 4 </w:t>
      </w:r>
      <w:r w:rsidR="005B7A5C" w:rsidRPr="004676F5">
        <w:rPr>
          <w:lang w:val="de-DE"/>
        </w:rPr>
        <w:t>- </w:t>
      </w:r>
      <w:r w:rsidRPr="004676F5">
        <w:rPr>
          <w:i/>
          <w:lang w:val="de-DE"/>
        </w:rPr>
        <w:t>Mengenangabe</w:t>
      </w:r>
    </w:p>
    <w:p w14:paraId="67B55821" w14:textId="77777777" w:rsidR="00626208" w:rsidRPr="004676F5" w:rsidRDefault="00626208" w:rsidP="00626208">
      <w:pPr>
        <w:jc w:val="both"/>
        <w:rPr>
          <w:lang w:val="de-DE"/>
        </w:rPr>
      </w:pPr>
    </w:p>
    <w:p w14:paraId="3302DAA4" w14:textId="77777777" w:rsidR="00626208" w:rsidRPr="004676F5" w:rsidRDefault="00626208" w:rsidP="00626208">
      <w:pPr>
        <w:jc w:val="both"/>
        <w:rPr>
          <w:lang w:val="de-DE"/>
        </w:rPr>
      </w:pPr>
    </w:p>
    <w:p w14:paraId="0F8A8858" w14:textId="7068B767"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Auf der Verpackung einer für den Verkauf bestimmten aufbereiteten Ware oder mangels Verpackung auf der Ware selbst wird die in einer Maßeinheit ausgedrückte Nennfüllmenge lesbar, sichtbar und unzweideutig angegeben.</w:t>
      </w:r>
    </w:p>
    <w:p w14:paraId="509D4560" w14:textId="77777777" w:rsidR="00626208" w:rsidRPr="004676F5" w:rsidRDefault="00626208" w:rsidP="00626208">
      <w:pPr>
        <w:jc w:val="both"/>
        <w:rPr>
          <w:lang w:val="de-DE"/>
        </w:rPr>
      </w:pPr>
    </w:p>
    <w:p w14:paraId="3C7B5090" w14:textId="4723290F"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Für Waren, die für den Großhandel in Mengen von mehr als zehn Kilogramm oder zehn Liter aufbereitet werden, wird die in einer Maßeinheit ausgedrückte Nennfüllmenge entweder auf der Verpackung oder mangels Verpackung auf der Ware selbst lesbar, sichtbar und unzweideutig angegeben, oder aber auf der Rechnung, dem Versandschein oder jeder anderen Unterlage, die bei der Lieferung übergeben oder versendet werden.</w:t>
      </w:r>
    </w:p>
    <w:p w14:paraId="61CE723C" w14:textId="77777777" w:rsidR="00626208" w:rsidRPr="004676F5" w:rsidRDefault="00626208" w:rsidP="00626208">
      <w:pPr>
        <w:jc w:val="both"/>
        <w:rPr>
          <w:lang w:val="de-DE"/>
        </w:rPr>
      </w:pPr>
    </w:p>
    <w:p w14:paraId="48016467" w14:textId="5CC5F2E6"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Für Waren, die pro Frachteinheit von mehr als zehn Kilogramm oder zehn Liter geliefert werden, wird die in einer Maßeinheit ausgedrückte Nennfüllmenge auf einem Wiege</w:t>
      </w:r>
      <w:r w:rsidR="005B7A5C" w:rsidRPr="004676F5">
        <w:rPr>
          <w:lang w:val="de-DE"/>
        </w:rPr>
        <w:t>- </w:t>
      </w:r>
      <w:r w:rsidRPr="004676F5">
        <w:rPr>
          <w:lang w:val="de-DE"/>
        </w:rPr>
        <w:t>beziehungsweise Messschein angegeben, der dem Käufer bei der Lieferung übergeben wird.</w:t>
      </w:r>
    </w:p>
    <w:p w14:paraId="78759FE0" w14:textId="77777777" w:rsidR="00626208" w:rsidRPr="004676F5" w:rsidRDefault="00626208" w:rsidP="00626208">
      <w:pPr>
        <w:jc w:val="both"/>
        <w:rPr>
          <w:lang w:val="de-DE"/>
        </w:rPr>
      </w:pPr>
    </w:p>
    <w:p w14:paraId="53835A1F" w14:textId="77777777" w:rsidR="00626208" w:rsidRPr="004676F5" w:rsidRDefault="00626208" w:rsidP="00626208">
      <w:pPr>
        <w:jc w:val="both"/>
        <w:rPr>
          <w:lang w:val="de-DE"/>
        </w:rPr>
      </w:pPr>
    </w:p>
    <w:p w14:paraId="712539F1" w14:textId="0A396570"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VI.12</w:t>
      </w:r>
      <w:r w:rsidRPr="004676F5">
        <w:rPr>
          <w:lang w:val="de-DE"/>
        </w:rPr>
        <w:t> </w:t>
      </w:r>
      <w:r w:rsidR="005B7A5C" w:rsidRPr="004676F5">
        <w:rPr>
          <w:lang w:val="de-DE"/>
        </w:rPr>
        <w:t>- </w:t>
      </w:r>
      <w:r w:rsidRPr="004676F5">
        <w:rPr>
          <w:lang w:val="de-DE"/>
        </w:rPr>
        <w:t>Die Verpflichtung zur Angabe der Nennfüllmenge obliegt je nach Fall dem Abfüllbetrieb oder dem Aufbereiter.</w:t>
      </w:r>
    </w:p>
    <w:p w14:paraId="3C2CB4DB" w14:textId="77777777" w:rsidR="00626208" w:rsidRPr="004676F5" w:rsidRDefault="00626208" w:rsidP="00626208">
      <w:pPr>
        <w:jc w:val="both"/>
        <w:rPr>
          <w:lang w:val="de-DE"/>
        </w:rPr>
      </w:pPr>
    </w:p>
    <w:p w14:paraId="1A231B64" w14:textId="77777777" w:rsidR="00626208" w:rsidRPr="004676F5" w:rsidRDefault="00626208" w:rsidP="00626208">
      <w:pPr>
        <w:jc w:val="both"/>
        <w:rPr>
          <w:lang w:val="de-DE"/>
        </w:rPr>
      </w:pPr>
      <w:r w:rsidRPr="004676F5">
        <w:rPr>
          <w:lang w:val="de-DE"/>
        </w:rPr>
        <w:tab/>
        <w:t>Werden Waren eingeführt, obliegt die Verpflichtung zur Angabe der Nennfüllmenge dem Importeur.</w:t>
      </w:r>
    </w:p>
    <w:p w14:paraId="4FDE7909" w14:textId="77777777" w:rsidR="00626208" w:rsidRPr="004676F5" w:rsidRDefault="00626208" w:rsidP="00626208">
      <w:pPr>
        <w:jc w:val="both"/>
        <w:rPr>
          <w:lang w:val="de-DE"/>
        </w:rPr>
      </w:pPr>
    </w:p>
    <w:p w14:paraId="24D62078" w14:textId="77777777" w:rsidR="00626208" w:rsidRPr="004676F5" w:rsidRDefault="00626208" w:rsidP="00626208">
      <w:pPr>
        <w:jc w:val="both"/>
        <w:rPr>
          <w:lang w:val="de-DE"/>
        </w:rPr>
      </w:pPr>
      <w:r w:rsidRPr="004676F5">
        <w:rPr>
          <w:lang w:val="de-DE"/>
        </w:rPr>
        <w:tab/>
        <w:t>Die Verpflichtung zur Angabe der Nennfüllmenge obliegt jedoch demjenigen, der die Aufbereitung beziehungsweise Fertigverpackung vornehmen lässt, wenn dieser den Abfüllbetrieb, den Aufbereiter beziehungsweise den Importeur schriftlich von seinem Vorhaben in Kenntnis gesetzt hat.</w:t>
      </w:r>
    </w:p>
    <w:p w14:paraId="45A85909" w14:textId="77777777" w:rsidR="00626208" w:rsidRPr="004676F5" w:rsidRDefault="00626208" w:rsidP="00626208">
      <w:pPr>
        <w:jc w:val="both"/>
        <w:rPr>
          <w:lang w:val="de-DE"/>
        </w:rPr>
      </w:pPr>
    </w:p>
    <w:p w14:paraId="666C8602" w14:textId="77777777" w:rsidR="00626208" w:rsidRPr="004676F5" w:rsidRDefault="00626208" w:rsidP="00626208">
      <w:pPr>
        <w:jc w:val="both"/>
        <w:rPr>
          <w:lang w:val="de-DE"/>
        </w:rPr>
      </w:pPr>
    </w:p>
    <w:p w14:paraId="6C5DEF76" w14:textId="15234955"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VI.13</w:t>
      </w:r>
      <w:r w:rsidRPr="004676F5">
        <w:rPr>
          <w:lang w:val="de-DE"/>
        </w:rPr>
        <w:t> </w:t>
      </w:r>
      <w:r w:rsidR="005B7A5C" w:rsidRPr="004676F5">
        <w:rPr>
          <w:lang w:val="de-DE"/>
        </w:rPr>
        <w:t>- </w:t>
      </w:r>
      <w:r w:rsidRPr="004676F5">
        <w:rPr>
          <w:lang w:val="de-DE"/>
        </w:rPr>
        <w:t>Ist die Nennfüllmenge nicht gemäß den Bestimmungen von Artikel VI.11 § 1 angegeben worden, darf das Unternehmen Verbrauchern die Waren erst zum Kauf anbieten, nachdem es diese in Maßeinheiten ausgedrückte Menge lesbar, sichtbar und unzweideutig auf der Verpackung oder mangels Verpackung auf der Ware selbst oder auf einer in der Nähe der Ware angebrachten Tafel angegeben hat.</w:t>
      </w:r>
    </w:p>
    <w:p w14:paraId="6AB881EB" w14:textId="77777777" w:rsidR="00626208" w:rsidRPr="004676F5" w:rsidRDefault="00626208" w:rsidP="00626208">
      <w:pPr>
        <w:jc w:val="both"/>
        <w:rPr>
          <w:lang w:val="de-DE"/>
        </w:rPr>
      </w:pPr>
    </w:p>
    <w:p w14:paraId="435CFE8B" w14:textId="77777777" w:rsidR="00626208" w:rsidRPr="004676F5" w:rsidRDefault="00626208" w:rsidP="00626208">
      <w:pPr>
        <w:jc w:val="both"/>
        <w:rPr>
          <w:lang w:val="de-DE"/>
        </w:rPr>
      </w:pPr>
      <w:r w:rsidRPr="004676F5">
        <w:rPr>
          <w:lang w:val="de-DE"/>
        </w:rPr>
        <w:tab/>
        <w:t>Bei lose verkauften Waren muss die Menge nicht angegeben werden.</w:t>
      </w:r>
    </w:p>
    <w:p w14:paraId="619E0318" w14:textId="77777777" w:rsidR="00626208" w:rsidRPr="004676F5" w:rsidRDefault="00626208" w:rsidP="00626208">
      <w:pPr>
        <w:jc w:val="both"/>
        <w:rPr>
          <w:lang w:val="de-DE"/>
        </w:rPr>
      </w:pPr>
    </w:p>
    <w:p w14:paraId="05E99F71" w14:textId="77777777" w:rsidR="00626208" w:rsidRPr="004676F5" w:rsidRDefault="00626208" w:rsidP="00626208">
      <w:pPr>
        <w:jc w:val="both"/>
        <w:rPr>
          <w:lang w:val="de-DE"/>
        </w:rPr>
      </w:pPr>
    </w:p>
    <w:p w14:paraId="6E965EDB" w14:textId="5726EF01"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VI.14</w:t>
      </w:r>
      <w:r w:rsidRPr="004676F5">
        <w:rPr>
          <w:lang w:val="de-DE"/>
        </w:rPr>
        <w:t> </w:t>
      </w:r>
      <w:r w:rsidR="005B7A5C" w:rsidRPr="004676F5">
        <w:rPr>
          <w:lang w:val="de-DE"/>
        </w:rPr>
        <w:t>- </w:t>
      </w:r>
      <w:r w:rsidRPr="004676F5">
        <w:rPr>
          <w:lang w:val="de-DE"/>
        </w:rPr>
        <w:t>Anzeigen der Messinstrumente, die für die Bestimmung der Menge lose verkaufter Waren verwendet werden, müssen für den Durchschnittsverbraucher gut lesbar und sichtbar sein.</w:t>
      </w:r>
    </w:p>
    <w:p w14:paraId="19C1E93A" w14:textId="77777777" w:rsidR="00626208" w:rsidRPr="004676F5" w:rsidRDefault="00626208" w:rsidP="00626208">
      <w:pPr>
        <w:jc w:val="both"/>
        <w:rPr>
          <w:lang w:val="de-DE"/>
        </w:rPr>
      </w:pPr>
    </w:p>
    <w:p w14:paraId="3F1D1EAD" w14:textId="77777777" w:rsidR="00626208" w:rsidRPr="004676F5" w:rsidRDefault="00626208" w:rsidP="00626208">
      <w:pPr>
        <w:jc w:val="both"/>
        <w:rPr>
          <w:lang w:val="de-DE"/>
        </w:rPr>
      </w:pPr>
    </w:p>
    <w:p w14:paraId="5B2EAD0F" w14:textId="5C2268EC"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VI.15</w:t>
      </w:r>
      <w:r w:rsidRPr="004676F5">
        <w:rPr>
          <w:lang w:val="de-DE"/>
        </w:rPr>
        <w:t> </w:t>
      </w:r>
      <w:r w:rsidR="005B7A5C" w:rsidRPr="004676F5">
        <w:rPr>
          <w:lang w:val="de-DE"/>
        </w:rPr>
        <w:t>- </w:t>
      </w:r>
      <w:r w:rsidRPr="004676F5">
        <w:rPr>
          <w:lang w:val="de-DE"/>
        </w:rPr>
        <w:t>An Verbraucher gerichtete Werbung über in vorher festgesetzten Mengen fertigverpackte Waren, in der ein Preis angeführt wird, gibt die Nennfüllmenge des Inhalts der Verpackung gemäß den Bestimmungen des vorliegenden Kapitels an.</w:t>
      </w:r>
    </w:p>
    <w:p w14:paraId="28B20CF7" w14:textId="77777777" w:rsidR="00626208" w:rsidRPr="004676F5" w:rsidRDefault="00626208" w:rsidP="00626208">
      <w:pPr>
        <w:jc w:val="both"/>
        <w:rPr>
          <w:lang w:val="de-DE"/>
        </w:rPr>
      </w:pPr>
    </w:p>
    <w:p w14:paraId="51A82484" w14:textId="77777777" w:rsidR="00626208" w:rsidRPr="004676F5" w:rsidRDefault="00626208" w:rsidP="00626208">
      <w:pPr>
        <w:jc w:val="both"/>
        <w:rPr>
          <w:lang w:val="de-DE"/>
        </w:rPr>
      </w:pPr>
    </w:p>
    <w:p w14:paraId="3A8DAC0D" w14:textId="77777777" w:rsidR="00626208" w:rsidRPr="004676F5" w:rsidRDefault="00626208">
      <w:pPr>
        <w:rPr>
          <w:lang w:val="de-DE"/>
        </w:rPr>
      </w:pPr>
      <w:r w:rsidRPr="004676F5">
        <w:rPr>
          <w:lang w:val="de-DE"/>
        </w:rPr>
        <w:br w:type="page"/>
      </w:r>
    </w:p>
    <w:p w14:paraId="680E4F3A" w14:textId="78CD8562" w:rsidR="00626208" w:rsidRPr="004676F5" w:rsidRDefault="00626208" w:rsidP="00626208">
      <w:pPr>
        <w:jc w:val="both"/>
        <w:rPr>
          <w:lang w:val="de-DE"/>
        </w:rPr>
      </w:pPr>
      <w:r w:rsidRPr="004676F5">
        <w:rPr>
          <w:lang w:val="de-DE"/>
        </w:rPr>
        <w:lastRenderedPageBreak/>
        <w:tab/>
      </w:r>
      <w:r w:rsidR="00BE0A56" w:rsidRPr="004676F5">
        <w:rPr>
          <w:b/>
          <w:lang w:val="de-DE"/>
        </w:rPr>
        <w:t>Art. </w:t>
      </w:r>
      <w:r w:rsidRPr="004676F5">
        <w:rPr>
          <w:b/>
          <w:lang w:val="de-DE"/>
        </w:rPr>
        <w:t>VI.16</w:t>
      </w:r>
      <w:r w:rsidRPr="004676F5">
        <w:rPr>
          <w:lang w:val="de-DE"/>
        </w:rPr>
        <w:t> </w:t>
      </w:r>
      <w:r w:rsidR="005B7A5C" w:rsidRPr="004676F5">
        <w:rPr>
          <w:lang w:val="de-DE"/>
        </w:rPr>
        <w:t>- </w:t>
      </w:r>
      <w:r w:rsidRPr="004676F5">
        <w:rPr>
          <w:lang w:val="de-DE"/>
        </w:rPr>
        <w:t>Der König kann für Waren beziehungsweise Kategorien von Waren, die Er bestimmt:</w:t>
      </w:r>
    </w:p>
    <w:p w14:paraId="0802627A" w14:textId="77777777" w:rsidR="00626208" w:rsidRPr="004676F5" w:rsidRDefault="00626208" w:rsidP="00626208">
      <w:pPr>
        <w:jc w:val="both"/>
        <w:rPr>
          <w:lang w:val="de-DE"/>
        </w:rPr>
      </w:pPr>
    </w:p>
    <w:p w14:paraId="5E88A634" w14:textId="77777777" w:rsidR="00626208" w:rsidRPr="004676F5" w:rsidRDefault="00626208" w:rsidP="00626208">
      <w:pPr>
        <w:jc w:val="both"/>
        <w:rPr>
          <w:lang w:val="de-DE"/>
        </w:rPr>
      </w:pPr>
      <w:r w:rsidRPr="004676F5">
        <w:rPr>
          <w:lang w:val="de-DE"/>
        </w:rPr>
        <w:tab/>
        <w:t>1. besondere Modalitäten für die Mengenangabe vorschreiben,</w:t>
      </w:r>
    </w:p>
    <w:p w14:paraId="3B5D0876" w14:textId="77777777" w:rsidR="00626208" w:rsidRPr="004676F5" w:rsidRDefault="00626208" w:rsidP="00626208">
      <w:pPr>
        <w:jc w:val="both"/>
        <w:rPr>
          <w:lang w:val="de-DE"/>
        </w:rPr>
      </w:pPr>
    </w:p>
    <w:p w14:paraId="7B1A5C19" w14:textId="77777777" w:rsidR="00626208" w:rsidRPr="004676F5" w:rsidRDefault="00626208" w:rsidP="00626208">
      <w:pPr>
        <w:jc w:val="both"/>
        <w:rPr>
          <w:lang w:val="de-DE"/>
        </w:rPr>
      </w:pPr>
      <w:r w:rsidRPr="004676F5">
        <w:rPr>
          <w:lang w:val="de-DE"/>
        </w:rPr>
        <w:tab/>
        <w:t>2. von den in den Artikeln VI.11 bis VI.13 auferlegten Verpflichtungen befreien,</w:t>
      </w:r>
    </w:p>
    <w:p w14:paraId="3D4C24FE" w14:textId="77777777" w:rsidR="00626208" w:rsidRPr="004676F5" w:rsidRDefault="00626208" w:rsidP="00626208">
      <w:pPr>
        <w:jc w:val="both"/>
        <w:rPr>
          <w:lang w:val="de-DE"/>
        </w:rPr>
      </w:pPr>
    </w:p>
    <w:p w14:paraId="2D33EC22" w14:textId="77777777" w:rsidR="00626208" w:rsidRPr="004676F5" w:rsidRDefault="00626208" w:rsidP="00626208">
      <w:pPr>
        <w:jc w:val="both"/>
        <w:rPr>
          <w:lang w:val="de-DE"/>
        </w:rPr>
      </w:pPr>
      <w:r w:rsidRPr="004676F5">
        <w:rPr>
          <w:lang w:val="de-DE"/>
        </w:rPr>
        <w:tab/>
        <w:t>3. von der Angabe der in einer Maßeinheit ausgedrückten Nennfüllmenge befreien und eine andere Verkaufseinheit vorschreiben,</w:t>
      </w:r>
    </w:p>
    <w:p w14:paraId="3BF68F3F" w14:textId="77777777" w:rsidR="00626208" w:rsidRPr="004676F5" w:rsidRDefault="00626208" w:rsidP="00626208">
      <w:pPr>
        <w:jc w:val="both"/>
        <w:rPr>
          <w:lang w:val="de-DE"/>
        </w:rPr>
      </w:pPr>
    </w:p>
    <w:p w14:paraId="7CE234E1" w14:textId="77777777" w:rsidR="00626208" w:rsidRPr="004676F5" w:rsidRDefault="00626208" w:rsidP="00626208">
      <w:pPr>
        <w:jc w:val="both"/>
        <w:rPr>
          <w:lang w:val="de-DE"/>
        </w:rPr>
      </w:pPr>
      <w:r w:rsidRPr="004676F5">
        <w:rPr>
          <w:lang w:val="de-DE"/>
        </w:rPr>
        <w:tab/>
        <w:t>4. zulässige Abweichungen zwischen angegebener Nennfüllmenge und tatsächlicher Menge und Modalitäten der Kontrolle dieser Abweichungen bestimmen,</w:t>
      </w:r>
    </w:p>
    <w:p w14:paraId="0D13A982" w14:textId="77777777" w:rsidR="00626208" w:rsidRPr="004676F5" w:rsidRDefault="00626208" w:rsidP="00626208">
      <w:pPr>
        <w:jc w:val="both"/>
        <w:rPr>
          <w:lang w:val="de-DE"/>
        </w:rPr>
      </w:pPr>
    </w:p>
    <w:p w14:paraId="465A86D1" w14:textId="77777777" w:rsidR="00626208" w:rsidRPr="004676F5" w:rsidRDefault="00626208" w:rsidP="00626208">
      <w:pPr>
        <w:jc w:val="both"/>
        <w:rPr>
          <w:lang w:val="de-DE"/>
        </w:rPr>
      </w:pPr>
      <w:r w:rsidRPr="004676F5">
        <w:rPr>
          <w:lang w:val="de-DE"/>
        </w:rPr>
        <w:tab/>
        <w:t>5. Nennfüllmengen für Inhalt und/oder Behältnisse von Waren festlegen, die zum Inverkehrbringen bestimmt sind,</w:t>
      </w:r>
    </w:p>
    <w:p w14:paraId="19F2C84F" w14:textId="77777777" w:rsidR="00626208" w:rsidRPr="004676F5" w:rsidRDefault="00626208" w:rsidP="00626208">
      <w:pPr>
        <w:jc w:val="both"/>
        <w:rPr>
          <w:lang w:val="de-DE"/>
        </w:rPr>
      </w:pPr>
    </w:p>
    <w:p w14:paraId="11FB4403" w14:textId="77777777" w:rsidR="00626208" w:rsidRPr="004676F5" w:rsidRDefault="00626208" w:rsidP="00626208">
      <w:pPr>
        <w:jc w:val="both"/>
        <w:rPr>
          <w:lang w:val="de-DE"/>
        </w:rPr>
      </w:pPr>
      <w:r w:rsidRPr="004676F5">
        <w:rPr>
          <w:lang w:val="de-DE"/>
        </w:rPr>
        <w:tab/>
        <w:t>6. die Angabe der in einer Fertigpackung enthaltenen Anzahl Stücke vorschreiben und zulässige Abweichungen zwischen angegebener und tatsächlicher Stückzahl und Modalitäten der Kontrolle dieser Abweichungen bestimmen.</w:t>
      </w:r>
    </w:p>
    <w:p w14:paraId="6F6CDB3D" w14:textId="77777777" w:rsidR="00626208" w:rsidRPr="004676F5" w:rsidRDefault="00626208" w:rsidP="00626208">
      <w:pPr>
        <w:rPr>
          <w:lang w:val="de-DE"/>
        </w:rPr>
      </w:pPr>
    </w:p>
    <w:p w14:paraId="3E239D2F" w14:textId="77777777" w:rsidR="00626208" w:rsidRPr="004676F5" w:rsidRDefault="00626208">
      <w:pPr>
        <w:rPr>
          <w:lang w:val="de-DE"/>
        </w:rPr>
      </w:pPr>
      <w:r w:rsidRPr="004676F5">
        <w:rPr>
          <w:lang w:val="de-DE"/>
        </w:rPr>
        <w:br w:type="page"/>
      </w:r>
    </w:p>
    <w:p w14:paraId="7751EECF" w14:textId="5E2A82F2" w:rsidR="00626208" w:rsidRPr="004676F5" w:rsidRDefault="00626208" w:rsidP="00626208">
      <w:pPr>
        <w:jc w:val="center"/>
        <w:rPr>
          <w:lang w:val="de-DE"/>
        </w:rPr>
      </w:pPr>
      <w:r w:rsidRPr="004676F5">
        <w:rPr>
          <w:lang w:val="de-DE"/>
        </w:rPr>
        <w:lastRenderedPageBreak/>
        <w:t>KAPITEL 5 </w:t>
      </w:r>
      <w:r w:rsidR="005B7A5C" w:rsidRPr="004676F5">
        <w:rPr>
          <w:lang w:val="de-DE"/>
        </w:rPr>
        <w:t>- </w:t>
      </w:r>
      <w:r w:rsidRPr="004676F5">
        <w:rPr>
          <w:i/>
          <w:lang w:val="de-DE"/>
        </w:rPr>
        <w:t>Vergleichende Werbung</w:t>
      </w:r>
    </w:p>
    <w:p w14:paraId="1D437A21" w14:textId="77777777" w:rsidR="00626208" w:rsidRPr="004676F5" w:rsidRDefault="00626208" w:rsidP="00626208">
      <w:pPr>
        <w:jc w:val="both"/>
        <w:rPr>
          <w:lang w:val="de-DE"/>
        </w:rPr>
      </w:pPr>
    </w:p>
    <w:p w14:paraId="40B11270" w14:textId="77777777" w:rsidR="00626208" w:rsidRPr="004676F5" w:rsidRDefault="00626208" w:rsidP="00626208">
      <w:pPr>
        <w:jc w:val="both"/>
        <w:rPr>
          <w:lang w:val="de-DE"/>
        </w:rPr>
      </w:pPr>
    </w:p>
    <w:p w14:paraId="641D3358" w14:textId="59730692"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Vergleichende Werbung gilt, was den Vergleich anbelangt, als zulässig, sofern folgende Bedingungen erfüllt sind:</w:t>
      </w:r>
    </w:p>
    <w:p w14:paraId="4F479CF2" w14:textId="77777777" w:rsidR="00626208" w:rsidRPr="004676F5" w:rsidRDefault="00626208" w:rsidP="00626208">
      <w:pPr>
        <w:jc w:val="both"/>
        <w:rPr>
          <w:lang w:val="de-DE"/>
        </w:rPr>
      </w:pPr>
    </w:p>
    <w:p w14:paraId="095CD1ED" w14:textId="77AFA8B8" w:rsidR="00626208" w:rsidRPr="004676F5" w:rsidRDefault="00626208" w:rsidP="00626208">
      <w:pPr>
        <w:jc w:val="both"/>
        <w:rPr>
          <w:lang w:val="de-DE"/>
        </w:rPr>
      </w:pPr>
      <w:r w:rsidRPr="004676F5">
        <w:rPr>
          <w:lang w:val="de-DE"/>
        </w:rPr>
        <w:tab/>
        <w:t xml:space="preserve">1. Sie ist nicht irreführend im Sinne der Artikel VI.97 bis VI.100 und </w:t>
      </w:r>
      <w:r w:rsidR="00EB24A8" w:rsidRPr="004676F5">
        <w:rPr>
          <w:lang w:val="de-DE"/>
        </w:rPr>
        <w:t>[</w:t>
      </w:r>
      <w:r w:rsidRPr="004676F5">
        <w:rPr>
          <w:lang w:val="de-DE"/>
        </w:rPr>
        <w:t xml:space="preserve">VI.105 </w:t>
      </w:r>
      <w:r w:rsidR="00EB24A8" w:rsidRPr="004676F5">
        <w:rPr>
          <w:lang w:val="de-DE"/>
        </w:rPr>
        <w:t>bis VI.109]</w:t>
      </w:r>
      <w:r w:rsidRPr="004676F5">
        <w:rPr>
          <w:lang w:val="de-DE"/>
        </w:rPr>
        <w:t>.</w:t>
      </w:r>
    </w:p>
    <w:p w14:paraId="48EE14B0" w14:textId="77777777" w:rsidR="00626208" w:rsidRPr="004676F5" w:rsidRDefault="00626208" w:rsidP="00626208">
      <w:pPr>
        <w:jc w:val="both"/>
        <w:rPr>
          <w:lang w:val="de-DE"/>
        </w:rPr>
      </w:pPr>
    </w:p>
    <w:p w14:paraId="709C887D" w14:textId="77777777" w:rsidR="00626208" w:rsidRPr="004676F5" w:rsidRDefault="00626208" w:rsidP="00626208">
      <w:pPr>
        <w:jc w:val="both"/>
        <w:rPr>
          <w:lang w:val="de-DE"/>
        </w:rPr>
      </w:pPr>
      <w:r w:rsidRPr="004676F5">
        <w:rPr>
          <w:lang w:val="de-DE"/>
        </w:rPr>
        <w:tab/>
        <w:t>2. Sie vergleicht Waren oder Dienstleistungen für den gleichen Bedarf oder dieselbe Zweckbestimmung.</w:t>
      </w:r>
    </w:p>
    <w:p w14:paraId="402D1A79" w14:textId="77777777" w:rsidR="00626208" w:rsidRPr="004676F5" w:rsidRDefault="00626208" w:rsidP="00626208">
      <w:pPr>
        <w:jc w:val="both"/>
        <w:rPr>
          <w:lang w:val="de-DE"/>
        </w:rPr>
      </w:pPr>
    </w:p>
    <w:p w14:paraId="1D5D5F90" w14:textId="77777777" w:rsidR="00626208" w:rsidRPr="004676F5" w:rsidRDefault="00626208" w:rsidP="00626208">
      <w:pPr>
        <w:jc w:val="both"/>
        <w:rPr>
          <w:lang w:val="de-DE"/>
        </w:rPr>
      </w:pPr>
      <w:r w:rsidRPr="004676F5">
        <w:rPr>
          <w:lang w:val="de-DE"/>
        </w:rPr>
        <w:tab/>
        <w:t>3. Sie vergleicht objektiv eine oder mehrere wesentliche, relevante, nachprüfbare und typische Eigenschaften dieser Waren und Dienstleistungen, zu denen auch der Preis gehören kann.</w:t>
      </w:r>
    </w:p>
    <w:p w14:paraId="2227D55B" w14:textId="77777777" w:rsidR="00626208" w:rsidRPr="004676F5" w:rsidRDefault="00626208" w:rsidP="00626208">
      <w:pPr>
        <w:jc w:val="both"/>
        <w:rPr>
          <w:lang w:val="de-DE"/>
        </w:rPr>
      </w:pPr>
    </w:p>
    <w:p w14:paraId="6D30C6D1" w14:textId="77777777" w:rsidR="00626208" w:rsidRPr="004676F5" w:rsidRDefault="00626208" w:rsidP="00626208">
      <w:pPr>
        <w:jc w:val="both"/>
        <w:rPr>
          <w:lang w:val="de-DE"/>
        </w:rPr>
      </w:pPr>
      <w:r w:rsidRPr="004676F5">
        <w:rPr>
          <w:lang w:val="de-DE"/>
        </w:rPr>
        <w:tab/>
        <w:t>4. Sie begründet bei den Unternehmen keine Verwechslungsgefahr zwischen dem Werbenden und einem Mitbewerber oder zwischen Marken, Handelsnamen, anderen Unterscheidungszeichen, Waren oder Dienstleistungen des Werbenden und denen eines Mitbewerbers.</w:t>
      </w:r>
    </w:p>
    <w:p w14:paraId="03483A10" w14:textId="77777777" w:rsidR="00626208" w:rsidRPr="004676F5" w:rsidRDefault="00626208" w:rsidP="00626208">
      <w:pPr>
        <w:jc w:val="both"/>
        <w:rPr>
          <w:lang w:val="de-DE"/>
        </w:rPr>
      </w:pPr>
    </w:p>
    <w:p w14:paraId="04E82E4A" w14:textId="77777777" w:rsidR="00626208" w:rsidRPr="004676F5" w:rsidRDefault="00626208" w:rsidP="00626208">
      <w:pPr>
        <w:jc w:val="both"/>
        <w:rPr>
          <w:lang w:val="de-DE"/>
        </w:rPr>
      </w:pPr>
      <w:r w:rsidRPr="004676F5">
        <w:rPr>
          <w:lang w:val="de-DE"/>
        </w:rPr>
        <w:tab/>
        <w:t>5. Durch sie werden weder Marken, Handelsnamen oder andere Unterscheidungs</w:t>
      </w:r>
      <w:r w:rsidRPr="004676F5">
        <w:rPr>
          <w:lang w:val="de-DE"/>
        </w:rPr>
        <w:softHyphen/>
        <w:t>zeichen noch Waren, Dienstleistungen, Tätigkeiten oder Verhältnisse eines Mitbewerbers herabgesetzt oder verunglimpft.</w:t>
      </w:r>
    </w:p>
    <w:p w14:paraId="5A448262" w14:textId="77777777" w:rsidR="00626208" w:rsidRPr="004676F5" w:rsidRDefault="00626208" w:rsidP="00626208">
      <w:pPr>
        <w:jc w:val="both"/>
        <w:rPr>
          <w:lang w:val="de-DE"/>
        </w:rPr>
      </w:pPr>
    </w:p>
    <w:p w14:paraId="114ACE99" w14:textId="77777777" w:rsidR="00626208" w:rsidRPr="004676F5" w:rsidRDefault="00626208" w:rsidP="00626208">
      <w:pPr>
        <w:jc w:val="both"/>
        <w:rPr>
          <w:lang w:val="de-DE"/>
        </w:rPr>
      </w:pPr>
      <w:r w:rsidRPr="004676F5">
        <w:rPr>
          <w:lang w:val="de-DE"/>
        </w:rPr>
        <w:tab/>
        <w:t>6. Bei Waren mit Ursprungsbezeichnung bezieht sie sich in jedem Fall auf Waren mit der gleichen Bezeichnung.</w:t>
      </w:r>
    </w:p>
    <w:p w14:paraId="7DE48870" w14:textId="77777777" w:rsidR="00626208" w:rsidRPr="004676F5" w:rsidRDefault="00626208" w:rsidP="00626208">
      <w:pPr>
        <w:jc w:val="both"/>
        <w:rPr>
          <w:lang w:val="de-DE"/>
        </w:rPr>
      </w:pPr>
    </w:p>
    <w:p w14:paraId="43532E1E" w14:textId="77777777" w:rsidR="00626208" w:rsidRPr="004676F5" w:rsidRDefault="00626208" w:rsidP="00626208">
      <w:pPr>
        <w:jc w:val="both"/>
        <w:rPr>
          <w:lang w:val="de-DE"/>
        </w:rPr>
      </w:pPr>
      <w:r w:rsidRPr="004676F5">
        <w:rPr>
          <w:lang w:val="de-DE"/>
        </w:rPr>
        <w:tab/>
        <w:t>7. Sie nutzt den Ruf einer Marke, eines Handelsnamens oder anderer Unterscheidungs</w:t>
      </w:r>
      <w:r w:rsidRPr="004676F5">
        <w:rPr>
          <w:lang w:val="de-DE"/>
        </w:rPr>
        <w:softHyphen/>
        <w:t>zeichen eines Mitbewerbers oder der Ursprungsbezeichnung von Konkurrenzwaren nicht in unlauterer Weise aus.</w:t>
      </w:r>
    </w:p>
    <w:p w14:paraId="691D116F" w14:textId="77777777" w:rsidR="00626208" w:rsidRPr="004676F5" w:rsidRDefault="00626208" w:rsidP="00626208">
      <w:pPr>
        <w:jc w:val="both"/>
        <w:rPr>
          <w:lang w:val="de-DE"/>
        </w:rPr>
      </w:pPr>
    </w:p>
    <w:p w14:paraId="1B32B5AE" w14:textId="77777777" w:rsidR="00626208" w:rsidRPr="004676F5" w:rsidRDefault="00626208" w:rsidP="00626208">
      <w:pPr>
        <w:jc w:val="both"/>
        <w:rPr>
          <w:lang w:val="de-DE"/>
        </w:rPr>
      </w:pPr>
      <w:r w:rsidRPr="004676F5">
        <w:rPr>
          <w:lang w:val="de-DE"/>
        </w:rPr>
        <w:tab/>
        <w:t>8. Sie stellt nicht eine Ware oder eine Dienstleistung als Imitation oder Nachahmung einer Ware oder einer Dienstleistung mit geschützter Marke oder geschütztem Handelsnamen dar.</w:t>
      </w:r>
    </w:p>
    <w:p w14:paraId="03708C56" w14:textId="77777777" w:rsidR="00626208" w:rsidRPr="004676F5" w:rsidRDefault="00626208" w:rsidP="00626208">
      <w:pPr>
        <w:jc w:val="both"/>
        <w:rPr>
          <w:lang w:val="de-DE"/>
        </w:rPr>
      </w:pPr>
    </w:p>
    <w:p w14:paraId="0FC47498" w14:textId="42B7E849"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Verboten ist jede vergleichende Werbung, die den in § 1 festgelegten Bedingungen nicht entspricht.</w:t>
      </w:r>
    </w:p>
    <w:p w14:paraId="7EB9AB47" w14:textId="77777777" w:rsidR="00626208" w:rsidRPr="004676F5" w:rsidRDefault="00626208" w:rsidP="00626208">
      <w:pPr>
        <w:jc w:val="both"/>
        <w:rPr>
          <w:lang w:val="de-DE"/>
        </w:rPr>
      </w:pPr>
    </w:p>
    <w:p w14:paraId="1EBF0E6A" w14:textId="3F3BA475" w:rsidR="00626208" w:rsidRPr="004676F5" w:rsidRDefault="00EB24A8">
      <w:pPr>
        <w:rPr>
          <w:lang w:val="de-DE"/>
        </w:rPr>
      </w:pPr>
      <w:r w:rsidRPr="004676F5">
        <w:rPr>
          <w:i/>
          <w:iCs/>
          <w:lang w:val="de-DE"/>
        </w:rPr>
        <w:t>[Art. VI.17 § 1 einziger Absatz Nr. 1 abgeändert durch Art. 12 des G. vom 4. April 2019 (B.S. vom 24. Mai 2019)]</w:t>
      </w:r>
      <w:r w:rsidR="00626208" w:rsidRPr="004676F5">
        <w:rPr>
          <w:lang w:val="de-DE"/>
        </w:rPr>
        <w:br w:type="page"/>
      </w:r>
    </w:p>
    <w:p w14:paraId="2298C6E3" w14:textId="3A6B307A" w:rsidR="00626208" w:rsidRPr="004676F5" w:rsidRDefault="00626208" w:rsidP="00626208">
      <w:pPr>
        <w:jc w:val="center"/>
        <w:rPr>
          <w:lang w:val="de-DE"/>
        </w:rPr>
      </w:pPr>
      <w:r w:rsidRPr="004676F5">
        <w:rPr>
          <w:lang w:val="de-DE"/>
        </w:rPr>
        <w:lastRenderedPageBreak/>
        <w:t>KAPITEL 6 </w:t>
      </w:r>
      <w:r w:rsidR="005B7A5C" w:rsidRPr="004676F5">
        <w:rPr>
          <w:lang w:val="de-DE"/>
        </w:rPr>
        <w:t>- </w:t>
      </w:r>
      <w:r w:rsidRPr="004676F5">
        <w:rPr>
          <w:i/>
          <w:lang w:val="de-DE"/>
        </w:rPr>
        <w:t>Verkaufsförderung über den Preis</w:t>
      </w:r>
    </w:p>
    <w:p w14:paraId="5A12A5CA" w14:textId="77777777" w:rsidR="00626208" w:rsidRPr="004676F5" w:rsidRDefault="00626208" w:rsidP="00626208">
      <w:pPr>
        <w:jc w:val="both"/>
        <w:rPr>
          <w:lang w:val="de-DE"/>
        </w:rPr>
      </w:pPr>
    </w:p>
    <w:p w14:paraId="186F207C" w14:textId="77777777" w:rsidR="00626208" w:rsidRPr="004676F5" w:rsidRDefault="00626208" w:rsidP="00626208">
      <w:pPr>
        <w:jc w:val="both"/>
        <w:rPr>
          <w:lang w:val="de-DE"/>
        </w:rPr>
      </w:pPr>
    </w:p>
    <w:p w14:paraId="7A3DF050" w14:textId="61D0E58D" w:rsidR="00626208" w:rsidRPr="004676F5" w:rsidRDefault="00422BD6" w:rsidP="00626208">
      <w:pPr>
        <w:jc w:val="center"/>
        <w:rPr>
          <w:lang w:val="de-DE"/>
        </w:rPr>
      </w:pPr>
      <w:r w:rsidRPr="004676F5">
        <w:rPr>
          <w:lang w:val="de-DE"/>
        </w:rPr>
        <w:t>[</w:t>
      </w:r>
      <w:r w:rsidR="00626208" w:rsidRPr="004676F5">
        <w:rPr>
          <w:i/>
          <w:lang w:val="de-DE"/>
        </w:rPr>
        <w:t>Abschnitt 1</w:t>
      </w:r>
      <w:r w:rsidR="00626208" w:rsidRPr="004676F5">
        <w:rPr>
          <w:lang w:val="de-DE"/>
        </w:rPr>
        <w:t> </w:t>
      </w:r>
      <w:r w:rsidR="005B7A5C" w:rsidRPr="004676F5">
        <w:rPr>
          <w:lang w:val="de-DE"/>
        </w:rPr>
        <w:t>- </w:t>
      </w:r>
      <w:r w:rsidR="00C9701A" w:rsidRPr="004676F5">
        <w:rPr>
          <w:lang w:val="de-DE"/>
        </w:rPr>
        <w:t>Bekanntgabe von Preisermäßigungen</w:t>
      </w:r>
      <w:r w:rsidR="00EE76B7" w:rsidRPr="004676F5">
        <w:rPr>
          <w:lang w:val="de-DE"/>
        </w:rPr>
        <w:t>]</w:t>
      </w:r>
    </w:p>
    <w:p w14:paraId="353920E7" w14:textId="77777777" w:rsidR="00EE76B7" w:rsidRPr="004676F5" w:rsidRDefault="00EE76B7" w:rsidP="00626208">
      <w:pPr>
        <w:jc w:val="center"/>
        <w:rPr>
          <w:lang w:val="de-DE"/>
        </w:rPr>
      </w:pPr>
    </w:p>
    <w:p w14:paraId="6BB010DC" w14:textId="5DDFF7A1" w:rsidR="00EE76B7" w:rsidRPr="004676F5" w:rsidRDefault="00EE76B7" w:rsidP="00EE76B7">
      <w:pPr>
        <w:jc w:val="both"/>
        <w:rPr>
          <w:i/>
          <w:lang w:val="de-DE"/>
        </w:rPr>
      </w:pPr>
      <w:r w:rsidRPr="004676F5">
        <w:rPr>
          <w:i/>
          <w:lang w:val="de-DE"/>
        </w:rPr>
        <w:t>[</w:t>
      </w:r>
      <w:r w:rsidR="007D64D3" w:rsidRPr="004676F5">
        <w:rPr>
          <w:i/>
          <w:lang w:val="de-DE"/>
        </w:rPr>
        <w:t xml:space="preserve">Unterteilung </w:t>
      </w:r>
      <w:r w:rsidRPr="004676F5">
        <w:rPr>
          <w:i/>
          <w:lang w:val="de-DE"/>
        </w:rPr>
        <w:t xml:space="preserve">Abschnitt 1 aufgehoben durch </w:t>
      </w:r>
      <w:r w:rsidR="00BE0A56" w:rsidRPr="004676F5">
        <w:rPr>
          <w:i/>
          <w:lang w:val="de-DE"/>
        </w:rPr>
        <w:t>Art. </w:t>
      </w:r>
      <w:r w:rsidRPr="004676F5">
        <w:rPr>
          <w:i/>
          <w:lang w:val="de-DE"/>
        </w:rPr>
        <w:t>7</w:t>
      </w:r>
      <w:r w:rsidRPr="004676F5">
        <w:rPr>
          <w:i/>
          <w:iCs/>
          <w:lang w:val="de-DE"/>
        </w:rPr>
        <w:t xml:space="preserve"> </w:t>
      </w:r>
      <w:r w:rsidRPr="004676F5">
        <w:rPr>
          <w:i/>
          <w:lang w:val="de-DE"/>
        </w:rPr>
        <w:t>des G. vom 26. Oktober 2015 (B.S. vom 30. Oktober 2015)</w:t>
      </w:r>
      <w:r w:rsidR="00C9701A" w:rsidRPr="004676F5">
        <w:rPr>
          <w:i/>
          <w:lang w:val="de-DE"/>
        </w:rPr>
        <w:t xml:space="preserve"> und wieder aufgenommen durch Art. 10</w:t>
      </w:r>
      <w:r w:rsidR="00C9701A" w:rsidRPr="004676F5">
        <w:rPr>
          <w:i/>
          <w:iCs/>
          <w:lang w:val="de-DE"/>
        </w:rPr>
        <w:t xml:space="preserve"> des G. vom 8. Mai 2022 (B.S. vom 2. Juni 2022)</w:t>
      </w:r>
      <w:r w:rsidRPr="004676F5">
        <w:rPr>
          <w:i/>
          <w:lang w:val="de-DE"/>
        </w:rPr>
        <w:t>]</w:t>
      </w:r>
    </w:p>
    <w:p w14:paraId="5C83CB0C" w14:textId="77777777" w:rsidR="00626208" w:rsidRPr="004676F5" w:rsidRDefault="00626208" w:rsidP="00626208">
      <w:pPr>
        <w:jc w:val="both"/>
        <w:rPr>
          <w:lang w:val="de-DE"/>
        </w:rPr>
      </w:pPr>
    </w:p>
    <w:p w14:paraId="47116067" w14:textId="77777777" w:rsidR="00626208" w:rsidRPr="004676F5" w:rsidRDefault="00626208" w:rsidP="00626208">
      <w:pPr>
        <w:jc w:val="both"/>
        <w:rPr>
          <w:lang w:val="de-DE"/>
        </w:rPr>
      </w:pPr>
    </w:p>
    <w:p w14:paraId="17CFA63D" w14:textId="505BA1B8" w:rsidR="00C9701A" w:rsidRPr="004676F5" w:rsidRDefault="00626208" w:rsidP="00C9701A">
      <w:pPr>
        <w:jc w:val="both"/>
        <w:rPr>
          <w:lang w:val="de-DE"/>
        </w:rPr>
      </w:pPr>
      <w:r w:rsidRPr="004676F5">
        <w:rPr>
          <w:b/>
          <w:bCs/>
          <w:lang w:val="de-DE"/>
        </w:rPr>
        <w:tab/>
      </w:r>
      <w:r w:rsidR="00BE0A56" w:rsidRPr="004676F5">
        <w:rPr>
          <w:b/>
          <w:bCs/>
          <w:lang w:val="de-DE"/>
        </w:rPr>
        <w:t>Art. </w:t>
      </w:r>
      <w:r w:rsidRPr="004676F5">
        <w:rPr>
          <w:b/>
          <w:bCs/>
          <w:lang w:val="de-DE"/>
        </w:rPr>
        <w:t>VI.18 </w:t>
      </w:r>
      <w:r w:rsidR="005B7A5C" w:rsidRPr="004676F5">
        <w:rPr>
          <w:b/>
          <w:bCs/>
          <w:lang w:val="de-DE"/>
        </w:rPr>
        <w:t>- </w:t>
      </w:r>
      <w:r w:rsidR="00C9701A" w:rsidRPr="004676F5">
        <w:rPr>
          <w:lang w:val="de-DE"/>
        </w:rPr>
        <w:t>[§ 1 </w:t>
      </w:r>
      <w:r w:rsidR="005B7A5C" w:rsidRPr="004676F5">
        <w:rPr>
          <w:lang w:val="de-DE"/>
        </w:rPr>
        <w:t>- </w:t>
      </w:r>
      <w:r w:rsidR="00C9701A" w:rsidRPr="004676F5">
        <w:rPr>
          <w:lang w:val="de-DE"/>
        </w:rPr>
        <w:t>Bei jeder Bekanntgabe einer Preisermäßigung an den Verbraucher ist der vorherige Preis anzugeben, den das Unternehmen vor der Preisermäßigung über einen bestimmten Zeitraum angewandt hat.</w:t>
      </w:r>
    </w:p>
    <w:p w14:paraId="142932D4" w14:textId="77777777" w:rsidR="00C9701A" w:rsidRPr="004676F5" w:rsidRDefault="00C9701A" w:rsidP="00C9701A">
      <w:pPr>
        <w:jc w:val="both"/>
        <w:rPr>
          <w:lang w:val="de-DE"/>
        </w:rPr>
      </w:pPr>
    </w:p>
    <w:p w14:paraId="0B8F9921" w14:textId="77777777" w:rsidR="00C9701A" w:rsidRPr="004676F5" w:rsidRDefault="00C9701A" w:rsidP="00C9701A">
      <w:pPr>
        <w:jc w:val="both"/>
        <w:rPr>
          <w:lang w:val="de-DE"/>
        </w:rPr>
      </w:pPr>
      <w:r w:rsidRPr="004676F5">
        <w:rPr>
          <w:lang w:val="de-DE"/>
        </w:rPr>
        <w:tab/>
        <w:t>Der vorherige Preis ist der niedrigste Preis, den das Unternehmen innerhalb eines Zeitraums von dreißig Tagen vor Anwendung der Preisermäßigung angewandt hat.</w:t>
      </w:r>
    </w:p>
    <w:p w14:paraId="1EF23D9D" w14:textId="77777777" w:rsidR="00C9701A" w:rsidRPr="004676F5" w:rsidRDefault="00C9701A" w:rsidP="00C9701A">
      <w:pPr>
        <w:jc w:val="both"/>
        <w:rPr>
          <w:lang w:val="de-DE"/>
        </w:rPr>
      </w:pPr>
    </w:p>
    <w:p w14:paraId="4E327378" w14:textId="77777777" w:rsidR="00C9701A" w:rsidRPr="004676F5" w:rsidRDefault="00C9701A" w:rsidP="00C9701A">
      <w:pPr>
        <w:jc w:val="both"/>
        <w:rPr>
          <w:lang w:val="de-DE"/>
        </w:rPr>
      </w:pPr>
      <w:r w:rsidRPr="004676F5">
        <w:rPr>
          <w:lang w:val="de-DE"/>
        </w:rPr>
        <w:tab/>
        <w:t>Betreibt ein Unternehmen mehrere Verkaufsstellen oder verwendet es mehrere Verkaufstechniken, so ist der Referenzpreis der niedrigste Preis, den es im Laufe des in Absatz 2 erwähnten Zeitraums in der Verkaufsstelle oder im Rahmen der Verkaufstechnik, für die die Bekanntgabe gemacht wird, angewandt hat.</w:t>
      </w:r>
    </w:p>
    <w:p w14:paraId="0084AEB8" w14:textId="77777777" w:rsidR="00C9701A" w:rsidRPr="004676F5" w:rsidRDefault="00C9701A" w:rsidP="00C9701A">
      <w:pPr>
        <w:jc w:val="both"/>
        <w:rPr>
          <w:lang w:val="de-DE"/>
        </w:rPr>
      </w:pPr>
    </w:p>
    <w:p w14:paraId="7D2F8070" w14:textId="56EEB8C3" w:rsidR="00C9701A" w:rsidRPr="004676F5" w:rsidRDefault="00C9701A" w:rsidP="00C9701A">
      <w:pPr>
        <w:jc w:val="both"/>
        <w:rPr>
          <w:lang w:val="de-DE"/>
        </w:rPr>
      </w:pPr>
      <w:r w:rsidRPr="004676F5">
        <w:rPr>
          <w:lang w:val="de-DE"/>
        </w:rPr>
        <w:tab/>
        <w:t>§ 2 </w:t>
      </w:r>
      <w:r w:rsidR="005B7A5C" w:rsidRPr="004676F5">
        <w:rPr>
          <w:lang w:val="de-DE"/>
        </w:rPr>
        <w:t>- </w:t>
      </w:r>
      <w:r w:rsidRPr="004676F5">
        <w:rPr>
          <w:lang w:val="de-DE"/>
        </w:rPr>
        <w:t>Für Produkte, die seit weniger als dreißig Tagen auf dem Markt sind, ist der vorherige Preis der niedrigste Preis, den das Unternehmen innerhalb eines Zeitraums von mindestens sieben Tagen vor Anwendung der Preisermäßigung angewandt hat.</w:t>
      </w:r>
    </w:p>
    <w:p w14:paraId="225F405A" w14:textId="77777777" w:rsidR="00C9701A" w:rsidRPr="004676F5" w:rsidRDefault="00C9701A" w:rsidP="00C9701A">
      <w:pPr>
        <w:jc w:val="both"/>
        <w:rPr>
          <w:lang w:val="de-DE"/>
        </w:rPr>
      </w:pPr>
    </w:p>
    <w:p w14:paraId="0343173D" w14:textId="3B347EDC" w:rsidR="00C9701A" w:rsidRPr="004676F5" w:rsidRDefault="00C9701A" w:rsidP="00C9701A">
      <w:pPr>
        <w:jc w:val="both"/>
        <w:rPr>
          <w:lang w:val="de-DE"/>
        </w:rPr>
      </w:pPr>
      <w:r w:rsidRPr="004676F5">
        <w:rPr>
          <w:lang w:val="de-DE"/>
        </w:rPr>
        <w:tab/>
        <w:t>§ 3 ­ Die in den Paragraphen 1 und 2 erwähnten Zeiträume sind nicht auf schnell verderbliche Waren oder Waren mit kurzer Haltbarkeit anwendbar.]</w:t>
      </w:r>
    </w:p>
    <w:p w14:paraId="6DFD2789" w14:textId="77777777" w:rsidR="00C9701A" w:rsidRPr="004676F5" w:rsidRDefault="00C9701A" w:rsidP="00EE76B7">
      <w:pPr>
        <w:jc w:val="both"/>
        <w:rPr>
          <w:b/>
          <w:bCs/>
          <w:lang w:val="de-DE"/>
        </w:rPr>
      </w:pPr>
    </w:p>
    <w:p w14:paraId="3ACF88DA" w14:textId="695DE6D7" w:rsidR="00C9701A" w:rsidRPr="004676F5" w:rsidRDefault="00C9701A" w:rsidP="00C9701A">
      <w:pPr>
        <w:jc w:val="both"/>
        <w:rPr>
          <w:i/>
          <w:lang w:val="de-DE"/>
        </w:rPr>
      </w:pPr>
      <w:r w:rsidRPr="004676F5">
        <w:rPr>
          <w:i/>
          <w:lang w:val="de-DE"/>
        </w:rPr>
        <w:t>[Art. VI.18 aufgehoben durch Art. 7</w:t>
      </w:r>
      <w:r w:rsidRPr="004676F5">
        <w:rPr>
          <w:i/>
          <w:iCs/>
          <w:lang w:val="de-DE"/>
        </w:rPr>
        <w:t xml:space="preserve"> </w:t>
      </w:r>
      <w:r w:rsidRPr="004676F5">
        <w:rPr>
          <w:i/>
          <w:lang w:val="de-DE"/>
        </w:rPr>
        <w:t xml:space="preserve">des G. vom 26. Oktober 2015 (B.S. vom 30. Oktober 2015) und </w:t>
      </w:r>
      <w:r w:rsidR="000A20E7" w:rsidRPr="004676F5">
        <w:rPr>
          <w:i/>
          <w:lang w:val="de-DE"/>
        </w:rPr>
        <w:t xml:space="preserve">wieder </w:t>
      </w:r>
      <w:r w:rsidRPr="004676F5">
        <w:rPr>
          <w:i/>
          <w:lang w:val="de-DE"/>
        </w:rPr>
        <w:t>aufgenommen durch Art. 11</w:t>
      </w:r>
      <w:r w:rsidRPr="004676F5">
        <w:rPr>
          <w:i/>
          <w:iCs/>
          <w:lang w:val="de-DE"/>
        </w:rPr>
        <w:t xml:space="preserve"> des G. vom 8. Mai 2022 (B.S. vom 2. Juni 2022)</w:t>
      </w:r>
      <w:r w:rsidRPr="004676F5">
        <w:rPr>
          <w:i/>
          <w:lang w:val="de-DE"/>
        </w:rPr>
        <w:t>]</w:t>
      </w:r>
    </w:p>
    <w:p w14:paraId="344AF616" w14:textId="77777777" w:rsidR="00C9701A" w:rsidRPr="004676F5" w:rsidRDefault="00C9701A" w:rsidP="00EE76B7">
      <w:pPr>
        <w:jc w:val="both"/>
        <w:rPr>
          <w:b/>
          <w:bCs/>
          <w:lang w:val="de-DE"/>
        </w:rPr>
      </w:pPr>
    </w:p>
    <w:p w14:paraId="27E654DC" w14:textId="77777777" w:rsidR="00C9701A" w:rsidRPr="004676F5" w:rsidRDefault="00C9701A" w:rsidP="00C9701A">
      <w:pPr>
        <w:ind w:firstLine="708"/>
        <w:jc w:val="both"/>
        <w:rPr>
          <w:b/>
          <w:bCs/>
          <w:lang w:val="de-DE"/>
        </w:rPr>
      </w:pPr>
    </w:p>
    <w:p w14:paraId="66B9E02E" w14:textId="0386972A" w:rsidR="00C9701A" w:rsidRPr="004676F5" w:rsidRDefault="00C9701A" w:rsidP="00C9701A">
      <w:pPr>
        <w:ind w:firstLine="708"/>
        <w:jc w:val="both"/>
        <w:rPr>
          <w:lang w:val="de-DE"/>
        </w:rPr>
      </w:pPr>
      <w:r w:rsidRPr="004676F5">
        <w:rPr>
          <w:b/>
          <w:bCs/>
          <w:lang w:val="de-DE"/>
        </w:rPr>
        <w:t xml:space="preserve">Art. VI.19 </w:t>
      </w:r>
      <w:r w:rsidR="005B7A5C" w:rsidRPr="004676F5">
        <w:rPr>
          <w:b/>
          <w:bCs/>
          <w:lang w:val="de-DE"/>
        </w:rPr>
        <w:t>- </w:t>
      </w:r>
      <w:r w:rsidRPr="004676F5">
        <w:rPr>
          <w:lang w:val="de-DE"/>
        </w:rPr>
        <w:t>[In Abweichung von Artikel VI.18 § 1 Absatz 2 ist der vorherige Preis der nicht ermäßigte Preis vor Anwendung der ersten Preisermäßigung, wenn die Preisermäßigung während eines ununterbrochenen Zeitraums von höchstens dreißig Tagen schrittweise ansteigt.]</w:t>
      </w:r>
    </w:p>
    <w:p w14:paraId="6747DA0A" w14:textId="77777777" w:rsidR="00C9701A" w:rsidRPr="004676F5" w:rsidRDefault="00C9701A" w:rsidP="00C9701A">
      <w:pPr>
        <w:ind w:firstLine="708"/>
        <w:jc w:val="both"/>
        <w:rPr>
          <w:b/>
          <w:bCs/>
          <w:lang w:val="de-DE"/>
        </w:rPr>
      </w:pPr>
    </w:p>
    <w:p w14:paraId="02C089D8" w14:textId="4C60C303" w:rsidR="00C9701A" w:rsidRPr="004676F5" w:rsidRDefault="00C9701A" w:rsidP="00C9701A">
      <w:pPr>
        <w:jc w:val="both"/>
        <w:rPr>
          <w:i/>
          <w:lang w:val="de-DE"/>
        </w:rPr>
      </w:pPr>
      <w:r w:rsidRPr="004676F5">
        <w:rPr>
          <w:i/>
          <w:lang w:val="de-DE"/>
        </w:rPr>
        <w:t>[Art. VI.19 aufgehoben durch Art. 7</w:t>
      </w:r>
      <w:r w:rsidRPr="004676F5">
        <w:rPr>
          <w:i/>
          <w:iCs/>
          <w:lang w:val="de-DE"/>
        </w:rPr>
        <w:t xml:space="preserve"> </w:t>
      </w:r>
      <w:r w:rsidRPr="004676F5">
        <w:rPr>
          <w:i/>
          <w:lang w:val="de-DE"/>
        </w:rPr>
        <w:t xml:space="preserve">des G. vom 26. Oktober 2015 (B.S. vom 30. Oktober 2015) und </w:t>
      </w:r>
      <w:r w:rsidR="002C3625" w:rsidRPr="004676F5">
        <w:rPr>
          <w:i/>
          <w:lang w:val="de-DE"/>
        </w:rPr>
        <w:t xml:space="preserve">wieder </w:t>
      </w:r>
      <w:r w:rsidRPr="004676F5">
        <w:rPr>
          <w:i/>
          <w:lang w:val="de-DE"/>
        </w:rPr>
        <w:t>aufgenommen durch Art. 12</w:t>
      </w:r>
      <w:r w:rsidRPr="004676F5">
        <w:rPr>
          <w:i/>
          <w:iCs/>
          <w:lang w:val="de-DE"/>
        </w:rPr>
        <w:t xml:space="preserve"> des G. vom 8. Mai 2022 (B.S. vom 2. Juni 2022)</w:t>
      </w:r>
      <w:r w:rsidRPr="004676F5">
        <w:rPr>
          <w:i/>
          <w:lang w:val="de-DE"/>
        </w:rPr>
        <w:t>]</w:t>
      </w:r>
    </w:p>
    <w:p w14:paraId="4CA93A5D" w14:textId="77777777" w:rsidR="00C9701A" w:rsidRPr="004676F5" w:rsidRDefault="00C9701A" w:rsidP="00C9701A">
      <w:pPr>
        <w:ind w:firstLine="708"/>
        <w:jc w:val="both"/>
        <w:rPr>
          <w:b/>
          <w:bCs/>
          <w:lang w:val="de-DE"/>
        </w:rPr>
      </w:pPr>
    </w:p>
    <w:p w14:paraId="52865065" w14:textId="77777777" w:rsidR="00C9701A" w:rsidRPr="004676F5" w:rsidRDefault="00C9701A" w:rsidP="00C9701A">
      <w:pPr>
        <w:ind w:firstLine="708"/>
        <w:jc w:val="both"/>
        <w:rPr>
          <w:b/>
          <w:bCs/>
          <w:lang w:val="de-DE"/>
        </w:rPr>
      </w:pPr>
    </w:p>
    <w:p w14:paraId="00AC2F7B" w14:textId="2F817092" w:rsidR="00626208" w:rsidRPr="004676F5" w:rsidRDefault="00C9701A" w:rsidP="00C9701A">
      <w:pPr>
        <w:ind w:firstLine="708"/>
        <w:jc w:val="both"/>
        <w:rPr>
          <w:lang w:val="de-DE"/>
        </w:rPr>
      </w:pPr>
      <w:r w:rsidRPr="004676F5">
        <w:rPr>
          <w:b/>
          <w:bCs/>
          <w:lang w:val="de-DE"/>
        </w:rPr>
        <w:t xml:space="preserve">Art. VI.20 </w:t>
      </w:r>
      <w:r w:rsidR="005B7A5C" w:rsidRPr="004676F5">
        <w:rPr>
          <w:b/>
          <w:bCs/>
          <w:lang w:val="de-DE"/>
        </w:rPr>
        <w:t>- </w:t>
      </w:r>
      <w:r w:rsidR="00626208" w:rsidRPr="004676F5">
        <w:rPr>
          <w:b/>
          <w:bCs/>
          <w:lang w:val="de-DE"/>
        </w:rPr>
        <w:t>VI.21</w:t>
      </w:r>
      <w:r w:rsidR="00626208" w:rsidRPr="004676F5">
        <w:rPr>
          <w:lang w:val="de-DE"/>
        </w:rPr>
        <w:t> </w:t>
      </w:r>
      <w:r w:rsidR="005B7A5C" w:rsidRPr="004676F5">
        <w:rPr>
          <w:lang w:val="de-DE"/>
        </w:rPr>
        <w:t>- </w:t>
      </w:r>
      <w:r w:rsidR="00EE76B7" w:rsidRPr="004676F5">
        <w:rPr>
          <w:lang w:val="de-DE"/>
        </w:rPr>
        <w:t>[...]</w:t>
      </w:r>
    </w:p>
    <w:p w14:paraId="68A62FEA" w14:textId="77777777" w:rsidR="00626208" w:rsidRPr="004676F5" w:rsidRDefault="00626208" w:rsidP="00626208">
      <w:pPr>
        <w:jc w:val="both"/>
        <w:rPr>
          <w:lang w:val="de-DE"/>
        </w:rPr>
      </w:pPr>
    </w:p>
    <w:p w14:paraId="5CAD9F7D" w14:textId="2818C5D9" w:rsidR="007D64D3" w:rsidRPr="004676F5" w:rsidRDefault="007D64D3" w:rsidP="007D64D3">
      <w:pPr>
        <w:jc w:val="both"/>
        <w:rPr>
          <w:i/>
          <w:lang w:val="de-DE"/>
        </w:rPr>
      </w:pPr>
      <w:r w:rsidRPr="004676F5">
        <w:rPr>
          <w:i/>
          <w:lang w:val="de-DE"/>
        </w:rPr>
        <w:t>[Art</w:t>
      </w:r>
      <w:r w:rsidR="00C9701A" w:rsidRPr="004676F5">
        <w:rPr>
          <w:i/>
          <w:lang w:val="de-DE"/>
        </w:rPr>
        <w:t>.</w:t>
      </w:r>
      <w:r w:rsidRPr="004676F5">
        <w:rPr>
          <w:i/>
          <w:lang w:val="de-DE"/>
        </w:rPr>
        <w:t> VI.</w:t>
      </w:r>
      <w:r w:rsidR="00C9701A" w:rsidRPr="004676F5">
        <w:rPr>
          <w:i/>
          <w:lang w:val="de-DE"/>
        </w:rPr>
        <w:t>20 und</w:t>
      </w:r>
      <w:r w:rsidRPr="004676F5">
        <w:rPr>
          <w:i/>
          <w:lang w:val="de-DE"/>
        </w:rPr>
        <w:t xml:space="preserve"> VI.21 aufgehoben durch Art. 7</w:t>
      </w:r>
      <w:r w:rsidRPr="004676F5">
        <w:rPr>
          <w:i/>
          <w:iCs/>
          <w:lang w:val="de-DE"/>
        </w:rPr>
        <w:t xml:space="preserve"> </w:t>
      </w:r>
      <w:r w:rsidRPr="004676F5">
        <w:rPr>
          <w:i/>
          <w:lang w:val="de-DE"/>
        </w:rPr>
        <w:t>des G. vom 26. Oktober 2015 (B.S. vom 30. Oktober 2015)]</w:t>
      </w:r>
    </w:p>
    <w:p w14:paraId="0BCC6BA9" w14:textId="77777777" w:rsidR="007D64D3" w:rsidRPr="004676F5" w:rsidRDefault="007D64D3" w:rsidP="007D64D3">
      <w:pPr>
        <w:jc w:val="both"/>
        <w:rPr>
          <w:lang w:val="de-DE"/>
        </w:rPr>
      </w:pPr>
    </w:p>
    <w:p w14:paraId="2EADCD66" w14:textId="77777777" w:rsidR="007D64D3" w:rsidRPr="004676F5" w:rsidRDefault="007D64D3" w:rsidP="00626208">
      <w:pPr>
        <w:jc w:val="both"/>
        <w:rPr>
          <w:lang w:val="de-DE"/>
        </w:rPr>
      </w:pPr>
    </w:p>
    <w:p w14:paraId="4A89009F" w14:textId="77777777" w:rsidR="00626208" w:rsidRPr="004676F5" w:rsidRDefault="00626208" w:rsidP="00626208">
      <w:pPr>
        <w:jc w:val="center"/>
        <w:rPr>
          <w:i/>
          <w:lang w:val="de-DE"/>
        </w:rPr>
      </w:pPr>
    </w:p>
    <w:p w14:paraId="6ECDB205" w14:textId="77777777" w:rsidR="00861079" w:rsidRPr="004676F5" w:rsidRDefault="00861079">
      <w:pPr>
        <w:rPr>
          <w:i/>
          <w:lang w:val="de-DE"/>
        </w:rPr>
      </w:pPr>
      <w:r w:rsidRPr="004676F5">
        <w:rPr>
          <w:i/>
          <w:lang w:val="de-DE"/>
        </w:rPr>
        <w:br w:type="page"/>
      </w:r>
    </w:p>
    <w:p w14:paraId="04E9A630" w14:textId="0621604F" w:rsidR="00626208" w:rsidRPr="004676F5" w:rsidRDefault="00626208" w:rsidP="00626208">
      <w:pPr>
        <w:jc w:val="center"/>
        <w:rPr>
          <w:lang w:val="de-DE"/>
        </w:rPr>
      </w:pPr>
      <w:r w:rsidRPr="004676F5">
        <w:rPr>
          <w:i/>
          <w:lang w:val="de-DE"/>
        </w:rPr>
        <w:lastRenderedPageBreak/>
        <w:t>Abschnitt 2</w:t>
      </w:r>
      <w:r w:rsidRPr="004676F5">
        <w:rPr>
          <w:lang w:val="de-DE"/>
        </w:rPr>
        <w:t> </w:t>
      </w:r>
      <w:r w:rsidR="005B7A5C" w:rsidRPr="004676F5">
        <w:rPr>
          <w:lang w:val="de-DE"/>
        </w:rPr>
        <w:t>- </w:t>
      </w:r>
      <w:r w:rsidRPr="004676F5">
        <w:rPr>
          <w:lang w:val="de-DE"/>
        </w:rPr>
        <w:t>Ausverkäufe</w:t>
      </w:r>
    </w:p>
    <w:p w14:paraId="12992B6C" w14:textId="77777777" w:rsidR="00626208" w:rsidRPr="004676F5" w:rsidRDefault="00626208" w:rsidP="00626208">
      <w:pPr>
        <w:jc w:val="both"/>
        <w:rPr>
          <w:lang w:val="de-DE"/>
        </w:rPr>
      </w:pPr>
    </w:p>
    <w:p w14:paraId="1923999D" w14:textId="77777777" w:rsidR="00626208" w:rsidRPr="004676F5" w:rsidRDefault="00626208" w:rsidP="00626208">
      <w:pPr>
        <w:jc w:val="both"/>
        <w:rPr>
          <w:lang w:val="de-DE"/>
        </w:rPr>
      </w:pPr>
    </w:p>
    <w:p w14:paraId="05C8EB8A" w14:textId="2B1DF711"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VI.22</w:t>
      </w:r>
      <w:r w:rsidRPr="004676F5">
        <w:rPr>
          <w:lang w:val="de-DE"/>
        </w:rPr>
        <w:t> </w:t>
      </w:r>
      <w:r w:rsidR="005B7A5C" w:rsidRPr="004676F5">
        <w:rPr>
          <w:lang w:val="de-DE"/>
        </w:rPr>
        <w:t>- </w:t>
      </w:r>
      <w:r w:rsidRPr="004676F5">
        <w:rPr>
          <w:lang w:val="de-DE"/>
        </w:rPr>
        <w:t>Die Verwendung der Bezeichnung "Ausverkauf", "Liquidation" oder "Uitverkoop" oder jeder anderen gleichwertigen Bezeichnung für Kaufangebote oder Verkäufe von Waren ist nur in einem der folgenden Fälle und unter Einhaltung der anderen Bedingungen des vorliegenden Abschnitts erlaubt:</w:t>
      </w:r>
    </w:p>
    <w:p w14:paraId="0800B5E6" w14:textId="77777777" w:rsidR="00626208" w:rsidRPr="004676F5" w:rsidRDefault="00626208" w:rsidP="00626208">
      <w:pPr>
        <w:jc w:val="both"/>
        <w:rPr>
          <w:lang w:val="de-DE"/>
        </w:rPr>
      </w:pPr>
    </w:p>
    <w:p w14:paraId="1E4EE4D7" w14:textId="77777777" w:rsidR="00626208" w:rsidRPr="004676F5" w:rsidRDefault="00626208" w:rsidP="00626208">
      <w:pPr>
        <w:jc w:val="both"/>
        <w:rPr>
          <w:lang w:val="de-DE"/>
        </w:rPr>
      </w:pPr>
      <w:r w:rsidRPr="004676F5">
        <w:rPr>
          <w:lang w:val="de-DE"/>
        </w:rPr>
        <w:tab/>
        <w:t>1. Der Verkauf erfolgt aufgrund einer gerichtlichen Entscheidung.</w:t>
      </w:r>
    </w:p>
    <w:p w14:paraId="53ADCCFE" w14:textId="77777777" w:rsidR="00626208" w:rsidRPr="004676F5" w:rsidRDefault="00626208" w:rsidP="00626208">
      <w:pPr>
        <w:jc w:val="both"/>
        <w:rPr>
          <w:lang w:val="de-DE"/>
        </w:rPr>
      </w:pPr>
    </w:p>
    <w:p w14:paraId="4D9E11A7" w14:textId="77777777" w:rsidR="00626208" w:rsidRPr="004676F5" w:rsidRDefault="00626208" w:rsidP="00626208">
      <w:pPr>
        <w:jc w:val="both"/>
        <w:rPr>
          <w:lang w:val="de-DE"/>
        </w:rPr>
      </w:pPr>
      <w:r w:rsidRPr="004676F5">
        <w:rPr>
          <w:lang w:val="de-DE"/>
        </w:rPr>
        <w:tab/>
        <w:t>2. Die Erben oder Rechtsnachfolger einer verstorbenen Person, die ein Unternehmen betrieben hat, bieten ihnen zukommende Bestände dieses Unternehmens ganz oder teilweise zum Kauf an.</w:t>
      </w:r>
    </w:p>
    <w:p w14:paraId="4418044A" w14:textId="77777777" w:rsidR="00626208" w:rsidRPr="004676F5" w:rsidRDefault="00626208" w:rsidP="00626208">
      <w:pPr>
        <w:jc w:val="both"/>
        <w:rPr>
          <w:lang w:val="de-DE"/>
        </w:rPr>
      </w:pPr>
    </w:p>
    <w:p w14:paraId="686975CE" w14:textId="77777777" w:rsidR="00626208" w:rsidRPr="004676F5" w:rsidRDefault="00626208" w:rsidP="00626208">
      <w:pPr>
        <w:jc w:val="both"/>
        <w:rPr>
          <w:lang w:val="de-DE"/>
        </w:rPr>
      </w:pPr>
      <w:r w:rsidRPr="004676F5">
        <w:rPr>
          <w:lang w:val="de-DE"/>
        </w:rPr>
        <w:tab/>
        <w:t>3. Ein Unternehmen übernimmt das Geschäft eines anderen Unternehmens und bietet übertragene Bestände ganz oder teilweise zum Kauf an.</w:t>
      </w:r>
    </w:p>
    <w:p w14:paraId="30D94165" w14:textId="77777777" w:rsidR="00626208" w:rsidRPr="004676F5" w:rsidRDefault="00626208" w:rsidP="00626208">
      <w:pPr>
        <w:jc w:val="both"/>
        <w:rPr>
          <w:lang w:val="de-DE"/>
        </w:rPr>
      </w:pPr>
    </w:p>
    <w:p w14:paraId="19AE8634" w14:textId="77777777" w:rsidR="00626208" w:rsidRPr="004676F5" w:rsidRDefault="00626208" w:rsidP="00626208">
      <w:pPr>
        <w:jc w:val="both"/>
        <w:rPr>
          <w:lang w:val="de-DE"/>
        </w:rPr>
      </w:pPr>
      <w:r w:rsidRPr="004676F5">
        <w:rPr>
          <w:lang w:val="de-DE"/>
        </w:rPr>
        <w:tab/>
        <w:t>4. Ein Unternehmen, das seine Tätigkeit aufgibt, bietet die Gesamtheit der Bestände zum Kauf an und hat im Laufe der vorangegangenen drei Jahre keine gleichartigen Waren aus demselben Grund ausverkauft.</w:t>
      </w:r>
    </w:p>
    <w:p w14:paraId="575F2971" w14:textId="77777777" w:rsidR="00626208" w:rsidRPr="004676F5" w:rsidRDefault="00626208" w:rsidP="00626208">
      <w:pPr>
        <w:jc w:val="both"/>
        <w:rPr>
          <w:lang w:val="de-DE"/>
        </w:rPr>
      </w:pPr>
    </w:p>
    <w:p w14:paraId="78C5C8DC" w14:textId="76F13E91" w:rsidR="00626208" w:rsidRPr="004676F5" w:rsidRDefault="00626208" w:rsidP="00626208">
      <w:pPr>
        <w:jc w:val="both"/>
        <w:rPr>
          <w:lang w:val="de-DE"/>
        </w:rPr>
      </w:pPr>
      <w:r w:rsidRPr="004676F5">
        <w:rPr>
          <w:lang w:val="de-DE"/>
        </w:rPr>
        <w:tab/>
        <w:t>5. Ein Unternehmen nimmt in den Räumen, in denen das Anbieten zum Kauf an Verbraucher gewöhnlich stattfindet, Umbau</w:t>
      </w:r>
      <w:r w:rsidR="005B7A5C" w:rsidRPr="004676F5">
        <w:rPr>
          <w:lang w:val="de-DE"/>
        </w:rPr>
        <w:t>- </w:t>
      </w:r>
      <w:r w:rsidRPr="004676F5">
        <w:rPr>
          <w:lang w:val="de-DE"/>
        </w:rPr>
        <w:t>oder Instandsetzungsarbeiten vor, die mehr als zwanzig Werktage dauern, vorausgesetzt, diese Arbeiten machen den Verkauf unmöglich und das Unternehmen hat im Laufe der vorangegangenen drei Jahre keine gleichartigen Waren aus demselben Grund ausverkauft.</w:t>
      </w:r>
    </w:p>
    <w:p w14:paraId="56B7A6F1" w14:textId="77777777" w:rsidR="00626208" w:rsidRPr="004676F5" w:rsidRDefault="00626208" w:rsidP="00626208">
      <w:pPr>
        <w:jc w:val="both"/>
        <w:rPr>
          <w:lang w:val="de-DE"/>
        </w:rPr>
      </w:pPr>
    </w:p>
    <w:p w14:paraId="5E8C51AD" w14:textId="77777777" w:rsidR="00626208" w:rsidRPr="004676F5" w:rsidRDefault="00626208" w:rsidP="00626208">
      <w:pPr>
        <w:jc w:val="both"/>
        <w:rPr>
          <w:lang w:val="de-DE"/>
        </w:rPr>
      </w:pPr>
      <w:r w:rsidRPr="004676F5">
        <w:rPr>
          <w:lang w:val="de-DE"/>
        </w:rPr>
        <w:tab/>
        <w:t>6. Ein Unternehmen verlegt die Niederlassung, in der das Anbieten zum Kauf an Verbraucher gewöhnlich stattfindet, an einen anderen Ort oder schließt seine Niederlassung, vorausgesetzt, es hat die Niederlassung seit mindestens einem Jahr vor Beginn des Ausverkaufs betrieben.</w:t>
      </w:r>
    </w:p>
    <w:p w14:paraId="482649CA" w14:textId="77777777" w:rsidR="00626208" w:rsidRPr="004676F5" w:rsidRDefault="00626208" w:rsidP="00626208">
      <w:pPr>
        <w:jc w:val="both"/>
        <w:rPr>
          <w:lang w:val="de-DE"/>
        </w:rPr>
      </w:pPr>
    </w:p>
    <w:p w14:paraId="7FE9B274" w14:textId="77777777" w:rsidR="00626208" w:rsidRPr="004676F5" w:rsidRDefault="00626208" w:rsidP="00626208">
      <w:pPr>
        <w:jc w:val="both"/>
        <w:rPr>
          <w:lang w:val="de-DE"/>
        </w:rPr>
      </w:pPr>
      <w:r w:rsidRPr="004676F5">
        <w:rPr>
          <w:lang w:val="de-DE"/>
        </w:rPr>
        <w:tab/>
        <w:t>7. Durch einen Schadensfall wurde der gesamte Warenbestand oder ein Großteil des Warenbestandes des Unternehmens schwer beschädigt.</w:t>
      </w:r>
    </w:p>
    <w:p w14:paraId="437017CF" w14:textId="77777777" w:rsidR="00626208" w:rsidRPr="004676F5" w:rsidRDefault="00626208" w:rsidP="00626208">
      <w:pPr>
        <w:jc w:val="both"/>
        <w:rPr>
          <w:lang w:val="de-DE"/>
        </w:rPr>
      </w:pPr>
    </w:p>
    <w:p w14:paraId="3E4E29DB" w14:textId="77777777" w:rsidR="00626208" w:rsidRPr="004676F5" w:rsidRDefault="00626208" w:rsidP="00626208">
      <w:pPr>
        <w:jc w:val="both"/>
        <w:rPr>
          <w:lang w:val="de-DE"/>
        </w:rPr>
      </w:pPr>
      <w:r w:rsidRPr="004676F5">
        <w:rPr>
          <w:lang w:val="de-DE"/>
        </w:rPr>
        <w:tab/>
        <w:t>8. Aufgrund höherer Gewalt wird die Tätigkeit des Unternehmens stark beeinträchtigt.</w:t>
      </w:r>
    </w:p>
    <w:p w14:paraId="57A87F3D" w14:textId="77777777" w:rsidR="00626208" w:rsidRPr="004676F5" w:rsidRDefault="00626208" w:rsidP="00626208">
      <w:pPr>
        <w:jc w:val="both"/>
        <w:rPr>
          <w:lang w:val="de-DE"/>
        </w:rPr>
      </w:pPr>
    </w:p>
    <w:p w14:paraId="76262857" w14:textId="77777777" w:rsidR="00626208" w:rsidRPr="004676F5" w:rsidRDefault="00626208" w:rsidP="00626208">
      <w:pPr>
        <w:jc w:val="both"/>
        <w:rPr>
          <w:lang w:val="de-DE"/>
        </w:rPr>
      </w:pPr>
      <w:r w:rsidRPr="004676F5">
        <w:rPr>
          <w:lang w:val="de-DE"/>
        </w:rPr>
        <w:tab/>
        <w:t>9. Die natürliche Person, die ein Unternehmen betreibt, gibt wegen Pensionierung jede berufliche Tätigkeit auf, sofern sie jedoch nicht bereits im Laufe des vorangegangenen Jahres aus dem in Nr. 4 erwähnten Grund oder wegen der in Nr. 6 erwähnten Schließung der Niederlassung einen Ausverkauf vorgenommen hat.</w:t>
      </w:r>
    </w:p>
    <w:p w14:paraId="30E68200" w14:textId="77777777" w:rsidR="00626208" w:rsidRPr="004676F5" w:rsidRDefault="00626208" w:rsidP="00626208">
      <w:pPr>
        <w:jc w:val="both"/>
        <w:rPr>
          <w:lang w:val="de-DE"/>
        </w:rPr>
      </w:pPr>
    </w:p>
    <w:p w14:paraId="1615FF29" w14:textId="77777777" w:rsidR="00626208" w:rsidRPr="004676F5" w:rsidRDefault="00626208" w:rsidP="00626208">
      <w:pPr>
        <w:jc w:val="both"/>
        <w:rPr>
          <w:lang w:val="de-DE"/>
        </w:rPr>
      </w:pPr>
    </w:p>
    <w:p w14:paraId="64EA9478" w14:textId="65B16E18"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VI.23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Ausverkaufsdauer ist für die in Artikel VI.22 Nr. 1 bis 8 erwähnten Fälle auf fünf Monate und für den in Artikel VI.22 Nr. 9 erwähnten Fall auf zwölf Monate beschränkt. Unterbrechungen des Ausverkaufs innerhalb dieser Fristen haben keine aufschiebende Wirkung.</w:t>
      </w:r>
      <w:r w:rsidR="00BF34DE" w:rsidRPr="004676F5">
        <w:rPr>
          <w:lang w:val="de-DE"/>
        </w:rPr>
        <w:t xml:space="preserve"> [Die Ausverkaufsdauer, die am 18. März, dem Datum des Inkrafttretens des Ministeriellen Erlasses vom 18. März 2020 zur Festlegung von Dringlichkeitsmaßnahmen zur Eindämmung der Ausbreitung des Coronavirus COVID-19, läuft, wird jedoch während des Zeitraums ausgesetzt, in dem die durch Artikel 1 § 1 dieses Erlasses eingeführten restriktiven Maßnahmen anwendbar sind.]</w:t>
      </w:r>
    </w:p>
    <w:p w14:paraId="164EB1DD" w14:textId="77777777" w:rsidR="00626208" w:rsidRPr="004676F5" w:rsidRDefault="00626208" w:rsidP="00626208">
      <w:pPr>
        <w:jc w:val="both"/>
        <w:rPr>
          <w:lang w:val="de-DE"/>
        </w:rPr>
      </w:pPr>
    </w:p>
    <w:p w14:paraId="640A1ED5" w14:textId="77777777" w:rsidR="00626208" w:rsidRPr="004676F5" w:rsidRDefault="00626208" w:rsidP="00626208">
      <w:pPr>
        <w:jc w:val="both"/>
        <w:rPr>
          <w:lang w:val="de-DE"/>
        </w:rPr>
      </w:pPr>
      <w:r w:rsidRPr="004676F5">
        <w:rPr>
          <w:lang w:val="de-DE"/>
        </w:rPr>
        <w:tab/>
        <w:t xml:space="preserve">In jeder Ankündigung oder Werbung in Bezug auf einen Ausverkauf muss das Anfangsdatum des Verkaufs angegeben werden. </w:t>
      </w:r>
    </w:p>
    <w:p w14:paraId="734DD061" w14:textId="77777777" w:rsidR="00626208" w:rsidRPr="004676F5" w:rsidRDefault="00626208" w:rsidP="00626208">
      <w:pPr>
        <w:jc w:val="both"/>
        <w:rPr>
          <w:lang w:val="de-DE"/>
        </w:rPr>
      </w:pPr>
    </w:p>
    <w:p w14:paraId="0B4014E0" w14:textId="4D2A9DFA"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Außer in den in Artikel VI.22 Nr. 1 und 7 erwähnten Fällen muss jeder Ausverkauf in den Verkaufsstellen oder im Rahmen der Verkaufstechniken stattfinden, in beziehungsweise mit denen die gleichen Waren vom Unternehmen selbst oder von der verstorbenen Person oder dem übertragenden Unternehmen gewöhnlich verkauft wurden.</w:t>
      </w:r>
    </w:p>
    <w:p w14:paraId="346D7DC3" w14:textId="77777777" w:rsidR="00626208" w:rsidRPr="004676F5" w:rsidRDefault="00626208" w:rsidP="00626208">
      <w:pPr>
        <w:jc w:val="both"/>
        <w:rPr>
          <w:lang w:val="de-DE"/>
        </w:rPr>
      </w:pPr>
    </w:p>
    <w:p w14:paraId="677E7801" w14:textId="77777777" w:rsidR="00626208" w:rsidRPr="004676F5" w:rsidRDefault="00626208" w:rsidP="00626208">
      <w:pPr>
        <w:jc w:val="both"/>
        <w:rPr>
          <w:lang w:val="de-DE"/>
        </w:rPr>
      </w:pPr>
      <w:r w:rsidRPr="004676F5">
        <w:rPr>
          <w:lang w:val="de-DE"/>
        </w:rPr>
        <w:tab/>
        <w:t>Ein Unternehmen, das es für unmöglich hält, die Bestimmungen von Absatz 1 einzuhalten, kann beim Minister oder bei dem vom Minister zu diesem Zweck bestimmten Beamten per Einschreiben eine Abweichung beantragen. Es gibt die geltend gemachten Gründe und den Ort, an dem es den Ausverkauf vornehmen möchte, an. Über diesen Antrag wird innerhalb zehn Werktagen befunden. Wenn innerhalb dieser Frist keine mit Gründen versehene Ablehnung erfolgt, gilt die Abweichung als gewährt.</w:t>
      </w:r>
    </w:p>
    <w:p w14:paraId="79CEBA37" w14:textId="77777777" w:rsidR="00626208" w:rsidRPr="004676F5" w:rsidRDefault="00626208" w:rsidP="00626208">
      <w:pPr>
        <w:jc w:val="both"/>
        <w:rPr>
          <w:lang w:val="de-DE"/>
        </w:rPr>
      </w:pPr>
    </w:p>
    <w:p w14:paraId="0ACAD9DA" w14:textId="25F5DFB0"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Bei einem Ausverkauf dürfen nur Waren zum Kauf angeboten beziehungsweise verkauft werden, die vor Beginn des Ausverkaufs zu den Beständen des Unternehmens gehören.</w:t>
      </w:r>
    </w:p>
    <w:p w14:paraId="23143C11" w14:textId="77777777" w:rsidR="00626208" w:rsidRPr="004676F5" w:rsidRDefault="00626208" w:rsidP="00626208">
      <w:pPr>
        <w:jc w:val="both"/>
        <w:rPr>
          <w:lang w:val="de-DE"/>
        </w:rPr>
      </w:pPr>
    </w:p>
    <w:p w14:paraId="5A5110AC" w14:textId="77777777" w:rsidR="00626208" w:rsidRPr="004676F5" w:rsidRDefault="00626208" w:rsidP="00626208">
      <w:pPr>
        <w:jc w:val="both"/>
        <w:rPr>
          <w:lang w:val="de-DE"/>
        </w:rPr>
      </w:pPr>
      <w:r w:rsidRPr="004676F5">
        <w:rPr>
          <w:lang w:val="de-DE"/>
        </w:rPr>
        <w:tab/>
        <w:t>Bei einem Ausverkauf dürfen jedoch auch Waren zum Kauf angeboten beziehungsweise verkauft werden, die zum Zeitpunkt der in Artikel VI.22 Nr. 1 erwähnten gerichtlichen Entscheidung, des in Artikel VI.22 Nr. 2 erwähnten Todes der Person, die ein Unternehmen betrieben hat, des in Artikel VI.22 Nr. 7 erwähnten Schadensfalls oder der in Artikel VI.22 Nr. 8 erwähnten Beeinträchtigung Gegenstand einer unter Berücksichtigung des Umfangs und des Aufgabedatums als normal anzusehenden Bestellung waren.</w:t>
      </w:r>
    </w:p>
    <w:p w14:paraId="72F96EAC" w14:textId="77777777" w:rsidR="00626208" w:rsidRPr="004676F5" w:rsidRDefault="00626208" w:rsidP="00626208">
      <w:pPr>
        <w:jc w:val="both"/>
        <w:rPr>
          <w:lang w:val="de-DE"/>
        </w:rPr>
      </w:pPr>
    </w:p>
    <w:p w14:paraId="6617B4AB" w14:textId="77777777" w:rsidR="00626208" w:rsidRPr="004676F5" w:rsidRDefault="00626208" w:rsidP="00626208">
      <w:pPr>
        <w:jc w:val="both"/>
        <w:rPr>
          <w:lang w:val="de-DE"/>
        </w:rPr>
      </w:pPr>
      <w:r w:rsidRPr="004676F5">
        <w:rPr>
          <w:lang w:val="de-DE"/>
        </w:rPr>
        <w:tab/>
        <w:t>Betreibt ein Unternehmen mehrere Verkaufsniederlassungen, so dürfen ohne Erlaubnis des Ministers oder des vom Minister zu diesem Zweck bestimmten Beamten keine Waren von einer Niederlassung zu der Stelle überführt werden, an der der Ausverkauf stattfindet.</w:t>
      </w:r>
    </w:p>
    <w:p w14:paraId="367AEB73" w14:textId="77777777" w:rsidR="00626208" w:rsidRPr="004676F5" w:rsidRDefault="00626208" w:rsidP="00626208">
      <w:pPr>
        <w:jc w:val="both"/>
        <w:rPr>
          <w:lang w:val="de-DE"/>
        </w:rPr>
      </w:pPr>
    </w:p>
    <w:p w14:paraId="24A760C3" w14:textId="77777777" w:rsidR="00626208" w:rsidRPr="004676F5" w:rsidRDefault="00626208" w:rsidP="00626208">
      <w:pPr>
        <w:jc w:val="both"/>
        <w:rPr>
          <w:lang w:val="de-DE"/>
        </w:rPr>
      </w:pPr>
      <w:r w:rsidRPr="004676F5">
        <w:rPr>
          <w:lang w:val="de-DE"/>
        </w:rPr>
        <w:tab/>
        <w:t>Die Erlaubnis muss unter Angabe der Umstände, die den Antrag rechtfertigen, per Einschreiben beantragt werden. Über diesen Antrag wird innerhalb zehn Werktagen befunden. Wenn innerhalb dieser Frist keine mit Gründen versehene Ablehnung erfolgt, gilt die Überführung der Waren als genehmigt.</w:t>
      </w:r>
    </w:p>
    <w:p w14:paraId="4437E557" w14:textId="77777777" w:rsidR="00626208" w:rsidRPr="004676F5" w:rsidRDefault="00626208" w:rsidP="00626208">
      <w:pPr>
        <w:jc w:val="both"/>
        <w:rPr>
          <w:lang w:val="de-DE"/>
        </w:rPr>
      </w:pPr>
    </w:p>
    <w:p w14:paraId="2F6625E7" w14:textId="7A42AD01" w:rsidR="00626208" w:rsidRPr="004676F5" w:rsidRDefault="00626208" w:rsidP="00626208">
      <w:pPr>
        <w:jc w:val="both"/>
        <w:rPr>
          <w:lang w:val="de-DE"/>
        </w:rPr>
      </w:pPr>
      <w:r w:rsidRPr="004676F5">
        <w:rPr>
          <w:lang w:val="de-DE"/>
        </w:rPr>
        <w:tab/>
        <w:t>§ 4 </w:t>
      </w:r>
      <w:r w:rsidR="005B7A5C" w:rsidRPr="004676F5">
        <w:rPr>
          <w:lang w:val="de-DE"/>
        </w:rPr>
        <w:t>- </w:t>
      </w:r>
      <w:r w:rsidR="00422BD6" w:rsidRPr="004676F5">
        <w:rPr>
          <w:lang w:val="de-DE"/>
        </w:rPr>
        <w:t>[...]</w:t>
      </w:r>
    </w:p>
    <w:p w14:paraId="7CC8ECF3" w14:textId="77777777" w:rsidR="00626208" w:rsidRPr="004676F5" w:rsidRDefault="00626208" w:rsidP="00626208">
      <w:pPr>
        <w:jc w:val="both"/>
        <w:rPr>
          <w:lang w:val="de-DE"/>
        </w:rPr>
      </w:pPr>
    </w:p>
    <w:p w14:paraId="433724E8" w14:textId="2BDA03DC" w:rsidR="00626208" w:rsidRPr="004676F5" w:rsidRDefault="00626208" w:rsidP="00626208">
      <w:pPr>
        <w:jc w:val="both"/>
        <w:rPr>
          <w:lang w:val="de-DE"/>
        </w:rPr>
      </w:pPr>
      <w:r w:rsidRPr="004676F5">
        <w:rPr>
          <w:lang w:val="de-DE"/>
        </w:rPr>
        <w:tab/>
        <w:t>§ 5 </w:t>
      </w:r>
      <w:r w:rsidR="005B7A5C" w:rsidRPr="004676F5">
        <w:rPr>
          <w:lang w:val="de-DE"/>
        </w:rPr>
        <w:t>- </w:t>
      </w:r>
      <w:r w:rsidRPr="004676F5">
        <w:rPr>
          <w:lang w:val="de-DE"/>
        </w:rPr>
        <w:t>Die Beweislast für die Einhaltung aller Bedingungen, die in Bezug auf in vorliegendem Abschnitt erwähnte Ausverkäufe festgelegt sind, obliegt der Person, die einen solchen Verkauf vornimmt.</w:t>
      </w:r>
    </w:p>
    <w:p w14:paraId="358FB139" w14:textId="77777777" w:rsidR="00626208" w:rsidRPr="004676F5" w:rsidRDefault="00626208" w:rsidP="00626208">
      <w:pPr>
        <w:jc w:val="both"/>
        <w:rPr>
          <w:lang w:val="de-DE"/>
        </w:rPr>
      </w:pPr>
    </w:p>
    <w:p w14:paraId="648EA27C" w14:textId="1D675C79" w:rsidR="00422BD6" w:rsidRPr="004676F5" w:rsidRDefault="00422BD6" w:rsidP="00626208">
      <w:pPr>
        <w:jc w:val="both"/>
        <w:rPr>
          <w:i/>
          <w:lang w:val="de-DE"/>
        </w:rPr>
      </w:pPr>
      <w:r w:rsidRPr="004676F5">
        <w:rPr>
          <w:i/>
          <w:lang w:val="de-DE"/>
        </w:rPr>
        <w:t>[</w:t>
      </w:r>
      <w:r w:rsidR="00BE0A56" w:rsidRPr="004676F5">
        <w:rPr>
          <w:i/>
          <w:lang w:val="de-DE"/>
        </w:rPr>
        <w:t>Art. </w:t>
      </w:r>
      <w:r w:rsidRPr="004676F5">
        <w:rPr>
          <w:i/>
          <w:lang w:val="de-DE"/>
        </w:rPr>
        <w:t xml:space="preserve">VI.23 </w:t>
      </w:r>
      <w:r w:rsidR="00BF34DE" w:rsidRPr="004676F5">
        <w:rPr>
          <w:i/>
          <w:lang w:val="de-DE"/>
        </w:rPr>
        <w:t xml:space="preserve">§ 1 Abs. 1 abgeändert durch Art. 3 des G. vom 27. Mai 2020 (B.S. vom 29. Mai 2020); </w:t>
      </w:r>
      <w:r w:rsidRPr="004676F5">
        <w:rPr>
          <w:i/>
          <w:lang w:val="de-DE"/>
        </w:rPr>
        <w:t xml:space="preserve">§ 4 aufgehoben durch </w:t>
      </w:r>
      <w:r w:rsidR="00BE0A56" w:rsidRPr="004676F5">
        <w:rPr>
          <w:i/>
          <w:lang w:val="de-DE"/>
        </w:rPr>
        <w:t>Art. </w:t>
      </w:r>
      <w:r w:rsidRPr="004676F5">
        <w:rPr>
          <w:i/>
          <w:lang w:val="de-DE"/>
        </w:rPr>
        <w:t>8</w:t>
      </w:r>
      <w:r w:rsidRPr="004676F5">
        <w:rPr>
          <w:i/>
          <w:iCs/>
          <w:lang w:val="de-DE"/>
        </w:rPr>
        <w:t xml:space="preserve"> </w:t>
      </w:r>
      <w:r w:rsidRPr="004676F5">
        <w:rPr>
          <w:i/>
          <w:lang w:val="de-DE"/>
        </w:rPr>
        <w:t>des G. vom 26. Oktober 2015 (B.S. vom 30. Oktober 2015)]</w:t>
      </w:r>
    </w:p>
    <w:p w14:paraId="4EFC5386" w14:textId="77777777" w:rsidR="00626208" w:rsidRPr="004676F5" w:rsidRDefault="00626208" w:rsidP="00626208">
      <w:pPr>
        <w:jc w:val="both"/>
        <w:rPr>
          <w:lang w:val="de-DE"/>
        </w:rPr>
      </w:pPr>
    </w:p>
    <w:p w14:paraId="11DF928D" w14:textId="77777777" w:rsidR="00BF34DE" w:rsidRPr="004676F5" w:rsidRDefault="00BF34DE" w:rsidP="00626208">
      <w:pPr>
        <w:jc w:val="both"/>
        <w:rPr>
          <w:lang w:val="de-DE"/>
        </w:rPr>
      </w:pPr>
    </w:p>
    <w:p w14:paraId="411D2BC6" w14:textId="4538F8B5"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VI.24</w:t>
      </w:r>
      <w:r w:rsidRPr="004676F5">
        <w:rPr>
          <w:lang w:val="de-DE"/>
        </w:rPr>
        <w:t> </w:t>
      </w:r>
      <w:r w:rsidR="005B7A5C" w:rsidRPr="004676F5">
        <w:rPr>
          <w:lang w:val="de-DE"/>
        </w:rPr>
        <w:t>- </w:t>
      </w:r>
      <w:r w:rsidR="00115238" w:rsidRPr="004676F5">
        <w:rPr>
          <w:lang w:val="de-DE"/>
        </w:rPr>
        <w:t>[...]</w:t>
      </w:r>
    </w:p>
    <w:p w14:paraId="59ED34D1" w14:textId="77777777" w:rsidR="00115238" w:rsidRPr="004676F5" w:rsidRDefault="00115238" w:rsidP="00626208">
      <w:pPr>
        <w:jc w:val="both"/>
        <w:rPr>
          <w:lang w:val="de-DE"/>
        </w:rPr>
      </w:pPr>
    </w:p>
    <w:p w14:paraId="13DFAE56" w14:textId="54356D72" w:rsidR="00115238" w:rsidRPr="004676F5" w:rsidRDefault="00115238" w:rsidP="00626208">
      <w:pPr>
        <w:jc w:val="both"/>
        <w:rPr>
          <w:i/>
          <w:iCs/>
          <w:lang w:val="de-DE"/>
        </w:rPr>
      </w:pPr>
      <w:r w:rsidRPr="004676F5">
        <w:rPr>
          <w:i/>
          <w:iCs/>
          <w:lang w:val="de-DE"/>
        </w:rPr>
        <w:t>[Art. VI.24 aufgehoben durch Art. 10</w:t>
      </w:r>
      <w:r w:rsidRPr="004676F5">
        <w:rPr>
          <w:i/>
          <w:lang w:val="de-DE"/>
        </w:rPr>
        <w:t xml:space="preserve"> des G. vom 5. November 2023</w:t>
      </w:r>
      <w:r w:rsidR="003454B3" w:rsidRPr="004676F5">
        <w:rPr>
          <w:i/>
          <w:lang w:val="de-DE"/>
        </w:rPr>
        <w:t xml:space="preserve"> (I)</w:t>
      </w:r>
      <w:r w:rsidRPr="004676F5">
        <w:rPr>
          <w:i/>
          <w:lang w:val="de-DE"/>
        </w:rPr>
        <w:t xml:space="preserve"> (B.S. vom 11. Dezember 2023)]</w:t>
      </w:r>
    </w:p>
    <w:p w14:paraId="17251A95" w14:textId="77777777" w:rsidR="00626208" w:rsidRPr="004676F5" w:rsidRDefault="00626208" w:rsidP="00626208">
      <w:pPr>
        <w:jc w:val="both"/>
        <w:rPr>
          <w:lang w:val="de-DE"/>
        </w:rPr>
      </w:pPr>
    </w:p>
    <w:p w14:paraId="05797CD5" w14:textId="77777777" w:rsidR="00626208" w:rsidRPr="004676F5" w:rsidRDefault="00626208" w:rsidP="00626208">
      <w:pPr>
        <w:jc w:val="both"/>
        <w:rPr>
          <w:lang w:val="de-DE"/>
        </w:rPr>
      </w:pPr>
    </w:p>
    <w:p w14:paraId="20B69B6C" w14:textId="714BE698" w:rsidR="00626208" w:rsidRPr="004676F5" w:rsidRDefault="00626208" w:rsidP="00626208">
      <w:pPr>
        <w:jc w:val="center"/>
        <w:rPr>
          <w:lang w:val="de-DE"/>
        </w:rPr>
      </w:pPr>
      <w:r w:rsidRPr="004676F5">
        <w:rPr>
          <w:i/>
          <w:lang w:val="de-DE"/>
        </w:rPr>
        <w:t>Abschnitt 3</w:t>
      </w:r>
      <w:r w:rsidRPr="004676F5">
        <w:rPr>
          <w:lang w:val="de-DE"/>
        </w:rPr>
        <w:t> </w:t>
      </w:r>
      <w:r w:rsidR="005B7A5C" w:rsidRPr="004676F5">
        <w:rPr>
          <w:lang w:val="de-DE"/>
        </w:rPr>
        <w:t>- </w:t>
      </w:r>
      <w:r w:rsidRPr="004676F5">
        <w:rPr>
          <w:lang w:val="de-DE"/>
        </w:rPr>
        <w:t>Schlussverkäufe</w:t>
      </w:r>
    </w:p>
    <w:p w14:paraId="18753FE0" w14:textId="77777777" w:rsidR="00626208" w:rsidRPr="004676F5" w:rsidRDefault="00626208" w:rsidP="00626208">
      <w:pPr>
        <w:jc w:val="both"/>
        <w:rPr>
          <w:lang w:val="de-DE"/>
        </w:rPr>
      </w:pPr>
    </w:p>
    <w:p w14:paraId="65202C58" w14:textId="77777777" w:rsidR="00626208" w:rsidRPr="004676F5" w:rsidRDefault="00626208" w:rsidP="00626208">
      <w:pPr>
        <w:jc w:val="both"/>
        <w:rPr>
          <w:lang w:val="de-DE"/>
        </w:rPr>
      </w:pPr>
    </w:p>
    <w:p w14:paraId="1E52201C" w14:textId="6805FFF9"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VI.25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Damit ehrliche Marktpraktiken zwischen Unternehmen gewährleistet werden, sind Kaufangebote und Verkäufe unter der Bezeichnung "Schlussverkauf", "Soldes", "Opruiming" oder "Solden" oder jeder anderen gleichwertigen Bezeichnung nur für Kaufangebote und Verkäufe von Waren zu herabgesetzten Preisen in folgenden Zeiträumen erlaubt:</w:t>
      </w:r>
    </w:p>
    <w:p w14:paraId="4FA69A7A" w14:textId="77777777" w:rsidR="00626208" w:rsidRPr="004676F5" w:rsidRDefault="00626208" w:rsidP="00626208">
      <w:pPr>
        <w:jc w:val="both"/>
        <w:rPr>
          <w:lang w:val="de-DE"/>
        </w:rPr>
      </w:pPr>
    </w:p>
    <w:p w14:paraId="45811F06" w14:textId="77777777" w:rsidR="00626208" w:rsidRPr="004676F5" w:rsidRDefault="00626208" w:rsidP="00626208">
      <w:pPr>
        <w:jc w:val="both"/>
        <w:rPr>
          <w:lang w:val="de-DE"/>
        </w:rPr>
      </w:pPr>
      <w:r w:rsidRPr="004676F5">
        <w:rPr>
          <w:lang w:val="de-DE"/>
        </w:rPr>
        <w:tab/>
        <w:t>1. vom 3. Januar bis zum 31. Januar; fällt der 3. Januar auf einen Sonntag, so beginnt der Zeitraum am 2. Januar,</w:t>
      </w:r>
    </w:p>
    <w:p w14:paraId="059007D1" w14:textId="77777777" w:rsidR="00626208" w:rsidRPr="004676F5" w:rsidRDefault="00626208" w:rsidP="00626208">
      <w:pPr>
        <w:jc w:val="both"/>
        <w:rPr>
          <w:lang w:val="de-DE"/>
        </w:rPr>
      </w:pPr>
    </w:p>
    <w:p w14:paraId="0188A037" w14:textId="77777777" w:rsidR="00626208" w:rsidRPr="004676F5" w:rsidRDefault="00626208" w:rsidP="00626208">
      <w:pPr>
        <w:jc w:val="both"/>
        <w:rPr>
          <w:lang w:val="de-DE"/>
        </w:rPr>
      </w:pPr>
      <w:r w:rsidRPr="004676F5">
        <w:rPr>
          <w:lang w:val="de-DE"/>
        </w:rPr>
        <w:tab/>
        <w:t>2. vom 1. Juli bis zum 31. Juli; fällt der 1. Juli auf einen Sonntag, so beginnt der Zeitraum am 30. Juni.</w:t>
      </w:r>
    </w:p>
    <w:p w14:paraId="717715CD" w14:textId="77777777" w:rsidR="00626208" w:rsidRPr="004676F5" w:rsidRDefault="00626208" w:rsidP="00626208">
      <w:pPr>
        <w:jc w:val="both"/>
        <w:rPr>
          <w:lang w:val="de-DE"/>
        </w:rPr>
      </w:pPr>
    </w:p>
    <w:p w14:paraId="008C3FAE" w14:textId="4A7FC308"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Der König kann den in § 1 erwähnten Zeitraum ändern, ohne dass dieser jedoch mehr als einen Monat betragen darf.</w:t>
      </w:r>
    </w:p>
    <w:p w14:paraId="1F73ABF0" w14:textId="77777777" w:rsidR="00626208" w:rsidRPr="004676F5" w:rsidRDefault="00626208" w:rsidP="00626208">
      <w:pPr>
        <w:jc w:val="both"/>
        <w:rPr>
          <w:lang w:val="de-DE"/>
        </w:rPr>
      </w:pPr>
    </w:p>
    <w:p w14:paraId="3397D2BB" w14:textId="5144DFB9"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Der König kann ergänzende Bestimmungen für Kaufangebote und Verkäufe von Waren unter der in § 1 erwähnten Bezeichnung festlegen.</w:t>
      </w:r>
    </w:p>
    <w:p w14:paraId="1F23E9E5" w14:textId="77777777" w:rsidR="00BF34DE" w:rsidRPr="004676F5" w:rsidRDefault="00BF34DE" w:rsidP="00626208">
      <w:pPr>
        <w:jc w:val="both"/>
        <w:rPr>
          <w:lang w:val="de-DE"/>
        </w:rPr>
      </w:pPr>
    </w:p>
    <w:p w14:paraId="442C29BB" w14:textId="0B0B913A" w:rsidR="00BF34DE" w:rsidRPr="004676F5" w:rsidRDefault="00BF34DE" w:rsidP="00626208">
      <w:pPr>
        <w:jc w:val="both"/>
        <w:rPr>
          <w:lang w:val="de-DE"/>
        </w:rPr>
      </w:pPr>
      <w:r w:rsidRPr="004676F5">
        <w:rPr>
          <w:lang w:val="de-DE"/>
        </w:rPr>
        <w:tab/>
        <w:t>[§ 4 </w:t>
      </w:r>
      <w:r w:rsidR="005B7A5C" w:rsidRPr="004676F5">
        <w:rPr>
          <w:lang w:val="de-DE"/>
        </w:rPr>
        <w:t>- </w:t>
      </w:r>
      <w:r w:rsidR="00A72A5C" w:rsidRPr="004676F5">
        <w:rPr>
          <w:lang w:val="de-DE"/>
        </w:rPr>
        <w:t>[Für das Jahr 2021 wird der in § 1 Nr. 1 erwähnte Zeitraum bis zum 15. Februar 2021 einschließlich verlängert.]</w:t>
      </w:r>
      <w:r w:rsidRPr="004676F5">
        <w:rPr>
          <w:lang w:val="de-DE"/>
        </w:rPr>
        <w:t>]</w:t>
      </w:r>
    </w:p>
    <w:p w14:paraId="06B8B32F" w14:textId="77777777" w:rsidR="00BF34DE" w:rsidRPr="004676F5" w:rsidRDefault="00BF34DE" w:rsidP="00626208">
      <w:pPr>
        <w:jc w:val="both"/>
        <w:rPr>
          <w:lang w:val="de-DE"/>
        </w:rPr>
      </w:pPr>
    </w:p>
    <w:p w14:paraId="1111F3DC" w14:textId="196FC121" w:rsidR="00BF34DE" w:rsidRPr="004676F5" w:rsidRDefault="00BF34DE" w:rsidP="00626208">
      <w:pPr>
        <w:jc w:val="both"/>
        <w:rPr>
          <w:i/>
          <w:iCs/>
          <w:lang w:val="de-DE"/>
        </w:rPr>
      </w:pPr>
      <w:r w:rsidRPr="004676F5">
        <w:rPr>
          <w:i/>
          <w:iCs/>
          <w:lang w:val="de-DE"/>
        </w:rPr>
        <w:t>[Art. VI.25 § 4 eingefügt durch Art. 4</w:t>
      </w:r>
      <w:r w:rsidRPr="004676F5">
        <w:rPr>
          <w:i/>
          <w:lang w:val="de-DE"/>
        </w:rPr>
        <w:t xml:space="preserve"> des G. vom 27. Mai 2020 (B.S. vom 29. Mai 2020)</w:t>
      </w:r>
      <w:r w:rsidR="00A72A5C" w:rsidRPr="004676F5">
        <w:rPr>
          <w:i/>
          <w:lang w:val="de-DE"/>
        </w:rPr>
        <w:t xml:space="preserve"> und ersetzt durch Art. 2 des G. vom 2. Februar 2021 (B.S. vom 8. Februar 2021)</w:t>
      </w:r>
      <w:r w:rsidRPr="004676F5">
        <w:rPr>
          <w:i/>
          <w:lang w:val="de-DE"/>
        </w:rPr>
        <w:t>]</w:t>
      </w:r>
    </w:p>
    <w:p w14:paraId="627C2C48" w14:textId="77777777" w:rsidR="00626208" w:rsidRPr="004676F5" w:rsidRDefault="00626208" w:rsidP="00626208">
      <w:pPr>
        <w:jc w:val="both"/>
        <w:rPr>
          <w:lang w:val="de-DE"/>
        </w:rPr>
      </w:pPr>
    </w:p>
    <w:p w14:paraId="50BBAE45" w14:textId="77777777" w:rsidR="00626208" w:rsidRPr="004676F5" w:rsidRDefault="00626208" w:rsidP="00626208">
      <w:pPr>
        <w:jc w:val="both"/>
        <w:rPr>
          <w:lang w:val="de-DE"/>
        </w:rPr>
      </w:pPr>
    </w:p>
    <w:p w14:paraId="4B1962A2" w14:textId="28333026"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VI.26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Nur Waren, die ein Unternehmen zu Beginn der in Artikel VI.25 erwähnten Zeiträume in ihrem Besitz hat und zuvor während mindestens dreißig Tagen zum Kauf angeboten hat, dürfen unter den in Artikel VI.25 § 1 erwähnten Bezeichnungen angeboten werden.</w:t>
      </w:r>
    </w:p>
    <w:p w14:paraId="27E9CB54" w14:textId="77777777" w:rsidR="00626208" w:rsidRPr="004676F5" w:rsidRDefault="00626208" w:rsidP="00626208">
      <w:pPr>
        <w:jc w:val="both"/>
        <w:rPr>
          <w:lang w:val="de-DE"/>
        </w:rPr>
      </w:pPr>
    </w:p>
    <w:p w14:paraId="4F2A0D43" w14:textId="5861C5F0" w:rsidR="00626208" w:rsidRPr="004676F5" w:rsidRDefault="00626208" w:rsidP="00422BD6">
      <w:pPr>
        <w:jc w:val="both"/>
        <w:rPr>
          <w:lang w:val="de-DE"/>
        </w:rPr>
      </w:pPr>
      <w:r w:rsidRPr="004676F5">
        <w:rPr>
          <w:lang w:val="de-DE"/>
        </w:rPr>
        <w:tab/>
        <w:t>§ 2 </w:t>
      </w:r>
      <w:r w:rsidR="005B7A5C" w:rsidRPr="004676F5">
        <w:rPr>
          <w:lang w:val="de-DE"/>
        </w:rPr>
        <w:t>- </w:t>
      </w:r>
      <w:r w:rsidR="00422BD6" w:rsidRPr="004676F5">
        <w:rPr>
          <w:lang w:val="de-DE"/>
        </w:rPr>
        <w:t>[...]</w:t>
      </w:r>
    </w:p>
    <w:p w14:paraId="20A6EF40" w14:textId="77777777" w:rsidR="00A72A5C" w:rsidRPr="004676F5" w:rsidRDefault="00626208" w:rsidP="00626208">
      <w:pPr>
        <w:jc w:val="both"/>
        <w:rPr>
          <w:lang w:val="de-DE"/>
        </w:rPr>
      </w:pPr>
      <w:r w:rsidRPr="004676F5">
        <w:rPr>
          <w:lang w:val="de-DE"/>
        </w:rPr>
        <w:tab/>
      </w:r>
    </w:p>
    <w:p w14:paraId="3FA8B612" w14:textId="48DF19E5" w:rsidR="00626208" w:rsidRPr="004676F5" w:rsidRDefault="00A72A5C" w:rsidP="00626208">
      <w:pPr>
        <w:jc w:val="both"/>
        <w:rPr>
          <w:lang w:val="de-DE"/>
        </w:rPr>
      </w:pPr>
      <w:r w:rsidRPr="004676F5">
        <w:rPr>
          <w:lang w:val="de-DE"/>
        </w:rPr>
        <w:tab/>
      </w:r>
      <w:r w:rsidR="00626208" w:rsidRPr="004676F5">
        <w:rPr>
          <w:lang w:val="de-DE"/>
        </w:rPr>
        <w:t>§ 3 </w:t>
      </w:r>
      <w:r w:rsidR="005B7A5C" w:rsidRPr="004676F5">
        <w:rPr>
          <w:lang w:val="de-DE"/>
        </w:rPr>
        <w:t>- </w:t>
      </w:r>
      <w:r w:rsidR="00422BD6" w:rsidRPr="004676F5">
        <w:rPr>
          <w:lang w:val="de-DE"/>
        </w:rPr>
        <w:t>[...]</w:t>
      </w:r>
    </w:p>
    <w:p w14:paraId="465DB41E" w14:textId="77777777" w:rsidR="00422BD6" w:rsidRPr="004676F5" w:rsidRDefault="00422BD6" w:rsidP="00626208">
      <w:pPr>
        <w:jc w:val="both"/>
        <w:rPr>
          <w:lang w:val="de-DE"/>
        </w:rPr>
      </w:pPr>
    </w:p>
    <w:p w14:paraId="13D3CC1A" w14:textId="1803C582" w:rsidR="00422BD6" w:rsidRPr="004676F5" w:rsidRDefault="00422BD6" w:rsidP="00626208">
      <w:pPr>
        <w:jc w:val="both"/>
        <w:rPr>
          <w:i/>
          <w:lang w:val="de-DE"/>
        </w:rPr>
      </w:pPr>
      <w:r w:rsidRPr="004676F5">
        <w:rPr>
          <w:i/>
          <w:lang w:val="de-DE"/>
        </w:rPr>
        <w:t>[</w:t>
      </w:r>
      <w:r w:rsidR="00BE0A56" w:rsidRPr="004676F5">
        <w:rPr>
          <w:i/>
          <w:lang w:val="de-DE"/>
        </w:rPr>
        <w:t>Art. </w:t>
      </w:r>
      <w:r w:rsidRPr="004676F5">
        <w:rPr>
          <w:i/>
          <w:lang w:val="de-DE"/>
        </w:rPr>
        <w:t xml:space="preserve">VI.26 §§ 2 und 3 aufgehoben durch </w:t>
      </w:r>
      <w:r w:rsidR="00BE0A56" w:rsidRPr="004676F5">
        <w:rPr>
          <w:i/>
          <w:lang w:val="de-DE"/>
        </w:rPr>
        <w:t>Art. </w:t>
      </w:r>
      <w:r w:rsidRPr="004676F5">
        <w:rPr>
          <w:i/>
          <w:lang w:val="de-DE"/>
        </w:rPr>
        <w:t>9</w:t>
      </w:r>
      <w:r w:rsidRPr="004676F5">
        <w:rPr>
          <w:i/>
          <w:iCs/>
          <w:lang w:val="de-DE"/>
        </w:rPr>
        <w:t xml:space="preserve"> </w:t>
      </w:r>
      <w:r w:rsidRPr="004676F5">
        <w:rPr>
          <w:i/>
          <w:lang w:val="de-DE"/>
        </w:rPr>
        <w:t>des G. vom 26. Oktober 2015 (B.S. vom 30. Oktober 2015)]</w:t>
      </w:r>
    </w:p>
    <w:p w14:paraId="3F49B5D2" w14:textId="77777777" w:rsidR="00422BD6" w:rsidRPr="004676F5" w:rsidRDefault="00422BD6" w:rsidP="00626208">
      <w:pPr>
        <w:jc w:val="both"/>
        <w:rPr>
          <w:i/>
          <w:lang w:val="de-DE"/>
        </w:rPr>
      </w:pPr>
    </w:p>
    <w:p w14:paraId="09D111DC" w14:textId="77777777" w:rsidR="00626208" w:rsidRPr="004676F5" w:rsidRDefault="00626208" w:rsidP="00626208">
      <w:pPr>
        <w:jc w:val="both"/>
        <w:rPr>
          <w:lang w:val="de-DE"/>
        </w:rPr>
      </w:pPr>
    </w:p>
    <w:p w14:paraId="34A6CCDC" w14:textId="11688B1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VI.27</w:t>
      </w:r>
      <w:r w:rsidRPr="004676F5">
        <w:rPr>
          <w:lang w:val="de-DE"/>
        </w:rPr>
        <w:t> </w:t>
      </w:r>
      <w:r w:rsidR="005B7A5C" w:rsidRPr="004676F5">
        <w:rPr>
          <w:lang w:val="de-DE"/>
        </w:rPr>
        <w:t>- </w:t>
      </w:r>
      <w:r w:rsidRPr="004676F5">
        <w:rPr>
          <w:lang w:val="de-DE"/>
        </w:rPr>
        <w:t>Das Unternehmen darf Werbung für Kaufangebote und Verkäufe unter den in Artikel VI.25 § 1 erwähnten Bezeichnungen vor Beginn der in Artikel VI.25 erwähnten Zeiträume machen, vorausgesetzt, in dieser Werbung wird ihr Anfangsdatum angegeben.</w:t>
      </w:r>
    </w:p>
    <w:p w14:paraId="7E0DE6A4" w14:textId="77777777" w:rsidR="00626208" w:rsidRPr="004676F5" w:rsidRDefault="00626208" w:rsidP="00626208">
      <w:pPr>
        <w:jc w:val="both"/>
        <w:rPr>
          <w:lang w:val="de-DE"/>
        </w:rPr>
      </w:pPr>
    </w:p>
    <w:p w14:paraId="76560FCB" w14:textId="77777777" w:rsidR="00626208" w:rsidRPr="004676F5" w:rsidRDefault="00626208" w:rsidP="00626208">
      <w:pPr>
        <w:jc w:val="both"/>
        <w:rPr>
          <w:lang w:val="de-DE"/>
        </w:rPr>
      </w:pPr>
    </w:p>
    <w:p w14:paraId="5EA8E671" w14:textId="7A3B73B3"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VI.28</w:t>
      </w:r>
      <w:r w:rsidRPr="004676F5">
        <w:rPr>
          <w:lang w:val="de-DE"/>
        </w:rPr>
        <w:t> </w:t>
      </w:r>
      <w:r w:rsidR="005B7A5C" w:rsidRPr="004676F5">
        <w:rPr>
          <w:lang w:val="de-DE"/>
        </w:rPr>
        <w:t>- </w:t>
      </w:r>
      <w:r w:rsidRPr="004676F5">
        <w:rPr>
          <w:lang w:val="de-DE"/>
        </w:rPr>
        <w:t>Die Beweislast für die Einhaltung der Bedingungen, die in Bezug auf Kaufangebote und Verkäufe unter den in Artikel VI.25 § 1 erwähnten Bezeichnungen festgelegt sind, obliegt dem Unternehmen, das solche Angebote und Verkäufe vornimmt.</w:t>
      </w:r>
    </w:p>
    <w:p w14:paraId="109D5518" w14:textId="77777777" w:rsidR="00626208" w:rsidRPr="004676F5" w:rsidRDefault="00626208" w:rsidP="00626208">
      <w:pPr>
        <w:jc w:val="both"/>
        <w:rPr>
          <w:lang w:val="de-DE"/>
        </w:rPr>
      </w:pPr>
    </w:p>
    <w:p w14:paraId="7ED63D9A" w14:textId="77777777" w:rsidR="00626208" w:rsidRPr="004676F5" w:rsidRDefault="00626208" w:rsidP="00626208">
      <w:pPr>
        <w:jc w:val="both"/>
        <w:rPr>
          <w:lang w:val="de-DE"/>
        </w:rPr>
      </w:pPr>
    </w:p>
    <w:p w14:paraId="7C062C83" w14:textId="4472CC83"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VI.29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Für die Bekleidungs-, Lederwaren</w:t>
      </w:r>
      <w:r w:rsidR="005B7A5C" w:rsidRPr="004676F5">
        <w:rPr>
          <w:lang w:val="de-DE"/>
        </w:rPr>
        <w:t>- </w:t>
      </w:r>
      <w:r w:rsidRPr="004676F5">
        <w:rPr>
          <w:lang w:val="de-DE"/>
        </w:rPr>
        <w:t>und Schuhbranche ist es verboten, Preisermäßigungen anzukündigen, die in der Wartezeit wirksam werden.</w:t>
      </w:r>
    </w:p>
    <w:p w14:paraId="13E68944" w14:textId="77777777" w:rsidR="00626208" w:rsidRPr="004676F5" w:rsidRDefault="00626208" w:rsidP="00626208">
      <w:pPr>
        <w:jc w:val="both"/>
        <w:rPr>
          <w:lang w:val="de-DE"/>
        </w:rPr>
      </w:pPr>
    </w:p>
    <w:p w14:paraId="0E2CA9EE" w14:textId="77777777" w:rsidR="00626208" w:rsidRPr="004676F5" w:rsidRDefault="00626208" w:rsidP="00626208">
      <w:pPr>
        <w:jc w:val="both"/>
        <w:rPr>
          <w:lang w:val="de-DE"/>
        </w:rPr>
      </w:pPr>
      <w:r w:rsidRPr="004676F5">
        <w:rPr>
          <w:lang w:val="de-DE"/>
        </w:rPr>
        <w:tab/>
        <w:t>Das in Absatz 1 erwähnte Verbot beinhaltet ebenfalls das Verbot, Berechtigungs</w:t>
      </w:r>
      <w:r w:rsidRPr="004676F5">
        <w:rPr>
          <w:lang w:val="de-DE"/>
        </w:rPr>
        <w:softHyphen/>
        <w:t>scheine zu verteilen, die während der Wartezeit Anrecht auf eine Preisermäßigung geben.</w:t>
      </w:r>
    </w:p>
    <w:p w14:paraId="627FDA16" w14:textId="77777777" w:rsidR="00626208" w:rsidRPr="004676F5" w:rsidRDefault="00626208" w:rsidP="00626208">
      <w:pPr>
        <w:jc w:val="both"/>
        <w:rPr>
          <w:lang w:val="de-DE"/>
        </w:rPr>
      </w:pPr>
    </w:p>
    <w:p w14:paraId="5DDE7AE5" w14:textId="7D4E6D15"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Die Wartezeit ist der Zeitraum von einem Monat, der dem Beginn der in Artikel VI.25 erwähnten Zeiträume vorangeht.</w:t>
      </w:r>
    </w:p>
    <w:p w14:paraId="3B1D9B87" w14:textId="77777777" w:rsidR="00626208" w:rsidRPr="004676F5" w:rsidRDefault="00626208" w:rsidP="00626208">
      <w:pPr>
        <w:jc w:val="both"/>
        <w:rPr>
          <w:lang w:val="de-DE"/>
        </w:rPr>
      </w:pPr>
    </w:p>
    <w:p w14:paraId="79E458F0" w14:textId="7232F303"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Der König kann Waren oder Kategorien von Waren bestimmen, auf die das in § 1 erwähnte Verbot keine Anwendung findet.</w:t>
      </w:r>
    </w:p>
    <w:p w14:paraId="4834F9A8" w14:textId="77777777" w:rsidR="00626208" w:rsidRPr="004676F5" w:rsidRDefault="00626208" w:rsidP="00626208">
      <w:pPr>
        <w:jc w:val="both"/>
        <w:rPr>
          <w:lang w:val="de-DE"/>
        </w:rPr>
      </w:pPr>
    </w:p>
    <w:p w14:paraId="335A6F49" w14:textId="0299FF3E" w:rsidR="00626208" w:rsidRPr="004676F5" w:rsidRDefault="00626208" w:rsidP="00626208">
      <w:pPr>
        <w:jc w:val="both"/>
        <w:rPr>
          <w:lang w:val="de-DE"/>
        </w:rPr>
      </w:pPr>
      <w:r w:rsidRPr="004676F5">
        <w:rPr>
          <w:lang w:val="de-DE"/>
        </w:rPr>
        <w:tab/>
        <w:t>§ 4 </w:t>
      </w:r>
      <w:r w:rsidR="005B7A5C" w:rsidRPr="004676F5">
        <w:rPr>
          <w:lang w:val="de-DE"/>
        </w:rPr>
        <w:t>- </w:t>
      </w:r>
      <w:r w:rsidRPr="004676F5">
        <w:rPr>
          <w:lang w:val="de-DE"/>
        </w:rPr>
        <w:t>Das in § 1 erwähnte Verbot gilt nicht für Kaufangebote und Verkäufe anlässlich Handelsveranstaltungen, die während der Wartezeit durchgeführt werden, vorausgesetzt, diese Veranstaltungen werden von örtlichen Unternehmensvereinigungen oder mit ihrer Beteiligung organisiert und dauern höchstens vier Tage pro Wartezeit.</w:t>
      </w:r>
    </w:p>
    <w:p w14:paraId="2F6C0169" w14:textId="77777777" w:rsidR="00626208" w:rsidRPr="004676F5" w:rsidRDefault="00626208" w:rsidP="00626208">
      <w:pPr>
        <w:jc w:val="both"/>
        <w:rPr>
          <w:lang w:val="de-DE"/>
        </w:rPr>
      </w:pPr>
    </w:p>
    <w:p w14:paraId="5D7EF455" w14:textId="77777777" w:rsidR="00626208" w:rsidRPr="004676F5" w:rsidRDefault="00626208" w:rsidP="00626208">
      <w:pPr>
        <w:jc w:val="both"/>
        <w:rPr>
          <w:lang w:val="de-DE"/>
        </w:rPr>
      </w:pPr>
      <w:r w:rsidRPr="004676F5">
        <w:rPr>
          <w:lang w:val="de-DE"/>
        </w:rPr>
        <w:tab/>
        <w:t>Der König kann zusätzliche Bedingungen festlegen, unter denen diese Veranstaltungen stattfinden dürfen.</w:t>
      </w:r>
    </w:p>
    <w:p w14:paraId="6A703CE3" w14:textId="77777777" w:rsidR="00626208" w:rsidRPr="004676F5" w:rsidRDefault="00626208" w:rsidP="00626208">
      <w:pPr>
        <w:jc w:val="both"/>
        <w:rPr>
          <w:lang w:val="de-DE"/>
        </w:rPr>
      </w:pPr>
    </w:p>
    <w:p w14:paraId="6EDCD2C3" w14:textId="4BD9606E" w:rsidR="00626208" w:rsidRPr="004676F5" w:rsidRDefault="00626208" w:rsidP="00626208">
      <w:pPr>
        <w:jc w:val="both"/>
        <w:rPr>
          <w:lang w:val="de-DE"/>
        </w:rPr>
      </w:pPr>
      <w:r w:rsidRPr="004676F5">
        <w:rPr>
          <w:lang w:val="de-DE"/>
        </w:rPr>
        <w:tab/>
        <w:t>§ 5 </w:t>
      </w:r>
      <w:r w:rsidR="005B7A5C" w:rsidRPr="004676F5">
        <w:rPr>
          <w:lang w:val="de-DE"/>
        </w:rPr>
        <w:t>- </w:t>
      </w:r>
      <w:r w:rsidRPr="004676F5">
        <w:rPr>
          <w:lang w:val="de-DE"/>
        </w:rPr>
        <w:t xml:space="preserve">Die in § 1 erwähnte Wartezeit gilt nicht für die gemäß </w:t>
      </w:r>
      <w:r w:rsidR="00692B96" w:rsidRPr="004676F5">
        <w:rPr>
          <w:lang w:val="de-DE"/>
        </w:rPr>
        <w:t>[den Artikeln VI.22 und VI.23]</w:t>
      </w:r>
      <w:r w:rsidRPr="004676F5">
        <w:rPr>
          <w:lang w:val="de-DE"/>
        </w:rPr>
        <w:t xml:space="preserve"> vorgenommenen Ausverkäufe.</w:t>
      </w:r>
    </w:p>
    <w:p w14:paraId="288E7E2C" w14:textId="77777777" w:rsidR="00626208" w:rsidRPr="004676F5" w:rsidRDefault="00626208" w:rsidP="00626208">
      <w:pPr>
        <w:jc w:val="both"/>
        <w:rPr>
          <w:lang w:val="de-DE"/>
        </w:rPr>
      </w:pPr>
    </w:p>
    <w:p w14:paraId="782354F8" w14:textId="1F0FB905" w:rsidR="00692B96" w:rsidRPr="004676F5" w:rsidRDefault="00692B96" w:rsidP="00626208">
      <w:pPr>
        <w:jc w:val="both"/>
        <w:rPr>
          <w:i/>
          <w:iCs/>
          <w:lang w:val="de-DE"/>
        </w:rPr>
      </w:pPr>
      <w:r w:rsidRPr="004676F5">
        <w:rPr>
          <w:i/>
          <w:iCs/>
          <w:lang w:val="de-DE"/>
        </w:rPr>
        <w:t>[Art. VI.29 § 5 abgeändert durch Art. 11</w:t>
      </w:r>
      <w:r w:rsidRPr="004676F5">
        <w:rPr>
          <w:i/>
          <w:lang w:val="de-DE"/>
        </w:rPr>
        <w:t xml:space="preserve"> des G. vom 5. November 2023</w:t>
      </w:r>
      <w:r w:rsidR="003454B3" w:rsidRPr="004676F5">
        <w:rPr>
          <w:i/>
          <w:lang w:val="de-DE"/>
        </w:rPr>
        <w:t xml:space="preserve"> (I)</w:t>
      </w:r>
      <w:r w:rsidRPr="004676F5">
        <w:rPr>
          <w:i/>
          <w:lang w:val="de-DE"/>
        </w:rPr>
        <w:t xml:space="preserve"> (B.S. vom 11. Dezember 2023)]</w:t>
      </w:r>
    </w:p>
    <w:p w14:paraId="7D8B3738" w14:textId="77777777" w:rsidR="00626208" w:rsidRPr="004676F5" w:rsidRDefault="00626208" w:rsidP="00626208">
      <w:pPr>
        <w:jc w:val="both"/>
        <w:rPr>
          <w:lang w:val="de-DE"/>
        </w:rPr>
      </w:pPr>
    </w:p>
    <w:p w14:paraId="76167CB1" w14:textId="77777777" w:rsidR="00692B96" w:rsidRPr="004676F5" w:rsidRDefault="00692B96" w:rsidP="00626208">
      <w:pPr>
        <w:jc w:val="both"/>
        <w:rPr>
          <w:lang w:val="de-DE"/>
        </w:rPr>
      </w:pPr>
    </w:p>
    <w:p w14:paraId="60D26C5B" w14:textId="2D825E85"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VI.30</w:t>
      </w:r>
      <w:r w:rsidRPr="004676F5">
        <w:rPr>
          <w:lang w:val="de-DE"/>
        </w:rPr>
        <w:t> </w:t>
      </w:r>
      <w:r w:rsidR="005B7A5C" w:rsidRPr="004676F5">
        <w:rPr>
          <w:lang w:val="de-DE"/>
        </w:rPr>
        <w:t>- </w:t>
      </w:r>
      <w:r w:rsidRPr="004676F5">
        <w:rPr>
          <w:lang w:val="de-DE"/>
        </w:rPr>
        <w:t>Bevor der Minister einen Erlass zur Ausführung der Artikel VI.25 und VI.29 vorschlägt, konsultiert er den Verbraucherrat und den Hohen Rat für Selbständige und KMB. Er bestimmt die für die Abgabe der Stellungnahme angemessene Frist. Nach Ablauf dieser Frist ist die Stellungnahme nicht mehr erforderlich.</w:t>
      </w:r>
    </w:p>
    <w:p w14:paraId="0393D992" w14:textId="77777777" w:rsidR="00626208" w:rsidRPr="004676F5" w:rsidRDefault="00626208" w:rsidP="00626208">
      <w:pPr>
        <w:jc w:val="both"/>
        <w:rPr>
          <w:lang w:val="de-DE"/>
        </w:rPr>
      </w:pPr>
    </w:p>
    <w:p w14:paraId="5A0E68D7" w14:textId="77777777" w:rsidR="00626208" w:rsidRPr="004676F5" w:rsidRDefault="00626208" w:rsidP="00626208">
      <w:pPr>
        <w:jc w:val="both"/>
        <w:rPr>
          <w:lang w:val="de-DE"/>
        </w:rPr>
      </w:pPr>
    </w:p>
    <w:p w14:paraId="75D8DFC9" w14:textId="6F8190CE" w:rsidR="00626208" w:rsidRPr="004676F5" w:rsidRDefault="00626208" w:rsidP="00626208">
      <w:pPr>
        <w:jc w:val="center"/>
        <w:rPr>
          <w:lang w:val="de-DE"/>
        </w:rPr>
      </w:pPr>
      <w:r w:rsidRPr="004676F5">
        <w:rPr>
          <w:i/>
          <w:lang w:val="de-DE"/>
        </w:rPr>
        <w:t>Abschnitt 4</w:t>
      </w:r>
      <w:r w:rsidRPr="004676F5">
        <w:rPr>
          <w:lang w:val="de-DE"/>
        </w:rPr>
        <w:t> </w:t>
      </w:r>
      <w:r w:rsidR="005B7A5C" w:rsidRPr="004676F5">
        <w:rPr>
          <w:lang w:val="de-DE"/>
        </w:rPr>
        <w:t>- </w:t>
      </w:r>
      <w:r w:rsidRPr="004676F5">
        <w:rPr>
          <w:lang w:val="de-DE"/>
        </w:rPr>
        <w:t>Berechtigungsscheine, die zu Erstattung oder Preisermäßigung berechtigen</w:t>
      </w:r>
    </w:p>
    <w:p w14:paraId="1C0E2080" w14:textId="77777777" w:rsidR="00626208" w:rsidRPr="004676F5" w:rsidRDefault="00626208" w:rsidP="00626208">
      <w:pPr>
        <w:jc w:val="both"/>
        <w:rPr>
          <w:lang w:val="de-DE"/>
        </w:rPr>
      </w:pPr>
    </w:p>
    <w:p w14:paraId="6501995A" w14:textId="77777777" w:rsidR="00626208" w:rsidRPr="004676F5" w:rsidRDefault="00626208" w:rsidP="00626208">
      <w:pPr>
        <w:jc w:val="both"/>
        <w:rPr>
          <w:lang w:val="de-DE"/>
        </w:rPr>
      </w:pPr>
    </w:p>
    <w:p w14:paraId="0964FD25" w14:textId="1FF771D5"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VI.31</w:t>
      </w:r>
      <w:r w:rsidRPr="004676F5">
        <w:rPr>
          <w:lang w:val="de-DE"/>
        </w:rPr>
        <w:t> </w:t>
      </w:r>
      <w:r w:rsidR="005B7A5C" w:rsidRPr="004676F5">
        <w:rPr>
          <w:lang w:val="de-DE"/>
        </w:rPr>
        <w:t>- </w:t>
      </w:r>
      <w:r w:rsidRPr="004676F5">
        <w:rPr>
          <w:lang w:val="de-DE"/>
        </w:rPr>
        <w:t>Auf Berechtigungsscheinen, die von einem Unternehmen bei Erwerb einer Ware oder Dienstleistung angeboten werden und zu einer nachträglichen Erstattung des Preises oder eines Teils des Preises berechtigen, werden folgende Angaben vermerkt:</w:t>
      </w:r>
    </w:p>
    <w:p w14:paraId="02503A0E" w14:textId="77777777" w:rsidR="00626208" w:rsidRPr="004676F5" w:rsidRDefault="00626208" w:rsidP="00626208">
      <w:pPr>
        <w:jc w:val="both"/>
        <w:rPr>
          <w:lang w:val="de-DE"/>
        </w:rPr>
      </w:pPr>
    </w:p>
    <w:p w14:paraId="5ACFD4BF" w14:textId="77777777" w:rsidR="00626208" w:rsidRPr="004676F5" w:rsidRDefault="00626208" w:rsidP="00626208">
      <w:pPr>
        <w:jc w:val="both"/>
        <w:rPr>
          <w:lang w:val="de-DE"/>
        </w:rPr>
      </w:pPr>
      <w:r w:rsidRPr="004676F5">
        <w:rPr>
          <w:lang w:val="de-DE"/>
        </w:rPr>
        <w:tab/>
        <w:t>1. Name, Anschrift, gegebenenfalls Gesellschaftsform und Unternehmensnummer des Ausgebers,</w:t>
      </w:r>
    </w:p>
    <w:p w14:paraId="72217CED" w14:textId="77777777" w:rsidR="00626208" w:rsidRPr="004676F5" w:rsidRDefault="00626208" w:rsidP="00626208">
      <w:pPr>
        <w:jc w:val="both"/>
        <w:rPr>
          <w:lang w:val="de-DE"/>
        </w:rPr>
      </w:pPr>
    </w:p>
    <w:p w14:paraId="09C28344" w14:textId="77777777" w:rsidR="00626208" w:rsidRPr="004676F5" w:rsidRDefault="00626208" w:rsidP="00626208">
      <w:pPr>
        <w:jc w:val="both"/>
        <w:rPr>
          <w:lang w:val="de-DE"/>
        </w:rPr>
      </w:pPr>
      <w:r w:rsidRPr="004676F5">
        <w:rPr>
          <w:lang w:val="de-DE"/>
        </w:rPr>
        <w:tab/>
        <w:t>2. erstatteter Betrag,</w:t>
      </w:r>
    </w:p>
    <w:p w14:paraId="0632823A" w14:textId="77777777" w:rsidR="00626208" w:rsidRPr="004676F5" w:rsidRDefault="00626208" w:rsidP="00626208">
      <w:pPr>
        <w:jc w:val="both"/>
        <w:rPr>
          <w:lang w:val="de-DE"/>
        </w:rPr>
      </w:pPr>
    </w:p>
    <w:p w14:paraId="5ABA993A" w14:textId="77777777" w:rsidR="00626208" w:rsidRPr="004676F5" w:rsidRDefault="00626208" w:rsidP="00626208">
      <w:pPr>
        <w:jc w:val="both"/>
        <w:rPr>
          <w:lang w:val="de-DE"/>
        </w:rPr>
      </w:pPr>
      <w:r w:rsidRPr="004676F5">
        <w:rPr>
          <w:lang w:val="de-DE"/>
        </w:rPr>
        <w:tab/>
        <w:t>3. gegebenenfalls Ende ihrer Gültigkeitsdauer, außer wenn diese unbegrenzt ist,</w:t>
      </w:r>
    </w:p>
    <w:p w14:paraId="43951BB7" w14:textId="77777777" w:rsidR="00626208" w:rsidRPr="004676F5" w:rsidRDefault="00626208" w:rsidP="00626208">
      <w:pPr>
        <w:jc w:val="both"/>
        <w:rPr>
          <w:lang w:val="de-DE"/>
        </w:rPr>
      </w:pPr>
    </w:p>
    <w:p w14:paraId="4A55068F" w14:textId="77777777" w:rsidR="00626208" w:rsidRPr="004676F5" w:rsidRDefault="00626208" w:rsidP="00626208">
      <w:pPr>
        <w:jc w:val="both"/>
        <w:rPr>
          <w:lang w:val="de-DE"/>
        </w:rPr>
      </w:pPr>
      <w:r w:rsidRPr="004676F5">
        <w:rPr>
          <w:lang w:val="de-DE"/>
        </w:rPr>
        <w:tab/>
        <w:t xml:space="preserve">4. Modalitäten und Bedingungen für die Erstattung, einschließlich der Schritte, die der Inhaber des Berechtigungsscheins unternehmen muss, um die Erstattung zu erhalten, und der </w:t>
      </w:r>
      <w:r w:rsidRPr="004676F5">
        <w:rPr>
          <w:lang w:val="de-DE"/>
        </w:rPr>
        <w:lastRenderedPageBreak/>
        <w:t>Frist, innerhalb deren die Erstattung vorgenommen wird, außer wenn dies in einer getrennten Information zugleich mit dem Berechtigungsschein mitgeteilt wird.</w:t>
      </w:r>
    </w:p>
    <w:p w14:paraId="3AE975F0" w14:textId="77777777" w:rsidR="00626208" w:rsidRPr="004676F5" w:rsidRDefault="00626208" w:rsidP="00626208">
      <w:pPr>
        <w:jc w:val="both"/>
        <w:rPr>
          <w:lang w:val="de-DE"/>
        </w:rPr>
      </w:pPr>
    </w:p>
    <w:p w14:paraId="295E57CC" w14:textId="77777777" w:rsidR="00626208" w:rsidRPr="004676F5" w:rsidRDefault="00626208" w:rsidP="00626208">
      <w:pPr>
        <w:jc w:val="both"/>
        <w:rPr>
          <w:lang w:val="de-DE"/>
        </w:rPr>
      </w:pPr>
    </w:p>
    <w:p w14:paraId="235AFE42" w14:textId="7550623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VI.32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 Unternehmen, dem ein Berechtigungsschein vorgelegt wird, der von ihm selbst oder von einem anderen Unternehmen kostenlos verteilt worden ist und der es seinem Inhaber ermöglicht, bei Kauf einer oder mehrerer Waren und/oder Dienstleistungen sofort eine Preisermäßigung zu erhalten, ist verpflichtet, diesen Berechtigungsschein anzunehmen, insofern die Bedingungen des Angebots erfüllt sind.</w:t>
      </w:r>
    </w:p>
    <w:p w14:paraId="74D8F8F3" w14:textId="77777777" w:rsidR="00626208" w:rsidRPr="004676F5" w:rsidRDefault="00626208" w:rsidP="00626208">
      <w:pPr>
        <w:jc w:val="both"/>
        <w:rPr>
          <w:lang w:val="de-DE"/>
        </w:rPr>
      </w:pPr>
    </w:p>
    <w:p w14:paraId="42D36D5A" w14:textId="77777777" w:rsidR="00626208" w:rsidRPr="004676F5" w:rsidRDefault="00626208" w:rsidP="00626208">
      <w:pPr>
        <w:jc w:val="both"/>
        <w:rPr>
          <w:lang w:val="de-DE"/>
        </w:rPr>
      </w:pPr>
      <w:r w:rsidRPr="004676F5">
        <w:rPr>
          <w:lang w:val="de-DE"/>
        </w:rPr>
        <w:tab/>
        <w:t>Ist der Berechtigungsschein von einem anderen Unternehmen ausgegeben worden als demjenigen, dem er vorgelegt wird, so gilt die in Absatz 1 erwähnte Verpflichtung jedoch nur, wenn auf dem Berechtigungsschein die in § 2 aufgezählten Angaben vermerkt sind.</w:t>
      </w:r>
    </w:p>
    <w:p w14:paraId="4416DEE6" w14:textId="77777777" w:rsidR="00626208" w:rsidRPr="004676F5" w:rsidRDefault="00626208" w:rsidP="00626208">
      <w:pPr>
        <w:jc w:val="both"/>
        <w:rPr>
          <w:lang w:val="de-DE"/>
        </w:rPr>
      </w:pPr>
    </w:p>
    <w:p w14:paraId="3C720927" w14:textId="3F5BEFA8"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Die in § 1 Absatz 2 erwähnten Angaben sind:</w:t>
      </w:r>
    </w:p>
    <w:p w14:paraId="7DD5F0B6" w14:textId="77777777" w:rsidR="00626208" w:rsidRPr="004676F5" w:rsidRDefault="00626208" w:rsidP="00626208">
      <w:pPr>
        <w:jc w:val="both"/>
        <w:rPr>
          <w:lang w:val="de-DE"/>
        </w:rPr>
      </w:pPr>
    </w:p>
    <w:p w14:paraId="13806444" w14:textId="77777777" w:rsidR="00626208" w:rsidRPr="004676F5" w:rsidRDefault="00626208" w:rsidP="00626208">
      <w:pPr>
        <w:jc w:val="both"/>
        <w:rPr>
          <w:lang w:val="de-DE"/>
        </w:rPr>
      </w:pPr>
      <w:r w:rsidRPr="004676F5">
        <w:rPr>
          <w:lang w:val="de-DE"/>
        </w:rPr>
        <w:tab/>
        <w:t>1. Name, Anschrift, gegebenenfalls Gesellschaftsform und Unternehmensnummer des Ausgebers,</w:t>
      </w:r>
    </w:p>
    <w:p w14:paraId="3F9338C7" w14:textId="77777777" w:rsidR="00626208" w:rsidRPr="004676F5" w:rsidRDefault="00626208" w:rsidP="00626208">
      <w:pPr>
        <w:jc w:val="both"/>
        <w:rPr>
          <w:lang w:val="de-DE"/>
        </w:rPr>
      </w:pPr>
    </w:p>
    <w:p w14:paraId="0DF60D5A" w14:textId="77777777" w:rsidR="00626208" w:rsidRPr="004676F5" w:rsidRDefault="00626208" w:rsidP="00626208">
      <w:pPr>
        <w:jc w:val="both"/>
        <w:rPr>
          <w:lang w:val="de-DE"/>
        </w:rPr>
      </w:pPr>
      <w:r w:rsidRPr="004676F5">
        <w:rPr>
          <w:lang w:val="de-DE"/>
        </w:rPr>
        <w:tab/>
        <w:t>2. Betrag der Ermäßigung,</w:t>
      </w:r>
    </w:p>
    <w:p w14:paraId="336AEE1E" w14:textId="77777777" w:rsidR="00626208" w:rsidRPr="004676F5" w:rsidRDefault="00626208" w:rsidP="00626208">
      <w:pPr>
        <w:jc w:val="both"/>
        <w:rPr>
          <w:lang w:val="de-DE"/>
        </w:rPr>
      </w:pPr>
    </w:p>
    <w:p w14:paraId="283DC61F" w14:textId="77777777" w:rsidR="00626208" w:rsidRPr="004676F5" w:rsidRDefault="00626208" w:rsidP="00626208">
      <w:pPr>
        <w:jc w:val="both"/>
        <w:rPr>
          <w:lang w:val="de-DE"/>
        </w:rPr>
      </w:pPr>
      <w:r w:rsidRPr="004676F5">
        <w:rPr>
          <w:lang w:val="de-DE"/>
        </w:rPr>
        <w:tab/>
        <w:t>3. Waren oder Dienstleistungen, die erworben werden müssen, um den Berechtigungsschein verwenden zu können,</w:t>
      </w:r>
    </w:p>
    <w:p w14:paraId="64E66934" w14:textId="77777777" w:rsidR="00626208" w:rsidRPr="004676F5" w:rsidRDefault="00626208" w:rsidP="00626208">
      <w:pPr>
        <w:jc w:val="both"/>
        <w:rPr>
          <w:lang w:val="de-DE"/>
        </w:rPr>
      </w:pPr>
    </w:p>
    <w:p w14:paraId="765ED6D7" w14:textId="77777777" w:rsidR="00626208" w:rsidRPr="004676F5" w:rsidRDefault="00626208" w:rsidP="00626208">
      <w:pPr>
        <w:jc w:val="both"/>
        <w:rPr>
          <w:lang w:val="de-DE"/>
        </w:rPr>
      </w:pPr>
      <w:r w:rsidRPr="004676F5">
        <w:rPr>
          <w:lang w:val="de-DE"/>
        </w:rPr>
        <w:tab/>
        <w:t>4. Verkaufsstellen, in denen der Berechtigungsschein verwendet werden kann, es sei denn, er kann in allen Verkaufsstellen verwendet werden, in denen die Waren oder Dienstleistungen zum Kauf angeboten werden,</w:t>
      </w:r>
    </w:p>
    <w:p w14:paraId="2F64E5FA" w14:textId="77777777" w:rsidR="00626208" w:rsidRPr="004676F5" w:rsidRDefault="00626208" w:rsidP="00626208">
      <w:pPr>
        <w:jc w:val="both"/>
        <w:rPr>
          <w:lang w:val="de-DE"/>
        </w:rPr>
      </w:pPr>
    </w:p>
    <w:p w14:paraId="4CD762A3" w14:textId="77777777" w:rsidR="00626208" w:rsidRPr="004676F5" w:rsidRDefault="00626208" w:rsidP="00626208">
      <w:pPr>
        <w:jc w:val="both"/>
        <w:rPr>
          <w:lang w:val="de-DE"/>
        </w:rPr>
      </w:pPr>
      <w:r w:rsidRPr="004676F5">
        <w:rPr>
          <w:lang w:val="de-DE"/>
        </w:rPr>
        <w:tab/>
        <w:t>5. Gültigkeitsdauer des Berechtigungsscheins, außer wenn diese unbegrenzt ist.</w:t>
      </w:r>
    </w:p>
    <w:p w14:paraId="7DEFF79B" w14:textId="77777777" w:rsidR="00626208" w:rsidRPr="004676F5" w:rsidRDefault="00626208" w:rsidP="00626208">
      <w:pPr>
        <w:jc w:val="both"/>
        <w:rPr>
          <w:lang w:val="de-DE"/>
        </w:rPr>
      </w:pPr>
    </w:p>
    <w:p w14:paraId="79FAE0D4" w14:textId="77777777" w:rsidR="00626208" w:rsidRPr="004676F5" w:rsidRDefault="00626208" w:rsidP="00626208">
      <w:pPr>
        <w:jc w:val="both"/>
        <w:rPr>
          <w:lang w:val="de-DE"/>
        </w:rPr>
      </w:pPr>
    </w:p>
    <w:p w14:paraId="28901808" w14:textId="0B78BDB7"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VI.33</w:t>
      </w:r>
      <w:r w:rsidRPr="004676F5">
        <w:rPr>
          <w:lang w:val="de-DE"/>
        </w:rPr>
        <w:t> </w:t>
      </w:r>
      <w:r w:rsidR="005B7A5C" w:rsidRPr="004676F5">
        <w:rPr>
          <w:lang w:val="de-DE"/>
        </w:rPr>
        <w:t>- </w:t>
      </w:r>
      <w:r w:rsidRPr="004676F5">
        <w:rPr>
          <w:lang w:val="de-DE"/>
        </w:rPr>
        <w:t>Wer in vorliegendem Abschnitt erwähnte Berechtigungsscheine ausgibt, wird unter den Bedingungen ihrer Ausgabe Schuldner der Verbindlichkeit, die diese Berechtigungsscheine darstellen.</w:t>
      </w:r>
    </w:p>
    <w:p w14:paraId="3AF6BDDA" w14:textId="77777777" w:rsidR="00626208" w:rsidRPr="004676F5" w:rsidRDefault="00626208" w:rsidP="00626208">
      <w:pPr>
        <w:jc w:val="both"/>
        <w:rPr>
          <w:lang w:val="de-DE"/>
        </w:rPr>
      </w:pPr>
    </w:p>
    <w:p w14:paraId="26DE30F5" w14:textId="77777777" w:rsidR="00626208" w:rsidRPr="004676F5" w:rsidRDefault="00626208" w:rsidP="00626208">
      <w:pPr>
        <w:jc w:val="both"/>
        <w:rPr>
          <w:lang w:val="de-DE"/>
        </w:rPr>
      </w:pPr>
      <w:r w:rsidRPr="004676F5">
        <w:rPr>
          <w:lang w:val="de-DE"/>
        </w:rPr>
        <w:tab/>
        <w:t>Insofern der Ausgeber der in Artikel VI.32 erwähnten Berechtigungsscheine nicht das Unternehmen ist, dem der Berechtigungsschein vorgelegt worden ist, ist der Ausgeber verpflichtet, dem Unternehmen, dem der Berechtigungsschein vorgelegt worden ist, innerhalb einer angemessenen Frist den Berechtigungsschein zu erstatten.</w:t>
      </w:r>
    </w:p>
    <w:p w14:paraId="3508FBE6" w14:textId="77777777" w:rsidR="00626208" w:rsidRPr="004676F5" w:rsidRDefault="00626208" w:rsidP="00626208">
      <w:pPr>
        <w:jc w:val="both"/>
        <w:rPr>
          <w:lang w:val="de-DE"/>
        </w:rPr>
      </w:pPr>
    </w:p>
    <w:p w14:paraId="34B478AD" w14:textId="77777777" w:rsidR="00626208" w:rsidRPr="004676F5" w:rsidRDefault="00626208" w:rsidP="00626208">
      <w:pPr>
        <w:jc w:val="center"/>
        <w:rPr>
          <w:lang w:val="de-DE"/>
        </w:rPr>
      </w:pPr>
    </w:p>
    <w:p w14:paraId="0A8661B0" w14:textId="77777777" w:rsidR="00626208" w:rsidRPr="004676F5" w:rsidRDefault="00626208">
      <w:pPr>
        <w:rPr>
          <w:lang w:val="de-DE"/>
        </w:rPr>
      </w:pPr>
      <w:r w:rsidRPr="004676F5">
        <w:rPr>
          <w:lang w:val="de-DE"/>
        </w:rPr>
        <w:br w:type="page"/>
      </w:r>
    </w:p>
    <w:p w14:paraId="605E526F" w14:textId="1594921A" w:rsidR="00626208" w:rsidRPr="004676F5" w:rsidRDefault="00626208" w:rsidP="00626208">
      <w:pPr>
        <w:jc w:val="center"/>
        <w:rPr>
          <w:lang w:val="de-DE"/>
        </w:rPr>
      </w:pPr>
      <w:r w:rsidRPr="004676F5">
        <w:rPr>
          <w:lang w:val="de-DE"/>
        </w:rPr>
        <w:lastRenderedPageBreak/>
        <w:t>KAPITEL 7 </w:t>
      </w:r>
      <w:r w:rsidR="005B7A5C" w:rsidRPr="004676F5">
        <w:rPr>
          <w:lang w:val="de-DE"/>
        </w:rPr>
        <w:t>- </w:t>
      </w:r>
      <w:r w:rsidRPr="004676F5">
        <w:rPr>
          <w:i/>
          <w:lang w:val="de-DE"/>
        </w:rPr>
        <w:t>Verschiedene Bestimmungen</w:t>
      </w:r>
    </w:p>
    <w:p w14:paraId="1D8D60B1" w14:textId="77777777" w:rsidR="00626208" w:rsidRPr="004676F5" w:rsidRDefault="00626208" w:rsidP="00626208">
      <w:pPr>
        <w:jc w:val="both"/>
        <w:rPr>
          <w:lang w:val="de-DE"/>
        </w:rPr>
      </w:pPr>
    </w:p>
    <w:p w14:paraId="53C31D26" w14:textId="77777777" w:rsidR="00626208" w:rsidRPr="004676F5" w:rsidRDefault="00626208" w:rsidP="00626208">
      <w:pPr>
        <w:jc w:val="both"/>
        <w:rPr>
          <w:lang w:val="de-DE"/>
        </w:rPr>
      </w:pPr>
    </w:p>
    <w:p w14:paraId="7F421324" w14:textId="77321E27"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VI.34</w:t>
      </w:r>
      <w:r w:rsidRPr="004676F5">
        <w:rPr>
          <w:lang w:val="de-DE"/>
        </w:rPr>
        <w:t> </w:t>
      </w:r>
      <w:r w:rsidR="005B7A5C" w:rsidRPr="004676F5">
        <w:rPr>
          <w:lang w:val="de-DE"/>
        </w:rPr>
        <w:t>- </w:t>
      </w:r>
      <w:r w:rsidRPr="004676F5">
        <w:rPr>
          <w:lang w:val="de-DE"/>
        </w:rPr>
        <w:t>Wird außerhalb einer Verkaufsniederlassung eines Unternehmens eine zeitlich begrenzte Werbung für eine oder mehrere Waren mit Vermerk ihres Preises angekündigt, so muss das Unternehmen, das nicht mehr über die betreffenden Waren verfügt, unbeschadet der Anwendung von Artikel VI.97 Nr. 1 und 2 dem Verbraucher für jede nicht mehr vorrätige Ware von über 25 EUR einen Berechtigungsschein ausstellen, der innerhalb einer angemessenen Frist und unter den Bedingungen des Angebots zum Kauf dieser Ware berechtigt.</w:t>
      </w:r>
    </w:p>
    <w:p w14:paraId="24E55234" w14:textId="77777777" w:rsidR="00626208" w:rsidRPr="004676F5" w:rsidRDefault="00626208" w:rsidP="00626208">
      <w:pPr>
        <w:jc w:val="both"/>
        <w:rPr>
          <w:lang w:val="de-DE"/>
        </w:rPr>
      </w:pPr>
    </w:p>
    <w:p w14:paraId="0C8F4DC4" w14:textId="77777777" w:rsidR="00626208" w:rsidRPr="004676F5" w:rsidRDefault="00626208" w:rsidP="00626208">
      <w:pPr>
        <w:jc w:val="both"/>
        <w:rPr>
          <w:lang w:val="de-DE"/>
        </w:rPr>
      </w:pPr>
      <w:r w:rsidRPr="004676F5">
        <w:rPr>
          <w:lang w:val="de-DE"/>
        </w:rPr>
        <w:tab/>
        <w:t>Die in Absatz 1 erwähnte Verpflichtung gilt jedoch nicht, wenn das Unternehmen:</w:t>
      </w:r>
    </w:p>
    <w:p w14:paraId="70A70682" w14:textId="77777777" w:rsidR="00626208" w:rsidRPr="004676F5" w:rsidRDefault="00626208" w:rsidP="00626208">
      <w:pPr>
        <w:jc w:val="both"/>
        <w:rPr>
          <w:lang w:val="de-DE"/>
        </w:rPr>
      </w:pPr>
    </w:p>
    <w:p w14:paraId="52B18CCE"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nicht mehr unter denselben Bedingungen einen neuen Bestand der betreffenden Waren anlegen kann oder</w:t>
      </w:r>
    </w:p>
    <w:p w14:paraId="0073A41D" w14:textId="77777777" w:rsidR="00626208" w:rsidRPr="004676F5" w:rsidRDefault="00626208" w:rsidP="00626208">
      <w:pPr>
        <w:jc w:val="both"/>
        <w:rPr>
          <w:lang w:val="de-DE"/>
        </w:rPr>
      </w:pPr>
    </w:p>
    <w:p w14:paraId="6F6BA7E0"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die betreffenden Waren nach Erschöpfung ihres Bestandes nicht mehr zum Kauf anbieten möchte und dies in seiner Werbung deutlich macht oder</w:t>
      </w:r>
    </w:p>
    <w:p w14:paraId="10143730" w14:textId="77777777" w:rsidR="00626208" w:rsidRPr="004676F5" w:rsidRDefault="00626208" w:rsidP="00626208">
      <w:pPr>
        <w:jc w:val="both"/>
        <w:rPr>
          <w:lang w:val="de-DE"/>
        </w:rPr>
      </w:pPr>
    </w:p>
    <w:p w14:paraId="7295E05C" w14:textId="77777777" w:rsidR="00626208" w:rsidRPr="004676F5" w:rsidRDefault="00626208" w:rsidP="00626208">
      <w:pPr>
        <w:jc w:val="both"/>
        <w:rPr>
          <w:lang w:val="de-DE"/>
        </w:rPr>
      </w:pPr>
      <w:r w:rsidRPr="004676F5">
        <w:rPr>
          <w:lang w:val="de-DE"/>
        </w:rPr>
        <w:tab/>
      </w:r>
      <w:r w:rsidRPr="004676F5">
        <w:rPr>
          <w:i/>
          <w:lang w:val="de-DE"/>
        </w:rPr>
        <w:t>c)</w:t>
      </w:r>
      <w:r w:rsidRPr="004676F5">
        <w:rPr>
          <w:lang w:val="de-DE"/>
        </w:rPr>
        <w:t> in der betreffenden Werbung die Anzahl der vorrätigen Waren für jede Verkaufsstelle, für die die Werbung gemacht worden ist, vermerkt hat.</w:t>
      </w:r>
    </w:p>
    <w:p w14:paraId="7ACD24E7" w14:textId="77777777" w:rsidR="00626208" w:rsidRPr="004676F5" w:rsidRDefault="00626208" w:rsidP="00626208">
      <w:pPr>
        <w:jc w:val="both"/>
        <w:rPr>
          <w:lang w:val="de-DE"/>
        </w:rPr>
      </w:pPr>
    </w:p>
    <w:p w14:paraId="2B0D98F2" w14:textId="77777777" w:rsidR="00626208" w:rsidRPr="004676F5" w:rsidRDefault="00626208" w:rsidP="00626208">
      <w:pPr>
        <w:jc w:val="both"/>
        <w:rPr>
          <w:lang w:val="de-DE"/>
        </w:rPr>
      </w:pPr>
      <w:r w:rsidRPr="004676F5">
        <w:rPr>
          <w:lang w:val="de-DE"/>
        </w:rPr>
        <w:tab/>
        <w:t>Der König kann den in Absatz 1 erwähnten Betrag anpassen.</w:t>
      </w:r>
    </w:p>
    <w:p w14:paraId="43B14C76" w14:textId="77777777" w:rsidR="00626208" w:rsidRPr="004676F5" w:rsidRDefault="00626208" w:rsidP="00626208">
      <w:pPr>
        <w:jc w:val="both"/>
        <w:rPr>
          <w:lang w:val="de-DE"/>
        </w:rPr>
      </w:pPr>
    </w:p>
    <w:p w14:paraId="03CF2ED3" w14:textId="77777777" w:rsidR="00626208" w:rsidRPr="004676F5" w:rsidRDefault="00626208" w:rsidP="00626208">
      <w:pPr>
        <w:jc w:val="both"/>
        <w:rPr>
          <w:lang w:val="de-DE"/>
        </w:rPr>
      </w:pPr>
    </w:p>
    <w:p w14:paraId="3E4413F8" w14:textId="30E49072"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VI.35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König kann unbeschadet der Ihm aufgrund einer anderen Gesetzesbestimmung zuerkannten Befugnisse durch einen im Ministerrat beratenen Erlass für Waren oder Dienstleistungen beziehungsweise für Kategorien von Waren oder Dienst</w:t>
      </w:r>
      <w:r w:rsidRPr="004676F5">
        <w:rPr>
          <w:lang w:val="de-DE"/>
        </w:rPr>
        <w:softHyphen/>
        <w:t>leistungen, die Er bestimmt:</w:t>
      </w:r>
    </w:p>
    <w:p w14:paraId="54BED73A" w14:textId="77777777" w:rsidR="00626208" w:rsidRPr="004676F5" w:rsidRDefault="00626208" w:rsidP="00626208">
      <w:pPr>
        <w:jc w:val="both"/>
        <w:rPr>
          <w:lang w:val="de-DE"/>
        </w:rPr>
      </w:pPr>
    </w:p>
    <w:p w14:paraId="3853A682" w14:textId="77777777" w:rsidR="00626208" w:rsidRPr="004676F5" w:rsidRDefault="00626208" w:rsidP="00626208">
      <w:pPr>
        <w:jc w:val="both"/>
        <w:rPr>
          <w:lang w:val="de-DE"/>
        </w:rPr>
      </w:pPr>
      <w:r w:rsidRPr="004676F5">
        <w:rPr>
          <w:lang w:val="de-DE"/>
        </w:rPr>
        <w:tab/>
        <w:t>1. Werbung verbieten oder einschränken, um einen besseren Schutz der Sicherheit der Verbraucher und der Umwelt zu gewährleisten,</w:t>
      </w:r>
    </w:p>
    <w:p w14:paraId="7C27AC47" w14:textId="77777777" w:rsidR="00626208" w:rsidRPr="004676F5" w:rsidRDefault="00626208" w:rsidP="00626208">
      <w:pPr>
        <w:jc w:val="both"/>
        <w:rPr>
          <w:lang w:val="de-DE"/>
        </w:rPr>
      </w:pPr>
    </w:p>
    <w:p w14:paraId="190924F1" w14:textId="77777777" w:rsidR="00626208" w:rsidRPr="004676F5" w:rsidRDefault="00626208" w:rsidP="00626208">
      <w:pPr>
        <w:jc w:val="both"/>
        <w:rPr>
          <w:lang w:val="de-DE"/>
        </w:rPr>
      </w:pPr>
      <w:r w:rsidRPr="004676F5">
        <w:rPr>
          <w:lang w:val="de-DE"/>
        </w:rPr>
        <w:tab/>
        <w:t>2. Mindestangaben in der Werbung festlegen zur Gewährleistung einer besseren Information der Verbraucher.</w:t>
      </w:r>
    </w:p>
    <w:p w14:paraId="0EDB02DA" w14:textId="77777777" w:rsidR="00626208" w:rsidRPr="004676F5" w:rsidRDefault="00626208" w:rsidP="00626208">
      <w:pPr>
        <w:jc w:val="both"/>
        <w:rPr>
          <w:lang w:val="de-DE"/>
        </w:rPr>
      </w:pPr>
    </w:p>
    <w:p w14:paraId="03091BBF" w14:textId="74783D59" w:rsidR="00626208" w:rsidRPr="004676F5" w:rsidRDefault="00626208" w:rsidP="00626208">
      <w:pPr>
        <w:jc w:val="both"/>
        <w:rPr>
          <w:lang w:val="de-DE"/>
        </w:rPr>
      </w:pPr>
      <w:r w:rsidRPr="004676F5">
        <w:rPr>
          <w:lang w:val="de-DE"/>
        </w:rPr>
        <w:tab/>
        <w:t>§ 2 </w:t>
      </w:r>
      <w:r w:rsidR="005B7A5C" w:rsidRPr="004676F5">
        <w:rPr>
          <w:lang w:val="de-DE"/>
        </w:rPr>
        <w:t>- </w:t>
      </w:r>
      <w:r w:rsidR="0068045B" w:rsidRPr="004676F5">
        <w:rPr>
          <w:lang w:val="de-DE"/>
        </w:rPr>
        <w:t>[Bevor der Minister einen Erlass in Anwendung von § 1 vorschlägt, konsultiert er den Verbraucherrat und den Hohen Rat für Selbständige und KMB. Wenn der Erlass Freiberufler betrifft, werden die berufsübergreifenden Verbände der betreffenden Freiberufler, die nicht im Hohen Rat für Selbständige und KMB vertreten sind, ebenfalls konsultiert. Der Minister bestimmt die für die Abgabe der Stellungnahme angemessene Frist. Nach Ablauf dieser Frist ist die Stellungnahme nicht mehr erforderlich.]</w:t>
      </w:r>
    </w:p>
    <w:p w14:paraId="3870DD93" w14:textId="5CF12811" w:rsidR="0068045B" w:rsidRPr="004676F5" w:rsidRDefault="0068045B" w:rsidP="00626208">
      <w:pPr>
        <w:jc w:val="both"/>
        <w:rPr>
          <w:lang w:val="de-DE"/>
        </w:rPr>
      </w:pPr>
    </w:p>
    <w:p w14:paraId="2A9B01F3" w14:textId="5DB28306" w:rsidR="0068045B" w:rsidRPr="004676F5" w:rsidRDefault="0068045B" w:rsidP="00626208">
      <w:pPr>
        <w:jc w:val="both"/>
        <w:rPr>
          <w:i/>
          <w:lang w:val="de-DE"/>
        </w:rPr>
      </w:pPr>
      <w:r w:rsidRPr="004676F5">
        <w:rPr>
          <w:i/>
          <w:lang w:val="de-DE"/>
        </w:rPr>
        <w:t>[Art. VI.35 § 2 ersetzt durch Art. 93</w:t>
      </w:r>
      <w:r w:rsidRPr="004676F5">
        <w:rPr>
          <w:i/>
          <w:iCs/>
          <w:lang w:val="de-DE"/>
        </w:rPr>
        <w:t xml:space="preserve"> des G. vom 15. April 2018 (B.S. vom 27. April 2018)]</w:t>
      </w:r>
    </w:p>
    <w:p w14:paraId="0F7A2ADB" w14:textId="77777777" w:rsidR="00626208" w:rsidRPr="004676F5" w:rsidRDefault="00626208" w:rsidP="00626208">
      <w:pPr>
        <w:jc w:val="both"/>
        <w:rPr>
          <w:lang w:val="de-DE"/>
        </w:rPr>
      </w:pPr>
    </w:p>
    <w:p w14:paraId="5CCADD70" w14:textId="77777777" w:rsidR="00626208" w:rsidRPr="004676F5" w:rsidRDefault="00626208" w:rsidP="00626208">
      <w:pPr>
        <w:jc w:val="both"/>
        <w:rPr>
          <w:lang w:val="de-DE"/>
        </w:rPr>
      </w:pPr>
    </w:p>
    <w:p w14:paraId="6D9E0646" w14:textId="31413856"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VI.36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Kommission für ökologische Etikettierung und Werbung ist damit beauftragt, über Werbung und Etikettierung in Bezug auf die Auswirkungen auf die Umwelt und über das Erstellen eines Kodexes der ökologischen Werbung Stellungnahmen und Empfehlungen abzugeben.</w:t>
      </w:r>
    </w:p>
    <w:p w14:paraId="62639D8B" w14:textId="77777777" w:rsidR="00626208" w:rsidRPr="004676F5" w:rsidRDefault="00626208" w:rsidP="00626208">
      <w:pPr>
        <w:jc w:val="both"/>
        <w:rPr>
          <w:lang w:val="de-DE"/>
        </w:rPr>
      </w:pPr>
    </w:p>
    <w:p w14:paraId="229FCFEA" w14:textId="5F947D58" w:rsidR="00626208" w:rsidRPr="004676F5" w:rsidRDefault="00626208" w:rsidP="00626208">
      <w:pPr>
        <w:jc w:val="both"/>
        <w:rPr>
          <w:lang w:val="de-DE"/>
        </w:rPr>
      </w:pPr>
      <w:r w:rsidRPr="004676F5">
        <w:rPr>
          <w:lang w:val="de-DE"/>
        </w:rPr>
        <w:lastRenderedPageBreak/>
        <w:tab/>
        <w:t>§ 2 </w:t>
      </w:r>
      <w:r w:rsidR="005B7A5C" w:rsidRPr="004676F5">
        <w:rPr>
          <w:lang w:val="de-DE"/>
        </w:rPr>
        <w:t>- </w:t>
      </w:r>
      <w:r w:rsidRPr="004676F5">
        <w:rPr>
          <w:lang w:val="de-DE"/>
        </w:rPr>
        <w:t>Nach Stellungnahme der Kommission und auf gemeinsame Initiative des Ministers und des für Umwelt zuständigen Ministers kann der König einen Kodex der ökologischen Werbung auferlegen.</w:t>
      </w:r>
    </w:p>
    <w:p w14:paraId="67F8057E" w14:textId="77777777" w:rsidR="00626208" w:rsidRPr="004676F5" w:rsidRDefault="00626208" w:rsidP="00626208">
      <w:pPr>
        <w:jc w:val="both"/>
        <w:rPr>
          <w:lang w:val="de-DE"/>
        </w:rPr>
      </w:pPr>
    </w:p>
    <w:p w14:paraId="30F7A989" w14:textId="40DBD51A"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Der König bestimmt die Zusammensetzung der Kommission. Diese muss mindestens zwei Vertreter von Umweltschutzvereinigungen zu seinen Mitgliedern zählen.</w:t>
      </w:r>
    </w:p>
    <w:p w14:paraId="282FC2CA" w14:textId="77777777" w:rsidR="00626208" w:rsidRPr="004676F5" w:rsidRDefault="00626208" w:rsidP="00626208">
      <w:pPr>
        <w:jc w:val="both"/>
        <w:rPr>
          <w:lang w:val="de-DE"/>
        </w:rPr>
      </w:pPr>
    </w:p>
    <w:p w14:paraId="4B5086F0" w14:textId="77777777" w:rsidR="00626208" w:rsidRPr="004676F5" w:rsidRDefault="00626208" w:rsidP="00626208">
      <w:pPr>
        <w:jc w:val="center"/>
        <w:rPr>
          <w:b/>
          <w:lang w:val="de-DE"/>
        </w:rPr>
      </w:pPr>
    </w:p>
    <w:p w14:paraId="6B5590EF" w14:textId="77777777" w:rsidR="00626208" w:rsidRPr="004676F5" w:rsidRDefault="00626208">
      <w:pPr>
        <w:rPr>
          <w:b/>
          <w:lang w:val="de-DE"/>
        </w:rPr>
      </w:pPr>
      <w:r w:rsidRPr="004676F5">
        <w:rPr>
          <w:b/>
          <w:lang w:val="de-DE"/>
        </w:rPr>
        <w:br w:type="page"/>
      </w:r>
    </w:p>
    <w:p w14:paraId="4CA6024E" w14:textId="119BB419" w:rsidR="00626208" w:rsidRPr="004676F5" w:rsidRDefault="00626208" w:rsidP="00626208">
      <w:pPr>
        <w:jc w:val="center"/>
        <w:rPr>
          <w:b/>
          <w:lang w:val="de-DE"/>
        </w:rPr>
      </w:pPr>
      <w:r w:rsidRPr="004676F5">
        <w:rPr>
          <w:b/>
          <w:lang w:val="de-DE"/>
        </w:rPr>
        <w:lastRenderedPageBreak/>
        <w:t>TITEL 3 </w:t>
      </w:r>
      <w:r w:rsidR="005B7A5C" w:rsidRPr="004676F5">
        <w:rPr>
          <w:b/>
          <w:lang w:val="de-DE"/>
        </w:rPr>
        <w:t>- </w:t>
      </w:r>
      <w:r w:rsidRPr="004676F5">
        <w:rPr>
          <w:b/>
          <w:i/>
          <w:lang w:val="de-DE"/>
        </w:rPr>
        <w:t>Verträge mit Verbrauchern</w:t>
      </w:r>
    </w:p>
    <w:p w14:paraId="17B35051" w14:textId="77777777" w:rsidR="00626208" w:rsidRPr="004676F5" w:rsidRDefault="00626208" w:rsidP="00626208">
      <w:pPr>
        <w:jc w:val="both"/>
        <w:rPr>
          <w:lang w:val="de-DE"/>
        </w:rPr>
      </w:pPr>
    </w:p>
    <w:p w14:paraId="551CEF11" w14:textId="77777777" w:rsidR="00626208" w:rsidRPr="004676F5" w:rsidRDefault="00626208" w:rsidP="00626208">
      <w:pPr>
        <w:jc w:val="both"/>
        <w:rPr>
          <w:lang w:val="de-DE"/>
        </w:rPr>
      </w:pPr>
    </w:p>
    <w:p w14:paraId="520C4F7E" w14:textId="75C70B20" w:rsidR="00626208" w:rsidRPr="004676F5" w:rsidRDefault="00626208" w:rsidP="00626208">
      <w:pPr>
        <w:jc w:val="center"/>
        <w:rPr>
          <w:lang w:val="de-DE"/>
        </w:rPr>
      </w:pPr>
      <w:r w:rsidRPr="004676F5">
        <w:rPr>
          <w:lang w:val="de-DE"/>
        </w:rPr>
        <w:t>KAPITEL 1 </w:t>
      </w:r>
      <w:r w:rsidR="005B7A5C" w:rsidRPr="004676F5">
        <w:rPr>
          <w:lang w:val="de-DE"/>
        </w:rPr>
        <w:t>- </w:t>
      </w:r>
      <w:r w:rsidRPr="004676F5">
        <w:rPr>
          <w:i/>
          <w:lang w:val="de-DE"/>
        </w:rPr>
        <w:t>Allgemeine Bestimmungen</w:t>
      </w:r>
    </w:p>
    <w:p w14:paraId="3D527954" w14:textId="77777777" w:rsidR="00626208" w:rsidRPr="004676F5" w:rsidRDefault="00626208" w:rsidP="00626208">
      <w:pPr>
        <w:jc w:val="both"/>
        <w:rPr>
          <w:lang w:val="de-DE"/>
        </w:rPr>
      </w:pPr>
    </w:p>
    <w:p w14:paraId="20055C37" w14:textId="77777777" w:rsidR="00626208" w:rsidRPr="004676F5" w:rsidRDefault="00626208" w:rsidP="00626208">
      <w:pPr>
        <w:jc w:val="both"/>
        <w:rPr>
          <w:lang w:val="de-DE"/>
        </w:rPr>
      </w:pPr>
    </w:p>
    <w:p w14:paraId="08AF7583" w14:textId="5B7FDAE2"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VI.37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Sind alle oder einige Klauseln eines Vertrags zwischen einem Unternehmen und einem Verbraucher schriftlich niedergelegt, so müssen sie klar und verständlich abgefasst sein.</w:t>
      </w:r>
    </w:p>
    <w:p w14:paraId="4E3BD9A9" w14:textId="77777777" w:rsidR="00626208" w:rsidRPr="004676F5" w:rsidRDefault="00626208" w:rsidP="00626208">
      <w:pPr>
        <w:jc w:val="both"/>
        <w:rPr>
          <w:lang w:val="de-DE"/>
        </w:rPr>
      </w:pPr>
    </w:p>
    <w:p w14:paraId="691A15A3" w14:textId="4BFDD058"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Bei Zweifeln über die Bedeutung einer Klausel gilt die für den Verbraucher günstigste Auslegung. Diese Auslegungsregel gilt nicht im Rahmen der in Buch XVII erwähnten Unterlassungsklage.</w:t>
      </w:r>
    </w:p>
    <w:p w14:paraId="28BD07FA" w14:textId="77777777" w:rsidR="00626208" w:rsidRPr="004676F5" w:rsidRDefault="00626208" w:rsidP="00626208">
      <w:pPr>
        <w:jc w:val="both"/>
        <w:rPr>
          <w:lang w:val="de-DE"/>
        </w:rPr>
      </w:pPr>
    </w:p>
    <w:p w14:paraId="76E7BBA9" w14:textId="77777777" w:rsidR="00626208" w:rsidRPr="004676F5" w:rsidRDefault="00626208" w:rsidP="00626208">
      <w:pPr>
        <w:jc w:val="both"/>
        <w:rPr>
          <w:lang w:val="de-DE"/>
        </w:rPr>
      </w:pPr>
      <w:r w:rsidRPr="004676F5">
        <w:rPr>
          <w:lang w:val="de-DE"/>
        </w:rPr>
        <w:tab/>
        <w:t>Ein Vertrag zwischen einem Unternehmen und einem Verbraucher kann unter anderem aufgrund der Geschäftspraktiken, die unmittelbar damit zusammenhängen, ausgelegt werden.</w:t>
      </w:r>
    </w:p>
    <w:p w14:paraId="33174B4A" w14:textId="77777777" w:rsidR="00626208" w:rsidRPr="004676F5" w:rsidRDefault="00626208" w:rsidP="00626208">
      <w:pPr>
        <w:jc w:val="both"/>
        <w:rPr>
          <w:lang w:val="de-DE"/>
        </w:rPr>
      </w:pPr>
    </w:p>
    <w:p w14:paraId="1FB02A54" w14:textId="77777777" w:rsidR="00626208" w:rsidRPr="004676F5" w:rsidRDefault="00626208" w:rsidP="00626208">
      <w:pPr>
        <w:jc w:val="both"/>
        <w:rPr>
          <w:lang w:val="de-DE"/>
        </w:rPr>
      </w:pPr>
    </w:p>
    <w:p w14:paraId="4454A731" w14:textId="0C767B65"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VI.38</w:t>
      </w:r>
      <w:r w:rsidRPr="004676F5">
        <w:rPr>
          <w:lang w:val="de-DE"/>
        </w:rPr>
        <w:t> </w:t>
      </w:r>
      <w:r w:rsidR="005B7A5C" w:rsidRPr="004676F5">
        <w:rPr>
          <w:lang w:val="de-DE"/>
        </w:rPr>
        <w:t>- </w:t>
      </w:r>
      <w:r w:rsidRPr="004676F5">
        <w:rPr>
          <w:lang w:val="de-DE"/>
        </w:rPr>
        <w:t>Wenn ein Vertrag mit einem Verbraucher infolge einer in Artikel VI.100 Nr. 12, 16 und 17 und Artikel VI.103 Nr. 1, 2 und 8 erwähnten unlauteren Geschäftspraxis geschlossen worden ist, kann der Verbraucher innerhalb einer angemessenen Frist ab dem Zeitpunkt, zu dem ihm diese Praxis bekannt war oder hätte sein müssen, die Erstattung der gezahlten Beträge verlangen, ohne dass er das gelieferte Produkt zurückgeben muss.</w:t>
      </w:r>
    </w:p>
    <w:p w14:paraId="7E9ED1FF" w14:textId="77777777" w:rsidR="00626208" w:rsidRPr="004676F5" w:rsidRDefault="00626208" w:rsidP="00626208">
      <w:pPr>
        <w:jc w:val="both"/>
        <w:rPr>
          <w:lang w:val="de-DE"/>
        </w:rPr>
      </w:pPr>
    </w:p>
    <w:p w14:paraId="2DEB239E" w14:textId="45633C34" w:rsidR="00626208" w:rsidRPr="004676F5" w:rsidRDefault="00626208" w:rsidP="00626208">
      <w:pPr>
        <w:jc w:val="both"/>
        <w:rPr>
          <w:lang w:val="de-DE"/>
        </w:rPr>
      </w:pPr>
      <w:r w:rsidRPr="004676F5">
        <w:rPr>
          <w:lang w:val="de-DE"/>
        </w:rPr>
        <w:tab/>
        <w:t xml:space="preserve">Wenn ein Vertrag mit einem Verbraucher infolge einer in den Artikeln VI.93 bis VI.95, VI.100 Nr. 1 bis 11, 13 bis 15, 18 bis </w:t>
      </w:r>
      <w:r w:rsidR="00861079" w:rsidRPr="004676F5">
        <w:rPr>
          <w:lang w:val="de-DE"/>
        </w:rPr>
        <w:t>[27]</w:t>
      </w:r>
      <w:r w:rsidRPr="004676F5">
        <w:rPr>
          <w:lang w:val="de-DE"/>
        </w:rPr>
        <w:t xml:space="preserve"> und in Artikel VI.103 Nr. 3 bis 7 erwähnten unlauteren Geschäftspraxis geschlossen worden ist, kann der Richter unbeschadet der gemeinrechtlichen Sanktionen die Erstattung aller vom Verbraucher gezahlten Beträge anordnen, ohne dass der Verbraucher das gelieferte Produkt zurückgeben muss.</w:t>
      </w:r>
    </w:p>
    <w:p w14:paraId="30C2212B" w14:textId="77777777" w:rsidR="00626208" w:rsidRPr="004676F5" w:rsidRDefault="00626208" w:rsidP="00626208">
      <w:pPr>
        <w:jc w:val="both"/>
        <w:rPr>
          <w:lang w:val="de-DE"/>
        </w:rPr>
      </w:pPr>
    </w:p>
    <w:p w14:paraId="227F2E03" w14:textId="04E7ED71" w:rsidR="00626208" w:rsidRPr="004676F5" w:rsidRDefault="00626208" w:rsidP="00626208">
      <w:pPr>
        <w:jc w:val="both"/>
        <w:rPr>
          <w:lang w:val="de-DE"/>
        </w:rPr>
      </w:pPr>
      <w:r w:rsidRPr="004676F5">
        <w:rPr>
          <w:lang w:val="de-DE"/>
        </w:rPr>
        <w:tab/>
        <w:t>Im Falle einer unbestellten Lieferung an den Verbraucher im Sinne von Artikel VI.103 Nr. 6 ist der Verbraucher in jedem Fall von der Zahlung des Preises oder jeder anderen Gegenleistung befreit. Das Ausbleiben einer Antwort auf die Lieferung gilt nicht als Zustimmung.</w:t>
      </w:r>
    </w:p>
    <w:p w14:paraId="0414F632" w14:textId="77777777" w:rsidR="00626208" w:rsidRPr="004676F5" w:rsidRDefault="00626208" w:rsidP="00626208">
      <w:pPr>
        <w:jc w:val="both"/>
        <w:rPr>
          <w:lang w:val="de-DE"/>
        </w:rPr>
      </w:pPr>
    </w:p>
    <w:p w14:paraId="032573E5" w14:textId="67483368" w:rsidR="00861079" w:rsidRPr="004676F5" w:rsidRDefault="00861079" w:rsidP="00626208">
      <w:pPr>
        <w:jc w:val="both"/>
        <w:rPr>
          <w:i/>
          <w:iCs/>
          <w:lang w:val="de-DE"/>
        </w:rPr>
      </w:pPr>
      <w:r w:rsidRPr="004676F5">
        <w:rPr>
          <w:i/>
          <w:iCs/>
          <w:lang w:val="de-DE"/>
        </w:rPr>
        <w:t>[Art. VI.38 Abs. 2 abgeändert durch Art. 13 des G. vom 8. Mai 2022 (B.S. vom 2. Juni 2022)]</w:t>
      </w:r>
    </w:p>
    <w:p w14:paraId="33358C1F" w14:textId="77777777" w:rsidR="00626208" w:rsidRPr="004676F5" w:rsidRDefault="00626208" w:rsidP="00626208">
      <w:pPr>
        <w:jc w:val="both"/>
        <w:rPr>
          <w:lang w:val="de-DE"/>
        </w:rPr>
      </w:pPr>
    </w:p>
    <w:p w14:paraId="43648BCF" w14:textId="77777777" w:rsidR="00861079" w:rsidRPr="004676F5" w:rsidRDefault="00861079" w:rsidP="00626208">
      <w:pPr>
        <w:jc w:val="both"/>
        <w:rPr>
          <w:lang w:val="de-DE"/>
        </w:rPr>
      </w:pPr>
    </w:p>
    <w:p w14:paraId="284D3E54" w14:textId="1C175C50"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VI.39</w:t>
      </w:r>
      <w:r w:rsidRPr="004676F5">
        <w:rPr>
          <w:lang w:val="de-DE"/>
        </w:rPr>
        <w:t> </w:t>
      </w:r>
      <w:r w:rsidR="005B7A5C" w:rsidRPr="004676F5">
        <w:rPr>
          <w:lang w:val="de-DE"/>
        </w:rPr>
        <w:t>- </w:t>
      </w:r>
      <w:r w:rsidRPr="004676F5">
        <w:rPr>
          <w:lang w:val="de-DE"/>
        </w:rPr>
        <w:t>Einem Unternehmen ist es verboten, den Verbraucher einen Wechsel unterzeichnen zu lassen, durch den dieser die Begleichung seiner Verbindlichkeiten verspricht oder gewährleistet, unbeschadet besonderer Vorschriften, die dies ausdrücklich erlauben.</w:t>
      </w:r>
    </w:p>
    <w:p w14:paraId="365CF7C7" w14:textId="77777777" w:rsidR="00626208" w:rsidRPr="004676F5" w:rsidRDefault="00626208" w:rsidP="00626208">
      <w:pPr>
        <w:jc w:val="both"/>
        <w:rPr>
          <w:lang w:val="de-DE"/>
        </w:rPr>
      </w:pPr>
    </w:p>
    <w:p w14:paraId="279A7046" w14:textId="77777777" w:rsidR="00626208" w:rsidRPr="004676F5" w:rsidRDefault="00626208" w:rsidP="00626208">
      <w:pPr>
        <w:jc w:val="both"/>
        <w:rPr>
          <w:lang w:val="de-DE"/>
        </w:rPr>
      </w:pPr>
    </w:p>
    <w:p w14:paraId="6AD2053E" w14:textId="123700DF"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VI.40</w:t>
      </w:r>
      <w:r w:rsidRPr="004676F5">
        <w:rPr>
          <w:lang w:val="de-DE"/>
        </w:rPr>
        <w:t> </w:t>
      </w:r>
      <w:r w:rsidR="005B7A5C" w:rsidRPr="004676F5">
        <w:rPr>
          <w:lang w:val="de-DE"/>
        </w:rPr>
        <w:t>- </w:t>
      </w:r>
      <w:r w:rsidRPr="004676F5">
        <w:rPr>
          <w:lang w:val="de-DE"/>
        </w:rPr>
        <w:t>Einem Unternehmen ist es verboten, Telefonanrufe, für die der Verbraucher neben dem Anrufpreis den Gesprächsinhalt bezahlt, zu fakturieren, wenn diese Anrufe die Ausführung eines bereits geschlossenen Kaufvertrags betreffen.</w:t>
      </w:r>
    </w:p>
    <w:p w14:paraId="1620173C" w14:textId="77777777" w:rsidR="00626208" w:rsidRPr="004676F5" w:rsidRDefault="00626208" w:rsidP="00626208">
      <w:pPr>
        <w:jc w:val="both"/>
        <w:rPr>
          <w:lang w:val="de-DE"/>
        </w:rPr>
      </w:pPr>
    </w:p>
    <w:p w14:paraId="68280813" w14:textId="77777777" w:rsidR="00626208" w:rsidRPr="004676F5" w:rsidRDefault="00626208" w:rsidP="00626208">
      <w:pPr>
        <w:jc w:val="both"/>
        <w:rPr>
          <w:lang w:val="de-DE"/>
        </w:rPr>
      </w:pPr>
    </w:p>
    <w:p w14:paraId="62CAB258" w14:textId="3D609D9D"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VI.41</w:t>
      </w:r>
      <w:r w:rsidRPr="004676F5">
        <w:rPr>
          <w:lang w:val="de-DE"/>
        </w:rPr>
        <w:t> </w:t>
      </w:r>
      <w:r w:rsidR="005B7A5C" w:rsidRPr="004676F5">
        <w:rPr>
          <w:lang w:val="de-DE"/>
        </w:rPr>
        <w:t>- </w:t>
      </w:r>
      <w:r w:rsidRPr="004676F5">
        <w:rPr>
          <w:lang w:val="de-DE"/>
        </w:rPr>
        <w:t xml:space="preserve">Bevor der Verbraucher durch einen Vertrag oder ein Angebot gebunden ist, hat das Unternehmen die ausdrückliche Zustimmung des Verbrauchers zu jeder Extrazahlung einzuholen, die über das vereinbarte Entgelt für die Hauptleistungspflicht des </w:t>
      </w:r>
      <w:r w:rsidRPr="004676F5">
        <w:rPr>
          <w:lang w:val="de-DE"/>
        </w:rPr>
        <w:lastRenderedPageBreak/>
        <w:t>Unternehmens hinausgeht. Hat das Unternehmen vom Verbraucher keine ausdrückliche Zustimmung eingeholt, sondern sie dadurch herbeigeführt, dass es Voreinstellungen verwendet hat, die vom Verbraucher abgelehnt werden müssen, wenn er die zusätzliche Zahlung vermeiden will, so hat der Verbraucher Anspruch auf Erstattung dieser Zahlung.</w:t>
      </w:r>
    </w:p>
    <w:p w14:paraId="1528B3F6" w14:textId="77777777" w:rsidR="00626208" w:rsidRPr="004676F5" w:rsidRDefault="00626208" w:rsidP="00626208">
      <w:pPr>
        <w:jc w:val="both"/>
        <w:rPr>
          <w:lang w:val="de-DE"/>
        </w:rPr>
      </w:pPr>
    </w:p>
    <w:p w14:paraId="558C9D9D" w14:textId="77777777" w:rsidR="00626208" w:rsidRPr="004676F5" w:rsidRDefault="00626208" w:rsidP="00DC288B">
      <w:pPr>
        <w:jc w:val="right"/>
        <w:rPr>
          <w:lang w:val="de-DE"/>
        </w:rPr>
      </w:pPr>
    </w:p>
    <w:p w14:paraId="0E876130" w14:textId="064F7DB4"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VI.42</w:t>
      </w:r>
      <w:r w:rsidRPr="004676F5">
        <w:rPr>
          <w:lang w:val="de-DE"/>
        </w:rPr>
        <w:t> </w:t>
      </w:r>
      <w:r w:rsidR="005B7A5C" w:rsidRPr="004676F5">
        <w:rPr>
          <w:lang w:val="de-DE"/>
        </w:rPr>
        <w:t>- </w:t>
      </w:r>
      <w:r w:rsidR="00DC288B" w:rsidRPr="004676F5">
        <w:rPr>
          <w:lang w:val="de-DE"/>
        </w:rPr>
        <w:t>[Unbeschadet der Artikel VII.3 § 1 Nr. 11 und VII.30 § 3 ist es einem Unternehmen verboten]</w:t>
      </w:r>
      <w:r w:rsidRPr="004676F5">
        <w:rPr>
          <w:lang w:val="de-DE"/>
        </w:rPr>
        <w:t>, vom Verbraucher für die Nutzung von Zahlungsmitteln Entgelte zu verlangen, die über die Kosten hinausgehen, die dem Unternehmen für die Nutzung solcher Zahlungsmittel entstehen.</w:t>
      </w:r>
    </w:p>
    <w:p w14:paraId="3CC925B4" w14:textId="77777777" w:rsidR="00DC288B" w:rsidRPr="004676F5" w:rsidRDefault="00DC288B" w:rsidP="00626208">
      <w:pPr>
        <w:jc w:val="both"/>
        <w:rPr>
          <w:lang w:val="de-DE"/>
        </w:rPr>
      </w:pPr>
    </w:p>
    <w:p w14:paraId="3466BC67" w14:textId="586F27DF" w:rsidR="00DC288B" w:rsidRPr="004676F5" w:rsidRDefault="00DC288B" w:rsidP="00626208">
      <w:pPr>
        <w:jc w:val="both"/>
        <w:rPr>
          <w:i/>
          <w:iCs/>
          <w:lang w:val="de-DE"/>
        </w:rPr>
      </w:pPr>
      <w:r w:rsidRPr="004676F5">
        <w:rPr>
          <w:i/>
          <w:iCs/>
          <w:lang w:val="de-DE"/>
        </w:rPr>
        <w:t>[Art. VI.4</w:t>
      </w:r>
      <w:r w:rsidR="009B2EBE" w:rsidRPr="004676F5">
        <w:rPr>
          <w:i/>
          <w:iCs/>
          <w:lang w:val="de-DE"/>
        </w:rPr>
        <w:t>2</w:t>
      </w:r>
      <w:r w:rsidRPr="004676F5">
        <w:rPr>
          <w:i/>
          <w:iCs/>
          <w:lang w:val="de-DE"/>
        </w:rPr>
        <w:t xml:space="preserve"> abgeändert durch Art. 6</w:t>
      </w:r>
      <w:r w:rsidRPr="004676F5">
        <w:rPr>
          <w:i/>
          <w:lang w:val="de-DE"/>
        </w:rPr>
        <w:t xml:space="preserve"> des G. vom 2. Mai 2019 (IV) (B.S. vom 22. Mai 2019)]</w:t>
      </w:r>
    </w:p>
    <w:p w14:paraId="7AA8170C" w14:textId="77777777" w:rsidR="00626208" w:rsidRPr="004676F5" w:rsidRDefault="00626208" w:rsidP="00626208">
      <w:pPr>
        <w:jc w:val="both"/>
        <w:rPr>
          <w:lang w:val="de-DE"/>
        </w:rPr>
      </w:pPr>
    </w:p>
    <w:p w14:paraId="1D89126F" w14:textId="77777777" w:rsidR="00626208" w:rsidRPr="004676F5" w:rsidRDefault="00626208" w:rsidP="00626208">
      <w:pPr>
        <w:jc w:val="both"/>
        <w:rPr>
          <w:lang w:val="de-DE"/>
        </w:rPr>
      </w:pPr>
    </w:p>
    <w:p w14:paraId="2E94F588" w14:textId="1C6261E6"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VI.43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Sofern die Vertragsparteien hinsichtlich des Zeitpunkts der Lieferung nichts anderes vereinbart haben, liefert das Unternehmen die Waren, indem es den physischen Besitz an den Waren oder die Kontrolle über die Waren dem Verbraucher unverzüglich, jedoch nicht später als dreißig Tage nach Vertragsabschluss, überträgt.</w:t>
      </w:r>
    </w:p>
    <w:p w14:paraId="239C27A4" w14:textId="77777777" w:rsidR="00626208" w:rsidRPr="004676F5" w:rsidRDefault="00626208" w:rsidP="00626208">
      <w:pPr>
        <w:jc w:val="both"/>
        <w:rPr>
          <w:lang w:val="de-DE"/>
        </w:rPr>
      </w:pPr>
    </w:p>
    <w:p w14:paraId="38A99220" w14:textId="45F206A1"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Kommt das Unternehmen seiner Pflicht zur Lieferung der Waren zu dem mit dem Verbraucher vereinbarten Zeitpunkt oder innerhalb der in § 1 genannten Frist nicht nach, so fordert es der Verbraucher auf, die Lieferung innerhalb einer den Umständen angemessenen zusätzlichen Frist vorzunehmen. Liefert das Unternehmen die Waren nicht innerhalb dieser zusätzlichen Frist, so ist der Verbraucher berechtigt, vom Vertrag zurückzutreten.</w:t>
      </w:r>
    </w:p>
    <w:p w14:paraId="5C579D68" w14:textId="77777777" w:rsidR="00626208" w:rsidRPr="004676F5" w:rsidRDefault="00626208" w:rsidP="00626208">
      <w:pPr>
        <w:jc w:val="both"/>
        <w:rPr>
          <w:lang w:val="de-DE"/>
        </w:rPr>
      </w:pPr>
    </w:p>
    <w:p w14:paraId="283E7912" w14:textId="77777777" w:rsidR="00626208" w:rsidRPr="004676F5" w:rsidRDefault="00626208" w:rsidP="00626208">
      <w:pPr>
        <w:jc w:val="both"/>
        <w:rPr>
          <w:lang w:val="de-DE"/>
        </w:rPr>
      </w:pPr>
      <w:r w:rsidRPr="004676F5">
        <w:rPr>
          <w:lang w:val="de-DE"/>
        </w:rPr>
        <w:tab/>
        <w:t>Absatz 1 des vorliegenden Paragraphen gilt nicht für Kaufverträge, wenn sich das Unternehmen geweigert hat, die Waren zu liefern, oder wenn die Lieferung innerhalb der vereinbarten Frist unter Berücksichtigung aller den Vertragsabschluss begleitenden Umstände wesentlich ist oder wenn der Verbraucher dem Unternehmen vor Vertragsabschluss mitteilt, dass die Lieferung bis zu einem bestimmten Datum oder an einem bestimmten Tag wesentlich ist. In diesen Fällen ist der Verbraucher berechtigt, sofort vom Vertrag zurückzutreten, wenn das Unternehmen die Waren nicht zu dem mit dem Verbraucher vereinbarten Zeitpunkt oder innerhalb der Frist gemäß § 1 liefert.</w:t>
      </w:r>
    </w:p>
    <w:p w14:paraId="7FB77CA7" w14:textId="77777777" w:rsidR="00626208" w:rsidRPr="004676F5" w:rsidRDefault="00626208" w:rsidP="00626208">
      <w:pPr>
        <w:jc w:val="both"/>
        <w:rPr>
          <w:lang w:val="de-DE"/>
        </w:rPr>
      </w:pPr>
    </w:p>
    <w:p w14:paraId="3D36200F" w14:textId="085DED16"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Im Fall des Rücktritts hat das Unternehmen unverzüglich alle gemäß dem Vertrag gezahlten Beträge zurückzuerstatten.</w:t>
      </w:r>
    </w:p>
    <w:p w14:paraId="6078AFFF" w14:textId="77777777" w:rsidR="00626208" w:rsidRPr="004676F5" w:rsidRDefault="00626208" w:rsidP="00626208">
      <w:pPr>
        <w:jc w:val="both"/>
        <w:rPr>
          <w:lang w:val="de-DE"/>
        </w:rPr>
      </w:pPr>
    </w:p>
    <w:p w14:paraId="1104AD98" w14:textId="0EE1E9DA" w:rsidR="00626208" w:rsidRPr="004676F5" w:rsidRDefault="00626208" w:rsidP="00626208">
      <w:pPr>
        <w:jc w:val="both"/>
        <w:rPr>
          <w:lang w:val="de-DE"/>
        </w:rPr>
      </w:pPr>
      <w:r w:rsidRPr="004676F5">
        <w:rPr>
          <w:lang w:val="de-DE"/>
        </w:rPr>
        <w:tab/>
        <w:t>§ 4 </w:t>
      </w:r>
      <w:r w:rsidR="005B7A5C" w:rsidRPr="004676F5">
        <w:rPr>
          <w:lang w:val="de-DE"/>
        </w:rPr>
        <w:t>- </w:t>
      </w:r>
      <w:r w:rsidRPr="004676F5">
        <w:rPr>
          <w:lang w:val="de-DE"/>
        </w:rPr>
        <w:t>Vorliegender Artikel ist anwendbar unbeschadet der gemeinrechtlichen Sanktionen.</w:t>
      </w:r>
    </w:p>
    <w:p w14:paraId="7B845F88" w14:textId="77777777" w:rsidR="00626208" w:rsidRPr="004676F5" w:rsidRDefault="00626208" w:rsidP="00626208">
      <w:pPr>
        <w:jc w:val="both"/>
        <w:rPr>
          <w:lang w:val="de-DE"/>
        </w:rPr>
      </w:pPr>
    </w:p>
    <w:p w14:paraId="2051D0E8" w14:textId="77777777" w:rsidR="00626208" w:rsidRPr="004676F5" w:rsidRDefault="00626208" w:rsidP="00626208">
      <w:pPr>
        <w:jc w:val="both"/>
        <w:rPr>
          <w:lang w:val="de-DE"/>
        </w:rPr>
      </w:pPr>
    </w:p>
    <w:p w14:paraId="7DC8085A" w14:textId="0736E0EF"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VI.44</w:t>
      </w:r>
      <w:r w:rsidRPr="004676F5">
        <w:rPr>
          <w:lang w:val="de-DE"/>
        </w:rPr>
        <w:t> </w:t>
      </w:r>
      <w:r w:rsidR="005B7A5C" w:rsidRPr="004676F5">
        <w:rPr>
          <w:lang w:val="de-DE"/>
        </w:rPr>
        <w:t>- </w:t>
      </w:r>
      <w:r w:rsidRPr="004676F5">
        <w:rPr>
          <w:lang w:val="de-DE"/>
        </w:rPr>
        <w:t>Bei Verträgen, bei denen das Unternehmen die Waren an den Verbraucher versendet, geht das Risiko für einen Verlust oder eine Beschädigung der Waren auf den Verbraucher über, wenn er oder ein vom Verbraucher benannter Dritter, der nicht der Beförderer ist, die Waren physisch in Besitz genommen hat. Unbeschadet der Rechte des Verbrauchers gegenüber dem Beförderer geht das Risiko mit der Übergabe an den Beförderer jedoch auf den Verbraucher über, wenn der Beförderer vom Verbraucher mit der Beförderung der Waren beauftragt wurde und diese Option nicht vom Unternehmen angeboten wurde.</w:t>
      </w:r>
    </w:p>
    <w:p w14:paraId="7DF56E1C" w14:textId="77777777" w:rsidR="00626208" w:rsidRPr="004676F5" w:rsidRDefault="00626208" w:rsidP="00626208">
      <w:pPr>
        <w:jc w:val="both"/>
        <w:rPr>
          <w:lang w:val="de-DE"/>
        </w:rPr>
      </w:pPr>
    </w:p>
    <w:p w14:paraId="555DE62D" w14:textId="77777777" w:rsidR="00861079" w:rsidRPr="004676F5" w:rsidRDefault="00861079" w:rsidP="00626208">
      <w:pPr>
        <w:jc w:val="both"/>
        <w:rPr>
          <w:lang w:val="de-DE"/>
        </w:rPr>
      </w:pPr>
    </w:p>
    <w:p w14:paraId="4F40F17B" w14:textId="7DC32443" w:rsidR="00861079" w:rsidRPr="004676F5" w:rsidRDefault="00861079" w:rsidP="00626208">
      <w:pPr>
        <w:jc w:val="both"/>
        <w:rPr>
          <w:lang w:val="de-DE"/>
        </w:rPr>
      </w:pPr>
      <w:r w:rsidRPr="004676F5">
        <w:rPr>
          <w:lang w:val="de-DE"/>
        </w:rPr>
        <w:lastRenderedPageBreak/>
        <w:tab/>
        <w:t>[</w:t>
      </w:r>
      <w:r w:rsidRPr="004676F5">
        <w:rPr>
          <w:b/>
          <w:bCs/>
          <w:lang w:val="de-DE"/>
        </w:rPr>
        <w:t>Art. VI.44/1</w:t>
      </w:r>
      <w:r w:rsidRPr="004676F5">
        <w:rPr>
          <w:lang w:val="de-DE"/>
        </w:rPr>
        <w:t> </w:t>
      </w:r>
      <w:r w:rsidR="005B7A5C" w:rsidRPr="004676F5">
        <w:rPr>
          <w:lang w:val="de-DE"/>
        </w:rPr>
        <w:t>- </w:t>
      </w:r>
      <w:r w:rsidRPr="004676F5">
        <w:rPr>
          <w:lang w:val="de-DE"/>
        </w:rPr>
        <w:t>Die Artikel VI.40 bis VI.44 gelten auch, wenn das Unternehmen dem Verbraucher digitale Inhalte, die nicht auf einem körperlichen Datenträger geliefert werden, bereitstellt oder deren Bereitstellung zusagt oder für den Verbraucher digitale Dienstleistungen bereitstellt oder deren Bereitstellung zusagt und der Verbraucher dem Unternehmen personenbezogene Daten bereitstellt oder deren Bereitstellung zusagt, außer in Fällen, in denen die vom Verbraucher bereitgestellten personenbezogenen Daten durch das Unternehmen ausschließlich zur Bereitstellung digitaler Inhalte, die nicht auf einem körperlichen Datenträger geliefert werden, oder digitaler Dienstleistungen oder zur Erfüllung der vom Unternehmen einzuhaltenden rechtlichen Anforderungen verarbeitet werden und das Unternehmen diese Daten zu keinen anderen Zwecken verarbeitet.]</w:t>
      </w:r>
    </w:p>
    <w:p w14:paraId="7B06C2D4" w14:textId="77777777" w:rsidR="00861079" w:rsidRPr="004676F5" w:rsidRDefault="00861079" w:rsidP="00626208">
      <w:pPr>
        <w:jc w:val="both"/>
        <w:rPr>
          <w:lang w:val="de-DE"/>
        </w:rPr>
      </w:pPr>
    </w:p>
    <w:p w14:paraId="4B8E2D78" w14:textId="7EABF1ED" w:rsidR="00626208" w:rsidRPr="004676F5" w:rsidRDefault="00861079" w:rsidP="00861079">
      <w:pPr>
        <w:jc w:val="both"/>
        <w:rPr>
          <w:i/>
          <w:iCs/>
          <w:lang w:val="de-DE"/>
        </w:rPr>
      </w:pPr>
      <w:r w:rsidRPr="004676F5">
        <w:rPr>
          <w:i/>
          <w:iCs/>
          <w:lang w:val="de-DE"/>
        </w:rPr>
        <w:t>[Neuer Artikel VI.44/1 eingefügt durch Art. 14 des G. vom 8. Mai 2022 (B.S. vom 2. Juni 2022)]</w:t>
      </w:r>
    </w:p>
    <w:p w14:paraId="287333D4" w14:textId="77777777" w:rsidR="00626208" w:rsidRPr="004676F5" w:rsidRDefault="00626208">
      <w:pPr>
        <w:rPr>
          <w:lang w:val="de-DE"/>
        </w:rPr>
      </w:pPr>
      <w:r w:rsidRPr="004676F5">
        <w:rPr>
          <w:lang w:val="de-DE"/>
        </w:rPr>
        <w:br w:type="page"/>
      </w:r>
    </w:p>
    <w:p w14:paraId="669820AF" w14:textId="071B6B07" w:rsidR="00626208" w:rsidRPr="004676F5" w:rsidRDefault="00626208" w:rsidP="00626208">
      <w:pPr>
        <w:jc w:val="center"/>
        <w:rPr>
          <w:lang w:val="de-DE"/>
        </w:rPr>
      </w:pPr>
      <w:r w:rsidRPr="004676F5">
        <w:rPr>
          <w:lang w:val="de-DE"/>
        </w:rPr>
        <w:lastRenderedPageBreak/>
        <w:t>KAPITEL 2 </w:t>
      </w:r>
      <w:r w:rsidR="005B7A5C" w:rsidRPr="004676F5">
        <w:rPr>
          <w:lang w:val="de-DE"/>
        </w:rPr>
        <w:t>- </w:t>
      </w:r>
      <w:r w:rsidRPr="004676F5">
        <w:rPr>
          <w:i/>
          <w:lang w:val="de-DE"/>
        </w:rPr>
        <w:t>Fernabsatzverträge</w:t>
      </w:r>
    </w:p>
    <w:p w14:paraId="752ABD27" w14:textId="77777777" w:rsidR="00626208" w:rsidRPr="004676F5" w:rsidRDefault="00626208" w:rsidP="00626208">
      <w:pPr>
        <w:jc w:val="both"/>
        <w:rPr>
          <w:lang w:val="de-DE"/>
        </w:rPr>
      </w:pPr>
    </w:p>
    <w:p w14:paraId="03A76A5F" w14:textId="77777777" w:rsidR="00626208" w:rsidRPr="004676F5" w:rsidRDefault="00626208" w:rsidP="00626208">
      <w:pPr>
        <w:jc w:val="both"/>
        <w:rPr>
          <w:lang w:val="de-DE"/>
        </w:rPr>
      </w:pPr>
    </w:p>
    <w:p w14:paraId="48A872E3" w14:textId="1F8E45F3" w:rsidR="00626208" w:rsidRPr="004676F5" w:rsidRDefault="00626208" w:rsidP="00626208">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Fernabsatzverträge, die sich nicht auf Finanzdienstleistungen beziehen</w:t>
      </w:r>
    </w:p>
    <w:p w14:paraId="014C4709" w14:textId="77777777" w:rsidR="00626208" w:rsidRPr="004676F5" w:rsidRDefault="00626208" w:rsidP="00626208">
      <w:pPr>
        <w:jc w:val="both"/>
        <w:rPr>
          <w:lang w:val="de-DE"/>
        </w:rPr>
      </w:pPr>
    </w:p>
    <w:p w14:paraId="664DCC34" w14:textId="2459724B" w:rsidR="00626208" w:rsidRPr="004676F5" w:rsidRDefault="00626208" w:rsidP="00626208">
      <w:pPr>
        <w:jc w:val="both"/>
        <w:rPr>
          <w:lang w:val="de-DE"/>
        </w:rPr>
      </w:pPr>
    </w:p>
    <w:p w14:paraId="2ECC84ED" w14:textId="2C309044" w:rsidR="0068045B" w:rsidRPr="004676F5" w:rsidRDefault="0068045B" w:rsidP="0068045B">
      <w:pPr>
        <w:ind w:firstLine="708"/>
        <w:jc w:val="both"/>
        <w:rPr>
          <w:lang w:val="de-DE"/>
        </w:rPr>
      </w:pPr>
      <w:r w:rsidRPr="004676F5">
        <w:rPr>
          <w:lang w:val="de-DE"/>
        </w:rPr>
        <w:t>[</w:t>
      </w:r>
      <w:r w:rsidR="00861079" w:rsidRPr="004676F5">
        <w:rPr>
          <w:lang w:val="de-DE"/>
        </w:rPr>
        <w:t>[</w:t>
      </w:r>
      <w:r w:rsidRPr="004676F5">
        <w:rPr>
          <w:b/>
          <w:lang w:val="de-DE"/>
        </w:rPr>
        <w:t>Art. VI.44/</w:t>
      </w:r>
      <w:r w:rsidR="00861079" w:rsidRPr="004676F5">
        <w:rPr>
          <w:b/>
          <w:lang w:val="de-DE"/>
        </w:rPr>
        <w:t>2</w:t>
      </w:r>
      <w:r w:rsidR="00861079" w:rsidRPr="004676F5">
        <w:rPr>
          <w:lang w:val="de-DE"/>
        </w:rPr>
        <w:t xml:space="preserve">] </w:t>
      </w:r>
      <w:r w:rsidR="005B7A5C" w:rsidRPr="004676F5">
        <w:rPr>
          <w:lang w:val="de-DE"/>
        </w:rPr>
        <w:t>- </w:t>
      </w:r>
      <w:r w:rsidRPr="004676F5">
        <w:rPr>
          <w:lang w:val="de-DE"/>
        </w:rPr>
        <w:t>§ 1 </w:t>
      </w:r>
      <w:r w:rsidR="005B7A5C" w:rsidRPr="004676F5">
        <w:rPr>
          <w:lang w:val="de-DE"/>
        </w:rPr>
        <w:t>- </w:t>
      </w:r>
      <w:r w:rsidRPr="004676F5">
        <w:rPr>
          <w:lang w:val="de-DE"/>
        </w:rPr>
        <w:t>Vorliegender Abschnitt ist nicht auf Verträge anwendbar, die Notare oder Gerichtsvollzieher in ihrer Eigenschaft als öffentliche Amtsträger aufsetzen.</w:t>
      </w:r>
    </w:p>
    <w:p w14:paraId="77144951" w14:textId="77777777" w:rsidR="0068045B" w:rsidRPr="004676F5" w:rsidRDefault="0068045B" w:rsidP="0068045B">
      <w:pPr>
        <w:ind w:firstLine="708"/>
        <w:jc w:val="both"/>
        <w:rPr>
          <w:lang w:val="de-DE"/>
        </w:rPr>
      </w:pPr>
    </w:p>
    <w:p w14:paraId="16827D6B" w14:textId="58149332" w:rsidR="0068045B" w:rsidRPr="004676F5" w:rsidRDefault="0068045B" w:rsidP="0068045B">
      <w:pPr>
        <w:jc w:val="both"/>
        <w:rPr>
          <w:lang w:val="de-DE"/>
        </w:rPr>
      </w:pPr>
      <w:r w:rsidRPr="004676F5">
        <w:rPr>
          <w:lang w:val="de-DE"/>
        </w:rPr>
        <w:tab/>
        <w:t>§ 2 </w:t>
      </w:r>
      <w:r w:rsidR="005B7A5C" w:rsidRPr="004676F5">
        <w:rPr>
          <w:lang w:val="de-DE"/>
        </w:rPr>
        <w:t>- </w:t>
      </w:r>
      <w:r w:rsidRPr="004676F5">
        <w:rPr>
          <w:lang w:val="de-DE"/>
        </w:rPr>
        <w:t>Vorliegender Abschnitt ist nicht auf Verträge über juristischen Beistand anwend</w:t>
      </w:r>
      <w:r w:rsidRPr="004676F5">
        <w:rPr>
          <w:lang w:val="de-DE"/>
        </w:rPr>
        <w:softHyphen/>
        <w:t>bar, den ein Rechtsanwalt in Anwendung von Teil 2 Buch 3</w:t>
      </w:r>
      <w:r w:rsidRPr="004676F5">
        <w:rPr>
          <w:i/>
          <w:iCs/>
          <w:lang w:val="de-DE"/>
        </w:rPr>
        <w:t>bis</w:t>
      </w:r>
      <w:r w:rsidRPr="004676F5">
        <w:rPr>
          <w:lang w:val="de-DE"/>
        </w:rPr>
        <w:t xml:space="preserve"> des Gerichtsgesetzbuches erbringt.]</w:t>
      </w:r>
    </w:p>
    <w:p w14:paraId="13799742" w14:textId="77777777" w:rsidR="00861079" w:rsidRPr="004676F5" w:rsidRDefault="00861079" w:rsidP="0068045B">
      <w:pPr>
        <w:jc w:val="both"/>
        <w:rPr>
          <w:lang w:val="de-DE"/>
        </w:rPr>
      </w:pPr>
    </w:p>
    <w:p w14:paraId="076CFE43" w14:textId="1C681A07" w:rsidR="00861079" w:rsidRPr="004676F5" w:rsidRDefault="00861079" w:rsidP="0068045B">
      <w:pPr>
        <w:jc w:val="both"/>
        <w:rPr>
          <w:lang w:val="de-DE"/>
        </w:rPr>
      </w:pPr>
      <w:r w:rsidRPr="004676F5">
        <w:rPr>
          <w:lang w:val="de-DE"/>
        </w:rPr>
        <w:tab/>
        <w:t>[§ 3 ­ Vorliegender Abschnitt gilt, wenn das Unternehmen dem Verbraucher digitale Inhalte, die nicht auf einem körperlichen Datenträger geliefert werden, bereitstellt oder deren Bereitstellung zusagt oder für den Verbraucher digitale Dienstleistungen bereitstellt oder deren Bereitstellung zusagt und der Verbraucher dem Unternehmen personenbezogene Daten bereitstellt oder deren Bereitstellung zusagt, außer in Fällen, in denen die vom Verbraucher bereitgestellten personenbezogenen Daten durch das Unternehmen ausschließlich zur Bereitstellung digitaler Inhalte, die nicht auf einem körperlichen Datenträger geliefert werden, oder digitaler Dienstleistungen oder zur Erfüllung der vom Unternehmen einzuhaltenden rechtlichen Anforderungen verarbeitet werden und das Unternehmen diese Daten zu keinen anderen Zwecken verarbeitet.]</w:t>
      </w:r>
    </w:p>
    <w:p w14:paraId="2EE86E18" w14:textId="7C53A91C" w:rsidR="0068045B" w:rsidRPr="004676F5" w:rsidRDefault="0068045B" w:rsidP="0068045B">
      <w:pPr>
        <w:jc w:val="both"/>
        <w:rPr>
          <w:lang w:val="de-DE"/>
        </w:rPr>
      </w:pPr>
    </w:p>
    <w:p w14:paraId="308BA05E" w14:textId="52D8532A" w:rsidR="0068045B" w:rsidRPr="004676F5" w:rsidRDefault="0068045B" w:rsidP="0068045B">
      <w:pPr>
        <w:jc w:val="both"/>
        <w:rPr>
          <w:i/>
          <w:iCs/>
          <w:lang w:val="de-DE"/>
        </w:rPr>
      </w:pPr>
      <w:r w:rsidRPr="004676F5">
        <w:rPr>
          <w:i/>
          <w:lang w:val="de-DE"/>
        </w:rPr>
        <w:t>[</w:t>
      </w:r>
      <w:r w:rsidR="00861079" w:rsidRPr="004676F5">
        <w:rPr>
          <w:i/>
          <w:lang w:val="de-DE"/>
        </w:rPr>
        <w:t xml:space="preserve">Früherer </w:t>
      </w:r>
      <w:r w:rsidRPr="004676F5">
        <w:rPr>
          <w:i/>
          <w:lang w:val="de-DE"/>
        </w:rPr>
        <w:t>Art</w:t>
      </w:r>
      <w:r w:rsidR="00861079" w:rsidRPr="004676F5">
        <w:rPr>
          <w:i/>
          <w:lang w:val="de-DE"/>
        </w:rPr>
        <w:t>ikel</w:t>
      </w:r>
      <w:r w:rsidRPr="004676F5">
        <w:rPr>
          <w:i/>
          <w:lang w:val="de-DE"/>
        </w:rPr>
        <w:t> VI.44/1 eingefügt durch Art. 94</w:t>
      </w:r>
      <w:r w:rsidRPr="004676F5">
        <w:rPr>
          <w:i/>
          <w:iCs/>
          <w:lang w:val="de-DE"/>
        </w:rPr>
        <w:t xml:space="preserve"> des G. vom 15. April 2018 (B.S. vom 27. April 2018)</w:t>
      </w:r>
      <w:r w:rsidR="00861079" w:rsidRPr="004676F5">
        <w:rPr>
          <w:i/>
          <w:iCs/>
          <w:lang w:val="de-DE"/>
        </w:rPr>
        <w:t xml:space="preserve"> und umnummeriert zu Art. VI.44/2 durch Art. 15 Nr. 1 des G. vom 8. Mai 2022 (B.S. vom 2. Juni 2022); § 3 eingefügt durch Art. 15 Nr. 2 des G. vom 8. Mai 2022 (B.S. vom 2. Juni 2022)</w:t>
      </w:r>
      <w:r w:rsidRPr="004676F5">
        <w:rPr>
          <w:i/>
          <w:iCs/>
          <w:lang w:val="de-DE"/>
        </w:rPr>
        <w:t>]</w:t>
      </w:r>
    </w:p>
    <w:p w14:paraId="514DE1BE" w14:textId="77777777" w:rsidR="0068045B" w:rsidRPr="004676F5" w:rsidRDefault="0068045B" w:rsidP="0068045B">
      <w:pPr>
        <w:jc w:val="both"/>
        <w:rPr>
          <w:i/>
          <w:lang w:val="de-DE"/>
        </w:rPr>
      </w:pPr>
    </w:p>
    <w:p w14:paraId="5D608E4A" w14:textId="77777777" w:rsidR="0068045B" w:rsidRPr="004676F5" w:rsidRDefault="0068045B" w:rsidP="0068045B">
      <w:pPr>
        <w:jc w:val="both"/>
        <w:rPr>
          <w:lang w:val="de-DE"/>
        </w:rPr>
      </w:pPr>
    </w:p>
    <w:p w14:paraId="519FDFFA" w14:textId="4D2A3C64"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VI.45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Bevor der Verbraucher durch einen Fernabsatzvertrag gebunden ist, informiert das Unternehmen den Verbraucher in klarer und verständlicher Weise über Folgendes:</w:t>
      </w:r>
    </w:p>
    <w:p w14:paraId="7D604D23" w14:textId="77777777" w:rsidR="00626208" w:rsidRPr="004676F5" w:rsidRDefault="00626208" w:rsidP="00626208">
      <w:pPr>
        <w:jc w:val="both"/>
        <w:rPr>
          <w:lang w:val="de-DE"/>
        </w:rPr>
      </w:pPr>
    </w:p>
    <w:p w14:paraId="727C3751" w14:textId="77777777" w:rsidR="00626208" w:rsidRPr="004676F5" w:rsidRDefault="00626208" w:rsidP="00626208">
      <w:pPr>
        <w:jc w:val="both"/>
        <w:rPr>
          <w:lang w:val="de-DE"/>
        </w:rPr>
      </w:pPr>
      <w:r w:rsidRPr="004676F5">
        <w:rPr>
          <w:lang w:val="de-DE"/>
        </w:rPr>
        <w:tab/>
        <w:t>1. wesentliche Eigenschaften der Waren oder Dienstleistungen, in dem für das Kommunikationsmittel und die Waren oder Dienstleistungen angemessenen Umfang,</w:t>
      </w:r>
    </w:p>
    <w:p w14:paraId="22630528" w14:textId="77777777" w:rsidR="00626208" w:rsidRPr="004676F5" w:rsidRDefault="00626208" w:rsidP="00626208">
      <w:pPr>
        <w:jc w:val="both"/>
        <w:rPr>
          <w:lang w:val="de-DE"/>
        </w:rPr>
      </w:pPr>
    </w:p>
    <w:p w14:paraId="4BC98435" w14:textId="77777777" w:rsidR="00626208" w:rsidRPr="004676F5" w:rsidRDefault="00626208" w:rsidP="00626208">
      <w:pPr>
        <w:jc w:val="both"/>
        <w:rPr>
          <w:lang w:val="de-DE"/>
        </w:rPr>
      </w:pPr>
      <w:r w:rsidRPr="004676F5">
        <w:rPr>
          <w:lang w:val="de-DE"/>
        </w:rPr>
        <w:tab/>
        <w:t>2. Identität des Unternehmens, unter anderem seine Unternehmensnummer, seinen Handelsnamen,</w:t>
      </w:r>
    </w:p>
    <w:p w14:paraId="0CE1B355" w14:textId="77777777" w:rsidR="00626208" w:rsidRPr="004676F5" w:rsidRDefault="00626208" w:rsidP="00626208">
      <w:pPr>
        <w:jc w:val="both"/>
        <w:rPr>
          <w:lang w:val="de-DE"/>
        </w:rPr>
      </w:pPr>
    </w:p>
    <w:p w14:paraId="49A981B2" w14:textId="2C194AD4" w:rsidR="00626208" w:rsidRPr="004676F5" w:rsidRDefault="00626208" w:rsidP="00626208">
      <w:pPr>
        <w:jc w:val="both"/>
        <w:rPr>
          <w:lang w:val="de-DE"/>
        </w:rPr>
      </w:pPr>
      <w:r w:rsidRPr="004676F5">
        <w:rPr>
          <w:lang w:val="de-DE"/>
        </w:rPr>
        <w:tab/>
        <w:t>3. </w:t>
      </w:r>
      <w:r w:rsidR="00861079" w:rsidRPr="004676F5">
        <w:rPr>
          <w:lang w:val="de-DE"/>
        </w:rPr>
        <w:t>[Anschrift des Ortes, an dem das Unternehmen ansässig ist, und Telefonnummer und E-Mail-Adresse des Unternehmens; wenn das Unternehmen andere Online-Kommunikations</w:t>
      </w:r>
      <w:r w:rsidR="00861079" w:rsidRPr="004676F5">
        <w:rPr>
          <w:lang w:val="de-DE"/>
        </w:rPr>
        <w:softHyphen/>
        <w:t>mittel bereitstellt, die gewährleisten, dass der Verbraucher etwaige schriftliche Korrespondenz mit dem Unternehmen, einschließlich des Datums und der Uhrzeit dieser Korrespondenz, auf einem dauerhaften Datenträger speichern kann, so umfassen die Informationen darüber hinaus auch Angaben zu diesen anderen Kommunikationsmitteln; sämtliche dieser vom Unternehmen bereitgestellten Kommunikationsmittel stellen sicher, dass der Verbraucher schnell Kontakt zum Unternehmen aufnehmen und effizient mit ihm kommunizieren kann; gegebenenfalls gibt das Unternehmen auch die Anschrift und die Identität des Unternehmens an, in dessen Auftrag es handelt,]</w:t>
      </w:r>
    </w:p>
    <w:p w14:paraId="06E15DE3" w14:textId="77777777" w:rsidR="00626208" w:rsidRPr="004676F5" w:rsidRDefault="00626208" w:rsidP="00626208">
      <w:pPr>
        <w:jc w:val="both"/>
        <w:rPr>
          <w:lang w:val="de-DE"/>
        </w:rPr>
      </w:pPr>
    </w:p>
    <w:p w14:paraId="0EDB873D" w14:textId="77777777" w:rsidR="00626208" w:rsidRPr="004676F5" w:rsidRDefault="00626208" w:rsidP="00626208">
      <w:pPr>
        <w:jc w:val="both"/>
        <w:rPr>
          <w:lang w:val="de-DE"/>
        </w:rPr>
      </w:pPr>
      <w:r w:rsidRPr="004676F5">
        <w:rPr>
          <w:lang w:val="de-DE"/>
        </w:rPr>
        <w:lastRenderedPageBreak/>
        <w:tab/>
        <w:t>4. falls diese von der gemäß Nr. 3 angegebenen Anschrift abweicht, Geschäftsanschrift des Unternehmens und gegebenenfalls Geschäftsanschrift des Unternehmens, in dessen Auftrag es handelt, an die sich der Verbraucher mit jeder Beschwerde wenden kann,</w:t>
      </w:r>
    </w:p>
    <w:p w14:paraId="16DFE45D" w14:textId="77777777" w:rsidR="00626208" w:rsidRPr="004676F5" w:rsidRDefault="00626208" w:rsidP="00626208">
      <w:pPr>
        <w:jc w:val="both"/>
        <w:rPr>
          <w:lang w:val="de-DE"/>
        </w:rPr>
      </w:pPr>
    </w:p>
    <w:p w14:paraId="264875EA" w14:textId="206026AA" w:rsidR="00626208" w:rsidRPr="004676F5" w:rsidRDefault="00626208" w:rsidP="00626208">
      <w:pPr>
        <w:jc w:val="both"/>
        <w:rPr>
          <w:lang w:val="de-DE"/>
        </w:rPr>
      </w:pPr>
      <w:r w:rsidRPr="004676F5">
        <w:rPr>
          <w:lang w:val="de-DE"/>
        </w:rPr>
        <w:tab/>
        <w:t>5. Gesamtpreis der Waren oder Dienstleistungen einschließlich aller Steuern und Abgaben, oder in Fällen, in denen der Preis aufgrund der Beschaffenheit der Waren oder Dienstleistungen vernünftigerweise nicht im Voraus berechnet werden kann, Art der Preisberechnung und gegebenenfalls alle zusätzlichen Fracht-, Liefer</w:t>
      </w:r>
      <w:r w:rsidR="005B7A5C" w:rsidRPr="004676F5">
        <w:rPr>
          <w:lang w:val="de-DE"/>
        </w:rPr>
        <w:t>- </w:t>
      </w:r>
      <w:r w:rsidRPr="004676F5">
        <w:rPr>
          <w:lang w:val="de-DE"/>
        </w:rPr>
        <w:t>oder Versandkosten und alle sonstigen Kosten, oder in Fällen, in denen diese Kosten vernünftigerweise nicht im Voraus berechnet werden können, Tatsache, dass solche zusätzliche Kosten anfallen können. Im Falle eines unbefristeten Vertrags oder eines Abonnement-Vertrags umfasst der Gesamtpreis die pro Abrechnungszeitraum anfallenden Gesamtkosten. Wenn für einen solchen Vertrag Festbeträge in Rechnung gestellt werden, umfasst der Gesamtpreis ebenfalls die monatlichen Gesamtkosten. Wenn die Gesamtkosten vernünftigerweise nicht im Voraus berechnet werden können, ist die Art der Preisberechnung anzugeben,</w:t>
      </w:r>
    </w:p>
    <w:p w14:paraId="44E05957" w14:textId="77777777" w:rsidR="00626208" w:rsidRPr="004676F5" w:rsidRDefault="00626208" w:rsidP="00626208">
      <w:pPr>
        <w:jc w:val="both"/>
        <w:rPr>
          <w:lang w:val="de-DE"/>
        </w:rPr>
      </w:pPr>
    </w:p>
    <w:p w14:paraId="6DD03572" w14:textId="77777777" w:rsidR="00626208" w:rsidRPr="004676F5" w:rsidRDefault="00626208" w:rsidP="00626208">
      <w:pPr>
        <w:jc w:val="both"/>
        <w:rPr>
          <w:lang w:val="de-DE"/>
        </w:rPr>
      </w:pPr>
      <w:r w:rsidRPr="004676F5">
        <w:rPr>
          <w:lang w:val="de-DE"/>
        </w:rPr>
        <w:tab/>
        <w:t>6. Kosten für den Einsatz des für den Vertragsabschluss genutzten Fernkommuni</w:t>
      </w:r>
      <w:r w:rsidRPr="004676F5">
        <w:rPr>
          <w:lang w:val="de-DE"/>
        </w:rPr>
        <w:softHyphen/>
        <w:t>kationsmittels, sofern diese nicht nach dem Grundtarif berechnet werden,</w:t>
      </w:r>
    </w:p>
    <w:p w14:paraId="679F4442" w14:textId="77777777" w:rsidR="00626208" w:rsidRPr="004676F5" w:rsidRDefault="00626208" w:rsidP="00626208">
      <w:pPr>
        <w:jc w:val="both"/>
        <w:rPr>
          <w:lang w:val="de-DE"/>
        </w:rPr>
      </w:pPr>
    </w:p>
    <w:p w14:paraId="640A7CE7" w14:textId="6544D1EC" w:rsidR="00626208" w:rsidRPr="004676F5" w:rsidRDefault="00626208" w:rsidP="00626208">
      <w:pPr>
        <w:jc w:val="both"/>
        <w:rPr>
          <w:lang w:val="de-DE"/>
        </w:rPr>
      </w:pPr>
      <w:r w:rsidRPr="004676F5">
        <w:rPr>
          <w:lang w:val="de-DE"/>
        </w:rPr>
        <w:tab/>
        <w:t>7. Zahlungs-, Liefer</w:t>
      </w:r>
      <w:r w:rsidR="005B7A5C" w:rsidRPr="004676F5">
        <w:rPr>
          <w:lang w:val="de-DE"/>
        </w:rPr>
        <w:t>- </w:t>
      </w:r>
      <w:r w:rsidRPr="004676F5">
        <w:rPr>
          <w:lang w:val="de-DE"/>
        </w:rPr>
        <w:t>und Leistungsbedingungen, Termin, bis zu dem sich das Unternehmen verpflichtet, die Waren zu liefern oder die Dienstleistung zu erbringen, und gegebenenfalls Verfahren des Unternehmens hinsichtlich des Umgangs mit Beschwerden,</w:t>
      </w:r>
    </w:p>
    <w:p w14:paraId="01669D76" w14:textId="77777777" w:rsidR="00626208" w:rsidRPr="004676F5" w:rsidRDefault="00626208" w:rsidP="00626208">
      <w:pPr>
        <w:jc w:val="both"/>
        <w:rPr>
          <w:lang w:val="de-DE"/>
        </w:rPr>
      </w:pPr>
    </w:p>
    <w:p w14:paraId="58B36ECA" w14:textId="77777777" w:rsidR="00626208" w:rsidRPr="004676F5" w:rsidRDefault="00626208" w:rsidP="00626208">
      <w:pPr>
        <w:jc w:val="both"/>
        <w:rPr>
          <w:lang w:val="de-DE"/>
        </w:rPr>
      </w:pPr>
      <w:r w:rsidRPr="004676F5">
        <w:rPr>
          <w:lang w:val="de-DE"/>
        </w:rPr>
        <w:tab/>
        <w:t>8. im Falle des Bestehens eines Widerrufsrechts Bedingungen, Fristen und Verfahren für die Ausübung dieses Rechts gemäß Artikel VI.49 § 1 sowie Muster-Widerrufsformular gemäß Anlage 2 zu vorliegendem Buch,</w:t>
      </w:r>
    </w:p>
    <w:p w14:paraId="76AE1AB1" w14:textId="77777777" w:rsidR="00626208" w:rsidRPr="004676F5" w:rsidRDefault="00626208" w:rsidP="00626208">
      <w:pPr>
        <w:jc w:val="both"/>
        <w:rPr>
          <w:lang w:val="de-DE"/>
        </w:rPr>
      </w:pPr>
    </w:p>
    <w:p w14:paraId="1042DF68" w14:textId="77777777" w:rsidR="00626208" w:rsidRPr="004676F5" w:rsidRDefault="00626208" w:rsidP="00626208">
      <w:pPr>
        <w:jc w:val="both"/>
        <w:rPr>
          <w:lang w:val="de-DE"/>
        </w:rPr>
      </w:pPr>
      <w:r w:rsidRPr="004676F5">
        <w:rPr>
          <w:lang w:val="de-DE"/>
        </w:rPr>
        <w:tab/>
        <w:t>9. gegebenenfalls Hinweis, dass der Verbraucher die Kosten für die Rücksendung der Waren zu tragen hat im Widerrufsfall und wenn die Waren aufgrund ihrer Beschaffenheit nicht auf dem normalen Postweg zurückgesendet werden können,</w:t>
      </w:r>
    </w:p>
    <w:p w14:paraId="708149DB" w14:textId="77777777" w:rsidR="00626208" w:rsidRPr="004676F5" w:rsidRDefault="00626208" w:rsidP="00626208">
      <w:pPr>
        <w:jc w:val="both"/>
        <w:rPr>
          <w:lang w:val="de-DE"/>
        </w:rPr>
      </w:pPr>
    </w:p>
    <w:p w14:paraId="2AFB55CA" w14:textId="77777777" w:rsidR="00626208" w:rsidRPr="004676F5" w:rsidRDefault="00626208" w:rsidP="00626208">
      <w:pPr>
        <w:jc w:val="both"/>
        <w:rPr>
          <w:lang w:val="de-DE"/>
        </w:rPr>
      </w:pPr>
      <w:r w:rsidRPr="004676F5">
        <w:rPr>
          <w:lang w:val="de-DE"/>
        </w:rPr>
        <w:tab/>
        <w:t>10. Hinweis, dass, falls der Verbraucher das Widerrufsrecht nach Erklärung eines Verlangens gemäß Artikel VI.46 § 8 ausübt, der Verbraucher verpflichtet ist, dem Unternehmen einen angemessenen Betrag gemäß Artikel VI.51 § 3 zu leisten,</w:t>
      </w:r>
    </w:p>
    <w:p w14:paraId="0716EA59" w14:textId="77777777" w:rsidR="00626208" w:rsidRPr="004676F5" w:rsidRDefault="00626208" w:rsidP="00626208">
      <w:pPr>
        <w:jc w:val="both"/>
        <w:rPr>
          <w:lang w:val="de-DE"/>
        </w:rPr>
      </w:pPr>
    </w:p>
    <w:p w14:paraId="15290225" w14:textId="77777777" w:rsidR="00626208" w:rsidRPr="004676F5" w:rsidRDefault="00626208" w:rsidP="00626208">
      <w:pPr>
        <w:jc w:val="both"/>
        <w:rPr>
          <w:lang w:val="de-DE"/>
        </w:rPr>
      </w:pPr>
      <w:r w:rsidRPr="004676F5">
        <w:rPr>
          <w:lang w:val="de-DE"/>
        </w:rPr>
        <w:tab/>
        <w:t>11. in Fällen, in denen gemäß Artikel VI.53 kein Widerrufsrecht besteht, Hinweis, dass der Verbraucher nicht über ein Widerrufsrecht verfügt, oder gegebenenfalls Umstände, unter denen der Verbraucher sein Widerrufsrecht verliert,</w:t>
      </w:r>
    </w:p>
    <w:p w14:paraId="6144068D" w14:textId="77777777" w:rsidR="00626208" w:rsidRPr="004676F5" w:rsidRDefault="00626208" w:rsidP="00626208">
      <w:pPr>
        <w:jc w:val="both"/>
        <w:rPr>
          <w:lang w:val="de-DE"/>
        </w:rPr>
      </w:pPr>
    </w:p>
    <w:p w14:paraId="09BC4982" w14:textId="126E9894" w:rsidR="00626208" w:rsidRPr="004676F5" w:rsidRDefault="00626208" w:rsidP="00626208">
      <w:pPr>
        <w:jc w:val="both"/>
        <w:rPr>
          <w:lang w:val="de-DE"/>
        </w:rPr>
      </w:pPr>
      <w:r w:rsidRPr="004676F5">
        <w:rPr>
          <w:lang w:val="de-DE"/>
        </w:rPr>
        <w:tab/>
        <w:t xml:space="preserve">12. Hinweis auf das Bestehen eines gesetzlichen Gewährleistungsrechts </w:t>
      </w:r>
      <w:r w:rsidR="00861079" w:rsidRPr="004676F5">
        <w:rPr>
          <w:lang w:val="de-DE"/>
        </w:rPr>
        <w:t>[für die Waren, digitalen Inhalte und digitalen Dienstleistungen, wie in den Artikeln 1649</w:t>
      </w:r>
      <w:r w:rsidR="00861079" w:rsidRPr="004676F5">
        <w:rPr>
          <w:i/>
          <w:iCs/>
          <w:lang w:val="de-DE"/>
        </w:rPr>
        <w:t>bis</w:t>
      </w:r>
      <w:r w:rsidR="00861079" w:rsidRPr="004676F5">
        <w:rPr>
          <w:lang w:val="de-DE"/>
        </w:rPr>
        <w:t xml:space="preserve"> bis 1649</w:t>
      </w:r>
      <w:r w:rsidR="00861079" w:rsidRPr="004676F5">
        <w:rPr>
          <w:i/>
          <w:iCs/>
          <w:lang w:val="de-DE"/>
        </w:rPr>
        <w:t>nonies</w:t>
      </w:r>
      <w:r w:rsidR="00861079" w:rsidRPr="004676F5">
        <w:rPr>
          <w:lang w:val="de-DE"/>
        </w:rPr>
        <w:t xml:space="preserve"> und 1701/1 bis 1701/19 des früheren Zivilgesetzbuches vorgesehen,]</w:t>
      </w:r>
      <w:r w:rsidRPr="004676F5">
        <w:rPr>
          <w:lang w:val="de-DE"/>
        </w:rPr>
        <w:t>,</w:t>
      </w:r>
    </w:p>
    <w:p w14:paraId="175CC47D" w14:textId="77777777" w:rsidR="00626208" w:rsidRPr="004676F5" w:rsidRDefault="00626208" w:rsidP="00626208">
      <w:pPr>
        <w:jc w:val="both"/>
        <w:rPr>
          <w:lang w:val="de-DE"/>
        </w:rPr>
      </w:pPr>
    </w:p>
    <w:p w14:paraId="5CEAB518" w14:textId="77777777" w:rsidR="00626208" w:rsidRPr="004676F5" w:rsidRDefault="00626208" w:rsidP="00626208">
      <w:pPr>
        <w:jc w:val="both"/>
        <w:rPr>
          <w:lang w:val="de-DE"/>
        </w:rPr>
      </w:pPr>
      <w:r w:rsidRPr="004676F5">
        <w:rPr>
          <w:lang w:val="de-DE"/>
        </w:rPr>
        <w:tab/>
        <w:t>13. gegebenenfalls Hinweis auf Bestehen und Bedingungen von Kundendienst, Kundendienstleistungen und gewerblichen Garantien,</w:t>
      </w:r>
    </w:p>
    <w:p w14:paraId="333230B6" w14:textId="77777777" w:rsidR="00626208" w:rsidRPr="004676F5" w:rsidRDefault="00626208" w:rsidP="00626208">
      <w:pPr>
        <w:jc w:val="both"/>
        <w:rPr>
          <w:lang w:val="de-DE"/>
        </w:rPr>
      </w:pPr>
    </w:p>
    <w:p w14:paraId="27838B8A" w14:textId="77777777" w:rsidR="00626208" w:rsidRPr="004676F5" w:rsidRDefault="00626208" w:rsidP="00626208">
      <w:pPr>
        <w:jc w:val="both"/>
        <w:rPr>
          <w:lang w:val="de-DE"/>
        </w:rPr>
      </w:pPr>
      <w:r w:rsidRPr="004676F5">
        <w:rPr>
          <w:lang w:val="de-DE"/>
        </w:rPr>
        <w:tab/>
        <w:t>14. gegebenenfalls Hinweis auf bestehende einschlägige Verhaltenskodizes und darauf, wie Exemplare davon erhalten werden können,</w:t>
      </w:r>
    </w:p>
    <w:p w14:paraId="7C8CE34D" w14:textId="77777777" w:rsidR="00626208" w:rsidRPr="004676F5" w:rsidRDefault="00626208" w:rsidP="00626208">
      <w:pPr>
        <w:jc w:val="both"/>
        <w:rPr>
          <w:lang w:val="de-DE"/>
        </w:rPr>
      </w:pPr>
    </w:p>
    <w:p w14:paraId="43F90DB0" w14:textId="77777777" w:rsidR="00626208" w:rsidRPr="004676F5" w:rsidRDefault="00626208" w:rsidP="00626208">
      <w:pPr>
        <w:jc w:val="both"/>
        <w:rPr>
          <w:lang w:val="de-DE"/>
        </w:rPr>
      </w:pPr>
      <w:r w:rsidRPr="004676F5">
        <w:rPr>
          <w:lang w:val="de-DE"/>
        </w:rPr>
        <w:tab/>
        <w:t>15. gegebenenfalls Laufzeit des Vertrags oder Bedingungen der Kündigung unbefristeter Verträge oder sich automatisch verlängernder Verträge,</w:t>
      </w:r>
    </w:p>
    <w:p w14:paraId="448EF792" w14:textId="77777777" w:rsidR="00626208" w:rsidRPr="004676F5" w:rsidRDefault="00626208" w:rsidP="00626208">
      <w:pPr>
        <w:jc w:val="both"/>
        <w:rPr>
          <w:lang w:val="de-DE"/>
        </w:rPr>
      </w:pPr>
    </w:p>
    <w:p w14:paraId="3BBC85B0" w14:textId="77777777" w:rsidR="00626208" w:rsidRPr="004676F5" w:rsidRDefault="00626208" w:rsidP="00626208">
      <w:pPr>
        <w:jc w:val="both"/>
        <w:rPr>
          <w:lang w:val="de-DE"/>
        </w:rPr>
      </w:pPr>
      <w:r w:rsidRPr="004676F5">
        <w:rPr>
          <w:lang w:val="de-DE"/>
        </w:rPr>
        <w:tab/>
        <w:t>16. gegebenenfalls Mindestdauer der Verpflichtungen, die der Verbraucher mit dem Vertrag eingeht,</w:t>
      </w:r>
    </w:p>
    <w:p w14:paraId="4A618F1F" w14:textId="77777777" w:rsidR="00626208" w:rsidRPr="004676F5" w:rsidRDefault="00626208" w:rsidP="00626208">
      <w:pPr>
        <w:jc w:val="both"/>
        <w:rPr>
          <w:lang w:val="de-DE"/>
        </w:rPr>
      </w:pPr>
    </w:p>
    <w:p w14:paraId="1BBC7E77" w14:textId="77777777" w:rsidR="00626208" w:rsidRPr="004676F5" w:rsidRDefault="00626208" w:rsidP="00626208">
      <w:pPr>
        <w:jc w:val="both"/>
        <w:rPr>
          <w:lang w:val="de-DE"/>
        </w:rPr>
      </w:pPr>
      <w:r w:rsidRPr="004676F5">
        <w:rPr>
          <w:lang w:val="de-DE"/>
        </w:rPr>
        <w:tab/>
        <w:t>17. gegebenenfalls Hinweis auf die Tatsache, dass das Unternehmen vom Verbraucher die Stellung einer Kaution oder die Leistung anderer finanzieller Sicherheiten verlangen kann, sowie deren Bedingungen,</w:t>
      </w:r>
    </w:p>
    <w:p w14:paraId="294C6BC8" w14:textId="77777777" w:rsidR="00626208" w:rsidRPr="004676F5" w:rsidRDefault="00626208" w:rsidP="00626208">
      <w:pPr>
        <w:jc w:val="both"/>
        <w:rPr>
          <w:lang w:val="de-DE"/>
        </w:rPr>
      </w:pPr>
    </w:p>
    <w:p w14:paraId="63BF627E" w14:textId="77777777" w:rsidR="00B2592A" w:rsidRPr="004676F5" w:rsidRDefault="00626208" w:rsidP="00B2592A">
      <w:pPr>
        <w:jc w:val="both"/>
        <w:rPr>
          <w:lang w:val="de-DE"/>
        </w:rPr>
      </w:pPr>
      <w:r w:rsidRPr="004676F5">
        <w:rPr>
          <w:lang w:val="de-DE"/>
        </w:rPr>
        <w:tab/>
        <w:t>18. </w:t>
      </w:r>
      <w:r w:rsidR="00B2592A" w:rsidRPr="004676F5">
        <w:rPr>
          <w:lang w:val="de-DE"/>
        </w:rPr>
        <w:t>[gegebenenfalls Funktionalität von Waren mit digitalen Elementen, digitalen Inhalten und digitalen Dienstleistungen, einschließlich anwendbarer technischer Schutzmaß</w:t>
      </w:r>
      <w:r w:rsidR="00B2592A" w:rsidRPr="004676F5">
        <w:rPr>
          <w:lang w:val="de-DE"/>
        </w:rPr>
        <w:softHyphen/>
        <w:t>nahmen,</w:t>
      </w:r>
    </w:p>
    <w:p w14:paraId="40325577" w14:textId="77777777" w:rsidR="00B2592A" w:rsidRPr="004676F5" w:rsidRDefault="00B2592A" w:rsidP="00B2592A">
      <w:pPr>
        <w:jc w:val="both"/>
        <w:rPr>
          <w:lang w:val="de-DE"/>
        </w:rPr>
      </w:pPr>
    </w:p>
    <w:p w14:paraId="1D00BBE3" w14:textId="78B6F579" w:rsidR="00626208" w:rsidRPr="004676F5" w:rsidRDefault="00B2592A" w:rsidP="00B2592A">
      <w:pPr>
        <w:jc w:val="both"/>
        <w:rPr>
          <w:lang w:val="de-DE"/>
        </w:rPr>
      </w:pPr>
      <w:r w:rsidRPr="004676F5">
        <w:rPr>
          <w:lang w:val="de-DE"/>
        </w:rPr>
        <w:tab/>
        <w:t xml:space="preserve">19. gegebenenfalls </w:t>
      </w:r>
      <w:r w:rsidR="005B7A5C" w:rsidRPr="004676F5">
        <w:rPr>
          <w:lang w:val="de-DE"/>
        </w:rPr>
        <w:t>- </w:t>
      </w:r>
      <w:r w:rsidRPr="004676F5">
        <w:rPr>
          <w:lang w:val="de-DE"/>
        </w:rPr>
        <w:t>soweit wesentlich </w:t>
      </w:r>
      <w:r w:rsidR="005B7A5C" w:rsidRPr="004676F5">
        <w:rPr>
          <w:lang w:val="de-DE"/>
        </w:rPr>
        <w:t>- </w:t>
      </w:r>
      <w:r w:rsidRPr="004676F5">
        <w:rPr>
          <w:lang w:val="de-DE"/>
        </w:rPr>
        <w:t>Kompatibilität und Interoperabilität von Waren mit digitalen Elementen, digitalen Inhalten und digitalen Dienstleistungen, soweit diese dem Unternehmen bekannt sind oder vernünftigerweise bekannt sein müssen,]</w:t>
      </w:r>
    </w:p>
    <w:p w14:paraId="4034AE95" w14:textId="77777777" w:rsidR="00626208" w:rsidRPr="004676F5" w:rsidRDefault="00626208" w:rsidP="00626208">
      <w:pPr>
        <w:jc w:val="both"/>
        <w:rPr>
          <w:lang w:val="de-DE"/>
        </w:rPr>
      </w:pPr>
    </w:p>
    <w:p w14:paraId="401A7008" w14:textId="3982B2D1" w:rsidR="00626208" w:rsidRPr="004676F5" w:rsidRDefault="00626208" w:rsidP="00626208">
      <w:pPr>
        <w:jc w:val="both"/>
        <w:rPr>
          <w:lang w:val="de-DE"/>
        </w:rPr>
      </w:pPr>
      <w:r w:rsidRPr="004676F5">
        <w:rPr>
          <w:lang w:val="de-DE"/>
        </w:rPr>
        <w:tab/>
        <w:t>20. gegebenenfalls Möglichkeit des Zugangs zu einem außergerichtlichen Beschwerde</w:t>
      </w:r>
      <w:r w:rsidR="005B7A5C" w:rsidRPr="004676F5">
        <w:rPr>
          <w:lang w:val="de-DE"/>
        </w:rPr>
        <w:t>- </w:t>
      </w:r>
      <w:r w:rsidRPr="004676F5">
        <w:rPr>
          <w:lang w:val="de-DE"/>
        </w:rPr>
        <w:t>und Rechtsbehelfsverfahren, dem das Unternehmen unterworfen ist, und Voraussetzungen für diesen Zugang</w:t>
      </w:r>
      <w:r w:rsidR="00B2592A" w:rsidRPr="004676F5">
        <w:rPr>
          <w:lang w:val="de-DE"/>
        </w:rPr>
        <w:t>,</w:t>
      </w:r>
    </w:p>
    <w:p w14:paraId="12400B50" w14:textId="77777777" w:rsidR="00B2592A" w:rsidRPr="004676F5" w:rsidRDefault="00B2592A" w:rsidP="00626208">
      <w:pPr>
        <w:jc w:val="both"/>
        <w:rPr>
          <w:lang w:val="de-DE"/>
        </w:rPr>
      </w:pPr>
    </w:p>
    <w:p w14:paraId="70394070" w14:textId="127A7756" w:rsidR="00B2592A" w:rsidRPr="004676F5" w:rsidRDefault="00B2592A" w:rsidP="00626208">
      <w:pPr>
        <w:jc w:val="both"/>
        <w:rPr>
          <w:lang w:val="de-DE"/>
        </w:rPr>
      </w:pPr>
      <w:r w:rsidRPr="004676F5">
        <w:rPr>
          <w:lang w:val="de-DE"/>
        </w:rPr>
        <w:tab/>
        <w:t>[21. gegebenenfalls Hinweis, dass der Preis auf der Grundlage einer automatisierten Entscheidungsfindung personalisiert worden ist.]</w:t>
      </w:r>
    </w:p>
    <w:p w14:paraId="5148BDF2" w14:textId="77777777" w:rsidR="00626208" w:rsidRPr="004676F5" w:rsidRDefault="00626208" w:rsidP="00626208">
      <w:pPr>
        <w:jc w:val="both"/>
        <w:rPr>
          <w:lang w:val="de-DE"/>
        </w:rPr>
      </w:pPr>
    </w:p>
    <w:p w14:paraId="6EABBAFD" w14:textId="788ED52E"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Im Falle einer öffentlichen Versteigerung können anstelle der in § 1 Nr. 2, 3 und 4 genannten Informationen die entsprechenden Angaben des mit dem öffentlichen Verkauf beauftragten ministeriellen Amtsträgers übermittelt werden.</w:t>
      </w:r>
    </w:p>
    <w:p w14:paraId="4D316017" w14:textId="77777777" w:rsidR="00626208" w:rsidRPr="004676F5" w:rsidRDefault="00626208" w:rsidP="00626208">
      <w:pPr>
        <w:jc w:val="both"/>
        <w:rPr>
          <w:lang w:val="de-DE"/>
        </w:rPr>
      </w:pPr>
    </w:p>
    <w:p w14:paraId="7A4026A6" w14:textId="67B70112"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Die Informationen nach § 1 Nr. 8, 9 und 10 können mittels der Muster-Widerrufsbelehrung gemäß Anlage 1 zu vorliegendem Buch gegeben werden. Die Informationspflicht des Unternehmens gemäß § 1 Nr. 8, 9 und 10 ist erfüllt, wenn das Unternehmen dieses Informationsformular zutreffend ausgefüllt dem Verbraucher übermittelt hat.</w:t>
      </w:r>
    </w:p>
    <w:p w14:paraId="0A179569" w14:textId="77777777" w:rsidR="00626208" w:rsidRPr="004676F5" w:rsidRDefault="00626208" w:rsidP="00626208">
      <w:pPr>
        <w:jc w:val="both"/>
        <w:rPr>
          <w:lang w:val="de-DE"/>
        </w:rPr>
      </w:pPr>
    </w:p>
    <w:p w14:paraId="45CB8E39" w14:textId="0BF27201" w:rsidR="00626208" w:rsidRPr="004676F5" w:rsidRDefault="00626208" w:rsidP="00626208">
      <w:pPr>
        <w:jc w:val="both"/>
        <w:rPr>
          <w:lang w:val="de-DE"/>
        </w:rPr>
      </w:pPr>
      <w:r w:rsidRPr="004676F5">
        <w:rPr>
          <w:lang w:val="de-DE"/>
        </w:rPr>
        <w:tab/>
        <w:t>§ 4 </w:t>
      </w:r>
      <w:r w:rsidR="005B7A5C" w:rsidRPr="004676F5">
        <w:rPr>
          <w:lang w:val="de-DE"/>
        </w:rPr>
        <w:t>- </w:t>
      </w:r>
      <w:r w:rsidRPr="004676F5">
        <w:rPr>
          <w:lang w:val="de-DE"/>
        </w:rPr>
        <w:t>Die Informationen nach § 1 sind fester Bestandteil des Fernabsatzvertrags und dürfen nicht geändert werden, es sei denn, die Vertragsparteien vereinbaren ausdrücklich etwas anderes.</w:t>
      </w:r>
    </w:p>
    <w:p w14:paraId="2D1BF993" w14:textId="77777777" w:rsidR="00626208" w:rsidRPr="004676F5" w:rsidRDefault="00626208" w:rsidP="00626208">
      <w:pPr>
        <w:jc w:val="both"/>
        <w:rPr>
          <w:lang w:val="de-DE"/>
        </w:rPr>
      </w:pPr>
    </w:p>
    <w:p w14:paraId="25424037" w14:textId="43BEAA59" w:rsidR="00626208" w:rsidRPr="004676F5" w:rsidRDefault="00626208" w:rsidP="00626208">
      <w:pPr>
        <w:jc w:val="both"/>
        <w:rPr>
          <w:lang w:val="de-DE"/>
        </w:rPr>
      </w:pPr>
      <w:r w:rsidRPr="004676F5">
        <w:rPr>
          <w:lang w:val="de-DE"/>
        </w:rPr>
        <w:tab/>
        <w:t>§ 5 </w:t>
      </w:r>
      <w:r w:rsidR="005B7A5C" w:rsidRPr="004676F5">
        <w:rPr>
          <w:lang w:val="de-DE"/>
        </w:rPr>
        <w:t>- </w:t>
      </w:r>
      <w:r w:rsidRPr="004676F5">
        <w:rPr>
          <w:lang w:val="de-DE"/>
        </w:rPr>
        <w:t>Ist das Unternehmen seiner Pflicht zur Information über die zusätzlichen und sonstigen Kosten gemäß § 1 Nr. 5 oder über die Kosten für die Rücksendung der Waren gemäß § 1 Nr. 9 nicht nachgekommen, so hat der Verbraucher die zusätzlichen und sonstigen Kosten nicht zu tragen.</w:t>
      </w:r>
    </w:p>
    <w:p w14:paraId="79A64037" w14:textId="77777777" w:rsidR="00626208" w:rsidRPr="004676F5" w:rsidRDefault="00626208" w:rsidP="00626208">
      <w:pPr>
        <w:jc w:val="both"/>
        <w:rPr>
          <w:lang w:val="de-DE"/>
        </w:rPr>
      </w:pPr>
    </w:p>
    <w:p w14:paraId="79FA6DB2" w14:textId="209057CC" w:rsidR="00626208" w:rsidRPr="004676F5" w:rsidRDefault="00626208" w:rsidP="00626208">
      <w:pPr>
        <w:jc w:val="both"/>
        <w:rPr>
          <w:lang w:val="de-DE"/>
        </w:rPr>
      </w:pPr>
      <w:r w:rsidRPr="004676F5">
        <w:rPr>
          <w:lang w:val="de-DE"/>
        </w:rPr>
        <w:tab/>
        <w:t>§ 6 </w:t>
      </w:r>
      <w:r w:rsidR="005B7A5C" w:rsidRPr="004676F5">
        <w:rPr>
          <w:lang w:val="de-DE"/>
        </w:rPr>
        <w:t>- </w:t>
      </w:r>
      <w:r w:rsidRPr="004676F5">
        <w:rPr>
          <w:lang w:val="de-DE"/>
        </w:rPr>
        <w:t>Die Beweislast für die Erfüllung der in vorliegendem Artikel genannten Informationspflichten obliegt dem Unternehmen.</w:t>
      </w:r>
    </w:p>
    <w:p w14:paraId="174F3F47" w14:textId="77777777" w:rsidR="00626208" w:rsidRPr="004676F5" w:rsidRDefault="00626208" w:rsidP="00626208">
      <w:pPr>
        <w:jc w:val="both"/>
        <w:rPr>
          <w:lang w:val="de-DE"/>
        </w:rPr>
      </w:pPr>
    </w:p>
    <w:p w14:paraId="43B0D7FC" w14:textId="4964FD19" w:rsidR="00B2592A" w:rsidRPr="004676F5" w:rsidRDefault="00B2592A" w:rsidP="00626208">
      <w:pPr>
        <w:jc w:val="both"/>
        <w:rPr>
          <w:i/>
          <w:iCs/>
          <w:lang w:val="de-DE"/>
        </w:rPr>
      </w:pPr>
      <w:r w:rsidRPr="004676F5">
        <w:rPr>
          <w:i/>
          <w:iCs/>
          <w:lang w:val="de-DE"/>
        </w:rPr>
        <w:t>[Art. VI.45 § 1 einziger Absatz Nr. 3 ersetzt durch Art. 16 Nr. 1 des G. vom 8. Mai 2022 (B.S. vom 2. Juni 2022); § 1 einziger Absatz Nr. 12 abgeändert durch Art. 14</w:t>
      </w:r>
      <w:r w:rsidRPr="004676F5">
        <w:rPr>
          <w:bCs/>
          <w:i/>
          <w:iCs/>
          <w:lang w:val="de-DE"/>
        </w:rPr>
        <w:t xml:space="preserve"> des G. vom 20. März 2022 (B.S. vom 31. März 2022); </w:t>
      </w:r>
      <w:r w:rsidRPr="004676F5">
        <w:rPr>
          <w:i/>
          <w:iCs/>
          <w:lang w:val="de-DE"/>
        </w:rPr>
        <w:t xml:space="preserve">§ 1 einziger Absatz </w:t>
      </w:r>
      <w:r w:rsidR="002C3625" w:rsidRPr="004676F5">
        <w:rPr>
          <w:i/>
          <w:iCs/>
          <w:lang w:val="de-DE"/>
        </w:rPr>
        <w:t>Nr. 18</w:t>
      </w:r>
      <w:r w:rsidRPr="004676F5">
        <w:rPr>
          <w:i/>
          <w:iCs/>
          <w:lang w:val="de-DE"/>
        </w:rPr>
        <w:t xml:space="preserve"> und 19 ersetzt durch Art. 16 Nr. 2 des G. vom 8. Mai 2022 (B.S. vom 2. Juni 2022); § 1 einziger Absatz Nr. 21 eingefügt durch Art. 16 Nr. 3 des G. vom 8. Mai 2022 (B.S. vom 2. Juni 2022)]</w:t>
      </w:r>
    </w:p>
    <w:p w14:paraId="563B32C6" w14:textId="77777777" w:rsidR="00626208" w:rsidRPr="004676F5" w:rsidRDefault="00626208" w:rsidP="00626208">
      <w:pPr>
        <w:jc w:val="both"/>
        <w:rPr>
          <w:lang w:val="de-DE"/>
        </w:rPr>
      </w:pPr>
    </w:p>
    <w:p w14:paraId="10FB9273" w14:textId="77777777" w:rsidR="00B2592A" w:rsidRPr="004676F5" w:rsidRDefault="00B2592A" w:rsidP="00626208">
      <w:pPr>
        <w:jc w:val="both"/>
        <w:rPr>
          <w:lang w:val="de-DE"/>
        </w:rPr>
      </w:pPr>
    </w:p>
    <w:p w14:paraId="6D76F1CE" w14:textId="66D91ACE" w:rsidR="00B2592A" w:rsidRPr="004676F5" w:rsidRDefault="00B2592A" w:rsidP="00B2592A">
      <w:pPr>
        <w:jc w:val="both"/>
        <w:rPr>
          <w:lang w:val="de-DE"/>
        </w:rPr>
      </w:pPr>
      <w:r w:rsidRPr="004676F5">
        <w:rPr>
          <w:lang w:val="de-DE"/>
        </w:rPr>
        <w:tab/>
        <w:t>[</w:t>
      </w:r>
      <w:r w:rsidRPr="004676F5">
        <w:rPr>
          <w:b/>
          <w:bCs/>
          <w:lang w:val="de-DE"/>
        </w:rPr>
        <w:t>Art. VI.45/1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des Verbots unlauterer Geschäftspraktiken im Sinne der Artikel VI.93 und folgenden und bevor ein Verbraucher durch einen Fernabsatzvertrag oder ein entsprechendes Vertragsangebot auf einem Online-Marktplatz gebunden ist, informiert der Anbieter des Online-Marktplatzes den Verbraucher in klarer, verständlicher und in einer den benutzten Fernkommunikationsmitteln angepassten Weise über Folgendes:</w:t>
      </w:r>
    </w:p>
    <w:p w14:paraId="07275A49" w14:textId="77777777" w:rsidR="00B2592A" w:rsidRPr="004676F5" w:rsidRDefault="00B2592A" w:rsidP="00B2592A">
      <w:pPr>
        <w:jc w:val="both"/>
        <w:rPr>
          <w:lang w:val="de-DE"/>
        </w:rPr>
      </w:pPr>
    </w:p>
    <w:p w14:paraId="0BBF4C1C" w14:textId="77777777" w:rsidR="00B2592A" w:rsidRPr="004676F5" w:rsidRDefault="00B2592A" w:rsidP="00B2592A">
      <w:pPr>
        <w:jc w:val="both"/>
        <w:rPr>
          <w:lang w:val="de-DE"/>
        </w:rPr>
      </w:pPr>
      <w:r w:rsidRPr="004676F5">
        <w:rPr>
          <w:lang w:val="de-DE"/>
        </w:rPr>
        <w:tab/>
        <w:t>1. allgemeine Informationen, die die Hauptparameter zur Festlegung des Rankings der Angebote, die dem Verbraucher als Ergebnis seiner Suchanfrage auf dem Online-Marktplatz präsentiert werden, sowie die relative Gewichtung dieser Parameter im Vergleich zu anderen Parametern betreffen und die in einem bestimmten Bereich der Online-Benutzeroberfläche zur Verfügung gestellt werden, der von der Seite, auf der die Angebote angezeigt werden, unmittelbar und leicht zugänglich ist,</w:t>
      </w:r>
    </w:p>
    <w:p w14:paraId="44D77A61" w14:textId="77777777" w:rsidR="00B2592A" w:rsidRPr="004676F5" w:rsidRDefault="00B2592A" w:rsidP="00B2592A">
      <w:pPr>
        <w:jc w:val="both"/>
        <w:rPr>
          <w:lang w:val="de-DE"/>
        </w:rPr>
      </w:pPr>
    </w:p>
    <w:p w14:paraId="197EBB86" w14:textId="77777777" w:rsidR="00B2592A" w:rsidRPr="004676F5" w:rsidRDefault="00B2592A" w:rsidP="00B2592A">
      <w:pPr>
        <w:jc w:val="both"/>
        <w:rPr>
          <w:lang w:val="de-DE"/>
        </w:rPr>
      </w:pPr>
      <w:r w:rsidRPr="004676F5">
        <w:rPr>
          <w:lang w:val="de-DE"/>
        </w:rPr>
        <w:tab/>
        <w:t>2. ob es sich bei dem Dritten, der die Waren, Dienstleistungen oder digitalen Inhalte anbietet, um ein Unternehmen handelt oder nicht, auf der Grundlage der Erklärung dieses Dritten gegenüber dem Anbieter des Online-Marktplatzes,</w:t>
      </w:r>
    </w:p>
    <w:p w14:paraId="2DECC6D1" w14:textId="77777777" w:rsidR="00B2592A" w:rsidRPr="004676F5" w:rsidRDefault="00B2592A" w:rsidP="00B2592A">
      <w:pPr>
        <w:jc w:val="both"/>
        <w:rPr>
          <w:lang w:val="de-DE"/>
        </w:rPr>
      </w:pPr>
    </w:p>
    <w:p w14:paraId="6F94102C" w14:textId="77777777" w:rsidR="00B2592A" w:rsidRPr="004676F5" w:rsidRDefault="00B2592A" w:rsidP="00B2592A">
      <w:pPr>
        <w:jc w:val="both"/>
        <w:rPr>
          <w:lang w:val="de-DE"/>
        </w:rPr>
      </w:pPr>
      <w:r w:rsidRPr="004676F5">
        <w:rPr>
          <w:lang w:val="de-DE"/>
        </w:rPr>
        <w:tab/>
        <w:t>3. sofern der Dritte, der die Waren, Dienstleistungen oder digitalen Inhalte anbietet, kein Unternehmen ist, dass die im Verbraucherschutzrecht der Union verankerten Verbraucher</w:t>
      </w:r>
      <w:r w:rsidRPr="004676F5">
        <w:rPr>
          <w:lang w:val="de-DE"/>
        </w:rPr>
        <w:softHyphen/>
        <w:t>rechte auf den Vertrag keine Anwendung finden,</w:t>
      </w:r>
    </w:p>
    <w:p w14:paraId="1E3D566E" w14:textId="77777777" w:rsidR="00B2592A" w:rsidRPr="004676F5" w:rsidRDefault="00B2592A" w:rsidP="00B2592A">
      <w:pPr>
        <w:jc w:val="both"/>
        <w:rPr>
          <w:lang w:val="de-DE"/>
        </w:rPr>
      </w:pPr>
    </w:p>
    <w:p w14:paraId="322989E9" w14:textId="77777777" w:rsidR="00B2592A" w:rsidRPr="004676F5" w:rsidRDefault="00B2592A" w:rsidP="00B2592A">
      <w:pPr>
        <w:jc w:val="both"/>
        <w:rPr>
          <w:lang w:val="de-DE"/>
        </w:rPr>
      </w:pPr>
      <w:r w:rsidRPr="004676F5">
        <w:rPr>
          <w:lang w:val="de-DE"/>
        </w:rPr>
        <w:tab/>
        <w:t>4. gegebenenfalls wie die sich aus dem Vertrag ergebenden Verpflichtungen zwischen dem Dritten, der die Waren, Dienstleistungen oder digitalen Inhalte anbietet, und dem Anbieter des Online-Marktplatzes aufgeteilt werden, wobei diese Information die Verantwortung, die der Anbieter des Online-Marktplatzes oder das dritte Unternehmen in Bezug auf den Vertrag im Rahmen anderer Vorschriften des Unionsrechts oder des belgischen Rechts hat, nicht berührt.</w:t>
      </w:r>
    </w:p>
    <w:p w14:paraId="7E9C8236" w14:textId="77777777" w:rsidR="00B2592A" w:rsidRPr="004676F5" w:rsidRDefault="00B2592A" w:rsidP="00B2592A">
      <w:pPr>
        <w:jc w:val="both"/>
        <w:rPr>
          <w:lang w:val="de-DE"/>
        </w:rPr>
      </w:pPr>
    </w:p>
    <w:p w14:paraId="35466791" w14:textId="6AA04B3C" w:rsidR="00B2592A" w:rsidRPr="004676F5" w:rsidRDefault="00B2592A" w:rsidP="00B2592A">
      <w:pPr>
        <w:jc w:val="both"/>
        <w:rPr>
          <w:lang w:val="de-DE"/>
        </w:rPr>
      </w:pPr>
      <w:r w:rsidRPr="004676F5">
        <w:rPr>
          <w:lang w:val="de-DE"/>
        </w:rPr>
        <w:tab/>
        <w:t>§ 2 </w:t>
      </w:r>
      <w:r w:rsidR="005B7A5C" w:rsidRPr="004676F5">
        <w:rPr>
          <w:lang w:val="de-DE"/>
        </w:rPr>
        <w:t>- </w:t>
      </w:r>
      <w:r w:rsidRPr="004676F5">
        <w:rPr>
          <w:lang w:val="de-DE"/>
        </w:rPr>
        <w:t>Unbeschadet des Paragraphen 1 kann der König für Anbieter von Online-Marktplätzen zusätzliche Informationspflichten auferlegen. Solche Bestimmungen sind verhältnismäßig, nicht diskriminierend und aus Gründen des Verbraucherschutzes gerechtfertigt.]</w:t>
      </w:r>
    </w:p>
    <w:p w14:paraId="0B230639" w14:textId="2D8B31A2" w:rsidR="00B2592A" w:rsidRPr="004676F5" w:rsidRDefault="00B2592A" w:rsidP="00B2592A">
      <w:pPr>
        <w:jc w:val="both"/>
        <w:rPr>
          <w:lang w:val="de-DE"/>
        </w:rPr>
      </w:pPr>
    </w:p>
    <w:p w14:paraId="0F504BAC" w14:textId="0B2883FF" w:rsidR="00B2592A" w:rsidRPr="004676F5" w:rsidRDefault="00B2592A" w:rsidP="00B2592A">
      <w:pPr>
        <w:jc w:val="both"/>
        <w:rPr>
          <w:i/>
          <w:iCs/>
          <w:lang w:val="de-DE"/>
        </w:rPr>
      </w:pPr>
      <w:r w:rsidRPr="004676F5">
        <w:rPr>
          <w:i/>
          <w:iCs/>
          <w:lang w:val="de-DE"/>
        </w:rPr>
        <w:t>[Art. VI.45/1 eingefügt durch Art. 17 des G. vom 8. Mai 2022 (B.S. vom 2. Juni 2022)]</w:t>
      </w:r>
    </w:p>
    <w:p w14:paraId="74C09C78" w14:textId="77777777" w:rsidR="00B2592A" w:rsidRPr="004676F5" w:rsidRDefault="00B2592A" w:rsidP="00B2592A">
      <w:pPr>
        <w:jc w:val="both"/>
        <w:rPr>
          <w:lang w:val="de-DE"/>
        </w:rPr>
      </w:pPr>
    </w:p>
    <w:p w14:paraId="538F1B2D" w14:textId="77777777" w:rsidR="00E30873" w:rsidRPr="004676F5" w:rsidRDefault="00E30873" w:rsidP="00B2592A">
      <w:pPr>
        <w:jc w:val="both"/>
        <w:rPr>
          <w:lang w:val="de-DE"/>
        </w:rPr>
      </w:pPr>
    </w:p>
    <w:p w14:paraId="0CF8191B" w14:textId="77777777" w:rsidR="00E30873" w:rsidRPr="004676F5" w:rsidRDefault="00E30873" w:rsidP="00E30873">
      <w:pPr>
        <w:jc w:val="both"/>
        <w:rPr>
          <w:lang w:val="de-DE"/>
        </w:rPr>
      </w:pPr>
      <w:r w:rsidRPr="004676F5">
        <w:rPr>
          <w:lang w:val="de-DE"/>
        </w:rPr>
        <w:tab/>
        <w:t>[</w:t>
      </w:r>
      <w:r w:rsidRPr="004676F5">
        <w:rPr>
          <w:b/>
          <w:bCs/>
          <w:lang w:val="de-DE"/>
        </w:rPr>
        <w:t>Art. VI.45/2</w:t>
      </w:r>
      <w:r w:rsidRPr="004676F5">
        <w:rPr>
          <w:lang w:val="de-DE"/>
        </w:rPr>
        <w:t> - § 1 - Unbeschadet der anderen durch vorliegenden Abschnitt auferlegten Verpflichtungen bietet das Unternehmen dem Verbraucher, bevor der Verbraucher durch einen Fernabsatzvertrag gebunden ist, mindestens zwei verschiedene Lieferoptionen für die von ihm zum Verkauf angebotenen Waren an.</w:t>
      </w:r>
    </w:p>
    <w:p w14:paraId="24E7D9AE" w14:textId="77777777" w:rsidR="00E30873" w:rsidRPr="004676F5" w:rsidRDefault="00E30873" w:rsidP="00E30873">
      <w:pPr>
        <w:jc w:val="both"/>
        <w:rPr>
          <w:lang w:val="de-DE"/>
        </w:rPr>
      </w:pPr>
    </w:p>
    <w:p w14:paraId="6D96BCE1" w14:textId="77777777" w:rsidR="00E30873" w:rsidRPr="004676F5" w:rsidRDefault="00E30873" w:rsidP="00E30873">
      <w:pPr>
        <w:jc w:val="both"/>
        <w:rPr>
          <w:lang w:val="de-DE"/>
        </w:rPr>
      </w:pPr>
      <w:r w:rsidRPr="004676F5">
        <w:rPr>
          <w:lang w:val="de-DE"/>
        </w:rPr>
        <w:tab/>
        <w:t>Diese Bestimmung gilt nur für Verträge, für die die Lieferung der bestellten Waren auf belgischem Staatsgebiet erfolgt.</w:t>
      </w:r>
    </w:p>
    <w:p w14:paraId="4AD8E751" w14:textId="77777777" w:rsidR="00E30873" w:rsidRPr="004676F5" w:rsidRDefault="00E30873" w:rsidP="00E30873">
      <w:pPr>
        <w:jc w:val="both"/>
        <w:rPr>
          <w:lang w:val="de-DE"/>
        </w:rPr>
      </w:pPr>
    </w:p>
    <w:p w14:paraId="7E2EF7B2" w14:textId="77777777" w:rsidR="00E30873" w:rsidRPr="004676F5" w:rsidRDefault="00E30873" w:rsidP="00E30873">
      <w:pPr>
        <w:jc w:val="both"/>
        <w:rPr>
          <w:lang w:val="de-DE"/>
        </w:rPr>
      </w:pPr>
      <w:r w:rsidRPr="004676F5">
        <w:rPr>
          <w:lang w:val="de-DE"/>
        </w:rPr>
        <w:tab/>
        <w:t>§ 2 - Paragraph 1 gilt nicht, wenn aus objektiven Gründen, die den gekauften Waren oder dem Ort, an den die gekauften Waren geliefert oder an dem sie benutzt werden, eigen sind, nur eine Lieferoption angeboten wird. In diesem Fall erteilt das Unternehmen objektive Informationen darüber, warum dem Verbraucher keine zweite Lieferoption angeboten wird.</w:t>
      </w:r>
    </w:p>
    <w:p w14:paraId="6AE16FBB" w14:textId="77777777" w:rsidR="00E30873" w:rsidRPr="004676F5" w:rsidRDefault="00E30873" w:rsidP="00E30873">
      <w:pPr>
        <w:jc w:val="both"/>
        <w:rPr>
          <w:lang w:val="de-DE"/>
        </w:rPr>
      </w:pPr>
    </w:p>
    <w:p w14:paraId="658853BD" w14:textId="77777777" w:rsidR="00E30873" w:rsidRPr="004676F5" w:rsidRDefault="00E30873" w:rsidP="00E30873">
      <w:pPr>
        <w:jc w:val="both"/>
        <w:rPr>
          <w:lang w:val="de-DE"/>
        </w:rPr>
      </w:pPr>
      <w:r w:rsidRPr="004676F5">
        <w:rPr>
          <w:lang w:val="de-DE"/>
        </w:rPr>
        <w:lastRenderedPageBreak/>
        <w:tab/>
        <w:t>Paragraph 1 gilt nicht, wenn die einzige angebotene Lieferoption die Abholung der bestellten Ware in einer Niederlassungseinheit des Unternehmens ist.</w:t>
      </w:r>
    </w:p>
    <w:p w14:paraId="3A016EC6" w14:textId="77777777" w:rsidR="00E30873" w:rsidRPr="004676F5" w:rsidRDefault="00E30873" w:rsidP="00E30873">
      <w:pPr>
        <w:jc w:val="both"/>
        <w:rPr>
          <w:lang w:val="de-DE"/>
        </w:rPr>
      </w:pPr>
    </w:p>
    <w:p w14:paraId="64037818" w14:textId="77777777" w:rsidR="00E30873" w:rsidRPr="004676F5" w:rsidRDefault="00E30873" w:rsidP="00E30873">
      <w:pPr>
        <w:jc w:val="both"/>
        <w:rPr>
          <w:lang w:val="de-DE"/>
        </w:rPr>
      </w:pPr>
      <w:r w:rsidRPr="004676F5">
        <w:rPr>
          <w:lang w:val="de-DE"/>
        </w:rPr>
        <w:tab/>
        <w:t>Paragraph 1 gilt nicht für Unternehmen, die vor weniger als drei Jahren errichtet worden sind.</w:t>
      </w:r>
    </w:p>
    <w:p w14:paraId="74232C93" w14:textId="77777777" w:rsidR="00E30873" w:rsidRPr="004676F5" w:rsidRDefault="00E30873" w:rsidP="00E30873">
      <w:pPr>
        <w:jc w:val="both"/>
        <w:rPr>
          <w:lang w:val="de-DE"/>
        </w:rPr>
      </w:pPr>
    </w:p>
    <w:p w14:paraId="0471E6E9" w14:textId="77777777" w:rsidR="00E30873" w:rsidRPr="004676F5" w:rsidRDefault="00E30873" w:rsidP="00E30873">
      <w:pPr>
        <w:jc w:val="both"/>
        <w:rPr>
          <w:lang w:val="de-DE"/>
        </w:rPr>
      </w:pPr>
      <w:r w:rsidRPr="004676F5">
        <w:rPr>
          <w:lang w:val="de-DE"/>
        </w:rPr>
        <w:tab/>
        <w:t>Der König kann nach Beratung im Ministerrat die Waren oder Kategorien von Waren bestimmen, für die § 1 nicht gilt.</w:t>
      </w:r>
    </w:p>
    <w:p w14:paraId="20B43484" w14:textId="77777777" w:rsidR="00E30873" w:rsidRPr="004676F5" w:rsidRDefault="00E30873" w:rsidP="00E30873">
      <w:pPr>
        <w:jc w:val="both"/>
        <w:rPr>
          <w:lang w:val="de-DE"/>
        </w:rPr>
      </w:pPr>
    </w:p>
    <w:p w14:paraId="40D9B070" w14:textId="3C4F6473" w:rsidR="00E30873" w:rsidRPr="004676F5" w:rsidRDefault="00E30873" w:rsidP="00E30873">
      <w:pPr>
        <w:jc w:val="both"/>
        <w:rPr>
          <w:lang w:val="de-DE"/>
        </w:rPr>
      </w:pPr>
      <w:r w:rsidRPr="004676F5">
        <w:rPr>
          <w:lang w:val="de-DE"/>
        </w:rPr>
        <w:tab/>
        <w:t>§ 3 - Vier Jahre nach dem Datum des Inkrafttretens evaluiert der Föderale Öffentliche Dienst Wirtschaft, K.M.B., Mittelstand und Energie die Anwendung dieser Bestimmung. Der Bericht dieser Evaluation wird dem Minister, dem für Mittelstand zuständigen Minister, dem für Verbraucher zuständigen Minister und dem für die Post zuständigen Minister übermittelt.]</w:t>
      </w:r>
    </w:p>
    <w:p w14:paraId="43E3EEF7" w14:textId="77777777" w:rsidR="00E30873" w:rsidRPr="004676F5" w:rsidRDefault="00E30873" w:rsidP="00E30873">
      <w:pPr>
        <w:jc w:val="both"/>
        <w:rPr>
          <w:lang w:val="de-DE"/>
        </w:rPr>
      </w:pPr>
    </w:p>
    <w:p w14:paraId="09CB2693" w14:textId="55C9DA94" w:rsidR="00E30873" w:rsidRPr="004676F5" w:rsidRDefault="00E30873" w:rsidP="00E30873">
      <w:pPr>
        <w:jc w:val="both"/>
        <w:rPr>
          <w:i/>
          <w:iCs/>
          <w:lang w:val="de-DE"/>
        </w:rPr>
      </w:pPr>
      <w:r w:rsidRPr="004676F5">
        <w:rPr>
          <w:i/>
          <w:iCs/>
          <w:lang w:val="de-DE"/>
        </w:rPr>
        <w:t>[Art. VI.45/2 eingefügt durch Art. 18 des G. vom 9. Februar 2024 (B.S. vom 21. März 2024)]</w:t>
      </w:r>
    </w:p>
    <w:p w14:paraId="359FCF94" w14:textId="77777777" w:rsidR="00E30873" w:rsidRPr="004676F5" w:rsidRDefault="00E30873" w:rsidP="00E30873">
      <w:pPr>
        <w:jc w:val="both"/>
        <w:rPr>
          <w:i/>
          <w:iCs/>
          <w:lang w:val="de-DE"/>
        </w:rPr>
      </w:pPr>
    </w:p>
    <w:p w14:paraId="65F39672" w14:textId="77777777" w:rsidR="00B2592A" w:rsidRPr="004676F5" w:rsidRDefault="00B2592A" w:rsidP="00626208">
      <w:pPr>
        <w:jc w:val="both"/>
        <w:rPr>
          <w:lang w:val="de-DE"/>
        </w:rPr>
      </w:pPr>
    </w:p>
    <w:p w14:paraId="3817C7AC" w14:textId="09F2309F"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VI.46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Das Unternehmen erteilt die in Artikel VI.45 § 1 vorgeschriebenen Informationen dem Verbraucher in klarer und verständlicher Sprache in einer den benutzten Fernkommunikationsmitteln angepassten Weise beziehungsweise stellt diese Informationen entsprechend zur Verfügung. Soweit diese Informationen auf einem dauerhaften Datenträger bereitgestellt werden, müssen sie lesbar sein.</w:t>
      </w:r>
    </w:p>
    <w:p w14:paraId="0353E0FD" w14:textId="77777777" w:rsidR="00626208" w:rsidRPr="004676F5" w:rsidRDefault="00626208" w:rsidP="00626208">
      <w:pPr>
        <w:jc w:val="both"/>
        <w:rPr>
          <w:lang w:val="de-DE"/>
        </w:rPr>
      </w:pPr>
    </w:p>
    <w:p w14:paraId="43EAF2AC" w14:textId="51B75CEA"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Wenn ein auf elektronischem Wege geschlossener Fernabsatzvertrag den Verbraucher zur Zahlung verpflichtet, weist das Unternehmen den Verbraucher klar und in hervorgehobener Weise, und unmittelbar bevor dieser seine Bestellung tätigt, auf die in Artikel VI.45 § 1 Nr. 1, 5, 15 und 16 genannten Informationen hin.</w:t>
      </w:r>
    </w:p>
    <w:p w14:paraId="276C8322" w14:textId="77777777" w:rsidR="00626208" w:rsidRPr="004676F5" w:rsidRDefault="00626208" w:rsidP="00626208">
      <w:pPr>
        <w:jc w:val="both"/>
        <w:rPr>
          <w:lang w:val="de-DE"/>
        </w:rPr>
      </w:pPr>
    </w:p>
    <w:p w14:paraId="08EF873F" w14:textId="77777777" w:rsidR="00626208" w:rsidRPr="004676F5" w:rsidRDefault="00626208" w:rsidP="00626208">
      <w:pPr>
        <w:jc w:val="both"/>
        <w:rPr>
          <w:lang w:val="de-DE"/>
        </w:rPr>
      </w:pPr>
      <w:r w:rsidRPr="004676F5">
        <w:rPr>
          <w:lang w:val="de-DE"/>
        </w:rPr>
        <w:tab/>
        <w:t>Das Unternehmen sorgt dafür, dass der Verbraucher bei der Bestellung ausdrücklich bestätigt, dass die Bestellung mit einer Zahlungsverpflichtung verbunden ist. Wenn der Bestellvorgang die Aktivierung einer Schaltfläche oder eine ähnliche Funktion umfasst, ist diese Schaltfläche oder entsprechende Funktion gut lesbar ausschließlich mit den Worten "zahlungspflichtig bestellen" oder einer entsprechenden eindeutigen Formulierung zu kennzeichnen, die den Verbraucher darauf hinweist, dass die Bestellung mit einer Zahlungsverpflichtung gegenüber dem Unternehmen verbunden ist. Wenn das Unternehmen den vorliegenden Absatz nicht einhält, ist der Verbraucher durch den Vertrag oder die Bestellung nicht gebunden.</w:t>
      </w:r>
    </w:p>
    <w:p w14:paraId="682431D5" w14:textId="77777777" w:rsidR="00626208" w:rsidRPr="004676F5" w:rsidRDefault="00626208" w:rsidP="00626208">
      <w:pPr>
        <w:jc w:val="both"/>
        <w:rPr>
          <w:lang w:val="de-DE"/>
        </w:rPr>
      </w:pPr>
    </w:p>
    <w:p w14:paraId="4F98B030" w14:textId="46C3F704"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Auf Webseiten für den elektronischen Geschäftsverkehr wird spätestens bei Beginn des Bestellvorgangs klar und deutlich angegeben, ob Lieferbeschränkungen bestehen und welche Zahlungsmittel akzeptiert werden.</w:t>
      </w:r>
    </w:p>
    <w:p w14:paraId="2FAC0C49" w14:textId="77777777" w:rsidR="00626208" w:rsidRPr="004676F5" w:rsidRDefault="00626208" w:rsidP="00626208">
      <w:pPr>
        <w:jc w:val="both"/>
        <w:rPr>
          <w:lang w:val="de-DE"/>
        </w:rPr>
      </w:pPr>
    </w:p>
    <w:p w14:paraId="7660271B" w14:textId="771EFB12" w:rsidR="00626208" w:rsidRPr="004676F5" w:rsidRDefault="00626208" w:rsidP="00626208">
      <w:pPr>
        <w:jc w:val="both"/>
        <w:rPr>
          <w:lang w:val="de-DE"/>
        </w:rPr>
      </w:pPr>
      <w:r w:rsidRPr="004676F5">
        <w:rPr>
          <w:lang w:val="de-DE"/>
        </w:rPr>
        <w:tab/>
        <w:t>§ 4 </w:t>
      </w:r>
      <w:r w:rsidR="005B7A5C" w:rsidRPr="004676F5">
        <w:rPr>
          <w:lang w:val="de-DE"/>
        </w:rPr>
        <w:t>- </w:t>
      </w:r>
      <w:r w:rsidR="00B2592A" w:rsidRPr="004676F5">
        <w:rPr>
          <w:lang w:val="de-DE"/>
        </w:rPr>
        <w:t xml:space="preserve">[Wird der Vertrag mittels eines Fernkommunikationsmittels geschlossen, bei dem für die Darstellung der Informationen nur begrenzter Raum beziehungsweise begrenzte Zeit zur Verfügung steht, so erteilt das Unternehmen auf dem Wege des jeweilige Fernkommunikationsmittels vor Abschluss des Vertrags zumindest diejenigen vorvertraglichen Informationen, die die in Artikel VI.45 § 1 Nr. 1, 2, 5, 8 und 15 erwähnten wesentlichen Merkmale der Waren oder Dienstleistungen, die Identität des Unternehmens, den Gesamtpreis, das Widerrufsrecht, die Vertragslaufzeit und die Bedingungen der Kündigung unbefristeter Verträge betreffen; hiervon ausgenommen ist das in Nr. 8 erwähnte Muster-Widerrufsformular gemäß Anlage 2 zu vorliegendem Buch. Die anderen in Artikel VI.45 § 1 erwähnten </w:t>
      </w:r>
      <w:r w:rsidR="00B2592A" w:rsidRPr="004676F5">
        <w:rPr>
          <w:lang w:val="de-DE"/>
        </w:rPr>
        <w:lastRenderedPageBreak/>
        <w:t>Informationen, einschließlich des Muster-Widerrufsformulars, erteilt das Unternehmen dem Verbraucher in geeigneter Weise gemäß § 1.]</w:t>
      </w:r>
    </w:p>
    <w:p w14:paraId="61C927CC" w14:textId="77777777" w:rsidR="00626208" w:rsidRPr="004676F5" w:rsidRDefault="00626208" w:rsidP="00626208">
      <w:pPr>
        <w:jc w:val="both"/>
        <w:rPr>
          <w:lang w:val="de-DE"/>
        </w:rPr>
      </w:pPr>
    </w:p>
    <w:p w14:paraId="7D08BA03" w14:textId="6CDA4B26" w:rsidR="00626208" w:rsidRPr="004676F5" w:rsidRDefault="00626208" w:rsidP="00626208">
      <w:pPr>
        <w:jc w:val="both"/>
        <w:rPr>
          <w:lang w:val="de-DE"/>
        </w:rPr>
      </w:pPr>
      <w:r w:rsidRPr="004676F5">
        <w:rPr>
          <w:lang w:val="de-DE"/>
        </w:rPr>
        <w:tab/>
        <w:t>§ 5 </w:t>
      </w:r>
      <w:r w:rsidR="005B7A5C" w:rsidRPr="004676F5">
        <w:rPr>
          <w:lang w:val="de-DE"/>
        </w:rPr>
        <w:t>- </w:t>
      </w:r>
      <w:r w:rsidRPr="004676F5">
        <w:rPr>
          <w:lang w:val="de-DE"/>
        </w:rPr>
        <w:t>Ruft das Unternehmen den Verbraucher im Hinblick auf den Abschluss eines Fernabsatzvertrags an, so hat es unbeschadet des Paragraphen 4 zu Beginn des Gesprächs mit dem Verbraucher seine Identität und gegebenenfalls die Identität der Person, in deren Auftrag es anruft, sowie den geschäftlichen Zweck des Anrufs offenzulegen.</w:t>
      </w:r>
    </w:p>
    <w:p w14:paraId="52D4FD6D" w14:textId="77777777" w:rsidR="00626208" w:rsidRPr="004676F5" w:rsidRDefault="00626208" w:rsidP="00626208">
      <w:pPr>
        <w:jc w:val="both"/>
        <w:rPr>
          <w:lang w:val="de-DE"/>
        </w:rPr>
      </w:pPr>
    </w:p>
    <w:p w14:paraId="500B0DA5" w14:textId="4B3040AF" w:rsidR="00626208" w:rsidRPr="004676F5" w:rsidRDefault="00626208" w:rsidP="00626208">
      <w:pPr>
        <w:jc w:val="both"/>
        <w:rPr>
          <w:lang w:val="de-DE"/>
        </w:rPr>
      </w:pPr>
      <w:r w:rsidRPr="004676F5">
        <w:rPr>
          <w:lang w:val="de-DE"/>
        </w:rPr>
        <w:tab/>
        <w:t>§ 6 </w:t>
      </w:r>
      <w:r w:rsidR="005B7A5C" w:rsidRPr="004676F5">
        <w:rPr>
          <w:lang w:val="de-DE"/>
        </w:rPr>
        <w:t>- </w:t>
      </w:r>
      <w:r w:rsidRPr="004676F5">
        <w:rPr>
          <w:lang w:val="de-DE"/>
        </w:rPr>
        <w:t xml:space="preserve">Der König kann für berufliche Sektoren oder für Kategorien von Produkten, die Er bestimmt, vorsehen, dass das Unternehmen für Verträge, die telefonisch geschlossen werden, dem Verbraucher das Angebot bestätigen muss und der Verbraucher erst dann gebunden ist, wenn er das Angebot unterzeichnet oder </w:t>
      </w:r>
      <w:r w:rsidR="00C04D13" w:rsidRPr="004676F5">
        <w:rPr>
          <w:lang w:val="de-DE"/>
        </w:rPr>
        <w:t>[</w:t>
      </w:r>
      <w:r w:rsidR="00C04D13" w:rsidRPr="004676F5">
        <w:rPr>
          <w:rFonts w:eastAsia="Calibri"/>
          <w:szCs w:val="22"/>
          <w:lang w:val="de-DE" w:eastAsia="en-US"/>
        </w:rPr>
        <w:t>sein Einverständnis auf einem dauerhaften Datenträger</w:t>
      </w:r>
      <w:r w:rsidR="00C04D13" w:rsidRPr="004676F5">
        <w:rPr>
          <w:lang w:val="de-DE"/>
        </w:rPr>
        <w:t>]</w:t>
      </w:r>
      <w:r w:rsidRPr="004676F5">
        <w:rPr>
          <w:lang w:val="de-DE"/>
        </w:rPr>
        <w:t xml:space="preserve"> übermittelt hat. </w:t>
      </w:r>
      <w:r w:rsidR="00C04D13" w:rsidRPr="004676F5">
        <w:rPr>
          <w:lang w:val="de-DE"/>
        </w:rPr>
        <w:t>[...]</w:t>
      </w:r>
    </w:p>
    <w:p w14:paraId="531764FB" w14:textId="77777777" w:rsidR="00626208" w:rsidRPr="004676F5" w:rsidRDefault="00626208" w:rsidP="00626208">
      <w:pPr>
        <w:jc w:val="both"/>
        <w:rPr>
          <w:lang w:val="de-DE"/>
        </w:rPr>
      </w:pPr>
    </w:p>
    <w:p w14:paraId="4389DC8E" w14:textId="2C098947" w:rsidR="00626208" w:rsidRPr="004676F5" w:rsidRDefault="00626208" w:rsidP="00626208">
      <w:pPr>
        <w:jc w:val="both"/>
        <w:rPr>
          <w:lang w:val="de-DE"/>
        </w:rPr>
      </w:pPr>
      <w:r w:rsidRPr="004676F5">
        <w:rPr>
          <w:lang w:val="de-DE"/>
        </w:rPr>
        <w:tab/>
        <w:t>§ 7 </w:t>
      </w:r>
      <w:r w:rsidR="005B7A5C" w:rsidRPr="004676F5">
        <w:rPr>
          <w:lang w:val="de-DE"/>
        </w:rPr>
        <w:t>- </w:t>
      </w:r>
      <w:r w:rsidRPr="004676F5">
        <w:rPr>
          <w:lang w:val="de-DE"/>
        </w:rPr>
        <w:t>Das Unternehmen stellt dem Verbraucher die Bestätigung des geschlossenen Vertrags innerhalb einer angemessenen Frist nach Abschluss des Vertrags auf einem dauerhaften Datenträger zur Verfügung, und zwar spätestens bei der Lieferung der Waren oder bevor die Ausführung der Dienstleistung beginnt.</w:t>
      </w:r>
    </w:p>
    <w:p w14:paraId="1ADF1898" w14:textId="77777777" w:rsidR="00626208" w:rsidRPr="004676F5" w:rsidRDefault="00626208" w:rsidP="00626208">
      <w:pPr>
        <w:jc w:val="both"/>
        <w:rPr>
          <w:lang w:val="de-DE"/>
        </w:rPr>
      </w:pPr>
    </w:p>
    <w:p w14:paraId="7BBF2CFF" w14:textId="77777777" w:rsidR="00626208" w:rsidRPr="004676F5" w:rsidRDefault="00626208" w:rsidP="00626208">
      <w:pPr>
        <w:jc w:val="both"/>
        <w:rPr>
          <w:lang w:val="de-DE"/>
        </w:rPr>
      </w:pPr>
      <w:r w:rsidRPr="004676F5">
        <w:rPr>
          <w:lang w:val="de-DE"/>
        </w:rPr>
        <w:tab/>
        <w:t>Diese Bestätigung enthält:</w:t>
      </w:r>
    </w:p>
    <w:p w14:paraId="702E3229" w14:textId="77777777" w:rsidR="00626208" w:rsidRPr="004676F5" w:rsidRDefault="00626208" w:rsidP="00626208">
      <w:pPr>
        <w:jc w:val="both"/>
        <w:rPr>
          <w:lang w:val="de-DE"/>
        </w:rPr>
      </w:pPr>
    </w:p>
    <w:p w14:paraId="37475518"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alle in Artikel VI.45 § 1 genannten Informationen, es sei denn, das Unternehmen hat dem Verbraucher diese Informationen bereits vor dem Abschluss des Fernabsatzvertrags auf einem dauerhaften Datenträger zukommen lassen, und</w:t>
      </w:r>
    </w:p>
    <w:p w14:paraId="4698397C" w14:textId="77777777" w:rsidR="00626208" w:rsidRPr="004676F5" w:rsidRDefault="00626208" w:rsidP="00626208">
      <w:pPr>
        <w:jc w:val="both"/>
        <w:rPr>
          <w:lang w:val="de-DE"/>
        </w:rPr>
      </w:pPr>
    </w:p>
    <w:p w14:paraId="58E213A0"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gegebenenfalls die Bestätigung der vorherigen ausdrücklichen Zustimmung und der Kenntnisnahme des Verbrauchers gemäß Artikel VI.53 Nr. 13.</w:t>
      </w:r>
    </w:p>
    <w:p w14:paraId="7417C933" w14:textId="77777777" w:rsidR="00626208" w:rsidRPr="004676F5" w:rsidRDefault="00626208" w:rsidP="00626208">
      <w:pPr>
        <w:jc w:val="both"/>
        <w:rPr>
          <w:lang w:val="de-DE"/>
        </w:rPr>
      </w:pPr>
    </w:p>
    <w:p w14:paraId="4F8E8ED4" w14:textId="421F8692" w:rsidR="00626208" w:rsidRPr="004676F5" w:rsidRDefault="00626208" w:rsidP="00626208">
      <w:pPr>
        <w:jc w:val="both"/>
        <w:rPr>
          <w:lang w:val="de-DE"/>
        </w:rPr>
      </w:pPr>
      <w:r w:rsidRPr="004676F5">
        <w:rPr>
          <w:lang w:val="de-DE"/>
        </w:rPr>
        <w:tab/>
        <w:t>§ 8 </w:t>
      </w:r>
      <w:r w:rsidR="005B7A5C" w:rsidRPr="004676F5">
        <w:rPr>
          <w:lang w:val="de-DE"/>
        </w:rPr>
        <w:t>- </w:t>
      </w:r>
      <w:r w:rsidR="00B2592A" w:rsidRPr="004676F5">
        <w:rPr>
          <w:lang w:val="de-DE"/>
        </w:rPr>
        <w:t>[Möchte ein Verbraucher, dass die Dienstleistung oder die Lieferung von Wasser, Gas oder Strom, wenn sie nicht in einem begrenzten Volumen oder in einer bestimmten Menge zum Verkauf angeboten werden, oder von Fernwärme während der Widerrufsfrist gemäß Artikel VI.47 § 2 beginnt, und verpflichtet der Vertrag den Verbraucher zur Zahlung, so fordert das Unternehmen den Verbraucher dazu auf, ein entsprechendes ausdrückliches Verlangen zu erklären, und verlangt vom Verbraucher die Bestätigung, dass dieser zur Kenntnis genommen hat, dass er das Widerrufsrecht mit vollständiger Vertragserfüllung durch das Unternehmen verliert.]</w:t>
      </w:r>
    </w:p>
    <w:p w14:paraId="2B0A4B09" w14:textId="77777777" w:rsidR="00626208" w:rsidRPr="004676F5" w:rsidRDefault="00626208" w:rsidP="00626208">
      <w:pPr>
        <w:jc w:val="both"/>
        <w:rPr>
          <w:lang w:val="de-DE"/>
        </w:rPr>
      </w:pPr>
    </w:p>
    <w:p w14:paraId="0E23067D" w14:textId="31305596" w:rsidR="00C04D13" w:rsidRPr="004676F5" w:rsidRDefault="00C04D13" w:rsidP="00626208">
      <w:pPr>
        <w:jc w:val="both"/>
        <w:rPr>
          <w:i/>
          <w:iCs/>
          <w:lang w:val="de-DE"/>
        </w:rPr>
      </w:pPr>
      <w:r w:rsidRPr="004676F5">
        <w:rPr>
          <w:i/>
          <w:iCs/>
          <w:lang w:val="de-DE"/>
        </w:rPr>
        <w:t xml:space="preserve">[Art. VI.46 </w:t>
      </w:r>
      <w:r w:rsidR="00B2592A" w:rsidRPr="004676F5">
        <w:rPr>
          <w:i/>
          <w:iCs/>
          <w:lang w:val="de-DE"/>
        </w:rPr>
        <w:t xml:space="preserve">§ 4 ersetzt durch Art. 18 Nr. 1 des G. vom 8. Mai 2022 (B.S. vom 2. Juni 2022); </w:t>
      </w:r>
      <w:r w:rsidRPr="004676F5">
        <w:rPr>
          <w:i/>
          <w:iCs/>
          <w:lang w:val="de-DE"/>
        </w:rPr>
        <w:t>§ 6 abgeändert durch Art. 5 Nr. 1 und 2 des G. vom 20. September 2018 (B.S. vom 10. Oktober 2018)</w:t>
      </w:r>
      <w:r w:rsidR="00B2592A" w:rsidRPr="004676F5">
        <w:rPr>
          <w:i/>
          <w:iCs/>
          <w:lang w:val="de-DE"/>
        </w:rPr>
        <w:t>; § 8 ersetzt durch Art. 18 Nr. 2 des G. vom 8. Mai 2022 (B.S. vom 2. Juni 2022)</w:t>
      </w:r>
      <w:r w:rsidRPr="004676F5">
        <w:rPr>
          <w:i/>
          <w:iCs/>
          <w:lang w:val="de-DE"/>
        </w:rPr>
        <w:t>]</w:t>
      </w:r>
    </w:p>
    <w:p w14:paraId="037AFFE8" w14:textId="77777777" w:rsidR="00C04D13" w:rsidRPr="004676F5" w:rsidRDefault="00C04D13" w:rsidP="00626208">
      <w:pPr>
        <w:jc w:val="both"/>
        <w:rPr>
          <w:i/>
          <w:iCs/>
          <w:lang w:val="de-DE"/>
        </w:rPr>
      </w:pPr>
    </w:p>
    <w:p w14:paraId="44ED60F3" w14:textId="77777777" w:rsidR="00626208" w:rsidRPr="004676F5" w:rsidRDefault="00626208" w:rsidP="00626208">
      <w:pPr>
        <w:jc w:val="both"/>
        <w:rPr>
          <w:lang w:val="de-DE"/>
        </w:rPr>
      </w:pPr>
    </w:p>
    <w:p w14:paraId="61AD2B75" w14:textId="1BCE1A7C"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VI.47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des Artikels VI.53 steht dem Verbraucher eine Frist von vierzehn Tagen zu, in der er einen Fernabsatzvertrag ohne Angabe von Gründen und ohne andere Kosten als in Artikel VI.50 § 2 und Artikel VI.51 vorgesehen widerrufen kann.</w:t>
      </w:r>
    </w:p>
    <w:p w14:paraId="4B6917E5" w14:textId="77777777" w:rsidR="00626208" w:rsidRPr="004676F5" w:rsidRDefault="00626208" w:rsidP="00626208">
      <w:pPr>
        <w:jc w:val="both"/>
        <w:rPr>
          <w:lang w:val="de-DE"/>
        </w:rPr>
      </w:pPr>
    </w:p>
    <w:p w14:paraId="19C697B7" w14:textId="01BBEF9E"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Unbeschadet des Artikels VI.48 endet die in § 1 vorgesehene Widerrufsfrist:</w:t>
      </w:r>
    </w:p>
    <w:p w14:paraId="72B7140E" w14:textId="77777777" w:rsidR="00626208" w:rsidRPr="004676F5" w:rsidRDefault="00626208" w:rsidP="00626208">
      <w:pPr>
        <w:jc w:val="both"/>
        <w:rPr>
          <w:lang w:val="de-DE"/>
        </w:rPr>
      </w:pPr>
    </w:p>
    <w:p w14:paraId="74894F59" w14:textId="77777777" w:rsidR="00626208" w:rsidRPr="004676F5" w:rsidRDefault="00626208" w:rsidP="00626208">
      <w:pPr>
        <w:jc w:val="both"/>
        <w:rPr>
          <w:lang w:val="de-DE"/>
        </w:rPr>
      </w:pPr>
      <w:r w:rsidRPr="004676F5">
        <w:rPr>
          <w:lang w:val="de-DE"/>
        </w:rPr>
        <w:tab/>
        <w:t>1. bei Dienstleistungsverträgen vierzehn Tage ab dem Tag des Vertragsabschlusses,</w:t>
      </w:r>
    </w:p>
    <w:p w14:paraId="52B609AF" w14:textId="77777777" w:rsidR="00626208" w:rsidRPr="004676F5" w:rsidRDefault="00626208" w:rsidP="00626208">
      <w:pPr>
        <w:jc w:val="both"/>
        <w:rPr>
          <w:lang w:val="de-DE"/>
        </w:rPr>
      </w:pPr>
    </w:p>
    <w:p w14:paraId="2C9E5E42" w14:textId="33DA067F" w:rsidR="00626208" w:rsidRPr="004676F5" w:rsidRDefault="00626208" w:rsidP="00626208">
      <w:pPr>
        <w:jc w:val="both"/>
        <w:rPr>
          <w:lang w:val="de-DE"/>
        </w:rPr>
      </w:pPr>
      <w:r w:rsidRPr="004676F5">
        <w:rPr>
          <w:lang w:val="de-DE"/>
        </w:rPr>
        <w:lastRenderedPageBreak/>
        <w:tab/>
        <w:t>2. bei Kaufverträgen vierzehn Tage ab dem Tag, an dem der Verbraucher oder ein vom Verbraucher benannter Dritter, der nicht der Beförderer ist, in den physischen Besitz der Waren gelangt, oder:</w:t>
      </w:r>
    </w:p>
    <w:p w14:paraId="5292E217" w14:textId="77777777" w:rsidR="00626208" w:rsidRPr="004676F5" w:rsidRDefault="00626208" w:rsidP="00626208">
      <w:pPr>
        <w:jc w:val="both"/>
        <w:rPr>
          <w:lang w:val="de-DE"/>
        </w:rPr>
      </w:pPr>
    </w:p>
    <w:p w14:paraId="67F87D92"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wenn der Verbraucher mehrere Waren im Rahmen einer einheitlichen Bestellung bestellt hat, die getrennt geliefert werden, ab dem Tag, an dem der Verbraucher oder ein vom Verbraucher benannter Dritter, der nicht der Beförderer ist, in den physischen Besitz der letzten Ware gelangt,</w:t>
      </w:r>
    </w:p>
    <w:p w14:paraId="42F6357D" w14:textId="77777777" w:rsidR="00626208" w:rsidRPr="004676F5" w:rsidRDefault="00626208" w:rsidP="00626208">
      <w:pPr>
        <w:jc w:val="both"/>
        <w:rPr>
          <w:lang w:val="de-DE"/>
        </w:rPr>
      </w:pPr>
    </w:p>
    <w:p w14:paraId="7A6EC204"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bei Lieferung einer Ware in mehreren Teilsendungen oder Stücken ab dem Tag, an dem der Verbraucher oder ein vom Verbraucher benannter Dritter, der nicht der Beförderer ist, in den physischen Besitz der letzten Teilsendung oder des letzten Stücks gelangt,</w:t>
      </w:r>
    </w:p>
    <w:p w14:paraId="061609D8" w14:textId="77777777" w:rsidR="00626208" w:rsidRPr="004676F5" w:rsidRDefault="00626208" w:rsidP="00626208">
      <w:pPr>
        <w:jc w:val="both"/>
        <w:rPr>
          <w:lang w:val="de-DE"/>
        </w:rPr>
      </w:pPr>
    </w:p>
    <w:p w14:paraId="168456A6" w14:textId="77777777" w:rsidR="00626208" w:rsidRPr="004676F5" w:rsidRDefault="00626208" w:rsidP="00626208">
      <w:pPr>
        <w:jc w:val="both"/>
        <w:rPr>
          <w:lang w:val="de-DE"/>
        </w:rPr>
      </w:pPr>
      <w:r w:rsidRPr="004676F5">
        <w:rPr>
          <w:lang w:val="de-DE"/>
        </w:rPr>
        <w:tab/>
      </w:r>
      <w:r w:rsidRPr="004676F5">
        <w:rPr>
          <w:i/>
          <w:lang w:val="de-DE"/>
        </w:rPr>
        <w:t>c)</w:t>
      </w:r>
      <w:r w:rsidRPr="004676F5">
        <w:rPr>
          <w:lang w:val="de-DE"/>
        </w:rPr>
        <w:t> bei Verträgen zur regelmäßigen Lieferung von Waren über einen festgelegten Zeitraum hinweg ab dem Tag, an dem der Verbraucher oder ein vom Verbraucher benannter Dritter, der nicht der Beförderer ist, in den physischen Besitz der ersten Ware gelangt,</w:t>
      </w:r>
    </w:p>
    <w:p w14:paraId="6DFCD41A" w14:textId="77777777" w:rsidR="00626208" w:rsidRPr="004676F5" w:rsidRDefault="00626208" w:rsidP="00626208">
      <w:pPr>
        <w:jc w:val="both"/>
        <w:rPr>
          <w:lang w:val="de-DE"/>
        </w:rPr>
      </w:pPr>
    </w:p>
    <w:p w14:paraId="1761D352" w14:textId="77777777" w:rsidR="00626208" w:rsidRPr="004676F5" w:rsidRDefault="00626208" w:rsidP="00626208">
      <w:pPr>
        <w:jc w:val="both"/>
        <w:rPr>
          <w:lang w:val="de-DE"/>
        </w:rPr>
      </w:pPr>
      <w:r w:rsidRPr="004676F5">
        <w:rPr>
          <w:lang w:val="de-DE"/>
        </w:rPr>
        <w:tab/>
        <w:t>3. bei Verträgen über die Lieferung von Wasser, Gas oder Strom, wenn sie nicht in einem begrenzten Volumen oder in einer bestimmten Menge zum Verkauf angeboten werden, und von Fernwärme vierzehn Tage ab dem Tag des Vertragsabschlusses.</w:t>
      </w:r>
    </w:p>
    <w:p w14:paraId="1EF4BD98" w14:textId="77777777" w:rsidR="00626208" w:rsidRPr="004676F5" w:rsidRDefault="00626208" w:rsidP="00626208">
      <w:pPr>
        <w:jc w:val="both"/>
        <w:rPr>
          <w:lang w:val="de-DE"/>
        </w:rPr>
      </w:pPr>
    </w:p>
    <w:p w14:paraId="2E1A2AAA" w14:textId="77777777" w:rsidR="00626208" w:rsidRPr="004676F5" w:rsidRDefault="00626208" w:rsidP="00626208">
      <w:pPr>
        <w:jc w:val="both"/>
        <w:rPr>
          <w:lang w:val="de-DE"/>
        </w:rPr>
      </w:pPr>
    </w:p>
    <w:p w14:paraId="3CE3894F" w14:textId="4B844017"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VI.48</w:t>
      </w:r>
      <w:r w:rsidRPr="004676F5">
        <w:rPr>
          <w:lang w:val="de-DE"/>
        </w:rPr>
        <w:t> </w:t>
      </w:r>
      <w:r w:rsidR="005B7A5C" w:rsidRPr="004676F5">
        <w:rPr>
          <w:lang w:val="de-DE"/>
        </w:rPr>
        <w:t>- </w:t>
      </w:r>
      <w:r w:rsidRPr="004676F5">
        <w:rPr>
          <w:lang w:val="de-DE"/>
        </w:rPr>
        <w:t>Hat das Unternehmen den Verbraucher nicht gemäß Artikel VI.45 § 1 Nr. 8 über sein Widerrufsrecht belehrt, so läuft die Widerrufsfrist zwölf Monate nach Ablauf der ursprünglichen Widerrufsfrist gemäß Artikel VI.47 § 2 ab.</w:t>
      </w:r>
    </w:p>
    <w:p w14:paraId="00177578" w14:textId="77777777" w:rsidR="00626208" w:rsidRPr="004676F5" w:rsidRDefault="00626208" w:rsidP="00626208">
      <w:pPr>
        <w:jc w:val="both"/>
        <w:rPr>
          <w:lang w:val="de-DE"/>
        </w:rPr>
      </w:pPr>
    </w:p>
    <w:p w14:paraId="1F0220F0" w14:textId="77777777" w:rsidR="00626208" w:rsidRPr="004676F5" w:rsidRDefault="00626208" w:rsidP="00626208">
      <w:pPr>
        <w:jc w:val="both"/>
        <w:rPr>
          <w:lang w:val="de-DE"/>
        </w:rPr>
      </w:pPr>
      <w:r w:rsidRPr="004676F5">
        <w:rPr>
          <w:lang w:val="de-DE"/>
        </w:rPr>
        <w:tab/>
        <w:t>Hat das Unternehmen dem Verbraucher die in Absatz 1 genannten Informationen binnen zwölf Monaten ab dem in Artikel VI.47 § 2 genannten Tag erteilt, so endet die Widerrufsfrist vierzehn Tage nach dem Tag, an dem der Verbraucher diese Informationen erhalten hat.</w:t>
      </w:r>
    </w:p>
    <w:p w14:paraId="2FB64E56" w14:textId="77777777" w:rsidR="00626208" w:rsidRPr="004676F5" w:rsidRDefault="00626208" w:rsidP="00626208">
      <w:pPr>
        <w:jc w:val="both"/>
        <w:rPr>
          <w:lang w:val="de-DE"/>
        </w:rPr>
      </w:pPr>
    </w:p>
    <w:p w14:paraId="7FE814BA" w14:textId="77777777" w:rsidR="00626208" w:rsidRPr="004676F5" w:rsidRDefault="00626208" w:rsidP="00626208">
      <w:pPr>
        <w:jc w:val="both"/>
        <w:rPr>
          <w:lang w:val="de-DE"/>
        </w:rPr>
      </w:pPr>
    </w:p>
    <w:p w14:paraId="05701B76" w14:textId="313EC96D"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VI.49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Verbraucher informiert das Unternehmen vor Ablauf der Widerrufsfrist über seinen Entschluss, den Vertrag zu widerrufen. Der Verbraucher kann zu diesem Zweck entweder:</w:t>
      </w:r>
    </w:p>
    <w:p w14:paraId="38DA22F5" w14:textId="77777777" w:rsidR="00626208" w:rsidRPr="004676F5" w:rsidRDefault="00626208" w:rsidP="00626208">
      <w:pPr>
        <w:jc w:val="both"/>
        <w:rPr>
          <w:lang w:val="de-DE"/>
        </w:rPr>
      </w:pPr>
    </w:p>
    <w:p w14:paraId="237BE779" w14:textId="77777777" w:rsidR="00626208" w:rsidRPr="004676F5" w:rsidRDefault="00626208" w:rsidP="00626208">
      <w:pPr>
        <w:jc w:val="both"/>
        <w:rPr>
          <w:lang w:val="de-DE"/>
        </w:rPr>
      </w:pPr>
      <w:r w:rsidRPr="004676F5">
        <w:rPr>
          <w:lang w:val="de-DE"/>
        </w:rPr>
        <w:tab/>
        <w:t>1. das Muster-Widerrufsformular gemäß Anlage 2 zu vorliegendem Buch verwenden oder</w:t>
      </w:r>
    </w:p>
    <w:p w14:paraId="636BD7F5" w14:textId="77777777" w:rsidR="00626208" w:rsidRPr="004676F5" w:rsidRDefault="00626208" w:rsidP="00626208">
      <w:pPr>
        <w:jc w:val="both"/>
        <w:rPr>
          <w:lang w:val="de-DE"/>
        </w:rPr>
      </w:pPr>
    </w:p>
    <w:p w14:paraId="3B48CB63" w14:textId="77777777" w:rsidR="00626208" w:rsidRPr="004676F5" w:rsidRDefault="00626208" w:rsidP="00626208">
      <w:pPr>
        <w:jc w:val="both"/>
        <w:rPr>
          <w:lang w:val="de-DE"/>
        </w:rPr>
      </w:pPr>
      <w:r w:rsidRPr="004676F5">
        <w:rPr>
          <w:lang w:val="de-DE"/>
        </w:rPr>
        <w:tab/>
        <w:t>2. eine entsprechende eindeutige Erklärung in beliebiger anderer Form abgeben, aus der sein Entschluss zum Widerruf des Vertrags eindeutig hervorgeht.</w:t>
      </w:r>
    </w:p>
    <w:p w14:paraId="72AF78B1" w14:textId="77777777" w:rsidR="00626208" w:rsidRPr="004676F5" w:rsidRDefault="00626208" w:rsidP="00626208">
      <w:pPr>
        <w:jc w:val="both"/>
        <w:rPr>
          <w:lang w:val="de-DE"/>
        </w:rPr>
      </w:pPr>
    </w:p>
    <w:p w14:paraId="50B61570" w14:textId="4403CE23"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Die in Artikel VI.47 § 2 und in Artikel VI.48 genannte Widerrufsfrist ist gewahrt, wenn der Verbraucher die Mitteilung über die Ausübung des Widerrufsrechts vor Ablauf der Widerrufsfrist absendet.</w:t>
      </w:r>
    </w:p>
    <w:p w14:paraId="74613C55" w14:textId="77777777" w:rsidR="00626208" w:rsidRPr="004676F5" w:rsidRDefault="00626208" w:rsidP="00626208">
      <w:pPr>
        <w:jc w:val="both"/>
        <w:rPr>
          <w:lang w:val="de-DE"/>
        </w:rPr>
      </w:pPr>
    </w:p>
    <w:p w14:paraId="51547021" w14:textId="08E1890E"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 xml:space="preserve">Das Unternehmen kann dem Verbraucher zusätzlich zu den in § 1 genannten Möglichkeiten auch die Wahl einräumen, entweder das Muster-Widerrufsformular gemäß Anlage 2 zu vorliegendem Buch oder eine entsprechende eindeutige Erklärung in beliebiger anderer Form auf der Webseite des Unternehmens elektronisch auszufüllen und abzuschicken. </w:t>
      </w:r>
      <w:r w:rsidRPr="004676F5">
        <w:rPr>
          <w:lang w:val="de-DE"/>
        </w:rPr>
        <w:lastRenderedPageBreak/>
        <w:t>In diesen Fällen hat das Unternehmen dem Verbraucher unverzüglich auf einem dauerhaften Datenträger eine Bestätigung über den Eingang des Widerrufs zu übermitteln.</w:t>
      </w:r>
    </w:p>
    <w:p w14:paraId="2F5E8784" w14:textId="77777777" w:rsidR="00626208" w:rsidRPr="004676F5" w:rsidRDefault="00626208" w:rsidP="00626208">
      <w:pPr>
        <w:jc w:val="both"/>
        <w:rPr>
          <w:lang w:val="de-DE"/>
        </w:rPr>
      </w:pPr>
    </w:p>
    <w:p w14:paraId="5881B183" w14:textId="530CDE1B" w:rsidR="00626208" w:rsidRPr="004676F5" w:rsidRDefault="00626208" w:rsidP="00626208">
      <w:pPr>
        <w:jc w:val="both"/>
        <w:rPr>
          <w:lang w:val="de-DE"/>
        </w:rPr>
      </w:pPr>
      <w:r w:rsidRPr="004676F5">
        <w:rPr>
          <w:lang w:val="de-DE"/>
        </w:rPr>
        <w:tab/>
        <w:t>§ 4 </w:t>
      </w:r>
      <w:r w:rsidR="005B7A5C" w:rsidRPr="004676F5">
        <w:rPr>
          <w:lang w:val="de-DE"/>
        </w:rPr>
        <w:t>- </w:t>
      </w:r>
      <w:r w:rsidRPr="004676F5">
        <w:rPr>
          <w:lang w:val="de-DE"/>
        </w:rPr>
        <w:t>Die Beweislast für die Ausübung des Widerrufsrechts nach vorliegendem Artikel obliegt dem Verbraucher.</w:t>
      </w:r>
    </w:p>
    <w:p w14:paraId="0283D146" w14:textId="77777777" w:rsidR="00626208" w:rsidRPr="004676F5" w:rsidRDefault="00626208" w:rsidP="00626208">
      <w:pPr>
        <w:jc w:val="both"/>
        <w:rPr>
          <w:lang w:val="de-DE"/>
        </w:rPr>
      </w:pPr>
    </w:p>
    <w:p w14:paraId="16002660" w14:textId="77777777" w:rsidR="00626208" w:rsidRPr="004676F5" w:rsidRDefault="00626208" w:rsidP="00626208">
      <w:pPr>
        <w:jc w:val="both"/>
        <w:rPr>
          <w:lang w:val="de-DE"/>
        </w:rPr>
      </w:pPr>
    </w:p>
    <w:p w14:paraId="1ECCF058" w14:textId="5A24FD5D"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VI.50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Das Unternehmen hat alle Zahlungen, die es vom Verbraucher erhalten hat, gegebenenfalls einschließlich der Lieferkosten, unverzüglich und in jedem Fall spätestens binnen vierzehn Tagen ab dem Tag zurückzuzahlen, an dem es gemäß Artikel VI.49 über den Entschluss des Verbrauchers informiert wird, den Vertrag zu widerrufen.</w:t>
      </w:r>
    </w:p>
    <w:p w14:paraId="372D24AE" w14:textId="77777777" w:rsidR="00626208" w:rsidRPr="004676F5" w:rsidRDefault="00626208" w:rsidP="00626208">
      <w:pPr>
        <w:jc w:val="both"/>
        <w:rPr>
          <w:lang w:val="de-DE"/>
        </w:rPr>
      </w:pPr>
    </w:p>
    <w:p w14:paraId="59E4F057" w14:textId="77777777" w:rsidR="00626208" w:rsidRPr="004676F5" w:rsidRDefault="00626208" w:rsidP="00626208">
      <w:pPr>
        <w:jc w:val="both"/>
        <w:rPr>
          <w:lang w:val="de-DE"/>
        </w:rPr>
      </w:pPr>
      <w:r w:rsidRPr="004676F5">
        <w:rPr>
          <w:lang w:val="de-DE"/>
        </w:rPr>
        <w:tab/>
        <w:t>Das Unternehmen nimmt die Rückzahlung gemäß Absatz 1 unter Verwendung desselben Zahlungsmittels vor, das vom Verbraucher bei der ursprünglichen Transaktion eingesetzt wurde, es sei denn, mit dem Verbraucher wurde ausdrücklich etwas anderes vereinbart, und vorausgesetzt, für den Verbraucher fallen infolge einer solchen Rückzahlung keine Kosten an.</w:t>
      </w:r>
    </w:p>
    <w:p w14:paraId="3EE51E3C" w14:textId="77777777" w:rsidR="00626208" w:rsidRPr="004676F5" w:rsidRDefault="00626208" w:rsidP="00626208">
      <w:pPr>
        <w:jc w:val="both"/>
        <w:rPr>
          <w:lang w:val="de-DE"/>
        </w:rPr>
      </w:pPr>
    </w:p>
    <w:p w14:paraId="76C5BB76" w14:textId="467276D5"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Unbeschadet des Paragraphen 1 ist das Unternehmen nicht verpflichtet, zusätzliche Kosten zu erstatten, wenn sich der Verbraucher ausdrücklich für eine andere Art der Lieferung als die vom Unternehmen angebotene, günstigste Standardlieferung entschieden hat.</w:t>
      </w:r>
    </w:p>
    <w:p w14:paraId="1AB58BA4" w14:textId="77777777" w:rsidR="00626208" w:rsidRPr="004676F5" w:rsidRDefault="00626208" w:rsidP="00626208">
      <w:pPr>
        <w:jc w:val="both"/>
        <w:rPr>
          <w:lang w:val="de-DE"/>
        </w:rPr>
      </w:pPr>
    </w:p>
    <w:p w14:paraId="41BACA1A" w14:textId="79B3371A"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Bei Kaufverträgen kann das Unternehmen die Rückzahlung verweigern, bis es die Waren wieder zurückerhalten hat oder bis der Verbraucher den Nachweis erbracht hat, dass er die Waren zurückgeschickt hat, je nachdem, welches der frühere Zeitpunkt ist, es sei denn, das Unternehmen hat angeboten, die Waren selbst abzuholen.</w:t>
      </w:r>
    </w:p>
    <w:p w14:paraId="35E811C6" w14:textId="77777777" w:rsidR="00626208" w:rsidRPr="004676F5" w:rsidRDefault="00626208" w:rsidP="00626208">
      <w:pPr>
        <w:jc w:val="both"/>
        <w:rPr>
          <w:lang w:val="de-DE"/>
        </w:rPr>
      </w:pPr>
    </w:p>
    <w:p w14:paraId="527E4367" w14:textId="54F4BBF4" w:rsidR="00B2592A" w:rsidRPr="004676F5" w:rsidRDefault="00B2592A" w:rsidP="00B2592A">
      <w:pPr>
        <w:jc w:val="both"/>
        <w:rPr>
          <w:lang w:val="de-DE"/>
        </w:rPr>
      </w:pPr>
      <w:r w:rsidRPr="004676F5">
        <w:rPr>
          <w:lang w:val="de-DE"/>
        </w:rPr>
        <w:tab/>
        <w:t>[§ 4 </w:t>
      </w:r>
      <w:r w:rsidR="005B7A5C" w:rsidRPr="004676F5">
        <w:rPr>
          <w:lang w:val="de-DE"/>
        </w:rPr>
        <w:t>- </w:t>
      </w:r>
      <w:r w:rsidRPr="004676F5">
        <w:rPr>
          <w:lang w:val="de-DE"/>
        </w:rPr>
        <w:t>In Bezug auf personenbezogene Daten des Verbrauchers hält das Unternehmen die Verpflichtungen ein, die aufgrund der Verordnung (EU) 2016/679 des Europäischen Parlaments und des Rates vom 27. April 2016 zum Schutz natürlicher Personen bei der Verarbeitung personenbezogener Daten, zum freien Datenverkehr und zur Aufhebung der Richtlinie 95/46/EG gelten.</w:t>
      </w:r>
    </w:p>
    <w:p w14:paraId="50ECAE0B" w14:textId="77777777" w:rsidR="00B2592A" w:rsidRPr="004676F5" w:rsidRDefault="00B2592A" w:rsidP="00B2592A">
      <w:pPr>
        <w:jc w:val="both"/>
        <w:rPr>
          <w:lang w:val="de-DE"/>
        </w:rPr>
      </w:pPr>
    </w:p>
    <w:p w14:paraId="22DDBDDB" w14:textId="38E216E8" w:rsidR="00B2592A" w:rsidRPr="004676F5" w:rsidRDefault="00B2592A" w:rsidP="00B2592A">
      <w:pPr>
        <w:jc w:val="both"/>
        <w:rPr>
          <w:lang w:val="de-DE"/>
        </w:rPr>
      </w:pPr>
      <w:r w:rsidRPr="004676F5">
        <w:rPr>
          <w:lang w:val="de-DE"/>
        </w:rPr>
        <w:tab/>
        <w:t>§ 5 </w:t>
      </w:r>
      <w:r w:rsidR="005B7A5C" w:rsidRPr="004676F5">
        <w:rPr>
          <w:lang w:val="de-DE"/>
        </w:rPr>
        <w:t>- </w:t>
      </w:r>
      <w:r w:rsidRPr="004676F5">
        <w:rPr>
          <w:lang w:val="de-DE"/>
        </w:rPr>
        <w:t>Das Unternehmen darf Inhalte, die nicht personenbezogene Daten sind und die vom Verbraucher bei der Nutzung der vom Unternehmen bereitgestellten digitalen Inhalte oder digitalen Dienstleistungen bereitgestellt oder erstellt wurden, nicht verwenden, es sei denn, diese Inhalte:</w:t>
      </w:r>
    </w:p>
    <w:p w14:paraId="2FC93694" w14:textId="77777777" w:rsidR="00B2592A" w:rsidRPr="004676F5" w:rsidRDefault="00B2592A" w:rsidP="00B2592A">
      <w:pPr>
        <w:jc w:val="both"/>
        <w:rPr>
          <w:lang w:val="de-DE"/>
        </w:rPr>
      </w:pPr>
    </w:p>
    <w:p w14:paraId="553F9232" w14:textId="77777777" w:rsidR="00B2592A" w:rsidRPr="004676F5" w:rsidRDefault="00B2592A" w:rsidP="00B2592A">
      <w:pPr>
        <w:jc w:val="both"/>
        <w:rPr>
          <w:lang w:val="de-DE"/>
        </w:rPr>
      </w:pPr>
      <w:r w:rsidRPr="004676F5">
        <w:rPr>
          <w:lang w:val="de-DE"/>
        </w:rPr>
        <w:tab/>
        <w:t>1. haben außerhalb des Kontextes der von dem Unternehmen bereitgestellten digitalen Inhalte oder digitalen Dienstleistungen keinen Nutzen,</w:t>
      </w:r>
    </w:p>
    <w:p w14:paraId="02D87E7B" w14:textId="77777777" w:rsidR="00B2592A" w:rsidRPr="004676F5" w:rsidRDefault="00B2592A" w:rsidP="00B2592A">
      <w:pPr>
        <w:jc w:val="both"/>
        <w:rPr>
          <w:lang w:val="de-DE"/>
        </w:rPr>
      </w:pPr>
    </w:p>
    <w:p w14:paraId="4678E0E4" w14:textId="77777777" w:rsidR="00B2592A" w:rsidRPr="004676F5" w:rsidRDefault="00B2592A" w:rsidP="00B2592A">
      <w:pPr>
        <w:jc w:val="both"/>
        <w:rPr>
          <w:lang w:val="de-DE"/>
        </w:rPr>
      </w:pPr>
      <w:r w:rsidRPr="004676F5">
        <w:rPr>
          <w:lang w:val="de-DE"/>
        </w:rPr>
        <w:tab/>
        <w:t>2. hängen ausschließlich mit der Nutzung der von dem Unternehmen bereitgestellten digitalen Inhalte oder digitalen Dienstleistungen durch den Verbraucher zusammen,</w:t>
      </w:r>
    </w:p>
    <w:p w14:paraId="26586B1D" w14:textId="77777777" w:rsidR="00B2592A" w:rsidRPr="004676F5" w:rsidRDefault="00B2592A" w:rsidP="00B2592A">
      <w:pPr>
        <w:jc w:val="both"/>
        <w:rPr>
          <w:lang w:val="de-DE"/>
        </w:rPr>
      </w:pPr>
    </w:p>
    <w:p w14:paraId="291211AD" w14:textId="77777777" w:rsidR="00B2592A" w:rsidRPr="004676F5" w:rsidRDefault="00B2592A" w:rsidP="00B2592A">
      <w:pPr>
        <w:jc w:val="both"/>
        <w:rPr>
          <w:lang w:val="de-DE"/>
        </w:rPr>
      </w:pPr>
      <w:r w:rsidRPr="004676F5">
        <w:rPr>
          <w:lang w:val="de-DE"/>
        </w:rPr>
        <w:tab/>
        <w:t>3. wurden vom Unternehmen mit anderen Daten aggregiert und können nicht oder nur mit unverhältnismäßigem Aufwand disaggregiert werden oder</w:t>
      </w:r>
    </w:p>
    <w:p w14:paraId="353CE108" w14:textId="77777777" w:rsidR="00B2592A" w:rsidRPr="004676F5" w:rsidRDefault="00B2592A" w:rsidP="00B2592A">
      <w:pPr>
        <w:jc w:val="both"/>
        <w:rPr>
          <w:lang w:val="de-DE"/>
        </w:rPr>
      </w:pPr>
    </w:p>
    <w:p w14:paraId="7B91B8CF" w14:textId="77777777" w:rsidR="00B2592A" w:rsidRPr="004676F5" w:rsidRDefault="00B2592A" w:rsidP="00B2592A">
      <w:pPr>
        <w:jc w:val="both"/>
        <w:rPr>
          <w:lang w:val="de-DE"/>
        </w:rPr>
      </w:pPr>
      <w:r w:rsidRPr="004676F5">
        <w:rPr>
          <w:lang w:val="de-DE"/>
        </w:rPr>
        <w:tab/>
        <w:t>4. wurden vom Verbraucher gemeinsam mit anderen erzeugt und andere Verbraucher können die Inhalte weiterhin nutzen.</w:t>
      </w:r>
    </w:p>
    <w:p w14:paraId="206BD34A" w14:textId="77777777" w:rsidR="00B2592A" w:rsidRPr="004676F5" w:rsidRDefault="00B2592A" w:rsidP="00B2592A">
      <w:pPr>
        <w:jc w:val="both"/>
        <w:rPr>
          <w:lang w:val="de-DE"/>
        </w:rPr>
      </w:pPr>
    </w:p>
    <w:p w14:paraId="63957B8C" w14:textId="0C2B5093" w:rsidR="00B2592A" w:rsidRPr="004676F5" w:rsidRDefault="00B2592A" w:rsidP="00B2592A">
      <w:pPr>
        <w:jc w:val="both"/>
        <w:rPr>
          <w:lang w:val="de-DE"/>
        </w:rPr>
      </w:pPr>
      <w:r w:rsidRPr="004676F5">
        <w:rPr>
          <w:lang w:val="de-DE"/>
        </w:rPr>
        <w:lastRenderedPageBreak/>
        <w:tab/>
        <w:t>§ 6 </w:t>
      </w:r>
      <w:r w:rsidR="005B7A5C" w:rsidRPr="004676F5">
        <w:rPr>
          <w:lang w:val="de-DE"/>
        </w:rPr>
        <w:t>- </w:t>
      </w:r>
      <w:r w:rsidRPr="004676F5">
        <w:rPr>
          <w:lang w:val="de-DE"/>
        </w:rPr>
        <w:t>Mit Ausnahme der in § 5 Nr. 1, 2 oder 3 erwähnten Fälle stellt das Unternehmen dem Verbraucher auf dessen Ersuchen alle Inhalte, die nicht personenbezogene Daten sind, bereit, die vom Verbraucher bei der Nutzung der vom Unternehmen bereitgestellten digitalen Inhalte oder digitalen Dienstleistungen bereitgestellt oder erstellt wurden.</w:t>
      </w:r>
    </w:p>
    <w:p w14:paraId="78B19681" w14:textId="77777777" w:rsidR="00B2592A" w:rsidRPr="004676F5" w:rsidRDefault="00B2592A" w:rsidP="00B2592A">
      <w:pPr>
        <w:jc w:val="both"/>
        <w:rPr>
          <w:lang w:val="de-DE"/>
        </w:rPr>
      </w:pPr>
    </w:p>
    <w:p w14:paraId="4FE7BB3D" w14:textId="54F2FCFF" w:rsidR="00B2592A" w:rsidRPr="004676F5" w:rsidRDefault="00B2592A" w:rsidP="00B2592A">
      <w:pPr>
        <w:jc w:val="both"/>
        <w:rPr>
          <w:lang w:val="de-DE"/>
        </w:rPr>
      </w:pPr>
      <w:r w:rsidRPr="004676F5">
        <w:rPr>
          <w:lang w:val="de-DE"/>
        </w:rPr>
        <w:tab/>
        <w:t>§ 7 </w:t>
      </w:r>
      <w:r w:rsidR="005B7A5C" w:rsidRPr="004676F5">
        <w:rPr>
          <w:lang w:val="de-DE"/>
        </w:rPr>
        <w:t>- </w:t>
      </w:r>
      <w:r w:rsidRPr="004676F5">
        <w:rPr>
          <w:lang w:val="de-DE"/>
        </w:rPr>
        <w:t>Der Verbraucher ist berechtigt, diese digitalen Inhalte kostenfrei, ohne Behinderung durch das Unternehmen, innerhalb einer angemessenen Frist und in einem allgemein gebräuchlichen und maschinenlesbaren Format wiederzuerlangen.</w:t>
      </w:r>
    </w:p>
    <w:p w14:paraId="0806EE0D" w14:textId="77777777" w:rsidR="00B2592A" w:rsidRPr="004676F5" w:rsidRDefault="00B2592A" w:rsidP="00B2592A">
      <w:pPr>
        <w:jc w:val="both"/>
        <w:rPr>
          <w:lang w:val="de-DE"/>
        </w:rPr>
      </w:pPr>
    </w:p>
    <w:p w14:paraId="0C9F098B" w14:textId="2F551E29" w:rsidR="00B2592A" w:rsidRPr="004676F5" w:rsidRDefault="00B2592A" w:rsidP="00B2592A">
      <w:pPr>
        <w:jc w:val="both"/>
        <w:rPr>
          <w:lang w:val="de-DE"/>
        </w:rPr>
      </w:pPr>
      <w:r w:rsidRPr="004676F5">
        <w:rPr>
          <w:lang w:val="de-DE"/>
        </w:rPr>
        <w:tab/>
        <w:t>§ 8 </w:t>
      </w:r>
      <w:r w:rsidR="005B7A5C" w:rsidRPr="004676F5">
        <w:rPr>
          <w:lang w:val="de-DE"/>
        </w:rPr>
        <w:t>- </w:t>
      </w:r>
      <w:r w:rsidRPr="004676F5">
        <w:rPr>
          <w:lang w:val="de-DE"/>
        </w:rPr>
        <w:t>Im Falle des Widerrufs des Vertrags darf das Unternehmen jede weitere Nutzung der digitalen Inhalte oder digitalen Dienstleistungen durch den Verbraucher unterbinden, insbesondere indem es unbeschadet des Paragraphen 6 den Zugang des Verbrauchers zu den digitalen Inhalten oder digitalen Dienstleistungen oder das Nutzerkonto des Verbrauchers sperrt.]</w:t>
      </w:r>
    </w:p>
    <w:p w14:paraId="1ECEFDC2" w14:textId="77777777" w:rsidR="00B2592A" w:rsidRPr="004676F5" w:rsidRDefault="00B2592A" w:rsidP="00B2592A">
      <w:pPr>
        <w:jc w:val="both"/>
        <w:rPr>
          <w:lang w:val="de-DE"/>
        </w:rPr>
      </w:pPr>
    </w:p>
    <w:p w14:paraId="74844ECC" w14:textId="1DD88B3F" w:rsidR="00B2592A" w:rsidRPr="004676F5" w:rsidRDefault="00B2592A" w:rsidP="00B2592A">
      <w:pPr>
        <w:jc w:val="both"/>
        <w:rPr>
          <w:i/>
          <w:iCs/>
          <w:lang w:val="de-DE"/>
        </w:rPr>
      </w:pPr>
      <w:r w:rsidRPr="004676F5">
        <w:rPr>
          <w:i/>
          <w:iCs/>
          <w:lang w:val="de-DE"/>
        </w:rPr>
        <w:t>[Art. VI.50 §§ 4 bis 8 eingefügt durch Art. 19 des G. vom 8. Mai 2022 (B.S. vom 2. Juni 2022)]</w:t>
      </w:r>
    </w:p>
    <w:p w14:paraId="4038A067" w14:textId="77777777" w:rsidR="00B2592A" w:rsidRPr="004676F5" w:rsidRDefault="00B2592A" w:rsidP="00B2592A">
      <w:pPr>
        <w:jc w:val="both"/>
        <w:rPr>
          <w:i/>
          <w:iCs/>
          <w:lang w:val="de-DE"/>
        </w:rPr>
      </w:pPr>
    </w:p>
    <w:p w14:paraId="22FEB9F7" w14:textId="77777777" w:rsidR="00626208" w:rsidRPr="004676F5" w:rsidRDefault="00626208" w:rsidP="00626208">
      <w:pPr>
        <w:jc w:val="both"/>
        <w:rPr>
          <w:lang w:val="de-DE"/>
        </w:rPr>
      </w:pPr>
    </w:p>
    <w:p w14:paraId="2130F4D3" w14:textId="782AE921"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VI.51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Verbraucher hat die Waren unverzüglich und in jedem Fall spätestens nach vierzehn Tagen ab dem Tag, an dem er dem Unternehmen gemäß Artikel VI.49 seinen Entschluss mitgeteilt hat, den Vertrag zu widerrufen, an das Unternehmen oder eine von diesem zur Entgegennahme der Waren ermächtigte Person zurückzusenden oder zu übergeben, es sei denn, das Unternehmen hat angeboten, die Waren selbst abzuholen. Die Frist ist gewahrt, wenn der Verbraucher die Waren vor Ablauf der Frist von vierzehn Tagen absendet.</w:t>
      </w:r>
    </w:p>
    <w:p w14:paraId="6E2D100D" w14:textId="77777777" w:rsidR="00626208" w:rsidRPr="004676F5" w:rsidRDefault="00626208" w:rsidP="00626208">
      <w:pPr>
        <w:jc w:val="both"/>
        <w:rPr>
          <w:lang w:val="de-DE"/>
        </w:rPr>
      </w:pPr>
    </w:p>
    <w:p w14:paraId="51CDB4EA" w14:textId="77777777" w:rsidR="00626208" w:rsidRPr="004676F5" w:rsidRDefault="00626208" w:rsidP="00626208">
      <w:pPr>
        <w:jc w:val="both"/>
        <w:rPr>
          <w:lang w:val="de-DE"/>
        </w:rPr>
      </w:pPr>
      <w:r w:rsidRPr="004676F5">
        <w:rPr>
          <w:lang w:val="de-DE"/>
        </w:rPr>
        <w:tab/>
        <w:t>Der Verbraucher hat nur die unmittelbaren Kosten der Rücksendung der Waren zu tragen, es sei denn, das Unternehmen hat sich bereit erklärt, diese Kosten zu tragen oder das Unternehmen hat es unterlassen, den Verbraucher darüber zu unterrichten, dass er diese Kosten zu tragen hat.</w:t>
      </w:r>
    </w:p>
    <w:p w14:paraId="5BA247F4" w14:textId="77777777" w:rsidR="00626208" w:rsidRPr="004676F5" w:rsidRDefault="00626208" w:rsidP="00626208">
      <w:pPr>
        <w:jc w:val="both"/>
        <w:rPr>
          <w:lang w:val="de-DE"/>
        </w:rPr>
      </w:pPr>
    </w:p>
    <w:p w14:paraId="7BAF3866" w14:textId="7A88758B"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Der Verbraucher haftet für einen etwaigen Wertverlust der Waren nur, wenn dieser Wertverlust auf einen zur Prüfung der Beschaffenheit, Eigenschaften und Funktionsweise der Waren nicht notwendigen Umgang mit den Waren zurückzuführen ist. Der Verbraucher haftet in keinem Fall für den Wertverlust der Waren, wenn er vom Unternehmen nicht gemäß Artikel VI.45 § 1 Nr. 8 über sein Widerrufsrecht belehrt wurde.</w:t>
      </w:r>
    </w:p>
    <w:p w14:paraId="0C139C51" w14:textId="77777777" w:rsidR="00626208" w:rsidRPr="004676F5" w:rsidRDefault="00626208" w:rsidP="00626208">
      <w:pPr>
        <w:jc w:val="both"/>
        <w:rPr>
          <w:lang w:val="de-DE"/>
        </w:rPr>
      </w:pPr>
    </w:p>
    <w:p w14:paraId="67607B42" w14:textId="38C2391F"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Übt ein Verbraucher das Widerrufsrecht aus, nachdem er ein Verlangen gemäß Artikel VI.46 § 8 erklärt hat, so zahlt er dem Unternehmen einen Betrag, der verhältnismäßig dem entspricht, was bis zu dem Zeitpunkt, zu dem der Verbraucher das Unternehmen von der Ausübung des Widerrufsrechts unterrichtet, im Vergleich zum Gesamtumfang der vertraglich vereinbarten Leistungen geleistet worden ist. Der anteilige Betrag, den der Verbraucher an das Unternehmen zu zahlen hat, wird auf der Grundlage des vertraglich vereinbarten Gesamtpreises berechnet. Ist der Gesamtpreis überhöht, so wird der anteilige Betrag auf der Grundlage des Marktwerts der erbrachten Leistung berechnet.</w:t>
      </w:r>
    </w:p>
    <w:p w14:paraId="7B6576C7" w14:textId="77777777" w:rsidR="00626208" w:rsidRPr="004676F5" w:rsidRDefault="00626208" w:rsidP="00626208">
      <w:pPr>
        <w:rPr>
          <w:lang w:val="de-DE"/>
        </w:rPr>
      </w:pPr>
    </w:p>
    <w:p w14:paraId="30EF2116" w14:textId="77777777" w:rsidR="00E30873" w:rsidRPr="004676F5" w:rsidRDefault="00E30873">
      <w:pPr>
        <w:rPr>
          <w:lang w:val="de-DE"/>
        </w:rPr>
      </w:pPr>
      <w:r w:rsidRPr="004676F5">
        <w:rPr>
          <w:lang w:val="de-DE"/>
        </w:rPr>
        <w:br w:type="page"/>
      </w:r>
    </w:p>
    <w:p w14:paraId="7E8AAE65" w14:textId="4EEB38CE" w:rsidR="00626208" w:rsidRPr="004676F5" w:rsidRDefault="00626208" w:rsidP="00626208">
      <w:pPr>
        <w:jc w:val="both"/>
        <w:rPr>
          <w:lang w:val="de-DE"/>
        </w:rPr>
      </w:pPr>
      <w:r w:rsidRPr="004676F5">
        <w:rPr>
          <w:lang w:val="de-DE"/>
        </w:rPr>
        <w:lastRenderedPageBreak/>
        <w:tab/>
        <w:t>§ 4 </w:t>
      </w:r>
      <w:r w:rsidR="005B7A5C" w:rsidRPr="004676F5">
        <w:rPr>
          <w:lang w:val="de-DE"/>
        </w:rPr>
        <w:t>- </w:t>
      </w:r>
      <w:r w:rsidRPr="004676F5">
        <w:rPr>
          <w:lang w:val="de-DE"/>
        </w:rPr>
        <w:t>Der Verbraucher hat nicht aufzukommen für:</w:t>
      </w:r>
    </w:p>
    <w:p w14:paraId="29514D82" w14:textId="77777777" w:rsidR="00626208" w:rsidRPr="004676F5" w:rsidRDefault="00626208" w:rsidP="00626208">
      <w:pPr>
        <w:jc w:val="both"/>
        <w:rPr>
          <w:lang w:val="de-DE"/>
        </w:rPr>
      </w:pPr>
    </w:p>
    <w:p w14:paraId="2F172E99" w14:textId="77777777" w:rsidR="00626208" w:rsidRPr="004676F5" w:rsidRDefault="00626208" w:rsidP="00626208">
      <w:pPr>
        <w:jc w:val="both"/>
        <w:rPr>
          <w:lang w:val="de-DE"/>
        </w:rPr>
      </w:pPr>
      <w:r w:rsidRPr="004676F5">
        <w:rPr>
          <w:lang w:val="de-DE"/>
        </w:rPr>
        <w:tab/>
        <w:t>1. Dienstleistungen, die Lieferung von Wasser, Gas oder Strom, wenn sie nicht in einem begrenzten Volumen oder in einer bestimmten Menge zum Verkauf angeboten werden, oder von Fernwärme, die während der Widerrufsfrist ganz oder teilweise erbracht wurden, wenn:</w:t>
      </w:r>
    </w:p>
    <w:p w14:paraId="27636A2B" w14:textId="77777777" w:rsidR="00626208" w:rsidRPr="004676F5" w:rsidRDefault="00626208" w:rsidP="00626208">
      <w:pPr>
        <w:jc w:val="both"/>
        <w:rPr>
          <w:lang w:val="de-DE"/>
        </w:rPr>
      </w:pPr>
    </w:p>
    <w:p w14:paraId="2BECAB25"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das Unternehmen es unterlassen hat, die Informationen gemäß Artikel VI.45 § 1 Nr. 8 oder 10 bereitzustellen, oder</w:t>
      </w:r>
    </w:p>
    <w:p w14:paraId="316E74C6" w14:textId="77777777" w:rsidR="00626208" w:rsidRPr="004676F5" w:rsidRDefault="00626208" w:rsidP="00626208">
      <w:pPr>
        <w:jc w:val="both"/>
        <w:rPr>
          <w:lang w:val="de-DE"/>
        </w:rPr>
      </w:pPr>
    </w:p>
    <w:p w14:paraId="75828A98"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der Verbraucher nicht ausdrücklich gemäß Artikel VI.46 § 8 verlangt hat, dass die Erbringung der Leistung während der Widerrufsfrist beginnen soll, oder</w:t>
      </w:r>
    </w:p>
    <w:p w14:paraId="2C0BF20A" w14:textId="77777777" w:rsidR="00626208" w:rsidRPr="004676F5" w:rsidRDefault="00626208" w:rsidP="00626208">
      <w:pPr>
        <w:jc w:val="both"/>
        <w:rPr>
          <w:lang w:val="de-DE"/>
        </w:rPr>
      </w:pPr>
    </w:p>
    <w:p w14:paraId="6151372F" w14:textId="77777777" w:rsidR="00626208" w:rsidRPr="004676F5" w:rsidRDefault="00626208" w:rsidP="00626208">
      <w:pPr>
        <w:jc w:val="both"/>
        <w:rPr>
          <w:lang w:val="de-DE"/>
        </w:rPr>
      </w:pPr>
      <w:r w:rsidRPr="004676F5">
        <w:rPr>
          <w:lang w:val="de-DE"/>
        </w:rPr>
        <w:tab/>
        <w:t>2. die vollständige oder teilweise Bereitstellung von digitalen Inhalten, die nicht auf einem körperlichen Datenträger geliefert werden, wenn:</w:t>
      </w:r>
    </w:p>
    <w:p w14:paraId="03BEDFD8" w14:textId="77777777" w:rsidR="00626208" w:rsidRPr="004676F5" w:rsidRDefault="00626208" w:rsidP="00626208">
      <w:pPr>
        <w:jc w:val="both"/>
        <w:rPr>
          <w:lang w:val="de-DE"/>
        </w:rPr>
      </w:pPr>
    </w:p>
    <w:p w14:paraId="4C9E05CF"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der Verbraucher sich nicht zuvor ausdrücklich damit einverstanden erklärt hat, dass die Erfüllung des Vertrags vor Ablauf der Frist von vierzehn Tagen gemäß Artikel VI.47 beginnt, oder</w:t>
      </w:r>
    </w:p>
    <w:p w14:paraId="6551B3B5" w14:textId="77777777" w:rsidR="00626208" w:rsidRPr="004676F5" w:rsidRDefault="00626208" w:rsidP="00626208">
      <w:pPr>
        <w:jc w:val="both"/>
        <w:rPr>
          <w:lang w:val="de-DE"/>
        </w:rPr>
      </w:pPr>
    </w:p>
    <w:p w14:paraId="0A681AF9"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der Verbraucher nicht zur Kenntnis genommen hat, dass er mit seiner Zustimmung sein Widerrufsrecht verliert, oder</w:t>
      </w:r>
    </w:p>
    <w:p w14:paraId="56DF6B5E" w14:textId="77777777" w:rsidR="00626208" w:rsidRPr="004676F5" w:rsidRDefault="00626208" w:rsidP="00626208">
      <w:pPr>
        <w:jc w:val="both"/>
        <w:rPr>
          <w:lang w:val="de-DE"/>
        </w:rPr>
      </w:pPr>
    </w:p>
    <w:p w14:paraId="5426D5BB" w14:textId="77777777" w:rsidR="00626208" w:rsidRPr="004676F5" w:rsidRDefault="00626208" w:rsidP="00626208">
      <w:pPr>
        <w:jc w:val="both"/>
        <w:rPr>
          <w:lang w:val="de-DE"/>
        </w:rPr>
      </w:pPr>
      <w:r w:rsidRPr="004676F5">
        <w:rPr>
          <w:lang w:val="de-DE"/>
        </w:rPr>
        <w:tab/>
      </w:r>
      <w:r w:rsidRPr="004676F5">
        <w:rPr>
          <w:i/>
          <w:lang w:val="de-DE"/>
        </w:rPr>
        <w:t>c)</w:t>
      </w:r>
      <w:r w:rsidRPr="004676F5">
        <w:rPr>
          <w:lang w:val="de-DE"/>
        </w:rPr>
        <w:t> das Unternehmen es unterlassen hat, eine Bestätigung gemäß Artikel VI.46 § 7 zur Verfügung zu stellen.</w:t>
      </w:r>
    </w:p>
    <w:p w14:paraId="70E245F1" w14:textId="77777777" w:rsidR="00626208" w:rsidRPr="004676F5" w:rsidRDefault="00626208" w:rsidP="00626208">
      <w:pPr>
        <w:jc w:val="both"/>
        <w:rPr>
          <w:lang w:val="de-DE"/>
        </w:rPr>
      </w:pPr>
    </w:p>
    <w:p w14:paraId="33A214AE" w14:textId="61AB7D66" w:rsidR="00626208" w:rsidRPr="004676F5" w:rsidRDefault="00626208" w:rsidP="00626208">
      <w:pPr>
        <w:jc w:val="both"/>
        <w:rPr>
          <w:lang w:val="de-DE"/>
        </w:rPr>
      </w:pPr>
      <w:r w:rsidRPr="004676F5">
        <w:rPr>
          <w:lang w:val="de-DE"/>
        </w:rPr>
        <w:tab/>
        <w:t>§ 5 </w:t>
      </w:r>
      <w:r w:rsidR="005B7A5C" w:rsidRPr="004676F5">
        <w:rPr>
          <w:lang w:val="de-DE"/>
        </w:rPr>
        <w:t>- </w:t>
      </w:r>
      <w:r w:rsidRPr="004676F5">
        <w:rPr>
          <w:lang w:val="de-DE"/>
        </w:rPr>
        <w:t>Sofern in Artikel VI.50 § 2 und vorliegendem Artikel nichts anderes vorgesehen ist, kann der Verbraucher aufgrund der Ausübung seines Widerrufsrechts nicht in Anspruch genommen werden.</w:t>
      </w:r>
    </w:p>
    <w:p w14:paraId="6C0020DD" w14:textId="77777777" w:rsidR="00626208" w:rsidRPr="004676F5" w:rsidRDefault="00626208" w:rsidP="00626208">
      <w:pPr>
        <w:jc w:val="both"/>
        <w:rPr>
          <w:lang w:val="de-DE"/>
        </w:rPr>
      </w:pPr>
    </w:p>
    <w:p w14:paraId="41D45A22" w14:textId="302AD8D0" w:rsidR="00B2592A" w:rsidRPr="004676F5" w:rsidRDefault="00B2592A" w:rsidP="00626208">
      <w:pPr>
        <w:jc w:val="both"/>
        <w:rPr>
          <w:lang w:val="de-DE"/>
        </w:rPr>
      </w:pPr>
      <w:r w:rsidRPr="004676F5">
        <w:rPr>
          <w:lang w:val="de-DE"/>
        </w:rPr>
        <w:tab/>
        <w:t>[§ 6 </w:t>
      </w:r>
      <w:r w:rsidR="005B7A5C" w:rsidRPr="004676F5">
        <w:rPr>
          <w:lang w:val="de-DE"/>
        </w:rPr>
        <w:t>- </w:t>
      </w:r>
      <w:r w:rsidRPr="004676F5">
        <w:rPr>
          <w:lang w:val="de-DE"/>
        </w:rPr>
        <w:t>Im Falle des Widerrufs des Vertrags unterlässt der Verbraucher die Nutzung der digitalen Inhalte beziehungsweise digitalen Dienstleistungen und deren Zurverfügungstellung an Dritte.]</w:t>
      </w:r>
    </w:p>
    <w:p w14:paraId="0BD9F53F" w14:textId="77777777" w:rsidR="00B2592A" w:rsidRPr="004676F5" w:rsidRDefault="00B2592A" w:rsidP="00626208">
      <w:pPr>
        <w:jc w:val="both"/>
        <w:rPr>
          <w:lang w:val="de-DE"/>
        </w:rPr>
      </w:pPr>
    </w:p>
    <w:p w14:paraId="3F5D8880" w14:textId="37E09BE7" w:rsidR="00B2592A" w:rsidRPr="004676F5" w:rsidRDefault="00B2592A" w:rsidP="00626208">
      <w:pPr>
        <w:jc w:val="both"/>
        <w:rPr>
          <w:i/>
          <w:iCs/>
          <w:lang w:val="de-DE"/>
        </w:rPr>
      </w:pPr>
      <w:r w:rsidRPr="004676F5">
        <w:rPr>
          <w:i/>
          <w:iCs/>
          <w:lang w:val="de-DE"/>
        </w:rPr>
        <w:t>[Art. VI.51 § 6 eingefügt durch Art. 20 des G. vom 8. Mai 2022 (B.S. vom 2. Juni 2022)]</w:t>
      </w:r>
    </w:p>
    <w:p w14:paraId="5D9B94FE" w14:textId="77777777" w:rsidR="00B2592A" w:rsidRPr="004676F5" w:rsidRDefault="00B2592A" w:rsidP="00626208">
      <w:pPr>
        <w:jc w:val="both"/>
        <w:rPr>
          <w:i/>
          <w:iCs/>
          <w:lang w:val="de-DE"/>
        </w:rPr>
      </w:pPr>
    </w:p>
    <w:p w14:paraId="5BF9AD54" w14:textId="77777777" w:rsidR="00626208" w:rsidRPr="004676F5" w:rsidRDefault="00626208" w:rsidP="00626208">
      <w:pPr>
        <w:jc w:val="both"/>
        <w:rPr>
          <w:lang w:val="de-DE"/>
        </w:rPr>
      </w:pPr>
    </w:p>
    <w:p w14:paraId="147B50DA" w14:textId="60D51232" w:rsidR="00626208" w:rsidRPr="004676F5" w:rsidRDefault="00626208" w:rsidP="00554890">
      <w:pPr>
        <w:rPr>
          <w:lang w:val="de-DE"/>
        </w:rPr>
      </w:pPr>
      <w:r w:rsidRPr="004676F5">
        <w:rPr>
          <w:lang w:val="de-DE"/>
        </w:rPr>
        <w:tab/>
      </w:r>
      <w:r w:rsidR="00BE0A56" w:rsidRPr="004676F5">
        <w:rPr>
          <w:b/>
          <w:lang w:val="de-DE"/>
        </w:rPr>
        <w:t>Art. </w:t>
      </w:r>
      <w:r w:rsidRPr="004676F5">
        <w:rPr>
          <w:b/>
          <w:lang w:val="de-DE"/>
        </w:rPr>
        <w:t>VI.52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Mit der Ausübung des Widerrufsrechts enden die Verpflichtungen der Vertragsparteien:</w:t>
      </w:r>
    </w:p>
    <w:p w14:paraId="59D96CCC" w14:textId="77777777" w:rsidR="00626208" w:rsidRPr="004676F5" w:rsidRDefault="00626208" w:rsidP="00626208">
      <w:pPr>
        <w:jc w:val="both"/>
        <w:rPr>
          <w:lang w:val="de-DE"/>
        </w:rPr>
      </w:pPr>
    </w:p>
    <w:p w14:paraId="052FB165" w14:textId="77777777" w:rsidR="00626208" w:rsidRPr="004676F5" w:rsidRDefault="00626208" w:rsidP="00626208">
      <w:pPr>
        <w:jc w:val="both"/>
        <w:rPr>
          <w:lang w:val="de-DE"/>
        </w:rPr>
      </w:pPr>
      <w:r w:rsidRPr="004676F5">
        <w:rPr>
          <w:lang w:val="de-DE"/>
        </w:rPr>
        <w:tab/>
        <w:t>1. zur Erfüllung des Fernabsatzvertrags oder</w:t>
      </w:r>
    </w:p>
    <w:p w14:paraId="11B516A8" w14:textId="77777777" w:rsidR="00626208" w:rsidRPr="004676F5" w:rsidRDefault="00626208" w:rsidP="00626208">
      <w:pPr>
        <w:jc w:val="both"/>
        <w:rPr>
          <w:lang w:val="de-DE"/>
        </w:rPr>
      </w:pPr>
    </w:p>
    <w:p w14:paraId="6B32EFE3" w14:textId="77777777" w:rsidR="00626208" w:rsidRPr="004676F5" w:rsidRDefault="00626208" w:rsidP="00626208">
      <w:pPr>
        <w:jc w:val="both"/>
        <w:rPr>
          <w:lang w:val="de-DE"/>
        </w:rPr>
      </w:pPr>
      <w:r w:rsidRPr="004676F5">
        <w:rPr>
          <w:lang w:val="de-DE"/>
        </w:rPr>
        <w:tab/>
        <w:t>2. zum Abschluss des Fernabsatzvertrags, sofern der Verbraucher dazu ein Angebot abgegeben hat.</w:t>
      </w:r>
    </w:p>
    <w:p w14:paraId="1C29D4E6" w14:textId="77777777" w:rsidR="00626208" w:rsidRPr="004676F5" w:rsidRDefault="00626208" w:rsidP="00626208">
      <w:pPr>
        <w:jc w:val="both"/>
        <w:rPr>
          <w:lang w:val="de-DE"/>
        </w:rPr>
      </w:pPr>
    </w:p>
    <w:p w14:paraId="3CBF5363" w14:textId="77777777" w:rsidR="00E30873" w:rsidRPr="004676F5" w:rsidRDefault="00E30873">
      <w:pPr>
        <w:rPr>
          <w:lang w:val="de-DE"/>
        </w:rPr>
      </w:pPr>
      <w:r w:rsidRPr="004676F5">
        <w:rPr>
          <w:lang w:val="de-DE"/>
        </w:rPr>
        <w:br w:type="page"/>
      </w:r>
    </w:p>
    <w:p w14:paraId="0BD931BB" w14:textId="6927F3C2" w:rsidR="00626208" w:rsidRPr="004676F5" w:rsidRDefault="00626208" w:rsidP="00626208">
      <w:pPr>
        <w:jc w:val="both"/>
        <w:rPr>
          <w:lang w:val="de-DE"/>
        </w:rPr>
      </w:pPr>
      <w:r w:rsidRPr="004676F5">
        <w:rPr>
          <w:lang w:val="de-DE"/>
        </w:rPr>
        <w:lastRenderedPageBreak/>
        <w:tab/>
        <w:t>§ 2 </w:t>
      </w:r>
      <w:r w:rsidR="005B7A5C" w:rsidRPr="004676F5">
        <w:rPr>
          <w:lang w:val="de-DE"/>
        </w:rPr>
        <w:t>- </w:t>
      </w:r>
      <w:r w:rsidR="00D27717" w:rsidRPr="004676F5">
        <w:rPr>
          <w:lang w:val="de-DE"/>
        </w:rPr>
        <w:t>[Unbeschadet des Artikels VII.92 Absatz 1 und 2]</w:t>
      </w:r>
      <w:r w:rsidRPr="004676F5">
        <w:rPr>
          <w:lang w:val="de-DE"/>
        </w:rPr>
        <w:t xml:space="preserve"> werden, wenn der Verbraucher sein Recht auf Widerruf eines Fernabsatzvertrags gemäß den Artikeln VI.47 bis VI.52 § 1 ausübt, auch alle akzessorischen Verträge automatisch beendet, ohne dass dem Verbraucher dafür Kosten entstehen dürfen, außer solchen, die gemäß Artikel VI.50 § 2 und Artikel VI.51 vorgesehen sind.</w:t>
      </w:r>
    </w:p>
    <w:p w14:paraId="265592ED" w14:textId="77777777" w:rsidR="00626208" w:rsidRPr="004676F5" w:rsidRDefault="00626208" w:rsidP="00626208">
      <w:pPr>
        <w:jc w:val="both"/>
        <w:rPr>
          <w:lang w:val="de-DE"/>
        </w:rPr>
      </w:pPr>
    </w:p>
    <w:p w14:paraId="3BF24638" w14:textId="77B823AE" w:rsidR="00D27717" w:rsidRPr="004676F5" w:rsidRDefault="00D27717" w:rsidP="00626208">
      <w:pPr>
        <w:jc w:val="both"/>
        <w:rPr>
          <w:i/>
          <w:lang w:val="de-DE"/>
        </w:rPr>
      </w:pPr>
      <w:r w:rsidRPr="004676F5">
        <w:rPr>
          <w:i/>
          <w:lang w:val="de-DE"/>
        </w:rPr>
        <w:t>[</w:t>
      </w:r>
      <w:r w:rsidR="00BE0A56" w:rsidRPr="004676F5">
        <w:rPr>
          <w:i/>
          <w:lang w:val="de-DE"/>
        </w:rPr>
        <w:t>Art. </w:t>
      </w:r>
      <w:r w:rsidRPr="004676F5">
        <w:rPr>
          <w:i/>
          <w:lang w:val="de-DE"/>
        </w:rPr>
        <w:t xml:space="preserve">VI.52 § 2 abgeändert durch </w:t>
      </w:r>
      <w:r w:rsidR="00BE0A56" w:rsidRPr="004676F5">
        <w:rPr>
          <w:i/>
          <w:lang w:val="de-DE"/>
        </w:rPr>
        <w:t>Art. </w:t>
      </w:r>
      <w:r w:rsidRPr="004676F5">
        <w:rPr>
          <w:i/>
          <w:lang w:val="de-DE"/>
        </w:rPr>
        <w:t>22 des G. vom 19. April 2014</w:t>
      </w:r>
      <w:r w:rsidR="00E84348" w:rsidRPr="004676F5">
        <w:rPr>
          <w:i/>
          <w:lang w:val="de-DE"/>
        </w:rPr>
        <w:t> (I)</w:t>
      </w:r>
      <w:r w:rsidRPr="004676F5">
        <w:rPr>
          <w:i/>
          <w:lang w:val="de-DE"/>
        </w:rPr>
        <w:t xml:space="preserve"> (B.S. vom 28. Mai 2014)]</w:t>
      </w:r>
    </w:p>
    <w:p w14:paraId="587CAE0E" w14:textId="77777777" w:rsidR="00D27717" w:rsidRPr="004676F5" w:rsidRDefault="00D27717" w:rsidP="00626208">
      <w:pPr>
        <w:jc w:val="both"/>
        <w:rPr>
          <w:i/>
          <w:lang w:val="de-DE"/>
        </w:rPr>
      </w:pPr>
    </w:p>
    <w:p w14:paraId="422E3583" w14:textId="77777777" w:rsidR="00626208" w:rsidRPr="004676F5" w:rsidRDefault="00626208" w:rsidP="00626208">
      <w:pPr>
        <w:jc w:val="both"/>
        <w:rPr>
          <w:lang w:val="de-DE"/>
        </w:rPr>
      </w:pPr>
    </w:p>
    <w:p w14:paraId="01C7C80C" w14:textId="3CA6AAFE"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VI.53</w:t>
      </w:r>
      <w:r w:rsidRPr="004676F5">
        <w:rPr>
          <w:lang w:val="de-DE"/>
        </w:rPr>
        <w:t> </w:t>
      </w:r>
      <w:r w:rsidR="005B7A5C" w:rsidRPr="004676F5">
        <w:rPr>
          <w:lang w:val="de-DE"/>
        </w:rPr>
        <w:t>- </w:t>
      </w:r>
      <w:r w:rsidRPr="004676F5">
        <w:rPr>
          <w:lang w:val="de-DE"/>
        </w:rPr>
        <w:t>Der Verbraucher kann das in Artikel VI.47 vorgesehene Widerrufsrecht nicht ausüben, wenn:</w:t>
      </w:r>
    </w:p>
    <w:p w14:paraId="257C1845" w14:textId="77777777" w:rsidR="00B2592A" w:rsidRPr="004676F5" w:rsidRDefault="00B2592A" w:rsidP="00B2592A">
      <w:pPr>
        <w:jc w:val="both"/>
        <w:rPr>
          <w:lang w:val="de-DE"/>
        </w:rPr>
      </w:pPr>
    </w:p>
    <w:p w14:paraId="2A1AB4E2" w14:textId="5EDD7FE1" w:rsidR="00B2592A" w:rsidRPr="004676F5" w:rsidRDefault="00B2592A" w:rsidP="00B2592A">
      <w:pPr>
        <w:ind w:firstLine="708"/>
        <w:jc w:val="both"/>
        <w:rPr>
          <w:lang w:val="de-DE"/>
        </w:rPr>
      </w:pPr>
      <w:r w:rsidRPr="004676F5">
        <w:rPr>
          <w:lang w:val="de-DE"/>
        </w:rPr>
        <w:t>1.</w:t>
      </w:r>
      <w:r w:rsidR="00825F82">
        <w:rPr>
          <w:lang w:val="de-DE"/>
        </w:rPr>
        <w:t> </w:t>
      </w:r>
      <w:r w:rsidRPr="004676F5">
        <w:rPr>
          <w:lang w:val="de-DE"/>
        </w:rPr>
        <w:t>[bei Dienstleistungsverträgen die Dienstleistung vollständig erbracht worden ist, sofern der Vertrag den Verbraucher zur Zahlung verpflichtet, nur wenn das Unternehmen die Erbringung mit der vorherigen ausdrücklichen Zustimmung und Bestätigung des Verbrauchers, dass er zur Kenntnis genommen hat, dass er sein Widerrufsrecht mit vollständiger Vertragserfüllung durch das Unternehmen verliert, begonnen hatte,]</w:t>
      </w:r>
    </w:p>
    <w:p w14:paraId="2669CB9D" w14:textId="77777777" w:rsidR="00B2592A" w:rsidRPr="004676F5" w:rsidRDefault="00B2592A" w:rsidP="00B2592A">
      <w:pPr>
        <w:rPr>
          <w:lang w:val="de-DE"/>
        </w:rPr>
      </w:pPr>
    </w:p>
    <w:p w14:paraId="0CCA44FF" w14:textId="77777777" w:rsidR="00626208" w:rsidRPr="004676F5" w:rsidRDefault="00626208" w:rsidP="00626208">
      <w:pPr>
        <w:jc w:val="both"/>
        <w:rPr>
          <w:lang w:val="de-DE"/>
        </w:rPr>
      </w:pPr>
      <w:r w:rsidRPr="004676F5">
        <w:rPr>
          <w:lang w:val="de-DE"/>
        </w:rPr>
        <w:tab/>
        <w:t>2. Waren oder Dienstleistungen geliefert werden, deren Preis von Schwankungen auf dem Finanzmarkt abhängt, auf die das Unternehmen keinen Einfluss hat und die innerhalb der Widerrufsfrist auftreten können,</w:t>
      </w:r>
    </w:p>
    <w:p w14:paraId="46C5ADC6" w14:textId="77777777" w:rsidR="00626208" w:rsidRPr="004676F5" w:rsidRDefault="00626208" w:rsidP="00626208">
      <w:pPr>
        <w:jc w:val="both"/>
        <w:rPr>
          <w:lang w:val="de-DE"/>
        </w:rPr>
      </w:pPr>
    </w:p>
    <w:p w14:paraId="28A8552E" w14:textId="77777777" w:rsidR="00626208" w:rsidRPr="004676F5" w:rsidRDefault="00626208" w:rsidP="00626208">
      <w:pPr>
        <w:jc w:val="both"/>
        <w:rPr>
          <w:lang w:val="de-DE"/>
        </w:rPr>
      </w:pPr>
      <w:r w:rsidRPr="004676F5">
        <w:rPr>
          <w:lang w:val="de-DE"/>
        </w:rPr>
        <w:tab/>
        <w:t>3. Waren geliefert werden, die nach Verbraucherspezifikation angefertigt werden oder eindeutig auf die persönlichen Bedürfnisse zugeschnitten sind,</w:t>
      </w:r>
    </w:p>
    <w:p w14:paraId="5CD88DCA" w14:textId="77777777" w:rsidR="00626208" w:rsidRPr="004676F5" w:rsidRDefault="00626208" w:rsidP="00626208">
      <w:pPr>
        <w:jc w:val="both"/>
        <w:rPr>
          <w:lang w:val="de-DE"/>
        </w:rPr>
      </w:pPr>
    </w:p>
    <w:p w14:paraId="7AC4748B" w14:textId="77777777" w:rsidR="00626208" w:rsidRPr="004676F5" w:rsidRDefault="00626208" w:rsidP="00626208">
      <w:pPr>
        <w:jc w:val="both"/>
        <w:rPr>
          <w:lang w:val="de-DE"/>
        </w:rPr>
      </w:pPr>
      <w:r w:rsidRPr="004676F5">
        <w:rPr>
          <w:lang w:val="de-DE"/>
        </w:rPr>
        <w:tab/>
        <w:t>4. Waren geliefert werden, die schnell verderben können oder deren Verfallsdatum schnell überschritten würde,</w:t>
      </w:r>
    </w:p>
    <w:p w14:paraId="5DB7E37E" w14:textId="77777777" w:rsidR="00626208" w:rsidRPr="004676F5" w:rsidRDefault="00626208" w:rsidP="00626208">
      <w:pPr>
        <w:jc w:val="both"/>
        <w:rPr>
          <w:lang w:val="de-DE"/>
        </w:rPr>
      </w:pPr>
    </w:p>
    <w:p w14:paraId="729F414C" w14:textId="77777777" w:rsidR="00626208" w:rsidRPr="004676F5" w:rsidRDefault="00626208" w:rsidP="00626208">
      <w:pPr>
        <w:jc w:val="both"/>
        <w:rPr>
          <w:lang w:val="de-DE"/>
        </w:rPr>
      </w:pPr>
      <w:r w:rsidRPr="004676F5">
        <w:rPr>
          <w:lang w:val="de-DE"/>
        </w:rPr>
        <w:tab/>
        <w:t>5. versiegelte Waren geliefert werden, die aus Gründen des Gesundheitsschutzes oder aus Hygienegründen nicht zur Rückgabe geeignet sind und deren Versiegelung nach der Lieferung vom Verbraucher entfernt wurde,</w:t>
      </w:r>
    </w:p>
    <w:p w14:paraId="6298E95B" w14:textId="77777777" w:rsidR="00626208" w:rsidRPr="004676F5" w:rsidRDefault="00626208" w:rsidP="00626208">
      <w:pPr>
        <w:jc w:val="both"/>
        <w:rPr>
          <w:lang w:val="de-DE"/>
        </w:rPr>
      </w:pPr>
    </w:p>
    <w:p w14:paraId="1F3D45DE" w14:textId="77777777" w:rsidR="00626208" w:rsidRPr="004676F5" w:rsidRDefault="00626208" w:rsidP="00626208">
      <w:pPr>
        <w:jc w:val="both"/>
        <w:rPr>
          <w:lang w:val="de-DE"/>
        </w:rPr>
      </w:pPr>
      <w:r w:rsidRPr="004676F5">
        <w:rPr>
          <w:lang w:val="de-DE"/>
        </w:rPr>
        <w:tab/>
        <w:t>6. Waren geliefert werden, die nach der Lieferung aufgrund ihrer Beschaffenheit untrennbar mit anderen Gütern vermischt wurden,</w:t>
      </w:r>
    </w:p>
    <w:p w14:paraId="0CAE0827" w14:textId="77777777" w:rsidR="00626208" w:rsidRPr="004676F5" w:rsidRDefault="00626208" w:rsidP="00626208">
      <w:pPr>
        <w:jc w:val="both"/>
        <w:rPr>
          <w:lang w:val="de-DE"/>
        </w:rPr>
      </w:pPr>
    </w:p>
    <w:p w14:paraId="0B7B83FB" w14:textId="77777777" w:rsidR="00626208" w:rsidRPr="004676F5" w:rsidRDefault="00626208" w:rsidP="00626208">
      <w:pPr>
        <w:jc w:val="both"/>
        <w:rPr>
          <w:lang w:val="de-DE"/>
        </w:rPr>
      </w:pPr>
      <w:r w:rsidRPr="004676F5">
        <w:rPr>
          <w:lang w:val="de-DE"/>
        </w:rPr>
        <w:tab/>
        <w:t>7. alkoholische Getränke geliefert werden, deren Preis beim Abschluss des Kaufvertrags vereinbart wurde, deren Lieferung aber erst nach dreißig Tagen erfolgen kann und deren aktueller Wert von Schwankungen auf dem Markt abhängt, auf die das Unternehmen keinen Einfluss hat,</w:t>
      </w:r>
    </w:p>
    <w:p w14:paraId="1C82F66C" w14:textId="77777777" w:rsidR="00626208" w:rsidRPr="004676F5" w:rsidRDefault="00626208" w:rsidP="00626208">
      <w:pPr>
        <w:jc w:val="both"/>
        <w:rPr>
          <w:lang w:val="de-DE"/>
        </w:rPr>
      </w:pPr>
    </w:p>
    <w:p w14:paraId="67345696" w14:textId="0AEECE9E" w:rsidR="00626208" w:rsidRPr="004676F5" w:rsidRDefault="00626208" w:rsidP="00626208">
      <w:pPr>
        <w:jc w:val="both"/>
        <w:rPr>
          <w:lang w:val="de-DE"/>
        </w:rPr>
      </w:pPr>
      <w:r w:rsidRPr="004676F5">
        <w:rPr>
          <w:lang w:val="de-DE"/>
        </w:rPr>
        <w:tab/>
        <w:t>8. es sich um Verträge handelt, bei denen der Verbraucher das Unternehmen ausdrücklich zu einem Besuch aufgefordert hat, um dringende Reparatur</w:t>
      </w:r>
      <w:r w:rsidR="005B7A5C" w:rsidRPr="004676F5">
        <w:rPr>
          <w:lang w:val="de-DE"/>
        </w:rPr>
        <w:t>- </w:t>
      </w:r>
      <w:r w:rsidRPr="004676F5">
        <w:rPr>
          <w:lang w:val="de-DE"/>
        </w:rPr>
        <w:t>oder Instand</w:t>
      </w:r>
      <w:r w:rsidRPr="004676F5">
        <w:rPr>
          <w:lang w:val="de-DE"/>
        </w:rPr>
        <w:softHyphen/>
        <w:t>haltungsarbeiten vorzunehmen; erbringt das Unternehmen bei einem solchen Besuch weitere Dienstleistungen, die der Verbraucher nicht ausdrücklich verlangt hat, oder liefert es Waren, die bei der Instandhaltung oder Reparatur nicht unbedingt als Ersatzteile benötigt werden, so steht dem Verbraucher in Bezug auf diese zusätzlichen Dienstleistungen oder Waren ein Widerrufsrecht zu,</w:t>
      </w:r>
    </w:p>
    <w:p w14:paraId="5DEAB206" w14:textId="77777777" w:rsidR="00626208" w:rsidRPr="004676F5" w:rsidRDefault="00626208" w:rsidP="00626208">
      <w:pPr>
        <w:jc w:val="both"/>
        <w:rPr>
          <w:lang w:val="de-DE"/>
        </w:rPr>
      </w:pPr>
    </w:p>
    <w:p w14:paraId="0FBC81D9" w14:textId="730FE2FC" w:rsidR="00626208" w:rsidRPr="004676F5" w:rsidRDefault="00626208" w:rsidP="00626208">
      <w:pPr>
        <w:jc w:val="both"/>
        <w:rPr>
          <w:lang w:val="de-DE"/>
        </w:rPr>
      </w:pPr>
      <w:r w:rsidRPr="004676F5">
        <w:rPr>
          <w:lang w:val="de-DE"/>
        </w:rPr>
        <w:tab/>
        <w:t>9. Ton</w:t>
      </w:r>
      <w:r w:rsidR="005B7A5C" w:rsidRPr="004676F5">
        <w:rPr>
          <w:lang w:val="de-DE"/>
        </w:rPr>
        <w:t>- </w:t>
      </w:r>
      <w:r w:rsidRPr="004676F5">
        <w:rPr>
          <w:lang w:val="de-DE"/>
        </w:rPr>
        <w:t>oder Videoaufnahmen oder Computersoftware in einer versiegelten Packung geliefert wurden und die Versiegelung nach der Lieferung entfernt wurde,</w:t>
      </w:r>
    </w:p>
    <w:p w14:paraId="4DCE2A5D" w14:textId="77777777" w:rsidR="00626208" w:rsidRPr="004676F5" w:rsidRDefault="00626208" w:rsidP="00626208">
      <w:pPr>
        <w:jc w:val="both"/>
        <w:rPr>
          <w:lang w:val="de-DE"/>
        </w:rPr>
      </w:pPr>
    </w:p>
    <w:p w14:paraId="793C0507" w14:textId="77777777" w:rsidR="00626208" w:rsidRPr="004676F5" w:rsidRDefault="00626208" w:rsidP="00626208">
      <w:pPr>
        <w:jc w:val="both"/>
        <w:rPr>
          <w:lang w:val="de-DE"/>
        </w:rPr>
      </w:pPr>
      <w:r w:rsidRPr="004676F5">
        <w:rPr>
          <w:lang w:val="de-DE"/>
        </w:rPr>
        <w:tab/>
        <w:t>10. Zeitungen, Zeitschriften oder Illustrierte geliefert werden, mit Ausnahme von Abonnement-Verträgen über die Lieferung solcher Publikationen,</w:t>
      </w:r>
    </w:p>
    <w:p w14:paraId="0E99D62E" w14:textId="77777777" w:rsidR="00626208" w:rsidRPr="004676F5" w:rsidRDefault="00626208" w:rsidP="00626208">
      <w:pPr>
        <w:jc w:val="both"/>
        <w:rPr>
          <w:lang w:val="de-DE"/>
        </w:rPr>
      </w:pPr>
    </w:p>
    <w:p w14:paraId="3EBA6745" w14:textId="77777777" w:rsidR="00626208" w:rsidRPr="004676F5" w:rsidRDefault="00626208" w:rsidP="00626208">
      <w:pPr>
        <w:jc w:val="both"/>
        <w:rPr>
          <w:lang w:val="de-DE"/>
        </w:rPr>
      </w:pPr>
      <w:r w:rsidRPr="004676F5">
        <w:rPr>
          <w:lang w:val="de-DE"/>
        </w:rPr>
        <w:tab/>
        <w:t>11. Verträge auf einer öffentlichen Versteigerung geschlossen werden,</w:t>
      </w:r>
    </w:p>
    <w:p w14:paraId="1018A3A0" w14:textId="77777777" w:rsidR="00626208" w:rsidRPr="004676F5" w:rsidRDefault="00626208" w:rsidP="00626208">
      <w:pPr>
        <w:jc w:val="both"/>
        <w:rPr>
          <w:lang w:val="de-DE"/>
        </w:rPr>
      </w:pPr>
    </w:p>
    <w:p w14:paraId="1C49F7A3" w14:textId="77777777" w:rsidR="00626208" w:rsidRPr="004676F5" w:rsidRDefault="00626208" w:rsidP="00626208">
      <w:pPr>
        <w:jc w:val="both"/>
        <w:rPr>
          <w:lang w:val="de-DE"/>
        </w:rPr>
      </w:pPr>
      <w:r w:rsidRPr="004676F5">
        <w:rPr>
          <w:lang w:val="de-DE"/>
        </w:rPr>
        <w:tab/>
        <w:t xml:space="preserve">12. Dienstleistungen in den Bereichen Beherbergung zu anderen Zwecken als zu Wohnzwecken, </w:t>
      </w:r>
      <w:r w:rsidR="005B40CF" w:rsidRPr="004676F5">
        <w:rPr>
          <w:lang w:val="de-DE"/>
        </w:rPr>
        <w:t>[Beförderung]</w:t>
      </w:r>
      <w:r w:rsidRPr="004676F5">
        <w:rPr>
          <w:lang w:val="de-DE"/>
        </w:rPr>
        <w:t>, Mietwagen, Lieferung von Speisen und Getränken sowie Dienstleistungen im Zusammenhang mit Freizeitbetätigungen erbracht werden und der Vertrag für die Erbringung einen spezifischen Termin oder Zeitraum vorsieht,</w:t>
      </w:r>
    </w:p>
    <w:p w14:paraId="5CADD8C4" w14:textId="77777777" w:rsidR="00626208" w:rsidRPr="004676F5" w:rsidRDefault="00626208" w:rsidP="00626208">
      <w:pPr>
        <w:jc w:val="both"/>
        <w:rPr>
          <w:lang w:val="de-DE"/>
        </w:rPr>
      </w:pPr>
    </w:p>
    <w:p w14:paraId="45881D45" w14:textId="77777777" w:rsidR="00B2592A" w:rsidRPr="004676F5" w:rsidRDefault="00626208" w:rsidP="00B2592A">
      <w:pPr>
        <w:jc w:val="both"/>
        <w:rPr>
          <w:lang w:val="de-DE"/>
        </w:rPr>
      </w:pPr>
      <w:r w:rsidRPr="004676F5">
        <w:rPr>
          <w:lang w:val="de-DE"/>
        </w:rPr>
        <w:tab/>
        <w:t>13. </w:t>
      </w:r>
      <w:r w:rsidR="00B2592A" w:rsidRPr="004676F5">
        <w:rPr>
          <w:lang w:val="de-DE"/>
        </w:rPr>
        <w:t>[bei Verträgen über die Bereitstellung digitaler Inhalte, die nicht auf einem körperlichen Datenträger geliefert werden, die Vertragserfüllung begonnen hat und, sofern der Vertrag den Verbraucher zur Zahlung verpflichtet, wenn:</w:t>
      </w:r>
    </w:p>
    <w:p w14:paraId="11D7CB84" w14:textId="77777777" w:rsidR="00B2592A" w:rsidRPr="004676F5" w:rsidRDefault="00B2592A" w:rsidP="00B2592A">
      <w:pPr>
        <w:jc w:val="both"/>
        <w:rPr>
          <w:lang w:val="de-DE"/>
        </w:rPr>
      </w:pPr>
    </w:p>
    <w:p w14:paraId="1EA74C90" w14:textId="77777777" w:rsidR="00B2592A" w:rsidRPr="004676F5" w:rsidRDefault="00B2592A" w:rsidP="00B2592A">
      <w:pPr>
        <w:jc w:val="both"/>
        <w:rPr>
          <w:lang w:val="de-DE"/>
        </w:rPr>
      </w:pPr>
      <w:r w:rsidRPr="004676F5">
        <w:rPr>
          <w:lang w:val="de-DE"/>
        </w:rPr>
        <w:tab/>
      </w:r>
      <w:r w:rsidRPr="004676F5">
        <w:rPr>
          <w:i/>
          <w:lang w:val="de-DE"/>
        </w:rPr>
        <w:t>a) </w:t>
      </w:r>
      <w:r w:rsidRPr="004676F5">
        <w:rPr>
          <w:lang w:val="de-DE"/>
        </w:rPr>
        <w:t>der Verbraucher dem Beginn der Vertragserfüllung während der Widerrufsfrist ausdrücklich zugestimmt hat,</w:t>
      </w:r>
    </w:p>
    <w:p w14:paraId="13310057" w14:textId="77777777" w:rsidR="00B2592A" w:rsidRPr="004676F5" w:rsidRDefault="00B2592A" w:rsidP="00B2592A">
      <w:pPr>
        <w:jc w:val="both"/>
        <w:rPr>
          <w:lang w:val="de-DE"/>
        </w:rPr>
      </w:pPr>
    </w:p>
    <w:p w14:paraId="59E6BCC8" w14:textId="77777777" w:rsidR="00B2592A" w:rsidRPr="004676F5" w:rsidRDefault="00B2592A" w:rsidP="00B2592A">
      <w:pPr>
        <w:jc w:val="both"/>
        <w:rPr>
          <w:lang w:val="de-DE"/>
        </w:rPr>
      </w:pPr>
      <w:r w:rsidRPr="004676F5">
        <w:rPr>
          <w:lang w:val="de-DE"/>
        </w:rPr>
        <w:tab/>
      </w:r>
      <w:r w:rsidRPr="004676F5">
        <w:rPr>
          <w:i/>
          <w:lang w:val="de-DE"/>
        </w:rPr>
        <w:t>b)</w:t>
      </w:r>
      <w:r w:rsidRPr="004676F5">
        <w:rPr>
          <w:lang w:val="de-DE"/>
        </w:rPr>
        <w:t> der Verbraucher bestätigt hat, dass er zur Kenntnis genommen hat, dass er hierdurch sein Widerrufsrecht verliert, und</w:t>
      </w:r>
    </w:p>
    <w:p w14:paraId="03E520D2" w14:textId="77777777" w:rsidR="00B2592A" w:rsidRPr="004676F5" w:rsidRDefault="00B2592A" w:rsidP="00B2592A">
      <w:pPr>
        <w:jc w:val="both"/>
        <w:rPr>
          <w:lang w:val="de-DE"/>
        </w:rPr>
      </w:pPr>
    </w:p>
    <w:p w14:paraId="1461CC05" w14:textId="0828DBCE" w:rsidR="00626208" w:rsidRPr="004676F5" w:rsidRDefault="00B2592A" w:rsidP="00B2592A">
      <w:pPr>
        <w:jc w:val="both"/>
        <w:rPr>
          <w:lang w:val="de-DE"/>
        </w:rPr>
      </w:pPr>
      <w:r w:rsidRPr="004676F5">
        <w:rPr>
          <w:lang w:val="de-DE"/>
        </w:rPr>
        <w:tab/>
      </w:r>
      <w:r w:rsidRPr="004676F5">
        <w:rPr>
          <w:i/>
          <w:lang w:val="de-DE"/>
        </w:rPr>
        <w:t>c)</w:t>
      </w:r>
      <w:r w:rsidRPr="004676F5">
        <w:rPr>
          <w:lang w:val="de-DE"/>
        </w:rPr>
        <w:t> das Unternehmen eine Bestätigung gemäß Artikel VI.46 § 7 zur Verfügung gestellt hat,]</w:t>
      </w:r>
    </w:p>
    <w:p w14:paraId="06DC961D" w14:textId="77777777" w:rsidR="00626208" w:rsidRPr="004676F5" w:rsidRDefault="00626208" w:rsidP="00626208">
      <w:pPr>
        <w:jc w:val="both"/>
        <w:rPr>
          <w:lang w:val="de-DE"/>
        </w:rPr>
      </w:pPr>
    </w:p>
    <w:p w14:paraId="57779626" w14:textId="32919B16" w:rsidR="00626208" w:rsidRPr="004676F5" w:rsidRDefault="00626208" w:rsidP="00626208">
      <w:pPr>
        <w:jc w:val="both"/>
        <w:rPr>
          <w:lang w:val="de-DE"/>
        </w:rPr>
      </w:pPr>
      <w:r w:rsidRPr="004676F5">
        <w:rPr>
          <w:lang w:val="de-DE"/>
        </w:rPr>
        <w:tab/>
        <w:t>14. Verträgen zur Erbringung von Wett</w:t>
      </w:r>
      <w:r w:rsidR="005B7A5C" w:rsidRPr="004676F5">
        <w:rPr>
          <w:lang w:val="de-DE"/>
        </w:rPr>
        <w:t>- </w:t>
      </w:r>
      <w:r w:rsidRPr="004676F5">
        <w:rPr>
          <w:lang w:val="de-DE"/>
        </w:rPr>
        <w:t>und Lotterie-Dienstleistungen.</w:t>
      </w:r>
    </w:p>
    <w:p w14:paraId="21C811D0" w14:textId="77777777" w:rsidR="00626208" w:rsidRPr="004676F5" w:rsidRDefault="00626208" w:rsidP="00626208">
      <w:pPr>
        <w:jc w:val="both"/>
        <w:rPr>
          <w:lang w:val="de-DE"/>
        </w:rPr>
      </w:pPr>
    </w:p>
    <w:p w14:paraId="13602285" w14:textId="5169A54F" w:rsidR="005B40CF" w:rsidRPr="004676F5" w:rsidRDefault="005B40CF" w:rsidP="00626208">
      <w:pPr>
        <w:jc w:val="both"/>
        <w:rPr>
          <w:i/>
          <w:lang w:val="de-DE"/>
        </w:rPr>
      </w:pPr>
      <w:r w:rsidRPr="004676F5">
        <w:rPr>
          <w:i/>
          <w:lang w:val="de-DE"/>
        </w:rPr>
        <w:t>[</w:t>
      </w:r>
      <w:r w:rsidR="00BE0A56" w:rsidRPr="004676F5">
        <w:rPr>
          <w:i/>
          <w:lang w:val="de-DE"/>
        </w:rPr>
        <w:t>Art. </w:t>
      </w:r>
      <w:r w:rsidRPr="004676F5">
        <w:rPr>
          <w:i/>
          <w:lang w:val="de-DE"/>
        </w:rPr>
        <w:t xml:space="preserve">VI.53 </w:t>
      </w:r>
      <w:r w:rsidR="00B2592A" w:rsidRPr="004676F5">
        <w:rPr>
          <w:i/>
          <w:lang w:val="de-DE"/>
        </w:rPr>
        <w:t>einziger Absatz Nr. 1 ersetzt durch Art. 21 Nr. 1</w:t>
      </w:r>
      <w:r w:rsidR="00B2592A" w:rsidRPr="004676F5">
        <w:rPr>
          <w:i/>
          <w:iCs/>
          <w:lang w:val="de-DE"/>
        </w:rPr>
        <w:t xml:space="preserve"> des G. vom 8. Mai 2022 (B.S. vom 2. Juni 2022); </w:t>
      </w:r>
      <w:r w:rsidRPr="004676F5">
        <w:rPr>
          <w:i/>
          <w:lang w:val="de-DE"/>
        </w:rPr>
        <w:t>einziger Absatz Nr.</w:t>
      </w:r>
      <w:r w:rsidR="00B2592A" w:rsidRPr="004676F5">
        <w:rPr>
          <w:i/>
          <w:lang w:val="de-DE"/>
        </w:rPr>
        <w:t> 1</w:t>
      </w:r>
      <w:r w:rsidRPr="004676F5">
        <w:rPr>
          <w:i/>
          <w:lang w:val="de-DE"/>
        </w:rPr>
        <w:t xml:space="preserve">2 abgeändert durch </w:t>
      </w:r>
      <w:r w:rsidR="00BE0A56" w:rsidRPr="004676F5">
        <w:rPr>
          <w:i/>
          <w:lang w:val="de-DE"/>
        </w:rPr>
        <w:t>Art. </w:t>
      </w:r>
      <w:r w:rsidRPr="004676F5">
        <w:rPr>
          <w:i/>
          <w:lang w:val="de-DE"/>
        </w:rPr>
        <w:t>6 des G. vom 2. April 2014 (B.S. vom 28. April 2014)</w:t>
      </w:r>
      <w:r w:rsidR="00B2592A" w:rsidRPr="004676F5">
        <w:rPr>
          <w:i/>
          <w:lang w:val="de-DE"/>
        </w:rPr>
        <w:t>; einziger Absatz Nr. 13 ersetzt durch Art. 21 Nr. 2</w:t>
      </w:r>
      <w:r w:rsidR="00B2592A" w:rsidRPr="004676F5">
        <w:rPr>
          <w:i/>
          <w:iCs/>
          <w:lang w:val="de-DE"/>
        </w:rPr>
        <w:t xml:space="preserve"> des G. vom 8. Mai 2022 (B.S. vom 2. Juni 2022)</w:t>
      </w:r>
      <w:r w:rsidRPr="004676F5">
        <w:rPr>
          <w:i/>
          <w:lang w:val="de-DE"/>
        </w:rPr>
        <w:t>]</w:t>
      </w:r>
    </w:p>
    <w:p w14:paraId="6A190681" w14:textId="77777777" w:rsidR="005B40CF" w:rsidRPr="004676F5" w:rsidRDefault="005B40CF" w:rsidP="00626208">
      <w:pPr>
        <w:jc w:val="both"/>
        <w:rPr>
          <w:i/>
          <w:lang w:val="de-DE"/>
        </w:rPr>
      </w:pPr>
    </w:p>
    <w:p w14:paraId="5D1B79EC" w14:textId="77777777" w:rsidR="00626208" w:rsidRPr="004676F5" w:rsidRDefault="00626208" w:rsidP="00626208">
      <w:pPr>
        <w:jc w:val="both"/>
        <w:rPr>
          <w:lang w:val="de-DE"/>
        </w:rPr>
      </w:pPr>
    </w:p>
    <w:p w14:paraId="022144A1" w14:textId="2AAF2A91" w:rsidR="00626208" w:rsidRPr="004676F5" w:rsidRDefault="00626208" w:rsidP="00626208">
      <w:pPr>
        <w:jc w:val="center"/>
        <w:rPr>
          <w:lang w:val="de-DE"/>
        </w:rPr>
      </w:pPr>
      <w:r w:rsidRPr="004676F5">
        <w:rPr>
          <w:i/>
          <w:lang w:val="de-DE"/>
        </w:rPr>
        <w:t>Abschnitt 2</w:t>
      </w:r>
      <w:r w:rsidRPr="004676F5">
        <w:rPr>
          <w:lang w:val="de-DE"/>
        </w:rPr>
        <w:t> </w:t>
      </w:r>
      <w:r w:rsidR="005B7A5C" w:rsidRPr="004676F5">
        <w:rPr>
          <w:lang w:val="de-DE"/>
        </w:rPr>
        <w:t>- </w:t>
      </w:r>
      <w:r w:rsidRPr="004676F5">
        <w:rPr>
          <w:lang w:val="de-DE"/>
        </w:rPr>
        <w:t>Fernabsatzverträge, die sich auf Finanzdienstleistungen beziehen</w:t>
      </w:r>
    </w:p>
    <w:p w14:paraId="51528B8F" w14:textId="77777777" w:rsidR="00626208" w:rsidRPr="004676F5" w:rsidRDefault="00626208" w:rsidP="00626208">
      <w:pPr>
        <w:jc w:val="both"/>
        <w:rPr>
          <w:lang w:val="de-DE"/>
        </w:rPr>
      </w:pPr>
    </w:p>
    <w:p w14:paraId="66C0DA32" w14:textId="77777777" w:rsidR="00626208" w:rsidRPr="004676F5" w:rsidRDefault="00626208" w:rsidP="00626208">
      <w:pPr>
        <w:jc w:val="both"/>
        <w:rPr>
          <w:lang w:val="de-DE"/>
        </w:rPr>
      </w:pPr>
    </w:p>
    <w:p w14:paraId="0F7F9A91" w14:textId="41275AAC"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VI.54 </w:t>
      </w:r>
      <w:r w:rsidR="005B7A5C" w:rsidRPr="004676F5">
        <w:rPr>
          <w:lang w:val="de-DE"/>
        </w:rPr>
        <w:t>- </w:t>
      </w:r>
      <w:r w:rsidRPr="004676F5">
        <w:rPr>
          <w:lang w:val="de-DE"/>
        </w:rPr>
        <w:t>Bei Verträgen über Finanzdienstleistungen, die eine erstmalige Dienstleistungsvereinbarung mit daran anschließenden aufeinander folgenden Vorgängen oder einer daran anschließenden Reihe von Vorgängen der gleichen Art umfassen, die in einem zeitlichen Zusammenhang stehen, gelten die Bestimmungen des vorliegenden Abschnitts nur für die erste Vereinbarung.</w:t>
      </w:r>
    </w:p>
    <w:p w14:paraId="2D595D75" w14:textId="77777777" w:rsidR="00626208" w:rsidRPr="004676F5" w:rsidRDefault="00626208" w:rsidP="00626208">
      <w:pPr>
        <w:jc w:val="both"/>
        <w:rPr>
          <w:lang w:val="de-DE"/>
        </w:rPr>
      </w:pPr>
    </w:p>
    <w:p w14:paraId="58630E7F" w14:textId="77777777" w:rsidR="00626208" w:rsidRPr="004676F5" w:rsidRDefault="00626208" w:rsidP="00626208">
      <w:pPr>
        <w:jc w:val="both"/>
        <w:rPr>
          <w:lang w:val="de-DE"/>
        </w:rPr>
      </w:pPr>
      <w:r w:rsidRPr="004676F5">
        <w:rPr>
          <w:lang w:val="de-DE"/>
        </w:rPr>
        <w:tab/>
        <w:t>Falls es keine erstmalige Vereinbarung gibt, aber die aufeinander folgenden oder getrennten Vorgänge der gleichen Art, die in einem zeitlichen Zusammenhang stehen, zwischen den gleichen Vertragsparteien abgewickelt werden, gelten die Artikel VI.55 und VI.56 nur für den ersten Vorgang. Findet jedoch länger als ein Jahr kein Vorgang der gleichen Art mehr statt, so gilt der nächste Vorgang als der erste einer neuen Reihe von Vorgängen, so dass die Artikel VI.55 und VI.56 Anwendung finden.</w:t>
      </w:r>
    </w:p>
    <w:p w14:paraId="6B2FF26E" w14:textId="77777777" w:rsidR="00626208" w:rsidRPr="004676F5" w:rsidRDefault="00626208" w:rsidP="00626208">
      <w:pPr>
        <w:jc w:val="both"/>
        <w:rPr>
          <w:lang w:val="de-DE"/>
        </w:rPr>
      </w:pPr>
    </w:p>
    <w:p w14:paraId="29744D10" w14:textId="77777777" w:rsidR="00626208" w:rsidRPr="004676F5" w:rsidRDefault="00626208" w:rsidP="00626208">
      <w:pPr>
        <w:jc w:val="both"/>
        <w:rPr>
          <w:lang w:val="de-DE"/>
        </w:rPr>
      </w:pPr>
    </w:p>
    <w:p w14:paraId="6DBD3640" w14:textId="0222A991"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VI.55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Rechtzeitig bevor der Verbraucher durch einen Vertrag oder durch ein Angebot gebunden ist, sind ihm unzweideutig auf klare und verständliche Weise in einer </w:t>
      </w:r>
      <w:r w:rsidRPr="004676F5">
        <w:rPr>
          <w:lang w:val="de-DE"/>
        </w:rPr>
        <w:lastRenderedPageBreak/>
        <w:t>dem benutzten Fernkommunikationsmittel angepassten Weise mindestens folgende Informationen zur Verfügung zu stellen:</w:t>
      </w:r>
    </w:p>
    <w:p w14:paraId="0ED7347B" w14:textId="77777777" w:rsidR="00626208" w:rsidRPr="004676F5" w:rsidRDefault="00626208" w:rsidP="00626208">
      <w:pPr>
        <w:jc w:val="both"/>
        <w:rPr>
          <w:lang w:val="de-DE"/>
        </w:rPr>
      </w:pPr>
    </w:p>
    <w:p w14:paraId="710516A4" w14:textId="77777777" w:rsidR="00626208" w:rsidRPr="004676F5" w:rsidRDefault="00626208" w:rsidP="00626208">
      <w:pPr>
        <w:jc w:val="both"/>
        <w:rPr>
          <w:lang w:val="de-DE"/>
        </w:rPr>
      </w:pPr>
      <w:r w:rsidRPr="004676F5">
        <w:rPr>
          <w:lang w:val="de-DE"/>
        </w:rPr>
        <w:tab/>
        <w:t xml:space="preserve">1. betreffend den Anbieter </w:t>
      </w:r>
    </w:p>
    <w:p w14:paraId="6B42881D" w14:textId="77777777" w:rsidR="00626208" w:rsidRPr="004676F5" w:rsidRDefault="00626208" w:rsidP="00626208">
      <w:pPr>
        <w:jc w:val="both"/>
        <w:rPr>
          <w:lang w:val="de-DE"/>
        </w:rPr>
      </w:pPr>
    </w:p>
    <w:p w14:paraId="726CA829"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Identität einschließlich Unternehmensnummer und Hauptgeschäftstätigkeit des Anbieters, seine geographische Anschrift und jede andere geographische Anschrift, die für die Geschäftsbeziehung zwischen dem Verbraucher und dem Anbieter maßgeblich ist,</w:t>
      </w:r>
    </w:p>
    <w:p w14:paraId="4D7C0ED3" w14:textId="77777777" w:rsidR="00626208" w:rsidRPr="004676F5" w:rsidRDefault="00626208" w:rsidP="00626208">
      <w:pPr>
        <w:jc w:val="both"/>
        <w:rPr>
          <w:lang w:val="de-DE"/>
        </w:rPr>
      </w:pPr>
    </w:p>
    <w:p w14:paraId="2B519E14"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soweit der Anbieter in dem Mitgliedstaat, in dem der Verbraucher seinen Wohnsitz hat, vertreten ist, Identität dieses Vertreters und geographische Anschrift, die für die Geschäftsbeziehung zwischen dem Verbraucher und dem Vertreter maßgeblich ist,</w:t>
      </w:r>
    </w:p>
    <w:p w14:paraId="752A2E8B" w14:textId="77777777" w:rsidR="00626208" w:rsidRPr="004676F5" w:rsidRDefault="00626208" w:rsidP="00626208">
      <w:pPr>
        <w:jc w:val="both"/>
        <w:rPr>
          <w:lang w:val="de-DE"/>
        </w:rPr>
      </w:pPr>
    </w:p>
    <w:p w14:paraId="6E487D0F" w14:textId="77777777" w:rsidR="00626208" w:rsidRPr="004676F5" w:rsidRDefault="00626208" w:rsidP="00626208">
      <w:pPr>
        <w:jc w:val="both"/>
        <w:rPr>
          <w:lang w:val="de-DE"/>
        </w:rPr>
      </w:pPr>
      <w:r w:rsidRPr="004676F5">
        <w:rPr>
          <w:lang w:val="de-DE"/>
        </w:rPr>
        <w:tab/>
      </w:r>
      <w:r w:rsidRPr="004676F5">
        <w:rPr>
          <w:i/>
          <w:lang w:val="de-DE"/>
        </w:rPr>
        <w:t>c)</w:t>
      </w:r>
      <w:r w:rsidRPr="004676F5">
        <w:rPr>
          <w:lang w:val="de-DE"/>
        </w:rPr>
        <w:t> wenn der Verbraucher mit einem anderen Unternehmen als dem Anbieter zu tun hat, Identität dieses Unternehmens, Eigenschaft, in der es gegenüber dem Verbraucher tätig wird, und geographische Anschrift, die für die Geschäftsbeziehung zwischen dem Verbraucher und diesem Unternehmen maßgeblich ist,</w:t>
      </w:r>
    </w:p>
    <w:p w14:paraId="6DF29E4F" w14:textId="77777777" w:rsidR="00626208" w:rsidRPr="004676F5" w:rsidRDefault="00626208" w:rsidP="00626208">
      <w:pPr>
        <w:jc w:val="both"/>
        <w:rPr>
          <w:lang w:val="de-DE"/>
        </w:rPr>
      </w:pPr>
    </w:p>
    <w:p w14:paraId="0FB03244" w14:textId="77777777" w:rsidR="00626208" w:rsidRPr="004676F5" w:rsidRDefault="00626208" w:rsidP="00626208">
      <w:pPr>
        <w:jc w:val="both"/>
        <w:rPr>
          <w:lang w:val="de-DE"/>
        </w:rPr>
      </w:pPr>
      <w:r w:rsidRPr="004676F5">
        <w:rPr>
          <w:lang w:val="de-DE"/>
        </w:rPr>
        <w:tab/>
      </w:r>
      <w:r w:rsidRPr="004676F5">
        <w:rPr>
          <w:i/>
          <w:lang w:val="de-DE"/>
        </w:rPr>
        <w:t>d)</w:t>
      </w:r>
      <w:r w:rsidRPr="004676F5">
        <w:rPr>
          <w:lang w:val="de-DE"/>
        </w:rPr>
        <w:t> soweit für die Tätigkeit des Anbieters und/oder des anderen Unternehmens, mit dem der Verbraucher zu tun hat, eine Zulassung erforderlich ist, die Angaben zur zuständigen Aufsichtsbehörde,</w:t>
      </w:r>
    </w:p>
    <w:p w14:paraId="75850E07" w14:textId="77777777" w:rsidR="00626208" w:rsidRPr="004676F5" w:rsidRDefault="00626208" w:rsidP="00626208">
      <w:pPr>
        <w:jc w:val="both"/>
        <w:rPr>
          <w:lang w:val="de-DE"/>
        </w:rPr>
      </w:pPr>
    </w:p>
    <w:p w14:paraId="0C780CA5" w14:textId="77777777" w:rsidR="00626208" w:rsidRPr="004676F5" w:rsidRDefault="00626208" w:rsidP="00626208">
      <w:pPr>
        <w:jc w:val="both"/>
        <w:rPr>
          <w:lang w:val="de-DE"/>
        </w:rPr>
      </w:pPr>
      <w:r w:rsidRPr="004676F5">
        <w:rPr>
          <w:lang w:val="de-DE"/>
        </w:rPr>
        <w:tab/>
        <w:t>2. betreffend die Finanzdienstleistung</w:t>
      </w:r>
    </w:p>
    <w:p w14:paraId="7489D135" w14:textId="77777777" w:rsidR="00626208" w:rsidRPr="004676F5" w:rsidRDefault="00626208" w:rsidP="00626208">
      <w:pPr>
        <w:jc w:val="both"/>
        <w:rPr>
          <w:lang w:val="de-DE"/>
        </w:rPr>
      </w:pPr>
    </w:p>
    <w:p w14:paraId="662BD217"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Beschreibung der wesentlichen Merkmale der Finanzdienstleistung,</w:t>
      </w:r>
    </w:p>
    <w:p w14:paraId="3A27B5AA" w14:textId="77777777" w:rsidR="00626208" w:rsidRPr="004676F5" w:rsidRDefault="00626208" w:rsidP="00626208">
      <w:pPr>
        <w:jc w:val="both"/>
        <w:rPr>
          <w:lang w:val="de-DE"/>
        </w:rPr>
      </w:pPr>
    </w:p>
    <w:p w14:paraId="20711785"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Gesamtpreis, den der Verbraucher dem Unternehmen für die Finanzdienstleistung schuldet, einschließlich aller damit verbundenen Entgelte, Kosten und Abgaben sowie aller über das Unternehmen abgeführten Steuern und Gebühren, oder, wenn kein genauer Preis angegeben werden kann, Grundlage für seine Berechnung, die dem Verbraucher eine Überprüfung des Preises ermöglicht,</w:t>
      </w:r>
    </w:p>
    <w:p w14:paraId="2DA01E36" w14:textId="77777777" w:rsidR="00626208" w:rsidRPr="004676F5" w:rsidRDefault="00626208" w:rsidP="00626208">
      <w:pPr>
        <w:jc w:val="both"/>
        <w:rPr>
          <w:lang w:val="de-DE"/>
        </w:rPr>
      </w:pPr>
    </w:p>
    <w:p w14:paraId="72B3CFBC" w14:textId="77777777" w:rsidR="00626208" w:rsidRPr="004676F5" w:rsidRDefault="00626208" w:rsidP="00626208">
      <w:pPr>
        <w:jc w:val="both"/>
        <w:rPr>
          <w:lang w:val="de-DE"/>
        </w:rPr>
      </w:pPr>
      <w:r w:rsidRPr="004676F5">
        <w:rPr>
          <w:lang w:val="de-DE"/>
        </w:rPr>
        <w:tab/>
      </w:r>
      <w:r w:rsidRPr="004676F5">
        <w:rPr>
          <w:i/>
          <w:lang w:val="de-DE"/>
        </w:rPr>
        <w:t>c)</w:t>
      </w:r>
      <w:r w:rsidRPr="004676F5">
        <w:rPr>
          <w:lang w:val="de-DE"/>
        </w:rPr>
        <w:t> gegebenenfalls Hinweis darauf, dass sich die Finanzdienstleistung auf Finanzinstrumente bezieht, die wegen ihrer spezifischen Merkmale oder der durchzuführenden Vorgänge mit speziellen Risiken behaftet sind oder deren Preis Schwankungen auf dem Finanzmarkt unterliegt, auf die der Anbieter keinen Einfluss hat, und Hinweis darauf, dass in der Vergangenheit erwirtschaftete Erträge keine Garantie für künftige Erträge sind,</w:t>
      </w:r>
    </w:p>
    <w:p w14:paraId="7735627E" w14:textId="77777777" w:rsidR="00626208" w:rsidRPr="004676F5" w:rsidRDefault="00626208" w:rsidP="00626208">
      <w:pPr>
        <w:jc w:val="both"/>
        <w:rPr>
          <w:lang w:val="de-DE"/>
        </w:rPr>
      </w:pPr>
    </w:p>
    <w:p w14:paraId="56107E13" w14:textId="77777777" w:rsidR="00626208" w:rsidRPr="004676F5" w:rsidRDefault="00626208" w:rsidP="00626208">
      <w:pPr>
        <w:jc w:val="both"/>
        <w:rPr>
          <w:lang w:val="de-DE"/>
        </w:rPr>
      </w:pPr>
      <w:r w:rsidRPr="004676F5">
        <w:rPr>
          <w:lang w:val="de-DE"/>
        </w:rPr>
        <w:tab/>
      </w:r>
      <w:r w:rsidRPr="004676F5">
        <w:rPr>
          <w:i/>
          <w:lang w:val="de-DE"/>
        </w:rPr>
        <w:t>d)</w:t>
      </w:r>
      <w:r w:rsidRPr="004676F5">
        <w:rPr>
          <w:lang w:val="de-DE"/>
        </w:rPr>
        <w:t> Hinweis auf mögliche weitere Gebühren, Steuern und/oder Kosten, die nicht über das Unternehmen abgeführt oder von ihm in Rechnung gestellt werden,</w:t>
      </w:r>
    </w:p>
    <w:p w14:paraId="51C173F2" w14:textId="77777777" w:rsidR="00626208" w:rsidRPr="004676F5" w:rsidRDefault="00626208" w:rsidP="00626208">
      <w:pPr>
        <w:jc w:val="both"/>
        <w:rPr>
          <w:lang w:val="de-DE"/>
        </w:rPr>
      </w:pPr>
    </w:p>
    <w:p w14:paraId="0589EAFA" w14:textId="77777777" w:rsidR="00626208" w:rsidRPr="004676F5" w:rsidRDefault="00626208" w:rsidP="00626208">
      <w:pPr>
        <w:jc w:val="both"/>
        <w:rPr>
          <w:lang w:val="de-DE"/>
        </w:rPr>
      </w:pPr>
      <w:r w:rsidRPr="004676F5">
        <w:rPr>
          <w:lang w:val="de-DE"/>
        </w:rPr>
        <w:tab/>
      </w:r>
      <w:r w:rsidRPr="004676F5">
        <w:rPr>
          <w:i/>
          <w:lang w:val="de-DE"/>
        </w:rPr>
        <w:t>e)</w:t>
      </w:r>
      <w:r w:rsidRPr="004676F5">
        <w:rPr>
          <w:lang w:val="de-DE"/>
        </w:rPr>
        <w:t> Angaben zu einer etwaigen Beschränkung des Zeitraums, während dessen die zur Verfügung gestellten Informationen gültig sind,</w:t>
      </w:r>
    </w:p>
    <w:p w14:paraId="1708270E" w14:textId="77777777" w:rsidR="00626208" w:rsidRPr="004676F5" w:rsidRDefault="00626208" w:rsidP="00626208">
      <w:pPr>
        <w:jc w:val="both"/>
        <w:rPr>
          <w:lang w:val="de-DE"/>
        </w:rPr>
      </w:pPr>
    </w:p>
    <w:p w14:paraId="2ECEFA56" w14:textId="77777777" w:rsidR="00626208" w:rsidRPr="004676F5" w:rsidRDefault="00626208" w:rsidP="00626208">
      <w:pPr>
        <w:jc w:val="both"/>
        <w:rPr>
          <w:lang w:val="de-DE"/>
        </w:rPr>
      </w:pPr>
      <w:r w:rsidRPr="004676F5">
        <w:rPr>
          <w:lang w:val="de-DE"/>
        </w:rPr>
        <w:tab/>
      </w:r>
      <w:r w:rsidRPr="004676F5">
        <w:rPr>
          <w:i/>
          <w:lang w:val="de-DE"/>
        </w:rPr>
        <w:t>f)</w:t>
      </w:r>
      <w:r w:rsidRPr="004676F5">
        <w:rPr>
          <w:lang w:val="de-DE"/>
        </w:rPr>
        <w:t> Einzelheiten hinsichtlich der Zahlung und der Erfüllung,</w:t>
      </w:r>
    </w:p>
    <w:p w14:paraId="55667C33" w14:textId="77777777" w:rsidR="00626208" w:rsidRPr="004676F5" w:rsidRDefault="00626208" w:rsidP="00626208">
      <w:pPr>
        <w:jc w:val="both"/>
        <w:rPr>
          <w:lang w:val="de-DE"/>
        </w:rPr>
      </w:pPr>
    </w:p>
    <w:p w14:paraId="57B78AE4" w14:textId="77777777" w:rsidR="00626208" w:rsidRPr="004676F5" w:rsidRDefault="00626208" w:rsidP="00626208">
      <w:pPr>
        <w:jc w:val="both"/>
        <w:rPr>
          <w:lang w:val="de-DE"/>
        </w:rPr>
      </w:pPr>
      <w:r w:rsidRPr="004676F5">
        <w:rPr>
          <w:lang w:val="de-DE"/>
        </w:rPr>
        <w:tab/>
      </w:r>
      <w:r w:rsidRPr="004676F5">
        <w:rPr>
          <w:i/>
          <w:lang w:val="de-DE"/>
        </w:rPr>
        <w:t>g)</w:t>
      </w:r>
      <w:r w:rsidRPr="004676F5">
        <w:rPr>
          <w:lang w:val="de-DE"/>
        </w:rPr>
        <w:t> spezifische zusätzliche Kosten, die der Verbraucher für die Benutzung des Fernkommunikationsmittels zu tragen hat, wenn solche zusätzlichen Kosten in Rechnung gestellt werden,</w:t>
      </w:r>
    </w:p>
    <w:p w14:paraId="375828EA" w14:textId="77777777" w:rsidR="00626208" w:rsidRPr="004676F5" w:rsidRDefault="00626208" w:rsidP="00626208">
      <w:pPr>
        <w:jc w:val="both"/>
        <w:rPr>
          <w:lang w:val="de-DE"/>
        </w:rPr>
      </w:pPr>
    </w:p>
    <w:p w14:paraId="4C267BEA" w14:textId="12EEC4C0" w:rsidR="00626208" w:rsidRPr="004676F5" w:rsidRDefault="00E30873" w:rsidP="00626208">
      <w:pPr>
        <w:jc w:val="both"/>
        <w:rPr>
          <w:lang w:val="de-DE"/>
        </w:rPr>
      </w:pPr>
      <w:r w:rsidRPr="004676F5">
        <w:rPr>
          <w:lang w:val="de-DE"/>
        </w:rPr>
        <w:lastRenderedPageBreak/>
        <w:br/>
      </w:r>
      <w:r w:rsidR="00626208" w:rsidRPr="004676F5">
        <w:rPr>
          <w:lang w:val="de-DE"/>
        </w:rPr>
        <w:tab/>
        <w:t>3. betreffend den Fernabsatzvertrag</w:t>
      </w:r>
    </w:p>
    <w:p w14:paraId="7B6C90DA" w14:textId="77777777" w:rsidR="00626208" w:rsidRPr="004676F5" w:rsidRDefault="00626208" w:rsidP="00626208">
      <w:pPr>
        <w:jc w:val="both"/>
        <w:rPr>
          <w:lang w:val="de-DE"/>
        </w:rPr>
      </w:pPr>
    </w:p>
    <w:p w14:paraId="0EFDFB07"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Bestehen oder Nichtbestehen eines Widerrufsrechts gemäß Artikel VI.58 und für den Fall, dass ein solches Recht besteht, Widerrufsfrist und Modalitäten für dessen Ausübung, einschließlich des Betrags, den der Verbraucher gegebenenfalls gemäß Artikel VI.59 § 1 zu entrichten hat, und Folgen der Nichtausübung dieses Rechts,</w:t>
      </w:r>
    </w:p>
    <w:p w14:paraId="4093EA86" w14:textId="77777777" w:rsidR="00626208" w:rsidRPr="004676F5" w:rsidRDefault="00626208" w:rsidP="00626208">
      <w:pPr>
        <w:jc w:val="both"/>
        <w:rPr>
          <w:lang w:val="de-DE"/>
        </w:rPr>
      </w:pPr>
    </w:p>
    <w:p w14:paraId="0598EC40"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Mindestlaufzeit des Fernabsatzvertrags, wenn dieser die Erbringung einer dauernden oder regelmäßig wiederkehrenden Finanzdienstleistung zum Inhalt hat,</w:t>
      </w:r>
    </w:p>
    <w:p w14:paraId="56AC175C" w14:textId="77777777" w:rsidR="00626208" w:rsidRPr="004676F5" w:rsidRDefault="00626208" w:rsidP="00626208">
      <w:pPr>
        <w:jc w:val="both"/>
        <w:rPr>
          <w:lang w:val="de-DE"/>
        </w:rPr>
      </w:pPr>
    </w:p>
    <w:p w14:paraId="23090289" w14:textId="77777777" w:rsidR="00626208" w:rsidRPr="004676F5" w:rsidRDefault="00626208" w:rsidP="00626208">
      <w:pPr>
        <w:jc w:val="both"/>
        <w:rPr>
          <w:lang w:val="de-DE"/>
        </w:rPr>
      </w:pPr>
      <w:r w:rsidRPr="004676F5">
        <w:rPr>
          <w:lang w:val="de-DE"/>
        </w:rPr>
        <w:tab/>
      </w:r>
      <w:r w:rsidRPr="004676F5">
        <w:rPr>
          <w:i/>
          <w:lang w:val="de-DE"/>
        </w:rPr>
        <w:t>c)</w:t>
      </w:r>
      <w:r w:rsidRPr="004676F5">
        <w:rPr>
          <w:lang w:val="de-DE"/>
        </w:rPr>
        <w:t> Angaben zum Recht der Parteien, den Vertrag vorzeitig oder einseitig aufgrund der Bedingungen des Fernabsatzvertrags zu kündigen, einschließlich aller Vertragsstrafen, die in einem solchen Fall auferlegt werden,</w:t>
      </w:r>
    </w:p>
    <w:p w14:paraId="2BB2FAA4" w14:textId="77777777" w:rsidR="00626208" w:rsidRPr="004676F5" w:rsidRDefault="00626208" w:rsidP="00626208">
      <w:pPr>
        <w:jc w:val="both"/>
        <w:rPr>
          <w:lang w:val="de-DE"/>
        </w:rPr>
      </w:pPr>
    </w:p>
    <w:p w14:paraId="0C463A40" w14:textId="77777777" w:rsidR="00626208" w:rsidRPr="004676F5" w:rsidRDefault="00626208" w:rsidP="00626208">
      <w:pPr>
        <w:jc w:val="both"/>
        <w:rPr>
          <w:lang w:val="de-DE"/>
        </w:rPr>
      </w:pPr>
      <w:r w:rsidRPr="004676F5">
        <w:rPr>
          <w:lang w:val="de-DE"/>
        </w:rPr>
        <w:tab/>
      </w:r>
      <w:r w:rsidRPr="004676F5">
        <w:rPr>
          <w:i/>
          <w:lang w:val="de-DE"/>
        </w:rPr>
        <w:t>d)</w:t>
      </w:r>
      <w:r w:rsidRPr="004676F5">
        <w:rPr>
          <w:lang w:val="de-DE"/>
        </w:rPr>
        <w:t> praktische Hinweise zur Ausübung des Widerrufsrechts, darunter Angabe der Anschrift, an die die Notifizierung zu senden ist,</w:t>
      </w:r>
    </w:p>
    <w:p w14:paraId="7D356677" w14:textId="77777777" w:rsidR="00626208" w:rsidRPr="004676F5" w:rsidRDefault="00626208" w:rsidP="00626208">
      <w:pPr>
        <w:jc w:val="both"/>
        <w:rPr>
          <w:lang w:val="de-DE"/>
        </w:rPr>
      </w:pPr>
    </w:p>
    <w:p w14:paraId="04A8CC6F" w14:textId="77777777" w:rsidR="00626208" w:rsidRPr="004676F5" w:rsidRDefault="00626208" w:rsidP="00626208">
      <w:pPr>
        <w:jc w:val="both"/>
        <w:rPr>
          <w:lang w:val="de-DE"/>
        </w:rPr>
      </w:pPr>
      <w:r w:rsidRPr="004676F5">
        <w:rPr>
          <w:lang w:val="de-DE"/>
        </w:rPr>
        <w:tab/>
      </w:r>
      <w:r w:rsidRPr="004676F5">
        <w:rPr>
          <w:i/>
          <w:lang w:val="de-DE"/>
        </w:rPr>
        <w:t>e)</w:t>
      </w:r>
      <w:r w:rsidRPr="004676F5">
        <w:rPr>
          <w:lang w:val="de-DE"/>
        </w:rPr>
        <w:t> Rechtsvorschrift(en), die das Unternehmen der Aufnahme von Beziehungen zum Verbraucher vor Abschluss des Vertrags zugrunde legt,</w:t>
      </w:r>
    </w:p>
    <w:p w14:paraId="5AB772B3" w14:textId="77777777" w:rsidR="00626208" w:rsidRPr="004676F5" w:rsidRDefault="00626208" w:rsidP="00626208">
      <w:pPr>
        <w:jc w:val="both"/>
        <w:rPr>
          <w:lang w:val="de-DE"/>
        </w:rPr>
      </w:pPr>
    </w:p>
    <w:p w14:paraId="4AB81598" w14:textId="77777777" w:rsidR="00626208" w:rsidRPr="004676F5" w:rsidRDefault="00626208" w:rsidP="00626208">
      <w:pPr>
        <w:jc w:val="both"/>
        <w:rPr>
          <w:lang w:val="de-DE"/>
        </w:rPr>
      </w:pPr>
      <w:r w:rsidRPr="004676F5">
        <w:rPr>
          <w:lang w:val="de-DE"/>
        </w:rPr>
        <w:tab/>
      </w:r>
      <w:r w:rsidRPr="004676F5">
        <w:rPr>
          <w:i/>
          <w:lang w:val="de-DE"/>
        </w:rPr>
        <w:t>f)</w:t>
      </w:r>
      <w:r w:rsidRPr="004676F5">
        <w:rPr>
          <w:lang w:val="de-DE"/>
        </w:rPr>
        <w:t> Vertragsklausel über das auf den Vertrag anwendbare Recht und/oder über das zuständige Gericht,</w:t>
      </w:r>
    </w:p>
    <w:p w14:paraId="13213686" w14:textId="77777777" w:rsidR="00626208" w:rsidRPr="004676F5" w:rsidRDefault="00626208" w:rsidP="00626208">
      <w:pPr>
        <w:jc w:val="both"/>
        <w:rPr>
          <w:lang w:val="de-DE"/>
        </w:rPr>
      </w:pPr>
    </w:p>
    <w:p w14:paraId="7C355F09" w14:textId="77777777" w:rsidR="00626208" w:rsidRPr="004676F5" w:rsidRDefault="00626208" w:rsidP="00626208">
      <w:pPr>
        <w:jc w:val="both"/>
        <w:rPr>
          <w:lang w:val="de-DE"/>
        </w:rPr>
      </w:pPr>
      <w:r w:rsidRPr="004676F5">
        <w:rPr>
          <w:lang w:val="de-DE"/>
        </w:rPr>
        <w:tab/>
      </w:r>
      <w:r w:rsidRPr="004676F5">
        <w:rPr>
          <w:i/>
          <w:lang w:val="de-DE"/>
        </w:rPr>
        <w:t>g)</w:t>
      </w:r>
      <w:r w:rsidRPr="004676F5">
        <w:rPr>
          <w:lang w:val="de-DE"/>
        </w:rPr>
        <w:t> Angaben darüber, in welcher Sprache oder in welchen Sprachen die Vertragsbedingungen und die in vorliegendem Artikel genannten Vorabinformationen mitgeteilt werden, sowie darüber, in welcher Sprache oder in welchen Sprachen sich das Unternehmen verpflichtet, mit Zustimmung des Verbrauchers die Kommunikation während der Laufzeit dieses Vertrags zu führen,</w:t>
      </w:r>
    </w:p>
    <w:p w14:paraId="268BCA7E" w14:textId="77777777" w:rsidR="00626208" w:rsidRPr="004676F5" w:rsidRDefault="00626208" w:rsidP="00626208">
      <w:pPr>
        <w:jc w:val="both"/>
        <w:rPr>
          <w:lang w:val="de-DE"/>
        </w:rPr>
      </w:pPr>
    </w:p>
    <w:p w14:paraId="5BE3FEBE" w14:textId="77777777" w:rsidR="00626208" w:rsidRPr="004676F5" w:rsidRDefault="00626208" w:rsidP="00626208">
      <w:pPr>
        <w:jc w:val="both"/>
        <w:rPr>
          <w:lang w:val="de-DE"/>
        </w:rPr>
      </w:pPr>
      <w:r w:rsidRPr="004676F5">
        <w:rPr>
          <w:lang w:val="de-DE"/>
        </w:rPr>
        <w:tab/>
        <w:t>4. betreffend den Rechtsbehelf</w:t>
      </w:r>
    </w:p>
    <w:p w14:paraId="54B096FD" w14:textId="77777777" w:rsidR="00626208" w:rsidRPr="004676F5" w:rsidRDefault="00626208" w:rsidP="00626208">
      <w:pPr>
        <w:jc w:val="both"/>
        <w:rPr>
          <w:lang w:val="de-DE"/>
        </w:rPr>
      </w:pPr>
    </w:p>
    <w:p w14:paraId="159D4B31" w14:textId="6D9C7413" w:rsidR="00626208" w:rsidRPr="004676F5" w:rsidRDefault="00626208" w:rsidP="00626208">
      <w:pPr>
        <w:jc w:val="both"/>
        <w:rPr>
          <w:lang w:val="de-DE"/>
        </w:rPr>
      </w:pPr>
      <w:r w:rsidRPr="004676F5">
        <w:rPr>
          <w:lang w:val="de-DE"/>
        </w:rPr>
        <w:tab/>
      </w:r>
      <w:r w:rsidRPr="004676F5">
        <w:rPr>
          <w:i/>
          <w:lang w:val="de-DE"/>
        </w:rPr>
        <w:t>a)</w:t>
      </w:r>
      <w:r w:rsidRPr="004676F5">
        <w:rPr>
          <w:lang w:val="de-DE"/>
        </w:rPr>
        <w:t> Angaben darüber, ob der Verbraucher, der Vertragspartei ist, Zugang zu einem außergerichtlichen Beschwerde</w:t>
      </w:r>
      <w:r w:rsidR="005B7A5C" w:rsidRPr="004676F5">
        <w:rPr>
          <w:lang w:val="de-DE"/>
        </w:rPr>
        <w:t>- </w:t>
      </w:r>
      <w:r w:rsidRPr="004676F5">
        <w:rPr>
          <w:lang w:val="de-DE"/>
        </w:rPr>
        <w:t>und Rechtsbehelfsverfahren hat, und gegebenenfalls Voraussetzungen für diesen Zugang,</w:t>
      </w:r>
    </w:p>
    <w:p w14:paraId="4E5A6420" w14:textId="77777777" w:rsidR="00626208" w:rsidRPr="004676F5" w:rsidRDefault="00626208" w:rsidP="00626208">
      <w:pPr>
        <w:jc w:val="both"/>
        <w:rPr>
          <w:lang w:val="de-DE"/>
        </w:rPr>
      </w:pPr>
    </w:p>
    <w:p w14:paraId="7CC00AD8"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Angaben über das Bestehen eines Garantiefonds oder anderer Entschädigungs</w:t>
      </w:r>
      <w:r w:rsidRPr="004676F5">
        <w:rPr>
          <w:lang w:val="de-DE"/>
        </w:rPr>
        <w:softHyphen/>
        <w:t xml:space="preserve">regelungen, die nicht unter </w:t>
      </w:r>
      <w:r w:rsidR="0012182F" w:rsidRPr="004676F5">
        <w:rPr>
          <w:lang w:val="de-DE"/>
        </w:rPr>
        <w:t>[das Gesetz vom 25. April 2014 über den Status und die Kontrolle der Kreditinstitute und der Börsengesellschaften]</w:t>
      </w:r>
      <w:r w:rsidRPr="004676F5">
        <w:rPr>
          <w:lang w:val="de-DE"/>
        </w:rPr>
        <w:t xml:space="preserve"> und das Gesetz vom 17. Dezember 1998 zur Schaffung eines Schutzfonds für Einlagen und Finanzinstrumente und zur Reorganisation der Schutzsysteme für Einlagen und Finanzinstrumente fallen.</w:t>
      </w:r>
    </w:p>
    <w:p w14:paraId="6E6CFDE5" w14:textId="77777777" w:rsidR="00626208" w:rsidRPr="004676F5" w:rsidRDefault="00626208" w:rsidP="00626208">
      <w:pPr>
        <w:jc w:val="both"/>
        <w:rPr>
          <w:lang w:val="de-DE"/>
        </w:rPr>
      </w:pPr>
    </w:p>
    <w:p w14:paraId="66553D17" w14:textId="77777777" w:rsidR="00626208" w:rsidRPr="004676F5" w:rsidRDefault="00626208" w:rsidP="00626208">
      <w:pPr>
        <w:jc w:val="both"/>
        <w:rPr>
          <w:lang w:val="de-DE"/>
        </w:rPr>
      </w:pPr>
      <w:r w:rsidRPr="004676F5">
        <w:rPr>
          <w:lang w:val="de-DE"/>
        </w:rPr>
        <w:tab/>
        <w:t>Der geschäftliche Zweck dieser Informationen muss unmissverständlich zu erkennen sein.</w:t>
      </w:r>
    </w:p>
    <w:p w14:paraId="6F1581C8" w14:textId="77777777" w:rsidR="00626208" w:rsidRPr="004676F5" w:rsidRDefault="00626208" w:rsidP="00626208">
      <w:pPr>
        <w:jc w:val="both"/>
        <w:rPr>
          <w:lang w:val="de-DE"/>
        </w:rPr>
      </w:pPr>
    </w:p>
    <w:p w14:paraId="01599AF8" w14:textId="77777777" w:rsidR="00E30873" w:rsidRPr="004676F5" w:rsidRDefault="00E30873">
      <w:pPr>
        <w:rPr>
          <w:lang w:val="de-DE"/>
        </w:rPr>
      </w:pPr>
      <w:r w:rsidRPr="004676F5">
        <w:rPr>
          <w:lang w:val="de-DE"/>
        </w:rPr>
        <w:br w:type="page"/>
      </w:r>
    </w:p>
    <w:p w14:paraId="2720BB1C" w14:textId="6CFEADAC" w:rsidR="00626208" w:rsidRPr="004676F5" w:rsidRDefault="00626208" w:rsidP="00626208">
      <w:pPr>
        <w:jc w:val="both"/>
        <w:rPr>
          <w:lang w:val="de-DE"/>
        </w:rPr>
      </w:pPr>
      <w:r w:rsidRPr="004676F5">
        <w:rPr>
          <w:lang w:val="de-DE"/>
        </w:rPr>
        <w:lastRenderedPageBreak/>
        <w:tab/>
        <w:t>§ 2 </w:t>
      </w:r>
      <w:r w:rsidR="005B7A5C" w:rsidRPr="004676F5">
        <w:rPr>
          <w:lang w:val="de-DE"/>
        </w:rPr>
        <w:t>- </w:t>
      </w:r>
      <w:r w:rsidRPr="004676F5">
        <w:rPr>
          <w:lang w:val="de-DE"/>
        </w:rPr>
        <w:t>Informationen über vertragliche Verpflichtungen, die dem Verbraucher im Vorfeld des Vertragsabschlusses mitzuteilen sind, müssen im Einklang mit den vertraglichen Verpflichtungen stehen, die sich aufgrund des Rechts ergeben würden, dessen Anwendbarkeit auf den Fernabsatzvertrag im Falle seines Abschlusses angenommen wird.</w:t>
      </w:r>
    </w:p>
    <w:p w14:paraId="2DB6F8EA" w14:textId="77777777" w:rsidR="00626208" w:rsidRPr="004676F5" w:rsidRDefault="00626208" w:rsidP="00626208">
      <w:pPr>
        <w:jc w:val="both"/>
        <w:rPr>
          <w:lang w:val="de-DE"/>
        </w:rPr>
      </w:pPr>
    </w:p>
    <w:p w14:paraId="5F77F762" w14:textId="190B774C" w:rsidR="0012182F" w:rsidRPr="004676F5" w:rsidRDefault="0012182F" w:rsidP="00626208">
      <w:pPr>
        <w:jc w:val="both"/>
        <w:rPr>
          <w:i/>
          <w:lang w:val="de-DE"/>
        </w:rPr>
      </w:pPr>
      <w:r w:rsidRPr="004676F5">
        <w:rPr>
          <w:i/>
          <w:lang w:val="de-DE"/>
        </w:rPr>
        <w:t>[</w:t>
      </w:r>
      <w:r w:rsidR="00BE0A56" w:rsidRPr="004676F5">
        <w:rPr>
          <w:i/>
          <w:lang w:val="de-DE"/>
        </w:rPr>
        <w:t>Art. </w:t>
      </w:r>
      <w:r w:rsidRPr="004676F5">
        <w:rPr>
          <w:i/>
          <w:lang w:val="de-DE"/>
        </w:rPr>
        <w:t xml:space="preserve">VI.55 § 1 Abs. 1 Nr. 4 einziger Absatz Buchstabe b) abgeändert durch </w:t>
      </w:r>
      <w:r w:rsidR="00BE0A56" w:rsidRPr="004676F5">
        <w:rPr>
          <w:i/>
          <w:lang w:val="de-DE"/>
        </w:rPr>
        <w:t>Art. </w:t>
      </w:r>
      <w:r w:rsidRPr="004676F5">
        <w:rPr>
          <w:i/>
          <w:lang w:val="de-DE"/>
        </w:rPr>
        <w:t>172 des G. vom 25. Oktober 2016 (B.S. vom 18. November 2016)]</w:t>
      </w:r>
    </w:p>
    <w:p w14:paraId="185A444B" w14:textId="77777777" w:rsidR="0012182F" w:rsidRPr="004676F5" w:rsidRDefault="0012182F" w:rsidP="00626208">
      <w:pPr>
        <w:jc w:val="both"/>
        <w:rPr>
          <w:i/>
          <w:sz w:val="28"/>
          <w:lang w:val="de-DE"/>
        </w:rPr>
      </w:pPr>
    </w:p>
    <w:p w14:paraId="59FAB4FB" w14:textId="77777777" w:rsidR="00626208" w:rsidRPr="004676F5" w:rsidRDefault="00626208" w:rsidP="00626208">
      <w:pPr>
        <w:jc w:val="both"/>
        <w:rPr>
          <w:lang w:val="de-DE"/>
        </w:rPr>
      </w:pPr>
    </w:p>
    <w:p w14:paraId="01FDE2D2" w14:textId="0D5F31DC"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VI.56</w:t>
      </w:r>
      <w:r w:rsidRPr="004676F5">
        <w:rPr>
          <w:lang w:val="de-DE"/>
        </w:rPr>
        <w:t> </w:t>
      </w:r>
      <w:r w:rsidR="005B7A5C" w:rsidRPr="004676F5">
        <w:rPr>
          <w:lang w:val="de-DE"/>
        </w:rPr>
        <w:t>- </w:t>
      </w:r>
      <w:r w:rsidRPr="004676F5">
        <w:rPr>
          <w:lang w:val="de-DE"/>
        </w:rPr>
        <w:t>Bei fernmündlicher Kommunikation sind die Identität des Unternehmens und der geschäftliche Zweck des Anrufs zu Beginn eines jeden Gesprächs mit dem Verbraucher klar und ausdrücklich offen zu legen.</w:t>
      </w:r>
    </w:p>
    <w:p w14:paraId="03F33968" w14:textId="77777777" w:rsidR="00626208" w:rsidRPr="004676F5" w:rsidRDefault="00626208" w:rsidP="00626208">
      <w:pPr>
        <w:jc w:val="both"/>
        <w:rPr>
          <w:lang w:val="de-DE"/>
        </w:rPr>
      </w:pPr>
    </w:p>
    <w:p w14:paraId="24EDF738" w14:textId="77777777" w:rsidR="00626208" w:rsidRPr="004676F5" w:rsidRDefault="00626208" w:rsidP="00626208">
      <w:pPr>
        <w:jc w:val="both"/>
        <w:rPr>
          <w:lang w:val="de-DE"/>
        </w:rPr>
      </w:pPr>
      <w:r w:rsidRPr="004676F5">
        <w:rPr>
          <w:lang w:val="de-DE"/>
        </w:rPr>
        <w:tab/>
        <w:t>Vorbehaltlich der ausdrücklichen Zustimmung des Verbrauchers brauchen nur folgende Informationen übermittelt zu werden:</w:t>
      </w:r>
    </w:p>
    <w:p w14:paraId="5831DECC" w14:textId="77777777" w:rsidR="00626208" w:rsidRPr="004676F5" w:rsidRDefault="00626208" w:rsidP="00626208">
      <w:pPr>
        <w:jc w:val="both"/>
        <w:rPr>
          <w:lang w:val="de-DE"/>
        </w:rPr>
      </w:pPr>
    </w:p>
    <w:p w14:paraId="0C3D234C"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Identität und Eigenschaft der Kontaktperson des Verbrauchers und deren Verbindung zum Anbieter,</w:t>
      </w:r>
    </w:p>
    <w:p w14:paraId="207FDB0D" w14:textId="77777777" w:rsidR="00626208" w:rsidRPr="004676F5" w:rsidRDefault="00626208" w:rsidP="00626208">
      <w:pPr>
        <w:jc w:val="both"/>
        <w:rPr>
          <w:lang w:val="de-DE"/>
        </w:rPr>
      </w:pPr>
    </w:p>
    <w:p w14:paraId="64033D4A"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Beschreibung der wesentlichen Merkmale der Finanzdienstleistung,</w:t>
      </w:r>
    </w:p>
    <w:p w14:paraId="6B53293B" w14:textId="77777777" w:rsidR="00626208" w:rsidRPr="004676F5" w:rsidRDefault="00626208" w:rsidP="00626208">
      <w:pPr>
        <w:jc w:val="both"/>
        <w:rPr>
          <w:lang w:val="de-DE"/>
        </w:rPr>
      </w:pPr>
    </w:p>
    <w:p w14:paraId="7061A51B" w14:textId="77777777" w:rsidR="00626208" w:rsidRPr="004676F5" w:rsidRDefault="00626208" w:rsidP="00626208">
      <w:pPr>
        <w:jc w:val="both"/>
        <w:rPr>
          <w:lang w:val="de-DE"/>
        </w:rPr>
      </w:pPr>
      <w:r w:rsidRPr="004676F5">
        <w:rPr>
          <w:lang w:val="de-DE"/>
        </w:rPr>
        <w:tab/>
      </w:r>
      <w:r w:rsidRPr="004676F5">
        <w:rPr>
          <w:i/>
          <w:lang w:val="de-DE"/>
        </w:rPr>
        <w:t>c)</w:t>
      </w:r>
      <w:r w:rsidRPr="004676F5">
        <w:rPr>
          <w:lang w:val="de-DE"/>
        </w:rPr>
        <w:t> Gesamtpreis, den der Verbraucher dem Unternehmen für die Finanzdienstleistung schuldet, einschließlich aller damit verbundenen Entgelte, Kosten und Abgaben sowie aller über das Unternehmen abgeführten Steuern und Gebühren, oder, wenn kein genauer Preis angegeben werden kann, Grundlage für seine Berechnung, die dem Verbraucher eine Überprüfung des Preises ermöglicht,</w:t>
      </w:r>
    </w:p>
    <w:p w14:paraId="6D07F391" w14:textId="77777777" w:rsidR="00626208" w:rsidRPr="004676F5" w:rsidRDefault="00626208" w:rsidP="00626208">
      <w:pPr>
        <w:jc w:val="both"/>
        <w:rPr>
          <w:lang w:val="de-DE"/>
        </w:rPr>
      </w:pPr>
    </w:p>
    <w:p w14:paraId="6517FE21" w14:textId="77777777" w:rsidR="00626208" w:rsidRPr="004676F5" w:rsidRDefault="00626208" w:rsidP="00626208">
      <w:pPr>
        <w:jc w:val="both"/>
        <w:rPr>
          <w:lang w:val="de-DE"/>
        </w:rPr>
      </w:pPr>
      <w:r w:rsidRPr="004676F5">
        <w:rPr>
          <w:lang w:val="de-DE"/>
        </w:rPr>
        <w:tab/>
      </w:r>
      <w:r w:rsidRPr="004676F5">
        <w:rPr>
          <w:i/>
          <w:lang w:val="de-DE"/>
        </w:rPr>
        <w:t>d)</w:t>
      </w:r>
      <w:r w:rsidRPr="004676F5">
        <w:rPr>
          <w:lang w:val="de-DE"/>
        </w:rPr>
        <w:t> Hinweis auf mögliche weitere Gebühren, Steuern und/oder Kosten, die nicht über das Unternehmen abgeführt oder von ihm in Rechnung gestellt werden,</w:t>
      </w:r>
    </w:p>
    <w:p w14:paraId="647D2CF3" w14:textId="77777777" w:rsidR="00626208" w:rsidRPr="004676F5" w:rsidRDefault="00626208" w:rsidP="00626208">
      <w:pPr>
        <w:jc w:val="both"/>
        <w:rPr>
          <w:lang w:val="de-DE"/>
        </w:rPr>
      </w:pPr>
    </w:p>
    <w:p w14:paraId="313254DF" w14:textId="77777777" w:rsidR="00626208" w:rsidRPr="004676F5" w:rsidRDefault="00626208" w:rsidP="00626208">
      <w:pPr>
        <w:jc w:val="both"/>
        <w:rPr>
          <w:lang w:val="de-DE"/>
        </w:rPr>
      </w:pPr>
      <w:r w:rsidRPr="004676F5">
        <w:rPr>
          <w:lang w:val="de-DE"/>
        </w:rPr>
        <w:tab/>
      </w:r>
      <w:r w:rsidRPr="004676F5">
        <w:rPr>
          <w:i/>
          <w:lang w:val="de-DE"/>
        </w:rPr>
        <w:t>e)</w:t>
      </w:r>
      <w:r w:rsidRPr="004676F5">
        <w:rPr>
          <w:lang w:val="de-DE"/>
        </w:rPr>
        <w:t> Bestehen oder Nichtbestehen eines Widerrufsrechts gemäß Artikel VI.58 und für den Fall, dass ein solches Recht besteht, Widerrufsfrist und Modalitäten für dessen Ausübung, einschließlich des Betrags, den der Verbraucher gegebenenfalls gemäß Artikel VI.59 § 1 zu entrichten hat, und Folgen der Nichtausübung dieses Rechts.</w:t>
      </w:r>
    </w:p>
    <w:p w14:paraId="72EECCBF" w14:textId="77777777" w:rsidR="00626208" w:rsidRPr="004676F5" w:rsidRDefault="00626208" w:rsidP="00626208">
      <w:pPr>
        <w:jc w:val="both"/>
        <w:rPr>
          <w:lang w:val="de-DE"/>
        </w:rPr>
      </w:pPr>
    </w:p>
    <w:p w14:paraId="4E319E24" w14:textId="77777777" w:rsidR="00626208" w:rsidRPr="004676F5" w:rsidRDefault="00626208" w:rsidP="00626208">
      <w:pPr>
        <w:jc w:val="both"/>
        <w:rPr>
          <w:lang w:val="de-DE"/>
        </w:rPr>
      </w:pPr>
      <w:r w:rsidRPr="004676F5">
        <w:rPr>
          <w:lang w:val="de-DE"/>
        </w:rPr>
        <w:tab/>
        <w:t>Das Unternehmen informiert den Verbraucher darüber, dass auf Wunsch weitere Informationen übermittelt werden können, und welcher Art diese Informationen sind. Das Unternehmen erteilt auf jeden Fall sämtliche Informationen, wenn es seinen Verpflichtungen nach Artikel VI.57 nachkommt.</w:t>
      </w:r>
    </w:p>
    <w:p w14:paraId="608CB480" w14:textId="77777777" w:rsidR="00626208" w:rsidRPr="004676F5" w:rsidRDefault="00626208" w:rsidP="00626208">
      <w:pPr>
        <w:jc w:val="both"/>
        <w:rPr>
          <w:lang w:val="de-DE"/>
        </w:rPr>
      </w:pPr>
    </w:p>
    <w:p w14:paraId="10F58225" w14:textId="77777777" w:rsidR="00626208" w:rsidRPr="004676F5" w:rsidRDefault="00626208" w:rsidP="00626208">
      <w:pPr>
        <w:jc w:val="both"/>
        <w:rPr>
          <w:lang w:val="de-DE"/>
        </w:rPr>
      </w:pPr>
    </w:p>
    <w:p w14:paraId="358E91A5" w14:textId="201150EA"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VI.57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Rechtzeitig bevor der Verbraucher durch einen Fernabsatzvertrag oder durch ein Angebot gebunden ist, übermittelt das Unternehmen dem Verbraucher alle Vertragsbedingungen und die in Artikel VI.55 § 1 genannten Informationen in Papierform oder auf einem anderen dauerhaften Datenträger, der dem Verbraucher zur Verfügung steht und zu dem er Zugang hat.</w:t>
      </w:r>
    </w:p>
    <w:p w14:paraId="3976365E" w14:textId="77777777" w:rsidR="00626208" w:rsidRPr="004676F5" w:rsidRDefault="00626208" w:rsidP="00626208">
      <w:pPr>
        <w:jc w:val="both"/>
        <w:rPr>
          <w:lang w:val="de-DE"/>
        </w:rPr>
      </w:pPr>
    </w:p>
    <w:p w14:paraId="07107C4F" w14:textId="3833AAFA"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Das Unternehmen kommt der Verpflichtung gemäß § 1 unverzüglich nach Abschluss des Fernabsatzvertrags nach, wenn der Vertrag auf Ersuchen des Verbrauchers mittels eines Fernkommunikationsmittels geschlossen wurde, das die Vorlage der Vertragsbedingungen und der entsprechenden Informationen gemäß § 1 nicht gestattet.</w:t>
      </w:r>
    </w:p>
    <w:p w14:paraId="1E7D931B" w14:textId="77777777" w:rsidR="00626208" w:rsidRPr="004676F5" w:rsidRDefault="00626208" w:rsidP="00626208">
      <w:pPr>
        <w:jc w:val="both"/>
        <w:rPr>
          <w:lang w:val="de-DE"/>
        </w:rPr>
      </w:pPr>
    </w:p>
    <w:p w14:paraId="52813352" w14:textId="108AA19F"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Zu jedem Zeitpunkt des Vertragsverhältnisses kann der Verbraucher die Vorlage der Vertragsbedingungen in Papierform verlangen. Außerdem ist der Verbraucher berechtigt, ein anderes Fernkommunikationsmittel zu verwenden, es sei denn, dass dies mit dem geschlossenen Fernabsatzvertrag oder der Art der erbrachten Finanzdienstleistung unverein</w:t>
      </w:r>
      <w:r w:rsidRPr="004676F5">
        <w:rPr>
          <w:lang w:val="de-DE"/>
        </w:rPr>
        <w:softHyphen/>
        <w:t>bar ist.</w:t>
      </w:r>
    </w:p>
    <w:p w14:paraId="419AB9B0" w14:textId="77777777" w:rsidR="00626208" w:rsidRPr="004676F5" w:rsidRDefault="00626208" w:rsidP="00626208">
      <w:pPr>
        <w:jc w:val="both"/>
        <w:rPr>
          <w:lang w:val="de-DE"/>
        </w:rPr>
      </w:pPr>
    </w:p>
    <w:p w14:paraId="67D27A2A" w14:textId="77777777" w:rsidR="00626208" w:rsidRPr="004676F5" w:rsidRDefault="00626208" w:rsidP="00626208">
      <w:pPr>
        <w:jc w:val="both"/>
        <w:rPr>
          <w:lang w:val="de-DE"/>
        </w:rPr>
      </w:pPr>
    </w:p>
    <w:p w14:paraId="10A5864F" w14:textId="6CC185B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VI.58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Verbraucher kann innerhalb einer Frist von mindestens vierzehn Kalendertagen den Fernabsatzvertrag über eine Finanzdienstleistung widerrufen. Er kann dieses Recht ausüben ohne Gründe zu nennen und ohne eine Vertragsstrafe zahlen zu müssen.</w:t>
      </w:r>
    </w:p>
    <w:p w14:paraId="391E5180" w14:textId="77777777" w:rsidR="00626208" w:rsidRPr="004676F5" w:rsidRDefault="00626208" w:rsidP="00626208">
      <w:pPr>
        <w:jc w:val="both"/>
        <w:rPr>
          <w:lang w:val="de-DE"/>
        </w:rPr>
      </w:pPr>
    </w:p>
    <w:p w14:paraId="5B297C4E" w14:textId="77777777" w:rsidR="00626208" w:rsidRPr="004676F5" w:rsidRDefault="00626208" w:rsidP="00626208">
      <w:pPr>
        <w:jc w:val="both"/>
        <w:rPr>
          <w:lang w:val="de-DE"/>
        </w:rPr>
      </w:pPr>
      <w:r w:rsidRPr="004676F5">
        <w:rPr>
          <w:lang w:val="de-DE"/>
        </w:rPr>
        <w:tab/>
        <w:t>Die Widerrufsfrist läuft:</w:t>
      </w:r>
    </w:p>
    <w:p w14:paraId="6192B040" w14:textId="77777777" w:rsidR="00626208" w:rsidRPr="004676F5" w:rsidRDefault="00626208" w:rsidP="00626208">
      <w:pPr>
        <w:jc w:val="both"/>
        <w:rPr>
          <w:lang w:val="de-DE"/>
        </w:rPr>
      </w:pPr>
    </w:p>
    <w:p w14:paraId="53806103" w14:textId="09C11C5A"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ab dem Tag des Abschlusses des Fernabsatzvertrags</w:t>
      </w:r>
    </w:p>
    <w:p w14:paraId="7F16A127" w14:textId="77777777" w:rsidR="00626208" w:rsidRPr="004676F5" w:rsidRDefault="00626208" w:rsidP="00626208">
      <w:pPr>
        <w:jc w:val="both"/>
        <w:rPr>
          <w:lang w:val="de-DE"/>
        </w:rPr>
      </w:pPr>
    </w:p>
    <w:p w14:paraId="2231590B" w14:textId="73B74487"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oder dem Tag, an dem der Verbraucher die Vertragsbedingungen und Informationen gemäß Artikel VI.57 § 1 oder § 2 erhält, wenn dieser Zeitpunkt später als der im ersten Gedankenstrich genannte Zeitpunkt liegt.</w:t>
      </w:r>
    </w:p>
    <w:p w14:paraId="5A31C8D8" w14:textId="77777777" w:rsidR="00626208" w:rsidRPr="004676F5" w:rsidRDefault="00626208" w:rsidP="00626208">
      <w:pPr>
        <w:jc w:val="both"/>
        <w:rPr>
          <w:lang w:val="de-DE"/>
        </w:rPr>
      </w:pPr>
    </w:p>
    <w:p w14:paraId="42F2FC1B" w14:textId="77777777" w:rsidR="00626208" w:rsidRPr="004676F5" w:rsidRDefault="00626208" w:rsidP="00626208">
      <w:pPr>
        <w:jc w:val="both"/>
        <w:rPr>
          <w:lang w:val="de-DE"/>
        </w:rPr>
      </w:pPr>
      <w:r w:rsidRPr="004676F5">
        <w:rPr>
          <w:lang w:val="de-DE"/>
        </w:rPr>
        <w:tab/>
        <w:t>Die Frist gilt als gewahrt, wenn die Notifizierung, sofern sie schriftlich oder auf einem dauerhaften Datenträger erfolgt, der dem Empfänger zur Verfügung steht und zu dem er Zugang hat, vor Fristablauf abgesandt wird.</w:t>
      </w:r>
    </w:p>
    <w:p w14:paraId="7EBE7863" w14:textId="77777777" w:rsidR="00626208" w:rsidRPr="004676F5" w:rsidRDefault="00626208" w:rsidP="00626208">
      <w:pPr>
        <w:jc w:val="both"/>
        <w:rPr>
          <w:lang w:val="de-DE"/>
        </w:rPr>
      </w:pPr>
    </w:p>
    <w:p w14:paraId="6C1D7356" w14:textId="453A614B"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Das Widerrufsrecht ist ausgeschlossen bei:</w:t>
      </w:r>
    </w:p>
    <w:p w14:paraId="40DE905F" w14:textId="77777777" w:rsidR="00626208" w:rsidRPr="004676F5" w:rsidRDefault="00626208" w:rsidP="00626208">
      <w:pPr>
        <w:jc w:val="both"/>
        <w:rPr>
          <w:lang w:val="de-DE"/>
        </w:rPr>
      </w:pPr>
    </w:p>
    <w:p w14:paraId="3555562B" w14:textId="77777777" w:rsidR="00626208" w:rsidRPr="004676F5" w:rsidRDefault="00626208" w:rsidP="00626208">
      <w:pPr>
        <w:jc w:val="both"/>
        <w:rPr>
          <w:lang w:val="de-DE"/>
        </w:rPr>
      </w:pPr>
      <w:r w:rsidRPr="004676F5">
        <w:rPr>
          <w:lang w:val="de-DE"/>
        </w:rPr>
        <w:tab/>
        <w:t>1. Finanzdienstleistungen, deren Preis auf dem Finanzmarkt Schwankungen unterliegt, auf die der Anbieter keinen Einfluss hat und die innerhalb der Widerrufsfrist auftreten können.</w:t>
      </w:r>
    </w:p>
    <w:p w14:paraId="25D7784E" w14:textId="77777777" w:rsidR="00626208" w:rsidRPr="004676F5" w:rsidRDefault="00626208" w:rsidP="00626208">
      <w:pPr>
        <w:jc w:val="both"/>
        <w:rPr>
          <w:lang w:val="de-DE"/>
        </w:rPr>
      </w:pPr>
    </w:p>
    <w:p w14:paraId="562F0327" w14:textId="77777777" w:rsidR="00626208" w:rsidRPr="004676F5" w:rsidRDefault="00626208" w:rsidP="00626208">
      <w:pPr>
        <w:jc w:val="both"/>
        <w:rPr>
          <w:lang w:val="de-DE"/>
        </w:rPr>
      </w:pPr>
      <w:r w:rsidRPr="004676F5">
        <w:rPr>
          <w:lang w:val="de-DE"/>
        </w:rPr>
        <w:tab/>
        <w:t>Dies gilt unter anderem für Dienstleistungen im Zusammenhang mit:</w:t>
      </w:r>
    </w:p>
    <w:p w14:paraId="6498DF8F" w14:textId="77777777" w:rsidR="00626208" w:rsidRPr="004676F5" w:rsidRDefault="00626208" w:rsidP="00626208">
      <w:pPr>
        <w:jc w:val="both"/>
        <w:rPr>
          <w:lang w:val="de-DE"/>
        </w:rPr>
      </w:pPr>
    </w:p>
    <w:p w14:paraId="57C55C78" w14:textId="571B5F47"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Devisen,</w:t>
      </w:r>
    </w:p>
    <w:p w14:paraId="49795A89" w14:textId="77777777" w:rsidR="00626208" w:rsidRPr="004676F5" w:rsidRDefault="00626208" w:rsidP="00626208">
      <w:pPr>
        <w:jc w:val="both"/>
        <w:rPr>
          <w:lang w:val="de-DE"/>
        </w:rPr>
      </w:pPr>
    </w:p>
    <w:p w14:paraId="4F9305AC" w14:textId="6D403177"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Geldmarktinstrumenten,</w:t>
      </w:r>
    </w:p>
    <w:p w14:paraId="564D7166" w14:textId="77777777" w:rsidR="00626208" w:rsidRPr="004676F5" w:rsidRDefault="00626208" w:rsidP="00626208">
      <w:pPr>
        <w:jc w:val="both"/>
        <w:rPr>
          <w:lang w:val="de-DE"/>
        </w:rPr>
      </w:pPr>
    </w:p>
    <w:p w14:paraId="74042EB1" w14:textId="40E76C13"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handelbaren Wertpapieren,</w:t>
      </w:r>
    </w:p>
    <w:p w14:paraId="5F8037EE" w14:textId="77777777" w:rsidR="00626208" w:rsidRPr="004676F5" w:rsidRDefault="00626208" w:rsidP="00626208">
      <w:pPr>
        <w:jc w:val="both"/>
        <w:rPr>
          <w:lang w:val="de-DE"/>
        </w:rPr>
      </w:pPr>
    </w:p>
    <w:p w14:paraId="54EE9A93" w14:textId="293FDA9E"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Anteilen der Organismen für gemeinsame Anlagen,</w:t>
      </w:r>
    </w:p>
    <w:p w14:paraId="60ACCF91" w14:textId="77777777" w:rsidR="00626208" w:rsidRPr="004676F5" w:rsidRDefault="00626208" w:rsidP="00626208">
      <w:pPr>
        <w:jc w:val="both"/>
        <w:rPr>
          <w:lang w:val="de-DE"/>
        </w:rPr>
      </w:pPr>
    </w:p>
    <w:p w14:paraId="60A3E988" w14:textId="10200ED8"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Finanztermingeschäften ("Futures") einschließlich gleichwertiger Instrumente mit Barzahlung,</w:t>
      </w:r>
    </w:p>
    <w:p w14:paraId="0B42E9EA" w14:textId="77777777" w:rsidR="00626208" w:rsidRPr="004676F5" w:rsidRDefault="00626208" w:rsidP="00626208">
      <w:pPr>
        <w:jc w:val="both"/>
        <w:rPr>
          <w:lang w:val="de-DE"/>
        </w:rPr>
      </w:pPr>
    </w:p>
    <w:p w14:paraId="211471E1" w14:textId="726BCB81"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Zinstermingeschäften ("FRA"),</w:t>
      </w:r>
    </w:p>
    <w:p w14:paraId="28617D3C" w14:textId="77777777" w:rsidR="00626208" w:rsidRPr="004676F5" w:rsidRDefault="00626208" w:rsidP="00626208">
      <w:pPr>
        <w:jc w:val="both"/>
        <w:rPr>
          <w:lang w:val="de-DE"/>
        </w:rPr>
      </w:pPr>
    </w:p>
    <w:p w14:paraId="3F0E3EFD" w14:textId="11203CBA"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Zins</w:t>
      </w:r>
      <w:r w:rsidR="005B7A5C" w:rsidRPr="004676F5">
        <w:rPr>
          <w:lang w:val="de-DE"/>
        </w:rPr>
        <w:t>- </w:t>
      </w:r>
      <w:r w:rsidRPr="004676F5">
        <w:rPr>
          <w:lang w:val="de-DE"/>
        </w:rPr>
        <w:t>und Devisenswaps und Swaps auf Aktien</w:t>
      </w:r>
      <w:r w:rsidR="005B7A5C" w:rsidRPr="004676F5">
        <w:rPr>
          <w:lang w:val="de-DE"/>
        </w:rPr>
        <w:t>- </w:t>
      </w:r>
      <w:r w:rsidRPr="004676F5">
        <w:rPr>
          <w:lang w:val="de-DE"/>
        </w:rPr>
        <w:t>oder Aktienindexbasis ("equity swaps"),</w:t>
      </w:r>
    </w:p>
    <w:p w14:paraId="209341BC" w14:textId="77777777" w:rsidR="00626208" w:rsidRPr="004676F5" w:rsidRDefault="00626208" w:rsidP="00626208">
      <w:pPr>
        <w:jc w:val="both"/>
        <w:rPr>
          <w:lang w:val="de-DE"/>
        </w:rPr>
      </w:pPr>
    </w:p>
    <w:p w14:paraId="4C4D8A42" w14:textId="0E5ED566"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Kauf</w:t>
      </w:r>
      <w:r w:rsidR="005B7A5C" w:rsidRPr="004676F5">
        <w:rPr>
          <w:lang w:val="de-DE"/>
        </w:rPr>
        <w:t>- </w:t>
      </w:r>
      <w:r w:rsidRPr="004676F5">
        <w:rPr>
          <w:lang w:val="de-DE"/>
        </w:rPr>
        <w:t>oder Verkaufsoptionen auf alle in vorliegender Nummer genannten Instrumente einschließlich gleichwertiger Instrumente mit Barzahlung, insbesondere Devisen</w:t>
      </w:r>
      <w:r w:rsidR="005B7A5C" w:rsidRPr="004676F5">
        <w:rPr>
          <w:lang w:val="de-DE"/>
        </w:rPr>
        <w:t>- </w:t>
      </w:r>
      <w:r w:rsidRPr="004676F5">
        <w:rPr>
          <w:lang w:val="de-DE"/>
        </w:rPr>
        <w:t>und Zinsoptionen,</w:t>
      </w:r>
    </w:p>
    <w:p w14:paraId="55BDF252" w14:textId="77777777" w:rsidR="00626208" w:rsidRPr="004676F5" w:rsidRDefault="00626208" w:rsidP="00626208">
      <w:pPr>
        <w:jc w:val="both"/>
        <w:rPr>
          <w:lang w:val="de-DE"/>
        </w:rPr>
      </w:pPr>
    </w:p>
    <w:p w14:paraId="730626A7" w14:textId="77777777" w:rsidR="00626208" w:rsidRPr="004676F5" w:rsidRDefault="00626208" w:rsidP="00626208">
      <w:pPr>
        <w:jc w:val="both"/>
        <w:rPr>
          <w:lang w:val="de-DE"/>
        </w:rPr>
      </w:pPr>
      <w:r w:rsidRPr="004676F5">
        <w:rPr>
          <w:lang w:val="de-DE"/>
        </w:rPr>
        <w:lastRenderedPageBreak/>
        <w:tab/>
        <w:t>2. Verträgen, die auf ausdrücklichen Wunsch des Verbrauchers von beiden Seiten bereits voll erfüllt sind, bevor der Verbraucher sein Widerrufsrecht ausübt,</w:t>
      </w:r>
    </w:p>
    <w:p w14:paraId="4E05BFF7" w14:textId="77777777" w:rsidR="00626208" w:rsidRPr="004676F5" w:rsidRDefault="00626208" w:rsidP="00626208">
      <w:pPr>
        <w:jc w:val="both"/>
        <w:rPr>
          <w:lang w:val="de-DE"/>
        </w:rPr>
      </w:pPr>
    </w:p>
    <w:p w14:paraId="4DA244C4" w14:textId="77777777" w:rsidR="00626208" w:rsidRPr="004676F5" w:rsidRDefault="00626208" w:rsidP="00626208">
      <w:pPr>
        <w:jc w:val="both"/>
        <w:rPr>
          <w:lang w:val="de-DE"/>
        </w:rPr>
      </w:pPr>
      <w:r w:rsidRPr="004676F5">
        <w:rPr>
          <w:lang w:val="de-DE"/>
        </w:rPr>
        <w:tab/>
        <w:t>3. </w:t>
      </w:r>
      <w:r w:rsidR="00D27717" w:rsidRPr="004676F5">
        <w:rPr>
          <w:lang w:val="de-DE"/>
        </w:rPr>
        <w:t>[Hypothekarkreditverträgen, die Buch VII Titel 4 Kapitel 2 unterliegen.]</w:t>
      </w:r>
    </w:p>
    <w:p w14:paraId="6534EB77" w14:textId="77777777" w:rsidR="00626208" w:rsidRPr="004676F5" w:rsidRDefault="00626208" w:rsidP="00626208">
      <w:pPr>
        <w:jc w:val="both"/>
        <w:rPr>
          <w:lang w:val="de-DE"/>
        </w:rPr>
      </w:pPr>
    </w:p>
    <w:p w14:paraId="3A3A3362" w14:textId="51A684DF"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Wurde einem Fernabsatzvertrag über eine bestimmte Finanzdienstleistung ein anderer Vertrag hinzugefügt, der Finanzdienstleistungen des Anbieters oder eines Dritten auf der Grundlage einer Vereinbarung zwischen dem Dritten und dem Unternehmen betrifft, so wird dieser Zusatzvertrag ohne Vertragsstrafe aufgelöst, wenn der Verbraucher sein Widerrufsrecht nach § 1 ausübt.</w:t>
      </w:r>
    </w:p>
    <w:p w14:paraId="65D219CE" w14:textId="77777777" w:rsidR="00D27717" w:rsidRPr="004676F5" w:rsidRDefault="00D27717" w:rsidP="00626208">
      <w:pPr>
        <w:jc w:val="both"/>
        <w:rPr>
          <w:lang w:val="de-DE"/>
        </w:rPr>
      </w:pPr>
    </w:p>
    <w:p w14:paraId="4834E08F" w14:textId="6BB65D7D" w:rsidR="00D27717" w:rsidRPr="004676F5" w:rsidRDefault="00D27717" w:rsidP="00626208">
      <w:pPr>
        <w:jc w:val="both"/>
        <w:rPr>
          <w:i/>
          <w:lang w:val="de-DE"/>
        </w:rPr>
      </w:pPr>
      <w:r w:rsidRPr="004676F5">
        <w:rPr>
          <w:i/>
          <w:lang w:val="de-DE"/>
        </w:rPr>
        <w:t>[</w:t>
      </w:r>
      <w:r w:rsidR="00BE0A56" w:rsidRPr="004676F5">
        <w:rPr>
          <w:i/>
          <w:lang w:val="de-DE"/>
        </w:rPr>
        <w:t>Art. </w:t>
      </w:r>
      <w:r w:rsidRPr="004676F5">
        <w:rPr>
          <w:i/>
          <w:lang w:val="de-DE"/>
        </w:rPr>
        <w:t xml:space="preserve">VI.58 § 2 einziger Absatz Nr. 3 ersetzt durch </w:t>
      </w:r>
      <w:r w:rsidR="00BE0A56" w:rsidRPr="004676F5">
        <w:rPr>
          <w:i/>
          <w:lang w:val="de-DE"/>
        </w:rPr>
        <w:t>Art. </w:t>
      </w:r>
      <w:r w:rsidRPr="004676F5">
        <w:rPr>
          <w:i/>
          <w:lang w:val="de-DE"/>
        </w:rPr>
        <w:t>23 des G. vom 19. April 2014</w:t>
      </w:r>
      <w:r w:rsidR="00E84348" w:rsidRPr="004676F5">
        <w:rPr>
          <w:i/>
          <w:lang w:val="de-DE"/>
        </w:rPr>
        <w:t> (I)</w:t>
      </w:r>
      <w:r w:rsidRPr="004676F5">
        <w:rPr>
          <w:i/>
          <w:lang w:val="de-DE"/>
        </w:rPr>
        <w:t xml:space="preserve"> (B.S. vom 28. Mai 2014)]</w:t>
      </w:r>
    </w:p>
    <w:p w14:paraId="2F9796EE" w14:textId="77777777" w:rsidR="00626208" w:rsidRPr="004676F5" w:rsidRDefault="00626208" w:rsidP="00626208">
      <w:pPr>
        <w:jc w:val="both"/>
        <w:rPr>
          <w:lang w:val="de-DE"/>
        </w:rPr>
      </w:pPr>
    </w:p>
    <w:p w14:paraId="6585FF27" w14:textId="77777777" w:rsidR="00626208" w:rsidRPr="004676F5" w:rsidRDefault="00626208" w:rsidP="00626208">
      <w:pPr>
        <w:jc w:val="both"/>
        <w:rPr>
          <w:lang w:val="de-DE"/>
        </w:rPr>
      </w:pPr>
    </w:p>
    <w:p w14:paraId="609A5B13" w14:textId="1251A647"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VI.59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Während der Widerrufsfrist darf mit der Erfüllung des Vertrags erst nach Zustimmung des Verbrauchers begonnen werden.</w:t>
      </w:r>
    </w:p>
    <w:p w14:paraId="1CA4D4ED" w14:textId="77777777" w:rsidR="00626208" w:rsidRPr="004676F5" w:rsidRDefault="00626208" w:rsidP="00626208">
      <w:pPr>
        <w:jc w:val="both"/>
        <w:rPr>
          <w:lang w:val="de-DE"/>
        </w:rPr>
      </w:pPr>
    </w:p>
    <w:p w14:paraId="7A894696" w14:textId="77777777" w:rsidR="00626208" w:rsidRPr="004676F5" w:rsidRDefault="00626208" w:rsidP="00626208">
      <w:pPr>
        <w:jc w:val="both"/>
        <w:rPr>
          <w:lang w:val="de-DE"/>
        </w:rPr>
      </w:pPr>
      <w:r w:rsidRPr="004676F5">
        <w:rPr>
          <w:lang w:val="de-DE"/>
        </w:rPr>
        <w:tab/>
        <w:t>Übt der Verbraucher sein Widerrufsrecht gemäß Artikel VI.58 § 1 aus, so darf von ihm lediglich die unverzügliche Zahlung für die vom Anbieter gemäß dem Fernabsatzvertrag tatsächlich erbrachte Finanzdienstleistung verlangt werden.</w:t>
      </w:r>
    </w:p>
    <w:p w14:paraId="7F65D50F" w14:textId="77777777" w:rsidR="00626208" w:rsidRPr="004676F5" w:rsidRDefault="00626208" w:rsidP="00626208">
      <w:pPr>
        <w:jc w:val="both"/>
        <w:rPr>
          <w:lang w:val="de-DE"/>
        </w:rPr>
      </w:pPr>
    </w:p>
    <w:p w14:paraId="00ABA84C" w14:textId="17540400" w:rsidR="00626208" w:rsidRPr="004676F5" w:rsidRDefault="00626208" w:rsidP="00626208">
      <w:pPr>
        <w:jc w:val="both"/>
        <w:rPr>
          <w:lang w:val="de-DE"/>
        </w:rPr>
      </w:pPr>
      <w:r w:rsidRPr="004676F5">
        <w:rPr>
          <w:lang w:val="de-DE"/>
        </w:rPr>
        <w:tab/>
        <w:t>Der zu zahlende Betrag darf:</w:t>
      </w:r>
    </w:p>
    <w:p w14:paraId="54642B39" w14:textId="77777777" w:rsidR="00626208" w:rsidRPr="004676F5" w:rsidRDefault="00626208" w:rsidP="00626208">
      <w:pPr>
        <w:jc w:val="both"/>
        <w:rPr>
          <w:lang w:val="de-DE"/>
        </w:rPr>
      </w:pPr>
    </w:p>
    <w:p w14:paraId="21DB0BB7" w14:textId="6C5BE2CA"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einen Betrag nicht überschreiten, der dem Anteil der bereits erbrachten Dienstleistungen im Vergleich zum Gesamtumfang der im Fernabsatzvertrag vorgesehenen Dienstleistungen entspricht,</w:t>
      </w:r>
    </w:p>
    <w:p w14:paraId="6B5D40E5" w14:textId="77777777" w:rsidR="00626208" w:rsidRPr="004676F5" w:rsidRDefault="00626208" w:rsidP="00626208">
      <w:pPr>
        <w:jc w:val="both"/>
        <w:rPr>
          <w:lang w:val="de-DE"/>
        </w:rPr>
      </w:pPr>
    </w:p>
    <w:p w14:paraId="738F9417" w14:textId="6B436FD4"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nicht so bemessen sein, dass er als Vertragsstrafe ausgelegt werden kann.</w:t>
      </w:r>
    </w:p>
    <w:p w14:paraId="66311CC8" w14:textId="77777777" w:rsidR="00626208" w:rsidRPr="004676F5" w:rsidRDefault="00626208" w:rsidP="00626208">
      <w:pPr>
        <w:jc w:val="both"/>
        <w:rPr>
          <w:lang w:val="de-DE"/>
        </w:rPr>
      </w:pPr>
    </w:p>
    <w:p w14:paraId="052A0A30" w14:textId="6D1DC079"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Der Anbieter darf vom Verbraucher eine Zahlung gemäß § 1 nur verlangen, wenn er nachweisen kann, dass der Verbraucher über den zu zahlenden Betrag gemäß Artikel 55 § 1 Nr. 3 Buchstabe </w:t>
      </w:r>
      <w:r w:rsidRPr="004676F5">
        <w:rPr>
          <w:i/>
          <w:lang w:val="de-DE"/>
        </w:rPr>
        <w:t>a)</w:t>
      </w:r>
      <w:r w:rsidRPr="004676F5">
        <w:rPr>
          <w:lang w:val="de-DE"/>
        </w:rPr>
        <w:t xml:space="preserve"> ordnungsgemäß unterrichtet worden ist. Er darf eine solche Zahlung jedoch nicht verlangen, wenn er vor Ende der Widerrufsfrist gemäß Artikel VI.58 § 1 ohne vorab geäußerten Wunsch seitens des Verbrauchers mit der Vertragsausführung begonnen hat.</w:t>
      </w:r>
    </w:p>
    <w:p w14:paraId="38D58BA2" w14:textId="77777777" w:rsidR="00626208" w:rsidRPr="004676F5" w:rsidRDefault="00626208" w:rsidP="00626208">
      <w:pPr>
        <w:jc w:val="both"/>
        <w:rPr>
          <w:lang w:val="de-DE"/>
        </w:rPr>
      </w:pPr>
    </w:p>
    <w:p w14:paraId="735AA888" w14:textId="729669BF"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Der Anbieter muss dem Verbraucher so bald wie möglich innerhalb dreißig Kalendertagen Beträge, die er von diesem gemäß dem Fernabsatzvertrag erhalten hat, erstatten; hiervon ausgenommen ist der in § 1 genannte Betrag. Diese Frist beginnt an dem Tag, an dem der Anbieter die Widerrufsnotifizierung erhält.</w:t>
      </w:r>
    </w:p>
    <w:p w14:paraId="78004BB6" w14:textId="77777777" w:rsidR="00626208" w:rsidRPr="004676F5" w:rsidRDefault="00626208" w:rsidP="00626208">
      <w:pPr>
        <w:jc w:val="both"/>
        <w:rPr>
          <w:lang w:val="de-DE"/>
        </w:rPr>
      </w:pPr>
    </w:p>
    <w:p w14:paraId="3E656AF2" w14:textId="7FE458E9" w:rsidR="00626208" w:rsidRPr="004676F5" w:rsidRDefault="00626208" w:rsidP="00626208">
      <w:pPr>
        <w:jc w:val="both"/>
        <w:rPr>
          <w:lang w:val="de-DE"/>
        </w:rPr>
      </w:pPr>
      <w:r w:rsidRPr="004676F5">
        <w:rPr>
          <w:lang w:val="de-DE"/>
        </w:rPr>
        <w:tab/>
        <w:t>§ 4 </w:t>
      </w:r>
      <w:r w:rsidR="005B7A5C" w:rsidRPr="004676F5">
        <w:rPr>
          <w:lang w:val="de-DE"/>
        </w:rPr>
        <w:t>- </w:t>
      </w:r>
      <w:r w:rsidRPr="004676F5">
        <w:rPr>
          <w:lang w:val="de-DE"/>
        </w:rPr>
        <w:t>Der Verbraucher gibt so bald wie möglich innerhalb dreißig Kalendertagen vom Anbieter erhaltene Geldbeträge und/oder Gegenstände an den Anbieter zurück. Diese Frist beginnt an dem Tag, an dem der Verbraucher die Widerrufsnotifizierung abschickt.</w:t>
      </w:r>
    </w:p>
    <w:p w14:paraId="53C49A0F" w14:textId="77777777" w:rsidR="00626208" w:rsidRPr="004676F5" w:rsidRDefault="00626208" w:rsidP="00626208">
      <w:pPr>
        <w:jc w:val="both"/>
        <w:rPr>
          <w:lang w:val="de-DE"/>
        </w:rPr>
      </w:pPr>
    </w:p>
    <w:p w14:paraId="38570A9D" w14:textId="77777777" w:rsidR="00626208" w:rsidRPr="004676F5" w:rsidRDefault="00626208" w:rsidP="00626208">
      <w:pPr>
        <w:jc w:val="both"/>
        <w:rPr>
          <w:lang w:val="de-DE"/>
        </w:rPr>
      </w:pPr>
    </w:p>
    <w:p w14:paraId="7E3F08B7" w14:textId="60386161"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VI.60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Anbieter sind Verbrauchern gegenüber für die Einhaltung der Verpflichtungen aus den Artikeln VI.55 bis VI.57 verantwortlich.</w:t>
      </w:r>
    </w:p>
    <w:p w14:paraId="533E52F5" w14:textId="77777777" w:rsidR="00626208" w:rsidRPr="004676F5" w:rsidRDefault="00626208" w:rsidP="00626208">
      <w:pPr>
        <w:jc w:val="both"/>
        <w:rPr>
          <w:lang w:val="de-DE"/>
        </w:rPr>
      </w:pPr>
    </w:p>
    <w:p w14:paraId="19017239" w14:textId="105F27E3"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 xml:space="preserve">Bei Nichteinhaltung der Verpflichtungen aus den Artikeln VI.55 § 1 Nr. 2 und 3, VI.56 und VI.57 können Verbraucher den Vertrag innerhalb einer angemessenen Frist ab dem </w:t>
      </w:r>
      <w:r w:rsidRPr="004676F5">
        <w:rPr>
          <w:lang w:val="de-DE"/>
        </w:rPr>
        <w:lastRenderedPageBreak/>
        <w:t>Zeitpunkt, zu dem ihnen bekannt war oder hätte sein müssen, dass diese Verpflichtungen nicht eingehalten werden, durch ein mit Gründen versehenes Einschreiben kündigen, ohne dass ihnen daraus Kosten entstehen oder sie eine Vertragsstrafe zahlen müssen.</w:t>
      </w:r>
    </w:p>
    <w:p w14:paraId="6787B9CA" w14:textId="77777777" w:rsidR="00626208" w:rsidRPr="004676F5" w:rsidRDefault="00626208" w:rsidP="00626208">
      <w:pPr>
        <w:jc w:val="both"/>
        <w:rPr>
          <w:lang w:val="de-DE"/>
        </w:rPr>
      </w:pPr>
    </w:p>
    <w:p w14:paraId="5CEF665A" w14:textId="77777777" w:rsidR="00626208" w:rsidRPr="004676F5" w:rsidRDefault="00626208" w:rsidP="00626208">
      <w:pPr>
        <w:jc w:val="both"/>
        <w:rPr>
          <w:lang w:val="de-DE"/>
        </w:rPr>
      </w:pPr>
      <w:r w:rsidRPr="004676F5">
        <w:rPr>
          <w:lang w:val="de-DE"/>
        </w:rPr>
        <w:tab/>
      </w:r>
    </w:p>
    <w:p w14:paraId="67368114" w14:textId="2085EA30"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VI.61</w:t>
      </w:r>
      <w:r w:rsidRPr="004676F5">
        <w:rPr>
          <w:lang w:val="de-DE"/>
        </w:rPr>
        <w:t> </w:t>
      </w:r>
      <w:r w:rsidR="005B7A5C" w:rsidRPr="004676F5">
        <w:rPr>
          <w:lang w:val="de-DE"/>
        </w:rPr>
        <w:t>- </w:t>
      </w:r>
      <w:r w:rsidRPr="004676F5">
        <w:rPr>
          <w:lang w:val="de-DE"/>
        </w:rPr>
        <w:t>Die Zusendung von Waren und Berechtigungsscheinen für Dienstleistungen erfolgt immer auf Gefahr der Person, die einen Vertrag mit dem Verbraucher geschlossen hat.</w:t>
      </w:r>
    </w:p>
    <w:p w14:paraId="3102DC2B" w14:textId="77777777" w:rsidR="00626208" w:rsidRPr="004676F5" w:rsidRDefault="00626208" w:rsidP="00626208">
      <w:pPr>
        <w:jc w:val="both"/>
        <w:rPr>
          <w:lang w:val="de-DE"/>
        </w:rPr>
      </w:pPr>
    </w:p>
    <w:p w14:paraId="55C539C8" w14:textId="77777777" w:rsidR="00626208" w:rsidRPr="004676F5" w:rsidRDefault="00626208" w:rsidP="00626208">
      <w:pPr>
        <w:jc w:val="center"/>
        <w:rPr>
          <w:i/>
          <w:lang w:val="de-DE"/>
        </w:rPr>
      </w:pPr>
    </w:p>
    <w:p w14:paraId="0A469789" w14:textId="635922F8" w:rsidR="00626208" w:rsidRPr="004676F5" w:rsidRDefault="00626208" w:rsidP="00626208">
      <w:pPr>
        <w:jc w:val="center"/>
        <w:rPr>
          <w:lang w:val="de-DE"/>
        </w:rPr>
      </w:pPr>
      <w:r w:rsidRPr="004676F5">
        <w:rPr>
          <w:i/>
          <w:lang w:val="de-DE"/>
        </w:rPr>
        <w:t>Abschnitt 3</w:t>
      </w:r>
      <w:r w:rsidRPr="004676F5">
        <w:rPr>
          <w:lang w:val="de-DE"/>
        </w:rPr>
        <w:t> </w:t>
      </w:r>
      <w:r w:rsidR="005B7A5C" w:rsidRPr="004676F5">
        <w:rPr>
          <w:lang w:val="de-DE"/>
        </w:rPr>
        <w:t>- </w:t>
      </w:r>
      <w:r w:rsidRPr="004676F5">
        <w:rPr>
          <w:lang w:val="de-DE"/>
        </w:rPr>
        <w:t>Gemeinsame Bestimmungen für das vorliegende Kapitel</w:t>
      </w:r>
    </w:p>
    <w:p w14:paraId="51300922" w14:textId="77777777" w:rsidR="00626208" w:rsidRPr="004676F5" w:rsidRDefault="00626208" w:rsidP="00626208">
      <w:pPr>
        <w:jc w:val="both"/>
        <w:rPr>
          <w:lang w:val="de-DE"/>
        </w:rPr>
      </w:pPr>
    </w:p>
    <w:p w14:paraId="3ADB3731" w14:textId="77777777" w:rsidR="00626208" w:rsidRPr="004676F5" w:rsidRDefault="00626208" w:rsidP="00626208">
      <w:pPr>
        <w:jc w:val="both"/>
        <w:rPr>
          <w:lang w:val="de-DE"/>
        </w:rPr>
      </w:pPr>
    </w:p>
    <w:p w14:paraId="06E1247A" w14:textId="1958C3A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VI.62</w:t>
      </w:r>
      <w:r w:rsidRPr="004676F5">
        <w:rPr>
          <w:lang w:val="de-DE"/>
        </w:rPr>
        <w:t> </w:t>
      </w:r>
      <w:r w:rsidR="005B7A5C" w:rsidRPr="004676F5">
        <w:rPr>
          <w:lang w:val="de-DE"/>
        </w:rPr>
        <w:t>- </w:t>
      </w:r>
      <w:r w:rsidRPr="004676F5">
        <w:rPr>
          <w:lang w:val="de-DE"/>
        </w:rPr>
        <w:t>Die Beweislast für die Erfüllung der Verpflichtungen des Unternehmens zur Unterrichtung des Verbrauchers, für die Einhaltung der Fristen und für die Zustimmung des Verbrauchers zum Vertragsabschluss und gegebenenfalls zur Durchführung des Vertrags innerhalb der Widerrufsfrist liegt beim Unternehmen.</w:t>
      </w:r>
    </w:p>
    <w:p w14:paraId="06410F5A" w14:textId="77777777" w:rsidR="00626208" w:rsidRPr="004676F5" w:rsidRDefault="00626208" w:rsidP="00626208">
      <w:pPr>
        <w:jc w:val="both"/>
        <w:rPr>
          <w:lang w:val="de-DE"/>
        </w:rPr>
      </w:pPr>
    </w:p>
    <w:p w14:paraId="08F69790" w14:textId="77777777" w:rsidR="00626208" w:rsidRPr="004676F5" w:rsidRDefault="00626208" w:rsidP="00626208">
      <w:pPr>
        <w:jc w:val="both"/>
        <w:rPr>
          <w:lang w:val="de-DE"/>
        </w:rPr>
      </w:pPr>
    </w:p>
    <w:p w14:paraId="772114B3" w14:textId="13800777"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VI.63</w:t>
      </w:r>
      <w:r w:rsidRPr="004676F5">
        <w:rPr>
          <w:lang w:val="de-DE"/>
        </w:rPr>
        <w:t> </w:t>
      </w:r>
      <w:r w:rsidR="005B7A5C" w:rsidRPr="004676F5">
        <w:rPr>
          <w:lang w:val="de-DE"/>
        </w:rPr>
        <w:t>- </w:t>
      </w:r>
      <w:r w:rsidRPr="004676F5">
        <w:rPr>
          <w:lang w:val="de-DE"/>
        </w:rPr>
        <w:t>Klauseln und Bedingungen beziehungsweise Kombinationen von Klauseln und Bedingungen, mit denen bezweckt wird, die Beweislast für die Erfüllung aller oder eines Teils der in vorliegendem Abschnitt erwähnten Verpflichtungen des Unternehmens beziehungsweise im Fall von Fernabsatzverträgen über Finanzdienstleistungen des Anbieters dem Verbraucher aufzuerlegen, sind verboten und nichtig.</w:t>
      </w:r>
    </w:p>
    <w:p w14:paraId="4B24095E" w14:textId="77777777" w:rsidR="00626208" w:rsidRPr="004676F5" w:rsidRDefault="00626208" w:rsidP="00626208">
      <w:pPr>
        <w:jc w:val="both"/>
        <w:rPr>
          <w:lang w:val="de-DE"/>
        </w:rPr>
      </w:pPr>
    </w:p>
    <w:p w14:paraId="40883C2E" w14:textId="77777777" w:rsidR="00626208" w:rsidRPr="004676F5" w:rsidRDefault="00626208" w:rsidP="00626208">
      <w:pPr>
        <w:jc w:val="both"/>
        <w:rPr>
          <w:lang w:val="de-DE"/>
        </w:rPr>
      </w:pPr>
      <w:r w:rsidRPr="004676F5">
        <w:rPr>
          <w:lang w:val="de-DE"/>
        </w:rPr>
        <w:tab/>
        <w:t>Klauseln, aufgrund deren der Verbraucher auf die Rechte, die ihm durch vorliegenden Abschnitt zuerkannt werden, verzichtet, gelten als ungeschrieben.</w:t>
      </w:r>
    </w:p>
    <w:p w14:paraId="4579932B" w14:textId="77777777" w:rsidR="00626208" w:rsidRPr="004676F5" w:rsidRDefault="00626208" w:rsidP="00626208">
      <w:pPr>
        <w:jc w:val="both"/>
        <w:rPr>
          <w:lang w:val="de-DE"/>
        </w:rPr>
      </w:pPr>
    </w:p>
    <w:p w14:paraId="640FA605" w14:textId="77777777" w:rsidR="00626208" w:rsidRPr="004676F5" w:rsidRDefault="00626208" w:rsidP="00626208">
      <w:pPr>
        <w:jc w:val="both"/>
        <w:rPr>
          <w:lang w:val="de-DE"/>
        </w:rPr>
      </w:pPr>
      <w:r w:rsidRPr="004676F5">
        <w:rPr>
          <w:lang w:val="de-DE"/>
        </w:rPr>
        <w:tab/>
        <w:t>Eine Klausel, durch die das Gesetz eines Staates, der nicht Mitgliedstaat der Europäischen Union ist, Anwendung auf den Vertrag findet, ist für die in vorliegendem Abschnitt geregelten Angelegenheiten verboten und nichtig, wenn in Ermangelung dieser Klausel das Gesetz eines Mitgliedstaates der Europäischen Union anwendbar wäre und dieses Gesetz in den vorerwähnten Angelegenheiten ein höheres Schutzniveau für die Verbraucher gewährleistet.</w:t>
      </w:r>
    </w:p>
    <w:p w14:paraId="47610002" w14:textId="77777777" w:rsidR="00626208" w:rsidRPr="004676F5" w:rsidRDefault="00626208" w:rsidP="00626208">
      <w:pPr>
        <w:rPr>
          <w:lang w:val="de-DE"/>
        </w:rPr>
      </w:pPr>
      <w:r w:rsidRPr="004676F5">
        <w:rPr>
          <w:lang w:val="de-DE"/>
        </w:rPr>
        <w:br w:type="page"/>
      </w:r>
    </w:p>
    <w:p w14:paraId="6F4A1FAB" w14:textId="0BFA4E9A" w:rsidR="00626208" w:rsidRPr="004676F5" w:rsidRDefault="00626208" w:rsidP="00626208">
      <w:pPr>
        <w:jc w:val="center"/>
        <w:rPr>
          <w:lang w:val="de-DE"/>
        </w:rPr>
      </w:pPr>
      <w:r w:rsidRPr="004676F5">
        <w:rPr>
          <w:lang w:val="de-DE"/>
        </w:rPr>
        <w:lastRenderedPageBreak/>
        <w:t>KAPITEL 3 </w:t>
      </w:r>
      <w:r w:rsidR="005B7A5C" w:rsidRPr="004676F5">
        <w:rPr>
          <w:lang w:val="de-DE"/>
        </w:rPr>
        <w:t>- </w:t>
      </w:r>
      <w:r w:rsidRPr="004676F5">
        <w:rPr>
          <w:i/>
          <w:lang w:val="de-DE"/>
        </w:rPr>
        <w:t>Außerhalb von Geschäftsräumen geschlossene Verträge</w:t>
      </w:r>
    </w:p>
    <w:p w14:paraId="09ADE640" w14:textId="77777777" w:rsidR="00626208" w:rsidRPr="004676F5" w:rsidRDefault="00626208" w:rsidP="00626208">
      <w:pPr>
        <w:jc w:val="both"/>
        <w:rPr>
          <w:lang w:val="de-DE"/>
        </w:rPr>
      </w:pPr>
    </w:p>
    <w:p w14:paraId="6F66D3EE" w14:textId="29B15186" w:rsidR="00626208" w:rsidRPr="004676F5" w:rsidRDefault="00626208" w:rsidP="00626208">
      <w:pPr>
        <w:jc w:val="both"/>
        <w:rPr>
          <w:lang w:val="de-DE"/>
        </w:rPr>
      </w:pPr>
    </w:p>
    <w:p w14:paraId="5A99F075" w14:textId="5397FC76" w:rsidR="0068045B" w:rsidRPr="004676F5" w:rsidRDefault="0068045B" w:rsidP="0068045B">
      <w:pPr>
        <w:ind w:firstLine="708"/>
        <w:jc w:val="both"/>
        <w:rPr>
          <w:lang w:val="de-DE"/>
        </w:rPr>
      </w:pPr>
      <w:r w:rsidRPr="004676F5">
        <w:rPr>
          <w:lang w:val="de-DE"/>
        </w:rPr>
        <w:t>[</w:t>
      </w:r>
      <w:r w:rsidRPr="004676F5">
        <w:rPr>
          <w:b/>
          <w:lang w:val="de-DE"/>
        </w:rPr>
        <w:t>Art. VI.63/1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Vorliegendes Kapitel ist nicht auf Verträge anwendbar, die Notare oder Gerichtsvollzieher in ihrer Eigenschaft als öffentliche Amtsträger aufsetzen.</w:t>
      </w:r>
    </w:p>
    <w:p w14:paraId="5EAAAA52" w14:textId="77777777" w:rsidR="0068045B" w:rsidRPr="004676F5" w:rsidRDefault="0068045B" w:rsidP="0068045B">
      <w:pPr>
        <w:ind w:firstLine="708"/>
        <w:jc w:val="both"/>
        <w:rPr>
          <w:lang w:val="de-DE"/>
        </w:rPr>
      </w:pPr>
    </w:p>
    <w:p w14:paraId="12913E26" w14:textId="5834FC68" w:rsidR="0068045B" w:rsidRPr="004676F5" w:rsidRDefault="0068045B" w:rsidP="0068045B">
      <w:pPr>
        <w:jc w:val="both"/>
        <w:rPr>
          <w:lang w:val="de-DE"/>
        </w:rPr>
      </w:pPr>
      <w:r w:rsidRPr="004676F5">
        <w:rPr>
          <w:lang w:val="de-DE"/>
        </w:rPr>
        <w:tab/>
        <w:t>§ 2 </w:t>
      </w:r>
      <w:r w:rsidR="005B7A5C" w:rsidRPr="004676F5">
        <w:rPr>
          <w:lang w:val="de-DE"/>
        </w:rPr>
        <w:t>- </w:t>
      </w:r>
      <w:r w:rsidRPr="004676F5">
        <w:rPr>
          <w:lang w:val="de-DE"/>
        </w:rPr>
        <w:t>Vorliegendes Kapitel ist nicht auf Verträge über juristischen Beistand anwendbar, den ein Rechtsanwalt in Anwendung von Teil 2 Buch 3</w:t>
      </w:r>
      <w:r w:rsidRPr="004676F5">
        <w:rPr>
          <w:i/>
          <w:iCs/>
          <w:lang w:val="de-DE"/>
        </w:rPr>
        <w:t>bis</w:t>
      </w:r>
      <w:r w:rsidRPr="004676F5">
        <w:rPr>
          <w:lang w:val="de-DE"/>
        </w:rPr>
        <w:t xml:space="preserve"> des Gerichtsgesetzbuches erbringt.]</w:t>
      </w:r>
    </w:p>
    <w:p w14:paraId="448350D9" w14:textId="77777777" w:rsidR="007E4A77" w:rsidRPr="004676F5" w:rsidRDefault="007E4A77" w:rsidP="0068045B">
      <w:pPr>
        <w:jc w:val="both"/>
        <w:rPr>
          <w:lang w:val="de-DE"/>
        </w:rPr>
      </w:pPr>
    </w:p>
    <w:p w14:paraId="25353D59" w14:textId="7ADB9405" w:rsidR="007E4A77" w:rsidRPr="004676F5" w:rsidRDefault="007E4A77" w:rsidP="0068045B">
      <w:pPr>
        <w:jc w:val="both"/>
        <w:rPr>
          <w:lang w:val="de-DE"/>
        </w:rPr>
      </w:pPr>
      <w:r w:rsidRPr="004676F5">
        <w:rPr>
          <w:lang w:val="de-DE"/>
        </w:rPr>
        <w:tab/>
        <w:t>[§ 3 ­ Vorliegendes Kapitel gilt ebenfalls, wenn das Unternehmen dem Verbraucher digitale Inhalte, die nicht auf einem körperlichen Datenträger geliefert werden, bereitstellt oder deren Bereitstellung zusagt oder für den Verbraucher digitale Dienstleistungen bereitstellt oder deren Bereitstellung zusagt und der Verbraucher dem Unternehmen personenbezogene Daten bereitstellt oder deren Bereitstellung zusagt, außer in Fällen, in denen die vom Verbraucher bereitgestellten personenbezogenen Daten durch das Unternehmen ausschließlich zur Bereitstellung digitaler Inhalte, die nicht auf einem körperlichen Datenträger geliefert werden, oder digitaler Dienstleistungen oder zur Erfüllung der vom Unternehmen einzuhaltenden rechtlichen Anforderungen verarbeitet werden, und das Unternehmen diese Daten zu keinen anderen Zwecken verarbeitet.]</w:t>
      </w:r>
    </w:p>
    <w:p w14:paraId="0A8466A0" w14:textId="24D3B8C8" w:rsidR="0068045B" w:rsidRPr="004676F5" w:rsidRDefault="0068045B" w:rsidP="0068045B">
      <w:pPr>
        <w:jc w:val="both"/>
        <w:rPr>
          <w:lang w:val="de-DE"/>
        </w:rPr>
      </w:pPr>
    </w:p>
    <w:p w14:paraId="69649331" w14:textId="71DDB296" w:rsidR="0068045B" w:rsidRPr="004676F5" w:rsidRDefault="0068045B" w:rsidP="0068045B">
      <w:pPr>
        <w:jc w:val="both"/>
        <w:rPr>
          <w:i/>
          <w:iCs/>
          <w:lang w:val="de-DE"/>
        </w:rPr>
      </w:pPr>
      <w:r w:rsidRPr="004676F5">
        <w:rPr>
          <w:i/>
          <w:lang w:val="de-DE"/>
        </w:rPr>
        <w:t>[Art. VI.63/1 eingefügt durch Art. 95</w:t>
      </w:r>
      <w:r w:rsidRPr="004676F5">
        <w:rPr>
          <w:i/>
          <w:iCs/>
          <w:lang w:val="de-DE"/>
        </w:rPr>
        <w:t xml:space="preserve"> des G. vom 15. April 2018 (B.S. vom 27. April 2018)</w:t>
      </w:r>
      <w:r w:rsidR="007E4A77" w:rsidRPr="004676F5">
        <w:rPr>
          <w:i/>
          <w:iCs/>
          <w:lang w:val="de-DE"/>
        </w:rPr>
        <w:t>; § 3 eingefügt durch Art. 22 des G. vom 8. Mai 2022 (B.S. vom 2. Juni 2022)</w:t>
      </w:r>
      <w:r w:rsidRPr="004676F5">
        <w:rPr>
          <w:i/>
          <w:iCs/>
          <w:lang w:val="de-DE"/>
        </w:rPr>
        <w:t>]</w:t>
      </w:r>
    </w:p>
    <w:p w14:paraId="1BAE0A14" w14:textId="77777777" w:rsidR="0068045B" w:rsidRPr="004676F5" w:rsidRDefault="0068045B" w:rsidP="0068045B">
      <w:pPr>
        <w:jc w:val="both"/>
        <w:rPr>
          <w:i/>
          <w:lang w:val="de-DE"/>
        </w:rPr>
      </w:pPr>
    </w:p>
    <w:p w14:paraId="030B0445" w14:textId="77777777" w:rsidR="0068045B" w:rsidRPr="004676F5" w:rsidRDefault="0068045B" w:rsidP="0068045B">
      <w:pPr>
        <w:jc w:val="both"/>
        <w:rPr>
          <w:lang w:val="de-DE"/>
        </w:rPr>
      </w:pPr>
    </w:p>
    <w:p w14:paraId="56DD3185" w14:textId="1210EFA0"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VI.64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Bevor der Verbraucher durch einen außerhalb von Geschäftsräumen geschlossenen Vertrag gebunden ist, informiert das Unternehmen den Verbraucher in klarer und verständlicher Weise über Folgendes:</w:t>
      </w:r>
    </w:p>
    <w:p w14:paraId="7EC1900F" w14:textId="77777777" w:rsidR="00626208" w:rsidRPr="004676F5" w:rsidRDefault="00626208" w:rsidP="00626208">
      <w:pPr>
        <w:jc w:val="both"/>
        <w:rPr>
          <w:lang w:val="de-DE"/>
        </w:rPr>
      </w:pPr>
    </w:p>
    <w:p w14:paraId="62C079FF" w14:textId="77777777" w:rsidR="00626208" w:rsidRPr="004676F5" w:rsidRDefault="00626208" w:rsidP="00626208">
      <w:pPr>
        <w:jc w:val="both"/>
        <w:rPr>
          <w:lang w:val="de-DE"/>
        </w:rPr>
      </w:pPr>
      <w:r w:rsidRPr="004676F5">
        <w:rPr>
          <w:lang w:val="de-DE"/>
        </w:rPr>
        <w:tab/>
        <w:t>1. wesentliche Eigenschaften der Waren oder Dienstleistungen, in dem für das Kommunikationsmittel und die Waren oder Dienstleistungen angemessenen Umfang,</w:t>
      </w:r>
    </w:p>
    <w:p w14:paraId="0D1510DE" w14:textId="77777777" w:rsidR="00626208" w:rsidRPr="004676F5" w:rsidRDefault="00626208" w:rsidP="00626208">
      <w:pPr>
        <w:jc w:val="both"/>
        <w:rPr>
          <w:lang w:val="de-DE"/>
        </w:rPr>
      </w:pPr>
    </w:p>
    <w:p w14:paraId="7C34D755" w14:textId="77777777" w:rsidR="00626208" w:rsidRPr="004676F5" w:rsidRDefault="00626208" w:rsidP="00626208">
      <w:pPr>
        <w:jc w:val="both"/>
        <w:rPr>
          <w:lang w:val="de-DE"/>
        </w:rPr>
      </w:pPr>
      <w:r w:rsidRPr="004676F5">
        <w:rPr>
          <w:lang w:val="de-DE"/>
        </w:rPr>
        <w:tab/>
        <w:t>2. Identität des Unternehmens, unter anderem seine Unternehmensnummer, seinen Handelsnamen,</w:t>
      </w:r>
    </w:p>
    <w:p w14:paraId="1235CB0C" w14:textId="77777777" w:rsidR="00626208" w:rsidRPr="004676F5" w:rsidRDefault="00626208" w:rsidP="00626208">
      <w:pPr>
        <w:jc w:val="both"/>
        <w:rPr>
          <w:lang w:val="de-DE"/>
        </w:rPr>
      </w:pPr>
    </w:p>
    <w:p w14:paraId="0F749D43" w14:textId="52CFE6E0" w:rsidR="00626208" w:rsidRPr="004676F5" w:rsidRDefault="00626208" w:rsidP="00626208">
      <w:pPr>
        <w:jc w:val="both"/>
        <w:rPr>
          <w:lang w:val="de-DE"/>
        </w:rPr>
      </w:pPr>
      <w:r w:rsidRPr="004676F5">
        <w:rPr>
          <w:lang w:val="de-DE"/>
        </w:rPr>
        <w:tab/>
        <w:t>3. </w:t>
      </w:r>
      <w:r w:rsidR="007E4A77" w:rsidRPr="004676F5">
        <w:rPr>
          <w:lang w:val="de-DE"/>
        </w:rPr>
        <w:t>[Anschrift des Ortes, an dem das Unternehmen ansässig ist, und Telefonnummer und E-Mail-Adresse des Unternehmens; wenn das Unternehmen andere Online-Kommunikations</w:t>
      </w:r>
      <w:r w:rsidR="007E4A77" w:rsidRPr="004676F5">
        <w:rPr>
          <w:lang w:val="de-DE"/>
        </w:rPr>
        <w:softHyphen/>
        <w:t>mittel bereitstellt, die gewährleisten, dass der Verbraucher etwaige schriftliche Korrespondenz mit dem Unternehmen, einschließlich des Datums und der Uhrzeit dieser Korrespondenz, auf einem dauerhaften Datenträger speichern kann, so umfassen die Informationen darüber hinaus auch Angaben zu diesen anderen Kommunikationsmitteln; sämtliche dieser vom Unternehmen bereitgestellten Kommunikationsmittel stellen sicher, dass der Verbraucher schnell Kontakt zum Unternehmen aufnehmen und effizient mit ihm kommunizieren kann; gegebenenfalls gibt das Unternehmen auch die Anschrift und die Identität des Unternehmens an, in dessen Auftrag es handelt,]</w:t>
      </w:r>
    </w:p>
    <w:p w14:paraId="7D249F3B" w14:textId="77777777" w:rsidR="007E4A77" w:rsidRPr="004676F5" w:rsidRDefault="007E4A77" w:rsidP="00626208">
      <w:pPr>
        <w:jc w:val="both"/>
        <w:rPr>
          <w:lang w:val="de-DE"/>
        </w:rPr>
      </w:pPr>
    </w:p>
    <w:p w14:paraId="07C1C2A0" w14:textId="77777777" w:rsidR="00626208" w:rsidRPr="004676F5" w:rsidRDefault="00626208" w:rsidP="00626208">
      <w:pPr>
        <w:jc w:val="both"/>
        <w:rPr>
          <w:lang w:val="de-DE"/>
        </w:rPr>
      </w:pPr>
      <w:r w:rsidRPr="004676F5">
        <w:rPr>
          <w:lang w:val="de-DE"/>
        </w:rPr>
        <w:tab/>
        <w:t>4. falls diese von der gemäß Nr. 3 angegebenen Anschrift abweicht, Geschäftsanschrift des Unternehmens und gegebenenfalls Geschäftsanschrift des Unternehmens, in dessen Auftrag es handelt, an die sich der Verbraucher mit jeder Beschwerde wenden kann,</w:t>
      </w:r>
    </w:p>
    <w:p w14:paraId="2F5418D7" w14:textId="77777777" w:rsidR="00626208" w:rsidRPr="004676F5" w:rsidRDefault="00626208" w:rsidP="00626208">
      <w:pPr>
        <w:jc w:val="both"/>
        <w:rPr>
          <w:lang w:val="de-DE"/>
        </w:rPr>
      </w:pPr>
    </w:p>
    <w:p w14:paraId="4849CA18" w14:textId="6D084167" w:rsidR="00626208" w:rsidRPr="004676F5" w:rsidRDefault="00626208" w:rsidP="00626208">
      <w:pPr>
        <w:jc w:val="both"/>
        <w:rPr>
          <w:lang w:val="de-DE"/>
        </w:rPr>
      </w:pPr>
      <w:r w:rsidRPr="004676F5">
        <w:rPr>
          <w:lang w:val="de-DE"/>
        </w:rPr>
        <w:tab/>
        <w:t xml:space="preserve">5. Gesamtpreis der Waren oder Dienstleistungen einschließlich aller Steuern und Abgaben, oder in Fällen, in denen der Preis aufgrund der Beschaffenheit der Waren oder </w:t>
      </w:r>
      <w:r w:rsidRPr="004676F5">
        <w:rPr>
          <w:lang w:val="de-DE"/>
        </w:rPr>
        <w:lastRenderedPageBreak/>
        <w:t>Dienstleistungen vernünftigerweise nicht im Voraus berechnet werden kann, Art der Preisberechnung und gegebenenfalls alle zusätzlichen Fracht-, Liefer</w:t>
      </w:r>
      <w:r w:rsidR="005B7A5C" w:rsidRPr="004676F5">
        <w:rPr>
          <w:lang w:val="de-DE"/>
        </w:rPr>
        <w:t>- </w:t>
      </w:r>
      <w:r w:rsidRPr="004676F5">
        <w:rPr>
          <w:lang w:val="de-DE"/>
        </w:rPr>
        <w:t>oder Versandkosten und alle sonstigen Kosten, oder in Fällen, in denen diese Kosten vernünftigerweise nicht im Voraus berechnet werden können, Tatsache, dass solche zusätzliche Kosten anfallen können. Im Falle eines unbefristeten Vertrags oder eines Abonnement-Vertrags umfasst der Gesamtpreis die pro Abrechnungszeitraum anfallenden Gesamtkosten. Wenn für einen solchen Vertrag Festbeträge in Rechnung gestellt werden, umfasst der Gesamtpreis ebenfalls die monatlichen Gesamtkosten. Wenn die Gesamtkosten vernünftigerweise nicht im Voraus berechnet werden können, ist die Art der Preisberechnung anzugeben,</w:t>
      </w:r>
    </w:p>
    <w:p w14:paraId="51DADA54" w14:textId="77777777" w:rsidR="00626208" w:rsidRPr="004676F5" w:rsidRDefault="00626208" w:rsidP="00626208">
      <w:pPr>
        <w:jc w:val="both"/>
        <w:rPr>
          <w:lang w:val="de-DE"/>
        </w:rPr>
      </w:pPr>
    </w:p>
    <w:p w14:paraId="53F699A9" w14:textId="5EE6C775" w:rsidR="00626208" w:rsidRPr="004676F5" w:rsidRDefault="00626208" w:rsidP="00626208">
      <w:pPr>
        <w:jc w:val="both"/>
        <w:rPr>
          <w:lang w:val="de-DE"/>
        </w:rPr>
      </w:pPr>
      <w:r w:rsidRPr="004676F5">
        <w:rPr>
          <w:lang w:val="de-DE"/>
        </w:rPr>
        <w:tab/>
        <w:t>6. Zahlungs-, Liefer</w:t>
      </w:r>
      <w:r w:rsidR="005B7A5C" w:rsidRPr="004676F5">
        <w:rPr>
          <w:lang w:val="de-DE"/>
        </w:rPr>
        <w:t>- </w:t>
      </w:r>
      <w:r w:rsidRPr="004676F5">
        <w:rPr>
          <w:lang w:val="de-DE"/>
        </w:rPr>
        <w:t>und Leistungsbedingungen, den Termin, bis zu dem sich das Unternehmen verpflichtet, die Waren zu liefern oder die Dienstleistung zu erbringen, und gegebenenfalls Verfahren des Unternehmens hinsichtlich des Umgangs mit Beschwerden,</w:t>
      </w:r>
    </w:p>
    <w:p w14:paraId="3671DDBC" w14:textId="77777777" w:rsidR="00626208" w:rsidRPr="004676F5" w:rsidRDefault="00626208" w:rsidP="00626208">
      <w:pPr>
        <w:jc w:val="both"/>
        <w:rPr>
          <w:lang w:val="de-DE"/>
        </w:rPr>
      </w:pPr>
    </w:p>
    <w:p w14:paraId="49543A02" w14:textId="77777777" w:rsidR="00626208" w:rsidRPr="004676F5" w:rsidRDefault="00626208" w:rsidP="00626208">
      <w:pPr>
        <w:jc w:val="both"/>
        <w:rPr>
          <w:lang w:val="de-DE"/>
        </w:rPr>
      </w:pPr>
      <w:r w:rsidRPr="004676F5">
        <w:rPr>
          <w:lang w:val="de-DE"/>
        </w:rPr>
        <w:tab/>
        <w:t>7. im Falle des Bestehens eines Widerrufsrechts Bedingungen, Fristen und Verfahren für die Ausübung dieses Rechts gemäß Artikel VI.69 § 1 sowie Muster-Widerrufsformular gemäß Anlage 2 zu vorliegendem Buch,</w:t>
      </w:r>
    </w:p>
    <w:p w14:paraId="3F4227DB" w14:textId="77777777" w:rsidR="00626208" w:rsidRPr="004676F5" w:rsidRDefault="00626208" w:rsidP="00626208">
      <w:pPr>
        <w:jc w:val="both"/>
        <w:rPr>
          <w:lang w:val="de-DE"/>
        </w:rPr>
      </w:pPr>
    </w:p>
    <w:p w14:paraId="67FFE12F" w14:textId="77777777" w:rsidR="00626208" w:rsidRPr="004676F5" w:rsidRDefault="00626208" w:rsidP="00626208">
      <w:pPr>
        <w:jc w:val="both"/>
        <w:rPr>
          <w:lang w:val="de-DE"/>
        </w:rPr>
      </w:pPr>
      <w:r w:rsidRPr="004676F5">
        <w:rPr>
          <w:lang w:val="de-DE"/>
        </w:rPr>
        <w:tab/>
        <w:t>8. gegebenenfalls Hinweis, dass der Verbraucher im Widerrufsfall die Kosten für die Rücksendung der Waren zu tragen hat,</w:t>
      </w:r>
    </w:p>
    <w:p w14:paraId="5E6EC61A" w14:textId="77777777" w:rsidR="00626208" w:rsidRPr="004676F5" w:rsidRDefault="00626208" w:rsidP="00626208">
      <w:pPr>
        <w:jc w:val="both"/>
        <w:rPr>
          <w:lang w:val="de-DE"/>
        </w:rPr>
      </w:pPr>
    </w:p>
    <w:p w14:paraId="5AB2C137" w14:textId="77777777" w:rsidR="00626208" w:rsidRPr="004676F5" w:rsidRDefault="00626208" w:rsidP="00626208">
      <w:pPr>
        <w:jc w:val="both"/>
        <w:rPr>
          <w:lang w:val="de-DE"/>
        </w:rPr>
      </w:pPr>
      <w:r w:rsidRPr="004676F5">
        <w:rPr>
          <w:lang w:val="de-DE"/>
        </w:rPr>
        <w:tab/>
        <w:t>9. Hinweis, dass, falls der Verbraucher das Widerrufsrecht nach Erklärung eines Verlangens gemäß Artikel VI.65 § 2 Absatz 2 ausübt, der Verbraucher verpflichtet ist, dem Unternehmen einen angemessenen Betrag gemäß Artikel VI.71 § 3 zu leisten,</w:t>
      </w:r>
    </w:p>
    <w:p w14:paraId="16AB38CB" w14:textId="77777777" w:rsidR="00626208" w:rsidRPr="004676F5" w:rsidRDefault="00626208" w:rsidP="00626208">
      <w:pPr>
        <w:jc w:val="both"/>
        <w:rPr>
          <w:lang w:val="de-DE"/>
        </w:rPr>
      </w:pPr>
    </w:p>
    <w:p w14:paraId="41AE871B" w14:textId="77777777" w:rsidR="00626208" w:rsidRPr="004676F5" w:rsidRDefault="00626208" w:rsidP="00626208">
      <w:pPr>
        <w:jc w:val="both"/>
        <w:rPr>
          <w:lang w:val="de-DE"/>
        </w:rPr>
      </w:pPr>
      <w:r w:rsidRPr="004676F5">
        <w:rPr>
          <w:lang w:val="de-DE"/>
        </w:rPr>
        <w:tab/>
        <w:t>10. in Fällen, in denen gemäß Artikel VI.73 kein Widerrufsrecht besteht, Hinweis, dass der Verbraucher nicht über ein Widerrufsrecht verfügt, oder gegebenenfalls Umstände, unter denen der Verbraucher sein Widerrufsrecht verliert,</w:t>
      </w:r>
    </w:p>
    <w:p w14:paraId="5F81FBF6" w14:textId="77777777" w:rsidR="00626208" w:rsidRPr="004676F5" w:rsidRDefault="00626208" w:rsidP="00626208">
      <w:pPr>
        <w:jc w:val="both"/>
        <w:rPr>
          <w:lang w:val="de-DE"/>
        </w:rPr>
      </w:pPr>
    </w:p>
    <w:p w14:paraId="18ABEE73" w14:textId="388FDDF5" w:rsidR="00626208" w:rsidRPr="004676F5" w:rsidRDefault="00626208" w:rsidP="00626208">
      <w:pPr>
        <w:jc w:val="both"/>
        <w:rPr>
          <w:lang w:val="de-DE"/>
        </w:rPr>
      </w:pPr>
      <w:r w:rsidRPr="004676F5">
        <w:rPr>
          <w:lang w:val="de-DE"/>
        </w:rPr>
        <w:tab/>
        <w:t xml:space="preserve">11. Hinweis auf das Bestehen eines gesetzlichen Gewährleistungsrechts </w:t>
      </w:r>
      <w:r w:rsidR="007E4A77" w:rsidRPr="004676F5">
        <w:rPr>
          <w:lang w:val="de-DE"/>
        </w:rPr>
        <w:t>[für die Waren, digitalen Inhalte und digitalen Dienstleistungen, wie in den Artikeln 1649</w:t>
      </w:r>
      <w:r w:rsidR="007E4A77" w:rsidRPr="004676F5">
        <w:rPr>
          <w:i/>
          <w:iCs/>
          <w:lang w:val="de-DE"/>
        </w:rPr>
        <w:t>bis</w:t>
      </w:r>
      <w:r w:rsidR="007E4A77" w:rsidRPr="004676F5">
        <w:rPr>
          <w:lang w:val="de-DE"/>
        </w:rPr>
        <w:t xml:space="preserve"> bis 1649</w:t>
      </w:r>
      <w:r w:rsidR="007E4A77" w:rsidRPr="004676F5">
        <w:rPr>
          <w:i/>
          <w:iCs/>
          <w:lang w:val="de-DE"/>
        </w:rPr>
        <w:t>nonies</w:t>
      </w:r>
      <w:r w:rsidR="007E4A77" w:rsidRPr="004676F5">
        <w:rPr>
          <w:lang w:val="de-DE"/>
        </w:rPr>
        <w:t xml:space="preserve"> und 1701/1 bis 1701/19 des früheren Zivilgesetzbuches vorgesehen,]</w:t>
      </w:r>
      <w:r w:rsidRPr="004676F5">
        <w:rPr>
          <w:lang w:val="de-DE"/>
        </w:rPr>
        <w:t>,</w:t>
      </w:r>
    </w:p>
    <w:p w14:paraId="16E782B4" w14:textId="77777777" w:rsidR="00626208" w:rsidRPr="004676F5" w:rsidRDefault="00626208" w:rsidP="00626208">
      <w:pPr>
        <w:jc w:val="both"/>
        <w:rPr>
          <w:lang w:val="de-DE"/>
        </w:rPr>
      </w:pPr>
    </w:p>
    <w:p w14:paraId="4A8DED76" w14:textId="77777777" w:rsidR="00626208" w:rsidRPr="004676F5" w:rsidRDefault="00626208" w:rsidP="00626208">
      <w:pPr>
        <w:jc w:val="both"/>
        <w:rPr>
          <w:lang w:val="de-DE"/>
        </w:rPr>
      </w:pPr>
      <w:r w:rsidRPr="004676F5">
        <w:rPr>
          <w:lang w:val="de-DE"/>
        </w:rPr>
        <w:tab/>
        <w:t>12. gegebenenfalls Hinweis auf Bestehen und Bedingungen von Kundendienst, Kundendienstleistungen und gewerblichen Garantien,</w:t>
      </w:r>
    </w:p>
    <w:p w14:paraId="41DB98F1" w14:textId="77777777" w:rsidR="00626208" w:rsidRPr="004676F5" w:rsidRDefault="00626208" w:rsidP="00626208">
      <w:pPr>
        <w:jc w:val="both"/>
        <w:rPr>
          <w:lang w:val="de-DE"/>
        </w:rPr>
      </w:pPr>
    </w:p>
    <w:p w14:paraId="20871D8F" w14:textId="77777777" w:rsidR="00626208" w:rsidRPr="004676F5" w:rsidRDefault="00626208" w:rsidP="00626208">
      <w:pPr>
        <w:jc w:val="both"/>
        <w:rPr>
          <w:lang w:val="de-DE"/>
        </w:rPr>
      </w:pPr>
      <w:r w:rsidRPr="004676F5">
        <w:rPr>
          <w:lang w:val="de-DE"/>
        </w:rPr>
        <w:tab/>
        <w:t>13. gegebenenfalls Hinweis auf bestehende einschlägige Verhaltenskodizes und darauf, wie Exemplare davon erhalten werden können,</w:t>
      </w:r>
    </w:p>
    <w:p w14:paraId="7A85BFC7" w14:textId="77777777" w:rsidR="00626208" w:rsidRPr="004676F5" w:rsidRDefault="00626208" w:rsidP="00626208">
      <w:pPr>
        <w:jc w:val="both"/>
        <w:rPr>
          <w:lang w:val="de-DE"/>
        </w:rPr>
      </w:pPr>
    </w:p>
    <w:p w14:paraId="781B2469" w14:textId="77777777" w:rsidR="00626208" w:rsidRPr="004676F5" w:rsidRDefault="00626208" w:rsidP="00626208">
      <w:pPr>
        <w:jc w:val="both"/>
        <w:rPr>
          <w:lang w:val="de-DE"/>
        </w:rPr>
      </w:pPr>
      <w:r w:rsidRPr="004676F5">
        <w:rPr>
          <w:lang w:val="de-DE"/>
        </w:rPr>
        <w:tab/>
        <w:t>14. gegebenenfalls Laufzeit des Vertrags oder Bedingungen der Kündigung unbefristeter Verträge oder sich automatisch verlängernder Verträge,</w:t>
      </w:r>
    </w:p>
    <w:p w14:paraId="4450B85F" w14:textId="77777777" w:rsidR="00626208" w:rsidRPr="004676F5" w:rsidRDefault="00626208" w:rsidP="00626208">
      <w:pPr>
        <w:jc w:val="both"/>
        <w:rPr>
          <w:lang w:val="de-DE"/>
        </w:rPr>
      </w:pPr>
    </w:p>
    <w:p w14:paraId="67BDE176" w14:textId="77777777" w:rsidR="00626208" w:rsidRPr="004676F5" w:rsidRDefault="00626208" w:rsidP="00626208">
      <w:pPr>
        <w:jc w:val="both"/>
        <w:rPr>
          <w:lang w:val="de-DE"/>
        </w:rPr>
      </w:pPr>
      <w:r w:rsidRPr="004676F5">
        <w:rPr>
          <w:lang w:val="de-DE"/>
        </w:rPr>
        <w:tab/>
        <w:t>15. gegebenenfalls Mindestdauer der Verpflichtungen, die der Verbraucher mit dem Vertrag eingeht,</w:t>
      </w:r>
    </w:p>
    <w:p w14:paraId="7A7F5A9C" w14:textId="77777777" w:rsidR="00626208" w:rsidRPr="004676F5" w:rsidRDefault="00626208" w:rsidP="00626208">
      <w:pPr>
        <w:jc w:val="both"/>
        <w:rPr>
          <w:lang w:val="de-DE"/>
        </w:rPr>
      </w:pPr>
    </w:p>
    <w:p w14:paraId="02C3FE59" w14:textId="77777777" w:rsidR="00626208" w:rsidRPr="004676F5" w:rsidRDefault="00626208" w:rsidP="00626208">
      <w:pPr>
        <w:jc w:val="both"/>
        <w:rPr>
          <w:lang w:val="de-DE"/>
        </w:rPr>
      </w:pPr>
      <w:r w:rsidRPr="004676F5">
        <w:rPr>
          <w:lang w:val="de-DE"/>
        </w:rPr>
        <w:tab/>
        <w:t>16. gegebenenfalls Hinweis auf die Tatsache, dass das Unternehmen vom Verbraucher die Stellung einer Kaution oder die Leistung anderer finanzieller Sicherheiten verlangen kann, sowie deren Bedingungen,</w:t>
      </w:r>
    </w:p>
    <w:p w14:paraId="3401508F" w14:textId="77777777" w:rsidR="00626208" w:rsidRPr="004676F5" w:rsidRDefault="00626208" w:rsidP="00626208">
      <w:pPr>
        <w:jc w:val="both"/>
        <w:rPr>
          <w:lang w:val="de-DE"/>
        </w:rPr>
      </w:pPr>
    </w:p>
    <w:p w14:paraId="49561177" w14:textId="77777777" w:rsidR="007E4A77" w:rsidRPr="004676F5" w:rsidRDefault="00626208" w:rsidP="007E4A77">
      <w:pPr>
        <w:jc w:val="both"/>
        <w:rPr>
          <w:lang w:val="de-DE"/>
        </w:rPr>
      </w:pPr>
      <w:r w:rsidRPr="004676F5">
        <w:rPr>
          <w:lang w:val="de-DE"/>
        </w:rPr>
        <w:lastRenderedPageBreak/>
        <w:tab/>
        <w:t>17. </w:t>
      </w:r>
      <w:r w:rsidR="007E4A77" w:rsidRPr="004676F5">
        <w:rPr>
          <w:lang w:val="de-DE"/>
        </w:rPr>
        <w:t>[gegebenenfalls Funktionalität von Waren mit digitalen Elementen, digitalen Inhalten und digitalen Dienstleistungen, einschließlich anwendbarer technischer Schutzmaß</w:t>
      </w:r>
      <w:r w:rsidR="007E4A77" w:rsidRPr="004676F5">
        <w:rPr>
          <w:lang w:val="de-DE"/>
        </w:rPr>
        <w:softHyphen/>
        <w:t>nahmen,</w:t>
      </w:r>
    </w:p>
    <w:p w14:paraId="05E8E12B" w14:textId="77777777" w:rsidR="007E4A77" w:rsidRPr="004676F5" w:rsidRDefault="007E4A77" w:rsidP="007E4A77">
      <w:pPr>
        <w:jc w:val="both"/>
        <w:rPr>
          <w:lang w:val="de-DE"/>
        </w:rPr>
      </w:pPr>
    </w:p>
    <w:p w14:paraId="00981CF9" w14:textId="3CE58A14" w:rsidR="00626208" w:rsidRPr="004676F5" w:rsidRDefault="007E4A77" w:rsidP="007E4A77">
      <w:pPr>
        <w:jc w:val="both"/>
        <w:rPr>
          <w:lang w:val="de-DE"/>
        </w:rPr>
      </w:pPr>
      <w:r w:rsidRPr="004676F5">
        <w:rPr>
          <w:lang w:val="de-DE"/>
        </w:rPr>
        <w:tab/>
        <w:t xml:space="preserve">18. gegebenenfalls </w:t>
      </w:r>
      <w:r w:rsidR="005B7A5C" w:rsidRPr="004676F5">
        <w:rPr>
          <w:lang w:val="de-DE"/>
        </w:rPr>
        <w:t>- </w:t>
      </w:r>
      <w:r w:rsidRPr="004676F5">
        <w:rPr>
          <w:lang w:val="de-DE"/>
        </w:rPr>
        <w:t>soweit wesentlich </w:t>
      </w:r>
      <w:r w:rsidR="005B7A5C" w:rsidRPr="004676F5">
        <w:rPr>
          <w:lang w:val="de-DE"/>
        </w:rPr>
        <w:t>- </w:t>
      </w:r>
      <w:r w:rsidRPr="004676F5">
        <w:rPr>
          <w:lang w:val="de-DE"/>
        </w:rPr>
        <w:t>Kompatibilität und Interoperabilität von Waren mit digitalen Elementen, digitalen Inhalten und digitalen Dienstleistungen, soweit diese dem Unternehmen bekannt sind oder vernünftigerweise bekannt sein müssen,]</w:t>
      </w:r>
    </w:p>
    <w:p w14:paraId="669C25D1" w14:textId="77777777" w:rsidR="00626208" w:rsidRPr="004676F5" w:rsidRDefault="00626208" w:rsidP="00626208">
      <w:pPr>
        <w:jc w:val="both"/>
        <w:rPr>
          <w:lang w:val="de-DE"/>
        </w:rPr>
      </w:pPr>
    </w:p>
    <w:p w14:paraId="0F63A6F6" w14:textId="08EA380D" w:rsidR="00626208" w:rsidRPr="004676F5" w:rsidRDefault="00626208" w:rsidP="00626208">
      <w:pPr>
        <w:jc w:val="both"/>
        <w:rPr>
          <w:lang w:val="de-DE"/>
        </w:rPr>
      </w:pPr>
      <w:r w:rsidRPr="004676F5">
        <w:rPr>
          <w:lang w:val="de-DE"/>
        </w:rPr>
        <w:tab/>
        <w:t>19. gegebenenfalls Möglichkeit des Zugangs zu einem außergerichtlichen Beschwerde</w:t>
      </w:r>
      <w:r w:rsidR="005B7A5C" w:rsidRPr="004676F5">
        <w:rPr>
          <w:lang w:val="de-DE"/>
        </w:rPr>
        <w:t>- </w:t>
      </w:r>
      <w:r w:rsidRPr="004676F5">
        <w:rPr>
          <w:lang w:val="de-DE"/>
        </w:rPr>
        <w:t>und Rechtsbehelfsverfahren, dem das Unternehmen unterworfen ist, und Voraussetzungen für diesen Zugang</w:t>
      </w:r>
      <w:r w:rsidR="007E4A77" w:rsidRPr="004676F5">
        <w:rPr>
          <w:lang w:val="de-DE"/>
        </w:rPr>
        <w:t>,</w:t>
      </w:r>
    </w:p>
    <w:p w14:paraId="04130D6B" w14:textId="77777777" w:rsidR="007E4A77" w:rsidRPr="004676F5" w:rsidRDefault="007E4A77" w:rsidP="00626208">
      <w:pPr>
        <w:jc w:val="both"/>
        <w:rPr>
          <w:lang w:val="de-DE"/>
        </w:rPr>
      </w:pPr>
    </w:p>
    <w:p w14:paraId="311A47D1" w14:textId="7ACB4C98" w:rsidR="007E4A77" w:rsidRPr="004676F5" w:rsidRDefault="007E4A77" w:rsidP="00626208">
      <w:pPr>
        <w:jc w:val="both"/>
        <w:rPr>
          <w:lang w:val="de-DE"/>
        </w:rPr>
      </w:pPr>
      <w:r w:rsidRPr="004676F5">
        <w:rPr>
          <w:lang w:val="de-DE"/>
        </w:rPr>
        <w:tab/>
        <w:t>[20. gegebenenfalls Hinweis, dass der Preis auf der Grundlage einer automatisierten Entscheidungsfindung personalisiert worden ist.]</w:t>
      </w:r>
    </w:p>
    <w:p w14:paraId="7D08D6BF" w14:textId="77777777" w:rsidR="00626208" w:rsidRPr="004676F5" w:rsidRDefault="00626208" w:rsidP="00626208">
      <w:pPr>
        <w:jc w:val="both"/>
        <w:rPr>
          <w:lang w:val="de-DE"/>
        </w:rPr>
      </w:pPr>
    </w:p>
    <w:p w14:paraId="5723641B" w14:textId="4F5FBB2A"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Im Falle einer öffentlichen Versteigerung können anstelle der in § 1 Nr. 2, 3 und 4 genannten Informationen die entsprechenden Angaben des mit dem öffentlichen Verkauf beauftragten ministeriellen Amtsträgers übermittelt werden.</w:t>
      </w:r>
    </w:p>
    <w:p w14:paraId="03C4506E" w14:textId="77777777" w:rsidR="00626208" w:rsidRPr="004676F5" w:rsidRDefault="00626208" w:rsidP="00626208">
      <w:pPr>
        <w:jc w:val="both"/>
        <w:rPr>
          <w:lang w:val="de-DE"/>
        </w:rPr>
      </w:pPr>
    </w:p>
    <w:p w14:paraId="1D4E3FAA" w14:textId="4D798C38"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Die Informationen nach § 1 Nr. 7, 8 und 9 können mittels der Muster-Widerrufsbelehrung gemäß Anlage 1 zu vorliegendem Buch gegeben werden. Die Informationspflicht des Unternehmens gemäß § 1 Nr. 7, 8 und 9 ist erfüllt, wenn das Unternehmen dieses Informationsformular zutreffend ausgefüllt dem Verbraucher übermittelt hat.</w:t>
      </w:r>
    </w:p>
    <w:p w14:paraId="5DED1CF8" w14:textId="77777777" w:rsidR="00626208" w:rsidRPr="004676F5" w:rsidRDefault="00626208" w:rsidP="00626208">
      <w:pPr>
        <w:jc w:val="both"/>
        <w:rPr>
          <w:lang w:val="de-DE"/>
        </w:rPr>
      </w:pPr>
    </w:p>
    <w:p w14:paraId="6C7D497B" w14:textId="1D34D579" w:rsidR="00626208" w:rsidRPr="004676F5" w:rsidRDefault="00626208" w:rsidP="00626208">
      <w:pPr>
        <w:jc w:val="both"/>
        <w:rPr>
          <w:lang w:val="de-DE"/>
        </w:rPr>
      </w:pPr>
      <w:r w:rsidRPr="004676F5">
        <w:rPr>
          <w:lang w:val="de-DE"/>
        </w:rPr>
        <w:tab/>
        <w:t>§ 4 </w:t>
      </w:r>
      <w:r w:rsidR="005B7A5C" w:rsidRPr="004676F5">
        <w:rPr>
          <w:lang w:val="de-DE"/>
        </w:rPr>
        <w:t>- </w:t>
      </w:r>
      <w:r w:rsidRPr="004676F5">
        <w:rPr>
          <w:lang w:val="de-DE"/>
        </w:rPr>
        <w:t>Die Informationen nach § 1 sind fester Bestandteil des außerhalb von Geschäftsräumen geschlossenen Vertrags und dürfen nicht geändert werden, es sei denn, die Vertragsparteien vereinbaren ausdrücklich etwas anderes.</w:t>
      </w:r>
    </w:p>
    <w:p w14:paraId="1D78E966" w14:textId="77777777" w:rsidR="00626208" w:rsidRPr="004676F5" w:rsidRDefault="00626208" w:rsidP="00626208">
      <w:pPr>
        <w:jc w:val="both"/>
        <w:rPr>
          <w:lang w:val="de-DE"/>
        </w:rPr>
      </w:pPr>
    </w:p>
    <w:p w14:paraId="429EAF51" w14:textId="66F82BF9" w:rsidR="00626208" w:rsidRPr="004676F5" w:rsidRDefault="00626208" w:rsidP="00626208">
      <w:pPr>
        <w:jc w:val="both"/>
        <w:rPr>
          <w:lang w:val="de-DE"/>
        </w:rPr>
      </w:pPr>
      <w:r w:rsidRPr="004676F5">
        <w:rPr>
          <w:lang w:val="de-DE"/>
        </w:rPr>
        <w:tab/>
        <w:t>§ 5 </w:t>
      </w:r>
      <w:r w:rsidR="005B7A5C" w:rsidRPr="004676F5">
        <w:rPr>
          <w:lang w:val="de-DE"/>
        </w:rPr>
        <w:t>- </w:t>
      </w:r>
      <w:r w:rsidRPr="004676F5">
        <w:rPr>
          <w:lang w:val="de-DE"/>
        </w:rPr>
        <w:t>Ist das Unternehmen seiner Pflicht zur Information über die zusätzlichen und sonstigen Kosten gemäß § 1 Nr. 5 oder über die Kosten für die Rücksendung der Waren gemäß § 1 Nr. 8 nicht nachgekommen, so hat der Verbraucher die zusätzlichen und sonstigen Kosten nicht zu tragen.</w:t>
      </w:r>
    </w:p>
    <w:p w14:paraId="5CB89848" w14:textId="77777777" w:rsidR="00626208" w:rsidRPr="004676F5" w:rsidRDefault="00626208" w:rsidP="00626208">
      <w:pPr>
        <w:jc w:val="both"/>
        <w:rPr>
          <w:lang w:val="de-DE"/>
        </w:rPr>
      </w:pPr>
    </w:p>
    <w:p w14:paraId="30B6E48A" w14:textId="167C1F62" w:rsidR="00626208" w:rsidRPr="004676F5" w:rsidRDefault="00626208" w:rsidP="00626208">
      <w:pPr>
        <w:jc w:val="both"/>
        <w:rPr>
          <w:lang w:val="de-DE"/>
        </w:rPr>
      </w:pPr>
      <w:r w:rsidRPr="004676F5">
        <w:rPr>
          <w:lang w:val="de-DE"/>
        </w:rPr>
        <w:tab/>
        <w:t>§ 6 </w:t>
      </w:r>
      <w:r w:rsidR="005B7A5C" w:rsidRPr="004676F5">
        <w:rPr>
          <w:lang w:val="de-DE"/>
        </w:rPr>
        <w:t>- </w:t>
      </w:r>
      <w:r w:rsidRPr="004676F5">
        <w:rPr>
          <w:lang w:val="de-DE"/>
        </w:rPr>
        <w:t>Die Beweislast für die Erfüllung der in vorliegendem Artikel genannten Informationspflichten obliegt dem Unternehmen.</w:t>
      </w:r>
    </w:p>
    <w:p w14:paraId="736A4890" w14:textId="77777777" w:rsidR="00626208" w:rsidRPr="004676F5" w:rsidRDefault="00626208" w:rsidP="00626208">
      <w:pPr>
        <w:jc w:val="both"/>
        <w:rPr>
          <w:lang w:val="de-DE"/>
        </w:rPr>
      </w:pPr>
    </w:p>
    <w:p w14:paraId="4F6EB2A0" w14:textId="48C77CFA" w:rsidR="00626208" w:rsidRPr="004676F5" w:rsidRDefault="00626208" w:rsidP="00626208">
      <w:pPr>
        <w:jc w:val="both"/>
        <w:rPr>
          <w:lang w:val="de-DE"/>
        </w:rPr>
      </w:pPr>
      <w:r w:rsidRPr="004676F5">
        <w:rPr>
          <w:lang w:val="de-DE"/>
        </w:rPr>
        <w:tab/>
        <w:t>§ 7 </w:t>
      </w:r>
      <w:r w:rsidR="005B7A5C" w:rsidRPr="004676F5">
        <w:rPr>
          <w:lang w:val="de-DE"/>
        </w:rPr>
        <w:t>- </w:t>
      </w:r>
      <w:r w:rsidRPr="004676F5">
        <w:rPr>
          <w:lang w:val="de-DE"/>
        </w:rPr>
        <w:t>Wenn der Verbraucher bei Verträgen, die außerhalb von Geschäftsräumen geschlossen werden, ausdrücklich die Dienste des Unternehmens zur Ausführung von Reparatur</w:t>
      </w:r>
      <w:r w:rsidR="005B7A5C" w:rsidRPr="004676F5">
        <w:rPr>
          <w:lang w:val="de-DE"/>
        </w:rPr>
        <w:t>- </w:t>
      </w:r>
      <w:r w:rsidRPr="004676F5">
        <w:rPr>
          <w:lang w:val="de-DE"/>
        </w:rPr>
        <w:t>oder Instandhaltungsarbeiten angefordert hat, das Unternehmen und der Verbraucher ihre vertraglichen Verpflichtungen sofort erfüllen und das vom Verbraucher zu zahlende Entgelt 200 EUR nicht übersteigt, kann der König Befreiungen von der in § 1 vorgesehenen Informationspflicht festlegen.</w:t>
      </w:r>
    </w:p>
    <w:p w14:paraId="64C776C5" w14:textId="77777777" w:rsidR="00626208" w:rsidRPr="004676F5" w:rsidRDefault="00626208" w:rsidP="00626208">
      <w:pPr>
        <w:jc w:val="both"/>
        <w:rPr>
          <w:lang w:val="de-DE"/>
        </w:rPr>
      </w:pPr>
    </w:p>
    <w:p w14:paraId="7B723734" w14:textId="31EC8981" w:rsidR="007E4A77" w:rsidRPr="004676F5" w:rsidRDefault="007E4A77" w:rsidP="00626208">
      <w:pPr>
        <w:jc w:val="both"/>
        <w:rPr>
          <w:i/>
          <w:iCs/>
          <w:lang w:val="de-DE"/>
        </w:rPr>
      </w:pPr>
      <w:r w:rsidRPr="004676F5">
        <w:rPr>
          <w:i/>
          <w:iCs/>
          <w:lang w:val="de-DE"/>
        </w:rPr>
        <w:t>[Art. VI.64 § 1 einziger Absatz Nr. 3 ersetzt durch Art. 23 Nr. 1 des G. vom 8. Mai 2022 (B.S. vom 2. Juni 2022); § 1 einziger Absatz Nr. 11 abgeändert durch Art. 14</w:t>
      </w:r>
      <w:r w:rsidRPr="004676F5">
        <w:rPr>
          <w:bCs/>
          <w:i/>
          <w:iCs/>
          <w:lang w:val="de-DE"/>
        </w:rPr>
        <w:t xml:space="preserve"> des G. vom 20. März 2022 (B.S. vom 31. März 2022); </w:t>
      </w:r>
      <w:r w:rsidRPr="004676F5">
        <w:rPr>
          <w:i/>
          <w:iCs/>
          <w:lang w:val="de-DE"/>
        </w:rPr>
        <w:t>§ 1 einziger Absatz Nr. 17 und 18 ersetzt durch Art. 23 Nr. 2 des G. vom 8. Mai 2022 (B.S. vom 2. Juni 2022); § 2 einziger Absatz Nr. 20 eingefügt durch Art. 23 Nr. 3 des G. vom 8. Mai 2022 (B.S. vom 2. Juni 2022)]</w:t>
      </w:r>
    </w:p>
    <w:p w14:paraId="3556DA8F" w14:textId="77777777" w:rsidR="007E4A77" w:rsidRPr="004676F5" w:rsidRDefault="007E4A77" w:rsidP="00626208">
      <w:pPr>
        <w:jc w:val="both"/>
        <w:rPr>
          <w:i/>
          <w:iCs/>
          <w:lang w:val="de-DE"/>
        </w:rPr>
      </w:pPr>
    </w:p>
    <w:p w14:paraId="53244AD1" w14:textId="77777777" w:rsidR="00626208" w:rsidRPr="004676F5" w:rsidRDefault="00626208" w:rsidP="00626208">
      <w:pPr>
        <w:jc w:val="both"/>
        <w:rPr>
          <w:lang w:val="de-DE"/>
        </w:rPr>
      </w:pPr>
    </w:p>
    <w:p w14:paraId="3257194E" w14:textId="32CFB90A" w:rsidR="00626208" w:rsidRPr="004676F5" w:rsidRDefault="00626208" w:rsidP="00626208">
      <w:pPr>
        <w:jc w:val="both"/>
        <w:rPr>
          <w:lang w:val="de-DE"/>
        </w:rPr>
      </w:pPr>
      <w:r w:rsidRPr="004676F5">
        <w:rPr>
          <w:lang w:val="de-DE"/>
        </w:rPr>
        <w:lastRenderedPageBreak/>
        <w:tab/>
      </w:r>
      <w:r w:rsidR="00BE0A56" w:rsidRPr="004676F5">
        <w:rPr>
          <w:b/>
          <w:lang w:val="de-DE"/>
        </w:rPr>
        <w:t>Art. </w:t>
      </w:r>
      <w:r w:rsidRPr="004676F5">
        <w:rPr>
          <w:b/>
          <w:lang w:val="de-DE"/>
        </w:rPr>
        <w:t>VI.65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Das Unternehmen stellt die in Artikel VI.64 § 1 vorgeschriebenen Informationen dem Verbraucher auf Papier oder, sofern der Verbraucher dem zustimmt, auf einem anderen dauerhaften Datenträger bereit. Diese Informationen müssen lesbar und in klarer und verständlicher Sprache abgefasst sein.</w:t>
      </w:r>
    </w:p>
    <w:p w14:paraId="527295F5" w14:textId="77777777" w:rsidR="00626208" w:rsidRPr="004676F5" w:rsidRDefault="00626208" w:rsidP="00626208">
      <w:pPr>
        <w:jc w:val="both"/>
        <w:rPr>
          <w:lang w:val="de-DE"/>
        </w:rPr>
      </w:pPr>
    </w:p>
    <w:p w14:paraId="10EFC2EE" w14:textId="58EDA17B"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Das Unternehmen stellt dem Verbraucher eine Kopie des unterzeichneten Vertragsdokuments oder die Bestätigung des geschlossenen Vertrags auf Papier oder, sofern der Verbraucher dem zustimmt, auf einem anderen dauerhaften Datenträger zur Verfügung, wobei diese Kopie gegebenenfalls auch die Bestätigung der vorherigen ausdrücklichen Zustimmung und der Kenntnisnahme des Verbrauchers gemäß Artikel VI.73 Nr. 13 umfasst.</w:t>
      </w:r>
    </w:p>
    <w:p w14:paraId="5915DFA7" w14:textId="77777777" w:rsidR="00626208" w:rsidRPr="004676F5" w:rsidRDefault="00626208" w:rsidP="00626208">
      <w:pPr>
        <w:jc w:val="both"/>
        <w:rPr>
          <w:lang w:val="de-DE"/>
        </w:rPr>
      </w:pPr>
    </w:p>
    <w:p w14:paraId="3731F68A" w14:textId="068AE63A" w:rsidR="00626208" w:rsidRPr="004676F5" w:rsidRDefault="00626208" w:rsidP="00626208">
      <w:pPr>
        <w:jc w:val="both"/>
        <w:rPr>
          <w:lang w:val="de-DE"/>
        </w:rPr>
      </w:pPr>
      <w:r w:rsidRPr="004676F5">
        <w:rPr>
          <w:lang w:val="de-DE"/>
        </w:rPr>
        <w:tab/>
      </w:r>
      <w:r w:rsidR="007E4A77" w:rsidRPr="004676F5">
        <w:rPr>
          <w:lang w:val="de-DE"/>
        </w:rPr>
        <w:t>[Möchte ein Verbraucher, dass die Dienstleistung oder die Lieferung von Wasser, Gas oder Strom, wenn sie nicht in einem begrenzten Volumen oder in einer bestimmten Menge zum Verkauf angeboten werden, oder von Fernwärme während der Widerrufsfrist gemäß Artikel VI.67 § 2 beginnt, und verpflichtet der Vertrag den Verbraucher zur Zahlung, so fordert das Unternehmen den Verbraucher dazu auf, ein entsprechendes ausdrückliches Verlangen auf einem dauerhaften Datenträger zu erklären, und verlangt vom Verbraucher die Bestätigung, dass dieser zur Kenntnis genommen hat, dass er das Widerrufsrecht mit vollständiger Vertragserfüllung durch das Unternehmen verliert.]</w:t>
      </w:r>
    </w:p>
    <w:p w14:paraId="7ED95A2B" w14:textId="77777777" w:rsidR="007E4A77" w:rsidRPr="004676F5" w:rsidRDefault="007E4A77" w:rsidP="00626208">
      <w:pPr>
        <w:jc w:val="both"/>
        <w:rPr>
          <w:lang w:val="de-DE"/>
        </w:rPr>
      </w:pPr>
    </w:p>
    <w:p w14:paraId="12CBE30D" w14:textId="3F4611BD" w:rsidR="00626208" w:rsidRPr="004676F5" w:rsidRDefault="007E4A77" w:rsidP="00626208">
      <w:pPr>
        <w:jc w:val="both"/>
        <w:rPr>
          <w:i/>
          <w:iCs/>
          <w:lang w:val="de-DE"/>
        </w:rPr>
      </w:pPr>
      <w:r w:rsidRPr="004676F5">
        <w:rPr>
          <w:i/>
          <w:iCs/>
          <w:lang w:val="de-DE"/>
        </w:rPr>
        <w:t>[Art. VI.65 § 2 Abs. 2 ersetzt durch Art. 24 des G. vom 8. Mai 2022 (B.S. vom 2. Juni 2022)</w:t>
      </w:r>
      <w:r w:rsidR="002C3625" w:rsidRPr="004676F5">
        <w:rPr>
          <w:i/>
          <w:iCs/>
          <w:lang w:val="de-DE"/>
        </w:rPr>
        <w:t>]</w:t>
      </w:r>
    </w:p>
    <w:p w14:paraId="32D2382C" w14:textId="77777777" w:rsidR="00626208" w:rsidRPr="004676F5" w:rsidRDefault="00626208" w:rsidP="00626208">
      <w:pPr>
        <w:jc w:val="both"/>
        <w:rPr>
          <w:lang w:val="de-DE"/>
        </w:rPr>
      </w:pPr>
    </w:p>
    <w:p w14:paraId="4E65D191" w14:textId="77777777" w:rsidR="007E4A77" w:rsidRPr="004676F5" w:rsidRDefault="007E4A77" w:rsidP="00626208">
      <w:pPr>
        <w:jc w:val="both"/>
        <w:rPr>
          <w:lang w:val="de-DE"/>
        </w:rPr>
      </w:pPr>
    </w:p>
    <w:p w14:paraId="45C1D0A4" w14:textId="275B2E48"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VI.66</w:t>
      </w:r>
      <w:r w:rsidRPr="004676F5">
        <w:rPr>
          <w:lang w:val="de-DE"/>
        </w:rPr>
        <w:t> </w:t>
      </w:r>
      <w:r w:rsidR="005B7A5C" w:rsidRPr="004676F5">
        <w:rPr>
          <w:lang w:val="de-DE"/>
        </w:rPr>
        <w:t>- </w:t>
      </w:r>
      <w:r w:rsidR="007E4A77" w:rsidRPr="004676F5">
        <w:rPr>
          <w:lang w:val="de-DE"/>
        </w:rPr>
        <w:t xml:space="preserve">[§ 1] </w:t>
      </w:r>
      <w:r w:rsidR="005B7A5C" w:rsidRPr="004676F5">
        <w:rPr>
          <w:lang w:val="de-DE"/>
        </w:rPr>
        <w:t>- </w:t>
      </w:r>
      <w:r w:rsidRPr="004676F5">
        <w:rPr>
          <w:lang w:val="de-DE"/>
        </w:rPr>
        <w:t>Vorliegendes Kapitel findet keine Anwendung auf:</w:t>
      </w:r>
    </w:p>
    <w:p w14:paraId="376E098E" w14:textId="77777777" w:rsidR="00626208" w:rsidRPr="004676F5" w:rsidRDefault="00626208" w:rsidP="00626208">
      <w:pPr>
        <w:jc w:val="both"/>
        <w:rPr>
          <w:lang w:val="de-DE"/>
        </w:rPr>
      </w:pPr>
    </w:p>
    <w:p w14:paraId="13716E98" w14:textId="77777777" w:rsidR="00626208" w:rsidRPr="004676F5" w:rsidRDefault="00626208" w:rsidP="00626208">
      <w:pPr>
        <w:jc w:val="both"/>
        <w:rPr>
          <w:lang w:val="de-DE"/>
        </w:rPr>
      </w:pPr>
      <w:r w:rsidRPr="004676F5">
        <w:rPr>
          <w:lang w:val="de-DE"/>
        </w:rPr>
        <w:tab/>
        <w:t>1. Verkäufe von Lebensmitteln, Getränken oder sonstigen Haushaltsgegenständen des täglichen Bedarfs, die am Wohnsitz, am Aufenthaltsort oder am Arbeitsplatz eines Verbrauchers von einem Unternehmen im Rahmen häufiger und regelmäßiger Fahrten geliefert werden,</w:t>
      </w:r>
    </w:p>
    <w:p w14:paraId="01AC872D" w14:textId="77777777" w:rsidR="00626208" w:rsidRPr="004676F5" w:rsidRDefault="00626208" w:rsidP="00626208">
      <w:pPr>
        <w:jc w:val="both"/>
        <w:rPr>
          <w:lang w:val="de-DE"/>
        </w:rPr>
      </w:pPr>
    </w:p>
    <w:p w14:paraId="52CA878A" w14:textId="77777777" w:rsidR="00626208" w:rsidRPr="004676F5" w:rsidRDefault="00626208" w:rsidP="00626208">
      <w:pPr>
        <w:jc w:val="both"/>
        <w:rPr>
          <w:lang w:val="de-DE"/>
        </w:rPr>
      </w:pPr>
      <w:r w:rsidRPr="004676F5">
        <w:rPr>
          <w:lang w:val="de-DE"/>
        </w:rPr>
        <w:tab/>
        <w:t>2. Versicherungsverträge,</w:t>
      </w:r>
    </w:p>
    <w:p w14:paraId="3EBE89D5" w14:textId="77777777" w:rsidR="00626208" w:rsidRPr="004676F5" w:rsidRDefault="00626208" w:rsidP="00626208">
      <w:pPr>
        <w:jc w:val="both"/>
        <w:rPr>
          <w:lang w:val="de-DE"/>
        </w:rPr>
      </w:pPr>
    </w:p>
    <w:p w14:paraId="2EBA92E9" w14:textId="77777777" w:rsidR="00626208" w:rsidRPr="004676F5" w:rsidRDefault="00626208" w:rsidP="00626208">
      <w:pPr>
        <w:jc w:val="both"/>
        <w:rPr>
          <w:lang w:val="de-DE"/>
        </w:rPr>
      </w:pPr>
      <w:r w:rsidRPr="004676F5">
        <w:rPr>
          <w:lang w:val="de-DE"/>
        </w:rPr>
        <w:tab/>
        <w:t>3. Verkäufe im Rahmen von Veranstaltungen ohne geschäftlichen Charakter und mit ausschließlich philanthropischem Zweck unter den in Anwendung des Gesetzes vom 25. Juni 1993 über die Ausübung des Wandergewerbes und die Organisation öffentlicher Märkte festgelegten Bedingungen und insofern sie jeweils nicht mehr als 50 EUR betragen. Der König kann diesen Betrag anpassen, insofern er nicht mehr als 50 EUR beträgt,</w:t>
      </w:r>
    </w:p>
    <w:p w14:paraId="46A2C904" w14:textId="77777777" w:rsidR="00626208" w:rsidRPr="004676F5" w:rsidRDefault="00626208" w:rsidP="00626208">
      <w:pPr>
        <w:jc w:val="both"/>
        <w:rPr>
          <w:lang w:val="de-DE"/>
        </w:rPr>
      </w:pPr>
    </w:p>
    <w:p w14:paraId="6E066628" w14:textId="77777777" w:rsidR="00626208" w:rsidRPr="004676F5" w:rsidRDefault="00626208" w:rsidP="00626208">
      <w:pPr>
        <w:jc w:val="both"/>
        <w:rPr>
          <w:lang w:val="de-DE"/>
        </w:rPr>
      </w:pPr>
      <w:r w:rsidRPr="004676F5">
        <w:rPr>
          <w:lang w:val="de-DE"/>
        </w:rPr>
        <w:tab/>
        <w:t>4. </w:t>
      </w:r>
      <w:r w:rsidR="00D104CB" w:rsidRPr="004676F5">
        <w:rPr>
          <w:lang w:val="de-DE"/>
        </w:rPr>
        <w:t>[</w:t>
      </w:r>
      <w:r w:rsidR="00496AA3" w:rsidRPr="004676F5">
        <w:rPr>
          <w:lang w:val="de-DE"/>
        </w:rPr>
        <w:t>Kreditverträge, die Buch VII des vorliegenden Gesetzbuches unterliegen.</w:t>
      </w:r>
      <w:r w:rsidR="00D104CB" w:rsidRPr="004676F5">
        <w:rPr>
          <w:lang w:val="de-DE"/>
        </w:rPr>
        <w:t xml:space="preserve">] </w:t>
      </w:r>
    </w:p>
    <w:p w14:paraId="068A0638" w14:textId="77777777" w:rsidR="00D104CB" w:rsidRPr="004676F5" w:rsidRDefault="00D104CB" w:rsidP="00626208">
      <w:pPr>
        <w:jc w:val="both"/>
        <w:rPr>
          <w:lang w:val="de-DE"/>
        </w:rPr>
      </w:pPr>
    </w:p>
    <w:p w14:paraId="1DF6AC14" w14:textId="095C9E65" w:rsidR="007E4A77" w:rsidRPr="004676F5" w:rsidRDefault="007E4A77" w:rsidP="007E4A77">
      <w:pPr>
        <w:jc w:val="both"/>
        <w:rPr>
          <w:lang w:val="de-DE"/>
        </w:rPr>
      </w:pPr>
      <w:r w:rsidRPr="004676F5">
        <w:rPr>
          <w:lang w:val="de-DE"/>
        </w:rPr>
        <w:tab/>
        <w:t>[§ 2 </w:t>
      </w:r>
      <w:r w:rsidR="005B7A5C" w:rsidRPr="004676F5">
        <w:rPr>
          <w:lang w:val="de-DE"/>
        </w:rPr>
        <w:t>- </w:t>
      </w:r>
      <w:r w:rsidRPr="004676F5">
        <w:rPr>
          <w:lang w:val="de-DE"/>
        </w:rPr>
        <w:t>Im Zusammenhang mit unerbetenen Besuchen eines Unternehmens in der Wohnung eines Verbrauchers oder Ausflügen, die von einem Unternehmen in der Absicht oder mit dem Ergebnis organisiert werden, dass für den Verkauf von Produkten bei Verbrauchern geworben wird oder Produkte an Verbraucher verkauft werden, kann der König durch einen im Ministerrat beratenen Erlass für Sektoren, die Er bestimmt, Maßnahmen zum Schutz der berechtigten Interessen der Verbraucher in Bezug auf aggressive oder irreführende Vermarktungs</w:t>
      </w:r>
      <w:r w:rsidR="005B7A5C" w:rsidRPr="004676F5">
        <w:rPr>
          <w:lang w:val="de-DE"/>
        </w:rPr>
        <w:t>- </w:t>
      </w:r>
      <w:r w:rsidRPr="004676F5">
        <w:rPr>
          <w:lang w:val="de-DE"/>
        </w:rPr>
        <w:t>oder Verkaufspraktiken ergreifen. Solche Bestimmungen sind verhältnismäßig, nicht diskriminierend und aus Gründen des Verbraucherschutzes gerechtfertigt.</w:t>
      </w:r>
    </w:p>
    <w:p w14:paraId="1B343E1B" w14:textId="77777777" w:rsidR="007E4A77" w:rsidRPr="004676F5" w:rsidRDefault="007E4A77" w:rsidP="007E4A77">
      <w:pPr>
        <w:jc w:val="both"/>
        <w:rPr>
          <w:lang w:val="de-DE"/>
        </w:rPr>
      </w:pPr>
    </w:p>
    <w:p w14:paraId="5F78BBEB" w14:textId="3E3F51AF" w:rsidR="007E4A77" w:rsidRPr="004676F5" w:rsidRDefault="007E4A77" w:rsidP="007E4A77">
      <w:pPr>
        <w:jc w:val="both"/>
        <w:rPr>
          <w:lang w:val="de-DE"/>
        </w:rPr>
      </w:pPr>
      <w:r w:rsidRPr="004676F5">
        <w:rPr>
          <w:lang w:val="de-DE"/>
        </w:rPr>
        <w:lastRenderedPageBreak/>
        <w:tab/>
        <w:t>Bevor der Minister einen Erlass zur Ausführung von Absatz 1 vorschlägt, konsultiert er den Besonderen Beratungsausschuss "Verbraucherschutz" und den Hohen Rat für Selbständige und KMB.]</w:t>
      </w:r>
    </w:p>
    <w:p w14:paraId="27829F6E" w14:textId="77777777" w:rsidR="00692B96" w:rsidRPr="004676F5" w:rsidRDefault="00692B96" w:rsidP="007E4A77">
      <w:pPr>
        <w:jc w:val="both"/>
        <w:rPr>
          <w:lang w:val="de-DE"/>
        </w:rPr>
      </w:pPr>
    </w:p>
    <w:p w14:paraId="005592EC" w14:textId="6A99D5F2" w:rsidR="00692B96" w:rsidRPr="004676F5" w:rsidRDefault="00692B96" w:rsidP="00692B96">
      <w:pPr>
        <w:jc w:val="both"/>
        <w:rPr>
          <w:lang w:val="de-DE"/>
        </w:rPr>
      </w:pPr>
      <w:r w:rsidRPr="004676F5">
        <w:rPr>
          <w:lang w:val="de-DE"/>
        </w:rPr>
        <w:tab/>
        <w:t>[§ 3 ­ Im Rahmen der in § 2 vorgesehenen Ermächtigung kann der König vorsehen, dass Unternehmen verpflichtet werden, ein Formular zu verwenden, mit dem Verbraucher angeben können, dass sie nicht mehr durch Besuche in der Wohnung von Unternehmen kontaktiert werden wollen. Dieses Formular enthält folgende Angaben:</w:t>
      </w:r>
    </w:p>
    <w:p w14:paraId="6DF20DB8" w14:textId="77777777" w:rsidR="00692B96" w:rsidRPr="004676F5" w:rsidRDefault="00692B96" w:rsidP="00692B96">
      <w:pPr>
        <w:jc w:val="both"/>
        <w:rPr>
          <w:lang w:val="de-DE"/>
        </w:rPr>
      </w:pPr>
    </w:p>
    <w:p w14:paraId="7A054F91" w14:textId="77777777" w:rsidR="00692B96" w:rsidRPr="004676F5" w:rsidRDefault="00692B96" w:rsidP="00692B96">
      <w:pPr>
        <w:jc w:val="both"/>
        <w:rPr>
          <w:lang w:val="de-DE"/>
        </w:rPr>
      </w:pPr>
      <w:r w:rsidRPr="004676F5">
        <w:rPr>
          <w:lang w:val="de-DE"/>
        </w:rPr>
        <w:tab/>
        <w:t>1. Kategorien von Personen, deren personenbezogene Daten verarbeitet werden können, das heißt Verbraucher, die von unerbetenen Besuchen in ihrer Wohnung betroffen sind,</w:t>
      </w:r>
    </w:p>
    <w:p w14:paraId="38CA6257" w14:textId="77777777" w:rsidR="00692B96" w:rsidRPr="004676F5" w:rsidRDefault="00692B96" w:rsidP="00692B96">
      <w:pPr>
        <w:jc w:val="both"/>
        <w:rPr>
          <w:lang w:val="de-DE"/>
        </w:rPr>
      </w:pPr>
    </w:p>
    <w:p w14:paraId="472B7667" w14:textId="77777777" w:rsidR="00692B96" w:rsidRPr="004676F5" w:rsidRDefault="00692B96" w:rsidP="00692B96">
      <w:pPr>
        <w:jc w:val="both"/>
        <w:rPr>
          <w:lang w:val="de-DE"/>
        </w:rPr>
      </w:pPr>
      <w:r w:rsidRPr="004676F5">
        <w:rPr>
          <w:lang w:val="de-DE"/>
        </w:rPr>
        <w:tab/>
        <w:t>2. Kategorien von personenbezogenen Daten, die von den in Absatz 2 erwähnten für die Verarbeitung Verantwortlichen verarbeitet werden, nämlich Kontakt- und Identifikationsdaten der Verbraucher,</w:t>
      </w:r>
    </w:p>
    <w:p w14:paraId="696A1C3E" w14:textId="77777777" w:rsidR="00692B96" w:rsidRPr="004676F5" w:rsidRDefault="00692B96" w:rsidP="00692B96">
      <w:pPr>
        <w:jc w:val="both"/>
        <w:rPr>
          <w:lang w:val="de-DE"/>
        </w:rPr>
      </w:pPr>
    </w:p>
    <w:p w14:paraId="5FF6E09B" w14:textId="2AB182E0" w:rsidR="00692B96" w:rsidRPr="004676F5" w:rsidRDefault="00692B96" w:rsidP="00692B96">
      <w:pPr>
        <w:jc w:val="both"/>
        <w:rPr>
          <w:lang w:val="de-DE"/>
        </w:rPr>
      </w:pPr>
      <w:r w:rsidRPr="004676F5">
        <w:rPr>
          <w:lang w:val="de-DE"/>
        </w:rPr>
        <w:tab/>
        <w:t>3. Personen, die über sichere Kommunikationsmittel Zugang zu den verarbeiteten Daten haben, das heißt höchstens das Unternehmen, das den Vertrag mit dem Verbraucher abschließen möchte, und alle natürlichen und juristischen Personen, die für Rechnung dieses Unternehmens handeln. Die in Absatz 1 Nr. 3 erwähnten Personen sind jeweils für die von ihnen vorgenommenen Verarbeitungen verantwortlich. Die Dauer der Verarbeitung und Aufbewahrung der personenbezogenen Daten darf nicht mehr als drei Jahre betragen.]</w:t>
      </w:r>
    </w:p>
    <w:p w14:paraId="1F4830CC" w14:textId="77777777" w:rsidR="007E4A77" w:rsidRPr="004676F5" w:rsidRDefault="007E4A77" w:rsidP="00626208">
      <w:pPr>
        <w:jc w:val="both"/>
        <w:rPr>
          <w:lang w:val="de-DE"/>
        </w:rPr>
      </w:pPr>
    </w:p>
    <w:p w14:paraId="781D4538" w14:textId="4AF57CA6" w:rsidR="00D104CB" w:rsidRPr="004676F5" w:rsidRDefault="00D104CB" w:rsidP="00626208">
      <w:pPr>
        <w:jc w:val="both"/>
        <w:rPr>
          <w:i/>
          <w:lang w:val="de-DE"/>
        </w:rPr>
      </w:pPr>
      <w:r w:rsidRPr="004676F5">
        <w:rPr>
          <w:i/>
          <w:lang w:val="de-DE"/>
        </w:rPr>
        <w:t>[</w:t>
      </w:r>
      <w:r w:rsidR="00BE0A56" w:rsidRPr="004676F5">
        <w:rPr>
          <w:i/>
          <w:lang w:val="de-DE"/>
        </w:rPr>
        <w:t>Art. </w:t>
      </w:r>
      <w:r w:rsidRPr="004676F5">
        <w:rPr>
          <w:i/>
          <w:lang w:val="de-DE"/>
        </w:rPr>
        <w:t xml:space="preserve">VI.66 </w:t>
      </w:r>
      <w:r w:rsidR="007E4A77" w:rsidRPr="004676F5">
        <w:rPr>
          <w:i/>
          <w:lang w:val="de-DE"/>
        </w:rPr>
        <w:t>§ 1 (früherer einziger Absatz) nummeriert durch Art. 25</w:t>
      </w:r>
      <w:r w:rsidR="007E4A77" w:rsidRPr="004676F5">
        <w:rPr>
          <w:i/>
          <w:iCs/>
          <w:lang w:val="de-DE"/>
        </w:rPr>
        <w:t xml:space="preserve"> des G. vom 8. Mai 2022 (B.S. vom 2. Juni 2022); § 1 </w:t>
      </w:r>
      <w:r w:rsidRPr="004676F5">
        <w:rPr>
          <w:i/>
          <w:lang w:val="de-DE"/>
        </w:rPr>
        <w:t xml:space="preserve">einziger Absatz Nr. 4 ersetzt durch </w:t>
      </w:r>
      <w:r w:rsidR="00BE0A56" w:rsidRPr="004676F5">
        <w:rPr>
          <w:i/>
          <w:lang w:val="de-DE"/>
        </w:rPr>
        <w:t>Art. </w:t>
      </w:r>
      <w:r w:rsidR="00496AA3" w:rsidRPr="004676F5">
        <w:rPr>
          <w:i/>
          <w:lang w:val="de-DE"/>
        </w:rPr>
        <w:t>36 des G. vom 22. April 2016 (B.S. vom 4. Mai 2016)</w:t>
      </w:r>
      <w:r w:rsidR="007E4A77" w:rsidRPr="004676F5">
        <w:rPr>
          <w:i/>
          <w:lang w:val="de-DE"/>
        </w:rPr>
        <w:t>; § 2 eingefügt durch Art. 25</w:t>
      </w:r>
      <w:r w:rsidR="007E4A77" w:rsidRPr="004676F5">
        <w:rPr>
          <w:i/>
          <w:iCs/>
          <w:lang w:val="de-DE"/>
        </w:rPr>
        <w:t xml:space="preserve"> des G. vom 8. Mai 2022 (B.S. vom 2. Juni 2022)</w:t>
      </w:r>
      <w:r w:rsidR="00692B96" w:rsidRPr="004676F5">
        <w:rPr>
          <w:i/>
          <w:iCs/>
          <w:lang w:val="de-DE"/>
        </w:rPr>
        <w:t>; § 3 eingefügt durch Art. 1</w:t>
      </w:r>
      <w:r w:rsidR="0090288E" w:rsidRPr="004676F5">
        <w:rPr>
          <w:i/>
          <w:iCs/>
          <w:lang w:val="de-DE"/>
        </w:rPr>
        <w:t>2</w:t>
      </w:r>
      <w:r w:rsidR="00692B96" w:rsidRPr="004676F5">
        <w:rPr>
          <w:i/>
          <w:lang w:val="de-DE"/>
        </w:rPr>
        <w:t xml:space="preserve"> des G. vom 5. November 2023</w:t>
      </w:r>
      <w:r w:rsidR="003454B3" w:rsidRPr="004676F5">
        <w:rPr>
          <w:i/>
          <w:lang w:val="de-DE"/>
        </w:rPr>
        <w:t xml:space="preserve"> (I)</w:t>
      </w:r>
      <w:r w:rsidR="00692B96" w:rsidRPr="004676F5">
        <w:rPr>
          <w:i/>
          <w:lang w:val="de-DE"/>
        </w:rPr>
        <w:t xml:space="preserve"> (B.S. vom 11. Dezember 2023)</w:t>
      </w:r>
      <w:r w:rsidRPr="004676F5">
        <w:rPr>
          <w:i/>
          <w:lang w:val="de-DE"/>
        </w:rPr>
        <w:t>]</w:t>
      </w:r>
    </w:p>
    <w:p w14:paraId="15F55C00" w14:textId="77777777" w:rsidR="00626208" w:rsidRPr="004676F5" w:rsidRDefault="00626208" w:rsidP="00626208">
      <w:pPr>
        <w:jc w:val="both"/>
        <w:rPr>
          <w:lang w:val="de-DE"/>
        </w:rPr>
      </w:pPr>
    </w:p>
    <w:p w14:paraId="00D719C9" w14:textId="77777777" w:rsidR="00626208" w:rsidRPr="004676F5" w:rsidRDefault="00626208" w:rsidP="00626208">
      <w:pPr>
        <w:jc w:val="both"/>
        <w:rPr>
          <w:lang w:val="de-DE"/>
        </w:rPr>
      </w:pPr>
    </w:p>
    <w:p w14:paraId="5704E6D2" w14:textId="1A59FC71"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VI.67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des Artikels VI.73 steht dem Verbraucher eine Frist von vierzehn Tagen zu, in der er einen außerhalb von Geschäftsräumen geschlossenen Vertrag ohne Angabe von Gründen und ohne andere Kosten als in Artikel VI.70 § 1 Absatz 2 und Artikel VI.71 vorgesehen widerrufen kann.</w:t>
      </w:r>
    </w:p>
    <w:p w14:paraId="2E9B8AA8" w14:textId="77777777" w:rsidR="0068045B" w:rsidRPr="004676F5" w:rsidRDefault="0068045B" w:rsidP="00626208">
      <w:pPr>
        <w:jc w:val="both"/>
        <w:rPr>
          <w:lang w:val="de-DE"/>
        </w:rPr>
      </w:pPr>
    </w:p>
    <w:p w14:paraId="19DE650A" w14:textId="02BCF384"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Unbeschadet des Artikels VI.68 endet die in § 1 vorgesehene Widerrufsfrist:</w:t>
      </w:r>
    </w:p>
    <w:p w14:paraId="03D6F38C" w14:textId="77777777" w:rsidR="00626208" w:rsidRPr="004676F5" w:rsidRDefault="00626208" w:rsidP="00626208">
      <w:pPr>
        <w:jc w:val="both"/>
        <w:rPr>
          <w:lang w:val="de-DE"/>
        </w:rPr>
      </w:pPr>
    </w:p>
    <w:p w14:paraId="6849FD33" w14:textId="77777777" w:rsidR="00626208" w:rsidRPr="004676F5" w:rsidRDefault="00626208" w:rsidP="00626208">
      <w:pPr>
        <w:jc w:val="both"/>
        <w:rPr>
          <w:lang w:val="de-DE"/>
        </w:rPr>
      </w:pPr>
      <w:r w:rsidRPr="004676F5">
        <w:rPr>
          <w:lang w:val="de-DE"/>
        </w:rPr>
        <w:tab/>
        <w:t>1. bei Dienstleistungsverträgen vierzehn Tage ab dem Tag des Vertragsabschlusses,</w:t>
      </w:r>
    </w:p>
    <w:p w14:paraId="79838855" w14:textId="77777777" w:rsidR="00626208" w:rsidRPr="004676F5" w:rsidRDefault="00626208" w:rsidP="00626208">
      <w:pPr>
        <w:jc w:val="both"/>
        <w:rPr>
          <w:lang w:val="de-DE"/>
        </w:rPr>
      </w:pPr>
    </w:p>
    <w:p w14:paraId="461219EB" w14:textId="77777777" w:rsidR="00626208" w:rsidRPr="004676F5" w:rsidRDefault="00626208" w:rsidP="00626208">
      <w:pPr>
        <w:jc w:val="both"/>
        <w:rPr>
          <w:lang w:val="de-DE"/>
        </w:rPr>
      </w:pPr>
      <w:r w:rsidRPr="004676F5">
        <w:rPr>
          <w:lang w:val="de-DE"/>
        </w:rPr>
        <w:tab/>
        <w:t>2. bei Kaufverträgen vierzehn Tage ab dem Tag, an dem der Verbraucher oder ein vom Verbraucher benannter Dritter, der nicht der Beförderer ist, in den physischen Besitz der Waren gelangt, oder:</w:t>
      </w:r>
    </w:p>
    <w:p w14:paraId="3F791BB8" w14:textId="77777777" w:rsidR="00626208" w:rsidRPr="004676F5" w:rsidRDefault="00626208" w:rsidP="00626208">
      <w:pPr>
        <w:jc w:val="both"/>
        <w:rPr>
          <w:lang w:val="de-DE"/>
        </w:rPr>
      </w:pPr>
    </w:p>
    <w:p w14:paraId="24294966"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wenn der Verbraucher mehrere Waren im Rahmen einer einheitlichen Bestellung bestellt hat, die getrennt geliefert werden, ab dem Tag, an dem der Verbraucher oder ein vom Verbraucher benannter Dritter, der nicht der Beförderer ist, in den physischen Besitz der letzten Ware gelangt,</w:t>
      </w:r>
    </w:p>
    <w:p w14:paraId="5EF18294" w14:textId="77777777" w:rsidR="00626208" w:rsidRPr="004676F5" w:rsidRDefault="00626208" w:rsidP="00626208">
      <w:pPr>
        <w:jc w:val="both"/>
        <w:rPr>
          <w:lang w:val="de-DE"/>
        </w:rPr>
      </w:pPr>
    </w:p>
    <w:p w14:paraId="722B4E44"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bei Lieferung einer Ware in mehreren Teilsendungen oder Stücken ab dem Tag, an dem der Verbraucher oder ein vom Verbraucher benannter Dritter, der nicht der Beförderer ist, in den physischen Besitz der letzten Teilsendung oder des letzten Stücks gelangt,</w:t>
      </w:r>
    </w:p>
    <w:p w14:paraId="02667321" w14:textId="77777777" w:rsidR="00626208" w:rsidRPr="004676F5" w:rsidRDefault="00626208" w:rsidP="00626208">
      <w:pPr>
        <w:jc w:val="both"/>
        <w:rPr>
          <w:lang w:val="de-DE"/>
        </w:rPr>
      </w:pPr>
    </w:p>
    <w:p w14:paraId="2F5B662C" w14:textId="77777777" w:rsidR="00626208" w:rsidRPr="004676F5" w:rsidRDefault="00626208" w:rsidP="00626208">
      <w:pPr>
        <w:jc w:val="both"/>
        <w:rPr>
          <w:lang w:val="de-DE"/>
        </w:rPr>
      </w:pPr>
      <w:r w:rsidRPr="004676F5">
        <w:rPr>
          <w:lang w:val="de-DE"/>
        </w:rPr>
        <w:tab/>
      </w:r>
      <w:r w:rsidRPr="004676F5">
        <w:rPr>
          <w:i/>
          <w:lang w:val="de-DE"/>
        </w:rPr>
        <w:t>c)</w:t>
      </w:r>
      <w:r w:rsidRPr="004676F5">
        <w:rPr>
          <w:lang w:val="de-DE"/>
        </w:rPr>
        <w:t> bei Verträgen zur regelmäßigen Lieferung von Waren über einen festgelegten Zeitraum hinweg ab dem Tag, an dem der Verbraucher oder ein vom Verbraucher benannter Dritter, der nicht der Beförderer ist, in den physischen Besitz der ersten Ware gelangt,</w:t>
      </w:r>
    </w:p>
    <w:p w14:paraId="606B6DC4" w14:textId="77777777" w:rsidR="00626208" w:rsidRPr="004676F5" w:rsidRDefault="00626208" w:rsidP="00626208">
      <w:pPr>
        <w:jc w:val="both"/>
        <w:rPr>
          <w:lang w:val="de-DE"/>
        </w:rPr>
      </w:pPr>
    </w:p>
    <w:p w14:paraId="145EE97F" w14:textId="77777777" w:rsidR="00626208" w:rsidRPr="004676F5" w:rsidRDefault="00626208" w:rsidP="00626208">
      <w:pPr>
        <w:jc w:val="both"/>
        <w:rPr>
          <w:lang w:val="de-DE"/>
        </w:rPr>
      </w:pPr>
      <w:r w:rsidRPr="004676F5">
        <w:rPr>
          <w:lang w:val="de-DE"/>
        </w:rPr>
        <w:tab/>
        <w:t>3. bei Verträgen über die Lieferung von Wasser, Gas oder Strom, wenn sie nicht in einem begrenzten Volumen oder in einer bestimmten Menge zum Verkauf angeboten werden, und von Fernwärme vierzehn Tage ab dem Tag des Vertragsabschlusses.</w:t>
      </w:r>
    </w:p>
    <w:p w14:paraId="18307931" w14:textId="77777777" w:rsidR="00626208" w:rsidRPr="004676F5" w:rsidRDefault="00626208" w:rsidP="00626208">
      <w:pPr>
        <w:jc w:val="both"/>
        <w:rPr>
          <w:lang w:val="de-DE"/>
        </w:rPr>
      </w:pPr>
    </w:p>
    <w:p w14:paraId="16A60E4A" w14:textId="77777777" w:rsidR="00626208" w:rsidRPr="004676F5" w:rsidRDefault="00626208" w:rsidP="00626208">
      <w:pPr>
        <w:jc w:val="both"/>
        <w:rPr>
          <w:lang w:val="de-DE"/>
        </w:rPr>
      </w:pPr>
      <w:r w:rsidRPr="004676F5">
        <w:rPr>
          <w:lang w:val="de-DE"/>
        </w:rPr>
        <w:tab/>
      </w:r>
      <w:r w:rsidR="00DD5C89" w:rsidRPr="004676F5">
        <w:rPr>
          <w:lang w:val="de-DE"/>
        </w:rPr>
        <w:t>[...]</w:t>
      </w:r>
    </w:p>
    <w:p w14:paraId="7B7EFD47" w14:textId="77777777" w:rsidR="00DD5C89" w:rsidRPr="004676F5" w:rsidRDefault="00DD5C89" w:rsidP="00626208">
      <w:pPr>
        <w:jc w:val="both"/>
        <w:rPr>
          <w:lang w:val="de-DE"/>
        </w:rPr>
      </w:pPr>
    </w:p>
    <w:p w14:paraId="51C7892C" w14:textId="3D4CFF08" w:rsidR="00DD5C89" w:rsidRPr="004676F5" w:rsidRDefault="00DD5C89" w:rsidP="00626208">
      <w:pPr>
        <w:jc w:val="both"/>
        <w:rPr>
          <w:i/>
          <w:lang w:val="de-DE"/>
        </w:rPr>
      </w:pPr>
      <w:r w:rsidRPr="004676F5">
        <w:rPr>
          <w:i/>
          <w:lang w:val="de-DE"/>
        </w:rPr>
        <w:t>[</w:t>
      </w:r>
      <w:r w:rsidR="00BE0A56" w:rsidRPr="004676F5">
        <w:rPr>
          <w:i/>
          <w:lang w:val="de-DE"/>
        </w:rPr>
        <w:t>Art. </w:t>
      </w:r>
      <w:r w:rsidRPr="004676F5">
        <w:rPr>
          <w:i/>
          <w:lang w:val="de-DE"/>
        </w:rPr>
        <w:t xml:space="preserve">VI.67 </w:t>
      </w:r>
      <w:r w:rsidR="0054667D" w:rsidRPr="004676F5">
        <w:rPr>
          <w:i/>
          <w:lang w:val="de-DE"/>
        </w:rPr>
        <w:t xml:space="preserve">§ 2 </w:t>
      </w:r>
      <w:r w:rsidRPr="004676F5">
        <w:rPr>
          <w:i/>
          <w:lang w:val="de-DE"/>
        </w:rPr>
        <w:t xml:space="preserve">früherer Absatz 2 aufgehoben durch </w:t>
      </w:r>
      <w:r w:rsidR="00BE0A56" w:rsidRPr="004676F5">
        <w:rPr>
          <w:i/>
          <w:lang w:val="de-DE"/>
        </w:rPr>
        <w:t>Art. </w:t>
      </w:r>
      <w:r w:rsidRPr="004676F5">
        <w:rPr>
          <w:i/>
          <w:lang w:val="de-DE"/>
        </w:rPr>
        <w:t>10</w:t>
      </w:r>
      <w:r w:rsidRPr="004676F5">
        <w:rPr>
          <w:i/>
          <w:iCs/>
          <w:lang w:val="de-DE"/>
        </w:rPr>
        <w:t xml:space="preserve"> </w:t>
      </w:r>
      <w:r w:rsidRPr="004676F5">
        <w:rPr>
          <w:i/>
          <w:lang w:val="de-DE"/>
        </w:rPr>
        <w:t>des G. vom 26. Oktober 2015 (B.S. vom 30. Oktober 2015)]</w:t>
      </w:r>
    </w:p>
    <w:p w14:paraId="6EE64AE7" w14:textId="77777777" w:rsidR="00626208" w:rsidRPr="004676F5" w:rsidRDefault="00626208" w:rsidP="00626208">
      <w:pPr>
        <w:jc w:val="both"/>
        <w:rPr>
          <w:lang w:val="de-DE"/>
        </w:rPr>
      </w:pPr>
    </w:p>
    <w:p w14:paraId="13D46BAB" w14:textId="77777777" w:rsidR="00626208" w:rsidRPr="004676F5" w:rsidRDefault="00626208" w:rsidP="00626208">
      <w:pPr>
        <w:jc w:val="both"/>
        <w:rPr>
          <w:lang w:val="de-DE"/>
        </w:rPr>
      </w:pPr>
    </w:p>
    <w:p w14:paraId="57333A63" w14:textId="39A8F640"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VI.68</w:t>
      </w:r>
      <w:r w:rsidRPr="004676F5">
        <w:rPr>
          <w:lang w:val="de-DE"/>
        </w:rPr>
        <w:t> </w:t>
      </w:r>
      <w:r w:rsidR="005B7A5C" w:rsidRPr="004676F5">
        <w:rPr>
          <w:lang w:val="de-DE"/>
        </w:rPr>
        <w:t>- </w:t>
      </w:r>
      <w:r w:rsidRPr="004676F5">
        <w:rPr>
          <w:lang w:val="de-DE"/>
        </w:rPr>
        <w:t>Hat das Unternehmen den Verbraucher nicht gemäß Artikel VI.64 § 1 Nr. 7 über sein Widerrufsrecht belehrt, so läuft die Widerrufsfrist zwölf Monate nach Ablauf der ursprünglichen Widerrufsfrist gemäß Artikel VI.67 § 2 ab.</w:t>
      </w:r>
    </w:p>
    <w:p w14:paraId="6353DBCD" w14:textId="77777777" w:rsidR="00626208" w:rsidRPr="004676F5" w:rsidRDefault="00626208" w:rsidP="00626208">
      <w:pPr>
        <w:jc w:val="both"/>
        <w:rPr>
          <w:lang w:val="de-DE"/>
        </w:rPr>
      </w:pPr>
    </w:p>
    <w:p w14:paraId="232440A2" w14:textId="77777777" w:rsidR="00626208" w:rsidRPr="004676F5" w:rsidRDefault="00626208" w:rsidP="00626208">
      <w:pPr>
        <w:jc w:val="both"/>
        <w:rPr>
          <w:lang w:val="de-DE"/>
        </w:rPr>
      </w:pPr>
      <w:r w:rsidRPr="004676F5">
        <w:rPr>
          <w:lang w:val="de-DE"/>
        </w:rPr>
        <w:tab/>
        <w:t>Hat das Unternehmen dem Verbraucher die in Absatz 1 genannten Informationen binnen zwölf Monaten ab dem in Artikel VI.67 § 2 genannten Tag erteilt, so endet die Widerrufsfrist vierzehn Tage nach dem Tag, an dem der Verbraucher diese Informationen erhalten hat.</w:t>
      </w:r>
    </w:p>
    <w:p w14:paraId="40D055AD" w14:textId="77777777" w:rsidR="00626208" w:rsidRPr="004676F5" w:rsidRDefault="00626208" w:rsidP="00626208">
      <w:pPr>
        <w:jc w:val="both"/>
        <w:rPr>
          <w:lang w:val="de-DE"/>
        </w:rPr>
      </w:pPr>
    </w:p>
    <w:p w14:paraId="1373AAFD" w14:textId="77777777" w:rsidR="00F70FB6" w:rsidRPr="004676F5" w:rsidRDefault="00F70FB6" w:rsidP="00626208">
      <w:pPr>
        <w:jc w:val="both"/>
        <w:rPr>
          <w:lang w:val="de-DE"/>
        </w:rPr>
      </w:pPr>
    </w:p>
    <w:p w14:paraId="577356EB" w14:textId="301B62AA"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VI.69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Verbraucher informiert das Unternehmen vor Ablauf der Widerrufsfrist über seinen Entschluss, den Vertrag zu widerrufen. Der Verbraucher kann zu diesem Zweck entweder:</w:t>
      </w:r>
    </w:p>
    <w:p w14:paraId="7EDA593F" w14:textId="77777777" w:rsidR="00626208" w:rsidRPr="004676F5" w:rsidRDefault="00626208" w:rsidP="00626208">
      <w:pPr>
        <w:jc w:val="both"/>
        <w:rPr>
          <w:lang w:val="de-DE"/>
        </w:rPr>
      </w:pPr>
    </w:p>
    <w:p w14:paraId="199ECAF6" w14:textId="77777777" w:rsidR="00626208" w:rsidRPr="004676F5" w:rsidRDefault="00626208" w:rsidP="00626208">
      <w:pPr>
        <w:jc w:val="both"/>
        <w:rPr>
          <w:lang w:val="de-DE"/>
        </w:rPr>
      </w:pPr>
      <w:r w:rsidRPr="004676F5">
        <w:rPr>
          <w:lang w:val="de-DE"/>
        </w:rPr>
        <w:tab/>
        <w:t>1. das Muster-Widerrufsformular gemäß Anlage 2 zu vorliegendem Buch verwenden oder</w:t>
      </w:r>
    </w:p>
    <w:p w14:paraId="7BDD099E" w14:textId="77777777" w:rsidR="00626208" w:rsidRPr="004676F5" w:rsidRDefault="00626208" w:rsidP="00626208">
      <w:pPr>
        <w:jc w:val="both"/>
        <w:rPr>
          <w:lang w:val="de-DE"/>
        </w:rPr>
      </w:pPr>
    </w:p>
    <w:p w14:paraId="69C6F2D3" w14:textId="77777777" w:rsidR="00626208" w:rsidRPr="004676F5" w:rsidRDefault="00626208" w:rsidP="00626208">
      <w:pPr>
        <w:jc w:val="both"/>
        <w:rPr>
          <w:lang w:val="de-DE"/>
        </w:rPr>
      </w:pPr>
      <w:r w:rsidRPr="004676F5">
        <w:rPr>
          <w:lang w:val="de-DE"/>
        </w:rPr>
        <w:tab/>
        <w:t>2. eine entsprechende eindeutige Erklärung in beliebiger anderer Form abgeben, aus der sein Entschluss zum Widerruf des Vertrags eindeutig hervorgeht.</w:t>
      </w:r>
    </w:p>
    <w:p w14:paraId="105E6F62" w14:textId="77777777" w:rsidR="00626208" w:rsidRPr="004676F5" w:rsidRDefault="00626208" w:rsidP="00626208">
      <w:pPr>
        <w:jc w:val="both"/>
        <w:rPr>
          <w:lang w:val="de-DE"/>
        </w:rPr>
      </w:pPr>
    </w:p>
    <w:p w14:paraId="11E3B734" w14:textId="4044FA65"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Die in Artikel VI.67 § 2 und in Artikel VI.68 genannte Widerrufsfrist ist gewahrt, wenn der Verbraucher die Mitteilung über die Ausübung des Widerrufsrechts vor Ablauf der Widerrufsfrist absendet.</w:t>
      </w:r>
    </w:p>
    <w:p w14:paraId="67F80CFF" w14:textId="77777777" w:rsidR="00626208" w:rsidRPr="004676F5" w:rsidRDefault="00626208" w:rsidP="00626208">
      <w:pPr>
        <w:jc w:val="both"/>
        <w:rPr>
          <w:lang w:val="de-DE"/>
        </w:rPr>
      </w:pPr>
    </w:p>
    <w:p w14:paraId="32177AF0" w14:textId="066DB210"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Das Unternehmen kann dem Verbraucher zusätzlich zu den in § 1 genannten Möglichkeiten auch die Wahl einräumen, entweder das Muster-Widerrufsformular gemäß Anlage 2 zu vorliegendem Buch oder eine entsprechende eindeutige Erklärung in beliebiger anderer Form auf der Webseite des Unternehmens elektronisch auszufüllen und abzuschicken. In diesen Fällen hat das Unternehmen dem Verbraucher unverzüglich auf einem dauerhaften Datenträger eine Bestätigung über den Eingang des Widerrufs zu übermitteln.</w:t>
      </w:r>
    </w:p>
    <w:p w14:paraId="49D41D08" w14:textId="77777777" w:rsidR="00626208" w:rsidRPr="004676F5" w:rsidRDefault="00626208" w:rsidP="00626208">
      <w:pPr>
        <w:jc w:val="both"/>
        <w:rPr>
          <w:lang w:val="de-DE"/>
        </w:rPr>
      </w:pPr>
    </w:p>
    <w:p w14:paraId="696A9F8F" w14:textId="0311485A" w:rsidR="00626208" w:rsidRPr="004676F5" w:rsidRDefault="00626208" w:rsidP="00626208">
      <w:pPr>
        <w:jc w:val="both"/>
        <w:rPr>
          <w:lang w:val="de-DE"/>
        </w:rPr>
      </w:pPr>
      <w:r w:rsidRPr="004676F5">
        <w:rPr>
          <w:lang w:val="de-DE"/>
        </w:rPr>
        <w:tab/>
        <w:t>§ 4 </w:t>
      </w:r>
      <w:r w:rsidR="005B7A5C" w:rsidRPr="004676F5">
        <w:rPr>
          <w:lang w:val="de-DE"/>
        </w:rPr>
        <w:t>- </w:t>
      </w:r>
      <w:r w:rsidRPr="004676F5">
        <w:rPr>
          <w:lang w:val="de-DE"/>
        </w:rPr>
        <w:t>Die Beweislast für die Ausübung des Widerrufsrechts nach vorliegendem Artikel obliegt dem Verbraucher.</w:t>
      </w:r>
    </w:p>
    <w:p w14:paraId="3A78211E" w14:textId="77777777" w:rsidR="00626208" w:rsidRPr="004676F5" w:rsidRDefault="00626208" w:rsidP="00626208">
      <w:pPr>
        <w:jc w:val="both"/>
        <w:rPr>
          <w:lang w:val="de-DE"/>
        </w:rPr>
      </w:pPr>
    </w:p>
    <w:p w14:paraId="2D9B5284" w14:textId="77777777" w:rsidR="00F70FB6" w:rsidRPr="004676F5" w:rsidRDefault="00F70FB6" w:rsidP="00626208">
      <w:pPr>
        <w:jc w:val="both"/>
        <w:rPr>
          <w:lang w:val="de-DE"/>
        </w:rPr>
      </w:pPr>
    </w:p>
    <w:p w14:paraId="3AB96AE5" w14:textId="7ED3CB2B" w:rsidR="00626208" w:rsidRPr="004676F5" w:rsidRDefault="00626208" w:rsidP="00626208">
      <w:pPr>
        <w:jc w:val="both"/>
        <w:rPr>
          <w:lang w:val="de-DE"/>
        </w:rPr>
      </w:pPr>
      <w:r w:rsidRPr="004676F5">
        <w:rPr>
          <w:lang w:val="de-DE"/>
        </w:rPr>
        <w:lastRenderedPageBreak/>
        <w:tab/>
      </w:r>
      <w:r w:rsidR="00BE0A56" w:rsidRPr="004676F5">
        <w:rPr>
          <w:b/>
          <w:lang w:val="de-DE"/>
        </w:rPr>
        <w:t>Art. </w:t>
      </w:r>
      <w:r w:rsidRPr="004676F5">
        <w:rPr>
          <w:b/>
          <w:lang w:val="de-DE"/>
        </w:rPr>
        <w:t>VI.70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Das Unternehmen hat alle Zahlungen, die es vom Verbraucher erhalten hat, gegebenenfalls einschließlich der Lieferkosten, unverzüglich und in jedem Fall spätestens binnen vierzehn Tagen ab dem Tag zurückzuzahlen, an dem es gemäß Artikel VI.69 über den Entschluss des Verbrauchers informiert wird, den Vertrag zu widerrufen.</w:t>
      </w:r>
    </w:p>
    <w:p w14:paraId="76469DF8" w14:textId="77777777" w:rsidR="00626208" w:rsidRPr="004676F5" w:rsidRDefault="00626208" w:rsidP="00626208">
      <w:pPr>
        <w:jc w:val="both"/>
        <w:rPr>
          <w:lang w:val="de-DE"/>
        </w:rPr>
      </w:pPr>
    </w:p>
    <w:p w14:paraId="0E271793" w14:textId="77777777" w:rsidR="00626208" w:rsidRPr="004676F5" w:rsidRDefault="00626208" w:rsidP="00626208">
      <w:pPr>
        <w:jc w:val="both"/>
        <w:rPr>
          <w:lang w:val="de-DE"/>
        </w:rPr>
      </w:pPr>
      <w:r w:rsidRPr="004676F5">
        <w:rPr>
          <w:lang w:val="de-DE"/>
        </w:rPr>
        <w:tab/>
        <w:t>Das Unternehmen nimmt die Rückzahlung gemäß Absatz 1 unter Verwendung desselben Zahlungsmittels vor, das vom Verbraucher bei der ursprünglichen Transaktion eingesetzt wurde, es sei denn, mit dem Verbraucher wurde ausdrücklich etwas anderes vereinbart, und vorausgesetzt, für den Verbraucher fallen infolge einer solchen Rückzahlung keine Kosten an.</w:t>
      </w:r>
    </w:p>
    <w:p w14:paraId="0CC02C36" w14:textId="77777777" w:rsidR="00626208" w:rsidRPr="004676F5" w:rsidRDefault="00626208" w:rsidP="00626208">
      <w:pPr>
        <w:jc w:val="both"/>
        <w:rPr>
          <w:lang w:val="de-DE"/>
        </w:rPr>
      </w:pPr>
    </w:p>
    <w:p w14:paraId="436CC3DF" w14:textId="398247F5"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Unbeschadet des Paragraphen 1 ist das Unternehmen nicht verpflichtet, zusätzliche Kosten zu erstatten, wenn sich der Verbraucher ausdrücklich für eine andere Art der Lieferung als die vom Unternehmen angebotene, günstigste Standardlieferung entschieden hat.</w:t>
      </w:r>
    </w:p>
    <w:p w14:paraId="3EA31AF4" w14:textId="77777777" w:rsidR="00626208" w:rsidRPr="004676F5" w:rsidRDefault="00626208" w:rsidP="00626208">
      <w:pPr>
        <w:jc w:val="both"/>
        <w:rPr>
          <w:lang w:val="de-DE"/>
        </w:rPr>
      </w:pPr>
    </w:p>
    <w:p w14:paraId="124DCD6C" w14:textId="22638BC3"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Bei Kaufverträgen kann das Unternehmen die Rückzahlung verweigern, bis es die Waren wieder zurückerhalten hat oder bis der Verbraucher den Nachweis erbracht hat, dass er die Waren zurückgeschickt hat, je nachdem, welches der frühere Zeitpunkt ist, es sei denn, das Unternehmen hat angeboten, die Waren selbst abzuholen.</w:t>
      </w:r>
    </w:p>
    <w:p w14:paraId="312DD36D" w14:textId="77777777" w:rsidR="007E4A77" w:rsidRPr="004676F5" w:rsidRDefault="007E4A77" w:rsidP="00626208">
      <w:pPr>
        <w:jc w:val="both"/>
        <w:rPr>
          <w:lang w:val="de-DE"/>
        </w:rPr>
      </w:pPr>
    </w:p>
    <w:p w14:paraId="1BFB5F8D" w14:textId="656AB0DD" w:rsidR="007E4A77" w:rsidRPr="004676F5" w:rsidRDefault="007E4A77" w:rsidP="007E4A77">
      <w:pPr>
        <w:jc w:val="both"/>
        <w:rPr>
          <w:lang w:val="de-DE"/>
        </w:rPr>
      </w:pPr>
      <w:r w:rsidRPr="004676F5">
        <w:rPr>
          <w:lang w:val="de-DE"/>
        </w:rPr>
        <w:tab/>
        <w:t>[§ 4 </w:t>
      </w:r>
      <w:r w:rsidR="005B7A5C" w:rsidRPr="004676F5">
        <w:rPr>
          <w:lang w:val="de-DE"/>
        </w:rPr>
        <w:t>- </w:t>
      </w:r>
      <w:r w:rsidRPr="004676F5">
        <w:rPr>
          <w:lang w:val="de-DE"/>
        </w:rPr>
        <w:t>In Bezug auf personenbezogene Daten des Verbrauchers hält das Unternehmen die Verpflichtungen ein, die aufgrund der Verordnung (EU) 2016/679 des Europäischen Parlaments und des Rates vom 27. April 2016 zum Schutz natürlicher Personen bei der Verarbeitung personenbezogener Daten, zum freien Datenverkehr und zur Aufhebung der Richtlinie 95/46/EG gelten.</w:t>
      </w:r>
    </w:p>
    <w:p w14:paraId="158D5980" w14:textId="77777777" w:rsidR="007E4A77" w:rsidRPr="004676F5" w:rsidRDefault="007E4A77" w:rsidP="007E4A77">
      <w:pPr>
        <w:jc w:val="both"/>
        <w:rPr>
          <w:lang w:val="de-DE"/>
        </w:rPr>
      </w:pPr>
    </w:p>
    <w:p w14:paraId="6AAF3C98" w14:textId="04067141" w:rsidR="007E4A77" w:rsidRPr="004676F5" w:rsidRDefault="007E4A77" w:rsidP="007E4A77">
      <w:pPr>
        <w:jc w:val="both"/>
        <w:rPr>
          <w:lang w:val="de-DE"/>
        </w:rPr>
      </w:pPr>
      <w:r w:rsidRPr="004676F5">
        <w:rPr>
          <w:lang w:val="de-DE"/>
        </w:rPr>
        <w:tab/>
        <w:t>§ 5 </w:t>
      </w:r>
      <w:r w:rsidR="005B7A5C" w:rsidRPr="004676F5">
        <w:rPr>
          <w:lang w:val="de-DE"/>
        </w:rPr>
        <w:t>- </w:t>
      </w:r>
      <w:r w:rsidRPr="004676F5">
        <w:rPr>
          <w:lang w:val="de-DE"/>
        </w:rPr>
        <w:t>Das Unternehmen darf Inhalte, die nicht personenbezogene Daten sind und die vom Verbraucher bei der Nutzung der vom Unternehmen bereitgestellten digitalen Inhalte oder digitalen Dienstleistungen bereitgestellt oder erstellt wurden, nicht verwenden, es sei denn, diese Inhalte:</w:t>
      </w:r>
    </w:p>
    <w:p w14:paraId="5FB47CCB" w14:textId="77777777" w:rsidR="007E4A77" w:rsidRPr="004676F5" w:rsidRDefault="007E4A77" w:rsidP="007E4A77">
      <w:pPr>
        <w:jc w:val="both"/>
        <w:rPr>
          <w:lang w:val="de-DE"/>
        </w:rPr>
      </w:pPr>
    </w:p>
    <w:p w14:paraId="2A244EF7" w14:textId="77777777" w:rsidR="007E4A77" w:rsidRPr="004676F5" w:rsidRDefault="007E4A77" w:rsidP="007E4A77">
      <w:pPr>
        <w:jc w:val="both"/>
        <w:rPr>
          <w:lang w:val="de-DE"/>
        </w:rPr>
      </w:pPr>
      <w:r w:rsidRPr="004676F5">
        <w:rPr>
          <w:lang w:val="de-DE"/>
        </w:rPr>
        <w:tab/>
        <w:t>1. haben außerhalb des Kontextes der von dem Unternehmen bereitgestellten digitalen Inhalte oder digitalen Dienstleistungen keinen Nutzen,</w:t>
      </w:r>
    </w:p>
    <w:p w14:paraId="4DF61DB1" w14:textId="77777777" w:rsidR="007E4A77" w:rsidRPr="004676F5" w:rsidRDefault="007E4A77" w:rsidP="007E4A77">
      <w:pPr>
        <w:jc w:val="both"/>
        <w:rPr>
          <w:lang w:val="de-DE"/>
        </w:rPr>
      </w:pPr>
    </w:p>
    <w:p w14:paraId="75DDDF79" w14:textId="77777777" w:rsidR="007E4A77" w:rsidRPr="004676F5" w:rsidRDefault="007E4A77" w:rsidP="007E4A77">
      <w:pPr>
        <w:jc w:val="both"/>
        <w:rPr>
          <w:lang w:val="de-DE"/>
        </w:rPr>
      </w:pPr>
      <w:r w:rsidRPr="004676F5">
        <w:rPr>
          <w:lang w:val="de-DE"/>
        </w:rPr>
        <w:tab/>
        <w:t>2. hängen ausschließlich mit der Nutzung der von dem Unternehmen bereitgestellten digitalen Inhalte oder digitalen Dienstleistungen durch den Verbraucher zusammen,</w:t>
      </w:r>
    </w:p>
    <w:p w14:paraId="5BD30C6E" w14:textId="77777777" w:rsidR="007E4A77" w:rsidRPr="004676F5" w:rsidRDefault="007E4A77" w:rsidP="007E4A77">
      <w:pPr>
        <w:jc w:val="both"/>
        <w:rPr>
          <w:lang w:val="de-DE"/>
        </w:rPr>
      </w:pPr>
    </w:p>
    <w:p w14:paraId="4A90D252" w14:textId="77777777" w:rsidR="007E4A77" w:rsidRPr="004676F5" w:rsidRDefault="007E4A77" w:rsidP="007E4A77">
      <w:pPr>
        <w:jc w:val="both"/>
        <w:rPr>
          <w:lang w:val="de-DE"/>
        </w:rPr>
      </w:pPr>
      <w:r w:rsidRPr="004676F5">
        <w:rPr>
          <w:lang w:val="de-DE"/>
        </w:rPr>
        <w:tab/>
        <w:t>3. wurden vom Unternehmen mit anderen Daten aggregiert und können nicht oder nur mit unverhältnismäßigem Aufwand disaggregiert werden oder</w:t>
      </w:r>
    </w:p>
    <w:p w14:paraId="30E15F05" w14:textId="77777777" w:rsidR="007E4A77" w:rsidRPr="004676F5" w:rsidRDefault="007E4A77" w:rsidP="007E4A77">
      <w:pPr>
        <w:jc w:val="both"/>
        <w:rPr>
          <w:lang w:val="de-DE"/>
        </w:rPr>
      </w:pPr>
    </w:p>
    <w:p w14:paraId="51070461" w14:textId="77777777" w:rsidR="007E4A77" w:rsidRPr="004676F5" w:rsidRDefault="007E4A77" w:rsidP="007E4A77">
      <w:pPr>
        <w:jc w:val="both"/>
        <w:rPr>
          <w:lang w:val="de-DE"/>
        </w:rPr>
      </w:pPr>
      <w:r w:rsidRPr="004676F5">
        <w:rPr>
          <w:lang w:val="de-DE"/>
        </w:rPr>
        <w:tab/>
        <w:t>4. wurden vom Verbraucher gemeinsam mit anderen erzeugt und andere Verbraucher können die Inhalte weiterhin nutzen.</w:t>
      </w:r>
    </w:p>
    <w:p w14:paraId="153FD49C" w14:textId="77777777" w:rsidR="007E4A77" w:rsidRPr="004676F5" w:rsidRDefault="007E4A77" w:rsidP="007E4A77">
      <w:pPr>
        <w:jc w:val="both"/>
        <w:rPr>
          <w:lang w:val="de-DE"/>
        </w:rPr>
      </w:pPr>
    </w:p>
    <w:p w14:paraId="4CCC1034" w14:textId="026A53A8" w:rsidR="007E4A77" w:rsidRPr="004676F5" w:rsidRDefault="007E4A77" w:rsidP="007E4A77">
      <w:pPr>
        <w:jc w:val="both"/>
        <w:rPr>
          <w:lang w:val="de-DE"/>
        </w:rPr>
      </w:pPr>
      <w:r w:rsidRPr="004676F5">
        <w:rPr>
          <w:lang w:val="de-DE"/>
        </w:rPr>
        <w:tab/>
        <w:t>§ 6 </w:t>
      </w:r>
      <w:r w:rsidR="005B7A5C" w:rsidRPr="004676F5">
        <w:rPr>
          <w:lang w:val="de-DE"/>
        </w:rPr>
        <w:t>- </w:t>
      </w:r>
      <w:r w:rsidRPr="004676F5">
        <w:rPr>
          <w:lang w:val="de-DE"/>
        </w:rPr>
        <w:t>Mit Ausnahme der in § 5 Nr. 1, 2 oder 3 erwähnten Fälle stellt das Unternehmen dem Verbraucher auf dessen Ersuchen alle Inhalte, die nicht personenbezogene Daten sind, bereit, die vom Verbraucher bei der Nutzung der vom Unternehmen bereitgestellten digitalen Inhalte oder digitalen Dienstleistungen bereitgestellt oder erstellt wurden.</w:t>
      </w:r>
    </w:p>
    <w:p w14:paraId="4B96892F" w14:textId="77777777" w:rsidR="007E4A77" w:rsidRPr="004676F5" w:rsidRDefault="007E4A77" w:rsidP="007E4A77">
      <w:pPr>
        <w:jc w:val="both"/>
        <w:rPr>
          <w:lang w:val="de-DE"/>
        </w:rPr>
      </w:pPr>
    </w:p>
    <w:p w14:paraId="6919B84C" w14:textId="6B37DD21" w:rsidR="007E4A77" w:rsidRPr="004676F5" w:rsidRDefault="007E4A77" w:rsidP="007E4A77">
      <w:pPr>
        <w:jc w:val="both"/>
        <w:rPr>
          <w:lang w:val="de-DE"/>
        </w:rPr>
      </w:pPr>
      <w:r w:rsidRPr="004676F5">
        <w:rPr>
          <w:lang w:val="de-DE"/>
        </w:rPr>
        <w:lastRenderedPageBreak/>
        <w:tab/>
        <w:t>§ 7 </w:t>
      </w:r>
      <w:r w:rsidR="005B7A5C" w:rsidRPr="004676F5">
        <w:rPr>
          <w:lang w:val="de-DE"/>
        </w:rPr>
        <w:t>- </w:t>
      </w:r>
      <w:r w:rsidRPr="004676F5">
        <w:rPr>
          <w:lang w:val="de-DE"/>
        </w:rPr>
        <w:t>Der Verbraucher ist berechtigt, diese digitalen Inhalte kostenfrei, ohne Behinderung durch das Unternehmen, innerhalb einer angemessenen Frist und in einem allgemein gebräuchlichen und maschinenlesbaren Format wiederzuerlangen.</w:t>
      </w:r>
    </w:p>
    <w:p w14:paraId="1AC02EDA" w14:textId="77777777" w:rsidR="007E4A77" w:rsidRPr="004676F5" w:rsidRDefault="007E4A77" w:rsidP="007E4A77">
      <w:pPr>
        <w:jc w:val="both"/>
        <w:rPr>
          <w:lang w:val="de-DE"/>
        </w:rPr>
      </w:pPr>
    </w:p>
    <w:p w14:paraId="241DCA48" w14:textId="66D0437B" w:rsidR="007E4A77" w:rsidRPr="004676F5" w:rsidRDefault="007E4A77" w:rsidP="007E4A77">
      <w:pPr>
        <w:jc w:val="both"/>
        <w:rPr>
          <w:lang w:val="de-DE"/>
        </w:rPr>
      </w:pPr>
      <w:r w:rsidRPr="004676F5">
        <w:rPr>
          <w:lang w:val="de-DE"/>
        </w:rPr>
        <w:tab/>
        <w:t>§ 8 </w:t>
      </w:r>
      <w:r w:rsidR="005B7A5C" w:rsidRPr="004676F5">
        <w:rPr>
          <w:lang w:val="de-DE"/>
        </w:rPr>
        <w:t>- </w:t>
      </w:r>
      <w:r w:rsidRPr="004676F5">
        <w:rPr>
          <w:lang w:val="de-DE"/>
        </w:rPr>
        <w:t>Im Falle des Widerrufs des Vertrags darf das Unternehmen jede weitere Nutzung der digitalen Inhalte oder digitalen Dienstleistungen durch den Verbraucher unterbinden, insbesondere indem es unbeschadet des Paragraphen 6 den Zugang des Verbrauchers zu den digitalen Inhalten oder digitalen Dienstleistungen oder das Nutzerkonto des Verbrauchers sperrt.]</w:t>
      </w:r>
    </w:p>
    <w:p w14:paraId="32A14BA1" w14:textId="77777777" w:rsidR="007E4A77" w:rsidRPr="004676F5" w:rsidRDefault="007E4A77" w:rsidP="007E4A77">
      <w:pPr>
        <w:jc w:val="both"/>
        <w:rPr>
          <w:lang w:val="de-DE"/>
        </w:rPr>
      </w:pPr>
    </w:p>
    <w:p w14:paraId="3C87D5A1" w14:textId="453476C4" w:rsidR="007E4A77" w:rsidRPr="004676F5" w:rsidRDefault="007E4A77" w:rsidP="007E4A77">
      <w:pPr>
        <w:jc w:val="both"/>
        <w:rPr>
          <w:i/>
          <w:iCs/>
          <w:lang w:val="de-DE"/>
        </w:rPr>
      </w:pPr>
      <w:r w:rsidRPr="004676F5">
        <w:rPr>
          <w:i/>
          <w:iCs/>
          <w:lang w:val="de-DE"/>
        </w:rPr>
        <w:t>[Art. VI.70 §§ 4 bis 8 eingefügt durch Art. 26 des G. vom 8. Mai 2022 (B.S. vom 2. Juni 2022)]</w:t>
      </w:r>
    </w:p>
    <w:p w14:paraId="4DCE6659" w14:textId="77777777" w:rsidR="00626208" w:rsidRPr="004676F5" w:rsidRDefault="00626208" w:rsidP="00626208">
      <w:pPr>
        <w:jc w:val="both"/>
        <w:rPr>
          <w:lang w:val="de-DE"/>
        </w:rPr>
      </w:pPr>
    </w:p>
    <w:p w14:paraId="0239546E" w14:textId="77777777" w:rsidR="00F70FB6" w:rsidRPr="004676F5" w:rsidRDefault="00F70FB6" w:rsidP="00626208">
      <w:pPr>
        <w:jc w:val="both"/>
        <w:rPr>
          <w:lang w:val="de-DE"/>
        </w:rPr>
      </w:pPr>
    </w:p>
    <w:p w14:paraId="6C68A93E" w14:textId="7829CFCC"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VI.71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Verbraucher hat die Waren unverzüglich und in jedem Fall spätestens nach vierzehn Tagen ab dem Tag, an dem er dem Unternehmen gemäß Artikel VI.69 seinen Entschluss mitgeteilt hat, den Vertrag zu widerrufen, an das Unternehmen oder eine von diesem zur Entgegennahme der Waren ermächtigte Person zurückzusenden oder zu übergeben, es sei denn, das Unternehmen hat angeboten, die Waren selbst abzuholen. Die Frist ist gewahrt, wenn der Verbraucher die Waren vor Ablauf der Frist von vierzehn Tagen absendet.</w:t>
      </w:r>
    </w:p>
    <w:p w14:paraId="0631B2F4" w14:textId="77777777" w:rsidR="00626208" w:rsidRPr="004676F5" w:rsidRDefault="00626208" w:rsidP="00626208">
      <w:pPr>
        <w:jc w:val="both"/>
        <w:rPr>
          <w:lang w:val="de-DE"/>
        </w:rPr>
      </w:pPr>
    </w:p>
    <w:p w14:paraId="3BAAF5C2" w14:textId="77777777" w:rsidR="00626208" w:rsidRPr="004676F5" w:rsidRDefault="00626208" w:rsidP="00626208">
      <w:pPr>
        <w:jc w:val="both"/>
        <w:rPr>
          <w:lang w:val="de-DE"/>
        </w:rPr>
      </w:pPr>
      <w:r w:rsidRPr="004676F5">
        <w:rPr>
          <w:lang w:val="de-DE"/>
        </w:rPr>
        <w:tab/>
        <w:t>Der Verbraucher hat nur die unmittelbaren Kosten der Rücksendung der Waren zu tragen, es sei denn, das Unternehmen hat sich bereit erklärt, diese Kosten zu tragen oder das Unternehmen hat es unterlassen, den Verbraucher darüber zu unterrichten, dass er diese Kosten zu tragen hat.</w:t>
      </w:r>
    </w:p>
    <w:p w14:paraId="28A2F961" w14:textId="77777777" w:rsidR="00626208" w:rsidRPr="004676F5" w:rsidRDefault="00626208" w:rsidP="00626208">
      <w:pPr>
        <w:jc w:val="both"/>
        <w:rPr>
          <w:lang w:val="de-DE"/>
        </w:rPr>
      </w:pPr>
    </w:p>
    <w:p w14:paraId="0F45D948" w14:textId="77777777" w:rsidR="00626208" w:rsidRPr="004676F5" w:rsidRDefault="00626208" w:rsidP="00626208">
      <w:pPr>
        <w:jc w:val="both"/>
        <w:rPr>
          <w:lang w:val="de-DE"/>
        </w:rPr>
      </w:pPr>
      <w:r w:rsidRPr="004676F5">
        <w:rPr>
          <w:lang w:val="de-DE"/>
        </w:rPr>
        <w:tab/>
        <w:t>Im Falle von außerhalb von Geschäftsräumen geschlossenen Verträgen, bei denen die Waren zum Zeitpunkt des Vertragsabschlusses zur Wohnung des Verbrauchers geliefert worden sind, holt das Unternehmen die Waren auf eigene Kosten ab, wenn die Waren so beschaffen sind, dass sie normalerweise nicht per Post zurückgesandt werden können.</w:t>
      </w:r>
    </w:p>
    <w:p w14:paraId="05AD46DF" w14:textId="77777777" w:rsidR="00626208" w:rsidRPr="004676F5" w:rsidRDefault="00626208" w:rsidP="00626208">
      <w:pPr>
        <w:jc w:val="both"/>
        <w:rPr>
          <w:lang w:val="de-DE"/>
        </w:rPr>
      </w:pPr>
    </w:p>
    <w:p w14:paraId="638496D3" w14:textId="1600A543"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Der Verbraucher haftet für einen etwaigen Wertverlust der Waren nur, wenn dieser Wertverlust auf einen zur Prüfung der Beschaffenheit, Eigenschaften und Funktionsweise der Waren nicht notwendigen Umgang mit den Waren zurückzuführen ist. Der Verbraucher haftet in keinem Fall für den Wertverlust der Waren, wenn er vom Unternehmen nicht gemäß Artikel VI.64 § 1 Nr. 7 über sein Widerrufsrecht belehrt wurde.</w:t>
      </w:r>
    </w:p>
    <w:p w14:paraId="709B173B" w14:textId="77777777" w:rsidR="00626208" w:rsidRPr="004676F5" w:rsidRDefault="00626208" w:rsidP="00626208">
      <w:pPr>
        <w:jc w:val="both"/>
        <w:rPr>
          <w:lang w:val="de-DE"/>
        </w:rPr>
      </w:pPr>
    </w:p>
    <w:p w14:paraId="08D738EF" w14:textId="3019BF37"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Übt ein Verbraucher das Widerrufsrecht aus, nachdem er ein ausdrückliches Verlangen gemäß Artikel VI.65 § 2 Absatz 2 erklärt hat, so zahlt er dem Unternehmen einen Betrag, der verhältnismäßig dem entspricht, was bis zu dem Zeitpunkt, zu dem der Verbraucher das Unternehmen von der Ausübung des Widerrufsrechts unterrichtet, im Vergleich zum Gesamtumfang der vertraglich vereinbarten Leistungen geleistet worden ist. Der anteilige Betrag, den der Verbraucher an das Unternehmen zu zahlen hat, wird auf der Grundlage des vertraglich vereinbarten Gesamtpreises berechnet. Ist der Gesamtpreis überhöht, so wird der anteilige Betrag auf der Grundlage des Marktwerts der erbrachten Leistung berechnet.</w:t>
      </w:r>
    </w:p>
    <w:p w14:paraId="43AFDE19" w14:textId="77777777" w:rsidR="00626208" w:rsidRPr="004676F5" w:rsidRDefault="00626208" w:rsidP="00626208">
      <w:pPr>
        <w:jc w:val="both"/>
        <w:rPr>
          <w:lang w:val="de-DE"/>
        </w:rPr>
      </w:pPr>
    </w:p>
    <w:p w14:paraId="5E0959A8" w14:textId="77777777" w:rsidR="00692B96" w:rsidRPr="004676F5" w:rsidRDefault="00692B96">
      <w:pPr>
        <w:rPr>
          <w:lang w:val="de-DE"/>
        </w:rPr>
      </w:pPr>
      <w:r w:rsidRPr="004676F5">
        <w:rPr>
          <w:lang w:val="de-DE"/>
        </w:rPr>
        <w:br w:type="page"/>
      </w:r>
    </w:p>
    <w:p w14:paraId="4CE8448A" w14:textId="027BAF86" w:rsidR="00626208" w:rsidRPr="004676F5" w:rsidRDefault="00626208" w:rsidP="00626208">
      <w:pPr>
        <w:jc w:val="both"/>
        <w:rPr>
          <w:lang w:val="de-DE"/>
        </w:rPr>
      </w:pPr>
      <w:r w:rsidRPr="004676F5">
        <w:rPr>
          <w:lang w:val="de-DE"/>
        </w:rPr>
        <w:lastRenderedPageBreak/>
        <w:tab/>
        <w:t>§ 4 </w:t>
      </w:r>
      <w:r w:rsidR="005B7A5C" w:rsidRPr="004676F5">
        <w:rPr>
          <w:lang w:val="de-DE"/>
        </w:rPr>
        <w:t>- </w:t>
      </w:r>
      <w:r w:rsidRPr="004676F5">
        <w:rPr>
          <w:lang w:val="de-DE"/>
        </w:rPr>
        <w:t>Der Verbraucher hat nicht aufzukommen für:</w:t>
      </w:r>
    </w:p>
    <w:p w14:paraId="059A4BB6" w14:textId="77777777" w:rsidR="00626208" w:rsidRPr="004676F5" w:rsidRDefault="00626208" w:rsidP="00626208">
      <w:pPr>
        <w:jc w:val="both"/>
        <w:rPr>
          <w:lang w:val="de-DE"/>
        </w:rPr>
      </w:pPr>
    </w:p>
    <w:p w14:paraId="0B5735F9" w14:textId="77777777" w:rsidR="00626208" w:rsidRPr="004676F5" w:rsidRDefault="00626208" w:rsidP="00626208">
      <w:pPr>
        <w:jc w:val="both"/>
        <w:rPr>
          <w:lang w:val="de-DE"/>
        </w:rPr>
      </w:pPr>
      <w:r w:rsidRPr="004676F5">
        <w:rPr>
          <w:lang w:val="de-DE"/>
        </w:rPr>
        <w:tab/>
        <w:t>1. Dienstleistungen, die Lieferung von Wasser, Gas oder Strom, wenn sie nicht in einem begrenzten Volumen oder in einer bestimmten Menge zum Verkauf angeboten werden, oder von Fernwärme, die während der Widerrufsfrist ganz oder teilweise erbracht wurden, wenn:</w:t>
      </w:r>
    </w:p>
    <w:p w14:paraId="2BBE556B" w14:textId="77777777" w:rsidR="00626208" w:rsidRPr="004676F5" w:rsidRDefault="00626208" w:rsidP="00626208">
      <w:pPr>
        <w:jc w:val="both"/>
        <w:rPr>
          <w:lang w:val="de-DE"/>
        </w:rPr>
      </w:pPr>
    </w:p>
    <w:p w14:paraId="3FDFBA0B"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das Unternehmen es unterlassen hat, die Informationen gemäß Artikel VI.64 § 1 Nr. 7 und 9 bereitzustellen, oder</w:t>
      </w:r>
    </w:p>
    <w:p w14:paraId="04F11F7A" w14:textId="77777777" w:rsidR="00626208" w:rsidRPr="004676F5" w:rsidRDefault="00626208" w:rsidP="00626208">
      <w:pPr>
        <w:jc w:val="both"/>
        <w:rPr>
          <w:lang w:val="de-DE"/>
        </w:rPr>
      </w:pPr>
    </w:p>
    <w:p w14:paraId="315138E1"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der Verbraucher nicht ausdrücklich gemäß Artikel VI.65 § 2 Absatz 2 verlangt hat, dass die Erbringung der Leistung während der Widerrufsfrist beginnen soll, oder</w:t>
      </w:r>
    </w:p>
    <w:p w14:paraId="13FFD400" w14:textId="77777777" w:rsidR="00626208" w:rsidRPr="004676F5" w:rsidRDefault="00626208" w:rsidP="00626208">
      <w:pPr>
        <w:jc w:val="both"/>
        <w:rPr>
          <w:lang w:val="de-DE"/>
        </w:rPr>
      </w:pPr>
    </w:p>
    <w:p w14:paraId="5874C9AF" w14:textId="77777777" w:rsidR="00626208" w:rsidRPr="004676F5" w:rsidRDefault="00626208" w:rsidP="00626208">
      <w:pPr>
        <w:jc w:val="both"/>
        <w:rPr>
          <w:lang w:val="de-DE"/>
        </w:rPr>
      </w:pPr>
      <w:r w:rsidRPr="004676F5">
        <w:rPr>
          <w:lang w:val="de-DE"/>
        </w:rPr>
        <w:tab/>
        <w:t>2. die vollständige oder teilweise Bereitstellung von digitalen Inhalten, die nicht auf einem körperlichen Datenträger geliefert werden, wenn:</w:t>
      </w:r>
    </w:p>
    <w:p w14:paraId="136A1592" w14:textId="77777777" w:rsidR="00626208" w:rsidRPr="004676F5" w:rsidRDefault="00626208" w:rsidP="00626208">
      <w:pPr>
        <w:jc w:val="both"/>
        <w:rPr>
          <w:lang w:val="de-DE"/>
        </w:rPr>
      </w:pPr>
    </w:p>
    <w:p w14:paraId="67CA3118"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der Verbraucher sich nicht zuvor ausdrücklich damit einverstanden erklärt hat, dass die Erfüllung des Vertrags vor Ablauf der Frist von vierzehn Tagen gemäß Artikel VI.67 beginnt, oder</w:t>
      </w:r>
    </w:p>
    <w:p w14:paraId="52CA4241" w14:textId="77777777" w:rsidR="00626208" w:rsidRPr="004676F5" w:rsidRDefault="00626208" w:rsidP="00626208">
      <w:pPr>
        <w:jc w:val="both"/>
        <w:rPr>
          <w:lang w:val="de-DE"/>
        </w:rPr>
      </w:pPr>
    </w:p>
    <w:p w14:paraId="345C9DF7"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der Verbraucher nicht zur Kenntnis genommen hat, dass er mit seiner Zustimmung sein Widerrufsrecht verliert, oder</w:t>
      </w:r>
    </w:p>
    <w:p w14:paraId="6024EB37" w14:textId="77777777" w:rsidR="00626208" w:rsidRPr="004676F5" w:rsidRDefault="00626208" w:rsidP="00626208">
      <w:pPr>
        <w:jc w:val="both"/>
        <w:rPr>
          <w:lang w:val="de-DE"/>
        </w:rPr>
      </w:pPr>
    </w:p>
    <w:p w14:paraId="036078B2" w14:textId="77777777" w:rsidR="00626208" w:rsidRPr="004676F5" w:rsidRDefault="00626208" w:rsidP="00626208">
      <w:pPr>
        <w:jc w:val="both"/>
        <w:rPr>
          <w:lang w:val="de-DE"/>
        </w:rPr>
      </w:pPr>
      <w:r w:rsidRPr="004676F5">
        <w:rPr>
          <w:lang w:val="de-DE"/>
        </w:rPr>
        <w:tab/>
      </w:r>
      <w:r w:rsidRPr="004676F5">
        <w:rPr>
          <w:i/>
          <w:lang w:val="de-DE"/>
        </w:rPr>
        <w:t>c)</w:t>
      </w:r>
      <w:r w:rsidRPr="004676F5">
        <w:rPr>
          <w:lang w:val="de-DE"/>
        </w:rPr>
        <w:t> das Unternehmen die in Artikel VI.65 § 2 erwähnten Verpflichtungen nicht erfüllt hat.</w:t>
      </w:r>
    </w:p>
    <w:p w14:paraId="270304BB" w14:textId="77777777" w:rsidR="00626208" w:rsidRPr="004676F5" w:rsidRDefault="00626208" w:rsidP="00626208">
      <w:pPr>
        <w:jc w:val="both"/>
        <w:rPr>
          <w:lang w:val="de-DE"/>
        </w:rPr>
      </w:pPr>
    </w:p>
    <w:p w14:paraId="39D93906" w14:textId="507A9968" w:rsidR="00626208" w:rsidRPr="004676F5" w:rsidRDefault="00626208" w:rsidP="00626208">
      <w:pPr>
        <w:jc w:val="both"/>
        <w:rPr>
          <w:lang w:val="de-DE"/>
        </w:rPr>
      </w:pPr>
      <w:r w:rsidRPr="004676F5">
        <w:rPr>
          <w:lang w:val="de-DE"/>
        </w:rPr>
        <w:tab/>
        <w:t>§ 5 </w:t>
      </w:r>
      <w:r w:rsidR="005B7A5C" w:rsidRPr="004676F5">
        <w:rPr>
          <w:lang w:val="de-DE"/>
        </w:rPr>
        <w:t>- </w:t>
      </w:r>
      <w:r w:rsidRPr="004676F5">
        <w:rPr>
          <w:lang w:val="de-DE"/>
        </w:rPr>
        <w:t>Sofern in Artikel VI.70 § 2 und vorliegendem Artikel nichts anderes vorgesehen ist, kann der Verbraucher aufgrund der Ausübung seines Widerrufsrechts nicht in Anspruch genommen werden.</w:t>
      </w:r>
    </w:p>
    <w:p w14:paraId="58077FBB" w14:textId="77777777" w:rsidR="007E4A77" w:rsidRPr="004676F5" w:rsidRDefault="007E4A77" w:rsidP="00626208">
      <w:pPr>
        <w:jc w:val="both"/>
        <w:rPr>
          <w:lang w:val="de-DE"/>
        </w:rPr>
      </w:pPr>
    </w:p>
    <w:p w14:paraId="70D4A255" w14:textId="07FECFDE" w:rsidR="007E4A77" w:rsidRPr="004676F5" w:rsidRDefault="007E4A77" w:rsidP="00626208">
      <w:pPr>
        <w:jc w:val="both"/>
        <w:rPr>
          <w:lang w:val="de-DE"/>
        </w:rPr>
      </w:pPr>
      <w:r w:rsidRPr="004676F5">
        <w:rPr>
          <w:lang w:val="de-DE"/>
        </w:rPr>
        <w:tab/>
        <w:t>[§ 6 </w:t>
      </w:r>
      <w:r w:rsidR="005B7A5C" w:rsidRPr="004676F5">
        <w:rPr>
          <w:lang w:val="de-DE"/>
        </w:rPr>
        <w:t>- </w:t>
      </w:r>
      <w:r w:rsidRPr="004676F5">
        <w:rPr>
          <w:lang w:val="de-DE"/>
        </w:rPr>
        <w:t>Im Falle des Widerrufs des Vertrags unterlässt der Verbraucher die Nutzung der digitalen Inhalte beziehungsweise digitalen Dienstleistungen und deren Zurverfügungstellung an Dritte.]</w:t>
      </w:r>
    </w:p>
    <w:p w14:paraId="363E4BBC" w14:textId="77777777" w:rsidR="007E4A77" w:rsidRPr="004676F5" w:rsidRDefault="007E4A77" w:rsidP="00626208">
      <w:pPr>
        <w:jc w:val="both"/>
        <w:rPr>
          <w:lang w:val="de-DE"/>
        </w:rPr>
      </w:pPr>
    </w:p>
    <w:p w14:paraId="1936609D" w14:textId="4E207F1A" w:rsidR="007E4A77" w:rsidRPr="004676F5" w:rsidRDefault="007E4A77" w:rsidP="00626208">
      <w:pPr>
        <w:jc w:val="both"/>
        <w:rPr>
          <w:i/>
          <w:iCs/>
          <w:lang w:val="de-DE"/>
        </w:rPr>
      </w:pPr>
      <w:r w:rsidRPr="004676F5">
        <w:rPr>
          <w:i/>
          <w:iCs/>
          <w:lang w:val="de-DE"/>
        </w:rPr>
        <w:t>[Art. VI.71 § 6 eingefügt durch Art. 27 des G. vom 8. Mai 2022 (B.S. vom 2. Juni 2022)]</w:t>
      </w:r>
    </w:p>
    <w:p w14:paraId="5D6D72C5" w14:textId="77777777" w:rsidR="00626208" w:rsidRPr="004676F5" w:rsidRDefault="00626208" w:rsidP="00626208">
      <w:pPr>
        <w:jc w:val="both"/>
        <w:rPr>
          <w:lang w:val="de-DE"/>
        </w:rPr>
      </w:pPr>
    </w:p>
    <w:p w14:paraId="4AD8D65E" w14:textId="77777777" w:rsidR="00F70FB6" w:rsidRPr="004676F5" w:rsidRDefault="00F70FB6" w:rsidP="00626208">
      <w:pPr>
        <w:jc w:val="both"/>
        <w:rPr>
          <w:lang w:val="de-DE"/>
        </w:rPr>
      </w:pPr>
    </w:p>
    <w:p w14:paraId="7BA4B614" w14:textId="78925747"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VI.72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Mit der Ausübung des Widerrufsrechts enden die Verpflichtungen der Vertragsparteien:</w:t>
      </w:r>
    </w:p>
    <w:p w14:paraId="78EA069D" w14:textId="77777777" w:rsidR="00626208" w:rsidRPr="004676F5" w:rsidRDefault="00626208" w:rsidP="00626208">
      <w:pPr>
        <w:jc w:val="both"/>
        <w:rPr>
          <w:lang w:val="de-DE"/>
        </w:rPr>
      </w:pPr>
    </w:p>
    <w:p w14:paraId="450C9DDC" w14:textId="77777777" w:rsidR="00626208" w:rsidRPr="004676F5" w:rsidRDefault="00626208" w:rsidP="00626208">
      <w:pPr>
        <w:jc w:val="both"/>
        <w:rPr>
          <w:lang w:val="de-DE"/>
        </w:rPr>
      </w:pPr>
      <w:r w:rsidRPr="004676F5">
        <w:rPr>
          <w:lang w:val="de-DE"/>
        </w:rPr>
        <w:tab/>
        <w:t>1. zur Erfüllung des außerhalb von Geschäftsräumen geschlossenen Vertrags oder</w:t>
      </w:r>
    </w:p>
    <w:p w14:paraId="1010DF43" w14:textId="77777777" w:rsidR="00626208" w:rsidRPr="004676F5" w:rsidRDefault="00626208" w:rsidP="00626208">
      <w:pPr>
        <w:jc w:val="both"/>
        <w:rPr>
          <w:lang w:val="de-DE"/>
        </w:rPr>
      </w:pPr>
    </w:p>
    <w:p w14:paraId="7251B4C0" w14:textId="77777777" w:rsidR="00626208" w:rsidRPr="004676F5" w:rsidRDefault="00626208" w:rsidP="00626208">
      <w:pPr>
        <w:jc w:val="both"/>
        <w:rPr>
          <w:lang w:val="de-DE"/>
        </w:rPr>
      </w:pPr>
      <w:r w:rsidRPr="004676F5">
        <w:rPr>
          <w:lang w:val="de-DE"/>
        </w:rPr>
        <w:tab/>
        <w:t>2. zum Abschluss des außerhalb von Geschäftsräumen geschlossenen Vertrags, sofern der Verbraucher dazu ein Angebot abgegeben hat.</w:t>
      </w:r>
    </w:p>
    <w:p w14:paraId="4390186B" w14:textId="77777777" w:rsidR="00626208" w:rsidRPr="004676F5" w:rsidRDefault="00626208" w:rsidP="00626208">
      <w:pPr>
        <w:jc w:val="both"/>
        <w:rPr>
          <w:lang w:val="de-DE"/>
        </w:rPr>
      </w:pPr>
    </w:p>
    <w:p w14:paraId="40D17878" w14:textId="77777777" w:rsidR="00692B96" w:rsidRPr="004676F5" w:rsidRDefault="00692B96">
      <w:pPr>
        <w:rPr>
          <w:lang w:val="de-DE"/>
        </w:rPr>
      </w:pPr>
      <w:r w:rsidRPr="004676F5">
        <w:rPr>
          <w:lang w:val="de-DE"/>
        </w:rPr>
        <w:br w:type="page"/>
      </w:r>
    </w:p>
    <w:p w14:paraId="0A05A5A7" w14:textId="27C161CB" w:rsidR="00626208" w:rsidRPr="004676F5" w:rsidRDefault="00626208" w:rsidP="00626208">
      <w:pPr>
        <w:jc w:val="both"/>
        <w:rPr>
          <w:lang w:val="de-DE"/>
        </w:rPr>
      </w:pPr>
      <w:r w:rsidRPr="004676F5">
        <w:rPr>
          <w:lang w:val="de-DE"/>
        </w:rPr>
        <w:lastRenderedPageBreak/>
        <w:tab/>
        <w:t>§ 2 </w:t>
      </w:r>
      <w:r w:rsidR="005B7A5C" w:rsidRPr="004676F5">
        <w:rPr>
          <w:lang w:val="de-DE"/>
        </w:rPr>
        <w:t>- </w:t>
      </w:r>
      <w:r w:rsidRPr="004676F5">
        <w:rPr>
          <w:lang w:val="de-DE"/>
        </w:rPr>
        <w:t xml:space="preserve">Unbeschadet </w:t>
      </w:r>
      <w:r w:rsidR="00AE551D" w:rsidRPr="004676F5">
        <w:rPr>
          <w:lang w:val="de-DE"/>
        </w:rPr>
        <w:t>[</w:t>
      </w:r>
      <w:r w:rsidRPr="004676F5">
        <w:rPr>
          <w:lang w:val="de-DE"/>
        </w:rPr>
        <w:t>des Artikels </w:t>
      </w:r>
      <w:r w:rsidR="00AE551D" w:rsidRPr="004676F5">
        <w:rPr>
          <w:lang w:val="de-DE"/>
        </w:rPr>
        <w:t xml:space="preserve">VII.92] </w:t>
      </w:r>
      <w:r w:rsidRPr="004676F5">
        <w:rPr>
          <w:lang w:val="de-DE"/>
        </w:rPr>
        <w:t>werden, wenn der Verbraucher sein Recht auf Widerruf eines außerhalb von Geschäftsräumen geschlossenen Vertrags gemäß den Artikeln VI.67 bis VI.71 ausübt, auch alle akzessorischen Verträge automatisch beendet, ohne dass dem Verbraucher dafür Kosten entstehen dürfen, außer solchen, die gemäß Artikel VI.70 § 2 und Artikel VI.71 vorgesehen sind.</w:t>
      </w:r>
    </w:p>
    <w:p w14:paraId="1930DF37" w14:textId="02EFFBA7" w:rsidR="00AE551D" w:rsidRPr="004676F5" w:rsidRDefault="00AE551D" w:rsidP="00626208">
      <w:pPr>
        <w:jc w:val="both"/>
        <w:rPr>
          <w:lang w:val="de-DE"/>
        </w:rPr>
      </w:pPr>
    </w:p>
    <w:p w14:paraId="4B95F1C3" w14:textId="7F5FD327" w:rsidR="00AE551D" w:rsidRPr="004676F5" w:rsidRDefault="00AE551D" w:rsidP="00626208">
      <w:pPr>
        <w:jc w:val="both"/>
        <w:rPr>
          <w:i/>
          <w:iCs/>
          <w:lang w:val="de-DE"/>
        </w:rPr>
      </w:pPr>
      <w:r w:rsidRPr="004676F5">
        <w:rPr>
          <w:i/>
          <w:iCs/>
          <w:lang w:val="de-DE"/>
        </w:rPr>
        <w:t>[Art. VI.72 § 2 abgeändert durch Art. 7</w:t>
      </w:r>
      <w:r w:rsidRPr="004676F5">
        <w:rPr>
          <w:i/>
          <w:lang w:val="de-DE"/>
        </w:rPr>
        <w:t xml:space="preserve"> des G. vom 30. Juli 2018 (II) (B.S. vom 5. September 2018)]</w:t>
      </w:r>
    </w:p>
    <w:p w14:paraId="15B0B6E9" w14:textId="77777777" w:rsidR="00626208" w:rsidRPr="004676F5" w:rsidRDefault="00626208" w:rsidP="00626208">
      <w:pPr>
        <w:jc w:val="both"/>
        <w:rPr>
          <w:lang w:val="de-DE"/>
        </w:rPr>
      </w:pPr>
    </w:p>
    <w:p w14:paraId="3765C7CF" w14:textId="77777777" w:rsidR="00F70FB6" w:rsidRPr="004676F5" w:rsidRDefault="00F70FB6" w:rsidP="00626208">
      <w:pPr>
        <w:jc w:val="both"/>
        <w:rPr>
          <w:lang w:val="de-DE"/>
        </w:rPr>
      </w:pPr>
    </w:p>
    <w:p w14:paraId="56AF2EC2" w14:textId="3CAF8362"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VI.73</w:t>
      </w:r>
      <w:r w:rsidRPr="004676F5">
        <w:rPr>
          <w:lang w:val="de-DE"/>
        </w:rPr>
        <w:t> </w:t>
      </w:r>
      <w:r w:rsidR="005B7A5C" w:rsidRPr="004676F5">
        <w:rPr>
          <w:lang w:val="de-DE"/>
        </w:rPr>
        <w:t>- </w:t>
      </w:r>
      <w:r w:rsidRPr="004676F5">
        <w:rPr>
          <w:lang w:val="de-DE"/>
        </w:rPr>
        <w:t>Der Verbraucher kann das in Artikel VI.67 vorgesehene Widerrufsrecht nicht ausüben, wenn:</w:t>
      </w:r>
    </w:p>
    <w:p w14:paraId="19A1AB29" w14:textId="77777777" w:rsidR="00626208" w:rsidRPr="004676F5" w:rsidRDefault="00626208" w:rsidP="00626208">
      <w:pPr>
        <w:jc w:val="both"/>
        <w:rPr>
          <w:lang w:val="de-DE"/>
        </w:rPr>
      </w:pPr>
    </w:p>
    <w:p w14:paraId="6A2FFFD6" w14:textId="4F0B896B" w:rsidR="00626208" w:rsidRPr="004676F5" w:rsidRDefault="00626208" w:rsidP="00626208">
      <w:pPr>
        <w:jc w:val="both"/>
        <w:rPr>
          <w:lang w:val="de-DE"/>
        </w:rPr>
      </w:pPr>
      <w:r w:rsidRPr="004676F5">
        <w:rPr>
          <w:lang w:val="de-DE"/>
        </w:rPr>
        <w:tab/>
        <w:t>1. </w:t>
      </w:r>
      <w:r w:rsidR="00A77460" w:rsidRPr="004676F5">
        <w:rPr>
          <w:lang w:val="de-DE"/>
        </w:rPr>
        <w:t>[bei Dienstleistungsverträgen die Dienstleistung vollständig erbracht worden ist, sofern der Vertrag den Verbraucher zur Zahlung verpflichtet, nur wenn das Unternehmen die Erbringung mit der vorherigen ausdrücklichen Zustimmung und Bestätigung des Verbrauchers, dass er zur Kenntnis genommen hat, dass er sein Widerrufsrecht mit vollständiger Vertragserfüllung durch das Unternehmen verliert, begonnen hatte,]</w:t>
      </w:r>
    </w:p>
    <w:p w14:paraId="4E769A92" w14:textId="77777777" w:rsidR="00626208" w:rsidRPr="004676F5" w:rsidRDefault="00626208" w:rsidP="00626208">
      <w:pPr>
        <w:jc w:val="both"/>
        <w:rPr>
          <w:lang w:val="de-DE"/>
        </w:rPr>
      </w:pPr>
    </w:p>
    <w:p w14:paraId="3714A71C" w14:textId="77777777" w:rsidR="00626208" w:rsidRPr="004676F5" w:rsidRDefault="00626208" w:rsidP="00626208">
      <w:pPr>
        <w:jc w:val="both"/>
        <w:rPr>
          <w:lang w:val="de-DE"/>
        </w:rPr>
      </w:pPr>
      <w:r w:rsidRPr="004676F5">
        <w:rPr>
          <w:lang w:val="de-DE"/>
        </w:rPr>
        <w:tab/>
        <w:t>2. Waren oder Dienstleistungen geliefert werden, deren Preis von Schwankungen auf dem Finanzmarkt abhängt, auf die das Unternehmen keinen Einfluss hat und die innerhalb der Widerrufsfrist auftreten können,</w:t>
      </w:r>
    </w:p>
    <w:p w14:paraId="2E5BAF5F" w14:textId="77777777" w:rsidR="00626208" w:rsidRPr="004676F5" w:rsidRDefault="00626208" w:rsidP="00626208">
      <w:pPr>
        <w:jc w:val="both"/>
        <w:rPr>
          <w:lang w:val="de-DE"/>
        </w:rPr>
      </w:pPr>
    </w:p>
    <w:p w14:paraId="0E638CF5" w14:textId="77777777" w:rsidR="00626208" w:rsidRPr="004676F5" w:rsidRDefault="00626208" w:rsidP="00626208">
      <w:pPr>
        <w:jc w:val="both"/>
        <w:rPr>
          <w:lang w:val="de-DE"/>
        </w:rPr>
      </w:pPr>
      <w:r w:rsidRPr="004676F5">
        <w:rPr>
          <w:lang w:val="de-DE"/>
        </w:rPr>
        <w:tab/>
        <w:t>3. Waren geliefert werden, die nach Verbraucherspezifikation angefertigt werden oder eindeutig auf die persönlichen Bedürfnisse zugeschnitten sind,</w:t>
      </w:r>
    </w:p>
    <w:p w14:paraId="1C234462" w14:textId="77777777" w:rsidR="00626208" w:rsidRPr="004676F5" w:rsidRDefault="00626208" w:rsidP="00626208">
      <w:pPr>
        <w:jc w:val="both"/>
        <w:rPr>
          <w:lang w:val="de-DE"/>
        </w:rPr>
      </w:pPr>
    </w:p>
    <w:p w14:paraId="100331FB" w14:textId="77777777" w:rsidR="00626208" w:rsidRPr="004676F5" w:rsidRDefault="00626208" w:rsidP="00626208">
      <w:pPr>
        <w:jc w:val="both"/>
        <w:rPr>
          <w:lang w:val="de-DE"/>
        </w:rPr>
      </w:pPr>
      <w:r w:rsidRPr="004676F5">
        <w:rPr>
          <w:lang w:val="de-DE"/>
        </w:rPr>
        <w:tab/>
        <w:t>4. Waren geliefert werden, die schnell verderben können oder deren Verfallsdatum schnell überschritten würde,</w:t>
      </w:r>
    </w:p>
    <w:p w14:paraId="65A11D82" w14:textId="77777777" w:rsidR="00626208" w:rsidRPr="004676F5" w:rsidRDefault="00626208" w:rsidP="00626208">
      <w:pPr>
        <w:jc w:val="both"/>
        <w:rPr>
          <w:lang w:val="de-DE"/>
        </w:rPr>
      </w:pPr>
    </w:p>
    <w:p w14:paraId="70F5EE53" w14:textId="77777777" w:rsidR="00626208" w:rsidRPr="004676F5" w:rsidRDefault="00626208" w:rsidP="00626208">
      <w:pPr>
        <w:jc w:val="both"/>
        <w:rPr>
          <w:lang w:val="de-DE"/>
        </w:rPr>
      </w:pPr>
      <w:r w:rsidRPr="004676F5">
        <w:rPr>
          <w:lang w:val="de-DE"/>
        </w:rPr>
        <w:tab/>
        <w:t>5. versiegelte Waren geliefert werden, die aus Gründen des Gesundheitsschutzes oder aus Hygienegründen nicht zur Rückgabe geeignet sind und deren Versiegelung nach der Lieferung vom Verbraucher entfernt wurde,</w:t>
      </w:r>
    </w:p>
    <w:p w14:paraId="25C4C7C9" w14:textId="77777777" w:rsidR="00626208" w:rsidRPr="004676F5" w:rsidRDefault="00626208" w:rsidP="00626208">
      <w:pPr>
        <w:jc w:val="both"/>
        <w:rPr>
          <w:lang w:val="de-DE"/>
        </w:rPr>
      </w:pPr>
    </w:p>
    <w:p w14:paraId="09313793" w14:textId="77777777" w:rsidR="00626208" w:rsidRPr="004676F5" w:rsidRDefault="00626208" w:rsidP="00626208">
      <w:pPr>
        <w:jc w:val="both"/>
        <w:rPr>
          <w:lang w:val="de-DE"/>
        </w:rPr>
      </w:pPr>
      <w:r w:rsidRPr="004676F5">
        <w:rPr>
          <w:lang w:val="de-DE"/>
        </w:rPr>
        <w:tab/>
        <w:t>6. Waren geliefert werden, die nach der Lieferung aufgrund ihrer Beschaffenheit untrennbar mit anderen Gütern vermischt wurden,</w:t>
      </w:r>
    </w:p>
    <w:p w14:paraId="402DB5CE" w14:textId="77777777" w:rsidR="00626208" w:rsidRPr="004676F5" w:rsidRDefault="00626208" w:rsidP="00626208">
      <w:pPr>
        <w:jc w:val="both"/>
        <w:rPr>
          <w:lang w:val="de-DE"/>
        </w:rPr>
      </w:pPr>
    </w:p>
    <w:p w14:paraId="34A46A8A" w14:textId="77777777" w:rsidR="00626208" w:rsidRPr="004676F5" w:rsidRDefault="00626208" w:rsidP="00626208">
      <w:pPr>
        <w:jc w:val="both"/>
        <w:rPr>
          <w:lang w:val="de-DE"/>
        </w:rPr>
      </w:pPr>
      <w:r w:rsidRPr="004676F5">
        <w:rPr>
          <w:lang w:val="de-DE"/>
        </w:rPr>
        <w:tab/>
        <w:t>7. alkoholische Getränke geliefert werden, deren Preis beim Abschluss des Kaufvertrags vereinbart wurde, deren Lieferung aber erst nach dreißig Tagen erfolgen kann und deren aktueller Wert von Schwankungen auf dem Markt abhängt, auf die das Unternehmen keinen Einfluss hat,</w:t>
      </w:r>
    </w:p>
    <w:p w14:paraId="22980DA5" w14:textId="77777777" w:rsidR="00626208" w:rsidRPr="004676F5" w:rsidRDefault="00626208" w:rsidP="00626208">
      <w:pPr>
        <w:jc w:val="both"/>
        <w:rPr>
          <w:lang w:val="de-DE"/>
        </w:rPr>
      </w:pPr>
    </w:p>
    <w:p w14:paraId="3E5040CB" w14:textId="0213140E" w:rsidR="00626208" w:rsidRPr="004676F5" w:rsidRDefault="00626208" w:rsidP="00626208">
      <w:pPr>
        <w:jc w:val="both"/>
        <w:rPr>
          <w:lang w:val="de-DE"/>
        </w:rPr>
      </w:pPr>
      <w:r w:rsidRPr="004676F5">
        <w:rPr>
          <w:lang w:val="de-DE"/>
        </w:rPr>
        <w:tab/>
        <w:t>8. es sich um Verträge handelt, bei denen der Verbraucher das Unternehmen ausdrücklich zu einem Besuch aufgefordert hat, um dringende Reparatur</w:t>
      </w:r>
      <w:r w:rsidR="005B7A5C" w:rsidRPr="004676F5">
        <w:rPr>
          <w:lang w:val="de-DE"/>
        </w:rPr>
        <w:t>- </w:t>
      </w:r>
      <w:r w:rsidRPr="004676F5">
        <w:rPr>
          <w:lang w:val="de-DE"/>
        </w:rPr>
        <w:t>oder Instand</w:t>
      </w:r>
      <w:r w:rsidRPr="004676F5">
        <w:rPr>
          <w:lang w:val="de-DE"/>
        </w:rPr>
        <w:softHyphen/>
        <w:t>haltungsarbeiten vorzunehmen; erbringt das Unternehmen bei einem solchen Besuch weitere Dienstleistungen, die der Verbraucher nicht ausdrücklich verlangt hat, oder liefert es Waren, die bei der Instandhaltung oder Reparatur nicht unbedingt als Ersatzteile benötigt werden, so steht dem Verbraucher in Bezug auf diese zusätzlichen Dienstleistungen oder Waren ein Widerrufsrecht zu,</w:t>
      </w:r>
    </w:p>
    <w:p w14:paraId="27D27B06" w14:textId="77777777" w:rsidR="00626208" w:rsidRPr="004676F5" w:rsidRDefault="00626208" w:rsidP="00626208">
      <w:pPr>
        <w:jc w:val="both"/>
        <w:rPr>
          <w:lang w:val="de-DE"/>
        </w:rPr>
      </w:pPr>
    </w:p>
    <w:p w14:paraId="50C64F66" w14:textId="416FD9AE" w:rsidR="00626208" w:rsidRPr="004676F5" w:rsidRDefault="00626208" w:rsidP="00626208">
      <w:pPr>
        <w:jc w:val="both"/>
        <w:rPr>
          <w:lang w:val="de-DE"/>
        </w:rPr>
      </w:pPr>
      <w:r w:rsidRPr="004676F5">
        <w:rPr>
          <w:lang w:val="de-DE"/>
        </w:rPr>
        <w:tab/>
        <w:t>9. Ton</w:t>
      </w:r>
      <w:r w:rsidR="005B7A5C" w:rsidRPr="004676F5">
        <w:rPr>
          <w:lang w:val="de-DE"/>
        </w:rPr>
        <w:t>- </w:t>
      </w:r>
      <w:r w:rsidRPr="004676F5">
        <w:rPr>
          <w:lang w:val="de-DE"/>
        </w:rPr>
        <w:t>oder Videoaufnahmen oder Computersoftware in einer versiegelten Packung geliefert wurden und die Versiegelung nach der Lieferung entfernt wurde,</w:t>
      </w:r>
    </w:p>
    <w:p w14:paraId="62E0DB10" w14:textId="77777777" w:rsidR="00626208" w:rsidRPr="004676F5" w:rsidRDefault="00626208" w:rsidP="00626208">
      <w:pPr>
        <w:jc w:val="both"/>
        <w:rPr>
          <w:lang w:val="de-DE"/>
        </w:rPr>
      </w:pPr>
    </w:p>
    <w:p w14:paraId="6740DAF0" w14:textId="77777777" w:rsidR="00626208" w:rsidRPr="004676F5" w:rsidRDefault="00626208" w:rsidP="00626208">
      <w:pPr>
        <w:jc w:val="both"/>
        <w:rPr>
          <w:lang w:val="de-DE"/>
        </w:rPr>
      </w:pPr>
      <w:r w:rsidRPr="004676F5">
        <w:rPr>
          <w:lang w:val="de-DE"/>
        </w:rPr>
        <w:tab/>
        <w:t>10. Zeitungen, Zeitschriften oder Illustrierte geliefert werden, mit Ausnahme von Abonnement-Verträgen über die Lieferung solcher Publikationen,</w:t>
      </w:r>
    </w:p>
    <w:p w14:paraId="3E1C1921" w14:textId="77777777" w:rsidR="00626208" w:rsidRPr="004676F5" w:rsidRDefault="00626208" w:rsidP="00626208">
      <w:pPr>
        <w:jc w:val="both"/>
        <w:rPr>
          <w:lang w:val="de-DE"/>
        </w:rPr>
      </w:pPr>
    </w:p>
    <w:p w14:paraId="56FCEF10" w14:textId="77777777" w:rsidR="00626208" w:rsidRPr="004676F5" w:rsidRDefault="00626208" w:rsidP="00626208">
      <w:pPr>
        <w:jc w:val="both"/>
        <w:rPr>
          <w:lang w:val="de-DE"/>
        </w:rPr>
      </w:pPr>
      <w:r w:rsidRPr="004676F5">
        <w:rPr>
          <w:lang w:val="de-DE"/>
        </w:rPr>
        <w:tab/>
        <w:t>11. Verträge auf einer öffentlichen Versteigerung geschlossen werden,</w:t>
      </w:r>
    </w:p>
    <w:p w14:paraId="406C1E1E" w14:textId="77777777" w:rsidR="00626208" w:rsidRPr="004676F5" w:rsidRDefault="00626208" w:rsidP="00626208">
      <w:pPr>
        <w:jc w:val="both"/>
        <w:rPr>
          <w:lang w:val="de-DE"/>
        </w:rPr>
      </w:pPr>
    </w:p>
    <w:p w14:paraId="0ECC2E8E" w14:textId="77777777" w:rsidR="00626208" w:rsidRPr="004676F5" w:rsidRDefault="00626208" w:rsidP="00626208">
      <w:pPr>
        <w:jc w:val="both"/>
        <w:rPr>
          <w:lang w:val="de-DE"/>
        </w:rPr>
      </w:pPr>
      <w:r w:rsidRPr="004676F5">
        <w:rPr>
          <w:lang w:val="de-DE"/>
        </w:rPr>
        <w:tab/>
        <w:t xml:space="preserve">12. Dienstleistungen in den Bereichen Beherbergung zu anderen Zwecken als zu Wohnzwecken, </w:t>
      </w:r>
      <w:r w:rsidR="005B40CF" w:rsidRPr="004676F5">
        <w:rPr>
          <w:lang w:val="de-DE"/>
        </w:rPr>
        <w:t>[</w:t>
      </w:r>
      <w:r w:rsidRPr="004676F5">
        <w:rPr>
          <w:lang w:val="de-DE"/>
        </w:rPr>
        <w:t>Beförderung</w:t>
      </w:r>
      <w:r w:rsidR="005B40CF" w:rsidRPr="004676F5">
        <w:rPr>
          <w:lang w:val="de-DE"/>
        </w:rPr>
        <w:t>]</w:t>
      </w:r>
      <w:r w:rsidRPr="004676F5">
        <w:rPr>
          <w:lang w:val="de-DE"/>
        </w:rPr>
        <w:t>, Mietwagen, Lieferung von Speisen und Getränken sowie Dienstleistungen im Zusammenhang mit Freizeitbetätigungen erbracht werden und der Vertrag für die Erbringung einen spezifischen Termin oder Zeitraum vorsieht,</w:t>
      </w:r>
    </w:p>
    <w:p w14:paraId="4A22C644" w14:textId="77777777" w:rsidR="00626208" w:rsidRPr="004676F5" w:rsidRDefault="00626208" w:rsidP="00626208">
      <w:pPr>
        <w:jc w:val="both"/>
        <w:rPr>
          <w:lang w:val="de-DE"/>
        </w:rPr>
      </w:pPr>
    </w:p>
    <w:p w14:paraId="66C48D57" w14:textId="77777777" w:rsidR="00A77460" w:rsidRPr="004676F5" w:rsidRDefault="00626208" w:rsidP="00A77460">
      <w:pPr>
        <w:jc w:val="both"/>
        <w:rPr>
          <w:lang w:val="de-DE"/>
        </w:rPr>
      </w:pPr>
      <w:r w:rsidRPr="004676F5">
        <w:rPr>
          <w:lang w:val="de-DE"/>
        </w:rPr>
        <w:tab/>
        <w:t>13. </w:t>
      </w:r>
      <w:r w:rsidR="00A77460" w:rsidRPr="004676F5">
        <w:rPr>
          <w:lang w:val="de-DE"/>
        </w:rPr>
        <w:t>[bei Verträgen über die Bereitstellung digitaler Inhalte, die nicht auf einem körperlichen Datenträger geliefert werden, die Vertragserfüllung begonnen hat und, sofern der Vertrag den Verbraucher zur Zahlung verpflichtet, wenn:</w:t>
      </w:r>
    </w:p>
    <w:p w14:paraId="1D6F432F" w14:textId="77777777" w:rsidR="00A77460" w:rsidRPr="004676F5" w:rsidRDefault="00A77460" w:rsidP="00A77460">
      <w:pPr>
        <w:jc w:val="both"/>
        <w:rPr>
          <w:lang w:val="de-DE"/>
        </w:rPr>
      </w:pPr>
    </w:p>
    <w:p w14:paraId="50713039" w14:textId="77777777" w:rsidR="00A77460" w:rsidRPr="004676F5" w:rsidRDefault="00A77460" w:rsidP="00A77460">
      <w:pPr>
        <w:jc w:val="both"/>
        <w:rPr>
          <w:lang w:val="de-DE"/>
        </w:rPr>
      </w:pPr>
      <w:r w:rsidRPr="004676F5">
        <w:rPr>
          <w:lang w:val="de-DE"/>
        </w:rPr>
        <w:tab/>
      </w:r>
      <w:r w:rsidRPr="004676F5">
        <w:rPr>
          <w:i/>
          <w:lang w:val="de-DE"/>
        </w:rPr>
        <w:t>a) </w:t>
      </w:r>
      <w:r w:rsidRPr="004676F5">
        <w:rPr>
          <w:lang w:val="de-DE"/>
        </w:rPr>
        <w:t>der Verbraucher dem Beginn der Vertragserfüllung während der Widerrufsfrist ausdrücklich zugestimmt hat,</w:t>
      </w:r>
    </w:p>
    <w:p w14:paraId="2153E5DB" w14:textId="77777777" w:rsidR="00A77460" w:rsidRPr="004676F5" w:rsidRDefault="00A77460" w:rsidP="00A77460">
      <w:pPr>
        <w:jc w:val="both"/>
        <w:rPr>
          <w:lang w:val="de-DE"/>
        </w:rPr>
      </w:pPr>
    </w:p>
    <w:p w14:paraId="2AA5D2A9" w14:textId="77777777" w:rsidR="00A77460" w:rsidRPr="004676F5" w:rsidRDefault="00A77460" w:rsidP="00A77460">
      <w:pPr>
        <w:jc w:val="both"/>
        <w:rPr>
          <w:lang w:val="de-DE"/>
        </w:rPr>
      </w:pPr>
      <w:r w:rsidRPr="004676F5">
        <w:rPr>
          <w:lang w:val="de-DE"/>
        </w:rPr>
        <w:tab/>
      </w:r>
      <w:r w:rsidRPr="004676F5">
        <w:rPr>
          <w:i/>
          <w:lang w:val="de-DE"/>
        </w:rPr>
        <w:t>b)</w:t>
      </w:r>
      <w:r w:rsidRPr="004676F5">
        <w:rPr>
          <w:lang w:val="de-DE"/>
        </w:rPr>
        <w:t> der Verbraucher bestätigt hat, dass er zur Kenntnis genommen hat, dass er hierdurch sein Widerrufsrecht verliert, und</w:t>
      </w:r>
    </w:p>
    <w:p w14:paraId="368F578A" w14:textId="77777777" w:rsidR="00A77460" w:rsidRPr="004676F5" w:rsidRDefault="00A77460" w:rsidP="00A77460">
      <w:pPr>
        <w:jc w:val="both"/>
        <w:rPr>
          <w:lang w:val="de-DE"/>
        </w:rPr>
      </w:pPr>
    </w:p>
    <w:p w14:paraId="331CFFE3" w14:textId="341E212D" w:rsidR="00626208" w:rsidRPr="004676F5" w:rsidRDefault="00A77460" w:rsidP="00A77460">
      <w:pPr>
        <w:jc w:val="both"/>
        <w:rPr>
          <w:lang w:val="de-DE"/>
        </w:rPr>
      </w:pPr>
      <w:r w:rsidRPr="004676F5">
        <w:rPr>
          <w:lang w:val="de-DE"/>
        </w:rPr>
        <w:tab/>
      </w:r>
      <w:r w:rsidRPr="004676F5">
        <w:rPr>
          <w:i/>
          <w:lang w:val="de-DE"/>
        </w:rPr>
        <w:t>c)</w:t>
      </w:r>
      <w:r w:rsidRPr="004676F5">
        <w:rPr>
          <w:lang w:val="de-DE"/>
        </w:rPr>
        <w:t> das Unternehmen eine Bestätigung gemäß Artikel VI.65 § 2 zur Verfügung gestellt hat,]</w:t>
      </w:r>
    </w:p>
    <w:p w14:paraId="7A91717E" w14:textId="77777777" w:rsidR="00626208" w:rsidRPr="004676F5" w:rsidRDefault="00626208" w:rsidP="00626208">
      <w:pPr>
        <w:jc w:val="both"/>
        <w:rPr>
          <w:lang w:val="de-DE"/>
        </w:rPr>
      </w:pPr>
    </w:p>
    <w:p w14:paraId="38BBDA4C" w14:textId="77777777" w:rsidR="00626208" w:rsidRPr="004676F5" w:rsidRDefault="00626208" w:rsidP="00626208">
      <w:pPr>
        <w:jc w:val="both"/>
        <w:rPr>
          <w:lang w:val="de-DE"/>
        </w:rPr>
      </w:pPr>
      <w:r w:rsidRPr="004676F5">
        <w:rPr>
          <w:lang w:val="de-DE"/>
        </w:rPr>
        <w:tab/>
        <w:t>14. Verträge über den Bau von neuen Gebäuden und erhebliche Umbaumaßnahmen an bestehenden Gebäuden geschlossen werden.</w:t>
      </w:r>
    </w:p>
    <w:p w14:paraId="19B26244" w14:textId="77777777" w:rsidR="005B40CF" w:rsidRPr="004676F5" w:rsidRDefault="005B40CF" w:rsidP="00626208">
      <w:pPr>
        <w:jc w:val="both"/>
        <w:rPr>
          <w:lang w:val="de-DE"/>
        </w:rPr>
      </w:pPr>
    </w:p>
    <w:p w14:paraId="6B707735" w14:textId="123B4DC2" w:rsidR="005B40CF" w:rsidRPr="004676F5" w:rsidRDefault="005B40CF" w:rsidP="00626208">
      <w:pPr>
        <w:jc w:val="both"/>
        <w:rPr>
          <w:i/>
          <w:lang w:val="de-DE"/>
        </w:rPr>
      </w:pPr>
      <w:r w:rsidRPr="004676F5">
        <w:rPr>
          <w:i/>
          <w:lang w:val="de-DE"/>
        </w:rPr>
        <w:t>[</w:t>
      </w:r>
      <w:r w:rsidR="00BE0A56" w:rsidRPr="004676F5">
        <w:rPr>
          <w:i/>
          <w:lang w:val="de-DE"/>
        </w:rPr>
        <w:t>Art. </w:t>
      </w:r>
      <w:r w:rsidRPr="004676F5">
        <w:rPr>
          <w:i/>
          <w:lang w:val="de-DE"/>
        </w:rPr>
        <w:t xml:space="preserve">VI.73 </w:t>
      </w:r>
      <w:r w:rsidR="00A77460" w:rsidRPr="004676F5">
        <w:rPr>
          <w:i/>
          <w:lang w:val="de-DE"/>
        </w:rPr>
        <w:t>einziger Absatz Nr. 1 ersetzt durch Art. 28 Nr. 1</w:t>
      </w:r>
      <w:r w:rsidR="00A77460" w:rsidRPr="004676F5">
        <w:rPr>
          <w:i/>
          <w:iCs/>
          <w:lang w:val="de-DE"/>
        </w:rPr>
        <w:t xml:space="preserve"> des G. vom 8. Mai 2022 (B.S. vom 2. Juni 2022); </w:t>
      </w:r>
      <w:r w:rsidRPr="004676F5">
        <w:rPr>
          <w:i/>
          <w:lang w:val="de-DE"/>
        </w:rPr>
        <w:t xml:space="preserve">einziger Absatz Nr. 12 abgeändert durch </w:t>
      </w:r>
      <w:r w:rsidR="00BE0A56" w:rsidRPr="004676F5">
        <w:rPr>
          <w:i/>
          <w:lang w:val="de-DE"/>
        </w:rPr>
        <w:t>Art. </w:t>
      </w:r>
      <w:r w:rsidRPr="004676F5">
        <w:rPr>
          <w:i/>
          <w:lang w:val="de-DE"/>
        </w:rPr>
        <w:t>7 des G. vom 2. April 2014 (B.S. vom 28. April 2014)</w:t>
      </w:r>
      <w:r w:rsidR="00A77460" w:rsidRPr="004676F5">
        <w:rPr>
          <w:i/>
          <w:lang w:val="de-DE"/>
        </w:rPr>
        <w:t>; einziger Absatz Nr. 13 ersetzt durch Art. 28 Nr. 2</w:t>
      </w:r>
      <w:r w:rsidR="00A77460" w:rsidRPr="004676F5">
        <w:rPr>
          <w:i/>
          <w:iCs/>
          <w:lang w:val="de-DE"/>
        </w:rPr>
        <w:t xml:space="preserve"> des G. vom 8. Mai 2022 (B.S. vom 2. Juni 2022)</w:t>
      </w:r>
      <w:r w:rsidRPr="004676F5">
        <w:rPr>
          <w:i/>
          <w:lang w:val="de-DE"/>
        </w:rPr>
        <w:t>]</w:t>
      </w:r>
    </w:p>
    <w:p w14:paraId="549A2869" w14:textId="77777777" w:rsidR="00626208" w:rsidRPr="004676F5" w:rsidRDefault="00626208" w:rsidP="00626208">
      <w:pPr>
        <w:jc w:val="both"/>
        <w:rPr>
          <w:lang w:val="de-DE"/>
        </w:rPr>
      </w:pPr>
    </w:p>
    <w:p w14:paraId="390D1D3C" w14:textId="77777777" w:rsidR="00F70FB6" w:rsidRPr="004676F5" w:rsidRDefault="00F70FB6" w:rsidP="00626208">
      <w:pPr>
        <w:jc w:val="both"/>
        <w:rPr>
          <w:lang w:val="de-DE"/>
        </w:rPr>
      </w:pPr>
    </w:p>
    <w:p w14:paraId="47275F83" w14:textId="1BC30EC0"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VI.74</w:t>
      </w:r>
      <w:r w:rsidRPr="004676F5">
        <w:rPr>
          <w:lang w:val="de-DE"/>
        </w:rPr>
        <w:t> </w:t>
      </w:r>
      <w:r w:rsidR="005B7A5C" w:rsidRPr="004676F5">
        <w:rPr>
          <w:lang w:val="de-DE"/>
        </w:rPr>
        <w:t>- </w:t>
      </w:r>
      <w:r w:rsidRPr="004676F5">
        <w:rPr>
          <w:lang w:val="de-DE"/>
        </w:rPr>
        <w:t>Das Anbieten zum Kauf und der Verkauf von Produkten im Rahmen des Wandergewerbes ist nur erlaubt, sofern die diesbezüglichen Rechtsvorschriften eingehalten werden. Darüber hinaus kommen die Bestimmungen des vorliegenden Buches zur Anwendung.</w:t>
      </w:r>
    </w:p>
    <w:p w14:paraId="4C8800D3" w14:textId="77777777" w:rsidR="00626208" w:rsidRPr="004676F5" w:rsidRDefault="00626208" w:rsidP="00626208">
      <w:pPr>
        <w:jc w:val="both"/>
        <w:rPr>
          <w:lang w:val="de-DE"/>
        </w:rPr>
      </w:pPr>
    </w:p>
    <w:p w14:paraId="18948F7F" w14:textId="173ED6A0" w:rsidR="00F70FB6" w:rsidRPr="004676F5" w:rsidRDefault="00F70FB6">
      <w:pPr>
        <w:rPr>
          <w:lang w:val="de-DE"/>
        </w:rPr>
      </w:pPr>
    </w:p>
    <w:p w14:paraId="3B6C9718" w14:textId="77777777" w:rsidR="00A77460" w:rsidRPr="004676F5" w:rsidRDefault="00A77460">
      <w:pPr>
        <w:rPr>
          <w:lang w:val="de-DE"/>
        </w:rPr>
      </w:pPr>
      <w:r w:rsidRPr="004676F5">
        <w:rPr>
          <w:lang w:val="de-DE"/>
        </w:rPr>
        <w:br w:type="page"/>
      </w:r>
    </w:p>
    <w:p w14:paraId="1651C3BF" w14:textId="608CF642" w:rsidR="00626208" w:rsidRPr="004676F5" w:rsidRDefault="00626208" w:rsidP="00626208">
      <w:pPr>
        <w:jc w:val="center"/>
        <w:rPr>
          <w:lang w:val="de-DE"/>
        </w:rPr>
      </w:pPr>
      <w:r w:rsidRPr="004676F5">
        <w:rPr>
          <w:lang w:val="de-DE"/>
        </w:rPr>
        <w:lastRenderedPageBreak/>
        <w:t>KAPITEL 4 </w:t>
      </w:r>
      <w:r w:rsidR="005B7A5C" w:rsidRPr="004676F5">
        <w:rPr>
          <w:lang w:val="de-DE"/>
        </w:rPr>
        <w:t>- </w:t>
      </w:r>
      <w:r w:rsidRPr="004676F5">
        <w:rPr>
          <w:i/>
          <w:lang w:val="de-DE"/>
        </w:rPr>
        <w:t>Öffentliche Verkäufe</w:t>
      </w:r>
    </w:p>
    <w:p w14:paraId="59CF2A3C" w14:textId="77777777" w:rsidR="00626208" w:rsidRPr="004676F5" w:rsidRDefault="00626208" w:rsidP="00626208">
      <w:pPr>
        <w:jc w:val="both"/>
        <w:rPr>
          <w:lang w:val="de-DE"/>
        </w:rPr>
      </w:pPr>
    </w:p>
    <w:p w14:paraId="7B94344F" w14:textId="77777777" w:rsidR="00F70FB6" w:rsidRPr="004676F5" w:rsidRDefault="00F70FB6" w:rsidP="00626208">
      <w:pPr>
        <w:jc w:val="both"/>
        <w:rPr>
          <w:lang w:val="de-DE"/>
        </w:rPr>
      </w:pPr>
    </w:p>
    <w:p w14:paraId="7FA7A5D8" w14:textId="6D071A12"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VI.75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Öffentliche Kaufangebote und Verkäufe an Verbraucher durch Versteigerung oder zu herabgesetzten Preisen und die Ausstellung von Erzeugnissen im Hinblick auf derartige Verkäufe unterliegen den Bestimmungen des vorliegenden Kapitels, jedoch mit Ausnahme von Kaufangeboten und Verkäufen:</w:t>
      </w:r>
    </w:p>
    <w:p w14:paraId="5D924614" w14:textId="77777777" w:rsidR="00626208" w:rsidRPr="004676F5" w:rsidRDefault="00626208" w:rsidP="00626208">
      <w:pPr>
        <w:jc w:val="both"/>
        <w:rPr>
          <w:lang w:val="de-DE"/>
        </w:rPr>
      </w:pPr>
    </w:p>
    <w:p w14:paraId="4F975BC9" w14:textId="77777777" w:rsidR="00626208" w:rsidRPr="004676F5" w:rsidRDefault="00626208" w:rsidP="00626208">
      <w:pPr>
        <w:jc w:val="both"/>
        <w:rPr>
          <w:lang w:val="de-DE"/>
        </w:rPr>
      </w:pPr>
      <w:r w:rsidRPr="004676F5">
        <w:rPr>
          <w:lang w:val="de-DE"/>
        </w:rPr>
        <w:tab/>
        <w:t>1. ohne geschäftlichen Charakter,</w:t>
      </w:r>
    </w:p>
    <w:p w14:paraId="7CA904C8" w14:textId="77777777" w:rsidR="00626208" w:rsidRPr="004676F5" w:rsidRDefault="00626208" w:rsidP="00626208">
      <w:pPr>
        <w:jc w:val="both"/>
        <w:rPr>
          <w:lang w:val="de-DE"/>
        </w:rPr>
      </w:pPr>
    </w:p>
    <w:p w14:paraId="7B2979E5" w14:textId="71CB3F21" w:rsidR="00626208" w:rsidRPr="004676F5" w:rsidRDefault="00626208" w:rsidP="00626208">
      <w:pPr>
        <w:jc w:val="both"/>
        <w:rPr>
          <w:lang w:val="de-DE"/>
        </w:rPr>
      </w:pPr>
      <w:r w:rsidRPr="004676F5">
        <w:rPr>
          <w:lang w:val="de-DE"/>
        </w:rPr>
        <w:tab/>
        <w:t>2. von Kunst</w:t>
      </w:r>
      <w:r w:rsidR="005B7A5C" w:rsidRPr="004676F5">
        <w:rPr>
          <w:lang w:val="de-DE"/>
        </w:rPr>
        <w:t>- </w:t>
      </w:r>
      <w:r w:rsidRPr="004676F5">
        <w:rPr>
          <w:lang w:val="de-DE"/>
        </w:rPr>
        <w:t>beziehungsweise Sammlerobjekten </w:t>
      </w:r>
      <w:r w:rsidR="005B7A5C" w:rsidRPr="004676F5">
        <w:rPr>
          <w:lang w:val="de-DE"/>
        </w:rPr>
        <w:t>- </w:t>
      </w:r>
      <w:r w:rsidRPr="004676F5">
        <w:rPr>
          <w:lang w:val="de-DE"/>
        </w:rPr>
        <w:t>ausgenommen Teppiche und Schmuck </w:t>
      </w:r>
      <w:r w:rsidR="005B7A5C" w:rsidRPr="004676F5">
        <w:rPr>
          <w:lang w:val="de-DE"/>
        </w:rPr>
        <w:t>- </w:t>
      </w:r>
      <w:r w:rsidRPr="004676F5">
        <w:rPr>
          <w:lang w:val="de-DE"/>
        </w:rPr>
        <w:t>oder von Antiquitäten,</w:t>
      </w:r>
    </w:p>
    <w:p w14:paraId="01362F2C" w14:textId="77777777" w:rsidR="00626208" w:rsidRPr="004676F5" w:rsidRDefault="00626208" w:rsidP="00626208">
      <w:pPr>
        <w:jc w:val="both"/>
        <w:rPr>
          <w:lang w:val="de-DE"/>
        </w:rPr>
      </w:pPr>
    </w:p>
    <w:p w14:paraId="16BC4A88" w14:textId="77777777" w:rsidR="00626208" w:rsidRPr="004676F5" w:rsidRDefault="00626208" w:rsidP="00626208">
      <w:pPr>
        <w:jc w:val="both"/>
        <w:rPr>
          <w:lang w:val="de-DE"/>
        </w:rPr>
      </w:pPr>
      <w:r w:rsidRPr="004676F5">
        <w:rPr>
          <w:lang w:val="de-DE"/>
        </w:rPr>
        <w:tab/>
        <w:t>3. zur Ausführung einer Gesetzesbestimmung oder einer gerichtlichen Entscheidung,</w:t>
      </w:r>
    </w:p>
    <w:p w14:paraId="508408F1" w14:textId="77777777" w:rsidR="00626208" w:rsidRPr="004676F5" w:rsidRDefault="00626208" w:rsidP="00626208">
      <w:pPr>
        <w:jc w:val="both"/>
        <w:rPr>
          <w:lang w:val="de-DE"/>
        </w:rPr>
      </w:pPr>
    </w:p>
    <w:p w14:paraId="7457DA1B" w14:textId="77777777" w:rsidR="00626208" w:rsidRPr="004676F5" w:rsidRDefault="00626208" w:rsidP="00626208">
      <w:pPr>
        <w:jc w:val="both"/>
        <w:rPr>
          <w:lang w:val="de-DE"/>
        </w:rPr>
      </w:pPr>
      <w:r w:rsidRPr="004676F5">
        <w:rPr>
          <w:lang w:val="de-DE"/>
        </w:rPr>
        <w:tab/>
        <w:t>4. bei gerichtlicher Reorganisation oder Konkurs,</w:t>
      </w:r>
    </w:p>
    <w:p w14:paraId="69572A27" w14:textId="77777777" w:rsidR="00626208" w:rsidRPr="004676F5" w:rsidRDefault="00626208" w:rsidP="00626208">
      <w:pPr>
        <w:jc w:val="both"/>
        <w:rPr>
          <w:lang w:val="de-DE"/>
        </w:rPr>
      </w:pPr>
    </w:p>
    <w:p w14:paraId="4FF90D2F" w14:textId="77777777" w:rsidR="00626208" w:rsidRPr="004676F5" w:rsidRDefault="00626208" w:rsidP="00626208">
      <w:pPr>
        <w:jc w:val="both"/>
        <w:rPr>
          <w:lang w:val="de-DE"/>
        </w:rPr>
      </w:pPr>
      <w:r w:rsidRPr="004676F5">
        <w:rPr>
          <w:lang w:val="de-DE"/>
        </w:rPr>
        <w:tab/>
        <w:t>5. mittels eines Fernkommunikationsmittels.</w:t>
      </w:r>
    </w:p>
    <w:p w14:paraId="207B96F2" w14:textId="77777777" w:rsidR="00626208" w:rsidRPr="004676F5" w:rsidRDefault="00626208" w:rsidP="00626208">
      <w:pPr>
        <w:jc w:val="both"/>
        <w:rPr>
          <w:lang w:val="de-DE"/>
        </w:rPr>
      </w:pPr>
    </w:p>
    <w:p w14:paraId="405A97B5" w14:textId="7E04B3EE"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Der König kann für öffentliche Kaufangebote und Verkäufe von Waren, die Er bestimmt, besondere Modalitäten vorschreiben.</w:t>
      </w:r>
    </w:p>
    <w:p w14:paraId="6E7AD3C4" w14:textId="77777777" w:rsidR="00626208" w:rsidRPr="004676F5" w:rsidRDefault="00626208" w:rsidP="00626208">
      <w:pPr>
        <w:jc w:val="both"/>
        <w:rPr>
          <w:lang w:val="de-DE"/>
        </w:rPr>
      </w:pPr>
    </w:p>
    <w:p w14:paraId="791AFE4F" w14:textId="77777777" w:rsidR="00F70FB6" w:rsidRPr="004676F5" w:rsidRDefault="00F70FB6" w:rsidP="00626208">
      <w:pPr>
        <w:jc w:val="both"/>
        <w:rPr>
          <w:lang w:val="de-DE"/>
        </w:rPr>
      </w:pPr>
    </w:p>
    <w:p w14:paraId="1B9B237F" w14:textId="07865876"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VI.76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Öffentliche Kaufangebote und Verkäufe im Sinne von Artikel VI.75 sind nur erlaubt, wenn sie sich auf Gebrauchtware beziehen.</w:t>
      </w:r>
    </w:p>
    <w:p w14:paraId="29AD9049" w14:textId="77777777" w:rsidR="00626208" w:rsidRPr="004676F5" w:rsidRDefault="00626208" w:rsidP="00626208">
      <w:pPr>
        <w:jc w:val="both"/>
        <w:rPr>
          <w:lang w:val="de-DE"/>
        </w:rPr>
      </w:pPr>
    </w:p>
    <w:p w14:paraId="02850F7F" w14:textId="375F10ED"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Als Gebrauchtware gilt Ware, die sichtbare Gebrauchsspuren aufweist, außer wenn diese sichtbaren Gebrauchsspuren ausschließlich das Ergebnis einer künstlichen Alterungsbehandlung sind, und Ware, bei der das Unternehmen beweisen kann, dass sie bereits auf gewöhnliche Weise benutzt worden ist.</w:t>
      </w:r>
    </w:p>
    <w:p w14:paraId="45B03FD9" w14:textId="77777777" w:rsidR="00626208" w:rsidRPr="004676F5" w:rsidRDefault="00626208" w:rsidP="00626208">
      <w:pPr>
        <w:jc w:val="both"/>
        <w:rPr>
          <w:lang w:val="de-DE"/>
        </w:rPr>
      </w:pPr>
    </w:p>
    <w:p w14:paraId="158E30F8" w14:textId="77777777" w:rsidR="00F70FB6" w:rsidRPr="004676F5" w:rsidRDefault="00F70FB6" w:rsidP="00626208">
      <w:pPr>
        <w:jc w:val="both"/>
        <w:rPr>
          <w:lang w:val="de-DE"/>
        </w:rPr>
      </w:pPr>
    </w:p>
    <w:p w14:paraId="0AF94901" w14:textId="407A5394"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VI.77</w:t>
      </w:r>
      <w:r w:rsidRPr="004676F5">
        <w:rPr>
          <w:lang w:val="de-DE"/>
        </w:rPr>
        <w:t> </w:t>
      </w:r>
      <w:r w:rsidR="005B7A5C" w:rsidRPr="004676F5">
        <w:rPr>
          <w:lang w:val="de-DE"/>
        </w:rPr>
        <w:t>- </w:t>
      </w:r>
      <w:r w:rsidRPr="004676F5">
        <w:rPr>
          <w:lang w:val="de-DE"/>
        </w:rPr>
        <w:t>Der König kann für bestimmte Waren Abweichungen von der Bestimmung von Artikel VI.76 § 1 erlauben, wenn das Anbieten zum Kauf oder der Verkauf dieser Waren durch andere Verkaufsmethoden sich als schwierig oder unmöglich erweist.</w:t>
      </w:r>
    </w:p>
    <w:p w14:paraId="1872539A" w14:textId="77777777" w:rsidR="00626208" w:rsidRPr="004676F5" w:rsidRDefault="00626208" w:rsidP="00626208">
      <w:pPr>
        <w:jc w:val="both"/>
        <w:rPr>
          <w:lang w:val="de-DE"/>
        </w:rPr>
      </w:pPr>
    </w:p>
    <w:p w14:paraId="74FE032C" w14:textId="77777777" w:rsidR="00F70FB6" w:rsidRPr="004676F5" w:rsidRDefault="00F70FB6" w:rsidP="00626208">
      <w:pPr>
        <w:jc w:val="both"/>
        <w:rPr>
          <w:lang w:val="de-DE"/>
        </w:rPr>
      </w:pPr>
    </w:p>
    <w:p w14:paraId="4FCCB315" w14:textId="0487B583"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VI.78</w:t>
      </w:r>
      <w:r w:rsidRPr="004676F5">
        <w:rPr>
          <w:lang w:val="de-DE"/>
        </w:rPr>
        <w:t> </w:t>
      </w:r>
      <w:r w:rsidR="005B7A5C" w:rsidRPr="004676F5">
        <w:rPr>
          <w:lang w:val="de-DE"/>
        </w:rPr>
        <w:t>- </w:t>
      </w:r>
      <w:r w:rsidRPr="004676F5">
        <w:rPr>
          <w:lang w:val="de-DE"/>
        </w:rPr>
        <w:t>Öffentliche Kaufangebote und Verkäufe im Sinne von Artikel VI.75 dürfen nur in den ausschließlich zu diesem Zweck bestimmten Räumen stattfinden vorbehaltlich einer Abweichung, die im Bedarfsfall vom Minister oder von dem vom Minister zu diesem Zweck bestimmten Beamten gewährt wird.</w:t>
      </w:r>
    </w:p>
    <w:p w14:paraId="7AFF0F75" w14:textId="77777777" w:rsidR="00626208" w:rsidRPr="004676F5" w:rsidRDefault="00626208" w:rsidP="00626208">
      <w:pPr>
        <w:jc w:val="both"/>
        <w:rPr>
          <w:lang w:val="de-DE"/>
        </w:rPr>
      </w:pPr>
    </w:p>
    <w:p w14:paraId="2600EBC0" w14:textId="77777777" w:rsidR="00626208" w:rsidRPr="004676F5" w:rsidRDefault="00626208" w:rsidP="00626208">
      <w:pPr>
        <w:jc w:val="both"/>
        <w:rPr>
          <w:lang w:val="de-DE"/>
        </w:rPr>
      </w:pPr>
      <w:r w:rsidRPr="004676F5">
        <w:rPr>
          <w:lang w:val="de-DE"/>
        </w:rPr>
        <w:tab/>
        <w:t>Veranstalter von öffentlichen Kaufangeboten und Verkäufen sind für die Einhaltung der Bestimmungen von Absatz 1 und Artikel VI.76 verantwortlich.</w:t>
      </w:r>
    </w:p>
    <w:p w14:paraId="0C60DC20" w14:textId="77777777" w:rsidR="00626208" w:rsidRPr="004676F5" w:rsidRDefault="00626208" w:rsidP="00626208">
      <w:pPr>
        <w:jc w:val="both"/>
        <w:rPr>
          <w:lang w:val="de-DE"/>
        </w:rPr>
      </w:pPr>
    </w:p>
    <w:p w14:paraId="7AE97404" w14:textId="77777777" w:rsidR="00626208" w:rsidRPr="004676F5" w:rsidRDefault="00626208" w:rsidP="00626208">
      <w:pPr>
        <w:jc w:val="both"/>
        <w:rPr>
          <w:lang w:val="de-DE"/>
        </w:rPr>
      </w:pPr>
      <w:r w:rsidRPr="004676F5">
        <w:rPr>
          <w:lang w:val="de-DE"/>
        </w:rPr>
        <w:tab/>
        <w:t>Der Veranstalter vermerkt in jeder Ankündigung, Werbung oder auf jeder Unterlage in Bezug auf das öffentliche Kaufangebot oder den öffentlichen Verkauf lesbar seinen Namen, Vornamen oder Gesellschaftsnamen, seinen Wohnsitz oder Gesellschaftssitz und seine Unternehmensnummer.</w:t>
      </w:r>
    </w:p>
    <w:p w14:paraId="6914A6BA" w14:textId="77777777" w:rsidR="00626208" w:rsidRPr="004676F5" w:rsidRDefault="00626208" w:rsidP="00626208">
      <w:pPr>
        <w:jc w:val="both"/>
        <w:rPr>
          <w:lang w:val="de-DE"/>
        </w:rPr>
      </w:pPr>
    </w:p>
    <w:p w14:paraId="584D0F5A" w14:textId="77777777" w:rsidR="00F70FB6" w:rsidRPr="004676F5" w:rsidRDefault="00F70FB6" w:rsidP="00626208">
      <w:pPr>
        <w:jc w:val="both"/>
        <w:rPr>
          <w:lang w:val="de-DE"/>
        </w:rPr>
      </w:pPr>
    </w:p>
    <w:p w14:paraId="1F52CB1C" w14:textId="0DCDEE03" w:rsidR="00626208" w:rsidRPr="004676F5" w:rsidRDefault="00626208" w:rsidP="00626208">
      <w:pPr>
        <w:jc w:val="both"/>
        <w:rPr>
          <w:lang w:val="de-DE"/>
        </w:rPr>
      </w:pPr>
      <w:r w:rsidRPr="004676F5">
        <w:rPr>
          <w:lang w:val="de-DE"/>
        </w:rPr>
        <w:lastRenderedPageBreak/>
        <w:tab/>
      </w:r>
      <w:r w:rsidR="00BE0A56" w:rsidRPr="004676F5">
        <w:rPr>
          <w:b/>
          <w:lang w:val="de-DE"/>
        </w:rPr>
        <w:t>Art. </w:t>
      </w:r>
      <w:r w:rsidRPr="004676F5">
        <w:rPr>
          <w:b/>
          <w:lang w:val="de-DE"/>
        </w:rPr>
        <w:t>VI.79</w:t>
      </w:r>
      <w:r w:rsidRPr="004676F5">
        <w:rPr>
          <w:lang w:val="de-DE"/>
        </w:rPr>
        <w:t> </w:t>
      </w:r>
      <w:r w:rsidR="005B7A5C" w:rsidRPr="004676F5">
        <w:rPr>
          <w:lang w:val="de-DE"/>
        </w:rPr>
        <w:t>- </w:t>
      </w:r>
      <w:r w:rsidRPr="004676F5">
        <w:rPr>
          <w:lang w:val="de-DE"/>
        </w:rPr>
        <w:t>Der mit dem öffentlichen Verkauf beauftragte ministerielle Amtsträger muss seine Mitarbeit bei Geschäften, die den Bestimmungen des vorliegenden Kapitels nicht entsprechen, verweigern.</w:t>
      </w:r>
    </w:p>
    <w:p w14:paraId="4646BBBA" w14:textId="77777777" w:rsidR="00626208" w:rsidRPr="004676F5" w:rsidRDefault="00626208" w:rsidP="00626208">
      <w:pPr>
        <w:jc w:val="both"/>
        <w:rPr>
          <w:lang w:val="de-DE"/>
        </w:rPr>
      </w:pPr>
    </w:p>
    <w:p w14:paraId="229C9E25" w14:textId="77777777" w:rsidR="00F70FB6" w:rsidRPr="004676F5" w:rsidRDefault="00F70FB6">
      <w:pPr>
        <w:rPr>
          <w:lang w:val="de-DE"/>
        </w:rPr>
      </w:pPr>
      <w:r w:rsidRPr="004676F5">
        <w:rPr>
          <w:lang w:val="de-DE"/>
        </w:rPr>
        <w:br w:type="page"/>
      </w:r>
    </w:p>
    <w:p w14:paraId="6D6BC788" w14:textId="56CA77A1" w:rsidR="00626208" w:rsidRPr="004676F5" w:rsidRDefault="00626208" w:rsidP="00626208">
      <w:pPr>
        <w:jc w:val="center"/>
        <w:rPr>
          <w:lang w:val="de-DE"/>
        </w:rPr>
      </w:pPr>
      <w:r w:rsidRPr="004676F5">
        <w:rPr>
          <w:lang w:val="de-DE"/>
        </w:rPr>
        <w:lastRenderedPageBreak/>
        <w:t>KAPITEL 5 </w:t>
      </w:r>
      <w:r w:rsidR="005B7A5C" w:rsidRPr="004676F5">
        <w:rPr>
          <w:lang w:val="de-DE"/>
        </w:rPr>
        <w:t>- </w:t>
      </w:r>
      <w:r w:rsidRPr="004676F5">
        <w:rPr>
          <w:i/>
          <w:lang w:val="de-DE"/>
        </w:rPr>
        <w:t>Kopplungsgeschäfte</w:t>
      </w:r>
    </w:p>
    <w:p w14:paraId="5AD2A14B" w14:textId="77777777" w:rsidR="00626208" w:rsidRPr="004676F5" w:rsidRDefault="00626208" w:rsidP="00626208">
      <w:pPr>
        <w:jc w:val="both"/>
        <w:rPr>
          <w:lang w:val="de-DE"/>
        </w:rPr>
      </w:pPr>
    </w:p>
    <w:p w14:paraId="5D82A1DF" w14:textId="77777777" w:rsidR="00F70FB6" w:rsidRPr="004676F5" w:rsidRDefault="00F70FB6" w:rsidP="00626208">
      <w:pPr>
        <w:jc w:val="both"/>
        <w:rPr>
          <w:lang w:val="de-DE"/>
        </w:rPr>
      </w:pPr>
    </w:p>
    <w:p w14:paraId="7788C9DD" w14:textId="5B5FD5B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VI.80</w:t>
      </w:r>
      <w:r w:rsidRPr="004676F5">
        <w:rPr>
          <w:lang w:val="de-DE"/>
        </w:rPr>
        <w:t> </w:t>
      </w:r>
      <w:r w:rsidR="005B7A5C" w:rsidRPr="004676F5">
        <w:rPr>
          <w:lang w:val="de-DE"/>
        </w:rPr>
        <w:t>- </w:t>
      </w:r>
      <w:r w:rsidRPr="004676F5">
        <w:rPr>
          <w:lang w:val="de-DE"/>
        </w:rPr>
        <w:t>Unbeschadet des Artikels VI.81 dürfen dem Verbraucher Kopplungsgeschäfte angeboten werden, insofern sie keine unlautere Geschäftspraxis im Sinne von Artikel VI.93 und folgenden darstellen.</w:t>
      </w:r>
    </w:p>
    <w:p w14:paraId="55B52C07" w14:textId="77777777" w:rsidR="00626208" w:rsidRPr="004676F5" w:rsidRDefault="00626208" w:rsidP="00626208">
      <w:pPr>
        <w:jc w:val="both"/>
        <w:rPr>
          <w:lang w:val="de-DE"/>
        </w:rPr>
      </w:pPr>
    </w:p>
    <w:p w14:paraId="2266F56A" w14:textId="77777777" w:rsidR="00F70FB6" w:rsidRPr="004676F5" w:rsidRDefault="00F70FB6" w:rsidP="00626208">
      <w:pPr>
        <w:jc w:val="both"/>
        <w:rPr>
          <w:lang w:val="de-DE"/>
        </w:rPr>
      </w:pPr>
    </w:p>
    <w:p w14:paraId="62E1BA6C" w14:textId="7E3BA9FE"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VI.81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Kopplungsgeschäfte, bei denen mindestens ein Bestandteil eine Finanzdienstleistung ist und die ein Unternehmen oder verschiedene Unternehmen, die einen gemeinsamen Zweck verfolgen, Verbrauchern anbieten, sind verboten.</w:t>
      </w:r>
    </w:p>
    <w:p w14:paraId="08B9B60D" w14:textId="77777777" w:rsidR="00626208" w:rsidRPr="004676F5" w:rsidRDefault="00626208" w:rsidP="00626208">
      <w:pPr>
        <w:jc w:val="both"/>
        <w:rPr>
          <w:lang w:val="de-DE"/>
        </w:rPr>
      </w:pPr>
    </w:p>
    <w:p w14:paraId="5789CB04" w14:textId="4F91C7B0"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In Abweichung von § 1 dürfen jedoch gekoppelt angeboten werden:</w:t>
      </w:r>
    </w:p>
    <w:p w14:paraId="5C3E3E6E" w14:textId="77777777" w:rsidR="00626208" w:rsidRPr="004676F5" w:rsidRDefault="00626208" w:rsidP="00626208">
      <w:pPr>
        <w:jc w:val="both"/>
        <w:rPr>
          <w:lang w:val="de-DE"/>
        </w:rPr>
      </w:pPr>
    </w:p>
    <w:p w14:paraId="5AEDE3F7" w14:textId="77777777" w:rsidR="00626208" w:rsidRPr="004676F5" w:rsidRDefault="00626208" w:rsidP="00626208">
      <w:pPr>
        <w:jc w:val="both"/>
        <w:rPr>
          <w:lang w:val="de-DE"/>
        </w:rPr>
      </w:pPr>
      <w:r w:rsidRPr="004676F5">
        <w:rPr>
          <w:lang w:val="de-DE"/>
        </w:rPr>
        <w:tab/>
        <w:t>1. Finanzdienstleistungen, die ein Ganzes bilden.</w:t>
      </w:r>
    </w:p>
    <w:p w14:paraId="734F6B0C" w14:textId="77777777" w:rsidR="00626208" w:rsidRPr="004676F5" w:rsidRDefault="00626208" w:rsidP="00626208">
      <w:pPr>
        <w:jc w:val="both"/>
        <w:rPr>
          <w:lang w:val="de-DE"/>
        </w:rPr>
      </w:pPr>
    </w:p>
    <w:p w14:paraId="48CA8FEA" w14:textId="77777777" w:rsidR="00626208" w:rsidRPr="004676F5" w:rsidRDefault="00626208" w:rsidP="00626208">
      <w:pPr>
        <w:jc w:val="both"/>
        <w:rPr>
          <w:lang w:val="de-DE"/>
        </w:rPr>
      </w:pPr>
      <w:r w:rsidRPr="004676F5">
        <w:rPr>
          <w:lang w:val="de-DE"/>
        </w:rPr>
        <w:tab/>
        <w:t>Der König kann auf Vorschlag der zuständigen Minister und des Ministers der Finanzen im Finanzsektor angebotene Dienstleistungen bestimmen, die ein Ganzes bilden,</w:t>
      </w:r>
    </w:p>
    <w:p w14:paraId="1DFFD4DC" w14:textId="77777777" w:rsidR="00626208" w:rsidRPr="004676F5" w:rsidRDefault="00626208" w:rsidP="00626208">
      <w:pPr>
        <w:jc w:val="both"/>
        <w:rPr>
          <w:lang w:val="de-DE"/>
        </w:rPr>
      </w:pPr>
    </w:p>
    <w:p w14:paraId="7A95AF05" w14:textId="77777777" w:rsidR="00626208" w:rsidRPr="004676F5" w:rsidRDefault="00626208" w:rsidP="00626208">
      <w:pPr>
        <w:jc w:val="both"/>
        <w:rPr>
          <w:lang w:val="de-DE"/>
        </w:rPr>
      </w:pPr>
      <w:r w:rsidRPr="004676F5">
        <w:rPr>
          <w:lang w:val="de-DE"/>
        </w:rPr>
        <w:tab/>
        <w:t>2. Finanzdienstleistungen und handelsübliche kleine Waren und Dienstleistungen,</w:t>
      </w:r>
    </w:p>
    <w:p w14:paraId="5B684E5F" w14:textId="77777777" w:rsidR="00626208" w:rsidRPr="004676F5" w:rsidRDefault="00626208" w:rsidP="00626208">
      <w:pPr>
        <w:jc w:val="both"/>
        <w:rPr>
          <w:lang w:val="de-DE"/>
        </w:rPr>
      </w:pPr>
    </w:p>
    <w:p w14:paraId="4B938095" w14:textId="77777777" w:rsidR="00626208" w:rsidRPr="004676F5" w:rsidRDefault="00626208" w:rsidP="00626208">
      <w:pPr>
        <w:jc w:val="both"/>
        <w:rPr>
          <w:lang w:val="de-DE"/>
        </w:rPr>
      </w:pPr>
      <w:r w:rsidRPr="004676F5">
        <w:rPr>
          <w:lang w:val="de-DE"/>
        </w:rPr>
        <w:tab/>
        <w:t>3. Finanzdienstleistungen und Teilnahmescheine für gesetzlich zugelassene Lotterien,</w:t>
      </w:r>
    </w:p>
    <w:p w14:paraId="74B8A772" w14:textId="77777777" w:rsidR="00626208" w:rsidRPr="004676F5" w:rsidRDefault="00626208" w:rsidP="00626208">
      <w:pPr>
        <w:jc w:val="both"/>
        <w:rPr>
          <w:lang w:val="de-DE"/>
        </w:rPr>
      </w:pPr>
    </w:p>
    <w:p w14:paraId="6AFCC004" w14:textId="77777777" w:rsidR="00626208" w:rsidRPr="004676F5" w:rsidRDefault="00626208" w:rsidP="00626208">
      <w:pPr>
        <w:jc w:val="both"/>
        <w:rPr>
          <w:lang w:val="de-DE"/>
        </w:rPr>
      </w:pPr>
      <w:r w:rsidRPr="004676F5">
        <w:rPr>
          <w:lang w:val="de-DE"/>
        </w:rPr>
        <w:tab/>
        <w:t>4. Finanzdienstleistungen und Gegenstände mit unauswischbaren und deutlich sichtbaren Werbeaufschriften, die als solche nicht im Handel zu finden sind, unter der Bedingung, dass der vom Unternehmen gezahlte Einkaufspreis höchstens 10 EUR ohne MwSt. oder 5 Prozent des Preises ohne MwSt. der Finanzdienstleistung beträgt, mit der sie angeboten werden. Der Prozentsatz von 5 Prozent ist anwendbar, wenn der dem Prozentsatz entsprechende Betrag 10 EUR übersteigt,</w:t>
      </w:r>
    </w:p>
    <w:p w14:paraId="7D5F402D" w14:textId="77777777" w:rsidR="00626208" w:rsidRPr="004676F5" w:rsidRDefault="00626208" w:rsidP="00626208">
      <w:pPr>
        <w:jc w:val="both"/>
        <w:rPr>
          <w:lang w:val="de-DE"/>
        </w:rPr>
      </w:pPr>
    </w:p>
    <w:p w14:paraId="4A2DFFC0" w14:textId="77777777" w:rsidR="00626208" w:rsidRPr="004676F5" w:rsidRDefault="00626208" w:rsidP="00626208">
      <w:pPr>
        <w:jc w:val="both"/>
        <w:rPr>
          <w:lang w:val="de-DE"/>
        </w:rPr>
      </w:pPr>
      <w:r w:rsidRPr="004676F5">
        <w:rPr>
          <w:lang w:val="de-DE"/>
        </w:rPr>
        <w:tab/>
        <w:t>5. Finanzdienstleistungen und Farbbilder, Aufkleber und sonstige Bilder mit geringfügigem Handelswert,</w:t>
      </w:r>
    </w:p>
    <w:p w14:paraId="61B936E6" w14:textId="77777777" w:rsidR="00626208" w:rsidRPr="004676F5" w:rsidRDefault="00626208" w:rsidP="00626208">
      <w:pPr>
        <w:jc w:val="both"/>
        <w:rPr>
          <w:lang w:val="de-DE"/>
        </w:rPr>
      </w:pPr>
    </w:p>
    <w:p w14:paraId="197C00B4" w14:textId="77777777" w:rsidR="00626208" w:rsidRPr="004676F5" w:rsidRDefault="00626208" w:rsidP="00626208">
      <w:pPr>
        <w:jc w:val="both"/>
        <w:rPr>
          <w:lang w:val="de-DE"/>
        </w:rPr>
      </w:pPr>
      <w:r w:rsidRPr="004676F5">
        <w:rPr>
          <w:lang w:val="de-DE"/>
        </w:rPr>
        <w:tab/>
        <w:t>6. Finanzdienstleistungen und Berechtigungsscheine in Form von Papieren, die nach dem Erwerb einer gewissen Anzahl Dienstleistungen zu einem kostenlosen Angebot oder einer Preisermäßigung beim Erwerb einer gleichartigen Dienstleistung berechtigen, insofern dieser Vorteil von demselben Unternehmen eingeräumt wird und höchstens ein Drittel des Preises der vorher erworbenen Dienstleistungen beträgt.</w:t>
      </w:r>
    </w:p>
    <w:p w14:paraId="4533C97D" w14:textId="77777777" w:rsidR="00626208" w:rsidRPr="004676F5" w:rsidRDefault="00626208" w:rsidP="00626208">
      <w:pPr>
        <w:jc w:val="both"/>
        <w:rPr>
          <w:lang w:val="de-DE"/>
        </w:rPr>
      </w:pPr>
    </w:p>
    <w:p w14:paraId="6EC5A0EA" w14:textId="77777777" w:rsidR="00626208" w:rsidRPr="004676F5" w:rsidRDefault="00626208" w:rsidP="00626208">
      <w:pPr>
        <w:jc w:val="both"/>
        <w:rPr>
          <w:lang w:val="de-DE"/>
        </w:rPr>
      </w:pPr>
      <w:r w:rsidRPr="004676F5">
        <w:rPr>
          <w:lang w:val="de-DE"/>
        </w:rPr>
        <w:tab/>
        <w:t>Auf den Berechtigungsscheinen müssen gegebenenfalls das Ende der Gültigkeitsdauer und die Modalitäten des Angebots angegeben werden.</w:t>
      </w:r>
    </w:p>
    <w:p w14:paraId="2EBB2F6A" w14:textId="77777777" w:rsidR="00626208" w:rsidRPr="004676F5" w:rsidRDefault="00626208" w:rsidP="00626208">
      <w:pPr>
        <w:jc w:val="both"/>
        <w:rPr>
          <w:lang w:val="de-DE"/>
        </w:rPr>
      </w:pPr>
    </w:p>
    <w:p w14:paraId="5E16B977" w14:textId="77777777" w:rsidR="00626208" w:rsidRPr="004676F5" w:rsidRDefault="00626208" w:rsidP="00626208">
      <w:pPr>
        <w:jc w:val="both"/>
        <w:rPr>
          <w:lang w:val="de-DE"/>
        </w:rPr>
      </w:pPr>
      <w:r w:rsidRPr="004676F5">
        <w:rPr>
          <w:lang w:val="de-DE"/>
        </w:rPr>
        <w:tab/>
        <w:t>Falls das Unternehmen sein Angebot einstellt, hat der Verbraucher Anrecht auf den angebotenen Vorteil im Verhältnis zu den vorher getätigten Einkäufen.</w:t>
      </w:r>
    </w:p>
    <w:p w14:paraId="28D600C5" w14:textId="77777777" w:rsidR="00626208" w:rsidRPr="004676F5" w:rsidRDefault="00626208" w:rsidP="00626208">
      <w:pPr>
        <w:jc w:val="both"/>
        <w:rPr>
          <w:lang w:val="de-DE"/>
        </w:rPr>
      </w:pPr>
    </w:p>
    <w:p w14:paraId="34E846AE" w14:textId="77777777" w:rsidR="00AE6697" w:rsidRPr="004676F5" w:rsidRDefault="00AE6697" w:rsidP="00626208">
      <w:pPr>
        <w:jc w:val="center"/>
        <w:rPr>
          <w:lang w:val="de-DE"/>
        </w:rPr>
      </w:pPr>
    </w:p>
    <w:p w14:paraId="4DEC5521" w14:textId="77777777" w:rsidR="00AE6697" w:rsidRPr="004676F5" w:rsidRDefault="00AE6697">
      <w:pPr>
        <w:rPr>
          <w:lang w:val="de-DE"/>
        </w:rPr>
      </w:pPr>
      <w:r w:rsidRPr="004676F5">
        <w:rPr>
          <w:lang w:val="de-DE"/>
        </w:rPr>
        <w:br w:type="page"/>
      </w:r>
    </w:p>
    <w:p w14:paraId="7E8ABD9C" w14:textId="5BF04718" w:rsidR="00626208" w:rsidRPr="004676F5" w:rsidRDefault="00626208" w:rsidP="00626208">
      <w:pPr>
        <w:jc w:val="center"/>
        <w:rPr>
          <w:lang w:val="de-DE"/>
        </w:rPr>
      </w:pPr>
      <w:r w:rsidRPr="004676F5">
        <w:rPr>
          <w:lang w:val="de-DE"/>
        </w:rPr>
        <w:lastRenderedPageBreak/>
        <w:t>KAPITEL 6 </w:t>
      </w:r>
      <w:r w:rsidR="005B7A5C" w:rsidRPr="004676F5">
        <w:rPr>
          <w:lang w:val="de-DE"/>
        </w:rPr>
        <w:t>- </w:t>
      </w:r>
      <w:r w:rsidRPr="004676F5">
        <w:rPr>
          <w:i/>
          <w:lang w:val="de-DE"/>
        </w:rPr>
        <w:t>Missbräuchliche Klauseln</w:t>
      </w:r>
    </w:p>
    <w:p w14:paraId="2B98F5B8" w14:textId="77777777" w:rsidR="00626208" w:rsidRPr="004676F5" w:rsidRDefault="00626208" w:rsidP="00626208">
      <w:pPr>
        <w:jc w:val="both"/>
        <w:rPr>
          <w:lang w:val="de-DE"/>
        </w:rPr>
      </w:pPr>
    </w:p>
    <w:p w14:paraId="26176AFD" w14:textId="77777777" w:rsidR="00AE6697" w:rsidRPr="004676F5" w:rsidRDefault="00AE6697" w:rsidP="00626208">
      <w:pPr>
        <w:jc w:val="both"/>
        <w:rPr>
          <w:lang w:val="de-DE"/>
        </w:rPr>
      </w:pPr>
    </w:p>
    <w:p w14:paraId="0113CEF4" w14:textId="4D7D1222" w:rsidR="00E30873" w:rsidRPr="004676F5" w:rsidRDefault="00E30873" w:rsidP="00626208">
      <w:pPr>
        <w:jc w:val="both"/>
        <w:rPr>
          <w:lang w:val="de-DE"/>
        </w:rPr>
      </w:pPr>
      <w:r w:rsidRPr="004676F5">
        <w:rPr>
          <w:lang w:val="de-DE"/>
        </w:rPr>
        <w:tab/>
        <w:t>[</w:t>
      </w:r>
      <w:r w:rsidRPr="004676F5">
        <w:rPr>
          <w:b/>
          <w:bCs/>
          <w:lang w:val="de-DE"/>
        </w:rPr>
        <w:t>Art. VI.81/1</w:t>
      </w:r>
      <w:r w:rsidRPr="004676F5">
        <w:rPr>
          <w:lang w:val="de-DE"/>
        </w:rPr>
        <w:t> - Vorliegendes Kapitel gilt ebenfalls für Verträge zwischen einem Unternehmen und einer in Artikel 3.86 des Zivilgesetzbuches erwähnten Miteigentümervereinigung eines Gebäudes oder einer Gebäudegruppe in Zwangseigentum, bei der 75 Prozent oder mehr der Anteile an ihren gemeinsamen Teilen auf Lose entfallen, denen gemäß der Miteigentumssatzung keine berufliche Nutzung zukommen kann.]</w:t>
      </w:r>
    </w:p>
    <w:p w14:paraId="687BBD11" w14:textId="77777777" w:rsidR="00E30873" w:rsidRPr="004676F5" w:rsidRDefault="00E30873" w:rsidP="00626208">
      <w:pPr>
        <w:jc w:val="both"/>
        <w:rPr>
          <w:lang w:val="de-DE"/>
        </w:rPr>
      </w:pPr>
    </w:p>
    <w:p w14:paraId="7AB533CF" w14:textId="57993696" w:rsidR="00E30873" w:rsidRPr="004676F5" w:rsidRDefault="00E30873" w:rsidP="00626208">
      <w:pPr>
        <w:jc w:val="both"/>
        <w:rPr>
          <w:i/>
          <w:iCs/>
          <w:lang w:val="de-DE"/>
        </w:rPr>
      </w:pPr>
      <w:r w:rsidRPr="004676F5">
        <w:rPr>
          <w:i/>
          <w:iCs/>
          <w:lang w:val="de-DE"/>
        </w:rPr>
        <w:t>[Art. VI.81/1 eingefügt durch Art. 19 des G. vom 9. Februar 2024 (B.S. vom 21. März 2024)]</w:t>
      </w:r>
    </w:p>
    <w:p w14:paraId="65EEFD43" w14:textId="77777777" w:rsidR="00E30873" w:rsidRPr="004676F5" w:rsidRDefault="00E30873" w:rsidP="00626208">
      <w:pPr>
        <w:jc w:val="both"/>
        <w:rPr>
          <w:i/>
          <w:iCs/>
          <w:lang w:val="de-DE"/>
        </w:rPr>
      </w:pPr>
    </w:p>
    <w:p w14:paraId="214009B2" w14:textId="77777777" w:rsidR="00E30873" w:rsidRPr="004676F5" w:rsidRDefault="00E30873" w:rsidP="00626208">
      <w:pPr>
        <w:jc w:val="both"/>
        <w:rPr>
          <w:lang w:val="de-DE"/>
        </w:rPr>
      </w:pPr>
    </w:p>
    <w:p w14:paraId="6B7028E6" w14:textId="714DA3C3"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VI.82</w:t>
      </w:r>
      <w:r w:rsidRPr="004676F5">
        <w:rPr>
          <w:lang w:val="de-DE"/>
        </w:rPr>
        <w:t> </w:t>
      </w:r>
      <w:r w:rsidR="005B7A5C" w:rsidRPr="004676F5">
        <w:rPr>
          <w:lang w:val="de-DE"/>
        </w:rPr>
        <w:t>- </w:t>
      </w:r>
      <w:r w:rsidRPr="004676F5">
        <w:rPr>
          <w:lang w:val="de-DE"/>
        </w:rPr>
        <w:t>Die Missbräuchlichkeit einer Vertragsklausel wird unter Berücksichtigung der Art der Produkte, die Gegenstand des Vertrags sind, aller den Vertragsabschluss begleitenden Umstände und aller anderen Klauseln desselben Vertrags oder eines anderen Vertrags, von dem die Klausel abhängt, zum Zeitpunkt des Vertragsabschlusses beurteilt.</w:t>
      </w:r>
    </w:p>
    <w:p w14:paraId="48DDFA36" w14:textId="77777777" w:rsidR="00626208" w:rsidRPr="004676F5" w:rsidRDefault="00626208" w:rsidP="00626208">
      <w:pPr>
        <w:jc w:val="both"/>
        <w:rPr>
          <w:lang w:val="de-DE"/>
        </w:rPr>
      </w:pPr>
    </w:p>
    <w:p w14:paraId="06D4D0CC" w14:textId="77777777" w:rsidR="00626208" w:rsidRPr="004676F5" w:rsidRDefault="00626208" w:rsidP="00626208">
      <w:pPr>
        <w:jc w:val="both"/>
        <w:rPr>
          <w:lang w:val="de-DE"/>
        </w:rPr>
      </w:pPr>
      <w:r w:rsidRPr="004676F5">
        <w:rPr>
          <w:lang w:val="de-DE"/>
        </w:rPr>
        <w:tab/>
        <w:t>Zur Beurteilung der Missbräuchlichkeit wird ebenfalls die in Artikel VI.37 § 1 erwähnte Anforderung der Klarheit und Verständlichkeit der Klausel berücksichtigt.</w:t>
      </w:r>
    </w:p>
    <w:p w14:paraId="2D5ADA28" w14:textId="77777777" w:rsidR="00626208" w:rsidRPr="004676F5" w:rsidRDefault="00626208" w:rsidP="00626208">
      <w:pPr>
        <w:jc w:val="both"/>
        <w:rPr>
          <w:lang w:val="de-DE"/>
        </w:rPr>
      </w:pPr>
    </w:p>
    <w:p w14:paraId="11700547" w14:textId="77777777" w:rsidR="00626208" w:rsidRPr="004676F5" w:rsidRDefault="00626208" w:rsidP="00626208">
      <w:pPr>
        <w:jc w:val="both"/>
        <w:rPr>
          <w:lang w:val="de-DE"/>
        </w:rPr>
      </w:pPr>
      <w:r w:rsidRPr="004676F5">
        <w:rPr>
          <w:lang w:val="de-DE"/>
        </w:rPr>
        <w:tab/>
        <w:t>Die Beurteilung der Missbräuchlichkeit der Klauseln betrifft weder den Hauptgegenstand des Vertrags noch die Angemessenheit zwischen Preis beziehungsweise Entgelt und Waren beziehungsweise Dienstleistungen, die die Gegenleistung darstellen, sofern diese Klauseln klar und verständlich abgefasst sind.</w:t>
      </w:r>
    </w:p>
    <w:p w14:paraId="118738FB" w14:textId="77777777" w:rsidR="00626208" w:rsidRPr="004676F5" w:rsidRDefault="00626208" w:rsidP="00626208">
      <w:pPr>
        <w:jc w:val="both"/>
        <w:rPr>
          <w:lang w:val="de-DE"/>
        </w:rPr>
      </w:pPr>
    </w:p>
    <w:p w14:paraId="0BA1B3E7" w14:textId="77777777" w:rsidR="00AE6697" w:rsidRPr="004676F5" w:rsidRDefault="00AE6697" w:rsidP="00626208">
      <w:pPr>
        <w:jc w:val="both"/>
        <w:rPr>
          <w:lang w:val="de-DE"/>
        </w:rPr>
      </w:pPr>
    </w:p>
    <w:p w14:paraId="557F59AB" w14:textId="1E8C7155"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VI.83</w:t>
      </w:r>
      <w:r w:rsidRPr="004676F5">
        <w:rPr>
          <w:lang w:val="de-DE"/>
        </w:rPr>
        <w:t> </w:t>
      </w:r>
      <w:r w:rsidR="005B7A5C" w:rsidRPr="004676F5">
        <w:rPr>
          <w:lang w:val="de-DE"/>
        </w:rPr>
        <w:t>- </w:t>
      </w:r>
      <w:r w:rsidRPr="004676F5">
        <w:rPr>
          <w:lang w:val="de-DE"/>
        </w:rPr>
        <w:t>In einem zwischen einem Unternehmen und einem Verbraucher geschlossenen Vertrag sind in jedem Fall alle Klauseln und Bedingungen beziehungsweise Kombinationen von Klauseln und Bedingungen missbräuchlich, mit denen bezweckt wird:</w:t>
      </w:r>
    </w:p>
    <w:p w14:paraId="119FCA2B" w14:textId="77777777" w:rsidR="00626208" w:rsidRPr="004676F5" w:rsidRDefault="00626208" w:rsidP="00626208">
      <w:pPr>
        <w:jc w:val="both"/>
        <w:rPr>
          <w:lang w:val="de-DE"/>
        </w:rPr>
      </w:pPr>
    </w:p>
    <w:p w14:paraId="3A1B8D51" w14:textId="77777777" w:rsidR="00626208" w:rsidRPr="004676F5" w:rsidRDefault="00626208" w:rsidP="00626208">
      <w:pPr>
        <w:jc w:val="both"/>
        <w:rPr>
          <w:lang w:val="de-DE"/>
        </w:rPr>
      </w:pPr>
      <w:r w:rsidRPr="004676F5">
        <w:rPr>
          <w:lang w:val="de-DE"/>
        </w:rPr>
        <w:tab/>
        <w:t>1. eine unwiderrufliche Verpflichtung des Verbrauchers vorzusehen, während das Unternehmen die Erbringung der Leistungen an eine Bedingung knüpft, deren Eintritt nur von ihm abhängt,</w:t>
      </w:r>
    </w:p>
    <w:p w14:paraId="4E093105" w14:textId="77777777" w:rsidR="00626208" w:rsidRPr="004676F5" w:rsidRDefault="00626208" w:rsidP="00626208">
      <w:pPr>
        <w:jc w:val="both"/>
        <w:rPr>
          <w:lang w:val="de-DE"/>
        </w:rPr>
      </w:pPr>
    </w:p>
    <w:p w14:paraId="51AA696D" w14:textId="77777777" w:rsidR="00626208" w:rsidRPr="004676F5" w:rsidRDefault="00626208" w:rsidP="00626208">
      <w:pPr>
        <w:jc w:val="both"/>
        <w:rPr>
          <w:lang w:val="de-DE"/>
        </w:rPr>
      </w:pPr>
      <w:r w:rsidRPr="004676F5">
        <w:rPr>
          <w:lang w:val="de-DE"/>
        </w:rPr>
        <w:tab/>
        <w:t>2. in unbefristeten Verträgen zu bestimmen, dass der Preis der Produkte zum Zeitpunkt der Lieferung festgelegt wird, oder es dem Unternehmen zu ermöglichen, den Preis einseitig zu erhöhen oder die Bedingungen zum Nachteil des Verbrauchers auf Grundlage von Faktoren, die vom alleinigen Willen des Unternehmens abhängen, zu verändern, ohne dass der Verbraucher in all diesen Fällen das Recht hat, den Vertrag ohne Kosten oder Schadenersatz vor Anwendung der neuen Preise oder der neuen Bedingungen zu beenden, und ohne dem Verbraucher dazu eine angemessene Frist einzuräumen.</w:t>
      </w:r>
    </w:p>
    <w:p w14:paraId="119B67EC" w14:textId="77777777" w:rsidR="00626208" w:rsidRPr="004676F5" w:rsidRDefault="00626208" w:rsidP="00626208">
      <w:pPr>
        <w:jc w:val="both"/>
        <w:rPr>
          <w:lang w:val="de-DE"/>
        </w:rPr>
      </w:pPr>
    </w:p>
    <w:p w14:paraId="11EE7CBD" w14:textId="77777777" w:rsidR="00626208" w:rsidRPr="004676F5" w:rsidRDefault="00626208" w:rsidP="00626208">
      <w:pPr>
        <w:jc w:val="both"/>
        <w:rPr>
          <w:lang w:val="de-DE"/>
        </w:rPr>
      </w:pPr>
      <w:r w:rsidRPr="004676F5">
        <w:rPr>
          <w:lang w:val="de-DE"/>
        </w:rPr>
        <w:tab/>
        <w:t>Folgende Klauseln sind jedoch erlaubt und gültig:</w:t>
      </w:r>
    </w:p>
    <w:p w14:paraId="05341463" w14:textId="77777777" w:rsidR="00626208" w:rsidRPr="004676F5" w:rsidRDefault="00626208" w:rsidP="00626208">
      <w:pPr>
        <w:jc w:val="both"/>
        <w:rPr>
          <w:lang w:val="de-DE"/>
        </w:rPr>
      </w:pPr>
    </w:p>
    <w:p w14:paraId="39FED682"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Preisindexierungsklauseln, wenn diese nicht rechtswidrig sind und der Modus der Preisanpassung im Vertrag ausdrücklich beschrieben wird,</w:t>
      </w:r>
    </w:p>
    <w:p w14:paraId="00780A14" w14:textId="77777777" w:rsidR="00626208" w:rsidRPr="004676F5" w:rsidRDefault="00626208" w:rsidP="00626208">
      <w:pPr>
        <w:jc w:val="both"/>
        <w:rPr>
          <w:lang w:val="de-DE"/>
        </w:rPr>
      </w:pPr>
    </w:p>
    <w:p w14:paraId="1827545F"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xml:space="preserve"> Klauseln, durch die sich das Unternehmen, das Finanzdienstleistungen erbringt, das Recht vorbehält, den von dem Verbraucher oder an den Verbraucher zu zahlenden Zinssatz in begründeten Fällen ohne Vorankündigung zu ändern, sofern das Unternehmen die Pflicht hat, </w:t>
      </w:r>
      <w:r w:rsidRPr="004676F5">
        <w:rPr>
          <w:lang w:val="de-DE"/>
        </w:rPr>
        <w:lastRenderedPageBreak/>
        <w:t>den Verbraucher unverzüglich davon zu unterrichten, und es diesem freisteht, den Vertrag sofort zu kündigen,</w:t>
      </w:r>
    </w:p>
    <w:p w14:paraId="37DC6F58" w14:textId="77777777" w:rsidR="00626208" w:rsidRPr="004676F5" w:rsidRDefault="00626208" w:rsidP="00626208">
      <w:pPr>
        <w:jc w:val="both"/>
        <w:rPr>
          <w:lang w:val="de-DE"/>
        </w:rPr>
      </w:pPr>
    </w:p>
    <w:p w14:paraId="1EA8561B" w14:textId="77777777" w:rsidR="00626208" w:rsidRPr="004676F5" w:rsidRDefault="00626208" w:rsidP="00626208">
      <w:pPr>
        <w:jc w:val="both"/>
        <w:rPr>
          <w:lang w:val="de-DE"/>
        </w:rPr>
      </w:pPr>
      <w:r w:rsidRPr="004676F5">
        <w:rPr>
          <w:lang w:val="de-DE"/>
        </w:rPr>
        <w:tab/>
        <w:t>3. in befristeten Verträgen zu bestimmen, dass der Preis der Produkte zum Zeitpunkt der Lieferung festgelegt wird, oder es dem Unternehmen zu ermöglichen, den Preis einseitig zu erhöhen oder die Bedingungen zum Nachteil des Verbrauchers auf Grundlage von Faktoren, die vom alleinigen Willen des Unternehmens abhängen, zu verändern, selbst wenn dem Verbraucher dann die Möglichkeit geboten wird, den Vertrag zu beenden.</w:t>
      </w:r>
    </w:p>
    <w:p w14:paraId="3AFBFE69" w14:textId="77777777" w:rsidR="00626208" w:rsidRPr="004676F5" w:rsidRDefault="00626208" w:rsidP="00626208">
      <w:pPr>
        <w:jc w:val="both"/>
        <w:rPr>
          <w:lang w:val="de-DE"/>
        </w:rPr>
      </w:pPr>
    </w:p>
    <w:p w14:paraId="705BC940" w14:textId="77777777" w:rsidR="00626208" w:rsidRPr="004676F5" w:rsidRDefault="00626208" w:rsidP="00626208">
      <w:pPr>
        <w:jc w:val="both"/>
        <w:rPr>
          <w:lang w:val="de-DE"/>
        </w:rPr>
      </w:pPr>
      <w:r w:rsidRPr="004676F5">
        <w:rPr>
          <w:lang w:val="de-DE"/>
        </w:rPr>
        <w:tab/>
        <w:t xml:space="preserve">Die in Nr. 2 Absatz 2 vorgesehenen Ausnahmen gelten auch in Bezug auf die in Absatz 1 erwähnten Fälle, </w:t>
      </w:r>
    </w:p>
    <w:p w14:paraId="0C44848E" w14:textId="77777777" w:rsidR="00626208" w:rsidRPr="004676F5" w:rsidRDefault="00626208" w:rsidP="00626208">
      <w:pPr>
        <w:jc w:val="both"/>
        <w:rPr>
          <w:lang w:val="de-DE"/>
        </w:rPr>
      </w:pPr>
    </w:p>
    <w:p w14:paraId="3B9DE911" w14:textId="77777777" w:rsidR="00626208" w:rsidRPr="004676F5" w:rsidRDefault="00626208" w:rsidP="00626208">
      <w:pPr>
        <w:jc w:val="both"/>
        <w:rPr>
          <w:lang w:val="de-DE"/>
        </w:rPr>
      </w:pPr>
      <w:r w:rsidRPr="004676F5">
        <w:rPr>
          <w:lang w:val="de-DE"/>
        </w:rPr>
        <w:tab/>
        <w:t>4. dem Unternehmen das Recht einzuräumen, die Merkmale des zu liefernden Produkts einseitig zu ändern, obwohl diese Merkmale von wesentlicher Bedeutung für den Verbraucher oder für den Gebrauch sind, für den der Verbraucher das Produkt bestimmt, insofern dieser Gebrauch dem Unternehmen mitgeteilt und von ihm angenommen worden ist oder, in Ermangelung einer derartigen Angabe, vernünftigerweise vorhersehbar war,</w:t>
      </w:r>
    </w:p>
    <w:p w14:paraId="340314D5" w14:textId="77777777" w:rsidR="00626208" w:rsidRPr="004676F5" w:rsidRDefault="00626208" w:rsidP="00626208">
      <w:pPr>
        <w:jc w:val="both"/>
        <w:rPr>
          <w:lang w:val="de-DE"/>
        </w:rPr>
      </w:pPr>
    </w:p>
    <w:p w14:paraId="7542F92E" w14:textId="77777777" w:rsidR="00626208" w:rsidRPr="004676F5" w:rsidRDefault="00626208" w:rsidP="00626208">
      <w:pPr>
        <w:jc w:val="both"/>
        <w:rPr>
          <w:lang w:val="de-DE"/>
        </w:rPr>
      </w:pPr>
      <w:r w:rsidRPr="004676F5">
        <w:rPr>
          <w:lang w:val="de-DE"/>
        </w:rPr>
        <w:tab/>
        <w:t>5. die Frist für die Lieferung eines Produkts einseitig zu bestimmen oder abzuändern,</w:t>
      </w:r>
    </w:p>
    <w:p w14:paraId="255E56B1" w14:textId="77777777" w:rsidR="00626208" w:rsidRPr="004676F5" w:rsidRDefault="00626208" w:rsidP="00626208">
      <w:pPr>
        <w:jc w:val="both"/>
        <w:rPr>
          <w:lang w:val="de-DE"/>
        </w:rPr>
      </w:pPr>
    </w:p>
    <w:p w14:paraId="2F309D3E" w14:textId="77777777" w:rsidR="00626208" w:rsidRPr="004676F5" w:rsidRDefault="00626208" w:rsidP="00626208">
      <w:pPr>
        <w:jc w:val="both"/>
        <w:rPr>
          <w:lang w:val="de-DE"/>
        </w:rPr>
      </w:pPr>
      <w:r w:rsidRPr="004676F5">
        <w:rPr>
          <w:lang w:val="de-DE"/>
        </w:rPr>
        <w:tab/>
        <w:t>6. dem Unternehmen das Recht einzuräumen, einseitig zu bestimmen, ob das gelieferte Produkt dem Vertrag entspricht, oder ihm das ausschließliche Recht zuzugestehen, die Auslegung einer Vertragsklausel vorzunehmen,</w:t>
      </w:r>
    </w:p>
    <w:p w14:paraId="770D1E4D" w14:textId="77777777" w:rsidR="00626208" w:rsidRPr="004676F5" w:rsidRDefault="00626208" w:rsidP="00626208">
      <w:pPr>
        <w:jc w:val="both"/>
        <w:rPr>
          <w:lang w:val="de-DE"/>
        </w:rPr>
      </w:pPr>
    </w:p>
    <w:p w14:paraId="4D505473" w14:textId="77777777" w:rsidR="00626208" w:rsidRPr="004676F5" w:rsidRDefault="00626208" w:rsidP="00626208">
      <w:pPr>
        <w:jc w:val="both"/>
        <w:rPr>
          <w:lang w:val="de-DE"/>
        </w:rPr>
      </w:pPr>
      <w:r w:rsidRPr="004676F5">
        <w:rPr>
          <w:lang w:val="de-DE"/>
        </w:rPr>
        <w:tab/>
        <w:t>7. dem Verbraucher zu verbieten, die Auflösung des Vertrags zu fordern, falls das Unternehmen seinen Verpflichtungen nicht nachkommt,</w:t>
      </w:r>
    </w:p>
    <w:p w14:paraId="1DC4AFF3" w14:textId="77777777" w:rsidR="00626208" w:rsidRPr="004676F5" w:rsidRDefault="00626208" w:rsidP="00626208">
      <w:pPr>
        <w:jc w:val="both"/>
        <w:rPr>
          <w:lang w:val="de-DE"/>
        </w:rPr>
      </w:pPr>
    </w:p>
    <w:p w14:paraId="1D9EAD89" w14:textId="77777777" w:rsidR="00626208" w:rsidRPr="004676F5" w:rsidRDefault="00626208" w:rsidP="00626208">
      <w:pPr>
        <w:jc w:val="both"/>
        <w:rPr>
          <w:lang w:val="de-DE"/>
        </w:rPr>
      </w:pPr>
      <w:r w:rsidRPr="004676F5">
        <w:rPr>
          <w:lang w:val="de-DE"/>
        </w:rPr>
        <w:tab/>
        <w:t>8. das Recht des Verbrauchers zur Kündigung des Vertrags einzuschränken, falls das Unternehmen im Rahmen seiner vertraglichen Garantieverpflichtung seiner Pflicht, die Ware zu reparieren oder zu ersetzen, nicht oder nicht innerhalb einer angemessenen Frist nachkommt,</w:t>
      </w:r>
    </w:p>
    <w:p w14:paraId="6B741358" w14:textId="77777777" w:rsidR="00626208" w:rsidRPr="004676F5" w:rsidRDefault="00626208" w:rsidP="00626208">
      <w:pPr>
        <w:jc w:val="both"/>
        <w:rPr>
          <w:lang w:val="de-DE"/>
        </w:rPr>
      </w:pPr>
    </w:p>
    <w:p w14:paraId="5F17081C" w14:textId="77777777" w:rsidR="00626208" w:rsidRPr="004676F5" w:rsidRDefault="00626208" w:rsidP="00626208">
      <w:pPr>
        <w:jc w:val="both"/>
        <w:rPr>
          <w:lang w:val="de-DE"/>
        </w:rPr>
      </w:pPr>
      <w:r w:rsidRPr="004676F5">
        <w:rPr>
          <w:lang w:val="de-DE"/>
        </w:rPr>
        <w:tab/>
        <w:t>9. den Verbraucher zu verpflichten, seinen Verpflichtungen nachzukommen, obwohl das Unternehmen seinen Verpflichtungen nicht nachgekommen ist oder mit seinen Verpflichtungen in Verzug ist,</w:t>
      </w:r>
    </w:p>
    <w:p w14:paraId="119EFECE" w14:textId="77777777" w:rsidR="00626208" w:rsidRPr="004676F5" w:rsidRDefault="00626208" w:rsidP="00626208">
      <w:pPr>
        <w:jc w:val="both"/>
        <w:rPr>
          <w:lang w:val="de-DE"/>
        </w:rPr>
      </w:pPr>
    </w:p>
    <w:p w14:paraId="1BA1D624" w14:textId="08B23A87" w:rsidR="00626208" w:rsidRPr="004676F5" w:rsidRDefault="00626208" w:rsidP="00626208">
      <w:pPr>
        <w:jc w:val="both"/>
        <w:rPr>
          <w:lang w:val="de-DE"/>
        </w:rPr>
      </w:pPr>
      <w:r w:rsidRPr="004676F5">
        <w:rPr>
          <w:lang w:val="de-DE"/>
        </w:rPr>
        <w:tab/>
        <w:t xml:space="preserve">10. außer in Fällen höherer Gewalt und unbeschadet </w:t>
      </w:r>
      <w:r w:rsidR="008C2036" w:rsidRPr="004676F5">
        <w:rPr>
          <w:lang w:val="de-DE"/>
        </w:rPr>
        <w:t>[der Artikel 5.90 bis 5.96]</w:t>
      </w:r>
      <w:r w:rsidRPr="004676F5">
        <w:rPr>
          <w:lang w:val="de-DE"/>
        </w:rPr>
        <w:t xml:space="preserve"> des Zivilgesetzbuches das Unternehmen zu berechtigen, den befristeten Vertrag ohne Entschädigung des Verbrauchers einseitig zu beenden,</w:t>
      </w:r>
    </w:p>
    <w:p w14:paraId="2AA0EA7D" w14:textId="77777777" w:rsidR="00626208" w:rsidRPr="004676F5" w:rsidRDefault="00626208" w:rsidP="00626208">
      <w:pPr>
        <w:jc w:val="both"/>
        <w:rPr>
          <w:lang w:val="de-DE"/>
        </w:rPr>
      </w:pPr>
    </w:p>
    <w:p w14:paraId="7A5074DB" w14:textId="09BEA800" w:rsidR="00626208" w:rsidRPr="004676F5" w:rsidRDefault="00626208" w:rsidP="00626208">
      <w:pPr>
        <w:jc w:val="both"/>
        <w:rPr>
          <w:lang w:val="de-DE"/>
        </w:rPr>
      </w:pPr>
      <w:r w:rsidRPr="004676F5">
        <w:rPr>
          <w:lang w:val="de-DE"/>
        </w:rPr>
        <w:tab/>
        <w:t xml:space="preserve">11. außer in Fällen höherer Gewalt und unbeschadet </w:t>
      </w:r>
      <w:r w:rsidR="008C2036" w:rsidRPr="004676F5">
        <w:rPr>
          <w:lang w:val="de-DE"/>
        </w:rPr>
        <w:t>[der Artikel 5.90 bis 5.96]</w:t>
      </w:r>
      <w:r w:rsidRPr="004676F5">
        <w:rPr>
          <w:lang w:val="de-DE"/>
        </w:rPr>
        <w:t xml:space="preserve"> des Zivilgesetzbuches das Unternehmen zu berechtigen, den unbefristeten Vertrag ohne angemessene Kündigungsfrist einseitig zu beenden,</w:t>
      </w:r>
    </w:p>
    <w:p w14:paraId="7B9FDF47" w14:textId="77777777" w:rsidR="00626208" w:rsidRPr="004676F5" w:rsidRDefault="00626208" w:rsidP="00626208">
      <w:pPr>
        <w:jc w:val="both"/>
        <w:rPr>
          <w:lang w:val="de-DE"/>
        </w:rPr>
      </w:pPr>
    </w:p>
    <w:p w14:paraId="3F45B262" w14:textId="77777777" w:rsidR="00626208" w:rsidRPr="004676F5" w:rsidRDefault="00626208" w:rsidP="00626208">
      <w:pPr>
        <w:jc w:val="both"/>
        <w:rPr>
          <w:lang w:val="de-DE"/>
        </w:rPr>
      </w:pPr>
      <w:r w:rsidRPr="004676F5">
        <w:rPr>
          <w:lang w:val="de-DE"/>
        </w:rPr>
        <w:tab/>
        <w:t>12. den Verbraucher in Fällen höherer Gewalt nur gegen Zahlung eines Schadenersatzes zu berechtigen, den Vertrag aufzulösen,</w:t>
      </w:r>
    </w:p>
    <w:p w14:paraId="6FD942B9" w14:textId="77777777" w:rsidR="00626208" w:rsidRPr="004676F5" w:rsidRDefault="00626208" w:rsidP="00626208">
      <w:pPr>
        <w:jc w:val="both"/>
        <w:rPr>
          <w:lang w:val="de-DE"/>
        </w:rPr>
      </w:pPr>
    </w:p>
    <w:p w14:paraId="7CE1AD56" w14:textId="77777777" w:rsidR="00626208" w:rsidRPr="004676F5" w:rsidRDefault="00626208" w:rsidP="00626208">
      <w:pPr>
        <w:jc w:val="both"/>
        <w:rPr>
          <w:lang w:val="de-DE"/>
        </w:rPr>
      </w:pPr>
      <w:r w:rsidRPr="004676F5">
        <w:rPr>
          <w:lang w:val="de-DE"/>
        </w:rPr>
        <w:tab/>
        <w:t>13. das Unternehmen von seiner Haftung zu befreien bei arglistiger Täuschung oder schwerwiegendem Fehler seinerseits oder seitens seiner Angestellten oder Beauftragten oder, außer in Fällen höherer Gewalt, bei Nichterfüllung einer Verpflichtung, die eine der Hauptleistungen des Vertrags darstellt,</w:t>
      </w:r>
    </w:p>
    <w:p w14:paraId="78C3BF70" w14:textId="77777777" w:rsidR="00626208" w:rsidRPr="004676F5" w:rsidRDefault="00626208" w:rsidP="00626208">
      <w:pPr>
        <w:jc w:val="both"/>
        <w:rPr>
          <w:lang w:val="de-DE"/>
        </w:rPr>
      </w:pPr>
    </w:p>
    <w:p w14:paraId="08942DFE" w14:textId="35597637" w:rsidR="00626208" w:rsidRPr="004676F5" w:rsidRDefault="00626208" w:rsidP="00626208">
      <w:pPr>
        <w:jc w:val="both"/>
        <w:rPr>
          <w:lang w:val="de-DE"/>
        </w:rPr>
      </w:pPr>
      <w:r w:rsidRPr="004676F5">
        <w:rPr>
          <w:lang w:val="de-DE"/>
        </w:rPr>
        <w:lastRenderedPageBreak/>
        <w:tab/>
        <w:t xml:space="preserve">14. die in den Artikeln 1641 bis 1649 des Zivilgesetzbuches vorgesehene gesetzliche Garantie auf verborgene Mängel oder </w:t>
      </w:r>
      <w:r w:rsidR="00A77460" w:rsidRPr="004676F5">
        <w:rPr>
          <w:lang w:val="de-DE"/>
        </w:rPr>
        <w:t>[die in den Artikeln 1649</w:t>
      </w:r>
      <w:r w:rsidR="00A77460" w:rsidRPr="004676F5">
        <w:rPr>
          <w:i/>
          <w:iCs/>
          <w:lang w:val="de-DE"/>
        </w:rPr>
        <w:t>bis</w:t>
      </w:r>
      <w:r w:rsidR="00A77460" w:rsidRPr="004676F5">
        <w:rPr>
          <w:lang w:val="de-DE"/>
        </w:rPr>
        <w:t xml:space="preserve"> bis 1649</w:t>
      </w:r>
      <w:r w:rsidR="00A77460" w:rsidRPr="004676F5">
        <w:rPr>
          <w:i/>
          <w:iCs/>
          <w:lang w:val="de-DE"/>
        </w:rPr>
        <w:t>nonies</w:t>
      </w:r>
      <w:r w:rsidR="00A77460" w:rsidRPr="004676F5">
        <w:rPr>
          <w:lang w:val="de-DE"/>
        </w:rPr>
        <w:t xml:space="preserve"> und 1701/1 bis 1701/19 des früheren Zivilgesetzbuches vorgesehene gesetzliche Verpflichtung zur Lieferung von vertragsgemäßen Waren, digitalen Inhalten und digitalen Dienstleistungen]</w:t>
      </w:r>
      <w:r w:rsidRPr="004676F5">
        <w:rPr>
          <w:lang w:val="de-DE"/>
        </w:rPr>
        <w:t xml:space="preserve"> aufzuheben oder einzuschränken,</w:t>
      </w:r>
    </w:p>
    <w:p w14:paraId="37B517F4" w14:textId="77777777" w:rsidR="00626208" w:rsidRPr="004676F5" w:rsidRDefault="00626208" w:rsidP="00626208">
      <w:pPr>
        <w:jc w:val="both"/>
        <w:rPr>
          <w:lang w:val="de-DE"/>
        </w:rPr>
      </w:pPr>
    </w:p>
    <w:p w14:paraId="3964CBB3" w14:textId="77777777" w:rsidR="00626208" w:rsidRPr="004676F5" w:rsidRDefault="00626208" w:rsidP="00626208">
      <w:pPr>
        <w:jc w:val="both"/>
        <w:rPr>
          <w:lang w:val="de-DE"/>
        </w:rPr>
      </w:pPr>
      <w:r w:rsidRPr="004676F5">
        <w:rPr>
          <w:lang w:val="de-DE"/>
        </w:rPr>
        <w:tab/>
        <w:t>15. eine unangemessen kurze Frist festzulegen, innerhalb deren dem Unternehmen Mängel an dem gelieferten Produkt gemeldet werden müssen,</w:t>
      </w:r>
    </w:p>
    <w:p w14:paraId="6AE7669E" w14:textId="77777777" w:rsidR="00626208" w:rsidRPr="004676F5" w:rsidRDefault="00626208" w:rsidP="00626208">
      <w:pPr>
        <w:jc w:val="both"/>
        <w:rPr>
          <w:lang w:val="de-DE"/>
        </w:rPr>
      </w:pPr>
    </w:p>
    <w:p w14:paraId="4A58BE5F" w14:textId="77777777" w:rsidR="00626208" w:rsidRPr="004676F5" w:rsidRDefault="00626208" w:rsidP="00626208">
      <w:pPr>
        <w:jc w:val="both"/>
        <w:rPr>
          <w:lang w:val="de-DE"/>
        </w:rPr>
      </w:pPr>
      <w:r w:rsidRPr="004676F5">
        <w:rPr>
          <w:lang w:val="de-DE"/>
        </w:rPr>
        <w:tab/>
        <w:t>16. dem Verbraucher zu verbieten, eine Verbindlichkeit gegenüber dem Unternehmen mit einer etwaigen Schuldforderung auszugleichen, die er gegen das Unternehmen hat,</w:t>
      </w:r>
    </w:p>
    <w:p w14:paraId="498C2FD5" w14:textId="77777777" w:rsidR="00626208" w:rsidRPr="004676F5" w:rsidRDefault="00626208" w:rsidP="00626208">
      <w:pPr>
        <w:jc w:val="both"/>
        <w:rPr>
          <w:lang w:val="de-DE"/>
        </w:rPr>
      </w:pPr>
    </w:p>
    <w:p w14:paraId="2213D8BF" w14:textId="77777777" w:rsidR="00626208" w:rsidRPr="004676F5" w:rsidRDefault="00626208" w:rsidP="00626208">
      <w:pPr>
        <w:jc w:val="both"/>
        <w:rPr>
          <w:lang w:val="de-DE"/>
        </w:rPr>
      </w:pPr>
      <w:r w:rsidRPr="004676F5">
        <w:rPr>
          <w:lang w:val="de-DE"/>
        </w:rPr>
        <w:tab/>
        <w:t>17. den Betrag der vom Verbraucher bei Nichterfüllung seiner Verpflichtungen geschuldeten Entschädigung festzusetzen, ohne eine gleichwertige Entschädigung zu Lasten des säumigen Unternehmens vorzusehen,</w:t>
      </w:r>
    </w:p>
    <w:p w14:paraId="6E6ECD1C" w14:textId="77777777" w:rsidR="00626208" w:rsidRPr="004676F5" w:rsidRDefault="00626208" w:rsidP="00626208">
      <w:pPr>
        <w:jc w:val="both"/>
        <w:rPr>
          <w:lang w:val="de-DE"/>
        </w:rPr>
      </w:pPr>
    </w:p>
    <w:p w14:paraId="2BBF8E14" w14:textId="77777777" w:rsidR="00626208" w:rsidRPr="004676F5" w:rsidRDefault="00626208" w:rsidP="00626208">
      <w:pPr>
        <w:jc w:val="both"/>
        <w:rPr>
          <w:lang w:val="de-DE"/>
        </w:rPr>
      </w:pPr>
      <w:r w:rsidRPr="004676F5">
        <w:rPr>
          <w:lang w:val="de-DE"/>
        </w:rPr>
        <w:tab/>
        <w:t>18. den Verbraucher für eine unbestimmte Frist zu binden ohne genaue Angabe einer angemessenen Kündigungsfrist,</w:t>
      </w:r>
    </w:p>
    <w:p w14:paraId="6EBA661C" w14:textId="77777777" w:rsidR="00626208" w:rsidRPr="004676F5" w:rsidRDefault="00626208" w:rsidP="00626208">
      <w:pPr>
        <w:jc w:val="both"/>
        <w:rPr>
          <w:lang w:val="de-DE"/>
        </w:rPr>
      </w:pPr>
    </w:p>
    <w:p w14:paraId="7FEC3FFF" w14:textId="77777777" w:rsidR="00626208" w:rsidRPr="004676F5" w:rsidRDefault="00626208" w:rsidP="00626208">
      <w:pPr>
        <w:jc w:val="both"/>
        <w:rPr>
          <w:lang w:val="de-DE"/>
        </w:rPr>
      </w:pPr>
      <w:r w:rsidRPr="004676F5">
        <w:rPr>
          <w:lang w:val="de-DE"/>
        </w:rPr>
        <w:tab/>
        <w:t>19. den befristeten Vertrag für aufeinander folgende Lieferungen von Waren für eine unangemessene Frist zu verlängern, falls der Verbraucher nicht fristgemäß kündigt,</w:t>
      </w:r>
    </w:p>
    <w:p w14:paraId="25601558" w14:textId="77777777" w:rsidR="00626208" w:rsidRPr="004676F5" w:rsidRDefault="00626208" w:rsidP="00626208">
      <w:pPr>
        <w:jc w:val="both"/>
        <w:rPr>
          <w:lang w:val="de-DE"/>
        </w:rPr>
      </w:pPr>
    </w:p>
    <w:p w14:paraId="721FA69C" w14:textId="77777777" w:rsidR="00626208" w:rsidRPr="004676F5" w:rsidRDefault="00626208" w:rsidP="00626208">
      <w:pPr>
        <w:jc w:val="both"/>
        <w:rPr>
          <w:lang w:val="de-DE"/>
        </w:rPr>
      </w:pPr>
      <w:r w:rsidRPr="004676F5">
        <w:rPr>
          <w:lang w:val="de-DE"/>
        </w:rPr>
        <w:tab/>
        <w:t>20. einen befristeten Vertrag automatisch zu verlängern, wenn der Verbraucher sich nicht gegenteilig geäußert hat und als Termin für diese Äußerung des Willens des Verbrauchers, den Vertrag nicht zu verlängern, ein vom Ablaufzeitpunkt des Vertrags ungebührlich weit entferntes Datum festgelegt wurde,</w:t>
      </w:r>
    </w:p>
    <w:p w14:paraId="4347A01D" w14:textId="77777777" w:rsidR="00626208" w:rsidRPr="004676F5" w:rsidRDefault="00626208" w:rsidP="00626208">
      <w:pPr>
        <w:jc w:val="both"/>
        <w:rPr>
          <w:lang w:val="de-DE"/>
        </w:rPr>
      </w:pPr>
    </w:p>
    <w:p w14:paraId="2DD652AD" w14:textId="77777777" w:rsidR="00626208" w:rsidRPr="004676F5" w:rsidRDefault="00626208" w:rsidP="00626208">
      <w:pPr>
        <w:jc w:val="both"/>
        <w:rPr>
          <w:lang w:val="de-DE"/>
        </w:rPr>
      </w:pPr>
      <w:r w:rsidRPr="004676F5">
        <w:rPr>
          <w:lang w:val="de-DE"/>
        </w:rPr>
        <w:tab/>
        <w:t>21. die Beweismittel, die der Verbraucher anwenden kann, rechtswidrig einzuschränken oder ihm die Beweislast aufzuerlegen, die normalerweise einer anderen Vertragspartei obliegt,</w:t>
      </w:r>
    </w:p>
    <w:p w14:paraId="122E7E08" w14:textId="77777777" w:rsidR="00626208" w:rsidRPr="004676F5" w:rsidRDefault="00626208" w:rsidP="00626208">
      <w:pPr>
        <w:jc w:val="both"/>
        <w:rPr>
          <w:lang w:val="de-DE"/>
        </w:rPr>
      </w:pPr>
    </w:p>
    <w:p w14:paraId="1CA5C1D0" w14:textId="77777777" w:rsidR="00626208" w:rsidRPr="004676F5" w:rsidRDefault="00626208" w:rsidP="00626208">
      <w:pPr>
        <w:jc w:val="both"/>
        <w:rPr>
          <w:lang w:val="de-DE"/>
        </w:rPr>
      </w:pPr>
      <w:r w:rsidRPr="004676F5">
        <w:rPr>
          <w:lang w:val="de-DE"/>
        </w:rPr>
        <w:tab/>
        <w:t>22. im Streitfall den Verbraucher davon abzuhalten, irgendein Rechtsmittel gegen das Unternehmen einzulegen,</w:t>
      </w:r>
    </w:p>
    <w:p w14:paraId="1E09184A" w14:textId="77777777" w:rsidR="00626208" w:rsidRPr="004676F5" w:rsidRDefault="00626208" w:rsidP="00626208">
      <w:pPr>
        <w:jc w:val="both"/>
        <w:rPr>
          <w:lang w:val="de-DE"/>
        </w:rPr>
      </w:pPr>
    </w:p>
    <w:p w14:paraId="5DF58C8C" w14:textId="39754682" w:rsidR="00626208" w:rsidRPr="004676F5" w:rsidRDefault="00626208" w:rsidP="00626208">
      <w:pPr>
        <w:jc w:val="both"/>
        <w:rPr>
          <w:lang w:val="de-DE"/>
        </w:rPr>
      </w:pPr>
      <w:r w:rsidRPr="004676F5">
        <w:rPr>
          <w:lang w:val="de-DE"/>
        </w:rPr>
        <w:tab/>
        <w:t>23. </w:t>
      </w:r>
      <w:r w:rsidR="005D0A09" w:rsidRPr="004676F5">
        <w:rPr>
          <w:lang w:val="de-DE"/>
        </w:rPr>
        <w:t>[</w:t>
      </w:r>
      <w:r w:rsidR="00020267" w:rsidRPr="004676F5">
        <w:rPr>
          <w:lang w:val="de-DE"/>
        </w:rPr>
        <w:t>einen Richter zu bestimmen, der nicht der in Artikel 624 Nr. 1, 2 und 4 des Gerichtsgesetzbuches bestimmte Richter ist, unbeschadet der Anwendung der Verordnung (EU) Nr. 1215/2012 des Europäischen Parlaments und des Rates vom 12. Dezember 2012 über die gerichtliche Zuständigkeit und die Anerkennung und Vollstreckung von Entscheidungen in Zivil</w:t>
      </w:r>
      <w:r w:rsidR="005B7A5C" w:rsidRPr="004676F5">
        <w:rPr>
          <w:lang w:val="de-DE"/>
        </w:rPr>
        <w:t>- </w:t>
      </w:r>
      <w:r w:rsidR="00020267" w:rsidRPr="004676F5">
        <w:rPr>
          <w:lang w:val="de-DE"/>
        </w:rPr>
        <w:t>und Handelssachen,</w:t>
      </w:r>
      <w:r w:rsidR="005D0A09" w:rsidRPr="004676F5">
        <w:rPr>
          <w:lang w:val="de-DE"/>
        </w:rPr>
        <w:t>]</w:t>
      </w:r>
    </w:p>
    <w:p w14:paraId="301DC382" w14:textId="77777777" w:rsidR="00626208" w:rsidRPr="004676F5" w:rsidRDefault="00626208" w:rsidP="00626208">
      <w:pPr>
        <w:jc w:val="both"/>
        <w:rPr>
          <w:lang w:val="de-DE"/>
        </w:rPr>
      </w:pPr>
    </w:p>
    <w:p w14:paraId="00E2143E" w14:textId="77777777" w:rsidR="00626208" w:rsidRPr="004676F5" w:rsidRDefault="00626208" w:rsidP="00626208">
      <w:pPr>
        <w:jc w:val="both"/>
        <w:rPr>
          <w:lang w:val="de-DE"/>
        </w:rPr>
      </w:pPr>
      <w:r w:rsidRPr="004676F5">
        <w:rPr>
          <w:lang w:val="de-DE"/>
        </w:rPr>
        <w:tab/>
        <w:t>24. bei Nichterfüllung oder Verzögerungen bei der Erfüllung der Verpflichtungen des Verbrauchers Schadenersatzbeträge festzulegen, die offensichtlich über den möglicherweise vom Unternehmen erlittenen Schaden hinausgehen,</w:t>
      </w:r>
    </w:p>
    <w:p w14:paraId="7C2F42F8" w14:textId="77777777" w:rsidR="00626208" w:rsidRPr="004676F5" w:rsidRDefault="00626208" w:rsidP="00626208">
      <w:pPr>
        <w:jc w:val="both"/>
        <w:rPr>
          <w:lang w:val="de-DE"/>
        </w:rPr>
      </w:pPr>
    </w:p>
    <w:p w14:paraId="3C2929FE" w14:textId="77777777" w:rsidR="00626208" w:rsidRPr="004676F5" w:rsidRDefault="00626208" w:rsidP="00626208">
      <w:pPr>
        <w:jc w:val="both"/>
        <w:rPr>
          <w:lang w:val="de-DE"/>
        </w:rPr>
      </w:pPr>
      <w:r w:rsidRPr="004676F5">
        <w:rPr>
          <w:lang w:val="de-DE"/>
        </w:rPr>
        <w:tab/>
        <w:t>25. die gesetzliche Haftung des Unternehmens auszuschließen oder einzuschränken, wenn der Verbraucher aufgrund einer Handlung oder Unterlassung des Unternehmens sein Leben verliert oder einen Körperschaden erleidet,</w:t>
      </w:r>
    </w:p>
    <w:p w14:paraId="123CCB12" w14:textId="77777777" w:rsidR="00626208" w:rsidRPr="004676F5" w:rsidRDefault="00626208" w:rsidP="00626208">
      <w:pPr>
        <w:jc w:val="both"/>
        <w:rPr>
          <w:lang w:val="de-DE"/>
        </w:rPr>
      </w:pPr>
    </w:p>
    <w:p w14:paraId="41472431" w14:textId="77777777" w:rsidR="00626208" w:rsidRPr="004676F5" w:rsidRDefault="00626208" w:rsidP="00626208">
      <w:pPr>
        <w:jc w:val="both"/>
        <w:rPr>
          <w:lang w:val="de-DE"/>
        </w:rPr>
      </w:pPr>
      <w:r w:rsidRPr="004676F5">
        <w:rPr>
          <w:lang w:val="de-DE"/>
        </w:rPr>
        <w:tab/>
        <w:t>26. die Zustimmung des Verbrauchers zu Klauseln unwiderlegbar festzustellen, von denen er vor Vertragsabschluss nicht tatsächlich Kenntnis nehmen konnte,</w:t>
      </w:r>
    </w:p>
    <w:p w14:paraId="61443D8C" w14:textId="77777777" w:rsidR="00626208" w:rsidRPr="004676F5" w:rsidRDefault="00626208" w:rsidP="00626208">
      <w:pPr>
        <w:jc w:val="both"/>
        <w:rPr>
          <w:lang w:val="de-DE"/>
        </w:rPr>
      </w:pPr>
    </w:p>
    <w:p w14:paraId="11FA0438" w14:textId="77777777" w:rsidR="00626208" w:rsidRPr="004676F5" w:rsidRDefault="00626208" w:rsidP="00626208">
      <w:pPr>
        <w:jc w:val="both"/>
        <w:rPr>
          <w:lang w:val="de-DE"/>
        </w:rPr>
      </w:pPr>
      <w:r w:rsidRPr="004676F5">
        <w:rPr>
          <w:lang w:val="de-DE"/>
        </w:rPr>
        <w:lastRenderedPageBreak/>
        <w:tab/>
        <w:t>27. dem Unternehmen zu gestatten, vom Verbraucher gezahlte Beträge einzubehalten, wenn dieser darauf verzichtet, den Vertrag zu schließen oder zu erfüllen, ohne dass für den Verbraucher ein Anspruch auf eine Entschädigung in entsprechender Höhe seitens des Unternehmens vorgesehen wird, wenn dieses selbst es unterlässt,</w:t>
      </w:r>
    </w:p>
    <w:p w14:paraId="3F80A273" w14:textId="77777777" w:rsidR="00626208" w:rsidRPr="004676F5" w:rsidRDefault="00626208" w:rsidP="00626208">
      <w:pPr>
        <w:jc w:val="both"/>
        <w:rPr>
          <w:lang w:val="de-DE"/>
        </w:rPr>
      </w:pPr>
    </w:p>
    <w:p w14:paraId="44E4E1E8" w14:textId="77777777" w:rsidR="00626208" w:rsidRPr="004676F5" w:rsidRDefault="00626208" w:rsidP="00626208">
      <w:pPr>
        <w:jc w:val="both"/>
        <w:rPr>
          <w:lang w:val="de-DE"/>
        </w:rPr>
      </w:pPr>
      <w:r w:rsidRPr="004676F5">
        <w:rPr>
          <w:lang w:val="de-DE"/>
        </w:rPr>
        <w:tab/>
        <w:t>28. dem Unternehmen für den Fall, dass es selbst den Vertrag kündigt, zu gestatten, die vom Verbraucher gezahlten Beträge einzubehalten,</w:t>
      </w:r>
    </w:p>
    <w:p w14:paraId="1BBB49BD" w14:textId="77777777" w:rsidR="00626208" w:rsidRPr="004676F5" w:rsidRDefault="00626208" w:rsidP="00626208">
      <w:pPr>
        <w:jc w:val="both"/>
        <w:rPr>
          <w:lang w:val="de-DE"/>
        </w:rPr>
      </w:pPr>
    </w:p>
    <w:p w14:paraId="7B08A3EF" w14:textId="77777777" w:rsidR="00626208" w:rsidRPr="004676F5" w:rsidRDefault="00626208" w:rsidP="00626208">
      <w:pPr>
        <w:jc w:val="both"/>
        <w:rPr>
          <w:lang w:val="de-DE"/>
        </w:rPr>
      </w:pPr>
      <w:r w:rsidRPr="004676F5">
        <w:rPr>
          <w:lang w:val="de-DE"/>
        </w:rPr>
        <w:tab/>
        <w:t>29. die Verpflichtung des Unternehmens zur Einhaltung der von seinen Vertretern eingegangenen Verpflichtungen einzuschränken oder diese Verpflichtung von der Einhaltung einer besonderen Formvorschrift abhängig zu machen,</w:t>
      </w:r>
    </w:p>
    <w:p w14:paraId="15860495" w14:textId="77777777" w:rsidR="00626208" w:rsidRPr="004676F5" w:rsidRDefault="00626208" w:rsidP="00626208">
      <w:pPr>
        <w:jc w:val="both"/>
        <w:rPr>
          <w:lang w:val="de-DE"/>
        </w:rPr>
      </w:pPr>
    </w:p>
    <w:p w14:paraId="516A8C3D" w14:textId="77777777" w:rsidR="00626208" w:rsidRPr="004676F5" w:rsidRDefault="00626208" w:rsidP="00626208">
      <w:pPr>
        <w:jc w:val="both"/>
        <w:rPr>
          <w:lang w:val="de-DE"/>
        </w:rPr>
      </w:pPr>
      <w:r w:rsidRPr="004676F5">
        <w:rPr>
          <w:lang w:val="de-DE"/>
        </w:rPr>
        <w:tab/>
        <w:t>30. die gesetzlichen Ansprüche des Verbrauchers gegenüber dem Unternehmen oder einer anderen Partei auszuschließen oder ungebührlich einzuschränken, wenn das Unternehmen eine der vertraglichen Verpflichtungen ganz oder teilweise nicht erfüllt oder mangelhaft erfüllt,</w:t>
      </w:r>
    </w:p>
    <w:p w14:paraId="7F92DE44" w14:textId="77777777" w:rsidR="00626208" w:rsidRPr="004676F5" w:rsidRDefault="00626208" w:rsidP="00626208">
      <w:pPr>
        <w:jc w:val="both"/>
        <w:rPr>
          <w:lang w:val="de-DE"/>
        </w:rPr>
      </w:pPr>
    </w:p>
    <w:p w14:paraId="4065DC4D" w14:textId="77777777" w:rsidR="00626208" w:rsidRPr="004676F5" w:rsidRDefault="00626208" w:rsidP="00626208">
      <w:pPr>
        <w:jc w:val="both"/>
        <w:rPr>
          <w:lang w:val="de-DE"/>
        </w:rPr>
      </w:pPr>
      <w:r w:rsidRPr="004676F5">
        <w:rPr>
          <w:lang w:val="de-DE"/>
        </w:rPr>
        <w:tab/>
        <w:t>31. die Möglichkeit vorzusehen, dass der Vertrag ohne Zustimmung des Verbrauchers vom Unternehmen abgetreten wird, wenn dies möglicherweise eine Verringerung der Sicherheiten für den Verbraucher bewirkt,</w:t>
      </w:r>
    </w:p>
    <w:p w14:paraId="1EC14AB8" w14:textId="77777777" w:rsidR="00626208" w:rsidRPr="004676F5" w:rsidRDefault="00626208" w:rsidP="00626208">
      <w:pPr>
        <w:jc w:val="both"/>
        <w:rPr>
          <w:lang w:val="de-DE"/>
        </w:rPr>
      </w:pPr>
    </w:p>
    <w:p w14:paraId="785C3906" w14:textId="77777777" w:rsidR="00626208" w:rsidRPr="004676F5" w:rsidRDefault="00626208" w:rsidP="00626208">
      <w:pPr>
        <w:jc w:val="both"/>
        <w:rPr>
          <w:lang w:val="de-DE"/>
        </w:rPr>
      </w:pPr>
      <w:r w:rsidRPr="004676F5">
        <w:rPr>
          <w:lang w:val="de-DE"/>
        </w:rPr>
        <w:tab/>
        <w:t>32. den für ein Produkt angekündigten Preis zu erhöhen aufgrund der Weigerung des Verbrauchers, per Banklastschrift zu bezahlen,</w:t>
      </w:r>
    </w:p>
    <w:p w14:paraId="0504A6A0" w14:textId="77777777" w:rsidR="00626208" w:rsidRPr="004676F5" w:rsidRDefault="00626208" w:rsidP="00626208">
      <w:pPr>
        <w:jc w:val="both"/>
        <w:rPr>
          <w:lang w:val="de-DE"/>
        </w:rPr>
      </w:pPr>
    </w:p>
    <w:p w14:paraId="1E78FCF4" w14:textId="77777777" w:rsidR="00626208" w:rsidRPr="004676F5" w:rsidRDefault="00626208" w:rsidP="00626208">
      <w:pPr>
        <w:jc w:val="both"/>
        <w:rPr>
          <w:lang w:val="de-DE"/>
        </w:rPr>
      </w:pPr>
      <w:r w:rsidRPr="004676F5">
        <w:rPr>
          <w:lang w:val="de-DE"/>
        </w:rPr>
        <w:tab/>
        <w:t>33. den für ein Produkt angekündigten Preis zu erhöhen aufgrund der Weigerung des Verbrauchers, seine Rechnungen per elektronische Post zu bekommen.</w:t>
      </w:r>
    </w:p>
    <w:p w14:paraId="228CD24B" w14:textId="77777777" w:rsidR="00051BEC" w:rsidRPr="004676F5" w:rsidRDefault="00051BEC" w:rsidP="00626208">
      <w:pPr>
        <w:jc w:val="both"/>
        <w:rPr>
          <w:lang w:val="de-DE"/>
        </w:rPr>
      </w:pPr>
    </w:p>
    <w:p w14:paraId="0F6C3CD3" w14:textId="649A7BEA" w:rsidR="00051BEC" w:rsidRPr="004676F5" w:rsidRDefault="00051BEC" w:rsidP="00626208">
      <w:pPr>
        <w:jc w:val="both"/>
        <w:rPr>
          <w:i/>
          <w:lang w:val="de-DE"/>
        </w:rPr>
      </w:pPr>
      <w:r w:rsidRPr="004676F5">
        <w:rPr>
          <w:i/>
          <w:lang w:val="de-DE"/>
        </w:rPr>
        <w:t>[</w:t>
      </w:r>
      <w:r w:rsidR="00BE0A56" w:rsidRPr="004676F5">
        <w:rPr>
          <w:i/>
          <w:lang w:val="de-DE"/>
        </w:rPr>
        <w:t>Art. </w:t>
      </w:r>
      <w:r w:rsidRPr="004676F5">
        <w:rPr>
          <w:i/>
          <w:lang w:val="de-DE"/>
        </w:rPr>
        <w:t>VI.83</w:t>
      </w:r>
      <w:r w:rsidR="008C2036" w:rsidRPr="004676F5">
        <w:rPr>
          <w:i/>
          <w:lang w:val="de-DE"/>
        </w:rPr>
        <w:t xml:space="preserve"> einziger Absatz Nr. 10 und 11 abgeändert </w:t>
      </w:r>
      <w:r w:rsidR="008C2036" w:rsidRPr="004676F5">
        <w:rPr>
          <w:i/>
          <w:iCs/>
          <w:lang w:val="de-DE"/>
        </w:rPr>
        <w:t>durch Art. 16 des G. vom 28.</w:t>
      </w:r>
      <w:r w:rsidR="004809DE" w:rsidRPr="004676F5">
        <w:rPr>
          <w:i/>
          <w:iCs/>
          <w:lang w:val="de-DE"/>
        </w:rPr>
        <w:t> </w:t>
      </w:r>
      <w:r w:rsidR="008C2036" w:rsidRPr="004676F5">
        <w:rPr>
          <w:i/>
          <w:iCs/>
          <w:lang w:val="de-DE"/>
        </w:rPr>
        <w:t>April 2022 (B.S. vom 1. Juli</w:t>
      </w:r>
      <w:r w:rsidR="004809DE" w:rsidRPr="004676F5">
        <w:rPr>
          <w:i/>
          <w:iCs/>
          <w:lang w:val="de-DE"/>
        </w:rPr>
        <w:t> </w:t>
      </w:r>
      <w:r w:rsidR="008C2036" w:rsidRPr="004676F5">
        <w:rPr>
          <w:i/>
          <w:iCs/>
          <w:lang w:val="de-DE"/>
        </w:rPr>
        <w:t>2022)</w:t>
      </w:r>
      <w:r w:rsidR="008C2036" w:rsidRPr="004676F5">
        <w:rPr>
          <w:i/>
          <w:lang w:val="de-DE"/>
        </w:rPr>
        <w:t xml:space="preserve">; </w:t>
      </w:r>
      <w:r w:rsidR="00A77460" w:rsidRPr="004676F5">
        <w:rPr>
          <w:i/>
          <w:lang w:val="de-DE"/>
        </w:rPr>
        <w:t>einziger Absatz Nr. 14 abgeändert durch Art. </w:t>
      </w:r>
      <w:r w:rsidR="009B66E2" w:rsidRPr="004676F5">
        <w:rPr>
          <w:i/>
          <w:lang w:val="de-DE"/>
        </w:rPr>
        <w:t>15</w:t>
      </w:r>
      <w:r w:rsidR="009B66E2" w:rsidRPr="004676F5">
        <w:rPr>
          <w:bCs/>
          <w:i/>
          <w:iCs/>
          <w:lang w:val="de-DE"/>
        </w:rPr>
        <w:t xml:space="preserve"> des G. vom 20. März 2022 (B.S. vom 31. März 2022); </w:t>
      </w:r>
      <w:r w:rsidRPr="004676F5">
        <w:rPr>
          <w:i/>
          <w:lang w:val="de-DE"/>
        </w:rPr>
        <w:t xml:space="preserve">einziger Absatz Nr. 23 </w:t>
      </w:r>
      <w:r w:rsidR="005D0A09" w:rsidRPr="004676F5">
        <w:rPr>
          <w:i/>
          <w:lang w:val="de-DE"/>
        </w:rPr>
        <w:t xml:space="preserve">aufgehoben durch </w:t>
      </w:r>
      <w:r w:rsidR="00BE0A56" w:rsidRPr="004676F5">
        <w:rPr>
          <w:i/>
          <w:lang w:val="de-DE"/>
        </w:rPr>
        <w:t>Art. </w:t>
      </w:r>
      <w:r w:rsidR="005D0A09" w:rsidRPr="004676F5">
        <w:rPr>
          <w:i/>
          <w:lang w:val="de-DE"/>
        </w:rPr>
        <w:t>161</w:t>
      </w:r>
      <w:r w:rsidR="005D0A09" w:rsidRPr="004676F5">
        <w:rPr>
          <w:i/>
          <w:iCs/>
          <w:lang w:val="de-DE"/>
        </w:rPr>
        <w:t xml:space="preserve"> des G. vom 25. Dezember 2016 (B.S. vom 30. Dezember 2016)</w:t>
      </w:r>
      <w:r w:rsidR="00020267" w:rsidRPr="004676F5">
        <w:rPr>
          <w:i/>
          <w:iCs/>
          <w:lang w:val="de-DE"/>
        </w:rPr>
        <w:t xml:space="preserve"> und wieder aufgenommen durch </w:t>
      </w:r>
      <w:r w:rsidR="00BE0A56" w:rsidRPr="004676F5">
        <w:rPr>
          <w:i/>
          <w:iCs/>
          <w:lang w:val="de-DE"/>
        </w:rPr>
        <w:t>Art. </w:t>
      </w:r>
      <w:r w:rsidR="00020267" w:rsidRPr="004676F5">
        <w:rPr>
          <w:i/>
          <w:iCs/>
          <w:lang w:val="de-DE"/>
        </w:rPr>
        <w:t>320 des G. vom 6. Juli 2017 (B.S. vom 24. Juli 2017)</w:t>
      </w:r>
      <w:r w:rsidRPr="004676F5">
        <w:rPr>
          <w:i/>
          <w:lang w:val="de-DE"/>
        </w:rPr>
        <w:t>]</w:t>
      </w:r>
    </w:p>
    <w:p w14:paraId="46661942" w14:textId="77777777" w:rsidR="00626208" w:rsidRPr="004676F5" w:rsidRDefault="00626208" w:rsidP="00626208">
      <w:pPr>
        <w:jc w:val="both"/>
        <w:rPr>
          <w:lang w:val="de-DE"/>
        </w:rPr>
      </w:pPr>
    </w:p>
    <w:p w14:paraId="55E3D211" w14:textId="77777777" w:rsidR="00AE6697" w:rsidRPr="004676F5" w:rsidRDefault="00AE6697" w:rsidP="00626208">
      <w:pPr>
        <w:jc w:val="both"/>
        <w:rPr>
          <w:lang w:val="de-DE"/>
        </w:rPr>
      </w:pPr>
    </w:p>
    <w:p w14:paraId="1FFEAEE5" w14:textId="2A5E6F4D"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VI.84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Missbräuchliche Klauseln sind verboten und nichtig.</w:t>
      </w:r>
    </w:p>
    <w:p w14:paraId="08883D12" w14:textId="77777777" w:rsidR="00626208" w:rsidRPr="004676F5" w:rsidRDefault="00626208" w:rsidP="00626208">
      <w:pPr>
        <w:jc w:val="both"/>
        <w:rPr>
          <w:lang w:val="de-DE"/>
        </w:rPr>
      </w:pPr>
    </w:p>
    <w:p w14:paraId="6D9B7FA7" w14:textId="77777777" w:rsidR="00626208" w:rsidRPr="004676F5" w:rsidRDefault="00626208" w:rsidP="00626208">
      <w:pPr>
        <w:jc w:val="both"/>
        <w:rPr>
          <w:lang w:val="de-DE"/>
        </w:rPr>
      </w:pPr>
      <w:r w:rsidRPr="004676F5">
        <w:rPr>
          <w:lang w:val="de-DE"/>
        </w:rPr>
        <w:tab/>
        <w:t>Der Vertrag bleibt für die Parteien bindend, wenn er ohne die missbräuchlichen Klauseln bestehen kann.</w:t>
      </w:r>
    </w:p>
    <w:p w14:paraId="017D18A4" w14:textId="77777777" w:rsidR="00626208" w:rsidRPr="004676F5" w:rsidRDefault="00626208" w:rsidP="00626208">
      <w:pPr>
        <w:jc w:val="both"/>
        <w:rPr>
          <w:lang w:val="de-DE"/>
        </w:rPr>
      </w:pPr>
    </w:p>
    <w:p w14:paraId="3726FF81" w14:textId="77777777" w:rsidR="00626208" w:rsidRPr="004676F5" w:rsidRDefault="00626208" w:rsidP="00626208">
      <w:pPr>
        <w:jc w:val="both"/>
        <w:rPr>
          <w:lang w:val="de-DE"/>
        </w:rPr>
      </w:pPr>
      <w:r w:rsidRPr="004676F5">
        <w:rPr>
          <w:lang w:val="de-DE"/>
        </w:rPr>
        <w:tab/>
        <w:t>Der Verbraucher kann nicht auf die Rechte verzichten, die ihm durch vorliegenden Abschnitt zuerkannt werden.</w:t>
      </w:r>
    </w:p>
    <w:p w14:paraId="6E24CCFB" w14:textId="77777777" w:rsidR="00626208" w:rsidRPr="004676F5" w:rsidRDefault="00626208" w:rsidP="00626208">
      <w:pPr>
        <w:jc w:val="both"/>
        <w:rPr>
          <w:lang w:val="de-DE"/>
        </w:rPr>
      </w:pPr>
    </w:p>
    <w:p w14:paraId="14D8ABAD" w14:textId="5F02F909"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Eine Klausel, durch die das Gesetz eines Staates, der nicht Mitgliedstaat der Europäischen Union ist, Anwendung auf den Vertrag findet, gilt für die in vorliegendem Abschnitt geregelten Angelegenheiten als ungeschrieben, wenn in Ermangelung dieser Klausel das Gesetz eines Mitgliedstaates der Europäischen Union anwendbar wäre und dieses Gesetz in den vorerwähnten Angelegenheiten ein höheres Schutzniveau für die Verbraucher gewährleistet.</w:t>
      </w:r>
    </w:p>
    <w:p w14:paraId="573ED44D" w14:textId="77777777" w:rsidR="00626208" w:rsidRPr="004676F5" w:rsidRDefault="00626208" w:rsidP="00626208">
      <w:pPr>
        <w:jc w:val="both"/>
        <w:rPr>
          <w:lang w:val="de-DE"/>
        </w:rPr>
      </w:pPr>
    </w:p>
    <w:p w14:paraId="2063809D" w14:textId="77777777" w:rsidR="00AE6697" w:rsidRPr="004676F5" w:rsidRDefault="00AE6697" w:rsidP="00626208">
      <w:pPr>
        <w:jc w:val="both"/>
        <w:rPr>
          <w:lang w:val="de-DE"/>
        </w:rPr>
      </w:pPr>
    </w:p>
    <w:p w14:paraId="2449DD6E" w14:textId="1DE4A11D"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VI.85</w:t>
      </w:r>
      <w:r w:rsidRPr="004676F5">
        <w:rPr>
          <w:lang w:val="de-DE"/>
        </w:rPr>
        <w:t> </w:t>
      </w:r>
      <w:r w:rsidR="005B7A5C" w:rsidRPr="004676F5">
        <w:rPr>
          <w:lang w:val="de-DE"/>
        </w:rPr>
        <w:t>- </w:t>
      </w:r>
      <w:r w:rsidRPr="004676F5">
        <w:rPr>
          <w:lang w:val="de-DE"/>
        </w:rPr>
        <w:t xml:space="preserve">Zur Gewährleistung des Gleichgewichts zwischen den Rechten und Verpflichtungen der Parteien beim Verkauf von Produkten an Verbraucher oder zur </w:t>
      </w:r>
      <w:r w:rsidRPr="004676F5">
        <w:rPr>
          <w:lang w:val="de-DE"/>
        </w:rPr>
        <w:lastRenderedPageBreak/>
        <w:t>Gewährleistung der Redlichkeit der Wirtschaftsgeschäfte kann der König durch einen im Ministerrat beratenen Erlass für berufliche Sektoren oder für Kategorien von Produkten, die Er bestimmt, die Verwendung von bestimmten Klauseln in den zwischen Unternehmen und Verbrauchern geschlossenen Verträgen vorschreiben oder verbieten. Er kann ebenfalls den Gebrauch von Musterverträgen auferlegen.</w:t>
      </w:r>
    </w:p>
    <w:p w14:paraId="40C088FF" w14:textId="77777777" w:rsidR="00626208" w:rsidRPr="004676F5" w:rsidRDefault="00626208" w:rsidP="00626208">
      <w:pPr>
        <w:jc w:val="both"/>
        <w:rPr>
          <w:lang w:val="de-DE"/>
        </w:rPr>
      </w:pPr>
    </w:p>
    <w:p w14:paraId="355475C8" w14:textId="77777777" w:rsidR="00626208" w:rsidRPr="004676F5" w:rsidRDefault="00626208" w:rsidP="00626208">
      <w:pPr>
        <w:jc w:val="both"/>
        <w:rPr>
          <w:lang w:val="de-DE"/>
        </w:rPr>
      </w:pPr>
      <w:r w:rsidRPr="004676F5">
        <w:rPr>
          <w:lang w:val="de-DE"/>
        </w:rPr>
        <w:tab/>
        <w:t>Bevor der Minister einen Erlass zur Ausführung von Absatz 1 vorschlägt, konsultiert er den Ausschuss für widerrechtliche Klauseln und den Hohen Rat für Selbständige und KMB, wobei er die für die Abgabe der Stellungnahme angemessene Frist bestimmt. Nach Ablauf dieser Frist ist die Stellungnahme nicht mehr erforderlich.</w:t>
      </w:r>
    </w:p>
    <w:p w14:paraId="043736A7" w14:textId="77777777" w:rsidR="00626208" w:rsidRPr="004676F5" w:rsidRDefault="00626208" w:rsidP="00626208">
      <w:pPr>
        <w:jc w:val="both"/>
        <w:rPr>
          <w:lang w:val="de-DE"/>
        </w:rPr>
      </w:pPr>
    </w:p>
    <w:p w14:paraId="55385299" w14:textId="77777777" w:rsidR="00AE6697" w:rsidRPr="004676F5" w:rsidRDefault="00AE6697" w:rsidP="00626208">
      <w:pPr>
        <w:jc w:val="both"/>
        <w:rPr>
          <w:lang w:val="de-DE"/>
        </w:rPr>
      </w:pPr>
    </w:p>
    <w:p w14:paraId="6CC59EAE" w14:textId="37D3D829"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VI.86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Ausschuss für widerrechtliche Klauseln befindet über Klauseln und Bedingungen, die in Kaufangeboten und beim Verkauf von Produkten von Unternehmen an Verbraucher verwendet werden.</w:t>
      </w:r>
    </w:p>
    <w:p w14:paraId="74657703" w14:textId="77777777" w:rsidR="00626208" w:rsidRPr="004676F5" w:rsidRDefault="00626208" w:rsidP="00626208">
      <w:pPr>
        <w:jc w:val="both"/>
        <w:rPr>
          <w:lang w:val="de-DE"/>
        </w:rPr>
      </w:pPr>
    </w:p>
    <w:p w14:paraId="7393AD64" w14:textId="27EBAC52"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Der Ausschuss kann vom Minister, von den Verbraucherverbänden oder von beteiligten Berufsverbänden und überberuflichen Verbänden hinzugezogen werden.</w:t>
      </w:r>
    </w:p>
    <w:p w14:paraId="036FC68C" w14:textId="77777777" w:rsidR="00626208" w:rsidRPr="004676F5" w:rsidRDefault="00626208" w:rsidP="00626208">
      <w:pPr>
        <w:jc w:val="both"/>
        <w:rPr>
          <w:lang w:val="de-DE"/>
        </w:rPr>
      </w:pPr>
    </w:p>
    <w:p w14:paraId="7220AE04" w14:textId="77777777" w:rsidR="00626208" w:rsidRPr="004676F5" w:rsidRDefault="00626208" w:rsidP="00626208">
      <w:pPr>
        <w:jc w:val="both"/>
        <w:rPr>
          <w:lang w:val="de-DE"/>
        </w:rPr>
      </w:pPr>
      <w:r w:rsidRPr="004676F5">
        <w:rPr>
          <w:lang w:val="de-DE"/>
        </w:rPr>
        <w:tab/>
        <w:t>Er kann ebenfalls von Amts wegen auftreten.</w:t>
      </w:r>
    </w:p>
    <w:p w14:paraId="6AC0C264" w14:textId="77777777" w:rsidR="00626208" w:rsidRPr="004676F5" w:rsidRDefault="00626208" w:rsidP="00626208">
      <w:pPr>
        <w:jc w:val="both"/>
        <w:rPr>
          <w:lang w:val="de-DE"/>
        </w:rPr>
      </w:pPr>
    </w:p>
    <w:p w14:paraId="7FEE68BD" w14:textId="587055CE"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Der König bestimmt die Zusammensetzung des Ausschusses.</w:t>
      </w:r>
    </w:p>
    <w:p w14:paraId="783528DF" w14:textId="77777777" w:rsidR="00626208" w:rsidRPr="004676F5" w:rsidRDefault="00626208" w:rsidP="00626208">
      <w:pPr>
        <w:jc w:val="both"/>
        <w:rPr>
          <w:lang w:val="de-DE"/>
        </w:rPr>
      </w:pPr>
    </w:p>
    <w:p w14:paraId="13E72ED1" w14:textId="720D33A0" w:rsidR="00E30873" w:rsidRPr="004676F5" w:rsidRDefault="00E30873" w:rsidP="00E30873">
      <w:pPr>
        <w:jc w:val="both"/>
        <w:rPr>
          <w:lang w:val="de-DE"/>
        </w:rPr>
      </w:pPr>
      <w:r w:rsidRPr="004676F5">
        <w:rPr>
          <w:lang w:val="de-DE"/>
        </w:rPr>
        <w:tab/>
        <w:t>[§ 4 - Der Besondere Beratungsausschuss "Missbräuchliche Klauseln" kann von Unternehmen, die in einem Sektor tätig sind, über den eine Stellungnahme beantragt wird, verlangen, dass sie ihm innerhalb einer von ihm festgelegten Frist die Klauseln und Bedingungen übermitteln, die in Kaufangeboten und beim Verkauf von Produkten verwendet werden.</w:t>
      </w:r>
    </w:p>
    <w:p w14:paraId="26FBCFEF" w14:textId="77777777" w:rsidR="00E30873" w:rsidRPr="004676F5" w:rsidRDefault="00E30873" w:rsidP="00E30873">
      <w:pPr>
        <w:jc w:val="both"/>
        <w:rPr>
          <w:lang w:val="de-DE"/>
        </w:rPr>
      </w:pPr>
    </w:p>
    <w:p w14:paraId="2564CCA8" w14:textId="77777777" w:rsidR="00E30873" w:rsidRPr="004676F5" w:rsidRDefault="00E30873" w:rsidP="00E30873">
      <w:pPr>
        <w:jc w:val="both"/>
        <w:rPr>
          <w:lang w:val="de-DE"/>
        </w:rPr>
      </w:pPr>
      <w:r w:rsidRPr="004676F5">
        <w:rPr>
          <w:lang w:val="de-DE"/>
        </w:rPr>
        <w:tab/>
        <w:t>Die betroffenen Unternehmen können im Rahmen dieses Ersuchens weder das Geschäftsgeheimnis noch eine Vertraulichkeitsklausel geltend machen.</w:t>
      </w:r>
    </w:p>
    <w:p w14:paraId="270C11CA" w14:textId="77777777" w:rsidR="00E30873" w:rsidRPr="004676F5" w:rsidRDefault="00E30873" w:rsidP="00E30873">
      <w:pPr>
        <w:jc w:val="both"/>
        <w:rPr>
          <w:lang w:val="de-DE"/>
        </w:rPr>
      </w:pPr>
    </w:p>
    <w:p w14:paraId="16847A0C" w14:textId="1513342C" w:rsidR="00E30873" w:rsidRPr="004676F5" w:rsidRDefault="00E30873" w:rsidP="00E30873">
      <w:pPr>
        <w:jc w:val="both"/>
        <w:rPr>
          <w:lang w:val="de-DE"/>
        </w:rPr>
      </w:pPr>
      <w:r w:rsidRPr="004676F5">
        <w:rPr>
          <w:lang w:val="de-DE"/>
        </w:rPr>
        <w:tab/>
        <w:t>Die Mitglieder des Besonderen Beratungsausschusses "Missbräuchliche Klauseln" und all diejenigen, die an ihren Arbeiten mitwirken, sind verpflichtet, Fakten, Handlungen und Auskünfte, von denen sie aufgrund ihres Amtes Kenntnis erhalten haben, geheim zu halten.]</w:t>
      </w:r>
    </w:p>
    <w:p w14:paraId="2A6DE9ED" w14:textId="77777777" w:rsidR="00AE6697" w:rsidRPr="004676F5" w:rsidRDefault="00AE6697" w:rsidP="00626208">
      <w:pPr>
        <w:jc w:val="both"/>
        <w:rPr>
          <w:lang w:val="de-DE"/>
        </w:rPr>
      </w:pPr>
    </w:p>
    <w:p w14:paraId="49106EA5" w14:textId="097A2062" w:rsidR="00E30873" w:rsidRPr="004676F5" w:rsidRDefault="00E30873" w:rsidP="00626208">
      <w:pPr>
        <w:jc w:val="both"/>
        <w:rPr>
          <w:i/>
          <w:iCs/>
          <w:lang w:val="de-DE"/>
        </w:rPr>
      </w:pPr>
      <w:r w:rsidRPr="004676F5">
        <w:rPr>
          <w:i/>
          <w:iCs/>
          <w:lang w:val="de-DE"/>
        </w:rPr>
        <w:t>[Art. VI.86 § 4 eingefügt durch Art. 20 des G. vom 9. Februar 2024 (B.S. vom 21. März 2024)]</w:t>
      </w:r>
    </w:p>
    <w:p w14:paraId="0100F361" w14:textId="77777777" w:rsidR="00E30873" w:rsidRPr="004676F5" w:rsidRDefault="00E30873" w:rsidP="00626208">
      <w:pPr>
        <w:jc w:val="both"/>
        <w:rPr>
          <w:i/>
          <w:iCs/>
          <w:lang w:val="de-DE"/>
        </w:rPr>
      </w:pPr>
    </w:p>
    <w:p w14:paraId="4893BB3B" w14:textId="77777777" w:rsidR="00E30873" w:rsidRPr="004676F5" w:rsidRDefault="00E30873" w:rsidP="00626208">
      <w:pPr>
        <w:jc w:val="both"/>
        <w:rPr>
          <w:i/>
          <w:iCs/>
          <w:lang w:val="de-DE"/>
        </w:rPr>
      </w:pPr>
    </w:p>
    <w:p w14:paraId="55B3E6C3" w14:textId="55FEAA86"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VI.87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Ausschuss empfiehlt:</w:t>
      </w:r>
    </w:p>
    <w:p w14:paraId="71A8B37C" w14:textId="77777777" w:rsidR="00626208" w:rsidRPr="004676F5" w:rsidRDefault="00626208" w:rsidP="00626208">
      <w:pPr>
        <w:jc w:val="both"/>
        <w:rPr>
          <w:lang w:val="de-DE"/>
        </w:rPr>
      </w:pPr>
    </w:p>
    <w:p w14:paraId="6FFA846B" w14:textId="77777777" w:rsidR="00626208" w:rsidRPr="004676F5" w:rsidRDefault="00626208" w:rsidP="00626208">
      <w:pPr>
        <w:jc w:val="both"/>
        <w:rPr>
          <w:lang w:val="de-DE"/>
        </w:rPr>
      </w:pPr>
      <w:r w:rsidRPr="004676F5">
        <w:rPr>
          <w:lang w:val="de-DE"/>
        </w:rPr>
        <w:tab/>
        <w:t>1. Streichung oder Abänderung von Klauseln und Bedingungen, die seiner Meinung nach ein offensichtliches Ungleichgewicht zwischen den Rechten und Verpflichtungen der Parteien zum Nachteil des Verbrauchers bewirken,</w:t>
      </w:r>
    </w:p>
    <w:p w14:paraId="78B6FE1F" w14:textId="77777777" w:rsidR="00626208" w:rsidRPr="004676F5" w:rsidRDefault="00626208" w:rsidP="00626208">
      <w:pPr>
        <w:jc w:val="both"/>
        <w:rPr>
          <w:lang w:val="de-DE"/>
        </w:rPr>
      </w:pPr>
    </w:p>
    <w:p w14:paraId="1F3FD1D7" w14:textId="77777777" w:rsidR="00626208" w:rsidRPr="004676F5" w:rsidRDefault="00626208" w:rsidP="00626208">
      <w:pPr>
        <w:jc w:val="both"/>
        <w:rPr>
          <w:lang w:val="de-DE"/>
        </w:rPr>
      </w:pPr>
      <w:r w:rsidRPr="004676F5">
        <w:rPr>
          <w:lang w:val="de-DE"/>
        </w:rPr>
        <w:tab/>
        <w:t>2. Einfügen von Angaben, Klauseln und Bedingungen, die seiner Meinung nach für die Information des Verbrauchers notwendig sind oder deren Fehlen seiner Meinung nach ein offensichtliches Ungleichgewicht zwischen den Rechten und Verpflichtungen der Parteien zum Nachteil des Verbrauchers bewirkt,</w:t>
      </w:r>
    </w:p>
    <w:p w14:paraId="6E61F234" w14:textId="77777777" w:rsidR="00626208" w:rsidRPr="004676F5" w:rsidRDefault="00626208" w:rsidP="00626208">
      <w:pPr>
        <w:jc w:val="both"/>
        <w:rPr>
          <w:lang w:val="de-DE"/>
        </w:rPr>
      </w:pPr>
    </w:p>
    <w:p w14:paraId="3E95B192" w14:textId="77777777" w:rsidR="00626208" w:rsidRPr="004676F5" w:rsidRDefault="00626208" w:rsidP="00626208">
      <w:pPr>
        <w:jc w:val="both"/>
        <w:rPr>
          <w:lang w:val="de-DE"/>
        </w:rPr>
      </w:pPr>
      <w:r w:rsidRPr="004676F5">
        <w:rPr>
          <w:lang w:val="de-DE"/>
        </w:rPr>
        <w:lastRenderedPageBreak/>
        <w:tab/>
        <w:t>3. Klauseln und Bedingungen so abzufassen und zu präsentieren, dass es dem Verbraucher möglich ist, ihren Sinn und ihre Tragweite zu verstehen.</w:t>
      </w:r>
    </w:p>
    <w:p w14:paraId="0FCA1179" w14:textId="77777777" w:rsidR="00626208" w:rsidRPr="004676F5" w:rsidRDefault="00626208" w:rsidP="00626208">
      <w:pPr>
        <w:jc w:val="both"/>
        <w:rPr>
          <w:lang w:val="de-DE"/>
        </w:rPr>
      </w:pPr>
    </w:p>
    <w:p w14:paraId="560D03DB" w14:textId="77777777" w:rsidR="00626208" w:rsidRPr="004676F5" w:rsidRDefault="00626208" w:rsidP="00626208">
      <w:pPr>
        <w:jc w:val="both"/>
        <w:rPr>
          <w:lang w:val="de-DE"/>
        </w:rPr>
      </w:pPr>
      <w:r w:rsidRPr="004676F5">
        <w:rPr>
          <w:lang w:val="de-DE"/>
        </w:rPr>
        <w:tab/>
        <w:t>Berufsverbände, überberufliche Verbände oder Verbraucherverbände können die Stellungnahme des Ausschusses einholen in Bezug auf Entwürfe von Klauseln oder Bedingungen, die in Kaufangeboten und beim Verkauf von Produkten von Unternehmen an Verbraucher verwendet werden.</w:t>
      </w:r>
    </w:p>
    <w:p w14:paraId="4C59CB8A" w14:textId="77777777" w:rsidR="00626208" w:rsidRPr="004676F5" w:rsidRDefault="00626208" w:rsidP="00626208">
      <w:pPr>
        <w:jc w:val="both"/>
        <w:rPr>
          <w:lang w:val="de-DE"/>
        </w:rPr>
      </w:pPr>
    </w:p>
    <w:p w14:paraId="2BE244F3" w14:textId="70D9DFE9"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Der Ausschuss schlägt im Rahmen seiner Zuständigkeiten dem Minister Abänderungen von Gesetzes</w:t>
      </w:r>
      <w:r w:rsidR="005B7A5C" w:rsidRPr="004676F5">
        <w:rPr>
          <w:lang w:val="de-DE"/>
        </w:rPr>
        <w:t>- </w:t>
      </w:r>
      <w:r w:rsidRPr="004676F5">
        <w:rPr>
          <w:lang w:val="de-DE"/>
        </w:rPr>
        <w:t>und Verordnungsbestimmungen vor, die ihm wünschenswert erscheinen.</w:t>
      </w:r>
    </w:p>
    <w:p w14:paraId="227BF39F" w14:textId="77777777" w:rsidR="00626208" w:rsidRPr="004676F5" w:rsidRDefault="00626208" w:rsidP="00626208">
      <w:pPr>
        <w:jc w:val="both"/>
        <w:rPr>
          <w:lang w:val="de-DE"/>
        </w:rPr>
      </w:pPr>
    </w:p>
    <w:p w14:paraId="083DF055" w14:textId="6B04F208"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Jährlich erstellt und veröffentlicht der Ausschuss einen Tätigkeitsbericht. Dieser Bericht umfasst unter anderem den vollen Wortlaut seiner im Laufe des Jahres abgegebenen Empfehlungen und Vorschläge.</w:t>
      </w:r>
    </w:p>
    <w:p w14:paraId="4B39B0FD" w14:textId="77777777" w:rsidR="00626208" w:rsidRPr="004676F5" w:rsidRDefault="00626208" w:rsidP="00626208">
      <w:pPr>
        <w:jc w:val="both"/>
        <w:rPr>
          <w:lang w:val="de-DE"/>
        </w:rPr>
      </w:pPr>
    </w:p>
    <w:p w14:paraId="7F47B804" w14:textId="77777777" w:rsidR="00AE6697" w:rsidRPr="004676F5" w:rsidRDefault="00AE6697" w:rsidP="00626208">
      <w:pPr>
        <w:jc w:val="center"/>
        <w:rPr>
          <w:lang w:val="de-DE"/>
        </w:rPr>
      </w:pPr>
    </w:p>
    <w:p w14:paraId="7D6B770C" w14:textId="77777777" w:rsidR="00AE6697" w:rsidRPr="004676F5" w:rsidRDefault="00AE6697">
      <w:pPr>
        <w:rPr>
          <w:lang w:val="de-DE"/>
        </w:rPr>
      </w:pPr>
      <w:r w:rsidRPr="004676F5">
        <w:rPr>
          <w:lang w:val="de-DE"/>
        </w:rPr>
        <w:br w:type="page"/>
      </w:r>
    </w:p>
    <w:p w14:paraId="1EC30278" w14:textId="4474A2A5" w:rsidR="00626208" w:rsidRPr="004676F5" w:rsidRDefault="00626208" w:rsidP="00626208">
      <w:pPr>
        <w:jc w:val="center"/>
        <w:rPr>
          <w:lang w:val="de-DE"/>
        </w:rPr>
      </w:pPr>
      <w:r w:rsidRPr="004676F5">
        <w:rPr>
          <w:lang w:val="de-DE"/>
        </w:rPr>
        <w:lastRenderedPageBreak/>
        <w:t>KAPITEL 7 </w:t>
      </w:r>
      <w:r w:rsidR="005B7A5C" w:rsidRPr="004676F5">
        <w:rPr>
          <w:lang w:val="de-DE"/>
        </w:rPr>
        <w:t>- </w:t>
      </w:r>
      <w:r w:rsidRPr="004676F5">
        <w:rPr>
          <w:i/>
          <w:lang w:val="de-DE"/>
        </w:rPr>
        <w:t>Bestellscheine</w:t>
      </w:r>
    </w:p>
    <w:p w14:paraId="3A4279DB" w14:textId="77777777" w:rsidR="00626208" w:rsidRPr="004676F5" w:rsidRDefault="00626208" w:rsidP="00626208">
      <w:pPr>
        <w:jc w:val="both"/>
        <w:rPr>
          <w:lang w:val="de-DE"/>
        </w:rPr>
      </w:pPr>
    </w:p>
    <w:p w14:paraId="23498C3E" w14:textId="77777777" w:rsidR="00AE6697" w:rsidRPr="004676F5" w:rsidRDefault="00AE6697" w:rsidP="00626208">
      <w:pPr>
        <w:jc w:val="both"/>
        <w:rPr>
          <w:lang w:val="de-DE"/>
        </w:rPr>
      </w:pPr>
    </w:p>
    <w:p w14:paraId="5795FD84" w14:textId="460F74F9"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VI.88</w:t>
      </w:r>
      <w:r w:rsidRPr="004676F5">
        <w:rPr>
          <w:lang w:val="de-DE"/>
        </w:rPr>
        <w:t> </w:t>
      </w:r>
      <w:r w:rsidR="005B7A5C" w:rsidRPr="004676F5">
        <w:rPr>
          <w:lang w:val="de-DE"/>
        </w:rPr>
        <w:t>- </w:t>
      </w:r>
      <w:r w:rsidRPr="004676F5">
        <w:rPr>
          <w:lang w:val="de-DE"/>
        </w:rPr>
        <w:t>Bei Verkäufen muss ein Unternehmen einen Bestellschein aushändigen, falls die Lieferung einer Ware oder das Erbringen einer Dienstleistung oder eines Teils davon aufgeschoben wird und der Verbraucher eine Anzahlung leistet.</w:t>
      </w:r>
    </w:p>
    <w:p w14:paraId="302B865F" w14:textId="77777777" w:rsidR="00626208" w:rsidRPr="004676F5" w:rsidRDefault="00626208" w:rsidP="00626208">
      <w:pPr>
        <w:jc w:val="both"/>
        <w:rPr>
          <w:lang w:val="de-DE"/>
        </w:rPr>
      </w:pPr>
    </w:p>
    <w:p w14:paraId="10CEC70D" w14:textId="77777777" w:rsidR="00626208" w:rsidRPr="004676F5" w:rsidRDefault="00626208" w:rsidP="00626208">
      <w:pPr>
        <w:jc w:val="both"/>
        <w:rPr>
          <w:lang w:val="de-DE"/>
        </w:rPr>
      </w:pPr>
      <w:r w:rsidRPr="004676F5">
        <w:rPr>
          <w:lang w:val="de-DE"/>
        </w:rPr>
        <w:tab/>
        <w:t>Die Angaben auf dem Bestellschein binden den Aussteller des Scheins ungeachtet aller weiteren oder gegenteiligen allgemeinen oder besonderen Bedingungen.</w:t>
      </w:r>
    </w:p>
    <w:p w14:paraId="67B6FDB6" w14:textId="77777777" w:rsidR="00626208" w:rsidRPr="004676F5" w:rsidRDefault="00626208" w:rsidP="00626208">
      <w:pPr>
        <w:jc w:val="both"/>
        <w:rPr>
          <w:lang w:val="de-DE"/>
        </w:rPr>
      </w:pPr>
    </w:p>
    <w:p w14:paraId="72300D99" w14:textId="77777777" w:rsidR="00626208" w:rsidRPr="004676F5" w:rsidRDefault="00626208" w:rsidP="00626208">
      <w:pPr>
        <w:jc w:val="both"/>
        <w:rPr>
          <w:lang w:val="de-DE"/>
        </w:rPr>
      </w:pPr>
      <w:r w:rsidRPr="004676F5">
        <w:rPr>
          <w:lang w:val="de-DE"/>
        </w:rPr>
        <w:tab/>
        <w:t>Der König kann bestimmen, welche Angaben auf dem Bestellschein erscheinen müssen.</w:t>
      </w:r>
    </w:p>
    <w:p w14:paraId="3886A8A9" w14:textId="77777777" w:rsidR="00626208" w:rsidRPr="004676F5" w:rsidRDefault="00626208" w:rsidP="00626208">
      <w:pPr>
        <w:jc w:val="both"/>
        <w:rPr>
          <w:lang w:val="de-DE"/>
        </w:rPr>
      </w:pPr>
    </w:p>
    <w:p w14:paraId="21011B76" w14:textId="77777777" w:rsidR="00AE6697" w:rsidRPr="004676F5" w:rsidRDefault="00AE6697" w:rsidP="00626208">
      <w:pPr>
        <w:jc w:val="center"/>
        <w:rPr>
          <w:lang w:val="de-DE"/>
        </w:rPr>
      </w:pPr>
    </w:p>
    <w:p w14:paraId="42873CF5" w14:textId="77777777" w:rsidR="00AE6697" w:rsidRPr="004676F5" w:rsidRDefault="00AE6697">
      <w:pPr>
        <w:rPr>
          <w:lang w:val="de-DE"/>
        </w:rPr>
      </w:pPr>
      <w:r w:rsidRPr="004676F5">
        <w:rPr>
          <w:lang w:val="de-DE"/>
        </w:rPr>
        <w:br w:type="page"/>
      </w:r>
    </w:p>
    <w:p w14:paraId="593A5A98" w14:textId="65B26703" w:rsidR="00626208" w:rsidRPr="004676F5" w:rsidRDefault="00626208" w:rsidP="00626208">
      <w:pPr>
        <w:jc w:val="center"/>
        <w:rPr>
          <w:lang w:val="de-DE"/>
        </w:rPr>
      </w:pPr>
      <w:r w:rsidRPr="004676F5">
        <w:rPr>
          <w:lang w:val="de-DE"/>
        </w:rPr>
        <w:lastRenderedPageBreak/>
        <w:t>KAPITEL 8 </w:t>
      </w:r>
      <w:r w:rsidR="005B7A5C" w:rsidRPr="004676F5">
        <w:rPr>
          <w:lang w:val="de-DE"/>
        </w:rPr>
        <w:t>- </w:t>
      </w:r>
      <w:r w:rsidRPr="004676F5">
        <w:rPr>
          <w:i/>
          <w:lang w:val="de-DE"/>
        </w:rPr>
        <w:t>Belege</w:t>
      </w:r>
    </w:p>
    <w:p w14:paraId="2EB26006" w14:textId="77777777" w:rsidR="00626208" w:rsidRPr="004676F5" w:rsidRDefault="00626208" w:rsidP="00626208">
      <w:pPr>
        <w:jc w:val="both"/>
        <w:rPr>
          <w:lang w:val="de-DE"/>
        </w:rPr>
      </w:pPr>
    </w:p>
    <w:p w14:paraId="0C1A81C0" w14:textId="77777777" w:rsidR="00AE6697" w:rsidRPr="004676F5" w:rsidRDefault="00AE6697" w:rsidP="00626208">
      <w:pPr>
        <w:jc w:val="both"/>
        <w:rPr>
          <w:lang w:val="de-DE"/>
        </w:rPr>
      </w:pPr>
    </w:p>
    <w:p w14:paraId="6FF065BC" w14:textId="6C75E146"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VI.89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 Unternehmen, das Dienstleistungen zugunsten eines Verbrauchers erbringt, ist verpflichtet, dem Verbraucher auf dessen Antrag hin kostenlos einen Beleg auszuhändigen. Es ist von dieser Verpflichtung befreit, falls der Preis der Dienstleistung gemäß Artikel VI.3 § 2 mitgeteilt worden ist oder falls ein Kostenvoranschlag oder eine Rechnung mit den in § 2 erwähnten Angaben ausgehändigt wird.</w:t>
      </w:r>
    </w:p>
    <w:p w14:paraId="747BC5F8" w14:textId="77777777" w:rsidR="00626208" w:rsidRPr="004676F5" w:rsidRDefault="00626208" w:rsidP="00626208">
      <w:pPr>
        <w:jc w:val="both"/>
        <w:rPr>
          <w:lang w:val="de-DE"/>
        </w:rPr>
      </w:pPr>
    </w:p>
    <w:p w14:paraId="4B66B1DB" w14:textId="77777777" w:rsidR="00626208" w:rsidRPr="004676F5" w:rsidRDefault="00626208" w:rsidP="00626208">
      <w:pPr>
        <w:jc w:val="both"/>
        <w:rPr>
          <w:lang w:val="de-DE"/>
        </w:rPr>
      </w:pPr>
      <w:r w:rsidRPr="004676F5">
        <w:rPr>
          <w:lang w:val="de-DE"/>
        </w:rPr>
        <w:tab/>
        <w:t>Verträge, die unter der Bezeichnung "Pauschalbetrag" oder jeder anderen gleichwertigen Bezeichnung geschlossen werden und die das Erbringen einer Dienstleistung zu einem vorher festgelegten, die gesamte Dienstleistung umfassenden festen Gesamtpreis zum Gegenstand haben, fallen nicht in den Anwendungsbereich des vorliegenden Artikels.</w:t>
      </w:r>
    </w:p>
    <w:p w14:paraId="3DC1F4A7" w14:textId="77777777" w:rsidR="00626208" w:rsidRPr="004676F5" w:rsidRDefault="00626208" w:rsidP="00626208">
      <w:pPr>
        <w:jc w:val="both"/>
        <w:rPr>
          <w:lang w:val="de-DE"/>
        </w:rPr>
      </w:pPr>
    </w:p>
    <w:p w14:paraId="54D37931" w14:textId="7CBB380B"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Der König:</w:t>
      </w:r>
    </w:p>
    <w:p w14:paraId="4FDD346D" w14:textId="77777777" w:rsidR="00626208" w:rsidRPr="004676F5" w:rsidRDefault="00626208" w:rsidP="00626208">
      <w:pPr>
        <w:jc w:val="both"/>
        <w:rPr>
          <w:lang w:val="de-DE"/>
        </w:rPr>
      </w:pPr>
    </w:p>
    <w:p w14:paraId="74311B73" w14:textId="0D58D11C"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bestimmt entweder auf allgemeine Weise oder für Dienstleistungen oder Kategorien von Dienstleistungen, die Er bestimmt, welche Angaben auf dem Beleg erscheinen müssen,</w:t>
      </w:r>
    </w:p>
    <w:p w14:paraId="1AF71386" w14:textId="77777777" w:rsidR="00626208" w:rsidRPr="004676F5" w:rsidRDefault="00626208" w:rsidP="00626208">
      <w:pPr>
        <w:jc w:val="both"/>
        <w:rPr>
          <w:lang w:val="de-DE"/>
        </w:rPr>
      </w:pPr>
    </w:p>
    <w:p w14:paraId="13B4C231" w14:textId="6F3E913D"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kann Dienstleistungen oder Kategorien von Dienstleistungen, die Er bestimmt, von der Anwendung des vorliegenden Abschnitts befreien,</w:t>
      </w:r>
    </w:p>
    <w:p w14:paraId="188A825B" w14:textId="77777777" w:rsidR="00626208" w:rsidRPr="004676F5" w:rsidRDefault="00626208" w:rsidP="00626208">
      <w:pPr>
        <w:jc w:val="both"/>
        <w:rPr>
          <w:lang w:val="de-DE"/>
        </w:rPr>
      </w:pPr>
    </w:p>
    <w:p w14:paraId="14B7AB83" w14:textId="741509AB"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kann Waren oder Kategorien von Waren bestimmen, auf die vorliegender Abschnitt Anwendung findet,</w:t>
      </w:r>
    </w:p>
    <w:p w14:paraId="653B7AE2" w14:textId="77777777" w:rsidR="00626208" w:rsidRPr="004676F5" w:rsidRDefault="00626208" w:rsidP="00626208">
      <w:pPr>
        <w:jc w:val="both"/>
        <w:rPr>
          <w:lang w:val="de-DE"/>
        </w:rPr>
      </w:pPr>
    </w:p>
    <w:p w14:paraId="35E61614" w14:textId="171E9212"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kann dem Unternehmen in Abweichung von § 1 für Dienstleistungen oder Kategorien von Dienstleistungen, die Er bestimmt, auferlegen, dem Verbraucher kostenlos einen Beleg auszuhändigen, für den Er die Angaben und Modalitäten festlegt.</w:t>
      </w:r>
    </w:p>
    <w:p w14:paraId="56E9DF45" w14:textId="77777777" w:rsidR="00626208" w:rsidRPr="004676F5" w:rsidRDefault="00626208" w:rsidP="00626208">
      <w:pPr>
        <w:jc w:val="both"/>
        <w:rPr>
          <w:lang w:val="de-DE"/>
        </w:rPr>
      </w:pPr>
    </w:p>
    <w:p w14:paraId="65274A62" w14:textId="6306936C"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Der Minister legt Erlasse in Anwendung von § 2 vierter Gedankenstrich dem Verbraucherrat und dem Hohen Rat für Selbständige und KMB zur Stellungnahme vor. Der Minister bestimmt die für die Abgabe der Stellungnahme angemessene Frist. Wird die Stellungnahme nicht innerhalb der vorgesehenen Frist abgegeben, ist sie nicht mehr erforderlich.</w:t>
      </w:r>
    </w:p>
    <w:p w14:paraId="2F5D7628" w14:textId="77777777" w:rsidR="00626208" w:rsidRPr="004676F5" w:rsidRDefault="00626208" w:rsidP="00626208">
      <w:pPr>
        <w:jc w:val="both"/>
        <w:rPr>
          <w:lang w:val="de-DE"/>
        </w:rPr>
      </w:pPr>
    </w:p>
    <w:p w14:paraId="2F8AAD3B" w14:textId="77777777" w:rsidR="00AE6697" w:rsidRPr="004676F5" w:rsidRDefault="00AE6697" w:rsidP="00626208">
      <w:pPr>
        <w:jc w:val="both"/>
        <w:rPr>
          <w:lang w:val="de-DE"/>
        </w:rPr>
      </w:pPr>
    </w:p>
    <w:p w14:paraId="76247BF5" w14:textId="0BB0B9EE"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VI.90</w:t>
      </w:r>
      <w:r w:rsidRPr="004676F5">
        <w:rPr>
          <w:lang w:val="de-DE"/>
        </w:rPr>
        <w:t> </w:t>
      </w:r>
      <w:r w:rsidR="005B7A5C" w:rsidRPr="004676F5">
        <w:rPr>
          <w:lang w:val="de-DE"/>
        </w:rPr>
        <w:t>- </w:t>
      </w:r>
      <w:r w:rsidRPr="004676F5">
        <w:rPr>
          <w:lang w:val="de-DE"/>
        </w:rPr>
        <w:t>Der Verbraucher muss die erbrachten Dienstleistungen erst bei Aushändigung des geforderten Belegs bezahlen, sofern diese Aushändigung durch Artikel VI.89 auferlegt wird.</w:t>
      </w:r>
    </w:p>
    <w:p w14:paraId="70B469CD" w14:textId="77777777" w:rsidR="00626208" w:rsidRPr="004676F5" w:rsidRDefault="00626208" w:rsidP="00626208">
      <w:pPr>
        <w:jc w:val="both"/>
        <w:rPr>
          <w:lang w:val="de-DE"/>
        </w:rPr>
      </w:pPr>
    </w:p>
    <w:p w14:paraId="544BCACB" w14:textId="77777777" w:rsidR="00AE6697" w:rsidRPr="004676F5" w:rsidRDefault="00AE6697" w:rsidP="00626208">
      <w:pPr>
        <w:jc w:val="center"/>
        <w:rPr>
          <w:lang w:val="de-DE"/>
        </w:rPr>
      </w:pPr>
    </w:p>
    <w:p w14:paraId="7AAFA82E" w14:textId="77777777" w:rsidR="00AE6697" w:rsidRPr="004676F5" w:rsidRDefault="00AE6697">
      <w:pPr>
        <w:rPr>
          <w:lang w:val="de-DE"/>
        </w:rPr>
      </w:pPr>
      <w:r w:rsidRPr="004676F5">
        <w:rPr>
          <w:lang w:val="de-DE"/>
        </w:rPr>
        <w:br w:type="page"/>
      </w:r>
    </w:p>
    <w:p w14:paraId="3FD3F621" w14:textId="597ED4FC" w:rsidR="00626208" w:rsidRPr="004676F5" w:rsidRDefault="00626208" w:rsidP="00626208">
      <w:pPr>
        <w:jc w:val="center"/>
        <w:rPr>
          <w:lang w:val="de-DE"/>
        </w:rPr>
      </w:pPr>
      <w:r w:rsidRPr="004676F5">
        <w:rPr>
          <w:lang w:val="de-DE"/>
        </w:rPr>
        <w:lastRenderedPageBreak/>
        <w:t>KAPITEL 9 </w:t>
      </w:r>
      <w:r w:rsidR="005B7A5C" w:rsidRPr="004676F5">
        <w:rPr>
          <w:lang w:val="de-DE"/>
        </w:rPr>
        <w:t>- </w:t>
      </w:r>
      <w:r w:rsidRPr="004676F5">
        <w:rPr>
          <w:i/>
          <w:lang w:val="de-DE"/>
        </w:rPr>
        <w:t>Verlängerung von Verträgen</w:t>
      </w:r>
    </w:p>
    <w:p w14:paraId="41962EEC" w14:textId="77777777" w:rsidR="00626208" w:rsidRPr="004676F5" w:rsidRDefault="00626208" w:rsidP="00626208">
      <w:pPr>
        <w:jc w:val="both"/>
        <w:rPr>
          <w:lang w:val="de-DE"/>
        </w:rPr>
      </w:pPr>
    </w:p>
    <w:p w14:paraId="3992F2E5" w14:textId="77777777" w:rsidR="00AE6697" w:rsidRPr="004676F5" w:rsidRDefault="00AE6697" w:rsidP="00626208">
      <w:pPr>
        <w:jc w:val="both"/>
        <w:rPr>
          <w:lang w:val="de-DE"/>
        </w:rPr>
      </w:pPr>
    </w:p>
    <w:p w14:paraId="3E3B48C1" w14:textId="7BB6C7EC" w:rsidR="00E30873" w:rsidRPr="004676F5" w:rsidRDefault="00E30873" w:rsidP="00626208">
      <w:pPr>
        <w:jc w:val="both"/>
        <w:rPr>
          <w:lang w:val="de-DE"/>
        </w:rPr>
      </w:pPr>
      <w:r w:rsidRPr="004676F5">
        <w:rPr>
          <w:lang w:val="de-DE"/>
        </w:rPr>
        <w:tab/>
        <w:t>[</w:t>
      </w:r>
      <w:r w:rsidRPr="004676F5">
        <w:rPr>
          <w:b/>
          <w:bCs/>
          <w:lang w:val="de-DE"/>
        </w:rPr>
        <w:t>Art. VI.90/1</w:t>
      </w:r>
      <w:r w:rsidRPr="004676F5">
        <w:rPr>
          <w:lang w:val="de-DE"/>
        </w:rPr>
        <w:t> - Vorliegendes Kapitel gilt ebenfalls für Verträge zwischen einem Unternehmen und einer in Artikel 3.86 des Zivilgesetzbuches erwähnten Miteigentümervereinigung eines Gebäudes oder einer Gebäudegruppe in Zwangseigentum, bei der 75 Prozent oder mehr der Anteile an ihren gemeinsamen Teilen auf Lose entfallen, denen gemäß der Miteigentumssatzung keine berufliche Nutzung zukommen kann.]</w:t>
      </w:r>
    </w:p>
    <w:p w14:paraId="67FB5178" w14:textId="77777777" w:rsidR="00E30873" w:rsidRPr="004676F5" w:rsidRDefault="00E30873" w:rsidP="00626208">
      <w:pPr>
        <w:jc w:val="both"/>
        <w:rPr>
          <w:lang w:val="de-DE"/>
        </w:rPr>
      </w:pPr>
    </w:p>
    <w:p w14:paraId="2ADFCD7E" w14:textId="0E13F6CB" w:rsidR="00E30873" w:rsidRPr="004676F5" w:rsidRDefault="00E30873" w:rsidP="00626208">
      <w:pPr>
        <w:jc w:val="both"/>
        <w:rPr>
          <w:i/>
          <w:iCs/>
          <w:lang w:val="de-DE"/>
        </w:rPr>
      </w:pPr>
      <w:r w:rsidRPr="004676F5">
        <w:rPr>
          <w:i/>
          <w:iCs/>
          <w:lang w:val="de-DE"/>
        </w:rPr>
        <w:t>[Art. VI.90/1 eingefügt durch Art. 21 des G. vom 9. Februar 2024 (B.S. vom 21. März 2024)]</w:t>
      </w:r>
    </w:p>
    <w:p w14:paraId="2873E846" w14:textId="77777777" w:rsidR="00E30873" w:rsidRPr="004676F5" w:rsidRDefault="00E30873" w:rsidP="00626208">
      <w:pPr>
        <w:jc w:val="both"/>
        <w:rPr>
          <w:lang w:val="de-DE"/>
        </w:rPr>
      </w:pPr>
    </w:p>
    <w:p w14:paraId="54D3A21C" w14:textId="77777777" w:rsidR="00E30873" w:rsidRPr="004676F5" w:rsidRDefault="00E30873" w:rsidP="00626208">
      <w:pPr>
        <w:jc w:val="both"/>
        <w:rPr>
          <w:lang w:val="de-DE"/>
        </w:rPr>
      </w:pPr>
    </w:p>
    <w:p w14:paraId="557D08E4" w14:textId="031A7C74"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VI.91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Vorliegendes Kapitel findet Anwendung auf Dienstleistungsverträge und Kaufverträge, die sowohl Waren als auch Dienstleistungen zum Gegenstand haben.</w:t>
      </w:r>
    </w:p>
    <w:p w14:paraId="38CAFA88" w14:textId="77777777" w:rsidR="00626208" w:rsidRPr="004676F5" w:rsidRDefault="00626208" w:rsidP="00626208">
      <w:pPr>
        <w:jc w:val="both"/>
        <w:rPr>
          <w:lang w:val="de-DE"/>
        </w:rPr>
      </w:pPr>
    </w:p>
    <w:p w14:paraId="5DF9F5DE" w14:textId="77777777" w:rsidR="00626208" w:rsidRPr="004676F5" w:rsidRDefault="00626208" w:rsidP="00626208">
      <w:pPr>
        <w:jc w:val="both"/>
        <w:rPr>
          <w:lang w:val="de-DE"/>
        </w:rPr>
      </w:pPr>
      <w:r w:rsidRPr="004676F5">
        <w:rPr>
          <w:lang w:val="de-DE"/>
        </w:rPr>
        <w:tab/>
        <w:t>Wenn ein zwischen einem Unternehmen und einem Verbraucher geschlossener befristeter Vertrag eine Klausel zur stillschweigenden Verlängerung umfasst, muss diese Klausel fett gedruckt in einem vom Text getrennten Rahmen auf der Vorderseite des ersten Blattes stehen.</w:t>
      </w:r>
    </w:p>
    <w:p w14:paraId="595A23E8" w14:textId="77777777" w:rsidR="00626208" w:rsidRPr="004676F5" w:rsidRDefault="00626208" w:rsidP="00626208">
      <w:pPr>
        <w:jc w:val="both"/>
        <w:rPr>
          <w:lang w:val="de-DE"/>
        </w:rPr>
      </w:pPr>
    </w:p>
    <w:p w14:paraId="72206873" w14:textId="77777777" w:rsidR="00626208" w:rsidRPr="004676F5" w:rsidRDefault="00626208" w:rsidP="00626208">
      <w:pPr>
        <w:jc w:val="both"/>
        <w:rPr>
          <w:lang w:val="de-DE"/>
        </w:rPr>
      </w:pPr>
      <w:r w:rsidRPr="004676F5">
        <w:rPr>
          <w:lang w:val="de-DE"/>
        </w:rPr>
        <w:tab/>
        <w:t>In dieser Klausel müssen die Folgen dieser stillschweigenden Verlängerung, insbesondere die Bestimmung von § 2, das äußerste Datum, bis zu dem der Verbraucher sich der stillschweigenden Verlängerung des Vertrags widersetzen kann, und die Modalitäten, gemäß denen er seine Widersetzung notifizieren kann, angegeben werden.</w:t>
      </w:r>
    </w:p>
    <w:p w14:paraId="6053F691" w14:textId="77777777" w:rsidR="00626208" w:rsidRPr="004676F5" w:rsidRDefault="00626208" w:rsidP="00626208">
      <w:pPr>
        <w:jc w:val="both"/>
        <w:rPr>
          <w:lang w:val="de-DE"/>
        </w:rPr>
      </w:pPr>
    </w:p>
    <w:p w14:paraId="1026FD02" w14:textId="6F92A488"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 xml:space="preserve">Unbeschadet </w:t>
      </w:r>
      <w:r w:rsidR="00AE551D" w:rsidRPr="004676F5">
        <w:rPr>
          <w:lang w:val="de-DE"/>
        </w:rPr>
        <w:t xml:space="preserve">[des Gesetzes vom 4. April 2014 über die Versicherungen] </w:t>
      </w:r>
      <w:r w:rsidRPr="004676F5">
        <w:rPr>
          <w:lang w:val="de-DE"/>
        </w:rPr>
        <w:t>kann der Verbraucher nach der stillschweigenden Verlängerung eines befristeten Vertrags den Vertrag jederzeit unter Einhaltung der im Vertrag bestimmten Kündigungsfrist ohne Entschädigung kündigen, ohne dass diese Frist mehr als zwei Monate betragen darf.</w:t>
      </w:r>
    </w:p>
    <w:p w14:paraId="42C4F185" w14:textId="77777777" w:rsidR="00626208" w:rsidRPr="004676F5" w:rsidRDefault="00626208" w:rsidP="00626208">
      <w:pPr>
        <w:jc w:val="both"/>
        <w:rPr>
          <w:lang w:val="de-DE"/>
        </w:rPr>
      </w:pPr>
    </w:p>
    <w:p w14:paraId="18725336" w14:textId="2417D10A"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Sofern kein Gesetz Sonderregeln für die stillschweigende Verlängerung von Verträgen festlegt, kann der König für Dienstleistungen oder Kategorien von Dienstleistungen, die Er bestimmt, durch einen im Ministerrat beratenen Erlass:</w:t>
      </w:r>
    </w:p>
    <w:p w14:paraId="74EEF490" w14:textId="77777777" w:rsidR="00626208" w:rsidRPr="004676F5" w:rsidRDefault="00626208" w:rsidP="00626208">
      <w:pPr>
        <w:jc w:val="both"/>
        <w:rPr>
          <w:lang w:val="de-DE"/>
        </w:rPr>
      </w:pPr>
    </w:p>
    <w:p w14:paraId="0E293020" w14:textId="77777777" w:rsidR="00626208" w:rsidRPr="004676F5" w:rsidRDefault="00626208" w:rsidP="00626208">
      <w:pPr>
        <w:jc w:val="both"/>
        <w:rPr>
          <w:lang w:val="de-DE"/>
        </w:rPr>
      </w:pPr>
      <w:r w:rsidRPr="004676F5">
        <w:rPr>
          <w:lang w:val="de-DE"/>
        </w:rPr>
        <w:tab/>
        <w:t>1. besondere Modalitäten für die stillschweigende Verlängerung eines Vertrags festlegen,</w:t>
      </w:r>
    </w:p>
    <w:p w14:paraId="5D28002F" w14:textId="77777777" w:rsidR="00626208" w:rsidRPr="004676F5" w:rsidRDefault="00626208" w:rsidP="00626208">
      <w:pPr>
        <w:jc w:val="both"/>
        <w:rPr>
          <w:lang w:val="de-DE"/>
        </w:rPr>
      </w:pPr>
    </w:p>
    <w:p w14:paraId="629BECA1" w14:textId="77777777" w:rsidR="00626208" w:rsidRPr="004676F5" w:rsidRDefault="00626208" w:rsidP="00626208">
      <w:pPr>
        <w:jc w:val="both"/>
        <w:rPr>
          <w:lang w:val="de-DE"/>
        </w:rPr>
      </w:pPr>
      <w:r w:rsidRPr="004676F5">
        <w:rPr>
          <w:lang w:val="de-DE"/>
        </w:rPr>
        <w:tab/>
        <w:t>2. von den in den Paragraphen 1 und 2 erwähnten Verpflichtungen befreien.</w:t>
      </w:r>
    </w:p>
    <w:p w14:paraId="12D1C95D" w14:textId="77777777" w:rsidR="00626208" w:rsidRPr="004676F5" w:rsidRDefault="00626208" w:rsidP="00626208">
      <w:pPr>
        <w:jc w:val="both"/>
        <w:rPr>
          <w:lang w:val="de-DE"/>
        </w:rPr>
      </w:pPr>
    </w:p>
    <w:p w14:paraId="1526A557" w14:textId="6794AF47" w:rsidR="00626208" w:rsidRPr="004676F5" w:rsidRDefault="00626208" w:rsidP="00626208">
      <w:pPr>
        <w:jc w:val="both"/>
        <w:rPr>
          <w:lang w:val="de-DE"/>
        </w:rPr>
      </w:pPr>
      <w:r w:rsidRPr="004676F5">
        <w:rPr>
          <w:lang w:val="de-DE"/>
        </w:rPr>
        <w:tab/>
        <w:t>§ 4 </w:t>
      </w:r>
      <w:r w:rsidR="005B7A5C" w:rsidRPr="004676F5">
        <w:rPr>
          <w:lang w:val="de-DE"/>
        </w:rPr>
        <w:t>- </w:t>
      </w:r>
      <w:r w:rsidRPr="004676F5">
        <w:rPr>
          <w:lang w:val="de-DE"/>
        </w:rPr>
        <w:t>Der Anwendungsbereich des vorliegenden Kapitels kann vom König durch einen im Ministerrat beratenen Erlass auf bestimmte Kategorien von Waren, die Er bestimmt, ausgedehnt werden.</w:t>
      </w:r>
    </w:p>
    <w:p w14:paraId="7E47C5CC" w14:textId="227C23B0" w:rsidR="00AE551D" w:rsidRPr="004676F5" w:rsidRDefault="00AE551D" w:rsidP="00626208">
      <w:pPr>
        <w:jc w:val="both"/>
        <w:rPr>
          <w:lang w:val="de-DE"/>
        </w:rPr>
      </w:pPr>
    </w:p>
    <w:p w14:paraId="0F71E517" w14:textId="1CEFE61B" w:rsidR="00AE551D" w:rsidRPr="004676F5" w:rsidRDefault="00AE551D" w:rsidP="00626208">
      <w:pPr>
        <w:jc w:val="both"/>
        <w:rPr>
          <w:i/>
          <w:iCs/>
          <w:lang w:val="de-DE"/>
        </w:rPr>
      </w:pPr>
      <w:r w:rsidRPr="004676F5">
        <w:rPr>
          <w:i/>
          <w:iCs/>
          <w:lang w:val="de-DE"/>
        </w:rPr>
        <w:t>[Art. VI.91 § 2 abgeändert durch Art. 8</w:t>
      </w:r>
      <w:r w:rsidRPr="004676F5">
        <w:rPr>
          <w:i/>
          <w:lang w:val="de-DE"/>
        </w:rPr>
        <w:t xml:space="preserve"> des G. vom 30. Juli 2018 (II) (B.S. vom 5. September 2018)]</w:t>
      </w:r>
    </w:p>
    <w:p w14:paraId="7F165C7A" w14:textId="77777777" w:rsidR="00EB24A8" w:rsidRPr="004676F5" w:rsidRDefault="00EB24A8" w:rsidP="00626208">
      <w:pPr>
        <w:rPr>
          <w:lang w:val="de-DE"/>
        </w:rPr>
      </w:pPr>
    </w:p>
    <w:p w14:paraId="0857CE0D" w14:textId="77777777" w:rsidR="00EB24A8" w:rsidRPr="004676F5" w:rsidRDefault="00EB24A8" w:rsidP="00626208">
      <w:pPr>
        <w:rPr>
          <w:lang w:val="de-DE"/>
        </w:rPr>
      </w:pPr>
    </w:p>
    <w:p w14:paraId="2F17166F" w14:textId="77777777" w:rsidR="00EB24A8" w:rsidRPr="004676F5" w:rsidRDefault="00EB24A8">
      <w:pPr>
        <w:rPr>
          <w:lang w:val="de-DE"/>
        </w:rPr>
      </w:pPr>
      <w:r w:rsidRPr="004676F5">
        <w:rPr>
          <w:lang w:val="de-DE"/>
        </w:rPr>
        <w:br w:type="page"/>
      </w:r>
    </w:p>
    <w:p w14:paraId="284480F9" w14:textId="1E648C64" w:rsidR="00EB24A8" w:rsidRPr="004676F5" w:rsidRDefault="00EB24A8" w:rsidP="00EB24A8">
      <w:pPr>
        <w:jc w:val="center"/>
        <w:rPr>
          <w:lang w:val="de-DE"/>
        </w:rPr>
      </w:pPr>
      <w:r w:rsidRPr="004676F5">
        <w:rPr>
          <w:lang w:val="de-DE"/>
        </w:rPr>
        <w:lastRenderedPageBreak/>
        <w:t>[</w:t>
      </w:r>
      <w:r w:rsidRPr="004676F5">
        <w:rPr>
          <w:b/>
          <w:bCs/>
          <w:lang w:val="de-DE"/>
        </w:rPr>
        <w:t>TITEL 3/1</w:t>
      </w:r>
      <w:r w:rsidRPr="004676F5">
        <w:rPr>
          <w:lang w:val="de-DE"/>
        </w:rPr>
        <w:t> </w:t>
      </w:r>
      <w:r w:rsidR="005B7A5C" w:rsidRPr="004676F5">
        <w:rPr>
          <w:b/>
          <w:bCs/>
          <w:lang w:val="de-DE"/>
        </w:rPr>
        <w:t>- </w:t>
      </w:r>
      <w:r w:rsidRPr="004676F5">
        <w:rPr>
          <w:b/>
          <w:bCs/>
          <w:i/>
          <w:iCs/>
          <w:lang w:val="de-DE"/>
        </w:rPr>
        <w:t>Verträge zwischen Unternehmen</w:t>
      </w:r>
      <w:r w:rsidRPr="004676F5">
        <w:rPr>
          <w:lang w:val="de-DE"/>
        </w:rPr>
        <w:t>]</w:t>
      </w:r>
    </w:p>
    <w:p w14:paraId="1EF875BB" w14:textId="77777777" w:rsidR="00EB24A8" w:rsidRPr="004676F5" w:rsidRDefault="00EB24A8" w:rsidP="00EB24A8">
      <w:pPr>
        <w:jc w:val="center"/>
        <w:rPr>
          <w:lang w:val="de-DE"/>
        </w:rPr>
      </w:pPr>
    </w:p>
    <w:p w14:paraId="16E17D8F" w14:textId="092BA71E" w:rsidR="00EB24A8" w:rsidRPr="004676F5" w:rsidRDefault="00EB24A8" w:rsidP="00EB24A8">
      <w:pPr>
        <w:jc w:val="both"/>
        <w:rPr>
          <w:lang w:val="de-DE"/>
        </w:rPr>
      </w:pPr>
      <w:r w:rsidRPr="004676F5">
        <w:rPr>
          <w:i/>
          <w:iCs/>
          <w:lang w:val="de-DE"/>
        </w:rPr>
        <w:t>[Unterteilung Titel 3/1 eingefügt durch Art. 13 des G. vom 4. April 2019 (B.S. vom 24. Mai 2019)</w:t>
      </w:r>
      <w:r w:rsidRPr="004676F5">
        <w:rPr>
          <w:lang w:val="de-DE"/>
        </w:rPr>
        <w:t>]</w:t>
      </w:r>
    </w:p>
    <w:p w14:paraId="39CBD422" w14:textId="77777777" w:rsidR="00EB24A8" w:rsidRPr="004676F5" w:rsidRDefault="00EB24A8" w:rsidP="00EB24A8">
      <w:pPr>
        <w:jc w:val="both"/>
        <w:rPr>
          <w:lang w:val="de-DE"/>
        </w:rPr>
      </w:pPr>
    </w:p>
    <w:p w14:paraId="2323C6B3" w14:textId="77777777" w:rsidR="00EB24A8" w:rsidRPr="004676F5" w:rsidRDefault="00EB24A8" w:rsidP="00EB24A8">
      <w:pPr>
        <w:jc w:val="both"/>
        <w:rPr>
          <w:lang w:val="de-DE"/>
        </w:rPr>
      </w:pPr>
    </w:p>
    <w:p w14:paraId="022639E7" w14:textId="10EEDA7B" w:rsidR="00EB24A8" w:rsidRPr="004676F5" w:rsidRDefault="00EB24A8" w:rsidP="00EB24A8">
      <w:pPr>
        <w:jc w:val="both"/>
        <w:rPr>
          <w:lang w:val="de-DE"/>
        </w:rPr>
      </w:pPr>
      <w:r w:rsidRPr="004676F5">
        <w:rPr>
          <w:lang w:val="de-DE"/>
        </w:rPr>
        <w:tab/>
        <w:t>[</w:t>
      </w:r>
      <w:r w:rsidRPr="004676F5">
        <w:rPr>
          <w:b/>
          <w:bCs/>
          <w:lang w:val="de-DE"/>
        </w:rPr>
        <w:t>Art. VI.91/1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Vorliegender Titel ist nicht auf Finanzdienstleistungen anwendbar.</w:t>
      </w:r>
    </w:p>
    <w:p w14:paraId="0F8814DC" w14:textId="77777777" w:rsidR="00EB24A8" w:rsidRPr="004676F5" w:rsidRDefault="00EB24A8" w:rsidP="00EB24A8">
      <w:pPr>
        <w:jc w:val="both"/>
        <w:rPr>
          <w:lang w:val="de-DE"/>
        </w:rPr>
      </w:pPr>
    </w:p>
    <w:p w14:paraId="7294E967" w14:textId="77777777" w:rsidR="00EB24A8" w:rsidRPr="004676F5" w:rsidRDefault="00EB24A8" w:rsidP="00EB24A8">
      <w:pPr>
        <w:jc w:val="both"/>
        <w:rPr>
          <w:lang w:val="de-DE"/>
        </w:rPr>
      </w:pPr>
      <w:r w:rsidRPr="004676F5">
        <w:rPr>
          <w:lang w:val="de-DE"/>
        </w:rPr>
        <w:tab/>
        <w:t>Durch einen im Ministerrat beratenen Königlichen Erlass und auf Stellungnahme der Belgischen Nationalbank und der FSMA kann der König bestimmte Bestimmungen des vorliegenden Titels auf Finanzdienstleistungen, die Er bestimmt, für anwendbar erklären.</w:t>
      </w:r>
    </w:p>
    <w:p w14:paraId="55CB0F13" w14:textId="77777777" w:rsidR="00EB24A8" w:rsidRPr="004676F5" w:rsidRDefault="00EB24A8" w:rsidP="00EB24A8">
      <w:pPr>
        <w:jc w:val="both"/>
        <w:rPr>
          <w:lang w:val="de-DE"/>
        </w:rPr>
      </w:pPr>
    </w:p>
    <w:p w14:paraId="6A0E3314" w14:textId="5C4881CF" w:rsidR="00EB24A8" w:rsidRPr="004676F5" w:rsidRDefault="00EB24A8" w:rsidP="00EB24A8">
      <w:pPr>
        <w:jc w:val="both"/>
        <w:rPr>
          <w:lang w:val="de-DE"/>
        </w:rPr>
      </w:pPr>
      <w:r w:rsidRPr="004676F5">
        <w:rPr>
          <w:lang w:val="de-DE"/>
        </w:rPr>
        <w:tab/>
        <w:t>§ 2 </w:t>
      </w:r>
      <w:r w:rsidR="005B7A5C" w:rsidRPr="004676F5">
        <w:rPr>
          <w:lang w:val="de-DE"/>
        </w:rPr>
        <w:t>- </w:t>
      </w:r>
      <w:r w:rsidRPr="004676F5">
        <w:rPr>
          <w:lang w:val="de-DE"/>
        </w:rPr>
        <w:t>Vorliegender Titel ist nicht auf öffentliche Aufträge und sich daraus ergebende Verträge anwendbar.</w:t>
      </w:r>
    </w:p>
    <w:p w14:paraId="3DCA64AD" w14:textId="77777777" w:rsidR="00EB24A8" w:rsidRPr="004676F5" w:rsidRDefault="00EB24A8" w:rsidP="00EB24A8">
      <w:pPr>
        <w:jc w:val="both"/>
        <w:rPr>
          <w:lang w:val="de-DE"/>
        </w:rPr>
      </w:pPr>
    </w:p>
    <w:p w14:paraId="18851598" w14:textId="2173E2ED" w:rsidR="00EB24A8" w:rsidRPr="004676F5" w:rsidRDefault="00EB24A8" w:rsidP="00EB24A8">
      <w:pPr>
        <w:jc w:val="both"/>
        <w:rPr>
          <w:lang w:val="de-DE"/>
        </w:rPr>
      </w:pPr>
      <w:r w:rsidRPr="004676F5">
        <w:rPr>
          <w:lang w:val="de-DE"/>
        </w:rPr>
        <w:tab/>
        <w:t>Durch einen im Ministerrat beratenen Königlichen Erlass kann der König bestimmte Bestimmungen des vorliegenden Titels auf öffentliche Aufträge und sich daraus ergebende Verträge, die Er bestimmt, für anwendbar erklären.]</w:t>
      </w:r>
    </w:p>
    <w:p w14:paraId="47B11CE9" w14:textId="77777777" w:rsidR="00E27355" w:rsidRPr="004676F5" w:rsidRDefault="00E27355" w:rsidP="00EB24A8">
      <w:pPr>
        <w:jc w:val="both"/>
        <w:rPr>
          <w:lang w:val="de-DE"/>
        </w:rPr>
      </w:pPr>
    </w:p>
    <w:p w14:paraId="026C354D" w14:textId="261BFDF2" w:rsidR="00E27355" w:rsidRPr="004676F5" w:rsidRDefault="00E27355" w:rsidP="00EB24A8">
      <w:pPr>
        <w:jc w:val="both"/>
        <w:rPr>
          <w:lang w:val="de-DE"/>
        </w:rPr>
      </w:pPr>
      <w:r w:rsidRPr="004676F5">
        <w:rPr>
          <w:lang w:val="de-DE"/>
        </w:rPr>
        <w:tab/>
        <w:t>[§ 3 - Vorliegender Titel gilt ebenfalls für Verträge zwischen einem Unternehmen und einer in Artikel 3.86 des Zivilgesetzbuches erwähnten Miteigentümervereinigung eines Gebäudes oder einer Gebäudegruppe in Zwangseigentum, bei der mehr als 25 Prozent der Anteile an ihren gemeinsamen Teilen auf Lose entfallen, denen gemäß der Miteigentumssatzung eine berufliche Nutzung zukommen kann.]</w:t>
      </w:r>
    </w:p>
    <w:p w14:paraId="1464FD8B" w14:textId="77777777" w:rsidR="00EB24A8" w:rsidRPr="004676F5" w:rsidRDefault="00EB24A8" w:rsidP="00EB24A8">
      <w:pPr>
        <w:jc w:val="both"/>
        <w:rPr>
          <w:lang w:val="de-DE"/>
        </w:rPr>
      </w:pPr>
    </w:p>
    <w:p w14:paraId="44E858DB" w14:textId="34694487" w:rsidR="00EB24A8" w:rsidRPr="004676F5" w:rsidRDefault="00EB24A8" w:rsidP="00EB24A8">
      <w:pPr>
        <w:jc w:val="both"/>
        <w:rPr>
          <w:i/>
          <w:iCs/>
          <w:lang w:val="de-DE"/>
        </w:rPr>
      </w:pPr>
      <w:r w:rsidRPr="004676F5">
        <w:rPr>
          <w:i/>
          <w:iCs/>
          <w:lang w:val="de-DE"/>
        </w:rPr>
        <w:t>[Art. VI.91/1 eingefügt durch Art. 14 des G. vom 4. April 2019 (B.S. vom 24. Mai 2019)</w:t>
      </w:r>
      <w:r w:rsidR="00E27355" w:rsidRPr="004676F5">
        <w:rPr>
          <w:i/>
          <w:iCs/>
          <w:lang w:val="de-DE"/>
        </w:rPr>
        <w:t>; § 3 eingefügt durch Art. 22 des G. vom 9. Februar 2024 (B.S. vom 21. März 2024)</w:t>
      </w:r>
      <w:r w:rsidRPr="004676F5">
        <w:rPr>
          <w:i/>
          <w:iCs/>
          <w:lang w:val="de-DE"/>
        </w:rPr>
        <w:t>]</w:t>
      </w:r>
    </w:p>
    <w:p w14:paraId="5EF1C56C" w14:textId="77777777" w:rsidR="00EB24A8" w:rsidRPr="004676F5" w:rsidRDefault="00EB24A8" w:rsidP="00EB24A8">
      <w:pPr>
        <w:jc w:val="both"/>
        <w:rPr>
          <w:lang w:val="de-DE"/>
        </w:rPr>
      </w:pPr>
    </w:p>
    <w:p w14:paraId="4C4A3923" w14:textId="77777777" w:rsidR="00EB24A8" w:rsidRPr="004676F5" w:rsidRDefault="00EB24A8" w:rsidP="00EB24A8">
      <w:pPr>
        <w:jc w:val="both"/>
        <w:rPr>
          <w:lang w:val="de-DE"/>
        </w:rPr>
      </w:pPr>
    </w:p>
    <w:p w14:paraId="2C6AF340" w14:textId="38485D0C" w:rsidR="00EB24A8" w:rsidRPr="004676F5" w:rsidRDefault="00EB24A8" w:rsidP="00EB24A8">
      <w:pPr>
        <w:jc w:val="both"/>
        <w:rPr>
          <w:lang w:val="de-DE"/>
        </w:rPr>
      </w:pPr>
      <w:r w:rsidRPr="004676F5">
        <w:rPr>
          <w:lang w:val="de-DE"/>
        </w:rPr>
        <w:tab/>
        <w:t>[</w:t>
      </w:r>
      <w:r w:rsidRPr="004676F5">
        <w:rPr>
          <w:b/>
          <w:bCs/>
          <w:lang w:val="de-DE"/>
        </w:rPr>
        <w:t>Art. VI.91/2</w:t>
      </w:r>
      <w:r w:rsidRPr="004676F5">
        <w:rPr>
          <w:lang w:val="de-DE"/>
        </w:rPr>
        <w:t> </w:t>
      </w:r>
      <w:r w:rsidR="005B7A5C" w:rsidRPr="004676F5">
        <w:rPr>
          <w:lang w:val="de-DE"/>
        </w:rPr>
        <w:t>- </w:t>
      </w:r>
      <w:r w:rsidRPr="004676F5">
        <w:rPr>
          <w:lang w:val="de-DE"/>
        </w:rPr>
        <w:t>Sind alle oder einige Klauseln eines Vertrags schriftlich niedergelegt, so müssen sie klar und verständlich abgefasst sein.</w:t>
      </w:r>
    </w:p>
    <w:p w14:paraId="1E02B34C" w14:textId="53F128F5" w:rsidR="00EB24A8" w:rsidRPr="004676F5" w:rsidRDefault="00EB24A8" w:rsidP="00EB24A8">
      <w:pPr>
        <w:jc w:val="both"/>
        <w:rPr>
          <w:lang w:val="de-DE"/>
        </w:rPr>
      </w:pPr>
      <w:r w:rsidRPr="004676F5">
        <w:rPr>
          <w:lang w:val="de-DE"/>
        </w:rPr>
        <w:br/>
      </w:r>
      <w:r w:rsidRPr="004676F5">
        <w:rPr>
          <w:lang w:val="de-DE"/>
        </w:rPr>
        <w:tab/>
        <w:t>Ein Vertrag kann unter anderem aufgrund der Marktpraktiken, die unmittelbar damit zusammenhängen, ausgelegt werden.]</w:t>
      </w:r>
    </w:p>
    <w:p w14:paraId="25AAC2E6" w14:textId="77777777" w:rsidR="00EB24A8" w:rsidRPr="004676F5" w:rsidRDefault="00EB24A8" w:rsidP="00EB24A8">
      <w:pPr>
        <w:jc w:val="both"/>
        <w:rPr>
          <w:lang w:val="de-DE"/>
        </w:rPr>
      </w:pPr>
    </w:p>
    <w:p w14:paraId="63F8CD58" w14:textId="7A310EF9" w:rsidR="00EB24A8" w:rsidRPr="004676F5" w:rsidRDefault="00EB24A8" w:rsidP="00EB24A8">
      <w:pPr>
        <w:jc w:val="both"/>
        <w:rPr>
          <w:i/>
          <w:iCs/>
          <w:lang w:val="de-DE"/>
        </w:rPr>
      </w:pPr>
      <w:r w:rsidRPr="004676F5">
        <w:rPr>
          <w:i/>
          <w:iCs/>
          <w:lang w:val="de-DE"/>
        </w:rPr>
        <w:t>[Art. VI.91/2 eingefügt durch Art. 15 des G. vom 4. April 2019 (B.S. vom 24. Mai 2019)]</w:t>
      </w:r>
    </w:p>
    <w:p w14:paraId="5E29B237" w14:textId="77777777" w:rsidR="00EB24A8" w:rsidRPr="004676F5" w:rsidRDefault="00EB24A8" w:rsidP="00EB24A8">
      <w:pPr>
        <w:jc w:val="both"/>
        <w:rPr>
          <w:lang w:val="de-DE"/>
        </w:rPr>
      </w:pPr>
    </w:p>
    <w:p w14:paraId="68A5244D" w14:textId="77777777" w:rsidR="00EB24A8" w:rsidRPr="004676F5" w:rsidRDefault="00EB24A8" w:rsidP="00EB24A8">
      <w:pPr>
        <w:jc w:val="both"/>
        <w:rPr>
          <w:lang w:val="de-DE"/>
        </w:rPr>
      </w:pPr>
    </w:p>
    <w:p w14:paraId="026CA89C" w14:textId="6141E813" w:rsidR="00EB24A8" w:rsidRPr="004676F5" w:rsidRDefault="00630D85" w:rsidP="00EB24A8">
      <w:pPr>
        <w:jc w:val="both"/>
        <w:rPr>
          <w:lang w:val="de-DE"/>
        </w:rPr>
      </w:pPr>
      <w:r w:rsidRPr="004676F5">
        <w:rPr>
          <w:lang w:val="de-DE"/>
        </w:rPr>
        <w:tab/>
        <w:t>[</w:t>
      </w:r>
      <w:r w:rsidR="00EB24A8" w:rsidRPr="004676F5">
        <w:rPr>
          <w:b/>
          <w:bCs/>
          <w:lang w:val="de-DE"/>
        </w:rPr>
        <w:t>Art. VI.91/3</w:t>
      </w:r>
      <w:r w:rsidR="00EB24A8" w:rsidRPr="004676F5">
        <w:rPr>
          <w:lang w:val="de-DE"/>
        </w:rPr>
        <w:t> </w:t>
      </w:r>
      <w:r w:rsidR="005B7A5C" w:rsidRPr="004676F5">
        <w:rPr>
          <w:lang w:val="de-DE"/>
        </w:rPr>
        <w:t>- </w:t>
      </w:r>
      <w:r w:rsidR="00EB24A8" w:rsidRPr="004676F5">
        <w:rPr>
          <w:lang w:val="de-DE"/>
        </w:rPr>
        <w:t>§ 1 </w:t>
      </w:r>
      <w:r w:rsidR="005B7A5C" w:rsidRPr="004676F5">
        <w:rPr>
          <w:lang w:val="de-DE"/>
        </w:rPr>
        <w:t>- </w:t>
      </w:r>
      <w:r w:rsidR="00EB24A8" w:rsidRPr="004676F5">
        <w:rPr>
          <w:lang w:val="de-DE"/>
        </w:rPr>
        <w:t>Für die Anwendung des vorliegenden Titels sind Klauseln in Verträgen zwischen Unternehmen missbräuchlich, wenn sie für sich allein oder in Verbindung mit einer oder mehreren anderen Klauseln ein offensichtliches Ungleichgewicht zwischen den Rechten und Verpflichtungen der Parteien bewirken.</w:t>
      </w:r>
    </w:p>
    <w:p w14:paraId="1D8D2538" w14:textId="62EE0A12" w:rsidR="00EB24A8" w:rsidRPr="004676F5" w:rsidRDefault="00EB24A8" w:rsidP="00EB24A8">
      <w:pPr>
        <w:jc w:val="both"/>
        <w:rPr>
          <w:lang w:val="de-DE"/>
        </w:rPr>
      </w:pPr>
      <w:r w:rsidRPr="004676F5">
        <w:rPr>
          <w:lang w:val="de-DE"/>
        </w:rPr>
        <w:br/>
      </w:r>
      <w:r w:rsidRPr="004676F5">
        <w:rPr>
          <w:lang w:val="de-DE"/>
        </w:rPr>
        <w:tab/>
        <w:t>§ 2 </w:t>
      </w:r>
      <w:r w:rsidR="005B7A5C" w:rsidRPr="004676F5">
        <w:rPr>
          <w:lang w:val="de-DE"/>
        </w:rPr>
        <w:t>- </w:t>
      </w:r>
      <w:r w:rsidRPr="004676F5">
        <w:rPr>
          <w:lang w:val="de-DE"/>
        </w:rPr>
        <w:t>Die Missbräuchlichkeit einer Vertragsklausel wird unter Einbeziehung aller den Vertragsabschluss begleitenden Umstände, der allgemeinen wirtschaftlichen Grundlage des Vertrags, der anwendbaren Handelsbräuche und aller anderen Klauseln desselben Vertrags oder eines anderen Vertrags, von dem er abhängt, zum Zeitpunkt des Vertragsabschlusses beurteilt unter Berücksichtigung der Art der Produkte, auf die der Vertrag sich bezieht.</w:t>
      </w:r>
    </w:p>
    <w:p w14:paraId="4AD996D3" w14:textId="77777777" w:rsidR="00EB24A8" w:rsidRPr="004676F5" w:rsidRDefault="00EB24A8" w:rsidP="00EB24A8">
      <w:pPr>
        <w:jc w:val="both"/>
        <w:rPr>
          <w:lang w:val="de-DE"/>
        </w:rPr>
      </w:pPr>
      <w:r w:rsidRPr="004676F5">
        <w:rPr>
          <w:lang w:val="de-DE"/>
        </w:rPr>
        <w:br/>
      </w:r>
      <w:r w:rsidRPr="004676F5">
        <w:rPr>
          <w:lang w:val="de-DE"/>
        </w:rPr>
        <w:tab/>
        <w:t>Zur Beurteilung der Missbräuchlichkeit wird ebenfalls die in Artikel VI.91/2 Absatz 1 erwähnte Anforderung der Klarheit und Verständlichkeit der Klausel berücksichtigt.</w:t>
      </w:r>
    </w:p>
    <w:p w14:paraId="187C0BC6" w14:textId="1A56A4F9" w:rsidR="00EB24A8" w:rsidRPr="004676F5" w:rsidRDefault="00EB24A8" w:rsidP="00EB24A8">
      <w:pPr>
        <w:jc w:val="both"/>
        <w:rPr>
          <w:lang w:val="de-DE"/>
        </w:rPr>
      </w:pPr>
      <w:r w:rsidRPr="004676F5">
        <w:rPr>
          <w:lang w:val="de-DE"/>
        </w:rPr>
        <w:lastRenderedPageBreak/>
        <w:br/>
      </w:r>
      <w:r w:rsidRPr="004676F5">
        <w:rPr>
          <w:lang w:val="de-DE"/>
        </w:rPr>
        <w:tab/>
        <w:t>Die Beurteilung der Missbräuchlichkeit der Klauseln betrifft weder den Hauptgegenstand des Vertrags noch die Angemessenheit zwischen Preis beziehungsweise Entgelt und Produkten, die die Gegenleistung darstellen, sofern diese Klauseln klar und verständlich abgefasst sind.</w:t>
      </w:r>
      <w:r w:rsidR="00630D85" w:rsidRPr="004676F5">
        <w:rPr>
          <w:lang w:val="de-DE"/>
        </w:rPr>
        <w:t>]</w:t>
      </w:r>
    </w:p>
    <w:p w14:paraId="6E5ACA48" w14:textId="77777777" w:rsidR="00630D85" w:rsidRPr="004676F5" w:rsidRDefault="00630D85" w:rsidP="00EB24A8">
      <w:pPr>
        <w:jc w:val="both"/>
        <w:rPr>
          <w:lang w:val="de-DE"/>
        </w:rPr>
      </w:pPr>
    </w:p>
    <w:p w14:paraId="5BAF78CA" w14:textId="635DDB04" w:rsidR="00630D85" w:rsidRPr="004676F5" w:rsidRDefault="00630D85" w:rsidP="00630D85">
      <w:pPr>
        <w:jc w:val="both"/>
        <w:rPr>
          <w:i/>
          <w:iCs/>
          <w:lang w:val="de-DE"/>
        </w:rPr>
      </w:pPr>
      <w:r w:rsidRPr="004676F5">
        <w:rPr>
          <w:i/>
          <w:iCs/>
          <w:lang w:val="de-DE"/>
        </w:rPr>
        <w:t>[Art. VI.91/3 eingefügt durch Art. 16 des G. vom 4. April 2019 (B.S. vom 24. Mai 2019)]</w:t>
      </w:r>
    </w:p>
    <w:p w14:paraId="59FAFBA3" w14:textId="77777777" w:rsidR="00630D85" w:rsidRPr="004676F5" w:rsidRDefault="00630D85" w:rsidP="00EB24A8">
      <w:pPr>
        <w:jc w:val="both"/>
        <w:rPr>
          <w:lang w:val="de-DE"/>
        </w:rPr>
      </w:pPr>
    </w:p>
    <w:p w14:paraId="69DC6CB7" w14:textId="77777777" w:rsidR="00EB24A8" w:rsidRPr="004676F5" w:rsidRDefault="00EB24A8" w:rsidP="00EB24A8">
      <w:pPr>
        <w:jc w:val="both"/>
        <w:rPr>
          <w:lang w:val="de-DE"/>
        </w:rPr>
      </w:pPr>
    </w:p>
    <w:p w14:paraId="63AE75A5" w14:textId="21CDAE83" w:rsidR="00EB24A8" w:rsidRPr="004676F5" w:rsidRDefault="00630D85" w:rsidP="00EB24A8">
      <w:pPr>
        <w:jc w:val="both"/>
        <w:rPr>
          <w:lang w:val="de-DE"/>
        </w:rPr>
      </w:pPr>
      <w:r w:rsidRPr="004676F5">
        <w:rPr>
          <w:b/>
          <w:bCs/>
          <w:lang w:val="de-DE"/>
        </w:rPr>
        <w:tab/>
      </w:r>
      <w:r w:rsidRPr="004676F5">
        <w:rPr>
          <w:lang w:val="de-DE"/>
        </w:rPr>
        <w:t>[</w:t>
      </w:r>
      <w:r w:rsidR="00EB24A8" w:rsidRPr="004676F5">
        <w:rPr>
          <w:b/>
          <w:bCs/>
          <w:lang w:val="de-DE"/>
        </w:rPr>
        <w:t>Art. VI.91/4</w:t>
      </w:r>
      <w:r w:rsidR="00EB24A8" w:rsidRPr="004676F5">
        <w:rPr>
          <w:lang w:val="de-DE"/>
        </w:rPr>
        <w:t> </w:t>
      </w:r>
      <w:r w:rsidR="005B7A5C" w:rsidRPr="004676F5">
        <w:rPr>
          <w:lang w:val="de-DE"/>
        </w:rPr>
        <w:t>- </w:t>
      </w:r>
      <w:r w:rsidR="00EB24A8" w:rsidRPr="004676F5">
        <w:rPr>
          <w:lang w:val="de-DE"/>
        </w:rPr>
        <w:t>Missbräuchlich sind Klauseln, die darauf abzielen:</w:t>
      </w:r>
    </w:p>
    <w:p w14:paraId="36E42A5C" w14:textId="77777777" w:rsidR="00EB24A8" w:rsidRPr="004676F5" w:rsidRDefault="00EB24A8" w:rsidP="00EB24A8">
      <w:pPr>
        <w:jc w:val="both"/>
        <w:rPr>
          <w:lang w:val="de-DE"/>
        </w:rPr>
      </w:pPr>
      <w:r w:rsidRPr="004676F5">
        <w:rPr>
          <w:lang w:val="de-DE"/>
        </w:rPr>
        <w:br/>
      </w:r>
      <w:r w:rsidRPr="004676F5">
        <w:rPr>
          <w:lang w:val="de-DE"/>
        </w:rPr>
        <w:tab/>
        <w:t>1. eine unwiderrufliche Verpflichtung der anderen Partei vorzusehen, während die Erbringung der Leistungen des Unternehmens an eine Bedingung geknüpft ist, deren Eintritt nur von diesem Unternehmen abhängt,</w:t>
      </w:r>
    </w:p>
    <w:p w14:paraId="6A39E914" w14:textId="77777777" w:rsidR="00EB24A8" w:rsidRPr="004676F5" w:rsidRDefault="00EB24A8" w:rsidP="00EB24A8">
      <w:pPr>
        <w:jc w:val="both"/>
        <w:rPr>
          <w:lang w:val="de-DE"/>
        </w:rPr>
      </w:pPr>
      <w:r w:rsidRPr="004676F5">
        <w:rPr>
          <w:lang w:val="de-DE"/>
        </w:rPr>
        <w:br/>
      </w:r>
      <w:r w:rsidRPr="004676F5">
        <w:rPr>
          <w:lang w:val="de-DE"/>
        </w:rPr>
        <w:tab/>
        <w:t>2. dem Unternehmen das einseitige Recht zuzugestehen, die Auslegung einer Vertragsklausel vorzunehmen,</w:t>
      </w:r>
    </w:p>
    <w:p w14:paraId="4AAFA66A" w14:textId="77777777" w:rsidR="00EB24A8" w:rsidRPr="004676F5" w:rsidRDefault="00EB24A8" w:rsidP="00EB24A8">
      <w:pPr>
        <w:jc w:val="both"/>
        <w:rPr>
          <w:lang w:val="de-DE"/>
        </w:rPr>
      </w:pPr>
      <w:r w:rsidRPr="004676F5">
        <w:rPr>
          <w:lang w:val="de-DE"/>
        </w:rPr>
        <w:br/>
      </w:r>
      <w:r w:rsidRPr="004676F5">
        <w:rPr>
          <w:lang w:val="de-DE"/>
        </w:rPr>
        <w:tab/>
        <w:t>3. im Streitfall die andere Partei davon abzuhalten, irgendein Rechtsmittel gegen das Unternehmen einzulegen,</w:t>
      </w:r>
    </w:p>
    <w:p w14:paraId="4F901DE7" w14:textId="570BA9ED" w:rsidR="00EB24A8" w:rsidRPr="004676F5" w:rsidRDefault="00EB24A8" w:rsidP="00EB24A8">
      <w:pPr>
        <w:jc w:val="both"/>
        <w:rPr>
          <w:lang w:val="de-DE"/>
        </w:rPr>
      </w:pPr>
      <w:r w:rsidRPr="004676F5">
        <w:rPr>
          <w:lang w:val="de-DE"/>
        </w:rPr>
        <w:br/>
      </w:r>
      <w:r w:rsidRPr="004676F5">
        <w:rPr>
          <w:lang w:val="de-DE"/>
        </w:rPr>
        <w:tab/>
        <w:t>4. unwiderlegbar die Kenntnis oder die Annahme durch die andere Partei von Klauseln festzustellen, von denen diese vor Vertragsabschluss nicht tatsächlich Kenntnis nehmen konnte.</w:t>
      </w:r>
      <w:r w:rsidR="00630D85" w:rsidRPr="004676F5">
        <w:rPr>
          <w:lang w:val="de-DE"/>
        </w:rPr>
        <w:t>]</w:t>
      </w:r>
    </w:p>
    <w:p w14:paraId="382EF850" w14:textId="77777777" w:rsidR="00630D85" w:rsidRPr="004676F5" w:rsidRDefault="00630D85" w:rsidP="00EB24A8">
      <w:pPr>
        <w:jc w:val="both"/>
        <w:rPr>
          <w:lang w:val="de-DE"/>
        </w:rPr>
      </w:pPr>
    </w:p>
    <w:p w14:paraId="324EE666" w14:textId="7EE78DF6" w:rsidR="00630D85" w:rsidRPr="004676F5" w:rsidRDefault="00630D85" w:rsidP="00630D85">
      <w:pPr>
        <w:jc w:val="both"/>
        <w:rPr>
          <w:i/>
          <w:iCs/>
          <w:lang w:val="de-DE"/>
        </w:rPr>
      </w:pPr>
      <w:r w:rsidRPr="004676F5">
        <w:rPr>
          <w:i/>
          <w:iCs/>
          <w:lang w:val="de-DE"/>
        </w:rPr>
        <w:t>[Art. VI.91/4 eingefügt durch Art. 17 des G. vom 4. April 2019 (B.S. vom 24. Mai 2019)]</w:t>
      </w:r>
    </w:p>
    <w:p w14:paraId="564F46FA" w14:textId="77777777" w:rsidR="00630D85" w:rsidRPr="004676F5" w:rsidRDefault="00630D85" w:rsidP="00EB24A8">
      <w:pPr>
        <w:jc w:val="both"/>
        <w:rPr>
          <w:lang w:val="de-DE"/>
        </w:rPr>
      </w:pPr>
    </w:p>
    <w:p w14:paraId="3F0F1BFB" w14:textId="7AC1416D" w:rsidR="00EB24A8" w:rsidRPr="004676F5" w:rsidRDefault="00EB24A8" w:rsidP="00EB24A8">
      <w:pPr>
        <w:jc w:val="both"/>
        <w:rPr>
          <w:lang w:val="de-DE"/>
        </w:rPr>
      </w:pPr>
      <w:r w:rsidRPr="004676F5">
        <w:rPr>
          <w:lang w:val="de-DE"/>
        </w:rPr>
        <w:br/>
      </w:r>
      <w:r w:rsidRPr="004676F5">
        <w:rPr>
          <w:lang w:val="de-DE"/>
        </w:rPr>
        <w:tab/>
      </w:r>
      <w:r w:rsidR="00630D85" w:rsidRPr="004676F5">
        <w:rPr>
          <w:lang w:val="de-DE"/>
        </w:rPr>
        <w:t>[</w:t>
      </w:r>
      <w:r w:rsidRPr="004676F5">
        <w:rPr>
          <w:b/>
          <w:bCs/>
          <w:lang w:val="de-DE"/>
        </w:rPr>
        <w:t>Art. VI.91/5</w:t>
      </w:r>
      <w:r w:rsidRPr="004676F5">
        <w:rPr>
          <w:lang w:val="de-DE"/>
        </w:rPr>
        <w:t> </w:t>
      </w:r>
      <w:r w:rsidR="005B7A5C" w:rsidRPr="004676F5">
        <w:rPr>
          <w:lang w:val="de-DE"/>
        </w:rPr>
        <w:t>- </w:t>
      </w:r>
      <w:r w:rsidRPr="004676F5">
        <w:rPr>
          <w:lang w:val="de-DE"/>
        </w:rPr>
        <w:t>Vorbehaltlich des Gegenbeweises sind Klauseln missbräuchlich, die darauf abzielen:</w:t>
      </w:r>
    </w:p>
    <w:p w14:paraId="41B14340" w14:textId="77777777" w:rsidR="00EB24A8" w:rsidRPr="004676F5" w:rsidRDefault="00EB24A8" w:rsidP="00EB24A8">
      <w:pPr>
        <w:jc w:val="both"/>
        <w:rPr>
          <w:lang w:val="de-DE"/>
        </w:rPr>
      </w:pPr>
      <w:r w:rsidRPr="004676F5">
        <w:rPr>
          <w:lang w:val="de-DE"/>
        </w:rPr>
        <w:br/>
      </w:r>
      <w:r w:rsidRPr="004676F5">
        <w:rPr>
          <w:lang w:val="de-DE"/>
        </w:rPr>
        <w:tab/>
        <w:t>1. dem Unternehmen zu erlauben, einseitig ohne triftigen Grund Preis, Merkmale oder Bedingungen des Vertrags zu ändern,</w:t>
      </w:r>
    </w:p>
    <w:p w14:paraId="486DCAA3" w14:textId="77777777" w:rsidR="00EB24A8" w:rsidRPr="004676F5" w:rsidRDefault="00EB24A8" w:rsidP="00EB24A8">
      <w:pPr>
        <w:jc w:val="both"/>
        <w:rPr>
          <w:lang w:val="de-DE"/>
        </w:rPr>
      </w:pPr>
      <w:r w:rsidRPr="004676F5">
        <w:rPr>
          <w:lang w:val="de-DE"/>
        </w:rPr>
        <w:br/>
      </w:r>
      <w:r w:rsidRPr="004676F5">
        <w:rPr>
          <w:lang w:val="de-DE"/>
        </w:rPr>
        <w:tab/>
        <w:t>2. einen befristeten Vertrag ohne Angabe einer angemessenen Kündigungsfrist stillschweigend zu verlängern oder zu erneuern,</w:t>
      </w:r>
    </w:p>
    <w:p w14:paraId="3703A7A2" w14:textId="77777777" w:rsidR="00EB24A8" w:rsidRPr="004676F5" w:rsidRDefault="00EB24A8" w:rsidP="00EB24A8">
      <w:pPr>
        <w:jc w:val="both"/>
        <w:rPr>
          <w:lang w:val="de-DE"/>
        </w:rPr>
      </w:pPr>
      <w:r w:rsidRPr="004676F5">
        <w:rPr>
          <w:lang w:val="de-DE"/>
        </w:rPr>
        <w:br/>
      </w:r>
      <w:r w:rsidRPr="004676F5">
        <w:rPr>
          <w:lang w:val="de-DE"/>
        </w:rPr>
        <w:tab/>
        <w:t>3. ohne Gegenleistung das wirtschaftliche Risiko auf eine Partei abzuwälzen, obwohl es normalerweise von dem anderen Unternehmen oder einer anderen Vertragspartei getragen würde,</w:t>
      </w:r>
    </w:p>
    <w:p w14:paraId="2242B238" w14:textId="77777777" w:rsidR="00EB24A8" w:rsidRPr="004676F5" w:rsidRDefault="00EB24A8" w:rsidP="00EB24A8">
      <w:pPr>
        <w:jc w:val="both"/>
        <w:rPr>
          <w:lang w:val="de-DE"/>
        </w:rPr>
      </w:pPr>
      <w:r w:rsidRPr="004676F5">
        <w:rPr>
          <w:lang w:val="de-DE"/>
        </w:rPr>
        <w:br/>
      </w:r>
      <w:r w:rsidRPr="004676F5">
        <w:rPr>
          <w:lang w:val="de-DE"/>
        </w:rPr>
        <w:tab/>
        <w:t>4. die gesetzlichen Ansprüche einer Partei ungebührlich auszuschließen oder einzuschränken, wenn das andere Unternehmen eine der vertraglichen Verpflichtungen ganz oder teilweise nicht erfüllt oder mangelhaft erfüllt,</w:t>
      </w:r>
    </w:p>
    <w:p w14:paraId="73BBC2F1" w14:textId="43799016" w:rsidR="00EB24A8" w:rsidRPr="004676F5" w:rsidRDefault="00EB24A8" w:rsidP="00EB24A8">
      <w:pPr>
        <w:jc w:val="both"/>
        <w:rPr>
          <w:lang w:val="de-DE"/>
        </w:rPr>
      </w:pPr>
      <w:r w:rsidRPr="004676F5">
        <w:rPr>
          <w:lang w:val="de-DE"/>
        </w:rPr>
        <w:br/>
      </w:r>
      <w:r w:rsidRPr="004676F5">
        <w:rPr>
          <w:lang w:val="de-DE"/>
        </w:rPr>
        <w:tab/>
        <w:t xml:space="preserve">5. unbeschadet </w:t>
      </w:r>
      <w:r w:rsidR="008C2036" w:rsidRPr="004676F5">
        <w:rPr>
          <w:lang w:val="de-DE"/>
        </w:rPr>
        <w:t>[der Artikel 5.90 bis 5.96]</w:t>
      </w:r>
      <w:r w:rsidRPr="004676F5">
        <w:rPr>
          <w:lang w:val="de-DE"/>
        </w:rPr>
        <w:t xml:space="preserve"> des Zivilgesetzbuches die Parteien ohne Angabe einer angemessenen Kündigungsfrist zu verpflichten,</w:t>
      </w:r>
    </w:p>
    <w:p w14:paraId="05328506" w14:textId="77777777" w:rsidR="00EB24A8" w:rsidRPr="004676F5" w:rsidRDefault="00EB24A8" w:rsidP="00EB24A8">
      <w:pPr>
        <w:jc w:val="both"/>
        <w:rPr>
          <w:lang w:val="de-DE"/>
        </w:rPr>
      </w:pPr>
      <w:r w:rsidRPr="004676F5">
        <w:rPr>
          <w:lang w:val="de-DE"/>
        </w:rPr>
        <w:br/>
      </w:r>
      <w:r w:rsidRPr="004676F5">
        <w:rPr>
          <w:lang w:val="de-DE"/>
        </w:rPr>
        <w:tab/>
        <w:t>6. das Unternehmen von seiner Haftung zu befreien bei arglistiger Täuschung oder schwerwiegendem Fehler seinerseits oder seitens seiner Angestellten oder, außer in Fällen höherer Gewalt, bei Nichterfüllung der wesentlichen Verpflichtungen aus dem Vertrag,</w:t>
      </w:r>
    </w:p>
    <w:p w14:paraId="7E25F930" w14:textId="77777777" w:rsidR="00EB24A8" w:rsidRPr="004676F5" w:rsidRDefault="00EB24A8" w:rsidP="00EB24A8">
      <w:pPr>
        <w:jc w:val="both"/>
        <w:rPr>
          <w:lang w:val="de-DE"/>
        </w:rPr>
      </w:pPr>
      <w:r w:rsidRPr="004676F5">
        <w:rPr>
          <w:lang w:val="de-DE"/>
        </w:rPr>
        <w:lastRenderedPageBreak/>
        <w:br/>
      </w:r>
      <w:r w:rsidRPr="004676F5">
        <w:rPr>
          <w:lang w:val="de-DE"/>
        </w:rPr>
        <w:tab/>
        <w:t>7. die Beweismittel einzuschränken, die die andere Partei anwenden kann,</w:t>
      </w:r>
    </w:p>
    <w:p w14:paraId="11D5A79E" w14:textId="77777777" w:rsidR="00EB24A8" w:rsidRPr="004676F5" w:rsidRDefault="00EB24A8" w:rsidP="00EB24A8">
      <w:pPr>
        <w:jc w:val="both"/>
        <w:rPr>
          <w:lang w:val="de-DE"/>
        </w:rPr>
      </w:pPr>
    </w:p>
    <w:p w14:paraId="4C8C1191" w14:textId="64F708AA" w:rsidR="00EB24A8" w:rsidRPr="004676F5" w:rsidRDefault="00EB24A8" w:rsidP="00EB24A8">
      <w:pPr>
        <w:jc w:val="both"/>
        <w:rPr>
          <w:lang w:val="de-DE"/>
        </w:rPr>
      </w:pPr>
      <w:r w:rsidRPr="004676F5">
        <w:rPr>
          <w:lang w:val="de-DE"/>
        </w:rPr>
        <w:tab/>
        <w:t>8. bei Nichterfüllung oder Verzögerungen bei der Erfüllung der Verpflichtungen der anderen Partei Schadenersatzbeträge festzulegen, die offensichtlich über den möglicherweise vom Unternehmen erlittenen Schaden hinausgehen.</w:t>
      </w:r>
      <w:r w:rsidR="00630D85" w:rsidRPr="004676F5">
        <w:rPr>
          <w:lang w:val="de-DE"/>
        </w:rPr>
        <w:t>]</w:t>
      </w:r>
    </w:p>
    <w:p w14:paraId="69FA4D0F" w14:textId="77777777" w:rsidR="00630D85" w:rsidRPr="004676F5" w:rsidRDefault="00630D85" w:rsidP="00EB24A8">
      <w:pPr>
        <w:jc w:val="both"/>
        <w:rPr>
          <w:lang w:val="de-DE"/>
        </w:rPr>
      </w:pPr>
    </w:p>
    <w:p w14:paraId="4C00E308" w14:textId="0C47D209" w:rsidR="00630D85" w:rsidRPr="004676F5" w:rsidRDefault="00630D85" w:rsidP="00630D85">
      <w:pPr>
        <w:jc w:val="both"/>
        <w:rPr>
          <w:i/>
          <w:iCs/>
          <w:lang w:val="de-DE"/>
        </w:rPr>
      </w:pPr>
      <w:r w:rsidRPr="004676F5">
        <w:rPr>
          <w:i/>
          <w:iCs/>
          <w:lang w:val="de-DE"/>
        </w:rPr>
        <w:t>[Art. VI.91/5 eingefügt durch Art. 18 des G. vom 4. April 2019 (B.S. vom 24. Mai 2019)</w:t>
      </w:r>
      <w:r w:rsidR="008C2036" w:rsidRPr="004676F5">
        <w:rPr>
          <w:i/>
          <w:iCs/>
          <w:lang w:val="de-DE"/>
        </w:rPr>
        <w:t>; einziger Absatz Nr. 5 abgeändert durch Art. 17 des G. vom 28.</w:t>
      </w:r>
      <w:r w:rsidR="004809DE" w:rsidRPr="004676F5">
        <w:rPr>
          <w:i/>
          <w:iCs/>
          <w:lang w:val="de-DE"/>
        </w:rPr>
        <w:t> </w:t>
      </w:r>
      <w:r w:rsidR="008C2036" w:rsidRPr="004676F5">
        <w:rPr>
          <w:i/>
          <w:iCs/>
          <w:lang w:val="de-DE"/>
        </w:rPr>
        <w:t>April 2022 (B.S. vom 1. Juli 2022)</w:t>
      </w:r>
      <w:r w:rsidRPr="004676F5">
        <w:rPr>
          <w:i/>
          <w:iCs/>
          <w:lang w:val="de-DE"/>
        </w:rPr>
        <w:t>]</w:t>
      </w:r>
      <w:r w:rsidR="004809DE" w:rsidRPr="004676F5">
        <w:rPr>
          <w:i/>
          <w:iCs/>
          <w:lang w:val="de-DE"/>
        </w:rPr>
        <w:t>f</w:t>
      </w:r>
    </w:p>
    <w:p w14:paraId="22AC06DF" w14:textId="77777777" w:rsidR="00630D85" w:rsidRPr="004676F5" w:rsidRDefault="00630D85" w:rsidP="00EB24A8">
      <w:pPr>
        <w:jc w:val="both"/>
        <w:rPr>
          <w:lang w:val="de-DE"/>
        </w:rPr>
      </w:pPr>
    </w:p>
    <w:p w14:paraId="02784664" w14:textId="5E66A5FE" w:rsidR="00EB24A8" w:rsidRPr="004676F5" w:rsidRDefault="00EB24A8" w:rsidP="00EB24A8">
      <w:pPr>
        <w:jc w:val="both"/>
        <w:rPr>
          <w:lang w:val="de-DE"/>
        </w:rPr>
      </w:pPr>
      <w:r w:rsidRPr="004676F5">
        <w:rPr>
          <w:lang w:val="de-DE"/>
        </w:rPr>
        <w:br/>
      </w:r>
      <w:r w:rsidRPr="004676F5">
        <w:rPr>
          <w:lang w:val="de-DE"/>
        </w:rPr>
        <w:tab/>
      </w:r>
      <w:r w:rsidR="005E14E9" w:rsidRPr="004676F5">
        <w:rPr>
          <w:lang w:val="de-DE"/>
        </w:rPr>
        <w:t>[</w:t>
      </w:r>
      <w:r w:rsidRPr="004676F5">
        <w:rPr>
          <w:b/>
          <w:bCs/>
          <w:lang w:val="de-DE"/>
        </w:rPr>
        <w:t>Art. VI.91/6</w:t>
      </w:r>
      <w:r w:rsidRPr="004676F5">
        <w:rPr>
          <w:lang w:val="de-DE"/>
        </w:rPr>
        <w:t> </w:t>
      </w:r>
      <w:r w:rsidR="005B7A5C" w:rsidRPr="004676F5">
        <w:rPr>
          <w:lang w:val="de-DE"/>
        </w:rPr>
        <w:t>- </w:t>
      </w:r>
      <w:r w:rsidRPr="004676F5">
        <w:rPr>
          <w:lang w:val="de-DE"/>
        </w:rPr>
        <w:t>Missbräuchliche Klauseln sind verboten und nichtig. Der Vertrag bleibt für die Parteien bindend, wenn er ohne die missbräuchlichen Klauseln bestehen kann.</w:t>
      </w:r>
      <w:r w:rsidR="005E14E9" w:rsidRPr="004676F5">
        <w:rPr>
          <w:lang w:val="de-DE"/>
        </w:rPr>
        <w:t>]</w:t>
      </w:r>
    </w:p>
    <w:p w14:paraId="1D6F8FDE" w14:textId="77777777" w:rsidR="005E14E9" w:rsidRPr="004676F5" w:rsidRDefault="005E14E9" w:rsidP="00EB24A8">
      <w:pPr>
        <w:jc w:val="both"/>
        <w:rPr>
          <w:lang w:val="de-DE"/>
        </w:rPr>
      </w:pPr>
    </w:p>
    <w:p w14:paraId="16840BE5" w14:textId="2A7E19FA" w:rsidR="005E14E9" w:rsidRPr="004676F5" w:rsidRDefault="005E14E9" w:rsidP="005E14E9">
      <w:pPr>
        <w:jc w:val="both"/>
        <w:rPr>
          <w:i/>
          <w:iCs/>
          <w:lang w:val="de-DE"/>
        </w:rPr>
      </w:pPr>
      <w:r w:rsidRPr="004676F5">
        <w:rPr>
          <w:i/>
          <w:iCs/>
          <w:lang w:val="de-DE"/>
        </w:rPr>
        <w:t>[Art. VI.91/6 eingefügt durch Art. 1</w:t>
      </w:r>
      <w:r w:rsidR="00D55C1D" w:rsidRPr="004676F5">
        <w:rPr>
          <w:i/>
          <w:iCs/>
          <w:lang w:val="de-DE"/>
        </w:rPr>
        <w:t>9</w:t>
      </w:r>
      <w:r w:rsidRPr="004676F5">
        <w:rPr>
          <w:i/>
          <w:iCs/>
          <w:lang w:val="de-DE"/>
        </w:rPr>
        <w:t xml:space="preserve"> des G. vom 4. April 2019 (B.S. vom 24. Mai 2019)]</w:t>
      </w:r>
    </w:p>
    <w:p w14:paraId="7B51132B" w14:textId="77777777" w:rsidR="005E14E9" w:rsidRPr="004676F5" w:rsidRDefault="005E14E9" w:rsidP="00EB24A8">
      <w:pPr>
        <w:jc w:val="both"/>
        <w:rPr>
          <w:lang w:val="de-DE"/>
        </w:rPr>
      </w:pPr>
    </w:p>
    <w:p w14:paraId="5B31109D" w14:textId="77777777" w:rsidR="00EB24A8" w:rsidRPr="004676F5" w:rsidRDefault="00EB24A8" w:rsidP="00EB24A8">
      <w:pPr>
        <w:jc w:val="both"/>
        <w:rPr>
          <w:lang w:val="de-DE"/>
        </w:rPr>
      </w:pPr>
    </w:p>
    <w:p w14:paraId="24AF53DD" w14:textId="0EBD01CD" w:rsidR="00EB24A8" w:rsidRPr="004676F5" w:rsidRDefault="00EB24A8" w:rsidP="00EB24A8">
      <w:pPr>
        <w:jc w:val="both"/>
        <w:rPr>
          <w:lang w:val="de-DE"/>
        </w:rPr>
      </w:pPr>
      <w:r w:rsidRPr="004676F5">
        <w:rPr>
          <w:lang w:val="de-DE"/>
        </w:rPr>
        <w:tab/>
      </w:r>
      <w:r w:rsidR="005E14E9" w:rsidRPr="004676F5">
        <w:rPr>
          <w:lang w:val="de-DE"/>
        </w:rPr>
        <w:t>[</w:t>
      </w:r>
      <w:r w:rsidRPr="004676F5">
        <w:rPr>
          <w:b/>
          <w:bCs/>
          <w:lang w:val="de-DE"/>
        </w:rPr>
        <w:t>Art. VI.91/7</w:t>
      </w:r>
      <w:r w:rsidRPr="004676F5">
        <w:rPr>
          <w:lang w:val="de-DE"/>
        </w:rPr>
        <w:t> </w:t>
      </w:r>
      <w:r w:rsidR="005B7A5C" w:rsidRPr="004676F5">
        <w:rPr>
          <w:lang w:val="de-DE"/>
        </w:rPr>
        <w:t>- </w:t>
      </w:r>
      <w:r w:rsidRPr="004676F5">
        <w:rPr>
          <w:lang w:val="de-DE"/>
        </w:rPr>
        <w:t>Zur Gewährleistung des Gleichgewichts zwischen den Rechten und Verpflichtungen der Parteien beim Verkauf von Produkten oder zur Gewährleistung der Redlichkeit der Geschäfte zwischen Unternehmen kann der König durch einen im Ministerrat beratenen Erlass und auf gemeinsamen Vorschlag der für Wirtschaft und für Mittelstand zuständigen Minister für berufliche Sektoren oder für Kategorien von Produkten, die Er bestimmt, die Artikel VI.91/4 und VI.91/5 ergänzen.</w:t>
      </w:r>
    </w:p>
    <w:p w14:paraId="7531153B" w14:textId="77777777" w:rsidR="00EB24A8" w:rsidRPr="004676F5" w:rsidRDefault="00EB24A8" w:rsidP="00EB24A8">
      <w:pPr>
        <w:jc w:val="both"/>
        <w:rPr>
          <w:lang w:val="de-DE"/>
        </w:rPr>
      </w:pPr>
      <w:r w:rsidRPr="004676F5">
        <w:rPr>
          <w:lang w:val="de-DE"/>
        </w:rPr>
        <w:br/>
      </w:r>
      <w:r w:rsidRPr="004676F5">
        <w:rPr>
          <w:lang w:val="de-DE"/>
        </w:rPr>
        <w:tab/>
        <w:t>Bevor die Minister einen Erlass zur Ausführung von Absatz 1 vorschlagen, konsultieren sie den Hohen Rat für Selbständige und KMB und den in Artikel VI.86 erwähnten Besonderen Beratungsausschuss "Missbräuchliche Klauseln", wobei sie eine für die Abgabe der Stellungnahme angemessene Frist bestimmen. Nach Ablauf dieser Frist ist die Stellungnahme nicht mehr erforderlich.</w:t>
      </w:r>
    </w:p>
    <w:p w14:paraId="7708715D" w14:textId="1DE14950" w:rsidR="00EB24A8" w:rsidRPr="004676F5" w:rsidRDefault="00EB24A8" w:rsidP="00EB24A8">
      <w:pPr>
        <w:jc w:val="both"/>
        <w:rPr>
          <w:lang w:val="de-DE"/>
        </w:rPr>
      </w:pPr>
      <w:r w:rsidRPr="004676F5">
        <w:rPr>
          <w:lang w:val="de-DE"/>
        </w:rPr>
        <w:br/>
      </w:r>
      <w:r w:rsidRPr="004676F5">
        <w:rPr>
          <w:lang w:val="de-DE"/>
        </w:rPr>
        <w:tab/>
        <w:t>Die für Wirtschaft und für Mittelstand zuständigen Minister legen der Abgeordneten</w:t>
      </w:r>
      <w:r w:rsidRPr="004676F5">
        <w:rPr>
          <w:lang w:val="de-DE"/>
        </w:rPr>
        <w:softHyphen/>
        <w:t>kammer alle vier Jahre einen Bericht über die Anwendung von Absatz 1 vor.</w:t>
      </w:r>
      <w:r w:rsidR="005E14E9" w:rsidRPr="004676F5">
        <w:rPr>
          <w:lang w:val="de-DE"/>
        </w:rPr>
        <w:t>]</w:t>
      </w:r>
    </w:p>
    <w:p w14:paraId="5D9919F3" w14:textId="77777777" w:rsidR="005E14E9" w:rsidRPr="004676F5" w:rsidRDefault="005E14E9" w:rsidP="00EB24A8">
      <w:pPr>
        <w:jc w:val="both"/>
        <w:rPr>
          <w:lang w:val="de-DE"/>
        </w:rPr>
      </w:pPr>
    </w:p>
    <w:p w14:paraId="042C920A" w14:textId="3967AD79" w:rsidR="005E14E9" w:rsidRPr="004676F5" w:rsidRDefault="005E14E9" w:rsidP="005E14E9">
      <w:pPr>
        <w:jc w:val="both"/>
        <w:rPr>
          <w:i/>
          <w:iCs/>
          <w:lang w:val="de-DE"/>
        </w:rPr>
      </w:pPr>
      <w:r w:rsidRPr="004676F5">
        <w:rPr>
          <w:i/>
          <w:iCs/>
          <w:lang w:val="de-DE"/>
        </w:rPr>
        <w:t>[Art. VI.91/7 eingefügt durch Art. 20 des G. vom 4. April 2019 (B.S. vom 24. Mai 2019)]</w:t>
      </w:r>
    </w:p>
    <w:p w14:paraId="796AB20A" w14:textId="77777777" w:rsidR="005E14E9" w:rsidRPr="004676F5" w:rsidRDefault="005E14E9" w:rsidP="00EB24A8">
      <w:pPr>
        <w:jc w:val="both"/>
        <w:rPr>
          <w:lang w:val="de-DE"/>
        </w:rPr>
      </w:pPr>
    </w:p>
    <w:p w14:paraId="19F20395" w14:textId="77777777" w:rsidR="00EB24A8" w:rsidRPr="004676F5" w:rsidRDefault="00EB24A8" w:rsidP="00EB24A8">
      <w:pPr>
        <w:jc w:val="both"/>
        <w:rPr>
          <w:lang w:val="de-DE"/>
        </w:rPr>
      </w:pPr>
    </w:p>
    <w:p w14:paraId="76953EC4" w14:textId="738568EA" w:rsidR="00EB24A8" w:rsidRPr="004676F5" w:rsidRDefault="00EB24A8" w:rsidP="00EB24A8">
      <w:pPr>
        <w:jc w:val="both"/>
        <w:rPr>
          <w:lang w:val="de-DE"/>
        </w:rPr>
      </w:pPr>
      <w:r w:rsidRPr="004676F5">
        <w:rPr>
          <w:lang w:val="de-DE"/>
        </w:rPr>
        <w:tab/>
      </w:r>
      <w:r w:rsidR="005E14E9" w:rsidRPr="004676F5">
        <w:rPr>
          <w:lang w:val="de-DE"/>
        </w:rPr>
        <w:t>[</w:t>
      </w:r>
      <w:r w:rsidRPr="004676F5">
        <w:rPr>
          <w:b/>
          <w:bCs/>
          <w:lang w:val="de-DE"/>
        </w:rPr>
        <w:t>Art. VI.91/8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Gegebenenfalls kann der Besondere Beratungsausschuss "Missbräuchliche Klauseln" vom Minister oder von dem für Mittelstand zuständigen Minister hinzugezogen werden, wenn sie feststellen, dass in den Vertragsbedingungen bestimmter beruflicher Sektoren ein Ungleichgewicht zwischen den Rechten und Verpflichtungen der Parteien besteht.</w:t>
      </w:r>
    </w:p>
    <w:p w14:paraId="5695D06D" w14:textId="77777777" w:rsidR="00EB24A8" w:rsidRPr="004676F5" w:rsidRDefault="00EB24A8" w:rsidP="00EB24A8">
      <w:pPr>
        <w:jc w:val="both"/>
        <w:rPr>
          <w:lang w:val="de-DE"/>
        </w:rPr>
      </w:pPr>
      <w:r w:rsidRPr="004676F5">
        <w:rPr>
          <w:lang w:val="de-DE"/>
        </w:rPr>
        <w:br/>
      </w:r>
      <w:r w:rsidRPr="004676F5">
        <w:rPr>
          <w:lang w:val="de-DE"/>
        </w:rPr>
        <w:tab/>
        <w:t>Berufsverbände und überberufliche Verbände können die Stellungnahme des Besonderen Beratungsausschusses "Missbräuchliche Klauseln" einholen in Bezug auf Muster von Verträgen, die in ihrem beruflichen Sektor geschlossen werden.</w:t>
      </w:r>
    </w:p>
    <w:p w14:paraId="4C69BCBD" w14:textId="77777777" w:rsidR="00EB24A8" w:rsidRPr="004676F5" w:rsidRDefault="00EB24A8" w:rsidP="00EB24A8">
      <w:pPr>
        <w:jc w:val="both"/>
        <w:rPr>
          <w:lang w:val="de-DE"/>
        </w:rPr>
      </w:pPr>
      <w:r w:rsidRPr="004676F5">
        <w:rPr>
          <w:lang w:val="de-DE"/>
        </w:rPr>
        <w:br/>
      </w:r>
      <w:r w:rsidRPr="004676F5">
        <w:rPr>
          <w:lang w:val="de-DE"/>
        </w:rPr>
        <w:tab/>
        <w:t>In den in den vorhergehenden Absätzen erwähnten Fällen erkennt der Besondere Beratungsausschuss "Missbräuchliche Klauseln" über Klauseln und Bedingungen, die in Musterverträgen für bestimmte berufliche Sektoren verwendet werden.</w:t>
      </w:r>
    </w:p>
    <w:p w14:paraId="7D6F6432" w14:textId="77777777" w:rsidR="00E27355" w:rsidRPr="004676F5" w:rsidRDefault="00E27355">
      <w:pPr>
        <w:rPr>
          <w:lang w:val="de-DE"/>
        </w:rPr>
      </w:pPr>
    </w:p>
    <w:p w14:paraId="304DB0E2" w14:textId="2572E85D" w:rsidR="00E27355" w:rsidRPr="004676F5" w:rsidRDefault="00E27355" w:rsidP="00E27355">
      <w:pPr>
        <w:jc w:val="both"/>
        <w:rPr>
          <w:lang w:val="de-DE"/>
        </w:rPr>
      </w:pPr>
      <w:r w:rsidRPr="004676F5">
        <w:rPr>
          <w:lang w:val="de-DE"/>
        </w:rPr>
        <w:lastRenderedPageBreak/>
        <w:tab/>
        <w:t xml:space="preserve">[§ 1/1 - Der Besondere Beratungsausschuss "Missbräuchliche Klauseln" kann von Unternehmen, die in einem Sektor tätig sind, über den eine Stellungnahme beantragt wird, verlangen, dass sie ihm innerhalb einer von ihm festgelegten Frist ihre Vertragsklauseln und </w:t>
      </w:r>
      <w:r w:rsidRPr="004676F5">
        <w:rPr>
          <w:lang w:val="de-DE"/>
        </w:rPr>
        <w:noBreakHyphen/>
        <w:t>bedingungen übermitteln.</w:t>
      </w:r>
    </w:p>
    <w:p w14:paraId="2F87AD56" w14:textId="77777777" w:rsidR="00E27355" w:rsidRPr="004676F5" w:rsidRDefault="00E27355" w:rsidP="00E27355">
      <w:pPr>
        <w:jc w:val="both"/>
        <w:rPr>
          <w:lang w:val="de-DE"/>
        </w:rPr>
      </w:pPr>
    </w:p>
    <w:p w14:paraId="031190EA" w14:textId="77777777" w:rsidR="00E27355" w:rsidRPr="004676F5" w:rsidRDefault="00E27355" w:rsidP="00E27355">
      <w:pPr>
        <w:jc w:val="both"/>
        <w:rPr>
          <w:lang w:val="de-DE"/>
        </w:rPr>
      </w:pPr>
      <w:r w:rsidRPr="004676F5">
        <w:rPr>
          <w:lang w:val="de-DE"/>
        </w:rPr>
        <w:tab/>
        <w:t>Die betroffenen Unternehmen können im Rahmen dieses Ersuchens weder das Geschäftsgeheimnis noch eine Vertraulichkeitsklausel geltend machen.</w:t>
      </w:r>
    </w:p>
    <w:p w14:paraId="53F11E39" w14:textId="77777777" w:rsidR="00E27355" w:rsidRPr="004676F5" w:rsidRDefault="00E27355" w:rsidP="00E27355">
      <w:pPr>
        <w:jc w:val="both"/>
        <w:rPr>
          <w:lang w:val="de-DE"/>
        </w:rPr>
      </w:pPr>
    </w:p>
    <w:p w14:paraId="3E4AC5EF" w14:textId="77777777" w:rsidR="00E27355" w:rsidRPr="004676F5" w:rsidRDefault="00E27355" w:rsidP="00E27355">
      <w:pPr>
        <w:jc w:val="both"/>
        <w:rPr>
          <w:lang w:val="de-DE"/>
        </w:rPr>
      </w:pPr>
      <w:r w:rsidRPr="004676F5">
        <w:rPr>
          <w:lang w:val="de-DE"/>
        </w:rPr>
        <w:tab/>
        <w:t>Die Mitglieder des Besonderen Beratungsausschusses "Missbräuchliche Klauseln" und all diejenigen, die an ihren Arbeiten mitwirken, sind verpflichtet, Fakten, Handlungen und Auskünfte, von denen sie aufgrund ihres Amtes Kenntnis erhalten haben, geheim zu halten.]</w:t>
      </w:r>
    </w:p>
    <w:p w14:paraId="134D840F" w14:textId="559827A8" w:rsidR="00AB0E03" w:rsidRPr="004676F5" w:rsidRDefault="00AB0E03" w:rsidP="00E27355">
      <w:pPr>
        <w:jc w:val="both"/>
        <w:rPr>
          <w:lang w:val="de-DE"/>
        </w:rPr>
      </w:pPr>
    </w:p>
    <w:p w14:paraId="0F7A8205" w14:textId="67BA3CCF" w:rsidR="00EB24A8" w:rsidRPr="004676F5" w:rsidRDefault="00EB24A8" w:rsidP="00EB24A8">
      <w:pPr>
        <w:jc w:val="both"/>
        <w:rPr>
          <w:lang w:val="de-DE"/>
        </w:rPr>
      </w:pPr>
      <w:r w:rsidRPr="004676F5">
        <w:rPr>
          <w:lang w:val="de-DE"/>
        </w:rPr>
        <w:tab/>
        <w:t>§ 2 </w:t>
      </w:r>
      <w:r w:rsidR="005B7A5C" w:rsidRPr="004676F5">
        <w:rPr>
          <w:lang w:val="de-DE"/>
        </w:rPr>
        <w:t>- </w:t>
      </w:r>
      <w:r w:rsidRPr="004676F5">
        <w:rPr>
          <w:lang w:val="de-DE"/>
        </w:rPr>
        <w:t>Der Besondere Beratungsausschuss "Missbräuchliche Klauseln" veröffentlicht keine Klauseln oder Bedingungen, die in ihren beruflichen Sektoren vertraulich oder sensibel sind.</w:t>
      </w:r>
      <w:r w:rsidR="005E14E9" w:rsidRPr="004676F5">
        <w:rPr>
          <w:lang w:val="de-DE"/>
        </w:rPr>
        <w:t>]</w:t>
      </w:r>
    </w:p>
    <w:p w14:paraId="523C8387" w14:textId="77777777" w:rsidR="005E14E9" w:rsidRPr="004676F5" w:rsidRDefault="005E14E9" w:rsidP="00EB24A8">
      <w:pPr>
        <w:jc w:val="both"/>
        <w:rPr>
          <w:lang w:val="de-DE"/>
        </w:rPr>
      </w:pPr>
    </w:p>
    <w:p w14:paraId="6103ED23" w14:textId="4A26D20B" w:rsidR="005E14E9" w:rsidRPr="004676F5" w:rsidRDefault="005E14E9" w:rsidP="005E14E9">
      <w:pPr>
        <w:jc w:val="both"/>
        <w:rPr>
          <w:i/>
          <w:iCs/>
          <w:lang w:val="de-DE"/>
        </w:rPr>
      </w:pPr>
      <w:r w:rsidRPr="004676F5">
        <w:rPr>
          <w:i/>
          <w:iCs/>
          <w:lang w:val="de-DE"/>
        </w:rPr>
        <w:t>[Art. VI.91/8 eingefügt durch Art. 21 des G. vom 4. April 2019 (B.S. vom 24. Mai 2019)</w:t>
      </w:r>
      <w:r w:rsidR="00E27355" w:rsidRPr="004676F5">
        <w:rPr>
          <w:i/>
          <w:iCs/>
          <w:lang w:val="de-DE"/>
        </w:rPr>
        <w:t>; § 1/1 eingefügt durch Art. 23 des G. vom 9. Februar 2024 (B.S. vom 21. März 2024)</w:t>
      </w:r>
      <w:r w:rsidRPr="004676F5">
        <w:rPr>
          <w:i/>
          <w:iCs/>
          <w:lang w:val="de-DE"/>
        </w:rPr>
        <w:t>]</w:t>
      </w:r>
    </w:p>
    <w:p w14:paraId="5CA3B4E8" w14:textId="77777777" w:rsidR="005E14E9" w:rsidRPr="004676F5" w:rsidRDefault="005E14E9" w:rsidP="00EB24A8">
      <w:pPr>
        <w:jc w:val="both"/>
        <w:rPr>
          <w:lang w:val="de-DE"/>
        </w:rPr>
      </w:pPr>
    </w:p>
    <w:p w14:paraId="4B572867" w14:textId="77777777" w:rsidR="005E14E9" w:rsidRPr="004676F5" w:rsidRDefault="005E14E9" w:rsidP="00EB24A8">
      <w:pPr>
        <w:jc w:val="both"/>
        <w:rPr>
          <w:lang w:val="de-DE"/>
        </w:rPr>
      </w:pPr>
    </w:p>
    <w:p w14:paraId="46115FDA" w14:textId="5E298E1D" w:rsidR="00EB24A8" w:rsidRPr="004676F5" w:rsidRDefault="005E14E9" w:rsidP="00EB24A8">
      <w:pPr>
        <w:jc w:val="both"/>
        <w:rPr>
          <w:lang w:val="de-DE"/>
        </w:rPr>
      </w:pPr>
      <w:r w:rsidRPr="004676F5">
        <w:rPr>
          <w:lang w:val="de-DE"/>
        </w:rPr>
        <w:tab/>
        <w:t>[</w:t>
      </w:r>
      <w:r w:rsidR="00EB24A8" w:rsidRPr="004676F5">
        <w:rPr>
          <w:b/>
          <w:bCs/>
          <w:lang w:val="de-DE"/>
        </w:rPr>
        <w:t>Art. VI.91/9</w:t>
      </w:r>
      <w:r w:rsidR="00EB24A8" w:rsidRPr="004676F5">
        <w:rPr>
          <w:lang w:val="de-DE"/>
        </w:rPr>
        <w:t> </w:t>
      </w:r>
      <w:r w:rsidR="005B7A5C" w:rsidRPr="004676F5">
        <w:rPr>
          <w:lang w:val="de-DE"/>
        </w:rPr>
        <w:t>- </w:t>
      </w:r>
      <w:r w:rsidR="00EB24A8" w:rsidRPr="004676F5">
        <w:rPr>
          <w:lang w:val="de-DE"/>
        </w:rPr>
        <w:t>§ 1 </w:t>
      </w:r>
      <w:r w:rsidR="005B7A5C" w:rsidRPr="004676F5">
        <w:rPr>
          <w:lang w:val="de-DE"/>
        </w:rPr>
        <w:t>- </w:t>
      </w:r>
      <w:r w:rsidR="00EB24A8" w:rsidRPr="004676F5">
        <w:rPr>
          <w:lang w:val="de-DE"/>
        </w:rPr>
        <w:t>Der Besondere Beratungsausschuss "Missbräuchliche Klauseln" gibt Empfehlungen ab zu:</w:t>
      </w:r>
    </w:p>
    <w:p w14:paraId="23970710" w14:textId="77777777" w:rsidR="00EB24A8" w:rsidRPr="004676F5" w:rsidRDefault="00EB24A8" w:rsidP="00EB24A8">
      <w:pPr>
        <w:jc w:val="both"/>
        <w:rPr>
          <w:lang w:val="de-DE"/>
        </w:rPr>
      </w:pPr>
      <w:r w:rsidRPr="004676F5">
        <w:rPr>
          <w:lang w:val="de-DE"/>
        </w:rPr>
        <w:br/>
      </w:r>
      <w:r w:rsidRPr="004676F5">
        <w:rPr>
          <w:lang w:val="de-DE"/>
        </w:rPr>
        <w:tab/>
        <w:t>1. Abänderungen der Artikel VI.91/4 und VI.91/5,</w:t>
      </w:r>
    </w:p>
    <w:p w14:paraId="73F6B49F" w14:textId="77777777" w:rsidR="00EB24A8" w:rsidRPr="004676F5" w:rsidRDefault="00EB24A8" w:rsidP="00EB24A8">
      <w:pPr>
        <w:jc w:val="both"/>
        <w:rPr>
          <w:lang w:val="de-DE"/>
        </w:rPr>
      </w:pPr>
      <w:r w:rsidRPr="004676F5">
        <w:rPr>
          <w:lang w:val="de-DE"/>
        </w:rPr>
        <w:br/>
      </w:r>
      <w:r w:rsidRPr="004676F5">
        <w:rPr>
          <w:lang w:val="de-DE"/>
        </w:rPr>
        <w:tab/>
        <w:t>2. Formulierung und Auslegung von Klauseln oder Bedingungen, die in Musterverträgen für bestimmte berufliche Sektoren verwendet werden.</w:t>
      </w:r>
    </w:p>
    <w:p w14:paraId="5A7C205C" w14:textId="0CF4D446" w:rsidR="00EB24A8" w:rsidRPr="004676F5" w:rsidRDefault="00EB24A8" w:rsidP="00EB24A8">
      <w:pPr>
        <w:jc w:val="both"/>
        <w:rPr>
          <w:lang w:val="de-DE"/>
        </w:rPr>
      </w:pPr>
      <w:r w:rsidRPr="004676F5">
        <w:rPr>
          <w:lang w:val="de-DE"/>
        </w:rPr>
        <w:br/>
      </w:r>
      <w:r w:rsidRPr="004676F5">
        <w:rPr>
          <w:lang w:val="de-DE"/>
        </w:rPr>
        <w:tab/>
        <w:t>§ 2 </w:t>
      </w:r>
      <w:r w:rsidR="005B7A5C" w:rsidRPr="004676F5">
        <w:rPr>
          <w:lang w:val="de-DE"/>
        </w:rPr>
        <w:t>- </w:t>
      </w:r>
      <w:r w:rsidRPr="004676F5">
        <w:rPr>
          <w:lang w:val="de-DE"/>
        </w:rPr>
        <w:t>Im Rahmen seiner Zuständigkeiten kann der Besondere Beratungsausschuss "Missbräuchliche Klauseln" den Ministern Änderungen der Vorschriften vorschlagen, die ihm wünschenswert erscheinen.</w:t>
      </w:r>
    </w:p>
    <w:p w14:paraId="4C019B8D" w14:textId="7D26F231" w:rsidR="00EB24A8" w:rsidRPr="004676F5" w:rsidRDefault="00EB24A8" w:rsidP="00EB24A8">
      <w:pPr>
        <w:jc w:val="both"/>
        <w:rPr>
          <w:lang w:val="de-DE"/>
        </w:rPr>
      </w:pPr>
      <w:r w:rsidRPr="004676F5">
        <w:rPr>
          <w:lang w:val="de-DE"/>
        </w:rPr>
        <w:br/>
      </w:r>
      <w:r w:rsidRPr="004676F5">
        <w:rPr>
          <w:lang w:val="de-DE"/>
        </w:rPr>
        <w:tab/>
        <w:t>§ 3 </w:t>
      </w:r>
      <w:r w:rsidR="005B7A5C" w:rsidRPr="004676F5">
        <w:rPr>
          <w:lang w:val="de-DE"/>
        </w:rPr>
        <w:t>- </w:t>
      </w:r>
      <w:r w:rsidRPr="004676F5">
        <w:rPr>
          <w:lang w:val="de-DE"/>
        </w:rPr>
        <w:t>Jährlich erstellt und veröffentlicht der Besondere Beratungsausschuss "Missbräuchliche Klauseln" einen Tätigkeitsbericht. Dieser Bericht umfasst unter anderem den vollen Wortlaut seiner im Laufe des Jahres abgegebenen Empfehlungen und Vorschläge.</w:t>
      </w:r>
      <w:r w:rsidR="005E14E9" w:rsidRPr="004676F5">
        <w:rPr>
          <w:lang w:val="de-DE"/>
        </w:rPr>
        <w:t>]</w:t>
      </w:r>
    </w:p>
    <w:p w14:paraId="28971833" w14:textId="77777777" w:rsidR="005E14E9" w:rsidRPr="004676F5" w:rsidRDefault="005E14E9" w:rsidP="00EB24A8">
      <w:pPr>
        <w:jc w:val="both"/>
        <w:rPr>
          <w:lang w:val="de-DE"/>
        </w:rPr>
      </w:pPr>
    </w:p>
    <w:p w14:paraId="62562BE1" w14:textId="6E792B33" w:rsidR="005E14E9" w:rsidRPr="004676F5" w:rsidRDefault="005E14E9" w:rsidP="005E14E9">
      <w:pPr>
        <w:jc w:val="both"/>
        <w:rPr>
          <w:i/>
          <w:iCs/>
          <w:lang w:val="de-DE"/>
        </w:rPr>
      </w:pPr>
      <w:r w:rsidRPr="004676F5">
        <w:rPr>
          <w:i/>
          <w:iCs/>
          <w:lang w:val="de-DE"/>
        </w:rPr>
        <w:t>[Art. VI.91/9 eingefügt durch Art. 22 des G. vom 4. April 2019 (B.S. vom 24. Mai 2019)]</w:t>
      </w:r>
    </w:p>
    <w:p w14:paraId="4D4D4055" w14:textId="77777777" w:rsidR="005E14E9" w:rsidRPr="004676F5" w:rsidRDefault="005E14E9" w:rsidP="00EB24A8">
      <w:pPr>
        <w:jc w:val="both"/>
        <w:rPr>
          <w:lang w:val="de-DE"/>
        </w:rPr>
      </w:pPr>
    </w:p>
    <w:p w14:paraId="0526DB6F" w14:textId="77777777" w:rsidR="005E14E9" w:rsidRPr="004676F5" w:rsidRDefault="005E14E9" w:rsidP="00EB24A8">
      <w:pPr>
        <w:jc w:val="both"/>
        <w:rPr>
          <w:lang w:val="de-DE"/>
        </w:rPr>
      </w:pPr>
    </w:p>
    <w:p w14:paraId="7E74EE63" w14:textId="061E5060" w:rsidR="005E14E9" w:rsidRPr="004676F5" w:rsidRDefault="005E14E9" w:rsidP="00EB24A8">
      <w:pPr>
        <w:jc w:val="both"/>
        <w:rPr>
          <w:lang w:val="de-DE"/>
        </w:rPr>
      </w:pPr>
      <w:r w:rsidRPr="004676F5">
        <w:rPr>
          <w:lang w:val="de-DE"/>
        </w:rPr>
        <w:tab/>
        <w:t>[</w:t>
      </w:r>
      <w:r w:rsidR="00EB24A8" w:rsidRPr="004676F5">
        <w:rPr>
          <w:b/>
          <w:bCs/>
          <w:lang w:val="de-DE"/>
        </w:rPr>
        <w:t>Art. VI.91/10</w:t>
      </w:r>
      <w:r w:rsidR="00EB24A8" w:rsidRPr="004676F5">
        <w:rPr>
          <w:lang w:val="de-DE"/>
        </w:rPr>
        <w:t> </w:t>
      </w:r>
      <w:r w:rsidR="005B7A5C" w:rsidRPr="004676F5">
        <w:rPr>
          <w:lang w:val="de-DE"/>
        </w:rPr>
        <w:t>- </w:t>
      </w:r>
      <w:r w:rsidR="00EB24A8" w:rsidRPr="004676F5">
        <w:rPr>
          <w:lang w:val="de-DE"/>
        </w:rPr>
        <w:t>Alle vier Jahre ab dem Datum des Inkrafttretens der betreffenden Bestimmungen beurteilt der FÖD Wirtschaft die Umsetzung der Bestimmungen der Artikel VI.91/2 bis VI.91/6 und gegebenenfalls der Erlasse zur Ausführung der Artikel VI.91/1 und VI.91/7.]</w:t>
      </w:r>
    </w:p>
    <w:p w14:paraId="44568C81" w14:textId="77777777" w:rsidR="005E14E9" w:rsidRPr="004676F5" w:rsidRDefault="005E14E9" w:rsidP="00EB24A8">
      <w:pPr>
        <w:jc w:val="both"/>
        <w:rPr>
          <w:lang w:val="de-DE"/>
        </w:rPr>
      </w:pPr>
    </w:p>
    <w:p w14:paraId="6A26D8E1" w14:textId="4365B9F0" w:rsidR="005E14E9" w:rsidRPr="004676F5" w:rsidRDefault="005E14E9" w:rsidP="005E14E9">
      <w:pPr>
        <w:jc w:val="both"/>
        <w:rPr>
          <w:i/>
          <w:iCs/>
          <w:lang w:val="de-DE"/>
        </w:rPr>
      </w:pPr>
      <w:r w:rsidRPr="004676F5">
        <w:rPr>
          <w:i/>
          <w:iCs/>
          <w:lang w:val="de-DE"/>
        </w:rPr>
        <w:t>[Art. VI.91/10 eingefügt durch Art. 23 des G. vom 4. April 2019 (B.S. vom 24. Mai 2019)]</w:t>
      </w:r>
    </w:p>
    <w:p w14:paraId="06A1C90F" w14:textId="66EA4499" w:rsidR="00626208" w:rsidRPr="004676F5" w:rsidRDefault="00626208" w:rsidP="00EB24A8">
      <w:pPr>
        <w:jc w:val="both"/>
        <w:rPr>
          <w:lang w:val="de-DE"/>
        </w:rPr>
      </w:pPr>
      <w:r w:rsidRPr="004676F5">
        <w:rPr>
          <w:lang w:val="de-DE"/>
        </w:rPr>
        <w:br w:type="page"/>
      </w:r>
    </w:p>
    <w:p w14:paraId="07AAFEBF" w14:textId="59D56810" w:rsidR="00626208" w:rsidRPr="004676F5" w:rsidRDefault="00626208" w:rsidP="00626208">
      <w:pPr>
        <w:jc w:val="center"/>
        <w:rPr>
          <w:b/>
          <w:lang w:val="de-DE"/>
        </w:rPr>
      </w:pPr>
      <w:r w:rsidRPr="004676F5">
        <w:rPr>
          <w:b/>
          <w:lang w:val="de-DE"/>
        </w:rPr>
        <w:lastRenderedPageBreak/>
        <w:t>TITEL 4 </w:t>
      </w:r>
      <w:r w:rsidR="005B7A5C" w:rsidRPr="004676F5">
        <w:rPr>
          <w:b/>
          <w:lang w:val="de-DE"/>
        </w:rPr>
        <w:t>- </w:t>
      </w:r>
      <w:r w:rsidRPr="004676F5">
        <w:rPr>
          <w:b/>
          <w:i/>
          <w:lang w:val="de-DE"/>
        </w:rPr>
        <w:t>Verbotene Praktiken</w:t>
      </w:r>
    </w:p>
    <w:p w14:paraId="45FBA500" w14:textId="77777777" w:rsidR="00626208" w:rsidRPr="004676F5" w:rsidRDefault="00626208" w:rsidP="00626208">
      <w:pPr>
        <w:jc w:val="both"/>
        <w:rPr>
          <w:lang w:val="de-DE"/>
        </w:rPr>
      </w:pPr>
    </w:p>
    <w:p w14:paraId="61F5D301" w14:textId="77777777" w:rsidR="00AE6697" w:rsidRPr="004676F5" w:rsidRDefault="00AE6697" w:rsidP="00626208">
      <w:pPr>
        <w:jc w:val="both"/>
        <w:rPr>
          <w:lang w:val="de-DE"/>
        </w:rPr>
      </w:pPr>
    </w:p>
    <w:p w14:paraId="2EACBDAF" w14:textId="62157B31" w:rsidR="00626208" w:rsidRPr="004676F5" w:rsidRDefault="00626208" w:rsidP="00626208">
      <w:pPr>
        <w:jc w:val="center"/>
        <w:rPr>
          <w:lang w:val="de-DE"/>
        </w:rPr>
      </w:pPr>
      <w:r w:rsidRPr="004676F5">
        <w:rPr>
          <w:lang w:val="de-DE"/>
        </w:rPr>
        <w:t>KAPITEL 1 </w:t>
      </w:r>
      <w:r w:rsidR="005B7A5C" w:rsidRPr="004676F5">
        <w:rPr>
          <w:lang w:val="de-DE"/>
        </w:rPr>
        <w:t>- </w:t>
      </w:r>
      <w:r w:rsidRPr="004676F5">
        <w:rPr>
          <w:i/>
          <w:lang w:val="de-DE"/>
        </w:rPr>
        <w:t>Unlautere Geschäftspraktiken gegenüber Verbrauchern</w:t>
      </w:r>
    </w:p>
    <w:p w14:paraId="33F5A0C4" w14:textId="77777777" w:rsidR="00626208" w:rsidRPr="004676F5" w:rsidRDefault="00626208" w:rsidP="00626208">
      <w:pPr>
        <w:jc w:val="both"/>
        <w:rPr>
          <w:lang w:val="de-DE"/>
        </w:rPr>
      </w:pPr>
    </w:p>
    <w:p w14:paraId="71254FE6" w14:textId="77777777" w:rsidR="00AE6697" w:rsidRPr="004676F5" w:rsidRDefault="00AE6697" w:rsidP="00626208">
      <w:pPr>
        <w:jc w:val="both"/>
        <w:rPr>
          <w:lang w:val="de-DE"/>
        </w:rPr>
      </w:pPr>
    </w:p>
    <w:p w14:paraId="3F771C72" w14:textId="15B57682" w:rsidR="00626208" w:rsidRPr="004676F5" w:rsidRDefault="00626208" w:rsidP="00626208">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Anwendungsbereich</w:t>
      </w:r>
    </w:p>
    <w:p w14:paraId="578B1ED9" w14:textId="77777777" w:rsidR="00626208" w:rsidRPr="004676F5" w:rsidRDefault="00626208" w:rsidP="00626208">
      <w:pPr>
        <w:jc w:val="both"/>
        <w:rPr>
          <w:lang w:val="de-DE"/>
        </w:rPr>
      </w:pPr>
    </w:p>
    <w:p w14:paraId="0F2B5815" w14:textId="77777777" w:rsidR="00AE6697" w:rsidRPr="004676F5" w:rsidRDefault="00AE6697" w:rsidP="00626208">
      <w:pPr>
        <w:jc w:val="both"/>
        <w:rPr>
          <w:lang w:val="de-DE"/>
        </w:rPr>
      </w:pPr>
    </w:p>
    <w:p w14:paraId="0CDECAAA" w14:textId="4E8875E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VI.92</w:t>
      </w:r>
      <w:r w:rsidRPr="004676F5">
        <w:rPr>
          <w:lang w:val="de-DE"/>
        </w:rPr>
        <w:t> </w:t>
      </w:r>
      <w:r w:rsidR="005B7A5C" w:rsidRPr="004676F5">
        <w:rPr>
          <w:lang w:val="de-DE"/>
        </w:rPr>
        <w:t>- </w:t>
      </w:r>
      <w:r w:rsidR="00B95783" w:rsidRPr="004676F5">
        <w:rPr>
          <w:lang w:val="de-DE"/>
        </w:rPr>
        <w:t>[</w:t>
      </w:r>
      <w:r w:rsidRPr="004676F5">
        <w:rPr>
          <w:lang w:val="de-DE"/>
        </w:rPr>
        <w:t>Vorliegende</w:t>
      </w:r>
      <w:r w:rsidR="00B95783" w:rsidRPr="004676F5">
        <w:rPr>
          <w:lang w:val="de-DE"/>
        </w:rPr>
        <w:t>s</w:t>
      </w:r>
      <w:r w:rsidRPr="004676F5">
        <w:rPr>
          <w:lang w:val="de-DE"/>
        </w:rPr>
        <w:t xml:space="preserve"> </w:t>
      </w:r>
      <w:r w:rsidR="00B95783" w:rsidRPr="004676F5">
        <w:rPr>
          <w:lang w:val="de-DE"/>
        </w:rPr>
        <w:t>Kapitel]</w:t>
      </w:r>
      <w:r w:rsidRPr="004676F5">
        <w:rPr>
          <w:lang w:val="de-DE"/>
        </w:rPr>
        <w:t xml:space="preserve"> gilt für unlautere Geschäftspraktiken von Unternehmen gegenüber Verbrauchern vor, während und nach dem Anbieten zum Kauf und dem Verkauf von Produkten.</w:t>
      </w:r>
    </w:p>
    <w:p w14:paraId="5A11959A" w14:textId="77777777" w:rsidR="00B95783" w:rsidRPr="004676F5" w:rsidRDefault="00B95783" w:rsidP="00626208">
      <w:pPr>
        <w:jc w:val="both"/>
        <w:rPr>
          <w:lang w:val="de-DE"/>
        </w:rPr>
      </w:pPr>
    </w:p>
    <w:p w14:paraId="6FA51779" w14:textId="6549D13F" w:rsidR="00B95783" w:rsidRPr="004676F5" w:rsidRDefault="00B95783" w:rsidP="00626208">
      <w:pPr>
        <w:jc w:val="both"/>
        <w:rPr>
          <w:i/>
          <w:lang w:val="de-DE"/>
        </w:rPr>
      </w:pPr>
      <w:r w:rsidRPr="004676F5">
        <w:rPr>
          <w:i/>
          <w:lang w:val="de-DE"/>
        </w:rPr>
        <w:t>[</w:t>
      </w:r>
      <w:r w:rsidR="00BE0A56" w:rsidRPr="004676F5">
        <w:rPr>
          <w:i/>
          <w:lang w:val="de-DE"/>
        </w:rPr>
        <w:t>Art. </w:t>
      </w:r>
      <w:r w:rsidRPr="004676F5">
        <w:rPr>
          <w:i/>
          <w:lang w:val="de-DE"/>
        </w:rPr>
        <w:t xml:space="preserve">VI.92 abgeändert durch </w:t>
      </w:r>
      <w:r w:rsidR="00BE0A56" w:rsidRPr="004676F5">
        <w:rPr>
          <w:i/>
          <w:lang w:val="de-DE"/>
        </w:rPr>
        <w:t>Art. </w:t>
      </w:r>
      <w:r w:rsidRPr="004676F5">
        <w:rPr>
          <w:i/>
          <w:lang w:val="de-DE"/>
        </w:rPr>
        <w:t>6 des G. vom 18. April 2017 (B.S. vom 24. April 2017)]</w:t>
      </w:r>
    </w:p>
    <w:p w14:paraId="2B8277B1" w14:textId="77777777" w:rsidR="00626208" w:rsidRPr="004676F5" w:rsidRDefault="00626208" w:rsidP="00626208">
      <w:pPr>
        <w:jc w:val="both"/>
        <w:rPr>
          <w:lang w:val="de-DE"/>
        </w:rPr>
      </w:pPr>
    </w:p>
    <w:p w14:paraId="47368928" w14:textId="77777777" w:rsidR="00AE6697" w:rsidRPr="004676F5" w:rsidRDefault="00AE6697" w:rsidP="00626208">
      <w:pPr>
        <w:jc w:val="both"/>
        <w:rPr>
          <w:lang w:val="de-DE"/>
        </w:rPr>
      </w:pPr>
    </w:p>
    <w:p w14:paraId="1238A4CB" w14:textId="5192E7E8" w:rsidR="00626208" w:rsidRPr="004676F5" w:rsidRDefault="00626208" w:rsidP="00626208">
      <w:pPr>
        <w:jc w:val="center"/>
        <w:rPr>
          <w:lang w:val="de-DE"/>
        </w:rPr>
      </w:pPr>
      <w:r w:rsidRPr="004676F5">
        <w:rPr>
          <w:i/>
          <w:lang w:val="de-DE"/>
        </w:rPr>
        <w:t>Abschnitt 2</w:t>
      </w:r>
      <w:r w:rsidRPr="004676F5">
        <w:rPr>
          <w:lang w:val="de-DE"/>
        </w:rPr>
        <w:t> </w:t>
      </w:r>
      <w:r w:rsidR="005B7A5C" w:rsidRPr="004676F5">
        <w:rPr>
          <w:lang w:val="de-DE"/>
        </w:rPr>
        <w:t>- </w:t>
      </w:r>
      <w:r w:rsidRPr="004676F5">
        <w:rPr>
          <w:lang w:val="de-DE"/>
        </w:rPr>
        <w:t>Unlautere Geschäftspraktiken</w:t>
      </w:r>
    </w:p>
    <w:p w14:paraId="2216AA62" w14:textId="77777777" w:rsidR="00626208" w:rsidRPr="004676F5" w:rsidRDefault="00626208" w:rsidP="00626208">
      <w:pPr>
        <w:jc w:val="both"/>
        <w:rPr>
          <w:lang w:val="de-DE"/>
        </w:rPr>
      </w:pPr>
    </w:p>
    <w:p w14:paraId="5A9332A3" w14:textId="77777777" w:rsidR="00AE6697" w:rsidRPr="004676F5" w:rsidRDefault="00AE6697" w:rsidP="00626208">
      <w:pPr>
        <w:jc w:val="both"/>
        <w:rPr>
          <w:lang w:val="de-DE"/>
        </w:rPr>
      </w:pPr>
    </w:p>
    <w:p w14:paraId="5C0A8A87" w14:textId="69C7D87F"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VI.93</w:t>
      </w:r>
      <w:r w:rsidRPr="004676F5">
        <w:rPr>
          <w:lang w:val="de-DE"/>
        </w:rPr>
        <w:t> </w:t>
      </w:r>
      <w:r w:rsidR="005B7A5C" w:rsidRPr="004676F5">
        <w:rPr>
          <w:lang w:val="de-DE"/>
        </w:rPr>
        <w:t>- </w:t>
      </w:r>
      <w:r w:rsidRPr="004676F5">
        <w:rPr>
          <w:lang w:val="de-DE"/>
        </w:rPr>
        <w:t>Eine Geschäftspraxis ist unlauter, wenn:</w:t>
      </w:r>
    </w:p>
    <w:p w14:paraId="1B714BCA" w14:textId="77777777" w:rsidR="00626208" w:rsidRPr="004676F5" w:rsidRDefault="00626208" w:rsidP="00626208">
      <w:pPr>
        <w:jc w:val="both"/>
        <w:rPr>
          <w:lang w:val="de-DE"/>
        </w:rPr>
      </w:pPr>
    </w:p>
    <w:p w14:paraId="647549B1"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sie den Erfordernissen der beruflichen Sorgfaltspflicht widerspricht</w:t>
      </w:r>
    </w:p>
    <w:p w14:paraId="0298E5D1" w14:textId="77777777" w:rsidR="00626208" w:rsidRPr="004676F5" w:rsidRDefault="00626208" w:rsidP="00626208">
      <w:pPr>
        <w:jc w:val="both"/>
        <w:rPr>
          <w:lang w:val="de-DE"/>
        </w:rPr>
      </w:pPr>
    </w:p>
    <w:p w14:paraId="3EB54696" w14:textId="77777777" w:rsidR="00626208" w:rsidRPr="004676F5" w:rsidRDefault="00626208" w:rsidP="00626208">
      <w:pPr>
        <w:jc w:val="both"/>
        <w:rPr>
          <w:lang w:val="de-DE"/>
        </w:rPr>
      </w:pPr>
      <w:r w:rsidRPr="004676F5">
        <w:rPr>
          <w:lang w:val="de-DE"/>
        </w:rPr>
        <w:tab/>
        <w:t>und</w:t>
      </w:r>
    </w:p>
    <w:p w14:paraId="4B61C328" w14:textId="77777777" w:rsidR="00626208" w:rsidRPr="004676F5" w:rsidRDefault="00626208" w:rsidP="00626208">
      <w:pPr>
        <w:jc w:val="both"/>
        <w:rPr>
          <w:lang w:val="de-DE"/>
        </w:rPr>
      </w:pPr>
    </w:p>
    <w:p w14:paraId="0088BE23"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sie in Bezug auf das betreffende Produkt das wirtschaftliche Verhalten des Durchschnittsverbrauchers, den sie erreicht oder an den sie sich richtet oder des durchschnittlichen Mitglieds einer Gruppe von Verbrauchern, wenn sich eine Geschäftspraxis an eine bestimmte Gruppe von Verbrauchern wendet, wesentlich beeinflusst oder wesentlich zu beeinflussen geeignet ist.</w:t>
      </w:r>
    </w:p>
    <w:p w14:paraId="18F2E7B6" w14:textId="77777777" w:rsidR="00626208" w:rsidRPr="004676F5" w:rsidRDefault="00626208" w:rsidP="00626208">
      <w:pPr>
        <w:jc w:val="both"/>
        <w:rPr>
          <w:lang w:val="de-DE"/>
        </w:rPr>
      </w:pPr>
    </w:p>
    <w:p w14:paraId="39AFDDED" w14:textId="77777777" w:rsidR="00626208" w:rsidRPr="004676F5" w:rsidRDefault="00626208" w:rsidP="00626208">
      <w:pPr>
        <w:jc w:val="both"/>
        <w:rPr>
          <w:lang w:val="de-DE"/>
        </w:rPr>
      </w:pPr>
      <w:r w:rsidRPr="004676F5">
        <w:rPr>
          <w:lang w:val="de-DE"/>
        </w:rPr>
        <w:tab/>
        <w:t>Geschäftspraktiken, die voraussichtlich in einer für das Unternehmen vernünftiger</w:t>
      </w:r>
      <w:r w:rsidRPr="004676F5">
        <w:rPr>
          <w:lang w:val="de-DE"/>
        </w:rPr>
        <w:softHyphen/>
        <w:t>weise vorhersehbaren Art und Weise das wirtschaftliche Verhalten nur einer eindeutig identifizierbaren Gruppe von Verbrauchern wesentlich beeinflussen, die aufgrund von geistigen oder körperlichen Gebrechen, Alter oder Leichtgläubigkeit im Hinblick auf die Praktiken oder die ihnen zugrunde liegenden Produkte besonders schutzbedürftig sind, werden aus der Perspektive eines durchschnittlichen Mitglieds dieser Gruppe beurteilt. Die übliche und rechtmäßige Werbepraxis, übertriebene Behauptungen oder nicht wörtlich zu nehmende Behauptungen aufzustellen, bleibt davon unberührt.</w:t>
      </w:r>
    </w:p>
    <w:p w14:paraId="2AE1A3E7" w14:textId="77777777" w:rsidR="00626208" w:rsidRPr="004676F5" w:rsidRDefault="00626208" w:rsidP="00626208">
      <w:pPr>
        <w:jc w:val="both"/>
        <w:rPr>
          <w:lang w:val="de-DE"/>
        </w:rPr>
      </w:pPr>
    </w:p>
    <w:p w14:paraId="2D59AC23" w14:textId="77777777" w:rsidR="00AE6697" w:rsidRPr="004676F5" w:rsidRDefault="00AE6697" w:rsidP="00626208">
      <w:pPr>
        <w:jc w:val="both"/>
        <w:rPr>
          <w:lang w:val="de-DE"/>
        </w:rPr>
      </w:pPr>
    </w:p>
    <w:p w14:paraId="642D7EAC" w14:textId="74BDF8C3"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VI.94</w:t>
      </w:r>
      <w:r w:rsidRPr="004676F5">
        <w:rPr>
          <w:lang w:val="de-DE"/>
        </w:rPr>
        <w:t> </w:t>
      </w:r>
      <w:r w:rsidR="005B7A5C" w:rsidRPr="004676F5">
        <w:rPr>
          <w:lang w:val="de-DE"/>
        </w:rPr>
        <w:t>- </w:t>
      </w:r>
      <w:r w:rsidRPr="004676F5">
        <w:rPr>
          <w:lang w:val="de-DE"/>
        </w:rPr>
        <w:t>Unlautere Geschäftspraktiken von Unternehmen gegenüber Verbrauchern sind insbesondere solche, die:</w:t>
      </w:r>
    </w:p>
    <w:p w14:paraId="40618305" w14:textId="77777777" w:rsidR="00626208" w:rsidRPr="004676F5" w:rsidRDefault="00626208" w:rsidP="00626208">
      <w:pPr>
        <w:jc w:val="both"/>
        <w:rPr>
          <w:lang w:val="de-DE"/>
        </w:rPr>
      </w:pPr>
    </w:p>
    <w:p w14:paraId="77EC3E4A" w14:textId="77777777" w:rsidR="00626208" w:rsidRPr="004676F5" w:rsidRDefault="00626208" w:rsidP="00626208">
      <w:pPr>
        <w:jc w:val="both"/>
        <w:rPr>
          <w:lang w:val="de-DE"/>
        </w:rPr>
      </w:pPr>
      <w:r w:rsidRPr="004676F5">
        <w:rPr>
          <w:lang w:val="de-DE"/>
        </w:rPr>
        <w:tab/>
        <w:t>1. irreführend im Sinne der Artikel VI.97 bis VI.100 oder</w:t>
      </w:r>
    </w:p>
    <w:p w14:paraId="3D1E972B" w14:textId="77777777" w:rsidR="00626208" w:rsidRPr="004676F5" w:rsidRDefault="00626208" w:rsidP="00626208">
      <w:pPr>
        <w:jc w:val="both"/>
        <w:rPr>
          <w:lang w:val="de-DE"/>
        </w:rPr>
      </w:pPr>
    </w:p>
    <w:p w14:paraId="599A10E1" w14:textId="77777777" w:rsidR="00626208" w:rsidRPr="004676F5" w:rsidRDefault="00626208" w:rsidP="00626208">
      <w:pPr>
        <w:jc w:val="both"/>
        <w:rPr>
          <w:lang w:val="de-DE"/>
        </w:rPr>
      </w:pPr>
      <w:r w:rsidRPr="004676F5">
        <w:rPr>
          <w:lang w:val="de-DE"/>
        </w:rPr>
        <w:tab/>
        <w:t>2. aggressiv im Sinne der Artikel VI.101 bis VI.103 sind.</w:t>
      </w:r>
    </w:p>
    <w:p w14:paraId="068673CA" w14:textId="77777777" w:rsidR="00626208" w:rsidRPr="004676F5" w:rsidRDefault="00626208" w:rsidP="00626208">
      <w:pPr>
        <w:jc w:val="both"/>
        <w:rPr>
          <w:lang w:val="de-DE"/>
        </w:rPr>
      </w:pPr>
    </w:p>
    <w:p w14:paraId="6F14BD02" w14:textId="77777777" w:rsidR="00AE6697" w:rsidRPr="004676F5" w:rsidRDefault="00AE6697" w:rsidP="00626208">
      <w:pPr>
        <w:jc w:val="both"/>
        <w:rPr>
          <w:lang w:val="de-DE"/>
        </w:rPr>
      </w:pPr>
    </w:p>
    <w:p w14:paraId="09A3F183" w14:textId="2C1E4725"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VI.95</w:t>
      </w:r>
      <w:r w:rsidRPr="004676F5">
        <w:rPr>
          <w:lang w:val="de-DE"/>
        </w:rPr>
        <w:t> </w:t>
      </w:r>
      <w:r w:rsidR="005B7A5C" w:rsidRPr="004676F5">
        <w:rPr>
          <w:lang w:val="de-DE"/>
        </w:rPr>
        <w:t>- </w:t>
      </w:r>
      <w:r w:rsidRPr="004676F5">
        <w:rPr>
          <w:lang w:val="de-DE"/>
        </w:rPr>
        <w:t>Unlautere Geschäftspraktiken von Unternehmen gegenüber Verbrauchern sind verboten.</w:t>
      </w:r>
    </w:p>
    <w:p w14:paraId="7174E4C3" w14:textId="77777777" w:rsidR="00626208" w:rsidRPr="004676F5" w:rsidRDefault="00626208" w:rsidP="00626208">
      <w:pPr>
        <w:jc w:val="both"/>
        <w:rPr>
          <w:lang w:val="de-DE"/>
        </w:rPr>
      </w:pPr>
    </w:p>
    <w:p w14:paraId="2C78F332" w14:textId="77777777" w:rsidR="00AE6697" w:rsidRPr="004676F5" w:rsidRDefault="00AE6697" w:rsidP="00626208">
      <w:pPr>
        <w:jc w:val="both"/>
        <w:rPr>
          <w:lang w:val="de-DE"/>
        </w:rPr>
      </w:pPr>
    </w:p>
    <w:p w14:paraId="37167D70" w14:textId="4E054AE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VI.96</w:t>
      </w:r>
      <w:r w:rsidRPr="004676F5">
        <w:rPr>
          <w:lang w:val="de-DE"/>
        </w:rPr>
        <w:t> </w:t>
      </w:r>
      <w:r w:rsidR="005B7A5C" w:rsidRPr="004676F5">
        <w:rPr>
          <w:lang w:val="de-DE"/>
        </w:rPr>
        <w:t>- </w:t>
      </w:r>
      <w:r w:rsidRPr="004676F5">
        <w:rPr>
          <w:lang w:val="de-DE"/>
        </w:rPr>
        <w:t>Ebenfalls verboten sind Handlungen oder Unterlassungen, die gegen die Gesetze zum Schutz der Verbraucherinteressen </w:t>
      </w:r>
      <w:r w:rsidR="005B7A5C" w:rsidRPr="004676F5">
        <w:rPr>
          <w:lang w:val="de-DE"/>
        </w:rPr>
        <w:t>- </w:t>
      </w:r>
      <w:r w:rsidRPr="004676F5">
        <w:rPr>
          <w:lang w:val="de-DE"/>
        </w:rPr>
        <w:t xml:space="preserve">das heißt gegen die im Anhang zur </w:t>
      </w:r>
      <w:r w:rsidR="0069647C" w:rsidRPr="004676F5">
        <w:rPr>
          <w:lang w:val="de-DE"/>
        </w:rPr>
        <w:t>[Verordnung (EU) 2017/2394 des Europäischen Parlaments und des Rates vom 12. Dezember 2017 über die Zusammenarbeit zwischen den für die Durchsetzung der Verbraucherschutzgesetze zuständigen nationalen Behörden und zur Aufhebung der Verordnung (EG) Nr. 2006/2004 erwähnten Verordnungen oder gegen Bestimmungen zur Ausführung dieser Verordnungen oder]</w:t>
      </w:r>
      <w:r w:rsidRPr="004676F5">
        <w:rPr>
          <w:lang w:val="de-DE"/>
        </w:rPr>
        <w:t xml:space="preserve"> gegen die ebenfalls in oben erwähntem Anhang vermerkten Richtlinien, so wie sie umgesetzt worden sind </w:t>
      </w:r>
      <w:r w:rsidR="005B7A5C" w:rsidRPr="004676F5">
        <w:rPr>
          <w:lang w:val="de-DE"/>
        </w:rPr>
        <w:t>- </w:t>
      </w:r>
      <w:r w:rsidRPr="004676F5">
        <w:rPr>
          <w:lang w:val="de-DE"/>
        </w:rPr>
        <w:t>verstoßen und die Kollektivinteressen von Verbrauchern schädigen oder zu schädigen geeignet sind, die in einem anderen Mitgliedstaat der Europäischen Union als dem Mitgliedstaat ansässig sind, in dem die Handlung oder die Unterlassung ihren Ursprung hatte oder stattfand oder in dem das verantwortliche Unternehmen oder der verantwortliche Dienstleistungserbringer ansässig ist oder in dem Beweismittel oder Vermögensgegenstände in Bezug auf die Handlung oder die Unterlassung vorhanden sind.</w:t>
      </w:r>
    </w:p>
    <w:p w14:paraId="74D6F4F8" w14:textId="77777777" w:rsidR="00626208" w:rsidRPr="004676F5" w:rsidRDefault="00626208" w:rsidP="00626208">
      <w:pPr>
        <w:jc w:val="both"/>
        <w:rPr>
          <w:lang w:val="de-DE"/>
        </w:rPr>
      </w:pPr>
    </w:p>
    <w:p w14:paraId="79966F6C" w14:textId="779238A5" w:rsidR="0069647C" w:rsidRPr="004676F5" w:rsidRDefault="0069647C" w:rsidP="00626208">
      <w:pPr>
        <w:jc w:val="both"/>
        <w:rPr>
          <w:i/>
          <w:iCs/>
          <w:lang w:val="de-DE"/>
        </w:rPr>
      </w:pPr>
      <w:r w:rsidRPr="004676F5">
        <w:rPr>
          <w:i/>
          <w:iCs/>
          <w:lang w:val="de-DE"/>
        </w:rPr>
        <w:t>[Art. VI.96 abgeändert durch Art. 3</w:t>
      </w:r>
      <w:r w:rsidRPr="004676F5">
        <w:rPr>
          <w:bCs/>
          <w:i/>
          <w:iCs/>
          <w:lang w:val="de-DE"/>
        </w:rPr>
        <w:t xml:space="preserve"> des G. vom 29. September 2020 (B.S. vom 20. November 2020)]</w:t>
      </w:r>
    </w:p>
    <w:p w14:paraId="7580D2A4" w14:textId="77777777" w:rsidR="00AE6697" w:rsidRPr="004676F5" w:rsidRDefault="00AE6697" w:rsidP="00626208">
      <w:pPr>
        <w:jc w:val="both"/>
        <w:rPr>
          <w:lang w:val="de-DE"/>
        </w:rPr>
      </w:pPr>
    </w:p>
    <w:p w14:paraId="6A1DC3DA" w14:textId="7CA0DE62" w:rsidR="00626208" w:rsidRPr="004676F5" w:rsidRDefault="00626208" w:rsidP="00626208">
      <w:pPr>
        <w:jc w:val="center"/>
        <w:rPr>
          <w:lang w:val="de-DE"/>
        </w:rPr>
      </w:pPr>
      <w:r w:rsidRPr="004676F5">
        <w:rPr>
          <w:i/>
          <w:lang w:val="de-DE"/>
        </w:rPr>
        <w:t>Abschnitt 3</w:t>
      </w:r>
      <w:r w:rsidRPr="004676F5">
        <w:rPr>
          <w:lang w:val="de-DE"/>
        </w:rPr>
        <w:t> </w:t>
      </w:r>
      <w:r w:rsidR="005B7A5C" w:rsidRPr="004676F5">
        <w:rPr>
          <w:lang w:val="de-DE"/>
        </w:rPr>
        <w:t>- </w:t>
      </w:r>
      <w:r w:rsidRPr="004676F5">
        <w:rPr>
          <w:lang w:val="de-DE"/>
        </w:rPr>
        <w:t>Irreführende Geschäftspraktiken</w:t>
      </w:r>
    </w:p>
    <w:p w14:paraId="12EF8027" w14:textId="77777777" w:rsidR="00626208" w:rsidRPr="004676F5" w:rsidRDefault="00626208" w:rsidP="00626208">
      <w:pPr>
        <w:jc w:val="both"/>
        <w:rPr>
          <w:lang w:val="de-DE"/>
        </w:rPr>
      </w:pPr>
    </w:p>
    <w:p w14:paraId="0914189C" w14:textId="77777777" w:rsidR="00AE6697" w:rsidRPr="004676F5" w:rsidRDefault="00AE6697" w:rsidP="00626208">
      <w:pPr>
        <w:jc w:val="both"/>
        <w:rPr>
          <w:lang w:val="de-DE"/>
        </w:rPr>
      </w:pPr>
    </w:p>
    <w:p w14:paraId="6300D43D" w14:textId="4EAB058D"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VI.97</w:t>
      </w:r>
      <w:r w:rsidRPr="004676F5">
        <w:rPr>
          <w:lang w:val="de-DE"/>
        </w:rPr>
        <w:t> </w:t>
      </w:r>
      <w:r w:rsidR="005B7A5C" w:rsidRPr="004676F5">
        <w:rPr>
          <w:lang w:val="de-DE"/>
        </w:rPr>
        <w:t>- </w:t>
      </w:r>
      <w:r w:rsidRPr="004676F5">
        <w:rPr>
          <w:lang w:val="de-DE"/>
        </w:rPr>
        <w:t>Eine Geschäftspraxis gilt als irreführend, wenn sie falsche Angaben enthält und somit unwahr ist oder wenn sie in irgendeiner Weise, einschließlich sämtlicher Umstände ihrer Präsentation, selbst mit sachlich richtigen Angaben den Durchschnitts</w:t>
      </w:r>
      <w:r w:rsidRPr="004676F5">
        <w:rPr>
          <w:lang w:val="de-DE"/>
        </w:rPr>
        <w:softHyphen/>
        <w:t>verbraucher in Bezug auf einen oder mehrere der folgenden Punkte täuscht oder ihn zu täuschen geeignet ist und ihn in jedem Fall tatsächlich oder voraussichtlich zu einer geschäftlichen Entscheidung veranlasst, die er ansonsten nicht getroffen hätte:</w:t>
      </w:r>
    </w:p>
    <w:p w14:paraId="31DB1183" w14:textId="77777777" w:rsidR="00626208" w:rsidRPr="004676F5" w:rsidRDefault="00626208" w:rsidP="00626208">
      <w:pPr>
        <w:jc w:val="both"/>
        <w:rPr>
          <w:lang w:val="de-DE"/>
        </w:rPr>
      </w:pPr>
    </w:p>
    <w:p w14:paraId="3C3B90E7" w14:textId="77777777" w:rsidR="00626208" w:rsidRPr="004676F5" w:rsidRDefault="00626208" w:rsidP="00626208">
      <w:pPr>
        <w:jc w:val="both"/>
        <w:rPr>
          <w:lang w:val="de-DE"/>
        </w:rPr>
      </w:pPr>
      <w:r w:rsidRPr="004676F5">
        <w:rPr>
          <w:lang w:val="de-DE"/>
        </w:rPr>
        <w:tab/>
        <w:t>1. Vorhandensein oder Art des Produkts,</w:t>
      </w:r>
    </w:p>
    <w:p w14:paraId="5432BE3D" w14:textId="77777777" w:rsidR="00626208" w:rsidRPr="004676F5" w:rsidRDefault="00626208" w:rsidP="00626208">
      <w:pPr>
        <w:jc w:val="both"/>
        <w:rPr>
          <w:lang w:val="de-DE"/>
        </w:rPr>
      </w:pPr>
    </w:p>
    <w:p w14:paraId="39B91F93" w14:textId="77777777" w:rsidR="00626208" w:rsidRPr="004676F5" w:rsidRDefault="00626208" w:rsidP="00626208">
      <w:pPr>
        <w:jc w:val="both"/>
        <w:rPr>
          <w:lang w:val="de-DE"/>
        </w:rPr>
      </w:pPr>
      <w:r w:rsidRPr="004676F5">
        <w:rPr>
          <w:lang w:val="de-DE"/>
        </w:rPr>
        <w:tab/>
        <w:t>2. wesentliche Merkmale des Produkts wie Verfügbarkeit, Vorteile, Risiken, Ausführung, Zusammensetzung, Zubehör, Kundendienst und Beschwerdeverfahren, Verfahren und Zeitpunkt der Herstellung oder Erbringung, Lieferung, Zwecktauglichkeit, Verwendung, Menge, Beschaffenheit, geographische oder kommerzielle Herkunft oder von der Verwendung zu erwartende Ergebnisse oder Ergebnisse und wesentliche Merkmale von Tests oder Untersuchungen, denen das Produkt unterzogen wurde,</w:t>
      </w:r>
    </w:p>
    <w:p w14:paraId="0DFD1615" w14:textId="77777777" w:rsidR="00626208" w:rsidRPr="004676F5" w:rsidRDefault="00626208" w:rsidP="00626208">
      <w:pPr>
        <w:jc w:val="both"/>
        <w:rPr>
          <w:lang w:val="de-DE"/>
        </w:rPr>
      </w:pPr>
    </w:p>
    <w:p w14:paraId="4144E8A3" w14:textId="77777777" w:rsidR="00626208" w:rsidRPr="004676F5" w:rsidRDefault="00626208" w:rsidP="00626208">
      <w:pPr>
        <w:jc w:val="both"/>
        <w:rPr>
          <w:lang w:val="de-DE"/>
        </w:rPr>
      </w:pPr>
      <w:r w:rsidRPr="004676F5">
        <w:rPr>
          <w:lang w:val="de-DE"/>
        </w:rPr>
        <w:tab/>
        <w:t>3. Umfang der Verpflichtungen des Unternehmens, Beweggründe für die Geschäftspraxis und Art des Vertriebsverfahrens, Aussagen oder Symbole jeder Art, die im Zusammenhang mit direktem oder indirektem Sponsoring stehen oder sich auf eine Zulassung des Unternehmens oder des Produkts beziehen,</w:t>
      </w:r>
    </w:p>
    <w:p w14:paraId="0B9D9A39" w14:textId="77777777" w:rsidR="00626208" w:rsidRPr="004676F5" w:rsidRDefault="00626208" w:rsidP="00626208">
      <w:pPr>
        <w:jc w:val="both"/>
        <w:rPr>
          <w:lang w:val="de-DE"/>
        </w:rPr>
      </w:pPr>
    </w:p>
    <w:p w14:paraId="38322A7D" w14:textId="77777777" w:rsidR="00626208" w:rsidRPr="004676F5" w:rsidRDefault="00626208" w:rsidP="00626208">
      <w:pPr>
        <w:jc w:val="both"/>
        <w:rPr>
          <w:lang w:val="de-DE"/>
        </w:rPr>
      </w:pPr>
      <w:r w:rsidRPr="004676F5">
        <w:rPr>
          <w:lang w:val="de-DE"/>
        </w:rPr>
        <w:tab/>
        <w:t>4. Preis, Art der Preisberechnung oder Vorhandensein eines besonderen Preisvorteils,</w:t>
      </w:r>
    </w:p>
    <w:p w14:paraId="7794D692" w14:textId="77777777" w:rsidR="00626208" w:rsidRPr="004676F5" w:rsidRDefault="00626208" w:rsidP="00626208">
      <w:pPr>
        <w:jc w:val="both"/>
        <w:rPr>
          <w:lang w:val="de-DE"/>
        </w:rPr>
      </w:pPr>
    </w:p>
    <w:p w14:paraId="23F8A516" w14:textId="77777777" w:rsidR="00626208" w:rsidRPr="004676F5" w:rsidRDefault="00626208" w:rsidP="00626208">
      <w:pPr>
        <w:jc w:val="both"/>
        <w:rPr>
          <w:lang w:val="de-DE"/>
        </w:rPr>
      </w:pPr>
      <w:r w:rsidRPr="004676F5">
        <w:rPr>
          <w:lang w:val="de-DE"/>
        </w:rPr>
        <w:tab/>
        <w:t>5. Notwendigkeit einer Leistung, eines Ersatzteils, eines Austauschs oder einer Reparatur,</w:t>
      </w:r>
    </w:p>
    <w:p w14:paraId="14E21530" w14:textId="77777777" w:rsidR="00626208" w:rsidRPr="004676F5" w:rsidRDefault="00626208" w:rsidP="00626208">
      <w:pPr>
        <w:jc w:val="both"/>
        <w:rPr>
          <w:lang w:val="de-DE"/>
        </w:rPr>
      </w:pPr>
    </w:p>
    <w:p w14:paraId="40537DE5" w14:textId="77777777" w:rsidR="00626208" w:rsidRPr="004676F5" w:rsidRDefault="00626208" w:rsidP="00626208">
      <w:pPr>
        <w:jc w:val="both"/>
        <w:rPr>
          <w:lang w:val="de-DE"/>
        </w:rPr>
      </w:pPr>
      <w:r w:rsidRPr="004676F5">
        <w:rPr>
          <w:lang w:val="de-DE"/>
        </w:rPr>
        <w:tab/>
        <w:t xml:space="preserve">6. Person, Eigenschaften und Rechte des Unternehmens oder seines Vertreters, wie Identität und Vermögen, Befähigungen, Status, Zulassung, Mitgliedschaften oder Beziehungen </w:t>
      </w:r>
      <w:r w:rsidRPr="004676F5">
        <w:rPr>
          <w:lang w:val="de-DE"/>
        </w:rPr>
        <w:lastRenderedPageBreak/>
        <w:t>und gewerbliche, kommerzielle oder geistige Eigentumsrechte oder Auszeichnungen und Ehrungen,</w:t>
      </w:r>
    </w:p>
    <w:p w14:paraId="5E11A184" w14:textId="77777777" w:rsidR="00626208" w:rsidRPr="004676F5" w:rsidRDefault="00626208" w:rsidP="00626208">
      <w:pPr>
        <w:jc w:val="both"/>
        <w:rPr>
          <w:lang w:val="de-DE"/>
        </w:rPr>
      </w:pPr>
    </w:p>
    <w:p w14:paraId="656E314C" w14:textId="68C54129" w:rsidR="00626208" w:rsidRPr="004676F5" w:rsidRDefault="00626208" w:rsidP="00AE6697">
      <w:pPr>
        <w:jc w:val="both"/>
        <w:rPr>
          <w:lang w:val="de-DE"/>
        </w:rPr>
      </w:pPr>
      <w:r w:rsidRPr="004676F5">
        <w:rPr>
          <w:lang w:val="de-DE"/>
        </w:rPr>
        <w:tab/>
        <w:t xml:space="preserve">7. Rechte des Verbrauchers einschließlich des Rechts auf Ersatzlieferung oder Erstattung </w:t>
      </w:r>
      <w:r w:rsidR="009B66E2" w:rsidRPr="004676F5">
        <w:rPr>
          <w:lang w:val="de-DE"/>
        </w:rPr>
        <w:t>[einer Ware, eines digitalen Inhalts oder einer digitalen Dienstleistung gemäß den Artikeln 1649</w:t>
      </w:r>
      <w:r w:rsidR="009B66E2" w:rsidRPr="004676F5">
        <w:rPr>
          <w:i/>
          <w:iCs/>
          <w:lang w:val="de-DE"/>
        </w:rPr>
        <w:t>bis</w:t>
      </w:r>
      <w:r w:rsidR="009B66E2" w:rsidRPr="004676F5">
        <w:rPr>
          <w:lang w:val="de-DE"/>
        </w:rPr>
        <w:t xml:space="preserve"> bis 1649</w:t>
      </w:r>
      <w:r w:rsidR="009B66E2" w:rsidRPr="004676F5">
        <w:rPr>
          <w:i/>
          <w:iCs/>
          <w:lang w:val="de-DE"/>
        </w:rPr>
        <w:t>nonies</w:t>
      </w:r>
      <w:r w:rsidR="009B66E2" w:rsidRPr="004676F5">
        <w:rPr>
          <w:lang w:val="de-DE"/>
        </w:rPr>
        <w:t xml:space="preserve"> und 1701/1 bis 1701/19 des früheren Zivilgesetzbuches]</w:t>
      </w:r>
      <w:r w:rsidRPr="004676F5">
        <w:rPr>
          <w:lang w:val="de-DE"/>
        </w:rPr>
        <w:t xml:space="preserve"> oder Risiken, denen er sich möglicherweise aussetzt.</w:t>
      </w:r>
    </w:p>
    <w:p w14:paraId="273718BC" w14:textId="77777777" w:rsidR="009B66E2" w:rsidRPr="004676F5" w:rsidRDefault="009B66E2" w:rsidP="00AE6697">
      <w:pPr>
        <w:jc w:val="both"/>
        <w:rPr>
          <w:lang w:val="de-DE"/>
        </w:rPr>
      </w:pPr>
    </w:p>
    <w:p w14:paraId="6A92C787" w14:textId="53FBA151" w:rsidR="009B66E2" w:rsidRPr="004676F5" w:rsidRDefault="009B66E2" w:rsidP="00AE6697">
      <w:pPr>
        <w:jc w:val="both"/>
        <w:rPr>
          <w:i/>
          <w:iCs/>
          <w:lang w:val="de-DE"/>
        </w:rPr>
      </w:pPr>
      <w:r w:rsidRPr="004676F5">
        <w:rPr>
          <w:i/>
          <w:iCs/>
          <w:lang w:val="de-DE"/>
        </w:rPr>
        <w:t>[Art. VI.97 einziger Absatz Nr. 7 abgeändert durch Art. 16</w:t>
      </w:r>
      <w:r w:rsidRPr="004676F5">
        <w:rPr>
          <w:bCs/>
          <w:i/>
          <w:iCs/>
          <w:lang w:val="de-DE"/>
        </w:rPr>
        <w:t xml:space="preserve"> des G. vom 20. März 2022 (B.S. vom 31. März 2022)]</w:t>
      </w:r>
      <w:r w:rsidRPr="004676F5">
        <w:rPr>
          <w:lang w:val="de-DE"/>
        </w:rPr>
        <w:t xml:space="preserve"> </w:t>
      </w:r>
    </w:p>
    <w:p w14:paraId="4F662379" w14:textId="77777777" w:rsidR="008A3633" w:rsidRPr="004676F5" w:rsidRDefault="008A3633" w:rsidP="00626208">
      <w:pPr>
        <w:jc w:val="both"/>
        <w:rPr>
          <w:lang w:val="de-DE"/>
        </w:rPr>
      </w:pPr>
    </w:p>
    <w:p w14:paraId="1C6BC442" w14:textId="77777777" w:rsidR="008A3633" w:rsidRPr="004676F5" w:rsidRDefault="008A3633" w:rsidP="00626208">
      <w:pPr>
        <w:jc w:val="both"/>
        <w:rPr>
          <w:lang w:val="de-DE"/>
        </w:rPr>
      </w:pPr>
    </w:p>
    <w:p w14:paraId="6D54CFA5" w14:textId="474D4932"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VI.98</w:t>
      </w:r>
      <w:r w:rsidRPr="004676F5">
        <w:rPr>
          <w:lang w:val="de-DE"/>
        </w:rPr>
        <w:t> </w:t>
      </w:r>
      <w:r w:rsidR="005B7A5C" w:rsidRPr="004676F5">
        <w:rPr>
          <w:lang w:val="de-DE"/>
        </w:rPr>
        <w:t>- </w:t>
      </w:r>
      <w:r w:rsidRPr="004676F5">
        <w:rPr>
          <w:lang w:val="de-DE"/>
        </w:rPr>
        <w:t>Eine Geschäftspraxis gilt ferner als irreführend, wenn sie im konkreten Fall unter Berücksichtigung aller tatsächlichen Umstände einen Durchschnittsverbraucher zu einer geschäftlichen Entscheidung veranlasst oder zu veranlassen geeignet ist, die er ansonsten nicht getroffen hätte, und Folgendes beinhaltet:</w:t>
      </w:r>
    </w:p>
    <w:p w14:paraId="69AEEB91" w14:textId="77777777" w:rsidR="00626208" w:rsidRPr="004676F5" w:rsidRDefault="00626208" w:rsidP="00626208">
      <w:pPr>
        <w:jc w:val="both"/>
        <w:rPr>
          <w:lang w:val="de-DE"/>
        </w:rPr>
      </w:pPr>
    </w:p>
    <w:p w14:paraId="769018FA" w14:textId="77777777" w:rsidR="00626208" w:rsidRPr="004676F5" w:rsidRDefault="00626208" w:rsidP="00626208">
      <w:pPr>
        <w:jc w:val="both"/>
        <w:rPr>
          <w:lang w:val="de-DE"/>
        </w:rPr>
      </w:pPr>
      <w:r w:rsidRPr="004676F5">
        <w:rPr>
          <w:lang w:val="de-DE"/>
        </w:rPr>
        <w:tab/>
        <w:t>1. jegliche Art der Vermarktung eines Produkts, einschließlich vergleichender Werbung, die eine Verwechslungsgefahr mit einem anderen Produkt, einer Marke, einem Handelsnamen oder einem anderen Unterscheidungszeichen eines Mitbewerbers begründet,</w:t>
      </w:r>
    </w:p>
    <w:p w14:paraId="111B1FF7" w14:textId="77777777" w:rsidR="00626208" w:rsidRPr="004676F5" w:rsidRDefault="00626208" w:rsidP="00626208">
      <w:pPr>
        <w:jc w:val="both"/>
        <w:rPr>
          <w:lang w:val="de-DE"/>
        </w:rPr>
      </w:pPr>
    </w:p>
    <w:p w14:paraId="58A604FF" w14:textId="77777777" w:rsidR="00626208" w:rsidRPr="004676F5" w:rsidRDefault="00626208" w:rsidP="00626208">
      <w:pPr>
        <w:jc w:val="both"/>
        <w:rPr>
          <w:lang w:val="de-DE"/>
        </w:rPr>
      </w:pPr>
      <w:r w:rsidRPr="004676F5">
        <w:rPr>
          <w:lang w:val="de-DE"/>
        </w:rPr>
        <w:tab/>
        <w:t>2. Nichteinhaltung von Verpflichtungen, die das Unternehmen im Rahmen von Verhaltenskodizes, auf die es sich verpflichtet hat, eingegangen ist, sofern:</w:t>
      </w:r>
    </w:p>
    <w:p w14:paraId="741A824D" w14:textId="77777777" w:rsidR="00626208" w:rsidRPr="004676F5" w:rsidRDefault="00626208" w:rsidP="00626208">
      <w:pPr>
        <w:jc w:val="both"/>
        <w:rPr>
          <w:lang w:val="de-DE"/>
        </w:rPr>
      </w:pPr>
    </w:p>
    <w:p w14:paraId="3805B1BE"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es sich nicht um eine Absichtserklärung, sondern um eine eindeutige Verpflichtung handelt, deren Einhaltung nachprüfbar ist, und</w:t>
      </w:r>
    </w:p>
    <w:p w14:paraId="4D80A3E8" w14:textId="77777777" w:rsidR="00626208" w:rsidRPr="004676F5" w:rsidRDefault="00626208" w:rsidP="00626208">
      <w:pPr>
        <w:jc w:val="both"/>
        <w:rPr>
          <w:lang w:val="de-DE"/>
        </w:rPr>
      </w:pPr>
    </w:p>
    <w:p w14:paraId="5B1CEBF9" w14:textId="6840B3CD" w:rsidR="00626208" w:rsidRPr="004676F5" w:rsidRDefault="00626208" w:rsidP="00626208">
      <w:pPr>
        <w:jc w:val="both"/>
        <w:rPr>
          <w:lang w:val="de-DE"/>
        </w:rPr>
      </w:pPr>
      <w:r w:rsidRPr="004676F5">
        <w:rPr>
          <w:lang w:val="de-DE"/>
        </w:rPr>
        <w:tab/>
      </w:r>
      <w:r w:rsidRPr="004676F5">
        <w:rPr>
          <w:i/>
          <w:lang w:val="de-DE"/>
        </w:rPr>
        <w:t>b)</w:t>
      </w:r>
      <w:r w:rsidRPr="004676F5">
        <w:rPr>
          <w:lang w:val="de-DE"/>
        </w:rPr>
        <w:t> das Unternehmen im Rahmen einer Geschäftspraxis darauf hinweist, dass es durch den Kodex gebunden ist</w:t>
      </w:r>
      <w:r w:rsidR="009B66E2" w:rsidRPr="004676F5">
        <w:rPr>
          <w:lang w:val="de-DE"/>
        </w:rPr>
        <w:t>,</w:t>
      </w:r>
    </w:p>
    <w:p w14:paraId="1F66AE66" w14:textId="77777777" w:rsidR="009B66E2" w:rsidRPr="004676F5" w:rsidRDefault="009B66E2" w:rsidP="00626208">
      <w:pPr>
        <w:jc w:val="both"/>
        <w:rPr>
          <w:lang w:val="de-DE"/>
        </w:rPr>
      </w:pPr>
    </w:p>
    <w:p w14:paraId="654C6B9E" w14:textId="37D17B2F" w:rsidR="009B66E2" w:rsidRPr="004676F5" w:rsidRDefault="009B66E2" w:rsidP="00626208">
      <w:pPr>
        <w:jc w:val="both"/>
        <w:rPr>
          <w:lang w:val="de-DE"/>
        </w:rPr>
      </w:pPr>
      <w:r w:rsidRPr="004676F5">
        <w:rPr>
          <w:lang w:val="de-DE"/>
        </w:rPr>
        <w:tab/>
        <w:t>[3. jegliche Art der Vermarktung einer Ware in einem Mitgliedstaat als identisch mit einer in anderen Mitgliedstaaten vermarkteten Ware, obgleich sich diese Waren in ihrer Zusammensetzung oder ihren Merkmalen wesentlich voneinander unterscheiden, sofern dies nicht durch legitime und objektive Faktoren gerechtfertigt ist.]</w:t>
      </w:r>
    </w:p>
    <w:p w14:paraId="7C1CFA6A" w14:textId="7EBFBA40" w:rsidR="009B66E2" w:rsidRPr="004676F5" w:rsidRDefault="009B66E2" w:rsidP="00626208">
      <w:pPr>
        <w:jc w:val="both"/>
        <w:rPr>
          <w:lang w:val="de-DE"/>
        </w:rPr>
      </w:pPr>
      <w:r w:rsidRPr="004676F5">
        <w:rPr>
          <w:lang w:val="de-DE"/>
        </w:rPr>
        <w:tab/>
      </w:r>
    </w:p>
    <w:p w14:paraId="24EB49A1" w14:textId="63BFC052" w:rsidR="009B66E2" w:rsidRPr="004676F5" w:rsidRDefault="009B66E2" w:rsidP="00626208">
      <w:pPr>
        <w:jc w:val="both"/>
        <w:rPr>
          <w:i/>
          <w:iCs/>
          <w:lang w:val="de-DE"/>
        </w:rPr>
      </w:pPr>
      <w:r w:rsidRPr="004676F5">
        <w:rPr>
          <w:i/>
          <w:iCs/>
          <w:lang w:val="de-DE"/>
        </w:rPr>
        <w:t>[Art. VI.98 einziger Absatz Nr. 3 eingefügt durch Art. 29 des G. vom 8. Mai 2022 (B.S. vom 2. Juni 2022)</w:t>
      </w:r>
      <w:r w:rsidR="002C3625" w:rsidRPr="004676F5">
        <w:rPr>
          <w:i/>
          <w:iCs/>
          <w:lang w:val="de-DE"/>
        </w:rPr>
        <w:t>]</w:t>
      </w:r>
    </w:p>
    <w:p w14:paraId="7F95907C" w14:textId="77777777" w:rsidR="00626208" w:rsidRPr="004676F5" w:rsidRDefault="00626208" w:rsidP="00626208">
      <w:pPr>
        <w:jc w:val="both"/>
        <w:rPr>
          <w:lang w:val="de-DE"/>
        </w:rPr>
      </w:pPr>
    </w:p>
    <w:p w14:paraId="27D4EDDE" w14:textId="77777777" w:rsidR="008A3633" w:rsidRPr="004676F5" w:rsidRDefault="008A3633" w:rsidP="00626208">
      <w:pPr>
        <w:jc w:val="both"/>
        <w:rPr>
          <w:lang w:val="de-DE"/>
        </w:rPr>
      </w:pPr>
    </w:p>
    <w:p w14:paraId="2EB62B33" w14:textId="5B76F62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VI.99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Eine Geschäftspraxis gilt als irreführende Unterlassung, wenn sie im konkreten Fall unter Berücksichtigung aller tatsächlichen Umstände und der Beschränkungen des Kommunikationsmediums wesentliche Informationen vorenthält, die der Durchschnitts</w:t>
      </w:r>
      <w:r w:rsidRPr="004676F5">
        <w:rPr>
          <w:lang w:val="de-DE"/>
        </w:rPr>
        <w:softHyphen/>
        <w:t>verbraucher je nach den Umständen benötigt, um eine informierte geschäftliche Entscheidung zu treffen, und die somit einen Durchschnittsverbraucher zu einer geschäftlichen Entscheidung veranlasst oder zu veranlassen geeignet ist, die er ansonsten nicht getroffen hätte.</w:t>
      </w:r>
    </w:p>
    <w:p w14:paraId="1DA41D4B" w14:textId="77777777" w:rsidR="00626208" w:rsidRPr="004676F5" w:rsidRDefault="00626208" w:rsidP="00626208">
      <w:pPr>
        <w:jc w:val="both"/>
        <w:rPr>
          <w:lang w:val="de-DE"/>
        </w:rPr>
      </w:pPr>
    </w:p>
    <w:p w14:paraId="3C0490F3" w14:textId="7D9276AA"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 xml:space="preserve">Eine Geschäftspraxis gilt auch als irreführende Unterlassung, wenn ein Unternehmen wesentliche Informationen gemäß § 1 unter Berücksichtigung der darin beschriebenen Einzelheiten verheimlicht oder auf unklare, unverständliche, zweideutige Weise oder nicht rechtzeitig bereitstellt oder wenn es den kommerziellen Zweck der Geschäftspraxis nicht kenntlich macht, sofern er sich nicht unmittelbar aus den Umständen ergibt, und dies </w:t>
      </w:r>
      <w:r w:rsidRPr="004676F5">
        <w:rPr>
          <w:lang w:val="de-DE"/>
        </w:rPr>
        <w:lastRenderedPageBreak/>
        <w:t>jeweils einen Durchschnittsverbraucher zu einer geschäftlichen Entscheidung veranlasst oder zu veranlassen geeignet ist, die er ansonsten nicht getroffen hätte.</w:t>
      </w:r>
    </w:p>
    <w:p w14:paraId="163997CA" w14:textId="77777777" w:rsidR="00626208" w:rsidRPr="004676F5" w:rsidRDefault="00626208" w:rsidP="00626208">
      <w:pPr>
        <w:jc w:val="both"/>
        <w:rPr>
          <w:lang w:val="de-DE"/>
        </w:rPr>
      </w:pPr>
    </w:p>
    <w:p w14:paraId="3A80EE3C" w14:textId="6F27A22B"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Werden durch das für die Geschäftspraxis verwendete Kommunikationsmedium räumliche oder zeitliche Beschränkungen auferlegt, so werden diese Beschränkungen und alle Maßnahmen, die das Unternehmen getroffen hat, um den Verbrauchern die Informationen anderweitig zur Verfügung zu stellen, bei der Entscheidung darüber, ob Informationen vorenthalten wurden, berücksichtigt.</w:t>
      </w:r>
    </w:p>
    <w:p w14:paraId="7F404311" w14:textId="77777777" w:rsidR="00626208" w:rsidRPr="004676F5" w:rsidRDefault="00626208" w:rsidP="00626208">
      <w:pPr>
        <w:jc w:val="both"/>
        <w:rPr>
          <w:lang w:val="de-DE"/>
        </w:rPr>
      </w:pPr>
    </w:p>
    <w:p w14:paraId="5F59EA1F" w14:textId="35DB2787" w:rsidR="00626208" w:rsidRPr="004676F5" w:rsidRDefault="00626208" w:rsidP="00626208">
      <w:pPr>
        <w:jc w:val="both"/>
        <w:rPr>
          <w:lang w:val="de-DE"/>
        </w:rPr>
      </w:pPr>
      <w:r w:rsidRPr="004676F5">
        <w:rPr>
          <w:lang w:val="de-DE"/>
        </w:rPr>
        <w:tab/>
        <w:t>§ 4 </w:t>
      </w:r>
      <w:r w:rsidR="005B7A5C" w:rsidRPr="004676F5">
        <w:rPr>
          <w:lang w:val="de-DE"/>
        </w:rPr>
        <w:t>- </w:t>
      </w:r>
      <w:r w:rsidRPr="004676F5">
        <w:rPr>
          <w:lang w:val="de-DE"/>
        </w:rPr>
        <w:t>Im Falle der Aufforderung zum Kauf gelten folgende Informationen als wesentlich, sofern sie sich nicht unmittelbar aus den Umständen ergeben:</w:t>
      </w:r>
    </w:p>
    <w:p w14:paraId="17778659" w14:textId="77777777" w:rsidR="00626208" w:rsidRPr="004676F5" w:rsidRDefault="00626208" w:rsidP="00626208">
      <w:pPr>
        <w:jc w:val="both"/>
        <w:rPr>
          <w:lang w:val="de-DE"/>
        </w:rPr>
      </w:pPr>
    </w:p>
    <w:p w14:paraId="5F69CB10" w14:textId="77777777" w:rsidR="00626208" w:rsidRPr="004676F5" w:rsidRDefault="00626208" w:rsidP="00626208">
      <w:pPr>
        <w:jc w:val="both"/>
        <w:rPr>
          <w:lang w:val="de-DE"/>
        </w:rPr>
      </w:pPr>
      <w:r w:rsidRPr="004676F5">
        <w:rPr>
          <w:lang w:val="de-DE"/>
        </w:rPr>
        <w:tab/>
        <w:t>1. wesentliche Merkmale der Produkte in dem für das Medium und das Produkt angemessenen Umfang,</w:t>
      </w:r>
    </w:p>
    <w:p w14:paraId="78A010A2" w14:textId="77777777" w:rsidR="00626208" w:rsidRPr="004676F5" w:rsidRDefault="00626208" w:rsidP="00626208">
      <w:pPr>
        <w:jc w:val="both"/>
        <w:rPr>
          <w:lang w:val="de-DE"/>
        </w:rPr>
      </w:pPr>
    </w:p>
    <w:p w14:paraId="2FAAFF4E" w14:textId="77777777" w:rsidR="00626208" w:rsidRPr="004676F5" w:rsidRDefault="00626208" w:rsidP="00626208">
      <w:pPr>
        <w:jc w:val="both"/>
        <w:rPr>
          <w:lang w:val="de-DE"/>
        </w:rPr>
      </w:pPr>
      <w:r w:rsidRPr="004676F5">
        <w:rPr>
          <w:lang w:val="de-DE"/>
        </w:rPr>
        <w:tab/>
        <w:t>2. geographische Anschrift und Identität des Unternehmens und gegebenenfalls geographische Anschrift und Identität des Unternehmens, für das es handelt,</w:t>
      </w:r>
    </w:p>
    <w:p w14:paraId="4E110EE7" w14:textId="77777777" w:rsidR="00626208" w:rsidRPr="004676F5" w:rsidRDefault="00626208" w:rsidP="00626208">
      <w:pPr>
        <w:jc w:val="both"/>
        <w:rPr>
          <w:lang w:val="de-DE"/>
        </w:rPr>
      </w:pPr>
    </w:p>
    <w:p w14:paraId="7F759D43" w14:textId="0BD4009D" w:rsidR="00626208" w:rsidRPr="004676F5" w:rsidRDefault="00626208" w:rsidP="00626208">
      <w:pPr>
        <w:jc w:val="both"/>
        <w:rPr>
          <w:lang w:val="de-DE"/>
        </w:rPr>
      </w:pPr>
      <w:r w:rsidRPr="004676F5">
        <w:rPr>
          <w:lang w:val="de-DE"/>
        </w:rPr>
        <w:tab/>
        <w:t>3. Preis einschließlich aller Steuern und Abgaben oder in Fällen, in denen der Preis aufgrund der Beschaffenheit des Produkts vernünftigerweise nicht im Voraus berechnet werden kann, Art der Preisberechnung und gegebenenfalls alle zusätzlichen Fracht-, Liefer</w:t>
      </w:r>
      <w:r w:rsidR="005B7A5C" w:rsidRPr="004676F5">
        <w:rPr>
          <w:lang w:val="de-DE"/>
        </w:rPr>
        <w:t>- </w:t>
      </w:r>
      <w:r w:rsidRPr="004676F5">
        <w:rPr>
          <w:lang w:val="de-DE"/>
        </w:rPr>
        <w:t>oder Zustellkosten oder in Fällen, in denen diese Kosten vernünftigerweise nicht im Voraus berechnet werden können, Tatsache, dass diese Kosten zu Lasten des Verbrauchers gehen können,</w:t>
      </w:r>
    </w:p>
    <w:p w14:paraId="5E1F2260" w14:textId="77777777" w:rsidR="00626208" w:rsidRPr="004676F5" w:rsidRDefault="00626208" w:rsidP="00626208">
      <w:pPr>
        <w:jc w:val="both"/>
        <w:rPr>
          <w:lang w:val="de-DE"/>
        </w:rPr>
      </w:pPr>
    </w:p>
    <w:p w14:paraId="6B76B3A2" w14:textId="281F8552" w:rsidR="00626208" w:rsidRPr="004676F5" w:rsidRDefault="00626208" w:rsidP="00626208">
      <w:pPr>
        <w:jc w:val="both"/>
        <w:rPr>
          <w:lang w:val="de-DE"/>
        </w:rPr>
      </w:pPr>
      <w:r w:rsidRPr="004676F5">
        <w:rPr>
          <w:lang w:val="de-DE"/>
        </w:rPr>
        <w:tab/>
        <w:t>4. </w:t>
      </w:r>
      <w:r w:rsidR="009B66E2" w:rsidRPr="004676F5">
        <w:rPr>
          <w:lang w:val="de-DE"/>
        </w:rPr>
        <w:t>[Zahlungs-, Liefer</w:t>
      </w:r>
      <w:r w:rsidR="005B7A5C" w:rsidRPr="004676F5">
        <w:rPr>
          <w:lang w:val="de-DE"/>
        </w:rPr>
        <w:t>- </w:t>
      </w:r>
      <w:r w:rsidR="009B66E2" w:rsidRPr="004676F5">
        <w:rPr>
          <w:lang w:val="de-DE"/>
        </w:rPr>
        <w:t>und Leistungsbedingungen, falls sie von den Erfordernissen der beruflichen Sorgfalt abweichen,]</w:t>
      </w:r>
    </w:p>
    <w:p w14:paraId="43D64A3C" w14:textId="77777777" w:rsidR="00626208" w:rsidRPr="004676F5" w:rsidRDefault="00626208" w:rsidP="00626208">
      <w:pPr>
        <w:jc w:val="both"/>
        <w:rPr>
          <w:lang w:val="de-DE"/>
        </w:rPr>
      </w:pPr>
    </w:p>
    <w:p w14:paraId="0EEAA75B" w14:textId="2C471A3E" w:rsidR="00626208" w:rsidRPr="004676F5" w:rsidRDefault="00626208" w:rsidP="00626208">
      <w:pPr>
        <w:jc w:val="both"/>
        <w:rPr>
          <w:lang w:val="de-DE"/>
        </w:rPr>
      </w:pPr>
      <w:r w:rsidRPr="004676F5">
        <w:rPr>
          <w:lang w:val="de-DE"/>
        </w:rPr>
        <w:tab/>
        <w:t>5. gegebenenfalls Bestehen eines Rücktritts</w:t>
      </w:r>
      <w:r w:rsidR="005B7A5C" w:rsidRPr="004676F5">
        <w:rPr>
          <w:lang w:val="de-DE"/>
        </w:rPr>
        <w:t>- </w:t>
      </w:r>
      <w:r w:rsidRPr="004676F5">
        <w:rPr>
          <w:lang w:val="de-DE"/>
        </w:rPr>
        <w:t>oder Widerrufsrechts</w:t>
      </w:r>
      <w:r w:rsidR="009B66E2" w:rsidRPr="004676F5">
        <w:rPr>
          <w:lang w:val="de-DE"/>
        </w:rPr>
        <w:t>,</w:t>
      </w:r>
    </w:p>
    <w:p w14:paraId="4C34086A" w14:textId="77777777" w:rsidR="009B66E2" w:rsidRPr="004676F5" w:rsidRDefault="009B66E2" w:rsidP="00626208">
      <w:pPr>
        <w:jc w:val="both"/>
        <w:rPr>
          <w:lang w:val="de-DE"/>
        </w:rPr>
      </w:pPr>
    </w:p>
    <w:p w14:paraId="6EB081F3" w14:textId="70755386" w:rsidR="009B66E2" w:rsidRPr="004676F5" w:rsidRDefault="009B66E2" w:rsidP="00626208">
      <w:pPr>
        <w:jc w:val="both"/>
        <w:rPr>
          <w:lang w:val="de-DE"/>
        </w:rPr>
      </w:pPr>
      <w:r w:rsidRPr="004676F5">
        <w:rPr>
          <w:lang w:val="de-DE"/>
        </w:rPr>
        <w:tab/>
        <w:t>[6. für Produkte, die auf Online-Marktplätzen angeboten werden, ob es sich bei dem Dritten, der die Produkte anbietet, um ein Unternehmen handelt oder nicht, auf der Grundlage der Erklärung dieses Dritten gegenüber dem Anbieter des Online-Marktplatzes.]</w:t>
      </w:r>
    </w:p>
    <w:p w14:paraId="5B231371" w14:textId="77777777" w:rsidR="00626208" w:rsidRPr="004676F5" w:rsidRDefault="00626208" w:rsidP="00626208">
      <w:pPr>
        <w:jc w:val="both"/>
        <w:rPr>
          <w:lang w:val="de-DE"/>
        </w:rPr>
      </w:pPr>
    </w:p>
    <w:p w14:paraId="6BADB788" w14:textId="6346E22C" w:rsidR="00626208" w:rsidRPr="004676F5" w:rsidRDefault="00626208" w:rsidP="00626208">
      <w:pPr>
        <w:jc w:val="both"/>
        <w:rPr>
          <w:lang w:val="de-DE"/>
        </w:rPr>
      </w:pPr>
      <w:r w:rsidRPr="004676F5">
        <w:rPr>
          <w:lang w:val="de-DE"/>
        </w:rPr>
        <w:tab/>
        <w:t>§ 5 </w:t>
      </w:r>
      <w:r w:rsidR="005B7A5C" w:rsidRPr="004676F5">
        <w:rPr>
          <w:lang w:val="de-DE"/>
        </w:rPr>
        <w:t>- </w:t>
      </w:r>
      <w:r w:rsidRPr="004676F5">
        <w:rPr>
          <w:lang w:val="de-DE"/>
        </w:rPr>
        <w:t>Im Gemeinschaftsrecht festgelegte Informationsanforderungen in Bezug auf kommerzielle Kommunikation einschließlich Werbung und Marketing gelten ebenfalls als wesentlich, unter anderem die Artikel der Richtlinien, die erwähnt sind in Anhang II zur Richtlinie 2005/29/EG des Europäischen Parlaments und des Rates vom 11. Mai 2005 über unlautere Geschäftspraktiken im binnenmarktinternen Geschäftsverkehr zwischen Unternehmen und Verbrauchern und zur Änderung der Richtlinie 84/450/EWG des Rates, der Richtlinien 97/7/EG, 98/27/EG und 2002/65/EG des Europäischen Parlaments und des Rates sowie der Verordnung (EG) Nr. 2006/2004 des Europäischen Parlaments und des Rates.</w:t>
      </w:r>
    </w:p>
    <w:p w14:paraId="0266C250" w14:textId="77777777" w:rsidR="00626208" w:rsidRPr="004676F5" w:rsidRDefault="00626208" w:rsidP="00626208">
      <w:pPr>
        <w:jc w:val="both"/>
        <w:rPr>
          <w:lang w:val="de-DE"/>
        </w:rPr>
      </w:pPr>
    </w:p>
    <w:p w14:paraId="14BD934B" w14:textId="3AEB3F29" w:rsidR="009B66E2" w:rsidRPr="004676F5" w:rsidRDefault="009B66E2" w:rsidP="009B66E2">
      <w:pPr>
        <w:jc w:val="both"/>
        <w:rPr>
          <w:lang w:val="de-DE"/>
        </w:rPr>
      </w:pPr>
      <w:r w:rsidRPr="004676F5">
        <w:rPr>
          <w:lang w:val="de-DE"/>
        </w:rPr>
        <w:tab/>
        <w:t>[§ 6 </w:t>
      </w:r>
      <w:r w:rsidR="005B7A5C" w:rsidRPr="004676F5">
        <w:rPr>
          <w:lang w:val="de-DE"/>
        </w:rPr>
        <w:t>- </w:t>
      </w:r>
      <w:r w:rsidRPr="004676F5">
        <w:rPr>
          <w:lang w:val="de-DE"/>
        </w:rPr>
        <w:t xml:space="preserve">Wenn Verbrauchern die Möglichkeit geboten wird, mithilfe eines Stichworts, einer Wortgruppe oder einer anderen Eingabe nach Produkten zu suchen, die von verschiedenen Unternehmen oder von Verbrauchern angeboten werden, gelten, unabhängig davon, wo Rechtsgeschäfte letztendlich abgeschlossen werden, allgemeine Informationen, die die Hauptparameter für die Festlegung des Rankings der dem Verbraucher im Ergebnis der Suche vorgeschlagenen Produkte und die relative Gewichtung dieser Parameter im Vergleich zu anderen Parametern betreffen und die in einem bestimmten Bereich der Online-Benutzeroberfläche zur Verfügung gestellt werden, der von der Seite, auf der die </w:t>
      </w:r>
      <w:r w:rsidRPr="004676F5">
        <w:rPr>
          <w:lang w:val="de-DE"/>
        </w:rPr>
        <w:lastRenderedPageBreak/>
        <w:t>Suchergebnisse angezeigt werden, unmittelbar und leicht zugänglich ist, als wesentlich. Vorliegender Paragraph gilt nicht für Anbieter von Online-Suchmaschinen im Sinne von Artikel 2 Nr. 6 der Verordnung (EU) 2019/1150 des Europäischen Parlaments und des Rates vom 20. Juni 2019 zur Förderung von Fairness und Transparenz für gewerbliche Nutzer von Online-Vermittlungsdiensten.</w:t>
      </w:r>
    </w:p>
    <w:p w14:paraId="47C85BD8" w14:textId="77777777" w:rsidR="009B66E2" w:rsidRPr="004676F5" w:rsidRDefault="009B66E2" w:rsidP="009B66E2">
      <w:pPr>
        <w:jc w:val="both"/>
        <w:rPr>
          <w:lang w:val="de-DE"/>
        </w:rPr>
      </w:pPr>
    </w:p>
    <w:p w14:paraId="22780ED6" w14:textId="3173F811" w:rsidR="009B66E2" w:rsidRPr="004676F5" w:rsidRDefault="009B66E2" w:rsidP="009B66E2">
      <w:pPr>
        <w:jc w:val="both"/>
        <w:rPr>
          <w:lang w:val="de-DE"/>
        </w:rPr>
      </w:pPr>
      <w:r w:rsidRPr="004676F5">
        <w:rPr>
          <w:lang w:val="de-DE"/>
        </w:rPr>
        <w:tab/>
        <w:t>§ 7 </w:t>
      </w:r>
      <w:r w:rsidR="005B7A5C" w:rsidRPr="004676F5">
        <w:rPr>
          <w:lang w:val="de-DE"/>
        </w:rPr>
        <w:t>- </w:t>
      </w:r>
      <w:r w:rsidRPr="004676F5">
        <w:rPr>
          <w:lang w:val="de-DE"/>
        </w:rPr>
        <w:t>Wenn ein Unternehmen Verbraucherbewertungen von Produkten zugänglich macht, gelten Informationen darüber, ob und wie das Unternehmen sicherstellt, dass die veröffentlichten Bewertungen von Verbrauchern stammen, die die Produkte tatsächlich verwendet oder erworben haben, als wesentlich.]</w:t>
      </w:r>
    </w:p>
    <w:p w14:paraId="5B13DA7D" w14:textId="77777777" w:rsidR="009B66E2" w:rsidRPr="004676F5" w:rsidRDefault="009B66E2" w:rsidP="009B66E2">
      <w:pPr>
        <w:jc w:val="both"/>
        <w:rPr>
          <w:lang w:val="de-DE"/>
        </w:rPr>
      </w:pPr>
    </w:p>
    <w:p w14:paraId="772FC8AB" w14:textId="1C49E19E" w:rsidR="009B66E2" w:rsidRPr="004676F5" w:rsidRDefault="009B66E2" w:rsidP="009B66E2">
      <w:pPr>
        <w:jc w:val="both"/>
        <w:rPr>
          <w:i/>
          <w:iCs/>
          <w:lang w:val="de-DE"/>
        </w:rPr>
      </w:pPr>
      <w:r w:rsidRPr="004676F5">
        <w:rPr>
          <w:i/>
          <w:iCs/>
          <w:lang w:val="de-DE"/>
        </w:rPr>
        <w:t>[Art. VI.99 § 4 einziger Absatz Nr. 4 ersetzt durch Art. </w:t>
      </w:r>
      <w:r w:rsidR="00674794" w:rsidRPr="004676F5">
        <w:rPr>
          <w:i/>
          <w:iCs/>
          <w:lang w:val="de-DE"/>
        </w:rPr>
        <w:t>30 Nr. 1 des G. vom 8. Mai 2022 (B.S. vom 2. Juni 2022); § 4 einziger Absatz Nr. 6 eingefügt durch Art. 30 Nr. 2 des G. vom 8. Mai 2022 (B.S. vom 2. Juni 2022); §§ 6 und 7 eingefügt durch Art. 30 Nr. 3 des G. vom 8. Mai 2022 (B.S. vom 2. Juni 2022)]</w:t>
      </w:r>
    </w:p>
    <w:p w14:paraId="0019D127" w14:textId="77777777" w:rsidR="00674794" w:rsidRPr="004676F5" w:rsidRDefault="00674794" w:rsidP="009B66E2">
      <w:pPr>
        <w:jc w:val="both"/>
        <w:rPr>
          <w:i/>
          <w:iCs/>
          <w:lang w:val="de-DE"/>
        </w:rPr>
      </w:pPr>
    </w:p>
    <w:p w14:paraId="3B392BBD" w14:textId="77777777" w:rsidR="008A3633" w:rsidRPr="004676F5" w:rsidRDefault="008A3633" w:rsidP="00626208">
      <w:pPr>
        <w:jc w:val="both"/>
        <w:rPr>
          <w:lang w:val="de-DE"/>
        </w:rPr>
      </w:pPr>
    </w:p>
    <w:p w14:paraId="1B4FBFBE" w14:textId="33DAE685"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VI.100</w:t>
      </w:r>
      <w:r w:rsidRPr="004676F5">
        <w:rPr>
          <w:lang w:val="de-DE"/>
        </w:rPr>
        <w:t> </w:t>
      </w:r>
      <w:r w:rsidR="005B7A5C" w:rsidRPr="004676F5">
        <w:rPr>
          <w:lang w:val="de-DE"/>
        </w:rPr>
        <w:t>- </w:t>
      </w:r>
      <w:r w:rsidRPr="004676F5">
        <w:rPr>
          <w:lang w:val="de-DE"/>
        </w:rPr>
        <w:t>Unter allen Umständen gelten folgende irreführende Geschäftspraktiken als unlautere Geschäftspraktiken:</w:t>
      </w:r>
    </w:p>
    <w:p w14:paraId="5D7B8A7A" w14:textId="77777777" w:rsidR="00626208" w:rsidRPr="004676F5" w:rsidRDefault="00626208" w:rsidP="00626208">
      <w:pPr>
        <w:jc w:val="both"/>
        <w:rPr>
          <w:lang w:val="de-DE"/>
        </w:rPr>
      </w:pPr>
    </w:p>
    <w:p w14:paraId="677C5BD6" w14:textId="77777777" w:rsidR="00626208" w:rsidRPr="004676F5" w:rsidRDefault="00626208" w:rsidP="00626208">
      <w:pPr>
        <w:jc w:val="both"/>
        <w:rPr>
          <w:lang w:val="de-DE"/>
        </w:rPr>
      </w:pPr>
      <w:r w:rsidRPr="004676F5">
        <w:rPr>
          <w:lang w:val="de-DE"/>
        </w:rPr>
        <w:tab/>
        <w:t>1. Behauptung, zu den Unterzeichnern eines Verhaltenskodex zu gehören, obgleich dies nicht der Fall ist,</w:t>
      </w:r>
    </w:p>
    <w:p w14:paraId="28DC01B3" w14:textId="77777777" w:rsidR="00626208" w:rsidRPr="004676F5" w:rsidRDefault="00626208" w:rsidP="00626208">
      <w:pPr>
        <w:jc w:val="both"/>
        <w:rPr>
          <w:lang w:val="de-DE"/>
        </w:rPr>
      </w:pPr>
    </w:p>
    <w:p w14:paraId="1B3A0B84" w14:textId="77777777" w:rsidR="00626208" w:rsidRPr="004676F5" w:rsidRDefault="00626208" w:rsidP="00626208">
      <w:pPr>
        <w:jc w:val="both"/>
        <w:rPr>
          <w:lang w:val="de-DE"/>
        </w:rPr>
      </w:pPr>
      <w:r w:rsidRPr="004676F5">
        <w:rPr>
          <w:lang w:val="de-DE"/>
        </w:rPr>
        <w:tab/>
        <w:t>2. Verwendung von Gütezeichen, Qualitätskennzeichen oder Ähnlichem ohne die erforderliche Genehmigung,</w:t>
      </w:r>
    </w:p>
    <w:p w14:paraId="1CD8987A" w14:textId="77777777" w:rsidR="00626208" w:rsidRPr="004676F5" w:rsidRDefault="00626208" w:rsidP="00626208">
      <w:pPr>
        <w:jc w:val="both"/>
        <w:rPr>
          <w:lang w:val="de-DE"/>
        </w:rPr>
      </w:pPr>
    </w:p>
    <w:p w14:paraId="3C5E4BC6" w14:textId="77777777" w:rsidR="00626208" w:rsidRPr="004676F5" w:rsidRDefault="00626208" w:rsidP="00626208">
      <w:pPr>
        <w:jc w:val="both"/>
        <w:rPr>
          <w:lang w:val="de-DE"/>
        </w:rPr>
      </w:pPr>
      <w:r w:rsidRPr="004676F5">
        <w:rPr>
          <w:lang w:val="de-DE"/>
        </w:rPr>
        <w:tab/>
        <w:t>3. Behauptung, ein Verhaltenskodex sei von einer öffentlichen oder anderen Stelle gebilligt, obgleich dies nicht der Fall ist,</w:t>
      </w:r>
    </w:p>
    <w:p w14:paraId="088DC167" w14:textId="77777777" w:rsidR="00626208" w:rsidRPr="004676F5" w:rsidRDefault="00626208" w:rsidP="00626208">
      <w:pPr>
        <w:jc w:val="both"/>
        <w:rPr>
          <w:lang w:val="de-DE"/>
        </w:rPr>
      </w:pPr>
    </w:p>
    <w:p w14:paraId="4141310F" w14:textId="77777777" w:rsidR="00626208" w:rsidRPr="004676F5" w:rsidRDefault="00626208" w:rsidP="00626208">
      <w:pPr>
        <w:jc w:val="both"/>
        <w:rPr>
          <w:lang w:val="de-DE"/>
        </w:rPr>
      </w:pPr>
      <w:r w:rsidRPr="004676F5">
        <w:rPr>
          <w:lang w:val="de-DE"/>
        </w:rPr>
        <w:tab/>
        <w:t>4. Behauptung, dass ein Unternehmen, einschließlich seiner Geschäftspraktiken, oder ein Produkt von einer öffentlichen oder privaten Stelle empfohlen, zugelassen, gebilligt oder genehmigt worden sei, obwohl dies nicht der Fall ist, oder Aufstellung einer solchen Behauptung, ohne dass den Bedingungen für die Empfehlung, Zulassung, Billigung oder Genehmigung entsprochen wird,</w:t>
      </w:r>
    </w:p>
    <w:p w14:paraId="7D03DF77" w14:textId="77777777" w:rsidR="00626208" w:rsidRPr="004676F5" w:rsidRDefault="00626208" w:rsidP="00626208">
      <w:pPr>
        <w:jc w:val="both"/>
        <w:rPr>
          <w:lang w:val="de-DE"/>
        </w:rPr>
      </w:pPr>
    </w:p>
    <w:p w14:paraId="18A0E253" w14:textId="77777777" w:rsidR="00626208" w:rsidRPr="004676F5" w:rsidRDefault="00626208" w:rsidP="00626208">
      <w:pPr>
        <w:jc w:val="both"/>
        <w:rPr>
          <w:lang w:val="de-DE"/>
        </w:rPr>
      </w:pPr>
      <w:r w:rsidRPr="004676F5">
        <w:rPr>
          <w:lang w:val="de-DE"/>
        </w:rPr>
        <w:tab/>
        <w:t>5. Aufforderung zum Kauf von Produkten zu einem bestimmten Preis, ohne dass darüber aufgeklärt wird, dass das Unternehmen hinreichende Gründe für die Annahme hat, dass es nicht in der Lage sein wird, dieses oder ein gleichwertiges Produkt zu dem genannten Preis für einen Zeitraum und in einer Menge zur Lieferung bereitzustellen oder durch ein anderes Unternehmen bereitstellen zu lassen, wie es in Bezug auf das Produkt, den Umfang der für das Produkt eingesetzten Werbung und den Angebotspreis angemessen wäre,</w:t>
      </w:r>
    </w:p>
    <w:p w14:paraId="6F175AFF" w14:textId="77777777" w:rsidR="00626208" w:rsidRPr="004676F5" w:rsidRDefault="00626208" w:rsidP="00626208">
      <w:pPr>
        <w:jc w:val="both"/>
        <w:rPr>
          <w:lang w:val="de-DE"/>
        </w:rPr>
      </w:pPr>
    </w:p>
    <w:p w14:paraId="6E0AE876" w14:textId="77777777" w:rsidR="00626208" w:rsidRPr="004676F5" w:rsidRDefault="00626208" w:rsidP="00626208">
      <w:pPr>
        <w:jc w:val="both"/>
        <w:rPr>
          <w:lang w:val="de-DE"/>
        </w:rPr>
      </w:pPr>
      <w:r w:rsidRPr="004676F5">
        <w:rPr>
          <w:lang w:val="de-DE"/>
        </w:rPr>
        <w:tab/>
        <w:t>6. Aufforderung zum Kauf von Produkten zu einem bestimmten Preis und dann, in der Absicht, stattdessen ein anderes Produkt abzusetzen:</w:t>
      </w:r>
    </w:p>
    <w:p w14:paraId="3384F293" w14:textId="77777777" w:rsidR="00626208" w:rsidRPr="004676F5" w:rsidRDefault="00626208" w:rsidP="00626208">
      <w:pPr>
        <w:jc w:val="both"/>
        <w:rPr>
          <w:lang w:val="de-DE"/>
        </w:rPr>
      </w:pPr>
    </w:p>
    <w:p w14:paraId="0E5AC70C"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Weigerung, dem Verbraucher das beworbene Produkt zu zeigen, oder</w:t>
      </w:r>
    </w:p>
    <w:p w14:paraId="4B92E270" w14:textId="77777777" w:rsidR="00626208" w:rsidRPr="004676F5" w:rsidRDefault="00626208" w:rsidP="00626208">
      <w:pPr>
        <w:jc w:val="both"/>
        <w:rPr>
          <w:lang w:val="de-DE"/>
        </w:rPr>
      </w:pPr>
    </w:p>
    <w:p w14:paraId="5D05BCAD"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Weigerung, Bestellungen dafür anzunehmen oder innerhalb einer vertretbaren Zeit zu liefern, oder</w:t>
      </w:r>
    </w:p>
    <w:p w14:paraId="40241875" w14:textId="77777777" w:rsidR="00626208" w:rsidRPr="004676F5" w:rsidRDefault="00626208" w:rsidP="00626208">
      <w:pPr>
        <w:jc w:val="both"/>
        <w:rPr>
          <w:lang w:val="de-DE"/>
        </w:rPr>
      </w:pPr>
    </w:p>
    <w:p w14:paraId="43CB11A7" w14:textId="77777777" w:rsidR="00626208" w:rsidRPr="004676F5" w:rsidRDefault="00626208" w:rsidP="00626208">
      <w:pPr>
        <w:jc w:val="both"/>
        <w:rPr>
          <w:lang w:val="de-DE"/>
        </w:rPr>
      </w:pPr>
      <w:r w:rsidRPr="004676F5">
        <w:rPr>
          <w:lang w:val="de-DE"/>
        </w:rPr>
        <w:tab/>
      </w:r>
      <w:r w:rsidRPr="004676F5">
        <w:rPr>
          <w:i/>
          <w:lang w:val="de-DE"/>
        </w:rPr>
        <w:t>c)</w:t>
      </w:r>
      <w:r w:rsidRPr="004676F5">
        <w:rPr>
          <w:lang w:val="de-DE"/>
        </w:rPr>
        <w:t> Vorführung eines fehlerhaften Exemplars,</w:t>
      </w:r>
    </w:p>
    <w:p w14:paraId="607102A4" w14:textId="77777777" w:rsidR="00626208" w:rsidRPr="004676F5" w:rsidRDefault="00626208" w:rsidP="00626208">
      <w:pPr>
        <w:jc w:val="both"/>
        <w:rPr>
          <w:lang w:val="de-DE"/>
        </w:rPr>
      </w:pPr>
    </w:p>
    <w:p w14:paraId="6A7F38A6" w14:textId="77777777" w:rsidR="00626208" w:rsidRPr="004676F5" w:rsidRDefault="00626208" w:rsidP="00626208">
      <w:pPr>
        <w:jc w:val="both"/>
        <w:rPr>
          <w:lang w:val="de-DE"/>
        </w:rPr>
      </w:pPr>
      <w:r w:rsidRPr="004676F5">
        <w:rPr>
          <w:lang w:val="de-DE"/>
        </w:rPr>
        <w:tab/>
        <w:t>7. falsche Behauptung, dass das Produkt nur eine sehr begrenzte Zeit oder nur eine sehr begrenzte Zeit zu bestimmten Bedingungen verfügbar sein werde, um so den Verbraucher zu einer sofortigen Entscheidung zu verleiten, so dass er weder Zeit noch Gelegenheit hat, eine informierte Entscheidung zu treffen,</w:t>
      </w:r>
    </w:p>
    <w:p w14:paraId="2DAD27CD" w14:textId="77777777" w:rsidR="00626208" w:rsidRPr="004676F5" w:rsidRDefault="00626208" w:rsidP="00626208">
      <w:pPr>
        <w:jc w:val="both"/>
        <w:rPr>
          <w:lang w:val="de-DE"/>
        </w:rPr>
      </w:pPr>
    </w:p>
    <w:p w14:paraId="66DCA1BC" w14:textId="77777777" w:rsidR="00626208" w:rsidRPr="004676F5" w:rsidRDefault="00626208" w:rsidP="00626208">
      <w:pPr>
        <w:jc w:val="both"/>
        <w:rPr>
          <w:lang w:val="de-DE"/>
        </w:rPr>
      </w:pPr>
      <w:r w:rsidRPr="004676F5">
        <w:rPr>
          <w:lang w:val="de-DE"/>
        </w:rPr>
        <w:tab/>
        <w:t>8. Verbrauchern, mit denen das Unternehmen vor Abschluss des Geschäfts in einer Sprache kommuniziert hat, bei der es sich nicht um eine der Landessprachen handelt, eine nach Abschluss des Geschäfts zu erbringende Leistung zusichern, diese Leistung anschließend aber nur in einer anderen Sprache erbringen, ohne den Verbraucher eindeutig hierüber aufgeklärt zu haben, bevor er das Geschäft tätigt,</w:t>
      </w:r>
    </w:p>
    <w:p w14:paraId="3935A754" w14:textId="77777777" w:rsidR="00626208" w:rsidRPr="004676F5" w:rsidRDefault="00626208" w:rsidP="00626208">
      <w:pPr>
        <w:jc w:val="both"/>
        <w:rPr>
          <w:lang w:val="de-DE"/>
        </w:rPr>
      </w:pPr>
    </w:p>
    <w:p w14:paraId="5A6108EC" w14:textId="77777777" w:rsidR="00626208" w:rsidRPr="004676F5" w:rsidRDefault="00626208" w:rsidP="00626208">
      <w:pPr>
        <w:jc w:val="both"/>
        <w:rPr>
          <w:lang w:val="de-DE"/>
        </w:rPr>
      </w:pPr>
      <w:r w:rsidRPr="004676F5">
        <w:rPr>
          <w:lang w:val="de-DE"/>
        </w:rPr>
        <w:tab/>
        <w:t>9. Behauptung oder anderweitiges Erwecken des Eindrucks, ein Produkt könne rechtmäßig verkauft werden, obgleich dies nicht der Fall ist,</w:t>
      </w:r>
    </w:p>
    <w:p w14:paraId="57A0238B" w14:textId="77777777" w:rsidR="00626208" w:rsidRPr="004676F5" w:rsidRDefault="00626208" w:rsidP="00626208">
      <w:pPr>
        <w:jc w:val="both"/>
        <w:rPr>
          <w:lang w:val="de-DE"/>
        </w:rPr>
      </w:pPr>
    </w:p>
    <w:p w14:paraId="35807539" w14:textId="77777777" w:rsidR="00626208" w:rsidRPr="004676F5" w:rsidRDefault="00626208" w:rsidP="00626208">
      <w:pPr>
        <w:jc w:val="both"/>
        <w:rPr>
          <w:lang w:val="de-DE"/>
        </w:rPr>
      </w:pPr>
      <w:r w:rsidRPr="004676F5">
        <w:rPr>
          <w:lang w:val="de-DE"/>
        </w:rPr>
        <w:tab/>
        <w:t>10. Verbrauchern gesetzlich oder verordnungsgemäß zugestandene Rechte als Besonderheit des Angebots des Unternehmens präsentieren,</w:t>
      </w:r>
    </w:p>
    <w:p w14:paraId="1C1DCA80" w14:textId="77777777" w:rsidR="00626208" w:rsidRPr="004676F5" w:rsidRDefault="00626208" w:rsidP="00626208">
      <w:pPr>
        <w:jc w:val="both"/>
        <w:rPr>
          <w:lang w:val="de-DE"/>
        </w:rPr>
      </w:pPr>
    </w:p>
    <w:p w14:paraId="3DEE4C38" w14:textId="77777777" w:rsidR="00626208" w:rsidRPr="004676F5" w:rsidRDefault="00626208" w:rsidP="00626208">
      <w:pPr>
        <w:jc w:val="both"/>
        <w:rPr>
          <w:lang w:val="de-DE"/>
        </w:rPr>
      </w:pPr>
      <w:r w:rsidRPr="004676F5">
        <w:rPr>
          <w:lang w:val="de-DE"/>
        </w:rPr>
        <w:tab/>
        <w:t>11. Einsatz von redaktionellen Inhalten in Medien zu Zwecken der Verkaufsförderung von Produkten, die das Unternehmen bezahlt, ohne dass dies aus dem Inhalt oder aus für den Verbraucher klar erkennbaren Bildern und Tönen eindeutig hervorgehen würde,</w:t>
      </w:r>
    </w:p>
    <w:p w14:paraId="79EED143" w14:textId="77777777" w:rsidR="00626208" w:rsidRPr="004676F5" w:rsidRDefault="00626208" w:rsidP="00626208">
      <w:pPr>
        <w:jc w:val="both"/>
        <w:rPr>
          <w:lang w:val="de-DE"/>
        </w:rPr>
      </w:pPr>
    </w:p>
    <w:p w14:paraId="59DEFE22" w14:textId="77777777" w:rsidR="00626208" w:rsidRPr="004676F5" w:rsidRDefault="00626208" w:rsidP="00626208">
      <w:pPr>
        <w:jc w:val="both"/>
        <w:rPr>
          <w:lang w:val="de-DE"/>
        </w:rPr>
      </w:pPr>
      <w:r w:rsidRPr="004676F5">
        <w:rPr>
          <w:lang w:val="de-DE"/>
        </w:rPr>
        <w:tab/>
        <w:t>12. Aufstellen einer sachlich falschen Behauptung über die Art und das Ausmaß der Gefahr für die persönliche Sicherheit des Verbrauchers oder seiner Familie für den Fall, dass er das Produkt nicht kauft,</w:t>
      </w:r>
    </w:p>
    <w:p w14:paraId="5AC855DC" w14:textId="77777777" w:rsidR="00626208" w:rsidRPr="004676F5" w:rsidRDefault="00626208" w:rsidP="00626208">
      <w:pPr>
        <w:jc w:val="both"/>
        <w:rPr>
          <w:lang w:val="de-DE"/>
        </w:rPr>
      </w:pPr>
    </w:p>
    <w:p w14:paraId="5292CE42" w14:textId="77777777" w:rsidR="00626208" w:rsidRPr="004676F5" w:rsidRDefault="00626208" w:rsidP="00626208">
      <w:pPr>
        <w:jc w:val="both"/>
        <w:rPr>
          <w:lang w:val="de-DE"/>
        </w:rPr>
      </w:pPr>
      <w:r w:rsidRPr="004676F5">
        <w:rPr>
          <w:lang w:val="de-DE"/>
        </w:rPr>
        <w:tab/>
        <w:t>13. Werbung für ein Produkt, das einem Produkt eines bestimmten Herstellers ähnlich ist, in einer Weise, die den Verbraucher absichtlich dazu verleitet, zu glauben, das Produkt sei von jenem Hersteller hergestellt worden, obwohl dies nicht der Fall ist,</w:t>
      </w:r>
    </w:p>
    <w:p w14:paraId="64FFA50C" w14:textId="77777777" w:rsidR="00626208" w:rsidRPr="004676F5" w:rsidRDefault="00626208" w:rsidP="00626208">
      <w:pPr>
        <w:jc w:val="both"/>
        <w:rPr>
          <w:lang w:val="de-DE"/>
        </w:rPr>
      </w:pPr>
    </w:p>
    <w:p w14:paraId="3E6BACDA" w14:textId="77777777" w:rsidR="00626208" w:rsidRPr="004676F5" w:rsidRDefault="00626208" w:rsidP="00626208">
      <w:pPr>
        <w:jc w:val="both"/>
        <w:rPr>
          <w:lang w:val="de-DE"/>
        </w:rPr>
      </w:pPr>
      <w:r w:rsidRPr="004676F5">
        <w:rPr>
          <w:lang w:val="de-DE"/>
        </w:rPr>
        <w:tab/>
        <w:t>14. Einführung, Betrieb oder Förderung eines Schneeballsystems zur Verkaufs</w:t>
      </w:r>
      <w:r w:rsidRPr="004676F5">
        <w:rPr>
          <w:lang w:val="de-DE"/>
        </w:rPr>
        <w:softHyphen/>
        <w:t>förderung, bei dem der Verbraucher die Möglichkeit vor Augen hat, eine Vergütung zu erzielen, die hauptsächlich durch die Einführung neuer Verbraucher in ein solches System und weniger durch den Verkauf oder Verbrauch von Produkten zu erzielen ist,</w:t>
      </w:r>
    </w:p>
    <w:p w14:paraId="43D30BD3" w14:textId="77777777" w:rsidR="00626208" w:rsidRPr="004676F5" w:rsidRDefault="00626208" w:rsidP="00626208">
      <w:pPr>
        <w:jc w:val="both"/>
        <w:rPr>
          <w:lang w:val="de-DE"/>
        </w:rPr>
      </w:pPr>
    </w:p>
    <w:p w14:paraId="12797552" w14:textId="77777777" w:rsidR="00626208" w:rsidRPr="004676F5" w:rsidRDefault="00626208" w:rsidP="00626208">
      <w:pPr>
        <w:jc w:val="both"/>
        <w:rPr>
          <w:lang w:val="de-DE"/>
        </w:rPr>
      </w:pPr>
      <w:r w:rsidRPr="004676F5">
        <w:rPr>
          <w:lang w:val="de-DE"/>
        </w:rPr>
        <w:tab/>
        <w:t>15. Behauptung, das Unternehmen werde demnächst sein Geschäft aufgeben oder seine Geschäftsräume verlegen, obwohl es dies keineswegs beabsichtigt, unbeschadet der Artikel VI.22 und folgenden,</w:t>
      </w:r>
    </w:p>
    <w:p w14:paraId="58969232" w14:textId="77777777" w:rsidR="00626208" w:rsidRPr="004676F5" w:rsidRDefault="00626208" w:rsidP="00626208">
      <w:pPr>
        <w:jc w:val="both"/>
        <w:rPr>
          <w:lang w:val="de-DE"/>
        </w:rPr>
      </w:pPr>
    </w:p>
    <w:p w14:paraId="237365FA" w14:textId="77777777" w:rsidR="00626208" w:rsidRPr="004676F5" w:rsidRDefault="00626208" w:rsidP="00626208">
      <w:pPr>
        <w:jc w:val="both"/>
        <w:rPr>
          <w:lang w:val="de-DE"/>
        </w:rPr>
      </w:pPr>
      <w:r w:rsidRPr="004676F5">
        <w:rPr>
          <w:lang w:val="de-DE"/>
        </w:rPr>
        <w:tab/>
        <w:t>16. Behauptung, Produkte könnten die Gewinnchancen bei Glücksspielen erhöhen,</w:t>
      </w:r>
    </w:p>
    <w:p w14:paraId="1D1BEB2F" w14:textId="77777777" w:rsidR="00626208" w:rsidRPr="004676F5" w:rsidRDefault="00626208" w:rsidP="00626208">
      <w:pPr>
        <w:jc w:val="both"/>
        <w:rPr>
          <w:lang w:val="de-DE"/>
        </w:rPr>
      </w:pPr>
    </w:p>
    <w:p w14:paraId="531A28DD" w14:textId="77777777" w:rsidR="00626208" w:rsidRPr="004676F5" w:rsidRDefault="00626208" w:rsidP="00626208">
      <w:pPr>
        <w:jc w:val="both"/>
        <w:rPr>
          <w:lang w:val="de-DE"/>
        </w:rPr>
      </w:pPr>
      <w:r w:rsidRPr="004676F5">
        <w:rPr>
          <w:lang w:val="de-DE"/>
        </w:rPr>
        <w:tab/>
        <w:t>17. falsche Behauptung, ein Produkt könne Krankheiten, Funktionsstörungen oder Missbildung heilen,</w:t>
      </w:r>
    </w:p>
    <w:p w14:paraId="2D9E885E" w14:textId="77777777" w:rsidR="00626208" w:rsidRPr="004676F5" w:rsidRDefault="00626208" w:rsidP="00626208">
      <w:pPr>
        <w:jc w:val="both"/>
        <w:rPr>
          <w:lang w:val="de-DE"/>
        </w:rPr>
      </w:pPr>
    </w:p>
    <w:p w14:paraId="35E24F12" w14:textId="77777777" w:rsidR="00626208" w:rsidRPr="004676F5" w:rsidRDefault="00626208" w:rsidP="00626208">
      <w:pPr>
        <w:jc w:val="both"/>
        <w:rPr>
          <w:lang w:val="de-DE"/>
        </w:rPr>
      </w:pPr>
      <w:r w:rsidRPr="004676F5">
        <w:rPr>
          <w:lang w:val="de-DE"/>
        </w:rPr>
        <w:tab/>
        <w:t>18. Erteilung sachlich falscher Informationen über die Marktbedingungen oder die Möglichkeit, das Produkt zu finden, mit dem Ziel, den Verbraucher dazu zu bewegen, das Produkt zu weniger günstigen Bedingungen als den normalen Marktbedingungen zu kaufen,</w:t>
      </w:r>
    </w:p>
    <w:p w14:paraId="460045F9" w14:textId="77777777" w:rsidR="00626208" w:rsidRPr="004676F5" w:rsidRDefault="00626208" w:rsidP="00626208">
      <w:pPr>
        <w:jc w:val="both"/>
        <w:rPr>
          <w:lang w:val="de-DE"/>
        </w:rPr>
      </w:pPr>
    </w:p>
    <w:p w14:paraId="13893288" w14:textId="77777777" w:rsidR="00626208" w:rsidRPr="004676F5" w:rsidRDefault="00626208" w:rsidP="00626208">
      <w:pPr>
        <w:jc w:val="both"/>
        <w:rPr>
          <w:lang w:val="de-DE"/>
        </w:rPr>
      </w:pPr>
      <w:r w:rsidRPr="004676F5">
        <w:rPr>
          <w:lang w:val="de-DE"/>
        </w:rPr>
        <w:tab/>
        <w:t>19. Anbieten im Rahmen einer Geschäftspraxis von Wettbewerben und Preisaus</w:t>
      </w:r>
      <w:r w:rsidRPr="004676F5">
        <w:rPr>
          <w:lang w:val="de-DE"/>
        </w:rPr>
        <w:softHyphen/>
        <w:t>schreiben, ohne dass die beschriebenen Preise oder ein angemessenes Äquivalent vergeben werden,</w:t>
      </w:r>
    </w:p>
    <w:p w14:paraId="1164536A" w14:textId="77777777" w:rsidR="00626208" w:rsidRPr="004676F5" w:rsidRDefault="00626208" w:rsidP="00626208">
      <w:pPr>
        <w:jc w:val="both"/>
        <w:rPr>
          <w:lang w:val="de-DE"/>
        </w:rPr>
      </w:pPr>
    </w:p>
    <w:p w14:paraId="50E0D256" w14:textId="77777777" w:rsidR="00626208" w:rsidRPr="004676F5" w:rsidRDefault="00626208" w:rsidP="00626208">
      <w:pPr>
        <w:jc w:val="both"/>
        <w:rPr>
          <w:lang w:val="de-DE"/>
        </w:rPr>
      </w:pPr>
      <w:r w:rsidRPr="004676F5">
        <w:rPr>
          <w:lang w:val="de-DE"/>
        </w:rPr>
        <w:tab/>
        <w:t>20. Beschreibung eines Produkts als "gratis", "umsonst", "kostenfrei" oder Ähnliches, obwohl der Verbraucher weitere Kosten als die Kosten zu tragen hat, die im Rahmen des Eingehens auf das Angebot und für die Abholung oder Lieferung des Produkts unvermeidbar sind,</w:t>
      </w:r>
    </w:p>
    <w:p w14:paraId="5BF21C5C" w14:textId="77777777" w:rsidR="00626208" w:rsidRPr="004676F5" w:rsidRDefault="00626208" w:rsidP="00626208">
      <w:pPr>
        <w:jc w:val="both"/>
        <w:rPr>
          <w:lang w:val="de-DE"/>
        </w:rPr>
      </w:pPr>
    </w:p>
    <w:p w14:paraId="7236DD92" w14:textId="77777777" w:rsidR="00626208" w:rsidRPr="004676F5" w:rsidRDefault="00626208" w:rsidP="00626208">
      <w:pPr>
        <w:jc w:val="both"/>
        <w:rPr>
          <w:lang w:val="de-DE"/>
        </w:rPr>
      </w:pPr>
      <w:r w:rsidRPr="004676F5">
        <w:rPr>
          <w:lang w:val="de-DE"/>
        </w:rPr>
        <w:tab/>
        <w:t>21. Beifügung einer Rechnung oder eines ähnlichen Dokuments mit einer Zahlungsaufforderung an Werbematerialien, die dem Verbraucher den Eindruck vermitteln, dass er das beworbene Produkt bereits bestellt hat, obwohl dies nicht der Fall ist,</w:t>
      </w:r>
    </w:p>
    <w:p w14:paraId="3DDF1650" w14:textId="77777777" w:rsidR="00626208" w:rsidRPr="004676F5" w:rsidRDefault="00626208" w:rsidP="00626208">
      <w:pPr>
        <w:jc w:val="both"/>
        <w:rPr>
          <w:lang w:val="de-DE"/>
        </w:rPr>
      </w:pPr>
    </w:p>
    <w:p w14:paraId="3267C0AC" w14:textId="77777777" w:rsidR="00626208" w:rsidRPr="004676F5" w:rsidRDefault="00626208" w:rsidP="00626208">
      <w:pPr>
        <w:jc w:val="both"/>
        <w:rPr>
          <w:lang w:val="de-DE"/>
        </w:rPr>
      </w:pPr>
      <w:r w:rsidRPr="004676F5">
        <w:rPr>
          <w:lang w:val="de-DE"/>
        </w:rPr>
        <w:tab/>
        <w:t>22. fälschliche Behauptung oder Erwecken des Eindrucks, dass das Unternehmen nicht für die Zwecke seiner Berufstätigkeit handelt, oder fälschliches Auftreten als Verbraucher,</w:t>
      </w:r>
    </w:p>
    <w:p w14:paraId="51575682" w14:textId="77777777" w:rsidR="00626208" w:rsidRPr="004676F5" w:rsidRDefault="00626208" w:rsidP="00626208">
      <w:pPr>
        <w:jc w:val="both"/>
        <w:rPr>
          <w:lang w:val="de-DE"/>
        </w:rPr>
      </w:pPr>
    </w:p>
    <w:p w14:paraId="1E9E92C5" w14:textId="420AFB27" w:rsidR="00626208" w:rsidRPr="004676F5" w:rsidRDefault="00626208" w:rsidP="00626208">
      <w:pPr>
        <w:jc w:val="both"/>
        <w:rPr>
          <w:lang w:val="de-DE"/>
        </w:rPr>
      </w:pPr>
      <w:r w:rsidRPr="004676F5">
        <w:rPr>
          <w:lang w:val="de-DE"/>
        </w:rPr>
        <w:tab/>
        <w:t>23. Erwecken des falschen Eindrucks, dass der Kundendienst im Zusammenhang mit einem Produkt in einem anderen Mitgliedstaat der Europäischen Union verfügbar sei als demjenigen, in dem das Produkt verkauft wird</w:t>
      </w:r>
      <w:r w:rsidR="00674794" w:rsidRPr="004676F5">
        <w:rPr>
          <w:lang w:val="de-DE"/>
        </w:rPr>
        <w:t>,</w:t>
      </w:r>
    </w:p>
    <w:p w14:paraId="719C621F" w14:textId="77777777" w:rsidR="00674794" w:rsidRPr="004676F5" w:rsidRDefault="00674794" w:rsidP="00626208">
      <w:pPr>
        <w:jc w:val="both"/>
        <w:rPr>
          <w:lang w:val="de-DE"/>
        </w:rPr>
      </w:pPr>
    </w:p>
    <w:p w14:paraId="4F7DC224" w14:textId="77777777" w:rsidR="00674794" w:rsidRPr="004676F5" w:rsidRDefault="00674794" w:rsidP="00674794">
      <w:pPr>
        <w:jc w:val="both"/>
        <w:rPr>
          <w:lang w:val="de-DE"/>
        </w:rPr>
      </w:pPr>
      <w:r w:rsidRPr="004676F5">
        <w:rPr>
          <w:lang w:val="de-DE"/>
        </w:rPr>
        <w:tab/>
        <w:t>[24. Anzeige von Suchergebnissen aufgrund der Online-Suchanfrage eines Verbrauchers, ohne dass etwaige bezahlte Werbung oder spezielle Zahlungen, die dazu dienen, ein höheres Ranking der jeweiligen Produkte im Rahmen der Suchergebnisse zu erreichen, eindeutig offengelegt werden,</w:t>
      </w:r>
    </w:p>
    <w:p w14:paraId="268DCE59" w14:textId="77777777" w:rsidR="00674794" w:rsidRPr="004676F5" w:rsidRDefault="00674794" w:rsidP="00674794">
      <w:pPr>
        <w:jc w:val="both"/>
        <w:rPr>
          <w:lang w:val="de-DE"/>
        </w:rPr>
      </w:pPr>
    </w:p>
    <w:p w14:paraId="2931FC0F" w14:textId="77777777" w:rsidR="00674794" w:rsidRPr="004676F5" w:rsidRDefault="00674794" w:rsidP="00674794">
      <w:pPr>
        <w:jc w:val="both"/>
        <w:rPr>
          <w:lang w:val="de-DE"/>
        </w:rPr>
      </w:pPr>
      <w:r w:rsidRPr="004676F5">
        <w:rPr>
          <w:lang w:val="de-DE"/>
        </w:rPr>
        <w:tab/>
        <w:t>25. Behauptung, dass Bewertungen eines Produkts von Verbrauchern stammen, die das Produkt tatsächlich verwendet oder erworben haben, ohne dass angemessene und verhältnismäßige Schritte unternommen wurden, um zu prüfen, ob die Bewertungen wirklich von solchen Verbrauchern stammen,</w:t>
      </w:r>
    </w:p>
    <w:p w14:paraId="7D9F891D" w14:textId="77777777" w:rsidR="00674794" w:rsidRPr="004676F5" w:rsidRDefault="00674794" w:rsidP="00674794">
      <w:pPr>
        <w:jc w:val="both"/>
        <w:rPr>
          <w:lang w:val="de-DE"/>
        </w:rPr>
      </w:pPr>
    </w:p>
    <w:p w14:paraId="6C5C0A2E" w14:textId="77777777" w:rsidR="00674794" w:rsidRPr="004676F5" w:rsidRDefault="00674794" w:rsidP="00674794">
      <w:pPr>
        <w:jc w:val="both"/>
        <w:rPr>
          <w:lang w:val="de-DE"/>
        </w:rPr>
      </w:pPr>
      <w:r w:rsidRPr="004676F5">
        <w:rPr>
          <w:lang w:val="de-DE"/>
        </w:rPr>
        <w:tab/>
        <w:t>26. Abgabe gefälschter Bewertungen oder Empfehlungen von Verbrauchern beziehungsweise Erteilung des Auftrags an andere juristische oder natürliche Personen, gefälschte Bewertungen oder Empfehlungen von Verbrauchern abzugeben, und falsche Darstellung von Verbraucherbewertungen oder Empfehlungen in sozialen Medien zu Zwecken der Verkaufsförderung,</w:t>
      </w:r>
    </w:p>
    <w:p w14:paraId="21FF6F3D" w14:textId="77777777" w:rsidR="00674794" w:rsidRPr="004676F5" w:rsidRDefault="00674794" w:rsidP="00674794">
      <w:pPr>
        <w:jc w:val="both"/>
        <w:rPr>
          <w:lang w:val="de-DE"/>
        </w:rPr>
      </w:pPr>
    </w:p>
    <w:p w14:paraId="52B5E62B" w14:textId="5F5B399F" w:rsidR="00674794" w:rsidRPr="004676F5" w:rsidRDefault="00674794" w:rsidP="00674794">
      <w:pPr>
        <w:jc w:val="both"/>
        <w:rPr>
          <w:lang w:val="de-DE"/>
        </w:rPr>
      </w:pPr>
      <w:r w:rsidRPr="004676F5">
        <w:rPr>
          <w:lang w:val="de-DE"/>
        </w:rPr>
        <w:tab/>
        <w:t>27. Wiederverkauf von Eintrittskarten für Veranstaltungen an Verbraucher, wenn das Unternehmen diese Eintrittskarten unter Verwendung automatisierter Verfahren erworben hat, die dazu dienen, Beschränkungen in Bezug auf die Zahl der von einer Person zu erwerbenden Eintrittskarten oder andere für den Verkauf der Eintrittskarten geltende Regeln zu umgehen.]</w:t>
      </w:r>
    </w:p>
    <w:p w14:paraId="646C1B84" w14:textId="77777777" w:rsidR="00674794" w:rsidRPr="004676F5" w:rsidRDefault="00674794" w:rsidP="00674794">
      <w:pPr>
        <w:jc w:val="both"/>
        <w:rPr>
          <w:lang w:val="de-DE"/>
        </w:rPr>
      </w:pPr>
    </w:p>
    <w:p w14:paraId="1C00EA51" w14:textId="14D101E4" w:rsidR="00674794" w:rsidRPr="004676F5" w:rsidRDefault="00674794" w:rsidP="00674794">
      <w:pPr>
        <w:jc w:val="both"/>
        <w:rPr>
          <w:i/>
          <w:iCs/>
          <w:lang w:val="de-DE"/>
        </w:rPr>
      </w:pPr>
      <w:r w:rsidRPr="004676F5">
        <w:rPr>
          <w:i/>
          <w:iCs/>
          <w:lang w:val="de-DE"/>
        </w:rPr>
        <w:t>[Art. VI.100 einziger Absatz Nr. 24 bis 27 eingefügt durch Art. 31 des G. vom 8. Mai 2022 (B.S. vom 2. Juni 2022)]</w:t>
      </w:r>
    </w:p>
    <w:p w14:paraId="4471455D" w14:textId="77777777" w:rsidR="00626208" w:rsidRPr="004676F5" w:rsidRDefault="00626208" w:rsidP="00626208">
      <w:pPr>
        <w:jc w:val="both"/>
        <w:rPr>
          <w:lang w:val="de-DE"/>
        </w:rPr>
      </w:pPr>
    </w:p>
    <w:p w14:paraId="487EEAA9" w14:textId="77777777" w:rsidR="008A3633" w:rsidRPr="004676F5" w:rsidRDefault="008A3633" w:rsidP="00626208">
      <w:pPr>
        <w:jc w:val="both"/>
        <w:rPr>
          <w:lang w:val="de-DE"/>
        </w:rPr>
      </w:pPr>
    </w:p>
    <w:p w14:paraId="47FD221F" w14:textId="4160824E" w:rsidR="00626208" w:rsidRPr="004676F5" w:rsidRDefault="00626208" w:rsidP="00626208">
      <w:pPr>
        <w:jc w:val="center"/>
        <w:rPr>
          <w:lang w:val="de-DE"/>
        </w:rPr>
      </w:pPr>
      <w:r w:rsidRPr="004676F5">
        <w:rPr>
          <w:i/>
          <w:lang w:val="de-DE"/>
        </w:rPr>
        <w:t>Abschnitt 4</w:t>
      </w:r>
      <w:r w:rsidRPr="004676F5">
        <w:rPr>
          <w:lang w:val="de-DE"/>
        </w:rPr>
        <w:t> </w:t>
      </w:r>
      <w:r w:rsidR="005B7A5C" w:rsidRPr="004676F5">
        <w:rPr>
          <w:lang w:val="de-DE"/>
        </w:rPr>
        <w:t>- </w:t>
      </w:r>
      <w:r w:rsidRPr="004676F5">
        <w:rPr>
          <w:lang w:val="de-DE"/>
        </w:rPr>
        <w:t>Aggressive Geschäftspraktiken</w:t>
      </w:r>
    </w:p>
    <w:p w14:paraId="5512D91A" w14:textId="77777777" w:rsidR="00626208" w:rsidRPr="004676F5" w:rsidRDefault="00626208" w:rsidP="00626208">
      <w:pPr>
        <w:jc w:val="both"/>
        <w:rPr>
          <w:lang w:val="de-DE"/>
        </w:rPr>
      </w:pPr>
    </w:p>
    <w:p w14:paraId="4F1F8C1E" w14:textId="77777777" w:rsidR="008A3633" w:rsidRPr="004676F5" w:rsidRDefault="008A3633" w:rsidP="00626208">
      <w:pPr>
        <w:jc w:val="both"/>
        <w:rPr>
          <w:lang w:val="de-DE"/>
        </w:rPr>
      </w:pPr>
    </w:p>
    <w:p w14:paraId="084F344B" w14:textId="357BC3D6"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VI.101</w:t>
      </w:r>
      <w:r w:rsidRPr="004676F5">
        <w:rPr>
          <w:lang w:val="de-DE"/>
        </w:rPr>
        <w:t> </w:t>
      </w:r>
      <w:r w:rsidR="005B7A5C" w:rsidRPr="004676F5">
        <w:rPr>
          <w:lang w:val="de-DE"/>
        </w:rPr>
        <w:t>- </w:t>
      </w:r>
      <w:r w:rsidRPr="004676F5">
        <w:rPr>
          <w:lang w:val="de-DE"/>
        </w:rPr>
        <w:t>Eine Geschäftspraxis gilt als aggressiv, wenn sie im konkreten Fall unter Berücksichtigung aller tatsächlichen Umstände die Entscheidungs</w:t>
      </w:r>
      <w:r w:rsidR="005B7A5C" w:rsidRPr="004676F5">
        <w:rPr>
          <w:lang w:val="de-DE"/>
        </w:rPr>
        <w:t>- </w:t>
      </w:r>
      <w:r w:rsidRPr="004676F5">
        <w:rPr>
          <w:lang w:val="de-DE"/>
        </w:rPr>
        <w:t xml:space="preserve">oder Verhaltensfreiheit des Durchschnittsverbrauchers in Bezug auf das Produkt durch Belästigung, Nötigung, einschließlich der Anwendung körperlicher Gewalt, oder durch unzulässige Beeinflussung tatsächlich oder voraussichtlich erheblich beeinträchtigt und dieser dadurch tatsächlich oder </w:t>
      </w:r>
      <w:r w:rsidRPr="004676F5">
        <w:rPr>
          <w:lang w:val="de-DE"/>
        </w:rPr>
        <w:lastRenderedPageBreak/>
        <w:t>voraussichtlich dazu veranlasst wird, eine geschäftliche Entscheidung zu treffen, die er andernfalls nicht getroffen hätte.</w:t>
      </w:r>
    </w:p>
    <w:p w14:paraId="6195C91B" w14:textId="77777777" w:rsidR="00626208" w:rsidRPr="004676F5" w:rsidRDefault="00626208" w:rsidP="00626208">
      <w:pPr>
        <w:jc w:val="both"/>
        <w:rPr>
          <w:lang w:val="de-DE"/>
        </w:rPr>
      </w:pPr>
    </w:p>
    <w:p w14:paraId="4A5102ED" w14:textId="77777777" w:rsidR="008A3633" w:rsidRPr="004676F5" w:rsidRDefault="00626208" w:rsidP="00626208">
      <w:pPr>
        <w:jc w:val="both"/>
        <w:rPr>
          <w:lang w:val="de-DE"/>
        </w:rPr>
      </w:pPr>
      <w:r w:rsidRPr="004676F5">
        <w:rPr>
          <w:lang w:val="de-DE"/>
        </w:rPr>
        <w:tab/>
      </w:r>
    </w:p>
    <w:p w14:paraId="20EA0A14" w14:textId="7C8E416C" w:rsidR="00626208" w:rsidRPr="004676F5" w:rsidRDefault="008A3633" w:rsidP="00626208">
      <w:pPr>
        <w:jc w:val="both"/>
        <w:rPr>
          <w:lang w:val="de-DE"/>
        </w:rPr>
      </w:pPr>
      <w:r w:rsidRPr="004676F5">
        <w:rPr>
          <w:lang w:val="de-DE"/>
        </w:rPr>
        <w:tab/>
      </w:r>
      <w:r w:rsidR="00BE0A56" w:rsidRPr="004676F5">
        <w:rPr>
          <w:b/>
          <w:lang w:val="de-DE"/>
        </w:rPr>
        <w:t>Art. </w:t>
      </w:r>
      <w:r w:rsidR="00626208" w:rsidRPr="004676F5">
        <w:rPr>
          <w:b/>
          <w:lang w:val="de-DE"/>
        </w:rPr>
        <w:t>VI.102</w:t>
      </w:r>
      <w:r w:rsidR="00626208" w:rsidRPr="004676F5">
        <w:rPr>
          <w:lang w:val="de-DE"/>
        </w:rPr>
        <w:t> </w:t>
      </w:r>
      <w:r w:rsidR="005B7A5C" w:rsidRPr="004676F5">
        <w:rPr>
          <w:lang w:val="de-DE"/>
        </w:rPr>
        <w:t>- </w:t>
      </w:r>
      <w:r w:rsidR="00626208" w:rsidRPr="004676F5">
        <w:rPr>
          <w:lang w:val="de-DE"/>
        </w:rPr>
        <w:t>Bei der Feststellung, ob im Rahmen einer Geschäftspraxis die Mittel der Belästigung, der Nötigung, einschließlich der Anwendung körperlicher Gewalt, oder der unzulässigen Beeinflussung eingesetzt werden, ist abzustellen auf:</w:t>
      </w:r>
    </w:p>
    <w:p w14:paraId="4D915BC9" w14:textId="77777777" w:rsidR="00626208" w:rsidRPr="004676F5" w:rsidRDefault="00626208" w:rsidP="00626208">
      <w:pPr>
        <w:jc w:val="both"/>
        <w:rPr>
          <w:lang w:val="de-DE"/>
        </w:rPr>
      </w:pPr>
    </w:p>
    <w:p w14:paraId="5C7B028A" w14:textId="77777777" w:rsidR="00626208" w:rsidRPr="004676F5" w:rsidRDefault="00626208" w:rsidP="00626208">
      <w:pPr>
        <w:jc w:val="both"/>
        <w:rPr>
          <w:lang w:val="de-DE"/>
        </w:rPr>
      </w:pPr>
      <w:r w:rsidRPr="004676F5">
        <w:rPr>
          <w:lang w:val="de-DE"/>
        </w:rPr>
        <w:tab/>
        <w:t>1. Zeitpunkt, Ort, Art oder Dauer des Einsatzes,</w:t>
      </w:r>
    </w:p>
    <w:p w14:paraId="761D3DC6" w14:textId="77777777" w:rsidR="00626208" w:rsidRPr="004676F5" w:rsidRDefault="00626208" w:rsidP="00626208">
      <w:pPr>
        <w:jc w:val="both"/>
        <w:rPr>
          <w:lang w:val="de-DE"/>
        </w:rPr>
      </w:pPr>
    </w:p>
    <w:p w14:paraId="5AD7C65F" w14:textId="77777777" w:rsidR="00626208" w:rsidRPr="004676F5" w:rsidRDefault="00626208" w:rsidP="00626208">
      <w:pPr>
        <w:jc w:val="both"/>
        <w:rPr>
          <w:lang w:val="de-DE"/>
        </w:rPr>
      </w:pPr>
      <w:r w:rsidRPr="004676F5">
        <w:rPr>
          <w:lang w:val="de-DE"/>
        </w:rPr>
        <w:tab/>
        <w:t>2. Verwendung drohender oder beleidigender Formulierungen oder Verhaltensweisen,</w:t>
      </w:r>
    </w:p>
    <w:p w14:paraId="22E204A7" w14:textId="77777777" w:rsidR="00626208" w:rsidRPr="004676F5" w:rsidRDefault="00626208" w:rsidP="00626208">
      <w:pPr>
        <w:jc w:val="both"/>
        <w:rPr>
          <w:lang w:val="de-DE"/>
        </w:rPr>
      </w:pPr>
    </w:p>
    <w:p w14:paraId="53D941D9" w14:textId="77777777" w:rsidR="00626208" w:rsidRPr="004676F5" w:rsidRDefault="00626208" w:rsidP="00626208">
      <w:pPr>
        <w:jc w:val="both"/>
        <w:rPr>
          <w:lang w:val="de-DE"/>
        </w:rPr>
      </w:pPr>
      <w:r w:rsidRPr="004676F5">
        <w:rPr>
          <w:lang w:val="de-DE"/>
        </w:rPr>
        <w:tab/>
        <w:t>3. Ausnutzung durch das Unternehmen von konkreten Unglückssituationen oder Umständen von solcher Schwere, dass sie das Urteilsvermögen des Verbrauchers beeinträchtigen, worüber sich das Unternehmen bewusst ist, um die Entscheidung des Verbrauchers in Bezug auf das Produkt zu beeinflussen,</w:t>
      </w:r>
    </w:p>
    <w:p w14:paraId="50C0111A" w14:textId="77777777" w:rsidR="00626208" w:rsidRPr="004676F5" w:rsidRDefault="00626208" w:rsidP="00626208">
      <w:pPr>
        <w:jc w:val="both"/>
        <w:rPr>
          <w:lang w:val="de-DE"/>
        </w:rPr>
      </w:pPr>
    </w:p>
    <w:p w14:paraId="735CE22B" w14:textId="77777777" w:rsidR="00626208" w:rsidRPr="004676F5" w:rsidRDefault="00626208" w:rsidP="00626208">
      <w:pPr>
        <w:jc w:val="both"/>
        <w:rPr>
          <w:lang w:val="de-DE"/>
        </w:rPr>
      </w:pPr>
      <w:r w:rsidRPr="004676F5">
        <w:rPr>
          <w:lang w:val="de-DE"/>
        </w:rPr>
        <w:tab/>
        <w:t>4. finanziell belastende oder unverhältnismäßige Hindernisse nichtvertraglicher Art, mit denen das Unternehmen den Verbraucher an der Ausübung seiner vertraglichen Rechte zu hindern versucht, wozu auch das Recht gehört, den Vertrag zu kündigen oder zu einem anderen Produkt oder einem anderen Unternehmen zu wechseln,</w:t>
      </w:r>
    </w:p>
    <w:p w14:paraId="4D5D6FA6" w14:textId="77777777" w:rsidR="00626208" w:rsidRPr="004676F5" w:rsidRDefault="00626208" w:rsidP="00626208">
      <w:pPr>
        <w:jc w:val="both"/>
        <w:rPr>
          <w:lang w:val="de-DE"/>
        </w:rPr>
      </w:pPr>
    </w:p>
    <w:p w14:paraId="14912007" w14:textId="77777777" w:rsidR="00626208" w:rsidRPr="004676F5" w:rsidRDefault="00626208" w:rsidP="00626208">
      <w:pPr>
        <w:jc w:val="both"/>
        <w:rPr>
          <w:lang w:val="de-DE"/>
        </w:rPr>
      </w:pPr>
      <w:r w:rsidRPr="004676F5">
        <w:rPr>
          <w:lang w:val="de-DE"/>
        </w:rPr>
        <w:tab/>
        <w:t>5. Drohungen mit rechtlich unzulässigen Handlungen.</w:t>
      </w:r>
    </w:p>
    <w:p w14:paraId="1E867587" w14:textId="77777777" w:rsidR="00626208" w:rsidRPr="004676F5" w:rsidRDefault="00626208" w:rsidP="00626208">
      <w:pPr>
        <w:jc w:val="both"/>
        <w:rPr>
          <w:lang w:val="de-DE"/>
        </w:rPr>
      </w:pPr>
    </w:p>
    <w:p w14:paraId="27576C60" w14:textId="77777777" w:rsidR="008A3633" w:rsidRPr="004676F5" w:rsidRDefault="008A3633" w:rsidP="00626208">
      <w:pPr>
        <w:jc w:val="both"/>
        <w:rPr>
          <w:lang w:val="de-DE"/>
        </w:rPr>
      </w:pPr>
    </w:p>
    <w:p w14:paraId="5FE5586B" w14:textId="19E6FBDE"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VI.103</w:t>
      </w:r>
      <w:r w:rsidRPr="004676F5">
        <w:rPr>
          <w:lang w:val="de-DE"/>
        </w:rPr>
        <w:t> </w:t>
      </w:r>
      <w:r w:rsidR="005B7A5C" w:rsidRPr="004676F5">
        <w:rPr>
          <w:lang w:val="de-DE"/>
        </w:rPr>
        <w:t>- </w:t>
      </w:r>
      <w:r w:rsidRPr="004676F5">
        <w:rPr>
          <w:lang w:val="de-DE"/>
        </w:rPr>
        <w:t>Unter allen Umständen gelten folgende aggressive Geschäftspraktiken als unlautere Geschäftspraktiken:</w:t>
      </w:r>
    </w:p>
    <w:p w14:paraId="7C7DEDE3" w14:textId="77777777" w:rsidR="00626208" w:rsidRPr="004676F5" w:rsidRDefault="00626208" w:rsidP="00626208">
      <w:pPr>
        <w:jc w:val="both"/>
        <w:rPr>
          <w:lang w:val="de-DE"/>
        </w:rPr>
      </w:pPr>
    </w:p>
    <w:p w14:paraId="061C28AF" w14:textId="77777777" w:rsidR="00626208" w:rsidRPr="004676F5" w:rsidRDefault="00626208" w:rsidP="00626208">
      <w:pPr>
        <w:jc w:val="both"/>
        <w:rPr>
          <w:lang w:val="de-DE"/>
        </w:rPr>
      </w:pPr>
      <w:r w:rsidRPr="004676F5">
        <w:rPr>
          <w:lang w:val="de-DE"/>
        </w:rPr>
        <w:tab/>
        <w:t>1. Erwecken des Eindrucks, der Verbraucher könne die Räumlichkeiten ohne Vertragsabschluss nicht verlassen,</w:t>
      </w:r>
    </w:p>
    <w:p w14:paraId="015187F0" w14:textId="77777777" w:rsidR="00626208" w:rsidRPr="004676F5" w:rsidRDefault="00626208" w:rsidP="00626208">
      <w:pPr>
        <w:jc w:val="both"/>
        <w:rPr>
          <w:lang w:val="de-DE"/>
        </w:rPr>
      </w:pPr>
    </w:p>
    <w:p w14:paraId="2FD8A4CE" w14:textId="742CDB08" w:rsidR="00626208" w:rsidRPr="004676F5" w:rsidRDefault="00626208" w:rsidP="00626208">
      <w:pPr>
        <w:jc w:val="both"/>
        <w:rPr>
          <w:lang w:val="de-DE"/>
        </w:rPr>
      </w:pPr>
      <w:r w:rsidRPr="004676F5">
        <w:rPr>
          <w:lang w:val="de-DE"/>
        </w:rPr>
        <w:tab/>
        <w:t>2. Nichtbeachtung der Aufforderung des Verbrauchers bei persönlichen Besuchen in dessen Wohnung, diese zu verlassen beziehungsweise nicht zurückzukehren, unbeschadet der Gesetzes</w:t>
      </w:r>
      <w:r w:rsidR="005B7A5C" w:rsidRPr="004676F5">
        <w:rPr>
          <w:lang w:val="de-DE"/>
        </w:rPr>
        <w:t>- </w:t>
      </w:r>
      <w:r w:rsidRPr="004676F5">
        <w:rPr>
          <w:lang w:val="de-DE"/>
        </w:rPr>
        <w:t>oder Verordnungsbestimmungen, die dies zulassen, um eine vertragliche Verpflichtung durchzusetzen,</w:t>
      </w:r>
    </w:p>
    <w:p w14:paraId="25374988" w14:textId="77777777" w:rsidR="00626208" w:rsidRPr="004676F5" w:rsidRDefault="00626208" w:rsidP="00626208">
      <w:pPr>
        <w:jc w:val="both"/>
        <w:rPr>
          <w:lang w:val="de-DE"/>
        </w:rPr>
      </w:pPr>
    </w:p>
    <w:p w14:paraId="550CAB74" w14:textId="77777777" w:rsidR="00626208" w:rsidRPr="004676F5" w:rsidRDefault="00626208" w:rsidP="00626208">
      <w:pPr>
        <w:jc w:val="both"/>
        <w:rPr>
          <w:lang w:val="de-DE"/>
        </w:rPr>
      </w:pPr>
      <w:r w:rsidRPr="004676F5">
        <w:rPr>
          <w:lang w:val="de-DE"/>
        </w:rPr>
        <w:tab/>
        <w:t>3. Werbung von Kunden durch hartnäckiges und unerwünschtes Ansprechen über Telefon, Fax, E-Mail oder sonstige für den Fernabsatz geeignete Medien, unbeschadet:</w:t>
      </w:r>
    </w:p>
    <w:p w14:paraId="621A5672" w14:textId="77777777" w:rsidR="00626208" w:rsidRPr="004676F5" w:rsidRDefault="00626208" w:rsidP="00626208">
      <w:pPr>
        <w:jc w:val="both"/>
        <w:rPr>
          <w:lang w:val="de-DE"/>
        </w:rPr>
      </w:pPr>
    </w:p>
    <w:p w14:paraId="277338B8" w14:textId="4131A645" w:rsidR="00626208" w:rsidRPr="004676F5" w:rsidRDefault="00626208" w:rsidP="00626208">
      <w:pPr>
        <w:jc w:val="both"/>
        <w:rPr>
          <w:lang w:val="de-DE"/>
        </w:rPr>
      </w:pPr>
      <w:r w:rsidRPr="004676F5">
        <w:rPr>
          <w:lang w:val="de-DE"/>
        </w:rPr>
        <w:tab/>
      </w:r>
      <w:r w:rsidRPr="004676F5">
        <w:rPr>
          <w:i/>
          <w:lang w:val="de-DE"/>
        </w:rPr>
        <w:t>a)</w:t>
      </w:r>
      <w:r w:rsidRPr="004676F5">
        <w:rPr>
          <w:lang w:val="de-DE"/>
        </w:rPr>
        <w:t> der Gesetzes</w:t>
      </w:r>
      <w:r w:rsidR="005B7A5C" w:rsidRPr="004676F5">
        <w:rPr>
          <w:lang w:val="de-DE"/>
        </w:rPr>
        <w:t>- </w:t>
      </w:r>
      <w:r w:rsidRPr="004676F5">
        <w:rPr>
          <w:lang w:val="de-DE"/>
        </w:rPr>
        <w:t>oder Verordnungsbestimmungen, die dies zulassen, um eine vertragliche Verpflichtung durchzusetzen,</w:t>
      </w:r>
    </w:p>
    <w:p w14:paraId="0A53B480" w14:textId="77777777" w:rsidR="00626208" w:rsidRPr="004676F5" w:rsidRDefault="00626208" w:rsidP="00626208">
      <w:pPr>
        <w:jc w:val="both"/>
        <w:rPr>
          <w:lang w:val="de-DE"/>
        </w:rPr>
      </w:pPr>
    </w:p>
    <w:p w14:paraId="48405B2E"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des Artikels VI.110 und</w:t>
      </w:r>
    </w:p>
    <w:p w14:paraId="67F6D4E4" w14:textId="77777777" w:rsidR="00626208" w:rsidRPr="004676F5" w:rsidRDefault="00626208" w:rsidP="00626208">
      <w:pPr>
        <w:jc w:val="both"/>
        <w:rPr>
          <w:lang w:val="de-DE"/>
        </w:rPr>
      </w:pPr>
    </w:p>
    <w:p w14:paraId="03521F39" w14:textId="77777777" w:rsidR="00626208" w:rsidRPr="004676F5" w:rsidRDefault="00626208" w:rsidP="00626208">
      <w:pPr>
        <w:jc w:val="both"/>
        <w:rPr>
          <w:lang w:val="de-DE"/>
        </w:rPr>
      </w:pPr>
      <w:r w:rsidRPr="004676F5">
        <w:rPr>
          <w:lang w:val="de-DE"/>
        </w:rPr>
        <w:tab/>
      </w:r>
      <w:r w:rsidRPr="004676F5">
        <w:rPr>
          <w:i/>
          <w:lang w:val="de-DE"/>
        </w:rPr>
        <w:t>c)</w:t>
      </w:r>
      <w:r w:rsidRPr="004676F5">
        <w:rPr>
          <w:lang w:val="de-DE"/>
        </w:rPr>
        <w:t> des Artikels XII.13,</w:t>
      </w:r>
    </w:p>
    <w:p w14:paraId="008492DF" w14:textId="77777777" w:rsidR="00626208" w:rsidRPr="004676F5" w:rsidRDefault="00626208" w:rsidP="00626208">
      <w:pPr>
        <w:jc w:val="both"/>
        <w:rPr>
          <w:lang w:val="de-DE"/>
        </w:rPr>
      </w:pPr>
    </w:p>
    <w:p w14:paraId="79031B39" w14:textId="77777777" w:rsidR="00626208" w:rsidRPr="004676F5" w:rsidRDefault="00626208" w:rsidP="00626208">
      <w:pPr>
        <w:jc w:val="both"/>
        <w:rPr>
          <w:lang w:val="de-DE"/>
        </w:rPr>
      </w:pPr>
      <w:r w:rsidRPr="004676F5">
        <w:rPr>
          <w:lang w:val="de-DE"/>
        </w:rPr>
        <w:tab/>
        <w:t>4. an einen Verbraucher gerichtete Aufforderung, der eine Versicherungspolice in Anspruch nehmen möchte, Dokumente vorzulegen, die vernünftigerweise nicht als relevant für die Gültigkeit des Anspruchs anzusehen sind, oder systematische Nichtbeantwortung einschlägiger Schreiben, um so den Verbraucher von der Ausübung seiner vertraglichen Rechte abzuhalten,</w:t>
      </w:r>
    </w:p>
    <w:p w14:paraId="073862F9" w14:textId="77777777" w:rsidR="00626208" w:rsidRPr="004676F5" w:rsidRDefault="00626208" w:rsidP="00626208">
      <w:pPr>
        <w:jc w:val="both"/>
        <w:rPr>
          <w:lang w:val="de-DE"/>
        </w:rPr>
      </w:pPr>
    </w:p>
    <w:p w14:paraId="1939A847" w14:textId="77777777" w:rsidR="00626208" w:rsidRPr="004676F5" w:rsidRDefault="00626208" w:rsidP="00626208">
      <w:pPr>
        <w:jc w:val="both"/>
        <w:rPr>
          <w:lang w:val="de-DE"/>
        </w:rPr>
      </w:pPr>
      <w:r w:rsidRPr="004676F5">
        <w:rPr>
          <w:lang w:val="de-DE"/>
        </w:rPr>
        <w:tab/>
        <w:t>5. Einbeziehung einer direkten Aufforderung an Kinder in eine Werbung, die beworbenen Produkte zu kaufen oder ihre Eltern oder andere Erwachsene zu überreden, die beworbenen Produkte für sie zu kaufen,</w:t>
      </w:r>
    </w:p>
    <w:p w14:paraId="53F959A6" w14:textId="77777777" w:rsidR="00626208" w:rsidRPr="004676F5" w:rsidRDefault="00626208" w:rsidP="00626208">
      <w:pPr>
        <w:jc w:val="both"/>
        <w:rPr>
          <w:lang w:val="de-DE"/>
        </w:rPr>
      </w:pPr>
    </w:p>
    <w:p w14:paraId="1FF11571" w14:textId="77777777" w:rsidR="00626208" w:rsidRPr="004676F5" w:rsidRDefault="00626208" w:rsidP="00626208">
      <w:pPr>
        <w:jc w:val="both"/>
        <w:rPr>
          <w:lang w:val="de-DE"/>
        </w:rPr>
      </w:pPr>
      <w:r w:rsidRPr="004676F5">
        <w:rPr>
          <w:lang w:val="de-DE"/>
        </w:rPr>
        <w:tab/>
        <w:t>6. an einen Verbraucher gerichtete Aufforderung zur sofortigen oder späteren Bezahlung oder zur Rücksendung oder Verwahrung von Produkten, die das Unternehmen geliefert, der Verbraucher aber nicht bestellt hat,</w:t>
      </w:r>
    </w:p>
    <w:p w14:paraId="7ED0453F" w14:textId="77777777" w:rsidR="00626208" w:rsidRPr="004676F5" w:rsidRDefault="00626208" w:rsidP="00626208">
      <w:pPr>
        <w:jc w:val="both"/>
        <w:rPr>
          <w:lang w:val="de-DE"/>
        </w:rPr>
      </w:pPr>
    </w:p>
    <w:p w14:paraId="16FD80BE" w14:textId="77777777" w:rsidR="00626208" w:rsidRPr="004676F5" w:rsidRDefault="00626208" w:rsidP="00626208">
      <w:pPr>
        <w:jc w:val="both"/>
        <w:rPr>
          <w:lang w:val="de-DE"/>
        </w:rPr>
      </w:pPr>
      <w:r w:rsidRPr="004676F5">
        <w:rPr>
          <w:lang w:val="de-DE"/>
        </w:rPr>
        <w:tab/>
        <w:t>7. ausdrücklicher Hinweis gegenüber dem Verbraucher, dass der Arbeitsplatz der betreffenden Person oder die Existenz des Unternehmens gefährdet sind, falls der Verbraucher das Produkt oder die Dienstleistung nicht erwirbt,</w:t>
      </w:r>
    </w:p>
    <w:p w14:paraId="1640C06F" w14:textId="77777777" w:rsidR="00626208" w:rsidRPr="004676F5" w:rsidRDefault="00626208" w:rsidP="00626208">
      <w:pPr>
        <w:jc w:val="both"/>
        <w:rPr>
          <w:lang w:val="de-DE"/>
        </w:rPr>
      </w:pPr>
    </w:p>
    <w:p w14:paraId="4D2319C5" w14:textId="77777777" w:rsidR="00626208" w:rsidRPr="004676F5" w:rsidRDefault="00626208" w:rsidP="00626208">
      <w:pPr>
        <w:jc w:val="both"/>
        <w:rPr>
          <w:lang w:val="de-DE"/>
        </w:rPr>
      </w:pPr>
      <w:r w:rsidRPr="004676F5">
        <w:rPr>
          <w:lang w:val="de-DE"/>
        </w:rPr>
        <w:tab/>
        <w:t>8. Erwecken des falschen Eindrucks, der Verbraucher habe bereits einen Preis gewonnen, werde einen Preis gewinnen oder werde durch eine bestimmte Handlung einen Preis oder einen sonstigen Vorteil gewinnen:</w:t>
      </w:r>
    </w:p>
    <w:p w14:paraId="56A0844A" w14:textId="77777777" w:rsidR="00626208" w:rsidRPr="004676F5" w:rsidRDefault="00626208" w:rsidP="00626208">
      <w:pPr>
        <w:jc w:val="both"/>
        <w:rPr>
          <w:lang w:val="de-DE"/>
        </w:rPr>
      </w:pPr>
    </w:p>
    <w:p w14:paraId="66FFF009" w14:textId="137970A6" w:rsidR="00626208" w:rsidRPr="004676F5" w:rsidRDefault="00626208" w:rsidP="00626208">
      <w:pPr>
        <w:jc w:val="both"/>
        <w:rPr>
          <w:lang w:val="de-DE"/>
        </w:rPr>
      </w:pPr>
      <w:r w:rsidRPr="004676F5">
        <w:rPr>
          <w:lang w:val="de-DE"/>
        </w:rPr>
        <w:tab/>
      </w:r>
      <w:r w:rsidR="005B7A5C" w:rsidRPr="004676F5">
        <w:rPr>
          <w:lang w:val="de-DE"/>
        </w:rPr>
        <w:t>- </w:t>
      </w:r>
      <w:r w:rsidRPr="004676F5">
        <w:rPr>
          <w:lang w:val="de-DE"/>
        </w:rPr>
        <w:t>obwohl es in Wirklichkeit keinen Preis oder sonstigen Vorteil gibt oder</w:t>
      </w:r>
    </w:p>
    <w:p w14:paraId="03A86B5B" w14:textId="77777777" w:rsidR="00626208" w:rsidRPr="004676F5" w:rsidRDefault="00626208" w:rsidP="00626208">
      <w:pPr>
        <w:jc w:val="both"/>
        <w:rPr>
          <w:lang w:val="de-DE"/>
        </w:rPr>
      </w:pPr>
    </w:p>
    <w:p w14:paraId="6F2B2C9E" w14:textId="0EAED5B1" w:rsidR="00626208" w:rsidRPr="004676F5" w:rsidRDefault="00626208" w:rsidP="00B95783">
      <w:pPr>
        <w:jc w:val="both"/>
        <w:rPr>
          <w:lang w:val="de-DE"/>
        </w:rPr>
      </w:pPr>
      <w:r w:rsidRPr="004676F5">
        <w:rPr>
          <w:lang w:val="de-DE"/>
        </w:rPr>
        <w:tab/>
      </w:r>
      <w:r w:rsidR="005B7A5C" w:rsidRPr="004676F5">
        <w:rPr>
          <w:lang w:val="de-DE"/>
        </w:rPr>
        <w:t>- </w:t>
      </w:r>
      <w:r w:rsidRPr="004676F5">
        <w:rPr>
          <w:lang w:val="de-DE"/>
        </w:rPr>
        <w:t>die Möglichkeit des Verbrauchers, Handlungen in Bezug auf die Inanspruchnahme des Preises oder eines sonstigen Vorteils vorzunehmen, in Wirklichkeit von der Zahlung eines Betrags oder der Übernahme von Kosten durch den Verbraucher abhängig gemacht wird.</w:t>
      </w:r>
    </w:p>
    <w:p w14:paraId="665B89D4" w14:textId="77777777" w:rsidR="008A3633" w:rsidRPr="004676F5" w:rsidRDefault="008A3633">
      <w:pPr>
        <w:rPr>
          <w:lang w:val="de-DE"/>
        </w:rPr>
      </w:pPr>
      <w:r w:rsidRPr="004676F5">
        <w:rPr>
          <w:lang w:val="de-DE"/>
        </w:rPr>
        <w:br w:type="page"/>
      </w:r>
    </w:p>
    <w:p w14:paraId="60C38186" w14:textId="523E00C1" w:rsidR="00626208" w:rsidRPr="004676F5" w:rsidRDefault="00626208" w:rsidP="00626208">
      <w:pPr>
        <w:jc w:val="center"/>
        <w:rPr>
          <w:iCs/>
          <w:lang w:val="de-DE"/>
        </w:rPr>
      </w:pPr>
      <w:r w:rsidRPr="004676F5">
        <w:rPr>
          <w:lang w:val="de-DE"/>
        </w:rPr>
        <w:lastRenderedPageBreak/>
        <w:t>KAPITEL 2 </w:t>
      </w:r>
      <w:r w:rsidR="005B7A5C" w:rsidRPr="004676F5">
        <w:rPr>
          <w:lang w:val="de-DE"/>
        </w:rPr>
        <w:t>- </w:t>
      </w:r>
      <w:r w:rsidR="005E14E9" w:rsidRPr="004676F5">
        <w:rPr>
          <w:lang w:val="de-DE"/>
        </w:rPr>
        <w:t>[</w:t>
      </w:r>
      <w:r w:rsidRPr="004676F5">
        <w:rPr>
          <w:i/>
          <w:lang w:val="de-DE"/>
        </w:rPr>
        <w:t>Unlautere Marktpraktiken</w:t>
      </w:r>
      <w:r w:rsidR="00792EEA" w:rsidRPr="004676F5">
        <w:rPr>
          <w:i/>
          <w:lang w:val="de-DE"/>
        </w:rPr>
        <w:t xml:space="preserve"> zwischen Unternehmen</w:t>
      </w:r>
      <w:r w:rsidR="005E14E9" w:rsidRPr="004676F5">
        <w:rPr>
          <w:iCs/>
          <w:lang w:val="de-DE"/>
        </w:rPr>
        <w:t>]</w:t>
      </w:r>
    </w:p>
    <w:p w14:paraId="0B6338D7" w14:textId="77777777" w:rsidR="005E14E9" w:rsidRPr="004676F5" w:rsidRDefault="005E14E9" w:rsidP="00626208">
      <w:pPr>
        <w:jc w:val="center"/>
        <w:rPr>
          <w:iCs/>
          <w:lang w:val="de-DE"/>
        </w:rPr>
      </w:pPr>
    </w:p>
    <w:p w14:paraId="1E9E1C6A" w14:textId="60DEEB5E" w:rsidR="005E14E9" w:rsidRPr="004676F5" w:rsidRDefault="005E14E9" w:rsidP="005E14E9">
      <w:pPr>
        <w:jc w:val="both"/>
        <w:rPr>
          <w:lang w:val="de-DE"/>
        </w:rPr>
      </w:pPr>
      <w:r w:rsidRPr="004676F5">
        <w:rPr>
          <w:i/>
          <w:lang w:val="de-DE"/>
        </w:rPr>
        <w:t>[Überschrift von Kapitel 2 ersetzt durch Art. 24</w:t>
      </w:r>
      <w:r w:rsidRPr="004676F5">
        <w:rPr>
          <w:i/>
          <w:iCs/>
          <w:lang w:val="de-DE"/>
        </w:rPr>
        <w:t xml:space="preserve"> des G. vom 4. April 2019 (B.S. vom 24. Mai 2019)]</w:t>
      </w:r>
    </w:p>
    <w:p w14:paraId="6E6AAA01" w14:textId="77777777" w:rsidR="005E14E9" w:rsidRPr="004676F5" w:rsidRDefault="005E14E9" w:rsidP="005E14E9">
      <w:pPr>
        <w:jc w:val="both"/>
        <w:rPr>
          <w:lang w:val="de-DE"/>
        </w:rPr>
      </w:pPr>
    </w:p>
    <w:p w14:paraId="2A7B4CAA" w14:textId="77777777" w:rsidR="005E14E9" w:rsidRPr="004676F5" w:rsidRDefault="005E14E9" w:rsidP="005E14E9">
      <w:pPr>
        <w:jc w:val="both"/>
        <w:rPr>
          <w:lang w:val="de-DE"/>
        </w:rPr>
      </w:pPr>
    </w:p>
    <w:p w14:paraId="3CB7447D" w14:textId="076C1ABF" w:rsidR="005E14E9" w:rsidRPr="004676F5" w:rsidRDefault="005E14E9" w:rsidP="005E14E9">
      <w:pPr>
        <w:jc w:val="both"/>
        <w:rPr>
          <w:lang w:val="de-DE"/>
        </w:rPr>
      </w:pPr>
      <w:r w:rsidRPr="004676F5">
        <w:rPr>
          <w:lang w:val="de-DE"/>
        </w:rPr>
        <w:tab/>
        <w:t>[</w:t>
      </w:r>
      <w:r w:rsidRPr="004676F5">
        <w:rPr>
          <w:b/>
          <w:bCs/>
          <w:lang w:val="de-DE"/>
        </w:rPr>
        <w:t>Art. VI.103/1</w:t>
      </w:r>
      <w:r w:rsidRPr="004676F5">
        <w:rPr>
          <w:lang w:val="de-DE"/>
        </w:rPr>
        <w:t> </w:t>
      </w:r>
      <w:r w:rsidR="005B7A5C" w:rsidRPr="004676F5">
        <w:rPr>
          <w:lang w:val="de-DE"/>
        </w:rPr>
        <w:t>- </w:t>
      </w:r>
      <w:r w:rsidRPr="004676F5">
        <w:rPr>
          <w:lang w:val="de-DE"/>
        </w:rPr>
        <w:t>Für die Anwendung des vorliegenden Kapitels ist ein "Geschäfts</w:t>
      </w:r>
      <w:r w:rsidRPr="004676F5">
        <w:rPr>
          <w:lang w:val="de-DE"/>
        </w:rPr>
        <w:softHyphen/>
        <w:t>beschluss" ein von einem Unternehmen getroffener Beschluss, ob und gegebenenfalls unter welchen Bedingungen ein Vertrag geschlossen, fortgesetzt oder aufgegeben, eine vollständige Zahlung oder Teilzahlung geleistet oder ein vertragliches Recht in Bezug auf ein Produkt ausgeübt werden soll, unabhängig davon, ob das Unternehmen daraufhin gehandelt oder nicht gehandelt hat.]</w:t>
      </w:r>
    </w:p>
    <w:p w14:paraId="474CE704" w14:textId="77777777" w:rsidR="00626208" w:rsidRPr="004676F5" w:rsidRDefault="00626208" w:rsidP="00626208">
      <w:pPr>
        <w:jc w:val="both"/>
        <w:rPr>
          <w:lang w:val="de-DE"/>
        </w:rPr>
      </w:pPr>
    </w:p>
    <w:p w14:paraId="64180DAB" w14:textId="75DFC594" w:rsidR="005E14E9" w:rsidRPr="004676F5" w:rsidRDefault="005E14E9" w:rsidP="005E14E9">
      <w:pPr>
        <w:jc w:val="both"/>
        <w:rPr>
          <w:i/>
          <w:iCs/>
          <w:lang w:val="de-DE"/>
        </w:rPr>
      </w:pPr>
      <w:r w:rsidRPr="004676F5">
        <w:rPr>
          <w:i/>
          <w:iCs/>
          <w:lang w:val="de-DE"/>
        </w:rPr>
        <w:t>[Art. VI.103/1 eingefügt durch Art. 25 des G. vom 4. April 2019 (B.S. vom 24. Mai 2019)]</w:t>
      </w:r>
    </w:p>
    <w:p w14:paraId="194B7426" w14:textId="77777777" w:rsidR="005E14E9" w:rsidRPr="004676F5" w:rsidRDefault="005E14E9" w:rsidP="00626208">
      <w:pPr>
        <w:jc w:val="both"/>
        <w:rPr>
          <w:lang w:val="de-DE"/>
        </w:rPr>
      </w:pPr>
    </w:p>
    <w:p w14:paraId="6C476F86" w14:textId="77777777" w:rsidR="008A3633" w:rsidRPr="004676F5" w:rsidRDefault="008A3633" w:rsidP="00626208">
      <w:pPr>
        <w:jc w:val="both"/>
        <w:rPr>
          <w:lang w:val="de-DE"/>
        </w:rPr>
      </w:pPr>
    </w:p>
    <w:p w14:paraId="6CC136B7" w14:textId="22023FE5" w:rsidR="005E14E9" w:rsidRPr="004676F5" w:rsidRDefault="005E14E9" w:rsidP="005E14E9">
      <w:pPr>
        <w:jc w:val="center"/>
        <w:rPr>
          <w:lang w:val="de-DE"/>
        </w:rPr>
      </w:pPr>
      <w:r w:rsidRPr="004676F5">
        <w:rPr>
          <w:lang w:val="de-DE"/>
        </w:rPr>
        <w:t>[</w:t>
      </w:r>
      <w:r w:rsidRPr="004676F5">
        <w:rPr>
          <w:i/>
          <w:iCs/>
          <w:lang w:val="de-DE"/>
        </w:rPr>
        <w:t>Abschnitt 1 </w:t>
      </w:r>
      <w:r w:rsidR="005B7A5C" w:rsidRPr="004676F5">
        <w:rPr>
          <w:lang w:val="de-DE"/>
        </w:rPr>
        <w:t>- </w:t>
      </w:r>
      <w:r w:rsidRPr="004676F5">
        <w:rPr>
          <w:lang w:val="de-DE"/>
        </w:rPr>
        <w:t>Unlautere Marktpraktiken]</w:t>
      </w:r>
    </w:p>
    <w:p w14:paraId="4E3EEB55" w14:textId="77777777" w:rsidR="005E14E9" w:rsidRPr="004676F5" w:rsidRDefault="005E14E9" w:rsidP="005E14E9">
      <w:pPr>
        <w:jc w:val="center"/>
        <w:rPr>
          <w:lang w:val="de-DE"/>
        </w:rPr>
      </w:pPr>
    </w:p>
    <w:p w14:paraId="79D96BC7" w14:textId="07C4C333" w:rsidR="005E14E9" w:rsidRPr="004676F5" w:rsidRDefault="005E14E9" w:rsidP="005E14E9">
      <w:pPr>
        <w:jc w:val="both"/>
        <w:rPr>
          <w:i/>
          <w:iCs/>
          <w:lang w:val="de-DE"/>
        </w:rPr>
      </w:pPr>
      <w:r w:rsidRPr="004676F5">
        <w:rPr>
          <w:i/>
          <w:iCs/>
          <w:lang w:val="de-DE"/>
        </w:rPr>
        <w:t>[Unterteilung Abschnitt 1 eingefügt durch Art. 26 des G. vom 4. April 2019 (B.S. vom 24. Mai 2019)]</w:t>
      </w:r>
    </w:p>
    <w:p w14:paraId="510C0A00" w14:textId="77777777" w:rsidR="005E14E9" w:rsidRPr="004676F5" w:rsidRDefault="005E14E9" w:rsidP="005E14E9">
      <w:pPr>
        <w:rPr>
          <w:i/>
          <w:iCs/>
          <w:lang w:val="de-DE"/>
        </w:rPr>
      </w:pPr>
    </w:p>
    <w:p w14:paraId="53A1703E" w14:textId="77777777" w:rsidR="005E14E9" w:rsidRPr="004676F5" w:rsidRDefault="005E14E9" w:rsidP="005E14E9">
      <w:pPr>
        <w:rPr>
          <w:i/>
          <w:iCs/>
          <w:lang w:val="de-DE"/>
        </w:rPr>
      </w:pPr>
    </w:p>
    <w:p w14:paraId="0B8E572D" w14:textId="5433101E"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VI.104</w:t>
      </w:r>
      <w:r w:rsidRPr="004676F5">
        <w:rPr>
          <w:lang w:val="de-DE"/>
        </w:rPr>
        <w:t> </w:t>
      </w:r>
      <w:r w:rsidR="005B7A5C" w:rsidRPr="004676F5">
        <w:rPr>
          <w:lang w:val="de-DE"/>
        </w:rPr>
        <w:t>- </w:t>
      </w:r>
      <w:r w:rsidRPr="004676F5">
        <w:rPr>
          <w:lang w:val="de-DE"/>
        </w:rPr>
        <w:t>Handlungen, die ehrlichen Marktpraktiken zuwiderlaufen und durch die ein Unternehmen den beruflichen Belangen eines oder mehrerer anderer Unternehmen schadet oder schaden kann, sind verboten.</w:t>
      </w:r>
    </w:p>
    <w:p w14:paraId="6EB3179C" w14:textId="77777777" w:rsidR="00626208" w:rsidRPr="004676F5" w:rsidRDefault="00626208" w:rsidP="00626208">
      <w:pPr>
        <w:jc w:val="both"/>
        <w:rPr>
          <w:lang w:val="de-DE"/>
        </w:rPr>
      </w:pPr>
    </w:p>
    <w:p w14:paraId="0C1EB1DA" w14:textId="77777777" w:rsidR="00BE5F5C" w:rsidRPr="004676F5" w:rsidRDefault="00BE5F5C" w:rsidP="00626208">
      <w:pPr>
        <w:jc w:val="both"/>
        <w:rPr>
          <w:lang w:val="de-DE"/>
        </w:rPr>
      </w:pPr>
    </w:p>
    <w:p w14:paraId="7FEE6C58" w14:textId="45140DD0" w:rsidR="00BE5F5C" w:rsidRPr="004676F5" w:rsidRDefault="00BE5F5C" w:rsidP="00BE5F5C">
      <w:pPr>
        <w:jc w:val="both"/>
        <w:rPr>
          <w:lang w:val="de-DE"/>
        </w:rPr>
      </w:pPr>
      <w:r w:rsidRPr="004676F5">
        <w:rPr>
          <w:lang w:val="de-DE"/>
        </w:rPr>
        <w:tab/>
        <w:t>[</w:t>
      </w:r>
      <w:r w:rsidRPr="004676F5">
        <w:rPr>
          <w:b/>
          <w:bCs/>
          <w:lang w:val="de-DE"/>
        </w:rPr>
        <w:t>Art. VI.104/1</w:t>
      </w:r>
      <w:r w:rsidRPr="004676F5">
        <w:rPr>
          <w:lang w:val="de-DE"/>
        </w:rPr>
        <w:t> </w:t>
      </w:r>
      <w:r w:rsidR="005B7A5C" w:rsidRPr="004676F5">
        <w:rPr>
          <w:lang w:val="de-DE"/>
        </w:rPr>
        <w:t>- </w:t>
      </w:r>
      <w:r w:rsidRPr="004676F5">
        <w:rPr>
          <w:lang w:val="de-DE"/>
        </w:rPr>
        <w:t>Unlauter im Sinne von Artikel VI.104 sind insbesondere Marktpraktiken von Unternehmen gegenüber anderen Unternehmen, die:</w:t>
      </w:r>
    </w:p>
    <w:p w14:paraId="78BF5FF4" w14:textId="77777777" w:rsidR="00BE5F5C" w:rsidRPr="004676F5" w:rsidRDefault="00BE5F5C" w:rsidP="00BE5F5C">
      <w:pPr>
        <w:jc w:val="both"/>
        <w:rPr>
          <w:lang w:val="de-DE"/>
        </w:rPr>
      </w:pPr>
    </w:p>
    <w:p w14:paraId="60D11ABC" w14:textId="77777777" w:rsidR="00BE5F5C" w:rsidRPr="004676F5" w:rsidRDefault="00BE5F5C" w:rsidP="00BE5F5C">
      <w:pPr>
        <w:jc w:val="both"/>
        <w:rPr>
          <w:lang w:val="de-DE"/>
        </w:rPr>
      </w:pPr>
      <w:r w:rsidRPr="004676F5">
        <w:rPr>
          <w:lang w:val="de-DE"/>
        </w:rPr>
        <w:tab/>
        <w:t>1. irreführend im Sinne der Artikel VI.105 bis VI.109 sind,</w:t>
      </w:r>
    </w:p>
    <w:p w14:paraId="50FB8B51" w14:textId="77777777" w:rsidR="00BE5F5C" w:rsidRPr="004676F5" w:rsidRDefault="00BE5F5C" w:rsidP="00BE5F5C">
      <w:pPr>
        <w:jc w:val="both"/>
        <w:rPr>
          <w:lang w:val="de-DE"/>
        </w:rPr>
      </w:pPr>
    </w:p>
    <w:p w14:paraId="5D1C8747" w14:textId="77777777" w:rsidR="00BE5F5C" w:rsidRPr="004676F5" w:rsidRDefault="00BE5F5C" w:rsidP="00BE5F5C">
      <w:pPr>
        <w:jc w:val="both"/>
        <w:rPr>
          <w:lang w:val="de-DE"/>
        </w:rPr>
      </w:pPr>
      <w:r w:rsidRPr="004676F5">
        <w:rPr>
          <w:lang w:val="de-DE"/>
        </w:rPr>
        <w:tab/>
        <w:t>2. aggressiv im Sinne der Artikel VI.109/1 bis VI.109/3 sind,</w:t>
      </w:r>
    </w:p>
    <w:p w14:paraId="2A7E9B5E" w14:textId="77777777" w:rsidR="00BE5F5C" w:rsidRPr="004676F5" w:rsidRDefault="00BE5F5C" w:rsidP="00BE5F5C">
      <w:pPr>
        <w:jc w:val="both"/>
        <w:rPr>
          <w:lang w:val="de-DE"/>
        </w:rPr>
      </w:pPr>
    </w:p>
    <w:p w14:paraId="70450F35" w14:textId="561B2031" w:rsidR="00BE5F5C" w:rsidRPr="004676F5" w:rsidRDefault="00BE5F5C" w:rsidP="00BE5F5C">
      <w:pPr>
        <w:jc w:val="both"/>
        <w:rPr>
          <w:lang w:val="de-DE"/>
        </w:rPr>
      </w:pPr>
      <w:r w:rsidRPr="004676F5">
        <w:rPr>
          <w:lang w:val="de-DE"/>
        </w:rPr>
        <w:tab/>
        <w:t>3. einer Handlung förderlich sind, die als Nichteinhaltung des vorliegenden Buches oder in Anwendung der Artikel XV.83 bis 86 und XV.126 als Verstoß zu betrachten sind.]</w:t>
      </w:r>
    </w:p>
    <w:p w14:paraId="1CD7638C" w14:textId="77777777" w:rsidR="00BE5F5C" w:rsidRPr="004676F5" w:rsidRDefault="00BE5F5C" w:rsidP="00BE5F5C">
      <w:pPr>
        <w:jc w:val="both"/>
        <w:rPr>
          <w:lang w:val="de-DE"/>
        </w:rPr>
      </w:pPr>
    </w:p>
    <w:p w14:paraId="15ECE29C" w14:textId="39007CCA" w:rsidR="00BE5F5C" w:rsidRPr="004676F5" w:rsidRDefault="00BE5F5C" w:rsidP="00BE5F5C">
      <w:pPr>
        <w:jc w:val="both"/>
        <w:rPr>
          <w:i/>
          <w:iCs/>
          <w:lang w:val="de-DE"/>
        </w:rPr>
      </w:pPr>
      <w:r w:rsidRPr="004676F5">
        <w:rPr>
          <w:i/>
          <w:iCs/>
          <w:lang w:val="de-DE"/>
        </w:rPr>
        <w:t>[Art. VI.104/1 eingefügt durch Art. 27 des G. vom 4. April 2019 (B.S. vom 24. Mai 2019)]</w:t>
      </w:r>
    </w:p>
    <w:p w14:paraId="02CDE9CB" w14:textId="77777777" w:rsidR="00BE5F5C" w:rsidRPr="004676F5" w:rsidRDefault="00BE5F5C" w:rsidP="00BE5F5C">
      <w:pPr>
        <w:jc w:val="both"/>
        <w:rPr>
          <w:i/>
          <w:iCs/>
          <w:lang w:val="de-DE"/>
        </w:rPr>
      </w:pPr>
    </w:p>
    <w:p w14:paraId="679DB9B3" w14:textId="77777777" w:rsidR="008A3633" w:rsidRPr="004676F5" w:rsidRDefault="008A3633" w:rsidP="00626208">
      <w:pPr>
        <w:jc w:val="both"/>
        <w:rPr>
          <w:lang w:val="de-DE"/>
        </w:rPr>
      </w:pPr>
    </w:p>
    <w:p w14:paraId="7238374A" w14:textId="3E189F25" w:rsidR="00BE5F5C" w:rsidRPr="004676F5" w:rsidRDefault="00BE5F5C" w:rsidP="00BE5F5C">
      <w:pPr>
        <w:jc w:val="center"/>
        <w:rPr>
          <w:lang w:val="de-DE"/>
        </w:rPr>
      </w:pPr>
      <w:r w:rsidRPr="004676F5">
        <w:rPr>
          <w:lang w:val="de-DE"/>
        </w:rPr>
        <w:t>[</w:t>
      </w:r>
      <w:r w:rsidRPr="004676F5">
        <w:rPr>
          <w:i/>
          <w:iCs/>
          <w:lang w:val="de-DE"/>
        </w:rPr>
        <w:t>Abschnitt 2</w:t>
      </w:r>
      <w:r w:rsidRPr="004676F5">
        <w:rPr>
          <w:lang w:val="de-DE"/>
        </w:rPr>
        <w:t> </w:t>
      </w:r>
      <w:r w:rsidR="005B7A5C" w:rsidRPr="004676F5">
        <w:rPr>
          <w:lang w:val="de-DE"/>
        </w:rPr>
        <w:t>- </w:t>
      </w:r>
      <w:r w:rsidRPr="004676F5">
        <w:rPr>
          <w:lang w:val="de-DE"/>
        </w:rPr>
        <w:t>Irreführende Marktpraktiken]</w:t>
      </w:r>
    </w:p>
    <w:p w14:paraId="2FF20F87" w14:textId="77777777" w:rsidR="00BE5F5C" w:rsidRPr="004676F5" w:rsidRDefault="00BE5F5C" w:rsidP="00BE5F5C">
      <w:pPr>
        <w:jc w:val="center"/>
        <w:rPr>
          <w:lang w:val="de-DE"/>
        </w:rPr>
      </w:pPr>
    </w:p>
    <w:p w14:paraId="00CE37B1" w14:textId="545EC971" w:rsidR="00BE5F5C" w:rsidRPr="004676F5" w:rsidRDefault="00BE5F5C" w:rsidP="00BE5F5C">
      <w:pPr>
        <w:jc w:val="both"/>
        <w:rPr>
          <w:i/>
          <w:iCs/>
          <w:lang w:val="de-DE"/>
        </w:rPr>
      </w:pPr>
      <w:r w:rsidRPr="004676F5">
        <w:rPr>
          <w:i/>
          <w:iCs/>
          <w:lang w:val="de-DE"/>
        </w:rPr>
        <w:t>[Unterteilung Abschnitt 2 eingefügt durch Art. 28 des G. vom 4. April 2019 (B.S. vom 24. Mai 2019)]</w:t>
      </w:r>
    </w:p>
    <w:p w14:paraId="1E7B71EC" w14:textId="77777777" w:rsidR="00BE5F5C" w:rsidRPr="004676F5" w:rsidRDefault="00BE5F5C" w:rsidP="00BE5F5C">
      <w:pPr>
        <w:jc w:val="center"/>
        <w:rPr>
          <w:lang w:val="de-DE"/>
        </w:rPr>
      </w:pPr>
    </w:p>
    <w:p w14:paraId="66CAE31F" w14:textId="77777777" w:rsidR="00BE5F5C" w:rsidRPr="004676F5" w:rsidRDefault="00BE5F5C" w:rsidP="00BE5F5C">
      <w:pPr>
        <w:jc w:val="center"/>
        <w:rPr>
          <w:lang w:val="de-DE"/>
        </w:rPr>
      </w:pPr>
    </w:p>
    <w:p w14:paraId="2D8EFB94" w14:textId="3B4E25E6" w:rsidR="00BE5F5C" w:rsidRPr="004676F5" w:rsidRDefault="00626208" w:rsidP="00BE5F5C">
      <w:pPr>
        <w:jc w:val="both"/>
        <w:rPr>
          <w:lang w:val="de-DE"/>
        </w:rPr>
      </w:pPr>
      <w:r w:rsidRPr="004676F5">
        <w:rPr>
          <w:lang w:val="de-DE"/>
        </w:rPr>
        <w:tab/>
      </w:r>
      <w:r w:rsidR="00BE0A56" w:rsidRPr="004676F5">
        <w:rPr>
          <w:b/>
          <w:lang w:val="de-DE"/>
        </w:rPr>
        <w:t>Art. </w:t>
      </w:r>
      <w:r w:rsidRPr="004676F5">
        <w:rPr>
          <w:b/>
          <w:lang w:val="de-DE"/>
        </w:rPr>
        <w:t>VI.105</w:t>
      </w:r>
      <w:r w:rsidRPr="004676F5">
        <w:rPr>
          <w:lang w:val="de-DE"/>
        </w:rPr>
        <w:t> </w:t>
      </w:r>
      <w:r w:rsidR="005B7A5C" w:rsidRPr="004676F5">
        <w:rPr>
          <w:lang w:val="de-DE"/>
        </w:rPr>
        <w:t>- </w:t>
      </w:r>
      <w:r w:rsidR="00BE5F5C" w:rsidRPr="004676F5">
        <w:rPr>
          <w:lang w:val="de-DE"/>
        </w:rPr>
        <w:t xml:space="preserve">[Eine Marktpraktik gilt als irreführend, wenn sie falsche Angaben enthält und somit unwahr ist oder wenn sie in irgendeiner Weise, einschließlich sämtlicher Umstände ihrer Präsentation, selbst mit sachlich richtigen Angaben ein Unternehmen in Bezug auf einen oder mehrere der folgenden Punkte täuscht oder es zu täuschen geeignet ist und es in jedem </w:t>
      </w:r>
      <w:r w:rsidR="00BE5F5C" w:rsidRPr="004676F5">
        <w:rPr>
          <w:lang w:val="de-DE"/>
        </w:rPr>
        <w:lastRenderedPageBreak/>
        <w:t>Fall tatsächlich oder voraussichtlich zu einem Geschäftsbeschluss veranlasst, den es ansonsten nicht getroffen hätte:</w:t>
      </w:r>
    </w:p>
    <w:p w14:paraId="61561A0E" w14:textId="77777777" w:rsidR="00BE5F5C" w:rsidRPr="004676F5" w:rsidRDefault="00BE5F5C" w:rsidP="00BE5F5C">
      <w:pPr>
        <w:jc w:val="both"/>
        <w:rPr>
          <w:lang w:val="de-DE"/>
        </w:rPr>
      </w:pPr>
    </w:p>
    <w:p w14:paraId="3F327B41" w14:textId="77777777" w:rsidR="00BE5F5C" w:rsidRPr="004676F5" w:rsidRDefault="00BE5F5C" w:rsidP="00BE5F5C">
      <w:pPr>
        <w:jc w:val="both"/>
        <w:rPr>
          <w:lang w:val="de-DE"/>
        </w:rPr>
      </w:pPr>
      <w:r w:rsidRPr="004676F5">
        <w:rPr>
          <w:lang w:val="de-DE"/>
        </w:rPr>
        <w:tab/>
        <w:t>1. Vorhandensein oder Art des Produkts,</w:t>
      </w:r>
    </w:p>
    <w:p w14:paraId="0EAF433C" w14:textId="77777777" w:rsidR="00BE5F5C" w:rsidRPr="004676F5" w:rsidRDefault="00BE5F5C" w:rsidP="00BE5F5C">
      <w:pPr>
        <w:jc w:val="both"/>
        <w:rPr>
          <w:lang w:val="de-DE"/>
        </w:rPr>
      </w:pPr>
    </w:p>
    <w:p w14:paraId="74B3075F" w14:textId="77777777" w:rsidR="00BE5F5C" w:rsidRPr="004676F5" w:rsidRDefault="00BE5F5C" w:rsidP="00BE5F5C">
      <w:pPr>
        <w:jc w:val="both"/>
        <w:rPr>
          <w:lang w:val="de-DE"/>
        </w:rPr>
      </w:pPr>
      <w:r w:rsidRPr="004676F5">
        <w:rPr>
          <w:lang w:val="de-DE"/>
        </w:rPr>
        <w:tab/>
        <w:t>2. wesentliche Merkmale des Produkts wie Verfügbarkeit, Vorteile, Risiken, Ausführung, Zusammensetzung, Zubehör, Kundendienst und Beschwerdeverfahren, Verfahren und Zeitpunkt der Herstellung oder Erbringung, Lieferung, Zwecktauglichkeit, Verwendung, Menge, Beschaffenheit, geographische oder kommerzielle Herkunft oder von der Verwendung zu erwartende Ergebnisse oder Ergebnisse und wesentliche Merkmale von Tests oder Untersuchungen, denen das Produkt unterzogen wurde,</w:t>
      </w:r>
    </w:p>
    <w:p w14:paraId="132EB8A8" w14:textId="77777777" w:rsidR="00BE5F5C" w:rsidRPr="004676F5" w:rsidRDefault="00BE5F5C" w:rsidP="00BE5F5C">
      <w:pPr>
        <w:jc w:val="both"/>
        <w:rPr>
          <w:lang w:val="de-DE"/>
        </w:rPr>
      </w:pPr>
    </w:p>
    <w:p w14:paraId="026EC34D" w14:textId="77777777" w:rsidR="00BE5F5C" w:rsidRPr="004676F5" w:rsidRDefault="00BE5F5C" w:rsidP="00BE5F5C">
      <w:pPr>
        <w:jc w:val="both"/>
        <w:rPr>
          <w:lang w:val="de-DE"/>
        </w:rPr>
      </w:pPr>
      <w:r w:rsidRPr="004676F5">
        <w:rPr>
          <w:lang w:val="de-DE"/>
        </w:rPr>
        <w:tab/>
        <w:t>3. Umfang der Verpflichtungen des Unternehmens, Beweggründe für die Marktpraktik und Art des Vertriebsverfahrens, Aussagen oder Symbole jeder Art, die im Zusammenhang mit direktem oder indirektem Sponsoring stehen oder sich auf eine Zulassung des Unternehmens oder des Produkts beziehen,</w:t>
      </w:r>
    </w:p>
    <w:p w14:paraId="6E471246" w14:textId="77777777" w:rsidR="00BE5F5C" w:rsidRPr="004676F5" w:rsidRDefault="00BE5F5C" w:rsidP="00BE5F5C">
      <w:pPr>
        <w:jc w:val="both"/>
        <w:rPr>
          <w:lang w:val="de-DE"/>
        </w:rPr>
      </w:pPr>
    </w:p>
    <w:p w14:paraId="3794F534" w14:textId="77777777" w:rsidR="00BE5F5C" w:rsidRPr="004676F5" w:rsidRDefault="00BE5F5C" w:rsidP="00BE5F5C">
      <w:pPr>
        <w:jc w:val="both"/>
        <w:rPr>
          <w:lang w:val="de-DE"/>
        </w:rPr>
      </w:pPr>
      <w:r w:rsidRPr="004676F5">
        <w:rPr>
          <w:lang w:val="de-DE"/>
        </w:rPr>
        <w:tab/>
        <w:t>4. Preis, Art der Preisberechnung oder Vorhandensein eines besonderen Preisvorteils,</w:t>
      </w:r>
    </w:p>
    <w:p w14:paraId="688F9A57" w14:textId="77777777" w:rsidR="00BE5F5C" w:rsidRPr="004676F5" w:rsidRDefault="00BE5F5C" w:rsidP="00BE5F5C">
      <w:pPr>
        <w:jc w:val="both"/>
        <w:rPr>
          <w:lang w:val="de-DE"/>
        </w:rPr>
      </w:pPr>
    </w:p>
    <w:p w14:paraId="6820DC43" w14:textId="77777777" w:rsidR="00BE5F5C" w:rsidRPr="004676F5" w:rsidRDefault="00BE5F5C" w:rsidP="00BE5F5C">
      <w:pPr>
        <w:jc w:val="both"/>
        <w:rPr>
          <w:lang w:val="de-DE"/>
        </w:rPr>
      </w:pPr>
      <w:r w:rsidRPr="004676F5">
        <w:rPr>
          <w:lang w:val="de-DE"/>
        </w:rPr>
        <w:tab/>
        <w:t>5. Notwendigkeit einer Leistung, eines Ersatzteils, eines Austauschs oder einer Reparatur,</w:t>
      </w:r>
    </w:p>
    <w:p w14:paraId="4FAEDC51" w14:textId="77777777" w:rsidR="00BE5F5C" w:rsidRPr="004676F5" w:rsidRDefault="00BE5F5C" w:rsidP="00BE5F5C">
      <w:pPr>
        <w:jc w:val="both"/>
        <w:rPr>
          <w:lang w:val="de-DE"/>
        </w:rPr>
      </w:pPr>
    </w:p>
    <w:p w14:paraId="0246F170" w14:textId="77777777" w:rsidR="00BE5F5C" w:rsidRPr="004676F5" w:rsidRDefault="00BE5F5C" w:rsidP="00BE5F5C">
      <w:pPr>
        <w:jc w:val="both"/>
        <w:rPr>
          <w:lang w:val="de-DE"/>
        </w:rPr>
      </w:pPr>
      <w:r w:rsidRPr="004676F5">
        <w:rPr>
          <w:lang w:val="de-DE"/>
        </w:rPr>
        <w:tab/>
        <w:t>6. Person, Eigenschaften und Rechte des Unternehmens oder seines Vertreters, wie Identität und Vermögen, Befähigungen, Status, Zulassung, Mitgliedschaften oder Beziehungen und gewerbliche, kommerzielle oder geistige Eigentumsrechte oder Auszeichnungen und Ehrungen,</w:t>
      </w:r>
    </w:p>
    <w:p w14:paraId="76A8F947" w14:textId="77777777" w:rsidR="00BE5F5C" w:rsidRPr="004676F5" w:rsidRDefault="00BE5F5C" w:rsidP="00BE5F5C">
      <w:pPr>
        <w:jc w:val="both"/>
        <w:rPr>
          <w:lang w:val="de-DE"/>
        </w:rPr>
      </w:pPr>
    </w:p>
    <w:p w14:paraId="4B6FFD59" w14:textId="77777777" w:rsidR="00BE5F5C" w:rsidRPr="004676F5" w:rsidRDefault="00BE5F5C" w:rsidP="00BE5F5C">
      <w:pPr>
        <w:jc w:val="both"/>
        <w:rPr>
          <w:lang w:val="de-DE"/>
        </w:rPr>
      </w:pPr>
      <w:r w:rsidRPr="004676F5">
        <w:rPr>
          <w:lang w:val="de-DE"/>
        </w:rPr>
        <w:tab/>
        <w:t>7. Rechte des anderen Unternehmens oder Risiken, denen es ausgesetzt sein kann,</w:t>
      </w:r>
    </w:p>
    <w:p w14:paraId="2257271C" w14:textId="77777777" w:rsidR="00BE5F5C" w:rsidRPr="004676F5" w:rsidRDefault="00BE5F5C" w:rsidP="00BE5F5C">
      <w:pPr>
        <w:jc w:val="both"/>
        <w:rPr>
          <w:lang w:val="de-DE"/>
        </w:rPr>
      </w:pPr>
    </w:p>
    <w:p w14:paraId="0484269B" w14:textId="77777777" w:rsidR="00BE5F5C" w:rsidRPr="004676F5" w:rsidRDefault="00BE5F5C" w:rsidP="00BE5F5C">
      <w:pPr>
        <w:jc w:val="both"/>
        <w:rPr>
          <w:lang w:val="de-DE"/>
        </w:rPr>
      </w:pPr>
      <w:r w:rsidRPr="004676F5">
        <w:rPr>
          <w:lang w:val="de-DE"/>
        </w:rPr>
        <w:tab/>
        <w:t>8. jegliche Art der Vermarktung eines Produkts, einschließlich vergleichender Werbung, die eine Gefahr der Verwechslung mit einem anderen Produkt, einer Marke, einem Handelsnamen oder einem anderen Unterscheidungszeichen eines Mitbewerbers begründet,</w:t>
      </w:r>
    </w:p>
    <w:p w14:paraId="5CC9BC15" w14:textId="77777777" w:rsidR="00BE5F5C" w:rsidRPr="004676F5" w:rsidRDefault="00BE5F5C" w:rsidP="00BE5F5C">
      <w:pPr>
        <w:jc w:val="both"/>
        <w:rPr>
          <w:lang w:val="de-DE"/>
        </w:rPr>
      </w:pPr>
    </w:p>
    <w:p w14:paraId="42415F2D" w14:textId="77777777" w:rsidR="00BE5F5C" w:rsidRPr="004676F5" w:rsidRDefault="00BE5F5C" w:rsidP="00BE5F5C">
      <w:pPr>
        <w:jc w:val="both"/>
        <w:rPr>
          <w:lang w:val="de-DE"/>
        </w:rPr>
      </w:pPr>
      <w:r w:rsidRPr="004676F5">
        <w:rPr>
          <w:lang w:val="de-DE"/>
        </w:rPr>
        <w:tab/>
        <w:t>9. Nichteinhaltung von Verpflichtungen, die das Unternehmen im Rahmen eines sektoriellen Verhaltenskodexes, auf den es sich verpflichtet hat, eingegangen ist, sofern es sich nicht um eine Absichtserklärung, sondern um eine eindeutige Verpflichtung handelt, deren Einhaltung nachprüfbar ist,</w:t>
      </w:r>
    </w:p>
    <w:p w14:paraId="60ED0A40" w14:textId="77777777" w:rsidR="00BE5F5C" w:rsidRPr="004676F5" w:rsidRDefault="00BE5F5C" w:rsidP="00BE5F5C">
      <w:pPr>
        <w:jc w:val="both"/>
        <w:rPr>
          <w:lang w:val="de-DE"/>
        </w:rPr>
      </w:pPr>
    </w:p>
    <w:p w14:paraId="04A98EEE" w14:textId="00AF2F57" w:rsidR="00626208" w:rsidRPr="004676F5" w:rsidRDefault="00BE5F5C" w:rsidP="00BE5F5C">
      <w:pPr>
        <w:jc w:val="both"/>
        <w:rPr>
          <w:lang w:val="de-DE"/>
        </w:rPr>
      </w:pPr>
      <w:r w:rsidRPr="004676F5">
        <w:rPr>
          <w:lang w:val="de-DE"/>
        </w:rPr>
        <w:tab/>
        <w:t>10. Mitteilung von verleumderischen Angaben in Bezug auf ein anderes Unternehmen, seine Waren, seine Dienstleistungen oder seine Tätigkeit.]</w:t>
      </w:r>
    </w:p>
    <w:p w14:paraId="025A71BE" w14:textId="77777777" w:rsidR="00BE5F5C" w:rsidRPr="004676F5" w:rsidRDefault="00BE5F5C" w:rsidP="00BE5F5C">
      <w:pPr>
        <w:jc w:val="both"/>
        <w:rPr>
          <w:lang w:val="de-DE"/>
        </w:rPr>
      </w:pPr>
    </w:p>
    <w:p w14:paraId="02FB75F4" w14:textId="280F98F7" w:rsidR="00BE5F5C" w:rsidRPr="004676F5" w:rsidRDefault="00BE5F5C" w:rsidP="00BE5F5C">
      <w:pPr>
        <w:jc w:val="both"/>
        <w:rPr>
          <w:i/>
          <w:iCs/>
          <w:lang w:val="de-DE"/>
        </w:rPr>
      </w:pPr>
      <w:r w:rsidRPr="004676F5">
        <w:rPr>
          <w:i/>
          <w:iCs/>
          <w:lang w:val="de-DE"/>
        </w:rPr>
        <w:t>[Art. VI.105 ersetzt durch Art. 29 des G. vom 4. April 2019 (B.S. vom 24. Mai 2019)]</w:t>
      </w:r>
    </w:p>
    <w:p w14:paraId="3E42E4BA" w14:textId="77777777" w:rsidR="00BE5F5C" w:rsidRPr="004676F5" w:rsidRDefault="00BE5F5C" w:rsidP="00BE5F5C">
      <w:pPr>
        <w:jc w:val="both"/>
        <w:rPr>
          <w:i/>
          <w:iCs/>
          <w:lang w:val="de-DE"/>
        </w:rPr>
      </w:pPr>
    </w:p>
    <w:p w14:paraId="6381DA79" w14:textId="77777777" w:rsidR="00BE5F5C" w:rsidRPr="004676F5" w:rsidRDefault="00BE5F5C" w:rsidP="00BE5F5C">
      <w:pPr>
        <w:jc w:val="both"/>
        <w:rPr>
          <w:lang w:val="de-DE"/>
        </w:rPr>
      </w:pPr>
    </w:p>
    <w:p w14:paraId="729CDB96" w14:textId="5C4F41C3" w:rsidR="00BE5F5C" w:rsidRPr="004676F5" w:rsidRDefault="00BE5F5C" w:rsidP="00BE5F5C">
      <w:pPr>
        <w:jc w:val="both"/>
        <w:rPr>
          <w:lang w:val="de-DE"/>
        </w:rPr>
      </w:pPr>
      <w:r w:rsidRPr="004676F5">
        <w:rPr>
          <w:lang w:val="de-DE"/>
        </w:rPr>
        <w:tab/>
        <w:t>[</w:t>
      </w:r>
      <w:r w:rsidRPr="004676F5">
        <w:rPr>
          <w:b/>
          <w:bCs/>
          <w:lang w:val="de-DE"/>
        </w:rPr>
        <w:t>Art. VI.105/1</w:t>
      </w:r>
      <w:r w:rsidRPr="004676F5">
        <w:rPr>
          <w:lang w:val="de-DE"/>
        </w:rPr>
        <w:t> </w:t>
      </w:r>
      <w:r w:rsidR="005B7A5C" w:rsidRPr="004676F5">
        <w:rPr>
          <w:lang w:val="de-DE"/>
        </w:rPr>
        <w:t>- </w:t>
      </w:r>
      <w:r w:rsidRPr="004676F5">
        <w:rPr>
          <w:lang w:val="de-DE"/>
        </w:rPr>
        <w:t>Eine Marktpraktik gilt als irreführende Unterlassung, wenn sie im konkreten Fall unter Berücksichtigung aller tatsächlichen Umstände und der Beschränkungen des Kommunikationsmediums wesentliche Informationen vorenthält, die das andere Unternehmen je nach den Umständen benötigt, um einen informierten Geschäftsbeschluss zu treffen, und wenn diese Marktpraktik somit das andere Unternehmen zu einem Geschäftsbeschluss veranlasst oder zu veranlassen geeignet ist, den es ansonsten nicht getroffen hätte.</w:t>
      </w:r>
    </w:p>
    <w:p w14:paraId="06A108CD" w14:textId="77777777" w:rsidR="00BE5F5C" w:rsidRPr="004676F5" w:rsidRDefault="00BE5F5C" w:rsidP="00BE5F5C">
      <w:pPr>
        <w:jc w:val="both"/>
        <w:rPr>
          <w:lang w:val="de-DE"/>
        </w:rPr>
      </w:pPr>
    </w:p>
    <w:p w14:paraId="6ADB44F6" w14:textId="77777777" w:rsidR="00BE5F5C" w:rsidRPr="004676F5" w:rsidRDefault="00BE5F5C" w:rsidP="00BE5F5C">
      <w:pPr>
        <w:jc w:val="both"/>
        <w:rPr>
          <w:lang w:val="de-DE"/>
        </w:rPr>
      </w:pPr>
      <w:r w:rsidRPr="004676F5">
        <w:rPr>
          <w:lang w:val="de-DE"/>
        </w:rPr>
        <w:tab/>
        <w:t>Eine Marktpraktik gilt auch als irreführende Unterlassung, wenn ein Unternehmen wesentliche Informationen gemäß Absatz 1 unter Berücksichtigung der darin beschriebenen Einzelheiten verheimlicht oder auf unklare, unverständliche, zweideutige Weise oder nicht rechtzeitig bereitstellt oder wenn es den Zweck der Marktpraktik nicht kenntlich macht, sofern er sich nicht unmittelbar aus den Umständen ergibt, und wenn dies jeweils ein anderes Unternehmen zu einem Geschäftsbeschluss veranlasst oder zu veranlassen geeignet ist, den es ansonsten nicht getroffen hätte.</w:t>
      </w:r>
    </w:p>
    <w:p w14:paraId="78F17CD0" w14:textId="77777777" w:rsidR="00BE5F5C" w:rsidRPr="004676F5" w:rsidRDefault="00BE5F5C" w:rsidP="00BE5F5C">
      <w:pPr>
        <w:jc w:val="both"/>
        <w:rPr>
          <w:lang w:val="de-DE"/>
        </w:rPr>
      </w:pPr>
    </w:p>
    <w:p w14:paraId="356667D5" w14:textId="634E23AF" w:rsidR="00BE5F5C" w:rsidRPr="004676F5" w:rsidRDefault="00BE5F5C" w:rsidP="00BE5F5C">
      <w:pPr>
        <w:jc w:val="both"/>
        <w:rPr>
          <w:lang w:val="de-DE"/>
        </w:rPr>
      </w:pPr>
      <w:r w:rsidRPr="004676F5">
        <w:rPr>
          <w:lang w:val="de-DE"/>
        </w:rPr>
        <w:tab/>
        <w:t>Werden durch das für die Marktpraktik verwendete Kommunikationsmedium räumliche oder zeitliche Beschränkungen auferlegt, so werden diese Beschränkungen und alle Maßnahmen, die das Unternehmen getroffen hat, um die Informationen anderweitig zur Verfügung zu stellen, bei der Entscheidung darüber, ob Informationen vorenthalten wurden, berücksichtigt.]</w:t>
      </w:r>
    </w:p>
    <w:p w14:paraId="77DCF01D" w14:textId="77777777" w:rsidR="00626208" w:rsidRPr="004676F5" w:rsidRDefault="00626208" w:rsidP="00626208">
      <w:pPr>
        <w:jc w:val="both"/>
        <w:rPr>
          <w:lang w:val="de-DE"/>
        </w:rPr>
      </w:pPr>
    </w:p>
    <w:p w14:paraId="6037E4E0" w14:textId="5973AC99" w:rsidR="00BE5F5C" w:rsidRPr="004676F5" w:rsidRDefault="00BE5F5C" w:rsidP="00BE5F5C">
      <w:pPr>
        <w:jc w:val="both"/>
        <w:rPr>
          <w:i/>
          <w:iCs/>
          <w:lang w:val="de-DE"/>
        </w:rPr>
      </w:pPr>
      <w:r w:rsidRPr="004676F5">
        <w:rPr>
          <w:i/>
          <w:iCs/>
          <w:lang w:val="de-DE"/>
        </w:rPr>
        <w:t>[Art. VI.105/1 eingefügt durch Art. 30 des G. vom 4. April 2019 (B.S. vom 24. Mai 2019)]</w:t>
      </w:r>
    </w:p>
    <w:p w14:paraId="2B3DA358" w14:textId="77777777" w:rsidR="00BE5F5C" w:rsidRPr="004676F5" w:rsidRDefault="00BE5F5C" w:rsidP="00626208">
      <w:pPr>
        <w:jc w:val="both"/>
        <w:rPr>
          <w:lang w:val="de-DE"/>
        </w:rPr>
      </w:pPr>
    </w:p>
    <w:p w14:paraId="71F47674" w14:textId="77777777" w:rsidR="008A3633" w:rsidRPr="004676F5" w:rsidRDefault="008A3633" w:rsidP="00626208">
      <w:pPr>
        <w:jc w:val="both"/>
        <w:rPr>
          <w:lang w:val="de-DE"/>
        </w:rPr>
      </w:pPr>
    </w:p>
    <w:p w14:paraId="4A712BF6" w14:textId="555CE48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VI.106</w:t>
      </w:r>
      <w:r w:rsidRPr="004676F5">
        <w:rPr>
          <w:lang w:val="de-DE"/>
        </w:rPr>
        <w:t> </w:t>
      </w:r>
      <w:r w:rsidR="005B7A5C" w:rsidRPr="004676F5">
        <w:rPr>
          <w:lang w:val="de-DE"/>
        </w:rPr>
        <w:t>- </w:t>
      </w:r>
      <w:r w:rsidRPr="004676F5">
        <w:rPr>
          <w:lang w:val="de-DE"/>
        </w:rPr>
        <w:t>Unbeschadet anderer Gesetzes</w:t>
      </w:r>
      <w:r w:rsidR="005B7A5C" w:rsidRPr="004676F5">
        <w:rPr>
          <w:lang w:val="de-DE"/>
        </w:rPr>
        <w:t>- </w:t>
      </w:r>
      <w:r w:rsidRPr="004676F5">
        <w:rPr>
          <w:lang w:val="de-DE"/>
        </w:rPr>
        <w:t>oder Verordnungsbestimmungen ist Werbung von Unternehmen verboten, die:</w:t>
      </w:r>
    </w:p>
    <w:p w14:paraId="72B064E4" w14:textId="77777777" w:rsidR="00626208" w:rsidRPr="004676F5" w:rsidRDefault="00626208" w:rsidP="00626208">
      <w:pPr>
        <w:jc w:val="both"/>
        <w:rPr>
          <w:lang w:val="de-DE"/>
        </w:rPr>
      </w:pPr>
    </w:p>
    <w:p w14:paraId="741B6793" w14:textId="77777777" w:rsidR="00626208" w:rsidRPr="004676F5" w:rsidRDefault="00626208" w:rsidP="00626208">
      <w:pPr>
        <w:jc w:val="both"/>
        <w:rPr>
          <w:lang w:val="de-DE"/>
        </w:rPr>
      </w:pPr>
      <w:r w:rsidRPr="004676F5">
        <w:rPr>
          <w:lang w:val="de-DE"/>
        </w:rPr>
        <w:tab/>
        <w:t>1. in Werbematerialien eine Rechnung oder ein ähnliches Dokument mit einer Zahlungsaufforderung enthält, die den Eindruck vermitteln, die Ware oder Dienstleistung wäre bereits bestellt, obwohl dies nicht der Fall ist,</w:t>
      </w:r>
    </w:p>
    <w:p w14:paraId="5A617035" w14:textId="77777777" w:rsidR="00626208" w:rsidRPr="004676F5" w:rsidRDefault="00626208" w:rsidP="00626208">
      <w:pPr>
        <w:jc w:val="both"/>
        <w:rPr>
          <w:lang w:val="de-DE"/>
        </w:rPr>
      </w:pPr>
    </w:p>
    <w:p w14:paraId="671A7A31" w14:textId="77777777" w:rsidR="00626208" w:rsidRPr="004676F5" w:rsidRDefault="00626208" w:rsidP="00626208">
      <w:pPr>
        <w:jc w:val="both"/>
        <w:rPr>
          <w:lang w:val="de-DE"/>
        </w:rPr>
      </w:pPr>
      <w:r w:rsidRPr="004676F5">
        <w:rPr>
          <w:lang w:val="de-DE"/>
        </w:rPr>
        <w:tab/>
        <w:t>2. in Werbematerialien wesentliche Informationen über die Folgen der vom Empfänger gegebenen Antwort verheimlicht oder auf unklare Weise bereitstellt oder die ihren eigenen kommerziellen Zweck, sofern er sich nicht unmittelbar aus den Umständen ergibt, verheimlicht oder auf unklare Weise bereitstellt.</w:t>
      </w:r>
    </w:p>
    <w:p w14:paraId="7DCE9AF0" w14:textId="77777777" w:rsidR="00626208" w:rsidRPr="004676F5" w:rsidRDefault="00626208" w:rsidP="00626208">
      <w:pPr>
        <w:jc w:val="both"/>
        <w:rPr>
          <w:lang w:val="de-DE"/>
        </w:rPr>
      </w:pPr>
    </w:p>
    <w:p w14:paraId="7A1AF407" w14:textId="77777777" w:rsidR="008A3633" w:rsidRPr="004676F5" w:rsidRDefault="008A3633" w:rsidP="00626208">
      <w:pPr>
        <w:jc w:val="both"/>
        <w:rPr>
          <w:lang w:val="de-DE"/>
        </w:rPr>
      </w:pPr>
    </w:p>
    <w:p w14:paraId="7710A0B5" w14:textId="0A0668AF"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VI.107</w:t>
      </w:r>
      <w:r w:rsidRPr="004676F5">
        <w:rPr>
          <w:lang w:val="de-DE"/>
        </w:rPr>
        <w:t> </w:t>
      </w:r>
      <w:r w:rsidR="005B7A5C" w:rsidRPr="004676F5">
        <w:rPr>
          <w:lang w:val="de-DE"/>
        </w:rPr>
        <w:t>- </w:t>
      </w:r>
      <w:r w:rsidRPr="004676F5">
        <w:rPr>
          <w:lang w:val="de-DE"/>
        </w:rPr>
        <w:t>Unternehmen ist es verboten, entweder unmittelbar oder mit einem Zahlungs</w:t>
      </w:r>
      <w:r w:rsidR="005B7A5C" w:rsidRPr="004676F5">
        <w:rPr>
          <w:lang w:val="de-DE"/>
        </w:rPr>
        <w:t>- </w:t>
      </w:r>
      <w:r w:rsidRPr="004676F5">
        <w:rPr>
          <w:lang w:val="de-DE"/>
        </w:rPr>
        <w:t>oder Bestellformular, einer Rechnung, einem Angebot, allgemeinen Geschäftsbedingungen, Korrekturangeboten oder ähnlichen Unterlagen Inserenten zu werben, um sie in Verzeichnissen, Adressbeständen, Telefonbüchern oder ähnlichen Listen beziehungsweise Registern aufzuführen, ohne unmissverständlich anzugeben, dass diese Werbung ein Angebot für einen entgeltlichen Vertrag darstellt, und ohne in diesen Unterlagen in Fettdruck und in der größten verwendeten Schriftgröße die Vertragslaufzeit und den mit dem Vertrag verbundenen Preis zu vermerken.</w:t>
      </w:r>
    </w:p>
    <w:p w14:paraId="53F23CCF" w14:textId="77777777" w:rsidR="00626208" w:rsidRPr="004676F5" w:rsidRDefault="00626208" w:rsidP="00626208">
      <w:pPr>
        <w:jc w:val="both"/>
        <w:rPr>
          <w:lang w:val="de-DE"/>
        </w:rPr>
      </w:pPr>
    </w:p>
    <w:p w14:paraId="0F13B130" w14:textId="77777777" w:rsidR="008A3633" w:rsidRPr="004676F5" w:rsidRDefault="008A3633" w:rsidP="00626208">
      <w:pPr>
        <w:jc w:val="both"/>
        <w:rPr>
          <w:lang w:val="de-DE"/>
        </w:rPr>
      </w:pPr>
    </w:p>
    <w:p w14:paraId="4171DFF4" w14:textId="7294F55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w:t>
      </w:r>
      <w:r w:rsidR="00270F53" w:rsidRPr="004676F5">
        <w:rPr>
          <w:b/>
          <w:lang w:val="de-DE"/>
        </w:rPr>
        <w:t>108</w:t>
      </w:r>
      <w:r w:rsidRPr="004676F5">
        <w:rPr>
          <w:lang w:val="de-DE"/>
        </w:rPr>
        <w:t> </w:t>
      </w:r>
      <w:r w:rsidR="005B7A5C" w:rsidRPr="004676F5">
        <w:rPr>
          <w:lang w:val="de-DE"/>
        </w:rPr>
        <w:t>- </w:t>
      </w:r>
      <w:r w:rsidRPr="004676F5">
        <w:rPr>
          <w:lang w:val="de-DE"/>
        </w:rPr>
        <w:tab/>
      </w:r>
      <w:r w:rsidR="00BE5F5C" w:rsidRPr="004676F5">
        <w:rPr>
          <w:lang w:val="de-DE"/>
        </w:rPr>
        <w:t>[...]</w:t>
      </w:r>
    </w:p>
    <w:p w14:paraId="48A971E6" w14:textId="77777777" w:rsidR="00626208" w:rsidRPr="004676F5" w:rsidRDefault="00626208" w:rsidP="00626208">
      <w:pPr>
        <w:jc w:val="both"/>
        <w:rPr>
          <w:lang w:val="de-DE"/>
        </w:rPr>
      </w:pPr>
    </w:p>
    <w:p w14:paraId="3CE028E7" w14:textId="09B6B516" w:rsidR="00BE5F5C" w:rsidRPr="004676F5" w:rsidRDefault="00BE5F5C" w:rsidP="00626208">
      <w:pPr>
        <w:jc w:val="both"/>
        <w:rPr>
          <w:i/>
          <w:iCs/>
          <w:lang w:val="de-DE"/>
        </w:rPr>
      </w:pPr>
      <w:r w:rsidRPr="004676F5">
        <w:rPr>
          <w:i/>
          <w:iCs/>
          <w:lang w:val="de-DE"/>
        </w:rPr>
        <w:t>[Früherer Art</w:t>
      </w:r>
      <w:r w:rsidR="00270F53" w:rsidRPr="004676F5">
        <w:rPr>
          <w:i/>
          <w:iCs/>
          <w:lang w:val="de-DE"/>
        </w:rPr>
        <w:t>ikel</w:t>
      </w:r>
      <w:r w:rsidRPr="004676F5">
        <w:rPr>
          <w:i/>
          <w:iCs/>
          <w:lang w:val="de-DE"/>
        </w:rPr>
        <w:t> VI.108 um</w:t>
      </w:r>
      <w:r w:rsidR="00270F53" w:rsidRPr="004676F5">
        <w:rPr>
          <w:i/>
          <w:iCs/>
          <w:lang w:val="de-DE"/>
        </w:rPr>
        <w:t>geglied</w:t>
      </w:r>
      <w:r w:rsidRPr="004676F5">
        <w:rPr>
          <w:i/>
          <w:iCs/>
          <w:lang w:val="de-DE"/>
        </w:rPr>
        <w:t>ert zu Art. VI.109/3 durch Art. 31 Nr. 2 des G. vom 4. April 2019 (B.S. vom 24. Mai 2019)]</w:t>
      </w:r>
    </w:p>
    <w:p w14:paraId="78AEB8FE" w14:textId="77777777" w:rsidR="00626208" w:rsidRPr="004676F5" w:rsidRDefault="00626208" w:rsidP="00626208">
      <w:pPr>
        <w:jc w:val="both"/>
        <w:rPr>
          <w:lang w:val="de-DE"/>
        </w:rPr>
      </w:pPr>
    </w:p>
    <w:p w14:paraId="61FBF2F7" w14:textId="77777777" w:rsidR="008A3633" w:rsidRPr="004676F5" w:rsidRDefault="008A3633" w:rsidP="00626208">
      <w:pPr>
        <w:jc w:val="both"/>
        <w:rPr>
          <w:lang w:val="de-DE"/>
        </w:rPr>
      </w:pPr>
    </w:p>
    <w:p w14:paraId="19A4CFF7" w14:textId="20E2C613"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VI.109</w:t>
      </w:r>
      <w:r w:rsidRPr="004676F5">
        <w:rPr>
          <w:lang w:val="de-DE"/>
        </w:rPr>
        <w:t> </w:t>
      </w:r>
      <w:r w:rsidR="005B7A5C" w:rsidRPr="004676F5">
        <w:rPr>
          <w:lang w:val="de-DE"/>
        </w:rPr>
        <w:t>- </w:t>
      </w:r>
      <w:r w:rsidRPr="004676F5">
        <w:rPr>
          <w:lang w:val="de-DE"/>
        </w:rPr>
        <w:t>Einführung, Betrieb oder Förderung eines Schneeballsystems zur Verkaufsförderung, bei dem das Unternehmen die Möglichkeit vor Augen hat, eine Vergütung zu erzielen, die hauptsächlich durch die Einführung neuer Unternehmen in ein solches System und weniger durch den Verkauf oder Verbrauch von Produkten zu erzielen ist, sind verboten.</w:t>
      </w:r>
    </w:p>
    <w:p w14:paraId="62CAEF39" w14:textId="77777777" w:rsidR="00626208" w:rsidRPr="004676F5" w:rsidRDefault="00626208" w:rsidP="00626208">
      <w:pPr>
        <w:jc w:val="both"/>
        <w:rPr>
          <w:lang w:val="de-DE"/>
        </w:rPr>
      </w:pPr>
    </w:p>
    <w:p w14:paraId="1E485C43" w14:textId="77777777" w:rsidR="008A3633" w:rsidRPr="004676F5" w:rsidRDefault="008A3633" w:rsidP="00626208">
      <w:pPr>
        <w:jc w:val="center"/>
        <w:rPr>
          <w:lang w:val="de-DE"/>
        </w:rPr>
      </w:pPr>
    </w:p>
    <w:p w14:paraId="70347179" w14:textId="393FF054" w:rsidR="00BE5F5C" w:rsidRPr="004676F5" w:rsidRDefault="00BE5F5C" w:rsidP="00626208">
      <w:pPr>
        <w:jc w:val="center"/>
        <w:rPr>
          <w:lang w:val="de-DE"/>
        </w:rPr>
      </w:pPr>
      <w:r w:rsidRPr="004676F5">
        <w:rPr>
          <w:lang w:val="de-DE"/>
        </w:rPr>
        <w:t>[</w:t>
      </w:r>
      <w:r w:rsidRPr="004676F5">
        <w:rPr>
          <w:i/>
          <w:iCs/>
          <w:lang w:val="de-DE"/>
        </w:rPr>
        <w:t>Abschnitt 3</w:t>
      </w:r>
      <w:r w:rsidRPr="004676F5">
        <w:rPr>
          <w:lang w:val="de-DE"/>
        </w:rPr>
        <w:t> </w:t>
      </w:r>
      <w:r w:rsidR="005B7A5C" w:rsidRPr="004676F5">
        <w:rPr>
          <w:lang w:val="de-DE"/>
        </w:rPr>
        <w:t>- </w:t>
      </w:r>
      <w:r w:rsidRPr="004676F5">
        <w:rPr>
          <w:lang w:val="de-DE"/>
        </w:rPr>
        <w:t>Aggressive Marktpraktiken]</w:t>
      </w:r>
    </w:p>
    <w:p w14:paraId="18755032" w14:textId="77777777" w:rsidR="00BE5F5C" w:rsidRPr="004676F5" w:rsidRDefault="00BE5F5C" w:rsidP="00626208">
      <w:pPr>
        <w:jc w:val="center"/>
        <w:rPr>
          <w:lang w:val="de-DE"/>
        </w:rPr>
      </w:pPr>
    </w:p>
    <w:p w14:paraId="3AFDD3E8" w14:textId="4168CA8F" w:rsidR="00BE5F5C" w:rsidRPr="004676F5" w:rsidRDefault="00BE5F5C" w:rsidP="00BE5F5C">
      <w:pPr>
        <w:jc w:val="both"/>
        <w:rPr>
          <w:i/>
          <w:iCs/>
          <w:lang w:val="de-DE"/>
        </w:rPr>
      </w:pPr>
      <w:r w:rsidRPr="004676F5">
        <w:rPr>
          <w:i/>
          <w:iCs/>
          <w:lang w:val="de-DE"/>
        </w:rPr>
        <w:t>[Unterteilung Abschnitt 3 eingefügt durch Art. </w:t>
      </w:r>
      <w:r w:rsidR="007E14FB" w:rsidRPr="004676F5">
        <w:rPr>
          <w:i/>
          <w:iCs/>
          <w:lang w:val="de-DE"/>
        </w:rPr>
        <w:t>32</w:t>
      </w:r>
      <w:r w:rsidRPr="004676F5">
        <w:rPr>
          <w:i/>
          <w:iCs/>
          <w:lang w:val="de-DE"/>
        </w:rPr>
        <w:t xml:space="preserve"> des G. vom 4. April 2019 (B.S. vom 24. Mai 2019)]</w:t>
      </w:r>
    </w:p>
    <w:p w14:paraId="734B86F6" w14:textId="77777777" w:rsidR="00BE5F5C" w:rsidRPr="004676F5" w:rsidRDefault="00BE5F5C" w:rsidP="00626208">
      <w:pPr>
        <w:jc w:val="center"/>
        <w:rPr>
          <w:lang w:val="de-DE"/>
        </w:rPr>
      </w:pPr>
    </w:p>
    <w:p w14:paraId="786400A7" w14:textId="77777777" w:rsidR="007E14FB" w:rsidRPr="004676F5" w:rsidRDefault="007E14FB">
      <w:pPr>
        <w:rPr>
          <w:lang w:val="de-DE"/>
        </w:rPr>
      </w:pPr>
    </w:p>
    <w:p w14:paraId="2894B137" w14:textId="36133F21" w:rsidR="007E14FB" w:rsidRPr="004676F5" w:rsidRDefault="007E14FB" w:rsidP="007E14FB">
      <w:pPr>
        <w:jc w:val="both"/>
        <w:rPr>
          <w:lang w:val="de-DE"/>
        </w:rPr>
      </w:pPr>
      <w:r w:rsidRPr="004676F5">
        <w:rPr>
          <w:lang w:val="de-DE"/>
        </w:rPr>
        <w:tab/>
        <w:t>[</w:t>
      </w:r>
      <w:r w:rsidRPr="004676F5">
        <w:rPr>
          <w:b/>
          <w:bCs/>
          <w:lang w:val="de-DE"/>
        </w:rPr>
        <w:t>Art. VI.109/1</w:t>
      </w:r>
      <w:r w:rsidRPr="004676F5">
        <w:rPr>
          <w:lang w:val="de-DE"/>
        </w:rPr>
        <w:t> </w:t>
      </w:r>
      <w:r w:rsidR="005B7A5C" w:rsidRPr="004676F5">
        <w:rPr>
          <w:lang w:val="de-DE"/>
        </w:rPr>
        <w:t>- </w:t>
      </w:r>
      <w:r w:rsidRPr="004676F5">
        <w:rPr>
          <w:lang w:val="de-DE"/>
        </w:rPr>
        <w:t>Eine Marktpraktik gilt als aggressiv, wenn sie im konkreten Fall unter Berücksichtigung aller tatsächlichen Umstände die Entscheidungs</w:t>
      </w:r>
      <w:r w:rsidR="005B7A5C" w:rsidRPr="004676F5">
        <w:rPr>
          <w:lang w:val="de-DE"/>
        </w:rPr>
        <w:t>- </w:t>
      </w:r>
      <w:r w:rsidRPr="004676F5">
        <w:rPr>
          <w:lang w:val="de-DE"/>
        </w:rPr>
        <w:t>oder Verhaltensfreiheit eines Unternehmens in Bezug auf das Produkt durch Belästigung, Nötigung, einschließlich der Anwendung körperlicher Gewalt, oder durch unzulässige Beeinflussung tatsächlich oder voraussichtlich erheblich beeinträchtigt und dieses Unternehmen dadurch tatsächlich oder voraussichtlich dazu veranlasst wird, einen Geschäftsbeschluss zu treffen, den es andernfalls nicht getroffen hätte.</w:t>
      </w:r>
    </w:p>
    <w:p w14:paraId="6B5F4592" w14:textId="77777777" w:rsidR="007E14FB" w:rsidRPr="004676F5" w:rsidRDefault="007E14FB" w:rsidP="007E14FB">
      <w:pPr>
        <w:jc w:val="both"/>
        <w:rPr>
          <w:lang w:val="de-DE"/>
        </w:rPr>
      </w:pPr>
    </w:p>
    <w:p w14:paraId="40FCF3E4" w14:textId="7C878EF1" w:rsidR="007E14FB" w:rsidRPr="004676F5" w:rsidRDefault="007E14FB" w:rsidP="007E14FB">
      <w:pPr>
        <w:jc w:val="both"/>
        <w:rPr>
          <w:lang w:val="de-DE"/>
        </w:rPr>
      </w:pPr>
      <w:r w:rsidRPr="004676F5">
        <w:rPr>
          <w:lang w:val="de-DE"/>
        </w:rPr>
        <w:tab/>
        <w:t>Für die Anwendung des vorliegenden Abschnitts ist unter unzulässiger Beeinflussung Folgendes zu verstehen: Ausnutzung einer Machtposition gegenüber einem anderen Unternehmen zur Ausübung von Druck, auch ohne Anwendung oder Androhung von körperlicher Gewalt, in einer Weise, die die Fähigkeit des Unternehmens zu einer informierten Entscheidung wesentlich einschränkt.]</w:t>
      </w:r>
    </w:p>
    <w:p w14:paraId="1249083A" w14:textId="77777777" w:rsidR="007E14FB" w:rsidRPr="004676F5" w:rsidRDefault="007E14FB" w:rsidP="007E14FB">
      <w:pPr>
        <w:jc w:val="both"/>
        <w:rPr>
          <w:lang w:val="de-DE"/>
        </w:rPr>
      </w:pPr>
    </w:p>
    <w:p w14:paraId="57E1E01C" w14:textId="6627AFA3" w:rsidR="007E14FB" w:rsidRPr="004676F5" w:rsidRDefault="007E14FB" w:rsidP="007E14FB">
      <w:pPr>
        <w:jc w:val="both"/>
        <w:rPr>
          <w:i/>
          <w:iCs/>
          <w:lang w:val="de-DE"/>
        </w:rPr>
      </w:pPr>
      <w:r w:rsidRPr="004676F5">
        <w:rPr>
          <w:i/>
          <w:iCs/>
          <w:lang w:val="de-DE"/>
        </w:rPr>
        <w:t>[Art. VI.109/1 eingefügt durch Art. 33 des G. vom 4. April 2019 (B.S. vom 24. Mai 2019)]</w:t>
      </w:r>
    </w:p>
    <w:p w14:paraId="5CCAAADC" w14:textId="77777777" w:rsidR="007E14FB" w:rsidRPr="004676F5" w:rsidRDefault="007E14FB" w:rsidP="007E14FB">
      <w:pPr>
        <w:jc w:val="both"/>
        <w:rPr>
          <w:lang w:val="de-DE"/>
        </w:rPr>
      </w:pPr>
    </w:p>
    <w:p w14:paraId="4325436D" w14:textId="77777777" w:rsidR="007E14FB" w:rsidRPr="004676F5" w:rsidRDefault="007E14FB" w:rsidP="007E14FB">
      <w:pPr>
        <w:jc w:val="both"/>
        <w:rPr>
          <w:lang w:val="de-DE"/>
        </w:rPr>
      </w:pPr>
    </w:p>
    <w:p w14:paraId="6CFC57B6" w14:textId="403F6E5E" w:rsidR="007E14FB" w:rsidRPr="004676F5" w:rsidRDefault="007E14FB" w:rsidP="007E14FB">
      <w:pPr>
        <w:jc w:val="both"/>
        <w:rPr>
          <w:lang w:val="de-DE"/>
        </w:rPr>
      </w:pPr>
      <w:r w:rsidRPr="004676F5">
        <w:rPr>
          <w:lang w:val="de-DE"/>
        </w:rPr>
        <w:tab/>
        <w:t>[</w:t>
      </w:r>
      <w:r w:rsidRPr="004676F5">
        <w:rPr>
          <w:b/>
          <w:bCs/>
          <w:lang w:val="de-DE"/>
        </w:rPr>
        <w:t>Art. VI.109/2</w:t>
      </w:r>
      <w:r w:rsidRPr="004676F5">
        <w:rPr>
          <w:lang w:val="de-DE"/>
        </w:rPr>
        <w:t> </w:t>
      </w:r>
      <w:r w:rsidR="005B7A5C" w:rsidRPr="004676F5">
        <w:rPr>
          <w:lang w:val="de-DE"/>
        </w:rPr>
        <w:t>- </w:t>
      </w:r>
      <w:r w:rsidRPr="004676F5">
        <w:rPr>
          <w:lang w:val="de-DE"/>
        </w:rPr>
        <w:t>Bei der Feststellung, ob im Rahmen einer Marktpraktik die Mittel der Belästigung, der Nötigung, einschließlich der Anwendung körperlicher Gewalt, oder der unzulässigen Beeinflussung eingesetzt werden, ist abzustellen auf:</w:t>
      </w:r>
    </w:p>
    <w:p w14:paraId="27BDE4FE" w14:textId="77777777" w:rsidR="007E14FB" w:rsidRPr="004676F5" w:rsidRDefault="007E14FB" w:rsidP="007E14FB">
      <w:pPr>
        <w:jc w:val="both"/>
        <w:rPr>
          <w:lang w:val="de-DE"/>
        </w:rPr>
      </w:pPr>
    </w:p>
    <w:p w14:paraId="3B06B220" w14:textId="77777777" w:rsidR="007E14FB" w:rsidRPr="004676F5" w:rsidRDefault="007E14FB" w:rsidP="007E14FB">
      <w:pPr>
        <w:jc w:val="both"/>
        <w:rPr>
          <w:lang w:val="de-DE"/>
        </w:rPr>
      </w:pPr>
      <w:r w:rsidRPr="004676F5">
        <w:rPr>
          <w:lang w:val="de-DE"/>
        </w:rPr>
        <w:tab/>
        <w:t>1. Zeitpunkt, Ort, Art oder Dauer des Einsatzes der Marktpraktik,</w:t>
      </w:r>
    </w:p>
    <w:p w14:paraId="0AEC44E7" w14:textId="77777777" w:rsidR="007E14FB" w:rsidRPr="004676F5" w:rsidRDefault="007E14FB" w:rsidP="007E14FB">
      <w:pPr>
        <w:jc w:val="both"/>
        <w:rPr>
          <w:lang w:val="de-DE"/>
        </w:rPr>
      </w:pPr>
    </w:p>
    <w:p w14:paraId="251C0C24" w14:textId="77777777" w:rsidR="007E14FB" w:rsidRPr="004676F5" w:rsidRDefault="007E14FB" w:rsidP="007E14FB">
      <w:pPr>
        <w:jc w:val="both"/>
        <w:rPr>
          <w:lang w:val="de-DE"/>
        </w:rPr>
      </w:pPr>
      <w:r w:rsidRPr="004676F5">
        <w:rPr>
          <w:lang w:val="de-DE"/>
        </w:rPr>
        <w:tab/>
        <w:t>2. Verwendung drohender oder beleidigender Formulierungen oder Verhaltensweisen,</w:t>
      </w:r>
    </w:p>
    <w:p w14:paraId="400A79B9" w14:textId="77777777" w:rsidR="007E14FB" w:rsidRPr="004676F5" w:rsidRDefault="007E14FB" w:rsidP="007E14FB">
      <w:pPr>
        <w:jc w:val="both"/>
        <w:rPr>
          <w:lang w:val="de-DE"/>
        </w:rPr>
      </w:pPr>
    </w:p>
    <w:p w14:paraId="6CEC9455" w14:textId="77777777" w:rsidR="007E14FB" w:rsidRPr="004676F5" w:rsidRDefault="007E14FB" w:rsidP="007E14FB">
      <w:pPr>
        <w:jc w:val="both"/>
        <w:rPr>
          <w:lang w:val="de-DE"/>
        </w:rPr>
      </w:pPr>
      <w:r w:rsidRPr="004676F5">
        <w:rPr>
          <w:lang w:val="de-DE"/>
        </w:rPr>
        <w:tab/>
        <w:t>3. Ausnutzung durch das Unternehmen in Kenntnis der Sachlage von konkreten Unglückssituationen oder Umständen von solcher Schwere, dass sie das Urteilsvermögen des anderen Unternehmens beeinträchtigen, um den Beschluss dieses Unternehmens in Bezug auf das Produkt zu beeinflussen,</w:t>
      </w:r>
    </w:p>
    <w:p w14:paraId="4B0370D2" w14:textId="77777777" w:rsidR="007E14FB" w:rsidRPr="004676F5" w:rsidRDefault="007E14FB" w:rsidP="007E14FB">
      <w:pPr>
        <w:jc w:val="both"/>
        <w:rPr>
          <w:lang w:val="de-DE"/>
        </w:rPr>
      </w:pPr>
    </w:p>
    <w:p w14:paraId="5E0C1083" w14:textId="77777777" w:rsidR="007E14FB" w:rsidRPr="004676F5" w:rsidRDefault="007E14FB" w:rsidP="007E14FB">
      <w:pPr>
        <w:jc w:val="both"/>
        <w:rPr>
          <w:lang w:val="de-DE"/>
        </w:rPr>
      </w:pPr>
      <w:r w:rsidRPr="004676F5">
        <w:rPr>
          <w:lang w:val="de-DE"/>
        </w:rPr>
        <w:tab/>
        <w:t>4. finanziell belastende oder unverhältnismäßige Hindernisse nichtvertraglicher Art, mit denen das Unternehmen das andere Unternehmen an der Ausübung seiner vertraglichen Rechte zu hindern versucht, wozu auch das Recht gehört, den Vertrag zu kündigen oder zu einem anderen Produkt oder einem anderen Unternehmen zu wechseln,</w:t>
      </w:r>
    </w:p>
    <w:p w14:paraId="0FE264D5" w14:textId="77777777" w:rsidR="007E14FB" w:rsidRPr="004676F5" w:rsidRDefault="007E14FB" w:rsidP="007E14FB">
      <w:pPr>
        <w:jc w:val="both"/>
        <w:rPr>
          <w:lang w:val="de-DE"/>
        </w:rPr>
      </w:pPr>
    </w:p>
    <w:p w14:paraId="7B4300CA" w14:textId="77777777" w:rsidR="007E14FB" w:rsidRPr="004676F5" w:rsidRDefault="007E14FB" w:rsidP="007E14FB">
      <w:pPr>
        <w:jc w:val="both"/>
        <w:rPr>
          <w:lang w:val="de-DE"/>
        </w:rPr>
      </w:pPr>
      <w:r w:rsidRPr="004676F5">
        <w:rPr>
          <w:lang w:val="de-DE"/>
        </w:rPr>
        <w:tab/>
        <w:t>5. Drohungen mit rechtlich unzulässigen Handlungen,</w:t>
      </w:r>
    </w:p>
    <w:p w14:paraId="5482352D" w14:textId="77777777" w:rsidR="007E14FB" w:rsidRPr="004676F5" w:rsidRDefault="007E14FB" w:rsidP="007E14FB">
      <w:pPr>
        <w:jc w:val="both"/>
        <w:rPr>
          <w:lang w:val="de-DE"/>
        </w:rPr>
      </w:pPr>
    </w:p>
    <w:p w14:paraId="658744E1" w14:textId="77777777" w:rsidR="007E14FB" w:rsidRPr="004676F5" w:rsidRDefault="007E14FB" w:rsidP="007E14FB">
      <w:pPr>
        <w:rPr>
          <w:lang w:val="de-DE"/>
        </w:rPr>
      </w:pPr>
      <w:r w:rsidRPr="004676F5">
        <w:rPr>
          <w:lang w:val="de-DE"/>
        </w:rPr>
        <w:tab/>
        <w:t>6. vertragliche Position eines Unternehmens gegenüber dem anderen Unternehmen.]</w:t>
      </w:r>
    </w:p>
    <w:p w14:paraId="37BF30A0" w14:textId="77777777" w:rsidR="007E14FB" w:rsidRPr="004676F5" w:rsidRDefault="007E14FB" w:rsidP="007E14FB">
      <w:pPr>
        <w:rPr>
          <w:lang w:val="de-DE"/>
        </w:rPr>
      </w:pPr>
    </w:p>
    <w:p w14:paraId="3230B9B5" w14:textId="6C6485EE" w:rsidR="007E14FB" w:rsidRPr="004676F5" w:rsidRDefault="007E14FB" w:rsidP="007E14FB">
      <w:pPr>
        <w:jc w:val="both"/>
        <w:rPr>
          <w:i/>
          <w:iCs/>
          <w:lang w:val="de-DE"/>
        </w:rPr>
      </w:pPr>
      <w:r w:rsidRPr="004676F5">
        <w:rPr>
          <w:i/>
          <w:iCs/>
          <w:lang w:val="de-DE"/>
        </w:rPr>
        <w:t>[Art. VI.109/2 eingefügt durch Art. 34 des G. vom 4. April 2019 (B.S. vom 24. Mai 2019)]</w:t>
      </w:r>
    </w:p>
    <w:p w14:paraId="3F13F29D" w14:textId="77777777" w:rsidR="007E14FB" w:rsidRPr="004676F5" w:rsidRDefault="007E14FB" w:rsidP="007E14FB">
      <w:pPr>
        <w:rPr>
          <w:lang w:val="de-DE"/>
        </w:rPr>
      </w:pPr>
    </w:p>
    <w:p w14:paraId="2C686001" w14:textId="77777777" w:rsidR="007E14FB" w:rsidRPr="004676F5" w:rsidRDefault="007E14FB" w:rsidP="007E14FB">
      <w:pPr>
        <w:rPr>
          <w:lang w:val="de-DE"/>
        </w:rPr>
      </w:pPr>
    </w:p>
    <w:p w14:paraId="70DA4A2E" w14:textId="44C328CC" w:rsidR="007E14FB" w:rsidRPr="004676F5" w:rsidRDefault="007E14FB" w:rsidP="007E14FB">
      <w:pPr>
        <w:jc w:val="both"/>
        <w:rPr>
          <w:lang w:val="de-DE"/>
        </w:rPr>
      </w:pPr>
      <w:r w:rsidRPr="004676F5">
        <w:rPr>
          <w:lang w:val="de-DE"/>
        </w:rPr>
        <w:lastRenderedPageBreak/>
        <w:tab/>
        <w:t>[</w:t>
      </w:r>
      <w:r w:rsidRPr="004676F5">
        <w:rPr>
          <w:b/>
          <w:lang w:val="de-DE"/>
        </w:rPr>
        <w:t>Art. VI.109/3</w:t>
      </w:r>
      <w:r w:rsidRPr="004676F5">
        <w:rPr>
          <w:bCs/>
          <w:lang w:val="de-DE"/>
        </w:rPr>
        <w:t>]</w:t>
      </w:r>
      <w:r w:rsidRPr="004676F5">
        <w:rPr>
          <w:lang w:val="de-DE"/>
        </w:rPr>
        <w:t> </w:t>
      </w:r>
      <w:r w:rsidR="005B7A5C" w:rsidRPr="004676F5">
        <w:rPr>
          <w:lang w:val="de-DE"/>
        </w:rPr>
        <w:t>- </w:t>
      </w:r>
      <w:r w:rsidRPr="004676F5">
        <w:rPr>
          <w:lang w:val="de-DE"/>
        </w:rPr>
        <w:t>Unternehmen ist es verboten, einer anderen Person, die nicht darum gebeten hat, irgendeine Ware zukommen zu lassen mit der Aufforderung, diese Ware gegen Zahlung ihres Preises zu erwerben, sie aufzubewahren oder sie dem Absender </w:t>
      </w:r>
      <w:r w:rsidR="005B7A5C" w:rsidRPr="004676F5">
        <w:rPr>
          <w:lang w:val="de-DE"/>
        </w:rPr>
        <w:t>- </w:t>
      </w:r>
      <w:r w:rsidRPr="004676F5">
        <w:rPr>
          <w:lang w:val="de-DE"/>
        </w:rPr>
        <w:t>selbst kostenfrei </w:t>
      </w:r>
      <w:r w:rsidR="005B7A5C" w:rsidRPr="004676F5">
        <w:rPr>
          <w:lang w:val="de-DE"/>
        </w:rPr>
        <w:t>- </w:t>
      </w:r>
      <w:r w:rsidRPr="004676F5">
        <w:rPr>
          <w:lang w:val="de-DE"/>
        </w:rPr>
        <w:t>zurückzusenden.</w:t>
      </w:r>
    </w:p>
    <w:p w14:paraId="015CBF5A" w14:textId="77777777" w:rsidR="007E14FB" w:rsidRPr="004676F5" w:rsidRDefault="007E14FB" w:rsidP="007E14FB">
      <w:pPr>
        <w:jc w:val="both"/>
        <w:rPr>
          <w:lang w:val="de-DE"/>
        </w:rPr>
      </w:pPr>
    </w:p>
    <w:p w14:paraId="5E257DE4" w14:textId="77777777" w:rsidR="007E14FB" w:rsidRPr="004676F5" w:rsidRDefault="007E14FB" w:rsidP="007E14FB">
      <w:pPr>
        <w:jc w:val="both"/>
        <w:rPr>
          <w:lang w:val="de-DE"/>
        </w:rPr>
      </w:pPr>
      <w:r w:rsidRPr="004676F5">
        <w:rPr>
          <w:lang w:val="de-DE"/>
        </w:rPr>
        <w:tab/>
        <w:t>Unternehmen ist es ebenfalls verboten, einer anderen Person, die nicht darum gebeten hat, irgendeine Dienstleistung zu erbringen mit der Aufforderung, diese Dienstleistung gegen Zahlung ihres Preises anzunehmen.</w:t>
      </w:r>
    </w:p>
    <w:p w14:paraId="5F5B7562" w14:textId="77777777" w:rsidR="007E14FB" w:rsidRPr="004676F5" w:rsidRDefault="007E14FB" w:rsidP="007E14FB">
      <w:pPr>
        <w:jc w:val="both"/>
        <w:rPr>
          <w:lang w:val="de-DE"/>
        </w:rPr>
      </w:pPr>
    </w:p>
    <w:p w14:paraId="52B328F0" w14:textId="77777777" w:rsidR="007E14FB" w:rsidRPr="004676F5" w:rsidRDefault="007E14FB" w:rsidP="007E14FB">
      <w:pPr>
        <w:jc w:val="both"/>
        <w:rPr>
          <w:lang w:val="de-DE"/>
        </w:rPr>
      </w:pPr>
      <w:r w:rsidRPr="004676F5">
        <w:rPr>
          <w:lang w:val="de-DE"/>
        </w:rPr>
        <w:tab/>
        <w:t>[...]</w:t>
      </w:r>
    </w:p>
    <w:p w14:paraId="3E364E16" w14:textId="77777777" w:rsidR="007E14FB" w:rsidRPr="004676F5" w:rsidRDefault="007E14FB" w:rsidP="007E14FB">
      <w:pPr>
        <w:jc w:val="both"/>
        <w:rPr>
          <w:lang w:val="de-DE"/>
        </w:rPr>
      </w:pPr>
    </w:p>
    <w:p w14:paraId="445E8619" w14:textId="77777777" w:rsidR="007E14FB" w:rsidRPr="004676F5" w:rsidRDefault="007E14FB" w:rsidP="007E14FB">
      <w:pPr>
        <w:jc w:val="both"/>
        <w:rPr>
          <w:lang w:val="de-DE"/>
        </w:rPr>
      </w:pPr>
      <w:r w:rsidRPr="004676F5">
        <w:rPr>
          <w:lang w:val="de-DE"/>
        </w:rPr>
        <w:tab/>
        <w:t>Der Empfänger ist keineswegs verpflichtet, die erbrachte Dienstleistung oder die zugesandte Ware zu bezahlen oder die Ware zurückzugeben. Das Ausbleiben einer Antwort des Empfängers auf die Dienstleistungserbringung oder Lieferung der Ware gilt nicht als Zustimmung.</w:t>
      </w:r>
    </w:p>
    <w:p w14:paraId="794B3A54" w14:textId="77777777" w:rsidR="007E14FB" w:rsidRPr="004676F5" w:rsidRDefault="007E14FB" w:rsidP="007E14FB">
      <w:pPr>
        <w:jc w:val="both"/>
        <w:rPr>
          <w:lang w:val="de-DE"/>
        </w:rPr>
      </w:pPr>
    </w:p>
    <w:p w14:paraId="5609B322" w14:textId="4AAC7F22" w:rsidR="007E14FB" w:rsidRPr="004676F5" w:rsidRDefault="007E14FB" w:rsidP="007E14FB">
      <w:pPr>
        <w:jc w:val="both"/>
        <w:rPr>
          <w:i/>
          <w:iCs/>
          <w:lang w:val="de-DE"/>
        </w:rPr>
      </w:pPr>
      <w:r w:rsidRPr="004676F5">
        <w:rPr>
          <w:i/>
          <w:iCs/>
          <w:lang w:val="de-DE"/>
        </w:rPr>
        <w:t>[Art. VI.109/3 (früherer Artikel VI.108) eingegliedert durch Art. 31 Nr. 2 des G. vom 4. April 2019 (B.S. vom 24. Mai 2019); früherer Absatz 3 aufgehoben durch Art. 31 Nr. 1 des G. vom 4. April 2019 (B.S. vom 24. Mai 2019)]</w:t>
      </w:r>
    </w:p>
    <w:p w14:paraId="564003B0" w14:textId="77777777" w:rsidR="007E14FB" w:rsidRPr="004676F5" w:rsidRDefault="007E14FB" w:rsidP="007E14FB">
      <w:pPr>
        <w:rPr>
          <w:lang w:val="de-DE"/>
        </w:rPr>
      </w:pPr>
    </w:p>
    <w:p w14:paraId="6CE6F879" w14:textId="77777777" w:rsidR="00E70517" w:rsidRPr="004676F5" w:rsidRDefault="00E70517" w:rsidP="007E14FB">
      <w:pPr>
        <w:rPr>
          <w:lang w:val="de-DE"/>
        </w:rPr>
      </w:pPr>
    </w:p>
    <w:p w14:paraId="60AFA003" w14:textId="02F532DF" w:rsidR="00E70517" w:rsidRPr="004676F5" w:rsidRDefault="00E70517" w:rsidP="00E70517">
      <w:pPr>
        <w:jc w:val="center"/>
        <w:rPr>
          <w:lang w:val="de-DE"/>
        </w:rPr>
      </w:pPr>
      <w:r w:rsidRPr="004676F5">
        <w:rPr>
          <w:lang w:val="de-DE"/>
        </w:rPr>
        <w:t>[</w:t>
      </w:r>
      <w:r w:rsidRPr="004676F5">
        <w:rPr>
          <w:i/>
          <w:iCs/>
          <w:lang w:val="de-DE"/>
        </w:rPr>
        <w:t>Abschnitt 4 </w:t>
      </w:r>
      <w:r w:rsidR="005B7A5C" w:rsidRPr="004676F5">
        <w:rPr>
          <w:lang w:val="de-DE"/>
        </w:rPr>
        <w:t>- </w:t>
      </w:r>
      <w:r w:rsidRPr="004676F5">
        <w:rPr>
          <w:lang w:val="de-DE"/>
        </w:rPr>
        <w:t>Unlautere Handelspraktiken in den Geschäftsbeziehungen zwischen Unternehmen in der Agrar</w:t>
      </w:r>
      <w:r w:rsidR="005B7A5C" w:rsidRPr="004676F5">
        <w:rPr>
          <w:lang w:val="de-DE"/>
        </w:rPr>
        <w:t>- </w:t>
      </w:r>
      <w:r w:rsidRPr="004676F5">
        <w:rPr>
          <w:lang w:val="de-DE"/>
        </w:rPr>
        <w:t>und Lebensmittelversorgungskette]</w:t>
      </w:r>
    </w:p>
    <w:p w14:paraId="5B93D528" w14:textId="77777777" w:rsidR="00E70517" w:rsidRPr="004676F5" w:rsidRDefault="00E70517" w:rsidP="00E70517">
      <w:pPr>
        <w:jc w:val="center"/>
        <w:rPr>
          <w:lang w:val="de-DE"/>
        </w:rPr>
      </w:pPr>
    </w:p>
    <w:p w14:paraId="3B2048AC" w14:textId="77777777" w:rsidR="00E70517" w:rsidRPr="004676F5" w:rsidRDefault="00E70517" w:rsidP="00E70517">
      <w:pPr>
        <w:jc w:val="both"/>
        <w:rPr>
          <w:i/>
          <w:iCs/>
          <w:lang w:val="de-DE"/>
        </w:rPr>
      </w:pPr>
      <w:r w:rsidRPr="004676F5">
        <w:rPr>
          <w:i/>
          <w:iCs/>
          <w:lang w:val="de-DE"/>
        </w:rPr>
        <w:t>[Unterteilung Abschnitt 4 eingefügt durch Art. 4</w:t>
      </w:r>
      <w:r w:rsidRPr="004676F5">
        <w:rPr>
          <w:bCs/>
          <w:i/>
          <w:iCs/>
          <w:lang w:val="de-DE"/>
        </w:rPr>
        <w:t xml:space="preserve"> des G. vom 28. November 2021 (II) (B.S. vom 15. Dezember 2021)</w:t>
      </w:r>
      <w:r w:rsidRPr="004676F5">
        <w:rPr>
          <w:i/>
          <w:iCs/>
          <w:lang w:val="de-DE"/>
        </w:rPr>
        <w:t>]</w:t>
      </w:r>
    </w:p>
    <w:p w14:paraId="2CEC0F21" w14:textId="77777777" w:rsidR="00E70517" w:rsidRPr="004676F5" w:rsidRDefault="00E70517" w:rsidP="00E70517">
      <w:pPr>
        <w:jc w:val="both"/>
        <w:rPr>
          <w:lang w:val="de-DE"/>
        </w:rPr>
      </w:pPr>
    </w:p>
    <w:p w14:paraId="4EB224E8" w14:textId="77777777" w:rsidR="00E70517" w:rsidRPr="004676F5" w:rsidRDefault="00E70517" w:rsidP="00E70517">
      <w:pPr>
        <w:jc w:val="both"/>
        <w:rPr>
          <w:lang w:val="de-DE"/>
        </w:rPr>
      </w:pPr>
    </w:p>
    <w:p w14:paraId="7047C66D" w14:textId="160F6C7B" w:rsidR="00E70517" w:rsidRPr="004676F5" w:rsidRDefault="00E70517" w:rsidP="00E70517">
      <w:pPr>
        <w:jc w:val="both"/>
        <w:rPr>
          <w:lang w:val="de-DE"/>
        </w:rPr>
      </w:pPr>
      <w:r w:rsidRPr="004676F5">
        <w:rPr>
          <w:lang w:val="de-DE"/>
        </w:rPr>
        <w:tab/>
        <w:t>[</w:t>
      </w:r>
      <w:r w:rsidRPr="004676F5">
        <w:rPr>
          <w:b/>
          <w:bCs/>
          <w:lang w:val="de-DE"/>
        </w:rPr>
        <w:t>Art. VI.109/4</w:t>
      </w:r>
      <w:r w:rsidRPr="004676F5">
        <w:rPr>
          <w:lang w:val="de-DE"/>
        </w:rPr>
        <w:t> </w:t>
      </w:r>
      <w:r w:rsidR="005B7A5C" w:rsidRPr="004676F5">
        <w:rPr>
          <w:lang w:val="de-DE"/>
        </w:rPr>
        <w:t>- </w:t>
      </w:r>
      <w:r w:rsidRPr="004676F5">
        <w:rPr>
          <w:lang w:val="de-DE"/>
        </w:rPr>
        <w:t>Unbeschadet der Anwendung von Titel 3/1 des vorliegenden Buches und der Abschnitte 1 bis 3 des vorliegenden Kapitels sind die Bestimmungen des vorliegenden Abschnittes auf Beziehungen in der Agrar</w:t>
      </w:r>
      <w:r w:rsidR="005B7A5C" w:rsidRPr="004676F5">
        <w:rPr>
          <w:lang w:val="de-DE"/>
        </w:rPr>
        <w:t>- </w:t>
      </w:r>
      <w:r w:rsidRPr="004676F5">
        <w:rPr>
          <w:lang w:val="de-DE"/>
        </w:rPr>
        <w:t>und Lebensmittelversorgungskette anwendbar zwischen Käufern einerseits und Lieferanten mit einem Jahresumsatz von höchstens 350 000 000 EUR andererseits.</w:t>
      </w:r>
    </w:p>
    <w:p w14:paraId="0C942D53" w14:textId="77777777" w:rsidR="00E70517" w:rsidRPr="004676F5" w:rsidRDefault="00E70517" w:rsidP="00E70517">
      <w:pPr>
        <w:jc w:val="both"/>
        <w:rPr>
          <w:lang w:val="de-DE"/>
        </w:rPr>
      </w:pPr>
    </w:p>
    <w:p w14:paraId="2B9B8805" w14:textId="77777777" w:rsidR="00E70517" w:rsidRPr="004676F5" w:rsidRDefault="00E70517" w:rsidP="00E70517">
      <w:pPr>
        <w:jc w:val="both"/>
        <w:rPr>
          <w:lang w:val="de-DE"/>
        </w:rPr>
      </w:pPr>
      <w:r w:rsidRPr="004676F5">
        <w:rPr>
          <w:lang w:val="de-DE"/>
        </w:rPr>
        <w:tab/>
        <w:t>Der in Absatz 1 erwähnte Jahresumsatz der Lieferanten ist gemäß den einschlägigen Teilen des Anhangs der Empfehlung 2003/361/EG der Kommission vom 6. Mai 2003 betreffend die Definition der Kleinstunternehmen sowie der kleinen und mittleren Unternehmen und insbesondere gemäß den Artikeln 3, 4 und 6 dieses Anhangs zu verstehen, einschließlich der Begriffsbestimmungen für "eigenständiges Unternehmen", "Partnerunter</w:t>
      </w:r>
      <w:r w:rsidRPr="004676F5">
        <w:rPr>
          <w:lang w:val="de-DE"/>
        </w:rPr>
        <w:softHyphen/>
        <w:t>nehmen" und "verbundenes Unternehmen" und anderer Fragen im Zusammenhang mit dem Jahresumsatz.</w:t>
      </w:r>
    </w:p>
    <w:p w14:paraId="08BDEA82" w14:textId="77777777" w:rsidR="00E70517" w:rsidRPr="004676F5" w:rsidRDefault="00E70517" w:rsidP="00E70517">
      <w:pPr>
        <w:jc w:val="both"/>
        <w:rPr>
          <w:lang w:val="de-DE"/>
        </w:rPr>
      </w:pPr>
    </w:p>
    <w:p w14:paraId="78DA23A9" w14:textId="77777777" w:rsidR="00E70517" w:rsidRPr="004676F5" w:rsidRDefault="00E70517" w:rsidP="00E70517">
      <w:pPr>
        <w:jc w:val="both"/>
        <w:rPr>
          <w:lang w:val="de-DE"/>
        </w:rPr>
      </w:pPr>
      <w:r w:rsidRPr="004676F5">
        <w:rPr>
          <w:lang w:val="de-DE"/>
        </w:rPr>
        <w:tab/>
        <w:t>Der in Absatz 1 erwähnte maximale Jahresumsatz gilt nicht für Erzeuger</w:t>
      </w:r>
      <w:r w:rsidRPr="004676F5">
        <w:rPr>
          <w:lang w:val="de-DE"/>
        </w:rPr>
        <w:softHyphen/>
        <w:t>organisationen, die aufgrund des Artikels 152 der Verordnung (EU) Nr. 1308/2013 des Europäischen Parlaments und des Rates vom 17. Dezember 2013 über eine gemeinsame Marktorganisation für landwirtschaftliche Erzeugnisse und zur Aufhebung der Verordnungen (EWG) Nr. 922/72, (EWG) Nr. 234/79, (EG) Nr. 1037/2001 und (EG) Nr. 1234/2007 anerkannt sind, und für Vereinigungen von Erzeugerorganisationen, die aufgrund des Artikels 156 derselben Verordnung anerkannt sind.</w:t>
      </w:r>
    </w:p>
    <w:p w14:paraId="63971190" w14:textId="77777777" w:rsidR="00E70517" w:rsidRPr="004676F5" w:rsidRDefault="00E70517" w:rsidP="00E70517">
      <w:pPr>
        <w:jc w:val="both"/>
        <w:rPr>
          <w:lang w:val="de-DE"/>
        </w:rPr>
      </w:pPr>
    </w:p>
    <w:p w14:paraId="3589B53A" w14:textId="6E213F62" w:rsidR="00E70517" w:rsidRPr="004676F5" w:rsidRDefault="00E70517" w:rsidP="00E70517">
      <w:pPr>
        <w:jc w:val="both"/>
        <w:rPr>
          <w:lang w:val="de-DE"/>
        </w:rPr>
      </w:pPr>
      <w:r w:rsidRPr="004676F5">
        <w:rPr>
          <w:lang w:val="de-DE"/>
        </w:rPr>
        <w:lastRenderedPageBreak/>
        <w:tab/>
        <w:t>Vorliegender Abschnitt gilt für Verkäufe, bei denen entweder der Lieferant oder der Käufer oder beide in Belgien ansässig sind.]</w:t>
      </w:r>
    </w:p>
    <w:p w14:paraId="7EFA4BD5" w14:textId="77777777" w:rsidR="00E70517" w:rsidRPr="004676F5" w:rsidRDefault="00E70517" w:rsidP="00E70517">
      <w:pPr>
        <w:jc w:val="both"/>
        <w:rPr>
          <w:lang w:val="de-DE"/>
        </w:rPr>
      </w:pPr>
    </w:p>
    <w:p w14:paraId="12F77000" w14:textId="0C979725" w:rsidR="00E70517" w:rsidRPr="004676F5" w:rsidRDefault="00E70517" w:rsidP="00E70517">
      <w:pPr>
        <w:jc w:val="both"/>
        <w:rPr>
          <w:i/>
          <w:iCs/>
          <w:lang w:val="de-DE"/>
        </w:rPr>
      </w:pPr>
      <w:r w:rsidRPr="004676F5">
        <w:rPr>
          <w:i/>
          <w:iCs/>
          <w:lang w:val="de-DE"/>
        </w:rPr>
        <w:t>[Art. VI.109/4 eingefügt durch Art. 5</w:t>
      </w:r>
      <w:r w:rsidRPr="004676F5">
        <w:rPr>
          <w:bCs/>
          <w:i/>
          <w:iCs/>
          <w:lang w:val="de-DE"/>
        </w:rPr>
        <w:t xml:space="preserve"> des G. vom 28. November 2021 (II) (B.S. vom 15. Dezember 2021)]</w:t>
      </w:r>
    </w:p>
    <w:p w14:paraId="633C1B72" w14:textId="77777777" w:rsidR="00E70517" w:rsidRPr="004676F5" w:rsidRDefault="00E70517" w:rsidP="00E70517">
      <w:pPr>
        <w:jc w:val="both"/>
        <w:rPr>
          <w:lang w:val="de-DE"/>
        </w:rPr>
      </w:pPr>
    </w:p>
    <w:p w14:paraId="1F3D5ACB" w14:textId="77777777" w:rsidR="00E70517" w:rsidRPr="004676F5" w:rsidRDefault="00E70517" w:rsidP="00E70517">
      <w:pPr>
        <w:jc w:val="both"/>
        <w:rPr>
          <w:lang w:val="de-DE"/>
        </w:rPr>
      </w:pPr>
    </w:p>
    <w:p w14:paraId="307C9972" w14:textId="5F31A673" w:rsidR="00E70517" w:rsidRPr="004676F5" w:rsidRDefault="00E70517" w:rsidP="00E70517">
      <w:pPr>
        <w:jc w:val="both"/>
        <w:rPr>
          <w:lang w:val="de-DE"/>
        </w:rPr>
      </w:pPr>
      <w:r w:rsidRPr="004676F5">
        <w:rPr>
          <w:lang w:val="de-DE"/>
        </w:rPr>
        <w:tab/>
        <w:t>[</w:t>
      </w:r>
      <w:r w:rsidRPr="004676F5">
        <w:rPr>
          <w:b/>
          <w:bCs/>
          <w:lang w:val="de-DE"/>
        </w:rPr>
        <w:t>Art. VI.109/5</w:t>
      </w:r>
      <w:r w:rsidRPr="004676F5">
        <w:rPr>
          <w:lang w:val="de-DE"/>
        </w:rPr>
        <w:t> </w:t>
      </w:r>
      <w:r w:rsidR="005B7A5C" w:rsidRPr="004676F5">
        <w:rPr>
          <w:lang w:val="de-DE"/>
        </w:rPr>
        <w:t>- </w:t>
      </w:r>
      <w:r w:rsidRPr="004676F5">
        <w:rPr>
          <w:lang w:val="de-DE"/>
        </w:rPr>
        <w:t>Folgende Marktpraktiken sind unlauter und gemäß Artikel VI.109/8 verboten:</w:t>
      </w:r>
    </w:p>
    <w:p w14:paraId="37176502" w14:textId="77777777" w:rsidR="00E70517" w:rsidRPr="004676F5" w:rsidRDefault="00E70517" w:rsidP="00E70517">
      <w:pPr>
        <w:jc w:val="both"/>
        <w:rPr>
          <w:lang w:val="de-DE"/>
        </w:rPr>
      </w:pPr>
    </w:p>
    <w:p w14:paraId="178AD938" w14:textId="77777777" w:rsidR="00E70517" w:rsidRPr="004676F5" w:rsidRDefault="00E70517" w:rsidP="00E70517">
      <w:pPr>
        <w:jc w:val="both"/>
        <w:rPr>
          <w:lang w:val="de-DE"/>
        </w:rPr>
      </w:pPr>
      <w:r w:rsidRPr="004676F5">
        <w:rPr>
          <w:lang w:val="de-DE"/>
        </w:rPr>
        <w:tab/>
        <w:t>1. Der Käufer bezahlt den Lieferanten:</w:t>
      </w:r>
    </w:p>
    <w:p w14:paraId="44BBE481" w14:textId="77777777" w:rsidR="00E70517" w:rsidRPr="004676F5" w:rsidRDefault="00E70517" w:rsidP="00E70517">
      <w:pPr>
        <w:jc w:val="both"/>
        <w:rPr>
          <w:lang w:val="de-DE"/>
        </w:rPr>
      </w:pPr>
    </w:p>
    <w:p w14:paraId="7739F450" w14:textId="77777777" w:rsidR="00E70517" w:rsidRPr="004676F5" w:rsidRDefault="00E70517" w:rsidP="00E70517">
      <w:pPr>
        <w:jc w:val="both"/>
        <w:rPr>
          <w:lang w:val="de-DE"/>
        </w:rPr>
      </w:pPr>
      <w:r w:rsidRPr="004676F5">
        <w:rPr>
          <w:lang w:val="de-DE"/>
        </w:rPr>
        <w:tab/>
      </w:r>
      <w:r w:rsidRPr="004676F5">
        <w:rPr>
          <w:i/>
          <w:lang w:val="de-DE"/>
        </w:rPr>
        <w:t>a)</w:t>
      </w:r>
      <w:r w:rsidRPr="004676F5">
        <w:rPr>
          <w:lang w:val="de-DE"/>
        </w:rPr>
        <w:t> wenn die Liefervereinbarung eine regelmäßige Lieferung von Erzeugnissen festlegt, mehr als dreißig Tage nach Ablauf des vereinbarten Lieferzeitraums von höchstens einem Monat, in dem Lieferungen erfolgt sind, oder mehr als dreißig Tage nach dem Tag der Festlegung des zu zahlenden Betrags für diesen Lieferzeitraum, je nachdem, welcher der beiden Zeitpunkte der spätere ist,</w:t>
      </w:r>
    </w:p>
    <w:p w14:paraId="055E9DE6" w14:textId="77777777" w:rsidR="00E70517" w:rsidRPr="004676F5" w:rsidRDefault="00E70517" w:rsidP="00E70517">
      <w:pPr>
        <w:jc w:val="both"/>
        <w:rPr>
          <w:lang w:val="de-DE"/>
        </w:rPr>
      </w:pPr>
    </w:p>
    <w:p w14:paraId="19DC2559" w14:textId="77777777" w:rsidR="00E70517" w:rsidRPr="004676F5" w:rsidRDefault="00E70517" w:rsidP="00E70517">
      <w:pPr>
        <w:jc w:val="both"/>
        <w:rPr>
          <w:lang w:val="de-DE"/>
        </w:rPr>
      </w:pPr>
      <w:r w:rsidRPr="004676F5">
        <w:rPr>
          <w:lang w:val="de-DE"/>
        </w:rPr>
        <w:tab/>
      </w:r>
      <w:r w:rsidRPr="004676F5">
        <w:rPr>
          <w:i/>
          <w:lang w:val="de-DE"/>
        </w:rPr>
        <w:t>b)</w:t>
      </w:r>
      <w:r w:rsidRPr="004676F5">
        <w:rPr>
          <w:lang w:val="de-DE"/>
        </w:rPr>
        <w:t> wenn die Liefervereinbarung keine regelmäßige Lieferung von Erzeugnissen festlegt, mehr als dreißig Tage nach dem Tag der Lieferung oder mehr als dreißig Tage nach dem Tag der Festlegung des zu zahlenden Betrags, je nachdem, welcher der beiden Zeitpunkte der spätere ist.</w:t>
      </w:r>
    </w:p>
    <w:p w14:paraId="2D9181ED" w14:textId="77777777" w:rsidR="00E70517" w:rsidRPr="004676F5" w:rsidRDefault="00E70517" w:rsidP="00E70517">
      <w:pPr>
        <w:jc w:val="both"/>
        <w:rPr>
          <w:lang w:val="de-DE"/>
        </w:rPr>
      </w:pPr>
    </w:p>
    <w:p w14:paraId="42323C96" w14:textId="77777777" w:rsidR="00E70517" w:rsidRPr="004676F5" w:rsidRDefault="00E70517" w:rsidP="00E70517">
      <w:pPr>
        <w:jc w:val="both"/>
        <w:rPr>
          <w:lang w:val="de-DE"/>
        </w:rPr>
      </w:pPr>
      <w:r w:rsidRPr="004676F5">
        <w:rPr>
          <w:lang w:val="de-DE"/>
        </w:rPr>
        <w:tab/>
        <w:t>Legt der Käufer den zu zahlenden Betrag fest:</w:t>
      </w:r>
    </w:p>
    <w:p w14:paraId="1C4B1804" w14:textId="77777777" w:rsidR="00E70517" w:rsidRPr="004676F5" w:rsidRDefault="00E70517" w:rsidP="00E70517">
      <w:pPr>
        <w:jc w:val="both"/>
        <w:rPr>
          <w:lang w:val="de-DE"/>
        </w:rPr>
      </w:pPr>
    </w:p>
    <w:p w14:paraId="07E51CE9" w14:textId="2F48AD13" w:rsidR="00E70517" w:rsidRPr="004676F5" w:rsidRDefault="00E70517" w:rsidP="00E70517">
      <w:pPr>
        <w:jc w:val="both"/>
        <w:rPr>
          <w:lang w:val="de-DE"/>
        </w:rPr>
      </w:pPr>
      <w:r w:rsidRPr="004676F5">
        <w:rPr>
          <w:lang w:val="de-DE"/>
        </w:rPr>
        <w:tab/>
      </w:r>
      <w:r w:rsidR="005B7A5C" w:rsidRPr="004676F5">
        <w:rPr>
          <w:lang w:val="de-DE"/>
        </w:rPr>
        <w:t>- </w:t>
      </w:r>
      <w:r w:rsidRPr="004676F5">
        <w:rPr>
          <w:lang w:val="de-DE"/>
        </w:rPr>
        <w:t>beginnt die in Buchstabe </w:t>
      </w:r>
      <w:r w:rsidRPr="004676F5">
        <w:rPr>
          <w:i/>
          <w:lang w:val="de-DE"/>
        </w:rPr>
        <w:t>a)</w:t>
      </w:r>
      <w:r w:rsidRPr="004676F5">
        <w:rPr>
          <w:lang w:val="de-DE"/>
        </w:rPr>
        <w:t xml:space="preserve"> erwähnte Zahlungsfrist mit dem Ende des vereinbarten Lieferzeitraums, in dem Lieferungen erfolgt sind, und</w:t>
      </w:r>
    </w:p>
    <w:p w14:paraId="7B92C6BF" w14:textId="77777777" w:rsidR="00E70517" w:rsidRPr="004676F5" w:rsidRDefault="00E70517" w:rsidP="00E70517">
      <w:pPr>
        <w:jc w:val="both"/>
        <w:rPr>
          <w:lang w:val="de-DE"/>
        </w:rPr>
      </w:pPr>
    </w:p>
    <w:p w14:paraId="48DF7EC1" w14:textId="1EB2EDF7" w:rsidR="00E70517" w:rsidRPr="004676F5" w:rsidRDefault="00E70517" w:rsidP="00E70517">
      <w:pPr>
        <w:jc w:val="both"/>
        <w:rPr>
          <w:lang w:val="de-DE"/>
        </w:rPr>
      </w:pPr>
      <w:r w:rsidRPr="004676F5">
        <w:rPr>
          <w:lang w:val="de-DE"/>
        </w:rPr>
        <w:tab/>
      </w:r>
      <w:r w:rsidR="005B7A5C" w:rsidRPr="004676F5">
        <w:rPr>
          <w:lang w:val="de-DE"/>
        </w:rPr>
        <w:t>- </w:t>
      </w:r>
      <w:r w:rsidRPr="004676F5">
        <w:rPr>
          <w:lang w:val="de-DE"/>
        </w:rPr>
        <w:t>beginnt die in Buchstabe </w:t>
      </w:r>
      <w:r w:rsidRPr="004676F5">
        <w:rPr>
          <w:i/>
          <w:lang w:val="de-DE"/>
        </w:rPr>
        <w:t>b)</w:t>
      </w:r>
      <w:r w:rsidRPr="004676F5">
        <w:rPr>
          <w:lang w:val="de-DE"/>
        </w:rPr>
        <w:t xml:space="preserve"> erwähnte Zahlungsfrist mit dem Tag der Lieferung.</w:t>
      </w:r>
    </w:p>
    <w:p w14:paraId="410E8536" w14:textId="77777777" w:rsidR="00E70517" w:rsidRPr="004676F5" w:rsidRDefault="00E70517" w:rsidP="00E70517">
      <w:pPr>
        <w:jc w:val="both"/>
        <w:rPr>
          <w:lang w:val="de-DE"/>
        </w:rPr>
      </w:pPr>
    </w:p>
    <w:p w14:paraId="65192CF3" w14:textId="77777777" w:rsidR="00E70517" w:rsidRPr="004676F5" w:rsidRDefault="00E70517" w:rsidP="00E70517">
      <w:pPr>
        <w:jc w:val="both"/>
        <w:rPr>
          <w:lang w:val="de-DE"/>
        </w:rPr>
      </w:pPr>
      <w:r w:rsidRPr="004676F5">
        <w:rPr>
          <w:lang w:val="de-DE"/>
        </w:rPr>
        <w:tab/>
        <w:t>Vorliegende Bestimmung gilt unbeschadet:</w:t>
      </w:r>
    </w:p>
    <w:p w14:paraId="11DE594C" w14:textId="77777777" w:rsidR="00E70517" w:rsidRPr="004676F5" w:rsidRDefault="00E70517" w:rsidP="00E70517">
      <w:pPr>
        <w:jc w:val="both"/>
        <w:rPr>
          <w:lang w:val="de-DE"/>
        </w:rPr>
      </w:pPr>
    </w:p>
    <w:p w14:paraId="1A14651F" w14:textId="66D40F9E" w:rsidR="00E70517" w:rsidRPr="004676F5" w:rsidRDefault="00E70517" w:rsidP="00E70517">
      <w:pPr>
        <w:jc w:val="both"/>
        <w:rPr>
          <w:lang w:val="de-DE"/>
        </w:rPr>
      </w:pPr>
      <w:r w:rsidRPr="004676F5">
        <w:rPr>
          <w:lang w:val="de-DE"/>
        </w:rPr>
        <w:tab/>
      </w:r>
      <w:r w:rsidR="005B7A5C" w:rsidRPr="004676F5">
        <w:rPr>
          <w:lang w:val="de-DE"/>
        </w:rPr>
        <w:t>- </w:t>
      </w:r>
      <w:r w:rsidRPr="004676F5">
        <w:rPr>
          <w:lang w:val="de-DE"/>
        </w:rPr>
        <w:t>der Folgen von Zahlungsverzug und der Rechtsbehelfe gemäß dem Gesetz vom 2. August 2002 zur Bekämpfung von Zahlungsverzug im Geschäftsverkehr,</w:t>
      </w:r>
    </w:p>
    <w:p w14:paraId="1B7805B2" w14:textId="77777777" w:rsidR="00E70517" w:rsidRPr="004676F5" w:rsidRDefault="00E70517" w:rsidP="00E70517">
      <w:pPr>
        <w:jc w:val="both"/>
        <w:rPr>
          <w:lang w:val="de-DE"/>
        </w:rPr>
      </w:pPr>
    </w:p>
    <w:p w14:paraId="667F3050" w14:textId="63C63BFD" w:rsidR="00E70517" w:rsidRPr="004676F5" w:rsidRDefault="00E70517" w:rsidP="00E70517">
      <w:pPr>
        <w:jc w:val="both"/>
        <w:rPr>
          <w:lang w:val="de-DE"/>
        </w:rPr>
      </w:pPr>
      <w:r w:rsidRPr="004676F5">
        <w:rPr>
          <w:lang w:val="de-DE"/>
        </w:rPr>
        <w:tab/>
      </w:r>
      <w:r w:rsidR="005B7A5C" w:rsidRPr="004676F5">
        <w:rPr>
          <w:lang w:val="de-DE"/>
        </w:rPr>
        <w:t>- </w:t>
      </w:r>
      <w:r w:rsidRPr="004676F5">
        <w:rPr>
          <w:lang w:val="de-DE"/>
        </w:rPr>
        <w:t>der Möglichkeit eines Käufers oder Lieferanten, eine Wertaufteilungsklausel gemäß Artikel 172a der Verordnung (EU) Nr. 1308/2013 des Europäischen Parlaments und des Rates vom 17. Dezember 2013 über eine gemeinsame Marktorganisation für landwirtschaftliche Erzeugnisse und zur Aufhebung der Verordnungen (EWG) Nr. 922/72, (EWG) Nr. 234/79, (EG) Nr. 1037/2001 und (EG) Nr. 1234/2007 zu vereinbaren.</w:t>
      </w:r>
    </w:p>
    <w:p w14:paraId="386D652C" w14:textId="77777777" w:rsidR="00E70517" w:rsidRPr="004676F5" w:rsidRDefault="00E70517" w:rsidP="00E70517">
      <w:pPr>
        <w:jc w:val="both"/>
        <w:rPr>
          <w:lang w:val="de-DE"/>
        </w:rPr>
      </w:pPr>
    </w:p>
    <w:p w14:paraId="57CF2957" w14:textId="77777777" w:rsidR="00E70517" w:rsidRPr="004676F5" w:rsidRDefault="00E70517" w:rsidP="00E70517">
      <w:pPr>
        <w:jc w:val="both"/>
        <w:rPr>
          <w:lang w:val="de-DE"/>
        </w:rPr>
      </w:pPr>
      <w:r w:rsidRPr="004676F5">
        <w:rPr>
          <w:lang w:val="de-DE"/>
        </w:rPr>
        <w:tab/>
        <w:t>Das Verbot gemäß vorliegender Bestimmung gilt nicht für Zahlungen:</w:t>
      </w:r>
    </w:p>
    <w:p w14:paraId="4171DF13" w14:textId="77777777" w:rsidR="00E70517" w:rsidRPr="004676F5" w:rsidRDefault="00E70517" w:rsidP="00E70517">
      <w:pPr>
        <w:jc w:val="both"/>
        <w:rPr>
          <w:lang w:val="de-DE"/>
        </w:rPr>
      </w:pPr>
    </w:p>
    <w:p w14:paraId="4887A807" w14:textId="3E0CDB67" w:rsidR="00E70517" w:rsidRPr="004676F5" w:rsidRDefault="00E70517" w:rsidP="00E70517">
      <w:pPr>
        <w:jc w:val="both"/>
        <w:rPr>
          <w:lang w:val="de-DE"/>
        </w:rPr>
      </w:pPr>
      <w:r w:rsidRPr="004676F5">
        <w:rPr>
          <w:lang w:val="de-DE"/>
        </w:rPr>
        <w:tab/>
      </w:r>
      <w:r w:rsidR="005B7A5C" w:rsidRPr="004676F5">
        <w:rPr>
          <w:lang w:val="de-DE"/>
        </w:rPr>
        <w:t>- </w:t>
      </w:r>
      <w:r w:rsidRPr="004676F5">
        <w:rPr>
          <w:lang w:val="de-DE"/>
        </w:rPr>
        <w:t>eines Käufers an einen Lieferanten, wenn diese Zahlungen im Rahmen des Schulprogramms gemäß Artikel 23 der vorerwähnten Verordnung (EU) Nr. 1308/2013 geleistet werden,</w:t>
      </w:r>
    </w:p>
    <w:p w14:paraId="1746035D" w14:textId="77777777" w:rsidR="00E70517" w:rsidRPr="004676F5" w:rsidRDefault="00E70517" w:rsidP="00E70517">
      <w:pPr>
        <w:jc w:val="both"/>
        <w:rPr>
          <w:lang w:val="de-DE"/>
        </w:rPr>
      </w:pPr>
    </w:p>
    <w:p w14:paraId="73FBD30F" w14:textId="3E9054F7" w:rsidR="00E70517" w:rsidRPr="004676F5" w:rsidRDefault="00E70517" w:rsidP="00E70517">
      <w:pPr>
        <w:jc w:val="both"/>
        <w:rPr>
          <w:lang w:val="de-DE"/>
        </w:rPr>
      </w:pPr>
      <w:r w:rsidRPr="004676F5">
        <w:rPr>
          <w:lang w:val="de-DE"/>
        </w:rPr>
        <w:tab/>
      </w:r>
      <w:r w:rsidR="005B7A5C" w:rsidRPr="004676F5">
        <w:rPr>
          <w:lang w:val="de-DE"/>
        </w:rPr>
        <w:t>- </w:t>
      </w:r>
      <w:r w:rsidRPr="004676F5">
        <w:rPr>
          <w:lang w:val="de-DE"/>
        </w:rPr>
        <w:t>von öffentlichen Einrichtungen, die Gesundheitsdienste im Sinne des Artikels 4 § 2 Absatz 3 des Gesetzes vom 2. August 2002 zur Bekämpfung von Zahlungsverzug im Geschäftsverkehr anbieten,</w:t>
      </w:r>
    </w:p>
    <w:p w14:paraId="1EDCE335" w14:textId="77777777" w:rsidR="00E70517" w:rsidRPr="004676F5" w:rsidRDefault="00E70517" w:rsidP="00E70517">
      <w:pPr>
        <w:jc w:val="both"/>
        <w:rPr>
          <w:lang w:val="de-DE"/>
        </w:rPr>
      </w:pPr>
    </w:p>
    <w:p w14:paraId="1B052C5E" w14:textId="3A58C740" w:rsidR="00E70517" w:rsidRPr="004676F5" w:rsidRDefault="00E70517" w:rsidP="00E70517">
      <w:pPr>
        <w:jc w:val="both"/>
        <w:rPr>
          <w:lang w:val="de-DE"/>
        </w:rPr>
      </w:pPr>
      <w:r w:rsidRPr="004676F5">
        <w:rPr>
          <w:lang w:val="de-DE"/>
        </w:rPr>
        <w:lastRenderedPageBreak/>
        <w:tab/>
      </w:r>
      <w:r w:rsidR="005B7A5C" w:rsidRPr="004676F5">
        <w:rPr>
          <w:lang w:val="de-DE"/>
        </w:rPr>
        <w:t>- </w:t>
      </w:r>
      <w:r w:rsidRPr="004676F5">
        <w:rPr>
          <w:lang w:val="de-DE"/>
        </w:rPr>
        <w:t>im Rahmen von Liefervereinbarungen zwischen Lieferanten von Trauben oder Most für die Weinerzeugung und deren unmittelbaren Käufern, sofern:</w:t>
      </w:r>
    </w:p>
    <w:p w14:paraId="3083C9E5" w14:textId="77777777" w:rsidR="00E70517" w:rsidRPr="004676F5" w:rsidRDefault="00E70517" w:rsidP="00E70517">
      <w:pPr>
        <w:jc w:val="both"/>
        <w:rPr>
          <w:lang w:val="de-DE"/>
        </w:rPr>
      </w:pPr>
    </w:p>
    <w:p w14:paraId="4AE5356D" w14:textId="77777777" w:rsidR="00E70517" w:rsidRPr="004676F5" w:rsidRDefault="00E70517" w:rsidP="00E70517">
      <w:pPr>
        <w:jc w:val="both"/>
        <w:rPr>
          <w:lang w:val="de-DE"/>
        </w:rPr>
      </w:pPr>
      <w:r w:rsidRPr="004676F5">
        <w:rPr>
          <w:lang w:val="de-DE"/>
        </w:rPr>
        <w:tab/>
      </w:r>
      <w:r w:rsidRPr="004676F5">
        <w:rPr>
          <w:i/>
          <w:lang w:val="de-DE"/>
        </w:rPr>
        <w:t>i)</w:t>
      </w:r>
      <w:r w:rsidRPr="004676F5">
        <w:rPr>
          <w:lang w:val="de-DE"/>
        </w:rPr>
        <w:t> die spezifischen Zahlungsbedingungen für Verkäufe in den Musterverträgen enthalten sind, die gemäß Artikel 164 der vorerwähnten Verordnung (EU) Nr. 1308/2013 vor dem 1. Januar 2019 von den Mitgliedstaaten verbindlich vorgeschrieben wurden, und diese Ausdehnung der Musterverträge von den Mitgliedstaaten ab dem genannten Tag ohne wesentliche Änderungen der Zahlungsbedingungen zum Nachteil von Lieferanten von Trauben oder Most erneuert wird und</w:t>
      </w:r>
    </w:p>
    <w:p w14:paraId="563F6B44" w14:textId="77777777" w:rsidR="00E70517" w:rsidRPr="004676F5" w:rsidRDefault="00E70517" w:rsidP="00E70517">
      <w:pPr>
        <w:jc w:val="both"/>
        <w:rPr>
          <w:lang w:val="de-DE"/>
        </w:rPr>
      </w:pPr>
    </w:p>
    <w:p w14:paraId="5A02F348" w14:textId="77777777" w:rsidR="00E70517" w:rsidRPr="004676F5" w:rsidRDefault="00E70517" w:rsidP="00E70517">
      <w:pPr>
        <w:jc w:val="both"/>
        <w:rPr>
          <w:lang w:val="de-DE"/>
        </w:rPr>
      </w:pPr>
      <w:r w:rsidRPr="004676F5">
        <w:rPr>
          <w:lang w:val="de-DE"/>
        </w:rPr>
        <w:tab/>
      </w:r>
      <w:r w:rsidRPr="004676F5">
        <w:rPr>
          <w:i/>
          <w:lang w:val="de-DE"/>
        </w:rPr>
        <w:t>ii)</w:t>
      </w:r>
      <w:r w:rsidRPr="004676F5">
        <w:rPr>
          <w:lang w:val="de-DE"/>
        </w:rPr>
        <w:t> die Liefervereinbarungen zwischen Lieferanten von Trauben oder Most für die Weinerzeugung und deren unmittelbaren Käufern mehrjährige Verträge sind oder zu mehrjährigen Verträgen werden.</w:t>
      </w:r>
    </w:p>
    <w:p w14:paraId="3E3BFA5B" w14:textId="77777777" w:rsidR="00E70517" w:rsidRPr="004676F5" w:rsidRDefault="00E70517" w:rsidP="00E70517">
      <w:pPr>
        <w:jc w:val="both"/>
        <w:rPr>
          <w:lang w:val="de-DE"/>
        </w:rPr>
      </w:pPr>
    </w:p>
    <w:p w14:paraId="1E004FCD" w14:textId="6023AFF0" w:rsidR="00E70517" w:rsidRPr="004676F5" w:rsidRDefault="00E70517" w:rsidP="00E70517">
      <w:pPr>
        <w:jc w:val="both"/>
        <w:rPr>
          <w:lang w:val="de-DE"/>
        </w:rPr>
      </w:pPr>
      <w:r w:rsidRPr="004676F5">
        <w:rPr>
          <w:lang w:val="de-DE"/>
        </w:rPr>
        <w:tab/>
        <w:t>2. Der Käufer storniert die Bestellung von Agrar</w:t>
      </w:r>
      <w:r w:rsidR="005B7A5C" w:rsidRPr="004676F5">
        <w:rPr>
          <w:lang w:val="de-DE"/>
        </w:rPr>
        <w:t>- </w:t>
      </w:r>
      <w:r w:rsidRPr="004676F5">
        <w:rPr>
          <w:lang w:val="de-DE"/>
        </w:rPr>
        <w:t>und Lebensmittelerzeugnissen so kurzfristig, dass von einem Lieferanten nach vernünftigem Ermessen nicht erwartet werden kann, dass er eine alternative Vermarktungs</w:t>
      </w:r>
      <w:r w:rsidR="005B7A5C" w:rsidRPr="004676F5">
        <w:rPr>
          <w:lang w:val="de-DE"/>
        </w:rPr>
        <w:t>- </w:t>
      </w:r>
      <w:r w:rsidRPr="004676F5">
        <w:rPr>
          <w:lang w:val="de-DE"/>
        </w:rPr>
        <w:t>oder Verwendungsmöglichkeit für diese Erzeugnisse findet. Eine Frist von weniger als dreißig Tagen gilt in jedem Fall als kurzfristig.</w:t>
      </w:r>
    </w:p>
    <w:p w14:paraId="0D021DAE" w14:textId="77777777" w:rsidR="00E70517" w:rsidRPr="004676F5" w:rsidRDefault="00E70517" w:rsidP="00E70517">
      <w:pPr>
        <w:jc w:val="both"/>
        <w:rPr>
          <w:lang w:val="de-DE"/>
        </w:rPr>
      </w:pPr>
    </w:p>
    <w:p w14:paraId="25394426" w14:textId="77777777" w:rsidR="00E70517" w:rsidRPr="004676F5" w:rsidRDefault="00E70517" w:rsidP="00E70517">
      <w:pPr>
        <w:jc w:val="both"/>
        <w:rPr>
          <w:lang w:val="de-DE"/>
        </w:rPr>
      </w:pPr>
      <w:r w:rsidRPr="004676F5">
        <w:rPr>
          <w:lang w:val="de-DE"/>
        </w:rPr>
        <w:tab/>
        <w:t>Der König kann für Sektoren, die Er bestimmt, durch einen im Ministerrat beratenen Erlass und auf gemeinsamen Vorschlag der für Wirtschaft, Mittelstand und Landwirtschaft zuständigen Minister eine kürzere Frist als dreißig Tage festsetzen.</w:t>
      </w:r>
    </w:p>
    <w:p w14:paraId="20F83887" w14:textId="77777777" w:rsidR="00E70517" w:rsidRPr="004676F5" w:rsidRDefault="00E70517" w:rsidP="00E70517">
      <w:pPr>
        <w:jc w:val="both"/>
        <w:rPr>
          <w:lang w:val="de-DE"/>
        </w:rPr>
      </w:pPr>
    </w:p>
    <w:p w14:paraId="6D9D5AE6" w14:textId="6143D040" w:rsidR="00E70517" w:rsidRPr="004676F5" w:rsidRDefault="00E70517" w:rsidP="00E70517">
      <w:pPr>
        <w:jc w:val="both"/>
        <w:rPr>
          <w:lang w:val="de-DE"/>
        </w:rPr>
      </w:pPr>
      <w:r w:rsidRPr="004676F5">
        <w:rPr>
          <w:lang w:val="de-DE"/>
        </w:rPr>
        <w:tab/>
        <w:t>3. Der Käufer ändert einseitig die Bedingungen einer Liefervereinbarung für Agrar</w:t>
      </w:r>
      <w:r w:rsidR="005B7A5C" w:rsidRPr="004676F5">
        <w:rPr>
          <w:lang w:val="de-DE"/>
        </w:rPr>
        <w:t>- </w:t>
      </w:r>
      <w:r w:rsidRPr="004676F5">
        <w:rPr>
          <w:lang w:val="de-DE"/>
        </w:rPr>
        <w:t>und Lebensmittelerzeugnisse in Bezug auf Häufigkeit, Methode, Ort, Zeitpunkt oder Umfang der Lieferung von Agrar</w:t>
      </w:r>
      <w:r w:rsidR="005B7A5C" w:rsidRPr="004676F5">
        <w:rPr>
          <w:lang w:val="de-DE"/>
        </w:rPr>
        <w:t>- </w:t>
      </w:r>
      <w:r w:rsidRPr="004676F5">
        <w:rPr>
          <w:lang w:val="de-DE"/>
        </w:rPr>
        <w:t>und Lebensmittelerzeugnissen, Qualitätsstandards, Zahlungs</w:t>
      </w:r>
      <w:r w:rsidRPr="004676F5">
        <w:rPr>
          <w:lang w:val="de-DE"/>
        </w:rPr>
        <w:softHyphen/>
        <w:t>bedingungen oder Preise oder im Hinblick auf die Erbringung von Dienstleistungen, soweit diese ausdrücklich in Artikel VI.109/6 erwähnt werden.</w:t>
      </w:r>
    </w:p>
    <w:p w14:paraId="48B50AD0" w14:textId="77777777" w:rsidR="00E70517" w:rsidRPr="004676F5" w:rsidRDefault="00E70517" w:rsidP="00E70517">
      <w:pPr>
        <w:jc w:val="both"/>
        <w:rPr>
          <w:lang w:val="de-DE"/>
        </w:rPr>
      </w:pPr>
    </w:p>
    <w:p w14:paraId="646C9EB5" w14:textId="6A43AD8E" w:rsidR="00E70517" w:rsidRPr="004676F5" w:rsidRDefault="00E70517" w:rsidP="00E70517">
      <w:pPr>
        <w:jc w:val="both"/>
        <w:rPr>
          <w:lang w:val="de-DE"/>
        </w:rPr>
      </w:pPr>
      <w:r w:rsidRPr="004676F5">
        <w:rPr>
          <w:lang w:val="de-DE"/>
        </w:rPr>
        <w:tab/>
        <w:t>4. Der Käufer verlangt vom Lieferanten Zahlungen, die nicht im Zusammenhang mit dem Verkauf von Agrar</w:t>
      </w:r>
      <w:r w:rsidR="005B7A5C" w:rsidRPr="004676F5">
        <w:rPr>
          <w:lang w:val="de-DE"/>
        </w:rPr>
        <w:t>- </w:t>
      </w:r>
      <w:r w:rsidRPr="004676F5">
        <w:rPr>
          <w:lang w:val="de-DE"/>
        </w:rPr>
        <w:t>und Lebensmittelerzeugnissen des Lieferanten stehen.</w:t>
      </w:r>
    </w:p>
    <w:p w14:paraId="36117B18" w14:textId="77777777" w:rsidR="00E70517" w:rsidRPr="004676F5" w:rsidRDefault="00E70517" w:rsidP="00E70517">
      <w:pPr>
        <w:jc w:val="both"/>
        <w:rPr>
          <w:lang w:val="de-DE"/>
        </w:rPr>
      </w:pPr>
    </w:p>
    <w:p w14:paraId="57AC0C6D" w14:textId="019DF538" w:rsidR="00E70517" w:rsidRPr="004676F5" w:rsidRDefault="00E70517" w:rsidP="00E70517">
      <w:pPr>
        <w:jc w:val="both"/>
        <w:rPr>
          <w:lang w:val="de-DE"/>
        </w:rPr>
      </w:pPr>
      <w:r w:rsidRPr="004676F5">
        <w:rPr>
          <w:lang w:val="de-DE"/>
        </w:rPr>
        <w:tab/>
        <w:t>5. Der Käufer verlangt vom Lieferanten, dass dieser für die Qualitätsminderung oder den Verlust von Agrar</w:t>
      </w:r>
      <w:r w:rsidR="005B7A5C" w:rsidRPr="004676F5">
        <w:rPr>
          <w:lang w:val="de-DE"/>
        </w:rPr>
        <w:t>- </w:t>
      </w:r>
      <w:r w:rsidRPr="004676F5">
        <w:rPr>
          <w:lang w:val="de-DE"/>
        </w:rPr>
        <w:t>und Lebensmittelerzeugnissen oder beides bezahlt, die in den Räumlichkeiten des Käufers auftreten oder nachdem der Besitz auf den Käufer übergegangen ist, wenn die Qualitätsminderung oder der Verlust nicht durch Fahrlässigkeit oder Verschulden des Lieferanten verursacht werden.</w:t>
      </w:r>
    </w:p>
    <w:p w14:paraId="7E65A116" w14:textId="77777777" w:rsidR="00E70517" w:rsidRPr="004676F5" w:rsidRDefault="00E70517" w:rsidP="00E70517">
      <w:pPr>
        <w:jc w:val="both"/>
        <w:rPr>
          <w:lang w:val="de-DE"/>
        </w:rPr>
      </w:pPr>
    </w:p>
    <w:p w14:paraId="1BE1D3FD" w14:textId="77777777" w:rsidR="00E70517" w:rsidRPr="004676F5" w:rsidRDefault="00E70517" w:rsidP="00E70517">
      <w:pPr>
        <w:jc w:val="both"/>
        <w:rPr>
          <w:lang w:val="de-DE"/>
        </w:rPr>
      </w:pPr>
      <w:r w:rsidRPr="004676F5">
        <w:rPr>
          <w:lang w:val="de-DE"/>
        </w:rPr>
        <w:tab/>
        <w:t>6. Der Käufer verweigert die schriftliche Bestätigung der Bedingungen einer Liefervereinbarung zwischen dem Käufer und dem Lieferanten, für die der Lieferant eine schriftliche Bestätigung verlangt hat.</w:t>
      </w:r>
    </w:p>
    <w:p w14:paraId="418E424A" w14:textId="77777777" w:rsidR="00E70517" w:rsidRPr="004676F5" w:rsidRDefault="00E70517" w:rsidP="00E70517">
      <w:pPr>
        <w:jc w:val="both"/>
        <w:rPr>
          <w:lang w:val="de-DE"/>
        </w:rPr>
      </w:pPr>
    </w:p>
    <w:p w14:paraId="0991DF43" w14:textId="77777777" w:rsidR="00E70517" w:rsidRPr="004676F5" w:rsidRDefault="00E70517" w:rsidP="00E70517">
      <w:pPr>
        <w:jc w:val="both"/>
        <w:rPr>
          <w:lang w:val="de-DE"/>
        </w:rPr>
      </w:pPr>
      <w:r w:rsidRPr="004676F5">
        <w:rPr>
          <w:lang w:val="de-DE"/>
        </w:rPr>
        <w:tab/>
        <w:t>Diese Bestimmung gilt nicht, wenn die Liefervereinbarung sich auf Erzeugnisse bezieht, die von einem Mitglied einer Erzeugerorganisation einschließlich einer Genossenschaft an die Erzeugerorganisation, der der Lieferant angehört, geliefert werden sollen, wenn die Satzung dieser Erzeugerorganisation oder die sich aus dieser Satzung ergebenden oder darin vorgesehenen Regeln und Beschlüsse Bestimmungen enthalten, mit denen eine ähnliche Wirkung erzielt wird wie mit den Bedingungen der Liefervereinbarung.</w:t>
      </w:r>
    </w:p>
    <w:p w14:paraId="3C2EC0AB" w14:textId="77777777" w:rsidR="00E70517" w:rsidRPr="004676F5" w:rsidRDefault="00E70517" w:rsidP="00E70517">
      <w:pPr>
        <w:jc w:val="both"/>
        <w:rPr>
          <w:lang w:val="de-DE"/>
        </w:rPr>
      </w:pPr>
    </w:p>
    <w:p w14:paraId="68A223DB" w14:textId="77777777" w:rsidR="00E70517" w:rsidRPr="004676F5" w:rsidRDefault="00E70517" w:rsidP="00E70517">
      <w:pPr>
        <w:jc w:val="both"/>
        <w:rPr>
          <w:lang w:val="de-DE"/>
        </w:rPr>
      </w:pPr>
      <w:r w:rsidRPr="004676F5">
        <w:rPr>
          <w:lang w:val="de-DE"/>
        </w:rPr>
        <w:lastRenderedPageBreak/>
        <w:tab/>
        <w:t>7. Der Käufer erwirbt oder nutzt Geschäftsgeheimnisse des Lieferanten rechtswidrig im Sinne des Gesetzes vom 30. Juli 2018 über den Schutz von Geschäftsgeheimnissen oder legt diese rechtswidrig im Sinne dieses Gesetzes offen.</w:t>
      </w:r>
    </w:p>
    <w:p w14:paraId="2F466A31" w14:textId="77777777" w:rsidR="00E70517" w:rsidRPr="004676F5" w:rsidRDefault="00E70517" w:rsidP="00E70517">
      <w:pPr>
        <w:jc w:val="both"/>
        <w:rPr>
          <w:lang w:val="de-DE"/>
        </w:rPr>
      </w:pPr>
    </w:p>
    <w:p w14:paraId="3B64A747" w14:textId="77777777" w:rsidR="00E70517" w:rsidRPr="004676F5" w:rsidRDefault="00E70517" w:rsidP="00E70517">
      <w:pPr>
        <w:jc w:val="both"/>
        <w:rPr>
          <w:lang w:val="de-DE"/>
        </w:rPr>
      </w:pPr>
      <w:r w:rsidRPr="004676F5">
        <w:rPr>
          <w:lang w:val="de-DE"/>
        </w:rPr>
        <w:tab/>
        <w:t>8. Der Käufer droht dem Lieferanten Vergeltungsmaßnahmen kommerzieller Art an oder ergreift gegen ihn derartige Maßnahmen, wenn der Lieferant seine vertraglichen oder gesetzlichen Rechte geltend macht, auch indem er bei den Durchsetzungsbehörden Beschwerde einreicht oder bei einer Ermittlung mit den Durchsetzungsbehörden zusammenarbeitet.</w:t>
      </w:r>
    </w:p>
    <w:p w14:paraId="1F722197" w14:textId="77777777" w:rsidR="00E70517" w:rsidRPr="004676F5" w:rsidRDefault="00E70517" w:rsidP="00E70517">
      <w:pPr>
        <w:jc w:val="both"/>
        <w:rPr>
          <w:lang w:val="de-DE"/>
        </w:rPr>
      </w:pPr>
    </w:p>
    <w:p w14:paraId="787F6CAD" w14:textId="53D5F1D5" w:rsidR="00E70517" w:rsidRPr="004676F5" w:rsidRDefault="00E70517" w:rsidP="00E70517">
      <w:pPr>
        <w:jc w:val="both"/>
        <w:rPr>
          <w:lang w:val="de-DE"/>
        </w:rPr>
      </w:pPr>
      <w:r w:rsidRPr="004676F5">
        <w:rPr>
          <w:lang w:val="de-DE"/>
        </w:rPr>
        <w:tab/>
        <w:t>9. Der Käufer verlangt vom Lieferanten eine Entschädigung für die Kosten der Bearbeitung von Kundenbeschwerden im Zusammenhang mit dem Verkauf der Erzeugnisse des Lieferanten, obwohl weder fahrlässig noch vorsätzlich ein Verschulden des Lieferanten vorliegt.</w:t>
      </w:r>
      <w:r w:rsidR="000D06E3" w:rsidRPr="004676F5">
        <w:rPr>
          <w:lang w:val="de-DE"/>
        </w:rPr>
        <w:t>]</w:t>
      </w:r>
    </w:p>
    <w:p w14:paraId="34B1BDB0" w14:textId="77777777" w:rsidR="000D06E3" w:rsidRPr="004676F5" w:rsidRDefault="000D06E3" w:rsidP="00E70517">
      <w:pPr>
        <w:jc w:val="both"/>
        <w:rPr>
          <w:lang w:val="de-DE"/>
        </w:rPr>
      </w:pPr>
    </w:p>
    <w:p w14:paraId="306E4A54" w14:textId="3F5B00B0" w:rsidR="000D06E3" w:rsidRPr="004676F5" w:rsidRDefault="000D06E3" w:rsidP="000D06E3">
      <w:pPr>
        <w:jc w:val="both"/>
        <w:rPr>
          <w:i/>
          <w:iCs/>
          <w:lang w:val="de-DE"/>
        </w:rPr>
      </w:pPr>
      <w:r w:rsidRPr="004676F5">
        <w:rPr>
          <w:i/>
          <w:iCs/>
          <w:lang w:val="de-DE"/>
        </w:rPr>
        <w:t>[Art. VI.109/5 eingefügt durch Art. 6</w:t>
      </w:r>
      <w:r w:rsidRPr="004676F5">
        <w:rPr>
          <w:bCs/>
          <w:i/>
          <w:iCs/>
          <w:lang w:val="de-DE"/>
        </w:rPr>
        <w:t xml:space="preserve"> des G. vom 28. November 2021 (II) (B.S. vom 15. Dezember 2021)]</w:t>
      </w:r>
    </w:p>
    <w:p w14:paraId="66473A57" w14:textId="77777777" w:rsidR="000D06E3" w:rsidRPr="004676F5" w:rsidRDefault="000D06E3" w:rsidP="00E70517">
      <w:pPr>
        <w:jc w:val="both"/>
        <w:rPr>
          <w:lang w:val="de-DE"/>
        </w:rPr>
      </w:pPr>
    </w:p>
    <w:p w14:paraId="4B792C59" w14:textId="77777777" w:rsidR="00E70517" w:rsidRPr="004676F5" w:rsidRDefault="00E70517" w:rsidP="00E70517">
      <w:pPr>
        <w:jc w:val="both"/>
        <w:rPr>
          <w:lang w:val="de-DE"/>
        </w:rPr>
      </w:pPr>
    </w:p>
    <w:p w14:paraId="04D478C2" w14:textId="40822955" w:rsidR="00E70517" w:rsidRPr="004676F5" w:rsidRDefault="00E70517" w:rsidP="00E70517">
      <w:pPr>
        <w:jc w:val="both"/>
        <w:rPr>
          <w:lang w:val="de-DE"/>
        </w:rPr>
      </w:pPr>
      <w:r w:rsidRPr="004676F5">
        <w:rPr>
          <w:lang w:val="de-DE"/>
        </w:rPr>
        <w:tab/>
      </w:r>
      <w:r w:rsidR="000D06E3" w:rsidRPr="004676F5">
        <w:rPr>
          <w:lang w:val="de-DE"/>
        </w:rPr>
        <w:t>[</w:t>
      </w:r>
      <w:r w:rsidRPr="004676F5">
        <w:rPr>
          <w:b/>
          <w:bCs/>
          <w:lang w:val="de-DE"/>
        </w:rPr>
        <w:t>Art. VI.109/6</w:t>
      </w:r>
      <w:r w:rsidRPr="004676F5">
        <w:rPr>
          <w:lang w:val="de-DE"/>
        </w:rPr>
        <w:t> </w:t>
      </w:r>
      <w:r w:rsidR="005B7A5C" w:rsidRPr="004676F5">
        <w:rPr>
          <w:lang w:val="de-DE"/>
        </w:rPr>
        <w:t>- </w:t>
      </w:r>
      <w:r w:rsidRPr="004676F5">
        <w:rPr>
          <w:lang w:val="de-DE"/>
        </w:rPr>
        <w:t>Folgende Marktpraktiken gelten als unlauter, es sei denn, sie sind zuvor klar und eindeutig in der Liefervereinbarung oder in einer Folgevereinbarung zwischen dem Lieferanten und dem Käufer vereinbart worden:</w:t>
      </w:r>
    </w:p>
    <w:p w14:paraId="66295196" w14:textId="77777777" w:rsidR="00E70517" w:rsidRPr="004676F5" w:rsidRDefault="00E70517" w:rsidP="00E70517">
      <w:pPr>
        <w:jc w:val="both"/>
        <w:rPr>
          <w:lang w:val="de-DE"/>
        </w:rPr>
      </w:pPr>
    </w:p>
    <w:p w14:paraId="5A2BE0A6" w14:textId="178C2842" w:rsidR="00E70517" w:rsidRPr="004676F5" w:rsidRDefault="00E70517" w:rsidP="00E70517">
      <w:pPr>
        <w:jc w:val="both"/>
        <w:rPr>
          <w:lang w:val="de-DE"/>
        </w:rPr>
      </w:pPr>
      <w:r w:rsidRPr="004676F5">
        <w:rPr>
          <w:lang w:val="de-DE"/>
        </w:rPr>
        <w:tab/>
        <w:t>1. Der Käufer schickt nicht verkaufte Agrar</w:t>
      </w:r>
      <w:r w:rsidR="005B7A5C" w:rsidRPr="004676F5">
        <w:rPr>
          <w:lang w:val="de-DE"/>
        </w:rPr>
        <w:t>- </w:t>
      </w:r>
      <w:r w:rsidRPr="004676F5">
        <w:rPr>
          <w:lang w:val="de-DE"/>
        </w:rPr>
        <w:t>und Lebensmittelerzeugnisse an den Lieferanten zurück, ohne für diese nicht verkauften Erzeugnisse oder für die Beseitigung dieser Erzeugnisse zu bezahlen.</w:t>
      </w:r>
    </w:p>
    <w:p w14:paraId="6056357E" w14:textId="77777777" w:rsidR="00E70517" w:rsidRPr="004676F5" w:rsidRDefault="00E70517" w:rsidP="00E70517">
      <w:pPr>
        <w:jc w:val="both"/>
        <w:rPr>
          <w:lang w:val="de-DE"/>
        </w:rPr>
      </w:pPr>
    </w:p>
    <w:p w14:paraId="664EFFE8" w14:textId="1CF423EF" w:rsidR="00E70517" w:rsidRPr="004676F5" w:rsidRDefault="00E70517" w:rsidP="00E70517">
      <w:pPr>
        <w:jc w:val="both"/>
        <w:rPr>
          <w:lang w:val="de-DE"/>
        </w:rPr>
      </w:pPr>
      <w:r w:rsidRPr="004676F5">
        <w:rPr>
          <w:lang w:val="de-DE"/>
        </w:rPr>
        <w:tab/>
        <w:t>2. Vom Lieferanten wird eine Zahlung dafür verlangt, dass seine Agrar</w:t>
      </w:r>
      <w:r w:rsidR="005B7A5C" w:rsidRPr="004676F5">
        <w:rPr>
          <w:lang w:val="de-DE"/>
        </w:rPr>
        <w:t>- </w:t>
      </w:r>
      <w:r w:rsidRPr="004676F5">
        <w:rPr>
          <w:lang w:val="de-DE"/>
        </w:rPr>
        <w:t>und Lebensmittelerzeugnisse gelagert, zum Verkauf angeboten, gelistet oder auf dem Markt bereitgestellt werden.</w:t>
      </w:r>
    </w:p>
    <w:p w14:paraId="7FBC5F03" w14:textId="77777777" w:rsidR="00E70517" w:rsidRPr="004676F5" w:rsidRDefault="00E70517" w:rsidP="00E70517">
      <w:pPr>
        <w:jc w:val="both"/>
        <w:rPr>
          <w:lang w:val="de-DE"/>
        </w:rPr>
      </w:pPr>
    </w:p>
    <w:p w14:paraId="78960054" w14:textId="47973678" w:rsidR="00E70517" w:rsidRPr="004676F5" w:rsidRDefault="00E70517" w:rsidP="00E70517">
      <w:pPr>
        <w:jc w:val="both"/>
        <w:rPr>
          <w:lang w:val="de-DE"/>
        </w:rPr>
      </w:pPr>
      <w:r w:rsidRPr="004676F5">
        <w:rPr>
          <w:lang w:val="de-DE"/>
        </w:rPr>
        <w:tab/>
        <w:t>3. Der Käufer verlangt vom Lieferanten, dass dieser die gesamten Kosten oder einen Teil davon für Preisnachlässe bei Agrar</w:t>
      </w:r>
      <w:r w:rsidR="005B7A5C" w:rsidRPr="004676F5">
        <w:rPr>
          <w:lang w:val="de-DE"/>
        </w:rPr>
        <w:t>- </w:t>
      </w:r>
      <w:r w:rsidRPr="004676F5">
        <w:rPr>
          <w:lang w:val="de-DE"/>
        </w:rPr>
        <w:t>und Lebensmittelerzeugnissen, die der Käufer im Rahmen einer Verkaufsaktion verkauft, trägt.</w:t>
      </w:r>
    </w:p>
    <w:p w14:paraId="2D979BAA" w14:textId="77777777" w:rsidR="00E70517" w:rsidRPr="004676F5" w:rsidRDefault="00E70517" w:rsidP="00E70517">
      <w:pPr>
        <w:jc w:val="both"/>
        <w:rPr>
          <w:lang w:val="de-DE"/>
        </w:rPr>
      </w:pPr>
    </w:p>
    <w:p w14:paraId="2C3B9A0E" w14:textId="2CD96BBD" w:rsidR="00E70517" w:rsidRPr="004676F5" w:rsidRDefault="00E70517" w:rsidP="00E70517">
      <w:pPr>
        <w:jc w:val="both"/>
        <w:rPr>
          <w:lang w:val="de-DE"/>
        </w:rPr>
      </w:pPr>
      <w:r w:rsidRPr="004676F5">
        <w:rPr>
          <w:lang w:val="de-DE"/>
        </w:rPr>
        <w:tab/>
        <w:t>Eine solche Praxis wird jedoch nicht als unlauter angesehen, wenn der Käufer eine Verkaufsaktion veranlasst, vor deren Beginn der Käufer mitteilt, in welchem Zeitraum die Aktion laufen wird und welche Menge an Agrar</w:t>
      </w:r>
      <w:r w:rsidR="005B7A5C" w:rsidRPr="004676F5">
        <w:rPr>
          <w:lang w:val="de-DE"/>
        </w:rPr>
        <w:t>- </w:t>
      </w:r>
      <w:r w:rsidRPr="004676F5">
        <w:rPr>
          <w:lang w:val="de-DE"/>
        </w:rPr>
        <w:t>und Lebensmittelerzeugnissen voraussichtlich zu dem niedrigeren Preis bestellt wird.</w:t>
      </w:r>
    </w:p>
    <w:p w14:paraId="0591E800" w14:textId="77777777" w:rsidR="00E70517" w:rsidRPr="004676F5" w:rsidRDefault="00E70517" w:rsidP="00E70517">
      <w:pPr>
        <w:jc w:val="both"/>
        <w:rPr>
          <w:lang w:val="de-DE"/>
        </w:rPr>
      </w:pPr>
    </w:p>
    <w:p w14:paraId="497E0478" w14:textId="77777777" w:rsidR="00E70517" w:rsidRPr="004676F5" w:rsidRDefault="00E70517" w:rsidP="00E70517">
      <w:pPr>
        <w:jc w:val="both"/>
        <w:rPr>
          <w:lang w:val="de-DE"/>
        </w:rPr>
      </w:pPr>
      <w:r w:rsidRPr="004676F5">
        <w:rPr>
          <w:lang w:val="de-DE"/>
        </w:rPr>
        <w:tab/>
        <w:t>Der Käufer legt vor jeder Verkaufsaktion eine Schätzung des vom Lieferanten zu zahlenden Betrags und/oder die Grundlage für diese Schätzung in schriftlicher Form vor.</w:t>
      </w:r>
    </w:p>
    <w:p w14:paraId="027E397A" w14:textId="77777777" w:rsidR="00E70517" w:rsidRPr="004676F5" w:rsidRDefault="00E70517" w:rsidP="00E70517">
      <w:pPr>
        <w:jc w:val="both"/>
        <w:rPr>
          <w:lang w:val="de-DE"/>
        </w:rPr>
      </w:pPr>
    </w:p>
    <w:p w14:paraId="3F6FB48B" w14:textId="77777777" w:rsidR="00E70517" w:rsidRPr="004676F5" w:rsidRDefault="00E70517" w:rsidP="00E70517">
      <w:pPr>
        <w:jc w:val="both"/>
        <w:rPr>
          <w:lang w:val="de-DE"/>
        </w:rPr>
      </w:pPr>
      <w:r w:rsidRPr="004676F5">
        <w:rPr>
          <w:lang w:val="de-DE"/>
        </w:rPr>
        <w:tab/>
        <w:t>Der Lieferant stimmt diesen Kosten ausdrücklich zu. Andernfalls ist er nicht verpflichtet, sie zu tragen.</w:t>
      </w:r>
    </w:p>
    <w:p w14:paraId="3B6E0D51" w14:textId="77777777" w:rsidR="00E70517" w:rsidRPr="004676F5" w:rsidRDefault="00E70517" w:rsidP="00E70517">
      <w:pPr>
        <w:jc w:val="both"/>
        <w:rPr>
          <w:lang w:val="de-DE"/>
        </w:rPr>
      </w:pPr>
    </w:p>
    <w:p w14:paraId="0801BE96" w14:textId="215D2CB2" w:rsidR="00E70517" w:rsidRPr="004676F5" w:rsidRDefault="00E70517" w:rsidP="00E70517">
      <w:pPr>
        <w:jc w:val="both"/>
        <w:rPr>
          <w:lang w:val="de-DE"/>
        </w:rPr>
      </w:pPr>
      <w:r w:rsidRPr="004676F5">
        <w:rPr>
          <w:lang w:val="de-DE"/>
        </w:rPr>
        <w:tab/>
        <w:t>4. Der Käufer verlangt vom Lieferanten, dass dieser für die Werbung für Agrar</w:t>
      </w:r>
      <w:r w:rsidR="005B7A5C" w:rsidRPr="004676F5">
        <w:rPr>
          <w:lang w:val="de-DE"/>
        </w:rPr>
        <w:t>- </w:t>
      </w:r>
      <w:r w:rsidRPr="004676F5">
        <w:rPr>
          <w:lang w:val="de-DE"/>
        </w:rPr>
        <w:t>und Lebensmittelerzeugnisse durch den Käufer zahlt.</w:t>
      </w:r>
    </w:p>
    <w:p w14:paraId="45F93205" w14:textId="77777777" w:rsidR="00E70517" w:rsidRPr="004676F5" w:rsidRDefault="00E70517" w:rsidP="00E70517">
      <w:pPr>
        <w:jc w:val="both"/>
        <w:rPr>
          <w:lang w:val="de-DE"/>
        </w:rPr>
      </w:pPr>
    </w:p>
    <w:p w14:paraId="0400C622" w14:textId="24DE2DBA" w:rsidR="00E70517" w:rsidRPr="004676F5" w:rsidRDefault="00E70517" w:rsidP="00E70517">
      <w:pPr>
        <w:jc w:val="both"/>
        <w:rPr>
          <w:lang w:val="de-DE"/>
        </w:rPr>
      </w:pPr>
      <w:r w:rsidRPr="004676F5">
        <w:rPr>
          <w:lang w:val="de-DE"/>
        </w:rPr>
        <w:tab/>
        <w:t>5. Der Käufer verlangt vom Lieferanten, dass dieser für die Vermarktung von Agrar</w:t>
      </w:r>
      <w:r w:rsidR="005B7A5C" w:rsidRPr="004676F5">
        <w:rPr>
          <w:lang w:val="de-DE"/>
        </w:rPr>
        <w:t>- </w:t>
      </w:r>
      <w:r w:rsidRPr="004676F5">
        <w:rPr>
          <w:lang w:val="de-DE"/>
        </w:rPr>
        <w:t>und Lebensmittelerzeugnissen durch den Käufer zahlt.</w:t>
      </w:r>
    </w:p>
    <w:p w14:paraId="2CBDB170" w14:textId="77777777" w:rsidR="00E70517" w:rsidRPr="004676F5" w:rsidRDefault="00E70517" w:rsidP="00E70517">
      <w:pPr>
        <w:jc w:val="both"/>
        <w:rPr>
          <w:lang w:val="de-DE"/>
        </w:rPr>
      </w:pPr>
    </w:p>
    <w:p w14:paraId="044CDA2D" w14:textId="77777777" w:rsidR="00E70517" w:rsidRPr="004676F5" w:rsidRDefault="00E70517" w:rsidP="00E70517">
      <w:pPr>
        <w:jc w:val="both"/>
        <w:rPr>
          <w:lang w:val="de-DE"/>
        </w:rPr>
      </w:pPr>
      <w:r w:rsidRPr="004676F5">
        <w:rPr>
          <w:lang w:val="de-DE"/>
        </w:rPr>
        <w:lastRenderedPageBreak/>
        <w:tab/>
        <w:t>6. Der Käufer verlangt vom Lieferanten eine Zahlung für das Personal für die Einrichtung der Räumlichkeiten, in denen die Erzeugnisse des Lieferanten verkauft werden.</w:t>
      </w:r>
    </w:p>
    <w:p w14:paraId="135AA493" w14:textId="77777777" w:rsidR="00E70517" w:rsidRPr="004676F5" w:rsidRDefault="00E70517" w:rsidP="00E70517">
      <w:pPr>
        <w:jc w:val="both"/>
        <w:rPr>
          <w:lang w:val="de-DE"/>
        </w:rPr>
      </w:pPr>
    </w:p>
    <w:p w14:paraId="17686609" w14:textId="2D8899B7" w:rsidR="00E70517" w:rsidRPr="004676F5" w:rsidRDefault="00E70517" w:rsidP="00E70517">
      <w:pPr>
        <w:jc w:val="both"/>
        <w:rPr>
          <w:lang w:val="de-DE"/>
        </w:rPr>
      </w:pPr>
      <w:r w:rsidRPr="004676F5">
        <w:rPr>
          <w:lang w:val="de-DE"/>
        </w:rPr>
        <w:tab/>
        <w:t xml:space="preserve">Verlangt der Käufer in den in Absatz 1 Nr. 2, 3, 4, 5 und 6 erwähnten Fällen eine Zahlung, so legt der Käufer dem Lieferanten </w:t>
      </w:r>
      <w:r w:rsidR="005B7A5C" w:rsidRPr="004676F5">
        <w:rPr>
          <w:lang w:val="de-DE"/>
        </w:rPr>
        <w:t>- </w:t>
      </w:r>
      <w:r w:rsidRPr="004676F5">
        <w:rPr>
          <w:lang w:val="de-DE"/>
        </w:rPr>
        <w:t>je nach Sachlage </w:t>
      </w:r>
      <w:r w:rsidR="005B7A5C" w:rsidRPr="004676F5">
        <w:rPr>
          <w:lang w:val="de-DE"/>
        </w:rPr>
        <w:t>- </w:t>
      </w:r>
      <w:r w:rsidRPr="004676F5">
        <w:rPr>
          <w:lang w:val="de-DE"/>
        </w:rPr>
        <w:t>eine Schätzung der Zahlungen je Einheit oder der Zahlungen insgesamt und in den in Absatz 1 Nr. 2, 4, 5 und 6 erwähnten Fällen auch eine Kostenschätzung und die Grundlage für diese Schätzung in schriftlicher Form vor.</w:t>
      </w:r>
      <w:r w:rsidR="000D06E3" w:rsidRPr="004676F5">
        <w:rPr>
          <w:lang w:val="de-DE"/>
        </w:rPr>
        <w:t>]</w:t>
      </w:r>
    </w:p>
    <w:p w14:paraId="7435B430" w14:textId="77777777" w:rsidR="000D06E3" w:rsidRPr="004676F5" w:rsidRDefault="000D06E3" w:rsidP="00E70517">
      <w:pPr>
        <w:jc w:val="both"/>
        <w:rPr>
          <w:lang w:val="de-DE"/>
        </w:rPr>
      </w:pPr>
    </w:p>
    <w:p w14:paraId="0C1A728E" w14:textId="359080B4" w:rsidR="000D06E3" w:rsidRPr="004676F5" w:rsidRDefault="000D06E3" w:rsidP="000D06E3">
      <w:pPr>
        <w:jc w:val="both"/>
        <w:rPr>
          <w:i/>
          <w:iCs/>
          <w:lang w:val="de-DE"/>
        </w:rPr>
      </w:pPr>
      <w:r w:rsidRPr="004676F5">
        <w:rPr>
          <w:i/>
          <w:iCs/>
          <w:lang w:val="de-DE"/>
        </w:rPr>
        <w:t>[Art. VI.109/6 eingefügt durch Art. 7</w:t>
      </w:r>
      <w:r w:rsidRPr="004676F5">
        <w:rPr>
          <w:bCs/>
          <w:i/>
          <w:iCs/>
          <w:lang w:val="de-DE"/>
        </w:rPr>
        <w:t xml:space="preserve"> des G. vom 28. November 2021 (II) (B.S. vom 15. Dezember 2021)]</w:t>
      </w:r>
    </w:p>
    <w:p w14:paraId="1FBE728A" w14:textId="77777777" w:rsidR="000D06E3" w:rsidRPr="004676F5" w:rsidRDefault="000D06E3" w:rsidP="00E70517">
      <w:pPr>
        <w:jc w:val="both"/>
        <w:rPr>
          <w:i/>
          <w:iCs/>
          <w:lang w:val="de-DE"/>
        </w:rPr>
      </w:pPr>
    </w:p>
    <w:p w14:paraId="1B1F1773" w14:textId="77777777" w:rsidR="00E70517" w:rsidRPr="004676F5" w:rsidRDefault="00E70517" w:rsidP="00E70517">
      <w:pPr>
        <w:jc w:val="both"/>
        <w:rPr>
          <w:lang w:val="de-DE"/>
        </w:rPr>
      </w:pPr>
    </w:p>
    <w:p w14:paraId="4436F965" w14:textId="57651322" w:rsidR="00E70517" w:rsidRPr="004676F5" w:rsidRDefault="00E70517" w:rsidP="00E70517">
      <w:pPr>
        <w:jc w:val="both"/>
        <w:rPr>
          <w:lang w:val="de-DE"/>
        </w:rPr>
      </w:pPr>
      <w:r w:rsidRPr="004676F5">
        <w:rPr>
          <w:lang w:val="de-DE"/>
        </w:rPr>
        <w:tab/>
      </w:r>
      <w:r w:rsidR="000D06E3" w:rsidRPr="004676F5">
        <w:rPr>
          <w:lang w:val="de-DE"/>
        </w:rPr>
        <w:t>[</w:t>
      </w:r>
      <w:r w:rsidRPr="004676F5">
        <w:rPr>
          <w:b/>
          <w:bCs/>
          <w:lang w:val="de-DE"/>
        </w:rPr>
        <w:t>Art. VI.109/7</w:t>
      </w:r>
      <w:r w:rsidRPr="004676F5">
        <w:rPr>
          <w:lang w:val="de-DE"/>
        </w:rPr>
        <w:t> </w:t>
      </w:r>
      <w:r w:rsidR="005B7A5C" w:rsidRPr="004676F5">
        <w:rPr>
          <w:lang w:val="de-DE"/>
        </w:rPr>
        <w:t>- </w:t>
      </w:r>
      <w:r w:rsidRPr="004676F5">
        <w:rPr>
          <w:lang w:val="de-DE"/>
        </w:rPr>
        <w:t>Zur Gewährleistung von redlichen Geschäftsbeziehungen zwischen den Beteiligten der Agrar</w:t>
      </w:r>
      <w:r w:rsidR="005B7A5C" w:rsidRPr="004676F5">
        <w:rPr>
          <w:lang w:val="de-DE"/>
        </w:rPr>
        <w:t>- </w:t>
      </w:r>
      <w:r w:rsidRPr="004676F5">
        <w:rPr>
          <w:lang w:val="de-DE"/>
        </w:rPr>
        <w:t>und Lebensmittelversorgungskette kann der König durch einen im Ministerrat beratenen Erlass auf gemeinsamen Vorschlag der für Wirtschaft, Mittelstand und Landwirtschaft zuständigen Minister die Artikel VI.109/5 und VI.109/6 abändern oder ergänzen.</w:t>
      </w:r>
    </w:p>
    <w:p w14:paraId="0C0A7BF3" w14:textId="77777777" w:rsidR="00E70517" w:rsidRPr="004676F5" w:rsidRDefault="00E70517" w:rsidP="00E70517">
      <w:pPr>
        <w:jc w:val="both"/>
        <w:rPr>
          <w:lang w:val="de-DE"/>
        </w:rPr>
      </w:pPr>
    </w:p>
    <w:p w14:paraId="0941CE1B" w14:textId="282D43E2" w:rsidR="00E70517" w:rsidRPr="004676F5" w:rsidRDefault="00E70517" w:rsidP="00E70517">
      <w:pPr>
        <w:jc w:val="both"/>
        <w:rPr>
          <w:lang w:val="de-DE"/>
        </w:rPr>
      </w:pPr>
      <w:r w:rsidRPr="004676F5">
        <w:rPr>
          <w:lang w:val="de-DE"/>
        </w:rPr>
        <w:tab/>
        <w:t>Bevor der Minister einen Erlass in Ausführung von Absatz 1 vorschlägt, konsultiert er den Hohen Rat für Selbständige und KMB und den Zentralen Wirtschaftsrat; er bestimmt dabei eine für die Abgabe der Stellungnahme angemessene Frist. Nach Ablauf dieser Frist ist die Stellungnahme nicht mehr erforderlich.</w:t>
      </w:r>
      <w:r w:rsidR="000D06E3" w:rsidRPr="004676F5">
        <w:rPr>
          <w:lang w:val="de-DE"/>
        </w:rPr>
        <w:t>]</w:t>
      </w:r>
    </w:p>
    <w:p w14:paraId="5ABC0318" w14:textId="77777777" w:rsidR="000D06E3" w:rsidRPr="004676F5" w:rsidRDefault="000D06E3" w:rsidP="00E70517">
      <w:pPr>
        <w:jc w:val="both"/>
        <w:rPr>
          <w:lang w:val="de-DE"/>
        </w:rPr>
      </w:pPr>
    </w:p>
    <w:p w14:paraId="2E874E86" w14:textId="7C786D1E" w:rsidR="000D06E3" w:rsidRPr="004676F5" w:rsidRDefault="000D06E3" w:rsidP="000D06E3">
      <w:pPr>
        <w:jc w:val="both"/>
        <w:rPr>
          <w:i/>
          <w:iCs/>
          <w:lang w:val="de-DE"/>
        </w:rPr>
      </w:pPr>
      <w:r w:rsidRPr="004676F5">
        <w:rPr>
          <w:i/>
          <w:iCs/>
          <w:lang w:val="de-DE"/>
        </w:rPr>
        <w:t>[Art. VI.109/7 eingefügt durch Art. 8</w:t>
      </w:r>
      <w:r w:rsidRPr="004676F5">
        <w:rPr>
          <w:bCs/>
          <w:i/>
          <w:iCs/>
          <w:lang w:val="de-DE"/>
        </w:rPr>
        <w:t xml:space="preserve"> des G. vom 28. November 2021 (II) (B.S. vom 15. Dezember 2021)]</w:t>
      </w:r>
    </w:p>
    <w:p w14:paraId="2E7D4F57" w14:textId="77777777" w:rsidR="000D06E3" w:rsidRPr="004676F5" w:rsidRDefault="000D06E3" w:rsidP="00E70517">
      <w:pPr>
        <w:jc w:val="both"/>
        <w:rPr>
          <w:lang w:val="de-DE"/>
        </w:rPr>
      </w:pPr>
    </w:p>
    <w:p w14:paraId="3C8C9775" w14:textId="77777777" w:rsidR="00E70517" w:rsidRPr="004676F5" w:rsidRDefault="00E70517" w:rsidP="00E70517">
      <w:pPr>
        <w:rPr>
          <w:lang w:val="de-DE"/>
        </w:rPr>
      </w:pPr>
    </w:p>
    <w:p w14:paraId="0508B3D1" w14:textId="03B18C72" w:rsidR="00E70517" w:rsidRPr="004676F5" w:rsidRDefault="00E70517" w:rsidP="00E70517">
      <w:pPr>
        <w:jc w:val="both"/>
        <w:rPr>
          <w:lang w:val="de-DE"/>
        </w:rPr>
      </w:pPr>
      <w:r w:rsidRPr="004676F5">
        <w:rPr>
          <w:lang w:val="de-DE"/>
        </w:rPr>
        <w:tab/>
      </w:r>
      <w:r w:rsidR="000D06E3" w:rsidRPr="004676F5">
        <w:rPr>
          <w:lang w:val="de-DE"/>
        </w:rPr>
        <w:t>[</w:t>
      </w:r>
      <w:r w:rsidRPr="004676F5">
        <w:rPr>
          <w:b/>
          <w:bCs/>
          <w:lang w:val="de-DE"/>
        </w:rPr>
        <w:t>Art. VI.109/8</w:t>
      </w:r>
      <w:r w:rsidRPr="004676F5">
        <w:rPr>
          <w:lang w:val="de-DE"/>
        </w:rPr>
        <w:t> </w:t>
      </w:r>
      <w:r w:rsidR="005B7A5C" w:rsidRPr="004676F5">
        <w:rPr>
          <w:lang w:val="de-DE"/>
        </w:rPr>
        <w:t>- </w:t>
      </w:r>
      <w:r w:rsidRPr="004676F5">
        <w:rPr>
          <w:lang w:val="de-DE"/>
        </w:rPr>
        <w:t>Unlautere Marktpraktiken zwischen einem Käufer und einem Lieferanten sind verboten.</w:t>
      </w:r>
    </w:p>
    <w:p w14:paraId="39E70D87" w14:textId="77777777" w:rsidR="00E70517" w:rsidRPr="004676F5" w:rsidRDefault="00E70517" w:rsidP="00E70517">
      <w:pPr>
        <w:jc w:val="both"/>
        <w:rPr>
          <w:lang w:val="de-DE"/>
        </w:rPr>
      </w:pPr>
    </w:p>
    <w:p w14:paraId="6FFEBB26" w14:textId="7C48E43A" w:rsidR="00E70517" w:rsidRPr="004676F5" w:rsidRDefault="00E70517" w:rsidP="00E70517">
      <w:pPr>
        <w:jc w:val="both"/>
        <w:rPr>
          <w:lang w:val="de-DE"/>
        </w:rPr>
      </w:pPr>
      <w:r w:rsidRPr="004676F5">
        <w:rPr>
          <w:lang w:val="de-DE"/>
        </w:rPr>
        <w:tab/>
        <w:t>Vertragsklauseln, die unlautere Marktpraktiken zwischen einem Käufer und einem Lieferanten zum Gegenstand haben, sind verboten und nichtig. Der Vertrag bleibt für die Parteien bindend, wenn er ohne die verbotene Klausel bestehen kann.</w:t>
      </w:r>
      <w:r w:rsidR="000D06E3" w:rsidRPr="004676F5">
        <w:rPr>
          <w:lang w:val="de-DE"/>
        </w:rPr>
        <w:t>]</w:t>
      </w:r>
    </w:p>
    <w:p w14:paraId="293E3DAA" w14:textId="77777777" w:rsidR="000D06E3" w:rsidRPr="004676F5" w:rsidRDefault="000D06E3" w:rsidP="00E70517">
      <w:pPr>
        <w:jc w:val="both"/>
        <w:rPr>
          <w:lang w:val="de-DE"/>
        </w:rPr>
      </w:pPr>
    </w:p>
    <w:p w14:paraId="0D7E75C6" w14:textId="12CA7F08" w:rsidR="000D06E3" w:rsidRPr="004676F5" w:rsidRDefault="000D06E3" w:rsidP="000D06E3">
      <w:pPr>
        <w:jc w:val="both"/>
        <w:rPr>
          <w:i/>
          <w:iCs/>
          <w:lang w:val="de-DE"/>
        </w:rPr>
      </w:pPr>
      <w:r w:rsidRPr="004676F5">
        <w:rPr>
          <w:i/>
          <w:iCs/>
          <w:lang w:val="de-DE"/>
        </w:rPr>
        <w:t>[Art. VI.109/8 eingefügt durch Art. 9</w:t>
      </w:r>
      <w:r w:rsidRPr="004676F5">
        <w:rPr>
          <w:bCs/>
          <w:i/>
          <w:iCs/>
          <w:lang w:val="de-DE"/>
        </w:rPr>
        <w:t xml:space="preserve"> des G. vom 28. November 2021 (II) (B.S. vom 15. Dezember 2021)]</w:t>
      </w:r>
    </w:p>
    <w:p w14:paraId="59084829" w14:textId="7E1FFF82" w:rsidR="008A3633" w:rsidRPr="004676F5" w:rsidRDefault="008A3633" w:rsidP="00E70517">
      <w:pPr>
        <w:jc w:val="both"/>
        <w:rPr>
          <w:lang w:val="de-DE"/>
        </w:rPr>
      </w:pPr>
    </w:p>
    <w:p w14:paraId="03122F00" w14:textId="77777777" w:rsidR="000D06E3" w:rsidRPr="004676F5" w:rsidRDefault="000D06E3">
      <w:pPr>
        <w:rPr>
          <w:lang w:val="de-DE"/>
        </w:rPr>
      </w:pPr>
      <w:r w:rsidRPr="004676F5">
        <w:rPr>
          <w:lang w:val="de-DE"/>
        </w:rPr>
        <w:br w:type="page"/>
      </w:r>
    </w:p>
    <w:p w14:paraId="2DC53439" w14:textId="4D17EBA8" w:rsidR="00626208" w:rsidRPr="004676F5" w:rsidRDefault="00626208" w:rsidP="00626208">
      <w:pPr>
        <w:jc w:val="center"/>
        <w:rPr>
          <w:lang w:val="de-DE"/>
        </w:rPr>
      </w:pPr>
      <w:r w:rsidRPr="004676F5">
        <w:rPr>
          <w:lang w:val="de-DE"/>
        </w:rPr>
        <w:lastRenderedPageBreak/>
        <w:t>KAPITEL 3 </w:t>
      </w:r>
      <w:r w:rsidR="005B7A5C" w:rsidRPr="004676F5">
        <w:rPr>
          <w:lang w:val="de-DE"/>
        </w:rPr>
        <w:t>- </w:t>
      </w:r>
      <w:r w:rsidRPr="004676F5">
        <w:rPr>
          <w:i/>
          <w:lang w:val="de-DE"/>
        </w:rPr>
        <w:t>Unerwünschte Mitteilungen</w:t>
      </w:r>
    </w:p>
    <w:p w14:paraId="017134B2" w14:textId="77777777" w:rsidR="00626208" w:rsidRPr="004676F5" w:rsidRDefault="00626208" w:rsidP="00626208">
      <w:pPr>
        <w:jc w:val="both"/>
        <w:rPr>
          <w:lang w:val="de-DE"/>
        </w:rPr>
      </w:pPr>
    </w:p>
    <w:p w14:paraId="6EFF36CD" w14:textId="77777777" w:rsidR="008A3633" w:rsidRPr="004676F5" w:rsidRDefault="008A3633" w:rsidP="00626208">
      <w:pPr>
        <w:jc w:val="both"/>
        <w:rPr>
          <w:lang w:val="de-DE"/>
        </w:rPr>
      </w:pPr>
    </w:p>
    <w:p w14:paraId="4FE641C5" w14:textId="3CA229B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VI.110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Verwendung von automatischen Anrufsystemen ohne menschlichen Eingriff und Faxgeräten für die Zwecke der Direktwerbung ist ohne vorherige, freie, besondere und informierte Zustimmung des Empfängers der Nachrichten verboten.</w:t>
      </w:r>
    </w:p>
    <w:p w14:paraId="4F760C24" w14:textId="77777777" w:rsidR="00626208" w:rsidRPr="004676F5" w:rsidRDefault="00626208" w:rsidP="00626208">
      <w:pPr>
        <w:jc w:val="both"/>
        <w:rPr>
          <w:lang w:val="de-DE"/>
        </w:rPr>
      </w:pPr>
    </w:p>
    <w:p w14:paraId="7EBC984B" w14:textId="77777777" w:rsidR="00626208" w:rsidRPr="004676F5" w:rsidRDefault="00626208" w:rsidP="00626208">
      <w:pPr>
        <w:jc w:val="both"/>
        <w:rPr>
          <w:lang w:val="de-DE"/>
        </w:rPr>
      </w:pPr>
      <w:r w:rsidRPr="004676F5">
        <w:rPr>
          <w:lang w:val="de-DE"/>
        </w:rPr>
        <w:tab/>
        <w:t>Eine Person, die ihre Zustimmung gegeben hat, kann diese jederzeit ohne Angabe von Gründen und ohne dass ihr dafür Kosten auferlegt werden könnten zurückziehen.</w:t>
      </w:r>
    </w:p>
    <w:p w14:paraId="242B5F92" w14:textId="77777777" w:rsidR="00626208" w:rsidRPr="004676F5" w:rsidRDefault="00626208" w:rsidP="00626208">
      <w:pPr>
        <w:jc w:val="both"/>
        <w:rPr>
          <w:lang w:val="de-DE"/>
        </w:rPr>
      </w:pPr>
    </w:p>
    <w:p w14:paraId="2EFE344A" w14:textId="77777777" w:rsidR="00626208" w:rsidRPr="004676F5" w:rsidRDefault="00626208" w:rsidP="00626208">
      <w:pPr>
        <w:jc w:val="both"/>
        <w:rPr>
          <w:lang w:val="de-DE"/>
        </w:rPr>
      </w:pPr>
      <w:r w:rsidRPr="004676F5">
        <w:rPr>
          <w:lang w:val="de-DE"/>
        </w:rPr>
        <w:tab/>
        <w:t>Die Beweislast, dass die Nachricht, die über ein in vorliegendem Paragraphen erwähntes oder in Anwendung des vorliegenden Paragraphen festgelegtes Kommunikations</w:t>
      </w:r>
      <w:r w:rsidRPr="004676F5">
        <w:rPr>
          <w:lang w:val="de-DE"/>
        </w:rPr>
        <w:softHyphen/>
        <w:t>mittel übermittelt worden ist, erbeten wurde, obliegt dem Versender.</w:t>
      </w:r>
    </w:p>
    <w:p w14:paraId="6928C2F6" w14:textId="77777777" w:rsidR="00626208" w:rsidRPr="004676F5" w:rsidRDefault="00626208" w:rsidP="00626208">
      <w:pPr>
        <w:jc w:val="both"/>
        <w:rPr>
          <w:lang w:val="de-DE"/>
        </w:rPr>
      </w:pPr>
    </w:p>
    <w:p w14:paraId="5BCC4D87" w14:textId="77777777" w:rsidR="00626208" w:rsidRPr="004676F5" w:rsidRDefault="00626208" w:rsidP="00626208">
      <w:pPr>
        <w:jc w:val="both"/>
        <w:rPr>
          <w:lang w:val="de-DE"/>
        </w:rPr>
      </w:pPr>
      <w:r w:rsidRPr="004676F5">
        <w:rPr>
          <w:lang w:val="de-DE"/>
        </w:rPr>
        <w:tab/>
        <w:t>Unter Berücksichtigung der Entwicklung der Kommunikationsmittel kann der König das in Absatz 1 erwähnte Verbot durch einen im Ministerrat beratenen Erlass auf andere Mittel ausweiten.</w:t>
      </w:r>
    </w:p>
    <w:p w14:paraId="47C71F0A" w14:textId="77777777" w:rsidR="00626208" w:rsidRPr="004676F5" w:rsidRDefault="00626208" w:rsidP="00626208">
      <w:pPr>
        <w:jc w:val="both"/>
        <w:rPr>
          <w:lang w:val="de-DE"/>
        </w:rPr>
      </w:pPr>
    </w:p>
    <w:p w14:paraId="3CFEAB29" w14:textId="53BFD183" w:rsidR="00626208" w:rsidRPr="004676F5" w:rsidRDefault="00626208" w:rsidP="00626208">
      <w:pPr>
        <w:jc w:val="both"/>
        <w:rPr>
          <w:lang w:val="de-DE"/>
        </w:rPr>
      </w:pPr>
      <w:r w:rsidRPr="004676F5">
        <w:rPr>
          <w:lang w:val="de-DE"/>
        </w:rPr>
        <w:tab/>
        <w:t>§ 2 </w:t>
      </w:r>
      <w:r w:rsidR="005B7A5C" w:rsidRPr="004676F5">
        <w:rPr>
          <w:lang w:val="de-DE"/>
        </w:rPr>
        <w:t>- </w:t>
      </w:r>
      <w:r w:rsidR="000A67C9" w:rsidRPr="004676F5">
        <w:rPr>
          <w:lang w:val="de-DE"/>
        </w:rPr>
        <w:t>[</w:t>
      </w:r>
      <w:r w:rsidR="001470D9" w:rsidRPr="004676F5">
        <w:rPr>
          <w:lang w:val="de-DE"/>
        </w:rPr>
        <w:t>Andere telefonische Nachrichten für die Zwecke der Direktwerbung sind unter Einhaltung der Artikel VI.111 bis VI.115 nur gestattet, sofern der Teilnehmer oder Nutzer sich nicht offensichtlich widersetzt hat.</w:t>
      </w:r>
      <w:r w:rsidR="000A67C9" w:rsidRPr="004676F5">
        <w:rPr>
          <w:lang w:val="de-DE"/>
        </w:rPr>
        <w:t>]</w:t>
      </w:r>
    </w:p>
    <w:p w14:paraId="10F90649" w14:textId="77777777" w:rsidR="000A67C9" w:rsidRPr="004676F5" w:rsidRDefault="000A67C9" w:rsidP="00626208">
      <w:pPr>
        <w:jc w:val="both"/>
        <w:rPr>
          <w:lang w:val="de-DE"/>
        </w:rPr>
      </w:pPr>
    </w:p>
    <w:p w14:paraId="3C72CF73" w14:textId="6D257C3D" w:rsidR="000A67C9" w:rsidRPr="004676F5" w:rsidRDefault="000A67C9" w:rsidP="000A67C9">
      <w:pPr>
        <w:ind w:firstLine="708"/>
        <w:jc w:val="both"/>
        <w:rPr>
          <w:lang w:val="de-DE"/>
        </w:rPr>
      </w:pPr>
      <w:r w:rsidRPr="004676F5">
        <w:rPr>
          <w:lang w:val="de-DE"/>
        </w:rPr>
        <w:t>[§ 3 </w:t>
      </w:r>
      <w:r w:rsidR="005B7A5C" w:rsidRPr="004676F5">
        <w:rPr>
          <w:lang w:val="de-DE"/>
        </w:rPr>
        <w:t>- </w:t>
      </w:r>
      <w:r w:rsidRPr="004676F5">
        <w:rPr>
          <w:lang w:val="de-DE"/>
        </w:rPr>
        <w:t>Dem Empfänger dürfen infolge der Ausübung seines Widersetzungsrechts keine Kosten auferlegt werden.</w:t>
      </w:r>
    </w:p>
    <w:p w14:paraId="1B8D39B5" w14:textId="77777777" w:rsidR="000A67C9" w:rsidRPr="004676F5" w:rsidRDefault="000A67C9" w:rsidP="000A67C9">
      <w:pPr>
        <w:ind w:firstLine="708"/>
        <w:jc w:val="both"/>
        <w:rPr>
          <w:lang w:val="de-DE"/>
        </w:rPr>
      </w:pPr>
    </w:p>
    <w:p w14:paraId="13EBA0CF" w14:textId="1F278992" w:rsidR="000A67C9" w:rsidRPr="004676F5" w:rsidRDefault="000A67C9" w:rsidP="000A67C9">
      <w:pPr>
        <w:jc w:val="both"/>
        <w:rPr>
          <w:lang w:val="de-DE"/>
        </w:rPr>
      </w:pPr>
      <w:r w:rsidRPr="004676F5">
        <w:rPr>
          <w:lang w:val="de-DE"/>
        </w:rPr>
        <w:tab/>
        <w:t>§ 4 </w:t>
      </w:r>
      <w:r w:rsidR="005B7A5C" w:rsidRPr="004676F5">
        <w:rPr>
          <w:lang w:val="de-DE"/>
        </w:rPr>
        <w:t>- </w:t>
      </w:r>
      <w:r w:rsidRPr="004676F5">
        <w:rPr>
          <w:lang w:val="de-DE"/>
        </w:rPr>
        <w:t>Bei der Versendung von Werbung über ein in § 2 erwähntes Kommunikations</w:t>
      </w:r>
      <w:r w:rsidRPr="004676F5">
        <w:rPr>
          <w:lang w:val="de-DE"/>
        </w:rPr>
        <w:softHyphen/>
        <w:t>mittel ist es verboten, die Identität des Unternehmens, in dessen Auftrag die Mitteilung erfolgt, zu verschleiern.]</w:t>
      </w:r>
    </w:p>
    <w:p w14:paraId="5184E6B0" w14:textId="77777777" w:rsidR="00626208" w:rsidRPr="004676F5" w:rsidRDefault="00626208" w:rsidP="00626208">
      <w:pPr>
        <w:jc w:val="both"/>
        <w:rPr>
          <w:lang w:val="de-DE"/>
        </w:rPr>
      </w:pPr>
    </w:p>
    <w:p w14:paraId="7292BE55" w14:textId="6E270B2E" w:rsidR="000A67C9" w:rsidRPr="004676F5" w:rsidRDefault="000A67C9" w:rsidP="00626208">
      <w:pPr>
        <w:jc w:val="both"/>
        <w:rPr>
          <w:i/>
          <w:lang w:val="de-DE"/>
        </w:rPr>
      </w:pPr>
      <w:r w:rsidRPr="004676F5">
        <w:rPr>
          <w:i/>
          <w:lang w:val="de-DE"/>
        </w:rPr>
        <w:t>[</w:t>
      </w:r>
      <w:r w:rsidR="00BE0A56" w:rsidRPr="004676F5">
        <w:rPr>
          <w:i/>
          <w:lang w:val="de-DE"/>
        </w:rPr>
        <w:t>Art. </w:t>
      </w:r>
      <w:r w:rsidRPr="004676F5">
        <w:rPr>
          <w:i/>
          <w:lang w:val="de-DE"/>
        </w:rPr>
        <w:t xml:space="preserve">VI.110 § 2 ersetzt durch </w:t>
      </w:r>
      <w:r w:rsidR="00BE0A56" w:rsidRPr="004676F5">
        <w:rPr>
          <w:i/>
          <w:lang w:val="de-DE"/>
        </w:rPr>
        <w:t>Art. </w:t>
      </w:r>
      <w:r w:rsidR="001470D9" w:rsidRPr="004676F5">
        <w:rPr>
          <w:i/>
          <w:lang w:val="de-DE"/>
        </w:rPr>
        <w:t>4</w:t>
      </w:r>
      <w:r w:rsidR="001470D9" w:rsidRPr="004676F5">
        <w:rPr>
          <w:i/>
          <w:iCs/>
          <w:lang w:val="de-DE"/>
        </w:rPr>
        <w:t xml:space="preserve"> des G. vom 8. Februar 2024 (B.S. vom 19. Februar 2024)</w:t>
      </w:r>
      <w:r w:rsidRPr="004676F5">
        <w:rPr>
          <w:i/>
          <w:lang w:val="de-DE"/>
        </w:rPr>
        <w:t xml:space="preserve">; §§ 3 und 4 eingefügt durch </w:t>
      </w:r>
      <w:r w:rsidR="00BE0A56" w:rsidRPr="004676F5">
        <w:rPr>
          <w:i/>
          <w:lang w:val="de-DE"/>
        </w:rPr>
        <w:t>Art. </w:t>
      </w:r>
      <w:r w:rsidRPr="004676F5">
        <w:rPr>
          <w:i/>
          <w:lang w:val="de-DE"/>
        </w:rPr>
        <w:t>12 Nr. 2</w:t>
      </w:r>
      <w:r w:rsidRPr="004676F5">
        <w:rPr>
          <w:i/>
          <w:iCs/>
          <w:lang w:val="de-DE"/>
        </w:rPr>
        <w:t xml:space="preserve"> </w:t>
      </w:r>
      <w:r w:rsidRPr="004676F5">
        <w:rPr>
          <w:i/>
          <w:lang w:val="de-DE"/>
        </w:rPr>
        <w:t>des G. vom 26. Oktober 2015 (B.S. vom 30. Oktober 2015)]</w:t>
      </w:r>
    </w:p>
    <w:p w14:paraId="029CBF44" w14:textId="77777777" w:rsidR="000A67C9" w:rsidRPr="004676F5" w:rsidRDefault="000A67C9" w:rsidP="00626208">
      <w:pPr>
        <w:jc w:val="both"/>
        <w:rPr>
          <w:i/>
          <w:lang w:val="de-DE"/>
        </w:rPr>
      </w:pPr>
    </w:p>
    <w:p w14:paraId="526234E5" w14:textId="77777777" w:rsidR="00301C31" w:rsidRPr="004676F5" w:rsidRDefault="00301C31" w:rsidP="00626208">
      <w:pPr>
        <w:jc w:val="both"/>
        <w:rPr>
          <w:lang w:val="de-DE"/>
        </w:rPr>
      </w:pPr>
    </w:p>
    <w:p w14:paraId="1BA4B29E" w14:textId="7D590999" w:rsidR="001470D9" w:rsidRPr="004676F5" w:rsidRDefault="00626208" w:rsidP="001470D9">
      <w:pPr>
        <w:jc w:val="both"/>
        <w:rPr>
          <w:lang w:val="de-DE"/>
        </w:rPr>
      </w:pPr>
      <w:r w:rsidRPr="004676F5">
        <w:rPr>
          <w:lang w:val="de-DE"/>
        </w:rPr>
        <w:tab/>
      </w:r>
      <w:r w:rsidR="00BE0A56" w:rsidRPr="004676F5">
        <w:rPr>
          <w:b/>
          <w:lang w:val="de-DE"/>
        </w:rPr>
        <w:t>Art. </w:t>
      </w:r>
      <w:r w:rsidRPr="004676F5">
        <w:rPr>
          <w:b/>
          <w:lang w:val="de-DE"/>
        </w:rPr>
        <w:t>VI.111</w:t>
      </w:r>
      <w:r w:rsidRPr="004676F5">
        <w:rPr>
          <w:lang w:val="de-DE"/>
        </w:rPr>
        <w:t> </w:t>
      </w:r>
      <w:r w:rsidR="001470D9" w:rsidRPr="004676F5">
        <w:rPr>
          <w:lang w:val="de-DE"/>
        </w:rPr>
        <w:t>-</w:t>
      </w:r>
      <w:r w:rsidR="005B7A5C" w:rsidRPr="004676F5">
        <w:rPr>
          <w:lang w:val="de-DE"/>
        </w:rPr>
        <w:t> </w:t>
      </w:r>
      <w:r w:rsidR="001470D9" w:rsidRPr="004676F5">
        <w:rPr>
          <w:lang w:val="de-DE"/>
        </w:rPr>
        <w:t>[Betreiber informieren ihre Teilnehmer und Nutzer über die Möglichkeit, jederzeit mitzuteilen, dass sie sich der Verwendung der ihnen zugewiesenen Telefonnummer oder Telefonnummern für die Zwecke der Direktwerbung per Telefon widersetzen. Bei Vertragsabschluss weisen Betreiber Teilnehmer und Nutzer ausdrücklich und deutlich auf dieses Recht hin.</w:t>
      </w:r>
    </w:p>
    <w:p w14:paraId="18652002" w14:textId="77777777" w:rsidR="001470D9" w:rsidRPr="004676F5" w:rsidRDefault="001470D9" w:rsidP="001470D9">
      <w:pPr>
        <w:jc w:val="both"/>
        <w:rPr>
          <w:lang w:val="de-DE"/>
        </w:rPr>
      </w:pPr>
    </w:p>
    <w:p w14:paraId="7A89A093" w14:textId="77777777" w:rsidR="001470D9" w:rsidRPr="004676F5" w:rsidRDefault="001470D9" w:rsidP="001470D9">
      <w:pPr>
        <w:jc w:val="both"/>
        <w:rPr>
          <w:lang w:val="de-DE"/>
        </w:rPr>
      </w:pPr>
      <w:r w:rsidRPr="004676F5">
        <w:rPr>
          <w:lang w:val="de-DE"/>
        </w:rPr>
        <w:tab/>
        <w:t>Betreiber geben ebenfalls die Website der zentralen Nummerndatenbank, die in Artikel 106/2 des Gesetzes vom 13. Juni 2005 über die elektronische Kommunikation erwähnt ist, und die Telefonnummer, über die Teilnehmer und Nutzer ihr Widersetzungsrecht wie in Absatz 1 erwähnt ausüben können, an.</w:t>
      </w:r>
    </w:p>
    <w:p w14:paraId="0CE21BEB" w14:textId="77777777" w:rsidR="001470D9" w:rsidRPr="004676F5" w:rsidRDefault="001470D9" w:rsidP="001470D9">
      <w:pPr>
        <w:jc w:val="both"/>
        <w:rPr>
          <w:lang w:val="de-DE"/>
        </w:rPr>
      </w:pPr>
    </w:p>
    <w:p w14:paraId="240CC89E" w14:textId="5955CB3B" w:rsidR="00626208" w:rsidRPr="004676F5" w:rsidRDefault="001470D9" w:rsidP="001470D9">
      <w:pPr>
        <w:jc w:val="both"/>
        <w:rPr>
          <w:lang w:val="de-DE"/>
        </w:rPr>
      </w:pPr>
      <w:r w:rsidRPr="004676F5">
        <w:rPr>
          <w:lang w:val="de-DE"/>
        </w:rPr>
        <w:tab/>
        <w:t>Die in den Absätzen 1 und 2 erwähnten Informationen werden zumindest auf der Website und in den allgemeinen Vertragsbedingungen des Betreibers angegeben. Diese Angaben sind leicht und schnell zugänglich und deutlich sichtbar.]</w:t>
      </w:r>
    </w:p>
    <w:p w14:paraId="283B4EA1" w14:textId="77777777" w:rsidR="001470D9" w:rsidRPr="004676F5" w:rsidRDefault="001470D9" w:rsidP="001470D9">
      <w:pPr>
        <w:jc w:val="both"/>
        <w:rPr>
          <w:lang w:val="de-DE"/>
        </w:rPr>
      </w:pPr>
    </w:p>
    <w:p w14:paraId="0491264A" w14:textId="356853DD" w:rsidR="001470D9" w:rsidRPr="004676F5" w:rsidRDefault="001470D9" w:rsidP="001470D9">
      <w:pPr>
        <w:jc w:val="both"/>
        <w:rPr>
          <w:i/>
          <w:iCs/>
          <w:lang w:val="de-DE"/>
        </w:rPr>
      </w:pPr>
      <w:r w:rsidRPr="004676F5">
        <w:rPr>
          <w:i/>
          <w:iCs/>
          <w:lang w:val="de-DE"/>
        </w:rPr>
        <w:t>[Art. VI.111 ersetzt durch Art. 5 des G. vom 8. Februar 2024 (B.S. vom 19. Februar 2024)]</w:t>
      </w:r>
    </w:p>
    <w:p w14:paraId="197911F1" w14:textId="77777777" w:rsidR="00626208" w:rsidRPr="004676F5" w:rsidRDefault="00626208" w:rsidP="00626208">
      <w:pPr>
        <w:jc w:val="both"/>
        <w:rPr>
          <w:lang w:val="de-DE"/>
        </w:rPr>
      </w:pPr>
    </w:p>
    <w:p w14:paraId="54B21B66" w14:textId="77777777" w:rsidR="00301C31" w:rsidRPr="004676F5" w:rsidRDefault="00301C31" w:rsidP="00626208">
      <w:pPr>
        <w:jc w:val="both"/>
        <w:rPr>
          <w:lang w:val="de-DE"/>
        </w:rPr>
      </w:pPr>
    </w:p>
    <w:p w14:paraId="4FD1F185" w14:textId="2E5FFFE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VI.112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Verboten sind Telefonanrufe für die Zwecke der Direktwerbung bei Telefonnummern, die in </w:t>
      </w:r>
      <w:r w:rsidR="001470D9" w:rsidRPr="004676F5">
        <w:rPr>
          <w:lang w:val="de-DE"/>
        </w:rPr>
        <w:t>[der "Ruf mich nicht an!"-Liste]</w:t>
      </w:r>
      <w:r w:rsidRPr="004676F5">
        <w:rPr>
          <w:lang w:val="de-DE"/>
        </w:rPr>
        <w:t xml:space="preserve"> aufgenommen sind.</w:t>
      </w:r>
    </w:p>
    <w:p w14:paraId="442B5083" w14:textId="77777777" w:rsidR="00626208" w:rsidRPr="004676F5" w:rsidRDefault="00626208" w:rsidP="00626208">
      <w:pPr>
        <w:jc w:val="both"/>
        <w:rPr>
          <w:lang w:val="de-DE"/>
        </w:rPr>
      </w:pPr>
    </w:p>
    <w:p w14:paraId="4CBC7939" w14:textId="50A89D13" w:rsidR="00626208" w:rsidRPr="004676F5" w:rsidRDefault="00626208" w:rsidP="00626208">
      <w:pPr>
        <w:jc w:val="both"/>
        <w:rPr>
          <w:lang w:val="de-DE"/>
        </w:rPr>
      </w:pPr>
      <w:r w:rsidRPr="004676F5">
        <w:rPr>
          <w:lang w:val="de-DE"/>
        </w:rPr>
        <w:tab/>
        <w:t xml:space="preserve">Für jeden Telefonanruf für die Zwecke der Direktwerbung prüft der Anrufer vorab, ob die betreffende Nummer in </w:t>
      </w:r>
      <w:r w:rsidR="001470D9" w:rsidRPr="004676F5">
        <w:rPr>
          <w:lang w:val="de-DE"/>
        </w:rPr>
        <w:t>[der "Ruf mich nicht an!"-Liste]</w:t>
      </w:r>
      <w:r w:rsidRPr="004676F5">
        <w:rPr>
          <w:lang w:val="de-DE"/>
        </w:rPr>
        <w:t xml:space="preserve"> aufgenommen ist.</w:t>
      </w:r>
    </w:p>
    <w:p w14:paraId="75834C0E" w14:textId="77777777" w:rsidR="00626208" w:rsidRPr="004676F5" w:rsidRDefault="00626208" w:rsidP="00626208">
      <w:pPr>
        <w:jc w:val="both"/>
        <w:rPr>
          <w:lang w:val="de-DE"/>
        </w:rPr>
      </w:pPr>
    </w:p>
    <w:p w14:paraId="4909B8CF" w14:textId="0B26E52F"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Das in § 1 erwähnte Verbot gilt nicht für Anrufe bei Telefonnummern von Teilnehmern, die Personen, die Telefonanrufe für die Zwecke der Direktwerbung tätigen oder in deren Namen solche Anrufe getätigt werden, ausdrücklich ihre Zustimmung für die diesbezügliche Verwendung ihrer personenbezogenen Daten gegeben haben.</w:t>
      </w:r>
    </w:p>
    <w:p w14:paraId="1503C3A1" w14:textId="77777777" w:rsidR="00626208" w:rsidRPr="004676F5" w:rsidRDefault="00626208" w:rsidP="00626208">
      <w:pPr>
        <w:jc w:val="both"/>
        <w:rPr>
          <w:lang w:val="de-DE"/>
        </w:rPr>
      </w:pPr>
    </w:p>
    <w:p w14:paraId="1073D42C" w14:textId="1DF18819" w:rsidR="001470D9" w:rsidRPr="004676F5" w:rsidRDefault="001470D9" w:rsidP="00626208">
      <w:pPr>
        <w:jc w:val="both"/>
        <w:rPr>
          <w:i/>
          <w:iCs/>
          <w:lang w:val="de-DE"/>
        </w:rPr>
      </w:pPr>
      <w:r w:rsidRPr="004676F5">
        <w:rPr>
          <w:i/>
          <w:iCs/>
          <w:lang w:val="de-DE"/>
        </w:rPr>
        <w:t>[Art. VI.112 § 1 Abs. 1 abgeändert durch Art. 6 Nr. 1 des G. vom 8. Februar 2024 (B.S. vom 19. Februar 2024); § 1 Abs. 2 abgeändert durch Art. 6 Nr. 2 des G. vom 8. Februar 2024 (B.S. vom 19. Februar 2024)]</w:t>
      </w:r>
    </w:p>
    <w:p w14:paraId="4C74B694" w14:textId="77777777" w:rsidR="00301C31" w:rsidRPr="004676F5" w:rsidRDefault="00301C31" w:rsidP="00626208">
      <w:pPr>
        <w:jc w:val="both"/>
        <w:rPr>
          <w:lang w:val="de-DE"/>
        </w:rPr>
      </w:pPr>
    </w:p>
    <w:p w14:paraId="16915EFE" w14:textId="77777777" w:rsidR="001470D9" w:rsidRPr="004676F5" w:rsidRDefault="001470D9" w:rsidP="00626208">
      <w:pPr>
        <w:jc w:val="both"/>
        <w:rPr>
          <w:lang w:val="de-DE"/>
        </w:rPr>
      </w:pPr>
    </w:p>
    <w:p w14:paraId="348D235C" w14:textId="34C632C1"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VI.113</w:t>
      </w:r>
      <w:r w:rsidRPr="004676F5">
        <w:rPr>
          <w:lang w:val="de-DE"/>
        </w:rPr>
        <w:t> </w:t>
      </w:r>
      <w:r w:rsidR="005B7A5C" w:rsidRPr="004676F5">
        <w:rPr>
          <w:lang w:val="de-DE"/>
        </w:rPr>
        <w:t>- </w:t>
      </w:r>
      <w:r w:rsidRPr="004676F5">
        <w:rPr>
          <w:lang w:val="de-DE"/>
        </w:rPr>
        <w:t>Die Beweislast für die Einhaltung der Bestimmungen des vorliegenden Kapitels obliegt den Betreibern und Personen, die Direktwerbung betreiben oder für deren Rechnung Direktwerbung betrieben wird.</w:t>
      </w:r>
    </w:p>
    <w:p w14:paraId="259240DD" w14:textId="77777777" w:rsidR="00301C31" w:rsidRPr="004676F5" w:rsidRDefault="00301C31" w:rsidP="00626208">
      <w:pPr>
        <w:jc w:val="both"/>
        <w:rPr>
          <w:lang w:val="de-DE"/>
        </w:rPr>
      </w:pPr>
    </w:p>
    <w:p w14:paraId="76CF19DA" w14:textId="77777777" w:rsidR="00301C31" w:rsidRPr="004676F5" w:rsidRDefault="00301C31" w:rsidP="00626208">
      <w:pPr>
        <w:jc w:val="both"/>
        <w:rPr>
          <w:lang w:val="de-DE"/>
        </w:rPr>
      </w:pPr>
    </w:p>
    <w:p w14:paraId="778219DF" w14:textId="6AF9A868" w:rsidR="001D5CB7" w:rsidRPr="004676F5" w:rsidRDefault="00626208" w:rsidP="001D5CB7">
      <w:pPr>
        <w:jc w:val="both"/>
        <w:rPr>
          <w:lang w:val="de-DE"/>
        </w:rPr>
      </w:pPr>
      <w:r w:rsidRPr="004676F5">
        <w:rPr>
          <w:lang w:val="de-DE"/>
        </w:rPr>
        <w:tab/>
      </w:r>
      <w:r w:rsidR="00BE0A56" w:rsidRPr="004676F5">
        <w:rPr>
          <w:b/>
          <w:lang w:val="de-DE"/>
        </w:rPr>
        <w:t>Art. </w:t>
      </w:r>
      <w:r w:rsidRPr="004676F5">
        <w:rPr>
          <w:b/>
          <w:lang w:val="de-DE"/>
        </w:rPr>
        <w:t>VI.114</w:t>
      </w:r>
      <w:r w:rsidRPr="004676F5">
        <w:rPr>
          <w:lang w:val="de-DE"/>
        </w:rPr>
        <w:t> </w:t>
      </w:r>
      <w:r w:rsidR="001D5CB7" w:rsidRPr="004676F5">
        <w:rPr>
          <w:lang w:val="de-DE"/>
        </w:rPr>
        <w:t>-</w:t>
      </w:r>
      <w:r w:rsidR="005B7A5C" w:rsidRPr="004676F5">
        <w:rPr>
          <w:lang w:val="de-DE"/>
        </w:rPr>
        <w:t> </w:t>
      </w:r>
      <w:r w:rsidR="001D5CB7" w:rsidRPr="004676F5">
        <w:rPr>
          <w:lang w:val="de-DE"/>
        </w:rPr>
        <w:t>[§ 1 - Die Zurverfügungstellung der "Ruf mich nicht an!"-Liste an Unternehmen, die telefonisch Direktwerbung betreiben wollen, wird von einer Vereinigung ohne Gewinnerzielungsabsicht organisiert. Diese Vereinigung wird zu diesem Zweck vom König gemäß § 2 zugelassen.</w:t>
      </w:r>
    </w:p>
    <w:p w14:paraId="55277B31" w14:textId="77777777" w:rsidR="001D5CB7" w:rsidRPr="004676F5" w:rsidRDefault="001D5CB7" w:rsidP="001D5CB7">
      <w:pPr>
        <w:jc w:val="both"/>
        <w:rPr>
          <w:lang w:val="de-DE"/>
        </w:rPr>
      </w:pPr>
    </w:p>
    <w:p w14:paraId="66ADF851" w14:textId="0572FB49" w:rsidR="001D5CB7" w:rsidRPr="004676F5" w:rsidRDefault="001D5CB7" w:rsidP="001D5CB7">
      <w:pPr>
        <w:jc w:val="both"/>
        <w:rPr>
          <w:lang w:val="de-DE"/>
        </w:rPr>
      </w:pPr>
      <w:r w:rsidRPr="004676F5">
        <w:rPr>
          <w:lang w:val="de-DE"/>
        </w:rPr>
        <w:tab/>
        <w:t>§ 2</w:t>
      </w:r>
      <w:r w:rsidR="00A84B30" w:rsidRPr="004676F5">
        <w:rPr>
          <w:lang w:val="de-DE"/>
        </w:rPr>
        <w:t xml:space="preserve"> -</w:t>
      </w:r>
      <w:r w:rsidRPr="004676F5">
        <w:rPr>
          <w:lang w:val="de-DE"/>
        </w:rPr>
        <w:softHyphen/>
        <w:t xml:space="preserve"> Der König lässt die in § 1 erwähnte Vereinigung zu. Zu diesem Zweck kann jeweils nur eine Vereinigung zugelassen werden.</w:t>
      </w:r>
    </w:p>
    <w:p w14:paraId="3B1C1C62" w14:textId="77777777" w:rsidR="001D5CB7" w:rsidRPr="004676F5" w:rsidRDefault="001D5CB7" w:rsidP="001D5CB7">
      <w:pPr>
        <w:jc w:val="both"/>
        <w:rPr>
          <w:lang w:val="de-DE"/>
        </w:rPr>
      </w:pPr>
    </w:p>
    <w:p w14:paraId="4079B717" w14:textId="77777777" w:rsidR="001D5CB7" w:rsidRPr="004676F5" w:rsidRDefault="001D5CB7" w:rsidP="001D5CB7">
      <w:pPr>
        <w:jc w:val="both"/>
        <w:rPr>
          <w:lang w:val="de-DE"/>
        </w:rPr>
      </w:pPr>
      <w:r w:rsidRPr="004676F5">
        <w:rPr>
          <w:lang w:val="de-DE"/>
        </w:rPr>
        <w:tab/>
        <w:t>Diese Vereinigung kann nur auf der Grundlage von Zulassungskriterien zugelassen werden, die der König festlegt und die sich insbesondere auf Folgendes beziehen:</w:t>
      </w:r>
    </w:p>
    <w:p w14:paraId="1871BEE1" w14:textId="77777777" w:rsidR="001D5CB7" w:rsidRPr="004676F5" w:rsidRDefault="001D5CB7" w:rsidP="001D5CB7">
      <w:pPr>
        <w:jc w:val="both"/>
        <w:rPr>
          <w:lang w:val="de-DE"/>
        </w:rPr>
      </w:pPr>
    </w:p>
    <w:p w14:paraId="5EB48931" w14:textId="77777777" w:rsidR="001D5CB7" w:rsidRPr="004676F5" w:rsidRDefault="001D5CB7" w:rsidP="001D5CB7">
      <w:pPr>
        <w:jc w:val="both"/>
        <w:rPr>
          <w:lang w:val="de-DE"/>
        </w:rPr>
      </w:pPr>
      <w:r w:rsidRPr="004676F5">
        <w:rPr>
          <w:lang w:val="de-DE"/>
        </w:rPr>
        <w:tab/>
        <w:t>1. Fehlen einer Gewinnerzielungsabsicht bei der Vereinigung,</w:t>
      </w:r>
    </w:p>
    <w:p w14:paraId="4EFFF344" w14:textId="77777777" w:rsidR="001D5CB7" w:rsidRPr="004676F5" w:rsidRDefault="001D5CB7" w:rsidP="001D5CB7">
      <w:pPr>
        <w:jc w:val="both"/>
        <w:rPr>
          <w:lang w:val="de-DE"/>
        </w:rPr>
      </w:pPr>
    </w:p>
    <w:p w14:paraId="4C246912" w14:textId="77777777" w:rsidR="001D5CB7" w:rsidRPr="004676F5" w:rsidRDefault="001D5CB7" w:rsidP="001D5CB7">
      <w:pPr>
        <w:jc w:val="both"/>
        <w:rPr>
          <w:lang w:val="de-DE"/>
        </w:rPr>
      </w:pPr>
      <w:r w:rsidRPr="004676F5">
        <w:rPr>
          <w:lang w:val="de-DE"/>
        </w:rPr>
        <w:tab/>
        <w:t>2. ausschließliche Nutzung der in der "Ruf mich nicht an!"-Liste enthaltenen Daten im Hinblick auf die Wahrung der Rechte des Teilnehmers und des Nutzers gemäß Artikel VI.110 § 2,</w:t>
      </w:r>
    </w:p>
    <w:p w14:paraId="2BDFAA90" w14:textId="77777777" w:rsidR="001D5CB7" w:rsidRPr="004676F5" w:rsidRDefault="001D5CB7" w:rsidP="001D5CB7">
      <w:pPr>
        <w:jc w:val="both"/>
        <w:rPr>
          <w:lang w:val="de-DE"/>
        </w:rPr>
      </w:pPr>
    </w:p>
    <w:p w14:paraId="3E9F13AE" w14:textId="77777777" w:rsidR="001D5CB7" w:rsidRPr="004676F5" w:rsidRDefault="001D5CB7" w:rsidP="001D5CB7">
      <w:pPr>
        <w:jc w:val="both"/>
        <w:rPr>
          <w:lang w:val="de-DE"/>
        </w:rPr>
      </w:pPr>
      <w:r w:rsidRPr="004676F5">
        <w:rPr>
          <w:lang w:val="de-DE"/>
        </w:rPr>
        <w:tab/>
        <w:t>3. Zugriffsbedingungen und -modalitäten hinsichtlich der "Ruf mich nicht an!"-Liste der in § 1 erwähnten Vereinigung für Unternehmen, die telefonisch Direktwerbung betreiben wollen, Identifizierung der Personen, die Zugriff darauf haben werden, eingeschlossen,</w:t>
      </w:r>
    </w:p>
    <w:p w14:paraId="77C2CAFB" w14:textId="77777777" w:rsidR="001D5CB7" w:rsidRPr="004676F5" w:rsidRDefault="001D5CB7" w:rsidP="001D5CB7">
      <w:pPr>
        <w:jc w:val="both"/>
        <w:rPr>
          <w:lang w:val="de-DE"/>
        </w:rPr>
      </w:pPr>
    </w:p>
    <w:p w14:paraId="629FE0C0" w14:textId="06F1F80C" w:rsidR="00626208" w:rsidRPr="004676F5" w:rsidRDefault="001D5CB7" w:rsidP="001D5CB7">
      <w:pPr>
        <w:jc w:val="both"/>
        <w:rPr>
          <w:lang w:val="de-DE"/>
        </w:rPr>
      </w:pPr>
      <w:r w:rsidRPr="004676F5">
        <w:rPr>
          <w:lang w:val="de-DE"/>
        </w:rPr>
        <w:tab/>
        <w:t>4. Transparenz und finanzielle Aspekte im Zusammenhang mit der Einsichtnahme in die Datenbank der in § 1 erwähnten Vereinigung.]</w:t>
      </w:r>
    </w:p>
    <w:p w14:paraId="20221745" w14:textId="77777777" w:rsidR="001D5CB7" w:rsidRPr="004676F5" w:rsidRDefault="001D5CB7" w:rsidP="001D5CB7">
      <w:pPr>
        <w:jc w:val="both"/>
        <w:rPr>
          <w:lang w:val="de-DE"/>
        </w:rPr>
      </w:pPr>
    </w:p>
    <w:p w14:paraId="5969622C" w14:textId="694CE93B" w:rsidR="001D5CB7" w:rsidRPr="004676F5" w:rsidRDefault="001D5CB7" w:rsidP="001D5CB7">
      <w:pPr>
        <w:jc w:val="both"/>
        <w:rPr>
          <w:i/>
          <w:iCs/>
          <w:lang w:val="de-DE"/>
        </w:rPr>
      </w:pPr>
      <w:r w:rsidRPr="004676F5">
        <w:rPr>
          <w:i/>
          <w:iCs/>
          <w:lang w:val="de-DE"/>
        </w:rPr>
        <w:t>[Art. VI.114 ersetzt durch Art. 7 des G. vom 8. Februar 2024 (B.S. vom 19. Februar 2024)]</w:t>
      </w:r>
    </w:p>
    <w:p w14:paraId="0B293765" w14:textId="77777777" w:rsidR="00256F56" w:rsidRDefault="00256F56" w:rsidP="00626208">
      <w:pPr>
        <w:jc w:val="both"/>
        <w:rPr>
          <w:lang w:val="de-DE"/>
        </w:rPr>
      </w:pPr>
    </w:p>
    <w:p w14:paraId="501C0E18" w14:textId="77777777" w:rsidR="00256F56" w:rsidRDefault="00256F56">
      <w:pPr>
        <w:rPr>
          <w:lang w:val="de-DE"/>
        </w:rPr>
      </w:pPr>
      <w:r>
        <w:rPr>
          <w:lang w:val="de-DE"/>
        </w:rPr>
        <w:br w:type="page"/>
      </w:r>
    </w:p>
    <w:p w14:paraId="70533CE2" w14:textId="77777777" w:rsidR="00256F56" w:rsidRDefault="00256F56">
      <w:pPr>
        <w:rPr>
          <w:lang w:val="de-DE"/>
        </w:rPr>
      </w:pPr>
    </w:p>
    <w:p w14:paraId="52641E0B" w14:textId="473ED271" w:rsidR="00301C31"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VI.115</w:t>
      </w:r>
      <w:r w:rsidRPr="004676F5">
        <w:rPr>
          <w:lang w:val="de-DE"/>
        </w:rPr>
        <w:t> </w:t>
      </w:r>
      <w:r w:rsidR="005B7A5C" w:rsidRPr="004676F5">
        <w:rPr>
          <w:lang w:val="de-DE"/>
        </w:rPr>
        <w:t>- </w:t>
      </w:r>
      <w:r w:rsidRPr="004676F5">
        <w:rPr>
          <w:lang w:val="de-DE"/>
        </w:rPr>
        <w:t>Für die Anwendung des vorliegenden Kapitels versteht man unter "Betreiber" und "Teilnehmer" Betreiber und Teilnehmer, so wie sie in Artikel 2 Nr. 11 beziehungsweise 15 des Gesetzes vom 13. Juni 2005 über die elektronische Kommunikation bestimmt sind.</w:t>
      </w:r>
    </w:p>
    <w:p w14:paraId="65E170D9" w14:textId="77777777" w:rsidR="00301C31" w:rsidRPr="004676F5" w:rsidRDefault="00301C31" w:rsidP="00626208">
      <w:pPr>
        <w:jc w:val="both"/>
        <w:rPr>
          <w:lang w:val="de-DE"/>
        </w:rPr>
        <w:sectPr w:rsidR="00301C31" w:rsidRPr="004676F5" w:rsidSect="007854CD">
          <w:pgSz w:w="11906" w:h="16838"/>
          <w:pgMar w:top="1560" w:right="1418" w:bottom="1134" w:left="1418" w:header="709" w:footer="709" w:gutter="0"/>
          <w:cols w:space="708"/>
          <w:docGrid w:linePitch="360"/>
        </w:sectPr>
      </w:pPr>
    </w:p>
    <w:p w14:paraId="14B32168" w14:textId="30B4526A" w:rsidR="00626208" w:rsidRPr="004676F5" w:rsidRDefault="00626208" w:rsidP="00626208">
      <w:pPr>
        <w:jc w:val="center"/>
        <w:rPr>
          <w:lang w:val="de-DE"/>
        </w:rPr>
      </w:pPr>
      <w:r w:rsidRPr="004676F5">
        <w:rPr>
          <w:lang w:val="de-DE"/>
        </w:rPr>
        <w:lastRenderedPageBreak/>
        <w:t>KAPITEL 4 </w:t>
      </w:r>
      <w:r w:rsidR="005B7A5C" w:rsidRPr="004676F5">
        <w:rPr>
          <w:lang w:val="de-DE"/>
        </w:rPr>
        <w:t>- </w:t>
      </w:r>
      <w:r w:rsidRPr="004676F5">
        <w:rPr>
          <w:i/>
          <w:lang w:val="de-DE"/>
        </w:rPr>
        <w:t>Verlustverkäufe</w:t>
      </w:r>
    </w:p>
    <w:p w14:paraId="37154DD3" w14:textId="77777777" w:rsidR="00626208" w:rsidRPr="004676F5" w:rsidRDefault="00626208" w:rsidP="00626208">
      <w:pPr>
        <w:jc w:val="both"/>
        <w:rPr>
          <w:lang w:val="de-DE"/>
        </w:rPr>
      </w:pPr>
    </w:p>
    <w:p w14:paraId="47577696" w14:textId="77777777" w:rsidR="00301C31" w:rsidRPr="004676F5" w:rsidRDefault="00301C31" w:rsidP="00626208">
      <w:pPr>
        <w:jc w:val="both"/>
        <w:rPr>
          <w:lang w:val="de-DE"/>
        </w:rPr>
      </w:pPr>
    </w:p>
    <w:p w14:paraId="016D37A8" w14:textId="2C4E9245"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VI.116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Damit ehrliche Marktpraktiken zwischen Unternehmen gewährleistet werden, ist es Unternehmen verboten, Waren mit Verlust zum Kauf anzubieten oder zu verkaufen.</w:t>
      </w:r>
    </w:p>
    <w:p w14:paraId="55FCCF5E" w14:textId="77777777" w:rsidR="00626208" w:rsidRPr="004676F5" w:rsidRDefault="00626208" w:rsidP="00626208">
      <w:pPr>
        <w:jc w:val="both"/>
        <w:rPr>
          <w:lang w:val="de-DE"/>
        </w:rPr>
      </w:pPr>
    </w:p>
    <w:p w14:paraId="5EAC30D9" w14:textId="32B13251" w:rsidR="00626208" w:rsidRPr="004676F5" w:rsidRDefault="00626208" w:rsidP="00626208">
      <w:pPr>
        <w:jc w:val="both"/>
        <w:rPr>
          <w:lang w:val="de-DE"/>
        </w:rPr>
      </w:pPr>
      <w:r w:rsidRPr="004676F5">
        <w:rPr>
          <w:lang w:val="de-DE"/>
        </w:rPr>
        <w:tab/>
        <w:t>Als Verlustverkauf gilt jeder Verkauf zu einem Preis, der nicht mindestens dem Preis entspricht, zu dem das Unternehmen die Ware gekauft hat oder den das Unternehmen zur Wiederbeschaffung zahlen müsste, nach Abzug eventueller Ermäßigungen, die gewährt und definitiv erhalten wurden, und der nicht definitiv erhaltenen Mengenrabatte, die auf der Grundlage von achtzig Prozent des Mengenrabattes berechnet werden, den das Unternehmen im vorangegangenen Jahr für dieselbe Ware erhalten hatte. Bei der Feststellung des Bestehens eines Verlustverkaufs werden Ermäßigungen, die </w:t>
      </w:r>
      <w:r w:rsidR="005B7A5C" w:rsidRPr="004676F5">
        <w:rPr>
          <w:lang w:val="de-DE"/>
        </w:rPr>
        <w:t>- </w:t>
      </w:r>
      <w:r w:rsidRPr="004676F5">
        <w:rPr>
          <w:lang w:val="de-DE"/>
        </w:rPr>
        <w:t>ausschließlich oder nicht </w:t>
      </w:r>
      <w:r w:rsidR="005B7A5C" w:rsidRPr="004676F5">
        <w:rPr>
          <w:lang w:val="de-DE"/>
        </w:rPr>
        <w:t>- </w:t>
      </w:r>
      <w:r w:rsidRPr="004676F5">
        <w:rPr>
          <w:lang w:val="de-DE"/>
        </w:rPr>
        <w:t>für andere Verpflichtungen als den Kauf von Waren vonseiten des Unternehmens gewährt werden, nicht berücksichtigt.</w:t>
      </w:r>
    </w:p>
    <w:p w14:paraId="0EDAE920" w14:textId="77777777" w:rsidR="00626208" w:rsidRPr="004676F5" w:rsidRDefault="00626208" w:rsidP="00626208">
      <w:pPr>
        <w:jc w:val="both"/>
        <w:rPr>
          <w:lang w:val="de-DE"/>
        </w:rPr>
      </w:pPr>
    </w:p>
    <w:p w14:paraId="7F2E2080" w14:textId="14927B16"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Im Falle eines Kopplungsgeschäfts in Bezug auf mehrere identische oder nicht identische Waren gilt das in § 1 Absatz 1 erwähnte Verbot nur, wenn das Angebot insgesamt einen Verlustverkauf darstellt.</w:t>
      </w:r>
    </w:p>
    <w:p w14:paraId="27A1D154" w14:textId="77777777" w:rsidR="00626208" w:rsidRPr="004676F5" w:rsidRDefault="00626208" w:rsidP="00626208">
      <w:pPr>
        <w:jc w:val="both"/>
        <w:rPr>
          <w:lang w:val="de-DE"/>
        </w:rPr>
      </w:pPr>
    </w:p>
    <w:p w14:paraId="05E83CB1" w14:textId="77777777" w:rsidR="00301C31" w:rsidRPr="004676F5" w:rsidRDefault="00301C31" w:rsidP="00626208">
      <w:pPr>
        <w:jc w:val="both"/>
        <w:rPr>
          <w:lang w:val="de-DE"/>
        </w:rPr>
      </w:pPr>
    </w:p>
    <w:p w14:paraId="396CF61E" w14:textId="214A8AE1"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VI.117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Das in Artikel VI.116 § 1 Absatz 1 vorgesehene Verbot gilt jedoch nicht:</w:t>
      </w:r>
    </w:p>
    <w:p w14:paraId="242AAFFF" w14:textId="77777777" w:rsidR="00626208" w:rsidRPr="004676F5" w:rsidRDefault="00626208" w:rsidP="00626208">
      <w:pPr>
        <w:jc w:val="both"/>
        <w:rPr>
          <w:lang w:val="de-DE"/>
        </w:rPr>
      </w:pPr>
    </w:p>
    <w:p w14:paraId="14AE8DF9" w14:textId="0047C824" w:rsidR="00626208" w:rsidRPr="004676F5" w:rsidRDefault="00626208" w:rsidP="00626208">
      <w:pPr>
        <w:jc w:val="both"/>
        <w:rPr>
          <w:lang w:val="de-DE"/>
        </w:rPr>
      </w:pPr>
      <w:r w:rsidRPr="004676F5">
        <w:rPr>
          <w:lang w:val="de-DE"/>
        </w:rPr>
        <w:tab/>
        <w:t>1. für Waren im Aus</w:t>
      </w:r>
      <w:r w:rsidR="005B7A5C" w:rsidRPr="004676F5">
        <w:rPr>
          <w:lang w:val="de-DE"/>
        </w:rPr>
        <w:t>- </w:t>
      </w:r>
      <w:r w:rsidRPr="004676F5">
        <w:rPr>
          <w:lang w:val="de-DE"/>
        </w:rPr>
        <w:t>oder Schlussverkauf,</w:t>
      </w:r>
    </w:p>
    <w:p w14:paraId="0789561D" w14:textId="77777777" w:rsidR="00626208" w:rsidRPr="004676F5" w:rsidRDefault="00626208" w:rsidP="00626208">
      <w:pPr>
        <w:jc w:val="both"/>
        <w:rPr>
          <w:lang w:val="de-DE"/>
        </w:rPr>
      </w:pPr>
    </w:p>
    <w:p w14:paraId="3AB9430B" w14:textId="77777777" w:rsidR="00626208" w:rsidRPr="004676F5" w:rsidRDefault="00626208" w:rsidP="00626208">
      <w:pPr>
        <w:jc w:val="both"/>
        <w:rPr>
          <w:lang w:val="de-DE"/>
        </w:rPr>
      </w:pPr>
      <w:r w:rsidRPr="004676F5">
        <w:rPr>
          <w:lang w:val="de-DE"/>
        </w:rPr>
        <w:tab/>
        <w:t>2. für Waren, deren Aufbewahrung nicht mehr gewährleistet werden kann,</w:t>
      </w:r>
    </w:p>
    <w:p w14:paraId="704DD2C9" w14:textId="77777777" w:rsidR="00626208" w:rsidRPr="004676F5" w:rsidRDefault="00626208" w:rsidP="00626208">
      <w:pPr>
        <w:jc w:val="both"/>
        <w:rPr>
          <w:lang w:val="de-DE"/>
        </w:rPr>
      </w:pPr>
    </w:p>
    <w:p w14:paraId="749C6865" w14:textId="77777777" w:rsidR="00626208" w:rsidRPr="004676F5" w:rsidRDefault="00626208" w:rsidP="00626208">
      <w:pPr>
        <w:jc w:val="both"/>
        <w:rPr>
          <w:lang w:val="de-DE"/>
        </w:rPr>
      </w:pPr>
      <w:r w:rsidRPr="004676F5">
        <w:rPr>
          <w:lang w:val="de-DE"/>
        </w:rPr>
        <w:tab/>
        <w:t>3. für Waren, die das Unternehmen infolge äußerer Umstände vernünftigerweise nicht mehr zum gleichen Preis oder zu einem höheren Preis im Vergleich zum Ankaufspreis verkaufen kann,</w:t>
      </w:r>
    </w:p>
    <w:p w14:paraId="2F5DE2CE" w14:textId="77777777" w:rsidR="00626208" w:rsidRPr="004676F5" w:rsidRDefault="00626208" w:rsidP="00626208">
      <w:pPr>
        <w:jc w:val="both"/>
        <w:rPr>
          <w:lang w:val="de-DE"/>
        </w:rPr>
      </w:pPr>
    </w:p>
    <w:p w14:paraId="3FD2B2E8" w14:textId="77777777" w:rsidR="00626208" w:rsidRPr="004676F5" w:rsidRDefault="00626208" w:rsidP="00626208">
      <w:pPr>
        <w:jc w:val="both"/>
        <w:rPr>
          <w:lang w:val="de-DE"/>
        </w:rPr>
      </w:pPr>
      <w:r w:rsidRPr="004676F5">
        <w:rPr>
          <w:lang w:val="de-DE"/>
        </w:rPr>
        <w:tab/>
        <w:t>4. für Waren, deren Verkaufspreis aus Wettbewerbszwängen dem von der Konkurrenz für die gleiche Ware oder eine Konkurrenzware verlangten Preis angepasst wird.</w:t>
      </w:r>
    </w:p>
    <w:p w14:paraId="11263F5B" w14:textId="77777777" w:rsidR="00626208" w:rsidRPr="004676F5" w:rsidRDefault="00626208" w:rsidP="00626208">
      <w:pPr>
        <w:jc w:val="both"/>
        <w:rPr>
          <w:lang w:val="de-DE"/>
        </w:rPr>
      </w:pPr>
    </w:p>
    <w:p w14:paraId="03594E12" w14:textId="0CBF367E"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Vertragsklauseln, die Verlustverkäufe an Verbraucher verbieten, können demjenigen gegenüber nicht wirksam gemacht werden, der in den in § 1 erwähnten Fällen eine Ware verkauft.</w:t>
      </w:r>
    </w:p>
    <w:p w14:paraId="1414AB02" w14:textId="77777777" w:rsidR="00626208" w:rsidRPr="004676F5" w:rsidRDefault="00626208" w:rsidP="00626208">
      <w:pPr>
        <w:jc w:val="both"/>
        <w:rPr>
          <w:lang w:val="de-DE"/>
        </w:rPr>
      </w:pPr>
    </w:p>
    <w:p w14:paraId="77F1347B" w14:textId="77777777" w:rsidR="00301C31" w:rsidRPr="004676F5" w:rsidRDefault="00301C31">
      <w:pPr>
        <w:rPr>
          <w:b/>
          <w:lang w:val="de-DE"/>
        </w:rPr>
      </w:pPr>
      <w:r w:rsidRPr="004676F5">
        <w:rPr>
          <w:b/>
          <w:lang w:val="de-DE"/>
        </w:rPr>
        <w:br w:type="page"/>
      </w:r>
    </w:p>
    <w:p w14:paraId="7B773AD5" w14:textId="1A9C07B8" w:rsidR="00626208" w:rsidRPr="004676F5" w:rsidRDefault="00626208" w:rsidP="00626208">
      <w:pPr>
        <w:jc w:val="center"/>
        <w:rPr>
          <w:b/>
          <w:lang w:val="de-DE"/>
        </w:rPr>
      </w:pPr>
      <w:r w:rsidRPr="004676F5">
        <w:rPr>
          <w:b/>
          <w:lang w:val="de-DE"/>
        </w:rPr>
        <w:lastRenderedPageBreak/>
        <w:t>TITEL 5 </w:t>
      </w:r>
      <w:r w:rsidR="005B7A5C" w:rsidRPr="004676F5">
        <w:rPr>
          <w:b/>
          <w:lang w:val="de-DE"/>
        </w:rPr>
        <w:t>- </w:t>
      </w:r>
      <w:r w:rsidRPr="004676F5">
        <w:rPr>
          <w:b/>
          <w:i/>
          <w:lang w:val="de-DE"/>
        </w:rPr>
        <w:t>Kollektive Verbraucherabkommen</w:t>
      </w:r>
    </w:p>
    <w:p w14:paraId="2818E9CD" w14:textId="77777777" w:rsidR="00626208" w:rsidRPr="004676F5" w:rsidRDefault="00626208" w:rsidP="00626208">
      <w:pPr>
        <w:jc w:val="both"/>
        <w:rPr>
          <w:lang w:val="de-DE"/>
        </w:rPr>
      </w:pPr>
    </w:p>
    <w:p w14:paraId="5ECE3104" w14:textId="77777777" w:rsidR="00301C31" w:rsidRPr="004676F5" w:rsidRDefault="00301C31" w:rsidP="00626208">
      <w:pPr>
        <w:jc w:val="both"/>
        <w:rPr>
          <w:lang w:val="de-DE"/>
        </w:rPr>
      </w:pPr>
    </w:p>
    <w:p w14:paraId="273B5499" w14:textId="5F28979F"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VI.118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Kollektive Verbraucherabkommen können Verbrauchern vorge</w:t>
      </w:r>
      <w:r w:rsidRPr="004676F5">
        <w:rPr>
          <w:lang w:val="de-DE"/>
        </w:rPr>
        <w:softHyphen/>
        <w:t>schlagene allgemeine Vertragsbedingungen, ihnen mitgeteilte Informationen, Absatz</w:t>
      </w:r>
      <w:r w:rsidRPr="004676F5">
        <w:rPr>
          <w:lang w:val="de-DE"/>
        </w:rPr>
        <w:softHyphen/>
        <w:t>förderungsweisen, Qualitäts-, Konformitäts</w:t>
      </w:r>
      <w:r w:rsidR="005B7A5C" w:rsidRPr="004676F5">
        <w:rPr>
          <w:lang w:val="de-DE"/>
        </w:rPr>
        <w:t>- </w:t>
      </w:r>
      <w:r w:rsidRPr="004676F5">
        <w:rPr>
          <w:lang w:val="de-DE"/>
        </w:rPr>
        <w:t>und Sicherheitsmerkmale der Waren und Dienstleistungen und Verfahren zur Beilegung von Verbraucherstreitigkeiten betreffen.</w:t>
      </w:r>
    </w:p>
    <w:p w14:paraId="2A294BDF" w14:textId="77777777" w:rsidR="00626208" w:rsidRPr="004676F5" w:rsidRDefault="00626208" w:rsidP="00626208">
      <w:pPr>
        <w:jc w:val="both"/>
        <w:rPr>
          <w:lang w:val="de-DE"/>
        </w:rPr>
      </w:pPr>
    </w:p>
    <w:p w14:paraId="0D507F22" w14:textId="407B6DBF"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In kollektiven Verbraucherabkommen wird ihr Anwendungsbereich, das Datum ihres Inkrafttretens und ihre Dauer festgelegt.</w:t>
      </w:r>
    </w:p>
    <w:p w14:paraId="6429FC03" w14:textId="77777777" w:rsidR="00626208" w:rsidRPr="004676F5" w:rsidRDefault="00626208" w:rsidP="00626208">
      <w:pPr>
        <w:jc w:val="both"/>
        <w:rPr>
          <w:lang w:val="de-DE"/>
        </w:rPr>
      </w:pPr>
    </w:p>
    <w:p w14:paraId="39B5F5ED" w14:textId="77777777" w:rsidR="00626208" w:rsidRPr="004676F5" w:rsidRDefault="00626208" w:rsidP="00626208">
      <w:pPr>
        <w:jc w:val="both"/>
        <w:rPr>
          <w:lang w:val="de-DE"/>
        </w:rPr>
      </w:pPr>
      <w:r w:rsidRPr="004676F5">
        <w:rPr>
          <w:lang w:val="de-DE"/>
        </w:rPr>
        <w:tab/>
        <w:t>Kollektive Verbraucherabkommen finden keine Anwendung auf laufende Verträge vorbehaltlich anders lautender Bestimmungen und sofern sie für die Verbraucher günstiger sind.</w:t>
      </w:r>
    </w:p>
    <w:p w14:paraId="14A86216" w14:textId="77777777" w:rsidR="00626208" w:rsidRPr="004676F5" w:rsidRDefault="00626208" w:rsidP="00626208">
      <w:pPr>
        <w:jc w:val="both"/>
        <w:rPr>
          <w:lang w:val="de-DE"/>
        </w:rPr>
      </w:pPr>
    </w:p>
    <w:p w14:paraId="1AC7A96E" w14:textId="77777777" w:rsidR="00626208" w:rsidRPr="004676F5" w:rsidRDefault="00626208" w:rsidP="00626208">
      <w:pPr>
        <w:jc w:val="both"/>
        <w:rPr>
          <w:lang w:val="de-DE"/>
        </w:rPr>
      </w:pPr>
      <w:r w:rsidRPr="004676F5">
        <w:rPr>
          <w:lang w:val="de-DE"/>
        </w:rPr>
        <w:tab/>
        <w:t>In kollektiven Verbraucherabkommen werden die Modalitäten, gemäß denen Informationen über das Abkommen sowohl den Unternehmen als auch den Verbrauchern mitgeteilt werden, festgelegt.</w:t>
      </w:r>
    </w:p>
    <w:p w14:paraId="78BBA6B7" w14:textId="77777777" w:rsidR="00626208" w:rsidRPr="004676F5" w:rsidRDefault="00626208" w:rsidP="00626208">
      <w:pPr>
        <w:jc w:val="both"/>
        <w:rPr>
          <w:lang w:val="de-DE"/>
        </w:rPr>
      </w:pPr>
    </w:p>
    <w:p w14:paraId="51F7BECE" w14:textId="76BA40AA"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In kollektiven Verbraucherabkommen werden gegebenenfalls Abänderungs</w:t>
      </w:r>
      <w:r w:rsidR="005B7A5C" w:rsidRPr="004676F5">
        <w:rPr>
          <w:lang w:val="de-DE"/>
        </w:rPr>
        <w:t>- </w:t>
      </w:r>
      <w:r w:rsidRPr="004676F5">
        <w:rPr>
          <w:lang w:val="de-DE"/>
        </w:rPr>
        <w:t>und Verlängerungsmodalitäten festgelegt.</w:t>
      </w:r>
    </w:p>
    <w:p w14:paraId="285FB649" w14:textId="77777777" w:rsidR="00626208" w:rsidRPr="004676F5" w:rsidRDefault="00626208" w:rsidP="00626208">
      <w:pPr>
        <w:jc w:val="both"/>
        <w:rPr>
          <w:lang w:val="de-DE"/>
        </w:rPr>
      </w:pPr>
    </w:p>
    <w:p w14:paraId="7AE0D300" w14:textId="77777777" w:rsidR="00626208" w:rsidRPr="004676F5" w:rsidRDefault="00626208" w:rsidP="00626208">
      <w:pPr>
        <w:jc w:val="both"/>
        <w:rPr>
          <w:lang w:val="de-DE"/>
        </w:rPr>
      </w:pPr>
      <w:r w:rsidRPr="004676F5">
        <w:rPr>
          <w:lang w:val="de-DE"/>
        </w:rPr>
        <w:tab/>
        <w:t>Es werden ebenfalls Bedingungen für die Aufkündigung seitens aller oder eines Teils der Unterzeichner oder Beitreter und die Kündigungsfrist, die nicht weniger als sechs Monate betragen darf, festgelegt.</w:t>
      </w:r>
    </w:p>
    <w:p w14:paraId="1E0BA7F4" w14:textId="77777777" w:rsidR="00626208" w:rsidRPr="004676F5" w:rsidRDefault="00626208" w:rsidP="00626208">
      <w:pPr>
        <w:jc w:val="both"/>
        <w:rPr>
          <w:lang w:val="de-DE"/>
        </w:rPr>
      </w:pPr>
    </w:p>
    <w:p w14:paraId="40370658" w14:textId="77777777" w:rsidR="00301C31" w:rsidRPr="004676F5" w:rsidRDefault="00301C31" w:rsidP="00626208">
      <w:pPr>
        <w:jc w:val="both"/>
        <w:rPr>
          <w:lang w:val="de-DE"/>
        </w:rPr>
      </w:pPr>
    </w:p>
    <w:p w14:paraId="19FB3B7B" w14:textId="28671B10"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VI.119</w:t>
      </w:r>
      <w:r w:rsidRPr="004676F5">
        <w:rPr>
          <w:lang w:val="de-DE"/>
        </w:rPr>
        <w:t> </w:t>
      </w:r>
      <w:r w:rsidR="005B7A5C" w:rsidRPr="004676F5">
        <w:rPr>
          <w:lang w:val="de-DE"/>
        </w:rPr>
        <w:t>- </w:t>
      </w:r>
      <w:r w:rsidRPr="004676F5">
        <w:rPr>
          <w:lang w:val="de-DE"/>
        </w:rPr>
        <w:t>Kollektive Verbraucherabkommen werden im Verbraucherrat verhandelt und unterzeichnet.</w:t>
      </w:r>
    </w:p>
    <w:p w14:paraId="5625AB88" w14:textId="77777777" w:rsidR="00626208" w:rsidRPr="004676F5" w:rsidRDefault="00626208" w:rsidP="00626208">
      <w:pPr>
        <w:jc w:val="both"/>
        <w:rPr>
          <w:lang w:val="de-DE"/>
        </w:rPr>
      </w:pPr>
    </w:p>
    <w:p w14:paraId="7E32760A" w14:textId="77777777" w:rsidR="00626208" w:rsidRPr="004676F5" w:rsidRDefault="00626208" w:rsidP="00626208">
      <w:pPr>
        <w:jc w:val="both"/>
        <w:rPr>
          <w:lang w:val="de-DE"/>
        </w:rPr>
      </w:pPr>
      <w:r w:rsidRPr="004676F5">
        <w:rPr>
          <w:lang w:val="de-DE"/>
        </w:rPr>
        <w:tab/>
        <w:t>Der Antrag, ein kollektives Verbraucherabkommen zu verhandeln, wird von einem Mitglied des Verbraucherrates oder einem Regierungsmitglied eingereicht.</w:t>
      </w:r>
    </w:p>
    <w:p w14:paraId="70E76493" w14:textId="77777777" w:rsidR="00626208" w:rsidRPr="004676F5" w:rsidRDefault="00626208" w:rsidP="00626208">
      <w:pPr>
        <w:jc w:val="both"/>
        <w:rPr>
          <w:lang w:val="de-DE"/>
        </w:rPr>
      </w:pPr>
    </w:p>
    <w:p w14:paraId="780A60D9" w14:textId="77777777" w:rsidR="00626208" w:rsidRPr="004676F5" w:rsidRDefault="00626208" w:rsidP="00626208">
      <w:pPr>
        <w:jc w:val="both"/>
        <w:rPr>
          <w:lang w:val="de-DE"/>
        </w:rPr>
      </w:pPr>
      <w:r w:rsidRPr="004676F5">
        <w:rPr>
          <w:lang w:val="de-DE"/>
        </w:rPr>
        <w:tab/>
        <w:t>Wenn der Antrag einen Sektor betrifft, der im Verbraucherrat nicht vertreten ist, werden die Unternehmen dieses Sektors oder ihre Vertreter eingeladen.</w:t>
      </w:r>
    </w:p>
    <w:p w14:paraId="41325201" w14:textId="77777777" w:rsidR="00626208" w:rsidRPr="004676F5" w:rsidRDefault="00626208" w:rsidP="00626208">
      <w:pPr>
        <w:jc w:val="both"/>
        <w:rPr>
          <w:lang w:val="de-DE"/>
        </w:rPr>
      </w:pPr>
    </w:p>
    <w:p w14:paraId="4280BCDE" w14:textId="77777777" w:rsidR="00626208" w:rsidRPr="004676F5" w:rsidRDefault="00626208" w:rsidP="00626208">
      <w:pPr>
        <w:jc w:val="both"/>
        <w:rPr>
          <w:lang w:val="de-DE"/>
        </w:rPr>
      </w:pPr>
      <w:r w:rsidRPr="004676F5">
        <w:rPr>
          <w:lang w:val="de-DE"/>
        </w:rPr>
        <w:tab/>
        <w:t>Das kollektive Verbraucherabkommen darf nicht ohne ihre Billigung geschlossen werden.</w:t>
      </w:r>
    </w:p>
    <w:p w14:paraId="5FDA5595" w14:textId="77777777" w:rsidR="00626208" w:rsidRPr="004676F5" w:rsidRDefault="00626208" w:rsidP="00626208">
      <w:pPr>
        <w:jc w:val="both"/>
        <w:rPr>
          <w:lang w:val="de-DE"/>
        </w:rPr>
      </w:pPr>
    </w:p>
    <w:p w14:paraId="5612132A" w14:textId="77777777" w:rsidR="00626208" w:rsidRPr="004676F5" w:rsidRDefault="00626208" w:rsidP="00626208">
      <w:pPr>
        <w:jc w:val="both"/>
        <w:rPr>
          <w:lang w:val="de-DE"/>
        </w:rPr>
      </w:pPr>
      <w:r w:rsidRPr="004676F5">
        <w:rPr>
          <w:lang w:val="de-DE"/>
        </w:rPr>
        <w:tab/>
        <w:t>Das kollektive Verbraucherabkommen muss Gegenstand einer einstimmigen Stellungnahme des Verbraucherrates sein, sowohl für die Aufnahme der Verhandlungen als auch für den Abschluss eines Abkommens.</w:t>
      </w:r>
    </w:p>
    <w:p w14:paraId="0E760A87" w14:textId="77777777" w:rsidR="00626208" w:rsidRPr="004676F5" w:rsidRDefault="00626208" w:rsidP="00626208">
      <w:pPr>
        <w:jc w:val="both"/>
        <w:rPr>
          <w:lang w:val="de-DE"/>
        </w:rPr>
      </w:pPr>
    </w:p>
    <w:p w14:paraId="617E8F78" w14:textId="77777777" w:rsidR="00626208" w:rsidRPr="004676F5" w:rsidRDefault="00626208" w:rsidP="00626208">
      <w:pPr>
        <w:jc w:val="both"/>
        <w:rPr>
          <w:lang w:val="de-DE"/>
        </w:rPr>
      </w:pPr>
      <w:r w:rsidRPr="004676F5">
        <w:rPr>
          <w:lang w:val="de-DE"/>
        </w:rPr>
        <w:tab/>
        <w:t>Ein Sonderbüro wird beim Sekretariat des Verbraucherrates eingesetzt, um die Sekretariatsgeschäfte der kollektiven Verbraucherabkommen wahrzunehmen und ein Register dieser Abkommen zu führen.</w:t>
      </w:r>
    </w:p>
    <w:p w14:paraId="4F52D1CC" w14:textId="77777777" w:rsidR="00626208" w:rsidRPr="004676F5" w:rsidRDefault="00626208" w:rsidP="00626208">
      <w:pPr>
        <w:jc w:val="both"/>
        <w:rPr>
          <w:lang w:val="de-DE"/>
        </w:rPr>
      </w:pPr>
    </w:p>
    <w:p w14:paraId="37476BD5" w14:textId="77777777" w:rsidR="00626208" w:rsidRPr="004676F5" w:rsidRDefault="00626208" w:rsidP="00626208">
      <w:pPr>
        <w:jc w:val="both"/>
        <w:rPr>
          <w:lang w:val="de-DE"/>
        </w:rPr>
      </w:pPr>
      <w:r w:rsidRPr="004676F5">
        <w:rPr>
          <w:lang w:val="de-DE"/>
        </w:rPr>
        <w:tab/>
        <w:t>In einer Geschäftsordnung werden das zu befolgende Verfahren und das erforderliche Quorum innerhalb jeder Gruppe des Verbraucherrates für die einstimmigen Beschlüsse festgelegt. Diese Geschäftsordnung muss vom König durch einen im Ministerrat beratenen Erlass gebilligt werden.</w:t>
      </w:r>
    </w:p>
    <w:p w14:paraId="4A00935C" w14:textId="77777777" w:rsidR="00626208" w:rsidRPr="004676F5" w:rsidRDefault="00626208" w:rsidP="00626208">
      <w:pPr>
        <w:jc w:val="both"/>
        <w:rPr>
          <w:lang w:val="de-DE"/>
        </w:rPr>
      </w:pPr>
    </w:p>
    <w:p w14:paraId="1322071E" w14:textId="77777777" w:rsidR="00301C31" w:rsidRPr="004676F5" w:rsidRDefault="00301C31" w:rsidP="00626208">
      <w:pPr>
        <w:jc w:val="both"/>
        <w:rPr>
          <w:lang w:val="de-DE"/>
        </w:rPr>
      </w:pPr>
    </w:p>
    <w:p w14:paraId="1B77C372" w14:textId="2DEA657E"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VI.120</w:t>
      </w:r>
      <w:r w:rsidRPr="004676F5">
        <w:rPr>
          <w:lang w:val="de-DE"/>
        </w:rPr>
        <w:t> </w:t>
      </w:r>
      <w:r w:rsidR="005B7A5C" w:rsidRPr="004676F5">
        <w:rPr>
          <w:lang w:val="de-DE"/>
        </w:rPr>
        <w:t>- </w:t>
      </w:r>
      <w:r w:rsidRPr="004676F5">
        <w:rPr>
          <w:lang w:val="de-DE"/>
        </w:rPr>
        <w:t>In kollektiven Verbraucherabkommen bestimmte allgemeine Vertragsbedingungen müssen im Voraus dem Ausschuss für widerrechtliche Klauseln zur Stellungnahme vorgelegt werden, der seine Stellungnahme binnen drei Monaten abgibt. Nach Ablauf dieser Frist kann das Abkommen geschlossen werden.</w:t>
      </w:r>
    </w:p>
    <w:p w14:paraId="5C91B312" w14:textId="77777777" w:rsidR="00626208" w:rsidRPr="004676F5" w:rsidRDefault="00626208" w:rsidP="00626208">
      <w:pPr>
        <w:jc w:val="both"/>
        <w:rPr>
          <w:lang w:val="de-DE"/>
        </w:rPr>
      </w:pPr>
    </w:p>
    <w:p w14:paraId="5C8F9E64" w14:textId="77777777" w:rsidR="00301C31" w:rsidRPr="004676F5" w:rsidRDefault="00301C31" w:rsidP="00626208">
      <w:pPr>
        <w:jc w:val="both"/>
        <w:rPr>
          <w:lang w:val="de-DE"/>
        </w:rPr>
      </w:pPr>
    </w:p>
    <w:p w14:paraId="0CBC4EE7" w14:textId="1B86E892"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VI.121</w:t>
      </w:r>
      <w:r w:rsidRPr="004676F5">
        <w:rPr>
          <w:lang w:val="de-DE"/>
        </w:rPr>
        <w:t> </w:t>
      </w:r>
      <w:r w:rsidR="005B7A5C" w:rsidRPr="004676F5">
        <w:rPr>
          <w:lang w:val="de-DE"/>
        </w:rPr>
        <w:t>- </w:t>
      </w:r>
      <w:r w:rsidRPr="004676F5">
        <w:rPr>
          <w:lang w:val="de-DE"/>
        </w:rPr>
        <w:t>Der Minister übermittelt der Regierung die kollektiven Verbraucher</w:t>
      </w:r>
      <w:r w:rsidRPr="004676F5">
        <w:rPr>
          <w:lang w:val="de-DE"/>
        </w:rPr>
        <w:softHyphen/>
        <w:t>abkommen.</w:t>
      </w:r>
    </w:p>
    <w:p w14:paraId="2F2BAEF6" w14:textId="77777777" w:rsidR="00626208" w:rsidRPr="004676F5" w:rsidRDefault="00626208" w:rsidP="00626208">
      <w:pPr>
        <w:jc w:val="both"/>
        <w:rPr>
          <w:lang w:val="de-DE"/>
        </w:rPr>
      </w:pPr>
    </w:p>
    <w:p w14:paraId="39E3F24D" w14:textId="77777777" w:rsidR="00626208" w:rsidRPr="004676F5" w:rsidRDefault="00626208" w:rsidP="00626208">
      <w:pPr>
        <w:jc w:val="both"/>
        <w:rPr>
          <w:lang w:val="de-DE"/>
        </w:rPr>
      </w:pPr>
      <w:r w:rsidRPr="004676F5">
        <w:rPr>
          <w:lang w:val="de-DE"/>
        </w:rPr>
        <w:tab/>
        <w:t xml:space="preserve">Widersetzt sich kein Regierungsmitglied innerhalb einer Frist von fünfzehn Tagen, wird das betreffende Abkommen im </w:t>
      </w:r>
      <w:r w:rsidRPr="004676F5">
        <w:rPr>
          <w:i/>
          <w:lang w:val="de-DE"/>
        </w:rPr>
        <w:t>Belgischen Staatsblatt</w:t>
      </w:r>
      <w:r w:rsidRPr="004676F5">
        <w:rPr>
          <w:lang w:val="de-DE"/>
        </w:rPr>
        <w:t xml:space="preserve"> veröffentlicht.</w:t>
      </w:r>
    </w:p>
    <w:p w14:paraId="78D35321" w14:textId="77777777" w:rsidR="00626208" w:rsidRPr="004676F5" w:rsidRDefault="00626208" w:rsidP="00626208">
      <w:pPr>
        <w:jc w:val="both"/>
        <w:rPr>
          <w:lang w:val="de-DE"/>
        </w:rPr>
      </w:pPr>
    </w:p>
    <w:p w14:paraId="5E290D0D" w14:textId="77777777" w:rsidR="00626208" w:rsidRPr="004676F5" w:rsidRDefault="00626208" w:rsidP="00626208">
      <w:pPr>
        <w:jc w:val="both"/>
        <w:rPr>
          <w:lang w:val="de-DE"/>
        </w:rPr>
      </w:pPr>
      <w:r w:rsidRPr="004676F5">
        <w:rPr>
          <w:lang w:val="de-DE"/>
        </w:rPr>
        <w:tab/>
        <w:t>Widersetzt sich dagegen ein Mitglied, wird das Abkommen auf die Tagesordnung der nächsten Sitzung des Ministerrates gesetzt.</w:t>
      </w:r>
    </w:p>
    <w:p w14:paraId="67E6937F" w14:textId="77777777" w:rsidR="00626208" w:rsidRPr="004676F5" w:rsidRDefault="00626208" w:rsidP="00626208">
      <w:pPr>
        <w:jc w:val="both"/>
        <w:rPr>
          <w:lang w:val="de-DE"/>
        </w:rPr>
      </w:pPr>
    </w:p>
    <w:p w14:paraId="13B55EEF" w14:textId="77777777" w:rsidR="00626208" w:rsidRPr="004676F5" w:rsidRDefault="00626208" w:rsidP="00626208">
      <w:pPr>
        <w:jc w:val="both"/>
        <w:rPr>
          <w:lang w:val="de-DE"/>
        </w:rPr>
      </w:pPr>
      <w:r w:rsidRPr="004676F5">
        <w:rPr>
          <w:lang w:val="de-DE"/>
        </w:rPr>
        <w:tab/>
        <w:t>In Ermangelung einer Bestätigung seitens des Ministerrates wird das betreffende Abkommen gegenstandslos.</w:t>
      </w:r>
    </w:p>
    <w:p w14:paraId="3007AA9A" w14:textId="77777777" w:rsidR="00626208" w:rsidRPr="004676F5" w:rsidRDefault="00626208" w:rsidP="00626208">
      <w:pPr>
        <w:jc w:val="both"/>
        <w:rPr>
          <w:lang w:val="de-DE"/>
        </w:rPr>
      </w:pPr>
    </w:p>
    <w:p w14:paraId="31289D21" w14:textId="77777777" w:rsidR="00626208" w:rsidRPr="004676F5" w:rsidRDefault="00626208" w:rsidP="00626208">
      <w:pPr>
        <w:jc w:val="both"/>
        <w:rPr>
          <w:lang w:val="de-DE"/>
        </w:rPr>
      </w:pPr>
      <w:r w:rsidRPr="004676F5">
        <w:rPr>
          <w:lang w:val="de-DE"/>
        </w:rPr>
        <w:tab/>
        <w:t xml:space="preserve">Abänderungen, Verlängerungen und Aufkündigungen eines kollektiven Verbraucherabkommens werden dem Ministerrat vorgelegt und danach im </w:t>
      </w:r>
      <w:r w:rsidRPr="004676F5">
        <w:rPr>
          <w:i/>
          <w:lang w:val="de-DE"/>
        </w:rPr>
        <w:t>Belgischen Staatsblatt</w:t>
      </w:r>
      <w:r w:rsidRPr="004676F5">
        <w:rPr>
          <w:lang w:val="de-DE"/>
        </w:rPr>
        <w:t xml:space="preserve"> veröffentlicht.</w:t>
      </w:r>
    </w:p>
    <w:p w14:paraId="7E20C3E4" w14:textId="77777777" w:rsidR="00626208" w:rsidRPr="004676F5" w:rsidRDefault="00626208" w:rsidP="00626208">
      <w:pPr>
        <w:jc w:val="both"/>
        <w:rPr>
          <w:lang w:val="de-DE"/>
        </w:rPr>
      </w:pPr>
    </w:p>
    <w:p w14:paraId="4A07F7EA" w14:textId="77777777" w:rsidR="00301C31" w:rsidRPr="004676F5" w:rsidRDefault="00301C31" w:rsidP="00626208">
      <w:pPr>
        <w:jc w:val="both"/>
        <w:rPr>
          <w:lang w:val="de-DE"/>
        </w:rPr>
      </w:pPr>
    </w:p>
    <w:p w14:paraId="2EBEB00A" w14:textId="673B615B"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VI.122</w:t>
      </w:r>
      <w:r w:rsidRPr="004676F5">
        <w:rPr>
          <w:lang w:val="de-DE"/>
        </w:rPr>
        <w:t> </w:t>
      </w:r>
      <w:r w:rsidR="005B7A5C" w:rsidRPr="004676F5">
        <w:rPr>
          <w:lang w:val="de-DE"/>
        </w:rPr>
        <w:t>- </w:t>
      </w:r>
      <w:r w:rsidRPr="004676F5">
        <w:rPr>
          <w:lang w:val="de-DE"/>
        </w:rPr>
        <w:t>Unterzeichner und Beitreter eines kollektiven Verbraucherabkommens achten auf die korrekte Anwendung des Abkommens.</w:t>
      </w:r>
    </w:p>
    <w:p w14:paraId="647435EA" w14:textId="77777777" w:rsidR="00626208" w:rsidRPr="004676F5" w:rsidRDefault="00626208" w:rsidP="00626208">
      <w:pPr>
        <w:jc w:val="both"/>
        <w:rPr>
          <w:lang w:val="de-DE"/>
        </w:rPr>
      </w:pPr>
    </w:p>
    <w:p w14:paraId="59453A62" w14:textId="77777777" w:rsidR="00626208" w:rsidRPr="004676F5" w:rsidRDefault="00626208" w:rsidP="00626208">
      <w:pPr>
        <w:jc w:val="both"/>
        <w:rPr>
          <w:lang w:val="de-DE"/>
        </w:rPr>
      </w:pPr>
      <w:r w:rsidRPr="004676F5">
        <w:rPr>
          <w:lang w:val="de-DE"/>
        </w:rPr>
        <w:tab/>
        <w:t>Im kollektiven Verbraucherabkommen wird die Art und Weise, wie Verbraucher</w:t>
      </w:r>
      <w:r w:rsidRPr="004676F5">
        <w:rPr>
          <w:lang w:val="de-DE"/>
        </w:rPr>
        <w:softHyphen/>
        <w:t>beschwerden bearbeitet werden, vorgesehen.</w:t>
      </w:r>
    </w:p>
    <w:p w14:paraId="4FDD9C6A" w14:textId="77777777" w:rsidR="00626208" w:rsidRPr="004676F5" w:rsidRDefault="00626208" w:rsidP="00626208">
      <w:pPr>
        <w:jc w:val="both"/>
        <w:rPr>
          <w:lang w:val="de-DE"/>
        </w:rPr>
      </w:pPr>
    </w:p>
    <w:p w14:paraId="03C66E0C" w14:textId="77777777" w:rsidR="00626208" w:rsidRPr="004676F5" w:rsidRDefault="00626208" w:rsidP="00626208">
      <w:pPr>
        <w:jc w:val="both"/>
        <w:rPr>
          <w:lang w:val="de-DE"/>
        </w:rPr>
      </w:pPr>
      <w:r w:rsidRPr="004676F5">
        <w:rPr>
          <w:lang w:val="de-DE"/>
        </w:rPr>
        <w:tab/>
        <w:t xml:space="preserve">Die Nichteinhaltung eines kollektiven Verbraucherabkommens seitens eines Unternehmens kann als unlautere Geschäftspraxis gegenüber Verbrauchern im Sinne von Titel 4 Kapitel 1 betrachtet werden. </w:t>
      </w:r>
    </w:p>
    <w:p w14:paraId="6E78662C" w14:textId="77777777" w:rsidR="00626208" w:rsidRPr="004676F5" w:rsidRDefault="00626208" w:rsidP="00626208">
      <w:pPr>
        <w:jc w:val="both"/>
        <w:rPr>
          <w:lang w:val="de-DE"/>
        </w:rPr>
      </w:pPr>
    </w:p>
    <w:p w14:paraId="1BF49F72" w14:textId="77777777" w:rsidR="00301C31" w:rsidRPr="004676F5" w:rsidRDefault="00301C31" w:rsidP="00626208">
      <w:pPr>
        <w:jc w:val="both"/>
        <w:rPr>
          <w:lang w:val="de-DE"/>
        </w:rPr>
      </w:pPr>
    </w:p>
    <w:p w14:paraId="12959CD4" w14:textId="27FF00DF"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VI.123</w:t>
      </w:r>
      <w:r w:rsidRPr="004676F5">
        <w:rPr>
          <w:lang w:val="de-DE"/>
        </w:rPr>
        <w:t> </w:t>
      </w:r>
      <w:r w:rsidR="005B7A5C" w:rsidRPr="004676F5">
        <w:rPr>
          <w:lang w:val="de-DE"/>
        </w:rPr>
        <w:t>- </w:t>
      </w:r>
      <w:r w:rsidRPr="004676F5">
        <w:rPr>
          <w:lang w:val="de-DE"/>
        </w:rPr>
        <w:t>Der König kann durch einen im Ministerrat beratenen Erlass auf einstimmige Stellungnahme des Verbraucherrates einem ganzen Sektor die Anwendung eines kollektiven Verbraucherabkommens, dessen Anwendungsbereich national ist, auferlegen.</w:t>
      </w:r>
    </w:p>
    <w:p w14:paraId="10AE1E47" w14:textId="77777777" w:rsidR="00626208" w:rsidRPr="004676F5" w:rsidRDefault="00626208" w:rsidP="00626208">
      <w:pPr>
        <w:jc w:val="both"/>
        <w:rPr>
          <w:lang w:val="de-DE"/>
        </w:rPr>
      </w:pPr>
    </w:p>
    <w:p w14:paraId="02CC322F" w14:textId="77777777" w:rsidR="00301C31" w:rsidRPr="004676F5" w:rsidRDefault="00301C31">
      <w:pPr>
        <w:rPr>
          <w:b/>
          <w:lang w:val="de-DE"/>
        </w:rPr>
      </w:pPr>
      <w:r w:rsidRPr="004676F5">
        <w:rPr>
          <w:b/>
          <w:lang w:val="de-DE"/>
        </w:rPr>
        <w:br w:type="page"/>
      </w:r>
    </w:p>
    <w:p w14:paraId="6EADE4E0" w14:textId="01068AFF" w:rsidR="00626208" w:rsidRPr="004676F5" w:rsidRDefault="00626208" w:rsidP="00626208">
      <w:pPr>
        <w:jc w:val="center"/>
        <w:rPr>
          <w:b/>
          <w:lang w:val="de-DE"/>
        </w:rPr>
      </w:pPr>
      <w:r w:rsidRPr="004676F5">
        <w:rPr>
          <w:b/>
          <w:lang w:val="de-DE"/>
        </w:rPr>
        <w:lastRenderedPageBreak/>
        <w:t>TITEL 6 </w:t>
      </w:r>
      <w:r w:rsidR="005B7A5C" w:rsidRPr="004676F5">
        <w:rPr>
          <w:b/>
          <w:lang w:val="de-DE"/>
        </w:rPr>
        <w:t>- </w:t>
      </w:r>
      <w:r w:rsidRPr="004676F5">
        <w:rPr>
          <w:b/>
          <w:i/>
          <w:lang w:val="de-DE"/>
        </w:rPr>
        <w:t>Sonderbestimmungen in Bezug auf eingetragene Namen</w:t>
      </w:r>
    </w:p>
    <w:p w14:paraId="2032613C" w14:textId="77777777" w:rsidR="00626208" w:rsidRPr="004676F5" w:rsidRDefault="00626208" w:rsidP="00626208">
      <w:pPr>
        <w:jc w:val="both"/>
        <w:rPr>
          <w:lang w:val="de-DE"/>
        </w:rPr>
      </w:pPr>
    </w:p>
    <w:p w14:paraId="47C90EF1" w14:textId="77777777" w:rsidR="00301C31" w:rsidRPr="004676F5" w:rsidRDefault="00301C31" w:rsidP="00626208">
      <w:pPr>
        <w:jc w:val="both"/>
        <w:rPr>
          <w:lang w:val="de-DE"/>
        </w:rPr>
      </w:pPr>
    </w:p>
    <w:p w14:paraId="074F0CB8" w14:textId="20DEABCF"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VI.124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Eingetragene Namen sind geschützt gegen:</w:t>
      </w:r>
    </w:p>
    <w:p w14:paraId="7EA7A829" w14:textId="77777777" w:rsidR="00626208" w:rsidRPr="004676F5" w:rsidRDefault="00626208" w:rsidP="00626208">
      <w:pPr>
        <w:jc w:val="both"/>
        <w:rPr>
          <w:lang w:val="de-DE"/>
        </w:rPr>
      </w:pPr>
    </w:p>
    <w:p w14:paraId="00EB2B61" w14:textId="77777777" w:rsidR="00626208" w:rsidRPr="004676F5" w:rsidRDefault="00626208" w:rsidP="00626208">
      <w:pPr>
        <w:jc w:val="both"/>
        <w:rPr>
          <w:lang w:val="de-DE"/>
        </w:rPr>
      </w:pPr>
      <w:r w:rsidRPr="004676F5">
        <w:rPr>
          <w:lang w:val="de-DE"/>
        </w:rPr>
        <w:tab/>
      </w:r>
      <w:r w:rsidRPr="004676F5">
        <w:rPr>
          <w:i/>
          <w:lang w:val="de-DE"/>
        </w:rPr>
        <w:t>a)</w:t>
      </w:r>
      <w:r w:rsidRPr="004676F5">
        <w:rPr>
          <w:lang w:val="de-DE"/>
        </w:rPr>
        <w:t> direkte oder indirekte kommerzielle Verwendung eines eingetragenen Namens für Produkte, die nicht unter die Eintragung fallen, soweit diese Produkte mit den unter diesem Namen eingetragenen Produkten vergleichbar sind oder soweit durch diese Verwendung das Ansehen des geschützten Namens ausgenutzt wird,</w:t>
      </w:r>
    </w:p>
    <w:p w14:paraId="58EBCCBA" w14:textId="77777777" w:rsidR="00626208" w:rsidRPr="004676F5" w:rsidRDefault="00626208" w:rsidP="00626208">
      <w:pPr>
        <w:jc w:val="both"/>
        <w:rPr>
          <w:lang w:val="de-DE"/>
        </w:rPr>
      </w:pPr>
    </w:p>
    <w:p w14:paraId="6919E704" w14:textId="77777777" w:rsidR="00626208" w:rsidRPr="004676F5" w:rsidRDefault="00626208" w:rsidP="00626208">
      <w:pPr>
        <w:jc w:val="both"/>
        <w:rPr>
          <w:lang w:val="de-DE"/>
        </w:rPr>
      </w:pPr>
      <w:r w:rsidRPr="004676F5">
        <w:rPr>
          <w:lang w:val="de-DE"/>
        </w:rPr>
        <w:tab/>
      </w:r>
      <w:r w:rsidRPr="004676F5">
        <w:rPr>
          <w:i/>
          <w:lang w:val="de-DE"/>
        </w:rPr>
        <w:t>b)</w:t>
      </w:r>
      <w:r w:rsidRPr="004676F5">
        <w:rPr>
          <w:lang w:val="de-DE"/>
        </w:rPr>
        <w:t> widerrechtliche Aneignung, Nachahmung oder Anspielung, selbst wenn der tatsächliche Ursprung des Produkts angegeben ist oder wenn der geschützte Name in Übersetzung oder zusammen mit Ausdrücken wie "Art", "Typ", "Verfahren", "Fasson", "Nachahmung" oder dergleichen verwendet wird,</w:t>
      </w:r>
    </w:p>
    <w:p w14:paraId="21C07BE4" w14:textId="77777777" w:rsidR="00626208" w:rsidRPr="004676F5" w:rsidRDefault="00626208" w:rsidP="00626208">
      <w:pPr>
        <w:jc w:val="both"/>
        <w:rPr>
          <w:lang w:val="de-DE"/>
        </w:rPr>
      </w:pPr>
    </w:p>
    <w:p w14:paraId="705DA1D5" w14:textId="77777777" w:rsidR="00626208" w:rsidRPr="004676F5" w:rsidRDefault="00626208" w:rsidP="00626208">
      <w:pPr>
        <w:jc w:val="both"/>
        <w:rPr>
          <w:lang w:val="de-DE"/>
        </w:rPr>
      </w:pPr>
      <w:r w:rsidRPr="004676F5">
        <w:rPr>
          <w:lang w:val="de-DE"/>
        </w:rPr>
        <w:tab/>
      </w:r>
      <w:r w:rsidRPr="004676F5">
        <w:rPr>
          <w:i/>
          <w:lang w:val="de-DE"/>
        </w:rPr>
        <w:t>c)</w:t>
      </w:r>
      <w:r w:rsidRPr="004676F5">
        <w:rPr>
          <w:lang w:val="de-DE"/>
        </w:rPr>
        <w:t> sonstige falsche oder irreführende Angaben, die sich auf Herkunft, Ursprung, Natur oder wesentliche Eigenschaften der Produkte beziehen und auf der Aufmachung oder der äußeren Verpackung, in der Werbung oder in Unterlagen zu den betreffenden Produkten erscheinen, und Verwendung von Behältnissen, die einen falschen Eindruck hinsichtlich des Ursprungs zu erwecken geeignet sind,</w:t>
      </w:r>
    </w:p>
    <w:p w14:paraId="53165792" w14:textId="77777777" w:rsidR="00626208" w:rsidRPr="004676F5" w:rsidRDefault="00626208" w:rsidP="00626208">
      <w:pPr>
        <w:jc w:val="both"/>
        <w:rPr>
          <w:lang w:val="de-DE"/>
        </w:rPr>
      </w:pPr>
    </w:p>
    <w:p w14:paraId="1B2A6B29" w14:textId="77777777" w:rsidR="00626208" w:rsidRPr="004676F5" w:rsidRDefault="00626208" w:rsidP="00626208">
      <w:pPr>
        <w:jc w:val="both"/>
        <w:rPr>
          <w:lang w:val="de-DE"/>
        </w:rPr>
      </w:pPr>
      <w:r w:rsidRPr="004676F5">
        <w:rPr>
          <w:lang w:val="de-DE"/>
        </w:rPr>
        <w:tab/>
      </w:r>
      <w:r w:rsidRPr="004676F5">
        <w:rPr>
          <w:i/>
          <w:lang w:val="de-DE"/>
        </w:rPr>
        <w:t>d)</w:t>
      </w:r>
      <w:r w:rsidRPr="004676F5">
        <w:rPr>
          <w:lang w:val="de-DE"/>
        </w:rPr>
        <w:t> sonstige Praktiken, die den Verbraucher in Bezug auf den tatsächlichen Ursprung des Produkts irrezuführen geeignet sind.</w:t>
      </w:r>
    </w:p>
    <w:p w14:paraId="455DC5AE" w14:textId="77777777" w:rsidR="00626208" w:rsidRPr="004676F5" w:rsidRDefault="00626208" w:rsidP="00626208">
      <w:pPr>
        <w:jc w:val="both"/>
        <w:rPr>
          <w:lang w:val="de-DE"/>
        </w:rPr>
      </w:pPr>
    </w:p>
    <w:p w14:paraId="3975907C" w14:textId="77777777" w:rsidR="00626208" w:rsidRPr="004676F5" w:rsidRDefault="00626208" w:rsidP="00626208">
      <w:pPr>
        <w:jc w:val="both"/>
        <w:rPr>
          <w:lang w:val="de-DE"/>
        </w:rPr>
      </w:pPr>
      <w:r w:rsidRPr="004676F5">
        <w:rPr>
          <w:lang w:val="de-DE"/>
        </w:rPr>
        <w:tab/>
        <w:t>Enthält ein eingetragener Name den als Gattungsbezeichnung angesehenen Namen eines Produkts, so gilt die Verwendung dieser Gattungsbezeichnung für das betreffende Produkt nicht als Verstoß gegen Absatz 1 Buchstabe </w:t>
      </w:r>
      <w:r w:rsidRPr="004676F5">
        <w:rPr>
          <w:i/>
          <w:lang w:val="de-DE"/>
        </w:rPr>
        <w:t>a)</w:t>
      </w:r>
      <w:r w:rsidRPr="004676F5">
        <w:rPr>
          <w:lang w:val="de-DE"/>
        </w:rPr>
        <w:t xml:space="preserve"> oder </w:t>
      </w:r>
      <w:r w:rsidRPr="004676F5">
        <w:rPr>
          <w:i/>
          <w:lang w:val="de-DE"/>
        </w:rPr>
        <w:t>b)</w:t>
      </w:r>
      <w:r w:rsidRPr="004676F5">
        <w:rPr>
          <w:lang w:val="de-DE"/>
        </w:rPr>
        <w:t>.</w:t>
      </w:r>
    </w:p>
    <w:p w14:paraId="6E34AA94" w14:textId="77777777" w:rsidR="00626208" w:rsidRPr="004676F5" w:rsidRDefault="00626208" w:rsidP="00626208">
      <w:pPr>
        <w:jc w:val="both"/>
        <w:rPr>
          <w:lang w:val="de-DE"/>
        </w:rPr>
      </w:pPr>
    </w:p>
    <w:p w14:paraId="7580DF2E" w14:textId="43E9A5CA"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Eingetragene Namen dürfen nicht zu Gattungsbezeichnungen werden.</w:t>
      </w:r>
    </w:p>
    <w:p w14:paraId="6BFEEBCF" w14:textId="77777777" w:rsidR="00626208" w:rsidRPr="004676F5" w:rsidRDefault="00626208" w:rsidP="00626208">
      <w:pPr>
        <w:jc w:val="both"/>
        <w:rPr>
          <w:lang w:val="de-DE"/>
        </w:rPr>
      </w:pPr>
    </w:p>
    <w:p w14:paraId="2DA94708" w14:textId="77777777" w:rsidR="00301C31" w:rsidRPr="004676F5" w:rsidRDefault="00301C31" w:rsidP="00626208">
      <w:pPr>
        <w:jc w:val="both"/>
        <w:rPr>
          <w:lang w:val="de-DE"/>
        </w:rPr>
      </w:pPr>
    </w:p>
    <w:p w14:paraId="5216C7DC" w14:textId="4CB9EB16"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VI.125</w:t>
      </w:r>
      <w:r w:rsidRPr="004676F5">
        <w:rPr>
          <w:lang w:val="de-DE"/>
        </w:rPr>
        <w:t> </w:t>
      </w:r>
      <w:r w:rsidR="005B7A5C" w:rsidRPr="004676F5">
        <w:rPr>
          <w:lang w:val="de-DE"/>
        </w:rPr>
        <w:t>- </w:t>
      </w:r>
      <w:r w:rsidRPr="004676F5">
        <w:rPr>
          <w:lang w:val="de-DE"/>
        </w:rPr>
        <w:t>Wenn der Richter eine Verletzung der Regeln über eingetragene Namen feststellt, verfügt er gegenüber jedem Verletzer die Beendigung der Verletzung.</w:t>
      </w:r>
    </w:p>
    <w:p w14:paraId="4EFE277A" w14:textId="77777777" w:rsidR="00626208" w:rsidRPr="004676F5" w:rsidRDefault="00626208" w:rsidP="00626208">
      <w:pPr>
        <w:jc w:val="both"/>
        <w:rPr>
          <w:lang w:val="de-DE"/>
        </w:rPr>
      </w:pPr>
    </w:p>
    <w:p w14:paraId="073D4406" w14:textId="77777777" w:rsidR="00626208" w:rsidRPr="004676F5" w:rsidRDefault="00626208" w:rsidP="00626208">
      <w:pPr>
        <w:jc w:val="both"/>
        <w:rPr>
          <w:lang w:val="de-DE"/>
        </w:rPr>
      </w:pPr>
      <w:r w:rsidRPr="004676F5">
        <w:rPr>
          <w:lang w:val="de-DE"/>
        </w:rPr>
        <w:tab/>
        <w:t>Der Richter kann ebenfalls eine Anordnung zur Beendigung der Verletzung gegen Mittelspersonen erlassen, deren Dienste von einem Dritten zwecks Verletzung der Regeln über eingetragene Namen in Anspruch genommen werden.</w:t>
      </w:r>
    </w:p>
    <w:p w14:paraId="54673F58" w14:textId="77777777" w:rsidR="00626208" w:rsidRPr="004676F5" w:rsidRDefault="00626208" w:rsidP="00626208">
      <w:pPr>
        <w:jc w:val="both"/>
        <w:rPr>
          <w:lang w:val="de-DE"/>
        </w:rPr>
      </w:pPr>
    </w:p>
    <w:p w14:paraId="17F5F068" w14:textId="77777777" w:rsidR="00301C31" w:rsidRPr="004676F5" w:rsidRDefault="00301C31" w:rsidP="00626208">
      <w:pPr>
        <w:jc w:val="both"/>
        <w:rPr>
          <w:lang w:val="de-DE"/>
        </w:rPr>
      </w:pPr>
    </w:p>
    <w:p w14:paraId="51148CAA" w14:textId="65D372D6"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VI.126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Unbeschadet etwaiger Schadenersatzansprüche der geschädigten Partei aus der Verletzung und ohne Entschädigung irgendwelcher Art kann der Richter auf Antrag der Partei, die befugt ist, eine Klage wegen Verletzung zu erheben, den Rückruf aus den Vertriebswegen, das endgültige Entfernen aus den Vertriebswegen oder die Vernichtung der rechtsverletzenden Waren und gegebenenfalls der Materialien und Geräte, die vorwiegend zur Schaffung oder Herstellung dieser Waren gedient haben, anordnen.</w:t>
      </w:r>
    </w:p>
    <w:p w14:paraId="1C652928" w14:textId="77777777" w:rsidR="00626208" w:rsidRPr="004676F5" w:rsidRDefault="00626208" w:rsidP="00626208">
      <w:pPr>
        <w:jc w:val="both"/>
        <w:rPr>
          <w:lang w:val="de-DE"/>
        </w:rPr>
      </w:pPr>
    </w:p>
    <w:p w14:paraId="6FE89D60" w14:textId="77777777" w:rsidR="00626208" w:rsidRPr="004676F5" w:rsidRDefault="00626208" w:rsidP="00626208">
      <w:pPr>
        <w:jc w:val="both"/>
        <w:rPr>
          <w:lang w:val="de-DE"/>
        </w:rPr>
      </w:pPr>
      <w:r w:rsidRPr="004676F5">
        <w:rPr>
          <w:lang w:val="de-DE"/>
        </w:rPr>
        <w:tab/>
        <w:t>Diese Maßnahmen werden auf Kosten des Verletzers durchgeführt, es sei denn, es werden besondere Gründe geltend gemacht, die dagegen sprechen.</w:t>
      </w:r>
    </w:p>
    <w:p w14:paraId="49EA4E68" w14:textId="77777777" w:rsidR="00626208" w:rsidRPr="004676F5" w:rsidRDefault="00626208" w:rsidP="00626208">
      <w:pPr>
        <w:jc w:val="both"/>
        <w:rPr>
          <w:lang w:val="de-DE"/>
        </w:rPr>
      </w:pPr>
    </w:p>
    <w:p w14:paraId="3CCEC03A" w14:textId="77777777" w:rsidR="00626208" w:rsidRPr="004676F5" w:rsidRDefault="00626208" w:rsidP="00626208">
      <w:pPr>
        <w:jc w:val="both"/>
        <w:rPr>
          <w:lang w:val="de-DE"/>
        </w:rPr>
      </w:pPr>
      <w:r w:rsidRPr="004676F5">
        <w:rPr>
          <w:lang w:val="de-DE"/>
        </w:rPr>
        <w:tab/>
        <w:t>Bei der Prüfung eines in Absatz 1 erwähnten Antrags sind das angemessene Verhältnis zwischen der Schwere der Verletzung und den angeordneten Maßnahmen und die Interessen Dritter zu berücksichtigen.</w:t>
      </w:r>
    </w:p>
    <w:p w14:paraId="62B13FBE" w14:textId="77777777" w:rsidR="00626208" w:rsidRPr="004676F5" w:rsidRDefault="00626208" w:rsidP="00626208">
      <w:pPr>
        <w:jc w:val="both"/>
        <w:rPr>
          <w:lang w:val="de-DE"/>
        </w:rPr>
      </w:pPr>
    </w:p>
    <w:p w14:paraId="44E75196" w14:textId="4561DA50"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Wenn der Richter im Rahmen eines Verfahrens eine Verletzung feststellt, kann er auf Antrag der Partei, die befugt ist, eine Klage wegen Verletzung zu erheben, anordnen, dass der Verletzer der Partei, die diese Klage erhebt, alle ihm bekannten Auskünfte über den Ursprung und die Vertriebswege von rechtsverletzenden Waren oder Dienstleistungen erteilt und ihr alle diesbezüglichen Angaben mitteilt, insofern es sich um eine begründete und die Verhältnismäßigkeit wahrende Maßnahme handelt.</w:t>
      </w:r>
    </w:p>
    <w:p w14:paraId="7931C11A" w14:textId="77777777" w:rsidR="00626208" w:rsidRPr="004676F5" w:rsidRDefault="00626208" w:rsidP="00626208">
      <w:pPr>
        <w:jc w:val="both"/>
        <w:rPr>
          <w:lang w:val="de-DE"/>
        </w:rPr>
      </w:pPr>
    </w:p>
    <w:p w14:paraId="04CA0BF1" w14:textId="77777777" w:rsidR="00626208" w:rsidRPr="004676F5" w:rsidRDefault="00626208" w:rsidP="00626208">
      <w:pPr>
        <w:jc w:val="both"/>
        <w:rPr>
          <w:lang w:val="de-DE"/>
        </w:rPr>
      </w:pPr>
      <w:r w:rsidRPr="004676F5">
        <w:rPr>
          <w:lang w:val="de-DE"/>
        </w:rPr>
        <w:tab/>
        <w:t>Dieselbe Anordnung kann der Person erteilt werden, die nachweislich rechtsverletzende Ware in gewerblichem Ausmaß in ihrem Besitz hatte, nachweislich rechtsverletzende Dienstleistungen in gewerblichem Ausmaß in Anspruch nahm oder nachweislich für rechtsverletzende Tätigkeiten genutzte Dienstleistungen in gewerblichem Ausmaß erbrachte.</w:t>
      </w:r>
    </w:p>
    <w:p w14:paraId="5638DC04" w14:textId="77777777" w:rsidR="00626208" w:rsidRPr="004676F5" w:rsidRDefault="00626208" w:rsidP="00626208">
      <w:pPr>
        <w:jc w:val="both"/>
        <w:rPr>
          <w:lang w:val="de-DE"/>
        </w:rPr>
      </w:pPr>
    </w:p>
    <w:p w14:paraId="5E5D5985" w14:textId="00F8D502" w:rsidR="00626208" w:rsidRPr="004676F5" w:rsidRDefault="00626208" w:rsidP="00626208">
      <w:pPr>
        <w:jc w:val="both"/>
        <w:rPr>
          <w:lang w:val="de-DE"/>
        </w:rPr>
      </w:pPr>
      <w:r w:rsidRPr="004676F5">
        <w:rPr>
          <w:lang w:val="de-DE"/>
        </w:rPr>
        <w:tab/>
        <w:t>§ 3 </w:t>
      </w:r>
      <w:r w:rsidR="005B7A5C" w:rsidRPr="004676F5">
        <w:rPr>
          <w:lang w:val="de-DE"/>
        </w:rPr>
        <w:t>- </w:t>
      </w:r>
      <w:r w:rsidRPr="004676F5">
        <w:rPr>
          <w:lang w:val="de-DE"/>
        </w:rPr>
        <w:t>Der Richter kann anordnen, dass auf Kosten des Verletzers sein im Rahmen des vorliegenden Artikels und/oder von Artikel VI.125 ergangener Beschluss oder die von ihm erstellte Zusammenfassung während des von ihm festgelegten Zeitraums sowohl außerhalb als auch innerhalb der Niederlassungen des Verletzers angeschlagen wird und dass sein Urteil oder dessen Zusammenfassung in Zeitungen oder sonst irgendwie veröffentlicht wird.</w:t>
      </w:r>
    </w:p>
    <w:p w14:paraId="3E403BE0" w14:textId="77777777" w:rsidR="00626208" w:rsidRPr="004676F5" w:rsidRDefault="00626208" w:rsidP="00626208">
      <w:pPr>
        <w:jc w:val="both"/>
        <w:rPr>
          <w:lang w:val="de-DE"/>
        </w:rPr>
      </w:pPr>
    </w:p>
    <w:p w14:paraId="4145E42E" w14:textId="77777777" w:rsidR="00301C31" w:rsidRPr="004676F5" w:rsidRDefault="00301C31" w:rsidP="00626208">
      <w:pPr>
        <w:jc w:val="both"/>
        <w:rPr>
          <w:lang w:val="de-DE"/>
        </w:rPr>
      </w:pPr>
    </w:p>
    <w:p w14:paraId="314F9074" w14:textId="1C91DD34"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VI.127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Die geschädigte Partei hat Anrecht auf Ersatz von Schäden, die sie wegen einer Verletzung von Artikel VI.124 erlitten hat.</w:t>
      </w:r>
    </w:p>
    <w:p w14:paraId="54658084" w14:textId="77777777" w:rsidR="00626208" w:rsidRPr="004676F5" w:rsidRDefault="00626208" w:rsidP="00626208">
      <w:pPr>
        <w:jc w:val="both"/>
        <w:rPr>
          <w:lang w:val="de-DE"/>
        </w:rPr>
      </w:pPr>
    </w:p>
    <w:p w14:paraId="550021A4" w14:textId="021D82B7" w:rsidR="00626208" w:rsidRPr="004676F5" w:rsidRDefault="00626208" w:rsidP="00626208">
      <w:pPr>
        <w:jc w:val="both"/>
        <w:rPr>
          <w:lang w:val="de-DE"/>
        </w:rPr>
      </w:pPr>
      <w:r w:rsidRPr="004676F5">
        <w:rPr>
          <w:lang w:val="de-DE"/>
        </w:rPr>
        <w:tab/>
        <w:t>§ 2 </w:t>
      </w:r>
      <w:r w:rsidR="005B7A5C" w:rsidRPr="004676F5">
        <w:rPr>
          <w:lang w:val="de-DE"/>
        </w:rPr>
        <w:t>- </w:t>
      </w:r>
      <w:r w:rsidRPr="004676F5">
        <w:rPr>
          <w:lang w:val="de-DE"/>
        </w:rPr>
        <w:t>Wenn der Umfang der Rechtsverletzung auf keine andere Weise bestimmt werden kann, kann der Richter als Schadenersatz auf angemessene und gerechte Weise einen Pauschalbetrag festlegen.</w:t>
      </w:r>
    </w:p>
    <w:p w14:paraId="01177AAE" w14:textId="77777777" w:rsidR="00626208" w:rsidRPr="004676F5" w:rsidRDefault="00626208" w:rsidP="00626208">
      <w:pPr>
        <w:jc w:val="both"/>
        <w:rPr>
          <w:lang w:val="de-DE"/>
        </w:rPr>
      </w:pPr>
    </w:p>
    <w:p w14:paraId="7CCA207A" w14:textId="77777777" w:rsidR="00626208" w:rsidRPr="004676F5" w:rsidRDefault="00626208" w:rsidP="00626208">
      <w:pPr>
        <w:jc w:val="both"/>
        <w:rPr>
          <w:lang w:val="de-DE"/>
        </w:rPr>
      </w:pPr>
      <w:r w:rsidRPr="004676F5">
        <w:rPr>
          <w:lang w:val="de-DE"/>
        </w:rPr>
        <w:tab/>
        <w:t>Der Richter kann anordnen, dass der klagenden Partei die rechtsverletzenden Waren und gegebenenfalls die Materialien und Geräte, die vorwiegend zur Schaffung oder Herstellung dieser Waren gedient haben und die noch im Besitz des Beklagten sind, als Schadenersatz ausgehändigt werden. Wenn der Wert dieser Waren, Materialien und Geräte den Umfang des tatsächlichen Schadens überschreitet, legt der Richter die vom Kläger zu entrichtende Zuzahlung fest.</w:t>
      </w:r>
    </w:p>
    <w:p w14:paraId="714CDC28" w14:textId="77777777" w:rsidR="00626208" w:rsidRPr="004676F5" w:rsidRDefault="00626208" w:rsidP="00626208">
      <w:pPr>
        <w:jc w:val="both"/>
        <w:rPr>
          <w:lang w:val="de-DE"/>
        </w:rPr>
      </w:pPr>
    </w:p>
    <w:p w14:paraId="2CA6EF3B" w14:textId="77777777" w:rsidR="00626208" w:rsidRPr="004676F5" w:rsidRDefault="00626208" w:rsidP="00626208">
      <w:pPr>
        <w:jc w:val="both"/>
        <w:rPr>
          <w:lang w:val="de-DE"/>
        </w:rPr>
      </w:pPr>
      <w:r w:rsidRPr="004676F5">
        <w:rPr>
          <w:lang w:val="de-DE"/>
        </w:rPr>
        <w:tab/>
        <w:t>Bei Bösgläubigkeit kann der Richter als Schadenersatz die Abtretung des gesamten infolge der Verletzung erzielten Gewinns beziehungsweise eines Teils davon und diesbezügliche Rechnungslegung anordnen. Für die Festlegung des abzutretenden Gewinns werden nur direkt an die betreffenden Verletzungshandlungen gebundene Kosten abgezogen.</w:t>
      </w:r>
    </w:p>
    <w:p w14:paraId="1B347849" w14:textId="77777777" w:rsidR="00626208" w:rsidRPr="004676F5" w:rsidRDefault="00626208" w:rsidP="00626208">
      <w:pPr>
        <w:rPr>
          <w:lang w:val="de-DE"/>
        </w:rPr>
      </w:pPr>
      <w:r w:rsidRPr="004676F5">
        <w:rPr>
          <w:lang w:val="de-DE"/>
        </w:rPr>
        <w:br w:type="page"/>
      </w:r>
    </w:p>
    <w:p w14:paraId="46F757CB" w14:textId="5DAC1BDE" w:rsidR="00626208" w:rsidRPr="004676F5" w:rsidRDefault="00626208" w:rsidP="00626208">
      <w:pPr>
        <w:jc w:val="center"/>
        <w:rPr>
          <w:b/>
          <w:lang w:val="de-DE"/>
        </w:rPr>
      </w:pPr>
      <w:r w:rsidRPr="004676F5">
        <w:rPr>
          <w:b/>
          <w:lang w:val="de-DE"/>
        </w:rPr>
        <w:lastRenderedPageBreak/>
        <w:t>TITEL 7 </w:t>
      </w:r>
      <w:r w:rsidR="005B7A5C" w:rsidRPr="004676F5">
        <w:rPr>
          <w:b/>
          <w:lang w:val="de-DE"/>
        </w:rPr>
        <w:t>- </w:t>
      </w:r>
      <w:r w:rsidRPr="004676F5">
        <w:rPr>
          <w:b/>
          <w:i/>
          <w:lang w:val="de-DE"/>
        </w:rPr>
        <w:t>Schlussbestimmungen</w:t>
      </w:r>
    </w:p>
    <w:p w14:paraId="19EFE755" w14:textId="77777777" w:rsidR="00626208" w:rsidRPr="004676F5" w:rsidRDefault="00626208" w:rsidP="00626208">
      <w:pPr>
        <w:jc w:val="both"/>
        <w:rPr>
          <w:lang w:val="de-DE"/>
        </w:rPr>
      </w:pPr>
    </w:p>
    <w:p w14:paraId="238A6087" w14:textId="77777777" w:rsidR="00BE758F" w:rsidRPr="004676F5" w:rsidRDefault="00BE758F" w:rsidP="00626208">
      <w:pPr>
        <w:jc w:val="both"/>
        <w:rPr>
          <w:lang w:val="de-DE"/>
        </w:rPr>
      </w:pPr>
    </w:p>
    <w:p w14:paraId="0EA5DACF" w14:textId="14E04086" w:rsidR="00626208" w:rsidRPr="004676F5" w:rsidRDefault="00626208" w:rsidP="00626208">
      <w:pPr>
        <w:jc w:val="both"/>
        <w:rPr>
          <w:lang w:val="de-DE"/>
        </w:rPr>
      </w:pPr>
      <w:r w:rsidRPr="004676F5">
        <w:rPr>
          <w:lang w:val="de-DE"/>
        </w:rPr>
        <w:tab/>
      </w:r>
      <w:r w:rsidR="00BE0A56" w:rsidRPr="004676F5">
        <w:rPr>
          <w:b/>
          <w:lang w:val="de-DE"/>
        </w:rPr>
        <w:t>Art. </w:t>
      </w:r>
      <w:r w:rsidRPr="004676F5">
        <w:rPr>
          <w:b/>
          <w:lang w:val="de-DE"/>
        </w:rPr>
        <w:t>VI.128</w:t>
      </w:r>
      <w:r w:rsidRPr="004676F5">
        <w:rPr>
          <w:lang w:val="de-DE"/>
        </w:rPr>
        <w:t> </w:t>
      </w:r>
      <w:r w:rsidR="005B7A5C" w:rsidRPr="004676F5">
        <w:rPr>
          <w:lang w:val="de-DE"/>
        </w:rPr>
        <w:t>- </w:t>
      </w:r>
      <w:r w:rsidRPr="004676F5">
        <w:rPr>
          <w:lang w:val="de-DE"/>
        </w:rPr>
        <w:t>Der König übt die Ihm durch die Bestimmungen von Buch VI Titel 1, 2, 3, 4 Kapitel 1 und 3 und Titel 5 aufgetragenen Befugnisse auf gemeinsamen Vorschlag der für Wirtschaft, Mittelstand und Verbrauch zuständigen Minister aus.</w:t>
      </w:r>
    </w:p>
    <w:p w14:paraId="0BC800C8" w14:textId="77777777" w:rsidR="00626208" w:rsidRPr="004676F5" w:rsidRDefault="00626208" w:rsidP="00626208">
      <w:pPr>
        <w:jc w:val="both"/>
        <w:rPr>
          <w:lang w:val="de-DE"/>
        </w:rPr>
      </w:pPr>
    </w:p>
    <w:p w14:paraId="12D2BA5F" w14:textId="77777777" w:rsidR="00626208" w:rsidRPr="004676F5" w:rsidRDefault="00626208" w:rsidP="00626208">
      <w:pPr>
        <w:jc w:val="both"/>
        <w:rPr>
          <w:lang w:val="de-DE"/>
        </w:rPr>
      </w:pPr>
      <w:r w:rsidRPr="004676F5">
        <w:rPr>
          <w:lang w:val="de-DE"/>
        </w:rPr>
        <w:tab/>
        <w:t>Der König übt die Ihm durch die Bestimmungen von Buch VI Titel 4 Kapitel 2 und 4 aufgetragenen Befugnisse auf gemeinsamen Vorschlag der für Wirtschaft und Mittelstand zuständigen Minister aus.</w:t>
      </w:r>
    </w:p>
    <w:p w14:paraId="39448D74" w14:textId="77777777" w:rsidR="00626208" w:rsidRPr="004676F5" w:rsidRDefault="00626208" w:rsidP="00626208">
      <w:pPr>
        <w:jc w:val="both"/>
        <w:rPr>
          <w:lang w:val="de-DE"/>
        </w:rPr>
      </w:pPr>
    </w:p>
    <w:p w14:paraId="15F364CC" w14:textId="77777777" w:rsidR="00626208" w:rsidRPr="004676F5" w:rsidRDefault="00626208" w:rsidP="00626208">
      <w:pPr>
        <w:jc w:val="both"/>
        <w:rPr>
          <w:lang w:val="de-DE"/>
        </w:rPr>
      </w:pPr>
      <w:r w:rsidRPr="004676F5">
        <w:rPr>
          <w:lang w:val="de-DE"/>
        </w:rPr>
        <w:tab/>
        <w:t>Wenn zur Ausführung von Buch VI zu ergreifende Maßnahmen sich auf Waren und Dienstleistungen beziehen, die in den in den Titeln 1 bis 5 erwähnten Bereichen gemäß Absatz 1 und 2 auf Betreiben von Ministern, die nicht die für Wirtschaft, Mittelstand und Verbrauch zuständigen Minister sind, geregelt werden beziehungsweise geregelt werden können, so muss in der Präambel zu diesen Maßnahmen auf das Einverständnis der betreffenden Minister verwiesen werden. Gegebenenfalls werden diese Maßnahmen von den betreffenden Ministern gemeinsam vorgeschlagen und von ihnen in gegenseitigem Einverständnis ausgeführt, jeder für seinen Bereich.</w:t>
      </w:r>
    </w:p>
    <w:p w14:paraId="356EAECA" w14:textId="77777777" w:rsidR="00626208" w:rsidRPr="004676F5" w:rsidRDefault="00626208" w:rsidP="00626208">
      <w:pPr>
        <w:jc w:val="both"/>
        <w:rPr>
          <w:lang w:val="de-DE"/>
        </w:rPr>
      </w:pPr>
    </w:p>
    <w:p w14:paraId="72345C90" w14:textId="2023202E" w:rsidR="00626208" w:rsidRPr="004676F5" w:rsidRDefault="00626208" w:rsidP="00626208">
      <w:pPr>
        <w:jc w:val="both"/>
        <w:rPr>
          <w:lang w:val="de-DE"/>
        </w:rPr>
      </w:pPr>
      <w:r w:rsidRPr="004676F5">
        <w:rPr>
          <w:lang w:val="de-DE"/>
        </w:rPr>
        <w:tab/>
        <w:t>Gleiches gilt, wenn in den in den Titeln 1 bis 5 erwähnten Bereichen auf Betreiben von Ministern, die nicht die für Wirtschaft, Mittelstand und Verbrauch zuständigen Minister sind, Maßnahmen ergriffen werden müssen, die sich auf Waren und Dienstleistungen beziehen, die in Ausführung des vorliegenden Buches geregelt werden beziehungsweise geregelt werden können.]</w:t>
      </w:r>
    </w:p>
    <w:p w14:paraId="7E9653AF" w14:textId="68154BA5" w:rsidR="0068045B" w:rsidRPr="004676F5" w:rsidRDefault="0068045B" w:rsidP="00626208">
      <w:pPr>
        <w:jc w:val="both"/>
        <w:rPr>
          <w:lang w:val="de-DE"/>
        </w:rPr>
      </w:pPr>
    </w:p>
    <w:p w14:paraId="1403E883" w14:textId="29FB4696" w:rsidR="0068045B" w:rsidRPr="004676F5" w:rsidRDefault="0068045B" w:rsidP="00626208">
      <w:pPr>
        <w:jc w:val="both"/>
        <w:rPr>
          <w:lang w:val="de-DE"/>
        </w:rPr>
      </w:pPr>
      <w:r w:rsidRPr="004676F5">
        <w:rPr>
          <w:lang w:val="de-DE"/>
        </w:rPr>
        <w:tab/>
        <w:t>[Betreffen Maßnahmen, die in Anwendung von Buch VI zu treffen sind, geistige Leistungen, die Freiberuflern eigen sind, so werden diese Maßnahmen gemäß den Absätzen 3 und 4 gegebenenfalls gemeinsam von den für Justiz, für Wirtschaft, KMB und Mittelstand und für Volksgesundheit zuständigen Ministern vorgeschlagen und von ihnen in gegenseitigem Einvernehmen ausgeführt, jeder für seinen Bereich.]</w:t>
      </w:r>
    </w:p>
    <w:p w14:paraId="27CFBC0A" w14:textId="676D9369" w:rsidR="0068045B" w:rsidRPr="004676F5" w:rsidRDefault="0068045B" w:rsidP="00626208">
      <w:pPr>
        <w:jc w:val="both"/>
        <w:rPr>
          <w:lang w:val="de-DE"/>
        </w:rPr>
      </w:pPr>
    </w:p>
    <w:p w14:paraId="71BD23CB" w14:textId="53E0929B" w:rsidR="0068045B" w:rsidRPr="004676F5" w:rsidRDefault="0068045B" w:rsidP="00626208">
      <w:pPr>
        <w:jc w:val="both"/>
        <w:rPr>
          <w:i/>
          <w:lang w:val="de-DE"/>
        </w:rPr>
      </w:pPr>
      <w:r w:rsidRPr="004676F5">
        <w:rPr>
          <w:i/>
          <w:lang w:val="de-DE"/>
        </w:rPr>
        <w:t>[Art. VI.128 Abs. 5 eingefügt durch Art. 96</w:t>
      </w:r>
      <w:r w:rsidRPr="004676F5">
        <w:rPr>
          <w:i/>
          <w:iCs/>
          <w:lang w:val="de-DE"/>
        </w:rPr>
        <w:t xml:space="preserve"> des G. vom 15. April 2018 (B.S. vom 27. April 2018)]</w:t>
      </w:r>
    </w:p>
    <w:p w14:paraId="5DCFF0B4" w14:textId="77777777" w:rsidR="000B2F0E" w:rsidRPr="004676F5" w:rsidRDefault="000B2F0E">
      <w:pPr>
        <w:rPr>
          <w:lang w:val="de-DE"/>
        </w:rPr>
      </w:pPr>
      <w:r w:rsidRPr="004676F5">
        <w:rPr>
          <w:lang w:val="de-DE"/>
        </w:rPr>
        <w:br w:type="page"/>
      </w:r>
    </w:p>
    <w:p w14:paraId="0D5214EB" w14:textId="77777777" w:rsidR="000B2F0E" w:rsidRPr="004676F5" w:rsidRDefault="00BE1ABA" w:rsidP="000B2F0E">
      <w:pPr>
        <w:jc w:val="center"/>
        <w:rPr>
          <w:lang w:val="de-DE"/>
        </w:rPr>
      </w:pPr>
      <w:r w:rsidRPr="004676F5">
        <w:rPr>
          <w:lang w:val="de-DE"/>
        </w:rPr>
        <w:lastRenderedPageBreak/>
        <w:t>[</w:t>
      </w:r>
      <w:r w:rsidR="000B2F0E" w:rsidRPr="004676F5">
        <w:rPr>
          <w:lang w:val="de-DE"/>
        </w:rPr>
        <w:t>Anlage 1</w:t>
      </w:r>
      <w:r w:rsidRPr="004676F5">
        <w:rPr>
          <w:lang w:val="de-DE"/>
        </w:rPr>
        <w:t>]</w:t>
      </w:r>
    </w:p>
    <w:p w14:paraId="20F92196" w14:textId="77777777" w:rsidR="000B2F0E" w:rsidRPr="004676F5" w:rsidRDefault="000B2F0E" w:rsidP="000B2F0E">
      <w:pPr>
        <w:jc w:val="center"/>
        <w:rPr>
          <w:lang w:val="de-DE"/>
        </w:rPr>
      </w:pPr>
    </w:p>
    <w:p w14:paraId="108A4366" w14:textId="48098EF3" w:rsidR="00BE1ABA" w:rsidRPr="004676F5" w:rsidRDefault="00BE1ABA" w:rsidP="00BE1ABA">
      <w:pPr>
        <w:jc w:val="both"/>
        <w:rPr>
          <w:i/>
          <w:lang w:val="de-DE"/>
        </w:rPr>
      </w:pPr>
      <w:r w:rsidRPr="004676F5">
        <w:rPr>
          <w:i/>
          <w:lang w:val="de-DE"/>
        </w:rPr>
        <w:t>[Anlage 1 eingefügt durch G. vom 21. Dezember 2013 (B.S. vom 30. Dezember 2013, Err.</w:t>
      </w:r>
      <w:r w:rsidR="0051705A" w:rsidRPr="004676F5">
        <w:rPr>
          <w:i/>
          <w:lang w:val="de-DE"/>
        </w:rPr>
        <w:t> </w:t>
      </w:r>
      <w:r w:rsidRPr="004676F5">
        <w:rPr>
          <w:i/>
          <w:lang w:val="de-DE"/>
        </w:rPr>
        <w:t>vom 20. Januar 2014)</w:t>
      </w:r>
      <w:r w:rsidR="00674794" w:rsidRPr="004676F5">
        <w:rPr>
          <w:i/>
          <w:lang w:val="de-DE"/>
        </w:rPr>
        <w:t xml:space="preserve"> und abgeändert durch Art. 32 Nr. 1 und 2</w:t>
      </w:r>
      <w:r w:rsidR="00674794" w:rsidRPr="004676F5">
        <w:rPr>
          <w:i/>
          <w:iCs/>
          <w:lang w:val="de-DE"/>
        </w:rPr>
        <w:t xml:space="preserve"> des G. vom 8. Mai 2022 (B.S. vom 2. Juni 2022)</w:t>
      </w:r>
      <w:r w:rsidRPr="004676F5">
        <w:rPr>
          <w:i/>
          <w:lang w:val="de-DE"/>
        </w:rPr>
        <w:t>]</w:t>
      </w:r>
    </w:p>
    <w:p w14:paraId="2348539C" w14:textId="77777777" w:rsidR="00BE1ABA" w:rsidRPr="004676F5" w:rsidRDefault="00BE1ABA" w:rsidP="000B2F0E">
      <w:pPr>
        <w:jc w:val="center"/>
        <w:rPr>
          <w:i/>
          <w:lang w:val="de-DE"/>
        </w:rPr>
      </w:pPr>
    </w:p>
    <w:p w14:paraId="28BC39F3" w14:textId="77777777" w:rsidR="00BE1ABA" w:rsidRPr="004676F5" w:rsidRDefault="00BE1ABA" w:rsidP="000B2F0E">
      <w:pPr>
        <w:jc w:val="center"/>
        <w:rPr>
          <w:i/>
          <w:lang w:val="de-DE"/>
        </w:rPr>
      </w:pPr>
    </w:p>
    <w:p w14:paraId="5807F48B" w14:textId="77777777" w:rsidR="000B2F0E" w:rsidRPr="004676F5" w:rsidRDefault="000B2F0E" w:rsidP="000B2F0E">
      <w:pPr>
        <w:jc w:val="center"/>
        <w:rPr>
          <w:lang w:val="de-DE"/>
        </w:rPr>
      </w:pPr>
      <w:r w:rsidRPr="004676F5">
        <w:rPr>
          <w:lang w:val="de-DE"/>
        </w:rPr>
        <w:t>MUSTER-WIDERRUFSBELEHRUNG</w:t>
      </w:r>
    </w:p>
    <w:p w14:paraId="443D6D76" w14:textId="77777777" w:rsidR="000B2F0E" w:rsidRPr="004676F5" w:rsidRDefault="000B2F0E" w:rsidP="000B2F0E">
      <w:pPr>
        <w:jc w:val="both"/>
        <w:rPr>
          <w:lang w:val="de-DE"/>
        </w:rPr>
      </w:pPr>
    </w:p>
    <w:p w14:paraId="039D101A" w14:textId="77777777" w:rsidR="000B2F0E" w:rsidRPr="004676F5" w:rsidRDefault="000B2F0E" w:rsidP="000B2F0E">
      <w:pPr>
        <w:jc w:val="both"/>
        <w:rPr>
          <w:b/>
          <w:lang w:val="de-DE"/>
        </w:rPr>
      </w:pPr>
      <w:r w:rsidRPr="004676F5">
        <w:rPr>
          <w:lang w:val="de-DE"/>
        </w:rPr>
        <w:tab/>
      </w:r>
      <w:r w:rsidRPr="004676F5">
        <w:rPr>
          <w:b/>
          <w:lang w:val="de-DE"/>
        </w:rPr>
        <w:t>Widerrufsrecht</w:t>
      </w:r>
    </w:p>
    <w:p w14:paraId="3B7F6CD1" w14:textId="77777777" w:rsidR="000B2F0E" w:rsidRPr="004676F5" w:rsidRDefault="000B2F0E" w:rsidP="000B2F0E">
      <w:pPr>
        <w:jc w:val="both"/>
        <w:rPr>
          <w:lang w:val="de-DE"/>
        </w:rPr>
      </w:pPr>
    </w:p>
    <w:p w14:paraId="227E70AF" w14:textId="77777777" w:rsidR="000B2F0E" w:rsidRPr="004676F5" w:rsidRDefault="000B2F0E" w:rsidP="000B2F0E">
      <w:pPr>
        <w:jc w:val="both"/>
        <w:rPr>
          <w:lang w:val="de-DE"/>
        </w:rPr>
      </w:pPr>
      <w:r w:rsidRPr="004676F5">
        <w:rPr>
          <w:lang w:val="de-DE"/>
        </w:rPr>
        <w:tab/>
        <w:t>Sie haben das Recht, binnen vierzehn Tagen ohne Angabe von Gründen diesen Vertrag zu widerrufen.</w:t>
      </w:r>
    </w:p>
    <w:p w14:paraId="67B5AC7C" w14:textId="77777777" w:rsidR="000B2F0E" w:rsidRPr="004676F5" w:rsidRDefault="000B2F0E" w:rsidP="000B2F0E">
      <w:pPr>
        <w:jc w:val="both"/>
        <w:rPr>
          <w:lang w:val="de-DE"/>
        </w:rPr>
      </w:pPr>
    </w:p>
    <w:p w14:paraId="3FA6F2C1" w14:textId="77777777" w:rsidR="000B2F0E" w:rsidRPr="004676F5" w:rsidRDefault="000B2F0E" w:rsidP="000B2F0E">
      <w:pPr>
        <w:jc w:val="both"/>
        <w:rPr>
          <w:lang w:val="de-DE"/>
        </w:rPr>
      </w:pPr>
      <w:r w:rsidRPr="004676F5">
        <w:rPr>
          <w:lang w:val="de-DE"/>
        </w:rPr>
        <w:tab/>
        <w:t>Die Widerrufsfrist beträgt vierzehn Tage ab dem Tag </w:t>
      </w:r>
      <w:r w:rsidRPr="004676F5">
        <w:rPr>
          <w:b/>
          <w:bCs/>
          <w:lang w:val="de-DE"/>
        </w:rPr>
        <w:t>(1)</w:t>
      </w:r>
      <w:r w:rsidRPr="004676F5">
        <w:rPr>
          <w:lang w:val="de-DE"/>
        </w:rPr>
        <w:t>.</w:t>
      </w:r>
    </w:p>
    <w:p w14:paraId="02BBAA90" w14:textId="77777777" w:rsidR="000B2F0E" w:rsidRPr="004676F5" w:rsidRDefault="000B2F0E" w:rsidP="000B2F0E">
      <w:pPr>
        <w:jc w:val="both"/>
        <w:rPr>
          <w:lang w:val="de-DE"/>
        </w:rPr>
      </w:pPr>
    </w:p>
    <w:p w14:paraId="748AFE9F" w14:textId="515ABDF7" w:rsidR="000B2F0E" w:rsidRPr="004676F5" w:rsidRDefault="000B2F0E" w:rsidP="000B2F0E">
      <w:pPr>
        <w:jc w:val="both"/>
        <w:rPr>
          <w:lang w:val="de-DE"/>
        </w:rPr>
      </w:pPr>
      <w:r w:rsidRPr="004676F5">
        <w:rPr>
          <w:lang w:val="de-DE"/>
        </w:rPr>
        <w:tab/>
      </w:r>
      <w:r w:rsidR="00674794" w:rsidRPr="004676F5">
        <w:rPr>
          <w:lang w:val="de-DE"/>
        </w:rPr>
        <w:t>[Um Ihr Widerrufsrecht auszuüben, müssen Sie uns </w:t>
      </w:r>
      <w:r w:rsidR="00674794" w:rsidRPr="004676F5">
        <w:rPr>
          <w:b/>
          <w:bCs/>
          <w:lang w:val="de-DE"/>
        </w:rPr>
        <w:t>(2)</w:t>
      </w:r>
      <w:r w:rsidR="00674794" w:rsidRPr="004676F5">
        <w:rPr>
          <w:lang w:val="de-DE"/>
        </w:rPr>
        <w:t xml:space="preserve"> mittels einer eindeutigen Erklärung (z. B. mit der Post versandter Brief oder E-Mail) über Ihren Entschluss, diesen Vertrag zu widerrufen, informieren. Sie können dafür das beigefügte Muster-Widerrufsformular verwenden, das jedoch nicht vorgeschrieben ist. </w:t>
      </w:r>
      <w:r w:rsidR="00674794" w:rsidRPr="004676F5">
        <w:rPr>
          <w:b/>
          <w:bCs/>
          <w:lang w:val="de-DE"/>
        </w:rPr>
        <w:t>(3)</w:t>
      </w:r>
      <w:r w:rsidR="00674794" w:rsidRPr="004676F5">
        <w:rPr>
          <w:lang w:val="de-DE"/>
        </w:rPr>
        <w:t>]</w:t>
      </w:r>
    </w:p>
    <w:p w14:paraId="13570F54" w14:textId="77777777" w:rsidR="000B2F0E" w:rsidRPr="004676F5" w:rsidRDefault="000B2F0E" w:rsidP="000B2F0E">
      <w:pPr>
        <w:jc w:val="both"/>
        <w:rPr>
          <w:lang w:val="de-DE"/>
        </w:rPr>
      </w:pPr>
    </w:p>
    <w:p w14:paraId="0DF3D3C6" w14:textId="77777777" w:rsidR="000B2F0E" w:rsidRPr="004676F5" w:rsidRDefault="000B2F0E" w:rsidP="000B2F0E">
      <w:pPr>
        <w:jc w:val="both"/>
        <w:rPr>
          <w:lang w:val="de-DE"/>
        </w:rPr>
      </w:pPr>
      <w:r w:rsidRPr="004676F5">
        <w:rPr>
          <w:lang w:val="de-DE"/>
        </w:rPr>
        <w:tab/>
        <w:t>Zur Wahrung der Widerrufsfrist reicht es aus, dass Sie die Mitteilung über die Ausübung des Widerrufsrechts vor Ablauf der Widerrufsfrist absenden.</w:t>
      </w:r>
    </w:p>
    <w:p w14:paraId="5E1006A1" w14:textId="77777777" w:rsidR="000B2F0E" w:rsidRPr="004676F5" w:rsidRDefault="000B2F0E" w:rsidP="000B2F0E">
      <w:pPr>
        <w:jc w:val="both"/>
        <w:rPr>
          <w:lang w:val="de-DE"/>
        </w:rPr>
      </w:pPr>
    </w:p>
    <w:p w14:paraId="27DB3511" w14:textId="77777777" w:rsidR="000B2F0E" w:rsidRPr="004676F5" w:rsidRDefault="000B2F0E" w:rsidP="000B2F0E">
      <w:pPr>
        <w:jc w:val="both"/>
        <w:rPr>
          <w:b/>
          <w:lang w:val="de-DE"/>
        </w:rPr>
      </w:pPr>
      <w:r w:rsidRPr="004676F5">
        <w:rPr>
          <w:lang w:val="de-DE"/>
        </w:rPr>
        <w:tab/>
      </w:r>
      <w:r w:rsidRPr="004676F5">
        <w:rPr>
          <w:b/>
          <w:lang w:val="de-DE"/>
        </w:rPr>
        <w:t>1. Folgen des Widerrufs</w:t>
      </w:r>
    </w:p>
    <w:p w14:paraId="1F8F9A34" w14:textId="77777777" w:rsidR="000B2F0E" w:rsidRPr="004676F5" w:rsidRDefault="000B2F0E" w:rsidP="000B2F0E">
      <w:pPr>
        <w:jc w:val="both"/>
        <w:rPr>
          <w:lang w:val="de-DE"/>
        </w:rPr>
      </w:pPr>
    </w:p>
    <w:p w14:paraId="631B8C3D" w14:textId="77777777" w:rsidR="000B2F0E" w:rsidRPr="004676F5" w:rsidRDefault="000B2F0E" w:rsidP="000B2F0E">
      <w:pPr>
        <w:jc w:val="both"/>
        <w:rPr>
          <w:lang w:val="de-DE"/>
        </w:rPr>
      </w:pPr>
      <w:r w:rsidRPr="004676F5">
        <w:rPr>
          <w:lang w:val="de-DE"/>
        </w:rPr>
        <w:tab/>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r w:rsidRPr="004676F5">
        <w:rPr>
          <w:b/>
          <w:lang w:val="de-DE"/>
        </w:rPr>
        <w:t>(4)</w:t>
      </w:r>
    </w:p>
    <w:p w14:paraId="32DFE7B6" w14:textId="77777777" w:rsidR="000B2F0E" w:rsidRPr="004676F5" w:rsidRDefault="000B2F0E" w:rsidP="000B2F0E">
      <w:pPr>
        <w:jc w:val="both"/>
        <w:rPr>
          <w:lang w:val="de-DE"/>
        </w:rPr>
      </w:pPr>
    </w:p>
    <w:p w14:paraId="52C90C01" w14:textId="77777777" w:rsidR="000B2F0E" w:rsidRPr="004676F5" w:rsidRDefault="000B2F0E" w:rsidP="000B2F0E">
      <w:pPr>
        <w:jc w:val="both"/>
        <w:rPr>
          <w:b/>
          <w:lang w:val="de-DE"/>
        </w:rPr>
      </w:pPr>
      <w:r w:rsidRPr="004676F5">
        <w:rPr>
          <w:lang w:val="de-DE"/>
        </w:rPr>
        <w:tab/>
      </w:r>
      <w:r w:rsidRPr="004676F5">
        <w:rPr>
          <w:b/>
          <w:lang w:val="de-DE"/>
        </w:rPr>
        <w:t>(5)</w:t>
      </w:r>
    </w:p>
    <w:p w14:paraId="05DE68DE" w14:textId="77777777" w:rsidR="000B2F0E" w:rsidRPr="004676F5" w:rsidRDefault="000B2F0E" w:rsidP="000B2F0E">
      <w:pPr>
        <w:jc w:val="both"/>
        <w:rPr>
          <w:lang w:val="de-DE"/>
        </w:rPr>
      </w:pPr>
    </w:p>
    <w:p w14:paraId="4069D2B5" w14:textId="77777777" w:rsidR="000B2F0E" w:rsidRPr="004676F5" w:rsidRDefault="000B2F0E" w:rsidP="000B2F0E">
      <w:pPr>
        <w:jc w:val="both"/>
        <w:rPr>
          <w:b/>
          <w:lang w:val="de-DE"/>
        </w:rPr>
      </w:pPr>
      <w:r w:rsidRPr="004676F5">
        <w:rPr>
          <w:lang w:val="de-DE"/>
        </w:rPr>
        <w:tab/>
      </w:r>
      <w:r w:rsidRPr="004676F5">
        <w:rPr>
          <w:b/>
          <w:lang w:val="de-DE"/>
        </w:rPr>
        <w:t>(6)</w:t>
      </w:r>
    </w:p>
    <w:p w14:paraId="36C53D3A" w14:textId="77777777" w:rsidR="000B2F0E" w:rsidRPr="004676F5" w:rsidRDefault="000B2F0E" w:rsidP="000B2F0E">
      <w:pPr>
        <w:jc w:val="both"/>
        <w:rPr>
          <w:lang w:val="de-DE"/>
        </w:rPr>
      </w:pPr>
    </w:p>
    <w:p w14:paraId="47CA9AE2" w14:textId="77777777" w:rsidR="000B2F0E" w:rsidRPr="004676F5" w:rsidRDefault="000B2F0E" w:rsidP="000B2F0E">
      <w:pPr>
        <w:jc w:val="both"/>
        <w:rPr>
          <w:b/>
          <w:lang w:val="de-DE"/>
        </w:rPr>
      </w:pPr>
      <w:r w:rsidRPr="004676F5">
        <w:rPr>
          <w:lang w:val="de-DE"/>
        </w:rPr>
        <w:tab/>
      </w:r>
      <w:r w:rsidRPr="004676F5">
        <w:rPr>
          <w:b/>
          <w:lang w:val="de-DE"/>
        </w:rPr>
        <w:t>2. Gestaltungshinweise:</w:t>
      </w:r>
    </w:p>
    <w:p w14:paraId="42A4AE83" w14:textId="77777777" w:rsidR="000B2F0E" w:rsidRPr="004676F5" w:rsidRDefault="000B2F0E" w:rsidP="000B2F0E">
      <w:pPr>
        <w:jc w:val="both"/>
        <w:rPr>
          <w:lang w:val="de-DE"/>
        </w:rPr>
      </w:pPr>
    </w:p>
    <w:p w14:paraId="42C7AC55" w14:textId="77777777" w:rsidR="000B2F0E" w:rsidRPr="004676F5" w:rsidRDefault="000B2F0E" w:rsidP="000B2F0E">
      <w:pPr>
        <w:jc w:val="both"/>
        <w:rPr>
          <w:b/>
          <w:lang w:val="de-DE"/>
        </w:rPr>
      </w:pPr>
      <w:r w:rsidRPr="004676F5">
        <w:rPr>
          <w:lang w:val="de-DE"/>
        </w:rPr>
        <w:tab/>
      </w:r>
      <w:r w:rsidRPr="004676F5">
        <w:rPr>
          <w:b/>
          <w:lang w:val="de-DE"/>
        </w:rPr>
        <w:t>(1) Fügen Sie einen der folgenden in Anführungszeichen gesetzten Textbausteine ein:</w:t>
      </w:r>
    </w:p>
    <w:p w14:paraId="012B236E" w14:textId="77777777" w:rsidR="000B2F0E" w:rsidRPr="004676F5" w:rsidRDefault="000B2F0E" w:rsidP="000B2F0E">
      <w:pPr>
        <w:jc w:val="both"/>
        <w:rPr>
          <w:lang w:val="de-DE"/>
        </w:rPr>
      </w:pPr>
    </w:p>
    <w:p w14:paraId="6EFAF1AC" w14:textId="77777777" w:rsidR="000B2F0E" w:rsidRPr="004676F5" w:rsidRDefault="000B2F0E" w:rsidP="000B2F0E">
      <w:pPr>
        <w:jc w:val="both"/>
        <w:rPr>
          <w:lang w:val="de-DE"/>
        </w:rPr>
      </w:pPr>
      <w:r w:rsidRPr="004676F5">
        <w:rPr>
          <w:lang w:val="de-DE"/>
        </w:rPr>
        <w:tab/>
      </w:r>
      <w:r w:rsidRPr="004676F5">
        <w:rPr>
          <w:i/>
          <w:lang w:val="de-DE"/>
        </w:rPr>
        <w:t>a)</w:t>
      </w:r>
      <w:r w:rsidRPr="004676F5">
        <w:rPr>
          <w:lang w:val="de-DE"/>
        </w:rPr>
        <w:t> im Falle eines Dienstleistungsvertrags oder eines Vertrags über die Lieferung von Wasser, Gas oder Strom, wenn sie nicht in einem begrenzten Volumen oder in einer bestimmten Menge zum Verkauf angeboten werden, von Fernwärme oder von digitalen Inhalten, die nicht auf einem körperlichen Datenträger geliefert werden: "des Vertragsabschlusses.",</w:t>
      </w:r>
    </w:p>
    <w:p w14:paraId="2C1654F7" w14:textId="77777777" w:rsidR="000B2F0E" w:rsidRPr="004676F5" w:rsidRDefault="000B2F0E" w:rsidP="000B2F0E">
      <w:pPr>
        <w:jc w:val="both"/>
        <w:rPr>
          <w:lang w:val="de-DE"/>
        </w:rPr>
      </w:pPr>
    </w:p>
    <w:p w14:paraId="6FC641F2" w14:textId="77777777" w:rsidR="000B2F0E" w:rsidRPr="004676F5" w:rsidRDefault="000B2F0E" w:rsidP="000B2F0E">
      <w:pPr>
        <w:jc w:val="both"/>
        <w:rPr>
          <w:lang w:val="de-DE"/>
        </w:rPr>
      </w:pPr>
      <w:r w:rsidRPr="004676F5">
        <w:rPr>
          <w:lang w:val="de-DE"/>
        </w:rPr>
        <w:tab/>
      </w:r>
      <w:r w:rsidRPr="004676F5">
        <w:rPr>
          <w:i/>
          <w:lang w:val="de-DE"/>
        </w:rPr>
        <w:t>b)</w:t>
      </w:r>
      <w:r w:rsidRPr="004676F5">
        <w:rPr>
          <w:lang w:val="de-DE"/>
        </w:rPr>
        <w:t> im Falle eines Kaufvertrags: ", an dem Sie oder ein von Ihnen benannter Dritter, der nicht der Beförderer ist, die Waren in Besitz genommen haben bzw. hat.",</w:t>
      </w:r>
    </w:p>
    <w:p w14:paraId="23DCE64A" w14:textId="77777777" w:rsidR="000B2F0E" w:rsidRPr="004676F5" w:rsidRDefault="000B2F0E" w:rsidP="000B2F0E">
      <w:pPr>
        <w:jc w:val="both"/>
        <w:rPr>
          <w:lang w:val="de-DE"/>
        </w:rPr>
      </w:pPr>
    </w:p>
    <w:p w14:paraId="6C7B64A5" w14:textId="77777777" w:rsidR="000B2F0E" w:rsidRPr="004676F5" w:rsidRDefault="000B2F0E" w:rsidP="000B2F0E">
      <w:pPr>
        <w:jc w:val="both"/>
        <w:rPr>
          <w:lang w:val="de-DE"/>
        </w:rPr>
      </w:pPr>
      <w:r w:rsidRPr="004676F5">
        <w:rPr>
          <w:lang w:val="de-DE"/>
        </w:rPr>
        <w:tab/>
      </w:r>
      <w:r w:rsidRPr="004676F5">
        <w:rPr>
          <w:i/>
          <w:lang w:val="de-DE"/>
        </w:rPr>
        <w:t>c)</w:t>
      </w:r>
      <w:r w:rsidRPr="004676F5">
        <w:rPr>
          <w:lang w:val="de-DE"/>
        </w:rPr>
        <w:t> im Falle eines Vertrags über mehrere Waren, die der Verbraucher im Rahmen einer einheitlichen Bestellung bestellt hat und die getrennt geliefert werden: ", an dem Sie oder ein von Ihnen benannter Dritter, der nicht der Beförderer ist, die letzte Ware in Besitz genommen haben bzw. hat.",</w:t>
      </w:r>
    </w:p>
    <w:p w14:paraId="54D0FDE2" w14:textId="77777777" w:rsidR="000B2F0E" w:rsidRPr="004676F5" w:rsidRDefault="000B2F0E" w:rsidP="000B2F0E">
      <w:pPr>
        <w:jc w:val="both"/>
        <w:rPr>
          <w:lang w:val="de-DE"/>
        </w:rPr>
      </w:pPr>
    </w:p>
    <w:p w14:paraId="70A8AF53" w14:textId="77777777" w:rsidR="000B2F0E" w:rsidRPr="004676F5" w:rsidRDefault="000B2F0E" w:rsidP="000B2F0E">
      <w:pPr>
        <w:jc w:val="both"/>
        <w:rPr>
          <w:lang w:val="de-DE"/>
        </w:rPr>
      </w:pPr>
      <w:r w:rsidRPr="004676F5">
        <w:rPr>
          <w:lang w:val="de-DE"/>
        </w:rPr>
        <w:tab/>
      </w:r>
      <w:r w:rsidRPr="004676F5">
        <w:rPr>
          <w:i/>
          <w:lang w:val="de-DE"/>
        </w:rPr>
        <w:t>d)</w:t>
      </w:r>
      <w:r w:rsidRPr="004676F5">
        <w:rPr>
          <w:lang w:val="de-DE"/>
        </w:rPr>
        <w:t> im Falle eines Vertrags über die Lieferung einer Ware in mehreren Teilsendungen oder Stücken: ", an dem Sie oder ein von Ihnen benannter Dritter, der nicht der Beförderer ist, die letzte Teilsendung oder das letzte Stück in Besitz genommen haben bzw. hat.",</w:t>
      </w:r>
    </w:p>
    <w:p w14:paraId="125AF665" w14:textId="77777777" w:rsidR="000B2F0E" w:rsidRPr="004676F5" w:rsidRDefault="000B2F0E" w:rsidP="000B2F0E">
      <w:pPr>
        <w:jc w:val="both"/>
        <w:rPr>
          <w:lang w:val="de-DE"/>
        </w:rPr>
      </w:pPr>
    </w:p>
    <w:p w14:paraId="46AB4241" w14:textId="77777777" w:rsidR="000B2F0E" w:rsidRPr="004676F5" w:rsidRDefault="000B2F0E" w:rsidP="000B2F0E">
      <w:pPr>
        <w:jc w:val="both"/>
        <w:rPr>
          <w:lang w:val="de-DE"/>
        </w:rPr>
      </w:pPr>
      <w:r w:rsidRPr="004676F5">
        <w:rPr>
          <w:lang w:val="de-DE"/>
        </w:rPr>
        <w:tab/>
      </w:r>
      <w:r w:rsidRPr="004676F5">
        <w:rPr>
          <w:i/>
          <w:lang w:val="de-DE"/>
        </w:rPr>
        <w:t>e)</w:t>
      </w:r>
      <w:r w:rsidRPr="004676F5">
        <w:rPr>
          <w:lang w:val="de-DE"/>
        </w:rPr>
        <w:t> im Falle eines Vertrags zur regelmäßigen Lieferung von Waren über einen festgelegten Zeitraum hinweg: ", an dem Sie oder ein von Ihnen benannter Dritter, der nicht der Beförderer ist, die erste Ware in Besitz genommen haben bzw. hat."</w:t>
      </w:r>
    </w:p>
    <w:p w14:paraId="33198EFB" w14:textId="77777777" w:rsidR="000B2F0E" w:rsidRPr="004676F5" w:rsidRDefault="000B2F0E" w:rsidP="000B2F0E">
      <w:pPr>
        <w:jc w:val="both"/>
        <w:rPr>
          <w:lang w:val="de-DE"/>
        </w:rPr>
      </w:pPr>
    </w:p>
    <w:p w14:paraId="768F0514" w14:textId="70224B6D" w:rsidR="000B2F0E" w:rsidRPr="004676F5" w:rsidRDefault="000B2F0E" w:rsidP="000B2F0E">
      <w:pPr>
        <w:jc w:val="both"/>
        <w:rPr>
          <w:bCs/>
          <w:lang w:val="de-DE"/>
        </w:rPr>
      </w:pPr>
      <w:r w:rsidRPr="004676F5">
        <w:rPr>
          <w:lang w:val="de-DE"/>
        </w:rPr>
        <w:tab/>
      </w:r>
      <w:r w:rsidRPr="004676F5">
        <w:rPr>
          <w:b/>
          <w:lang w:val="de-DE"/>
        </w:rPr>
        <w:t>(2) </w:t>
      </w:r>
      <w:r w:rsidR="00674794" w:rsidRPr="004676F5">
        <w:rPr>
          <w:bCs/>
          <w:lang w:val="de-DE"/>
        </w:rPr>
        <w:t>[</w:t>
      </w:r>
      <w:r w:rsidR="00674794" w:rsidRPr="004676F5">
        <w:rPr>
          <w:b/>
          <w:lang w:val="de-DE"/>
        </w:rPr>
        <w:t>Fügen Sie Ihren Namen, Ihre Anschrift, Ihre Telefonnummer und E-Mail-Adresse ein.</w:t>
      </w:r>
      <w:r w:rsidR="00674794" w:rsidRPr="004676F5">
        <w:rPr>
          <w:bCs/>
          <w:lang w:val="de-DE"/>
        </w:rPr>
        <w:t>]</w:t>
      </w:r>
    </w:p>
    <w:p w14:paraId="67C2BE8F" w14:textId="77777777" w:rsidR="000B2F0E" w:rsidRPr="004676F5" w:rsidRDefault="000B2F0E" w:rsidP="000B2F0E">
      <w:pPr>
        <w:jc w:val="both"/>
        <w:rPr>
          <w:lang w:val="de-DE"/>
        </w:rPr>
      </w:pPr>
    </w:p>
    <w:p w14:paraId="35155C2D" w14:textId="77777777" w:rsidR="000B2F0E" w:rsidRPr="004676F5" w:rsidRDefault="000B2F0E" w:rsidP="000B2F0E">
      <w:pPr>
        <w:jc w:val="both"/>
        <w:rPr>
          <w:lang w:val="de-DE"/>
        </w:rPr>
      </w:pPr>
      <w:r w:rsidRPr="004676F5">
        <w:rPr>
          <w:lang w:val="de-DE"/>
        </w:rPr>
        <w:tab/>
      </w:r>
      <w:r w:rsidRPr="004676F5">
        <w:rPr>
          <w:b/>
          <w:lang w:val="de-DE"/>
        </w:rPr>
        <w:t>(3) Wenn Sie dem Verbraucher die Wahl einräumen, die Information über seinen Widerruf des Vertrags auf Ihrer Webseite elektronisch auszufüllen und zu übermitteln, fügen Sie Folgendes ein:</w:t>
      </w:r>
      <w:r w:rsidRPr="004676F5">
        <w:rPr>
          <w:lang w:val="de-DE"/>
        </w:rPr>
        <w:t xml:space="preserve"> "Sie können das Muster-Widerrufsformular oder eine andere eindeutige Erklärung auch auf unserer Webseite [Internet-Adresse einfügen] elektronisch ausfüllen und übermitteln. Machen Sie von dieser Möglichkeit Gebrauch, so werden wir Ihnen unverzüglich auf einem dauerhaften Datenträger (z. B. per E-Mail) eine Bestätigung über den Eingang eines solchen Widerrufs übermitteln."</w:t>
      </w:r>
    </w:p>
    <w:p w14:paraId="0F7DF73A" w14:textId="77777777" w:rsidR="000B2F0E" w:rsidRPr="004676F5" w:rsidRDefault="000B2F0E" w:rsidP="000B2F0E">
      <w:pPr>
        <w:jc w:val="both"/>
        <w:rPr>
          <w:lang w:val="de-DE"/>
        </w:rPr>
      </w:pPr>
    </w:p>
    <w:p w14:paraId="6E822D7B" w14:textId="77777777" w:rsidR="000B2F0E" w:rsidRPr="004676F5" w:rsidRDefault="000B2F0E" w:rsidP="000B2F0E">
      <w:pPr>
        <w:jc w:val="both"/>
        <w:rPr>
          <w:lang w:val="de-DE"/>
        </w:rPr>
      </w:pPr>
      <w:r w:rsidRPr="004676F5">
        <w:rPr>
          <w:lang w:val="de-DE"/>
        </w:rPr>
        <w:tab/>
      </w:r>
      <w:r w:rsidRPr="004676F5">
        <w:rPr>
          <w:b/>
          <w:lang w:val="de-DE"/>
        </w:rPr>
        <w:t>(4) Im Falle von Kaufverträgen, in denen Sie nicht angeboten haben, im Fall des Widerrufs die Waren selbst abzuholen, fügen Sie Folgendes ein:</w:t>
      </w:r>
      <w:r w:rsidRPr="004676F5">
        <w:rPr>
          <w:lang w:val="de-DE"/>
        </w:rPr>
        <w:t xml:space="preserve"> "Wir können die Rückzahlung verweigern, bis wir die Waren wieder zurückerhalten haben oder bis Sie den Nachweis erbracht haben, dass Sie die Waren zurückgesandt haben, je nachdem, welches der frühere Zeitpunkt ist."</w:t>
      </w:r>
    </w:p>
    <w:p w14:paraId="1317B77B" w14:textId="77777777" w:rsidR="000B2F0E" w:rsidRPr="004676F5" w:rsidRDefault="000B2F0E" w:rsidP="000B2F0E">
      <w:pPr>
        <w:jc w:val="both"/>
        <w:rPr>
          <w:lang w:val="de-DE"/>
        </w:rPr>
      </w:pPr>
    </w:p>
    <w:p w14:paraId="0FE69D76" w14:textId="77777777" w:rsidR="000B2F0E" w:rsidRPr="004676F5" w:rsidRDefault="000B2F0E" w:rsidP="000B2F0E">
      <w:pPr>
        <w:jc w:val="both"/>
        <w:rPr>
          <w:lang w:val="de-DE"/>
        </w:rPr>
      </w:pPr>
      <w:r w:rsidRPr="004676F5">
        <w:rPr>
          <w:lang w:val="de-DE"/>
        </w:rPr>
        <w:tab/>
        <w:t>(</w:t>
      </w:r>
      <w:r w:rsidRPr="004676F5">
        <w:rPr>
          <w:b/>
          <w:lang w:val="de-DE"/>
        </w:rPr>
        <w:t>5) Wenn der Verbraucher Waren im Zusammenhang mit dem Vertrag erhalten hat:</w:t>
      </w:r>
    </w:p>
    <w:p w14:paraId="1D337F0D" w14:textId="77777777" w:rsidR="000B2F0E" w:rsidRPr="004676F5" w:rsidRDefault="000B2F0E" w:rsidP="000B2F0E">
      <w:pPr>
        <w:jc w:val="both"/>
        <w:rPr>
          <w:lang w:val="de-DE"/>
        </w:rPr>
      </w:pPr>
    </w:p>
    <w:p w14:paraId="5B9DDEA0" w14:textId="77777777" w:rsidR="000B2F0E" w:rsidRPr="004676F5" w:rsidRDefault="000B2F0E" w:rsidP="000B2F0E">
      <w:pPr>
        <w:jc w:val="both"/>
        <w:rPr>
          <w:b/>
          <w:lang w:val="de-DE"/>
        </w:rPr>
      </w:pPr>
      <w:r w:rsidRPr="004676F5">
        <w:rPr>
          <w:lang w:val="de-DE"/>
        </w:rPr>
        <w:tab/>
      </w:r>
      <w:r w:rsidRPr="004676F5">
        <w:rPr>
          <w:b/>
          <w:i/>
          <w:lang w:val="de-DE"/>
        </w:rPr>
        <w:t>a)</w:t>
      </w:r>
      <w:r w:rsidRPr="004676F5">
        <w:rPr>
          <w:b/>
          <w:lang w:val="de-DE"/>
        </w:rPr>
        <w:t> Fügen Sie ein:</w:t>
      </w:r>
    </w:p>
    <w:p w14:paraId="52729636" w14:textId="77777777" w:rsidR="000B2F0E" w:rsidRPr="004676F5" w:rsidRDefault="000B2F0E" w:rsidP="000B2F0E">
      <w:pPr>
        <w:jc w:val="both"/>
        <w:rPr>
          <w:lang w:val="de-DE"/>
        </w:rPr>
      </w:pPr>
    </w:p>
    <w:p w14:paraId="10F979A6" w14:textId="091CFFC4" w:rsidR="000B2F0E" w:rsidRPr="004676F5" w:rsidRDefault="000B2F0E" w:rsidP="000B2F0E">
      <w:pPr>
        <w:jc w:val="both"/>
        <w:rPr>
          <w:lang w:val="de-DE"/>
        </w:rPr>
      </w:pPr>
      <w:r w:rsidRPr="004676F5">
        <w:rPr>
          <w:lang w:val="de-DE"/>
        </w:rPr>
        <w:tab/>
      </w:r>
      <w:r w:rsidR="005B7A5C" w:rsidRPr="004676F5">
        <w:rPr>
          <w:lang w:val="de-DE"/>
        </w:rPr>
        <w:t>- </w:t>
      </w:r>
      <w:r w:rsidRPr="004676F5">
        <w:rPr>
          <w:lang w:val="de-DE"/>
        </w:rPr>
        <w:t>"Wir holen die Waren ab." oder</w:t>
      </w:r>
    </w:p>
    <w:p w14:paraId="4DBC9B96" w14:textId="77777777" w:rsidR="000B2F0E" w:rsidRPr="004676F5" w:rsidRDefault="000B2F0E" w:rsidP="000B2F0E">
      <w:pPr>
        <w:jc w:val="both"/>
        <w:rPr>
          <w:lang w:val="de-DE"/>
        </w:rPr>
      </w:pPr>
    </w:p>
    <w:p w14:paraId="57A9B1DE" w14:textId="0756BA94" w:rsidR="000B2F0E" w:rsidRPr="004676F5" w:rsidRDefault="000B2F0E" w:rsidP="000B2F0E">
      <w:pPr>
        <w:jc w:val="both"/>
        <w:rPr>
          <w:lang w:val="de-DE"/>
        </w:rPr>
      </w:pPr>
      <w:r w:rsidRPr="004676F5">
        <w:rPr>
          <w:lang w:val="de-DE"/>
        </w:rPr>
        <w:tab/>
      </w:r>
      <w:r w:rsidR="005B7A5C" w:rsidRPr="004676F5">
        <w:rPr>
          <w:lang w:val="de-DE"/>
        </w:rPr>
        <w:t>- </w:t>
      </w:r>
      <w:r w:rsidRPr="004676F5">
        <w:rPr>
          <w:lang w:val="de-DE"/>
        </w:rPr>
        <w:t>"Sie haben die Waren unverzüglich und in jedem Fall spätestens binnen vierzehn Tagen ab dem Tag, an dem Sie uns über den Widerruf dieses Vertrags unterrichten, an uns oder an … [hier sind gegebenenfalls der Name und die Anschrift der von Ihnen zur Entgegennahme der Waren ermächtigten Person einzufügen] zurückzusenden oder zu übergeben. Die Frist ist gewahrt, wenn Sie die Waren vor Ablauf der Frist von vierzehn Tagen absenden."</w:t>
      </w:r>
    </w:p>
    <w:p w14:paraId="24196C77" w14:textId="77777777" w:rsidR="000B2F0E" w:rsidRPr="004676F5" w:rsidRDefault="000B2F0E" w:rsidP="000B2F0E">
      <w:pPr>
        <w:jc w:val="both"/>
        <w:rPr>
          <w:lang w:val="de-DE"/>
        </w:rPr>
      </w:pPr>
    </w:p>
    <w:p w14:paraId="7E62CA66" w14:textId="77777777" w:rsidR="000B2F0E" w:rsidRPr="004676F5" w:rsidRDefault="000B2F0E" w:rsidP="000B2F0E">
      <w:pPr>
        <w:jc w:val="both"/>
        <w:rPr>
          <w:b/>
          <w:lang w:val="de-DE"/>
        </w:rPr>
      </w:pPr>
      <w:r w:rsidRPr="004676F5">
        <w:rPr>
          <w:lang w:val="de-DE"/>
        </w:rPr>
        <w:tab/>
      </w:r>
      <w:r w:rsidRPr="004676F5">
        <w:rPr>
          <w:b/>
          <w:i/>
          <w:lang w:val="de-DE"/>
        </w:rPr>
        <w:t>b)</w:t>
      </w:r>
      <w:r w:rsidRPr="004676F5">
        <w:rPr>
          <w:b/>
          <w:lang w:val="de-DE"/>
        </w:rPr>
        <w:t> Fügen Sie ein:</w:t>
      </w:r>
    </w:p>
    <w:p w14:paraId="2EFB9B99" w14:textId="77777777" w:rsidR="000B2F0E" w:rsidRPr="004676F5" w:rsidRDefault="000B2F0E" w:rsidP="000B2F0E">
      <w:pPr>
        <w:jc w:val="both"/>
        <w:rPr>
          <w:lang w:val="de-DE"/>
        </w:rPr>
      </w:pPr>
    </w:p>
    <w:p w14:paraId="058D0FD5" w14:textId="3594978F" w:rsidR="000B2F0E" w:rsidRPr="004676F5" w:rsidRDefault="000B2F0E" w:rsidP="000B2F0E">
      <w:pPr>
        <w:jc w:val="both"/>
        <w:rPr>
          <w:lang w:val="de-DE"/>
        </w:rPr>
      </w:pPr>
      <w:r w:rsidRPr="004676F5">
        <w:rPr>
          <w:lang w:val="de-DE"/>
        </w:rPr>
        <w:tab/>
      </w:r>
      <w:r w:rsidR="005B7A5C" w:rsidRPr="004676F5">
        <w:rPr>
          <w:lang w:val="de-DE"/>
        </w:rPr>
        <w:t>- </w:t>
      </w:r>
      <w:r w:rsidRPr="004676F5">
        <w:rPr>
          <w:lang w:val="de-DE"/>
        </w:rPr>
        <w:t>"Wir tragen die Kosten der Rücksendung der Waren.",</w:t>
      </w:r>
    </w:p>
    <w:p w14:paraId="0FA50A4A" w14:textId="77777777" w:rsidR="000B2F0E" w:rsidRPr="004676F5" w:rsidRDefault="000B2F0E" w:rsidP="000B2F0E">
      <w:pPr>
        <w:jc w:val="both"/>
        <w:rPr>
          <w:lang w:val="de-DE"/>
        </w:rPr>
      </w:pPr>
    </w:p>
    <w:p w14:paraId="49887D4B" w14:textId="77661E0F" w:rsidR="000B2F0E" w:rsidRPr="004676F5" w:rsidRDefault="000B2F0E" w:rsidP="000B2F0E">
      <w:pPr>
        <w:jc w:val="both"/>
        <w:rPr>
          <w:lang w:val="de-DE"/>
        </w:rPr>
      </w:pPr>
      <w:r w:rsidRPr="004676F5">
        <w:rPr>
          <w:lang w:val="de-DE"/>
        </w:rPr>
        <w:tab/>
      </w:r>
      <w:r w:rsidR="005B7A5C" w:rsidRPr="004676F5">
        <w:rPr>
          <w:lang w:val="de-DE"/>
        </w:rPr>
        <w:t>- </w:t>
      </w:r>
      <w:r w:rsidRPr="004676F5">
        <w:rPr>
          <w:lang w:val="de-DE"/>
        </w:rPr>
        <w:t>"Sie tragen die unmittelbaren Kosten der Rücksendung der Waren.",</w:t>
      </w:r>
    </w:p>
    <w:p w14:paraId="143B79DE" w14:textId="77777777" w:rsidR="00BE1ABA" w:rsidRPr="004676F5" w:rsidRDefault="00BE1ABA" w:rsidP="000B2F0E">
      <w:pPr>
        <w:jc w:val="both"/>
        <w:rPr>
          <w:lang w:val="de-DE"/>
        </w:rPr>
      </w:pPr>
    </w:p>
    <w:p w14:paraId="48BF0866" w14:textId="34BFB30F" w:rsidR="000B2F0E" w:rsidRPr="004676F5" w:rsidRDefault="000B2F0E" w:rsidP="000B2F0E">
      <w:pPr>
        <w:jc w:val="both"/>
        <w:rPr>
          <w:lang w:val="de-DE"/>
        </w:rPr>
      </w:pPr>
      <w:r w:rsidRPr="004676F5">
        <w:rPr>
          <w:lang w:val="de-DE"/>
        </w:rPr>
        <w:tab/>
      </w:r>
      <w:r w:rsidR="005B7A5C" w:rsidRPr="004676F5">
        <w:rPr>
          <w:lang w:val="de-DE"/>
        </w:rPr>
        <w:t>- </w:t>
      </w:r>
      <w:r w:rsidRPr="004676F5">
        <w:rPr>
          <w:lang w:val="de-DE"/>
        </w:rPr>
        <w:t xml:space="preserve">Wenn Sie bei einem Fernabsatzvertrag nicht anbieten, die Kosten der Rücksendung der Waren zu tragen und die Waren aufgrund ihrer Beschaffenheit nicht normal mit der Post </w:t>
      </w:r>
      <w:r w:rsidRPr="004676F5">
        <w:rPr>
          <w:lang w:val="de-DE"/>
        </w:rPr>
        <w:lastRenderedPageBreak/>
        <w:t>zurückgesandt werden können: "Sie tragen die unmittelbaren Kosten der Rücksendung der Waren in Höhe von … EUR [Betrag einfügen].", oder wenn die Kosten vernünftigerweise nicht im Voraus berechnet werden können: "Sie tragen die unmittelbaren Kosten der Rücksendung der Waren. Die Kosten werden auf höchstens etwa … EUR [Betrag einfügen] geschätzt." oder</w:t>
      </w:r>
    </w:p>
    <w:p w14:paraId="63B20738" w14:textId="77777777" w:rsidR="000B2F0E" w:rsidRPr="004676F5" w:rsidRDefault="000B2F0E" w:rsidP="000B2F0E">
      <w:pPr>
        <w:jc w:val="both"/>
        <w:rPr>
          <w:lang w:val="de-DE"/>
        </w:rPr>
      </w:pPr>
    </w:p>
    <w:p w14:paraId="3FCBEB33" w14:textId="2A92F877" w:rsidR="000B2F0E" w:rsidRPr="004676F5" w:rsidRDefault="000B2F0E" w:rsidP="000B2F0E">
      <w:pPr>
        <w:jc w:val="both"/>
        <w:rPr>
          <w:lang w:val="de-DE"/>
        </w:rPr>
      </w:pPr>
      <w:r w:rsidRPr="004676F5">
        <w:rPr>
          <w:lang w:val="de-DE"/>
        </w:rPr>
        <w:tab/>
      </w:r>
      <w:r w:rsidR="005B7A5C" w:rsidRPr="004676F5">
        <w:rPr>
          <w:lang w:val="de-DE"/>
        </w:rPr>
        <w:t>- </w:t>
      </w:r>
      <w:r w:rsidRPr="004676F5">
        <w:rPr>
          <w:lang w:val="de-DE"/>
        </w:rPr>
        <w:t>wenn die Waren bei einem außerhalb von Geschäftsräumen geschlossenen Vertrag aufgrund ihrer Beschaffenheit nicht normal mit der Post zurückgesandt werden können und zum Zeitpunkt des Vertragsabschlusses zur Wohnung des Verbrauchers geliefert worden sind: "Wir holen die Waren auf unsere Kosten ab." und</w:t>
      </w:r>
    </w:p>
    <w:p w14:paraId="0D0AE709" w14:textId="77777777" w:rsidR="000B2F0E" w:rsidRPr="004676F5" w:rsidRDefault="000B2F0E" w:rsidP="000B2F0E">
      <w:pPr>
        <w:jc w:val="both"/>
        <w:rPr>
          <w:lang w:val="de-DE"/>
        </w:rPr>
      </w:pPr>
    </w:p>
    <w:p w14:paraId="764E0022" w14:textId="77777777" w:rsidR="000B2F0E" w:rsidRPr="004676F5" w:rsidRDefault="000B2F0E" w:rsidP="000B2F0E">
      <w:pPr>
        <w:jc w:val="both"/>
        <w:rPr>
          <w:lang w:val="de-DE"/>
        </w:rPr>
      </w:pPr>
      <w:r w:rsidRPr="004676F5">
        <w:rPr>
          <w:lang w:val="de-DE"/>
        </w:rPr>
        <w:tab/>
      </w:r>
      <w:r w:rsidRPr="004676F5">
        <w:rPr>
          <w:b/>
          <w:i/>
          <w:lang w:val="de-DE"/>
        </w:rPr>
        <w:t>c)</w:t>
      </w:r>
      <w:r w:rsidRPr="004676F5">
        <w:rPr>
          <w:b/>
          <w:lang w:val="de-DE"/>
        </w:rPr>
        <w:t> Fügen Sie ein:</w:t>
      </w:r>
      <w:r w:rsidRPr="004676F5">
        <w:rPr>
          <w:lang w:val="de-DE"/>
        </w:rPr>
        <w:t xml:space="preserve"> "Sie müssen für einen etwaigen Wertverlust der Waren nur aufkommen, wenn dieser Wertverlust auf einen zur Prüfung der Beschaffenheit, Eigenschaften und Funktionsweise der Waren nicht notwendigen Umgang mit ihnen zurückzuführen ist."</w:t>
      </w:r>
    </w:p>
    <w:p w14:paraId="29681D93" w14:textId="77777777" w:rsidR="000B2F0E" w:rsidRPr="004676F5" w:rsidRDefault="000B2F0E" w:rsidP="000B2F0E">
      <w:pPr>
        <w:jc w:val="both"/>
        <w:rPr>
          <w:lang w:val="de-DE"/>
        </w:rPr>
      </w:pPr>
    </w:p>
    <w:p w14:paraId="1A4368BF" w14:textId="77777777" w:rsidR="000B2F0E" w:rsidRPr="004676F5" w:rsidRDefault="000B2F0E" w:rsidP="000B2F0E">
      <w:pPr>
        <w:jc w:val="both"/>
        <w:rPr>
          <w:lang w:val="de-DE"/>
        </w:rPr>
      </w:pPr>
      <w:r w:rsidRPr="004676F5">
        <w:rPr>
          <w:lang w:val="de-DE"/>
        </w:rPr>
        <w:tab/>
      </w:r>
      <w:r w:rsidRPr="004676F5">
        <w:rPr>
          <w:b/>
          <w:lang w:val="de-DE"/>
        </w:rPr>
        <w:t>(6) Im Falle eines Vertrags zur Erbringung von Dienstleistungen</w:t>
      </w:r>
      <w:r w:rsidRPr="004676F5">
        <w:rPr>
          <w:lang w:val="de-DE"/>
        </w:rPr>
        <w:t xml:space="preserve"> oder der Lieferung von Wasser, Gas oder Strom, wenn sie nicht in einem begrenzten Volumen oder in einer bestimmten Menge zum Verkauf angeboten werden, oder von Fernwärme </w:t>
      </w:r>
      <w:r w:rsidRPr="004676F5">
        <w:rPr>
          <w:b/>
          <w:lang w:val="de-DE"/>
        </w:rPr>
        <w:t>fügen Sie Folgendes ein:</w:t>
      </w:r>
      <w:r w:rsidRPr="004676F5">
        <w:rPr>
          <w:lang w:val="de-DE"/>
        </w:rPr>
        <w:t xml:space="preserve"> "Haben Sie verlangt, dass die Dienstleistungen oder Lieferung von Wasser/Gas/Strom/Fernwärme [Unzutreffendes streichen]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271620C9" w14:textId="77777777" w:rsidR="000B2F0E" w:rsidRPr="004676F5" w:rsidRDefault="000B2F0E" w:rsidP="000B2F0E">
      <w:pPr>
        <w:jc w:val="both"/>
        <w:rPr>
          <w:lang w:val="de-DE"/>
        </w:rPr>
      </w:pPr>
    </w:p>
    <w:p w14:paraId="16F477BE" w14:textId="77777777" w:rsidR="000B2F0E" w:rsidRPr="004676F5" w:rsidRDefault="000B2F0E" w:rsidP="000B2F0E">
      <w:pPr>
        <w:jc w:val="center"/>
        <w:rPr>
          <w:lang w:val="de-DE"/>
        </w:rPr>
      </w:pPr>
      <w:r w:rsidRPr="004676F5">
        <w:rPr>
          <w:lang w:val="de-DE"/>
        </w:rPr>
        <w:t>_______</w:t>
      </w:r>
    </w:p>
    <w:p w14:paraId="3BA27AC2" w14:textId="77777777" w:rsidR="000B2F0E" w:rsidRPr="004676F5" w:rsidRDefault="000B2F0E" w:rsidP="000B2F0E">
      <w:pPr>
        <w:jc w:val="both"/>
        <w:rPr>
          <w:lang w:val="de-DE"/>
        </w:rPr>
      </w:pPr>
      <w:r w:rsidRPr="004676F5">
        <w:rPr>
          <w:lang w:val="de-DE"/>
        </w:rPr>
        <w:br w:type="page"/>
      </w:r>
    </w:p>
    <w:p w14:paraId="634C29EF" w14:textId="77777777" w:rsidR="000B2F0E" w:rsidRPr="004676F5" w:rsidRDefault="00BE1ABA" w:rsidP="000B2F0E">
      <w:pPr>
        <w:jc w:val="center"/>
        <w:rPr>
          <w:lang w:val="de-DE"/>
        </w:rPr>
      </w:pPr>
      <w:r w:rsidRPr="004676F5">
        <w:rPr>
          <w:lang w:val="de-DE"/>
        </w:rPr>
        <w:lastRenderedPageBreak/>
        <w:t>[</w:t>
      </w:r>
      <w:r w:rsidR="000B2F0E" w:rsidRPr="004676F5">
        <w:rPr>
          <w:lang w:val="de-DE"/>
        </w:rPr>
        <w:t>Anlage 2</w:t>
      </w:r>
      <w:r w:rsidRPr="004676F5">
        <w:rPr>
          <w:lang w:val="de-DE"/>
        </w:rPr>
        <w:t>]</w:t>
      </w:r>
    </w:p>
    <w:p w14:paraId="7BF19E45" w14:textId="77777777" w:rsidR="000B2F0E" w:rsidRPr="004676F5" w:rsidRDefault="000B2F0E" w:rsidP="000B2F0E">
      <w:pPr>
        <w:jc w:val="center"/>
        <w:rPr>
          <w:lang w:val="de-DE"/>
        </w:rPr>
      </w:pPr>
    </w:p>
    <w:p w14:paraId="7F51C535" w14:textId="2F15EEAC" w:rsidR="00BE1ABA" w:rsidRPr="004676F5" w:rsidRDefault="00BE1ABA" w:rsidP="00BE1ABA">
      <w:pPr>
        <w:jc w:val="both"/>
        <w:rPr>
          <w:i/>
          <w:lang w:val="de-DE"/>
        </w:rPr>
      </w:pPr>
      <w:r w:rsidRPr="004676F5">
        <w:rPr>
          <w:i/>
          <w:lang w:val="de-DE"/>
        </w:rPr>
        <w:t>[Anlage 2 eingefügt durch G. vom 21. Dezember 2013 (B.S. vom 30. Dezember 2013, Err.</w:t>
      </w:r>
      <w:r w:rsidR="0051705A" w:rsidRPr="004676F5">
        <w:rPr>
          <w:i/>
          <w:lang w:val="de-DE"/>
        </w:rPr>
        <w:t> </w:t>
      </w:r>
      <w:r w:rsidRPr="004676F5">
        <w:rPr>
          <w:i/>
          <w:lang w:val="de-DE"/>
        </w:rPr>
        <w:t>vom 20. Januar 2014)</w:t>
      </w:r>
      <w:r w:rsidR="00674794" w:rsidRPr="004676F5">
        <w:rPr>
          <w:i/>
          <w:lang w:val="de-DE"/>
        </w:rPr>
        <w:t xml:space="preserve"> und abgeändert durch Art. 33</w:t>
      </w:r>
      <w:r w:rsidR="00674794" w:rsidRPr="004676F5">
        <w:rPr>
          <w:i/>
          <w:iCs/>
          <w:lang w:val="de-DE"/>
        </w:rPr>
        <w:t xml:space="preserve"> des G. vom 8. Mai 2022 (B.S. vom 2. Juni 2022)</w:t>
      </w:r>
      <w:r w:rsidRPr="004676F5">
        <w:rPr>
          <w:i/>
          <w:lang w:val="de-DE"/>
        </w:rPr>
        <w:t>]</w:t>
      </w:r>
    </w:p>
    <w:p w14:paraId="7F07841A" w14:textId="77777777" w:rsidR="00BE1ABA" w:rsidRPr="004676F5" w:rsidRDefault="00BE1ABA" w:rsidP="000B2F0E">
      <w:pPr>
        <w:jc w:val="center"/>
        <w:rPr>
          <w:lang w:val="de-DE"/>
        </w:rPr>
      </w:pPr>
    </w:p>
    <w:p w14:paraId="5E63D167" w14:textId="77777777" w:rsidR="00BE1ABA" w:rsidRPr="004676F5" w:rsidRDefault="00BE1ABA" w:rsidP="000B2F0E">
      <w:pPr>
        <w:jc w:val="center"/>
        <w:rPr>
          <w:lang w:val="de-DE"/>
        </w:rPr>
      </w:pPr>
    </w:p>
    <w:p w14:paraId="36655547" w14:textId="77777777" w:rsidR="000B2F0E" w:rsidRPr="004676F5" w:rsidRDefault="000B2F0E" w:rsidP="000B2F0E">
      <w:pPr>
        <w:jc w:val="center"/>
        <w:rPr>
          <w:lang w:val="de-DE"/>
        </w:rPr>
      </w:pPr>
      <w:r w:rsidRPr="004676F5">
        <w:rPr>
          <w:lang w:val="de-DE"/>
        </w:rPr>
        <w:t>MUSTER-WIDERRUFSFORMULAR</w:t>
      </w:r>
    </w:p>
    <w:p w14:paraId="68855E1B" w14:textId="77777777" w:rsidR="000B2F0E" w:rsidRPr="004676F5" w:rsidRDefault="000B2F0E" w:rsidP="000B2F0E">
      <w:pPr>
        <w:jc w:val="both"/>
        <w:rPr>
          <w:lang w:val="de-DE"/>
        </w:rPr>
      </w:pPr>
    </w:p>
    <w:p w14:paraId="5F781F6D" w14:textId="77777777" w:rsidR="000B2F0E" w:rsidRPr="004676F5" w:rsidRDefault="000B2F0E" w:rsidP="000B2F0E">
      <w:pPr>
        <w:jc w:val="both"/>
        <w:rPr>
          <w:lang w:val="de-DE"/>
        </w:rPr>
      </w:pPr>
      <w:r w:rsidRPr="004676F5">
        <w:rPr>
          <w:lang w:val="de-DE"/>
        </w:rPr>
        <w:tab/>
        <w:t>(Wenn Sie den Vertrag widerrufen wollen, dann füllen Sie bitte dieses Formular aus und senden Sie es zurück.)</w:t>
      </w:r>
    </w:p>
    <w:p w14:paraId="1E5A8ED6" w14:textId="77777777" w:rsidR="000B2F0E" w:rsidRPr="004676F5" w:rsidRDefault="000B2F0E" w:rsidP="000B2F0E">
      <w:pPr>
        <w:jc w:val="both"/>
        <w:rPr>
          <w:lang w:val="de-DE"/>
        </w:rPr>
      </w:pPr>
    </w:p>
    <w:p w14:paraId="13267359" w14:textId="7514241A" w:rsidR="000B2F0E" w:rsidRPr="004676F5" w:rsidRDefault="000B2F0E" w:rsidP="000B2F0E">
      <w:pPr>
        <w:jc w:val="both"/>
        <w:rPr>
          <w:lang w:val="de-DE"/>
        </w:rPr>
      </w:pPr>
      <w:r w:rsidRPr="004676F5">
        <w:rPr>
          <w:lang w:val="de-DE"/>
        </w:rPr>
        <w:tab/>
      </w:r>
      <w:r w:rsidR="005B7A5C" w:rsidRPr="004676F5">
        <w:rPr>
          <w:lang w:val="de-DE"/>
        </w:rPr>
        <w:t>- </w:t>
      </w:r>
      <w:r w:rsidR="00674794" w:rsidRPr="004676F5">
        <w:rPr>
          <w:lang w:val="de-DE"/>
        </w:rPr>
        <w:t>[An [hier ist der Name, die Anschrift und die E-Mail-Adresse des Unternehmens durch das Unternehmen einzufügen]:]</w:t>
      </w:r>
    </w:p>
    <w:p w14:paraId="4523DB5F" w14:textId="77777777" w:rsidR="000B2F0E" w:rsidRPr="004676F5" w:rsidRDefault="000B2F0E" w:rsidP="000B2F0E">
      <w:pPr>
        <w:jc w:val="both"/>
        <w:rPr>
          <w:lang w:val="de-DE"/>
        </w:rPr>
      </w:pPr>
    </w:p>
    <w:p w14:paraId="0BA3B4A4" w14:textId="193B0C06" w:rsidR="000B2F0E" w:rsidRPr="004676F5" w:rsidRDefault="000B2F0E" w:rsidP="000B2F0E">
      <w:pPr>
        <w:jc w:val="both"/>
        <w:rPr>
          <w:lang w:val="de-DE"/>
        </w:rPr>
      </w:pPr>
      <w:r w:rsidRPr="004676F5">
        <w:rPr>
          <w:lang w:val="de-DE"/>
        </w:rPr>
        <w:tab/>
      </w:r>
      <w:r w:rsidR="005B7A5C" w:rsidRPr="004676F5">
        <w:rPr>
          <w:lang w:val="de-DE"/>
        </w:rPr>
        <w:t>- </w:t>
      </w:r>
      <w:r w:rsidRPr="004676F5">
        <w:rPr>
          <w:lang w:val="de-DE"/>
        </w:rPr>
        <w:t>Hiermit widerrufe(n) ich/wir (*) den von mir/uns (*) geschlossenen Vertrag über den Kauf der folgenden Waren (*)/ die Erbringung der folgenden Dienstleistung (*)</w:t>
      </w:r>
    </w:p>
    <w:p w14:paraId="2255A4FD" w14:textId="77777777" w:rsidR="000B2F0E" w:rsidRPr="004676F5" w:rsidRDefault="000B2F0E" w:rsidP="000B2F0E">
      <w:pPr>
        <w:jc w:val="both"/>
        <w:rPr>
          <w:lang w:val="de-DE"/>
        </w:rPr>
      </w:pPr>
    </w:p>
    <w:p w14:paraId="4AA7343C" w14:textId="500A93EF" w:rsidR="000B2F0E" w:rsidRPr="004676F5" w:rsidRDefault="000B2F0E" w:rsidP="000B2F0E">
      <w:pPr>
        <w:jc w:val="both"/>
        <w:rPr>
          <w:lang w:val="de-DE"/>
        </w:rPr>
      </w:pPr>
      <w:r w:rsidRPr="004676F5">
        <w:rPr>
          <w:lang w:val="de-DE"/>
        </w:rPr>
        <w:tab/>
      </w:r>
      <w:r w:rsidR="005B7A5C" w:rsidRPr="004676F5">
        <w:rPr>
          <w:lang w:val="de-DE"/>
        </w:rPr>
        <w:t>- </w:t>
      </w:r>
      <w:r w:rsidRPr="004676F5">
        <w:rPr>
          <w:lang w:val="de-DE"/>
        </w:rPr>
        <w:t>Bestellt am (*)/erhalten am (*)</w:t>
      </w:r>
    </w:p>
    <w:p w14:paraId="0B8BAFBA" w14:textId="77777777" w:rsidR="000B2F0E" w:rsidRPr="004676F5" w:rsidRDefault="000B2F0E" w:rsidP="000B2F0E">
      <w:pPr>
        <w:jc w:val="both"/>
        <w:rPr>
          <w:lang w:val="de-DE"/>
        </w:rPr>
      </w:pPr>
    </w:p>
    <w:p w14:paraId="08E12274" w14:textId="0A1DCA56" w:rsidR="000B2F0E" w:rsidRPr="004676F5" w:rsidRDefault="000B2F0E" w:rsidP="000B2F0E">
      <w:pPr>
        <w:jc w:val="both"/>
        <w:rPr>
          <w:lang w:val="de-DE"/>
        </w:rPr>
      </w:pPr>
      <w:r w:rsidRPr="004676F5">
        <w:rPr>
          <w:lang w:val="de-DE"/>
        </w:rPr>
        <w:tab/>
      </w:r>
      <w:r w:rsidR="005B7A5C" w:rsidRPr="004676F5">
        <w:rPr>
          <w:lang w:val="de-DE"/>
        </w:rPr>
        <w:t>- </w:t>
      </w:r>
      <w:r w:rsidRPr="004676F5">
        <w:rPr>
          <w:lang w:val="de-DE"/>
        </w:rPr>
        <w:t>Name des/der Verbraucher(s)</w:t>
      </w:r>
    </w:p>
    <w:p w14:paraId="3FF3723D" w14:textId="77777777" w:rsidR="000B2F0E" w:rsidRPr="004676F5" w:rsidRDefault="000B2F0E" w:rsidP="000B2F0E">
      <w:pPr>
        <w:jc w:val="both"/>
        <w:rPr>
          <w:lang w:val="de-DE"/>
        </w:rPr>
      </w:pPr>
    </w:p>
    <w:p w14:paraId="79726D8A" w14:textId="66D88A05" w:rsidR="000B2F0E" w:rsidRPr="004676F5" w:rsidRDefault="000B2F0E" w:rsidP="000B2F0E">
      <w:pPr>
        <w:jc w:val="both"/>
        <w:rPr>
          <w:lang w:val="de-DE"/>
        </w:rPr>
      </w:pPr>
      <w:r w:rsidRPr="004676F5">
        <w:rPr>
          <w:lang w:val="de-DE"/>
        </w:rPr>
        <w:tab/>
      </w:r>
      <w:r w:rsidR="005B7A5C" w:rsidRPr="004676F5">
        <w:rPr>
          <w:lang w:val="de-DE"/>
        </w:rPr>
        <w:t>- </w:t>
      </w:r>
      <w:r w:rsidRPr="004676F5">
        <w:rPr>
          <w:lang w:val="de-DE"/>
        </w:rPr>
        <w:t>Anschrift des/der Verbraucher(s)</w:t>
      </w:r>
    </w:p>
    <w:p w14:paraId="35E1501A" w14:textId="77777777" w:rsidR="000B2F0E" w:rsidRPr="004676F5" w:rsidRDefault="000B2F0E" w:rsidP="000B2F0E">
      <w:pPr>
        <w:jc w:val="both"/>
        <w:rPr>
          <w:lang w:val="de-DE"/>
        </w:rPr>
      </w:pPr>
    </w:p>
    <w:p w14:paraId="1FCAD0C9" w14:textId="0B4DA431" w:rsidR="000B2F0E" w:rsidRPr="004676F5" w:rsidRDefault="000B2F0E" w:rsidP="000B2F0E">
      <w:pPr>
        <w:jc w:val="both"/>
        <w:rPr>
          <w:lang w:val="de-DE"/>
        </w:rPr>
      </w:pPr>
      <w:r w:rsidRPr="004676F5">
        <w:rPr>
          <w:lang w:val="de-DE"/>
        </w:rPr>
        <w:tab/>
      </w:r>
      <w:r w:rsidR="005B7A5C" w:rsidRPr="004676F5">
        <w:rPr>
          <w:lang w:val="de-DE"/>
        </w:rPr>
        <w:t>- </w:t>
      </w:r>
      <w:r w:rsidRPr="004676F5">
        <w:rPr>
          <w:lang w:val="de-DE"/>
        </w:rPr>
        <w:t>Unterschrift des/der Verbraucher(s) (nur bei Mitteilung auf Papier)</w:t>
      </w:r>
    </w:p>
    <w:p w14:paraId="42B8729B" w14:textId="77777777" w:rsidR="000B2F0E" w:rsidRPr="004676F5" w:rsidRDefault="000B2F0E" w:rsidP="000B2F0E">
      <w:pPr>
        <w:jc w:val="both"/>
        <w:rPr>
          <w:lang w:val="de-DE"/>
        </w:rPr>
      </w:pPr>
    </w:p>
    <w:p w14:paraId="39117801" w14:textId="7BF3B6F7" w:rsidR="000B2F0E" w:rsidRPr="004676F5" w:rsidRDefault="000B2F0E" w:rsidP="000B2F0E">
      <w:pPr>
        <w:jc w:val="both"/>
        <w:rPr>
          <w:lang w:val="de-DE"/>
        </w:rPr>
      </w:pPr>
      <w:r w:rsidRPr="004676F5">
        <w:rPr>
          <w:lang w:val="de-DE"/>
        </w:rPr>
        <w:tab/>
      </w:r>
      <w:r w:rsidR="005B7A5C" w:rsidRPr="004676F5">
        <w:rPr>
          <w:lang w:val="de-DE"/>
        </w:rPr>
        <w:t>- </w:t>
      </w:r>
      <w:r w:rsidRPr="004676F5">
        <w:rPr>
          <w:lang w:val="de-DE"/>
        </w:rPr>
        <w:t>Datum</w:t>
      </w:r>
    </w:p>
    <w:p w14:paraId="6E359414" w14:textId="77777777" w:rsidR="000B2F0E" w:rsidRPr="004676F5" w:rsidRDefault="000B2F0E" w:rsidP="000B2F0E">
      <w:pPr>
        <w:jc w:val="both"/>
        <w:rPr>
          <w:lang w:val="de-DE"/>
        </w:rPr>
      </w:pPr>
    </w:p>
    <w:p w14:paraId="187EBBAE" w14:textId="77777777" w:rsidR="000B2F0E" w:rsidRPr="004676F5" w:rsidRDefault="000B2F0E" w:rsidP="000B2F0E">
      <w:pPr>
        <w:jc w:val="both"/>
        <w:rPr>
          <w:lang w:val="de-DE"/>
        </w:rPr>
      </w:pPr>
      <w:r w:rsidRPr="004676F5">
        <w:rPr>
          <w:lang w:val="de-DE"/>
        </w:rPr>
        <w:tab/>
        <w:t>(*) Unzutreffendes streichen.</w:t>
      </w:r>
    </w:p>
    <w:p w14:paraId="50F2B1CA" w14:textId="77777777" w:rsidR="00626208" w:rsidRPr="004676F5" w:rsidRDefault="00626208" w:rsidP="00626208">
      <w:pPr>
        <w:jc w:val="center"/>
        <w:rPr>
          <w:lang w:val="de-DE"/>
        </w:rPr>
      </w:pPr>
    </w:p>
    <w:p w14:paraId="099B7957" w14:textId="77777777" w:rsidR="00BE758F" w:rsidRPr="004676F5" w:rsidRDefault="00BE758F" w:rsidP="00626208">
      <w:pPr>
        <w:jc w:val="center"/>
        <w:rPr>
          <w:b/>
          <w:lang w:val="de-DE"/>
        </w:rPr>
      </w:pPr>
    </w:p>
    <w:p w14:paraId="2C8AA1C0" w14:textId="7BBF3EA6" w:rsidR="00881814" w:rsidRPr="004676F5" w:rsidRDefault="00BE758F" w:rsidP="00881814">
      <w:pPr>
        <w:jc w:val="center"/>
        <w:rPr>
          <w:b/>
          <w:lang w:val="de-DE"/>
        </w:rPr>
      </w:pPr>
      <w:r w:rsidRPr="004676F5">
        <w:rPr>
          <w:lang w:val="de-DE"/>
        </w:rPr>
        <w:t>(…)</w:t>
      </w:r>
      <w:r w:rsidR="00F94546" w:rsidRPr="004676F5">
        <w:rPr>
          <w:b/>
          <w:lang w:val="de-DE"/>
        </w:rPr>
        <w:br w:type="page"/>
      </w:r>
      <w:r w:rsidR="00881814" w:rsidRPr="004676F5">
        <w:rPr>
          <w:lang w:val="de-DE"/>
        </w:rPr>
        <w:lastRenderedPageBreak/>
        <w:t>[</w:t>
      </w:r>
      <w:r w:rsidR="00881814" w:rsidRPr="004676F5">
        <w:rPr>
          <w:b/>
          <w:lang w:val="de-DE"/>
        </w:rPr>
        <w:t>BUCH VII </w:t>
      </w:r>
      <w:r w:rsidR="005B7A5C" w:rsidRPr="004676F5">
        <w:rPr>
          <w:b/>
          <w:lang w:val="de-DE"/>
        </w:rPr>
        <w:t>- </w:t>
      </w:r>
      <w:r w:rsidR="00881814" w:rsidRPr="004676F5">
        <w:rPr>
          <w:b/>
          <w:lang w:val="de-DE"/>
        </w:rPr>
        <w:t>ZAHLUNGS</w:t>
      </w:r>
      <w:r w:rsidR="005B7A5C" w:rsidRPr="004676F5">
        <w:rPr>
          <w:b/>
          <w:lang w:val="de-DE"/>
        </w:rPr>
        <w:t>- </w:t>
      </w:r>
      <w:r w:rsidR="00881814" w:rsidRPr="004676F5">
        <w:rPr>
          <w:b/>
          <w:lang w:val="de-DE"/>
        </w:rPr>
        <w:t>UND KREDITDIENSTE</w:t>
      </w:r>
    </w:p>
    <w:p w14:paraId="5D6BFD7E" w14:textId="77777777" w:rsidR="00881814" w:rsidRPr="004676F5" w:rsidRDefault="00881814" w:rsidP="00881814">
      <w:pPr>
        <w:ind w:firstLine="708"/>
        <w:jc w:val="both"/>
        <w:rPr>
          <w:lang w:val="de-DE"/>
        </w:rPr>
      </w:pPr>
    </w:p>
    <w:p w14:paraId="12E8B433" w14:textId="326A2C2F" w:rsidR="00C745BD" w:rsidRPr="004676F5" w:rsidRDefault="00E84348" w:rsidP="00C745BD">
      <w:pPr>
        <w:jc w:val="both"/>
        <w:rPr>
          <w:i/>
          <w:lang w:val="de-DE"/>
        </w:rPr>
      </w:pPr>
      <w:r w:rsidRPr="004676F5">
        <w:rPr>
          <w:i/>
          <w:lang w:val="de-DE"/>
        </w:rPr>
        <w:t>[Buch </w:t>
      </w:r>
      <w:r w:rsidR="00C745BD" w:rsidRPr="004676F5">
        <w:rPr>
          <w:i/>
          <w:lang w:val="de-DE"/>
        </w:rPr>
        <w:t xml:space="preserve">VII mit den Artikeln VII.1 bis VII.220 eingefügt durch </w:t>
      </w:r>
      <w:r w:rsidR="00BE0A56" w:rsidRPr="004676F5">
        <w:rPr>
          <w:i/>
          <w:lang w:val="de-DE"/>
        </w:rPr>
        <w:t>Art. </w:t>
      </w:r>
      <w:r w:rsidR="00C745BD" w:rsidRPr="004676F5">
        <w:rPr>
          <w:i/>
          <w:lang w:val="de-DE"/>
        </w:rPr>
        <w:t>3 des G. vom 19. April 2014</w:t>
      </w:r>
      <w:r w:rsidRPr="004676F5">
        <w:rPr>
          <w:i/>
          <w:lang w:val="de-DE"/>
        </w:rPr>
        <w:t> (I)</w:t>
      </w:r>
      <w:r w:rsidR="00C745BD" w:rsidRPr="004676F5">
        <w:rPr>
          <w:i/>
          <w:lang w:val="de-DE"/>
        </w:rPr>
        <w:t xml:space="preserve"> (B.S. vom 28. Mai 2014)]</w:t>
      </w:r>
    </w:p>
    <w:p w14:paraId="0455D1D0" w14:textId="77777777" w:rsidR="00C745BD" w:rsidRPr="004676F5" w:rsidRDefault="00C745BD" w:rsidP="00C745BD">
      <w:pPr>
        <w:jc w:val="both"/>
        <w:rPr>
          <w:i/>
          <w:lang w:val="de-DE"/>
        </w:rPr>
      </w:pPr>
    </w:p>
    <w:p w14:paraId="6B5EBE66" w14:textId="77777777" w:rsidR="00C745BD" w:rsidRPr="004676F5" w:rsidRDefault="00C745BD" w:rsidP="00C745BD">
      <w:pPr>
        <w:jc w:val="both"/>
        <w:rPr>
          <w:lang w:val="de-DE"/>
        </w:rPr>
      </w:pPr>
    </w:p>
    <w:p w14:paraId="2CBB44D8" w14:textId="342CEE3F" w:rsidR="00881814" w:rsidRPr="004676F5" w:rsidRDefault="00881814" w:rsidP="00881814">
      <w:pPr>
        <w:jc w:val="center"/>
        <w:rPr>
          <w:b/>
          <w:lang w:val="de-DE"/>
        </w:rPr>
      </w:pPr>
      <w:r w:rsidRPr="004676F5">
        <w:rPr>
          <w:b/>
          <w:lang w:val="de-DE"/>
        </w:rPr>
        <w:t>TITEL 1 </w:t>
      </w:r>
      <w:r w:rsidR="005B7A5C" w:rsidRPr="004676F5">
        <w:rPr>
          <w:b/>
          <w:lang w:val="de-DE"/>
        </w:rPr>
        <w:t>- </w:t>
      </w:r>
      <w:r w:rsidRPr="004676F5">
        <w:rPr>
          <w:b/>
          <w:i/>
          <w:lang w:val="de-DE"/>
        </w:rPr>
        <w:t>Allgemeine Grundsätze</w:t>
      </w:r>
    </w:p>
    <w:p w14:paraId="274CDAA0" w14:textId="77777777" w:rsidR="00881814" w:rsidRPr="004676F5" w:rsidRDefault="00881814" w:rsidP="00881814">
      <w:pPr>
        <w:ind w:firstLine="708"/>
        <w:jc w:val="both"/>
        <w:rPr>
          <w:lang w:val="de-DE"/>
        </w:rPr>
      </w:pPr>
    </w:p>
    <w:p w14:paraId="4A6C02E4" w14:textId="77777777" w:rsidR="00C745BD" w:rsidRPr="004676F5" w:rsidRDefault="00C745BD" w:rsidP="00881814">
      <w:pPr>
        <w:ind w:firstLine="708"/>
        <w:jc w:val="both"/>
        <w:rPr>
          <w:lang w:val="de-DE"/>
        </w:rPr>
      </w:pPr>
    </w:p>
    <w:p w14:paraId="2CB7CBB5" w14:textId="749C83DD" w:rsidR="00881814" w:rsidRPr="004676F5" w:rsidRDefault="00BE0A56" w:rsidP="00881814">
      <w:pPr>
        <w:ind w:firstLine="708"/>
        <w:jc w:val="both"/>
        <w:rPr>
          <w:lang w:val="de-DE"/>
        </w:rPr>
      </w:pPr>
      <w:r w:rsidRPr="004676F5">
        <w:rPr>
          <w:b/>
          <w:lang w:val="de-DE"/>
        </w:rPr>
        <w:t>Art. </w:t>
      </w:r>
      <w:r w:rsidR="00881814" w:rsidRPr="004676F5">
        <w:rPr>
          <w:b/>
          <w:lang w:val="de-DE"/>
        </w:rPr>
        <w:t>VII.1</w:t>
      </w:r>
      <w:r w:rsidR="00881814" w:rsidRPr="004676F5">
        <w:rPr>
          <w:lang w:val="de-DE"/>
        </w:rPr>
        <w:t> </w:t>
      </w:r>
      <w:r w:rsidR="005B7A5C" w:rsidRPr="004676F5">
        <w:rPr>
          <w:lang w:val="de-DE"/>
        </w:rPr>
        <w:t>- </w:t>
      </w:r>
      <w:r w:rsidR="00881814" w:rsidRPr="004676F5">
        <w:rPr>
          <w:lang w:val="de-DE"/>
        </w:rPr>
        <w:t>Vorliegendes Buch bezweckt hauptsächlich d</w:t>
      </w:r>
      <w:r w:rsidR="0068045B" w:rsidRPr="004676F5">
        <w:rPr>
          <w:lang w:val="de-DE"/>
        </w:rPr>
        <w:t>ie Regelung der Zahlungsdienste[,</w:t>
      </w:r>
      <w:r w:rsidR="00881814" w:rsidRPr="004676F5">
        <w:rPr>
          <w:lang w:val="de-DE"/>
        </w:rPr>
        <w:t xml:space="preserve"> der Kreditverträge</w:t>
      </w:r>
      <w:r w:rsidR="0068045B" w:rsidRPr="004676F5">
        <w:rPr>
          <w:lang w:val="de-DE"/>
        </w:rPr>
        <w:t>, der Handelspapiere und der Schecks]</w:t>
      </w:r>
      <w:r w:rsidR="00881814" w:rsidRPr="004676F5">
        <w:rPr>
          <w:lang w:val="de-DE"/>
        </w:rPr>
        <w:t>.</w:t>
      </w:r>
    </w:p>
    <w:p w14:paraId="220EA14B" w14:textId="77777777" w:rsidR="00881814" w:rsidRPr="004676F5" w:rsidRDefault="00881814" w:rsidP="00881814">
      <w:pPr>
        <w:ind w:firstLine="708"/>
        <w:jc w:val="both"/>
        <w:rPr>
          <w:lang w:val="de-DE"/>
        </w:rPr>
      </w:pPr>
    </w:p>
    <w:p w14:paraId="264E791D" w14:textId="77777777" w:rsidR="00881814" w:rsidRPr="004676F5" w:rsidRDefault="00881814" w:rsidP="00881814">
      <w:pPr>
        <w:ind w:firstLine="708"/>
        <w:jc w:val="both"/>
        <w:rPr>
          <w:lang w:val="de-DE"/>
        </w:rPr>
      </w:pPr>
      <w:r w:rsidRPr="004676F5">
        <w:rPr>
          <w:lang w:val="de-DE"/>
        </w:rPr>
        <w:t>Es setzt folgende Bestimmungen um:</w:t>
      </w:r>
    </w:p>
    <w:p w14:paraId="2B891039" w14:textId="77777777" w:rsidR="00881814" w:rsidRPr="004676F5" w:rsidRDefault="00881814" w:rsidP="00881814">
      <w:pPr>
        <w:ind w:firstLine="708"/>
        <w:jc w:val="both"/>
        <w:rPr>
          <w:lang w:val="de-DE"/>
        </w:rPr>
      </w:pPr>
    </w:p>
    <w:p w14:paraId="44402782" w14:textId="4D54A646" w:rsidR="00881814" w:rsidRPr="004676F5" w:rsidRDefault="00881814" w:rsidP="00881814">
      <w:pPr>
        <w:ind w:firstLine="708"/>
        <w:jc w:val="both"/>
        <w:rPr>
          <w:lang w:val="de-DE"/>
        </w:rPr>
      </w:pPr>
      <w:r w:rsidRPr="004676F5">
        <w:rPr>
          <w:lang w:val="de-DE"/>
        </w:rPr>
        <w:t>1. </w:t>
      </w:r>
      <w:r w:rsidR="00952151" w:rsidRPr="004676F5">
        <w:rPr>
          <w:lang w:val="de-DE"/>
        </w:rPr>
        <w:t>[Richtlinie 2015/2366/EU des Europäischen Parlaments und des Rates vom 25. November 2015 über Zahlungsdienste im Binnenmarkt, zur Änderung der Richt</w:t>
      </w:r>
      <w:r w:rsidR="00952151" w:rsidRPr="004676F5">
        <w:rPr>
          <w:lang w:val="de-DE"/>
        </w:rPr>
        <w:softHyphen/>
        <w:t>linien 2002/65/EG, 2009/110/EG und 2013/36/EU und der Verordnung (EU) Nr. 1093/2010 sowie zur Aufhebung der Richtlinie 2007/64/EG,]</w:t>
      </w:r>
    </w:p>
    <w:p w14:paraId="6C388708" w14:textId="77777777" w:rsidR="00881814" w:rsidRPr="004676F5" w:rsidRDefault="00881814" w:rsidP="00881814">
      <w:pPr>
        <w:ind w:firstLine="708"/>
        <w:jc w:val="both"/>
        <w:rPr>
          <w:lang w:val="de-DE"/>
        </w:rPr>
      </w:pPr>
    </w:p>
    <w:p w14:paraId="4FA131D2" w14:textId="60F1995A" w:rsidR="00881814" w:rsidRPr="004676F5" w:rsidRDefault="00881814" w:rsidP="00881814">
      <w:pPr>
        <w:ind w:firstLine="708"/>
        <w:jc w:val="both"/>
        <w:rPr>
          <w:lang w:val="de-DE"/>
        </w:rPr>
      </w:pPr>
      <w:r w:rsidRPr="004676F5">
        <w:rPr>
          <w:lang w:val="de-DE"/>
        </w:rPr>
        <w:t>2. Richtlinie 2008/48/EG des Europäischen Parlaments und des Rates vom 23. April 2008 über Verbraucherkreditverträge und zur Aufhebung der Richt</w:t>
      </w:r>
      <w:r w:rsidRPr="004676F5">
        <w:rPr>
          <w:lang w:val="de-DE"/>
        </w:rPr>
        <w:softHyphen/>
        <w:t>linie 87/102/EWG des Rates,</w:t>
      </w:r>
    </w:p>
    <w:p w14:paraId="76011F20" w14:textId="77777777" w:rsidR="00881814" w:rsidRPr="004676F5" w:rsidRDefault="00881814" w:rsidP="00881814">
      <w:pPr>
        <w:ind w:firstLine="708"/>
        <w:jc w:val="both"/>
        <w:rPr>
          <w:lang w:val="de-DE"/>
        </w:rPr>
      </w:pPr>
    </w:p>
    <w:p w14:paraId="241406AA" w14:textId="4B0C7C4E" w:rsidR="00881814" w:rsidRPr="004676F5" w:rsidRDefault="00881814" w:rsidP="00881814">
      <w:pPr>
        <w:ind w:firstLine="708"/>
        <w:jc w:val="both"/>
        <w:rPr>
          <w:lang w:val="de-DE"/>
        </w:rPr>
      </w:pPr>
      <w:r w:rsidRPr="004676F5">
        <w:rPr>
          <w:lang w:val="de-DE"/>
        </w:rPr>
        <w:t>3. </w:t>
      </w:r>
      <w:r w:rsidR="00692B96" w:rsidRPr="004676F5">
        <w:rPr>
          <w:lang w:val="de-DE"/>
        </w:rPr>
        <w:t>[Verordnung (EU) Nr. 2021/1230 des Europäischen Parlaments und des Rates vom 14. Juli 2021 über grenzüberschreitende Zahlungen in der Union,]</w:t>
      </w:r>
    </w:p>
    <w:p w14:paraId="2F505AEF" w14:textId="77777777" w:rsidR="00881814" w:rsidRPr="004676F5" w:rsidRDefault="00881814" w:rsidP="00881814">
      <w:pPr>
        <w:ind w:firstLine="708"/>
        <w:jc w:val="both"/>
        <w:rPr>
          <w:lang w:val="de-DE"/>
        </w:rPr>
      </w:pPr>
    </w:p>
    <w:p w14:paraId="38BD5EFD" w14:textId="77777777" w:rsidR="00881814" w:rsidRPr="004676F5" w:rsidRDefault="00881814" w:rsidP="00881814">
      <w:pPr>
        <w:ind w:firstLine="708"/>
        <w:jc w:val="both"/>
        <w:rPr>
          <w:lang w:val="de-DE"/>
        </w:rPr>
      </w:pPr>
      <w:r w:rsidRPr="004676F5">
        <w:rPr>
          <w:lang w:val="de-DE"/>
        </w:rPr>
        <w:t xml:space="preserve">4. Richtlinie 2011/90/EU der Kommission vom 14. November 2011 zur Änderung von Anhang I Teil II der Richtlinie 2008/48/EG des Europäischen Parlaments und des Rates mit zusätzlichen Annahmen für die Berechnung des effektiven Jahreszinses, </w:t>
      </w:r>
    </w:p>
    <w:p w14:paraId="53F1D36B" w14:textId="77777777" w:rsidR="00881814" w:rsidRPr="004676F5" w:rsidRDefault="00881814" w:rsidP="00881814">
      <w:pPr>
        <w:jc w:val="both"/>
        <w:rPr>
          <w:lang w:val="de-DE"/>
        </w:rPr>
      </w:pPr>
    </w:p>
    <w:p w14:paraId="7F48A2F5" w14:textId="77777777" w:rsidR="00881814" w:rsidRPr="004676F5" w:rsidRDefault="00881814" w:rsidP="00881814">
      <w:pPr>
        <w:ind w:firstLine="708"/>
        <w:jc w:val="both"/>
        <w:rPr>
          <w:lang w:val="de-DE"/>
        </w:rPr>
      </w:pPr>
      <w:r w:rsidRPr="004676F5">
        <w:rPr>
          <w:lang w:val="de-DE"/>
        </w:rPr>
        <w:t>5. Verordnung (EU) Nr. 260/2012 des Europäischen Parlaments und des Rates vom 14. März 2012 zur Festlegung der technischen Vorschriften und der Geschäftsanforderungen für Überweisungen und Lastschriften in Euro und zur Änderung der Verordnung (EG) Nr.</w:t>
      </w:r>
      <w:r w:rsidR="00CC29D9" w:rsidRPr="004676F5">
        <w:rPr>
          <w:lang w:val="de-DE"/>
        </w:rPr>
        <w:t> 924/2009,</w:t>
      </w:r>
    </w:p>
    <w:p w14:paraId="20A09135" w14:textId="77777777" w:rsidR="00CC29D9" w:rsidRPr="004676F5" w:rsidRDefault="00CC29D9" w:rsidP="00881814">
      <w:pPr>
        <w:ind w:firstLine="708"/>
        <w:jc w:val="both"/>
        <w:rPr>
          <w:lang w:val="de-DE"/>
        </w:rPr>
      </w:pPr>
    </w:p>
    <w:p w14:paraId="4AEF7000" w14:textId="77777777" w:rsidR="00CC29D9" w:rsidRPr="004676F5" w:rsidRDefault="00CC29D9" w:rsidP="00881814">
      <w:pPr>
        <w:ind w:firstLine="708"/>
        <w:jc w:val="both"/>
        <w:rPr>
          <w:lang w:val="de-DE"/>
        </w:rPr>
      </w:pPr>
      <w:r w:rsidRPr="004676F5">
        <w:rPr>
          <w:lang w:val="de-DE"/>
        </w:rPr>
        <w:t>[6. Richtlinie 2014/17/ЕU des Europäischen Parlaments und des Rates vom 4. Februar 2014 über Wohnimmobilienkreditverträge für Verbraucher und zur Änderung der Richtlinien 2008/48/EG und 2013/36/EU und der Verordnung (EU) Nr. 1093/2010</w:t>
      </w:r>
      <w:r w:rsidR="001A36B9" w:rsidRPr="004676F5">
        <w:rPr>
          <w:lang w:val="de-DE"/>
        </w:rPr>
        <w:t>,</w:t>
      </w:r>
      <w:r w:rsidRPr="004676F5">
        <w:rPr>
          <w:lang w:val="de-DE"/>
        </w:rPr>
        <w:t>]</w:t>
      </w:r>
    </w:p>
    <w:p w14:paraId="5EA8905B" w14:textId="77777777" w:rsidR="001A36B9" w:rsidRPr="004676F5" w:rsidRDefault="001A36B9" w:rsidP="00881814">
      <w:pPr>
        <w:ind w:firstLine="708"/>
        <w:jc w:val="both"/>
        <w:rPr>
          <w:lang w:val="de-DE"/>
        </w:rPr>
      </w:pPr>
    </w:p>
    <w:p w14:paraId="0DB8438C" w14:textId="77777777" w:rsidR="00154AAA" w:rsidRPr="004676F5" w:rsidRDefault="001A36B9" w:rsidP="00881814">
      <w:pPr>
        <w:ind w:firstLine="708"/>
        <w:jc w:val="both"/>
        <w:rPr>
          <w:lang w:val="de-DE"/>
        </w:rPr>
      </w:pPr>
      <w:r w:rsidRPr="004676F5">
        <w:rPr>
          <w:lang w:val="de-DE"/>
        </w:rPr>
        <w:t>[7. Verordnung (EU) 2015/751 des Europäischen Parlaments und des Rates vom 29. April 2015 über Interbankenentgelte für kartengebundene Zahlungsvorgänge</w:t>
      </w:r>
      <w:r w:rsidR="00154AAA" w:rsidRPr="004676F5">
        <w:rPr>
          <w:lang w:val="de-DE"/>
        </w:rPr>
        <w:t>,</w:t>
      </w:r>
      <w:r w:rsidRPr="004676F5">
        <w:rPr>
          <w:lang w:val="de-DE"/>
        </w:rPr>
        <w:t>]</w:t>
      </w:r>
    </w:p>
    <w:p w14:paraId="438F776E" w14:textId="77777777" w:rsidR="00154AAA" w:rsidRPr="004676F5" w:rsidRDefault="00154AAA" w:rsidP="00881814">
      <w:pPr>
        <w:ind w:firstLine="708"/>
        <w:jc w:val="both"/>
        <w:rPr>
          <w:lang w:val="de-DE"/>
        </w:rPr>
      </w:pPr>
    </w:p>
    <w:p w14:paraId="03B6E388" w14:textId="0A1E0177" w:rsidR="001A36B9" w:rsidRPr="004676F5" w:rsidRDefault="00154AAA" w:rsidP="00881814">
      <w:pPr>
        <w:ind w:firstLine="708"/>
        <w:jc w:val="both"/>
        <w:rPr>
          <w:lang w:val="de-DE"/>
        </w:rPr>
      </w:pPr>
      <w:r w:rsidRPr="004676F5">
        <w:rPr>
          <w:lang w:val="de-DE"/>
        </w:rPr>
        <w:t>[8. Richtlinie 2014/92/EU des Europäischen Parlaments und des Rates vom 23. Juli 2014 über die Vergleichbarkeit von Zahlungskontoentgelten, den Wechsel von Zahlungskonten und den Zugang zu Zahlungskonten mit grundlegenden Funktionen.]</w:t>
      </w:r>
      <w:r w:rsidR="001A36B9" w:rsidRPr="004676F5">
        <w:rPr>
          <w:lang w:val="de-DE"/>
        </w:rPr>
        <w:tab/>
      </w:r>
    </w:p>
    <w:p w14:paraId="1A437E2C" w14:textId="77777777" w:rsidR="00CC29D9" w:rsidRPr="004676F5" w:rsidRDefault="00CC29D9" w:rsidP="00881814">
      <w:pPr>
        <w:ind w:firstLine="708"/>
        <w:jc w:val="both"/>
        <w:rPr>
          <w:lang w:val="de-DE"/>
        </w:rPr>
      </w:pPr>
    </w:p>
    <w:p w14:paraId="3A0FD129" w14:textId="328462B7" w:rsidR="00650FBF" w:rsidRPr="004676F5" w:rsidRDefault="00CC29D9" w:rsidP="00190B93">
      <w:pPr>
        <w:jc w:val="both"/>
        <w:rPr>
          <w:rFonts w:ascii="Times New Roman Italique" w:hAnsi="Times New Roman Italique"/>
          <w:i/>
          <w:spacing w:val="-6"/>
          <w:lang w:val="de-DE"/>
        </w:rPr>
      </w:pPr>
      <w:r w:rsidRPr="004676F5">
        <w:rPr>
          <w:rFonts w:ascii="Times New Roman Italique" w:hAnsi="Times New Roman Italique"/>
          <w:i/>
          <w:spacing w:val="-6"/>
          <w:lang w:val="de-DE"/>
        </w:rPr>
        <w:t>[</w:t>
      </w:r>
      <w:r w:rsidR="00BE0A56" w:rsidRPr="004676F5">
        <w:rPr>
          <w:rFonts w:ascii="Times New Roman Italique" w:hAnsi="Times New Roman Italique"/>
          <w:i/>
          <w:spacing w:val="-6"/>
          <w:lang w:val="de-DE"/>
        </w:rPr>
        <w:t>Art. </w:t>
      </w:r>
      <w:r w:rsidRPr="004676F5">
        <w:rPr>
          <w:rFonts w:ascii="Times New Roman Italique" w:hAnsi="Times New Roman Italique"/>
          <w:i/>
          <w:spacing w:val="-6"/>
          <w:lang w:val="de-DE"/>
        </w:rPr>
        <w:t xml:space="preserve">VII.1 </w:t>
      </w:r>
      <w:r w:rsidR="00190B93" w:rsidRPr="004676F5">
        <w:rPr>
          <w:rFonts w:ascii="Times New Roman Italique" w:hAnsi="Times New Roman Italique"/>
          <w:i/>
          <w:spacing w:val="-6"/>
          <w:lang w:val="de-DE"/>
        </w:rPr>
        <w:t>Abs. 1 abgeändert durch Art. 97</w:t>
      </w:r>
      <w:r w:rsidR="00190B93" w:rsidRPr="004676F5">
        <w:rPr>
          <w:rFonts w:ascii="Times New Roman Italique" w:hAnsi="Times New Roman Italique"/>
          <w:i/>
          <w:iCs/>
          <w:spacing w:val="-6"/>
          <w:lang w:val="de-DE"/>
        </w:rPr>
        <w:t xml:space="preserve"> des G. vom 15. April 2018 (B.S. vom 27. April 2018); </w:t>
      </w:r>
      <w:r w:rsidR="00952151" w:rsidRPr="004676F5">
        <w:rPr>
          <w:rFonts w:ascii="Times New Roman Italique" w:hAnsi="Times New Roman Italique"/>
          <w:i/>
          <w:iCs/>
          <w:spacing w:val="-6"/>
          <w:lang w:val="de-DE"/>
        </w:rPr>
        <w:t>Abs. 2 Nr. 1 ersetzt durch Art. 3</w:t>
      </w:r>
      <w:r w:rsidR="00952151" w:rsidRPr="004676F5">
        <w:rPr>
          <w:rFonts w:ascii="Times New Roman Italique" w:hAnsi="Times New Roman Italique"/>
          <w:i/>
          <w:spacing w:val="-6"/>
          <w:lang w:val="de-DE"/>
        </w:rPr>
        <w:t xml:space="preserve"> des G. vom 19. Juli 2018 (B.S. vom 30. Juli 2018)</w:t>
      </w:r>
      <w:r w:rsidR="00692B96" w:rsidRPr="004676F5">
        <w:rPr>
          <w:rFonts w:ascii="Times New Roman Italique" w:hAnsi="Times New Roman Italique"/>
          <w:i/>
          <w:spacing w:val="-6"/>
          <w:lang w:val="de-DE"/>
        </w:rPr>
        <w:t>; Abs. 2 Nr. 3 ersetzt durch Art. 13 des G. vom 5. November 2023</w:t>
      </w:r>
      <w:r w:rsidR="003454B3" w:rsidRPr="004676F5">
        <w:rPr>
          <w:rFonts w:ascii="Times New Roman Italique" w:hAnsi="Times New Roman Italique"/>
          <w:i/>
          <w:spacing w:val="-6"/>
          <w:lang w:val="de-DE"/>
        </w:rPr>
        <w:t xml:space="preserve"> (I)</w:t>
      </w:r>
      <w:r w:rsidR="00692B96" w:rsidRPr="004676F5">
        <w:rPr>
          <w:rFonts w:ascii="Times New Roman Italique" w:hAnsi="Times New Roman Italique"/>
          <w:i/>
          <w:spacing w:val="-6"/>
          <w:lang w:val="de-DE"/>
        </w:rPr>
        <w:t xml:space="preserve"> (B.S. vom 11. Dezember 2023);</w:t>
      </w:r>
      <w:r w:rsidR="00952151" w:rsidRPr="004676F5">
        <w:rPr>
          <w:rFonts w:ascii="Times New Roman Italique" w:hAnsi="Times New Roman Italique"/>
          <w:i/>
          <w:spacing w:val="-6"/>
          <w:lang w:val="de-DE"/>
        </w:rPr>
        <w:t xml:space="preserve"> </w:t>
      </w:r>
      <w:r w:rsidR="00190B93" w:rsidRPr="004676F5">
        <w:rPr>
          <w:rFonts w:ascii="Times New Roman Italique" w:hAnsi="Times New Roman Italique"/>
          <w:i/>
          <w:spacing w:val="-6"/>
          <w:lang w:val="de-DE"/>
        </w:rPr>
        <w:t>Abs. 2</w:t>
      </w:r>
      <w:r w:rsidRPr="004676F5">
        <w:rPr>
          <w:rFonts w:ascii="Times New Roman Italique" w:hAnsi="Times New Roman Italique"/>
          <w:i/>
          <w:spacing w:val="-6"/>
          <w:lang w:val="de-DE"/>
        </w:rPr>
        <w:t xml:space="preserve"> Nr. 6 eingefügt durch </w:t>
      </w:r>
      <w:r w:rsidR="00BE0A56" w:rsidRPr="004676F5">
        <w:rPr>
          <w:rFonts w:ascii="Times New Roman Italique" w:hAnsi="Times New Roman Italique"/>
          <w:i/>
          <w:spacing w:val="-6"/>
          <w:lang w:val="de-DE"/>
        </w:rPr>
        <w:t>Art. </w:t>
      </w:r>
      <w:r w:rsidRPr="004676F5">
        <w:rPr>
          <w:rFonts w:ascii="Times New Roman Italique" w:hAnsi="Times New Roman Italique"/>
          <w:i/>
          <w:spacing w:val="-6"/>
          <w:lang w:val="de-DE"/>
        </w:rPr>
        <w:t>3 des G. vom 22. April 2016 (B.S. vom 4. Mai 2016)</w:t>
      </w:r>
      <w:r w:rsidR="001A36B9" w:rsidRPr="004676F5">
        <w:rPr>
          <w:rFonts w:ascii="Times New Roman Italique" w:hAnsi="Times New Roman Italique"/>
          <w:i/>
          <w:spacing w:val="-6"/>
          <w:lang w:val="de-DE"/>
        </w:rPr>
        <w:t xml:space="preserve">; </w:t>
      </w:r>
      <w:r w:rsidR="00190B93" w:rsidRPr="004676F5">
        <w:rPr>
          <w:rFonts w:ascii="Times New Roman Italique" w:hAnsi="Times New Roman Italique"/>
          <w:i/>
          <w:spacing w:val="-6"/>
          <w:lang w:val="de-DE"/>
        </w:rPr>
        <w:t>Abs. 2</w:t>
      </w:r>
      <w:r w:rsidR="001A36B9" w:rsidRPr="004676F5">
        <w:rPr>
          <w:rFonts w:ascii="Times New Roman Italique" w:hAnsi="Times New Roman Italique"/>
          <w:i/>
          <w:spacing w:val="-6"/>
          <w:lang w:val="de-DE"/>
        </w:rPr>
        <w:t xml:space="preserve"> Nr. 7 eingefügt durch </w:t>
      </w:r>
      <w:r w:rsidR="00BE0A56" w:rsidRPr="004676F5">
        <w:rPr>
          <w:rFonts w:ascii="Times New Roman Italique" w:hAnsi="Times New Roman Italique"/>
          <w:i/>
          <w:spacing w:val="-6"/>
          <w:lang w:val="de-DE"/>
        </w:rPr>
        <w:t>Art. </w:t>
      </w:r>
      <w:r w:rsidR="001A36B9" w:rsidRPr="004676F5">
        <w:rPr>
          <w:rFonts w:ascii="Times New Roman Italique" w:hAnsi="Times New Roman Italique"/>
          <w:i/>
          <w:spacing w:val="-6"/>
          <w:lang w:val="de-DE"/>
        </w:rPr>
        <w:t>9 des G. vom 29. Juni 2016 (B.S. vom 6. Juli 2016)</w:t>
      </w:r>
      <w:r w:rsidR="00154AAA" w:rsidRPr="004676F5">
        <w:rPr>
          <w:rFonts w:ascii="Times New Roman Italique" w:hAnsi="Times New Roman Italique"/>
          <w:i/>
          <w:spacing w:val="-6"/>
          <w:lang w:val="de-DE"/>
        </w:rPr>
        <w:t>; Abs</w:t>
      </w:r>
      <w:r w:rsidR="00190B93" w:rsidRPr="004676F5">
        <w:rPr>
          <w:rFonts w:ascii="Times New Roman Italique" w:hAnsi="Times New Roman Italique"/>
          <w:i/>
          <w:spacing w:val="-6"/>
          <w:lang w:val="de-DE"/>
        </w:rPr>
        <w:t>. 2</w:t>
      </w:r>
      <w:r w:rsidR="00154AAA" w:rsidRPr="004676F5">
        <w:rPr>
          <w:rFonts w:ascii="Times New Roman Italique" w:hAnsi="Times New Roman Italique"/>
          <w:i/>
          <w:spacing w:val="-6"/>
          <w:lang w:val="de-DE"/>
        </w:rPr>
        <w:t xml:space="preserve"> Nr. 8 eingefügt durch Art. 3 des G. vom 22. Dezember 2017 (B.S. vom 12. Januar 2018)</w:t>
      </w:r>
      <w:r w:rsidRPr="004676F5">
        <w:rPr>
          <w:rFonts w:ascii="Times New Roman Italique" w:hAnsi="Times New Roman Italique"/>
          <w:i/>
          <w:spacing w:val="-6"/>
          <w:lang w:val="de-DE"/>
        </w:rPr>
        <w:t>]</w:t>
      </w:r>
    </w:p>
    <w:p w14:paraId="7D209959" w14:textId="54BAB325" w:rsidR="00881814" w:rsidRPr="004676F5" w:rsidRDefault="00650FBF" w:rsidP="00650FBF">
      <w:pPr>
        <w:jc w:val="center"/>
        <w:rPr>
          <w:b/>
          <w:lang w:val="de-DE"/>
        </w:rPr>
      </w:pPr>
      <w:r w:rsidRPr="004676F5">
        <w:rPr>
          <w:rFonts w:ascii="Times New Roman Italique" w:hAnsi="Times New Roman Italique"/>
          <w:i/>
          <w:spacing w:val="-6"/>
          <w:lang w:val="de-DE"/>
        </w:rPr>
        <w:br w:type="page"/>
      </w:r>
      <w:r w:rsidR="00881814" w:rsidRPr="004676F5">
        <w:rPr>
          <w:b/>
          <w:lang w:val="de-DE"/>
        </w:rPr>
        <w:lastRenderedPageBreak/>
        <w:t xml:space="preserve">TITEL 2 </w:t>
      </w:r>
      <w:r w:rsidR="005B7A5C" w:rsidRPr="004676F5">
        <w:rPr>
          <w:b/>
          <w:lang w:val="de-DE"/>
        </w:rPr>
        <w:t>- </w:t>
      </w:r>
      <w:r w:rsidR="00881814" w:rsidRPr="004676F5">
        <w:rPr>
          <w:b/>
          <w:i/>
          <w:lang w:val="de-DE"/>
        </w:rPr>
        <w:t>Anwendungsbereich</w:t>
      </w:r>
    </w:p>
    <w:p w14:paraId="66A7F50C" w14:textId="77777777" w:rsidR="00881814" w:rsidRPr="004676F5" w:rsidRDefault="00881814" w:rsidP="00881814">
      <w:pPr>
        <w:ind w:firstLine="708"/>
        <w:jc w:val="both"/>
        <w:rPr>
          <w:lang w:val="de-DE"/>
        </w:rPr>
      </w:pPr>
    </w:p>
    <w:p w14:paraId="5470C82A" w14:textId="77777777" w:rsidR="00C745BD" w:rsidRPr="004676F5" w:rsidRDefault="00C745BD" w:rsidP="00881814">
      <w:pPr>
        <w:ind w:firstLine="708"/>
        <w:jc w:val="both"/>
        <w:rPr>
          <w:lang w:val="de-DE"/>
        </w:rPr>
      </w:pPr>
    </w:p>
    <w:p w14:paraId="521E33ED" w14:textId="2C14047F" w:rsidR="00952151" w:rsidRPr="004676F5" w:rsidRDefault="00BE0A56" w:rsidP="00952151">
      <w:pPr>
        <w:ind w:firstLine="708"/>
        <w:jc w:val="both"/>
        <w:rPr>
          <w:lang w:val="de-DE"/>
        </w:rPr>
      </w:pPr>
      <w:r w:rsidRPr="004676F5">
        <w:rPr>
          <w:b/>
          <w:lang w:val="de-DE"/>
        </w:rPr>
        <w:t>Art. </w:t>
      </w:r>
      <w:r w:rsidR="00881814" w:rsidRPr="004676F5">
        <w:rPr>
          <w:b/>
          <w:lang w:val="de-DE"/>
        </w:rPr>
        <w:t>VII.2</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EC3609" w:rsidRPr="004676F5">
        <w:rPr>
          <w:lang w:val="de-DE"/>
        </w:rPr>
        <w:t>[</w:t>
      </w:r>
      <w:r w:rsidR="00952151" w:rsidRPr="004676F5">
        <w:rPr>
          <w:lang w:val="de-DE"/>
        </w:rPr>
        <w:t xml:space="preserve">Titel 3 Kapitel 2 bis 6 und die Titel 5 bis 7 des vorliegenden Buches gelten für Zahlungsvorgänge in der Währung eines Mitgliedstaats, wenn sowohl der Zahlungsdienstleister des Zahlers als auch der des Zahlungsempfängers in einem Mitgliedstaat ansässig sind oder </w:t>
      </w:r>
      <w:r w:rsidR="005B7A5C" w:rsidRPr="004676F5">
        <w:rPr>
          <w:lang w:val="de-DE"/>
        </w:rPr>
        <w:t>- </w:t>
      </w:r>
      <w:r w:rsidR="00952151" w:rsidRPr="004676F5">
        <w:rPr>
          <w:lang w:val="de-DE"/>
        </w:rPr>
        <w:t>falls nur ein einziger Zahlungsdienstleister an dem Zahlungsvorgang beteiligt ist </w:t>
      </w:r>
      <w:r w:rsidR="005B7A5C" w:rsidRPr="004676F5">
        <w:rPr>
          <w:lang w:val="de-DE"/>
        </w:rPr>
        <w:t>- </w:t>
      </w:r>
      <w:r w:rsidR="00952151" w:rsidRPr="004676F5">
        <w:rPr>
          <w:lang w:val="de-DE"/>
        </w:rPr>
        <w:t>dieser in einem Mitgliedstaat ansässig ist.</w:t>
      </w:r>
    </w:p>
    <w:p w14:paraId="6BBADF51" w14:textId="77777777" w:rsidR="00952151" w:rsidRPr="004676F5" w:rsidRDefault="00952151" w:rsidP="00952151">
      <w:pPr>
        <w:ind w:firstLine="708"/>
        <w:jc w:val="both"/>
        <w:rPr>
          <w:lang w:val="de-DE"/>
        </w:rPr>
      </w:pPr>
    </w:p>
    <w:p w14:paraId="7B16068E" w14:textId="253CFFEB" w:rsidR="00952151" w:rsidRPr="004676F5" w:rsidRDefault="00952151" w:rsidP="00952151">
      <w:pPr>
        <w:ind w:firstLine="708"/>
        <w:jc w:val="both"/>
        <w:rPr>
          <w:lang w:val="de-DE"/>
        </w:rPr>
      </w:pPr>
      <w:r w:rsidRPr="004676F5">
        <w:rPr>
          <w:lang w:val="de-DE"/>
        </w:rPr>
        <w:t>Titel 3 Kapitel 2 des vorliegenden Buches, mit Ausnahme der Artikel VII.15 § 1 Nr. 2, VII.22 Nr. 2 Buchstabe </w:t>
      </w:r>
      <w:r w:rsidRPr="004676F5">
        <w:rPr>
          <w:i/>
          <w:iCs/>
          <w:lang w:val="de-DE"/>
        </w:rPr>
        <w:t>e)</w:t>
      </w:r>
      <w:r w:rsidRPr="004676F5">
        <w:rPr>
          <w:lang w:val="de-DE"/>
        </w:rPr>
        <w:t xml:space="preserve"> und VII.26 Nr. 1, und Titel 3 Kapitel 3 bis 6 des vorliegenden Buches, mit Ausnahme der Artikel VII.51 bis VII.55, gelten für Zahlungsvorgänge in einer Währung, die keine Währung eines Mitgliedstaats ist, wenn sowohl der Zahlungsdienstleister des Zahlers als auch der des Zahlungsempfängers ihren Sitz in einem Mitgliedstaat haben oder </w:t>
      </w:r>
      <w:r w:rsidR="005B7A5C" w:rsidRPr="004676F5">
        <w:rPr>
          <w:lang w:val="de-DE"/>
        </w:rPr>
        <w:t>- </w:t>
      </w:r>
      <w:r w:rsidRPr="004676F5">
        <w:rPr>
          <w:lang w:val="de-DE"/>
        </w:rPr>
        <w:t>falls nur ein einziger Zahlungsdienstleister an dem Zahlungsvorgang beteiligt ist </w:t>
      </w:r>
      <w:r w:rsidR="005B7A5C" w:rsidRPr="004676F5">
        <w:rPr>
          <w:lang w:val="de-DE"/>
        </w:rPr>
        <w:t>- </w:t>
      </w:r>
      <w:r w:rsidRPr="004676F5">
        <w:rPr>
          <w:lang w:val="de-DE"/>
        </w:rPr>
        <w:t>dieser in einem Mitgliedstaat ansässig ist, für die Bestandteile der Zahlungsvorgänge, die in einem Mitgliedstaat getätigt werden.</w:t>
      </w:r>
    </w:p>
    <w:p w14:paraId="17067797" w14:textId="77777777" w:rsidR="00952151" w:rsidRPr="004676F5" w:rsidRDefault="00952151" w:rsidP="00952151">
      <w:pPr>
        <w:jc w:val="both"/>
        <w:rPr>
          <w:lang w:val="de-DE"/>
        </w:rPr>
      </w:pPr>
    </w:p>
    <w:p w14:paraId="6E269506" w14:textId="570F0876" w:rsidR="00952151" w:rsidRPr="004676F5" w:rsidRDefault="00952151" w:rsidP="00952151">
      <w:pPr>
        <w:ind w:firstLine="708"/>
        <w:jc w:val="both"/>
        <w:rPr>
          <w:lang w:val="de-DE"/>
        </w:rPr>
      </w:pPr>
      <w:r w:rsidRPr="004676F5">
        <w:rPr>
          <w:lang w:val="de-DE"/>
        </w:rPr>
        <w:t>Titel 3 Kapitel 2 des vorliegenden Buches, mit Ausnahme der Artikel VII.15 § 1 Nr. 2, VII.22 Nr. 2 Buchstabe </w:t>
      </w:r>
      <w:r w:rsidRPr="004676F5">
        <w:rPr>
          <w:i/>
          <w:iCs/>
          <w:lang w:val="de-DE"/>
        </w:rPr>
        <w:t>e)</w:t>
      </w:r>
      <w:r w:rsidRPr="004676F5">
        <w:rPr>
          <w:lang w:val="de-DE"/>
        </w:rPr>
        <w:t>, VII.22 Nr. 5 Buchstabe </w:t>
      </w:r>
      <w:r w:rsidRPr="004676F5">
        <w:rPr>
          <w:i/>
          <w:iCs/>
          <w:lang w:val="de-DE"/>
        </w:rPr>
        <w:t>g)</w:t>
      </w:r>
      <w:r w:rsidRPr="004676F5">
        <w:rPr>
          <w:lang w:val="de-DE"/>
        </w:rPr>
        <w:t xml:space="preserve"> und VII.26 Nr. 1, und Titel 3 Kapitel 3 des vorliegenden Buches, mit Ausnahme der Artikel VII.30 §§ 2 und 4, VII.46, VII.47, VII.51, VII.53 § 1, </w:t>
      </w:r>
      <w:r w:rsidR="008860E5" w:rsidRPr="004676F5">
        <w:rPr>
          <w:lang w:val="de-DE"/>
        </w:rPr>
        <w:t xml:space="preserve">[...] </w:t>
      </w:r>
      <w:r w:rsidRPr="004676F5">
        <w:rPr>
          <w:lang w:val="de-DE"/>
        </w:rPr>
        <w:t>VII.55/3 und VII.55/8, gelten für Zahlungsvorgänge in allen Währungen, bei denen lediglich einer der beteiligten Zahlungsdienstleister in einem Mitgliedstaat ansässig ist, für die Bestandteile der Zahlungsvorgänge, die in einem Mitgliedstaat getätigt werden.</w:t>
      </w:r>
    </w:p>
    <w:p w14:paraId="592FF7B9" w14:textId="77777777" w:rsidR="00952151" w:rsidRPr="004676F5" w:rsidRDefault="00952151" w:rsidP="00952151">
      <w:pPr>
        <w:ind w:firstLine="708"/>
        <w:jc w:val="both"/>
        <w:rPr>
          <w:lang w:val="de-DE"/>
        </w:rPr>
      </w:pPr>
    </w:p>
    <w:p w14:paraId="203F4774" w14:textId="77777777" w:rsidR="00952151" w:rsidRPr="004676F5" w:rsidRDefault="00952151" w:rsidP="00952151">
      <w:pPr>
        <w:ind w:firstLine="708"/>
        <w:jc w:val="both"/>
        <w:rPr>
          <w:lang w:val="de-DE"/>
        </w:rPr>
      </w:pPr>
      <w:r w:rsidRPr="004676F5">
        <w:rPr>
          <w:lang w:val="de-DE"/>
        </w:rPr>
        <w:t>Titel 3 Kapitel 2 bis 6 des vorliegenden Buches, mit Ausnahme der Artikel VII.8, VII.15, VII.18, VII.22, VII.36, VII.38 und VII.55/10, gilt nicht für Kontoinformations</w:t>
      </w:r>
      <w:r w:rsidRPr="004676F5">
        <w:rPr>
          <w:lang w:val="de-DE"/>
        </w:rPr>
        <w:softHyphen/>
        <w:t>dienstleister.</w:t>
      </w:r>
    </w:p>
    <w:p w14:paraId="36A4FF6A" w14:textId="77777777" w:rsidR="00952151" w:rsidRPr="004676F5" w:rsidRDefault="00952151" w:rsidP="00952151">
      <w:pPr>
        <w:ind w:firstLine="708"/>
        <w:jc w:val="both"/>
        <w:rPr>
          <w:lang w:val="de-DE"/>
        </w:rPr>
      </w:pPr>
    </w:p>
    <w:p w14:paraId="72E749EA" w14:textId="77777777" w:rsidR="00952151" w:rsidRPr="004676F5" w:rsidRDefault="00952151" w:rsidP="00952151">
      <w:pPr>
        <w:ind w:firstLine="708"/>
        <w:jc w:val="both"/>
        <w:rPr>
          <w:lang w:val="de-DE"/>
        </w:rPr>
      </w:pPr>
      <w:r w:rsidRPr="004676F5">
        <w:rPr>
          <w:lang w:val="de-DE"/>
        </w:rPr>
        <w:t>Titel 3 Kapitel 9/1 des vorliegenden Buches, mit Ausnahme von Artikel VII.62/3, ist anwendbar, wenn der übertragende Zahlungsdienstleister und der empfangende Zahlungs</w:t>
      </w:r>
      <w:r w:rsidRPr="004676F5">
        <w:rPr>
          <w:lang w:val="de-DE"/>
        </w:rPr>
        <w:softHyphen/>
        <w:t>dienst</w:t>
      </w:r>
      <w:r w:rsidRPr="004676F5">
        <w:rPr>
          <w:lang w:val="de-DE"/>
        </w:rPr>
        <w:softHyphen/>
        <w:t>leister in Belgien ansässig sind. Artikel VII.62/3 ist nur anwendbar, wenn der übertragende Zahlungsdienstleister in Belgien ansässig ist.</w:t>
      </w:r>
    </w:p>
    <w:p w14:paraId="2E0B8FFE" w14:textId="77777777" w:rsidR="00952151" w:rsidRPr="004676F5" w:rsidRDefault="00952151" w:rsidP="00952151">
      <w:pPr>
        <w:ind w:firstLine="708"/>
        <w:jc w:val="both"/>
        <w:rPr>
          <w:lang w:val="de-DE"/>
        </w:rPr>
      </w:pPr>
    </w:p>
    <w:p w14:paraId="0C9FD207" w14:textId="77777777" w:rsidR="00952151" w:rsidRPr="004676F5" w:rsidRDefault="00952151" w:rsidP="00952151">
      <w:pPr>
        <w:ind w:firstLine="708"/>
        <w:jc w:val="both"/>
        <w:rPr>
          <w:lang w:val="de-DE"/>
        </w:rPr>
      </w:pPr>
      <w:r w:rsidRPr="004676F5">
        <w:rPr>
          <w:lang w:val="de-DE"/>
        </w:rPr>
        <w:t>Vorbehaltlich gegenteiliger Bestimmungen gilt vorliegendes Buch für Zahlungsdienste wie in § 1 erwähnt, die in Euro oder in der Währung eines Mitgliedstaats außerhalb der Eurozone erbracht werden. Die Artikel VII.4/1 bis VII.4/4, VII.43, VII.44 und VII.62/1 bis VII.62/7 des vorliegenden Buches gelten jedoch für Zahlungsdienste ungeachtet der benutzten Währung.</w:t>
      </w:r>
    </w:p>
    <w:p w14:paraId="6A490658" w14:textId="77777777" w:rsidR="00952151" w:rsidRPr="004676F5" w:rsidRDefault="00952151" w:rsidP="00952151">
      <w:pPr>
        <w:ind w:firstLine="708"/>
        <w:jc w:val="both"/>
        <w:rPr>
          <w:lang w:val="de-DE"/>
        </w:rPr>
      </w:pPr>
    </w:p>
    <w:p w14:paraId="0E8559D4" w14:textId="77777777" w:rsidR="00952151" w:rsidRPr="004676F5" w:rsidRDefault="00952151" w:rsidP="00952151">
      <w:pPr>
        <w:ind w:firstLine="708"/>
        <w:jc w:val="both"/>
        <w:rPr>
          <w:lang w:val="de-DE"/>
        </w:rPr>
      </w:pPr>
      <w:r w:rsidRPr="004676F5">
        <w:rPr>
          <w:lang w:val="de-DE"/>
        </w:rPr>
        <w:t>Titel 3 Kapitel 1/1 und 9/1 des vorliegenden Buches gilt für:</w:t>
      </w:r>
    </w:p>
    <w:p w14:paraId="2CD3D729" w14:textId="77777777" w:rsidR="00952151" w:rsidRPr="004676F5" w:rsidRDefault="00952151" w:rsidP="00952151">
      <w:pPr>
        <w:ind w:firstLine="708"/>
        <w:jc w:val="both"/>
        <w:rPr>
          <w:lang w:val="de-DE"/>
        </w:rPr>
      </w:pPr>
    </w:p>
    <w:p w14:paraId="55F1FBC3" w14:textId="77777777" w:rsidR="00952151" w:rsidRPr="004676F5" w:rsidRDefault="00952151" w:rsidP="00952151">
      <w:pPr>
        <w:ind w:firstLine="708"/>
        <w:jc w:val="both"/>
        <w:rPr>
          <w:lang w:val="de-DE"/>
        </w:rPr>
      </w:pPr>
      <w:r w:rsidRPr="004676F5">
        <w:rPr>
          <w:lang w:val="de-DE"/>
        </w:rPr>
        <w:t>1. Zahlungskonten, die Verbrauchern mindestens Einzahlung eines Geldbetrags auf ein Zahlungskonto, Bargeldabhebung von einem Zahlungskonto und Ausführung und Empfang von Zahlungsvorgängen, einschließlich Überweisungen, an Dritte und von Dritten ermöglichen,</w:t>
      </w:r>
    </w:p>
    <w:p w14:paraId="3F5446B3" w14:textId="77777777" w:rsidR="00952151" w:rsidRPr="004676F5" w:rsidRDefault="00952151" w:rsidP="00952151">
      <w:pPr>
        <w:ind w:firstLine="708"/>
        <w:jc w:val="both"/>
        <w:rPr>
          <w:lang w:val="de-DE"/>
        </w:rPr>
      </w:pPr>
    </w:p>
    <w:p w14:paraId="1F291938" w14:textId="77777777" w:rsidR="00952151" w:rsidRPr="004676F5" w:rsidRDefault="00952151" w:rsidP="00952151">
      <w:pPr>
        <w:ind w:firstLine="708"/>
        <w:jc w:val="both"/>
        <w:rPr>
          <w:lang w:val="de-DE"/>
        </w:rPr>
      </w:pPr>
      <w:r w:rsidRPr="004676F5">
        <w:rPr>
          <w:lang w:val="de-DE"/>
        </w:rPr>
        <w:t>2. Guthabenkarten.</w:t>
      </w:r>
    </w:p>
    <w:p w14:paraId="06B94B2B" w14:textId="77777777" w:rsidR="00952151" w:rsidRPr="004676F5" w:rsidRDefault="00952151" w:rsidP="00952151">
      <w:pPr>
        <w:ind w:firstLine="708"/>
        <w:jc w:val="both"/>
        <w:rPr>
          <w:lang w:val="de-DE"/>
        </w:rPr>
      </w:pPr>
    </w:p>
    <w:p w14:paraId="0D857196" w14:textId="77777777" w:rsidR="00952151" w:rsidRPr="004676F5" w:rsidRDefault="00952151" w:rsidP="00952151">
      <w:pPr>
        <w:ind w:firstLine="708"/>
        <w:jc w:val="both"/>
        <w:rPr>
          <w:lang w:val="de-DE"/>
        </w:rPr>
      </w:pPr>
      <w:r w:rsidRPr="004676F5">
        <w:rPr>
          <w:lang w:val="de-DE"/>
        </w:rPr>
        <w:t>Der König kann unter Berücksichtigung der Art und Verfügbarkeit der angebotenen Zahlungsdienste Zahlungsinstrumente auf Guthabenbasis ganz oder teilweise von den Bestimmungen von Titel 3 Kapitel 1/1 und 9/1 ausschließen.</w:t>
      </w:r>
    </w:p>
    <w:p w14:paraId="53634D79" w14:textId="77777777" w:rsidR="00952151" w:rsidRPr="004676F5" w:rsidRDefault="00952151" w:rsidP="00952151">
      <w:pPr>
        <w:ind w:firstLine="708"/>
        <w:jc w:val="both"/>
        <w:rPr>
          <w:lang w:val="de-DE"/>
        </w:rPr>
      </w:pPr>
    </w:p>
    <w:p w14:paraId="23A00DD3" w14:textId="77777777" w:rsidR="00952151" w:rsidRPr="004676F5" w:rsidRDefault="00952151" w:rsidP="00952151">
      <w:pPr>
        <w:ind w:firstLine="708"/>
        <w:jc w:val="both"/>
        <w:rPr>
          <w:lang w:val="de-DE"/>
        </w:rPr>
      </w:pPr>
      <w:r w:rsidRPr="004676F5">
        <w:rPr>
          <w:lang w:val="de-DE"/>
        </w:rPr>
        <w:t>Vorliegendes Buch findet ebenfalls Anwendung auf Ausgabe und Rücktauschbarkeit von E-Geld durch E-Geld-Emittenten.</w:t>
      </w:r>
    </w:p>
    <w:p w14:paraId="4E3F1C96" w14:textId="77777777" w:rsidR="00952151" w:rsidRPr="004676F5" w:rsidRDefault="00952151" w:rsidP="00952151">
      <w:pPr>
        <w:ind w:firstLine="708"/>
        <w:jc w:val="both"/>
        <w:rPr>
          <w:lang w:val="de-DE"/>
        </w:rPr>
      </w:pPr>
    </w:p>
    <w:p w14:paraId="7C84DAEB" w14:textId="64528924" w:rsidR="001A36B9" w:rsidRPr="004676F5" w:rsidRDefault="00952151" w:rsidP="00952151">
      <w:pPr>
        <w:ind w:firstLine="708"/>
        <w:jc w:val="both"/>
        <w:rPr>
          <w:lang w:val="de-DE"/>
        </w:rPr>
      </w:pPr>
      <w:r w:rsidRPr="004676F5">
        <w:rPr>
          <w:lang w:val="de-DE"/>
        </w:rPr>
        <w:t>Die Bestimmungen von Buch VII Titel 3 Kapitel 11 regeln eine in Artikel 1 der Verordnung (EU) Nr. 2015/751 erwähnte Angelegenheit.]</w:t>
      </w:r>
    </w:p>
    <w:p w14:paraId="0FCF53D9" w14:textId="77777777" w:rsidR="00881814" w:rsidRPr="004676F5" w:rsidRDefault="00881814" w:rsidP="00881814">
      <w:pPr>
        <w:rPr>
          <w:lang w:val="de-DE"/>
        </w:rPr>
      </w:pPr>
    </w:p>
    <w:p w14:paraId="1FD063A8" w14:textId="1FEDF341" w:rsidR="00881814" w:rsidRPr="004676F5" w:rsidRDefault="00EC3609" w:rsidP="00881814">
      <w:pPr>
        <w:ind w:firstLine="708"/>
        <w:jc w:val="both"/>
        <w:rPr>
          <w:lang w:val="de-DE"/>
        </w:rPr>
      </w:pPr>
      <w:r w:rsidRPr="004676F5">
        <w:rPr>
          <w:lang w:val="de-DE"/>
        </w:rPr>
        <w:t>§ </w:t>
      </w:r>
      <w:r w:rsidR="00881814" w:rsidRPr="004676F5">
        <w:rPr>
          <w:lang w:val="de-DE"/>
        </w:rPr>
        <w:t xml:space="preserve">2 </w:t>
      </w:r>
      <w:r w:rsidR="005B7A5C" w:rsidRPr="004676F5">
        <w:rPr>
          <w:lang w:val="de-DE"/>
        </w:rPr>
        <w:t>- </w:t>
      </w:r>
      <w:r w:rsidRPr="004676F5">
        <w:rPr>
          <w:lang w:val="de-DE"/>
        </w:rPr>
        <w:t>[</w:t>
      </w:r>
      <w:r w:rsidR="00881814" w:rsidRPr="004676F5">
        <w:rPr>
          <w:lang w:val="de-DE"/>
        </w:rPr>
        <w:t xml:space="preserve">Die Titel 4 bis </w:t>
      </w:r>
      <w:r w:rsidRPr="004676F5">
        <w:rPr>
          <w:lang w:val="de-DE"/>
        </w:rPr>
        <w:t>6 und 7</w:t>
      </w:r>
      <w:r w:rsidR="00881814" w:rsidRPr="004676F5">
        <w:rPr>
          <w:lang w:val="de-DE"/>
        </w:rPr>
        <w:t xml:space="preserve"> des vorliegenden Buches</w:t>
      </w:r>
      <w:r w:rsidRPr="004676F5">
        <w:rPr>
          <w:lang w:val="de-DE"/>
        </w:rPr>
        <w:t>]</w:t>
      </w:r>
      <w:r w:rsidR="00881814" w:rsidRPr="004676F5">
        <w:rPr>
          <w:lang w:val="de-DE"/>
        </w:rPr>
        <w:t xml:space="preserve"> sind anwendbar auf Kreditverträge, die mit Verbrauchern </w:t>
      </w:r>
      <w:r w:rsidR="00A12382" w:rsidRPr="004676F5">
        <w:rPr>
          <w:lang w:val="de-DE"/>
        </w:rPr>
        <w:t>[abgeschlossen werden, die zum Zeitpunkt des Abschlusses des Kreditvertrags ihren gewöhnlichen Wohnort in Belgien haben]</w:t>
      </w:r>
      <w:r w:rsidR="00881814" w:rsidRPr="004676F5">
        <w:rPr>
          <w:lang w:val="de-DE"/>
        </w:rPr>
        <w:t>, sofern:</w:t>
      </w:r>
    </w:p>
    <w:p w14:paraId="188BE3DF" w14:textId="77777777" w:rsidR="00881814" w:rsidRPr="004676F5" w:rsidRDefault="00881814" w:rsidP="00881814">
      <w:pPr>
        <w:ind w:firstLine="708"/>
        <w:jc w:val="both"/>
        <w:rPr>
          <w:lang w:val="de-DE"/>
        </w:rPr>
      </w:pPr>
    </w:p>
    <w:p w14:paraId="49B1B28F" w14:textId="77777777" w:rsidR="00881814" w:rsidRPr="004676F5" w:rsidRDefault="00881814" w:rsidP="00881814">
      <w:pPr>
        <w:ind w:firstLine="708"/>
        <w:jc w:val="both"/>
        <w:rPr>
          <w:lang w:val="de-DE"/>
        </w:rPr>
      </w:pPr>
      <w:r w:rsidRPr="004676F5">
        <w:rPr>
          <w:lang w:val="de-DE"/>
        </w:rPr>
        <w:t>1. der Kreditgeber seine berufliche oder gewerbliche Tätigkeit in Belgien ausübt oder</w:t>
      </w:r>
    </w:p>
    <w:p w14:paraId="411BFBE7" w14:textId="77777777" w:rsidR="00881814" w:rsidRPr="004676F5" w:rsidRDefault="00881814" w:rsidP="00881814">
      <w:pPr>
        <w:ind w:firstLine="708"/>
        <w:jc w:val="both"/>
        <w:rPr>
          <w:lang w:val="de-DE"/>
        </w:rPr>
      </w:pPr>
    </w:p>
    <w:p w14:paraId="699BB298" w14:textId="77777777" w:rsidR="00881814" w:rsidRPr="004676F5" w:rsidRDefault="00881814" w:rsidP="00881814">
      <w:pPr>
        <w:ind w:firstLine="708"/>
        <w:jc w:val="both"/>
        <w:rPr>
          <w:lang w:val="de-DE"/>
        </w:rPr>
      </w:pPr>
      <w:r w:rsidRPr="004676F5">
        <w:rPr>
          <w:lang w:val="de-DE"/>
        </w:rPr>
        <w:t>2. der Kreditgeber eine solche Tätigkeit auf irgendeinem Wege auf Belgien beziehungsweise auf mehrere Staaten einschließlich Belgien ausrichtet und der Vertrag in den Bereich dieser Tätigkeit fällt.</w:t>
      </w:r>
    </w:p>
    <w:p w14:paraId="151F5DB8" w14:textId="77777777" w:rsidR="00881814" w:rsidRPr="004676F5" w:rsidRDefault="00881814" w:rsidP="00881814">
      <w:pPr>
        <w:ind w:firstLine="708"/>
        <w:jc w:val="both"/>
        <w:rPr>
          <w:lang w:val="de-DE"/>
        </w:rPr>
      </w:pPr>
    </w:p>
    <w:p w14:paraId="6F5B0FEB" w14:textId="77777777" w:rsidR="00881814" w:rsidRPr="004676F5" w:rsidRDefault="00881814" w:rsidP="00881814">
      <w:pPr>
        <w:ind w:firstLine="708"/>
        <w:jc w:val="both"/>
        <w:rPr>
          <w:lang w:val="de-DE"/>
        </w:rPr>
      </w:pPr>
      <w:r w:rsidRPr="004676F5">
        <w:rPr>
          <w:lang w:val="de-DE"/>
        </w:rPr>
        <w:t>Titel 4 Kapitel 1 ist nur auf Verbraucherkredite anwendbar.</w:t>
      </w:r>
    </w:p>
    <w:p w14:paraId="137E8D6E" w14:textId="77777777" w:rsidR="00881814" w:rsidRPr="004676F5" w:rsidRDefault="00881814" w:rsidP="00881814">
      <w:pPr>
        <w:ind w:firstLine="708"/>
        <w:jc w:val="both"/>
        <w:rPr>
          <w:lang w:val="de-DE"/>
        </w:rPr>
      </w:pPr>
    </w:p>
    <w:p w14:paraId="79046D87" w14:textId="77777777" w:rsidR="00881814" w:rsidRPr="004676F5" w:rsidRDefault="00881814" w:rsidP="00881814">
      <w:pPr>
        <w:ind w:firstLine="708"/>
        <w:jc w:val="both"/>
        <w:rPr>
          <w:lang w:val="de-DE"/>
        </w:rPr>
      </w:pPr>
      <w:r w:rsidRPr="004676F5">
        <w:rPr>
          <w:lang w:val="de-DE"/>
        </w:rPr>
        <w:t>Titel 4 Kapitel 2 ist nur auf Hypothekarkredite anwendbar.</w:t>
      </w:r>
    </w:p>
    <w:p w14:paraId="39EAD991" w14:textId="77777777" w:rsidR="00881814" w:rsidRPr="004676F5" w:rsidRDefault="00881814" w:rsidP="00881814">
      <w:pPr>
        <w:ind w:firstLine="708"/>
        <w:jc w:val="both"/>
        <w:rPr>
          <w:lang w:val="de-DE"/>
        </w:rPr>
      </w:pPr>
    </w:p>
    <w:p w14:paraId="01A95D88" w14:textId="77777777" w:rsidR="00881814" w:rsidRPr="004676F5" w:rsidRDefault="00881814" w:rsidP="00881814">
      <w:pPr>
        <w:ind w:firstLine="708"/>
        <w:jc w:val="both"/>
        <w:rPr>
          <w:lang w:val="de-DE"/>
        </w:rPr>
      </w:pPr>
      <w:r w:rsidRPr="004676F5">
        <w:rPr>
          <w:lang w:val="de-DE"/>
        </w:rPr>
        <w:t>Titel 5 Kapitel 2 ist nur auf Verbraucherkredite anwendbar.</w:t>
      </w:r>
    </w:p>
    <w:p w14:paraId="5975D351" w14:textId="77777777" w:rsidR="00881814" w:rsidRPr="004676F5" w:rsidRDefault="00881814" w:rsidP="00881814">
      <w:pPr>
        <w:ind w:firstLine="708"/>
        <w:jc w:val="both"/>
        <w:rPr>
          <w:lang w:val="de-DE"/>
        </w:rPr>
      </w:pPr>
    </w:p>
    <w:p w14:paraId="1838AB03" w14:textId="230DD289" w:rsidR="00881814" w:rsidRPr="004676F5" w:rsidRDefault="00881814" w:rsidP="00881814">
      <w:pPr>
        <w:ind w:firstLine="708"/>
        <w:jc w:val="both"/>
        <w:rPr>
          <w:lang w:val="de-DE"/>
        </w:rPr>
      </w:pPr>
      <w:r w:rsidRPr="004676F5">
        <w:rPr>
          <w:lang w:val="de-DE"/>
        </w:rPr>
        <w:t>Titel 5 Kapitel 3 ist nur auf Hypothekarkredite anwendbar.</w:t>
      </w:r>
    </w:p>
    <w:p w14:paraId="51055633" w14:textId="77777777" w:rsidR="00881814" w:rsidRPr="004676F5" w:rsidRDefault="00881814" w:rsidP="00881814">
      <w:pPr>
        <w:ind w:firstLine="708"/>
        <w:jc w:val="both"/>
        <w:rPr>
          <w:lang w:val="de-DE"/>
        </w:rPr>
      </w:pPr>
    </w:p>
    <w:p w14:paraId="55C1934A" w14:textId="2B7AAF21" w:rsidR="00A12382" w:rsidRPr="004676F5" w:rsidRDefault="00A12382" w:rsidP="00881814">
      <w:pPr>
        <w:ind w:firstLine="708"/>
        <w:jc w:val="both"/>
        <w:rPr>
          <w:lang w:val="de-DE"/>
        </w:rPr>
      </w:pPr>
      <w:r w:rsidRPr="004676F5">
        <w:rPr>
          <w:lang w:val="de-DE"/>
        </w:rPr>
        <w:t>[§ 2/1 - Die Artikel VII.148 § 1 Absatz 1 Nr. 2 und 3, Absatz 2 und §§ 2 und 3, VII.149 § 2 und VII.150 bis VII.155 sind auf Kreditverträge anwendbar, bei denen keiner der betroffenen Verbraucher zum Zeitpunkt des Abschlusses des Kreditvertrags seinen gewöhnlichen Wohnort in Belgien hat, die mit einem Kreditgeber, der seine berufliche Tätigkeit in Belgien ausübt oder diese Tätigkeit auf irgendeinem Wege auf Belgien beziehungsweise auf mehrere Staaten einschließlich Belgien ausrichtet, abgeschlossen werden und die in den Bereich dieser Tätigkeit fallen.]</w:t>
      </w:r>
    </w:p>
    <w:p w14:paraId="0F46D589" w14:textId="77777777" w:rsidR="00A12382" w:rsidRPr="004676F5" w:rsidRDefault="00A12382" w:rsidP="00881814">
      <w:pPr>
        <w:ind w:firstLine="708"/>
        <w:jc w:val="both"/>
        <w:rPr>
          <w:lang w:val="de-DE"/>
        </w:rPr>
      </w:pPr>
    </w:p>
    <w:p w14:paraId="54C8C0A3" w14:textId="55B2E7AD"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Ungeachtet der Bestimmungen der Paragraphen 1 und 2 können die Parteien das Recht, das auf einen Vertrag anzuwenden ist, der die Anforderungen von Artikel 6 Absatz 1 der Verordnung (EG) Nr. 593/2008 des Europäischen Parlaments und des Rates vom 17. Juni 2008 über das auf vertragliche Schuldverhältnisse anzuwendende Recht (Rom I) erfüllt, gemäß Artikel 3 dieser Verordnung wählen. Die Rechtswahl darf jedoch nicht dazu führen, dass dem Verbraucher der Schutz entzogen wird, der ihm durch diejenigen Bestimmungen gewährt wird, von denen gemäß belgischem Recht, das mangels einer Rechtswahl anzuwenden wäre, nicht durch Vereinbarung abgewichen werden darf.</w:t>
      </w:r>
    </w:p>
    <w:p w14:paraId="34930C73" w14:textId="77777777" w:rsidR="00881814" w:rsidRPr="004676F5" w:rsidRDefault="00881814" w:rsidP="00881814">
      <w:pPr>
        <w:ind w:firstLine="708"/>
        <w:jc w:val="both"/>
        <w:rPr>
          <w:lang w:val="de-DE"/>
        </w:rPr>
      </w:pPr>
    </w:p>
    <w:p w14:paraId="08516C73" w14:textId="73190249" w:rsidR="00881814" w:rsidRPr="004676F5" w:rsidRDefault="00881814" w:rsidP="00881814">
      <w:pPr>
        <w:ind w:firstLine="708"/>
        <w:jc w:val="both"/>
        <w:rPr>
          <w:spacing w:val="-2"/>
          <w:lang w:val="de-DE"/>
        </w:rPr>
      </w:pPr>
      <w:r w:rsidRPr="004676F5">
        <w:rPr>
          <w:spacing w:val="-2"/>
          <w:lang w:val="de-DE"/>
        </w:rPr>
        <w:t>§ 4 </w:t>
      </w:r>
      <w:r w:rsidR="005B7A5C" w:rsidRPr="004676F5">
        <w:rPr>
          <w:spacing w:val="-2"/>
          <w:lang w:val="de-DE"/>
        </w:rPr>
        <w:t>- </w:t>
      </w:r>
      <w:r w:rsidRPr="004676F5">
        <w:rPr>
          <w:spacing w:val="-2"/>
          <w:lang w:val="de-DE"/>
        </w:rPr>
        <w:t xml:space="preserve">Unbeschadet der Bestimmungen </w:t>
      </w:r>
      <w:r w:rsidR="00952151" w:rsidRPr="004676F5">
        <w:rPr>
          <w:spacing w:val="-2"/>
          <w:lang w:val="de-DE"/>
        </w:rPr>
        <w:t>[</w:t>
      </w:r>
      <w:r w:rsidRPr="004676F5">
        <w:rPr>
          <w:spacing w:val="-2"/>
          <w:lang w:val="de-DE"/>
        </w:rPr>
        <w:t>der Artikel VII.</w:t>
      </w:r>
      <w:r w:rsidR="00952151" w:rsidRPr="004676F5">
        <w:rPr>
          <w:spacing w:val="-2"/>
          <w:lang w:val="de-DE"/>
        </w:rPr>
        <w:t>5</w:t>
      </w:r>
      <w:r w:rsidRPr="004676F5">
        <w:rPr>
          <w:spacing w:val="-2"/>
          <w:lang w:val="de-DE"/>
        </w:rPr>
        <w:t>, VII.</w:t>
      </w:r>
      <w:r w:rsidR="00952151" w:rsidRPr="004676F5">
        <w:rPr>
          <w:spacing w:val="-2"/>
          <w:lang w:val="de-DE"/>
        </w:rPr>
        <w:t>29]</w:t>
      </w:r>
      <w:r w:rsidRPr="004676F5">
        <w:rPr>
          <w:spacing w:val="-2"/>
          <w:lang w:val="de-DE"/>
        </w:rPr>
        <w:t xml:space="preserve"> et VII.194 bis VII.208 einschließlich sind im Widerspruch zu den Bestimmungen des vorliegenden Buches und seiner Ausführungserlasse stehende Klauseln verboten und von Rechts wegen nichtig, sofern sie darauf abzielen, die Rechte der Verbraucher einzuschränken oder ihre Verpflichtungen zu erschweren.</w:t>
      </w:r>
    </w:p>
    <w:p w14:paraId="36BA34FF" w14:textId="77777777" w:rsidR="00881814" w:rsidRPr="004676F5" w:rsidRDefault="00881814" w:rsidP="00881814">
      <w:pPr>
        <w:ind w:firstLine="708"/>
        <w:jc w:val="both"/>
        <w:rPr>
          <w:lang w:val="de-DE"/>
        </w:rPr>
      </w:pPr>
    </w:p>
    <w:p w14:paraId="208FDD7A" w14:textId="6B2C09A9" w:rsidR="00881814" w:rsidRPr="004676F5" w:rsidRDefault="00881814" w:rsidP="00881814">
      <w:pPr>
        <w:ind w:firstLine="708"/>
        <w:jc w:val="both"/>
        <w:rPr>
          <w:lang w:val="de-DE"/>
        </w:rPr>
      </w:pPr>
      <w:r w:rsidRPr="004676F5">
        <w:rPr>
          <w:lang w:val="de-DE"/>
        </w:rPr>
        <w:t xml:space="preserve">Unbeschadet der Bestimmungen </w:t>
      </w:r>
      <w:r w:rsidR="00952151" w:rsidRPr="004676F5">
        <w:rPr>
          <w:lang w:val="de-DE"/>
        </w:rPr>
        <w:t>[</w:t>
      </w:r>
      <w:r w:rsidRPr="004676F5">
        <w:rPr>
          <w:lang w:val="de-DE"/>
        </w:rPr>
        <w:t>von Artikel VII.</w:t>
      </w:r>
      <w:r w:rsidR="00952151" w:rsidRPr="004676F5">
        <w:rPr>
          <w:lang w:val="de-DE"/>
        </w:rPr>
        <w:t>29]</w:t>
      </w:r>
      <w:r w:rsidRPr="004676F5">
        <w:rPr>
          <w:lang w:val="de-DE"/>
        </w:rPr>
        <w:t xml:space="preserve"> sind Klauseln und Bedingungen beziehungsweise Kombinationen von Klauseln und Bedingungen, mit denen bezweckt wird, die Beweislast für die Erfüllung aller oder eines Teils der in vorliegendem Buch erwähnten Verpflichtungen des Zahlungsdienstleisters, des Kreditgebers oder des Kreditvermittlers dem Zahlungsdienstnutzer oder dem Verbraucher aufzuerlegen, verboten und von Rechts wegen </w:t>
      </w:r>
      <w:r w:rsidRPr="004676F5">
        <w:rPr>
          <w:lang w:val="de-DE"/>
        </w:rPr>
        <w:lastRenderedPageBreak/>
        <w:t xml:space="preserve">nichtig. Dem Kreditgeber obliegt der Nachweis, dass er den Verpflichtungen in Bezug auf die Beurteilung der </w:t>
      </w:r>
      <w:r w:rsidR="00B95783" w:rsidRPr="004676F5">
        <w:rPr>
          <w:lang w:val="de-DE"/>
        </w:rPr>
        <w:t>[in den Artikeln VII.69, VII.75, VII.77, VII.126, VII.127 § 1, VII.131 und VII.133]</w:t>
      </w:r>
      <w:r w:rsidRPr="004676F5">
        <w:rPr>
          <w:lang w:val="de-DE"/>
        </w:rPr>
        <w:t xml:space="preserve"> erwähnten Kreditwürdigkeit des Verbrauchers und gegebenenfalls desjenigen, der eine persönliche Sicherheit leistet, nachgekommen ist.</w:t>
      </w:r>
    </w:p>
    <w:p w14:paraId="4A3045B2" w14:textId="77777777" w:rsidR="00881814" w:rsidRPr="004676F5" w:rsidRDefault="00881814" w:rsidP="00881814">
      <w:pPr>
        <w:ind w:firstLine="708"/>
        <w:jc w:val="both"/>
        <w:rPr>
          <w:lang w:val="de-DE"/>
        </w:rPr>
      </w:pPr>
    </w:p>
    <w:p w14:paraId="38EE963B" w14:textId="6EFC0B0E" w:rsidR="001A36B9" w:rsidRPr="004676F5" w:rsidRDefault="001A36B9" w:rsidP="001A36B9">
      <w:pPr>
        <w:jc w:val="both"/>
        <w:rPr>
          <w:i/>
          <w:lang w:val="de-DE"/>
        </w:rPr>
      </w:pPr>
      <w:r w:rsidRPr="004676F5">
        <w:rPr>
          <w:i/>
          <w:lang w:val="de-DE"/>
        </w:rPr>
        <w:t>[</w:t>
      </w:r>
      <w:r w:rsidR="00BE0A56" w:rsidRPr="004676F5">
        <w:rPr>
          <w:i/>
          <w:lang w:val="de-DE"/>
        </w:rPr>
        <w:t>Art. </w:t>
      </w:r>
      <w:r w:rsidRPr="004676F5">
        <w:rPr>
          <w:i/>
          <w:lang w:val="de-DE"/>
        </w:rPr>
        <w:t xml:space="preserve">VII.2 </w:t>
      </w:r>
      <w:r w:rsidR="00EC3609" w:rsidRPr="004676F5">
        <w:rPr>
          <w:i/>
          <w:lang w:val="de-DE"/>
        </w:rPr>
        <w:t xml:space="preserve">§ 1 </w:t>
      </w:r>
      <w:r w:rsidR="00952151" w:rsidRPr="004676F5">
        <w:rPr>
          <w:i/>
          <w:lang w:val="de-DE"/>
        </w:rPr>
        <w:t>ersetzt durch Art. 4 Nr. 1 des G. vom 19. Juli 2018 (B.S. vom 30. Juli 2018)</w:t>
      </w:r>
      <w:r w:rsidR="00402892" w:rsidRPr="004676F5">
        <w:rPr>
          <w:i/>
          <w:lang w:val="de-DE"/>
        </w:rPr>
        <w:t xml:space="preserve">; </w:t>
      </w:r>
      <w:r w:rsidR="008860E5" w:rsidRPr="004676F5">
        <w:rPr>
          <w:i/>
          <w:lang w:val="de-DE"/>
        </w:rPr>
        <w:t>§ 1 Abs. 3 abgeändert durch Art. 11</w:t>
      </w:r>
      <w:r w:rsidR="008860E5" w:rsidRPr="004676F5">
        <w:rPr>
          <w:i/>
          <w:iCs/>
          <w:lang w:val="de-DE"/>
        </w:rPr>
        <w:t xml:space="preserve"> des G. vom 25. September 2022 (B.S. vom 16. Januar 2023); </w:t>
      </w:r>
      <w:r w:rsidR="00EC3609" w:rsidRPr="004676F5">
        <w:rPr>
          <w:i/>
          <w:lang w:val="de-DE"/>
        </w:rPr>
        <w:t>§ 2 Abs. 1 einleitende Bestimmung abgeändert durch Art. 98 Buchstabe b)</w:t>
      </w:r>
      <w:r w:rsidR="00EC3609" w:rsidRPr="004676F5">
        <w:rPr>
          <w:i/>
          <w:iCs/>
          <w:lang w:val="de-DE"/>
        </w:rPr>
        <w:t xml:space="preserve"> des G. vom 15. April 2018 (B.S. vom 27. April 2018)</w:t>
      </w:r>
      <w:r w:rsidR="00A12382" w:rsidRPr="004676F5">
        <w:rPr>
          <w:i/>
          <w:iCs/>
          <w:lang w:val="de-DE"/>
        </w:rPr>
        <w:t xml:space="preserve"> und Art. 2 Nr. 1 des G. vom 31. Juli 2023 (B.S. vom 16. August 2023)</w:t>
      </w:r>
      <w:r w:rsidR="00EC3609" w:rsidRPr="004676F5">
        <w:rPr>
          <w:i/>
          <w:iCs/>
          <w:lang w:val="de-DE"/>
        </w:rPr>
        <w:t>;</w:t>
      </w:r>
      <w:r w:rsidR="00A12382" w:rsidRPr="004676F5">
        <w:rPr>
          <w:i/>
          <w:iCs/>
          <w:lang w:val="de-DE"/>
        </w:rPr>
        <w:t xml:space="preserve"> § 2/1 eingefügt durch Art. 2 Nr. 2 des G. vom 31. Juli 2023 (B.S. vom 16. August 2023);</w:t>
      </w:r>
      <w:r w:rsidR="00EC3609" w:rsidRPr="004676F5">
        <w:rPr>
          <w:i/>
          <w:iCs/>
          <w:lang w:val="de-DE"/>
        </w:rPr>
        <w:t xml:space="preserve"> </w:t>
      </w:r>
      <w:r w:rsidR="00952151" w:rsidRPr="004676F5">
        <w:rPr>
          <w:i/>
          <w:iCs/>
          <w:lang w:val="de-DE"/>
        </w:rPr>
        <w:t>§ 4 Abs. 1 abgeändert durch Art. 4 Nr. 2 Buchstabe a)</w:t>
      </w:r>
      <w:r w:rsidR="00952151" w:rsidRPr="004676F5">
        <w:rPr>
          <w:i/>
          <w:lang w:val="de-DE"/>
        </w:rPr>
        <w:t xml:space="preserve"> des G. vom 19. Juli 2018 (B.S. vom 30. Juli 2018); </w:t>
      </w:r>
      <w:r w:rsidR="00402892" w:rsidRPr="004676F5">
        <w:rPr>
          <w:i/>
          <w:lang w:val="de-DE"/>
        </w:rPr>
        <w:t xml:space="preserve">§ 4 Abs. 2 abgeändert durch </w:t>
      </w:r>
      <w:r w:rsidR="00BE0A56" w:rsidRPr="004676F5">
        <w:rPr>
          <w:i/>
          <w:lang w:val="de-DE"/>
        </w:rPr>
        <w:t>Art. </w:t>
      </w:r>
      <w:r w:rsidR="00402892" w:rsidRPr="004676F5">
        <w:rPr>
          <w:i/>
          <w:lang w:val="de-DE"/>
        </w:rPr>
        <w:t>7 des G. vom 18. April 2017 (B.S. vom 24. April 2017)</w:t>
      </w:r>
      <w:r w:rsidR="00952151" w:rsidRPr="004676F5">
        <w:rPr>
          <w:i/>
          <w:lang w:val="de-DE"/>
        </w:rPr>
        <w:t xml:space="preserve"> und Art. 4 Nr. 2 Buchstabe b) des G. vom 19. Juli 2018 (B.S. vom 30. Juli 2018)</w:t>
      </w:r>
      <w:r w:rsidRPr="004676F5">
        <w:rPr>
          <w:i/>
          <w:lang w:val="de-DE"/>
        </w:rPr>
        <w:t>]</w:t>
      </w:r>
    </w:p>
    <w:p w14:paraId="340623BC" w14:textId="77777777" w:rsidR="001A36B9" w:rsidRPr="004676F5" w:rsidRDefault="001A36B9" w:rsidP="001A36B9">
      <w:pPr>
        <w:jc w:val="both"/>
        <w:rPr>
          <w:lang w:val="de-DE"/>
        </w:rPr>
      </w:pPr>
    </w:p>
    <w:p w14:paraId="6A95B604" w14:textId="7C61B5EF" w:rsidR="00C745BD" w:rsidRPr="004676F5" w:rsidRDefault="00C745BD" w:rsidP="00881814">
      <w:pPr>
        <w:ind w:firstLine="708"/>
        <w:jc w:val="both"/>
        <w:rPr>
          <w:lang w:val="de-DE"/>
        </w:rPr>
      </w:pPr>
    </w:p>
    <w:p w14:paraId="0C74A5AD" w14:textId="626EF173" w:rsidR="00881814" w:rsidRPr="004676F5" w:rsidRDefault="00BE0A56" w:rsidP="00881814">
      <w:pPr>
        <w:ind w:firstLine="708"/>
        <w:jc w:val="both"/>
        <w:rPr>
          <w:lang w:val="de-DE"/>
        </w:rPr>
      </w:pPr>
      <w:r w:rsidRPr="004676F5">
        <w:rPr>
          <w:b/>
          <w:lang w:val="de-DE"/>
        </w:rPr>
        <w:t>Art. </w:t>
      </w:r>
      <w:r w:rsidR="00881814" w:rsidRPr="004676F5">
        <w:rPr>
          <w:b/>
          <w:lang w:val="de-DE"/>
        </w:rPr>
        <w:t>VII.3</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EC3609" w:rsidRPr="004676F5">
        <w:rPr>
          <w:lang w:val="de-DE"/>
        </w:rPr>
        <w:t>[Die Titel 1 bis 7 des vorliegenden Buches finden keine Anwendung auf folgende Vorgänge:]</w:t>
      </w:r>
    </w:p>
    <w:p w14:paraId="720498BD" w14:textId="77777777" w:rsidR="00881814" w:rsidRPr="004676F5" w:rsidRDefault="00881814" w:rsidP="00881814">
      <w:pPr>
        <w:ind w:firstLine="708"/>
        <w:jc w:val="both"/>
        <w:rPr>
          <w:lang w:val="de-DE"/>
        </w:rPr>
      </w:pPr>
    </w:p>
    <w:p w14:paraId="35648206" w14:textId="77777777" w:rsidR="00881814" w:rsidRPr="004676F5" w:rsidRDefault="00881814" w:rsidP="00881814">
      <w:pPr>
        <w:ind w:firstLine="708"/>
        <w:jc w:val="both"/>
        <w:rPr>
          <w:lang w:val="de-DE"/>
        </w:rPr>
      </w:pPr>
      <w:r w:rsidRPr="004676F5">
        <w:rPr>
          <w:lang w:val="de-DE"/>
        </w:rPr>
        <w:t>1. Zahlungsvorgänge, die ohne zwischengeschaltete Stellen ausschließlich als direkte Bargeldzahlung vom Zahler an den Zahlungsempfänger erfolgen,</w:t>
      </w:r>
    </w:p>
    <w:p w14:paraId="6BDCE14A" w14:textId="77777777" w:rsidR="00881814" w:rsidRPr="004676F5" w:rsidRDefault="00881814" w:rsidP="00881814">
      <w:pPr>
        <w:ind w:firstLine="708"/>
        <w:jc w:val="both"/>
        <w:rPr>
          <w:lang w:val="de-DE"/>
        </w:rPr>
      </w:pPr>
    </w:p>
    <w:p w14:paraId="13BBCE2B" w14:textId="45D69A00" w:rsidR="00881814" w:rsidRPr="004676F5" w:rsidRDefault="00881814" w:rsidP="00881814">
      <w:pPr>
        <w:ind w:firstLine="708"/>
        <w:jc w:val="both"/>
        <w:rPr>
          <w:lang w:val="de-DE"/>
        </w:rPr>
      </w:pPr>
      <w:r w:rsidRPr="004676F5">
        <w:rPr>
          <w:lang w:val="de-DE"/>
        </w:rPr>
        <w:t xml:space="preserve">2. Zahlungsvorgänge zwischen Zahler und Zahlungsempfänger über einen Handelsagenten, der </w:t>
      </w:r>
      <w:r w:rsidR="00F95BE0" w:rsidRPr="004676F5">
        <w:rPr>
          <w:lang w:val="de-DE"/>
        </w:rPr>
        <w:t xml:space="preserve">[aufgrund einer Vereinbarung] </w:t>
      </w:r>
      <w:r w:rsidRPr="004676F5">
        <w:rPr>
          <w:lang w:val="de-DE"/>
        </w:rPr>
        <w:t xml:space="preserve">befugt ist, den Verkauf oder Kauf von Waren oder Dienstleistungen </w:t>
      </w:r>
      <w:r w:rsidR="00F95BE0" w:rsidRPr="004676F5">
        <w:rPr>
          <w:lang w:val="de-DE"/>
        </w:rPr>
        <w:t>[nur im Namen des Zahlers oder nur im Namen des Zahlungsempfängers]</w:t>
      </w:r>
      <w:r w:rsidRPr="004676F5">
        <w:rPr>
          <w:lang w:val="de-DE"/>
        </w:rPr>
        <w:t xml:space="preserve"> auszuhandeln oder abzuschließen,</w:t>
      </w:r>
    </w:p>
    <w:p w14:paraId="26E10BE2" w14:textId="77777777" w:rsidR="00881814" w:rsidRPr="004676F5" w:rsidRDefault="00881814" w:rsidP="00881814">
      <w:pPr>
        <w:ind w:firstLine="708"/>
        <w:jc w:val="both"/>
        <w:rPr>
          <w:lang w:val="de-DE"/>
        </w:rPr>
      </w:pPr>
    </w:p>
    <w:p w14:paraId="2291A2C9" w14:textId="77777777" w:rsidR="00881814" w:rsidRPr="004676F5" w:rsidRDefault="00881814" w:rsidP="00881814">
      <w:pPr>
        <w:ind w:firstLine="708"/>
        <w:jc w:val="both"/>
        <w:rPr>
          <w:lang w:val="de-DE"/>
        </w:rPr>
      </w:pPr>
      <w:r w:rsidRPr="004676F5">
        <w:rPr>
          <w:lang w:val="de-DE"/>
        </w:rPr>
        <w:t>3. gewerbsmäßiger Transport von Banknoten und Münzen einschließlich Entgegen</w:t>
      </w:r>
      <w:r w:rsidRPr="004676F5">
        <w:rPr>
          <w:lang w:val="de-DE"/>
        </w:rPr>
        <w:softHyphen/>
        <w:t>nahme, Bearbeitung und Übergabe,</w:t>
      </w:r>
    </w:p>
    <w:p w14:paraId="481ED003" w14:textId="77777777" w:rsidR="00881814" w:rsidRPr="004676F5" w:rsidRDefault="00881814" w:rsidP="00881814">
      <w:pPr>
        <w:ind w:firstLine="708"/>
        <w:jc w:val="both"/>
        <w:rPr>
          <w:lang w:val="de-DE"/>
        </w:rPr>
      </w:pPr>
    </w:p>
    <w:p w14:paraId="611ED882" w14:textId="2BDBBC2E" w:rsidR="00881814" w:rsidRPr="004676F5" w:rsidRDefault="00881814" w:rsidP="00881814">
      <w:pPr>
        <w:ind w:firstLine="708"/>
        <w:jc w:val="both"/>
        <w:rPr>
          <w:lang w:val="de-DE"/>
        </w:rPr>
      </w:pPr>
      <w:r w:rsidRPr="004676F5">
        <w:rPr>
          <w:lang w:val="de-DE"/>
        </w:rPr>
        <w:t>4. nicht gewerbsmäßige Entgegennahme und Übergabe von Bargeld im Rahmen einer gemeinnützigen Tätigkeit oder einer Tätigkeit ohne Erwerbszweck,</w:t>
      </w:r>
    </w:p>
    <w:p w14:paraId="7764CFC3" w14:textId="77777777" w:rsidR="00881814" w:rsidRPr="004676F5" w:rsidRDefault="00881814" w:rsidP="00881814">
      <w:pPr>
        <w:ind w:firstLine="708"/>
        <w:jc w:val="both"/>
        <w:rPr>
          <w:lang w:val="de-DE"/>
        </w:rPr>
      </w:pPr>
    </w:p>
    <w:p w14:paraId="71835230" w14:textId="77777777" w:rsidR="00881814" w:rsidRPr="004676F5" w:rsidRDefault="00881814" w:rsidP="00881814">
      <w:pPr>
        <w:ind w:firstLine="708"/>
        <w:jc w:val="both"/>
        <w:rPr>
          <w:lang w:val="de-DE"/>
        </w:rPr>
      </w:pPr>
      <w:r w:rsidRPr="004676F5">
        <w:rPr>
          <w:lang w:val="de-DE"/>
        </w:rPr>
        <w:t>5. Dienste, bei denen der Zahlungsempfänger dem Zahler Bargeld im Rahmen eines Zahlungsvorgangs aushändigt, nachdem ihn der Zahlungsdienstnutzer kurz vor der Ausführung eines Zahlungsvorgangs zum Erwerb von Waren oder Dienstleistungen ausdrücklich hierum gebeten hat,</w:t>
      </w:r>
    </w:p>
    <w:p w14:paraId="55F5006F" w14:textId="77777777" w:rsidR="00881814" w:rsidRPr="004676F5" w:rsidRDefault="00881814" w:rsidP="00881814">
      <w:pPr>
        <w:ind w:firstLine="708"/>
        <w:jc w:val="both"/>
        <w:rPr>
          <w:lang w:val="de-DE"/>
        </w:rPr>
      </w:pPr>
    </w:p>
    <w:p w14:paraId="331E8C0D" w14:textId="52E3A1DC" w:rsidR="00881814" w:rsidRPr="004676F5" w:rsidRDefault="00881814" w:rsidP="00881814">
      <w:pPr>
        <w:ind w:firstLine="708"/>
        <w:jc w:val="both"/>
        <w:rPr>
          <w:lang w:val="de-DE"/>
        </w:rPr>
      </w:pPr>
      <w:r w:rsidRPr="004676F5">
        <w:rPr>
          <w:lang w:val="de-DE"/>
        </w:rPr>
        <w:t>6. </w:t>
      </w:r>
      <w:r w:rsidR="00F95BE0" w:rsidRPr="004676F5">
        <w:rPr>
          <w:lang w:val="de-DE"/>
        </w:rPr>
        <w:t>[Bargeldwechselgeschäfte]</w:t>
      </w:r>
      <w:r w:rsidRPr="004676F5">
        <w:rPr>
          <w:lang w:val="de-DE"/>
        </w:rPr>
        <w:t>, sofern die betreffenden Beträge nicht auf einem Zahlungskonto liegen,</w:t>
      </w:r>
    </w:p>
    <w:p w14:paraId="35EF8D83" w14:textId="77777777" w:rsidR="00881814" w:rsidRPr="004676F5" w:rsidRDefault="00881814" w:rsidP="00881814">
      <w:pPr>
        <w:ind w:firstLine="708"/>
        <w:jc w:val="both"/>
        <w:rPr>
          <w:lang w:val="de-DE"/>
        </w:rPr>
      </w:pPr>
    </w:p>
    <w:p w14:paraId="4214BCAC" w14:textId="77777777" w:rsidR="00881814" w:rsidRPr="004676F5" w:rsidRDefault="00881814" w:rsidP="00881814">
      <w:pPr>
        <w:ind w:firstLine="708"/>
        <w:jc w:val="both"/>
        <w:rPr>
          <w:lang w:val="de-DE"/>
        </w:rPr>
      </w:pPr>
      <w:r w:rsidRPr="004676F5">
        <w:rPr>
          <w:lang w:val="de-DE"/>
        </w:rPr>
        <w:t>7. Zahlungsvorgänge, denen eines der folgenden Dokumente zugrunde liegt, das auf den Zahlungsdienstleister gezogen ist und die Bereitstellung eines Geldbetrags an einen Zahlungsempfänger vorsieht:</w:t>
      </w:r>
    </w:p>
    <w:p w14:paraId="3096E368" w14:textId="77777777" w:rsidR="00881814" w:rsidRPr="004676F5" w:rsidRDefault="00881814" w:rsidP="00881814">
      <w:pPr>
        <w:ind w:firstLine="708"/>
        <w:jc w:val="both"/>
        <w:rPr>
          <w:lang w:val="de-DE"/>
        </w:rPr>
      </w:pPr>
    </w:p>
    <w:p w14:paraId="62ED3E54" w14:textId="2E13896B" w:rsidR="00EC3609" w:rsidRPr="004676F5" w:rsidRDefault="00881814" w:rsidP="00EC3609">
      <w:pPr>
        <w:ind w:firstLine="708"/>
        <w:jc w:val="both"/>
        <w:rPr>
          <w:lang w:val="de-DE"/>
        </w:rPr>
      </w:pPr>
      <w:r w:rsidRPr="004676F5">
        <w:rPr>
          <w:i/>
          <w:lang w:val="de-DE"/>
        </w:rPr>
        <w:t>a)</w:t>
      </w:r>
      <w:r w:rsidRPr="004676F5">
        <w:rPr>
          <w:lang w:val="de-DE"/>
        </w:rPr>
        <w:t> </w:t>
      </w:r>
      <w:r w:rsidR="00EC3609" w:rsidRPr="004676F5">
        <w:rPr>
          <w:lang w:val="de-DE"/>
        </w:rPr>
        <w:t>[unbeschadet der Artikel VII.88, VII.90, VII.147/1, VII.147/3, VII.205 und VII.214/5 ein Papierscheck wie erwähnt in Titel 6/1 und eine gleichwertige Form des in Titel 6/1 erwähnten Papierschecks, wie der Postscheck, ein Zirkularscheck und ein Scheck, der dem Recht eines Staates unterliegt, der nicht Vertragspartei des Genfer Abkommens vom 19. März 1931 über das Einheitliche Checkgesetz ist, oder ein anderer Scheck,</w:t>
      </w:r>
    </w:p>
    <w:p w14:paraId="427D13BA" w14:textId="77777777" w:rsidR="00EC3609" w:rsidRPr="004676F5" w:rsidRDefault="00EC3609" w:rsidP="00EC3609">
      <w:pPr>
        <w:jc w:val="both"/>
        <w:rPr>
          <w:lang w:val="de-DE"/>
        </w:rPr>
      </w:pPr>
    </w:p>
    <w:p w14:paraId="55B06917" w14:textId="3C8A4E77" w:rsidR="00881814" w:rsidRPr="004676F5" w:rsidRDefault="00EC3609" w:rsidP="00EC3609">
      <w:pPr>
        <w:ind w:firstLine="708"/>
        <w:jc w:val="both"/>
        <w:rPr>
          <w:lang w:val="de-DE"/>
        </w:rPr>
      </w:pPr>
      <w:r w:rsidRPr="004676F5">
        <w:rPr>
          <w:i/>
          <w:lang w:val="de-DE"/>
        </w:rPr>
        <w:lastRenderedPageBreak/>
        <w:t>b) </w:t>
      </w:r>
      <w:r w:rsidRPr="004676F5">
        <w:rPr>
          <w:lang w:val="de-DE"/>
        </w:rPr>
        <w:t>unbeschadet der Artikel VII.147/1, VII.205 und VII.214/5 ein Wechsel und ein Eigenwechsel in Papierform wie erwähnt in Titel 6/1 und eine gleichartige Form des Wechsels in Papierform, der dem Recht eines Staates unterliegt, der nicht Vertragspartei des Genfer Abkommens vom 7. Juni 1930 über das Einheitliche Wechselgesetz ist,]</w:t>
      </w:r>
    </w:p>
    <w:p w14:paraId="6BBC868C" w14:textId="77777777" w:rsidR="00881814" w:rsidRPr="004676F5" w:rsidRDefault="00881814" w:rsidP="00881814">
      <w:pPr>
        <w:ind w:firstLine="708"/>
        <w:jc w:val="both"/>
        <w:rPr>
          <w:lang w:val="de-DE"/>
        </w:rPr>
      </w:pPr>
    </w:p>
    <w:p w14:paraId="3A8297FB" w14:textId="77777777" w:rsidR="00881814" w:rsidRPr="004676F5" w:rsidRDefault="00881814" w:rsidP="00881814">
      <w:pPr>
        <w:ind w:firstLine="708"/>
        <w:jc w:val="both"/>
        <w:rPr>
          <w:lang w:val="de-DE"/>
        </w:rPr>
      </w:pPr>
      <w:r w:rsidRPr="004676F5">
        <w:rPr>
          <w:i/>
          <w:lang w:val="de-DE"/>
        </w:rPr>
        <w:t>c)</w:t>
      </w:r>
      <w:r w:rsidRPr="004676F5">
        <w:rPr>
          <w:lang w:val="de-DE"/>
        </w:rPr>
        <w:t xml:space="preserve"> ein Gutschein in Papierform, worunter der Dienstleistungsscheck in Papierform im Sinne von Artikel 2 Nr. 1 des Gesetzes vom 20. Juli 2001 zur Förderung der Entwicklung von Dienstleistungen und Arbeitsplätzen im Nahbereich und der Mahlzeitscheck in Papierform,</w:t>
      </w:r>
    </w:p>
    <w:p w14:paraId="3F0D3A0C" w14:textId="77777777" w:rsidR="00881814" w:rsidRPr="004676F5" w:rsidRDefault="00881814" w:rsidP="00881814">
      <w:pPr>
        <w:ind w:firstLine="708"/>
        <w:jc w:val="both"/>
        <w:rPr>
          <w:i/>
          <w:lang w:val="de-DE"/>
        </w:rPr>
      </w:pPr>
    </w:p>
    <w:p w14:paraId="7978AB3C" w14:textId="77777777" w:rsidR="00881814" w:rsidRPr="004676F5" w:rsidRDefault="00881814" w:rsidP="00881814">
      <w:pPr>
        <w:ind w:firstLine="708"/>
        <w:jc w:val="both"/>
        <w:rPr>
          <w:lang w:val="de-DE"/>
        </w:rPr>
      </w:pPr>
      <w:r w:rsidRPr="004676F5">
        <w:rPr>
          <w:i/>
          <w:lang w:val="de-DE"/>
        </w:rPr>
        <w:t>d)</w:t>
      </w:r>
      <w:r w:rsidRPr="004676F5">
        <w:rPr>
          <w:lang w:val="de-DE"/>
        </w:rPr>
        <w:t> ein Reisescheck in Papierform,</w:t>
      </w:r>
    </w:p>
    <w:p w14:paraId="254E0493" w14:textId="77777777" w:rsidR="00881814" w:rsidRPr="004676F5" w:rsidRDefault="00881814" w:rsidP="00881814">
      <w:pPr>
        <w:ind w:firstLine="708"/>
        <w:jc w:val="both"/>
        <w:rPr>
          <w:lang w:val="de-DE"/>
        </w:rPr>
      </w:pPr>
    </w:p>
    <w:p w14:paraId="3D1244E8" w14:textId="77777777" w:rsidR="00881814" w:rsidRPr="004676F5" w:rsidRDefault="00881814" w:rsidP="00881814">
      <w:pPr>
        <w:ind w:firstLine="708"/>
        <w:jc w:val="both"/>
        <w:rPr>
          <w:lang w:val="de-DE"/>
        </w:rPr>
      </w:pPr>
      <w:r w:rsidRPr="004676F5">
        <w:rPr>
          <w:i/>
          <w:lang w:val="de-DE"/>
        </w:rPr>
        <w:t>e)</w:t>
      </w:r>
      <w:r w:rsidRPr="004676F5">
        <w:rPr>
          <w:lang w:val="de-DE"/>
        </w:rPr>
        <w:t> eine Postanweisung in Papierform, ausgestellt und/oder in bar eingezahlt am Schalter eines Postamtes oder an einer anderen Postservicestelle,</w:t>
      </w:r>
    </w:p>
    <w:p w14:paraId="00EA5964" w14:textId="77777777" w:rsidR="00881814" w:rsidRPr="004676F5" w:rsidRDefault="00881814" w:rsidP="00881814">
      <w:pPr>
        <w:ind w:firstLine="708"/>
        <w:jc w:val="both"/>
        <w:rPr>
          <w:lang w:val="de-DE"/>
        </w:rPr>
      </w:pPr>
    </w:p>
    <w:p w14:paraId="39741464" w14:textId="7145DEDF" w:rsidR="00881814" w:rsidRPr="004676F5" w:rsidRDefault="00881814" w:rsidP="00881814">
      <w:pPr>
        <w:ind w:firstLine="708"/>
        <w:jc w:val="both"/>
        <w:rPr>
          <w:lang w:val="de-DE"/>
        </w:rPr>
      </w:pPr>
      <w:r w:rsidRPr="004676F5">
        <w:rPr>
          <w:lang w:val="de-DE"/>
        </w:rPr>
        <w:t>8. Zahlungsvorgänge, die innerhalb eines Zahlungs</w:t>
      </w:r>
      <w:r w:rsidR="005B7A5C" w:rsidRPr="004676F5">
        <w:rPr>
          <w:lang w:val="de-DE"/>
        </w:rPr>
        <w:t>- </w:t>
      </w:r>
      <w:r w:rsidRPr="004676F5">
        <w:rPr>
          <w:lang w:val="de-DE"/>
        </w:rPr>
        <w:t>oder Wertpapierabwicklungs</w:t>
      </w:r>
      <w:r w:rsidRPr="004676F5">
        <w:rPr>
          <w:lang w:val="de-DE"/>
        </w:rPr>
        <w:softHyphen/>
        <w:t xml:space="preserve">systems zwischen Zahlungsausgleichsagenten, zentralen Gegenparteien, Clearingstellen und/oder Zentralbanken und anderen Teilnehmern des Systems und Zahlungsdienstleistern abgewickelt werden, unbeschadet der Bestimmungen </w:t>
      </w:r>
      <w:r w:rsidR="00F95BE0" w:rsidRPr="004676F5">
        <w:rPr>
          <w:lang w:val="de-DE"/>
        </w:rPr>
        <w:t>[von Artikel 154 des Gesetzes vom 11. März 2018 ersetzt],</w:t>
      </w:r>
    </w:p>
    <w:p w14:paraId="353F099C" w14:textId="77777777" w:rsidR="00881814" w:rsidRPr="004676F5" w:rsidRDefault="00881814" w:rsidP="00881814">
      <w:pPr>
        <w:ind w:firstLine="708"/>
        <w:jc w:val="both"/>
        <w:rPr>
          <w:lang w:val="de-DE"/>
        </w:rPr>
      </w:pPr>
    </w:p>
    <w:p w14:paraId="4E607D56" w14:textId="63F3A59C" w:rsidR="00881814" w:rsidRPr="004676F5" w:rsidRDefault="00881814" w:rsidP="00881814">
      <w:pPr>
        <w:ind w:firstLine="708"/>
        <w:jc w:val="both"/>
        <w:rPr>
          <w:lang w:val="de-DE"/>
        </w:rPr>
      </w:pPr>
      <w:r w:rsidRPr="004676F5">
        <w:rPr>
          <w:lang w:val="de-DE"/>
        </w:rPr>
        <w:t>9. Zahlungsvorgänge im Zusammenhang mit der Bedienung von Wertpapieranlagen, wie zum Beispiel Dividenden, Erträge oder sonstige Ausschüttungen oder deren Einlösung oder Veräußerung, die von den in Nr. 8 erwähnten Personen oder von Wertpapier</w:t>
      </w:r>
      <w:r w:rsidRPr="004676F5">
        <w:rPr>
          <w:lang w:val="de-DE"/>
        </w:rPr>
        <w:softHyphen/>
        <w:t>dienstleistungen erbringenden Wertpapierfirmen, Kreditinstituten, Organismen für gemeinsame Anlagen oder Vermögensverwaltungsgesellschaften und jeder anderen Einrichtung, die für die Verwahrung von Finanzinstrumenten zugelassen ist, durchgeführt werden,</w:t>
      </w:r>
    </w:p>
    <w:p w14:paraId="66B53A03" w14:textId="77777777" w:rsidR="00881814" w:rsidRPr="004676F5" w:rsidRDefault="00881814" w:rsidP="00881814">
      <w:pPr>
        <w:ind w:firstLine="708"/>
        <w:jc w:val="both"/>
        <w:rPr>
          <w:lang w:val="de-DE"/>
        </w:rPr>
      </w:pPr>
    </w:p>
    <w:p w14:paraId="517F62E6" w14:textId="038FD403" w:rsidR="00881814" w:rsidRPr="004676F5" w:rsidRDefault="00881814" w:rsidP="00881814">
      <w:pPr>
        <w:ind w:firstLine="708"/>
        <w:jc w:val="both"/>
        <w:rPr>
          <w:lang w:val="de-DE"/>
        </w:rPr>
      </w:pPr>
      <w:r w:rsidRPr="004676F5">
        <w:rPr>
          <w:lang w:val="de-DE"/>
        </w:rPr>
        <w:t>10. Dienste, die von technischen Dienstleistern erbracht werden, die zwar zur Erbringung der Zahlungsdienste beitragen, jedoch zu keiner Zeit in den Besitz der zu transferierenden Geldbeträge gelangen, wie die Verarbeitung und Speicherung von Daten, vertrauensbildende Maßnahmen und Dienste zum Schutz der Privatsphäre, Nachrichten</w:t>
      </w:r>
      <w:r w:rsidR="005B7A5C" w:rsidRPr="004676F5">
        <w:rPr>
          <w:lang w:val="de-DE"/>
        </w:rPr>
        <w:t>- </w:t>
      </w:r>
      <w:r w:rsidRPr="004676F5">
        <w:rPr>
          <w:lang w:val="de-DE"/>
        </w:rPr>
        <w:t>und Instanzenauthentisierung, Bereitstellung von Informationstechnologie-(IT-) und Kommunika</w:t>
      </w:r>
      <w:r w:rsidRPr="004676F5">
        <w:rPr>
          <w:lang w:val="de-DE"/>
        </w:rPr>
        <w:softHyphen/>
        <w:t>tions</w:t>
      </w:r>
      <w:r w:rsidRPr="004676F5">
        <w:rPr>
          <w:lang w:val="de-DE"/>
        </w:rPr>
        <w:softHyphen/>
        <w:t>netzen sowie Bereitstellung und Wartung der für Zahlungsdienste genutz</w:t>
      </w:r>
      <w:r w:rsidR="0082027C" w:rsidRPr="004676F5">
        <w:rPr>
          <w:lang w:val="de-DE"/>
        </w:rPr>
        <w:t>ten Endgeräte und Einrichtungen [mit Ausnahme von Zahlungsauslösediensten und Kontoinformations</w:t>
      </w:r>
      <w:r w:rsidR="0082027C" w:rsidRPr="004676F5">
        <w:rPr>
          <w:lang w:val="de-DE"/>
        </w:rPr>
        <w:softHyphen/>
        <w:t>diensten],</w:t>
      </w:r>
    </w:p>
    <w:p w14:paraId="1F01FB48" w14:textId="77777777" w:rsidR="00881814" w:rsidRPr="004676F5" w:rsidRDefault="00881814" w:rsidP="00881814">
      <w:pPr>
        <w:ind w:firstLine="708"/>
        <w:jc w:val="both"/>
        <w:rPr>
          <w:lang w:val="de-DE"/>
        </w:rPr>
      </w:pPr>
    </w:p>
    <w:p w14:paraId="422D394E" w14:textId="5B3D39C4" w:rsidR="0082027C" w:rsidRPr="004676F5" w:rsidRDefault="00881814" w:rsidP="0082027C">
      <w:pPr>
        <w:ind w:firstLine="708"/>
        <w:jc w:val="both"/>
        <w:rPr>
          <w:lang w:val="de-DE"/>
        </w:rPr>
      </w:pPr>
      <w:r w:rsidRPr="004676F5">
        <w:rPr>
          <w:lang w:val="de-DE"/>
        </w:rPr>
        <w:t xml:space="preserve">11. </w:t>
      </w:r>
      <w:r w:rsidR="0082027C" w:rsidRPr="004676F5">
        <w:rPr>
          <w:lang w:val="de-DE"/>
        </w:rPr>
        <w:t>[Dienste, die auf bestimmten nur begrenzt verwendbaren Zahlungsinstrumenten beruhen, die eine der folgenden Bedingungen erfüllen:</w:t>
      </w:r>
    </w:p>
    <w:p w14:paraId="5BFC2B9E" w14:textId="77777777" w:rsidR="0082027C" w:rsidRPr="004676F5" w:rsidRDefault="0082027C" w:rsidP="0082027C">
      <w:pPr>
        <w:ind w:firstLine="708"/>
        <w:jc w:val="both"/>
        <w:rPr>
          <w:lang w:val="de-DE"/>
        </w:rPr>
      </w:pPr>
    </w:p>
    <w:p w14:paraId="74224268" w14:textId="77777777" w:rsidR="0082027C" w:rsidRPr="004676F5" w:rsidRDefault="0082027C" w:rsidP="0082027C">
      <w:pPr>
        <w:ind w:firstLine="708"/>
        <w:jc w:val="both"/>
        <w:rPr>
          <w:lang w:val="de-DE"/>
        </w:rPr>
      </w:pPr>
      <w:r w:rsidRPr="004676F5">
        <w:rPr>
          <w:i/>
          <w:lang w:val="de-DE"/>
        </w:rPr>
        <w:t>a)</w:t>
      </w:r>
      <w:r w:rsidRPr="004676F5">
        <w:rPr>
          <w:lang w:val="de-DE"/>
        </w:rPr>
        <w:t> Die Instrumente gestatten ihrem Inhaber, Waren oder Dienstleistungen lediglich in den Geschäftsräumen des Emittenten oder innerhalb eines begrenzten Netzes von Dienstleistern im Rahmen einer Geschäftsvereinbarung mit einem professionellen Emittenten zu erwerben.</w:t>
      </w:r>
    </w:p>
    <w:p w14:paraId="615A9334" w14:textId="77777777" w:rsidR="0082027C" w:rsidRPr="004676F5" w:rsidRDefault="0082027C" w:rsidP="0082027C">
      <w:pPr>
        <w:ind w:firstLine="708"/>
        <w:jc w:val="both"/>
        <w:rPr>
          <w:lang w:val="de-DE"/>
        </w:rPr>
      </w:pPr>
    </w:p>
    <w:p w14:paraId="6ACE22CE" w14:textId="07278F12" w:rsidR="0082027C" w:rsidRPr="004676F5" w:rsidRDefault="0082027C" w:rsidP="0082027C">
      <w:pPr>
        <w:ind w:firstLine="708"/>
        <w:jc w:val="both"/>
        <w:rPr>
          <w:lang w:val="de-DE"/>
        </w:rPr>
      </w:pPr>
      <w:r w:rsidRPr="004676F5">
        <w:rPr>
          <w:i/>
          <w:lang w:val="de-DE"/>
        </w:rPr>
        <w:t>b)</w:t>
      </w:r>
      <w:r w:rsidRPr="004676F5">
        <w:rPr>
          <w:lang w:val="de-DE"/>
        </w:rPr>
        <w:t> Die Instrumente können nur zum Erwerb eines sehr begrenzten Waren</w:t>
      </w:r>
      <w:r w:rsidR="005B7A5C" w:rsidRPr="004676F5">
        <w:rPr>
          <w:lang w:val="de-DE"/>
        </w:rPr>
        <w:t>- </w:t>
      </w:r>
      <w:r w:rsidRPr="004676F5">
        <w:rPr>
          <w:lang w:val="de-DE"/>
        </w:rPr>
        <w:t>oder Dienstleistungsspektrums verwendet werden.</w:t>
      </w:r>
    </w:p>
    <w:p w14:paraId="011A2EC7" w14:textId="77777777" w:rsidR="0082027C" w:rsidRPr="004676F5" w:rsidRDefault="0082027C" w:rsidP="0082027C">
      <w:pPr>
        <w:ind w:firstLine="708"/>
        <w:jc w:val="both"/>
        <w:rPr>
          <w:lang w:val="de-DE"/>
        </w:rPr>
      </w:pPr>
    </w:p>
    <w:p w14:paraId="76F015B9" w14:textId="2A7AC131" w:rsidR="00881814" w:rsidRPr="004676F5" w:rsidRDefault="0082027C" w:rsidP="0082027C">
      <w:pPr>
        <w:ind w:firstLine="708"/>
        <w:jc w:val="both"/>
        <w:rPr>
          <w:lang w:val="de-DE"/>
        </w:rPr>
      </w:pPr>
      <w:r w:rsidRPr="004676F5">
        <w:rPr>
          <w:i/>
          <w:lang w:val="de-DE"/>
        </w:rPr>
        <w:t>c)</w:t>
      </w:r>
      <w:r w:rsidRPr="004676F5">
        <w:rPr>
          <w:lang w:val="de-DE"/>
        </w:rPr>
        <w:t> Die Instrumente sind nur in Belgien gültig, werden auf Ersuchen eines Unternehmens oder einer öffentlichen Stelle bereitgestellt, unterliegen zu bestimmten sozialen oder steuerlichen Zwecken den Vorschriften einer nationalen oder regionalen öffentlichen Stelle in Belgien und dienen dem Erwerb bestimmter Waren oder Dienstleistungen von Anbietern, die eine gewerbliche Vereinbarung mit dem Emittenten geschlossen haben,]</w:t>
      </w:r>
    </w:p>
    <w:p w14:paraId="737E4547" w14:textId="77777777" w:rsidR="00881814" w:rsidRPr="004676F5" w:rsidRDefault="00881814" w:rsidP="00881814">
      <w:pPr>
        <w:ind w:firstLine="708"/>
        <w:jc w:val="both"/>
        <w:rPr>
          <w:lang w:val="de-DE"/>
        </w:rPr>
      </w:pPr>
    </w:p>
    <w:p w14:paraId="45155B1E" w14:textId="77777777" w:rsidR="0082027C" w:rsidRPr="004676F5" w:rsidRDefault="00881814" w:rsidP="0082027C">
      <w:pPr>
        <w:ind w:firstLine="708"/>
        <w:jc w:val="both"/>
        <w:rPr>
          <w:lang w:val="de-DE"/>
        </w:rPr>
      </w:pPr>
      <w:r w:rsidRPr="004676F5">
        <w:rPr>
          <w:lang w:val="de-DE"/>
        </w:rPr>
        <w:lastRenderedPageBreak/>
        <w:t>12. </w:t>
      </w:r>
      <w:r w:rsidR="0082027C" w:rsidRPr="004676F5">
        <w:rPr>
          <w:lang w:val="de-DE"/>
        </w:rPr>
        <w:t>[Zahlungsvorgänge, die von einem Anbieter elektronischer Kommunikationsnetze oder -dienste zusätzlich zu elektronischen Kommunikationsdiensten für einen Teilnehmer des Netzes oder Dienstes bereitgestellt werden, sofern folgende Bedingungen eingehalten werden:</w:t>
      </w:r>
    </w:p>
    <w:p w14:paraId="5F55755F" w14:textId="77777777" w:rsidR="0082027C" w:rsidRPr="004676F5" w:rsidRDefault="0082027C" w:rsidP="0082027C">
      <w:pPr>
        <w:ind w:firstLine="708"/>
        <w:jc w:val="both"/>
        <w:rPr>
          <w:lang w:val="de-DE"/>
        </w:rPr>
      </w:pPr>
    </w:p>
    <w:p w14:paraId="6C84B7CB" w14:textId="77777777" w:rsidR="0082027C" w:rsidRPr="004676F5" w:rsidRDefault="0082027C" w:rsidP="0082027C">
      <w:pPr>
        <w:ind w:firstLine="708"/>
        <w:jc w:val="both"/>
        <w:rPr>
          <w:lang w:val="de-DE"/>
        </w:rPr>
      </w:pPr>
      <w:r w:rsidRPr="004676F5">
        <w:rPr>
          <w:lang w:val="de-DE"/>
        </w:rPr>
        <w:t xml:space="preserve">1. Der Wert einer Einzelzahlung überschreitet nicht 50 EUR und der kumulative Wert der Zahlungsvorgänge eines einzelnen Teilnehmers überschreitet monatlich nicht 300 EUR, ob der Teilnehmer auf sein Konto bei dem Anbieter elektronischer Kommunikationsnetze oder </w:t>
      </w:r>
      <w:r w:rsidRPr="004676F5">
        <w:rPr>
          <w:lang w:val="de-DE"/>
        </w:rPr>
        <w:noBreakHyphen/>
        <w:t>dienste Vorauszahlungen tätigt oder nicht, und</w:t>
      </w:r>
    </w:p>
    <w:p w14:paraId="3A8BD15F" w14:textId="77777777" w:rsidR="0082027C" w:rsidRPr="004676F5" w:rsidRDefault="0082027C" w:rsidP="0082027C">
      <w:pPr>
        <w:ind w:firstLine="708"/>
        <w:jc w:val="both"/>
        <w:rPr>
          <w:lang w:val="de-DE"/>
        </w:rPr>
      </w:pPr>
    </w:p>
    <w:p w14:paraId="20EBEF46" w14:textId="64EC3265" w:rsidR="0082027C" w:rsidRPr="004676F5" w:rsidRDefault="0082027C" w:rsidP="0082027C">
      <w:pPr>
        <w:ind w:firstLine="708"/>
        <w:jc w:val="both"/>
        <w:rPr>
          <w:lang w:val="de-DE"/>
        </w:rPr>
      </w:pPr>
      <w:r w:rsidRPr="004676F5">
        <w:rPr>
          <w:lang w:val="de-DE"/>
        </w:rPr>
        <w:t>2. der Betrag der Zahlungsvorgänge wird auf der Rechnung über die elektronischen Kommunikationsdienste abgerechnet und die Zahlungsvorgänge werden bereitgestellt:</w:t>
      </w:r>
    </w:p>
    <w:p w14:paraId="16470808" w14:textId="77777777" w:rsidR="0082027C" w:rsidRPr="004676F5" w:rsidRDefault="0082027C" w:rsidP="0082027C">
      <w:pPr>
        <w:ind w:firstLine="708"/>
        <w:jc w:val="both"/>
        <w:rPr>
          <w:lang w:val="de-DE"/>
        </w:rPr>
      </w:pPr>
    </w:p>
    <w:p w14:paraId="3E0BC5D7" w14:textId="77777777" w:rsidR="0082027C" w:rsidRPr="004676F5" w:rsidRDefault="0082027C" w:rsidP="0082027C">
      <w:pPr>
        <w:ind w:firstLine="708"/>
        <w:jc w:val="both"/>
        <w:rPr>
          <w:lang w:val="de-DE"/>
        </w:rPr>
      </w:pPr>
      <w:r w:rsidRPr="004676F5">
        <w:rPr>
          <w:i/>
          <w:lang w:val="de-DE"/>
        </w:rPr>
        <w:t>a) </w:t>
      </w:r>
      <w:r w:rsidRPr="004676F5">
        <w:rPr>
          <w:lang w:val="de-DE"/>
        </w:rPr>
        <w:t>im Zusammenhang mit dem Erwerb von digitalen Inhalten und Sprachdiensten, ungeachtet des für den Erwerb oder Konsum des digitalen Inhalts verwendeten Geräts,</w:t>
      </w:r>
    </w:p>
    <w:p w14:paraId="64B1A604" w14:textId="77777777" w:rsidR="0082027C" w:rsidRPr="004676F5" w:rsidRDefault="0082027C" w:rsidP="0082027C">
      <w:pPr>
        <w:ind w:firstLine="708"/>
        <w:jc w:val="both"/>
        <w:rPr>
          <w:lang w:val="de-DE"/>
        </w:rPr>
      </w:pPr>
    </w:p>
    <w:p w14:paraId="0E3ACA49" w14:textId="77777777" w:rsidR="0082027C" w:rsidRPr="004676F5" w:rsidRDefault="0082027C" w:rsidP="0082027C">
      <w:pPr>
        <w:ind w:firstLine="708"/>
        <w:jc w:val="both"/>
        <w:rPr>
          <w:lang w:val="de-DE"/>
        </w:rPr>
      </w:pPr>
      <w:r w:rsidRPr="004676F5">
        <w:rPr>
          <w:i/>
          <w:lang w:val="de-DE"/>
        </w:rPr>
        <w:t>b)</w:t>
      </w:r>
      <w:r w:rsidRPr="004676F5">
        <w:rPr>
          <w:lang w:val="de-DE"/>
        </w:rPr>
        <w:t> im Rahmen der Finanzierung von karitativen Tätigkeiten durch vom Staat als abzugsfähig anerkannte Spenden über ein elektronisches Gerät. Der König kann durch Königlichen Erlass die Liste der in vorliegendem Buchstaben erwähnten karitativen Tätigkeiten festlegen; oder auch</w:t>
      </w:r>
    </w:p>
    <w:p w14:paraId="006F1C67" w14:textId="77777777" w:rsidR="0082027C" w:rsidRPr="004676F5" w:rsidRDefault="0082027C" w:rsidP="0082027C">
      <w:pPr>
        <w:ind w:firstLine="708"/>
        <w:jc w:val="both"/>
        <w:rPr>
          <w:lang w:val="de-DE"/>
        </w:rPr>
      </w:pPr>
    </w:p>
    <w:p w14:paraId="4E34A45C" w14:textId="0D55246D" w:rsidR="00881814" w:rsidRPr="004676F5" w:rsidRDefault="0082027C" w:rsidP="0082027C">
      <w:pPr>
        <w:ind w:firstLine="708"/>
        <w:jc w:val="both"/>
        <w:rPr>
          <w:lang w:val="de-DE"/>
        </w:rPr>
      </w:pPr>
      <w:r w:rsidRPr="004676F5">
        <w:rPr>
          <w:i/>
          <w:lang w:val="de-DE"/>
        </w:rPr>
        <w:t>c) </w:t>
      </w:r>
      <w:r w:rsidRPr="004676F5">
        <w:rPr>
          <w:lang w:val="de-DE"/>
        </w:rPr>
        <w:t>für den Erwerb von elektronischen Tickets über ein elektronisches Gerät,]</w:t>
      </w:r>
    </w:p>
    <w:p w14:paraId="54924918" w14:textId="77777777" w:rsidR="00881814" w:rsidRPr="004676F5" w:rsidRDefault="00881814" w:rsidP="00881814">
      <w:pPr>
        <w:ind w:firstLine="708"/>
        <w:jc w:val="both"/>
        <w:rPr>
          <w:lang w:val="de-DE"/>
        </w:rPr>
      </w:pPr>
    </w:p>
    <w:p w14:paraId="0B0AF83C" w14:textId="1DD50BCA" w:rsidR="00881814" w:rsidRPr="004676F5" w:rsidRDefault="00881814" w:rsidP="0082027C">
      <w:pPr>
        <w:ind w:firstLine="708"/>
        <w:jc w:val="both"/>
        <w:rPr>
          <w:lang w:val="de-DE"/>
        </w:rPr>
      </w:pPr>
      <w:r w:rsidRPr="004676F5">
        <w:rPr>
          <w:lang w:val="de-DE"/>
        </w:rPr>
        <w:t>13. Zahlungsvorgänge, die auf eigene Rechnung untereinander von Zahlungs</w:t>
      </w:r>
      <w:r w:rsidRPr="004676F5">
        <w:rPr>
          <w:lang w:val="de-DE"/>
        </w:rPr>
        <w:softHyphen/>
        <w:t>dienstleistern, ihren Agenten oder Zweigniederlassungen ausgeführt werden,</w:t>
      </w:r>
    </w:p>
    <w:p w14:paraId="3EE1D975" w14:textId="77777777" w:rsidR="00881814" w:rsidRPr="004676F5" w:rsidRDefault="00881814" w:rsidP="00881814">
      <w:pPr>
        <w:ind w:firstLine="708"/>
        <w:jc w:val="both"/>
        <w:rPr>
          <w:lang w:val="de-DE"/>
        </w:rPr>
      </w:pPr>
    </w:p>
    <w:p w14:paraId="7960382A" w14:textId="277C7935" w:rsidR="00881814" w:rsidRPr="004676F5" w:rsidRDefault="00881814" w:rsidP="00881814">
      <w:pPr>
        <w:ind w:firstLine="708"/>
        <w:jc w:val="both"/>
        <w:rPr>
          <w:lang w:val="de-DE"/>
        </w:rPr>
      </w:pPr>
      <w:r w:rsidRPr="004676F5">
        <w:rPr>
          <w:lang w:val="de-DE"/>
        </w:rPr>
        <w:t>14. Zahlungsvorgänge zwischen einem Mutterunternehmen und seinem Tochter</w:t>
      </w:r>
      <w:r w:rsidRPr="004676F5">
        <w:rPr>
          <w:lang w:val="de-DE"/>
        </w:rPr>
        <w:softHyphen/>
        <w:t xml:space="preserve">unternehmen oder zwischen Tochterunternehmen desselben Mutterunternehmens </w:t>
      </w:r>
      <w:r w:rsidR="0082027C" w:rsidRPr="004676F5">
        <w:rPr>
          <w:lang w:val="de-DE"/>
        </w:rPr>
        <w:t xml:space="preserve">[und damit verbundene Dienste] </w:t>
      </w:r>
      <w:r w:rsidRPr="004676F5">
        <w:rPr>
          <w:lang w:val="de-DE"/>
        </w:rPr>
        <w:t xml:space="preserve">ohne Mitwirkung eines Zahlungsdienstleisters, </w:t>
      </w:r>
      <w:r w:rsidR="0082027C" w:rsidRPr="004676F5">
        <w:rPr>
          <w:lang w:val="de-DE"/>
        </w:rPr>
        <w:t>[es sei denn, es handelt sich bei diesem um ein Unternehmen derselben Gruppe]</w:t>
      </w:r>
      <w:r w:rsidRPr="004676F5">
        <w:rPr>
          <w:lang w:val="de-DE"/>
        </w:rPr>
        <w:t>,</w:t>
      </w:r>
    </w:p>
    <w:p w14:paraId="7B579B37" w14:textId="77777777" w:rsidR="00881814" w:rsidRPr="004676F5" w:rsidRDefault="00881814" w:rsidP="00881814">
      <w:pPr>
        <w:ind w:firstLine="708"/>
        <w:jc w:val="both"/>
        <w:rPr>
          <w:lang w:val="de-DE"/>
        </w:rPr>
      </w:pPr>
    </w:p>
    <w:p w14:paraId="6AEA85D6" w14:textId="5ABE9040" w:rsidR="00881814" w:rsidRPr="004676F5" w:rsidRDefault="00881814" w:rsidP="00881814">
      <w:pPr>
        <w:ind w:firstLine="708"/>
        <w:jc w:val="both"/>
        <w:rPr>
          <w:lang w:val="de-DE"/>
        </w:rPr>
      </w:pPr>
      <w:r w:rsidRPr="004676F5">
        <w:rPr>
          <w:lang w:val="de-DE"/>
        </w:rPr>
        <w:t>15. </w:t>
      </w:r>
      <w:r w:rsidR="0082027C" w:rsidRPr="004676F5">
        <w:rPr>
          <w:lang w:val="de-DE"/>
        </w:rPr>
        <w:t>[Bargeldabhebungsdienste, die von Dienstleistern über Geldausgabeautomaten für einen oder mehrere Kartenemittenten angeboten werden, die keinen Rahmenvertrag mit dem Geld von einem Zahlungskonto abhebenden Kunden geschlossen haben, vorausgesetzt, dass diese Dienstleister keine anderen der in Artikel I.9 erwähnten Zahlungsdienste erbringen. Jedoch ist der Kunde über alle Gebühren für Geldabhebungen nach den Artikeln VII.10, VII.15, VII.18 und VII.19 sowohl vor der Abhebung als auch bei Ende des Vorgangs nach der Abhebung bei Erhalt des Bargelds zu informieren.]</w:t>
      </w:r>
    </w:p>
    <w:p w14:paraId="421D627F" w14:textId="3C5EB8CE" w:rsidR="00881814" w:rsidRPr="004676F5" w:rsidRDefault="00881814" w:rsidP="00881814">
      <w:pPr>
        <w:rPr>
          <w:lang w:val="de-DE"/>
        </w:rPr>
      </w:pPr>
    </w:p>
    <w:p w14:paraId="7C58706F" w14:textId="3D601522"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Vom Anwendungsbereich des vorliegenden Buches ausgenommen sind:</w:t>
      </w:r>
    </w:p>
    <w:p w14:paraId="67DE4B68" w14:textId="77777777" w:rsidR="00881814" w:rsidRPr="004676F5" w:rsidRDefault="00881814" w:rsidP="00881814">
      <w:pPr>
        <w:ind w:firstLine="708"/>
        <w:jc w:val="both"/>
        <w:rPr>
          <w:lang w:val="de-DE"/>
        </w:rPr>
      </w:pPr>
    </w:p>
    <w:p w14:paraId="55FFC300" w14:textId="6B074FA2" w:rsidR="00881814" w:rsidRPr="004676F5" w:rsidRDefault="00881814" w:rsidP="00881814">
      <w:pPr>
        <w:ind w:firstLine="708"/>
        <w:jc w:val="both"/>
        <w:rPr>
          <w:lang w:val="de-DE"/>
        </w:rPr>
      </w:pPr>
      <w:r w:rsidRPr="004676F5">
        <w:rPr>
          <w:lang w:val="de-DE"/>
        </w:rPr>
        <w:t>1. Versicherungsverträge und Verträge über die wiederkehrende Erbringung von Dienstleistungen oder Lieferung von Waren gleicher Art, bei denen der Verbraucher für die Dauer der Erbringung oder Lieferung Teilzahlungen für diese Dienstleistungen oder Waren leistet,</w:t>
      </w:r>
    </w:p>
    <w:p w14:paraId="4FE8B842" w14:textId="77777777" w:rsidR="00881814" w:rsidRPr="004676F5" w:rsidRDefault="00881814" w:rsidP="00881814">
      <w:pPr>
        <w:ind w:firstLine="708"/>
        <w:jc w:val="both"/>
        <w:rPr>
          <w:lang w:val="de-DE"/>
        </w:rPr>
      </w:pPr>
    </w:p>
    <w:p w14:paraId="2DF18CFA" w14:textId="77777777" w:rsidR="00881814" w:rsidRPr="004676F5" w:rsidRDefault="00881814" w:rsidP="00881814">
      <w:pPr>
        <w:ind w:firstLine="708"/>
        <w:jc w:val="both"/>
        <w:rPr>
          <w:lang w:val="de-DE"/>
        </w:rPr>
      </w:pPr>
      <w:r w:rsidRPr="004676F5">
        <w:rPr>
          <w:lang w:val="de-DE"/>
        </w:rPr>
        <w:t>2. Mietverträge, bei denen weder im Vertrag selbst noch in einem gesonderten Vertrag eine Verpflichtung zum Erwerb des Vertragsgegenstands vorgesehen ist. Von einer solchen Verpflichtung ist auszugehen, wenn der Vermieter darüber einseitig entscheidet,</w:t>
      </w:r>
    </w:p>
    <w:p w14:paraId="26BA13DC" w14:textId="77777777" w:rsidR="00881814" w:rsidRPr="004676F5" w:rsidRDefault="00881814" w:rsidP="00881814">
      <w:pPr>
        <w:ind w:firstLine="708"/>
        <w:jc w:val="both"/>
        <w:rPr>
          <w:lang w:val="de-DE"/>
        </w:rPr>
      </w:pPr>
    </w:p>
    <w:p w14:paraId="4B98ABDF" w14:textId="404184C1" w:rsidR="00881814" w:rsidRPr="004676F5" w:rsidRDefault="00881814" w:rsidP="00881814">
      <w:pPr>
        <w:ind w:firstLine="708"/>
        <w:jc w:val="both"/>
        <w:rPr>
          <w:lang w:val="de-DE"/>
        </w:rPr>
      </w:pPr>
      <w:r w:rsidRPr="004676F5">
        <w:rPr>
          <w:lang w:val="de-DE"/>
        </w:rPr>
        <w:t xml:space="preserve">3. zinsfreie Verbraucherkreditverträge, bei denen der aufgenommene Kredit binnen zwei Monaten zurückzuzahlen ist und für die der Kreditgeber Kosten von weniger als 4,17 EUR auf Monatsbasis verlangt. Diese Kosten umfassen die in Artikel I.9 Nr. 41 erwähnten Kosten, </w:t>
      </w:r>
      <w:r w:rsidRPr="004676F5">
        <w:rPr>
          <w:lang w:val="de-DE"/>
        </w:rPr>
        <w:lastRenderedPageBreak/>
        <w:t xml:space="preserve">die </w:t>
      </w:r>
      <w:r w:rsidR="005B7A5C" w:rsidRPr="004676F5">
        <w:rPr>
          <w:lang w:val="de-DE"/>
        </w:rPr>
        <w:t>- </w:t>
      </w:r>
      <w:r w:rsidRPr="004676F5">
        <w:rPr>
          <w:lang w:val="de-DE"/>
        </w:rPr>
        <w:t xml:space="preserve">wenn nötig </w:t>
      </w:r>
      <w:r w:rsidR="005B7A5C" w:rsidRPr="004676F5">
        <w:rPr>
          <w:lang w:val="de-DE"/>
        </w:rPr>
        <w:t>- </w:t>
      </w:r>
      <w:r w:rsidRPr="004676F5">
        <w:rPr>
          <w:lang w:val="de-DE"/>
        </w:rPr>
        <w:t>auf der Grundlage der in Artikel I.9 Nr. 42 erwähnten Angaben berechnet werden.</w:t>
      </w:r>
    </w:p>
    <w:p w14:paraId="3B0678C2" w14:textId="77777777" w:rsidR="00881814" w:rsidRPr="004676F5" w:rsidRDefault="00881814" w:rsidP="00881814">
      <w:pPr>
        <w:ind w:firstLine="708"/>
        <w:jc w:val="both"/>
        <w:rPr>
          <w:lang w:val="de-DE"/>
        </w:rPr>
      </w:pPr>
    </w:p>
    <w:p w14:paraId="02536FCA" w14:textId="77777777" w:rsidR="00881814" w:rsidRPr="004676F5" w:rsidRDefault="00881814" w:rsidP="00881814">
      <w:pPr>
        <w:ind w:firstLine="708"/>
        <w:jc w:val="both"/>
        <w:rPr>
          <w:lang w:val="de-DE"/>
        </w:rPr>
      </w:pPr>
      <w:r w:rsidRPr="004676F5">
        <w:rPr>
          <w:lang w:val="de-DE"/>
        </w:rPr>
        <w:t>Der Betrag des Schwellenwertes wird am 1. Januar jeden Jahres gemäß folgender Formel indexiert: 4,17 EUR multipliziert mit dem neuen Index und geteilt durch den Anfangsindex. Der neue Index ist der Verbraucherpreisindex des Monats Dezember des Vorjahres und der Anfangsindex ist der Verbraucherpreisindex des Monats Dezember 2010. Der indexierte Betrag wird gemäß den aufgrund von Artikel I.9 Nr. 44 für die Rundung des Sollzinssatzes geltenden Regeln gerundet. Der König kann den Betrag dieses Schwellen</w:t>
      </w:r>
      <w:r w:rsidRPr="004676F5">
        <w:rPr>
          <w:lang w:val="de-DE"/>
        </w:rPr>
        <w:softHyphen/>
        <w:t>wertes abändern,</w:t>
      </w:r>
    </w:p>
    <w:p w14:paraId="55F44C88" w14:textId="77777777" w:rsidR="00881814" w:rsidRPr="004676F5" w:rsidRDefault="00881814" w:rsidP="00881814">
      <w:pPr>
        <w:ind w:firstLine="708"/>
        <w:jc w:val="both"/>
        <w:rPr>
          <w:lang w:val="de-DE"/>
        </w:rPr>
      </w:pPr>
    </w:p>
    <w:p w14:paraId="1828E76F" w14:textId="77777777" w:rsidR="00881814" w:rsidRPr="004676F5" w:rsidRDefault="00881814" w:rsidP="00881814">
      <w:pPr>
        <w:ind w:firstLine="708"/>
        <w:jc w:val="both"/>
        <w:rPr>
          <w:lang w:val="de-DE"/>
        </w:rPr>
      </w:pPr>
      <w:r w:rsidRPr="004676F5">
        <w:rPr>
          <w:lang w:val="de-DE"/>
        </w:rPr>
        <w:t>4. Verbraucherkreditverträge, die das Ergebnis einer Vereinbarung sind, die vor einem Gericht oder einer anderen durch Gesetz eingesetzten Instanz getroffen wird,</w:t>
      </w:r>
    </w:p>
    <w:p w14:paraId="744358A0" w14:textId="77777777" w:rsidR="00881814" w:rsidRPr="004676F5" w:rsidRDefault="00881814" w:rsidP="00881814">
      <w:pPr>
        <w:ind w:firstLine="708"/>
        <w:jc w:val="both"/>
        <w:rPr>
          <w:lang w:val="de-DE"/>
        </w:rPr>
      </w:pPr>
    </w:p>
    <w:p w14:paraId="56ABE105" w14:textId="77777777" w:rsidR="00881814" w:rsidRPr="004676F5" w:rsidRDefault="00881814" w:rsidP="00881814">
      <w:pPr>
        <w:ind w:firstLine="708"/>
        <w:jc w:val="both"/>
        <w:rPr>
          <w:lang w:val="de-DE"/>
        </w:rPr>
      </w:pPr>
      <w:r w:rsidRPr="004676F5">
        <w:rPr>
          <w:lang w:val="de-DE"/>
        </w:rPr>
        <w:t>5. Verträge von Heiratsvermittlungsstellen, die unter die Anwendung des Gesetzes vom 9. März 1993 zur Regelung und Kontrolle der Tätigkeiten von Heiratsvermittlungsstellen fallen,</w:t>
      </w:r>
    </w:p>
    <w:p w14:paraId="1AE45010" w14:textId="77777777" w:rsidR="00881814" w:rsidRPr="004676F5" w:rsidRDefault="00881814" w:rsidP="00881814">
      <w:pPr>
        <w:ind w:firstLine="708"/>
        <w:jc w:val="both"/>
        <w:rPr>
          <w:lang w:val="de-DE"/>
        </w:rPr>
      </w:pPr>
    </w:p>
    <w:p w14:paraId="43E04815" w14:textId="46BDC22B" w:rsidR="00881814" w:rsidRPr="004676F5" w:rsidRDefault="00881814" w:rsidP="00881814">
      <w:pPr>
        <w:ind w:firstLine="708"/>
        <w:jc w:val="both"/>
        <w:rPr>
          <w:lang w:val="de-DE"/>
        </w:rPr>
      </w:pPr>
      <w:r w:rsidRPr="004676F5">
        <w:rPr>
          <w:lang w:val="de-DE"/>
        </w:rPr>
        <w:t xml:space="preserve">6. Verbraucherkreditverträge, die unentgeltlichen Zahlungsaufschub für </w:t>
      </w:r>
      <w:r w:rsidR="008B6B3F" w:rsidRPr="004676F5">
        <w:rPr>
          <w:lang w:val="de-DE"/>
        </w:rPr>
        <w:t>eine bestehende Forderung</w:t>
      </w:r>
      <w:r w:rsidRPr="004676F5">
        <w:rPr>
          <w:lang w:val="de-DE"/>
        </w:rPr>
        <w:t xml:space="preserve"> betreffen,</w:t>
      </w:r>
    </w:p>
    <w:p w14:paraId="0E3A3868" w14:textId="77777777" w:rsidR="00881814" w:rsidRPr="004676F5" w:rsidRDefault="00881814" w:rsidP="00881814">
      <w:pPr>
        <w:ind w:firstLine="708"/>
        <w:jc w:val="both"/>
        <w:rPr>
          <w:lang w:val="de-DE"/>
        </w:rPr>
      </w:pPr>
    </w:p>
    <w:p w14:paraId="6A929B09" w14:textId="77777777" w:rsidR="00881814" w:rsidRPr="004676F5" w:rsidRDefault="00881814" w:rsidP="00881814">
      <w:pPr>
        <w:ind w:firstLine="708"/>
        <w:jc w:val="both"/>
        <w:rPr>
          <w:lang w:val="de-DE"/>
        </w:rPr>
      </w:pPr>
      <w:r w:rsidRPr="004676F5">
        <w:rPr>
          <w:lang w:val="de-DE"/>
        </w:rPr>
        <w:t>7. Kreditverträge, die von den im Gesetz vom 30. April 1848 über die Neuordnung der Pfandleihhäuser erwähnten Pfandleihhäusern gewährt werden,</w:t>
      </w:r>
    </w:p>
    <w:p w14:paraId="15529D63" w14:textId="77777777" w:rsidR="00881814" w:rsidRPr="004676F5" w:rsidRDefault="00881814" w:rsidP="00881814">
      <w:pPr>
        <w:ind w:firstLine="708"/>
        <w:jc w:val="both"/>
        <w:rPr>
          <w:lang w:val="de-DE"/>
        </w:rPr>
      </w:pPr>
    </w:p>
    <w:p w14:paraId="1D6C8EC6" w14:textId="1E53100B" w:rsidR="00881814" w:rsidRPr="004676F5" w:rsidRDefault="00881814" w:rsidP="00881814">
      <w:pPr>
        <w:ind w:firstLine="708"/>
        <w:jc w:val="both"/>
        <w:rPr>
          <w:lang w:val="de-DE"/>
        </w:rPr>
      </w:pPr>
      <w:r w:rsidRPr="004676F5">
        <w:rPr>
          <w:lang w:val="de-DE"/>
        </w:rPr>
        <w:t>8. zins</w:t>
      </w:r>
      <w:r w:rsidR="005B7A5C" w:rsidRPr="004676F5">
        <w:rPr>
          <w:lang w:val="de-DE"/>
        </w:rPr>
        <w:t>- </w:t>
      </w:r>
      <w:r w:rsidRPr="004676F5">
        <w:rPr>
          <w:lang w:val="de-DE"/>
        </w:rPr>
        <w:t>und kostenfreie Kreditverträge, auf die Artikel 18 des Gesetzes vom 28. August 2011 über den Schutz der Verbraucher im Hinblick auf Teilzeitnutzungsverträge, Verträge über langfristige Urlaubsprodukte sowie Wiederverkaufs</w:t>
      </w:r>
      <w:r w:rsidR="005B7A5C" w:rsidRPr="004676F5">
        <w:rPr>
          <w:lang w:val="de-DE"/>
        </w:rPr>
        <w:t>- </w:t>
      </w:r>
      <w:r w:rsidRPr="004676F5">
        <w:rPr>
          <w:lang w:val="de-DE"/>
        </w:rPr>
        <w:t>und Tauschverträge anwendbar ist</w:t>
      </w:r>
      <w:r w:rsidR="00AE551D" w:rsidRPr="004676F5">
        <w:rPr>
          <w:lang w:val="de-DE"/>
        </w:rPr>
        <w:t>,</w:t>
      </w:r>
    </w:p>
    <w:p w14:paraId="45EE0398" w14:textId="570CADDE" w:rsidR="00AE551D" w:rsidRPr="004676F5" w:rsidRDefault="00AE551D" w:rsidP="00881814">
      <w:pPr>
        <w:ind w:firstLine="708"/>
        <w:jc w:val="both"/>
        <w:rPr>
          <w:lang w:val="de-DE"/>
        </w:rPr>
      </w:pPr>
    </w:p>
    <w:p w14:paraId="1C76FAB6" w14:textId="741E47B2" w:rsidR="00AE551D" w:rsidRPr="004676F5" w:rsidRDefault="00AE551D" w:rsidP="00881814">
      <w:pPr>
        <w:ind w:firstLine="708"/>
        <w:jc w:val="both"/>
        <w:rPr>
          <w:lang w:val="de-DE"/>
        </w:rPr>
      </w:pPr>
      <w:r w:rsidRPr="004676F5">
        <w:rPr>
          <w:lang w:val="de-DE"/>
        </w:rPr>
        <w:t>[9. Verbraucherkreditverträge, die aus Gründen des Allgemeininteresses einem begrenzten Personenkreis zu einem niedrigeren als dem marktüblichen Zinssatz oder zinslos oder zu anderen, für den Verbraucher günstigeren als den marktüblichen Bedingungen und zu Zinssätzen, die nicht über den marktüblichen Zinssätzen liegen, gewährt werden und die in Form einer finanziellen Beihilfe für ein Studium erfolgen und von einer von der zuständigen Gemeinschaft als solche anerkannten Unterrichtsanstalt gewährt werden.]</w:t>
      </w:r>
    </w:p>
    <w:p w14:paraId="68ADF10F" w14:textId="77777777" w:rsidR="00881814" w:rsidRPr="004676F5" w:rsidRDefault="00881814" w:rsidP="00881814">
      <w:pPr>
        <w:ind w:firstLine="708"/>
        <w:jc w:val="both"/>
        <w:rPr>
          <w:lang w:val="de-DE"/>
        </w:rPr>
      </w:pPr>
    </w:p>
    <w:p w14:paraId="7405AFF3" w14:textId="2233FCE6"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Vom Anwendungsbereich des vorliegenden Buches ebenfalls ausgenommen sind:</w:t>
      </w:r>
    </w:p>
    <w:p w14:paraId="193C05E0" w14:textId="77777777" w:rsidR="00881814" w:rsidRPr="004676F5" w:rsidRDefault="00881814" w:rsidP="00881814">
      <w:pPr>
        <w:ind w:firstLine="708"/>
        <w:jc w:val="both"/>
        <w:rPr>
          <w:lang w:val="de-DE"/>
        </w:rPr>
      </w:pPr>
    </w:p>
    <w:p w14:paraId="2EBA1AF2" w14:textId="77777777" w:rsidR="00881814" w:rsidRPr="004676F5" w:rsidRDefault="00881814" w:rsidP="00881814">
      <w:pPr>
        <w:ind w:firstLine="708"/>
        <w:jc w:val="both"/>
        <w:rPr>
          <w:lang w:val="de-DE"/>
        </w:rPr>
      </w:pPr>
      <w:r w:rsidRPr="004676F5">
        <w:rPr>
          <w:lang w:val="de-DE"/>
        </w:rPr>
        <w:t>1. Kreditverträge über weniger als 200 EUR, mit Ausnahme der Bestimmungen der Artikel VII.1, VII.2 §§ 2 bis 4, VII.3 §§ 2 bis 4, VII.64 bis VII.66, VII.67 bis VII.74, VII.75 Absatz 1, VII.79 Absatz 3, VII.80, VII.85 bis VII.90, VII.94, VII.98, VII.99, VII.105 bis VII.115, VII.158 bis VII.188, VII.194 bis VII.208 und VII.215 bis VII.219,</w:t>
      </w:r>
    </w:p>
    <w:p w14:paraId="34A89513" w14:textId="77777777" w:rsidR="00881814" w:rsidRPr="004676F5" w:rsidRDefault="00881814" w:rsidP="00881814">
      <w:pPr>
        <w:ind w:firstLine="708"/>
        <w:jc w:val="both"/>
        <w:rPr>
          <w:lang w:val="de-DE"/>
        </w:rPr>
      </w:pPr>
    </w:p>
    <w:p w14:paraId="426BC79A" w14:textId="005EEFA4" w:rsidR="00881814" w:rsidRPr="004676F5" w:rsidRDefault="00881814" w:rsidP="00881814">
      <w:pPr>
        <w:ind w:firstLine="708"/>
        <w:jc w:val="both"/>
        <w:rPr>
          <w:lang w:val="de-DE"/>
        </w:rPr>
      </w:pPr>
      <w:r w:rsidRPr="004676F5">
        <w:rPr>
          <w:lang w:val="de-DE"/>
        </w:rPr>
        <w:t xml:space="preserve">2. Überziehungsmöglichkeiten, bei denen der Negativsaldo binnen einem Monat zurückzuzahlen ist, mit Ausnahme der Bestimmungen der Artikel VII.1, VII.2 §§ 2 bis 4, VII.3 §§ 2 bis 4, VII.68, VII.71 § 3, VII.72 und VII.73, VII.77, VII.85 bis VII.87, VII.88 und VII.89, </w:t>
      </w:r>
      <w:r w:rsidR="001A36B9" w:rsidRPr="004676F5">
        <w:rPr>
          <w:lang w:val="de-DE"/>
        </w:rPr>
        <w:t xml:space="preserve">[VII.94,] </w:t>
      </w:r>
      <w:r w:rsidRPr="004676F5">
        <w:rPr>
          <w:lang w:val="de-DE"/>
        </w:rPr>
        <w:t xml:space="preserve">VII.99 § 1, VII.100 und VII.101, VII.105 und VII.106, VII.107, VII.112, VII.114 bis VII.122, </w:t>
      </w:r>
      <w:r w:rsidR="00A12382" w:rsidRPr="004676F5">
        <w:rPr>
          <w:lang w:val="de-DE"/>
        </w:rPr>
        <w:t xml:space="preserve">[VII.148, VII.149 § 2, VII.150 bis VII.155,] </w:t>
      </w:r>
      <w:r w:rsidRPr="004676F5">
        <w:rPr>
          <w:lang w:val="de-DE"/>
        </w:rPr>
        <w:t>VII.158 bis VII.188, VII.196, VII.199, VII.200, VII.201 Nr. 1 und 2, VII.204, VII.205 und VII.215 bis VII.219,</w:t>
      </w:r>
    </w:p>
    <w:p w14:paraId="3BD546A6" w14:textId="77777777" w:rsidR="00881814" w:rsidRPr="004676F5" w:rsidRDefault="00881814" w:rsidP="00881814">
      <w:pPr>
        <w:jc w:val="both"/>
        <w:rPr>
          <w:lang w:val="de-DE"/>
        </w:rPr>
      </w:pPr>
    </w:p>
    <w:p w14:paraId="000410C5" w14:textId="77777777" w:rsidR="00881814" w:rsidRPr="004676F5" w:rsidRDefault="00881814" w:rsidP="00881814">
      <w:pPr>
        <w:ind w:firstLine="708"/>
        <w:jc w:val="both"/>
        <w:rPr>
          <w:lang w:val="de-DE"/>
        </w:rPr>
      </w:pPr>
      <w:r w:rsidRPr="004676F5">
        <w:rPr>
          <w:lang w:val="de-DE"/>
        </w:rPr>
        <w:t xml:space="preserve">3. Überziehungsmöglichkeiten, bei denen der Negativsaldo nach Aufforderung des Kreditgebers oder binnen drei Monaten zurückzuzahlen ist, mit Ausnahme der Bestimmungen </w:t>
      </w:r>
      <w:r w:rsidRPr="004676F5">
        <w:rPr>
          <w:lang w:val="de-DE"/>
        </w:rPr>
        <w:lastRenderedPageBreak/>
        <w:t xml:space="preserve">der Artikel VII.1, VII.2 §§ 2 bis 4, VII.3 §§ 2 bis 4, VII.64 § 1 Absatz 1 Nr. 1 bis 3 und § 2, VII.65 und VII.66, VII.67 bis VII.69, VII.71 bis VII.77, VII.78 §§ 1 und 2 Nr. 1 bis 13, § 4 Nr. 1 und 2, VII.79, VII.84 bis VII.95, VII.96 § 1, VII.97 § 2, VII.98, VII.99 § 1, VII.100 bis VII.122, VII.148 bis VII.188, VII.194 bis VII.208 und VII.215 bis VII.219, </w:t>
      </w:r>
    </w:p>
    <w:p w14:paraId="37040D77" w14:textId="77777777" w:rsidR="00881814" w:rsidRPr="004676F5" w:rsidRDefault="00881814" w:rsidP="00881814">
      <w:pPr>
        <w:ind w:firstLine="708"/>
        <w:jc w:val="both"/>
        <w:rPr>
          <w:lang w:val="de-DE"/>
        </w:rPr>
      </w:pPr>
    </w:p>
    <w:p w14:paraId="3185550A" w14:textId="77777777" w:rsidR="00881814" w:rsidRPr="004676F5" w:rsidRDefault="00881814" w:rsidP="00881814">
      <w:pPr>
        <w:ind w:firstLine="708"/>
        <w:jc w:val="both"/>
        <w:rPr>
          <w:lang w:val="de-DE"/>
        </w:rPr>
      </w:pPr>
      <w:r w:rsidRPr="004676F5">
        <w:rPr>
          <w:lang w:val="de-DE"/>
        </w:rPr>
        <w:t>4. Überschreitungen, mit Ausnahme der Bestimmungen der Artikel VII.1, VII.2 §§ 2 bis 4, VII.3 §§ 2 bis 4, VII.64 § 2, VII.65 und VII.66, VII.68, VII.85, VII.86 §§ 1 bis 3, 5 und 6, VII.87 bis VII.89, VII.94, VII.97 § 1, VII.97 § 2, VII.101, VII.105 bis VII.107, VII.112 bis VII.122, VII.148 bis VII.188, VII.196, VII.199 und VII.200, VII.205 und VII.215 bis VII.219,</w:t>
      </w:r>
    </w:p>
    <w:p w14:paraId="631C3AEB" w14:textId="77777777" w:rsidR="00881814" w:rsidRPr="004676F5" w:rsidRDefault="00881814" w:rsidP="00881814">
      <w:pPr>
        <w:ind w:firstLine="708"/>
        <w:jc w:val="both"/>
        <w:rPr>
          <w:lang w:val="de-DE"/>
        </w:rPr>
      </w:pPr>
    </w:p>
    <w:p w14:paraId="4D0D44DA" w14:textId="77777777" w:rsidR="00881814" w:rsidRPr="004676F5" w:rsidRDefault="00881814" w:rsidP="00881814">
      <w:pPr>
        <w:ind w:firstLine="708"/>
        <w:jc w:val="both"/>
        <w:rPr>
          <w:lang w:val="de-DE"/>
        </w:rPr>
      </w:pPr>
      <w:r w:rsidRPr="004676F5">
        <w:rPr>
          <w:lang w:val="de-DE"/>
        </w:rPr>
        <w:t xml:space="preserve">5. Kreditverträge, die mit Investmentgesellschaften im Sinne </w:t>
      </w:r>
      <w:r w:rsidR="001B1842" w:rsidRPr="004676F5">
        <w:rPr>
          <w:lang w:val="de-DE"/>
        </w:rPr>
        <w:t>[</w:t>
      </w:r>
      <w:r w:rsidR="0012182F" w:rsidRPr="004676F5">
        <w:rPr>
          <w:lang w:val="de-DE"/>
        </w:rPr>
        <w:t>des Gesetzes vom 25. Oktober 2016 oder mit Kreditinstituten im Sinne von Artikel 1 § 3 Absatz 1 des Gesetzes vom 25. April 2014 über den Status und die Kontrolle der Kreditinstitute und der Börsengesellschaften abgeschlossen werden]</w:t>
      </w:r>
      <w:r w:rsidRPr="004676F5">
        <w:rPr>
          <w:lang w:val="de-DE"/>
        </w:rPr>
        <w:t xml:space="preserve"> und die es einem Anleger erlauben sollen, ein Geschäft zu tätigen, das eines oder mehrere der in Artikel 2 Nr. 1 des Gesetzes vom 2. August 2002 erwähnten Finanz</w:t>
      </w:r>
      <w:r w:rsidRPr="004676F5">
        <w:rPr>
          <w:lang w:val="de-DE"/>
        </w:rPr>
        <w:softHyphen/>
        <w:t>instrumente betrifft, wenn die Investmentgesellschaft oder das Kreditinstitut, die/das den Kredit gewährt, an diesem Geschäft beteiligt ist, mit Ausnahme der Bestimmungen der Artikel VII.1, VII.2 §§ 2 bis 4, VII.3 §§ 2 bis 4, VII.64 bis VII.78, VII.86 bis VII.89, VII.94, VII.96 bis VII.108, VII.112 bis VII.122, VII.148 bis VII.188, VII.194 bis VII.208 und VII.215 bis VII.219. In diesem Fall und in Bezug auf die Kreditverwendung sorgt das Kreditinstitut oder die Investmentgesellschaft ebenfalls für die Einhaltung der in Artikel 27 des Gesetzes vom 2. August 2002 erwähnten Regeln,</w:t>
      </w:r>
    </w:p>
    <w:p w14:paraId="1117463A" w14:textId="77777777" w:rsidR="00881814" w:rsidRPr="004676F5" w:rsidRDefault="00881814" w:rsidP="00881814">
      <w:pPr>
        <w:ind w:firstLine="708"/>
        <w:jc w:val="both"/>
        <w:rPr>
          <w:lang w:val="de-DE"/>
        </w:rPr>
      </w:pPr>
    </w:p>
    <w:p w14:paraId="44EDC92E" w14:textId="77777777" w:rsidR="00881814" w:rsidRPr="004676F5" w:rsidRDefault="00881814" w:rsidP="00881814">
      <w:pPr>
        <w:ind w:firstLine="708"/>
        <w:jc w:val="both"/>
        <w:rPr>
          <w:lang w:val="de-DE"/>
        </w:rPr>
      </w:pPr>
      <w:r w:rsidRPr="004676F5">
        <w:rPr>
          <w:lang w:val="de-DE"/>
        </w:rPr>
        <w:t>6. Verbraucherkreditverträge, in denen vorgesehen ist, dass Kreditgeber und Verbraucher Vereinbarungen über Zahlungsaufschub oder Rückzahlungsmodalitäten treffen, wenn der Verbraucher seinen Verpflichtungen aus dem ursprünglichen Kreditvertrag nicht nachgekommen ist, und sofern:</w:t>
      </w:r>
    </w:p>
    <w:p w14:paraId="714BC6B2" w14:textId="77777777" w:rsidR="00881814" w:rsidRPr="004676F5" w:rsidRDefault="00881814" w:rsidP="00881814">
      <w:pPr>
        <w:ind w:firstLine="708"/>
        <w:jc w:val="both"/>
        <w:rPr>
          <w:lang w:val="de-DE"/>
        </w:rPr>
      </w:pPr>
    </w:p>
    <w:p w14:paraId="03128478" w14:textId="77777777" w:rsidR="00881814" w:rsidRPr="004676F5" w:rsidRDefault="00881814" w:rsidP="00881814">
      <w:pPr>
        <w:ind w:firstLine="708"/>
        <w:jc w:val="both"/>
        <w:rPr>
          <w:lang w:val="de-DE"/>
        </w:rPr>
      </w:pPr>
      <w:r w:rsidRPr="004676F5">
        <w:rPr>
          <w:i/>
          <w:lang w:val="de-DE"/>
        </w:rPr>
        <w:t>a)</w:t>
      </w:r>
      <w:r w:rsidRPr="004676F5">
        <w:rPr>
          <w:lang w:val="de-DE"/>
        </w:rPr>
        <w:t> durch solche Vereinbarungen voraussichtlich ein Gerichtsverfahren wegen Nichterfüllung der Zahlungsverpflichtungen vermieden werden kann und</w:t>
      </w:r>
    </w:p>
    <w:p w14:paraId="78708EFC" w14:textId="77777777" w:rsidR="00881814" w:rsidRPr="004676F5" w:rsidRDefault="00881814" w:rsidP="00881814">
      <w:pPr>
        <w:ind w:firstLine="708"/>
        <w:jc w:val="both"/>
        <w:rPr>
          <w:lang w:val="de-DE"/>
        </w:rPr>
      </w:pPr>
    </w:p>
    <w:p w14:paraId="112A5DE0" w14:textId="77777777" w:rsidR="00881814" w:rsidRPr="004676F5" w:rsidRDefault="00881814" w:rsidP="00881814">
      <w:pPr>
        <w:ind w:firstLine="708"/>
        <w:jc w:val="both"/>
        <w:rPr>
          <w:lang w:val="de-DE"/>
        </w:rPr>
      </w:pPr>
      <w:r w:rsidRPr="004676F5">
        <w:rPr>
          <w:i/>
          <w:lang w:val="de-DE"/>
        </w:rPr>
        <w:t>b)</w:t>
      </w:r>
      <w:r w:rsidRPr="004676F5">
        <w:rPr>
          <w:lang w:val="de-DE"/>
        </w:rPr>
        <w:t> der Verbraucher dadurch im Vergleich zum ursprünglichen Kreditvertrag nicht schlechter gestellt wird, mit Ausnahme der Bestimmungen der Artikel VII.1, VII.2 §§ 2 bis 4, VII.3 §§ 2 bis 4, VII.64 bis VII.66, VII.67 bis VII.69, VII.71 bis VII.77, VII.78 §§ 1, 2 Nr. 1 bis 8 und 3 Nr. 2, 3 und 4, VII.79, VII.84, VII.91, VII.93, VII.94 bis VII.108, VII.112 bis VII.122, VII.148 bis VII.188, VII.194 bis VII.208 und VII.215 bis VII.219. Fällt der Kreditvertrag jedoch unter Nr. 3, so gelten nur die Bestimmungen dieser Nummer. Die in vorliegendem Absatz erwähnte Ausnahme kann nur einmal Anwendung finden.</w:t>
      </w:r>
    </w:p>
    <w:p w14:paraId="21601C64" w14:textId="77777777" w:rsidR="00881814" w:rsidRPr="004676F5" w:rsidRDefault="00881814" w:rsidP="00881814">
      <w:pPr>
        <w:ind w:firstLine="708"/>
        <w:jc w:val="both"/>
        <w:rPr>
          <w:lang w:val="de-DE"/>
        </w:rPr>
      </w:pPr>
    </w:p>
    <w:p w14:paraId="7F2DDCC6" w14:textId="3E831C25" w:rsidR="00881814" w:rsidRPr="004676F5" w:rsidRDefault="00881814" w:rsidP="00881814">
      <w:pPr>
        <w:ind w:firstLine="708"/>
        <w:jc w:val="both"/>
        <w:rPr>
          <w:lang w:val="de-DE"/>
        </w:rPr>
      </w:pPr>
      <w:r w:rsidRPr="004676F5">
        <w:rPr>
          <w:lang w:val="de-DE"/>
        </w:rPr>
        <w:t>§ 4 </w:t>
      </w:r>
      <w:r w:rsidR="005B7A5C" w:rsidRPr="004676F5">
        <w:rPr>
          <w:lang w:val="de-DE"/>
        </w:rPr>
        <w:t>- </w:t>
      </w:r>
      <w:r w:rsidR="00AE551D" w:rsidRPr="004676F5">
        <w:rPr>
          <w:lang w:val="de-DE"/>
        </w:rPr>
        <w:t>[Unbeschadet der Bestimmungen der Paragraphen 1, 2 und 3 kann der König festlegen]</w:t>
      </w:r>
      <w:r w:rsidRPr="004676F5">
        <w:rPr>
          <w:lang w:val="de-DE"/>
        </w:rPr>
        <w:t>, dass bestimmte Artikel des vorliegenden Buches, die Er bestimmt, nicht anwendbar sind auf:</w:t>
      </w:r>
    </w:p>
    <w:p w14:paraId="1D7B9DD4" w14:textId="77777777" w:rsidR="00881814" w:rsidRPr="004676F5" w:rsidRDefault="00881814" w:rsidP="00881814">
      <w:pPr>
        <w:ind w:firstLine="708"/>
        <w:jc w:val="both"/>
        <w:rPr>
          <w:lang w:val="de-DE"/>
        </w:rPr>
      </w:pPr>
    </w:p>
    <w:p w14:paraId="2A629845" w14:textId="77777777" w:rsidR="00881814" w:rsidRPr="004676F5" w:rsidRDefault="00881814" w:rsidP="00881814">
      <w:pPr>
        <w:ind w:firstLine="708"/>
        <w:jc w:val="both"/>
        <w:rPr>
          <w:lang w:val="de-DE"/>
        </w:rPr>
      </w:pPr>
      <w:r w:rsidRPr="004676F5">
        <w:rPr>
          <w:lang w:val="de-DE"/>
        </w:rPr>
        <w:t>1. Verträge über Kredite, die Arbeitnehmern vom Arbeitgeber als Nebenleistung zinsfrei oder zu einem niedrigeren effektiven Jahreszins als dem marktüblichen gewährt werden und die nicht der breiten Öffentlichkeit angeboten werden,</w:t>
      </w:r>
    </w:p>
    <w:p w14:paraId="23786922" w14:textId="77777777" w:rsidR="00881814" w:rsidRPr="004676F5" w:rsidRDefault="00881814" w:rsidP="00881814">
      <w:pPr>
        <w:ind w:firstLine="708"/>
        <w:jc w:val="both"/>
        <w:rPr>
          <w:lang w:val="de-DE"/>
        </w:rPr>
      </w:pPr>
    </w:p>
    <w:p w14:paraId="5D65FD90" w14:textId="20F0F2DD" w:rsidR="001B1842" w:rsidRPr="004676F5" w:rsidRDefault="00881814" w:rsidP="00881814">
      <w:pPr>
        <w:ind w:firstLine="708"/>
        <w:jc w:val="both"/>
        <w:rPr>
          <w:lang w:val="de-DE"/>
        </w:rPr>
      </w:pPr>
      <w:r w:rsidRPr="004676F5">
        <w:rPr>
          <w:lang w:val="de-DE"/>
        </w:rPr>
        <w:t xml:space="preserve">2. Kreditverträge, die im Gemeinwohlinteresse von öffentlichen oder privaten Einrichtungen, die zu diesem Zweck von der zuständigen Behörde zugelassen worden sind, einem begrenzten Kundenkreis gewährt werden, sei es zu einem niedrigeren als dem marktüblichen Zinssatz oder zinslos oder zu anderen, für den Verbraucher günstigeren als den </w:t>
      </w:r>
      <w:r w:rsidRPr="004676F5">
        <w:rPr>
          <w:lang w:val="de-DE"/>
        </w:rPr>
        <w:lastRenderedPageBreak/>
        <w:t>marktüblichen Bedingungen und zu Zinssätzen, die nicht über den marktüblichen Zinssätzen liegen.</w:t>
      </w:r>
    </w:p>
    <w:p w14:paraId="56A1D4A3" w14:textId="19674E94" w:rsidR="00EC3609" w:rsidRPr="004676F5" w:rsidRDefault="00EC3609" w:rsidP="00881814">
      <w:pPr>
        <w:ind w:firstLine="708"/>
        <w:jc w:val="both"/>
        <w:rPr>
          <w:lang w:val="de-DE"/>
        </w:rPr>
      </w:pPr>
    </w:p>
    <w:p w14:paraId="2B3E43AE" w14:textId="6DD1E650" w:rsidR="00EC3609" w:rsidRPr="004676F5" w:rsidRDefault="00EC3609" w:rsidP="00881814">
      <w:pPr>
        <w:ind w:firstLine="708"/>
        <w:jc w:val="both"/>
        <w:rPr>
          <w:lang w:val="de-DE"/>
        </w:rPr>
      </w:pPr>
      <w:r w:rsidRPr="004676F5">
        <w:rPr>
          <w:lang w:val="de-DE"/>
        </w:rPr>
        <w:t>[§ 5 </w:t>
      </w:r>
      <w:r w:rsidR="005B7A5C" w:rsidRPr="004676F5">
        <w:rPr>
          <w:lang w:val="de-DE"/>
        </w:rPr>
        <w:t>- </w:t>
      </w:r>
      <w:r w:rsidRPr="004676F5">
        <w:rPr>
          <w:lang w:val="de-DE"/>
        </w:rPr>
        <w:t>Vorliegendes Buch findet keine Anwendung auf Postschecks, die weiterhin den geltenden Rechtsvorschriften unterliegen.]</w:t>
      </w:r>
    </w:p>
    <w:p w14:paraId="2CBD70B4" w14:textId="77777777" w:rsidR="001B1842" w:rsidRPr="004676F5" w:rsidRDefault="001B1842" w:rsidP="00881814">
      <w:pPr>
        <w:ind w:firstLine="708"/>
        <w:jc w:val="both"/>
        <w:rPr>
          <w:lang w:val="de-DE"/>
        </w:rPr>
      </w:pPr>
    </w:p>
    <w:p w14:paraId="7A9978BD" w14:textId="2491E14D" w:rsidR="00881814" w:rsidRPr="004676F5" w:rsidRDefault="001B1842" w:rsidP="001B1842">
      <w:pPr>
        <w:jc w:val="both"/>
        <w:rPr>
          <w:lang w:val="de-DE"/>
        </w:rPr>
      </w:pPr>
      <w:r w:rsidRPr="004676F5">
        <w:rPr>
          <w:i/>
          <w:lang w:val="de-DE"/>
        </w:rPr>
        <w:t>[</w:t>
      </w:r>
      <w:r w:rsidR="00BE0A56" w:rsidRPr="004676F5">
        <w:rPr>
          <w:i/>
          <w:lang w:val="de-DE"/>
        </w:rPr>
        <w:t>Art. </w:t>
      </w:r>
      <w:r w:rsidRPr="004676F5">
        <w:rPr>
          <w:i/>
          <w:lang w:val="de-DE"/>
        </w:rPr>
        <w:t xml:space="preserve">VII.3 </w:t>
      </w:r>
      <w:r w:rsidR="00EC3609" w:rsidRPr="004676F5">
        <w:rPr>
          <w:i/>
          <w:lang w:val="de-DE"/>
        </w:rPr>
        <w:t xml:space="preserve">§ 1 einziger Absatz einleitende Bestimmung </w:t>
      </w:r>
      <w:r w:rsidR="003854E4" w:rsidRPr="004676F5">
        <w:rPr>
          <w:i/>
          <w:lang w:val="de-DE"/>
        </w:rPr>
        <w:t>ersetzt</w:t>
      </w:r>
      <w:r w:rsidR="00EC3609" w:rsidRPr="004676F5">
        <w:rPr>
          <w:i/>
          <w:lang w:val="de-DE"/>
        </w:rPr>
        <w:t xml:space="preserve"> durch Art. 99 Punkt i) </w:t>
      </w:r>
      <w:r w:rsidR="005C47F1" w:rsidRPr="004676F5">
        <w:rPr>
          <w:i/>
          <w:iCs/>
          <w:lang w:val="de-DE"/>
        </w:rPr>
        <w:t xml:space="preserve">des G. vom 15. April 2018 (B.S. vom 27. April 2018); </w:t>
      </w:r>
      <w:r w:rsidR="0082027C" w:rsidRPr="004676F5">
        <w:rPr>
          <w:i/>
          <w:iCs/>
          <w:lang w:val="de-DE"/>
        </w:rPr>
        <w:t>§ 1 einziger Absatz Nr. 2 abgeändert durch Art. 5 Nr. 1 Buchstabe a) und b)</w:t>
      </w:r>
      <w:r w:rsidR="0082027C" w:rsidRPr="004676F5">
        <w:rPr>
          <w:i/>
          <w:lang w:val="de-DE"/>
        </w:rPr>
        <w:t xml:space="preserve"> des G. vom 19. Juli 2018 (B.S. vom 30. Juli 2018); § 1 einziger Absatz Nr. 6 abgeändert durch Art. </w:t>
      </w:r>
      <w:r w:rsidR="001F0766" w:rsidRPr="004676F5">
        <w:rPr>
          <w:i/>
          <w:lang w:val="de-DE"/>
        </w:rPr>
        <w:t xml:space="preserve">5 Nr. 3 Buchstabe a) des G. vom 19. Juli 2018 (B.S. vom 30. Juli 2018); </w:t>
      </w:r>
      <w:r w:rsidR="005C47F1" w:rsidRPr="004676F5">
        <w:rPr>
          <w:i/>
          <w:iCs/>
          <w:lang w:val="de-DE"/>
        </w:rPr>
        <w:t>§ 1 einziger Absatz Nr. 7 einziger Absatz Buchstabe a) und b) ersetzt durch Art. 99 Punkt ii) des G. vom 15. April 2018 (B.S. vom 27. April 2018);</w:t>
      </w:r>
      <w:r w:rsidR="001F0766" w:rsidRPr="004676F5">
        <w:rPr>
          <w:i/>
          <w:iCs/>
          <w:lang w:val="de-DE"/>
        </w:rPr>
        <w:t xml:space="preserve"> § 1 einziger Absatz Nr. 8 abgeändert durch Art. 5 Nr. 4</w:t>
      </w:r>
      <w:r w:rsidR="001F0766" w:rsidRPr="004676F5">
        <w:rPr>
          <w:i/>
          <w:lang w:val="de-DE"/>
        </w:rPr>
        <w:t xml:space="preserve"> des G. vom 19. Juli 2018 (B.S. vom 30. Juli 2018); § 1 einziger Absatz Nr. 10 ergänzt durch Art. 5 Nr. 5 des G. vom 19. Juli 2018 (B.S. vom 30. Juli 2018); § 1 einziger Absatz Nr. 11 ersetzt durch Art. 5 Nr. 6 des G. vom 19. Juli 2018 (B.S. vom 30. Juli 2018); § 1 einziger Absatz Nr. 12 ersetzt durch Art. 5 Nr. 7 des G. vom 19. Juli 2018 (B.S. vom 30. Juli 2018); § 1 einziger Absatz Nr. 14 abgeändert durch Art. 5 Nr. 8 Buchstabe a) und c) des G. vom 19. Juli 2018 (B.S. vom 30. Juli 2018); </w:t>
      </w:r>
      <w:r w:rsidR="001F0766" w:rsidRPr="004676F5">
        <w:rPr>
          <w:i/>
          <w:iCs/>
          <w:lang w:val="de-DE"/>
        </w:rPr>
        <w:t>§ 1 einziger Absatz Nr. 15 ersetzt durch Art. 5 Nr. 9 Buchstabe b)</w:t>
      </w:r>
      <w:r w:rsidR="001F0766" w:rsidRPr="004676F5">
        <w:rPr>
          <w:i/>
          <w:lang w:val="de-DE"/>
        </w:rPr>
        <w:t xml:space="preserve"> des G. vom 19. Juli 2018 (B.S. vom 30. Juli 2018); </w:t>
      </w:r>
      <w:r w:rsidR="00AE551D" w:rsidRPr="004676F5">
        <w:rPr>
          <w:i/>
          <w:lang w:val="de-DE"/>
        </w:rPr>
        <w:t xml:space="preserve">§ 2 einziger Absatz Nr. 9 eingefügt durch Art. 10 Nr. 1 des G. vom 30. Juli 2018 (II) (B.S. vom 5. September 2018); </w:t>
      </w:r>
      <w:r w:rsidRPr="004676F5">
        <w:rPr>
          <w:i/>
          <w:lang w:val="de-DE"/>
        </w:rPr>
        <w:t>§ 3</w:t>
      </w:r>
      <w:r w:rsidR="001A36B9" w:rsidRPr="004676F5">
        <w:rPr>
          <w:i/>
          <w:lang w:val="de-DE"/>
        </w:rPr>
        <w:t xml:space="preserve"> einziger Absatz Nr. 2 abgeändert durch </w:t>
      </w:r>
      <w:r w:rsidR="00BE0A56" w:rsidRPr="004676F5">
        <w:rPr>
          <w:i/>
          <w:lang w:val="de-DE"/>
        </w:rPr>
        <w:t>Art. </w:t>
      </w:r>
      <w:r w:rsidR="001A36B9" w:rsidRPr="004676F5">
        <w:rPr>
          <w:i/>
          <w:lang w:val="de-DE"/>
        </w:rPr>
        <w:t>11 Nr. 2 des G. vom 29. Juni 2016 (B.S. vom 6. Juli 2016)</w:t>
      </w:r>
      <w:r w:rsidR="00A12382" w:rsidRPr="004676F5">
        <w:rPr>
          <w:i/>
          <w:lang w:val="de-DE"/>
        </w:rPr>
        <w:t xml:space="preserve"> und Art. 3</w:t>
      </w:r>
      <w:r w:rsidR="00A12382" w:rsidRPr="004676F5">
        <w:rPr>
          <w:i/>
          <w:iCs/>
          <w:lang w:val="de-DE"/>
        </w:rPr>
        <w:t xml:space="preserve"> des G. vom 31. Juli 2023 (B.S. vom 16. August 2023)</w:t>
      </w:r>
      <w:r w:rsidR="001A36B9" w:rsidRPr="004676F5">
        <w:rPr>
          <w:i/>
          <w:lang w:val="de-DE"/>
        </w:rPr>
        <w:t xml:space="preserve">; </w:t>
      </w:r>
      <w:r w:rsidR="0012182F" w:rsidRPr="004676F5">
        <w:rPr>
          <w:i/>
          <w:lang w:val="de-DE"/>
        </w:rPr>
        <w:t xml:space="preserve">§ 3 </w:t>
      </w:r>
      <w:r w:rsidRPr="004676F5">
        <w:rPr>
          <w:i/>
          <w:lang w:val="de-DE"/>
        </w:rPr>
        <w:t xml:space="preserve">einziger Absatz Nr. 5 abgeändert durch </w:t>
      </w:r>
      <w:r w:rsidR="00BE0A56" w:rsidRPr="004676F5">
        <w:rPr>
          <w:i/>
          <w:lang w:val="de-DE"/>
        </w:rPr>
        <w:t>Art. </w:t>
      </w:r>
      <w:r w:rsidRPr="004676F5">
        <w:rPr>
          <w:i/>
          <w:lang w:val="de-DE"/>
        </w:rPr>
        <w:t>13 Nr. 1 und 2</w:t>
      </w:r>
      <w:r w:rsidRPr="004676F5">
        <w:rPr>
          <w:i/>
          <w:iCs/>
          <w:lang w:val="de-DE"/>
        </w:rPr>
        <w:t xml:space="preserve"> </w:t>
      </w:r>
      <w:r w:rsidRPr="004676F5">
        <w:rPr>
          <w:i/>
          <w:lang w:val="de-DE"/>
        </w:rPr>
        <w:t>des G. vom 26. Oktober 2015 (B.S. vom 30. Oktober 2015)</w:t>
      </w:r>
      <w:r w:rsidR="0012182F" w:rsidRPr="004676F5">
        <w:rPr>
          <w:i/>
          <w:lang w:val="de-DE"/>
        </w:rPr>
        <w:t xml:space="preserve"> und </w:t>
      </w:r>
      <w:r w:rsidR="00BE0A56" w:rsidRPr="004676F5">
        <w:rPr>
          <w:i/>
          <w:lang w:val="de-DE"/>
        </w:rPr>
        <w:t>Art. </w:t>
      </w:r>
      <w:r w:rsidR="0012182F" w:rsidRPr="004676F5">
        <w:rPr>
          <w:i/>
          <w:lang w:val="de-DE"/>
        </w:rPr>
        <w:t>173 des G. vom 25. Oktober 2016 (B.S. vom 18. November 2016)</w:t>
      </w:r>
      <w:r w:rsidR="005C47F1" w:rsidRPr="004676F5">
        <w:rPr>
          <w:i/>
          <w:lang w:val="de-DE"/>
        </w:rPr>
        <w:t xml:space="preserve">; </w:t>
      </w:r>
      <w:r w:rsidR="00AE551D" w:rsidRPr="004676F5">
        <w:rPr>
          <w:i/>
          <w:lang w:val="de-DE"/>
        </w:rPr>
        <w:t xml:space="preserve">§ 4 einziger Absatz einleitende Bestimmung abgeändert durch Art. 10 Nr. 2 des G. vom 30. Juli 2018 (II) (B.S. vom 5. September 2018); </w:t>
      </w:r>
      <w:r w:rsidR="005C47F1" w:rsidRPr="004676F5">
        <w:rPr>
          <w:i/>
          <w:lang w:val="de-DE"/>
        </w:rPr>
        <w:t>§ 5 eingefügt durch Art. 99 Nr. 3</w:t>
      </w:r>
      <w:r w:rsidR="005C47F1" w:rsidRPr="004676F5">
        <w:rPr>
          <w:i/>
          <w:iCs/>
          <w:lang w:val="de-DE"/>
        </w:rPr>
        <w:t xml:space="preserve"> des G. vom 15. April 2018 (B.S. vom 27. April 2018)</w:t>
      </w:r>
      <w:r w:rsidRPr="004676F5">
        <w:rPr>
          <w:i/>
          <w:lang w:val="de-DE"/>
        </w:rPr>
        <w:t>]</w:t>
      </w:r>
      <w:r w:rsidR="00881814" w:rsidRPr="004676F5">
        <w:rPr>
          <w:lang w:val="de-DE"/>
        </w:rPr>
        <w:t xml:space="preserve"> </w:t>
      </w:r>
    </w:p>
    <w:p w14:paraId="6CB9D235" w14:textId="77777777" w:rsidR="00881814" w:rsidRPr="004676F5" w:rsidRDefault="00881814" w:rsidP="00881814">
      <w:pPr>
        <w:ind w:firstLine="708"/>
        <w:jc w:val="both"/>
        <w:rPr>
          <w:lang w:val="de-DE"/>
        </w:rPr>
      </w:pPr>
    </w:p>
    <w:p w14:paraId="2FC23CA8" w14:textId="77777777" w:rsidR="00C745BD" w:rsidRPr="004676F5" w:rsidRDefault="00C745BD" w:rsidP="00881814">
      <w:pPr>
        <w:ind w:firstLine="708"/>
        <w:jc w:val="both"/>
        <w:rPr>
          <w:lang w:val="de-DE"/>
        </w:rPr>
      </w:pPr>
    </w:p>
    <w:p w14:paraId="499DC72E" w14:textId="77777777" w:rsidR="00C745BD" w:rsidRPr="004676F5" w:rsidRDefault="00C745BD">
      <w:pPr>
        <w:rPr>
          <w:b/>
          <w:lang w:val="de-DE"/>
        </w:rPr>
      </w:pPr>
      <w:r w:rsidRPr="004676F5">
        <w:rPr>
          <w:b/>
          <w:lang w:val="de-DE"/>
        </w:rPr>
        <w:br w:type="page"/>
      </w:r>
    </w:p>
    <w:p w14:paraId="44EF1ADC" w14:textId="7057E3D9" w:rsidR="00881814" w:rsidRPr="004676F5" w:rsidRDefault="00881814" w:rsidP="00881814">
      <w:pPr>
        <w:jc w:val="center"/>
        <w:rPr>
          <w:b/>
          <w:lang w:val="de-DE"/>
        </w:rPr>
      </w:pPr>
      <w:r w:rsidRPr="004676F5">
        <w:rPr>
          <w:b/>
          <w:lang w:val="de-DE"/>
        </w:rPr>
        <w:lastRenderedPageBreak/>
        <w:t xml:space="preserve">TITEL 3 </w:t>
      </w:r>
      <w:r w:rsidR="005B7A5C" w:rsidRPr="004676F5">
        <w:rPr>
          <w:b/>
          <w:lang w:val="de-DE"/>
        </w:rPr>
        <w:t>- </w:t>
      </w:r>
      <w:r w:rsidRPr="004676F5">
        <w:rPr>
          <w:b/>
          <w:i/>
          <w:lang w:val="de-DE"/>
        </w:rPr>
        <w:t>Zahlungsdienste</w:t>
      </w:r>
    </w:p>
    <w:p w14:paraId="23E63A06" w14:textId="77777777" w:rsidR="00881814" w:rsidRPr="004676F5" w:rsidRDefault="00881814" w:rsidP="00881814">
      <w:pPr>
        <w:ind w:firstLine="708"/>
        <w:jc w:val="both"/>
        <w:rPr>
          <w:lang w:val="de-DE"/>
        </w:rPr>
      </w:pPr>
    </w:p>
    <w:p w14:paraId="524CB253" w14:textId="77777777" w:rsidR="00C745BD" w:rsidRPr="004676F5" w:rsidRDefault="00C745BD" w:rsidP="00881814">
      <w:pPr>
        <w:ind w:firstLine="708"/>
        <w:jc w:val="both"/>
        <w:rPr>
          <w:lang w:val="de-DE"/>
        </w:rPr>
      </w:pPr>
    </w:p>
    <w:p w14:paraId="6361F231" w14:textId="2F7527E2" w:rsidR="00881814" w:rsidRPr="004676F5" w:rsidRDefault="00881814" w:rsidP="00881814">
      <w:pPr>
        <w:jc w:val="center"/>
        <w:rPr>
          <w:lang w:val="de-DE"/>
        </w:rPr>
      </w:pPr>
      <w:r w:rsidRPr="004676F5">
        <w:rPr>
          <w:lang w:val="de-DE"/>
        </w:rPr>
        <w:t>KAPITEL 1 </w:t>
      </w:r>
      <w:r w:rsidR="005B7A5C" w:rsidRPr="004676F5">
        <w:rPr>
          <w:lang w:val="de-DE"/>
        </w:rPr>
        <w:t>- </w:t>
      </w:r>
      <w:r w:rsidRPr="004676F5">
        <w:rPr>
          <w:i/>
          <w:lang w:val="de-DE"/>
        </w:rPr>
        <w:t>Einleitende Bestimmung</w:t>
      </w:r>
    </w:p>
    <w:p w14:paraId="3F952C0D" w14:textId="77777777" w:rsidR="00881814" w:rsidRPr="004676F5" w:rsidRDefault="00881814" w:rsidP="00881814">
      <w:pPr>
        <w:ind w:firstLine="708"/>
        <w:jc w:val="both"/>
        <w:rPr>
          <w:lang w:val="de-DE"/>
        </w:rPr>
      </w:pPr>
    </w:p>
    <w:p w14:paraId="58C7B7ED" w14:textId="77777777" w:rsidR="00C745BD" w:rsidRPr="004676F5" w:rsidRDefault="00C745BD" w:rsidP="00881814">
      <w:pPr>
        <w:ind w:firstLine="708"/>
        <w:jc w:val="both"/>
        <w:rPr>
          <w:lang w:val="de-DE"/>
        </w:rPr>
      </w:pPr>
    </w:p>
    <w:p w14:paraId="00E7EAB3" w14:textId="44760516" w:rsidR="00881814" w:rsidRPr="004676F5" w:rsidRDefault="00BE0A56" w:rsidP="00881814">
      <w:pPr>
        <w:ind w:firstLine="708"/>
        <w:jc w:val="both"/>
        <w:rPr>
          <w:lang w:val="de-DE"/>
        </w:rPr>
      </w:pPr>
      <w:r w:rsidRPr="004676F5">
        <w:rPr>
          <w:b/>
          <w:lang w:val="de-DE"/>
        </w:rPr>
        <w:t>Art. </w:t>
      </w:r>
      <w:r w:rsidR="00881814" w:rsidRPr="004676F5">
        <w:rPr>
          <w:b/>
          <w:lang w:val="de-DE"/>
        </w:rPr>
        <w:t>VII.4</w:t>
      </w:r>
      <w:r w:rsidR="00881814" w:rsidRPr="004676F5">
        <w:rPr>
          <w:lang w:val="de-DE"/>
        </w:rPr>
        <w:t> </w:t>
      </w:r>
      <w:r w:rsidR="005B7A5C" w:rsidRPr="004676F5">
        <w:rPr>
          <w:lang w:val="de-DE"/>
        </w:rPr>
        <w:t>- </w:t>
      </w:r>
      <w:r w:rsidR="00881814" w:rsidRPr="004676F5">
        <w:rPr>
          <w:lang w:val="de-DE"/>
        </w:rPr>
        <w:t>Die Bestimmungen des vorliegenden Titels lassen andere Gesetzes</w:t>
      </w:r>
      <w:r w:rsidR="00881814" w:rsidRPr="004676F5">
        <w:rPr>
          <w:lang w:val="de-DE"/>
        </w:rPr>
        <w:softHyphen/>
        <w:t>bestimmungen, die in Titel 4 des vorliegenden Buches enthalten sind und zusätzliche Anforderungen in Bezug auf die vorvertragliche Unterrichtung oder besondere Bedingungen, Rechte und Pflichten für die Gewährung von Krediten an Verbraucher enthalten, unberührt.</w:t>
      </w:r>
    </w:p>
    <w:p w14:paraId="5C238235" w14:textId="77777777" w:rsidR="00881814" w:rsidRPr="004676F5" w:rsidRDefault="00881814" w:rsidP="00881814">
      <w:pPr>
        <w:ind w:firstLine="708"/>
        <w:jc w:val="both"/>
        <w:rPr>
          <w:lang w:val="de-DE"/>
        </w:rPr>
      </w:pPr>
    </w:p>
    <w:p w14:paraId="59471966" w14:textId="77777777" w:rsidR="00C745BD" w:rsidRPr="004676F5" w:rsidRDefault="00C745BD" w:rsidP="00881814">
      <w:pPr>
        <w:ind w:firstLine="708"/>
        <w:jc w:val="both"/>
        <w:rPr>
          <w:lang w:val="de-DE"/>
        </w:rPr>
      </w:pPr>
    </w:p>
    <w:p w14:paraId="1F04D499" w14:textId="77777777" w:rsidR="00154AAA" w:rsidRPr="004676F5" w:rsidRDefault="00154AAA">
      <w:pPr>
        <w:rPr>
          <w:lang w:val="de-DE"/>
        </w:rPr>
      </w:pPr>
      <w:r w:rsidRPr="004676F5">
        <w:rPr>
          <w:lang w:val="de-DE"/>
        </w:rPr>
        <w:br w:type="page"/>
      </w:r>
    </w:p>
    <w:p w14:paraId="71FA3D7A" w14:textId="704DF8CB" w:rsidR="00154AAA" w:rsidRPr="004676F5" w:rsidRDefault="00154AAA" w:rsidP="00154AAA">
      <w:pPr>
        <w:jc w:val="center"/>
        <w:rPr>
          <w:lang w:val="de-DE"/>
        </w:rPr>
      </w:pPr>
      <w:r w:rsidRPr="004676F5">
        <w:rPr>
          <w:lang w:val="de-DE"/>
        </w:rPr>
        <w:lastRenderedPageBreak/>
        <w:t>[KAPITEL 1/1 </w:t>
      </w:r>
      <w:r w:rsidR="005B7A5C" w:rsidRPr="004676F5">
        <w:rPr>
          <w:lang w:val="de-DE"/>
        </w:rPr>
        <w:t>- </w:t>
      </w:r>
      <w:r w:rsidRPr="004676F5">
        <w:rPr>
          <w:i/>
          <w:lang w:val="de-DE"/>
        </w:rPr>
        <w:t>Vergleichbarkeit der für Zahlungskonten in Rechnung gestellten Entgelte</w:t>
      </w:r>
      <w:r w:rsidRPr="004676F5">
        <w:rPr>
          <w:lang w:val="de-DE"/>
        </w:rPr>
        <w:t xml:space="preserve"> </w:t>
      </w:r>
    </w:p>
    <w:p w14:paraId="58244546" w14:textId="77777777" w:rsidR="00154AAA" w:rsidRPr="004676F5" w:rsidRDefault="00154AAA" w:rsidP="00154AAA">
      <w:pPr>
        <w:jc w:val="center"/>
        <w:rPr>
          <w:lang w:val="de-DE"/>
        </w:rPr>
      </w:pPr>
    </w:p>
    <w:p w14:paraId="17A643CF" w14:textId="36E8681A" w:rsidR="00C76F75" w:rsidRPr="004676F5" w:rsidRDefault="00154AAA" w:rsidP="00154AAA">
      <w:pPr>
        <w:jc w:val="both"/>
        <w:rPr>
          <w:i/>
          <w:lang w:val="de-DE"/>
        </w:rPr>
      </w:pPr>
      <w:r w:rsidRPr="004676F5">
        <w:rPr>
          <w:i/>
          <w:lang w:val="de-DE"/>
        </w:rPr>
        <w:t>[Unterteilung Kapitel 1/1 eingefügt durch Art. 5 des G. vom 22. Dezember 2017 (B.S. vom 12. Januar 2018)]</w:t>
      </w:r>
    </w:p>
    <w:p w14:paraId="0CEE6E56" w14:textId="136D9482" w:rsidR="00154AAA" w:rsidRPr="004676F5" w:rsidRDefault="00154AAA" w:rsidP="00154AAA">
      <w:pPr>
        <w:jc w:val="both"/>
        <w:rPr>
          <w:lang w:val="de-DE"/>
        </w:rPr>
      </w:pPr>
    </w:p>
    <w:p w14:paraId="6DE6FA6B" w14:textId="5121DEBF" w:rsidR="00154AAA" w:rsidRPr="004676F5" w:rsidRDefault="00154AAA" w:rsidP="00154AAA">
      <w:pPr>
        <w:jc w:val="both"/>
        <w:rPr>
          <w:lang w:val="de-DE"/>
        </w:rPr>
      </w:pPr>
    </w:p>
    <w:p w14:paraId="52AB4C94" w14:textId="21DD117A" w:rsidR="00154AAA" w:rsidRPr="004676F5" w:rsidRDefault="00154AAA" w:rsidP="00154AAA">
      <w:pPr>
        <w:jc w:val="both"/>
        <w:rPr>
          <w:lang w:val="de-DE"/>
        </w:rPr>
      </w:pPr>
      <w:r w:rsidRPr="004676F5">
        <w:rPr>
          <w:lang w:val="de-DE"/>
        </w:rPr>
        <w:tab/>
        <w:t>[</w:t>
      </w:r>
      <w:r w:rsidRPr="004676F5">
        <w:rPr>
          <w:b/>
          <w:lang w:val="de-DE"/>
        </w:rPr>
        <w:t>Art. VII.4/1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Unbeschadet der Anwendung </w:t>
      </w:r>
      <w:r w:rsidR="001F0766" w:rsidRPr="004676F5">
        <w:rPr>
          <w:lang w:val="de-DE"/>
        </w:rPr>
        <w:t>[</w:t>
      </w:r>
      <w:r w:rsidRPr="004676F5">
        <w:rPr>
          <w:lang w:val="de-DE"/>
        </w:rPr>
        <w:t>der Artikel VII.</w:t>
      </w:r>
      <w:r w:rsidR="001F0766" w:rsidRPr="004676F5">
        <w:rPr>
          <w:lang w:val="de-DE"/>
        </w:rPr>
        <w:t>22</w:t>
      </w:r>
      <w:r w:rsidRPr="004676F5">
        <w:rPr>
          <w:lang w:val="de-DE"/>
        </w:rPr>
        <w:t xml:space="preserve"> Nr. 3</w:t>
      </w:r>
      <w:r w:rsidR="001F0766" w:rsidRPr="004676F5">
        <w:rPr>
          <w:lang w:val="de-DE"/>
        </w:rPr>
        <w:t>]</w:t>
      </w:r>
      <w:r w:rsidRPr="004676F5">
        <w:rPr>
          <w:lang w:val="de-DE"/>
        </w:rPr>
        <w:t>, VII.70 und VII.71 händigen Zahlungsdienstleister einem Verbraucher rechtzeitig, bevor sie mit ihm einen Vertrag über ein Zahlungskonto abschließen, eine Entgeltinformation auf einem dauerhaften Datenträger aus.</w:t>
      </w:r>
    </w:p>
    <w:p w14:paraId="10A5AF72" w14:textId="77777777" w:rsidR="00154AAA" w:rsidRPr="004676F5" w:rsidRDefault="00154AAA" w:rsidP="00154AAA">
      <w:pPr>
        <w:jc w:val="both"/>
        <w:rPr>
          <w:lang w:val="de-DE"/>
        </w:rPr>
      </w:pPr>
    </w:p>
    <w:p w14:paraId="3F486E8C" w14:textId="0786A066" w:rsidR="00154AAA" w:rsidRPr="004676F5" w:rsidRDefault="00154AAA" w:rsidP="00154AAA">
      <w:pPr>
        <w:jc w:val="both"/>
        <w:rPr>
          <w:lang w:val="de-DE"/>
        </w:rPr>
      </w:pPr>
      <w:r w:rsidRPr="004676F5">
        <w:rPr>
          <w:lang w:val="de-DE"/>
        </w:rPr>
        <w:tab/>
        <w:t xml:space="preserve">Die in Absatz 1 erwähnte Entgeltinformation enthält eine Liste von mindestens zehn und höchstens zwanzig der repräsentativsten mit einem Zahlungskonto verbundenen Dienste und </w:t>
      </w:r>
      <w:r w:rsidR="005B7A5C" w:rsidRPr="004676F5">
        <w:rPr>
          <w:lang w:val="de-DE"/>
        </w:rPr>
        <w:t>- </w:t>
      </w:r>
      <w:r w:rsidRPr="004676F5">
        <w:rPr>
          <w:lang w:val="de-DE"/>
        </w:rPr>
        <w:t xml:space="preserve">sofern diese Dienste von dem Zahlungsdienstleister angeboten werden </w:t>
      </w:r>
      <w:r w:rsidR="005B7A5C" w:rsidRPr="004676F5">
        <w:rPr>
          <w:lang w:val="de-DE"/>
        </w:rPr>
        <w:t>- </w:t>
      </w:r>
      <w:r w:rsidRPr="004676F5">
        <w:rPr>
          <w:lang w:val="de-DE"/>
        </w:rPr>
        <w:t>Angaben zu den für die einzelnen Dienste verlangten Entgelten, nämlich allen etwaigen Kosten und eventuellen Vertragsstrafen, die der Verbraucher für oder in Bezug auf die Erbringung von mit einem Zahlungskonto verbundenen Diensten an den Zahlungsdienstleister zu entrichten hat. Dieses Dokument enthält die standardisierten Begriffe und die entsprechenden Begriffsbestimmungen zu diesen Diensten.</w:t>
      </w:r>
    </w:p>
    <w:p w14:paraId="58C5CB4C" w14:textId="77777777" w:rsidR="00154AAA" w:rsidRPr="004676F5" w:rsidRDefault="00154AAA" w:rsidP="00154AAA">
      <w:pPr>
        <w:jc w:val="both"/>
        <w:rPr>
          <w:lang w:val="de-DE"/>
        </w:rPr>
      </w:pPr>
    </w:p>
    <w:p w14:paraId="371505AA" w14:textId="77777777" w:rsidR="00154AAA" w:rsidRPr="004676F5" w:rsidRDefault="00154AAA" w:rsidP="00154AAA">
      <w:pPr>
        <w:jc w:val="both"/>
        <w:rPr>
          <w:lang w:val="de-DE"/>
        </w:rPr>
      </w:pPr>
      <w:r w:rsidRPr="004676F5">
        <w:rPr>
          <w:lang w:val="de-DE"/>
        </w:rPr>
        <w:tab/>
        <w:t>Der König bestimmt unter Berücksichtigung der Dienste, die von Verbrauchern im Zusammenhang mit ihrem Zahlungskonto am häufigsten genutzt werden und Verbrauchern die höchsten Kosten sowohl insgesamt als auch pro Einheit verursachen, welche Dienste am repräsentativsten sind. Er bestimmt ebenfalls die standardisierten Begriffe und Begriffsbestimmungen, das Präsentationsformat und das gemeinsame Symbol in Bezug auf die Entgeltinformation und ein Glossar. Er kann sie ändern und ergänzen.</w:t>
      </w:r>
    </w:p>
    <w:p w14:paraId="3C87298B" w14:textId="77777777" w:rsidR="00154AAA" w:rsidRPr="004676F5" w:rsidRDefault="00154AAA" w:rsidP="00154AAA">
      <w:pPr>
        <w:jc w:val="both"/>
        <w:rPr>
          <w:lang w:val="de-DE"/>
        </w:rPr>
      </w:pPr>
    </w:p>
    <w:p w14:paraId="28518AB8" w14:textId="4AFA02E2" w:rsidR="00154AAA" w:rsidRPr="004676F5" w:rsidRDefault="00154AAA" w:rsidP="00154AAA">
      <w:pPr>
        <w:jc w:val="both"/>
        <w:rPr>
          <w:lang w:val="de-DE"/>
        </w:rPr>
      </w:pPr>
      <w:r w:rsidRPr="004676F5">
        <w:rPr>
          <w:lang w:val="de-DE"/>
        </w:rPr>
        <w:tab/>
        <w:t>§ 2 </w:t>
      </w:r>
      <w:r w:rsidR="005B7A5C" w:rsidRPr="004676F5">
        <w:rPr>
          <w:lang w:val="de-DE"/>
        </w:rPr>
        <w:t>- </w:t>
      </w:r>
      <w:r w:rsidRPr="004676F5">
        <w:rPr>
          <w:lang w:val="de-DE"/>
        </w:rPr>
        <w:t>Die Entgeltinformation muss:</w:t>
      </w:r>
    </w:p>
    <w:p w14:paraId="5B438AC9" w14:textId="77777777" w:rsidR="00154AAA" w:rsidRPr="004676F5" w:rsidRDefault="00154AAA" w:rsidP="00154AAA">
      <w:pPr>
        <w:jc w:val="both"/>
        <w:rPr>
          <w:lang w:val="de-DE"/>
        </w:rPr>
      </w:pPr>
    </w:p>
    <w:p w14:paraId="493027F9" w14:textId="77777777" w:rsidR="00154AAA" w:rsidRPr="004676F5" w:rsidRDefault="00154AAA" w:rsidP="00154AAA">
      <w:pPr>
        <w:jc w:val="both"/>
        <w:rPr>
          <w:lang w:val="de-DE"/>
        </w:rPr>
      </w:pPr>
      <w:r w:rsidRPr="004676F5">
        <w:rPr>
          <w:lang w:val="de-DE"/>
        </w:rPr>
        <w:tab/>
        <w:t>1. ein kurz gehaltenes eigenständiges Dokument sein,</w:t>
      </w:r>
    </w:p>
    <w:p w14:paraId="577A44F6" w14:textId="77777777" w:rsidR="00154AAA" w:rsidRPr="004676F5" w:rsidRDefault="00154AAA" w:rsidP="00154AAA">
      <w:pPr>
        <w:jc w:val="both"/>
        <w:rPr>
          <w:lang w:val="de-DE"/>
        </w:rPr>
      </w:pPr>
    </w:p>
    <w:p w14:paraId="08B4727A" w14:textId="77777777" w:rsidR="00154AAA" w:rsidRPr="004676F5" w:rsidRDefault="00154AAA" w:rsidP="00154AAA">
      <w:pPr>
        <w:jc w:val="both"/>
        <w:rPr>
          <w:lang w:val="de-DE"/>
        </w:rPr>
      </w:pPr>
      <w:r w:rsidRPr="004676F5">
        <w:rPr>
          <w:lang w:val="de-DE"/>
        </w:rPr>
        <w:tab/>
        <w:t>2. auf eine Art und Weise präsentiert und aufgemacht sein, die klar und leicht verständlich ist, wobei Buchstaben in gut leserlicher Größe zu verwenden sind,</w:t>
      </w:r>
    </w:p>
    <w:p w14:paraId="0D987562" w14:textId="77777777" w:rsidR="00154AAA" w:rsidRPr="004676F5" w:rsidRDefault="00154AAA" w:rsidP="00154AAA">
      <w:pPr>
        <w:jc w:val="both"/>
        <w:rPr>
          <w:lang w:val="de-DE"/>
        </w:rPr>
      </w:pPr>
    </w:p>
    <w:p w14:paraId="2CDBF9E2" w14:textId="77777777" w:rsidR="00154AAA" w:rsidRPr="004676F5" w:rsidRDefault="00154AAA" w:rsidP="00154AAA">
      <w:pPr>
        <w:jc w:val="both"/>
        <w:rPr>
          <w:lang w:val="de-DE"/>
        </w:rPr>
      </w:pPr>
      <w:r w:rsidRPr="004676F5">
        <w:rPr>
          <w:lang w:val="de-DE"/>
        </w:rPr>
        <w:tab/>
        <w:t>3. auch als Schwarz-Weiß-Ausdruck oder -Fotokopie nicht weniger gut lesbar sein, wenn sie ursprünglich farbig gestaltet war,</w:t>
      </w:r>
    </w:p>
    <w:p w14:paraId="0E0E1F4F" w14:textId="77777777" w:rsidR="00154AAA" w:rsidRPr="004676F5" w:rsidRDefault="00154AAA" w:rsidP="00154AAA">
      <w:pPr>
        <w:jc w:val="both"/>
        <w:rPr>
          <w:lang w:val="de-DE"/>
        </w:rPr>
      </w:pPr>
    </w:p>
    <w:p w14:paraId="4ED3C2C2" w14:textId="77777777" w:rsidR="00154AAA" w:rsidRPr="004676F5" w:rsidRDefault="00154AAA" w:rsidP="00154AAA">
      <w:pPr>
        <w:jc w:val="both"/>
        <w:rPr>
          <w:lang w:val="de-DE"/>
        </w:rPr>
      </w:pPr>
      <w:r w:rsidRPr="004676F5">
        <w:rPr>
          <w:lang w:val="de-DE"/>
        </w:rPr>
        <w:tab/>
        <w:t>4. in der Amtssprache des Ortes abgefasst sein, an dem das Zahlungskonto angeboten wird, oder in einer anderen Sprache, auf die sich Verbraucher und Zahlungsdienstleister geeinigt haben,</w:t>
      </w:r>
    </w:p>
    <w:p w14:paraId="2CE37AFF" w14:textId="77777777" w:rsidR="00154AAA" w:rsidRPr="004676F5" w:rsidRDefault="00154AAA" w:rsidP="00154AAA">
      <w:pPr>
        <w:jc w:val="both"/>
        <w:rPr>
          <w:lang w:val="de-DE"/>
        </w:rPr>
      </w:pPr>
    </w:p>
    <w:p w14:paraId="2DF25F68" w14:textId="77777777" w:rsidR="00154AAA" w:rsidRPr="004676F5" w:rsidRDefault="00154AAA" w:rsidP="00154AAA">
      <w:pPr>
        <w:jc w:val="both"/>
        <w:rPr>
          <w:lang w:val="de-DE"/>
        </w:rPr>
      </w:pPr>
      <w:r w:rsidRPr="004676F5">
        <w:rPr>
          <w:lang w:val="de-DE"/>
        </w:rPr>
        <w:tab/>
        <w:t>5. sachlich richtig, jederzeit aktualisiert, außer für den Referenzwechselkurs, und nicht irreführend sein und auf die Währung des Zahlungskontos oder auf eine andere Währung, auf die sich Verbraucher und Zahlungsdienstleister geeinigt haben, abgestellt sein,</w:t>
      </w:r>
    </w:p>
    <w:p w14:paraId="4642D94B" w14:textId="77777777" w:rsidR="00154AAA" w:rsidRPr="004676F5" w:rsidRDefault="00154AAA" w:rsidP="00154AAA">
      <w:pPr>
        <w:jc w:val="both"/>
        <w:rPr>
          <w:lang w:val="de-DE"/>
        </w:rPr>
      </w:pPr>
    </w:p>
    <w:p w14:paraId="0D96FB26" w14:textId="77777777" w:rsidR="00154AAA" w:rsidRPr="004676F5" w:rsidRDefault="00154AAA" w:rsidP="00154AAA">
      <w:pPr>
        <w:jc w:val="both"/>
        <w:rPr>
          <w:lang w:val="de-DE"/>
        </w:rPr>
      </w:pPr>
      <w:r w:rsidRPr="004676F5">
        <w:rPr>
          <w:lang w:val="de-DE"/>
        </w:rPr>
        <w:tab/>
        <w:t>6. die Überschrift "Entgeltinformation" am oberen Ende der ersten Seite neben einem gemeinsamen Symbol enthalten, sodass das Dokument von anderen Unterlagen zu unterscheiden ist,</w:t>
      </w:r>
    </w:p>
    <w:p w14:paraId="742D9FAB" w14:textId="77777777" w:rsidR="00154AAA" w:rsidRPr="004676F5" w:rsidRDefault="00154AAA" w:rsidP="00154AAA">
      <w:pPr>
        <w:jc w:val="both"/>
        <w:rPr>
          <w:lang w:val="de-DE"/>
        </w:rPr>
      </w:pPr>
    </w:p>
    <w:p w14:paraId="15534C2C" w14:textId="77777777" w:rsidR="00154AAA" w:rsidRPr="004676F5" w:rsidRDefault="00154AAA" w:rsidP="00154AAA">
      <w:pPr>
        <w:jc w:val="both"/>
        <w:rPr>
          <w:lang w:val="de-DE"/>
        </w:rPr>
      </w:pPr>
      <w:r w:rsidRPr="004676F5">
        <w:rPr>
          <w:lang w:val="de-DE"/>
        </w:rPr>
        <w:tab/>
        <w:t xml:space="preserve">7. eine Erläuterung enthalten, dass darin die Entgelte für die repräsentativsten mit einem Zahlungskonto verbundenen Dienste aufgeführt sind und dass die vollständigen </w:t>
      </w:r>
      <w:r w:rsidRPr="004676F5">
        <w:rPr>
          <w:lang w:val="de-DE"/>
        </w:rPr>
        <w:lastRenderedPageBreak/>
        <w:t>vorvertraglichen Informationen und Vertragsinformationen zu sämtlichen Diensten anderen Dokumenten zu entnehmen sind.</w:t>
      </w:r>
    </w:p>
    <w:p w14:paraId="379E00F0" w14:textId="77777777" w:rsidR="00154AAA" w:rsidRPr="004676F5" w:rsidRDefault="00154AAA" w:rsidP="00154AAA">
      <w:pPr>
        <w:jc w:val="both"/>
        <w:rPr>
          <w:lang w:val="de-DE"/>
        </w:rPr>
      </w:pPr>
    </w:p>
    <w:p w14:paraId="4396BF91" w14:textId="77777777" w:rsidR="00154AAA" w:rsidRPr="004676F5" w:rsidRDefault="00154AAA" w:rsidP="00154AAA">
      <w:pPr>
        <w:jc w:val="both"/>
        <w:rPr>
          <w:lang w:val="de-DE"/>
        </w:rPr>
      </w:pPr>
      <w:r w:rsidRPr="004676F5">
        <w:rPr>
          <w:lang w:val="de-DE"/>
        </w:rPr>
        <w:tab/>
        <w:t>Unbeschadet der Anwendung von Absatz 1 wird die in § 1 erwähnte Entgeltinformation zusammen mit den Informationen übermittelt, die nach anderen Gesetzesbestimmungen zu Zahlungskonten und damit im Zusammenhang stehenden Diensten erforderlich sind.</w:t>
      </w:r>
    </w:p>
    <w:p w14:paraId="0940095A" w14:textId="77777777" w:rsidR="00154AAA" w:rsidRPr="004676F5" w:rsidRDefault="00154AAA" w:rsidP="00154AAA">
      <w:pPr>
        <w:jc w:val="both"/>
        <w:rPr>
          <w:lang w:val="de-DE"/>
        </w:rPr>
      </w:pPr>
    </w:p>
    <w:p w14:paraId="78B375D8" w14:textId="5D605675" w:rsidR="00154AAA" w:rsidRPr="004676F5" w:rsidRDefault="00154AAA" w:rsidP="00154AAA">
      <w:pPr>
        <w:jc w:val="both"/>
        <w:rPr>
          <w:lang w:val="de-DE"/>
        </w:rPr>
      </w:pPr>
      <w:r w:rsidRPr="004676F5">
        <w:rPr>
          <w:lang w:val="de-DE"/>
        </w:rPr>
        <w:tab/>
        <w:t>§ 3 </w:t>
      </w:r>
      <w:r w:rsidR="005B7A5C" w:rsidRPr="004676F5">
        <w:rPr>
          <w:lang w:val="de-DE"/>
        </w:rPr>
        <w:t>- </w:t>
      </w:r>
      <w:r w:rsidRPr="004676F5">
        <w:rPr>
          <w:lang w:val="de-DE"/>
        </w:rPr>
        <w:t>Werden einer oder mehrere der Dienste als Teil eines Dienstpakets für ein Zahlungskonto angeboten, so muss die Entgeltinformation offenlegen, welche Entgelte für das Gesamtpaket zu zahlen sind, welche Dienste in welchem Umfang in dem Paket enthalten sind und welche zusätzlichen Entgelte für etwaige Dienste, die über den von den Entgelten für das Gesamtpaket erfassten Umfang hinausgehen, anfallen.</w:t>
      </w:r>
    </w:p>
    <w:p w14:paraId="17BCC97F" w14:textId="77777777" w:rsidR="00154AAA" w:rsidRPr="004676F5" w:rsidRDefault="00154AAA" w:rsidP="00154AAA">
      <w:pPr>
        <w:jc w:val="both"/>
        <w:rPr>
          <w:lang w:val="de-DE"/>
        </w:rPr>
      </w:pPr>
    </w:p>
    <w:p w14:paraId="408AC183" w14:textId="1568F842" w:rsidR="00154AAA" w:rsidRPr="004676F5" w:rsidRDefault="00154AAA" w:rsidP="00154AAA">
      <w:pPr>
        <w:jc w:val="both"/>
        <w:rPr>
          <w:lang w:val="de-DE"/>
        </w:rPr>
      </w:pPr>
      <w:r w:rsidRPr="004676F5">
        <w:rPr>
          <w:lang w:val="de-DE"/>
        </w:rPr>
        <w:tab/>
        <w:t>§ 4 </w:t>
      </w:r>
      <w:r w:rsidR="005B7A5C" w:rsidRPr="004676F5">
        <w:rPr>
          <w:lang w:val="de-DE"/>
        </w:rPr>
        <w:t>- </w:t>
      </w:r>
      <w:r w:rsidRPr="004676F5">
        <w:rPr>
          <w:lang w:val="de-DE"/>
        </w:rPr>
        <w:t>Zahlungsdienstleister sind verpflichtet, Verbrauchern ein Glossar zur Verfügung zu stellen, das zumindest die standardisierten Begriffe aus der Liste und die entsprechenden Begriffsbestimmungen enthält, wie in § 1 erwähnt.</w:t>
      </w:r>
    </w:p>
    <w:p w14:paraId="262E9728" w14:textId="77777777" w:rsidR="00154AAA" w:rsidRPr="004676F5" w:rsidRDefault="00154AAA" w:rsidP="00154AAA">
      <w:pPr>
        <w:jc w:val="both"/>
        <w:rPr>
          <w:lang w:val="de-DE"/>
        </w:rPr>
      </w:pPr>
    </w:p>
    <w:p w14:paraId="6469A7D4" w14:textId="77777777" w:rsidR="00154AAA" w:rsidRPr="004676F5" w:rsidRDefault="00154AAA" w:rsidP="00154AAA">
      <w:pPr>
        <w:jc w:val="both"/>
        <w:rPr>
          <w:lang w:val="de-DE"/>
        </w:rPr>
      </w:pPr>
      <w:r w:rsidRPr="004676F5">
        <w:rPr>
          <w:lang w:val="de-DE"/>
        </w:rPr>
        <w:tab/>
        <w:t>Das gemäß Absatz 1 bereitgestellte Glossar ist in klarer, eindeutiger und allgemein verständlicher Sprache abgefasst und nicht irreführend.</w:t>
      </w:r>
    </w:p>
    <w:p w14:paraId="4458691A" w14:textId="77777777" w:rsidR="00154AAA" w:rsidRPr="004676F5" w:rsidRDefault="00154AAA" w:rsidP="00154AAA">
      <w:pPr>
        <w:jc w:val="both"/>
        <w:rPr>
          <w:lang w:val="de-DE"/>
        </w:rPr>
      </w:pPr>
    </w:p>
    <w:p w14:paraId="0EC4D24E" w14:textId="26C65E35" w:rsidR="00154AAA" w:rsidRPr="004676F5" w:rsidRDefault="00154AAA" w:rsidP="00154AAA">
      <w:pPr>
        <w:jc w:val="both"/>
        <w:rPr>
          <w:lang w:val="de-DE"/>
        </w:rPr>
      </w:pPr>
      <w:r w:rsidRPr="004676F5">
        <w:rPr>
          <w:lang w:val="de-DE"/>
        </w:rPr>
        <w:tab/>
        <w:t>§ 5 </w:t>
      </w:r>
      <w:r w:rsidR="005B7A5C" w:rsidRPr="004676F5">
        <w:rPr>
          <w:lang w:val="de-DE"/>
        </w:rPr>
        <w:t>- </w:t>
      </w:r>
      <w:r w:rsidRPr="004676F5">
        <w:rPr>
          <w:lang w:val="de-DE"/>
        </w:rPr>
        <w:t>Die Entgeltinformation und das Glossar werden Verbrauchern von Zahlungsdienstleistern jederzeit zur Verfügung gestellt.</w:t>
      </w:r>
    </w:p>
    <w:p w14:paraId="2FC4B53B" w14:textId="77777777" w:rsidR="00154AAA" w:rsidRPr="004676F5" w:rsidRDefault="00154AAA" w:rsidP="00154AAA">
      <w:pPr>
        <w:jc w:val="both"/>
        <w:rPr>
          <w:lang w:val="de-DE"/>
        </w:rPr>
      </w:pPr>
    </w:p>
    <w:p w14:paraId="2869696F" w14:textId="77777777" w:rsidR="00154AAA" w:rsidRPr="004676F5" w:rsidRDefault="00154AAA" w:rsidP="00154AAA">
      <w:pPr>
        <w:jc w:val="both"/>
        <w:rPr>
          <w:lang w:val="de-DE"/>
        </w:rPr>
      </w:pPr>
      <w:r w:rsidRPr="004676F5">
        <w:rPr>
          <w:lang w:val="de-DE"/>
        </w:rPr>
        <w:tab/>
        <w:t>Bei einem Verkauf in den Geschäftsräumen des Zahlungsdienstleisters werden beide Dokumente, einschließlich auch für Nichtkunden, in leicht zugänglicher Weise zugänglich gemacht. Verbraucher müssen sie unmittelbar und ständig an einer für sie klaren und gut sichtbaren Stelle in den Verbrauchern zugänglichen Geschäftsräumen des Zahlungs</w:t>
      </w:r>
      <w:r w:rsidRPr="004676F5">
        <w:rPr>
          <w:lang w:val="de-DE"/>
        </w:rPr>
        <w:softHyphen/>
        <w:t>dienstleisters einsehen können. Sie können kostenlos ohne besondere Formalität oder besondere Anfrage des Verbrauchers mitgenommen werden. Durch einen Vermerk, der deutlich und unzweideutig an einer von außen gut sichtbaren Stelle in den Verbrauchern zugänglichen Geschäftsräumen des Unternehmens angebracht ist, werden Verbraucher über diese Möglichkeit informiert.</w:t>
      </w:r>
    </w:p>
    <w:p w14:paraId="6EFE885C" w14:textId="77777777" w:rsidR="00154AAA" w:rsidRPr="004676F5" w:rsidRDefault="00154AAA" w:rsidP="00154AAA">
      <w:pPr>
        <w:jc w:val="both"/>
        <w:rPr>
          <w:lang w:val="de-DE"/>
        </w:rPr>
      </w:pPr>
    </w:p>
    <w:p w14:paraId="35C224BD" w14:textId="77777777" w:rsidR="00154AAA" w:rsidRPr="004676F5" w:rsidRDefault="00154AAA" w:rsidP="00154AAA">
      <w:pPr>
        <w:jc w:val="both"/>
        <w:rPr>
          <w:lang w:val="de-DE"/>
        </w:rPr>
      </w:pPr>
      <w:r w:rsidRPr="004676F5">
        <w:rPr>
          <w:lang w:val="de-DE"/>
        </w:rPr>
        <w:tab/>
        <w:t>Der Verkauf auf Messen, Schauen und Ausstellungen wird einem Verkauf in den Geschäftsräumen des Zahlungsdienstleisters gleichgesetzt.</w:t>
      </w:r>
    </w:p>
    <w:p w14:paraId="74082F1D" w14:textId="77777777" w:rsidR="00154AAA" w:rsidRPr="004676F5" w:rsidRDefault="00154AAA" w:rsidP="00154AAA">
      <w:pPr>
        <w:jc w:val="both"/>
        <w:rPr>
          <w:lang w:val="de-DE"/>
        </w:rPr>
      </w:pPr>
    </w:p>
    <w:p w14:paraId="79045E2C" w14:textId="1EB029B4" w:rsidR="00154AAA" w:rsidRPr="004676F5" w:rsidRDefault="00154AAA" w:rsidP="00154AAA">
      <w:pPr>
        <w:jc w:val="both"/>
        <w:rPr>
          <w:lang w:val="de-DE"/>
        </w:rPr>
      </w:pPr>
      <w:r w:rsidRPr="004676F5">
        <w:rPr>
          <w:lang w:val="de-DE"/>
        </w:rPr>
        <w:tab/>
        <w:t>Wenn der Zahlungsdienst elektronisch über eine Website verfügbar ist, werden die Entgeltinformation und das Glossar zusammen mit den Informationen, die nach anderen Rechtsvorschriften über Zahlungskonten und damit im Zusammenhang stehende Dienste erforderlich sind, deutlich und an einen für Verbraucher klaren und gut sichtbaren Platz auf dieser Website unter Angabe in unmittelbarer Nähe eines Hyperlinks zu der in Artikel VII.4/4 erwähnten Vergleichswebsite gestellt. Sie sind Verbrauchern außerdem auf einfache Anfrage unentgeltlich auf einem dauerhaften Datenträger auszuhändigen.]</w:t>
      </w:r>
    </w:p>
    <w:p w14:paraId="673CAA11" w14:textId="1D55398D" w:rsidR="00154AAA" w:rsidRPr="004676F5" w:rsidRDefault="00154AAA" w:rsidP="00154AAA">
      <w:pPr>
        <w:jc w:val="both"/>
        <w:rPr>
          <w:lang w:val="de-DE"/>
        </w:rPr>
      </w:pPr>
    </w:p>
    <w:p w14:paraId="698D94DC" w14:textId="6C7FF633" w:rsidR="00154AAA" w:rsidRPr="004676F5" w:rsidRDefault="00154AAA" w:rsidP="00154AAA">
      <w:pPr>
        <w:jc w:val="both"/>
        <w:rPr>
          <w:i/>
          <w:lang w:val="de-DE"/>
        </w:rPr>
      </w:pPr>
      <w:r w:rsidRPr="004676F5">
        <w:rPr>
          <w:i/>
          <w:lang w:val="de-DE"/>
        </w:rPr>
        <w:t>[Art. VII.4/1 eingefügt durch Art. 6 des G. vom 22. Dezember 2017 (B.S. vom 12. Januar 2018)</w:t>
      </w:r>
      <w:r w:rsidR="001F0766" w:rsidRPr="004676F5">
        <w:rPr>
          <w:i/>
          <w:lang w:val="de-DE"/>
        </w:rPr>
        <w:t>; § 1 Abs. 1 abgeändert durch Art. 6 des G. vom 19. Juli 2018 (B.S. vom 30. Juli 2018)</w:t>
      </w:r>
      <w:r w:rsidRPr="004676F5">
        <w:rPr>
          <w:i/>
          <w:lang w:val="de-DE"/>
        </w:rPr>
        <w:t>]</w:t>
      </w:r>
    </w:p>
    <w:p w14:paraId="379DBAE4" w14:textId="77777777" w:rsidR="00154AAA" w:rsidRPr="004676F5" w:rsidRDefault="00154AAA" w:rsidP="00154AAA">
      <w:pPr>
        <w:jc w:val="both"/>
        <w:rPr>
          <w:lang w:val="de-DE"/>
        </w:rPr>
      </w:pPr>
    </w:p>
    <w:p w14:paraId="07901383" w14:textId="3256C6C4" w:rsidR="00154AAA" w:rsidRPr="004676F5" w:rsidRDefault="00154AAA" w:rsidP="00154AAA">
      <w:pPr>
        <w:jc w:val="both"/>
        <w:rPr>
          <w:lang w:val="de-DE"/>
        </w:rPr>
      </w:pPr>
    </w:p>
    <w:p w14:paraId="3D492FDA" w14:textId="7385A404" w:rsidR="00154AAA" w:rsidRPr="004676F5" w:rsidRDefault="00154AAA" w:rsidP="00154AAA">
      <w:pPr>
        <w:jc w:val="both"/>
        <w:rPr>
          <w:lang w:val="de-DE"/>
        </w:rPr>
      </w:pPr>
      <w:r w:rsidRPr="004676F5">
        <w:rPr>
          <w:lang w:val="de-DE"/>
        </w:rPr>
        <w:tab/>
        <w:t>[</w:t>
      </w:r>
      <w:r w:rsidRPr="004676F5">
        <w:rPr>
          <w:b/>
          <w:lang w:val="de-DE"/>
        </w:rPr>
        <w:t>Art. VII.4/2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Unbeschadet der Anwendung </w:t>
      </w:r>
      <w:r w:rsidR="001F0766" w:rsidRPr="004676F5">
        <w:rPr>
          <w:lang w:val="de-DE"/>
        </w:rPr>
        <w:t>[</w:t>
      </w:r>
      <w:r w:rsidRPr="004676F5">
        <w:rPr>
          <w:lang w:val="de-DE"/>
        </w:rPr>
        <w:t>der Artikel VII.</w:t>
      </w:r>
      <w:r w:rsidR="001F0766" w:rsidRPr="004676F5">
        <w:rPr>
          <w:lang w:val="de-DE"/>
        </w:rPr>
        <w:t>27</w:t>
      </w:r>
      <w:r w:rsidRPr="004676F5">
        <w:rPr>
          <w:lang w:val="de-DE"/>
        </w:rPr>
        <w:t>, VII.</w:t>
      </w:r>
      <w:r w:rsidR="001F0766" w:rsidRPr="004676F5">
        <w:rPr>
          <w:lang w:val="de-DE"/>
        </w:rPr>
        <w:t>28]</w:t>
      </w:r>
      <w:r w:rsidRPr="004676F5">
        <w:rPr>
          <w:lang w:val="de-DE"/>
        </w:rPr>
        <w:t xml:space="preserve"> und VII.99 stellen Zahlungsdienstleister Verbrauchern mindestens einmal im Jahr spätestens am letzten Tag des Monats Februar unentgeltlich eine Aufstellung sämtlicher Entgelte, die für die </w:t>
      </w:r>
      <w:r w:rsidRPr="004676F5">
        <w:rPr>
          <w:lang w:val="de-DE"/>
        </w:rPr>
        <w:lastRenderedPageBreak/>
        <w:t>mit einem Zahlungskonto verbundenen Dienste angefallen sind, sowie gegebenenfalls Informationen hinsichtlich der in § 2 Nr. 3 und 4 genannten Zinsen zur Verfügung. Gegebenenfalls verwenden Zahlungsdienstleister die standardisierten Begriffe aus der Liste der repräsentativsten mit einem Zahlungskonto verbundenen Dienste.</w:t>
      </w:r>
    </w:p>
    <w:p w14:paraId="3BBD9EEE" w14:textId="77777777" w:rsidR="00154AAA" w:rsidRPr="004676F5" w:rsidRDefault="00154AAA" w:rsidP="00154AAA">
      <w:pPr>
        <w:jc w:val="both"/>
        <w:rPr>
          <w:lang w:val="de-DE"/>
        </w:rPr>
      </w:pPr>
    </w:p>
    <w:p w14:paraId="7486D70A" w14:textId="77777777" w:rsidR="00154AAA" w:rsidRPr="004676F5" w:rsidRDefault="00154AAA" w:rsidP="00154AAA">
      <w:pPr>
        <w:jc w:val="both"/>
        <w:rPr>
          <w:lang w:val="de-DE"/>
        </w:rPr>
      </w:pPr>
      <w:r w:rsidRPr="004676F5">
        <w:rPr>
          <w:lang w:val="de-DE"/>
        </w:rPr>
        <w:tab/>
        <w:t>Die Entgeltaufstellung wird auf einem dauerhaften Datenträger zur Verfügung gestellt. Der Kommunikationskanal wird mit dem Verbraucher vereinbart. Darüber hinaus wird die Entgeltaufstellung auf Verlangen des Verbrauchers kostenlos auf Papier und gegebenenfalls per Kontoauszug zur Verfügung gestellt.</w:t>
      </w:r>
    </w:p>
    <w:p w14:paraId="73F49EE1" w14:textId="77777777" w:rsidR="00154AAA" w:rsidRPr="004676F5" w:rsidRDefault="00154AAA" w:rsidP="00154AAA">
      <w:pPr>
        <w:jc w:val="both"/>
        <w:rPr>
          <w:lang w:val="de-DE"/>
        </w:rPr>
      </w:pPr>
    </w:p>
    <w:p w14:paraId="0A800E82" w14:textId="2B0577DA" w:rsidR="00154AAA" w:rsidRPr="004676F5" w:rsidRDefault="00154AAA" w:rsidP="00154AAA">
      <w:pPr>
        <w:jc w:val="both"/>
        <w:rPr>
          <w:lang w:val="de-DE"/>
        </w:rPr>
      </w:pPr>
      <w:r w:rsidRPr="004676F5">
        <w:rPr>
          <w:lang w:val="de-DE"/>
        </w:rPr>
        <w:tab/>
        <w:t>§ 2 </w:t>
      </w:r>
      <w:r w:rsidR="005B7A5C" w:rsidRPr="004676F5">
        <w:rPr>
          <w:lang w:val="de-DE"/>
        </w:rPr>
        <w:t>- </w:t>
      </w:r>
      <w:r w:rsidRPr="004676F5">
        <w:rPr>
          <w:lang w:val="de-DE"/>
        </w:rPr>
        <w:t>Die Entgeltaufstellung muss mindestens folgende Angaben enthalten:</w:t>
      </w:r>
    </w:p>
    <w:p w14:paraId="6DB952F0" w14:textId="77777777" w:rsidR="00154AAA" w:rsidRPr="004676F5" w:rsidRDefault="00154AAA" w:rsidP="00154AAA">
      <w:pPr>
        <w:jc w:val="both"/>
        <w:rPr>
          <w:lang w:val="de-DE"/>
        </w:rPr>
      </w:pPr>
    </w:p>
    <w:p w14:paraId="79AFA67D" w14:textId="77777777" w:rsidR="00154AAA" w:rsidRPr="004676F5" w:rsidRDefault="00154AAA" w:rsidP="00154AAA">
      <w:pPr>
        <w:jc w:val="both"/>
        <w:rPr>
          <w:lang w:val="de-DE"/>
        </w:rPr>
      </w:pPr>
      <w:r w:rsidRPr="004676F5">
        <w:rPr>
          <w:lang w:val="de-DE"/>
        </w:rPr>
        <w:tab/>
        <w:t>1. das in Rechnung gestellte Einzelentgelt je Dienst und die Anzahl der Inanspruchnahmen der betreffenden Dienste während des Bezugszeitraums sowie für den Fall, dass die Dienste in einem Paket zusammengefasst sind, das für das Gesamtpaket in Rechnung gestellte Entgelt, die Angabe, wie oft das Entgelt für das Gesamtpaket im Bezugszeitraum in Rechnung gestellt wurde, und das für jeden Dienst, der über den im Entgelt für das Paket enthaltenen Umfang hinausgeht, in Rechnung gestellte zusätzliche Entgelt,</w:t>
      </w:r>
    </w:p>
    <w:p w14:paraId="6292F96D" w14:textId="77777777" w:rsidR="00154AAA" w:rsidRPr="004676F5" w:rsidRDefault="00154AAA" w:rsidP="00154AAA">
      <w:pPr>
        <w:jc w:val="both"/>
        <w:rPr>
          <w:lang w:val="de-DE"/>
        </w:rPr>
      </w:pPr>
    </w:p>
    <w:p w14:paraId="3B77B9B8" w14:textId="77777777" w:rsidR="00154AAA" w:rsidRPr="004676F5" w:rsidRDefault="00154AAA" w:rsidP="00154AAA">
      <w:pPr>
        <w:jc w:val="both"/>
        <w:rPr>
          <w:lang w:val="de-DE"/>
        </w:rPr>
      </w:pPr>
      <w:r w:rsidRPr="004676F5">
        <w:rPr>
          <w:lang w:val="de-DE"/>
        </w:rPr>
        <w:tab/>
        <w:t>2. den Gesamtbetrag der im Bezugszeitraum angefallenen Entgelte für jeden Dienst, jedes Dienstpaket und für Dienste, die über den im Entgelt für das Paket erfassten Umfang hinausgehen,</w:t>
      </w:r>
    </w:p>
    <w:p w14:paraId="7B1C89A1" w14:textId="77777777" w:rsidR="00154AAA" w:rsidRPr="004676F5" w:rsidRDefault="00154AAA" w:rsidP="00154AAA">
      <w:pPr>
        <w:jc w:val="both"/>
        <w:rPr>
          <w:lang w:val="de-DE"/>
        </w:rPr>
      </w:pPr>
    </w:p>
    <w:p w14:paraId="10D8D1C3" w14:textId="77777777" w:rsidR="00154AAA" w:rsidRPr="004676F5" w:rsidRDefault="00154AAA" w:rsidP="00154AAA">
      <w:pPr>
        <w:jc w:val="both"/>
        <w:rPr>
          <w:lang w:val="de-DE"/>
        </w:rPr>
      </w:pPr>
      <w:r w:rsidRPr="004676F5">
        <w:rPr>
          <w:lang w:val="de-DE"/>
        </w:rPr>
        <w:tab/>
        <w:t>3. gegebenenfalls den Überziehungszinssatz für das Zahlungskonto und den Gesamtbetrag der wegen des Überziehungskredits im Bezugszeitraum in Rechnung gestellten Zinsen,</w:t>
      </w:r>
    </w:p>
    <w:p w14:paraId="68F3EB72" w14:textId="77777777" w:rsidR="00154AAA" w:rsidRPr="004676F5" w:rsidRDefault="00154AAA" w:rsidP="00154AAA">
      <w:pPr>
        <w:jc w:val="both"/>
        <w:rPr>
          <w:lang w:val="de-DE"/>
        </w:rPr>
      </w:pPr>
    </w:p>
    <w:p w14:paraId="709C6ACC" w14:textId="77777777" w:rsidR="00154AAA" w:rsidRPr="004676F5" w:rsidRDefault="00154AAA" w:rsidP="00154AAA">
      <w:pPr>
        <w:jc w:val="both"/>
        <w:rPr>
          <w:lang w:val="de-DE"/>
        </w:rPr>
      </w:pPr>
      <w:r w:rsidRPr="004676F5">
        <w:rPr>
          <w:lang w:val="de-DE"/>
        </w:rPr>
        <w:tab/>
        <w:t>4. gegebenenfalls den Habenzinssatz für das Zahlungskonto und den Gesamtbetrag der im Bezugszeitraum aufgelaufenen Zinsen,</w:t>
      </w:r>
    </w:p>
    <w:p w14:paraId="3BBA1403" w14:textId="77777777" w:rsidR="00154AAA" w:rsidRPr="004676F5" w:rsidRDefault="00154AAA" w:rsidP="00154AAA">
      <w:pPr>
        <w:jc w:val="both"/>
        <w:rPr>
          <w:lang w:val="de-DE"/>
        </w:rPr>
      </w:pPr>
    </w:p>
    <w:p w14:paraId="6C9E9353" w14:textId="77777777" w:rsidR="00154AAA" w:rsidRPr="004676F5" w:rsidRDefault="00154AAA" w:rsidP="00154AAA">
      <w:pPr>
        <w:jc w:val="both"/>
        <w:rPr>
          <w:lang w:val="de-DE"/>
        </w:rPr>
      </w:pPr>
      <w:r w:rsidRPr="004676F5">
        <w:rPr>
          <w:lang w:val="de-DE"/>
        </w:rPr>
        <w:tab/>
        <w:t>5. den in Rechnung gestellten Gesamtbetrag der Entgelte für sämtliche der im Bezugszeitraum geleisteten Dienste.</w:t>
      </w:r>
    </w:p>
    <w:p w14:paraId="1A86C7FF" w14:textId="77777777" w:rsidR="00154AAA" w:rsidRPr="004676F5" w:rsidRDefault="00154AAA" w:rsidP="00154AAA">
      <w:pPr>
        <w:jc w:val="both"/>
        <w:rPr>
          <w:lang w:val="de-DE"/>
        </w:rPr>
      </w:pPr>
    </w:p>
    <w:p w14:paraId="3FB34A64" w14:textId="5464177C" w:rsidR="00154AAA" w:rsidRPr="004676F5" w:rsidRDefault="00154AAA" w:rsidP="00154AAA">
      <w:pPr>
        <w:jc w:val="both"/>
        <w:rPr>
          <w:lang w:val="de-DE"/>
        </w:rPr>
      </w:pPr>
      <w:r w:rsidRPr="004676F5">
        <w:rPr>
          <w:lang w:val="de-DE"/>
        </w:rPr>
        <w:tab/>
        <w:t>§ 3 </w:t>
      </w:r>
      <w:r w:rsidR="005B7A5C" w:rsidRPr="004676F5">
        <w:rPr>
          <w:lang w:val="de-DE"/>
        </w:rPr>
        <w:t>- </w:t>
      </w:r>
      <w:r w:rsidRPr="004676F5">
        <w:rPr>
          <w:lang w:val="de-DE"/>
        </w:rPr>
        <w:t>Die Entgeltaufstellung muss:</w:t>
      </w:r>
    </w:p>
    <w:p w14:paraId="5C39C67A" w14:textId="77777777" w:rsidR="00154AAA" w:rsidRPr="004676F5" w:rsidRDefault="00154AAA" w:rsidP="00154AAA">
      <w:pPr>
        <w:jc w:val="both"/>
        <w:rPr>
          <w:lang w:val="de-DE"/>
        </w:rPr>
      </w:pPr>
    </w:p>
    <w:p w14:paraId="2F802298" w14:textId="77777777" w:rsidR="00154AAA" w:rsidRPr="004676F5" w:rsidRDefault="00154AAA" w:rsidP="00154AAA">
      <w:pPr>
        <w:jc w:val="both"/>
        <w:rPr>
          <w:lang w:val="de-DE"/>
        </w:rPr>
      </w:pPr>
      <w:r w:rsidRPr="004676F5">
        <w:rPr>
          <w:lang w:val="de-DE"/>
        </w:rPr>
        <w:tab/>
        <w:t>1. auf eine Art und Weise präsentiert und aufgemacht sein, die klar und leicht verständlich ist, wobei Buchstaben in gut leserlicher Größe zu verwenden sind,</w:t>
      </w:r>
    </w:p>
    <w:p w14:paraId="61BBE6C0" w14:textId="77777777" w:rsidR="00154AAA" w:rsidRPr="004676F5" w:rsidRDefault="00154AAA" w:rsidP="00154AAA">
      <w:pPr>
        <w:jc w:val="both"/>
        <w:rPr>
          <w:lang w:val="de-DE"/>
        </w:rPr>
      </w:pPr>
    </w:p>
    <w:p w14:paraId="0090432C" w14:textId="77777777" w:rsidR="00154AAA" w:rsidRPr="004676F5" w:rsidRDefault="00154AAA" w:rsidP="00154AAA">
      <w:pPr>
        <w:jc w:val="both"/>
        <w:rPr>
          <w:lang w:val="de-DE"/>
        </w:rPr>
      </w:pPr>
      <w:r w:rsidRPr="004676F5">
        <w:rPr>
          <w:lang w:val="de-DE"/>
        </w:rPr>
        <w:tab/>
        <w:t>2. sachlich richtig und nicht irreführend sein und auf die Währung des Zahlungskontos oder auf eine andere Währung, auf die sich Verbraucher und Zahlungsdienstleister geeinigt haben, abgestellt sein,</w:t>
      </w:r>
    </w:p>
    <w:p w14:paraId="396DA648" w14:textId="77777777" w:rsidR="00154AAA" w:rsidRPr="004676F5" w:rsidRDefault="00154AAA" w:rsidP="00154AAA">
      <w:pPr>
        <w:jc w:val="both"/>
        <w:rPr>
          <w:lang w:val="de-DE"/>
        </w:rPr>
      </w:pPr>
    </w:p>
    <w:p w14:paraId="3E90F3F2" w14:textId="77777777" w:rsidR="00154AAA" w:rsidRPr="004676F5" w:rsidRDefault="00154AAA" w:rsidP="00154AAA">
      <w:pPr>
        <w:jc w:val="both"/>
        <w:rPr>
          <w:lang w:val="de-DE"/>
        </w:rPr>
      </w:pPr>
      <w:r w:rsidRPr="004676F5">
        <w:rPr>
          <w:lang w:val="de-DE"/>
        </w:rPr>
        <w:tab/>
        <w:t>3. die Überschrift "Entgeltaufstellung" am oberen Ende der ersten Seite der Aufstellung neben einem gemeinsamen Symbol enthalten, sodass das Dokument von anderen Unterlagen zu unterscheiden ist, und</w:t>
      </w:r>
    </w:p>
    <w:p w14:paraId="59EB5D69" w14:textId="77777777" w:rsidR="00154AAA" w:rsidRPr="004676F5" w:rsidRDefault="00154AAA" w:rsidP="00154AAA">
      <w:pPr>
        <w:jc w:val="both"/>
        <w:rPr>
          <w:lang w:val="de-DE"/>
        </w:rPr>
      </w:pPr>
    </w:p>
    <w:p w14:paraId="356B5E76" w14:textId="77777777" w:rsidR="00154AAA" w:rsidRPr="004676F5" w:rsidRDefault="00154AAA" w:rsidP="00154AAA">
      <w:pPr>
        <w:jc w:val="both"/>
        <w:rPr>
          <w:lang w:val="de-DE"/>
        </w:rPr>
      </w:pPr>
      <w:r w:rsidRPr="004676F5">
        <w:rPr>
          <w:lang w:val="de-DE"/>
        </w:rPr>
        <w:tab/>
        <w:t>4. in der Amtssprache des Ortes abgefasst sein, an dem das Zahlungskonto angeboten wird, oder in einer anderen Sprache, auf die sich Verbraucher und Zahlungsdienstleister geeinigt haben.</w:t>
      </w:r>
    </w:p>
    <w:p w14:paraId="73139C1F" w14:textId="77777777" w:rsidR="00154AAA" w:rsidRPr="004676F5" w:rsidRDefault="00154AAA" w:rsidP="00154AAA">
      <w:pPr>
        <w:jc w:val="both"/>
        <w:rPr>
          <w:lang w:val="de-DE"/>
        </w:rPr>
      </w:pPr>
    </w:p>
    <w:p w14:paraId="5259477F" w14:textId="77777777" w:rsidR="00154AAA" w:rsidRPr="004676F5" w:rsidRDefault="00154AAA" w:rsidP="00154AAA">
      <w:pPr>
        <w:jc w:val="both"/>
        <w:rPr>
          <w:lang w:val="de-DE"/>
        </w:rPr>
      </w:pPr>
      <w:r w:rsidRPr="004676F5">
        <w:rPr>
          <w:lang w:val="de-DE"/>
        </w:rPr>
        <w:tab/>
        <w:t xml:space="preserve">Unbeschadet der Anwendung der Bestimmungen von Absatz 1 wird diese Entgeltaufstellung zusammen mit dem Hyperlink zu der in Artikel VII.4/4 erwähnten </w:t>
      </w:r>
      <w:r w:rsidRPr="004676F5">
        <w:rPr>
          <w:lang w:val="de-DE"/>
        </w:rPr>
        <w:lastRenderedPageBreak/>
        <w:t>Vergleichswebsite und gegebenenfalls den Informationen übermittelt, die nach anderen Rechtsvorschriften über Zahlungskonten und damit im Zusammenhang stehende Dienste erforderlich sind.</w:t>
      </w:r>
    </w:p>
    <w:p w14:paraId="4618C541" w14:textId="77777777" w:rsidR="00154AAA" w:rsidRPr="004676F5" w:rsidRDefault="00154AAA" w:rsidP="00154AAA">
      <w:pPr>
        <w:jc w:val="both"/>
        <w:rPr>
          <w:lang w:val="de-DE"/>
        </w:rPr>
      </w:pPr>
    </w:p>
    <w:p w14:paraId="3F541A97" w14:textId="72D7A01B" w:rsidR="00154AAA" w:rsidRPr="004676F5" w:rsidRDefault="00154AAA" w:rsidP="00154AAA">
      <w:pPr>
        <w:jc w:val="both"/>
        <w:rPr>
          <w:lang w:val="de-DE"/>
        </w:rPr>
      </w:pPr>
      <w:r w:rsidRPr="004676F5">
        <w:rPr>
          <w:lang w:val="de-DE"/>
        </w:rPr>
        <w:tab/>
        <w:t>§ 4 </w:t>
      </w:r>
      <w:r w:rsidR="005B7A5C" w:rsidRPr="004676F5">
        <w:rPr>
          <w:lang w:val="de-DE"/>
        </w:rPr>
        <w:t>- </w:t>
      </w:r>
      <w:r w:rsidRPr="004676F5">
        <w:rPr>
          <w:lang w:val="de-DE"/>
        </w:rPr>
        <w:t>Der König kann ein standardisiertes Format für die Präsentation der Entgeltaufstellung und das betreffende gemeinsame Symbol festlegen.]</w:t>
      </w:r>
    </w:p>
    <w:p w14:paraId="057B7DF1" w14:textId="6D9B4A95" w:rsidR="00154AAA" w:rsidRPr="004676F5" w:rsidRDefault="00154AAA" w:rsidP="00154AAA">
      <w:pPr>
        <w:jc w:val="both"/>
        <w:rPr>
          <w:lang w:val="de-DE"/>
        </w:rPr>
      </w:pPr>
    </w:p>
    <w:p w14:paraId="1F8EB149" w14:textId="40369A72" w:rsidR="00154AAA" w:rsidRPr="004676F5" w:rsidRDefault="00154AAA" w:rsidP="00154AAA">
      <w:pPr>
        <w:jc w:val="both"/>
        <w:rPr>
          <w:i/>
          <w:lang w:val="de-DE"/>
        </w:rPr>
      </w:pPr>
      <w:r w:rsidRPr="004676F5">
        <w:rPr>
          <w:i/>
          <w:lang w:val="de-DE"/>
        </w:rPr>
        <w:t>[Art. VII.4/2 eingefügt durch Art. 7 des G. vom 22. Dezember 2017 (B.S. vom 12. Januar 2018)</w:t>
      </w:r>
      <w:r w:rsidR="001F0766" w:rsidRPr="004676F5">
        <w:rPr>
          <w:i/>
          <w:lang w:val="de-DE"/>
        </w:rPr>
        <w:t>; § 1 Abs. 1 abgeändert durch Art. 7 des G. vom 19. Juli 2018 (B.S. vom 30. Juli 2018)</w:t>
      </w:r>
      <w:r w:rsidRPr="004676F5">
        <w:rPr>
          <w:i/>
          <w:lang w:val="de-DE"/>
        </w:rPr>
        <w:t>]</w:t>
      </w:r>
    </w:p>
    <w:p w14:paraId="798933A1" w14:textId="77777777" w:rsidR="00154AAA" w:rsidRPr="004676F5" w:rsidRDefault="00154AAA" w:rsidP="00154AAA">
      <w:pPr>
        <w:jc w:val="both"/>
        <w:rPr>
          <w:lang w:val="de-DE"/>
        </w:rPr>
      </w:pPr>
    </w:p>
    <w:p w14:paraId="0E945E37" w14:textId="77777777" w:rsidR="00154AAA" w:rsidRPr="004676F5" w:rsidRDefault="00154AAA" w:rsidP="00154AAA">
      <w:pPr>
        <w:jc w:val="both"/>
        <w:rPr>
          <w:lang w:val="de-DE"/>
        </w:rPr>
      </w:pPr>
    </w:p>
    <w:p w14:paraId="6CEF1E92" w14:textId="0BAE0363" w:rsidR="00154AAA" w:rsidRPr="004676F5" w:rsidRDefault="00154AAA" w:rsidP="00154AAA">
      <w:pPr>
        <w:jc w:val="both"/>
        <w:rPr>
          <w:lang w:val="de-DE"/>
        </w:rPr>
      </w:pPr>
      <w:r w:rsidRPr="004676F5">
        <w:rPr>
          <w:lang w:val="de-DE"/>
        </w:rPr>
        <w:tab/>
        <w:t>[</w:t>
      </w:r>
      <w:r w:rsidRPr="004676F5">
        <w:rPr>
          <w:b/>
          <w:lang w:val="de-DE"/>
        </w:rPr>
        <w:t>Art. VII.4/3</w:t>
      </w:r>
      <w:r w:rsidRPr="004676F5">
        <w:rPr>
          <w:lang w:val="de-DE"/>
        </w:rPr>
        <w:t> </w:t>
      </w:r>
      <w:r w:rsidR="005B7A5C" w:rsidRPr="004676F5">
        <w:rPr>
          <w:lang w:val="de-DE"/>
        </w:rPr>
        <w:t>- </w:t>
      </w:r>
      <w:r w:rsidRPr="004676F5">
        <w:rPr>
          <w:lang w:val="de-DE"/>
        </w:rPr>
        <w:t>§ 1 ­ Zahlungsdienstleister verwenden in ihren Vertrags-, Geschäfts</w:t>
      </w:r>
      <w:r w:rsidR="005B7A5C" w:rsidRPr="004676F5">
        <w:rPr>
          <w:lang w:val="de-DE"/>
        </w:rPr>
        <w:t>- </w:t>
      </w:r>
      <w:r w:rsidRPr="004676F5">
        <w:rPr>
          <w:lang w:val="de-DE"/>
        </w:rPr>
        <w:t>und Marketinginformationen für Verbraucher gegebenenfalls die standardisierten Begriffe aus der Liste der repräsentativsten mit einem Zahlungskonto verbundenen Dienste.</w:t>
      </w:r>
    </w:p>
    <w:p w14:paraId="2C74C8E4" w14:textId="77777777" w:rsidR="00154AAA" w:rsidRPr="004676F5" w:rsidRDefault="00154AAA" w:rsidP="00154AAA">
      <w:pPr>
        <w:jc w:val="both"/>
        <w:rPr>
          <w:lang w:val="de-DE"/>
        </w:rPr>
      </w:pPr>
    </w:p>
    <w:p w14:paraId="174BA46E" w14:textId="77777777" w:rsidR="00154AAA" w:rsidRPr="004676F5" w:rsidRDefault="00154AAA" w:rsidP="00154AAA">
      <w:pPr>
        <w:jc w:val="both"/>
        <w:rPr>
          <w:lang w:val="de-DE"/>
        </w:rPr>
      </w:pPr>
      <w:r w:rsidRPr="004676F5">
        <w:rPr>
          <w:lang w:val="de-DE"/>
        </w:rPr>
        <w:tab/>
        <w:t>Zahlungsdienstleister können in der Entgeltinformation und in der Entgeltaufstellung firmeneigene Produktbezeichnungen unter der Voraussetzung verwenden, dass diese firmeneigenen Produktbezeichnungen zusätzlich zu den standardisierten Begriffen aus der Liste verwendet werden und eine untergeordnete Bezeichnung für diese Dienste darstellen. Diese Dokumente dürfen keine Werbemitteilung enthalten.</w:t>
      </w:r>
    </w:p>
    <w:p w14:paraId="4BEFBC05" w14:textId="77777777" w:rsidR="00154AAA" w:rsidRPr="004676F5" w:rsidRDefault="00154AAA" w:rsidP="00154AAA">
      <w:pPr>
        <w:jc w:val="both"/>
        <w:rPr>
          <w:lang w:val="de-DE"/>
        </w:rPr>
      </w:pPr>
    </w:p>
    <w:p w14:paraId="470CDE2A" w14:textId="12CD2057" w:rsidR="00154AAA" w:rsidRPr="004676F5" w:rsidRDefault="00154AAA" w:rsidP="00154AAA">
      <w:pPr>
        <w:jc w:val="both"/>
        <w:rPr>
          <w:lang w:val="de-DE"/>
        </w:rPr>
      </w:pPr>
      <w:r w:rsidRPr="004676F5">
        <w:rPr>
          <w:lang w:val="de-DE"/>
        </w:rPr>
        <w:tab/>
        <w:t>§ 2 </w:t>
      </w:r>
      <w:r w:rsidR="005B7A5C" w:rsidRPr="004676F5">
        <w:rPr>
          <w:lang w:val="de-DE"/>
        </w:rPr>
        <w:t>- </w:t>
      </w:r>
      <w:r w:rsidRPr="004676F5">
        <w:rPr>
          <w:lang w:val="de-DE"/>
        </w:rPr>
        <w:t>Zahlungsdienstleister können in ihren Vertrags-, Geschäfts</w:t>
      </w:r>
      <w:r w:rsidR="005B7A5C" w:rsidRPr="004676F5">
        <w:rPr>
          <w:lang w:val="de-DE"/>
        </w:rPr>
        <w:t>- </w:t>
      </w:r>
      <w:r w:rsidRPr="004676F5">
        <w:rPr>
          <w:lang w:val="de-DE"/>
        </w:rPr>
        <w:t>und Marketing</w:t>
      </w:r>
      <w:r w:rsidRPr="004676F5">
        <w:rPr>
          <w:lang w:val="de-DE"/>
        </w:rPr>
        <w:softHyphen/>
        <w:t>informationen für Verbraucher firmeneigene Bezeichnungen für ihre Dienste unter der Voraussetzung verwenden, dass sie gegebenenfalls die entsprechenden standardisierten Begriffe aus der Liste jenen eindeutig zuordnen.]</w:t>
      </w:r>
    </w:p>
    <w:p w14:paraId="53B3BCA3" w14:textId="6039855D" w:rsidR="00154AAA" w:rsidRPr="004676F5" w:rsidRDefault="00154AAA" w:rsidP="00154AAA">
      <w:pPr>
        <w:jc w:val="both"/>
        <w:rPr>
          <w:lang w:val="de-DE"/>
        </w:rPr>
      </w:pPr>
    </w:p>
    <w:p w14:paraId="2224B8BB" w14:textId="37946B3E" w:rsidR="00154AAA" w:rsidRPr="004676F5" w:rsidRDefault="00154AAA" w:rsidP="00154AAA">
      <w:pPr>
        <w:jc w:val="both"/>
        <w:rPr>
          <w:i/>
          <w:lang w:val="de-DE"/>
        </w:rPr>
      </w:pPr>
      <w:r w:rsidRPr="004676F5">
        <w:rPr>
          <w:i/>
          <w:lang w:val="de-DE"/>
        </w:rPr>
        <w:t>[Art. VII.4/3 eingefügt durch Art. 8 des G. vom 22. Dezember 2017 (B.S. vom 12. Januar 2018)]</w:t>
      </w:r>
    </w:p>
    <w:p w14:paraId="19BE25B7" w14:textId="77777777" w:rsidR="00154AAA" w:rsidRPr="004676F5" w:rsidRDefault="00154AAA" w:rsidP="00154AAA">
      <w:pPr>
        <w:jc w:val="both"/>
        <w:rPr>
          <w:lang w:val="de-DE"/>
        </w:rPr>
      </w:pPr>
    </w:p>
    <w:p w14:paraId="046E43F5" w14:textId="77777777" w:rsidR="00154AAA" w:rsidRPr="004676F5" w:rsidRDefault="00154AAA" w:rsidP="00154AAA">
      <w:pPr>
        <w:jc w:val="both"/>
        <w:rPr>
          <w:lang w:val="de-DE"/>
        </w:rPr>
      </w:pPr>
    </w:p>
    <w:p w14:paraId="1531CEE5" w14:textId="6F221157" w:rsidR="00154AAA" w:rsidRPr="004676F5" w:rsidRDefault="00154AAA" w:rsidP="00154AAA">
      <w:pPr>
        <w:jc w:val="both"/>
        <w:rPr>
          <w:lang w:val="de-DE"/>
        </w:rPr>
      </w:pPr>
      <w:r w:rsidRPr="004676F5">
        <w:rPr>
          <w:lang w:val="de-DE"/>
        </w:rPr>
        <w:tab/>
        <w:t>[</w:t>
      </w:r>
      <w:r w:rsidRPr="004676F5">
        <w:rPr>
          <w:b/>
          <w:lang w:val="de-DE"/>
        </w:rPr>
        <w:t>Art. VII.4/4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Damit Verbraucher eine unabhängige Beurteilung der Entgelte vornehmen können, haben sie auf nationaler Ebene entgeltfreien Zugang zu einer Website, die einen Vergleich der Entgelte ermöglicht, die für zumindest die Dienste berechnet werden, die in der Entgeltinformation wie in Artikel VII.4/1 erwähnt aufgeführt sind. Der König kann auf Stellungnahme der FSMA die Liste der Dienste, die auf der Vergleichswebsite aufzuführen sind, erweitern.</w:t>
      </w:r>
    </w:p>
    <w:p w14:paraId="32DAE635" w14:textId="77777777" w:rsidR="00154AAA" w:rsidRPr="004676F5" w:rsidRDefault="00154AAA" w:rsidP="00154AAA">
      <w:pPr>
        <w:jc w:val="both"/>
        <w:rPr>
          <w:lang w:val="de-DE"/>
        </w:rPr>
      </w:pPr>
    </w:p>
    <w:p w14:paraId="12BE4FE1" w14:textId="659A33AB" w:rsidR="00154AAA" w:rsidRPr="004676F5" w:rsidRDefault="00154AAA" w:rsidP="00154AAA">
      <w:pPr>
        <w:jc w:val="both"/>
        <w:rPr>
          <w:lang w:val="de-DE"/>
        </w:rPr>
      </w:pPr>
      <w:r w:rsidRPr="004676F5">
        <w:rPr>
          <w:lang w:val="de-DE"/>
        </w:rPr>
        <w:tab/>
        <w:t>§ 2 </w:t>
      </w:r>
      <w:r w:rsidR="005B7A5C" w:rsidRPr="004676F5">
        <w:rPr>
          <w:lang w:val="de-DE"/>
        </w:rPr>
        <w:t>- </w:t>
      </w:r>
      <w:r w:rsidRPr="004676F5">
        <w:rPr>
          <w:lang w:val="de-DE"/>
        </w:rPr>
        <w:t>Gemäß § 1 eingerichtete Vergleichswebsites müssen:</w:t>
      </w:r>
    </w:p>
    <w:p w14:paraId="2A0B2F4D" w14:textId="77777777" w:rsidR="00154AAA" w:rsidRPr="004676F5" w:rsidRDefault="00154AAA" w:rsidP="00154AAA">
      <w:pPr>
        <w:jc w:val="both"/>
        <w:rPr>
          <w:lang w:val="de-DE"/>
        </w:rPr>
      </w:pPr>
    </w:p>
    <w:p w14:paraId="0A22582B" w14:textId="77777777" w:rsidR="00154AAA" w:rsidRPr="004676F5" w:rsidRDefault="00154AAA" w:rsidP="00154AAA">
      <w:pPr>
        <w:jc w:val="both"/>
        <w:rPr>
          <w:lang w:val="de-DE"/>
        </w:rPr>
      </w:pPr>
      <w:r w:rsidRPr="004676F5">
        <w:rPr>
          <w:lang w:val="de-DE"/>
        </w:rPr>
        <w:tab/>
        <w:t>1. unabhängig betrieben werden, wobei sicherzustellen ist, dass Zahlungsdienstleister bei den Suchergebnissen gleich behandelt werden,</w:t>
      </w:r>
    </w:p>
    <w:p w14:paraId="629D3020" w14:textId="77777777" w:rsidR="00154AAA" w:rsidRPr="004676F5" w:rsidRDefault="00154AAA" w:rsidP="00154AAA">
      <w:pPr>
        <w:jc w:val="both"/>
        <w:rPr>
          <w:lang w:val="de-DE"/>
        </w:rPr>
      </w:pPr>
    </w:p>
    <w:p w14:paraId="434C38E8" w14:textId="77777777" w:rsidR="00154AAA" w:rsidRPr="004676F5" w:rsidRDefault="00154AAA" w:rsidP="00154AAA">
      <w:pPr>
        <w:jc w:val="both"/>
        <w:rPr>
          <w:lang w:val="de-DE"/>
        </w:rPr>
      </w:pPr>
      <w:r w:rsidRPr="004676F5">
        <w:rPr>
          <w:lang w:val="de-DE"/>
        </w:rPr>
        <w:tab/>
        <w:t>2. ihre Inhaber eindeutig offenlegen,</w:t>
      </w:r>
    </w:p>
    <w:p w14:paraId="5E2FEABB" w14:textId="77777777" w:rsidR="00154AAA" w:rsidRPr="004676F5" w:rsidRDefault="00154AAA" w:rsidP="00154AAA">
      <w:pPr>
        <w:jc w:val="both"/>
        <w:rPr>
          <w:lang w:val="de-DE"/>
        </w:rPr>
      </w:pPr>
    </w:p>
    <w:p w14:paraId="6F4CE897" w14:textId="77777777" w:rsidR="00154AAA" w:rsidRPr="004676F5" w:rsidRDefault="00154AAA" w:rsidP="00154AAA">
      <w:pPr>
        <w:jc w:val="both"/>
        <w:rPr>
          <w:lang w:val="de-DE"/>
        </w:rPr>
      </w:pPr>
      <w:r w:rsidRPr="004676F5">
        <w:rPr>
          <w:lang w:val="de-DE"/>
        </w:rPr>
        <w:tab/>
        <w:t>3. klare, objektive Kriterien enthalten, auf die sich der Vergleich stützt,</w:t>
      </w:r>
    </w:p>
    <w:p w14:paraId="7483CED4" w14:textId="77777777" w:rsidR="00154AAA" w:rsidRPr="004676F5" w:rsidRDefault="00154AAA" w:rsidP="00154AAA">
      <w:pPr>
        <w:jc w:val="both"/>
        <w:rPr>
          <w:lang w:val="de-DE"/>
        </w:rPr>
      </w:pPr>
    </w:p>
    <w:p w14:paraId="7FA2A375" w14:textId="77777777" w:rsidR="00154AAA" w:rsidRPr="004676F5" w:rsidRDefault="00154AAA" w:rsidP="00154AAA">
      <w:pPr>
        <w:jc w:val="both"/>
        <w:rPr>
          <w:lang w:val="de-DE"/>
        </w:rPr>
      </w:pPr>
      <w:r w:rsidRPr="004676F5">
        <w:rPr>
          <w:lang w:val="de-DE"/>
        </w:rPr>
        <w:tab/>
        <w:t>4. eine leicht verständliche und eindeutige Sprache und gegebenenfalls die in der Entgeltinformation wie in Artikel VII.4/1 erwähnt enthaltenen standardisierten Begriffe verwenden,</w:t>
      </w:r>
    </w:p>
    <w:p w14:paraId="1D65B6DE" w14:textId="77777777" w:rsidR="00154AAA" w:rsidRPr="004676F5" w:rsidRDefault="00154AAA" w:rsidP="00154AAA">
      <w:pPr>
        <w:jc w:val="both"/>
        <w:rPr>
          <w:lang w:val="de-DE"/>
        </w:rPr>
      </w:pPr>
    </w:p>
    <w:p w14:paraId="622523C2" w14:textId="77777777" w:rsidR="00154AAA" w:rsidRPr="004676F5" w:rsidRDefault="00154AAA" w:rsidP="00154AAA">
      <w:pPr>
        <w:jc w:val="both"/>
        <w:rPr>
          <w:lang w:val="de-DE"/>
        </w:rPr>
      </w:pPr>
      <w:r w:rsidRPr="004676F5">
        <w:rPr>
          <w:lang w:val="de-DE"/>
        </w:rPr>
        <w:lastRenderedPageBreak/>
        <w:tab/>
        <w:t>5. korrekte und aktualisierte Informationen bereitstellen und den Zeitpunkt der letzten Aktualisierung angeben,</w:t>
      </w:r>
    </w:p>
    <w:p w14:paraId="45D9C3C2" w14:textId="77777777" w:rsidR="00154AAA" w:rsidRPr="004676F5" w:rsidRDefault="00154AAA" w:rsidP="00154AAA">
      <w:pPr>
        <w:jc w:val="both"/>
        <w:rPr>
          <w:lang w:val="de-DE"/>
        </w:rPr>
      </w:pPr>
    </w:p>
    <w:p w14:paraId="4E37D419" w14:textId="77777777" w:rsidR="00154AAA" w:rsidRPr="004676F5" w:rsidRDefault="00154AAA" w:rsidP="00154AAA">
      <w:pPr>
        <w:jc w:val="both"/>
        <w:rPr>
          <w:lang w:val="de-DE"/>
        </w:rPr>
      </w:pPr>
      <w:r w:rsidRPr="004676F5">
        <w:rPr>
          <w:lang w:val="de-DE"/>
        </w:rPr>
        <w:tab/>
        <w:t>6. eine breite Palette an Zahlungskontoangeboten, die einen wesentlichen Teil des Marktes abdeckt, enthalten und, falls die gebotene Information keine vollständige Marktübersicht darstellt, eine eindeutige diesbezügliche Erklärung geben, bevor sie Ergebnisse anzeigen, und</w:t>
      </w:r>
    </w:p>
    <w:p w14:paraId="4ED0AF21" w14:textId="77777777" w:rsidR="00154AAA" w:rsidRPr="004676F5" w:rsidRDefault="00154AAA" w:rsidP="00154AAA">
      <w:pPr>
        <w:jc w:val="both"/>
        <w:rPr>
          <w:lang w:val="de-DE"/>
        </w:rPr>
      </w:pPr>
    </w:p>
    <w:p w14:paraId="36DB5BFB" w14:textId="77777777" w:rsidR="00154AAA" w:rsidRPr="004676F5" w:rsidRDefault="00154AAA" w:rsidP="00154AAA">
      <w:pPr>
        <w:jc w:val="both"/>
        <w:rPr>
          <w:lang w:val="de-DE"/>
        </w:rPr>
      </w:pPr>
      <w:r w:rsidRPr="004676F5">
        <w:rPr>
          <w:lang w:val="de-DE"/>
        </w:rPr>
        <w:tab/>
        <w:t>7. ein wirksames Verfahren für die Meldung unrichtiger Informationen über veröffentlichte Entgelte vorsehen.</w:t>
      </w:r>
    </w:p>
    <w:p w14:paraId="1864819B" w14:textId="77777777" w:rsidR="00154AAA" w:rsidRPr="004676F5" w:rsidRDefault="00154AAA" w:rsidP="00154AAA">
      <w:pPr>
        <w:jc w:val="both"/>
        <w:rPr>
          <w:lang w:val="de-DE"/>
        </w:rPr>
      </w:pPr>
    </w:p>
    <w:p w14:paraId="62CCCD7B" w14:textId="77777777" w:rsidR="00154AAA" w:rsidRPr="004676F5" w:rsidRDefault="00154AAA" w:rsidP="00154AAA">
      <w:pPr>
        <w:jc w:val="both"/>
        <w:rPr>
          <w:lang w:val="de-DE"/>
        </w:rPr>
      </w:pPr>
      <w:r w:rsidRPr="004676F5">
        <w:rPr>
          <w:lang w:val="de-DE"/>
        </w:rPr>
        <w:tab/>
        <w:t>Der König kann auf Stellungnahme der FSMA genauere oder weitere Vergleichskriterien in Bezug auf das von einem Zahlungsdienstleister angebotene Serviceniveau auferlegen.</w:t>
      </w:r>
    </w:p>
    <w:p w14:paraId="65F3CE09" w14:textId="77777777" w:rsidR="00154AAA" w:rsidRPr="004676F5" w:rsidRDefault="00154AAA" w:rsidP="00154AAA">
      <w:pPr>
        <w:jc w:val="both"/>
        <w:rPr>
          <w:lang w:val="de-DE"/>
        </w:rPr>
      </w:pPr>
    </w:p>
    <w:p w14:paraId="55340DC1" w14:textId="5D83995E" w:rsidR="00154AAA" w:rsidRPr="004676F5" w:rsidRDefault="00154AAA" w:rsidP="00154AAA">
      <w:pPr>
        <w:jc w:val="both"/>
        <w:rPr>
          <w:lang w:val="de-DE"/>
        </w:rPr>
      </w:pPr>
      <w:r w:rsidRPr="004676F5">
        <w:rPr>
          <w:lang w:val="de-DE"/>
        </w:rPr>
        <w:tab/>
        <w:t>§ 3 </w:t>
      </w:r>
      <w:r w:rsidR="005B7A5C" w:rsidRPr="004676F5">
        <w:rPr>
          <w:lang w:val="de-DE"/>
        </w:rPr>
        <w:t>- </w:t>
      </w:r>
      <w:r w:rsidRPr="004676F5">
        <w:rPr>
          <w:lang w:val="de-DE"/>
        </w:rPr>
        <w:t>Die FSMA ist mit Entwicklung und Betrieb der in § 1 erwähnten Vergleichswebsite beauftragt.</w:t>
      </w:r>
    </w:p>
    <w:p w14:paraId="490080D3" w14:textId="77777777" w:rsidR="00154AAA" w:rsidRPr="004676F5" w:rsidRDefault="00154AAA" w:rsidP="00154AAA">
      <w:pPr>
        <w:jc w:val="both"/>
        <w:rPr>
          <w:lang w:val="de-DE"/>
        </w:rPr>
      </w:pPr>
    </w:p>
    <w:p w14:paraId="335B0515" w14:textId="77777777" w:rsidR="00154AAA" w:rsidRPr="004676F5" w:rsidRDefault="00154AAA" w:rsidP="00154AAA">
      <w:pPr>
        <w:jc w:val="both"/>
        <w:rPr>
          <w:lang w:val="de-DE"/>
        </w:rPr>
      </w:pPr>
      <w:r w:rsidRPr="004676F5">
        <w:rPr>
          <w:lang w:val="de-DE"/>
        </w:rPr>
        <w:tab/>
        <w:t>Zahlungsdienstleister unterstützen die FSMA mit der für die Ausübung dieses Auftrags erforderlichen Zusammenarbeit einschließlich der Erteilung korrekter und vollständiger Informationen.</w:t>
      </w:r>
    </w:p>
    <w:p w14:paraId="45DEB5B8" w14:textId="77777777" w:rsidR="00154AAA" w:rsidRPr="004676F5" w:rsidRDefault="00154AAA" w:rsidP="00154AAA">
      <w:pPr>
        <w:jc w:val="both"/>
        <w:rPr>
          <w:lang w:val="de-DE"/>
        </w:rPr>
      </w:pPr>
    </w:p>
    <w:p w14:paraId="0BEE2B70" w14:textId="77777777" w:rsidR="00154AAA" w:rsidRPr="004676F5" w:rsidRDefault="00154AAA" w:rsidP="00154AAA">
      <w:pPr>
        <w:jc w:val="both"/>
        <w:rPr>
          <w:lang w:val="de-DE"/>
        </w:rPr>
      </w:pPr>
      <w:r w:rsidRPr="004676F5">
        <w:rPr>
          <w:lang w:val="de-DE"/>
        </w:rPr>
        <w:tab/>
        <w:t>Die FSMA legt die Modalitäten dieser Zusammenarbeit in einer Verordnung fest, die gemäß Artikel 64 des Gesetzes vom 2. August 2002 über die Aufsicht über den Finanzsektor und die Finanzdienstleistungen erlassen wird.</w:t>
      </w:r>
    </w:p>
    <w:p w14:paraId="4B052820" w14:textId="77777777" w:rsidR="00154AAA" w:rsidRPr="004676F5" w:rsidRDefault="00154AAA" w:rsidP="00154AAA">
      <w:pPr>
        <w:jc w:val="both"/>
        <w:rPr>
          <w:lang w:val="de-DE"/>
        </w:rPr>
      </w:pPr>
    </w:p>
    <w:p w14:paraId="1B6B133D" w14:textId="1FE1358F" w:rsidR="00154AAA" w:rsidRPr="004676F5" w:rsidRDefault="00154AAA" w:rsidP="00154AAA">
      <w:pPr>
        <w:jc w:val="both"/>
        <w:rPr>
          <w:lang w:val="de-DE"/>
        </w:rPr>
      </w:pPr>
      <w:r w:rsidRPr="004676F5">
        <w:rPr>
          <w:lang w:val="de-DE"/>
        </w:rPr>
        <w:tab/>
        <w:t>Für die Ausübung ihres Auftrags verfügt die FSMA über die Befugnisse, die in den Artikeln 34 § 1 Nr. 1, 35 §§ 1 und 2, 36 und 36</w:t>
      </w:r>
      <w:r w:rsidRPr="004676F5">
        <w:rPr>
          <w:i/>
          <w:lang w:val="de-DE"/>
        </w:rPr>
        <w:t>bis</w:t>
      </w:r>
      <w:r w:rsidRPr="004676F5">
        <w:rPr>
          <w:lang w:val="de-DE"/>
        </w:rPr>
        <w:t xml:space="preserve"> des Gesetzes vom 2. August 2002 über die Aufsicht über den Finanzsektor und die Finanzdienstleistungen erwähnt sind. Artikel 37 desselben Gesetzes ist entsprechend anwendbar.]</w:t>
      </w:r>
    </w:p>
    <w:p w14:paraId="3BF1F93F" w14:textId="77777777" w:rsidR="00154AAA" w:rsidRPr="004676F5" w:rsidRDefault="00154AAA">
      <w:pPr>
        <w:rPr>
          <w:lang w:val="de-DE"/>
        </w:rPr>
      </w:pPr>
    </w:p>
    <w:p w14:paraId="08A82962" w14:textId="2A463A55" w:rsidR="00154AAA" w:rsidRPr="004676F5" w:rsidRDefault="00154AAA" w:rsidP="00154AAA">
      <w:pPr>
        <w:jc w:val="both"/>
        <w:rPr>
          <w:i/>
          <w:lang w:val="de-DE"/>
        </w:rPr>
      </w:pPr>
      <w:r w:rsidRPr="004676F5">
        <w:rPr>
          <w:i/>
          <w:lang w:val="de-DE"/>
        </w:rPr>
        <w:t>[Art. VII.4/4 eingefügt durch Art. 9 des G. vom 22. Dezember 2017 (B.S. vom 12. Januar 2018)]</w:t>
      </w:r>
    </w:p>
    <w:p w14:paraId="01DCEC9B" w14:textId="67156C8B" w:rsidR="00154AAA" w:rsidRPr="004676F5" w:rsidRDefault="00154AAA">
      <w:pPr>
        <w:rPr>
          <w:lang w:val="de-DE"/>
        </w:rPr>
      </w:pPr>
      <w:r w:rsidRPr="004676F5">
        <w:rPr>
          <w:lang w:val="de-DE"/>
        </w:rPr>
        <w:br w:type="page"/>
      </w:r>
    </w:p>
    <w:p w14:paraId="138231CC" w14:textId="3116748E" w:rsidR="00DA3F26" w:rsidRPr="004676F5" w:rsidRDefault="00881814" w:rsidP="00DA3F26">
      <w:pPr>
        <w:ind w:firstLine="708"/>
        <w:jc w:val="center"/>
        <w:rPr>
          <w:lang w:val="de-DE"/>
        </w:rPr>
      </w:pPr>
      <w:r w:rsidRPr="004676F5">
        <w:rPr>
          <w:lang w:val="de-DE"/>
        </w:rPr>
        <w:lastRenderedPageBreak/>
        <w:t>KAPITEL 2 </w:t>
      </w:r>
      <w:r w:rsidR="005B7A5C" w:rsidRPr="004676F5">
        <w:rPr>
          <w:lang w:val="de-DE"/>
        </w:rPr>
        <w:t>- </w:t>
      </w:r>
      <w:r w:rsidR="00DA3F26" w:rsidRPr="004676F5">
        <w:rPr>
          <w:lang w:val="de-DE"/>
        </w:rPr>
        <w:t>[</w:t>
      </w:r>
      <w:r w:rsidR="00DA3F26" w:rsidRPr="004676F5">
        <w:rPr>
          <w:i/>
          <w:lang w:val="de-DE"/>
        </w:rPr>
        <w:t>Informationen und Vertragsbedingungen, die für Zahlungsvorgänge und Rahmenverträge gelten</w:t>
      </w:r>
    </w:p>
    <w:p w14:paraId="04BD12F7" w14:textId="7D1E8E6D" w:rsidR="00DA3F26" w:rsidRPr="004676F5" w:rsidRDefault="00DA3F26" w:rsidP="00DA3F26">
      <w:pPr>
        <w:ind w:firstLine="708"/>
        <w:rPr>
          <w:lang w:val="de-DE"/>
        </w:rPr>
      </w:pPr>
    </w:p>
    <w:p w14:paraId="4510DFBC" w14:textId="32E3EC9F" w:rsidR="00AD3AA9" w:rsidRPr="004676F5" w:rsidRDefault="00AD3AA9" w:rsidP="00AD3AA9">
      <w:pPr>
        <w:jc w:val="both"/>
        <w:rPr>
          <w:i/>
          <w:lang w:val="de-DE"/>
        </w:rPr>
      </w:pPr>
      <w:r w:rsidRPr="004676F5">
        <w:rPr>
          <w:i/>
          <w:lang w:val="de-DE"/>
        </w:rPr>
        <w:t>[Kapitel 2 mit den Artikeln VII.5 bis VII.56 ersetzt durch Art. 10 des G. vom 19. Juli 2018 (B.S. vom 30. Juli 2018)]</w:t>
      </w:r>
    </w:p>
    <w:p w14:paraId="184AF492" w14:textId="7341F996" w:rsidR="00AD3AA9" w:rsidRPr="004676F5" w:rsidRDefault="00AD3AA9" w:rsidP="00AD3AA9">
      <w:pPr>
        <w:rPr>
          <w:i/>
          <w:lang w:val="de-DE"/>
        </w:rPr>
      </w:pPr>
    </w:p>
    <w:p w14:paraId="6039C30A" w14:textId="77777777" w:rsidR="00DA3F26" w:rsidRPr="004676F5" w:rsidRDefault="00DA3F26" w:rsidP="00DA3F26">
      <w:pPr>
        <w:ind w:firstLine="708"/>
        <w:rPr>
          <w:lang w:val="de-DE"/>
        </w:rPr>
      </w:pPr>
    </w:p>
    <w:p w14:paraId="648D3584" w14:textId="2F04F6EC" w:rsidR="00DA3F26" w:rsidRPr="004676F5" w:rsidRDefault="00DA3F26" w:rsidP="00DA3F26">
      <w:pPr>
        <w:jc w:val="center"/>
        <w:rPr>
          <w:lang w:val="de-DE"/>
        </w:rPr>
      </w:pPr>
      <w:r w:rsidRPr="004676F5">
        <w:rPr>
          <w:i/>
          <w:lang w:val="de-DE"/>
        </w:rPr>
        <w:t>Abschnitt 1 </w:t>
      </w:r>
      <w:r w:rsidR="005B7A5C" w:rsidRPr="004676F5">
        <w:rPr>
          <w:i/>
          <w:lang w:val="de-DE"/>
        </w:rPr>
        <w:t>- </w:t>
      </w:r>
      <w:r w:rsidRPr="004676F5">
        <w:rPr>
          <w:lang w:val="de-DE"/>
        </w:rPr>
        <w:t>Allgemeine Vorschriften</w:t>
      </w:r>
    </w:p>
    <w:p w14:paraId="184AF41A" w14:textId="22FC2F46" w:rsidR="00DA3F26" w:rsidRPr="004676F5" w:rsidRDefault="00DA3F26" w:rsidP="00DA3F26">
      <w:pPr>
        <w:jc w:val="both"/>
        <w:rPr>
          <w:lang w:val="de-DE"/>
        </w:rPr>
      </w:pPr>
    </w:p>
    <w:p w14:paraId="3FAE65B3" w14:textId="77777777" w:rsidR="00DA3F26" w:rsidRPr="004676F5" w:rsidRDefault="00DA3F26" w:rsidP="00DA3F26">
      <w:pPr>
        <w:jc w:val="both"/>
        <w:rPr>
          <w:lang w:val="de-DE"/>
        </w:rPr>
      </w:pPr>
    </w:p>
    <w:p w14:paraId="0E83598C" w14:textId="3F267EAC" w:rsidR="00DA3F26" w:rsidRPr="004676F5" w:rsidRDefault="00DA3F26" w:rsidP="00DA3F26">
      <w:pPr>
        <w:ind w:firstLine="708"/>
        <w:jc w:val="both"/>
        <w:rPr>
          <w:lang w:val="de-DE"/>
        </w:rPr>
      </w:pPr>
      <w:r w:rsidRPr="004676F5">
        <w:rPr>
          <w:b/>
          <w:lang w:val="de-DE"/>
        </w:rPr>
        <w:t>Art. VII.5</w:t>
      </w:r>
      <w:r w:rsidRPr="004676F5">
        <w:rPr>
          <w:lang w:val="de-DE"/>
        </w:rPr>
        <w:t> </w:t>
      </w:r>
      <w:r w:rsidR="005B7A5C" w:rsidRPr="004676F5">
        <w:rPr>
          <w:lang w:val="de-DE"/>
        </w:rPr>
        <w:t>- </w:t>
      </w:r>
      <w:r w:rsidRPr="004676F5">
        <w:rPr>
          <w:lang w:val="de-DE"/>
        </w:rPr>
        <w:t>Die Parteien können vereinbaren, dass die Bestimmungen des vorliegenden Kapitels insgesamt oder teilweise keine Anwendung findet, wenn es sich bei dem Zahlungsdienstnutzer nicht um einen Verbraucher handelt.</w:t>
      </w:r>
    </w:p>
    <w:p w14:paraId="600F0A01" w14:textId="77777777" w:rsidR="00DA3F26" w:rsidRPr="004676F5" w:rsidRDefault="00DA3F26" w:rsidP="00DA3F26">
      <w:pPr>
        <w:ind w:firstLine="708"/>
        <w:jc w:val="both"/>
        <w:rPr>
          <w:lang w:val="de-DE"/>
        </w:rPr>
      </w:pPr>
    </w:p>
    <w:p w14:paraId="3BFFA068" w14:textId="77777777" w:rsidR="00DA3F26" w:rsidRPr="004676F5" w:rsidRDefault="00DA3F26" w:rsidP="00DA3F26">
      <w:pPr>
        <w:ind w:firstLine="708"/>
        <w:jc w:val="both"/>
        <w:rPr>
          <w:lang w:val="de-DE"/>
        </w:rPr>
      </w:pPr>
      <w:r w:rsidRPr="004676F5">
        <w:rPr>
          <w:lang w:val="de-DE"/>
        </w:rPr>
        <w:t>Vorliegendes Kapitel gilt für Einzelzahlungen, Rahmenverträge und damit zusammenhängende Vorgänge.</w:t>
      </w:r>
    </w:p>
    <w:p w14:paraId="58B979AA" w14:textId="75EEB2B7" w:rsidR="00DA3F26" w:rsidRPr="004676F5" w:rsidRDefault="00DA3F26" w:rsidP="00DA3F26">
      <w:pPr>
        <w:ind w:firstLine="708"/>
        <w:jc w:val="both"/>
        <w:rPr>
          <w:lang w:val="de-DE"/>
        </w:rPr>
      </w:pPr>
    </w:p>
    <w:p w14:paraId="614B1A94" w14:textId="77777777" w:rsidR="00DA3F26" w:rsidRPr="004676F5" w:rsidRDefault="00DA3F26" w:rsidP="00DA3F26">
      <w:pPr>
        <w:ind w:firstLine="708"/>
        <w:jc w:val="both"/>
        <w:rPr>
          <w:lang w:val="de-DE"/>
        </w:rPr>
      </w:pPr>
    </w:p>
    <w:p w14:paraId="5E7D5E53" w14:textId="385F35F6" w:rsidR="00DA3F26" w:rsidRPr="004676F5" w:rsidRDefault="00DA3F26" w:rsidP="00DA3F26">
      <w:pPr>
        <w:ind w:firstLine="708"/>
        <w:jc w:val="both"/>
        <w:rPr>
          <w:lang w:val="de-DE"/>
        </w:rPr>
      </w:pPr>
      <w:r w:rsidRPr="004676F5">
        <w:rPr>
          <w:b/>
          <w:lang w:val="de-DE"/>
        </w:rPr>
        <w:t>Art. VII.6</w:t>
      </w:r>
      <w:r w:rsidRPr="004676F5">
        <w:rPr>
          <w:lang w:val="de-DE"/>
        </w:rPr>
        <w:t> </w:t>
      </w:r>
      <w:r w:rsidR="005B7A5C" w:rsidRPr="004676F5">
        <w:rPr>
          <w:lang w:val="de-DE"/>
        </w:rPr>
        <w:t>- </w:t>
      </w:r>
      <w:r w:rsidRPr="004676F5">
        <w:rPr>
          <w:lang w:val="de-DE"/>
        </w:rPr>
        <w:t>Wird ein Zahlungsdienstvertrag im Fernabsatz geschlossen, ersetzen die in den Artikeln VII.14, VII.15, VII.21 und VII.22 erwähnten Informationen die in Artikel VI.55 § 1 des Wirtschaftsgesetzbuches erwähnten Informationen, Nr. 2 Buchstabe </w:t>
      </w:r>
      <w:r w:rsidRPr="004676F5">
        <w:rPr>
          <w:i/>
          <w:lang w:val="de-DE"/>
        </w:rPr>
        <w:t>c)</w:t>
      </w:r>
      <w:r w:rsidRPr="004676F5">
        <w:rPr>
          <w:lang w:val="de-DE"/>
        </w:rPr>
        <w:t xml:space="preserve"> bis </w:t>
      </w:r>
      <w:r w:rsidRPr="004676F5">
        <w:rPr>
          <w:i/>
          <w:lang w:val="de-DE"/>
        </w:rPr>
        <w:t>g)</w:t>
      </w:r>
      <w:r w:rsidRPr="004676F5">
        <w:rPr>
          <w:lang w:val="de-DE"/>
        </w:rPr>
        <w:t>, Nr. 3 Buchstabe </w:t>
      </w:r>
      <w:r w:rsidRPr="004676F5">
        <w:rPr>
          <w:i/>
          <w:lang w:val="de-DE"/>
        </w:rPr>
        <w:t>a)</w:t>
      </w:r>
      <w:r w:rsidRPr="004676F5">
        <w:rPr>
          <w:lang w:val="de-DE"/>
        </w:rPr>
        <w:t xml:space="preserve">, </w:t>
      </w:r>
      <w:r w:rsidRPr="004676F5">
        <w:rPr>
          <w:i/>
          <w:lang w:val="de-DE"/>
        </w:rPr>
        <w:t>d)</w:t>
      </w:r>
      <w:r w:rsidRPr="004676F5">
        <w:rPr>
          <w:lang w:val="de-DE"/>
        </w:rPr>
        <w:t xml:space="preserve"> und </w:t>
      </w:r>
      <w:r w:rsidRPr="004676F5">
        <w:rPr>
          <w:i/>
          <w:lang w:val="de-DE"/>
        </w:rPr>
        <w:t>e)</w:t>
      </w:r>
      <w:r w:rsidRPr="004676F5">
        <w:rPr>
          <w:lang w:val="de-DE"/>
        </w:rPr>
        <w:t xml:space="preserve"> und Nr. 4 Buchstabe </w:t>
      </w:r>
      <w:r w:rsidRPr="004676F5">
        <w:rPr>
          <w:i/>
          <w:lang w:val="de-DE"/>
        </w:rPr>
        <w:t>b)</w:t>
      </w:r>
      <w:r w:rsidRPr="004676F5">
        <w:rPr>
          <w:lang w:val="de-DE"/>
        </w:rPr>
        <w:t xml:space="preserve"> ausgenommen.</w:t>
      </w:r>
    </w:p>
    <w:p w14:paraId="0A9881C1" w14:textId="19478299" w:rsidR="00DA3F26" w:rsidRPr="004676F5" w:rsidRDefault="00DA3F26" w:rsidP="00DA3F26">
      <w:pPr>
        <w:ind w:firstLine="708"/>
        <w:jc w:val="both"/>
        <w:rPr>
          <w:lang w:val="de-DE"/>
        </w:rPr>
      </w:pPr>
    </w:p>
    <w:p w14:paraId="6769F176" w14:textId="77777777" w:rsidR="00DA3F26" w:rsidRPr="004676F5" w:rsidRDefault="00DA3F26" w:rsidP="00DA3F26">
      <w:pPr>
        <w:ind w:firstLine="708"/>
        <w:jc w:val="both"/>
        <w:rPr>
          <w:lang w:val="de-DE"/>
        </w:rPr>
      </w:pPr>
    </w:p>
    <w:p w14:paraId="17B6764C" w14:textId="604BE935" w:rsidR="00DA3F26" w:rsidRPr="004676F5" w:rsidRDefault="00DA3F26" w:rsidP="00DA3F26">
      <w:pPr>
        <w:ind w:firstLine="708"/>
        <w:jc w:val="both"/>
        <w:rPr>
          <w:lang w:val="de-DE"/>
        </w:rPr>
      </w:pPr>
      <w:r w:rsidRPr="004676F5">
        <w:rPr>
          <w:b/>
          <w:lang w:val="de-DE"/>
        </w:rPr>
        <w:t>Art. VII.7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Zahlungsdienstleister darf dem Zahlungsdienstnutzer die Bereitstellung von Informationen nach vorliegendem Kapitel nicht in Rechnung stellen.</w:t>
      </w:r>
    </w:p>
    <w:p w14:paraId="4DE50964" w14:textId="77777777" w:rsidR="00DA3F26" w:rsidRPr="004676F5" w:rsidRDefault="00DA3F26" w:rsidP="00DA3F26">
      <w:pPr>
        <w:ind w:firstLine="708"/>
        <w:jc w:val="both"/>
        <w:rPr>
          <w:lang w:val="de-DE"/>
        </w:rPr>
      </w:pPr>
    </w:p>
    <w:p w14:paraId="66A61B9D" w14:textId="061FB1BB"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Der Zahlungsdienstleister und der Zahlungsdienstnutzer können Entgelte für darüber hinausgehende Informationen oder für deren häufigere Bereitstellung oder für ihre Übermittlung über andere als die im Rahmenvertrag vorgesehenen Kommunikationsmittel vereinbaren, sofern die betreffenden Leistungen auf Verlangen des Zahlungsdienstnutzers erbracht werden.</w:t>
      </w:r>
    </w:p>
    <w:p w14:paraId="0D7E5185" w14:textId="77777777" w:rsidR="00DA3F26" w:rsidRPr="004676F5" w:rsidRDefault="00DA3F26" w:rsidP="00DA3F26">
      <w:pPr>
        <w:ind w:firstLine="708"/>
        <w:jc w:val="both"/>
        <w:rPr>
          <w:lang w:val="de-DE"/>
        </w:rPr>
      </w:pPr>
    </w:p>
    <w:p w14:paraId="420A1BFB" w14:textId="77777777" w:rsidR="00DA3F26" w:rsidRPr="004676F5" w:rsidRDefault="00DA3F26" w:rsidP="00DA3F26">
      <w:pPr>
        <w:ind w:firstLine="708"/>
        <w:jc w:val="both"/>
        <w:rPr>
          <w:lang w:val="de-DE"/>
        </w:rPr>
      </w:pPr>
      <w:r w:rsidRPr="004676F5">
        <w:rPr>
          <w:lang w:val="de-DE"/>
        </w:rPr>
        <w:t>Darf ein Zahlungsdienstleister nach dem vorhergehenden Absatz ein Entgelt in Rechnung stellen, so muss es angemessen und an den tatsächlichen Kosten des Zahlungsdienst</w:t>
      </w:r>
      <w:r w:rsidRPr="004676F5">
        <w:rPr>
          <w:lang w:val="de-DE"/>
        </w:rPr>
        <w:softHyphen/>
        <w:t>leisters ausgerichtet sein.</w:t>
      </w:r>
    </w:p>
    <w:p w14:paraId="18E03CA9" w14:textId="66611973" w:rsidR="00DA3F26" w:rsidRPr="004676F5" w:rsidRDefault="00DA3F26" w:rsidP="00DA3F26">
      <w:pPr>
        <w:jc w:val="both"/>
        <w:rPr>
          <w:lang w:val="de-DE"/>
        </w:rPr>
      </w:pPr>
    </w:p>
    <w:p w14:paraId="361A4BF6" w14:textId="77777777" w:rsidR="00DA3F26" w:rsidRPr="004676F5" w:rsidRDefault="00DA3F26" w:rsidP="00DA3F26">
      <w:pPr>
        <w:jc w:val="both"/>
        <w:rPr>
          <w:lang w:val="de-DE"/>
        </w:rPr>
      </w:pPr>
    </w:p>
    <w:p w14:paraId="6D83D604" w14:textId="46B929A7" w:rsidR="00DA3F26" w:rsidRPr="004676F5" w:rsidRDefault="00DA3F26" w:rsidP="00DA3F26">
      <w:pPr>
        <w:ind w:firstLine="708"/>
        <w:jc w:val="both"/>
        <w:rPr>
          <w:lang w:val="de-DE"/>
        </w:rPr>
      </w:pPr>
      <w:r w:rsidRPr="004676F5">
        <w:rPr>
          <w:b/>
          <w:lang w:val="de-DE"/>
        </w:rPr>
        <w:t>Art. VII.8</w:t>
      </w:r>
      <w:r w:rsidRPr="004676F5">
        <w:rPr>
          <w:lang w:val="de-DE"/>
        </w:rPr>
        <w:t> </w:t>
      </w:r>
      <w:r w:rsidR="005B7A5C" w:rsidRPr="004676F5">
        <w:rPr>
          <w:lang w:val="de-DE"/>
        </w:rPr>
        <w:t>- </w:t>
      </w:r>
      <w:r w:rsidRPr="004676F5">
        <w:rPr>
          <w:lang w:val="de-DE"/>
        </w:rPr>
        <w:t>Die Beweislast für die Erfüllung der in vorliegendem Kapitel erwähnten Anforderungen über die Bereitstellung von Informationen liegt beim Zahlungsdienstleister.</w:t>
      </w:r>
    </w:p>
    <w:p w14:paraId="75B64140" w14:textId="29E0E786" w:rsidR="00DA3F26" w:rsidRPr="004676F5" w:rsidRDefault="00DA3F26" w:rsidP="00DA3F26">
      <w:pPr>
        <w:ind w:firstLine="708"/>
        <w:jc w:val="both"/>
        <w:rPr>
          <w:lang w:val="de-DE"/>
        </w:rPr>
      </w:pPr>
    </w:p>
    <w:p w14:paraId="341EBA46" w14:textId="77777777" w:rsidR="00DA3F26" w:rsidRPr="004676F5" w:rsidRDefault="00DA3F26" w:rsidP="00DA3F26">
      <w:pPr>
        <w:ind w:firstLine="708"/>
        <w:jc w:val="both"/>
        <w:rPr>
          <w:lang w:val="de-DE"/>
        </w:rPr>
      </w:pPr>
    </w:p>
    <w:p w14:paraId="6BF2205F" w14:textId="23C10939" w:rsidR="00DA3F26" w:rsidRPr="004676F5" w:rsidRDefault="00DA3F26" w:rsidP="00DA3F26">
      <w:pPr>
        <w:ind w:firstLine="708"/>
        <w:jc w:val="both"/>
        <w:rPr>
          <w:lang w:val="de-DE"/>
        </w:rPr>
      </w:pPr>
      <w:r w:rsidRPr="004676F5">
        <w:rPr>
          <w:b/>
          <w:lang w:val="de-DE"/>
        </w:rPr>
        <w:t>Art. VII.9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Im Fall von Zahlungsinstrumenten, die gemäß dem entsprechenden Rahmenvertrag nur einzelne Zahlungsvorgänge bis höchstens 30 EUR betreffen oder die entweder eine Ausgabenobergrenze von 150 EUR haben oder Geldbeträge speichern, die zu keiner Zeit 150 EUR übersteigen, gilt vorliegendes Kapitel in nachfolgend beschriebenem Maße:</w:t>
      </w:r>
    </w:p>
    <w:p w14:paraId="42D0BA8C" w14:textId="77777777" w:rsidR="00DA3F26" w:rsidRPr="004676F5" w:rsidRDefault="00DA3F26" w:rsidP="00DA3F26">
      <w:pPr>
        <w:ind w:firstLine="708"/>
        <w:jc w:val="both"/>
        <w:rPr>
          <w:lang w:val="de-DE"/>
        </w:rPr>
      </w:pPr>
    </w:p>
    <w:p w14:paraId="5C916533" w14:textId="77777777" w:rsidR="00DA3F26" w:rsidRPr="004676F5" w:rsidRDefault="00DA3F26" w:rsidP="00DA3F26">
      <w:pPr>
        <w:ind w:firstLine="708"/>
        <w:jc w:val="both"/>
        <w:rPr>
          <w:lang w:val="de-DE"/>
        </w:rPr>
      </w:pPr>
      <w:r w:rsidRPr="004676F5">
        <w:rPr>
          <w:lang w:val="de-DE"/>
        </w:rPr>
        <w:t xml:space="preserve">1. Der Zahlungsdienstleister teilt dem Zahler abweichend von den Artikeln VII.21, VII.22 und VII.26 nur die wesentlichen Merkmale des Zahlungsdienstes, einschließlich der Nutzungsmöglichkeiten des Zahlungsinstruments, Haftungshinweise sowie anfallende Entgelte und andere wesentliche Informationen mit, die notwendig sind, um in Kenntnis der Sachlage </w:t>
      </w:r>
      <w:r w:rsidRPr="004676F5">
        <w:rPr>
          <w:lang w:val="de-DE"/>
        </w:rPr>
        <w:lastRenderedPageBreak/>
        <w:t>entscheiden zu können; ferner gibt er an, wo die weiteren nach Artikel VII.22 vorgeschriebenen Informationen und Vertragsbedingungen in leicht zugänglicher Form verfügbar sind.</w:t>
      </w:r>
    </w:p>
    <w:p w14:paraId="50E43549" w14:textId="77777777" w:rsidR="00DA3F26" w:rsidRPr="004676F5" w:rsidRDefault="00DA3F26" w:rsidP="00DA3F26">
      <w:pPr>
        <w:ind w:firstLine="708"/>
        <w:jc w:val="both"/>
        <w:rPr>
          <w:lang w:val="de-DE"/>
        </w:rPr>
      </w:pPr>
    </w:p>
    <w:p w14:paraId="5DDD109A" w14:textId="77777777" w:rsidR="00DA3F26" w:rsidRPr="004676F5" w:rsidRDefault="00DA3F26" w:rsidP="00DA3F26">
      <w:pPr>
        <w:ind w:firstLine="708"/>
        <w:jc w:val="both"/>
        <w:rPr>
          <w:lang w:val="de-DE"/>
        </w:rPr>
      </w:pPr>
      <w:r w:rsidRPr="004676F5">
        <w:rPr>
          <w:lang w:val="de-DE"/>
        </w:rPr>
        <w:t>2. Es kann vereinbart werden, dass der Zahlungsdienstleister abweichend von Artikel VII.24 Änderungen der Bedingungen des Rahmenvertrags nicht in der in Artikel VII.21 § 1 vorgesehenen Weise vorschlagen muss.</w:t>
      </w:r>
    </w:p>
    <w:p w14:paraId="04D2D10B" w14:textId="77777777" w:rsidR="00DA3F26" w:rsidRPr="004676F5" w:rsidRDefault="00DA3F26" w:rsidP="00DA3F26">
      <w:pPr>
        <w:ind w:firstLine="708"/>
        <w:jc w:val="both"/>
        <w:rPr>
          <w:lang w:val="de-DE"/>
        </w:rPr>
      </w:pPr>
    </w:p>
    <w:p w14:paraId="26AA5875" w14:textId="77777777" w:rsidR="00DA3F26" w:rsidRPr="004676F5" w:rsidRDefault="00DA3F26" w:rsidP="00DA3F26">
      <w:pPr>
        <w:ind w:firstLine="708"/>
        <w:jc w:val="both"/>
        <w:rPr>
          <w:lang w:val="de-DE"/>
        </w:rPr>
      </w:pPr>
      <w:r w:rsidRPr="004676F5">
        <w:rPr>
          <w:lang w:val="de-DE"/>
        </w:rPr>
        <w:t>3. Es kann abweichend von den Artikeln VII.27 und VII.28 vereinbart werden, dass der Zahlungsdienstleister nach Ausführung eines Zahlungsvorgangs:</w:t>
      </w:r>
    </w:p>
    <w:p w14:paraId="70104297" w14:textId="77777777" w:rsidR="00DA3F26" w:rsidRPr="004676F5" w:rsidRDefault="00DA3F26" w:rsidP="00DA3F26">
      <w:pPr>
        <w:ind w:firstLine="708"/>
        <w:jc w:val="both"/>
        <w:rPr>
          <w:lang w:val="de-DE"/>
        </w:rPr>
      </w:pPr>
    </w:p>
    <w:p w14:paraId="3AD77CA3" w14:textId="77777777" w:rsidR="00DA3F26" w:rsidRPr="004676F5" w:rsidRDefault="00DA3F26" w:rsidP="00DA3F26">
      <w:pPr>
        <w:ind w:firstLine="708"/>
        <w:jc w:val="both"/>
        <w:rPr>
          <w:lang w:val="de-DE"/>
        </w:rPr>
      </w:pPr>
      <w:r w:rsidRPr="004676F5">
        <w:rPr>
          <w:i/>
          <w:lang w:val="de-DE"/>
        </w:rPr>
        <w:t>a)</w:t>
      </w:r>
      <w:r w:rsidRPr="004676F5">
        <w:rPr>
          <w:lang w:val="de-DE"/>
        </w:rPr>
        <w:t> dem Zahlungsdienstnutzer nur eine Referenz mitteilt oder zugänglich macht, die diesem die Identifizierung des betreffenden Zahlungsvorgangs, des Betrags des Zahlungs</w:t>
      </w:r>
      <w:r w:rsidRPr="004676F5">
        <w:rPr>
          <w:lang w:val="de-DE"/>
        </w:rPr>
        <w:softHyphen/>
        <w:t>vorgangs und der entsprechenden Entgelte ermöglicht, und/oder im Fall mehrerer gleichartiger Zahlungsvorgänge an den gleichen Zahlungsempfänger nur Informationen über den Gesamtbetrag und die entsprechenden Entgelte für diese Zahlungsvorgänge bereitstellt,</w:t>
      </w:r>
    </w:p>
    <w:p w14:paraId="77D554B3" w14:textId="77777777" w:rsidR="00DA3F26" w:rsidRPr="004676F5" w:rsidRDefault="00DA3F26" w:rsidP="00DA3F26">
      <w:pPr>
        <w:ind w:firstLine="708"/>
        <w:jc w:val="both"/>
        <w:rPr>
          <w:lang w:val="de-DE"/>
        </w:rPr>
      </w:pPr>
    </w:p>
    <w:p w14:paraId="4E1F4EE9" w14:textId="77777777" w:rsidR="00DA3F26" w:rsidRPr="004676F5" w:rsidRDefault="00DA3F26" w:rsidP="00DA3F26">
      <w:pPr>
        <w:ind w:firstLine="708"/>
        <w:jc w:val="both"/>
        <w:rPr>
          <w:lang w:val="de-DE"/>
        </w:rPr>
      </w:pPr>
      <w:r w:rsidRPr="004676F5">
        <w:rPr>
          <w:i/>
          <w:lang w:val="de-DE"/>
        </w:rPr>
        <w:t>b) </w:t>
      </w:r>
      <w:r w:rsidRPr="004676F5">
        <w:rPr>
          <w:lang w:val="de-DE"/>
        </w:rPr>
        <w:t>die in Buchstabe </w:t>
      </w:r>
      <w:r w:rsidRPr="004676F5">
        <w:rPr>
          <w:i/>
          <w:lang w:val="de-DE"/>
        </w:rPr>
        <w:t>a)</w:t>
      </w:r>
      <w:r w:rsidRPr="004676F5">
        <w:rPr>
          <w:lang w:val="de-DE"/>
        </w:rPr>
        <w:t xml:space="preserve"> genannten Informationen nicht mitteilt beziehungsweise zugänglich macht, wenn das Zahlungsinstrument anonym genutzt wird oder der Zahlungs</w:t>
      </w:r>
      <w:r w:rsidRPr="004676F5">
        <w:rPr>
          <w:lang w:val="de-DE"/>
        </w:rPr>
        <w:softHyphen/>
        <w:t>dienstleister ansonsten technisch nicht in der Lage ist, diese Informationen mitzuteilen. Der Zahlungsdienstleister bietet dem Zahler jedoch die Möglichkeit zur Überprüfung der gespeicherten Beträge.</w:t>
      </w:r>
    </w:p>
    <w:p w14:paraId="22233276" w14:textId="77777777" w:rsidR="00DA3F26" w:rsidRPr="004676F5" w:rsidRDefault="00DA3F26" w:rsidP="00DA3F26">
      <w:pPr>
        <w:ind w:firstLine="708"/>
        <w:jc w:val="both"/>
        <w:rPr>
          <w:lang w:val="de-DE"/>
        </w:rPr>
      </w:pPr>
    </w:p>
    <w:p w14:paraId="3B53AF56" w14:textId="6BB7D43F"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Für innerstaatliche Zahlungsvorgänge kann der König durch einen im Ministerrat beratenen Erlass die in § 1 Absatz 1 genannten Beträge verringern oder verdoppeln und diese Beträge für Zahlungsinstrumente auf Guthabenbasis auf bis zu 500 EUR erhöhen.</w:t>
      </w:r>
    </w:p>
    <w:p w14:paraId="147A4140" w14:textId="19DCEAEB" w:rsidR="00DA3F26" w:rsidRPr="004676F5" w:rsidRDefault="00DA3F26" w:rsidP="00DA3F26">
      <w:pPr>
        <w:ind w:firstLine="708"/>
        <w:jc w:val="both"/>
        <w:rPr>
          <w:lang w:val="de-DE"/>
        </w:rPr>
      </w:pPr>
    </w:p>
    <w:p w14:paraId="4B2D0AE5" w14:textId="77777777" w:rsidR="00DA3F26" w:rsidRPr="004676F5" w:rsidRDefault="00DA3F26" w:rsidP="00DA3F26">
      <w:pPr>
        <w:ind w:firstLine="708"/>
        <w:jc w:val="both"/>
        <w:rPr>
          <w:lang w:val="de-DE"/>
        </w:rPr>
      </w:pPr>
    </w:p>
    <w:p w14:paraId="3125E0E9" w14:textId="1AEF3E95" w:rsidR="00DA3F26" w:rsidRPr="004676F5" w:rsidRDefault="00DA3F26" w:rsidP="00DA3F26">
      <w:pPr>
        <w:ind w:firstLine="708"/>
        <w:jc w:val="both"/>
        <w:rPr>
          <w:lang w:val="de-DE"/>
        </w:rPr>
      </w:pPr>
      <w:r w:rsidRPr="004676F5">
        <w:rPr>
          <w:b/>
          <w:lang w:val="de-DE"/>
        </w:rPr>
        <w:t>Art. VII.10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Zahlungen erfolgen in der zwischen den Parteien vereinbarten Währung.</w:t>
      </w:r>
    </w:p>
    <w:p w14:paraId="15320804" w14:textId="77777777" w:rsidR="00DA3F26" w:rsidRPr="004676F5" w:rsidRDefault="00DA3F26" w:rsidP="00DA3F26">
      <w:pPr>
        <w:ind w:firstLine="708"/>
        <w:jc w:val="both"/>
        <w:rPr>
          <w:lang w:val="de-DE"/>
        </w:rPr>
      </w:pPr>
    </w:p>
    <w:p w14:paraId="3B6A2BDD" w14:textId="336E1A82"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Wird vor Auslösung eines Zahlungsvorgangs von einem Dritten hinsichtlich des Rahmenvertrags eine Währungsumrechnung angeboten, und zwar an einem Geldautomaten, an der Verkaufsstelle oder vom Zahlungsempfänger, so muss der Anbieter dieser Währungs</w:t>
      </w:r>
      <w:r w:rsidRPr="004676F5">
        <w:rPr>
          <w:lang w:val="de-DE"/>
        </w:rPr>
        <w:softHyphen/>
        <w:t>umrechnung dem Zahler alle damit verbundenen Entgelte sowie den der Währungsumrechnung zugrunde gelegten Wechselkurs offenlegen.</w:t>
      </w:r>
    </w:p>
    <w:p w14:paraId="73218FC7" w14:textId="77777777" w:rsidR="00DA3F26" w:rsidRPr="004676F5" w:rsidRDefault="00DA3F26" w:rsidP="00DA3F26">
      <w:pPr>
        <w:ind w:firstLine="708"/>
        <w:jc w:val="both"/>
        <w:rPr>
          <w:lang w:val="de-DE"/>
        </w:rPr>
      </w:pPr>
    </w:p>
    <w:p w14:paraId="6995C4F8" w14:textId="77777777" w:rsidR="00DA3F26" w:rsidRPr="004676F5" w:rsidRDefault="00DA3F26" w:rsidP="00DA3F26">
      <w:pPr>
        <w:ind w:firstLine="708"/>
        <w:jc w:val="both"/>
        <w:rPr>
          <w:lang w:val="de-DE"/>
        </w:rPr>
      </w:pPr>
      <w:r w:rsidRPr="004676F5">
        <w:rPr>
          <w:lang w:val="de-DE"/>
        </w:rPr>
        <w:t>Die auf dieser Grundlage angebotene Währungsumrechnung bedarf der Zustimmung des Zahlers.</w:t>
      </w:r>
    </w:p>
    <w:p w14:paraId="31B24BB7" w14:textId="1A07BEA6" w:rsidR="00DA3F26" w:rsidRPr="004676F5" w:rsidRDefault="00DA3F26" w:rsidP="00DA3F26">
      <w:pPr>
        <w:ind w:firstLine="708"/>
        <w:jc w:val="both"/>
        <w:rPr>
          <w:lang w:val="de-DE"/>
        </w:rPr>
      </w:pPr>
    </w:p>
    <w:p w14:paraId="36299669" w14:textId="77777777" w:rsidR="00DA3F26" w:rsidRPr="004676F5" w:rsidRDefault="00DA3F26" w:rsidP="00DA3F26">
      <w:pPr>
        <w:ind w:firstLine="708"/>
        <w:jc w:val="both"/>
        <w:rPr>
          <w:lang w:val="de-DE"/>
        </w:rPr>
      </w:pPr>
    </w:p>
    <w:p w14:paraId="200F7B5B" w14:textId="4EF7780D" w:rsidR="00DA3F26" w:rsidRPr="004676F5" w:rsidRDefault="00DA3F26" w:rsidP="00DA3F26">
      <w:pPr>
        <w:ind w:firstLine="708"/>
        <w:jc w:val="both"/>
        <w:rPr>
          <w:lang w:val="de-DE"/>
        </w:rPr>
      </w:pPr>
      <w:r w:rsidRPr="004676F5">
        <w:rPr>
          <w:b/>
          <w:lang w:val="de-DE"/>
        </w:rPr>
        <w:t>Art. VII.11</w:t>
      </w:r>
      <w:r w:rsidRPr="004676F5">
        <w:rPr>
          <w:lang w:val="de-DE"/>
        </w:rPr>
        <w:t> </w:t>
      </w:r>
      <w:r w:rsidR="005B7A5C" w:rsidRPr="004676F5">
        <w:rPr>
          <w:lang w:val="de-DE"/>
        </w:rPr>
        <w:t>- </w:t>
      </w:r>
      <w:r w:rsidRPr="004676F5">
        <w:rPr>
          <w:lang w:val="de-DE"/>
        </w:rPr>
        <w:t>Verlangt der Zahlungsempfänger für die Nutzung eines bestimmten Zahlungsinstruments ein Entgelt oder bietet er eine Ermäßigung an, so teilt er das dem Zahler vor Auslösung des Zahlungsvorgangs mit.</w:t>
      </w:r>
    </w:p>
    <w:p w14:paraId="0CFC1DAA" w14:textId="77777777" w:rsidR="00DA3F26" w:rsidRPr="004676F5" w:rsidRDefault="00DA3F26" w:rsidP="00DA3F26">
      <w:pPr>
        <w:ind w:firstLine="708"/>
        <w:jc w:val="both"/>
        <w:rPr>
          <w:lang w:val="de-DE"/>
        </w:rPr>
      </w:pPr>
    </w:p>
    <w:p w14:paraId="3F0AC0CC" w14:textId="77777777" w:rsidR="00DA3F26" w:rsidRPr="004676F5" w:rsidRDefault="00DA3F26" w:rsidP="00DA3F26">
      <w:pPr>
        <w:ind w:firstLine="708"/>
        <w:jc w:val="both"/>
        <w:rPr>
          <w:lang w:val="de-DE"/>
        </w:rPr>
      </w:pPr>
      <w:r w:rsidRPr="004676F5">
        <w:rPr>
          <w:lang w:val="de-DE"/>
        </w:rPr>
        <w:t>Verlangt ein Zahlungsdienstleister oder eine andere an dem Zahlungsvorgang beteiligte Partei für die Nutzung eines bestimmten Zahlungsinstruments ein Entgelt, so teilt der Zahlungsdienstleister oder die andere Partei das dem Zahlungsdienstnutzer vor der Auslösung des Zahlungsvorgangs mit.</w:t>
      </w:r>
    </w:p>
    <w:p w14:paraId="1A933B3D" w14:textId="77777777" w:rsidR="00DA3F26" w:rsidRPr="004676F5" w:rsidRDefault="00DA3F26" w:rsidP="00DA3F26">
      <w:pPr>
        <w:ind w:firstLine="708"/>
        <w:jc w:val="both"/>
        <w:rPr>
          <w:lang w:val="de-DE"/>
        </w:rPr>
      </w:pPr>
    </w:p>
    <w:p w14:paraId="1D544092" w14:textId="77777777" w:rsidR="00DA3F26" w:rsidRPr="004676F5" w:rsidRDefault="00DA3F26" w:rsidP="00DA3F26">
      <w:pPr>
        <w:ind w:firstLine="708"/>
        <w:jc w:val="both"/>
        <w:rPr>
          <w:lang w:val="de-DE"/>
        </w:rPr>
      </w:pPr>
      <w:r w:rsidRPr="004676F5">
        <w:rPr>
          <w:lang w:val="de-DE"/>
        </w:rPr>
        <w:t>Der Zahler ist nur dann zur Zahlung der Entgelte nach den Absätzen 1 und 2 verpflichtet, wenn deren volle Höhe vor der Auslösung des Zahlungsvorgangs bekannt gemacht wurde.</w:t>
      </w:r>
    </w:p>
    <w:p w14:paraId="734C29E5" w14:textId="77777777" w:rsidR="00626AF8" w:rsidRPr="004676F5" w:rsidRDefault="00626AF8" w:rsidP="00DA3F26">
      <w:pPr>
        <w:ind w:firstLine="708"/>
        <w:jc w:val="both"/>
        <w:rPr>
          <w:lang w:val="de-DE"/>
        </w:rPr>
      </w:pPr>
    </w:p>
    <w:p w14:paraId="59A2CF97" w14:textId="77777777" w:rsidR="00626AF8" w:rsidRPr="004676F5" w:rsidRDefault="00626AF8" w:rsidP="00DA3F26">
      <w:pPr>
        <w:ind w:firstLine="708"/>
        <w:jc w:val="both"/>
        <w:rPr>
          <w:lang w:val="de-DE"/>
        </w:rPr>
      </w:pPr>
    </w:p>
    <w:p w14:paraId="0C9D6D43" w14:textId="5ED20CEC" w:rsidR="00626AF8" w:rsidRPr="004676F5" w:rsidRDefault="00626AF8" w:rsidP="00626AF8">
      <w:pPr>
        <w:ind w:firstLine="708"/>
        <w:jc w:val="both"/>
        <w:rPr>
          <w:lang w:val="de-DE"/>
        </w:rPr>
      </w:pPr>
      <w:r w:rsidRPr="004676F5">
        <w:rPr>
          <w:lang w:val="de-DE"/>
        </w:rPr>
        <w:t>[</w:t>
      </w:r>
      <w:r w:rsidRPr="004676F5">
        <w:rPr>
          <w:b/>
          <w:bCs/>
          <w:lang w:val="de-DE"/>
        </w:rPr>
        <w:t>Art. VII.11/1</w:t>
      </w:r>
      <w:r w:rsidRPr="004676F5">
        <w:rPr>
          <w:lang w:val="de-DE"/>
        </w:rPr>
        <w:t> </w:t>
      </w:r>
      <w:r w:rsidR="005B7A5C" w:rsidRPr="004676F5">
        <w:rPr>
          <w:lang w:val="de-DE"/>
        </w:rPr>
        <w:t>- </w:t>
      </w:r>
      <w:r w:rsidRPr="004676F5">
        <w:rPr>
          <w:lang w:val="de-DE"/>
        </w:rPr>
        <w:t>Zahlungsdienstleister stellen sicher, dass das elektronische Merkblatt der Europäischen Kommission "Ihre Rechte bei europaweiten Zahlungen" leicht und kostenlos zugänglich ist:</w:t>
      </w:r>
    </w:p>
    <w:p w14:paraId="0E756295" w14:textId="77777777" w:rsidR="00626AF8" w:rsidRPr="004676F5" w:rsidRDefault="00626AF8" w:rsidP="00626AF8">
      <w:pPr>
        <w:jc w:val="both"/>
        <w:rPr>
          <w:lang w:val="de-DE"/>
        </w:rPr>
      </w:pPr>
    </w:p>
    <w:p w14:paraId="4853AD4B" w14:textId="1E6456E5" w:rsidR="00626AF8" w:rsidRPr="004676F5" w:rsidRDefault="00626AF8" w:rsidP="00626AF8">
      <w:pPr>
        <w:jc w:val="both"/>
        <w:rPr>
          <w:lang w:val="de-DE"/>
        </w:rPr>
      </w:pPr>
      <w:r w:rsidRPr="004676F5">
        <w:rPr>
          <w:lang w:val="de-DE"/>
        </w:rPr>
        <w:tab/>
      </w:r>
      <w:r w:rsidR="005B7A5C" w:rsidRPr="004676F5">
        <w:rPr>
          <w:lang w:val="de-DE"/>
        </w:rPr>
        <w:t>- </w:t>
      </w:r>
      <w:r w:rsidRPr="004676F5">
        <w:rPr>
          <w:lang w:val="de-DE"/>
        </w:rPr>
        <w:t>auf der Website der Zahlungsdienstleister, sofern vorhanden, und</w:t>
      </w:r>
    </w:p>
    <w:p w14:paraId="4D2BF4CE" w14:textId="77777777" w:rsidR="00626AF8" w:rsidRPr="004676F5" w:rsidRDefault="00626AF8" w:rsidP="00626AF8">
      <w:pPr>
        <w:jc w:val="both"/>
        <w:rPr>
          <w:lang w:val="de-DE"/>
        </w:rPr>
      </w:pPr>
    </w:p>
    <w:p w14:paraId="2A5B6585" w14:textId="122C33DF" w:rsidR="00626AF8" w:rsidRPr="004676F5" w:rsidRDefault="00626AF8" w:rsidP="00626AF8">
      <w:pPr>
        <w:jc w:val="both"/>
        <w:rPr>
          <w:lang w:val="de-DE"/>
        </w:rPr>
      </w:pPr>
      <w:r w:rsidRPr="004676F5">
        <w:rPr>
          <w:lang w:val="de-DE"/>
        </w:rPr>
        <w:tab/>
      </w:r>
      <w:r w:rsidR="005B7A5C" w:rsidRPr="004676F5">
        <w:rPr>
          <w:lang w:val="de-DE"/>
        </w:rPr>
        <w:t>- </w:t>
      </w:r>
      <w:r w:rsidRPr="004676F5">
        <w:rPr>
          <w:lang w:val="de-DE"/>
        </w:rPr>
        <w:t>in Papierform in den Zweigniederlassungen und bei den Agenten der Zahlungsdienstleister und bei den Stellen, an die sie ihre Tätigkeiten ausgelagert haben.</w:t>
      </w:r>
    </w:p>
    <w:p w14:paraId="0F525B43" w14:textId="77777777" w:rsidR="00626AF8" w:rsidRPr="004676F5" w:rsidRDefault="00626AF8" w:rsidP="00626AF8">
      <w:pPr>
        <w:jc w:val="both"/>
        <w:rPr>
          <w:lang w:val="de-DE"/>
        </w:rPr>
      </w:pPr>
    </w:p>
    <w:p w14:paraId="6583D8CD" w14:textId="2F883514" w:rsidR="00626AF8" w:rsidRPr="004676F5" w:rsidRDefault="00626AF8" w:rsidP="00626AF8">
      <w:pPr>
        <w:jc w:val="both"/>
        <w:rPr>
          <w:lang w:val="de-DE"/>
        </w:rPr>
      </w:pPr>
      <w:r w:rsidRPr="004676F5">
        <w:rPr>
          <w:lang w:val="de-DE"/>
        </w:rPr>
        <w:tab/>
        <w:t>Auf Menschen mit Behinderungen werden die Bestimmungen des vorliegenden Artikels durch den Einsatz geeigneter alternativer Mittel angewandt, die es ermöglichen, ihnen die Informationen in einem zugänglichen Format zugänglich zu machen.]</w:t>
      </w:r>
    </w:p>
    <w:p w14:paraId="317824E5" w14:textId="77777777" w:rsidR="00626AF8" w:rsidRPr="004676F5" w:rsidRDefault="00626AF8" w:rsidP="00626AF8">
      <w:pPr>
        <w:jc w:val="both"/>
        <w:rPr>
          <w:lang w:val="de-DE"/>
        </w:rPr>
      </w:pPr>
    </w:p>
    <w:p w14:paraId="5DC37262" w14:textId="18093610" w:rsidR="00626AF8" w:rsidRPr="004676F5" w:rsidRDefault="00626AF8" w:rsidP="00626AF8">
      <w:pPr>
        <w:jc w:val="both"/>
        <w:rPr>
          <w:i/>
          <w:iCs/>
          <w:lang w:val="de-DE"/>
        </w:rPr>
      </w:pPr>
      <w:r w:rsidRPr="004676F5">
        <w:rPr>
          <w:i/>
          <w:iCs/>
          <w:lang w:val="de-DE"/>
        </w:rPr>
        <w:t>[Art. VII.11/1 eingefügt durch Art. 9</w:t>
      </w:r>
      <w:r w:rsidRPr="004676F5">
        <w:rPr>
          <w:rFonts w:eastAsia="Calibri"/>
          <w:i/>
          <w:iCs/>
          <w:kern w:val="2"/>
          <w:lang w:val="de-DE" w:eastAsia="en-US"/>
          <w14:ligatures w14:val="standardContextual"/>
        </w:rPr>
        <w:t xml:space="preserve"> des G. vom 2. Februar 2021 (B.S. vom 11. Februar 2021)]</w:t>
      </w:r>
    </w:p>
    <w:p w14:paraId="0E212AE9" w14:textId="77777777" w:rsidR="00626AF8" w:rsidRPr="004676F5" w:rsidRDefault="00626AF8" w:rsidP="00626AF8">
      <w:pPr>
        <w:jc w:val="both"/>
        <w:rPr>
          <w:lang w:val="de-DE"/>
        </w:rPr>
      </w:pPr>
    </w:p>
    <w:p w14:paraId="2977D87B" w14:textId="77777777" w:rsidR="00626AF8" w:rsidRPr="004676F5" w:rsidRDefault="00626AF8" w:rsidP="00626AF8">
      <w:pPr>
        <w:jc w:val="both"/>
        <w:rPr>
          <w:lang w:val="de-DE"/>
        </w:rPr>
      </w:pPr>
    </w:p>
    <w:p w14:paraId="447181ED" w14:textId="47591674" w:rsidR="00626AF8" w:rsidRPr="004676F5" w:rsidRDefault="00626AF8" w:rsidP="00626AF8">
      <w:pPr>
        <w:ind w:firstLine="708"/>
        <w:jc w:val="both"/>
        <w:rPr>
          <w:lang w:val="de-DE"/>
        </w:rPr>
      </w:pPr>
      <w:r w:rsidRPr="004676F5">
        <w:rPr>
          <w:lang w:val="de-DE"/>
        </w:rPr>
        <w:t>[</w:t>
      </w:r>
      <w:r w:rsidRPr="004676F5">
        <w:rPr>
          <w:b/>
          <w:bCs/>
          <w:lang w:val="de-DE"/>
        </w:rPr>
        <w:t>Art. VII.11/2</w:t>
      </w:r>
      <w:r w:rsidRPr="004676F5">
        <w:rPr>
          <w:lang w:val="de-DE"/>
        </w:rPr>
        <w:t> </w:t>
      </w:r>
      <w:r w:rsidR="005B7A5C" w:rsidRPr="004676F5">
        <w:rPr>
          <w:lang w:val="de-DE"/>
        </w:rPr>
        <w:t>- </w:t>
      </w:r>
      <w:r w:rsidRPr="004676F5">
        <w:rPr>
          <w:lang w:val="de-DE"/>
        </w:rPr>
        <w:t>Zahlungsinstitute gewährleisten, dass Agenten oder Zweignieder</w:t>
      </w:r>
      <w:r w:rsidRPr="004676F5">
        <w:rPr>
          <w:lang w:val="de-DE"/>
        </w:rPr>
        <w:softHyphen/>
        <w:t>lassungen, die in ihrem Namen tätig sind, das den Zahlungsdienstnutzern mitteilen.]</w:t>
      </w:r>
    </w:p>
    <w:p w14:paraId="7C5462B4" w14:textId="77777777" w:rsidR="00626AF8" w:rsidRPr="004676F5" w:rsidRDefault="00626AF8" w:rsidP="00626AF8">
      <w:pPr>
        <w:ind w:firstLine="708"/>
        <w:jc w:val="both"/>
        <w:rPr>
          <w:lang w:val="de-DE"/>
        </w:rPr>
      </w:pPr>
    </w:p>
    <w:p w14:paraId="2C01C23A" w14:textId="7944B3E5" w:rsidR="00626AF8" w:rsidRPr="004676F5" w:rsidRDefault="00626AF8" w:rsidP="00626AF8">
      <w:pPr>
        <w:jc w:val="both"/>
        <w:rPr>
          <w:i/>
          <w:iCs/>
          <w:lang w:val="de-DE"/>
        </w:rPr>
      </w:pPr>
      <w:r w:rsidRPr="004676F5">
        <w:rPr>
          <w:i/>
          <w:iCs/>
          <w:lang w:val="de-DE"/>
        </w:rPr>
        <w:t>[Art. VII.11/2 eingefügt durch Art. 10</w:t>
      </w:r>
      <w:r w:rsidRPr="004676F5">
        <w:rPr>
          <w:rFonts w:eastAsia="Calibri"/>
          <w:i/>
          <w:iCs/>
          <w:kern w:val="2"/>
          <w:lang w:val="de-DE" w:eastAsia="en-US"/>
          <w14:ligatures w14:val="standardContextual"/>
        </w:rPr>
        <w:t xml:space="preserve"> des G. vom 2. Februar 2021 (B.S. vom 11. Februar 2021)]</w:t>
      </w:r>
    </w:p>
    <w:p w14:paraId="6EB3118D" w14:textId="77777777" w:rsidR="00626AF8" w:rsidRPr="004676F5" w:rsidRDefault="00626AF8" w:rsidP="00626AF8">
      <w:pPr>
        <w:ind w:firstLine="708"/>
        <w:jc w:val="both"/>
        <w:rPr>
          <w:lang w:val="de-DE"/>
        </w:rPr>
      </w:pPr>
    </w:p>
    <w:p w14:paraId="443DD75D" w14:textId="77777777" w:rsidR="00DA3F26" w:rsidRPr="004676F5" w:rsidRDefault="00DA3F26" w:rsidP="00DA3F26">
      <w:pPr>
        <w:ind w:firstLine="708"/>
        <w:rPr>
          <w:lang w:val="de-DE"/>
        </w:rPr>
      </w:pPr>
    </w:p>
    <w:p w14:paraId="137BD8B7" w14:textId="241D9B02" w:rsidR="00DA3F26" w:rsidRPr="004676F5" w:rsidRDefault="00DA3F26" w:rsidP="00DA3F26">
      <w:pPr>
        <w:jc w:val="center"/>
        <w:rPr>
          <w:lang w:val="de-DE"/>
        </w:rPr>
      </w:pPr>
      <w:r w:rsidRPr="004676F5">
        <w:rPr>
          <w:i/>
          <w:lang w:val="de-DE"/>
        </w:rPr>
        <w:t>Abschnitt 2 </w:t>
      </w:r>
      <w:r w:rsidR="005B7A5C" w:rsidRPr="004676F5">
        <w:rPr>
          <w:i/>
          <w:lang w:val="de-DE"/>
        </w:rPr>
        <w:t>- </w:t>
      </w:r>
      <w:r w:rsidRPr="004676F5">
        <w:rPr>
          <w:lang w:val="de-DE"/>
        </w:rPr>
        <w:t>Einzelzahlungen</w:t>
      </w:r>
    </w:p>
    <w:p w14:paraId="1135945D" w14:textId="708F6361" w:rsidR="00DA3F26" w:rsidRPr="004676F5" w:rsidRDefault="00DA3F26" w:rsidP="00DA3F26">
      <w:pPr>
        <w:rPr>
          <w:lang w:val="de-DE"/>
        </w:rPr>
      </w:pPr>
    </w:p>
    <w:p w14:paraId="47E47760" w14:textId="77777777" w:rsidR="00DA3F26" w:rsidRPr="004676F5" w:rsidRDefault="00DA3F26" w:rsidP="00DA3F26">
      <w:pPr>
        <w:rPr>
          <w:lang w:val="de-DE"/>
        </w:rPr>
      </w:pPr>
    </w:p>
    <w:p w14:paraId="4F8969E2" w14:textId="39BA6135" w:rsidR="00DA3F26" w:rsidRPr="004676F5" w:rsidRDefault="00DA3F26" w:rsidP="00DA3F26">
      <w:pPr>
        <w:jc w:val="center"/>
        <w:rPr>
          <w:lang w:val="de-DE"/>
        </w:rPr>
      </w:pPr>
      <w:r w:rsidRPr="004676F5">
        <w:rPr>
          <w:lang w:val="de-DE"/>
        </w:rPr>
        <w:t>Unterabschnitt 1 </w:t>
      </w:r>
      <w:r w:rsidR="005B7A5C" w:rsidRPr="004676F5">
        <w:rPr>
          <w:lang w:val="de-DE"/>
        </w:rPr>
        <w:t>- </w:t>
      </w:r>
      <w:r w:rsidRPr="004676F5">
        <w:rPr>
          <w:lang w:val="de-DE"/>
        </w:rPr>
        <w:t>Anwendungsbereich</w:t>
      </w:r>
    </w:p>
    <w:p w14:paraId="65AFE27C" w14:textId="22C47086" w:rsidR="00DA3F26" w:rsidRPr="004676F5" w:rsidRDefault="00DA3F26" w:rsidP="00DA3F26">
      <w:pPr>
        <w:rPr>
          <w:lang w:val="de-DE"/>
        </w:rPr>
      </w:pPr>
    </w:p>
    <w:p w14:paraId="651D8591" w14:textId="77777777" w:rsidR="00DA3F26" w:rsidRPr="004676F5" w:rsidRDefault="00DA3F26" w:rsidP="00DA3F26">
      <w:pPr>
        <w:rPr>
          <w:lang w:val="de-DE"/>
        </w:rPr>
      </w:pPr>
    </w:p>
    <w:p w14:paraId="279091A8" w14:textId="54122E1F" w:rsidR="00DA3F26" w:rsidRPr="004676F5" w:rsidRDefault="00DA3F26" w:rsidP="00DA3F26">
      <w:pPr>
        <w:ind w:firstLine="708"/>
        <w:jc w:val="both"/>
        <w:rPr>
          <w:lang w:val="de-DE"/>
        </w:rPr>
      </w:pPr>
      <w:r w:rsidRPr="004676F5">
        <w:rPr>
          <w:b/>
          <w:lang w:val="de-DE"/>
        </w:rPr>
        <w:t>Art. VII.12</w:t>
      </w:r>
      <w:r w:rsidRPr="004676F5">
        <w:rPr>
          <w:lang w:val="de-DE"/>
        </w:rPr>
        <w:t> </w:t>
      </w:r>
      <w:r w:rsidR="005B7A5C" w:rsidRPr="004676F5">
        <w:rPr>
          <w:lang w:val="de-DE"/>
        </w:rPr>
        <w:t>- </w:t>
      </w:r>
      <w:r w:rsidRPr="004676F5">
        <w:rPr>
          <w:lang w:val="de-DE"/>
        </w:rPr>
        <w:t>Vorliegender Abschnitt gilt für Einzelzahlungen, für die kein Rahmen</w:t>
      </w:r>
      <w:r w:rsidRPr="004676F5">
        <w:rPr>
          <w:lang w:val="de-DE"/>
        </w:rPr>
        <w:softHyphen/>
        <w:t>vertrag besteht.</w:t>
      </w:r>
    </w:p>
    <w:p w14:paraId="70308F01" w14:textId="3899F10E" w:rsidR="00DA3F26" w:rsidRPr="004676F5" w:rsidRDefault="00DA3F26" w:rsidP="00DA3F26">
      <w:pPr>
        <w:ind w:firstLine="708"/>
        <w:rPr>
          <w:lang w:val="de-DE"/>
        </w:rPr>
      </w:pPr>
    </w:p>
    <w:p w14:paraId="04C176B6" w14:textId="77777777" w:rsidR="00DA3F26" w:rsidRPr="004676F5" w:rsidRDefault="00DA3F26" w:rsidP="00DA3F26">
      <w:pPr>
        <w:ind w:firstLine="708"/>
        <w:rPr>
          <w:lang w:val="de-DE"/>
        </w:rPr>
      </w:pPr>
    </w:p>
    <w:p w14:paraId="11EB0351" w14:textId="4C0E7AC3" w:rsidR="00DA3F26" w:rsidRPr="004676F5" w:rsidRDefault="00DA3F26" w:rsidP="00DA3F26">
      <w:pPr>
        <w:jc w:val="center"/>
        <w:rPr>
          <w:lang w:val="de-DE"/>
        </w:rPr>
      </w:pPr>
      <w:r w:rsidRPr="004676F5">
        <w:rPr>
          <w:lang w:val="de-DE"/>
        </w:rPr>
        <w:t>Unterabschnitt 2 </w:t>
      </w:r>
      <w:r w:rsidR="005B7A5C" w:rsidRPr="004676F5">
        <w:rPr>
          <w:lang w:val="de-DE"/>
        </w:rPr>
        <w:t>- </w:t>
      </w:r>
      <w:r w:rsidRPr="004676F5">
        <w:rPr>
          <w:lang w:val="de-DE"/>
        </w:rPr>
        <w:t>Vorvertragliche Unterrichtung und Vertragsbedingungen</w:t>
      </w:r>
    </w:p>
    <w:p w14:paraId="7FEAE7E7" w14:textId="0CF3E8AE" w:rsidR="00DA3F26" w:rsidRPr="004676F5" w:rsidRDefault="00DA3F26" w:rsidP="00DA3F26">
      <w:pPr>
        <w:jc w:val="both"/>
        <w:rPr>
          <w:lang w:val="de-DE"/>
        </w:rPr>
      </w:pPr>
    </w:p>
    <w:p w14:paraId="04321669" w14:textId="77777777" w:rsidR="00DA3F26" w:rsidRPr="004676F5" w:rsidRDefault="00DA3F26" w:rsidP="00DA3F26">
      <w:pPr>
        <w:jc w:val="both"/>
        <w:rPr>
          <w:lang w:val="de-DE"/>
        </w:rPr>
      </w:pPr>
    </w:p>
    <w:p w14:paraId="71CF92EF" w14:textId="2343B323" w:rsidR="00DA3F26" w:rsidRPr="004676F5" w:rsidRDefault="00DA3F26" w:rsidP="00DA3F26">
      <w:pPr>
        <w:ind w:firstLine="708"/>
        <w:jc w:val="both"/>
        <w:rPr>
          <w:lang w:val="de-DE"/>
        </w:rPr>
      </w:pPr>
      <w:r w:rsidRPr="004676F5">
        <w:rPr>
          <w:b/>
          <w:lang w:val="de-DE"/>
        </w:rPr>
        <w:t>Art. VII.13</w:t>
      </w:r>
      <w:r w:rsidRPr="004676F5">
        <w:rPr>
          <w:lang w:val="de-DE"/>
        </w:rPr>
        <w:t> </w:t>
      </w:r>
      <w:r w:rsidR="005B7A5C" w:rsidRPr="004676F5">
        <w:rPr>
          <w:lang w:val="de-DE"/>
        </w:rPr>
        <w:t>- </w:t>
      </w:r>
      <w:r w:rsidRPr="004676F5">
        <w:rPr>
          <w:lang w:val="de-DE"/>
        </w:rPr>
        <w:t>Wird ein Zahlungsauftrag für eine Einzelzahlung über ein rahmen</w:t>
      </w:r>
      <w:r w:rsidRPr="004676F5">
        <w:rPr>
          <w:lang w:val="de-DE"/>
        </w:rPr>
        <w:softHyphen/>
        <w:t>vertraglich geregeltes Zahlungsinstrument übermittelt, so ist der Zahlungsdienstleister nicht verpflichtet, Informationen mitzuteilen oder zugänglich zu machen, die der Zahlungsdienst</w:t>
      </w:r>
      <w:r w:rsidRPr="004676F5">
        <w:rPr>
          <w:lang w:val="de-DE"/>
        </w:rPr>
        <w:softHyphen/>
        <w:t>nutzer aufgrund eines Rahmenvertrags mit einem anderen Zahlungsdienstleister bereits erhalten hat oder noch erhalten wird.</w:t>
      </w:r>
    </w:p>
    <w:p w14:paraId="4344CB24" w14:textId="10925A4B" w:rsidR="00DA3F26" w:rsidRPr="004676F5" w:rsidRDefault="00DA3F26" w:rsidP="00DA3F26">
      <w:pPr>
        <w:ind w:firstLine="708"/>
        <w:jc w:val="both"/>
        <w:rPr>
          <w:lang w:val="de-DE"/>
        </w:rPr>
      </w:pPr>
    </w:p>
    <w:p w14:paraId="599E9FCC" w14:textId="77777777" w:rsidR="00DA3F26" w:rsidRPr="004676F5" w:rsidRDefault="00DA3F26" w:rsidP="00DA3F26">
      <w:pPr>
        <w:ind w:firstLine="708"/>
        <w:jc w:val="both"/>
        <w:rPr>
          <w:lang w:val="de-DE"/>
        </w:rPr>
      </w:pPr>
    </w:p>
    <w:p w14:paraId="413208B5" w14:textId="72C0C3F3" w:rsidR="00DA3F26" w:rsidRPr="004676F5" w:rsidRDefault="00DA3F26" w:rsidP="00DA3F26">
      <w:pPr>
        <w:ind w:firstLine="708"/>
        <w:jc w:val="both"/>
        <w:rPr>
          <w:lang w:val="de-DE"/>
        </w:rPr>
      </w:pPr>
      <w:r w:rsidRPr="004676F5">
        <w:rPr>
          <w:b/>
          <w:lang w:val="de-DE"/>
        </w:rPr>
        <w:t>Art. VII.14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Zahlungsdienstleister macht dem Zahlungsdienstnutzer die Informationen und Vertragsbedingungen gemäß Artikel VII.15 für seine eigenen Dienste in leicht zugänglicher Form verfügbar, bevor der Zahlungsdienstnutzer durch einen Vertrag oder ein Angebot über eine Einzelzahlung gebunden ist.</w:t>
      </w:r>
    </w:p>
    <w:p w14:paraId="3784DF6C" w14:textId="77777777" w:rsidR="00DA3F26" w:rsidRPr="004676F5" w:rsidRDefault="00DA3F26" w:rsidP="00DA3F26">
      <w:pPr>
        <w:ind w:firstLine="708"/>
        <w:jc w:val="both"/>
        <w:rPr>
          <w:lang w:val="de-DE"/>
        </w:rPr>
      </w:pPr>
    </w:p>
    <w:p w14:paraId="7F7BF9A3" w14:textId="20D8BCE7" w:rsidR="00DA3F26" w:rsidRPr="004676F5" w:rsidRDefault="00DA3F26" w:rsidP="00DA3F26">
      <w:pPr>
        <w:ind w:firstLine="708"/>
        <w:jc w:val="both"/>
        <w:rPr>
          <w:lang w:val="de-DE"/>
        </w:rPr>
      </w:pPr>
      <w:r w:rsidRPr="004676F5">
        <w:rPr>
          <w:lang w:val="de-DE"/>
        </w:rPr>
        <w:t xml:space="preserve">Auf Verlangen des Zahlungsdienstnutzers teilt ihm der Zahlungsdienstleister die Informationen und Vertragsbedingungen </w:t>
      </w:r>
      <w:r w:rsidR="002F26DE" w:rsidRPr="004676F5">
        <w:rPr>
          <w:lang w:val="de-DE"/>
        </w:rPr>
        <w:t>[</w:t>
      </w:r>
      <w:r w:rsidRPr="004676F5">
        <w:rPr>
          <w:lang w:val="de-DE"/>
        </w:rPr>
        <w:t xml:space="preserve">auf dauerhaftem </w:t>
      </w:r>
      <w:r w:rsidR="002F26DE" w:rsidRPr="004676F5">
        <w:rPr>
          <w:lang w:val="de-DE"/>
        </w:rPr>
        <w:t>Datent</w:t>
      </w:r>
      <w:r w:rsidRPr="004676F5">
        <w:rPr>
          <w:lang w:val="de-DE"/>
        </w:rPr>
        <w:t>räger</w:t>
      </w:r>
      <w:r w:rsidR="002F26DE" w:rsidRPr="004676F5">
        <w:rPr>
          <w:lang w:val="de-DE"/>
        </w:rPr>
        <w:t>]</w:t>
      </w:r>
      <w:r w:rsidRPr="004676F5">
        <w:rPr>
          <w:lang w:val="de-DE"/>
        </w:rPr>
        <w:t xml:space="preserve"> mit. Die Informationen und Vertragsbedingungen werden in der oder den Sprachen des Sprachgebietes, in dem der </w:t>
      </w:r>
      <w:r w:rsidRPr="004676F5">
        <w:rPr>
          <w:lang w:val="de-DE"/>
        </w:rPr>
        <w:lastRenderedPageBreak/>
        <w:t>Zahlungsdienst angeboten wird, oder in einer anderen zwischen den Parteien vereinbarten Sprache in leicht verständlichen Worten und in klarer und verständlicher Form mitgeteilt.</w:t>
      </w:r>
    </w:p>
    <w:p w14:paraId="5224E663" w14:textId="77777777" w:rsidR="00DA3F26" w:rsidRPr="004676F5" w:rsidRDefault="00DA3F26" w:rsidP="00DA3F26">
      <w:pPr>
        <w:ind w:firstLine="708"/>
        <w:jc w:val="both"/>
        <w:rPr>
          <w:lang w:val="de-DE"/>
        </w:rPr>
      </w:pPr>
    </w:p>
    <w:p w14:paraId="6CA74DB0" w14:textId="39105291"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Wurde der Vertrag über eine Einzelzahlung auf Verlangen des Zahlungsdienst</w:t>
      </w:r>
      <w:r w:rsidRPr="004676F5">
        <w:rPr>
          <w:lang w:val="de-DE"/>
        </w:rPr>
        <w:softHyphen/>
        <w:t>nutzers mittels eines Fernkommunikationsmittels geschlossen, das es dem Zahlungsdienst</w:t>
      </w:r>
      <w:r w:rsidRPr="004676F5">
        <w:rPr>
          <w:lang w:val="de-DE"/>
        </w:rPr>
        <w:softHyphen/>
        <w:t>leister nicht erlaubt, seinen Verpflichtungen nach § 1 nachzukommen, so erfüllt der Zahlungsdienstleister diese Pflichten unverzüglich nach Ausführung des Zahlungsvorgangs.</w:t>
      </w:r>
    </w:p>
    <w:p w14:paraId="695C3E17" w14:textId="77777777" w:rsidR="00DA3F26" w:rsidRPr="004676F5" w:rsidRDefault="00DA3F26" w:rsidP="00DA3F26">
      <w:pPr>
        <w:ind w:firstLine="708"/>
        <w:jc w:val="both"/>
        <w:rPr>
          <w:lang w:val="de-DE"/>
        </w:rPr>
      </w:pPr>
    </w:p>
    <w:p w14:paraId="12C6DA97" w14:textId="21DA55ED"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Die Pflichten gemäß § 1 können auch erfüllt werden, indem eine Kopie des Entwurfs für einen Vertrag über eine Einzelzahlung beziehungsweise des Entwurfs für einen Zahlungsauftrag, der die nach Artikel VII.15 erforderlichen Informationen und Vertrags</w:t>
      </w:r>
      <w:r w:rsidRPr="004676F5">
        <w:rPr>
          <w:lang w:val="de-DE"/>
        </w:rPr>
        <w:softHyphen/>
        <w:t>bedingungen enthält, zur Verfügung gestellt wird.</w:t>
      </w:r>
    </w:p>
    <w:p w14:paraId="136324C5" w14:textId="77777777" w:rsidR="002F26DE" w:rsidRPr="004676F5" w:rsidRDefault="002F26DE" w:rsidP="00DA3F26">
      <w:pPr>
        <w:ind w:firstLine="708"/>
        <w:jc w:val="both"/>
        <w:rPr>
          <w:lang w:val="de-DE"/>
        </w:rPr>
      </w:pPr>
    </w:p>
    <w:p w14:paraId="057722F7" w14:textId="575ADAB8" w:rsidR="002F26DE" w:rsidRPr="004676F5" w:rsidRDefault="002F26DE" w:rsidP="002F26DE">
      <w:pPr>
        <w:jc w:val="both"/>
        <w:rPr>
          <w:i/>
          <w:iCs/>
          <w:lang w:val="de-DE"/>
        </w:rPr>
      </w:pPr>
      <w:r w:rsidRPr="004676F5">
        <w:rPr>
          <w:i/>
          <w:iCs/>
          <w:lang w:val="de-DE"/>
        </w:rPr>
        <w:t>[Art. VII.14 § 1 Abs. 2 abgeändert durch Art. 12 des G. vom 20. September 2018 (B.S. vom 10. Oktober 2018)]</w:t>
      </w:r>
    </w:p>
    <w:p w14:paraId="71BC8B59" w14:textId="356549EC" w:rsidR="00DA3F26" w:rsidRPr="004676F5" w:rsidRDefault="00DA3F26" w:rsidP="00DA3F26">
      <w:pPr>
        <w:ind w:firstLine="708"/>
        <w:jc w:val="both"/>
        <w:rPr>
          <w:lang w:val="de-DE"/>
        </w:rPr>
      </w:pPr>
    </w:p>
    <w:p w14:paraId="09D1C365" w14:textId="77777777" w:rsidR="00DA3F26" w:rsidRPr="004676F5" w:rsidRDefault="00DA3F26" w:rsidP="00DA3F26">
      <w:pPr>
        <w:ind w:firstLine="708"/>
        <w:jc w:val="both"/>
        <w:rPr>
          <w:lang w:val="de-DE"/>
        </w:rPr>
      </w:pPr>
    </w:p>
    <w:p w14:paraId="693AD3E2" w14:textId="7C55FF30" w:rsidR="00DA3F26" w:rsidRPr="004676F5" w:rsidRDefault="00DA3F26" w:rsidP="00DA3F26">
      <w:pPr>
        <w:ind w:firstLine="708"/>
        <w:jc w:val="both"/>
        <w:rPr>
          <w:lang w:val="de-DE"/>
        </w:rPr>
      </w:pPr>
      <w:r w:rsidRPr="004676F5">
        <w:rPr>
          <w:b/>
          <w:lang w:val="de-DE"/>
        </w:rPr>
        <w:t>Art. VII.15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Zumindest folgende Informationen und Vertragsbedingungen sind dem Zahlungsdienstnutzer vom Zahlungsdienstleister mitzuteilen oder zugänglich zu machen:</w:t>
      </w:r>
    </w:p>
    <w:p w14:paraId="10DF7D5D" w14:textId="77777777" w:rsidR="00DA3F26" w:rsidRPr="004676F5" w:rsidRDefault="00DA3F26" w:rsidP="00DA3F26">
      <w:pPr>
        <w:ind w:firstLine="708"/>
        <w:jc w:val="both"/>
        <w:rPr>
          <w:lang w:val="de-DE"/>
        </w:rPr>
      </w:pPr>
    </w:p>
    <w:p w14:paraId="68D920B7" w14:textId="77777777" w:rsidR="00DA3F26" w:rsidRPr="004676F5" w:rsidRDefault="00DA3F26" w:rsidP="00DA3F26">
      <w:pPr>
        <w:ind w:firstLine="708"/>
        <w:jc w:val="both"/>
        <w:rPr>
          <w:lang w:val="de-DE"/>
        </w:rPr>
      </w:pPr>
      <w:r w:rsidRPr="004676F5">
        <w:rPr>
          <w:lang w:val="de-DE"/>
        </w:rPr>
        <w:t>1. vom Zahlungsdienstnutzer mitzuteilende genaue Informationen oder Kundenidenti</w:t>
      </w:r>
      <w:r w:rsidRPr="004676F5">
        <w:rPr>
          <w:lang w:val="de-DE"/>
        </w:rPr>
        <w:softHyphen/>
        <w:t>fikatoren, die für die ordnungsgemäße Auslösung oder Ausführung eines Zahlungsauftrags erforderlich sind,</w:t>
      </w:r>
    </w:p>
    <w:p w14:paraId="6CC8F4B4" w14:textId="77777777" w:rsidR="00DA3F26" w:rsidRPr="004676F5" w:rsidRDefault="00DA3F26" w:rsidP="00DA3F26">
      <w:pPr>
        <w:ind w:firstLine="708"/>
        <w:jc w:val="both"/>
        <w:rPr>
          <w:lang w:val="de-DE"/>
        </w:rPr>
      </w:pPr>
    </w:p>
    <w:p w14:paraId="746090A1" w14:textId="77777777" w:rsidR="00DA3F26" w:rsidRPr="004676F5" w:rsidRDefault="00DA3F26" w:rsidP="00DA3F26">
      <w:pPr>
        <w:ind w:firstLine="708"/>
        <w:jc w:val="both"/>
        <w:rPr>
          <w:lang w:val="de-DE"/>
        </w:rPr>
      </w:pPr>
      <w:r w:rsidRPr="004676F5">
        <w:rPr>
          <w:lang w:val="de-DE"/>
        </w:rPr>
        <w:t>2. maximale Ausführungsfrist für den zu erbringenden Zahlungsdienst,</w:t>
      </w:r>
    </w:p>
    <w:p w14:paraId="3799586A" w14:textId="77777777" w:rsidR="00DA3F26" w:rsidRPr="004676F5" w:rsidRDefault="00DA3F26" w:rsidP="00DA3F26">
      <w:pPr>
        <w:ind w:firstLine="708"/>
        <w:jc w:val="both"/>
        <w:rPr>
          <w:lang w:val="de-DE"/>
        </w:rPr>
      </w:pPr>
    </w:p>
    <w:p w14:paraId="10E1B1F4" w14:textId="77777777" w:rsidR="00DA3F26" w:rsidRPr="004676F5" w:rsidRDefault="00DA3F26" w:rsidP="00DA3F26">
      <w:pPr>
        <w:ind w:firstLine="708"/>
        <w:jc w:val="both"/>
        <w:rPr>
          <w:lang w:val="de-DE"/>
        </w:rPr>
      </w:pPr>
      <w:r w:rsidRPr="004676F5">
        <w:rPr>
          <w:lang w:val="de-DE"/>
        </w:rPr>
        <w:t>3. Entgelte, die der Zahlungsdienstnutzer an den Zahlungsdienstleister zu entrichten hat, und gegebenenfalls eine Aufschlüsselung dieser Entgelte,</w:t>
      </w:r>
    </w:p>
    <w:p w14:paraId="3D749025" w14:textId="77777777" w:rsidR="00DA3F26" w:rsidRPr="004676F5" w:rsidRDefault="00DA3F26" w:rsidP="00DA3F26">
      <w:pPr>
        <w:ind w:firstLine="708"/>
        <w:jc w:val="both"/>
        <w:rPr>
          <w:lang w:val="de-DE"/>
        </w:rPr>
      </w:pPr>
    </w:p>
    <w:p w14:paraId="3BCA9F41" w14:textId="77777777" w:rsidR="00DA3F26" w:rsidRPr="004676F5" w:rsidRDefault="00DA3F26" w:rsidP="00DA3F26">
      <w:pPr>
        <w:ind w:firstLine="708"/>
        <w:jc w:val="both"/>
        <w:rPr>
          <w:lang w:val="de-DE"/>
        </w:rPr>
      </w:pPr>
      <w:r w:rsidRPr="004676F5">
        <w:rPr>
          <w:lang w:val="de-DE"/>
        </w:rPr>
        <w:t>4. gegebenenfalls dem Zahlungsvorgang zugrunde zu legender tatsächlicher Wechsel</w:t>
      </w:r>
      <w:r w:rsidRPr="004676F5">
        <w:rPr>
          <w:lang w:val="de-DE"/>
        </w:rPr>
        <w:softHyphen/>
        <w:t>kurs oder Referenzwechselkurs.</w:t>
      </w:r>
    </w:p>
    <w:p w14:paraId="674C42D9" w14:textId="77777777" w:rsidR="00DA3F26" w:rsidRPr="004676F5" w:rsidRDefault="00DA3F26" w:rsidP="00DA3F26">
      <w:pPr>
        <w:ind w:firstLine="708"/>
        <w:jc w:val="both"/>
        <w:rPr>
          <w:lang w:val="de-DE"/>
        </w:rPr>
      </w:pPr>
    </w:p>
    <w:p w14:paraId="73AD6E8C" w14:textId="4DA65377"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Zahlungsauslösedienstleister teilen dem Zahler vor der Auslösung folgende klaren und umfassenden Informationen mit oder machen sie ihm zugänglich:</w:t>
      </w:r>
    </w:p>
    <w:p w14:paraId="5F76EA64" w14:textId="77777777" w:rsidR="00DA3F26" w:rsidRPr="004676F5" w:rsidRDefault="00DA3F26" w:rsidP="00DA3F26">
      <w:pPr>
        <w:ind w:firstLine="708"/>
        <w:jc w:val="both"/>
        <w:rPr>
          <w:lang w:val="de-DE"/>
        </w:rPr>
      </w:pPr>
    </w:p>
    <w:p w14:paraId="700AF024" w14:textId="77777777" w:rsidR="00DA3F26" w:rsidRPr="004676F5" w:rsidRDefault="00DA3F26" w:rsidP="00DA3F26">
      <w:pPr>
        <w:ind w:firstLine="708"/>
        <w:jc w:val="both"/>
        <w:rPr>
          <w:lang w:val="de-DE"/>
        </w:rPr>
      </w:pPr>
      <w:r w:rsidRPr="004676F5">
        <w:rPr>
          <w:lang w:val="de-DE"/>
        </w:rPr>
        <w:t>1. Identität des Zahlungsauslösedienstleisters, gegebenenfalls einschließlich seiner Unternehmensnummer, Anschrift seiner Hauptverwaltung und gegebenenfalls Anschrift seines Agenten oder seiner Zweigniederlassung in Belgien, wo der Zahlungsdienst angeboten wird, sowie alle anderen Kontaktdaten einschließlich der E-Mail-Adresse, die für die Kommunikation mit dem Zahlungsauslösedienstleister von Belang sind, und</w:t>
      </w:r>
    </w:p>
    <w:p w14:paraId="6EAB91E8" w14:textId="77777777" w:rsidR="00DA3F26" w:rsidRPr="004676F5" w:rsidRDefault="00DA3F26" w:rsidP="00DA3F26">
      <w:pPr>
        <w:ind w:firstLine="708"/>
        <w:jc w:val="both"/>
        <w:rPr>
          <w:lang w:val="de-DE"/>
        </w:rPr>
      </w:pPr>
    </w:p>
    <w:p w14:paraId="470962CC" w14:textId="77777777" w:rsidR="00DA3F26" w:rsidRPr="004676F5" w:rsidRDefault="00DA3F26" w:rsidP="00DA3F26">
      <w:pPr>
        <w:ind w:firstLine="708"/>
        <w:jc w:val="both"/>
        <w:rPr>
          <w:lang w:val="de-DE"/>
        </w:rPr>
      </w:pPr>
      <w:r w:rsidRPr="004676F5">
        <w:rPr>
          <w:lang w:val="de-DE"/>
        </w:rPr>
        <w:t>2. Angaben über die für vorbeugende Aufsicht zuständige Behörde und das bei dieser Behörde geführte relevante Register, in dem der Zahlungsauslösedienstleister zwecks Zulassung eingetragen ist, sowie seine Registernummer oder eine gleichwertige in dem betreffenden Register verwendete Kennung.</w:t>
      </w:r>
    </w:p>
    <w:p w14:paraId="4E200D24" w14:textId="77777777" w:rsidR="00DA3F26" w:rsidRPr="004676F5" w:rsidRDefault="00DA3F26" w:rsidP="00DA3F26">
      <w:pPr>
        <w:ind w:firstLine="708"/>
        <w:jc w:val="both"/>
        <w:rPr>
          <w:lang w:val="de-DE"/>
        </w:rPr>
      </w:pPr>
    </w:p>
    <w:p w14:paraId="3EA50089" w14:textId="35C7C2C9"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Andere in Artikel VII.22 genannte einschlägige Informationen und Vertrags</w:t>
      </w:r>
      <w:r w:rsidRPr="004676F5">
        <w:rPr>
          <w:lang w:val="de-DE"/>
        </w:rPr>
        <w:softHyphen/>
        <w:t>bedingungen sind dem Zahlungsdienstnutzer gegebenenfalls in einer leicht zugänglichen Form zur Verfügung zu stellen.</w:t>
      </w:r>
    </w:p>
    <w:p w14:paraId="5B12552B" w14:textId="4F41B94E" w:rsidR="00DA3F26" w:rsidRPr="004676F5" w:rsidRDefault="00DA3F26" w:rsidP="00DA3F26">
      <w:pPr>
        <w:ind w:firstLine="708"/>
        <w:rPr>
          <w:lang w:val="de-DE"/>
        </w:rPr>
      </w:pPr>
    </w:p>
    <w:p w14:paraId="276EC758" w14:textId="77777777" w:rsidR="00DA3F26" w:rsidRPr="004676F5" w:rsidRDefault="00DA3F26" w:rsidP="00DA3F26">
      <w:pPr>
        <w:ind w:firstLine="708"/>
        <w:rPr>
          <w:lang w:val="de-DE"/>
        </w:rPr>
      </w:pPr>
    </w:p>
    <w:p w14:paraId="695A44CF" w14:textId="4C01A6B0" w:rsidR="00DA3F26" w:rsidRPr="004676F5" w:rsidRDefault="00DA3F26" w:rsidP="00DA3F26">
      <w:pPr>
        <w:jc w:val="center"/>
        <w:rPr>
          <w:lang w:val="de-DE"/>
        </w:rPr>
      </w:pPr>
      <w:r w:rsidRPr="004676F5">
        <w:rPr>
          <w:lang w:val="de-DE"/>
        </w:rPr>
        <w:lastRenderedPageBreak/>
        <w:t>Unterabschnitt 3 </w:t>
      </w:r>
      <w:r w:rsidR="005B7A5C" w:rsidRPr="004676F5">
        <w:rPr>
          <w:lang w:val="de-DE"/>
        </w:rPr>
        <w:t>- </w:t>
      </w:r>
      <w:r w:rsidRPr="004676F5">
        <w:rPr>
          <w:lang w:val="de-DE"/>
        </w:rPr>
        <w:t>Informationen nach Auslösung oder Eingang eines Zahlungsauftrags und nach Ausführung eines Zahlungsvorgangs</w:t>
      </w:r>
    </w:p>
    <w:p w14:paraId="470EB282" w14:textId="5FE244EC" w:rsidR="00DA3F26" w:rsidRPr="004676F5" w:rsidRDefault="00DA3F26" w:rsidP="00DA3F26">
      <w:pPr>
        <w:jc w:val="both"/>
        <w:rPr>
          <w:lang w:val="de-DE"/>
        </w:rPr>
      </w:pPr>
    </w:p>
    <w:p w14:paraId="067AF64B" w14:textId="77777777" w:rsidR="00DA3F26" w:rsidRPr="004676F5" w:rsidRDefault="00DA3F26" w:rsidP="00DA3F26">
      <w:pPr>
        <w:jc w:val="both"/>
        <w:rPr>
          <w:lang w:val="de-DE"/>
        </w:rPr>
      </w:pPr>
    </w:p>
    <w:p w14:paraId="19E301FE" w14:textId="0A662735" w:rsidR="00DA3F26" w:rsidRPr="004676F5" w:rsidRDefault="00DA3F26" w:rsidP="00DA3F26">
      <w:pPr>
        <w:ind w:firstLine="708"/>
        <w:jc w:val="both"/>
        <w:rPr>
          <w:lang w:val="de-DE"/>
        </w:rPr>
      </w:pPr>
      <w:r w:rsidRPr="004676F5">
        <w:rPr>
          <w:b/>
          <w:lang w:val="de-DE"/>
        </w:rPr>
        <w:t>Art. VII.16</w:t>
      </w:r>
      <w:r w:rsidRPr="004676F5">
        <w:rPr>
          <w:lang w:val="de-DE"/>
        </w:rPr>
        <w:t> </w:t>
      </w:r>
      <w:r w:rsidR="005B7A5C" w:rsidRPr="004676F5">
        <w:rPr>
          <w:lang w:val="de-DE"/>
        </w:rPr>
        <w:t>- </w:t>
      </w:r>
      <w:r w:rsidRPr="004676F5">
        <w:rPr>
          <w:lang w:val="de-DE"/>
        </w:rPr>
        <w:t>Wird ein Zahlungsauftrag über einen Zahlungsauslösedienstleister ausgelöst, so teilt der Zahlungsauslösedienstleister zusätzlich zu den Informationen und Vertragsbedingungen nach Artikel VII.15 dem Zahler und gegebenenfalls dem Zahlungs</w:t>
      </w:r>
      <w:r w:rsidRPr="004676F5">
        <w:rPr>
          <w:lang w:val="de-DE"/>
        </w:rPr>
        <w:softHyphen/>
        <w:t>empfänger unmittelbar nach der Auslösung alle nachstehenden Daten mit oder macht sie ihnen zugänglich:</w:t>
      </w:r>
    </w:p>
    <w:p w14:paraId="34D01BCE" w14:textId="77777777" w:rsidR="00DA3F26" w:rsidRPr="004676F5" w:rsidRDefault="00DA3F26" w:rsidP="00DA3F26">
      <w:pPr>
        <w:ind w:firstLine="708"/>
        <w:jc w:val="both"/>
        <w:rPr>
          <w:lang w:val="de-DE"/>
        </w:rPr>
      </w:pPr>
    </w:p>
    <w:p w14:paraId="2EC77FF5" w14:textId="77777777" w:rsidR="00DA3F26" w:rsidRPr="004676F5" w:rsidRDefault="00DA3F26" w:rsidP="00DA3F26">
      <w:pPr>
        <w:ind w:firstLine="708"/>
        <w:jc w:val="both"/>
        <w:rPr>
          <w:lang w:val="de-DE"/>
        </w:rPr>
      </w:pPr>
      <w:r w:rsidRPr="004676F5">
        <w:rPr>
          <w:lang w:val="de-DE"/>
        </w:rPr>
        <w:t>1. Bestätigung der erfolgreichen Auslösung des Zahlungsauftrags beim kontoführenden Zahlungsdienstleister des Zahlers,</w:t>
      </w:r>
    </w:p>
    <w:p w14:paraId="3684B6D7" w14:textId="77777777" w:rsidR="00DA3F26" w:rsidRPr="004676F5" w:rsidRDefault="00DA3F26" w:rsidP="00DA3F26">
      <w:pPr>
        <w:ind w:firstLine="708"/>
        <w:jc w:val="both"/>
        <w:rPr>
          <w:lang w:val="de-DE"/>
        </w:rPr>
      </w:pPr>
    </w:p>
    <w:p w14:paraId="1C6731F8" w14:textId="77777777" w:rsidR="00DA3F26" w:rsidRPr="004676F5" w:rsidRDefault="00DA3F26" w:rsidP="00DA3F26">
      <w:pPr>
        <w:ind w:firstLine="708"/>
        <w:jc w:val="both"/>
        <w:rPr>
          <w:lang w:val="de-DE"/>
        </w:rPr>
      </w:pPr>
      <w:r w:rsidRPr="004676F5">
        <w:rPr>
          <w:lang w:val="de-DE"/>
        </w:rPr>
        <w:t>2. Referenz, die dem Zahler und dem Zahlungsempfänger die Identifizierung des Zahlungsvorgangs und dem Zahlungsempfänger gegebenenfalls die Identifizierung des Zahlers ermöglicht, und weitere mit dem Zahlungsvorgang übermittelte Angaben,</w:t>
      </w:r>
    </w:p>
    <w:p w14:paraId="3DF4C518" w14:textId="77777777" w:rsidR="00DA3F26" w:rsidRPr="004676F5" w:rsidRDefault="00DA3F26" w:rsidP="00DA3F26">
      <w:pPr>
        <w:jc w:val="both"/>
        <w:rPr>
          <w:lang w:val="de-DE"/>
        </w:rPr>
      </w:pPr>
    </w:p>
    <w:p w14:paraId="723A06ED" w14:textId="77777777" w:rsidR="00DA3F26" w:rsidRPr="004676F5" w:rsidRDefault="00DA3F26" w:rsidP="00DA3F26">
      <w:pPr>
        <w:ind w:firstLine="708"/>
        <w:jc w:val="both"/>
        <w:rPr>
          <w:lang w:val="de-DE"/>
        </w:rPr>
      </w:pPr>
      <w:r w:rsidRPr="004676F5">
        <w:rPr>
          <w:lang w:val="de-DE"/>
        </w:rPr>
        <w:t>3. Betrag des Zahlungsvorgangs,</w:t>
      </w:r>
    </w:p>
    <w:p w14:paraId="3728B0CD" w14:textId="77777777" w:rsidR="00DA3F26" w:rsidRPr="004676F5" w:rsidRDefault="00DA3F26" w:rsidP="00DA3F26">
      <w:pPr>
        <w:ind w:firstLine="708"/>
        <w:jc w:val="both"/>
        <w:rPr>
          <w:lang w:val="de-DE"/>
        </w:rPr>
      </w:pPr>
    </w:p>
    <w:p w14:paraId="2F13884F" w14:textId="77777777" w:rsidR="00DA3F26" w:rsidRPr="004676F5" w:rsidRDefault="00DA3F26" w:rsidP="00DA3F26">
      <w:pPr>
        <w:ind w:firstLine="708"/>
        <w:jc w:val="both"/>
        <w:rPr>
          <w:lang w:val="de-DE"/>
        </w:rPr>
      </w:pPr>
      <w:r w:rsidRPr="004676F5">
        <w:rPr>
          <w:lang w:val="de-DE"/>
        </w:rPr>
        <w:t>4. gegebenenfalls Höhe der an den Zahlungsauslösedienstleister für den Zahlungs</w:t>
      </w:r>
      <w:r w:rsidRPr="004676F5">
        <w:rPr>
          <w:lang w:val="de-DE"/>
        </w:rPr>
        <w:softHyphen/>
        <w:t>vorgang zu entrichtenden Entgelte und gegebenenfalls Aufschlüsselung der Beträge dieser Entgelte.</w:t>
      </w:r>
    </w:p>
    <w:p w14:paraId="1B60FE64" w14:textId="36474595" w:rsidR="00DA3F26" w:rsidRPr="004676F5" w:rsidRDefault="00DA3F26" w:rsidP="00DA3F26">
      <w:pPr>
        <w:ind w:firstLine="708"/>
        <w:jc w:val="both"/>
        <w:rPr>
          <w:lang w:val="de-DE"/>
        </w:rPr>
      </w:pPr>
    </w:p>
    <w:p w14:paraId="674530A8" w14:textId="77777777" w:rsidR="00DA3F26" w:rsidRPr="004676F5" w:rsidRDefault="00DA3F26" w:rsidP="00DA3F26">
      <w:pPr>
        <w:ind w:firstLine="708"/>
        <w:jc w:val="both"/>
        <w:rPr>
          <w:lang w:val="de-DE"/>
        </w:rPr>
      </w:pPr>
    </w:p>
    <w:p w14:paraId="730C04F0" w14:textId="3324E665" w:rsidR="00DA3F26" w:rsidRPr="004676F5" w:rsidRDefault="00DA3F26" w:rsidP="00DA3F26">
      <w:pPr>
        <w:ind w:firstLine="708"/>
        <w:jc w:val="both"/>
        <w:rPr>
          <w:lang w:val="de-DE"/>
        </w:rPr>
      </w:pPr>
      <w:r w:rsidRPr="004676F5">
        <w:rPr>
          <w:b/>
          <w:lang w:val="de-DE"/>
        </w:rPr>
        <w:t>Art. VII.17</w:t>
      </w:r>
      <w:r w:rsidRPr="004676F5">
        <w:rPr>
          <w:lang w:val="de-DE"/>
        </w:rPr>
        <w:t> </w:t>
      </w:r>
      <w:r w:rsidR="005B7A5C" w:rsidRPr="004676F5">
        <w:rPr>
          <w:lang w:val="de-DE"/>
        </w:rPr>
        <w:t>- </w:t>
      </w:r>
      <w:r w:rsidRPr="004676F5">
        <w:rPr>
          <w:lang w:val="de-DE"/>
        </w:rPr>
        <w:t>Erfolgt die Auslösung eines Zahlungsauftrags durch einen Zahlungsaus</w:t>
      </w:r>
      <w:r w:rsidRPr="004676F5">
        <w:rPr>
          <w:lang w:val="de-DE"/>
        </w:rPr>
        <w:softHyphen/>
        <w:t>löse</w:t>
      </w:r>
      <w:r w:rsidRPr="004676F5">
        <w:rPr>
          <w:lang w:val="de-DE"/>
        </w:rPr>
        <w:softHyphen/>
        <w:t>dienstleister, so macht dieser dem kontoführenden Zahlungsdienstleister des Zahlers die Referenz des Zahlungsvorgangs zugänglich.</w:t>
      </w:r>
    </w:p>
    <w:p w14:paraId="2F265763" w14:textId="64687A77" w:rsidR="00DA3F26" w:rsidRPr="004676F5" w:rsidRDefault="00DA3F26" w:rsidP="00DA3F26">
      <w:pPr>
        <w:ind w:firstLine="708"/>
        <w:jc w:val="both"/>
        <w:rPr>
          <w:lang w:val="de-DE"/>
        </w:rPr>
      </w:pPr>
    </w:p>
    <w:p w14:paraId="172F147B" w14:textId="77777777" w:rsidR="00DA3F26" w:rsidRPr="004676F5" w:rsidRDefault="00DA3F26" w:rsidP="00DA3F26">
      <w:pPr>
        <w:ind w:firstLine="708"/>
        <w:jc w:val="both"/>
        <w:rPr>
          <w:lang w:val="de-DE"/>
        </w:rPr>
      </w:pPr>
    </w:p>
    <w:p w14:paraId="6CF32F87" w14:textId="1AF61B08" w:rsidR="00DA3F26" w:rsidRPr="004676F5" w:rsidRDefault="00DA3F26" w:rsidP="00DA3F26">
      <w:pPr>
        <w:ind w:firstLine="708"/>
        <w:jc w:val="both"/>
        <w:rPr>
          <w:lang w:val="de-DE"/>
        </w:rPr>
      </w:pPr>
      <w:r w:rsidRPr="004676F5">
        <w:rPr>
          <w:b/>
          <w:lang w:val="de-DE"/>
        </w:rPr>
        <w:t>Art. VII.18</w:t>
      </w:r>
      <w:r w:rsidRPr="004676F5">
        <w:rPr>
          <w:lang w:val="de-DE"/>
        </w:rPr>
        <w:t> </w:t>
      </w:r>
      <w:r w:rsidR="005B7A5C" w:rsidRPr="004676F5">
        <w:rPr>
          <w:lang w:val="de-DE"/>
        </w:rPr>
        <w:t>- </w:t>
      </w:r>
      <w:r w:rsidRPr="004676F5">
        <w:rPr>
          <w:lang w:val="de-DE"/>
        </w:rPr>
        <w:t>Unverzüglich nach Eingang des Zahlungsauftrags teilt der Zahlungsdienst</w:t>
      </w:r>
      <w:r w:rsidRPr="004676F5">
        <w:rPr>
          <w:lang w:val="de-DE"/>
        </w:rPr>
        <w:softHyphen/>
        <w:t>leister des Zahlers dem Zahler nach Maßgabe des Artikels VII.14 § 1 folgende Informationen in Bezug auf seine eigenen Dienste mit oder macht sie ihm zugänglich:</w:t>
      </w:r>
    </w:p>
    <w:p w14:paraId="48734195" w14:textId="77777777" w:rsidR="00DA3F26" w:rsidRPr="004676F5" w:rsidRDefault="00DA3F26" w:rsidP="00DA3F26">
      <w:pPr>
        <w:jc w:val="both"/>
        <w:rPr>
          <w:lang w:val="de-DE"/>
        </w:rPr>
      </w:pPr>
    </w:p>
    <w:p w14:paraId="08A7CE91" w14:textId="77777777" w:rsidR="00DA3F26" w:rsidRPr="004676F5" w:rsidRDefault="00DA3F26" w:rsidP="00DA3F26">
      <w:pPr>
        <w:ind w:firstLine="708"/>
        <w:jc w:val="both"/>
        <w:rPr>
          <w:lang w:val="de-DE"/>
        </w:rPr>
      </w:pPr>
      <w:r w:rsidRPr="004676F5">
        <w:rPr>
          <w:lang w:val="de-DE"/>
        </w:rPr>
        <w:t>1. Referenz, die dem Zahler die Identifizierung des betreffenden Zahlungsvorgangs ermöglicht, und gegebenenfalls Angaben zum Zahlungsempfänger,</w:t>
      </w:r>
    </w:p>
    <w:p w14:paraId="28AC578F" w14:textId="77777777" w:rsidR="00DA3F26" w:rsidRPr="004676F5" w:rsidRDefault="00DA3F26" w:rsidP="00DA3F26">
      <w:pPr>
        <w:ind w:firstLine="708"/>
        <w:jc w:val="both"/>
        <w:rPr>
          <w:lang w:val="de-DE"/>
        </w:rPr>
      </w:pPr>
    </w:p>
    <w:p w14:paraId="76A7DC57" w14:textId="77777777" w:rsidR="00DA3F26" w:rsidRPr="004676F5" w:rsidRDefault="00DA3F26" w:rsidP="00DA3F26">
      <w:pPr>
        <w:ind w:firstLine="708"/>
        <w:jc w:val="both"/>
        <w:rPr>
          <w:lang w:val="de-DE"/>
        </w:rPr>
      </w:pPr>
      <w:r w:rsidRPr="004676F5">
        <w:rPr>
          <w:lang w:val="de-DE"/>
        </w:rPr>
        <w:t>2. Betrag des Zahlungsvorgangs in der im Zahlungsauftrag verwendeten Währung,</w:t>
      </w:r>
    </w:p>
    <w:p w14:paraId="20BCFC2E" w14:textId="77777777" w:rsidR="00DA3F26" w:rsidRPr="004676F5" w:rsidRDefault="00DA3F26" w:rsidP="00DA3F26">
      <w:pPr>
        <w:jc w:val="both"/>
        <w:rPr>
          <w:lang w:val="de-DE"/>
        </w:rPr>
      </w:pPr>
    </w:p>
    <w:p w14:paraId="0D232CE2" w14:textId="77777777" w:rsidR="00DA3F26" w:rsidRPr="004676F5" w:rsidRDefault="00DA3F26" w:rsidP="00DA3F26">
      <w:pPr>
        <w:ind w:firstLine="708"/>
        <w:jc w:val="both"/>
        <w:rPr>
          <w:lang w:val="de-DE"/>
        </w:rPr>
      </w:pPr>
      <w:r w:rsidRPr="004676F5">
        <w:rPr>
          <w:lang w:val="de-DE"/>
        </w:rPr>
        <w:t>3. Höhe der vom Zahler für den Zahlungsvorgang zu entrichtenden Entgelte und gegebenenfalls Aufschlüsselung der Beträge dieser Entgelte,</w:t>
      </w:r>
    </w:p>
    <w:p w14:paraId="197D881C" w14:textId="77777777" w:rsidR="00DA3F26" w:rsidRPr="004676F5" w:rsidRDefault="00DA3F26" w:rsidP="00DA3F26">
      <w:pPr>
        <w:ind w:firstLine="708"/>
        <w:jc w:val="both"/>
        <w:rPr>
          <w:lang w:val="de-DE"/>
        </w:rPr>
      </w:pPr>
    </w:p>
    <w:p w14:paraId="7FDB61E0" w14:textId="77777777" w:rsidR="00DA3F26" w:rsidRPr="004676F5" w:rsidRDefault="00DA3F26" w:rsidP="00DA3F26">
      <w:pPr>
        <w:ind w:firstLine="708"/>
        <w:jc w:val="both"/>
        <w:rPr>
          <w:lang w:val="de-DE"/>
        </w:rPr>
      </w:pPr>
      <w:r w:rsidRPr="004676F5">
        <w:rPr>
          <w:lang w:val="de-DE"/>
        </w:rPr>
        <w:t>4. gegebenenfalls Wechselkurs, den der Zahlungsdienstleister des Zahlers dem Zahlungsvorgang zugrunde gelegt hat, oder einen Verweis darauf, sofern dieser Kurs von dem in Artikel VII.15 § 1 Nr. 4 genannten Kurs abweicht, und Betrag des Zahlungsvorgangs nach dieser Währungsumrechnung,</w:t>
      </w:r>
    </w:p>
    <w:p w14:paraId="1E46C810" w14:textId="77777777" w:rsidR="00DA3F26" w:rsidRPr="004676F5" w:rsidRDefault="00DA3F26" w:rsidP="00DA3F26">
      <w:pPr>
        <w:ind w:firstLine="708"/>
        <w:jc w:val="both"/>
        <w:rPr>
          <w:lang w:val="de-DE"/>
        </w:rPr>
      </w:pPr>
    </w:p>
    <w:p w14:paraId="1C75C0B1" w14:textId="77777777" w:rsidR="00DA3F26" w:rsidRPr="004676F5" w:rsidRDefault="00DA3F26" w:rsidP="00DA3F26">
      <w:pPr>
        <w:ind w:firstLine="708"/>
        <w:jc w:val="both"/>
        <w:rPr>
          <w:lang w:val="de-DE"/>
        </w:rPr>
      </w:pPr>
      <w:r w:rsidRPr="004676F5">
        <w:rPr>
          <w:lang w:val="de-DE"/>
        </w:rPr>
        <w:t>5. Datum des Eingangs des Zahlungsauftrags.</w:t>
      </w:r>
    </w:p>
    <w:p w14:paraId="6C6E0696" w14:textId="04315FB8" w:rsidR="00DA3F26" w:rsidRPr="004676F5" w:rsidRDefault="00DA3F26" w:rsidP="00DA3F26">
      <w:pPr>
        <w:jc w:val="both"/>
        <w:rPr>
          <w:lang w:val="de-DE"/>
        </w:rPr>
      </w:pPr>
    </w:p>
    <w:p w14:paraId="7531CFAF" w14:textId="77777777" w:rsidR="00DA3F26" w:rsidRPr="004676F5" w:rsidRDefault="00DA3F26" w:rsidP="00DA3F26">
      <w:pPr>
        <w:jc w:val="both"/>
        <w:rPr>
          <w:lang w:val="de-DE"/>
        </w:rPr>
      </w:pPr>
    </w:p>
    <w:p w14:paraId="53FFA2D9" w14:textId="010EC6EF" w:rsidR="00DA3F26" w:rsidRPr="004676F5" w:rsidRDefault="00DA3F26" w:rsidP="00DA3F26">
      <w:pPr>
        <w:ind w:firstLine="708"/>
        <w:jc w:val="both"/>
        <w:rPr>
          <w:lang w:val="de-DE"/>
        </w:rPr>
      </w:pPr>
      <w:r w:rsidRPr="004676F5">
        <w:rPr>
          <w:b/>
          <w:lang w:val="de-DE"/>
        </w:rPr>
        <w:t>Art. VII.19</w:t>
      </w:r>
      <w:r w:rsidRPr="004676F5">
        <w:rPr>
          <w:lang w:val="de-DE"/>
        </w:rPr>
        <w:t> </w:t>
      </w:r>
      <w:r w:rsidR="005B7A5C" w:rsidRPr="004676F5">
        <w:rPr>
          <w:lang w:val="de-DE"/>
        </w:rPr>
        <w:t>- </w:t>
      </w:r>
      <w:r w:rsidRPr="004676F5">
        <w:rPr>
          <w:lang w:val="de-DE"/>
        </w:rPr>
        <w:t>Unverzüglich nach Ausführung des Zahlungsvorgangs teilt der Zahlungs</w:t>
      </w:r>
      <w:r w:rsidRPr="004676F5">
        <w:rPr>
          <w:lang w:val="de-DE"/>
        </w:rPr>
        <w:softHyphen/>
        <w:t xml:space="preserve">dienstleister des Zahlungsempfängers dem Zahlungsempfänger nach Maßgabe des </w:t>
      </w:r>
      <w:r w:rsidRPr="004676F5">
        <w:rPr>
          <w:lang w:val="de-DE"/>
        </w:rPr>
        <w:lastRenderedPageBreak/>
        <w:t>Artikels VII.14 § 1 folgende Informationen in Bezug auf seine eigenen Dienste mit oder macht sie ihm zugänglich:</w:t>
      </w:r>
    </w:p>
    <w:p w14:paraId="11175080" w14:textId="77777777" w:rsidR="00DA3F26" w:rsidRPr="004676F5" w:rsidRDefault="00DA3F26" w:rsidP="00DA3F26">
      <w:pPr>
        <w:jc w:val="both"/>
        <w:rPr>
          <w:lang w:val="de-DE"/>
        </w:rPr>
      </w:pPr>
    </w:p>
    <w:p w14:paraId="46780708" w14:textId="77777777" w:rsidR="00DA3F26" w:rsidRPr="004676F5" w:rsidRDefault="00DA3F26" w:rsidP="00DA3F26">
      <w:pPr>
        <w:ind w:firstLine="708"/>
        <w:jc w:val="both"/>
        <w:rPr>
          <w:lang w:val="de-DE"/>
        </w:rPr>
      </w:pPr>
      <w:r w:rsidRPr="004676F5">
        <w:rPr>
          <w:lang w:val="de-DE"/>
        </w:rPr>
        <w:t>1. Referenz, die dem Zahlungsempfänger die Identifizierung des betreffenden Zahlungs</w:t>
      </w:r>
      <w:r w:rsidRPr="004676F5">
        <w:rPr>
          <w:lang w:val="de-DE"/>
        </w:rPr>
        <w:softHyphen/>
        <w:t>vorgangs und gegebenenfalls des Zahlers ermöglicht, und weitere mit dem Zahlungsvorgang übermittelte Angaben,</w:t>
      </w:r>
    </w:p>
    <w:p w14:paraId="05B29128" w14:textId="77777777" w:rsidR="00DA3F26" w:rsidRPr="004676F5" w:rsidRDefault="00DA3F26" w:rsidP="00DA3F26">
      <w:pPr>
        <w:ind w:firstLine="708"/>
        <w:jc w:val="both"/>
        <w:rPr>
          <w:lang w:val="de-DE"/>
        </w:rPr>
      </w:pPr>
    </w:p>
    <w:p w14:paraId="2E775771" w14:textId="77777777" w:rsidR="00DA3F26" w:rsidRPr="004676F5" w:rsidRDefault="00DA3F26" w:rsidP="00DA3F26">
      <w:pPr>
        <w:ind w:firstLine="708"/>
        <w:jc w:val="both"/>
        <w:rPr>
          <w:lang w:val="de-DE"/>
        </w:rPr>
      </w:pPr>
      <w:r w:rsidRPr="004676F5">
        <w:rPr>
          <w:lang w:val="de-DE"/>
        </w:rPr>
        <w:t>2. Betrag des Zahlungsvorgangs in der Währung, in der er dem Zahlungsempfänger zur Verfügung steht,</w:t>
      </w:r>
    </w:p>
    <w:p w14:paraId="33624E76" w14:textId="77777777" w:rsidR="00DA3F26" w:rsidRPr="004676F5" w:rsidRDefault="00DA3F26" w:rsidP="00DA3F26">
      <w:pPr>
        <w:ind w:firstLine="708"/>
        <w:jc w:val="both"/>
        <w:rPr>
          <w:lang w:val="de-DE"/>
        </w:rPr>
      </w:pPr>
    </w:p>
    <w:p w14:paraId="5D68D87C" w14:textId="77777777" w:rsidR="00DA3F26" w:rsidRPr="004676F5" w:rsidRDefault="00DA3F26" w:rsidP="00DA3F26">
      <w:pPr>
        <w:ind w:firstLine="708"/>
        <w:jc w:val="both"/>
        <w:rPr>
          <w:lang w:val="de-DE"/>
        </w:rPr>
      </w:pPr>
      <w:r w:rsidRPr="004676F5">
        <w:rPr>
          <w:lang w:val="de-DE"/>
        </w:rPr>
        <w:t>3. Höhe der vom Zahlungsempfänger für den Zahlungsvorgang zu entrichtenden Entgelte und gegebenenfalls Aufschlüsselung der Beträge dieser Entgelte,</w:t>
      </w:r>
    </w:p>
    <w:p w14:paraId="1A46022A" w14:textId="77777777" w:rsidR="00DA3F26" w:rsidRPr="004676F5" w:rsidRDefault="00DA3F26" w:rsidP="00DA3F26">
      <w:pPr>
        <w:ind w:firstLine="708"/>
        <w:jc w:val="both"/>
        <w:rPr>
          <w:lang w:val="de-DE"/>
        </w:rPr>
      </w:pPr>
    </w:p>
    <w:p w14:paraId="0ACDB511" w14:textId="77777777" w:rsidR="00DA3F26" w:rsidRPr="004676F5" w:rsidRDefault="00DA3F26" w:rsidP="00DA3F26">
      <w:pPr>
        <w:ind w:firstLine="708"/>
        <w:jc w:val="both"/>
        <w:rPr>
          <w:lang w:val="de-DE"/>
        </w:rPr>
      </w:pPr>
      <w:r w:rsidRPr="004676F5">
        <w:rPr>
          <w:lang w:val="de-DE"/>
        </w:rPr>
        <w:t>4. gegebenenfalls Wechselkurs, den der Zahlungsdienstleister des Zahlungsempfängers dem Zahlungsvorgang zugrunde gelegt hat, und Betrag des Zahlungsvorgangs vor dieser Währungsumrechnung,</w:t>
      </w:r>
    </w:p>
    <w:p w14:paraId="10A7FC4F" w14:textId="77777777" w:rsidR="00DA3F26" w:rsidRPr="004676F5" w:rsidRDefault="00DA3F26" w:rsidP="00DA3F26">
      <w:pPr>
        <w:ind w:firstLine="708"/>
        <w:jc w:val="both"/>
        <w:rPr>
          <w:lang w:val="de-DE"/>
        </w:rPr>
      </w:pPr>
    </w:p>
    <w:p w14:paraId="17871FD8" w14:textId="77777777" w:rsidR="00DA3F26" w:rsidRPr="004676F5" w:rsidRDefault="00DA3F26" w:rsidP="00DA3F26">
      <w:pPr>
        <w:ind w:firstLine="708"/>
        <w:jc w:val="both"/>
        <w:rPr>
          <w:lang w:val="de-DE"/>
        </w:rPr>
      </w:pPr>
      <w:r w:rsidRPr="004676F5">
        <w:rPr>
          <w:lang w:val="de-DE"/>
        </w:rPr>
        <w:t>5. Wertstellungsdatum der Gutschrift.</w:t>
      </w:r>
    </w:p>
    <w:p w14:paraId="35DD5D56" w14:textId="12F97579" w:rsidR="00DA3F26" w:rsidRPr="004676F5" w:rsidRDefault="00DA3F26" w:rsidP="00DA3F26">
      <w:pPr>
        <w:ind w:firstLine="708"/>
        <w:rPr>
          <w:lang w:val="de-DE"/>
        </w:rPr>
      </w:pPr>
    </w:p>
    <w:p w14:paraId="071C510B" w14:textId="77777777" w:rsidR="00DA3F26" w:rsidRPr="004676F5" w:rsidRDefault="00DA3F26" w:rsidP="00DA3F26">
      <w:pPr>
        <w:ind w:firstLine="708"/>
        <w:rPr>
          <w:lang w:val="de-DE"/>
        </w:rPr>
      </w:pPr>
    </w:p>
    <w:p w14:paraId="08528B1B" w14:textId="2548CEF6" w:rsidR="00DA3F26" w:rsidRPr="004676F5" w:rsidRDefault="00DA3F26" w:rsidP="00DA3F26">
      <w:pPr>
        <w:jc w:val="center"/>
        <w:rPr>
          <w:lang w:val="de-DE"/>
        </w:rPr>
      </w:pPr>
      <w:r w:rsidRPr="004676F5">
        <w:rPr>
          <w:i/>
          <w:lang w:val="de-DE"/>
        </w:rPr>
        <w:t>Abschnitt 3 </w:t>
      </w:r>
      <w:r w:rsidR="005B7A5C" w:rsidRPr="004676F5">
        <w:rPr>
          <w:i/>
          <w:lang w:val="de-DE"/>
        </w:rPr>
        <w:t>- </w:t>
      </w:r>
      <w:r w:rsidRPr="004676F5">
        <w:rPr>
          <w:lang w:val="de-DE"/>
        </w:rPr>
        <w:t>Rahmenverträge und einzelne Zahlungsvorgänge, die von einem Rahmenvertrag erfasst sind</w:t>
      </w:r>
    </w:p>
    <w:p w14:paraId="61AF3CA2" w14:textId="645DBB4E" w:rsidR="00DA3F26" w:rsidRPr="004676F5" w:rsidRDefault="00DA3F26" w:rsidP="00DA3F26">
      <w:pPr>
        <w:rPr>
          <w:lang w:val="de-DE"/>
        </w:rPr>
      </w:pPr>
    </w:p>
    <w:p w14:paraId="7AE794E5" w14:textId="77777777" w:rsidR="00DA3F26" w:rsidRPr="004676F5" w:rsidRDefault="00DA3F26" w:rsidP="00DA3F26">
      <w:pPr>
        <w:rPr>
          <w:lang w:val="de-DE"/>
        </w:rPr>
      </w:pPr>
    </w:p>
    <w:p w14:paraId="1AB60B0A" w14:textId="0FEF4CA8" w:rsidR="00DA3F26" w:rsidRPr="004676F5" w:rsidRDefault="00DA3F26" w:rsidP="00DA3F26">
      <w:pPr>
        <w:jc w:val="center"/>
        <w:rPr>
          <w:lang w:val="de-DE"/>
        </w:rPr>
      </w:pPr>
      <w:r w:rsidRPr="004676F5">
        <w:rPr>
          <w:lang w:val="de-DE"/>
        </w:rPr>
        <w:t>Unterabschnitt 1 </w:t>
      </w:r>
      <w:r w:rsidR="005B7A5C" w:rsidRPr="004676F5">
        <w:rPr>
          <w:lang w:val="de-DE"/>
        </w:rPr>
        <w:t>- </w:t>
      </w:r>
      <w:r w:rsidRPr="004676F5">
        <w:rPr>
          <w:lang w:val="de-DE"/>
        </w:rPr>
        <w:t>Anwendungsbereich</w:t>
      </w:r>
    </w:p>
    <w:p w14:paraId="54D23F98" w14:textId="2148152C" w:rsidR="00DA3F26" w:rsidRPr="004676F5" w:rsidRDefault="00DA3F26" w:rsidP="00DA3F26">
      <w:pPr>
        <w:rPr>
          <w:lang w:val="de-DE"/>
        </w:rPr>
      </w:pPr>
    </w:p>
    <w:p w14:paraId="6560F5C0" w14:textId="77777777" w:rsidR="00DA3F26" w:rsidRPr="004676F5" w:rsidRDefault="00DA3F26" w:rsidP="00DA3F26">
      <w:pPr>
        <w:rPr>
          <w:lang w:val="de-DE"/>
        </w:rPr>
      </w:pPr>
    </w:p>
    <w:p w14:paraId="20DE9691" w14:textId="7A970815" w:rsidR="00DA3F26" w:rsidRPr="004676F5" w:rsidRDefault="00DA3F26" w:rsidP="00DA3F26">
      <w:pPr>
        <w:ind w:firstLine="708"/>
        <w:jc w:val="both"/>
        <w:rPr>
          <w:lang w:val="de-DE"/>
        </w:rPr>
      </w:pPr>
      <w:r w:rsidRPr="004676F5">
        <w:rPr>
          <w:b/>
          <w:lang w:val="de-DE"/>
        </w:rPr>
        <w:t>Art. VII.20</w:t>
      </w:r>
      <w:r w:rsidRPr="004676F5">
        <w:rPr>
          <w:lang w:val="de-DE"/>
        </w:rPr>
        <w:t> </w:t>
      </w:r>
      <w:r w:rsidR="005B7A5C" w:rsidRPr="004676F5">
        <w:rPr>
          <w:lang w:val="de-DE"/>
        </w:rPr>
        <w:t>- </w:t>
      </w:r>
      <w:r w:rsidRPr="004676F5">
        <w:rPr>
          <w:lang w:val="de-DE"/>
        </w:rPr>
        <w:t>Vorliegender Abschnitt gilt für Rahmenverträge und Zahlungsvorgänge, die von einem Rahmenvertrag erfasst sind.</w:t>
      </w:r>
    </w:p>
    <w:p w14:paraId="1643052E" w14:textId="10797F4B" w:rsidR="00DA3F26" w:rsidRPr="004676F5" w:rsidRDefault="00DA3F26" w:rsidP="00DA3F26">
      <w:pPr>
        <w:ind w:firstLine="708"/>
        <w:rPr>
          <w:lang w:val="de-DE"/>
        </w:rPr>
      </w:pPr>
    </w:p>
    <w:p w14:paraId="20152D59" w14:textId="77777777" w:rsidR="00DA3F26" w:rsidRPr="004676F5" w:rsidRDefault="00DA3F26" w:rsidP="00DA3F26">
      <w:pPr>
        <w:ind w:firstLine="708"/>
        <w:rPr>
          <w:lang w:val="de-DE"/>
        </w:rPr>
      </w:pPr>
    </w:p>
    <w:p w14:paraId="242A7AA6" w14:textId="0F27F494" w:rsidR="00DA3F26" w:rsidRPr="004676F5" w:rsidRDefault="00DA3F26" w:rsidP="00DA3F26">
      <w:pPr>
        <w:jc w:val="center"/>
        <w:rPr>
          <w:lang w:val="de-DE"/>
        </w:rPr>
      </w:pPr>
      <w:r w:rsidRPr="004676F5">
        <w:rPr>
          <w:lang w:val="de-DE"/>
        </w:rPr>
        <w:t>Unterabschnitt 2 </w:t>
      </w:r>
      <w:r w:rsidR="005B7A5C" w:rsidRPr="004676F5">
        <w:rPr>
          <w:lang w:val="de-DE"/>
        </w:rPr>
        <w:t>- </w:t>
      </w:r>
      <w:r w:rsidRPr="004676F5">
        <w:rPr>
          <w:lang w:val="de-DE"/>
        </w:rPr>
        <w:t>Vorabunterrichtung und Vertragsbedingungen</w:t>
      </w:r>
    </w:p>
    <w:p w14:paraId="0CAFE9FB" w14:textId="677985A6" w:rsidR="00DA3F26" w:rsidRPr="004676F5" w:rsidRDefault="00DA3F26" w:rsidP="00DA3F26">
      <w:pPr>
        <w:jc w:val="both"/>
        <w:rPr>
          <w:lang w:val="de-DE"/>
        </w:rPr>
      </w:pPr>
    </w:p>
    <w:p w14:paraId="3C0914BC" w14:textId="77777777" w:rsidR="00DA3F26" w:rsidRPr="004676F5" w:rsidRDefault="00DA3F26" w:rsidP="00DA3F26">
      <w:pPr>
        <w:jc w:val="both"/>
        <w:rPr>
          <w:lang w:val="de-DE"/>
        </w:rPr>
      </w:pPr>
    </w:p>
    <w:p w14:paraId="53AFF416" w14:textId="55892971" w:rsidR="00DA3F26" w:rsidRPr="004676F5" w:rsidRDefault="00DA3F26" w:rsidP="00DA3F26">
      <w:pPr>
        <w:ind w:firstLine="708"/>
        <w:jc w:val="both"/>
        <w:rPr>
          <w:lang w:val="de-DE"/>
        </w:rPr>
      </w:pPr>
      <w:r w:rsidRPr="004676F5">
        <w:rPr>
          <w:b/>
          <w:lang w:val="de-DE"/>
        </w:rPr>
        <w:t>Art. VII.21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Der Zahlungsdienstleister teilt dem Zahlungsdienstnutzer rechtzeitig die Informationen und Vertragsbedingungen gemäß Artikel VII.22 </w:t>
      </w:r>
      <w:r w:rsidR="002F26DE" w:rsidRPr="004676F5">
        <w:rPr>
          <w:lang w:val="de-DE"/>
        </w:rPr>
        <w:t xml:space="preserve">[auf dauerhaftem Datenträger] </w:t>
      </w:r>
      <w:r w:rsidRPr="004676F5">
        <w:rPr>
          <w:lang w:val="de-DE"/>
        </w:rPr>
        <w:t>mit, bevor der Zahlungsdienstnutzer durch einen Rahmenvertrag oder ein Vertragsangebot gebunden ist.</w:t>
      </w:r>
    </w:p>
    <w:p w14:paraId="2033C8C9" w14:textId="77777777" w:rsidR="00DA3F26" w:rsidRPr="004676F5" w:rsidRDefault="00DA3F26" w:rsidP="00DA3F26">
      <w:pPr>
        <w:jc w:val="both"/>
        <w:rPr>
          <w:lang w:val="de-DE"/>
        </w:rPr>
      </w:pPr>
    </w:p>
    <w:p w14:paraId="7DAA83DC" w14:textId="77777777" w:rsidR="00DA3F26" w:rsidRPr="004676F5" w:rsidRDefault="00DA3F26" w:rsidP="00DA3F26">
      <w:pPr>
        <w:ind w:firstLine="708"/>
        <w:jc w:val="both"/>
        <w:rPr>
          <w:lang w:val="de-DE"/>
        </w:rPr>
      </w:pPr>
      <w:r w:rsidRPr="004676F5">
        <w:rPr>
          <w:lang w:val="de-DE"/>
        </w:rPr>
        <w:t>Die Informationen und Vertragsbedingungen werden in der oder den Sprachen des Sprachgebietes, in dem der Zahlungsdienst angeboten wird, oder in einer anderen zwischen den Parteien vereinbarten Sprache in leicht verständlichen Worten und in klarer und verständlicher Form mitgeteilt.</w:t>
      </w:r>
    </w:p>
    <w:p w14:paraId="11917BA5" w14:textId="77777777" w:rsidR="00DA3F26" w:rsidRPr="004676F5" w:rsidRDefault="00DA3F26" w:rsidP="00DA3F26">
      <w:pPr>
        <w:ind w:firstLine="708"/>
        <w:jc w:val="both"/>
        <w:rPr>
          <w:lang w:val="de-DE"/>
        </w:rPr>
      </w:pPr>
    </w:p>
    <w:p w14:paraId="15413200" w14:textId="64FFC5FB"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Wurde der Rahmenvertrag auf Verlangen des Zahlungsdienstnutzers mittels eines Fernkommunikationsmittels geschlossen, das es dem Zahlungsdienstleister nicht erlaubt, seinen Verpflichtungen nach § 1 nachzukommen, so erfüllt der Zahlungsdienstleister diese Pflichten unverzüglich nach Abschluss des Rahmenvertrags.</w:t>
      </w:r>
    </w:p>
    <w:p w14:paraId="0127E14D" w14:textId="77777777" w:rsidR="00DA3F26" w:rsidRPr="004676F5" w:rsidRDefault="00DA3F26" w:rsidP="00DA3F26">
      <w:pPr>
        <w:jc w:val="both"/>
        <w:rPr>
          <w:lang w:val="de-DE"/>
        </w:rPr>
      </w:pPr>
    </w:p>
    <w:p w14:paraId="71FAFC65" w14:textId="16DF5963"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Die Pflichten gemäß § 1 können auch erfüllt werden, indem eine Kopie des Rahmenvertragsentwurfs, der die nach Artikel VII.22 erforderlichen Informationen und Vertragsbedingungen enthält, übermittelt wird.</w:t>
      </w:r>
    </w:p>
    <w:p w14:paraId="44B19C17" w14:textId="77777777" w:rsidR="00DA3F26" w:rsidRPr="004676F5" w:rsidRDefault="00DA3F26" w:rsidP="00DA3F26">
      <w:pPr>
        <w:jc w:val="both"/>
        <w:rPr>
          <w:lang w:val="de-DE"/>
        </w:rPr>
      </w:pPr>
    </w:p>
    <w:p w14:paraId="6CBDE4DC" w14:textId="4BAE8D8C" w:rsidR="00DA3F26" w:rsidRPr="004676F5" w:rsidRDefault="00DA3F26" w:rsidP="00DA3F26">
      <w:pPr>
        <w:ind w:firstLine="708"/>
        <w:jc w:val="both"/>
        <w:rPr>
          <w:lang w:val="de-DE"/>
        </w:rPr>
      </w:pPr>
      <w:r w:rsidRPr="004676F5">
        <w:rPr>
          <w:lang w:val="de-DE"/>
        </w:rPr>
        <w:t xml:space="preserve">Wenn der Rahmenvertrag die Eröffnung eines Zahlungskontos betrifft und dem Verbraucher eine Überschreitung gewährt werden kann, werden im Rahmenvertrag die Informationen über den in Artikel VII.71 § 2 Absatz 2 Nr. 5 erwähnten Sollzinssatz angegeben. Der Zahlungsdienstleister erteilt diese Informationen in allen Fällen regelmäßig </w:t>
      </w:r>
      <w:r w:rsidR="002F26DE" w:rsidRPr="004676F5">
        <w:rPr>
          <w:lang w:val="de-DE"/>
        </w:rPr>
        <w:t>[auf dauerhaftem Datenträger]</w:t>
      </w:r>
      <w:r w:rsidRPr="004676F5">
        <w:rPr>
          <w:lang w:val="de-DE"/>
        </w:rPr>
        <w:t>, ungeachtet dessen, ob tatsächlich eine Überschreitung erfolgt ist.</w:t>
      </w:r>
    </w:p>
    <w:p w14:paraId="4C01C934" w14:textId="77777777" w:rsidR="00DA3F26" w:rsidRPr="004676F5" w:rsidRDefault="00DA3F26" w:rsidP="00DA3F26">
      <w:pPr>
        <w:ind w:firstLine="708"/>
        <w:jc w:val="both"/>
        <w:rPr>
          <w:lang w:val="de-DE"/>
        </w:rPr>
      </w:pPr>
    </w:p>
    <w:p w14:paraId="37D9F31C" w14:textId="623F9190" w:rsidR="002F26DE" w:rsidRPr="004676F5" w:rsidRDefault="002F26DE" w:rsidP="002F26DE">
      <w:pPr>
        <w:jc w:val="both"/>
        <w:rPr>
          <w:i/>
          <w:iCs/>
          <w:lang w:val="de-DE"/>
        </w:rPr>
      </w:pPr>
      <w:r w:rsidRPr="004676F5">
        <w:rPr>
          <w:i/>
          <w:iCs/>
          <w:lang w:val="de-DE"/>
        </w:rPr>
        <w:t>[Art. VII.21 § 1 Abs. 1 abgeändert durch Art. 12 des G. vom 20. September 2018 (B.S. vom 10. Oktober 2018); § 3 Abs. 2 abgeändert durch Art. 12 des G. vom 20. September 2018 (B.S. vom 10. Oktober 2018)]</w:t>
      </w:r>
    </w:p>
    <w:p w14:paraId="409827F4" w14:textId="77777777" w:rsidR="002F26DE" w:rsidRPr="004676F5" w:rsidRDefault="002F26DE" w:rsidP="002F26DE">
      <w:pPr>
        <w:jc w:val="both"/>
        <w:rPr>
          <w:lang w:val="de-DE"/>
        </w:rPr>
      </w:pPr>
    </w:p>
    <w:p w14:paraId="7B909E56" w14:textId="436D4B8F" w:rsidR="00DA3F26" w:rsidRPr="004676F5" w:rsidRDefault="00DA3F26" w:rsidP="00DA3F26">
      <w:pPr>
        <w:rPr>
          <w:lang w:val="de-DE"/>
        </w:rPr>
      </w:pPr>
    </w:p>
    <w:p w14:paraId="76175043" w14:textId="4F12BDDB" w:rsidR="00DA3F26" w:rsidRPr="004676F5" w:rsidRDefault="00DA3F26" w:rsidP="00DA3F26">
      <w:pPr>
        <w:ind w:firstLine="708"/>
        <w:jc w:val="both"/>
        <w:rPr>
          <w:lang w:val="de-DE"/>
        </w:rPr>
      </w:pPr>
      <w:r w:rsidRPr="004676F5">
        <w:rPr>
          <w:b/>
          <w:lang w:val="de-DE"/>
        </w:rPr>
        <w:t>Art. VII.22</w:t>
      </w:r>
      <w:r w:rsidRPr="004676F5">
        <w:rPr>
          <w:lang w:val="de-DE"/>
        </w:rPr>
        <w:t> </w:t>
      </w:r>
      <w:r w:rsidR="005B7A5C" w:rsidRPr="004676F5">
        <w:rPr>
          <w:lang w:val="de-DE"/>
        </w:rPr>
        <w:t>- </w:t>
      </w:r>
      <w:r w:rsidRPr="004676F5">
        <w:rPr>
          <w:lang w:val="de-DE"/>
        </w:rPr>
        <w:t>Zumindest folgende Informationen und Vertragsbedingungen sind dem Zahlungsdienstnutzer mitzuteilen:</w:t>
      </w:r>
    </w:p>
    <w:p w14:paraId="776F0077" w14:textId="77777777" w:rsidR="00DA3F26" w:rsidRPr="004676F5" w:rsidRDefault="00DA3F26" w:rsidP="00DA3F26">
      <w:pPr>
        <w:ind w:firstLine="708"/>
        <w:jc w:val="both"/>
        <w:rPr>
          <w:lang w:val="de-DE"/>
        </w:rPr>
      </w:pPr>
    </w:p>
    <w:p w14:paraId="7871C53F" w14:textId="77777777" w:rsidR="00DA3F26" w:rsidRPr="004676F5" w:rsidRDefault="00DA3F26" w:rsidP="00DA3F26">
      <w:pPr>
        <w:ind w:firstLine="708"/>
        <w:jc w:val="both"/>
        <w:rPr>
          <w:lang w:val="de-DE"/>
        </w:rPr>
      </w:pPr>
      <w:r w:rsidRPr="004676F5">
        <w:rPr>
          <w:lang w:val="de-DE"/>
        </w:rPr>
        <w:t>1. über den Zahlungsdienstleister:</w:t>
      </w:r>
    </w:p>
    <w:p w14:paraId="3FA8F101" w14:textId="77777777" w:rsidR="00DA3F26" w:rsidRPr="004676F5" w:rsidRDefault="00DA3F26" w:rsidP="00DA3F26">
      <w:pPr>
        <w:ind w:firstLine="708"/>
        <w:jc w:val="both"/>
        <w:rPr>
          <w:lang w:val="de-DE"/>
        </w:rPr>
      </w:pPr>
    </w:p>
    <w:p w14:paraId="4F329B97" w14:textId="77777777" w:rsidR="00DA3F26" w:rsidRPr="004676F5" w:rsidRDefault="00DA3F26" w:rsidP="00DA3F26">
      <w:pPr>
        <w:ind w:firstLine="708"/>
        <w:jc w:val="both"/>
        <w:rPr>
          <w:lang w:val="de-DE"/>
        </w:rPr>
      </w:pPr>
      <w:r w:rsidRPr="004676F5">
        <w:rPr>
          <w:i/>
          <w:lang w:val="de-DE"/>
        </w:rPr>
        <w:t>a)</w:t>
      </w:r>
      <w:r w:rsidRPr="004676F5">
        <w:rPr>
          <w:lang w:val="de-DE"/>
        </w:rPr>
        <w:t> Identität des Zahlungsdienstleisters, gegebenenfalls einschließlich seiner Unter</w:t>
      </w:r>
      <w:r w:rsidRPr="004676F5">
        <w:rPr>
          <w:lang w:val="de-DE"/>
        </w:rPr>
        <w:softHyphen/>
        <w:t>nehmens</w:t>
      </w:r>
      <w:r w:rsidRPr="004676F5">
        <w:rPr>
          <w:lang w:val="de-DE"/>
        </w:rPr>
        <w:softHyphen/>
        <w:t>nummer, Anschrift seiner Hauptverwaltung und gegebenenfalls Anschrift seines Agenten oder seiner Zweigniederlassung in Belgien, wo der Zahlungsdienst angeboten wird, sowie alle anderen Kontaktdaten einschließlich der E-Mail-Adresse, die für die Kommunikation mit dem Zahlungsdienstleister von Belang sind, und</w:t>
      </w:r>
    </w:p>
    <w:p w14:paraId="6387BCBB" w14:textId="77777777" w:rsidR="00DA3F26" w:rsidRPr="004676F5" w:rsidRDefault="00DA3F26" w:rsidP="00DA3F26">
      <w:pPr>
        <w:ind w:firstLine="708"/>
        <w:jc w:val="both"/>
        <w:rPr>
          <w:lang w:val="de-DE"/>
        </w:rPr>
      </w:pPr>
    </w:p>
    <w:p w14:paraId="696039B5" w14:textId="77777777" w:rsidR="00DA3F26" w:rsidRPr="004676F5" w:rsidRDefault="00DA3F26" w:rsidP="00DA3F26">
      <w:pPr>
        <w:ind w:firstLine="708"/>
        <w:jc w:val="both"/>
        <w:rPr>
          <w:lang w:val="de-DE"/>
        </w:rPr>
      </w:pPr>
      <w:r w:rsidRPr="004676F5">
        <w:rPr>
          <w:i/>
          <w:lang w:val="de-DE"/>
        </w:rPr>
        <w:t>b)</w:t>
      </w:r>
      <w:r w:rsidRPr="004676F5">
        <w:rPr>
          <w:lang w:val="de-DE"/>
        </w:rPr>
        <w:t> Angaben über die für vorbeugende Aufsicht zuständige Behörde und das bei dieser Behörde geführte relevante Register, in dem der Zahlungsdienstleister zwecks Zulassung eingetragen ist, sowie seine Registernummer oder eine gleichwertige in diesem Register verwendete Kennung,</w:t>
      </w:r>
    </w:p>
    <w:p w14:paraId="2B92C48C" w14:textId="77777777" w:rsidR="00DA3F26" w:rsidRPr="004676F5" w:rsidRDefault="00DA3F26" w:rsidP="00DA3F26">
      <w:pPr>
        <w:ind w:firstLine="708"/>
        <w:jc w:val="both"/>
        <w:rPr>
          <w:lang w:val="de-DE"/>
        </w:rPr>
      </w:pPr>
    </w:p>
    <w:p w14:paraId="388B0900" w14:textId="77777777" w:rsidR="00DA3F26" w:rsidRPr="004676F5" w:rsidRDefault="00DA3F26" w:rsidP="00DA3F26">
      <w:pPr>
        <w:ind w:firstLine="708"/>
        <w:jc w:val="both"/>
        <w:rPr>
          <w:lang w:val="de-DE"/>
        </w:rPr>
      </w:pPr>
      <w:r w:rsidRPr="004676F5">
        <w:rPr>
          <w:lang w:val="de-DE"/>
        </w:rPr>
        <w:t>2. über die Nutzung des Zahlungsdienstes:</w:t>
      </w:r>
    </w:p>
    <w:p w14:paraId="48E50C2F" w14:textId="77777777" w:rsidR="00DA3F26" w:rsidRPr="004676F5" w:rsidRDefault="00DA3F26" w:rsidP="00DA3F26">
      <w:pPr>
        <w:ind w:firstLine="708"/>
        <w:jc w:val="both"/>
        <w:rPr>
          <w:lang w:val="de-DE"/>
        </w:rPr>
      </w:pPr>
    </w:p>
    <w:p w14:paraId="16112FFB" w14:textId="77777777" w:rsidR="00DA3F26" w:rsidRPr="004676F5" w:rsidRDefault="00DA3F26" w:rsidP="00DA3F26">
      <w:pPr>
        <w:ind w:firstLine="708"/>
        <w:jc w:val="both"/>
        <w:rPr>
          <w:lang w:val="de-DE"/>
        </w:rPr>
      </w:pPr>
      <w:r w:rsidRPr="004676F5">
        <w:rPr>
          <w:i/>
          <w:lang w:val="de-DE"/>
        </w:rPr>
        <w:t>a)</w:t>
      </w:r>
      <w:r w:rsidRPr="004676F5">
        <w:rPr>
          <w:lang w:val="de-DE"/>
        </w:rPr>
        <w:t> Beschreibung der wesentlichen Merkmale des zu erbringenden Zahlungsdienstes, gegebenenfalls einschließlich der Nutzungsmöglichkeiten des Zahlungsinstruments und insbesondere der Angabe, ob die Möglichkeit besteht, Ausgabenobergrenzen für Zahlungsvorgänge, die durch dieses Zahlungsinstrument ausgeführt werden, nach Maßgabe des Artikels VII.37 § 1 zu vereinbaren,</w:t>
      </w:r>
    </w:p>
    <w:p w14:paraId="2C6A7FE9" w14:textId="77777777" w:rsidR="00DA3F26" w:rsidRPr="004676F5" w:rsidRDefault="00DA3F26" w:rsidP="00DA3F26">
      <w:pPr>
        <w:ind w:firstLine="708"/>
        <w:jc w:val="both"/>
        <w:rPr>
          <w:lang w:val="de-DE"/>
        </w:rPr>
      </w:pPr>
    </w:p>
    <w:p w14:paraId="0CB9CB50" w14:textId="77777777" w:rsidR="00DA3F26" w:rsidRPr="004676F5" w:rsidRDefault="00DA3F26" w:rsidP="00DA3F26">
      <w:pPr>
        <w:ind w:firstLine="708"/>
        <w:jc w:val="both"/>
        <w:rPr>
          <w:lang w:val="de-DE"/>
        </w:rPr>
      </w:pPr>
      <w:r w:rsidRPr="004676F5">
        <w:rPr>
          <w:i/>
          <w:lang w:val="de-DE"/>
        </w:rPr>
        <w:t>b)</w:t>
      </w:r>
      <w:r w:rsidRPr="004676F5">
        <w:rPr>
          <w:lang w:val="de-DE"/>
        </w:rPr>
        <w:t> vom Zahlungsdienstnutzer mitzuteilende genaue Informationen oder Kunden</w:t>
      </w:r>
      <w:r w:rsidRPr="004676F5">
        <w:rPr>
          <w:lang w:val="de-DE"/>
        </w:rPr>
        <w:softHyphen/>
        <w:t>identifikatoren, die für die ordnungsgemäße Auslösung oder Ausführung eines Zahlungs</w:t>
      </w:r>
      <w:r w:rsidRPr="004676F5">
        <w:rPr>
          <w:lang w:val="de-DE"/>
        </w:rPr>
        <w:softHyphen/>
        <w:t>auftrags erforderlich sind,</w:t>
      </w:r>
    </w:p>
    <w:p w14:paraId="4EB98258" w14:textId="77777777" w:rsidR="00DA3F26" w:rsidRPr="004676F5" w:rsidRDefault="00DA3F26" w:rsidP="00DA3F26">
      <w:pPr>
        <w:ind w:firstLine="708"/>
        <w:jc w:val="both"/>
        <w:rPr>
          <w:lang w:val="de-DE"/>
        </w:rPr>
      </w:pPr>
    </w:p>
    <w:p w14:paraId="3DCA5258" w14:textId="77777777" w:rsidR="00DA3F26" w:rsidRPr="004676F5" w:rsidRDefault="00DA3F26" w:rsidP="00DA3F26">
      <w:pPr>
        <w:ind w:firstLine="708"/>
        <w:jc w:val="both"/>
        <w:rPr>
          <w:lang w:val="de-DE"/>
        </w:rPr>
      </w:pPr>
      <w:r w:rsidRPr="004676F5">
        <w:rPr>
          <w:i/>
          <w:lang w:val="de-DE"/>
        </w:rPr>
        <w:t>c)</w:t>
      </w:r>
      <w:r w:rsidRPr="004676F5">
        <w:rPr>
          <w:lang w:val="de-DE"/>
        </w:rPr>
        <w:t> Form und Verfahren für die Zustimmung zur Auslösung eines Zahlungsauftrags oder zur Ausführung eines Zahlungsvorgangs beziehungsweise für den Widerruf dieser Zustimmung gemäß den Artikeln VII.32 und VII.50,</w:t>
      </w:r>
    </w:p>
    <w:p w14:paraId="15C5D4C9" w14:textId="77777777" w:rsidR="00DA3F26" w:rsidRPr="004676F5" w:rsidRDefault="00DA3F26" w:rsidP="00DA3F26">
      <w:pPr>
        <w:ind w:firstLine="708"/>
        <w:jc w:val="both"/>
        <w:rPr>
          <w:lang w:val="de-DE"/>
        </w:rPr>
      </w:pPr>
    </w:p>
    <w:p w14:paraId="6180DC30" w14:textId="77777777" w:rsidR="00DA3F26" w:rsidRPr="004676F5" w:rsidRDefault="00DA3F26" w:rsidP="00DA3F26">
      <w:pPr>
        <w:ind w:firstLine="708"/>
        <w:jc w:val="both"/>
        <w:rPr>
          <w:lang w:val="de-DE"/>
        </w:rPr>
      </w:pPr>
      <w:r w:rsidRPr="004676F5">
        <w:rPr>
          <w:i/>
          <w:lang w:val="de-DE"/>
        </w:rPr>
        <w:t>d)</w:t>
      </w:r>
      <w:r w:rsidRPr="004676F5">
        <w:rPr>
          <w:lang w:val="de-DE"/>
        </w:rPr>
        <w:t> Zeitpunkt des Eingangs eines Zahlungsauftrags gemäß Artikel VII.48 und gege</w:t>
      </w:r>
      <w:r w:rsidRPr="004676F5">
        <w:rPr>
          <w:lang w:val="de-DE"/>
        </w:rPr>
        <w:softHyphen/>
        <w:t>benen</w:t>
      </w:r>
      <w:r w:rsidRPr="004676F5">
        <w:rPr>
          <w:lang w:val="de-DE"/>
        </w:rPr>
        <w:softHyphen/>
        <w:t>falls der vom Zahlungsdienstleister festgelegte Annahmeschluss,</w:t>
      </w:r>
    </w:p>
    <w:p w14:paraId="278C0DFB" w14:textId="77777777" w:rsidR="00DA3F26" w:rsidRPr="004676F5" w:rsidRDefault="00DA3F26" w:rsidP="00DA3F26">
      <w:pPr>
        <w:ind w:firstLine="708"/>
        <w:jc w:val="both"/>
        <w:rPr>
          <w:lang w:val="de-DE"/>
        </w:rPr>
      </w:pPr>
    </w:p>
    <w:p w14:paraId="43012947" w14:textId="77777777" w:rsidR="00DA3F26" w:rsidRPr="004676F5" w:rsidRDefault="00DA3F26" w:rsidP="00DA3F26">
      <w:pPr>
        <w:ind w:firstLine="708"/>
        <w:jc w:val="both"/>
        <w:rPr>
          <w:lang w:val="de-DE"/>
        </w:rPr>
      </w:pPr>
      <w:r w:rsidRPr="004676F5">
        <w:rPr>
          <w:i/>
          <w:lang w:val="de-DE"/>
        </w:rPr>
        <w:t>e)</w:t>
      </w:r>
      <w:r w:rsidRPr="004676F5">
        <w:rPr>
          <w:lang w:val="de-DE"/>
        </w:rPr>
        <w:t> maximale Ausführungsfrist für die zu erbringenden Zahlungsdienste,</w:t>
      </w:r>
    </w:p>
    <w:p w14:paraId="1E99737E" w14:textId="77777777" w:rsidR="00DA3F26" w:rsidRPr="004676F5" w:rsidRDefault="00DA3F26" w:rsidP="00DA3F26">
      <w:pPr>
        <w:ind w:firstLine="708"/>
        <w:jc w:val="both"/>
        <w:rPr>
          <w:lang w:val="de-DE"/>
        </w:rPr>
      </w:pPr>
    </w:p>
    <w:p w14:paraId="7FF0756C" w14:textId="77777777" w:rsidR="00DA3F26" w:rsidRPr="004676F5" w:rsidRDefault="00DA3F26" w:rsidP="00DA3F26">
      <w:pPr>
        <w:ind w:firstLine="708"/>
        <w:jc w:val="both"/>
        <w:rPr>
          <w:lang w:val="de-DE"/>
        </w:rPr>
      </w:pPr>
      <w:r w:rsidRPr="004676F5">
        <w:rPr>
          <w:i/>
          <w:lang w:val="de-DE"/>
        </w:rPr>
        <w:t>f) </w:t>
      </w:r>
      <w:r w:rsidRPr="004676F5">
        <w:rPr>
          <w:lang w:val="de-DE"/>
        </w:rPr>
        <w:t>im Fall von kartengebundenen Zahlungsinstrumenten, die durch Co-Badging mehrere Zahlungsmarken tragen, Rechte des Zahlungsdienstnutzers gemäß Artikel 8 der Verordnung (EU) 2015/751,</w:t>
      </w:r>
    </w:p>
    <w:p w14:paraId="46D5A978" w14:textId="77777777" w:rsidR="00DA3F26" w:rsidRPr="004676F5" w:rsidRDefault="00DA3F26" w:rsidP="00DA3F26">
      <w:pPr>
        <w:jc w:val="both"/>
        <w:rPr>
          <w:lang w:val="de-DE"/>
        </w:rPr>
      </w:pPr>
    </w:p>
    <w:p w14:paraId="0DD3368A" w14:textId="77777777" w:rsidR="00DA3F26" w:rsidRPr="004676F5" w:rsidRDefault="00DA3F26" w:rsidP="00DA3F26">
      <w:pPr>
        <w:ind w:firstLine="708"/>
        <w:jc w:val="both"/>
        <w:rPr>
          <w:lang w:val="de-DE"/>
        </w:rPr>
      </w:pPr>
      <w:r w:rsidRPr="004676F5">
        <w:rPr>
          <w:lang w:val="de-DE"/>
        </w:rPr>
        <w:t>3. über Entgelte, Zinsen und Wechselkurse:</w:t>
      </w:r>
    </w:p>
    <w:p w14:paraId="7AE00CB8" w14:textId="77777777" w:rsidR="00DA3F26" w:rsidRPr="004676F5" w:rsidRDefault="00DA3F26" w:rsidP="00DA3F26">
      <w:pPr>
        <w:ind w:firstLine="708"/>
        <w:jc w:val="both"/>
        <w:rPr>
          <w:lang w:val="de-DE"/>
        </w:rPr>
      </w:pPr>
    </w:p>
    <w:p w14:paraId="0054DEB7" w14:textId="77777777" w:rsidR="00DA3F26" w:rsidRPr="004676F5" w:rsidRDefault="00DA3F26" w:rsidP="00DA3F26">
      <w:pPr>
        <w:ind w:firstLine="708"/>
        <w:jc w:val="both"/>
        <w:rPr>
          <w:lang w:val="de-DE"/>
        </w:rPr>
      </w:pPr>
      <w:r w:rsidRPr="004676F5">
        <w:rPr>
          <w:i/>
          <w:lang w:val="de-DE"/>
        </w:rPr>
        <w:t>a)</w:t>
      </w:r>
      <w:r w:rsidRPr="004676F5">
        <w:rPr>
          <w:lang w:val="de-DE"/>
        </w:rPr>
        <w:t> Entgelte, die der Zahlungsdienstnutzer an den Zahlungsdienstleister zu entrichten hat, einschließlich derjenigen, die sich danach richten, wie und wie oft die nach vorliegendem Buch geforderten Informationen mitgeteilt oder zugänglich gemacht werden, und gegebenenfalls Aufschlüsselung der Beträge dieser Entgelte,</w:t>
      </w:r>
    </w:p>
    <w:p w14:paraId="52F0CD4C" w14:textId="77777777" w:rsidR="00DA3F26" w:rsidRPr="004676F5" w:rsidRDefault="00DA3F26" w:rsidP="00DA3F26">
      <w:pPr>
        <w:ind w:firstLine="708"/>
        <w:jc w:val="both"/>
        <w:rPr>
          <w:lang w:val="de-DE"/>
        </w:rPr>
      </w:pPr>
    </w:p>
    <w:p w14:paraId="7B00CD00" w14:textId="19F1760E" w:rsidR="00DA3F26" w:rsidRPr="004676F5" w:rsidRDefault="00DA3F26" w:rsidP="00DA3F26">
      <w:pPr>
        <w:ind w:firstLine="708"/>
        <w:jc w:val="both"/>
        <w:rPr>
          <w:lang w:val="de-DE"/>
        </w:rPr>
      </w:pPr>
      <w:r w:rsidRPr="004676F5">
        <w:rPr>
          <w:i/>
          <w:lang w:val="de-DE"/>
        </w:rPr>
        <w:t>b)</w:t>
      </w:r>
      <w:r w:rsidRPr="004676F5">
        <w:rPr>
          <w:lang w:val="de-DE"/>
        </w:rPr>
        <w:t xml:space="preserve"> gegebenenfalls zugrunde gelegte Zinssätze auf Jahresbasis und Wechselkurse oder </w:t>
      </w:r>
      <w:r w:rsidR="005B7A5C" w:rsidRPr="004676F5">
        <w:rPr>
          <w:lang w:val="de-DE"/>
        </w:rPr>
        <w:t>- </w:t>
      </w:r>
      <w:r w:rsidRPr="004676F5">
        <w:rPr>
          <w:lang w:val="de-DE"/>
        </w:rPr>
        <w:t>bei Anwendung von Referenzzinssätzen beziehungsweise -wechselkursen </w:t>
      </w:r>
      <w:r w:rsidR="005B7A5C" w:rsidRPr="004676F5">
        <w:rPr>
          <w:lang w:val="de-DE"/>
        </w:rPr>
        <w:t>- </w:t>
      </w:r>
      <w:r w:rsidRPr="004676F5">
        <w:rPr>
          <w:lang w:val="de-DE"/>
        </w:rPr>
        <w:t>Methode für die Berechnung der tatsächlichen Zinsen und maßgeblicher Stichtag und maßgeblicher Index oder maßgebliche Grundlage für die Bestimmung des Referenzzinssatzes beziehungs</w:t>
      </w:r>
      <w:r w:rsidRPr="004676F5">
        <w:rPr>
          <w:lang w:val="de-DE"/>
        </w:rPr>
        <w:softHyphen/>
        <w:t>wei</w:t>
      </w:r>
      <w:r w:rsidRPr="004676F5">
        <w:rPr>
          <w:lang w:val="de-DE"/>
        </w:rPr>
        <w:softHyphen/>
        <w:t xml:space="preserve">se </w:t>
      </w:r>
      <w:r w:rsidRPr="004676F5">
        <w:rPr>
          <w:lang w:val="de-DE"/>
        </w:rPr>
        <w:noBreakHyphen/>
        <w:t>wechsel</w:t>
      </w:r>
      <w:r w:rsidRPr="004676F5">
        <w:rPr>
          <w:lang w:val="de-DE"/>
        </w:rPr>
        <w:softHyphen/>
        <w:t>kurses,</w:t>
      </w:r>
    </w:p>
    <w:p w14:paraId="68C572E8" w14:textId="77777777" w:rsidR="00DA3F26" w:rsidRPr="004676F5" w:rsidRDefault="00DA3F26" w:rsidP="00DA3F26">
      <w:pPr>
        <w:ind w:firstLine="708"/>
        <w:jc w:val="both"/>
        <w:rPr>
          <w:lang w:val="de-DE"/>
        </w:rPr>
      </w:pPr>
    </w:p>
    <w:p w14:paraId="79D61C7F" w14:textId="77777777" w:rsidR="00DA3F26" w:rsidRPr="004676F5" w:rsidRDefault="00DA3F26" w:rsidP="00DA3F26">
      <w:pPr>
        <w:ind w:firstLine="708"/>
        <w:jc w:val="both"/>
        <w:rPr>
          <w:lang w:val="de-DE"/>
        </w:rPr>
      </w:pPr>
      <w:r w:rsidRPr="004676F5">
        <w:rPr>
          <w:i/>
          <w:lang w:val="de-DE"/>
        </w:rPr>
        <w:t>c)</w:t>
      </w:r>
      <w:r w:rsidRPr="004676F5">
        <w:rPr>
          <w:lang w:val="de-DE"/>
        </w:rPr>
        <w:t> soweit vereinbart, unmittelbare Anwendung von Änderungen des Referenzzinssatzes beziehungsweise -wechselkurses und Informationspflichten in Bezug auf diese Änderungen gemäß Artikel VII.24 § 2,</w:t>
      </w:r>
    </w:p>
    <w:p w14:paraId="26103BC2" w14:textId="77777777" w:rsidR="00DA3F26" w:rsidRPr="004676F5" w:rsidRDefault="00DA3F26" w:rsidP="00DA3F26">
      <w:pPr>
        <w:ind w:firstLine="708"/>
        <w:jc w:val="both"/>
        <w:rPr>
          <w:lang w:val="de-DE"/>
        </w:rPr>
      </w:pPr>
    </w:p>
    <w:p w14:paraId="57D1529F" w14:textId="4F80E9C4" w:rsidR="00DA3F26" w:rsidRPr="004676F5" w:rsidRDefault="00DA3F26" w:rsidP="00DA3F26">
      <w:pPr>
        <w:ind w:firstLine="708"/>
        <w:jc w:val="both"/>
        <w:rPr>
          <w:lang w:val="de-DE"/>
        </w:rPr>
      </w:pPr>
      <w:r w:rsidRPr="004676F5">
        <w:rPr>
          <w:lang w:val="de-DE"/>
        </w:rPr>
        <w:t>4. über die Kommunikation:</w:t>
      </w:r>
    </w:p>
    <w:p w14:paraId="145B931A" w14:textId="77777777" w:rsidR="00DA3F26" w:rsidRPr="004676F5" w:rsidRDefault="00DA3F26" w:rsidP="00DA3F26">
      <w:pPr>
        <w:ind w:firstLine="708"/>
        <w:jc w:val="both"/>
        <w:rPr>
          <w:lang w:val="de-DE"/>
        </w:rPr>
      </w:pPr>
    </w:p>
    <w:p w14:paraId="18271128" w14:textId="77777777" w:rsidR="00DA3F26" w:rsidRPr="004676F5" w:rsidRDefault="00DA3F26" w:rsidP="00DA3F26">
      <w:pPr>
        <w:ind w:firstLine="708"/>
        <w:jc w:val="both"/>
        <w:rPr>
          <w:lang w:val="de-DE"/>
        </w:rPr>
      </w:pPr>
      <w:r w:rsidRPr="004676F5">
        <w:rPr>
          <w:i/>
          <w:lang w:val="de-DE"/>
        </w:rPr>
        <w:t>a)</w:t>
      </w:r>
      <w:r w:rsidRPr="004676F5">
        <w:rPr>
          <w:lang w:val="de-DE"/>
        </w:rPr>
        <w:t xml:space="preserve"> gegebenenfalls Kommunikationsmittel, die zwischen den Parteien für die Übermittlung von Informationen und Anzeigen nach Maßgabe des vorliegenden Gesetzes </w:t>
      </w:r>
      <w:r w:rsidRPr="004676F5">
        <w:rPr>
          <w:i/>
          <w:iCs/>
          <w:lang w:val="de-DE"/>
        </w:rPr>
        <w:t>[sic, zu lesen ist: Gesetzbuches]</w:t>
      </w:r>
      <w:r w:rsidRPr="004676F5">
        <w:rPr>
          <w:lang w:val="de-DE"/>
        </w:rPr>
        <w:t xml:space="preserve"> vereinbart werden, einschließlich der technischen Anforderungen an die Ausstattung und die Software des Zahlungsdienstnutzers,</w:t>
      </w:r>
    </w:p>
    <w:p w14:paraId="2DC9F4AA" w14:textId="77777777" w:rsidR="00DA3F26" w:rsidRPr="004676F5" w:rsidRDefault="00DA3F26" w:rsidP="00DA3F26">
      <w:pPr>
        <w:ind w:firstLine="708"/>
        <w:jc w:val="both"/>
        <w:rPr>
          <w:lang w:val="de-DE"/>
        </w:rPr>
      </w:pPr>
    </w:p>
    <w:p w14:paraId="37BBDC06" w14:textId="77777777" w:rsidR="00DA3F26" w:rsidRPr="004676F5" w:rsidRDefault="00DA3F26" w:rsidP="00DA3F26">
      <w:pPr>
        <w:ind w:firstLine="708"/>
        <w:jc w:val="both"/>
        <w:rPr>
          <w:lang w:val="de-DE"/>
        </w:rPr>
      </w:pPr>
      <w:r w:rsidRPr="004676F5">
        <w:rPr>
          <w:i/>
          <w:lang w:val="de-DE"/>
        </w:rPr>
        <w:t>b) </w:t>
      </w:r>
      <w:r w:rsidRPr="004676F5">
        <w:rPr>
          <w:lang w:val="de-DE"/>
        </w:rPr>
        <w:t xml:space="preserve">Angaben dazu, wie und wie oft die nach vorliegendem Gesetz </w:t>
      </w:r>
      <w:r w:rsidRPr="004676F5">
        <w:rPr>
          <w:i/>
          <w:iCs/>
          <w:lang w:val="de-DE"/>
        </w:rPr>
        <w:t>[sic, zu lesen ist: Gesetzbuch]</w:t>
      </w:r>
      <w:r w:rsidRPr="004676F5">
        <w:rPr>
          <w:lang w:val="de-DE"/>
        </w:rPr>
        <w:t xml:space="preserve"> geforderten Informationen mitzuteilen oder zugänglich zu machen sind,</w:t>
      </w:r>
    </w:p>
    <w:p w14:paraId="3CF4A9D9" w14:textId="77777777" w:rsidR="00DA3F26" w:rsidRPr="004676F5" w:rsidRDefault="00DA3F26" w:rsidP="00DA3F26">
      <w:pPr>
        <w:ind w:firstLine="708"/>
        <w:jc w:val="both"/>
        <w:rPr>
          <w:lang w:val="de-DE"/>
        </w:rPr>
      </w:pPr>
    </w:p>
    <w:p w14:paraId="1124B13E" w14:textId="77777777" w:rsidR="00DA3F26" w:rsidRPr="004676F5" w:rsidRDefault="00DA3F26" w:rsidP="00DA3F26">
      <w:pPr>
        <w:ind w:firstLine="708"/>
        <w:jc w:val="both"/>
        <w:rPr>
          <w:lang w:val="de-DE"/>
        </w:rPr>
      </w:pPr>
      <w:r w:rsidRPr="004676F5">
        <w:rPr>
          <w:i/>
          <w:lang w:val="de-DE"/>
        </w:rPr>
        <w:t>c)</w:t>
      </w:r>
      <w:r w:rsidRPr="004676F5">
        <w:rPr>
          <w:lang w:val="de-DE"/>
        </w:rPr>
        <w:t> Sprache oder Sprachen, in der beziehungsweise denen der Rahmenvertrag geschlossen wird und in der beziehungsweise denen die Kommunikation für die Dauer des Vertragsverhältnisses erfolgen soll,</w:t>
      </w:r>
    </w:p>
    <w:p w14:paraId="47B04EF8" w14:textId="77777777" w:rsidR="00DA3F26" w:rsidRPr="004676F5" w:rsidRDefault="00DA3F26" w:rsidP="00DA3F26">
      <w:pPr>
        <w:ind w:firstLine="708"/>
        <w:jc w:val="both"/>
        <w:rPr>
          <w:lang w:val="de-DE"/>
        </w:rPr>
      </w:pPr>
    </w:p>
    <w:p w14:paraId="51D269D1" w14:textId="77777777" w:rsidR="00DA3F26" w:rsidRPr="004676F5" w:rsidRDefault="00DA3F26" w:rsidP="00DA3F26">
      <w:pPr>
        <w:ind w:firstLine="708"/>
        <w:jc w:val="both"/>
        <w:rPr>
          <w:lang w:val="de-DE"/>
        </w:rPr>
      </w:pPr>
      <w:r w:rsidRPr="004676F5">
        <w:rPr>
          <w:i/>
          <w:iCs/>
          <w:lang w:val="de-DE"/>
        </w:rPr>
        <w:t>d)</w:t>
      </w:r>
      <w:r w:rsidRPr="004676F5">
        <w:rPr>
          <w:lang w:val="de-DE"/>
        </w:rPr>
        <w:t> Hinweis auf das Recht des Zahlungsdienstnutzers, Vertragsbedingungen des Rahmenvertrags und Informationen und Bedingungen nach Maßgabe des Artikels VII.23 zu erhalten,</w:t>
      </w:r>
    </w:p>
    <w:p w14:paraId="10325C15" w14:textId="77777777" w:rsidR="00DA3F26" w:rsidRPr="004676F5" w:rsidRDefault="00DA3F26" w:rsidP="00DA3F26">
      <w:pPr>
        <w:ind w:firstLine="708"/>
        <w:jc w:val="both"/>
        <w:rPr>
          <w:lang w:val="de-DE"/>
        </w:rPr>
      </w:pPr>
    </w:p>
    <w:p w14:paraId="77034D58" w14:textId="5204BF60" w:rsidR="00DA3F26" w:rsidRPr="004676F5" w:rsidRDefault="00DA3F26" w:rsidP="00DA3F26">
      <w:pPr>
        <w:ind w:firstLine="708"/>
        <w:jc w:val="both"/>
        <w:rPr>
          <w:lang w:val="de-DE"/>
        </w:rPr>
      </w:pPr>
      <w:r w:rsidRPr="004676F5">
        <w:rPr>
          <w:lang w:val="de-DE"/>
        </w:rPr>
        <w:t>5. über Schutz</w:t>
      </w:r>
      <w:r w:rsidR="005B7A5C" w:rsidRPr="004676F5">
        <w:rPr>
          <w:lang w:val="de-DE"/>
        </w:rPr>
        <w:t>- </w:t>
      </w:r>
      <w:r w:rsidRPr="004676F5">
        <w:rPr>
          <w:lang w:val="de-DE"/>
        </w:rPr>
        <w:t>und Abhilfemaßnahmen:</w:t>
      </w:r>
    </w:p>
    <w:p w14:paraId="54BB2041" w14:textId="77777777" w:rsidR="00DA3F26" w:rsidRPr="004676F5" w:rsidRDefault="00DA3F26" w:rsidP="00DA3F26">
      <w:pPr>
        <w:ind w:firstLine="708"/>
        <w:jc w:val="both"/>
        <w:rPr>
          <w:lang w:val="de-DE"/>
        </w:rPr>
      </w:pPr>
    </w:p>
    <w:p w14:paraId="29D13E0C" w14:textId="77777777" w:rsidR="00DA3F26" w:rsidRPr="004676F5" w:rsidRDefault="00DA3F26" w:rsidP="00DA3F26">
      <w:pPr>
        <w:ind w:firstLine="708"/>
        <w:jc w:val="both"/>
        <w:rPr>
          <w:lang w:val="de-DE"/>
        </w:rPr>
      </w:pPr>
      <w:r w:rsidRPr="004676F5">
        <w:rPr>
          <w:i/>
          <w:lang w:val="de-DE"/>
        </w:rPr>
        <w:t>a)</w:t>
      </w:r>
      <w:r w:rsidRPr="004676F5">
        <w:rPr>
          <w:lang w:val="de-DE"/>
        </w:rPr>
        <w:t> gegebenenfalls Beschreibung der Vorkehrungen, die der Zahlungsdienstnutzer für die sichere Aufbewahrung eines Zahlungsinstruments zu treffen hat, und wie der Anzeigepflicht gegenüber dem Zahlungsdienstleister nach Artikel VII.38 § 1 Nr. 2 nachzukommen ist,</w:t>
      </w:r>
    </w:p>
    <w:p w14:paraId="5B46236E" w14:textId="77777777" w:rsidR="00DA3F26" w:rsidRPr="004676F5" w:rsidRDefault="00DA3F26" w:rsidP="00DA3F26">
      <w:pPr>
        <w:ind w:firstLine="708"/>
        <w:jc w:val="both"/>
        <w:rPr>
          <w:lang w:val="de-DE"/>
        </w:rPr>
      </w:pPr>
    </w:p>
    <w:p w14:paraId="2CCA2155" w14:textId="77777777" w:rsidR="00DA3F26" w:rsidRPr="004676F5" w:rsidRDefault="00DA3F26" w:rsidP="00DA3F26">
      <w:pPr>
        <w:ind w:firstLine="708"/>
        <w:jc w:val="both"/>
        <w:rPr>
          <w:lang w:val="de-DE"/>
        </w:rPr>
      </w:pPr>
      <w:r w:rsidRPr="004676F5">
        <w:rPr>
          <w:i/>
          <w:lang w:val="de-DE"/>
        </w:rPr>
        <w:t>b)</w:t>
      </w:r>
      <w:r w:rsidRPr="004676F5">
        <w:rPr>
          <w:lang w:val="de-DE"/>
        </w:rPr>
        <w:t> Beschreibung des sicheren Verfahrens zur Unterrichtung des Zahlungsdienstnutzers durch den Zahlungsdienstleister im Fall vermuteten oder tatsächlichen Betrugs oder bei Sicherheitsrisiken,</w:t>
      </w:r>
    </w:p>
    <w:p w14:paraId="616D82B5" w14:textId="77777777" w:rsidR="00DA3F26" w:rsidRPr="004676F5" w:rsidRDefault="00DA3F26" w:rsidP="00DA3F26">
      <w:pPr>
        <w:ind w:firstLine="708"/>
        <w:jc w:val="both"/>
        <w:rPr>
          <w:lang w:val="de-DE"/>
        </w:rPr>
      </w:pPr>
    </w:p>
    <w:p w14:paraId="413C48DF" w14:textId="77777777" w:rsidR="00DA3F26" w:rsidRPr="004676F5" w:rsidRDefault="00DA3F26" w:rsidP="00DA3F26">
      <w:pPr>
        <w:ind w:firstLine="708"/>
        <w:jc w:val="both"/>
        <w:rPr>
          <w:lang w:val="de-DE"/>
        </w:rPr>
      </w:pPr>
      <w:r w:rsidRPr="004676F5">
        <w:rPr>
          <w:i/>
          <w:lang w:val="de-DE"/>
        </w:rPr>
        <w:t>c)</w:t>
      </w:r>
      <w:r w:rsidRPr="004676F5">
        <w:rPr>
          <w:lang w:val="de-DE"/>
        </w:rPr>
        <w:t> sofern vereinbart, Bedingungen, unter denen sich der Zahlungsdienstleister das Recht vorbehält, ein Zahlungsinstrument nach Maßgabe des Artikels VII.37 zu sperren,</w:t>
      </w:r>
    </w:p>
    <w:p w14:paraId="40C47B2A" w14:textId="77777777" w:rsidR="00DA3F26" w:rsidRPr="004676F5" w:rsidRDefault="00DA3F26" w:rsidP="00DA3F26">
      <w:pPr>
        <w:ind w:firstLine="708"/>
        <w:jc w:val="both"/>
        <w:rPr>
          <w:lang w:val="de-DE"/>
        </w:rPr>
      </w:pPr>
    </w:p>
    <w:p w14:paraId="4CB5C02A" w14:textId="77777777" w:rsidR="00DA3F26" w:rsidRPr="004676F5" w:rsidRDefault="00DA3F26" w:rsidP="00DA3F26">
      <w:pPr>
        <w:ind w:firstLine="708"/>
        <w:jc w:val="both"/>
        <w:rPr>
          <w:lang w:val="de-DE"/>
        </w:rPr>
      </w:pPr>
      <w:r w:rsidRPr="004676F5">
        <w:rPr>
          <w:i/>
          <w:lang w:val="de-DE"/>
        </w:rPr>
        <w:t>d)</w:t>
      </w:r>
      <w:r w:rsidRPr="004676F5">
        <w:rPr>
          <w:lang w:val="de-DE"/>
        </w:rPr>
        <w:t> Informationen zur Haftung des Zahlers nach Artikel VII.44 einschließlich Angaben zum relevanten Betrag,</w:t>
      </w:r>
    </w:p>
    <w:p w14:paraId="7399F727" w14:textId="77777777" w:rsidR="00DA3F26" w:rsidRPr="004676F5" w:rsidRDefault="00DA3F26" w:rsidP="00DA3F26">
      <w:pPr>
        <w:ind w:firstLine="708"/>
        <w:jc w:val="both"/>
        <w:rPr>
          <w:lang w:val="de-DE"/>
        </w:rPr>
      </w:pPr>
    </w:p>
    <w:p w14:paraId="74AB8295" w14:textId="77777777" w:rsidR="00DA3F26" w:rsidRPr="004676F5" w:rsidRDefault="00DA3F26" w:rsidP="00DA3F26">
      <w:pPr>
        <w:ind w:firstLine="708"/>
        <w:jc w:val="both"/>
        <w:rPr>
          <w:lang w:val="de-DE"/>
        </w:rPr>
      </w:pPr>
      <w:r w:rsidRPr="004676F5">
        <w:rPr>
          <w:i/>
          <w:lang w:val="de-DE"/>
        </w:rPr>
        <w:t>e)</w:t>
      </w:r>
      <w:r w:rsidRPr="004676F5">
        <w:rPr>
          <w:lang w:val="de-DE"/>
        </w:rPr>
        <w:t> Angaben dazu, wie und innerhalb welcher Frist der Zahlungsdienstnutzer dem Zahlungsdienstleister nicht autorisierte oder fehlerhaft ausgelöste oder ausgeführte Zahlungsvorgänge gemäß Artikel VII.41 anzeigen muss, sowie Informationen über die Haftung des Zahlungsdienstleisters bei nicht autorisierten Zahlungsvorgängen gemäß Artikel VII.43,</w:t>
      </w:r>
    </w:p>
    <w:p w14:paraId="72BD923A" w14:textId="77777777" w:rsidR="00DA3F26" w:rsidRPr="004676F5" w:rsidRDefault="00DA3F26" w:rsidP="00DA3F26">
      <w:pPr>
        <w:jc w:val="both"/>
        <w:rPr>
          <w:lang w:val="de-DE"/>
        </w:rPr>
      </w:pPr>
    </w:p>
    <w:p w14:paraId="6D9F9DE6" w14:textId="77777777" w:rsidR="00DA3F26" w:rsidRPr="004676F5" w:rsidRDefault="00DA3F26" w:rsidP="00DA3F26">
      <w:pPr>
        <w:ind w:firstLine="708"/>
        <w:jc w:val="both"/>
        <w:rPr>
          <w:lang w:val="de-DE"/>
        </w:rPr>
      </w:pPr>
      <w:r w:rsidRPr="004676F5">
        <w:rPr>
          <w:i/>
          <w:iCs/>
          <w:lang w:val="de-DE"/>
        </w:rPr>
        <w:t>f)</w:t>
      </w:r>
      <w:r w:rsidRPr="004676F5">
        <w:rPr>
          <w:lang w:val="de-DE"/>
        </w:rPr>
        <w:t> Informationen über die Haftung des Zahlungsdienstleisters bei der Auslösung oder Ausführung von Zahlungsvorgängen gemäß den Artikeln VII.55/3 bis VII.55/6,</w:t>
      </w:r>
    </w:p>
    <w:p w14:paraId="1F7970E0" w14:textId="77777777" w:rsidR="00DA3F26" w:rsidRPr="004676F5" w:rsidRDefault="00DA3F26" w:rsidP="00DA3F26">
      <w:pPr>
        <w:ind w:firstLine="708"/>
        <w:jc w:val="both"/>
        <w:rPr>
          <w:lang w:val="de-DE"/>
        </w:rPr>
      </w:pPr>
    </w:p>
    <w:p w14:paraId="10EBFFA5" w14:textId="77777777" w:rsidR="00DA3F26" w:rsidRPr="004676F5" w:rsidRDefault="00DA3F26" w:rsidP="00DA3F26">
      <w:pPr>
        <w:ind w:firstLine="708"/>
        <w:jc w:val="both"/>
        <w:rPr>
          <w:lang w:val="de-DE"/>
        </w:rPr>
      </w:pPr>
      <w:r w:rsidRPr="004676F5">
        <w:rPr>
          <w:i/>
          <w:iCs/>
          <w:lang w:val="de-DE"/>
        </w:rPr>
        <w:t>g)</w:t>
      </w:r>
      <w:r w:rsidRPr="004676F5">
        <w:rPr>
          <w:lang w:val="de-DE"/>
        </w:rPr>
        <w:t> Bedingungen für Erstattungen nach den Artikeln VII.46 und VII.47,</w:t>
      </w:r>
    </w:p>
    <w:p w14:paraId="48BB0E3E" w14:textId="77777777" w:rsidR="00DA3F26" w:rsidRPr="004676F5" w:rsidRDefault="00DA3F26" w:rsidP="00DA3F26">
      <w:pPr>
        <w:ind w:firstLine="708"/>
        <w:jc w:val="both"/>
        <w:rPr>
          <w:lang w:val="de-DE"/>
        </w:rPr>
      </w:pPr>
    </w:p>
    <w:p w14:paraId="4B1E4E4B" w14:textId="77777777" w:rsidR="00DA3F26" w:rsidRPr="004676F5" w:rsidRDefault="00DA3F26" w:rsidP="00DA3F26">
      <w:pPr>
        <w:ind w:firstLine="708"/>
        <w:jc w:val="both"/>
        <w:rPr>
          <w:lang w:val="de-DE"/>
        </w:rPr>
      </w:pPr>
      <w:r w:rsidRPr="004676F5">
        <w:rPr>
          <w:lang w:val="de-DE"/>
        </w:rPr>
        <w:t>6. über Änderungen und Kündigung des Rahmenvertrags:</w:t>
      </w:r>
    </w:p>
    <w:p w14:paraId="64AE710E" w14:textId="77777777" w:rsidR="00DA3F26" w:rsidRPr="004676F5" w:rsidRDefault="00DA3F26" w:rsidP="00DA3F26">
      <w:pPr>
        <w:ind w:firstLine="708"/>
        <w:jc w:val="both"/>
        <w:rPr>
          <w:lang w:val="de-DE"/>
        </w:rPr>
      </w:pPr>
    </w:p>
    <w:p w14:paraId="13340FD0" w14:textId="77777777" w:rsidR="00DA3F26" w:rsidRPr="004676F5" w:rsidRDefault="00DA3F26" w:rsidP="00DA3F26">
      <w:pPr>
        <w:ind w:firstLine="708"/>
        <w:jc w:val="both"/>
        <w:rPr>
          <w:lang w:val="de-DE"/>
        </w:rPr>
      </w:pPr>
      <w:r w:rsidRPr="004676F5">
        <w:rPr>
          <w:i/>
          <w:lang w:val="de-DE"/>
        </w:rPr>
        <w:t>a)</w:t>
      </w:r>
      <w:r w:rsidRPr="004676F5">
        <w:rPr>
          <w:lang w:val="de-DE"/>
        </w:rPr>
        <w:t> soweit vereinbart, Angabe, dass die Zustimmung des Zahlungsdienstnutzers zu einer Änderung der Vertragsbedingungen nach Artikel VII.24 als erteilt gilt, außer der Zahlungs</w:t>
      </w:r>
      <w:r w:rsidRPr="004676F5">
        <w:rPr>
          <w:lang w:val="de-DE"/>
        </w:rPr>
        <w:softHyphen/>
        <w:t>dienstnutzer zeigt dem Zahlungsdienstleister seine Ablehnung vor dem vorgeschlagenen Zeitpunkt des Inkrafttretens der geänderten Bedingungen an,</w:t>
      </w:r>
    </w:p>
    <w:p w14:paraId="4F4F5D5A" w14:textId="77777777" w:rsidR="00DA3F26" w:rsidRPr="004676F5" w:rsidRDefault="00DA3F26" w:rsidP="00DA3F26">
      <w:pPr>
        <w:jc w:val="both"/>
        <w:rPr>
          <w:lang w:val="de-DE"/>
        </w:rPr>
      </w:pPr>
    </w:p>
    <w:p w14:paraId="32BD27C7" w14:textId="77777777" w:rsidR="00DA3F26" w:rsidRPr="004676F5" w:rsidRDefault="00DA3F26" w:rsidP="00DA3F26">
      <w:pPr>
        <w:ind w:firstLine="708"/>
        <w:jc w:val="both"/>
        <w:rPr>
          <w:lang w:val="de-DE"/>
        </w:rPr>
      </w:pPr>
      <w:r w:rsidRPr="004676F5">
        <w:rPr>
          <w:i/>
          <w:lang w:val="de-DE"/>
        </w:rPr>
        <w:t>b)</w:t>
      </w:r>
      <w:r w:rsidRPr="004676F5">
        <w:rPr>
          <w:lang w:val="de-DE"/>
        </w:rPr>
        <w:t> Laufzeit des Rahmenvertrags,</w:t>
      </w:r>
    </w:p>
    <w:p w14:paraId="1DABCE38" w14:textId="77777777" w:rsidR="00DA3F26" w:rsidRPr="004676F5" w:rsidRDefault="00DA3F26" w:rsidP="00DA3F26">
      <w:pPr>
        <w:ind w:firstLine="708"/>
        <w:jc w:val="both"/>
        <w:rPr>
          <w:lang w:val="de-DE"/>
        </w:rPr>
      </w:pPr>
    </w:p>
    <w:p w14:paraId="6312F469" w14:textId="77777777" w:rsidR="00DA3F26" w:rsidRPr="004676F5" w:rsidRDefault="00DA3F26" w:rsidP="00DA3F26">
      <w:pPr>
        <w:ind w:firstLine="708"/>
        <w:jc w:val="both"/>
        <w:rPr>
          <w:lang w:val="de-DE"/>
        </w:rPr>
      </w:pPr>
      <w:r w:rsidRPr="004676F5">
        <w:rPr>
          <w:i/>
          <w:lang w:val="de-DE"/>
        </w:rPr>
        <w:t>c)</w:t>
      </w:r>
      <w:r w:rsidRPr="004676F5">
        <w:rPr>
          <w:lang w:val="de-DE"/>
        </w:rPr>
        <w:t> Hinweis auf das Recht des Zahlungsdienstnutzers, den Rahmenvertrag zu kündigen, und auf sonstige kündigungsrelevante Vereinbarungen nach den Artikeln VII.24 § 1 und VII.25,</w:t>
      </w:r>
    </w:p>
    <w:p w14:paraId="69375794" w14:textId="77777777" w:rsidR="00DA3F26" w:rsidRPr="004676F5" w:rsidRDefault="00DA3F26" w:rsidP="00DA3F26">
      <w:pPr>
        <w:ind w:firstLine="708"/>
        <w:jc w:val="both"/>
        <w:rPr>
          <w:lang w:val="de-DE"/>
        </w:rPr>
      </w:pPr>
    </w:p>
    <w:p w14:paraId="0B27B723" w14:textId="77777777" w:rsidR="00DA3F26" w:rsidRPr="004676F5" w:rsidRDefault="00DA3F26" w:rsidP="00DA3F26">
      <w:pPr>
        <w:ind w:firstLine="708"/>
        <w:jc w:val="both"/>
        <w:rPr>
          <w:lang w:val="de-DE"/>
        </w:rPr>
      </w:pPr>
      <w:r w:rsidRPr="004676F5">
        <w:rPr>
          <w:lang w:val="de-DE"/>
        </w:rPr>
        <w:t>7. über den Rechtsbehelf:</w:t>
      </w:r>
    </w:p>
    <w:p w14:paraId="0DA9828C" w14:textId="77777777" w:rsidR="00DA3F26" w:rsidRPr="004676F5" w:rsidRDefault="00DA3F26" w:rsidP="00DA3F26">
      <w:pPr>
        <w:ind w:firstLine="708"/>
        <w:jc w:val="both"/>
        <w:rPr>
          <w:lang w:val="de-DE"/>
        </w:rPr>
      </w:pPr>
    </w:p>
    <w:p w14:paraId="3B01FD9E" w14:textId="77777777" w:rsidR="00DA3F26" w:rsidRPr="004676F5" w:rsidRDefault="00DA3F26" w:rsidP="00DA3F26">
      <w:pPr>
        <w:ind w:firstLine="708"/>
        <w:jc w:val="both"/>
        <w:rPr>
          <w:lang w:val="de-DE"/>
        </w:rPr>
      </w:pPr>
      <w:r w:rsidRPr="004676F5">
        <w:rPr>
          <w:i/>
          <w:lang w:val="de-DE"/>
        </w:rPr>
        <w:t>a)</w:t>
      </w:r>
      <w:r w:rsidRPr="004676F5">
        <w:rPr>
          <w:lang w:val="de-DE"/>
        </w:rPr>
        <w:t> Vertragsklauseln über das auf den Rahmenvertrag anwendbare Recht und/oder die zuständigen Gerichte,</w:t>
      </w:r>
    </w:p>
    <w:p w14:paraId="566B582F" w14:textId="77777777" w:rsidR="00DA3F26" w:rsidRPr="004676F5" w:rsidRDefault="00DA3F26" w:rsidP="00DA3F26">
      <w:pPr>
        <w:ind w:firstLine="708"/>
        <w:jc w:val="both"/>
        <w:rPr>
          <w:lang w:val="de-DE"/>
        </w:rPr>
      </w:pPr>
    </w:p>
    <w:p w14:paraId="6F22EF58" w14:textId="682D7014" w:rsidR="00DA3F26" w:rsidRPr="004676F5" w:rsidRDefault="00DA3F26" w:rsidP="00DA3F26">
      <w:pPr>
        <w:ind w:firstLine="708"/>
        <w:jc w:val="both"/>
        <w:rPr>
          <w:lang w:val="de-DE"/>
        </w:rPr>
      </w:pPr>
      <w:r w:rsidRPr="004676F5">
        <w:rPr>
          <w:i/>
          <w:lang w:val="de-DE"/>
        </w:rPr>
        <w:t>b)</w:t>
      </w:r>
      <w:r w:rsidRPr="004676F5">
        <w:rPr>
          <w:lang w:val="de-DE"/>
        </w:rPr>
        <w:t> Hinweis auf die dem Zahlungsdienstnutzer gemäß Buch XVI offenstehenden außergerichtlichen Beschwerde</w:t>
      </w:r>
      <w:r w:rsidR="005B7A5C" w:rsidRPr="004676F5">
        <w:rPr>
          <w:lang w:val="de-DE"/>
        </w:rPr>
        <w:t>- </w:t>
      </w:r>
      <w:r w:rsidRPr="004676F5">
        <w:rPr>
          <w:lang w:val="de-DE"/>
        </w:rPr>
        <w:t>und Rechtsbehelfsverfahren, einschließlich Anschrift der Stellen, an die ein Zahlungsdienstnutzer seine Beschwerden richten kann, worunter die Kontaktinformationen der Generaldirektion Wirtschaftsinspektion des FÖD Wirtschaft.</w:t>
      </w:r>
    </w:p>
    <w:p w14:paraId="2A44EEDE" w14:textId="52F88FEE" w:rsidR="00DA3F26" w:rsidRPr="004676F5" w:rsidRDefault="00DA3F26" w:rsidP="00DA3F26">
      <w:pPr>
        <w:ind w:firstLine="708"/>
        <w:jc w:val="both"/>
        <w:rPr>
          <w:lang w:val="de-DE"/>
        </w:rPr>
      </w:pPr>
    </w:p>
    <w:p w14:paraId="24B67547" w14:textId="77777777" w:rsidR="00DA3F26" w:rsidRPr="004676F5" w:rsidRDefault="00DA3F26" w:rsidP="00DA3F26">
      <w:pPr>
        <w:ind w:firstLine="708"/>
        <w:jc w:val="both"/>
        <w:rPr>
          <w:lang w:val="de-DE"/>
        </w:rPr>
      </w:pPr>
    </w:p>
    <w:p w14:paraId="318C83B4" w14:textId="360BACF1" w:rsidR="00DA3F26" w:rsidRPr="004676F5" w:rsidRDefault="00DA3F26" w:rsidP="00DA3F26">
      <w:pPr>
        <w:ind w:firstLine="708"/>
        <w:jc w:val="both"/>
        <w:rPr>
          <w:lang w:val="de-DE"/>
        </w:rPr>
      </w:pPr>
      <w:r w:rsidRPr="004676F5">
        <w:rPr>
          <w:b/>
          <w:lang w:val="de-DE"/>
        </w:rPr>
        <w:t>Art. VII.23</w:t>
      </w:r>
      <w:r w:rsidRPr="004676F5">
        <w:rPr>
          <w:lang w:val="de-DE"/>
        </w:rPr>
        <w:t> </w:t>
      </w:r>
      <w:r w:rsidR="005B7A5C" w:rsidRPr="004676F5">
        <w:rPr>
          <w:lang w:val="de-DE"/>
        </w:rPr>
        <w:t>- </w:t>
      </w:r>
      <w:r w:rsidRPr="004676F5">
        <w:rPr>
          <w:lang w:val="de-DE"/>
        </w:rPr>
        <w:t xml:space="preserve">Der Zahlungsdienstnutzer hat jederzeit während der Vertragslaufzeit Anspruch darauf, auf seine Aufforderung hin die Vertragsbedingungen des Rahmenvertrags und die in Artikel VII.22 genannten Informationen und Vertragsbedingungen </w:t>
      </w:r>
      <w:r w:rsidR="002F26DE" w:rsidRPr="004676F5">
        <w:rPr>
          <w:lang w:val="de-DE"/>
        </w:rPr>
        <w:t xml:space="preserve">[auf dauerhaftem Datenträger] </w:t>
      </w:r>
      <w:r w:rsidRPr="004676F5">
        <w:rPr>
          <w:lang w:val="de-DE"/>
        </w:rPr>
        <w:t>zu erhalten.</w:t>
      </w:r>
    </w:p>
    <w:p w14:paraId="66EA93E6" w14:textId="77777777" w:rsidR="002F26DE" w:rsidRPr="004676F5" w:rsidRDefault="002F26DE" w:rsidP="00DA3F26">
      <w:pPr>
        <w:ind w:firstLine="708"/>
        <w:jc w:val="both"/>
        <w:rPr>
          <w:lang w:val="de-DE"/>
        </w:rPr>
      </w:pPr>
    </w:p>
    <w:p w14:paraId="3A986353" w14:textId="2171470B" w:rsidR="002F26DE" w:rsidRPr="004676F5" w:rsidRDefault="002F26DE" w:rsidP="002F26DE">
      <w:pPr>
        <w:jc w:val="both"/>
        <w:rPr>
          <w:i/>
          <w:iCs/>
          <w:lang w:val="de-DE"/>
        </w:rPr>
      </w:pPr>
      <w:r w:rsidRPr="004676F5">
        <w:rPr>
          <w:i/>
          <w:iCs/>
          <w:lang w:val="de-DE"/>
        </w:rPr>
        <w:t>[Art. VII.23 abgeändert durch Art. 12 des G. vom 20. September 2018 (B.S. vom 10. Oktober 2018)]</w:t>
      </w:r>
    </w:p>
    <w:p w14:paraId="2E87A404" w14:textId="77777777" w:rsidR="002F26DE" w:rsidRPr="004676F5" w:rsidRDefault="002F26DE" w:rsidP="002F26DE">
      <w:pPr>
        <w:jc w:val="both"/>
        <w:rPr>
          <w:lang w:val="de-DE"/>
        </w:rPr>
      </w:pPr>
    </w:p>
    <w:p w14:paraId="76A56E0C" w14:textId="06BDFA24" w:rsidR="00DA3F26" w:rsidRPr="004676F5" w:rsidRDefault="00DA3F26" w:rsidP="00DA3F26">
      <w:pPr>
        <w:ind w:firstLine="708"/>
        <w:rPr>
          <w:lang w:val="de-DE"/>
        </w:rPr>
      </w:pPr>
    </w:p>
    <w:p w14:paraId="437BC483" w14:textId="1EECB513" w:rsidR="00DA3F26" w:rsidRPr="004676F5" w:rsidRDefault="00DA3F26" w:rsidP="00DA3F26">
      <w:pPr>
        <w:jc w:val="center"/>
        <w:rPr>
          <w:lang w:val="de-DE"/>
        </w:rPr>
      </w:pPr>
      <w:r w:rsidRPr="004676F5">
        <w:rPr>
          <w:lang w:val="de-DE"/>
        </w:rPr>
        <w:t>Unterabschnitt 3 </w:t>
      </w:r>
      <w:r w:rsidR="005B7A5C" w:rsidRPr="004676F5">
        <w:rPr>
          <w:lang w:val="de-DE"/>
        </w:rPr>
        <w:t>- </w:t>
      </w:r>
      <w:r w:rsidRPr="004676F5">
        <w:rPr>
          <w:lang w:val="de-DE"/>
        </w:rPr>
        <w:t>Änderungen der Vertragsbedingungen und Kündigung des Rahmenvertrags</w:t>
      </w:r>
    </w:p>
    <w:p w14:paraId="7E2E9CB1" w14:textId="325C42A1" w:rsidR="00DA3F26" w:rsidRPr="004676F5" w:rsidRDefault="00DA3F26" w:rsidP="00DA3F26">
      <w:pPr>
        <w:jc w:val="both"/>
        <w:rPr>
          <w:lang w:val="de-DE"/>
        </w:rPr>
      </w:pPr>
    </w:p>
    <w:p w14:paraId="1874F89A" w14:textId="77777777" w:rsidR="00DA3F26" w:rsidRPr="004676F5" w:rsidRDefault="00DA3F26" w:rsidP="00DA3F26">
      <w:pPr>
        <w:jc w:val="both"/>
        <w:rPr>
          <w:lang w:val="de-DE"/>
        </w:rPr>
      </w:pPr>
    </w:p>
    <w:p w14:paraId="5D3E40F6" w14:textId="0BC7C7F0" w:rsidR="00DA3F26" w:rsidRPr="004676F5" w:rsidRDefault="00DA3F26" w:rsidP="00DA3F26">
      <w:pPr>
        <w:ind w:firstLine="708"/>
        <w:jc w:val="both"/>
        <w:rPr>
          <w:lang w:val="de-DE"/>
        </w:rPr>
      </w:pPr>
      <w:r w:rsidRPr="004676F5">
        <w:rPr>
          <w:b/>
          <w:lang w:val="de-DE"/>
        </w:rPr>
        <w:t>Art. VII.24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Zahlungsdienstleister schlägt Änderungen des Rahmenvertrags und der in Artikel VII.22 genannten Informationen und Vertragsbedingungen in der in Artikel VII.21 § 1 vorgesehenen Weise spätestens zwei Monate vor dem geplanten Tag ihrer Anwendung vor. Der Zahlungsdienstnutzer kann den Änderungen vor dem vorgeschlagenen Zeitpunkt ihres Inkrafttretens entweder zustimmen oder sie ablehnen.</w:t>
      </w:r>
    </w:p>
    <w:p w14:paraId="384F1793" w14:textId="77777777" w:rsidR="00DA3F26" w:rsidRPr="004676F5" w:rsidRDefault="00DA3F26" w:rsidP="00DA3F26">
      <w:pPr>
        <w:ind w:firstLine="708"/>
        <w:jc w:val="both"/>
        <w:rPr>
          <w:lang w:val="de-DE"/>
        </w:rPr>
      </w:pPr>
    </w:p>
    <w:p w14:paraId="4D48460E" w14:textId="77777777" w:rsidR="00DA3F26" w:rsidRPr="004676F5" w:rsidRDefault="00DA3F26" w:rsidP="00DA3F26">
      <w:pPr>
        <w:ind w:firstLine="708"/>
        <w:jc w:val="both"/>
        <w:rPr>
          <w:lang w:val="de-DE"/>
        </w:rPr>
      </w:pPr>
      <w:r w:rsidRPr="004676F5">
        <w:rPr>
          <w:lang w:val="de-DE"/>
        </w:rPr>
        <w:t xml:space="preserve">Sofern gemäß Artikel VII.22 Nr. 6 Buchstabe </w:t>
      </w:r>
      <w:r w:rsidRPr="004676F5">
        <w:rPr>
          <w:i/>
          <w:iCs/>
          <w:lang w:val="de-DE"/>
        </w:rPr>
        <w:t>a)</w:t>
      </w:r>
      <w:r w:rsidRPr="004676F5">
        <w:rPr>
          <w:lang w:val="de-DE"/>
        </w:rPr>
        <w:t xml:space="preserve"> vereinbart, setzt der Zahlungsdienst</w:t>
      </w:r>
      <w:r w:rsidRPr="004676F5">
        <w:rPr>
          <w:lang w:val="de-DE"/>
        </w:rPr>
        <w:softHyphen/>
        <w:t>leister den Zahlungsdienstnutzer davon in Kenntnis, dass dessen Zustimmung zu den Änderungen als erteilt gilt, wenn er dem Zahlungsdienstleister seine Ablehnung nicht vor dem vorgeschlagenen Tag des Inkrafttretens der geänderten Bedingungen angezeigt hat.</w:t>
      </w:r>
    </w:p>
    <w:p w14:paraId="68B47740" w14:textId="77777777" w:rsidR="00DA3F26" w:rsidRPr="004676F5" w:rsidRDefault="00DA3F26" w:rsidP="00DA3F26">
      <w:pPr>
        <w:ind w:firstLine="708"/>
        <w:jc w:val="both"/>
        <w:rPr>
          <w:lang w:val="de-DE"/>
        </w:rPr>
      </w:pPr>
    </w:p>
    <w:p w14:paraId="6E4FCF3A" w14:textId="77777777" w:rsidR="00DA3F26" w:rsidRPr="004676F5" w:rsidRDefault="00DA3F26" w:rsidP="00DA3F26">
      <w:pPr>
        <w:ind w:firstLine="708"/>
        <w:jc w:val="both"/>
        <w:rPr>
          <w:lang w:val="de-DE"/>
        </w:rPr>
      </w:pPr>
      <w:r w:rsidRPr="004676F5">
        <w:rPr>
          <w:lang w:val="de-DE"/>
        </w:rPr>
        <w:t>Der Zahlungsdienstleister setzt den Zahlungsdienstnutzer ferner davon in Kenntnis, dass der Zahlungsdienstnutzer, wenn er diese Änderungen ablehnt, das Recht hat, den Rahmenvertrag jederzeit bis zum Tag der Anwendung der Änderungen kostenlos zu kündigen.</w:t>
      </w:r>
    </w:p>
    <w:p w14:paraId="06CDE361" w14:textId="77777777" w:rsidR="00DA3F26" w:rsidRPr="004676F5" w:rsidRDefault="00DA3F26" w:rsidP="00DA3F26">
      <w:pPr>
        <w:ind w:firstLine="708"/>
        <w:jc w:val="both"/>
        <w:rPr>
          <w:lang w:val="de-DE"/>
        </w:rPr>
      </w:pPr>
    </w:p>
    <w:p w14:paraId="2398A4BB" w14:textId="69FEE1A3"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Änderungen der Zinssätze oder der Wechselkurse können unmittelbar und ohne vorherige Benachrichtigung angewandt werden, sofern dieses Recht im Rahmenvertrag vereinbart wurde und die Änderungen der Zinssätze oder Wechselkurse auf den gemäß Artikel VII.22 Nr. 3 Buchstabe </w:t>
      </w:r>
      <w:r w:rsidRPr="004676F5">
        <w:rPr>
          <w:i/>
          <w:iCs/>
          <w:lang w:val="de-DE"/>
        </w:rPr>
        <w:t>b)</w:t>
      </w:r>
      <w:r w:rsidRPr="004676F5">
        <w:rPr>
          <w:lang w:val="de-DE"/>
        </w:rPr>
        <w:t xml:space="preserve"> und </w:t>
      </w:r>
      <w:r w:rsidRPr="004676F5">
        <w:rPr>
          <w:i/>
          <w:iCs/>
          <w:lang w:val="de-DE"/>
        </w:rPr>
        <w:t>c)</w:t>
      </w:r>
      <w:r w:rsidRPr="004676F5">
        <w:rPr>
          <w:lang w:val="de-DE"/>
        </w:rPr>
        <w:t xml:space="preserve"> vereinbarten Referenzzinssätzen oder -wechselkursen beruhen.</w:t>
      </w:r>
    </w:p>
    <w:p w14:paraId="31F45F05" w14:textId="77777777" w:rsidR="00DA3F26" w:rsidRPr="004676F5" w:rsidRDefault="00DA3F26" w:rsidP="00DA3F26">
      <w:pPr>
        <w:ind w:firstLine="708"/>
        <w:jc w:val="both"/>
        <w:rPr>
          <w:lang w:val="de-DE"/>
        </w:rPr>
      </w:pPr>
    </w:p>
    <w:p w14:paraId="06EE086E" w14:textId="77777777" w:rsidR="00DA3F26" w:rsidRPr="004676F5" w:rsidRDefault="00DA3F26" w:rsidP="00DA3F26">
      <w:pPr>
        <w:ind w:firstLine="708"/>
        <w:jc w:val="both"/>
        <w:rPr>
          <w:lang w:val="de-DE"/>
        </w:rPr>
      </w:pPr>
      <w:r w:rsidRPr="004676F5">
        <w:rPr>
          <w:lang w:val="de-DE"/>
        </w:rPr>
        <w:t>Der Zahlungsdienstnutzer ist so rasch wie möglich in der in Artikel VII.21 § 1 vorgesehenen Weise von jeder Änderung des Zinssatzes zu unterrichten, es sei denn, die Parteien haben eine Vereinbarung darüber getroffen, wie oft und wie die Informationen mitzuteilen oder zugänglich zu machen sind. Änderungen der Zinssätze oder Wechselkurse, die für den Zahlungsdienstnutzer günstiger sind, können jedoch ohne Benachrichtigung angewandt werden.</w:t>
      </w:r>
    </w:p>
    <w:p w14:paraId="74C60D9E" w14:textId="77777777" w:rsidR="00DA3F26" w:rsidRPr="004676F5" w:rsidRDefault="00DA3F26" w:rsidP="00DA3F26">
      <w:pPr>
        <w:ind w:firstLine="708"/>
        <w:jc w:val="both"/>
        <w:rPr>
          <w:lang w:val="de-DE"/>
        </w:rPr>
      </w:pPr>
    </w:p>
    <w:p w14:paraId="6D05664C" w14:textId="47DA76AB"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Den Zahlungsvorgängen zugrunde gelegte geänderte Zinssätze oder Wechselkurse sind neutral anzuwenden und so zu berechnen, dass Zahlungsdienstnutzer nicht benachteiligt werden.</w:t>
      </w:r>
    </w:p>
    <w:p w14:paraId="03327437" w14:textId="5A71E4D1" w:rsidR="00DA3F26" w:rsidRPr="004676F5" w:rsidRDefault="00DA3F26" w:rsidP="00DA3F26">
      <w:pPr>
        <w:ind w:firstLine="708"/>
        <w:jc w:val="both"/>
        <w:rPr>
          <w:lang w:val="de-DE"/>
        </w:rPr>
      </w:pPr>
    </w:p>
    <w:p w14:paraId="5E63FA98" w14:textId="77777777" w:rsidR="00DA3F26" w:rsidRPr="004676F5" w:rsidRDefault="00DA3F26" w:rsidP="00DA3F26">
      <w:pPr>
        <w:ind w:firstLine="708"/>
        <w:jc w:val="both"/>
        <w:rPr>
          <w:lang w:val="de-DE"/>
        </w:rPr>
      </w:pPr>
    </w:p>
    <w:p w14:paraId="41A1062C" w14:textId="3A1A02F6" w:rsidR="00DA3F26" w:rsidRPr="004676F5" w:rsidRDefault="00DA3F26" w:rsidP="00DA3F26">
      <w:pPr>
        <w:ind w:firstLine="708"/>
        <w:jc w:val="both"/>
        <w:rPr>
          <w:lang w:val="de-DE"/>
        </w:rPr>
      </w:pPr>
      <w:r w:rsidRPr="004676F5">
        <w:rPr>
          <w:b/>
          <w:lang w:val="de-DE"/>
        </w:rPr>
        <w:t>Art. VII.25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Zahlungsdienstnutzer kann den Rahmenvertrag jederzeit kostenfrei und mit sofortiger Wirkung kündigen, sofern nicht eine Kündigungsfrist von maximal einem Monat vereinbart worden ist.</w:t>
      </w:r>
    </w:p>
    <w:p w14:paraId="5976958F" w14:textId="77777777" w:rsidR="00DA3F26" w:rsidRPr="004676F5" w:rsidRDefault="00DA3F26" w:rsidP="00DA3F26">
      <w:pPr>
        <w:ind w:firstLine="708"/>
        <w:jc w:val="both"/>
        <w:rPr>
          <w:lang w:val="de-DE"/>
        </w:rPr>
      </w:pPr>
    </w:p>
    <w:p w14:paraId="35547C0C" w14:textId="77777777" w:rsidR="00DA3F26" w:rsidRPr="004676F5" w:rsidRDefault="00DA3F26" w:rsidP="00DA3F26">
      <w:pPr>
        <w:ind w:firstLine="708"/>
        <w:jc w:val="both"/>
        <w:rPr>
          <w:lang w:val="de-DE"/>
        </w:rPr>
      </w:pPr>
      <w:r w:rsidRPr="004676F5">
        <w:rPr>
          <w:lang w:val="de-DE"/>
        </w:rPr>
        <w:t>Sofern im Rahmenvertrag vereinbart, kann der Zahlungsdienstleister einen auf unbestimmte Zeit geschlossenen Rahmenvertrag unter Einhaltung einer Zweimonatsfrist nach Maßgabe des Artikels VII.21 § 1 kündigen.</w:t>
      </w:r>
    </w:p>
    <w:p w14:paraId="05279DD2" w14:textId="77777777" w:rsidR="00DA3F26" w:rsidRPr="004676F5" w:rsidRDefault="00DA3F26" w:rsidP="00DA3F26">
      <w:pPr>
        <w:ind w:firstLine="708"/>
        <w:jc w:val="both"/>
        <w:rPr>
          <w:lang w:val="de-DE"/>
        </w:rPr>
      </w:pPr>
    </w:p>
    <w:p w14:paraId="5BDE4360" w14:textId="2F0B3AB8"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Regelmäßig erhobene Zahlungsdienstentgelte sind nur anteilmäßig bis zu Vertragsende durch den Zahlungsdienstnutzer zu entrichten. Im Voraus gezahlte Entgelte sind unverzüglich anteilmäßig zu erstatten ab dem Monat nach dem Zeitpunkt des Vertragsendes.</w:t>
      </w:r>
    </w:p>
    <w:p w14:paraId="78CB9BA7" w14:textId="77777777" w:rsidR="00DA3F26" w:rsidRPr="004676F5" w:rsidRDefault="00DA3F26" w:rsidP="00DA3F26">
      <w:pPr>
        <w:ind w:firstLine="708"/>
        <w:jc w:val="both"/>
        <w:rPr>
          <w:lang w:val="de-DE"/>
        </w:rPr>
      </w:pPr>
    </w:p>
    <w:p w14:paraId="361F5772" w14:textId="74E33AE3" w:rsidR="00DA3F26" w:rsidRPr="004676F5" w:rsidRDefault="00DA3F26" w:rsidP="00DA3F26">
      <w:pPr>
        <w:ind w:firstLine="708"/>
        <w:jc w:val="both"/>
        <w:rPr>
          <w:lang w:val="de-DE"/>
        </w:rPr>
      </w:pPr>
      <w:r w:rsidRPr="004676F5">
        <w:rPr>
          <w:lang w:val="de-DE"/>
        </w:rPr>
        <w:t>Der Zahlungsdienstleister zahlt dem Zahlungsdienstnutzer ohne zusätzliche Entgelte das Guthaben auf dem Zahlungskonto einschließlich der Gesamtheit der Zinsen aus, auf die er aufgrund der Gesetzes</w:t>
      </w:r>
      <w:r w:rsidR="005B7A5C" w:rsidRPr="004676F5">
        <w:rPr>
          <w:lang w:val="de-DE"/>
        </w:rPr>
        <w:t>- </w:t>
      </w:r>
      <w:r w:rsidRPr="004676F5">
        <w:rPr>
          <w:lang w:val="de-DE"/>
        </w:rPr>
        <w:t>und Verordnungsbestimmungen und der allgemeinen Bedingungen Anrecht hat, oder zahlt diese Beträge auf ein vom Zahlungsdienstnutzer angegebenes Zahlungskonto bei einem Zahlungsdienstleister ein.</w:t>
      </w:r>
    </w:p>
    <w:p w14:paraId="6B6A7AF7" w14:textId="77777777" w:rsidR="00DA3F26" w:rsidRPr="004676F5" w:rsidRDefault="00DA3F26" w:rsidP="00DA3F26">
      <w:pPr>
        <w:ind w:firstLine="708"/>
        <w:jc w:val="both"/>
        <w:rPr>
          <w:lang w:val="de-DE"/>
        </w:rPr>
      </w:pPr>
    </w:p>
    <w:p w14:paraId="6EFC4BAA" w14:textId="77777777" w:rsidR="00DA3F26" w:rsidRPr="004676F5" w:rsidRDefault="00DA3F26" w:rsidP="00DA3F26">
      <w:pPr>
        <w:ind w:firstLine="708"/>
        <w:jc w:val="both"/>
        <w:rPr>
          <w:lang w:val="de-DE"/>
        </w:rPr>
      </w:pPr>
      <w:r w:rsidRPr="004676F5">
        <w:rPr>
          <w:lang w:val="de-DE"/>
        </w:rPr>
        <w:t>Nach Schließung eines Zahlungskontos hat der Zahlungsdienstleister die vom Zahlungsdienstnutzer auf Jahresbasis für das Zahlungskonto entrichteten Kontoführungs</w:t>
      </w:r>
      <w:r w:rsidRPr="004676F5">
        <w:rPr>
          <w:lang w:val="de-DE"/>
        </w:rPr>
        <w:softHyphen/>
        <w:t>gebühren zu erstatten im Verhältnis zur Anzahl vollständiger Kalendermonate ab dem Monat nach dem Zeitpunkt der Schließung des Kontos bis zum Ende des Zeitraums, für den Kontoführungsgebühren entrichtet wurden.</w:t>
      </w:r>
    </w:p>
    <w:p w14:paraId="5FEFB55D" w14:textId="77777777" w:rsidR="00DA3F26" w:rsidRPr="004676F5" w:rsidRDefault="00DA3F26" w:rsidP="00DA3F26">
      <w:pPr>
        <w:ind w:firstLine="708"/>
        <w:jc w:val="both"/>
        <w:rPr>
          <w:lang w:val="de-DE"/>
        </w:rPr>
      </w:pPr>
    </w:p>
    <w:p w14:paraId="0A0D8D53" w14:textId="41A08BCD" w:rsidR="00DA3F26" w:rsidRPr="004676F5" w:rsidRDefault="00DA3F26" w:rsidP="00DA3F26">
      <w:pPr>
        <w:ind w:firstLine="708"/>
        <w:jc w:val="both"/>
        <w:rPr>
          <w:lang w:val="de-DE"/>
        </w:rPr>
      </w:pPr>
      <w:r w:rsidRPr="004676F5">
        <w:rPr>
          <w:lang w:val="de-DE"/>
        </w:rPr>
        <w:lastRenderedPageBreak/>
        <w:t>§ 3 </w:t>
      </w:r>
      <w:r w:rsidR="005B7A5C" w:rsidRPr="004676F5">
        <w:rPr>
          <w:lang w:val="de-DE"/>
        </w:rPr>
        <w:t>- </w:t>
      </w:r>
      <w:r w:rsidRPr="004676F5">
        <w:rPr>
          <w:lang w:val="de-DE"/>
        </w:rPr>
        <w:t>Vorliegender Artikel gilt ebenfalls für Sparkonten, die in Artikel 2 des Königlichen Erlasses vom 27. August 1993 zur Ausführung des Einkommensteuergesetzbuches 1992 erwähnt sind.</w:t>
      </w:r>
    </w:p>
    <w:p w14:paraId="44F36924" w14:textId="77777777" w:rsidR="00DA3F26" w:rsidRPr="004676F5" w:rsidRDefault="00DA3F26" w:rsidP="00DA3F26">
      <w:pPr>
        <w:ind w:firstLine="708"/>
        <w:rPr>
          <w:lang w:val="de-DE"/>
        </w:rPr>
      </w:pPr>
    </w:p>
    <w:p w14:paraId="346D874F" w14:textId="77777777" w:rsidR="00DA3F26" w:rsidRPr="004676F5" w:rsidRDefault="00DA3F26" w:rsidP="00DA3F26">
      <w:pPr>
        <w:rPr>
          <w:lang w:val="de-DE"/>
        </w:rPr>
      </w:pPr>
    </w:p>
    <w:p w14:paraId="55593806" w14:textId="366A0309" w:rsidR="00DA3F26" w:rsidRPr="004676F5" w:rsidRDefault="00DA3F26" w:rsidP="00DA3F26">
      <w:pPr>
        <w:jc w:val="center"/>
        <w:rPr>
          <w:lang w:val="de-DE"/>
        </w:rPr>
      </w:pPr>
      <w:r w:rsidRPr="004676F5">
        <w:rPr>
          <w:lang w:val="de-DE"/>
        </w:rPr>
        <w:t>Unterabschnitt 4 </w:t>
      </w:r>
      <w:r w:rsidR="005B7A5C" w:rsidRPr="004676F5">
        <w:rPr>
          <w:lang w:val="de-DE"/>
        </w:rPr>
        <w:t>- </w:t>
      </w:r>
      <w:r w:rsidRPr="004676F5">
        <w:rPr>
          <w:lang w:val="de-DE"/>
        </w:rPr>
        <w:t>Einzelne Zahlungsvorgänge</w:t>
      </w:r>
    </w:p>
    <w:p w14:paraId="5AC7249B" w14:textId="5D05ED40" w:rsidR="00DA3F26" w:rsidRPr="004676F5" w:rsidRDefault="00DA3F26" w:rsidP="00DA3F26">
      <w:pPr>
        <w:jc w:val="both"/>
        <w:rPr>
          <w:lang w:val="de-DE"/>
        </w:rPr>
      </w:pPr>
    </w:p>
    <w:p w14:paraId="476BA4EA" w14:textId="77777777" w:rsidR="00DA3F26" w:rsidRPr="004676F5" w:rsidRDefault="00DA3F26" w:rsidP="00DA3F26">
      <w:pPr>
        <w:jc w:val="both"/>
        <w:rPr>
          <w:lang w:val="de-DE"/>
        </w:rPr>
      </w:pPr>
    </w:p>
    <w:p w14:paraId="24D433C3" w14:textId="4233E8E4" w:rsidR="00DA3F26" w:rsidRPr="004676F5" w:rsidRDefault="00DA3F26" w:rsidP="00DA3F26">
      <w:pPr>
        <w:ind w:firstLine="708"/>
        <w:jc w:val="both"/>
        <w:rPr>
          <w:lang w:val="de-DE"/>
        </w:rPr>
      </w:pPr>
      <w:r w:rsidRPr="004676F5">
        <w:rPr>
          <w:b/>
          <w:lang w:val="de-DE"/>
        </w:rPr>
        <w:t>Art. VII.26</w:t>
      </w:r>
      <w:r w:rsidRPr="004676F5">
        <w:rPr>
          <w:lang w:val="de-DE"/>
        </w:rPr>
        <w:t> </w:t>
      </w:r>
      <w:r w:rsidR="005B7A5C" w:rsidRPr="004676F5">
        <w:rPr>
          <w:lang w:val="de-DE"/>
        </w:rPr>
        <w:t>- </w:t>
      </w:r>
      <w:r w:rsidRPr="004676F5">
        <w:rPr>
          <w:lang w:val="de-DE"/>
        </w:rPr>
        <w:t>Im Fall eines einzelnen Zahlungsvorgangs innerhalb eines Rahmen</w:t>
      </w:r>
      <w:r w:rsidRPr="004676F5">
        <w:rPr>
          <w:lang w:val="de-DE"/>
        </w:rPr>
        <w:softHyphen/>
        <w:t>vertrags, der durch den Zahler ausgelöst wurde, teilt der Zahlungsdienstleister auf Verlangen des Zahlers vor Ausführung dieses bestimmten Zahlungsvorgangs genaue Informationen über Folgendes mit:</w:t>
      </w:r>
    </w:p>
    <w:p w14:paraId="7BD2976D" w14:textId="77777777" w:rsidR="00DA3F26" w:rsidRPr="004676F5" w:rsidRDefault="00DA3F26" w:rsidP="00DA3F26">
      <w:pPr>
        <w:ind w:firstLine="708"/>
        <w:jc w:val="both"/>
        <w:rPr>
          <w:lang w:val="de-DE"/>
        </w:rPr>
      </w:pPr>
    </w:p>
    <w:p w14:paraId="59083DC3" w14:textId="77777777" w:rsidR="00DA3F26" w:rsidRPr="004676F5" w:rsidRDefault="00DA3F26" w:rsidP="00DA3F26">
      <w:pPr>
        <w:ind w:firstLine="708"/>
        <w:jc w:val="both"/>
        <w:rPr>
          <w:lang w:val="de-DE"/>
        </w:rPr>
      </w:pPr>
      <w:r w:rsidRPr="004676F5">
        <w:rPr>
          <w:lang w:val="de-DE"/>
        </w:rPr>
        <w:t>1. maximale Ausführungsfrist,</w:t>
      </w:r>
    </w:p>
    <w:p w14:paraId="2C3643C6" w14:textId="77777777" w:rsidR="00DA3F26" w:rsidRPr="004676F5" w:rsidRDefault="00DA3F26" w:rsidP="00DA3F26">
      <w:pPr>
        <w:ind w:firstLine="708"/>
        <w:jc w:val="both"/>
        <w:rPr>
          <w:lang w:val="de-DE"/>
        </w:rPr>
      </w:pPr>
    </w:p>
    <w:p w14:paraId="38D2C5EB" w14:textId="77777777" w:rsidR="00DA3F26" w:rsidRPr="004676F5" w:rsidRDefault="00DA3F26" w:rsidP="00DA3F26">
      <w:pPr>
        <w:ind w:firstLine="708"/>
        <w:jc w:val="both"/>
        <w:rPr>
          <w:lang w:val="de-DE"/>
        </w:rPr>
      </w:pPr>
      <w:r w:rsidRPr="004676F5">
        <w:rPr>
          <w:lang w:val="de-DE"/>
        </w:rPr>
        <w:t>2. dem Zahler in Rechnung gestellte Entgelte und</w:t>
      </w:r>
    </w:p>
    <w:p w14:paraId="08FF8AB0" w14:textId="77777777" w:rsidR="00DA3F26" w:rsidRPr="004676F5" w:rsidRDefault="00DA3F26" w:rsidP="00DA3F26">
      <w:pPr>
        <w:ind w:firstLine="708"/>
        <w:jc w:val="both"/>
        <w:rPr>
          <w:lang w:val="de-DE"/>
        </w:rPr>
      </w:pPr>
    </w:p>
    <w:p w14:paraId="4E782BE6" w14:textId="77777777" w:rsidR="00DA3F26" w:rsidRPr="004676F5" w:rsidRDefault="00DA3F26" w:rsidP="00DA3F26">
      <w:pPr>
        <w:ind w:firstLine="708"/>
        <w:jc w:val="both"/>
        <w:rPr>
          <w:lang w:val="de-DE"/>
        </w:rPr>
      </w:pPr>
      <w:r w:rsidRPr="004676F5">
        <w:rPr>
          <w:lang w:val="de-DE"/>
        </w:rPr>
        <w:t>3. gegebenenfalls Aufschlüsselung der Beträge aller Entgelte.</w:t>
      </w:r>
    </w:p>
    <w:p w14:paraId="7338E59A" w14:textId="07A277BB" w:rsidR="00DA3F26" w:rsidRPr="004676F5" w:rsidRDefault="00DA3F26" w:rsidP="00DA3F26">
      <w:pPr>
        <w:ind w:firstLine="708"/>
        <w:jc w:val="both"/>
        <w:rPr>
          <w:lang w:val="de-DE"/>
        </w:rPr>
      </w:pPr>
    </w:p>
    <w:p w14:paraId="7ED808C9" w14:textId="77777777" w:rsidR="00DA3F26" w:rsidRPr="004676F5" w:rsidRDefault="00DA3F26" w:rsidP="00DA3F26">
      <w:pPr>
        <w:ind w:firstLine="708"/>
        <w:jc w:val="both"/>
        <w:rPr>
          <w:lang w:val="de-DE"/>
        </w:rPr>
      </w:pPr>
    </w:p>
    <w:p w14:paraId="68CD36FC" w14:textId="5A40AF83" w:rsidR="00DA3F26" w:rsidRPr="004676F5" w:rsidRDefault="00DA3F26" w:rsidP="00DA3F26">
      <w:pPr>
        <w:ind w:firstLine="708"/>
        <w:jc w:val="both"/>
        <w:rPr>
          <w:lang w:val="de-DE"/>
        </w:rPr>
      </w:pPr>
      <w:r w:rsidRPr="004676F5">
        <w:rPr>
          <w:b/>
          <w:lang w:val="de-DE"/>
        </w:rPr>
        <w:t>Art. VII.27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Nach Belastung des Kontos des Zahlers mit dem Betrag eines einzelnen Zahlungsvorgangs oder </w:t>
      </w:r>
      <w:r w:rsidR="005B7A5C" w:rsidRPr="004676F5">
        <w:rPr>
          <w:lang w:val="de-DE"/>
        </w:rPr>
        <w:t>- </w:t>
      </w:r>
      <w:r w:rsidRPr="004676F5">
        <w:rPr>
          <w:lang w:val="de-DE"/>
        </w:rPr>
        <w:t xml:space="preserve">falls der Zahler kein Zahlungskonto verwendet </w:t>
      </w:r>
      <w:r w:rsidR="005B7A5C" w:rsidRPr="004676F5">
        <w:rPr>
          <w:lang w:val="de-DE"/>
        </w:rPr>
        <w:t>- </w:t>
      </w:r>
      <w:r w:rsidRPr="004676F5">
        <w:rPr>
          <w:lang w:val="de-DE"/>
        </w:rPr>
        <w:t>nach Eingang des Zahlungsauftrags teilt der Zahlungsdienstleister des Zahlers dem Zahler unverzüglich und nach Maßgabe des Artikels VII.21 § 1 folgende Informationen mit:</w:t>
      </w:r>
    </w:p>
    <w:p w14:paraId="23C34D12" w14:textId="77777777" w:rsidR="00DA3F26" w:rsidRPr="004676F5" w:rsidRDefault="00DA3F26" w:rsidP="00DA3F26">
      <w:pPr>
        <w:ind w:firstLine="708"/>
        <w:jc w:val="both"/>
        <w:rPr>
          <w:lang w:val="de-DE"/>
        </w:rPr>
      </w:pPr>
    </w:p>
    <w:p w14:paraId="1670781E" w14:textId="77777777" w:rsidR="00DA3F26" w:rsidRPr="004676F5" w:rsidRDefault="00DA3F26" w:rsidP="00DA3F26">
      <w:pPr>
        <w:ind w:firstLine="708"/>
        <w:jc w:val="both"/>
        <w:rPr>
          <w:lang w:val="de-DE"/>
        </w:rPr>
      </w:pPr>
      <w:r w:rsidRPr="004676F5">
        <w:rPr>
          <w:lang w:val="de-DE"/>
        </w:rPr>
        <w:t>1. Referenz, die dem Zahler die Identifizierung des betreffenden Zahlungsvorgangs ermöglicht, und gegebenenfalls Angaben zum Zahlungsempfänger,</w:t>
      </w:r>
    </w:p>
    <w:p w14:paraId="73BCE2CC" w14:textId="77777777" w:rsidR="00DA3F26" w:rsidRPr="004676F5" w:rsidRDefault="00DA3F26" w:rsidP="00DA3F26">
      <w:pPr>
        <w:ind w:firstLine="708"/>
        <w:jc w:val="both"/>
        <w:rPr>
          <w:lang w:val="de-DE"/>
        </w:rPr>
      </w:pPr>
    </w:p>
    <w:p w14:paraId="3055AC63" w14:textId="77777777" w:rsidR="00DA3F26" w:rsidRPr="004676F5" w:rsidRDefault="00DA3F26" w:rsidP="00DA3F26">
      <w:pPr>
        <w:ind w:firstLine="708"/>
        <w:jc w:val="both"/>
        <w:rPr>
          <w:lang w:val="de-DE"/>
        </w:rPr>
      </w:pPr>
      <w:r w:rsidRPr="004676F5">
        <w:rPr>
          <w:lang w:val="de-DE"/>
        </w:rPr>
        <w:t>2. Betrag des Zahlungsvorgangs in der Währung, in der das Zahlungskonto des Zahlers belastet wird, oder in der Währung, die im Zahlungsauftrag verwendet wird,</w:t>
      </w:r>
    </w:p>
    <w:p w14:paraId="61C32A9A" w14:textId="77777777" w:rsidR="00DA3F26" w:rsidRPr="004676F5" w:rsidRDefault="00DA3F26" w:rsidP="00DA3F26">
      <w:pPr>
        <w:ind w:firstLine="708"/>
        <w:jc w:val="both"/>
        <w:rPr>
          <w:lang w:val="de-DE"/>
        </w:rPr>
      </w:pPr>
    </w:p>
    <w:p w14:paraId="17465194" w14:textId="77777777" w:rsidR="00DA3F26" w:rsidRPr="004676F5" w:rsidRDefault="00DA3F26" w:rsidP="00DA3F26">
      <w:pPr>
        <w:ind w:firstLine="708"/>
        <w:jc w:val="both"/>
        <w:rPr>
          <w:lang w:val="de-DE"/>
        </w:rPr>
      </w:pPr>
      <w:r w:rsidRPr="004676F5">
        <w:rPr>
          <w:lang w:val="de-DE"/>
        </w:rPr>
        <w:t>3. für den Zahlungsvorgang zu entrichtende Entgelte und gegebenenfalls Aufschlüsse</w:t>
      </w:r>
      <w:r w:rsidRPr="004676F5">
        <w:rPr>
          <w:lang w:val="de-DE"/>
        </w:rPr>
        <w:softHyphen/>
        <w:t>lung der Beträge dieser Entgelte oder vom Zahler zu entrichtende Zinsen,</w:t>
      </w:r>
    </w:p>
    <w:p w14:paraId="7FB4695D" w14:textId="77777777" w:rsidR="00DA3F26" w:rsidRPr="004676F5" w:rsidRDefault="00DA3F26" w:rsidP="00DA3F26">
      <w:pPr>
        <w:ind w:firstLine="708"/>
        <w:jc w:val="both"/>
        <w:rPr>
          <w:lang w:val="de-DE"/>
        </w:rPr>
      </w:pPr>
    </w:p>
    <w:p w14:paraId="473B0361" w14:textId="77777777" w:rsidR="00DA3F26" w:rsidRPr="004676F5" w:rsidRDefault="00DA3F26" w:rsidP="00DA3F26">
      <w:pPr>
        <w:ind w:firstLine="708"/>
        <w:jc w:val="both"/>
        <w:rPr>
          <w:lang w:val="de-DE"/>
        </w:rPr>
      </w:pPr>
      <w:r w:rsidRPr="004676F5">
        <w:rPr>
          <w:lang w:val="de-DE"/>
        </w:rPr>
        <w:t>4. gegebenenfalls Wechselkurs, den der Zahlungsdienstleister des Zahlers dem Zahlungsvorgang zugrunde gelegt hat, und Betrag des Zahlungsvorgangs nach dieser Währungsumrechnung,</w:t>
      </w:r>
    </w:p>
    <w:p w14:paraId="3DFD7DF9" w14:textId="77777777" w:rsidR="00DA3F26" w:rsidRPr="004676F5" w:rsidRDefault="00DA3F26" w:rsidP="00DA3F26">
      <w:pPr>
        <w:ind w:firstLine="708"/>
        <w:jc w:val="both"/>
        <w:rPr>
          <w:lang w:val="de-DE"/>
        </w:rPr>
      </w:pPr>
    </w:p>
    <w:p w14:paraId="40D69C36" w14:textId="77777777" w:rsidR="00DA3F26" w:rsidRPr="004676F5" w:rsidRDefault="00DA3F26" w:rsidP="00DA3F26">
      <w:pPr>
        <w:ind w:firstLine="708"/>
        <w:jc w:val="both"/>
        <w:rPr>
          <w:lang w:val="de-DE"/>
        </w:rPr>
      </w:pPr>
      <w:r w:rsidRPr="004676F5">
        <w:rPr>
          <w:lang w:val="de-DE"/>
        </w:rPr>
        <w:t>5. Wertstellungsdatum der Belastung oder Datum des Eingangs des Zahlungsauftrags.</w:t>
      </w:r>
    </w:p>
    <w:p w14:paraId="0433ACE5" w14:textId="77777777" w:rsidR="00DA3F26" w:rsidRPr="004676F5" w:rsidRDefault="00DA3F26" w:rsidP="00DA3F26">
      <w:pPr>
        <w:ind w:firstLine="708"/>
        <w:jc w:val="both"/>
        <w:rPr>
          <w:lang w:val="de-DE"/>
        </w:rPr>
      </w:pPr>
    </w:p>
    <w:p w14:paraId="4D7C8889" w14:textId="76BE086A"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Der Rahmenvertrag enthält eine Klausel, der zufolge der Zahler verlangen kann, dass die Informationen nach § 1 mindestens einmal monatlich kostenlos und nach einem vereinbarten Verfahren so mitgeteilt oder zugänglich gemacht werden, dass der Zahler die Informationen unverändert aufbewahren und reproduzieren kann, damit er seine Ausgaben auf annehmbare Weise verfolgen kann.</w:t>
      </w:r>
    </w:p>
    <w:p w14:paraId="3D8EC437" w14:textId="77777777" w:rsidR="00DA3F26" w:rsidRPr="004676F5" w:rsidRDefault="00DA3F26" w:rsidP="00DA3F26">
      <w:pPr>
        <w:ind w:firstLine="708"/>
        <w:jc w:val="both"/>
        <w:rPr>
          <w:lang w:val="de-DE"/>
        </w:rPr>
      </w:pPr>
    </w:p>
    <w:p w14:paraId="3A1C906C" w14:textId="77777777" w:rsidR="00626AF8" w:rsidRPr="004676F5" w:rsidRDefault="00626AF8">
      <w:pPr>
        <w:rPr>
          <w:lang w:val="de-DE"/>
        </w:rPr>
      </w:pPr>
      <w:r w:rsidRPr="004676F5">
        <w:rPr>
          <w:lang w:val="de-DE"/>
        </w:rPr>
        <w:br w:type="page"/>
      </w:r>
    </w:p>
    <w:p w14:paraId="290A40A8" w14:textId="3D1ABC31" w:rsidR="00DA3F26" w:rsidRPr="004676F5" w:rsidRDefault="00DA3F26" w:rsidP="00DA3F26">
      <w:pPr>
        <w:ind w:firstLine="708"/>
        <w:jc w:val="both"/>
        <w:rPr>
          <w:lang w:val="de-DE"/>
        </w:rPr>
      </w:pPr>
      <w:r w:rsidRPr="004676F5">
        <w:rPr>
          <w:lang w:val="de-DE"/>
        </w:rPr>
        <w:lastRenderedPageBreak/>
        <w:t>§ 3 </w:t>
      </w:r>
      <w:r w:rsidR="005B7A5C" w:rsidRPr="004676F5">
        <w:rPr>
          <w:lang w:val="de-DE"/>
        </w:rPr>
        <w:t>- </w:t>
      </w:r>
      <w:r w:rsidRPr="004676F5">
        <w:rPr>
          <w:lang w:val="de-DE"/>
        </w:rPr>
        <w:t xml:space="preserve">Der König kann in Abweichung von § 2 und gemäß Modalitäten, die Er festlegt, durch einen im Ministerrat beratenen Erlass vom Zahlungsdienstleister verlangen, dass die in § 1 erwähnten Informationen auf Verlangen des Zahlers einmal monatlich kostenlos </w:t>
      </w:r>
      <w:r w:rsidR="00054D68" w:rsidRPr="004676F5">
        <w:rPr>
          <w:lang w:val="de-DE"/>
        </w:rPr>
        <w:t xml:space="preserve">[auf dauerhaftem Datenträger] </w:t>
      </w:r>
      <w:r w:rsidRPr="004676F5">
        <w:rPr>
          <w:lang w:val="de-DE"/>
        </w:rPr>
        <w:t>mitgeteilt werden.</w:t>
      </w:r>
    </w:p>
    <w:p w14:paraId="63543871" w14:textId="77777777" w:rsidR="00054D68" w:rsidRPr="004676F5" w:rsidRDefault="00054D68" w:rsidP="00DA3F26">
      <w:pPr>
        <w:ind w:firstLine="708"/>
        <w:jc w:val="both"/>
        <w:rPr>
          <w:lang w:val="de-DE"/>
        </w:rPr>
      </w:pPr>
    </w:p>
    <w:p w14:paraId="55D1DDD9" w14:textId="206E22C4" w:rsidR="00054D68" w:rsidRPr="004676F5" w:rsidRDefault="00054D68" w:rsidP="00054D68">
      <w:pPr>
        <w:jc w:val="both"/>
        <w:rPr>
          <w:i/>
          <w:iCs/>
          <w:lang w:val="de-DE"/>
        </w:rPr>
      </w:pPr>
      <w:r w:rsidRPr="004676F5">
        <w:rPr>
          <w:i/>
          <w:iCs/>
          <w:lang w:val="de-DE"/>
        </w:rPr>
        <w:t>[Art. VII.27 § 3 abgeändert durch Art. 12 des G. vom 20. September 2018 (B.S. vom 10. Oktober 2018)]</w:t>
      </w:r>
    </w:p>
    <w:p w14:paraId="095F3C3C" w14:textId="77777777" w:rsidR="00DA3F26" w:rsidRPr="004676F5" w:rsidRDefault="00DA3F26" w:rsidP="00DA3F26">
      <w:pPr>
        <w:ind w:firstLine="708"/>
        <w:jc w:val="both"/>
        <w:rPr>
          <w:lang w:val="de-DE"/>
        </w:rPr>
      </w:pPr>
    </w:p>
    <w:p w14:paraId="6EFC7AB9" w14:textId="77777777" w:rsidR="00DA3F26" w:rsidRPr="004676F5" w:rsidRDefault="00DA3F26" w:rsidP="00DA3F26">
      <w:pPr>
        <w:rPr>
          <w:lang w:val="de-DE"/>
        </w:rPr>
      </w:pPr>
    </w:p>
    <w:p w14:paraId="1948187E" w14:textId="1516BAD5" w:rsidR="00DA3F26" w:rsidRPr="004676F5" w:rsidRDefault="00DA3F26" w:rsidP="00DA3F26">
      <w:pPr>
        <w:ind w:firstLine="708"/>
        <w:jc w:val="both"/>
        <w:rPr>
          <w:lang w:val="de-DE"/>
        </w:rPr>
      </w:pPr>
      <w:r w:rsidRPr="004676F5">
        <w:rPr>
          <w:b/>
          <w:lang w:val="de-DE"/>
        </w:rPr>
        <w:t>Art. VII.28 </w:t>
      </w:r>
      <w:r w:rsidR="005B7A5C" w:rsidRPr="004676F5">
        <w:rPr>
          <w:lang w:val="de-DE"/>
        </w:rPr>
        <w:t>- </w:t>
      </w:r>
      <w:r w:rsidRPr="004676F5">
        <w:rPr>
          <w:lang w:val="de-DE"/>
        </w:rPr>
        <w:t>§ 1 </w:t>
      </w:r>
      <w:r w:rsidR="005B7A5C" w:rsidRPr="004676F5">
        <w:rPr>
          <w:lang w:val="de-DE"/>
        </w:rPr>
        <w:t>- </w:t>
      </w:r>
      <w:r w:rsidRPr="004676F5">
        <w:rPr>
          <w:lang w:val="de-DE"/>
        </w:rPr>
        <w:t>Nach Ausführung eines einzelnen Zahlungsvorgangs teilt der Zahlungsdienstleister des Zahlungsempfängers dem Zahlungsempfänger unverzüglich nach Maßgabe des Artikels VII.21 § 1 folgende Informationen mit:</w:t>
      </w:r>
    </w:p>
    <w:p w14:paraId="7DE05929" w14:textId="77777777" w:rsidR="00DA3F26" w:rsidRPr="004676F5" w:rsidRDefault="00DA3F26" w:rsidP="00DA3F26">
      <w:pPr>
        <w:ind w:firstLine="708"/>
        <w:jc w:val="both"/>
        <w:rPr>
          <w:lang w:val="de-DE"/>
        </w:rPr>
      </w:pPr>
    </w:p>
    <w:p w14:paraId="22C96D5C" w14:textId="77777777" w:rsidR="00DA3F26" w:rsidRPr="004676F5" w:rsidRDefault="00DA3F26" w:rsidP="00DA3F26">
      <w:pPr>
        <w:ind w:firstLine="708"/>
        <w:jc w:val="both"/>
        <w:rPr>
          <w:lang w:val="de-DE"/>
        </w:rPr>
      </w:pPr>
      <w:r w:rsidRPr="004676F5">
        <w:rPr>
          <w:lang w:val="de-DE"/>
        </w:rPr>
        <w:t>1. Referenz, die dem Zahlungsempfänger die Identifizierung des betreffenden Zahlungsvorgangs und des Zahlers ermöglicht, und weitere mit dem Zahlungsvorgang übermittelte Angaben,</w:t>
      </w:r>
    </w:p>
    <w:p w14:paraId="247538D1" w14:textId="77777777" w:rsidR="00DA3F26" w:rsidRPr="004676F5" w:rsidRDefault="00DA3F26" w:rsidP="00DA3F26">
      <w:pPr>
        <w:ind w:firstLine="708"/>
        <w:jc w:val="both"/>
        <w:rPr>
          <w:lang w:val="de-DE"/>
        </w:rPr>
      </w:pPr>
    </w:p>
    <w:p w14:paraId="40116DF6" w14:textId="77777777" w:rsidR="00DA3F26" w:rsidRPr="004676F5" w:rsidRDefault="00DA3F26" w:rsidP="00DA3F26">
      <w:pPr>
        <w:ind w:firstLine="708"/>
        <w:jc w:val="both"/>
        <w:rPr>
          <w:lang w:val="de-DE"/>
        </w:rPr>
      </w:pPr>
      <w:r w:rsidRPr="004676F5">
        <w:rPr>
          <w:lang w:val="de-DE"/>
        </w:rPr>
        <w:t>2. Betrag des Zahlungsvorgangs in der Währung, in der der Betrag dem Zahlungskonto des Zahlungsempfängers gutgeschrieben wird,</w:t>
      </w:r>
    </w:p>
    <w:p w14:paraId="77B44D81" w14:textId="77777777" w:rsidR="00DA3F26" w:rsidRPr="004676F5" w:rsidRDefault="00DA3F26" w:rsidP="00DA3F26">
      <w:pPr>
        <w:ind w:firstLine="708"/>
        <w:jc w:val="both"/>
        <w:rPr>
          <w:lang w:val="de-DE"/>
        </w:rPr>
      </w:pPr>
    </w:p>
    <w:p w14:paraId="5B0E5795" w14:textId="77777777" w:rsidR="00DA3F26" w:rsidRPr="004676F5" w:rsidRDefault="00DA3F26" w:rsidP="00DA3F26">
      <w:pPr>
        <w:ind w:firstLine="708"/>
        <w:jc w:val="both"/>
        <w:rPr>
          <w:lang w:val="de-DE"/>
        </w:rPr>
      </w:pPr>
      <w:r w:rsidRPr="004676F5">
        <w:rPr>
          <w:lang w:val="de-DE"/>
        </w:rPr>
        <w:t>3. für den Zahlungsvorgang zu entrichtende Entgelte und gegebenenfalls Aufschlüsse</w:t>
      </w:r>
      <w:r w:rsidRPr="004676F5">
        <w:rPr>
          <w:lang w:val="de-DE"/>
        </w:rPr>
        <w:softHyphen/>
        <w:t>lung der Beträge dieser Entgelte oder vom Zahlungsempfänger zu entrichtende Zinsen,</w:t>
      </w:r>
    </w:p>
    <w:p w14:paraId="5042C393" w14:textId="77777777" w:rsidR="00DA3F26" w:rsidRPr="004676F5" w:rsidRDefault="00DA3F26" w:rsidP="00DA3F26">
      <w:pPr>
        <w:ind w:firstLine="708"/>
        <w:jc w:val="both"/>
        <w:rPr>
          <w:lang w:val="de-DE"/>
        </w:rPr>
      </w:pPr>
    </w:p>
    <w:p w14:paraId="2C55AD14" w14:textId="77777777" w:rsidR="00DA3F26" w:rsidRPr="004676F5" w:rsidRDefault="00DA3F26" w:rsidP="00DA3F26">
      <w:pPr>
        <w:ind w:firstLine="708"/>
        <w:jc w:val="both"/>
        <w:rPr>
          <w:lang w:val="de-DE"/>
        </w:rPr>
      </w:pPr>
      <w:r w:rsidRPr="004676F5">
        <w:rPr>
          <w:lang w:val="de-DE"/>
        </w:rPr>
        <w:t>4. gegebenenfalls Wechselkurs, den der Zahlungsdienstleister des Zahlungsempfängers dem Zahlungsvorgang zugrunde gelegt hat, und Betrag des Zahlungsvorgangs vor dieser Währungsumrechnung,</w:t>
      </w:r>
    </w:p>
    <w:p w14:paraId="6DDDA776" w14:textId="77777777" w:rsidR="00DA3F26" w:rsidRPr="004676F5" w:rsidRDefault="00DA3F26" w:rsidP="00DA3F26">
      <w:pPr>
        <w:ind w:firstLine="708"/>
        <w:jc w:val="both"/>
        <w:rPr>
          <w:lang w:val="de-DE"/>
        </w:rPr>
      </w:pPr>
    </w:p>
    <w:p w14:paraId="6B6E59D8" w14:textId="77777777" w:rsidR="00DA3F26" w:rsidRPr="004676F5" w:rsidRDefault="00DA3F26" w:rsidP="00DA3F26">
      <w:pPr>
        <w:ind w:firstLine="708"/>
        <w:jc w:val="both"/>
        <w:rPr>
          <w:lang w:val="de-DE"/>
        </w:rPr>
      </w:pPr>
      <w:r w:rsidRPr="004676F5">
        <w:rPr>
          <w:lang w:val="de-DE"/>
        </w:rPr>
        <w:t>5. Wertstellungsdatum der Gutschrift.</w:t>
      </w:r>
    </w:p>
    <w:p w14:paraId="0379969A" w14:textId="77777777" w:rsidR="00DA3F26" w:rsidRPr="004676F5" w:rsidRDefault="00DA3F26" w:rsidP="00DA3F26">
      <w:pPr>
        <w:ind w:firstLine="708"/>
        <w:jc w:val="both"/>
        <w:rPr>
          <w:lang w:val="de-DE"/>
        </w:rPr>
      </w:pPr>
    </w:p>
    <w:p w14:paraId="6A935168" w14:textId="352F3CAC"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Der Rahmenvertrag kann eine Klausel enthalten, wonach die Informationen nach § 1 regelmäßig mindestens einmal monatlich und nach einem vereinbarten Verfahren so übermittelt oder zugänglich gemacht werden, dass der Zahlungsempfänger die Informationen unverändert aufbewahren und reproduzieren kann, damit er seine Ausgaben auf annehmbare Weise verfolgen kann.</w:t>
      </w:r>
    </w:p>
    <w:p w14:paraId="30A6FD37" w14:textId="77777777" w:rsidR="00DA3F26" w:rsidRPr="004676F5" w:rsidRDefault="00DA3F26" w:rsidP="00DA3F26">
      <w:pPr>
        <w:jc w:val="both"/>
        <w:rPr>
          <w:lang w:val="de-DE"/>
        </w:rPr>
      </w:pPr>
    </w:p>
    <w:p w14:paraId="114CF92E" w14:textId="18496914" w:rsidR="00DA3F26" w:rsidRPr="004676F5" w:rsidRDefault="00DA3F26" w:rsidP="00DA3F26">
      <w:pPr>
        <w:ind w:firstLine="708"/>
        <w:jc w:val="both"/>
        <w:rPr>
          <w:lang w:val="de-DE"/>
        </w:rPr>
      </w:pPr>
      <w:r w:rsidRPr="004676F5">
        <w:rPr>
          <w:lang w:val="de-DE"/>
        </w:rPr>
        <w:t xml:space="preserve"> § 3 </w:t>
      </w:r>
      <w:r w:rsidR="005B7A5C" w:rsidRPr="004676F5">
        <w:rPr>
          <w:lang w:val="de-DE"/>
        </w:rPr>
        <w:t>- </w:t>
      </w:r>
      <w:r w:rsidRPr="004676F5">
        <w:rPr>
          <w:lang w:val="de-DE"/>
        </w:rPr>
        <w:t xml:space="preserve">Der König kann in Abweichung von § 2 und gemäß Modalitäten, die Er festlegt, durch einen im Ministerrat beratenen Erlass vom Zahlungsdienstleister verlangen, dass die in § 1 erwähnten Informationen auf Verlangen des Zahlungsempfängers einmal monatlich kostenlos </w:t>
      </w:r>
      <w:r w:rsidR="00054D68" w:rsidRPr="004676F5">
        <w:rPr>
          <w:lang w:val="de-DE"/>
        </w:rPr>
        <w:t xml:space="preserve">[auf dauerhaftem Datenträger] </w:t>
      </w:r>
      <w:r w:rsidRPr="004676F5">
        <w:rPr>
          <w:lang w:val="de-DE"/>
        </w:rPr>
        <w:t>mitgeteilt werden.</w:t>
      </w:r>
    </w:p>
    <w:p w14:paraId="4ED9027C" w14:textId="77777777" w:rsidR="00054D68" w:rsidRPr="004676F5" w:rsidRDefault="00054D68" w:rsidP="00DA3F26">
      <w:pPr>
        <w:ind w:firstLine="708"/>
        <w:jc w:val="both"/>
        <w:rPr>
          <w:lang w:val="de-DE"/>
        </w:rPr>
      </w:pPr>
    </w:p>
    <w:p w14:paraId="60ED0857" w14:textId="0BFBB82B" w:rsidR="00054D68" w:rsidRPr="004676F5" w:rsidRDefault="00054D68" w:rsidP="00054D68">
      <w:pPr>
        <w:jc w:val="both"/>
        <w:rPr>
          <w:i/>
          <w:iCs/>
          <w:lang w:val="de-DE"/>
        </w:rPr>
      </w:pPr>
      <w:r w:rsidRPr="004676F5">
        <w:rPr>
          <w:i/>
          <w:iCs/>
          <w:lang w:val="de-DE"/>
        </w:rPr>
        <w:t>[Art. VII.28 § 3 abgeändert durch Art. 12 des G. vom 20. September 2018 (B.S. vom 10. Oktober 2018)]</w:t>
      </w:r>
    </w:p>
    <w:p w14:paraId="3ED86678" w14:textId="77777777" w:rsidR="00054D68" w:rsidRPr="004676F5" w:rsidRDefault="00054D68" w:rsidP="00DA3F26">
      <w:pPr>
        <w:ind w:firstLine="708"/>
        <w:jc w:val="both"/>
        <w:rPr>
          <w:lang w:val="de-DE"/>
        </w:rPr>
      </w:pPr>
    </w:p>
    <w:p w14:paraId="51001727" w14:textId="130ABFB9" w:rsidR="00DA3F26" w:rsidRPr="004676F5" w:rsidRDefault="00DA3F26" w:rsidP="00DA3F26">
      <w:pPr>
        <w:ind w:firstLine="708"/>
        <w:rPr>
          <w:lang w:val="de-DE"/>
        </w:rPr>
      </w:pPr>
    </w:p>
    <w:p w14:paraId="1E69CCEA" w14:textId="77777777" w:rsidR="00DA3F26" w:rsidRPr="004676F5" w:rsidRDefault="00DA3F26" w:rsidP="00DA3F26">
      <w:pPr>
        <w:ind w:firstLine="708"/>
        <w:rPr>
          <w:lang w:val="de-DE"/>
        </w:rPr>
      </w:pPr>
    </w:p>
    <w:p w14:paraId="43A08252" w14:textId="77777777" w:rsidR="00DA3F26" w:rsidRPr="004676F5" w:rsidRDefault="00DA3F26">
      <w:pPr>
        <w:rPr>
          <w:lang w:val="de-DE"/>
        </w:rPr>
      </w:pPr>
      <w:r w:rsidRPr="004676F5">
        <w:rPr>
          <w:lang w:val="de-DE"/>
        </w:rPr>
        <w:br w:type="page"/>
      </w:r>
    </w:p>
    <w:p w14:paraId="0B850AEA" w14:textId="615FCF73" w:rsidR="00DA3F26" w:rsidRPr="004676F5" w:rsidRDefault="00DA3F26" w:rsidP="00DA3F26">
      <w:pPr>
        <w:jc w:val="center"/>
        <w:rPr>
          <w:lang w:val="de-DE"/>
        </w:rPr>
      </w:pPr>
      <w:r w:rsidRPr="004676F5">
        <w:rPr>
          <w:lang w:val="de-DE"/>
        </w:rPr>
        <w:lastRenderedPageBreak/>
        <w:t>KAPITEL 3 </w:t>
      </w:r>
      <w:r w:rsidR="005B7A5C" w:rsidRPr="004676F5">
        <w:rPr>
          <w:lang w:val="de-DE"/>
        </w:rPr>
        <w:t>- </w:t>
      </w:r>
      <w:r w:rsidRPr="004676F5">
        <w:rPr>
          <w:i/>
          <w:lang w:val="de-DE"/>
        </w:rPr>
        <w:t>Rechte und Pflichten bei der Erbringung und Nutzung von Zahlungsdiensten</w:t>
      </w:r>
    </w:p>
    <w:p w14:paraId="0A005B06" w14:textId="7FB46A83" w:rsidR="00DA3F26" w:rsidRPr="004676F5" w:rsidRDefault="00DA3F26" w:rsidP="00DA3F26">
      <w:pPr>
        <w:rPr>
          <w:lang w:val="de-DE"/>
        </w:rPr>
      </w:pPr>
    </w:p>
    <w:p w14:paraId="476724EA" w14:textId="77777777" w:rsidR="00DA3F26" w:rsidRPr="004676F5" w:rsidRDefault="00DA3F26" w:rsidP="00DA3F26">
      <w:pPr>
        <w:rPr>
          <w:lang w:val="de-DE"/>
        </w:rPr>
      </w:pPr>
    </w:p>
    <w:p w14:paraId="4AB0A881" w14:textId="102DC531" w:rsidR="00DA3F26" w:rsidRPr="004676F5" w:rsidRDefault="00DA3F26" w:rsidP="00DA3F26">
      <w:pPr>
        <w:jc w:val="center"/>
        <w:rPr>
          <w:lang w:val="de-DE"/>
        </w:rPr>
      </w:pPr>
      <w:r w:rsidRPr="004676F5">
        <w:rPr>
          <w:i/>
          <w:lang w:val="de-DE"/>
        </w:rPr>
        <w:t>Abschnitt 1 </w:t>
      </w:r>
      <w:r w:rsidR="005B7A5C" w:rsidRPr="004676F5">
        <w:rPr>
          <w:i/>
          <w:lang w:val="de-DE"/>
        </w:rPr>
        <w:t>- </w:t>
      </w:r>
      <w:r w:rsidRPr="004676F5">
        <w:rPr>
          <w:lang w:val="de-DE"/>
        </w:rPr>
        <w:t>Allgemeine Vorschriften</w:t>
      </w:r>
    </w:p>
    <w:p w14:paraId="763D46F5" w14:textId="5B0012A0" w:rsidR="00DA3F26" w:rsidRPr="004676F5" w:rsidRDefault="00DA3F26" w:rsidP="00DA3F26">
      <w:pPr>
        <w:jc w:val="both"/>
        <w:rPr>
          <w:lang w:val="de-DE"/>
        </w:rPr>
      </w:pPr>
    </w:p>
    <w:p w14:paraId="2CD77A5D" w14:textId="77777777" w:rsidR="00DA3F26" w:rsidRPr="004676F5" w:rsidRDefault="00DA3F26" w:rsidP="00DA3F26">
      <w:pPr>
        <w:jc w:val="both"/>
        <w:rPr>
          <w:lang w:val="de-DE"/>
        </w:rPr>
      </w:pPr>
    </w:p>
    <w:p w14:paraId="27D82D00" w14:textId="637C2BCF" w:rsidR="00DA3F26" w:rsidRPr="004676F5" w:rsidRDefault="00DA3F26" w:rsidP="00DA3F26">
      <w:pPr>
        <w:ind w:firstLine="708"/>
        <w:jc w:val="both"/>
        <w:rPr>
          <w:lang w:val="de-DE"/>
        </w:rPr>
      </w:pPr>
      <w:r w:rsidRPr="004676F5">
        <w:rPr>
          <w:b/>
          <w:lang w:val="de-DE"/>
        </w:rPr>
        <w:t>Art. VII.29</w:t>
      </w:r>
      <w:r w:rsidRPr="004676F5">
        <w:rPr>
          <w:lang w:val="de-DE"/>
        </w:rPr>
        <w:t> </w:t>
      </w:r>
      <w:r w:rsidR="005B7A5C" w:rsidRPr="004676F5">
        <w:rPr>
          <w:lang w:val="de-DE"/>
        </w:rPr>
        <w:t>- </w:t>
      </w:r>
      <w:r w:rsidRPr="004676F5">
        <w:rPr>
          <w:lang w:val="de-DE"/>
        </w:rPr>
        <w:t>Handelt es sich bei dem Zahlungsdienstnutzer nicht um einen Verbraucher, so können die Parteien vereinbaren, dass die Artikel VII.30 § 1, VII.32 § 3, VII.33, VII.42, VII.44, VII.46 und VII.47, VII.50 und VII.55/3 bis VII.55/7 ganz oder teilweise nicht angewandt werden. Die Parteien können auch eine andere als die in Artikel VII.41 vorgesehene Frist vereinbaren.</w:t>
      </w:r>
    </w:p>
    <w:p w14:paraId="2B43268D" w14:textId="4E066437" w:rsidR="00DA3F26" w:rsidRPr="004676F5" w:rsidRDefault="00DA3F26" w:rsidP="00DA3F26">
      <w:pPr>
        <w:ind w:firstLine="708"/>
        <w:jc w:val="both"/>
        <w:rPr>
          <w:lang w:val="de-DE"/>
        </w:rPr>
      </w:pPr>
    </w:p>
    <w:p w14:paraId="663F5FE7" w14:textId="77777777" w:rsidR="00DA3F26" w:rsidRPr="004676F5" w:rsidRDefault="00DA3F26" w:rsidP="00DA3F26">
      <w:pPr>
        <w:ind w:firstLine="708"/>
        <w:jc w:val="both"/>
        <w:rPr>
          <w:lang w:val="de-DE"/>
        </w:rPr>
      </w:pPr>
    </w:p>
    <w:p w14:paraId="4A2AC8FD" w14:textId="5607DE38" w:rsidR="00DA3F26" w:rsidRPr="004676F5" w:rsidRDefault="00DA3F26" w:rsidP="00DA3F26">
      <w:pPr>
        <w:ind w:firstLine="708"/>
        <w:jc w:val="both"/>
        <w:rPr>
          <w:lang w:val="de-DE"/>
        </w:rPr>
      </w:pPr>
      <w:r w:rsidRPr="004676F5">
        <w:rPr>
          <w:b/>
          <w:lang w:val="de-DE"/>
        </w:rPr>
        <w:t>Art. VII.30</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Zahlungsdienstleister darf aufgrund der Artikel VII.32 bis VII.55/9 und VII.55/13 bis VII.56 und außer anderslautender Vereinbarung für die Erfüllung seiner Pflichten dem Zahlungsdienstnutzer keine Entgelte in Rechnung stellen.</w:t>
      </w:r>
    </w:p>
    <w:p w14:paraId="666D5C9D" w14:textId="77777777" w:rsidR="00DA3F26" w:rsidRPr="004676F5" w:rsidRDefault="00DA3F26" w:rsidP="00DA3F26">
      <w:pPr>
        <w:ind w:firstLine="708"/>
        <w:jc w:val="both"/>
        <w:rPr>
          <w:lang w:val="de-DE"/>
        </w:rPr>
      </w:pPr>
    </w:p>
    <w:p w14:paraId="0C86D08D" w14:textId="77777777" w:rsidR="00DA3F26" w:rsidRPr="004676F5" w:rsidRDefault="00DA3F26" w:rsidP="00DA3F26">
      <w:pPr>
        <w:ind w:firstLine="708"/>
        <w:jc w:val="both"/>
        <w:rPr>
          <w:lang w:val="de-DE"/>
        </w:rPr>
      </w:pPr>
      <w:r w:rsidRPr="004676F5">
        <w:rPr>
          <w:lang w:val="de-DE"/>
        </w:rPr>
        <w:t>Abweichend von vorhergehendem Absatz darf der Zahlungsdienstleister in den in den Artikeln VII.49 § 1, VII.50 Absatz 5 oder VII.55/2 § 4 erwähnten Fällen Entgelte in Rechnung stellen, sofern diese Entgelte im Rahmenvertrag zwischen dem Zahlungsdienstnutzer und dem Zahlungsdienstleister vereinbart sind und in dem Maße, wie sie angemessen und an den tatsächlichen Kosten des Zahlungsdienstleisters ausgerichtet sind.</w:t>
      </w:r>
    </w:p>
    <w:p w14:paraId="2AFB58B6" w14:textId="77777777" w:rsidR="00DA3F26" w:rsidRPr="004676F5" w:rsidRDefault="00DA3F26" w:rsidP="00DA3F26">
      <w:pPr>
        <w:ind w:firstLine="708"/>
        <w:jc w:val="both"/>
        <w:rPr>
          <w:lang w:val="de-DE"/>
        </w:rPr>
      </w:pPr>
    </w:p>
    <w:p w14:paraId="07870D65" w14:textId="174D5B1F"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 xml:space="preserve">Bei Zahlungsvorgängen innerhalb der Europäischen Union, bei denen sowohl der Zahlungsdienstleister des Zahlers als auch der des Zahlungsempfängers in einem Mitgliedstaat ansässig sind oder </w:t>
      </w:r>
      <w:r w:rsidR="005B7A5C" w:rsidRPr="004676F5">
        <w:rPr>
          <w:lang w:val="de-DE"/>
        </w:rPr>
        <w:t>- </w:t>
      </w:r>
      <w:r w:rsidRPr="004676F5">
        <w:rPr>
          <w:lang w:val="de-DE"/>
        </w:rPr>
        <w:t>falls nur ein einziger Zahlungsdienstleister an dem Zahlungsvorgang beteiligt ist </w:t>
      </w:r>
      <w:r w:rsidR="005B7A5C" w:rsidRPr="004676F5">
        <w:rPr>
          <w:lang w:val="de-DE"/>
        </w:rPr>
        <w:t>- </w:t>
      </w:r>
      <w:r w:rsidRPr="004676F5">
        <w:rPr>
          <w:lang w:val="de-DE"/>
        </w:rPr>
        <w:t>dieser in einem Mitgliedstaat ansässig ist, tragen Zahlungsempfänger und Zahler jeder für sich die von ihrem jeweiligen Zahlungsdienstleister erhobenen Entgelte.</w:t>
      </w:r>
    </w:p>
    <w:p w14:paraId="631995E9" w14:textId="77777777" w:rsidR="00DA3F26" w:rsidRPr="004676F5" w:rsidRDefault="00DA3F26" w:rsidP="00DA3F26">
      <w:pPr>
        <w:ind w:firstLine="708"/>
        <w:jc w:val="both"/>
        <w:rPr>
          <w:lang w:val="de-DE"/>
        </w:rPr>
      </w:pPr>
    </w:p>
    <w:p w14:paraId="6798EAA7" w14:textId="52B91514"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Es ist dem Zahlungsempfänger untersagt, vom Zahler ein Entgelt für die Nutzung eines bestimmten Zahlungsinstruments und für Zahlungsdienste, auf die die Verord</w:t>
      </w:r>
      <w:r w:rsidRPr="004676F5">
        <w:rPr>
          <w:lang w:val="de-DE"/>
        </w:rPr>
        <w:softHyphen/>
        <w:t>nung (EU) 260/2012 anwendbar ist, zu verlangen.</w:t>
      </w:r>
    </w:p>
    <w:p w14:paraId="706EEECB" w14:textId="77777777" w:rsidR="00DA3F26" w:rsidRPr="004676F5" w:rsidRDefault="00DA3F26" w:rsidP="00DA3F26">
      <w:pPr>
        <w:ind w:firstLine="708"/>
        <w:jc w:val="both"/>
        <w:rPr>
          <w:lang w:val="de-DE"/>
        </w:rPr>
      </w:pPr>
    </w:p>
    <w:p w14:paraId="6ACBD1B0" w14:textId="0DE68375" w:rsidR="00DA3F26" w:rsidRPr="004676F5" w:rsidRDefault="00DA3F26" w:rsidP="00DA3F26">
      <w:pPr>
        <w:ind w:firstLine="708"/>
        <w:jc w:val="both"/>
        <w:rPr>
          <w:lang w:val="de-DE"/>
        </w:rPr>
      </w:pPr>
      <w:r w:rsidRPr="004676F5">
        <w:rPr>
          <w:lang w:val="de-DE"/>
        </w:rPr>
        <w:t>§ 4 </w:t>
      </w:r>
      <w:r w:rsidR="005B7A5C" w:rsidRPr="004676F5">
        <w:rPr>
          <w:lang w:val="de-DE"/>
        </w:rPr>
        <w:t>- </w:t>
      </w:r>
      <w:r w:rsidRPr="004676F5">
        <w:rPr>
          <w:lang w:val="de-DE"/>
        </w:rPr>
        <w:t>Der König kann ebenfalls durch einen im Ministerrat beratenen Erlass Höchstbeträge für Entgelte ungeachtet ihrer Bezeichnung oder Form festlegen, die ein Zahlungsdienstleister vom Zahlungsempfänger für die Bereitstellung der Ausstattung verlangt, die die Erbringung von Zahlungsdiensten anhand eines Zahlungsinstruments erleichtert.</w:t>
      </w:r>
    </w:p>
    <w:p w14:paraId="2838352A" w14:textId="284F1D87" w:rsidR="00DA3F26" w:rsidRPr="004676F5" w:rsidRDefault="00DA3F26" w:rsidP="00DA3F26">
      <w:pPr>
        <w:ind w:firstLine="708"/>
        <w:jc w:val="both"/>
        <w:rPr>
          <w:lang w:val="de-DE"/>
        </w:rPr>
      </w:pPr>
    </w:p>
    <w:p w14:paraId="7E2C7A23" w14:textId="77777777" w:rsidR="00DA3F26" w:rsidRPr="004676F5" w:rsidRDefault="00DA3F26" w:rsidP="00DA3F26">
      <w:pPr>
        <w:ind w:firstLine="708"/>
        <w:jc w:val="both"/>
        <w:rPr>
          <w:lang w:val="de-DE"/>
        </w:rPr>
      </w:pPr>
    </w:p>
    <w:p w14:paraId="0F5C5936" w14:textId="251B224D" w:rsidR="00DA3F26" w:rsidRPr="004676F5" w:rsidRDefault="00DA3F26" w:rsidP="00DA3F26">
      <w:pPr>
        <w:ind w:firstLine="708"/>
        <w:jc w:val="both"/>
        <w:rPr>
          <w:lang w:val="de-DE"/>
        </w:rPr>
      </w:pPr>
      <w:r w:rsidRPr="004676F5">
        <w:rPr>
          <w:b/>
          <w:lang w:val="de-DE"/>
        </w:rPr>
        <w:t>Art. VII.31 </w:t>
      </w:r>
      <w:r w:rsidR="005B7A5C" w:rsidRPr="004676F5">
        <w:rPr>
          <w:b/>
          <w:lang w:val="de-DE"/>
        </w:rPr>
        <w:t>- </w:t>
      </w:r>
      <w:r w:rsidRPr="004676F5">
        <w:rPr>
          <w:lang w:val="de-DE"/>
        </w:rPr>
        <w:t>§ 1 </w:t>
      </w:r>
      <w:r w:rsidR="005B7A5C" w:rsidRPr="004676F5">
        <w:rPr>
          <w:lang w:val="de-DE"/>
        </w:rPr>
        <w:t>- </w:t>
      </w:r>
      <w:r w:rsidRPr="004676F5">
        <w:rPr>
          <w:lang w:val="de-DE"/>
        </w:rPr>
        <w:t>Im Fall von Zahlungsinstrumenten, die gemäß dem Rahmenvertrag nur einzelne Zahlungsvorgänge bis höchstens 30 EUR betreffen oder die entweder eine Ausgabenobergrenze von 150 EUR haben oder Geldbeträge speichern, die zu keiner Zeit 150 EUR übersteigen, können Zahlungsdienstleister mit ihren Zahlungsdienstnutzern vereinbaren, dass:</w:t>
      </w:r>
    </w:p>
    <w:p w14:paraId="64D734FF" w14:textId="77777777" w:rsidR="00DA3F26" w:rsidRPr="004676F5" w:rsidRDefault="00DA3F26" w:rsidP="00DA3F26">
      <w:pPr>
        <w:ind w:firstLine="708"/>
        <w:jc w:val="both"/>
        <w:rPr>
          <w:lang w:val="de-DE"/>
        </w:rPr>
      </w:pPr>
    </w:p>
    <w:p w14:paraId="2F19064F" w14:textId="77777777" w:rsidR="00DA3F26" w:rsidRPr="004676F5" w:rsidRDefault="00DA3F26" w:rsidP="00DA3F26">
      <w:pPr>
        <w:ind w:firstLine="708"/>
        <w:jc w:val="both"/>
        <w:rPr>
          <w:lang w:val="de-DE"/>
        </w:rPr>
      </w:pPr>
      <w:r w:rsidRPr="004676F5">
        <w:rPr>
          <w:lang w:val="de-DE"/>
        </w:rPr>
        <w:t>1. die Artikel VII.38 § 1 Nr. 2, VII.39 Nr. 3 und 4 und VII.44 § 3 keine Anwendung finden, wenn das Zahlungsinstrument nicht gesperrt werden oder eine weitere Nutzung nicht verhindert werden kann,</w:t>
      </w:r>
    </w:p>
    <w:p w14:paraId="6E13DF36" w14:textId="77777777" w:rsidR="00DA3F26" w:rsidRPr="004676F5" w:rsidRDefault="00DA3F26" w:rsidP="00DA3F26">
      <w:pPr>
        <w:ind w:firstLine="708"/>
        <w:jc w:val="both"/>
        <w:rPr>
          <w:lang w:val="de-DE"/>
        </w:rPr>
      </w:pPr>
    </w:p>
    <w:p w14:paraId="0B6704A5" w14:textId="77777777" w:rsidR="00DA3F26" w:rsidRPr="004676F5" w:rsidRDefault="00DA3F26" w:rsidP="00DA3F26">
      <w:pPr>
        <w:ind w:firstLine="708"/>
        <w:jc w:val="both"/>
        <w:rPr>
          <w:lang w:val="de-DE"/>
        </w:rPr>
      </w:pPr>
      <w:r w:rsidRPr="004676F5">
        <w:rPr>
          <w:lang w:val="de-DE"/>
        </w:rPr>
        <w:t xml:space="preserve">2. die Artikel VII.42, VII.43 und VII.44 § 1 Absatz 1 und 4 keine Anwendung finden, wenn das Zahlungsinstrument anonym genutzt wird oder der Zahlungsdienstleister aus anderen </w:t>
      </w:r>
      <w:r w:rsidRPr="004676F5">
        <w:rPr>
          <w:lang w:val="de-DE"/>
        </w:rPr>
        <w:lastRenderedPageBreak/>
        <w:t>Gründen, die dem Zahlungsinstrument eigen sind, nicht nachweisen kann, dass ein Zahlungsvorgang autorisiert war,</w:t>
      </w:r>
    </w:p>
    <w:p w14:paraId="0A29E252" w14:textId="77777777" w:rsidR="00DA3F26" w:rsidRPr="004676F5" w:rsidRDefault="00DA3F26" w:rsidP="00DA3F26">
      <w:pPr>
        <w:jc w:val="both"/>
        <w:rPr>
          <w:lang w:val="de-DE"/>
        </w:rPr>
      </w:pPr>
      <w:r w:rsidRPr="004676F5">
        <w:rPr>
          <w:lang w:val="de-DE"/>
        </w:rPr>
        <w:tab/>
      </w:r>
    </w:p>
    <w:p w14:paraId="03DC15FF" w14:textId="77777777" w:rsidR="00DA3F26" w:rsidRPr="004676F5" w:rsidRDefault="00DA3F26" w:rsidP="00DA3F26">
      <w:pPr>
        <w:ind w:firstLine="708"/>
        <w:jc w:val="both"/>
        <w:rPr>
          <w:lang w:val="de-DE"/>
        </w:rPr>
      </w:pPr>
      <w:r w:rsidRPr="004676F5">
        <w:rPr>
          <w:lang w:val="de-DE"/>
        </w:rPr>
        <w:t>3. abweichend von Artikel VII.49 § 1 der Zahlungsdienstleister nicht verpflichtet ist, den Zahlungsdienstnutzer von einer Ablehnung des Zahlungsauftrags zu unterrichten, wenn die Nichtausführung aus dem Zusammenhang deutlich hervorgeht,</w:t>
      </w:r>
    </w:p>
    <w:p w14:paraId="2D447F93" w14:textId="77777777" w:rsidR="00DA3F26" w:rsidRPr="004676F5" w:rsidRDefault="00DA3F26" w:rsidP="00DA3F26">
      <w:pPr>
        <w:ind w:firstLine="708"/>
        <w:jc w:val="both"/>
        <w:rPr>
          <w:lang w:val="de-DE"/>
        </w:rPr>
      </w:pPr>
    </w:p>
    <w:p w14:paraId="37DEFD20" w14:textId="77777777" w:rsidR="00DA3F26" w:rsidRPr="004676F5" w:rsidRDefault="00DA3F26" w:rsidP="00DA3F26">
      <w:pPr>
        <w:ind w:firstLine="708"/>
        <w:jc w:val="both"/>
        <w:rPr>
          <w:lang w:val="de-DE"/>
        </w:rPr>
      </w:pPr>
      <w:r w:rsidRPr="004676F5">
        <w:rPr>
          <w:lang w:val="de-DE"/>
        </w:rPr>
        <w:t>4. abweichend von Artikel VII.50 der Zahler den Zahlungsauftrag nach dessen Übermittlung beziehungsweise nachdem er dem Zahlungsempfänger seine Zustimmung zum Zahlungsauftrag erteilt hat, nicht widerrufen kann,</w:t>
      </w:r>
    </w:p>
    <w:p w14:paraId="00A17C7C" w14:textId="77777777" w:rsidR="00DA3F26" w:rsidRPr="004676F5" w:rsidRDefault="00DA3F26" w:rsidP="00DA3F26">
      <w:pPr>
        <w:ind w:firstLine="708"/>
        <w:jc w:val="both"/>
        <w:rPr>
          <w:lang w:val="de-DE"/>
        </w:rPr>
      </w:pPr>
    </w:p>
    <w:p w14:paraId="4E315BF1" w14:textId="77777777" w:rsidR="00DA3F26" w:rsidRPr="004676F5" w:rsidRDefault="00DA3F26" w:rsidP="00DA3F26">
      <w:pPr>
        <w:ind w:firstLine="708"/>
        <w:jc w:val="both"/>
        <w:rPr>
          <w:lang w:val="de-DE"/>
        </w:rPr>
      </w:pPr>
      <w:r w:rsidRPr="004676F5">
        <w:rPr>
          <w:lang w:val="de-DE"/>
        </w:rPr>
        <w:t>5. abweichend von den Artikeln VII.53 und VII.54 andere Ausführungsfristen gelten.</w:t>
      </w:r>
    </w:p>
    <w:p w14:paraId="56A0FD8C" w14:textId="77777777" w:rsidR="00DA3F26" w:rsidRPr="004676F5" w:rsidRDefault="00DA3F26" w:rsidP="00DA3F26">
      <w:pPr>
        <w:ind w:firstLine="708"/>
        <w:jc w:val="both"/>
        <w:rPr>
          <w:lang w:val="de-DE"/>
        </w:rPr>
      </w:pPr>
    </w:p>
    <w:p w14:paraId="792BD6B9" w14:textId="188C63F9"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Für innerstaatliche Zahlungsvorgänge kann der König durch einen im Ministerrat beratenen Erlass die in § 1 Absatz 1 genannten Beträge verringern oder verdoppeln und diese Beträge für Zahlungsinstrumente auf Guthabenbasis auf bis zu 500 EUR erhöhen.</w:t>
      </w:r>
    </w:p>
    <w:p w14:paraId="21D96282" w14:textId="77777777" w:rsidR="00DA3F26" w:rsidRPr="004676F5" w:rsidRDefault="00DA3F26" w:rsidP="00DA3F26">
      <w:pPr>
        <w:ind w:firstLine="708"/>
        <w:jc w:val="both"/>
        <w:rPr>
          <w:lang w:val="de-DE"/>
        </w:rPr>
      </w:pPr>
    </w:p>
    <w:p w14:paraId="2BA4CCE6" w14:textId="3416C24A"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Die Artikel VII.43 und VII.44 gelten auch für E-Geld außer in dem Fall, in dem der Zahlungsdienstleister des Zahlers nicht die Möglichkeit hat, das Zahlungskonto, auf dem das E-Geld gespeichert ist, oder das Zahlungsinstrument zu sperren, und das Zahlungskonto, auf dem das E-Geld gespeichert ist, oder das Zahlungsinstrument den Nutzungsbedingungen nach der einleitenden Bestimmung von § 1 entspricht.</w:t>
      </w:r>
    </w:p>
    <w:p w14:paraId="6C556BD1" w14:textId="77777777" w:rsidR="00DA3F26" w:rsidRPr="004676F5" w:rsidRDefault="00DA3F26" w:rsidP="00DA3F26">
      <w:pPr>
        <w:jc w:val="both"/>
        <w:rPr>
          <w:lang w:val="de-DE"/>
        </w:rPr>
      </w:pPr>
    </w:p>
    <w:p w14:paraId="24163015" w14:textId="720327D5" w:rsidR="00DA3F26" w:rsidRPr="004676F5" w:rsidRDefault="00DA3F26" w:rsidP="00DA3F26">
      <w:pPr>
        <w:ind w:firstLine="708"/>
        <w:jc w:val="both"/>
        <w:rPr>
          <w:lang w:val="de-DE"/>
        </w:rPr>
      </w:pPr>
      <w:r w:rsidRPr="004676F5">
        <w:rPr>
          <w:lang w:val="de-DE"/>
        </w:rPr>
        <w:t>§ 4 </w:t>
      </w:r>
      <w:r w:rsidR="005B7A5C" w:rsidRPr="004676F5">
        <w:rPr>
          <w:lang w:val="de-DE"/>
        </w:rPr>
        <w:t>- </w:t>
      </w:r>
      <w:r w:rsidRPr="004676F5">
        <w:rPr>
          <w:lang w:val="de-DE"/>
        </w:rPr>
        <w:t>Der König kann die Abweichung von der Anwendung der Artikel VII.43 und VII.44 auf Zahlungskonten, auf denen E-Geld gespeichert ist, oder auf Zahlungsinstrumente mit einem bestimmten Wert beschränken.</w:t>
      </w:r>
    </w:p>
    <w:p w14:paraId="023F528D" w14:textId="0B569677" w:rsidR="00DA3F26" w:rsidRPr="004676F5" w:rsidRDefault="00DA3F26" w:rsidP="00DA3F26">
      <w:pPr>
        <w:ind w:firstLine="708"/>
        <w:rPr>
          <w:lang w:val="de-DE"/>
        </w:rPr>
      </w:pPr>
    </w:p>
    <w:p w14:paraId="13D70F8D" w14:textId="77777777" w:rsidR="00DA3F26" w:rsidRPr="004676F5" w:rsidRDefault="00DA3F26" w:rsidP="00DA3F26">
      <w:pPr>
        <w:ind w:firstLine="708"/>
        <w:rPr>
          <w:lang w:val="de-DE"/>
        </w:rPr>
      </w:pPr>
    </w:p>
    <w:p w14:paraId="524E922F" w14:textId="15731120" w:rsidR="00DA3F26" w:rsidRPr="004676F5" w:rsidRDefault="00DA3F26" w:rsidP="00DA3F26">
      <w:pPr>
        <w:jc w:val="center"/>
        <w:rPr>
          <w:lang w:val="de-DE"/>
        </w:rPr>
      </w:pPr>
      <w:r w:rsidRPr="004676F5">
        <w:rPr>
          <w:i/>
          <w:lang w:val="de-DE"/>
        </w:rPr>
        <w:t>Abschnitt 2 </w:t>
      </w:r>
      <w:r w:rsidR="005B7A5C" w:rsidRPr="004676F5">
        <w:rPr>
          <w:i/>
          <w:lang w:val="de-DE"/>
        </w:rPr>
        <w:t>- </w:t>
      </w:r>
      <w:r w:rsidRPr="004676F5">
        <w:rPr>
          <w:lang w:val="de-DE"/>
        </w:rPr>
        <w:t>Autorisierung von Zahlungsvorgängen</w:t>
      </w:r>
    </w:p>
    <w:p w14:paraId="2B4B004D" w14:textId="3C7C502A" w:rsidR="00DA3F26" w:rsidRPr="004676F5" w:rsidRDefault="00DA3F26" w:rsidP="00DA3F26">
      <w:pPr>
        <w:rPr>
          <w:lang w:val="de-DE"/>
        </w:rPr>
      </w:pPr>
    </w:p>
    <w:p w14:paraId="081C4117" w14:textId="77777777" w:rsidR="00DA3F26" w:rsidRPr="004676F5" w:rsidRDefault="00DA3F26" w:rsidP="00DA3F26">
      <w:pPr>
        <w:rPr>
          <w:lang w:val="de-DE"/>
        </w:rPr>
      </w:pPr>
    </w:p>
    <w:p w14:paraId="775751AD" w14:textId="037BAF80" w:rsidR="00DA3F26" w:rsidRPr="004676F5" w:rsidRDefault="00DA3F26" w:rsidP="00DA3F26">
      <w:pPr>
        <w:jc w:val="center"/>
        <w:rPr>
          <w:lang w:val="de-DE"/>
        </w:rPr>
      </w:pPr>
      <w:r w:rsidRPr="004676F5">
        <w:rPr>
          <w:lang w:val="de-DE"/>
        </w:rPr>
        <w:t>Unterabschnitt 1 </w:t>
      </w:r>
      <w:r w:rsidR="005B7A5C" w:rsidRPr="004676F5">
        <w:rPr>
          <w:lang w:val="de-DE"/>
        </w:rPr>
        <w:t>- </w:t>
      </w:r>
      <w:r w:rsidRPr="004676F5">
        <w:rPr>
          <w:lang w:val="de-DE"/>
        </w:rPr>
        <w:t>Zustimmung zur Ausführung von Zahlungsvorgängen und Bestätigung der Verfügbarkeit eines Geldbetrags</w:t>
      </w:r>
    </w:p>
    <w:p w14:paraId="6BE55387" w14:textId="3EF9BD10" w:rsidR="00DA3F26" w:rsidRPr="004676F5" w:rsidRDefault="00DA3F26" w:rsidP="00DA3F26">
      <w:pPr>
        <w:jc w:val="both"/>
        <w:rPr>
          <w:lang w:val="de-DE"/>
        </w:rPr>
      </w:pPr>
    </w:p>
    <w:p w14:paraId="0DD6E103" w14:textId="77777777" w:rsidR="00DA3F26" w:rsidRPr="004676F5" w:rsidRDefault="00DA3F26" w:rsidP="00DA3F26">
      <w:pPr>
        <w:jc w:val="both"/>
        <w:rPr>
          <w:lang w:val="de-DE"/>
        </w:rPr>
      </w:pPr>
    </w:p>
    <w:p w14:paraId="57C261A5" w14:textId="206652DD" w:rsidR="00DA3F26" w:rsidRPr="004676F5" w:rsidRDefault="00DA3F26" w:rsidP="00DA3F26">
      <w:pPr>
        <w:ind w:firstLine="708"/>
        <w:jc w:val="both"/>
        <w:rPr>
          <w:lang w:val="de-DE"/>
        </w:rPr>
      </w:pPr>
      <w:r w:rsidRPr="004676F5">
        <w:rPr>
          <w:b/>
          <w:lang w:val="de-DE"/>
        </w:rPr>
        <w:t>Art. VII.32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 Zahlungsvorgang gilt als autorisiert, wenn der Zahler der Ausführung des Zahlungsvorgangs zugestimmt hat.</w:t>
      </w:r>
    </w:p>
    <w:p w14:paraId="5728DDAB" w14:textId="77777777" w:rsidR="00DA3F26" w:rsidRPr="004676F5" w:rsidRDefault="00DA3F26" w:rsidP="00DA3F26">
      <w:pPr>
        <w:ind w:firstLine="708"/>
        <w:jc w:val="both"/>
        <w:rPr>
          <w:lang w:val="de-DE"/>
        </w:rPr>
      </w:pPr>
    </w:p>
    <w:p w14:paraId="55CCC415" w14:textId="7C3D849A" w:rsidR="00DA3F26" w:rsidRPr="004676F5" w:rsidRDefault="00DA3F26" w:rsidP="00DA3F26">
      <w:pPr>
        <w:ind w:firstLine="708"/>
        <w:jc w:val="both"/>
        <w:rPr>
          <w:lang w:val="de-DE"/>
        </w:rPr>
      </w:pPr>
      <w:r w:rsidRPr="004676F5">
        <w:rPr>
          <w:lang w:val="de-DE"/>
        </w:rPr>
        <w:t xml:space="preserve">Der Zahler kann einen Zahlungsvorgang entweder vor oder </w:t>
      </w:r>
      <w:r w:rsidR="005B7A5C" w:rsidRPr="004676F5">
        <w:rPr>
          <w:lang w:val="de-DE"/>
        </w:rPr>
        <w:t>- </w:t>
      </w:r>
      <w:r w:rsidRPr="004676F5">
        <w:rPr>
          <w:lang w:val="de-DE"/>
        </w:rPr>
        <w:t>sofern zwischen dem Zahler und seinem Zahlungsdienstleister so vereinbart </w:t>
      </w:r>
      <w:r w:rsidR="005B7A5C" w:rsidRPr="004676F5">
        <w:rPr>
          <w:lang w:val="de-DE"/>
        </w:rPr>
        <w:t>- </w:t>
      </w:r>
      <w:r w:rsidRPr="004676F5">
        <w:rPr>
          <w:lang w:val="de-DE"/>
        </w:rPr>
        <w:t>nach der Ausführung autorisieren.</w:t>
      </w:r>
    </w:p>
    <w:p w14:paraId="2B8B471A" w14:textId="77777777" w:rsidR="00DA3F26" w:rsidRPr="004676F5" w:rsidRDefault="00DA3F26" w:rsidP="00DA3F26">
      <w:pPr>
        <w:ind w:firstLine="708"/>
        <w:jc w:val="both"/>
        <w:rPr>
          <w:lang w:val="de-DE"/>
        </w:rPr>
      </w:pPr>
    </w:p>
    <w:p w14:paraId="19337263" w14:textId="425CC8C7"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Die Zustimmung zur Ausführung eines oder mehrerer Zahlungsvorgänge wird in der Form und gemäß dem Verfahren erteilt, die zwischen dem Zahler und seinem Zahlungsdienstleister vereinbart werden.</w:t>
      </w:r>
    </w:p>
    <w:p w14:paraId="65B7ED72" w14:textId="77777777" w:rsidR="00DA3F26" w:rsidRPr="004676F5" w:rsidRDefault="00DA3F26" w:rsidP="00DA3F26">
      <w:pPr>
        <w:ind w:firstLine="708"/>
        <w:jc w:val="both"/>
        <w:rPr>
          <w:lang w:val="de-DE"/>
        </w:rPr>
      </w:pPr>
    </w:p>
    <w:p w14:paraId="5C1D1211" w14:textId="77777777" w:rsidR="00DA3F26" w:rsidRPr="004676F5" w:rsidRDefault="00DA3F26" w:rsidP="00DA3F26">
      <w:pPr>
        <w:ind w:firstLine="708"/>
        <w:jc w:val="both"/>
        <w:rPr>
          <w:lang w:val="de-DE"/>
        </w:rPr>
      </w:pPr>
      <w:r w:rsidRPr="004676F5">
        <w:rPr>
          <w:lang w:val="de-DE"/>
        </w:rPr>
        <w:t>Die Zustimmung zur Ausführung eines Zahlungsvorgangs kann auch über den Zahlungsempfänger oder den Zahlungsauslösedienstleister erteilt werden.</w:t>
      </w:r>
    </w:p>
    <w:p w14:paraId="624B0657" w14:textId="77777777" w:rsidR="00DA3F26" w:rsidRPr="004676F5" w:rsidRDefault="00DA3F26" w:rsidP="00DA3F26">
      <w:pPr>
        <w:ind w:firstLine="708"/>
        <w:jc w:val="both"/>
        <w:rPr>
          <w:lang w:val="de-DE"/>
        </w:rPr>
      </w:pPr>
    </w:p>
    <w:p w14:paraId="733F3495" w14:textId="77777777" w:rsidR="00DA3F26" w:rsidRPr="004676F5" w:rsidRDefault="00DA3F26" w:rsidP="00DA3F26">
      <w:pPr>
        <w:ind w:firstLine="708"/>
        <w:jc w:val="both"/>
        <w:rPr>
          <w:lang w:val="de-DE"/>
        </w:rPr>
      </w:pPr>
      <w:r w:rsidRPr="004676F5">
        <w:rPr>
          <w:lang w:val="de-DE"/>
        </w:rPr>
        <w:t>Fehlt diese Zustimmung, gilt der Zahlungsvorgang als nicht autorisiert.</w:t>
      </w:r>
    </w:p>
    <w:p w14:paraId="5AD1376E" w14:textId="77777777" w:rsidR="00DA3F26" w:rsidRPr="004676F5" w:rsidRDefault="00DA3F26" w:rsidP="00DA3F26">
      <w:pPr>
        <w:ind w:firstLine="708"/>
        <w:jc w:val="both"/>
        <w:rPr>
          <w:lang w:val="de-DE"/>
        </w:rPr>
      </w:pPr>
    </w:p>
    <w:p w14:paraId="2748682E" w14:textId="242DB069"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Die Zustimmung kann vom Zahler jederzeit widerrufen werden, jedoch nur bis zu dem Zeitpunkt, an dem nach Artikel VII.50 die Unwiderruflichkeit eintritt.</w:t>
      </w:r>
    </w:p>
    <w:p w14:paraId="1FD171CC" w14:textId="77777777" w:rsidR="00DA3F26" w:rsidRPr="004676F5" w:rsidRDefault="00DA3F26" w:rsidP="00DA3F26">
      <w:pPr>
        <w:ind w:firstLine="708"/>
        <w:jc w:val="both"/>
        <w:rPr>
          <w:lang w:val="de-DE"/>
        </w:rPr>
      </w:pPr>
    </w:p>
    <w:p w14:paraId="410764B8" w14:textId="77777777" w:rsidR="00DA3F26" w:rsidRPr="004676F5" w:rsidRDefault="00DA3F26" w:rsidP="00DA3F26">
      <w:pPr>
        <w:ind w:firstLine="708"/>
        <w:jc w:val="both"/>
        <w:rPr>
          <w:lang w:val="de-DE"/>
        </w:rPr>
      </w:pPr>
      <w:r w:rsidRPr="004676F5">
        <w:rPr>
          <w:lang w:val="de-DE"/>
        </w:rPr>
        <w:t>Auch die Zustimmung zur Ausführung mehrerer Zahlungsvorgänge kann widerrufen werden; in diesem Fall gilt jeder nachfolgende Zahlungsvorgang als nicht autorisiert.</w:t>
      </w:r>
    </w:p>
    <w:p w14:paraId="53AFB6DE" w14:textId="77777777" w:rsidR="00DA3F26" w:rsidRPr="004676F5" w:rsidRDefault="00DA3F26" w:rsidP="00DA3F26">
      <w:pPr>
        <w:ind w:firstLine="708"/>
        <w:jc w:val="both"/>
        <w:rPr>
          <w:lang w:val="de-DE"/>
        </w:rPr>
      </w:pPr>
    </w:p>
    <w:p w14:paraId="17073C31" w14:textId="22010E92" w:rsidR="00DA3F26" w:rsidRPr="004676F5" w:rsidRDefault="00DA3F26" w:rsidP="00DA3F26">
      <w:pPr>
        <w:ind w:firstLine="708"/>
        <w:jc w:val="both"/>
        <w:rPr>
          <w:lang w:val="de-DE"/>
        </w:rPr>
      </w:pPr>
      <w:r w:rsidRPr="004676F5">
        <w:rPr>
          <w:lang w:val="de-DE"/>
        </w:rPr>
        <w:t>§ 4 </w:t>
      </w:r>
      <w:r w:rsidR="005B7A5C" w:rsidRPr="004676F5">
        <w:rPr>
          <w:lang w:val="de-DE"/>
        </w:rPr>
        <w:t>- </w:t>
      </w:r>
      <w:r w:rsidRPr="004676F5">
        <w:rPr>
          <w:lang w:val="de-DE"/>
        </w:rPr>
        <w:t>Das Verfahren für die Erteilung der Zustimmung wird zwischen dem Zahler und dem(den) betroffenen Zahlungsdienstleister(n) vereinbart.</w:t>
      </w:r>
    </w:p>
    <w:p w14:paraId="0B9CD99A" w14:textId="0782ED89" w:rsidR="00DA3F26" w:rsidRPr="004676F5" w:rsidRDefault="00DA3F26" w:rsidP="00DA3F26">
      <w:pPr>
        <w:ind w:firstLine="708"/>
        <w:jc w:val="both"/>
        <w:rPr>
          <w:lang w:val="de-DE"/>
        </w:rPr>
      </w:pPr>
    </w:p>
    <w:p w14:paraId="44DF5226" w14:textId="77777777" w:rsidR="00DA3F26" w:rsidRPr="004676F5" w:rsidRDefault="00DA3F26" w:rsidP="00DA3F26">
      <w:pPr>
        <w:ind w:firstLine="708"/>
        <w:jc w:val="both"/>
        <w:rPr>
          <w:lang w:val="de-DE"/>
        </w:rPr>
      </w:pPr>
    </w:p>
    <w:p w14:paraId="1B54AC75" w14:textId="3D14847E" w:rsidR="00DA3F26" w:rsidRPr="004676F5" w:rsidRDefault="00DA3F26" w:rsidP="00DA3F26">
      <w:pPr>
        <w:ind w:firstLine="708"/>
        <w:jc w:val="both"/>
        <w:rPr>
          <w:lang w:val="de-DE"/>
        </w:rPr>
      </w:pPr>
      <w:r w:rsidRPr="004676F5">
        <w:rPr>
          <w:b/>
          <w:lang w:val="de-DE"/>
        </w:rPr>
        <w:t>Art. VII.33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Bei Lastschriftaufträgen muss der Zahler je nach Fall einer oder mehreren der folgenden Personen einen entsprechenden Auftrag erteilen:</w:t>
      </w:r>
    </w:p>
    <w:p w14:paraId="1A68D13C" w14:textId="77777777" w:rsidR="00DA3F26" w:rsidRPr="004676F5" w:rsidRDefault="00DA3F26" w:rsidP="00DA3F26">
      <w:pPr>
        <w:ind w:firstLine="708"/>
        <w:jc w:val="both"/>
        <w:rPr>
          <w:lang w:val="de-DE"/>
        </w:rPr>
      </w:pPr>
    </w:p>
    <w:p w14:paraId="422F9E46" w14:textId="77777777" w:rsidR="00DA3F26" w:rsidRPr="004676F5" w:rsidRDefault="00DA3F26" w:rsidP="00DA3F26">
      <w:pPr>
        <w:ind w:firstLine="708"/>
        <w:jc w:val="both"/>
        <w:rPr>
          <w:lang w:val="de-DE"/>
        </w:rPr>
      </w:pPr>
      <w:r w:rsidRPr="004676F5">
        <w:rPr>
          <w:lang w:val="de-DE"/>
        </w:rPr>
        <w:t>1. dem Zahlungsempfänger,</w:t>
      </w:r>
    </w:p>
    <w:p w14:paraId="37D7B51A" w14:textId="77777777" w:rsidR="00DA3F26" w:rsidRPr="004676F5" w:rsidRDefault="00DA3F26" w:rsidP="00DA3F26">
      <w:pPr>
        <w:ind w:firstLine="708"/>
        <w:jc w:val="both"/>
        <w:rPr>
          <w:lang w:val="de-DE"/>
        </w:rPr>
      </w:pPr>
    </w:p>
    <w:p w14:paraId="694B7FD5" w14:textId="77777777" w:rsidR="00DA3F26" w:rsidRPr="004676F5" w:rsidRDefault="00DA3F26" w:rsidP="00DA3F26">
      <w:pPr>
        <w:ind w:firstLine="708"/>
        <w:jc w:val="both"/>
        <w:rPr>
          <w:lang w:val="de-DE"/>
        </w:rPr>
      </w:pPr>
      <w:r w:rsidRPr="004676F5">
        <w:rPr>
          <w:lang w:val="de-DE"/>
        </w:rPr>
        <w:t>2. dem Zahlungsdienstleister des Zahlungsempfängers,</w:t>
      </w:r>
    </w:p>
    <w:p w14:paraId="107402F8" w14:textId="77777777" w:rsidR="00DA3F26" w:rsidRPr="004676F5" w:rsidRDefault="00DA3F26" w:rsidP="00DA3F26">
      <w:pPr>
        <w:ind w:firstLine="708"/>
        <w:jc w:val="both"/>
        <w:rPr>
          <w:lang w:val="de-DE"/>
        </w:rPr>
      </w:pPr>
    </w:p>
    <w:p w14:paraId="4DA2AFD9" w14:textId="77777777" w:rsidR="00DA3F26" w:rsidRPr="004676F5" w:rsidRDefault="00DA3F26" w:rsidP="00DA3F26">
      <w:pPr>
        <w:ind w:firstLine="708"/>
        <w:jc w:val="both"/>
        <w:rPr>
          <w:lang w:val="de-DE"/>
        </w:rPr>
      </w:pPr>
      <w:r w:rsidRPr="004676F5">
        <w:rPr>
          <w:lang w:val="de-DE"/>
        </w:rPr>
        <w:t>3. dem Zahlungsdienstleister des Zahlers.</w:t>
      </w:r>
    </w:p>
    <w:p w14:paraId="7540E3CE" w14:textId="77777777" w:rsidR="00DA3F26" w:rsidRPr="004676F5" w:rsidRDefault="00DA3F26" w:rsidP="00DA3F26">
      <w:pPr>
        <w:ind w:firstLine="708"/>
        <w:jc w:val="both"/>
        <w:rPr>
          <w:lang w:val="de-DE"/>
        </w:rPr>
      </w:pPr>
    </w:p>
    <w:p w14:paraId="55705D15" w14:textId="0ED7F135" w:rsidR="00DA3F26" w:rsidRPr="004676F5" w:rsidRDefault="00DA3F26" w:rsidP="00DA3F26">
      <w:pPr>
        <w:ind w:firstLine="708"/>
        <w:jc w:val="both"/>
        <w:rPr>
          <w:lang w:val="de-DE"/>
        </w:rPr>
      </w:pPr>
      <w:r w:rsidRPr="004676F5">
        <w:rPr>
          <w:lang w:val="de-DE"/>
        </w:rPr>
        <w:t xml:space="preserve">Ein Exemplar ist dem Zahler </w:t>
      </w:r>
      <w:r w:rsidR="00054D68" w:rsidRPr="004676F5">
        <w:rPr>
          <w:lang w:val="de-DE"/>
        </w:rPr>
        <w:t xml:space="preserve">[auf dauerhaftem Datenträger] </w:t>
      </w:r>
      <w:r w:rsidRPr="004676F5">
        <w:rPr>
          <w:lang w:val="de-DE"/>
        </w:rPr>
        <w:t>auszuhändigen.</w:t>
      </w:r>
    </w:p>
    <w:p w14:paraId="52AFC339" w14:textId="77777777" w:rsidR="00DA3F26" w:rsidRPr="004676F5" w:rsidRDefault="00DA3F26" w:rsidP="00DA3F26">
      <w:pPr>
        <w:ind w:firstLine="708"/>
        <w:jc w:val="both"/>
        <w:rPr>
          <w:lang w:val="de-DE"/>
        </w:rPr>
      </w:pPr>
    </w:p>
    <w:p w14:paraId="3BE13E52" w14:textId="41B22F12"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Der in § 1 Absatz 1 erwähnte Auftrag, auch wenn er nicht im selben Schriftstück wie der Hauptvertrag aufgenommen ist, dessen Ausführung er gewährleistet, entspricht zumindest folgenden Bedingungen:</w:t>
      </w:r>
    </w:p>
    <w:p w14:paraId="4B2096BF" w14:textId="77777777" w:rsidR="00DA3F26" w:rsidRPr="004676F5" w:rsidRDefault="00DA3F26" w:rsidP="00DA3F26">
      <w:pPr>
        <w:ind w:firstLine="708"/>
        <w:jc w:val="both"/>
        <w:rPr>
          <w:lang w:val="de-DE"/>
        </w:rPr>
      </w:pPr>
    </w:p>
    <w:p w14:paraId="3C43F7C0" w14:textId="77777777" w:rsidR="00DA3F26" w:rsidRPr="004676F5" w:rsidRDefault="00DA3F26" w:rsidP="00DA3F26">
      <w:pPr>
        <w:ind w:firstLine="708"/>
        <w:jc w:val="both"/>
        <w:rPr>
          <w:lang w:val="de-DE"/>
        </w:rPr>
      </w:pPr>
      <w:r w:rsidRPr="004676F5">
        <w:rPr>
          <w:lang w:val="de-DE"/>
        </w:rPr>
        <w:t>1. ausdrückliche Zustimmung und Unterschrift des Zahlers,</w:t>
      </w:r>
    </w:p>
    <w:p w14:paraId="16845CD7" w14:textId="77777777" w:rsidR="00DA3F26" w:rsidRPr="004676F5" w:rsidRDefault="00DA3F26" w:rsidP="00DA3F26">
      <w:pPr>
        <w:ind w:firstLine="708"/>
        <w:jc w:val="both"/>
        <w:rPr>
          <w:lang w:val="de-DE"/>
        </w:rPr>
      </w:pPr>
    </w:p>
    <w:p w14:paraId="6EEA60A5" w14:textId="77777777" w:rsidR="00DA3F26" w:rsidRPr="004676F5" w:rsidRDefault="00DA3F26" w:rsidP="00DA3F26">
      <w:pPr>
        <w:ind w:firstLine="708"/>
        <w:jc w:val="both"/>
        <w:rPr>
          <w:lang w:val="de-DE"/>
        </w:rPr>
      </w:pPr>
      <w:r w:rsidRPr="004676F5">
        <w:rPr>
          <w:lang w:val="de-DE"/>
        </w:rPr>
        <w:t>2. ausdrücklicher Verweis in der zu erteilenden Vollmacht auf den zugrunde liegenden Vertrag, in dem seinerseits die Tragweite des betreffenden Lastschriftauftrags in Bezug auf Art, Fälligkeitstermin und wenn möglich genauen Betrag der betreffenden Forderungen bestimmt wird.</w:t>
      </w:r>
    </w:p>
    <w:p w14:paraId="308A9127" w14:textId="77777777" w:rsidR="00DA3F26" w:rsidRPr="004676F5" w:rsidRDefault="00DA3F26" w:rsidP="00DA3F26">
      <w:pPr>
        <w:ind w:firstLine="708"/>
        <w:jc w:val="both"/>
        <w:rPr>
          <w:lang w:val="de-DE"/>
        </w:rPr>
      </w:pPr>
    </w:p>
    <w:p w14:paraId="4EEF5EB5" w14:textId="77777777" w:rsidR="00DA3F26" w:rsidRPr="004676F5" w:rsidRDefault="00DA3F26" w:rsidP="00DA3F26">
      <w:pPr>
        <w:ind w:firstLine="708"/>
        <w:jc w:val="both"/>
        <w:rPr>
          <w:lang w:val="de-DE"/>
        </w:rPr>
      </w:pPr>
      <w:r w:rsidRPr="004676F5">
        <w:rPr>
          <w:lang w:val="de-DE"/>
        </w:rPr>
        <w:t>Der Lastschriftauftrag kann nur rechtsgültig erfolgen, wenn der Zahler vorab über den zugrunde liegenden Vertrag informiert worden ist.</w:t>
      </w:r>
    </w:p>
    <w:p w14:paraId="501121EA" w14:textId="77777777" w:rsidR="00DA3F26" w:rsidRPr="004676F5" w:rsidRDefault="00DA3F26" w:rsidP="00DA3F26">
      <w:pPr>
        <w:ind w:firstLine="708"/>
        <w:jc w:val="both"/>
        <w:rPr>
          <w:lang w:val="de-DE"/>
        </w:rPr>
      </w:pPr>
    </w:p>
    <w:p w14:paraId="3C4EF7E2" w14:textId="6FE12C64"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Wenn der genaue Betrag oder der Tag der Belastung zum Zeitpunkt des Abschlusses des Lastschriftauftrags nicht feststeht, teilt der Zahlungsempfänger unbeschadet der Anwendung von Artikel VII.46 § 3 dem Zahler diese Angaben am vereinbarten Datum innerhalb angemessener Frist vor Auslösung des Zahlungsvorgangs mit.</w:t>
      </w:r>
    </w:p>
    <w:p w14:paraId="3C8865D4" w14:textId="77777777" w:rsidR="00DA3F26" w:rsidRPr="004676F5" w:rsidRDefault="00DA3F26" w:rsidP="00DA3F26">
      <w:pPr>
        <w:ind w:firstLine="708"/>
        <w:jc w:val="both"/>
        <w:rPr>
          <w:lang w:val="de-DE"/>
        </w:rPr>
      </w:pPr>
    </w:p>
    <w:p w14:paraId="57B74FDB" w14:textId="051DC99B" w:rsidR="00DA3F26" w:rsidRPr="004676F5" w:rsidRDefault="00DA3F26" w:rsidP="00DA3F26">
      <w:pPr>
        <w:ind w:firstLine="708"/>
        <w:jc w:val="both"/>
        <w:rPr>
          <w:lang w:val="de-DE"/>
        </w:rPr>
      </w:pPr>
      <w:r w:rsidRPr="004676F5">
        <w:rPr>
          <w:lang w:val="de-DE"/>
        </w:rPr>
        <w:t>§ 4 </w:t>
      </w:r>
      <w:r w:rsidR="005B7A5C" w:rsidRPr="004676F5">
        <w:rPr>
          <w:lang w:val="de-DE"/>
        </w:rPr>
        <w:t>- </w:t>
      </w:r>
      <w:r w:rsidRPr="004676F5">
        <w:rPr>
          <w:lang w:val="de-DE"/>
        </w:rPr>
        <w:t>Ein Lastschriftauftrag und die damit verbundene Vollmacht können jederzeit von jeder Partei durch Anzeige an den Vertragspartner gekündigt werden.</w:t>
      </w:r>
    </w:p>
    <w:p w14:paraId="2E7F563B" w14:textId="77777777" w:rsidR="00DA3F26" w:rsidRPr="004676F5" w:rsidRDefault="00DA3F26" w:rsidP="00DA3F26">
      <w:pPr>
        <w:ind w:firstLine="708"/>
        <w:jc w:val="both"/>
        <w:rPr>
          <w:lang w:val="de-DE"/>
        </w:rPr>
      </w:pPr>
    </w:p>
    <w:p w14:paraId="661BEED2" w14:textId="77777777" w:rsidR="00DA3F26" w:rsidRPr="004676F5" w:rsidRDefault="00DA3F26" w:rsidP="00DA3F26">
      <w:pPr>
        <w:ind w:firstLine="708"/>
        <w:jc w:val="both"/>
        <w:rPr>
          <w:lang w:val="de-DE"/>
        </w:rPr>
      </w:pPr>
      <w:r w:rsidRPr="004676F5">
        <w:rPr>
          <w:lang w:val="de-DE"/>
        </w:rPr>
        <w:t>Die Kündigung des Lastschriftauftrags seitens des Zahlers ist rechtsgültig und wirksam all seinen Beauftragten gegenüber, wenn der Zahler sie entweder seinem Gläubiger oder seinem Zahlungsdienstleister anzeigt, sofern letztere Möglichkeit ausdrücklich vereinbart worden ist.</w:t>
      </w:r>
    </w:p>
    <w:p w14:paraId="58A5E2E0" w14:textId="465F4A2E" w:rsidR="00DA3F26" w:rsidRPr="004676F5" w:rsidRDefault="00DA3F26" w:rsidP="00DA3F26">
      <w:pPr>
        <w:ind w:firstLine="708"/>
        <w:jc w:val="both"/>
        <w:rPr>
          <w:lang w:val="de-DE"/>
        </w:rPr>
      </w:pPr>
    </w:p>
    <w:p w14:paraId="1CB3863D" w14:textId="0050A576" w:rsidR="00054D68" w:rsidRPr="004676F5" w:rsidRDefault="00054D68" w:rsidP="00054D68">
      <w:pPr>
        <w:jc w:val="both"/>
        <w:rPr>
          <w:i/>
          <w:iCs/>
          <w:lang w:val="de-DE"/>
        </w:rPr>
      </w:pPr>
      <w:r w:rsidRPr="004676F5">
        <w:rPr>
          <w:i/>
          <w:iCs/>
          <w:lang w:val="de-DE"/>
        </w:rPr>
        <w:t>[Art. VII.33 § 1 Abs. 2 abgeändert durch Art. 12 des G. vom 20. September 2018 (B.S. vom 10. Oktober 2018)]</w:t>
      </w:r>
    </w:p>
    <w:p w14:paraId="00CDA2C4" w14:textId="77777777" w:rsidR="00054D68" w:rsidRPr="004676F5" w:rsidRDefault="00054D68" w:rsidP="00DA3F26">
      <w:pPr>
        <w:ind w:firstLine="708"/>
        <w:jc w:val="both"/>
        <w:rPr>
          <w:lang w:val="de-DE"/>
        </w:rPr>
      </w:pPr>
    </w:p>
    <w:p w14:paraId="50ADA066" w14:textId="77777777" w:rsidR="00DA3F26" w:rsidRPr="004676F5" w:rsidRDefault="00DA3F26" w:rsidP="00DA3F26">
      <w:pPr>
        <w:ind w:firstLine="708"/>
        <w:jc w:val="both"/>
        <w:rPr>
          <w:lang w:val="de-DE"/>
        </w:rPr>
      </w:pPr>
    </w:p>
    <w:p w14:paraId="6EFD9D7D" w14:textId="5851E528" w:rsidR="00DA3F26" w:rsidRPr="004676F5" w:rsidRDefault="00DA3F26" w:rsidP="00DA3F26">
      <w:pPr>
        <w:ind w:firstLine="708"/>
        <w:jc w:val="both"/>
        <w:rPr>
          <w:lang w:val="de-DE"/>
        </w:rPr>
      </w:pPr>
      <w:r w:rsidRPr="004676F5">
        <w:rPr>
          <w:b/>
          <w:lang w:val="de-DE"/>
        </w:rPr>
        <w:t>Art. VII.34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Der Zahler kann den kontoführenden Zahlungsdienstleister ersuchen, ihm die Identifizierungsdaten des Zahlungsdienstleisters, der gemäß Artikel 58 § 1 </w:t>
      </w:r>
      <w:r w:rsidRPr="004676F5">
        <w:rPr>
          <w:lang w:val="de-DE"/>
        </w:rPr>
        <w:lastRenderedPageBreak/>
        <w:t>des Gesetzes vom 11. März 2018 um Bestätigung der Verfügbarkeit eines Geldbetrags ersucht hat, und die erteilte Antwort mitzuteilen.</w:t>
      </w:r>
    </w:p>
    <w:p w14:paraId="128FB6C1" w14:textId="77777777" w:rsidR="00DA3F26" w:rsidRPr="004676F5" w:rsidRDefault="00DA3F26" w:rsidP="00DA3F26">
      <w:pPr>
        <w:ind w:firstLine="708"/>
        <w:jc w:val="both"/>
        <w:rPr>
          <w:lang w:val="de-DE"/>
        </w:rPr>
      </w:pPr>
    </w:p>
    <w:p w14:paraId="2E62C4C9" w14:textId="67B763CB"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Vorliegender Artikel gilt nicht für Zahlungsvorgänge, die durch kartengebundene Zahlungsinstrumente ausgelöst wurden, auf denen E-Geld gespeichert ist.</w:t>
      </w:r>
    </w:p>
    <w:p w14:paraId="1E240F1D" w14:textId="2FEF5328" w:rsidR="00DA3F26" w:rsidRPr="004676F5" w:rsidRDefault="00DA3F26" w:rsidP="00DA3F26">
      <w:pPr>
        <w:ind w:firstLine="708"/>
        <w:rPr>
          <w:lang w:val="de-DE"/>
        </w:rPr>
      </w:pPr>
    </w:p>
    <w:p w14:paraId="0B55E0CE" w14:textId="77777777" w:rsidR="00DA3F26" w:rsidRPr="004676F5" w:rsidRDefault="00DA3F26" w:rsidP="00DA3F26">
      <w:pPr>
        <w:ind w:firstLine="708"/>
        <w:rPr>
          <w:lang w:val="de-DE"/>
        </w:rPr>
      </w:pPr>
    </w:p>
    <w:p w14:paraId="686498EF" w14:textId="175AEA96" w:rsidR="00DA3F26" w:rsidRPr="004676F5" w:rsidRDefault="00DA3F26" w:rsidP="00DA3F26">
      <w:pPr>
        <w:jc w:val="center"/>
        <w:rPr>
          <w:lang w:val="de-DE"/>
        </w:rPr>
      </w:pPr>
      <w:r w:rsidRPr="004676F5">
        <w:rPr>
          <w:lang w:val="de-DE"/>
        </w:rPr>
        <w:t>Unterabschnitt 2 </w:t>
      </w:r>
      <w:r w:rsidR="005B7A5C" w:rsidRPr="004676F5">
        <w:rPr>
          <w:lang w:val="de-DE"/>
        </w:rPr>
        <w:t>- </w:t>
      </w:r>
      <w:r w:rsidRPr="004676F5">
        <w:rPr>
          <w:lang w:val="de-DE"/>
        </w:rPr>
        <w:t>Vorschriften für den Zugang zu Zahlungskonten und zu Zahlungskontoinformationen und für deren Nutzung</w:t>
      </w:r>
    </w:p>
    <w:p w14:paraId="764BFB03" w14:textId="789DE5F2" w:rsidR="00DA3F26" w:rsidRPr="004676F5" w:rsidRDefault="00DA3F26" w:rsidP="00DA3F26">
      <w:pPr>
        <w:jc w:val="both"/>
        <w:rPr>
          <w:lang w:val="de-DE"/>
        </w:rPr>
      </w:pPr>
    </w:p>
    <w:p w14:paraId="5C8B6E12" w14:textId="77777777" w:rsidR="00DA3F26" w:rsidRPr="004676F5" w:rsidRDefault="00DA3F26" w:rsidP="00DA3F26">
      <w:pPr>
        <w:jc w:val="both"/>
        <w:rPr>
          <w:lang w:val="de-DE"/>
        </w:rPr>
      </w:pPr>
    </w:p>
    <w:p w14:paraId="5BE99B66" w14:textId="0EFC233B" w:rsidR="00DA3F26" w:rsidRPr="004676F5" w:rsidRDefault="00DA3F26" w:rsidP="00DA3F26">
      <w:pPr>
        <w:ind w:firstLine="708"/>
        <w:jc w:val="both"/>
        <w:rPr>
          <w:lang w:val="de-DE"/>
        </w:rPr>
      </w:pPr>
      <w:r w:rsidRPr="004676F5">
        <w:rPr>
          <w:b/>
          <w:lang w:val="de-DE"/>
        </w:rPr>
        <w:t>Art. VII.35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 Zahler hat das Recht, Zahlungsauslösedienste über einen Zahlungsauslösedienstleister zu nutzen, außer wenn das Zahlungskonto nicht online zugänglich ist.</w:t>
      </w:r>
    </w:p>
    <w:p w14:paraId="2BFB74E4" w14:textId="77777777" w:rsidR="00DA3F26" w:rsidRPr="004676F5" w:rsidRDefault="00DA3F26" w:rsidP="00DA3F26">
      <w:pPr>
        <w:ind w:firstLine="708"/>
        <w:jc w:val="both"/>
        <w:rPr>
          <w:lang w:val="de-DE"/>
        </w:rPr>
      </w:pPr>
    </w:p>
    <w:p w14:paraId="68C02AB0" w14:textId="2C8F4AD5"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Erteilt der Zahler seine ausdrückliche Zustimmung zur Ausführung einer Zahlung gemäß Artikel VII.32, so nimmt der kontoführende Zahlungsdienstleister die Handlungen gemäß § 3 des vorliegenden Artikels vor, um das Recht des Zahlers, den Zahlungsauslösedienst zu nutzen, zu gewährleisten.</w:t>
      </w:r>
    </w:p>
    <w:p w14:paraId="2F32964D" w14:textId="77777777" w:rsidR="00DA3F26" w:rsidRPr="004676F5" w:rsidRDefault="00DA3F26" w:rsidP="00DA3F26">
      <w:pPr>
        <w:ind w:firstLine="708"/>
        <w:jc w:val="both"/>
        <w:rPr>
          <w:lang w:val="de-DE"/>
        </w:rPr>
      </w:pPr>
    </w:p>
    <w:p w14:paraId="42BCE52F" w14:textId="1B80639B"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Zusätzlich zu den Bedingungen, die in Artikel 48 des Gesetzes vom 11. März 2018 für Zahlungsauslösedienstleister festgelegt sind, muss der kontoführende Zahlungsdienstleister:</w:t>
      </w:r>
    </w:p>
    <w:p w14:paraId="63B1146A" w14:textId="77777777" w:rsidR="00DA3F26" w:rsidRPr="004676F5" w:rsidRDefault="00DA3F26" w:rsidP="00DA3F26">
      <w:pPr>
        <w:ind w:firstLine="708"/>
        <w:jc w:val="both"/>
        <w:rPr>
          <w:lang w:val="de-DE"/>
        </w:rPr>
      </w:pPr>
    </w:p>
    <w:p w14:paraId="1B690645" w14:textId="77777777" w:rsidR="00DA3F26" w:rsidRPr="004676F5" w:rsidRDefault="00DA3F26" w:rsidP="00DA3F26">
      <w:pPr>
        <w:ind w:firstLine="708"/>
        <w:jc w:val="both"/>
        <w:rPr>
          <w:lang w:val="de-DE"/>
        </w:rPr>
      </w:pPr>
      <w:r w:rsidRPr="004676F5">
        <w:rPr>
          <w:i/>
          <w:lang w:val="de-DE"/>
        </w:rPr>
        <w:t>a) </w:t>
      </w:r>
      <w:r w:rsidRPr="004676F5">
        <w:rPr>
          <w:lang w:val="de-DE"/>
        </w:rPr>
        <w:t>unmittelbar nach Eingang des Zahlungsauftrags von einem Zahlungsauslöse</w:t>
      </w:r>
      <w:r w:rsidRPr="004676F5">
        <w:rPr>
          <w:lang w:val="de-DE"/>
        </w:rPr>
        <w:softHyphen/>
        <w:t>dienstleister diesem alle Informationen über die Auslösung des Zahlungsvorgangs und alle ihm selbst zugänglichen Informationen hinsichtlich der Ausführung des Zahlungsvorgangs mitteilen oder zugänglich machen,</w:t>
      </w:r>
    </w:p>
    <w:p w14:paraId="27223DCA" w14:textId="77777777" w:rsidR="00DA3F26" w:rsidRPr="004676F5" w:rsidRDefault="00DA3F26" w:rsidP="00DA3F26">
      <w:pPr>
        <w:ind w:firstLine="708"/>
        <w:jc w:val="both"/>
        <w:rPr>
          <w:lang w:val="de-DE"/>
        </w:rPr>
      </w:pPr>
    </w:p>
    <w:p w14:paraId="67A9351D" w14:textId="77777777" w:rsidR="00DA3F26" w:rsidRPr="004676F5" w:rsidRDefault="00DA3F26" w:rsidP="00DA3F26">
      <w:pPr>
        <w:ind w:firstLine="708"/>
        <w:jc w:val="both"/>
        <w:rPr>
          <w:lang w:val="de-DE"/>
        </w:rPr>
      </w:pPr>
      <w:r w:rsidRPr="004676F5">
        <w:rPr>
          <w:i/>
          <w:lang w:val="de-DE"/>
        </w:rPr>
        <w:t>b) </w:t>
      </w:r>
      <w:r w:rsidRPr="004676F5">
        <w:rPr>
          <w:lang w:val="de-DE"/>
        </w:rPr>
        <w:t>Zahlungsaufträge, die über die Dienste eines Zahlungsauslösedienstleisters übermittelt werden, insbesondere in Bezug auf zeitliche Abwicklung, Prioritäten oder Entgelte, in derselben Weise behandeln wie Zahlungsaufträge, die der Zahler direkt übermittelt hat, es sei denn, es liegen objektive Gründe für eine Andersbehandlung vor.</w:t>
      </w:r>
    </w:p>
    <w:p w14:paraId="6167855B" w14:textId="77777777" w:rsidR="00DA3F26" w:rsidRPr="004676F5" w:rsidRDefault="00DA3F26" w:rsidP="00DA3F26">
      <w:pPr>
        <w:ind w:firstLine="708"/>
        <w:jc w:val="both"/>
        <w:rPr>
          <w:lang w:val="de-DE"/>
        </w:rPr>
      </w:pPr>
    </w:p>
    <w:p w14:paraId="5B73DC82" w14:textId="0B13FBA4" w:rsidR="00DA3F26" w:rsidRPr="004676F5" w:rsidRDefault="00DA3F26" w:rsidP="00DA3F26">
      <w:pPr>
        <w:ind w:firstLine="708"/>
        <w:jc w:val="both"/>
        <w:rPr>
          <w:lang w:val="de-DE"/>
        </w:rPr>
      </w:pPr>
      <w:r w:rsidRPr="004676F5">
        <w:rPr>
          <w:lang w:val="de-DE"/>
        </w:rPr>
        <w:t>§ 4 </w:t>
      </w:r>
      <w:r w:rsidR="005B7A5C" w:rsidRPr="004676F5">
        <w:rPr>
          <w:lang w:val="de-DE"/>
        </w:rPr>
        <w:t>- </w:t>
      </w:r>
      <w:r w:rsidRPr="004676F5">
        <w:rPr>
          <w:lang w:val="de-DE"/>
        </w:rPr>
        <w:t>Das Erbringen von Zahlungsauslösediensten ist nicht vom Bestehen einer diesbezüglichen vertraglichen Beziehung zwischen Zahlungsauslösedienstleistern und konto</w:t>
      </w:r>
      <w:r w:rsidRPr="004676F5">
        <w:rPr>
          <w:lang w:val="de-DE"/>
        </w:rPr>
        <w:softHyphen/>
        <w:t>führenden Zahlungsdienstleistern abhängig.</w:t>
      </w:r>
    </w:p>
    <w:p w14:paraId="06DF4903" w14:textId="6C0A9DCD" w:rsidR="00DA3F26" w:rsidRPr="004676F5" w:rsidRDefault="00DA3F26" w:rsidP="00DA3F26">
      <w:pPr>
        <w:ind w:firstLine="708"/>
        <w:jc w:val="both"/>
        <w:rPr>
          <w:lang w:val="de-DE"/>
        </w:rPr>
      </w:pPr>
    </w:p>
    <w:p w14:paraId="6E54A593" w14:textId="77777777" w:rsidR="00DA3F26" w:rsidRPr="004676F5" w:rsidRDefault="00DA3F26" w:rsidP="00DA3F26">
      <w:pPr>
        <w:ind w:firstLine="708"/>
        <w:jc w:val="both"/>
        <w:rPr>
          <w:lang w:val="de-DE"/>
        </w:rPr>
      </w:pPr>
    </w:p>
    <w:p w14:paraId="3F00AD24" w14:textId="42CCAA8A" w:rsidR="00DA3F26" w:rsidRPr="004676F5" w:rsidRDefault="00DA3F26" w:rsidP="00DA3F26">
      <w:pPr>
        <w:ind w:firstLine="708"/>
        <w:jc w:val="both"/>
        <w:rPr>
          <w:lang w:val="de-DE"/>
        </w:rPr>
      </w:pPr>
      <w:r w:rsidRPr="004676F5">
        <w:rPr>
          <w:b/>
          <w:lang w:val="de-DE"/>
        </w:rPr>
        <w:t>Art. VII.36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Zusätzlich zu den Bedingungen, die in Artikel 57 § 2 des Gesetzes vom 11. März 2018 für Zahlungskonten festgelegt sind, behandelt der kontoführende Zahlungsdienstleister Datenanfragen, die über die Dienste eines Kontoinformations</w:t>
      </w:r>
      <w:r w:rsidRPr="004676F5">
        <w:rPr>
          <w:lang w:val="de-DE"/>
        </w:rPr>
        <w:softHyphen/>
        <w:t>dienstleisters übermittelt werden, ohne Diskriminierung, es sei denn, es liegen objektive Gründe für eine Andersbehandlung vor.</w:t>
      </w:r>
    </w:p>
    <w:p w14:paraId="17FF08A2" w14:textId="77777777" w:rsidR="00DA3F26" w:rsidRPr="004676F5" w:rsidRDefault="00DA3F26" w:rsidP="00DA3F26">
      <w:pPr>
        <w:ind w:firstLine="708"/>
        <w:jc w:val="both"/>
        <w:rPr>
          <w:lang w:val="de-DE"/>
        </w:rPr>
      </w:pPr>
    </w:p>
    <w:p w14:paraId="2DFAFE6D" w14:textId="50534183"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Das Erbringen von Kontoinformationsdiensten ist nicht vom Bestehen einer diesbezüglichen vertraglichen Beziehung zwischen Kontoinformationsdienstleistern und kontoführenden Zahlungsdienstleistern abhängig.</w:t>
      </w:r>
    </w:p>
    <w:p w14:paraId="10FF71B2" w14:textId="4060EC04" w:rsidR="00DA3F26" w:rsidRPr="004676F5" w:rsidRDefault="00DA3F26" w:rsidP="00DA3F26">
      <w:pPr>
        <w:ind w:firstLine="708"/>
        <w:rPr>
          <w:lang w:val="de-DE"/>
        </w:rPr>
      </w:pPr>
    </w:p>
    <w:p w14:paraId="614B39C8" w14:textId="77777777" w:rsidR="00DA3F26" w:rsidRPr="004676F5" w:rsidRDefault="00DA3F26" w:rsidP="00DA3F26">
      <w:pPr>
        <w:ind w:firstLine="708"/>
        <w:rPr>
          <w:lang w:val="de-DE"/>
        </w:rPr>
      </w:pPr>
    </w:p>
    <w:p w14:paraId="4A3DF674" w14:textId="77777777" w:rsidR="00DA3F26" w:rsidRPr="004676F5" w:rsidRDefault="00DA3F26">
      <w:pPr>
        <w:rPr>
          <w:lang w:val="de-DE"/>
        </w:rPr>
      </w:pPr>
      <w:r w:rsidRPr="004676F5">
        <w:rPr>
          <w:lang w:val="de-DE"/>
        </w:rPr>
        <w:br w:type="page"/>
      </w:r>
    </w:p>
    <w:p w14:paraId="32B961D4" w14:textId="4EF74C19" w:rsidR="00DA3F26" w:rsidRPr="004676F5" w:rsidRDefault="00DA3F26" w:rsidP="00DA3F26">
      <w:pPr>
        <w:jc w:val="center"/>
        <w:rPr>
          <w:lang w:val="de-DE"/>
        </w:rPr>
      </w:pPr>
      <w:r w:rsidRPr="004676F5">
        <w:rPr>
          <w:lang w:val="de-DE"/>
        </w:rPr>
        <w:lastRenderedPageBreak/>
        <w:t>Unterabschnitt 3 </w:t>
      </w:r>
      <w:r w:rsidR="005B7A5C" w:rsidRPr="004676F5">
        <w:rPr>
          <w:lang w:val="de-DE"/>
        </w:rPr>
        <w:t>- </w:t>
      </w:r>
      <w:r w:rsidRPr="004676F5">
        <w:rPr>
          <w:lang w:val="de-DE"/>
        </w:rPr>
        <w:t>Begrenzung der Nutzung von Zahlungsinstrumenten und des Zugangs von Zahlungsdienstleistern zu Zahlungskonten</w:t>
      </w:r>
    </w:p>
    <w:p w14:paraId="0CEAC348" w14:textId="46249C74" w:rsidR="00DA3F26" w:rsidRPr="004676F5" w:rsidRDefault="00DA3F26" w:rsidP="00DA3F26">
      <w:pPr>
        <w:jc w:val="both"/>
        <w:rPr>
          <w:lang w:val="de-DE"/>
        </w:rPr>
      </w:pPr>
    </w:p>
    <w:p w14:paraId="0592DF97" w14:textId="77777777" w:rsidR="00DA3F26" w:rsidRPr="004676F5" w:rsidRDefault="00DA3F26" w:rsidP="00DA3F26">
      <w:pPr>
        <w:jc w:val="both"/>
        <w:rPr>
          <w:lang w:val="de-DE"/>
        </w:rPr>
      </w:pPr>
    </w:p>
    <w:p w14:paraId="25525CA7" w14:textId="45CF57E8" w:rsidR="00DA3F26" w:rsidRPr="004676F5" w:rsidRDefault="00DA3F26" w:rsidP="00DA3F26">
      <w:pPr>
        <w:ind w:firstLine="708"/>
        <w:jc w:val="both"/>
        <w:rPr>
          <w:lang w:val="de-DE"/>
        </w:rPr>
      </w:pPr>
      <w:r w:rsidRPr="004676F5">
        <w:rPr>
          <w:b/>
          <w:lang w:val="de-DE"/>
        </w:rPr>
        <w:t>Art. VII.37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Wenn eine Zustimmung mittels eines bestimmten Zahlungs</w:t>
      </w:r>
      <w:r w:rsidRPr="004676F5">
        <w:rPr>
          <w:lang w:val="de-DE"/>
        </w:rPr>
        <w:softHyphen/>
        <w:t>instruments erteilt wird, können der Zahler und sein Zahlungsdienstleister Ausgabenober</w:t>
      </w:r>
      <w:r w:rsidRPr="004676F5">
        <w:rPr>
          <w:lang w:val="de-DE"/>
        </w:rPr>
        <w:softHyphen/>
        <w:t>grenzen für Zahlungsvorgänge, die durch dieses Zahlungsinstrument ausgeführt werden, vereinbaren.</w:t>
      </w:r>
    </w:p>
    <w:p w14:paraId="63B92EAF" w14:textId="77777777" w:rsidR="00DA3F26" w:rsidRPr="004676F5" w:rsidRDefault="00DA3F26" w:rsidP="00DA3F26">
      <w:pPr>
        <w:ind w:firstLine="708"/>
        <w:jc w:val="both"/>
        <w:rPr>
          <w:lang w:val="de-DE"/>
        </w:rPr>
      </w:pPr>
    </w:p>
    <w:p w14:paraId="5240DC5F" w14:textId="56A4C548"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Bei einer entsprechenden Vereinbarung im Rahmenvertrag kann der Zahlungs</w:t>
      </w:r>
      <w:r w:rsidRPr="004676F5">
        <w:rPr>
          <w:lang w:val="de-DE"/>
        </w:rPr>
        <w:softHyphen/>
        <w:t>dienstleister sich das Recht vorbehalten, ein Zahlungsinstrument zu sperren, wenn objektive Gründe im Zusammenhang mit der Sicherheit des Zahlungsinstruments es rechtfertigen, der Verdacht einer nicht autorisierten oder betrügerischen Nutzung des Zahlungsinstruments besteht oder im Fall eines Zahlungsinstruments mit einer Kreditlinie ein beträchtlich erhöhtes Risiko besteht, dass der Zahler seiner Zahlungspflicht nicht nachkommen kann.</w:t>
      </w:r>
    </w:p>
    <w:p w14:paraId="1D52F876" w14:textId="77777777" w:rsidR="00DA3F26" w:rsidRPr="004676F5" w:rsidRDefault="00DA3F26" w:rsidP="00DA3F26">
      <w:pPr>
        <w:ind w:firstLine="708"/>
        <w:jc w:val="both"/>
        <w:rPr>
          <w:lang w:val="de-DE"/>
        </w:rPr>
      </w:pPr>
    </w:p>
    <w:p w14:paraId="13129971" w14:textId="77777777" w:rsidR="00DA3F26" w:rsidRPr="004676F5" w:rsidRDefault="00DA3F26" w:rsidP="00DA3F26">
      <w:pPr>
        <w:ind w:firstLine="708"/>
        <w:jc w:val="both"/>
        <w:rPr>
          <w:lang w:val="de-DE"/>
        </w:rPr>
      </w:pPr>
      <w:r w:rsidRPr="004676F5">
        <w:rPr>
          <w:lang w:val="de-DE"/>
        </w:rPr>
        <w:t>In diesen Fällen unterrichtet der Zahlungsdienstleister den Zahler möglichst vor, spätestens jedoch unverzüglich nach Sperrung des Zahlungsinstruments in einer vereinbarten Form und unbeschadet der Anwendung von Artikel VII.98 § 2 von der Sperrung des Zahlungsinstruments und den Gründen hierfür.</w:t>
      </w:r>
    </w:p>
    <w:p w14:paraId="4B953DF8" w14:textId="77777777" w:rsidR="00DA3F26" w:rsidRPr="004676F5" w:rsidRDefault="00DA3F26" w:rsidP="00DA3F26">
      <w:pPr>
        <w:ind w:firstLine="708"/>
        <w:jc w:val="both"/>
        <w:rPr>
          <w:lang w:val="de-DE"/>
        </w:rPr>
      </w:pPr>
    </w:p>
    <w:p w14:paraId="37773C98" w14:textId="77777777" w:rsidR="00DA3F26" w:rsidRPr="004676F5" w:rsidRDefault="00DA3F26" w:rsidP="00DA3F26">
      <w:pPr>
        <w:ind w:firstLine="708"/>
        <w:jc w:val="both"/>
        <w:rPr>
          <w:lang w:val="de-DE"/>
        </w:rPr>
      </w:pPr>
      <w:r w:rsidRPr="004676F5">
        <w:rPr>
          <w:lang w:val="de-DE"/>
        </w:rPr>
        <w:t>Die in vorhergehendem Absatz erwähnte Unterrichtung ist nicht erforderlich, wenn dies objektiven Sicherheitserwägungen zuwiderlaufen oder gegen sonstige einschlägige Rechts</w:t>
      </w:r>
      <w:r w:rsidRPr="004676F5">
        <w:rPr>
          <w:lang w:val="de-DE"/>
        </w:rPr>
        <w:softHyphen/>
        <w:t>vorschriften verstoßen würde.</w:t>
      </w:r>
    </w:p>
    <w:p w14:paraId="745C6377" w14:textId="77777777" w:rsidR="00DA3F26" w:rsidRPr="004676F5" w:rsidRDefault="00DA3F26" w:rsidP="00DA3F26">
      <w:pPr>
        <w:ind w:firstLine="708"/>
        <w:jc w:val="both"/>
        <w:rPr>
          <w:lang w:val="de-DE"/>
        </w:rPr>
      </w:pPr>
    </w:p>
    <w:p w14:paraId="1760BAAD" w14:textId="77777777" w:rsidR="00DA3F26" w:rsidRPr="004676F5" w:rsidRDefault="00DA3F26" w:rsidP="00DA3F26">
      <w:pPr>
        <w:ind w:firstLine="708"/>
        <w:jc w:val="both"/>
        <w:rPr>
          <w:lang w:val="de-DE"/>
        </w:rPr>
      </w:pPr>
      <w:r w:rsidRPr="004676F5">
        <w:rPr>
          <w:lang w:val="de-DE"/>
        </w:rPr>
        <w:t>Der Zahlungsdienstleister hebt die Sperrung des Zahlungsinstruments auf oder ersetzt es durch ein neues Zahlungsinstrument, wenn die Gründe für die Sperrung nicht mehr gegeben sind.</w:t>
      </w:r>
    </w:p>
    <w:p w14:paraId="74E64ECB" w14:textId="77777777" w:rsidR="00DA3F26" w:rsidRPr="004676F5" w:rsidRDefault="00DA3F26" w:rsidP="00DA3F26">
      <w:pPr>
        <w:ind w:firstLine="708"/>
        <w:jc w:val="both"/>
        <w:rPr>
          <w:lang w:val="de-DE"/>
        </w:rPr>
      </w:pPr>
    </w:p>
    <w:p w14:paraId="4269BAAE" w14:textId="77777777" w:rsidR="00DA3F26" w:rsidRPr="004676F5" w:rsidRDefault="00DA3F26" w:rsidP="00DA3F26">
      <w:pPr>
        <w:ind w:firstLine="708"/>
        <w:jc w:val="both"/>
        <w:rPr>
          <w:lang w:val="de-DE"/>
        </w:rPr>
      </w:pPr>
      <w:r w:rsidRPr="004676F5">
        <w:rPr>
          <w:lang w:val="de-DE"/>
        </w:rPr>
        <w:t>Wenn ein kontoführender Zahlungsdienstleister gemäß den Bedingungen von Artikel 57 § 3 des Gesetzes vom 11. März 2018 einem Kontoinformationsdienstleister oder einem Zahlungsdienstleister den Zugang zu einem Zahlungskonto verweigert, unterrichtet der kontoführende Zahlungsdienstleister den Zahler in einer vereinbarten Form über die Verweigerung des Zugangs zum Zahlungskonto und die Gründe hierfür.</w:t>
      </w:r>
    </w:p>
    <w:p w14:paraId="6D2B85A4" w14:textId="77777777" w:rsidR="00DA3F26" w:rsidRPr="004676F5" w:rsidRDefault="00DA3F26" w:rsidP="00DA3F26">
      <w:pPr>
        <w:ind w:firstLine="708"/>
        <w:jc w:val="both"/>
        <w:rPr>
          <w:lang w:val="de-DE"/>
        </w:rPr>
      </w:pPr>
    </w:p>
    <w:p w14:paraId="39B2DC04" w14:textId="77777777" w:rsidR="00DA3F26" w:rsidRPr="004676F5" w:rsidRDefault="00DA3F26" w:rsidP="00DA3F26">
      <w:pPr>
        <w:ind w:firstLine="708"/>
        <w:jc w:val="both"/>
        <w:rPr>
          <w:lang w:val="de-DE"/>
        </w:rPr>
      </w:pPr>
      <w:r w:rsidRPr="004676F5">
        <w:rPr>
          <w:lang w:val="de-DE"/>
        </w:rPr>
        <w:t>Diese Information wird dem Zahler möglichst vor, spätestens jedoch unverzüglich nach der Verweigerung des Zugangs zum Zahlungskonto gegeben, es sei denn, das würde objektiv begründeten Sicherheitserwägungen zuwiderlaufen oder aufgrund des Gesetzes vom 18. September 2017 zur Verhinderung von Geldwäsche und Terrorismusfinanzierung und zur Beschränkung der Nutzung von Bargeld verboten sein oder gegen sonstiges einschlägiges Recht verstoßen.</w:t>
      </w:r>
    </w:p>
    <w:p w14:paraId="1DAF4D9D" w14:textId="6E986856" w:rsidR="00DA3F26" w:rsidRPr="004676F5" w:rsidRDefault="00DA3F26" w:rsidP="00DA3F26">
      <w:pPr>
        <w:ind w:firstLine="708"/>
        <w:rPr>
          <w:lang w:val="de-DE"/>
        </w:rPr>
      </w:pPr>
    </w:p>
    <w:p w14:paraId="67E7AC31" w14:textId="77777777" w:rsidR="00DA3F26" w:rsidRPr="004676F5" w:rsidRDefault="00DA3F26" w:rsidP="00DA3F26">
      <w:pPr>
        <w:ind w:firstLine="708"/>
        <w:rPr>
          <w:lang w:val="de-DE"/>
        </w:rPr>
      </w:pPr>
    </w:p>
    <w:p w14:paraId="69413070" w14:textId="1D0A2977" w:rsidR="00DA3F26" w:rsidRPr="004676F5" w:rsidRDefault="00DA3F26" w:rsidP="00DA3F26">
      <w:pPr>
        <w:jc w:val="center"/>
        <w:rPr>
          <w:lang w:val="de-DE"/>
        </w:rPr>
      </w:pPr>
      <w:r w:rsidRPr="004676F5">
        <w:rPr>
          <w:lang w:val="de-DE"/>
        </w:rPr>
        <w:t>Unterabschnitt 4 </w:t>
      </w:r>
      <w:r w:rsidR="005B7A5C" w:rsidRPr="004676F5">
        <w:rPr>
          <w:lang w:val="de-DE"/>
        </w:rPr>
        <w:t>- </w:t>
      </w:r>
      <w:r w:rsidRPr="004676F5">
        <w:rPr>
          <w:lang w:val="de-DE"/>
        </w:rPr>
        <w:t>Pflichten in Bezug auf Zahlungsinstrumente und personalisierte Sicherheitsmerkmale</w:t>
      </w:r>
    </w:p>
    <w:p w14:paraId="04EC1F91" w14:textId="3DC5C4DE" w:rsidR="00DA3F26" w:rsidRPr="004676F5" w:rsidRDefault="00DA3F26" w:rsidP="00DA3F26">
      <w:pPr>
        <w:jc w:val="both"/>
        <w:rPr>
          <w:lang w:val="de-DE"/>
        </w:rPr>
      </w:pPr>
    </w:p>
    <w:p w14:paraId="671E5628" w14:textId="77777777" w:rsidR="00DA3F26" w:rsidRPr="004676F5" w:rsidRDefault="00DA3F26" w:rsidP="00DA3F26">
      <w:pPr>
        <w:jc w:val="both"/>
        <w:rPr>
          <w:lang w:val="de-DE"/>
        </w:rPr>
      </w:pPr>
    </w:p>
    <w:p w14:paraId="7183C036" w14:textId="6CF10905" w:rsidR="00DA3F26" w:rsidRPr="004676F5" w:rsidRDefault="00DA3F26" w:rsidP="00DA3F26">
      <w:pPr>
        <w:ind w:firstLine="708"/>
        <w:jc w:val="both"/>
        <w:rPr>
          <w:lang w:val="de-DE"/>
        </w:rPr>
      </w:pPr>
      <w:r w:rsidRPr="004676F5">
        <w:rPr>
          <w:b/>
          <w:lang w:val="de-DE"/>
        </w:rPr>
        <w:t>Art. VII.38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zur Nutzung eines Zahlungsinstruments berechtigte Zahlungs</w:t>
      </w:r>
      <w:r w:rsidRPr="004676F5">
        <w:rPr>
          <w:lang w:val="de-DE"/>
        </w:rPr>
        <w:softHyphen/>
        <w:t>dienstnutzer hat folgende Pflichten:</w:t>
      </w:r>
    </w:p>
    <w:p w14:paraId="6671BCD8" w14:textId="77777777" w:rsidR="00DA3F26" w:rsidRPr="004676F5" w:rsidRDefault="00DA3F26" w:rsidP="00DA3F26">
      <w:pPr>
        <w:ind w:firstLine="708"/>
        <w:jc w:val="both"/>
        <w:rPr>
          <w:lang w:val="de-DE"/>
        </w:rPr>
      </w:pPr>
    </w:p>
    <w:p w14:paraId="34669398" w14:textId="77777777" w:rsidR="00DA3F26" w:rsidRPr="004676F5" w:rsidRDefault="00DA3F26" w:rsidP="00DA3F26">
      <w:pPr>
        <w:ind w:firstLine="708"/>
        <w:jc w:val="both"/>
        <w:rPr>
          <w:lang w:val="de-DE"/>
        </w:rPr>
      </w:pPr>
      <w:r w:rsidRPr="004676F5">
        <w:rPr>
          <w:lang w:val="de-DE"/>
        </w:rPr>
        <w:t>1. Er hält bei der Nutzung des Zahlungsinstruments die Bedingungen für dessen Ausgabe und Nutzung ein, die objektiv, nichtdiskriminierend und verhältnismäßig sein müssen.</w:t>
      </w:r>
    </w:p>
    <w:p w14:paraId="5E3901FD" w14:textId="77777777" w:rsidR="00DA3F26" w:rsidRPr="004676F5" w:rsidRDefault="00DA3F26" w:rsidP="00DA3F26">
      <w:pPr>
        <w:ind w:firstLine="708"/>
        <w:jc w:val="both"/>
        <w:rPr>
          <w:lang w:val="de-DE"/>
        </w:rPr>
      </w:pPr>
    </w:p>
    <w:p w14:paraId="4C0E2399" w14:textId="77777777" w:rsidR="00DA3F26" w:rsidRPr="004676F5" w:rsidRDefault="00DA3F26" w:rsidP="00DA3F26">
      <w:pPr>
        <w:ind w:firstLine="708"/>
        <w:jc w:val="both"/>
        <w:rPr>
          <w:lang w:val="de-DE"/>
        </w:rPr>
      </w:pPr>
      <w:r w:rsidRPr="004676F5">
        <w:rPr>
          <w:lang w:val="de-DE"/>
        </w:rPr>
        <w:t>2. Er zeigt dem Zahlungsdienstleister oder der von diesem benannten Stelle Verlust, Diebstahl, missbräuchliche Verwendung oder eine nicht autorisierte Nutzung des Zahlungsinstruments unverzüglich an, sobald er davon Kenntnis erhält.</w:t>
      </w:r>
    </w:p>
    <w:p w14:paraId="55787282" w14:textId="77777777" w:rsidR="00DA3F26" w:rsidRPr="004676F5" w:rsidRDefault="00DA3F26" w:rsidP="00DA3F26">
      <w:pPr>
        <w:ind w:firstLine="708"/>
        <w:jc w:val="both"/>
        <w:rPr>
          <w:lang w:val="de-DE"/>
        </w:rPr>
      </w:pPr>
    </w:p>
    <w:p w14:paraId="08CDBB79" w14:textId="292D13B5"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Für die Zwecke von § 1 Nr. 1 trifft der Zahlungsdienstnutzer unmittelbar nach Erhalt eines Zahlungsinstruments insbesondere alle zumutbaren Vorkehrungen, um das Zahlungsinstrument und seine personalisierten Sicherheitsmerkmale vor unbefugtem Zugriff zu schützen.</w:t>
      </w:r>
    </w:p>
    <w:p w14:paraId="579DC70E" w14:textId="11DC30C0" w:rsidR="00DA3F26" w:rsidRPr="004676F5" w:rsidRDefault="00DA3F26" w:rsidP="00DA3F26">
      <w:pPr>
        <w:ind w:firstLine="708"/>
        <w:jc w:val="both"/>
        <w:rPr>
          <w:lang w:val="de-DE"/>
        </w:rPr>
      </w:pPr>
    </w:p>
    <w:p w14:paraId="4746DEA9" w14:textId="77777777" w:rsidR="00DA3F26" w:rsidRPr="004676F5" w:rsidRDefault="00DA3F26" w:rsidP="00DA3F26">
      <w:pPr>
        <w:ind w:firstLine="708"/>
        <w:jc w:val="both"/>
        <w:rPr>
          <w:lang w:val="de-DE"/>
        </w:rPr>
      </w:pPr>
    </w:p>
    <w:p w14:paraId="5AEA4378" w14:textId="2FFE7969" w:rsidR="00DA3F26" w:rsidRPr="004676F5" w:rsidRDefault="00DA3F26" w:rsidP="00DA3F26">
      <w:pPr>
        <w:ind w:firstLine="708"/>
        <w:jc w:val="both"/>
        <w:rPr>
          <w:lang w:val="de-DE"/>
        </w:rPr>
      </w:pPr>
      <w:r w:rsidRPr="004676F5">
        <w:rPr>
          <w:b/>
          <w:lang w:val="de-DE"/>
        </w:rPr>
        <w:t>Art. VII.39</w:t>
      </w:r>
      <w:r w:rsidRPr="004676F5">
        <w:rPr>
          <w:lang w:val="de-DE"/>
        </w:rPr>
        <w:t> </w:t>
      </w:r>
      <w:r w:rsidR="005B7A5C" w:rsidRPr="004676F5">
        <w:rPr>
          <w:lang w:val="de-DE"/>
        </w:rPr>
        <w:t>- </w:t>
      </w:r>
      <w:r w:rsidRPr="004676F5">
        <w:rPr>
          <w:lang w:val="de-DE"/>
        </w:rPr>
        <w:t>Der Zahlungsdienstleister, der ein Zahlungsinstrument ausgibt, hat folgende Pflichten:</w:t>
      </w:r>
    </w:p>
    <w:p w14:paraId="682B3532" w14:textId="77777777" w:rsidR="00DA3F26" w:rsidRPr="004676F5" w:rsidRDefault="00DA3F26" w:rsidP="00DA3F26">
      <w:pPr>
        <w:ind w:firstLine="708"/>
        <w:jc w:val="both"/>
        <w:rPr>
          <w:lang w:val="de-DE"/>
        </w:rPr>
      </w:pPr>
    </w:p>
    <w:p w14:paraId="5CA4C0DD" w14:textId="77777777" w:rsidR="00DA3F26" w:rsidRPr="004676F5" w:rsidRDefault="00DA3F26" w:rsidP="00DA3F26">
      <w:pPr>
        <w:ind w:firstLine="708"/>
        <w:jc w:val="both"/>
        <w:rPr>
          <w:lang w:val="de-DE"/>
        </w:rPr>
      </w:pPr>
      <w:r w:rsidRPr="004676F5">
        <w:rPr>
          <w:lang w:val="de-DE"/>
        </w:rPr>
        <w:t>1. Er muss unbeschadet der Pflichten des Zahlungsdienstnutzers nach Artikel VII.38 sicherstellen, dass die personalisierten Sicherheitsmerkmale des Zahlungsinstruments keiner anderen Partei als dem zur Nutzung des Zahlungsinstruments berechtigten Zahlungsdienst</w:t>
      </w:r>
      <w:r w:rsidRPr="004676F5">
        <w:rPr>
          <w:lang w:val="de-DE"/>
        </w:rPr>
        <w:softHyphen/>
        <w:t>nutzer zugänglich sind.</w:t>
      </w:r>
    </w:p>
    <w:p w14:paraId="3787C83C" w14:textId="77777777" w:rsidR="00DA3F26" w:rsidRPr="004676F5" w:rsidRDefault="00DA3F26" w:rsidP="00DA3F26">
      <w:pPr>
        <w:ind w:firstLine="708"/>
        <w:jc w:val="both"/>
        <w:rPr>
          <w:lang w:val="de-DE"/>
        </w:rPr>
      </w:pPr>
    </w:p>
    <w:p w14:paraId="6F19797D" w14:textId="77777777" w:rsidR="00DA3F26" w:rsidRPr="004676F5" w:rsidRDefault="00DA3F26" w:rsidP="00DA3F26">
      <w:pPr>
        <w:ind w:firstLine="708"/>
        <w:jc w:val="both"/>
        <w:rPr>
          <w:lang w:val="de-DE"/>
        </w:rPr>
      </w:pPr>
      <w:r w:rsidRPr="004676F5">
        <w:rPr>
          <w:lang w:val="de-DE"/>
        </w:rPr>
        <w:t>2. Er darf dem Zahlungsdienstnutzer nicht unaufgefordert ein Zahlungsinstrument zusenden, es sei denn, ein bereits an den Zahlungsdienstnutzer ausgegebenes Zahlungs</w:t>
      </w:r>
      <w:r w:rsidRPr="004676F5">
        <w:rPr>
          <w:lang w:val="de-DE"/>
        </w:rPr>
        <w:softHyphen/>
        <w:t>instrument muss ersetzt werden.</w:t>
      </w:r>
    </w:p>
    <w:p w14:paraId="3F56AC7E" w14:textId="77777777" w:rsidR="00DA3F26" w:rsidRPr="004676F5" w:rsidRDefault="00DA3F26" w:rsidP="00DA3F26">
      <w:pPr>
        <w:ind w:firstLine="708"/>
        <w:jc w:val="both"/>
        <w:rPr>
          <w:lang w:val="de-DE"/>
        </w:rPr>
      </w:pPr>
    </w:p>
    <w:p w14:paraId="7B242FD1" w14:textId="77777777" w:rsidR="00DA3F26" w:rsidRPr="004676F5" w:rsidRDefault="00DA3F26" w:rsidP="00DA3F26">
      <w:pPr>
        <w:ind w:firstLine="708"/>
        <w:jc w:val="both"/>
        <w:rPr>
          <w:lang w:val="de-DE"/>
        </w:rPr>
      </w:pPr>
      <w:r w:rsidRPr="004676F5">
        <w:rPr>
          <w:lang w:val="de-DE"/>
        </w:rPr>
        <w:t>3. Er muss sicherstellen, dass der Zahlungsdienstnutzer durch geeignete Mittel jederzeit die Möglichkeit hat, eine Anzeige gemäß Artikel VII.38 § 1 Nr. 2 vorzunehmen oder die Aufhebung der Sperrung des Zahlungsinstruments gemäß Artikel VII.37 § 2 letzter Absatz zu beantragen; der Zahlungsdienstleister stellt dem Zahlungsdienstnutzer auf Verlangen die Mittel zur Verfügung, mit denen dieser bis zu achtzehn Monate nach der Anzeige nachweisen kann, dass er seiner Anzeigepflicht nachgekommen ist.</w:t>
      </w:r>
    </w:p>
    <w:p w14:paraId="364B6128" w14:textId="77777777" w:rsidR="00DA3F26" w:rsidRPr="004676F5" w:rsidRDefault="00DA3F26" w:rsidP="00DA3F26">
      <w:pPr>
        <w:jc w:val="both"/>
        <w:rPr>
          <w:lang w:val="de-DE"/>
        </w:rPr>
      </w:pPr>
    </w:p>
    <w:p w14:paraId="04DB1BAB" w14:textId="77777777" w:rsidR="00DA3F26" w:rsidRPr="004676F5" w:rsidRDefault="00DA3F26" w:rsidP="00DA3F26">
      <w:pPr>
        <w:ind w:firstLine="708"/>
        <w:jc w:val="both"/>
        <w:rPr>
          <w:lang w:val="de-DE"/>
        </w:rPr>
      </w:pPr>
      <w:r w:rsidRPr="004676F5">
        <w:rPr>
          <w:lang w:val="de-DE"/>
        </w:rPr>
        <w:t>4. Er bietet dem Zahlungsdienstnutzer die Möglichkeit, eine Anzeige gemäß Artikel VII.38 § 1 Nr. 2 kostenlos vorzunehmen, und darf allenfalls ausschließlich die direkt mit dem Zahlungsinstrument verbundenen Ersatzkosten anrechnen.</w:t>
      </w:r>
    </w:p>
    <w:p w14:paraId="64C12451" w14:textId="77777777" w:rsidR="00DA3F26" w:rsidRPr="004676F5" w:rsidRDefault="00DA3F26" w:rsidP="00DA3F26">
      <w:pPr>
        <w:ind w:firstLine="708"/>
        <w:jc w:val="both"/>
        <w:rPr>
          <w:lang w:val="de-DE"/>
        </w:rPr>
      </w:pPr>
    </w:p>
    <w:p w14:paraId="609B3647" w14:textId="77777777" w:rsidR="00DA3F26" w:rsidRPr="004676F5" w:rsidRDefault="00DA3F26" w:rsidP="00DA3F26">
      <w:pPr>
        <w:ind w:firstLine="708"/>
        <w:jc w:val="both"/>
        <w:rPr>
          <w:lang w:val="de-DE"/>
        </w:rPr>
      </w:pPr>
      <w:r w:rsidRPr="004676F5">
        <w:rPr>
          <w:lang w:val="de-DE"/>
        </w:rPr>
        <w:t>5. Er muss jedwede Nutzung des Zahlungsinstruments verhindern, sobald eine Anzeige nach Artikel VII.38 § 1 Nr. 2 erfolgt ist.</w:t>
      </w:r>
    </w:p>
    <w:p w14:paraId="3D7E2F7D" w14:textId="77777777" w:rsidR="00DA3F26" w:rsidRPr="004676F5" w:rsidRDefault="00DA3F26" w:rsidP="00DA3F26">
      <w:pPr>
        <w:ind w:firstLine="708"/>
        <w:jc w:val="both"/>
        <w:rPr>
          <w:lang w:val="de-DE"/>
        </w:rPr>
      </w:pPr>
    </w:p>
    <w:p w14:paraId="2CF0A541" w14:textId="77777777" w:rsidR="00DA3F26" w:rsidRPr="004676F5" w:rsidRDefault="00DA3F26" w:rsidP="00DA3F26">
      <w:pPr>
        <w:ind w:firstLine="708"/>
        <w:jc w:val="both"/>
        <w:rPr>
          <w:lang w:val="de-DE"/>
        </w:rPr>
      </w:pPr>
      <w:r w:rsidRPr="004676F5">
        <w:rPr>
          <w:lang w:val="de-DE"/>
        </w:rPr>
        <w:t>6. Er trägt das Risiko der Versendung eines Zahlungsinstruments an den Zahlungs</w:t>
      </w:r>
      <w:r w:rsidRPr="004676F5">
        <w:rPr>
          <w:lang w:val="de-DE"/>
        </w:rPr>
        <w:softHyphen/>
        <w:t>dienstnutzer oder der Versendung jeglicher Mittel, die seine Nutzung ermöglichen, insbesondere personalisierter Sicherheitsmerkmale des Zahlungsinstruments.</w:t>
      </w:r>
    </w:p>
    <w:p w14:paraId="27007619" w14:textId="04D8D9FB" w:rsidR="00DA3F26" w:rsidRPr="004676F5" w:rsidRDefault="00DA3F26" w:rsidP="00DA3F26">
      <w:pPr>
        <w:ind w:firstLine="708"/>
        <w:jc w:val="both"/>
        <w:rPr>
          <w:lang w:val="de-DE"/>
        </w:rPr>
      </w:pPr>
    </w:p>
    <w:p w14:paraId="0E2F2AD5" w14:textId="77777777" w:rsidR="00DA3F26" w:rsidRPr="004676F5" w:rsidRDefault="00DA3F26" w:rsidP="00DA3F26">
      <w:pPr>
        <w:ind w:firstLine="708"/>
        <w:jc w:val="both"/>
        <w:rPr>
          <w:lang w:val="de-DE"/>
        </w:rPr>
      </w:pPr>
    </w:p>
    <w:p w14:paraId="57BF5B7F" w14:textId="047C1DC3" w:rsidR="00DA3F26" w:rsidRPr="004676F5" w:rsidRDefault="00DA3F26" w:rsidP="00DA3F26">
      <w:pPr>
        <w:ind w:firstLine="708"/>
        <w:jc w:val="both"/>
        <w:rPr>
          <w:lang w:val="de-DE"/>
        </w:rPr>
      </w:pPr>
      <w:r w:rsidRPr="004676F5">
        <w:rPr>
          <w:b/>
          <w:lang w:val="de-DE"/>
        </w:rPr>
        <w:t>Art. VII.40</w:t>
      </w:r>
      <w:r w:rsidRPr="004676F5">
        <w:rPr>
          <w:lang w:val="de-DE"/>
        </w:rPr>
        <w:t> </w:t>
      </w:r>
      <w:r w:rsidR="005B7A5C" w:rsidRPr="004676F5">
        <w:rPr>
          <w:lang w:val="de-DE"/>
        </w:rPr>
        <w:t>- </w:t>
      </w:r>
      <w:r w:rsidRPr="004676F5">
        <w:rPr>
          <w:lang w:val="de-DE"/>
        </w:rPr>
        <w:t>Der Zahlungsdienstleister muss während eines Zeitraums von mindestens zehn Jahren ab Ausführung der Zahlungsvorgänge für eine interne Aufzeichnung der Zahlungsvorgänge sorgen.</w:t>
      </w:r>
    </w:p>
    <w:p w14:paraId="6325FCBD" w14:textId="77777777" w:rsidR="00DA3F26" w:rsidRPr="004676F5" w:rsidRDefault="00DA3F26" w:rsidP="00DA3F26">
      <w:pPr>
        <w:ind w:firstLine="708"/>
        <w:jc w:val="both"/>
        <w:rPr>
          <w:lang w:val="de-DE"/>
        </w:rPr>
      </w:pPr>
    </w:p>
    <w:p w14:paraId="435DC430" w14:textId="77777777" w:rsidR="00DA3F26" w:rsidRPr="004676F5" w:rsidRDefault="00DA3F26" w:rsidP="00DA3F26">
      <w:pPr>
        <w:ind w:firstLine="708"/>
        <w:jc w:val="both"/>
        <w:rPr>
          <w:lang w:val="de-DE"/>
        </w:rPr>
      </w:pPr>
      <w:r w:rsidRPr="004676F5">
        <w:rPr>
          <w:lang w:val="de-DE"/>
        </w:rPr>
        <w:t>Diese Bestimmung lässt andere Gesetzesbestimmungen im Bereich der Bereitstellung von Belegen unberührt.</w:t>
      </w:r>
    </w:p>
    <w:p w14:paraId="7F3C43FE" w14:textId="428AED25" w:rsidR="00DA3F26" w:rsidRPr="004676F5" w:rsidRDefault="00DA3F26" w:rsidP="00DA3F26">
      <w:pPr>
        <w:ind w:firstLine="708"/>
        <w:rPr>
          <w:lang w:val="de-DE"/>
        </w:rPr>
      </w:pPr>
    </w:p>
    <w:p w14:paraId="66B86E05" w14:textId="77777777" w:rsidR="00DA3F26" w:rsidRPr="004676F5" w:rsidRDefault="00DA3F26" w:rsidP="00DA3F26">
      <w:pPr>
        <w:ind w:firstLine="708"/>
        <w:rPr>
          <w:lang w:val="de-DE"/>
        </w:rPr>
      </w:pPr>
    </w:p>
    <w:p w14:paraId="57F31921" w14:textId="77777777" w:rsidR="00DA3F26" w:rsidRPr="004676F5" w:rsidRDefault="00DA3F26">
      <w:pPr>
        <w:rPr>
          <w:lang w:val="de-DE"/>
        </w:rPr>
      </w:pPr>
      <w:r w:rsidRPr="004676F5">
        <w:rPr>
          <w:lang w:val="de-DE"/>
        </w:rPr>
        <w:br w:type="page"/>
      </w:r>
    </w:p>
    <w:p w14:paraId="46097051" w14:textId="7C377618" w:rsidR="00DA3F26" w:rsidRPr="004676F5" w:rsidRDefault="00DA3F26" w:rsidP="00DA3F26">
      <w:pPr>
        <w:jc w:val="center"/>
        <w:rPr>
          <w:lang w:val="de-DE"/>
        </w:rPr>
      </w:pPr>
      <w:r w:rsidRPr="004676F5">
        <w:rPr>
          <w:lang w:val="de-DE"/>
        </w:rPr>
        <w:lastRenderedPageBreak/>
        <w:t>Unterabschnitt 5 </w:t>
      </w:r>
      <w:r w:rsidR="005B7A5C" w:rsidRPr="004676F5">
        <w:rPr>
          <w:lang w:val="de-DE"/>
        </w:rPr>
        <w:t>- </w:t>
      </w:r>
      <w:r w:rsidRPr="004676F5">
        <w:rPr>
          <w:lang w:val="de-DE"/>
        </w:rPr>
        <w:t>Anzeige und Korrektur nicht autorisierter oder fehlerhaft ausgeführter Zahlungsvorgänge</w:t>
      </w:r>
    </w:p>
    <w:p w14:paraId="7326B5CE" w14:textId="709BE510" w:rsidR="00DA3F26" w:rsidRPr="004676F5" w:rsidRDefault="00DA3F26" w:rsidP="00DA3F26">
      <w:pPr>
        <w:rPr>
          <w:lang w:val="de-DE"/>
        </w:rPr>
      </w:pPr>
    </w:p>
    <w:p w14:paraId="27AF8E1A" w14:textId="77777777" w:rsidR="007E2AED" w:rsidRPr="004676F5" w:rsidRDefault="007E2AED" w:rsidP="00DA3F26">
      <w:pPr>
        <w:rPr>
          <w:lang w:val="de-DE"/>
        </w:rPr>
      </w:pPr>
    </w:p>
    <w:p w14:paraId="2F198CA2" w14:textId="650BB849" w:rsidR="00DA3F26" w:rsidRPr="004676F5" w:rsidRDefault="00DA3F26" w:rsidP="00DA3F26">
      <w:pPr>
        <w:ind w:firstLine="708"/>
        <w:jc w:val="both"/>
        <w:rPr>
          <w:lang w:val="de-DE"/>
        </w:rPr>
      </w:pPr>
      <w:r w:rsidRPr="004676F5">
        <w:rPr>
          <w:b/>
          <w:lang w:val="de-DE"/>
        </w:rPr>
        <w:t>Art. VII.41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Der Zahlungsdienstnutzer kann nur dann eine Korrektur eines nicht autorisierten oder fehlerhaft ausgeführten Zahlungsvorgangs durch den Zahlungsdienstleister erwirken, wenn der Zahlungsdienstnutzer unverzüglich nach Feststellung eines solchen Zahlungsvorgangs, der zur Entstehung eines Anspruchs </w:t>
      </w:r>
      <w:r w:rsidR="005B7A5C" w:rsidRPr="004676F5">
        <w:rPr>
          <w:lang w:val="de-DE"/>
        </w:rPr>
        <w:t>- </w:t>
      </w:r>
      <w:r w:rsidRPr="004676F5">
        <w:rPr>
          <w:lang w:val="de-DE"/>
        </w:rPr>
        <w:t>einschließlich eines Anspruchs nach den Artikeln VII.55/3 bis VII.55/7 </w:t>
      </w:r>
      <w:r w:rsidR="005B7A5C" w:rsidRPr="004676F5">
        <w:rPr>
          <w:lang w:val="de-DE"/>
        </w:rPr>
        <w:t>- </w:t>
      </w:r>
      <w:r w:rsidRPr="004676F5">
        <w:rPr>
          <w:lang w:val="de-DE"/>
        </w:rPr>
        <w:t>geführt hat, jedoch spätestens dreizehn Monate nach dem Tag der Belastung oder Gutschrift seinen Zahlungsdienstleister hiervon unterrichtet, es sei denn, der Zahlungsdienstleister hat, soweit anwendbar, die Angaben nach Maßgabe der Artikel VII.4 bis VII.26 des vorliegenden Buches zu dem betreffenden Zahlungsvorgang nicht mitgeteilt oder zugänglich gemacht.</w:t>
      </w:r>
    </w:p>
    <w:p w14:paraId="0234F2CE" w14:textId="77777777" w:rsidR="00DA3F26" w:rsidRPr="004676F5" w:rsidRDefault="00DA3F26" w:rsidP="00DA3F26">
      <w:pPr>
        <w:ind w:firstLine="708"/>
        <w:jc w:val="both"/>
        <w:rPr>
          <w:lang w:val="de-DE"/>
        </w:rPr>
      </w:pPr>
    </w:p>
    <w:p w14:paraId="4453750B" w14:textId="43304DC7"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Ist ein Zahlungsauslösedienstleister beteiligt, erwirkt der Zahlungsdienstnutzer unbeschadet des Artikels VII.43 § 2 und des Artikels VII.55/6 eine Korrektur von dem kontoführenden Zahlungsdienstleister gemäß § 1.</w:t>
      </w:r>
    </w:p>
    <w:p w14:paraId="50BE0748" w14:textId="14EB3585" w:rsidR="00DA3F26" w:rsidRPr="004676F5" w:rsidRDefault="00DA3F26" w:rsidP="00DA3F26">
      <w:pPr>
        <w:ind w:firstLine="708"/>
        <w:jc w:val="both"/>
        <w:rPr>
          <w:lang w:val="de-DE"/>
        </w:rPr>
      </w:pPr>
    </w:p>
    <w:p w14:paraId="1E70DA07" w14:textId="77777777" w:rsidR="007E2AED" w:rsidRPr="004676F5" w:rsidRDefault="007E2AED" w:rsidP="00DA3F26">
      <w:pPr>
        <w:ind w:firstLine="708"/>
        <w:jc w:val="both"/>
        <w:rPr>
          <w:lang w:val="de-DE"/>
        </w:rPr>
      </w:pPr>
    </w:p>
    <w:p w14:paraId="252A2F4C" w14:textId="469A47BC" w:rsidR="00DA3F26" w:rsidRPr="004676F5" w:rsidRDefault="00DA3F26" w:rsidP="00DA3F26">
      <w:pPr>
        <w:ind w:firstLine="708"/>
        <w:jc w:val="both"/>
        <w:rPr>
          <w:lang w:val="de-DE"/>
        </w:rPr>
      </w:pPr>
      <w:r w:rsidRPr="004676F5">
        <w:rPr>
          <w:b/>
          <w:lang w:val="de-DE"/>
        </w:rPr>
        <w:t>Art. VII.42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Wenn ein Zahlungsdienstnutzer bestreitet, einen ausgeführten Zahlungsvorgang autorisiert zu haben, oder geltend macht, dass der Zahlungsvorgang nicht ordnungsgemäß ausgeführt wurde, obliegt der Nachweis, dass der Zahlungsvorgang authentifiziert war, ordnungsgemäß aufgezeichnet und verbucht und nicht durch eine technische Panne oder einen anderen Mangel des von dem Zahlungsdienstleister erbrachten Dienstes beeinträchtigt wurde, dem Zahlungsdienstleister.</w:t>
      </w:r>
    </w:p>
    <w:p w14:paraId="5E653DCA" w14:textId="77777777" w:rsidR="00DA3F26" w:rsidRPr="004676F5" w:rsidRDefault="00DA3F26" w:rsidP="00DA3F26">
      <w:pPr>
        <w:ind w:firstLine="708"/>
        <w:jc w:val="both"/>
        <w:rPr>
          <w:lang w:val="de-DE"/>
        </w:rPr>
      </w:pPr>
    </w:p>
    <w:p w14:paraId="6D005DA6" w14:textId="4A655565" w:rsidR="00DA3F26" w:rsidRPr="004676F5" w:rsidRDefault="00DA3F26" w:rsidP="00DA3F26">
      <w:pPr>
        <w:ind w:firstLine="708"/>
        <w:jc w:val="both"/>
        <w:rPr>
          <w:lang w:val="de-DE"/>
        </w:rPr>
      </w:pPr>
      <w:r w:rsidRPr="004676F5">
        <w:rPr>
          <w:lang w:val="de-DE"/>
        </w:rPr>
        <w:t xml:space="preserve">Wird der Zahlungsvorgang über einen Zahlungsauslösedienstleister ausgelöst, so muss der Zahlungsauslösedienstleister nachweisen, dass der Zahlungsvorgang </w:t>
      </w:r>
      <w:r w:rsidR="005B7A5C" w:rsidRPr="004676F5">
        <w:rPr>
          <w:lang w:val="de-DE"/>
        </w:rPr>
        <w:t>- </w:t>
      </w:r>
      <w:r w:rsidRPr="004676F5">
        <w:rPr>
          <w:lang w:val="de-DE"/>
        </w:rPr>
        <w:t>innerhalb seines Zuständigkeitsbereichs </w:t>
      </w:r>
      <w:r w:rsidR="005B7A5C" w:rsidRPr="004676F5">
        <w:rPr>
          <w:lang w:val="de-DE"/>
        </w:rPr>
        <w:t>- </w:t>
      </w:r>
      <w:r w:rsidRPr="004676F5">
        <w:rPr>
          <w:lang w:val="de-DE"/>
        </w:rPr>
        <w:t>authentifiziert, ordnungsgemäß aufgezeichnet und nicht durch eine technische Panne oder einen anderen Mangel im Zusammenhang mit dem von ihm verantworteten Zahlungsdienst beeinträchtigt wurde.</w:t>
      </w:r>
    </w:p>
    <w:p w14:paraId="42159F64" w14:textId="77777777" w:rsidR="00DA3F26" w:rsidRPr="004676F5" w:rsidRDefault="00DA3F26" w:rsidP="00DA3F26">
      <w:pPr>
        <w:ind w:firstLine="708"/>
        <w:jc w:val="both"/>
        <w:rPr>
          <w:lang w:val="de-DE"/>
        </w:rPr>
      </w:pPr>
    </w:p>
    <w:p w14:paraId="5290A35B" w14:textId="09C2C07E"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 xml:space="preserve">Bestreitet ein Zahlungsdienstnutzer, einen ausgeführten Zahlungsvorgang autorisiert zu haben, so reicht die vom Zahlungsdienstleister </w:t>
      </w:r>
      <w:r w:rsidR="005B7A5C" w:rsidRPr="004676F5">
        <w:rPr>
          <w:lang w:val="de-DE"/>
        </w:rPr>
        <w:t>- </w:t>
      </w:r>
      <w:r w:rsidRPr="004676F5">
        <w:rPr>
          <w:lang w:val="de-DE"/>
        </w:rPr>
        <w:t>gegebenenfalls einschließlich des Zahlungsauslösedienstleisters </w:t>
      </w:r>
      <w:r w:rsidR="005B7A5C" w:rsidRPr="004676F5">
        <w:rPr>
          <w:lang w:val="de-DE"/>
        </w:rPr>
        <w:t>- </w:t>
      </w:r>
      <w:r w:rsidRPr="004676F5">
        <w:rPr>
          <w:lang w:val="de-DE"/>
        </w:rPr>
        <w:t>aufgezeichnete Nutzung eines Zahlungsinstruments für sich gesehen nicht notwendigerweise aus, um nachzuweisen, dass der Zahler entweder den Zahlungsvorgang autorisiert oder aber in betrügerischer Absicht gehandelt oder eine oder mehrere seiner Pflichten nach Artikel VII.38 vorsätzlich oder grob fahrlässig verletzt hat.</w:t>
      </w:r>
    </w:p>
    <w:p w14:paraId="11D7C6B5" w14:textId="77777777" w:rsidR="00DA3F26" w:rsidRPr="004676F5" w:rsidRDefault="00DA3F26" w:rsidP="00DA3F26">
      <w:pPr>
        <w:ind w:firstLine="708"/>
        <w:jc w:val="both"/>
        <w:rPr>
          <w:lang w:val="de-DE"/>
        </w:rPr>
      </w:pPr>
    </w:p>
    <w:p w14:paraId="1DEECFC5" w14:textId="63448D92" w:rsidR="00DA3F26" w:rsidRPr="004676F5" w:rsidRDefault="00DA3F26" w:rsidP="00DA3F26">
      <w:pPr>
        <w:ind w:firstLine="708"/>
        <w:jc w:val="both"/>
        <w:rPr>
          <w:lang w:val="de-DE"/>
        </w:rPr>
      </w:pPr>
      <w:r w:rsidRPr="004676F5">
        <w:rPr>
          <w:lang w:val="de-DE"/>
        </w:rPr>
        <w:t xml:space="preserve">Der Zahlungsdienstleister </w:t>
      </w:r>
      <w:r w:rsidR="005B7A5C" w:rsidRPr="004676F5">
        <w:rPr>
          <w:lang w:val="de-DE"/>
        </w:rPr>
        <w:t>- </w:t>
      </w:r>
      <w:r w:rsidRPr="004676F5">
        <w:rPr>
          <w:lang w:val="de-DE"/>
        </w:rPr>
        <w:t>gegebenenfalls einschließlich des Zahlungsauslösedienst</w:t>
      </w:r>
      <w:r w:rsidRPr="004676F5">
        <w:rPr>
          <w:lang w:val="de-DE"/>
        </w:rPr>
        <w:softHyphen/>
        <w:t>leisters </w:t>
      </w:r>
      <w:r w:rsidR="005B7A5C" w:rsidRPr="004676F5">
        <w:rPr>
          <w:lang w:val="de-DE"/>
        </w:rPr>
        <w:t>- </w:t>
      </w:r>
      <w:r w:rsidRPr="004676F5">
        <w:rPr>
          <w:lang w:val="de-DE"/>
        </w:rPr>
        <w:t>muss unterstützende Beweismittel vorlegen, um Betrug oder grobe Fahrlässigkeit des Zahlungsdienstnutzers nachzuweisen.</w:t>
      </w:r>
    </w:p>
    <w:p w14:paraId="6DA56D04" w14:textId="77777777" w:rsidR="00DA3F26" w:rsidRPr="004676F5" w:rsidRDefault="00DA3F26" w:rsidP="00DA3F26">
      <w:pPr>
        <w:ind w:firstLine="708"/>
        <w:jc w:val="both"/>
        <w:rPr>
          <w:lang w:val="de-DE"/>
        </w:rPr>
      </w:pPr>
    </w:p>
    <w:p w14:paraId="7E5411FC" w14:textId="363AF3A9"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Der König kann Regeln auferlegen, denen der Authentifizierungs-, Aufzeichnungs</w:t>
      </w:r>
      <w:r w:rsidR="005B7A5C" w:rsidRPr="004676F5">
        <w:rPr>
          <w:lang w:val="de-DE"/>
        </w:rPr>
        <w:t>- </w:t>
      </w:r>
      <w:r w:rsidRPr="004676F5">
        <w:rPr>
          <w:lang w:val="de-DE"/>
        </w:rPr>
        <w:t>und Verbuchungsnachweis über einen beanstandeten Zahlungsvorgang genügen muss. Er kann einen Unterschied machen je nach Art des Zahlungsvorgangs und je nach Zahlungsinstrument, das zur Erteilung eines Zahlungsauftrags verwendet wurde. Der König kann auch Sanktionen festlegen, die bei Nichteinhaltung der somit auferlegten Regeln anwendbar sind.</w:t>
      </w:r>
    </w:p>
    <w:p w14:paraId="7A42E129" w14:textId="77777777" w:rsidR="00DA3F26" w:rsidRPr="004676F5" w:rsidRDefault="00DA3F26" w:rsidP="00DA3F26">
      <w:pPr>
        <w:ind w:firstLine="708"/>
        <w:rPr>
          <w:lang w:val="de-DE"/>
        </w:rPr>
      </w:pPr>
    </w:p>
    <w:p w14:paraId="5A2D180D" w14:textId="77777777" w:rsidR="007E2AED" w:rsidRPr="004676F5" w:rsidRDefault="007E2AED">
      <w:pPr>
        <w:rPr>
          <w:lang w:val="de-DE"/>
        </w:rPr>
      </w:pPr>
      <w:r w:rsidRPr="004676F5">
        <w:rPr>
          <w:lang w:val="de-DE"/>
        </w:rPr>
        <w:br w:type="page"/>
      </w:r>
    </w:p>
    <w:p w14:paraId="72C4E265" w14:textId="077D688D" w:rsidR="00DA3F26" w:rsidRPr="004676F5" w:rsidRDefault="00DA3F26" w:rsidP="00DA3F26">
      <w:pPr>
        <w:jc w:val="center"/>
        <w:rPr>
          <w:lang w:val="de-DE"/>
        </w:rPr>
      </w:pPr>
      <w:r w:rsidRPr="004676F5">
        <w:rPr>
          <w:lang w:val="de-DE"/>
        </w:rPr>
        <w:lastRenderedPageBreak/>
        <w:t>Unterabschnitt 6 </w:t>
      </w:r>
      <w:r w:rsidR="005B7A5C" w:rsidRPr="004676F5">
        <w:rPr>
          <w:lang w:val="de-DE"/>
        </w:rPr>
        <w:t>- </w:t>
      </w:r>
      <w:r w:rsidRPr="004676F5">
        <w:rPr>
          <w:lang w:val="de-DE"/>
        </w:rPr>
        <w:t>Haftung des Zahlungsdienstleisters für nicht autorisierte Zahlungsvorgänge</w:t>
      </w:r>
    </w:p>
    <w:p w14:paraId="062E2A51" w14:textId="0F0099D8" w:rsidR="00DA3F26" w:rsidRPr="004676F5" w:rsidRDefault="00DA3F26" w:rsidP="00DA3F26">
      <w:pPr>
        <w:jc w:val="both"/>
        <w:rPr>
          <w:lang w:val="de-DE"/>
        </w:rPr>
      </w:pPr>
    </w:p>
    <w:p w14:paraId="251AB542" w14:textId="77777777" w:rsidR="007E2AED" w:rsidRPr="004676F5" w:rsidRDefault="007E2AED" w:rsidP="00DA3F26">
      <w:pPr>
        <w:jc w:val="both"/>
        <w:rPr>
          <w:lang w:val="de-DE"/>
        </w:rPr>
      </w:pPr>
    </w:p>
    <w:p w14:paraId="341A0F03" w14:textId="0E054FB9" w:rsidR="00DA3F26" w:rsidRPr="004676F5" w:rsidRDefault="00DA3F26" w:rsidP="00DA3F26">
      <w:pPr>
        <w:ind w:firstLine="708"/>
        <w:jc w:val="both"/>
        <w:rPr>
          <w:lang w:val="de-DE"/>
        </w:rPr>
      </w:pPr>
      <w:r w:rsidRPr="004676F5">
        <w:rPr>
          <w:b/>
          <w:lang w:val="de-DE"/>
        </w:rPr>
        <w:t>Art. VII.43</w:t>
      </w:r>
      <w:r w:rsidRPr="004676F5">
        <w:rPr>
          <w:lang w:val="de-DE"/>
        </w:rPr>
        <w:t> </w:t>
      </w:r>
      <w:r w:rsidR="005B7A5C" w:rsidRPr="004676F5">
        <w:rPr>
          <w:lang w:val="de-DE"/>
        </w:rPr>
        <w:t>- </w:t>
      </w:r>
      <w:r w:rsidRPr="004676F5">
        <w:rPr>
          <w:lang w:val="de-DE"/>
        </w:rPr>
        <w:t>Unbeschadet der Anwendung des Artikels VII.41 muss im Fall eines nicht autorisierten Zahlungsvorgangs der Zahlungsdienstleister des Zahlers diesem den Betrag des nicht autorisierten Zahlungsvorgangs unverzüglich, auf jeden Fall spätestens bis zum Ende des folgenden Geschäftstags erstatten, nachdem er von dem Zahlungsvorgang Kenntnis erhalten hat oder dieser ihm angezeigt wurde, es sei denn, er hat berechtigte Gründe für den Verdacht, dass Betrug vorliegt, und teilt dem FÖD Wirtschaft diese Gründe schriftlich mit.</w:t>
      </w:r>
    </w:p>
    <w:p w14:paraId="66BEB8A9" w14:textId="77777777" w:rsidR="00DA3F26" w:rsidRPr="004676F5" w:rsidRDefault="00DA3F26" w:rsidP="00DA3F26">
      <w:pPr>
        <w:ind w:firstLine="708"/>
        <w:jc w:val="both"/>
        <w:rPr>
          <w:lang w:val="de-DE"/>
        </w:rPr>
      </w:pPr>
    </w:p>
    <w:p w14:paraId="3DBF0BAE" w14:textId="77777777" w:rsidR="00DA3F26" w:rsidRPr="004676F5" w:rsidRDefault="00DA3F26" w:rsidP="00DA3F26">
      <w:pPr>
        <w:ind w:firstLine="708"/>
        <w:jc w:val="both"/>
        <w:rPr>
          <w:lang w:val="de-DE"/>
        </w:rPr>
      </w:pPr>
      <w:r w:rsidRPr="004676F5">
        <w:rPr>
          <w:lang w:val="de-DE"/>
        </w:rPr>
        <w:t>Der Zahlungsdienstleister des Zahlers bringt gegebenenfalls das belastete Zahlungs</w:t>
      </w:r>
      <w:r w:rsidRPr="004676F5">
        <w:rPr>
          <w:lang w:val="de-DE"/>
        </w:rPr>
        <w:softHyphen/>
        <w:t>konto wieder auf den Stand, auf dem es sich ohne den nicht autorisierten Zahlungsvorgang befunden hätte.</w:t>
      </w:r>
    </w:p>
    <w:p w14:paraId="652FD558" w14:textId="77777777" w:rsidR="00DA3F26" w:rsidRPr="004676F5" w:rsidRDefault="00DA3F26" w:rsidP="00DA3F26">
      <w:pPr>
        <w:ind w:firstLine="708"/>
        <w:jc w:val="both"/>
        <w:rPr>
          <w:lang w:val="de-DE"/>
        </w:rPr>
      </w:pPr>
    </w:p>
    <w:p w14:paraId="77188794" w14:textId="77777777" w:rsidR="00DA3F26" w:rsidRPr="004676F5" w:rsidRDefault="00DA3F26" w:rsidP="00DA3F26">
      <w:pPr>
        <w:ind w:firstLine="708"/>
        <w:jc w:val="both"/>
        <w:rPr>
          <w:lang w:val="de-DE"/>
        </w:rPr>
      </w:pPr>
      <w:r w:rsidRPr="004676F5">
        <w:rPr>
          <w:lang w:val="de-DE"/>
        </w:rPr>
        <w:t>Dabei wird sichergestellt, dass der Betrag auf dem Zahlungskonto des Zahlers spätestens zum Datum der Belastung des Kontos wertgestellt wird.</w:t>
      </w:r>
    </w:p>
    <w:p w14:paraId="03162737" w14:textId="77777777" w:rsidR="00DA3F26" w:rsidRPr="004676F5" w:rsidRDefault="00DA3F26" w:rsidP="00DA3F26">
      <w:pPr>
        <w:ind w:firstLine="708"/>
        <w:jc w:val="both"/>
        <w:rPr>
          <w:lang w:val="de-DE"/>
        </w:rPr>
      </w:pPr>
    </w:p>
    <w:p w14:paraId="03EB1292" w14:textId="5ACBE6AC"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Wird der Zahlungsvorgang über einen Zahlungsauslösedienstleister ausgelöst, so erstattet der kontoführende Zahlungsdienstleister unverzüglich, auf jeden Fall spätestens bis zum Ende des folgenden Geschäftstags den Betrag des nicht autorisierten Zahlungsvorgangs und bringt das belastete Zahlungskonto gegebenenfalls wieder auf den Stand, auf dem es sich ohne den nicht autorisierten Zahlungsvorgang befunden hätte.</w:t>
      </w:r>
    </w:p>
    <w:p w14:paraId="6C34173F" w14:textId="77777777" w:rsidR="00DA3F26" w:rsidRPr="004676F5" w:rsidRDefault="00DA3F26" w:rsidP="00DA3F26">
      <w:pPr>
        <w:ind w:firstLine="708"/>
        <w:jc w:val="both"/>
        <w:rPr>
          <w:lang w:val="de-DE"/>
        </w:rPr>
      </w:pPr>
    </w:p>
    <w:p w14:paraId="256CC32A" w14:textId="77777777" w:rsidR="00DA3F26" w:rsidRPr="004676F5" w:rsidRDefault="00DA3F26" w:rsidP="00DA3F26">
      <w:pPr>
        <w:ind w:firstLine="708"/>
        <w:jc w:val="both"/>
        <w:rPr>
          <w:lang w:val="de-DE"/>
        </w:rPr>
      </w:pPr>
      <w:r w:rsidRPr="004676F5">
        <w:rPr>
          <w:lang w:val="de-DE"/>
        </w:rPr>
        <w:t>Haftet der Zahlungsauslösedienstleister für den nicht autorisierten Zahlungsvorgang, so entschädigt er den kontoführenden Zahlungsdienstleister auf dessen Verlangen unverzüglich für die infolge der Erstattung an den Zahler erlittenen Verluste oder gezahlten Beträge, einschließlich des Betrags des nicht autorisierten Zahlungsvorgangs.</w:t>
      </w:r>
    </w:p>
    <w:p w14:paraId="5887F38E" w14:textId="77777777" w:rsidR="00DA3F26" w:rsidRPr="004676F5" w:rsidRDefault="00DA3F26" w:rsidP="00DA3F26">
      <w:pPr>
        <w:ind w:firstLine="708"/>
        <w:jc w:val="both"/>
        <w:rPr>
          <w:lang w:val="de-DE"/>
        </w:rPr>
      </w:pPr>
    </w:p>
    <w:p w14:paraId="72976B7F" w14:textId="437BC763" w:rsidR="00DA3F26" w:rsidRPr="004676F5" w:rsidRDefault="00DA3F26" w:rsidP="00DA3F26">
      <w:pPr>
        <w:ind w:firstLine="708"/>
        <w:jc w:val="both"/>
        <w:rPr>
          <w:lang w:val="de-DE"/>
        </w:rPr>
      </w:pPr>
      <w:r w:rsidRPr="004676F5">
        <w:rPr>
          <w:lang w:val="de-DE"/>
        </w:rPr>
        <w:t xml:space="preserve">Im Einklang mit Artikel VII.42 § 1 muss der Zahlungsauslösedienstleister nachweisen, dass der Zahlungsvorgang </w:t>
      </w:r>
      <w:r w:rsidR="005B7A5C" w:rsidRPr="004676F5">
        <w:rPr>
          <w:lang w:val="de-DE"/>
        </w:rPr>
        <w:t>- </w:t>
      </w:r>
      <w:r w:rsidRPr="004676F5">
        <w:rPr>
          <w:lang w:val="de-DE"/>
        </w:rPr>
        <w:t>innerhalb seines Zuständigkeitsbereichs </w:t>
      </w:r>
      <w:r w:rsidR="005B7A5C" w:rsidRPr="004676F5">
        <w:rPr>
          <w:lang w:val="de-DE"/>
        </w:rPr>
        <w:t>- </w:t>
      </w:r>
      <w:r w:rsidRPr="004676F5">
        <w:rPr>
          <w:lang w:val="de-DE"/>
        </w:rPr>
        <w:t>authentifiziert, ordnungsgemäß aufgezeichnet und nicht durch eine technische Panne oder einen anderen Mangel im Zusammenhang mit dem von ihm verantworteten Zahlungsdienst beeinträchtigt wurde.</w:t>
      </w:r>
    </w:p>
    <w:p w14:paraId="3603C9F8" w14:textId="77777777" w:rsidR="00DA3F26" w:rsidRPr="004676F5" w:rsidRDefault="00DA3F26" w:rsidP="00DA3F26">
      <w:pPr>
        <w:ind w:firstLine="708"/>
        <w:jc w:val="both"/>
        <w:rPr>
          <w:lang w:val="de-DE"/>
        </w:rPr>
      </w:pPr>
    </w:p>
    <w:p w14:paraId="4A67F90C" w14:textId="68067A3B"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Darüber hinaus muss der Zahlungsdienstleister des Zahlers oder gegebenenfalls der Zahlungsauslösedienstleister andere eventuelle finanzielle Folgen erstatten, insbesondere die vom Zahlungsdienstnutzer für die Ermittlung des zu ersetzenden Schadens getragenen Kosten.</w:t>
      </w:r>
    </w:p>
    <w:p w14:paraId="11CA25EB" w14:textId="0CA86AE3" w:rsidR="00DA3F26" w:rsidRPr="004676F5" w:rsidRDefault="00DA3F26" w:rsidP="00DA3F26">
      <w:pPr>
        <w:ind w:firstLine="708"/>
        <w:jc w:val="both"/>
        <w:rPr>
          <w:lang w:val="de-DE"/>
        </w:rPr>
      </w:pPr>
    </w:p>
    <w:p w14:paraId="34194C00" w14:textId="77777777" w:rsidR="007E2AED" w:rsidRPr="004676F5" w:rsidRDefault="007E2AED" w:rsidP="00DA3F26">
      <w:pPr>
        <w:ind w:firstLine="708"/>
        <w:jc w:val="both"/>
        <w:rPr>
          <w:lang w:val="de-DE"/>
        </w:rPr>
      </w:pPr>
    </w:p>
    <w:p w14:paraId="131D52B5" w14:textId="430CC822" w:rsidR="00DA3F26" w:rsidRPr="004676F5" w:rsidRDefault="00DA3F26" w:rsidP="00DA3F26">
      <w:pPr>
        <w:ind w:firstLine="708"/>
        <w:jc w:val="both"/>
        <w:rPr>
          <w:lang w:val="de-DE"/>
        </w:rPr>
      </w:pPr>
      <w:r w:rsidRPr="004676F5">
        <w:rPr>
          <w:b/>
          <w:lang w:val="de-DE"/>
        </w:rPr>
        <w:t>Art. VII.44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Abweichend von Artikel VII.43 trägt der Zahler bis zur Anzeige gemäß Artikel VII.38 § 1 Nr. 2 und bis höchstens 50 EUR Schäden infolge eines nicht autorisierten Zahlungsvorgangs, die infolge der Nutzung eines verlorenen oder gestohlenen Zahlungsinstruments oder infolge der missbräuchlichen Verwendung eines Zahlungs</w:t>
      </w:r>
      <w:r w:rsidRPr="004676F5">
        <w:rPr>
          <w:lang w:val="de-DE"/>
        </w:rPr>
        <w:softHyphen/>
        <w:t>instruments entstehen.</w:t>
      </w:r>
    </w:p>
    <w:p w14:paraId="66FAB548" w14:textId="77777777" w:rsidR="00DA3F26" w:rsidRPr="004676F5" w:rsidRDefault="00DA3F26" w:rsidP="00DA3F26">
      <w:pPr>
        <w:ind w:firstLine="708"/>
        <w:jc w:val="both"/>
        <w:rPr>
          <w:lang w:val="de-DE"/>
        </w:rPr>
      </w:pPr>
    </w:p>
    <w:p w14:paraId="3B096898" w14:textId="77777777" w:rsidR="00DA3F26" w:rsidRPr="004676F5" w:rsidRDefault="00DA3F26" w:rsidP="00DA3F26">
      <w:pPr>
        <w:ind w:firstLine="708"/>
        <w:jc w:val="both"/>
        <w:rPr>
          <w:lang w:val="de-DE"/>
        </w:rPr>
      </w:pPr>
      <w:r w:rsidRPr="004676F5">
        <w:rPr>
          <w:lang w:val="de-DE"/>
        </w:rPr>
        <w:t>Abweichend von Absatz 1 trägt der Zahler keinen Verlust, wenn:</w:t>
      </w:r>
    </w:p>
    <w:p w14:paraId="72FE5619" w14:textId="77777777" w:rsidR="00DA3F26" w:rsidRPr="004676F5" w:rsidRDefault="00DA3F26" w:rsidP="00DA3F26">
      <w:pPr>
        <w:ind w:firstLine="708"/>
        <w:jc w:val="both"/>
        <w:rPr>
          <w:lang w:val="de-DE"/>
        </w:rPr>
      </w:pPr>
    </w:p>
    <w:p w14:paraId="2239F6D8" w14:textId="77777777" w:rsidR="00DA3F26" w:rsidRPr="004676F5" w:rsidRDefault="00DA3F26" w:rsidP="00DA3F26">
      <w:pPr>
        <w:ind w:firstLine="708"/>
        <w:jc w:val="both"/>
        <w:rPr>
          <w:lang w:val="de-DE"/>
        </w:rPr>
      </w:pPr>
      <w:r w:rsidRPr="004676F5">
        <w:rPr>
          <w:lang w:val="de-DE"/>
        </w:rPr>
        <w:t>1. der Verlust, der Diebstahl oder die missbräuchliche Verwendung des Zahlungs</w:t>
      </w:r>
      <w:r w:rsidRPr="004676F5">
        <w:rPr>
          <w:lang w:val="de-DE"/>
        </w:rPr>
        <w:softHyphen/>
        <w:t>instruments für den Zahler vor einer Zahlung nicht bemerkbar war, es sei denn, der Zahler hat selbst in betrügerischer Absicht gehandelt, oder</w:t>
      </w:r>
    </w:p>
    <w:p w14:paraId="24BF7664" w14:textId="77777777" w:rsidR="00DA3F26" w:rsidRPr="004676F5" w:rsidRDefault="00DA3F26" w:rsidP="00DA3F26">
      <w:pPr>
        <w:ind w:firstLine="708"/>
        <w:jc w:val="both"/>
        <w:rPr>
          <w:lang w:val="de-DE"/>
        </w:rPr>
      </w:pPr>
    </w:p>
    <w:p w14:paraId="602D9D76" w14:textId="77777777" w:rsidR="00DA3F26" w:rsidRPr="004676F5" w:rsidRDefault="00DA3F26" w:rsidP="00DA3F26">
      <w:pPr>
        <w:ind w:firstLine="708"/>
        <w:jc w:val="both"/>
        <w:rPr>
          <w:lang w:val="de-DE"/>
        </w:rPr>
      </w:pPr>
      <w:r w:rsidRPr="004676F5">
        <w:rPr>
          <w:lang w:val="de-DE"/>
        </w:rPr>
        <w:lastRenderedPageBreak/>
        <w:t>2. der Verlust auf Handlungen oder Unterlassungen eines Arbeitnehmers, eines Agenten oder einer Zweigstelle eines Zahlungsdienstleisters oder einer Stelle, an die dessen Tätigkeiten ausgelagert wurden, zurückzuführen ist.</w:t>
      </w:r>
    </w:p>
    <w:p w14:paraId="50FEAE7A" w14:textId="77777777" w:rsidR="00DA3F26" w:rsidRPr="004676F5" w:rsidRDefault="00DA3F26" w:rsidP="00DA3F26">
      <w:pPr>
        <w:ind w:firstLine="708"/>
        <w:jc w:val="both"/>
        <w:rPr>
          <w:lang w:val="de-DE"/>
        </w:rPr>
      </w:pPr>
    </w:p>
    <w:p w14:paraId="55786CC3" w14:textId="77777777" w:rsidR="00DA3F26" w:rsidRPr="004676F5" w:rsidRDefault="00DA3F26" w:rsidP="00DA3F26">
      <w:pPr>
        <w:ind w:firstLine="708"/>
        <w:jc w:val="both"/>
        <w:rPr>
          <w:lang w:val="de-DE"/>
        </w:rPr>
      </w:pPr>
      <w:r w:rsidRPr="004676F5">
        <w:rPr>
          <w:lang w:val="de-DE"/>
        </w:rPr>
        <w:t>Der König kann weitere Fälle vorsehen, in denen Absatz 1 keine Anwendung findet, wobei er die künftige technologische Entwicklung bei der Verwendung von Zahlungs</w:t>
      </w:r>
      <w:r w:rsidRPr="004676F5">
        <w:rPr>
          <w:lang w:val="de-DE"/>
        </w:rPr>
        <w:softHyphen/>
        <w:t>instrumenten berücksichtigt und sofern der Zahler nicht in betrügerischer Absicht gehandelt oder vorsätzlich gegen seine Verpflichtungen nach Artikel VII.38 verstoßen hat.</w:t>
      </w:r>
    </w:p>
    <w:p w14:paraId="07F16B01" w14:textId="77777777" w:rsidR="00DA3F26" w:rsidRPr="004676F5" w:rsidRDefault="00DA3F26" w:rsidP="00DA3F26">
      <w:pPr>
        <w:ind w:firstLine="708"/>
        <w:jc w:val="both"/>
        <w:rPr>
          <w:lang w:val="de-DE"/>
        </w:rPr>
      </w:pPr>
    </w:p>
    <w:p w14:paraId="53A2C9FF" w14:textId="77777777" w:rsidR="00DA3F26" w:rsidRPr="004676F5" w:rsidRDefault="00DA3F26" w:rsidP="00DA3F26">
      <w:pPr>
        <w:ind w:firstLine="708"/>
        <w:jc w:val="both"/>
        <w:rPr>
          <w:lang w:val="de-DE"/>
        </w:rPr>
      </w:pPr>
      <w:r w:rsidRPr="004676F5">
        <w:rPr>
          <w:lang w:val="de-DE"/>
        </w:rPr>
        <w:t>Der Zahler trägt alle Verluste, die in Verbindung mit nicht autorisierten Zahlungs</w:t>
      </w:r>
      <w:r w:rsidRPr="004676F5">
        <w:rPr>
          <w:lang w:val="de-DE"/>
        </w:rPr>
        <w:softHyphen/>
        <w:t>vorgängen entstanden sind, wenn er sie in betrügerischer Absicht oder durch vorsätzliche oder grob fahrlässige Verletzung einer oder mehrerer der Verpflichtungen nach Artikel VII.38 herbeigeführt hat. In diesen Fällen findet der in Absatz 1 erwähnte Höchstbetrag keine Anwendung.</w:t>
      </w:r>
    </w:p>
    <w:p w14:paraId="272C242A" w14:textId="77777777" w:rsidR="00DA3F26" w:rsidRPr="004676F5" w:rsidRDefault="00DA3F26" w:rsidP="00DA3F26">
      <w:pPr>
        <w:ind w:firstLine="708"/>
        <w:jc w:val="both"/>
        <w:rPr>
          <w:lang w:val="de-DE"/>
        </w:rPr>
      </w:pPr>
    </w:p>
    <w:p w14:paraId="637421A4" w14:textId="67EE1332"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Verlangt der Zahlungsdienstleister des Zahlers keine starke Kundenauthenti</w:t>
      </w:r>
      <w:r w:rsidRPr="004676F5">
        <w:rPr>
          <w:lang w:val="de-DE"/>
        </w:rPr>
        <w:softHyphen/>
        <w:t>fizierung, so trägt der Zahler einen finanziellen Verlust nur, wenn der Zahler in betrügerischer Absicht gehandelt hat.</w:t>
      </w:r>
    </w:p>
    <w:p w14:paraId="793B8E3B" w14:textId="77777777" w:rsidR="00DA3F26" w:rsidRPr="004676F5" w:rsidRDefault="00DA3F26" w:rsidP="00DA3F26">
      <w:pPr>
        <w:ind w:firstLine="708"/>
        <w:jc w:val="both"/>
        <w:rPr>
          <w:lang w:val="de-DE"/>
        </w:rPr>
      </w:pPr>
    </w:p>
    <w:p w14:paraId="7CCC5EB9" w14:textId="77777777" w:rsidR="00DA3F26" w:rsidRPr="004676F5" w:rsidRDefault="00DA3F26" w:rsidP="00DA3F26">
      <w:pPr>
        <w:ind w:firstLine="708"/>
        <w:jc w:val="both"/>
        <w:rPr>
          <w:lang w:val="de-DE"/>
        </w:rPr>
      </w:pPr>
      <w:r w:rsidRPr="004676F5">
        <w:rPr>
          <w:lang w:val="de-DE"/>
        </w:rPr>
        <w:t>Akzeptiert der Zahlungsempfänger oder der Zahlungsdienstleister des Zahlungs</w:t>
      </w:r>
      <w:r w:rsidRPr="004676F5">
        <w:rPr>
          <w:lang w:val="de-DE"/>
        </w:rPr>
        <w:softHyphen/>
        <w:t>empfängers eine starke Kundenauthentifizierung nicht, muss er dem Zahlungsdienstleister des Zahlers den finanziellen Schaden ersetzen.</w:t>
      </w:r>
    </w:p>
    <w:p w14:paraId="475AD19F" w14:textId="77777777" w:rsidR="00DA3F26" w:rsidRPr="004676F5" w:rsidRDefault="00DA3F26" w:rsidP="00DA3F26">
      <w:pPr>
        <w:ind w:firstLine="708"/>
        <w:jc w:val="both"/>
        <w:rPr>
          <w:lang w:val="de-DE"/>
        </w:rPr>
      </w:pPr>
    </w:p>
    <w:p w14:paraId="0228A8B1" w14:textId="021B938A"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Nach einer Anzeige gemäß Artikel VII.38 § 1 Nr. 2 trägt der Zahler keine finanziellen Folgen aus der Nutzung des verlorenen, gestohlenen oder missbräuchlich verwendeten Zahlungsinstruments, es sei denn, der Zahlungsdienstleister erbringt den Nachweis, dass der Zahler in betrügerischer Absicht gehandelt hat.</w:t>
      </w:r>
    </w:p>
    <w:p w14:paraId="6CDC3F4D" w14:textId="77777777" w:rsidR="00DA3F26" w:rsidRPr="004676F5" w:rsidRDefault="00DA3F26" w:rsidP="00DA3F26">
      <w:pPr>
        <w:ind w:firstLine="708"/>
        <w:jc w:val="both"/>
        <w:rPr>
          <w:lang w:val="de-DE"/>
        </w:rPr>
      </w:pPr>
    </w:p>
    <w:p w14:paraId="5875653C" w14:textId="19736A63" w:rsidR="00DA3F26" w:rsidRPr="004676F5" w:rsidRDefault="00DA3F26" w:rsidP="00DA3F26">
      <w:pPr>
        <w:ind w:firstLine="708"/>
        <w:jc w:val="both"/>
        <w:rPr>
          <w:lang w:val="de-DE"/>
        </w:rPr>
      </w:pPr>
      <w:r w:rsidRPr="004676F5">
        <w:rPr>
          <w:lang w:val="de-DE"/>
        </w:rPr>
        <w:t>§ 4 </w:t>
      </w:r>
      <w:r w:rsidR="005B7A5C" w:rsidRPr="004676F5">
        <w:rPr>
          <w:lang w:val="de-DE"/>
        </w:rPr>
        <w:t>- </w:t>
      </w:r>
      <w:r w:rsidRPr="004676F5">
        <w:rPr>
          <w:lang w:val="de-DE"/>
        </w:rPr>
        <w:t>Die Beweislast in Bezug auf Betrug, Vorsätzlichkeit oder grobe Fahrlässigkeit liegt beim Zahlungsdienstleister.</w:t>
      </w:r>
    </w:p>
    <w:p w14:paraId="2AB98DBC" w14:textId="77777777" w:rsidR="00DA3F26" w:rsidRPr="004676F5" w:rsidRDefault="00DA3F26" w:rsidP="00DA3F26">
      <w:pPr>
        <w:ind w:firstLine="708"/>
        <w:jc w:val="both"/>
        <w:rPr>
          <w:lang w:val="de-DE"/>
        </w:rPr>
      </w:pPr>
    </w:p>
    <w:p w14:paraId="2B7F1E18" w14:textId="77777777" w:rsidR="00DA3F26" w:rsidRPr="004676F5" w:rsidRDefault="00DA3F26" w:rsidP="00DA3F26">
      <w:pPr>
        <w:ind w:firstLine="708"/>
        <w:jc w:val="both"/>
        <w:rPr>
          <w:lang w:val="de-DE"/>
        </w:rPr>
      </w:pPr>
      <w:r w:rsidRPr="004676F5">
        <w:rPr>
          <w:lang w:val="de-DE"/>
        </w:rPr>
        <w:t>Unbeschadet der Anwendung von Absatz 3 gelten als grobe Fahrlässigkeit wie in § 1 erwähnt unter anderem die Tatsache, dass der Zahler seine personalisierten Sicherheits</w:t>
      </w:r>
      <w:r w:rsidRPr="004676F5">
        <w:rPr>
          <w:lang w:val="de-DE"/>
        </w:rPr>
        <w:softHyphen/>
        <w:t>merkmale wie seine persönliche Identifikationsnummer oder jeglichen sonstigen Code in leicht erkennbarer Form insbesondere auf dem Zahlungsinstrument selbst oder auf jeglichem Gegenstand oder Zettel vermerkt, den er zusammen mit dem Instrument aufbewahrt oder bei sich führt, und die Tatsache, dass er dem Zahlungsdienstleister oder der von diesem benannten Stelle Verlust oder Diebstahl nicht gemäß Artikel VII.38 § 1 Nr. 2 unverzüglich anzeigt, sobald er davon Kenntnis erhält.</w:t>
      </w:r>
    </w:p>
    <w:p w14:paraId="46B24C6B" w14:textId="77777777" w:rsidR="00DA3F26" w:rsidRPr="004676F5" w:rsidRDefault="00DA3F26" w:rsidP="00DA3F26">
      <w:pPr>
        <w:ind w:firstLine="708"/>
        <w:jc w:val="both"/>
        <w:rPr>
          <w:lang w:val="de-DE"/>
        </w:rPr>
      </w:pPr>
    </w:p>
    <w:p w14:paraId="412A8C92" w14:textId="77777777" w:rsidR="00DA3F26" w:rsidRPr="004676F5" w:rsidRDefault="00DA3F26" w:rsidP="00DA3F26">
      <w:pPr>
        <w:ind w:firstLine="708"/>
        <w:jc w:val="both"/>
        <w:rPr>
          <w:lang w:val="de-DE"/>
        </w:rPr>
      </w:pPr>
      <w:r w:rsidRPr="004676F5">
        <w:rPr>
          <w:lang w:val="de-DE"/>
        </w:rPr>
        <w:t>Für die Beurteilung der Fahrlässigkeit trägt der Richter allen tatsächlichen Umständen Rechnung. Die Vorlage seitens des Zahlungsdienstleisters der in Artikel VII.42 erwähnten Aufzeichnungen und die Verwendung des Zahlungsinstruments mit dem nur vom Zahlungsdienstnutzer selbst gekannten Code stellen keine ausreichende Vermutung seiner Fahrlässigkeit dar.</w:t>
      </w:r>
    </w:p>
    <w:p w14:paraId="185FA5DE" w14:textId="4985650E" w:rsidR="00DA3F26" w:rsidRPr="004676F5" w:rsidRDefault="00DA3F26" w:rsidP="00DA3F26">
      <w:pPr>
        <w:ind w:firstLine="708"/>
        <w:jc w:val="both"/>
        <w:rPr>
          <w:lang w:val="de-DE"/>
        </w:rPr>
      </w:pPr>
    </w:p>
    <w:p w14:paraId="1D82A7C0" w14:textId="77777777" w:rsidR="007E2AED" w:rsidRPr="004676F5" w:rsidRDefault="007E2AED" w:rsidP="00DA3F26">
      <w:pPr>
        <w:ind w:firstLine="708"/>
        <w:jc w:val="both"/>
        <w:rPr>
          <w:lang w:val="de-DE"/>
        </w:rPr>
      </w:pPr>
    </w:p>
    <w:p w14:paraId="286AED8C" w14:textId="5463537B" w:rsidR="00DA3F26" w:rsidRPr="004676F5" w:rsidRDefault="00DA3F26" w:rsidP="00DA3F26">
      <w:pPr>
        <w:ind w:firstLine="708"/>
        <w:jc w:val="both"/>
        <w:rPr>
          <w:lang w:val="de-DE"/>
        </w:rPr>
      </w:pPr>
      <w:r w:rsidRPr="004676F5">
        <w:rPr>
          <w:b/>
          <w:lang w:val="de-DE"/>
        </w:rPr>
        <w:t>Art. VII.45</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Wird ein Zahlungsvorgang im Zusammenhang mit einem karten</w:t>
      </w:r>
      <w:r w:rsidRPr="004676F5">
        <w:rPr>
          <w:lang w:val="de-DE"/>
        </w:rPr>
        <w:softHyphen/>
        <w:t xml:space="preserve">gebundenen Zahlungsvorgang vom Zahlungsempfänger oder über diesen ausgelöst und ist dabei der genaue Betrag zu dem Zeitpunkt, zu dem der Zahler seine Zustimmung zur Ausführung des Zahlungsvorgangs erteilt, nicht bekannt, so darf der Zahlungsdienstleister des </w:t>
      </w:r>
      <w:r w:rsidRPr="004676F5">
        <w:rPr>
          <w:lang w:val="de-DE"/>
        </w:rPr>
        <w:lastRenderedPageBreak/>
        <w:t>Zahlers einen Geldbetrag auf dem Zahlungskonto des Zahlers nur blockieren, wenn der Zahler der genauen Höhe des zu blockierenden Geldbetrags, zugestimmt hat.</w:t>
      </w:r>
    </w:p>
    <w:p w14:paraId="2927DAAB" w14:textId="77777777" w:rsidR="00DA3F26" w:rsidRPr="004676F5" w:rsidRDefault="00DA3F26" w:rsidP="00DA3F26">
      <w:pPr>
        <w:ind w:firstLine="708"/>
        <w:jc w:val="both"/>
        <w:rPr>
          <w:lang w:val="de-DE"/>
        </w:rPr>
      </w:pPr>
    </w:p>
    <w:p w14:paraId="78FC9E8B" w14:textId="77777777" w:rsidR="00DA3F26" w:rsidRPr="004676F5" w:rsidRDefault="00DA3F26" w:rsidP="00DA3F26">
      <w:pPr>
        <w:ind w:firstLine="708"/>
        <w:jc w:val="both"/>
        <w:rPr>
          <w:lang w:val="de-DE"/>
        </w:rPr>
      </w:pPr>
      <w:r w:rsidRPr="004676F5">
        <w:rPr>
          <w:lang w:val="de-DE"/>
        </w:rPr>
        <w:t>Möchte der Zahlungsempfänger eine solche Blockierung für einen Kartenzahlungs</w:t>
      </w:r>
      <w:r w:rsidRPr="004676F5">
        <w:rPr>
          <w:lang w:val="de-DE"/>
        </w:rPr>
        <w:softHyphen/>
        <w:t>vorgang ausüben, wird der Zahler vorab vom Zahlungsempfänger darüber informiert.</w:t>
      </w:r>
    </w:p>
    <w:p w14:paraId="0E5B4531" w14:textId="77777777" w:rsidR="00DA3F26" w:rsidRPr="004676F5" w:rsidRDefault="00DA3F26" w:rsidP="00DA3F26">
      <w:pPr>
        <w:ind w:firstLine="708"/>
        <w:jc w:val="both"/>
        <w:rPr>
          <w:lang w:val="de-DE"/>
        </w:rPr>
      </w:pPr>
    </w:p>
    <w:p w14:paraId="5E7A24AB" w14:textId="1C9C82ED"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Der Zahlungsdienstleister des Zahlers gibt den Geldbetrag, der gemäß § 1 auf dem Zahlungskonto des Zahlers blockiert ist, unverzüglich nach Eingang der Information über den genauen Betrag des Zahlungsvorgangs, spätestens jedoch unverzüglich nach Eingang des Zahlungsauftrags frei.</w:t>
      </w:r>
    </w:p>
    <w:p w14:paraId="0EDD92FC" w14:textId="386A262D" w:rsidR="00DA3F26" w:rsidRPr="004676F5" w:rsidRDefault="00DA3F26" w:rsidP="00DA3F26">
      <w:pPr>
        <w:ind w:firstLine="708"/>
        <w:rPr>
          <w:lang w:val="de-DE"/>
        </w:rPr>
      </w:pPr>
    </w:p>
    <w:p w14:paraId="5B475361" w14:textId="77777777" w:rsidR="007E2AED" w:rsidRPr="004676F5" w:rsidRDefault="007E2AED" w:rsidP="00DA3F26">
      <w:pPr>
        <w:ind w:firstLine="708"/>
        <w:rPr>
          <w:lang w:val="de-DE"/>
        </w:rPr>
      </w:pPr>
    </w:p>
    <w:p w14:paraId="655C7F5F" w14:textId="2450F5B7" w:rsidR="00DA3F26" w:rsidRPr="004676F5" w:rsidRDefault="00DA3F26" w:rsidP="00DA3F26">
      <w:pPr>
        <w:jc w:val="center"/>
        <w:rPr>
          <w:lang w:val="de-DE"/>
        </w:rPr>
      </w:pPr>
      <w:r w:rsidRPr="004676F5">
        <w:rPr>
          <w:lang w:val="de-DE"/>
        </w:rPr>
        <w:t>Unterabschnitt 7 </w:t>
      </w:r>
      <w:r w:rsidR="005B7A5C" w:rsidRPr="004676F5">
        <w:rPr>
          <w:lang w:val="de-DE"/>
        </w:rPr>
        <w:t>- </w:t>
      </w:r>
      <w:r w:rsidRPr="004676F5">
        <w:rPr>
          <w:lang w:val="de-DE"/>
        </w:rPr>
        <w:t>Erstattung eines von einem Zahlungsempfänger oder über diesen ausgelösten Zahlungsvorgangs</w:t>
      </w:r>
    </w:p>
    <w:p w14:paraId="288F57B3" w14:textId="5A569192" w:rsidR="00DA3F26" w:rsidRPr="004676F5" w:rsidRDefault="00DA3F26" w:rsidP="00DA3F26">
      <w:pPr>
        <w:jc w:val="both"/>
        <w:rPr>
          <w:lang w:val="de-DE"/>
        </w:rPr>
      </w:pPr>
    </w:p>
    <w:p w14:paraId="461B6601" w14:textId="77777777" w:rsidR="007E2AED" w:rsidRPr="004676F5" w:rsidRDefault="007E2AED" w:rsidP="00DA3F26">
      <w:pPr>
        <w:jc w:val="both"/>
        <w:rPr>
          <w:lang w:val="de-DE"/>
        </w:rPr>
      </w:pPr>
    </w:p>
    <w:p w14:paraId="1E242EFE" w14:textId="34A4AC21" w:rsidR="00DA3F26" w:rsidRPr="004676F5" w:rsidRDefault="00DA3F26" w:rsidP="00DA3F26">
      <w:pPr>
        <w:ind w:firstLine="708"/>
        <w:jc w:val="both"/>
        <w:rPr>
          <w:lang w:val="de-DE"/>
        </w:rPr>
      </w:pPr>
      <w:r w:rsidRPr="004676F5">
        <w:rPr>
          <w:b/>
          <w:lang w:val="de-DE"/>
        </w:rPr>
        <w:t>Art. VII.46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Zahlungsdienstleister des Zahlers muss dem Zahler einen autorisierten und von einem Zahlungsempfänger oder über diesen ausgelösten und bereits ausgeführten Zahlungsvorgang erstatten, wenn folgende Voraussetzungen beide erfüllt sind:</w:t>
      </w:r>
    </w:p>
    <w:p w14:paraId="6D2B8C41" w14:textId="77777777" w:rsidR="00DA3F26" w:rsidRPr="004676F5" w:rsidRDefault="00DA3F26" w:rsidP="00DA3F26">
      <w:pPr>
        <w:ind w:firstLine="708"/>
        <w:jc w:val="both"/>
        <w:rPr>
          <w:lang w:val="de-DE"/>
        </w:rPr>
      </w:pPr>
    </w:p>
    <w:p w14:paraId="3AB08C7B" w14:textId="77777777" w:rsidR="00DA3F26" w:rsidRPr="004676F5" w:rsidRDefault="00DA3F26" w:rsidP="00DA3F26">
      <w:pPr>
        <w:ind w:firstLine="708"/>
        <w:jc w:val="both"/>
        <w:rPr>
          <w:lang w:val="de-DE"/>
        </w:rPr>
      </w:pPr>
      <w:r w:rsidRPr="004676F5">
        <w:rPr>
          <w:lang w:val="de-DE"/>
        </w:rPr>
        <w:t>1. Bei der Autorisierung wurde der genaue Betrag des Zahlungsvorgangs nicht angegeben.</w:t>
      </w:r>
    </w:p>
    <w:p w14:paraId="220A0FB2" w14:textId="77777777" w:rsidR="00DA3F26" w:rsidRPr="004676F5" w:rsidRDefault="00DA3F26" w:rsidP="00DA3F26">
      <w:pPr>
        <w:ind w:firstLine="708"/>
        <w:jc w:val="both"/>
        <w:rPr>
          <w:lang w:val="de-DE"/>
        </w:rPr>
      </w:pPr>
    </w:p>
    <w:p w14:paraId="7708DE4D" w14:textId="77777777" w:rsidR="00DA3F26" w:rsidRPr="004676F5" w:rsidRDefault="00DA3F26" w:rsidP="00DA3F26">
      <w:pPr>
        <w:ind w:firstLine="708"/>
        <w:jc w:val="both"/>
        <w:rPr>
          <w:lang w:val="de-DE"/>
        </w:rPr>
      </w:pPr>
      <w:r w:rsidRPr="004676F5">
        <w:rPr>
          <w:lang w:val="de-DE"/>
        </w:rPr>
        <w:t>2. Der Betrag des Zahlungsvorgangs übersteigt den Betrag, den der Zahler entsprechend seinem bisherigen Ausgabeverhalten, den Bedingungen seines Rahmenvertrags und den jeweiligen Umständen des Einzelfalls vernünftigerweise hätte erwarten können.</w:t>
      </w:r>
    </w:p>
    <w:p w14:paraId="2A452A7B" w14:textId="77777777" w:rsidR="00DA3F26" w:rsidRPr="004676F5" w:rsidRDefault="00DA3F26" w:rsidP="00DA3F26">
      <w:pPr>
        <w:ind w:firstLine="708"/>
        <w:jc w:val="both"/>
        <w:rPr>
          <w:lang w:val="de-DE"/>
        </w:rPr>
      </w:pPr>
    </w:p>
    <w:p w14:paraId="3A7B89ED" w14:textId="77777777" w:rsidR="00DA3F26" w:rsidRPr="004676F5" w:rsidRDefault="00DA3F26" w:rsidP="00DA3F26">
      <w:pPr>
        <w:ind w:firstLine="708"/>
        <w:jc w:val="both"/>
        <w:rPr>
          <w:lang w:val="de-DE"/>
        </w:rPr>
      </w:pPr>
      <w:r w:rsidRPr="004676F5">
        <w:rPr>
          <w:lang w:val="de-DE"/>
        </w:rPr>
        <w:t>Auf Verlangen des Zahlungsdienstleisters muss der Zahler nachweisen, dass diese Bedingungen erfüllt sind.</w:t>
      </w:r>
    </w:p>
    <w:p w14:paraId="30670963" w14:textId="77777777" w:rsidR="00DA3F26" w:rsidRPr="004676F5" w:rsidRDefault="00DA3F26" w:rsidP="00DA3F26">
      <w:pPr>
        <w:ind w:firstLine="708"/>
        <w:jc w:val="both"/>
        <w:rPr>
          <w:lang w:val="de-DE"/>
        </w:rPr>
      </w:pPr>
    </w:p>
    <w:p w14:paraId="7BDFEEF5" w14:textId="77777777" w:rsidR="00DA3F26" w:rsidRPr="004676F5" w:rsidRDefault="00DA3F26" w:rsidP="00DA3F26">
      <w:pPr>
        <w:ind w:firstLine="708"/>
        <w:jc w:val="both"/>
        <w:rPr>
          <w:lang w:val="de-DE"/>
        </w:rPr>
      </w:pPr>
      <w:r w:rsidRPr="004676F5">
        <w:rPr>
          <w:lang w:val="de-DE"/>
        </w:rPr>
        <w:t>Erstattet wird der vollständige Betrag des ausgeführten Zahlungsvorgangs.</w:t>
      </w:r>
    </w:p>
    <w:p w14:paraId="58DF1E98" w14:textId="77777777" w:rsidR="00DA3F26" w:rsidRPr="004676F5" w:rsidRDefault="00DA3F26" w:rsidP="00DA3F26">
      <w:pPr>
        <w:ind w:firstLine="708"/>
        <w:jc w:val="both"/>
        <w:rPr>
          <w:lang w:val="de-DE"/>
        </w:rPr>
      </w:pPr>
    </w:p>
    <w:p w14:paraId="02A59526" w14:textId="77777777" w:rsidR="00DA3F26" w:rsidRPr="004676F5" w:rsidRDefault="00DA3F26" w:rsidP="00DA3F26">
      <w:pPr>
        <w:ind w:firstLine="708"/>
        <w:jc w:val="both"/>
        <w:rPr>
          <w:lang w:val="de-DE"/>
        </w:rPr>
      </w:pPr>
      <w:r w:rsidRPr="004676F5">
        <w:rPr>
          <w:lang w:val="de-DE"/>
        </w:rPr>
        <w:t>Der Betrag auf dem Zahlungskonto des Zahlers wird spätestens zum Datum der Belastung des Kontos wertgestellt.</w:t>
      </w:r>
    </w:p>
    <w:p w14:paraId="255783CF" w14:textId="77777777" w:rsidR="00DA3F26" w:rsidRPr="004676F5" w:rsidRDefault="00DA3F26" w:rsidP="00DA3F26">
      <w:pPr>
        <w:ind w:firstLine="708"/>
        <w:jc w:val="both"/>
        <w:rPr>
          <w:lang w:val="de-DE"/>
        </w:rPr>
      </w:pPr>
    </w:p>
    <w:p w14:paraId="29686E1A" w14:textId="77777777" w:rsidR="00DA3F26" w:rsidRPr="004676F5" w:rsidRDefault="00DA3F26" w:rsidP="00DA3F26">
      <w:pPr>
        <w:ind w:firstLine="708"/>
        <w:jc w:val="both"/>
        <w:rPr>
          <w:lang w:val="de-DE"/>
        </w:rPr>
      </w:pPr>
      <w:r w:rsidRPr="004676F5">
        <w:rPr>
          <w:lang w:val="de-DE"/>
        </w:rPr>
        <w:t>Unbeschadet des Paragraphen 3 und zusätzlich zu dem Anspruch nach Absatz 1 hat der Zahler bei Lastschriften nach Artikel 1 der Verordnung (EU) Nr. 260/2012 einen bedingungslosen Anspruch auf Erstattung innerhalb der Fristen des Artikels VII.47.</w:t>
      </w:r>
    </w:p>
    <w:p w14:paraId="26549405" w14:textId="77777777" w:rsidR="00DA3F26" w:rsidRPr="004676F5" w:rsidRDefault="00DA3F26" w:rsidP="00DA3F26">
      <w:pPr>
        <w:ind w:firstLine="708"/>
        <w:jc w:val="both"/>
        <w:rPr>
          <w:lang w:val="de-DE"/>
        </w:rPr>
      </w:pPr>
    </w:p>
    <w:p w14:paraId="15BF3C9D" w14:textId="4F71542E"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Jedoch darf der Zahler für die Zwecke von § 1 Absatz 1 Nr. 2 keine mit einem Währungsumtausch zusammenhängenden Gründe geltend machen, wenn der mit seinem Zahlungsdienstleister nach Maßgabe der Artikel VII.15 § 1 Nr. 4 und VII.22 Nr. 3 Buchstabe </w:t>
      </w:r>
      <w:r w:rsidRPr="004676F5">
        <w:rPr>
          <w:i/>
          <w:lang w:val="de-DE"/>
        </w:rPr>
        <w:t>b)</w:t>
      </w:r>
      <w:r w:rsidRPr="004676F5">
        <w:rPr>
          <w:lang w:val="de-DE"/>
        </w:rPr>
        <w:t xml:space="preserve"> vereinbarte Referenzwechselkurs zugrunde gelegt wurde.</w:t>
      </w:r>
    </w:p>
    <w:p w14:paraId="648520BC" w14:textId="77777777" w:rsidR="00DA3F26" w:rsidRPr="004676F5" w:rsidRDefault="00DA3F26" w:rsidP="00DA3F26">
      <w:pPr>
        <w:ind w:firstLine="708"/>
        <w:jc w:val="both"/>
        <w:rPr>
          <w:lang w:val="de-DE"/>
        </w:rPr>
      </w:pPr>
    </w:p>
    <w:p w14:paraId="6245B3FF" w14:textId="188375BF"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Im Rahmenvertrag zwischen dem Zahler und dem Zahlungsdienstleister kann vereinbart werden, dass der Zahler keinen Anspruch auf Erstattung hat, wenn:</w:t>
      </w:r>
    </w:p>
    <w:p w14:paraId="27172677" w14:textId="77777777" w:rsidR="00DA3F26" w:rsidRPr="004676F5" w:rsidRDefault="00DA3F26" w:rsidP="00DA3F26">
      <w:pPr>
        <w:ind w:firstLine="708"/>
        <w:jc w:val="both"/>
        <w:rPr>
          <w:lang w:val="de-DE"/>
        </w:rPr>
      </w:pPr>
    </w:p>
    <w:p w14:paraId="3E2B5B21" w14:textId="77777777" w:rsidR="00DA3F26" w:rsidRPr="004676F5" w:rsidRDefault="00DA3F26" w:rsidP="00DA3F26">
      <w:pPr>
        <w:ind w:firstLine="708"/>
        <w:jc w:val="both"/>
        <w:rPr>
          <w:lang w:val="de-DE"/>
        </w:rPr>
      </w:pPr>
      <w:r w:rsidRPr="004676F5">
        <w:rPr>
          <w:lang w:val="de-DE"/>
        </w:rPr>
        <w:t>1. er seine Zustimmung zur Ausführung des Zahlungsvorgangs dem Zahlungsdienst</w:t>
      </w:r>
      <w:r w:rsidRPr="004676F5">
        <w:rPr>
          <w:lang w:val="de-DE"/>
        </w:rPr>
        <w:softHyphen/>
        <w:t>leister direkt erteilt hat und</w:t>
      </w:r>
    </w:p>
    <w:p w14:paraId="2053C7CC" w14:textId="77777777" w:rsidR="00DA3F26" w:rsidRPr="004676F5" w:rsidRDefault="00DA3F26" w:rsidP="00DA3F26">
      <w:pPr>
        <w:ind w:firstLine="708"/>
        <w:jc w:val="both"/>
        <w:rPr>
          <w:lang w:val="de-DE"/>
        </w:rPr>
      </w:pPr>
    </w:p>
    <w:p w14:paraId="4924A989" w14:textId="77777777" w:rsidR="00DA3F26" w:rsidRPr="004676F5" w:rsidRDefault="00DA3F26" w:rsidP="00DA3F26">
      <w:pPr>
        <w:ind w:firstLine="708"/>
        <w:jc w:val="both"/>
        <w:rPr>
          <w:lang w:val="de-DE"/>
        </w:rPr>
      </w:pPr>
      <w:r w:rsidRPr="004676F5">
        <w:rPr>
          <w:lang w:val="de-DE"/>
        </w:rPr>
        <w:lastRenderedPageBreak/>
        <w:t>2. ihm die Informationen über den anstehenden Zahlungsvorgang in einer vereinbarten Form mindestens vier Wochen vor dem Fälligkeitstermin vom Zahlungsdienstleister oder vom Zahlungsempfänger mitgeteilt oder zugänglich gemacht wurden.</w:t>
      </w:r>
    </w:p>
    <w:p w14:paraId="1E88D11A" w14:textId="242517A5" w:rsidR="00DA3F26" w:rsidRPr="004676F5" w:rsidRDefault="00DA3F26" w:rsidP="00DA3F26">
      <w:pPr>
        <w:ind w:firstLine="708"/>
        <w:jc w:val="both"/>
        <w:rPr>
          <w:lang w:val="de-DE"/>
        </w:rPr>
      </w:pPr>
    </w:p>
    <w:p w14:paraId="3E08E245" w14:textId="77777777" w:rsidR="007E2AED" w:rsidRPr="004676F5" w:rsidRDefault="007E2AED" w:rsidP="00DA3F26">
      <w:pPr>
        <w:ind w:firstLine="708"/>
        <w:jc w:val="both"/>
        <w:rPr>
          <w:lang w:val="de-DE"/>
        </w:rPr>
      </w:pPr>
    </w:p>
    <w:p w14:paraId="01CA8E3E" w14:textId="593AE5CB" w:rsidR="00DA3F26" w:rsidRPr="004676F5" w:rsidRDefault="00DA3F26" w:rsidP="00DA3F26">
      <w:pPr>
        <w:ind w:firstLine="708"/>
        <w:jc w:val="both"/>
        <w:rPr>
          <w:lang w:val="de-DE"/>
        </w:rPr>
      </w:pPr>
      <w:r w:rsidRPr="004676F5">
        <w:rPr>
          <w:b/>
          <w:lang w:val="de-DE"/>
        </w:rPr>
        <w:t>Art. VII.47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Zahler kann die Erstattung eines autorisierten und von einem Zahlungs</w:t>
      </w:r>
      <w:r w:rsidRPr="004676F5">
        <w:rPr>
          <w:lang w:val="de-DE"/>
        </w:rPr>
        <w:softHyphen/>
        <w:t>empfänger oder über diesen ausgelösten Zahlungsvorgangs nach Artikel VII.46 innerhalb acht Wochen ab dem Zeitpunkt der Belastung des betreffenden Geldbetrags verlangen.</w:t>
      </w:r>
    </w:p>
    <w:p w14:paraId="52BF920D" w14:textId="77777777" w:rsidR="00DA3F26" w:rsidRPr="004676F5" w:rsidRDefault="00DA3F26" w:rsidP="00DA3F26">
      <w:pPr>
        <w:ind w:firstLine="708"/>
        <w:jc w:val="both"/>
        <w:rPr>
          <w:lang w:val="de-DE"/>
        </w:rPr>
      </w:pPr>
    </w:p>
    <w:p w14:paraId="1A52D90A" w14:textId="4AFAEF14"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Der Zahlungsdienstleister erstattet innerhalb zehn Geschäftstagen nach Erhalt eines Erstattungsbegehrens entweder den vollständigen Betrag des Zahlungsvorgangs oder teilt dem Zahler die Gründe für die Ablehnung der Erstattung unter Angabe der Stellen mit, an die sich der Zahler nach den Bestimmungen von Buch XV und des Artikels VII.216 wenden kann, wenn er diese Begründung nicht akzeptiert.</w:t>
      </w:r>
    </w:p>
    <w:p w14:paraId="775D16B7" w14:textId="77777777" w:rsidR="00DA3F26" w:rsidRPr="004676F5" w:rsidRDefault="00DA3F26" w:rsidP="00DA3F26">
      <w:pPr>
        <w:ind w:firstLine="708"/>
        <w:jc w:val="both"/>
        <w:rPr>
          <w:lang w:val="de-DE"/>
        </w:rPr>
      </w:pPr>
    </w:p>
    <w:p w14:paraId="493D72A0" w14:textId="77777777" w:rsidR="00DA3F26" w:rsidRPr="004676F5" w:rsidRDefault="00DA3F26" w:rsidP="00DA3F26">
      <w:pPr>
        <w:ind w:firstLine="708"/>
        <w:jc w:val="both"/>
        <w:rPr>
          <w:lang w:val="de-DE"/>
        </w:rPr>
      </w:pPr>
      <w:r w:rsidRPr="004676F5">
        <w:rPr>
          <w:lang w:val="de-DE"/>
        </w:rPr>
        <w:t>Das Recht des Zahlungsdienstleisters nach Absatz 1, eine Erstattung abzulehnen, erstreckt sich nicht auf den Fall nach Artikel VII.46 § 1 letzter Absatz.</w:t>
      </w:r>
    </w:p>
    <w:p w14:paraId="55633F9D" w14:textId="75DD35EC" w:rsidR="00DA3F26" w:rsidRPr="004676F5" w:rsidRDefault="00DA3F26" w:rsidP="00DA3F26">
      <w:pPr>
        <w:ind w:firstLine="708"/>
        <w:jc w:val="both"/>
        <w:rPr>
          <w:lang w:val="de-DE"/>
        </w:rPr>
      </w:pPr>
    </w:p>
    <w:p w14:paraId="426A9C2A" w14:textId="77777777" w:rsidR="007E2AED" w:rsidRPr="004676F5" w:rsidRDefault="007E2AED" w:rsidP="00DA3F26">
      <w:pPr>
        <w:ind w:firstLine="708"/>
        <w:jc w:val="both"/>
        <w:rPr>
          <w:lang w:val="de-DE"/>
        </w:rPr>
      </w:pPr>
    </w:p>
    <w:p w14:paraId="5B8C3B8E" w14:textId="3CE8D4D3" w:rsidR="00DA3F26" w:rsidRPr="004676F5" w:rsidRDefault="00DA3F26" w:rsidP="00DA3F26">
      <w:pPr>
        <w:jc w:val="center"/>
        <w:rPr>
          <w:lang w:val="de-DE"/>
        </w:rPr>
      </w:pPr>
      <w:r w:rsidRPr="004676F5">
        <w:rPr>
          <w:i/>
          <w:lang w:val="de-DE"/>
        </w:rPr>
        <w:t>Abschnitt 3 </w:t>
      </w:r>
      <w:r w:rsidR="005B7A5C" w:rsidRPr="004676F5">
        <w:rPr>
          <w:i/>
          <w:lang w:val="de-DE"/>
        </w:rPr>
        <w:t>- </w:t>
      </w:r>
      <w:r w:rsidRPr="004676F5">
        <w:rPr>
          <w:lang w:val="de-DE"/>
        </w:rPr>
        <w:t>Ausführung von Zahlungsvorgängen</w:t>
      </w:r>
    </w:p>
    <w:p w14:paraId="2DD5A867" w14:textId="0EF5D3CC" w:rsidR="00DA3F26" w:rsidRPr="004676F5" w:rsidRDefault="00DA3F26" w:rsidP="00DA3F26">
      <w:pPr>
        <w:rPr>
          <w:lang w:val="de-DE"/>
        </w:rPr>
      </w:pPr>
    </w:p>
    <w:p w14:paraId="07CAF91A" w14:textId="77777777" w:rsidR="007E2AED" w:rsidRPr="004676F5" w:rsidRDefault="007E2AED" w:rsidP="00DA3F26">
      <w:pPr>
        <w:rPr>
          <w:lang w:val="de-DE"/>
        </w:rPr>
      </w:pPr>
    </w:p>
    <w:p w14:paraId="78AA4DE2" w14:textId="781BF76D" w:rsidR="00DA3F26" w:rsidRPr="004676F5" w:rsidRDefault="00DA3F26" w:rsidP="00DA3F26">
      <w:pPr>
        <w:jc w:val="center"/>
        <w:rPr>
          <w:lang w:val="de-DE"/>
        </w:rPr>
      </w:pPr>
      <w:r w:rsidRPr="004676F5">
        <w:rPr>
          <w:lang w:val="de-DE"/>
        </w:rPr>
        <w:t>Unterabschnitt 1 </w:t>
      </w:r>
      <w:r w:rsidR="005B7A5C" w:rsidRPr="004676F5">
        <w:rPr>
          <w:lang w:val="de-DE"/>
        </w:rPr>
        <w:t>- </w:t>
      </w:r>
      <w:r w:rsidRPr="004676F5">
        <w:rPr>
          <w:lang w:val="de-DE"/>
        </w:rPr>
        <w:t>Zahlungsaufträge und transferierte Beträge</w:t>
      </w:r>
    </w:p>
    <w:p w14:paraId="387AC878" w14:textId="10C31292" w:rsidR="00DA3F26" w:rsidRPr="004676F5" w:rsidRDefault="00DA3F26" w:rsidP="00DA3F26">
      <w:pPr>
        <w:jc w:val="both"/>
        <w:rPr>
          <w:lang w:val="de-DE"/>
        </w:rPr>
      </w:pPr>
    </w:p>
    <w:p w14:paraId="26AC2064" w14:textId="77777777" w:rsidR="007E2AED" w:rsidRPr="004676F5" w:rsidRDefault="007E2AED" w:rsidP="00DA3F26">
      <w:pPr>
        <w:jc w:val="both"/>
        <w:rPr>
          <w:lang w:val="de-DE"/>
        </w:rPr>
      </w:pPr>
    </w:p>
    <w:p w14:paraId="596976B0" w14:textId="4BAF5BBE" w:rsidR="00DA3F26" w:rsidRPr="004676F5" w:rsidRDefault="00DA3F26" w:rsidP="00DA3F26">
      <w:pPr>
        <w:ind w:firstLine="708"/>
        <w:jc w:val="both"/>
        <w:rPr>
          <w:lang w:val="de-DE"/>
        </w:rPr>
      </w:pPr>
      <w:r w:rsidRPr="004676F5">
        <w:rPr>
          <w:b/>
          <w:lang w:val="de-DE"/>
        </w:rPr>
        <w:t>Art. VII.48</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Zeitpunkt des Eingangs eines Zahlungsauftrags ist der Zeitpunkt, an dem der Zahlungsauftrag beim Zahlungsdienstleister des Zahlers eingeht.</w:t>
      </w:r>
    </w:p>
    <w:p w14:paraId="3DFB28A3" w14:textId="77777777" w:rsidR="00DA3F26" w:rsidRPr="004676F5" w:rsidRDefault="00DA3F26" w:rsidP="00DA3F26">
      <w:pPr>
        <w:ind w:firstLine="708"/>
        <w:jc w:val="both"/>
        <w:rPr>
          <w:lang w:val="de-DE"/>
        </w:rPr>
      </w:pPr>
    </w:p>
    <w:p w14:paraId="6752C1DD" w14:textId="77777777" w:rsidR="00DA3F26" w:rsidRPr="004676F5" w:rsidRDefault="00DA3F26" w:rsidP="00DA3F26">
      <w:pPr>
        <w:ind w:firstLine="708"/>
        <w:jc w:val="both"/>
        <w:rPr>
          <w:lang w:val="de-DE"/>
        </w:rPr>
      </w:pPr>
      <w:r w:rsidRPr="004676F5">
        <w:rPr>
          <w:lang w:val="de-DE"/>
        </w:rPr>
        <w:t>Das Konto des Zahlers darf nicht vor dem Eingang des Zahlungsauftrags belastet werden.</w:t>
      </w:r>
    </w:p>
    <w:p w14:paraId="6CE43484" w14:textId="77777777" w:rsidR="00DA3F26" w:rsidRPr="004676F5" w:rsidRDefault="00DA3F26" w:rsidP="00DA3F26">
      <w:pPr>
        <w:ind w:firstLine="708"/>
        <w:jc w:val="both"/>
        <w:rPr>
          <w:lang w:val="de-DE"/>
        </w:rPr>
      </w:pPr>
    </w:p>
    <w:p w14:paraId="09BFA81D" w14:textId="77777777" w:rsidR="00DA3F26" w:rsidRPr="004676F5" w:rsidRDefault="00DA3F26" w:rsidP="00DA3F26">
      <w:pPr>
        <w:ind w:firstLine="708"/>
        <w:jc w:val="both"/>
        <w:rPr>
          <w:lang w:val="de-DE"/>
        </w:rPr>
      </w:pPr>
      <w:r w:rsidRPr="004676F5">
        <w:rPr>
          <w:lang w:val="de-DE"/>
        </w:rPr>
        <w:t>Fällt der Zeitpunkt des Eingangs nicht auf einen Geschäftstag des Zahlungsdienstleisters des Zahlers, so gilt der Zahlungsauftrag als am darauf folgenden Geschäftstag eingegangen.</w:t>
      </w:r>
    </w:p>
    <w:p w14:paraId="18A11344" w14:textId="77777777" w:rsidR="00DA3F26" w:rsidRPr="004676F5" w:rsidRDefault="00DA3F26" w:rsidP="00DA3F26">
      <w:pPr>
        <w:ind w:firstLine="708"/>
        <w:jc w:val="both"/>
        <w:rPr>
          <w:lang w:val="de-DE"/>
        </w:rPr>
      </w:pPr>
    </w:p>
    <w:p w14:paraId="766CCA0D" w14:textId="77777777" w:rsidR="00DA3F26" w:rsidRPr="004676F5" w:rsidRDefault="00DA3F26" w:rsidP="00DA3F26">
      <w:pPr>
        <w:ind w:firstLine="708"/>
        <w:jc w:val="both"/>
        <w:rPr>
          <w:lang w:val="de-DE"/>
        </w:rPr>
      </w:pPr>
      <w:r w:rsidRPr="004676F5">
        <w:rPr>
          <w:lang w:val="de-DE"/>
        </w:rPr>
        <w:t>Der Zahlungsdienstleister kann festlegen, dass Zahlungsaufträge die nach einem bestimmten Zeitpunkt nahe dem Ende des Geschäftstages eingehen, als am darauf folgenden Geschäftstag eingegangen gelten.</w:t>
      </w:r>
    </w:p>
    <w:p w14:paraId="46905753" w14:textId="77777777" w:rsidR="00DA3F26" w:rsidRPr="004676F5" w:rsidRDefault="00DA3F26" w:rsidP="00DA3F26">
      <w:pPr>
        <w:ind w:firstLine="708"/>
        <w:jc w:val="both"/>
        <w:rPr>
          <w:lang w:val="de-DE"/>
        </w:rPr>
      </w:pPr>
    </w:p>
    <w:p w14:paraId="2A72D5B5" w14:textId="647EFE57"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Vereinbaren der Zahlungsdienstnutzer, der einen Zahlungsauftrag auslöst, und der Zahlungsdienstleister, dass die Ausführung des Zahlungsauftrags an einem bestimmten Tag oder am Ende eines bestimmten Zeitraums oder an dem Tag, an dem der Zahler dem Zahlungsdienstleister den Geldbetrag zur Verfügung gestellt hat, beginnen soll, so gilt der vereinbarte Termin für die Zwecke des Artikels VII.53 als Zeitpunkt des Eingangs.</w:t>
      </w:r>
    </w:p>
    <w:p w14:paraId="127D5055" w14:textId="77777777" w:rsidR="00DA3F26" w:rsidRPr="004676F5" w:rsidRDefault="00DA3F26" w:rsidP="00DA3F26">
      <w:pPr>
        <w:ind w:firstLine="708"/>
        <w:jc w:val="both"/>
        <w:rPr>
          <w:lang w:val="de-DE"/>
        </w:rPr>
      </w:pPr>
    </w:p>
    <w:p w14:paraId="6C7F7C9B" w14:textId="77777777" w:rsidR="00DA3F26" w:rsidRPr="004676F5" w:rsidRDefault="00DA3F26" w:rsidP="00DA3F26">
      <w:pPr>
        <w:ind w:firstLine="708"/>
        <w:jc w:val="both"/>
        <w:rPr>
          <w:lang w:val="de-DE"/>
        </w:rPr>
      </w:pPr>
      <w:r w:rsidRPr="004676F5">
        <w:rPr>
          <w:lang w:val="de-DE"/>
        </w:rPr>
        <w:t>Fällt der vereinbarte Termin nicht auf einen Geschäftstag des Zahlungsdienstleisters, so gilt der eingegangene Zahlungsauftrag als am darauf folgenden Geschäftstag eingegangen.</w:t>
      </w:r>
    </w:p>
    <w:p w14:paraId="71DC3B32" w14:textId="34635C65" w:rsidR="00DA3F26" w:rsidRPr="004676F5" w:rsidRDefault="00DA3F26" w:rsidP="00DA3F26">
      <w:pPr>
        <w:ind w:firstLine="708"/>
        <w:jc w:val="both"/>
        <w:rPr>
          <w:lang w:val="de-DE"/>
        </w:rPr>
      </w:pPr>
    </w:p>
    <w:p w14:paraId="62DC4DC7" w14:textId="77777777" w:rsidR="007E2AED" w:rsidRPr="004676F5" w:rsidRDefault="007E2AED" w:rsidP="00DA3F26">
      <w:pPr>
        <w:ind w:firstLine="708"/>
        <w:jc w:val="both"/>
        <w:rPr>
          <w:lang w:val="de-DE"/>
        </w:rPr>
      </w:pPr>
    </w:p>
    <w:p w14:paraId="18D0A088" w14:textId="64E442F9" w:rsidR="004B31E4" w:rsidRPr="004676F5" w:rsidRDefault="00DA3F26" w:rsidP="00DA3F26">
      <w:pPr>
        <w:ind w:firstLine="708"/>
        <w:jc w:val="both"/>
        <w:rPr>
          <w:lang w:val="de-DE"/>
        </w:rPr>
      </w:pPr>
      <w:r w:rsidRPr="004676F5">
        <w:rPr>
          <w:b/>
          <w:lang w:val="de-DE"/>
        </w:rPr>
        <w:t>Art. VII.49</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Lehnt der Zahlungsdienstleister es ab, einen Zahlungsauftrag auszuführen oder einen Zahlungsvorgang auszulösen, so zeigt er das dem Zahlungsdienst</w:t>
      </w:r>
      <w:r w:rsidRPr="004676F5">
        <w:rPr>
          <w:lang w:val="de-DE"/>
        </w:rPr>
        <w:softHyphen/>
        <w:t xml:space="preserve">nutzer, sofern möglich unter Angabe der Gründe, an und teilt ihm mit, nach welchem Verfahren </w:t>
      </w:r>
      <w:r w:rsidRPr="004676F5">
        <w:rPr>
          <w:lang w:val="de-DE"/>
        </w:rPr>
        <w:lastRenderedPageBreak/>
        <w:t xml:space="preserve">sachliche Fehler, die zur Ablehnung des Auftrags geführt haben, berichtigt werden können, unbeschadet der Anwendung des Gesetzes vom 18. September 2017 zur Verhinderung der Nutzung des Finanzsystems zum Zwecke der Geldwäsche und der Terrorismusfinanzierung </w:t>
      </w:r>
      <w:r w:rsidR="004B31E4" w:rsidRPr="004676F5">
        <w:rPr>
          <w:iCs/>
          <w:lang w:val="de-DE"/>
        </w:rPr>
        <w:t>und zur Beschränkung der Nutzung von Bargeld</w:t>
      </w:r>
      <w:r w:rsidR="004B31E4" w:rsidRPr="004676F5">
        <w:rPr>
          <w:lang w:val="de-DE"/>
        </w:rPr>
        <w:t xml:space="preserve"> </w:t>
      </w:r>
      <w:r w:rsidRPr="004676F5">
        <w:rPr>
          <w:lang w:val="de-DE"/>
        </w:rPr>
        <w:t>oder eines Verbots aufgrund sonstiger einschlägiger Rechtsvorschriften.</w:t>
      </w:r>
    </w:p>
    <w:p w14:paraId="44BEC9BE" w14:textId="77777777" w:rsidR="004B31E4" w:rsidRPr="004676F5" w:rsidRDefault="004B31E4" w:rsidP="00DA3F26">
      <w:pPr>
        <w:ind w:firstLine="708"/>
        <w:jc w:val="both"/>
        <w:rPr>
          <w:lang w:val="de-DE"/>
        </w:rPr>
      </w:pPr>
    </w:p>
    <w:p w14:paraId="76898569" w14:textId="16AB4D3D" w:rsidR="00DA3F26" w:rsidRPr="004676F5" w:rsidRDefault="00DA3F26" w:rsidP="00DA3F26">
      <w:pPr>
        <w:ind w:firstLine="708"/>
        <w:jc w:val="both"/>
        <w:rPr>
          <w:lang w:val="de-DE"/>
        </w:rPr>
      </w:pPr>
      <w:r w:rsidRPr="004676F5">
        <w:rPr>
          <w:lang w:val="de-DE"/>
        </w:rPr>
        <w:t>Der Zahlungsdienstleister hat diese Unterrichtung so rasch wie möglich, auf jeden Fall aber innerhalb der Fristen gemäß Artikel VII.53, vorzunehmen oder in einer vereinbarten Form zugänglich zu machen.</w:t>
      </w:r>
    </w:p>
    <w:p w14:paraId="14CFF5F9" w14:textId="77777777" w:rsidR="00DA3F26" w:rsidRPr="004676F5" w:rsidRDefault="00DA3F26" w:rsidP="00DA3F26">
      <w:pPr>
        <w:ind w:firstLine="708"/>
        <w:jc w:val="both"/>
        <w:rPr>
          <w:lang w:val="de-DE"/>
        </w:rPr>
      </w:pPr>
    </w:p>
    <w:p w14:paraId="091C096F" w14:textId="77777777" w:rsidR="00DA3F26" w:rsidRPr="004676F5" w:rsidRDefault="00DA3F26" w:rsidP="00DA3F26">
      <w:pPr>
        <w:ind w:firstLine="708"/>
        <w:jc w:val="both"/>
        <w:rPr>
          <w:lang w:val="de-DE"/>
        </w:rPr>
      </w:pPr>
      <w:r w:rsidRPr="004676F5">
        <w:rPr>
          <w:lang w:val="de-DE"/>
        </w:rPr>
        <w:t>Im Rahmenvertrag kann vorgesehen werden, dass der Zahlungsdienstleister für diese Unterrichtung ein angemessenes Entgelt in Rechnung stellen darf, sofern die Ablehnung sachlich gerechtfertigt ist.</w:t>
      </w:r>
    </w:p>
    <w:p w14:paraId="13A28EBD" w14:textId="77777777" w:rsidR="00DA3F26" w:rsidRPr="004676F5" w:rsidRDefault="00DA3F26" w:rsidP="00DA3F26">
      <w:pPr>
        <w:ind w:firstLine="708"/>
        <w:jc w:val="both"/>
        <w:rPr>
          <w:lang w:val="de-DE"/>
        </w:rPr>
      </w:pPr>
    </w:p>
    <w:p w14:paraId="5E4AB0F7" w14:textId="6CF475F0"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Sind alle im Rahmenvertrag des Zahlers festgelegten Bedingungen erfüllt, so darf der Zahlungsdienstleister des Zahlers die Ausführung eines autorisierten Zahlungsauftrags, unabhängig davon, ob der Zahlungsauftrag von einem Zahler, auch durch einen Zahlungsauslösedienstleister, oder von einem Zahlungsempfänger oder über diesen ausgelöst wurde, nicht ablehnen, unbeschadet der Anwendung des Gesetzes vom 18. September 2017 zur Verhinderung der Nutzung des Finanzsystems zum Zwecke der Geldwäsche und der Terroris</w:t>
      </w:r>
      <w:r w:rsidRPr="004676F5">
        <w:rPr>
          <w:lang w:val="de-DE"/>
        </w:rPr>
        <w:softHyphen/>
        <w:t xml:space="preserve">musfinanzierung </w:t>
      </w:r>
      <w:r w:rsidR="004B31E4" w:rsidRPr="004676F5">
        <w:rPr>
          <w:iCs/>
          <w:lang w:val="de-DE"/>
        </w:rPr>
        <w:t>und zur Beschränkung der Nutzung von Bargeld</w:t>
      </w:r>
      <w:r w:rsidR="004B31E4" w:rsidRPr="004676F5">
        <w:rPr>
          <w:lang w:val="de-DE"/>
        </w:rPr>
        <w:t xml:space="preserve"> </w:t>
      </w:r>
      <w:r w:rsidRPr="004676F5">
        <w:rPr>
          <w:lang w:val="de-DE"/>
        </w:rPr>
        <w:t>oder eines Verbots aufgrund sonstiger einschlägiger Rechtsvorschriften.</w:t>
      </w:r>
    </w:p>
    <w:p w14:paraId="7273D86E" w14:textId="77777777" w:rsidR="00DA3F26" w:rsidRPr="004676F5" w:rsidRDefault="00DA3F26" w:rsidP="00DA3F26">
      <w:pPr>
        <w:ind w:firstLine="708"/>
        <w:jc w:val="both"/>
        <w:rPr>
          <w:lang w:val="de-DE"/>
        </w:rPr>
      </w:pPr>
    </w:p>
    <w:p w14:paraId="6142F8F5" w14:textId="0E17B1BC"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Für die Zwecke der Artikel VII.53, VII.55/3 und VII.55/4 gilt ein Zahlungsauftrag, dessen Ausführung abgelehnt wurde, als nicht eingegangen.</w:t>
      </w:r>
    </w:p>
    <w:p w14:paraId="6155B8BA" w14:textId="38A0C940" w:rsidR="00DA3F26" w:rsidRPr="004676F5" w:rsidRDefault="00DA3F26" w:rsidP="00DA3F26">
      <w:pPr>
        <w:ind w:firstLine="708"/>
        <w:jc w:val="both"/>
        <w:rPr>
          <w:lang w:val="de-DE"/>
        </w:rPr>
      </w:pPr>
    </w:p>
    <w:p w14:paraId="0B555CB1" w14:textId="77777777" w:rsidR="007E2AED" w:rsidRPr="004676F5" w:rsidRDefault="007E2AED" w:rsidP="00DA3F26">
      <w:pPr>
        <w:ind w:firstLine="708"/>
        <w:jc w:val="both"/>
        <w:rPr>
          <w:lang w:val="de-DE"/>
        </w:rPr>
      </w:pPr>
    </w:p>
    <w:p w14:paraId="309C9CBA" w14:textId="2A94D4E0" w:rsidR="00DA3F26" w:rsidRPr="004676F5" w:rsidRDefault="00DA3F26" w:rsidP="00DA3F26">
      <w:pPr>
        <w:ind w:firstLine="708"/>
        <w:jc w:val="both"/>
        <w:rPr>
          <w:lang w:val="de-DE"/>
        </w:rPr>
      </w:pPr>
      <w:r w:rsidRPr="004676F5">
        <w:rPr>
          <w:b/>
          <w:lang w:val="de-DE"/>
        </w:rPr>
        <w:t>Art. VII.50</w:t>
      </w:r>
      <w:r w:rsidRPr="004676F5">
        <w:rPr>
          <w:lang w:val="de-DE"/>
        </w:rPr>
        <w:t> </w:t>
      </w:r>
      <w:r w:rsidR="005B7A5C" w:rsidRPr="004676F5">
        <w:rPr>
          <w:lang w:val="de-DE"/>
        </w:rPr>
        <w:t>- </w:t>
      </w:r>
      <w:r w:rsidRPr="004676F5">
        <w:rPr>
          <w:lang w:val="de-DE"/>
        </w:rPr>
        <w:t>Der Zahlungsdienstnutzer kann einen Zahlungsauftrag nach dem Eingang beim Zahlungsdienstleister des Zahlers nicht mehr widerrufen, sofern in vorliegendem Artikel nichts anderes festgelegt ist.</w:t>
      </w:r>
    </w:p>
    <w:p w14:paraId="0335474B" w14:textId="77777777" w:rsidR="00DA3F26" w:rsidRPr="004676F5" w:rsidRDefault="00DA3F26" w:rsidP="00DA3F26">
      <w:pPr>
        <w:ind w:firstLine="708"/>
        <w:jc w:val="both"/>
        <w:rPr>
          <w:lang w:val="de-DE"/>
        </w:rPr>
      </w:pPr>
    </w:p>
    <w:p w14:paraId="2DFCB2CF" w14:textId="77777777" w:rsidR="00DA3F26" w:rsidRPr="004676F5" w:rsidRDefault="00DA3F26" w:rsidP="00DA3F26">
      <w:pPr>
        <w:ind w:firstLine="708"/>
        <w:jc w:val="both"/>
        <w:rPr>
          <w:lang w:val="de-DE"/>
        </w:rPr>
      </w:pPr>
      <w:r w:rsidRPr="004676F5">
        <w:rPr>
          <w:lang w:val="de-DE"/>
        </w:rPr>
        <w:t>Wurde der Zahlungsvorgang von einem Zahlungsauslösedienstleister oder vom Zahlungs</w:t>
      </w:r>
      <w:r w:rsidRPr="004676F5">
        <w:rPr>
          <w:lang w:val="de-DE"/>
        </w:rPr>
        <w:softHyphen/>
        <w:t>empfänger oder über diesen ausgelöst, darf der Zahler den Zahlungsauftrag nicht mehr widerrufen, nachdem er dem Zahlungsauslösedienstleister die Zustimmung zur Auslösung des Zahlungsvorgangs erteilt oder dem Zahlungsempfänger die Zustimmung zur Ausführung des Zahlungsauftrags erteilt hat.</w:t>
      </w:r>
    </w:p>
    <w:p w14:paraId="52646945" w14:textId="77777777" w:rsidR="00DA3F26" w:rsidRPr="004676F5" w:rsidRDefault="00DA3F26" w:rsidP="00DA3F26">
      <w:pPr>
        <w:ind w:firstLine="708"/>
        <w:jc w:val="both"/>
        <w:rPr>
          <w:lang w:val="de-DE"/>
        </w:rPr>
      </w:pPr>
    </w:p>
    <w:p w14:paraId="71276424" w14:textId="77777777" w:rsidR="00DA3F26" w:rsidRPr="004676F5" w:rsidRDefault="00DA3F26" w:rsidP="00DA3F26">
      <w:pPr>
        <w:ind w:firstLine="708"/>
        <w:jc w:val="both"/>
        <w:rPr>
          <w:lang w:val="de-DE"/>
        </w:rPr>
      </w:pPr>
      <w:r w:rsidRPr="004676F5">
        <w:rPr>
          <w:lang w:val="de-DE"/>
        </w:rPr>
        <w:t>Im Fall einer Lastschrift kann der Zahler den Zahlungsauftrag jedoch unbeschadet etwaiger Erstattungsansprüche spätestens bis zum Ende des Geschäftstages vor dem vereinbarten Belastungstag widerrufen.</w:t>
      </w:r>
    </w:p>
    <w:p w14:paraId="0F399E62" w14:textId="77777777" w:rsidR="00DA3F26" w:rsidRPr="004676F5" w:rsidRDefault="00DA3F26" w:rsidP="00DA3F26">
      <w:pPr>
        <w:ind w:firstLine="708"/>
        <w:jc w:val="both"/>
        <w:rPr>
          <w:lang w:val="de-DE"/>
        </w:rPr>
      </w:pPr>
    </w:p>
    <w:p w14:paraId="307DDF42" w14:textId="77777777" w:rsidR="00DA3F26" w:rsidRPr="004676F5" w:rsidRDefault="00DA3F26" w:rsidP="00DA3F26">
      <w:pPr>
        <w:ind w:firstLine="708"/>
        <w:jc w:val="both"/>
        <w:rPr>
          <w:lang w:val="de-DE"/>
        </w:rPr>
      </w:pPr>
      <w:r w:rsidRPr="004676F5">
        <w:rPr>
          <w:lang w:val="de-DE"/>
        </w:rPr>
        <w:t>In dem Fall von Artikel VII.48 § 2 kann der Zahlungsdienstnutzer einen Zahlungs</w:t>
      </w:r>
      <w:r w:rsidRPr="004676F5">
        <w:rPr>
          <w:lang w:val="de-DE"/>
        </w:rPr>
        <w:softHyphen/>
        <w:t>auftrag spätestens bis zum Ende des Geschäftstages vor dem vereinbarten Tag widerrufen.</w:t>
      </w:r>
    </w:p>
    <w:p w14:paraId="67EAAFA8" w14:textId="77777777" w:rsidR="00DA3F26" w:rsidRPr="004676F5" w:rsidRDefault="00DA3F26" w:rsidP="00DA3F26">
      <w:pPr>
        <w:ind w:firstLine="708"/>
        <w:jc w:val="both"/>
        <w:rPr>
          <w:lang w:val="de-DE"/>
        </w:rPr>
      </w:pPr>
    </w:p>
    <w:p w14:paraId="3161A137" w14:textId="77777777" w:rsidR="00DA3F26" w:rsidRPr="004676F5" w:rsidRDefault="00DA3F26" w:rsidP="00DA3F26">
      <w:pPr>
        <w:ind w:firstLine="708"/>
        <w:jc w:val="both"/>
        <w:rPr>
          <w:lang w:val="de-DE"/>
        </w:rPr>
      </w:pPr>
      <w:r w:rsidRPr="004676F5">
        <w:rPr>
          <w:lang w:val="de-DE"/>
        </w:rPr>
        <w:t>Nach Ablauf der Fristen der Absätze 1 bis 4 kann der Zahlungsauftrag nur widerrufen werden, wenn der Zahlungsdienstnutzer und die betreffenden Zahlungsdienstleister es vereinbart haben.</w:t>
      </w:r>
    </w:p>
    <w:p w14:paraId="09728503" w14:textId="77777777" w:rsidR="00DA3F26" w:rsidRPr="004676F5" w:rsidRDefault="00DA3F26" w:rsidP="00DA3F26">
      <w:pPr>
        <w:ind w:firstLine="708"/>
        <w:jc w:val="both"/>
        <w:rPr>
          <w:lang w:val="de-DE"/>
        </w:rPr>
      </w:pPr>
    </w:p>
    <w:p w14:paraId="09658941" w14:textId="77777777" w:rsidR="00DA3F26" w:rsidRPr="004676F5" w:rsidRDefault="00DA3F26" w:rsidP="00DA3F26">
      <w:pPr>
        <w:ind w:firstLine="708"/>
        <w:jc w:val="both"/>
        <w:rPr>
          <w:lang w:val="de-DE"/>
        </w:rPr>
      </w:pPr>
      <w:r w:rsidRPr="004676F5">
        <w:rPr>
          <w:lang w:val="de-DE"/>
        </w:rPr>
        <w:t>In den Fällen der Absätze 2 und 3 ist zudem die Zustimmung des Zahlungsempfängers erforderlich.</w:t>
      </w:r>
    </w:p>
    <w:p w14:paraId="174F28D4" w14:textId="77777777" w:rsidR="00DA3F26" w:rsidRPr="004676F5" w:rsidRDefault="00DA3F26" w:rsidP="00DA3F26">
      <w:pPr>
        <w:ind w:firstLine="708"/>
        <w:jc w:val="both"/>
        <w:rPr>
          <w:lang w:val="de-DE"/>
        </w:rPr>
      </w:pPr>
    </w:p>
    <w:p w14:paraId="52DE18EB" w14:textId="77777777" w:rsidR="00DA3F26" w:rsidRPr="004676F5" w:rsidRDefault="00DA3F26" w:rsidP="00DA3F26">
      <w:pPr>
        <w:ind w:firstLine="708"/>
        <w:jc w:val="both"/>
        <w:rPr>
          <w:lang w:val="de-DE"/>
        </w:rPr>
      </w:pPr>
      <w:r w:rsidRPr="004676F5">
        <w:rPr>
          <w:lang w:val="de-DE"/>
        </w:rPr>
        <w:lastRenderedPageBreak/>
        <w:t>Wenn dies im Rahmenvertrag vereinbart ist, kann der betreffende Zahlungsdienstleister den Widerruf in Rechnung stellen.</w:t>
      </w:r>
    </w:p>
    <w:p w14:paraId="2D6EC949" w14:textId="64D1ADDE" w:rsidR="00DA3F26" w:rsidRPr="004676F5" w:rsidRDefault="00DA3F26" w:rsidP="00DA3F26">
      <w:pPr>
        <w:ind w:firstLine="708"/>
        <w:jc w:val="both"/>
        <w:rPr>
          <w:lang w:val="de-DE"/>
        </w:rPr>
      </w:pPr>
    </w:p>
    <w:p w14:paraId="5B0806FF" w14:textId="77777777" w:rsidR="007E2AED" w:rsidRPr="004676F5" w:rsidRDefault="007E2AED" w:rsidP="00DA3F26">
      <w:pPr>
        <w:ind w:firstLine="708"/>
        <w:jc w:val="both"/>
        <w:rPr>
          <w:lang w:val="de-DE"/>
        </w:rPr>
      </w:pPr>
    </w:p>
    <w:p w14:paraId="0E2CCE2A" w14:textId="5735C50D" w:rsidR="00DA3F26" w:rsidRPr="004676F5" w:rsidRDefault="00DA3F26" w:rsidP="00DA3F26">
      <w:pPr>
        <w:ind w:firstLine="708"/>
        <w:jc w:val="both"/>
        <w:rPr>
          <w:lang w:val="de-DE"/>
        </w:rPr>
      </w:pPr>
      <w:r w:rsidRPr="004676F5">
        <w:rPr>
          <w:b/>
          <w:lang w:val="de-DE"/>
        </w:rPr>
        <w:t>Art. VII.51</w:t>
      </w:r>
      <w:r w:rsidRPr="004676F5">
        <w:rPr>
          <w:lang w:val="de-DE"/>
        </w:rPr>
        <w:t> </w:t>
      </w:r>
      <w:r w:rsidR="005B7A5C" w:rsidRPr="004676F5">
        <w:rPr>
          <w:lang w:val="de-DE"/>
        </w:rPr>
        <w:t>- </w:t>
      </w:r>
      <w:r w:rsidRPr="004676F5">
        <w:rPr>
          <w:lang w:val="de-DE"/>
        </w:rPr>
        <w:t>Der/die Zahlungsdienstleister des Zahlers, der/die Zahlungsdienstleister des Zahlungsempfängers und alle zwischengeschalteten Stellen der Zahlungsdienstleister müssen den Betrag des Zahlungsvorgangs in voller Höhe transferieren und dürfen keine Entgelte vom transferierten Betrag abziehen.</w:t>
      </w:r>
    </w:p>
    <w:p w14:paraId="67EDD029" w14:textId="77777777" w:rsidR="00DA3F26" w:rsidRPr="004676F5" w:rsidRDefault="00DA3F26" w:rsidP="00DA3F26">
      <w:pPr>
        <w:ind w:firstLine="708"/>
        <w:jc w:val="both"/>
        <w:rPr>
          <w:lang w:val="de-DE"/>
        </w:rPr>
      </w:pPr>
    </w:p>
    <w:p w14:paraId="2957A9DC" w14:textId="77777777" w:rsidR="00DA3F26" w:rsidRPr="004676F5" w:rsidRDefault="00DA3F26" w:rsidP="00DA3F26">
      <w:pPr>
        <w:ind w:firstLine="708"/>
        <w:jc w:val="both"/>
        <w:rPr>
          <w:lang w:val="de-DE"/>
        </w:rPr>
      </w:pPr>
      <w:r w:rsidRPr="004676F5">
        <w:rPr>
          <w:lang w:val="de-DE"/>
        </w:rPr>
        <w:t>Der Zahlungsempfänger und der Zahlungsdienstleister können jedoch vereinbaren, dass der betreffende Zahlungsdienstleister seine Entgelte von dem transferierten Betrag abziehen darf, bevor er ihn dem Zahlungsempfänger gutschreibt. In diesem Fall werden der vollständige Betrag des Zahlungsvorgangs und die Entgelte in den Informationen für den Zahlungs</w:t>
      </w:r>
      <w:r w:rsidRPr="004676F5">
        <w:rPr>
          <w:lang w:val="de-DE"/>
        </w:rPr>
        <w:softHyphen/>
        <w:t>empfänger getrennt ausgewiesen.</w:t>
      </w:r>
    </w:p>
    <w:p w14:paraId="231C2528" w14:textId="77777777" w:rsidR="00DA3F26" w:rsidRPr="004676F5" w:rsidRDefault="00DA3F26" w:rsidP="00DA3F26">
      <w:pPr>
        <w:ind w:firstLine="708"/>
        <w:jc w:val="both"/>
        <w:rPr>
          <w:lang w:val="de-DE"/>
        </w:rPr>
      </w:pPr>
    </w:p>
    <w:p w14:paraId="09CA26E8" w14:textId="77777777" w:rsidR="00DA3F26" w:rsidRPr="004676F5" w:rsidRDefault="00DA3F26" w:rsidP="00DA3F26">
      <w:pPr>
        <w:ind w:firstLine="708"/>
        <w:jc w:val="both"/>
        <w:rPr>
          <w:lang w:val="de-DE"/>
        </w:rPr>
      </w:pPr>
      <w:r w:rsidRPr="004676F5">
        <w:rPr>
          <w:lang w:val="de-DE"/>
        </w:rPr>
        <w:t>Werden andere Entgelte als die in Absatz 2 genannten Entgelte von dem transferierten Betrag abgezogen, stellt der Zahlungsdienstleister des Zahlers sicher, dass der Zahlungs</w:t>
      </w:r>
      <w:r w:rsidRPr="004676F5">
        <w:rPr>
          <w:lang w:val="de-DE"/>
        </w:rPr>
        <w:softHyphen/>
        <w:t>empfänger den Betrag des vom Zahler ausgelösten Zahlungsvorgangs in voller Höhe erhält.</w:t>
      </w:r>
    </w:p>
    <w:p w14:paraId="2B434EAD" w14:textId="77777777" w:rsidR="00DA3F26" w:rsidRPr="004676F5" w:rsidRDefault="00DA3F26" w:rsidP="00DA3F26">
      <w:pPr>
        <w:ind w:firstLine="708"/>
        <w:jc w:val="both"/>
        <w:rPr>
          <w:lang w:val="de-DE"/>
        </w:rPr>
      </w:pPr>
    </w:p>
    <w:p w14:paraId="502E05C2" w14:textId="77777777" w:rsidR="00DA3F26" w:rsidRPr="004676F5" w:rsidRDefault="00DA3F26" w:rsidP="00DA3F26">
      <w:pPr>
        <w:ind w:firstLine="708"/>
        <w:jc w:val="both"/>
        <w:rPr>
          <w:lang w:val="de-DE"/>
        </w:rPr>
      </w:pPr>
      <w:r w:rsidRPr="004676F5">
        <w:rPr>
          <w:lang w:val="de-DE"/>
        </w:rPr>
        <w:t>Wird der Zahlungsvorgang vom Zahlungsempfänger oder über diesen ausgelöst, stellt der Zahlungsdienstleister des Zahlungsempfängers sicher, dass der Zahlungsempfänger den Betrag des Zahlungsvorgangs in voller Höhe erhält.</w:t>
      </w:r>
    </w:p>
    <w:p w14:paraId="109FC530" w14:textId="5E014D4F" w:rsidR="00DA3F26" w:rsidRPr="004676F5" w:rsidRDefault="00DA3F26" w:rsidP="00DA3F26">
      <w:pPr>
        <w:ind w:firstLine="708"/>
        <w:rPr>
          <w:lang w:val="de-DE"/>
        </w:rPr>
      </w:pPr>
    </w:p>
    <w:p w14:paraId="72FFC662" w14:textId="77777777" w:rsidR="007E2AED" w:rsidRPr="004676F5" w:rsidRDefault="007E2AED" w:rsidP="00DA3F26">
      <w:pPr>
        <w:ind w:firstLine="708"/>
        <w:rPr>
          <w:lang w:val="de-DE"/>
        </w:rPr>
      </w:pPr>
    </w:p>
    <w:p w14:paraId="5C5C7084" w14:textId="4BAF09BD" w:rsidR="00DA3F26" w:rsidRPr="004676F5" w:rsidRDefault="00DA3F26" w:rsidP="00DA3F26">
      <w:pPr>
        <w:jc w:val="center"/>
        <w:rPr>
          <w:lang w:val="de-DE"/>
        </w:rPr>
      </w:pPr>
      <w:r w:rsidRPr="004676F5">
        <w:rPr>
          <w:lang w:val="de-DE"/>
        </w:rPr>
        <w:t>Unterabschnitt 2 </w:t>
      </w:r>
      <w:r w:rsidR="005B7A5C" w:rsidRPr="004676F5">
        <w:rPr>
          <w:lang w:val="de-DE"/>
        </w:rPr>
        <w:t>- </w:t>
      </w:r>
      <w:r w:rsidRPr="004676F5">
        <w:rPr>
          <w:lang w:val="de-DE"/>
        </w:rPr>
        <w:t>Ausführungsfrist und Wertstellungsdatum</w:t>
      </w:r>
    </w:p>
    <w:p w14:paraId="61556CFD" w14:textId="596A9303" w:rsidR="00DA3F26" w:rsidRPr="004676F5" w:rsidRDefault="00DA3F26" w:rsidP="00DA3F26">
      <w:pPr>
        <w:jc w:val="both"/>
        <w:rPr>
          <w:lang w:val="de-DE"/>
        </w:rPr>
      </w:pPr>
    </w:p>
    <w:p w14:paraId="6896CC34" w14:textId="77777777" w:rsidR="007E2AED" w:rsidRPr="004676F5" w:rsidRDefault="007E2AED" w:rsidP="00DA3F26">
      <w:pPr>
        <w:jc w:val="both"/>
        <w:rPr>
          <w:lang w:val="de-DE"/>
        </w:rPr>
      </w:pPr>
    </w:p>
    <w:p w14:paraId="25431B79" w14:textId="62849872" w:rsidR="00DA3F26" w:rsidRPr="004676F5" w:rsidRDefault="00DA3F26" w:rsidP="00DA3F26">
      <w:pPr>
        <w:ind w:firstLine="708"/>
        <w:jc w:val="both"/>
        <w:rPr>
          <w:lang w:val="de-DE"/>
        </w:rPr>
      </w:pPr>
      <w:r w:rsidRPr="004676F5">
        <w:rPr>
          <w:b/>
          <w:lang w:val="de-DE"/>
        </w:rPr>
        <w:t>Art. VII.52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Vorliegender Unterabschnitt gilt für:</w:t>
      </w:r>
    </w:p>
    <w:p w14:paraId="1A81CA93" w14:textId="77777777" w:rsidR="00DA3F26" w:rsidRPr="004676F5" w:rsidRDefault="00DA3F26" w:rsidP="00DA3F26">
      <w:pPr>
        <w:ind w:firstLine="708"/>
        <w:jc w:val="both"/>
        <w:rPr>
          <w:lang w:val="de-DE"/>
        </w:rPr>
      </w:pPr>
    </w:p>
    <w:p w14:paraId="0045262C" w14:textId="77777777" w:rsidR="00DA3F26" w:rsidRPr="004676F5" w:rsidRDefault="00DA3F26" w:rsidP="00DA3F26">
      <w:pPr>
        <w:ind w:firstLine="708"/>
        <w:jc w:val="both"/>
        <w:rPr>
          <w:lang w:val="de-DE"/>
        </w:rPr>
      </w:pPr>
      <w:r w:rsidRPr="004676F5">
        <w:rPr>
          <w:lang w:val="de-DE"/>
        </w:rPr>
        <w:t>1. Zahlungsvorgänge in Euro,</w:t>
      </w:r>
    </w:p>
    <w:p w14:paraId="77D6255F" w14:textId="77777777" w:rsidR="00DA3F26" w:rsidRPr="004676F5" w:rsidRDefault="00DA3F26" w:rsidP="00DA3F26">
      <w:pPr>
        <w:ind w:firstLine="708"/>
        <w:jc w:val="both"/>
        <w:rPr>
          <w:lang w:val="de-DE"/>
        </w:rPr>
      </w:pPr>
    </w:p>
    <w:p w14:paraId="6D64A0FA" w14:textId="18F16447" w:rsidR="00DA3F26" w:rsidRPr="004676F5" w:rsidRDefault="00DA3F26" w:rsidP="00DA3F26">
      <w:pPr>
        <w:ind w:firstLine="708"/>
        <w:jc w:val="both"/>
        <w:rPr>
          <w:lang w:val="de-DE"/>
        </w:rPr>
      </w:pPr>
      <w:r w:rsidRPr="004676F5">
        <w:rPr>
          <w:lang w:val="de-DE"/>
        </w:rPr>
        <w:t>2. Zahlungsvorgänge, bei denen nur eine Währungsumrechnung zwischen dem Euro und der offiziellen Währung eines nicht dem Euro-Währungsgebiet angehörenden Mitglied</w:t>
      </w:r>
      <w:r w:rsidRPr="004676F5">
        <w:rPr>
          <w:lang w:val="de-DE"/>
        </w:rPr>
        <w:softHyphen/>
        <w:t xml:space="preserve">staats stattfindet, sofern die erforderliche Währungsumrechnung in dem nicht dem Euro-Währungsgebiet angehörenden Mitgliedstaat durchgeführt wird und </w:t>
      </w:r>
      <w:r w:rsidR="005B7A5C" w:rsidRPr="004676F5">
        <w:rPr>
          <w:lang w:val="de-DE"/>
        </w:rPr>
        <w:t>- </w:t>
      </w:r>
      <w:r w:rsidRPr="004676F5">
        <w:rPr>
          <w:lang w:val="de-DE"/>
        </w:rPr>
        <w:t>im Fall von grenzüber</w:t>
      </w:r>
      <w:r w:rsidRPr="004676F5">
        <w:rPr>
          <w:lang w:val="de-DE"/>
        </w:rPr>
        <w:softHyphen/>
        <w:t>schreitenden Zahlungsvorgängen </w:t>
      </w:r>
      <w:r w:rsidR="005B7A5C" w:rsidRPr="004676F5">
        <w:rPr>
          <w:lang w:val="de-DE"/>
        </w:rPr>
        <w:t>- </w:t>
      </w:r>
      <w:r w:rsidRPr="004676F5">
        <w:rPr>
          <w:lang w:val="de-DE"/>
        </w:rPr>
        <w:t>der Transfer in Euro stattfindet.</w:t>
      </w:r>
    </w:p>
    <w:p w14:paraId="48807B99" w14:textId="77777777" w:rsidR="00DA3F26" w:rsidRPr="004676F5" w:rsidRDefault="00DA3F26" w:rsidP="00DA3F26">
      <w:pPr>
        <w:ind w:firstLine="708"/>
        <w:jc w:val="both"/>
        <w:rPr>
          <w:lang w:val="de-DE"/>
        </w:rPr>
      </w:pPr>
    </w:p>
    <w:p w14:paraId="04128244" w14:textId="54E244B1"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Vorliegender Unterabschnitt findet auf nicht in § 1 genannte Zahlungsvorgänge Anwendung, sofern zwischen dem Zahlungsdienstnutzer und dem Zahlungsdienstleister nicht etwas anderes vereinbart wurde; hiervon ausgenommen ist Artikel VII.55/1, den die Parteien nicht vertraglich abbedingen können.</w:t>
      </w:r>
    </w:p>
    <w:p w14:paraId="551C0A79" w14:textId="77777777" w:rsidR="00DA3F26" w:rsidRPr="004676F5" w:rsidRDefault="00DA3F26" w:rsidP="00DA3F26">
      <w:pPr>
        <w:ind w:firstLine="708"/>
        <w:jc w:val="both"/>
        <w:rPr>
          <w:lang w:val="de-DE"/>
        </w:rPr>
      </w:pPr>
    </w:p>
    <w:p w14:paraId="2FCA9E66" w14:textId="77777777" w:rsidR="00DA3F26" w:rsidRPr="004676F5" w:rsidRDefault="00DA3F26" w:rsidP="00DA3F26">
      <w:pPr>
        <w:ind w:firstLine="708"/>
        <w:jc w:val="both"/>
        <w:rPr>
          <w:lang w:val="de-DE"/>
        </w:rPr>
      </w:pPr>
      <w:r w:rsidRPr="004676F5">
        <w:rPr>
          <w:lang w:val="de-DE"/>
        </w:rPr>
        <w:t>Vereinbaren der Zahlungsdienstnutzer und der Zahlungsdienstleister jedoch für Zahlungsvorgänge innerhalb der Union eine längere Frist als die nach Artikel VII.53, so darf diese längere Frist vier Geschäftstage ab dem in Artikel VII.48 genannten Zeitpunkt des Eingangs nicht überschreiten.</w:t>
      </w:r>
    </w:p>
    <w:p w14:paraId="0B2B6BC0" w14:textId="7C24D93A" w:rsidR="00DA3F26" w:rsidRPr="004676F5" w:rsidRDefault="00DA3F26" w:rsidP="00DA3F26">
      <w:pPr>
        <w:ind w:firstLine="708"/>
        <w:jc w:val="both"/>
        <w:rPr>
          <w:lang w:val="de-DE"/>
        </w:rPr>
      </w:pPr>
    </w:p>
    <w:p w14:paraId="2CAE8D51" w14:textId="77777777" w:rsidR="007E2AED" w:rsidRPr="004676F5" w:rsidRDefault="007E2AED" w:rsidP="00DA3F26">
      <w:pPr>
        <w:ind w:firstLine="708"/>
        <w:jc w:val="both"/>
        <w:rPr>
          <w:lang w:val="de-DE"/>
        </w:rPr>
      </w:pPr>
    </w:p>
    <w:p w14:paraId="1BD15D2C" w14:textId="185453BC" w:rsidR="00DA3F26" w:rsidRPr="004676F5" w:rsidRDefault="00DA3F26" w:rsidP="00DA3F26">
      <w:pPr>
        <w:ind w:firstLine="708"/>
        <w:jc w:val="both"/>
        <w:rPr>
          <w:lang w:val="de-DE"/>
        </w:rPr>
      </w:pPr>
      <w:r w:rsidRPr="004676F5">
        <w:rPr>
          <w:b/>
          <w:lang w:val="de-DE"/>
        </w:rPr>
        <w:t>Art. VII.53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Der Zahlungsdienstleister des Zahlers stellt sicher, dass nach dem Eingangszeitpunkt im Sinne des Artikels VII.48 der Betrag des Zahlungsvorgangs spätestens </w:t>
      </w:r>
      <w:r w:rsidRPr="004676F5">
        <w:rPr>
          <w:lang w:val="de-DE"/>
        </w:rPr>
        <w:lastRenderedPageBreak/>
        <w:t>am Ende des folgenden Geschäftstags dem Konto des Zahlungsdienstleisters des Zahlungs</w:t>
      </w:r>
      <w:r w:rsidRPr="004676F5">
        <w:rPr>
          <w:lang w:val="de-DE"/>
        </w:rPr>
        <w:softHyphen/>
        <w:t>empfängers gutgeschrieben wird. Diese Frist kann für in Papierform ausgelöste Zahlungs</w:t>
      </w:r>
      <w:r w:rsidRPr="004676F5">
        <w:rPr>
          <w:lang w:val="de-DE"/>
        </w:rPr>
        <w:softHyphen/>
        <w:t>vorgänge um einen weiteren Geschäftstag verlängert werden.</w:t>
      </w:r>
    </w:p>
    <w:p w14:paraId="49F03235" w14:textId="77777777" w:rsidR="00DA3F26" w:rsidRPr="004676F5" w:rsidRDefault="00DA3F26" w:rsidP="00DA3F26">
      <w:pPr>
        <w:ind w:firstLine="708"/>
        <w:jc w:val="both"/>
        <w:rPr>
          <w:lang w:val="de-DE"/>
        </w:rPr>
      </w:pPr>
    </w:p>
    <w:p w14:paraId="1EC2F133" w14:textId="77777777" w:rsidR="00DA3F26" w:rsidRPr="004676F5" w:rsidRDefault="00DA3F26" w:rsidP="00DA3F26">
      <w:pPr>
        <w:ind w:firstLine="708"/>
        <w:jc w:val="both"/>
        <w:rPr>
          <w:lang w:val="de-DE"/>
        </w:rPr>
      </w:pPr>
      <w:r w:rsidRPr="004676F5">
        <w:rPr>
          <w:lang w:val="de-DE"/>
        </w:rPr>
        <w:t>Für die Ausführung von elektronisch ausgelösten inländischen Zahlungsvorgängen zwischen zwei Zahlungskonten, bei denen der Zahlungsdienstleister des Zahlers und des Zahlungsempfängers dieselbe Person ist, wird die in vorhergehendem Absatz erwähnte Frist auf das Ende des Geschäftstags des Eingangszeitpunkts im Sinne des Artikels VII.48 verkürzt.</w:t>
      </w:r>
    </w:p>
    <w:p w14:paraId="37ABF21E" w14:textId="77777777" w:rsidR="00DA3F26" w:rsidRPr="004676F5" w:rsidRDefault="00DA3F26" w:rsidP="00DA3F26">
      <w:pPr>
        <w:ind w:firstLine="708"/>
        <w:jc w:val="both"/>
        <w:rPr>
          <w:lang w:val="de-DE"/>
        </w:rPr>
      </w:pPr>
    </w:p>
    <w:p w14:paraId="5A743267" w14:textId="77777777" w:rsidR="00DA3F26" w:rsidRPr="004676F5" w:rsidRDefault="00DA3F26" w:rsidP="00DA3F26">
      <w:pPr>
        <w:ind w:firstLine="708"/>
        <w:jc w:val="both"/>
        <w:rPr>
          <w:lang w:val="de-DE"/>
        </w:rPr>
      </w:pPr>
      <w:r w:rsidRPr="004676F5">
        <w:rPr>
          <w:lang w:val="de-DE"/>
        </w:rPr>
        <w:t>Für die Ausführung von elektronisch ausgelösten inländischen Zahlungsvorgängen zwischen zwei Zahlungskonten, bei denen der Zahlungsdienstleister des Zahlers und des Zahlungsempfängers nicht dieselbe Person ist, kann der König durch einen im Ministerrat beratenen Erlass die in Absatz 1 erwähnte Frist auf das Ende des Geschäftstags des Eingangszeitpunkts im Sinne des Artikels VII.48 verkürzen.</w:t>
      </w:r>
    </w:p>
    <w:p w14:paraId="36BE7A87" w14:textId="77777777" w:rsidR="00DA3F26" w:rsidRPr="004676F5" w:rsidRDefault="00DA3F26" w:rsidP="00DA3F26">
      <w:pPr>
        <w:ind w:firstLine="708"/>
        <w:jc w:val="both"/>
        <w:rPr>
          <w:lang w:val="de-DE"/>
        </w:rPr>
      </w:pPr>
    </w:p>
    <w:p w14:paraId="446F501B" w14:textId="547C95E0"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Der Zahlungsdienstleister des Zahlungsempfängers hat den Betrag des Zahlungs</w:t>
      </w:r>
      <w:r w:rsidRPr="004676F5">
        <w:rPr>
          <w:lang w:val="de-DE"/>
        </w:rPr>
        <w:softHyphen/>
        <w:t>vorgangs dem Zahlungskonto des Zahlungsempfängers gemäß Artikel VII.55/1 wertzustellen und verfügbar zu machen, nachdem er seinerseits den Geldbetrag erhalten hat.</w:t>
      </w:r>
    </w:p>
    <w:p w14:paraId="7D60E516" w14:textId="77777777" w:rsidR="00DA3F26" w:rsidRPr="004676F5" w:rsidRDefault="00DA3F26" w:rsidP="00DA3F26">
      <w:pPr>
        <w:ind w:firstLine="708"/>
        <w:jc w:val="both"/>
        <w:rPr>
          <w:lang w:val="de-DE"/>
        </w:rPr>
      </w:pPr>
    </w:p>
    <w:p w14:paraId="09416F90" w14:textId="59556F46"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Der Zahlungsdienstleister des Zahlungsempfängers übermittelt dem Zahlungs</w:t>
      </w:r>
      <w:r w:rsidRPr="004676F5">
        <w:rPr>
          <w:lang w:val="de-DE"/>
        </w:rPr>
        <w:softHyphen/>
        <w:t>dienstleister des Zahlers einen vom Zahlungsempfänger oder über diesen ausgelösten Zahlungsauftrag innerhalb der zwischen dem Zahlungsempfänger und dem Zahlungsdienst</w:t>
      </w:r>
      <w:r w:rsidRPr="004676F5">
        <w:rPr>
          <w:lang w:val="de-DE"/>
        </w:rPr>
        <w:softHyphen/>
        <w:t>leister vereinbarten Fristen, um im Fall von Lastschriften die Verrechnung am vereinbarten Fälligkeitstermin zu ermöglichen.</w:t>
      </w:r>
    </w:p>
    <w:p w14:paraId="2E619073" w14:textId="3F703105" w:rsidR="00DA3F26" w:rsidRPr="004676F5" w:rsidRDefault="00DA3F26" w:rsidP="00DA3F26">
      <w:pPr>
        <w:ind w:firstLine="708"/>
        <w:jc w:val="both"/>
        <w:rPr>
          <w:lang w:val="de-DE"/>
        </w:rPr>
      </w:pPr>
    </w:p>
    <w:p w14:paraId="4E15696D" w14:textId="77777777" w:rsidR="007E2AED" w:rsidRPr="004676F5" w:rsidRDefault="007E2AED" w:rsidP="00DA3F26">
      <w:pPr>
        <w:ind w:firstLine="708"/>
        <w:jc w:val="both"/>
        <w:rPr>
          <w:lang w:val="de-DE"/>
        </w:rPr>
      </w:pPr>
    </w:p>
    <w:p w14:paraId="6FEF5AE6" w14:textId="717D2AFF" w:rsidR="00DA3F26" w:rsidRPr="004676F5" w:rsidRDefault="00DA3F26" w:rsidP="00DA3F26">
      <w:pPr>
        <w:ind w:firstLine="708"/>
        <w:jc w:val="both"/>
        <w:rPr>
          <w:lang w:val="de-DE"/>
        </w:rPr>
      </w:pPr>
      <w:r w:rsidRPr="004676F5">
        <w:rPr>
          <w:b/>
          <w:lang w:val="de-DE"/>
        </w:rPr>
        <w:t>Art. VII.54</w:t>
      </w:r>
      <w:r w:rsidRPr="004676F5">
        <w:rPr>
          <w:lang w:val="de-DE"/>
        </w:rPr>
        <w:t> </w:t>
      </w:r>
      <w:r w:rsidR="005B7A5C" w:rsidRPr="004676F5">
        <w:rPr>
          <w:lang w:val="de-DE"/>
        </w:rPr>
        <w:t>- </w:t>
      </w:r>
      <w:r w:rsidRPr="004676F5">
        <w:rPr>
          <w:lang w:val="de-DE"/>
        </w:rPr>
        <w:t>Hat der Zahlungsempfänger beim Zahlungsdienstleister kein Zahlungs</w:t>
      </w:r>
      <w:r w:rsidRPr="004676F5">
        <w:rPr>
          <w:lang w:val="de-DE"/>
        </w:rPr>
        <w:softHyphen/>
        <w:t>konto, so macht der Zahlungsdienstleister, bei dem Geldbeträge zugunsten des Zahlungsempfängers eingegangen sind, diese Geldbeträge für den Zahlungsempfänger innerhalb der Frist des Artikels VII.53 verfügbar.</w:t>
      </w:r>
    </w:p>
    <w:p w14:paraId="4C7F2290" w14:textId="267A67EB" w:rsidR="00DA3F26" w:rsidRPr="004676F5" w:rsidRDefault="00DA3F26" w:rsidP="00DA3F26">
      <w:pPr>
        <w:ind w:firstLine="708"/>
        <w:jc w:val="both"/>
        <w:rPr>
          <w:lang w:val="de-DE"/>
        </w:rPr>
      </w:pPr>
    </w:p>
    <w:p w14:paraId="40F17CBC" w14:textId="77777777" w:rsidR="007E2AED" w:rsidRPr="004676F5" w:rsidRDefault="007E2AED" w:rsidP="00DA3F26">
      <w:pPr>
        <w:ind w:firstLine="708"/>
        <w:jc w:val="both"/>
        <w:rPr>
          <w:lang w:val="de-DE"/>
        </w:rPr>
      </w:pPr>
    </w:p>
    <w:p w14:paraId="445DD5A4" w14:textId="6B7ED69D" w:rsidR="00DA3F26" w:rsidRPr="004676F5" w:rsidRDefault="00DA3F26" w:rsidP="00DA3F26">
      <w:pPr>
        <w:ind w:firstLine="708"/>
        <w:jc w:val="both"/>
        <w:rPr>
          <w:lang w:val="de-DE"/>
        </w:rPr>
      </w:pPr>
      <w:r w:rsidRPr="004676F5">
        <w:rPr>
          <w:b/>
          <w:lang w:val="de-DE"/>
        </w:rPr>
        <w:t>Art. VII.55</w:t>
      </w:r>
      <w:r w:rsidRPr="004676F5">
        <w:rPr>
          <w:lang w:val="de-DE"/>
        </w:rPr>
        <w:t> </w:t>
      </w:r>
      <w:r w:rsidR="005B7A5C" w:rsidRPr="004676F5">
        <w:rPr>
          <w:lang w:val="de-DE"/>
        </w:rPr>
        <w:t>- </w:t>
      </w:r>
      <w:r w:rsidRPr="004676F5">
        <w:rPr>
          <w:lang w:val="de-DE"/>
        </w:rPr>
        <w:t>Zahlt ein Verbraucher Bargeld auf ein Zahlungskonto bei einem Zahlungsdienstleister in der Währung des betreffenden Zahlungskontos ein, so stellt dieser Zahlungsdienstleister sicher, dass der Betrag unverzüglich nach der Entgegennahme verfügbar gemacht und wertgestellt wird.</w:t>
      </w:r>
    </w:p>
    <w:p w14:paraId="5ED9BA8F" w14:textId="77777777" w:rsidR="00DA3F26" w:rsidRPr="004676F5" w:rsidRDefault="00DA3F26" w:rsidP="00DA3F26">
      <w:pPr>
        <w:ind w:firstLine="708"/>
        <w:jc w:val="both"/>
        <w:rPr>
          <w:lang w:val="de-DE"/>
        </w:rPr>
      </w:pPr>
    </w:p>
    <w:p w14:paraId="61D6F2D0" w14:textId="77777777" w:rsidR="00DA3F26" w:rsidRPr="004676F5" w:rsidRDefault="00DA3F26" w:rsidP="00DA3F26">
      <w:pPr>
        <w:ind w:firstLine="708"/>
        <w:jc w:val="both"/>
        <w:rPr>
          <w:lang w:val="de-DE"/>
        </w:rPr>
      </w:pPr>
      <w:r w:rsidRPr="004676F5">
        <w:rPr>
          <w:lang w:val="de-DE"/>
        </w:rPr>
        <w:t>Ist der Zahlungsdienstnutzer kein Verbraucher, muss der Geldbetrag spätestens an dem auf die Entgegennahme folgenden Geschäftstag auf dem Konto des Zahlungsempfängers verfügbar gemacht und wertgestellt sein.</w:t>
      </w:r>
    </w:p>
    <w:p w14:paraId="0E2E00DD" w14:textId="0B4B1463" w:rsidR="00DA3F26" w:rsidRPr="004676F5" w:rsidRDefault="00DA3F26" w:rsidP="00DA3F26">
      <w:pPr>
        <w:ind w:firstLine="708"/>
        <w:jc w:val="both"/>
        <w:rPr>
          <w:lang w:val="de-DE"/>
        </w:rPr>
      </w:pPr>
    </w:p>
    <w:p w14:paraId="5A59D681" w14:textId="77777777" w:rsidR="007E2AED" w:rsidRPr="004676F5" w:rsidRDefault="007E2AED" w:rsidP="00DA3F26">
      <w:pPr>
        <w:ind w:firstLine="708"/>
        <w:jc w:val="both"/>
        <w:rPr>
          <w:lang w:val="de-DE"/>
        </w:rPr>
      </w:pPr>
    </w:p>
    <w:p w14:paraId="15E3D5F6" w14:textId="1EBCA13E" w:rsidR="00DA3F26" w:rsidRPr="004676F5" w:rsidRDefault="00DA3F26" w:rsidP="00DA3F26">
      <w:pPr>
        <w:ind w:firstLine="708"/>
        <w:jc w:val="both"/>
        <w:rPr>
          <w:lang w:val="de-DE"/>
        </w:rPr>
      </w:pPr>
      <w:r w:rsidRPr="004676F5">
        <w:rPr>
          <w:b/>
          <w:lang w:val="de-DE"/>
        </w:rPr>
        <w:t>Art. VII.55/1</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Das Datum der Wertstellung einer Gutschrift auf dem Zahlungs</w:t>
      </w:r>
      <w:r w:rsidRPr="004676F5">
        <w:rPr>
          <w:lang w:val="de-DE"/>
        </w:rPr>
        <w:softHyphen/>
        <w:t>konto des Zahlungsempfängers ist spätestens der Geschäftstag, an dem der Betrag des Zahlungsvorgangs dem Konto des Zahlungsdienstleisters des Zahlungsempfängers gutge</w:t>
      </w:r>
      <w:r w:rsidRPr="004676F5">
        <w:rPr>
          <w:lang w:val="de-DE"/>
        </w:rPr>
        <w:softHyphen/>
        <w:t>schrieben wird.</w:t>
      </w:r>
    </w:p>
    <w:p w14:paraId="6093F045" w14:textId="77777777" w:rsidR="00DA3F26" w:rsidRPr="004676F5" w:rsidRDefault="00DA3F26" w:rsidP="00DA3F26">
      <w:pPr>
        <w:ind w:firstLine="708"/>
        <w:jc w:val="both"/>
        <w:rPr>
          <w:lang w:val="de-DE"/>
        </w:rPr>
      </w:pPr>
    </w:p>
    <w:p w14:paraId="08AF432F" w14:textId="77777777" w:rsidR="00AB0E03" w:rsidRPr="004676F5" w:rsidRDefault="00AB0E03">
      <w:pPr>
        <w:rPr>
          <w:lang w:val="de-DE"/>
        </w:rPr>
      </w:pPr>
      <w:r w:rsidRPr="004676F5">
        <w:rPr>
          <w:lang w:val="de-DE"/>
        </w:rPr>
        <w:br w:type="page"/>
      </w:r>
    </w:p>
    <w:p w14:paraId="26755FDC" w14:textId="3D5E9683" w:rsidR="00DA3F26" w:rsidRPr="004676F5" w:rsidRDefault="00DA3F26" w:rsidP="00DA3F26">
      <w:pPr>
        <w:ind w:firstLine="708"/>
        <w:jc w:val="both"/>
        <w:rPr>
          <w:lang w:val="de-DE"/>
        </w:rPr>
      </w:pPr>
      <w:r w:rsidRPr="004676F5">
        <w:rPr>
          <w:lang w:val="de-DE"/>
        </w:rPr>
        <w:lastRenderedPageBreak/>
        <w:t>§ 2 </w:t>
      </w:r>
      <w:r w:rsidR="005B7A5C" w:rsidRPr="004676F5">
        <w:rPr>
          <w:lang w:val="de-DE"/>
        </w:rPr>
        <w:t>- </w:t>
      </w:r>
      <w:r w:rsidRPr="004676F5">
        <w:rPr>
          <w:lang w:val="de-DE"/>
        </w:rPr>
        <w:t>Der Zahlungsdienstleister des Zahlungsempfängers stellt sicher, dass der Betrag des Zahlungsvorgangs dem Zahlungsempfänger unverzüglich zur Verfügung steht, nachdem er dem Konto seines Zahlungsdienstleisters gutgeschrieben wurde, wenn auf Seiten des Zahlungsdienstleisters des Zahlungsempfängers:</w:t>
      </w:r>
    </w:p>
    <w:p w14:paraId="7FEB37C3" w14:textId="77777777" w:rsidR="00DA3F26" w:rsidRPr="004676F5" w:rsidRDefault="00DA3F26" w:rsidP="00DA3F26">
      <w:pPr>
        <w:ind w:firstLine="708"/>
        <w:jc w:val="both"/>
        <w:rPr>
          <w:lang w:val="de-DE"/>
        </w:rPr>
      </w:pPr>
    </w:p>
    <w:p w14:paraId="7DC7208F" w14:textId="77777777" w:rsidR="00DA3F26" w:rsidRPr="004676F5" w:rsidRDefault="00DA3F26" w:rsidP="00DA3F26">
      <w:pPr>
        <w:ind w:firstLine="708"/>
        <w:jc w:val="both"/>
        <w:rPr>
          <w:lang w:val="de-DE"/>
        </w:rPr>
      </w:pPr>
      <w:r w:rsidRPr="004676F5">
        <w:rPr>
          <w:lang w:val="de-DE"/>
        </w:rPr>
        <w:t>1. keine Währungsumrechnung erfolgt oder</w:t>
      </w:r>
    </w:p>
    <w:p w14:paraId="5B38FD5E" w14:textId="77777777" w:rsidR="00DA3F26" w:rsidRPr="004676F5" w:rsidRDefault="00DA3F26" w:rsidP="00DA3F26">
      <w:pPr>
        <w:ind w:firstLine="708"/>
        <w:jc w:val="both"/>
        <w:rPr>
          <w:lang w:val="de-DE"/>
        </w:rPr>
      </w:pPr>
    </w:p>
    <w:p w14:paraId="345CDCE3" w14:textId="77777777" w:rsidR="00DA3F26" w:rsidRPr="004676F5" w:rsidRDefault="00DA3F26" w:rsidP="00DA3F26">
      <w:pPr>
        <w:ind w:firstLine="708"/>
        <w:jc w:val="both"/>
        <w:rPr>
          <w:lang w:val="de-DE"/>
        </w:rPr>
      </w:pPr>
      <w:r w:rsidRPr="004676F5">
        <w:rPr>
          <w:lang w:val="de-DE"/>
        </w:rPr>
        <w:t>2. eine Währungsumrechnung zwischen dem Euro und einer Währung eines Mitgliedstaats oder zwischen den Währungen zweier Mitgliedstaaten erfolgt.</w:t>
      </w:r>
    </w:p>
    <w:p w14:paraId="6992ACDB" w14:textId="77777777" w:rsidR="00DA3F26" w:rsidRPr="004676F5" w:rsidRDefault="00DA3F26" w:rsidP="00DA3F26">
      <w:pPr>
        <w:ind w:firstLine="708"/>
        <w:jc w:val="both"/>
        <w:rPr>
          <w:lang w:val="de-DE"/>
        </w:rPr>
      </w:pPr>
    </w:p>
    <w:p w14:paraId="3AFE36D5" w14:textId="77777777" w:rsidR="00DA3F26" w:rsidRPr="004676F5" w:rsidRDefault="00DA3F26" w:rsidP="00DA3F26">
      <w:pPr>
        <w:ind w:firstLine="708"/>
        <w:jc w:val="both"/>
        <w:rPr>
          <w:lang w:val="de-DE"/>
        </w:rPr>
      </w:pPr>
      <w:r w:rsidRPr="004676F5">
        <w:rPr>
          <w:lang w:val="de-DE"/>
        </w:rPr>
        <w:t>Die Verpflichtung nach Absatz 1 gilt auch für Zahlungen innerhalb eines Zahlungs</w:t>
      </w:r>
      <w:r w:rsidRPr="004676F5">
        <w:rPr>
          <w:lang w:val="de-DE"/>
        </w:rPr>
        <w:softHyphen/>
        <w:t>dienstleisters.</w:t>
      </w:r>
    </w:p>
    <w:p w14:paraId="458A6B16" w14:textId="77777777" w:rsidR="00DA3F26" w:rsidRPr="004676F5" w:rsidRDefault="00DA3F26" w:rsidP="00DA3F26">
      <w:pPr>
        <w:ind w:firstLine="708"/>
        <w:jc w:val="both"/>
        <w:rPr>
          <w:lang w:val="de-DE"/>
        </w:rPr>
      </w:pPr>
    </w:p>
    <w:p w14:paraId="6A3AFF6F" w14:textId="35FFC4B4"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Das Datum der Wertstellung einer Belastung auf dem Zahlungskonto des Zahlers ist frühestens der Zeitpunkt, an dem dieses Zahlungskonto mit dem Betrag des Zahlungs</w:t>
      </w:r>
      <w:r w:rsidRPr="004676F5">
        <w:rPr>
          <w:lang w:val="de-DE"/>
        </w:rPr>
        <w:softHyphen/>
        <w:t>vorgangs belastet wird.</w:t>
      </w:r>
    </w:p>
    <w:p w14:paraId="74663A5C" w14:textId="43870A13" w:rsidR="00DA3F26" w:rsidRPr="004676F5" w:rsidRDefault="00DA3F26" w:rsidP="00DA3F26">
      <w:pPr>
        <w:ind w:firstLine="708"/>
        <w:rPr>
          <w:lang w:val="de-DE"/>
        </w:rPr>
      </w:pPr>
    </w:p>
    <w:p w14:paraId="2E9A545E" w14:textId="77777777" w:rsidR="007E2AED" w:rsidRPr="004676F5" w:rsidRDefault="007E2AED" w:rsidP="00DA3F26">
      <w:pPr>
        <w:ind w:firstLine="708"/>
        <w:rPr>
          <w:lang w:val="de-DE"/>
        </w:rPr>
      </w:pPr>
    </w:p>
    <w:p w14:paraId="10D9D0FD" w14:textId="55BAC73F" w:rsidR="00DA3F26" w:rsidRPr="004676F5" w:rsidRDefault="00DA3F26" w:rsidP="00DA3F26">
      <w:pPr>
        <w:jc w:val="center"/>
        <w:rPr>
          <w:lang w:val="de-DE"/>
        </w:rPr>
      </w:pPr>
      <w:r w:rsidRPr="004676F5">
        <w:rPr>
          <w:i/>
          <w:lang w:val="de-DE"/>
        </w:rPr>
        <w:t>Abschnitt 4 </w:t>
      </w:r>
      <w:r w:rsidR="005B7A5C" w:rsidRPr="004676F5">
        <w:rPr>
          <w:i/>
          <w:lang w:val="de-DE"/>
        </w:rPr>
        <w:t>- </w:t>
      </w:r>
      <w:r w:rsidRPr="004676F5">
        <w:rPr>
          <w:lang w:val="de-DE"/>
        </w:rPr>
        <w:t>Haftung bei fehlerhaften Kundenidentifikatoren oder nicht erfolgter, fehlerhafter oder verspäteter Ausführung von Zahlungsvorgängen</w:t>
      </w:r>
    </w:p>
    <w:p w14:paraId="0F332D3D" w14:textId="71A36F57" w:rsidR="00DA3F26" w:rsidRPr="004676F5" w:rsidRDefault="00DA3F26" w:rsidP="00DA3F26">
      <w:pPr>
        <w:jc w:val="center"/>
        <w:rPr>
          <w:lang w:val="de-DE"/>
        </w:rPr>
      </w:pPr>
    </w:p>
    <w:p w14:paraId="25F34A9A" w14:textId="77777777" w:rsidR="007E2AED" w:rsidRPr="004676F5" w:rsidRDefault="007E2AED" w:rsidP="00DA3F26">
      <w:pPr>
        <w:jc w:val="center"/>
        <w:rPr>
          <w:lang w:val="de-DE"/>
        </w:rPr>
      </w:pPr>
    </w:p>
    <w:p w14:paraId="395B40E5" w14:textId="5B8F4C8C" w:rsidR="00DA3F26" w:rsidRPr="004676F5" w:rsidRDefault="00DA3F26" w:rsidP="00DA3F26">
      <w:pPr>
        <w:ind w:firstLine="708"/>
        <w:jc w:val="both"/>
        <w:rPr>
          <w:lang w:val="de-DE"/>
        </w:rPr>
      </w:pPr>
      <w:r w:rsidRPr="004676F5">
        <w:rPr>
          <w:b/>
          <w:lang w:val="de-DE"/>
        </w:rPr>
        <w:t>Art. VII.55/2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Wird ein Zahlungsauftrag in Übereinstimmung mit dem Kundenidentifikator ausgeführt, gilt der Zahlungsauftrag gegenüber dem durch den Kunden</w:t>
      </w:r>
      <w:r w:rsidRPr="004676F5">
        <w:rPr>
          <w:lang w:val="de-DE"/>
        </w:rPr>
        <w:softHyphen/>
        <w:t>identifikator bezeichneten Zahlungsempfänger als korrekt ausgeführt.</w:t>
      </w:r>
    </w:p>
    <w:p w14:paraId="7CD572D2" w14:textId="77777777" w:rsidR="00DA3F26" w:rsidRPr="004676F5" w:rsidRDefault="00DA3F26" w:rsidP="00DA3F26">
      <w:pPr>
        <w:ind w:firstLine="708"/>
        <w:jc w:val="both"/>
        <w:rPr>
          <w:lang w:val="de-DE"/>
        </w:rPr>
      </w:pPr>
    </w:p>
    <w:p w14:paraId="23A2D621" w14:textId="77777777" w:rsidR="00DA3F26" w:rsidRPr="004676F5" w:rsidRDefault="00DA3F26" w:rsidP="00DA3F26">
      <w:pPr>
        <w:ind w:firstLine="708"/>
        <w:jc w:val="both"/>
        <w:rPr>
          <w:lang w:val="de-DE"/>
        </w:rPr>
      </w:pPr>
      <w:r w:rsidRPr="004676F5">
        <w:rPr>
          <w:lang w:val="de-DE"/>
        </w:rPr>
        <w:t>Der Zahlungsdienstleister überprüft dennoch, soweit technisch und ohne manuelles Eingreifen möglich, ob der Kundenidentifikator kohärent ist. Ist dies nicht der Fall, weist er den Zahlungsauftrag zurück und unterrichtet er den Zahlungsdienstnutzer, der den Kunden</w:t>
      </w:r>
      <w:r w:rsidRPr="004676F5">
        <w:rPr>
          <w:lang w:val="de-DE"/>
        </w:rPr>
        <w:softHyphen/>
        <w:t>identifikator mitgeteilt hat.</w:t>
      </w:r>
    </w:p>
    <w:p w14:paraId="38FD82EF" w14:textId="77777777" w:rsidR="00DA3F26" w:rsidRPr="004676F5" w:rsidRDefault="00DA3F26" w:rsidP="00DA3F26">
      <w:pPr>
        <w:ind w:firstLine="708"/>
        <w:jc w:val="both"/>
        <w:rPr>
          <w:lang w:val="de-DE"/>
        </w:rPr>
      </w:pPr>
    </w:p>
    <w:p w14:paraId="7094E795" w14:textId="5F546B84"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Ist der vom Zahlungsdienstnutzer angegebene Kundenidentifikator fehlerhaft, haftet der Zahlungsdienstleister nicht gemäß den Artikeln VII.55/3 und VII.55/4 für die nicht erfolgte oder fehlerhafte Ausführung des Zahlungsvorgangs, sofern er die in § 1 vorgesehene Überprüfung durchgeführt hat.</w:t>
      </w:r>
    </w:p>
    <w:p w14:paraId="1B853A63" w14:textId="77777777" w:rsidR="00DA3F26" w:rsidRPr="004676F5" w:rsidRDefault="00DA3F26" w:rsidP="00DA3F26">
      <w:pPr>
        <w:ind w:firstLine="708"/>
        <w:jc w:val="both"/>
        <w:rPr>
          <w:lang w:val="de-DE"/>
        </w:rPr>
      </w:pPr>
    </w:p>
    <w:p w14:paraId="611DBA29" w14:textId="5146857E"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Der Zahlungsdienstleister des Zahlers bemüht sich jedoch im Rahmen des Zumutbaren, den Geldbetrag, der Gegenstand des Zahlungsvorgangs war, wiederzuerlangen.</w:t>
      </w:r>
    </w:p>
    <w:p w14:paraId="4C7B9AB3" w14:textId="77777777" w:rsidR="00DA3F26" w:rsidRPr="004676F5" w:rsidRDefault="00DA3F26" w:rsidP="00DA3F26">
      <w:pPr>
        <w:ind w:firstLine="708"/>
        <w:jc w:val="both"/>
        <w:rPr>
          <w:lang w:val="de-DE"/>
        </w:rPr>
      </w:pPr>
    </w:p>
    <w:p w14:paraId="3CEA9CC5" w14:textId="77777777" w:rsidR="00DA3F26" w:rsidRPr="004676F5" w:rsidRDefault="00DA3F26" w:rsidP="00DA3F26">
      <w:pPr>
        <w:ind w:firstLine="708"/>
        <w:jc w:val="both"/>
        <w:rPr>
          <w:lang w:val="de-DE"/>
        </w:rPr>
      </w:pPr>
      <w:r w:rsidRPr="004676F5">
        <w:rPr>
          <w:lang w:val="de-DE"/>
        </w:rPr>
        <w:t>Der Zahlungsdienstleister des Zahlungsempfängers beteiligt sich an diesen Bemühungen auch dadurch, dass er dem Zahlungsdienstleister des Zahlers alle für die Wiedererlangung des Geldbetrags maßgeblichen Informationen mitteilt.</w:t>
      </w:r>
    </w:p>
    <w:p w14:paraId="0F8CFFF2" w14:textId="77777777" w:rsidR="00DA3F26" w:rsidRPr="004676F5" w:rsidRDefault="00DA3F26" w:rsidP="00DA3F26">
      <w:pPr>
        <w:ind w:firstLine="708"/>
        <w:jc w:val="both"/>
        <w:rPr>
          <w:lang w:val="de-DE"/>
        </w:rPr>
      </w:pPr>
    </w:p>
    <w:p w14:paraId="2F439A3E" w14:textId="77777777" w:rsidR="00DA3F26" w:rsidRPr="004676F5" w:rsidRDefault="00DA3F26" w:rsidP="00DA3F26">
      <w:pPr>
        <w:ind w:firstLine="708"/>
        <w:jc w:val="both"/>
        <w:rPr>
          <w:lang w:val="de-DE"/>
        </w:rPr>
      </w:pPr>
      <w:r w:rsidRPr="004676F5">
        <w:rPr>
          <w:lang w:val="de-DE"/>
        </w:rPr>
        <w:t>Ist die Einziehung des Geldbetrags nach Absatz 1 nicht möglich, so teilt der Zahlungsdienstleister des Zahlers dem Zahler auf schriftlichen Antrag alle Informationen mit, über die der Zahlungsdienstleister des Zahlers verfügt und die für den Zahler relevant sind, damit dieser seinen Anspruch auf Rückerstattung des Betrags auf dem Rechtsweg geltend machen kann.</w:t>
      </w:r>
    </w:p>
    <w:p w14:paraId="4F810042" w14:textId="77777777" w:rsidR="00DA3F26" w:rsidRPr="004676F5" w:rsidRDefault="00DA3F26" w:rsidP="00DA3F26">
      <w:pPr>
        <w:ind w:firstLine="708"/>
        <w:jc w:val="both"/>
        <w:rPr>
          <w:lang w:val="de-DE"/>
        </w:rPr>
      </w:pPr>
    </w:p>
    <w:p w14:paraId="22F3C59C" w14:textId="47A64D14" w:rsidR="00DA3F26" w:rsidRPr="004676F5" w:rsidRDefault="00DA3F26" w:rsidP="00DA3F26">
      <w:pPr>
        <w:ind w:firstLine="708"/>
        <w:jc w:val="both"/>
        <w:rPr>
          <w:lang w:val="de-DE"/>
        </w:rPr>
      </w:pPr>
      <w:r w:rsidRPr="004676F5">
        <w:rPr>
          <w:lang w:val="de-DE"/>
        </w:rPr>
        <w:t>§ 4 </w:t>
      </w:r>
      <w:r w:rsidR="005B7A5C" w:rsidRPr="004676F5">
        <w:rPr>
          <w:lang w:val="de-DE"/>
        </w:rPr>
        <w:t>- </w:t>
      </w:r>
      <w:r w:rsidRPr="004676F5">
        <w:rPr>
          <w:lang w:val="de-DE"/>
        </w:rPr>
        <w:t>Der Zahlungsdienstleister kann dem Zahlungsdienstnutzer für die Wieder</w:t>
      </w:r>
      <w:r w:rsidRPr="004676F5">
        <w:rPr>
          <w:lang w:val="de-DE"/>
        </w:rPr>
        <w:softHyphen/>
        <w:t>beschaffung ein Entgelt in Rechnung stellen, wenn das im Rahmenvertrag vereinbart wurde.</w:t>
      </w:r>
    </w:p>
    <w:p w14:paraId="7CF0BF25" w14:textId="77777777" w:rsidR="00DA3F26" w:rsidRPr="004676F5" w:rsidRDefault="00DA3F26" w:rsidP="00DA3F26">
      <w:pPr>
        <w:ind w:firstLine="708"/>
        <w:jc w:val="both"/>
        <w:rPr>
          <w:lang w:val="de-DE"/>
        </w:rPr>
      </w:pPr>
    </w:p>
    <w:p w14:paraId="3AE1E79A" w14:textId="43719EA1" w:rsidR="00DA3F26" w:rsidRPr="004676F5" w:rsidRDefault="00DA3F26" w:rsidP="00DA3F26">
      <w:pPr>
        <w:ind w:firstLine="708"/>
        <w:jc w:val="both"/>
        <w:rPr>
          <w:lang w:val="de-DE"/>
        </w:rPr>
      </w:pPr>
      <w:r w:rsidRPr="004676F5">
        <w:rPr>
          <w:lang w:val="de-DE"/>
        </w:rPr>
        <w:lastRenderedPageBreak/>
        <w:t>§ 5 </w:t>
      </w:r>
      <w:r w:rsidR="005B7A5C" w:rsidRPr="004676F5">
        <w:rPr>
          <w:lang w:val="de-DE"/>
        </w:rPr>
        <w:t>- </w:t>
      </w:r>
      <w:r w:rsidRPr="004676F5">
        <w:rPr>
          <w:lang w:val="de-DE"/>
        </w:rPr>
        <w:t>Macht der Zahlungsdienstnutzer weitergehende Angaben als nach den Artikeln VII.81 § 1 Nr. 1 oder VII.22 Nr. 2 Buchstabe </w:t>
      </w:r>
      <w:r w:rsidRPr="004676F5">
        <w:rPr>
          <w:i/>
          <w:lang w:val="de-DE"/>
        </w:rPr>
        <w:t>b)</w:t>
      </w:r>
      <w:r w:rsidRPr="004676F5">
        <w:rPr>
          <w:lang w:val="de-DE"/>
        </w:rPr>
        <w:t xml:space="preserve"> festgelegt, haftet der Zahlungsdienst</w:t>
      </w:r>
      <w:r w:rsidRPr="004676F5">
        <w:rPr>
          <w:lang w:val="de-DE"/>
        </w:rPr>
        <w:softHyphen/>
        <w:t>leister nur für die Ausführung von Zahlungsvorgängen in Übereinstimmung mit dem vom Zahlungsdienstnutzer angegebenen Kundenidentifikator.</w:t>
      </w:r>
    </w:p>
    <w:p w14:paraId="077ECDD9" w14:textId="0181C24D" w:rsidR="00DA3F26" w:rsidRPr="004676F5" w:rsidRDefault="00DA3F26" w:rsidP="00DA3F26">
      <w:pPr>
        <w:ind w:firstLine="708"/>
        <w:jc w:val="both"/>
        <w:rPr>
          <w:lang w:val="de-DE"/>
        </w:rPr>
      </w:pPr>
    </w:p>
    <w:p w14:paraId="6A07BAF8" w14:textId="77777777" w:rsidR="007E2AED" w:rsidRPr="004676F5" w:rsidRDefault="007E2AED" w:rsidP="00DA3F26">
      <w:pPr>
        <w:ind w:firstLine="708"/>
        <w:jc w:val="both"/>
        <w:rPr>
          <w:lang w:val="de-DE"/>
        </w:rPr>
      </w:pPr>
    </w:p>
    <w:p w14:paraId="26ABBB93" w14:textId="7921639E" w:rsidR="00DA3F26" w:rsidRPr="004676F5" w:rsidRDefault="00DA3F26" w:rsidP="00DA3F26">
      <w:pPr>
        <w:ind w:firstLine="708"/>
        <w:jc w:val="both"/>
        <w:rPr>
          <w:lang w:val="de-DE"/>
        </w:rPr>
      </w:pPr>
      <w:r w:rsidRPr="004676F5">
        <w:rPr>
          <w:b/>
          <w:lang w:val="de-DE"/>
        </w:rPr>
        <w:t>Art. VII.55/3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Wird ein Zahlungsauftrag vom Zahler direkt ausgelöst, so haftet der Zahlungsdienstleister des Zahlers unbeschadet des Artikels VII.41, des Artikels VII.55/2 §§ 2 und 3 und des Artikels VII/55/9 gegenüber dem Zahler für die ordnungsgemäße Ausführung des Zahlungsvorgangs, es sei denn, er kann gegenüber dem Zahler und gegebenenfalls dem Zahlungsdienstleister des Zahlungsempfängers nachweisen, dass der Betrag des Zahlungs</w:t>
      </w:r>
      <w:r w:rsidRPr="004676F5">
        <w:rPr>
          <w:lang w:val="de-DE"/>
        </w:rPr>
        <w:softHyphen/>
        <w:t>vorgangs gemäß Artikel VII.53 § 1 beim Zahlungsdienstleister des Zahlungsempfängers eingegangen ist.</w:t>
      </w:r>
    </w:p>
    <w:p w14:paraId="2547C3A8" w14:textId="77777777" w:rsidR="00DA3F26" w:rsidRPr="004676F5" w:rsidRDefault="00DA3F26" w:rsidP="00DA3F26">
      <w:pPr>
        <w:ind w:firstLine="708"/>
        <w:jc w:val="both"/>
        <w:rPr>
          <w:lang w:val="de-DE"/>
        </w:rPr>
      </w:pPr>
    </w:p>
    <w:p w14:paraId="4D29C1EC" w14:textId="77777777" w:rsidR="00DA3F26" w:rsidRPr="004676F5" w:rsidRDefault="00DA3F26" w:rsidP="00DA3F26">
      <w:pPr>
        <w:ind w:firstLine="708"/>
        <w:jc w:val="both"/>
        <w:rPr>
          <w:lang w:val="de-DE"/>
        </w:rPr>
      </w:pPr>
      <w:r w:rsidRPr="004676F5">
        <w:rPr>
          <w:lang w:val="de-DE"/>
        </w:rPr>
        <w:t>In diesem Fall haftet der Zahlungsdienstleister des Zahlungsempfängers gegenüber dem Zahlungsempfänger für die ordnungsgemäße Ausführung des Zahlungsvorgangs.</w:t>
      </w:r>
    </w:p>
    <w:p w14:paraId="560155EC" w14:textId="77777777" w:rsidR="00DA3F26" w:rsidRPr="004676F5" w:rsidRDefault="00DA3F26" w:rsidP="00DA3F26">
      <w:pPr>
        <w:ind w:firstLine="708"/>
        <w:jc w:val="both"/>
        <w:rPr>
          <w:lang w:val="de-DE"/>
        </w:rPr>
      </w:pPr>
    </w:p>
    <w:p w14:paraId="0C4A1AC0" w14:textId="03A125AB"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Haftet der Zahlungsdienstleister des Zahlers nach § 1, so erstattet er dem Zahler unverzüglich den Betrag des nicht oder fehlerhaft ausgeführten Zahlungsvorgangs und bringt das belastete Zahlungskonto gegebenenfalls wieder auf den Stand, auf dem es sich ohne den fehlerhaft ausgeführten Zahlungsvorgang befunden hätte.</w:t>
      </w:r>
    </w:p>
    <w:p w14:paraId="11F0ED54" w14:textId="77777777" w:rsidR="00DA3F26" w:rsidRPr="004676F5" w:rsidRDefault="00DA3F26" w:rsidP="00DA3F26">
      <w:pPr>
        <w:ind w:firstLine="708"/>
        <w:jc w:val="both"/>
        <w:rPr>
          <w:lang w:val="de-DE"/>
        </w:rPr>
      </w:pPr>
    </w:p>
    <w:p w14:paraId="62CD5E1F" w14:textId="77777777" w:rsidR="00DA3F26" w:rsidRPr="004676F5" w:rsidRDefault="00DA3F26" w:rsidP="00DA3F26">
      <w:pPr>
        <w:ind w:firstLine="708"/>
        <w:jc w:val="both"/>
        <w:rPr>
          <w:lang w:val="de-DE"/>
        </w:rPr>
      </w:pPr>
      <w:r w:rsidRPr="004676F5">
        <w:rPr>
          <w:lang w:val="de-DE"/>
        </w:rPr>
        <w:t>Der Betrag wird auf dem Zahlungskonto des Zahlers spätestens zu dem Datum der Belastung des Kontos wertgestellt.</w:t>
      </w:r>
    </w:p>
    <w:p w14:paraId="7BA0A459" w14:textId="77777777" w:rsidR="00DA3F26" w:rsidRPr="004676F5" w:rsidRDefault="00DA3F26" w:rsidP="00DA3F26">
      <w:pPr>
        <w:ind w:firstLine="708"/>
        <w:jc w:val="both"/>
        <w:rPr>
          <w:lang w:val="de-DE"/>
        </w:rPr>
      </w:pPr>
    </w:p>
    <w:p w14:paraId="5CCDE969" w14:textId="77777777" w:rsidR="00DA3F26" w:rsidRPr="004676F5" w:rsidRDefault="00DA3F26" w:rsidP="00DA3F26">
      <w:pPr>
        <w:ind w:firstLine="708"/>
        <w:jc w:val="both"/>
        <w:rPr>
          <w:lang w:val="de-DE"/>
        </w:rPr>
      </w:pPr>
      <w:r w:rsidRPr="004676F5">
        <w:rPr>
          <w:lang w:val="de-DE"/>
        </w:rPr>
        <w:t>Haftet der Zahlungsdienstleister des Zahlungsempfängers nach § 1, so stellt er dem Zahlungsempfänger den Betrag des Zahlungsvorgangs unverzüglich zur Verfügung und schreibt gegebenenfalls dem Zahlungskonto des Zahlungsempfängers den entsprechenden Betrag gut.</w:t>
      </w:r>
    </w:p>
    <w:p w14:paraId="62803D61" w14:textId="77777777" w:rsidR="00DA3F26" w:rsidRPr="004676F5" w:rsidRDefault="00DA3F26" w:rsidP="00DA3F26">
      <w:pPr>
        <w:ind w:firstLine="708"/>
        <w:jc w:val="both"/>
        <w:rPr>
          <w:lang w:val="de-DE"/>
        </w:rPr>
      </w:pPr>
    </w:p>
    <w:p w14:paraId="6CBFA314" w14:textId="77777777" w:rsidR="00DA3F26" w:rsidRPr="004676F5" w:rsidRDefault="00DA3F26" w:rsidP="00DA3F26">
      <w:pPr>
        <w:ind w:firstLine="708"/>
        <w:jc w:val="both"/>
        <w:rPr>
          <w:lang w:val="de-DE"/>
        </w:rPr>
      </w:pPr>
      <w:r w:rsidRPr="004676F5">
        <w:rPr>
          <w:lang w:val="de-DE"/>
        </w:rPr>
        <w:t>Der Betrag wird auf dem Zahlungskonto des Zahlungsempfängers spätestens zu dem Datum wertgestellt, zu dem der Betrag bei korrekter Ausführung gemäß Artikel VII.55/1 wertgestellt worden wäre.</w:t>
      </w:r>
    </w:p>
    <w:p w14:paraId="0EE0253D" w14:textId="77777777" w:rsidR="00DA3F26" w:rsidRPr="004676F5" w:rsidRDefault="00DA3F26" w:rsidP="00DA3F26">
      <w:pPr>
        <w:ind w:firstLine="708"/>
        <w:jc w:val="both"/>
        <w:rPr>
          <w:lang w:val="de-DE"/>
        </w:rPr>
      </w:pPr>
    </w:p>
    <w:p w14:paraId="48014916" w14:textId="1375A790"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Wird ein Zahlungsvorgang verspätet ausgeführt, stellt der Zahlungsdienstleister des Zahlungsempfängers auf Verlangen des für den Zahler auftretenden Zahlungsdienstleisters des Zahlers sicher, dass der Betrag auf dem Zahlungskonto des Zahlungsempfängers spätestens zu dem Datum wertgestellt wird, zu dem der Betrag bei korrekter Ausführung wertgestellt worden wäre.</w:t>
      </w:r>
    </w:p>
    <w:p w14:paraId="745DA61C" w14:textId="77777777" w:rsidR="00DA3F26" w:rsidRPr="004676F5" w:rsidRDefault="00DA3F26" w:rsidP="00DA3F26">
      <w:pPr>
        <w:ind w:firstLine="708"/>
        <w:jc w:val="both"/>
        <w:rPr>
          <w:lang w:val="de-DE"/>
        </w:rPr>
      </w:pPr>
    </w:p>
    <w:p w14:paraId="47BA6733" w14:textId="49547807" w:rsidR="00DA3F26" w:rsidRPr="004676F5" w:rsidRDefault="00DA3F26" w:rsidP="00DA3F26">
      <w:pPr>
        <w:ind w:firstLine="708"/>
        <w:jc w:val="both"/>
        <w:rPr>
          <w:lang w:val="de-DE"/>
        </w:rPr>
      </w:pPr>
      <w:r w:rsidRPr="004676F5">
        <w:rPr>
          <w:lang w:val="de-DE"/>
        </w:rPr>
        <w:t>§ 4 </w:t>
      </w:r>
      <w:r w:rsidR="005B7A5C" w:rsidRPr="004676F5">
        <w:rPr>
          <w:lang w:val="de-DE"/>
        </w:rPr>
        <w:t>- </w:t>
      </w:r>
      <w:r w:rsidRPr="004676F5">
        <w:rPr>
          <w:lang w:val="de-DE"/>
        </w:rPr>
        <w:t xml:space="preserve">Im Fall eines nicht oder fehlerhaft ausgeführten Zahlungsvorgangs, bei dem der Zahlungsauftrag durch den Zahler ausgelöst wurde, bemüht sich der Zahlungsdienstleister des Zahlers auf dessen Verlangen </w:t>
      </w:r>
      <w:r w:rsidR="005B7A5C" w:rsidRPr="004676F5">
        <w:rPr>
          <w:lang w:val="de-DE"/>
        </w:rPr>
        <w:t>- </w:t>
      </w:r>
      <w:r w:rsidRPr="004676F5">
        <w:rPr>
          <w:lang w:val="de-DE"/>
        </w:rPr>
        <w:t>ungeachtet der Haftung nach vorliegendem Artikel </w:t>
      </w:r>
      <w:r w:rsidR="005B7A5C" w:rsidRPr="004676F5">
        <w:rPr>
          <w:lang w:val="de-DE"/>
        </w:rPr>
        <w:t>- </w:t>
      </w:r>
      <w:r w:rsidRPr="004676F5">
        <w:rPr>
          <w:lang w:val="de-DE"/>
        </w:rPr>
        <w:t>unverzüglich darum, den Zahlungsvorgang zurückzuverfolgen und den Zahler über das Ergebnis zu unterrichten; dem Zahler wird dafür kein Entgelt in Rechnung gestellt.</w:t>
      </w:r>
    </w:p>
    <w:p w14:paraId="5515E013" w14:textId="459CA25F" w:rsidR="00DA3F26" w:rsidRPr="004676F5" w:rsidRDefault="00DA3F26" w:rsidP="00DA3F26">
      <w:pPr>
        <w:ind w:firstLine="708"/>
        <w:jc w:val="both"/>
        <w:rPr>
          <w:lang w:val="de-DE"/>
        </w:rPr>
      </w:pPr>
    </w:p>
    <w:p w14:paraId="250DF97E" w14:textId="77777777" w:rsidR="007E2AED" w:rsidRPr="004676F5" w:rsidRDefault="007E2AED" w:rsidP="00DA3F26">
      <w:pPr>
        <w:ind w:firstLine="708"/>
        <w:jc w:val="both"/>
        <w:rPr>
          <w:lang w:val="de-DE"/>
        </w:rPr>
      </w:pPr>
    </w:p>
    <w:p w14:paraId="43421CDB" w14:textId="7F0AE9A6" w:rsidR="00DA3F26" w:rsidRPr="004676F5" w:rsidRDefault="00DA3F26" w:rsidP="00DA3F26">
      <w:pPr>
        <w:ind w:firstLine="708"/>
        <w:jc w:val="both"/>
        <w:rPr>
          <w:lang w:val="de-DE"/>
        </w:rPr>
      </w:pPr>
      <w:r w:rsidRPr="004676F5">
        <w:rPr>
          <w:b/>
          <w:lang w:val="de-DE"/>
        </w:rPr>
        <w:t>Art. VII.55/4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Wird ein Zahlungsauftrag vom Zahlungsempfänger oder über diesen ausgelöst, haftet der Zahlungsdienstleister des Zahlungsempfängers unbeschadet der Artikel VII.41, VII.55/2 §§ 2 bis 5 und VII.55/9 gegenüber dem Zahlungsempfänger für die ordnungsgemäße Übermittlung des Zahlungsauftrags an den Zahlungsdienstleister des Zahlers gemäß Artikel VII.53 § 3.</w:t>
      </w:r>
    </w:p>
    <w:p w14:paraId="5A59E33C" w14:textId="77777777" w:rsidR="00DA3F26" w:rsidRPr="004676F5" w:rsidRDefault="00DA3F26" w:rsidP="00DA3F26">
      <w:pPr>
        <w:ind w:firstLine="708"/>
        <w:jc w:val="both"/>
        <w:rPr>
          <w:lang w:val="de-DE"/>
        </w:rPr>
      </w:pPr>
    </w:p>
    <w:p w14:paraId="456F614B" w14:textId="77777777" w:rsidR="00DA3F26" w:rsidRPr="004676F5" w:rsidRDefault="00DA3F26" w:rsidP="00DA3F26">
      <w:pPr>
        <w:ind w:firstLine="708"/>
        <w:jc w:val="both"/>
        <w:rPr>
          <w:lang w:val="de-DE"/>
        </w:rPr>
      </w:pPr>
      <w:r w:rsidRPr="004676F5">
        <w:rPr>
          <w:lang w:val="de-DE"/>
        </w:rPr>
        <w:t>Haftet der Zahlungsdienstleister des Zahlungsempfängers nach vorhergehendem Absatz, muss er den fraglichen Zahlungsauftrag unverzüglich zurück an den Zahlungsdienst</w:t>
      </w:r>
      <w:r w:rsidRPr="004676F5">
        <w:rPr>
          <w:lang w:val="de-DE"/>
        </w:rPr>
        <w:softHyphen/>
        <w:t>leister des Zahlers übermitteln.</w:t>
      </w:r>
    </w:p>
    <w:p w14:paraId="5CF454AF" w14:textId="77777777" w:rsidR="00DA3F26" w:rsidRPr="004676F5" w:rsidRDefault="00DA3F26" w:rsidP="00DA3F26">
      <w:pPr>
        <w:ind w:firstLine="708"/>
        <w:jc w:val="both"/>
        <w:rPr>
          <w:lang w:val="de-DE"/>
        </w:rPr>
      </w:pPr>
    </w:p>
    <w:p w14:paraId="2461A0A2" w14:textId="77777777" w:rsidR="00DA3F26" w:rsidRPr="004676F5" w:rsidRDefault="00DA3F26" w:rsidP="00DA3F26">
      <w:pPr>
        <w:ind w:firstLine="708"/>
        <w:jc w:val="both"/>
        <w:rPr>
          <w:lang w:val="de-DE"/>
        </w:rPr>
      </w:pPr>
      <w:r w:rsidRPr="004676F5">
        <w:rPr>
          <w:lang w:val="de-DE"/>
        </w:rPr>
        <w:t>Bei verspäteter Übermittlung des Zahlungsauftrags wird der Betrag auf dem Zahlungs</w:t>
      </w:r>
      <w:r w:rsidRPr="004676F5">
        <w:rPr>
          <w:lang w:val="de-DE"/>
        </w:rPr>
        <w:softHyphen/>
        <w:t>konto des Zahlungsempfängers spätestens zu dem Datum wertgestellt, zu dem der Betrag bei korrekter Ausführung wertgestellt worden wäre.</w:t>
      </w:r>
    </w:p>
    <w:p w14:paraId="505C1F46" w14:textId="77777777" w:rsidR="00DA3F26" w:rsidRPr="004676F5" w:rsidRDefault="00DA3F26" w:rsidP="00DA3F26">
      <w:pPr>
        <w:ind w:firstLine="708"/>
        <w:jc w:val="both"/>
        <w:rPr>
          <w:lang w:val="de-DE"/>
        </w:rPr>
      </w:pPr>
    </w:p>
    <w:p w14:paraId="792891A6" w14:textId="3C7095B2"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Der Zahlungsdienstleister des Zahlungsempfängers haftet unbeschadet der Artikel VII.41, VII.55/2 §§ 2 bis 5 und VII.55/9 gegenüber dem Zahlungsempfänger für die Bearbeitung des Zahlungsvorgangs entsprechend seinen Pflichten nach Artikel VII.55/1.</w:t>
      </w:r>
    </w:p>
    <w:p w14:paraId="2468899D" w14:textId="77777777" w:rsidR="00DA3F26" w:rsidRPr="004676F5" w:rsidRDefault="00DA3F26" w:rsidP="00DA3F26">
      <w:pPr>
        <w:ind w:firstLine="708"/>
        <w:jc w:val="both"/>
        <w:rPr>
          <w:lang w:val="de-DE"/>
        </w:rPr>
      </w:pPr>
    </w:p>
    <w:p w14:paraId="59740CB2" w14:textId="77777777" w:rsidR="00DA3F26" w:rsidRPr="004676F5" w:rsidRDefault="00DA3F26" w:rsidP="00DA3F26">
      <w:pPr>
        <w:ind w:firstLine="708"/>
        <w:jc w:val="both"/>
        <w:rPr>
          <w:lang w:val="de-DE"/>
        </w:rPr>
      </w:pPr>
      <w:r w:rsidRPr="004676F5">
        <w:rPr>
          <w:lang w:val="de-DE"/>
        </w:rPr>
        <w:t>Haftet der Zahlungsdienstleister des Zahlungsempfängers nach § 1 Absatz 1 und 2, stellt er sicher, dass der Betrag des Zahlungsvorgangs dem Zahlungsempfänger unverzüglich zur Verfügung steht, nachdem er dem Zahlungskonto des Zahlungsdienstleisters des Zahlungs</w:t>
      </w:r>
      <w:r w:rsidRPr="004676F5">
        <w:rPr>
          <w:lang w:val="de-DE"/>
        </w:rPr>
        <w:softHyphen/>
        <w:t>empfängers gutgeschrieben wurde.</w:t>
      </w:r>
    </w:p>
    <w:p w14:paraId="5417FF80" w14:textId="77777777" w:rsidR="00DA3F26" w:rsidRPr="004676F5" w:rsidRDefault="00DA3F26" w:rsidP="00DA3F26">
      <w:pPr>
        <w:ind w:firstLine="708"/>
        <w:jc w:val="both"/>
        <w:rPr>
          <w:lang w:val="de-DE"/>
        </w:rPr>
      </w:pPr>
    </w:p>
    <w:p w14:paraId="37B1AE7D" w14:textId="77777777" w:rsidR="00DA3F26" w:rsidRPr="004676F5" w:rsidRDefault="00DA3F26" w:rsidP="00DA3F26">
      <w:pPr>
        <w:ind w:firstLine="708"/>
        <w:jc w:val="both"/>
        <w:rPr>
          <w:lang w:val="de-DE"/>
        </w:rPr>
      </w:pPr>
      <w:r w:rsidRPr="004676F5">
        <w:rPr>
          <w:lang w:val="de-DE"/>
        </w:rPr>
        <w:t>Der Betrag wird auf dem Zahlungskonto des Zahlungsempfängers spätestens zu dem Datum wertgestellt, zu dem der Betrag bei korrekter Ausführung wertgestellt worden wäre.</w:t>
      </w:r>
    </w:p>
    <w:p w14:paraId="367FB4D9" w14:textId="77777777" w:rsidR="00DA3F26" w:rsidRPr="004676F5" w:rsidRDefault="00DA3F26" w:rsidP="00DA3F26">
      <w:pPr>
        <w:ind w:firstLine="708"/>
        <w:jc w:val="both"/>
        <w:rPr>
          <w:lang w:val="de-DE"/>
        </w:rPr>
      </w:pPr>
    </w:p>
    <w:p w14:paraId="5C49AE97" w14:textId="1577DE03"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Im Fall eines nicht oder fehlerhaft ausgeführten Zahlungsvorgangs, für den der Zahlungsdienstleister des Zahlungsempfängers nicht nach § 1 Absatz 1 und 2 und § 2 des vorliegenden Artikels haftet, haftet der Zahlungsdienstleister des Zahlers gegenüber dem Zahler.</w:t>
      </w:r>
    </w:p>
    <w:p w14:paraId="11BBB4D2" w14:textId="77777777" w:rsidR="00DA3F26" w:rsidRPr="004676F5" w:rsidRDefault="00DA3F26" w:rsidP="00DA3F26">
      <w:pPr>
        <w:ind w:firstLine="708"/>
        <w:jc w:val="both"/>
        <w:rPr>
          <w:lang w:val="de-DE"/>
        </w:rPr>
      </w:pPr>
    </w:p>
    <w:p w14:paraId="69148739" w14:textId="77777777" w:rsidR="00DA3F26" w:rsidRPr="004676F5" w:rsidRDefault="00DA3F26" w:rsidP="00DA3F26">
      <w:pPr>
        <w:ind w:firstLine="708"/>
        <w:jc w:val="both"/>
        <w:rPr>
          <w:lang w:val="de-DE"/>
        </w:rPr>
      </w:pPr>
      <w:r w:rsidRPr="004676F5">
        <w:rPr>
          <w:lang w:val="de-DE"/>
        </w:rPr>
        <w:t>Haftet der Zahlungsdienstleister des Zahlers nach vorhergehendem Absatz, erstattet er dem Zahler gegebenenfalls unverzüglich den Betrag des nicht oder fehlerhaft ausgeführten Zahlungsvorgangs und bringt das belastete Zahlungskonto unverzüglich wieder auf den Stand, auf dem es sich ohne den fehlerhaft ausgeführten Zahlungsvorgang befunden hätte.</w:t>
      </w:r>
    </w:p>
    <w:p w14:paraId="5394729E" w14:textId="77777777" w:rsidR="00DA3F26" w:rsidRPr="004676F5" w:rsidRDefault="00DA3F26" w:rsidP="00DA3F26">
      <w:pPr>
        <w:ind w:firstLine="708"/>
        <w:jc w:val="both"/>
        <w:rPr>
          <w:lang w:val="de-DE"/>
        </w:rPr>
      </w:pPr>
    </w:p>
    <w:p w14:paraId="00FDFA3C" w14:textId="77777777" w:rsidR="00DA3F26" w:rsidRPr="004676F5" w:rsidRDefault="00DA3F26" w:rsidP="00DA3F26">
      <w:pPr>
        <w:ind w:firstLine="708"/>
        <w:jc w:val="both"/>
        <w:rPr>
          <w:lang w:val="de-DE"/>
        </w:rPr>
      </w:pPr>
      <w:r w:rsidRPr="004676F5">
        <w:rPr>
          <w:lang w:val="de-DE"/>
        </w:rPr>
        <w:t>Der Betrag wird auf dem Zahlungskonto des Zahlers spätestens zu dem Datum der Belastung des Kontos wertgestellt.</w:t>
      </w:r>
    </w:p>
    <w:p w14:paraId="2A757351" w14:textId="77777777" w:rsidR="00DA3F26" w:rsidRPr="004676F5" w:rsidRDefault="00DA3F26" w:rsidP="00DA3F26">
      <w:pPr>
        <w:ind w:firstLine="708"/>
        <w:jc w:val="both"/>
        <w:rPr>
          <w:lang w:val="de-DE"/>
        </w:rPr>
      </w:pPr>
    </w:p>
    <w:p w14:paraId="76D5A1A5" w14:textId="77777777" w:rsidR="00DA3F26" w:rsidRPr="004676F5" w:rsidRDefault="00DA3F26" w:rsidP="00DA3F26">
      <w:pPr>
        <w:ind w:firstLine="708"/>
        <w:jc w:val="both"/>
        <w:rPr>
          <w:lang w:val="de-DE"/>
        </w:rPr>
      </w:pPr>
      <w:r w:rsidRPr="004676F5">
        <w:rPr>
          <w:lang w:val="de-DE"/>
        </w:rPr>
        <w:t>Die Verpflichtung des Zahlungsdienstleisters des Zahlers gemäß Absatz 1 und 2 besteht nicht, wenn der Zahlungsdienstleister des Zahlers nachweist, dass der Zahlungsdienstleister des Zahlungsempfängers den Betrag des Zahlungsvorgangs erhalten hat, auch wenn die Zahlung lediglich mit einer Verzögerung ausgeführt wurde.</w:t>
      </w:r>
    </w:p>
    <w:p w14:paraId="7CA73D9F" w14:textId="77777777" w:rsidR="00DA3F26" w:rsidRPr="004676F5" w:rsidRDefault="00DA3F26" w:rsidP="00DA3F26">
      <w:pPr>
        <w:ind w:firstLine="708"/>
        <w:jc w:val="both"/>
        <w:rPr>
          <w:lang w:val="de-DE"/>
        </w:rPr>
      </w:pPr>
    </w:p>
    <w:p w14:paraId="36F3FCF7" w14:textId="77777777" w:rsidR="00DA3F26" w:rsidRPr="004676F5" w:rsidRDefault="00DA3F26" w:rsidP="00DA3F26">
      <w:pPr>
        <w:ind w:firstLine="708"/>
        <w:jc w:val="both"/>
        <w:rPr>
          <w:lang w:val="de-DE"/>
        </w:rPr>
      </w:pPr>
      <w:r w:rsidRPr="004676F5">
        <w:rPr>
          <w:lang w:val="de-DE"/>
        </w:rPr>
        <w:t>In diesem Fall wird der Betrag vom Zahlungsdienstleister des Zahlungsempfängers auf dem Zahlungskonto des Zahlungsempfängers spätestens zu dem Datum wertgestellt, zu dem der Betrag bei korrekter Ausführung wertgestellt worden wäre.</w:t>
      </w:r>
    </w:p>
    <w:p w14:paraId="493C617A" w14:textId="77777777" w:rsidR="00DA3F26" w:rsidRPr="004676F5" w:rsidRDefault="00DA3F26" w:rsidP="00DA3F26">
      <w:pPr>
        <w:ind w:firstLine="708"/>
        <w:jc w:val="both"/>
        <w:rPr>
          <w:lang w:val="de-DE"/>
        </w:rPr>
      </w:pPr>
    </w:p>
    <w:p w14:paraId="2C7465AE" w14:textId="43F4B960" w:rsidR="00DA3F26" w:rsidRPr="004676F5" w:rsidRDefault="00DA3F26" w:rsidP="00DA3F26">
      <w:pPr>
        <w:ind w:firstLine="708"/>
        <w:jc w:val="both"/>
        <w:rPr>
          <w:lang w:val="de-DE"/>
        </w:rPr>
      </w:pPr>
      <w:r w:rsidRPr="004676F5">
        <w:rPr>
          <w:lang w:val="de-DE"/>
        </w:rPr>
        <w:t>§ 4 </w:t>
      </w:r>
      <w:r w:rsidR="005B7A5C" w:rsidRPr="004676F5">
        <w:rPr>
          <w:lang w:val="de-DE"/>
        </w:rPr>
        <w:t>- </w:t>
      </w:r>
      <w:r w:rsidRPr="004676F5">
        <w:rPr>
          <w:lang w:val="de-DE"/>
        </w:rPr>
        <w:t xml:space="preserve">Im Fall eines nicht oder fehlerhaft ausgeführten Zahlungsvorgangs, bei dem der Zahlungsauftrag vom Zahlungsempfänger oder über diesen ausgelöst wurde, bemüht sich der Zahlungsdienstleister des Zahlungsempfängers auf dessen Verlangen </w:t>
      </w:r>
      <w:r w:rsidR="005B7A5C" w:rsidRPr="004676F5">
        <w:rPr>
          <w:lang w:val="de-DE"/>
        </w:rPr>
        <w:t>- </w:t>
      </w:r>
      <w:r w:rsidRPr="004676F5">
        <w:rPr>
          <w:lang w:val="de-DE"/>
        </w:rPr>
        <w:t>ungeachtet der Haftung nach vorliegendem Artikel </w:t>
      </w:r>
      <w:r w:rsidR="005B7A5C" w:rsidRPr="004676F5">
        <w:rPr>
          <w:lang w:val="de-DE"/>
        </w:rPr>
        <w:t>- </w:t>
      </w:r>
      <w:r w:rsidRPr="004676F5">
        <w:rPr>
          <w:lang w:val="de-DE"/>
        </w:rPr>
        <w:t>unverzüglich darum, den Zahlungsvorgang zurückzuverfolgen und den Zahlungsempfänger über das Ergebnis zu unterrichten; dem Zahlungsempfänger wird dafür kein Entgelt in Rechnung gestellt.</w:t>
      </w:r>
    </w:p>
    <w:p w14:paraId="086D8E52" w14:textId="24292E97" w:rsidR="00DA3F26" w:rsidRPr="004676F5" w:rsidRDefault="00DA3F26" w:rsidP="00DA3F26">
      <w:pPr>
        <w:ind w:firstLine="708"/>
        <w:jc w:val="both"/>
        <w:rPr>
          <w:lang w:val="de-DE"/>
        </w:rPr>
      </w:pPr>
    </w:p>
    <w:p w14:paraId="5AED2C33" w14:textId="77777777" w:rsidR="007E2AED" w:rsidRPr="004676F5" w:rsidRDefault="007E2AED" w:rsidP="00DA3F26">
      <w:pPr>
        <w:ind w:firstLine="708"/>
        <w:jc w:val="both"/>
        <w:rPr>
          <w:lang w:val="de-DE"/>
        </w:rPr>
      </w:pPr>
    </w:p>
    <w:p w14:paraId="6DF9858D" w14:textId="0FD45274" w:rsidR="00DA3F26" w:rsidRPr="004676F5" w:rsidRDefault="00DA3F26" w:rsidP="00DA3F26">
      <w:pPr>
        <w:ind w:firstLine="708"/>
        <w:jc w:val="both"/>
        <w:rPr>
          <w:lang w:val="de-DE"/>
        </w:rPr>
      </w:pPr>
      <w:r w:rsidRPr="004676F5">
        <w:rPr>
          <w:b/>
          <w:lang w:val="de-DE"/>
        </w:rPr>
        <w:lastRenderedPageBreak/>
        <w:t>Art. VII.55/5</w:t>
      </w:r>
      <w:r w:rsidRPr="004676F5">
        <w:rPr>
          <w:lang w:val="de-DE"/>
        </w:rPr>
        <w:t> </w:t>
      </w:r>
      <w:r w:rsidR="005B7A5C" w:rsidRPr="004676F5">
        <w:rPr>
          <w:lang w:val="de-DE"/>
        </w:rPr>
        <w:t>- </w:t>
      </w:r>
      <w:r w:rsidRPr="004676F5">
        <w:rPr>
          <w:lang w:val="de-DE"/>
        </w:rPr>
        <w:t>Zahlungsdienstleister haften gegenüber ihren jeweiligen Zahlungsdienst</w:t>
      </w:r>
      <w:r w:rsidRPr="004676F5">
        <w:rPr>
          <w:lang w:val="de-DE"/>
        </w:rPr>
        <w:softHyphen/>
        <w:t>nutzern für alle von ihnen zu verantwortenden Entgelte und für Zinsen, die dem Zahlungsdienst</w:t>
      </w:r>
      <w:r w:rsidRPr="004676F5">
        <w:rPr>
          <w:lang w:val="de-DE"/>
        </w:rPr>
        <w:softHyphen/>
        <w:t>nutzer infolge einer nicht erfolgten oder fehlerhaften oder verspäteten Ausführung des Zahlungsvorgangs in Rechnung gestellt werden.</w:t>
      </w:r>
    </w:p>
    <w:p w14:paraId="1885610B" w14:textId="57C57618" w:rsidR="00DA3F26" w:rsidRPr="004676F5" w:rsidRDefault="00DA3F26" w:rsidP="00DA3F26">
      <w:pPr>
        <w:ind w:firstLine="708"/>
        <w:jc w:val="both"/>
        <w:rPr>
          <w:lang w:val="de-DE"/>
        </w:rPr>
      </w:pPr>
    </w:p>
    <w:p w14:paraId="4D506131" w14:textId="77777777" w:rsidR="007E2AED" w:rsidRPr="004676F5" w:rsidRDefault="007E2AED" w:rsidP="00DA3F26">
      <w:pPr>
        <w:ind w:firstLine="708"/>
        <w:jc w:val="both"/>
        <w:rPr>
          <w:lang w:val="de-DE"/>
        </w:rPr>
      </w:pPr>
    </w:p>
    <w:p w14:paraId="4FE8AF59" w14:textId="4C0D8A8D" w:rsidR="00DA3F26" w:rsidRPr="004676F5" w:rsidRDefault="00DA3F26" w:rsidP="00DA3F26">
      <w:pPr>
        <w:ind w:firstLine="708"/>
        <w:jc w:val="both"/>
        <w:rPr>
          <w:lang w:val="de-DE"/>
        </w:rPr>
      </w:pPr>
      <w:r w:rsidRPr="004676F5">
        <w:rPr>
          <w:b/>
          <w:lang w:val="de-DE"/>
        </w:rPr>
        <w:t>Art. VII.55/6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Wird ein Zahlungsauftrag vom Zahler über einen Zahlungsauslöse</w:t>
      </w:r>
      <w:r w:rsidRPr="004676F5">
        <w:rPr>
          <w:lang w:val="de-DE"/>
        </w:rPr>
        <w:softHyphen/>
        <w:t>dienstleister ausgelöst, so erstattet der kontoführende Zahlungsdienstleister unbeschadet der Artikel VII.41 und VII.55/2 §§ 2 und 3 dem Zahler den Betrag des nicht oder fehlerhaft ausgeführten Zahlungsvorgangs und bringt das belastete Zahlungskonto gegebenenfalls wieder auf den Stand, auf dem es sich ohne den fehlerhaft ausgeführten Zahlungsvorgang befunden hätte.</w:t>
      </w:r>
    </w:p>
    <w:p w14:paraId="2C9BC6B2" w14:textId="77777777" w:rsidR="00DA3F26" w:rsidRPr="004676F5" w:rsidRDefault="00DA3F26" w:rsidP="00DA3F26">
      <w:pPr>
        <w:ind w:firstLine="708"/>
        <w:jc w:val="both"/>
        <w:rPr>
          <w:lang w:val="de-DE"/>
        </w:rPr>
      </w:pPr>
    </w:p>
    <w:p w14:paraId="6F225A93" w14:textId="301AFEBB" w:rsidR="00DA3F26" w:rsidRPr="004676F5" w:rsidRDefault="00DA3F26" w:rsidP="00DA3F26">
      <w:pPr>
        <w:ind w:firstLine="708"/>
        <w:jc w:val="both"/>
        <w:rPr>
          <w:lang w:val="de-DE"/>
        </w:rPr>
      </w:pPr>
      <w:r w:rsidRPr="004676F5">
        <w:rPr>
          <w:lang w:val="de-DE"/>
        </w:rPr>
        <w:t>§ 2 </w:t>
      </w:r>
      <w:r w:rsidR="005B7A5C" w:rsidRPr="004676F5">
        <w:rPr>
          <w:lang w:val="de-DE"/>
        </w:rPr>
        <w:t>- </w:t>
      </w:r>
      <w:r w:rsidRPr="004676F5">
        <w:rPr>
          <w:lang w:val="de-DE"/>
        </w:rPr>
        <w:t>Der Zahlungsauslösedienstleister muss nachweisen, dass der Zahlungsauftrag gemäß Artikel VII.48 beim kontoführenden Zahlungsdienstleister des Zahlers eingegangen ist und dass der Zahlungsvorgang innerhalb seines Zuständigkeitsbereichs authentifiziert, ordnungsgemäß aufgezeichnet und nicht durch ein technisches Versagen oder einen anderen Mangel im Zusammenhang mit der nicht erfolgten, fehlerhaften oder verspäteten Ausführung des Vorgangs beeinträchtigt wurde.</w:t>
      </w:r>
    </w:p>
    <w:p w14:paraId="13F9B749" w14:textId="77777777" w:rsidR="00DA3F26" w:rsidRPr="004676F5" w:rsidRDefault="00DA3F26" w:rsidP="00DA3F26">
      <w:pPr>
        <w:ind w:firstLine="708"/>
        <w:jc w:val="both"/>
        <w:rPr>
          <w:lang w:val="de-DE"/>
        </w:rPr>
      </w:pPr>
    </w:p>
    <w:p w14:paraId="6DF924FD" w14:textId="3E8D11D6" w:rsidR="00DA3F26" w:rsidRPr="004676F5" w:rsidRDefault="00DA3F26" w:rsidP="00DA3F26">
      <w:pPr>
        <w:ind w:firstLine="708"/>
        <w:jc w:val="both"/>
        <w:rPr>
          <w:lang w:val="de-DE"/>
        </w:rPr>
      </w:pPr>
      <w:r w:rsidRPr="004676F5">
        <w:rPr>
          <w:lang w:val="de-DE"/>
        </w:rPr>
        <w:t>§ 3 </w:t>
      </w:r>
      <w:r w:rsidR="005B7A5C" w:rsidRPr="004676F5">
        <w:rPr>
          <w:lang w:val="de-DE"/>
        </w:rPr>
        <w:t>- </w:t>
      </w:r>
      <w:r w:rsidRPr="004676F5">
        <w:rPr>
          <w:lang w:val="de-DE"/>
        </w:rPr>
        <w:t>Haftet der Zahlungsauslösedienstleister für die nicht erfolgte, fehlerhafte oder verspätete Ausführung des Zahlungsvorgangs, so entschädigt er den kontoführenden Zahlungs</w:t>
      </w:r>
      <w:r w:rsidRPr="004676F5">
        <w:rPr>
          <w:lang w:val="de-DE"/>
        </w:rPr>
        <w:softHyphen/>
        <w:t>dienstleister auf dessen Verlangen unverzüglich für die infolge der Erstattung an den Zahler erlittenen Verluste oder gezahlten Beträge.</w:t>
      </w:r>
    </w:p>
    <w:p w14:paraId="0A0CE3F7" w14:textId="1FAD72EA" w:rsidR="00DA3F26" w:rsidRPr="004676F5" w:rsidRDefault="00DA3F26" w:rsidP="00DA3F26">
      <w:pPr>
        <w:ind w:firstLine="708"/>
        <w:jc w:val="both"/>
        <w:rPr>
          <w:lang w:val="de-DE"/>
        </w:rPr>
      </w:pPr>
    </w:p>
    <w:p w14:paraId="5C1E33E1" w14:textId="77777777" w:rsidR="007E2AED" w:rsidRPr="004676F5" w:rsidRDefault="007E2AED" w:rsidP="00DA3F26">
      <w:pPr>
        <w:ind w:firstLine="708"/>
        <w:jc w:val="both"/>
        <w:rPr>
          <w:lang w:val="de-DE"/>
        </w:rPr>
      </w:pPr>
    </w:p>
    <w:p w14:paraId="2B923D7E" w14:textId="14C5D367" w:rsidR="00DA3F26" w:rsidRPr="004676F5" w:rsidRDefault="00DA3F26" w:rsidP="00DA3F26">
      <w:pPr>
        <w:ind w:firstLine="708"/>
        <w:jc w:val="both"/>
        <w:rPr>
          <w:lang w:val="de-DE"/>
        </w:rPr>
      </w:pPr>
      <w:r w:rsidRPr="004676F5">
        <w:rPr>
          <w:b/>
          <w:lang w:val="de-DE"/>
        </w:rPr>
        <w:t>Art. VII.55/7</w:t>
      </w:r>
      <w:r w:rsidRPr="004676F5">
        <w:rPr>
          <w:lang w:val="de-DE"/>
        </w:rPr>
        <w:t> </w:t>
      </w:r>
      <w:r w:rsidR="005B7A5C" w:rsidRPr="004676F5">
        <w:rPr>
          <w:lang w:val="de-DE"/>
        </w:rPr>
        <w:t>- </w:t>
      </w:r>
      <w:r w:rsidRPr="004676F5">
        <w:rPr>
          <w:lang w:val="de-DE"/>
        </w:rPr>
        <w:t>Weiter hat der Zahlungsdienstnutzer Anspruch auf zusätzliche Entschädigung für andere finanzielle Folgen als diejenigen, die in vorliegendem Abschnitt vorgesehen sind.</w:t>
      </w:r>
    </w:p>
    <w:p w14:paraId="244DDE8C" w14:textId="0DB91369" w:rsidR="00DA3F26" w:rsidRPr="004676F5" w:rsidRDefault="00DA3F26" w:rsidP="00DA3F26">
      <w:pPr>
        <w:jc w:val="both"/>
        <w:rPr>
          <w:lang w:val="de-DE"/>
        </w:rPr>
      </w:pPr>
    </w:p>
    <w:p w14:paraId="102A605D" w14:textId="77777777" w:rsidR="007E2AED" w:rsidRPr="004676F5" w:rsidRDefault="007E2AED" w:rsidP="00DA3F26">
      <w:pPr>
        <w:jc w:val="both"/>
        <w:rPr>
          <w:lang w:val="de-DE"/>
        </w:rPr>
      </w:pPr>
    </w:p>
    <w:p w14:paraId="5A5F572E" w14:textId="6A22CCA5" w:rsidR="00DA3F26" w:rsidRPr="004676F5" w:rsidRDefault="00DA3F26" w:rsidP="00DA3F26">
      <w:pPr>
        <w:ind w:firstLine="708"/>
        <w:jc w:val="both"/>
        <w:rPr>
          <w:lang w:val="de-DE"/>
        </w:rPr>
      </w:pPr>
      <w:r w:rsidRPr="004676F5">
        <w:rPr>
          <w:b/>
          <w:lang w:val="de-DE"/>
        </w:rPr>
        <w:t>Art. VII.55/8</w:t>
      </w:r>
      <w:r w:rsidRPr="004676F5">
        <w:rPr>
          <w:lang w:val="de-DE"/>
        </w:rPr>
        <w:t> </w:t>
      </w:r>
      <w:r w:rsidR="005B7A5C" w:rsidRPr="004676F5">
        <w:rPr>
          <w:lang w:val="de-DE"/>
        </w:rPr>
        <w:t>- </w:t>
      </w:r>
      <w:r w:rsidRPr="004676F5">
        <w:rPr>
          <w:lang w:val="de-DE"/>
        </w:rPr>
        <w:t>Kann in Bezug auf die Haftung eines Zahlungsdienstleisters nach den Artikeln VII.43 und VII.55/3 bis VII.55/6 ein anderer Zahlungsdienstleister oder eine zwischengeschaltete Stelle in Regress genommen werden, entschädigt dieser Zahlungsdienst</w:t>
      </w:r>
      <w:r w:rsidRPr="004676F5">
        <w:rPr>
          <w:lang w:val="de-DE"/>
        </w:rPr>
        <w:softHyphen/>
        <w:t>leister oder diese Stelle den erstgenannten Zahlungsdienstleister für alle nach den Artikeln VII.43 und VII.55/3 bis VII.55/6 erlittenen Verluste oder gezahlten Beträge.</w:t>
      </w:r>
    </w:p>
    <w:p w14:paraId="16A07401" w14:textId="77777777" w:rsidR="00DA3F26" w:rsidRPr="004676F5" w:rsidRDefault="00DA3F26" w:rsidP="00DA3F26">
      <w:pPr>
        <w:ind w:firstLine="708"/>
        <w:jc w:val="both"/>
        <w:rPr>
          <w:lang w:val="de-DE"/>
        </w:rPr>
      </w:pPr>
    </w:p>
    <w:p w14:paraId="248EFA3F" w14:textId="77777777" w:rsidR="00DA3F26" w:rsidRPr="004676F5" w:rsidRDefault="00DA3F26" w:rsidP="00DA3F26">
      <w:pPr>
        <w:ind w:firstLine="708"/>
        <w:jc w:val="both"/>
        <w:rPr>
          <w:lang w:val="de-DE"/>
        </w:rPr>
      </w:pPr>
      <w:r w:rsidRPr="004676F5">
        <w:rPr>
          <w:lang w:val="de-DE"/>
        </w:rPr>
        <w:t>Das umfasst Entschädigungen in dem Fall, dass einer der Zahlungsdienstleister keine starke Kundenauthentifizierung verlangt.</w:t>
      </w:r>
    </w:p>
    <w:p w14:paraId="1C22F8FD" w14:textId="77777777" w:rsidR="00DA3F26" w:rsidRPr="004676F5" w:rsidRDefault="00DA3F26" w:rsidP="00DA3F26">
      <w:pPr>
        <w:ind w:firstLine="708"/>
        <w:jc w:val="both"/>
        <w:rPr>
          <w:lang w:val="de-DE"/>
        </w:rPr>
      </w:pPr>
    </w:p>
    <w:p w14:paraId="04B6BAEF" w14:textId="77777777" w:rsidR="00DA3F26" w:rsidRPr="004676F5" w:rsidRDefault="00DA3F26" w:rsidP="00DA3F26">
      <w:pPr>
        <w:ind w:firstLine="708"/>
        <w:jc w:val="both"/>
        <w:rPr>
          <w:lang w:val="de-DE"/>
        </w:rPr>
      </w:pPr>
      <w:r w:rsidRPr="004676F5">
        <w:rPr>
          <w:lang w:val="de-DE"/>
        </w:rPr>
        <w:t>Eine darüber hinausgehende finanzielle Entschädigung kann nach den Vereinbarungen zwischen Zahlungsdienstleistern und/oder zwischengeschalteten Stellen und gemäß dem auf diese Vereinbarungen anwendbaren Recht festgelegt werden.</w:t>
      </w:r>
    </w:p>
    <w:p w14:paraId="712E1F10" w14:textId="44BF929F" w:rsidR="00DA3F26" w:rsidRPr="004676F5" w:rsidRDefault="00DA3F26" w:rsidP="00DA3F26">
      <w:pPr>
        <w:ind w:firstLine="708"/>
        <w:jc w:val="both"/>
        <w:rPr>
          <w:lang w:val="de-DE"/>
        </w:rPr>
      </w:pPr>
    </w:p>
    <w:p w14:paraId="0468B881" w14:textId="77777777" w:rsidR="007E2AED" w:rsidRPr="004676F5" w:rsidRDefault="007E2AED" w:rsidP="00DA3F26">
      <w:pPr>
        <w:ind w:firstLine="708"/>
        <w:jc w:val="both"/>
        <w:rPr>
          <w:lang w:val="de-DE"/>
        </w:rPr>
      </w:pPr>
    </w:p>
    <w:p w14:paraId="116AAA84" w14:textId="4B1A7D92" w:rsidR="00DA3F26" w:rsidRPr="004676F5" w:rsidRDefault="00DA3F26" w:rsidP="00DA3F26">
      <w:pPr>
        <w:ind w:firstLine="708"/>
        <w:jc w:val="both"/>
        <w:rPr>
          <w:lang w:val="de-DE"/>
        </w:rPr>
      </w:pPr>
      <w:r w:rsidRPr="004676F5">
        <w:rPr>
          <w:b/>
          <w:lang w:val="de-DE"/>
        </w:rPr>
        <w:t>Art. VII.55/9</w:t>
      </w:r>
      <w:r w:rsidRPr="004676F5">
        <w:rPr>
          <w:lang w:val="de-DE"/>
        </w:rPr>
        <w:t> </w:t>
      </w:r>
      <w:r w:rsidR="005B7A5C" w:rsidRPr="004676F5">
        <w:rPr>
          <w:lang w:val="de-DE"/>
        </w:rPr>
        <w:t>- </w:t>
      </w:r>
      <w:r w:rsidRPr="004676F5">
        <w:rPr>
          <w:lang w:val="de-DE"/>
        </w:rPr>
        <w:t>Die Haftung nach den Artikeln VII.32 bis VII.55/8 erstreckt sich nicht auf Fälle höherer Gewalt oder auf Fälle, in denen ein Zahlungsdienstleister durch andere rechtliche Verpflichtungen nach nationalem Recht oder nach dem Recht der Europäischen Union gebunden ist.</w:t>
      </w:r>
    </w:p>
    <w:p w14:paraId="441C4D9D" w14:textId="77777777" w:rsidR="00DA3F26" w:rsidRPr="004676F5" w:rsidRDefault="00DA3F26" w:rsidP="00DA3F26">
      <w:pPr>
        <w:jc w:val="both"/>
        <w:rPr>
          <w:lang w:val="de-DE"/>
        </w:rPr>
      </w:pPr>
      <w:r w:rsidRPr="004676F5">
        <w:rPr>
          <w:lang w:val="de-DE"/>
        </w:rPr>
        <w:br w:type="page"/>
      </w:r>
    </w:p>
    <w:p w14:paraId="0CDA5AB4" w14:textId="67A85E78" w:rsidR="00DA3F26" w:rsidRPr="004676F5" w:rsidRDefault="00DA3F26" w:rsidP="00DA3F26">
      <w:pPr>
        <w:jc w:val="center"/>
        <w:rPr>
          <w:i/>
          <w:lang w:val="de-DE"/>
        </w:rPr>
      </w:pPr>
      <w:r w:rsidRPr="004676F5">
        <w:rPr>
          <w:lang w:val="de-DE"/>
        </w:rPr>
        <w:lastRenderedPageBreak/>
        <w:t>KAPITEL 4 </w:t>
      </w:r>
      <w:r w:rsidR="005B7A5C" w:rsidRPr="004676F5">
        <w:rPr>
          <w:lang w:val="de-DE"/>
        </w:rPr>
        <w:t>- </w:t>
      </w:r>
      <w:r w:rsidRPr="004676F5">
        <w:rPr>
          <w:i/>
          <w:lang w:val="de-DE"/>
        </w:rPr>
        <w:t>Meldung von Vorfällen</w:t>
      </w:r>
    </w:p>
    <w:p w14:paraId="2FD656A0" w14:textId="407ADF11" w:rsidR="00DA3F26" w:rsidRPr="004676F5" w:rsidRDefault="00DA3F26" w:rsidP="00DA3F26">
      <w:pPr>
        <w:rPr>
          <w:lang w:val="de-DE"/>
        </w:rPr>
      </w:pPr>
    </w:p>
    <w:p w14:paraId="44CC5D7A" w14:textId="77777777" w:rsidR="007E2AED" w:rsidRPr="004676F5" w:rsidRDefault="007E2AED" w:rsidP="00DA3F26">
      <w:pPr>
        <w:rPr>
          <w:lang w:val="de-DE"/>
        </w:rPr>
      </w:pPr>
    </w:p>
    <w:p w14:paraId="4CC60A8C" w14:textId="5DB16A09" w:rsidR="00DA3F26" w:rsidRPr="004676F5" w:rsidRDefault="00DA3F26" w:rsidP="00DA3F26">
      <w:pPr>
        <w:ind w:firstLine="708"/>
        <w:jc w:val="both"/>
        <w:rPr>
          <w:lang w:val="de-DE"/>
        </w:rPr>
      </w:pPr>
      <w:r w:rsidRPr="004676F5">
        <w:rPr>
          <w:b/>
          <w:lang w:val="de-DE"/>
        </w:rPr>
        <w:t>Art. VII.55/10</w:t>
      </w:r>
      <w:r w:rsidRPr="004676F5">
        <w:rPr>
          <w:lang w:val="de-DE"/>
        </w:rPr>
        <w:t> </w:t>
      </w:r>
      <w:r w:rsidR="005B7A5C" w:rsidRPr="004676F5">
        <w:rPr>
          <w:lang w:val="de-DE"/>
        </w:rPr>
        <w:t>- </w:t>
      </w:r>
      <w:r w:rsidRPr="004676F5">
        <w:rPr>
          <w:lang w:val="de-DE"/>
        </w:rPr>
        <w:t>Im Anschluss an die in den Artikeln 53 § 2 und 57 § 3 letzter Absatz des Gesetzes vom 11. März 2018 vorgesehene Meldung von Vorfällen und nach Auswertung der Vorfälle unterrichtet die Bank falls erforderlich den FÖD Wirtschaft, damit dieser falls erforderlich und in Absprache mit der Bank geeignete Maßnahmen ergreift, um die Rechte der Zahlungsdienstnutzer zu gewährleisten.</w:t>
      </w:r>
    </w:p>
    <w:p w14:paraId="6A503AD8" w14:textId="77777777" w:rsidR="00626AF8" w:rsidRPr="004676F5" w:rsidRDefault="00626AF8" w:rsidP="00DA3F26">
      <w:pPr>
        <w:ind w:firstLine="708"/>
        <w:jc w:val="both"/>
        <w:rPr>
          <w:lang w:val="de-DE"/>
        </w:rPr>
      </w:pPr>
    </w:p>
    <w:p w14:paraId="2C5A76B7" w14:textId="0C4939A0" w:rsidR="00626AF8" w:rsidRPr="004676F5" w:rsidRDefault="00626AF8" w:rsidP="00DA3F26">
      <w:pPr>
        <w:ind w:firstLine="708"/>
        <w:jc w:val="both"/>
        <w:rPr>
          <w:lang w:val="de-DE"/>
        </w:rPr>
      </w:pPr>
      <w:r w:rsidRPr="004676F5">
        <w:rPr>
          <w:lang w:val="de-DE"/>
        </w:rPr>
        <w:t>[Wenn sich ein in Artikel 53 § 2 des Gesetzes vom 11. März 2018 erwähnter Vorfall auf die finanziellen Interessen seiner Zahlungsdienstnutzer auswirkt oder auswirken könnte, benachrichtigt der Zahlungsdienstleister unverzüglich seine Zahlungsdienstnutzer über den Vorfall und über alle Maßnahmen, die sie ergreifen können, um die möglichen negativen Auswirkungen des Vorfalls zu begrenzen.]</w:t>
      </w:r>
    </w:p>
    <w:p w14:paraId="4F5A9A64" w14:textId="77777777" w:rsidR="00626AF8" w:rsidRPr="004676F5" w:rsidRDefault="00626AF8" w:rsidP="00DA3F26">
      <w:pPr>
        <w:ind w:firstLine="708"/>
        <w:jc w:val="both"/>
        <w:rPr>
          <w:lang w:val="de-DE"/>
        </w:rPr>
      </w:pPr>
    </w:p>
    <w:p w14:paraId="2FE2731C" w14:textId="1AE4193C" w:rsidR="00626AF8" w:rsidRPr="004676F5" w:rsidRDefault="00626AF8" w:rsidP="00626AF8">
      <w:pPr>
        <w:jc w:val="both"/>
        <w:rPr>
          <w:i/>
          <w:iCs/>
          <w:lang w:val="de-DE"/>
        </w:rPr>
      </w:pPr>
      <w:r w:rsidRPr="004676F5">
        <w:rPr>
          <w:i/>
          <w:iCs/>
          <w:lang w:val="de-DE"/>
        </w:rPr>
        <w:t>[Art. VII.55/10 Abs. 2 eingefügt durch Art. 11</w:t>
      </w:r>
      <w:r w:rsidRPr="004676F5">
        <w:rPr>
          <w:rFonts w:eastAsia="Calibri"/>
          <w:i/>
          <w:iCs/>
          <w:kern w:val="2"/>
          <w:lang w:val="de-DE" w:eastAsia="en-US"/>
          <w14:ligatures w14:val="standardContextual"/>
        </w:rPr>
        <w:t xml:space="preserve"> des G. vom 2. Februar 2021 (B.S. vom 11. Februar 2021)]</w:t>
      </w:r>
    </w:p>
    <w:p w14:paraId="648F6F34" w14:textId="77777777" w:rsidR="00DA3F26" w:rsidRPr="004676F5" w:rsidRDefault="00DA3F26" w:rsidP="00DA3F26">
      <w:pPr>
        <w:ind w:firstLine="708"/>
        <w:rPr>
          <w:lang w:val="de-DE"/>
        </w:rPr>
      </w:pPr>
    </w:p>
    <w:p w14:paraId="5B7B41DA" w14:textId="77777777" w:rsidR="007E2AED" w:rsidRPr="004676F5" w:rsidRDefault="007E2AED">
      <w:pPr>
        <w:rPr>
          <w:lang w:val="de-DE"/>
        </w:rPr>
      </w:pPr>
      <w:r w:rsidRPr="004676F5">
        <w:rPr>
          <w:lang w:val="de-DE"/>
        </w:rPr>
        <w:br w:type="page"/>
      </w:r>
    </w:p>
    <w:p w14:paraId="6DAA0FA1" w14:textId="2DD253E7" w:rsidR="00DA3F26" w:rsidRPr="004676F5" w:rsidRDefault="00DA3F26" w:rsidP="00DA3F26">
      <w:pPr>
        <w:jc w:val="center"/>
        <w:rPr>
          <w:lang w:val="de-DE"/>
        </w:rPr>
      </w:pPr>
      <w:r w:rsidRPr="004676F5">
        <w:rPr>
          <w:lang w:val="de-DE"/>
        </w:rPr>
        <w:lastRenderedPageBreak/>
        <w:t>KAPITEL 5 </w:t>
      </w:r>
      <w:r w:rsidR="005B7A5C" w:rsidRPr="004676F5">
        <w:rPr>
          <w:lang w:val="de-DE"/>
        </w:rPr>
        <w:t>- </w:t>
      </w:r>
      <w:r w:rsidRPr="004676F5">
        <w:rPr>
          <w:i/>
          <w:lang w:val="de-DE"/>
        </w:rPr>
        <w:t>Streitbeilegung und außergerichtliche Streitbeilegungsverfahren im Rahmen des Gesetzes vom 11. März 2018</w:t>
      </w:r>
    </w:p>
    <w:p w14:paraId="3026895A" w14:textId="77777777" w:rsidR="00DA3F26" w:rsidRPr="004676F5" w:rsidRDefault="00DA3F26" w:rsidP="00DA3F26">
      <w:pPr>
        <w:jc w:val="both"/>
        <w:rPr>
          <w:lang w:val="de-DE"/>
        </w:rPr>
      </w:pPr>
    </w:p>
    <w:p w14:paraId="0F37F803" w14:textId="77777777" w:rsidR="007E2AED" w:rsidRPr="004676F5" w:rsidRDefault="007E2AED" w:rsidP="00DA3F26">
      <w:pPr>
        <w:ind w:firstLine="708"/>
        <w:jc w:val="both"/>
        <w:rPr>
          <w:lang w:val="de-DE"/>
        </w:rPr>
      </w:pPr>
    </w:p>
    <w:p w14:paraId="517010E5" w14:textId="35038F95" w:rsidR="00DA3F26" w:rsidRPr="004676F5" w:rsidRDefault="00DA3F26" w:rsidP="00DA3F26">
      <w:pPr>
        <w:ind w:firstLine="708"/>
        <w:jc w:val="both"/>
        <w:rPr>
          <w:lang w:val="de-DE"/>
        </w:rPr>
      </w:pPr>
      <w:r w:rsidRPr="004676F5">
        <w:rPr>
          <w:b/>
          <w:lang w:val="de-DE"/>
        </w:rPr>
        <w:t>Art. VII.55/11</w:t>
      </w:r>
      <w:r w:rsidRPr="004676F5">
        <w:rPr>
          <w:lang w:val="de-DE"/>
        </w:rPr>
        <w:t> </w:t>
      </w:r>
      <w:r w:rsidR="005B7A5C" w:rsidRPr="004676F5">
        <w:rPr>
          <w:lang w:val="de-DE"/>
        </w:rPr>
        <w:t>- </w:t>
      </w:r>
      <w:r w:rsidRPr="004676F5">
        <w:rPr>
          <w:lang w:val="de-DE"/>
        </w:rPr>
        <w:t>Die Artikel VII.55/13 bis VII.56 und VII.216 sind für Zahlungsdienst</w:t>
      </w:r>
      <w:r w:rsidRPr="004676F5">
        <w:rPr>
          <w:lang w:val="de-DE"/>
        </w:rPr>
        <w:softHyphen/>
        <w:t>nutzer anwendbar für Streitigkeiten im Rahmen der Artikel 48, 58 und 98 des Gesetzes vom 11. März 2018.</w:t>
      </w:r>
    </w:p>
    <w:p w14:paraId="5344FACE" w14:textId="77777777" w:rsidR="00DA3F26" w:rsidRPr="004676F5" w:rsidRDefault="00DA3F26" w:rsidP="00DA3F26">
      <w:pPr>
        <w:ind w:firstLine="708"/>
        <w:jc w:val="both"/>
        <w:rPr>
          <w:lang w:val="de-DE"/>
        </w:rPr>
      </w:pPr>
    </w:p>
    <w:p w14:paraId="3101420E" w14:textId="77777777" w:rsidR="007E2AED" w:rsidRPr="004676F5" w:rsidRDefault="007E2AED">
      <w:pPr>
        <w:rPr>
          <w:lang w:val="de-DE"/>
        </w:rPr>
      </w:pPr>
      <w:r w:rsidRPr="004676F5">
        <w:rPr>
          <w:lang w:val="de-DE"/>
        </w:rPr>
        <w:br w:type="page"/>
      </w:r>
    </w:p>
    <w:p w14:paraId="185693F8" w14:textId="1E25BCE0" w:rsidR="00DA3F26" w:rsidRPr="004676F5" w:rsidRDefault="00DA3F26" w:rsidP="00DA3F26">
      <w:pPr>
        <w:jc w:val="center"/>
        <w:rPr>
          <w:lang w:val="de-DE"/>
        </w:rPr>
      </w:pPr>
      <w:r w:rsidRPr="004676F5">
        <w:rPr>
          <w:lang w:val="de-DE"/>
        </w:rPr>
        <w:lastRenderedPageBreak/>
        <w:t>KAPITEL 6 </w:t>
      </w:r>
      <w:r w:rsidR="005B7A5C" w:rsidRPr="004676F5">
        <w:rPr>
          <w:lang w:val="de-DE"/>
        </w:rPr>
        <w:t>- </w:t>
      </w:r>
      <w:r w:rsidRPr="004676F5">
        <w:rPr>
          <w:i/>
          <w:lang w:val="de-DE"/>
        </w:rPr>
        <w:t>Zugang zu Konten, die bei einem Kreditinstitut geführt werden</w:t>
      </w:r>
    </w:p>
    <w:p w14:paraId="4C77507C" w14:textId="184FD7F3" w:rsidR="00DA3F26" w:rsidRPr="004676F5" w:rsidRDefault="00DA3F26" w:rsidP="00DA3F26">
      <w:pPr>
        <w:jc w:val="both"/>
        <w:rPr>
          <w:lang w:val="de-DE"/>
        </w:rPr>
      </w:pPr>
    </w:p>
    <w:p w14:paraId="4A1C35FB" w14:textId="77777777" w:rsidR="007E2AED" w:rsidRPr="004676F5" w:rsidRDefault="007E2AED" w:rsidP="00DA3F26">
      <w:pPr>
        <w:jc w:val="both"/>
        <w:rPr>
          <w:lang w:val="de-DE"/>
        </w:rPr>
      </w:pPr>
    </w:p>
    <w:p w14:paraId="18577227" w14:textId="274F6C8A" w:rsidR="00DA3F26" w:rsidRPr="004676F5" w:rsidRDefault="00DA3F26" w:rsidP="00DA3F26">
      <w:pPr>
        <w:ind w:firstLine="708"/>
        <w:jc w:val="both"/>
        <w:rPr>
          <w:lang w:val="de-DE"/>
        </w:rPr>
      </w:pPr>
      <w:r w:rsidRPr="004676F5">
        <w:rPr>
          <w:b/>
          <w:lang w:val="de-DE"/>
        </w:rPr>
        <w:t>Art. VII.55/12</w:t>
      </w:r>
      <w:r w:rsidRPr="004676F5">
        <w:rPr>
          <w:lang w:val="de-DE"/>
        </w:rPr>
        <w:t> </w:t>
      </w:r>
      <w:r w:rsidR="005B7A5C" w:rsidRPr="004676F5">
        <w:rPr>
          <w:lang w:val="de-DE"/>
        </w:rPr>
        <w:t>- </w:t>
      </w:r>
      <w:r w:rsidRPr="004676F5">
        <w:rPr>
          <w:lang w:val="de-DE"/>
        </w:rPr>
        <w:t>Zahlungsinstitute haben auf objektiver, nichtdiskriminierender und verhältnismäßiger Grundlage Zugang zu Zahlungskontodiensten von Kreditinstituten. Ein solcher Zugang muss so umfassend sein, dass Zahlungsinstitute Zahlungsdienste ungehindert und effizient erbringen können.</w:t>
      </w:r>
    </w:p>
    <w:p w14:paraId="6DC2F21F" w14:textId="77777777" w:rsidR="00DA3F26" w:rsidRPr="004676F5" w:rsidRDefault="00DA3F26" w:rsidP="00DA3F26">
      <w:pPr>
        <w:ind w:firstLine="708"/>
        <w:jc w:val="both"/>
        <w:rPr>
          <w:lang w:val="de-DE"/>
        </w:rPr>
      </w:pPr>
    </w:p>
    <w:p w14:paraId="6ACF72B0" w14:textId="77777777" w:rsidR="00DA3F26" w:rsidRPr="004676F5" w:rsidRDefault="00DA3F26" w:rsidP="00DA3F26">
      <w:pPr>
        <w:ind w:firstLine="708"/>
        <w:jc w:val="both"/>
        <w:rPr>
          <w:lang w:val="de-DE"/>
        </w:rPr>
      </w:pPr>
      <w:r w:rsidRPr="004676F5">
        <w:rPr>
          <w:lang w:val="de-DE"/>
        </w:rPr>
        <w:t>Kreditinstitute teilen dem FÖD Wirtschaft für jede Ablehnung eine nachvollziehbare Begründung mit.</w:t>
      </w:r>
    </w:p>
    <w:p w14:paraId="336FCBA4" w14:textId="374FBA92" w:rsidR="00DA3F26" w:rsidRPr="004676F5" w:rsidRDefault="00DA3F26" w:rsidP="00DA3F26">
      <w:pPr>
        <w:ind w:firstLine="708"/>
        <w:rPr>
          <w:lang w:val="de-DE"/>
        </w:rPr>
      </w:pPr>
    </w:p>
    <w:p w14:paraId="08B54B75" w14:textId="77777777" w:rsidR="007E2AED" w:rsidRPr="004676F5" w:rsidRDefault="007E2AED" w:rsidP="00DA3F26">
      <w:pPr>
        <w:ind w:firstLine="708"/>
        <w:rPr>
          <w:lang w:val="de-DE"/>
        </w:rPr>
      </w:pPr>
    </w:p>
    <w:p w14:paraId="71E92330" w14:textId="77777777" w:rsidR="00554890" w:rsidRPr="004676F5" w:rsidRDefault="00554890">
      <w:pPr>
        <w:rPr>
          <w:lang w:val="de-DE"/>
        </w:rPr>
      </w:pPr>
      <w:r w:rsidRPr="004676F5">
        <w:rPr>
          <w:lang w:val="de-DE"/>
        </w:rPr>
        <w:br w:type="page"/>
      </w:r>
    </w:p>
    <w:p w14:paraId="62E4163D" w14:textId="5FCDB6C2" w:rsidR="00DA3F26" w:rsidRPr="004676F5" w:rsidRDefault="00DA3F26" w:rsidP="00DA3F26">
      <w:pPr>
        <w:jc w:val="center"/>
        <w:rPr>
          <w:lang w:val="de-DE"/>
        </w:rPr>
      </w:pPr>
      <w:r w:rsidRPr="004676F5">
        <w:rPr>
          <w:lang w:val="de-DE"/>
        </w:rPr>
        <w:lastRenderedPageBreak/>
        <w:t>KAPITEL 7 </w:t>
      </w:r>
      <w:r w:rsidR="005B7A5C" w:rsidRPr="004676F5">
        <w:rPr>
          <w:lang w:val="de-DE"/>
        </w:rPr>
        <w:t>- </w:t>
      </w:r>
      <w:r w:rsidRPr="004676F5">
        <w:rPr>
          <w:i/>
          <w:lang w:val="de-DE"/>
        </w:rPr>
        <w:t>Streitbeilegung</w:t>
      </w:r>
    </w:p>
    <w:p w14:paraId="6335FCD2" w14:textId="2E1C87DE" w:rsidR="00DA3F26" w:rsidRPr="004676F5" w:rsidRDefault="00DA3F26" w:rsidP="00DA3F26">
      <w:pPr>
        <w:rPr>
          <w:lang w:val="de-DE"/>
        </w:rPr>
      </w:pPr>
    </w:p>
    <w:p w14:paraId="17952A9D" w14:textId="77777777" w:rsidR="007E2AED" w:rsidRPr="004676F5" w:rsidRDefault="007E2AED" w:rsidP="00DA3F26">
      <w:pPr>
        <w:rPr>
          <w:lang w:val="de-DE"/>
        </w:rPr>
      </w:pPr>
    </w:p>
    <w:p w14:paraId="2930FC40" w14:textId="223A7D83" w:rsidR="00DA3F26" w:rsidRPr="004676F5" w:rsidRDefault="00DA3F26" w:rsidP="00DA3F26">
      <w:pPr>
        <w:ind w:firstLine="708"/>
        <w:jc w:val="both"/>
        <w:rPr>
          <w:lang w:val="de-DE"/>
        </w:rPr>
      </w:pPr>
      <w:r w:rsidRPr="004676F5">
        <w:rPr>
          <w:b/>
          <w:lang w:val="de-DE"/>
        </w:rPr>
        <w:t>Art. VII.55/13</w:t>
      </w:r>
      <w:r w:rsidRPr="004676F5">
        <w:rPr>
          <w:lang w:val="de-DE"/>
        </w:rPr>
        <w:t> </w:t>
      </w:r>
      <w:r w:rsidR="005B7A5C" w:rsidRPr="004676F5">
        <w:rPr>
          <w:lang w:val="de-DE"/>
        </w:rPr>
        <w:t>- </w:t>
      </w:r>
      <w:r w:rsidRPr="004676F5">
        <w:rPr>
          <w:lang w:val="de-DE"/>
        </w:rPr>
        <w:t>Zahlungsdienstleister, die in Belgien Zahlungsdienste anbieten, schaffen angemessene und wirksame Beschwerdeverfahren für die Abhilfe bei Beschwerden von Zahlungsdienstnutzern in Bezug auf Rechte und Pflichten, die aus vorliegendem Titel 3 erwachsen, und wenden sie an.</w:t>
      </w:r>
    </w:p>
    <w:p w14:paraId="5749F5AC" w14:textId="77777777" w:rsidR="00DA3F26" w:rsidRPr="004676F5" w:rsidRDefault="00DA3F26" w:rsidP="00DA3F26">
      <w:pPr>
        <w:ind w:firstLine="708"/>
        <w:jc w:val="both"/>
        <w:rPr>
          <w:lang w:val="de-DE"/>
        </w:rPr>
      </w:pPr>
    </w:p>
    <w:p w14:paraId="4B6299D5" w14:textId="77777777" w:rsidR="00DA3F26" w:rsidRPr="004676F5" w:rsidRDefault="00DA3F26" w:rsidP="00DA3F26">
      <w:pPr>
        <w:ind w:firstLine="708"/>
        <w:jc w:val="both"/>
        <w:rPr>
          <w:lang w:val="de-DE"/>
        </w:rPr>
      </w:pPr>
      <w:r w:rsidRPr="004676F5">
        <w:rPr>
          <w:lang w:val="de-DE"/>
        </w:rPr>
        <w:t>Diese Beschwerdeverfahren stehen in der Amtssprache des Ortes, an dem der Zahlungsdienst angeboten wird, oder in einer anderen zwischen dem Zahlungsdienstleister und dem Verbraucher vereinbarten Sprache zur Verfügung.</w:t>
      </w:r>
    </w:p>
    <w:p w14:paraId="20B44BC2" w14:textId="50909024" w:rsidR="00DA3F26" w:rsidRPr="004676F5" w:rsidRDefault="00DA3F26" w:rsidP="00DA3F26">
      <w:pPr>
        <w:ind w:firstLine="708"/>
        <w:jc w:val="both"/>
        <w:rPr>
          <w:lang w:val="de-DE"/>
        </w:rPr>
      </w:pPr>
    </w:p>
    <w:p w14:paraId="54F69D61" w14:textId="77777777" w:rsidR="007E2AED" w:rsidRPr="004676F5" w:rsidRDefault="007E2AED" w:rsidP="00DA3F26">
      <w:pPr>
        <w:ind w:firstLine="708"/>
        <w:jc w:val="both"/>
        <w:rPr>
          <w:lang w:val="de-DE"/>
        </w:rPr>
      </w:pPr>
    </w:p>
    <w:p w14:paraId="3FCB20FA" w14:textId="06A1FA55" w:rsidR="00DA3F26" w:rsidRPr="004676F5" w:rsidRDefault="00DA3F26" w:rsidP="00DA3F26">
      <w:pPr>
        <w:ind w:firstLine="708"/>
        <w:jc w:val="both"/>
        <w:rPr>
          <w:lang w:val="de-DE"/>
        </w:rPr>
      </w:pPr>
      <w:r w:rsidRPr="004676F5">
        <w:rPr>
          <w:b/>
          <w:lang w:val="de-DE"/>
        </w:rPr>
        <w:t>Art. VII.55/14</w:t>
      </w:r>
      <w:r w:rsidRPr="004676F5">
        <w:rPr>
          <w:lang w:val="de-DE"/>
        </w:rPr>
        <w:t> </w:t>
      </w:r>
      <w:r w:rsidR="005B7A5C" w:rsidRPr="004676F5">
        <w:rPr>
          <w:lang w:val="de-DE"/>
        </w:rPr>
        <w:t>- </w:t>
      </w:r>
      <w:r w:rsidRPr="004676F5">
        <w:rPr>
          <w:lang w:val="de-DE"/>
        </w:rPr>
        <w:t xml:space="preserve">Zahlungsdienstleister unternehmen jede Anstrengung, um Beschwerden der Zahlungsdienstnutzer in Papierform oder </w:t>
      </w:r>
      <w:r w:rsidR="005B7A5C" w:rsidRPr="004676F5">
        <w:rPr>
          <w:lang w:val="de-DE"/>
        </w:rPr>
        <w:t>- </w:t>
      </w:r>
      <w:r w:rsidRPr="004676F5">
        <w:rPr>
          <w:lang w:val="de-DE"/>
        </w:rPr>
        <w:t>bei entsprechender Vereinbarung zwischen Zahlungsdienstleister und Zahlungsdienstnutzer </w:t>
      </w:r>
      <w:r w:rsidR="005B7A5C" w:rsidRPr="004676F5">
        <w:rPr>
          <w:lang w:val="de-DE"/>
        </w:rPr>
        <w:t>- </w:t>
      </w:r>
      <w:r w:rsidR="001F25F9" w:rsidRPr="004676F5">
        <w:rPr>
          <w:lang w:val="de-DE"/>
        </w:rPr>
        <w:t>[</w:t>
      </w:r>
      <w:r w:rsidRPr="004676F5">
        <w:rPr>
          <w:lang w:val="de-DE"/>
        </w:rPr>
        <w:t xml:space="preserve">auf einem anderen dauerhaften </w:t>
      </w:r>
      <w:r w:rsidR="001F25F9" w:rsidRPr="004676F5">
        <w:rPr>
          <w:lang w:val="de-DE"/>
        </w:rPr>
        <w:t>Datent</w:t>
      </w:r>
      <w:r w:rsidRPr="004676F5">
        <w:rPr>
          <w:lang w:val="de-DE"/>
        </w:rPr>
        <w:t>räger</w:t>
      </w:r>
      <w:r w:rsidR="001F25F9" w:rsidRPr="004676F5">
        <w:rPr>
          <w:lang w:val="de-DE"/>
        </w:rPr>
        <w:t>]</w:t>
      </w:r>
      <w:r w:rsidRPr="004676F5">
        <w:rPr>
          <w:lang w:val="de-DE"/>
        </w:rPr>
        <w:t xml:space="preserve"> zu beantworten.</w:t>
      </w:r>
    </w:p>
    <w:p w14:paraId="6EBCE5F1" w14:textId="77777777" w:rsidR="00DA3F26" w:rsidRPr="004676F5" w:rsidRDefault="00DA3F26" w:rsidP="00DA3F26">
      <w:pPr>
        <w:ind w:firstLine="708"/>
        <w:jc w:val="both"/>
        <w:rPr>
          <w:lang w:val="de-DE"/>
        </w:rPr>
      </w:pPr>
    </w:p>
    <w:p w14:paraId="5FCE478F" w14:textId="77777777" w:rsidR="00DA3F26" w:rsidRPr="004676F5" w:rsidRDefault="00DA3F26" w:rsidP="00DA3F26">
      <w:pPr>
        <w:ind w:firstLine="708"/>
        <w:jc w:val="both"/>
        <w:rPr>
          <w:lang w:val="de-DE"/>
        </w:rPr>
      </w:pPr>
      <w:r w:rsidRPr="004676F5">
        <w:rPr>
          <w:lang w:val="de-DE"/>
        </w:rPr>
        <w:t>In dieser Antwort, die innerhalb einer angemessenen Frist, spätestens aber fünfzehn Werktage nach Eingang der Beschwerde zu erfolgen hat, ist auf alle in der Beschwerde angesprochenen Fragen einzugehen.</w:t>
      </w:r>
    </w:p>
    <w:p w14:paraId="079C2047" w14:textId="77777777" w:rsidR="00DA3F26" w:rsidRPr="004676F5" w:rsidRDefault="00DA3F26" w:rsidP="00DA3F26">
      <w:pPr>
        <w:ind w:firstLine="708"/>
        <w:jc w:val="both"/>
        <w:rPr>
          <w:lang w:val="de-DE"/>
        </w:rPr>
      </w:pPr>
    </w:p>
    <w:p w14:paraId="0B8F09C8" w14:textId="77777777" w:rsidR="00DA3F26" w:rsidRPr="004676F5" w:rsidRDefault="00DA3F26" w:rsidP="00DA3F26">
      <w:pPr>
        <w:ind w:firstLine="708"/>
        <w:jc w:val="both"/>
        <w:rPr>
          <w:lang w:val="de-DE"/>
        </w:rPr>
      </w:pPr>
      <w:r w:rsidRPr="004676F5">
        <w:rPr>
          <w:lang w:val="de-DE"/>
        </w:rPr>
        <w:t>Kann der Zahlungsdienstleister in Ausnahmefällen aus Gründen, die er nicht zu verantworten hat, nicht innerhalb fünfzehn Werktagen antworten, ist er verpflichtet, ein vorläufiges Antwortschreiben mit eindeutiger Angabe der Gründe für die Verzögerung bei der Beantwortung der Beschwerde zu versenden und darin einen Zeitpunkt zu nennen, bis zu dem der Zahlungsdienstnutzer die endgültige Antwort spätestens erhält.</w:t>
      </w:r>
    </w:p>
    <w:p w14:paraId="0976E3CC" w14:textId="77777777" w:rsidR="00DA3F26" w:rsidRPr="004676F5" w:rsidRDefault="00DA3F26" w:rsidP="00DA3F26">
      <w:pPr>
        <w:ind w:firstLine="708"/>
        <w:jc w:val="both"/>
        <w:rPr>
          <w:lang w:val="de-DE"/>
        </w:rPr>
      </w:pPr>
    </w:p>
    <w:p w14:paraId="310DCE0B" w14:textId="77777777" w:rsidR="00DA3F26" w:rsidRPr="004676F5" w:rsidRDefault="00DA3F26" w:rsidP="00DA3F26">
      <w:pPr>
        <w:ind w:firstLine="708"/>
        <w:jc w:val="both"/>
        <w:rPr>
          <w:lang w:val="de-DE"/>
        </w:rPr>
      </w:pPr>
      <w:r w:rsidRPr="004676F5">
        <w:rPr>
          <w:lang w:val="de-DE"/>
        </w:rPr>
        <w:t>Die Frist für den Erhalt der endgültigen Antwort darf zusätzlich fünfunddreißig Werktage in keinem Fall überschreiten.</w:t>
      </w:r>
    </w:p>
    <w:p w14:paraId="79A65A07" w14:textId="14006616" w:rsidR="00DA3F26" w:rsidRPr="004676F5" w:rsidRDefault="00DA3F26" w:rsidP="00DA3F26">
      <w:pPr>
        <w:ind w:firstLine="708"/>
        <w:jc w:val="both"/>
        <w:rPr>
          <w:lang w:val="de-DE"/>
        </w:rPr>
      </w:pPr>
    </w:p>
    <w:p w14:paraId="29E48B00" w14:textId="6D6E4FB6" w:rsidR="001F25F9" w:rsidRPr="004676F5" w:rsidRDefault="001F25F9" w:rsidP="001F25F9">
      <w:pPr>
        <w:jc w:val="both"/>
        <w:rPr>
          <w:i/>
          <w:iCs/>
          <w:lang w:val="de-DE"/>
        </w:rPr>
      </w:pPr>
      <w:r w:rsidRPr="004676F5">
        <w:rPr>
          <w:i/>
          <w:iCs/>
          <w:lang w:val="de-DE"/>
        </w:rPr>
        <w:t>[Art. VII.55/14 Abs. 1 abgeändert durch Art. 12 des G. vom 20. September 2018 (B.S. vom 10. Oktober 2018)]</w:t>
      </w:r>
    </w:p>
    <w:p w14:paraId="3F89F9E5" w14:textId="77777777" w:rsidR="001F25F9" w:rsidRPr="004676F5" w:rsidRDefault="001F25F9" w:rsidP="00DA3F26">
      <w:pPr>
        <w:ind w:firstLine="708"/>
        <w:jc w:val="both"/>
        <w:rPr>
          <w:lang w:val="de-DE"/>
        </w:rPr>
      </w:pPr>
    </w:p>
    <w:p w14:paraId="6E591748" w14:textId="77777777" w:rsidR="007E2AED" w:rsidRPr="004676F5" w:rsidRDefault="007E2AED" w:rsidP="00DA3F26">
      <w:pPr>
        <w:ind w:firstLine="708"/>
        <w:jc w:val="both"/>
        <w:rPr>
          <w:lang w:val="de-DE"/>
        </w:rPr>
      </w:pPr>
    </w:p>
    <w:p w14:paraId="7EDE19EC" w14:textId="0D88EE46" w:rsidR="00DA3F26" w:rsidRPr="004676F5" w:rsidRDefault="00DA3F26" w:rsidP="00DA3F26">
      <w:pPr>
        <w:ind w:firstLine="708"/>
        <w:jc w:val="both"/>
        <w:rPr>
          <w:lang w:val="de-DE"/>
        </w:rPr>
      </w:pPr>
      <w:r w:rsidRPr="004676F5">
        <w:rPr>
          <w:b/>
          <w:lang w:val="de-DE"/>
        </w:rPr>
        <w:t>Art. VII.56</w:t>
      </w:r>
      <w:r w:rsidRPr="004676F5">
        <w:rPr>
          <w:lang w:val="de-DE"/>
        </w:rPr>
        <w:t> </w:t>
      </w:r>
      <w:r w:rsidR="005B7A5C" w:rsidRPr="004676F5">
        <w:rPr>
          <w:lang w:val="de-DE"/>
        </w:rPr>
        <w:t>- </w:t>
      </w:r>
      <w:r w:rsidRPr="004676F5">
        <w:rPr>
          <w:lang w:val="de-DE"/>
        </w:rPr>
        <w:t>Zahlungsdienstleister informieren Zahlungsdienstnutzer über mindestens eine Stelle zur außergerichtlichen Streitbeilegung, die für die Beilegung von Streitigkeiten über Rechte und Pflichten zuständig ist, die aus vorliegendem Titel 3 erwachsen, und der sie nach Artikel VII.216 beitreten müssen.</w:t>
      </w:r>
    </w:p>
    <w:p w14:paraId="0B41E7D9" w14:textId="17F7EC2A" w:rsidR="007E2AED" w:rsidRPr="004676F5" w:rsidRDefault="007E2AED">
      <w:pPr>
        <w:rPr>
          <w:lang w:val="de-DE"/>
        </w:rPr>
      </w:pPr>
    </w:p>
    <w:p w14:paraId="6432FF91" w14:textId="7A682973" w:rsidR="00881814" w:rsidRPr="004676F5" w:rsidRDefault="00DA3F26" w:rsidP="00DA3F26">
      <w:pPr>
        <w:jc w:val="both"/>
        <w:rPr>
          <w:lang w:val="de-DE"/>
        </w:rPr>
      </w:pPr>
      <w:r w:rsidRPr="004676F5">
        <w:rPr>
          <w:lang w:val="de-DE"/>
        </w:rPr>
        <w:tab/>
        <w:t>Die Informationen nach Absatz 1 werden unter Einhaltung der Bestimmungen von Artikel XVI.4 bereitgestellt.]</w:t>
      </w:r>
    </w:p>
    <w:p w14:paraId="090B14C5" w14:textId="092883F0" w:rsidR="007E2AED" w:rsidRPr="004676F5" w:rsidRDefault="007E2AED" w:rsidP="00DA3F26">
      <w:pPr>
        <w:jc w:val="both"/>
        <w:rPr>
          <w:lang w:val="de-DE"/>
        </w:rPr>
      </w:pPr>
    </w:p>
    <w:p w14:paraId="1383375E" w14:textId="77777777" w:rsidR="00881814" w:rsidRPr="004676F5" w:rsidRDefault="00881814" w:rsidP="00881814">
      <w:pPr>
        <w:ind w:firstLine="708"/>
        <w:jc w:val="both"/>
        <w:rPr>
          <w:lang w:val="de-DE"/>
        </w:rPr>
      </w:pPr>
    </w:p>
    <w:p w14:paraId="2BEFD4E3" w14:textId="77777777" w:rsidR="00C745BD" w:rsidRPr="004676F5" w:rsidRDefault="00C745BD" w:rsidP="00881814">
      <w:pPr>
        <w:ind w:firstLine="708"/>
        <w:jc w:val="both"/>
        <w:rPr>
          <w:lang w:val="de-DE"/>
        </w:rPr>
      </w:pPr>
    </w:p>
    <w:p w14:paraId="2AC6C3BC" w14:textId="77777777" w:rsidR="00C76F75" w:rsidRPr="004676F5" w:rsidRDefault="00C76F75">
      <w:pPr>
        <w:rPr>
          <w:lang w:val="de-DE"/>
        </w:rPr>
      </w:pPr>
      <w:r w:rsidRPr="004676F5">
        <w:rPr>
          <w:lang w:val="de-DE"/>
        </w:rPr>
        <w:br w:type="page"/>
      </w:r>
    </w:p>
    <w:p w14:paraId="51083903" w14:textId="2E1A4246" w:rsidR="00881814" w:rsidRPr="004676F5" w:rsidRDefault="00881814" w:rsidP="00881814">
      <w:pPr>
        <w:jc w:val="center"/>
        <w:rPr>
          <w:lang w:val="de-DE"/>
        </w:rPr>
      </w:pPr>
      <w:r w:rsidRPr="004676F5">
        <w:rPr>
          <w:lang w:val="de-DE"/>
        </w:rPr>
        <w:lastRenderedPageBreak/>
        <w:t xml:space="preserve">KAPITEL 8 </w:t>
      </w:r>
      <w:r w:rsidR="005B7A5C" w:rsidRPr="004676F5">
        <w:rPr>
          <w:lang w:val="de-DE"/>
        </w:rPr>
        <w:t>- </w:t>
      </w:r>
      <w:r w:rsidR="006F2520" w:rsidRPr="004676F5">
        <w:rPr>
          <w:lang w:val="de-DE"/>
        </w:rPr>
        <w:t>[</w:t>
      </w:r>
      <w:r w:rsidR="006F2520" w:rsidRPr="004676F5">
        <w:rPr>
          <w:i/>
          <w:lang w:val="de-DE"/>
        </w:rPr>
        <w:t>Zugang zu Zahlungskonten und Basisbankdienstleistung</w:t>
      </w:r>
      <w:r w:rsidR="006F2520" w:rsidRPr="004676F5">
        <w:rPr>
          <w:lang w:val="de-DE"/>
        </w:rPr>
        <w:t>]</w:t>
      </w:r>
    </w:p>
    <w:p w14:paraId="438001C7" w14:textId="30F61985" w:rsidR="00881814" w:rsidRPr="004676F5" w:rsidRDefault="00881814" w:rsidP="00881814">
      <w:pPr>
        <w:ind w:firstLine="708"/>
        <w:jc w:val="both"/>
        <w:rPr>
          <w:lang w:val="de-DE"/>
        </w:rPr>
      </w:pPr>
    </w:p>
    <w:p w14:paraId="6C3DCC4B" w14:textId="65DC4CE7" w:rsidR="006F2520" w:rsidRPr="004676F5" w:rsidRDefault="006F2520" w:rsidP="006F2520">
      <w:pPr>
        <w:jc w:val="both"/>
        <w:rPr>
          <w:i/>
          <w:lang w:val="de-DE"/>
        </w:rPr>
      </w:pPr>
      <w:r w:rsidRPr="004676F5">
        <w:rPr>
          <w:i/>
          <w:lang w:val="de-DE"/>
        </w:rPr>
        <w:t>[Überschrift von Kapitel 8 ersetzt durch Art. 11 des G. vom 22. Dezember 2017 (B.S. vom 12. Januar 2018)]</w:t>
      </w:r>
    </w:p>
    <w:p w14:paraId="4F7F28BC" w14:textId="77777777" w:rsidR="006F2520" w:rsidRPr="004676F5" w:rsidRDefault="006F2520" w:rsidP="006F2520">
      <w:pPr>
        <w:jc w:val="both"/>
        <w:rPr>
          <w:i/>
          <w:lang w:val="de-DE"/>
        </w:rPr>
      </w:pPr>
    </w:p>
    <w:p w14:paraId="20D11965" w14:textId="5C4AA6F0" w:rsidR="006B6115" w:rsidRPr="004676F5" w:rsidRDefault="006B6115" w:rsidP="00881814">
      <w:pPr>
        <w:ind w:firstLine="708"/>
        <w:jc w:val="both"/>
        <w:rPr>
          <w:lang w:val="de-DE"/>
        </w:rPr>
      </w:pPr>
    </w:p>
    <w:p w14:paraId="36F31B95" w14:textId="3A7AD0C5" w:rsidR="006F2520" w:rsidRPr="004676F5" w:rsidRDefault="006F2520" w:rsidP="00881814">
      <w:pPr>
        <w:ind w:firstLine="708"/>
        <w:jc w:val="both"/>
        <w:rPr>
          <w:lang w:val="de-DE"/>
        </w:rPr>
      </w:pPr>
      <w:r w:rsidRPr="004676F5">
        <w:rPr>
          <w:lang w:val="de-DE"/>
        </w:rPr>
        <w:t>[</w:t>
      </w:r>
      <w:r w:rsidRPr="004676F5">
        <w:rPr>
          <w:b/>
          <w:lang w:val="de-DE"/>
        </w:rPr>
        <w:t>Art. VII.56/1</w:t>
      </w:r>
      <w:r w:rsidRPr="004676F5">
        <w:rPr>
          <w:lang w:val="de-DE"/>
        </w:rPr>
        <w:t> </w:t>
      </w:r>
      <w:r w:rsidR="005B7A5C" w:rsidRPr="004676F5">
        <w:rPr>
          <w:lang w:val="de-DE"/>
        </w:rPr>
        <w:t>- </w:t>
      </w:r>
      <w:r w:rsidRPr="004676F5">
        <w:rPr>
          <w:lang w:val="de-DE"/>
        </w:rPr>
        <w:t>Wenn Verbraucher ein Zahlungskonto bei einem Kreditinstitut beantragen, Zugang zu einem solchen Konto haben oder es unterhalten, werden sie nicht aufgrund ihrer Staatsangehörigkeit oder ihres Wohnsitzes oder aus anderen Gründen diskriminiert, die im Gesetz vom 30. Juli 1981 zur Ahndung bestimmter Taten, denen Rassismus oder Xenophobie zugrunde liegen, genannt sind.]</w:t>
      </w:r>
    </w:p>
    <w:p w14:paraId="0EBC6FED" w14:textId="6E1E93DD" w:rsidR="006F2520" w:rsidRPr="004676F5" w:rsidRDefault="006F2520" w:rsidP="00881814">
      <w:pPr>
        <w:ind w:firstLine="708"/>
        <w:jc w:val="both"/>
        <w:rPr>
          <w:lang w:val="de-DE"/>
        </w:rPr>
      </w:pPr>
    </w:p>
    <w:p w14:paraId="261B6B0A" w14:textId="28C424A2" w:rsidR="006F2520" w:rsidRPr="004676F5" w:rsidRDefault="006F2520" w:rsidP="006F2520">
      <w:pPr>
        <w:jc w:val="both"/>
        <w:rPr>
          <w:i/>
          <w:lang w:val="de-DE"/>
        </w:rPr>
      </w:pPr>
      <w:r w:rsidRPr="004676F5">
        <w:rPr>
          <w:i/>
          <w:lang w:val="de-DE"/>
        </w:rPr>
        <w:t>[Art. VII.56/1 eingefügt durch Art. 12 des G. vom 22. Dezember 2017 (B.S. vom 12. Januar 2018)]</w:t>
      </w:r>
    </w:p>
    <w:p w14:paraId="07BE123A" w14:textId="21CDF777" w:rsidR="006F2520" w:rsidRPr="004676F5" w:rsidRDefault="006F2520" w:rsidP="006F2520">
      <w:pPr>
        <w:jc w:val="both"/>
        <w:rPr>
          <w:i/>
          <w:lang w:val="de-DE"/>
        </w:rPr>
      </w:pPr>
    </w:p>
    <w:p w14:paraId="759B5323" w14:textId="77777777" w:rsidR="006F2520" w:rsidRPr="004676F5" w:rsidRDefault="006F2520" w:rsidP="006F2520">
      <w:pPr>
        <w:jc w:val="both"/>
        <w:rPr>
          <w:iCs/>
          <w:lang w:val="de-DE"/>
        </w:rPr>
      </w:pPr>
    </w:p>
    <w:p w14:paraId="5E17A550" w14:textId="065F3F93" w:rsidR="00F41E34" w:rsidRPr="004676F5" w:rsidRDefault="00F41E34" w:rsidP="00F41E34">
      <w:pPr>
        <w:jc w:val="center"/>
        <w:rPr>
          <w:iCs/>
          <w:lang w:val="de-DE"/>
        </w:rPr>
      </w:pPr>
      <w:r w:rsidRPr="004676F5">
        <w:rPr>
          <w:iCs/>
          <w:lang w:val="de-DE"/>
        </w:rPr>
        <w:t>[</w:t>
      </w:r>
      <w:r w:rsidRPr="004676F5">
        <w:rPr>
          <w:i/>
          <w:lang w:val="de-DE"/>
        </w:rPr>
        <w:t>Abschnitt 1 </w:t>
      </w:r>
      <w:r w:rsidR="005B7A5C" w:rsidRPr="004676F5">
        <w:rPr>
          <w:lang w:val="de-DE"/>
        </w:rPr>
        <w:t>- </w:t>
      </w:r>
      <w:r w:rsidRPr="004676F5">
        <w:rPr>
          <w:lang w:val="de-DE"/>
        </w:rPr>
        <w:t>Zahlungskonten und Basisbankdienstleistung für Verbraucher</w:t>
      </w:r>
      <w:r w:rsidRPr="004676F5">
        <w:rPr>
          <w:iCs/>
          <w:lang w:val="de-DE"/>
        </w:rPr>
        <w:t>]</w:t>
      </w:r>
    </w:p>
    <w:p w14:paraId="797BFE04" w14:textId="77777777" w:rsidR="00F41E34" w:rsidRPr="004676F5" w:rsidRDefault="00F41E34" w:rsidP="00F41E34">
      <w:pPr>
        <w:jc w:val="center"/>
        <w:rPr>
          <w:iCs/>
          <w:lang w:val="de-DE"/>
        </w:rPr>
      </w:pPr>
    </w:p>
    <w:p w14:paraId="63DDB411" w14:textId="5140F2F7" w:rsidR="00F41E34" w:rsidRPr="004676F5" w:rsidRDefault="00F41E34" w:rsidP="00F41E34">
      <w:pPr>
        <w:jc w:val="both"/>
        <w:rPr>
          <w:i/>
          <w:lang w:val="de-DE"/>
        </w:rPr>
      </w:pPr>
      <w:r w:rsidRPr="004676F5">
        <w:rPr>
          <w:i/>
          <w:lang w:val="de-DE"/>
        </w:rPr>
        <w:t>[Unterteilung Abschnitt 1 eingefügt durch Art. 2 des G. vom 8. November 2020 (B.S. vom 24. November 2020)]</w:t>
      </w:r>
    </w:p>
    <w:p w14:paraId="686A5D9E" w14:textId="77777777" w:rsidR="00F41E34" w:rsidRPr="004676F5" w:rsidRDefault="00F41E34" w:rsidP="00F41E34">
      <w:pPr>
        <w:jc w:val="center"/>
        <w:rPr>
          <w:iCs/>
          <w:lang w:val="de-DE"/>
        </w:rPr>
      </w:pPr>
    </w:p>
    <w:p w14:paraId="4B93632C" w14:textId="77777777" w:rsidR="00F41E34" w:rsidRPr="004676F5" w:rsidRDefault="00F41E34" w:rsidP="00F41E34">
      <w:pPr>
        <w:jc w:val="center"/>
        <w:rPr>
          <w:iCs/>
          <w:lang w:val="de-DE"/>
        </w:rPr>
      </w:pPr>
    </w:p>
    <w:p w14:paraId="10C7F2F7" w14:textId="46AFF623" w:rsidR="00881814" w:rsidRPr="004676F5" w:rsidRDefault="00BE0A56" w:rsidP="00881814">
      <w:pPr>
        <w:ind w:firstLine="708"/>
        <w:jc w:val="both"/>
        <w:rPr>
          <w:lang w:val="de-DE"/>
        </w:rPr>
      </w:pPr>
      <w:r w:rsidRPr="004676F5">
        <w:rPr>
          <w:b/>
          <w:lang w:val="de-DE"/>
        </w:rPr>
        <w:t>Art. </w:t>
      </w:r>
      <w:r w:rsidR="00881814" w:rsidRPr="004676F5">
        <w:rPr>
          <w:b/>
          <w:lang w:val="de-DE"/>
        </w:rPr>
        <w:t>VII.57</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 xml:space="preserve">Die Basisbankdienstleistung ist ein </w:t>
      </w:r>
      <w:r w:rsidR="002242BA" w:rsidRPr="004676F5">
        <w:rPr>
          <w:lang w:val="de-DE"/>
        </w:rPr>
        <w:t xml:space="preserve">[in der Europäischen Union verfügbarer] </w:t>
      </w:r>
      <w:r w:rsidR="00881814" w:rsidRPr="004676F5">
        <w:rPr>
          <w:lang w:val="de-DE"/>
        </w:rPr>
        <w:t>Zahlungsdienst, der die in Arti</w:t>
      </w:r>
      <w:r w:rsidR="00881814" w:rsidRPr="004676F5">
        <w:rPr>
          <w:lang w:val="de-DE"/>
        </w:rPr>
        <w:softHyphen/>
        <w:t>kel I.9 Nr. 1 Buchstabe </w:t>
      </w:r>
      <w:r w:rsidR="00881814" w:rsidRPr="004676F5">
        <w:rPr>
          <w:i/>
          <w:lang w:val="de-DE"/>
        </w:rPr>
        <w:t>a)</w:t>
      </w:r>
      <w:r w:rsidR="00881814" w:rsidRPr="004676F5">
        <w:rPr>
          <w:lang w:val="de-DE"/>
        </w:rPr>
        <w:t xml:space="preserve"> bis </w:t>
      </w:r>
      <w:r w:rsidR="00881814" w:rsidRPr="004676F5">
        <w:rPr>
          <w:i/>
          <w:lang w:val="de-DE"/>
        </w:rPr>
        <w:t>c)</w:t>
      </w:r>
      <w:r w:rsidR="00881814" w:rsidRPr="004676F5">
        <w:rPr>
          <w:lang w:val="de-DE"/>
        </w:rPr>
        <w:t xml:space="preserve"> erwähnten Dienste beinhaltet, mit Ausnahme von aufgeschobenen Zahlungsvorgängen mittels eines Zahlungsinstruments und Gutschriften von Schecks.</w:t>
      </w:r>
    </w:p>
    <w:p w14:paraId="61C094D7" w14:textId="77777777" w:rsidR="00881814" w:rsidRPr="004676F5" w:rsidRDefault="00881814" w:rsidP="00881814">
      <w:pPr>
        <w:ind w:firstLine="708"/>
        <w:jc w:val="both"/>
        <w:rPr>
          <w:lang w:val="de-DE"/>
        </w:rPr>
      </w:pPr>
    </w:p>
    <w:p w14:paraId="6065D2E1" w14:textId="315FA91A" w:rsidR="002242BA" w:rsidRPr="004676F5" w:rsidRDefault="002242BA" w:rsidP="002242BA">
      <w:pPr>
        <w:jc w:val="both"/>
        <w:rPr>
          <w:lang w:val="de-DE"/>
        </w:rPr>
      </w:pPr>
      <w:r w:rsidRPr="004676F5">
        <w:rPr>
          <w:lang w:val="de-DE"/>
        </w:rPr>
        <w:tab/>
        <w:t>[Dienste, die Bareinzahlungen auf ein Zahlungskonto oder Barabhebungen von einem Zahlungskonto ermöglichen, sind an einem Schalter sowie während und außerhalb der Öffnungszeiten des Kreditinstituts an Geldautomaten möglich. Zahlungsvorgänge einschließ</w:t>
      </w:r>
      <w:r w:rsidRPr="004676F5">
        <w:rPr>
          <w:lang w:val="de-DE"/>
        </w:rPr>
        <w:softHyphen/>
        <w:t>lich elektronischer Zahlungen können mit einer Zahlungskarte ausgeführt werden. Überweisungen einschließlich Dauerzahlungsaufträgen können an, soweit vorhanden, Automaten und Schaltern oder über das Online-System des Kreditinstituts ausgeführt werden.</w:t>
      </w:r>
    </w:p>
    <w:p w14:paraId="3D57EAB7" w14:textId="77777777" w:rsidR="002242BA" w:rsidRPr="004676F5" w:rsidRDefault="002242BA" w:rsidP="002242BA">
      <w:pPr>
        <w:jc w:val="both"/>
        <w:rPr>
          <w:lang w:val="de-DE"/>
        </w:rPr>
      </w:pPr>
    </w:p>
    <w:p w14:paraId="70D43450" w14:textId="3DE72662" w:rsidR="002242BA" w:rsidRPr="004676F5" w:rsidRDefault="002242BA" w:rsidP="002242BA">
      <w:pPr>
        <w:jc w:val="both"/>
        <w:rPr>
          <w:lang w:val="de-DE"/>
        </w:rPr>
      </w:pPr>
      <w:r w:rsidRPr="004676F5">
        <w:rPr>
          <w:lang w:val="de-DE"/>
        </w:rPr>
        <w:tab/>
        <w:t>Die Basisbankdienstleistung wird mindestens in Euro angeboten.]</w:t>
      </w:r>
    </w:p>
    <w:p w14:paraId="17E7C5FE" w14:textId="77777777" w:rsidR="002242BA" w:rsidRPr="004676F5" w:rsidRDefault="002242BA" w:rsidP="002242BA">
      <w:pPr>
        <w:jc w:val="both"/>
        <w:rPr>
          <w:lang w:val="de-DE"/>
        </w:rPr>
      </w:pPr>
    </w:p>
    <w:p w14:paraId="31A36E87" w14:textId="67B85291" w:rsidR="002242BA" w:rsidRPr="004676F5" w:rsidRDefault="002242BA" w:rsidP="002242BA">
      <w:pPr>
        <w:jc w:val="both"/>
        <w:rPr>
          <w:lang w:val="de-DE"/>
        </w:rPr>
      </w:pPr>
      <w:r w:rsidRPr="004676F5">
        <w:rPr>
          <w:lang w:val="de-DE"/>
        </w:rPr>
        <w:tab/>
        <w:t>[Die Absätze 2 und 3 sind anwendbar, in dem Maße, wie Kreditinstitute diese Möglichkeiten bereits für Verbraucher, die Inhaber anderer Zahlungskonten als jener im Rahmen der Basisbankdienstleistung sind, anbieten.</w:t>
      </w:r>
    </w:p>
    <w:p w14:paraId="65D3EEEF" w14:textId="77777777" w:rsidR="002242BA" w:rsidRPr="004676F5" w:rsidRDefault="002242BA" w:rsidP="002242BA">
      <w:pPr>
        <w:jc w:val="both"/>
        <w:rPr>
          <w:lang w:val="de-DE"/>
        </w:rPr>
      </w:pPr>
    </w:p>
    <w:p w14:paraId="7761182D" w14:textId="25448421" w:rsidR="00881814" w:rsidRPr="004676F5" w:rsidRDefault="002242BA" w:rsidP="002242BA">
      <w:pPr>
        <w:ind w:firstLine="708"/>
        <w:jc w:val="both"/>
        <w:rPr>
          <w:lang w:val="de-DE"/>
        </w:rPr>
      </w:pPr>
      <w:r w:rsidRPr="004676F5">
        <w:rPr>
          <w:lang w:val="de-DE"/>
        </w:rPr>
        <w:t>Der König kann die Basisbankdienstleistung auf zusätzliche Dienste, die aufgrund der üblichen Praxis als für Verbraucher unerlässlich erachtet werden, erweitern.]</w:t>
      </w:r>
    </w:p>
    <w:p w14:paraId="62E96E15" w14:textId="77777777" w:rsidR="00881814" w:rsidRPr="004676F5" w:rsidRDefault="00881814" w:rsidP="00881814">
      <w:pPr>
        <w:ind w:firstLine="708"/>
        <w:jc w:val="both"/>
        <w:rPr>
          <w:lang w:val="de-DE"/>
        </w:rPr>
      </w:pPr>
    </w:p>
    <w:p w14:paraId="3030FFA9" w14:textId="14051779"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Jedes Kreditinstitut muss die Basisbankdienstleistung anbieten. Jeder Ver</w:t>
      </w:r>
      <w:r w:rsidRPr="004676F5">
        <w:rPr>
          <w:lang w:val="de-DE"/>
        </w:rPr>
        <w:softHyphen/>
        <w:t xml:space="preserve">braucher </w:t>
      </w:r>
      <w:r w:rsidR="002242BA" w:rsidRPr="004676F5">
        <w:rPr>
          <w:lang w:val="de-DE"/>
        </w:rPr>
        <w:t xml:space="preserve">[mit rechtmäßigem Aufenthalt in einem Mitgliedstaat] </w:t>
      </w:r>
      <w:r w:rsidRPr="004676F5">
        <w:rPr>
          <w:lang w:val="de-DE"/>
        </w:rPr>
        <w:t>hat Anrecht auf die Basisbankdienstleistung.</w:t>
      </w:r>
    </w:p>
    <w:p w14:paraId="62CCBCAD" w14:textId="1873CD19" w:rsidR="00881814" w:rsidRPr="004676F5" w:rsidRDefault="00881814" w:rsidP="00881814">
      <w:pPr>
        <w:ind w:firstLine="708"/>
        <w:jc w:val="both"/>
        <w:rPr>
          <w:lang w:val="de-DE"/>
        </w:rPr>
      </w:pPr>
    </w:p>
    <w:p w14:paraId="1EEAC2D7" w14:textId="4FF1EFF2" w:rsidR="00E27355" w:rsidRPr="004676F5" w:rsidRDefault="00E27355" w:rsidP="00881814">
      <w:pPr>
        <w:ind w:firstLine="708"/>
        <w:jc w:val="both"/>
        <w:rPr>
          <w:lang w:val="de-DE"/>
        </w:rPr>
      </w:pPr>
      <w:r w:rsidRPr="004676F5">
        <w:rPr>
          <w:lang w:val="de-DE"/>
        </w:rPr>
        <w:t xml:space="preserve">[Neben dem in Absatz 1 erwähnten Verbraucher gilt vorliegender Abschnitt ebenfalls für jede in Artikel 3.86 des Zivilgesetzbuches erwähnte Miteigentümervereinigung eines Gebäudes oder einer Gebäudegruppe in Zwangseigentum, bei der 75 Prozent oder mehr der Anteile an ihren gemeinsamen Teilen auf Lose entfallen, denen gemäß der Miteigentumssatzung keine berufliche Nutzung zukommen kann. Jede Änderung dieser </w:t>
      </w:r>
      <w:r w:rsidRPr="004676F5">
        <w:rPr>
          <w:lang w:val="de-DE"/>
        </w:rPr>
        <w:lastRenderedPageBreak/>
        <w:t>Nutzung in der Satzung wird unverzüglich dem Kreditinstitut, bei dem die Basisbankdienstleistung beantragt oder erbracht wird, notifiziert.]</w:t>
      </w:r>
    </w:p>
    <w:p w14:paraId="1CD0E066" w14:textId="77777777" w:rsidR="00E27355" w:rsidRPr="004676F5" w:rsidRDefault="00E27355" w:rsidP="00881814">
      <w:pPr>
        <w:ind w:firstLine="708"/>
        <w:jc w:val="both"/>
        <w:rPr>
          <w:lang w:val="de-DE"/>
        </w:rPr>
      </w:pPr>
    </w:p>
    <w:p w14:paraId="2D90002A" w14:textId="5F5DC2CC" w:rsidR="002242BA" w:rsidRPr="004676F5" w:rsidRDefault="002242BA" w:rsidP="00881814">
      <w:pPr>
        <w:ind w:firstLine="708"/>
        <w:jc w:val="both"/>
        <w:rPr>
          <w:lang w:val="de-DE"/>
        </w:rPr>
      </w:pPr>
      <w:r w:rsidRPr="004676F5">
        <w:rPr>
          <w:lang w:val="de-DE"/>
        </w:rPr>
        <w:t>[Die Bedingungen für die Inanspruchnahme einer Basisbankdienstleistung dürfen keinesfalls diskriminierend sein.]</w:t>
      </w:r>
    </w:p>
    <w:p w14:paraId="35039915" w14:textId="77777777" w:rsidR="002242BA" w:rsidRPr="004676F5" w:rsidRDefault="002242BA" w:rsidP="00881814">
      <w:pPr>
        <w:ind w:firstLine="708"/>
        <w:jc w:val="both"/>
        <w:rPr>
          <w:lang w:val="de-DE"/>
        </w:rPr>
      </w:pPr>
    </w:p>
    <w:p w14:paraId="636F2139" w14:textId="77777777" w:rsidR="00881814" w:rsidRPr="004676F5" w:rsidRDefault="00881814" w:rsidP="00881814">
      <w:pPr>
        <w:ind w:firstLine="708"/>
        <w:jc w:val="both"/>
        <w:rPr>
          <w:lang w:val="de-DE"/>
        </w:rPr>
      </w:pPr>
      <w:r w:rsidRPr="004676F5">
        <w:rPr>
          <w:lang w:val="de-DE"/>
        </w:rPr>
        <w:t>Der Zugang zur Basisbankdienstleistung darf nicht vom Abschluss eines Vertrags über eine Nebendienstleistung abhängig gemacht werden.</w:t>
      </w:r>
    </w:p>
    <w:p w14:paraId="395A6285" w14:textId="77777777" w:rsidR="00881814" w:rsidRPr="004676F5" w:rsidRDefault="00881814" w:rsidP="00881814">
      <w:pPr>
        <w:ind w:firstLine="708"/>
        <w:jc w:val="both"/>
        <w:rPr>
          <w:lang w:val="de-DE"/>
        </w:rPr>
      </w:pPr>
    </w:p>
    <w:p w14:paraId="5B8267D9" w14:textId="2E67074A"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Die pauschale Höchstgebühr für diese Dienstleistung darf einen Betrag von 12 EUR pro Jahr nicht überschreiten.</w:t>
      </w:r>
    </w:p>
    <w:p w14:paraId="34D6E060" w14:textId="77777777" w:rsidR="00881814" w:rsidRPr="004676F5" w:rsidRDefault="00881814" w:rsidP="00881814">
      <w:pPr>
        <w:ind w:firstLine="708"/>
        <w:jc w:val="both"/>
        <w:rPr>
          <w:lang w:val="de-DE"/>
        </w:rPr>
      </w:pPr>
    </w:p>
    <w:p w14:paraId="4C5D0B23" w14:textId="0E7C7AD3" w:rsidR="002242BA" w:rsidRPr="004676F5" w:rsidRDefault="002242BA" w:rsidP="002242BA">
      <w:pPr>
        <w:jc w:val="both"/>
        <w:rPr>
          <w:lang w:val="de-DE"/>
        </w:rPr>
      </w:pPr>
      <w:r w:rsidRPr="004676F5">
        <w:rPr>
          <w:lang w:val="de-DE"/>
        </w:rPr>
        <w:tab/>
        <w:t>[Der König kann den Tarif unter Berücksichtigung des nationalen Einkommensniveaus und der durchschnittlichen Entgelte, die für Dienste im Zusammenhang mit Zahlungskonten verlangt werden, anpassen.]</w:t>
      </w:r>
    </w:p>
    <w:p w14:paraId="28812199" w14:textId="77777777" w:rsidR="002242BA" w:rsidRPr="004676F5" w:rsidRDefault="002242BA" w:rsidP="002242BA">
      <w:pPr>
        <w:jc w:val="both"/>
        <w:rPr>
          <w:lang w:val="de-DE"/>
        </w:rPr>
      </w:pPr>
    </w:p>
    <w:p w14:paraId="7CF2A2ED" w14:textId="58809A03" w:rsidR="002242BA" w:rsidRPr="004676F5" w:rsidRDefault="002242BA" w:rsidP="002242BA">
      <w:pPr>
        <w:jc w:val="both"/>
        <w:rPr>
          <w:lang w:val="de-DE"/>
        </w:rPr>
      </w:pPr>
      <w:r w:rsidRPr="004676F5">
        <w:rPr>
          <w:lang w:val="de-DE"/>
        </w:rPr>
        <w:tab/>
        <w:t>[Die Entgelte, die dem Verbraucher aufgrund der Nichteinhaltung seiner Verpflich</w:t>
      </w:r>
      <w:r w:rsidRPr="004676F5">
        <w:rPr>
          <w:lang w:val="de-DE"/>
        </w:rPr>
        <w:softHyphen/>
        <w:t>tungen aus dem Rahmenvertrag in Rechnung gestellt werden, sind angemessen.</w:t>
      </w:r>
    </w:p>
    <w:p w14:paraId="03614EB8" w14:textId="77777777" w:rsidR="002242BA" w:rsidRPr="004676F5" w:rsidRDefault="002242BA" w:rsidP="002242BA">
      <w:pPr>
        <w:jc w:val="both"/>
        <w:rPr>
          <w:lang w:val="de-DE"/>
        </w:rPr>
      </w:pPr>
    </w:p>
    <w:p w14:paraId="326A95F9" w14:textId="58A1491E" w:rsidR="00881814" w:rsidRPr="004676F5" w:rsidRDefault="002242BA" w:rsidP="002242BA">
      <w:pPr>
        <w:ind w:firstLine="708"/>
        <w:jc w:val="both"/>
        <w:rPr>
          <w:lang w:val="de-DE"/>
        </w:rPr>
      </w:pPr>
      <w:r w:rsidRPr="004676F5">
        <w:rPr>
          <w:lang w:val="de-DE"/>
        </w:rPr>
        <w:t>Der König kann festlegen, welche Entgelte angemessen sind.]</w:t>
      </w:r>
    </w:p>
    <w:p w14:paraId="3E0835CB" w14:textId="77777777" w:rsidR="00881814" w:rsidRPr="004676F5" w:rsidRDefault="00881814" w:rsidP="00881814">
      <w:pPr>
        <w:ind w:firstLine="708"/>
        <w:jc w:val="both"/>
        <w:rPr>
          <w:lang w:val="de-DE"/>
        </w:rPr>
      </w:pPr>
    </w:p>
    <w:p w14:paraId="5CA71C7A" w14:textId="339972C9" w:rsidR="002242BA" w:rsidRPr="004676F5" w:rsidRDefault="002242BA" w:rsidP="002242BA">
      <w:pPr>
        <w:jc w:val="both"/>
        <w:rPr>
          <w:lang w:val="de-DE"/>
        </w:rPr>
      </w:pPr>
      <w:r w:rsidRPr="004676F5">
        <w:rPr>
          <w:lang w:val="de-DE"/>
        </w:rPr>
        <w:tab/>
      </w:r>
      <w:r w:rsidR="00881814" w:rsidRPr="004676F5">
        <w:rPr>
          <w:lang w:val="de-DE"/>
        </w:rPr>
        <w:t>§ 4 </w:t>
      </w:r>
      <w:r w:rsidR="005B7A5C" w:rsidRPr="004676F5">
        <w:rPr>
          <w:lang w:val="de-DE"/>
        </w:rPr>
        <w:t>- </w:t>
      </w:r>
      <w:r w:rsidRPr="004676F5">
        <w:rPr>
          <w:lang w:val="de-DE"/>
        </w:rPr>
        <w:t>[Verbraucher können über eine Basisbankdienstleistung Vorgänge in Bezug auf die Dienste nach § 1 in unbeschränkter Zahl ausführen.</w:t>
      </w:r>
    </w:p>
    <w:p w14:paraId="11FC6970" w14:textId="77777777" w:rsidR="002242BA" w:rsidRPr="004676F5" w:rsidRDefault="002242BA" w:rsidP="002242BA">
      <w:pPr>
        <w:jc w:val="both"/>
        <w:rPr>
          <w:lang w:val="de-DE"/>
        </w:rPr>
      </w:pPr>
    </w:p>
    <w:p w14:paraId="744029E3" w14:textId="5577D435" w:rsidR="00881814" w:rsidRPr="004676F5" w:rsidRDefault="002242BA" w:rsidP="002242BA">
      <w:pPr>
        <w:ind w:firstLine="708"/>
        <w:jc w:val="both"/>
        <w:rPr>
          <w:lang w:val="de-DE"/>
        </w:rPr>
      </w:pPr>
      <w:r w:rsidRPr="004676F5">
        <w:rPr>
          <w:lang w:val="de-DE"/>
        </w:rPr>
        <w:t>Der König kann jedoch festlegen, dass eine Mindestzahl von Vorgängen im Zusammenhang mit den in Artikel VII.57 § 1 erwähnten Diensten unentgeltlich ist und eine Mindestzahl von Papierüberweisungen zu einem angemessenen Preis erhältlich ist, wobei die Mindestzahl von Vorgängen ausreicht, um unter Berücksichtigung des gegebenen Verbraucherverhaltens und der allgemeinen geschäftlichen Praxis den persönlichen Bedarf des Verbrauchers abzudecken. Die für Vorgänge oberhalb der Mindestzahl von Vorgängen verlangten Entgelte dürfen in keinem Fall höher sein als diejenigen, die nach der üblichen Preisgestaltung des Kreditinstituts verlangt werden.]</w:t>
      </w:r>
    </w:p>
    <w:p w14:paraId="5C93E8D7" w14:textId="77777777" w:rsidR="00881814" w:rsidRPr="004676F5" w:rsidRDefault="00881814" w:rsidP="00881814">
      <w:pPr>
        <w:ind w:firstLine="708"/>
        <w:jc w:val="both"/>
        <w:rPr>
          <w:lang w:val="de-DE"/>
        </w:rPr>
      </w:pPr>
    </w:p>
    <w:p w14:paraId="31587837" w14:textId="30F454FF" w:rsidR="00881814" w:rsidRPr="004676F5" w:rsidRDefault="00881814" w:rsidP="00881814">
      <w:pPr>
        <w:ind w:firstLine="708"/>
        <w:jc w:val="both"/>
        <w:rPr>
          <w:lang w:val="de-DE"/>
        </w:rPr>
      </w:pPr>
      <w:r w:rsidRPr="004676F5">
        <w:rPr>
          <w:lang w:val="de-DE"/>
        </w:rPr>
        <w:t xml:space="preserve">§ 5 </w:t>
      </w:r>
      <w:r w:rsidR="005B7A5C" w:rsidRPr="004676F5">
        <w:rPr>
          <w:lang w:val="de-DE"/>
        </w:rPr>
        <w:t>- </w:t>
      </w:r>
      <w:r w:rsidRPr="004676F5">
        <w:rPr>
          <w:lang w:val="de-DE"/>
        </w:rPr>
        <w:t>Das Kreditinstitut darf weder ausdrücklich noch stillschweigend eine mit einer Basisbankdienstleistung verbundene Krediteröffnung vorschlagen oder gewähren.</w:t>
      </w:r>
    </w:p>
    <w:p w14:paraId="2A08B657" w14:textId="77777777" w:rsidR="00881814" w:rsidRPr="004676F5" w:rsidRDefault="00881814" w:rsidP="00881814">
      <w:pPr>
        <w:ind w:firstLine="708"/>
        <w:jc w:val="both"/>
        <w:rPr>
          <w:lang w:val="de-DE"/>
        </w:rPr>
      </w:pPr>
    </w:p>
    <w:p w14:paraId="2B47F1B6" w14:textId="7114D77B" w:rsidR="00881814" w:rsidRPr="004676F5" w:rsidRDefault="00881814" w:rsidP="00881814">
      <w:pPr>
        <w:ind w:firstLine="708"/>
        <w:jc w:val="both"/>
        <w:rPr>
          <w:lang w:val="de-DE"/>
        </w:rPr>
      </w:pPr>
      <w:r w:rsidRPr="004676F5">
        <w:rPr>
          <w:lang w:val="de-DE"/>
        </w:rPr>
        <w:t>Zahlungsvorgänge im Rahmen der Basisbankdienstleistung werden nicht durch</w:t>
      </w:r>
      <w:r w:rsidRPr="004676F5">
        <w:rPr>
          <w:lang w:val="de-DE"/>
        </w:rPr>
        <w:softHyphen/>
        <w:t>geführt, wenn sie einen Debetsaldo zur Folge haben.</w:t>
      </w:r>
    </w:p>
    <w:p w14:paraId="479B8EE8" w14:textId="35C6329F" w:rsidR="002242BA" w:rsidRPr="004676F5" w:rsidRDefault="002242BA" w:rsidP="00881814">
      <w:pPr>
        <w:ind w:firstLine="708"/>
        <w:jc w:val="both"/>
        <w:rPr>
          <w:lang w:val="de-DE"/>
        </w:rPr>
      </w:pPr>
    </w:p>
    <w:p w14:paraId="0F90DD86" w14:textId="57EFD9FF" w:rsidR="002242BA" w:rsidRPr="004676F5" w:rsidRDefault="002242BA" w:rsidP="002242BA">
      <w:pPr>
        <w:jc w:val="both"/>
        <w:rPr>
          <w:i/>
          <w:lang w:val="de-DE"/>
        </w:rPr>
      </w:pPr>
      <w:r w:rsidRPr="004676F5">
        <w:rPr>
          <w:i/>
          <w:lang w:val="de-DE"/>
        </w:rPr>
        <w:t xml:space="preserve">[Art. VII.57 § 1 Abs. 1 abgeändert durch Art. 13 Nr. 1 des G. vom 22. Dezember 2017 (B.S. vom 12. Januar 2018); § 1 Abs. 2 und 3 ersetzt durch Art. 13 Nr. 2 des G. vom 22. Dezember 2017 (B.S. vom 12. Januar 2018); § 1 Abs. 4 und 5 eingefügt durch Art. 13 Nr. 2 des G. vom 22. Dezember 2017 (B.S. vom 12. Januar 2018); § 2 Abs. 1 abgeändert durch Art. 13 Nr. 3 des G. vom 22. Dezember 2017 (B.S. vom 12. Januar 2018); </w:t>
      </w:r>
      <w:r w:rsidR="00E27355" w:rsidRPr="004676F5">
        <w:rPr>
          <w:i/>
          <w:lang w:val="de-DE"/>
        </w:rPr>
        <w:t>§ 2 neuer Absatz 2 eingefügt durch Art. 24</w:t>
      </w:r>
      <w:r w:rsidR="00E27355" w:rsidRPr="004676F5">
        <w:rPr>
          <w:i/>
          <w:iCs/>
          <w:lang w:val="de-DE"/>
        </w:rPr>
        <w:t xml:space="preserve"> des G. vom 9. Februar 2024 (B.S. vom 21. März 2024); </w:t>
      </w:r>
      <w:r w:rsidRPr="004676F5">
        <w:rPr>
          <w:i/>
          <w:lang w:val="de-DE"/>
        </w:rPr>
        <w:t>§ 2 neuer Absatz </w:t>
      </w:r>
      <w:r w:rsidR="00E27355" w:rsidRPr="004676F5">
        <w:rPr>
          <w:i/>
          <w:lang w:val="de-DE"/>
        </w:rPr>
        <w:t>3</w:t>
      </w:r>
      <w:r w:rsidRPr="004676F5">
        <w:rPr>
          <w:i/>
          <w:lang w:val="de-DE"/>
        </w:rPr>
        <w:t xml:space="preserve"> eingefügt durch Art. 13 Nr. 4 des G. vom 22. Dezember 2017 (B.S. vom 12. Januar 2018); § 3 Abs. 2 ersetzt durch Art. 13 Nr. 5 des G. vom 22. Dezember 2017 (B.S. vom 12. Januar 2018); § 3 Abs. 3 und 4 eingefügt durch Art. 13 Nr. 5 des G. vom 22. Dezember 2017 (B.S. vom 12. Januar 2018); § 4 ersetzt durch Art. 13 Nr. 6 des G. vom 22. Dezember 2017 (B.S. vom 12. Januar 2018)]</w:t>
      </w:r>
    </w:p>
    <w:p w14:paraId="02109F40" w14:textId="77777777" w:rsidR="00881814" w:rsidRPr="004676F5" w:rsidRDefault="00881814" w:rsidP="00881814">
      <w:pPr>
        <w:ind w:firstLine="708"/>
        <w:jc w:val="both"/>
        <w:rPr>
          <w:lang w:val="de-DE"/>
        </w:rPr>
      </w:pPr>
    </w:p>
    <w:p w14:paraId="52B9FC57" w14:textId="77777777" w:rsidR="006B6115" w:rsidRPr="004676F5" w:rsidRDefault="006B6115" w:rsidP="00881814">
      <w:pPr>
        <w:ind w:firstLine="708"/>
        <w:jc w:val="both"/>
        <w:rPr>
          <w:lang w:val="de-DE"/>
        </w:rPr>
      </w:pPr>
    </w:p>
    <w:p w14:paraId="5DFA4903" w14:textId="0F085C72" w:rsidR="002242BA" w:rsidRPr="004676F5" w:rsidRDefault="002242BA" w:rsidP="002242BA">
      <w:pPr>
        <w:jc w:val="both"/>
        <w:rPr>
          <w:lang w:val="de-DE"/>
        </w:rPr>
      </w:pPr>
      <w:r w:rsidRPr="004676F5">
        <w:rPr>
          <w:b/>
          <w:lang w:val="de-DE"/>
        </w:rPr>
        <w:lastRenderedPageBreak/>
        <w:tab/>
      </w:r>
      <w:r w:rsidR="00BE0A56" w:rsidRPr="004676F5">
        <w:rPr>
          <w:b/>
          <w:lang w:val="de-DE"/>
        </w:rPr>
        <w:t>Art. </w:t>
      </w:r>
      <w:r w:rsidR="00881814" w:rsidRPr="004676F5">
        <w:rPr>
          <w:b/>
          <w:lang w:val="de-DE"/>
        </w:rPr>
        <w:t>VII.58</w:t>
      </w:r>
      <w:r w:rsidR="00881814" w:rsidRPr="004676F5">
        <w:rPr>
          <w:lang w:val="de-DE"/>
        </w:rPr>
        <w:t> </w:t>
      </w:r>
      <w:r w:rsidR="005B7A5C" w:rsidRPr="004676F5">
        <w:rPr>
          <w:lang w:val="de-DE"/>
        </w:rPr>
        <w:t>- </w:t>
      </w:r>
      <w:r w:rsidRPr="004676F5">
        <w:rPr>
          <w:lang w:val="de-DE"/>
        </w:rPr>
        <w:t>[Die Beantragung einer Basisbankdienstleistung erfolgt durch Über</w:t>
      </w:r>
      <w:r w:rsidRPr="004676F5">
        <w:rPr>
          <w:lang w:val="de-DE"/>
        </w:rPr>
        <w:softHyphen/>
        <w:t>mittlung eines vom Kreditinstitut auf Papier oder elektronisch bereitgestellten Formulars auf einem dauerhaften Datenträger an das Kreditinstitut.</w:t>
      </w:r>
    </w:p>
    <w:p w14:paraId="65CFF212" w14:textId="77777777" w:rsidR="002242BA" w:rsidRPr="004676F5" w:rsidRDefault="002242BA" w:rsidP="002242BA">
      <w:pPr>
        <w:jc w:val="both"/>
        <w:rPr>
          <w:lang w:val="de-DE"/>
        </w:rPr>
      </w:pPr>
    </w:p>
    <w:p w14:paraId="758691A6" w14:textId="77777777" w:rsidR="002242BA" w:rsidRPr="004676F5" w:rsidRDefault="002242BA" w:rsidP="002242BA">
      <w:pPr>
        <w:jc w:val="both"/>
        <w:rPr>
          <w:lang w:val="de-DE"/>
        </w:rPr>
      </w:pPr>
      <w:r w:rsidRPr="004676F5">
        <w:rPr>
          <w:lang w:val="de-DE"/>
        </w:rPr>
        <w:tab/>
        <w:t>Das Antragsformular beinhaltet eine Bestätigung des Verbrauchers, dass er weder die Basisbankdienstleistung bereits in Anspruch nimmt noch über ein Zahlungskonto bei einem in Belgien ansässigen Kreditinstitut verfügt, das ihm die Nutzung der in Artikel VII.57 § 1 erwähnten Dienste ermöglicht, oder dass er in Kenntnis davon gesetzt worden ist, dass diese Konten gelöscht werden.</w:t>
      </w:r>
    </w:p>
    <w:p w14:paraId="468E89D6" w14:textId="77777777" w:rsidR="002242BA" w:rsidRPr="004676F5" w:rsidRDefault="002242BA" w:rsidP="002242BA">
      <w:pPr>
        <w:jc w:val="both"/>
        <w:rPr>
          <w:lang w:val="de-DE"/>
        </w:rPr>
      </w:pPr>
    </w:p>
    <w:p w14:paraId="654AAC62" w14:textId="77777777" w:rsidR="002242BA" w:rsidRPr="004676F5" w:rsidRDefault="002242BA" w:rsidP="002242BA">
      <w:pPr>
        <w:jc w:val="both"/>
        <w:rPr>
          <w:lang w:val="de-DE"/>
        </w:rPr>
      </w:pPr>
      <w:r w:rsidRPr="004676F5">
        <w:rPr>
          <w:lang w:val="de-DE"/>
        </w:rPr>
        <w:tab/>
        <w:t>Der König kann Angaben festlegen, die auf dem Antragsformular vermerkt werden müssen.</w:t>
      </w:r>
    </w:p>
    <w:p w14:paraId="7CC41D0A" w14:textId="77777777" w:rsidR="002242BA" w:rsidRPr="004676F5" w:rsidRDefault="002242BA" w:rsidP="002242BA">
      <w:pPr>
        <w:jc w:val="both"/>
        <w:rPr>
          <w:lang w:val="de-DE"/>
        </w:rPr>
      </w:pPr>
    </w:p>
    <w:p w14:paraId="7BF2CE27" w14:textId="6F5CA213" w:rsidR="00881814" w:rsidRPr="004676F5" w:rsidRDefault="002242BA" w:rsidP="002242BA">
      <w:pPr>
        <w:ind w:firstLine="708"/>
        <w:jc w:val="both"/>
        <w:rPr>
          <w:lang w:val="de-DE"/>
        </w:rPr>
      </w:pPr>
      <w:r w:rsidRPr="004676F5">
        <w:rPr>
          <w:lang w:val="de-DE"/>
        </w:rPr>
        <w:t>Kreditinstitute eröffnen das Anrecht auf die Basisbankdienstleistung oder lehnen die Eröffnung ab, und zwar jeweils unverzüglich und spätestens zehn Werktage nach Eingang des vollständigen Antragsformulars.]</w:t>
      </w:r>
    </w:p>
    <w:p w14:paraId="4FC29E59" w14:textId="7841A873" w:rsidR="002242BA" w:rsidRPr="004676F5" w:rsidRDefault="002242BA" w:rsidP="002242BA">
      <w:pPr>
        <w:ind w:firstLine="708"/>
        <w:jc w:val="both"/>
        <w:rPr>
          <w:lang w:val="de-DE"/>
        </w:rPr>
      </w:pPr>
    </w:p>
    <w:p w14:paraId="09E8481B" w14:textId="6F7BADC5" w:rsidR="002242BA" w:rsidRPr="004676F5" w:rsidRDefault="002242BA" w:rsidP="002242BA">
      <w:pPr>
        <w:jc w:val="both"/>
        <w:rPr>
          <w:i/>
          <w:lang w:val="de-DE"/>
        </w:rPr>
      </w:pPr>
      <w:r w:rsidRPr="004676F5">
        <w:rPr>
          <w:i/>
          <w:lang w:val="de-DE"/>
        </w:rPr>
        <w:t>[Art. VII.58 ersetzt durch Art. 14 des G. vom 22. Dezember 2017 (B.S. vom 12. Januar 2018)]</w:t>
      </w:r>
    </w:p>
    <w:p w14:paraId="2CDBA1DC" w14:textId="77777777" w:rsidR="00881814" w:rsidRPr="004676F5" w:rsidRDefault="00881814" w:rsidP="00881814">
      <w:pPr>
        <w:ind w:firstLine="708"/>
        <w:jc w:val="both"/>
        <w:rPr>
          <w:lang w:val="de-DE"/>
        </w:rPr>
      </w:pPr>
    </w:p>
    <w:p w14:paraId="00DD39C9" w14:textId="77777777" w:rsidR="006B6115" w:rsidRPr="004676F5" w:rsidRDefault="006B6115" w:rsidP="00881814">
      <w:pPr>
        <w:ind w:firstLine="708"/>
        <w:jc w:val="both"/>
        <w:rPr>
          <w:lang w:val="de-DE"/>
        </w:rPr>
      </w:pPr>
    </w:p>
    <w:p w14:paraId="06A11C06" w14:textId="0D8F24E8" w:rsidR="002242BA" w:rsidRPr="004676F5" w:rsidRDefault="002242BA" w:rsidP="002242BA">
      <w:pPr>
        <w:jc w:val="both"/>
        <w:rPr>
          <w:lang w:val="de-DE"/>
        </w:rPr>
      </w:pPr>
      <w:r w:rsidRPr="004676F5">
        <w:rPr>
          <w:b/>
          <w:lang w:val="de-DE"/>
        </w:rPr>
        <w:tab/>
      </w:r>
      <w:r w:rsidR="00BE0A56" w:rsidRPr="004676F5">
        <w:rPr>
          <w:b/>
          <w:lang w:val="de-DE"/>
        </w:rPr>
        <w:t>Art. </w:t>
      </w:r>
      <w:r w:rsidR="00881814" w:rsidRPr="004676F5">
        <w:rPr>
          <w:b/>
          <w:lang w:val="de-DE"/>
        </w:rPr>
        <w:t>VII.59</w:t>
      </w:r>
      <w:r w:rsidR="00881814"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Kreditinstitute lehnen den Antrag ab, wenn der Antrag auf Basisbankdienstleistung zu einer Verletzung des Gesetzes vom 18. September 2017 zur Verhinderung von Geldwäsche und Terrorismusfinanzierung und zur Beschränkung der Nutzung von Bargeld führen würde.</w:t>
      </w:r>
    </w:p>
    <w:p w14:paraId="6DBCBE16" w14:textId="77777777" w:rsidR="002242BA" w:rsidRPr="004676F5" w:rsidRDefault="002242BA" w:rsidP="002242BA">
      <w:pPr>
        <w:jc w:val="both"/>
        <w:rPr>
          <w:lang w:val="de-DE"/>
        </w:rPr>
      </w:pPr>
    </w:p>
    <w:p w14:paraId="7CD53CC3" w14:textId="77777777" w:rsidR="002242BA" w:rsidRPr="004676F5" w:rsidRDefault="002242BA" w:rsidP="002242BA">
      <w:pPr>
        <w:jc w:val="both"/>
        <w:rPr>
          <w:lang w:val="de-DE"/>
        </w:rPr>
      </w:pPr>
      <w:r w:rsidRPr="004676F5">
        <w:rPr>
          <w:lang w:val="de-DE"/>
        </w:rPr>
        <w:tab/>
        <w:t>Kreditinstitute können den Antrag ablehnen, wenn der Verbraucher in Belgien ein anderes Zahlungskonto, das ihm die Nutzung der in Artikel VII.57 § 1 erwähnten Zahlungs</w:t>
      </w:r>
      <w:r w:rsidRPr="004676F5">
        <w:rPr>
          <w:lang w:val="de-DE"/>
        </w:rPr>
        <w:softHyphen/>
        <w:t>dienste ermöglicht, oder ein Konto mit einem kumulierten durchschnittlichen Jahresguthaben über 6.000 EUR hat.</w:t>
      </w:r>
    </w:p>
    <w:p w14:paraId="1B88FEE7" w14:textId="77777777" w:rsidR="002242BA" w:rsidRPr="004676F5" w:rsidRDefault="002242BA" w:rsidP="002242BA">
      <w:pPr>
        <w:jc w:val="both"/>
        <w:rPr>
          <w:lang w:val="de-DE"/>
        </w:rPr>
      </w:pPr>
    </w:p>
    <w:p w14:paraId="71A79358" w14:textId="77777777" w:rsidR="002242BA" w:rsidRPr="004676F5" w:rsidRDefault="002242BA" w:rsidP="002242BA">
      <w:pPr>
        <w:jc w:val="both"/>
        <w:rPr>
          <w:lang w:val="de-DE"/>
        </w:rPr>
      </w:pPr>
      <w:r w:rsidRPr="004676F5">
        <w:rPr>
          <w:lang w:val="de-DE"/>
        </w:rPr>
        <w:tab/>
        <w:t>Wenn der Verbraucher erklärt, dass er benachrichtigt wurde, dass das Zahlungskonto geschlossen wird, wird dieses nicht mehr berücksichtigt.</w:t>
      </w:r>
    </w:p>
    <w:p w14:paraId="44CC9659" w14:textId="77777777" w:rsidR="002242BA" w:rsidRPr="004676F5" w:rsidRDefault="002242BA" w:rsidP="002242BA">
      <w:pPr>
        <w:jc w:val="both"/>
        <w:rPr>
          <w:lang w:val="de-DE"/>
        </w:rPr>
      </w:pPr>
    </w:p>
    <w:p w14:paraId="77B0A613" w14:textId="77777777" w:rsidR="002242BA" w:rsidRPr="004676F5" w:rsidRDefault="002242BA" w:rsidP="002242BA">
      <w:pPr>
        <w:jc w:val="both"/>
        <w:rPr>
          <w:lang w:val="de-DE"/>
        </w:rPr>
      </w:pPr>
      <w:r w:rsidRPr="004676F5">
        <w:rPr>
          <w:lang w:val="de-DE"/>
        </w:rPr>
        <w:tab/>
        <w:t>Für die Bestimmung des in Absatz 2 erwähnten Betrags werden in Buch III Titel VIII Kapitel 2 Abschnitt 2 Artikel 10 des Zivilgesetzbuches erwähnte Garantien nicht berück</w:t>
      </w:r>
      <w:r w:rsidRPr="004676F5">
        <w:rPr>
          <w:lang w:val="de-DE"/>
        </w:rPr>
        <w:softHyphen/>
        <w:t>sichtigt.</w:t>
      </w:r>
    </w:p>
    <w:p w14:paraId="4EE02D9F" w14:textId="77777777" w:rsidR="002242BA" w:rsidRPr="004676F5" w:rsidRDefault="002242BA" w:rsidP="002242BA">
      <w:pPr>
        <w:jc w:val="both"/>
        <w:rPr>
          <w:lang w:val="de-DE"/>
        </w:rPr>
      </w:pPr>
    </w:p>
    <w:p w14:paraId="09431D62" w14:textId="77777777" w:rsidR="002242BA" w:rsidRPr="004676F5" w:rsidRDefault="002242BA" w:rsidP="002242BA">
      <w:pPr>
        <w:jc w:val="both"/>
        <w:rPr>
          <w:lang w:val="de-DE"/>
        </w:rPr>
      </w:pPr>
      <w:r w:rsidRPr="004676F5">
        <w:rPr>
          <w:lang w:val="de-DE"/>
        </w:rPr>
        <w:tab/>
        <w:t>Der König kann den in Absatz 2 erwähnten Betrag ändern.</w:t>
      </w:r>
    </w:p>
    <w:p w14:paraId="6ECAEC4D" w14:textId="77777777" w:rsidR="002242BA" w:rsidRPr="004676F5" w:rsidRDefault="002242BA" w:rsidP="002242BA">
      <w:pPr>
        <w:jc w:val="both"/>
        <w:rPr>
          <w:lang w:val="de-DE"/>
        </w:rPr>
      </w:pPr>
    </w:p>
    <w:p w14:paraId="79D82C8C" w14:textId="77777777" w:rsidR="002242BA" w:rsidRPr="004676F5" w:rsidRDefault="002242BA" w:rsidP="002242BA">
      <w:pPr>
        <w:jc w:val="both"/>
        <w:rPr>
          <w:lang w:val="de-DE"/>
        </w:rPr>
      </w:pPr>
      <w:r w:rsidRPr="004676F5">
        <w:rPr>
          <w:lang w:val="de-DE"/>
        </w:rPr>
        <w:tab/>
        <w:t>In diesen Fällen darf das Kreditinstitut vor Eröffnung des Anrechts auf eine Basisbankdienstleistung nachprüfen, ob der Verbraucher bereits Inhaber eines Zahlungskontos bei einem anderen in Belgien ansässigen Kreditinstitut ist, das ihm die Nutzung der in Artikel VII.57 § 1 genannten Dienste ermöglicht. Kreditinstitute können sich zu diesem Zweck auf eine vom Verbraucher unterschriebene ehrenwörtliche Erklärung stützen.</w:t>
      </w:r>
    </w:p>
    <w:p w14:paraId="7531EA52" w14:textId="77777777" w:rsidR="002242BA" w:rsidRPr="004676F5" w:rsidRDefault="002242BA" w:rsidP="002242BA">
      <w:pPr>
        <w:jc w:val="both"/>
        <w:rPr>
          <w:lang w:val="de-DE"/>
        </w:rPr>
      </w:pPr>
    </w:p>
    <w:p w14:paraId="16F7488C" w14:textId="77777777" w:rsidR="002242BA" w:rsidRPr="004676F5" w:rsidRDefault="002242BA" w:rsidP="002242BA">
      <w:pPr>
        <w:jc w:val="both"/>
        <w:rPr>
          <w:lang w:val="de-DE"/>
        </w:rPr>
      </w:pPr>
      <w:r w:rsidRPr="004676F5">
        <w:rPr>
          <w:lang w:val="de-DE"/>
        </w:rPr>
        <w:tab/>
        <w:t>In den Fällen, in denen das Kreditinstitut einen Antrag ablehnt, informiert es den Verbraucher unmittelbar nach seinem Ablehnungsbeschluss darüber.</w:t>
      </w:r>
    </w:p>
    <w:p w14:paraId="27A6E6F9" w14:textId="77777777" w:rsidR="002242BA" w:rsidRPr="004676F5" w:rsidRDefault="002242BA" w:rsidP="002242BA">
      <w:pPr>
        <w:jc w:val="both"/>
        <w:rPr>
          <w:lang w:val="de-DE"/>
        </w:rPr>
      </w:pPr>
    </w:p>
    <w:p w14:paraId="1AED98D1" w14:textId="77777777" w:rsidR="00E27355" w:rsidRPr="004676F5" w:rsidRDefault="00E27355">
      <w:pPr>
        <w:rPr>
          <w:lang w:val="de-DE"/>
        </w:rPr>
      </w:pPr>
      <w:r w:rsidRPr="004676F5">
        <w:rPr>
          <w:lang w:val="de-DE"/>
        </w:rPr>
        <w:br w:type="page"/>
      </w:r>
    </w:p>
    <w:p w14:paraId="48F79634" w14:textId="278B028D" w:rsidR="002242BA" w:rsidRPr="004676F5" w:rsidRDefault="002242BA" w:rsidP="002242BA">
      <w:pPr>
        <w:jc w:val="both"/>
        <w:rPr>
          <w:lang w:val="de-DE"/>
        </w:rPr>
      </w:pPr>
      <w:r w:rsidRPr="004676F5">
        <w:rPr>
          <w:lang w:val="de-DE"/>
        </w:rPr>
        <w:lastRenderedPageBreak/>
        <w:tab/>
        <w:t>§ 2 </w:t>
      </w:r>
      <w:r w:rsidR="005B7A5C" w:rsidRPr="004676F5">
        <w:rPr>
          <w:lang w:val="de-DE"/>
        </w:rPr>
        <w:t>- </w:t>
      </w:r>
      <w:r w:rsidRPr="004676F5">
        <w:rPr>
          <w:lang w:val="de-DE"/>
        </w:rPr>
        <w:t>Das Kreditinstitut darf die Basisbankdienstleistung kündigen, wenn mindestens eine der folgenden Bedingungen erfüllt ist:</w:t>
      </w:r>
    </w:p>
    <w:p w14:paraId="5D4A281F" w14:textId="77777777" w:rsidR="002242BA" w:rsidRPr="004676F5" w:rsidRDefault="002242BA" w:rsidP="002242BA">
      <w:pPr>
        <w:jc w:val="both"/>
        <w:rPr>
          <w:lang w:val="de-DE"/>
        </w:rPr>
      </w:pPr>
    </w:p>
    <w:p w14:paraId="00F2284C" w14:textId="77777777" w:rsidR="002242BA" w:rsidRPr="004676F5" w:rsidRDefault="002242BA" w:rsidP="002242BA">
      <w:pPr>
        <w:jc w:val="both"/>
        <w:rPr>
          <w:lang w:val="de-DE"/>
        </w:rPr>
      </w:pPr>
      <w:r w:rsidRPr="004676F5">
        <w:rPr>
          <w:lang w:val="de-DE"/>
        </w:rPr>
        <w:tab/>
        <w:t>1. Der Verbraucher ist wegen Betrug, Untreue, betrügerischem Bankrott oder Urkundenfälschung verurteilt worden oder der Verbraucher hat im Rahmen der Basisbankdienstleistung das Zahlungskonto absichtlich für illegale Zwecke genutzt.</w:t>
      </w:r>
    </w:p>
    <w:p w14:paraId="6500A8D3" w14:textId="77777777" w:rsidR="002242BA" w:rsidRPr="004676F5" w:rsidRDefault="002242BA" w:rsidP="002242BA">
      <w:pPr>
        <w:jc w:val="both"/>
        <w:rPr>
          <w:lang w:val="de-DE"/>
        </w:rPr>
      </w:pPr>
    </w:p>
    <w:p w14:paraId="65598FDA" w14:textId="77777777" w:rsidR="002242BA" w:rsidRPr="004676F5" w:rsidRDefault="002242BA" w:rsidP="002242BA">
      <w:pPr>
        <w:jc w:val="both"/>
        <w:rPr>
          <w:lang w:val="de-DE"/>
        </w:rPr>
      </w:pPr>
      <w:r w:rsidRPr="004676F5">
        <w:rPr>
          <w:lang w:val="de-DE"/>
        </w:rPr>
        <w:tab/>
        <w:t>2. Im Rahmen der Basisbankdienstleistung wurde über das Zahlungskonto in mehr als vierundzwanzig aufeinanderfolgenden Monaten kein Zahlungsvorgang abgewickelt.</w:t>
      </w:r>
    </w:p>
    <w:p w14:paraId="37F08466" w14:textId="77777777" w:rsidR="002242BA" w:rsidRPr="004676F5" w:rsidRDefault="002242BA" w:rsidP="002242BA">
      <w:pPr>
        <w:jc w:val="both"/>
        <w:rPr>
          <w:lang w:val="de-DE"/>
        </w:rPr>
      </w:pPr>
    </w:p>
    <w:p w14:paraId="21140D9B" w14:textId="77777777" w:rsidR="002242BA" w:rsidRPr="004676F5" w:rsidRDefault="002242BA" w:rsidP="002242BA">
      <w:pPr>
        <w:jc w:val="both"/>
        <w:rPr>
          <w:lang w:val="de-DE"/>
        </w:rPr>
      </w:pPr>
      <w:r w:rsidRPr="004676F5">
        <w:rPr>
          <w:lang w:val="de-DE"/>
        </w:rPr>
        <w:tab/>
        <w:t>3. Der Verbraucher hat unrichtige Angaben gemacht, um die Basisbankdienstleistung in Anspruch nehmen zu können, wobei ihm dieses Anrecht auf die Basisbankdienstleistung bei Vorlage der richtigen Angaben verwehrt worden wäre.</w:t>
      </w:r>
    </w:p>
    <w:p w14:paraId="195AB0E7" w14:textId="77777777" w:rsidR="002242BA" w:rsidRPr="004676F5" w:rsidRDefault="002242BA" w:rsidP="002242BA">
      <w:pPr>
        <w:jc w:val="both"/>
        <w:rPr>
          <w:lang w:val="de-DE"/>
        </w:rPr>
      </w:pPr>
    </w:p>
    <w:p w14:paraId="47414D3B" w14:textId="77777777" w:rsidR="002242BA" w:rsidRPr="004676F5" w:rsidRDefault="002242BA" w:rsidP="002242BA">
      <w:pPr>
        <w:jc w:val="both"/>
        <w:rPr>
          <w:lang w:val="de-DE"/>
        </w:rPr>
      </w:pPr>
      <w:r w:rsidRPr="004676F5">
        <w:rPr>
          <w:lang w:val="de-DE"/>
        </w:rPr>
        <w:tab/>
        <w:t>4. Der Verbraucher hat keinen rechtmäßigen Aufenthalt mehr in einem Mitgliedstaat.</w:t>
      </w:r>
    </w:p>
    <w:p w14:paraId="2F3CBCEE" w14:textId="77777777" w:rsidR="002242BA" w:rsidRPr="004676F5" w:rsidRDefault="002242BA" w:rsidP="002242BA">
      <w:pPr>
        <w:jc w:val="both"/>
        <w:rPr>
          <w:lang w:val="de-DE"/>
        </w:rPr>
      </w:pPr>
    </w:p>
    <w:p w14:paraId="4828D0E6" w14:textId="77777777" w:rsidR="002242BA" w:rsidRPr="004676F5" w:rsidRDefault="002242BA" w:rsidP="002242BA">
      <w:pPr>
        <w:jc w:val="both"/>
        <w:rPr>
          <w:lang w:val="de-DE"/>
        </w:rPr>
      </w:pPr>
      <w:r w:rsidRPr="004676F5">
        <w:rPr>
          <w:lang w:val="de-DE"/>
        </w:rPr>
        <w:tab/>
        <w:t>5. Der Verbraucher hat in Belgien ein anderes Zahlungskonto, das ihm die Nutzung der in Artikel VII.57 § 1 erwähnten Zahlungsdienste ermöglicht, oder ein Konto mit einem kumulierten durchschnittlichen Jahresguthaben über 6.000 EUR.</w:t>
      </w:r>
    </w:p>
    <w:p w14:paraId="60E2EA9C" w14:textId="77777777" w:rsidR="002242BA" w:rsidRPr="004676F5" w:rsidRDefault="002242BA" w:rsidP="002242BA">
      <w:pPr>
        <w:jc w:val="both"/>
        <w:rPr>
          <w:lang w:val="de-DE"/>
        </w:rPr>
      </w:pPr>
    </w:p>
    <w:p w14:paraId="7C4F4174" w14:textId="77777777" w:rsidR="002242BA" w:rsidRPr="004676F5" w:rsidRDefault="002242BA" w:rsidP="002242BA">
      <w:pPr>
        <w:jc w:val="both"/>
        <w:rPr>
          <w:lang w:val="de-DE"/>
        </w:rPr>
      </w:pPr>
      <w:r w:rsidRPr="004676F5">
        <w:rPr>
          <w:lang w:val="de-DE"/>
        </w:rPr>
        <w:tab/>
        <w:t>Wenn der Verbraucher erklärt, dass er benachrichtigt wurde, dass das Zahlungskonto geschlossen wird, wird dieses nicht mehr berücksichtigt.</w:t>
      </w:r>
    </w:p>
    <w:p w14:paraId="078EF6BB" w14:textId="77777777" w:rsidR="002242BA" w:rsidRPr="004676F5" w:rsidRDefault="002242BA" w:rsidP="002242BA">
      <w:pPr>
        <w:jc w:val="both"/>
        <w:rPr>
          <w:lang w:val="de-DE"/>
        </w:rPr>
      </w:pPr>
    </w:p>
    <w:p w14:paraId="129C1384" w14:textId="77777777" w:rsidR="002242BA" w:rsidRPr="004676F5" w:rsidRDefault="002242BA" w:rsidP="002242BA">
      <w:pPr>
        <w:jc w:val="both"/>
        <w:rPr>
          <w:lang w:val="de-DE"/>
        </w:rPr>
      </w:pPr>
      <w:r w:rsidRPr="004676F5">
        <w:rPr>
          <w:lang w:val="de-DE"/>
        </w:rPr>
        <w:tab/>
        <w:t>Für die Bestimmung des in Absatz 1 erwähnten Betrags werden in Buch III Titel VIII Kapitel 2 Abschnitt 2 Artikel 10 des Zivilgesetzbuches erwähnte Garantien nicht berück</w:t>
      </w:r>
      <w:r w:rsidRPr="004676F5">
        <w:rPr>
          <w:lang w:val="de-DE"/>
        </w:rPr>
        <w:softHyphen/>
        <w:t>sichtigt.</w:t>
      </w:r>
    </w:p>
    <w:p w14:paraId="08A56F8C" w14:textId="77777777" w:rsidR="002242BA" w:rsidRPr="004676F5" w:rsidRDefault="002242BA" w:rsidP="002242BA">
      <w:pPr>
        <w:jc w:val="both"/>
        <w:rPr>
          <w:lang w:val="de-DE"/>
        </w:rPr>
      </w:pPr>
    </w:p>
    <w:p w14:paraId="4DB4F100" w14:textId="77777777" w:rsidR="002242BA" w:rsidRPr="004676F5" w:rsidRDefault="002242BA" w:rsidP="002242BA">
      <w:pPr>
        <w:jc w:val="both"/>
        <w:rPr>
          <w:lang w:val="de-DE"/>
        </w:rPr>
      </w:pPr>
      <w:r w:rsidRPr="004676F5">
        <w:rPr>
          <w:lang w:val="de-DE"/>
        </w:rPr>
        <w:tab/>
        <w:t>Der König kann den in Absatz 1 erwähnten Betrag ändern.</w:t>
      </w:r>
    </w:p>
    <w:p w14:paraId="318E6E1C" w14:textId="77777777" w:rsidR="002242BA" w:rsidRPr="004676F5" w:rsidRDefault="002242BA" w:rsidP="002242BA">
      <w:pPr>
        <w:jc w:val="both"/>
        <w:rPr>
          <w:lang w:val="de-DE"/>
        </w:rPr>
      </w:pPr>
    </w:p>
    <w:p w14:paraId="4022EB3C" w14:textId="77777777" w:rsidR="002242BA" w:rsidRPr="004676F5" w:rsidRDefault="002242BA" w:rsidP="002242BA">
      <w:pPr>
        <w:jc w:val="both"/>
        <w:rPr>
          <w:lang w:val="de-DE"/>
        </w:rPr>
      </w:pPr>
      <w:r w:rsidRPr="004676F5">
        <w:rPr>
          <w:lang w:val="de-DE"/>
        </w:rPr>
        <w:tab/>
        <w:t>Kündigt das Kreditinstitut den Rahmenvertrag, so hält es eine Kündigungsfrist von mindestens zwei Monaten ein, außer bei einer Kündigung gemäß Nr. 1 oder 3; in diesem Fall ist die Kündigung sofort wirksam.</w:t>
      </w:r>
    </w:p>
    <w:p w14:paraId="16A72614" w14:textId="77777777" w:rsidR="002242BA" w:rsidRPr="004676F5" w:rsidRDefault="002242BA" w:rsidP="002242BA">
      <w:pPr>
        <w:jc w:val="both"/>
        <w:rPr>
          <w:lang w:val="de-DE"/>
        </w:rPr>
      </w:pPr>
    </w:p>
    <w:p w14:paraId="6C85EAD6" w14:textId="1774B153" w:rsidR="00881814" w:rsidRPr="004676F5" w:rsidRDefault="002242BA" w:rsidP="002242BA">
      <w:pPr>
        <w:ind w:firstLine="708"/>
        <w:jc w:val="both"/>
        <w:rPr>
          <w:lang w:val="de-DE"/>
        </w:rPr>
      </w:pPr>
      <w:r w:rsidRPr="004676F5">
        <w:rPr>
          <w:lang w:val="de-DE"/>
        </w:rPr>
        <w:t xml:space="preserve">§ 3 </w:t>
      </w:r>
      <w:r w:rsidR="005B7A5C" w:rsidRPr="004676F5">
        <w:rPr>
          <w:lang w:val="de-DE"/>
        </w:rPr>
        <w:t>- </w:t>
      </w:r>
      <w:r w:rsidRPr="004676F5">
        <w:rPr>
          <w:lang w:val="de-DE"/>
        </w:rPr>
        <w:t>Der Beschluss der Annehmbarkeit eines Antrags auf kollektive Schuldenregelung oder der Abschluss eines Kreditvertrags durch den Verbraucher bildet keinen Grund für die Ablehnung oder die Kündigung eines Zahlungskontos.]</w:t>
      </w:r>
    </w:p>
    <w:p w14:paraId="688EFB97" w14:textId="1AD9923A" w:rsidR="00881814" w:rsidRPr="004676F5" w:rsidRDefault="00881814" w:rsidP="00881814">
      <w:pPr>
        <w:jc w:val="both"/>
        <w:rPr>
          <w:lang w:val="de-DE"/>
        </w:rPr>
      </w:pPr>
    </w:p>
    <w:p w14:paraId="5BE8E272" w14:textId="6A3168F2" w:rsidR="002242BA" w:rsidRPr="004676F5" w:rsidRDefault="002242BA" w:rsidP="002242BA">
      <w:pPr>
        <w:jc w:val="both"/>
        <w:rPr>
          <w:i/>
          <w:lang w:val="de-DE"/>
        </w:rPr>
      </w:pPr>
      <w:r w:rsidRPr="004676F5">
        <w:rPr>
          <w:i/>
          <w:lang w:val="de-DE"/>
        </w:rPr>
        <w:t>[Art. VII.59 ersetzt durch Art. 15 des G. vom 22. Dezember 2017 (B.S. vom 12. Januar 2018)]</w:t>
      </w:r>
    </w:p>
    <w:p w14:paraId="5056C6C4" w14:textId="7E8F5626" w:rsidR="009E165E" w:rsidRPr="004676F5" w:rsidRDefault="009E165E" w:rsidP="00881814">
      <w:pPr>
        <w:jc w:val="both"/>
        <w:rPr>
          <w:lang w:val="de-DE"/>
        </w:rPr>
      </w:pPr>
    </w:p>
    <w:p w14:paraId="3CBEC24C" w14:textId="77777777" w:rsidR="002242BA" w:rsidRPr="004676F5" w:rsidRDefault="002242BA">
      <w:pPr>
        <w:rPr>
          <w:lang w:val="de-DE"/>
        </w:rPr>
      </w:pPr>
    </w:p>
    <w:p w14:paraId="5DD7A83E" w14:textId="2AAA7F1D" w:rsidR="002242BA" w:rsidRPr="004676F5" w:rsidRDefault="002242BA" w:rsidP="002242BA">
      <w:pPr>
        <w:jc w:val="both"/>
        <w:rPr>
          <w:lang w:val="de-DE"/>
        </w:rPr>
      </w:pPr>
      <w:r w:rsidRPr="004676F5">
        <w:rPr>
          <w:lang w:val="de-DE"/>
        </w:rPr>
        <w:tab/>
        <w:t>[</w:t>
      </w:r>
      <w:r w:rsidRPr="004676F5">
        <w:rPr>
          <w:b/>
          <w:lang w:val="de-DE"/>
        </w:rPr>
        <w:t>Art. VII.59/1</w:t>
      </w:r>
      <w:r w:rsidRPr="004676F5">
        <w:rPr>
          <w:lang w:val="de-DE"/>
        </w:rPr>
        <w:t> </w:t>
      </w:r>
      <w:r w:rsidR="005B7A5C" w:rsidRPr="004676F5">
        <w:rPr>
          <w:lang w:val="de-DE"/>
        </w:rPr>
        <w:t>- </w:t>
      </w:r>
      <w:r w:rsidRPr="004676F5">
        <w:rPr>
          <w:lang w:val="de-DE"/>
        </w:rPr>
        <w:t>Ablehnungs</w:t>
      </w:r>
      <w:r w:rsidR="005B7A5C" w:rsidRPr="004676F5">
        <w:rPr>
          <w:lang w:val="de-DE"/>
        </w:rPr>
        <w:t>- </w:t>
      </w:r>
      <w:r w:rsidRPr="004676F5">
        <w:rPr>
          <w:lang w:val="de-DE"/>
        </w:rPr>
        <w:t>oder Kündigungsbeschlüsse werden schriftlich und unentgeltlich mitgeteilt.</w:t>
      </w:r>
    </w:p>
    <w:p w14:paraId="355E3FD8" w14:textId="77777777" w:rsidR="002242BA" w:rsidRPr="004676F5" w:rsidRDefault="002242BA" w:rsidP="002242BA">
      <w:pPr>
        <w:jc w:val="both"/>
        <w:rPr>
          <w:lang w:val="de-DE"/>
        </w:rPr>
      </w:pPr>
    </w:p>
    <w:p w14:paraId="7BC41BD4" w14:textId="77777777" w:rsidR="002242BA" w:rsidRPr="004676F5" w:rsidRDefault="002242BA" w:rsidP="002242BA">
      <w:pPr>
        <w:jc w:val="both"/>
        <w:rPr>
          <w:lang w:val="de-DE"/>
        </w:rPr>
      </w:pPr>
      <w:r w:rsidRPr="004676F5">
        <w:rPr>
          <w:lang w:val="de-DE"/>
        </w:rPr>
        <w:tab/>
        <w:t>Sie werden auf dem Antragsformular vermerkt und enthalten ausdrücklich die genauen Gründe und die Rechtfertigung des Beschlusses, es sei denn, eine solche Mitteilung würde den Zielen der nationalen Sicherheit oder der öffentlichen Ordnung oder dem Gesetz vom 18. September 2017 zur Verhinderung von Geldwäsche und Terrorismusfinanzierung und zur Beschränkung der Nutzung von Bargeld zuwiderlaufen.</w:t>
      </w:r>
    </w:p>
    <w:p w14:paraId="2D6C9678" w14:textId="77777777" w:rsidR="002242BA" w:rsidRPr="004676F5" w:rsidRDefault="002242BA" w:rsidP="002242BA">
      <w:pPr>
        <w:jc w:val="both"/>
        <w:rPr>
          <w:lang w:val="de-DE"/>
        </w:rPr>
      </w:pPr>
    </w:p>
    <w:p w14:paraId="39D53636" w14:textId="1DF41AB9" w:rsidR="002242BA" w:rsidRPr="004676F5" w:rsidRDefault="002242BA" w:rsidP="002242BA">
      <w:pPr>
        <w:jc w:val="both"/>
        <w:rPr>
          <w:lang w:val="de-DE"/>
        </w:rPr>
      </w:pPr>
      <w:r w:rsidRPr="004676F5">
        <w:rPr>
          <w:lang w:val="de-DE"/>
        </w:rPr>
        <w:tab/>
        <w:t>Anschließend werden außergerichtliche Beschwerde</w:t>
      </w:r>
      <w:r w:rsidR="005B7A5C" w:rsidRPr="004676F5">
        <w:rPr>
          <w:lang w:val="de-DE"/>
        </w:rPr>
        <w:t>- </w:t>
      </w:r>
      <w:r w:rsidRPr="004676F5">
        <w:rPr>
          <w:lang w:val="de-DE"/>
        </w:rPr>
        <w:t xml:space="preserve">und Rechtsbehelfsverfahren, zu denen der Verbraucher Zugang hat, und insbesondere vollständige Bezeichnung, Anschrift, </w:t>
      </w:r>
      <w:r w:rsidRPr="004676F5">
        <w:rPr>
          <w:lang w:val="de-DE"/>
        </w:rPr>
        <w:lastRenderedPageBreak/>
        <w:t>Telefonnummer und elektronische Adresse des in Artikel VII.216 erwähnten zuständigen Organs und der zuständigen Aufsichtsbehörde beim FÖD Wirtschaft angegeben.]</w:t>
      </w:r>
    </w:p>
    <w:p w14:paraId="70978CB9" w14:textId="00FE9AF5" w:rsidR="002242BA" w:rsidRPr="004676F5" w:rsidRDefault="002242BA" w:rsidP="002242BA">
      <w:pPr>
        <w:jc w:val="both"/>
        <w:rPr>
          <w:lang w:val="de-DE"/>
        </w:rPr>
      </w:pPr>
    </w:p>
    <w:p w14:paraId="1FC06A1C" w14:textId="0923189B" w:rsidR="002242BA" w:rsidRPr="004676F5" w:rsidRDefault="002242BA" w:rsidP="002242BA">
      <w:pPr>
        <w:jc w:val="both"/>
        <w:rPr>
          <w:i/>
          <w:lang w:val="de-DE"/>
        </w:rPr>
      </w:pPr>
      <w:r w:rsidRPr="004676F5">
        <w:rPr>
          <w:i/>
          <w:lang w:val="de-DE"/>
        </w:rPr>
        <w:t>[Art. VII.59/1 eingefügt durch Art. 16 des G. vom 22. Dezember 2017 (B.S. vom 12. Januar 2018)]</w:t>
      </w:r>
    </w:p>
    <w:p w14:paraId="428B6552" w14:textId="77777777" w:rsidR="002242BA" w:rsidRPr="004676F5" w:rsidRDefault="002242BA" w:rsidP="002242BA">
      <w:pPr>
        <w:jc w:val="both"/>
        <w:rPr>
          <w:lang w:val="de-DE"/>
        </w:rPr>
      </w:pPr>
    </w:p>
    <w:p w14:paraId="438D8D6F" w14:textId="77777777" w:rsidR="002242BA" w:rsidRPr="004676F5" w:rsidRDefault="002242BA" w:rsidP="002242BA">
      <w:pPr>
        <w:jc w:val="both"/>
        <w:rPr>
          <w:lang w:val="de-DE"/>
        </w:rPr>
      </w:pPr>
    </w:p>
    <w:p w14:paraId="29C7C942" w14:textId="11B0118A" w:rsidR="002242BA" w:rsidRPr="004676F5" w:rsidRDefault="002242BA" w:rsidP="002242BA">
      <w:pPr>
        <w:jc w:val="both"/>
        <w:rPr>
          <w:lang w:val="de-DE"/>
        </w:rPr>
      </w:pPr>
      <w:r w:rsidRPr="004676F5">
        <w:rPr>
          <w:lang w:val="de-DE"/>
        </w:rPr>
        <w:tab/>
        <w:t>[</w:t>
      </w:r>
      <w:r w:rsidRPr="004676F5">
        <w:rPr>
          <w:b/>
          <w:lang w:val="de-DE"/>
        </w:rPr>
        <w:t>Art. VII.59/2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Kreditinstitute teilen Ablehnungs</w:t>
      </w:r>
      <w:r w:rsidR="005B7A5C" w:rsidRPr="004676F5">
        <w:rPr>
          <w:lang w:val="de-DE"/>
        </w:rPr>
        <w:t>- </w:t>
      </w:r>
      <w:r w:rsidRPr="004676F5">
        <w:rPr>
          <w:lang w:val="de-DE"/>
        </w:rPr>
        <w:t>oder Kündigungsbeschlüsse unverzüglich dem für die Behandlung von außergerichtlichen Beschwerde</w:t>
      </w:r>
      <w:r w:rsidR="005B7A5C" w:rsidRPr="004676F5">
        <w:rPr>
          <w:lang w:val="de-DE"/>
        </w:rPr>
        <w:t>- </w:t>
      </w:r>
      <w:r w:rsidRPr="004676F5">
        <w:rPr>
          <w:lang w:val="de-DE"/>
        </w:rPr>
        <w:t>und Rechtsbehelfsverfahren zuständigen Organ wie in Artikel VII.216 erwähnt und gegebenenfalls dem Schuldenvermittler kostenlos schriftlich mit, es sei denn, eine solche Mitteilung würde den Zielen der nationalen Sicherheit oder der öffentlichen Ordnung oder dem Gesetz vom 18. September 2017 zur Verhinderung von Geldwäsche und Terrorismusfinanzierung und zur Beschränkung der Nutzung von Bargeld zuwiderlaufen.</w:t>
      </w:r>
    </w:p>
    <w:p w14:paraId="7080A1D8" w14:textId="77777777" w:rsidR="002242BA" w:rsidRPr="004676F5" w:rsidRDefault="002242BA" w:rsidP="002242BA">
      <w:pPr>
        <w:jc w:val="both"/>
        <w:rPr>
          <w:lang w:val="de-DE"/>
        </w:rPr>
      </w:pPr>
    </w:p>
    <w:p w14:paraId="11CDD681" w14:textId="77777777" w:rsidR="002242BA" w:rsidRPr="004676F5" w:rsidRDefault="002242BA" w:rsidP="002242BA">
      <w:pPr>
        <w:jc w:val="both"/>
        <w:rPr>
          <w:lang w:val="de-DE"/>
        </w:rPr>
      </w:pPr>
      <w:r w:rsidRPr="004676F5">
        <w:rPr>
          <w:lang w:val="de-DE"/>
        </w:rPr>
        <w:tab/>
        <w:t>Dieses Organ kann den Beschluss des Kreditinstituts für nichtig erklären oder bestimmen, dass die Basisbankdienstleistung unter den von ihm festgelegten Bedingungen von einem anderen Kreditinstitut gewährleistet wird. Die Beschlüsse sind für das Kreditinstitut bindend.</w:t>
      </w:r>
    </w:p>
    <w:p w14:paraId="20AAD03B" w14:textId="77777777" w:rsidR="002242BA" w:rsidRPr="004676F5" w:rsidRDefault="002242BA" w:rsidP="002242BA">
      <w:pPr>
        <w:jc w:val="both"/>
        <w:rPr>
          <w:lang w:val="de-DE"/>
        </w:rPr>
      </w:pPr>
    </w:p>
    <w:p w14:paraId="54033835" w14:textId="784F9588" w:rsidR="002242BA" w:rsidRPr="004676F5" w:rsidRDefault="002242BA" w:rsidP="002242BA">
      <w:pPr>
        <w:jc w:val="both"/>
        <w:rPr>
          <w:lang w:val="de-DE"/>
        </w:rPr>
      </w:pPr>
      <w:r w:rsidRPr="004676F5">
        <w:rPr>
          <w:lang w:val="de-DE"/>
        </w:rPr>
        <w:tab/>
        <w:t xml:space="preserve">§ 2 </w:t>
      </w:r>
      <w:r w:rsidR="005B7A5C" w:rsidRPr="004676F5">
        <w:rPr>
          <w:lang w:val="de-DE"/>
        </w:rPr>
        <w:t>- </w:t>
      </w:r>
      <w:r w:rsidRPr="004676F5">
        <w:rPr>
          <w:lang w:val="de-DE"/>
        </w:rPr>
        <w:t>Kreditinstitute teilen jedes Jahr dem zuständigen Organ und der zuständigen Aufsichtsbehörde beim FÖD Wirtschaft Informationen über die Anzahl eröffneter Konten, die Anzahl Ablehnungen und Kündigungen sowie die Begründung dafür mit. Informationen über das abgelaufene Kalenderjahr werden spätestens am letzten Tag des Monats Februar des folgenden Jahres übermittelt.]</w:t>
      </w:r>
    </w:p>
    <w:p w14:paraId="4F6CEEBF" w14:textId="210FF838" w:rsidR="002242BA" w:rsidRPr="004676F5" w:rsidRDefault="002242BA" w:rsidP="002242BA">
      <w:pPr>
        <w:jc w:val="both"/>
        <w:rPr>
          <w:lang w:val="de-DE"/>
        </w:rPr>
      </w:pPr>
    </w:p>
    <w:p w14:paraId="4C8EA074" w14:textId="1673370B" w:rsidR="002242BA" w:rsidRPr="004676F5" w:rsidRDefault="002242BA" w:rsidP="002242BA">
      <w:pPr>
        <w:jc w:val="both"/>
        <w:rPr>
          <w:i/>
          <w:lang w:val="de-DE"/>
        </w:rPr>
      </w:pPr>
      <w:r w:rsidRPr="004676F5">
        <w:rPr>
          <w:i/>
          <w:lang w:val="de-DE"/>
        </w:rPr>
        <w:t>[Art. VII.59/2 eingefügt durch Art. 17 des G. vom 22. Dezember 2017 (B.S. vom 12. Januar 2018)]</w:t>
      </w:r>
    </w:p>
    <w:p w14:paraId="7CB24638" w14:textId="77777777" w:rsidR="002242BA" w:rsidRPr="004676F5" w:rsidRDefault="002242BA" w:rsidP="002242BA">
      <w:pPr>
        <w:jc w:val="both"/>
        <w:rPr>
          <w:lang w:val="de-DE"/>
        </w:rPr>
      </w:pPr>
    </w:p>
    <w:p w14:paraId="1A901BC1" w14:textId="77777777" w:rsidR="002242BA" w:rsidRPr="004676F5" w:rsidRDefault="002242BA" w:rsidP="002242BA">
      <w:pPr>
        <w:jc w:val="both"/>
        <w:rPr>
          <w:lang w:val="de-DE"/>
        </w:rPr>
      </w:pPr>
    </w:p>
    <w:p w14:paraId="738D2B21" w14:textId="4CD6F00A" w:rsidR="002242BA" w:rsidRPr="004676F5" w:rsidRDefault="002242BA" w:rsidP="002242BA">
      <w:pPr>
        <w:jc w:val="both"/>
        <w:rPr>
          <w:lang w:val="de-DE"/>
        </w:rPr>
      </w:pPr>
      <w:r w:rsidRPr="004676F5">
        <w:rPr>
          <w:lang w:val="de-DE"/>
        </w:rPr>
        <w:tab/>
        <w:t>[</w:t>
      </w:r>
      <w:r w:rsidRPr="004676F5">
        <w:rPr>
          <w:b/>
          <w:lang w:val="de-DE"/>
        </w:rPr>
        <w:t>Art. VII.59/3</w:t>
      </w:r>
      <w:r w:rsidRPr="004676F5">
        <w:rPr>
          <w:lang w:val="de-DE"/>
        </w:rPr>
        <w:t> </w:t>
      </w:r>
      <w:r w:rsidR="005B7A5C" w:rsidRPr="004676F5">
        <w:rPr>
          <w:lang w:val="de-DE"/>
        </w:rPr>
        <w:t>- </w:t>
      </w:r>
      <w:r w:rsidRPr="004676F5">
        <w:rPr>
          <w:lang w:val="de-DE"/>
        </w:rPr>
        <w:t>Kreditinstitute stellen Verbrauchern unentgeltlich, deutlich und an einer klaren und gut sichtbaren Stelle Informationen über die Basisbankdienstleistung zur Verfügung, die zumindest auf Papier in den öffentlich zugänglichen Geschäftsräumen verfügbar sind. Sind Kreditinstitute über eine Website erreichbar, werden diese Informationen darüber hinaus deutlich und an einen für Verbraucher klaren und gut sichtbaren Platz auf dieser Website gestellt. Außerdem stellen Kreditinstitute Verbrauchern unentgeltlich Unterstützung zur Verfügung.</w:t>
      </w:r>
    </w:p>
    <w:p w14:paraId="09BC7565" w14:textId="77777777" w:rsidR="002242BA" w:rsidRPr="004676F5" w:rsidRDefault="002242BA" w:rsidP="002242BA">
      <w:pPr>
        <w:jc w:val="both"/>
        <w:rPr>
          <w:lang w:val="de-DE"/>
        </w:rPr>
      </w:pPr>
    </w:p>
    <w:p w14:paraId="6210E600" w14:textId="77777777" w:rsidR="002242BA" w:rsidRPr="004676F5" w:rsidRDefault="002242BA" w:rsidP="002242BA">
      <w:pPr>
        <w:jc w:val="both"/>
        <w:rPr>
          <w:lang w:val="de-DE"/>
        </w:rPr>
      </w:pPr>
      <w:r w:rsidRPr="004676F5">
        <w:rPr>
          <w:lang w:val="de-DE"/>
        </w:rPr>
        <w:tab/>
        <w:t>Die Informationen und die Unterstützung beziehen sich auf die spezifischen Merkmale der angebotenen Basisbankdienstleistung, die damit verbundenen Entgelte und die Nutzungsbedingungen, die Verfahren für die Wahrnehmung des Rechts auf Zugang zu der Basisbankdienstleistung sowie für die Inanspruchnahme von Verfahren zur alternativen Streitbeilegung. In den Informationen wird deutlich gemacht, dass der Zugang zu einer Basisbankdienstleistung nicht an den Erwerb zusätzlicher Dienste gebunden ist.]</w:t>
      </w:r>
    </w:p>
    <w:p w14:paraId="6B5406F0" w14:textId="77777777" w:rsidR="002242BA" w:rsidRPr="004676F5" w:rsidRDefault="002242BA" w:rsidP="002242BA">
      <w:pPr>
        <w:jc w:val="both"/>
        <w:rPr>
          <w:lang w:val="de-DE"/>
        </w:rPr>
      </w:pPr>
    </w:p>
    <w:p w14:paraId="27F831B0" w14:textId="506B1A18" w:rsidR="002242BA" w:rsidRPr="004676F5" w:rsidRDefault="002242BA" w:rsidP="002242BA">
      <w:pPr>
        <w:jc w:val="both"/>
        <w:rPr>
          <w:i/>
          <w:lang w:val="de-DE"/>
        </w:rPr>
      </w:pPr>
      <w:r w:rsidRPr="004676F5">
        <w:rPr>
          <w:i/>
          <w:lang w:val="de-DE"/>
        </w:rPr>
        <w:t>[Art. VII.59/3 eingefügt durch Art. 18 des G. vom 22. Dezember 2017 (B.S. vom 12. Januar 2018)]</w:t>
      </w:r>
    </w:p>
    <w:p w14:paraId="44D0F4DD" w14:textId="77777777" w:rsidR="00F41E34" w:rsidRPr="004676F5" w:rsidRDefault="00F41E34" w:rsidP="002242BA">
      <w:pPr>
        <w:jc w:val="both"/>
        <w:rPr>
          <w:lang w:val="de-DE"/>
        </w:rPr>
      </w:pPr>
    </w:p>
    <w:p w14:paraId="2840ACD9" w14:textId="77777777" w:rsidR="00F41E34" w:rsidRPr="004676F5" w:rsidRDefault="00F41E34" w:rsidP="002242BA">
      <w:pPr>
        <w:jc w:val="both"/>
        <w:rPr>
          <w:lang w:val="de-DE"/>
        </w:rPr>
      </w:pPr>
    </w:p>
    <w:p w14:paraId="7A6295A7" w14:textId="77777777" w:rsidR="00E27355" w:rsidRPr="004676F5" w:rsidRDefault="00E27355">
      <w:pPr>
        <w:rPr>
          <w:lang w:val="de-DE"/>
        </w:rPr>
      </w:pPr>
      <w:r w:rsidRPr="004676F5">
        <w:rPr>
          <w:lang w:val="de-DE"/>
        </w:rPr>
        <w:br w:type="page"/>
      </w:r>
    </w:p>
    <w:p w14:paraId="5D9696ED" w14:textId="280C493E" w:rsidR="00F41E34" w:rsidRPr="004676F5" w:rsidRDefault="00F41E34" w:rsidP="00F41E34">
      <w:pPr>
        <w:jc w:val="center"/>
        <w:rPr>
          <w:lang w:val="de-DE"/>
        </w:rPr>
      </w:pPr>
      <w:r w:rsidRPr="004676F5">
        <w:rPr>
          <w:lang w:val="de-DE"/>
        </w:rPr>
        <w:lastRenderedPageBreak/>
        <w:t>[</w:t>
      </w:r>
      <w:r w:rsidRPr="004676F5">
        <w:rPr>
          <w:i/>
          <w:iCs/>
          <w:lang w:val="de-DE"/>
        </w:rPr>
        <w:t>Abschnitt 2 </w:t>
      </w:r>
      <w:r w:rsidR="005B7A5C" w:rsidRPr="004676F5">
        <w:rPr>
          <w:lang w:val="de-DE"/>
        </w:rPr>
        <w:t>- </w:t>
      </w:r>
      <w:r w:rsidRPr="004676F5">
        <w:rPr>
          <w:lang w:val="de-DE"/>
        </w:rPr>
        <w:t>Basisbankdienstleistung für Unternehmen</w:t>
      </w:r>
      <w:r w:rsidR="009E1067" w:rsidRPr="004676F5">
        <w:rPr>
          <w:lang w:val="de-DE"/>
        </w:rPr>
        <w:t>]</w:t>
      </w:r>
      <w:r w:rsidR="008860E5" w:rsidRPr="004676F5">
        <w:rPr>
          <w:lang w:val="de-DE"/>
        </w:rPr>
        <w:t xml:space="preserve"> [und diplomatischen Missionen]</w:t>
      </w:r>
    </w:p>
    <w:p w14:paraId="3B50DA72" w14:textId="77777777" w:rsidR="00F41E34" w:rsidRPr="004676F5" w:rsidRDefault="00F41E34" w:rsidP="00F41E34">
      <w:pPr>
        <w:jc w:val="center"/>
        <w:rPr>
          <w:lang w:val="de-DE"/>
        </w:rPr>
      </w:pPr>
    </w:p>
    <w:p w14:paraId="2BA722B7" w14:textId="5A6FF2CB" w:rsidR="00F41E34" w:rsidRPr="004676F5" w:rsidRDefault="00F41E34" w:rsidP="00F41E34">
      <w:pPr>
        <w:jc w:val="both"/>
        <w:rPr>
          <w:i/>
          <w:lang w:val="de-DE"/>
        </w:rPr>
      </w:pPr>
      <w:r w:rsidRPr="004676F5">
        <w:rPr>
          <w:i/>
          <w:lang w:val="de-DE"/>
        </w:rPr>
        <w:t>[Unterteilung Abschnitt 2 eingefügt durch Art. 3 des G. vom 8. November 2020 (B.S. vom 24. November 2020)</w:t>
      </w:r>
      <w:r w:rsidR="008860E5" w:rsidRPr="004676F5">
        <w:rPr>
          <w:i/>
          <w:lang w:val="de-DE"/>
        </w:rPr>
        <w:t xml:space="preserve"> und abgeändert durch Art. 12</w:t>
      </w:r>
      <w:r w:rsidR="008860E5" w:rsidRPr="004676F5">
        <w:rPr>
          <w:i/>
          <w:iCs/>
          <w:lang w:val="de-DE"/>
        </w:rPr>
        <w:t xml:space="preserve"> des G. vom 25. September 2022 (B.S. vom 16. Januar 2023)</w:t>
      </w:r>
      <w:r w:rsidRPr="004676F5">
        <w:rPr>
          <w:i/>
          <w:lang w:val="de-DE"/>
        </w:rPr>
        <w:t>]</w:t>
      </w:r>
    </w:p>
    <w:p w14:paraId="2BA3312F" w14:textId="32B2AE21" w:rsidR="00F41E34" w:rsidRPr="004676F5" w:rsidRDefault="00F41E34" w:rsidP="00F41E34">
      <w:pPr>
        <w:jc w:val="both"/>
        <w:rPr>
          <w:iCs/>
          <w:lang w:val="de-DE"/>
        </w:rPr>
      </w:pPr>
    </w:p>
    <w:p w14:paraId="1DCB479B" w14:textId="77777777" w:rsidR="00F41E34" w:rsidRPr="004676F5" w:rsidRDefault="00F41E34" w:rsidP="00F41E34">
      <w:pPr>
        <w:jc w:val="both"/>
        <w:rPr>
          <w:iCs/>
          <w:lang w:val="de-DE"/>
        </w:rPr>
      </w:pPr>
    </w:p>
    <w:p w14:paraId="61FE51B4" w14:textId="4F60F938" w:rsidR="00F41E34" w:rsidRPr="004676F5" w:rsidRDefault="00F41E34" w:rsidP="00F41E34">
      <w:pPr>
        <w:jc w:val="both"/>
        <w:rPr>
          <w:lang w:val="de-DE"/>
        </w:rPr>
      </w:pPr>
      <w:r w:rsidRPr="004676F5">
        <w:rPr>
          <w:iCs/>
          <w:lang w:val="de-DE"/>
        </w:rPr>
        <w:tab/>
        <w:t>[</w:t>
      </w:r>
      <w:r w:rsidRPr="004676F5">
        <w:rPr>
          <w:b/>
          <w:bCs/>
          <w:lang w:val="de-DE"/>
        </w:rPr>
        <w:t>Art. VII.59/4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 xml:space="preserve">Ein in Belgien ansässiges Unternehmen, das gemäß Artikel III.17 in der Zentralen Datenbank der Unternehmen eingetragen ist oder einen entsprechenden Antrag stellt und dessen Antrag auf Eröffnung mindestens der in Artikel I.9 Nr. 1 Buchstabe </w:t>
      </w:r>
      <w:r w:rsidRPr="004676F5">
        <w:rPr>
          <w:i/>
          <w:lang w:val="de-DE"/>
        </w:rPr>
        <w:t>a)</w:t>
      </w:r>
      <w:r w:rsidRPr="004676F5">
        <w:rPr>
          <w:lang w:val="de-DE"/>
        </w:rPr>
        <w:t xml:space="preserve">, </w:t>
      </w:r>
      <w:r w:rsidRPr="004676F5">
        <w:rPr>
          <w:i/>
          <w:lang w:val="de-DE"/>
        </w:rPr>
        <w:t>b</w:t>
      </w:r>
      <w:r w:rsidRPr="004676F5">
        <w:rPr>
          <w:lang w:val="de-DE"/>
        </w:rPr>
        <w:t xml:space="preserve">) beziehungsweise </w:t>
      </w:r>
      <w:r w:rsidRPr="004676F5">
        <w:rPr>
          <w:i/>
          <w:lang w:val="de-DE"/>
        </w:rPr>
        <w:t>c)</w:t>
      </w:r>
      <w:r w:rsidRPr="004676F5">
        <w:rPr>
          <w:lang w:val="de-DE"/>
        </w:rPr>
        <w:t xml:space="preserve"> erwähnten Zahlungsdienste gemäß § 3 von mindestens drei Kredit</w:t>
      </w:r>
      <w:r w:rsidRPr="004676F5">
        <w:rPr>
          <w:lang w:val="de-DE"/>
        </w:rPr>
        <w:softHyphen/>
        <w:t>instituten abgelehnt worden ist</w:t>
      </w:r>
      <w:r w:rsidR="00E27355" w:rsidRPr="004676F5">
        <w:rPr>
          <w:lang w:val="de-DE"/>
        </w:rPr>
        <w:t xml:space="preserve"> [oder dessen Antrag auf Eröffnung mindestens der vorerwähnten Zahlungsdienste mindestens zweimal abgelehnt worden ist und das in Kenntnis davon gesetzt worden ist, dass seine Konten gelöscht wurden]</w:t>
      </w:r>
      <w:r w:rsidRPr="004676F5">
        <w:rPr>
          <w:lang w:val="de-DE"/>
        </w:rPr>
        <w:t>, hat unter den in vorliegendem Abschnitt festgelegten Bedingungen Anrecht auf die Basisbankdienstleistung, die von einem in § 3 Absatz 5 erwähnten Kreditinstitut, im Folgenden "Anbieter der Basisbankdienstleistung" genannt, erbracht wird.</w:t>
      </w:r>
    </w:p>
    <w:p w14:paraId="74915D26" w14:textId="77777777" w:rsidR="00F41E34" w:rsidRPr="004676F5" w:rsidRDefault="00F41E34" w:rsidP="00F41E34">
      <w:pPr>
        <w:jc w:val="both"/>
        <w:rPr>
          <w:lang w:val="de-DE"/>
        </w:rPr>
      </w:pPr>
    </w:p>
    <w:p w14:paraId="2AC98E84" w14:textId="03C8BAB0" w:rsidR="00934815" w:rsidRPr="004676F5" w:rsidRDefault="00934815" w:rsidP="00F41E34">
      <w:pPr>
        <w:jc w:val="both"/>
        <w:rPr>
          <w:lang w:val="de-DE"/>
        </w:rPr>
      </w:pPr>
      <w:r w:rsidRPr="004676F5">
        <w:rPr>
          <w:lang w:val="de-DE"/>
        </w:rPr>
        <w:tab/>
        <w:t>[Neben den in Absatz 1 erwähnten Unternehmen ist vorliegender Abschnitt auch auf diplomatische Missionen im Sinne von Artikel 3 des Wiener Übereinkommens über diplomatische Beziehungen vom 18. April 1961 anwendbar, die auf belgischem Staatsgebiet gelegen sind.]</w:t>
      </w:r>
    </w:p>
    <w:p w14:paraId="359C5EB7" w14:textId="77777777" w:rsidR="00934815" w:rsidRPr="004676F5" w:rsidRDefault="00934815" w:rsidP="00F41E34">
      <w:pPr>
        <w:jc w:val="both"/>
        <w:rPr>
          <w:lang w:val="de-DE"/>
        </w:rPr>
      </w:pPr>
    </w:p>
    <w:p w14:paraId="41BE3C5D" w14:textId="61DC882A" w:rsidR="00E27355" w:rsidRPr="004676F5" w:rsidRDefault="00E27355" w:rsidP="00F41E34">
      <w:pPr>
        <w:jc w:val="both"/>
        <w:rPr>
          <w:lang w:val="de-DE"/>
        </w:rPr>
      </w:pPr>
      <w:r w:rsidRPr="004676F5">
        <w:rPr>
          <w:lang w:val="de-DE"/>
        </w:rPr>
        <w:tab/>
        <w:t>[Neben den in Absatz 1 erwähnten Unternehmen gilt vorliegender Abschnitt ebenfalls für jede in Artikel 3.86 des Zivilgesetzbuches erwähnte Miteigentümervereinigung eines Gebäudes oder einer Gebäudegruppe in Zwangseigentum, bei der mehr als 25 Prozent der Anteile an ihren gemeinsamen Teilen auf Lose entfallen, denen gemäß der Miteigentumssatzung eine berufliche Nutzung zukommen kann. Jede Änderung dieser Nutzung in der Satzung wird unverzüglich dem Kreditinstitut, bei dem die Basisbankdienstleistung beantragt oder erbracht wird, notifiziert.]</w:t>
      </w:r>
    </w:p>
    <w:p w14:paraId="5B0BCD5B" w14:textId="77777777" w:rsidR="00E27355" w:rsidRPr="004676F5" w:rsidRDefault="00E27355" w:rsidP="00F41E34">
      <w:pPr>
        <w:jc w:val="both"/>
        <w:rPr>
          <w:lang w:val="de-DE"/>
        </w:rPr>
      </w:pPr>
    </w:p>
    <w:p w14:paraId="07AF7730" w14:textId="77777777" w:rsidR="00F41E34" w:rsidRPr="004676F5" w:rsidRDefault="00F41E34" w:rsidP="00F41E34">
      <w:pPr>
        <w:jc w:val="both"/>
        <w:rPr>
          <w:lang w:val="de-DE"/>
        </w:rPr>
      </w:pPr>
      <w:r w:rsidRPr="004676F5">
        <w:rPr>
          <w:lang w:val="de-DE"/>
        </w:rPr>
        <w:tab/>
        <w:t>Durch einen im Ministerrat beratenen Erlass kann der König die Bestimmungen des vorliegenden Abschnitts auf andere Personen als Unternehmen anwendbar machen.</w:t>
      </w:r>
    </w:p>
    <w:p w14:paraId="717C33FE" w14:textId="77777777" w:rsidR="00F41E34" w:rsidRPr="004676F5" w:rsidRDefault="00F41E34" w:rsidP="00F41E34">
      <w:pPr>
        <w:jc w:val="both"/>
        <w:rPr>
          <w:lang w:val="de-DE"/>
        </w:rPr>
      </w:pPr>
    </w:p>
    <w:p w14:paraId="44E38305" w14:textId="35E1503C" w:rsidR="00F41E34" w:rsidRPr="004676F5" w:rsidRDefault="00F41E34" w:rsidP="00F41E34">
      <w:pPr>
        <w:jc w:val="both"/>
        <w:rPr>
          <w:lang w:val="de-DE"/>
        </w:rPr>
      </w:pPr>
      <w:r w:rsidRPr="004676F5">
        <w:rPr>
          <w:lang w:val="de-DE"/>
        </w:rPr>
        <w:tab/>
        <w:t>§ 2 </w:t>
      </w:r>
      <w:r w:rsidR="005B7A5C" w:rsidRPr="004676F5">
        <w:rPr>
          <w:lang w:val="de-DE"/>
        </w:rPr>
        <w:t>- </w:t>
      </w:r>
      <w:r w:rsidRPr="004676F5">
        <w:rPr>
          <w:lang w:val="de-DE"/>
        </w:rPr>
        <w:t xml:space="preserve">Die Basisbankdienstleistung für Unternehmen </w:t>
      </w:r>
      <w:r w:rsidR="00934815" w:rsidRPr="004676F5">
        <w:rPr>
          <w:lang w:val="de-DE"/>
        </w:rPr>
        <w:t xml:space="preserve">[und diplomatische Missionen] </w:t>
      </w:r>
      <w:r w:rsidRPr="004676F5">
        <w:rPr>
          <w:lang w:val="de-DE"/>
        </w:rPr>
        <w:t>umfasst mindestens die in Artikel I.9 Nr. 1 Buchstabe </w:t>
      </w:r>
      <w:r w:rsidRPr="004676F5">
        <w:rPr>
          <w:i/>
          <w:lang w:val="de-DE"/>
        </w:rPr>
        <w:t>c)</w:t>
      </w:r>
      <w:r w:rsidRPr="004676F5">
        <w:rPr>
          <w:lang w:val="de-DE"/>
        </w:rPr>
        <w:t xml:space="preserve"> erwähnten Zahlungsdienste und die in Artikel I.9 Nr. 1 Buchstabe </w:t>
      </w:r>
      <w:r w:rsidRPr="004676F5">
        <w:rPr>
          <w:i/>
          <w:lang w:val="de-DE"/>
        </w:rPr>
        <w:t>a)</w:t>
      </w:r>
      <w:r w:rsidRPr="004676F5">
        <w:rPr>
          <w:lang w:val="de-DE"/>
        </w:rPr>
        <w:t xml:space="preserve"> und </w:t>
      </w:r>
      <w:r w:rsidRPr="004676F5">
        <w:rPr>
          <w:i/>
          <w:lang w:val="de-DE"/>
        </w:rPr>
        <w:t>b)</w:t>
      </w:r>
      <w:r w:rsidRPr="004676F5">
        <w:rPr>
          <w:lang w:val="de-DE"/>
        </w:rPr>
        <w:t xml:space="preserve"> erwähnten Zahlungsdienste, sofern diese Dienste in einem oder mehreren Mitgliedstaaten erfolgen.</w:t>
      </w:r>
    </w:p>
    <w:p w14:paraId="67263872" w14:textId="77777777" w:rsidR="00F41E34" w:rsidRPr="004676F5" w:rsidRDefault="00F41E34" w:rsidP="00F41E34">
      <w:pPr>
        <w:jc w:val="both"/>
        <w:rPr>
          <w:lang w:val="de-DE"/>
        </w:rPr>
      </w:pPr>
    </w:p>
    <w:p w14:paraId="40506141" w14:textId="6692A661" w:rsidR="00F41E34" w:rsidRPr="004676F5" w:rsidRDefault="00F41E34" w:rsidP="00F41E34">
      <w:pPr>
        <w:jc w:val="both"/>
        <w:rPr>
          <w:lang w:val="de-DE"/>
        </w:rPr>
      </w:pPr>
      <w:r w:rsidRPr="004676F5">
        <w:rPr>
          <w:lang w:val="de-DE"/>
        </w:rPr>
        <w:tab/>
      </w:r>
      <w:r w:rsidR="00934815" w:rsidRPr="004676F5">
        <w:rPr>
          <w:lang w:val="de-DE"/>
        </w:rPr>
        <w:t>[Die Basisbankdienstleistung wird für die in Artikel I.9 Nr. 1 Buchstabe </w:t>
      </w:r>
      <w:r w:rsidR="00934815" w:rsidRPr="004676F5">
        <w:rPr>
          <w:i/>
          <w:lang w:val="de-DE"/>
        </w:rPr>
        <w:t>a)</w:t>
      </w:r>
      <w:r w:rsidR="00934815" w:rsidRPr="004676F5">
        <w:rPr>
          <w:lang w:val="de-DE"/>
        </w:rPr>
        <w:t xml:space="preserve">, </w:t>
      </w:r>
      <w:r w:rsidR="00934815" w:rsidRPr="004676F5">
        <w:rPr>
          <w:i/>
          <w:lang w:val="de-DE"/>
        </w:rPr>
        <w:t>b)</w:t>
      </w:r>
      <w:r w:rsidR="00934815" w:rsidRPr="004676F5">
        <w:rPr>
          <w:lang w:val="de-DE"/>
        </w:rPr>
        <w:t xml:space="preserve"> und </w:t>
      </w:r>
      <w:r w:rsidR="00934815" w:rsidRPr="004676F5">
        <w:rPr>
          <w:i/>
          <w:lang w:val="de-DE"/>
        </w:rPr>
        <w:t>c)</w:t>
      </w:r>
      <w:r w:rsidR="00934815" w:rsidRPr="004676F5">
        <w:rPr>
          <w:lang w:val="de-DE"/>
        </w:rPr>
        <w:t xml:space="preserve"> erwähnten Dienste über ein Zahlungskonto in Euro oder - für die in Artikel I.9 Nr. 1 Buchstabe </w:t>
      </w:r>
      <w:r w:rsidR="00934815" w:rsidRPr="004676F5">
        <w:rPr>
          <w:i/>
          <w:lang w:val="de-DE"/>
        </w:rPr>
        <w:t>c)</w:t>
      </w:r>
      <w:r w:rsidR="00934815" w:rsidRPr="004676F5">
        <w:rPr>
          <w:lang w:val="de-DE"/>
        </w:rPr>
        <w:t xml:space="preserve"> erwähnten Dienste und auf Wunsch des Unternehmens oder der diplomatischen Mission - über ein Zahlungskonto in US-Dollar angeboten.]</w:t>
      </w:r>
    </w:p>
    <w:p w14:paraId="66AFCD68" w14:textId="77777777" w:rsidR="00F41E34" w:rsidRPr="004676F5" w:rsidRDefault="00F41E34" w:rsidP="00F41E34">
      <w:pPr>
        <w:jc w:val="both"/>
        <w:rPr>
          <w:lang w:val="de-DE"/>
        </w:rPr>
      </w:pPr>
    </w:p>
    <w:p w14:paraId="016803F9" w14:textId="0721C710" w:rsidR="00F41E34" w:rsidRPr="004676F5" w:rsidRDefault="00F41E34" w:rsidP="00F41E34">
      <w:pPr>
        <w:jc w:val="both"/>
        <w:rPr>
          <w:lang w:val="de-DE"/>
        </w:rPr>
      </w:pPr>
      <w:r w:rsidRPr="004676F5">
        <w:rPr>
          <w:lang w:val="de-DE"/>
        </w:rPr>
        <w:tab/>
        <w:t xml:space="preserve">Unbeschadet der Bestimmungen des Gesetzes vom 18. September 2017 zur Verhinderung von Geldwäsche und Terrorismusfinanzierung und zur Beschränkung der Nutzung von Bargeld kann die Basisbankdienstleistung an Schaltern oder Geldautomaten während oder außerhalb der Öffnungszeiten </w:t>
      </w:r>
      <w:r w:rsidR="00934815" w:rsidRPr="004676F5">
        <w:rPr>
          <w:lang w:val="de-DE"/>
        </w:rPr>
        <w:t>[des gemäß § 3 Absatz 5 bestimmten Anbieters der Basisbankdienstleistung]</w:t>
      </w:r>
      <w:r w:rsidRPr="004676F5">
        <w:rPr>
          <w:lang w:val="de-DE"/>
        </w:rPr>
        <w:t xml:space="preserve"> erbracht werden und bietet dem Unternehmen </w:t>
      </w:r>
      <w:r w:rsidR="00934815" w:rsidRPr="004676F5">
        <w:rPr>
          <w:lang w:val="de-DE"/>
        </w:rPr>
        <w:t xml:space="preserve">[und der diplomatischen Mission] </w:t>
      </w:r>
      <w:r w:rsidRPr="004676F5">
        <w:rPr>
          <w:lang w:val="de-DE"/>
        </w:rPr>
        <w:t>die Möglichkeit, über die Online-Dienste des Anbieters der Basisbankdienst</w:t>
      </w:r>
      <w:r w:rsidRPr="004676F5">
        <w:rPr>
          <w:lang w:val="de-DE"/>
        </w:rPr>
        <w:softHyphen/>
        <w:t>leistung eine unbegrenzte Anzahl elektronischer Transaktionen im Zusammenhang mit den in § 1 erwähnten Diensten auszuführen.</w:t>
      </w:r>
    </w:p>
    <w:p w14:paraId="33F6CF93" w14:textId="77777777" w:rsidR="00E27355" w:rsidRPr="004676F5" w:rsidRDefault="00E27355" w:rsidP="00F41E34">
      <w:pPr>
        <w:jc w:val="both"/>
        <w:rPr>
          <w:lang w:val="de-DE"/>
        </w:rPr>
      </w:pPr>
    </w:p>
    <w:p w14:paraId="15B58360" w14:textId="3DA7CA34" w:rsidR="00E27355" w:rsidRPr="004676F5" w:rsidRDefault="00E27355" w:rsidP="00F41E34">
      <w:pPr>
        <w:jc w:val="both"/>
        <w:rPr>
          <w:lang w:val="de-DE"/>
        </w:rPr>
      </w:pPr>
      <w:r w:rsidRPr="004676F5">
        <w:rPr>
          <w:lang w:val="de-DE"/>
        </w:rPr>
        <w:tab/>
        <w:t>[Der gemäß § 3 Absatz 5 bestimmte Anbieter der Basisbankdienstleistung stellt dem betreffenden Unternehmen oder der betreffenden diplomatischen Mission für die Erbringung der Basisbankdienstleistung einen Betrag in Rechnung, der auf Jahresbasis 420 EUR nicht überschreiten darf. Dieser Betrag kann jährlich indexiert werden. Der König kann den Betrag auf Stellungnahme der Bank ändern.]</w:t>
      </w:r>
    </w:p>
    <w:p w14:paraId="0E6D1E3C" w14:textId="77777777" w:rsidR="00F41E34" w:rsidRPr="004676F5" w:rsidRDefault="00F41E34" w:rsidP="00F41E34">
      <w:pPr>
        <w:jc w:val="both"/>
        <w:rPr>
          <w:lang w:val="de-DE"/>
        </w:rPr>
      </w:pPr>
    </w:p>
    <w:p w14:paraId="0B2D8ECF" w14:textId="63A65B26" w:rsidR="00F41E34" w:rsidRPr="004676F5" w:rsidRDefault="00F41E34" w:rsidP="00F41E34">
      <w:pPr>
        <w:jc w:val="both"/>
        <w:rPr>
          <w:lang w:val="de-DE"/>
        </w:rPr>
      </w:pPr>
      <w:r w:rsidRPr="004676F5">
        <w:rPr>
          <w:lang w:val="de-DE"/>
        </w:rPr>
        <w:tab/>
        <w:t xml:space="preserve">§ 3 ­ Die Verweigerung von Zahlungsdiensten wie erwähnt in Artikel I.9 Nr. 1 Buchstabe </w:t>
      </w:r>
      <w:r w:rsidRPr="004676F5">
        <w:rPr>
          <w:i/>
          <w:lang w:val="de-DE"/>
        </w:rPr>
        <w:t>a)</w:t>
      </w:r>
      <w:r w:rsidRPr="004676F5">
        <w:rPr>
          <w:lang w:val="de-DE"/>
        </w:rPr>
        <w:t xml:space="preserve">, </w:t>
      </w:r>
      <w:r w:rsidRPr="004676F5">
        <w:rPr>
          <w:i/>
          <w:lang w:val="de-DE"/>
        </w:rPr>
        <w:t>b)</w:t>
      </w:r>
      <w:r w:rsidRPr="004676F5">
        <w:rPr>
          <w:lang w:val="de-DE"/>
        </w:rPr>
        <w:t xml:space="preserve"> oder </w:t>
      </w:r>
      <w:r w:rsidRPr="004676F5">
        <w:rPr>
          <w:i/>
          <w:lang w:val="de-DE"/>
        </w:rPr>
        <w:t>c)</w:t>
      </w:r>
      <w:r w:rsidRPr="004676F5">
        <w:rPr>
          <w:lang w:val="de-DE"/>
        </w:rPr>
        <w:t xml:space="preserve"> </w:t>
      </w:r>
      <w:r w:rsidR="00934815" w:rsidRPr="004676F5">
        <w:rPr>
          <w:lang w:val="de-DE"/>
        </w:rPr>
        <w:t>[an ein Unternehmen oder eine diplomatische Mission wie in § 1 erwähnt]</w:t>
      </w:r>
      <w:r w:rsidRPr="004676F5">
        <w:rPr>
          <w:lang w:val="de-DE"/>
        </w:rPr>
        <w:t xml:space="preserve"> ist </w:t>
      </w:r>
      <w:r w:rsidR="00934815" w:rsidRPr="004676F5">
        <w:rPr>
          <w:lang w:val="de-DE"/>
        </w:rPr>
        <w:t xml:space="preserve">[auf Antrag des Unternehmens oder der diplomatischen Mission] </w:t>
      </w:r>
      <w:r w:rsidRPr="004676F5">
        <w:rPr>
          <w:lang w:val="de-DE"/>
        </w:rPr>
        <w:t>unverzüglich, spätestens jedoch innerhalb zehn Werktagen nach Eingang des Antrags schriftlich, ausdrücklich und hinreichend zu begründen, es sei denn, eine solche Mitteilung von Informationen würde den Zielen der nationalen Sicherheit oder der öffentlichen Ordnung oder Artikel 55 des Gesetzes vom 18. September 2017 zur Verhinderung von Geldwäsche und Terrorismusfinanzierung und zur Beschränkung der Nutzung von Bargeld zuwiderlaufen.</w:t>
      </w:r>
      <w:r w:rsidR="00692B96" w:rsidRPr="004676F5">
        <w:rPr>
          <w:lang w:val="de-DE"/>
        </w:rPr>
        <w:t xml:space="preserve"> [Reagiert ein Kreditinstitut innerhalb fünfzehn Werktagen ab dem Datum der Einreichung eines in § 1 erwähnten Antrags auf Zahlungsdienste nicht, gilt dies als Ablehnung eines Antrags auf Zahlungsdienste wie in vorliegendem Absatz erwähnt.]</w:t>
      </w:r>
    </w:p>
    <w:p w14:paraId="6DCC6437" w14:textId="77777777" w:rsidR="00F41E34" w:rsidRPr="004676F5" w:rsidRDefault="00F41E34" w:rsidP="00F41E34">
      <w:pPr>
        <w:jc w:val="both"/>
        <w:rPr>
          <w:lang w:val="de-DE"/>
        </w:rPr>
      </w:pPr>
    </w:p>
    <w:p w14:paraId="552D7F56" w14:textId="4EFAF21D" w:rsidR="00F41E34" w:rsidRPr="004676F5" w:rsidRDefault="00F41E34" w:rsidP="00F41E34">
      <w:pPr>
        <w:jc w:val="both"/>
        <w:rPr>
          <w:lang w:val="de-DE"/>
        </w:rPr>
      </w:pPr>
      <w:r w:rsidRPr="004676F5">
        <w:rPr>
          <w:lang w:val="de-DE"/>
        </w:rPr>
        <w:tab/>
        <w:t>Anschließend werden außergerichtliche Beschwerde</w:t>
      </w:r>
      <w:r w:rsidR="005B7A5C" w:rsidRPr="004676F5">
        <w:rPr>
          <w:lang w:val="de-DE"/>
        </w:rPr>
        <w:t>- </w:t>
      </w:r>
      <w:r w:rsidRPr="004676F5">
        <w:rPr>
          <w:lang w:val="de-DE"/>
        </w:rPr>
        <w:t xml:space="preserve">und Rechtsbehelfsverfahren, zu denen das Unternehmen </w:t>
      </w:r>
      <w:r w:rsidR="00934815" w:rsidRPr="004676F5">
        <w:rPr>
          <w:lang w:val="de-DE"/>
        </w:rPr>
        <w:t xml:space="preserve">[und die diplomatische Mission] </w:t>
      </w:r>
      <w:r w:rsidRPr="004676F5">
        <w:rPr>
          <w:lang w:val="de-DE"/>
        </w:rPr>
        <w:t xml:space="preserve">zur Anfechtung des Beschlusses Zugang hat, und insbesondere </w:t>
      </w:r>
      <w:r w:rsidR="00934815" w:rsidRPr="004676F5">
        <w:rPr>
          <w:lang w:val="de-DE"/>
        </w:rPr>
        <w:t xml:space="preserve">[für das Unternehmen] </w:t>
      </w:r>
      <w:r w:rsidRPr="004676F5">
        <w:rPr>
          <w:lang w:val="de-DE"/>
        </w:rPr>
        <w:t xml:space="preserve">vollständige Bezeichnung, Anschrift, Telefonnummer und elektronische Adresse </w:t>
      </w:r>
      <w:r w:rsidR="00934815" w:rsidRPr="004676F5">
        <w:rPr>
          <w:lang w:val="de-DE"/>
        </w:rPr>
        <w:t>[des Ombudsdienstes für Finanzdienstleistungen]</w:t>
      </w:r>
      <w:r w:rsidRPr="004676F5">
        <w:rPr>
          <w:lang w:val="de-DE"/>
        </w:rPr>
        <w:t xml:space="preserve"> und der zuständigen Aufsichtsbehörde beim FÖD Wirtschaft angegeben.</w:t>
      </w:r>
    </w:p>
    <w:p w14:paraId="4D7AF74F" w14:textId="77777777" w:rsidR="00F41E34" w:rsidRPr="004676F5" w:rsidRDefault="00F41E34" w:rsidP="00F41E34">
      <w:pPr>
        <w:jc w:val="both"/>
        <w:rPr>
          <w:lang w:val="de-DE"/>
        </w:rPr>
      </w:pPr>
    </w:p>
    <w:p w14:paraId="016E6F37" w14:textId="65C2D71C" w:rsidR="00F41E34" w:rsidRPr="004676F5" w:rsidRDefault="00F41E34" w:rsidP="00F41E34">
      <w:pPr>
        <w:jc w:val="both"/>
        <w:rPr>
          <w:lang w:val="de-DE"/>
        </w:rPr>
      </w:pPr>
      <w:r w:rsidRPr="004676F5">
        <w:rPr>
          <w:lang w:val="de-DE"/>
        </w:rPr>
        <w:tab/>
      </w:r>
      <w:r w:rsidR="00934815" w:rsidRPr="004676F5">
        <w:rPr>
          <w:lang w:val="de-DE"/>
        </w:rPr>
        <w:t>[Ein Unternehmen oder eine diplomatische Mission, dem/der]</w:t>
      </w:r>
      <w:r w:rsidRPr="004676F5">
        <w:rPr>
          <w:lang w:val="de-DE"/>
        </w:rPr>
        <w:t xml:space="preserve"> die in Absatz 1 erwähnten Zahlungsdienste verweigert werden, kann bei der in Absatz 7 erwähnten Kammer für Basisbankdienstleistungen einen Antrag auf Basisbankdienstleistung stellen.</w:t>
      </w:r>
    </w:p>
    <w:p w14:paraId="04AD3879" w14:textId="77777777" w:rsidR="00F41E34" w:rsidRPr="004676F5" w:rsidRDefault="00F41E34" w:rsidP="00F41E34">
      <w:pPr>
        <w:jc w:val="both"/>
        <w:rPr>
          <w:lang w:val="de-DE"/>
        </w:rPr>
      </w:pPr>
    </w:p>
    <w:p w14:paraId="045C22DF" w14:textId="183FD0B9" w:rsidR="00F41E34" w:rsidRPr="004676F5" w:rsidRDefault="00F41E34" w:rsidP="00F41E34">
      <w:pPr>
        <w:jc w:val="both"/>
        <w:rPr>
          <w:lang w:val="de-DE"/>
        </w:rPr>
      </w:pPr>
      <w:r w:rsidRPr="004676F5">
        <w:rPr>
          <w:lang w:val="de-DE"/>
        </w:rPr>
        <w:tab/>
        <w:t xml:space="preserve">Nach Erhalt des Antrags holt die Kammer für Basisbankdienstleistungen beim Büro für die Verarbeitung finanzieller Informationen, eingerichtet durch das Gesetz vom 18. September 2017 zur Verhinderung von Geldwäsche und Terrorismusfinanzierung und zur Beschränkung der Nutzung von Bargeld, eine vertrauliche Stellungnahme über das Unternehmen </w:t>
      </w:r>
      <w:r w:rsidR="00934815" w:rsidRPr="004676F5">
        <w:rPr>
          <w:lang w:val="de-DE"/>
        </w:rPr>
        <w:t xml:space="preserve">[oder die diplomatische Mission] </w:t>
      </w:r>
      <w:r w:rsidRPr="004676F5">
        <w:rPr>
          <w:lang w:val="de-DE"/>
        </w:rPr>
        <w:t>ein.</w:t>
      </w:r>
    </w:p>
    <w:p w14:paraId="5DB28ABA" w14:textId="77777777" w:rsidR="00F41E34" w:rsidRPr="004676F5" w:rsidRDefault="00F41E34" w:rsidP="00F41E34">
      <w:pPr>
        <w:jc w:val="both"/>
        <w:rPr>
          <w:lang w:val="de-DE"/>
        </w:rPr>
      </w:pPr>
    </w:p>
    <w:p w14:paraId="2580E79A" w14:textId="7BE15A0E" w:rsidR="00F41E34" w:rsidRPr="004676F5" w:rsidRDefault="00F41E34" w:rsidP="00F41E34">
      <w:pPr>
        <w:jc w:val="both"/>
        <w:rPr>
          <w:lang w:val="de-DE"/>
        </w:rPr>
      </w:pPr>
      <w:r w:rsidRPr="004676F5">
        <w:rPr>
          <w:lang w:val="de-DE"/>
        </w:rPr>
        <w:tab/>
      </w:r>
      <w:r w:rsidR="00692B96" w:rsidRPr="004676F5">
        <w:rPr>
          <w:lang w:val="de-DE"/>
        </w:rPr>
        <w:t>[Ist die in Absatz 4 erwähnte Stellungnahme positiv oder hat das Büro für die Verarbeitung finanzieller Informationen innerhalb sechzig Kalendertagen nicht reagiert, bestimmt die Kammer für Basisbankdienstleistungen ein Kreditinstitut als Anbieter der Basisbankdienstleistung; dieses Institut ist verpflichtet, dem antragstellenden Unternehmen oder der antragstellenden Mission die Basisbankdienstleistung anzubieten. Der Anbieter der Basisbankdienstleistung ist ein in Belgien ansässiges Kreditinstitut aus der Liste der systemrelevanten Institute wie in Artikel 3 Absatz 1 Nr. 29 des Gesetzes vom 25. April 2014 über den Status und die Kontrolle der Kreditinstitute und der Börsengesellschaften bestimmt - in den Artikeln 36/1 Nr. 13, 14 und 25 und 36/26/1 §§ 4 und 6 des Gesetzes vom 22. Februar 1998 zur Festlegung des Grundlagenstatuts der Belgischen Nationalbank erwähnte Institute ausgenommen -, das in Artikel I.9 Nr. 1 Buchstabe </w:t>
      </w:r>
      <w:r w:rsidR="00692B96" w:rsidRPr="004676F5">
        <w:rPr>
          <w:i/>
          <w:lang w:val="de-DE"/>
        </w:rPr>
        <w:t>a)</w:t>
      </w:r>
      <w:r w:rsidR="00692B96" w:rsidRPr="004676F5">
        <w:rPr>
          <w:lang w:val="de-DE"/>
        </w:rPr>
        <w:t xml:space="preserve">, </w:t>
      </w:r>
      <w:r w:rsidR="00692B96" w:rsidRPr="004676F5">
        <w:rPr>
          <w:i/>
          <w:lang w:val="de-DE"/>
        </w:rPr>
        <w:t>b)</w:t>
      </w:r>
      <w:r w:rsidR="00692B96" w:rsidRPr="004676F5">
        <w:rPr>
          <w:lang w:val="de-DE"/>
        </w:rPr>
        <w:t xml:space="preserve"> und </w:t>
      </w:r>
      <w:r w:rsidR="00692B96" w:rsidRPr="004676F5">
        <w:rPr>
          <w:i/>
          <w:lang w:val="de-DE"/>
        </w:rPr>
        <w:t>c)</w:t>
      </w:r>
      <w:r w:rsidR="00692B96" w:rsidRPr="004676F5">
        <w:rPr>
          <w:lang w:val="de-DE"/>
        </w:rPr>
        <w:t xml:space="preserve"> erwähnte Zahlungsdienste an Unternehmen erbringt.]</w:t>
      </w:r>
    </w:p>
    <w:p w14:paraId="5D41C1C8" w14:textId="77777777" w:rsidR="00F41E34" w:rsidRPr="004676F5" w:rsidRDefault="00F41E34" w:rsidP="00F41E34">
      <w:pPr>
        <w:jc w:val="both"/>
        <w:rPr>
          <w:lang w:val="de-DE"/>
        </w:rPr>
      </w:pPr>
    </w:p>
    <w:p w14:paraId="3EB3F065" w14:textId="47227621" w:rsidR="00F41E34" w:rsidRPr="004676F5" w:rsidRDefault="00F41E34" w:rsidP="00F41E34">
      <w:pPr>
        <w:jc w:val="both"/>
        <w:rPr>
          <w:lang w:val="de-DE"/>
        </w:rPr>
      </w:pPr>
      <w:r w:rsidRPr="004676F5">
        <w:rPr>
          <w:lang w:val="de-DE"/>
        </w:rPr>
        <w:tab/>
      </w:r>
      <w:r w:rsidR="00934815" w:rsidRPr="004676F5">
        <w:rPr>
          <w:lang w:val="de-DE"/>
        </w:rPr>
        <w:t>[Das antragstellende Unternehmen und die antragstellende diplomatische Mission stellen]</w:t>
      </w:r>
      <w:r w:rsidRPr="004676F5">
        <w:rPr>
          <w:lang w:val="de-DE"/>
        </w:rPr>
        <w:t xml:space="preserve"> die Informationen und Unterlagen zur Verfügung, die zur Einhaltung der Verpflichtung zur Feststellung und Überprüfung der Identität erforderlich sind, die in Buch II Titel 3 Kapitel 1 Abschnitt 2 des Gesetzes vom 18. September 2017 zur Verhinderung von Geldwäsche und </w:t>
      </w:r>
      <w:r w:rsidRPr="004676F5">
        <w:rPr>
          <w:lang w:val="de-DE"/>
        </w:rPr>
        <w:lastRenderedPageBreak/>
        <w:t>Terrorismusfinanzierung und zur Beschränkung der Nutzung von Bargeld vorgesehen ist. Spätestens im Monat nach dem Monat, in dem die Antragsakte als vollständig angesehen werden kann, bestimmt die Kammer für Basisbankdienstleistungen den in Frage kommenden Anbieter der Basisbankdienstleistung; solche Bestimmungen werden über die Institute verteilt.</w:t>
      </w:r>
    </w:p>
    <w:p w14:paraId="181A2B42" w14:textId="77777777" w:rsidR="00F41E34" w:rsidRPr="004676F5" w:rsidRDefault="00F41E34" w:rsidP="00F41E34">
      <w:pPr>
        <w:jc w:val="both"/>
        <w:rPr>
          <w:lang w:val="de-DE"/>
        </w:rPr>
      </w:pPr>
    </w:p>
    <w:p w14:paraId="3EFA5147" w14:textId="7E8A37B7" w:rsidR="00F41E34" w:rsidRPr="004676F5" w:rsidRDefault="00F41E34" w:rsidP="00F41E34">
      <w:pPr>
        <w:jc w:val="both"/>
        <w:rPr>
          <w:lang w:val="de-DE"/>
        </w:rPr>
      </w:pPr>
      <w:r w:rsidRPr="004676F5">
        <w:rPr>
          <w:lang w:val="de-DE"/>
        </w:rPr>
        <w:tab/>
        <w:t>Der König richtet innerhalb des FÖD Wirtschaft die Kammer für Basisbankdienst</w:t>
      </w:r>
      <w:r w:rsidRPr="004676F5">
        <w:rPr>
          <w:lang w:val="de-DE"/>
        </w:rPr>
        <w:softHyphen/>
        <w:t xml:space="preserve">leistungen ein, die damit beauftragt ist, für Unternehmen </w:t>
      </w:r>
      <w:r w:rsidR="00934815" w:rsidRPr="004676F5">
        <w:rPr>
          <w:lang w:val="de-DE"/>
        </w:rPr>
        <w:t xml:space="preserve">[und diplomatische Missionen] </w:t>
      </w:r>
      <w:r w:rsidRPr="004676F5">
        <w:rPr>
          <w:lang w:val="de-DE"/>
        </w:rPr>
        <w:t>einen Anbieter der Basisbankdienstleistung zu bestimmen. Er legt fest, wie die Bestimmungen über die in Frage kommenden Anbieter der Basisbankdienstleistung verteilt werden und wie die Verpflichtung zur Feststellung und Überprüfung der Identität kontrolliert wird.</w:t>
      </w:r>
    </w:p>
    <w:p w14:paraId="64F06DE9" w14:textId="77777777" w:rsidR="00934815" w:rsidRPr="004676F5" w:rsidRDefault="00934815" w:rsidP="00F41E34">
      <w:pPr>
        <w:jc w:val="both"/>
        <w:rPr>
          <w:lang w:val="de-DE"/>
        </w:rPr>
      </w:pPr>
    </w:p>
    <w:p w14:paraId="2A87A4EA" w14:textId="4CAE7BE6" w:rsidR="00934815" w:rsidRPr="004676F5" w:rsidRDefault="00934815" w:rsidP="00F41E34">
      <w:pPr>
        <w:jc w:val="both"/>
        <w:rPr>
          <w:lang w:val="de-DE"/>
        </w:rPr>
      </w:pPr>
      <w:r w:rsidRPr="004676F5">
        <w:rPr>
          <w:lang w:val="de-DE"/>
        </w:rPr>
        <w:tab/>
        <w:t>[Die Kammer für Basisbankdienstleistungen kann Sachverständige anhören oder hinzuziehen. Der König bestimmt die Modalitäten dafür.]</w:t>
      </w:r>
    </w:p>
    <w:p w14:paraId="240CE384" w14:textId="77777777" w:rsidR="00F41E34" w:rsidRPr="004676F5" w:rsidRDefault="00F41E34" w:rsidP="00F41E34">
      <w:pPr>
        <w:jc w:val="both"/>
        <w:rPr>
          <w:lang w:val="de-DE"/>
        </w:rPr>
      </w:pPr>
    </w:p>
    <w:p w14:paraId="1D8106D0" w14:textId="1C6D8976" w:rsidR="00F41E34" w:rsidRPr="004676F5" w:rsidRDefault="00F41E34" w:rsidP="00F41E34">
      <w:pPr>
        <w:jc w:val="both"/>
        <w:rPr>
          <w:lang w:val="de-DE"/>
        </w:rPr>
      </w:pPr>
      <w:r w:rsidRPr="004676F5">
        <w:rPr>
          <w:lang w:val="de-DE"/>
        </w:rPr>
        <w:tab/>
        <w:t>§ 4 </w:t>
      </w:r>
      <w:r w:rsidR="005B7A5C" w:rsidRPr="004676F5">
        <w:rPr>
          <w:lang w:val="de-DE"/>
        </w:rPr>
        <w:t>- </w:t>
      </w:r>
      <w:r w:rsidRPr="004676F5">
        <w:rPr>
          <w:lang w:val="de-DE"/>
        </w:rPr>
        <w:t>Der gemäß § 3 Absatz 5 bestimmte Anbieter der Basisbankdienstleistung darf weder ausdrücklich noch stillschweigend eine mit einer Basisbankdienstleistung verbundene Krediteröffnung vorschlagen oder gewähren.</w:t>
      </w:r>
    </w:p>
    <w:p w14:paraId="79EF1474" w14:textId="77777777" w:rsidR="00F41E34" w:rsidRPr="004676F5" w:rsidRDefault="00F41E34" w:rsidP="00F41E34">
      <w:pPr>
        <w:jc w:val="both"/>
        <w:rPr>
          <w:lang w:val="de-DE"/>
        </w:rPr>
      </w:pPr>
    </w:p>
    <w:p w14:paraId="63F09D80" w14:textId="77777777" w:rsidR="00F41E34" w:rsidRPr="004676F5" w:rsidRDefault="00F41E34" w:rsidP="00F41E34">
      <w:pPr>
        <w:jc w:val="both"/>
        <w:rPr>
          <w:lang w:val="de-DE"/>
        </w:rPr>
      </w:pPr>
      <w:r w:rsidRPr="004676F5">
        <w:rPr>
          <w:lang w:val="de-DE"/>
        </w:rPr>
        <w:tab/>
        <w:t>Der Zugang zur Basisbankdienstleistung darf nicht vom Abschluss eines Vertrags über eine Nebendienstleistung abhängig gemacht werden.</w:t>
      </w:r>
    </w:p>
    <w:p w14:paraId="20D71EFA" w14:textId="77777777" w:rsidR="00F41E34" w:rsidRPr="004676F5" w:rsidRDefault="00F41E34" w:rsidP="00F41E34">
      <w:pPr>
        <w:jc w:val="both"/>
        <w:rPr>
          <w:lang w:val="de-DE"/>
        </w:rPr>
      </w:pPr>
    </w:p>
    <w:p w14:paraId="77CC30BD" w14:textId="77777777" w:rsidR="00F41E34" w:rsidRPr="004676F5" w:rsidRDefault="00F41E34" w:rsidP="00F41E34">
      <w:pPr>
        <w:jc w:val="both"/>
        <w:rPr>
          <w:lang w:val="de-DE"/>
        </w:rPr>
      </w:pPr>
      <w:r w:rsidRPr="004676F5">
        <w:rPr>
          <w:lang w:val="de-DE"/>
        </w:rPr>
        <w:tab/>
        <w:t>Zahlungsvorgänge im Rahmen der Basisbankdienstleistung werden nicht durchgeführt, wenn sie einen Debetsaldo zur Folge haben.</w:t>
      </w:r>
    </w:p>
    <w:p w14:paraId="6F76AD48" w14:textId="77777777" w:rsidR="00F41E34" w:rsidRPr="004676F5" w:rsidRDefault="00F41E34" w:rsidP="00F41E34">
      <w:pPr>
        <w:jc w:val="both"/>
        <w:rPr>
          <w:lang w:val="de-DE"/>
        </w:rPr>
      </w:pPr>
    </w:p>
    <w:p w14:paraId="36E28F47" w14:textId="6002FF0F" w:rsidR="00F41E34" w:rsidRPr="004676F5" w:rsidRDefault="00F41E34" w:rsidP="00F41E34">
      <w:pPr>
        <w:jc w:val="both"/>
        <w:rPr>
          <w:lang w:val="de-DE"/>
        </w:rPr>
      </w:pPr>
      <w:r w:rsidRPr="004676F5">
        <w:rPr>
          <w:lang w:val="de-DE"/>
        </w:rPr>
        <w:tab/>
        <w:t>§ 5 </w:t>
      </w:r>
      <w:r w:rsidR="005B7A5C" w:rsidRPr="004676F5">
        <w:rPr>
          <w:lang w:val="de-DE"/>
        </w:rPr>
        <w:t>- </w:t>
      </w:r>
      <w:r w:rsidRPr="004676F5">
        <w:rPr>
          <w:lang w:val="de-DE"/>
        </w:rPr>
        <w:t>Für Unternehmen wie in Artikel 5 des Gesetzes vom 18. September 2017 zur Verhinderung von Geldwäsche und Terrorismusfinanzierung und zur Beschränkung der Nutzung von Bargeld erwähnt, die im Rahmen ihrer Geschäftstätigkeit handeln, kann ein Anbieter der Basisbankdienstleistung wie in § 3 erwähnt von der Kammer für Basisbankdienst</w:t>
      </w:r>
      <w:r w:rsidRPr="004676F5">
        <w:rPr>
          <w:lang w:val="de-DE"/>
        </w:rPr>
        <w:softHyphen/>
        <w:t>leistungen nur insofern bestimmt werden, als der König spezifische zusätzliche Maßnahmen zur Risikominderung festgelegt oder zu diesem Zweck einen Verhaltenskodex ratifiziert hat, der zwischen dem betreffenden Sektor und dem repräsentativen Berufsverband des Finanzsektors vereinbart wurde.</w:t>
      </w:r>
    </w:p>
    <w:p w14:paraId="4F3C308A" w14:textId="77777777" w:rsidR="00934815" w:rsidRPr="004676F5" w:rsidRDefault="00934815" w:rsidP="00F41E34">
      <w:pPr>
        <w:jc w:val="both"/>
        <w:rPr>
          <w:lang w:val="de-DE"/>
        </w:rPr>
      </w:pPr>
    </w:p>
    <w:p w14:paraId="26992E4E" w14:textId="77777777" w:rsidR="00934815" w:rsidRPr="004676F5" w:rsidRDefault="00934815" w:rsidP="00934815">
      <w:pPr>
        <w:jc w:val="both"/>
        <w:rPr>
          <w:lang w:val="de-DE"/>
        </w:rPr>
      </w:pPr>
      <w:r w:rsidRPr="004676F5">
        <w:rPr>
          <w:lang w:val="de-DE"/>
        </w:rPr>
        <w:tab/>
        <w:t>[Für diplomatische Missionen kann der König spezifische zusätzliche Maßnahmen zur Risikominderung festlegen oder zu diesem Zweck einen Verhaltenskodex ratifizieren, der zwischen dem betreffenden Sektor und dem repräsentativen Berufsverband des Finanzsektors vereinbart wurde.</w:t>
      </w:r>
    </w:p>
    <w:p w14:paraId="5D921C35" w14:textId="77777777" w:rsidR="00934815" w:rsidRPr="004676F5" w:rsidRDefault="00934815" w:rsidP="00934815">
      <w:pPr>
        <w:jc w:val="both"/>
        <w:rPr>
          <w:lang w:val="de-DE"/>
        </w:rPr>
      </w:pPr>
    </w:p>
    <w:p w14:paraId="6771EDBD" w14:textId="7C2DE347" w:rsidR="00934815" w:rsidRPr="004676F5" w:rsidRDefault="00934815" w:rsidP="00934815">
      <w:pPr>
        <w:jc w:val="both"/>
        <w:rPr>
          <w:lang w:val="de-DE"/>
        </w:rPr>
      </w:pPr>
      <w:r w:rsidRPr="004676F5">
        <w:rPr>
          <w:lang w:val="de-DE"/>
        </w:rPr>
        <w:tab/>
        <w:t>Ein vom König ratifizierter Verhaltenskodex enthält zumindest Leitlinien für bewährte Praktiken in dem Sektor, zusätzliche Garantien für Personen, die einem erhöhten Risiko der Geldwäsche und der Terrorismusfinanzierung ausgesetzt sind, und Bedingungen oder Beschränkungen, die zur Minderung der mit der Verwendung von Bargeld verbundenen Risiken erforderlich sind.]</w:t>
      </w:r>
    </w:p>
    <w:p w14:paraId="2C9F74D4" w14:textId="77777777" w:rsidR="00F41E34" w:rsidRPr="004676F5" w:rsidRDefault="00F41E34" w:rsidP="00F41E34">
      <w:pPr>
        <w:jc w:val="both"/>
        <w:rPr>
          <w:lang w:val="de-DE"/>
        </w:rPr>
      </w:pPr>
    </w:p>
    <w:p w14:paraId="7C51C147" w14:textId="77777777" w:rsidR="00F41E34" w:rsidRPr="004676F5" w:rsidRDefault="00F41E34" w:rsidP="00F41E34">
      <w:pPr>
        <w:jc w:val="both"/>
        <w:rPr>
          <w:lang w:val="de-DE"/>
        </w:rPr>
      </w:pPr>
      <w:r w:rsidRPr="004676F5">
        <w:rPr>
          <w:lang w:val="de-DE"/>
        </w:rPr>
        <w:tab/>
        <w:t>Der König legt für die in Artikel I.9 Nr. 1 Buchstabe </w:t>
      </w:r>
      <w:r w:rsidRPr="004676F5">
        <w:rPr>
          <w:i/>
          <w:lang w:val="de-DE"/>
        </w:rPr>
        <w:t>a)</w:t>
      </w:r>
      <w:r w:rsidRPr="004676F5">
        <w:rPr>
          <w:lang w:val="de-DE"/>
        </w:rPr>
        <w:t xml:space="preserve"> und </w:t>
      </w:r>
      <w:r w:rsidRPr="004676F5">
        <w:rPr>
          <w:i/>
          <w:lang w:val="de-DE"/>
        </w:rPr>
        <w:t>b)</w:t>
      </w:r>
      <w:r w:rsidRPr="004676F5">
        <w:rPr>
          <w:lang w:val="de-DE"/>
        </w:rPr>
        <w:t xml:space="preserve"> erwähnten Zahlungsdienste, die im Rahmen der gemäß § 3 bestimmten Basisbankdienstleistung erbracht werden, die Bedingungen oder Beschränkungen fest, die erforderlich sind, um die mit der Nutzung von Bargeld verbundenen Risiken zu begrenzen.</w:t>
      </w:r>
    </w:p>
    <w:p w14:paraId="6770BFF2" w14:textId="77777777" w:rsidR="00F41E34" w:rsidRPr="004676F5" w:rsidRDefault="00F41E34" w:rsidP="00F41E34">
      <w:pPr>
        <w:jc w:val="both"/>
        <w:rPr>
          <w:lang w:val="de-DE"/>
        </w:rPr>
      </w:pPr>
    </w:p>
    <w:p w14:paraId="6B808A31" w14:textId="64576A4B" w:rsidR="00F41E34" w:rsidRPr="004676F5" w:rsidRDefault="00F41E34" w:rsidP="00F41E34">
      <w:pPr>
        <w:jc w:val="both"/>
        <w:rPr>
          <w:lang w:val="de-DE"/>
        </w:rPr>
      </w:pPr>
      <w:r w:rsidRPr="004676F5">
        <w:rPr>
          <w:lang w:val="de-DE"/>
        </w:rPr>
        <w:tab/>
        <w:t xml:space="preserve">Werden im Rahmen der Basisbankdienstleistung Transaktionen in US-Dollar angeboten, können zusätzliche Bedingungen oder Beschränkungen auferlegt werden, die erforderlich sind, um spezifische Risiken von Zahlungen in dieser Währung zu begrenzen. Der </w:t>
      </w:r>
      <w:r w:rsidRPr="004676F5">
        <w:rPr>
          <w:lang w:val="de-DE"/>
        </w:rPr>
        <w:lastRenderedPageBreak/>
        <w:t>Antragsteller beachtet alle Beschränkungen für die Verwendung dieser Währung, einschließlich Embargos oder Sanktionen. Der König legt die zusätzlichen Bedingungen oder Beschränkungen fest.]</w:t>
      </w:r>
    </w:p>
    <w:p w14:paraId="71718C62" w14:textId="5904A0C2" w:rsidR="00F41E34" w:rsidRPr="004676F5" w:rsidRDefault="00F41E34" w:rsidP="00F41E34">
      <w:pPr>
        <w:tabs>
          <w:tab w:val="left" w:pos="2448"/>
        </w:tabs>
        <w:jc w:val="both"/>
        <w:rPr>
          <w:lang w:val="de-DE"/>
        </w:rPr>
      </w:pPr>
      <w:r w:rsidRPr="004676F5">
        <w:rPr>
          <w:lang w:val="de-DE"/>
        </w:rPr>
        <w:tab/>
      </w:r>
    </w:p>
    <w:p w14:paraId="6611251F" w14:textId="61973FB9" w:rsidR="00F41E34" w:rsidRPr="004676F5" w:rsidRDefault="00F41E34" w:rsidP="00F41E34">
      <w:pPr>
        <w:jc w:val="both"/>
        <w:rPr>
          <w:i/>
          <w:iCs/>
          <w:lang w:val="de-DE"/>
        </w:rPr>
      </w:pPr>
      <w:r w:rsidRPr="004676F5">
        <w:rPr>
          <w:i/>
          <w:iCs/>
          <w:lang w:val="de-DE"/>
        </w:rPr>
        <w:t>[Art. VII.59/4 eingefügt durch Art. 4</w:t>
      </w:r>
      <w:r w:rsidRPr="004676F5">
        <w:rPr>
          <w:i/>
          <w:lang w:val="de-DE"/>
        </w:rPr>
        <w:t xml:space="preserve"> des G. vom 8. November 2020 (B.S. vom 24. November 2020)</w:t>
      </w:r>
      <w:r w:rsidR="00934815" w:rsidRPr="004676F5">
        <w:rPr>
          <w:i/>
          <w:lang w:val="de-DE"/>
        </w:rPr>
        <w:t xml:space="preserve">; </w:t>
      </w:r>
      <w:r w:rsidR="00E27355" w:rsidRPr="004676F5">
        <w:rPr>
          <w:i/>
          <w:lang w:val="de-DE"/>
        </w:rPr>
        <w:t>§ 1 Abs. 1 abgeändert durch Art. 25 Nr. 1</w:t>
      </w:r>
      <w:r w:rsidR="00E27355" w:rsidRPr="004676F5">
        <w:rPr>
          <w:i/>
          <w:iCs/>
          <w:lang w:val="de-DE"/>
        </w:rPr>
        <w:t xml:space="preserve"> des G. vom 9. Februar 2024 (B.S. vom 21. März 2024); </w:t>
      </w:r>
      <w:r w:rsidR="00934815" w:rsidRPr="004676F5">
        <w:rPr>
          <w:i/>
          <w:lang w:val="de-DE"/>
        </w:rPr>
        <w:t>§ 1 neuer Absatz 2 eingefügt durch Art. 13 Nr. 1</w:t>
      </w:r>
      <w:r w:rsidR="00934815" w:rsidRPr="004676F5">
        <w:rPr>
          <w:i/>
          <w:iCs/>
          <w:lang w:val="de-DE"/>
        </w:rPr>
        <w:t xml:space="preserve"> des G. vom 25. September 2022 (B.S. vom 16. Januar 2023); </w:t>
      </w:r>
      <w:r w:rsidR="00E27355" w:rsidRPr="004676F5">
        <w:rPr>
          <w:i/>
          <w:iCs/>
          <w:lang w:val="de-DE"/>
        </w:rPr>
        <w:t xml:space="preserve">§ 1 neuer Absatz 3 eingefügt durch Art. 25 Nr. 2 des G. vom 9. Februar 2024 (B.S. vom 21. März 2024); </w:t>
      </w:r>
      <w:r w:rsidR="00934815" w:rsidRPr="004676F5">
        <w:rPr>
          <w:i/>
          <w:iCs/>
          <w:lang w:val="de-DE"/>
        </w:rPr>
        <w:t xml:space="preserve">§ 2 Abs. 1 abgeändert durch Art. 13 Nr. 2 des G. vom 25. September 2022 (B.S. vom 16. Januar 2023); § 2 Abs. 2 ersetzt durch Art. 13 Nr. 3 des G. vom 25. September 2022 (B.S. vom 16. Januar 2023); § 2 Abs. 3 abgeändert durch Art. 13 Nr. 4 und 5 des G. vom 25. September 2022 (B.S. vom 16. Januar 2023); </w:t>
      </w:r>
      <w:r w:rsidR="00E27355" w:rsidRPr="004676F5">
        <w:rPr>
          <w:i/>
          <w:iCs/>
          <w:lang w:val="de-DE"/>
        </w:rPr>
        <w:t xml:space="preserve">§ 2 Abs. 4 eingefügt durch Art. 25 Nr. 3 des G. vom 9. Februar 2024 (B.S. vom 21. März 2024); </w:t>
      </w:r>
      <w:r w:rsidR="00934815" w:rsidRPr="004676F5">
        <w:rPr>
          <w:i/>
          <w:iCs/>
          <w:lang w:val="de-DE"/>
        </w:rPr>
        <w:t>§ 3 Abs. 1 abgeändert durch Art. 13 Nr. 6 und 7 des G. vom 25. September 2022 (B.S. vom 16. Januar 2023)</w:t>
      </w:r>
      <w:r w:rsidR="00692B96" w:rsidRPr="004676F5">
        <w:rPr>
          <w:i/>
          <w:lang w:val="de-DE"/>
        </w:rPr>
        <w:t xml:space="preserve"> und Art. 14 Nr. 1 des G. vom 5. November 2023</w:t>
      </w:r>
      <w:r w:rsidR="00AA0B2E" w:rsidRPr="004676F5">
        <w:rPr>
          <w:i/>
          <w:lang w:val="de-DE"/>
        </w:rPr>
        <w:t> </w:t>
      </w:r>
      <w:r w:rsidR="003454B3" w:rsidRPr="004676F5">
        <w:rPr>
          <w:i/>
          <w:lang w:val="de-DE"/>
        </w:rPr>
        <w:t>(I)</w:t>
      </w:r>
      <w:r w:rsidR="00692B96" w:rsidRPr="004676F5">
        <w:rPr>
          <w:i/>
          <w:lang w:val="de-DE"/>
        </w:rPr>
        <w:t xml:space="preserve"> (B.S. vom 11. Dezember 2023)</w:t>
      </w:r>
      <w:r w:rsidR="00934815" w:rsidRPr="004676F5">
        <w:rPr>
          <w:i/>
          <w:iCs/>
          <w:lang w:val="de-DE"/>
        </w:rPr>
        <w:t xml:space="preserve">; § 3 Abs. 2 abgeändert durch Art. 13 Nr. 8 bis 10 des G. vom 25. September 2022 (B.S. vom 16. Januar 2023); § 3 Abs. 3 abgeändert durch Art. 13 Nr. 11 des G. vom 25. September 2022 (B.S. vom 16. Januar 2023); § 3 Abs. 4 abgeändert durch Art. 13 Nr. 12 des G. vom 25. September 2022 (B.S. vom 16. Januar 2023); § 3 Abs. 5 </w:t>
      </w:r>
      <w:r w:rsidR="00692B96" w:rsidRPr="004676F5">
        <w:rPr>
          <w:i/>
          <w:iCs/>
          <w:lang w:val="de-DE"/>
        </w:rPr>
        <w:t>ersetzt durch Art. 14 Nr. 2 des G. vom 5. November 2023</w:t>
      </w:r>
      <w:r w:rsidR="003454B3" w:rsidRPr="004676F5">
        <w:rPr>
          <w:i/>
          <w:iCs/>
          <w:lang w:val="de-DE"/>
        </w:rPr>
        <w:t xml:space="preserve"> (I) </w:t>
      </w:r>
      <w:r w:rsidR="00692B96" w:rsidRPr="004676F5">
        <w:rPr>
          <w:i/>
          <w:iCs/>
          <w:lang w:val="de-DE"/>
        </w:rPr>
        <w:t>(B.S. vom 11. Dezember 2023)</w:t>
      </w:r>
      <w:r w:rsidR="00934815" w:rsidRPr="004676F5">
        <w:rPr>
          <w:i/>
          <w:iCs/>
          <w:lang w:val="de-DE"/>
        </w:rPr>
        <w:t>; § 3 Abs. 6 abgeändert durch Art. 13 Nr. 14 des G. vom 25. September 2022 (B.S. vom 16. Januar 2023); § 3 Abs. 7 abgeändert durch Art. 13 Nr. 15 des G. vom 25. September 2022 (B.S. vom 16. Januar 2023); § 3 Abs. 8 eingefügt durch Art. 13 Nr. 16 des G. vom 25. September 2022 (B.S. vom 16. Januar 2023); § 5 neue Absätze 2 und 3 eingefügt durch Art. 13 Nr. 1</w:t>
      </w:r>
      <w:r w:rsidR="009E1067" w:rsidRPr="004676F5">
        <w:rPr>
          <w:i/>
          <w:iCs/>
          <w:lang w:val="de-DE"/>
        </w:rPr>
        <w:t>7</w:t>
      </w:r>
      <w:r w:rsidR="00934815" w:rsidRPr="004676F5">
        <w:rPr>
          <w:i/>
          <w:iCs/>
          <w:lang w:val="de-DE"/>
        </w:rPr>
        <w:t xml:space="preserve"> des G. vom 25. September 2022 (B.S. vom 16. Januar 2023)</w:t>
      </w:r>
      <w:r w:rsidRPr="004676F5">
        <w:rPr>
          <w:i/>
          <w:lang w:val="de-DE"/>
        </w:rPr>
        <w:t>]</w:t>
      </w:r>
    </w:p>
    <w:p w14:paraId="3D426D7E" w14:textId="77777777" w:rsidR="00F41E34" w:rsidRPr="004676F5" w:rsidRDefault="00F41E34" w:rsidP="00F41E34">
      <w:pPr>
        <w:jc w:val="both"/>
        <w:rPr>
          <w:lang w:val="de-DE"/>
        </w:rPr>
      </w:pPr>
    </w:p>
    <w:p w14:paraId="386F3FA2" w14:textId="77777777" w:rsidR="00F41E34" w:rsidRPr="004676F5" w:rsidRDefault="00F41E34" w:rsidP="00F41E34">
      <w:pPr>
        <w:jc w:val="both"/>
        <w:rPr>
          <w:lang w:val="de-DE"/>
        </w:rPr>
      </w:pPr>
    </w:p>
    <w:p w14:paraId="6863D1E4" w14:textId="23138E33" w:rsidR="00F41E34" w:rsidRPr="004676F5" w:rsidRDefault="00F41E34" w:rsidP="00F41E34">
      <w:pPr>
        <w:jc w:val="both"/>
        <w:rPr>
          <w:lang w:val="de-DE"/>
        </w:rPr>
      </w:pPr>
      <w:r w:rsidRPr="004676F5">
        <w:rPr>
          <w:lang w:val="de-DE"/>
        </w:rPr>
        <w:tab/>
        <w:t>[</w:t>
      </w:r>
      <w:r w:rsidRPr="004676F5">
        <w:rPr>
          <w:b/>
          <w:bCs/>
          <w:lang w:val="de-DE"/>
        </w:rPr>
        <w:t>Art. VII.59/5</w:t>
      </w:r>
      <w:r w:rsidRPr="004676F5">
        <w:rPr>
          <w:lang w:val="de-DE"/>
        </w:rPr>
        <w:t> </w:t>
      </w:r>
      <w:r w:rsidR="005B7A5C" w:rsidRPr="004676F5">
        <w:rPr>
          <w:lang w:val="de-DE"/>
        </w:rPr>
        <w:t>- </w:t>
      </w:r>
      <w:r w:rsidRPr="004676F5">
        <w:rPr>
          <w:lang w:val="de-DE"/>
        </w:rPr>
        <w:t xml:space="preserve">Die Beantragung einer Basisbankdienstleistung bei der Kammer für Basisbankdienstleistungen erfolgt schriftlich </w:t>
      </w:r>
      <w:r w:rsidR="00934815" w:rsidRPr="004676F5">
        <w:rPr>
          <w:lang w:val="de-DE"/>
        </w:rPr>
        <w:t>[anhand eines Formulars, das vom Kreditinstitut, das einen Antrag auf Eröffnung mindestens der in Artikel I.9 Nr. 1 Buchstabe </w:t>
      </w:r>
      <w:r w:rsidR="00934815" w:rsidRPr="004676F5">
        <w:rPr>
          <w:i/>
          <w:lang w:val="de-DE"/>
        </w:rPr>
        <w:t>a)</w:t>
      </w:r>
      <w:r w:rsidR="00934815" w:rsidRPr="004676F5">
        <w:rPr>
          <w:lang w:val="de-DE"/>
        </w:rPr>
        <w:t xml:space="preserve">, </w:t>
      </w:r>
      <w:r w:rsidR="00934815" w:rsidRPr="004676F5">
        <w:rPr>
          <w:i/>
          <w:lang w:val="de-DE"/>
        </w:rPr>
        <w:t>b)</w:t>
      </w:r>
      <w:r w:rsidR="00934815" w:rsidRPr="004676F5">
        <w:rPr>
          <w:lang w:val="de-DE"/>
        </w:rPr>
        <w:t xml:space="preserve"> oder c) erwähnten Zahlungsdienste abgelehnt hat, auf Papier oder elektronisch bereitgestellt wird]</w:t>
      </w:r>
      <w:r w:rsidRPr="004676F5">
        <w:rPr>
          <w:lang w:val="de-DE"/>
        </w:rPr>
        <w:t>.</w:t>
      </w:r>
    </w:p>
    <w:p w14:paraId="5479DCD6" w14:textId="77777777" w:rsidR="00934815" w:rsidRPr="004676F5" w:rsidRDefault="00934815" w:rsidP="00F41E34">
      <w:pPr>
        <w:jc w:val="both"/>
        <w:rPr>
          <w:lang w:val="de-DE"/>
        </w:rPr>
      </w:pPr>
    </w:p>
    <w:p w14:paraId="0E6D688D" w14:textId="3B9D25E9" w:rsidR="00F41E34" w:rsidRPr="004676F5" w:rsidRDefault="00F41E34" w:rsidP="00F41E34">
      <w:pPr>
        <w:jc w:val="both"/>
        <w:rPr>
          <w:lang w:val="de-DE"/>
        </w:rPr>
      </w:pPr>
      <w:r w:rsidRPr="004676F5">
        <w:rPr>
          <w:lang w:val="de-DE"/>
        </w:rPr>
        <w:tab/>
        <w:t>Das Antragsformular beinhaltet eine ehrenwörtliche Erklärung des Unternehmens</w:t>
      </w:r>
      <w:r w:rsidR="00934815" w:rsidRPr="004676F5">
        <w:rPr>
          <w:lang w:val="de-DE"/>
        </w:rPr>
        <w:t xml:space="preserve"> [oder der diplomatischen Mission, dass es/sie weder bei einem Kreditinstitut nach belgischem Recht noch bei einem Kreditinstitut mit Sitz in einem anderen Mitgliedstaat über eine Basisbankdienstleistung oder ein Zahlungskonto verfügt, das ihm/ihr]</w:t>
      </w:r>
      <w:r w:rsidRPr="004676F5">
        <w:rPr>
          <w:lang w:val="de-DE"/>
        </w:rPr>
        <w:t xml:space="preserve"> die Nutzung der in Artikel VII.59/4 § 2 erwähnten Dienste ermöglicht.</w:t>
      </w:r>
    </w:p>
    <w:p w14:paraId="1650B055" w14:textId="77777777" w:rsidR="00F41E34" w:rsidRPr="004676F5" w:rsidRDefault="00F41E34" w:rsidP="00F41E34">
      <w:pPr>
        <w:jc w:val="both"/>
        <w:rPr>
          <w:lang w:val="de-DE"/>
        </w:rPr>
      </w:pPr>
    </w:p>
    <w:p w14:paraId="30896ED1" w14:textId="76396BF1" w:rsidR="00F41E34" w:rsidRPr="004676F5" w:rsidRDefault="00F41E34" w:rsidP="00F41E34">
      <w:pPr>
        <w:jc w:val="both"/>
        <w:rPr>
          <w:lang w:val="de-DE"/>
        </w:rPr>
      </w:pPr>
      <w:r w:rsidRPr="004676F5">
        <w:rPr>
          <w:lang w:val="de-DE"/>
        </w:rPr>
        <w:tab/>
        <w:t xml:space="preserve">Das Antragsformular enthält auch eine durch erforderliche Belege untermauerte Bestätigung, dass mindestens dreimal ein Antrag des Unternehmens </w:t>
      </w:r>
      <w:r w:rsidR="00882D52" w:rsidRPr="004676F5">
        <w:rPr>
          <w:lang w:val="de-DE"/>
        </w:rPr>
        <w:t>[oder der diplomatischen Mission auf Eröffnung von Zahlungsdiensten wie erwähnt in Artikel VII.59/4 § 1 abgelehnt worden ist und gegebenenfalls dass es/sie in Kenntnis davon gesetzt worden ist, dass seine/ihre]</w:t>
      </w:r>
      <w:r w:rsidRPr="004676F5">
        <w:rPr>
          <w:lang w:val="de-DE"/>
        </w:rPr>
        <w:t xml:space="preserve"> Konten gelöscht wurden</w:t>
      </w:r>
      <w:r w:rsidR="00E27355" w:rsidRPr="004676F5">
        <w:rPr>
          <w:lang w:val="de-DE"/>
        </w:rPr>
        <w:t xml:space="preserve"> [oder dass mindestens zweimal ein Antrag des Unternehmens oder der diplomatischen Mission auf Eröffnung von Zahlungsdiensten wie erwähnt in Artikel VII.59/4 § 1 abgelehnt worden ist und dass es/sie in Kenntnis davon gesetzt worden ist, dass seine/ihre Konten gelöscht wurden]</w:t>
      </w:r>
      <w:r w:rsidRPr="004676F5">
        <w:rPr>
          <w:lang w:val="de-DE"/>
        </w:rPr>
        <w:t>.</w:t>
      </w:r>
    </w:p>
    <w:p w14:paraId="236D1BC6" w14:textId="77777777" w:rsidR="00F41E34" w:rsidRPr="004676F5" w:rsidRDefault="00F41E34" w:rsidP="00F41E34">
      <w:pPr>
        <w:jc w:val="both"/>
        <w:rPr>
          <w:lang w:val="de-DE"/>
        </w:rPr>
      </w:pPr>
    </w:p>
    <w:p w14:paraId="2BCF3839" w14:textId="49934AF8" w:rsidR="00F41E34" w:rsidRPr="004676F5" w:rsidRDefault="00F41E34" w:rsidP="00F41E34">
      <w:pPr>
        <w:jc w:val="both"/>
        <w:rPr>
          <w:lang w:val="de-DE"/>
        </w:rPr>
      </w:pPr>
      <w:r w:rsidRPr="004676F5">
        <w:rPr>
          <w:lang w:val="de-DE"/>
        </w:rPr>
        <w:tab/>
        <w:t>Der König legt die Angaben fest, die auf dem Antragsformular vermerkt werden müssen.]</w:t>
      </w:r>
    </w:p>
    <w:p w14:paraId="2322DBD5" w14:textId="77777777" w:rsidR="00F41E34" w:rsidRPr="004676F5" w:rsidRDefault="00F41E34" w:rsidP="00F41E34">
      <w:pPr>
        <w:jc w:val="both"/>
        <w:rPr>
          <w:lang w:val="de-DE"/>
        </w:rPr>
      </w:pPr>
    </w:p>
    <w:p w14:paraId="0C2E8D40" w14:textId="5744189D" w:rsidR="00F41E34" w:rsidRPr="004676F5" w:rsidRDefault="00F41E34" w:rsidP="00F41E34">
      <w:pPr>
        <w:jc w:val="both"/>
        <w:rPr>
          <w:i/>
          <w:iCs/>
          <w:lang w:val="de-DE"/>
        </w:rPr>
      </w:pPr>
      <w:r w:rsidRPr="004676F5">
        <w:rPr>
          <w:i/>
          <w:iCs/>
          <w:lang w:val="de-DE"/>
        </w:rPr>
        <w:t>[Art. VII.59/5 eingefügt durch Art. 5</w:t>
      </w:r>
      <w:r w:rsidRPr="004676F5">
        <w:rPr>
          <w:i/>
          <w:lang w:val="de-DE"/>
        </w:rPr>
        <w:t xml:space="preserve"> des G. vom 8. November 2020 (B.S. vom 24. November 2020)</w:t>
      </w:r>
      <w:r w:rsidR="00882D52" w:rsidRPr="004676F5">
        <w:rPr>
          <w:i/>
          <w:lang w:val="de-DE"/>
        </w:rPr>
        <w:t>; Abs. 1 abgeändert durch Art. 14 Nr. 1</w:t>
      </w:r>
      <w:r w:rsidR="00882D52" w:rsidRPr="004676F5">
        <w:rPr>
          <w:i/>
          <w:iCs/>
          <w:lang w:val="de-DE"/>
        </w:rPr>
        <w:t xml:space="preserve"> des G. vom 25. September 2022 </w:t>
      </w:r>
      <w:r w:rsidR="00882D52" w:rsidRPr="004676F5">
        <w:rPr>
          <w:i/>
          <w:iCs/>
          <w:lang w:val="de-DE"/>
        </w:rPr>
        <w:lastRenderedPageBreak/>
        <w:t>(B.S. vom 16. Januar 2023); Abs. 2 abgeändert durch Art. 14 Nr. 2 des G. vom 25. September 2022 (B.S. vom 16. Januar 2023); Abs. 3 abgeändert durch Art. 14 Nr. 3 des G. vom 25. September 2022 (B.S. vom 16. Januar 2023)</w:t>
      </w:r>
      <w:r w:rsidR="00E27355" w:rsidRPr="004676F5">
        <w:rPr>
          <w:i/>
          <w:iCs/>
          <w:lang w:val="de-DE"/>
        </w:rPr>
        <w:t xml:space="preserve"> und Art. 26 des G. vom 9. Februar 2024 (B.S. vom 21. März 2024)</w:t>
      </w:r>
      <w:r w:rsidRPr="004676F5">
        <w:rPr>
          <w:i/>
          <w:lang w:val="de-DE"/>
        </w:rPr>
        <w:t>]</w:t>
      </w:r>
    </w:p>
    <w:p w14:paraId="52C9C660" w14:textId="77777777" w:rsidR="00F41E34" w:rsidRPr="004676F5" w:rsidRDefault="00F41E34" w:rsidP="00F41E34">
      <w:pPr>
        <w:jc w:val="both"/>
        <w:rPr>
          <w:lang w:val="de-DE"/>
        </w:rPr>
      </w:pPr>
    </w:p>
    <w:p w14:paraId="47ACAC83" w14:textId="77777777" w:rsidR="00F41E34" w:rsidRPr="004676F5" w:rsidRDefault="00F41E34" w:rsidP="00F41E34">
      <w:pPr>
        <w:jc w:val="both"/>
        <w:rPr>
          <w:lang w:val="de-DE"/>
        </w:rPr>
      </w:pPr>
    </w:p>
    <w:p w14:paraId="7759F34D" w14:textId="77777777" w:rsidR="00663177" w:rsidRPr="004676F5" w:rsidRDefault="00F41E34" w:rsidP="00663177">
      <w:pPr>
        <w:jc w:val="both"/>
        <w:rPr>
          <w:lang w:val="de-DE"/>
        </w:rPr>
      </w:pPr>
      <w:r w:rsidRPr="004676F5">
        <w:rPr>
          <w:lang w:val="de-DE"/>
        </w:rPr>
        <w:tab/>
        <w:t>[</w:t>
      </w:r>
      <w:r w:rsidRPr="004676F5">
        <w:rPr>
          <w:b/>
          <w:bCs/>
          <w:lang w:val="de-DE"/>
        </w:rPr>
        <w:t>Art. VII.59/6</w:t>
      </w:r>
      <w:r w:rsidRPr="004676F5">
        <w:rPr>
          <w:lang w:val="de-DE"/>
        </w:rPr>
        <w:t> </w:t>
      </w:r>
      <w:r w:rsidR="005B7A5C" w:rsidRPr="004676F5">
        <w:rPr>
          <w:lang w:val="de-DE"/>
        </w:rPr>
        <w:t>- </w:t>
      </w:r>
      <w:r w:rsidRPr="004676F5">
        <w:rPr>
          <w:lang w:val="de-DE"/>
        </w:rPr>
        <w:t>§ 1 </w:t>
      </w:r>
      <w:r w:rsidR="005B7A5C" w:rsidRPr="004676F5">
        <w:rPr>
          <w:lang w:val="de-DE"/>
        </w:rPr>
        <w:t>- </w:t>
      </w:r>
      <w:r w:rsidR="00663177" w:rsidRPr="004676F5">
        <w:rPr>
          <w:lang w:val="de-DE"/>
        </w:rPr>
        <w:t>[Das Kreditinstitut lehnt den Antrag auf Eröffnung mindestens der in Artikel VII.59/4 § 1 erwähnten Zahlungsdienste ab, wenn mindestens eine der folgenden Bedingungen erfüllt ist:</w:t>
      </w:r>
    </w:p>
    <w:p w14:paraId="50D7B9CC" w14:textId="77777777" w:rsidR="00663177" w:rsidRPr="004676F5" w:rsidRDefault="00663177" w:rsidP="00663177">
      <w:pPr>
        <w:jc w:val="both"/>
        <w:rPr>
          <w:lang w:val="de-DE"/>
        </w:rPr>
      </w:pPr>
    </w:p>
    <w:p w14:paraId="7EFFA571" w14:textId="77777777" w:rsidR="00663177" w:rsidRPr="004676F5" w:rsidRDefault="00663177" w:rsidP="00663177">
      <w:pPr>
        <w:jc w:val="both"/>
        <w:rPr>
          <w:lang w:val="de-DE"/>
        </w:rPr>
      </w:pPr>
      <w:r w:rsidRPr="004676F5">
        <w:rPr>
          <w:lang w:val="de-DE"/>
        </w:rPr>
        <w:tab/>
        <w:t>1. Die Ablehnung erfolgt gemäß dem Gesetz vom 18. September 2017 zur Verhinderung von Geldwäsche und Terrorismusfinanzierung und zur Beschränkung der Nutzung von Bargeld.</w:t>
      </w:r>
    </w:p>
    <w:p w14:paraId="307AD431" w14:textId="77777777" w:rsidR="00663177" w:rsidRPr="004676F5" w:rsidRDefault="00663177" w:rsidP="00663177">
      <w:pPr>
        <w:jc w:val="both"/>
        <w:rPr>
          <w:lang w:val="de-DE"/>
        </w:rPr>
      </w:pPr>
    </w:p>
    <w:p w14:paraId="732B2441" w14:textId="77777777" w:rsidR="00663177" w:rsidRPr="004676F5" w:rsidRDefault="00663177" w:rsidP="00663177">
      <w:pPr>
        <w:jc w:val="both"/>
        <w:rPr>
          <w:lang w:val="de-DE"/>
        </w:rPr>
      </w:pPr>
      <w:r w:rsidRPr="004676F5">
        <w:rPr>
          <w:lang w:val="de-DE"/>
        </w:rPr>
        <w:tab/>
        <w:t>2. Ein Mitglied des gesetzlichen Verwaltungsorgans des Unternehmens oder eine mit der tatsächlichen Geschäftsführung beauftragte Person oder gegebenenfalls ein Mitglied des Direktionsausschusses ist wegen Betrug, Untreue, betrügerischem Bankrott oder Urkundenfälschung verurteilt worden.</w:t>
      </w:r>
    </w:p>
    <w:p w14:paraId="591AC441" w14:textId="77777777" w:rsidR="00663177" w:rsidRPr="004676F5" w:rsidRDefault="00663177" w:rsidP="00663177">
      <w:pPr>
        <w:jc w:val="both"/>
        <w:rPr>
          <w:lang w:val="de-DE"/>
        </w:rPr>
      </w:pPr>
    </w:p>
    <w:p w14:paraId="63C75FBC" w14:textId="22CCE54F" w:rsidR="00F41E34" w:rsidRPr="004676F5" w:rsidRDefault="00663177" w:rsidP="00663177">
      <w:pPr>
        <w:jc w:val="both"/>
        <w:rPr>
          <w:lang w:val="de-DE"/>
        </w:rPr>
      </w:pPr>
      <w:r w:rsidRPr="004676F5">
        <w:rPr>
          <w:lang w:val="de-DE"/>
        </w:rPr>
        <w:tab/>
        <w:t>3. Das Unternehmen oder die diplomatische Mission hat unrichtige Angaben gemacht bei der Beantwortung der Fragen des Kreditinstituts im Rahmen seiner Sorgfaltspflicht aufgrund des Gesetzes vom 18. September 2017 zur Verhinderung von Geldwäsche und Terrorismusfinanzierung und zur Beschränkung der Nutzung von Bargeld.]</w:t>
      </w:r>
    </w:p>
    <w:p w14:paraId="72B0975F" w14:textId="77777777" w:rsidR="00F41E34" w:rsidRPr="004676F5" w:rsidRDefault="00F41E34" w:rsidP="00F41E34">
      <w:pPr>
        <w:jc w:val="both"/>
        <w:rPr>
          <w:lang w:val="de-DE"/>
        </w:rPr>
      </w:pPr>
    </w:p>
    <w:p w14:paraId="7BABFCD0" w14:textId="03442019" w:rsidR="00F41E34" w:rsidRPr="004676F5" w:rsidRDefault="00F41E34" w:rsidP="00F41E34">
      <w:pPr>
        <w:jc w:val="both"/>
        <w:rPr>
          <w:lang w:val="de-DE"/>
        </w:rPr>
      </w:pPr>
      <w:r w:rsidRPr="004676F5">
        <w:rPr>
          <w:lang w:val="de-DE"/>
        </w:rPr>
        <w:tab/>
        <w:t xml:space="preserve">Das Kreditinstitut kann den Antrag ablehnen, wenn das Unternehmen </w:t>
      </w:r>
      <w:r w:rsidR="00663177" w:rsidRPr="004676F5">
        <w:rPr>
          <w:lang w:val="de-DE"/>
        </w:rPr>
        <w:t>[oder die diplomatische Mission in Belgien oder einem anderen Mitgliedstaat ein anderes Zahlungskonto hat, das ihm/ihr die Nutzung der in Artikel VII.59/4 § 1 erwähnten Zahlungsdienste ermöglicht, es sei denn, das Unternehmen oder die diplomatische Mission weist anhand konkreter Belege nach, dass es/sie mit diesem Konto nicht in der Lage ist, die für seine/ihre Geschäftstätigkeit]</w:t>
      </w:r>
      <w:r w:rsidRPr="004676F5">
        <w:rPr>
          <w:lang w:val="de-DE"/>
        </w:rPr>
        <w:t xml:space="preserve"> erforderlichen Dienste in Anspruch zu nehmen.</w:t>
      </w:r>
    </w:p>
    <w:p w14:paraId="100EA795" w14:textId="77777777" w:rsidR="00F41E34" w:rsidRPr="004676F5" w:rsidRDefault="00F41E34" w:rsidP="00F41E34">
      <w:pPr>
        <w:jc w:val="both"/>
        <w:rPr>
          <w:lang w:val="de-DE"/>
        </w:rPr>
      </w:pPr>
    </w:p>
    <w:p w14:paraId="1D3FC7E3" w14:textId="72D67A10" w:rsidR="00F41E34" w:rsidRPr="004676F5" w:rsidRDefault="00F41E34" w:rsidP="00F41E34">
      <w:pPr>
        <w:jc w:val="both"/>
        <w:rPr>
          <w:lang w:val="de-DE"/>
        </w:rPr>
      </w:pPr>
      <w:r w:rsidRPr="004676F5">
        <w:rPr>
          <w:lang w:val="de-DE"/>
        </w:rPr>
        <w:tab/>
        <w:t xml:space="preserve">Wenn das Unternehmen </w:t>
      </w:r>
      <w:r w:rsidR="00663177" w:rsidRPr="004676F5">
        <w:rPr>
          <w:lang w:val="de-DE"/>
        </w:rPr>
        <w:t>[oder die diplomatische Mission anhand von Belegen nachweist, dass es/sie]</w:t>
      </w:r>
      <w:r w:rsidRPr="004676F5">
        <w:rPr>
          <w:lang w:val="de-DE"/>
        </w:rPr>
        <w:t xml:space="preserve"> von der Kündigung dieses anderen Zahlungskontos in Kenntnis gesetzt worden ist, wird dieses nicht berücksichtigt.</w:t>
      </w:r>
    </w:p>
    <w:p w14:paraId="32E41141" w14:textId="77777777" w:rsidR="00F41E34" w:rsidRPr="004676F5" w:rsidRDefault="00F41E34" w:rsidP="00F41E34">
      <w:pPr>
        <w:jc w:val="both"/>
        <w:rPr>
          <w:lang w:val="de-DE"/>
        </w:rPr>
      </w:pPr>
    </w:p>
    <w:p w14:paraId="7276B085" w14:textId="46BE63E4" w:rsidR="00F41E34" w:rsidRPr="004676F5" w:rsidRDefault="00F41E34" w:rsidP="00F41E34">
      <w:pPr>
        <w:jc w:val="both"/>
        <w:rPr>
          <w:lang w:val="de-DE"/>
        </w:rPr>
      </w:pPr>
      <w:r w:rsidRPr="004676F5">
        <w:rPr>
          <w:lang w:val="de-DE"/>
        </w:rPr>
        <w:tab/>
        <w:t xml:space="preserve">Das Kreditinstitut kann den Antrag auch ablehnen, wenn das Unternehmen </w:t>
      </w:r>
      <w:r w:rsidR="00663177" w:rsidRPr="004676F5">
        <w:rPr>
          <w:lang w:val="de-DE"/>
        </w:rPr>
        <w:t>[oder die diplomatische Mission selbst seine/ihre Zahlungskonten]</w:t>
      </w:r>
      <w:r w:rsidRPr="004676F5">
        <w:rPr>
          <w:lang w:val="de-DE"/>
        </w:rPr>
        <w:t xml:space="preserve"> gekündigt hat, um eine Basisbankdienstleistung in Anspruch nehmen zu können.</w:t>
      </w:r>
    </w:p>
    <w:p w14:paraId="4E5ECA36" w14:textId="77777777" w:rsidR="00F41E34" w:rsidRPr="004676F5" w:rsidRDefault="00F41E34" w:rsidP="00F41E34">
      <w:pPr>
        <w:jc w:val="both"/>
        <w:rPr>
          <w:lang w:val="de-DE"/>
        </w:rPr>
      </w:pPr>
    </w:p>
    <w:p w14:paraId="4A4A5BEE" w14:textId="01A5EB8C" w:rsidR="00F41E34" w:rsidRPr="004676F5" w:rsidRDefault="00F41E34" w:rsidP="00F41E34">
      <w:pPr>
        <w:jc w:val="both"/>
        <w:rPr>
          <w:lang w:val="de-DE"/>
        </w:rPr>
      </w:pPr>
      <w:r w:rsidRPr="004676F5">
        <w:rPr>
          <w:lang w:val="de-DE"/>
        </w:rPr>
        <w:tab/>
        <w:t>§ 2 </w:t>
      </w:r>
      <w:r w:rsidR="005B7A5C" w:rsidRPr="004676F5">
        <w:rPr>
          <w:lang w:val="de-DE"/>
        </w:rPr>
        <w:t>- </w:t>
      </w:r>
      <w:r w:rsidRPr="004676F5">
        <w:rPr>
          <w:lang w:val="de-DE"/>
        </w:rPr>
        <w:t>Der gemäß Artikel VII.59/4 § 3 Absatz 5 bestimmte Anbieter der Basisbank</w:t>
      </w:r>
      <w:r w:rsidRPr="004676F5">
        <w:rPr>
          <w:lang w:val="de-DE"/>
        </w:rPr>
        <w:softHyphen/>
        <w:t>dienstleistung darf die Basisbankdienstleistung kündigen, wenn mindestens eine der folgenden Bedingungen erfüllt ist:</w:t>
      </w:r>
    </w:p>
    <w:p w14:paraId="21B59540" w14:textId="77777777" w:rsidR="00F41E34" w:rsidRPr="004676F5" w:rsidRDefault="00F41E34" w:rsidP="00F41E34">
      <w:pPr>
        <w:jc w:val="both"/>
        <w:rPr>
          <w:lang w:val="de-DE"/>
        </w:rPr>
      </w:pPr>
    </w:p>
    <w:p w14:paraId="4E2B7F48" w14:textId="77777777" w:rsidR="00F41E34" w:rsidRPr="004676F5" w:rsidRDefault="00F41E34" w:rsidP="00F41E34">
      <w:pPr>
        <w:jc w:val="both"/>
        <w:rPr>
          <w:lang w:val="de-DE"/>
        </w:rPr>
      </w:pPr>
      <w:r w:rsidRPr="004676F5">
        <w:rPr>
          <w:lang w:val="de-DE"/>
        </w:rPr>
        <w:tab/>
        <w:t>1. Ein Mitglied des gesetzlichen Verwaltungsorgans des Unternehmens oder eine mit der tatsächlichen Geschäftsleitung beauftragte Person oder gegebenenfalls ein Mitglied des Direktionsausschusses ist wegen Betrug, Untreue, betrügerischem Bankrott oder Urkunden</w:t>
      </w:r>
      <w:r w:rsidRPr="004676F5">
        <w:rPr>
          <w:lang w:val="de-DE"/>
        </w:rPr>
        <w:softHyphen/>
        <w:t>fälschung verurteilt worden oder das Unternehmen hat im Rahmen der Basisbankdienstleistung das Zahlungskonto für illegale Zwecke genutzt.</w:t>
      </w:r>
    </w:p>
    <w:p w14:paraId="75BECE7C" w14:textId="77777777" w:rsidR="00F41E34" w:rsidRPr="004676F5" w:rsidRDefault="00F41E34" w:rsidP="00F41E34">
      <w:pPr>
        <w:jc w:val="both"/>
        <w:rPr>
          <w:lang w:val="de-DE"/>
        </w:rPr>
      </w:pPr>
    </w:p>
    <w:p w14:paraId="34046961" w14:textId="77777777" w:rsidR="00F41E34" w:rsidRPr="004676F5" w:rsidRDefault="00F41E34" w:rsidP="00F41E34">
      <w:pPr>
        <w:jc w:val="both"/>
        <w:rPr>
          <w:lang w:val="de-DE"/>
        </w:rPr>
      </w:pPr>
      <w:r w:rsidRPr="004676F5">
        <w:rPr>
          <w:lang w:val="de-DE"/>
        </w:rPr>
        <w:tab/>
        <w:t>2. Im Rahmen der Basisbankdienstleistung wurde über das Zahlungskonto in mehr als zwölf aufeinanderfolgenden Monaten kein Zahlungsvorgang abgewickelt.</w:t>
      </w:r>
    </w:p>
    <w:p w14:paraId="284B6B4E" w14:textId="77777777" w:rsidR="00F41E34" w:rsidRPr="004676F5" w:rsidRDefault="00F41E34" w:rsidP="00F41E34">
      <w:pPr>
        <w:jc w:val="both"/>
        <w:rPr>
          <w:lang w:val="de-DE"/>
        </w:rPr>
      </w:pPr>
    </w:p>
    <w:p w14:paraId="70606A99" w14:textId="3418072D" w:rsidR="00F41E34" w:rsidRPr="004676F5" w:rsidRDefault="00F41E34" w:rsidP="00F41E34">
      <w:pPr>
        <w:jc w:val="both"/>
        <w:rPr>
          <w:lang w:val="de-DE"/>
        </w:rPr>
      </w:pPr>
      <w:r w:rsidRPr="004676F5">
        <w:rPr>
          <w:lang w:val="de-DE"/>
        </w:rPr>
        <w:lastRenderedPageBreak/>
        <w:tab/>
        <w:t xml:space="preserve">3. Das Unternehmen </w:t>
      </w:r>
      <w:r w:rsidR="00663177" w:rsidRPr="004676F5">
        <w:rPr>
          <w:lang w:val="de-DE"/>
        </w:rPr>
        <w:t xml:space="preserve">[oder die diplomatische Mission] </w:t>
      </w:r>
      <w:r w:rsidRPr="004676F5">
        <w:rPr>
          <w:lang w:val="de-DE"/>
        </w:rPr>
        <w:t>hat unrichtige Angaben gemacht, um die Basisbankdienstleistung in Anspruch nehmen zu können oder bei der Beantwortung der Fragen des Kreditinstituts im Rahmen seiner Sorgfaltspflicht aufgrund des Gesetzes vom 18. September 2017 zur Verhinderung von Geldwäsche und Terrorismusfinanzierung und zur Beschränkung der Nutzung von Bargeld.</w:t>
      </w:r>
    </w:p>
    <w:p w14:paraId="3DE65290" w14:textId="77777777" w:rsidR="00F41E34" w:rsidRPr="004676F5" w:rsidRDefault="00F41E34" w:rsidP="00F41E34">
      <w:pPr>
        <w:jc w:val="both"/>
        <w:rPr>
          <w:lang w:val="de-DE"/>
        </w:rPr>
      </w:pPr>
    </w:p>
    <w:p w14:paraId="47FA3634" w14:textId="79707C71" w:rsidR="00F41E34" w:rsidRPr="004676F5" w:rsidRDefault="00F41E34" w:rsidP="00F41E34">
      <w:pPr>
        <w:jc w:val="both"/>
        <w:rPr>
          <w:lang w:val="de-DE"/>
        </w:rPr>
      </w:pPr>
      <w:r w:rsidRPr="004676F5">
        <w:rPr>
          <w:lang w:val="de-DE"/>
        </w:rPr>
        <w:tab/>
        <w:t>4. </w:t>
      </w:r>
      <w:r w:rsidR="00692B96" w:rsidRPr="004676F5">
        <w:rPr>
          <w:lang w:val="de-DE"/>
        </w:rPr>
        <w:t>[Das Unternehmen oder die diplomatische Mission hat bei einem Kreditinstitut nach belgischem Recht oder bei einem in einem anderen Mitgliedstaat ansässigen Kreditinstitut ein anderes Zahlungskonto eröffnet, das ihm die Nutzung der in Artikel VII.59/4 § 1 erwähnten Zahlungsdienste ermöglicht. Das Unternehmen oder die diplomatische Mission teilt dies unverzüglich dem Kreditinstitut mit, bei dem es eine Basisbankdienstleistung in Anspruch genommen hat.]</w:t>
      </w:r>
    </w:p>
    <w:p w14:paraId="64FE4533" w14:textId="77777777" w:rsidR="00F41E34" w:rsidRPr="004676F5" w:rsidRDefault="00F41E34" w:rsidP="00F41E34">
      <w:pPr>
        <w:jc w:val="both"/>
        <w:rPr>
          <w:lang w:val="de-DE"/>
        </w:rPr>
      </w:pPr>
    </w:p>
    <w:p w14:paraId="09B1AD57" w14:textId="77777777" w:rsidR="00F41E34" w:rsidRPr="004676F5" w:rsidRDefault="00F41E34" w:rsidP="00F41E34">
      <w:pPr>
        <w:jc w:val="both"/>
        <w:rPr>
          <w:lang w:val="de-DE"/>
        </w:rPr>
      </w:pPr>
      <w:r w:rsidRPr="004676F5">
        <w:rPr>
          <w:lang w:val="de-DE"/>
        </w:rPr>
        <w:tab/>
        <w:t>5. Die Kündigung entspricht dem Gesetz vom 18. September 2017 zur Verhinderung von Geldwäsche und Terrorismusfinanzierung und zur Beschränkung der Nutzung von Bargeld.</w:t>
      </w:r>
    </w:p>
    <w:p w14:paraId="0053A718" w14:textId="77777777" w:rsidR="00F41E34" w:rsidRPr="004676F5" w:rsidRDefault="00F41E34" w:rsidP="00F41E34">
      <w:pPr>
        <w:jc w:val="both"/>
        <w:rPr>
          <w:lang w:val="de-DE"/>
        </w:rPr>
      </w:pPr>
    </w:p>
    <w:p w14:paraId="243DF7F2" w14:textId="77777777" w:rsidR="00F41E34" w:rsidRPr="004676F5" w:rsidRDefault="00F41E34" w:rsidP="00F41E34">
      <w:pPr>
        <w:jc w:val="both"/>
        <w:rPr>
          <w:lang w:val="de-DE"/>
        </w:rPr>
      </w:pPr>
      <w:r w:rsidRPr="004676F5">
        <w:rPr>
          <w:lang w:val="de-DE"/>
        </w:rPr>
        <w:tab/>
        <w:t>Unbeschadet anderer gesetzlicher Bestimmungen oder anderer Anweisungen oder Empfehlungen einer öffentlichen Einrichtung hält das Kreditinstitut, das den Rahmenvertrag kündigt, eine Kündigungsfrist von mindestens zwei Monaten ein. In Abweichung davon ist in den in Absatz 1 Nr. 1, 3 oder 5 erwähnten Kündigungsfällen die Kündigung sofort wirksam.</w:t>
      </w:r>
    </w:p>
    <w:p w14:paraId="785DC98A" w14:textId="77777777" w:rsidR="00F41E34" w:rsidRPr="004676F5" w:rsidRDefault="00F41E34" w:rsidP="00F41E34">
      <w:pPr>
        <w:jc w:val="both"/>
        <w:rPr>
          <w:lang w:val="de-DE"/>
        </w:rPr>
      </w:pPr>
    </w:p>
    <w:p w14:paraId="4109BE6D" w14:textId="2B4A844B" w:rsidR="00F41E34" w:rsidRPr="004676F5" w:rsidRDefault="00F41E34" w:rsidP="00F41E34">
      <w:pPr>
        <w:jc w:val="both"/>
        <w:rPr>
          <w:lang w:val="de-DE"/>
        </w:rPr>
      </w:pPr>
      <w:r w:rsidRPr="004676F5">
        <w:rPr>
          <w:lang w:val="de-DE"/>
        </w:rPr>
        <w:tab/>
        <w:t xml:space="preserve">Kündigungsbeschlüsse werden schriftlich und unentgeltlich mitgeteilt. Sie enthalten ausdrücklich die genauen Gründe und die Rechtfertigung des Beschlusses, es sei denn, eine solche Mitteilung würde den Zielen der nationalen Sicherheit oder der öffentlichen Ordnung oder </w:t>
      </w:r>
      <w:r w:rsidR="00663177" w:rsidRPr="004676F5">
        <w:rPr>
          <w:lang w:val="de-DE"/>
        </w:rPr>
        <w:t>[Artikel 55 des Gesetzes vom 18. September 2017]</w:t>
      </w:r>
      <w:r w:rsidRPr="004676F5">
        <w:rPr>
          <w:lang w:val="de-DE"/>
        </w:rPr>
        <w:t xml:space="preserve"> zur Verhinderung von Geldwäsche und Terrorismusfinanzierung und zur Beschränkung der Nutzung von Bargeld zuwiderlaufen.</w:t>
      </w:r>
    </w:p>
    <w:p w14:paraId="2DDB28DA" w14:textId="77777777" w:rsidR="00F41E34" w:rsidRPr="004676F5" w:rsidRDefault="00F41E34" w:rsidP="00F41E34">
      <w:pPr>
        <w:jc w:val="both"/>
        <w:rPr>
          <w:lang w:val="de-DE"/>
        </w:rPr>
      </w:pPr>
    </w:p>
    <w:p w14:paraId="4BBAF116" w14:textId="77777777" w:rsidR="00F41E34" w:rsidRPr="004676F5" w:rsidRDefault="00F41E34" w:rsidP="00F41E34">
      <w:pPr>
        <w:jc w:val="both"/>
        <w:rPr>
          <w:lang w:val="de-DE"/>
        </w:rPr>
      </w:pPr>
      <w:r w:rsidRPr="004676F5">
        <w:rPr>
          <w:lang w:val="de-DE"/>
        </w:rPr>
        <w:tab/>
        <w:t>§ 3 ­ Der gemäß Artikel VII.59/4 § 3 Absatz 5 bestimmte Anbieter der Basisbank</w:t>
      </w:r>
      <w:r w:rsidRPr="004676F5">
        <w:rPr>
          <w:lang w:val="de-DE"/>
        </w:rPr>
        <w:softHyphen/>
        <w:t>dienstleistung darf die Basisbankdienstleistung ablehnen, wenn mindestens eine der folgenden Bedingungen erfüllt ist:</w:t>
      </w:r>
    </w:p>
    <w:p w14:paraId="5DBFB42E" w14:textId="77777777" w:rsidR="00F41E34" w:rsidRPr="004676F5" w:rsidRDefault="00F41E34" w:rsidP="00F41E34">
      <w:pPr>
        <w:jc w:val="both"/>
        <w:rPr>
          <w:lang w:val="de-DE"/>
        </w:rPr>
      </w:pPr>
    </w:p>
    <w:p w14:paraId="1E7024BA" w14:textId="77777777" w:rsidR="00F41E34" w:rsidRPr="004676F5" w:rsidRDefault="00F41E34" w:rsidP="00F41E34">
      <w:pPr>
        <w:jc w:val="both"/>
        <w:rPr>
          <w:lang w:val="de-DE"/>
        </w:rPr>
      </w:pPr>
      <w:r w:rsidRPr="004676F5">
        <w:rPr>
          <w:lang w:val="de-DE"/>
        </w:rPr>
        <w:tab/>
        <w:t>1. Ein Mitglied des gesetzlichen Verwaltungsorgans des Unternehmens oder eine mit der tatsächlichen Geschäftsleitung beauftragte Person oder gegebenenfalls ein Mitglied des Direktionsausschusses ist wegen Betrug, Untreue, betrügerischem Bankrott oder Urkunden</w:t>
      </w:r>
      <w:r w:rsidRPr="004676F5">
        <w:rPr>
          <w:lang w:val="de-DE"/>
        </w:rPr>
        <w:softHyphen/>
        <w:t>fälschung verurteilt worden.</w:t>
      </w:r>
    </w:p>
    <w:p w14:paraId="4F3DA925" w14:textId="77777777" w:rsidR="00F41E34" w:rsidRPr="004676F5" w:rsidRDefault="00F41E34" w:rsidP="00F41E34">
      <w:pPr>
        <w:jc w:val="both"/>
        <w:rPr>
          <w:lang w:val="de-DE"/>
        </w:rPr>
      </w:pPr>
    </w:p>
    <w:p w14:paraId="0B8EC56A" w14:textId="5063C6D4" w:rsidR="00F41E34" w:rsidRPr="004676F5" w:rsidRDefault="00F41E34" w:rsidP="00F41E34">
      <w:pPr>
        <w:jc w:val="both"/>
        <w:rPr>
          <w:lang w:val="de-DE"/>
        </w:rPr>
      </w:pPr>
      <w:r w:rsidRPr="004676F5">
        <w:rPr>
          <w:lang w:val="de-DE"/>
        </w:rPr>
        <w:tab/>
        <w:t>2. </w:t>
      </w:r>
      <w:r w:rsidR="00692B96" w:rsidRPr="004676F5">
        <w:rPr>
          <w:lang w:val="de-DE"/>
        </w:rPr>
        <w:t>[Nachdem das Unternehmen oder die diplomatische Mission seinen/ihren Antrag gestellt hat, hat es/sie bei einem Kreditinstitut nach belgischem Recht oder bei einem in einem anderen Mitgliedstaat ansässigen Kreditinstitut ein anderes Zahlungskonto eröffnet, das ihm/ihr die Nutzung der in Artikel VII.59/4 § 1 erwähnten Zahlungsdienste ermöglicht. Das Unternehmen oder die diplomatische Mission teilt dies unverzüglich dem Kreditinstitut mit, bei dem es eine Basisbankdienstleistung in Anspruch genommen hat.]</w:t>
      </w:r>
    </w:p>
    <w:p w14:paraId="7F38263B" w14:textId="77777777" w:rsidR="00F41E34" w:rsidRPr="004676F5" w:rsidRDefault="00F41E34" w:rsidP="00F41E34">
      <w:pPr>
        <w:jc w:val="both"/>
        <w:rPr>
          <w:lang w:val="de-DE"/>
        </w:rPr>
      </w:pPr>
    </w:p>
    <w:p w14:paraId="281FA484" w14:textId="6D0B2E22" w:rsidR="00F41E34" w:rsidRPr="004676F5" w:rsidRDefault="00F41E34" w:rsidP="00F41E34">
      <w:pPr>
        <w:jc w:val="both"/>
        <w:rPr>
          <w:lang w:val="de-DE"/>
        </w:rPr>
      </w:pPr>
      <w:r w:rsidRPr="004676F5">
        <w:rPr>
          <w:lang w:val="de-DE"/>
        </w:rPr>
        <w:tab/>
        <w:t xml:space="preserve">Ablehnungsbeschlüsse werden schriftlich und unentgeltlich mitgeteilt. Sie enthalten ausdrücklich die genauen Gründe und die Rechtfertigung des Beschlusses, es sei denn, eine solche Mitteilung würde den Zielen der nationalen Sicherheit oder der öffentlichen Ordnung oder </w:t>
      </w:r>
      <w:r w:rsidR="00663177" w:rsidRPr="004676F5">
        <w:rPr>
          <w:lang w:val="de-DE"/>
        </w:rPr>
        <w:t>[Artikel 55 des Gesetzes vom 18. September 2017]</w:t>
      </w:r>
      <w:r w:rsidRPr="004676F5">
        <w:rPr>
          <w:lang w:val="de-DE"/>
        </w:rPr>
        <w:t xml:space="preserve"> zur Verhinderung von Geldwäsche und Terrorismusfinanzierung und zur Beschränkung der Nutzung von Bargeld zuwiderlaufen.]</w:t>
      </w:r>
    </w:p>
    <w:p w14:paraId="53F4205B" w14:textId="77777777" w:rsidR="00F41E34" w:rsidRPr="004676F5" w:rsidRDefault="00F41E34" w:rsidP="00F41E34">
      <w:pPr>
        <w:jc w:val="both"/>
        <w:rPr>
          <w:lang w:val="de-DE"/>
        </w:rPr>
      </w:pPr>
    </w:p>
    <w:p w14:paraId="22057E46" w14:textId="73BFC87A" w:rsidR="00F41E34" w:rsidRPr="004676F5" w:rsidRDefault="00F41E34" w:rsidP="00F41E34">
      <w:pPr>
        <w:jc w:val="both"/>
        <w:rPr>
          <w:i/>
          <w:iCs/>
          <w:lang w:val="de-DE"/>
        </w:rPr>
      </w:pPr>
      <w:r w:rsidRPr="004676F5">
        <w:rPr>
          <w:i/>
          <w:iCs/>
          <w:lang w:val="de-DE"/>
        </w:rPr>
        <w:t>[Art. VII.59/6 eingefügt durch Art. 6</w:t>
      </w:r>
      <w:r w:rsidRPr="004676F5">
        <w:rPr>
          <w:i/>
          <w:lang w:val="de-DE"/>
        </w:rPr>
        <w:t xml:space="preserve"> des G. vom 8. November 2020 (B.S. vom 24. November 2020)</w:t>
      </w:r>
      <w:r w:rsidR="00663177" w:rsidRPr="004676F5">
        <w:rPr>
          <w:i/>
          <w:lang w:val="de-DE"/>
        </w:rPr>
        <w:t>; § 1 Abs. 1 ersetzt durch Art. 15 Nr. 1</w:t>
      </w:r>
      <w:r w:rsidR="00663177" w:rsidRPr="004676F5">
        <w:rPr>
          <w:i/>
          <w:iCs/>
          <w:lang w:val="de-DE"/>
        </w:rPr>
        <w:t xml:space="preserve"> des G. vom 25. September 2022 </w:t>
      </w:r>
      <w:r w:rsidR="00663177" w:rsidRPr="004676F5">
        <w:rPr>
          <w:i/>
          <w:iCs/>
          <w:lang w:val="de-DE"/>
        </w:rPr>
        <w:lastRenderedPageBreak/>
        <w:t>(B.S. vom 16. Januar 2023); § 1 Abs. 2 abgeändert durch Art. 15 Nr. 2 des G. vom 25. September 2022 (B.S. vom 16. Januar 2023); § 1 Abs. 3 abgeändert durch Art. 15 Nr. 3 des G. vom 25. September 2022 (B.S. vom 16. Januar 2023); § 1 Abs. 4 abgeändert durch Art. 15 Nr. 4 des G. vom 25. September 2022 (B.S. vom 16. Januar 2023); § 2 Abs. 1 Nr. 3 abgeändert durch Art. 15 Nr. 5 des G. vom 25. September 2022 (B.S. vom 16. Januar 2023); § 2 Abs. 1 Nr. 4</w:t>
      </w:r>
      <w:r w:rsidR="00692B96" w:rsidRPr="004676F5">
        <w:rPr>
          <w:i/>
          <w:iCs/>
          <w:lang w:val="de-DE"/>
        </w:rPr>
        <w:t xml:space="preserve"> ersetzt durch Art. 15 Buchstabe a) des G. vom 5. November 2023</w:t>
      </w:r>
      <w:r w:rsidR="003454B3" w:rsidRPr="004676F5">
        <w:rPr>
          <w:i/>
          <w:iCs/>
          <w:lang w:val="de-DE"/>
        </w:rPr>
        <w:t xml:space="preserve"> (I)</w:t>
      </w:r>
      <w:r w:rsidR="00692B96" w:rsidRPr="004676F5">
        <w:rPr>
          <w:i/>
          <w:iCs/>
          <w:lang w:val="de-DE"/>
        </w:rPr>
        <w:t xml:space="preserve"> (B.S. vom 11. Dezember 2023)</w:t>
      </w:r>
      <w:r w:rsidR="00663177" w:rsidRPr="004676F5">
        <w:rPr>
          <w:i/>
          <w:iCs/>
          <w:lang w:val="de-DE"/>
        </w:rPr>
        <w:t xml:space="preserve">; § 2 Abs. 3 abgeändert durch Art. 15 Nr. 9 des G. vom 25. September 2022 (B.S. vom 16. Januar 2023); § 3 Abs. 1 Nr. 2 </w:t>
      </w:r>
      <w:r w:rsidR="00692B96" w:rsidRPr="004676F5">
        <w:rPr>
          <w:i/>
          <w:iCs/>
          <w:lang w:val="de-DE"/>
        </w:rPr>
        <w:t xml:space="preserve">ersetzt durch Art. 15 Buchstabe b) des G. vom 5. November 2023 </w:t>
      </w:r>
      <w:r w:rsidR="003454B3" w:rsidRPr="004676F5">
        <w:rPr>
          <w:i/>
          <w:iCs/>
          <w:lang w:val="de-DE"/>
        </w:rPr>
        <w:t xml:space="preserve">(I) </w:t>
      </w:r>
      <w:r w:rsidR="00692B96" w:rsidRPr="004676F5">
        <w:rPr>
          <w:i/>
          <w:iCs/>
          <w:lang w:val="de-DE"/>
        </w:rPr>
        <w:t>(B.S. vom 11. Dezember 2023)</w:t>
      </w:r>
      <w:r w:rsidR="00663177" w:rsidRPr="004676F5">
        <w:rPr>
          <w:i/>
          <w:iCs/>
          <w:lang w:val="de-DE"/>
        </w:rPr>
        <w:t>; § 3 Abs. 2 abgeändert durch Art. 15 Nr. 12 des G. vom 25. September 2022 (B.S. vom 16. Januar 2023)</w:t>
      </w:r>
      <w:r w:rsidRPr="004676F5">
        <w:rPr>
          <w:i/>
          <w:lang w:val="de-DE"/>
        </w:rPr>
        <w:t>]</w:t>
      </w:r>
    </w:p>
    <w:p w14:paraId="6733245B" w14:textId="77777777" w:rsidR="00F41E34" w:rsidRPr="004676F5" w:rsidRDefault="00F41E34" w:rsidP="00F41E34">
      <w:pPr>
        <w:jc w:val="both"/>
        <w:rPr>
          <w:lang w:val="de-DE"/>
        </w:rPr>
      </w:pPr>
    </w:p>
    <w:p w14:paraId="687CB003" w14:textId="77777777" w:rsidR="00F41E34" w:rsidRPr="004676F5" w:rsidRDefault="00F41E34" w:rsidP="00F41E34">
      <w:pPr>
        <w:jc w:val="both"/>
        <w:rPr>
          <w:lang w:val="de-DE"/>
        </w:rPr>
      </w:pPr>
    </w:p>
    <w:p w14:paraId="7A1820C5" w14:textId="49B8498B" w:rsidR="00F41E34" w:rsidRPr="004676F5" w:rsidRDefault="00F41E34" w:rsidP="00F41E34">
      <w:pPr>
        <w:ind w:firstLine="708"/>
        <w:jc w:val="both"/>
        <w:rPr>
          <w:lang w:val="de-DE"/>
        </w:rPr>
      </w:pPr>
      <w:r w:rsidRPr="004676F5">
        <w:rPr>
          <w:lang w:val="de-DE"/>
        </w:rPr>
        <w:t>[</w:t>
      </w:r>
      <w:r w:rsidRPr="004676F5">
        <w:rPr>
          <w:b/>
          <w:bCs/>
          <w:lang w:val="de-DE"/>
        </w:rPr>
        <w:t>Art. VII.59/7</w:t>
      </w:r>
      <w:r w:rsidRPr="004676F5">
        <w:rPr>
          <w:lang w:val="de-DE"/>
        </w:rPr>
        <w:t> </w:t>
      </w:r>
      <w:r w:rsidR="005B7A5C" w:rsidRPr="004676F5">
        <w:rPr>
          <w:lang w:val="de-DE"/>
        </w:rPr>
        <w:t>- </w:t>
      </w:r>
      <w:r w:rsidRPr="004676F5">
        <w:rPr>
          <w:lang w:val="de-DE"/>
        </w:rPr>
        <w:t>§ 1 </w:t>
      </w:r>
      <w:r w:rsidR="005B7A5C" w:rsidRPr="004676F5">
        <w:rPr>
          <w:lang w:val="de-DE"/>
        </w:rPr>
        <w:t>- </w:t>
      </w:r>
      <w:r w:rsidR="00663177" w:rsidRPr="004676F5">
        <w:rPr>
          <w:lang w:val="de-DE"/>
        </w:rPr>
        <w:t>[Der Ombudsdienst für Finanzdienstleistungen befindet über Streitigkeiten, die ihm vorgelegt werden. Er]</w:t>
      </w:r>
      <w:r w:rsidRPr="004676F5">
        <w:rPr>
          <w:lang w:val="de-DE"/>
        </w:rPr>
        <w:t xml:space="preserve"> kann den Beschluss des Kreditinstituts für nichtig erklären. Der Beschluss ist für das Kreditinstitut bindend und wird sowohl dem Kreditinstitut als auch dem betreffenden Unternehmen mitgeteilt.</w:t>
      </w:r>
    </w:p>
    <w:p w14:paraId="0AAE2F10" w14:textId="77777777" w:rsidR="00F41E34" w:rsidRPr="004676F5" w:rsidRDefault="00F41E34" w:rsidP="00F41E34">
      <w:pPr>
        <w:jc w:val="both"/>
        <w:rPr>
          <w:lang w:val="de-DE"/>
        </w:rPr>
      </w:pPr>
    </w:p>
    <w:p w14:paraId="57503847" w14:textId="71316F40" w:rsidR="00F41E34" w:rsidRPr="004676F5" w:rsidRDefault="00F41E34" w:rsidP="00F41E34">
      <w:pPr>
        <w:jc w:val="both"/>
        <w:rPr>
          <w:lang w:val="de-DE"/>
        </w:rPr>
      </w:pPr>
      <w:r w:rsidRPr="004676F5">
        <w:rPr>
          <w:lang w:val="de-DE"/>
        </w:rPr>
        <w:tab/>
        <w:t>§ 2 </w:t>
      </w:r>
      <w:r w:rsidR="005B7A5C" w:rsidRPr="004676F5">
        <w:rPr>
          <w:lang w:val="de-DE"/>
        </w:rPr>
        <w:t>- </w:t>
      </w:r>
      <w:r w:rsidRPr="004676F5">
        <w:rPr>
          <w:lang w:val="de-DE"/>
        </w:rPr>
        <w:t xml:space="preserve">Kreditinstitute teilen jedes Jahr der zuständigen Aufsichtsbehörde beim FÖD Wirtschaft und dem Büro für die Verarbeitung finanzieller Informationen Informationen über die Anzahl </w:t>
      </w:r>
      <w:r w:rsidR="00663177" w:rsidRPr="004676F5">
        <w:rPr>
          <w:lang w:val="de-DE"/>
        </w:rPr>
        <w:t xml:space="preserve">[für Unternehmen und diplomatische Missionen] </w:t>
      </w:r>
      <w:r w:rsidRPr="004676F5">
        <w:rPr>
          <w:lang w:val="de-DE"/>
        </w:rPr>
        <w:t>im Rahmen der Basisbankdienstleistung eröffneter Konten, die Anzahl Ablehnungen und Kündigungen sowie die Begründung dafür mit. Informationen über das abgelaufene Kalenderjahr werden spätestens am letzten Tag des Monats Februar des folgenden Jahres übermittelt.]</w:t>
      </w:r>
    </w:p>
    <w:p w14:paraId="00D5420F" w14:textId="77777777" w:rsidR="00F41E34" w:rsidRPr="004676F5" w:rsidRDefault="00F41E34" w:rsidP="00F41E34">
      <w:pPr>
        <w:jc w:val="both"/>
        <w:rPr>
          <w:lang w:val="de-DE"/>
        </w:rPr>
      </w:pPr>
    </w:p>
    <w:p w14:paraId="0D5EA86E" w14:textId="608AFB34" w:rsidR="00F41E34" w:rsidRPr="004676F5" w:rsidRDefault="00F41E34" w:rsidP="00F41E34">
      <w:pPr>
        <w:jc w:val="both"/>
        <w:rPr>
          <w:i/>
          <w:iCs/>
          <w:lang w:val="de-DE"/>
        </w:rPr>
      </w:pPr>
      <w:r w:rsidRPr="004676F5">
        <w:rPr>
          <w:i/>
          <w:iCs/>
          <w:lang w:val="de-DE"/>
        </w:rPr>
        <w:t>[Art. VII.59/7 eingefügt durch Art. 7</w:t>
      </w:r>
      <w:r w:rsidRPr="004676F5">
        <w:rPr>
          <w:i/>
          <w:lang w:val="de-DE"/>
        </w:rPr>
        <w:t xml:space="preserve"> des G. vom 8. November 2020 (B.S. vom 24. November 2020)</w:t>
      </w:r>
      <w:r w:rsidR="00663177" w:rsidRPr="004676F5">
        <w:rPr>
          <w:i/>
          <w:lang w:val="de-DE"/>
        </w:rPr>
        <w:t>; § 1 abgeändert durch Art. 16 Nr. 1</w:t>
      </w:r>
      <w:r w:rsidR="00663177" w:rsidRPr="004676F5">
        <w:rPr>
          <w:i/>
          <w:iCs/>
          <w:lang w:val="de-DE"/>
        </w:rPr>
        <w:t xml:space="preserve"> des G. vom 25. September 2022 (B.S. vom 16. Januar 2023); § 2 abgeändert durch Art. 16 Nr. 2 des G. vom 25. September 2022 (B.S. vom 16. Januar 2023)</w:t>
      </w:r>
      <w:r w:rsidRPr="004676F5">
        <w:rPr>
          <w:i/>
          <w:lang w:val="de-DE"/>
        </w:rPr>
        <w:t>]</w:t>
      </w:r>
    </w:p>
    <w:p w14:paraId="7F618A02" w14:textId="77777777" w:rsidR="00F41E34" w:rsidRPr="004676F5" w:rsidRDefault="00F41E34" w:rsidP="00F41E34">
      <w:pPr>
        <w:jc w:val="both"/>
        <w:rPr>
          <w:lang w:val="de-DE"/>
        </w:rPr>
      </w:pPr>
    </w:p>
    <w:p w14:paraId="200009F6" w14:textId="77777777" w:rsidR="00F41E34" w:rsidRPr="004676F5" w:rsidRDefault="00F41E34" w:rsidP="00F41E34">
      <w:pPr>
        <w:jc w:val="both"/>
        <w:rPr>
          <w:lang w:val="de-DE"/>
        </w:rPr>
      </w:pPr>
    </w:p>
    <w:p w14:paraId="37511E8B" w14:textId="14A2569D" w:rsidR="00F41E34" w:rsidRPr="004676F5" w:rsidRDefault="00F41E34" w:rsidP="00F41E34">
      <w:pPr>
        <w:jc w:val="both"/>
        <w:rPr>
          <w:lang w:val="de-DE"/>
        </w:rPr>
      </w:pPr>
      <w:r w:rsidRPr="004676F5">
        <w:rPr>
          <w:lang w:val="de-DE"/>
        </w:rPr>
        <w:tab/>
        <w:t>[</w:t>
      </w:r>
      <w:r w:rsidRPr="004676F5">
        <w:rPr>
          <w:b/>
          <w:bCs/>
          <w:lang w:val="de-DE"/>
        </w:rPr>
        <w:t>Art. VII.59/8</w:t>
      </w:r>
      <w:r w:rsidRPr="004676F5">
        <w:rPr>
          <w:lang w:val="de-DE"/>
        </w:rPr>
        <w:t> </w:t>
      </w:r>
      <w:r w:rsidR="005B7A5C" w:rsidRPr="004676F5">
        <w:rPr>
          <w:lang w:val="de-DE"/>
        </w:rPr>
        <w:t>- </w:t>
      </w:r>
      <w:r w:rsidRPr="004676F5">
        <w:rPr>
          <w:lang w:val="de-DE"/>
        </w:rPr>
        <w:t>Kreditinstitute, die außerhalb der Anwendung von Artikel VII.59/4 § 3 Absatz 5 eine Basisbankdienstleistung anbieten, stellen den Unternehmen Informationen über die Basisbankdienstleistung unentgeltlich, deutlich und an einer klaren und gut sichtbaren Stelle zur Verfügung und machen sie zumindest auf ihrer Website zugänglich.</w:t>
      </w:r>
    </w:p>
    <w:p w14:paraId="3E0D9456" w14:textId="77777777" w:rsidR="00F41E34" w:rsidRPr="004676F5" w:rsidRDefault="00F41E34" w:rsidP="00F41E34">
      <w:pPr>
        <w:jc w:val="both"/>
        <w:rPr>
          <w:lang w:val="de-DE"/>
        </w:rPr>
      </w:pPr>
    </w:p>
    <w:p w14:paraId="4079A584" w14:textId="2A0078EA" w:rsidR="00F41E34" w:rsidRPr="004676F5" w:rsidRDefault="00F41E34" w:rsidP="00F41E34">
      <w:pPr>
        <w:jc w:val="both"/>
        <w:rPr>
          <w:iCs/>
          <w:lang w:val="de-DE"/>
        </w:rPr>
      </w:pPr>
      <w:r w:rsidRPr="004676F5">
        <w:rPr>
          <w:lang w:val="de-DE"/>
        </w:rPr>
        <w:tab/>
        <w:t>Die Informationen beziehen sich auf die spezifischen Merkmale der angebotenen Basisbankdienstleistung, die damit verbundenen Entgelte und die Nutzungsbedingungen, die Verfahren für die Wahrnehmung des Rechts auf Zugang zu der Basisbankdienstleistung sowie für die Inanspruchnahme von Verfahren zur alternativen Streitbeilegung. In den Informationen wird deutlich gemacht, dass der Zugang zu einer Basisbankdienstleistung nicht an den Erwerb zusätzlicher Dienste gebunden ist.</w:t>
      </w:r>
      <w:r w:rsidRPr="004676F5">
        <w:rPr>
          <w:iCs/>
          <w:lang w:val="de-DE"/>
        </w:rPr>
        <w:t>]</w:t>
      </w:r>
    </w:p>
    <w:p w14:paraId="330614AC" w14:textId="77777777" w:rsidR="00F41E34" w:rsidRPr="004676F5" w:rsidRDefault="00F41E34" w:rsidP="00F41E34">
      <w:pPr>
        <w:jc w:val="both"/>
        <w:rPr>
          <w:iCs/>
          <w:lang w:val="de-DE"/>
        </w:rPr>
      </w:pPr>
    </w:p>
    <w:p w14:paraId="765A90C0" w14:textId="3F3CE962" w:rsidR="00F41E34" w:rsidRPr="004676F5" w:rsidRDefault="00F41E34" w:rsidP="00F41E34">
      <w:pPr>
        <w:jc w:val="both"/>
        <w:rPr>
          <w:i/>
          <w:iCs/>
          <w:lang w:val="de-DE"/>
        </w:rPr>
      </w:pPr>
      <w:r w:rsidRPr="004676F5">
        <w:rPr>
          <w:i/>
          <w:iCs/>
          <w:lang w:val="de-DE"/>
        </w:rPr>
        <w:t>[Art. VII.59/8 eingefügt durch Art. 8</w:t>
      </w:r>
      <w:r w:rsidRPr="004676F5">
        <w:rPr>
          <w:i/>
          <w:lang w:val="de-DE"/>
        </w:rPr>
        <w:t xml:space="preserve"> des G. vom 8. November 2020 (B.S. vom 24. November 2020)]</w:t>
      </w:r>
    </w:p>
    <w:p w14:paraId="2CB2F298" w14:textId="77777777" w:rsidR="00F41E34" w:rsidRPr="004676F5" w:rsidRDefault="00F41E34" w:rsidP="00F41E34">
      <w:pPr>
        <w:jc w:val="both"/>
        <w:rPr>
          <w:iCs/>
          <w:lang w:val="de-DE"/>
        </w:rPr>
      </w:pPr>
    </w:p>
    <w:p w14:paraId="16733FB3" w14:textId="77777777" w:rsidR="00663177" w:rsidRPr="004676F5" w:rsidRDefault="00663177" w:rsidP="00F41E34">
      <w:pPr>
        <w:jc w:val="both"/>
        <w:rPr>
          <w:lang w:val="de-DE"/>
        </w:rPr>
      </w:pPr>
    </w:p>
    <w:p w14:paraId="3FDB4DF7" w14:textId="77777777" w:rsidR="00663177" w:rsidRPr="004676F5" w:rsidRDefault="00663177" w:rsidP="00663177">
      <w:pPr>
        <w:jc w:val="both"/>
        <w:rPr>
          <w:lang w:val="de-DE"/>
        </w:rPr>
      </w:pPr>
      <w:r w:rsidRPr="004676F5">
        <w:rPr>
          <w:lang w:val="de-DE"/>
        </w:rPr>
        <w:tab/>
        <w:t>[</w:t>
      </w:r>
      <w:r w:rsidRPr="004676F5">
        <w:rPr>
          <w:b/>
          <w:bCs/>
          <w:lang w:val="de-DE"/>
        </w:rPr>
        <w:t>Art. VII.59/9</w:t>
      </w:r>
      <w:r w:rsidRPr="004676F5">
        <w:rPr>
          <w:lang w:val="de-DE"/>
        </w:rPr>
        <w:t> - § 1 - Im Rahmen ihrer Aufträge wie in Artikel VII.59/10 §§ 1, 2 und 3 erwähnt verarbeiten die Kammer für Basisbankdienstleistungen und Anbieter der Basisbankdienstleistung personenbezogene Daten folgender Kategorien von betroffenen Personen:</w:t>
      </w:r>
    </w:p>
    <w:p w14:paraId="5B4AE0AF" w14:textId="77777777" w:rsidR="00663177" w:rsidRPr="004676F5" w:rsidRDefault="00663177" w:rsidP="00663177">
      <w:pPr>
        <w:jc w:val="both"/>
        <w:rPr>
          <w:lang w:val="de-DE"/>
        </w:rPr>
      </w:pPr>
    </w:p>
    <w:p w14:paraId="629A7F40" w14:textId="77777777" w:rsidR="00663177" w:rsidRPr="004676F5" w:rsidRDefault="00663177" w:rsidP="00663177">
      <w:pPr>
        <w:jc w:val="both"/>
        <w:rPr>
          <w:lang w:val="de-DE"/>
        </w:rPr>
      </w:pPr>
      <w:r w:rsidRPr="004676F5">
        <w:rPr>
          <w:lang w:val="de-DE"/>
        </w:rPr>
        <w:tab/>
        <w:t>1. Aktionäre, Angestellte und Verwalter der antragstellenden Unternehmen in Belgien,</w:t>
      </w:r>
    </w:p>
    <w:p w14:paraId="5C10A6BF" w14:textId="77777777" w:rsidR="00663177" w:rsidRPr="004676F5" w:rsidRDefault="00663177" w:rsidP="00663177">
      <w:pPr>
        <w:jc w:val="both"/>
        <w:rPr>
          <w:lang w:val="de-DE"/>
        </w:rPr>
      </w:pPr>
    </w:p>
    <w:p w14:paraId="05D9C7D4" w14:textId="77777777" w:rsidR="00663177" w:rsidRPr="004676F5" w:rsidRDefault="00663177" w:rsidP="00663177">
      <w:pPr>
        <w:jc w:val="both"/>
        <w:rPr>
          <w:lang w:val="de-DE"/>
        </w:rPr>
      </w:pPr>
      <w:r w:rsidRPr="004676F5">
        <w:rPr>
          <w:lang w:val="de-DE"/>
        </w:rPr>
        <w:tab/>
        <w:t>2. Vertreter der antragstellenden Unternehmen,</w:t>
      </w:r>
    </w:p>
    <w:p w14:paraId="0ED3CCB6" w14:textId="77777777" w:rsidR="00663177" w:rsidRPr="004676F5" w:rsidRDefault="00663177" w:rsidP="00663177">
      <w:pPr>
        <w:jc w:val="both"/>
        <w:rPr>
          <w:lang w:val="de-DE"/>
        </w:rPr>
      </w:pPr>
    </w:p>
    <w:p w14:paraId="6E611A89" w14:textId="77777777" w:rsidR="00663177" w:rsidRPr="004676F5" w:rsidRDefault="00663177" w:rsidP="00663177">
      <w:pPr>
        <w:jc w:val="both"/>
        <w:rPr>
          <w:lang w:val="de-DE"/>
        </w:rPr>
      </w:pPr>
      <w:r w:rsidRPr="004676F5">
        <w:rPr>
          <w:lang w:val="de-DE"/>
        </w:rPr>
        <w:tab/>
        <w:t>3. Kunden und/oder Lieferanten der antragstellenden Unternehmen,</w:t>
      </w:r>
    </w:p>
    <w:p w14:paraId="1E43F15C" w14:textId="77777777" w:rsidR="00663177" w:rsidRPr="004676F5" w:rsidRDefault="00663177" w:rsidP="00663177">
      <w:pPr>
        <w:jc w:val="both"/>
        <w:rPr>
          <w:lang w:val="de-DE"/>
        </w:rPr>
      </w:pPr>
    </w:p>
    <w:p w14:paraId="2F8F0601" w14:textId="77777777" w:rsidR="00663177" w:rsidRPr="004676F5" w:rsidRDefault="00663177" w:rsidP="00663177">
      <w:pPr>
        <w:jc w:val="both"/>
        <w:rPr>
          <w:lang w:val="de-DE"/>
        </w:rPr>
      </w:pPr>
      <w:r w:rsidRPr="004676F5">
        <w:rPr>
          <w:lang w:val="de-DE"/>
        </w:rPr>
        <w:tab/>
        <w:t>4. wirtschaftliche Eigentümer wie in Artikel 4 Absatz 1 Nr. 27 Absatz 2 Buchstabe </w:t>
      </w:r>
      <w:r w:rsidRPr="004676F5">
        <w:rPr>
          <w:i/>
          <w:iCs/>
          <w:lang w:val="de-DE"/>
        </w:rPr>
        <w:t>a)</w:t>
      </w:r>
      <w:r w:rsidRPr="004676F5">
        <w:rPr>
          <w:lang w:val="de-DE"/>
        </w:rPr>
        <w:t xml:space="preserve"> und </w:t>
      </w:r>
      <w:r w:rsidRPr="004676F5">
        <w:rPr>
          <w:i/>
          <w:lang w:val="de-DE"/>
        </w:rPr>
        <w:t>c)</w:t>
      </w:r>
      <w:r w:rsidRPr="004676F5">
        <w:rPr>
          <w:lang w:val="de-DE"/>
        </w:rPr>
        <w:t xml:space="preserve"> des Gesetzes vom 18. September 2017 zur Verhinderung von Geldwäsche und Terrorismusfinanzierung und zur Beschränkung der Nutzung von Bargeld erwähnt,</w:t>
      </w:r>
    </w:p>
    <w:p w14:paraId="1CE614F4" w14:textId="77777777" w:rsidR="00663177" w:rsidRPr="004676F5" w:rsidRDefault="00663177" w:rsidP="00663177">
      <w:pPr>
        <w:jc w:val="both"/>
        <w:rPr>
          <w:lang w:val="de-DE"/>
        </w:rPr>
      </w:pPr>
    </w:p>
    <w:p w14:paraId="41BE9E25" w14:textId="77777777" w:rsidR="00663177" w:rsidRPr="004676F5" w:rsidRDefault="00663177" w:rsidP="00663177">
      <w:pPr>
        <w:jc w:val="both"/>
        <w:rPr>
          <w:lang w:val="de-DE"/>
        </w:rPr>
      </w:pPr>
      <w:r w:rsidRPr="004676F5">
        <w:rPr>
          <w:lang w:val="de-DE"/>
        </w:rPr>
        <w:tab/>
        <w:t>5. Angestellte und Vertreter von diplomatischen Missionen.</w:t>
      </w:r>
    </w:p>
    <w:p w14:paraId="48C5D28C" w14:textId="77777777" w:rsidR="00663177" w:rsidRPr="004676F5" w:rsidRDefault="00663177" w:rsidP="00663177">
      <w:pPr>
        <w:jc w:val="both"/>
        <w:rPr>
          <w:lang w:val="de-DE"/>
        </w:rPr>
      </w:pPr>
    </w:p>
    <w:p w14:paraId="682B2E48" w14:textId="5036E064" w:rsidR="00663177" w:rsidRPr="004676F5" w:rsidRDefault="00663177" w:rsidP="00663177">
      <w:pPr>
        <w:jc w:val="both"/>
        <w:rPr>
          <w:lang w:val="de-DE"/>
        </w:rPr>
      </w:pPr>
      <w:r w:rsidRPr="004676F5">
        <w:rPr>
          <w:lang w:val="de-DE"/>
        </w:rPr>
        <w:tab/>
        <w:t>§ 2 ­ Im Rahmen des Antragsformulars verarbeiten die Kammer für Basisbankdienst</w:t>
      </w:r>
      <w:r w:rsidRPr="004676F5">
        <w:rPr>
          <w:lang w:val="de-DE"/>
        </w:rPr>
        <w:softHyphen/>
        <w:t xml:space="preserve">leistungen und Anbieter der Basisbankdienstleistung neben den in Artikel VII.59/5 Absatz 2 und 3 verlangten Angaben folgende Kategorien personenbezogener Daten der in </w:t>
      </w:r>
      <w:r w:rsidR="00E27355" w:rsidRPr="004676F5">
        <w:rPr>
          <w:lang w:val="de-DE"/>
        </w:rPr>
        <w:t>[</w:t>
      </w:r>
      <w:r w:rsidRPr="004676F5">
        <w:rPr>
          <w:lang w:val="de-DE"/>
        </w:rPr>
        <w:t>§ 1 Nr. 1</w:t>
      </w:r>
      <w:r w:rsidR="00E27355" w:rsidRPr="004676F5">
        <w:rPr>
          <w:lang w:val="de-DE"/>
        </w:rPr>
        <w:t>, 2</w:t>
      </w:r>
      <w:r w:rsidRPr="004676F5">
        <w:rPr>
          <w:lang w:val="de-DE"/>
        </w:rPr>
        <w:t xml:space="preserve"> und </w:t>
      </w:r>
      <w:r w:rsidR="00E27355" w:rsidRPr="004676F5">
        <w:rPr>
          <w:lang w:val="de-DE"/>
        </w:rPr>
        <w:t>5]</w:t>
      </w:r>
      <w:r w:rsidRPr="004676F5">
        <w:rPr>
          <w:lang w:val="de-DE"/>
        </w:rPr>
        <w:t xml:space="preserve"> erwähnten betroffenen Personen:</w:t>
      </w:r>
    </w:p>
    <w:p w14:paraId="5B9B6FCC" w14:textId="77777777" w:rsidR="00663177" w:rsidRPr="004676F5" w:rsidRDefault="00663177" w:rsidP="00663177">
      <w:pPr>
        <w:jc w:val="both"/>
        <w:rPr>
          <w:lang w:val="de-DE"/>
        </w:rPr>
      </w:pPr>
    </w:p>
    <w:p w14:paraId="751CD7AC" w14:textId="77777777" w:rsidR="00663177" w:rsidRPr="004676F5" w:rsidRDefault="00663177" w:rsidP="00663177">
      <w:pPr>
        <w:jc w:val="both"/>
        <w:rPr>
          <w:lang w:val="de-DE"/>
        </w:rPr>
      </w:pPr>
      <w:r w:rsidRPr="004676F5">
        <w:rPr>
          <w:lang w:val="de-DE"/>
        </w:rPr>
        <w:tab/>
        <w:t>1. persönliche Identifizierungsdaten,</w:t>
      </w:r>
    </w:p>
    <w:p w14:paraId="6E8AD745" w14:textId="77777777" w:rsidR="00663177" w:rsidRPr="004676F5" w:rsidRDefault="00663177" w:rsidP="00663177">
      <w:pPr>
        <w:jc w:val="both"/>
        <w:rPr>
          <w:lang w:val="de-DE"/>
        </w:rPr>
      </w:pPr>
    </w:p>
    <w:p w14:paraId="5F716096" w14:textId="77777777" w:rsidR="00663177" w:rsidRPr="004676F5" w:rsidRDefault="00663177" w:rsidP="00663177">
      <w:pPr>
        <w:jc w:val="both"/>
        <w:rPr>
          <w:lang w:val="de-DE"/>
        </w:rPr>
      </w:pPr>
      <w:r w:rsidRPr="004676F5">
        <w:rPr>
          <w:lang w:val="de-DE"/>
        </w:rPr>
        <w:tab/>
        <w:t>2. derzeitige Beschäftigung,</w:t>
      </w:r>
    </w:p>
    <w:p w14:paraId="1B933156" w14:textId="77777777" w:rsidR="00663177" w:rsidRPr="004676F5" w:rsidRDefault="00663177" w:rsidP="00663177">
      <w:pPr>
        <w:jc w:val="both"/>
        <w:rPr>
          <w:lang w:val="de-DE"/>
        </w:rPr>
      </w:pPr>
    </w:p>
    <w:p w14:paraId="78D877B8" w14:textId="77777777" w:rsidR="00663177" w:rsidRPr="004676F5" w:rsidRDefault="00663177" w:rsidP="00663177">
      <w:pPr>
        <w:jc w:val="both"/>
        <w:rPr>
          <w:lang w:val="de-DE"/>
        </w:rPr>
      </w:pPr>
      <w:r w:rsidRPr="004676F5">
        <w:rPr>
          <w:lang w:val="de-DE"/>
        </w:rPr>
        <w:tab/>
        <w:t>3. Bescheinigungen und Belege und</w:t>
      </w:r>
    </w:p>
    <w:p w14:paraId="2375D8FD" w14:textId="77777777" w:rsidR="00663177" w:rsidRPr="004676F5" w:rsidRDefault="00663177" w:rsidP="00663177">
      <w:pPr>
        <w:jc w:val="both"/>
        <w:rPr>
          <w:lang w:val="de-DE"/>
        </w:rPr>
      </w:pPr>
    </w:p>
    <w:p w14:paraId="7B122139" w14:textId="77777777" w:rsidR="00663177" w:rsidRPr="004676F5" w:rsidRDefault="00663177" w:rsidP="00663177">
      <w:pPr>
        <w:jc w:val="both"/>
        <w:rPr>
          <w:lang w:val="de-DE"/>
        </w:rPr>
      </w:pPr>
      <w:r w:rsidRPr="004676F5">
        <w:rPr>
          <w:lang w:val="de-DE"/>
        </w:rPr>
        <w:tab/>
        <w:t>4. jegliche personenbezogene Daten, die die betroffene Person aus eigener Initiative teilen möchte.</w:t>
      </w:r>
    </w:p>
    <w:p w14:paraId="01917435" w14:textId="77777777" w:rsidR="00663177" w:rsidRPr="004676F5" w:rsidRDefault="00663177" w:rsidP="00663177">
      <w:pPr>
        <w:jc w:val="both"/>
        <w:rPr>
          <w:lang w:val="de-DE"/>
        </w:rPr>
      </w:pPr>
    </w:p>
    <w:p w14:paraId="4423C954" w14:textId="77777777" w:rsidR="00663177" w:rsidRPr="004676F5" w:rsidRDefault="00663177" w:rsidP="00663177">
      <w:pPr>
        <w:jc w:val="both"/>
        <w:rPr>
          <w:lang w:val="de-DE"/>
        </w:rPr>
      </w:pPr>
      <w:r w:rsidRPr="004676F5">
        <w:rPr>
          <w:lang w:val="de-DE"/>
        </w:rPr>
        <w:tab/>
        <w:t>Im Rahmen spezifischer zusätzlicher Maßnahmen zur Risikominderung oder eines Verhaltenskodex verarbeiten die Kammer für Basisbankdienstleistungen und Anbieter der Basisbankdienstleistung folgende Kategorien personenbezogener Daten der in § 1 erwähnten betroffenen Personen:</w:t>
      </w:r>
    </w:p>
    <w:p w14:paraId="2BEF7E93" w14:textId="77777777" w:rsidR="00663177" w:rsidRPr="004676F5" w:rsidRDefault="00663177" w:rsidP="00663177">
      <w:pPr>
        <w:jc w:val="both"/>
        <w:rPr>
          <w:lang w:val="de-DE"/>
        </w:rPr>
      </w:pPr>
    </w:p>
    <w:p w14:paraId="1DD7914A" w14:textId="7F329206" w:rsidR="00663177" w:rsidRPr="004676F5" w:rsidRDefault="00663177" w:rsidP="00663177">
      <w:pPr>
        <w:jc w:val="both"/>
        <w:rPr>
          <w:lang w:val="de-DE"/>
        </w:rPr>
      </w:pPr>
      <w:r w:rsidRPr="004676F5">
        <w:rPr>
          <w:lang w:val="de-DE"/>
        </w:rPr>
        <w:tab/>
        <w:t>1. persönliche Identi</w:t>
      </w:r>
      <w:r w:rsidR="002F3B3B" w:rsidRPr="004676F5">
        <w:rPr>
          <w:lang w:val="de-DE"/>
        </w:rPr>
        <w:t>fi</w:t>
      </w:r>
      <w:r w:rsidRPr="004676F5">
        <w:rPr>
          <w:lang w:val="de-DE"/>
        </w:rPr>
        <w:t>zierungsdaten, einschließlich Nationalregisternummer,</w:t>
      </w:r>
    </w:p>
    <w:p w14:paraId="71ED8D16" w14:textId="77777777" w:rsidR="00663177" w:rsidRPr="004676F5" w:rsidRDefault="00663177" w:rsidP="00663177">
      <w:pPr>
        <w:jc w:val="both"/>
        <w:rPr>
          <w:lang w:val="de-DE"/>
        </w:rPr>
      </w:pPr>
    </w:p>
    <w:p w14:paraId="414A7097" w14:textId="77777777" w:rsidR="00663177" w:rsidRPr="004676F5" w:rsidRDefault="00663177" w:rsidP="00663177">
      <w:pPr>
        <w:jc w:val="both"/>
        <w:rPr>
          <w:lang w:val="de-DE"/>
        </w:rPr>
      </w:pPr>
      <w:r w:rsidRPr="004676F5">
        <w:rPr>
          <w:lang w:val="de-DE"/>
        </w:rPr>
        <w:tab/>
        <w:t>2. derzeitige Beschäftigung,</w:t>
      </w:r>
    </w:p>
    <w:p w14:paraId="5FCE2466" w14:textId="77777777" w:rsidR="00663177" w:rsidRPr="004676F5" w:rsidRDefault="00663177" w:rsidP="00663177">
      <w:pPr>
        <w:jc w:val="both"/>
        <w:rPr>
          <w:lang w:val="de-DE"/>
        </w:rPr>
      </w:pPr>
    </w:p>
    <w:p w14:paraId="02574B34" w14:textId="77777777" w:rsidR="00663177" w:rsidRPr="004676F5" w:rsidRDefault="00663177" w:rsidP="00663177">
      <w:pPr>
        <w:jc w:val="both"/>
        <w:rPr>
          <w:lang w:val="de-DE"/>
        </w:rPr>
      </w:pPr>
      <w:r w:rsidRPr="004676F5">
        <w:rPr>
          <w:lang w:val="de-DE"/>
        </w:rPr>
        <w:tab/>
        <w:t>3. finanzielle Identifizierungsdaten,</w:t>
      </w:r>
    </w:p>
    <w:p w14:paraId="69ECBDD0" w14:textId="77777777" w:rsidR="00663177" w:rsidRPr="004676F5" w:rsidRDefault="00663177" w:rsidP="00663177">
      <w:pPr>
        <w:jc w:val="both"/>
        <w:rPr>
          <w:lang w:val="de-DE"/>
        </w:rPr>
      </w:pPr>
    </w:p>
    <w:p w14:paraId="3A3AD00C" w14:textId="77777777" w:rsidR="00663177" w:rsidRPr="004676F5" w:rsidRDefault="00663177" w:rsidP="00663177">
      <w:pPr>
        <w:jc w:val="both"/>
        <w:rPr>
          <w:lang w:val="de-DE"/>
        </w:rPr>
      </w:pPr>
      <w:r w:rsidRPr="004676F5">
        <w:rPr>
          <w:lang w:val="de-DE"/>
        </w:rPr>
        <w:tab/>
        <w:t>4. finanzielle Transaktionen,</w:t>
      </w:r>
    </w:p>
    <w:p w14:paraId="7D4C3406" w14:textId="77777777" w:rsidR="00663177" w:rsidRPr="004676F5" w:rsidRDefault="00663177" w:rsidP="00663177">
      <w:pPr>
        <w:jc w:val="both"/>
        <w:rPr>
          <w:lang w:val="de-DE"/>
        </w:rPr>
      </w:pPr>
    </w:p>
    <w:p w14:paraId="6F74B7F2" w14:textId="77777777" w:rsidR="00663177" w:rsidRPr="004676F5" w:rsidRDefault="00663177" w:rsidP="00663177">
      <w:pPr>
        <w:jc w:val="both"/>
        <w:rPr>
          <w:lang w:val="de-DE"/>
        </w:rPr>
      </w:pPr>
      <w:r w:rsidRPr="004676F5">
        <w:rPr>
          <w:lang w:val="de-DE"/>
        </w:rPr>
        <w:tab/>
        <w:t>5. berufliche Tätigkeiten,</w:t>
      </w:r>
    </w:p>
    <w:p w14:paraId="6BC1C329" w14:textId="77777777" w:rsidR="00663177" w:rsidRPr="004676F5" w:rsidRDefault="00663177" w:rsidP="00663177">
      <w:pPr>
        <w:jc w:val="both"/>
        <w:rPr>
          <w:lang w:val="de-DE"/>
        </w:rPr>
      </w:pPr>
    </w:p>
    <w:p w14:paraId="0368ECAA" w14:textId="77777777" w:rsidR="00663177" w:rsidRPr="004676F5" w:rsidRDefault="00663177" w:rsidP="00663177">
      <w:pPr>
        <w:jc w:val="both"/>
        <w:rPr>
          <w:lang w:val="de-DE"/>
        </w:rPr>
      </w:pPr>
      <w:r w:rsidRPr="004676F5">
        <w:rPr>
          <w:lang w:val="de-DE"/>
        </w:rPr>
        <w:tab/>
        <w:t>6. Registrierungsnachweis,</w:t>
      </w:r>
    </w:p>
    <w:p w14:paraId="6B4BF778" w14:textId="77777777" w:rsidR="00663177" w:rsidRPr="004676F5" w:rsidRDefault="00663177" w:rsidP="00663177">
      <w:pPr>
        <w:jc w:val="both"/>
        <w:rPr>
          <w:lang w:val="de-DE"/>
        </w:rPr>
      </w:pPr>
    </w:p>
    <w:p w14:paraId="5C619BE5" w14:textId="77777777" w:rsidR="00663177" w:rsidRPr="004676F5" w:rsidRDefault="00663177" w:rsidP="00663177">
      <w:pPr>
        <w:jc w:val="both"/>
        <w:rPr>
          <w:lang w:val="de-DE"/>
        </w:rPr>
      </w:pPr>
      <w:r w:rsidRPr="004676F5">
        <w:rPr>
          <w:lang w:val="de-DE"/>
        </w:rPr>
        <w:tab/>
        <w:t>7. Einzelheiten zu den Versicherungen,</w:t>
      </w:r>
    </w:p>
    <w:p w14:paraId="27A69036" w14:textId="77777777" w:rsidR="00663177" w:rsidRPr="004676F5" w:rsidRDefault="00663177" w:rsidP="00663177">
      <w:pPr>
        <w:jc w:val="both"/>
        <w:rPr>
          <w:lang w:val="de-DE"/>
        </w:rPr>
      </w:pPr>
    </w:p>
    <w:p w14:paraId="3BF7304C" w14:textId="77777777" w:rsidR="00663177" w:rsidRPr="004676F5" w:rsidRDefault="00663177" w:rsidP="00663177">
      <w:pPr>
        <w:jc w:val="both"/>
        <w:rPr>
          <w:lang w:val="de-DE"/>
        </w:rPr>
      </w:pPr>
      <w:r w:rsidRPr="004676F5">
        <w:rPr>
          <w:lang w:val="de-DE"/>
        </w:rPr>
        <w:tab/>
        <w:t>8. berufliche Sachkunde,</w:t>
      </w:r>
    </w:p>
    <w:p w14:paraId="1504B4CB" w14:textId="77777777" w:rsidR="00663177" w:rsidRPr="004676F5" w:rsidRDefault="00663177" w:rsidP="00663177">
      <w:pPr>
        <w:jc w:val="both"/>
        <w:rPr>
          <w:lang w:val="de-DE"/>
        </w:rPr>
      </w:pPr>
    </w:p>
    <w:p w14:paraId="709899C6" w14:textId="77777777" w:rsidR="00663177" w:rsidRPr="004676F5" w:rsidRDefault="00663177" w:rsidP="00663177">
      <w:pPr>
        <w:jc w:val="both"/>
        <w:rPr>
          <w:lang w:val="de-DE"/>
        </w:rPr>
      </w:pPr>
      <w:r w:rsidRPr="004676F5">
        <w:rPr>
          <w:lang w:val="de-DE"/>
        </w:rPr>
        <w:tab/>
        <w:t>9. Mitgliedschaft bei oder Teilnahme an Berufsverbänden,</w:t>
      </w:r>
    </w:p>
    <w:p w14:paraId="29502C74" w14:textId="77777777" w:rsidR="00663177" w:rsidRPr="004676F5" w:rsidRDefault="00663177" w:rsidP="00663177">
      <w:pPr>
        <w:jc w:val="both"/>
        <w:rPr>
          <w:lang w:val="de-DE"/>
        </w:rPr>
      </w:pPr>
    </w:p>
    <w:p w14:paraId="03C62ACC" w14:textId="77777777" w:rsidR="00663177" w:rsidRPr="004676F5" w:rsidRDefault="00663177" w:rsidP="00663177">
      <w:pPr>
        <w:jc w:val="both"/>
        <w:rPr>
          <w:lang w:val="de-DE"/>
        </w:rPr>
      </w:pPr>
      <w:r w:rsidRPr="004676F5">
        <w:rPr>
          <w:lang w:val="de-DE"/>
        </w:rPr>
        <w:tab/>
        <w:t>10. Bescheinigungen und Belege, darunter ein Auszug aus dem Strafregister in Bezug auf Verurteilungen gemäß Artikel VII.59/6 § 3 Absatz 1 Nr. 1, und</w:t>
      </w:r>
    </w:p>
    <w:p w14:paraId="6464809D" w14:textId="77777777" w:rsidR="00663177" w:rsidRPr="004676F5" w:rsidRDefault="00663177" w:rsidP="00663177">
      <w:pPr>
        <w:jc w:val="both"/>
        <w:rPr>
          <w:lang w:val="de-DE"/>
        </w:rPr>
      </w:pPr>
    </w:p>
    <w:p w14:paraId="7EA70330" w14:textId="77777777" w:rsidR="00663177" w:rsidRPr="004676F5" w:rsidRDefault="00663177" w:rsidP="00663177">
      <w:pPr>
        <w:jc w:val="both"/>
        <w:rPr>
          <w:lang w:val="de-DE"/>
        </w:rPr>
      </w:pPr>
      <w:r w:rsidRPr="004676F5">
        <w:rPr>
          <w:lang w:val="de-DE"/>
        </w:rPr>
        <w:lastRenderedPageBreak/>
        <w:tab/>
        <w:t>11. jegliche personenbezogene Daten, die die betroffene Person aus eigener Initiative teilen möchte.</w:t>
      </w:r>
    </w:p>
    <w:p w14:paraId="683247D0" w14:textId="77777777" w:rsidR="00663177" w:rsidRPr="004676F5" w:rsidRDefault="00663177" w:rsidP="00663177">
      <w:pPr>
        <w:jc w:val="both"/>
        <w:rPr>
          <w:lang w:val="de-DE"/>
        </w:rPr>
      </w:pPr>
    </w:p>
    <w:p w14:paraId="6BF9EEAC" w14:textId="77777777" w:rsidR="00663177" w:rsidRPr="004676F5" w:rsidRDefault="00663177" w:rsidP="00663177">
      <w:pPr>
        <w:jc w:val="both"/>
        <w:rPr>
          <w:lang w:val="de-DE"/>
        </w:rPr>
      </w:pPr>
      <w:r w:rsidRPr="004676F5">
        <w:rPr>
          <w:lang w:val="de-DE"/>
        </w:rPr>
        <w:tab/>
        <w:t>§ 3 ­ Der König kann die Liste der in den Paragraphen 1 und 2 erwähnten Kategorien von Daten und Personen näher bestimmen, sofern diese Kategorien von Daten und Personen für die Erfüllung der gesetzlichen Verpflichtung der Kammer für Basisbankdienstleistungen und der Anbieter der Basisbankdienstleistung zur Verarbeitung personenbezogener Daten erforderlich, relevant und verhältnismäßig sind.</w:t>
      </w:r>
    </w:p>
    <w:p w14:paraId="6E461CD7" w14:textId="77777777" w:rsidR="00663177" w:rsidRPr="004676F5" w:rsidRDefault="00663177" w:rsidP="00663177">
      <w:pPr>
        <w:jc w:val="both"/>
        <w:rPr>
          <w:lang w:val="de-DE"/>
        </w:rPr>
      </w:pPr>
    </w:p>
    <w:p w14:paraId="12CD54BA" w14:textId="77777777" w:rsidR="00663177" w:rsidRPr="004676F5" w:rsidRDefault="00663177" w:rsidP="00663177">
      <w:pPr>
        <w:jc w:val="both"/>
        <w:rPr>
          <w:lang w:val="de-DE"/>
        </w:rPr>
      </w:pPr>
      <w:r w:rsidRPr="004676F5">
        <w:rPr>
          <w:lang w:val="de-DE"/>
        </w:rPr>
        <w:tab/>
        <w:t>§ 4 ­ Die Kammer für Basisbankdienstleistungen hat die Aufgabe, die Daten, die ihr im Rahmen ihrer gesetzlichen Verpflichtung zur Verfügung gestellt werden, zu sammeln und in einer elektronischen Datenbank zu speichern.</w:t>
      </w:r>
    </w:p>
    <w:p w14:paraId="6A381758" w14:textId="77777777" w:rsidR="00663177" w:rsidRPr="004676F5" w:rsidRDefault="00663177" w:rsidP="00663177">
      <w:pPr>
        <w:jc w:val="both"/>
        <w:rPr>
          <w:lang w:val="de-DE"/>
        </w:rPr>
      </w:pPr>
    </w:p>
    <w:p w14:paraId="04E47885" w14:textId="77777777" w:rsidR="00663177" w:rsidRPr="004676F5" w:rsidRDefault="00663177" w:rsidP="00663177">
      <w:pPr>
        <w:jc w:val="both"/>
        <w:rPr>
          <w:lang w:val="de-DE"/>
        </w:rPr>
      </w:pPr>
      <w:r w:rsidRPr="004676F5">
        <w:rPr>
          <w:lang w:val="de-DE"/>
        </w:rPr>
        <w:tab/>
        <w:t>§ 5 ­ Sofern nichts anderes bestimmt ist, sind die in § 2 erwähnten personenbezogenen Daten für die Kammer für Basisbankdienstleistungen und die Anbieter der Basisbankdienst</w:t>
      </w:r>
      <w:r w:rsidRPr="004676F5">
        <w:rPr>
          <w:lang w:val="de-DE"/>
        </w:rPr>
        <w:softHyphen/>
        <w:t>leistung zugänglich.</w:t>
      </w:r>
    </w:p>
    <w:p w14:paraId="4BF028DC" w14:textId="77777777" w:rsidR="00663177" w:rsidRPr="004676F5" w:rsidRDefault="00663177" w:rsidP="00663177">
      <w:pPr>
        <w:jc w:val="both"/>
        <w:rPr>
          <w:lang w:val="de-DE"/>
        </w:rPr>
      </w:pPr>
    </w:p>
    <w:p w14:paraId="575C4FA5" w14:textId="77777777" w:rsidR="00663177" w:rsidRPr="004676F5" w:rsidRDefault="00663177" w:rsidP="00663177">
      <w:pPr>
        <w:jc w:val="both"/>
        <w:rPr>
          <w:lang w:val="de-DE"/>
        </w:rPr>
      </w:pPr>
      <w:r w:rsidRPr="004676F5">
        <w:rPr>
          <w:lang w:val="de-DE"/>
        </w:rPr>
        <w:tab/>
        <w:t>Die Kammer für Basisbankdienstleistungen kann diese personenbezogenen Daten mit folgenden Drittstellen austauschen:</w:t>
      </w:r>
    </w:p>
    <w:p w14:paraId="0B6850F9" w14:textId="77777777" w:rsidR="00663177" w:rsidRPr="004676F5" w:rsidRDefault="00663177" w:rsidP="00663177">
      <w:pPr>
        <w:jc w:val="both"/>
        <w:rPr>
          <w:lang w:val="de-DE"/>
        </w:rPr>
      </w:pPr>
    </w:p>
    <w:p w14:paraId="3BF726BE" w14:textId="77777777" w:rsidR="00663177" w:rsidRPr="004676F5" w:rsidRDefault="00663177" w:rsidP="00663177">
      <w:pPr>
        <w:jc w:val="both"/>
        <w:rPr>
          <w:lang w:val="de-DE"/>
        </w:rPr>
      </w:pPr>
      <w:r w:rsidRPr="004676F5">
        <w:rPr>
          <w:lang w:val="de-DE"/>
        </w:rPr>
        <w:tab/>
        <w:t>1. dem Büro für die Verarbeitung finanzieller Informationen,</w:t>
      </w:r>
    </w:p>
    <w:p w14:paraId="1396090A" w14:textId="77777777" w:rsidR="00663177" w:rsidRPr="004676F5" w:rsidRDefault="00663177" w:rsidP="00663177">
      <w:pPr>
        <w:jc w:val="both"/>
        <w:rPr>
          <w:lang w:val="de-DE"/>
        </w:rPr>
      </w:pPr>
    </w:p>
    <w:p w14:paraId="7DE57914" w14:textId="77777777" w:rsidR="00663177" w:rsidRPr="004676F5" w:rsidRDefault="00663177" w:rsidP="00663177">
      <w:pPr>
        <w:jc w:val="both"/>
        <w:rPr>
          <w:lang w:val="de-DE"/>
        </w:rPr>
      </w:pPr>
      <w:r w:rsidRPr="004676F5">
        <w:rPr>
          <w:lang w:val="de-DE"/>
        </w:rPr>
        <w:tab/>
        <w:t>2. Sachverständigen, die die Kammer für Basisbankdienstleistungen heranzieht oder anhört.</w:t>
      </w:r>
    </w:p>
    <w:p w14:paraId="6762FA29" w14:textId="77777777" w:rsidR="00663177" w:rsidRPr="004676F5" w:rsidRDefault="00663177" w:rsidP="00663177">
      <w:pPr>
        <w:jc w:val="both"/>
        <w:rPr>
          <w:lang w:val="de-DE"/>
        </w:rPr>
      </w:pPr>
    </w:p>
    <w:p w14:paraId="5B23E783" w14:textId="77777777" w:rsidR="00663177" w:rsidRPr="004676F5" w:rsidRDefault="00663177" w:rsidP="00663177">
      <w:pPr>
        <w:jc w:val="both"/>
        <w:rPr>
          <w:lang w:val="de-DE"/>
        </w:rPr>
      </w:pPr>
      <w:r w:rsidRPr="004676F5">
        <w:rPr>
          <w:lang w:val="de-DE"/>
        </w:rPr>
        <w:tab/>
        <w:t>Das Büro für die Verarbeitung finanzieller Informationen erhält im Rahmen der Erfüllung seines gesetzlichen Auftrags die Daten, die für die Abgabe der in Artikel VII.59/4 § 3 Absatz 4 erwähnten vertraulichen Stellungnahme erforderlich sind.</w:t>
      </w:r>
    </w:p>
    <w:p w14:paraId="0B7566A8" w14:textId="77777777" w:rsidR="00663177" w:rsidRPr="004676F5" w:rsidRDefault="00663177" w:rsidP="00663177">
      <w:pPr>
        <w:jc w:val="both"/>
        <w:rPr>
          <w:lang w:val="de-DE"/>
        </w:rPr>
      </w:pPr>
    </w:p>
    <w:p w14:paraId="31EFFB3F" w14:textId="77777777" w:rsidR="00663177" w:rsidRPr="004676F5" w:rsidRDefault="00663177" w:rsidP="00663177">
      <w:pPr>
        <w:jc w:val="both"/>
        <w:rPr>
          <w:lang w:val="de-DE"/>
        </w:rPr>
      </w:pPr>
      <w:r w:rsidRPr="004676F5">
        <w:rPr>
          <w:lang w:val="de-DE"/>
        </w:rPr>
        <w:tab/>
        <w:t>Der Austausch personenbezogener Daten mit Sachverständigen ist auf die personenbezogenen Daten beschränkt, die für die Abgabe einer Stellungnahme im Rahmen ihres gesetzlichen Auftrags wie in Artikel VII.59/4 § 3 Absatz 7 erwähnt erforderlich sind.</w:t>
      </w:r>
    </w:p>
    <w:p w14:paraId="5E866CE9" w14:textId="77777777" w:rsidR="00663177" w:rsidRPr="004676F5" w:rsidRDefault="00663177" w:rsidP="00663177">
      <w:pPr>
        <w:jc w:val="both"/>
        <w:rPr>
          <w:lang w:val="de-DE"/>
        </w:rPr>
      </w:pPr>
    </w:p>
    <w:p w14:paraId="660D1C5B" w14:textId="77777777" w:rsidR="00663177" w:rsidRPr="004676F5" w:rsidRDefault="00663177" w:rsidP="00663177">
      <w:pPr>
        <w:jc w:val="both"/>
        <w:rPr>
          <w:lang w:val="de-DE"/>
        </w:rPr>
      </w:pPr>
      <w:r w:rsidRPr="004676F5">
        <w:rPr>
          <w:lang w:val="de-DE"/>
        </w:rPr>
        <w:tab/>
        <w:t>§ 6 ­ Personenbezogene Daten werden nicht länger als notwendig für die Zwecke, für die sie verarbeitet werden, aufbewahrt.</w:t>
      </w:r>
    </w:p>
    <w:p w14:paraId="2005B69D" w14:textId="77777777" w:rsidR="00663177" w:rsidRPr="004676F5" w:rsidRDefault="00663177" w:rsidP="00663177">
      <w:pPr>
        <w:jc w:val="both"/>
        <w:rPr>
          <w:lang w:val="de-DE"/>
        </w:rPr>
      </w:pPr>
    </w:p>
    <w:p w14:paraId="163B5990" w14:textId="77777777" w:rsidR="00663177" w:rsidRPr="004676F5" w:rsidRDefault="00663177" w:rsidP="00663177">
      <w:pPr>
        <w:jc w:val="both"/>
        <w:rPr>
          <w:lang w:val="de-DE"/>
        </w:rPr>
      </w:pPr>
      <w:r w:rsidRPr="004676F5">
        <w:rPr>
          <w:lang w:val="de-DE"/>
        </w:rPr>
        <w:tab/>
        <w:t>Vorbehaltlich gegenteiliger Gesetzesbestimmung dürfen personenbezogene Daten von der Kammer für Basisbankdienstleistungen nicht länger als zwei Jahre ab dem Zeitpunkt der Entscheidung der Kammer für Basisbankdienstleistungen aufbewahrt werden.</w:t>
      </w:r>
    </w:p>
    <w:p w14:paraId="7DE7A973" w14:textId="77777777" w:rsidR="00663177" w:rsidRPr="004676F5" w:rsidRDefault="00663177" w:rsidP="00663177">
      <w:pPr>
        <w:jc w:val="both"/>
        <w:rPr>
          <w:lang w:val="de-DE"/>
        </w:rPr>
      </w:pPr>
    </w:p>
    <w:p w14:paraId="3B5C8D33" w14:textId="77777777" w:rsidR="00663177" w:rsidRPr="004676F5" w:rsidRDefault="00663177" w:rsidP="00663177">
      <w:pPr>
        <w:jc w:val="both"/>
        <w:rPr>
          <w:lang w:val="de-DE"/>
        </w:rPr>
      </w:pPr>
      <w:r w:rsidRPr="004676F5">
        <w:rPr>
          <w:lang w:val="de-DE"/>
        </w:rPr>
        <w:tab/>
        <w:t>Vorbehaltlich gegenteiliger Gesetzesbestimmung dürfen personenbezogene Daten von Anbietern der Basisbankdienstleistung nicht länger als zehn Jahre ab dem Zeitpunkt der Beendigung der Geschäftsbeziehung mit ihren Kunden aufbewahrt werden.</w:t>
      </w:r>
    </w:p>
    <w:p w14:paraId="68A1B112" w14:textId="77777777" w:rsidR="00663177" w:rsidRPr="004676F5" w:rsidRDefault="00663177" w:rsidP="00663177">
      <w:pPr>
        <w:jc w:val="both"/>
        <w:rPr>
          <w:lang w:val="de-DE"/>
        </w:rPr>
      </w:pPr>
    </w:p>
    <w:p w14:paraId="1E12EDB0" w14:textId="4604AEC0" w:rsidR="00663177" w:rsidRPr="004676F5" w:rsidRDefault="00663177" w:rsidP="00663177">
      <w:pPr>
        <w:jc w:val="both"/>
        <w:rPr>
          <w:lang w:val="de-DE"/>
        </w:rPr>
      </w:pPr>
      <w:r w:rsidRPr="004676F5">
        <w:rPr>
          <w:lang w:val="de-DE"/>
        </w:rPr>
        <w:tab/>
        <w:t>Im Falle eines Gerichtsverfahrens können diese Fristen verlängert werden, bis die Verkündung formell rechtskräftig geworden ist.]</w:t>
      </w:r>
    </w:p>
    <w:p w14:paraId="6A0F9A04" w14:textId="77777777" w:rsidR="00663177" w:rsidRPr="004676F5" w:rsidRDefault="00663177" w:rsidP="00663177">
      <w:pPr>
        <w:jc w:val="both"/>
        <w:rPr>
          <w:lang w:val="de-DE"/>
        </w:rPr>
      </w:pPr>
    </w:p>
    <w:p w14:paraId="24C71D51" w14:textId="2E0C333C" w:rsidR="00663177" w:rsidRPr="004676F5" w:rsidRDefault="00663177" w:rsidP="00663177">
      <w:pPr>
        <w:jc w:val="both"/>
        <w:rPr>
          <w:i/>
          <w:iCs/>
          <w:lang w:val="de-DE"/>
        </w:rPr>
      </w:pPr>
      <w:r w:rsidRPr="004676F5">
        <w:rPr>
          <w:i/>
          <w:iCs/>
          <w:lang w:val="de-DE"/>
        </w:rPr>
        <w:t>[Art. </w:t>
      </w:r>
      <w:r w:rsidR="00C60A1E">
        <w:rPr>
          <w:i/>
          <w:iCs/>
          <w:lang w:val="de-DE"/>
        </w:rPr>
        <w:t>VII.</w:t>
      </w:r>
      <w:r w:rsidRPr="004676F5">
        <w:rPr>
          <w:i/>
          <w:iCs/>
          <w:lang w:val="de-DE"/>
        </w:rPr>
        <w:t>59/9 eingefügt durch Art. 17 des G. vom 25. September 2022 (B.S. vom 16. Januar 2023)</w:t>
      </w:r>
      <w:r w:rsidR="00E27355" w:rsidRPr="004676F5">
        <w:rPr>
          <w:i/>
          <w:iCs/>
          <w:lang w:val="de-DE"/>
        </w:rPr>
        <w:t>; § 2 Abs. 1 einleitende Bestimmung abgeändert durch Art. 27 des G. vom 9. Februar 2024 (B.S. vom 21. März 2024)</w:t>
      </w:r>
      <w:r w:rsidRPr="004676F5">
        <w:rPr>
          <w:i/>
          <w:iCs/>
          <w:lang w:val="de-DE"/>
        </w:rPr>
        <w:t>]</w:t>
      </w:r>
    </w:p>
    <w:p w14:paraId="57352CDD" w14:textId="77777777" w:rsidR="00663177" w:rsidRPr="004676F5" w:rsidRDefault="00663177" w:rsidP="00663177">
      <w:pPr>
        <w:jc w:val="both"/>
        <w:rPr>
          <w:lang w:val="de-DE"/>
        </w:rPr>
      </w:pPr>
    </w:p>
    <w:p w14:paraId="3C11CAE3" w14:textId="77777777" w:rsidR="00663177" w:rsidRPr="004676F5" w:rsidRDefault="00663177" w:rsidP="00663177">
      <w:pPr>
        <w:jc w:val="both"/>
        <w:rPr>
          <w:lang w:val="de-DE"/>
        </w:rPr>
      </w:pPr>
    </w:p>
    <w:p w14:paraId="11A14374" w14:textId="4EE7B594" w:rsidR="00663177" w:rsidRPr="004676F5" w:rsidRDefault="00663177" w:rsidP="00663177">
      <w:pPr>
        <w:jc w:val="both"/>
        <w:rPr>
          <w:lang w:val="de-DE"/>
        </w:rPr>
      </w:pPr>
      <w:r w:rsidRPr="004676F5">
        <w:rPr>
          <w:lang w:val="de-DE"/>
        </w:rPr>
        <w:lastRenderedPageBreak/>
        <w:tab/>
        <w:t>[</w:t>
      </w:r>
      <w:r w:rsidRPr="004676F5">
        <w:rPr>
          <w:b/>
          <w:bCs/>
          <w:lang w:val="de-DE"/>
        </w:rPr>
        <w:t>Art. VII.59/10</w:t>
      </w:r>
      <w:r w:rsidRPr="004676F5">
        <w:rPr>
          <w:lang w:val="de-DE"/>
        </w:rPr>
        <w:t> - § 1 ­ Daten einschließlich der in Artikel VII.59/9 § 2 erwähnten Kategorien personenbezogener Daten, die vom Föderalen Öffentlichen Dienst Wirtschaft, KMB, Mittelstand und Energie, in dem die Kammer für Basisbankdienstleistungen ihren Sitz hat, in seiner Eigenschaft als für die Verarbeitung Verantwortlicher verarbeitet werden, werden im Hinblick auf die Erfüllung einer gesetzlichen Verpflichtung verarbeitet, und zwar insbesondere für:</w:t>
      </w:r>
    </w:p>
    <w:p w14:paraId="72A57C93" w14:textId="77777777" w:rsidR="00663177" w:rsidRPr="004676F5" w:rsidRDefault="00663177" w:rsidP="00663177">
      <w:pPr>
        <w:jc w:val="both"/>
        <w:rPr>
          <w:lang w:val="de-DE"/>
        </w:rPr>
      </w:pPr>
    </w:p>
    <w:p w14:paraId="51A8FF86" w14:textId="77777777" w:rsidR="00663177" w:rsidRPr="004676F5" w:rsidRDefault="00663177" w:rsidP="00663177">
      <w:pPr>
        <w:jc w:val="both"/>
        <w:rPr>
          <w:lang w:val="de-DE"/>
        </w:rPr>
      </w:pPr>
      <w:r w:rsidRPr="004676F5">
        <w:rPr>
          <w:lang w:val="de-DE"/>
        </w:rPr>
        <w:tab/>
        <w:t>1. die Führung der Verfahren in der in vorliegendem Kapitel erwähnten Kammer für Basisbankdienstleistungen,</w:t>
      </w:r>
    </w:p>
    <w:p w14:paraId="5B5F95B7" w14:textId="77777777" w:rsidR="00663177" w:rsidRPr="004676F5" w:rsidRDefault="00663177" w:rsidP="00663177">
      <w:pPr>
        <w:jc w:val="both"/>
        <w:rPr>
          <w:lang w:val="de-DE"/>
        </w:rPr>
      </w:pPr>
    </w:p>
    <w:p w14:paraId="7CFF65BE" w14:textId="77777777" w:rsidR="00663177" w:rsidRPr="004676F5" w:rsidRDefault="00663177" w:rsidP="00663177">
      <w:pPr>
        <w:jc w:val="both"/>
        <w:rPr>
          <w:lang w:val="de-DE"/>
        </w:rPr>
      </w:pPr>
      <w:r w:rsidRPr="004676F5">
        <w:rPr>
          <w:lang w:val="de-DE"/>
        </w:rPr>
        <w:tab/>
        <w:t>2. die Erstellung von Berichten und Statistiken, die es der Kammer für Basisbank</w:t>
      </w:r>
      <w:r w:rsidRPr="004676F5">
        <w:rPr>
          <w:lang w:val="de-DE"/>
        </w:rPr>
        <w:softHyphen/>
        <w:t>dienstleistungen ermöglichen, ihre Tätigkeiten zu optimieren und ihre Arbeit zu verbessern.</w:t>
      </w:r>
    </w:p>
    <w:p w14:paraId="6CEF292D" w14:textId="77777777" w:rsidR="00663177" w:rsidRPr="004676F5" w:rsidRDefault="00663177" w:rsidP="00663177">
      <w:pPr>
        <w:jc w:val="both"/>
        <w:rPr>
          <w:lang w:val="de-DE"/>
        </w:rPr>
      </w:pPr>
    </w:p>
    <w:p w14:paraId="2E0B86A1" w14:textId="77777777" w:rsidR="00663177" w:rsidRPr="004676F5" w:rsidRDefault="00663177" w:rsidP="00663177">
      <w:pPr>
        <w:jc w:val="both"/>
        <w:rPr>
          <w:lang w:val="de-DE"/>
        </w:rPr>
      </w:pPr>
      <w:r w:rsidRPr="004676F5">
        <w:rPr>
          <w:lang w:val="de-DE"/>
        </w:rPr>
        <w:tab/>
        <w:t>Zur Erfüllung dieser Ziele führt die Kammer für Basisbankdienstleistungen eine elektronische Datenbank. Diese elektronische Datenbank ist nur der Kammer für Basisbankdienstleistungen zugänglich, die sie auch verwaltet.</w:t>
      </w:r>
    </w:p>
    <w:p w14:paraId="0B389BE5" w14:textId="77777777" w:rsidR="00663177" w:rsidRPr="004676F5" w:rsidRDefault="00663177" w:rsidP="00663177">
      <w:pPr>
        <w:jc w:val="both"/>
        <w:rPr>
          <w:lang w:val="de-DE"/>
        </w:rPr>
      </w:pPr>
    </w:p>
    <w:p w14:paraId="15C145A9" w14:textId="77777777" w:rsidR="00663177" w:rsidRPr="004676F5" w:rsidRDefault="00663177" w:rsidP="00663177">
      <w:pPr>
        <w:jc w:val="both"/>
        <w:rPr>
          <w:lang w:val="de-DE"/>
        </w:rPr>
      </w:pPr>
      <w:r w:rsidRPr="004676F5">
        <w:rPr>
          <w:lang w:val="de-DE"/>
        </w:rPr>
        <w:tab/>
        <w:t>§ 2 ­ Unbeschadet der Verpflichtungen der Anbieter der Basisbankdienstleistung aus dem Gesetz vom 18. September 2017 zur Verhinderung von Geldwäsche und Terrorismus</w:t>
      </w:r>
      <w:r w:rsidRPr="004676F5">
        <w:rPr>
          <w:lang w:val="de-DE"/>
        </w:rPr>
        <w:softHyphen/>
        <w:t>finanzierung und zur Beschränkung der Nutzung von Bargeld verarbeiten Anbieter der Basisbankdienstleistung als für die Verarbeitung Verantwortliche die in Artikel VII.59/9 § 2 erwähnten personenbezogenen Daten im Hinblick auf die Erfüllung einer gesetzlichen Verpflichtung, die darin besteht, die Basisbankdienstleistung zu erbringen oder nicht zu erbringen.</w:t>
      </w:r>
    </w:p>
    <w:p w14:paraId="329A10FA" w14:textId="77777777" w:rsidR="00663177" w:rsidRPr="004676F5" w:rsidRDefault="00663177" w:rsidP="00663177">
      <w:pPr>
        <w:jc w:val="both"/>
        <w:rPr>
          <w:lang w:val="de-DE"/>
        </w:rPr>
      </w:pPr>
    </w:p>
    <w:p w14:paraId="5B8A2395" w14:textId="77777777" w:rsidR="00663177" w:rsidRPr="004676F5" w:rsidRDefault="00663177" w:rsidP="00663177">
      <w:pPr>
        <w:jc w:val="both"/>
        <w:rPr>
          <w:lang w:val="de-DE"/>
        </w:rPr>
      </w:pPr>
      <w:r w:rsidRPr="004676F5">
        <w:rPr>
          <w:lang w:val="de-DE"/>
        </w:rPr>
        <w:tab/>
        <w:t>§ 3 - Unbeschadet der Verpflichtungen der Anbieter der Basisbankdienstleistung aus dem Gesetz vom 18. September 2017 zur Verhinderung von Geldwäsche und Terrorismus</w:t>
      </w:r>
      <w:r w:rsidRPr="004676F5">
        <w:rPr>
          <w:lang w:val="de-DE"/>
        </w:rPr>
        <w:softHyphen/>
        <w:t>finanzierung und zur Beschränkung der Nutzung von Bargeld verarbeiten Anbieter der Basisbankdienstleistung und die Kammer für Basisbankdienstleistungen als gemeinsam für die Verarbeitung Verantwortliche die in Artikel VII.59/9 § 2 erwähnten personenbezogenen Daten im Hinblick auf die Überprüfung der Einhaltung der Verpflichtungen aus spezifischen zusätzlichen Maßnahmen zur Risikominderung oder aus einem Verhaltenskodex wie in Artikel VII.59/4 § 5 Absatz 1 bis 3 erwähnt. Anbieter der Basisbankdienstleistung verarbeiten diese personenbezogenen Daten im Hinblick auf die Überprüfung der Vollständigkeit des Antrags. Anbieter der Basisbankdienstleistung führen eine inhaltliche Überprüfung durch.</w:t>
      </w:r>
    </w:p>
    <w:p w14:paraId="5D83E005" w14:textId="77777777" w:rsidR="00663177" w:rsidRPr="004676F5" w:rsidRDefault="00663177" w:rsidP="00663177">
      <w:pPr>
        <w:jc w:val="both"/>
        <w:rPr>
          <w:lang w:val="de-DE"/>
        </w:rPr>
      </w:pPr>
    </w:p>
    <w:p w14:paraId="6F7A7B3B" w14:textId="77777777" w:rsidR="00663177" w:rsidRPr="004676F5" w:rsidRDefault="00663177" w:rsidP="00663177">
      <w:pPr>
        <w:jc w:val="both"/>
        <w:rPr>
          <w:lang w:val="de-DE"/>
        </w:rPr>
      </w:pPr>
      <w:r w:rsidRPr="004676F5">
        <w:rPr>
          <w:lang w:val="de-DE"/>
        </w:rPr>
        <w:tab/>
        <w:t>§ 4 - Die Verarbeitung der Daten zu anderen als den in vorliegendem Artikel vorgesehenen Zwecken, insbesondere zu kommerziellen Zwecken, ist verboten.]</w:t>
      </w:r>
    </w:p>
    <w:p w14:paraId="64BC3DCA" w14:textId="77777777" w:rsidR="00663177" w:rsidRPr="004676F5" w:rsidRDefault="00663177" w:rsidP="00663177">
      <w:pPr>
        <w:jc w:val="both"/>
        <w:rPr>
          <w:lang w:val="de-DE"/>
        </w:rPr>
      </w:pPr>
    </w:p>
    <w:p w14:paraId="3C0DF22C" w14:textId="6581C0FC" w:rsidR="002B63FD" w:rsidRPr="004676F5" w:rsidRDefault="00663177" w:rsidP="00663177">
      <w:pPr>
        <w:jc w:val="both"/>
        <w:rPr>
          <w:i/>
          <w:iCs/>
          <w:lang w:val="de-DE"/>
        </w:rPr>
      </w:pPr>
      <w:r w:rsidRPr="004676F5">
        <w:rPr>
          <w:i/>
          <w:iCs/>
          <w:lang w:val="de-DE"/>
        </w:rPr>
        <w:t>[Art. </w:t>
      </w:r>
      <w:r w:rsidR="00C60A1E">
        <w:rPr>
          <w:i/>
          <w:iCs/>
          <w:lang w:val="de-DE"/>
        </w:rPr>
        <w:t>VII.</w:t>
      </w:r>
      <w:r w:rsidRPr="004676F5">
        <w:rPr>
          <w:i/>
          <w:iCs/>
          <w:lang w:val="de-DE"/>
        </w:rPr>
        <w:t>59/10 eingefügt durch Art. 18 des G. vom 25. September 2022 (B.S. vom 16. Januar 2023)</w:t>
      </w:r>
      <w:r w:rsidR="002B63FD" w:rsidRPr="004676F5">
        <w:rPr>
          <w:i/>
          <w:iCs/>
          <w:lang w:val="de-DE"/>
        </w:rPr>
        <w:t>]</w:t>
      </w:r>
    </w:p>
    <w:p w14:paraId="556016A9" w14:textId="77777777" w:rsidR="002B63FD" w:rsidRPr="004676F5" w:rsidRDefault="002B63FD" w:rsidP="00663177">
      <w:pPr>
        <w:jc w:val="both"/>
        <w:rPr>
          <w:lang w:val="de-DE"/>
        </w:rPr>
      </w:pPr>
    </w:p>
    <w:p w14:paraId="0420BC2E" w14:textId="77777777" w:rsidR="002B63FD" w:rsidRPr="004676F5" w:rsidRDefault="002B63FD" w:rsidP="00663177">
      <w:pPr>
        <w:jc w:val="both"/>
        <w:rPr>
          <w:lang w:val="de-DE"/>
        </w:rPr>
      </w:pPr>
    </w:p>
    <w:p w14:paraId="452255DA" w14:textId="51A91363" w:rsidR="002B63FD" w:rsidRPr="004676F5" w:rsidRDefault="002B63FD" w:rsidP="002B63FD">
      <w:pPr>
        <w:jc w:val="both"/>
        <w:rPr>
          <w:lang w:val="de-DE"/>
        </w:rPr>
      </w:pPr>
      <w:r w:rsidRPr="004676F5">
        <w:rPr>
          <w:lang w:val="de-DE"/>
        </w:rPr>
        <w:tab/>
        <w:t>[</w:t>
      </w:r>
      <w:r w:rsidRPr="004676F5">
        <w:rPr>
          <w:b/>
          <w:bCs/>
          <w:lang w:val="de-DE"/>
        </w:rPr>
        <w:t>Art. VII.59/11</w:t>
      </w:r>
      <w:r w:rsidRPr="004676F5">
        <w:rPr>
          <w:lang w:val="de-DE"/>
        </w:rPr>
        <w:t xml:space="preserve"> - </w:t>
      </w:r>
      <w:r w:rsidR="00692B96" w:rsidRPr="004676F5">
        <w:rPr>
          <w:lang w:val="de-DE"/>
        </w:rPr>
        <w:t>[Am 1. Januar in Belgien ansässige Kreditinstitute wie in Artikel 14 des Gesetzes vom 25. April 2014 über den Status und die Kontrolle der Kreditinstitute erwähnt, die für Unternehmen die in Artikel I.9 Nr. 1 Buchstabe </w:t>
      </w:r>
      <w:r w:rsidR="00692B96" w:rsidRPr="004676F5">
        <w:rPr>
          <w:i/>
          <w:lang w:val="de-DE"/>
        </w:rPr>
        <w:t>a)</w:t>
      </w:r>
      <w:r w:rsidR="00692B96" w:rsidRPr="004676F5">
        <w:rPr>
          <w:lang w:val="de-DE"/>
        </w:rPr>
        <w:t xml:space="preserve">, </w:t>
      </w:r>
      <w:r w:rsidR="00692B96" w:rsidRPr="004676F5">
        <w:rPr>
          <w:i/>
          <w:lang w:val="de-DE"/>
        </w:rPr>
        <w:t>b)</w:t>
      </w:r>
      <w:r w:rsidR="00692B96" w:rsidRPr="004676F5">
        <w:rPr>
          <w:lang w:val="de-DE"/>
        </w:rPr>
        <w:t xml:space="preserve"> und </w:t>
      </w:r>
      <w:r w:rsidR="00692B96" w:rsidRPr="004676F5">
        <w:rPr>
          <w:i/>
          <w:lang w:val="de-DE"/>
        </w:rPr>
        <w:t>c)</w:t>
      </w:r>
      <w:r w:rsidR="00692B96" w:rsidRPr="004676F5">
        <w:rPr>
          <w:lang w:val="de-DE"/>
        </w:rPr>
        <w:t xml:space="preserve"> erwähnten Zahlungsdienste erbringen, tragen jedes Jahr zu den Betriebskosten der Kammer für Basisbankdienstleistungen bei.]</w:t>
      </w:r>
    </w:p>
    <w:p w14:paraId="5144612A" w14:textId="77777777" w:rsidR="002B63FD" w:rsidRPr="004676F5" w:rsidRDefault="002B63FD" w:rsidP="002B63FD">
      <w:pPr>
        <w:jc w:val="both"/>
        <w:rPr>
          <w:lang w:val="de-DE"/>
        </w:rPr>
      </w:pPr>
    </w:p>
    <w:p w14:paraId="47506159" w14:textId="77777777" w:rsidR="002B63FD" w:rsidRPr="004676F5" w:rsidRDefault="002B63FD" w:rsidP="002B63FD">
      <w:pPr>
        <w:jc w:val="both"/>
        <w:rPr>
          <w:lang w:val="de-DE"/>
        </w:rPr>
      </w:pPr>
      <w:r w:rsidRPr="004676F5">
        <w:rPr>
          <w:lang w:val="de-DE"/>
        </w:rPr>
        <w:tab/>
        <w:t>Die Höhe des in Absatz 1 erwähnten Beitrags entspricht dem Gesamtbetrag der voraussichtlichen jährlichen Betriebskosten der Kammer für Basisbankdienstleistungen. Der Jahresbeitrag ist in einem Mal und unteilbar zu entrichten.</w:t>
      </w:r>
    </w:p>
    <w:p w14:paraId="71B36C0B" w14:textId="77777777" w:rsidR="002B63FD" w:rsidRPr="004676F5" w:rsidRDefault="002B63FD" w:rsidP="002B63FD">
      <w:pPr>
        <w:jc w:val="both"/>
        <w:rPr>
          <w:lang w:val="de-DE"/>
        </w:rPr>
      </w:pPr>
    </w:p>
    <w:p w14:paraId="0B44E49A" w14:textId="648BBC8A" w:rsidR="002B63FD" w:rsidRPr="004676F5" w:rsidRDefault="002B63FD" w:rsidP="002B63FD">
      <w:pPr>
        <w:jc w:val="both"/>
        <w:rPr>
          <w:lang w:val="de-DE"/>
        </w:rPr>
      </w:pPr>
      <w:r w:rsidRPr="004676F5">
        <w:rPr>
          <w:lang w:val="de-DE"/>
        </w:rPr>
        <w:tab/>
        <w:t xml:space="preserve">Der König bestimmt die Berechnungsgrundlage für den in Absatz 1 erwähnten Beitrag und </w:t>
      </w:r>
      <w:r w:rsidR="00692B96" w:rsidRPr="004676F5">
        <w:rPr>
          <w:lang w:val="de-DE"/>
        </w:rPr>
        <w:t>[den Marktanteil, den die in Absatz 1 erwähnten Kreditinstitute haben müssen]</w:t>
      </w:r>
      <w:r w:rsidRPr="004676F5">
        <w:rPr>
          <w:lang w:val="de-DE"/>
        </w:rPr>
        <w:t>.</w:t>
      </w:r>
    </w:p>
    <w:p w14:paraId="6D028C22" w14:textId="77777777" w:rsidR="002B63FD" w:rsidRPr="004676F5" w:rsidRDefault="002B63FD" w:rsidP="002B63FD">
      <w:pPr>
        <w:jc w:val="both"/>
        <w:rPr>
          <w:lang w:val="de-DE"/>
        </w:rPr>
      </w:pPr>
    </w:p>
    <w:p w14:paraId="15C6EA4B" w14:textId="77777777" w:rsidR="002B63FD" w:rsidRPr="004676F5" w:rsidRDefault="002B63FD" w:rsidP="002B63FD">
      <w:pPr>
        <w:jc w:val="both"/>
        <w:rPr>
          <w:lang w:val="de-DE"/>
        </w:rPr>
      </w:pPr>
      <w:r w:rsidRPr="004676F5">
        <w:rPr>
          <w:lang w:val="de-DE"/>
        </w:rPr>
        <w:tab/>
        <w:t>Die Belgische Nationalbank stellt der Kammer für Basisbankdienstleistungen genaue und vollständige Informationen zur Verfügung, die die Kammer für Basisbankdienstleistungen benötigt, um festzulegen, wie der in Absatz 1 erwähnte Beitrag berechnet wird.</w:t>
      </w:r>
    </w:p>
    <w:p w14:paraId="0B16EF21" w14:textId="77777777" w:rsidR="002B63FD" w:rsidRPr="004676F5" w:rsidRDefault="002B63FD" w:rsidP="002B63FD">
      <w:pPr>
        <w:jc w:val="both"/>
        <w:rPr>
          <w:lang w:val="de-DE"/>
        </w:rPr>
      </w:pPr>
    </w:p>
    <w:p w14:paraId="09E07B17" w14:textId="77777777" w:rsidR="002B63FD" w:rsidRPr="004676F5" w:rsidRDefault="002B63FD" w:rsidP="002B63FD">
      <w:pPr>
        <w:jc w:val="both"/>
        <w:rPr>
          <w:lang w:val="de-DE"/>
        </w:rPr>
      </w:pPr>
      <w:r w:rsidRPr="004676F5">
        <w:rPr>
          <w:lang w:val="de-DE"/>
        </w:rPr>
        <w:tab/>
        <w:t>Auf Ersuchen des Föderalen Öffentlichen Dienstes Wirtschaft sind die Beitragspflichtigen verpflichtet, den geschuldeten Beitrag dem Einnahmenkonto des Föderalen Öffentlichen Dienstes Wirtschaft zuzuführen. Das Ersuchen erfolgt schriftlich. Die Beitragspflichtigen zahlen den Beitrag nicht später als einen Monat ab dem Tag nach Zustellung des entsprechenden Einschreibens.</w:t>
      </w:r>
    </w:p>
    <w:p w14:paraId="03DEDA61" w14:textId="77777777" w:rsidR="002B63FD" w:rsidRPr="004676F5" w:rsidRDefault="002B63FD" w:rsidP="002B63FD">
      <w:pPr>
        <w:jc w:val="both"/>
        <w:rPr>
          <w:lang w:val="de-DE"/>
        </w:rPr>
      </w:pPr>
    </w:p>
    <w:p w14:paraId="3BE95893" w14:textId="77777777" w:rsidR="002B63FD" w:rsidRPr="004676F5" w:rsidRDefault="002B63FD" w:rsidP="002B63FD">
      <w:pPr>
        <w:jc w:val="both"/>
        <w:rPr>
          <w:lang w:val="de-DE"/>
        </w:rPr>
      </w:pPr>
      <w:r w:rsidRPr="004676F5">
        <w:rPr>
          <w:lang w:val="de-DE"/>
        </w:rPr>
        <w:tab/>
        <w:t>Nicht gezahlte Beiträge werden gemäß den Artikeln 3 und 4 des Domanialgesetzes vom 22. Dezember 1949 von der mit Einnahme und Beitreibung von Steuerforderungen und nichtsteuerlichen Forderungen beauftragten Verwaltung des Föderalen Öffentlichen Dienstes Finanzen beigetrieben.]</w:t>
      </w:r>
    </w:p>
    <w:p w14:paraId="1D2D8780" w14:textId="77777777" w:rsidR="002B63FD" w:rsidRPr="004676F5" w:rsidRDefault="002B63FD" w:rsidP="002B63FD">
      <w:pPr>
        <w:jc w:val="both"/>
        <w:rPr>
          <w:lang w:val="de-DE"/>
        </w:rPr>
      </w:pPr>
    </w:p>
    <w:p w14:paraId="2C143129" w14:textId="63405663" w:rsidR="00C76F75" w:rsidRPr="004676F5" w:rsidRDefault="002B63FD" w:rsidP="002B63FD">
      <w:pPr>
        <w:jc w:val="both"/>
        <w:rPr>
          <w:lang w:val="de-DE"/>
        </w:rPr>
      </w:pPr>
      <w:r w:rsidRPr="004676F5">
        <w:rPr>
          <w:i/>
          <w:iCs/>
          <w:lang w:val="de-DE"/>
        </w:rPr>
        <w:t>[Art. </w:t>
      </w:r>
      <w:r w:rsidR="00C60A1E">
        <w:rPr>
          <w:i/>
          <w:iCs/>
          <w:lang w:val="de-DE"/>
        </w:rPr>
        <w:t>VII.</w:t>
      </w:r>
      <w:r w:rsidRPr="004676F5">
        <w:rPr>
          <w:i/>
          <w:iCs/>
          <w:lang w:val="de-DE"/>
        </w:rPr>
        <w:t>59/11 eingefügt durch Art. 19 des G. vom 25. September 2022 (B.S. vom 16. Januar 2023)</w:t>
      </w:r>
      <w:r w:rsidR="00692B96" w:rsidRPr="004676F5">
        <w:rPr>
          <w:i/>
          <w:iCs/>
          <w:lang w:val="de-DE"/>
        </w:rPr>
        <w:t>; Abs. 1 ersetzt durch Art. 16 Nr. 1 des G. vom 5. November 2023</w:t>
      </w:r>
      <w:r w:rsidR="003454B3" w:rsidRPr="004676F5">
        <w:rPr>
          <w:i/>
          <w:iCs/>
          <w:lang w:val="de-DE"/>
        </w:rPr>
        <w:t xml:space="preserve"> (I)</w:t>
      </w:r>
      <w:r w:rsidR="00692B96" w:rsidRPr="004676F5">
        <w:rPr>
          <w:i/>
          <w:iCs/>
          <w:lang w:val="de-DE"/>
        </w:rPr>
        <w:t xml:space="preserve"> (B.S. vom 11. Dezember 2023); Abs. 3 abgeändert durch Art. 16 Nr. 2 des G. vom 5. November 2023</w:t>
      </w:r>
      <w:r w:rsidR="003454B3" w:rsidRPr="004676F5">
        <w:rPr>
          <w:i/>
          <w:iCs/>
          <w:lang w:val="de-DE"/>
        </w:rPr>
        <w:t xml:space="preserve"> (I)</w:t>
      </w:r>
      <w:r w:rsidR="00692B96" w:rsidRPr="004676F5">
        <w:rPr>
          <w:i/>
          <w:iCs/>
          <w:lang w:val="de-DE"/>
        </w:rPr>
        <w:t xml:space="preserve"> (B.S. vom 11. Dezember 2023)</w:t>
      </w:r>
      <w:r w:rsidRPr="004676F5">
        <w:rPr>
          <w:i/>
          <w:iCs/>
          <w:lang w:val="de-DE"/>
        </w:rPr>
        <w:t>]</w:t>
      </w:r>
      <w:r w:rsidR="00C76F75" w:rsidRPr="004676F5">
        <w:rPr>
          <w:lang w:val="de-DE"/>
        </w:rPr>
        <w:br w:type="page"/>
      </w:r>
    </w:p>
    <w:p w14:paraId="1DAEB136" w14:textId="11686DC7" w:rsidR="00881814" w:rsidRPr="004676F5" w:rsidRDefault="00881814" w:rsidP="00881814">
      <w:pPr>
        <w:jc w:val="center"/>
        <w:rPr>
          <w:lang w:val="de-DE"/>
        </w:rPr>
      </w:pPr>
      <w:r w:rsidRPr="004676F5">
        <w:rPr>
          <w:lang w:val="de-DE"/>
        </w:rPr>
        <w:lastRenderedPageBreak/>
        <w:t xml:space="preserve">KAPITEL 9 </w:t>
      </w:r>
      <w:r w:rsidR="005B7A5C" w:rsidRPr="004676F5">
        <w:rPr>
          <w:lang w:val="de-DE"/>
        </w:rPr>
        <w:t>- </w:t>
      </w:r>
      <w:r w:rsidRPr="004676F5">
        <w:rPr>
          <w:i/>
          <w:lang w:val="de-DE"/>
        </w:rPr>
        <w:t>Ausgabe und Rücktauschbarkeit von elektronischem Geld und Verbot der Verzinsung</w:t>
      </w:r>
    </w:p>
    <w:p w14:paraId="51D12AC0" w14:textId="77777777" w:rsidR="00881814" w:rsidRPr="004676F5" w:rsidRDefault="00881814" w:rsidP="00881814">
      <w:pPr>
        <w:ind w:firstLine="708"/>
        <w:jc w:val="both"/>
        <w:rPr>
          <w:lang w:val="de-DE"/>
        </w:rPr>
      </w:pPr>
    </w:p>
    <w:p w14:paraId="6061E230" w14:textId="77777777" w:rsidR="009E165E" w:rsidRPr="004676F5" w:rsidRDefault="009E165E" w:rsidP="00881814">
      <w:pPr>
        <w:ind w:firstLine="708"/>
        <w:jc w:val="both"/>
        <w:rPr>
          <w:lang w:val="de-DE"/>
        </w:rPr>
      </w:pPr>
    </w:p>
    <w:p w14:paraId="262F2E7F" w14:textId="62AB5C63" w:rsidR="00881814" w:rsidRPr="004676F5" w:rsidRDefault="00BE0A56" w:rsidP="00881814">
      <w:pPr>
        <w:ind w:firstLine="708"/>
        <w:jc w:val="both"/>
        <w:rPr>
          <w:lang w:val="de-DE"/>
        </w:rPr>
      </w:pPr>
      <w:r w:rsidRPr="004676F5">
        <w:rPr>
          <w:b/>
          <w:lang w:val="de-DE"/>
        </w:rPr>
        <w:t>Art. </w:t>
      </w:r>
      <w:r w:rsidR="00881814" w:rsidRPr="004676F5">
        <w:rPr>
          <w:b/>
          <w:lang w:val="de-DE"/>
        </w:rPr>
        <w:t>VII.60</w:t>
      </w:r>
      <w:r w:rsidR="00881814" w:rsidRPr="004676F5">
        <w:rPr>
          <w:lang w:val="de-DE"/>
        </w:rPr>
        <w:t> </w:t>
      </w:r>
      <w:r w:rsidR="005B7A5C" w:rsidRPr="004676F5">
        <w:rPr>
          <w:lang w:val="de-DE"/>
        </w:rPr>
        <w:t>- </w:t>
      </w:r>
      <w:r w:rsidR="00881814" w:rsidRPr="004676F5">
        <w:rPr>
          <w:lang w:val="de-DE"/>
        </w:rPr>
        <w:t>E-Geld-Emittenten geben elektronisches Geld zum Nennwert des entgegengenommenen Geldbetrags aus.</w:t>
      </w:r>
    </w:p>
    <w:p w14:paraId="7B17768E" w14:textId="77777777" w:rsidR="00881814" w:rsidRPr="004676F5" w:rsidRDefault="00881814" w:rsidP="00881814">
      <w:pPr>
        <w:ind w:firstLine="708"/>
        <w:jc w:val="both"/>
        <w:rPr>
          <w:lang w:val="de-DE"/>
        </w:rPr>
      </w:pPr>
    </w:p>
    <w:p w14:paraId="4E2C1D2C" w14:textId="77777777" w:rsidR="009E165E" w:rsidRPr="004676F5" w:rsidRDefault="009E165E" w:rsidP="00881814">
      <w:pPr>
        <w:ind w:firstLine="708"/>
        <w:jc w:val="both"/>
        <w:rPr>
          <w:lang w:val="de-DE"/>
        </w:rPr>
      </w:pPr>
    </w:p>
    <w:p w14:paraId="0D67F6EE" w14:textId="31157F9F" w:rsidR="00881814" w:rsidRPr="004676F5" w:rsidRDefault="00BE0A56" w:rsidP="00881814">
      <w:pPr>
        <w:ind w:firstLine="708"/>
        <w:jc w:val="both"/>
        <w:rPr>
          <w:lang w:val="de-DE"/>
        </w:rPr>
      </w:pPr>
      <w:r w:rsidRPr="004676F5">
        <w:rPr>
          <w:b/>
          <w:lang w:val="de-DE"/>
        </w:rPr>
        <w:t>Art. </w:t>
      </w:r>
      <w:r w:rsidR="00881814" w:rsidRPr="004676F5">
        <w:rPr>
          <w:b/>
          <w:lang w:val="de-DE"/>
        </w:rPr>
        <w:t>VII.61</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E-Geld-Emittenten erstatten den monetären Wert des gehaltenen elektronischen Geldes auf Verlangen des E-Geld-Inhabers jederzeit zum Nennwert</w:t>
      </w:r>
      <w:r w:rsidR="00447FDE" w:rsidRPr="004676F5">
        <w:rPr>
          <w:lang w:val="de-DE"/>
        </w:rPr>
        <w:t xml:space="preserve"> [in einem gesetzlichen Zahlungsmittel im Sinne der Verordnung (EG) Nr. 974/98 des Rates vom 3. Mai 1998 über die Einführung des Euro]</w:t>
      </w:r>
      <w:r w:rsidR="00881814" w:rsidRPr="004676F5">
        <w:rPr>
          <w:lang w:val="de-DE"/>
        </w:rPr>
        <w:t>.</w:t>
      </w:r>
    </w:p>
    <w:p w14:paraId="6878C90C" w14:textId="77777777" w:rsidR="00881814" w:rsidRPr="004676F5" w:rsidRDefault="00881814" w:rsidP="00881814">
      <w:pPr>
        <w:ind w:firstLine="708"/>
        <w:jc w:val="both"/>
        <w:rPr>
          <w:lang w:val="de-DE"/>
        </w:rPr>
      </w:pPr>
    </w:p>
    <w:p w14:paraId="7CC5C139" w14:textId="1067110A"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Im Vertrag zwischen dem E-Geld-Emittenten und dem E-Geld-Inhaber sind Rücktauschbedingungen, einschließlich etwaiger diesbezüglicher Entgelte, eindeutig und deutlich erkennbar anzugeben; der E-Geld-Inhaber ist über diese Bedingungen zu informieren, bevor er durch einen Vertrag oder ein Angebot gebunden wird.</w:t>
      </w:r>
    </w:p>
    <w:p w14:paraId="4992AF2D" w14:textId="77777777" w:rsidR="00881814" w:rsidRPr="004676F5" w:rsidRDefault="00881814" w:rsidP="00881814">
      <w:pPr>
        <w:rPr>
          <w:lang w:val="de-DE"/>
        </w:rPr>
      </w:pPr>
    </w:p>
    <w:p w14:paraId="1B573AC6" w14:textId="30E6339F"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Bei Rücktausch fällt nur dann ein Entgelt an, wenn dies gemäß § 2 im Vertrag geregelt wurde, und nur in folgenden Fällen:</w:t>
      </w:r>
    </w:p>
    <w:p w14:paraId="7C768735" w14:textId="77777777" w:rsidR="00881814" w:rsidRPr="004676F5" w:rsidRDefault="00881814" w:rsidP="00881814">
      <w:pPr>
        <w:ind w:firstLine="708"/>
        <w:jc w:val="both"/>
        <w:rPr>
          <w:lang w:val="de-DE"/>
        </w:rPr>
      </w:pPr>
    </w:p>
    <w:p w14:paraId="6A2DEED1" w14:textId="77777777" w:rsidR="00881814" w:rsidRPr="004676F5" w:rsidRDefault="00881814" w:rsidP="00881814">
      <w:pPr>
        <w:ind w:firstLine="708"/>
        <w:jc w:val="both"/>
        <w:rPr>
          <w:lang w:val="de-DE"/>
        </w:rPr>
      </w:pPr>
      <w:r w:rsidRPr="004676F5">
        <w:rPr>
          <w:lang w:val="de-DE"/>
        </w:rPr>
        <w:t>1. wenn vor Vertragsablauf ein Rücktausch verlangt wird,</w:t>
      </w:r>
    </w:p>
    <w:p w14:paraId="7F2FBDC9" w14:textId="77777777" w:rsidR="00881814" w:rsidRPr="004676F5" w:rsidRDefault="00881814" w:rsidP="00881814">
      <w:pPr>
        <w:ind w:firstLine="708"/>
        <w:jc w:val="both"/>
        <w:rPr>
          <w:lang w:val="de-DE"/>
        </w:rPr>
      </w:pPr>
    </w:p>
    <w:p w14:paraId="6590BD81" w14:textId="77777777" w:rsidR="00881814" w:rsidRPr="004676F5" w:rsidRDefault="00881814" w:rsidP="00881814">
      <w:pPr>
        <w:ind w:firstLine="708"/>
        <w:jc w:val="both"/>
        <w:rPr>
          <w:lang w:val="de-DE"/>
        </w:rPr>
      </w:pPr>
      <w:r w:rsidRPr="004676F5">
        <w:rPr>
          <w:lang w:val="de-DE"/>
        </w:rPr>
        <w:t>2. wenn vertraglich ein Ablaufdatum vereinbart wurde und der E-Geld-Inhaber den Vertrag vorher beendet hat oder</w:t>
      </w:r>
    </w:p>
    <w:p w14:paraId="7CC2F6DE" w14:textId="77777777" w:rsidR="00881814" w:rsidRPr="004676F5" w:rsidRDefault="00881814" w:rsidP="00881814">
      <w:pPr>
        <w:ind w:firstLine="708"/>
        <w:jc w:val="both"/>
        <w:rPr>
          <w:lang w:val="de-DE"/>
        </w:rPr>
      </w:pPr>
    </w:p>
    <w:p w14:paraId="5E85B043" w14:textId="77777777" w:rsidR="00881814" w:rsidRPr="004676F5" w:rsidRDefault="00881814" w:rsidP="00881814">
      <w:pPr>
        <w:ind w:firstLine="708"/>
        <w:jc w:val="both"/>
        <w:rPr>
          <w:lang w:val="de-DE"/>
        </w:rPr>
      </w:pPr>
      <w:r w:rsidRPr="004676F5">
        <w:rPr>
          <w:lang w:val="de-DE"/>
        </w:rPr>
        <w:t xml:space="preserve">3. wenn der Rücktausch mehr als ein Jahr nach Vertragsablauf verlangt wird. </w:t>
      </w:r>
    </w:p>
    <w:p w14:paraId="49C7DFDE" w14:textId="77777777" w:rsidR="00881814" w:rsidRPr="004676F5" w:rsidRDefault="00881814" w:rsidP="00881814">
      <w:pPr>
        <w:ind w:firstLine="708"/>
        <w:jc w:val="both"/>
        <w:rPr>
          <w:lang w:val="de-DE"/>
        </w:rPr>
      </w:pPr>
    </w:p>
    <w:p w14:paraId="13E42636" w14:textId="77777777" w:rsidR="00881814" w:rsidRPr="004676F5" w:rsidRDefault="00881814" w:rsidP="00881814">
      <w:pPr>
        <w:ind w:firstLine="708"/>
        <w:jc w:val="both"/>
        <w:rPr>
          <w:lang w:val="de-DE"/>
        </w:rPr>
      </w:pPr>
      <w:r w:rsidRPr="004676F5">
        <w:rPr>
          <w:lang w:val="de-DE"/>
        </w:rPr>
        <w:t>Ein solches Entgelt muss in einem angemessenen Verhältnis zu den tatsächlich entstandenen Kosten des E-Geld-Emittenten stehen.</w:t>
      </w:r>
    </w:p>
    <w:p w14:paraId="329AA1F0" w14:textId="77777777" w:rsidR="00881814" w:rsidRPr="004676F5" w:rsidRDefault="00881814" w:rsidP="00881814">
      <w:pPr>
        <w:ind w:firstLine="708"/>
        <w:jc w:val="both"/>
        <w:rPr>
          <w:lang w:val="de-DE"/>
        </w:rPr>
      </w:pPr>
    </w:p>
    <w:p w14:paraId="71433021" w14:textId="77777777" w:rsidR="00881814" w:rsidRPr="004676F5" w:rsidRDefault="00881814" w:rsidP="00881814">
      <w:pPr>
        <w:ind w:firstLine="708"/>
        <w:jc w:val="both"/>
        <w:rPr>
          <w:lang w:val="de-DE"/>
        </w:rPr>
      </w:pPr>
      <w:r w:rsidRPr="004676F5">
        <w:rPr>
          <w:lang w:val="de-DE"/>
        </w:rPr>
        <w:t>Der König kann Kriterien festlegen, um die tatsächlich entstandenen Kosten des E-Geld-Emittenten zu bestimmen.</w:t>
      </w:r>
    </w:p>
    <w:p w14:paraId="399A47D1" w14:textId="77777777" w:rsidR="00881814" w:rsidRPr="004676F5" w:rsidRDefault="00881814" w:rsidP="00881814">
      <w:pPr>
        <w:ind w:firstLine="708"/>
        <w:jc w:val="both"/>
        <w:rPr>
          <w:lang w:val="de-DE"/>
        </w:rPr>
      </w:pPr>
    </w:p>
    <w:p w14:paraId="6EC1F111" w14:textId="4F13C369" w:rsidR="00881814" w:rsidRPr="004676F5" w:rsidRDefault="00881814" w:rsidP="00881814">
      <w:pPr>
        <w:ind w:firstLine="708"/>
        <w:jc w:val="both"/>
        <w:rPr>
          <w:lang w:val="de-DE"/>
        </w:rPr>
      </w:pPr>
      <w:r w:rsidRPr="004676F5">
        <w:rPr>
          <w:lang w:val="de-DE"/>
        </w:rPr>
        <w:t>§ 4 </w:t>
      </w:r>
      <w:r w:rsidR="005B7A5C" w:rsidRPr="004676F5">
        <w:rPr>
          <w:lang w:val="de-DE"/>
        </w:rPr>
        <w:t>- </w:t>
      </w:r>
      <w:r w:rsidRPr="004676F5">
        <w:rPr>
          <w:lang w:val="de-DE"/>
        </w:rPr>
        <w:t>Wird der Rücktausch vor Vertragsablauf verlangt, kann der E-Geld-Inhaber entweder einen Teil oder den gesamten Betrag des elektronischen Geldes verlangen.</w:t>
      </w:r>
    </w:p>
    <w:p w14:paraId="214A18B5" w14:textId="77777777" w:rsidR="00881814" w:rsidRPr="004676F5" w:rsidRDefault="00881814" w:rsidP="00881814">
      <w:pPr>
        <w:ind w:firstLine="708"/>
        <w:jc w:val="both"/>
        <w:rPr>
          <w:lang w:val="de-DE"/>
        </w:rPr>
      </w:pPr>
    </w:p>
    <w:p w14:paraId="32A2913A" w14:textId="5C369C57" w:rsidR="00881814" w:rsidRPr="004676F5" w:rsidRDefault="00881814" w:rsidP="00881814">
      <w:pPr>
        <w:ind w:firstLine="708"/>
        <w:jc w:val="both"/>
        <w:rPr>
          <w:lang w:val="de-DE"/>
        </w:rPr>
      </w:pPr>
      <w:r w:rsidRPr="004676F5">
        <w:rPr>
          <w:lang w:val="de-DE"/>
        </w:rPr>
        <w:t xml:space="preserve">§ 5 </w:t>
      </w:r>
      <w:r w:rsidR="005B7A5C" w:rsidRPr="004676F5">
        <w:rPr>
          <w:lang w:val="de-DE"/>
        </w:rPr>
        <w:t>- </w:t>
      </w:r>
      <w:r w:rsidRPr="004676F5">
        <w:rPr>
          <w:lang w:val="de-DE"/>
        </w:rPr>
        <w:t>Wird der Rücktausch vom E-Geld-Inhaber zum Vertragsablauf oder bis zu einem Jahr nach Vertragsablauf gefordert, wird:</w:t>
      </w:r>
    </w:p>
    <w:p w14:paraId="21AA1DC3" w14:textId="77777777" w:rsidR="00881814" w:rsidRPr="004676F5" w:rsidRDefault="00881814" w:rsidP="00881814">
      <w:pPr>
        <w:ind w:firstLine="708"/>
        <w:jc w:val="both"/>
        <w:rPr>
          <w:lang w:val="de-DE"/>
        </w:rPr>
      </w:pPr>
    </w:p>
    <w:p w14:paraId="16448474" w14:textId="77777777" w:rsidR="00881814" w:rsidRPr="004676F5" w:rsidRDefault="00881814" w:rsidP="00881814">
      <w:pPr>
        <w:ind w:firstLine="708"/>
        <w:jc w:val="both"/>
        <w:rPr>
          <w:lang w:val="de-DE"/>
        </w:rPr>
      </w:pPr>
      <w:r w:rsidRPr="004676F5">
        <w:rPr>
          <w:lang w:val="de-DE"/>
        </w:rPr>
        <w:t>1. der gesamte Nennwert des gehaltenen elektronischen Geldes erstattet oder</w:t>
      </w:r>
    </w:p>
    <w:p w14:paraId="5D9A1BF9" w14:textId="77777777" w:rsidR="00881814" w:rsidRPr="004676F5" w:rsidRDefault="00881814" w:rsidP="00881814">
      <w:pPr>
        <w:ind w:firstLine="708"/>
        <w:jc w:val="both"/>
        <w:rPr>
          <w:lang w:val="de-DE"/>
        </w:rPr>
      </w:pPr>
    </w:p>
    <w:p w14:paraId="7C300462" w14:textId="77777777" w:rsidR="00881814" w:rsidRPr="004676F5" w:rsidRDefault="00881814" w:rsidP="00881814">
      <w:pPr>
        <w:ind w:firstLine="708"/>
        <w:jc w:val="both"/>
        <w:rPr>
          <w:lang w:val="de-DE"/>
        </w:rPr>
      </w:pPr>
      <w:r w:rsidRPr="004676F5">
        <w:rPr>
          <w:lang w:val="de-DE"/>
        </w:rPr>
        <w:t>2. der Gesamtbetrag, den der E-Geld-Inhaber fordert, erstattet, falls ein E-Geld-Institut eine oder mehrere Tätigkeiten gemäß Artikel 77 § 1 des Gesetzes vom 21. Dezember 2009 ausübt und im Voraus nicht bekannt ist, welcher Anteil der Geldbeträge als elektronisches Geld verwendet werden soll.</w:t>
      </w:r>
    </w:p>
    <w:p w14:paraId="59251724" w14:textId="77777777" w:rsidR="00881814" w:rsidRPr="004676F5" w:rsidRDefault="00881814" w:rsidP="00881814">
      <w:pPr>
        <w:ind w:firstLine="708"/>
        <w:jc w:val="both"/>
        <w:rPr>
          <w:lang w:val="de-DE"/>
        </w:rPr>
      </w:pPr>
    </w:p>
    <w:p w14:paraId="7EF59D83" w14:textId="68914B15" w:rsidR="00881814" w:rsidRPr="004676F5" w:rsidRDefault="00881814" w:rsidP="00881814">
      <w:pPr>
        <w:ind w:firstLine="708"/>
        <w:jc w:val="both"/>
        <w:rPr>
          <w:lang w:val="de-DE"/>
        </w:rPr>
      </w:pPr>
      <w:r w:rsidRPr="004676F5">
        <w:rPr>
          <w:lang w:val="de-DE"/>
        </w:rPr>
        <w:t>§ 6 </w:t>
      </w:r>
      <w:r w:rsidR="005B7A5C" w:rsidRPr="004676F5">
        <w:rPr>
          <w:lang w:val="de-DE"/>
        </w:rPr>
        <w:t>- </w:t>
      </w:r>
      <w:r w:rsidR="0089425C" w:rsidRPr="004676F5">
        <w:rPr>
          <w:lang w:val="de-DE"/>
        </w:rPr>
        <w:t xml:space="preserve">[Personen, die elektronisches Geld akzeptieren, haben jederzeit Anspruch auf Erstattung des monetären Nennwerts des entgegengenommenen elektronischen Geldes in einem gesetzlichen Zahlungsmittel im Sinne der Verordnung (EG) Nr. 974/98 des Rates vom 3. Mai 1998 über die Einführung des Euro. Von den Paragraphen 3 bis 5 kann zum Nachteil </w:t>
      </w:r>
      <w:r w:rsidR="0089425C" w:rsidRPr="004676F5">
        <w:rPr>
          <w:lang w:val="de-DE"/>
        </w:rPr>
        <w:lastRenderedPageBreak/>
        <w:t>der Person, die elektronisches Geld annimmt, nur abgewichen werden, sofern es sich bei dieser Person nicht um einen Verbraucher handelt.]</w:t>
      </w:r>
    </w:p>
    <w:p w14:paraId="0C8B0588" w14:textId="4C5FEF06" w:rsidR="0089425C" w:rsidRPr="004676F5" w:rsidRDefault="0089425C" w:rsidP="00881814">
      <w:pPr>
        <w:ind w:firstLine="708"/>
        <w:jc w:val="both"/>
        <w:rPr>
          <w:lang w:val="de-DE"/>
        </w:rPr>
      </w:pPr>
    </w:p>
    <w:p w14:paraId="17619100" w14:textId="4FBECE57" w:rsidR="0089425C" w:rsidRPr="004676F5" w:rsidRDefault="0089425C" w:rsidP="0089425C">
      <w:pPr>
        <w:jc w:val="both"/>
        <w:rPr>
          <w:i/>
          <w:iCs/>
          <w:lang w:val="de-DE"/>
        </w:rPr>
      </w:pPr>
      <w:r w:rsidRPr="004676F5">
        <w:rPr>
          <w:i/>
          <w:iCs/>
          <w:lang w:val="de-DE"/>
        </w:rPr>
        <w:t>[Art. VII.61 § 1 ergänzt durch Art. 11 Nr. 1</w:t>
      </w:r>
      <w:r w:rsidRPr="004676F5">
        <w:rPr>
          <w:i/>
          <w:lang w:val="de-DE"/>
        </w:rPr>
        <w:t xml:space="preserve"> des G. vom 30. Juli 2018 (II) (B.S. vom 5. September 2018); § 6 ersetzt durch Art. 11 Nr. 2 des G. vom 30. Juli 2018 (II) (B.S. vom 5. September 2018)]</w:t>
      </w:r>
    </w:p>
    <w:p w14:paraId="2FA897D6" w14:textId="77777777" w:rsidR="00881814" w:rsidRPr="004676F5" w:rsidRDefault="00881814" w:rsidP="00881814">
      <w:pPr>
        <w:ind w:firstLine="708"/>
        <w:jc w:val="both"/>
        <w:rPr>
          <w:lang w:val="de-DE"/>
        </w:rPr>
      </w:pPr>
    </w:p>
    <w:p w14:paraId="71D5C049" w14:textId="77777777" w:rsidR="009E165E" w:rsidRPr="004676F5" w:rsidRDefault="009E165E" w:rsidP="00881814">
      <w:pPr>
        <w:ind w:firstLine="708"/>
        <w:jc w:val="both"/>
        <w:rPr>
          <w:lang w:val="de-DE"/>
        </w:rPr>
      </w:pPr>
    </w:p>
    <w:p w14:paraId="303E9EAA" w14:textId="26437059" w:rsidR="00881814" w:rsidRPr="004676F5" w:rsidRDefault="00BE0A56" w:rsidP="00881814">
      <w:pPr>
        <w:ind w:firstLine="708"/>
        <w:jc w:val="both"/>
        <w:rPr>
          <w:lang w:val="de-DE"/>
        </w:rPr>
      </w:pPr>
      <w:r w:rsidRPr="004676F5">
        <w:rPr>
          <w:b/>
          <w:lang w:val="de-DE"/>
        </w:rPr>
        <w:t>Art. </w:t>
      </w:r>
      <w:r w:rsidR="00881814" w:rsidRPr="004676F5">
        <w:rPr>
          <w:b/>
          <w:lang w:val="de-DE"/>
        </w:rPr>
        <w:t>VII.62</w:t>
      </w:r>
      <w:r w:rsidR="00881814" w:rsidRPr="004676F5">
        <w:rPr>
          <w:lang w:val="de-DE"/>
        </w:rPr>
        <w:t> </w:t>
      </w:r>
      <w:r w:rsidR="005B7A5C" w:rsidRPr="004676F5">
        <w:rPr>
          <w:lang w:val="de-DE"/>
        </w:rPr>
        <w:t>- </w:t>
      </w:r>
      <w:r w:rsidR="00881814" w:rsidRPr="004676F5">
        <w:rPr>
          <w:lang w:val="de-DE"/>
        </w:rPr>
        <w:t>E-Geld-Emittenten dürfen keine Zinsen oder anderen Vorteile gewähren, die im Zusammenhang mit dem Zeitraum stehen, in dem ein E-Geld-Inhaber das elektronische Geld hält.</w:t>
      </w:r>
    </w:p>
    <w:p w14:paraId="6D59BA32" w14:textId="77777777" w:rsidR="00881814" w:rsidRPr="004676F5" w:rsidRDefault="00881814" w:rsidP="00881814">
      <w:pPr>
        <w:ind w:firstLine="708"/>
        <w:jc w:val="both"/>
        <w:rPr>
          <w:lang w:val="de-DE"/>
        </w:rPr>
      </w:pPr>
    </w:p>
    <w:p w14:paraId="2648F339" w14:textId="1B41417F" w:rsidR="00D42676" w:rsidRPr="004676F5" w:rsidRDefault="00D42676">
      <w:pPr>
        <w:rPr>
          <w:lang w:val="de-DE"/>
        </w:rPr>
      </w:pPr>
      <w:r w:rsidRPr="004676F5">
        <w:rPr>
          <w:lang w:val="de-DE"/>
        </w:rPr>
        <w:br w:type="page"/>
      </w:r>
    </w:p>
    <w:p w14:paraId="317A5338" w14:textId="3B42CAB1" w:rsidR="009E165E" w:rsidRPr="004676F5" w:rsidRDefault="00D42676" w:rsidP="00D42676">
      <w:pPr>
        <w:jc w:val="center"/>
        <w:rPr>
          <w:lang w:val="de-DE"/>
        </w:rPr>
      </w:pPr>
      <w:r w:rsidRPr="004676F5">
        <w:rPr>
          <w:lang w:val="de-DE"/>
        </w:rPr>
        <w:lastRenderedPageBreak/>
        <w:t>[KAPITEL 9/1 </w:t>
      </w:r>
      <w:r w:rsidR="005B7A5C" w:rsidRPr="004676F5">
        <w:rPr>
          <w:lang w:val="de-DE"/>
        </w:rPr>
        <w:t>- </w:t>
      </w:r>
      <w:r w:rsidRPr="004676F5">
        <w:rPr>
          <w:i/>
          <w:lang w:val="de-DE"/>
        </w:rPr>
        <w:t>Zahlungskontowechsel-Service</w:t>
      </w:r>
      <w:r w:rsidRPr="004676F5">
        <w:rPr>
          <w:lang w:val="de-DE"/>
        </w:rPr>
        <w:t>]</w:t>
      </w:r>
    </w:p>
    <w:p w14:paraId="7080349B" w14:textId="016F0291" w:rsidR="00D42676" w:rsidRPr="004676F5" w:rsidRDefault="00D42676" w:rsidP="00D42676">
      <w:pPr>
        <w:jc w:val="center"/>
        <w:rPr>
          <w:lang w:val="de-DE"/>
        </w:rPr>
      </w:pPr>
    </w:p>
    <w:p w14:paraId="1AC229A7" w14:textId="540BA46C" w:rsidR="00D42676" w:rsidRPr="004676F5" w:rsidRDefault="00D42676" w:rsidP="00D42676">
      <w:pPr>
        <w:jc w:val="both"/>
        <w:rPr>
          <w:i/>
          <w:lang w:val="de-DE"/>
        </w:rPr>
      </w:pPr>
      <w:r w:rsidRPr="004676F5">
        <w:rPr>
          <w:i/>
          <w:lang w:val="de-DE"/>
        </w:rPr>
        <w:t>[Unterteilung Kapitel 9/1 eingefügt durch Art. 19 des G. vom 22. Dezember 2017 (B.S. vom 12. Januar 2018)]</w:t>
      </w:r>
    </w:p>
    <w:p w14:paraId="5DAF9761" w14:textId="344F3D67" w:rsidR="00D42676" w:rsidRPr="004676F5" w:rsidRDefault="00D42676" w:rsidP="00D42676">
      <w:pPr>
        <w:jc w:val="both"/>
        <w:rPr>
          <w:i/>
          <w:lang w:val="de-DE"/>
        </w:rPr>
      </w:pPr>
    </w:p>
    <w:p w14:paraId="5EF3781A" w14:textId="3D535590" w:rsidR="00D42676" w:rsidRPr="004676F5" w:rsidRDefault="00D42676" w:rsidP="00D42676">
      <w:pPr>
        <w:jc w:val="both"/>
        <w:rPr>
          <w:i/>
          <w:lang w:val="de-DE"/>
        </w:rPr>
      </w:pPr>
    </w:p>
    <w:p w14:paraId="7F196592" w14:textId="5C527AD6" w:rsidR="00D42676" w:rsidRPr="004676F5" w:rsidRDefault="00D42676" w:rsidP="00D42676">
      <w:pPr>
        <w:jc w:val="both"/>
        <w:rPr>
          <w:lang w:val="de-DE"/>
        </w:rPr>
      </w:pPr>
      <w:r w:rsidRPr="004676F5">
        <w:rPr>
          <w:lang w:val="de-DE"/>
        </w:rPr>
        <w:tab/>
        <w:t>[</w:t>
      </w:r>
      <w:r w:rsidRPr="004676F5">
        <w:rPr>
          <w:b/>
          <w:lang w:val="de-DE"/>
        </w:rPr>
        <w:t>Art. VII.62/1</w:t>
      </w:r>
      <w:r w:rsidRPr="004676F5">
        <w:rPr>
          <w:lang w:val="de-DE"/>
        </w:rPr>
        <w:t> </w:t>
      </w:r>
      <w:r w:rsidR="005B7A5C" w:rsidRPr="004676F5">
        <w:rPr>
          <w:lang w:val="de-DE"/>
        </w:rPr>
        <w:t>- </w:t>
      </w:r>
      <w:r w:rsidRPr="004676F5">
        <w:rPr>
          <w:lang w:val="de-DE"/>
        </w:rPr>
        <w:t>Zahlungsdienstleister stellen jedem Verbraucher, der ein Zahlungs</w:t>
      </w:r>
      <w:r w:rsidRPr="004676F5">
        <w:rPr>
          <w:lang w:val="de-DE"/>
        </w:rPr>
        <w:softHyphen/>
        <w:t>konto eröffnet oder Inhaber eines solchen Kontos ist, einen Kontowechsel-Service zwischen Zahlungskonten, die in derselben Währung geführt werden, zur Verfügung.]</w:t>
      </w:r>
    </w:p>
    <w:p w14:paraId="2EE45B0F" w14:textId="0986085F" w:rsidR="00D42676" w:rsidRPr="004676F5" w:rsidRDefault="00D42676" w:rsidP="00D42676">
      <w:pPr>
        <w:jc w:val="both"/>
        <w:rPr>
          <w:lang w:val="de-DE"/>
        </w:rPr>
      </w:pPr>
    </w:p>
    <w:p w14:paraId="4138D1E3" w14:textId="30072881" w:rsidR="00D42676" w:rsidRPr="004676F5" w:rsidRDefault="00D42676" w:rsidP="00D42676">
      <w:pPr>
        <w:jc w:val="both"/>
        <w:rPr>
          <w:i/>
          <w:lang w:val="de-DE"/>
        </w:rPr>
      </w:pPr>
      <w:r w:rsidRPr="004676F5">
        <w:rPr>
          <w:i/>
          <w:lang w:val="de-DE"/>
        </w:rPr>
        <w:t>[Art. VII.62/1 eingefügt durch Art. 20 des G. vom 22. Dezember 2017 (B.S. vom 12. Januar 2018)]</w:t>
      </w:r>
    </w:p>
    <w:p w14:paraId="75FBE7A5" w14:textId="77777777" w:rsidR="00D42676" w:rsidRPr="004676F5" w:rsidRDefault="00D42676" w:rsidP="00D42676">
      <w:pPr>
        <w:jc w:val="both"/>
        <w:rPr>
          <w:lang w:val="de-DE"/>
        </w:rPr>
      </w:pPr>
    </w:p>
    <w:p w14:paraId="0E0398FE" w14:textId="77777777" w:rsidR="00D42676" w:rsidRPr="004676F5" w:rsidRDefault="00D42676" w:rsidP="00D42676">
      <w:pPr>
        <w:jc w:val="both"/>
        <w:rPr>
          <w:lang w:val="de-DE"/>
        </w:rPr>
      </w:pPr>
    </w:p>
    <w:p w14:paraId="3B1100EB" w14:textId="585FBDA1" w:rsidR="00D42676" w:rsidRPr="004676F5" w:rsidRDefault="00D42676" w:rsidP="00D42676">
      <w:pPr>
        <w:jc w:val="both"/>
        <w:rPr>
          <w:lang w:val="de-DE"/>
        </w:rPr>
      </w:pPr>
      <w:r w:rsidRPr="004676F5">
        <w:rPr>
          <w:lang w:val="de-DE"/>
        </w:rPr>
        <w:tab/>
        <w:t>[</w:t>
      </w:r>
      <w:r w:rsidRPr="004676F5">
        <w:rPr>
          <w:b/>
          <w:lang w:val="de-DE"/>
        </w:rPr>
        <w:t>Art. VII.62/2</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Kontowechsel wird auf Wunsch des Verbrauchers vom empfangenden Zahlungsdienstleister eingeleitet.</w:t>
      </w:r>
    </w:p>
    <w:p w14:paraId="165D1D80" w14:textId="77777777" w:rsidR="00D42676" w:rsidRPr="004676F5" w:rsidRDefault="00D42676" w:rsidP="00D42676">
      <w:pPr>
        <w:jc w:val="both"/>
        <w:rPr>
          <w:lang w:val="de-DE"/>
        </w:rPr>
      </w:pPr>
    </w:p>
    <w:p w14:paraId="0D418115" w14:textId="77777777" w:rsidR="00D42676" w:rsidRPr="004676F5" w:rsidRDefault="00D42676" w:rsidP="00D42676">
      <w:pPr>
        <w:jc w:val="both"/>
        <w:rPr>
          <w:lang w:val="de-DE"/>
        </w:rPr>
      </w:pPr>
      <w:r w:rsidRPr="004676F5">
        <w:rPr>
          <w:lang w:val="de-DE"/>
        </w:rPr>
        <w:tab/>
        <w:t>Der Antrag erfolgt schriftlich anhand eines Antragsformulars, das alle Möglichkeiten von § 2 vorsieht und vom empfangenden Zahlungsdienstleister auf Papier oder elektronisch bereitgestellt wird.</w:t>
      </w:r>
    </w:p>
    <w:p w14:paraId="2501C458" w14:textId="77777777" w:rsidR="00D42676" w:rsidRPr="004676F5" w:rsidRDefault="00D42676" w:rsidP="00D42676">
      <w:pPr>
        <w:jc w:val="both"/>
        <w:rPr>
          <w:lang w:val="de-DE"/>
        </w:rPr>
      </w:pPr>
    </w:p>
    <w:p w14:paraId="4FD622E8" w14:textId="77777777" w:rsidR="00D42676" w:rsidRPr="004676F5" w:rsidRDefault="00D42676" w:rsidP="00D42676">
      <w:pPr>
        <w:jc w:val="both"/>
        <w:rPr>
          <w:lang w:val="de-DE"/>
        </w:rPr>
      </w:pPr>
      <w:r w:rsidRPr="004676F5">
        <w:rPr>
          <w:lang w:val="de-DE"/>
        </w:rPr>
        <w:tab/>
        <w:t>Der Antrag wird von jedem Inhaber des betreffenden Zahlungskontos unterzeichnet und der empfangende Zahlungsdienstleister händigt jedem eine Kopie der Ermächtigung aus.</w:t>
      </w:r>
    </w:p>
    <w:p w14:paraId="65060E4C" w14:textId="77777777" w:rsidR="00D42676" w:rsidRPr="004676F5" w:rsidRDefault="00D42676" w:rsidP="00D42676">
      <w:pPr>
        <w:jc w:val="both"/>
        <w:rPr>
          <w:lang w:val="de-DE"/>
        </w:rPr>
      </w:pPr>
    </w:p>
    <w:p w14:paraId="345F68A7" w14:textId="77777777" w:rsidR="00D42676" w:rsidRPr="004676F5" w:rsidRDefault="00D42676" w:rsidP="00D42676">
      <w:pPr>
        <w:jc w:val="both"/>
        <w:rPr>
          <w:lang w:val="de-DE"/>
        </w:rPr>
      </w:pPr>
      <w:r w:rsidRPr="004676F5">
        <w:rPr>
          <w:lang w:val="de-DE"/>
        </w:rPr>
        <w:tab/>
        <w:t>Die Ermächtigung wird in einer Amtssprache des Ortes, an dem der Kontowechsel eingeleitet wurde, oder in jeder anderen von den Parteien vereinbarten Sprache verfasst.</w:t>
      </w:r>
    </w:p>
    <w:p w14:paraId="4B3EAFD9" w14:textId="77777777" w:rsidR="00D42676" w:rsidRPr="004676F5" w:rsidRDefault="00D42676" w:rsidP="00D42676">
      <w:pPr>
        <w:jc w:val="both"/>
        <w:rPr>
          <w:lang w:val="de-DE"/>
        </w:rPr>
      </w:pPr>
    </w:p>
    <w:p w14:paraId="3EED083A" w14:textId="77777777" w:rsidR="00D42676" w:rsidRPr="004676F5" w:rsidRDefault="00D42676" w:rsidP="00D42676">
      <w:pPr>
        <w:jc w:val="both"/>
        <w:rPr>
          <w:lang w:val="de-DE"/>
        </w:rPr>
      </w:pPr>
      <w:r w:rsidRPr="004676F5">
        <w:rPr>
          <w:lang w:val="de-DE"/>
        </w:rPr>
        <w:tab/>
        <w:t>Der König kann das Antragsformular unter Berücksichtigung der in vorliegendem Artikel vorgesehenen spezifischen Möglichkeiten, erforderlichen Informationen und spezifischen Ermächtigungen standardisieren.</w:t>
      </w:r>
    </w:p>
    <w:p w14:paraId="26615E3B" w14:textId="77777777" w:rsidR="00D42676" w:rsidRPr="004676F5" w:rsidRDefault="00D42676" w:rsidP="00D42676">
      <w:pPr>
        <w:jc w:val="both"/>
        <w:rPr>
          <w:lang w:val="de-DE"/>
        </w:rPr>
      </w:pPr>
    </w:p>
    <w:p w14:paraId="0068CA04" w14:textId="0B80865C" w:rsidR="00D42676" w:rsidRPr="004676F5" w:rsidRDefault="00D42676" w:rsidP="00D42676">
      <w:pPr>
        <w:jc w:val="both"/>
        <w:rPr>
          <w:lang w:val="de-DE"/>
        </w:rPr>
      </w:pPr>
      <w:r w:rsidRPr="004676F5">
        <w:rPr>
          <w:lang w:val="de-DE"/>
        </w:rPr>
        <w:tab/>
        <w:t>§ 2 </w:t>
      </w:r>
      <w:r w:rsidR="005B7A5C" w:rsidRPr="004676F5">
        <w:rPr>
          <w:lang w:val="de-DE"/>
        </w:rPr>
        <w:t>- </w:t>
      </w:r>
      <w:r w:rsidRPr="004676F5">
        <w:rPr>
          <w:lang w:val="de-DE"/>
        </w:rPr>
        <w:t>Der empfangende Zahlungsdienstleister nimmt den Kontowechsel vor, sobald er die Ermächtigung des Verbrauchers erhalten hat. Bei zwei oder mehr Kontoinhabern ist die Ermächtigung jedes Kontoinhabers einzuholen.</w:t>
      </w:r>
    </w:p>
    <w:p w14:paraId="4F1AA0FE" w14:textId="77777777" w:rsidR="00D42676" w:rsidRPr="004676F5" w:rsidRDefault="00D42676" w:rsidP="00D42676">
      <w:pPr>
        <w:jc w:val="both"/>
        <w:rPr>
          <w:lang w:val="de-DE"/>
        </w:rPr>
      </w:pPr>
    </w:p>
    <w:p w14:paraId="4B9F0A30" w14:textId="77777777" w:rsidR="00D42676" w:rsidRPr="004676F5" w:rsidRDefault="00D42676" w:rsidP="00D42676">
      <w:pPr>
        <w:jc w:val="both"/>
        <w:rPr>
          <w:lang w:val="de-DE"/>
        </w:rPr>
      </w:pPr>
      <w:r w:rsidRPr="004676F5">
        <w:rPr>
          <w:lang w:val="de-DE"/>
        </w:rPr>
        <w:tab/>
        <w:t>Die Ermächtigung muss es dem Verbraucher ermöglichen, dem übertragenden Zahlungsdienstleister gezielt für die Wahrnehmung jeder der in § 3 genannten Aufgaben und dem empfangenden Zahlungsdienstleister gezielt für die Wahrnehmung jeder der in § 5 genannten Aufgaben separat seine ausdrückliche Einwilligung zu geben.</w:t>
      </w:r>
    </w:p>
    <w:p w14:paraId="2F56BA77" w14:textId="77777777" w:rsidR="00D42676" w:rsidRPr="004676F5" w:rsidRDefault="00D42676" w:rsidP="00D42676">
      <w:pPr>
        <w:jc w:val="both"/>
        <w:rPr>
          <w:lang w:val="de-DE"/>
        </w:rPr>
      </w:pPr>
    </w:p>
    <w:p w14:paraId="2D3C37B4" w14:textId="77777777" w:rsidR="00D42676" w:rsidRPr="004676F5" w:rsidRDefault="00D42676" w:rsidP="00D42676">
      <w:pPr>
        <w:jc w:val="both"/>
        <w:rPr>
          <w:lang w:val="de-DE"/>
        </w:rPr>
      </w:pPr>
      <w:r w:rsidRPr="004676F5">
        <w:rPr>
          <w:lang w:val="de-DE"/>
        </w:rPr>
        <w:tab/>
        <w:t>In der Ermächtigung wird angegeben, dass Einzüge, die der Verbraucher in Ausführung von Artikel 5 Absatz 3 Buchstabe </w:t>
      </w:r>
      <w:r w:rsidRPr="004676F5">
        <w:rPr>
          <w:i/>
          <w:iCs/>
          <w:lang w:val="de-DE"/>
        </w:rPr>
        <w:t>d)</w:t>
      </w:r>
      <w:r w:rsidRPr="004676F5">
        <w:rPr>
          <w:lang w:val="de-DE"/>
        </w:rPr>
        <w:t xml:space="preserve"> der Verordnung (EU) Nr. 260/2012 gesperrt hat, nicht übertragen werden.</w:t>
      </w:r>
    </w:p>
    <w:p w14:paraId="7A31D160" w14:textId="77777777" w:rsidR="00D42676" w:rsidRPr="004676F5" w:rsidRDefault="00D42676" w:rsidP="00D42676">
      <w:pPr>
        <w:jc w:val="both"/>
        <w:rPr>
          <w:lang w:val="de-DE"/>
        </w:rPr>
      </w:pPr>
    </w:p>
    <w:p w14:paraId="643A39AC" w14:textId="77777777" w:rsidR="00D42676" w:rsidRPr="004676F5" w:rsidRDefault="00D42676" w:rsidP="00D42676">
      <w:pPr>
        <w:jc w:val="both"/>
        <w:rPr>
          <w:lang w:val="de-DE"/>
        </w:rPr>
      </w:pPr>
      <w:r w:rsidRPr="004676F5">
        <w:rPr>
          <w:lang w:val="de-DE"/>
        </w:rPr>
        <w:tab/>
        <w:t>Die Ermächtigung muss es dem Verbraucher zudem ermöglichen, das Datum anzugeben, ab dem Dauerzahlungsaufträge, Überweisungen mit Memodatum und Lastschriften von dem beim empfangenden Zahlungsdienstleister eröffneten oder geführten Zahlungskonto auszuführen sind.</w:t>
      </w:r>
    </w:p>
    <w:p w14:paraId="28C3679C" w14:textId="77777777" w:rsidR="00D42676" w:rsidRPr="004676F5" w:rsidRDefault="00D42676" w:rsidP="00D42676">
      <w:pPr>
        <w:jc w:val="both"/>
        <w:rPr>
          <w:lang w:val="de-DE"/>
        </w:rPr>
      </w:pPr>
    </w:p>
    <w:p w14:paraId="6B6A8344" w14:textId="77777777" w:rsidR="00D42676" w:rsidRPr="004676F5" w:rsidRDefault="00D42676" w:rsidP="00D42676">
      <w:pPr>
        <w:jc w:val="both"/>
        <w:rPr>
          <w:lang w:val="de-DE"/>
        </w:rPr>
      </w:pPr>
      <w:r w:rsidRPr="004676F5">
        <w:rPr>
          <w:lang w:val="de-DE"/>
        </w:rPr>
        <w:tab/>
        <w:t>Dieses Datum muss mindestens fünf Werktage nach dem Tag liegen, an dem der empfangende Zahlungsdienstleister die Unterlagen, die gemäß § 4 vom übertragenden Zahlungsdienstleister weitergegeben wurden, erhalten hat.</w:t>
      </w:r>
    </w:p>
    <w:p w14:paraId="703ABF5C" w14:textId="77777777" w:rsidR="00D42676" w:rsidRPr="004676F5" w:rsidRDefault="00D42676" w:rsidP="00D42676">
      <w:pPr>
        <w:jc w:val="both"/>
        <w:rPr>
          <w:lang w:val="de-DE"/>
        </w:rPr>
      </w:pPr>
    </w:p>
    <w:p w14:paraId="18CC2FC6" w14:textId="4929F2EA" w:rsidR="00D42676" w:rsidRPr="004676F5" w:rsidRDefault="00D42676" w:rsidP="00D42676">
      <w:pPr>
        <w:jc w:val="both"/>
        <w:rPr>
          <w:lang w:val="de-DE"/>
        </w:rPr>
      </w:pPr>
      <w:r w:rsidRPr="004676F5">
        <w:rPr>
          <w:lang w:val="de-DE"/>
        </w:rPr>
        <w:tab/>
        <w:t>§ 3 </w:t>
      </w:r>
      <w:r w:rsidR="005B7A5C" w:rsidRPr="004676F5">
        <w:rPr>
          <w:lang w:val="de-DE"/>
        </w:rPr>
        <w:t>- </w:t>
      </w:r>
      <w:r w:rsidRPr="004676F5">
        <w:rPr>
          <w:lang w:val="de-DE"/>
        </w:rPr>
        <w:t>Innerhalb zweier Werktage nach Erhalt der Ermächtigung nach § 2 fordert der empfangende Zahlungsdienstleister den übertragenden Zahlungsdienstleister auf, folgende Schritte zu unternehmen, sofern die Ermächtigung des Verbrauchers dies vorsieht:</w:t>
      </w:r>
    </w:p>
    <w:p w14:paraId="6C518270" w14:textId="77777777" w:rsidR="00D42676" w:rsidRPr="004676F5" w:rsidRDefault="00D42676" w:rsidP="00D42676">
      <w:pPr>
        <w:jc w:val="both"/>
        <w:rPr>
          <w:lang w:val="de-DE"/>
        </w:rPr>
      </w:pPr>
    </w:p>
    <w:p w14:paraId="0E05F5C8" w14:textId="77777777" w:rsidR="00D42676" w:rsidRPr="004676F5" w:rsidRDefault="00D42676" w:rsidP="00D42676">
      <w:pPr>
        <w:jc w:val="both"/>
        <w:rPr>
          <w:lang w:val="de-DE"/>
        </w:rPr>
      </w:pPr>
      <w:r w:rsidRPr="004676F5">
        <w:rPr>
          <w:lang w:val="de-DE"/>
        </w:rPr>
        <w:tab/>
        <w:t>1. dem empfangenden Zahlungsdienstleister und dem Verbraucher eine Liste der bestehenden Dauerzahlungsaufträge, der Überweisungen mit Memodatum und die verfügbaren Informationen zu Lastschriftmandaten, die bei dem Kontowechsel transferiert werden, und zu den vom Verbraucher ausgeübten Rechten wie in Artikel 5 Absatz 3 Buchstabe </w:t>
      </w:r>
      <w:r w:rsidRPr="004676F5">
        <w:rPr>
          <w:i/>
          <w:iCs/>
          <w:lang w:val="de-DE"/>
        </w:rPr>
        <w:t>d)</w:t>
      </w:r>
      <w:r w:rsidRPr="004676F5">
        <w:rPr>
          <w:lang w:val="de-DE"/>
        </w:rPr>
        <w:t xml:space="preserve"> der Verordnung (EU) Nr. 260/2012 erwähnt, wenn er davon Gebrauch gemacht hat, zu übermitteln,</w:t>
      </w:r>
    </w:p>
    <w:p w14:paraId="15B2AD23" w14:textId="77777777" w:rsidR="00D42676" w:rsidRPr="004676F5" w:rsidRDefault="00D42676" w:rsidP="00D42676">
      <w:pPr>
        <w:jc w:val="both"/>
        <w:rPr>
          <w:lang w:val="de-DE"/>
        </w:rPr>
      </w:pPr>
    </w:p>
    <w:p w14:paraId="02A8C307" w14:textId="77777777" w:rsidR="00D42676" w:rsidRPr="004676F5" w:rsidRDefault="00D42676" w:rsidP="00D42676">
      <w:pPr>
        <w:jc w:val="both"/>
        <w:rPr>
          <w:lang w:val="de-DE"/>
        </w:rPr>
      </w:pPr>
      <w:r w:rsidRPr="004676F5">
        <w:rPr>
          <w:lang w:val="de-DE"/>
        </w:rPr>
        <w:tab/>
        <w:t>2. dem empfangenden Zahlungsdienstleister und dem Verbraucher die verfügbaren Informationen über wiederkehrende eingehende Überweisungen und Lastschriften, die vom Zahlungsempfänger auf dem Zahlungskonto des Verbrauchers in den dreizehn Monaten vor der in § 2 erwähnten Ermächtigung des Verbrauchers veranlasst worden sind, zu übermitteln,</w:t>
      </w:r>
    </w:p>
    <w:p w14:paraId="1F4E9692" w14:textId="77777777" w:rsidR="00D42676" w:rsidRPr="004676F5" w:rsidRDefault="00D42676" w:rsidP="00D42676">
      <w:pPr>
        <w:jc w:val="both"/>
        <w:rPr>
          <w:lang w:val="de-DE"/>
        </w:rPr>
      </w:pPr>
    </w:p>
    <w:p w14:paraId="24F32D45" w14:textId="77777777" w:rsidR="00D42676" w:rsidRPr="004676F5" w:rsidRDefault="00D42676" w:rsidP="00D42676">
      <w:pPr>
        <w:jc w:val="both"/>
        <w:rPr>
          <w:lang w:val="de-DE"/>
        </w:rPr>
      </w:pPr>
      <w:r w:rsidRPr="004676F5">
        <w:rPr>
          <w:lang w:val="de-DE"/>
        </w:rPr>
        <w:tab/>
        <w:t>3. mit Wirkung ab dem in der Ermächtigung angegebenen Datum Lastschriften und eingehende Überweisungen nicht mehr zu akzeptieren, wenn der übertragende Zahlungsdienstleister keinen Mechanismus für die automatische Umleitung der eingehenden Überweisungen und Lastschriften auf das beim empfangenden Zahlungsdienstleister geführte Zahlungskonto des Verbrauchers vorsieht,</w:t>
      </w:r>
    </w:p>
    <w:p w14:paraId="201C6C76" w14:textId="77777777" w:rsidR="00D42676" w:rsidRPr="004676F5" w:rsidRDefault="00D42676" w:rsidP="00D42676">
      <w:pPr>
        <w:jc w:val="both"/>
        <w:rPr>
          <w:lang w:val="de-DE"/>
        </w:rPr>
      </w:pPr>
    </w:p>
    <w:p w14:paraId="7D79ADC6" w14:textId="77777777" w:rsidR="00D42676" w:rsidRPr="004676F5" w:rsidRDefault="00D42676" w:rsidP="00D42676">
      <w:pPr>
        <w:jc w:val="both"/>
        <w:rPr>
          <w:lang w:val="de-DE"/>
        </w:rPr>
      </w:pPr>
      <w:r w:rsidRPr="004676F5">
        <w:rPr>
          <w:lang w:val="de-DE"/>
        </w:rPr>
        <w:tab/>
        <w:t>4. Dauerzahlungsaufträge und Überweisungen mit Memodatum mit Wirkung ab dem in der Ermächtigung angegebenen Datum zu stornieren,</w:t>
      </w:r>
    </w:p>
    <w:p w14:paraId="400C8D00" w14:textId="77777777" w:rsidR="00D42676" w:rsidRPr="004676F5" w:rsidRDefault="00D42676" w:rsidP="00D42676">
      <w:pPr>
        <w:jc w:val="both"/>
        <w:rPr>
          <w:lang w:val="de-DE"/>
        </w:rPr>
      </w:pPr>
    </w:p>
    <w:p w14:paraId="3C8A0D72" w14:textId="77777777" w:rsidR="00D42676" w:rsidRPr="004676F5" w:rsidRDefault="00D42676" w:rsidP="00D42676">
      <w:pPr>
        <w:jc w:val="both"/>
        <w:rPr>
          <w:lang w:val="de-DE"/>
        </w:rPr>
      </w:pPr>
      <w:r w:rsidRPr="004676F5">
        <w:rPr>
          <w:lang w:val="de-DE"/>
        </w:rPr>
        <w:tab/>
        <w:t>5. zu dem vom Verbraucher angegebenen Datum jeglichen verbleibenden positiven Saldo auf das beim empfangenden Zahlungsdienstleister eröffnete oder geführte Zahlungskonto zu überweisen,</w:t>
      </w:r>
    </w:p>
    <w:p w14:paraId="17329D17" w14:textId="77777777" w:rsidR="00D42676" w:rsidRPr="004676F5" w:rsidRDefault="00D42676" w:rsidP="00D42676">
      <w:pPr>
        <w:jc w:val="both"/>
        <w:rPr>
          <w:lang w:val="de-DE"/>
        </w:rPr>
      </w:pPr>
    </w:p>
    <w:p w14:paraId="0BC14A8F" w14:textId="77777777" w:rsidR="00D42676" w:rsidRPr="004676F5" w:rsidRDefault="00D42676" w:rsidP="00D42676">
      <w:pPr>
        <w:jc w:val="both"/>
        <w:rPr>
          <w:lang w:val="de-DE"/>
        </w:rPr>
      </w:pPr>
      <w:r w:rsidRPr="004676F5">
        <w:rPr>
          <w:lang w:val="de-DE"/>
        </w:rPr>
        <w:tab/>
        <w:t>6. zu dem vom Verbraucher angegebenen Datum das beim übertragenden Zahlungsdienstleister geführte Zahlungskonto zu schließen und</w:t>
      </w:r>
    </w:p>
    <w:p w14:paraId="11560334" w14:textId="77777777" w:rsidR="00D42676" w:rsidRPr="004676F5" w:rsidRDefault="00D42676" w:rsidP="00D42676">
      <w:pPr>
        <w:jc w:val="both"/>
        <w:rPr>
          <w:lang w:val="de-DE"/>
        </w:rPr>
      </w:pPr>
    </w:p>
    <w:p w14:paraId="2BC59EA9" w14:textId="77777777" w:rsidR="00D42676" w:rsidRPr="004676F5" w:rsidRDefault="00D42676" w:rsidP="00D42676">
      <w:pPr>
        <w:jc w:val="both"/>
        <w:rPr>
          <w:lang w:val="de-DE"/>
        </w:rPr>
      </w:pPr>
      <w:r w:rsidRPr="004676F5">
        <w:rPr>
          <w:lang w:val="de-DE"/>
        </w:rPr>
        <w:tab/>
        <w:t>7. zu dem vom Verbraucher angegebenen Datum Zahlungsinstrumente, die mit dem beim übertragenden Zahlungsdienstleister geführten Zahlungskonto verbunden sind, zu annullieren.</w:t>
      </w:r>
    </w:p>
    <w:p w14:paraId="576478C8" w14:textId="77777777" w:rsidR="00D42676" w:rsidRPr="004676F5" w:rsidRDefault="00D42676" w:rsidP="00D42676">
      <w:pPr>
        <w:jc w:val="both"/>
        <w:rPr>
          <w:lang w:val="de-DE"/>
        </w:rPr>
      </w:pPr>
    </w:p>
    <w:p w14:paraId="2B2B6F95" w14:textId="0EB9A837" w:rsidR="00D42676" w:rsidRPr="004676F5" w:rsidRDefault="00D42676" w:rsidP="00D42676">
      <w:pPr>
        <w:jc w:val="both"/>
        <w:rPr>
          <w:lang w:val="de-DE"/>
        </w:rPr>
      </w:pPr>
      <w:r w:rsidRPr="004676F5">
        <w:rPr>
          <w:lang w:val="de-DE"/>
        </w:rPr>
        <w:tab/>
        <w:t>§ 4 </w:t>
      </w:r>
      <w:r w:rsidR="005B7A5C" w:rsidRPr="004676F5">
        <w:rPr>
          <w:lang w:val="de-DE"/>
        </w:rPr>
        <w:t>- </w:t>
      </w:r>
      <w:r w:rsidRPr="004676F5">
        <w:rPr>
          <w:lang w:val="de-DE"/>
        </w:rPr>
        <w:t>Nach Erhalt einer entsprechenden Aufforderung des empfangenden Zahlungs</w:t>
      </w:r>
      <w:r w:rsidRPr="004676F5">
        <w:rPr>
          <w:lang w:val="de-DE"/>
        </w:rPr>
        <w:softHyphen/>
        <w:t>dienstleisters unternimmt der übertragende Zahlungsdienstleister folgende Schritte, sofern die Ermächtigung des Verbrauchers dies vorsieht:</w:t>
      </w:r>
    </w:p>
    <w:p w14:paraId="3C646432" w14:textId="77777777" w:rsidR="00D42676" w:rsidRPr="004676F5" w:rsidRDefault="00D42676" w:rsidP="00D42676">
      <w:pPr>
        <w:jc w:val="both"/>
        <w:rPr>
          <w:lang w:val="de-DE"/>
        </w:rPr>
      </w:pPr>
    </w:p>
    <w:p w14:paraId="7264AD6D" w14:textId="77777777" w:rsidR="00D42676" w:rsidRPr="004676F5" w:rsidRDefault="00D42676" w:rsidP="00D42676">
      <w:pPr>
        <w:jc w:val="both"/>
        <w:rPr>
          <w:lang w:val="de-DE"/>
        </w:rPr>
      </w:pPr>
      <w:r w:rsidRPr="004676F5">
        <w:rPr>
          <w:lang w:val="de-DE"/>
        </w:rPr>
        <w:tab/>
        <w:t>1. Er schickt innerhalb dreier Werktage die Angaben gemäß § 3 Nr. 1 und 2 an den empfangenden Zahlungsdienstleister ab.</w:t>
      </w:r>
    </w:p>
    <w:p w14:paraId="1B5E1195" w14:textId="77777777" w:rsidR="00D42676" w:rsidRPr="004676F5" w:rsidRDefault="00D42676" w:rsidP="00D42676">
      <w:pPr>
        <w:jc w:val="both"/>
        <w:rPr>
          <w:lang w:val="de-DE"/>
        </w:rPr>
      </w:pPr>
    </w:p>
    <w:p w14:paraId="02D532A9" w14:textId="77777777" w:rsidR="00D42676" w:rsidRPr="004676F5" w:rsidRDefault="00D42676" w:rsidP="00D42676">
      <w:pPr>
        <w:jc w:val="both"/>
        <w:rPr>
          <w:lang w:val="de-DE"/>
        </w:rPr>
      </w:pPr>
      <w:r w:rsidRPr="004676F5">
        <w:rPr>
          <w:lang w:val="de-DE"/>
        </w:rPr>
        <w:tab/>
        <w:t>2. Er akzeptiert mit Wirkung ab dem in der Ermächtigung angegebenen Datum auf dem Zahlungskonto keine eingehenden Überweisungen und Lastschriften mehr, wenn er nicht einen Mechanismus für eine automatische Umleitung von eingehenden Überweisungen und Lastschriften auf das vom Verbraucher beim empfangenden Zahlungsdienstleister geführte oder eröffnete Zahlungskonto vorsieht.</w:t>
      </w:r>
    </w:p>
    <w:p w14:paraId="48053358" w14:textId="77777777" w:rsidR="00D42676" w:rsidRPr="004676F5" w:rsidRDefault="00D42676" w:rsidP="00D42676">
      <w:pPr>
        <w:jc w:val="both"/>
        <w:rPr>
          <w:lang w:val="de-DE"/>
        </w:rPr>
      </w:pPr>
    </w:p>
    <w:p w14:paraId="0A8F886C" w14:textId="77777777" w:rsidR="00D42676" w:rsidRPr="004676F5" w:rsidRDefault="00D42676" w:rsidP="00D42676">
      <w:pPr>
        <w:jc w:val="both"/>
        <w:rPr>
          <w:lang w:val="de-DE"/>
        </w:rPr>
      </w:pPr>
      <w:r w:rsidRPr="004676F5">
        <w:rPr>
          <w:lang w:val="de-DE"/>
        </w:rPr>
        <w:tab/>
        <w:t xml:space="preserve">Während mindestens dreizehn Monaten ab dem Datum, an dem der Zahlungsdienst nicht mehr ausgeführt wird, informiert der übertragende Zahlungsdienstleister den Zahler oder </w:t>
      </w:r>
      <w:r w:rsidRPr="004676F5">
        <w:rPr>
          <w:lang w:val="de-DE"/>
        </w:rPr>
        <w:lastRenderedPageBreak/>
        <w:t>den Zahlungsempfänger darüber, aus welchem Grund der Zahlungsvorgang nicht akzeptiert wurde.</w:t>
      </w:r>
    </w:p>
    <w:p w14:paraId="3F714C5C" w14:textId="77777777" w:rsidR="00D42676" w:rsidRPr="004676F5" w:rsidRDefault="00D42676" w:rsidP="00D42676">
      <w:pPr>
        <w:jc w:val="both"/>
        <w:rPr>
          <w:lang w:val="de-DE"/>
        </w:rPr>
      </w:pPr>
    </w:p>
    <w:p w14:paraId="788B36F1" w14:textId="77777777" w:rsidR="00D42676" w:rsidRPr="004676F5" w:rsidRDefault="00D42676" w:rsidP="00D42676">
      <w:pPr>
        <w:jc w:val="both"/>
        <w:rPr>
          <w:lang w:val="de-DE"/>
        </w:rPr>
      </w:pPr>
      <w:r w:rsidRPr="004676F5">
        <w:rPr>
          <w:lang w:val="de-DE"/>
        </w:rPr>
        <w:tab/>
        <w:t>3. Er storniert Dauerzahlungsaufträge und Überweisungen mit Memodatum mit Wirkung ab dem in der Ermächtigung angegebenen Datum.</w:t>
      </w:r>
    </w:p>
    <w:p w14:paraId="0FC7AD5F" w14:textId="77777777" w:rsidR="00D42676" w:rsidRPr="004676F5" w:rsidRDefault="00D42676" w:rsidP="00D42676">
      <w:pPr>
        <w:jc w:val="both"/>
        <w:rPr>
          <w:lang w:val="de-DE"/>
        </w:rPr>
      </w:pPr>
    </w:p>
    <w:p w14:paraId="7A52C5B0" w14:textId="77777777" w:rsidR="00D42676" w:rsidRPr="004676F5" w:rsidRDefault="00D42676" w:rsidP="00D42676">
      <w:pPr>
        <w:jc w:val="both"/>
        <w:rPr>
          <w:lang w:val="de-DE"/>
        </w:rPr>
      </w:pPr>
      <w:r w:rsidRPr="004676F5">
        <w:rPr>
          <w:lang w:val="de-DE"/>
        </w:rPr>
        <w:tab/>
        <w:t>4. Er überweist zu dem in der Ermächtigung angegebenen Datum jeglichen verbleibenden positiven Saldo des Zahlungskontos auf das beim empfangenden Zahlungs</w:t>
      </w:r>
      <w:r w:rsidRPr="004676F5">
        <w:rPr>
          <w:lang w:val="de-DE"/>
        </w:rPr>
        <w:softHyphen/>
        <w:t>dienstleister eröffnete oder geführte Zahlungskonto.</w:t>
      </w:r>
    </w:p>
    <w:p w14:paraId="5476E945" w14:textId="77777777" w:rsidR="00D42676" w:rsidRPr="004676F5" w:rsidRDefault="00D42676" w:rsidP="00D42676">
      <w:pPr>
        <w:jc w:val="both"/>
        <w:rPr>
          <w:lang w:val="de-DE"/>
        </w:rPr>
      </w:pPr>
    </w:p>
    <w:p w14:paraId="70DFF17A" w14:textId="77777777" w:rsidR="00D42676" w:rsidRPr="004676F5" w:rsidRDefault="00D42676" w:rsidP="00D42676">
      <w:pPr>
        <w:jc w:val="both"/>
        <w:rPr>
          <w:lang w:val="de-DE"/>
        </w:rPr>
      </w:pPr>
      <w:r w:rsidRPr="004676F5">
        <w:rPr>
          <w:lang w:val="de-DE"/>
        </w:rPr>
        <w:tab/>
        <w:t>5. Er schließt das Zahlungskonto zu dem in der Ermächtigung angegebenen Datum, sofern der Verbraucher keine ausstehenden Verpflichtungen auf diesem Zahlungskonto mehr hat und die Schritte nach den Nummern 1, 2 und 4 vollzogen wurden. Der Zahlungsdienstleister setzt den Verbraucher umgehend in Kenntnis, wenn das Zahlungskonto des Verbrauchers aufgrund solcher noch offenen Verpflichtungen nicht geschlossen werden kann.</w:t>
      </w:r>
    </w:p>
    <w:p w14:paraId="5A3FC75C" w14:textId="77777777" w:rsidR="00D42676" w:rsidRPr="004676F5" w:rsidRDefault="00D42676" w:rsidP="00D42676">
      <w:pPr>
        <w:jc w:val="both"/>
        <w:rPr>
          <w:lang w:val="de-DE"/>
        </w:rPr>
      </w:pPr>
    </w:p>
    <w:p w14:paraId="5BCFFFF1" w14:textId="0874B659" w:rsidR="00D42676" w:rsidRPr="004676F5" w:rsidRDefault="00D42676" w:rsidP="00D42676">
      <w:pPr>
        <w:jc w:val="both"/>
        <w:rPr>
          <w:lang w:val="de-DE"/>
        </w:rPr>
      </w:pPr>
      <w:r w:rsidRPr="004676F5">
        <w:rPr>
          <w:lang w:val="de-DE"/>
        </w:rPr>
        <w:tab/>
        <w:t>§ 5 </w:t>
      </w:r>
      <w:r w:rsidR="005B7A5C" w:rsidRPr="004676F5">
        <w:rPr>
          <w:lang w:val="de-DE"/>
        </w:rPr>
        <w:t>- </w:t>
      </w:r>
      <w:r w:rsidRPr="004676F5">
        <w:rPr>
          <w:lang w:val="de-DE"/>
        </w:rPr>
        <w:t>Innerhalb eines Werktages nach Erhalt der vom übertragenden Zahlungs</w:t>
      </w:r>
      <w:r w:rsidRPr="004676F5">
        <w:rPr>
          <w:lang w:val="de-DE"/>
        </w:rPr>
        <w:softHyphen/>
        <w:t>dienstleister im Sinne von § 3 angeforderten Angaben unternimmt der empfangende Zahlungsdienstleister, wie und sofern die Ermächtigung dies vorsieht, und in dem Umfang, in dem die vom übertragenden Zahlungsdienstleister oder vom Verbraucher übermittelten Angaben dies dem empfangenden Zahlungsdienstleister erlauben, folgende Schritte:</w:t>
      </w:r>
    </w:p>
    <w:p w14:paraId="559AB37D" w14:textId="77777777" w:rsidR="00D42676" w:rsidRPr="004676F5" w:rsidRDefault="00D42676" w:rsidP="00D42676">
      <w:pPr>
        <w:jc w:val="both"/>
        <w:rPr>
          <w:lang w:val="de-DE"/>
        </w:rPr>
      </w:pPr>
    </w:p>
    <w:p w14:paraId="2AE4B4AD" w14:textId="77777777" w:rsidR="00D42676" w:rsidRPr="004676F5" w:rsidRDefault="00D42676" w:rsidP="00D42676">
      <w:pPr>
        <w:jc w:val="both"/>
        <w:rPr>
          <w:lang w:val="de-DE"/>
        </w:rPr>
      </w:pPr>
      <w:r w:rsidRPr="004676F5">
        <w:rPr>
          <w:lang w:val="de-DE"/>
        </w:rPr>
        <w:tab/>
        <w:t>1. Er richtet die vom Verbraucher gewünschten Dauerzahlungsaufträge und Überweisungen mit Memodatum ein und führt sie mit Wirkung ab dem in der Ermächtigung genannten Datum aus.</w:t>
      </w:r>
    </w:p>
    <w:p w14:paraId="22F42AC4" w14:textId="77777777" w:rsidR="00D42676" w:rsidRPr="004676F5" w:rsidRDefault="00D42676" w:rsidP="00D42676">
      <w:pPr>
        <w:jc w:val="both"/>
        <w:rPr>
          <w:lang w:val="de-DE"/>
        </w:rPr>
      </w:pPr>
    </w:p>
    <w:p w14:paraId="0C19537C" w14:textId="77777777" w:rsidR="00D42676" w:rsidRPr="004676F5" w:rsidRDefault="00D42676" w:rsidP="00D42676">
      <w:pPr>
        <w:jc w:val="both"/>
        <w:rPr>
          <w:lang w:val="de-DE"/>
        </w:rPr>
      </w:pPr>
      <w:r w:rsidRPr="004676F5">
        <w:rPr>
          <w:lang w:val="de-DE"/>
        </w:rPr>
        <w:tab/>
        <w:t>2. Er trifft die notwendigen Vorkehrungen, um Lastschriften zu akzeptieren, und akzeptiert diese mit Wirkung ab dem in der Ermächtigung angegebenen Datum.</w:t>
      </w:r>
    </w:p>
    <w:p w14:paraId="42A46AF4" w14:textId="77777777" w:rsidR="00D42676" w:rsidRPr="004676F5" w:rsidRDefault="00D42676" w:rsidP="00D42676">
      <w:pPr>
        <w:jc w:val="both"/>
        <w:rPr>
          <w:lang w:val="de-DE"/>
        </w:rPr>
      </w:pPr>
    </w:p>
    <w:p w14:paraId="38A7E13E" w14:textId="77777777" w:rsidR="00D42676" w:rsidRPr="004676F5" w:rsidRDefault="00D42676" w:rsidP="00D42676">
      <w:pPr>
        <w:jc w:val="both"/>
        <w:rPr>
          <w:lang w:val="de-DE"/>
        </w:rPr>
      </w:pPr>
      <w:r w:rsidRPr="004676F5">
        <w:rPr>
          <w:lang w:val="de-DE"/>
        </w:rPr>
        <w:tab/>
        <w:t>3. Er informiert Verbraucher gegebenenfalls über ihre gemäß Artikel 5 Absatz 3 Buchstabe </w:t>
      </w:r>
      <w:r w:rsidRPr="004676F5">
        <w:rPr>
          <w:i/>
          <w:iCs/>
          <w:lang w:val="de-DE"/>
        </w:rPr>
        <w:t>d)</w:t>
      </w:r>
      <w:r w:rsidRPr="004676F5">
        <w:rPr>
          <w:lang w:val="de-DE"/>
        </w:rPr>
        <w:t xml:space="preserve"> der Verordnung (EU) Nr. 260/2012 geltenden Rechte, die beim übertragenden Zahlungsdienstleister ausgeübt werden.</w:t>
      </w:r>
    </w:p>
    <w:p w14:paraId="1B78CFC2" w14:textId="77777777" w:rsidR="00D42676" w:rsidRPr="004676F5" w:rsidRDefault="00D42676" w:rsidP="00D42676">
      <w:pPr>
        <w:jc w:val="both"/>
        <w:rPr>
          <w:lang w:val="de-DE"/>
        </w:rPr>
      </w:pPr>
    </w:p>
    <w:p w14:paraId="04C6FCDA" w14:textId="77777777" w:rsidR="00D42676" w:rsidRPr="004676F5" w:rsidRDefault="00D42676" w:rsidP="00D42676">
      <w:pPr>
        <w:jc w:val="both"/>
        <w:rPr>
          <w:lang w:val="de-DE"/>
        </w:rPr>
      </w:pPr>
      <w:r w:rsidRPr="004676F5">
        <w:rPr>
          <w:lang w:val="de-DE"/>
        </w:rPr>
        <w:tab/>
        <w:t>4. Er teilt den in der Ermächtigung genannten Zahlern, die wiederkehrende eingehende Überweisungen auf das Zahlungskonto des Verbrauchers tätigen, die Angaben zur neuen Zahlungskontoverbindung des Verbrauchers beim empfangenden Zahlungsdienstleister mit und übermittelt ihnen eine Kopie der Ermächtigung des Verbrauchers. Verfügt der empfangende Zahlungsdienstleister nicht über alle Informationen, die er zur Unterrichtung des Zahlers benötigt, so fordert er den Verbraucher oder den übertragenden Zahlungsdienstleister auf, ihm die fehlenden Informationen mitzuteilen.</w:t>
      </w:r>
    </w:p>
    <w:p w14:paraId="60DEF396" w14:textId="77777777" w:rsidR="00D42676" w:rsidRPr="004676F5" w:rsidRDefault="00D42676" w:rsidP="00D42676">
      <w:pPr>
        <w:jc w:val="both"/>
        <w:rPr>
          <w:lang w:val="de-DE"/>
        </w:rPr>
      </w:pPr>
    </w:p>
    <w:p w14:paraId="6433AAC4" w14:textId="00EB0BFA" w:rsidR="00D42676" w:rsidRPr="004676F5" w:rsidRDefault="00D42676" w:rsidP="00D42676">
      <w:pPr>
        <w:jc w:val="both"/>
        <w:rPr>
          <w:lang w:val="de-DE"/>
        </w:rPr>
      </w:pPr>
      <w:r w:rsidRPr="004676F5">
        <w:rPr>
          <w:lang w:val="de-DE"/>
        </w:rPr>
        <w:tab/>
        <w:t xml:space="preserve">5. Er teilt den in der Ermächtigung genannten Zahlungsempfängern, die im Lastschriftverfahren Geldbeträge </w:t>
      </w:r>
      <w:r w:rsidR="005B7A5C" w:rsidRPr="004676F5">
        <w:rPr>
          <w:lang w:val="de-DE"/>
        </w:rPr>
        <w:t>- </w:t>
      </w:r>
      <w:r w:rsidRPr="004676F5">
        <w:rPr>
          <w:lang w:val="de-DE"/>
        </w:rPr>
        <w:t>mit Ausnahme der in Ausführung von Artikel 5 Absatz 3 Buchstabe </w:t>
      </w:r>
      <w:r w:rsidRPr="004676F5">
        <w:rPr>
          <w:i/>
          <w:iCs/>
          <w:lang w:val="de-DE"/>
        </w:rPr>
        <w:t>d)</w:t>
      </w:r>
      <w:r w:rsidRPr="004676F5">
        <w:rPr>
          <w:lang w:val="de-DE"/>
        </w:rPr>
        <w:t xml:space="preserve"> der Verordnung (EU) Nr. 260/2012 gesperrten Einzüge </w:t>
      </w:r>
      <w:r w:rsidR="005B7A5C" w:rsidRPr="004676F5">
        <w:rPr>
          <w:lang w:val="de-DE"/>
        </w:rPr>
        <w:t>- </w:t>
      </w:r>
      <w:r w:rsidRPr="004676F5">
        <w:rPr>
          <w:lang w:val="de-DE"/>
        </w:rPr>
        <w:t>vom Zahlungskonto des Verbrauchers abbuchen, die Angaben zur neuen Zahlungskontoverbindung des Verbrauchers beim empfangenden Zahlungsdienstleister sowie das Datum, ab dem Lastschriften von diesem Zahlungskonto abzubuchen sind, mit und übermittelt ihnen eine Kopie der Ermächtigung des Verbrauchers. Verfügt der empfangende Zahlungsdienstleister nicht über alle Informationen, die er zur Unterrichtung der Zahlungsempfänger benötigt, so fordert er den Verbraucher oder den übertragenden Zahlungsdienstleister auf, ihm die fehlenden Informationen mitzuteilen.</w:t>
      </w:r>
    </w:p>
    <w:p w14:paraId="2D2B02E9" w14:textId="77777777" w:rsidR="00D42676" w:rsidRPr="004676F5" w:rsidRDefault="00D42676" w:rsidP="00D42676">
      <w:pPr>
        <w:jc w:val="both"/>
        <w:rPr>
          <w:lang w:val="de-DE"/>
        </w:rPr>
      </w:pPr>
    </w:p>
    <w:p w14:paraId="661B7916" w14:textId="77777777" w:rsidR="00D42676" w:rsidRPr="004676F5" w:rsidRDefault="00D42676" w:rsidP="00D42676">
      <w:pPr>
        <w:jc w:val="both"/>
        <w:rPr>
          <w:lang w:val="de-DE"/>
        </w:rPr>
      </w:pPr>
      <w:r w:rsidRPr="004676F5">
        <w:rPr>
          <w:lang w:val="de-DE"/>
        </w:rPr>
        <w:lastRenderedPageBreak/>
        <w:tab/>
        <w:t>Für die in den Nummern 4 und 5 Absatz 1 erwähnte Übermittlung der Kopie der Ermächtigung des Verbrauchers trifft der Zahlungsdienstleister die notwendigen Vorkehrungen für Sicherheit und Risikobegrenzung, um Zahlungsdienstnutzer vor Betrug und Missbrauch von sensiblen Zahlungsdaten zu schützen.</w:t>
      </w:r>
    </w:p>
    <w:p w14:paraId="47013608" w14:textId="77777777" w:rsidR="00D42676" w:rsidRPr="004676F5" w:rsidRDefault="00D42676" w:rsidP="00D42676">
      <w:pPr>
        <w:jc w:val="both"/>
        <w:rPr>
          <w:lang w:val="de-DE"/>
        </w:rPr>
      </w:pPr>
    </w:p>
    <w:p w14:paraId="1482A01C" w14:textId="77777777" w:rsidR="00D42676" w:rsidRPr="004676F5" w:rsidRDefault="00D42676" w:rsidP="00D42676">
      <w:pPr>
        <w:jc w:val="both"/>
        <w:rPr>
          <w:lang w:val="de-DE"/>
        </w:rPr>
      </w:pPr>
      <w:r w:rsidRPr="004676F5">
        <w:rPr>
          <w:lang w:val="de-DE"/>
        </w:rPr>
        <w:tab/>
        <w:t>Entscheidet sich der Verbraucher dafür, den Zahlern oder Zahlungsempfängern die Informationen nach den Nummern 4 und 5 Absatz 1 persönlich zu übermitteln, anstatt dem empfangenden Zahlungsdienstleister gemäß § 2 seine diesbezügliche ausdrückliche Einwilligung zu geben, so stellt der empfangende Zahlungsdienstleister ihm innerhalb der Frist nach Absatz 1 Musterschreiben zur Verfügung, die die Angaben zur neuen Zahlungs</w:t>
      </w:r>
      <w:r w:rsidRPr="004676F5">
        <w:rPr>
          <w:lang w:val="de-DE"/>
        </w:rPr>
        <w:softHyphen/>
        <w:t>kontoverbindung sowie das in der Ermächtigung angegebene Datum enthalten.</w:t>
      </w:r>
    </w:p>
    <w:p w14:paraId="7245056C" w14:textId="77777777" w:rsidR="00D42676" w:rsidRPr="004676F5" w:rsidRDefault="00D42676" w:rsidP="00D42676">
      <w:pPr>
        <w:jc w:val="both"/>
        <w:rPr>
          <w:lang w:val="de-DE"/>
        </w:rPr>
      </w:pPr>
    </w:p>
    <w:p w14:paraId="5CEDE35D" w14:textId="61918D4B" w:rsidR="00D42676" w:rsidRPr="004676F5" w:rsidRDefault="00D42676" w:rsidP="00D42676">
      <w:pPr>
        <w:jc w:val="both"/>
        <w:rPr>
          <w:lang w:val="de-DE"/>
        </w:rPr>
      </w:pPr>
      <w:r w:rsidRPr="004676F5">
        <w:rPr>
          <w:lang w:val="de-DE"/>
        </w:rPr>
        <w:tab/>
        <w:t>§ 6 </w:t>
      </w:r>
      <w:r w:rsidR="005B7A5C" w:rsidRPr="004676F5">
        <w:rPr>
          <w:lang w:val="de-DE"/>
        </w:rPr>
        <w:t>- </w:t>
      </w:r>
      <w:r w:rsidRPr="004676F5">
        <w:rPr>
          <w:lang w:val="de-DE"/>
        </w:rPr>
        <w:t xml:space="preserve">Unbeschadet der Anwendung </w:t>
      </w:r>
      <w:r w:rsidR="001F0766" w:rsidRPr="004676F5">
        <w:rPr>
          <w:lang w:val="de-DE"/>
        </w:rPr>
        <w:t>[</w:t>
      </w:r>
      <w:r w:rsidRPr="004676F5">
        <w:rPr>
          <w:lang w:val="de-DE"/>
        </w:rPr>
        <w:t>von Artikel VII.</w:t>
      </w:r>
      <w:r w:rsidR="001F0766" w:rsidRPr="004676F5">
        <w:rPr>
          <w:lang w:val="de-DE"/>
        </w:rPr>
        <w:t>37</w:t>
      </w:r>
      <w:r w:rsidRPr="004676F5">
        <w:rPr>
          <w:lang w:val="de-DE"/>
        </w:rPr>
        <w:t xml:space="preserve"> § 2</w:t>
      </w:r>
      <w:r w:rsidR="001F0766" w:rsidRPr="004676F5">
        <w:rPr>
          <w:lang w:val="de-DE"/>
        </w:rPr>
        <w:t>]</w:t>
      </w:r>
      <w:r w:rsidRPr="004676F5">
        <w:rPr>
          <w:lang w:val="de-DE"/>
        </w:rPr>
        <w:t xml:space="preserve"> blockiert der übertragende Zahlungsdienstleister Zahlungsinstrumente nicht vor dem in der Ermächtigung des Verbrauchers angegebenen Datum, damit die Bereitstellung von Zahlungsdiensten für den Verbraucher im Rahmen der Abwicklung des Kontowechsel-Services nicht unterbrochen wird.</w:t>
      </w:r>
    </w:p>
    <w:p w14:paraId="2D384C9D" w14:textId="77777777" w:rsidR="00D42676" w:rsidRPr="004676F5" w:rsidRDefault="00D42676" w:rsidP="00D42676">
      <w:pPr>
        <w:jc w:val="both"/>
        <w:rPr>
          <w:lang w:val="de-DE"/>
        </w:rPr>
      </w:pPr>
    </w:p>
    <w:p w14:paraId="63DFF71A" w14:textId="77777777" w:rsidR="00D42676" w:rsidRPr="004676F5" w:rsidRDefault="00D42676" w:rsidP="00D42676">
      <w:pPr>
        <w:jc w:val="both"/>
        <w:rPr>
          <w:lang w:val="de-DE"/>
        </w:rPr>
      </w:pPr>
      <w:r w:rsidRPr="004676F5">
        <w:rPr>
          <w:lang w:val="de-DE"/>
        </w:rPr>
        <w:tab/>
        <w:t>Wenn ein beim übertragenden Zahlungsdienstleister geführtes Zahlungskonto mit Zahlungsinstrumenten verbunden ist, mit denen Zahlungsvorgänge mit einer Zahlungsfrist verrechnet werden, wird dieses Zahlungskonto spätestens drei Monate nach der Überweisung des positiven Saldos auf das neue Zahlungskonto geschlossen. Für diesen Zeitraum, in dem das alte Zahlungskonto geöffnet bleibt, werden keine Gebühren für die Führung des alten Zahlungskontos auferlegt.</w:t>
      </w:r>
    </w:p>
    <w:p w14:paraId="22179902" w14:textId="77777777" w:rsidR="00D42676" w:rsidRPr="004676F5" w:rsidRDefault="00D42676" w:rsidP="00D42676">
      <w:pPr>
        <w:jc w:val="both"/>
        <w:rPr>
          <w:lang w:val="de-DE"/>
        </w:rPr>
      </w:pPr>
    </w:p>
    <w:p w14:paraId="7E559F2A" w14:textId="4A0E287E" w:rsidR="00D42676" w:rsidRPr="004676F5" w:rsidRDefault="00D42676" w:rsidP="00D42676">
      <w:pPr>
        <w:jc w:val="both"/>
        <w:rPr>
          <w:lang w:val="de-DE"/>
        </w:rPr>
      </w:pPr>
      <w:r w:rsidRPr="004676F5">
        <w:rPr>
          <w:lang w:val="de-DE"/>
        </w:rPr>
        <w:tab/>
        <w:t>§ 7 </w:t>
      </w:r>
      <w:r w:rsidR="005B7A5C" w:rsidRPr="004676F5">
        <w:rPr>
          <w:lang w:val="de-DE"/>
        </w:rPr>
        <w:t>- </w:t>
      </w:r>
      <w:r w:rsidRPr="004676F5">
        <w:rPr>
          <w:lang w:val="de-DE"/>
        </w:rPr>
        <w:t>Der König kann die in vorliegendem Artikel erwähnten Fristen ändern, ohne den maximalen gesamten Zeitrahmen gemäß den Paragraphen 1 bis 6 zu überschreiten.]</w:t>
      </w:r>
    </w:p>
    <w:p w14:paraId="35C80C5D" w14:textId="56A1B0E6" w:rsidR="00D42676" w:rsidRPr="004676F5" w:rsidRDefault="00D42676" w:rsidP="00D42676">
      <w:pPr>
        <w:jc w:val="both"/>
        <w:rPr>
          <w:lang w:val="de-DE"/>
        </w:rPr>
      </w:pPr>
    </w:p>
    <w:p w14:paraId="37ED3211" w14:textId="7CE9D4CF" w:rsidR="00D42676" w:rsidRPr="004676F5" w:rsidRDefault="00D42676" w:rsidP="00D42676">
      <w:pPr>
        <w:jc w:val="both"/>
        <w:rPr>
          <w:i/>
          <w:lang w:val="de-DE"/>
        </w:rPr>
      </w:pPr>
      <w:r w:rsidRPr="004676F5">
        <w:rPr>
          <w:i/>
          <w:lang w:val="de-DE"/>
        </w:rPr>
        <w:t>[Art. VII.62/</w:t>
      </w:r>
      <w:r w:rsidR="000867F3" w:rsidRPr="004676F5">
        <w:rPr>
          <w:i/>
          <w:lang w:val="de-DE"/>
        </w:rPr>
        <w:t>2</w:t>
      </w:r>
      <w:r w:rsidRPr="004676F5">
        <w:rPr>
          <w:i/>
          <w:lang w:val="de-DE"/>
        </w:rPr>
        <w:t xml:space="preserve"> eingefügt durch Art. 2</w:t>
      </w:r>
      <w:r w:rsidR="000867F3" w:rsidRPr="004676F5">
        <w:rPr>
          <w:i/>
          <w:lang w:val="de-DE"/>
        </w:rPr>
        <w:t>1</w:t>
      </w:r>
      <w:r w:rsidRPr="004676F5">
        <w:rPr>
          <w:i/>
          <w:lang w:val="de-DE"/>
        </w:rPr>
        <w:t xml:space="preserve"> des G. vom 22. Dezember 2017 (B.S. vom 12. Januar 2018)</w:t>
      </w:r>
      <w:r w:rsidR="001F0766" w:rsidRPr="004676F5">
        <w:rPr>
          <w:i/>
          <w:lang w:val="de-DE"/>
        </w:rPr>
        <w:t>; § 6 Abs. 1 abgeändert durch Art. 8 des G. vom 19. Juli 2018 (B.S. vom 30. Juli 2018)</w:t>
      </w:r>
      <w:r w:rsidRPr="004676F5">
        <w:rPr>
          <w:i/>
          <w:lang w:val="de-DE"/>
        </w:rPr>
        <w:t>]</w:t>
      </w:r>
    </w:p>
    <w:p w14:paraId="140C5388" w14:textId="77777777" w:rsidR="00D42676" w:rsidRPr="004676F5" w:rsidRDefault="00D42676" w:rsidP="00D42676">
      <w:pPr>
        <w:jc w:val="both"/>
        <w:rPr>
          <w:lang w:val="de-DE"/>
        </w:rPr>
      </w:pPr>
    </w:p>
    <w:p w14:paraId="3391581E" w14:textId="77777777" w:rsidR="00D42676" w:rsidRPr="004676F5" w:rsidRDefault="00D42676" w:rsidP="00D42676">
      <w:pPr>
        <w:jc w:val="both"/>
        <w:rPr>
          <w:lang w:val="de-DE"/>
        </w:rPr>
      </w:pPr>
    </w:p>
    <w:p w14:paraId="69EE58E7" w14:textId="4552B5A1" w:rsidR="00D42676" w:rsidRPr="004676F5" w:rsidRDefault="00D42676" w:rsidP="00D42676">
      <w:pPr>
        <w:jc w:val="both"/>
        <w:rPr>
          <w:lang w:val="de-DE"/>
        </w:rPr>
      </w:pPr>
      <w:r w:rsidRPr="004676F5">
        <w:rPr>
          <w:lang w:val="de-DE"/>
        </w:rPr>
        <w:tab/>
      </w:r>
      <w:r w:rsidR="000867F3" w:rsidRPr="004676F5">
        <w:rPr>
          <w:lang w:val="de-DE"/>
        </w:rPr>
        <w:t>[</w:t>
      </w:r>
      <w:r w:rsidRPr="004676F5">
        <w:rPr>
          <w:b/>
          <w:lang w:val="de-DE"/>
        </w:rPr>
        <w:t>Art. VII.62/3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 Zahlungsdienstleister, bei dem ein Verbraucher ein Zahlungskonto unterhält, unterstützt diesen nach Erhalt einer entsprechenden Aufforderung in folgender Weise, wenn ihm der Verbraucher seinen Wunsch mitteilt, bei einem in einem anderen Land ansässigen Zahlungsdienstleister ein Zahlungskonto zu eröffnen:</w:t>
      </w:r>
    </w:p>
    <w:p w14:paraId="77D5863B" w14:textId="77777777" w:rsidR="00D42676" w:rsidRPr="004676F5" w:rsidRDefault="00D42676" w:rsidP="00D42676">
      <w:pPr>
        <w:jc w:val="both"/>
        <w:rPr>
          <w:lang w:val="de-DE"/>
        </w:rPr>
      </w:pPr>
    </w:p>
    <w:p w14:paraId="558B905A" w14:textId="77777777" w:rsidR="00D42676" w:rsidRPr="004676F5" w:rsidRDefault="00D42676" w:rsidP="00D42676">
      <w:pPr>
        <w:jc w:val="both"/>
        <w:rPr>
          <w:lang w:val="de-DE"/>
        </w:rPr>
      </w:pPr>
      <w:r w:rsidRPr="004676F5">
        <w:rPr>
          <w:lang w:val="de-DE"/>
        </w:rPr>
        <w:tab/>
        <w:t>1. Er stellt unentgeltlich ein Verzeichnis aller laufenden Dauerzahlungsaufträge und von dem Zahler und für den Zahler veranlassten Lastschriftmandate, sofern verfügbar, und mit den verfügbaren Informationen über wiederkehrende eingehende Überweisungen, Überweisungen mit Memodatum und Lastschriften, die vom Zahlungsempfänger auf dem Zahlungskonto des Verbrauchers in den dreizehn Monaten vor dem Datum der Ermächtigung veranlasst worden sind, zur Verfügung. Dieses Verzeichnis verpflichtet den neuen Zahlungsdienstleister nicht, Dienstleistungen vorzusehen, die er ansonsten nicht erbringt.</w:t>
      </w:r>
    </w:p>
    <w:p w14:paraId="662D9D8A" w14:textId="77777777" w:rsidR="00D42676" w:rsidRPr="004676F5" w:rsidRDefault="00D42676" w:rsidP="00D42676">
      <w:pPr>
        <w:jc w:val="both"/>
        <w:rPr>
          <w:lang w:val="de-DE"/>
        </w:rPr>
      </w:pPr>
    </w:p>
    <w:p w14:paraId="7F01B6F5" w14:textId="77777777" w:rsidR="00D42676" w:rsidRPr="004676F5" w:rsidRDefault="00D42676" w:rsidP="00D42676">
      <w:pPr>
        <w:jc w:val="both"/>
        <w:rPr>
          <w:lang w:val="de-DE"/>
        </w:rPr>
      </w:pPr>
      <w:r w:rsidRPr="004676F5">
        <w:rPr>
          <w:lang w:val="de-DE"/>
        </w:rPr>
        <w:tab/>
        <w:t>2. Er überweist jeglichen verbleibenden positiven Saldo auf dem geführten Zahlungskonto auf das beim neuen Zahlungsdienstleister eröffnete oder geführte Zahlungskonto, vorausgesetzt, die Aufforderung enthält vollständige Angaben, die die Identifizierung des neuen Zahlungsdienstleisters und des neuen Zahlungskontos ermöglichen.</w:t>
      </w:r>
    </w:p>
    <w:p w14:paraId="7FD4D08F" w14:textId="77777777" w:rsidR="00D42676" w:rsidRPr="004676F5" w:rsidRDefault="00D42676" w:rsidP="00D42676">
      <w:pPr>
        <w:jc w:val="both"/>
        <w:rPr>
          <w:lang w:val="de-DE"/>
        </w:rPr>
      </w:pPr>
    </w:p>
    <w:p w14:paraId="2251EC05" w14:textId="77777777" w:rsidR="00D42676" w:rsidRPr="004676F5" w:rsidRDefault="00D42676" w:rsidP="00D42676">
      <w:pPr>
        <w:jc w:val="both"/>
        <w:rPr>
          <w:lang w:val="de-DE"/>
        </w:rPr>
      </w:pPr>
      <w:r w:rsidRPr="004676F5">
        <w:rPr>
          <w:lang w:val="de-DE"/>
        </w:rPr>
        <w:tab/>
        <w:t>3. Er schließt das geführte Zahlungskonto.</w:t>
      </w:r>
    </w:p>
    <w:p w14:paraId="3BD84F36" w14:textId="77777777" w:rsidR="00D42676" w:rsidRPr="004676F5" w:rsidRDefault="00D42676" w:rsidP="00D42676">
      <w:pPr>
        <w:jc w:val="both"/>
        <w:rPr>
          <w:lang w:val="de-DE"/>
        </w:rPr>
      </w:pPr>
    </w:p>
    <w:p w14:paraId="7463AAD2" w14:textId="77777777" w:rsidR="00D42676" w:rsidRPr="004676F5" w:rsidRDefault="00D42676" w:rsidP="00D42676">
      <w:pPr>
        <w:jc w:val="both"/>
        <w:rPr>
          <w:lang w:val="de-DE"/>
        </w:rPr>
      </w:pPr>
      <w:r w:rsidRPr="004676F5">
        <w:rPr>
          <w:lang w:val="de-DE"/>
        </w:rPr>
        <w:lastRenderedPageBreak/>
        <w:tab/>
        <w:t>4. Er annulliert die mit dem Zahlungskonto verbundenen Zahlungsinstrumente.</w:t>
      </w:r>
    </w:p>
    <w:p w14:paraId="2E9D432F" w14:textId="77777777" w:rsidR="00D42676" w:rsidRPr="004676F5" w:rsidRDefault="00D42676" w:rsidP="00D42676">
      <w:pPr>
        <w:jc w:val="both"/>
        <w:rPr>
          <w:lang w:val="de-DE"/>
        </w:rPr>
      </w:pPr>
    </w:p>
    <w:p w14:paraId="62273684" w14:textId="7DFE8E22" w:rsidR="00D42676" w:rsidRPr="004676F5" w:rsidRDefault="00D42676" w:rsidP="00D42676">
      <w:pPr>
        <w:jc w:val="both"/>
        <w:rPr>
          <w:lang w:val="de-DE"/>
        </w:rPr>
      </w:pPr>
      <w:r w:rsidRPr="004676F5">
        <w:rPr>
          <w:lang w:val="de-DE"/>
        </w:rPr>
        <w:tab/>
        <w:t>§ 2 </w:t>
      </w:r>
      <w:r w:rsidR="005B7A5C" w:rsidRPr="004676F5">
        <w:rPr>
          <w:lang w:val="de-DE"/>
        </w:rPr>
        <w:t>- </w:t>
      </w:r>
      <w:r w:rsidRPr="004676F5">
        <w:rPr>
          <w:lang w:val="de-DE"/>
        </w:rPr>
        <w:t>Sofern der Verbraucher auf diesem Zahlungskonto keine ausstehenden Verpflichtungen mehr hat, vollzieht der Zahlungsdienstleister, bei dem der Verbraucher dieses Zahlungskonto unterhält, die Schritte nach § 1 zu dem von dem Verbraucher genannten Datum, das mindestens sechs Werktage nach dem Eingang des Verbraucherwunschs bei diesem Zahlungsdienstleister liegen muss. Der Zahlungsdienstleister setzt den Verbraucher umgehend in Kenntnis, wenn sein Zahlungskonto aufgrund noch offener Verpflichtungen nicht geschlossen werden kann</w:t>
      </w:r>
      <w:r w:rsidR="000867F3" w:rsidRPr="004676F5">
        <w:rPr>
          <w:lang w:val="de-DE"/>
        </w:rPr>
        <w:t>.]</w:t>
      </w:r>
    </w:p>
    <w:p w14:paraId="655CBA4B" w14:textId="3163C9FB" w:rsidR="000867F3" w:rsidRPr="004676F5" w:rsidRDefault="000867F3" w:rsidP="00D42676">
      <w:pPr>
        <w:jc w:val="both"/>
        <w:rPr>
          <w:lang w:val="de-DE"/>
        </w:rPr>
      </w:pPr>
    </w:p>
    <w:p w14:paraId="712C5F73" w14:textId="3FAA8BBE" w:rsidR="000867F3" w:rsidRPr="004676F5" w:rsidRDefault="000867F3" w:rsidP="000867F3">
      <w:pPr>
        <w:jc w:val="both"/>
        <w:rPr>
          <w:i/>
          <w:lang w:val="de-DE"/>
        </w:rPr>
      </w:pPr>
      <w:r w:rsidRPr="004676F5">
        <w:rPr>
          <w:i/>
          <w:lang w:val="de-DE"/>
        </w:rPr>
        <w:t>[Art. VII.62/3 eingefügt durch Art. 22 des G. vom 22. Dezember 2017 (B.S. vom 12. Januar 2018)]</w:t>
      </w:r>
    </w:p>
    <w:p w14:paraId="5C4869E3" w14:textId="77777777" w:rsidR="000867F3" w:rsidRPr="004676F5" w:rsidRDefault="000867F3" w:rsidP="00D42676">
      <w:pPr>
        <w:jc w:val="both"/>
        <w:rPr>
          <w:lang w:val="de-DE"/>
        </w:rPr>
      </w:pPr>
    </w:p>
    <w:p w14:paraId="107ACC2C" w14:textId="77777777" w:rsidR="00D42676" w:rsidRPr="004676F5" w:rsidRDefault="00D42676" w:rsidP="00D42676">
      <w:pPr>
        <w:jc w:val="both"/>
        <w:rPr>
          <w:lang w:val="de-DE"/>
        </w:rPr>
      </w:pPr>
    </w:p>
    <w:p w14:paraId="51F7735F" w14:textId="5AE5C743" w:rsidR="00D42676" w:rsidRPr="004676F5" w:rsidRDefault="00D42676" w:rsidP="00D42676">
      <w:pPr>
        <w:jc w:val="both"/>
        <w:rPr>
          <w:lang w:val="de-DE"/>
        </w:rPr>
      </w:pPr>
      <w:r w:rsidRPr="004676F5">
        <w:rPr>
          <w:lang w:val="de-DE"/>
        </w:rPr>
        <w:tab/>
      </w:r>
      <w:r w:rsidR="000867F3" w:rsidRPr="004676F5">
        <w:rPr>
          <w:lang w:val="de-DE"/>
        </w:rPr>
        <w:t>[</w:t>
      </w:r>
      <w:r w:rsidRPr="004676F5">
        <w:rPr>
          <w:b/>
          <w:lang w:val="de-DE"/>
        </w:rPr>
        <w:t>Art. VII.62/4</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Der übertragende oder empfangende Zahlungsdienstleister stellt sicher, dass Verbraucher unentgeltlich Zugang zu ihren personenbezogenen Daten im Zusammenhang mit Dauerzahlungsaufträgen, Überweisungen mit Memodatum, Lastschriften und mit einem Zahlungskonto verbundenen Zahlungsinstrumenten haben, die bei ihm vorhanden sind.</w:t>
      </w:r>
    </w:p>
    <w:p w14:paraId="1D11F6FB" w14:textId="77777777" w:rsidR="00D42676" w:rsidRPr="004676F5" w:rsidRDefault="00D42676" w:rsidP="00D42676">
      <w:pPr>
        <w:jc w:val="both"/>
        <w:rPr>
          <w:lang w:val="de-DE"/>
        </w:rPr>
      </w:pPr>
    </w:p>
    <w:p w14:paraId="553CAB23" w14:textId="536B6B10" w:rsidR="00D42676" w:rsidRPr="004676F5" w:rsidRDefault="00D42676" w:rsidP="00D42676">
      <w:pPr>
        <w:jc w:val="both"/>
        <w:rPr>
          <w:lang w:val="de-DE"/>
        </w:rPr>
      </w:pPr>
      <w:r w:rsidRPr="004676F5">
        <w:rPr>
          <w:lang w:val="de-DE"/>
        </w:rPr>
        <w:tab/>
        <w:t>§ 2 </w:t>
      </w:r>
      <w:r w:rsidR="005B7A5C" w:rsidRPr="004676F5">
        <w:rPr>
          <w:lang w:val="de-DE"/>
        </w:rPr>
        <w:t>- </w:t>
      </w:r>
      <w:r w:rsidRPr="004676F5">
        <w:rPr>
          <w:lang w:val="de-DE"/>
        </w:rPr>
        <w:t>Der übertragende Zahlungsdienstleister, der die vom empfangenden Zahlungs</w:t>
      </w:r>
      <w:r w:rsidRPr="004676F5">
        <w:rPr>
          <w:lang w:val="de-DE"/>
        </w:rPr>
        <w:softHyphen/>
        <w:t>dienstleister angeforderten Informationen gemäß Artikel VII.62/2 § 4 Nr. 1 übermittelt, verlangt vom Verbraucher oder vom empfangenden Zahlungsdienstleister kein Entgelt dafür.</w:t>
      </w:r>
    </w:p>
    <w:p w14:paraId="137E4126" w14:textId="77777777" w:rsidR="00D42676" w:rsidRPr="004676F5" w:rsidRDefault="00D42676" w:rsidP="00D42676">
      <w:pPr>
        <w:jc w:val="both"/>
        <w:rPr>
          <w:lang w:val="de-DE"/>
        </w:rPr>
      </w:pPr>
    </w:p>
    <w:p w14:paraId="6D9603B4" w14:textId="4B758D73" w:rsidR="00D42676" w:rsidRPr="004676F5" w:rsidRDefault="00D42676" w:rsidP="00D42676">
      <w:pPr>
        <w:jc w:val="both"/>
        <w:rPr>
          <w:lang w:val="de-DE"/>
        </w:rPr>
      </w:pPr>
      <w:r w:rsidRPr="004676F5">
        <w:rPr>
          <w:lang w:val="de-DE"/>
        </w:rPr>
        <w:tab/>
        <w:t>Dem Verbraucher dürfen keine Entgelte für die Schließung des Kontos und den Kontowechsel-Service in Rechnung gestellt werden, mit Ausnahme eventueller Portokosten im Rahmen der aufgrund von Artikel VII.62/2 geleisteten Dienste, die nicht die in den Paragraphen 1 bis 3 dieser Bes</w:t>
      </w:r>
      <w:r w:rsidR="000867F3" w:rsidRPr="004676F5">
        <w:rPr>
          <w:lang w:val="de-DE"/>
        </w:rPr>
        <w:t>timmung genannten Dienste sind.]</w:t>
      </w:r>
    </w:p>
    <w:p w14:paraId="77C05A61" w14:textId="295820C5" w:rsidR="000867F3" w:rsidRPr="004676F5" w:rsidRDefault="000867F3" w:rsidP="00D42676">
      <w:pPr>
        <w:jc w:val="both"/>
        <w:rPr>
          <w:lang w:val="de-DE"/>
        </w:rPr>
      </w:pPr>
    </w:p>
    <w:p w14:paraId="63501413" w14:textId="2E93E50E" w:rsidR="000867F3" w:rsidRPr="004676F5" w:rsidRDefault="000867F3" w:rsidP="000867F3">
      <w:pPr>
        <w:jc w:val="both"/>
        <w:rPr>
          <w:i/>
          <w:lang w:val="de-DE"/>
        </w:rPr>
      </w:pPr>
      <w:r w:rsidRPr="004676F5">
        <w:rPr>
          <w:i/>
          <w:lang w:val="de-DE"/>
        </w:rPr>
        <w:t>[Art. VII.62/4 eingefügt durch Art. 23 des G. vom 22. Dezember 2017 (B.S. vom 12. Januar 2018)]</w:t>
      </w:r>
    </w:p>
    <w:p w14:paraId="34EDDDD7" w14:textId="77777777" w:rsidR="000867F3" w:rsidRPr="004676F5" w:rsidRDefault="000867F3" w:rsidP="00D42676">
      <w:pPr>
        <w:jc w:val="both"/>
        <w:rPr>
          <w:lang w:val="de-DE"/>
        </w:rPr>
      </w:pPr>
    </w:p>
    <w:p w14:paraId="2F18F35F" w14:textId="77777777" w:rsidR="00D42676" w:rsidRPr="004676F5" w:rsidRDefault="00D42676" w:rsidP="00D42676">
      <w:pPr>
        <w:jc w:val="both"/>
        <w:rPr>
          <w:lang w:val="de-DE"/>
        </w:rPr>
      </w:pPr>
    </w:p>
    <w:p w14:paraId="79E6DB94" w14:textId="579604DD" w:rsidR="00D42676" w:rsidRPr="004676F5" w:rsidRDefault="000867F3" w:rsidP="00D42676">
      <w:pPr>
        <w:jc w:val="both"/>
        <w:rPr>
          <w:lang w:val="de-DE"/>
        </w:rPr>
      </w:pPr>
      <w:r w:rsidRPr="004676F5">
        <w:rPr>
          <w:lang w:val="de-DE"/>
        </w:rPr>
        <w:tab/>
        <w:t>[</w:t>
      </w:r>
      <w:r w:rsidR="00D42676" w:rsidRPr="004676F5">
        <w:rPr>
          <w:b/>
          <w:lang w:val="de-DE"/>
        </w:rPr>
        <w:t>Art. VII.62/5</w:t>
      </w:r>
      <w:r w:rsidR="00D42676" w:rsidRPr="004676F5">
        <w:rPr>
          <w:lang w:val="de-DE"/>
        </w:rPr>
        <w:t> </w:t>
      </w:r>
      <w:r w:rsidR="005B7A5C" w:rsidRPr="004676F5">
        <w:rPr>
          <w:lang w:val="de-DE"/>
        </w:rPr>
        <w:t>- </w:t>
      </w:r>
      <w:r w:rsidR="00D42676" w:rsidRPr="004676F5">
        <w:rPr>
          <w:lang w:val="de-DE"/>
        </w:rPr>
        <w:t>Etwaige finanzielle Verluste, einschließlich Entgelte und Zinsen, die dem Verbraucher unmittelbar dadurch entstehen, dass ein am Kontowechselverfahren beteiligter Zahlungsdienstleister seinen Verpflichtungen nach Artikel VII.62/2 nicht nachkommt, werden von diesem Zahlungsdienstleister unverzüglich und von Rechts wegen ersetzt.</w:t>
      </w:r>
    </w:p>
    <w:p w14:paraId="2882ADC2" w14:textId="77777777" w:rsidR="00D42676" w:rsidRPr="004676F5" w:rsidRDefault="00D42676" w:rsidP="00D42676">
      <w:pPr>
        <w:jc w:val="both"/>
        <w:rPr>
          <w:lang w:val="de-DE"/>
        </w:rPr>
      </w:pPr>
    </w:p>
    <w:p w14:paraId="3850C205" w14:textId="792130B0" w:rsidR="00D42676" w:rsidRPr="004676F5" w:rsidRDefault="00D42676" w:rsidP="00D42676">
      <w:pPr>
        <w:jc w:val="both"/>
        <w:rPr>
          <w:lang w:val="de-DE"/>
        </w:rPr>
      </w:pPr>
      <w:r w:rsidRPr="004676F5">
        <w:rPr>
          <w:lang w:val="de-DE"/>
        </w:rPr>
        <w:tab/>
        <w:t>Die in Absatz 1 erwähnte Haftung erstreckt sich nicht auf Fälle</w:t>
      </w:r>
      <w:r w:rsidR="000867F3" w:rsidRPr="004676F5">
        <w:rPr>
          <w:lang w:val="de-DE"/>
        </w:rPr>
        <w:t xml:space="preserve"> höherer Gewalt.]</w:t>
      </w:r>
    </w:p>
    <w:p w14:paraId="0D300BCB" w14:textId="77777777" w:rsidR="00D42676" w:rsidRPr="004676F5" w:rsidRDefault="00D42676" w:rsidP="00D42676">
      <w:pPr>
        <w:jc w:val="both"/>
        <w:rPr>
          <w:lang w:val="de-DE"/>
        </w:rPr>
      </w:pPr>
    </w:p>
    <w:p w14:paraId="762CAC2C" w14:textId="4B2D361C" w:rsidR="000867F3" w:rsidRPr="004676F5" w:rsidRDefault="000867F3" w:rsidP="000867F3">
      <w:pPr>
        <w:jc w:val="both"/>
        <w:rPr>
          <w:i/>
          <w:lang w:val="de-DE"/>
        </w:rPr>
      </w:pPr>
      <w:r w:rsidRPr="004676F5">
        <w:rPr>
          <w:i/>
          <w:lang w:val="de-DE"/>
        </w:rPr>
        <w:t>[Art. VII.62/5 eingefügt durch Art. 24 des G. vom 22. Dezember 2017 (B.S. vom 12. Januar 2018)]</w:t>
      </w:r>
    </w:p>
    <w:p w14:paraId="07411349" w14:textId="77777777" w:rsidR="00D42676" w:rsidRPr="004676F5" w:rsidRDefault="00D42676" w:rsidP="00D42676">
      <w:pPr>
        <w:jc w:val="both"/>
        <w:rPr>
          <w:lang w:val="de-DE"/>
        </w:rPr>
      </w:pPr>
    </w:p>
    <w:p w14:paraId="60A3F897" w14:textId="77777777" w:rsidR="00D42676" w:rsidRPr="004676F5" w:rsidRDefault="00D42676" w:rsidP="00D42676">
      <w:pPr>
        <w:jc w:val="both"/>
        <w:rPr>
          <w:lang w:val="de-DE"/>
        </w:rPr>
      </w:pPr>
    </w:p>
    <w:p w14:paraId="0D849D1D" w14:textId="01D9762F" w:rsidR="00D42676" w:rsidRPr="004676F5" w:rsidRDefault="00D42676" w:rsidP="00D42676">
      <w:pPr>
        <w:jc w:val="both"/>
        <w:rPr>
          <w:lang w:val="de-DE"/>
        </w:rPr>
      </w:pPr>
      <w:r w:rsidRPr="004676F5">
        <w:rPr>
          <w:lang w:val="de-DE"/>
        </w:rPr>
        <w:tab/>
      </w:r>
      <w:r w:rsidR="000867F3" w:rsidRPr="004676F5">
        <w:rPr>
          <w:lang w:val="de-DE"/>
        </w:rPr>
        <w:t>[</w:t>
      </w:r>
      <w:r w:rsidRPr="004676F5">
        <w:rPr>
          <w:b/>
          <w:lang w:val="de-DE"/>
        </w:rPr>
        <w:t>Art. VII.62/6</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Zahlungsdienstleister stellen Verbrauchern folgende Informa</w:t>
      </w:r>
      <w:r w:rsidRPr="004676F5">
        <w:rPr>
          <w:lang w:val="de-DE"/>
        </w:rPr>
        <w:softHyphen/>
        <w:t>tionen über den Kontowechsel-Service zur Verfügung:</w:t>
      </w:r>
    </w:p>
    <w:p w14:paraId="338C165C" w14:textId="77777777" w:rsidR="00D42676" w:rsidRPr="004676F5" w:rsidRDefault="00D42676" w:rsidP="00D42676">
      <w:pPr>
        <w:jc w:val="both"/>
        <w:rPr>
          <w:lang w:val="de-DE"/>
        </w:rPr>
      </w:pPr>
    </w:p>
    <w:p w14:paraId="2042A370" w14:textId="77777777" w:rsidR="00D42676" w:rsidRPr="004676F5" w:rsidRDefault="00D42676" w:rsidP="00D42676">
      <w:pPr>
        <w:jc w:val="both"/>
        <w:rPr>
          <w:lang w:val="de-DE"/>
        </w:rPr>
      </w:pPr>
      <w:r w:rsidRPr="004676F5">
        <w:rPr>
          <w:lang w:val="de-DE"/>
        </w:rPr>
        <w:tab/>
        <w:t>1. Aufgaben des übertragenden und empfangenden Zahlungsdienstleisters bei jedem Schritt des Kontowechselverfahrens gemäß Artikel VII.62/2,</w:t>
      </w:r>
    </w:p>
    <w:p w14:paraId="3784B543" w14:textId="77777777" w:rsidR="00D42676" w:rsidRPr="004676F5" w:rsidRDefault="00D42676" w:rsidP="00D42676">
      <w:pPr>
        <w:jc w:val="both"/>
        <w:rPr>
          <w:lang w:val="de-DE"/>
        </w:rPr>
      </w:pPr>
    </w:p>
    <w:p w14:paraId="792AA04E" w14:textId="77777777" w:rsidR="00D42676" w:rsidRPr="004676F5" w:rsidRDefault="00D42676" w:rsidP="00D42676">
      <w:pPr>
        <w:jc w:val="both"/>
        <w:rPr>
          <w:lang w:val="de-DE"/>
        </w:rPr>
      </w:pPr>
      <w:r w:rsidRPr="004676F5">
        <w:rPr>
          <w:lang w:val="de-DE"/>
        </w:rPr>
        <w:tab/>
        <w:t>2. Fristen für die Durchführung der jeweiligen Schritte,</w:t>
      </w:r>
    </w:p>
    <w:p w14:paraId="7354CFC9" w14:textId="77777777" w:rsidR="00D42676" w:rsidRPr="004676F5" w:rsidRDefault="00D42676" w:rsidP="00D42676">
      <w:pPr>
        <w:jc w:val="both"/>
        <w:rPr>
          <w:lang w:val="de-DE"/>
        </w:rPr>
      </w:pPr>
    </w:p>
    <w:p w14:paraId="17B4512D" w14:textId="77777777" w:rsidR="00D42676" w:rsidRPr="004676F5" w:rsidRDefault="00D42676" w:rsidP="00D42676">
      <w:pPr>
        <w:jc w:val="both"/>
        <w:rPr>
          <w:lang w:val="de-DE"/>
        </w:rPr>
      </w:pPr>
      <w:r w:rsidRPr="004676F5">
        <w:rPr>
          <w:lang w:val="de-DE"/>
        </w:rPr>
        <w:tab/>
        <w:t>3. etwaige für das Kontowechselverfahren in Rechnung gestellte Entgelte,</w:t>
      </w:r>
    </w:p>
    <w:p w14:paraId="7B9AE843" w14:textId="77777777" w:rsidR="00D42676" w:rsidRPr="004676F5" w:rsidRDefault="00D42676" w:rsidP="00D42676">
      <w:pPr>
        <w:jc w:val="both"/>
        <w:rPr>
          <w:lang w:val="de-DE"/>
        </w:rPr>
      </w:pPr>
    </w:p>
    <w:p w14:paraId="00CD4609" w14:textId="77777777" w:rsidR="00D42676" w:rsidRPr="004676F5" w:rsidRDefault="00D42676" w:rsidP="00D42676">
      <w:pPr>
        <w:jc w:val="both"/>
        <w:rPr>
          <w:lang w:val="de-DE"/>
        </w:rPr>
      </w:pPr>
      <w:r w:rsidRPr="004676F5">
        <w:rPr>
          <w:lang w:val="de-DE"/>
        </w:rPr>
        <w:tab/>
        <w:t>4. alle Informationen, die beim Verbraucher angefordert werden,</w:t>
      </w:r>
    </w:p>
    <w:p w14:paraId="5E0465C4" w14:textId="77777777" w:rsidR="00D42676" w:rsidRPr="004676F5" w:rsidRDefault="00D42676" w:rsidP="00D42676">
      <w:pPr>
        <w:jc w:val="both"/>
        <w:rPr>
          <w:lang w:val="de-DE"/>
        </w:rPr>
      </w:pPr>
    </w:p>
    <w:p w14:paraId="69C0E745" w14:textId="77777777" w:rsidR="00D42676" w:rsidRPr="004676F5" w:rsidRDefault="00D42676" w:rsidP="00D42676">
      <w:pPr>
        <w:jc w:val="both"/>
        <w:rPr>
          <w:lang w:val="de-DE"/>
        </w:rPr>
      </w:pPr>
      <w:r w:rsidRPr="004676F5">
        <w:rPr>
          <w:lang w:val="de-DE"/>
        </w:rPr>
        <w:tab/>
        <w:t>5. Verfahren der außergerichtlichen Streitbeilegung im Sinne von Artikel VII.216,</w:t>
      </w:r>
    </w:p>
    <w:p w14:paraId="287529EB" w14:textId="77777777" w:rsidR="00D42676" w:rsidRPr="004676F5" w:rsidRDefault="00D42676" w:rsidP="00D42676">
      <w:pPr>
        <w:jc w:val="both"/>
        <w:rPr>
          <w:lang w:val="de-DE"/>
        </w:rPr>
      </w:pPr>
    </w:p>
    <w:p w14:paraId="31D5ECC5" w14:textId="77777777" w:rsidR="00D42676" w:rsidRPr="004676F5" w:rsidRDefault="00D42676" w:rsidP="00D42676">
      <w:pPr>
        <w:jc w:val="both"/>
        <w:rPr>
          <w:lang w:val="de-DE"/>
        </w:rPr>
      </w:pPr>
      <w:r w:rsidRPr="004676F5">
        <w:rPr>
          <w:lang w:val="de-DE"/>
        </w:rPr>
        <w:tab/>
        <w:t>6. gegebenenfalls geltendes Einlagensicherungssystem des Zahlungsdienstleisters,</w:t>
      </w:r>
    </w:p>
    <w:p w14:paraId="76E91795" w14:textId="77777777" w:rsidR="00D42676" w:rsidRPr="004676F5" w:rsidRDefault="00D42676" w:rsidP="00D42676">
      <w:pPr>
        <w:jc w:val="both"/>
        <w:rPr>
          <w:lang w:val="de-DE"/>
        </w:rPr>
      </w:pPr>
    </w:p>
    <w:p w14:paraId="673A9D0C" w14:textId="77777777" w:rsidR="00D42676" w:rsidRPr="004676F5" w:rsidRDefault="00D42676" w:rsidP="00D42676">
      <w:pPr>
        <w:jc w:val="both"/>
        <w:rPr>
          <w:lang w:val="de-DE"/>
        </w:rPr>
      </w:pPr>
      <w:r w:rsidRPr="004676F5">
        <w:rPr>
          <w:lang w:val="de-DE"/>
        </w:rPr>
        <w:tab/>
        <w:t>7. gegebenenfalls in Artikel 5 Absatz 3 Buchstabe </w:t>
      </w:r>
      <w:r w:rsidRPr="004676F5">
        <w:rPr>
          <w:i/>
          <w:iCs/>
          <w:lang w:val="de-DE"/>
        </w:rPr>
        <w:t>d)</w:t>
      </w:r>
      <w:r w:rsidRPr="004676F5">
        <w:rPr>
          <w:lang w:val="de-DE"/>
        </w:rPr>
        <w:t xml:space="preserve"> der Verordnung (EU) Nr. 260/2012 erwähnte Rechte,</w:t>
      </w:r>
    </w:p>
    <w:p w14:paraId="4EA7C12E" w14:textId="77777777" w:rsidR="00D42676" w:rsidRPr="004676F5" w:rsidRDefault="00D42676" w:rsidP="00D42676">
      <w:pPr>
        <w:jc w:val="both"/>
        <w:rPr>
          <w:lang w:val="de-DE"/>
        </w:rPr>
      </w:pPr>
    </w:p>
    <w:p w14:paraId="14AAEA2A" w14:textId="47F3F7CE" w:rsidR="00D42676" w:rsidRPr="004676F5" w:rsidRDefault="00D42676" w:rsidP="00D42676">
      <w:pPr>
        <w:jc w:val="both"/>
        <w:rPr>
          <w:lang w:val="de-DE"/>
        </w:rPr>
      </w:pPr>
      <w:r w:rsidRPr="004676F5">
        <w:rPr>
          <w:lang w:val="de-DE"/>
        </w:rPr>
        <w:tab/>
        <w:t xml:space="preserve">8. aufgrund </w:t>
      </w:r>
      <w:r w:rsidR="00DA3F26" w:rsidRPr="004676F5">
        <w:rPr>
          <w:lang w:val="de-DE"/>
        </w:rPr>
        <w:t>[</w:t>
      </w:r>
      <w:r w:rsidRPr="004676F5">
        <w:rPr>
          <w:lang w:val="de-DE"/>
        </w:rPr>
        <w:t>der Artikel VII.</w:t>
      </w:r>
      <w:r w:rsidR="00DA3F26" w:rsidRPr="004676F5">
        <w:rPr>
          <w:lang w:val="de-DE"/>
        </w:rPr>
        <w:t>46</w:t>
      </w:r>
      <w:r w:rsidRPr="004676F5">
        <w:rPr>
          <w:lang w:val="de-DE"/>
        </w:rPr>
        <w:t xml:space="preserve"> und VII.</w:t>
      </w:r>
      <w:r w:rsidR="00DA3F26" w:rsidRPr="004676F5">
        <w:rPr>
          <w:lang w:val="de-DE"/>
        </w:rPr>
        <w:t>47]</w:t>
      </w:r>
      <w:r w:rsidRPr="004676F5">
        <w:rPr>
          <w:lang w:val="de-DE"/>
        </w:rPr>
        <w:t xml:space="preserve"> vereinbarte Rechte.</w:t>
      </w:r>
    </w:p>
    <w:p w14:paraId="7BE608AC" w14:textId="77777777" w:rsidR="00D42676" w:rsidRPr="004676F5" w:rsidRDefault="00D42676" w:rsidP="00D42676">
      <w:pPr>
        <w:jc w:val="both"/>
        <w:rPr>
          <w:lang w:val="de-DE"/>
        </w:rPr>
      </w:pPr>
    </w:p>
    <w:p w14:paraId="42E7B043" w14:textId="683B4BF5" w:rsidR="00D42676" w:rsidRPr="004676F5" w:rsidRDefault="00D42676" w:rsidP="00D42676">
      <w:pPr>
        <w:jc w:val="both"/>
        <w:rPr>
          <w:lang w:val="de-DE"/>
        </w:rPr>
      </w:pPr>
      <w:r w:rsidRPr="004676F5">
        <w:rPr>
          <w:lang w:val="de-DE"/>
        </w:rPr>
        <w:tab/>
        <w:t>§ 2 </w:t>
      </w:r>
      <w:r w:rsidR="005B7A5C" w:rsidRPr="004676F5">
        <w:rPr>
          <w:lang w:val="de-DE"/>
        </w:rPr>
        <w:t>- </w:t>
      </w:r>
      <w:r w:rsidRPr="004676F5">
        <w:rPr>
          <w:lang w:val="de-DE"/>
        </w:rPr>
        <w:t>Die Informationen gemäß § 1 werden unentgeltlich auf einem dauerhaften Datenträger in allen für Verbraucher zugänglichen Geschäftsräumen des Zahlungsdienstleisters bereitgestellt und außerdem jederzeit in elektronischer Form auf seiner Website verfügbar gehalten und Verbrauchern auf einfache Anfrage unentgeltlich zur Verfügung gestellt.</w:t>
      </w:r>
    </w:p>
    <w:p w14:paraId="4D61C4E5" w14:textId="77777777" w:rsidR="00D42676" w:rsidRPr="004676F5" w:rsidRDefault="00D42676" w:rsidP="00D42676">
      <w:pPr>
        <w:jc w:val="both"/>
        <w:rPr>
          <w:lang w:val="de-DE"/>
        </w:rPr>
      </w:pPr>
    </w:p>
    <w:p w14:paraId="3ACB54C4" w14:textId="4984C60D" w:rsidR="00D42676" w:rsidRPr="004676F5" w:rsidRDefault="00D42676" w:rsidP="00D42676">
      <w:pPr>
        <w:jc w:val="both"/>
        <w:rPr>
          <w:lang w:val="de-DE"/>
        </w:rPr>
      </w:pPr>
      <w:r w:rsidRPr="004676F5">
        <w:rPr>
          <w:lang w:val="de-DE"/>
        </w:rPr>
        <w:tab/>
        <w:t>Diese Informationen sind unmittelbar und ständig an einer für Verbraucher klaren und g</w:t>
      </w:r>
      <w:r w:rsidR="000867F3" w:rsidRPr="004676F5">
        <w:rPr>
          <w:lang w:val="de-DE"/>
        </w:rPr>
        <w:t>ut sichtbaren Stelle einsehbar.]</w:t>
      </w:r>
    </w:p>
    <w:p w14:paraId="257FB94C" w14:textId="77777777" w:rsidR="00D42676" w:rsidRPr="004676F5" w:rsidRDefault="00D42676" w:rsidP="00D42676">
      <w:pPr>
        <w:jc w:val="both"/>
        <w:rPr>
          <w:lang w:val="de-DE"/>
        </w:rPr>
      </w:pPr>
    </w:p>
    <w:p w14:paraId="50306F2A" w14:textId="370DC831" w:rsidR="000867F3" w:rsidRPr="004676F5" w:rsidRDefault="000867F3" w:rsidP="000867F3">
      <w:pPr>
        <w:jc w:val="both"/>
        <w:rPr>
          <w:i/>
          <w:lang w:val="de-DE"/>
        </w:rPr>
      </w:pPr>
      <w:r w:rsidRPr="004676F5">
        <w:rPr>
          <w:i/>
          <w:lang w:val="de-DE"/>
        </w:rPr>
        <w:t>[Art. VII.62/6 eingefügt durch Art. 25 des G. vom 22. Dezember 2017 (B.S. vom 12. Januar 2018)</w:t>
      </w:r>
      <w:r w:rsidR="00DA3F26" w:rsidRPr="004676F5">
        <w:rPr>
          <w:i/>
          <w:lang w:val="de-DE"/>
        </w:rPr>
        <w:t>; § 1 einziger Absatz Nr. 8 abgeändert durch Art. 9 des G. vom 19. Juli 2018 (B.S. vom 30. Juli 2018)</w:t>
      </w:r>
      <w:r w:rsidRPr="004676F5">
        <w:rPr>
          <w:i/>
          <w:lang w:val="de-DE"/>
        </w:rPr>
        <w:t>]</w:t>
      </w:r>
    </w:p>
    <w:p w14:paraId="0C85DAAE" w14:textId="35C7E8EF" w:rsidR="00D42676" w:rsidRPr="004676F5" w:rsidRDefault="00D42676" w:rsidP="00D42676">
      <w:pPr>
        <w:jc w:val="both"/>
        <w:rPr>
          <w:lang w:val="de-DE"/>
        </w:rPr>
      </w:pPr>
    </w:p>
    <w:p w14:paraId="513FD8BD" w14:textId="77777777" w:rsidR="000867F3" w:rsidRPr="004676F5" w:rsidRDefault="000867F3" w:rsidP="00D42676">
      <w:pPr>
        <w:jc w:val="both"/>
        <w:rPr>
          <w:lang w:val="de-DE"/>
        </w:rPr>
      </w:pPr>
    </w:p>
    <w:p w14:paraId="0623013B" w14:textId="6BFF462B" w:rsidR="00D42676" w:rsidRPr="004676F5" w:rsidRDefault="00D42676" w:rsidP="00D42676">
      <w:pPr>
        <w:jc w:val="both"/>
        <w:rPr>
          <w:lang w:val="de-DE"/>
        </w:rPr>
      </w:pPr>
      <w:r w:rsidRPr="004676F5">
        <w:rPr>
          <w:lang w:val="de-DE"/>
        </w:rPr>
        <w:tab/>
      </w:r>
      <w:r w:rsidR="000867F3" w:rsidRPr="004676F5">
        <w:rPr>
          <w:lang w:val="de-DE"/>
        </w:rPr>
        <w:t>[</w:t>
      </w:r>
      <w:r w:rsidRPr="004676F5">
        <w:rPr>
          <w:b/>
          <w:lang w:val="de-DE"/>
        </w:rPr>
        <w:t>Art. VII.62/7</w:t>
      </w:r>
      <w:r w:rsidRPr="004676F5">
        <w:rPr>
          <w:lang w:val="de-DE"/>
        </w:rPr>
        <w:t> </w:t>
      </w:r>
      <w:r w:rsidR="005B7A5C" w:rsidRPr="004676F5">
        <w:rPr>
          <w:lang w:val="de-DE"/>
        </w:rPr>
        <w:t>- </w:t>
      </w:r>
      <w:r w:rsidRPr="004676F5">
        <w:rPr>
          <w:lang w:val="de-DE"/>
        </w:rPr>
        <w:t>Sobald Zahler im Rahmen von wiederkehrenden eingehenden Überweisungen und Zahlungsempfänger im Rahmen von wiederkehrenden Lastschriften, die keine Verbraucher sind, die in Artikel VII.62/2 § 5 Nr. 4 und 5 erwähnten Informationen erhalten haben, müssen sie ihnen unverzüglich und spätestens an dem vom Verbraucher angegebenen Datum wie in Artikel VII.62/2 erwähnt Folge leisten und Zahlungen auf das beim empfangenden Zahlungsdienstleister geführte Zahlungskonto ausführen.</w:t>
      </w:r>
    </w:p>
    <w:p w14:paraId="07F2FADF" w14:textId="77777777" w:rsidR="00D42676" w:rsidRPr="004676F5" w:rsidRDefault="00D42676" w:rsidP="00D42676">
      <w:pPr>
        <w:jc w:val="both"/>
        <w:rPr>
          <w:lang w:val="de-DE"/>
        </w:rPr>
      </w:pPr>
    </w:p>
    <w:p w14:paraId="0F8EE69A" w14:textId="77777777" w:rsidR="00D42676" w:rsidRPr="004676F5" w:rsidRDefault="00D42676" w:rsidP="00D42676">
      <w:pPr>
        <w:jc w:val="both"/>
        <w:rPr>
          <w:lang w:val="de-DE"/>
        </w:rPr>
      </w:pPr>
      <w:r w:rsidRPr="004676F5">
        <w:rPr>
          <w:lang w:val="de-DE"/>
        </w:rPr>
        <w:tab/>
        <w:t>Ansonsten dürfen diese Zahlungsempfänger im Rahmen von wiederkehrenden Lastschriften keine Entgelte oder Zinsen in Rechnung stellen und müssen diese Zahler im Rahmen von wiederkehrenden eingehenden Überweisungen den Zahlungsempfängern von Rechts wegen und unverzüglich eine Entschädigung, die dem gesetzlichen Zinssatz für den Verzugszeitraum entspricht, zahlen. Gegebenenfalls müssen diese Zahlungsempfänger und Zahler die Kosten, die sich direkt aus der Nichteinhaltung des vorhergehenden Absatzes ergeben, tragen.</w:t>
      </w:r>
    </w:p>
    <w:p w14:paraId="78314E26" w14:textId="77777777" w:rsidR="00D42676" w:rsidRPr="004676F5" w:rsidRDefault="00D42676" w:rsidP="00D42676">
      <w:pPr>
        <w:jc w:val="both"/>
        <w:rPr>
          <w:lang w:val="de-DE"/>
        </w:rPr>
      </w:pPr>
    </w:p>
    <w:p w14:paraId="16900E74" w14:textId="77777777" w:rsidR="00D42676" w:rsidRPr="004676F5" w:rsidRDefault="00D42676" w:rsidP="00D42676">
      <w:pPr>
        <w:jc w:val="both"/>
        <w:rPr>
          <w:lang w:val="de-DE"/>
        </w:rPr>
      </w:pPr>
      <w:r w:rsidRPr="004676F5">
        <w:rPr>
          <w:lang w:val="de-DE"/>
        </w:rPr>
        <w:tab/>
        <w:t>Diese Haftung erstreckt sich nicht auf Fälle höherer Gewalt.</w:t>
      </w:r>
    </w:p>
    <w:p w14:paraId="2F873B5A" w14:textId="77777777" w:rsidR="00D42676" w:rsidRPr="004676F5" w:rsidRDefault="00D42676" w:rsidP="00D42676">
      <w:pPr>
        <w:jc w:val="both"/>
        <w:rPr>
          <w:lang w:val="de-DE"/>
        </w:rPr>
      </w:pPr>
    </w:p>
    <w:p w14:paraId="4106402B" w14:textId="71FCC2E9" w:rsidR="00D42676" w:rsidRPr="004676F5" w:rsidRDefault="00D42676" w:rsidP="00D42676">
      <w:pPr>
        <w:jc w:val="both"/>
        <w:rPr>
          <w:lang w:val="de-DE"/>
        </w:rPr>
      </w:pPr>
      <w:r w:rsidRPr="004676F5">
        <w:rPr>
          <w:lang w:val="de-DE"/>
        </w:rPr>
        <w:tab/>
        <w:t>Der König kann unter Berücksichtigung einer effizienten Dienstleistungserbringung die Ausführungsfrist gemäß Absatz 1 festlegen und die in Artikel VII.62/2 erwähnte Mindestfrist für die Ausführung von wiederkehrenden Lastschriften und eingehenden Überweisungen ändern.]</w:t>
      </w:r>
    </w:p>
    <w:p w14:paraId="5508BBD0" w14:textId="77777777" w:rsidR="000867F3" w:rsidRPr="004676F5" w:rsidRDefault="000867F3">
      <w:pPr>
        <w:rPr>
          <w:lang w:val="de-DE"/>
        </w:rPr>
      </w:pPr>
    </w:p>
    <w:p w14:paraId="02BEE471" w14:textId="0EA582CE" w:rsidR="000867F3" w:rsidRPr="004676F5" w:rsidRDefault="000867F3" w:rsidP="000867F3">
      <w:pPr>
        <w:jc w:val="both"/>
        <w:rPr>
          <w:i/>
          <w:lang w:val="de-DE"/>
        </w:rPr>
      </w:pPr>
      <w:r w:rsidRPr="004676F5">
        <w:rPr>
          <w:i/>
          <w:lang w:val="de-DE"/>
        </w:rPr>
        <w:t>[Art. VII.62/7 eingefügt durch Art. 26 des G. vom 22. Dezember 2017 (B.S. vom 12. Januar 2018)]</w:t>
      </w:r>
    </w:p>
    <w:p w14:paraId="57A78A47" w14:textId="66FB62C3" w:rsidR="00C76F75" w:rsidRPr="004676F5" w:rsidRDefault="00C76F75">
      <w:pPr>
        <w:rPr>
          <w:lang w:val="de-DE"/>
        </w:rPr>
      </w:pPr>
      <w:r w:rsidRPr="004676F5">
        <w:rPr>
          <w:lang w:val="de-DE"/>
        </w:rPr>
        <w:br w:type="page"/>
      </w:r>
    </w:p>
    <w:p w14:paraId="5170A4F3" w14:textId="4FB13850" w:rsidR="00881814" w:rsidRPr="004676F5" w:rsidRDefault="00881814" w:rsidP="00881814">
      <w:pPr>
        <w:jc w:val="center"/>
        <w:rPr>
          <w:lang w:val="de-DE"/>
        </w:rPr>
      </w:pPr>
      <w:r w:rsidRPr="004676F5">
        <w:rPr>
          <w:lang w:val="de-DE"/>
        </w:rPr>
        <w:lastRenderedPageBreak/>
        <w:t>KAPITEL 10 </w:t>
      </w:r>
      <w:r w:rsidR="005B7A5C" w:rsidRPr="004676F5">
        <w:rPr>
          <w:lang w:val="de-DE"/>
        </w:rPr>
        <w:t>- </w:t>
      </w:r>
      <w:r w:rsidRPr="004676F5">
        <w:rPr>
          <w:i/>
          <w:lang w:val="de-DE"/>
        </w:rPr>
        <w:t>Datenschutz</w:t>
      </w:r>
    </w:p>
    <w:p w14:paraId="6974F257" w14:textId="77777777" w:rsidR="00881814" w:rsidRPr="004676F5" w:rsidRDefault="00881814" w:rsidP="00881814">
      <w:pPr>
        <w:ind w:firstLine="708"/>
        <w:jc w:val="both"/>
        <w:rPr>
          <w:lang w:val="de-DE"/>
        </w:rPr>
      </w:pPr>
    </w:p>
    <w:p w14:paraId="4681DB4E" w14:textId="77777777" w:rsidR="009E165E" w:rsidRPr="004676F5" w:rsidRDefault="009E165E" w:rsidP="00881814">
      <w:pPr>
        <w:ind w:firstLine="708"/>
        <w:jc w:val="both"/>
        <w:rPr>
          <w:lang w:val="de-DE"/>
        </w:rPr>
      </w:pPr>
    </w:p>
    <w:p w14:paraId="7EC72828" w14:textId="54E8F4E8" w:rsidR="00881814" w:rsidRPr="004676F5" w:rsidRDefault="00BE0A56" w:rsidP="00881814">
      <w:pPr>
        <w:ind w:firstLine="708"/>
        <w:jc w:val="both"/>
        <w:rPr>
          <w:lang w:val="de-DE"/>
        </w:rPr>
      </w:pPr>
      <w:r w:rsidRPr="004676F5">
        <w:rPr>
          <w:b/>
          <w:lang w:val="de-DE"/>
        </w:rPr>
        <w:t>Art. </w:t>
      </w:r>
      <w:r w:rsidR="00881814" w:rsidRPr="004676F5">
        <w:rPr>
          <w:b/>
          <w:lang w:val="de-DE"/>
        </w:rPr>
        <w:t>VII.63</w:t>
      </w:r>
      <w:r w:rsidR="00881814" w:rsidRPr="004676F5">
        <w:rPr>
          <w:lang w:val="de-DE"/>
        </w:rPr>
        <w:t> </w:t>
      </w:r>
      <w:r w:rsidR="005B7A5C" w:rsidRPr="004676F5">
        <w:rPr>
          <w:lang w:val="de-DE"/>
        </w:rPr>
        <w:t>- </w:t>
      </w:r>
      <w:r w:rsidR="00881814" w:rsidRPr="004676F5">
        <w:rPr>
          <w:lang w:val="de-DE"/>
        </w:rPr>
        <w:t>Unbeschadet der Anwendung des Gesetzes vom 8. Dezember 1992 über den Schutz des Privatlebens hinsichtlich der Verarbeitung personenbezogener Daten ist die Verarbeitung personenbezogener Daten durch Zahlungssysteme und Zahlungsdienstleister erlaubt, wenn dies zur Vorbeugung, Ermittlung und Aufspürung von Bezahlungsbetrug erforderlich und sachdienlich ist.</w:t>
      </w:r>
    </w:p>
    <w:p w14:paraId="395C8B28" w14:textId="74DAA2C1" w:rsidR="00881814" w:rsidRPr="004676F5" w:rsidRDefault="00881814" w:rsidP="00881814">
      <w:pPr>
        <w:ind w:firstLine="708"/>
        <w:jc w:val="both"/>
        <w:rPr>
          <w:lang w:val="de-DE"/>
        </w:rPr>
      </w:pPr>
    </w:p>
    <w:p w14:paraId="508FA9A1" w14:textId="77777777" w:rsidR="007E2AED" w:rsidRPr="004676F5" w:rsidRDefault="007E2AED" w:rsidP="007E2AED">
      <w:pPr>
        <w:ind w:firstLine="708"/>
        <w:jc w:val="both"/>
        <w:rPr>
          <w:lang w:val="de-DE"/>
        </w:rPr>
      </w:pPr>
      <w:r w:rsidRPr="004676F5">
        <w:rPr>
          <w:lang w:val="de-DE"/>
        </w:rPr>
        <w:t>[Die Unterrichtung natürlicher Personen über die Verarbeitung personenbezogener Daten und die Verarbeitung solcher personenbezogener Daten und jede andere Verarbeitung personenbezogener Daten für die Zwecke des vorliegenden Buches erfolgen gemäß dem Gesetz vom 8. Dezember 1992 über den Schutz des Privatlebens hinsichtlich der Verarbeitung personenbezogener Daten und der Verordnung (EU) 2016/679 des Europäischen Parlaments und des Rates vom 27. April 2016 zum Schutz natürlicher Personen bei der Verarbeitung personenbezogener Daten, zum freien Datenverkehr und zur Aufhebung der Richt</w:t>
      </w:r>
      <w:r w:rsidRPr="004676F5">
        <w:rPr>
          <w:lang w:val="de-DE"/>
        </w:rPr>
        <w:softHyphen/>
        <w:t>linie 95/46/EG (Datenschutz-Grundverordnung).</w:t>
      </w:r>
    </w:p>
    <w:p w14:paraId="326B59EF" w14:textId="77777777" w:rsidR="007E2AED" w:rsidRPr="004676F5" w:rsidRDefault="007E2AED" w:rsidP="007E2AED">
      <w:pPr>
        <w:ind w:firstLine="708"/>
        <w:jc w:val="both"/>
        <w:rPr>
          <w:lang w:val="de-DE"/>
        </w:rPr>
      </w:pPr>
    </w:p>
    <w:p w14:paraId="02A2BCCE" w14:textId="7161A1B2" w:rsidR="007E2AED" w:rsidRPr="004676F5" w:rsidRDefault="007E2AED" w:rsidP="007E2AED">
      <w:pPr>
        <w:ind w:firstLine="708"/>
        <w:jc w:val="both"/>
        <w:rPr>
          <w:lang w:val="de-DE"/>
        </w:rPr>
      </w:pPr>
      <w:r w:rsidRPr="004676F5">
        <w:rPr>
          <w:lang w:val="de-DE"/>
        </w:rPr>
        <w:t>Zahlungsdienstleister dürfen die für das Erbringen ihrer Zahlungsdienste notwendigen personenbezogenen Daten nur mit der ausdrücklichen Zustimmung des Zahlungsdienstnutzers abrufen, verarbeiten und speichern.]</w:t>
      </w:r>
    </w:p>
    <w:p w14:paraId="2C31B06F" w14:textId="77777777" w:rsidR="007E2AED" w:rsidRPr="004676F5" w:rsidRDefault="007E2AED" w:rsidP="00881814">
      <w:pPr>
        <w:ind w:firstLine="708"/>
        <w:jc w:val="both"/>
        <w:rPr>
          <w:lang w:val="de-DE"/>
        </w:rPr>
      </w:pPr>
    </w:p>
    <w:p w14:paraId="2E53447D" w14:textId="498529A4" w:rsidR="001A36B9" w:rsidRPr="004676F5" w:rsidRDefault="00881814" w:rsidP="00881814">
      <w:pPr>
        <w:ind w:firstLine="708"/>
        <w:jc w:val="both"/>
        <w:rPr>
          <w:lang w:val="de-DE"/>
        </w:rPr>
      </w:pPr>
      <w:r w:rsidRPr="004676F5">
        <w:rPr>
          <w:lang w:val="de-DE"/>
        </w:rPr>
        <w:t>Der König kann nach Stellungnahme des Ausschusses für den Schutz des Privatlebens durch einen im Ministerrat beratenen Erlass die Modalitäten der Verarbeitung zu den in vorliegendem Buch bestimmten und gerechtfertigten Zwecken näher festlegen.</w:t>
      </w:r>
    </w:p>
    <w:p w14:paraId="149B5BB6" w14:textId="271A1482" w:rsidR="007E2AED" w:rsidRPr="004676F5" w:rsidRDefault="007E2AED" w:rsidP="00881814">
      <w:pPr>
        <w:ind w:firstLine="708"/>
        <w:jc w:val="both"/>
        <w:rPr>
          <w:lang w:val="de-DE"/>
        </w:rPr>
      </w:pPr>
    </w:p>
    <w:p w14:paraId="2E918C54" w14:textId="346E9552" w:rsidR="007E2AED" w:rsidRPr="004676F5" w:rsidRDefault="007E2AED" w:rsidP="007E2AED">
      <w:pPr>
        <w:jc w:val="both"/>
        <w:rPr>
          <w:i/>
          <w:lang w:val="de-DE"/>
        </w:rPr>
      </w:pPr>
      <w:r w:rsidRPr="004676F5">
        <w:rPr>
          <w:i/>
          <w:lang w:val="de-DE"/>
        </w:rPr>
        <w:t>[Art. VII.63 neue Absätze 2 und 3 eingefügt durch Art. 11 des G. vom 19. Juli 2018 (B.S. vom 30. Juli 2018)]</w:t>
      </w:r>
    </w:p>
    <w:p w14:paraId="4B7749C6" w14:textId="77777777" w:rsidR="001A36B9" w:rsidRPr="004676F5" w:rsidRDefault="001A36B9">
      <w:pPr>
        <w:rPr>
          <w:lang w:val="de-DE"/>
        </w:rPr>
      </w:pPr>
      <w:r w:rsidRPr="004676F5">
        <w:rPr>
          <w:lang w:val="de-DE"/>
        </w:rPr>
        <w:br w:type="page"/>
      </w:r>
    </w:p>
    <w:p w14:paraId="3A560D04" w14:textId="409E0845" w:rsidR="00881814" w:rsidRPr="004676F5" w:rsidRDefault="001A36B9" w:rsidP="001A36B9">
      <w:pPr>
        <w:ind w:firstLine="708"/>
        <w:jc w:val="center"/>
        <w:rPr>
          <w:lang w:val="de-DE"/>
        </w:rPr>
      </w:pPr>
      <w:r w:rsidRPr="004676F5">
        <w:rPr>
          <w:lang w:val="de-DE"/>
        </w:rPr>
        <w:lastRenderedPageBreak/>
        <w:t xml:space="preserve">[KAPITEL 11 </w:t>
      </w:r>
      <w:r w:rsidR="005B7A5C" w:rsidRPr="004676F5">
        <w:rPr>
          <w:lang w:val="de-DE"/>
        </w:rPr>
        <w:t>- </w:t>
      </w:r>
      <w:r w:rsidRPr="004676F5">
        <w:rPr>
          <w:i/>
          <w:lang w:val="de-DE"/>
        </w:rPr>
        <w:t>Interbankenentgelte</w:t>
      </w:r>
      <w:r w:rsidRPr="004676F5">
        <w:rPr>
          <w:lang w:val="de-DE"/>
        </w:rPr>
        <w:t>]</w:t>
      </w:r>
    </w:p>
    <w:p w14:paraId="123E355D" w14:textId="77777777" w:rsidR="001A36B9" w:rsidRPr="004676F5" w:rsidRDefault="001A36B9" w:rsidP="001A36B9">
      <w:pPr>
        <w:ind w:firstLine="708"/>
        <w:jc w:val="center"/>
        <w:rPr>
          <w:lang w:val="de-DE"/>
        </w:rPr>
      </w:pPr>
    </w:p>
    <w:p w14:paraId="7791DB44" w14:textId="27636687" w:rsidR="001A36B9" w:rsidRPr="004676F5" w:rsidRDefault="001A36B9" w:rsidP="001A36B9">
      <w:pPr>
        <w:jc w:val="both"/>
        <w:rPr>
          <w:i/>
          <w:lang w:val="de-DE"/>
        </w:rPr>
      </w:pPr>
      <w:r w:rsidRPr="004676F5">
        <w:rPr>
          <w:i/>
          <w:lang w:val="de-DE"/>
        </w:rPr>
        <w:t xml:space="preserve">[Unterteilung Kapitel 11 eingefügt durch </w:t>
      </w:r>
      <w:r w:rsidR="00BE0A56" w:rsidRPr="004676F5">
        <w:rPr>
          <w:i/>
          <w:lang w:val="de-DE"/>
        </w:rPr>
        <w:t>Art. </w:t>
      </w:r>
      <w:r w:rsidRPr="004676F5">
        <w:rPr>
          <w:i/>
          <w:lang w:val="de-DE"/>
        </w:rPr>
        <w:t>12 des G. vom 29. Juni 2016 (B.S. vom 6. Juli 2016)]</w:t>
      </w:r>
    </w:p>
    <w:p w14:paraId="3195BF88" w14:textId="77777777" w:rsidR="00881814" w:rsidRPr="004676F5" w:rsidRDefault="00881814" w:rsidP="00881814">
      <w:pPr>
        <w:rPr>
          <w:lang w:val="de-DE"/>
        </w:rPr>
      </w:pPr>
    </w:p>
    <w:p w14:paraId="58E199C0" w14:textId="77777777" w:rsidR="001A36B9" w:rsidRPr="004676F5" w:rsidRDefault="001A36B9" w:rsidP="00881814">
      <w:pPr>
        <w:rPr>
          <w:lang w:val="de-DE"/>
        </w:rPr>
      </w:pPr>
    </w:p>
    <w:p w14:paraId="61D43051" w14:textId="4284BBCB" w:rsidR="001A36B9" w:rsidRPr="004676F5" w:rsidRDefault="001A36B9" w:rsidP="001A36B9">
      <w:pPr>
        <w:jc w:val="both"/>
        <w:rPr>
          <w:lang w:val="de-DE"/>
        </w:rPr>
      </w:pPr>
      <w:r w:rsidRPr="004676F5">
        <w:rPr>
          <w:lang w:val="de-DE"/>
        </w:rPr>
        <w:tab/>
        <w:t>[</w:t>
      </w:r>
      <w:r w:rsidR="00BE0A56" w:rsidRPr="004676F5">
        <w:rPr>
          <w:b/>
          <w:lang w:val="de-DE"/>
        </w:rPr>
        <w:t>Art. </w:t>
      </w:r>
      <w:r w:rsidRPr="004676F5">
        <w:rPr>
          <w:b/>
          <w:lang w:val="de-DE"/>
        </w:rPr>
        <w:t>VII.63/1</w:t>
      </w:r>
      <w:r w:rsidRPr="004676F5">
        <w:rPr>
          <w:lang w:val="de-DE"/>
        </w:rPr>
        <w:t> </w:t>
      </w:r>
      <w:r w:rsidR="005B7A5C" w:rsidRPr="004676F5">
        <w:rPr>
          <w:lang w:val="de-DE"/>
        </w:rPr>
        <w:t>- </w:t>
      </w:r>
      <w:r w:rsidRPr="004676F5">
        <w:rPr>
          <w:lang w:val="de-DE"/>
        </w:rPr>
        <w:t>Der König kann für inländische Debitkartentransaktionen von Verbrauchern im Sinne der Verordnung (EU) 2015/751 einen Höchstprozentsatz und/oder einen Höchstbetrag für das Interbankenentgelt festlegen gemäß Artikel 3 Absatz 2 und 3 der Verordnung (EU) 2015/751.]</w:t>
      </w:r>
    </w:p>
    <w:p w14:paraId="244E7DE7" w14:textId="77777777" w:rsidR="001A36B9" w:rsidRPr="004676F5" w:rsidRDefault="001A36B9" w:rsidP="001A36B9">
      <w:pPr>
        <w:jc w:val="both"/>
        <w:rPr>
          <w:lang w:val="de-DE"/>
        </w:rPr>
      </w:pPr>
    </w:p>
    <w:p w14:paraId="7240BEA9" w14:textId="5F9ACA22" w:rsidR="001A36B9" w:rsidRPr="004676F5" w:rsidRDefault="001A36B9" w:rsidP="001A36B9">
      <w:pPr>
        <w:jc w:val="both"/>
        <w:rPr>
          <w:i/>
          <w:lang w:val="de-DE"/>
        </w:rPr>
      </w:pPr>
      <w:r w:rsidRPr="004676F5">
        <w:rPr>
          <w:i/>
          <w:lang w:val="de-DE"/>
        </w:rPr>
        <w:t>[</w:t>
      </w:r>
      <w:r w:rsidR="00BE0A56" w:rsidRPr="004676F5">
        <w:rPr>
          <w:i/>
          <w:lang w:val="de-DE"/>
        </w:rPr>
        <w:t>Art. </w:t>
      </w:r>
      <w:r w:rsidRPr="004676F5">
        <w:rPr>
          <w:i/>
          <w:lang w:val="de-DE"/>
        </w:rPr>
        <w:t xml:space="preserve">VII.63/1 eingefügt durch </w:t>
      </w:r>
      <w:r w:rsidR="00BE0A56" w:rsidRPr="004676F5">
        <w:rPr>
          <w:i/>
          <w:lang w:val="de-DE"/>
        </w:rPr>
        <w:t>Art. </w:t>
      </w:r>
      <w:r w:rsidR="00AC5E98" w:rsidRPr="004676F5">
        <w:rPr>
          <w:i/>
          <w:lang w:val="de-DE"/>
        </w:rPr>
        <w:t>1</w:t>
      </w:r>
      <w:r w:rsidRPr="004676F5">
        <w:rPr>
          <w:i/>
          <w:lang w:val="de-DE"/>
        </w:rPr>
        <w:t>3 des G. vom 29. Juni 2016 (B.S. vom 6. Juli 2016)]</w:t>
      </w:r>
    </w:p>
    <w:p w14:paraId="38DF5EFE" w14:textId="77777777" w:rsidR="00AC5E98" w:rsidRPr="004676F5" w:rsidRDefault="00AC5E98">
      <w:pPr>
        <w:rPr>
          <w:b/>
          <w:lang w:val="de-DE"/>
        </w:rPr>
      </w:pPr>
    </w:p>
    <w:p w14:paraId="6C4C0B04" w14:textId="77777777" w:rsidR="00AC5E98" w:rsidRPr="004676F5" w:rsidRDefault="00AC5E98">
      <w:pPr>
        <w:rPr>
          <w:b/>
          <w:lang w:val="de-DE"/>
        </w:rPr>
      </w:pPr>
    </w:p>
    <w:p w14:paraId="3C4F8300" w14:textId="20657270" w:rsidR="00AC5E98" w:rsidRPr="004676F5" w:rsidRDefault="00AC5E98" w:rsidP="00AC5E98">
      <w:pPr>
        <w:jc w:val="both"/>
        <w:rPr>
          <w:lang w:val="de-DE"/>
        </w:rPr>
      </w:pPr>
      <w:r w:rsidRPr="004676F5">
        <w:rPr>
          <w:lang w:val="de-DE"/>
        </w:rPr>
        <w:tab/>
        <w:t>[</w:t>
      </w:r>
      <w:r w:rsidR="00BE0A56" w:rsidRPr="004676F5">
        <w:rPr>
          <w:b/>
          <w:lang w:val="de-DE"/>
        </w:rPr>
        <w:t>Art. </w:t>
      </w:r>
      <w:r w:rsidRPr="004676F5">
        <w:rPr>
          <w:b/>
          <w:lang w:val="de-DE"/>
        </w:rPr>
        <w:t>VII.63/2</w:t>
      </w:r>
      <w:r w:rsidRPr="004676F5">
        <w:rPr>
          <w:lang w:val="de-DE"/>
        </w:rPr>
        <w:t xml:space="preserve"> </w:t>
      </w:r>
      <w:r w:rsidR="005B7A5C" w:rsidRPr="004676F5">
        <w:rPr>
          <w:lang w:val="de-DE"/>
        </w:rPr>
        <w:t>- </w:t>
      </w:r>
      <w:r w:rsidRPr="004676F5">
        <w:rPr>
          <w:lang w:val="de-DE"/>
        </w:rPr>
        <w:t>Der König kann für inländische Kreditkartentransaktionen von Verbrauchern im Sinne der Verordnung (EU) 2015/751 einen Höchstprozentsatz und/oder einen Höchstbetrag für das Interbankenentgelt festl</w:t>
      </w:r>
      <w:r w:rsidR="008C1624" w:rsidRPr="004676F5">
        <w:rPr>
          <w:lang w:val="de-DE"/>
        </w:rPr>
        <w:t>egen gemäß Artikel 4 der Verord</w:t>
      </w:r>
      <w:r w:rsidRPr="004676F5">
        <w:rPr>
          <w:lang w:val="de-DE"/>
        </w:rPr>
        <w:t>nung (EU) 2015/751.]</w:t>
      </w:r>
    </w:p>
    <w:p w14:paraId="51617C3A" w14:textId="77777777" w:rsidR="00AC5E98" w:rsidRPr="004676F5" w:rsidRDefault="00AC5E98" w:rsidP="00AC5E98">
      <w:pPr>
        <w:jc w:val="both"/>
        <w:rPr>
          <w:lang w:val="de-DE"/>
        </w:rPr>
      </w:pPr>
    </w:p>
    <w:p w14:paraId="23E7A61F" w14:textId="09EF0415" w:rsidR="00AC5E98" w:rsidRPr="004676F5" w:rsidRDefault="00AC5E98" w:rsidP="00AC5E98">
      <w:pPr>
        <w:jc w:val="both"/>
        <w:rPr>
          <w:lang w:val="de-DE"/>
        </w:rPr>
      </w:pPr>
      <w:r w:rsidRPr="004676F5">
        <w:rPr>
          <w:i/>
          <w:lang w:val="de-DE"/>
        </w:rPr>
        <w:t>[</w:t>
      </w:r>
      <w:r w:rsidR="00BE0A56" w:rsidRPr="004676F5">
        <w:rPr>
          <w:i/>
          <w:lang w:val="de-DE"/>
        </w:rPr>
        <w:t>Art. </w:t>
      </w:r>
      <w:r w:rsidRPr="004676F5">
        <w:rPr>
          <w:i/>
          <w:lang w:val="de-DE"/>
        </w:rPr>
        <w:t xml:space="preserve">VII.63/2 eingefügt durch </w:t>
      </w:r>
      <w:r w:rsidR="00BE0A56" w:rsidRPr="004676F5">
        <w:rPr>
          <w:i/>
          <w:lang w:val="de-DE"/>
        </w:rPr>
        <w:t>Art. </w:t>
      </w:r>
      <w:r w:rsidRPr="004676F5">
        <w:rPr>
          <w:i/>
          <w:lang w:val="de-DE"/>
        </w:rPr>
        <w:t>14 des G. vom 29. Juni 2016 (B.S. vom 6. Juli 2016)]</w:t>
      </w:r>
    </w:p>
    <w:p w14:paraId="08DCC011" w14:textId="77777777" w:rsidR="00B43103" w:rsidRPr="004676F5" w:rsidRDefault="00B43103" w:rsidP="00AC5E98">
      <w:pPr>
        <w:jc w:val="both"/>
        <w:rPr>
          <w:lang w:val="de-DE"/>
        </w:rPr>
      </w:pPr>
    </w:p>
    <w:p w14:paraId="17C1069F" w14:textId="77777777" w:rsidR="00B43103" w:rsidRPr="004676F5" w:rsidRDefault="00B43103" w:rsidP="00AC5E98">
      <w:pPr>
        <w:jc w:val="both"/>
        <w:rPr>
          <w:lang w:val="de-DE"/>
        </w:rPr>
      </w:pPr>
    </w:p>
    <w:p w14:paraId="6327CF50" w14:textId="2B69C9BD" w:rsidR="00B43103" w:rsidRPr="004676F5" w:rsidRDefault="00B43103" w:rsidP="00B43103">
      <w:pPr>
        <w:jc w:val="both"/>
        <w:rPr>
          <w:lang w:val="de-DE"/>
        </w:rPr>
      </w:pPr>
      <w:r w:rsidRPr="004676F5">
        <w:rPr>
          <w:lang w:val="de-DE"/>
        </w:rPr>
        <w:tab/>
        <w:t>[</w:t>
      </w:r>
      <w:r w:rsidR="00BE0A56" w:rsidRPr="004676F5">
        <w:rPr>
          <w:b/>
          <w:lang w:val="de-DE"/>
        </w:rPr>
        <w:t>Art. </w:t>
      </w:r>
      <w:r w:rsidRPr="004676F5">
        <w:rPr>
          <w:b/>
          <w:lang w:val="de-DE"/>
        </w:rPr>
        <w:t>VII.63/3</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Ein außergerichtliches Verfahren der Beschwerdenbearbeitung wird eingerichtet, um angemessene und wirksame außergerichtliche Beschwerde</w:t>
      </w:r>
      <w:r w:rsidR="005B7A5C" w:rsidRPr="004676F5">
        <w:rPr>
          <w:lang w:val="de-DE"/>
        </w:rPr>
        <w:t>- </w:t>
      </w:r>
      <w:r w:rsidRPr="004676F5">
        <w:rPr>
          <w:lang w:val="de-DE"/>
        </w:rPr>
        <w:t>und Rechtsbehelfsverfahren für die Beilegung etwaiger Streitigkeiten zwischen Zahlungs</w:t>
      </w:r>
      <w:r w:rsidRPr="004676F5">
        <w:rPr>
          <w:lang w:val="de-DE"/>
        </w:rPr>
        <w:softHyphen/>
        <w:t>empfängern und ihren Zahlungsdienstleistern, die aus den Bestimmungen der Verordnung (EU) Nr. 2015/751 und den Bestimmungen des Königlichen Erlasses zur Ausführung von Artikel VII.63/1 und Artikel VII.63/2 erwachsen, zu gewährleisten und zu fördern.</w:t>
      </w:r>
    </w:p>
    <w:p w14:paraId="094909D5" w14:textId="77777777" w:rsidR="00B43103" w:rsidRPr="004676F5" w:rsidRDefault="00B43103" w:rsidP="00B43103">
      <w:pPr>
        <w:jc w:val="both"/>
        <w:rPr>
          <w:lang w:val="de-DE"/>
        </w:rPr>
      </w:pPr>
    </w:p>
    <w:p w14:paraId="520AD4B8" w14:textId="77777777" w:rsidR="00B43103" w:rsidRPr="004676F5" w:rsidRDefault="00B43103" w:rsidP="00B43103">
      <w:pPr>
        <w:jc w:val="both"/>
        <w:rPr>
          <w:lang w:val="de-DE"/>
        </w:rPr>
      </w:pPr>
      <w:r w:rsidRPr="004676F5">
        <w:rPr>
          <w:lang w:val="de-DE"/>
        </w:rPr>
        <w:tab/>
        <w:t>Zahlungsempfänger und Zahlungsdienstleister sind im Sinne von Artikel 2 Nr. 13 beziehungsweise Artikel 2 Nr. 24 der Verordnung (EU) Nr. 2015/751 zu verstehen.</w:t>
      </w:r>
    </w:p>
    <w:p w14:paraId="048F745C" w14:textId="77777777" w:rsidR="00B43103" w:rsidRPr="004676F5" w:rsidRDefault="00B43103" w:rsidP="00B43103">
      <w:pPr>
        <w:jc w:val="both"/>
        <w:rPr>
          <w:lang w:val="de-DE"/>
        </w:rPr>
      </w:pPr>
    </w:p>
    <w:p w14:paraId="0E6F94EA" w14:textId="3895B543" w:rsidR="00B43103" w:rsidRPr="004676F5" w:rsidRDefault="00B43103" w:rsidP="00B43103">
      <w:pPr>
        <w:jc w:val="both"/>
        <w:rPr>
          <w:lang w:val="de-DE"/>
        </w:rPr>
      </w:pPr>
      <w:r w:rsidRPr="004676F5">
        <w:rPr>
          <w:lang w:val="de-DE"/>
        </w:rPr>
        <w:tab/>
        <w:t>§ 2 </w:t>
      </w:r>
      <w:r w:rsidR="005B7A5C" w:rsidRPr="004676F5">
        <w:rPr>
          <w:lang w:val="de-DE"/>
        </w:rPr>
        <w:t>- </w:t>
      </w:r>
      <w:r w:rsidRPr="004676F5">
        <w:rPr>
          <w:lang w:val="de-DE"/>
        </w:rPr>
        <w:t>Der zur Erfüllung des in § 1 erwähnten Auftrags bestimmte Ombudsdienst ist der Ombudsdienst für Finanzdienstleistungen, der in Anwendung von Artikel VII.216 eingerichtet worden ist.</w:t>
      </w:r>
    </w:p>
    <w:p w14:paraId="69B07DEB" w14:textId="77777777" w:rsidR="00B43103" w:rsidRPr="004676F5" w:rsidRDefault="00B43103" w:rsidP="00B43103">
      <w:pPr>
        <w:jc w:val="both"/>
        <w:rPr>
          <w:lang w:val="de-DE"/>
        </w:rPr>
      </w:pPr>
    </w:p>
    <w:p w14:paraId="32DB80F4" w14:textId="5912143E" w:rsidR="00B43103" w:rsidRPr="004676F5" w:rsidRDefault="00B43103" w:rsidP="00B43103">
      <w:pPr>
        <w:jc w:val="both"/>
        <w:rPr>
          <w:lang w:val="de-DE"/>
        </w:rPr>
      </w:pPr>
      <w:r w:rsidRPr="004676F5">
        <w:rPr>
          <w:lang w:val="de-DE"/>
        </w:rPr>
        <w:tab/>
        <w:t>§ 3 </w:t>
      </w:r>
      <w:r w:rsidR="005B7A5C" w:rsidRPr="004676F5">
        <w:rPr>
          <w:lang w:val="de-DE"/>
        </w:rPr>
        <w:t>- </w:t>
      </w:r>
      <w:r w:rsidRPr="004676F5">
        <w:rPr>
          <w:lang w:val="de-DE"/>
        </w:rPr>
        <w:t>Das Verfahren der außergerichtlichen Beilegung etwaiger aus der Verord</w:t>
      </w:r>
      <w:r w:rsidRPr="004676F5">
        <w:rPr>
          <w:lang w:val="de-DE"/>
        </w:rPr>
        <w:softHyphen/>
        <w:t>nung (EU) Nr. 2015/751 erwachsender Streitigkeiten zwischen Verbrauchern und ihren Zahlungsdienstleistern wird in der Satzung und den Regelungen des in Anwendung von Artikel VII.216 eingerichteten Ombudsdienstes für Finanzdienstleistungen geregelt.</w:t>
      </w:r>
    </w:p>
    <w:p w14:paraId="29EEEFA7" w14:textId="77777777" w:rsidR="00B43103" w:rsidRPr="004676F5" w:rsidRDefault="00B43103" w:rsidP="00B43103">
      <w:pPr>
        <w:jc w:val="both"/>
        <w:rPr>
          <w:lang w:val="de-DE"/>
        </w:rPr>
      </w:pPr>
    </w:p>
    <w:p w14:paraId="4E6C996E" w14:textId="6FF7C381" w:rsidR="00B43103" w:rsidRPr="004676F5" w:rsidRDefault="00B43103" w:rsidP="00B43103">
      <w:pPr>
        <w:jc w:val="both"/>
        <w:rPr>
          <w:lang w:val="de-DE"/>
        </w:rPr>
      </w:pPr>
      <w:r w:rsidRPr="004676F5">
        <w:rPr>
          <w:lang w:val="de-DE"/>
        </w:rPr>
        <w:tab/>
        <w:t>§ 4 </w:t>
      </w:r>
      <w:r w:rsidR="005B7A5C" w:rsidRPr="004676F5">
        <w:rPr>
          <w:lang w:val="de-DE"/>
        </w:rPr>
        <w:t>- </w:t>
      </w:r>
      <w:r w:rsidRPr="004676F5">
        <w:rPr>
          <w:lang w:val="de-DE"/>
        </w:rPr>
        <w:t>Zahlungsdienstleister treten einem Verfahren der außergerichtlichen Beilegung von Streitigkeiten im Rahmen der Verordnung (EU) Nr. 2015/751 wie in vorliegendem Artikel erwähnt bei, beteiligen sich an der Finanzierung dieses Verfahrens und leisten Informationsanfragen Folge, die ihnen im Rahmen dieses Streitbeilegungsverfahrens übermittelt werden.]</w:t>
      </w:r>
    </w:p>
    <w:p w14:paraId="374700E8" w14:textId="77777777" w:rsidR="00B43103" w:rsidRPr="004676F5" w:rsidRDefault="00B43103" w:rsidP="00B43103">
      <w:pPr>
        <w:jc w:val="both"/>
        <w:rPr>
          <w:lang w:val="de-DE"/>
        </w:rPr>
      </w:pPr>
    </w:p>
    <w:p w14:paraId="39FA85FE" w14:textId="7D573BD6" w:rsidR="00B43103" w:rsidRPr="004676F5" w:rsidRDefault="00B43103" w:rsidP="00B43103">
      <w:pPr>
        <w:jc w:val="both"/>
        <w:rPr>
          <w:i/>
          <w:lang w:val="de-DE"/>
        </w:rPr>
      </w:pPr>
      <w:r w:rsidRPr="004676F5">
        <w:rPr>
          <w:i/>
          <w:lang w:val="de-DE"/>
        </w:rPr>
        <w:t>[</w:t>
      </w:r>
      <w:r w:rsidR="00BE0A56" w:rsidRPr="004676F5">
        <w:rPr>
          <w:i/>
          <w:lang w:val="de-DE"/>
        </w:rPr>
        <w:t>Art. </w:t>
      </w:r>
      <w:r w:rsidRPr="004676F5">
        <w:rPr>
          <w:i/>
          <w:lang w:val="de-DE"/>
        </w:rPr>
        <w:t xml:space="preserve">VII.63/3 eingefügt durch </w:t>
      </w:r>
      <w:r w:rsidR="00BE0A56" w:rsidRPr="004676F5">
        <w:rPr>
          <w:i/>
          <w:lang w:val="de-DE"/>
        </w:rPr>
        <w:t>Art. </w:t>
      </w:r>
      <w:r w:rsidRPr="004676F5">
        <w:rPr>
          <w:i/>
          <w:lang w:val="de-DE"/>
        </w:rPr>
        <w:t xml:space="preserve">3 des G. vom 1. Dezember 2016 (B.S. vom </w:t>
      </w:r>
      <w:r w:rsidR="005D39C5" w:rsidRPr="004676F5">
        <w:rPr>
          <w:i/>
          <w:lang w:val="de-DE"/>
        </w:rPr>
        <w:t>15. Dezember 2016)</w:t>
      </w:r>
      <w:r w:rsidRPr="004676F5">
        <w:rPr>
          <w:i/>
          <w:lang w:val="de-DE"/>
        </w:rPr>
        <w:t>]</w:t>
      </w:r>
    </w:p>
    <w:p w14:paraId="5AF34693" w14:textId="77777777" w:rsidR="009E165E" w:rsidRPr="004676F5" w:rsidRDefault="009E165E" w:rsidP="00AC5E98">
      <w:pPr>
        <w:jc w:val="both"/>
        <w:rPr>
          <w:lang w:val="de-DE"/>
        </w:rPr>
      </w:pPr>
      <w:r w:rsidRPr="004676F5">
        <w:rPr>
          <w:lang w:val="de-DE"/>
        </w:rPr>
        <w:br w:type="page"/>
      </w:r>
    </w:p>
    <w:p w14:paraId="41E7656C" w14:textId="77777777" w:rsidR="001A36B9" w:rsidRPr="004676F5" w:rsidRDefault="001A36B9">
      <w:pPr>
        <w:rPr>
          <w:b/>
          <w:lang w:val="de-DE"/>
        </w:rPr>
      </w:pPr>
    </w:p>
    <w:p w14:paraId="652AA8EA" w14:textId="143056D2" w:rsidR="00881814" w:rsidRPr="004676F5" w:rsidRDefault="00881814" w:rsidP="00881814">
      <w:pPr>
        <w:jc w:val="center"/>
        <w:rPr>
          <w:b/>
          <w:lang w:val="de-DE"/>
        </w:rPr>
      </w:pPr>
      <w:r w:rsidRPr="004676F5">
        <w:rPr>
          <w:b/>
          <w:lang w:val="de-DE"/>
        </w:rPr>
        <w:t>TITEL 4 </w:t>
      </w:r>
      <w:r w:rsidR="005B7A5C" w:rsidRPr="004676F5">
        <w:rPr>
          <w:b/>
          <w:lang w:val="de-DE"/>
        </w:rPr>
        <w:t>- </w:t>
      </w:r>
      <w:r w:rsidRPr="004676F5">
        <w:rPr>
          <w:b/>
          <w:i/>
          <w:lang w:val="de-DE"/>
        </w:rPr>
        <w:t>Kreditverträge</w:t>
      </w:r>
    </w:p>
    <w:p w14:paraId="309EFA31" w14:textId="77777777" w:rsidR="00881814" w:rsidRPr="004676F5" w:rsidRDefault="00881814" w:rsidP="00881814">
      <w:pPr>
        <w:ind w:firstLine="708"/>
        <w:jc w:val="both"/>
        <w:rPr>
          <w:lang w:val="de-DE"/>
        </w:rPr>
      </w:pPr>
    </w:p>
    <w:p w14:paraId="5DF0F3D4" w14:textId="77777777" w:rsidR="009E165E" w:rsidRPr="004676F5" w:rsidRDefault="009E165E" w:rsidP="00881814">
      <w:pPr>
        <w:ind w:firstLine="708"/>
        <w:jc w:val="both"/>
        <w:rPr>
          <w:lang w:val="de-DE"/>
        </w:rPr>
      </w:pPr>
    </w:p>
    <w:p w14:paraId="7FC6F789" w14:textId="3F704EB1" w:rsidR="00881814" w:rsidRPr="004676F5" w:rsidRDefault="00881814" w:rsidP="00881814">
      <w:pPr>
        <w:jc w:val="center"/>
        <w:rPr>
          <w:lang w:val="de-DE"/>
        </w:rPr>
      </w:pPr>
      <w:r w:rsidRPr="004676F5">
        <w:rPr>
          <w:lang w:val="de-DE"/>
        </w:rPr>
        <w:t xml:space="preserve">KAPITEL 1 </w:t>
      </w:r>
      <w:r w:rsidR="005B7A5C" w:rsidRPr="004676F5">
        <w:rPr>
          <w:lang w:val="de-DE"/>
        </w:rPr>
        <w:t>- </w:t>
      </w:r>
      <w:r w:rsidRPr="004676F5">
        <w:rPr>
          <w:i/>
          <w:lang w:val="de-DE"/>
        </w:rPr>
        <w:t>Verbraucherkredit</w:t>
      </w:r>
    </w:p>
    <w:p w14:paraId="0F1335B6" w14:textId="77777777" w:rsidR="00881814" w:rsidRPr="004676F5" w:rsidRDefault="00881814" w:rsidP="00881814">
      <w:pPr>
        <w:ind w:firstLine="708"/>
        <w:jc w:val="both"/>
        <w:rPr>
          <w:lang w:val="de-DE"/>
        </w:rPr>
      </w:pPr>
    </w:p>
    <w:p w14:paraId="6F00532B" w14:textId="77777777" w:rsidR="009E165E" w:rsidRPr="004676F5" w:rsidRDefault="009E165E" w:rsidP="00881814">
      <w:pPr>
        <w:ind w:firstLine="708"/>
        <w:jc w:val="both"/>
        <w:rPr>
          <w:lang w:val="de-DE"/>
        </w:rPr>
      </w:pPr>
    </w:p>
    <w:p w14:paraId="7A838078" w14:textId="382A59DE" w:rsidR="00881814" w:rsidRPr="004676F5" w:rsidRDefault="00881814" w:rsidP="00881814">
      <w:pPr>
        <w:jc w:val="center"/>
        <w:rPr>
          <w:lang w:val="de-DE"/>
        </w:rPr>
      </w:pPr>
      <w:r w:rsidRPr="004676F5">
        <w:rPr>
          <w:i/>
          <w:lang w:val="de-DE"/>
        </w:rPr>
        <w:t>Abschnitt 1 </w:t>
      </w:r>
      <w:r w:rsidR="005B7A5C" w:rsidRPr="004676F5">
        <w:rPr>
          <w:i/>
          <w:lang w:val="de-DE"/>
        </w:rPr>
        <w:t>- </w:t>
      </w:r>
      <w:r w:rsidRPr="004676F5">
        <w:rPr>
          <w:lang w:val="de-DE"/>
        </w:rPr>
        <w:t>Werbung für Kredite</w:t>
      </w:r>
    </w:p>
    <w:p w14:paraId="21E47282" w14:textId="77777777" w:rsidR="00881814" w:rsidRPr="004676F5" w:rsidRDefault="00881814" w:rsidP="00881814">
      <w:pPr>
        <w:ind w:firstLine="708"/>
        <w:jc w:val="both"/>
        <w:rPr>
          <w:lang w:val="de-DE"/>
        </w:rPr>
      </w:pPr>
    </w:p>
    <w:p w14:paraId="5409A2E4" w14:textId="77777777" w:rsidR="009E165E" w:rsidRPr="004676F5" w:rsidRDefault="009E165E" w:rsidP="00881814">
      <w:pPr>
        <w:ind w:firstLine="708"/>
        <w:jc w:val="both"/>
        <w:rPr>
          <w:lang w:val="de-DE"/>
        </w:rPr>
      </w:pPr>
    </w:p>
    <w:p w14:paraId="10BAF17A" w14:textId="163E001D" w:rsidR="00881814" w:rsidRPr="004676F5" w:rsidRDefault="00881814" w:rsidP="00881814">
      <w:pPr>
        <w:jc w:val="center"/>
        <w:rPr>
          <w:lang w:val="de-DE"/>
        </w:rPr>
      </w:pPr>
      <w:r w:rsidRPr="004676F5">
        <w:rPr>
          <w:lang w:val="de-DE"/>
        </w:rPr>
        <w:t xml:space="preserve">Unterabschnitt 1 </w:t>
      </w:r>
      <w:r w:rsidR="005B7A5C" w:rsidRPr="004676F5">
        <w:rPr>
          <w:lang w:val="de-DE"/>
        </w:rPr>
        <w:t>- </w:t>
      </w:r>
      <w:r w:rsidRPr="004676F5">
        <w:rPr>
          <w:lang w:val="de-DE"/>
        </w:rPr>
        <w:t>Werbung</w:t>
      </w:r>
    </w:p>
    <w:p w14:paraId="6ECE9754" w14:textId="77777777" w:rsidR="00881814" w:rsidRPr="004676F5" w:rsidRDefault="00881814" w:rsidP="00881814">
      <w:pPr>
        <w:ind w:firstLine="708"/>
        <w:jc w:val="both"/>
        <w:rPr>
          <w:lang w:val="de-DE"/>
        </w:rPr>
      </w:pPr>
    </w:p>
    <w:p w14:paraId="069072B2" w14:textId="77777777" w:rsidR="009E165E" w:rsidRPr="004676F5" w:rsidRDefault="009E165E" w:rsidP="00881814">
      <w:pPr>
        <w:ind w:firstLine="708"/>
        <w:jc w:val="both"/>
        <w:rPr>
          <w:lang w:val="de-DE"/>
        </w:rPr>
      </w:pPr>
    </w:p>
    <w:p w14:paraId="6E8CCFD5" w14:textId="72C1EA4B" w:rsidR="00881814" w:rsidRPr="004676F5" w:rsidRDefault="00BE0A56" w:rsidP="00881814">
      <w:pPr>
        <w:ind w:firstLine="708"/>
        <w:jc w:val="both"/>
        <w:rPr>
          <w:lang w:val="de-DE"/>
        </w:rPr>
      </w:pPr>
      <w:r w:rsidRPr="004676F5">
        <w:rPr>
          <w:b/>
          <w:lang w:val="de-DE"/>
        </w:rPr>
        <w:t>Art. </w:t>
      </w:r>
      <w:r w:rsidR="00881814" w:rsidRPr="004676F5">
        <w:rPr>
          <w:b/>
          <w:lang w:val="de-DE"/>
        </w:rPr>
        <w:t>VII.64</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 xml:space="preserve">In jeder Werbung, die Zinssätze oder sonstige, auf die Kosten eines Kredits für den Verbraucher bezogene Zahlen enthält, sind folgende Standardinformationen in klarer und prägnanter Form sowie gut sichtbar beziehungsweise hörbar </w:t>
      </w:r>
      <w:r w:rsidR="00CC29D9" w:rsidRPr="004676F5">
        <w:rPr>
          <w:lang w:val="de-DE"/>
        </w:rPr>
        <w:t>[</w:t>
      </w:r>
      <w:r w:rsidR="00B30591" w:rsidRPr="004676F5">
        <w:rPr>
          <w:lang w:val="de-DE"/>
        </w:rPr>
        <w:t>...</w:t>
      </w:r>
      <w:r w:rsidR="00CC29D9" w:rsidRPr="004676F5">
        <w:rPr>
          <w:lang w:val="de-DE"/>
        </w:rPr>
        <w:t>]</w:t>
      </w:r>
      <w:r w:rsidR="00881814" w:rsidRPr="004676F5">
        <w:rPr>
          <w:lang w:val="de-DE"/>
        </w:rPr>
        <w:t xml:space="preserve"> zu nennen:</w:t>
      </w:r>
    </w:p>
    <w:p w14:paraId="2B0E0EEC" w14:textId="77777777" w:rsidR="00881814" w:rsidRPr="004676F5" w:rsidRDefault="00881814" w:rsidP="00881814">
      <w:pPr>
        <w:ind w:firstLine="708"/>
        <w:jc w:val="both"/>
        <w:rPr>
          <w:lang w:val="de-DE"/>
        </w:rPr>
      </w:pPr>
    </w:p>
    <w:p w14:paraId="555F46FB" w14:textId="77777777" w:rsidR="00881814" w:rsidRPr="004676F5" w:rsidRDefault="00881814" w:rsidP="00881814">
      <w:pPr>
        <w:ind w:firstLine="708"/>
        <w:jc w:val="both"/>
        <w:rPr>
          <w:lang w:val="de-DE"/>
        </w:rPr>
      </w:pPr>
      <w:r w:rsidRPr="004676F5">
        <w:rPr>
          <w:lang w:val="de-DE"/>
        </w:rPr>
        <w:t>1. fester und/oder variabler Sollzinssatz, zusammen mit Einzelheiten aller für den Verbraucher anfallenden, in die Gesamtkreditkosten einbezogenen Kosten,</w:t>
      </w:r>
    </w:p>
    <w:p w14:paraId="4332DD74" w14:textId="77777777" w:rsidR="00881814" w:rsidRPr="004676F5" w:rsidRDefault="00881814" w:rsidP="00881814">
      <w:pPr>
        <w:ind w:firstLine="708"/>
        <w:jc w:val="both"/>
        <w:rPr>
          <w:lang w:val="de-DE"/>
        </w:rPr>
      </w:pPr>
    </w:p>
    <w:p w14:paraId="116695EB" w14:textId="77777777" w:rsidR="00881814" w:rsidRPr="004676F5" w:rsidRDefault="00881814" w:rsidP="00881814">
      <w:pPr>
        <w:ind w:firstLine="708"/>
        <w:jc w:val="both"/>
        <w:rPr>
          <w:lang w:val="de-DE"/>
        </w:rPr>
      </w:pPr>
      <w:r w:rsidRPr="004676F5">
        <w:rPr>
          <w:lang w:val="de-DE"/>
        </w:rPr>
        <w:t>2. Kreditbetrag,</w:t>
      </w:r>
    </w:p>
    <w:p w14:paraId="279205A1" w14:textId="77777777" w:rsidR="00881814" w:rsidRPr="004676F5" w:rsidRDefault="00881814" w:rsidP="00881814">
      <w:pPr>
        <w:ind w:firstLine="708"/>
        <w:jc w:val="both"/>
        <w:rPr>
          <w:lang w:val="de-DE"/>
        </w:rPr>
      </w:pPr>
    </w:p>
    <w:p w14:paraId="27EEC03D" w14:textId="77777777" w:rsidR="00881814" w:rsidRPr="004676F5" w:rsidRDefault="00881814" w:rsidP="00881814">
      <w:pPr>
        <w:ind w:firstLine="708"/>
        <w:jc w:val="both"/>
        <w:rPr>
          <w:lang w:val="de-DE"/>
        </w:rPr>
      </w:pPr>
      <w:r w:rsidRPr="004676F5">
        <w:rPr>
          <w:lang w:val="de-DE"/>
        </w:rPr>
        <w:t>3. effektiver Jahreszins,</w:t>
      </w:r>
    </w:p>
    <w:p w14:paraId="0D51BA55" w14:textId="77777777" w:rsidR="00881814" w:rsidRPr="004676F5" w:rsidRDefault="00881814" w:rsidP="00881814">
      <w:pPr>
        <w:ind w:firstLine="708"/>
        <w:jc w:val="both"/>
        <w:rPr>
          <w:lang w:val="de-DE"/>
        </w:rPr>
      </w:pPr>
    </w:p>
    <w:p w14:paraId="1365FE03" w14:textId="77777777" w:rsidR="00881814" w:rsidRPr="004676F5" w:rsidRDefault="00881814" w:rsidP="00881814">
      <w:pPr>
        <w:ind w:firstLine="708"/>
        <w:jc w:val="both"/>
        <w:rPr>
          <w:lang w:val="de-DE"/>
        </w:rPr>
      </w:pPr>
      <w:r w:rsidRPr="004676F5">
        <w:rPr>
          <w:lang w:val="de-DE"/>
        </w:rPr>
        <w:t>4. Laufzeit des Kreditvertrags,</w:t>
      </w:r>
    </w:p>
    <w:p w14:paraId="4ACE763B" w14:textId="77777777" w:rsidR="00881814" w:rsidRPr="004676F5" w:rsidRDefault="00881814" w:rsidP="00881814">
      <w:pPr>
        <w:ind w:firstLine="708"/>
        <w:jc w:val="both"/>
        <w:rPr>
          <w:lang w:val="de-DE"/>
        </w:rPr>
      </w:pPr>
    </w:p>
    <w:p w14:paraId="6D9A97AA" w14:textId="77777777" w:rsidR="00881814" w:rsidRPr="004676F5" w:rsidRDefault="00881814" w:rsidP="00881814">
      <w:pPr>
        <w:ind w:firstLine="708"/>
        <w:jc w:val="both"/>
        <w:rPr>
          <w:lang w:val="de-DE"/>
        </w:rPr>
      </w:pPr>
      <w:r w:rsidRPr="004676F5">
        <w:rPr>
          <w:lang w:val="de-DE"/>
        </w:rPr>
        <w:t>5. im Falle eines Kredits in Form eines Zahlungsaufschubs für eine bestimmte Ware oder Dienstleistung, Barzahlungspreis und Betrag etwaiger Anzahlungen und</w:t>
      </w:r>
    </w:p>
    <w:p w14:paraId="5EB9339E" w14:textId="77777777" w:rsidR="00881814" w:rsidRPr="004676F5" w:rsidRDefault="00881814" w:rsidP="00881814">
      <w:pPr>
        <w:ind w:firstLine="708"/>
        <w:jc w:val="both"/>
        <w:rPr>
          <w:lang w:val="de-DE"/>
        </w:rPr>
      </w:pPr>
    </w:p>
    <w:p w14:paraId="01FE0CBE" w14:textId="77777777" w:rsidR="00881814" w:rsidRPr="004676F5" w:rsidRDefault="00881814" w:rsidP="00881814">
      <w:pPr>
        <w:ind w:firstLine="708"/>
        <w:jc w:val="both"/>
        <w:rPr>
          <w:lang w:val="de-DE"/>
        </w:rPr>
      </w:pPr>
      <w:r w:rsidRPr="004676F5">
        <w:rPr>
          <w:lang w:val="de-DE"/>
        </w:rPr>
        <w:t xml:space="preserve">6. gegebenenfalls vom Verbraucher zu zahlender Gesamtbetrag </w:t>
      </w:r>
      <w:r w:rsidR="00CC29D9" w:rsidRPr="004676F5">
        <w:rPr>
          <w:lang w:val="de-DE"/>
        </w:rPr>
        <w:t>[und Ratenbeträge]</w:t>
      </w:r>
      <w:r w:rsidRPr="004676F5">
        <w:rPr>
          <w:lang w:val="de-DE"/>
        </w:rPr>
        <w:t>.</w:t>
      </w:r>
    </w:p>
    <w:p w14:paraId="0A3B8E6C" w14:textId="77777777" w:rsidR="00881814" w:rsidRPr="004676F5" w:rsidRDefault="00881814" w:rsidP="00881814">
      <w:pPr>
        <w:ind w:firstLine="708"/>
        <w:jc w:val="both"/>
        <w:rPr>
          <w:lang w:val="de-DE"/>
        </w:rPr>
      </w:pPr>
    </w:p>
    <w:p w14:paraId="29D37DF6" w14:textId="77777777" w:rsidR="00881814" w:rsidRPr="004676F5" w:rsidRDefault="00CC29D9" w:rsidP="00881814">
      <w:pPr>
        <w:ind w:firstLine="708"/>
        <w:jc w:val="both"/>
        <w:rPr>
          <w:lang w:val="de-DE"/>
        </w:rPr>
      </w:pPr>
      <w:r w:rsidRPr="004676F5">
        <w:rPr>
          <w:lang w:val="de-DE"/>
        </w:rPr>
        <w:t>[Der König kann für jede Werbung, ungeachtet des verwendeten Trägers, die Schriftgröße der Informa</w:t>
      </w:r>
      <w:r w:rsidRPr="004676F5">
        <w:rPr>
          <w:lang w:val="de-DE"/>
        </w:rPr>
        <w:softHyphen/>
        <w:t>tionen bestimmen]</w:t>
      </w:r>
      <w:r w:rsidR="00881814" w:rsidRPr="004676F5">
        <w:rPr>
          <w:lang w:val="de-DE"/>
        </w:rPr>
        <w:t xml:space="preserve"> in Bezug auf die Art des Kreditgeschäfts, seine Dauer, den Betrag der Rückzahlungen, den effektiven Jahreszins und, wenn es sich um einen Sondersatz handelt, den Zeitraum, in dem dieser Satz gilt, sowie in Bezug darauf, ob der Sollzinssatz fest oder variabel ist.</w:t>
      </w:r>
    </w:p>
    <w:p w14:paraId="3193FDBB" w14:textId="77777777" w:rsidR="00881814" w:rsidRPr="004676F5" w:rsidRDefault="00881814" w:rsidP="00881814">
      <w:pPr>
        <w:ind w:firstLine="708"/>
        <w:jc w:val="both"/>
        <w:rPr>
          <w:lang w:val="de-DE"/>
        </w:rPr>
      </w:pPr>
    </w:p>
    <w:p w14:paraId="1579C272" w14:textId="77777777" w:rsidR="00881814" w:rsidRPr="004676F5" w:rsidRDefault="00881814" w:rsidP="00881814">
      <w:pPr>
        <w:ind w:firstLine="708"/>
        <w:jc w:val="both"/>
        <w:rPr>
          <w:lang w:val="de-DE"/>
        </w:rPr>
      </w:pPr>
      <w:r w:rsidRPr="004676F5">
        <w:rPr>
          <w:lang w:val="de-DE"/>
        </w:rPr>
        <w:t>Der Kreditbetrag basiert auf einem durchschnittlichen Kreditbetrag, der je nach Art des Kreditvertrags, für den geworben wird, für die Angebote des Kreditgebers beziehungsweise des Kreditvermittlers repräsentativ ist. Werden mehrere Kreditverträge gleichzeitig angeboten, muss für jede Art Kreditvertrag ein gesondertes repräsentatives Beispiel genannt werden.</w:t>
      </w:r>
    </w:p>
    <w:p w14:paraId="7B254087" w14:textId="77777777" w:rsidR="00CC29D9" w:rsidRPr="004676F5" w:rsidRDefault="00CC29D9" w:rsidP="00881814">
      <w:pPr>
        <w:ind w:firstLine="708"/>
        <w:jc w:val="both"/>
        <w:rPr>
          <w:lang w:val="de-DE"/>
        </w:rPr>
      </w:pPr>
    </w:p>
    <w:p w14:paraId="5F296A92" w14:textId="77777777" w:rsidR="00CC29D9" w:rsidRPr="004676F5" w:rsidRDefault="00CC29D9" w:rsidP="00881814">
      <w:pPr>
        <w:ind w:firstLine="708"/>
        <w:jc w:val="both"/>
        <w:rPr>
          <w:lang w:val="de-DE"/>
        </w:rPr>
      </w:pPr>
      <w:r w:rsidRPr="004676F5">
        <w:rPr>
          <w:lang w:val="de-DE"/>
        </w:rPr>
        <w:t>[Die in Absatz 1 aufgeführten Informationen sind durch ein repräsentatives Beispiel zu veranschaulichen und richten sich durchweg nach diesem repräsentativen Beispiel. Der König erlässt Kriterien für die Festlegung dieses Beispiels.]</w:t>
      </w:r>
    </w:p>
    <w:p w14:paraId="52EA5E72" w14:textId="77777777" w:rsidR="00881814" w:rsidRPr="004676F5" w:rsidRDefault="00881814" w:rsidP="00881814">
      <w:pPr>
        <w:ind w:firstLine="708"/>
        <w:jc w:val="both"/>
        <w:rPr>
          <w:lang w:val="de-DE"/>
        </w:rPr>
      </w:pPr>
    </w:p>
    <w:p w14:paraId="04361B7A" w14:textId="4DA967D0"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Jede Werbung in Bezug auf Verbraucherkredit enthält folgende Mitteilung:</w:t>
      </w:r>
    </w:p>
    <w:p w14:paraId="2AC8C58D" w14:textId="77777777" w:rsidR="00881814" w:rsidRPr="004676F5" w:rsidRDefault="00881814" w:rsidP="00881814">
      <w:pPr>
        <w:ind w:firstLine="708"/>
        <w:jc w:val="both"/>
        <w:rPr>
          <w:lang w:val="de-DE"/>
        </w:rPr>
      </w:pPr>
      <w:r w:rsidRPr="004676F5">
        <w:rPr>
          <w:lang w:val="de-DE"/>
        </w:rPr>
        <w:t xml:space="preserve"> </w:t>
      </w:r>
    </w:p>
    <w:p w14:paraId="734F8ED5" w14:textId="77777777" w:rsidR="00881814" w:rsidRPr="004676F5" w:rsidRDefault="00881814" w:rsidP="00881814">
      <w:pPr>
        <w:ind w:firstLine="708"/>
        <w:jc w:val="both"/>
        <w:rPr>
          <w:lang w:val="de-DE"/>
        </w:rPr>
      </w:pPr>
      <w:r w:rsidRPr="004676F5">
        <w:rPr>
          <w:lang w:val="de-DE"/>
        </w:rPr>
        <w:t>"Achtung, Geld leihen kostet auch Geld."</w:t>
      </w:r>
    </w:p>
    <w:p w14:paraId="4E276EB3" w14:textId="77777777" w:rsidR="00881814" w:rsidRPr="004676F5" w:rsidRDefault="00881814" w:rsidP="00881814">
      <w:pPr>
        <w:ind w:firstLine="708"/>
        <w:jc w:val="both"/>
        <w:rPr>
          <w:lang w:val="de-DE"/>
        </w:rPr>
      </w:pPr>
    </w:p>
    <w:p w14:paraId="59CEA377" w14:textId="77777777" w:rsidR="00881814" w:rsidRPr="004676F5" w:rsidRDefault="00881814" w:rsidP="00881814">
      <w:pPr>
        <w:ind w:firstLine="708"/>
        <w:jc w:val="both"/>
        <w:rPr>
          <w:lang w:val="de-DE"/>
        </w:rPr>
      </w:pPr>
      <w:r w:rsidRPr="004676F5">
        <w:rPr>
          <w:lang w:val="de-DE"/>
        </w:rPr>
        <w:t>Ungeachtet des verwendeten Datenträgers bestimmt der König gegebenenfalls die Schriftgröße dieses Satzes.</w:t>
      </w:r>
    </w:p>
    <w:p w14:paraId="6761EF49" w14:textId="77777777" w:rsidR="00881814" w:rsidRPr="004676F5" w:rsidRDefault="00881814" w:rsidP="00881814">
      <w:pPr>
        <w:ind w:firstLine="708"/>
        <w:jc w:val="both"/>
        <w:rPr>
          <w:lang w:val="de-DE"/>
        </w:rPr>
      </w:pPr>
    </w:p>
    <w:p w14:paraId="3325A24E" w14:textId="64DCA87F"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Ist der Abschluss eines Vertrags über die Inanspruchnahme einer Nebenleistung, insbesondere eines Versicherungsvertrags, im Zusammenhang mit dem Kreditvertrag zwingende Voraussetzung dafür, dass der Kredit überhaupt oder in Anwendung der vorgesehenen Vertragsbedingungen gewährt wird, und können die Kosten der Nebenleistung nicht im Voraus bestimmt werden, so ist auf die Verpflichtung zum Abschluss jenes Vertrags ebenfalls in klarer und prägnanter Form sowie gut sichtbar beziehungsweise hörbar zusammen mit dem effektiven Jahreszins hinzuweisen.</w:t>
      </w:r>
    </w:p>
    <w:p w14:paraId="45D05B8F" w14:textId="77777777" w:rsidR="00CC29D9" w:rsidRPr="004676F5" w:rsidRDefault="00CC29D9" w:rsidP="00881814">
      <w:pPr>
        <w:ind w:firstLine="708"/>
        <w:jc w:val="both"/>
        <w:rPr>
          <w:lang w:val="de-DE"/>
        </w:rPr>
      </w:pPr>
    </w:p>
    <w:p w14:paraId="655552E4" w14:textId="60FF9A73" w:rsidR="00CC29D9" w:rsidRPr="004676F5" w:rsidRDefault="00CC29D9" w:rsidP="00CC29D9">
      <w:pPr>
        <w:jc w:val="both"/>
        <w:rPr>
          <w:i/>
          <w:lang w:val="de-DE"/>
        </w:rPr>
      </w:pPr>
      <w:r w:rsidRPr="004676F5">
        <w:rPr>
          <w:i/>
          <w:lang w:val="de-DE"/>
        </w:rPr>
        <w:t>[</w:t>
      </w:r>
      <w:r w:rsidR="00BE0A56" w:rsidRPr="004676F5">
        <w:rPr>
          <w:i/>
          <w:lang w:val="de-DE"/>
        </w:rPr>
        <w:t>Art. </w:t>
      </w:r>
      <w:r w:rsidRPr="004676F5">
        <w:rPr>
          <w:i/>
          <w:lang w:val="de-DE"/>
        </w:rPr>
        <w:t xml:space="preserve">VII.64 § 1 Abs. 1 einleitende Bestimmung abgeändert durch </w:t>
      </w:r>
      <w:r w:rsidR="00BE0A56" w:rsidRPr="004676F5">
        <w:rPr>
          <w:i/>
          <w:lang w:val="de-DE"/>
        </w:rPr>
        <w:t>Art. </w:t>
      </w:r>
      <w:r w:rsidRPr="004676F5">
        <w:rPr>
          <w:i/>
          <w:lang w:val="de-DE"/>
        </w:rPr>
        <w:t xml:space="preserve">4 Nr. 1 des G. vom 22. April 2016 (B.S. vom 4. Mai 2016); § 1 Abs. 1 Nr. 6 abgeändert durch </w:t>
      </w:r>
      <w:r w:rsidR="00BE0A56" w:rsidRPr="004676F5">
        <w:rPr>
          <w:i/>
          <w:lang w:val="de-DE"/>
        </w:rPr>
        <w:t>Art. </w:t>
      </w:r>
      <w:r w:rsidRPr="004676F5">
        <w:rPr>
          <w:i/>
          <w:lang w:val="de-DE"/>
        </w:rPr>
        <w:t xml:space="preserve">4 Nr. 2 des G. vom 22. April 2016 (B.S. vom 4. Mai 2016); § 1 Abs. 2 abgeändert durch </w:t>
      </w:r>
      <w:r w:rsidR="00BE0A56" w:rsidRPr="004676F5">
        <w:rPr>
          <w:i/>
          <w:lang w:val="de-DE"/>
        </w:rPr>
        <w:t>Art. </w:t>
      </w:r>
      <w:r w:rsidRPr="004676F5">
        <w:rPr>
          <w:i/>
          <w:lang w:val="de-DE"/>
        </w:rPr>
        <w:t xml:space="preserve">4 Nr. 3 des G. vom 22. April 2016 (B.S. vom 4. Mai 2016); § 1 Abs. 4 eingefügt durch </w:t>
      </w:r>
      <w:r w:rsidR="00BE0A56" w:rsidRPr="004676F5">
        <w:rPr>
          <w:i/>
          <w:lang w:val="de-DE"/>
        </w:rPr>
        <w:t>Art. </w:t>
      </w:r>
      <w:r w:rsidRPr="004676F5">
        <w:rPr>
          <w:i/>
          <w:lang w:val="de-DE"/>
        </w:rPr>
        <w:t>4 Nr. 4 des G. vom 22. April 2016 (B.S. vom 4. Mai 2016)]</w:t>
      </w:r>
    </w:p>
    <w:p w14:paraId="1559DBC8" w14:textId="77777777" w:rsidR="00881814" w:rsidRPr="004676F5" w:rsidRDefault="00881814" w:rsidP="00881814">
      <w:pPr>
        <w:ind w:firstLine="708"/>
        <w:jc w:val="both"/>
        <w:rPr>
          <w:lang w:val="de-DE"/>
        </w:rPr>
      </w:pPr>
    </w:p>
    <w:p w14:paraId="33515129" w14:textId="77777777" w:rsidR="009E165E" w:rsidRPr="004676F5" w:rsidRDefault="009E165E" w:rsidP="00881814">
      <w:pPr>
        <w:ind w:firstLine="708"/>
        <w:jc w:val="both"/>
        <w:rPr>
          <w:lang w:val="de-DE"/>
        </w:rPr>
      </w:pPr>
    </w:p>
    <w:p w14:paraId="51A37300" w14:textId="3B50B8E2" w:rsidR="00881814" w:rsidRPr="004676F5" w:rsidRDefault="00BE0A56" w:rsidP="00881814">
      <w:pPr>
        <w:ind w:firstLine="708"/>
        <w:jc w:val="both"/>
        <w:rPr>
          <w:lang w:val="de-DE"/>
        </w:rPr>
      </w:pPr>
      <w:r w:rsidRPr="004676F5">
        <w:rPr>
          <w:b/>
          <w:lang w:val="de-DE"/>
        </w:rPr>
        <w:t>Art. </w:t>
      </w:r>
      <w:r w:rsidR="00881814" w:rsidRPr="004676F5">
        <w:rPr>
          <w:b/>
          <w:lang w:val="de-DE"/>
        </w:rPr>
        <w:t>VII.65</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Verboten ist jede Werbung für einen Kreditvertrag, die speziell darauf abzielt:</w:t>
      </w:r>
    </w:p>
    <w:p w14:paraId="067FB06E" w14:textId="77777777" w:rsidR="00881814" w:rsidRPr="004676F5" w:rsidRDefault="00881814" w:rsidP="00881814">
      <w:pPr>
        <w:ind w:firstLine="708"/>
        <w:jc w:val="both"/>
        <w:rPr>
          <w:lang w:val="de-DE"/>
        </w:rPr>
      </w:pPr>
    </w:p>
    <w:p w14:paraId="6BA00EE0" w14:textId="77777777" w:rsidR="00881814" w:rsidRPr="004676F5" w:rsidRDefault="00881814" w:rsidP="00881814">
      <w:pPr>
        <w:ind w:firstLine="708"/>
        <w:jc w:val="both"/>
        <w:rPr>
          <w:lang w:val="de-DE"/>
        </w:rPr>
      </w:pPr>
      <w:r w:rsidRPr="004676F5">
        <w:rPr>
          <w:lang w:val="de-DE"/>
        </w:rPr>
        <w:t>1. einen Verbraucher, der seine Schulden nicht begleichen kann, dazu zu verleiten, einen Kredit aufzunehmen,</w:t>
      </w:r>
    </w:p>
    <w:p w14:paraId="766799F0" w14:textId="77777777" w:rsidR="00881814" w:rsidRPr="004676F5" w:rsidRDefault="00881814" w:rsidP="00881814">
      <w:pPr>
        <w:ind w:firstLine="708"/>
        <w:jc w:val="both"/>
        <w:rPr>
          <w:lang w:val="de-DE"/>
        </w:rPr>
      </w:pPr>
    </w:p>
    <w:p w14:paraId="7F89820C" w14:textId="77777777" w:rsidR="00881814" w:rsidRPr="004676F5" w:rsidRDefault="00881814" w:rsidP="00881814">
      <w:pPr>
        <w:ind w:firstLine="708"/>
        <w:jc w:val="both"/>
        <w:rPr>
          <w:lang w:val="de-DE"/>
        </w:rPr>
      </w:pPr>
      <w:r w:rsidRPr="004676F5">
        <w:rPr>
          <w:lang w:val="de-DE"/>
        </w:rPr>
        <w:t>2. die Möglichkeit, einen Kredit einfach oder schnell zu erhalten, hervorzuheben,</w:t>
      </w:r>
    </w:p>
    <w:p w14:paraId="594EFBEC" w14:textId="77777777" w:rsidR="00881814" w:rsidRPr="004676F5" w:rsidRDefault="00881814" w:rsidP="00881814">
      <w:pPr>
        <w:ind w:firstLine="708"/>
        <w:jc w:val="both"/>
        <w:rPr>
          <w:lang w:val="de-DE"/>
        </w:rPr>
      </w:pPr>
    </w:p>
    <w:p w14:paraId="4623666C" w14:textId="77777777" w:rsidR="00881814" w:rsidRPr="004676F5" w:rsidRDefault="00881814" w:rsidP="00881814">
      <w:pPr>
        <w:ind w:firstLine="708"/>
        <w:jc w:val="both"/>
        <w:rPr>
          <w:lang w:val="de-DE"/>
        </w:rPr>
      </w:pPr>
      <w:r w:rsidRPr="004676F5">
        <w:rPr>
          <w:lang w:val="de-DE"/>
        </w:rPr>
        <w:t>3. zur Zusammenlegung oder Zentralisierung laufender Kredite zu verleiten oder zum Ausdruck zu bringen, dass laufende Kreditverträge keinen oder kaum Einfluss auf die Beurteilung eines Kreditantrags haben.</w:t>
      </w:r>
    </w:p>
    <w:p w14:paraId="571D2755" w14:textId="77777777" w:rsidR="00881814" w:rsidRPr="004676F5" w:rsidRDefault="00881814" w:rsidP="00881814">
      <w:pPr>
        <w:ind w:firstLine="708"/>
        <w:jc w:val="both"/>
        <w:rPr>
          <w:lang w:val="de-DE"/>
        </w:rPr>
      </w:pPr>
    </w:p>
    <w:p w14:paraId="147AC983" w14:textId="5D4999B0"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Ebenfalls verboten ist jede Werbung für einen Kreditvertrag:</w:t>
      </w:r>
    </w:p>
    <w:p w14:paraId="45917411" w14:textId="77777777" w:rsidR="00881814" w:rsidRPr="004676F5" w:rsidRDefault="00881814" w:rsidP="00881814">
      <w:pPr>
        <w:ind w:firstLine="708"/>
        <w:jc w:val="both"/>
        <w:rPr>
          <w:lang w:val="de-DE"/>
        </w:rPr>
      </w:pPr>
    </w:p>
    <w:p w14:paraId="781E82F8" w14:textId="77777777" w:rsidR="00881814" w:rsidRPr="004676F5" w:rsidRDefault="00881814" w:rsidP="00881814">
      <w:pPr>
        <w:ind w:firstLine="708"/>
        <w:jc w:val="both"/>
        <w:rPr>
          <w:lang w:val="de-DE"/>
        </w:rPr>
      </w:pPr>
      <w:r w:rsidRPr="004676F5">
        <w:rPr>
          <w:lang w:val="de-DE"/>
        </w:rPr>
        <w:t>1. die auf eine Zulassung, Registrierung oder Eintragung als Kreditgeber beziehungsweise Kreditvermittler verweist,</w:t>
      </w:r>
    </w:p>
    <w:p w14:paraId="45935948" w14:textId="77777777" w:rsidR="00881814" w:rsidRPr="004676F5" w:rsidRDefault="00881814" w:rsidP="00881814">
      <w:pPr>
        <w:ind w:firstLine="708"/>
        <w:jc w:val="both"/>
        <w:rPr>
          <w:lang w:val="de-DE"/>
        </w:rPr>
      </w:pPr>
    </w:p>
    <w:p w14:paraId="40D4FC4B" w14:textId="77777777" w:rsidR="00881814" w:rsidRPr="004676F5" w:rsidRDefault="00881814" w:rsidP="00881814">
      <w:pPr>
        <w:ind w:firstLine="708"/>
        <w:jc w:val="both"/>
        <w:rPr>
          <w:lang w:val="de-DE"/>
        </w:rPr>
      </w:pPr>
      <w:r w:rsidRPr="004676F5">
        <w:rPr>
          <w:lang w:val="de-DE"/>
        </w:rPr>
        <w:t>2. die durch den Verweis auf den maximalen effektiven Jahreszins oder die Rechtmäßigkeit der angewandten Zinssätze den Eindruck erweckt, dass diese Zinssätze die einzigen sind, die angewandt werden können.</w:t>
      </w:r>
    </w:p>
    <w:p w14:paraId="45DF9A9E" w14:textId="77777777" w:rsidR="00881814" w:rsidRPr="004676F5" w:rsidRDefault="00881814" w:rsidP="00881814">
      <w:pPr>
        <w:ind w:firstLine="708"/>
        <w:jc w:val="both"/>
        <w:rPr>
          <w:lang w:val="de-DE"/>
        </w:rPr>
      </w:pPr>
    </w:p>
    <w:p w14:paraId="2E3B8347" w14:textId="77777777" w:rsidR="00881814" w:rsidRPr="004676F5" w:rsidRDefault="00881814" w:rsidP="00881814">
      <w:pPr>
        <w:ind w:firstLine="708"/>
        <w:jc w:val="both"/>
        <w:rPr>
          <w:lang w:val="de-DE"/>
        </w:rPr>
      </w:pPr>
      <w:r w:rsidRPr="004676F5">
        <w:rPr>
          <w:lang w:val="de-DE"/>
        </w:rPr>
        <w:t>Jeder Verweis auf den gesetzlich zugelassenen maximalen effektiven Jahreszins und auf den gesetzlich zugelassenen maximalen Sollzinssatz muss unzweideutig, leserlich und gut sichtbar beziehungsweise hörbar sein und den gesetzlich zugelassenen maximalen effektiven Jahreszins präzise angeben,</w:t>
      </w:r>
    </w:p>
    <w:p w14:paraId="3C281981" w14:textId="77777777" w:rsidR="00881814" w:rsidRPr="004676F5" w:rsidRDefault="00881814" w:rsidP="00881814">
      <w:pPr>
        <w:ind w:firstLine="708"/>
        <w:jc w:val="both"/>
        <w:rPr>
          <w:lang w:val="de-DE"/>
        </w:rPr>
      </w:pPr>
    </w:p>
    <w:p w14:paraId="6967341D" w14:textId="77777777" w:rsidR="00881814" w:rsidRPr="004676F5" w:rsidRDefault="00881814" w:rsidP="00881814">
      <w:pPr>
        <w:ind w:firstLine="708"/>
        <w:jc w:val="both"/>
        <w:rPr>
          <w:lang w:val="de-DE"/>
        </w:rPr>
      </w:pPr>
      <w:r w:rsidRPr="004676F5">
        <w:rPr>
          <w:lang w:val="de-DE"/>
        </w:rPr>
        <w:t>3. in der angegeben wird, dass ein Kreditvertrag ohne Informationen abgeschlossen werden kann, die eine Beurteilung der Finanzlage des Verbrauchers ermöglichen,</w:t>
      </w:r>
    </w:p>
    <w:p w14:paraId="37473CF7" w14:textId="77777777" w:rsidR="00881814" w:rsidRPr="004676F5" w:rsidRDefault="00881814" w:rsidP="00881814">
      <w:pPr>
        <w:ind w:firstLine="708"/>
        <w:jc w:val="both"/>
        <w:rPr>
          <w:lang w:val="de-DE"/>
        </w:rPr>
      </w:pPr>
    </w:p>
    <w:p w14:paraId="42FA8FF2" w14:textId="77777777" w:rsidR="00881814" w:rsidRPr="004676F5" w:rsidRDefault="00881814" w:rsidP="00881814">
      <w:pPr>
        <w:ind w:firstLine="708"/>
        <w:jc w:val="both"/>
        <w:rPr>
          <w:lang w:val="de-DE"/>
        </w:rPr>
      </w:pPr>
      <w:r w:rsidRPr="004676F5">
        <w:rPr>
          <w:lang w:val="de-DE"/>
        </w:rPr>
        <w:t>4. in der eine andere Identität, Anschrift oder Eigenschaft genannt wird als die, die vom Inserenten im Rahmen der Zulassung, Registrierung beziehungsweise Eintragung als Kreditgeber beziehungsweise Kreditvermittler mitgeteilt worden ist,</w:t>
      </w:r>
    </w:p>
    <w:p w14:paraId="217103F1" w14:textId="77777777" w:rsidR="00881814" w:rsidRPr="004676F5" w:rsidRDefault="00881814" w:rsidP="00881814">
      <w:pPr>
        <w:ind w:firstLine="708"/>
        <w:jc w:val="both"/>
        <w:rPr>
          <w:lang w:val="de-DE"/>
        </w:rPr>
      </w:pPr>
    </w:p>
    <w:p w14:paraId="07B103E7" w14:textId="77777777" w:rsidR="00881814" w:rsidRPr="004676F5" w:rsidRDefault="00881814" w:rsidP="00881814">
      <w:pPr>
        <w:ind w:firstLine="708"/>
        <w:jc w:val="both"/>
        <w:rPr>
          <w:lang w:val="de-DE"/>
        </w:rPr>
      </w:pPr>
      <w:r w:rsidRPr="004676F5">
        <w:rPr>
          <w:lang w:val="de-DE"/>
        </w:rPr>
        <w:t>5. in der Kreditarten ausschließlich durch Bezeichnungen angegeben werden, die sich von den in vorliegendem Buch verwendeten Bezeichnungen unterscheiden,</w:t>
      </w:r>
    </w:p>
    <w:p w14:paraId="2CEF761B" w14:textId="77777777" w:rsidR="00881814" w:rsidRPr="004676F5" w:rsidRDefault="00881814" w:rsidP="00881814">
      <w:pPr>
        <w:ind w:firstLine="708"/>
        <w:jc w:val="both"/>
        <w:rPr>
          <w:lang w:val="de-DE"/>
        </w:rPr>
      </w:pPr>
    </w:p>
    <w:p w14:paraId="7992C4B2" w14:textId="77777777" w:rsidR="00881814" w:rsidRPr="004676F5" w:rsidRDefault="00881814" w:rsidP="00881814">
      <w:pPr>
        <w:ind w:firstLine="708"/>
        <w:jc w:val="both"/>
        <w:rPr>
          <w:lang w:val="de-DE"/>
        </w:rPr>
      </w:pPr>
      <w:r w:rsidRPr="004676F5">
        <w:rPr>
          <w:lang w:val="de-DE"/>
        </w:rPr>
        <w:lastRenderedPageBreak/>
        <w:t>6. in der günstige Zinssätze genannt werden, ohne die Sonderbedingungen und Einschränkungen anzugeben, denen die Inanspruchnahme dieser Sätze unterliegt,</w:t>
      </w:r>
    </w:p>
    <w:p w14:paraId="0E90C72B" w14:textId="77777777" w:rsidR="00881814" w:rsidRPr="004676F5" w:rsidRDefault="00881814" w:rsidP="00881814">
      <w:pPr>
        <w:ind w:firstLine="708"/>
        <w:jc w:val="both"/>
        <w:rPr>
          <w:lang w:val="de-DE"/>
        </w:rPr>
      </w:pPr>
    </w:p>
    <w:p w14:paraId="633582AD" w14:textId="77777777" w:rsidR="00881814" w:rsidRPr="004676F5" w:rsidRDefault="00881814" w:rsidP="00881814">
      <w:pPr>
        <w:ind w:firstLine="708"/>
        <w:jc w:val="both"/>
        <w:rPr>
          <w:lang w:val="de-DE"/>
        </w:rPr>
      </w:pPr>
      <w:r w:rsidRPr="004676F5">
        <w:rPr>
          <w:lang w:val="de-DE"/>
        </w:rPr>
        <w:t>7. in der mit Worten, Zeichen oder Symbolen angegeben wird, dass der Kreditbetrag in bar oder als Bargeld zur Verfügung gestellt wird,</w:t>
      </w:r>
    </w:p>
    <w:p w14:paraId="16E320AF" w14:textId="77777777" w:rsidR="00881814" w:rsidRPr="004676F5" w:rsidRDefault="00881814" w:rsidP="00881814">
      <w:pPr>
        <w:ind w:firstLine="708"/>
        <w:jc w:val="both"/>
        <w:rPr>
          <w:lang w:val="de-DE"/>
        </w:rPr>
      </w:pPr>
    </w:p>
    <w:p w14:paraId="22699A64" w14:textId="77777777" w:rsidR="00881814" w:rsidRPr="004676F5" w:rsidRDefault="00881814" w:rsidP="00881814">
      <w:pPr>
        <w:ind w:firstLine="708"/>
        <w:jc w:val="both"/>
        <w:rPr>
          <w:lang w:val="de-DE"/>
        </w:rPr>
      </w:pPr>
      <w:r w:rsidRPr="004676F5">
        <w:rPr>
          <w:lang w:val="de-DE"/>
        </w:rPr>
        <w:t>8. die den Vermerk "Gratiskredit" oder einen ähnlichen Vermerk enthält, bei dem es sich nicht um den effektiven Jahreszins handelt,</w:t>
      </w:r>
    </w:p>
    <w:p w14:paraId="4854A660" w14:textId="77777777" w:rsidR="00881814" w:rsidRPr="004676F5" w:rsidRDefault="00881814" w:rsidP="00881814">
      <w:pPr>
        <w:ind w:firstLine="708"/>
        <w:jc w:val="both"/>
        <w:rPr>
          <w:lang w:val="de-DE"/>
        </w:rPr>
      </w:pPr>
    </w:p>
    <w:p w14:paraId="727F859E" w14:textId="77777777" w:rsidR="00881814" w:rsidRPr="004676F5" w:rsidRDefault="00881814" w:rsidP="00881814">
      <w:pPr>
        <w:ind w:firstLine="708"/>
        <w:jc w:val="both"/>
        <w:rPr>
          <w:lang w:val="de-DE"/>
        </w:rPr>
      </w:pPr>
      <w:r w:rsidRPr="004676F5">
        <w:rPr>
          <w:lang w:val="de-DE"/>
        </w:rPr>
        <w:t>9. die eine Handlung begünstigt, die als Nichteinhaltung des oder als Verstoß gegen vorliegendes Buch oder seine Ausführungserlasse anzusehen ist.</w:t>
      </w:r>
    </w:p>
    <w:p w14:paraId="2135E8F3" w14:textId="77777777" w:rsidR="00881814" w:rsidRPr="004676F5" w:rsidRDefault="00881814" w:rsidP="00881814">
      <w:pPr>
        <w:ind w:firstLine="708"/>
        <w:jc w:val="both"/>
        <w:rPr>
          <w:lang w:val="de-DE"/>
        </w:rPr>
      </w:pPr>
    </w:p>
    <w:p w14:paraId="2C367125" w14:textId="77777777" w:rsidR="009E165E" w:rsidRPr="004676F5" w:rsidRDefault="009E165E" w:rsidP="00881814">
      <w:pPr>
        <w:ind w:firstLine="708"/>
        <w:jc w:val="both"/>
        <w:rPr>
          <w:lang w:val="de-DE"/>
        </w:rPr>
      </w:pPr>
    </w:p>
    <w:p w14:paraId="3F9F5B21" w14:textId="060900B2" w:rsidR="00881814" w:rsidRPr="004676F5" w:rsidRDefault="00BE0A56" w:rsidP="00881814">
      <w:pPr>
        <w:ind w:firstLine="708"/>
        <w:jc w:val="both"/>
        <w:rPr>
          <w:lang w:val="de-DE"/>
        </w:rPr>
      </w:pPr>
      <w:r w:rsidRPr="004676F5">
        <w:rPr>
          <w:b/>
          <w:lang w:val="de-DE"/>
        </w:rPr>
        <w:t>Art. </w:t>
      </w:r>
      <w:r w:rsidR="00881814" w:rsidRPr="004676F5">
        <w:rPr>
          <w:b/>
          <w:lang w:val="de-DE"/>
        </w:rPr>
        <w:t>VII.66</w:t>
      </w:r>
      <w:r w:rsidR="00881814" w:rsidRPr="004676F5">
        <w:rPr>
          <w:lang w:val="de-DE"/>
        </w:rPr>
        <w:t> </w:t>
      </w:r>
      <w:r w:rsidR="005B7A5C" w:rsidRPr="004676F5">
        <w:rPr>
          <w:lang w:val="de-DE"/>
        </w:rPr>
        <w:t>- </w:t>
      </w:r>
      <w:r w:rsidR="00CC29D9" w:rsidRPr="004676F5">
        <w:rPr>
          <w:lang w:val="de-DE"/>
        </w:rPr>
        <w:t>[…]</w:t>
      </w:r>
    </w:p>
    <w:p w14:paraId="5F77CDCA" w14:textId="77777777" w:rsidR="00CC29D9" w:rsidRPr="004676F5" w:rsidRDefault="00CC29D9" w:rsidP="00CC29D9">
      <w:pPr>
        <w:jc w:val="both"/>
        <w:rPr>
          <w:lang w:val="de-DE"/>
        </w:rPr>
      </w:pPr>
    </w:p>
    <w:p w14:paraId="121E9F31" w14:textId="1F5186C4" w:rsidR="00CC29D9" w:rsidRPr="004676F5" w:rsidRDefault="00CC29D9" w:rsidP="00CC29D9">
      <w:pPr>
        <w:jc w:val="both"/>
        <w:rPr>
          <w:i/>
          <w:lang w:val="de-DE"/>
        </w:rPr>
      </w:pPr>
      <w:r w:rsidRPr="004676F5">
        <w:rPr>
          <w:i/>
          <w:lang w:val="de-DE"/>
        </w:rPr>
        <w:t>[</w:t>
      </w:r>
      <w:r w:rsidR="00BE0A56" w:rsidRPr="004676F5">
        <w:rPr>
          <w:i/>
          <w:lang w:val="de-DE"/>
        </w:rPr>
        <w:t>Art. </w:t>
      </w:r>
      <w:r w:rsidRPr="004676F5">
        <w:rPr>
          <w:i/>
          <w:lang w:val="de-DE"/>
        </w:rPr>
        <w:t xml:space="preserve">VII.66 aufgehoben durch </w:t>
      </w:r>
      <w:r w:rsidR="00BE0A56" w:rsidRPr="004676F5">
        <w:rPr>
          <w:i/>
          <w:lang w:val="de-DE"/>
        </w:rPr>
        <w:t>Art. </w:t>
      </w:r>
      <w:r w:rsidRPr="004676F5">
        <w:rPr>
          <w:i/>
          <w:lang w:val="de-DE"/>
        </w:rPr>
        <w:t>5 des G. vom 22. April 2016 (B.S. vom 4. Mai 2016)]</w:t>
      </w:r>
    </w:p>
    <w:p w14:paraId="3BCDE85A" w14:textId="77777777" w:rsidR="00881814" w:rsidRPr="004676F5" w:rsidRDefault="00881814" w:rsidP="00881814">
      <w:pPr>
        <w:ind w:firstLine="708"/>
        <w:jc w:val="both"/>
        <w:rPr>
          <w:lang w:val="de-DE"/>
        </w:rPr>
      </w:pPr>
    </w:p>
    <w:p w14:paraId="65579E75" w14:textId="77777777" w:rsidR="009E165E" w:rsidRPr="004676F5" w:rsidRDefault="009E165E" w:rsidP="00881814">
      <w:pPr>
        <w:jc w:val="center"/>
        <w:rPr>
          <w:lang w:val="de-DE"/>
        </w:rPr>
      </w:pPr>
    </w:p>
    <w:p w14:paraId="6D66DF91" w14:textId="304432B0" w:rsidR="00881814" w:rsidRPr="004676F5" w:rsidRDefault="00881814" w:rsidP="00881814">
      <w:pPr>
        <w:jc w:val="center"/>
        <w:rPr>
          <w:lang w:val="de-DE"/>
        </w:rPr>
      </w:pPr>
      <w:r w:rsidRPr="004676F5">
        <w:rPr>
          <w:lang w:val="de-DE"/>
        </w:rPr>
        <w:t>Unterabschnitt 2 </w:t>
      </w:r>
      <w:r w:rsidR="005B7A5C" w:rsidRPr="004676F5">
        <w:rPr>
          <w:lang w:val="de-DE"/>
        </w:rPr>
        <w:t>- </w:t>
      </w:r>
      <w:r w:rsidRPr="004676F5">
        <w:rPr>
          <w:lang w:val="de-DE"/>
        </w:rPr>
        <w:t>Haustürgeschäfte</w:t>
      </w:r>
    </w:p>
    <w:p w14:paraId="1E9BC18D" w14:textId="77777777" w:rsidR="00881814" w:rsidRPr="004676F5" w:rsidRDefault="00881814" w:rsidP="00881814">
      <w:pPr>
        <w:ind w:firstLine="708"/>
        <w:jc w:val="both"/>
        <w:rPr>
          <w:lang w:val="de-DE"/>
        </w:rPr>
      </w:pPr>
    </w:p>
    <w:p w14:paraId="585D0C12" w14:textId="77777777" w:rsidR="009E165E" w:rsidRPr="004676F5" w:rsidRDefault="009E165E" w:rsidP="00881814">
      <w:pPr>
        <w:ind w:firstLine="708"/>
        <w:jc w:val="both"/>
        <w:rPr>
          <w:lang w:val="de-DE"/>
        </w:rPr>
      </w:pPr>
    </w:p>
    <w:p w14:paraId="04A5042E" w14:textId="52AF9081" w:rsidR="00881814" w:rsidRPr="004676F5" w:rsidRDefault="00BE0A56" w:rsidP="00881814">
      <w:pPr>
        <w:ind w:firstLine="708"/>
        <w:jc w:val="both"/>
        <w:rPr>
          <w:lang w:val="de-DE"/>
        </w:rPr>
      </w:pPr>
      <w:r w:rsidRPr="004676F5">
        <w:rPr>
          <w:b/>
          <w:lang w:val="de-DE"/>
        </w:rPr>
        <w:t>Art. </w:t>
      </w:r>
      <w:r w:rsidR="00881814" w:rsidRPr="004676F5">
        <w:rPr>
          <w:b/>
          <w:lang w:val="de-DE"/>
        </w:rPr>
        <w:t>VII.67</w:t>
      </w:r>
      <w:r w:rsidR="00881814" w:rsidRPr="004676F5">
        <w:rPr>
          <w:lang w:val="de-DE"/>
        </w:rPr>
        <w:t> </w:t>
      </w:r>
      <w:r w:rsidR="005B7A5C" w:rsidRPr="004676F5">
        <w:rPr>
          <w:lang w:val="de-DE"/>
        </w:rPr>
        <w:t>- </w:t>
      </w:r>
      <w:r w:rsidR="00881814" w:rsidRPr="004676F5">
        <w:rPr>
          <w:lang w:val="de-DE"/>
        </w:rPr>
        <w:t>Haustürgeschäfte mit Kreditverträgen sind verboten. Als Haustür</w:t>
      </w:r>
      <w:r w:rsidR="00881814" w:rsidRPr="004676F5">
        <w:rPr>
          <w:lang w:val="de-DE"/>
        </w:rPr>
        <w:softHyphen/>
        <w:t>geschäfte gelten:</w:t>
      </w:r>
    </w:p>
    <w:p w14:paraId="499E12EE" w14:textId="77777777" w:rsidR="00881814" w:rsidRPr="004676F5" w:rsidRDefault="00881814" w:rsidP="00881814">
      <w:pPr>
        <w:ind w:firstLine="708"/>
        <w:jc w:val="both"/>
        <w:rPr>
          <w:lang w:val="de-DE"/>
        </w:rPr>
      </w:pPr>
    </w:p>
    <w:p w14:paraId="50491378" w14:textId="549184A0" w:rsidR="00881814" w:rsidRPr="004676F5" w:rsidRDefault="00881814" w:rsidP="00881814">
      <w:pPr>
        <w:ind w:firstLine="708"/>
        <w:jc w:val="both"/>
        <w:rPr>
          <w:lang w:val="de-DE"/>
        </w:rPr>
      </w:pPr>
      <w:r w:rsidRPr="004676F5">
        <w:rPr>
          <w:lang w:val="de-DE"/>
        </w:rPr>
        <w:t xml:space="preserve">1. Besuch eines Kreditgebers beziehungsweise Kreditvermittlers am Wohnsitz, Wohnort oder Arbeitsplatz des Verbrauchers oder am Wohnsitz oder Wohnort eines anderen Verbrauchers, bei dem ein Kreditangebot gemacht oder dem Verbraucher ein Kreditantrag oder ein Kreditvertrag zur Unterschrift vorgelegt wird, außer wenn der Kreditgeber beziehungsweise Kreditvermittler sich auf vorherigen und ausdrücklichen Wunsch des Verbrauchers dorthin begeben hat. Der diesbezügliche Antrag kann nur </w:t>
      </w:r>
      <w:r w:rsidR="001F25F9" w:rsidRPr="004676F5">
        <w:rPr>
          <w:lang w:val="de-DE"/>
        </w:rPr>
        <w:t>[</w:t>
      </w:r>
      <w:r w:rsidRPr="004676F5">
        <w:rPr>
          <w:lang w:val="de-DE"/>
        </w:rPr>
        <w:t xml:space="preserve">durch einen dauerhaften </w:t>
      </w:r>
      <w:r w:rsidR="001F25F9" w:rsidRPr="004676F5">
        <w:rPr>
          <w:lang w:val="de-DE"/>
        </w:rPr>
        <w:t>Datent</w:t>
      </w:r>
      <w:r w:rsidRPr="004676F5">
        <w:rPr>
          <w:lang w:val="de-DE"/>
        </w:rPr>
        <w:t>räger</w:t>
      </w:r>
      <w:r w:rsidR="001F25F9" w:rsidRPr="004676F5">
        <w:rPr>
          <w:lang w:val="de-DE"/>
        </w:rPr>
        <w:t>]</w:t>
      </w:r>
      <w:r w:rsidRPr="004676F5">
        <w:rPr>
          <w:lang w:val="de-DE"/>
        </w:rPr>
        <w:t xml:space="preserve"> nachgewiesen werden, der sich vom eigentlichen Kreditangebot, Kreditantrag oder Kreditvertrag unterscheidet und vor dem Besuch erstellt worden ist,</w:t>
      </w:r>
    </w:p>
    <w:p w14:paraId="1E7CC8B9" w14:textId="77777777" w:rsidR="00881814" w:rsidRPr="004676F5" w:rsidRDefault="00881814" w:rsidP="00881814">
      <w:pPr>
        <w:ind w:firstLine="708"/>
        <w:jc w:val="both"/>
        <w:rPr>
          <w:lang w:val="de-DE"/>
        </w:rPr>
      </w:pPr>
    </w:p>
    <w:p w14:paraId="342D2ACA" w14:textId="77777777" w:rsidR="00881814" w:rsidRPr="004676F5" w:rsidRDefault="00881814" w:rsidP="00881814">
      <w:pPr>
        <w:ind w:firstLine="708"/>
        <w:jc w:val="both"/>
        <w:rPr>
          <w:lang w:val="de-DE"/>
        </w:rPr>
      </w:pPr>
      <w:r w:rsidRPr="004676F5">
        <w:rPr>
          <w:lang w:val="de-DE"/>
        </w:rPr>
        <w:t>2. Herantreten seitens eines Kreditgebers beziehungsweise Kreditvermittlers an einen Verbraucher, um ihm einen Besuch vorzuschlagen,</w:t>
      </w:r>
    </w:p>
    <w:p w14:paraId="43CF4918" w14:textId="77777777" w:rsidR="00881814" w:rsidRPr="004676F5" w:rsidRDefault="00881814" w:rsidP="00881814">
      <w:pPr>
        <w:ind w:firstLine="708"/>
        <w:jc w:val="both"/>
        <w:rPr>
          <w:lang w:val="de-DE"/>
        </w:rPr>
      </w:pPr>
    </w:p>
    <w:p w14:paraId="02340307" w14:textId="721FA1D0" w:rsidR="00881814" w:rsidRPr="004676F5" w:rsidRDefault="00881814" w:rsidP="00881814">
      <w:pPr>
        <w:ind w:firstLine="708"/>
        <w:jc w:val="both"/>
        <w:rPr>
          <w:lang w:val="de-DE"/>
        </w:rPr>
      </w:pPr>
      <w:r w:rsidRPr="004676F5">
        <w:rPr>
          <w:lang w:val="de-DE"/>
        </w:rPr>
        <w:t>3. Zusendung über irgendein Kommunikationsmittel eines Kreditangebots, Kredit</w:t>
      </w:r>
      <w:r w:rsidRPr="004676F5">
        <w:rPr>
          <w:lang w:val="de-DE"/>
        </w:rPr>
        <w:softHyphen/>
        <w:t xml:space="preserve">mittels oder Zahlungsinstruments an den Verbraucher, außer wenn Kreditgeber beziehungsweise Kreditvermittler es auf ausdrücklichen und vorhergehenden Wunsch des Verbrauchers übermittelt haben; dies gilt nicht, wenn die Zusendung zur Erfüllung der Verpflichtungen des Kreditgebers nach Buch VI Titel 3 Kapitel 2 erfolgt ist. Der diesbezügliche Antrag kann nur </w:t>
      </w:r>
      <w:r w:rsidR="001F25F9" w:rsidRPr="004676F5">
        <w:rPr>
          <w:lang w:val="de-DE"/>
        </w:rPr>
        <w:t>[</w:t>
      </w:r>
      <w:r w:rsidRPr="004676F5">
        <w:rPr>
          <w:lang w:val="de-DE"/>
        </w:rPr>
        <w:t xml:space="preserve">durch einen dauerhaften </w:t>
      </w:r>
      <w:r w:rsidR="001F25F9" w:rsidRPr="004676F5">
        <w:rPr>
          <w:lang w:val="de-DE"/>
        </w:rPr>
        <w:t>Datent</w:t>
      </w:r>
      <w:r w:rsidRPr="004676F5">
        <w:rPr>
          <w:lang w:val="de-DE"/>
        </w:rPr>
        <w:t>räger</w:t>
      </w:r>
      <w:r w:rsidR="001F25F9" w:rsidRPr="004676F5">
        <w:rPr>
          <w:lang w:val="de-DE"/>
        </w:rPr>
        <w:t>]</w:t>
      </w:r>
      <w:r w:rsidRPr="004676F5">
        <w:rPr>
          <w:lang w:val="de-DE"/>
        </w:rPr>
        <w:t xml:space="preserve"> nachgewiesen werden, der sich vom eigentlichen Kreditangebot oder Kreditvertrag unterscheidet und vor Zusendung des Zahlungsinstruments, Kreditmittels oder Kreditangebots erstellt worden ist,</w:t>
      </w:r>
    </w:p>
    <w:p w14:paraId="2064C6D6" w14:textId="77777777" w:rsidR="00881814" w:rsidRPr="004676F5" w:rsidRDefault="00881814" w:rsidP="00881814">
      <w:pPr>
        <w:ind w:firstLine="708"/>
        <w:jc w:val="both"/>
        <w:rPr>
          <w:lang w:val="de-DE"/>
        </w:rPr>
      </w:pPr>
    </w:p>
    <w:p w14:paraId="552CC86D" w14:textId="387AF28B" w:rsidR="00881814" w:rsidRPr="004676F5" w:rsidRDefault="00881814" w:rsidP="00881814">
      <w:pPr>
        <w:ind w:firstLine="708"/>
        <w:jc w:val="both"/>
        <w:rPr>
          <w:lang w:val="de-DE"/>
        </w:rPr>
      </w:pPr>
      <w:r w:rsidRPr="004676F5">
        <w:rPr>
          <w:lang w:val="de-DE"/>
        </w:rPr>
        <w:t>4. Organisation von Verkaufsstellen oder Herantreten an den Verbraucher zwecks Anbieten von Krediten an Stellen, die in Artikel 4 § 1 Absatz 1 und 2 des Gesetzes vom 25. Juni 1993 über die Ausübung und die Organisation des Wander</w:t>
      </w:r>
      <w:r w:rsidR="005B7A5C" w:rsidRPr="004676F5">
        <w:rPr>
          <w:lang w:val="de-DE"/>
        </w:rPr>
        <w:t>- </w:t>
      </w:r>
      <w:r w:rsidRPr="004676F5">
        <w:rPr>
          <w:lang w:val="de-DE"/>
        </w:rPr>
        <w:t>und Kirmesgewerbes erwähnt sind,</w:t>
      </w:r>
    </w:p>
    <w:p w14:paraId="3211CF6C" w14:textId="77777777" w:rsidR="00881814" w:rsidRPr="004676F5" w:rsidRDefault="00881814" w:rsidP="00881814">
      <w:pPr>
        <w:ind w:firstLine="708"/>
        <w:jc w:val="both"/>
        <w:rPr>
          <w:lang w:val="de-DE"/>
        </w:rPr>
      </w:pPr>
    </w:p>
    <w:p w14:paraId="704F2332" w14:textId="77777777" w:rsidR="00881814" w:rsidRPr="004676F5" w:rsidRDefault="00881814" w:rsidP="00881814">
      <w:pPr>
        <w:ind w:firstLine="708"/>
        <w:jc w:val="both"/>
        <w:rPr>
          <w:lang w:val="de-DE"/>
        </w:rPr>
      </w:pPr>
      <w:r w:rsidRPr="004676F5">
        <w:rPr>
          <w:lang w:val="de-DE"/>
        </w:rPr>
        <w:t xml:space="preserve">5. Herantreten an den Verbraucher anlässlich eines Ausflugs, der von einem Verkäufer oder Dienstleistungserbringer oder für ihre Rechnung oder von einem Kreditgeber </w:t>
      </w:r>
      <w:r w:rsidRPr="004676F5">
        <w:rPr>
          <w:lang w:val="de-DE"/>
        </w:rPr>
        <w:lastRenderedPageBreak/>
        <w:t>beziehungsweise Kreditvermittler mit dem Ziel organisiert wird, den Verbraucher zum Erwerb von Waren oder Dienstleistungen auf Kredit zu verleiten, außer wenn dieses Ziel dem Verbraucher ausdrücklich und vorab als Hauptziel des betreffenden Ausflugs mitgeteilt worden ist. Diese Ankündigung muss vom Organisator des Ausflugs nachgewiesen werden.</w:t>
      </w:r>
    </w:p>
    <w:p w14:paraId="27062183" w14:textId="77777777" w:rsidR="00881814" w:rsidRPr="004676F5" w:rsidRDefault="00881814" w:rsidP="00881814">
      <w:pPr>
        <w:rPr>
          <w:lang w:val="de-DE"/>
        </w:rPr>
      </w:pPr>
    </w:p>
    <w:p w14:paraId="18FFDA02" w14:textId="40BE1B37" w:rsidR="001F25F9" w:rsidRPr="004676F5" w:rsidRDefault="001F25F9" w:rsidP="001F25F9">
      <w:pPr>
        <w:jc w:val="both"/>
        <w:rPr>
          <w:i/>
          <w:iCs/>
          <w:lang w:val="de-DE"/>
        </w:rPr>
      </w:pPr>
      <w:r w:rsidRPr="004676F5">
        <w:rPr>
          <w:i/>
          <w:iCs/>
          <w:lang w:val="de-DE"/>
        </w:rPr>
        <w:t>[Art. VII.67 einziger Absatz Nr. 1 und 3 abgeändert durch Art. 12 des G. vom 20. September 2018 (B.S. vom 10. Oktober 2018)]</w:t>
      </w:r>
    </w:p>
    <w:p w14:paraId="31406B3E" w14:textId="77777777" w:rsidR="009E165E" w:rsidRPr="004676F5" w:rsidRDefault="009E165E" w:rsidP="00881814">
      <w:pPr>
        <w:rPr>
          <w:lang w:val="de-DE"/>
        </w:rPr>
      </w:pPr>
    </w:p>
    <w:p w14:paraId="666963DB" w14:textId="77777777" w:rsidR="001F25F9" w:rsidRPr="004676F5" w:rsidRDefault="001F25F9" w:rsidP="00881814">
      <w:pPr>
        <w:rPr>
          <w:lang w:val="de-DE"/>
        </w:rPr>
      </w:pPr>
    </w:p>
    <w:p w14:paraId="0F5EFC66" w14:textId="1F4544F9" w:rsidR="00881814" w:rsidRPr="004676F5" w:rsidRDefault="00881814" w:rsidP="00881814">
      <w:pPr>
        <w:jc w:val="center"/>
        <w:rPr>
          <w:lang w:val="de-DE"/>
        </w:rPr>
      </w:pPr>
      <w:r w:rsidRPr="004676F5">
        <w:rPr>
          <w:lang w:val="de-DE"/>
        </w:rPr>
        <w:t>Unterabschnitt 3 </w:t>
      </w:r>
      <w:r w:rsidR="005B7A5C" w:rsidRPr="004676F5">
        <w:rPr>
          <w:lang w:val="de-DE"/>
        </w:rPr>
        <w:t>- </w:t>
      </w:r>
      <w:r w:rsidRPr="004676F5">
        <w:rPr>
          <w:lang w:val="de-DE"/>
        </w:rPr>
        <w:t>Angebote zur Verkaufsförderung</w:t>
      </w:r>
    </w:p>
    <w:p w14:paraId="4A05847C" w14:textId="77777777" w:rsidR="00881814" w:rsidRPr="004676F5" w:rsidRDefault="00881814" w:rsidP="00881814">
      <w:pPr>
        <w:ind w:firstLine="708"/>
        <w:jc w:val="both"/>
        <w:rPr>
          <w:lang w:val="de-DE"/>
        </w:rPr>
      </w:pPr>
    </w:p>
    <w:p w14:paraId="50B86210" w14:textId="77777777" w:rsidR="009E165E" w:rsidRPr="004676F5" w:rsidRDefault="009E165E" w:rsidP="00881814">
      <w:pPr>
        <w:ind w:firstLine="708"/>
        <w:jc w:val="both"/>
        <w:rPr>
          <w:lang w:val="de-DE"/>
        </w:rPr>
      </w:pPr>
    </w:p>
    <w:p w14:paraId="4C96D18F" w14:textId="55361F90" w:rsidR="00881814" w:rsidRPr="004676F5" w:rsidRDefault="00BE0A56" w:rsidP="00881814">
      <w:pPr>
        <w:ind w:firstLine="708"/>
        <w:jc w:val="both"/>
        <w:rPr>
          <w:spacing w:val="-4"/>
          <w:lang w:val="de-DE"/>
        </w:rPr>
      </w:pPr>
      <w:r w:rsidRPr="004676F5">
        <w:rPr>
          <w:b/>
          <w:spacing w:val="-4"/>
          <w:lang w:val="de-DE"/>
        </w:rPr>
        <w:t>Art. </w:t>
      </w:r>
      <w:r w:rsidR="00881814" w:rsidRPr="004676F5">
        <w:rPr>
          <w:b/>
          <w:spacing w:val="-4"/>
          <w:lang w:val="de-DE"/>
        </w:rPr>
        <w:t>VII.68</w:t>
      </w:r>
      <w:r w:rsidR="00881814" w:rsidRPr="004676F5">
        <w:rPr>
          <w:spacing w:val="-4"/>
          <w:lang w:val="de-DE"/>
        </w:rPr>
        <w:t> </w:t>
      </w:r>
      <w:r w:rsidR="005B7A5C" w:rsidRPr="004676F5">
        <w:rPr>
          <w:spacing w:val="-4"/>
          <w:lang w:val="de-DE"/>
        </w:rPr>
        <w:t>- </w:t>
      </w:r>
      <w:r w:rsidR="00881814" w:rsidRPr="004676F5">
        <w:rPr>
          <w:spacing w:val="-4"/>
          <w:lang w:val="de-DE"/>
        </w:rPr>
        <w:t>Es ist einem Verkäufer von Gütern oder Dienstleistungen verboten, eine Preis</w:t>
      </w:r>
      <w:r w:rsidR="004C5D6C" w:rsidRPr="004676F5">
        <w:rPr>
          <w:spacing w:val="-4"/>
          <w:lang w:val="de-DE"/>
        </w:rPr>
        <w:softHyphen/>
      </w:r>
      <w:r w:rsidR="00881814" w:rsidRPr="004676F5">
        <w:rPr>
          <w:spacing w:val="-4"/>
          <w:lang w:val="de-DE"/>
        </w:rPr>
        <w:t>ermäßigung an eine Kreditaufnahme oder die Verwendung einer Krediteröffnung oder einer damit verbundenen Zahlungskarte/einem damit verbundenen Zahlungsinstrument zu knüpfen.</w:t>
      </w:r>
    </w:p>
    <w:p w14:paraId="50F23B4E" w14:textId="77777777" w:rsidR="00881814" w:rsidRPr="004676F5" w:rsidRDefault="00881814" w:rsidP="00881814">
      <w:pPr>
        <w:jc w:val="both"/>
        <w:rPr>
          <w:lang w:val="de-DE"/>
        </w:rPr>
      </w:pPr>
    </w:p>
    <w:p w14:paraId="77DA0FCD" w14:textId="77777777" w:rsidR="009E165E" w:rsidRPr="004676F5" w:rsidRDefault="009E165E" w:rsidP="00881814">
      <w:pPr>
        <w:jc w:val="center"/>
        <w:rPr>
          <w:i/>
          <w:lang w:val="de-DE"/>
        </w:rPr>
      </w:pPr>
    </w:p>
    <w:p w14:paraId="039D1DF8" w14:textId="145A8807" w:rsidR="00881814" w:rsidRPr="004676F5" w:rsidRDefault="00881814" w:rsidP="00881814">
      <w:pPr>
        <w:jc w:val="center"/>
        <w:rPr>
          <w:lang w:val="de-DE"/>
        </w:rPr>
      </w:pPr>
      <w:r w:rsidRPr="004676F5">
        <w:rPr>
          <w:i/>
          <w:lang w:val="de-DE"/>
        </w:rPr>
        <w:t>Abschnitt 2 </w:t>
      </w:r>
      <w:r w:rsidR="005B7A5C" w:rsidRPr="004676F5">
        <w:rPr>
          <w:i/>
          <w:lang w:val="de-DE"/>
        </w:rPr>
        <w:t>- </w:t>
      </w:r>
      <w:r w:rsidRPr="004676F5">
        <w:rPr>
          <w:lang w:val="de-DE"/>
        </w:rPr>
        <w:t>Zustandekommen des Kreditvertrags</w:t>
      </w:r>
    </w:p>
    <w:p w14:paraId="3D935530" w14:textId="77777777" w:rsidR="00881814" w:rsidRPr="004676F5" w:rsidRDefault="00881814" w:rsidP="00881814">
      <w:pPr>
        <w:ind w:firstLine="708"/>
        <w:jc w:val="both"/>
        <w:rPr>
          <w:lang w:val="de-DE"/>
        </w:rPr>
      </w:pPr>
    </w:p>
    <w:p w14:paraId="5837DEB7" w14:textId="77777777" w:rsidR="009E165E" w:rsidRPr="004676F5" w:rsidRDefault="009E165E" w:rsidP="00881814">
      <w:pPr>
        <w:ind w:firstLine="708"/>
        <w:jc w:val="both"/>
        <w:rPr>
          <w:lang w:val="de-DE"/>
        </w:rPr>
      </w:pPr>
    </w:p>
    <w:p w14:paraId="7267E8DF" w14:textId="439E92C3" w:rsidR="00881814" w:rsidRPr="004676F5" w:rsidRDefault="00881814" w:rsidP="00881814">
      <w:pPr>
        <w:jc w:val="center"/>
        <w:rPr>
          <w:lang w:val="de-DE"/>
        </w:rPr>
      </w:pPr>
      <w:r w:rsidRPr="004676F5">
        <w:rPr>
          <w:lang w:val="de-DE"/>
        </w:rPr>
        <w:t>Unterabschnitt 1 </w:t>
      </w:r>
      <w:r w:rsidR="005B7A5C" w:rsidRPr="004676F5">
        <w:rPr>
          <w:lang w:val="de-DE"/>
        </w:rPr>
        <w:t>- </w:t>
      </w:r>
      <w:r w:rsidRPr="004676F5">
        <w:rPr>
          <w:lang w:val="de-DE"/>
        </w:rPr>
        <w:t>Vom Kreditgeber beziehungsweise Kreditvermittler einzuholende Auskünfte</w:t>
      </w:r>
    </w:p>
    <w:p w14:paraId="175D9D6A" w14:textId="77777777" w:rsidR="00881814" w:rsidRPr="004676F5" w:rsidRDefault="00881814" w:rsidP="00881814">
      <w:pPr>
        <w:ind w:firstLine="708"/>
        <w:jc w:val="both"/>
        <w:rPr>
          <w:lang w:val="de-DE"/>
        </w:rPr>
      </w:pPr>
    </w:p>
    <w:p w14:paraId="7D6C9C48" w14:textId="77777777" w:rsidR="009E165E" w:rsidRPr="004676F5" w:rsidRDefault="009E165E" w:rsidP="00881814">
      <w:pPr>
        <w:ind w:firstLine="708"/>
        <w:jc w:val="both"/>
        <w:rPr>
          <w:lang w:val="de-DE"/>
        </w:rPr>
      </w:pPr>
    </w:p>
    <w:p w14:paraId="4AB47FE0" w14:textId="3935E52D" w:rsidR="00881814" w:rsidRPr="004676F5" w:rsidRDefault="00BE0A56" w:rsidP="00881814">
      <w:pPr>
        <w:ind w:firstLine="708"/>
        <w:jc w:val="both"/>
        <w:rPr>
          <w:lang w:val="de-DE"/>
        </w:rPr>
      </w:pPr>
      <w:r w:rsidRPr="004676F5">
        <w:rPr>
          <w:b/>
          <w:lang w:val="de-DE"/>
        </w:rPr>
        <w:t>Art. </w:t>
      </w:r>
      <w:r w:rsidR="00881814" w:rsidRPr="004676F5">
        <w:rPr>
          <w:b/>
          <w:lang w:val="de-DE"/>
        </w:rPr>
        <w:t>VII.69</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Im Rahmen der Beurteilung der Kreditwürdigkeit sind Kreditgeber und Kreditvermittler verpflichtet, bei dem einen Kreditvertrag beantragenden Verbraucher und gegebenenfalls demjenigen, der eine persönliche Sicherheit leistet, die genauen und vollständigen Auskünfte anzufragen, die sie für notwendig erachten, um deren Finanzlage und Rückzahlungsmöglichkeiten zu beurteilen. Der Verbraucher und derjenige, der eine Sicherheit leistet, sind verpflichtet, genau und vollständig auf die Anfrage zu antworten.</w:t>
      </w:r>
    </w:p>
    <w:p w14:paraId="099A88D3" w14:textId="77777777" w:rsidR="00881814" w:rsidRPr="004676F5" w:rsidRDefault="00881814" w:rsidP="00881814">
      <w:pPr>
        <w:ind w:firstLine="708"/>
        <w:jc w:val="both"/>
        <w:rPr>
          <w:lang w:val="de-DE"/>
        </w:rPr>
      </w:pPr>
    </w:p>
    <w:p w14:paraId="087FAEF8" w14:textId="77777777" w:rsidR="00881814" w:rsidRPr="004676F5" w:rsidRDefault="00881814" w:rsidP="00881814">
      <w:pPr>
        <w:ind w:firstLine="708"/>
        <w:jc w:val="both"/>
        <w:rPr>
          <w:lang w:val="de-DE"/>
        </w:rPr>
      </w:pPr>
      <w:r w:rsidRPr="004676F5">
        <w:rPr>
          <w:lang w:val="de-DE"/>
        </w:rPr>
        <w:t>In keinem Fall dürfen angefragte Auskünfte Rasse, ethnische Herkunft, Sexualleben, Gesundheit, politische, philosophische oder religiöse Anschauungen beziehungsweise Aktivitäten oder Mitgliedschaft bei einer Gewerkschaft oder Krankenkasse betreffen.</w:t>
      </w:r>
    </w:p>
    <w:p w14:paraId="256808EE" w14:textId="77777777" w:rsidR="00881814" w:rsidRPr="004676F5" w:rsidRDefault="00881814" w:rsidP="00881814">
      <w:pPr>
        <w:ind w:firstLine="708"/>
        <w:jc w:val="both"/>
        <w:rPr>
          <w:lang w:val="de-DE"/>
        </w:rPr>
      </w:pPr>
    </w:p>
    <w:p w14:paraId="232B6C14" w14:textId="677DA6A1"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Der Kreditgeber beziehungsweise gegebenenfalls der Kreditvermittler legt dem Verbraucher beziehungsweise demjenigen, der eine persönliche Sicherheit leistet, ein Kredit</w:t>
      </w:r>
      <w:r w:rsidRPr="004676F5">
        <w:rPr>
          <w:lang w:val="de-DE"/>
        </w:rPr>
        <w:softHyphen/>
        <w:t>beantragungsformular beziehungsweise ein Formular zur Auskunftsanfrage vor in der Form eines Fragebogens, in dem alle Auskünfte dargelegt werden, die der Kreditgeber und/oder Kreditvermittler gemäß § 1 Absatz 1 einholen muss. Zum Nachweis der Erfüllung der Verpflichtungen aus vorliegendem Artikel muss der Kreditgeber dieses Formular bis zur vollständigen Rückzahlung des aufgenommenen Kredits aufbewahren. Auskünfte, die vom Verbraucher oder demjenigen, der eine persönliche Sicherheit leistet, erteilt werden, dürfen nur an die in Artikel VII.119 § 1 erwähnten Personen mitgeteilt und von diesen Personen und gegebenenfalls vom Kreditvermittler verarbeitet werden.</w:t>
      </w:r>
    </w:p>
    <w:p w14:paraId="53DDF808" w14:textId="77777777" w:rsidR="00881814" w:rsidRPr="004676F5" w:rsidRDefault="00881814" w:rsidP="00881814">
      <w:pPr>
        <w:ind w:firstLine="708"/>
        <w:jc w:val="both"/>
        <w:rPr>
          <w:lang w:val="de-DE"/>
        </w:rPr>
      </w:pPr>
    </w:p>
    <w:p w14:paraId="058130AA" w14:textId="77777777" w:rsidR="00881814" w:rsidRPr="004676F5" w:rsidRDefault="00881814" w:rsidP="00881814">
      <w:pPr>
        <w:ind w:firstLine="708"/>
        <w:jc w:val="both"/>
        <w:rPr>
          <w:lang w:val="de-DE"/>
        </w:rPr>
      </w:pPr>
      <w:r w:rsidRPr="004676F5">
        <w:rPr>
          <w:lang w:val="de-DE"/>
        </w:rPr>
        <w:t xml:space="preserve">Der Fragebogen bezieht sich zumindest auf Zweck des Kredits, Einkünfte, Personen zu Lasten und laufende finanzielle Verpflichtungen, unter anderem Anzahl und </w:t>
      </w:r>
      <w:r w:rsidR="004C5D6C" w:rsidRPr="004676F5">
        <w:rPr>
          <w:lang w:val="de-DE"/>
        </w:rPr>
        <w:t>[offenstehenden Betrag der laufenden Kredite]</w:t>
      </w:r>
      <w:r w:rsidRPr="004676F5">
        <w:rPr>
          <w:lang w:val="de-DE"/>
        </w:rPr>
        <w:t>. Der König kann durch einen im Ministerrat beratenen Erlass diese Liste ergänzen, wenn der Kreditbetrag 3.000 EUR überschreitet.</w:t>
      </w:r>
    </w:p>
    <w:p w14:paraId="4834907F" w14:textId="77777777" w:rsidR="00881814" w:rsidRPr="004676F5" w:rsidRDefault="00881814" w:rsidP="00881814">
      <w:pPr>
        <w:ind w:firstLine="708"/>
        <w:jc w:val="both"/>
        <w:rPr>
          <w:lang w:val="de-DE"/>
        </w:rPr>
      </w:pPr>
    </w:p>
    <w:p w14:paraId="23982E75" w14:textId="77777777" w:rsidR="00881814" w:rsidRPr="004676F5" w:rsidRDefault="00881814" w:rsidP="00881814">
      <w:pPr>
        <w:ind w:firstLine="708"/>
        <w:jc w:val="both"/>
        <w:rPr>
          <w:lang w:val="de-DE"/>
        </w:rPr>
      </w:pPr>
      <w:r w:rsidRPr="004676F5">
        <w:rPr>
          <w:lang w:val="de-DE"/>
        </w:rPr>
        <w:lastRenderedPageBreak/>
        <w:t>Im Fragebogen werden die Dateien angegeben, die gemäß Artikel VII.79 befragt werden.</w:t>
      </w:r>
    </w:p>
    <w:p w14:paraId="203AFB93" w14:textId="77777777" w:rsidR="00881814" w:rsidRPr="004676F5" w:rsidRDefault="00881814" w:rsidP="00881814">
      <w:pPr>
        <w:ind w:firstLine="708"/>
        <w:jc w:val="both"/>
        <w:rPr>
          <w:lang w:val="de-DE"/>
        </w:rPr>
      </w:pPr>
    </w:p>
    <w:p w14:paraId="11D1EB4E" w14:textId="77777777" w:rsidR="00881814" w:rsidRPr="004676F5" w:rsidRDefault="00881814" w:rsidP="00881814">
      <w:pPr>
        <w:ind w:firstLine="708"/>
        <w:jc w:val="both"/>
        <w:rPr>
          <w:lang w:val="de-DE"/>
        </w:rPr>
      </w:pPr>
      <w:r w:rsidRPr="004676F5">
        <w:rPr>
          <w:lang w:val="de-DE"/>
        </w:rPr>
        <w:t>Unbeschadet des Paragraphen 1 ist Absatz 1 nicht anwendbar, wenn der Kreditbetrag 500 EUR nicht überschreitet.</w:t>
      </w:r>
    </w:p>
    <w:p w14:paraId="3D3CCBF4" w14:textId="77777777" w:rsidR="004C5D6C" w:rsidRPr="004676F5" w:rsidRDefault="004C5D6C" w:rsidP="00881814">
      <w:pPr>
        <w:ind w:firstLine="708"/>
        <w:jc w:val="both"/>
        <w:rPr>
          <w:lang w:val="de-DE"/>
        </w:rPr>
      </w:pPr>
    </w:p>
    <w:p w14:paraId="60692774" w14:textId="00650014" w:rsidR="004C5D6C" w:rsidRPr="004676F5" w:rsidRDefault="004C5D6C" w:rsidP="004C5D6C">
      <w:pPr>
        <w:jc w:val="both"/>
        <w:rPr>
          <w:i/>
          <w:lang w:val="de-DE"/>
        </w:rPr>
      </w:pPr>
      <w:r w:rsidRPr="004676F5">
        <w:rPr>
          <w:i/>
          <w:lang w:val="de-DE"/>
        </w:rPr>
        <w:t>[</w:t>
      </w:r>
      <w:r w:rsidR="00BE0A56" w:rsidRPr="004676F5">
        <w:rPr>
          <w:i/>
          <w:lang w:val="de-DE"/>
        </w:rPr>
        <w:t>Art. </w:t>
      </w:r>
      <w:r w:rsidRPr="004676F5">
        <w:rPr>
          <w:i/>
          <w:lang w:val="de-DE"/>
        </w:rPr>
        <w:t xml:space="preserve">VII.69 § 2 Abs. 2 abgeändert durch </w:t>
      </w:r>
      <w:r w:rsidR="00BE0A56" w:rsidRPr="004676F5">
        <w:rPr>
          <w:i/>
          <w:lang w:val="de-DE"/>
        </w:rPr>
        <w:t>Art. </w:t>
      </w:r>
      <w:r w:rsidRPr="004676F5">
        <w:rPr>
          <w:i/>
          <w:lang w:val="de-DE"/>
        </w:rPr>
        <w:t>15</w:t>
      </w:r>
      <w:r w:rsidRPr="004676F5">
        <w:rPr>
          <w:i/>
          <w:iCs/>
          <w:lang w:val="de-DE"/>
        </w:rPr>
        <w:t xml:space="preserve"> </w:t>
      </w:r>
      <w:r w:rsidRPr="004676F5">
        <w:rPr>
          <w:i/>
          <w:lang w:val="de-DE"/>
        </w:rPr>
        <w:t>des G. vom 26. Oktober 2015 (B.S. vom 30. Oktober 2015)]</w:t>
      </w:r>
    </w:p>
    <w:p w14:paraId="3D1B88D9" w14:textId="77777777" w:rsidR="00881814" w:rsidRPr="004676F5" w:rsidRDefault="00881814" w:rsidP="00881814">
      <w:pPr>
        <w:jc w:val="both"/>
        <w:rPr>
          <w:lang w:val="de-DE"/>
        </w:rPr>
      </w:pPr>
    </w:p>
    <w:p w14:paraId="645DC266" w14:textId="77777777" w:rsidR="009E165E" w:rsidRPr="004676F5" w:rsidRDefault="009E165E" w:rsidP="00881814">
      <w:pPr>
        <w:jc w:val="both"/>
        <w:rPr>
          <w:lang w:val="de-DE"/>
        </w:rPr>
      </w:pPr>
    </w:p>
    <w:p w14:paraId="7BF7AD86" w14:textId="55CDB9AF" w:rsidR="00881814" w:rsidRPr="004676F5" w:rsidRDefault="00881814" w:rsidP="00881814">
      <w:pPr>
        <w:jc w:val="center"/>
        <w:rPr>
          <w:lang w:val="de-DE"/>
        </w:rPr>
      </w:pPr>
      <w:r w:rsidRPr="004676F5">
        <w:rPr>
          <w:lang w:val="de-DE"/>
        </w:rPr>
        <w:t>Unterabschnitt 2 </w:t>
      </w:r>
      <w:r w:rsidR="005B7A5C" w:rsidRPr="004676F5">
        <w:rPr>
          <w:lang w:val="de-DE"/>
        </w:rPr>
        <w:t>- </w:t>
      </w:r>
      <w:r w:rsidRPr="004676F5">
        <w:rPr>
          <w:lang w:val="de-DE"/>
        </w:rPr>
        <w:t>Vorvertragliche Information</w:t>
      </w:r>
    </w:p>
    <w:p w14:paraId="67C8F227" w14:textId="77777777" w:rsidR="00881814" w:rsidRPr="004676F5" w:rsidRDefault="00881814" w:rsidP="00881814">
      <w:pPr>
        <w:ind w:firstLine="708"/>
        <w:jc w:val="both"/>
        <w:rPr>
          <w:lang w:val="de-DE"/>
        </w:rPr>
      </w:pPr>
    </w:p>
    <w:p w14:paraId="22FEA167" w14:textId="77777777" w:rsidR="009E165E" w:rsidRPr="004676F5" w:rsidRDefault="009E165E" w:rsidP="00881814">
      <w:pPr>
        <w:ind w:firstLine="708"/>
        <w:jc w:val="both"/>
        <w:rPr>
          <w:lang w:val="de-DE"/>
        </w:rPr>
      </w:pPr>
    </w:p>
    <w:p w14:paraId="1D82C117" w14:textId="452C147E" w:rsidR="00881814" w:rsidRPr="004676F5" w:rsidRDefault="00BE0A56" w:rsidP="00881814">
      <w:pPr>
        <w:ind w:firstLine="708"/>
        <w:jc w:val="both"/>
        <w:rPr>
          <w:lang w:val="de-DE"/>
        </w:rPr>
      </w:pPr>
      <w:r w:rsidRPr="004676F5">
        <w:rPr>
          <w:b/>
          <w:lang w:val="de-DE"/>
        </w:rPr>
        <w:t>Art. </w:t>
      </w:r>
      <w:r w:rsidR="00881814" w:rsidRPr="004676F5">
        <w:rPr>
          <w:b/>
          <w:lang w:val="de-DE"/>
        </w:rPr>
        <w:t>VII.70</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 xml:space="preserve">Rechtzeitig bevor der Verbraucher durch einen Kreditvertrag oder ein Kreditangebot gebunden ist, erteilt der Kreditgeber und gegebenenfalls der Kreditvermittler dem Verbraucher auf der Grundlage der vom Kreditgeber angebotenen Kreditbedingungen und gegebenenfalls der vom Verbraucher geäußerten Präferenzen und vorgelegten Auskünfte die personalisierte Information, die der Verbraucher benötigt, um verschiedene Angebote zu vergleichen und eine fundierte Entscheidung darüber zu treffen, ob er einen Kreditvertrag abschließen will. Diese Information wird </w:t>
      </w:r>
      <w:r w:rsidR="00054D68" w:rsidRPr="004676F5">
        <w:rPr>
          <w:lang w:val="de-DE"/>
        </w:rPr>
        <w:t xml:space="preserve">[auf dauerhaftem Datenträger] </w:t>
      </w:r>
      <w:r w:rsidR="00881814" w:rsidRPr="004676F5">
        <w:rPr>
          <w:lang w:val="de-DE"/>
        </w:rPr>
        <w:t>mittels des Formulars "Europäische Standardinformationen für Verbraucherkredite (SECCI)" in Anlage 1 zu vorliegendem Buch mitgeteilt. Die in vorliegendem Paragraphen und in Artikel VI.55 § 1 des Wirtschaftsgesetzbuches vorgesehenen Informationspflichten des Kreditgebers und gegebenenfalls des Kreditvermittlers oder des beauftragten Vertreters gelten als erfüllt, wenn er das SECCI vorgelegt hat.</w:t>
      </w:r>
    </w:p>
    <w:p w14:paraId="3C364C93" w14:textId="77777777" w:rsidR="00881814" w:rsidRPr="004676F5" w:rsidRDefault="00881814" w:rsidP="00881814">
      <w:pPr>
        <w:ind w:firstLine="708"/>
        <w:jc w:val="both"/>
        <w:rPr>
          <w:lang w:val="de-DE"/>
        </w:rPr>
      </w:pPr>
    </w:p>
    <w:p w14:paraId="0A24663E" w14:textId="77777777" w:rsidR="00881814" w:rsidRPr="004676F5" w:rsidRDefault="00881814" w:rsidP="00881814">
      <w:pPr>
        <w:ind w:firstLine="708"/>
        <w:jc w:val="both"/>
        <w:rPr>
          <w:lang w:val="de-DE"/>
        </w:rPr>
      </w:pPr>
      <w:r w:rsidRPr="004676F5">
        <w:rPr>
          <w:lang w:val="de-DE"/>
        </w:rPr>
        <w:t>Diese Informationen enthalten folgende Angaben:</w:t>
      </w:r>
    </w:p>
    <w:p w14:paraId="31730CE6" w14:textId="77777777" w:rsidR="00881814" w:rsidRPr="004676F5" w:rsidRDefault="00881814" w:rsidP="00881814">
      <w:pPr>
        <w:ind w:firstLine="708"/>
        <w:jc w:val="both"/>
        <w:rPr>
          <w:lang w:val="de-DE"/>
        </w:rPr>
      </w:pPr>
    </w:p>
    <w:p w14:paraId="25C2AC1F" w14:textId="77777777" w:rsidR="00881814" w:rsidRPr="004676F5" w:rsidRDefault="00881814" w:rsidP="00881814">
      <w:pPr>
        <w:ind w:firstLine="708"/>
        <w:jc w:val="both"/>
        <w:rPr>
          <w:lang w:val="de-DE"/>
        </w:rPr>
      </w:pPr>
      <w:r w:rsidRPr="004676F5">
        <w:rPr>
          <w:lang w:val="de-DE"/>
        </w:rPr>
        <w:t>1. Kreditart,</w:t>
      </w:r>
    </w:p>
    <w:p w14:paraId="3851EF90" w14:textId="77777777" w:rsidR="00881814" w:rsidRPr="004676F5" w:rsidRDefault="00881814" w:rsidP="00881814">
      <w:pPr>
        <w:ind w:firstLine="708"/>
        <w:jc w:val="both"/>
        <w:rPr>
          <w:lang w:val="de-DE"/>
        </w:rPr>
      </w:pPr>
    </w:p>
    <w:p w14:paraId="3A603A09" w14:textId="77777777" w:rsidR="00881814" w:rsidRPr="004676F5" w:rsidRDefault="00881814" w:rsidP="00881814">
      <w:pPr>
        <w:ind w:firstLine="708"/>
        <w:jc w:val="both"/>
        <w:rPr>
          <w:lang w:val="de-DE"/>
        </w:rPr>
      </w:pPr>
      <w:r w:rsidRPr="004676F5">
        <w:rPr>
          <w:lang w:val="de-DE"/>
        </w:rPr>
        <w:t>2. Identität, einschließlich Unternehmensnummer, des Kreditgebers und gegebenen</w:t>
      </w:r>
      <w:r w:rsidRPr="004676F5">
        <w:rPr>
          <w:lang w:val="de-DE"/>
        </w:rPr>
        <w:softHyphen/>
        <w:t>falls des Kreditvermittlers sowie ihre für Kontakte mit dem Verbraucher relevante geographische Anschrift,</w:t>
      </w:r>
    </w:p>
    <w:p w14:paraId="189F3321" w14:textId="77777777" w:rsidR="00881814" w:rsidRPr="004676F5" w:rsidRDefault="00881814" w:rsidP="00881814">
      <w:pPr>
        <w:ind w:firstLine="708"/>
        <w:jc w:val="both"/>
        <w:rPr>
          <w:lang w:val="de-DE"/>
        </w:rPr>
      </w:pPr>
    </w:p>
    <w:p w14:paraId="2E7933E2" w14:textId="77777777" w:rsidR="00881814" w:rsidRPr="004676F5" w:rsidRDefault="00881814" w:rsidP="00881814">
      <w:pPr>
        <w:ind w:firstLine="708"/>
        <w:jc w:val="both"/>
        <w:rPr>
          <w:lang w:val="de-DE"/>
        </w:rPr>
      </w:pPr>
      <w:r w:rsidRPr="004676F5">
        <w:rPr>
          <w:lang w:val="de-DE"/>
        </w:rPr>
        <w:t>3. Kreditbetrag und Bedingungen für die Inanspruchnahme,</w:t>
      </w:r>
    </w:p>
    <w:p w14:paraId="7AC83619" w14:textId="77777777" w:rsidR="00881814" w:rsidRPr="004676F5" w:rsidRDefault="00881814" w:rsidP="00881814">
      <w:pPr>
        <w:ind w:firstLine="708"/>
        <w:jc w:val="both"/>
        <w:rPr>
          <w:lang w:val="de-DE"/>
        </w:rPr>
      </w:pPr>
    </w:p>
    <w:p w14:paraId="6DD0447B" w14:textId="77777777" w:rsidR="00881814" w:rsidRPr="004676F5" w:rsidRDefault="00881814" w:rsidP="00881814">
      <w:pPr>
        <w:ind w:firstLine="708"/>
        <w:jc w:val="both"/>
        <w:rPr>
          <w:lang w:val="de-DE"/>
        </w:rPr>
      </w:pPr>
      <w:r w:rsidRPr="004676F5">
        <w:rPr>
          <w:lang w:val="de-DE"/>
        </w:rPr>
        <w:t>4. Laufzeit des Kreditvertrags,</w:t>
      </w:r>
    </w:p>
    <w:p w14:paraId="69E015FF" w14:textId="77777777" w:rsidR="00881814" w:rsidRPr="004676F5" w:rsidRDefault="00881814" w:rsidP="00881814">
      <w:pPr>
        <w:ind w:firstLine="708"/>
        <w:jc w:val="both"/>
        <w:rPr>
          <w:lang w:val="de-DE"/>
        </w:rPr>
      </w:pPr>
    </w:p>
    <w:p w14:paraId="54B8C674" w14:textId="77777777" w:rsidR="00881814" w:rsidRPr="004676F5" w:rsidRDefault="00881814" w:rsidP="00881814">
      <w:pPr>
        <w:ind w:firstLine="708"/>
        <w:jc w:val="both"/>
        <w:rPr>
          <w:lang w:val="de-DE"/>
        </w:rPr>
      </w:pPr>
      <w:r w:rsidRPr="004676F5">
        <w:rPr>
          <w:lang w:val="de-DE"/>
        </w:rPr>
        <w:t>5. bei Krediten in Form eines Zahlungsaufschubs für eine bestimmte Ware oder Dienstleistung und bei verbundenen Kreditverträgen Ware oder Dienstleistung und deren Barzahlungspreis,</w:t>
      </w:r>
    </w:p>
    <w:p w14:paraId="4FA242C8" w14:textId="77777777" w:rsidR="00881814" w:rsidRPr="004676F5" w:rsidRDefault="00881814" w:rsidP="00881814">
      <w:pPr>
        <w:ind w:firstLine="708"/>
        <w:jc w:val="both"/>
        <w:rPr>
          <w:lang w:val="de-DE"/>
        </w:rPr>
      </w:pPr>
    </w:p>
    <w:p w14:paraId="1EE8C90D" w14:textId="77777777" w:rsidR="00881814" w:rsidRPr="004676F5" w:rsidRDefault="00881814" w:rsidP="00881814">
      <w:pPr>
        <w:ind w:firstLine="708"/>
        <w:jc w:val="both"/>
        <w:rPr>
          <w:lang w:val="de-DE"/>
        </w:rPr>
      </w:pPr>
      <w:r w:rsidRPr="004676F5">
        <w:rPr>
          <w:lang w:val="de-DE"/>
        </w:rPr>
        <w:t>6. Sollzinssatz, Bedingungen für die Anwendung des Sollzinssatzes und, soweit vorhanden, Indizes oder Referenzzinssätze, die auf den anfänglichen Sollzinssatz Anwendung finden, ferner Zeiträume, Bedingungen und Art und Weise der Anpassung des Sollzinssatzes. Gelten unter bestimmten Umständen unterschiedliche Sollzinssätze, so sind die oben genannten Informationen für alle anzuwendenden Sollzinssätze zu erteilen,</w:t>
      </w:r>
    </w:p>
    <w:p w14:paraId="6375BBC1" w14:textId="77777777" w:rsidR="00881814" w:rsidRPr="004676F5" w:rsidRDefault="00881814" w:rsidP="00881814">
      <w:pPr>
        <w:ind w:firstLine="708"/>
        <w:jc w:val="both"/>
        <w:rPr>
          <w:lang w:val="de-DE"/>
        </w:rPr>
      </w:pPr>
    </w:p>
    <w:p w14:paraId="36B0D89E" w14:textId="77777777" w:rsidR="00881814" w:rsidRPr="004676F5" w:rsidRDefault="00881814" w:rsidP="00881814">
      <w:pPr>
        <w:ind w:firstLine="708"/>
        <w:jc w:val="both"/>
        <w:rPr>
          <w:lang w:val="de-DE"/>
        </w:rPr>
      </w:pPr>
      <w:r w:rsidRPr="004676F5">
        <w:rPr>
          <w:lang w:val="de-DE"/>
        </w:rPr>
        <w:t xml:space="preserve">7. effektiver Jahreszins und vom Verbraucher zu zahlender Gesamtbetrag, erläutert anhand eines repräsentativen Beispiels unter Angabe sämtlicher in die Berechnung des Jahreszinses einfließenden Annahmen. Hat der Verbraucher dem Kreditgeber seine Wünsche in Bezug auf eines oder mehrere Elemente seines Kredits mitgeteilt, beispielsweise in Bezug </w:t>
      </w:r>
      <w:r w:rsidRPr="004676F5">
        <w:rPr>
          <w:lang w:val="de-DE"/>
        </w:rPr>
        <w:lastRenderedPageBreak/>
        <w:t>auf die Laufzeit des Kreditvertrags oder den Kreditbetrag, so muss der Kreditgeber diese Elemente berücksichtigen. Sofern ein Kreditvertrag unterschiedliche Verfahren der Inanspruchnahme mit jeweils unterschiedlichen Entgelten oder Sollzinssätzen vorsieht und der Kreditgeber eine vom König zu bestimmende Annahme, die diesen Fall widerspiegelt, umsetzt, so weist er darauf hin, dass andere Mechanismen der Inanspruchnahme bei der Art des Kreditvertrags zu einem höheren effektiven Jahreszins führen können,</w:t>
      </w:r>
    </w:p>
    <w:p w14:paraId="397308C1" w14:textId="77777777" w:rsidR="00881814" w:rsidRPr="004676F5" w:rsidRDefault="00881814" w:rsidP="00881814">
      <w:pPr>
        <w:ind w:firstLine="708"/>
        <w:jc w:val="both"/>
        <w:rPr>
          <w:lang w:val="de-DE"/>
        </w:rPr>
      </w:pPr>
    </w:p>
    <w:p w14:paraId="0D23A869" w14:textId="77777777" w:rsidR="00881814" w:rsidRPr="004676F5" w:rsidRDefault="00881814" w:rsidP="00881814">
      <w:pPr>
        <w:ind w:firstLine="708"/>
        <w:jc w:val="both"/>
        <w:rPr>
          <w:lang w:val="de-DE"/>
        </w:rPr>
      </w:pPr>
      <w:r w:rsidRPr="004676F5">
        <w:rPr>
          <w:lang w:val="de-DE"/>
        </w:rPr>
        <w:t>8. </w:t>
      </w:r>
      <w:r w:rsidR="00CC29D9" w:rsidRPr="004676F5">
        <w:rPr>
          <w:lang w:val="de-DE"/>
        </w:rPr>
        <w:t>[Ratenbeträge, Zahlungstermine und Anzahl der vom Verbraucher zu leistenden Zahlungen]</w:t>
      </w:r>
      <w:r w:rsidRPr="004676F5">
        <w:rPr>
          <w:lang w:val="de-DE"/>
        </w:rPr>
        <w:t xml:space="preserve"> und gegebenenfalls Reihenfolge, in der die Zahlungen auf verschiedene ausstehende Restbeträge, für die unterschiedliche Sollzinssätze gelten, zum Zwecke der Rückzahlung angerechnet werden,</w:t>
      </w:r>
    </w:p>
    <w:p w14:paraId="2C0084E2" w14:textId="77777777" w:rsidR="00881814" w:rsidRPr="004676F5" w:rsidRDefault="00881814" w:rsidP="00881814">
      <w:pPr>
        <w:ind w:firstLine="708"/>
        <w:jc w:val="both"/>
        <w:rPr>
          <w:lang w:val="de-DE"/>
        </w:rPr>
      </w:pPr>
    </w:p>
    <w:p w14:paraId="2AF6A98B" w14:textId="77777777" w:rsidR="00881814" w:rsidRPr="004676F5" w:rsidRDefault="00881814" w:rsidP="00881814">
      <w:pPr>
        <w:ind w:firstLine="708"/>
        <w:jc w:val="both"/>
        <w:rPr>
          <w:lang w:val="de-DE"/>
        </w:rPr>
      </w:pPr>
      <w:r w:rsidRPr="004676F5">
        <w:rPr>
          <w:lang w:val="de-DE"/>
        </w:rPr>
        <w:t xml:space="preserve">9. gegebenenfalls Entgelte für die Führung eines oder mehrerer Konten für die Buchung der Zahlungsvorgänge und der in Anspruch genommenen Kreditbeträge, es sei denn, die Eröffnung eines entsprechenden Kontos ist fakultativ, zusammen mit den Entgelten für die Verwendung eines Zahlungsinstruments, mit dem sowohl Zahlungsvorgänge getätigt als auch Kreditbeträge in Anspruch genommen werden können, sowie sonstige Entgelte aufgrund des Kreditvertrags und Bedingungen, unter denen diese Entgelte gemäß Artikel VII.86 geändert werden können, </w:t>
      </w:r>
    </w:p>
    <w:p w14:paraId="53D3125C" w14:textId="77777777" w:rsidR="00881814" w:rsidRPr="004676F5" w:rsidRDefault="00881814" w:rsidP="00881814">
      <w:pPr>
        <w:ind w:firstLine="708"/>
        <w:jc w:val="both"/>
        <w:rPr>
          <w:lang w:val="de-DE"/>
        </w:rPr>
      </w:pPr>
    </w:p>
    <w:p w14:paraId="63743D98" w14:textId="77777777" w:rsidR="00881814" w:rsidRPr="004676F5" w:rsidRDefault="00881814" w:rsidP="00881814">
      <w:pPr>
        <w:ind w:firstLine="708"/>
        <w:jc w:val="both"/>
        <w:rPr>
          <w:lang w:val="de-DE"/>
        </w:rPr>
      </w:pPr>
      <w:r w:rsidRPr="004676F5">
        <w:rPr>
          <w:lang w:val="de-DE"/>
        </w:rPr>
        <w:t>10. falls zutreffend, Hinweis auf vom Verbraucher bei Abschluss des Kreditvertrags zu zahlende Notargebühren,</w:t>
      </w:r>
    </w:p>
    <w:p w14:paraId="7D6BD8D1" w14:textId="77777777" w:rsidR="00881814" w:rsidRPr="004676F5" w:rsidRDefault="00881814" w:rsidP="00881814">
      <w:pPr>
        <w:ind w:firstLine="708"/>
        <w:jc w:val="both"/>
        <w:rPr>
          <w:lang w:val="de-DE"/>
        </w:rPr>
      </w:pPr>
    </w:p>
    <w:p w14:paraId="2D69B9A5" w14:textId="77777777" w:rsidR="00881814" w:rsidRPr="004676F5" w:rsidRDefault="00881814" w:rsidP="00881814">
      <w:pPr>
        <w:ind w:firstLine="708"/>
        <w:jc w:val="both"/>
        <w:rPr>
          <w:lang w:val="de-DE"/>
        </w:rPr>
      </w:pPr>
      <w:r w:rsidRPr="004676F5">
        <w:rPr>
          <w:lang w:val="de-DE"/>
        </w:rPr>
        <w:t>11. gegebenenfalls Verpflichtung, im Zusammenhang mit dem Kreditvertrag einen Vertrag über die Inanspruchnahme einer Nebenleistung, insbesondere eines Versicherungs</w:t>
      </w:r>
      <w:r w:rsidRPr="004676F5">
        <w:rPr>
          <w:lang w:val="de-DE"/>
        </w:rPr>
        <w:softHyphen/>
        <w:t>vertrags, abzuschließen, wenn der Abschluss eines solchen Vertrags zwingende Voraussetzung dafür ist, dass der Kredit überhaupt oder in Anwendung der vorgesehenen Vertragsbedingungen gewährt wird,</w:t>
      </w:r>
    </w:p>
    <w:p w14:paraId="4C03C230" w14:textId="77777777" w:rsidR="00881814" w:rsidRPr="004676F5" w:rsidRDefault="00881814" w:rsidP="00881814">
      <w:pPr>
        <w:ind w:firstLine="708"/>
        <w:jc w:val="both"/>
        <w:rPr>
          <w:lang w:val="de-DE"/>
        </w:rPr>
      </w:pPr>
    </w:p>
    <w:p w14:paraId="473D7DB5" w14:textId="77777777" w:rsidR="00881814" w:rsidRPr="004676F5" w:rsidRDefault="00881814" w:rsidP="00881814">
      <w:pPr>
        <w:ind w:firstLine="708"/>
        <w:jc w:val="both"/>
        <w:rPr>
          <w:lang w:val="de-DE"/>
        </w:rPr>
      </w:pPr>
      <w:r w:rsidRPr="004676F5">
        <w:rPr>
          <w:lang w:val="de-DE"/>
        </w:rPr>
        <w:t>12. Zinssatz, der im Verzugsfall Anwendung findet, und Art und Weise seiner etwaigen Anpassung sowie gegebenenfalls anfallende Kosten wegen Nichterfüllung des Kreditvertrags,</w:t>
      </w:r>
    </w:p>
    <w:p w14:paraId="1D0C7387" w14:textId="77777777" w:rsidR="00881814" w:rsidRPr="004676F5" w:rsidRDefault="00881814" w:rsidP="00881814">
      <w:pPr>
        <w:ind w:firstLine="708"/>
        <w:jc w:val="both"/>
        <w:rPr>
          <w:lang w:val="de-DE"/>
        </w:rPr>
      </w:pPr>
    </w:p>
    <w:p w14:paraId="01B8D5AB" w14:textId="77777777" w:rsidR="00881814" w:rsidRPr="004676F5" w:rsidRDefault="00881814" w:rsidP="00881814">
      <w:pPr>
        <w:ind w:firstLine="708"/>
        <w:jc w:val="both"/>
        <w:rPr>
          <w:lang w:val="de-DE"/>
        </w:rPr>
      </w:pPr>
      <w:r w:rsidRPr="004676F5">
        <w:rPr>
          <w:lang w:val="de-DE"/>
        </w:rPr>
        <w:t>13. Warnhinweis zu den Folgen ausbleibender Zahlungen,</w:t>
      </w:r>
    </w:p>
    <w:p w14:paraId="2AE9A982" w14:textId="77777777" w:rsidR="00881814" w:rsidRPr="004676F5" w:rsidRDefault="00881814" w:rsidP="00881814">
      <w:pPr>
        <w:ind w:firstLine="708"/>
        <w:jc w:val="both"/>
        <w:rPr>
          <w:lang w:val="de-DE"/>
        </w:rPr>
      </w:pPr>
    </w:p>
    <w:p w14:paraId="6118B665" w14:textId="77777777" w:rsidR="00881814" w:rsidRPr="004676F5" w:rsidRDefault="00881814" w:rsidP="00881814">
      <w:pPr>
        <w:ind w:firstLine="708"/>
        <w:jc w:val="both"/>
        <w:rPr>
          <w:lang w:val="de-DE"/>
        </w:rPr>
      </w:pPr>
      <w:r w:rsidRPr="004676F5">
        <w:rPr>
          <w:lang w:val="de-DE"/>
        </w:rPr>
        <w:t>14. gegebenenfalls verlangte Sicherheiten,</w:t>
      </w:r>
    </w:p>
    <w:p w14:paraId="0C1A2D31" w14:textId="77777777" w:rsidR="00881814" w:rsidRPr="004676F5" w:rsidRDefault="00881814" w:rsidP="00881814">
      <w:pPr>
        <w:ind w:firstLine="708"/>
        <w:jc w:val="both"/>
        <w:rPr>
          <w:lang w:val="de-DE"/>
        </w:rPr>
      </w:pPr>
    </w:p>
    <w:p w14:paraId="634464E0" w14:textId="77777777" w:rsidR="00881814" w:rsidRPr="004676F5" w:rsidRDefault="00881814" w:rsidP="00881814">
      <w:pPr>
        <w:ind w:firstLine="708"/>
        <w:jc w:val="both"/>
        <w:rPr>
          <w:lang w:val="de-DE"/>
        </w:rPr>
      </w:pPr>
      <w:r w:rsidRPr="004676F5">
        <w:rPr>
          <w:lang w:val="de-DE"/>
        </w:rPr>
        <w:t>15. Bestehen oder Nichtbestehen eines Widerrufsrechts,</w:t>
      </w:r>
    </w:p>
    <w:p w14:paraId="51DEC86E" w14:textId="77777777" w:rsidR="00881814" w:rsidRPr="004676F5" w:rsidRDefault="00881814" w:rsidP="00881814">
      <w:pPr>
        <w:ind w:firstLine="708"/>
        <w:jc w:val="both"/>
        <w:rPr>
          <w:lang w:val="de-DE"/>
        </w:rPr>
      </w:pPr>
    </w:p>
    <w:p w14:paraId="6ABC02BE" w14:textId="77777777" w:rsidR="00881814" w:rsidRPr="004676F5" w:rsidRDefault="00881814" w:rsidP="00881814">
      <w:pPr>
        <w:ind w:firstLine="708"/>
        <w:jc w:val="both"/>
        <w:rPr>
          <w:lang w:val="de-DE"/>
        </w:rPr>
      </w:pPr>
      <w:r w:rsidRPr="004676F5">
        <w:rPr>
          <w:lang w:val="de-DE"/>
        </w:rPr>
        <w:t>16. Recht auf vorzeitige Rückzahlung und gegebenenfalls Informationen zum Anspruch des Kreditgebers auf Entschädigung sowie zur Art der Berechnung dieser Entschädigung gemäß Artikel VII.97,</w:t>
      </w:r>
    </w:p>
    <w:p w14:paraId="49C22A9C" w14:textId="77777777" w:rsidR="00881814" w:rsidRPr="004676F5" w:rsidRDefault="00881814" w:rsidP="00881814">
      <w:pPr>
        <w:ind w:firstLine="708"/>
        <w:jc w:val="both"/>
        <w:rPr>
          <w:lang w:val="de-DE"/>
        </w:rPr>
      </w:pPr>
    </w:p>
    <w:p w14:paraId="38E9789E" w14:textId="77777777" w:rsidR="00881814" w:rsidRPr="004676F5" w:rsidRDefault="00881814" w:rsidP="00881814">
      <w:pPr>
        <w:ind w:firstLine="708"/>
        <w:jc w:val="both"/>
        <w:rPr>
          <w:lang w:val="de-DE"/>
        </w:rPr>
      </w:pPr>
      <w:r w:rsidRPr="004676F5">
        <w:rPr>
          <w:lang w:val="de-DE"/>
        </w:rPr>
        <w:t>17. Recht des Verbrauchers auf unverzügliche und unentgeltliche Unterrichtung gemäß Artikel VII.79 über das Ergebnis einer Datenbankabfrage zur Beurteilung der Kreditwürdigkeit,</w:t>
      </w:r>
    </w:p>
    <w:p w14:paraId="6FC505FC" w14:textId="77777777" w:rsidR="00881814" w:rsidRPr="004676F5" w:rsidRDefault="00881814" w:rsidP="00881814">
      <w:pPr>
        <w:ind w:firstLine="708"/>
        <w:jc w:val="both"/>
        <w:rPr>
          <w:lang w:val="de-DE"/>
        </w:rPr>
      </w:pPr>
    </w:p>
    <w:p w14:paraId="74838469" w14:textId="77777777" w:rsidR="00881814" w:rsidRPr="004676F5" w:rsidRDefault="00881814" w:rsidP="00881814">
      <w:pPr>
        <w:ind w:firstLine="708"/>
        <w:jc w:val="both"/>
        <w:rPr>
          <w:lang w:val="de-DE"/>
        </w:rPr>
      </w:pPr>
      <w:r w:rsidRPr="004676F5">
        <w:rPr>
          <w:lang w:val="de-DE"/>
        </w:rPr>
        <w:t>18. Recht des Verbrauchers, auf Verlangen unentgeltlich eine Kopie des Kredit</w:t>
      </w:r>
      <w:r w:rsidRPr="004676F5">
        <w:rPr>
          <w:lang w:val="de-DE"/>
        </w:rPr>
        <w:softHyphen/>
        <w:t>vertrags</w:t>
      </w:r>
      <w:r w:rsidRPr="004676F5">
        <w:rPr>
          <w:lang w:val="de-DE"/>
        </w:rPr>
        <w:softHyphen/>
        <w:t>entwurfs zu erhalten.</w:t>
      </w:r>
    </w:p>
    <w:p w14:paraId="747BB7B0" w14:textId="77777777" w:rsidR="00881814" w:rsidRPr="004676F5" w:rsidRDefault="00881814" w:rsidP="00881814">
      <w:pPr>
        <w:ind w:firstLine="708"/>
        <w:jc w:val="both"/>
        <w:rPr>
          <w:lang w:val="de-DE"/>
        </w:rPr>
      </w:pPr>
    </w:p>
    <w:p w14:paraId="4942CB68" w14:textId="77777777" w:rsidR="00881814" w:rsidRPr="004676F5" w:rsidRDefault="00881814" w:rsidP="00881814">
      <w:pPr>
        <w:ind w:firstLine="708"/>
        <w:jc w:val="both"/>
        <w:rPr>
          <w:lang w:val="de-DE"/>
        </w:rPr>
      </w:pPr>
      <w:r w:rsidRPr="004676F5">
        <w:rPr>
          <w:lang w:val="de-DE"/>
        </w:rPr>
        <w:t>Diese Bestimmung gilt nicht, wenn der Kreditgeber zum Zeitpunkt der Beantragung nicht zum Abschluss eines Kreditvertrags mit dem Verbraucher bereit ist,</w:t>
      </w:r>
    </w:p>
    <w:p w14:paraId="228220FC" w14:textId="77777777" w:rsidR="00881814" w:rsidRPr="004676F5" w:rsidRDefault="00881814" w:rsidP="00881814">
      <w:pPr>
        <w:ind w:firstLine="708"/>
        <w:jc w:val="both"/>
        <w:rPr>
          <w:lang w:val="de-DE"/>
        </w:rPr>
      </w:pPr>
    </w:p>
    <w:p w14:paraId="753832F8" w14:textId="77777777" w:rsidR="00881814" w:rsidRPr="004676F5" w:rsidRDefault="00881814" w:rsidP="00881814">
      <w:pPr>
        <w:ind w:firstLine="708"/>
        <w:jc w:val="both"/>
        <w:rPr>
          <w:lang w:val="de-DE"/>
        </w:rPr>
      </w:pPr>
      <w:r w:rsidRPr="004676F5">
        <w:rPr>
          <w:lang w:val="de-DE"/>
        </w:rPr>
        <w:lastRenderedPageBreak/>
        <w:t>19. gegebenenfalls Zeitraum, während dessen der Kreditgeber an die vorvertraglichen Informationen gebunden ist.</w:t>
      </w:r>
    </w:p>
    <w:p w14:paraId="0808429E" w14:textId="77777777" w:rsidR="00881814" w:rsidRPr="004676F5" w:rsidRDefault="00881814" w:rsidP="00881814">
      <w:pPr>
        <w:ind w:firstLine="708"/>
        <w:jc w:val="both"/>
        <w:rPr>
          <w:lang w:val="de-DE"/>
        </w:rPr>
      </w:pPr>
    </w:p>
    <w:p w14:paraId="3FF057E1" w14:textId="77777777" w:rsidR="00881814" w:rsidRPr="004676F5" w:rsidRDefault="00881814" w:rsidP="00881814">
      <w:pPr>
        <w:ind w:firstLine="708"/>
        <w:jc w:val="both"/>
        <w:rPr>
          <w:lang w:val="de-DE"/>
        </w:rPr>
      </w:pPr>
      <w:r w:rsidRPr="004676F5">
        <w:rPr>
          <w:lang w:val="de-DE"/>
        </w:rPr>
        <w:t>Etwaige zusätzliche Informationen des Kreditgebers für den Verbraucher sind in einem gesonderten Dokument zu erteilen, das dem SECCI beigefügt werden kann.</w:t>
      </w:r>
    </w:p>
    <w:p w14:paraId="02681A39" w14:textId="77777777" w:rsidR="00CC29D9" w:rsidRPr="004676F5" w:rsidRDefault="00CC29D9" w:rsidP="00881814">
      <w:pPr>
        <w:ind w:firstLine="708"/>
        <w:jc w:val="both"/>
        <w:rPr>
          <w:lang w:val="de-DE"/>
        </w:rPr>
      </w:pPr>
    </w:p>
    <w:p w14:paraId="6EC2BB1F" w14:textId="77777777" w:rsidR="00CC29D9" w:rsidRPr="004676F5" w:rsidRDefault="00CC29D9" w:rsidP="00881814">
      <w:pPr>
        <w:ind w:firstLine="708"/>
        <w:jc w:val="both"/>
        <w:rPr>
          <w:lang w:val="de-DE"/>
        </w:rPr>
      </w:pPr>
      <w:r w:rsidRPr="004676F5">
        <w:rPr>
          <w:lang w:val="de-DE"/>
        </w:rPr>
        <w:t>[Kreditgeber und Kreditvermittler handeln bei der Gestaltung von Kreditprodukten oder der Gewährung oder der Vermittlung von Krediten oder der Erbringung von Beratungsdienstleistungen zu Krediten oder gegebenenfalls von Nebenleistungen für Verbraucher oder bei der Ausführung eines Kreditvertrags unter Berücksichtigung der Rechte und Interessen der Verbraucher ehrlich, redlich, transparent und professionell. Im Zusammenhang mit der Gewährung, Vermittlung oder Erbringung von Beratungs</w:t>
      </w:r>
      <w:r w:rsidRPr="004676F5">
        <w:rPr>
          <w:lang w:val="de-DE"/>
        </w:rPr>
        <w:softHyphen/>
        <w:t>dienst</w:t>
      </w:r>
      <w:r w:rsidRPr="004676F5">
        <w:rPr>
          <w:lang w:val="de-DE"/>
        </w:rPr>
        <w:softHyphen/>
        <w:t>leistungen zu Krediten oder gegebenenfalls von Nebenleistungen sind Informationen über die Umstände des Verbrauchers, von ihm angegebene konkrete Bedürfnisse und realistische Annahmen bezüglich der Risiken für die Situation des Verbrauchers während der Laufzeit des Kreditvertrags zugrunde zu legen.]</w:t>
      </w:r>
    </w:p>
    <w:p w14:paraId="3F9179DE" w14:textId="77777777" w:rsidR="00881814" w:rsidRPr="004676F5" w:rsidRDefault="00881814" w:rsidP="00881814">
      <w:pPr>
        <w:ind w:firstLine="708"/>
        <w:jc w:val="both"/>
        <w:rPr>
          <w:lang w:val="de-DE"/>
        </w:rPr>
      </w:pPr>
    </w:p>
    <w:p w14:paraId="4AFD0FE4" w14:textId="6FF590EA"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Bei fernmündlicher Kommunikation im Sinne von Artikel VI.56 des Wirtschafts</w:t>
      </w:r>
      <w:r w:rsidRPr="004676F5">
        <w:rPr>
          <w:lang w:val="de-DE"/>
        </w:rPr>
        <w:softHyphen/>
        <w:t>gesetzbuches muss die in Artikel VI.56 Absatz 2 Buchstabe </w:t>
      </w:r>
      <w:r w:rsidRPr="004676F5">
        <w:rPr>
          <w:i/>
          <w:lang w:val="de-DE"/>
        </w:rPr>
        <w:t>b)</w:t>
      </w:r>
      <w:r w:rsidRPr="004676F5">
        <w:rPr>
          <w:lang w:val="de-DE"/>
        </w:rPr>
        <w:t xml:space="preserve"> erwähnte Beschreibung der Hauptmerkmale der Finanzdienstleistung hinsichtlich eines Verbraucherkredits zumindest die in § 1 Absatz 2 Nr. 3 bis 6 und 8 vorgesehenen Angaben, den anhand eines repräsentativen Beispiels erläuterten effektiven Jahreszins und den vom Verbraucher zu zahlenden Gesamtbetrag enthalten.</w:t>
      </w:r>
    </w:p>
    <w:p w14:paraId="69577A4A" w14:textId="77777777" w:rsidR="00881814" w:rsidRPr="004676F5" w:rsidRDefault="00881814" w:rsidP="00881814">
      <w:pPr>
        <w:ind w:firstLine="708"/>
        <w:jc w:val="both"/>
        <w:rPr>
          <w:lang w:val="de-DE"/>
        </w:rPr>
      </w:pPr>
    </w:p>
    <w:p w14:paraId="5BFB4844" w14:textId="3EEA807D"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Wurde der Vertrag auf Ersuchen des Verbrauchers mittels eines Fernkommu</w:t>
      </w:r>
      <w:r w:rsidRPr="004676F5">
        <w:rPr>
          <w:lang w:val="de-DE"/>
        </w:rPr>
        <w:softHyphen/>
        <w:t>nikations</w:t>
      </w:r>
      <w:r w:rsidRPr="004676F5">
        <w:rPr>
          <w:lang w:val="de-DE"/>
        </w:rPr>
        <w:softHyphen/>
        <w:t>mittels abgeschlossen, das die Erteilung der Informationen gemäß § 1 nicht gestattet, insbesondere in dem in § 2 genannten Fall, teilt der Kreditgeber dem Verbraucher unverzüglich nach Abschluss des Kreditvertrags die vollständigen vorvertraglichen Informationen mittels des SECCI-Formulars mit.</w:t>
      </w:r>
    </w:p>
    <w:p w14:paraId="52103B4F" w14:textId="77777777" w:rsidR="00881814" w:rsidRPr="004676F5" w:rsidRDefault="00881814" w:rsidP="00881814">
      <w:pPr>
        <w:ind w:firstLine="708"/>
        <w:jc w:val="both"/>
        <w:rPr>
          <w:lang w:val="de-DE"/>
        </w:rPr>
      </w:pPr>
    </w:p>
    <w:p w14:paraId="53C02109" w14:textId="2B8B7297" w:rsidR="00881814" w:rsidRPr="004676F5" w:rsidRDefault="00881814" w:rsidP="00881814">
      <w:pPr>
        <w:ind w:firstLine="708"/>
        <w:jc w:val="both"/>
        <w:rPr>
          <w:lang w:val="de-DE"/>
        </w:rPr>
      </w:pPr>
      <w:r w:rsidRPr="004676F5">
        <w:rPr>
          <w:lang w:val="de-DE"/>
        </w:rPr>
        <w:t xml:space="preserve">§ 4 </w:t>
      </w:r>
      <w:r w:rsidR="005B7A5C" w:rsidRPr="004676F5">
        <w:rPr>
          <w:lang w:val="de-DE"/>
        </w:rPr>
        <w:t>- </w:t>
      </w:r>
      <w:r w:rsidRPr="004676F5">
        <w:rPr>
          <w:lang w:val="de-DE"/>
        </w:rPr>
        <w:t>Auf Verlangen erhält der Verbraucher zusätzlich zu dem SECCI unentgeltlich eine Kopie des Kreditvertragsentwurfs. Diese Bestimmung gilt nicht, wenn der Kreditgeber zum Zeitpunkt der Beantragung nicht zum Abschluss eines Kreditvertrags mit dem Verbraucher bereit ist.</w:t>
      </w:r>
    </w:p>
    <w:p w14:paraId="0CC04039" w14:textId="77777777" w:rsidR="00881814" w:rsidRPr="004676F5" w:rsidRDefault="00881814" w:rsidP="00881814">
      <w:pPr>
        <w:ind w:firstLine="708"/>
        <w:jc w:val="both"/>
        <w:rPr>
          <w:lang w:val="de-DE"/>
        </w:rPr>
      </w:pPr>
    </w:p>
    <w:p w14:paraId="466C780A" w14:textId="1AC358E1" w:rsidR="009E165E" w:rsidRPr="004676F5" w:rsidRDefault="00CC29D9" w:rsidP="00CC29D9">
      <w:pPr>
        <w:jc w:val="both"/>
        <w:rPr>
          <w:i/>
          <w:lang w:val="de-DE"/>
        </w:rPr>
      </w:pPr>
      <w:r w:rsidRPr="004676F5">
        <w:rPr>
          <w:i/>
          <w:lang w:val="de-DE"/>
        </w:rPr>
        <w:t>[</w:t>
      </w:r>
      <w:r w:rsidR="00BE0A56" w:rsidRPr="004676F5">
        <w:rPr>
          <w:i/>
          <w:lang w:val="de-DE"/>
        </w:rPr>
        <w:t>Art. </w:t>
      </w:r>
      <w:r w:rsidRPr="004676F5">
        <w:rPr>
          <w:i/>
          <w:lang w:val="de-DE"/>
        </w:rPr>
        <w:t xml:space="preserve">VII.70 </w:t>
      </w:r>
      <w:r w:rsidR="00054D68" w:rsidRPr="004676F5">
        <w:rPr>
          <w:i/>
          <w:lang w:val="de-DE"/>
        </w:rPr>
        <w:t>§ 1 Abs. 1</w:t>
      </w:r>
      <w:r w:rsidR="00054D68" w:rsidRPr="004676F5">
        <w:rPr>
          <w:i/>
          <w:iCs/>
          <w:lang w:val="de-DE"/>
        </w:rPr>
        <w:t xml:space="preserve"> abgeändert durch Art. 12 des G. vom 20. September 2018 (B.S. vom 10. Oktober 2018); </w:t>
      </w:r>
      <w:r w:rsidRPr="004676F5">
        <w:rPr>
          <w:i/>
          <w:lang w:val="de-DE"/>
        </w:rPr>
        <w:t xml:space="preserve">§ 1 Abs. 2 Nr. 8 abgeändert durch </w:t>
      </w:r>
      <w:r w:rsidR="00BE0A56" w:rsidRPr="004676F5">
        <w:rPr>
          <w:i/>
          <w:lang w:val="de-DE"/>
        </w:rPr>
        <w:t>Art. </w:t>
      </w:r>
      <w:r w:rsidRPr="004676F5">
        <w:rPr>
          <w:i/>
          <w:lang w:val="de-DE"/>
        </w:rPr>
        <w:t xml:space="preserve">6 Nr. 1 des G. vom 22. April 2016 (B.S. vom 4. Mai 2016); § 1 Abs. 4 eingefügt durch </w:t>
      </w:r>
      <w:r w:rsidR="00BE0A56" w:rsidRPr="004676F5">
        <w:rPr>
          <w:i/>
          <w:lang w:val="de-DE"/>
        </w:rPr>
        <w:t>Art. </w:t>
      </w:r>
      <w:r w:rsidRPr="004676F5">
        <w:rPr>
          <w:i/>
          <w:lang w:val="de-DE"/>
        </w:rPr>
        <w:t>6 Nr. 2 des G. vom 22. April 2016 (B.S. vom 4. Mai 2016)]</w:t>
      </w:r>
    </w:p>
    <w:p w14:paraId="4A45ED5A" w14:textId="77777777" w:rsidR="00CC29D9" w:rsidRPr="004676F5" w:rsidRDefault="00CC29D9" w:rsidP="00CC29D9">
      <w:pPr>
        <w:jc w:val="both"/>
        <w:rPr>
          <w:i/>
          <w:lang w:val="de-DE"/>
        </w:rPr>
      </w:pPr>
    </w:p>
    <w:p w14:paraId="77AF67BD" w14:textId="77777777" w:rsidR="00CC29D9" w:rsidRPr="004676F5" w:rsidRDefault="00CC29D9" w:rsidP="00CC29D9">
      <w:pPr>
        <w:jc w:val="both"/>
        <w:rPr>
          <w:i/>
          <w:lang w:val="de-DE"/>
        </w:rPr>
      </w:pPr>
    </w:p>
    <w:p w14:paraId="1F2BB9E5" w14:textId="16D71E87" w:rsidR="00881814" w:rsidRPr="004676F5" w:rsidRDefault="00BE0A56" w:rsidP="00881814">
      <w:pPr>
        <w:ind w:firstLine="708"/>
        <w:jc w:val="both"/>
        <w:rPr>
          <w:lang w:val="de-DE"/>
        </w:rPr>
      </w:pPr>
      <w:r w:rsidRPr="004676F5">
        <w:rPr>
          <w:b/>
          <w:lang w:val="de-DE"/>
        </w:rPr>
        <w:t>Art. </w:t>
      </w:r>
      <w:r w:rsidR="00881814" w:rsidRPr="004676F5">
        <w:rPr>
          <w:b/>
          <w:lang w:val="de-DE"/>
        </w:rPr>
        <w:t>VII.71</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Vorliegender Artikel findet Anwendung auf:</w:t>
      </w:r>
    </w:p>
    <w:p w14:paraId="6B873FF5" w14:textId="77777777" w:rsidR="00881814" w:rsidRPr="004676F5" w:rsidRDefault="00881814" w:rsidP="00881814">
      <w:pPr>
        <w:ind w:firstLine="708"/>
        <w:jc w:val="both"/>
        <w:rPr>
          <w:lang w:val="de-DE"/>
        </w:rPr>
      </w:pPr>
    </w:p>
    <w:p w14:paraId="3EAD9BEE" w14:textId="77777777" w:rsidR="00881814" w:rsidRPr="004676F5" w:rsidRDefault="00881814" w:rsidP="00881814">
      <w:pPr>
        <w:ind w:firstLine="708"/>
        <w:jc w:val="both"/>
        <w:rPr>
          <w:lang w:val="de-DE"/>
        </w:rPr>
      </w:pPr>
      <w:r w:rsidRPr="004676F5">
        <w:rPr>
          <w:lang w:val="de-DE"/>
        </w:rPr>
        <w:t>1. Überziehungsmöglichkeiten, bei denen der Kredit nach Aufforderung des Kreditgebers oder binnen drei Monaten zurückzuzahlen ist,</w:t>
      </w:r>
    </w:p>
    <w:p w14:paraId="2543D21A" w14:textId="77777777" w:rsidR="00881814" w:rsidRPr="004676F5" w:rsidRDefault="00881814" w:rsidP="00881814">
      <w:pPr>
        <w:ind w:firstLine="708"/>
        <w:jc w:val="both"/>
        <w:rPr>
          <w:lang w:val="de-DE"/>
        </w:rPr>
      </w:pPr>
    </w:p>
    <w:p w14:paraId="35E004B7" w14:textId="77777777" w:rsidR="00881814" w:rsidRPr="004676F5" w:rsidRDefault="00881814" w:rsidP="00881814">
      <w:pPr>
        <w:ind w:firstLine="708"/>
        <w:jc w:val="both"/>
        <w:rPr>
          <w:lang w:val="de-DE"/>
        </w:rPr>
      </w:pPr>
      <w:r w:rsidRPr="004676F5">
        <w:rPr>
          <w:lang w:val="de-DE"/>
        </w:rPr>
        <w:t>2. Überziehungsmöglichkeiten, die binnen einem Monat zurückgezahlt werden müssen, was § 3 betrifft,</w:t>
      </w:r>
    </w:p>
    <w:p w14:paraId="6E21AF14" w14:textId="77777777" w:rsidR="00881814" w:rsidRPr="004676F5" w:rsidRDefault="00881814" w:rsidP="00881814">
      <w:pPr>
        <w:ind w:firstLine="708"/>
        <w:jc w:val="both"/>
        <w:rPr>
          <w:lang w:val="de-DE"/>
        </w:rPr>
      </w:pPr>
    </w:p>
    <w:p w14:paraId="1D4680DD" w14:textId="77777777" w:rsidR="00881814" w:rsidRPr="004676F5" w:rsidRDefault="00881814" w:rsidP="00881814">
      <w:pPr>
        <w:ind w:firstLine="708"/>
        <w:jc w:val="both"/>
        <w:rPr>
          <w:lang w:val="de-DE"/>
        </w:rPr>
      </w:pPr>
      <w:r w:rsidRPr="004676F5">
        <w:rPr>
          <w:lang w:val="de-DE"/>
        </w:rPr>
        <w:t>3. Kreditverträge, die mit einer in Artikel VII.3 § 3 Nr. 5 erwähnten Investment</w:t>
      </w:r>
      <w:r w:rsidRPr="004676F5">
        <w:rPr>
          <w:lang w:val="de-DE"/>
        </w:rPr>
        <w:softHyphen/>
        <w:t xml:space="preserve">gesellschaft abgeschlossen werden, </w:t>
      </w:r>
    </w:p>
    <w:p w14:paraId="34CA55A8" w14:textId="77777777" w:rsidR="00881814" w:rsidRPr="004676F5" w:rsidRDefault="00881814" w:rsidP="00881814">
      <w:pPr>
        <w:ind w:firstLine="708"/>
        <w:jc w:val="both"/>
        <w:rPr>
          <w:lang w:val="de-DE"/>
        </w:rPr>
      </w:pPr>
    </w:p>
    <w:p w14:paraId="5144F0C9" w14:textId="77777777" w:rsidR="00881814" w:rsidRPr="004676F5" w:rsidRDefault="00881814" w:rsidP="00881814">
      <w:pPr>
        <w:ind w:firstLine="708"/>
        <w:jc w:val="both"/>
        <w:rPr>
          <w:lang w:val="de-DE"/>
        </w:rPr>
      </w:pPr>
      <w:r w:rsidRPr="004676F5">
        <w:rPr>
          <w:lang w:val="de-DE"/>
        </w:rPr>
        <w:lastRenderedPageBreak/>
        <w:t xml:space="preserve">4. Kreditverträge, in denen ein Zahlungsaufschub so wie in Artikel VII.3 § 3 Nr. 6 erwähnt vorgesehen ist. </w:t>
      </w:r>
    </w:p>
    <w:p w14:paraId="5CD6384B" w14:textId="77777777" w:rsidR="00881814" w:rsidRPr="004676F5" w:rsidRDefault="00881814" w:rsidP="00881814">
      <w:pPr>
        <w:ind w:firstLine="708"/>
        <w:jc w:val="both"/>
        <w:rPr>
          <w:lang w:val="de-DE"/>
        </w:rPr>
      </w:pPr>
    </w:p>
    <w:p w14:paraId="213A76F4" w14:textId="7AF949AD"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 xml:space="preserve">In Abweichung von Artikel VII.70 § 1 und rechtzeitig bevor der Verbraucher durch einen Kreditvertrag oder ein Kreditangebot gebunden ist erteilt der Kreditgeber und gegebenenfalls der Kreditvermittler dem Verbraucher auf der Grundlage der vom Kreditgeber angebotenen Kreditbedingungen und gegebenenfalls der vom Verbraucher geäußerten Präferenzen und vorgelegten Auskünfte die Informationen, die der Verbraucher benötigt, um verschiedene Angebote zu vergleichen und eine fundierte Entscheidung über den Abschluss eines Kreditvertrags zu treffen. Diese Informationen werden </w:t>
      </w:r>
      <w:r w:rsidR="00054D68" w:rsidRPr="004676F5">
        <w:rPr>
          <w:lang w:val="de-DE"/>
        </w:rPr>
        <w:t xml:space="preserve">[auf dauerhaftem Datenträger] </w:t>
      </w:r>
      <w:r w:rsidRPr="004676F5">
        <w:rPr>
          <w:lang w:val="de-DE"/>
        </w:rPr>
        <w:t xml:space="preserve">mittels des SECCI-Formulars in Anlage 2 zu vorliegendem Buch mitgeteilt. Die in vorliegendem Paragraphen und in Artikel VI.55 vorgesehenen Informationspflichten des Kreditgebers gelten als erfüllt, wenn er die "Europäischen Standardinformationen für Verbraucherkredite" vorgelegt hat. </w:t>
      </w:r>
    </w:p>
    <w:p w14:paraId="5AF24315" w14:textId="77777777" w:rsidR="00881814" w:rsidRPr="004676F5" w:rsidRDefault="00881814" w:rsidP="00881814">
      <w:pPr>
        <w:ind w:firstLine="708"/>
        <w:jc w:val="both"/>
        <w:rPr>
          <w:lang w:val="de-DE"/>
        </w:rPr>
      </w:pPr>
    </w:p>
    <w:p w14:paraId="1B0471AB" w14:textId="77777777" w:rsidR="00881814" w:rsidRPr="004676F5" w:rsidRDefault="00881814" w:rsidP="00881814">
      <w:pPr>
        <w:ind w:firstLine="708"/>
        <w:jc w:val="both"/>
        <w:rPr>
          <w:lang w:val="de-DE"/>
        </w:rPr>
      </w:pPr>
      <w:r w:rsidRPr="004676F5">
        <w:rPr>
          <w:lang w:val="de-DE"/>
        </w:rPr>
        <w:t>Diese Informationen enthalten folgende Angaben:</w:t>
      </w:r>
    </w:p>
    <w:p w14:paraId="14897C53" w14:textId="77777777" w:rsidR="00881814" w:rsidRPr="004676F5" w:rsidRDefault="00881814" w:rsidP="00881814">
      <w:pPr>
        <w:ind w:firstLine="708"/>
        <w:jc w:val="both"/>
        <w:rPr>
          <w:lang w:val="de-DE"/>
        </w:rPr>
      </w:pPr>
    </w:p>
    <w:p w14:paraId="79732F66" w14:textId="77777777" w:rsidR="00881814" w:rsidRPr="004676F5" w:rsidRDefault="00881814" w:rsidP="00881814">
      <w:pPr>
        <w:ind w:firstLine="708"/>
        <w:jc w:val="both"/>
        <w:rPr>
          <w:lang w:val="de-DE"/>
        </w:rPr>
      </w:pPr>
      <w:r w:rsidRPr="004676F5">
        <w:rPr>
          <w:lang w:val="de-DE"/>
        </w:rPr>
        <w:t>1. Kreditart,</w:t>
      </w:r>
    </w:p>
    <w:p w14:paraId="52EE658C" w14:textId="77777777" w:rsidR="00881814" w:rsidRPr="004676F5" w:rsidRDefault="00881814" w:rsidP="00881814">
      <w:pPr>
        <w:ind w:firstLine="708"/>
        <w:jc w:val="both"/>
        <w:rPr>
          <w:lang w:val="de-DE"/>
        </w:rPr>
      </w:pPr>
    </w:p>
    <w:p w14:paraId="1EBA91B0" w14:textId="77777777" w:rsidR="00881814" w:rsidRPr="004676F5" w:rsidRDefault="00881814" w:rsidP="00881814">
      <w:pPr>
        <w:ind w:firstLine="708"/>
        <w:jc w:val="both"/>
        <w:rPr>
          <w:lang w:val="de-DE"/>
        </w:rPr>
      </w:pPr>
      <w:r w:rsidRPr="004676F5">
        <w:rPr>
          <w:lang w:val="de-DE"/>
        </w:rPr>
        <w:t>2. Identität, einschließlich Unternehmensnummer, des Kreditgebers und gegebenen</w:t>
      </w:r>
      <w:r w:rsidRPr="004676F5">
        <w:rPr>
          <w:lang w:val="de-DE"/>
        </w:rPr>
        <w:softHyphen/>
        <w:t>falls des Kreditvermittlers sowie ihre für Kontakte mit dem Verbraucher relevante geographische Anschrift,</w:t>
      </w:r>
    </w:p>
    <w:p w14:paraId="7673E101" w14:textId="77777777" w:rsidR="00881814" w:rsidRPr="004676F5" w:rsidRDefault="00881814" w:rsidP="00881814">
      <w:pPr>
        <w:ind w:firstLine="708"/>
        <w:jc w:val="both"/>
        <w:rPr>
          <w:lang w:val="de-DE"/>
        </w:rPr>
      </w:pPr>
    </w:p>
    <w:p w14:paraId="568BDBEC" w14:textId="77777777" w:rsidR="00881814" w:rsidRPr="004676F5" w:rsidRDefault="00881814" w:rsidP="00881814">
      <w:pPr>
        <w:ind w:firstLine="708"/>
        <w:jc w:val="both"/>
        <w:rPr>
          <w:lang w:val="de-DE"/>
        </w:rPr>
      </w:pPr>
      <w:r w:rsidRPr="004676F5">
        <w:rPr>
          <w:lang w:val="de-DE"/>
        </w:rPr>
        <w:t>3. Kreditbetrag,</w:t>
      </w:r>
    </w:p>
    <w:p w14:paraId="4E80D09D" w14:textId="77777777" w:rsidR="00881814" w:rsidRPr="004676F5" w:rsidRDefault="00881814" w:rsidP="00881814">
      <w:pPr>
        <w:ind w:firstLine="708"/>
        <w:jc w:val="both"/>
        <w:rPr>
          <w:lang w:val="de-DE"/>
        </w:rPr>
      </w:pPr>
    </w:p>
    <w:p w14:paraId="3ECFF5BF" w14:textId="77777777" w:rsidR="00881814" w:rsidRPr="004676F5" w:rsidRDefault="00881814" w:rsidP="00881814">
      <w:pPr>
        <w:ind w:firstLine="708"/>
        <w:jc w:val="both"/>
        <w:rPr>
          <w:lang w:val="de-DE"/>
        </w:rPr>
      </w:pPr>
      <w:r w:rsidRPr="004676F5">
        <w:rPr>
          <w:lang w:val="de-DE"/>
        </w:rPr>
        <w:t>4. Laufzeit des Kreditvertrags,</w:t>
      </w:r>
    </w:p>
    <w:p w14:paraId="4B136AA4" w14:textId="77777777" w:rsidR="00881814" w:rsidRPr="004676F5" w:rsidRDefault="00881814" w:rsidP="00881814">
      <w:pPr>
        <w:ind w:firstLine="708"/>
        <w:jc w:val="both"/>
        <w:rPr>
          <w:lang w:val="de-DE"/>
        </w:rPr>
      </w:pPr>
    </w:p>
    <w:p w14:paraId="42EEEFA4" w14:textId="77777777" w:rsidR="00881814" w:rsidRPr="004676F5" w:rsidRDefault="00881814" w:rsidP="00881814">
      <w:pPr>
        <w:ind w:firstLine="708"/>
        <w:jc w:val="both"/>
        <w:rPr>
          <w:lang w:val="de-DE"/>
        </w:rPr>
      </w:pPr>
      <w:r w:rsidRPr="004676F5">
        <w:rPr>
          <w:lang w:val="de-DE"/>
        </w:rPr>
        <w:t>5. Sollzinssatz, Bedingungen für die Anwendung des Sollzinssatzes und Indizes oder Referenzzinssätze, die auf den anfänglichen Sollzinssatz Anwendung finden; vom Zeitpunkt des Vertragsabschlusses des Kreditvertrags an zu zahlende Entgelte und gegebenenfalls Bedingungen, unter denen diese Entgelte geändert werden können,</w:t>
      </w:r>
    </w:p>
    <w:p w14:paraId="636C4D27" w14:textId="77777777" w:rsidR="00881814" w:rsidRPr="004676F5" w:rsidRDefault="00881814" w:rsidP="00881814">
      <w:pPr>
        <w:ind w:firstLine="708"/>
        <w:jc w:val="both"/>
        <w:rPr>
          <w:lang w:val="de-DE"/>
        </w:rPr>
      </w:pPr>
    </w:p>
    <w:p w14:paraId="4CD8C48F" w14:textId="77777777" w:rsidR="00881814" w:rsidRPr="004676F5" w:rsidRDefault="00881814" w:rsidP="00881814">
      <w:pPr>
        <w:ind w:firstLine="708"/>
        <w:jc w:val="both"/>
        <w:rPr>
          <w:lang w:val="de-DE"/>
        </w:rPr>
      </w:pPr>
      <w:r w:rsidRPr="004676F5">
        <w:rPr>
          <w:lang w:val="de-DE"/>
        </w:rPr>
        <w:t>6. effektiver Jahreszins, erläutert anhand eines repräsentativen Beispiels unter Angabe sämtlicher in die Berechnung des Jahreszinses einfließenden Annahmen,</w:t>
      </w:r>
    </w:p>
    <w:p w14:paraId="32F9714D" w14:textId="77777777" w:rsidR="00881814" w:rsidRPr="004676F5" w:rsidRDefault="00881814" w:rsidP="00881814">
      <w:pPr>
        <w:ind w:firstLine="708"/>
        <w:jc w:val="both"/>
        <w:rPr>
          <w:lang w:val="de-DE"/>
        </w:rPr>
      </w:pPr>
    </w:p>
    <w:p w14:paraId="267C582A" w14:textId="77777777" w:rsidR="00881814" w:rsidRPr="004676F5" w:rsidRDefault="00881814" w:rsidP="00881814">
      <w:pPr>
        <w:ind w:firstLine="708"/>
        <w:jc w:val="both"/>
        <w:rPr>
          <w:lang w:val="de-DE"/>
        </w:rPr>
      </w:pPr>
      <w:r w:rsidRPr="004676F5">
        <w:rPr>
          <w:lang w:val="de-DE"/>
        </w:rPr>
        <w:t>7. Bedingungen und Verfahren zur Beendigung des Kreditvertrags,</w:t>
      </w:r>
    </w:p>
    <w:p w14:paraId="0B4EF7C9" w14:textId="77777777" w:rsidR="00881814" w:rsidRPr="004676F5" w:rsidRDefault="00881814" w:rsidP="00881814">
      <w:pPr>
        <w:ind w:firstLine="708"/>
        <w:jc w:val="both"/>
        <w:rPr>
          <w:lang w:val="de-DE"/>
        </w:rPr>
      </w:pPr>
    </w:p>
    <w:p w14:paraId="6F849A28" w14:textId="77777777" w:rsidR="00881814" w:rsidRPr="004676F5" w:rsidRDefault="00881814" w:rsidP="00881814">
      <w:pPr>
        <w:ind w:firstLine="708"/>
        <w:jc w:val="both"/>
        <w:rPr>
          <w:lang w:val="de-DE"/>
        </w:rPr>
      </w:pPr>
      <w:r w:rsidRPr="004676F5">
        <w:rPr>
          <w:lang w:val="de-DE"/>
        </w:rPr>
        <w:t>8. gegebenenfalls Hinweis, dass der Verbraucher jederzeit zur Rückzahlung des gesamten Kreditbetrags aufgefordert werden kann,</w:t>
      </w:r>
    </w:p>
    <w:p w14:paraId="4D1ADCF4" w14:textId="77777777" w:rsidR="00881814" w:rsidRPr="004676F5" w:rsidRDefault="00881814" w:rsidP="00881814">
      <w:pPr>
        <w:ind w:firstLine="708"/>
        <w:jc w:val="both"/>
        <w:rPr>
          <w:lang w:val="de-DE"/>
        </w:rPr>
      </w:pPr>
    </w:p>
    <w:p w14:paraId="1A9B5030" w14:textId="77777777" w:rsidR="00881814" w:rsidRPr="004676F5" w:rsidRDefault="00881814" w:rsidP="00881814">
      <w:pPr>
        <w:ind w:firstLine="708"/>
        <w:jc w:val="both"/>
        <w:rPr>
          <w:lang w:val="de-DE"/>
        </w:rPr>
      </w:pPr>
      <w:r w:rsidRPr="004676F5">
        <w:rPr>
          <w:lang w:val="de-DE"/>
        </w:rPr>
        <w:t>9. Zinssatz, der im Verzugsfall Anwendung findet, und Art und Weise seiner etwaigen Anpassung sowie gegebenenfalls anfallende Kosten wegen Nichterfüllung des Kreditvertrags,</w:t>
      </w:r>
    </w:p>
    <w:p w14:paraId="53600938" w14:textId="77777777" w:rsidR="00881814" w:rsidRPr="004676F5" w:rsidRDefault="00881814" w:rsidP="00881814">
      <w:pPr>
        <w:ind w:firstLine="708"/>
        <w:jc w:val="both"/>
        <w:rPr>
          <w:lang w:val="de-DE"/>
        </w:rPr>
      </w:pPr>
    </w:p>
    <w:p w14:paraId="264E83A2" w14:textId="77777777" w:rsidR="00881814" w:rsidRPr="004676F5" w:rsidRDefault="00881814" w:rsidP="00881814">
      <w:pPr>
        <w:ind w:firstLine="708"/>
        <w:jc w:val="both"/>
        <w:rPr>
          <w:lang w:val="de-DE"/>
        </w:rPr>
      </w:pPr>
      <w:r w:rsidRPr="004676F5">
        <w:rPr>
          <w:lang w:val="de-DE"/>
        </w:rPr>
        <w:t>10. Recht des Verbrauchers auf unverzügliche und unentgeltliche Unterrichtung gemäß Artikel VII.79 über das Ergebnis einer Datenbankabfrage zur Beurteilung der Kreditwürdigkeit,</w:t>
      </w:r>
    </w:p>
    <w:p w14:paraId="2D1CB2F9" w14:textId="77777777" w:rsidR="00881814" w:rsidRPr="004676F5" w:rsidRDefault="00881814" w:rsidP="00881814">
      <w:pPr>
        <w:ind w:firstLine="708"/>
        <w:jc w:val="both"/>
        <w:rPr>
          <w:lang w:val="de-DE"/>
        </w:rPr>
      </w:pPr>
    </w:p>
    <w:p w14:paraId="410ABB1F" w14:textId="77777777" w:rsidR="00881814" w:rsidRPr="004676F5" w:rsidRDefault="00881814" w:rsidP="00881814">
      <w:pPr>
        <w:ind w:firstLine="708"/>
        <w:jc w:val="both"/>
        <w:rPr>
          <w:lang w:val="de-DE"/>
        </w:rPr>
      </w:pPr>
      <w:r w:rsidRPr="004676F5">
        <w:rPr>
          <w:lang w:val="de-DE"/>
        </w:rPr>
        <w:t>11. Angaben zu den ab Abschluss des Kreditvertrags anwendbaren Entgelten und Bedingungen, unter denen diese Entgelte gemäß Artikel VII.86 geändert werden können,</w:t>
      </w:r>
    </w:p>
    <w:p w14:paraId="53B964BC" w14:textId="77777777" w:rsidR="00881814" w:rsidRPr="004676F5" w:rsidRDefault="00881814" w:rsidP="00881814">
      <w:pPr>
        <w:ind w:firstLine="708"/>
        <w:jc w:val="both"/>
        <w:rPr>
          <w:lang w:val="de-DE"/>
        </w:rPr>
      </w:pPr>
    </w:p>
    <w:p w14:paraId="0A5A5D49" w14:textId="77777777" w:rsidR="00881814" w:rsidRPr="004676F5" w:rsidRDefault="00881814" w:rsidP="00881814">
      <w:pPr>
        <w:ind w:firstLine="708"/>
        <w:jc w:val="both"/>
        <w:rPr>
          <w:lang w:val="de-DE"/>
        </w:rPr>
      </w:pPr>
      <w:r w:rsidRPr="004676F5">
        <w:rPr>
          <w:lang w:val="de-DE"/>
        </w:rPr>
        <w:t>12. gegebenenfalls Zeitraum, während dessen der Kreditgeber an die vorvertraglichen Informationen gebunden ist.</w:t>
      </w:r>
    </w:p>
    <w:p w14:paraId="47B97CF4" w14:textId="77777777" w:rsidR="00881814" w:rsidRPr="004676F5" w:rsidRDefault="00881814" w:rsidP="00881814">
      <w:pPr>
        <w:ind w:firstLine="708"/>
        <w:jc w:val="both"/>
        <w:rPr>
          <w:lang w:val="de-DE"/>
        </w:rPr>
      </w:pPr>
    </w:p>
    <w:p w14:paraId="31FB88C3" w14:textId="4D5C815A"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In Abweichung von Artikel VII.70 § 2 muss bei fernmündlicher Kommunikation im Sinne von Artikel VI.56 und wenn der Verbraucher die sofortige Bereitstellung der Überziehungsmöglichkeit beantragt die in Artikel VI.56 Absatz 2 Buchstabe </w:t>
      </w:r>
      <w:r w:rsidRPr="004676F5">
        <w:rPr>
          <w:i/>
          <w:lang w:val="de-DE"/>
        </w:rPr>
        <w:t>b)</w:t>
      </w:r>
      <w:r w:rsidRPr="004676F5">
        <w:rPr>
          <w:lang w:val="de-DE"/>
        </w:rPr>
        <w:t xml:space="preserve"> erwähnte Beschreibung der Hauptmerkmale der Finanzdienstleistung zumindest die in § 2 Absatz 2 Nr. 3, 5, 6 und 8 vorgesehenen Informationen enthalten.</w:t>
      </w:r>
    </w:p>
    <w:p w14:paraId="19BA7ECD" w14:textId="77777777" w:rsidR="00881814" w:rsidRPr="004676F5" w:rsidRDefault="00881814" w:rsidP="00881814">
      <w:pPr>
        <w:ind w:firstLine="708"/>
        <w:jc w:val="both"/>
        <w:rPr>
          <w:lang w:val="de-DE"/>
        </w:rPr>
      </w:pPr>
    </w:p>
    <w:p w14:paraId="229F4FC6" w14:textId="237D4A25" w:rsidR="00881814" w:rsidRPr="004676F5" w:rsidRDefault="00881814" w:rsidP="00881814">
      <w:pPr>
        <w:ind w:firstLine="708"/>
        <w:jc w:val="both"/>
        <w:rPr>
          <w:lang w:val="de-DE"/>
        </w:rPr>
      </w:pPr>
      <w:r w:rsidRPr="004676F5">
        <w:rPr>
          <w:lang w:val="de-DE"/>
        </w:rPr>
        <w:t>§ 4 </w:t>
      </w:r>
      <w:r w:rsidR="005B7A5C" w:rsidRPr="004676F5">
        <w:rPr>
          <w:lang w:val="de-DE"/>
        </w:rPr>
        <w:t>- </w:t>
      </w:r>
      <w:r w:rsidRPr="004676F5">
        <w:rPr>
          <w:lang w:val="de-DE"/>
        </w:rPr>
        <w:t>Auf Verlangen erhält der Verbraucher zusätzlich zu dem SECCI unentgeltlich eine Kopie des Kreditvertragsentwurfs. Diese Bestimmung gilt nicht, wenn der Kreditgeber zum Zeitpunkt der Beantragung nicht zum Abschluss eines Kreditvertrags mit dem Verbraucher bereit ist.</w:t>
      </w:r>
    </w:p>
    <w:p w14:paraId="54C4157A" w14:textId="77777777" w:rsidR="00881814" w:rsidRPr="004676F5" w:rsidRDefault="00881814" w:rsidP="00881814">
      <w:pPr>
        <w:ind w:firstLine="708"/>
        <w:jc w:val="both"/>
        <w:rPr>
          <w:lang w:val="de-DE"/>
        </w:rPr>
      </w:pPr>
    </w:p>
    <w:p w14:paraId="0178CC28" w14:textId="394AA5F1" w:rsidR="00881814" w:rsidRPr="004676F5" w:rsidRDefault="00881814" w:rsidP="00881814">
      <w:pPr>
        <w:ind w:firstLine="708"/>
        <w:jc w:val="both"/>
        <w:rPr>
          <w:lang w:val="de-DE"/>
        </w:rPr>
      </w:pPr>
      <w:r w:rsidRPr="004676F5">
        <w:rPr>
          <w:lang w:val="de-DE"/>
        </w:rPr>
        <w:t>§ 5 </w:t>
      </w:r>
      <w:r w:rsidR="005B7A5C" w:rsidRPr="004676F5">
        <w:rPr>
          <w:lang w:val="de-DE"/>
        </w:rPr>
        <w:t>- </w:t>
      </w:r>
      <w:r w:rsidRPr="004676F5">
        <w:rPr>
          <w:lang w:val="de-DE"/>
        </w:rPr>
        <w:t>Wurde der Vertrag auf Ersuchen des Verbrauchers mittels eines Fernkommu</w:t>
      </w:r>
      <w:r w:rsidRPr="004676F5">
        <w:rPr>
          <w:lang w:val="de-DE"/>
        </w:rPr>
        <w:softHyphen/>
        <w:t>ni</w:t>
      </w:r>
      <w:r w:rsidRPr="004676F5">
        <w:rPr>
          <w:lang w:val="de-DE"/>
        </w:rPr>
        <w:softHyphen/>
        <w:t xml:space="preserve">kationsmittels abgeschlossen, das die Erteilung der Informationen gemäß § 2, einschließlich der in § 3 genannten Fälle, nicht gestattet, kommt der Kreditgeber unverzüglich nach Abschluss des Kreditvertrags seinen Verpflichtungen gemäß § 2 nach, indem er dem Verbraucher die vertraglichen Informationen gemäß Artikel VII.78, soweit dieser Anwendung findet, vorlegt. </w:t>
      </w:r>
    </w:p>
    <w:p w14:paraId="123CBE0D" w14:textId="77777777" w:rsidR="00881814" w:rsidRPr="004676F5" w:rsidRDefault="00881814" w:rsidP="00881814">
      <w:pPr>
        <w:ind w:firstLine="708"/>
        <w:jc w:val="both"/>
        <w:rPr>
          <w:lang w:val="de-DE"/>
        </w:rPr>
      </w:pPr>
    </w:p>
    <w:p w14:paraId="62C74FF4" w14:textId="654D25DA" w:rsidR="00054D68" w:rsidRPr="004676F5" w:rsidRDefault="00054D68" w:rsidP="00054D68">
      <w:pPr>
        <w:jc w:val="both"/>
        <w:rPr>
          <w:i/>
          <w:iCs/>
          <w:lang w:val="de-DE"/>
        </w:rPr>
      </w:pPr>
      <w:r w:rsidRPr="004676F5">
        <w:rPr>
          <w:i/>
          <w:iCs/>
          <w:lang w:val="de-DE"/>
        </w:rPr>
        <w:t>[Art. VII.71 § 2 Abs. 1 abgeändert durch Art. 12 des G. vom 20. September 2018 (B.S. vom 10. Oktober 2018)]</w:t>
      </w:r>
    </w:p>
    <w:p w14:paraId="2F1AD5CE" w14:textId="77777777" w:rsidR="00054D68" w:rsidRPr="004676F5" w:rsidRDefault="00054D68" w:rsidP="00881814">
      <w:pPr>
        <w:ind w:firstLine="708"/>
        <w:jc w:val="both"/>
        <w:rPr>
          <w:lang w:val="de-DE"/>
        </w:rPr>
      </w:pPr>
    </w:p>
    <w:p w14:paraId="3F53AFF2" w14:textId="77777777" w:rsidR="009E165E" w:rsidRPr="004676F5" w:rsidRDefault="009E165E" w:rsidP="00881814">
      <w:pPr>
        <w:ind w:firstLine="708"/>
        <w:jc w:val="both"/>
        <w:rPr>
          <w:lang w:val="de-DE"/>
        </w:rPr>
      </w:pPr>
    </w:p>
    <w:p w14:paraId="0891B73D" w14:textId="6F97FD0E" w:rsidR="004C5D6C" w:rsidRPr="004676F5" w:rsidRDefault="00BE0A56" w:rsidP="004C5D6C">
      <w:pPr>
        <w:ind w:firstLine="708"/>
        <w:jc w:val="both"/>
        <w:rPr>
          <w:lang w:val="de-DE"/>
        </w:rPr>
      </w:pPr>
      <w:r w:rsidRPr="004676F5">
        <w:rPr>
          <w:b/>
          <w:lang w:val="de-DE"/>
        </w:rPr>
        <w:t>Art. </w:t>
      </w:r>
      <w:r w:rsidR="00881814" w:rsidRPr="004676F5">
        <w:rPr>
          <w:b/>
          <w:lang w:val="de-DE"/>
        </w:rPr>
        <w:t>VII.72</w:t>
      </w:r>
      <w:r w:rsidR="00881814" w:rsidRPr="004676F5">
        <w:rPr>
          <w:lang w:val="de-DE"/>
        </w:rPr>
        <w:t> </w:t>
      </w:r>
      <w:r w:rsidR="005B7A5C" w:rsidRPr="004676F5">
        <w:rPr>
          <w:lang w:val="de-DE"/>
        </w:rPr>
        <w:t>- </w:t>
      </w:r>
      <w:r w:rsidR="004C5D6C" w:rsidRPr="004676F5">
        <w:rPr>
          <w:lang w:val="de-DE"/>
        </w:rPr>
        <w:t>[Die Artikel VII.70, VII.71, VII.74 und VII.75 gelten nicht für Warenlieferanten oder Dienstleistungserbringer, die nur in untergeordneter Funktion als Vermittler beziehungsweise Vertreter beteiligt sind. Die Verpflichtung des Kreditgebers, dem Verbraucher die in diesen Artikeln genannten vorvertraglichen Informationen tatsächlich mitzuteilen, wird hiervon nicht berührt.</w:t>
      </w:r>
    </w:p>
    <w:p w14:paraId="592F528F" w14:textId="77777777" w:rsidR="004C5D6C" w:rsidRPr="004676F5" w:rsidRDefault="004C5D6C" w:rsidP="004C5D6C">
      <w:pPr>
        <w:ind w:firstLine="708"/>
        <w:jc w:val="both"/>
        <w:rPr>
          <w:lang w:val="de-DE"/>
        </w:rPr>
      </w:pPr>
    </w:p>
    <w:p w14:paraId="077F2905" w14:textId="77777777" w:rsidR="00881814" w:rsidRPr="004676F5" w:rsidRDefault="004C5D6C" w:rsidP="004C5D6C">
      <w:pPr>
        <w:ind w:firstLine="708"/>
        <w:jc w:val="both"/>
        <w:rPr>
          <w:lang w:val="de-DE"/>
        </w:rPr>
      </w:pPr>
      <w:r w:rsidRPr="004676F5">
        <w:rPr>
          <w:lang w:val="de-DE"/>
        </w:rPr>
        <w:t>Absatz 1 ist nicht auf Vermittler beziehungsweise Vertreter in untergeordneter Funktion anwendbar, die gleichzeitig Kreditverträge und Zahlungsinstrumente, die außerhalb ihrer Niederlassung verwendet werden können, oder Kreditverträge anbieten, die in ihrer Gesamtheit oder in Teilen nicht zum Kauf von Waren oder Dienstleistungen dieses Vermittlers beziehungsweise Vertreters bestimmt sind.]</w:t>
      </w:r>
    </w:p>
    <w:p w14:paraId="34555BF7" w14:textId="77777777" w:rsidR="004C5D6C" w:rsidRPr="004676F5" w:rsidRDefault="004C5D6C" w:rsidP="004C5D6C">
      <w:pPr>
        <w:ind w:firstLine="708"/>
        <w:jc w:val="both"/>
        <w:rPr>
          <w:lang w:val="de-DE"/>
        </w:rPr>
      </w:pPr>
    </w:p>
    <w:p w14:paraId="49B5E095" w14:textId="49A93285" w:rsidR="004C5D6C" w:rsidRPr="004676F5" w:rsidRDefault="004C5D6C" w:rsidP="004C5D6C">
      <w:pPr>
        <w:jc w:val="both"/>
        <w:rPr>
          <w:i/>
          <w:lang w:val="de-DE"/>
        </w:rPr>
      </w:pPr>
      <w:r w:rsidRPr="004676F5">
        <w:rPr>
          <w:i/>
          <w:lang w:val="de-DE"/>
        </w:rPr>
        <w:t>[</w:t>
      </w:r>
      <w:r w:rsidR="00BE0A56" w:rsidRPr="004676F5">
        <w:rPr>
          <w:i/>
          <w:lang w:val="de-DE"/>
        </w:rPr>
        <w:t>Art. </w:t>
      </w:r>
      <w:r w:rsidRPr="004676F5">
        <w:rPr>
          <w:i/>
          <w:lang w:val="de-DE"/>
        </w:rPr>
        <w:t xml:space="preserve">VII.72 ersetzt durch </w:t>
      </w:r>
      <w:r w:rsidR="00BE0A56" w:rsidRPr="004676F5">
        <w:rPr>
          <w:i/>
          <w:lang w:val="de-DE"/>
        </w:rPr>
        <w:t>Art. </w:t>
      </w:r>
      <w:r w:rsidRPr="004676F5">
        <w:rPr>
          <w:i/>
          <w:lang w:val="de-DE"/>
        </w:rPr>
        <w:t>16</w:t>
      </w:r>
      <w:r w:rsidRPr="004676F5">
        <w:rPr>
          <w:i/>
          <w:iCs/>
          <w:lang w:val="de-DE"/>
        </w:rPr>
        <w:t xml:space="preserve"> </w:t>
      </w:r>
      <w:r w:rsidRPr="004676F5">
        <w:rPr>
          <w:i/>
          <w:lang w:val="de-DE"/>
        </w:rPr>
        <w:t>des G. vom 26. Oktober 2015 (B.S. vom 30. Oktober 2015)]</w:t>
      </w:r>
    </w:p>
    <w:p w14:paraId="61758367" w14:textId="77777777" w:rsidR="004C5D6C" w:rsidRPr="004676F5" w:rsidRDefault="004C5D6C" w:rsidP="004C5D6C">
      <w:pPr>
        <w:jc w:val="both"/>
        <w:rPr>
          <w:i/>
          <w:lang w:val="de-DE"/>
        </w:rPr>
      </w:pPr>
    </w:p>
    <w:p w14:paraId="743EE6FF" w14:textId="77777777" w:rsidR="00881814" w:rsidRPr="004676F5" w:rsidRDefault="00881814" w:rsidP="00881814">
      <w:pPr>
        <w:jc w:val="both"/>
        <w:rPr>
          <w:lang w:val="de-DE"/>
        </w:rPr>
      </w:pPr>
    </w:p>
    <w:p w14:paraId="2C30CA03" w14:textId="41214865" w:rsidR="00881814" w:rsidRPr="004676F5" w:rsidRDefault="00881814" w:rsidP="00881814">
      <w:pPr>
        <w:jc w:val="center"/>
        <w:rPr>
          <w:lang w:val="de-DE"/>
        </w:rPr>
      </w:pPr>
      <w:r w:rsidRPr="004676F5">
        <w:rPr>
          <w:lang w:val="de-DE"/>
        </w:rPr>
        <w:t xml:space="preserve">Unterabschnitt 3 </w:t>
      </w:r>
      <w:r w:rsidR="005B7A5C" w:rsidRPr="004676F5">
        <w:rPr>
          <w:lang w:val="de-DE"/>
        </w:rPr>
        <w:t>- </w:t>
      </w:r>
      <w:r w:rsidRPr="004676F5">
        <w:rPr>
          <w:lang w:val="de-DE"/>
        </w:rPr>
        <w:t>Besondere Informationspflichten des Kreditvermittlers</w:t>
      </w:r>
    </w:p>
    <w:p w14:paraId="66C294DA" w14:textId="77777777" w:rsidR="00881814" w:rsidRPr="004676F5" w:rsidRDefault="00881814" w:rsidP="00881814">
      <w:pPr>
        <w:jc w:val="both"/>
        <w:rPr>
          <w:lang w:val="de-DE"/>
        </w:rPr>
      </w:pPr>
    </w:p>
    <w:p w14:paraId="51D55F23" w14:textId="77777777" w:rsidR="009E165E" w:rsidRPr="004676F5" w:rsidRDefault="009E165E" w:rsidP="00881814">
      <w:pPr>
        <w:jc w:val="both"/>
        <w:rPr>
          <w:lang w:val="de-DE"/>
        </w:rPr>
      </w:pPr>
    </w:p>
    <w:p w14:paraId="01AFA9CB" w14:textId="065405BB" w:rsidR="00881814" w:rsidRPr="004676F5" w:rsidRDefault="00BE0A56" w:rsidP="00881814">
      <w:pPr>
        <w:ind w:firstLine="708"/>
        <w:jc w:val="both"/>
        <w:rPr>
          <w:lang w:val="de-DE"/>
        </w:rPr>
      </w:pPr>
      <w:r w:rsidRPr="004676F5">
        <w:rPr>
          <w:b/>
          <w:lang w:val="de-DE"/>
        </w:rPr>
        <w:t>Art. </w:t>
      </w:r>
      <w:r w:rsidR="00881814" w:rsidRPr="004676F5">
        <w:rPr>
          <w:b/>
          <w:lang w:val="de-DE"/>
        </w:rPr>
        <w:t>VII.73</w:t>
      </w:r>
      <w:r w:rsidR="00881814" w:rsidRPr="004676F5">
        <w:rPr>
          <w:lang w:val="de-DE"/>
        </w:rPr>
        <w:t> </w:t>
      </w:r>
      <w:r w:rsidR="005B7A5C" w:rsidRPr="004676F5">
        <w:rPr>
          <w:lang w:val="de-DE"/>
        </w:rPr>
        <w:t>- </w:t>
      </w:r>
      <w:r w:rsidR="00881814" w:rsidRPr="004676F5">
        <w:rPr>
          <w:lang w:val="de-DE"/>
        </w:rPr>
        <w:t>Jeder Kreditvermittler muss den Verbraucher sowohl in der Werbung als auch in den für die Kundschaft bestimmten Unterlagen über seine Eigenschaft als Kreditvermittler und über Art und Umfang seiner Befugnisse informieren. Diese Information betrifft insbesondere die Eigenschaft als Kreditmakler oder vertraglich gebundener Vermittler.</w:t>
      </w:r>
    </w:p>
    <w:p w14:paraId="4B118FAF" w14:textId="77777777" w:rsidR="00881814" w:rsidRPr="004676F5" w:rsidRDefault="00881814" w:rsidP="00881814">
      <w:pPr>
        <w:ind w:firstLine="708"/>
        <w:jc w:val="both"/>
        <w:rPr>
          <w:lang w:val="de-DE"/>
        </w:rPr>
      </w:pPr>
    </w:p>
    <w:p w14:paraId="7BC21C97" w14:textId="77777777" w:rsidR="00881814" w:rsidRPr="004676F5" w:rsidRDefault="00881814" w:rsidP="00881814">
      <w:pPr>
        <w:ind w:firstLine="708"/>
        <w:jc w:val="both"/>
        <w:rPr>
          <w:lang w:val="de-DE"/>
        </w:rPr>
      </w:pPr>
      <w:r w:rsidRPr="004676F5">
        <w:rPr>
          <w:lang w:val="de-DE"/>
        </w:rPr>
        <w:t>Ein vertraglich gebundener Vermittler vermerkt in allen für die Kundschaft bestimmten Unterlagen die Angaben zur Identifizierung des Kreditgebers.</w:t>
      </w:r>
    </w:p>
    <w:p w14:paraId="60CFD2E7" w14:textId="77777777" w:rsidR="00881814" w:rsidRPr="004676F5" w:rsidRDefault="00881814" w:rsidP="00881814">
      <w:pPr>
        <w:ind w:firstLine="708"/>
        <w:jc w:val="both"/>
        <w:rPr>
          <w:lang w:val="de-DE"/>
        </w:rPr>
      </w:pPr>
    </w:p>
    <w:p w14:paraId="1FDAC01C" w14:textId="77777777" w:rsidR="009E165E" w:rsidRPr="004676F5" w:rsidRDefault="009E165E" w:rsidP="00881814">
      <w:pPr>
        <w:ind w:firstLine="708"/>
        <w:jc w:val="both"/>
        <w:rPr>
          <w:lang w:val="de-DE"/>
        </w:rPr>
      </w:pPr>
    </w:p>
    <w:p w14:paraId="5AECFB0C" w14:textId="77777777" w:rsidR="001F25F9" w:rsidRPr="004676F5" w:rsidRDefault="001F25F9">
      <w:pPr>
        <w:rPr>
          <w:lang w:val="de-DE"/>
        </w:rPr>
      </w:pPr>
      <w:r w:rsidRPr="004676F5">
        <w:rPr>
          <w:lang w:val="de-DE"/>
        </w:rPr>
        <w:br w:type="page"/>
      </w:r>
    </w:p>
    <w:p w14:paraId="3953CE9A" w14:textId="4198F233" w:rsidR="00881814" w:rsidRPr="004676F5" w:rsidRDefault="00881814" w:rsidP="00881814">
      <w:pPr>
        <w:jc w:val="center"/>
        <w:rPr>
          <w:lang w:val="de-DE"/>
        </w:rPr>
      </w:pPr>
      <w:r w:rsidRPr="004676F5">
        <w:rPr>
          <w:lang w:val="de-DE"/>
        </w:rPr>
        <w:lastRenderedPageBreak/>
        <w:t xml:space="preserve">Unterabschnitt 4 </w:t>
      </w:r>
      <w:r w:rsidR="005B7A5C" w:rsidRPr="004676F5">
        <w:rPr>
          <w:lang w:val="de-DE"/>
        </w:rPr>
        <w:t>- </w:t>
      </w:r>
      <w:r w:rsidRPr="004676F5">
        <w:rPr>
          <w:lang w:val="de-DE"/>
        </w:rPr>
        <w:t>Angemessene Erläuterungen</w:t>
      </w:r>
    </w:p>
    <w:p w14:paraId="5F29AFED" w14:textId="77777777" w:rsidR="00881814" w:rsidRPr="004676F5" w:rsidRDefault="00881814" w:rsidP="00881814">
      <w:pPr>
        <w:ind w:firstLine="708"/>
        <w:jc w:val="both"/>
        <w:rPr>
          <w:lang w:val="de-DE"/>
        </w:rPr>
      </w:pPr>
    </w:p>
    <w:p w14:paraId="5D4F09F6" w14:textId="77777777" w:rsidR="009E165E" w:rsidRPr="004676F5" w:rsidRDefault="009E165E" w:rsidP="00881814">
      <w:pPr>
        <w:ind w:firstLine="708"/>
        <w:jc w:val="both"/>
        <w:rPr>
          <w:lang w:val="de-DE"/>
        </w:rPr>
      </w:pPr>
    </w:p>
    <w:p w14:paraId="3C3E0DAA" w14:textId="783CB615" w:rsidR="00881814" w:rsidRPr="004676F5" w:rsidRDefault="00BE0A56" w:rsidP="00881814">
      <w:pPr>
        <w:ind w:firstLine="708"/>
        <w:jc w:val="both"/>
        <w:rPr>
          <w:lang w:val="de-DE"/>
        </w:rPr>
      </w:pPr>
      <w:r w:rsidRPr="004676F5">
        <w:rPr>
          <w:b/>
          <w:lang w:val="de-DE"/>
        </w:rPr>
        <w:t>Art. </w:t>
      </w:r>
      <w:r w:rsidR="00881814" w:rsidRPr="004676F5">
        <w:rPr>
          <w:b/>
          <w:lang w:val="de-DE"/>
        </w:rPr>
        <w:t>VII.74</w:t>
      </w:r>
      <w:r w:rsidR="00881814" w:rsidRPr="004676F5">
        <w:rPr>
          <w:lang w:val="de-DE"/>
        </w:rPr>
        <w:t> </w:t>
      </w:r>
      <w:r w:rsidR="005B7A5C" w:rsidRPr="004676F5">
        <w:rPr>
          <w:lang w:val="de-DE"/>
        </w:rPr>
        <w:t>- </w:t>
      </w:r>
      <w:r w:rsidR="00881814" w:rsidRPr="004676F5">
        <w:rPr>
          <w:lang w:val="de-DE"/>
        </w:rPr>
        <w:t>Kreditgeber und gegebenenfalls Kreditvermittler geben dem Verbraucher angemessene Erläuterungen, gegebenenfalls durch Erläuterung der vorvertraglichen Informationen gemäß Artikel VII.70 § 1, der Hauptmerkmale der angebotenen Produkte und der möglichen spezifischen Auswirkungen der Produkte auf den Verbraucher, einschließlich der Konsequenzen bei Zahlungsverzug des Verbrauchers, damit der Verbraucher in die Lage versetzt wird, zu beurteilen, ob der Vertrag seinen Bedürfnissen und seiner Finanzlage gerecht wird.</w:t>
      </w:r>
    </w:p>
    <w:p w14:paraId="339F10CB" w14:textId="77777777" w:rsidR="00881814" w:rsidRPr="004676F5" w:rsidRDefault="00881814" w:rsidP="00881814">
      <w:pPr>
        <w:ind w:firstLine="708"/>
        <w:jc w:val="both"/>
        <w:rPr>
          <w:lang w:val="de-DE"/>
        </w:rPr>
      </w:pPr>
    </w:p>
    <w:p w14:paraId="78541402" w14:textId="57550DC9" w:rsidR="00881814" w:rsidRPr="004676F5" w:rsidRDefault="00881814" w:rsidP="00881814">
      <w:pPr>
        <w:ind w:firstLine="708"/>
        <w:jc w:val="both"/>
        <w:rPr>
          <w:lang w:val="de-DE"/>
        </w:rPr>
      </w:pPr>
      <w:r w:rsidRPr="004676F5">
        <w:rPr>
          <w:lang w:val="de-DE"/>
        </w:rPr>
        <w:t>Wird eine Krediteröffnung in einer Verkaufsstelle, die sich außerhalb der Nieder</w:t>
      </w:r>
      <w:r w:rsidRPr="004676F5">
        <w:rPr>
          <w:lang w:val="de-DE"/>
        </w:rPr>
        <w:softHyphen/>
        <w:t>lassung des Kreditgebers befindet, oder im Fernabsatz angeboten, gibt der Kreditgeber oder gegebenenfalls der Kreditvermittler angemessene Erläuterungen zu den Vor</w:t>
      </w:r>
      <w:r w:rsidR="005B7A5C" w:rsidRPr="004676F5">
        <w:rPr>
          <w:lang w:val="de-DE"/>
        </w:rPr>
        <w:t>- </w:t>
      </w:r>
      <w:r w:rsidRPr="004676F5">
        <w:rPr>
          <w:lang w:val="de-DE"/>
        </w:rPr>
        <w:t>und Nachteilen dieser Kreditart im Vergleich zu Teilzahlungsverkäufen beziehungsweise -darlehen, sofern diese Kreditarten vom Kreditgeber beziehungsweise Kreditvermittler angeboten werden. Diese Erläuterungen beziehen sich insbesondere auf die Tilgung des Kapitals, die Anrechnung der Zinsen, die maximalen effektiven Jahreszinssätze, die Frist zur Erreichung des Nullwertes und die Fälligkeit der Restschuld im Fall einer in Artikel VII.98 § 1 Absatz 2 erwähnten einseitigen Kündigung.</w:t>
      </w:r>
    </w:p>
    <w:p w14:paraId="4C908FE1" w14:textId="77777777" w:rsidR="00881814" w:rsidRPr="004676F5" w:rsidRDefault="00881814" w:rsidP="00881814">
      <w:pPr>
        <w:ind w:firstLine="708"/>
        <w:jc w:val="both"/>
        <w:rPr>
          <w:lang w:val="de-DE"/>
        </w:rPr>
      </w:pPr>
    </w:p>
    <w:p w14:paraId="60EC8E04" w14:textId="77777777" w:rsidR="00173FDB" w:rsidRPr="004676F5" w:rsidRDefault="00173FDB">
      <w:pPr>
        <w:rPr>
          <w:lang w:val="de-DE"/>
        </w:rPr>
      </w:pPr>
    </w:p>
    <w:p w14:paraId="6E112324" w14:textId="6C139E68" w:rsidR="00881814" w:rsidRPr="004676F5" w:rsidRDefault="00881814" w:rsidP="00881814">
      <w:pPr>
        <w:jc w:val="center"/>
        <w:rPr>
          <w:lang w:val="de-DE"/>
        </w:rPr>
      </w:pPr>
      <w:r w:rsidRPr="004676F5">
        <w:rPr>
          <w:lang w:val="de-DE"/>
        </w:rPr>
        <w:t>Unterabschnitt 5 </w:t>
      </w:r>
      <w:r w:rsidR="005B7A5C" w:rsidRPr="004676F5">
        <w:rPr>
          <w:lang w:val="de-DE"/>
        </w:rPr>
        <w:t>- </w:t>
      </w:r>
      <w:r w:rsidRPr="004676F5">
        <w:rPr>
          <w:lang w:val="de-DE"/>
        </w:rPr>
        <w:t>Beratungspflichten</w:t>
      </w:r>
    </w:p>
    <w:p w14:paraId="227E074D" w14:textId="77777777" w:rsidR="00881814" w:rsidRPr="004676F5" w:rsidRDefault="00881814" w:rsidP="00881814">
      <w:pPr>
        <w:ind w:firstLine="708"/>
        <w:jc w:val="both"/>
        <w:rPr>
          <w:lang w:val="de-DE"/>
        </w:rPr>
      </w:pPr>
    </w:p>
    <w:p w14:paraId="57EAEC1D" w14:textId="77777777" w:rsidR="003D6A5C" w:rsidRPr="004676F5" w:rsidRDefault="003D6A5C" w:rsidP="00881814">
      <w:pPr>
        <w:ind w:firstLine="708"/>
        <w:jc w:val="both"/>
        <w:rPr>
          <w:lang w:val="de-DE"/>
        </w:rPr>
      </w:pPr>
    </w:p>
    <w:p w14:paraId="6A70F7E3" w14:textId="6B300AC2" w:rsidR="00881814" w:rsidRPr="004676F5" w:rsidRDefault="00BE0A56" w:rsidP="00881814">
      <w:pPr>
        <w:ind w:firstLine="708"/>
        <w:jc w:val="both"/>
        <w:rPr>
          <w:lang w:val="de-DE"/>
        </w:rPr>
      </w:pPr>
      <w:r w:rsidRPr="004676F5">
        <w:rPr>
          <w:b/>
          <w:lang w:val="de-DE"/>
        </w:rPr>
        <w:t>Art. </w:t>
      </w:r>
      <w:r w:rsidR="00881814" w:rsidRPr="004676F5">
        <w:rPr>
          <w:b/>
          <w:lang w:val="de-DE"/>
        </w:rPr>
        <w:t>VII.75</w:t>
      </w:r>
      <w:r w:rsidR="00881814" w:rsidRPr="004676F5">
        <w:rPr>
          <w:lang w:val="de-DE"/>
        </w:rPr>
        <w:t> </w:t>
      </w:r>
      <w:r w:rsidR="005B7A5C" w:rsidRPr="004676F5">
        <w:rPr>
          <w:lang w:val="de-DE"/>
        </w:rPr>
        <w:t>- </w:t>
      </w:r>
      <w:r w:rsidR="00881814" w:rsidRPr="004676F5">
        <w:rPr>
          <w:lang w:val="de-DE"/>
        </w:rPr>
        <w:t>Kreditgeber und Kreditvermittler sind verpflichtet, für Kreditverträge, die sie gewöhnlich anbieten oder vermitteln, die Kreditart und den Kreditbetrag zu suchen, die der Finanzlage des Verbrauchers bei Vertragsschluss und dem Zweck des Kredits am besten entsprechen.</w:t>
      </w:r>
    </w:p>
    <w:p w14:paraId="0AE2BA20" w14:textId="77777777" w:rsidR="00881814" w:rsidRPr="004676F5" w:rsidRDefault="00881814" w:rsidP="00881814">
      <w:pPr>
        <w:rPr>
          <w:lang w:val="de-DE"/>
        </w:rPr>
      </w:pPr>
    </w:p>
    <w:p w14:paraId="370B1E5D" w14:textId="77777777" w:rsidR="003D6A5C" w:rsidRPr="004676F5" w:rsidRDefault="003D6A5C" w:rsidP="00881814">
      <w:pPr>
        <w:rPr>
          <w:lang w:val="de-DE"/>
        </w:rPr>
      </w:pPr>
    </w:p>
    <w:p w14:paraId="4098AD3A" w14:textId="4B91C746" w:rsidR="00881814" w:rsidRPr="004676F5" w:rsidRDefault="00881814" w:rsidP="00881814">
      <w:pPr>
        <w:jc w:val="center"/>
        <w:rPr>
          <w:lang w:val="de-DE"/>
        </w:rPr>
      </w:pPr>
      <w:r w:rsidRPr="004676F5">
        <w:rPr>
          <w:lang w:val="de-DE"/>
        </w:rPr>
        <w:t>Unterabschnitt 6 </w:t>
      </w:r>
      <w:r w:rsidR="005B7A5C" w:rsidRPr="004676F5">
        <w:rPr>
          <w:lang w:val="de-DE"/>
        </w:rPr>
        <w:t>- </w:t>
      </w:r>
      <w:r w:rsidRPr="004676F5">
        <w:rPr>
          <w:lang w:val="de-DE"/>
        </w:rPr>
        <w:t>Untersuchungspflicht</w:t>
      </w:r>
    </w:p>
    <w:p w14:paraId="3C3A62F0" w14:textId="77777777" w:rsidR="00881814" w:rsidRPr="004676F5" w:rsidRDefault="00881814" w:rsidP="00881814">
      <w:pPr>
        <w:ind w:firstLine="708"/>
        <w:jc w:val="both"/>
        <w:rPr>
          <w:lang w:val="de-DE"/>
        </w:rPr>
      </w:pPr>
    </w:p>
    <w:p w14:paraId="26F25500" w14:textId="77777777" w:rsidR="003D6A5C" w:rsidRPr="004676F5" w:rsidRDefault="003D6A5C" w:rsidP="00881814">
      <w:pPr>
        <w:ind w:firstLine="708"/>
        <w:jc w:val="both"/>
        <w:rPr>
          <w:lang w:val="de-DE"/>
        </w:rPr>
      </w:pPr>
    </w:p>
    <w:p w14:paraId="39B3A33D" w14:textId="59321359" w:rsidR="00881814" w:rsidRPr="004676F5" w:rsidRDefault="00BE0A56" w:rsidP="00881814">
      <w:pPr>
        <w:ind w:firstLine="708"/>
        <w:jc w:val="both"/>
        <w:rPr>
          <w:lang w:val="de-DE"/>
        </w:rPr>
      </w:pPr>
      <w:r w:rsidRPr="004676F5">
        <w:rPr>
          <w:b/>
          <w:lang w:val="de-DE"/>
        </w:rPr>
        <w:t>Art. </w:t>
      </w:r>
      <w:r w:rsidR="00881814" w:rsidRPr="004676F5">
        <w:rPr>
          <w:b/>
          <w:lang w:val="de-DE"/>
        </w:rPr>
        <w:t>VII.76</w:t>
      </w:r>
      <w:r w:rsidR="00881814" w:rsidRPr="004676F5">
        <w:rPr>
          <w:lang w:val="de-DE"/>
        </w:rPr>
        <w:t> </w:t>
      </w:r>
      <w:r w:rsidR="005B7A5C" w:rsidRPr="004676F5">
        <w:rPr>
          <w:lang w:val="de-DE"/>
        </w:rPr>
        <w:t>- </w:t>
      </w:r>
      <w:r w:rsidR="00881814" w:rsidRPr="004676F5">
        <w:rPr>
          <w:lang w:val="de-DE"/>
        </w:rPr>
        <w:t>Der Kreditgeber darf einen Kreditvertrag oder einen Vertrag über eine Sicherheitsleistung nur abschließen nach Überprüfung der Erkennungsdaten aufgrund je nach Fall:</w:t>
      </w:r>
    </w:p>
    <w:p w14:paraId="3B8A2484" w14:textId="77777777" w:rsidR="00881814" w:rsidRPr="004676F5" w:rsidRDefault="00881814" w:rsidP="00881814">
      <w:pPr>
        <w:ind w:firstLine="708"/>
        <w:jc w:val="both"/>
        <w:rPr>
          <w:lang w:val="de-DE"/>
        </w:rPr>
      </w:pPr>
    </w:p>
    <w:p w14:paraId="3DA7AF20" w14:textId="053C9715" w:rsidR="00881814" w:rsidRPr="004676F5" w:rsidRDefault="005B7A5C" w:rsidP="00881814">
      <w:pPr>
        <w:ind w:firstLine="708"/>
        <w:jc w:val="both"/>
        <w:rPr>
          <w:lang w:val="de-DE"/>
        </w:rPr>
      </w:pPr>
      <w:r w:rsidRPr="004676F5">
        <w:rPr>
          <w:lang w:val="de-DE"/>
        </w:rPr>
        <w:t>- </w:t>
      </w:r>
      <w:r w:rsidR="00881814" w:rsidRPr="004676F5">
        <w:rPr>
          <w:lang w:val="de-DE"/>
        </w:rPr>
        <w:t>des in Artikel 6 des Gesetzes vom 19. Juli 1991 über die Bevölkerungsregister und die Personalausweise und zur Abänderung des Gesetzes vom 8. August 1983 zur Organisation eines Nationalregisters der natürlichen Personen erwähnten Personalausweises,</w:t>
      </w:r>
    </w:p>
    <w:p w14:paraId="64F629ED" w14:textId="77777777" w:rsidR="00881814" w:rsidRPr="004676F5" w:rsidRDefault="00881814" w:rsidP="00881814">
      <w:pPr>
        <w:ind w:firstLine="708"/>
        <w:jc w:val="both"/>
        <w:rPr>
          <w:lang w:val="de-DE"/>
        </w:rPr>
      </w:pPr>
    </w:p>
    <w:p w14:paraId="52B357FE" w14:textId="496CD49F" w:rsidR="00881814" w:rsidRPr="004676F5" w:rsidRDefault="005B7A5C" w:rsidP="00881814">
      <w:pPr>
        <w:ind w:firstLine="708"/>
        <w:jc w:val="both"/>
        <w:rPr>
          <w:lang w:val="de-DE"/>
        </w:rPr>
      </w:pPr>
      <w:r w:rsidRPr="004676F5">
        <w:rPr>
          <w:lang w:val="de-DE"/>
        </w:rPr>
        <w:t>- </w:t>
      </w:r>
      <w:r w:rsidR="00881814" w:rsidRPr="004676F5">
        <w:rPr>
          <w:lang w:val="de-DE"/>
        </w:rPr>
        <w:t>des Aufenthaltsscheins, der zum Zeitpunkt der Eintragung in das in Artikel 1 § 1 Absatz 1 Nr. 2 des vorerwähnten Gesetzes vom 19. Juli 1991 erwähnte Warteregister ausgestellt wird,</w:t>
      </w:r>
    </w:p>
    <w:p w14:paraId="45437E85" w14:textId="77777777" w:rsidR="00881814" w:rsidRPr="004676F5" w:rsidRDefault="00881814" w:rsidP="00881814">
      <w:pPr>
        <w:ind w:firstLine="708"/>
        <w:jc w:val="both"/>
        <w:rPr>
          <w:lang w:val="de-DE"/>
        </w:rPr>
      </w:pPr>
    </w:p>
    <w:p w14:paraId="49598696" w14:textId="13748596" w:rsidR="00881814" w:rsidRPr="004676F5" w:rsidRDefault="005B7A5C" w:rsidP="00881814">
      <w:pPr>
        <w:ind w:firstLine="708"/>
        <w:jc w:val="both"/>
        <w:rPr>
          <w:lang w:val="de-DE"/>
        </w:rPr>
      </w:pPr>
      <w:r w:rsidRPr="004676F5">
        <w:rPr>
          <w:lang w:val="de-DE"/>
        </w:rPr>
        <w:t>- </w:t>
      </w:r>
      <w:r w:rsidR="00881814" w:rsidRPr="004676F5">
        <w:rPr>
          <w:lang w:val="de-DE"/>
        </w:rPr>
        <w:t>des Personalausweises, Passes oder gleichwertigen Reisescheins, der einem nicht im Königreich wohnhaften Ausländer vom Staat, in dem er wohnt oder dessen Staatsangehöriger er ist, ausgestellt wird.</w:t>
      </w:r>
    </w:p>
    <w:p w14:paraId="0A8D1345" w14:textId="77777777" w:rsidR="00881814" w:rsidRPr="004676F5" w:rsidRDefault="00881814" w:rsidP="00881814">
      <w:pPr>
        <w:ind w:firstLine="708"/>
        <w:jc w:val="both"/>
        <w:rPr>
          <w:lang w:val="de-DE"/>
        </w:rPr>
      </w:pPr>
    </w:p>
    <w:p w14:paraId="6128EB52" w14:textId="77777777" w:rsidR="003D6A5C" w:rsidRPr="004676F5" w:rsidRDefault="003D6A5C" w:rsidP="00881814">
      <w:pPr>
        <w:ind w:firstLine="708"/>
        <w:jc w:val="both"/>
        <w:rPr>
          <w:lang w:val="de-DE"/>
        </w:rPr>
      </w:pPr>
    </w:p>
    <w:p w14:paraId="79D89DE6" w14:textId="549C57A9" w:rsidR="00881814" w:rsidRPr="004676F5" w:rsidRDefault="00BE0A56" w:rsidP="00881814">
      <w:pPr>
        <w:ind w:firstLine="708"/>
        <w:jc w:val="both"/>
        <w:rPr>
          <w:lang w:val="de-DE"/>
        </w:rPr>
      </w:pPr>
      <w:r w:rsidRPr="004676F5">
        <w:rPr>
          <w:b/>
          <w:lang w:val="de-DE"/>
        </w:rPr>
        <w:lastRenderedPageBreak/>
        <w:t>Art. </w:t>
      </w:r>
      <w:r w:rsidR="00881814" w:rsidRPr="004676F5">
        <w:rPr>
          <w:b/>
          <w:lang w:val="de-DE"/>
        </w:rPr>
        <w:t>VII.77</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 xml:space="preserve">Vor Abschluss eines Kreditvertrags nimmt der Kreditgeber </w:t>
      </w:r>
      <w:r w:rsidR="00CC29D9" w:rsidRPr="004676F5">
        <w:rPr>
          <w:lang w:val="de-DE"/>
        </w:rPr>
        <w:t>[eine eingehende Prüfung der Kreditwürdigkeit]</w:t>
      </w:r>
      <w:r w:rsidR="00881814" w:rsidRPr="004676F5">
        <w:rPr>
          <w:lang w:val="de-DE"/>
        </w:rPr>
        <w:t xml:space="preserve"> des Verbrauchers vor und überprüft, ob der Verbraucher seinen Rückzahlungspflichten nachkommen können wird. </w:t>
      </w:r>
      <w:r w:rsidR="00CC29D9" w:rsidRPr="004676F5">
        <w:rPr>
          <w:lang w:val="de-DE"/>
        </w:rPr>
        <w:t>[Er prüft ebenfalls eingehend die Zahlungsfähigkeit]</w:t>
      </w:r>
      <w:r w:rsidR="00881814" w:rsidRPr="004676F5">
        <w:rPr>
          <w:lang w:val="de-DE"/>
        </w:rPr>
        <w:t xml:space="preserve"> derjenigen, die eine persönliche Sicherheit leisten.</w:t>
      </w:r>
    </w:p>
    <w:p w14:paraId="062E7D17" w14:textId="77777777" w:rsidR="00881814" w:rsidRPr="004676F5" w:rsidRDefault="00881814" w:rsidP="00881814">
      <w:pPr>
        <w:jc w:val="both"/>
        <w:rPr>
          <w:lang w:val="de-DE"/>
        </w:rPr>
      </w:pPr>
    </w:p>
    <w:p w14:paraId="40818AA3" w14:textId="77777777" w:rsidR="00881814" w:rsidRPr="004676F5" w:rsidRDefault="00881814" w:rsidP="00881814">
      <w:pPr>
        <w:ind w:firstLine="708"/>
        <w:jc w:val="both"/>
        <w:rPr>
          <w:lang w:val="de-DE"/>
        </w:rPr>
      </w:pPr>
      <w:r w:rsidRPr="004676F5">
        <w:rPr>
          <w:lang w:val="de-DE"/>
        </w:rPr>
        <w:t>Zu diesem Zweck muss der Kreditgeber außer bei Überziehung darüber hinaus die Zentrale abfragen. Der König bestimmt die Modalitäten dieser Abfrage.</w:t>
      </w:r>
    </w:p>
    <w:p w14:paraId="44B05A4B" w14:textId="77777777" w:rsidR="00881814" w:rsidRPr="004676F5" w:rsidRDefault="00881814" w:rsidP="00881814">
      <w:pPr>
        <w:ind w:firstLine="708"/>
        <w:jc w:val="both"/>
        <w:rPr>
          <w:lang w:val="de-DE"/>
        </w:rPr>
      </w:pPr>
    </w:p>
    <w:p w14:paraId="3C84C93C" w14:textId="77777777" w:rsidR="00881814" w:rsidRPr="004676F5" w:rsidRDefault="00881814" w:rsidP="00881814">
      <w:pPr>
        <w:ind w:firstLine="708"/>
        <w:jc w:val="both"/>
        <w:rPr>
          <w:lang w:val="de-DE"/>
        </w:rPr>
      </w:pPr>
      <w:r w:rsidRPr="004676F5">
        <w:rPr>
          <w:lang w:val="de-DE"/>
        </w:rPr>
        <w:t>Der König bestimmt, in welcher Weise der Kreditgeber den Nachweis über die Abfrage der Zentrale erbringt, und die Frist, während deren dieser Nachweis aufbewahrt werden muss.</w:t>
      </w:r>
      <w:r w:rsidR="00CC29D9" w:rsidRPr="004676F5">
        <w:rPr>
          <w:lang w:val="de-DE"/>
        </w:rPr>
        <w:t xml:space="preserve"> [Die Bedingungen für den Zugang zu der Zentrale oder zu einer anderen Datei, die zur Prüfung der Kreditwürdigkeit des Verbrauchers oder der Zahlungsfähigkeit einer Person, die eine persönliche Sicherheit leistet, oder zur Überprüfung des Weiterbestehens dieser Kreditwürdigkeit beziehungsweise Zahlungsfähigkeit verwendet wird, dürfen nicht diskrimi</w:t>
      </w:r>
      <w:r w:rsidR="00CC29D9" w:rsidRPr="004676F5">
        <w:rPr>
          <w:lang w:val="de-DE"/>
        </w:rPr>
        <w:softHyphen/>
        <w:t>nierend sein.]</w:t>
      </w:r>
    </w:p>
    <w:p w14:paraId="4D28E268" w14:textId="77777777" w:rsidR="001D682D" w:rsidRPr="004676F5" w:rsidRDefault="001D682D" w:rsidP="00881814">
      <w:pPr>
        <w:ind w:firstLine="708"/>
        <w:jc w:val="both"/>
        <w:rPr>
          <w:lang w:val="de-DE"/>
        </w:rPr>
      </w:pPr>
    </w:p>
    <w:p w14:paraId="348280EE" w14:textId="77777777" w:rsidR="001D682D" w:rsidRPr="004676F5" w:rsidRDefault="001D682D" w:rsidP="00881814">
      <w:pPr>
        <w:ind w:firstLine="708"/>
        <w:jc w:val="both"/>
        <w:rPr>
          <w:lang w:val="de-DE"/>
        </w:rPr>
      </w:pPr>
      <w:r w:rsidRPr="004676F5">
        <w:rPr>
          <w:lang w:val="de-DE"/>
        </w:rPr>
        <w:t>[Der Kreditgeber sorgt dafür, dass geeignete Verfahren und Angaben, auf die sich die Kreditwürdigkeitsprüfung stützt, festgelegt, dokumentiert und aufbewahrt werden. Zu diesem Zweck legt er für jeden Verbraucher und gegebenenfalls für jede Person, die eine persönliche Sicherheit leistet, eine Kreditakte an, in der die Angaben, auf die sich die Kreditwürdig</w:t>
      </w:r>
      <w:r w:rsidRPr="004676F5">
        <w:rPr>
          <w:lang w:val="de-DE"/>
        </w:rPr>
        <w:softHyphen/>
        <w:t>keitsprüfung stützt, festgelegt, dokumentiert und aufbewahrt werden.]</w:t>
      </w:r>
    </w:p>
    <w:p w14:paraId="0D98F970" w14:textId="77777777" w:rsidR="00881814" w:rsidRPr="004676F5" w:rsidRDefault="00881814" w:rsidP="00881814">
      <w:pPr>
        <w:ind w:firstLine="708"/>
        <w:jc w:val="both"/>
        <w:rPr>
          <w:lang w:val="de-DE"/>
        </w:rPr>
      </w:pPr>
    </w:p>
    <w:p w14:paraId="40A60266" w14:textId="77777777" w:rsidR="00881814" w:rsidRPr="004676F5" w:rsidRDefault="00881814" w:rsidP="00881814">
      <w:pPr>
        <w:ind w:firstLine="708"/>
        <w:jc w:val="both"/>
        <w:rPr>
          <w:lang w:val="de-DE"/>
        </w:rPr>
      </w:pPr>
      <w:r w:rsidRPr="004676F5">
        <w:rPr>
          <w:lang w:val="de-DE"/>
        </w:rPr>
        <w:t>Für die Anwendung von Absatz 1 bis 3 wird für jede Änderung des Kreditbetrags der Abschluss eines neuen Kreditvertrags vorausgesetzt.</w:t>
      </w:r>
    </w:p>
    <w:p w14:paraId="3BB6CC2F" w14:textId="77777777" w:rsidR="00881814" w:rsidRPr="004676F5" w:rsidRDefault="00881814" w:rsidP="00881814">
      <w:pPr>
        <w:ind w:firstLine="708"/>
        <w:jc w:val="both"/>
        <w:rPr>
          <w:lang w:val="de-DE"/>
        </w:rPr>
      </w:pPr>
    </w:p>
    <w:p w14:paraId="6EC40BB3" w14:textId="77777777" w:rsidR="00881814" w:rsidRPr="004676F5" w:rsidRDefault="00881814" w:rsidP="00881814">
      <w:pPr>
        <w:ind w:firstLine="708"/>
        <w:jc w:val="both"/>
        <w:rPr>
          <w:lang w:val="de-DE"/>
        </w:rPr>
      </w:pPr>
      <w:r w:rsidRPr="004676F5">
        <w:rPr>
          <w:lang w:val="de-DE"/>
        </w:rPr>
        <w:t>Außerdem muss der Kreditgeber bei Kreditverträgen auf unbestimmte Dauer jedes Jahr spätestens am ersten Arbeitstag nach dem Jahrestag des Abschlusses des Kreditvertrags auf der Grundlage einer erneuten Abfrage der Zentrale die Kreditwürdigkeit des Verbrauchers erneut gemäß den Absätzen 1 bis 3 überprüfen. Diese Bestimmung ist nicht anwendbar, wenn für solche Kreditverträge eine Frist zur Erreichung des Nullwertes von einem Jahr oder weniger gilt.</w:t>
      </w:r>
    </w:p>
    <w:p w14:paraId="7201D00E" w14:textId="77777777" w:rsidR="00881814" w:rsidRPr="004676F5" w:rsidRDefault="00881814" w:rsidP="00881814">
      <w:pPr>
        <w:ind w:firstLine="708"/>
        <w:jc w:val="both"/>
        <w:rPr>
          <w:lang w:val="de-DE"/>
        </w:rPr>
      </w:pPr>
    </w:p>
    <w:p w14:paraId="4A979701" w14:textId="67163209"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Der Kreditgeber darf einen Kreditvertrag nur abschließen, wenn er unter Berücksichtigung der Informationen, über die er verfügt oder verfügen müsste, berechtigterweise annehmen muss, dass der Verbraucher in der Lage sein wird, die Verbindlichkeiten aus dem Kreditvertrag zu erfüllen.</w:t>
      </w:r>
    </w:p>
    <w:p w14:paraId="3488ED30" w14:textId="77777777" w:rsidR="00881814" w:rsidRPr="004676F5" w:rsidRDefault="00881814" w:rsidP="00881814">
      <w:pPr>
        <w:ind w:firstLine="708"/>
        <w:jc w:val="both"/>
        <w:rPr>
          <w:lang w:val="de-DE"/>
        </w:rPr>
      </w:pPr>
    </w:p>
    <w:p w14:paraId="04000C87" w14:textId="77777777" w:rsidR="00881814" w:rsidRPr="004676F5" w:rsidRDefault="00881814" w:rsidP="00881814">
      <w:pPr>
        <w:ind w:firstLine="708"/>
        <w:jc w:val="both"/>
        <w:rPr>
          <w:lang w:val="de-DE"/>
        </w:rPr>
      </w:pPr>
      <w:r w:rsidRPr="004676F5">
        <w:rPr>
          <w:lang w:val="de-DE"/>
        </w:rPr>
        <w:t xml:space="preserve">Werden im Rahmen eines nicht getilgten Verbraucherkredits </w:t>
      </w:r>
      <w:r w:rsidR="00402892" w:rsidRPr="004676F5">
        <w:rPr>
          <w:lang w:val="de-DE"/>
        </w:rPr>
        <w:t>[und/oder Mobiliar</w:t>
      </w:r>
      <w:r w:rsidR="00402892" w:rsidRPr="004676F5">
        <w:rPr>
          <w:lang w:val="de-DE"/>
        </w:rPr>
        <w:softHyphen/>
        <w:t>hypo</w:t>
      </w:r>
      <w:r w:rsidR="00402892" w:rsidRPr="004676F5">
        <w:rPr>
          <w:lang w:val="de-DE"/>
        </w:rPr>
        <w:softHyphen/>
        <w:t>the</w:t>
      </w:r>
      <w:r w:rsidR="00402892" w:rsidRPr="004676F5">
        <w:rPr>
          <w:lang w:val="de-DE"/>
        </w:rPr>
        <w:softHyphen/>
        <w:t>kar</w:t>
      </w:r>
      <w:r w:rsidR="00402892" w:rsidRPr="004676F5">
        <w:rPr>
          <w:lang w:val="de-DE"/>
        </w:rPr>
        <w:softHyphen/>
        <w:t xml:space="preserve">kredits] </w:t>
      </w:r>
      <w:r w:rsidRPr="004676F5">
        <w:rPr>
          <w:lang w:val="de-DE"/>
        </w:rPr>
        <w:t>für einen Verbraucher bei der Zentrale ein Zahlungsausfall/Zahlungsausfälle für einen rückständigen Gesamtbetrag von mehr als 1.000 EUR registriert, darf der Kreditgeber keinen neuen Kreditvertrag abschließen. In anderen Fällen nicht zurückgezahlter Zahlungsausfälle darf ein Kreditgeber einen neuen Kreditvertrag nur unter Angabe einer zusätzlichen Begründung in der Kreditakte abschließen.</w:t>
      </w:r>
    </w:p>
    <w:p w14:paraId="10ED5277" w14:textId="77777777" w:rsidR="00881814" w:rsidRPr="004676F5" w:rsidRDefault="00881814" w:rsidP="00881814">
      <w:pPr>
        <w:jc w:val="both"/>
        <w:rPr>
          <w:lang w:val="de-DE"/>
        </w:rPr>
      </w:pPr>
    </w:p>
    <w:p w14:paraId="7B815447" w14:textId="01E002CB" w:rsidR="001D682D" w:rsidRPr="004676F5" w:rsidRDefault="001D682D" w:rsidP="00881814">
      <w:pPr>
        <w:jc w:val="both"/>
        <w:rPr>
          <w:i/>
          <w:lang w:val="de-DE"/>
        </w:rPr>
      </w:pPr>
      <w:r w:rsidRPr="004676F5">
        <w:rPr>
          <w:i/>
          <w:lang w:val="de-DE"/>
        </w:rPr>
        <w:t>[</w:t>
      </w:r>
      <w:r w:rsidR="00BE0A56" w:rsidRPr="004676F5">
        <w:rPr>
          <w:i/>
          <w:lang w:val="de-DE"/>
        </w:rPr>
        <w:t>Art. </w:t>
      </w:r>
      <w:r w:rsidRPr="004676F5">
        <w:rPr>
          <w:i/>
          <w:lang w:val="de-DE"/>
        </w:rPr>
        <w:t xml:space="preserve">VII.77 § 1 Abs. 1 abgeändert durch </w:t>
      </w:r>
      <w:r w:rsidR="00BE0A56" w:rsidRPr="004676F5">
        <w:rPr>
          <w:i/>
          <w:lang w:val="de-DE"/>
        </w:rPr>
        <w:t>Art. </w:t>
      </w:r>
      <w:r w:rsidRPr="004676F5">
        <w:rPr>
          <w:i/>
          <w:lang w:val="de-DE"/>
        </w:rPr>
        <w:t xml:space="preserve">7 Nr. 1 des G. vom 22. April 2016 (B.S. vom 4. Mai 2016); § 1 Abs. 3 ergänzt durch </w:t>
      </w:r>
      <w:r w:rsidR="00BE0A56" w:rsidRPr="004676F5">
        <w:rPr>
          <w:i/>
          <w:lang w:val="de-DE"/>
        </w:rPr>
        <w:t>Art. </w:t>
      </w:r>
      <w:r w:rsidRPr="004676F5">
        <w:rPr>
          <w:i/>
          <w:lang w:val="de-DE"/>
        </w:rPr>
        <w:t xml:space="preserve">7 Nr. 2 des G. vom 22. April 2016 (B.S. vom 4. Mai 2016); § 1 neuer Absatz 4 eingefügt durch </w:t>
      </w:r>
      <w:r w:rsidR="00BE0A56" w:rsidRPr="004676F5">
        <w:rPr>
          <w:i/>
          <w:lang w:val="de-DE"/>
        </w:rPr>
        <w:t>Art. </w:t>
      </w:r>
      <w:r w:rsidRPr="004676F5">
        <w:rPr>
          <w:i/>
          <w:lang w:val="de-DE"/>
        </w:rPr>
        <w:t>7 Nr. 3 des G. vom 22. April 2016 (B.S. vom 4. Mai 2016)</w:t>
      </w:r>
      <w:r w:rsidR="00402892" w:rsidRPr="004676F5">
        <w:rPr>
          <w:i/>
          <w:lang w:val="de-DE"/>
        </w:rPr>
        <w:t xml:space="preserve">; § 2 Abs. 2 abgeändert durch </w:t>
      </w:r>
      <w:r w:rsidR="00BE0A56" w:rsidRPr="004676F5">
        <w:rPr>
          <w:i/>
          <w:lang w:val="de-DE"/>
        </w:rPr>
        <w:t>Art. </w:t>
      </w:r>
      <w:r w:rsidR="00402892" w:rsidRPr="004676F5">
        <w:rPr>
          <w:i/>
          <w:lang w:val="de-DE"/>
        </w:rPr>
        <w:t>8 des G. vom 18. April 2017 (B.S. vom 24. April 2017)</w:t>
      </w:r>
      <w:r w:rsidRPr="004676F5">
        <w:rPr>
          <w:i/>
          <w:lang w:val="de-DE"/>
        </w:rPr>
        <w:t>]</w:t>
      </w:r>
    </w:p>
    <w:p w14:paraId="2B8B18B6" w14:textId="77777777" w:rsidR="003D6A5C" w:rsidRPr="004676F5" w:rsidRDefault="003D6A5C" w:rsidP="00881814">
      <w:pPr>
        <w:jc w:val="both"/>
        <w:rPr>
          <w:lang w:val="de-DE"/>
        </w:rPr>
      </w:pPr>
    </w:p>
    <w:p w14:paraId="123FCDC5" w14:textId="77777777" w:rsidR="001D682D" w:rsidRPr="004676F5" w:rsidRDefault="001D682D" w:rsidP="00881814">
      <w:pPr>
        <w:jc w:val="both"/>
        <w:rPr>
          <w:lang w:val="de-DE"/>
        </w:rPr>
      </w:pPr>
    </w:p>
    <w:p w14:paraId="3ADDD207" w14:textId="77777777" w:rsidR="001F25F9" w:rsidRPr="004676F5" w:rsidRDefault="001F25F9">
      <w:pPr>
        <w:rPr>
          <w:lang w:val="de-DE"/>
        </w:rPr>
      </w:pPr>
      <w:r w:rsidRPr="004676F5">
        <w:rPr>
          <w:lang w:val="de-DE"/>
        </w:rPr>
        <w:br w:type="page"/>
      </w:r>
    </w:p>
    <w:p w14:paraId="1FC7BC1C" w14:textId="2EE02D4A" w:rsidR="00881814" w:rsidRPr="004676F5" w:rsidRDefault="00FD4FF3" w:rsidP="00FD4FF3">
      <w:pPr>
        <w:jc w:val="center"/>
        <w:rPr>
          <w:lang w:val="de-DE"/>
        </w:rPr>
      </w:pPr>
      <w:r w:rsidRPr="004676F5">
        <w:rPr>
          <w:lang w:val="de-DE"/>
        </w:rPr>
        <w:lastRenderedPageBreak/>
        <w:t>U</w:t>
      </w:r>
      <w:r w:rsidR="00881814" w:rsidRPr="004676F5">
        <w:rPr>
          <w:lang w:val="de-DE"/>
        </w:rPr>
        <w:t xml:space="preserve">nterabschnitt 7 </w:t>
      </w:r>
      <w:r w:rsidR="005B7A5C" w:rsidRPr="004676F5">
        <w:rPr>
          <w:lang w:val="de-DE"/>
        </w:rPr>
        <w:t>- </w:t>
      </w:r>
      <w:r w:rsidR="00881814" w:rsidRPr="004676F5">
        <w:rPr>
          <w:lang w:val="de-DE"/>
        </w:rPr>
        <w:t>Abschluss des Kreditvertrags</w:t>
      </w:r>
    </w:p>
    <w:p w14:paraId="4C883FCF" w14:textId="77777777" w:rsidR="00881814" w:rsidRPr="004676F5" w:rsidRDefault="00881814" w:rsidP="00881814">
      <w:pPr>
        <w:ind w:firstLine="708"/>
        <w:jc w:val="both"/>
        <w:rPr>
          <w:lang w:val="de-DE"/>
        </w:rPr>
      </w:pPr>
    </w:p>
    <w:p w14:paraId="2204C689" w14:textId="77777777" w:rsidR="003D6A5C" w:rsidRPr="004676F5" w:rsidRDefault="003D6A5C" w:rsidP="00881814">
      <w:pPr>
        <w:ind w:firstLine="708"/>
        <w:jc w:val="both"/>
        <w:rPr>
          <w:lang w:val="de-DE"/>
        </w:rPr>
      </w:pPr>
    </w:p>
    <w:p w14:paraId="2C41438C" w14:textId="45547D19" w:rsidR="00881814" w:rsidRPr="004676F5" w:rsidRDefault="00BE0A56" w:rsidP="00881814">
      <w:pPr>
        <w:ind w:firstLine="708"/>
        <w:jc w:val="both"/>
        <w:rPr>
          <w:lang w:val="de-DE"/>
        </w:rPr>
      </w:pPr>
      <w:r w:rsidRPr="004676F5">
        <w:rPr>
          <w:b/>
          <w:lang w:val="de-DE"/>
        </w:rPr>
        <w:t>Art. </w:t>
      </w:r>
      <w:r w:rsidR="00881814" w:rsidRPr="004676F5">
        <w:rPr>
          <w:b/>
          <w:lang w:val="de-DE"/>
        </w:rPr>
        <w:t>VII.78</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 xml:space="preserve">Kreditverträge werden durch handschriftliche oder </w:t>
      </w:r>
      <w:r w:rsidR="00173FDB" w:rsidRPr="004676F5">
        <w:rPr>
          <w:lang w:val="de-DE"/>
        </w:rPr>
        <w:t>[...]</w:t>
      </w:r>
      <w:r w:rsidR="00881814" w:rsidRPr="004676F5">
        <w:rPr>
          <w:lang w:val="de-DE"/>
        </w:rPr>
        <w:t xml:space="preserve"> elektronische Unterschrift aller Vertragsparteien abgeschlossen und </w:t>
      </w:r>
      <w:r w:rsidR="00054D68" w:rsidRPr="004676F5">
        <w:rPr>
          <w:lang w:val="de-DE"/>
        </w:rPr>
        <w:t xml:space="preserve">[auf dauerhaftem Datenträger] </w:t>
      </w:r>
      <w:r w:rsidR="00881814" w:rsidRPr="004676F5">
        <w:rPr>
          <w:lang w:val="de-DE"/>
        </w:rPr>
        <w:t>erstellt, der alle in vorliegendem Artikel erwähnten Vertragsbedingungen und Angaben enthält. Alle Vertragsparteien mit einem unterschiedlichen Interesse am Vertrag und der Kreditvermittler erhalten eine Ausfertigung des Kreditvertrags.</w:t>
      </w:r>
    </w:p>
    <w:p w14:paraId="5EC91A2A" w14:textId="77777777" w:rsidR="00881814" w:rsidRPr="004676F5" w:rsidRDefault="00881814" w:rsidP="00881814">
      <w:pPr>
        <w:ind w:firstLine="708"/>
        <w:jc w:val="both"/>
        <w:rPr>
          <w:lang w:val="de-DE"/>
        </w:rPr>
      </w:pPr>
    </w:p>
    <w:p w14:paraId="63FDA1F6" w14:textId="77777777" w:rsidR="00881814" w:rsidRPr="004676F5" w:rsidRDefault="00881814" w:rsidP="00881814">
      <w:pPr>
        <w:ind w:firstLine="708"/>
        <w:jc w:val="both"/>
        <w:rPr>
          <w:lang w:val="de-DE"/>
        </w:rPr>
      </w:pPr>
      <w:r w:rsidRPr="004676F5">
        <w:rPr>
          <w:lang w:val="de-DE"/>
        </w:rPr>
        <w:t>Außer bei Krediteröffnungen gilt kein Kreditvertrag mit fester Laufzeit und Tilgung des Kapitals als abgeschlossen, wenn nicht jede der Vertragsparteien mit einem unterschiedlichen Interesse am Vertrag einen in § 3 Nr. 4 des vorliegenden Artikels erwähnten Tilgungsplan erhalten hat.</w:t>
      </w:r>
    </w:p>
    <w:p w14:paraId="143B3901" w14:textId="77777777" w:rsidR="00881814" w:rsidRPr="004676F5" w:rsidRDefault="00881814" w:rsidP="00881814">
      <w:pPr>
        <w:ind w:firstLine="708"/>
        <w:jc w:val="both"/>
        <w:rPr>
          <w:lang w:val="de-DE"/>
        </w:rPr>
      </w:pPr>
    </w:p>
    <w:p w14:paraId="3F069EA6" w14:textId="77777777" w:rsidR="00881814" w:rsidRPr="004676F5" w:rsidRDefault="00881814" w:rsidP="00881814">
      <w:pPr>
        <w:ind w:firstLine="708"/>
        <w:jc w:val="both"/>
        <w:rPr>
          <w:lang w:val="de-DE"/>
        </w:rPr>
      </w:pPr>
      <w:r w:rsidRPr="004676F5">
        <w:rPr>
          <w:lang w:val="de-DE"/>
        </w:rPr>
        <w:t>Bei einer Krediteröffnung stellt der Verbraucher seiner Unterschrift den Vermerk der Höhe des Kredits voran: "Gelesen und genehmigt für einen Kredit in Höhe von ... EUR." Bei allen anderen Kreditverträgen stellt der Verbraucher seiner Unterschrift den Vermerk des vom Verbraucher zu zahlenden Gesamtbetrags voran: "Gelesen und genehmigt für eine Schuldsumme von ... EUR." In beiden Fällen gibt der Verbraucher im Vertrag zudem das Datum und die genaue Anschrift der Vertragsunterzeichnung an.</w:t>
      </w:r>
    </w:p>
    <w:p w14:paraId="7C01247C" w14:textId="77777777" w:rsidR="00173FDB" w:rsidRPr="004676F5" w:rsidRDefault="00173FDB" w:rsidP="00881814">
      <w:pPr>
        <w:ind w:firstLine="708"/>
        <w:jc w:val="both"/>
        <w:rPr>
          <w:lang w:val="de-DE"/>
        </w:rPr>
      </w:pPr>
    </w:p>
    <w:p w14:paraId="52E1B59D" w14:textId="77777777" w:rsidR="00173FDB" w:rsidRPr="004676F5" w:rsidRDefault="00173FDB" w:rsidP="00173FDB">
      <w:pPr>
        <w:ind w:firstLine="708"/>
        <w:jc w:val="both"/>
        <w:rPr>
          <w:lang w:val="de-DE"/>
        </w:rPr>
      </w:pPr>
      <w:r w:rsidRPr="004676F5">
        <w:rPr>
          <w:lang w:val="de-DE"/>
        </w:rPr>
        <w:t>[Die in Absatz 1 erwähnte elektronische Unterschrift erfolgt:</w:t>
      </w:r>
    </w:p>
    <w:p w14:paraId="38011895" w14:textId="77777777" w:rsidR="00173FDB" w:rsidRPr="004676F5" w:rsidRDefault="00173FDB" w:rsidP="00173FDB">
      <w:pPr>
        <w:ind w:firstLine="708"/>
        <w:jc w:val="both"/>
        <w:rPr>
          <w:lang w:val="de-DE"/>
        </w:rPr>
      </w:pPr>
    </w:p>
    <w:p w14:paraId="1D18F016" w14:textId="79F645F0" w:rsidR="00173FDB" w:rsidRPr="004676F5" w:rsidRDefault="005B7A5C" w:rsidP="00173FDB">
      <w:pPr>
        <w:ind w:firstLine="708"/>
        <w:jc w:val="both"/>
        <w:rPr>
          <w:lang w:val="de-DE"/>
        </w:rPr>
      </w:pPr>
      <w:r w:rsidRPr="004676F5">
        <w:rPr>
          <w:lang w:val="de-DE"/>
        </w:rPr>
        <w:t>- </w:t>
      </w:r>
      <w:r w:rsidR="00173FDB" w:rsidRPr="004676F5">
        <w:rPr>
          <w:lang w:val="de-DE"/>
        </w:rPr>
        <w:t xml:space="preserve">anhand </w:t>
      </w:r>
      <w:r w:rsidR="00DA3B7E" w:rsidRPr="004676F5">
        <w:rPr>
          <w:lang w:val="de-DE"/>
        </w:rPr>
        <w:t>[einer qualifizierten elektronischen Signatur oder eines qualifizierten elektronischen Siegels, die in Artikel 3 Nr. 12 beziehungsweise Nr. 27 der Verordnung (EU) Nr. 910/2014 des Europäischen Parlaments und des Rates vom 23. Juli 2014 über elektronische Identifizierung und Vertrauensdienste für elektronische Transaktionen im Binnenmarkt und zur Aufhebung der Richtlinie 1999/93/EG erwähnt sind]</w:t>
      </w:r>
      <w:r w:rsidR="00173FDB" w:rsidRPr="004676F5">
        <w:rPr>
          <w:lang w:val="de-DE"/>
        </w:rPr>
        <w:t>,</w:t>
      </w:r>
    </w:p>
    <w:p w14:paraId="60BF3B4E" w14:textId="77777777" w:rsidR="00173FDB" w:rsidRPr="004676F5" w:rsidRDefault="00173FDB" w:rsidP="00173FDB">
      <w:pPr>
        <w:ind w:firstLine="708"/>
        <w:jc w:val="both"/>
        <w:rPr>
          <w:lang w:val="de-DE"/>
        </w:rPr>
      </w:pPr>
    </w:p>
    <w:p w14:paraId="23530BD6" w14:textId="4CA94F6C" w:rsidR="00173FDB" w:rsidRPr="004676F5" w:rsidRDefault="005B7A5C" w:rsidP="00173FDB">
      <w:pPr>
        <w:ind w:firstLine="708"/>
        <w:jc w:val="both"/>
        <w:rPr>
          <w:lang w:val="de-DE"/>
        </w:rPr>
      </w:pPr>
      <w:r w:rsidRPr="004676F5">
        <w:rPr>
          <w:lang w:val="de-DE"/>
        </w:rPr>
        <w:t>- </w:t>
      </w:r>
      <w:r w:rsidR="00402892" w:rsidRPr="004676F5">
        <w:rPr>
          <w:lang w:val="de-DE"/>
        </w:rPr>
        <w:t>[oder anhand einer anderen elektronischen Signatur, durch die die Identität der Parteien, ihre Einwilligung zum Inhalt des Kreditvertrags und die Erhaltung der Integrität dieses Vertrags gewährleistet sind. Der König kann zu diesem Zweck Kriterien festlegen. Im Streitfall obliegt es dem Kreditgeber nachzuweisen, dass diese elektronische Signatur diese Funktionen tatsächlich erfüllt.]</w:t>
      </w:r>
      <w:r w:rsidR="00173FDB" w:rsidRPr="004676F5">
        <w:rPr>
          <w:lang w:val="de-DE"/>
        </w:rPr>
        <w:t>]</w:t>
      </w:r>
    </w:p>
    <w:p w14:paraId="43F9C4D1" w14:textId="77777777" w:rsidR="00881814" w:rsidRPr="004676F5" w:rsidRDefault="00881814" w:rsidP="00881814">
      <w:pPr>
        <w:ind w:firstLine="708"/>
        <w:jc w:val="both"/>
        <w:rPr>
          <w:lang w:val="de-DE"/>
        </w:rPr>
      </w:pPr>
    </w:p>
    <w:p w14:paraId="600068FB" w14:textId="66816792"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 xml:space="preserve">Im Kreditvertrag ist in klarer, prägnanter Form Folgendes anzugeben: </w:t>
      </w:r>
    </w:p>
    <w:p w14:paraId="0AC843F9" w14:textId="77777777" w:rsidR="00881814" w:rsidRPr="004676F5" w:rsidRDefault="00881814" w:rsidP="00881814">
      <w:pPr>
        <w:ind w:firstLine="708"/>
        <w:jc w:val="both"/>
        <w:rPr>
          <w:lang w:val="de-DE"/>
        </w:rPr>
      </w:pPr>
    </w:p>
    <w:p w14:paraId="3FE45251" w14:textId="77777777" w:rsidR="00881814" w:rsidRPr="004676F5" w:rsidRDefault="00881814" w:rsidP="00881814">
      <w:pPr>
        <w:ind w:firstLine="708"/>
        <w:jc w:val="both"/>
        <w:rPr>
          <w:lang w:val="de-DE"/>
        </w:rPr>
      </w:pPr>
      <w:r w:rsidRPr="004676F5">
        <w:rPr>
          <w:lang w:val="de-DE"/>
        </w:rPr>
        <w:t>1. Kreditart,</w:t>
      </w:r>
    </w:p>
    <w:p w14:paraId="3536C35F" w14:textId="77777777" w:rsidR="00881814" w:rsidRPr="004676F5" w:rsidRDefault="00881814" w:rsidP="00881814">
      <w:pPr>
        <w:ind w:firstLine="708"/>
        <w:jc w:val="both"/>
        <w:rPr>
          <w:lang w:val="de-DE"/>
        </w:rPr>
      </w:pPr>
    </w:p>
    <w:p w14:paraId="10F1D41A" w14:textId="77777777" w:rsidR="00881814" w:rsidRPr="004676F5" w:rsidRDefault="00881814" w:rsidP="00881814">
      <w:pPr>
        <w:ind w:firstLine="708"/>
        <w:jc w:val="both"/>
        <w:rPr>
          <w:lang w:val="de-DE"/>
        </w:rPr>
      </w:pPr>
      <w:r w:rsidRPr="004676F5">
        <w:rPr>
          <w:lang w:val="de-DE"/>
        </w:rPr>
        <w:t>2. Name, Vorname, Geburtsort und -datum, Wohnsitz des Verbrauchers und gegebenenfalls der Personen, die eine Sicherheit leisten,</w:t>
      </w:r>
    </w:p>
    <w:p w14:paraId="2862B2F4" w14:textId="77777777" w:rsidR="00881814" w:rsidRPr="004676F5" w:rsidRDefault="00881814" w:rsidP="00881814">
      <w:pPr>
        <w:ind w:firstLine="708"/>
        <w:jc w:val="both"/>
        <w:rPr>
          <w:lang w:val="de-DE"/>
        </w:rPr>
      </w:pPr>
    </w:p>
    <w:p w14:paraId="6D77F562" w14:textId="77777777" w:rsidR="00881814" w:rsidRPr="004676F5" w:rsidRDefault="00881814" w:rsidP="00881814">
      <w:pPr>
        <w:ind w:firstLine="708"/>
        <w:jc w:val="both"/>
        <w:rPr>
          <w:lang w:val="de-DE"/>
        </w:rPr>
      </w:pPr>
      <w:r w:rsidRPr="004676F5">
        <w:rPr>
          <w:lang w:val="de-DE"/>
        </w:rPr>
        <w:t>3. Identität des Kreditgebers, einschließlich seiner Unternehmensnummer, seine für Kontakte mit dem Verbraucher relevante geographische Anschrift sowie Bezeichnung und Anschrift der zuständigen Aufsichtsbehörde beim FÖD Wirtschaft,</w:t>
      </w:r>
    </w:p>
    <w:p w14:paraId="2E0D9A07" w14:textId="77777777" w:rsidR="00881814" w:rsidRPr="004676F5" w:rsidRDefault="00881814" w:rsidP="00881814">
      <w:pPr>
        <w:ind w:firstLine="708"/>
        <w:jc w:val="both"/>
        <w:rPr>
          <w:lang w:val="de-DE"/>
        </w:rPr>
      </w:pPr>
    </w:p>
    <w:p w14:paraId="5ADAC7E5" w14:textId="77777777" w:rsidR="00881814" w:rsidRPr="004676F5" w:rsidRDefault="00881814" w:rsidP="00881814">
      <w:pPr>
        <w:ind w:firstLine="708"/>
        <w:jc w:val="both"/>
        <w:rPr>
          <w:lang w:val="de-DE"/>
        </w:rPr>
      </w:pPr>
      <w:r w:rsidRPr="004676F5">
        <w:rPr>
          <w:lang w:val="de-DE"/>
        </w:rPr>
        <w:t>4. gegebenenfalls Identität des Kreditvermittlers, einschließlich seiner Unternehmens</w:t>
      </w:r>
      <w:r w:rsidRPr="004676F5">
        <w:rPr>
          <w:lang w:val="de-DE"/>
        </w:rPr>
        <w:softHyphen/>
        <w:t>nummer, seine für Kontakte mit dem Verbraucher relevante geographische Anschrift sowie Bezeichnung und Anschrift der zuständigen Aufsichtsbehörde beim FÖD Wirtschaft,</w:t>
      </w:r>
    </w:p>
    <w:p w14:paraId="163395BA" w14:textId="77777777" w:rsidR="00881814" w:rsidRPr="004676F5" w:rsidRDefault="00881814" w:rsidP="00881814">
      <w:pPr>
        <w:ind w:firstLine="708"/>
        <w:jc w:val="both"/>
        <w:rPr>
          <w:lang w:val="de-DE"/>
        </w:rPr>
      </w:pPr>
    </w:p>
    <w:p w14:paraId="5403CBDF" w14:textId="77777777" w:rsidR="00881814" w:rsidRPr="004676F5" w:rsidRDefault="00881814" w:rsidP="00881814">
      <w:pPr>
        <w:ind w:firstLine="708"/>
        <w:jc w:val="both"/>
        <w:rPr>
          <w:lang w:val="de-DE"/>
        </w:rPr>
      </w:pPr>
      <w:r w:rsidRPr="004676F5">
        <w:rPr>
          <w:lang w:val="de-DE"/>
        </w:rPr>
        <w:t>5. Laufzeit des Kreditvertrags,</w:t>
      </w:r>
    </w:p>
    <w:p w14:paraId="30B118E8" w14:textId="77777777" w:rsidR="00881814" w:rsidRPr="004676F5" w:rsidRDefault="00881814" w:rsidP="00881814">
      <w:pPr>
        <w:ind w:firstLine="708"/>
        <w:jc w:val="both"/>
        <w:rPr>
          <w:lang w:val="de-DE"/>
        </w:rPr>
      </w:pPr>
    </w:p>
    <w:p w14:paraId="15154F88" w14:textId="77777777" w:rsidR="00881814" w:rsidRPr="004676F5" w:rsidRDefault="00881814" w:rsidP="00881814">
      <w:pPr>
        <w:ind w:firstLine="708"/>
        <w:jc w:val="both"/>
        <w:rPr>
          <w:lang w:val="de-DE"/>
        </w:rPr>
      </w:pPr>
      <w:r w:rsidRPr="004676F5">
        <w:rPr>
          <w:lang w:val="de-DE"/>
        </w:rPr>
        <w:lastRenderedPageBreak/>
        <w:t>6. Kreditbetrag und Bedingungen für die Inanspruchnahme,</w:t>
      </w:r>
    </w:p>
    <w:p w14:paraId="6D98C050" w14:textId="77777777" w:rsidR="00881814" w:rsidRPr="004676F5" w:rsidRDefault="00881814" w:rsidP="00881814">
      <w:pPr>
        <w:ind w:firstLine="708"/>
        <w:jc w:val="both"/>
        <w:rPr>
          <w:lang w:val="de-DE"/>
        </w:rPr>
      </w:pPr>
    </w:p>
    <w:p w14:paraId="1816A7D7" w14:textId="77777777" w:rsidR="00881814" w:rsidRPr="004676F5" w:rsidRDefault="00881814" w:rsidP="00881814">
      <w:pPr>
        <w:ind w:firstLine="708"/>
        <w:jc w:val="both"/>
        <w:rPr>
          <w:lang w:val="de-DE"/>
        </w:rPr>
      </w:pPr>
      <w:r w:rsidRPr="004676F5">
        <w:rPr>
          <w:lang w:val="de-DE"/>
        </w:rPr>
        <w:t>7. Sollzinssatz, Bedingungen für die Anwendung des Sollzinssatzes und, soweit vorhanden, Indizes oder Referenzzinssätze, die auf den anfänglichen Sollzinssatz Anwendung finden, ferner Zeiträume, Bedingungen und Art und Weise der Anpassung des Sollzinssatzes; gelten unter verschiedenen Umständen unterschiedliche Sollzinssätze, so sind die genannten Informationen für alle anzuwendenden Sollzinssätze zu erteilen,</w:t>
      </w:r>
    </w:p>
    <w:p w14:paraId="38319070" w14:textId="77777777" w:rsidR="00881814" w:rsidRPr="004676F5" w:rsidRDefault="00881814" w:rsidP="00881814">
      <w:pPr>
        <w:jc w:val="both"/>
        <w:rPr>
          <w:lang w:val="de-DE"/>
        </w:rPr>
      </w:pPr>
    </w:p>
    <w:p w14:paraId="607EEE67" w14:textId="77777777" w:rsidR="00881814" w:rsidRPr="004676F5" w:rsidRDefault="00881814" w:rsidP="00881814">
      <w:pPr>
        <w:ind w:firstLine="708"/>
        <w:jc w:val="both"/>
        <w:rPr>
          <w:lang w:val="de-DE"/>
        </w:rPr>
      </w:pPr>
      <w:r w:rsidRPr="004676F5">
        <w:rPr>
          <w:lang w:val="de-DE"/>
        </w:rPr>
        <w:t>8. effektiver Jahreszins und vom Verbraucher zu zahlender Gesamtbetrag, berechnet zum Zeitpunkt des Abschlusses des Kreditvertrags. Anzugeben sind alle in die Berechnung dieses Zinses einfließenden Annahmen,</w:t>
      </w:r>
    </w:p>
    <w:p w14:paraId="008CDDD5" w14:textId="77777777" w:rsidR="00881814" w:rsidRPr="004676F5" w:rsidRDefault="00881814" w:rsidP="00881814">
      <w:pPr>
        <w:ind w:firstLine="708"/>
        <w:jc w:val="both"/>
        <w:rPr>
          <w:lang w:val="de-DE"/>
        </w:rPr>
      </w:pPr>
    </w:p>
    <w:p w14:paraId="3726E3E2" w14:textId="77777777" w:rsidR="00881814" w:rsidRPr="004676F5" w:rsidRDefault="00881814" w:rsidP="00881814">
      <w:pPr>
        <w:ind w:firstLine="708"/>
        <w:jc w:val="both"/>
        <w:rPr>
          <w:lang w:val="de-DE"/>
        </w:rPr>
      </w:pPr>
      <w:r w:rsidRPr="004676F5">
        <w:rPr>
          <w:lang w:val="de-DE"/>
        </w:rPr>
        <w:t>9. Verfahren zur Kündigung des Kreditvertrags,</w:t>
      </w:r>
    </w:p>
    <w:p w14:paraId="6A013515" w14:textId="77777777" w:rsidR="00881814" w:rsidRPr="004676F5" w:rsidRDefault="00881814" w:rsidP="00881814">
      <w:pPr>
        <w:ind w:firstLine="708"/>
        <w:jc w:val="both"/>
        <w:rPr>
          <w:lang w:val="de-DE"/>
        </w:rPr>
      </w:pPr>
    </w:p>
    <w:p w14:paraId="4B5E6615" w14:textId="77777777" w:rsidR="00881814" w:rsidRPr="004676F5" w:rsidRDefault="00881814" w:rsidP="00881814">
      <w:pPr>
        <w:ind w:firstLine="708"/>
        <w:jc w:val="both"/>
        <w:rPr>
          <w:lang w:val="de-DE"/>
        </w:rPr>
      </w:pPr>
      <w:r w:rsidRPr="004676F5">
        <w:rPr>
          <w:lang w:val="de-DE"/>
        </w:rPr>
        <w:t>10. folgende Klausel: "Dieser Vertrag wird gemäß Artikel VII.148 des Wirtschafts</w:t>
      </w:r>
      <w:r w:rsidRPr="004676F5">
        <w:rPr>
          <w:lang w:val="de-DE"/>
        </w:rPr>
        <w:softHyphen/>
        <w:t>gesetzbuches in der Zentrale für Kredite an Privatpersonen registriert.",</w:t>
      </w:r>
    </w:p>
    <w:p w14:paraId="7F7F0C57" w14:textId="77777777" w:rsidR="00881814" w:rsidRPr="004676F5" w:rsidRDefault="00881814" w:rsidP="00881814">
      <w:pPr>
        <w:ind w:firstLine="708"/>
        <w:jc w:val="both"/>
        <w:rPr>
          <w:lang w:val="de-DE"/>
        </w:rPr>
      </w:pPr>
    </w:p>
    <w:p w14:paraId="48096835" w14:textId="77777777" w:rsidR="00881814" w:rsidRPr="004676F5" w:rsidRDefault="00881814" w:rsidP="00881814">
      <w:pPr>
        <w:ind w:firstLine="708"/>
        <w:jc w:val="both"/>
        <w:rPr>
          <w:lang w:val="de-DE"/>
        </w:rPr>
      </w:pPr>
      <w:r w:rsidRPr="004676F5">
        <w:rPr>
          <w:lang w:val="de-DE"/>
        </w:rPr>
        <w:t>11. Zwecke der Verarbeitung in der Zentrale,</w:t>
      </w:r>
    </w:p>
    <w:p w14:paraId="2BEF83CF" w14:textId="77777777" w:rsidR="00881814" w:rsidRPr="004676F5" w:rsidRDefault="00881814" w:rsidP="00881814">
      <w:pPr>
        <w:ind w:firstLine="708"/>
        <w:jc w:val="both"/>
        <w:rPr>
          <w:lang w:val="de-DE"/>
        </w:rPr>
      </w:pPr>
    </w:p>
    <w:p w14:paraId="1EA06BC7" w14:textId="77777777" w:rsidR="00881814" w:rsidRPr="004676F5" w:rsidRDefault="00881814" w:rsidP="00881814">
      <w:pPr>
        <w:ind w:firstLine="708"/>
        <w:jc w:val="both"/>
        <w:rPr>
          <w:lang w:val="de-DE"/>
        </w:rPr>
      </w:pPr>
      <w:r w:rsidRPr="004676F5">
        <w:rPr>
          <w:lang w:val="de-DE"/>
        </w:rPr>
        <w:t>12. Name der Zentrale,</w:t>
      </w:r>
    </w:p>
    <w:p w14:paraId="0B536107" w14:textId="77777777" w:rsidR="00881814" w:rsidRPr="004676F5" w:rsidRDefault="00881814" w:rsidP="00881814">
      <w:pPr>
        <w:ind w:firstLine="708"/>
        <w:jc w:val="both"/>
        <w:rPr>
          <w:lang w:val="de-DE"/>
        </w:rPr>
      </w:pPr>
    </w:p>
    <w:p w14:paraId="18BDF1B5" w14:textId="7F15177D" w:rsidR="00881814" w:rsidRPr="004676F5" w:rsidRDefault="00881814" w:rsidP="00881814">
      <w:pPr>
        <w:ind w:firstLine="708"/>
        <w:jc w:val="both"/>
        <w:rPr>
          <w:lang w:val="de-DE"/>
        </w:rPr>
      </w:pPr>
      <w:r w:rsidRPr="004676F5">
        <w:rPr>
          <w:lang w:val="de-DE"/>
        </w:rPr>
        <w:t>13. Bestehen eines Zugangs-, Berichtigungs</w:t>
      </w:r>
      <w:r w:rsidR="005B7A5C" w:rsidRPr="004676F5">
        <w:rPr>
          <w:lang w:val="de-DE"/>
        </w:rPr>
        <w:t>- </w:t>
      </w:r>
      <w:r w:rsidRPr="004676F5">
        <w:rPr>
          <w:lang w:val="de-DE"/>
        </w:rPr>
        <w:t>und Streichungsrechts hinsichtlich der Daten und Fristen für die Aufbewahrung dieser Daten.</w:t>
      </w:r>
    </w:p>
    <w:p w14:paraId="49EE6E04" w14:textId="77777777" w:rsidR="00881814" w:rsidRPr="004676F5" w:rsidRDefault="00881814" w:rsidP="00881814">
      <w:pPr>
        <w:ind w:firstLine="708"/>
        <w:jc w:val="both"/>
        <w:rPr>
          <w:lang w:val="de-DE"/>
        </w:rPr>
      </w:pPr>
    </w:p>
    <w:p w14:paraId="5AFF714F" w14:textId="2DE057D1"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Neben den in § 2 erwähnten Informationen ist im Kreditvertrag, ausgenommen in Kreditverträgen, die in § 4 erwähnt sind, in klarer, prägnanter Form Folgendes anzugeben:</w:t>
      </w:r>
    </w:p>
    <w:p w14:paraId="14AAC615" w14:textId="77777777" w:rsidR="00881814" w:rsidRPr="004676F5" w:rsidRDefault="00881814" w:rsidP="00881814">
      <w:pPr>
        <w:ind w:firstLine="708"/>
        <w:jc w:val="both"/>
        <w:rPr>
          <w:lang w:val="de-DE"/>
        </w:rPr>
      </w:pPr>
    </w:p>
    <w:p w14:paraId="767DDA0F" w14:textId="77777777" w:rsidR="00881814" w:rsidRPr="004676F5" w:rsidRDefault="00881814" w:rsidP="00881814">
      <w:pPr>
        <w:ind w:firstLine="708"/>
        <w:jc w:val="both"/>
        <w:rPr>
          <w:lang w:val="de-DE"/>
        </w:rPr>
      </w:pPr>
      <w:r w:rsidRPr="004676F5">
        <w:rPr>
          <w:lang w:val="de-DE"/>
        </w:rPr>
        <w:t>1. wenn der Kredit anhand eines Zahlungsinstruments in Anspruch genommen werden kann, Regeln, die gemäß den Rechtsvorschriften über die Zahlungsdienste im Falle von Verlust, Diebstahl oder missbräuchlicher Verwendung der Karte oder Legitimation Anwendung finden, und gegebenenfalls Höchstbetrag, für den der Verbraucher infolge von missbräuchlicher Verwendung durch einen Dritten das Risiko trägt,</w:t>
      </w:r>
    </w:p>
    <w:p w14:paraId="552367C3" w14:textId="77777777" w:rsidR="00881814" w:rsidRPr="004676F5" w:rsidRDefault="00881814" w:rsidP="00881814">
      <w:pPr>
        <w:ind w:firstLine="708"/>
        <w:jc w:val="both"/>
        <w:rPr>
          <w:lang w:val="de-DE"/>
        </w:rPr>
      </w:pPr>
    </w:p>
    <w:p w14:paraId="4A50767C" w14:textId="77777777" w:rsidR="00881814" w:rsidRPr="004676F5" w:rsidRDefault="00881814" w:rsidP="00881814">
      <w:pPr>
        <w:ind w:firstLine="708"/>
        <w:jc w:val="both"/>
        <w:rPr>
          <w:lang w:val="de-DE"/>
        </w:rPr>
      </w:pPr>
      <w:r w:rsidRPr="004676F5">
        <w:rPr>
          <w:lang w:val="de-DE"/>
        </w:rPr>
        <w:t>2. bei Krediten in Form eines Zahlungsaufschubs für eine bestimmte Ware oder Dienstleistung oder bei verbundenen Kreditverträgen Ware oder Dienstleistung und deren Barzahlungspreis,</w:t>
      </w:r>
    </w:p>
    <w:p w14:paraId="0BDE5A4D" w14:textId="77777777" w:rsidR="00881814" w:rsidRPr="004676F5" w:rsidRDefault="00881814" w:rsidP="00881814">
      <w:pPr>
        <w:ind w:firstLine="708"/>
        <w:jc w:val="both"/>
        <w:rPr>
          <w:lang w:val="de-DE"/>
        </w:rPr>
      </w:pPr>
    </w:p>
    <w:p w14:paraId="6C3AFAFC" w14:textId="77777777" w:rsidR="00881814" w:rsidRPr="004676F5" w:rsidRDefault="00881814" w:rsidP="00881814">
      <w:pPr>
        <w:ind w:firstLine="708"/>
        <w:jc w:val="both"/>
        <w:rPr>
          <w:lang w:val="de-DE"/>
        </w:rPr>
      </w:pPr>
      <w:r w:rsidRPr="004676F5">
        <w:rPr>
          <w:lang w:val="de-DE"/>
        </w:rPr>
        <w:t>3. </w:t>
      </w:r>
      <w:r w:rsidR="001D682D" w:rsidRPr="004676F5">
        <w:rPr>
          <w:lang w:val="de-DE"/>
        </w:rPr>
        <w:t>[Ratenbeträge, Zahlungstermine und Anzahl der vom Verbraucher zu leistenden Zahlungen]</w:t>
      </w:r>
      <w:r w:rsidRPr="004676F5">
        <w:rPr>
          <w:lang w:val="de-DE"/>
        </w:rPr>
        <w:t>, einschließlich einer eventuellen Anzahlung, und gegebenenfalls Reihenfolge, in der die Zahlungen auf verschiedene ausstehende Restbeträge, für die unterschiedliche Sollzinssätze gelten, zum Zwecke der Rückzahlung angerechnet werden,</w:t>
      </w:r>
    </w:p>
    <w:p w14:paraId="2DBB8C89" w14:textId="77777777" w:rsidR="00881814" w:rsidRPr="004676F5" w:rsidRDefault="00881814" w:rsidP="00881814">
      <w:pPr>
        <w:ind w:firstLine="708"/>
        <w:jc w:val="both"/>
        <w:rPr>
          <w:lang w:val="de-DE"/>
        </w:rPr>
      </w:pPr>
    </w:p>
    <w:p w14:paraId="0F0B2855" w14:textId="77777777" w:rsidR="00881814" w:rsidRPr="004676F5" w:rsidRDefault="00881814" w:rsidP="00881814">
      <w:pPr>
        <w:ind w:firstLine="708"/>
        <w:jc w:val="both"/>
        <w:rPr>
          <w:lang w:val="de-DE"/>
        </w:rPr>
      </w:pPr>
      <w:r w:rsidRPr="004676F5">
        <w:rPr>
          <w:lang w:val="de-DE"/>
        </w:rPr>
        <w:t>4. im Falle der Kapitaltilgung bei einem Kreditvertrag mit fester Laufzeit, Recht des Verbrauchers, auf Antrag kostenlos und zu jedem beliebigen Zeitpunkt während der Gesamtlaufzeit des Kreditvertrags eine Aufstellung in Form eines Tilgungsplans zu erhalten. Aus diesem gehen hervor:</w:t>
      </w:r>
    </w:p>
    <w:p w14:paraId="3A170013" w14:textId="77777777" w:rsidR="00881814" w:rsidRPr="004676F5" w:rsidRDefault="00881814" w:rsidP="00881814">
      <w:pPr>
        <w:ind w:firstLine="708"/>
        <w:jc w:val="both"/>
        <w:rPr>
          <w:lang w:val="de-DE"/>
        </w:rPr>
      </w:pPr>
    </w:p>
    <w:p w14:paraId="1F6A9F6A" w14:textId="77777777" w:rsidR="00881814" w:rsidRPr="004676F5" w:rsidRDefault="00881814" w:rsidP="00881814">
      <w:pPr>
        <w:ind w:firstLine="708"/>
        <w:jc w:val="both"/>
        <w:rPr>
          <w:lang w:val="de-DE"/>
        </w:rPr>
      </w:pPr>
      <w:r w:rsidRPr="004676F5">
        <w:rPr>
          <w:i/>
          <w:lang w:val="de-DE"/>
        </w:rPr>
        <w:t>a) </w:t>
      </w:r>
      <w:r w:rsidRPr="004676F5">
        <w:rPr>
          <w:lang w:val="de-DE"/>
        </w:rPr>
        <w:t>zu leistende Zahlungen sowie Zeitabstände und Bedingungen für diese Zahlungen,</w:t>
      </w:r>
    </w:p>
    <w:p w14:paraId="5872560F" w14:textId="77777777" w:rsidR="00881814" w:rsidRPr="004676F5" w:rsidRDefault="00881814" w:rsidP="00881814">
      <w:pPr>
        <w:ind w:firstLine="708"/>
        <w:jc w:val="both"/>
        <w:rPr>
          <w:lang w:val="de-DE"/>
        </w:rPr>
      </w:pPr>
    </w:p>
    <w:p w14:paraId="355C7243" w14:textId="77777777" w:rsidR="00881814" w:rsidRPr="004676F5" w:rsidRDefault="00881814" w:rsidP="00881814">
      <w:pPr>
        <w:ind w:firstLine="708"/>
        <w:jc w:val="both"/>
        <w:rPr>
          <w:lang w:val="de-DE"/>
        </w:rPr>
      </w:pPr>
      <w:r w:rsidRPr="004676F5">
        <w:rPr>
          <w:i/>
          <w:lang w:val="de-DE"/>
        </w:rPr>
        <w:t>b) </w:t>
      </w:r>
      <w:r w:rsidRPr="004676F5">
        <w:rPr>
          <w:lang w:val="de-DE"/>
        </w:rPr>
        <w:t>Aufschlüsselung der einzelnen periodischen Rückzahlungen nach der Kapital</w:t>
      </w:r>
      <w:r w:rsidRPr="004676F5">
        <w:rPr>
          <w:lang w:val="de-DE"/>
        </w:rPr>
        <w:softHyphen/>
        <w:t>tilgung, den nach dem Sollzinssatz berechneten Zinsen und gegebenenfalls allen zusätzlichen Kosten,</w:t>
      </w:r>
    </w:p>
    <w:p w14:paraId="36985500" w14:textId="77777777" w:rsidR="00881814" w:rsidRPr="004676F5" w:rsidRDefault="00881814" w:rsidP="00881814">
      <w:pPr>
        <w:ind w:firstLine="708"/>
        <w:jc w:val="both"/>
        <w:rPr>
          <w:lang w:val="de-DE"/>
        </w:rPr>
      </w:pPr>
    </w:p>
    <w:p w14:paraId="0D01A09E" w14:textId="77777777" w:rsidR="00881814" w:rsidRPr="004676F5" w:rsidRDefault="00881814" w:rsidP="00881814">
      <w:pPr>
        <w:ind w:firstLine="708"/>
        <w:jc w:val="both"/>
        <w:rPr>
          <w:lang w:val="de-DE"/>
        </w:rPr>
      </w:pPr>
      <w:r w:rsidRPr="004676F5">
        <w:rPr>
          <w:i/>
          <w:lang w:val="de-DE"/>
        </w:rPr>
        <w:lastRenderedPageBreak/>
        <w:t>c)</w:t>
      </w:r>
      <w:r w:rsidRPr="004676F5">
        <w:rPr>
          <w:lang w:val="de-DE"/>
        </w:rPr>
        <w:t> bei einem Kreditvertrag ohne festen Sollzinssatz, klare und prägnante Angabe, dass die Daten im Tilgungsplan nur bis zur nächsten Änderung des Sollzinssatzes oder der zusätzlichen Kosten gemäß dem Kreditvertrag Gültigkeit haben,</w:t>
      </w:r>
    </w:p>
    <w:p w14:paraId="127B890B" w14:textId="77777777" w:rsidR="00881814" w:rsidRPr="004676F5" w:rsidRDefault="00881814" w:rsidP="00881814">
      <w:pPr>
        <w:ind w:firstLine="708"/>
        <w:jc w:val="both"/>
        <w:rPr>
          <w:lang w:val="de-DE"/>
        </w:rPr>
      </w:pPr>
    </w:p>
    <w:p w14:paraId="284534F4" w14:textId="77777777" w:rsidR="00881814" w:rsidRPr="004676F5" w:rsidRDefault="00881814" w:rsidP="00881814">
      <w:pPr>
        <w:ind w:firstLine="708"/>
        <w:jc w:val="both"/>
        <w:rPr>
          <w:lang w:val="de-DE"/>
        </w:rPr>
      </w:pPr>
      <w:r w:rsidRPr="004676F5">
        <w:rPr>
          <w:lang w:val="de-DE"/>
        </w:rPr>
        <w:t>5. ist die Zahlung von Entgelten und Zinsen ohne Kapitaltilgung vorgesehen, Aufstellung der Zeiträume und Bedingungen für die Zahlung der Sollzinsen und der damit verbundenen wiederkehrenden und nicht wiederkehrenden Entgelte,</w:t>
      </w:r>
    </w:p>
    <w:p w14:paraId="020D32D6" w14:textId="77777777" w:rsidR="00881814" w:rsidRPr="004676F5" w:rsidRDefault="00881814" w:rsidP="00881814">
      <w:pPr>
        <w:ind w:firstLine="708"/>
        <w:jc w:val="both"/>
        <w:rPr>
          <w:lang w:val="de-DE"/>
        </w:rPr>
      </w:pPr>
    </w:p>
    <w:p w14:paraId="4F63E613" w14:textId="77777777" w:rsidR="00881814" w:rsidRPr="004676F5" w:rsidRDefault="00881814" w:rsidP="00881814">
      <w:pPr>
        <w:ind w:firstLine="708"/>
        <w:jc w:val="both"/>
        <w:rPr>
          <w:lang w:val="de-DE"/>
        </w:rPr>
      </w:pPr>
      <w:r w:rsidRPr="004676F5">
        <w:rPr>
          <w:lang w:val="de-DE"/>
        </w:rPr>
        <w:t xml:space="preserve">6. gegebenenfalls Entgelte für die Führung eines oder mehrerer Konten für die Buchung der Zahlungsvorgänge und der in Anspruch genommenen Kreditbeträge, es sei denn, die Eröffnung eines entsprechenden Kontos ist fakultativ, zusammen mit den Entgelten für die Verwendung eines Zahlungsmittels, mit dem sowohl Zahlungsvorgänge getätigt als auch Kreditbeträge in Anspruch genommen werden können, sowie sonstige Entgelte aufgrund des Kreditvertrags und Bedingungen, unter denen diese Entgelte gemäß Artikel VII.86 geändert werden können, </w:t>
      </w:r>
    </w:p>
    <w:p w14:paraId="467E58CC" w14:textId="77777777" w:rsidR="00881814" w:rsidRPr="004676F5" w:rsidRDefault="00881814" w:rsidP="00881814">
      <w:pPr>
        <w:ind w:firstLine="708"/>
        <w:jc w:val="both"/>
        <w:rPr>
          <w:lang w:val="de-DE"/>
        </w:rPr>
      </w:pPr>
    </w:p>
    <w:p w14:paraId="7821582E" w14:textId="77777777" w:rsidR="00881814" w:rsidRPr="004676F5" w:rsidRDefault="00881814" w:rsidP="00881814">
      <w:pPr>
        <w:ind w:firstLine="708"/>
        <w:jc w:val="both"/>
        <w:rPr>
          <w:lang w:val="de-DE"/>
        </w:rPr>
      </w:pPr>
      <w:r w:rsidRPr="004676F5">
        <w:rPr>
          <w:lang w:val="de-DE"/>
        </w:rPr>
        <w:t>7. Satz der Verzugszinsen gemäß der zum Zeitpunkt des Abschlusses des Kreditvertrags geltenden Regelung bei Zahlungsverzug und Art und Weise seiner etwaigen Anpassung sowie gegebenenfalls anfallende Kosten wegen Nichterfüllung des Kreditvertrags,</w:t>
      </w:r>
    </w:p>
    <w:p w14:paraId="3240E741" w14:textId="77777777" w:rsidR="00881814" w:rsidRPr="004676F5" w:rsidRDefault="00881814" w:rsidP="00881814">
      <w:pPr>
        <w:ind w:firstLine="708"/>
        <w:jc w:val="both"/>
        <w:rPr>
          <w:lang w:val="de-DE"/>
        </w:rPr>
      </w:pPr>
    </w:p>
    <w:p w14:paraId="7EF47CE7" w14:textId="77777777" w:rsidR="00881814" w:rsidRPr="004676F5" w:rsidRDefault="00881814" w:rsidP="00881814">
      <w:pPr>
        <w:ind w:firstLine="708"/>
        <w:jc w:val="both"/>
        <w:rPr>
          <w:lang w:val="de-DE"/>
        </w:rPr>
      </w:pPr>
      <w:r w:rsidRPr="004676F5">
        <w:rPr>
          <w:lang w:val="de-DE"/>
        </w:rPr>
        <w:t>8. Warnhinweis zu den Folgen ausbleibender Zahlungen,</w:t>
      </w:r>
    </w:p>
    <w:p w14:paraId="0468B763" w14:textId="77777777" w:rsidR="00881814" w:rsidRPr="004676F5" w:rsidRDefault="00881814" w:rsidP="00881814">
      <w:pPr>
        <w:ind w:firstLine="708"/>
        <w:jc w:val="both"/>
        <w:rPr>
          <w:lang w:val="de-DE"/>
        </w:rPr>
      </w:pPr>
    </w:p>
    <w:p w14:paraId="4050020B" w14:textId="77777777" w:rsidR="00881814" w:rsidRPr="004676F5" w:rsidRDefault="00881814" w:rsidP="00881814">
      <w:pPr>
        <w:ind w:firstLine="708"/>
        <w:jc w:val="both"/>
        <w:rPr>
          <w:lang w:val="de-DE"/>
        </w:rPr>
      </w:pPr>
      <w:r w:rsidRPr="004676F5">
        <w:rPr>
          <w:lang w:val="de-DE"/>
        </w:rPr>
        <w:t>9. soweit zutreffend, Hinweis auf zu zahlende Notargebühren,</w:t>
      </w:r>
    </w:p>
    <w:p w14:paraId="586B38DC" w14:textId="77777777" w:rsidR="00881814" w:rsidRPr="004676F5" w:rsidRDefault="00881814" w:rsidP="00881814">
      <w:pPr>
        <w:ind w:firstLine="708"/>
        <w:jc w:val="both"/>
        <w:rPr>
          <w:lang w:val="de-DE"/>
        </w:rPr>
      </w:pPr>
    </w:p>
    <w:p w14:paraId="24713A19" w14:textId="77777777" w:rsidR="00881814" w:rsidRPr="004676F5" w:rsidRDefault="00881814" w:rsidP="00881814">
      <w:pPr>
        <w:ind w:firstLine="708"/>
        <w:jc w:val="both"/>
        <w:rPr>
          <w:lang w:val="de-DE"/>
        </w:rPr>
      </w:pPr>
      <w:r w:rsidRPr="004676F5">
        <w:rPr>
          <w:lang w:val="de-DE"/>
        </w:rPr>
        <w:t>10. gegebenenfalls verlangte Sicherheiten und Versicherungen,</w:t>
      </w:r>
    </w:p>
    <w:p w14:paraId="26CE9352" w14:textId="77777777" w:rsidR="00881814" w:rsidRPr="004676F5" w:rsidRDefault="00881814" w:rsidP="00881814">
      <w:pPr>
        <w:ind w:firstLine="708"/>
        <w:jc w:val="both"/>
        <w:rPr>
          <w:lang w:val="de-DE"/>
        </w:rPr>
      </w:pPr>
    </w:p>
    <w:p w14:paraId="5DF67A24" w14:textId="77777777" w:rsidR="00881814" w:rsidRPr="004676F5" w:rsidRDefault="00881814" w:rsidP="00881814">
      <w:pPr>
        <w:ind w:firstLine="708"/>
        <w:jc w:val="both"/>
        <w:rPr>
          <w:lang w:val="de-DE"/>
        </w:rPr>
      </w:pPr>
      <w:r w:rsidRPr="004676F5">
        <w:rPr>
          <w:lang w:val="de-DE"/>
        </w:rPr>
        <w:t>11. Bestehen oder Nichtbestehen eines Widerrufsrechts sowie Frist und andere Modalitäten für die Ausübung des Widerrufsrechts, einschließlich Angaben zu der Verpflichtung des Verbrauchers, das in Anspruch genommene Kapital und die Zinsen gemäß Artikel VII.83 zurückzuzahlen, und der Höhe der Zinsen pro Tag,</w:t>
      </w:r>
    </w:p>
    <w:p w14:paraId="53B8B09C" w14:textId="77777777" w:rsidR="00881814" w:rsidRPr="004676F5" w:rsidRDefault="00881814" w:rsidP="00881814">
      <w:pPr>
        <w:ind w:firstLine="708"/>
        <w:jc w:val="both"/>
        <w:rPr>
          <w:lang w:val="de-DE"/>
        </w:rPr>
      </w:pPr>
    </w:p>
    <w:p w14:paraId="6F5C4256" w14:textId="77777777" w:rsidR="00881814" w:rsidRPr="004676F5" w:rsidRDefault="00881814" w:rsidP="00881814">
      <w:pPr>
        <w:ind w:firstLine="708"/>
        <w:jc w:val="both"/>
        <w:rPr>
          <w:lang w:val="de-DE"/>
        </w:rPr>
      </w:pPr>
      <w:r w:rsidRPr="004676F5">
        <w:rPr>
          <w:lang w:val="de-DE"/>
        </w:rPr>
        <w:t>12. Information über die Rechte aus Artikel VII.92 und Bedingungen für ihre Ausübung,</w:t>
      </w:r>
    </w:p>
    <w:p w14:paraId="4169CC23" w14:textId="77777777" w:rsidR="00881814" w:rsidRPr="004676F5" w:rsidRDefault="00881814" w:rsidP="00881814">
      <w:pPr>
        <w:jc w:val="both"/>
        <w:rPr>
          <w:lang w:val="de-DE"/>
        </w:rPr>
      </w:pPr>
    </w:p>
    <w:p w14:paraId="12C92DF7" w14:textId="77777777" w:rsidR="00881814" w:rsidRPr="004676F5" w:rsidRDefault="00881814" w:rsidP="00881814">
      <w:pPr>
        <w:ind w:firstLine="708"/>
        <w:jc w:val="both"/>
        <w:rPr>
          <w:lang w:val="de-DE"/>
        </w:rPr>
      </w:pPr>
      <w:r w:rsidRPr="004676F5">
        <w:rPr>
          <w:lang w:val="de-DE"/>
        </w:rPr>
        <w:t>13. Recht auf vorzeitige Rückzahlung, Verfahren bei vorzeitiger Rückzahlung und gegebenenfalls Information zum Anspruch des Kreditgebers auf Entschädigung sowie zur Art der Bestimmung dieser Entschädigung,</w:t>
      </w:r>
    </w:p>
    <w:p w14:paraId="4AF508A3" w14:textId="77777777" w:rsidR="00881814" w:rsidRPr="004676F5" w:rsidRDefault="00881814" w:rsidP="00881814">
      <w:pPr>
        <w:ind w:firstLine="708"/>
        <w:jc w:val="both"/>
        <w:rPr>
          <w:lang w:val="de-DE"/>
        </w:rPr>
      </w:pPr>
    </w:p>
    <w:p w14:paraId="35593FFD" w14:textId="17223CF0" w:rsidR="00881814" w:rsidRPr="004676F5" w:rsidRDefault="00881814" w:rsidP="00881814">
      <w:pPr>
        <w:ind w:firstLine="708"/>
        <w:jc w:val="both"/>
        <w:rPr>
          <w:lang w:val="de-DE"/>
        </w:rPr>
      </w:pPr>
      <w:r w:rsidRPr="004676F5">
        <w:rPr>
          <w:lang w:val="de-DE"/>
        </w:rPr>
        <w:t>14. Hinweis auf die dem Verbraucher gemäß Buch XVI zugänglichen außer</w:t>
      </w:r>
      <w:r w:rsidRPr="004676F5">
        <w:rPr>
          <w:lang w:val="de-DE"/>
        </w:rPr>
        <w:softHyphen/>
        <w:t>gerichtlichen Beschwerde</w:t>
      </w:r>
      <w:r w:rsidR="005B7A5C" w:rsidRPr="004676F5">
        <w:rPr>
          <w:lang w:val="de-DE"/>
        </w:rPr>
        <w:t>- </w:t>
      </w:r>
      <w:r w:rsidRPr="004676F5">
        <w:rPr>
          <w:lang w:val="de-DE"/>
        </w:rPr>
        <w:t>und Rechtsbehelfsverfahren, einschließlich geographische Anschrift der Stellen, an die ein Verbraucher seine Beschwerden richten kann, worunter die Kontaktinformationen der Generaldirektion Wirtschaftsinspektion des FÖD Wirtschaft,</w:t>
      </w:r>
    </w:p>
    <w:p w14:paraId="3BF8A088" w14:textId="77777777" w:rsidR="00881814" w:rsidRPr="004676F5" w:rsidRDefault="00881814" w:rsidP="00881814">
      <w:pPr>
        <w:ind w:firstLine="708"/>
        <w:jc w:val="both"/>
        <w:rPr>
          <w:lang w:val="de-DE"/>
        </w:rPr>
      </w:pPr>
    </w:p>
    <w:p w14:paraId="4C335028" w14:textId="77777777" w:rsidR="00881814" w:rsidRPr="004676F5" w:rsidRDefault="00881814" w:rsidP="00881814">
      <w:pPr>
        <w:ind w:firstLine="708"/>
        <w:jc w:val="both"/>
        <w:rPr>
          <w:lang w:val="de-DE"/>
        </w:rPr>
      </w:pPr>
      <w:r w:rsidRPr="004676F5">
        <w:rPr>
          <w:lang w:val="de-DE"/>
        </w:rPr>
        <w:t>15. gegebenenfalls weitere Vertragsbedingungen.</w:t>
      </w:r>
    </w:p>
    <w:p w14:paraId="6796E4B2" w14:textId="77777777" w:rsidR="00881814" w:rsidRPr="004676F5" w:rsidRDefault="00881814" w:rsidP="00881814">
      <w:pPr>
        <w:ind w:firstLine="708"/>
        <w:jc w:val="both"/>
        <w:rPr>
          <w:lang w:val="de-DE"/>
        </w:rPr>
      </w:pPr>
    </w:p>
    <w:p w14:paraId="22D07C86" w14:textId="6B67F078" w:rsidR="00881814" w:rsidRPr="004676F5" w:rsidRDefault="00881814" w:rsidP="00881814">
      <w:pPr>
        <w:ind w:firstLine="708"/>
        <w:jc w:val="both"/>
        <w:rPr>
          <w:lang w:val="de-DE"/>
        </w:rPr>
      </w:pPr>
      <w:r w:rsidRPr="004676F5">
        <w:rPr>
          <w:lang w:val="de-DE"/>
        </w:rPr>
        <w:t xml:space="preserve">§ 4 </w:t>
      </w:r>
      <w:r w:rsidR="005B7A5C" w:rsidRPr="004676F5">
        <w:rPr>
          <w:lang w:val="de-DE"/>
        </w:rPr>
        <w:t>- </w:t>
      </w:r>
      <w:r w:rsidRPr="004676F5">
        <w:rPr>
          <w:lang w:val="de-DE"/>
        </w:rPr>
        <w:t>Neben den in § 2 erwähnten Informationen ist bei Überziehungsmöglichkeiten, bei denen der Kredit nach Aufforderung des Kreditgebers oder binnen höchstens drei Monaten zurückzuzahlen ist, ist in klarer, prägnanter Form Folgendes anzugeben:</w:t>
      </w:r>
    </w:p>
    <w:p w14:paraId="3345DDD3" w14:textId="77777777" w:rsidR="00881814" w:rsidRPr="004676F5" w:rsidRDefault="00881814" w:rsidP="00881814">
      <w:pPr>
        <w:ind w:firstLine="708"/>
        <w:jc w:val="both"/>
        <w:rPr>
          <w:lang w:val="de-DE"/>
        </w:rPr>
      </w:pPr>
    </w:p>
    <w:p w14:paraId="1A5BA386" w14:textId="77777777" w:rsidR="00881814" w:rsidRPr="004676F5" w:rsidRDefault="00881814" w:rsidP="00881814">
      <w:pPr>
        <w:ind w:firstLine="708"/>
        <w:jc w:val="both"/>
        <w:rPr>
          <w:lang w:val="de-DE"/>
        </w:rPr>
      </w:pPr>
      <w:r w:rsidRPr="004676F5">
        <w:rPr>
          <w:lang w:val="de-DE"/>
        </w:rPr>
        <w:t>1. Hinweis, dass der Verbraucher jederzeit zur Rückzahlung des Kreditbetrags aufgefordert werden kann,</w:t>
      </w:r>
    </w:p>
    <w:p w14:paraId="489D042D" w14:textId="77777777" w:rsidR="00881814" w:rsidRPr="004676F5" w:rsidRDefault="00881814" w:rsidP="00881814">
      <w:pPr>
        <w:ind w:firstLine="708"/>
        <w:jc w:val="both"/>
        <w:rPr>
          <w:lang w:val="de-DE"/>
        </w:rPr>
      </w:pPr>
    </w:p>
    <w:p w14:paraId="4AB60A8A" w14:textId="77777777" w:rsidR="00881814" w:rsidRPr="004676F5" w:rsidRDefault="00881814" w:rsidP="00881814">
      <w:pPr>
        <w:ind w:firstLine="708"/>
        <w:jc w:val="both"/>
        <w:rPr>
          <w:lang w:val="de-DE"/>
        </w:rPr>
      </w:pPr>
      <w:r w:rsidRPr="004676F5">
        <w:rPr>
          <w:lang w:val="de-DE"/>
        </w:rPr>
        <w:lastRenderedPageBreak/>
        <w:t>2. Angaben zu den ab Abschluss des Kreditvertrags anwendbaren Entgelten und Bedingungen, unter denen diese Entgelte gemäß Artikel VII.86 geändert werden können.</w:t>
      </w:r>
    </w:p>
    <w:p w14:paraId="44BF21F4" w14:textId="77777777" w:rsidR="00881814" w:rsidRPr="004676F5" w:rsidRDefault="00881814" w:rsidP="00881814">
      <w:pPr>
        <w:ind w:firstLine="708"/>
        <w:jc w:val="both"/>
        <w:rPr>
          <w:lang w:val="de-DE"/>
        </w:rPr>
      </w:pPr>
    </w:p>
    <w:p w14:paraId="738674F7" w14:textId="2B32D435" w:rsidR="00881814" w:rsidRPr="004676F5" w:rsidRDefault="00881814" w:rsidP="00881814">
      <w:pPr>
        <w:ind w:firstLine="708"/>
        <w:jc w:val="both"/>
        <w:rPr>
          <w:lang w:val="de-DE"/>
        </w:rPr>
      </w:pPr>
      <w:r w:rsidRPr="004676F5">
        <w:rPr>
          <w:lang w:val="de-DE"/>
        </w:rPr>
        <w:t>§ 5 </w:t>
      </w:r>
      <w:r w:rsidR="005B7A5C" w:rsidRPr="004676F5">
        <w:rPr>
          <w:lang w:val="de-DE"/>
        </w:rPr>
        <w:t>- </w:t>
      </w:r>
      <w:r w:rsidRPr="004676F5">
        <w:rPr>
          <w:lang w:val="de-DE"/>
        </w:rPr>
        <w:t>In Abweichung von § 1 wird bei Abschluss eines Kreditvertrags durch fern</w:t>
      </w:r>
      <w:r w:rsidRPr="004676F5">
        <w:rPr>
          <w:lang w:val="de-DE"/>
        </w:rPr>
        <w:softHyphen/>
        <w:t>mündliche Kommunikation auf Ersuchen des Verbrauchers eine Ausfertigung des vom Kreditgeber unterzeichneten Kreditvertrags unverzüglich dem Verbraucher übermittelt.</w:t>
      </w:r>
    </w:p>
    <w:p w14:paraId="08421415" w14:textId="77777777" w:rsidR="00881814" w:rsidRPr="004676F5" w:rsidRDefault="00881814" w:rsidP="00881814">
      <w:pPr>
        <w:ind w:firstLine="708"/>
        <w:jc w:val="both"/>
        <w:rPr>
          <w:lang w:val="de-DE"/>
        </w:rPr>
      </w:pPr>
    </w:p>
    <w:p w14:paraId="6A090FEA" w14:textId="2107ED1D" w:rsidR="00881814" w:rsidRPr="004676F5" w:rsidRDefault="00881814" w:rsidP="00881814">
      <w:pPr>
        <w:ind w:firstLine="708"/>
        <w:jc w:val="both"/>
        <w:rPr>
          <w:lang w:val="de-DE"/>
        </w:rPr>
      </w:pPr>
      <w:r w:rsidRPr="004676F5">
        <w:rPr>
          <w:lang w:val="de-DE"/>
        </w:rPr>
        <w:t>§ 6 </w:t>
      </w:r>
      <w:r w:rsidR="005B7A5C" w:rsidRPr="004676F5">
        <w:rPr>
          <w:lang w:val="de-DE"/>
        </w:rPr>
        <w:t>- </w:t>
      </w:r>
      <w:r w:rsidRPr="004676F5">
        <w:rPr>
          <w:lang w:val="de-DE"/>
        </w:rPr>
        <w:t>Die Gründe, aus denen die Rückzahlung eines Kreditvertrags vorzeitig verlangt oder ein Kreditvertrag gekündigt werden kann, müssen in einer separaten Klausel im Kreditvertrag aufgenommen werden.</w:t>
      </w:r>
    </w:p>
    <w:p w14:paraId="78B47D3D" w14:textId="77777777" w:rsidR="00173FDB" w:rsidRPr="004676F5" w:rsidRDefault="00173FDB" w:rsidP="00881814">
      <w:pPr>
        <w:ind w:firstLine="708"/>
        <w:jc w:val="both"/>
        <w:rPr>
          <w:lang w:val="de-DE"/>
        </w:rPr>
      </w:pPr>
    </w:p>
    <w:p w14:paraId="3F358951" w14:textId="71C33207" w:rsidR="00173FDB" w:rsidRPr="004676F5" w:rsidRDefault="00173FDB" w:rsidP="00173FDB">
      <w:pPr>
        <w:jc w:val="both"/>
        <w:rPr>
          <w:i/>
          <w:lang w:val="de-DE"/>
        </w:rPr>
      </w:pPr>
      <w:r w:rsidRPr="004676F5">
        <w:rPr>
          <w:i/>
          <w:lang w:val="de-DE"/>
        </w:rPr>
        <w:t>[</w:t>
      </w:r>
      <w:r w:rsidR="00BE0A56" w:rsidRPr="004676F5">
        <w:rPr>
          <w:i/>
          <w:lang w:val="de-DE"/>
        </w:rPr>
        <w:t>Art. </w:t>
      </w:r>
      <w:r w:rsidRPr="004676F5">
        <w:rPr>
          <w:i/>
          <w:lang w:val="de-DE"/>
        </w:rPr>
        <w:t xml:space="preserve">VII.78 § 1 Abs. 1 abgeändert durch </w:t>
      </w:r>
      <w:r w:rsidR="00BE0A56" w:rsidRPr="004676F5">
        <w:rPr>
          <w:i/>
          <w:lang w:val="de-DE"/>
        </w:rPr>
        <w:t>Art. </w:t>
      </w:r>
      <w:r w:rsidRPr="004676F5">
        <w:rPr>
          <w:i/>
          <w:lang w:val="de-DE"/>
        </w:rPr>
        <w:t>17 Nr. 1</w:t>
      </w:r>
      <w:r w:rsidRPr="004676F5">
        <w:rPr>
          <w:i/>
          <w:iCs/>
          <w:lang w:val="de-DE"/>
        </w:rPr>
        <w:t xml:space="preserve"> </w:t>
      </w:r>
      <w:r w:rsidRPr="004676F5">
        <w:rPr>
          <w:i/>
          <w:lang w:val="de-DE"/>
        </w:rPr>
        <w:t>des G. vom 26. Oktober 2015 (B.S. vom 30. Oktober 2015)</w:t>
      </w:r>
      <w:r w:rsidR="00054D68" w:rsidRPr="004676F5">
        <w:rPr>
          <w:i/>
          <w:lang w:val="de-DE"/>
        </w:rPr>
        <w:t xml:space="preserve"> und Art. 12</w:t>
      </w:r>
      <w:r w:rsidR="00054D68" w:rsidRPr="004676F5">
        <w:rPr>
          <w:i/>
          <w:iCs/>
          <w:lang w:val="de-DE"/>
        </w:rPr>
        <w:t xml:space="preserve"> des G. vom 20. September 2018 (B.S. vom 10. Oktober 2018)</w:t>
      </w:r>
      <w:r w:rsidRPr="004676F5">
        <w:rPr>
          <w:i/>
          <w:lang w:val="de-DE"/>
        </w:rPr>
        <w:t>;</w:t>
      </w:r>
      <w:r w:rsidR="00530E56" w:rsidRPr="004676F5">
        <w:rPr>
          <w:i/>
          <w:lang w:val="de-DE"/>
        </w:rPr>
        <w:t xml:space="preserve"> § 1</w:t>
      </w:r>
      <w:r w:rsidRPr="004676F5">
        <w:rPr>
          <w:i/>
          <w:lang w:val="de-DE"/>
        </w:rPr>
        <w:t xml:space="preserve"> Abs. 4 eingefügt durch </w:t>
      </w:r>
      <w:r w:rsidR="00BE0A56" w:rsidRPr="004676F5">
        <w:rPr>
          <w:i/>
          <w:lang w:val="de-DE"/>
        </w:rPr>
        <w:t>Art. </w:t>
      </w:r>
      <w:r w:rsidRPr="004676F5">
        <w:rPr>
          <w:i/>
          <w:lang w:val="de-DE"/>
        </w:rPr>
        <w:t>17 Nr. 2</w:t>
      </w:r>
      <w:r w:rsidRPr="004676F5">
        <w:rPr>
          <w:i/>
          <w:iCs/>
          <w:lang w:val="de-DE"/>
        </w:rPr>
        <w:t xml:space="preserve"> </w:t>
      </w:r>
      <w:r w:rsidRPr="004676F5">
        <w:rPr>
          <w:i/>
          <w:lang w:val="de-DE"/>
        </w:rPr>
        <w:t>des G. vom 26. Oktober 2015 (B.S. vom 30. Oktober 2015)</w:t>
      </w:r>
      <w:r w:rsidR="001D682D" w:rsidRPr="004676F5">
        <w:rPr>
          <w:i/>
          <w:lang w:val="de-DE"/>
        </w:rPr>
        <w:t>;</w:t>
      </w:r>
      <w:r w:rsidR="00DA3B7E" w:rsidRPr="004676F5">
        <w:rPr>
          <w:i/>
          <w:lang w:val="de-DE"/>
        </w:rPr>
        <w:t xml:space="preserve"> § 1 Abs. 4 erster Gedankenstrich abgeändert durch </w:t>
      </w:r>
      <w:r w:rsidR="00BE0A56" w:rsidRPr="004676F5">
        <w:rPr>
          <w:i/>
          <w:lang w:val="de-DE"/>
        </w:rPr>
        <w:t>Art. </w:t>
      </w:r>
      <w:r w:rsidR="00DA3B7E" w:rsidRPr="004676F5">
        <w:rPr>
          <w:i/>
          <w:lang w:val="de-DE"/>
        </w:rPr>
        <w:t>29 des G. vom 21. Juli 2016 (B.S. vom 28. September 2016);</w:t>
      </w:r>
      <w:r w:rsidR="001D682D" w:rsidRPr="004676F5">
        <w:rPr>
          <w:i/>
          <w:lang w:val="de-DE"/>
        </w:rPr>
        <w:t xml:space="preserve"> </w:t>
      </w:r>
      <w:r w:rsidR="00402892" w:rsidRPr="004676F5">
        <w:rPr>
          <w:i/>
          <w:lang w:val="de-DE"/>
        </w:rPr>
        <w:t xml:space="preserve">§ 1 Abs. 4 zweiter Gedankenstrich ersetzt durch </w:t>
      </w:r>
      <w:r w:rsidR="00BE0A56" w:rsidRPr="004676F5">
        <w:rPr>
          <w:i/>
          <w:lang w:val="de-DE"/>
        </w:rPr>
        <w:t>Art. </w:t>
      </w:r>
      <w:r w:rsidR="00402892" w:rsidRPr="004676F5">
        <w:rPr>
          <w:i/>
          <w:lang w:val="de-DE"/>
        </w:rPr>
        <w:t xml:space="preserve">9 des G. vom 18. April 2017 (B.S. vom 24. April 2017); </w:t>
      </w:r>
      <w:r w:rsidR="001D682D" w:rsidRPr="004676F5">
        <w:rPr>
          <w:i/>
          <w:lang w:val="de-DE"/>
        </w:rPr>
        <w:t xml:space="preserve">§ 3 einziger Absatz Nr. 3 abgeändert durch </w:t>
      </w:r>
      <w:r w:rsidR="00BE0A56" w:rsidRPr="004676F5">
        <w:rPr>
          <w:i/>
          <w:lang w:val="de-DE"/>
        </w:rPr>
        <w:t>Art. </w:t>
      </w:r>
      <w:r w:rsidR="001D682D" w:rsidRPr="004676F5">
        <w:rPr>
          <w:i/>
          <w:lang w:val="de-DE"/>
        </w:rPr>
        <w:t>8 des G. vom 22. April 2016 (B.S. vom 4. Mai 2016)</w:t>
      </w:r>
      <w:r w:rsidRPr="004676F5">
        <w:rPr>
          <w:i/>
          <w:lang w:val="de-DE"/>
        </w:rPr>
        <w:t>]</w:t>
      </w:r>
    </w:p>
    <w:p w14:paraId="03E1C185" w14:textId="77777777" w:rsidR="00881814" w:rsidRPr="004676F5" w:rsidRDefault="00881814" w:rsidP="00881814">
      <w:pPr>
        <w:jc w:val="both"/>
        <w:rPr>
          <w:lang w:val="de-DE"/>
        </w:rPr>
      </w:pPr>
    </w:p>
    <w:p w14:paraId="06C9BDAC" w14:textId="77777777" w:rsidR="003D6A5C" w:rsidRPr="004676F5" w:rsidRDefault="003D6A5C" w:rsidP="00881814">
      <w:pPr>
        <w:jc w:val="center"/>
        <w:rPr>
          <w:lang w:val="de-DE"/>
        </w:rPr>
      </w:pPr>
    </w:p>
    <w:p w14:paraId="047E255D" w14:textId="17D36C40" w:rsidR="00881814" w:rsidRPr="004676F5" w:rsidRDefault="00881814" w:rsidP="00881814">
      <w:pPr>
        <w:jc w:val="center"/>
        <w:rPr>
          <w:lang w:val="de-DE"/>
        </w:rPr>
      </w:pPr>
      <w:r w:rsidRPr="004676F5">
        <w:rPr>
          <w:lang w:val="de-DE"/>
        </w:rPr>
        <w:t>Unterabschnitt 8 </w:t>
      </w:r>
      <w:r w:rsidR="005B7A5C" w:rsidRPr="004676F5">
        <w:rPr>
          <w:lang w:val="de-DE"/>
        </w:rPr>
        <w:t>- </w:t>
      </w:r>
      <w:r w:rsidRPr="004676F5">
        <w:rPr>
          <w:lang w:val="de-DE"/>
        </w:rPr>
        <w:t>Kreditverweigerung</w:t>
      </w:r>
    </w:p>
    <w:p w14:paraId="766C04E6" w14:textId="77777777" w:rsidR="00881814" w:rsidRPr="004676F5" w:rsidRDefault="00881814" w:rsidP="00881814">
      <w:pPr>
        <w:ind w:firstLine="708"/>
        <w:jc w:val="both"/>
        <w:rPr>
          <w:lang w:val="de-DE"/>
        </w:rPr>
      </w:pPr>
    </w:p>
    <w:p w14:paraId="2904DA86" w14:textId="77777777" w:rsidR="003D6A5C" w:rsidRPr="004676F5" w:rsidRDefault="003D6A5C" w:rsidP="00881814">
      <w:pPr>
        <w:ind w:firstLine="708"/>
        <w:jc w:val="both"/>
        <w:rPr>
          <w:lang w:val="de-DE"/>
        </w:rPr>
      </w:pPr>
    </w:p>
    <w:p w14:paraId="3A4020F8" w14:textId="23E1DDC0" w:rsidR="00881814" w:rsidRPr="004676F5" w:rsidRDefault="00BE0A56" w:rsidP="00881814">
      <w:pPr>
        <w:ind w:firstLine="708"/>
        <w:jc w:val="both"/>
        <w:rPr>
          <w:lang w:val="de-DE"/>
        </w:rPr>
      </w:pPr>
      <w:r w:rsidRPr="004676F5">
        <w:rPr>
          <w:b/>
          <w:lang w:val="de-DE"/>
        </w:rPr>
        <w:t>Art. </w:t>
      </w:r>
      <w:r w:rsidR="00881814" w:rsidRPr="004676F5">
        <w:rPr>
          <w:b/>
          <w:lang w:val="de-DE"/>
        </w:rPr>
        <w:t>VII.79</w:t>
      </w:r>
      <w:r w:rsidR="00881814" w:rsidRPr="004676F5">
        <w:rPr>
          <w:lang w:val="de-DE"/>
        </w:rPr>
        <w:t> </w:t>
      </w:r>
      <w:r w:rsidR="005B7A5C" w:rsidRPr="004676F5">
        <w:rPr>
          <w:lang w:val="de-DE"/>
        </w:rPr>
        <w:t>- </w:t>
      </w:r>
      <w:r w:rsidR="00881814" w:rsidRPr="004676F5">
        <w:rPr>
          <w:lang w:val="de-DE"/>
        </w:rPr>
        <w:t xml:space="preserve">Wird ein Kredit verweigert, teilt der Kreditgeber dem Verbraucher unverzüglich und unentgeltlich das Ergebnis der Datenabfrage, die Identität und Anschrift des für die Verarbeitung der von ihm abgefragten Dateien Verantwortlichen, gegebenenfalls einschließlich der Identität und Anschrift des konsultierten Kreditversicherers, mit, an den der Verbraucher sich gemäß </w:t>
      </w:r>
      <w:r w:rsidR="000A6E2C" w:rsidRPr="004676F5">
        <w:rPr>
          <w:lang w:val="de-DE"/>
        </w:rPr>
        <w:t>[</w:t>
      </w:r>
      <w:r w:rsidR="00881814" w:rsidRPr="004676F5">
        <w:rPr>
          <w:lang w:val="de-DE"/>
        </w:rPr>
        <w:t>Artikel VII.12</w:t>
      </w:r>
      <w:r w:rsidR="000A6E2C" w:rsidRPr="004676F5">
        <w:rPr>
          <w:lang w:val="de-DE"/>
        </w:rPr>
        <w:t>2]</w:t>
      </w:r>
      <w:r w:rsidR="00881814" w:rsidRPr="004676F5">
        <w:rPr>
          <w:lang w:val="de-DE"/>
        </w:rPr>
        <w:t xml:space="preserve"> wenden kann.</w:t>
      </w:r>
      <w:r w:rsidR="001D682D" w:rsidRPr="004676F5">
        <w:rPr>
          <w:lang w:val="de-DE"/>
        </w:rPr>
        <w:t xml:space="preserve"> [Gegebenenfalls gibt er ebenfalls an, dass die Verweigerung auf einer automatisierten Verarbeitung von Daten beruht.]</w:t>
      </w:r>
    </w:p>
    <w:p w14:paraId="493D9F36" w14:textId="77777777" w:rsidR="00881814" w:rsidRPr="004676F5" w:rsidRDefault="00881814" w:rsidP="00881814">
      <w:pPr>
        <w:ind w:firstLine="708"/>
        <w:jc w:val="both"/>
        <w:rPr>
          <w:lang w:val="de-DE"/>
        </w:rPr>
      </w:pPr>
    </w:p>
    <w:p w14:paraId="5C11C1A4" w14:textId="77777777" w:rsidR="00881814" w:rsidRPr="004676F5" w:rsidRDefault="00881814" w:rsidP="00881814">
      <w:pPr>
        <w:ind w:firstLine="708"/>
        <w:jc w:val="both"/>
        <w:rPr>
          <w:lang w:val="de-DE"/>
        </w:rPr>
      </w:pPr>
      <w:r w:rsidRPr="004676F5">
        <w:rPr>
          <w:lang w:val="de-DE"/>
        </w:rPr>
        <w:t xml:space="preserve">Die in Absatz 1 erwähnte Mitteilung ist nicht erforderlich, wenn sie durch </w:t>
      </w:r>
      <w:r w:rsidR="00A54A42" w:rsidRPr="004676F5">
        <w:rPr>
          <w:lang w:val="de-DE"/>
        </w:rPr>
        <w:t>[Artikel 19 § 2 Absatz 2 und Buch II Titel 3 Kapitel 2 des Gesetzes vom 18. September 2017 zur Verhinderung von Geldwäsche und Terrorismusfinanzierung und zur Beschränkung der Nutzung von Bargeld]</w:t>
      </w:r>
      <w:r w:rsidRPr="004676F5">
        <w:rPr>
          <w:lang w:val="de-DE"/>
        </w:rPr>
        <w:t xml:space="preserve"> oder durch andere einschlägige Rechtsvorschriften in Sachen öffentliche Ordnung oder öffentliche Sicherheit untersagt ist.</w:t>
      </w:r>
    </w:p>
    <w:p w14:paraId="303EA76A" w14:textId="77777777" w:rsidR="00881814" w:rsidRPr="004676F5" w:rsidRDefault="00881814" w:rsidP="00881814">
      <w:pPr>
        <w:ind w:firstLine="708"/>
        <w:jc w:val="both"/>
        <w:rPr>
          <w:lang w:val="de-DE"/>
        </w:rPr>
      </w:pPr>
    </w:p>
    <w:p w14:paraId="6EA96A7E" w14:textId="77777777" w:rsidR="00881814" w:rsidRPr="004676F5" w:rsidRDefault="00881814" w:rsidP="00881814">
      <w:pPr>
        <w:ind w:firstLine="708"/>
        <w:jc w:val="both"/>
        <w:rPr>
          <w:lang w:val="de-DE"/>
        </w:rPr>
      </w:pPr>
      <w:r w:rsidRPr="004676F5">
        <w:rPr>
          <w:lang w:val="de-DE"/>
        </w:rPr>
        <w:t>Wird der Kredit verweigert, kann vom Verbraucher keinerlei Entschädigung gefordert werden, die vom Kreditgeber gezahlten Kosten für die Abfrage der Zentrale ausgenommen.</w:t>
      </w:r>
    </w:p>
    <w:p w14:paraId="74674D92" w14:textId="77777777" w:rsidR="000A6E2C" w:rsidRPr="004676F5" w:rsidRDefault="000A6E2C" w:rsidP="00881814">
      <w:pPr>
        <w:ind w:firstLine="708"/>
        <w:jc w:val="both"/>
        <w:rPr>
          <w:lang w:val="de-DE"/>
        </w:rPr>
      </w:pPr>
    </w:p>
    <w:p w14:paraId="3A17C629" w14:textId="3C045112" w:rsidR="000A6E2C" w:rsidRPr="004676F5" w:rsidRDefault="000A6E2C" w:rsidP="000A6E2C">
      <w:pPr>
        <w:jc w:val="both"/>
        <w:rPr>
          <w:i/>
          <w:lang w:val="de-DE"/>
        </w:rPr>
      </w:pPr>
      <w:r w:rsidRPr="004676F5">
        <w:rPr>
          <w:i/>
          <w:lang w:val="de-DE"/>
        </w:rPr>
        <w:t>[</w:t>
      </w:r>
      <w:r w:rsidR="00BE0A56" w:rsidRPr="004676F5">
        <w:rPr>
          <w:i/>
          <w:lang w:val="de-DE"/>
        </w:rPr>
        <w:t>Art. </w:t>
      </w:r>
      <w:r w:rsidRPr="004676F5">
        <w:rPr>
          <w:i/>
          <w:lang w:val="de-DE"/>
        </w:rPr>
        <w:t xml:space="preserve">VII.79 Abs. 1 abgeändert durch </w:t>
      </w:r>
      <w:r w:rsidR="00BE0A56" w:rsidRPr="004676F5">
        <w:rPr>
          <w:i/>
          <w:lang w:val="de-DE"/>
        </w:rPr>
        <w:t>Art. </w:t>
      </w:r>
      <w:r w:rsidRPr="004676F5">
        <w:rPr>
          <w:i/>
          <w:lang w:val="de-DE"/>
        </w:rPr>
        <w:t>18</w:t>
      </w:r>
      <w:r w:rsidR="003F32BF" w:rsidRPr="004676F5">
        <w:rPr>
          <w:i/>
          <w:iCs/>
          <w:lang w:val="de-DE"/>
        </w:rPr>
        <w:t xml:space="preserve"> </w:t>
      </w:r>
      <w:r w:rsidR="003F32BF" w:rsidRPr="004676F5">
        <w:rPr>
          <w:i/>
          <w:lang w:val="de-DE"/>
        </w:rPr>
        <w:t>des G. vom 26. Oktober 2015 (B.S. vom 30. Oktober 2015)</w:t>
      </w:r>
      <w:r w:rsidR="001D682D" w:rsidRPr="004676F5">
        <w:rPr>
          <w:i/>
          <w:lang w:val="de-DE"/>
        </w:rPr>
        <w:t xml:space="preserve"> und </w:t>
      </w:r>
      <w:r w:rsidR="00BE0A56" w:rsidRPr="004676F5">
        <w:rPr>
          <w:i/>
          <w:lang w:val="de-DE"/>
        </w:rPr>
        <w:t>Art. </w:t>
      </w:r>
      <w:r w:rsidR="001D682D" w:rsidRPr="004676F5">
        <w:rPr>
          <w:i/>
          <w:lang w:val="de-DE"/>
        </w:rPr>
        <w:t>9 des G. vom 22. April 2016 (B.S. vom 4. Mai 2016)</w:t>
      </w:r>
      <w:r w:rsidR="00A54A42" w:rsidRPr="004676F5">
        <w:rPr>
          <w:i/>
          <w:lang w:val="de-DE"/>
        </w:rPr>
        <w:t xml:space="preserve">; Abs. 2 abgeändert durch </w:t>
      </w:r>
      <w:r w:rsidR="00BE0A56" w:rsidRPr="004676F5">
        <w:rPr>
          <w:i/>
          <w:lang w:val="de-DE"/>
        </w:rPr>
        <w:t>Art. </w:t>
      </w:r>
      <w:r w:rsidR="00A54A42" w:rsidRPr="004676F5">
        <w:rPr>
          <w:i/>
          <w:lang w:val="de-DE"/>
        </w:rPr>
        <w:t>181</w:t>
      </w:r>
      <w:r w:rsidR="00A54A42" w:rsidRPr="004676F5">
        <w:rPr>
          <w:i/>
          <w:iCs/>
          <w:color w:val="000000"/>
          <w:lang w:val="de-DE"/>
        </w:rPr>
        <w:t xml:space="preserve"> des G. vom 18. September 2017 (B.S. vom 6. Oktober 2017)</w:t>
      </w:r>
      <w:r w:rsidR="003F32BF" w:rsidRPr="004676F5">
        <w:rPr>
          <w:i/>
          <w:lang w:val="de-DE"/>
        </w:rPr>
        <w:t>]</w:t>
      </w:r>
    </w:p>
    <w:p w14:paraId="3D19F0EE" w14:textId="77777777" w:rsidR="00881814" w:rsidRPr="004676F5" w:rsidRDefault="00881814" w:rsidP="00881814">
      <w:pPr>
        <w:ind w:firstLine="708"/>
        <w:jc w:val="both"/>
        <w:rPr>
          <w:lang w:val="de-DE"/>
        </w:rPr>
      </w:pPr>
    </w:p>
    <w:p w14:paraId="273CB2BA" w14:textId="77777777" w:rsidR="003F32BF" w:rsidRPr="004676F5" w:rsidRDefault="003F32BF">
      <w:pPr>
        <w:rPr>
          <w:lang w:val="de-DE"/>
        </w:rPr>
      </w:pPr>
    </w:p>
    <w:p w14:paraId="5EA1625C" w14:textId="719051BF" w:rsidR="00881814" w:rsidRPr="004676F5" w:rsidRDefault="00881814" w:rsidP="00881814">
      <w:pPr>
        <w:jc w:val="center"/>
        <w:rPr>
          <w:lang w:val="de-DE"/>
        </w:rPr>
      </w:pPr>
      <w:r w:rsidRPr="004676F5">
        <w:rPr>
          <w:lang w:val="de-DE"/>
        </w:rPr>
        <w:t xml:space="preserve">Unterabschnitt 9 </w:t>
      </w:r>
      <w:r w:rsidR="005B7A5C" w:rsidRPr="004676F5">
        <w:rPr>
          <w:lang w:val="de-DE"/>
        </w:rPr>
        <w:t>- </w:t>
      </w:r>
      <w:r w:rsidRPr="004676F5">
        <w:rPr>
          <w:lang w:val="de-DE"/>
        </w:rPr>
        <w:t>Sonderbestimmungen in Bezug auf Leasing</w:t>
      </w:r>
    </w:p>
    <w:p w14:paraId="704746A0" w14:textId="77777777" w:rsidR="00881814" w:rsidRPr="004676F5" w:rsidRDefault="00881814" w:rsidP="00881814">
      <w:pPr>
        <w:ind w:firstLine="708"/>
        <w:jc w:val="both"/>
        <w:rPr>
          <w:lang w:val="de-DE"/>
        </w:rPr>
      </w:pPr>
    </w:p>
    <w:p w14:paraId="796D54D8" w14:textId="77777777" w:rsidR="003D6A5C" w:rsidRPr="004676F5" w:rsidRDefault="003D6A5C" w:rsidP="00881814">
      <w:pPr>
        <w:ind w:firstLine="708"/>
        <w:jc w:val="both"/>
        <w:rPr>
          <w:lang w:val="de-DE"/>
        </w:rPr>
      </w:pPr>
    </w:p>
    <w:p w14:paraId="725CD1E2" w14:textId="4B26F81E" w:rsidR="00881814" w:rsidRPr="004676F5" w:rsidRDefault="00BE0A56" w:rsidP="00881814">
      <w:pPr>
        <w:ind w:firstLine="708"/>
        <w:jc w:val="both"/>
        <w:rPr>
          <w:lang w:val="de-DE"/>
        </w:rPr>
      </w:pPr>
      <w:r w:rsidRPr="004676F5">
        <w:rPr>
          <w:b/>
          <w:lang w:val="de-DE"/>
        </w:rPr>
        <w:t>Art. </w:t>
      </w:r>
      <w:r w:rsidR="00881814" w:rsidRPr="004676F5">
        <w:rPr>
          <w:b/>
          <w:lang w:val="de-DE"/>
        </w:rPr>
        <w:t>VII.80</w:t>
      </w:r>
      <w:r w:rsidR="00881814" w:rsidRPr="004676F5">
        <w:rPr>
          <w:lang w:val="de-DE"/>
        </w:rPr>
        <w:t> </w:t>
      </w:r>
      <w:r w:rsidR="005B7A5C" w:rsidRPr="004676F5">
        <w:rPr>
          <w:lang w:val="de-DE"/>
        </w:rPr>
        <w:t>- </w:t>
      </w:r>
      <w:r w:rsidR="00881814" w:rsidRPr="004676F5">
        <w:rPr>
          <w:lang w:val="de-DE"/>
        </w:rPr>
        <w:t>Ein Leasingvertrag ist befristet. Die Eigentumsübertragung oder die Ausübung der Kaufoption beendet das Kreditgeschäft.</w:t>
      </w:r>
    </w:p>
    <w:p w14:paraId="6DECCF33" w14:textId="77777777" w:rsidR="00881814" w:rsidRPr="004676F5" w:rsidRDefault="00881814" w:rsidP="00881814">
      <w:pPr>
        <w:ind w:firstLine="708"/>
        <w:jc w:val="both"/>
        <w:rPr>
          <w:lang w:val="de-DE"/>
        </w:rPr>
      </w:pPr>
    </w:p>
    <w:p w14:paraId="125B2561" w14:textId="77777777" w:rsidR="00881814" w:rsidRPr="004676F5" w:rsidRDefault="00881814" w:rsidP="00881814">
      <w:pPr>
        <w:ind w:firstLine="708"/>
        <w:jc w:val="both"/>
        <w:rPr>
          <w:lang w:val="de-DE"/>
        </w:rPr>
      </w:pPr>
      <w:r w:rsidRPr="004676F5">
        <w:rPr>
          <w:lang w:val="de-DE"/>
        </w:rPr>
        <w:t xml:space="preserve">Der Kreditgeber setzt den Verbraucher einen Monat vor dem letzten zu diesem Zweck vereinbarten Datum </w:t>
      </w:r>
      <w:r w:rsidR="001D682D" w:rsidRPr="004676F5">
        <w:rPr>
          <w:lang w:val="de-DE"/>
        </w:rPr>
        <w:t>[</w:t>
      </w:r>
      <w:r w:rsidRPr="004676F5">
        <w:rPr>
          <w:lang w:val="de-DE"/>
        </w:rPr>
        <w:t xml:space="preserve">per </w:t>
      </w:r>
      <w:r w:rsidR="001D682D" w:rsidRPr="004676F5">
        <w:rPr>
          <w:lang w:val="de-DE"/>
        </w:rPr>
        <w:t xml:space="preserve">Einschreibesendung] </w:t>
      </w:r>
      <w:r w:rsidRPr="004676F5">
        <w:rPr>
          <w:lang w:val="de-DE"/>
        </w:rPr>
        <w:t xml:space="preserve">davon in Kenntnis, dass er die Möglichkeit zur </w:t>
      </w:r>
      <w:r w:rsidRPr="004676F5">
        <w:rPr>
          <w:lang w:val="de-DE"/>
        </w:rPr>
        <w:lastRenderedPageBreak/>
        <w:t>Ausübung der Kaufoption hat. Findet die Ausübung der Kaufoption oder Eigentums</w:t>
      </w:r>
      <w:r w:rsidRPr="004676F5">
        <w:rPr>
          <w:lang w:val="de-DE"/>
        </w:rPr>
        <w:softHyphen/>
        <w:t>übertragung nicht statt, kann der Leasingvertrag nur durch Abschluss eines Mietvertrags in ein Mietverhältnis umgewandelt werden.</w:t>
      </w:r>
    </w:p>
    <w:p w14:paraId="4DB5B86E" w14:textId="77777777" w:rsidR="001D682D" w:rsidRPr="004676F5" w:rsidRDefault="001D682D" w:rsidP="00881814">
      <w:pPr>
        <w:ind w:firstLine="708"/>
        <w:jc w:val="both"/>
        <w:rPr>
          <w:lang w:val="de-DE"/>
        </w:rPr>
      </w:pPr>
    </w:p>
    <w:p w14:paraId="4F7124A8" w14:textId="23F7B44B" w:rsidR="001D682D" w:rsidRPr="004676F5" w:rsidRDefault="001D682D" w:rsidP="001D682D">
      <w:pPr>
        <w:jc w:val="both"/>
        <w:rPr>
          <w:i/>
          <w:lang w:val="de-DE"/>
        </w:rPr>
      </w:pPr>
      <w:r w:rsidRPr="004676F5">
        <w:rPr>
          <w:i/>
          <w:lang w:val="de-DE"/>
        </w:rPr>
        <w:t>[</w:t>
      </w:r>
      <w:r w:rsidR="00BE0A56" w:rsidRPr="004676F5">
        <w:rPr>
          <w:i/>
          <w:lang w:val="de-DE"/>
        </w:rPr>
        <w:t>Art. </w:t>
      </w:r>
      <w:r w:rsidRPr="004676F5">
        <w:rPr>
          <w:i/>
          <w:lang w:val="de-DE"/>
        </w:rPr>
        <w:t xml:space="preserve">VII.80 Abs. 2 abgeändert durch </w:t>
      </w:r>
      <w:r w:rsidR="00BE0A56" w:rsidRPr="004676F5">
        <w:rPr>
          <w:i/>
          <w:lang w:val="de-DE"/>
        </w:rPr>
        <w:t>Art. </w:t>
      </w:r>
      <w:r w:rsidRPr="004676F5">
        <w:rPr>
          <w:i/>
          <w:lang w:val="de-DE"/>
        </w:rPr>
        <w:t>10 des G. vom 22. April 2016 (B.S. vom 4. Mai 2016)]</w:t>
      </w:r>
    </w:p>
    <w:p w14:paraId="429832EC" w14:textId="77777777" w:rsidR="00881814" w:rsidRPr="004676F5" w:rsidRDefault="00881814" w:rsidP="00881814">
      <w:pPr>
        <w:ind w:firstLine="708"/>
        <w:jc w:val="both"/>
        <w:rPr>
          <w:lang w:val="de-DE"/>
        </w:rPr>
      </w:pPr>
    </w:p>
    <w:p w14:paraId="63E6652B" w14:textId="77777777" w:rsidR="003D6A5C" w:rsidRPr="004676F5" w:rsidRDefault="003D6A5C" w:rsidP="00881814">
      <w:pPr>
        <w:ind w:firstLine="708"/>
        <w:jc w:val="both"/>
        <w:rPr>
          <w:lang w:val="de-DE"/>
        </w:rPr>
      </w:pPr>
    </w:p>
    <w:p w14:paraId="18C40FDF" w14:textId="39BA1B5E" w:rsidR="00881814" w:rsidRPr="004676F5" w:rsidRDefault="00BE0A56" w:rsidP="00881814">
      <w:pPr>
        <w:ind w:firstLine="708"/>
        <w:jc w:val="both"/>
        <w:rPr>
          <w:lang w:val="de-DE"/>
        </w:rPr>
      </w:pPr>
      <w:r w:rsidRPr="004676F5">
        <w:rPr>
          <w:b/>
          <w:lang w:val="de-DE"/>
        </w:rPr>
        <w:t>Art. </w:t>
      </w:r>
      <w:r w:rsidR="00881814" w:rsidRPr="004676F5">
        <w:rPr>
          <w:b/>
          <w:lang w:val="de-DE"/>
        </w:rPr>
        <w:t>VII.81</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In Bezug auf Leasing ist der Kreditbetrag der Barzahlungspreis des zum Leasing angebotenen beweglichen Sachguts abzüglich des Betrags der Mehrwertsteuer. Werden zusätzliche Dienstleistungen zur Finanzierung angeboten, ist ihr Preis abzüglich des Betrags der Mehrwertsteuer und unbeschadet der Anwendung von Artikel VII.87 auch im Kreditbetrag enthalten. In diesem Fall ist der Preis der Bestandteile des Kreditvertrags im Vertrag angegeben.</w:t>
      </w:r>
    </w:p>
    <w:p w14:paraId="34A18B0B" w14:textId="77777777" w:rsidR="00881814" w:rsidRPr="004676F5" w:rsidRDefault="00881814" w:rsidP="00881814">
      <w:pPr>
        <w:ind w:firstLine="708"/>
        <w:jc w:val="both"/>
        <w:rPr>
          <w:lang w:val="de-DE"/>
        </w:rPr>
      </w:pPr>
    </w:p>
    <w:p w14:paraId="34600534" w14:textId="4EE5FFB7"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Sind im Leasingvertrag ein oder mehrere Zeitpunkte vorgesehen, zu denen eine Ausübung der Kaufoption möglich ist, muss im Kreditvertrag jeweils der entsprechende Restwert angegeben werden.</w:t>
      </w:r>
    </w:p>
    <w:p w14:paraId="62B47E6B" w14:textId="77777777" w:rsidR="00881814" w:rsidRPr="004676F5" w:rsidRDefault="00881814" w:rsidP="00881814">
      <w:pPr>
        <w:ind w:firstLine="708"/>
        <w:jc w:val="both"/>
        <w:rPr>
          <w:lang w:val="de-DE"/>
        </w:rPr>
      </w:pPr>
    </w:p>
    <w:p w14:paraId="4162C99B" w14:textId="77777777" w:rsidR="00881814" w:rsidRPr="004676F5" w:rsidRDefault="00881814" w:rsidP="00881814">
      <w:pPr>
        <w:ind w:firstLine="708"/>
        <w:jc w:val="both"/>
        <w:rPr>
          <w:lang w:val="de-DE"/>
        </w:rPr>
      </w:pPr>
      <w:r w:rsidRPr="004676F5">
        <w:rPr>
          <w:lang w:val="de-DE"/>
        </w:rPr>
        <w:t>Können diese Restwerte bei Abschluss des Kreditvertrags nicht festgelegt werden, müssen im Vertrag Parameter angegeben werden, die es dem Verbraucher bei Ausübung der Kaufoption ermöglichen, diese Restwerte festzulegen.</w:t>
      </w:r>
    </w:p>
    <w:p w14:paraId="05DD0705" w14:textId="77777777" w:rsidR="00881814" w:rsidRPr="004676F5" w:rsidRDefault="00881814" w:rsidP="00881814">
      <w:pPr>
        <w:ind w:firstLine="708"/>
        <w:jc w:val="both"/>
        <w:rPr>
          <w:lang w:val="de-DE"/>
        </w:rPr>
      </w:pPr>
    </w:p>
    <w:p w14:paraId="0B62F7C7" w14:textId="77777777" w:rsidR="00881814" w:rsidRPr="004676F5" w:rsidRDefault="00881814" w:rsidP="00881814">
      <w:pPr>
        <w:ind w:firstLine="708"/>
        <w:jc w:val="both"/>
        <w:rPr>
          <w:lang w:val="de-DE"/>
        </w:rPr>
      </w:pPr>
      <w:r w:rsidRPr="004676F5">
        <w:rPr>
          <w:lang w:val="de-DE"/>
        </w:rPr>
        <w:t>Der König kann diese Parameter und ihren Gebrauch bestimmen.</w:t>
      </w:r>
    </w:p>
    <w:p w14:paraId="6EC8402B" w14:textId="77777777" w:rsidR="00881814" w:rsidRPr="004676F5" w:rsidRDefault="00881814" w:rsidP="00881814">
      <w:pPr>
        <w:ind w:firstLine="708"/>
        <w:jc w:val="both"/>
        <w:rPr>
          <w:lang w:val="de-DE"/>
        </w:rPr>
      </w:pPr>
    </w:p>
    <w:p w14:paraId="13529847" w14:textId="74109F4B"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Unbeschadet der Bestimmungen von Artikel VII.78 ist im Leasingvertrag Folgendes anzugeben:</w:t>
      </w:r>
    </w:p>
    <w:p w14:paraId="62A88993" w14:textId="77777777" w:rsidR="00881814" w:rsidRPr="004676F5" w:rsidRDefault="00881814" w:rsidP="00881814">
      <w:pPr>
        <w:ind w:firstLine="708"/>
        <w:jc w:val="both"/>
        <w:rPr>
          <w:lang w:val="de-DE"/>
        </w:rPr>
      </w:pPr>
    </w:p>
    <w:p w14:paraId="76B2A590" w14:textId="77777777" w:rsidR="00881814" w:rsidRPr="004676F5" w:rsidRDefault="00881814" w:rsidP="00881814">
      <w:pPr>
        <w:ind w:firstLine="708"/>
        <w:jc w:val="both"/>
        <w:rPr>
          <w:lang w:val="de-DE"/>
        </w:rPr>
      </w:pPr>
      <w:r w:rsidRPr="004676F5">
        <w:rPr>
          <w:lang w:val="de-DE"/>
        </w:rPr>
        <w:t>1. ist die Ausübung der Kaufoption zu mehreren Zeitpunkten möglich, vom Verbraucher zu zahlender Gesamtbetrag bis zu dem Zeitpunkt, zu dem die Ausübung der Kaufoption zum ersten Mal und zum letzten Mal möglich ist. Kann bei Abschluss des Kreditvertrags der Restbetrag nur mit Hilfe von Parametern festgelegt werden, müssen im Kreditvertrag einerseits der Gesamtbetrag der zu leistenden Zahlungen und andererseits der vom Verbraucher zum Zeitpunkt der Ausübung der Kaufoption zu zahlende minimale und maximale Restwert, berechnet auf Basis dieser Parameter, vermerkt sein,</w:t>
      </w:r>
    </w:p>
    <w:p w14:paraId="3E868B5C" w14:textId="77777777" w:rsidR="00881814" w:rsidRPr="004676F5" w:rsidRDefault="00881814" w:rsidP="00881814">
      <w:pPr>
        <w:ind w:firstLine="708"/>
        <w:jc w:val="both"/>
        <w:rPr>
          <w:lang w:val="de-DE"/>
        </w:rPr>
      </w:pPr>
    </w:p>
    <w:p w14:paraId="4A9D209D" w14:textId="77777777" w:rsidR="00881814" w:rsidRPr="004676F5" w:rsidRDefault="00881814" w:rsidP="00881814">
      <w:pPr>
        <w:ind w:firstLine="708"/>
        <w:jc w:val="both"/>
        <w:rPr>
          <w:lang w:val="de-DE"/>
        </w:rPr>
      </w:pPr>
      <w:r w:rsidRPr="004676F5">
        <w:rPr>
          <w:lang w:val="de-DE"/>
        </w:rPr>
        <w:t>2. gegebenenfalls Betrag der Sicherheit und Verpflichtung des Kreditgebers, den finanziellen Ertrag der als Sicherheit hinterlegten Depositen dem Verbraucher zur Verfügung zu stellen.</w:t>
      </w:r>
    </w:p>
    <w:p w14:paraId="08F8F8DC" w14:textId="77777777" w:rsidR="00881814" w:rsidRPr="004676F5" w:rsidRDefault="00881814" w:rsidP="00881814">
      <w:pPr>
        <w:ind w:firstLine="708"/>
        <w:jc w:val="both"/>
        <w:rPr>
          <w:lang w:val="de-DE"/>
        </w:rPr>
      </w:pPr>
    </w:p>
    <w:p w14:paraId="526FD0E2" w14:textId="77777777" w:rsidR="003D6A5C" w:rsidRPr="004676F5" w:rsidRDefault="003D6A5C" w:rsidP="00881814">
      <w:pPr>
        <w:ind w:firstLine="708"/>
        <w:jc w:val="both"/>
        <w:rPr>
          <w:lang w:val="de-DE"/>
        </w:rPr>
      </w:pPr>
    </w:p>
    <w:p w14:paraId="26AD5A73" w14:textId="1389AC2E" w:rsidR="00881814" w:rsidRPr="004676F5" w:rsidRDefault="00BE0A56" w:rsidP="00881814">
      <w:pPr>
        <w:ind w:firstLine="708"/>
        <w:jc w:val="both"/>
        <w:rPr>
          <w:lang w:val="de-DE"/>
        </w:rPr>
      </w:pPr>
      <w:r w:rsidRPr="004676F5">
        <w:rPr>
          <w:b/>
          <w:lang w:val="de-DE"/>
        </w:rPr>
        <w:t>Art. </w:t>
      </w:r>
      <w:r w:rsidR="00881814" w:rsidRPr="004676F5">
        <w:rPr>
          <w:b/>
          <w:lang w:val="de-DE"/>
        </w:rPr>
        <w:t>VII.82</w:t>
      </w:r>
      <w:r w:rsidR="00881814" w:rsidRPr="004676F5">
        <w:rPr>
          <w:lang w:val="de-DE"/>
        </w:rPr>
        <w:t> </w:t>
      </w:r>
      <w:r w:rsidR="005B7A5C" w:rsidRPr="004676F5">
        <w:rPr>
          <w:lang w:val="de-DE"/>
        </w:rPr>
        <w:t>- </w:t>
      </w:r>
      <w:r w:rsidR="00881814" w:rsidRPr="004676F5">
        <w:rPr>
          <w:lang w:val="de-DE"/>
        </w:rPr>
        <w:t>Wenn der Leasinggeber vom Verbraucher eine sachliche Sicherheit verlangt, kann es sich dabei nur um als Sicherheit auf einem Terminkonto hinterlegte Depositen handeln, das zu diesem Zweck bei einem Kreditinstitut auf den Namen des Verbrauchers eröffnet wird.</w:t>
      </w:r>
    </w:p>
    <w:p w14:paraId="6373BA47" w14:textId="77777777" w:rsidR="00881814" w:rsidRPr="004676F5" w:rsidRDefault="00881814" w:rsidP="00881814">
      <w:pPr>
        <w:ind w:firstLine="708"/>
        <w:jc w:val="both"/>
        <w:rPr>
          <w:lang w:val="de-DE"/>
        </w:rPr>
      </w:pPr>
    </w:p>
    <w:p w14:paraId="69BE2117" w14:textId="77777777" w:rsidR="00881814" w:rsidRPr="004676F5" w:rsidRDefault="00881814" w:rsidP="00881814">
      <w:pPr>
        <w:ind w:firstLine="708"/>
        <w:jc w:val="both"/>
        <w:rPr>
          <w:lang w:val="de-DE"/>
        </w:rPr>
      </w:pPr>
      <w:r w:rsidRPr="004676F5">
        <w:rPr>
          <w:lang w:val="de-DE"/>
        </w:rPr>
        <w:t>Zinsen des so hinterlegten Betrags werden zum Kapital geschlagen.</w:t>
      </w:r>
    </w:p>
    <w:p w14:paraId="3E084D64" w14:textId="77777777" w:rsidR="00881814" w:rsidRPr="004676F5" w:rsidRDefault="00881814" w:rsidP="00881814">
      <w:pPr>
        <w:ind w:firstLine="708"/>
        <w:jc w:val="both"/>
        <w:rPr>
          <w:lang w:val="de-DE"/>
        </w:rPr>
      </w:pPr>
    </w:p>
    <w:p w14:paraId="5F8DCD98" w14:textId="77777777" w:rsidR="00881814" w:rsidRPr="004676F5" w:rsidRDefault="00881814" w:rsidP="00881814">
      <w:pPr>
        <w:ind w:firstLine="708"/>
        <w:jc w:val="both"/>
        <w:rPr>
          <w:lang w:val="de-DE"/>
        </w:rPr>
      </w:pPr>
      <w:r w:rsidRPr="004676F5">
        <w:rPr>
          <w:lang w:val="de-DE"/>
        </w:rPr>
        <w:t>Der Leasinggeber besitzt ein besonderes Vorzugsrecht auf das Guthaben des in Absatz 1 erwähnten Kontos für jegliche Schuldforderung, die sich aus der Nichterfüllung des Leasingvertrags ergibt.</w:t>
      </w:r>
    </w:p>
    <w:p w14:paraId="5E151902" w14:textId="77777777" w:rsidR="00881814" w:rsidRPr="004676F5" w:rsidRDefault="00881814" w:rsidP="00881814">
      <w:pPr>
        <w:ind w:firstLine="708"/>
        <w:jc w:val="both"/>
        <w:rPr>
          <w:lang w:val="de-DE"/>
        </w:rPr>
      </w:pPr>
    </w:p>
    <w:p w14:paraId="6A6D44EE" w14:textId="77777777" w:rsidR="00881814" w:rsidRPr="004676F5" w:rsidRDefault="00881814" w:rsidP="00881814">
      <w:pPr>
        <w:ind w:firstLine="708"/>
        <w:jc w:val="both"/>
        <w:rPr>
          <w:lang w:val="de-DE"/>
        </w:rPr>
      </w:pPr>
      <w:r w:rsidRPr="004676F5">
        <w:rPr>
          <w:lang w:val="de-DE"/>
        </w:rPr>
        <w:lastRenderedPageBreak/>
        <w:t>Über das Guthaben kann nur aufgrund einer gerichtlichen Entscheidung oder einer schriftlichen Vereinbarung, die nach Nichterfüllung oder Erfüllung des Vertrags getroffen worden ist, verfügt werden. Diese gerichtliche Entscheidung ist ungeachtet eines Einspruchs oder einer Berufung ohne Kaution oder Sicherheitsleistung vorläufig vollstreckbar.</w:t>
      </w:r>
    </w:p>
    <w:p w14:paraId="7CFA4B2E" w14:textId="77777777" w:rsidR="00881814" w:rsidRPr="004676F5" w:rsidRDefault="00881814" w:rsidP="00881814">
      <w:pPr>
        <w:ind w:firstLine="708"/>
        <w:jc w:val="both"/>
        <w:rPr>
          <w:lang w:val="de-DE"/>
        </w:rPr>
      </w:pPr>
    </w:p>
    <w:p w14:paraId="2923130E" w14:textId="77777777" w:rsidR="001D682D" w:rsidRPr="004676F5" w:rsidRDefault="001D682D">
      <w:pPr>
        <w:rPr>
          <w:i/>
          <w:lang w:val="de-DE"/>
        </w:rPr>
      </w:pPr>
    </w:p>
    <w:p w14:paraId="419ED6EE" w14:textId="29D05BDC" w:rsidR="00881814" w:rsidRPr="004676F5" w:rsidRDefault="00881814" w:rsidP="00881814">
      <w:pPr>
        <w:jc w:val="center"/>
        <w:rPr>
          <w:lang w:val="de-DE"/>
        </w:rPr>
      </w:pPr>
      <w:r w:rsidRPr="004676F5">
        <w:rPr>
          <w:i/>
          <w:lang w:val="de-DE"/>
        </w:rPr>
        <w:t xml:space="preserve">Abschnitt 3 </w:t>
      </w:r>
      <w:r w:rsidR="005B7A5C" w:rsidRPr="004676F5">
        <w:rPr>
          <w:i/>
          <w:lang w:val="de-DE"/>
        </w:rPr>
        <w:t>- </w:t>
      </w:r>
      <w:r w:rsidRPr="004676F5">
        <w:rPr>
          <w:lang w:val="de-DE"/>
        </w:rPr>
        <w:t>Widerrufsrecht</w:t>
      </w:r>
    </w:p>
    <w:p w14:paraId="05A82FF2" w14:textId="77777777" w:rsidR="00881814" w:rsidRPr="004676F5" w:rsidRDefault="00881814" w:rsidP="00881814">
      <w:pPr>
        <w:ind w:firstLine="708"/>
        <w:jc w:val="both"/>
        <w:rPr>
          <w:lang w:val="de-DE"/>
        </w:rPr>
      </w:pPr>
    </w:p>
    <w:p w14:paraId="20441555" w14:textId="77777777" w:rsidR="003D6A5C" w:rsidRPr="004676F5" w:rsidRDefault="003D6A5C" w:rsidP="00881814">
      <w:pPr>
        <w:ind w:firstLine="708"/>
        <w:jc w:val="both"/>
        <w:rPr>
          <w:lang w:val="de-DE"/>
        </w:rPr>
      </w:pPr>
    </w:p>
    <w:p w14:paraId="6EF31D1E" w14:textId="2DD5A24E" w:rsidR="00881814" w:rsidRPr="004676F5" w:rsidRDefault="00BE0A56" w:rsidP="00881814">
      <w:pPr>
        <w:ind w:firstLine="708"/>
        <w:jc w:val="both"/>
        <w:rPr>
          <w:lang w:val="de-DE"/>
        </w:rPr>
      </w:pPr>
      <w:r w:rsidRPr="004676F5">
        <w:rPr>
          <w:b/>
          <w:lang w:val="de-DE"/>
        </w:rPr>
        <w:t>Art. </w:t>
      </w:r>
      <w:r w:rsidR="00881814" w:rsidRPr="004676F5">
        <w:rPr>
          <w:b/>
          <w:lang w:val="de-DE"/>
        </w:rPr>
        <w:t>VII.83</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Der Verbraucher hat das Recht, innerhalb einer Frist von vierzehn Tagen ohne Angabe von Gründen den Kreditvertrag zu widerrufen. Die Frist dieses Widerrufsrechts beginnt:</w:t>
      </w:r>
    </w:p>
    <w:p w14:paraId="7FB0ED6C" w14:textId="77777777" w:rsidR="00881814" w:rsidRPr="004676F5" w:rsidRDefault="00881814" w:rsidP="00881814">
      <w:pPr>
        <w:ind w:firstLine="708"/>
        <w:jc w:val="both"/>
        <w:rPr>
          <w:lang w:val="de-DE"/>
        </w:rPr>
      </w:pPr>
    </w:p>
    <w:p w14:paraId="41914D3B" w14:textId="77777777" w:rsidR="00881814" w:rsidRPr="004676F5" w:rsidRDefault="00881814" w:rsidP="00881814">
      <w:pPr>
        <w:ind w:firstLine="708"/>
        <w:jc w:val="both"/>
        <w:rPr>
          <w:lang w:val="de-DE"/>
        </w:rPr>
      </w:pPr>
      <w:r w:rsidRPr="004676F5">
        <w:rPr>
          <w:lang w:val="de-DE"/>
        </w:rPr>
        <w:t>1. am Tag des Abschlusses des Kreditvertrags oder</w:t>
      </w:r>
    </w:p>
    <w:p w14:paraId="7E4CBA27" w14:textId="77777777" w:rsidR="00881814" w:rsidRPr="004676F5" w:rsidRDefault="00881814" w:rsidP="00881814">
      <w:pPr>
        <w:ind w:firstLine="708"/>
        <w:jc w:val="both"/>
        <w:rPr>
          <w:lang w:val="de-DE"/>
        </w:rPr>
      </w:pPr>
    </w:p>
    <w:p w14:paraId="608E75AF" w14:textId="77777777" w:rsidR="00881814" w:rsidRPr="004676F5" w:rsidRDefault="00881814" w:rsidP="00881814">
      <w:pPr>
        <w:ind w:firstLine="708"/>
        <w:jc w:val="both"/>
        <w:rPr>
          <w:lang w:val="de-DE"/>
        </w:rPr>
      </w:pPr>
      <w:r w:rsidRPr="004676F5">
        <w:rPr>
          <w:lang w:val="de-DE"/>
        </w:rPr>
        <w:t>2. am Tag, an dem der Verbraucher die Vertragsbedingungen und die in Artikel VII.78 erwähnten Informationen erhält, sofern dieser nach dem in Nr. 1 des vorliegenden Absatzes genannten Datum liegt.</w:t>
      </w:r>
    </w:p>
    <w:p w14:paraId="54459CCE" w14:textId="77777777" w:rsidR="00881814" w:rsidRPr="004676F5" w:rsidRDefault="00881814" w:rsidP="00881814">
      <w:pPr>
        <w:rPr>
          <w:lang w:val="de-DE"/>
        </w:rPr>
      </w:pPr>
    </w:p>
    <w:p w14:paraId="0D9D69B3" w14:textId="278B69A8"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Übt der Verbraucher sein Widerrufsrecht aus, so:</w:t>
      </w:r>
    </w:p>
    <w:p w14:paraId="6AECA9DA" w14:textId="77777777" w:rsidR="00881814" w:rsidRPr="004676F5" w:rsidRDefault="00881814" w:rsidP="00881814">
      <w:pPr>
        <w:ind w:firstLine="708"/>
        <w:jc w:val="both"/>
        <w:rPr>
          <w:lang w:val="de-DE"/>
        </w:rPr>
      </w:pPr>
    </w:p>
    <w:p w14:paraId="143D0862" w14:textId="77777777" w:rsidR="00881814" w:rsidRPr="004676F5" w:rsidRDefault="00881814" w:rsidP="00881814">
      <w:pPr>
        <w:ind w:firstLine="708"/>
        <w:jc w:val="both"/>
        <w:rPr>
          <w:lang w:val="de-DE"/>
        </w:rPr>
      </w:pPr>
      <w:r w:rsidRPr="004676F5">
        <w:rPr>
          <w:lang w:val="de-DE"/>
        </w:rPr>
        <w:t xml:space="preserve">1. teilt er dies gemäß Artikel VII.78 § 3 Nr. 11 dem Kreditgeber </w:t>
      </w:r>
      <w:r w:rsidR="00286866" w:rsidRPr="004676F5">
        <w:rPr>
          <w:lang w:val="de-DE"/>
        </w:rPr>
        <w:t>[</w:t>
      </w:r>
      <w:r w:rsidRPr="004676F5">
        <w:rPr>
          <w:lang w:val="de-DE"/>
        </w:rPr>
        <w:t xml:space="preserve">per </w:t>
      </w:r>
      <w:r w:rsidR="00286866" w:rsidRPr="004676F5">
        <w:rPr>
          <w:lang w:val="de-DE"/>
        </w:rPr>
        <w:t xml:space="preserve">Einschreibesendung] </w:t>
      </w:r>
      <w:r w:rsidRPr="004676F5">
        <w:rPr>
          <w:lang w:val="de-DE"/>
        </w:rPr>
        <w:t>oder auf einem anderen vom Kreditgeber akzeptierten Träger mit. Die Widerrufsfrist gilt als gewahrt, wenn diese Mitteilung vor Fristablauf abgesandt wird, und</w:t>
      </w:r>
    </w:p>
    <w:p w14:paraId="04775891" w14:textId="77777777" w:rsidR="00881814" w:rsidRPr="004676F5" w:rsidRDefault="00881814" w:rsidP="00881814">
      <w:pPr>
        <w:ind w:firstLine="708"/>
        <w:jc w:val="both"/>
        <w:rPr>
          <w:lang w:val="de-DE"/>
        </w:rPr>
      </w:pPr>
    </w:p>
    <w:p w14:paraId="718D78A8" w14:textId="77777777" w:rsidR="00881814" w:rsidRPr="004676F5" w:rsidRDefault="00881814" w:rsidP="00881814">
      <w:pPr>
        <w:ind w:firstLine="708"/>
        <w:jc w:val="both"/>
        <w:rPr>
          <w:lang w:val="de-DE"/>
        </w:rPr>
      </w:pPr>
      <w:r w:rsidRPr="004676F5">
        <w:rPr>
          <w:lang w:val="de-DE"/>
        </w:rPr>
        <w:t>2. gibt er im Fall eines Kreditvertrags, für die dem Verbraucher gemäß diesem Vertrag Waren zur Verfügung gestellt werden, unverzüglich nach Mitteilung des Widerrufs erhaltene Waren zurück und zahlt dem Kreditgeber die für den Zeitraum der Inanspruchnahme des Kredits zu entrichtenden Zinsen,</w:t>
      </w:r>
    </w:p>
    <w:p w14:paraId="5B5AB7E5" w14:textId="77777777" w:rsidR="00881814" w:rsidRPr="004676F5" w:rsidRDefault="00881814" w:rsidP="00881814">
      <w:pPr>
        <w:ind w:firstLine="708"/>
        <w:jc w:val="both"/>
        <w:rPr>
          <w:lang w:val="de-DE"/>
        </w:rPr>
      </w:pPr>
    </w:p>
    <w:p w14:paraId="424DB790" w14:textId="77777777" w:rsidR="00881814" w:rsidRPr="004676F5" w:rsidRDefault="00881814" w:rsidP="00881814">
      <w:pPr>
        <w:ind w:firstLine="708"/>
        <w:jc w:val="both"/>
        <w:rPr>
          <w:lang w:val="de-DE"/>
        </w:rPr>
      </w:pPr>
      <w:r w:rsidRPr="004676F5">
        <w:rPr>
          <w:lang w:val="de-DE"/>
        </w:rPr>
        <w:t>3. zahlt er bei allen anderen Kreditverträgen dem Kreditgeber unverzüglich, spätestens jedoch dreißig Kalendertage nach Absendung der Widerrufserklärung an den Kreditgeber das Kapital einschließlich der ab dem Zeitpunkt der Inanspruchnahme des Kredits bis zum Zeitpunkt der Rückzahlung des Kapitals aufgelaufenen Zinsen zurück.</w:t>
      </w:r>
    </w:p>
    <w:p w14:paraId="3A87F451" w14:textId="77777777" w:rsidR="00881814" w:rsidRPr="004676F5" w:rsidRDefault="00881814" w:rsidP="00881814">
      <w:pPr>
        <w:ind w:firstLine="708"/>
        <w:jc w:val="both"/>
        <w:rPr>
          <w:lang w:val="de-DE"/>
        </w:rPr>
      </w:pPr>
    </w:p>
    <w:p w14:paraId="0CB49B93" w14:textId="77777777" w:rsidR="00881814" w:rsidRPr="004676F5" w:rsidRDefault="00881814" w:rsidP="00881814">
      <w:pPr>
        <w:ind w:firstLine="708"/>
        <w:jc w:val="both"/>
        <w:rPr>
          <w:lang w:val="de-DE"/>
        </w:rPr>
      </w:pPr>
      <w:r w:rsidRPr="004676F5">
        <w:rPr>
          <w:lang w:val="de-DE"/>
        </w:rPr>
        <w:t>Die Zinsen sind auf der Grundlage des vereinbarten Sollzinssatzes zu berechnen. Der Kreditgeber hat keinen Anspruch auf weitere vom Verbraucher zu leistende Entschädigungen, mit Ausnahme von Entschädigungen für Entgelte, die der Kreditgeber an Behörden entrichtet hat und nicht zurückverlangen kann. Zahlungen, die nach Abschluss des Kreditvertrags erfolgen, werden dem Verbraucher binnen dreißig Tagen nach dem Widerruf zurückerstattet.</w:t>
      </w:r>
    </w:p>
    <w:p w14:paraId="07C10935" w14:textId="77777777" w:rsidR="00881814" w:rsidRPr="004676F5" w:rsidRDefault="00881814" w:rsidP="00881814">
      <w:pPr>
        <w:ind w:firstLine="708"/>
        <w:jc w:val="both"/>
        <w:rPr>
          <w:lang w:val="de-DE"/>
        </w:rPr>
      </w:pPr>
    </w:p>
    <w:p w14:paraId="138AEF94" w14:textId="688D0D58" w:rsidR="00881814" w:rsidRPr="004676F5" w:rsidRDefault="00881814" w:rsidP="00881814">
      <w:pPr>
        <w:ind w:firstLine="708"/>
        <w:jc w:val="both"/>
        <w:rPr>
          <w:lang w:val="de-DE"/>
        </w:rPr>
      </w:pPr>
      <w:r w:rsidRPr="004676F5">
        <w:rPr>
          <w:lang w:val="de-DE"/>
        </w:rPr>
        <w:t xml:space="preserve">§ 3 </w:t>
      </w:r>
      <w:r w:rsidR="005B7A5C" w:rsidRPr="004676F5">
        <w:rPr>
          <w:lang w:val="de-DE"/>
        </w:rPr>
        <w:t>- </w:t>
      </w:r>
      <w:r w:rsidRPr="004676F5">
        <w:rPr>
          <w:lang w:val="de-DE"/>
        </w:rPr>
        <w:t>Der Widerruf des Kreditvertrags bringt von Rechts wegen die Auflösung von Zusatzverträgen mit sich.</w:t>
      </w:r>
    </w:p>
    <w:p w14:paraId="5415B284" w14:textId="77777777" w:rsidR="00881814" w:rsidRPr="004676F5" w:rsidRDefault="00881814" w:rsidP="00881814">
      <w:pPr>
        <w:ind w:firstLine="708"/>
        <w:jc w:val="both"/>
        <w:rPr>
          <w:lang w:val="de-DE"/>
        </w:rPr>
      </w:pPr>
    </w:p>
    <w:p w14:paraId="5F6E632B" w14:textId="3EAE0118" w:rsidR="00881814" w:rsidRPr="004676F5" w:rsidRDefault="00881814" w:rsidP="00881814">
      <w:pPr>
        <w:ind w:firstLine="708"/>
        <w:jc w:val="both"/>
        <w:rPr>
          <w:lang w:val="de-DE"/>
        </w:rPr>
      </w:pPr>
      <w:r w:rsidRPr="004676F5">
        <w:rPr>
          <w:lang w:val="de-DE"/>
        </w:rPr>
        <w:t xml:space="preserve">§ 4 </w:t>
      </w:r>
      <w:r w:rsidR="005B7A5C" w:rsidRPr="004676F5">
        <w:rPr>
          <w:lang w:val="de-DE"/>
        </w:rPr>
        <w:t>- </w:t>
      </w:r>
      <w:r w:rsidRPr="004676F5">
        <w:rPr>
          <w:lang w:val="de-DE"/>
        </w:rPr>
        <w:t>Macht der Verbraucher das im vorliegenden Artikel erwähnte Widerrufsrecht geltend, finden die Artikel VI.58, VI.59 und VI.67 keine Anwendung.</w:t>
      </w:r>
    </w:p>
    <w:p w14:paraId="28DF5412" w14:textId="77777777" w:rsidR="00881814" w:rsidRPr="004676F5" w:rsidRDefault="00881814" w:rsidP="00881814">
      <w:pPr>
        <w:ind w:firstLine="708"/>
        <w:jc w:val="both"/>
        <w:rPr>
          <w:lang w:val="de-DE"/>
        </w:rPr>
      </w:pPr>
    </w:p>
    <w:p w14:paraId="1CE28919" w14:textId="77777777" w:rsidR="001F25F9" w:rsidRPr="004676F5" w:rsidRDefault="001F25F9">
      <w:pPr>
        <w:rPr>
          <w:lang w:val="de-DE"/>
        </w:rPr>
      </w:pPr>
      <w:r w:rsidRPr="004676F5">
        <w:rPr>
          <w:lang w:val="de-DE"/>
        </w:rPr>
        <w:br w:type="page"/>
      </w:r>
    </w:p>
    <w:p w14:paraId="1AA8FC26" w14:textId="4CB6FA61" w:rsidR="00881814" w:rsidRPr="004676F5" w:rsidRDefault="00881814" w:rsidP="00881814">
      <w:pPr>
        <w:ind w:firstLine="708"/>
        <w:jc w:val="both"/>
        <w:rPr>
          <w:lang w:val="de-DE"/>
        </w:rPr>
      </w:pPr>
      <w:r w:rsidRPr="004676F5">
        <w:rPr>
          <w:lang w:val="de-DE"/>
        </w:rPr>
        <w:lastRenderedPageBreak/>
        <w:t>§ 5 </w:t>
      </w:r>
      <w:r w:rsidR="005B7A5C" w:rsidRPr="004676F5">
        <w:rPr>
          <w:lang w:val="de-DE"/>
        </w:rPr>
        <w:t>- </w:t>
      </w:r>
      <w:r w:rsidRPr="004676F5">
        <w:rPr>
          <w:lang w:val="de-DE"/>
        </w:rPr>
        <w:t>Vorliegender Artikel findet keine Anwendung auf Kreditverträge, die laut vorliegendem Buch durch Vermittlung eines Notars abgeschlossen werden müssen, sofern der Notar bestätigt, dass der Verbraucher die in den Artikeln VII.70, VII.74 und VII.78 erwähnten Rechte hat.</w:t>
      </w:r>
    </w:p>
    <w:p w14:paraId="5FDE0DD4" w14:textId="77777777" w:rsidR="00286866" w:rsidRPr="004676F5" w:rsidRDefault="00286866" w:rsidP="00881814">
      <w:pPr>
        <w:ind w:firstLine="708"/>
        <w:jc w:val="both"/>
        <w:rPr>
          <w:lang w:val="de-DE"/>
        </w:rPr>
      </w:pPr>
    </w:p>
    <w:p w14:paraId="64C5578E" w14:textId="0C519856" w:rsidR="00286866" w:rsidRPr="004676F5" w:rsidRDefault="00286866" w:rsidP="00286866">
      <w:pPr>
        <w:jc w:val="both"/>
        <w:rPr>
          <w:i/>
          <w:lang w:val="de-DE"/>
        </w:rPr>
      </w:pPr>
      <w:r w:rsidRPr="004676F5">
        <w:rPr>
          <w:i/>
          <w:lang w:val="de-DE"/>
        </w:rPr>
        <w:t>[</w:t>
      </w:r>
      <w:r w:rsidR="00BE0A56" w:rsidRPr="004676F5">
        <w:rPr>
          <w:i/>
          <w:lang w:val="de-DE"/>
        </w:rPr>
        <w:t>Art. </w:t>
      </w:r>
      <w:r w:rsidRPr="004676F5">
        <w:rPr>
          <w:i/>
          <w:lang w:val="de-DE"/>
        </w:rPr>
        <w:t xml:space="preserve">VII.83 § 2 Abs. 1 Nr. 1 abgeändert durch </w:t>
      </w:r>
      <w:r w:rsidR="00BE0A56" w:rsidRPr="004676F5">
        <w:rPr>
          <w:i/>
          <w:lang w:val="de-DE"/>
        </w:rPr>
        <w:t>Art. </w:t>
      </w:r>
      <w:r w:rsidRPr="004676F5">
        <w:rPr>
          <w:i/>
          <w:lang w:val="de-DE"/>
        </w:rPr>
        <w:t>11 des G. vom 22. April 2016 (B.S. vom 4. Mai 2016)]</w:t>
      </w:r>
    </w:p>
    <w:p w14:paraId="01BCBEC0" w14:textId="77777777" w:rsidR="00881814" w:rsidRPr="004676F5" w:rsidRDefault="00881814" w:rsidP="00881814">
      <w:pPr>
        <w:jc w:val="both"/>
        <w:rPr>
          <w:lang w:val="de-DE"/>
        </w:rPr>
      </w:pPr>
    </w:p>
    <w:p w14:paraId="40EE8F43" w14:textId="77777777" w:rsidR="003D6A5C" w:rsidRPr="004676F5" w:rsidRDefault="003D6A5C" w:rsidP="00881814">
      <w:pPr>
        <w:jc w:val="both"/>
        <w:rPr>
          <w:lang w:val="de-DE"/>
        </w:rPr>
      </w:pPr>
    </w:p>
    <w:p w14:paraId="1AFACA12" w14:textId="5F6F353A" w:rsidR="00881814" w:rsidRPr="004676F5" w:rsidRDefault="00881814" w:rsidP="00027A02">
      <w:pPr>
        <w:jc w:val="center"/>
        <w:rPr>
          <w:lang w:val="de-DE"/>
        </w:rPr>
      </w:pPr>
      <w:r w:rsidRPr="004676F5">
        <w:rPr>
          <w:i/>
          <w:lang w:val="de-DE"/>
        </w:rPr>
        <w:t>Abschnitt 4 </w:t>
      </w:r>
      <w:r w:rsidR="005B7A5C" w:rsidRPr="004676F5">
        <w:rPr>
          <w:i/>
          <w:lang w:val="de-DE"/>
        </w:rPr>
        <w:t>- </w:t>
      </w:r>
      <w:r w:rsidRPr="004676F5">
        <w:rPr>
          <w:lang w:val="de-DE"/>
        </w:rPr>
        <w:t>Missbräuchliche Klauseln</w:t>
      </w:r>
    </w:p>
    <w:p w14:paraId="2226DF05" w14:textId="77777777" w:rsidR="00881814" w:rsidRPr="004676F5" w:rsidRDefault="00881814" w:rsidP="00881814">
      <w:pPr>
        <w:ind w:firstLine="708"/>
        <w:jc w:val="both"/>
        <w:rPr>
          <w:lang w:val="de-DE"/>
        </w:rPr>
      </w:pPr>
    </w:p>
    <w:p w14:paraId="48468B6C" w14:textId="77777777" w:rsidR="003D6A5C" w:rsidRPr="004676F5" w:rsidRDefault="003D6A5C" w:rsidP="00881814">
      <w:pPr>
        <w:jc w:val="center"/>
        <w:rPr>
          <w:lang w:val="de-DE"/>
        </w:rPr>
      </w:pPr>
    </w:p>
    <w:p w14:paraId="555F8872" w14:textId="38BF7201" w:rsidR="00881814" w:rsidRPr="004676F5" w:rsidRDefault="00881814" w:rsidP="00881814">
      <w:pPr>
        <w:jc w:val="center"/>
        <w:rPr>
          <w:lang w:val="de-DE"/>
        </w:rPr>
      </w:pPr>
      <w:r w:rsidRPr="004676F5">
        <w:rPr>
          <w:lang w:val="de-DE"/>
        </w:rPr>
        <w:t>Unterabschnitt 1 </w:t>
      </w:r>
      <w:r w:rsidR="005B7A5C" w:rsidRPr="004676F5">
        <w:rPr>
          <w:lang w:val="de-DE"/>
        </w:rPr>
        <w:t>- </w:t>
      </w:r>
      <w:r w:rsidRPr="004676F5">
        <w:rPr>
          <w:lang w:val="de-DE"/>
        </w:rPr>
        <w:t>Unrechtmäßige Zahlungen</w:t>
      </w:r>
    </w:p>
    <w:p w14:paraId="4D0271ED" w14:textId="77777777" w:rsidR="00881814" w:rsidRPr="004676F5" w:rsidRDefault="00881814" w:rsidP="00881814">
      <w:pPr>
        <w:ind w:firstLine="708"/>
        <w:jc w:val="both"/>
        <w:rPr>
          <w:lang w:val="de-DE"/>
        </w:rPr>
      </w:pPr>
    </w:p>
    <w:p w14:paraId="71D97C3E" w14:textId="77777777" w:rsidR="003D6A5C" w:rsidRPr="004676F5" w:rsidRDefault="003D6A5C" w:rsidP="00881814">
      <w:pPr>
        <w:ind w:firstLine="708"/>
        <w:jc w:val="both"/>
        <w:rPr>
          <w:lang w:val="de-DE"/>
        </w:rPr>
      </w:pPr>
    </w:p>
    <w:p w14:paraId="3F804CFC" w14:textId="51BDCDC0" w:rsidR="00881814" w:rsidRPr="004676F5" w:rsidRDefault="00BE0A56" w:rsidP="00881814">
      <w:pPr>
        <w:ind w:firstLine="708"/>
        <w:jc w:val="both"/>
        <w:rPr>
          <w:lang w:val="de-DE"/>
        </w:rPr>
      </w:pPr>
      <w:r w:rsidRPr="004676F5">
        <w:rPr>
          <w:b/>
          <w:lang w:val="de-DE"/>
        </w:rPr>
        <w:t>Art. </w:t>
      </w:r>
      <w:r w:rsidR="00881814" w:rsidRPr="004676F5">
        <w:rPr>
          <w:b/>
          <w:lang w:val="de-DE"/>
        </w:rPr>
        <w:t>VII.84</w:t>
      </w:r>
      <w:r w:rsidR="00881814" w:rsidRPr="004676F5">
        <w:rPr>
          <w:lang w:val="de-DE"/>
        </w:rPr>
        <w:t> </w:t>
      </w:r>
      <w:r w:rsidR="005B7A5C" w:rsidRPr="004676F5">
        <w:rPr>
          <w:lang w:val="de-DE"/>
        </w:rPr>
        <w:t>- </w:t>
      </w:r>
      <w:r w:rsidR="00881814" w:rsidRPr="004676F5">
        <w:rPr>
          <w:lang w:val="de-DE"/>
        </w:rPr>
        <w:t>Wenn ein Preis ganz oder teilweise durch einen Kreditvertrag beglichen wird, für den der Verkäufer oder Dienstleistungserbringer im Hinblick auf den Abschluss dieses Kreditvertrags als Kreditgeber oder Kreditvermittler auftritt, kann der Verbraucher dem Verkäufer oder Dienstleistungserbringer gegenüber keine gültige Verbindlichkeit eingehen und es kann keine Zahlung von dem einen an den anderen erfolgen, solange der Verbraucher den Kreditvertrag nicht unterzeichnet hat.</w:t>
      </w:r>
    </w:p>
    <w:p w14:paraId="38164021" w14:textId="77777777" w:rsidR="00881814" w:rsidRPr="004676F5" w:rsidRDefault="00881814" w:rsidP="00881814">
      <w:pPr>
        <w:ind w:firstLine="708"/>
        <w:jc w:val="both"/>
        <w:rPr>
          <w:lang w:val="de-DE"/>
        </w:rPr>
      </w:pPr>
    </w:p>
    <w:p w14:paraId="48A710FF" w14:textId="77777777" w:rsidR="00881814" w:rsidRPr="004676F5" w:rsidRDefault="00881814" w:rsidP="00881814">
      <w:pPr>
        <w:ind w:firstLine="708"/>
        <w:jc w:val="both"/>
        <w:rPr>
          <w:lang w:val="de-DE"/>
        </w:rPr>
      </w:pPr>
      <w:r w:rsidRPr="004676F5">
        <w:rPr>
          <w:lang w:val="de-DE"/>
        </w:rPr>
        <w:t>Eine Klausel, durch die der Verbraucher sich verpflichtet, im Falle der Kredit</w:t>
      </w:r>
      <w:r w:rsidRPr="004676F5">
        <w:rPr>
          <w:lang w:val="de-DE"/>
        </w:rPr>
        <w:softHyphen/>
        <w:t>verweigerung den vereinbarten Preis bar zu zahlen, ist nichtig.</w:t>
      </w:r>
    </w:p>
    <w:p w14:paraId="4C43ECC3" w14:textId="77777777" w:rsidR="00881814" w:rsidRPr="004676F5" w:rsidRDefault="00881814" w:rsidP="00881814">
      <w:pPr>
        <w:ind w:firstLine="708"/>
        <w:jc w:val="both"/>
        <w:rPr>
          <w:lang w:val="de-DE"/>
        </w:rPr>
      </w:pPr>
    </w:p>
    <w:p w14:paraId="64DEE4C8" w14:textId="77777777" w:rsidR="003D6A5C" w:rsidRPr="004676F5" w:rsidRDefault="003D6A5C" w:rsidP="00881814">
      <w:pPr>
        <w:ind w:firstLine="708"/>
        <w:jc w:val="both"/>
        <w:rPr>
          <w:lang w:val="de-DE"/>
        </w:rPr>
      </w:pPr>
    </w:p>
    <w:p w14:paraId="55FBB4BB" w14:textId="685DA8F9" w:rsidR="00881814" w:rsidRPr="004676F5" w:rsidRDefault="00BE0A56" w:rsidP="00881814">
      <w:pPr>
        <w:ind w:firstLine="708"/>
        <w:jc w:val="both"/>
        <w:rPr>
          <w:lang w:val="de-DE"/>
        </w:rPr>
      </w:pPr>
      <w:r w:rsidRPr="004676F5">
        <w:rPr>
          <w:b/>
          <w:lang w:val="de-DE"/>
        </w:rPr>
        <w:t>Art. </w:t>
      </w:r>
      <w:r w:rsidR="00881814" w:rsidRPr="004676F5">
        <w:rPr>
          <w:b/>
          <w:lang w:val="de-DE"/>
        </w:rPr>
        <w:t>VII.85</w:t>
      </w:r>
      <w:r w:rsidR="00881814" w:rsidRPr="004676F5">
        <w:rPr>
          <w:lang w:val="de-DE"/>
        </w:rPr>
        <w:t> </w:t>
      </w:r>
      <w:r w:rsidR="005B7A5C" w:rsidRPr="004676F5">
        <w:rPr>
          <w:lang w:val="de-DE"/>
        </w:rPr>
        <w:t>- </w:t>
      </w:r>
      <w:r w:rsidR="00881814" w:rsidRPr="004676F5">
        <w:rPr>
          <w:lang w:val="de-DE"/>
        </w:rPr>
        <w:t>Verboten sind und als ungeschrieben gelten Klauseln eines Kredit</w:t>
      </w:r>
      <w:r w:rsidR="00881814" w:rsidRPr="004676F5">
        <w:rPr>
          <w:lang w:val="de-DE"/>
        </w:rPr>
        <w:softHyphen/>
        <w:t>vertrags, in denen dem Kreditgeber erlaubt wird, vom Verbraucher eine Entschädigung zu verlangen, wenn dieser den gewährten Kreditbetrag gar nicht oder nur teilweise in Anspruch genommen hat.</w:t>
      </w:r>
    </w:p>
    <w:p w14:paraId="34514F3D" w14:textId="77777777" w:rsidR="00881814" w:rsidRPr="004676F5" w:rsidRDefault="00881814" w:rsidP="00881814">
      <w:pPr>
        <w:jc w:val="both"/>
        <w:rPr>
          <w:lang w:val="de-DE"/>
        </w:rPr>
      </w:pPr>
    </w:p>
    <w:p w14:paraId="2E59A0D1" w14:textId="77777777" w:rsidR="003D6A5C" w:rsidRPr="004676F5" w:rsidRDefault="003D6A5C" w:rsidP="00881814">
      <w:pPr>
        <w:jc w:val="center"/>
        <w:rPr>
          <w:lang w:val="de-DE"/>
        </w:rPr>
      </w:pPr>
    </w:p>
    <w:p w14:paraId="3F7B3A9B" w14:textId="612930B9" w:rsidR="00881814" w:rsidRPr="004676F5" w:rsidRDefault="00881814" w:rsidP="00881814">
      <w:pPr>
        <w:jc w:val="center"/>
        <w:rPr>
          <w:lang w:val="de-DE"/>
        </w:rPr>
      </w:pPr>
      <w:r w:rsidRPr="004676F5">
        <w:rPr>
          <w:lang w:val="de-DE"/>
        </w:rPr>
        <w:t xml:space="preserve">Unterabschnitt 2 </w:t>
      </w:r>
      <w:r w:rsidR="005B7A5C" w:rsidRPr="004676F5">
        <w:rPr>
          <w:lang w:val="de-DE"/>
        </w:rPr>
        <w:t>- </w:t>
      </w:r>
      <w:r w:rsidRPr="004676F5">
        <w:rPr>
          <w:lang w:val="de-DE"/>
        </w:rPr>
        <w:t>Berechnung der Sollzinsen und Variabilität des Sollzinssatzes und der Kosten</w:t>
      </w:r>
    </w:p>
    <w:p w14:paraId="75842D7D" w14:textId="77777777" w:rsidR="00881814" w:rsidRPr="004676F5" w:rsidRDefault="00881814" w:rsidP="00881814">
      <w:pPr>
        <w:ind w:firstLine="708"/>
        <w:jc w:val="both"/>
        <w:rPr>
          <w:lang w:val="de-DE"/>
        </w:rPr>
      </w:pPr>
    </w:p>
    <w:p w14:paraId="6AD204CD" w14:textId="77777777" w:rsidR="003D6A5C" w:rsidRPr="004676F5" w:rsidRDefault="003D6A5C" w:rsidP="00881814">
      <w:pPr>
        <w:ind w:firstLine="708"/>
        <w:jc w:val="both"/>
        <w:rPr>
          <w:lang w:val="de-DE"/>
        </w:rPr>
      </w:pPr>
    </w:p>
    <w:p w14:paraId="160F17FF" w14:textId="55910C17" w:rsidR="00881814" w:rsidRPr="004676F5" w:rsidRDefault="00BE0A56" w:rsidP="00881814">
      <w:pPr>
        <w:ind w:firstLine="708"/>
        <w:jc w:val="both"/>
        <w:rPr>
          <w:lang w:val="de-DE"/>
        </w:rPr>
      </w:pPr>
      <w:r w:rsidRPr="004676F5">
        <w:rPr>
          <w:b/>
          <w:lang w:val="de-DE"/>
        </w:rPr>
        <w:t>Art. </w:t>
      </w:r>
      <w:r w:rsidR="00881814" w:rsidRPr="004676F5">
        <w:rPr>
          <w:b/>
          <w:lang w:val="de-DE"/>
        </w:rPr>
        <w:t>VII.86</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Der Sollzinssatz ist fest oder variabel. Wurden ein oder mehrere feste Sollzinssätze festgelegt, gelten sie für die im Kreditvertrag festgelegte Dauer.</w:t>
      </w:r>
    </w:p>
    <w:p w14:paraId="5C185E49" w14:textId="77777777" w:rsidR="00881814" w:rsidRPr="004676F5" w:rsidRDefault="00881814" w:rsidP="00881814">
      <w:pPr>
        <w:ind w:firstLine="708"/>
        <w:jc w:val="both"/>
        <w:rPr>
          <w:lang w:val="de-DE"/>
        </w:rPr>
      </w:pPr>
    </w:p>
    <w:p w14:paraId="2DE60FC1" w14:textId="150BEC12"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Außer in den in vorliegendem Artikel vorgesehenen Ausnahmen in Bezug auf die Variabilität des Sollzinssatzes und die mit der Bargeldabhebung an Geldautomaten verbundenen Kosten und unbeschadet der Anwendung von Artikel VII.3 § 3 Nr. 6 gelten Klauseln, die es ermöglichen, Bedingungen des Kreditvertrags zu ändern, als ungeschrieben.</w:t>
      </w:r>
    </w:p>
    <w:p w14:paraId="6DF734E7" w14:textId="77777777" w:rsidR="00881814" w:rsidRPr="004676F5" w:rsidRDefault="00881814" w:rsidP="00881814">
      <w:pPr>
        <w:ind w:firstLine="708"/>
        <w:jc w:val="both"/>
        <w:rPr>
          <w:lang w:val="de-DE"/>
        </w:rPr>
      </w:pPr>
    </w:p>
    <w:p w14:paraId="3FB5814C" w14:textId="219B1708" w:rsidR="00881814" w:rsidRPr="004676F5" w:rsidRDefault="00881814" w:rsidP="00881814">
      <w:pPr>
        <w:ind w:firstLine="708"/>
        <w:jc w:val="both"/>
        <w:rPr>
          <w:lang w:val="de-DE"/>
        </w:rPr>
      </w:pPr>
      <w:r w:rsidRPr="004676F5">
        <w:rPr>
          <w:lang w:val="de-DE"/>
        </w:rPr>
        <w:t xml:space="preserve">§ 3 </w:t>
      </w:r>
      <w:r w:rsidR="005B7A5C" w:rsidRPr="004676F5">
        <w:rPr>
          <w:lang w:val="de-DE"/>
        </w:rPr>
        <w:t>- </w:t>
      </w:r>
      <w:r w:rsidRPr="004676F5">
        <w:rPr>
          <w:lang w:val="de-DE"/>
        </w:rPr>
        <w:t xml:space="preserve">In Kreditverträgen kann festgelegt werden, dass der Sollzinssatz in den Grenzen der Artikel VII.78 § 2 Nr. 7 und VII.94 geändert wird. </w:t>
      </w:r>
      <w:r w:rsidR="00286866" w:rsidRPr="004676F5">
        <w:rPr>
          <w:lang w:val="de-DE"/>
        </w:rPr>
        <w:t>[Unbeschadet des Artikels VII.94 §§ 1 und 3 darf in Kreditverträgen, mit Ausnahme von Krediteröffnungen, eine Variabilität des Sollzinssatzes nur in den Fällen und gemäß den Regeln, die in den Artikeln VII.143 und VII.144 festgelegt werden, vorgesehen sein.]</w:t>
      </w:r>
      <w:r w:rsidRPr="004676F5">
        <w:rPr>
          <w:lang w:val="de-DE"/>
        </w:rPr>
        <w:t xml:space="preserve"> </w:t>
      </w:r>
      <w:r w:rsidR="0089425C" w:rsidRPr="004676F5">
        <w:rPr>
          <w:lang w:val="de-DE"/>
        </w:rPr>
        <w:t>[...]</w:t>
      </w:r>
    </w:p>
    <w:p w14:paraId="312E125B" w14:textId="77777777" w:rsidR="00881814" w:rsidRPr="004676F5" w:rsidRDefault="00881814" w:rsidP="00881814">
      <w:pPr>
        <w:ind w:firstLine="708"/>
        <w:jc w:val="both"/>
        <w:rPr>
          <w:lang w:val="de-DE"/>
        </w:rPr>
      </w:pPr>
    </w:p>
    <w:p w14:paraId="4F830D6A" w14:textId="41B4DF83" w:rsidR="00881814" w:rsidRPr="004676F5" w:rsidRDefault="00881814" w:rsidP="00881814">
      <w:pPr>
        <w:ind w:firstLine="708"/>
        <w:jc w:val="both"/>
        <w:rPr>
          <w:lang w:val="de-DE"/>
        </w:rPr>
      </w:pPr>
      <w:r w:rsidRPr="004676F5">
        <w:rPr>
          <w:lang w:val="de-DE"/>
        </w:rPr>
        <w:t xml:space="preserve">In Krediteröffnungen kann festgelegt werden, dass die mit der Bargeldabhebung an Geldautomaten verbundenen Kosten </w:t>
      </w:r>
      <w:r w:rsidR="005B7A5C" w:rsidRPr="004676F5">
        <w:rPr>
          <w:lang w:val="de-DE"/>
        </w:rPr>
        <w:t>- </w:t>
      </w:r>
      <w:r w:rsidRPr="004676F5">
        <w:rPr>
          <w:lang w:val="de-DE"/>
        </w:rPr>
        <w:t xml:space="preserve">falls sie nicht im effektiven Jahreszins enthalten sind </w:t>
      </w:r>
      <w:r w:rsidR="005B7A5C" w:rsidRPr="004676F5">
        <w:rPr>
          <w:lang w:val="de-DE"/>
        </w:rPr>
        <w:lastRenderedPageBreak/>
        <w:t>- </w:t>
      </w:r>
      <w:r w:rsidRPr="004676F5">
        <w:rPr>
          <w:lang w:val="de-DE"/>
        </w:rPr>
        <w:t>einseitig geändert werden. Bei Änderung dieser Kosten hat der Verbraucher das Recht, die Krediteröffnung binnen zwei Monaten ab Notifizierung dieser Änderung unentgeltlich zu kündigen. Die Bestimmungen von Artikel VII.15 § 1 sind entsprechend anwendbar. Diese Änderung darf nur einmal während der Laufzeit der Krediteröffnung vorgenommen werden und die ursprünglich vorgesehenen Kosten dürfen maximal um 25 Prozent erhöht werden. Der König kann einen Höchstwert und eine Methode zur Berechnung dieser Kosten bestimmen.</w:t>
      </w:r>
    </w:p>
    <w:p w14:paraId="71A68BF9" w14:textId="77777777" w:rsidR="00881814" w:rsidRPr="004676F5" w:rsidRDefault="00881814" w:rsidP="00881814">
      <w:pPr>
        <w:ind w:firstLine="708"/>
        <w:jc w:val="both"/>
        <w:rPr>
          <w:lang w:val="de-DE"/>
        </w:rPr>
      </w:pPr>
    </w:p>
    <w:p w14:paraId="1D54C1F3" w14:textId="45FAD45A" w:rsidR="00881814" w:rsidRPr="004676F5" w:rsidRDefault="00881814" w:rsidP="00881814">
      <w:pPr>
        <w:ind w:firstLine="708"/>
        <w:jc w:val="both"/>
        <w:rPr>
          <w:lang w:val="de-DE"/>
        </w:rPr>
      </w:pPr>
      <w:r w:rsidRPr="004676F5">
        <w:rPr>
          <w:lang w:val="de-DE"/>
        </w:rPr>
        <w:t xml:space="preserve">§ 4 </w:t>
      </w:r>
      <w:r w:rsidR="005B7A5C" w:rsidRPr="004676F5">
        <w:rPr>
          <w:lang w:val="de-DE"/>
        </w:rPr>
        <w:t>- </w:t>
      </w:r>
      <w:r w:rsidRPr="004676F5">
        <w:rPr>
          <w:lang w:val="de-DE"/>
        </w:rPr>
        <w:t xml:space="preserve">Gegebenenfalls ist der Verbraucher über eine Änderung des Sollzinssatzes </w:t>
      </w:r>
      <w:r w:rsidR="00054D68" w:rsidRPr="004676F5">
        <w:rPr>
          <w:lang w:val="de-DE"/>
        </w:rPr>
        <w:t>[</w:t>
      </w:r>
      <w:r w:rsidRPr="004676F5">
        <w:rPr>
          <w:lang w:val="de-DE"/>
        </w:rPr>
        <w:t xml:space="preserve">auf einem dauerhaften </w:t>
      </w:r>
      <w:r w:rsidR="00054D68" w:rsidRPr="004676F5">
        <w:rPr>
          <w:lang w:val="de-DE"/>
        </w:rPr>
        <w:t>Datent</w:t>
      </w:r>
      <w:r w:rsidRPr="004676F5">
        <w:rPr>
          <w:lang w:val="de-DE"/>
        </w:rPr>
        <w:t>räger</w:t>
      </w:r>
      <w:r w:rsidR="00054D68" w:rsidRPr="004676F5">
        <w:rPr>
          <w:lang w:val="de-DE"/>
        </w:rPr>
        <w:t>]</w:t>
      </w:r>
      <w:r w:rsidRPr="004676F5">
        <w:rPr>
          <w:lang w:val="de-DE"/>
        </w:rPr>
        <w:t xml:space="preserve"> zu informieren, bevor die Änderung in Kraft tritt. Dabei ist gegebenenfalls auch der Betrag der nach dem Inkrafttreten des neuen Sollzinssatzes zu leistenden Zahlungen anzugeben; ändern sich die Anzahl oder die Periodizität der zu leistenden Zahlungen, so sind auch hierzu Einzelheiten anzugeben.</w:t>
      </w:r>
    </w:p>
    <w:p w14:paraId="57A14FBB" w14:textId="77777777" w:rsidR="00881814" w:rsidRPr="004676F5" w:rsidRDefault="00881814" w:rsidP="00881814">
      <w:pPr>
        <w:ind w:firstLine="708"/>
        <w:jc w:val="both"/>
        <w:rPr>
          <w:lang w:val="de-DE"/>
        </w:rPr>
      </w:pPr>
    </w:p>
    <w:p w14:paraId="627CAB92" w14:textId="77777777" w:rsidR="00881814" w:rsidRPr="004676F5" w:rsidRDefault="00881814" w:rsidP="00881814">
      <w:pPr>
        <w:ind w:firstLine="708"/>
        <w:jc w:val="both"/>
        <w:rPr>
          <w:lang w:val="de-DE"/>
        </w:rPr>
      </w:pPr>
      <w:r w:rsidRPr="004676F5">
        <w:rPr>
          <w:lang w:val="de-DE"/>
        </w:rPr>
        <w:t>Die Vertragsparteien können jedoch in dem Kreditvertrag vereinbaren, dass die in vorangehendem Absatz erwähnte Information dem Verbraucher in regelmäßigen Abständen erteilt wird, wenn die Änderung des Sollzinssatzes auf eine Änderung eines Referenz</w:t>
      </w:r>
      <w:r w:rsidRPr="004676F5">
        <w:rPr>
          <w:lang w:val="de-DE"/>
        </w:rPr>
        <w:softHyphen/>
        <w:t>zinssatzes zurückgeht, der neue Referenzzinssatz auf geeigneten Wegen öffentlich zugänglich gemacht wird und die Information über den neuen Referenzzinssatz außerdem in den Geschäftsräumen des Kreditgebers eingesehen werden kann.</w:t>
      </w:r>
    </w:p>
    <w:p w14:paraId="63CEFCCB" w14:textId="77777777" w:rsidR="00881814" w:rsidRPr="004676F5" w:rsidRDefault="00881814" w:rsidP="00881814">
      <w:pPr>
        <w:ind w:firstLine="708"/>
        <w:jc w:val="both"/>
        <w:rPr>
          <w:lang w:val="de-DE"/>
        </w:rPr>
      </w:pPr>
    </w:p>
    <w:p w14:paraId="16C4E226" w14:textId="29DF6073" w:rsidR="00881814" w:rsidRPr="004676F5" w:rsidRDefault="00881814" w:rsidP="00881814">
      <w:pPr>
        <w:ind w:firstLine="708"/>
        <w:jc w:val="both"/>
        <w:rPr>
          <w:lang w:val="de-DE"/>
        </w:rPr>
      </w:pPr>
      <w:r w:rsidRPr="004676F5">
        <w:rPr>
          <w:lang w:val="de-DE"/>
        </w:rPr>
        <w:t xml:space="preserve">§ 5 </w:t>
      </w:r>
      <w:r w:rsidR="005B7A5C" w:rsidRPr="004676F5">
        <w:rPr>
          <w:lang w:val="de-DE"/>
        </w:rPr>
        <w:t>- </w:t>
      </w:r>
      <w:r w:rsidRPr="004676F5">
        <w:rPr>
          <w:lang w:val="de-DE"/>
        </w:rPr>
        <w:t>Wird der Sollzinssatz bei Krediteröffnungen ohne Hypothekenbestellung um mehr als 25 Prozent des ursprünglich oder zuvor vereinbarten Satzes geändert und ist der Vertrag für eine Laufzeit von mehr als einem Jahr abgeschlossen worden, kann der Verbraucher den Vertrag in den Grenzen des Artikels VII.98 einseitig und unentgeltlich kündigen. Im Widerspruch zu vorliegender Bestimmung stehende Klauseln sind nichtig.</w:t>
      </w:r>
    </w:p>
    <w:p w14:paraId="1A247C96" w14:textId="77777777" w:rsidR="00881814" w:rsidRPr="004676F5" w:rsidRDefault="00881814" w:rsidP="00881814">
      <w:pPr>
        <w:ind w:firstLine="708"/>
        <w:jc w:val="both"/>
        <w:rPr>
          <w:lang w:val="de-DE"/>
        </w:rPr>
      </w:pPr>
    </w:p>
    <w:p w14:paraId="04CC437D" w14:textId="55A0A983" w:rsidR="00881814" w:rsidRDefault="00881814" w:rsidP="00881814">
      <w:pPr>
        <w:ind w:firstLine="708"/>
        <w:jc w:val="both"/>
        <w:rPr>
          <w:lang w:val="de-DE"/>
        </w:rPr>
      </w:pPr>
      <w:r w:rsidRPr="004676F5">
        <w:rPr>
          <w:lang w:val="de-DE"/>
        </w:rPr>
        <w:t xml:space="preserve">§ 6 </w:t>
      </w:r>
      <w:r w:rsidR="005B7A5C" w:rsidRPr="004676F5">
        <w:rPr>
          <w:lang w:val="de-DE"/>
        </w:rPr>
        <w:t>- </w:t>
      </w:r>
      <w:r w:rsidRPr="004676F5">
        <w:rPr>
          <w:lang w:val="de-DE"/>
        </w:rPr>
        <w:t>Sind in dem Vertrag nicht alle Sollzinssätze festgelegt, so gilt der Sollzinssatz nur für diejenigen Teilzeiträume der Gesamtlaufzeit als vereinbart, für die den Sollzinssätzen ausschließlich ein bei Abschluss des Kreditvertrags vereinbarter bestimmter fester Prozentsatz zugrunde liegt.</w:t>
      </w:r>
    </w:p>
    <w:p w14:paraId="1E7B7271" w14:textId="77777777" w:rsidR="003E12D4" w:rsidRDefault="003E12D4" w:rsidP="00881814">
      <w:pPr>
        <w:ind w:firstLine="708"/>
        <w:jc w:val="both"/>
        <w:rPr>
          <w:lang w:val="de-DE"/>
        </w:rPr>
      </w:pPr>
    </w:p>
    <w:p w14:paraId="43C4F718" w14:textId="3AA7E1EC" w:rsidR="003E12D4" w:rsidRPr="00FE0D0B" w:rsidRDefault="003E12D4" w:rsidP="003E12D4">
      <w:pPr>
        <w:ind w:firstLine="708"/>
        <w:jc w:val="both"/>
        <w:rPr>
          <w:lang w:val="de-DE"/>
        </w:rPr>
      </w:pPr>
      <w:r>
        <w:rPr>
          <w:lang w:val="de-DE"/>
        </w:rPr>
        <w:t>[</w:t>
      </w:r>
      <w:r w:rsidRPr="00FE0D0B">
        <w:rPr>
          <w:lang w:val="de-DE"/>
        </w:rPr>
        <w:t>§ 7 - Vor der Änderung der Bedingungen eines Kreditvertrags im Rahmen der in Artikel VII.105 § 1 erwähnten Stundungsmaßnahmen teilt der Kreditgeber dem Verbraucher folgende Informationen auf Papier oder auf einem im Kreditvertrag näher bestimmten dauerhaften Datenträger kostenlos mit:</w:t>
      </w:r>
    </w:p>
    <w:p w14:paraId="76483C04" w14:textId="77777777" w:rsidR="003E12D4" w:rsidRPr="00FE0D0B" w:rsidRDefault="003E12D4" w:rsidP="003E12D4">
      <w:pPr>
        <w:jc w:val="both"/>
        <w:rPr>
          <w:lang w:val="de-DE"/>
        </w:rPr>
      </w:pPr>
    </w:p>
    <w:p w14:paraId="4C335FA9" w14:textId="77777777" w:rsidR="003E12D4" w:rsidRPr="00FE0D0B" w:rsidRDefault="003E12D4" w:rsidP="003E12D4">
      <w:pPr>
        <w:jc w:val="both"/>
        <w:rPr>
          <w:lang w:val="de-DE"/>
        </w:rPr>
      </w:pPr>
      <w:r w:rsidRPr="00FE0D0B">
        <w:rPr>
          <w:lang w:val="de-DE"/>
        </w:rPr>
        <w:tab/>
        <w:t>1. eine klare Beschreibung der vorgeschlagenen Änderungen und des Erfordernisses des Einverständnisses des Verbrauchers oder gegebenenfalls eine Erklärung der gesetzlich eingeführten Änderungen,</w:t>
      </w:r>
    </w:p>
    <w:p w14:paraId="69E9BA1F" w14:textId="77777777" w:rsidR="003E12D4" w:rsidRPr="00FE0D0B" w:rsidRDefault="003E12D4" w:rsidP="003E12D4">
      <w:pPr>
        <w:jc w:val="both"/>
        <w:rPr>
          <w:lang w:val="de-DE"/>
        </w:rPr>
      </w:pPr>
    </w:p>
    <w:p w14:paraId="46962E66" w14:textId="77777777" w:rsidR="003E12D4" w:rsidRPr="00FE0D0B" w:rsidRDefault="003E12D4" w:rsidP="003E12D4">
      <w:pPr>
        <w:jc w:val="both"/>
        <w:rPr>
          <w:lang w:val="de-DE"/>
        </w:rPr>
      </w:pPr>
      <w:r w:rsidRPr="00FE0D0B">
        <w:rPr>
          <w:lang w:val="de-DE"/>
        </w:rPr>
        <w:tab/>
        <w:t>2. den zeitlichen Rahmen, der für die Umsetzung der in Nr. 1 erwähnten Änderungen vorgesehen ist,</w:t>
      </w:r>
    </w:p>
    <w:p w14:paraId="0A7ED18E" w14:textId="77777777" w:rsidR="003E12D4" w:rsidRPr="00FE0D0B" w:rsidRDefault="003E12D4" w:rsidP="003E12D4">
      <w:pPr>
        <w:jc w:val="both"/>
        <w:rPr>
          <w:lang w:val="de-DE"/>
        </w:rPr>
      </w:pPr>
    </w:p>
    <w:p w14:paraId="3E39E78A" w14:textId="77777777" w:rsidR="003E12D4" w:rsidRPr="00FE0D0B" w:rsidRDefault="003E12D4" w:rsidP="003E12D4">
      <w:pPr>
        <w:jc w:val="both"/>
        <w:rPr>
          <w:lang w:val="de-DE"/>
        </w:rPr>
      </w:pPr>
      <w:r w:rsidRPr="00FE0D0B">
        <w:rPr>
          <w:lang w:val="de-DE"/>
        </w:rPr>
        <w:tab/>
        <w:t>3. die Beschwerdemöglichkeiten, die dem Verbraucher gegen die in Nr. 1 erwähnten Änderungen zur Verfügung stehen,</w:t>
      </w:r>
    </w:p>
    <w:p w14:paraId="4E746064" w14:textId="77777777" w:rsidR="003E12D4" w:rsidRPr="00FE0D0B" w:rsidRDefault="003E12D4" w:rsidP="003E12D4">
      <w:pPr>
        <w:jc w:val="both"/>
        <w:rPr>
          <w:lang w:val="de-DE"/>
        </w:rPr>
      </w:pPr>
    </w:p>
    <w:p w14:paraId="61A2AC33" w14:textId="77777777" w:rsidR="003E12D4" w:rsidRPr="00FE0D0B" w:rsidRDefault="003E12D4" w:rsidP="003E12D4">
      <w:pPr>
        <w:jc w:val="both"/>
        <w:rPr>
          <w:lang w:val="de-DE"/>
        </w:rPr>
      </w:pPr>
      <w:r w:rsidRPr="00FE0D0B">
        <w:rPr>
          <w:lang w:val="de-DE"/>
        </w:rPr>
        <w:tab/>
        <w:t>4. die Frist, innerhalb deren eine solche Beschwerde eingelegt werden kann,</w:t>
      </w:r>
    </w:p>
    <w:p w14:paraId="38B5127E" w14:textId="77777777" w:rsidR="003E12D4" w:rsidRPr="00FE0D0B" w:rsidRDefault="003E12D4" w:rsidP="003E12D4">
      <w:pPr>
        <w:jc w:val="both"/>
        <w:rPr>
          <w:lang w:val="de-DE"/>
        </w:rPr>
      </w:pPr>
    </w:p>
    <w:p w14:paraId="1593502E" w14:textId="77777777" w:rsidR="003E12D4" w:rsidRPr="00FE0D0B" w:rsidRDefault="003E12D4" w:rsidP="003E12D4">
      <w:pPr>
        <w:jc w:val="both"/>
        <w:rPr>
          <w:lang w:val="de-DE"/>
        </w:rPr>
      </w:pPr>
      <w:r w:rsidRPr="00FE0D0B">
        <w:rPr>
          <w:lang w:val="de-DE"/>
        </w:rPr>
        <w:tab/>
        <w:t>5. die Bezeichnung und die Anschrift der zuständigen Behörde, bei der der Verbraucher diese Beschwerde einreichen kann.</w:t>
      </w:r>
    </w:p>
    <w:p w14:paraId="4F77B779" w14:textId="77777777" w:rsidR="003E12D4" w:rsidRPr="00FE0D0B" w:rsidRDefault="003E12D4" w:rsidP="003E12D4">
      <w:pPr>
        <w:jc w:val="both"/>
        <w:rPr>
          <w:lang w:val="de-DE"/>
        </w:rPr>
      </w:pPr>
    </w:p>
    <w:p w14:paraId="7E8E001A" w14:textId="0A31FC47" w:rsidR="003E12D4" w:rsidRPr="004676F5" w:rsidRDefault="003E12D4" w:rsidP="003E12D4">
      <w:pPr>
        <w:ind w:firstLine="708"/>
        <w:jc w:val="both"/>
        <w:rPr>
          <w:lang w:val="de-DE"/>
        </w:rPr>
      </w:pPr>
      <w:r w:rsidRPr="00FE0D0B">
        <w:rPr>
          <w:lang w:val="de-DE"/>
        </w:rPr>
        <w:lastRenderedPageBreak/>
        <w:t>Für die Anwendung von Absatz 1 führt jede Änderung der bestehenden Bedingungen zum Abschluss eines neuen Kreditvertrags.</w:t>
      </w:r>
      <w:r>
        <w:rPr>
          <w:lang w:val="de-DE"/>
        </w:rPr>
        <w:t>]</w:t>
      </w:r>
    </w:p>
    <w:p w14:paraId="2B45C058" w14:textId="77777777" w:rsidR="003F32BF" w:rsidRPr="004676F5" w:rsidRDefault="003F32BF" w:rsidP="00881814">
      <w:pPr>
        <w:ind w:firstLine="708"/>
        <w:jc w:val="both"/>
        <w:rPr>
          <w:lang w:val="de-DE"/>
        </w:rPr>
      </w:pPr>
    </w:p>
    <w:p w14:paraId="2DF0B0B5" w14:textId="785BF3B8" w:rsidR="003F32BF" w:rsidRPr="004676F5" w:rsidRDefault="003F32BF" w:rsidP="003F32BF">
      <w:pPr>
        <w:jc w:val="both"/>
        <w:rPr>
          <w:i/>
          <w:lang w:val="de-DE"/>
        </w:rPr>
      </w:pPr>
      <w:r w:rsidRPr="004676F5">
        <w:rPr>
          <w:i/>
          <w:lang w:val="de-DE"/>
        </w:rPr>
        <w:t>[</w:t>
      </w:r>
      <w:r w:rsidR="00BE0A56" w:rsidRPr="004676F5">
        <w:rPr>
          <w:i/>
          <w:lang w:val="de-DE"/>
        </w:rPr>
        <w:t>Art. </w:t>
      </w:r>
      <w:r w:rsidRPr="004676F5">
        <w:rPr>
          <w:i/>
          <w:lang w:val="de-DE"/>
        </w:rPr>
        <w:t xml:space="preserve">VII.86 § 3 Abs. 1 abgeändert durch </w:t>
      </w:r>
      <w:r w:rsidR="00BE0A56" w:rsidRPr="004676F5">
        <w:rPr>
          <w:i/>
          <w:lang w:val="de-DE"/>
        </w:rPr>
        <w:t>Art. </w:t>
      </w:r>
      <w:r w:rsidRPr="004676F5">
        <w:rPr>
          <w:i/>
          <w:lang w:val="de-DE"/>
        </w:rPr>
        <w:t>19</w:t>
      </w:r>
      <w:r w:rsidRPr="004676F5">
        <w:rPr>
          <w:i/>
          <w:iCs/>
          <w:lang w:val="de-DE"/>
        </w:rPr>
        <w:t xml:space="preserve"> </w:t>
      </w:r>
      <w:r w:rsidRPr="004676F5">
        <w:rPr>
          <w:i/>
          <w:lang w:val="de-DE"/>
        </w:rPr>
        <w:t>des G. vom 26. Oktober 2015 (B.S. vom 30. Oktober 2015)</w:t>
      </w:r>
      <w:r w:rsidR="0089425C" w:rsidRPr="004676F5">
        <w:rPr>
          <w:i/>
          <w:lang w:val="de-DE"/>
        </w:rPr>
        <w:t>,</w:t>
      </w:r>
      <w:r w:rsidR="00286866" w:rsidRPr="004676F5">
        <w:rPr>
          <w:i/>
          <w:lang w:val="de-DE"/>
        </w:rPr>
        <w:t xml:space="preserve"> </w:t>
      </w:r>
      <w:r w:rsidR="00BE0A56" w:rsidRPr="004676F5">
        <w:rPr>
          <w:i/>
          <w:lang w:val="de-DE"/>
        </w:rPr>
        <w:t>Art. </w:t>
      </w:r>
      <w:r w:rsidR="00286866" w:rsidRPr="004676F5">
        <w:rPr>
          <w:i/>
          <w:lang w:val="de-DE"/>
        </w:rPr>
        <w:t>12 des G. vom 22. April 2016 (B.S. vom 4. Mai 2016)</w:t>
      </w:r>
      <w:r w:rsidR="0089425C" w:rsidRPr="004676F5">
        <w:rPr>
          <w:i/>
          <w:lang w:val="de-DE"/>
        </w:rPr>
        <w:t xml:space="preserve"> und Art. 12 des G. vom 30. Juli 2018 (II) (B.S. vom 5. September 2018)</w:t>
      </w:r>
      <w:r w:rsidR="00054D68" w:rsidRPr="004676F5">
        <w:rPr>
          <w:i/>
          <w:lang w:val="de-DE"/>
        </w:rPr>
        <w:t>; § 4 Abs. 1</w:t>
      </w:r>
      <w:r w:rsidR="00054D68" w:rsidRPr="004676F5">
        <w:rPr>
          <w:i/>
          <w:iCs/>
          <w:lang w:val="de-DE"/>
        </w:rPr>
        <w:t xml:space="preserve"> abgeändert durch Art. 12 des G. vom 20. September 2018 (B.S. vom 10. Oktober 2018)</w:t>
      </w:r>
      <w:r w:rsidR="003E12D4">
        <w:rPr>
          <w:i/>
          <w:iCs/>
          <w:lang w:val="de-DE"/>
        </w:rPr>
        <w:t>; § 7 eingefügt durch Art. 37</w:t>
      </w:r>
      <w:r w:rsidR="003E12D4" w:rsidRPr="003E12D4">
        <w:rPr>
          <w:i/>
          <w:iCs/>
          <w:lang w:val="de-DE"/>
        </w:rPr>
        <w:t xml:space="preserve"> des G. vom 20. Dezember 2024 (B.S. vom 14. Januar 2025)</w:t>
      </w:r>
      <w:r w:rsidRPr="004676F5">
        <w:rPr>
          <w:i/>
          <w:lang w:val="de-DE"/>
        </w:rPr>
        <w:t>]</w:t>
      </w:r>
    </w:p>
    <w:p w14:paraId="05B7E733" w14:textId="77777777" w:rsidR="00881814" w:rsidRPr="004676F5" w:rsidRDefault="00881814" w:rsidP="00881814">
      <w:pPr>
        <w:jc w:val="both"/>
        <w:rPr>
          <w:lang w:val="de-DE"/>
        </w:rPr>
      </w:pPr>
    </w:p>
    <w:p w14:paraId="7B2D4207" w14:textId="77777777" w:rsidR="003D6A5C" w:rsidRPr="004676F5" w:rsidRDefault="003D6A5C" w:rsidP="00881814">
      <w:pPr>
        <w:jc w:val="center"/>
        <w:rPr>
          <w:lang w:val="de-DE"/>
        </w:rPr>
      </w:pPr>
    </w:p>
    <w:p w14:paraId="124AF0B8" w14:textId="361E78C1" w:rsidR="00881814" w:rsidRPr="004676F5" w:rsidRDefault="00881814" w:rsidP="00881814">
      <w:pPr>
        <w:jc w:val="center"/>
        <w:rPr>
          <w:lang w:val="de-DE"/>
        </w:rPr>
      </w:pPr>
      <w:r w:rsidRPr="004676F5">
        <w:rPr>
          <w:lang w:val="de-DE"/>
        </w:rPr>
        <w:t>Unterabschnitt 3 </w:t>
      </w:r>
      <w:r w:rsidR="005B7A5C" w:rsidRPr="004676F5">
        <w:rPr>
          <w:lang w:val="de-DE"/>
        </w:rPr>
        <w:t>- </w:t>
      </w:r>
      <w:r w:rsidRPr="004676F5">
        <w:rPr>
          <w:lang w:val="de-DE"/>
        </w:rPr>
        <w:t>Nebenleistungen</w:t>
      </w:r>
    </w:p>
    <w:p w14:paraId="60018527" w14:textId="77777777" w:rsidR="00286866" w:rsidRPr="004676F5" w:rsidRDefault="00286866" w:rsidP="00881814">
      <w:pPr>
        <w:jc w:val="center"/>
        <w:rPr>
          <w:lang w:val="de-DE"/>
        </w:rPr>
      </w:pPr>
    </w:p>
    <w:p w14:paraId="355E1FDB" w14:textId="77777777" w:rsidR="00881814" w:rsidRPr="004676F5" w:rsidRDefault="00881814" w:rsidP="00881814">
      <w:pPr>
        <w:jc w:val="both"/>
        <w:rPr>
          <w:lang w:val="de-DE"/>
        </w:rPr>
      </w:pPr>
    </w:p>
    <w:p w14:paraId="76F8E39B" w14:textId="087D08E4" w:rsidR="00881814" w:rsidRPr="004676F5" w:rsidRDefault="00BE0A56" w:rsidP="00881814">
      <w:pPr>
        <w:ind w:firstLine="708"/>
        <w:jc w:val="both"/>
        <w:rPr>
          <w:lang w:val="de-DE"/>
        </w:rPr>
      </w:pPr>
      <w:r w:rsidRPr="004676F5">
        <w:rPr>
          <w:b/>
          <w:lang w:val="de-DE"/>
        </w:rPr>
        <w:t>Art. </w:t>
      </w:r>
      <w:r w:rsidR="00881814" w:rsidRPr="004676F5">
        <w:rPr>
          <w:b/>
          <w:lang w:val="de-DE"/>
        </w:rPr>
        <w:t>VII.87</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Kreditgeber und Kreditvermittler dürfen im Rahmen des Ab</w:t>
      </w:r>
      <w:r w:rsidR="00881814" w:rsidRPr="004676F5">
        <w:rPr>
          <w:lang w:val="de-DE"/>
        </w:rPr>
        <w:softHyphen/>
        <w:t>schlusses eines Kreditvertrags den Verbraucher nicht dazu verpflichten, einen anderen Vertrag bei dem Kreditgeber, dem Kreditvermittler oder einem von ihnen bestimmten Dritten zu unterzeichnen.</w:t>
      </w:r>
    </w:p>
    <w:p w14:paraId="4540A359" w14:textId="77777777" w:rsidR="00881814" w:rsidRPr="004676F5" w:rsidRDefault="00881814" w:rsidP="00881814">
      <w:pPr>
        <w:jc w:val="both"/>
        <w:rPr>
          <w:lang w:val="de-DE"/>
        </w:rPr>
      </w:pPr>
    </w:p>
    <w:p w14:paraId="5BC778DA" w14:textId="77777777" w:rsidR="00881814" w:rsidRPr="004676F5" w:rsidRDefault="00881814" w:rsidP="00881814">
      <w:pPr>
        <w:ind w:firstLine="708"/>
        <w:jc w:val="both"/>
        <w:rPr>
          <w:lang w:val="de-DE"/>
        </w:rPr>
      </w:pPr>
      <w:r w:rsidRPr="004676F5">
        <w:rPr>
          <w:lang w:val="de-DE"/>
        </w:rPr>
        <w:t>Die Beweislast, dass der Verbraucher freie Wahl hatte in Zusammenhang mit dem Abschluss eines Vertrags über eine Nebenleistung, der gleichzeitig mit dem Kreditvertrag geschlossen wurde, liegt beim Kreditgeber beziehungsweise Kreditvermittler.</w:t>
      </w:r>
    </w:p>
    <w:p w14:paraId="0E743623" w14:textId="77777777" w:rsidR="00881814" w:rsidRPr="004676F5" w:rsidRDefault="00881814" w:rsidP="00881814">
      <w:pPr>
        <w:ind w:firstLine="708"/>
        <w:jc w:val="both"/>
        <w:rPr>
          <w:lang w:val="de-DE"/>
        </w:rPr>
      </w:pPr>
    </w:p>
    <w:p w14:paraId="1B4DA89F" w14:textId="610F710A"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Zudem dürfen Kreditgeber und Kreditvermittler den Verbraucher bei Abschluss eines Kreditvertrags nicht durch eine Klausel dazu verpflichten, das geliehene Kapital ganz oder teilweise zu verpfänden beziehungsweise für eine Einlage oder zum Erwerb von Wertpapieren oder anderen Finanzinstrumenten zu verwenden.</w:t>
      </w:r>
    </w:p>
    <w:p w14:paraId="0D4A8F51" w14:textId="77777777" w:rsidR="00881814" w:rsidRPr="004676F5" w:rsidRDefault="00881814" w:rsidP="00881814">
      <w:pPr>
        <w:ind w:firstLine="708"/>
        <w:jc w:val="both"/>
        <w:rPr>
          <w:lang w:val="de-DE"/>
        </w:rPr>
      </w:pPr>
    </w:p>
    <w:p w14:paraId="0068C8B5" w14:textId="7FF7897F" w:rsidR="00881814" w:rsidRPr="004676F5" w:rsidRDefault="00881814" w:rsidP="00881814">
      <w:pPr>
        <w:ind w:firstLine="708"/>
        <w:jc w:val="both"/>
        <w:rPr>
          <w:lang w:val="de-DE"/>
        </w:rPr>
      </w:pPr>
      <w:r w:rsidRPr="004676F5">
        <w:rPr>
          <w:lang w:val="de-DE"/>
        </w:rPr>
        <w:t xml:space="preserve">§ 3 </w:t>
      </w:r>
      <w:r w:rsidR="005B7A5C" w:rsidRPr="004676F5">
        <w:rPr>
          <w:lang w:val="de-DE"/>
        </w:rPr>
        <w:t>- </w:t>
      </w:r>
      <w:r w:rsidRPr="004676F5">
        <w:rPr>
          <w:lang w:val="de-DE"/>
        </w:rPr>
        <w:t>Das Verfahren der Kapitalwiederherstellung ist verboten.</w:t>
      </w:r>
    </w:p>
    <w:p w14:paraId="4EE876A9" w14:textId="77777777" w:rsidR="00881814" w:rsidRPr="004676F5" w:rsidRDefault="00881814" w:rsidP="00881814">
      <w:pPr>
        <w:ind w:firstLine="708"/>
        <w:jc w:val="both"/>
        <w:rPr>
          <w:lang w:val="de-DE"/>
        </w:rPr>
      </w:pPr>
    </w:p>
    <w:p w14:paraId="471CFFFF" w14:textId="2988BC0A" w:rsidR="00881814" w:rsidRPr="004676F5" w:rsidRDefault="00881814" w:rsidP="00881814">
      <w:pPr>
        <w:ind w:firstLine="708"/>
        <w:jc w:val="both"/>
        <w:rPr>
          <w:lang w:val="de-DE"/>
        </w:rPr>
      </w:pPr>
      <w:r w:rsidRPr="004676F5">
        <w:rPr>
          <w:lang w:val="de-DE"/>
        </w:rPr>
        <w:t xml:space="preserve">§ 4 </w:t>
      </w:r>
      <w:r w:rsidR="005B7A5C" w:rsidRPr="004676F5">
        <w:rPr>
          <w:lang w:val="de-DE"/>
        </w:rPr>
        <w:t>- </w:t>
      </w:r>
      <w:r w:rsidRPr="004676F5">
        <w:rPr>
          <w:lang w:val="de-DE"/>
        </w:rPr>
        <w:t>Vorliegendem Artikel entgegengesetzte Klauseln gelten als ungeschrieben.</w:t>
      </w:r>
    </w:p>
    <w:p w14:paraId="3E95B041" w14:textId="77777777" w:rsidR="00881814" w:rsidRPr="004676F5" w:rsidRDefault="00881814" w:rsidP="00881814">
      <w:pPr>
        <w:ind w:firstLine="708"/>
        <w:jc w:val="both"/>
        <w:rPr>
          <w:lang w:val="de-DE"/>
        </w:rPr>
      </w:pPr>
    </w:p>
    <w:p w14:paraId="0F97868E" w14:textId="77777777" w:rsidR="003D6A5C" w:rsidRPr="004676F5" w:rsidRDefault="003D6A5C" w:rsidP="00881814">
      <w:pPr>
        <w:ind w:firstLine="708"/>
        <w:jc w:val="both"/>
        <w:rPr>
          <w:lang w:val="de-DE"/>
        </w:rPr>
      </w:pPr>
    </w:p>
    <w:p w14:paraId="4311C05D" w14:textId="638D864F" w:rsidR="00881814" w:rsidRPr="004676F5" w:rsidRDefault="00881814" w:rsidP="00881814">
      <w:pPr>
        <w:jc w:val="center"/>
        <w:rPr>
          <w:lang w:val="de-DE"/>
        </w:rPr>
      </w:pPr>
      <w:r w:rsidRPr="004676F5">
        <w:rPr>
          <w:lang w:val="de-DE"/>
        </w:rPr>
        <w:t>Unterabschnitt 4 </w:t>
      </w:r>
      <w:r w:rsidR="005B7A5C" w:rsidRPr="004676F5">
        <w:rPr>
          <w:lang w:val="de-DE"/>
        </w:rPr>
        <w:t>- </w:t>
      </w:r>
      <w:r w:rsidRPr="004676F5">
        <w:rPr>
          <w:lang w:val="de-DE"/>
        </w:rPr>
        <w:t>Nicht zugelassene Sicherheiten</w:t>
      </w:r>
    </w:p>
    <w:p w14:paraId="1B0D9444" w14:textId="77777777" w:rsidR="00881814" w:rsidRPr="004676F5" w:rsidRDefault="00881814" w:rsidP="00881814">
      <w:pPr>
        <w:ind w:firstLine="708"/>
        <w:jc w:val="both"/>
        <w:rPr>
          <w:lang w:val="de-DE"/>
        </w:rPr>
      </w:pPr>
    </w:p>
    <w:p w14:paraId="72FDBE6E" w14:textId="77777777" w:rsidR="003D6A5C" w:rsidRPr="004676F5" w:rsidRDefault="003D6A5C" w:rsidP="00881814">
      <w:pPr>
        <w:ind w:firstLine="708"/>
        <w:jc w:val="both"/>
        <w:rPr>
          <w:lang w:val="de-DE"/>
        </w:rPr>
      </w:pPr>
    </w:p>
    <w:p w14:paraId="0B7F77FA" w14:textId="3F7ECC33" w:rsidR="00881814" w:rsidRPr="004676F5" w:rsidRDefault="00BE0A56" w:rsidP="00881814">
      <w:pPr>
        <w:ind w:firstLine="708"/>
        <w:jc w:val="both"/>
        <w:rPr>
          <w:lang w:val="de-DE"/>
        </w:rPr>
      </w:pPr>
      <w:r w:rsidRPr="004676F5">
        <w:rPr>
          <w:b/>
          <w:lang w:val="de-DE"/>
        </w:rPr>
        <w:t>Art. </w:t>
      </w:r>
      <w:r w:rsidR="00881814" w:rsidRPr="004676F5">
        <w:rPr>
          <w:b/>
          <w:lang w:val="de-DE"/>
        </w:rPr>
        <w:t>VII.88</w:t>
      </w:r>
      <w:r w:rsidR="00881814" w:rsidRPr="004676F5">
        <w:rPr>
          <w:lang w:val="de-DE"/>
        </w:rPr>
        <w:t> </w:t>
      </w:r>
      <w:r w:rsidR="005B7A5C" w:rsidRPr="004676F5">
        <w:rPr>
          <w:lang w:val="de-DE"/>
        </w:rPr>
        <w:t>- </w:t>
      </w:r>
      <w:r w:rsidR="00881814" w:rsidRPr="004676F5">
        <w:rPr>
          <w:lang w:val="de-DE"/>
        </w:rPr>
        <w:t>Im Rahmen eines Kreditvertrags ist es dem Verbraucher oder gegebenenfalls demjenigen, der eine Sicherheit leistet, verboten, anhand eines Wechsels oder Eigenwechsels die Zahlung der Verbindlichkeiten zu versprechen oder zu gewährleisten, die er aufgrund eines Kreditvertrags eingeht. Es ist ebenfalls verboten, Schecks als Sicherheit für die Rückzahlung des gesamten oder eines Teils des geschuldeten Betrags unterzeichnen zu lassen.</w:t>
      </w:r>
    </w:p>
    <w:p w14:paraId="342A6898" w14:textId="77777777" w:rsidR="00881814" w:rsidRPr="004676F5" w:rsidRDefault="00881814" w:rsidP="00881814">
      <w:pPr>
        <w:ind w:firstLine="708"/>
        <w:jc w:val="both"/>
        <w:rPr>
          <w:lang w:val="de-DE"/>
        </w:rPr>
      </w:pPr>
    </w:p>
    <w:p w14:paraId="59FB6097" w14:textId="77777777" w:rsidR="003D6A5C" w:rsidRPr="004676F5" w:rsidRDefault="003D6A5C" w:rsidP="00881814">
      <w:pPr>
        <w:ind w:firstLine="708"/>
        <w:jc w:val="both"/>
        <w:rPr>
          <w:lang w:val="de-DE"/>
        </w:rPr>
      </w:pPr>
    </w:p>
    <w:p w14:paraId="1BB564BD" w14:textId="6F7851FA" w:rsidR="00881814" w:rsidRPr="004676F5" w:rsidRDefault="00BE0A56" w:rsidP="00881814">
      <w:pPr>
        <w:ind w:firstLine="708"/>
        <w:jc w:val="both"/>
        <w:rPr>
          <w:lang w:val="de-DE"/>
        </w:rPr>
      </w:pPr>
      <w:r w:rsidRPr="004676F5">
        <w:rPr>
          <w:b/>
          <w:lang w:val="de-DE"/>
        </w:rPr>
        <w:t>Art. </w:t>
      </w:r>
      <w:r w:rsidR="00881814" w:rsidRPr="004676F5">
        <w:rPr>
          <w:b/>
          <w:lang w:val="de-DE"/>
        </w:rPr>
        <w:t>VII.89</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Eine Abtretung von Rechten in Bezug auf die in Artikel 1410 § 1 des Gerichtsgesetzbuches erwähnten Beträge, die im Rahmen eines durch vorliegendes Buch geregelten Kreditvertrags erfolgt, unterliegt den Artikeln 27 bis 35 des Gesetzes vom 12. April 1965 über den Schutz der Entlohnung der Arbeitnehmer und kann nur in Höhe der Beträge, die zum Zeitpunkt der Abtretungsnotifizierung aufgrund des Kreditvertrags fällig sind, durchgeführt und angewandt werden.</w:t>
      </w:r>
    </w:p>
    <w:p w14:paraId="18E65F02" w14:textId="77777777" w:rsidR="00881814" w:rsidRPr="004676F5" w:rsidRDefault="00881814" w:rsidP="00881814">
      <w:pPr>
        <w:ind w:firstLine="708"/>
        <w:jc w:val="both"/>
        <w:rPr>
          <w:lang w:val="de-DE"/>
        </w:rPr>
      </w:pPr>
    </w:p>
    <w:p w14:paraId="58D799FB" w14:textId="403AE3FB"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Einkünfte oder der Lohn Minderjähriger, selbst wenn sie für mündig erklärt sind, sind unabtretbar und unpfändbar, was Kreditverträge betrifft.</w:t>
      </w:r>
    </w:p>
    <w:p w14:paraId="623B0C3F" w14:textId="77777777" w:rsidR="00881814" w:rsidRPr="004676F5" w:rsidRDefault="00881814" w:rsidP="00881814">
      <w:pPr>
        <w:rPr>
          <w:lang w:val="de-DE"/>
        </w:rPr>
      </w:pPr>
    </w:p>
    <w:p w14:paraId="0E51B378" w14:textId="77777777" w:rsidR="003D6A5C" w:rsidRPr="004676F5" w:rsidRDefault="003D6A5C" w:rsidP="00881814">
      <w:pPr>
        <w:rPr>
          <w:lang w:val="de-DE"/>
        </w:rPr>
      </w:pPr>
    </w:p>
    <w:p w14:paraId="6F5EA941" w14:textId="3FC063C4" w:rsidR="00881814" w:rsidRPr="004676F5" w:rsidRDefault="00881814" w:rsidP="00881814">
      <w:pPr>
        <w:jc w:val="center"/>
        <w:rPr>
          <w:lang w:val="de-DE"/>
        </w:rPr>
      </w:pPr>
      <w:r w:rsidRPr="004676F5">
        <w:rPr>
          <w:i/>
          <w:lang w:val="de-DE"/>
        </w:rPr>
        <w:t xml:space="preserve">Abschnitt 5 </w:t>
      </w:r>
      <w:r w:rsidR="005B7A5C" w:rsidRPr="004676F5">
        <w:rPr>
          <w:i/>
          <w:lang w:val="de-DE"/>
        </w:rPr>
        <w:t>- </w:t>
      </w:r>
      <w:r w:rsidRPr="004676F5">
        <w:rPr>
          <w:lang w:val="de-DE"/>
        </w:rPr>
        <w:t>Ausführung des Kreditvertrags</w:t>
      </w:r>
    </w:p>
    <w:p w14:paraId="1D901854" w14:textId="77777777" w:rsidR="00881814" w:rsidRPr="004676F5" w:rsidRDefault="00881814" w:rsidP="00881814">
      <w:pPr>
        <w:ind w:firstLine="708"/>
        <w:jc w:val="both"/>
        <w:rPr>
          <w:lang w:val="de-DE"/>
        </w:rPr>
      </w:pPr>
    </w:p>
    <w:p w14:paraId="3C020FC7" w14:textId="77777777" w:rsidR="003D6A5C" w:rsidRPr="004676F5" w:rsidRDefault="003D6A5C" w:rsidP="00881814">
      <w:pPr>
        <w:ind w:firstLine="708"/>
        <w:jc w:val="both"/>
        <w:rPr>
          <w:lang w:val="de-DE"/>
        </w:rPr>
      </w:pPr>
    </w:p>
    <w:p w14:paraId="36242726" w14:textId="2FC10189" w:rsidR="00881814" w:rsidRPr="004676F5" w:rsidRDefault="00881814" w:rsidP="00881814">
      <w:pPr>
        <w:jc w:val="center"/>
        <w:rPr>
          <w:lang w:val="de-DE"/>
        </w:rPr>
      </w:pPr>
      <w:r w:rsidRPr="004676F5">
        <w:rPr>
          <w:lang w:val="de-DE"/>
        </w:rPr>
        <w:t xml:space="preserve">Unterabschnitt 1 </w:t>
      </w:r>
      <w:r w:rsidR="005B7A5C" w:rsidRPr="004676F5">
        <w:rPr>
          <w:lang w:val="de-DE"/>
        </w:rPr>
        <w:t>- </w:t>
      </w:r>
      <w:r w:rsidRPr="004676F5">
        <w:rPr>
          <w:lang w:val="de-DE"/>
        </w:rPr>
        <w:t>Zurverfügungstellung des Kreditbetrags</w:t>
      </w:r>
    </w:p>
    <w:p w14:paraId="23FEBF30" w14:textId="77777777" w:rsidR="00881814" w:rsidRPr="004676F5" w:rsidRDefault="00881814" w:rsidP="00881814">
      <w:pPr>
        <w:ind w:firstLine="708"/>
        <w:jc w:val="both"/>
        <w:rPr>
          <w:lang w:val="de-DE"/>
        </w:rPr>
      </w:pPr>
    </w:p>
    <w:p w14:paraId="7EF95ADE" w14:textId="77777777" w:rsidR="003D6A5C" w:rsidRPr="004676F5" w:rsidRDefault="003D6A5C" w:rsidP="00881814">
      <w:pPr>
        <w:ind w:firstLine="708"/>
        <w:jc w:val="both"/>
        <w:rPr>
          <w:lang w:val="de-DE"/>
        </w:rPr>
      </w:pPr>
    </w:p>
    <w:p w14:paraId="3F1FECF6" w14:textId="7F263DE6" w:rsidR="00881814" w:rsidRPr="004676F5" w:rsidRDefault="00BE0A56" w:rsidP="00881814">
      <w:pPr>
        <w:ind w:firstLine="708"/>
        <w:jc w:val="both"/>
        <w:rPr>
          <w:lang w:val="de-DE"/>
        </w:rPr>
      </w:pPr>
      <w:r w:rsidRPr="004676F5">
        <w:rPr>
          <w:b/>
          <w:lang w:val="de-DE"/>
        </w:rPr>
        <w:t>Art. </w:t>
      </w:r>
      <w:r w:rsidR="00881814" w:rsidRPr="004676F5">
        <w:rPr>
          <w:b/>
          <w:lang w:val="de-DE"/>
        </w:rPr>
        <w:t>VII.90</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Solange der Kreditvertrag nicht von allen Parteien unterzeichnet worden ist, darf keine Zahlung erfolgen, weder vom Kreditgeber an den Verbraucher oder für dessen Rechnung noch vom Verbraucher an den Kreditgeber.</w:t>
      </w:r>
    </w:p>
    <w:p w14:paraId="46D26C03" w14:textId="77777777" w:rsidR="00881814" w:rsidRPr="004676F5" w:rsidRDefault="00881814" w:rsidP="00881814">
      <w:pPr>
        <w:ind w:firstLine="708"/>
        <w:jc w:val="both"/>
        <w:rPr>
          <w:lang w:val="de-DE"/>
        </w:rPr>
      </w:pPr>
    </w:p>
    <w:p w14:paraId="11869658" w14:textId="77777777" w:rsidR="00881814" w:rsidRPr="004676F5" w:rsidRDefault="00881814" w:rsidP="00881814">
      <w:pPr>
        <w:ind w:firstLine="708"/>
        <w:jc w:val="both"/>
        <w:rPr>
          <w:lang w:val="de-DE"/>
        </w:rPr>
      </w:pPr>
      <w:r w:rsidRPr="004676F5">
        <w:rPr>
          <w:lang w:val="de-DE"/>
        </w:rPr>
        <w:t>Vorbehaltlich anders lautender Bestimmungen im Kreditvertrag stellt der Kreditgeber den Kreditbetrag unverzüglich zur Verfügung, und zwar per Überweisung auf das Konto des Verbrauchers beziehungsweise eines vom Verbraucher bestimmten Dritten oder per Scheck.</w:t>
      </w:r>
    </w:p>
    <w:p w14:paraId="73426CFB" w14:textId="77777777" w:rsidR="00881814" w:rsidRPr="004676F5" w:rsidRDefault="00881814" w:rsidP="00881814">
      <w:pPr>
        <w:ind w:firstLine="708"/>
        <w:jc w:val="both"/>
        <w:rPr>
          <w:lang w:val="de-DE"/>
        </w:rPr>
      </w:pPr>
    </w:p>
    <w:p w14:paraId="565BD02B" w14:textId="77777777" w:rsidR="00881814" w:rsidRPr="004676F5" w:rsidRDefault="00881814" w:rsidP="00881814">
      <w:pPr>
        <w:ind w:firstLine="708"/>
        <w:jc w:val="both"/>
        <w:rPr>
          <w:lang w:val="de-DE"/>
        </w:rPr>
      </w:pPr>
      <w:r w:rsidRPr="004676F5">
        <w:rPr>
          <w:lang w:val="de-DE"/>
        </w:rPr>
        <w:t>Die Bereitstellung des Kreditbetrags in bar oder als Bargeld darf nur in Fällen erfolgen, die vom König durch einen im Ministerrat beratenen Erlass genannt werden, wobei Betrag, Art und Zweck des Kredits und Zeitpunkt des Abschlusses des Kreditvertrags berücksichtigt werden.</w:t>
      </w:r>
    </w:p>
    <w:p w14:paraId="1B4DEC8C" w14:textId="77777777" w:rsidR="00881814" w:rsidRPr="004676F5" w:rsidRDefault="00881814" w:rsidP="00881814">
      <w:pPr>
        <w:ind w:firstLine="708"/>
        <w:jc w:val="both"/>
        <w:rPr>
          <w:lang w:val="de-DE"/>
        </w:rPr>
      </w:pPr>
    </w:p>
    <w:p w14:paraId="1778720E" w14:textId="16C86AC4"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Der Kreditgeber haftet weiterhin für Beträge, die er dem Kreditvermittler in Ausführung des Kreditvertrags übermittelt hat, bis sie dem Verbraucher oder einem vom Verbraucher bestimmten Dritten vollständig zur Verfügung gestellt worden sind.</w:t>
      </w:r>
    </w:p>
    <w:p w14:paraId="02BC4999" w14:textId="77777777" w:rsidR="00881814" w:rsidRPr="004676F5" w:rsidRDefault="00881814" w:rsidP="00881814">
      <w:pPr>
        <w:ind w:firstLine="708"/>
        <w:jc w:val="both"/>
        <w:rPr>
          <w:lang w:val="de-DE"/>
        </w:rPr>
      </w:pPr>
    </w:p>
    <w:p w14:paraId="0C602324" w14:textId="77777777" w:rsidR="003F32BF" w:rsidRPr="004676F5" w:rsidRDefault="003F32BF">
      <w:pPr>
        <w:rPr>
          <w:lang w:val="de-DE"/>
        </w:rPr>
      </w:pPr>
    </w:p>
    <w:p w14:paraId="5F30C42A" w14:textId="28C6DCBA" w:rsidR="00881814" w:rsidRPr="004676F5" w:rsidRDefault="00881814" w:rsidP="00881814">
      <w:pPr>
        <w:jc w:val="center"/>
        <w:rPr>
          <w:lang w:val="de-DE"/>
        </w:rPr>
      </w:pPr>
      <w:r w:rsidRPr="004676F5">
        <w:rPr>
          <w:lang w:val="de-DE"/>
        </w:rPr>
        <w:t xml:space="preserve">Unterabschnitt 2 </w:t>
      </w:r>
      <w:r w:rsidR="005B7A5C" w:rsidRPr="004676F5">
        <w:rPr>
          <w:lang w:val="de-DE"/>
        </w:rPr>
        <w:t>- </w:t>
      </w:r>
      <w:r w:rsidRPr="004676F5">
        <w:rPr>
          <w:lang w:val="de-DE"/>
        </w:rPr>
        <w:t>Finanzierung von Waren und Dienstleistungen</w:t>
      </w:r>
    </w:p>
    <w:p w14:paraId="6CE276E8" w14:textId="77777777" w:rsidR="00881814" w:rsidRPr="004676F5" w:rsidRDefault="00881814" w:rsidP="00881814">
      <w:pPr>
        <w:ind w:firstLine="708"/>
        <w:jc w:val="both"/>
        <w:rPr>
          <w:lang w:val="de-DE"/>
        </w:rPr>
      </w:pPr>
    </w:p>
    <w:p w14:paraId="46F89645" w14:textId="77777777" w:rsidR="003D6A5C" w:rsidRPr="004676F5" w:rsidRDefault="003D6A5C" w:rsidP="00881814">
      <w:pPr>
        <w:ind w:firstLine="708"/>
        <w:jc w:val="both"/>
        <w:rPr>
          <w:lang w:val="de-DE"/>
        </w:rPr>
      </w:pPr>
    </w:p>
    <w:p w14:paraId="49A9B5CC" w14:textId="7C4B860E" w:rsidR="00881814" w:rsidRPr="004676F5" w:rsidRDefault="00BE0A56" w:rsidP="00881814">
      <w:pPr>
        <w:ind w:firstLine="708"/>
        <w:jc w:val="both"/>
        <w:rPr>
          <w:lang w:val="de-DE"/>
        </w:rPr>
      </w:pPr>
      <w:r w:rsidRPr="004676F5">
        <w:rPr>
          <w:b/>
          <w:lang w:val="de-DE"/>
        </w:rPr>
        <w:t>Art. </w:t>
      </w:r>
      <w:r w:rsidR="00881814" w:rsidRPr="004676F5">
        <w:rPr>
          <w:b/>
          <w:lang w:val="de-DE"/>
        </w:rPr>
        <w:t>VII.91</w:t>
      </w:r>
      <w:r w:rsidR="00881814" w:rsidRPr="004676F5">
        <w:rPr>
          <w:lang w:val="de-DE"/>
        </w:rPr>
        <w:t> </w:t>
      </w:r>
      <w:r w:rsidR="005B7A5C" w:rsidRPr="004676F5">
        <w:rPr>
          <w:lang w:val="de-DE"/>
        </w:rPr>
        <w:t>- </w:t>
      </w:r>
      <w:r w:rsidR="00881814" w:rsidRPr="004676F5">
        <w:rPr>
          <w:lang w:val="de-DE"/>
        </w:rPr>
        <w:t>Wird die finanzierte Ware oder Dienstleistung im Kreditvertrag erwähnt oder zahlt der Kreditgeber den Betrag des Kreditvertrags direkt an den Verkäufer oder Dienstleistungserbringer, werden die Verbindlichkeiten des Verbrauchers erst ab Lieferung der Ware oder Dienstleistung wirksam; im Falle von Verkauf oder Dienstleistung mit wiederholter Ausführung werden die Verbindlichkeiten des Verbrauchers ab Beginn der Lieferung der Ware oder der Erbringung der Dienstleistung wirksam und enden sie bei Unterbrechung der Lieferung oder Dienstleistungserbringung, es sei denn, der Verbraucher erhält den Kreditbetrag selbst und dem Kreditgeber ist die Identität des Verkäufers oder Dienstleistungserbringers nicht bekannt.</w:t>
      </w:r>
    </w:p>
    <w:p w14:paraId="0EB0400F" w14:textId="77777777" w:rsidR="00881814" w:rsidRPr="004676F5" w:rsidRDefault="00881814" w:rsidP="00881814">
      <w:pPr>
        <w:ind w:firstLine="708"/>
        <w:jc w:val="both"/>
        <w:rPr>
          <w:lang w:val="de-DE"/>
        </w:rPr>
      </w:pPr>
    </w:p>
    <w:p w14:paraId="1A9636F9" w14:textId="77777777" w:rsidR="00881814" w:rsidRPr="004676F5" w:rsidRDefault="00881814" w:rsidP="00881814">
      <w:pPr>
        <w:ind w:firstLine="708"/>
        <w:jc w:val="both"/>
        <w:rPr>
          <w:lang w:val="de-DE"/>
        </w:rPr>
      </w:pPr>
      <w:r w:rsidRPr="004676F5">
        <w:rPr>
          <w:lang w:val="de-DE"/>
        </w:rPr>
        <w:t>Der Betrag des Kredits darf dem Verkäufer oder Dienstleistungserbringer erst übergeben werden, nachdem dem Kreditgeber die Lieferung der Ware oder die Erbringung der Dienstleistung notifiziert worden ist.</w:t>
      </w:r>
    </w:p>
    <w:p w14:paraId="0FC7B8CA" w14:textId="77777777" w:rsidR="00881814" w:rsidRPr="004676F5" w:rsidRDefault="00881814" w:rsidP="00881814">
      <w:pPr>
        <w:ind w:firstLine="708"/>
        <w:jc w:val="both"/>
        <w:rPr>
          <w:lang w:val="de-DE"/>
        </w:rPr>
      </w:pPr>
    </w:p>
    <w:p w14:paraId="7C08D80C" w14:textId="6C6BADDA" w:rsidR="00881814" w:rsidRPr="004676F5" w:rsidRDefault="00881814" w:rsidP="00881814">
      <w:pPr>
        <w:ind w:firstLine="708"/>
        <w:jc w:val="both"/>
        <w:rPr>
          <w:lang w:val="de-DE"/>
        </w:rPr>
      </w:pPr>
      <w:r w:rsidRPr="004676F5">
        <w:rPr>
          <w:lang w:val="de-DE"/>
        </w:rPr>
        <w:t xml:space="preserve">Die in Absatz 2 erwähnte Notifizierung muss </w:t>
      </w:r>
      <w:r w:rsidR="004A1CBF" w:rsidRPr="004676F5">
        <w:rPr>
          <w:lang w:val="de-DE"/>
        </w:rPr>
        <w:t xml:space="preserve">[auf dauerhaftem Datenträger] </w:t>
      </w:r>
      <w:r w:rsidRPr="004676F5">
        <w:rPr>
          <w:lang w:val="de-DE"/>
        </w:rPr>
        <w:t>erfolgen; es kann ein Lieferschein sein, der vom Verbraucher datiert und unterzeichnet sein muss.</w:t>
      </w:r>
    </w:p>
    <w:p w14:paraId="7A554D2D" w14:textId="77777777" w:rsidR="00881814" w:rsidRPr="004676F5" w:rsidRDefault="00881814" w:rsidP="00881814">
      <w:pPr>
        <w:jc w:val="both"/>
        <w:rPr>
          <w:lang w:val="de-DE"/>
        </w:rPr>
      </w:pPr>
    </w:p>
    <w:p w14:paraId="357EAB43" w14:textId="77777777" w:rsidR="00881814" w:rsidRPr="004676F5" w:rsidRDefault="00881814" w:rsidP="00881814">
      <w:pPr>
        <w:ind w:firstLine="708"/>
        <w:jc w:val="both"/>
        <w:rPr>
          <w:lang w:val="de-DE"/>
        </w:rPr>
      </w:pPr>
      <w:r w:rsidRPr="004676F5">
        <w:rPr>
          <w:lang w:val="de-DE"/>
        </w:rPr>
        <w:t>Aufgrund des Kreditvertrags geschuldete Zinsen setzen erst am Tag dieser Notifizierung ein.</w:t>
      </w:r>
    </w:p>
    <w:p w14:paraId="577D032E" w14:textId="77777777" w:rsidR="00881814" w:rsidRPr="004676F5" w:rsidRDefault="00881814" w:rsidP="00881814">
      <w:pPr>
        <w:ind w:firstLine="708"/>
        <w:jc w:val="both"/>
        <w:rPr>
          <w:lang w:val="de-DE"/>
        </w:rPr>
      </w:pPr>
    </w:p>
    <w:p w14:paraId="66BFAEAB" w14:textId="37704FA4" w:rsidR="004A1CBF" w:rsidRPr="004676F5" w:rsidRDefault="004A1CBF" w:rsidP="004A1CBF">
      <w:pPr>
        <w:jc w:val="both"/>
        <w:rPr>
          <w:i/>
          <w:iCs/>
          <w:lang w:val="de-DE"/>
        </w:rPr>
      </w:pPr>
      <w:r w:rsidRPr="004676F5">
        <w:rPr>
          <w:i/>
          <w:iCs/>
          <w:lang w:val="de-DE"/>
        </w:rPr>
        <w:t>[Art. VII.91 Abs. 3 abgeändert durch Art. 12 des G. vom 20. September 2018 (B.S. vom 10. Oktober 2018)]</w:t>
      </w:r>
    </w:p>
    <w:p w14:paraId="44AE6FE3" w14:textId="77777777" w:rsidR="004A1CBF" w:rsidRPr="004676F5" w:rsidRDefault="004A1CBF" w:rsidP="00881814">
      <w:pPr>
        <w:ind w:firstLine="708"/>
        <w:jc w:val="both"/>
        <w:rPr>
          <w:lang w:val="de-DE"/>
        </w:rPr>
      </w:pPr>
    </w:p>
    <w:p w14:paraId="71EFCD61" w14:textId="77777777" w:rsidR="003D6A5C" w:rsidRPr="004676F5" w:rsidRDefault="003D6A5C" w:rsidP="00881814">
      <w:pPr>
        <w:ind w:firstLine="708"/>
        <w:jc w:val="both"/>
        <w:rPr>
          <w:lang w:val="de-DE"/>
        </w:rPr>
      </w:pPr>
    </w:p>
    <w:p w14:paraId="17A701FE" w14:textId="008FB31E" w:rsidR="00881814" w:rsidRPr="004676F5" w:rsidRDefault="00BE0A56" w:rsidP="00881814">
      <w:pPr>
        <w:ind w:firstLine="708"/>
        <w:jc w:val="both"/>
        <w:rPr>
          <w:lang w:val="de-DE"/>
        </w:rPr>
      </w:pPr>
      <w:r w:rsidRPr="004676F5">
        <w:rPr>
          <w:b/>
          <w:lang w:val="de-DE"/>
        </w:rPr>
        <w:lastRenderedPageBreak/>
        <w:t>Art. </w:t>
      </w:r>
      <w:r w:rsidR="00881814" w:rsidRPr="004676F5">
        <w:rPr>
          <w:b/>
          <w:lang w:val="de-DE"/>
        </w:rPr>
        <w:t>VII.92</w:t>
      </w:r>
      <w:r w:rsidR="00881814" w:rsidRPr="004676F5">
        <w:rPr>
          <w:lang w:val="de-DE"/>
        </w:rPr>
        <w:t> </w:t>
      </w:r>
      <w:r w:rsidR="005B7A5C" w:rsidRPr="004676F5">
        <w:rPr>
          <w:lang w:val="de-DE"/>
        </w:rPr>
        <w:t>- </w:t>
      </w:r>
      <w:r w:rsidR="00881814" w:rsidRPr="004676F5">
        <w:rPr>
          <w:lang w:val="de-DE"/>
        </w:rPr>
        <w:t>Hat der Verbraucher ein Recht auf Widerruf eines Vertrags über die Lieferung von Waren oder die Erbringung von Dienstleistungen ausgeübt, so ist er an einen damit verbundenen Kreditvertrag nicht mehr gebunden.</w:t>
      </w:r>
    </w:p>
    <w:p w14:paraId="7D043B92" w14:textId="77777777" w:rsidR="00881814" w:rsidRPr="004676F5" w:rsidRDefault="00881814" w:rsidP="00881814">
      <w:pPr>
        <w:ind w:firstLine="708"/>
        <w:jc w:val="both"/>
        <w:rPr>
          <w:lang w:val="de-DE"/>
        </w:rPr>
      </w:pPr>
    </w:p>
    <w:p w14:paraId="266E4920" w14:textId="46B43BDC" w:rsidR="00881814" w:rsidRPr="004676F5" w:rsidRDefault="00881814" w:rsidP="00881814">
      <w:pPr>
        <w:ind w:firstLine="708"/>
        <w:jc w:val="both"/>
        <w:rPr>
          <w:lang w:val="de-DE"/>
        </w:rPr>
      </w:pPr>
      <w:r w:rsidRPr="004676F5">
        <w:rPr>
          <w:lang w:val="de-DE"/>
        </w:rPr>
        <w:t>Werden die unter einen verbundenen Kreditvertrag fallenden Waren oder Dienst</w:t>
      </w:r>
      <w:r w:rsidRPr="004676F5">
        <w:rPr>
          <w:lang w:val="de-DE"/>
        </w:rPr>
        <w:softHyphen/>
        <w:t>leistungen nicht oder nur teilweise geliefert oder entsprechen sie nicht dem Warenlieferungs</w:t>
      </w:r>
      <w:r w:rsidR="005B7A5C" w:rsidRPr="004676F5">
        <w:rPr>
          <w:lang w:val="de-DE"/>
        </w:rPr>
        <w:t>- </w:t>
      </w:r>
      <w:r w:rsidRPr="004676F5">
        <w:rPr>
          <w:lang w:val="de-DE"/>
        </w:rPr>
        <w:t>oder Dienstleistungsvertrag, so kann der Verbraucher Rechte gegen den Kreditgeber geltend machen, wenn er nach den geltenden Rechtsvorschriften oder den Bestimmungen des Warenlieferungs</w:t>
      </w:r>
      <w:r w:rsidR="005B7A5C" w:rsidRPr="004676F5">
        <w:rPr>
          <w:lang w:val="de-DE"/>
        </w:rPr>
        <w:t>- </w:t>
      </w:r>
      <w:r w:rsidRPr="004676F5">
        <w:rPr>
          <w:lang w:val="de-DE"/>
        </w:rPr>
        <w:t>oder Dienstleistungsvertrags seine Rechte gegen den Lieferanten oder den Dienstleistungserbringer geltend gemacht hat, diese aber nicht durchsetzen konnte.</w:t>
      </w:r>
    </w:p>
    <w:p w14:paraId="6FF8187B" w14:textId="77777777" w:rsidR="00881814" w:rsidRPr="004676F5" w:rsidRDefault="00881814" w:rsidP="00881814">
      <w:pPr>
        <w:ind w:firstLine="708"/>
        <w:jc w:val="both"/>
        <w:rPr>
          <w:lang w:val="de-DE"/>
        </w:rPr>
      </w:pPr>
    </w:p>
    <w:p w14:paraId="1BD007F1" w14:textId="77777777" w:rsidR="00881814" w:rsidRPr="004676F5" w:rsidRDefault="00881814" w:rsidP="00881814">
      <w:pPr>
        <w:ind w:firstLine="708"/>
        <w:jc w:val="both"/>
        <w:rPr>
          <w:lang w:val="de-DE"/>
        </w:rPr>
      </w:pPr>
      <w:r w:rsidRPr="004676F5">
        <w:rPr>
          <w:lang w:val="de-DE"/>
        </w:rPr>
        <w:t>Eine Einrede kann dem Kreditgeber gegenüber nur geltend gemacht werden, wenn:</w:t>
      </w:r>
    </w:p>
    <w:p w14:paraId="16CD79B3" w14:textId="77777777" w:rsidR="00881814" w:rsidRPr="004676F5" w:rsidRDefault="00881814" w:rsidP="00881814">
      <w:pPr>
        <w:ind w:firstLine="708"/>
        <w:jc w:val="both"/>
        <w:rPr>
          <w:lang w:val="de-DE"/>
        </w:rPr>
      </w:pPr>
    </w:p>
    <w:p w14:paraId="63C29700" w14:textId="77777777" w:rsidR="00881814" w:rsidRPr="004676F5" w:rsidRDefault="00881814" w:rsidP="00881814">
      <w:pPr>
        <w:ind w:firstLine="708"/>
        <w:jc w:val="both"/>
        <w:rPr>
          <w:lang w:val="de-DE"/>
        </w:rPr>
      </w:pPr>
      <w:r w:rsidRPr="004676F5">
        <w:rPr>
          <w:lang w:val="de-DE"/>
        </w:rPr>
        <w:t>1. </w:t>
      </w:r>
      <w:r w:rsidR="00286866" w:rsidRPr="004676F5">
        <w:rPr>
          <w:lang w:val="de-DE"/>
        </w:rPr>
        <w:t>[der Verbraucher den Verkäufer der Ware oder den Dienstleistungserbringer in Bezug auf die Ausführung der Verpflichtungen aus dem Vertrag per Einschreibesendung in Verzug gesetzt hat, ohne dass die Verpflichtungen innerhalb eines Monats ab Versendedatum erfüllt worden sind,]</w:t>
      </w:r>
    </w:p>
    <w:p w14:paraId="3B27C613" w14:textId="77777777" w:rsidR="00881814" w:rsidRPr="004676F5" w:rsidRDefault="00881814" w:rsidP="00881814">
      <w:pPr>
        <w:ind w:firstLine="708"/>
        <w:jc w:val="both"/>
        <w:rPr>
          <w:lang w:val="de-DE"/>
        </w:rPr>
      </w:pPr>
    </w:p>
    <w:p w14:paraId="7FE69007" w14:textId="77777777" w:rsidR="00881814" w:rsidRPr="004676F5" w:rsidRDefault="00881814" w:rsidP="00881814">
      <w:pPr>
        <w:ind w:firstLine="708"/>
        <w:jc w:val="both"/>
        <w:rPr>
          <w:lang w:val="de-DE"/>
        </w:rPr>
      </w:pPr>
      <w:r w:rsidRPr="004676F5">
        <w:rPr>
          <w:lang w:val="de-DE"/>
        </w:rPr>
        <w:t>2. der Verbraucher den Kreditgeber informiert hat, dass er die noch ausstehenden Zahlungen auf ein gesperrtes Konto einzahlen wird, wenn der Verkäufer der Ware oder der Dienstleistungserbringer den Vertrag nicht gemäß Nr. 1 erfüllt. Der König kann Modalitäten für die Eröffnung und Führung dieses Kontos bestimmen.</w:t>
      </w:r>
    </w:p>
    <w:p w14:paraId="4B306789" w14:textId="77777777" w:rsidR="00881814" w:rsidRPr="004676F5" w:rsidRDefault="00881814" w:rsidP="00881814">
      <w:pPr>
        <w:ind w:firstLine="708"/>
        <w:jc w:val="both"/>
        <w:rPr>
          <w:lang w:val="de-DE"/>
        </w:rPr>
      </w:pPr>
    </w:p>
    <w:p w14:paraId="1B00CA83" w14:textId="77777777" w:rsidR="00881814" w:rsidRPr="004676F5" w:rsidRDefault="00881814" w:rsidP="00881814">
      <w:pPr>
        <w:ind w:firstLine="708"/>
        <w:jc w:val="both"/>
        <w:rPr>
          <w:lang w:val="de-DE"/>
        </w:rPr>
      </w:pPr>
      <w:r w:rsidRPr="004676F5">
        <w:rPr>
          <w:lang w:val="de-DE"/>
        </w:rPr>
        <w:t>Zinsen des so hinterlegten Betrags werden zum Kapital geschlagen.</w:t>
      </w:r>
    </w:p>
    <w:p w14:paraId="0865D1F8" w14:textId="77777777" w:rsidR="00881814" w:rsidRPr="004676F5" w:rsidRDefault="00881814" w:rsidP="00881814">
      <w:pPr>
        <w:ind w:firstLine="708"/>
        <w:jc w:val="both"/>
        <w:rPr>
          <w:lang w:val="de-DE"/>
        </w:rPr>
      </w:pPr>
    </w:p>
    <w:p w14:paraId="4534CA6B" w14:textId="77777777" w:rsidR="00881814" w:rsidRPr="004676F5" w:rsidRDefault="00881814" w:rsidP="00881814">
      <w:pPr>
        <w:ind w:firstLine="708"/>
        <w:jc w:val="both"/>
        <w:rPr>
          <w:lang w:val="de-DE"/>
        </w:rPr>
      </w:pPr>
      <w:r w:rsidRPr="004676F5">
        <w:rPr>
          <w:lang w:val="de-DE"/>
        </w:rPr>
        <w:t>Durch das alleinige Bestehen der Depositen erhält der Kreditgeber Vorzugsrecht auf das Kontoguthaben für jegliche Schuldforderung, die sich aus der vollständigen oder teilweisen Nichterfüllung der Verbindlichkeiten des Verbrauchers ergibt.</w:t>
      </w:r>
    </w:p>
    <w:p w14:paraId="154654F9" w14:textId="77777777" w:rsidR="00881814" w:rsidRPr="004676F5" w:rsidRDefault="00881814" w:rsidP="00881814">
      <w:pPr>
        <w:ind w:firstLine="708"/>
        <w:jc w:val="both"/>
        <w:rPr>
          <w:lang w:val="de-DE"/>
        </w:rPr>
      </w:pPr>
    </w:p>
    <w:p w14:paraId="46368FBA" w14:textId="2ED92F7C" w:rsidR="00881814" w:rsidRPr="004676F5" w:rsidRDefault="00881814" w:rsidP="00881814">
      <w:pPr>
        <w:ind w:firstLine="708"/>
        <w:jc w:val="both"/>
        <w:rPr>
          <w:lang w:val="de-DE"/>
        </w:rPr>
      </w:pPr>
      <w:r w:rsidRPr="004676F5">
        <w:rPr>
          <w:lang w:val="de-DE"/>
        </w:rPr>
        <w:t>Über den hinterlegten Betrag kann nur zugunsten der einen oder anderen Partei verfügt werden, sofern eine schriftliche Vereinbarung vorgelegt wird, die erstellt wurde, nachdem der Betrag auf dem vorerwähnten Konto gesperrt wurde, oder sofern eine beglaubigte Abschrift der Ausfertigung einer gerichtlichen Entscheidung vorgelegt wird. Diese Entscheidung ist ungeachtet eines Einspruchs oder einer Berufung ohne Kaution oder Sicherheitsleistung vorläufig vollstreckbar.</w:t>
      </w:r>
    </w:p>
    <w:p w14:paraId="3634A00C" w14:textId="77777777" w:rsidR="00881814" w:rsidRPr="004676F5" w:rsidRDefault="00881814" w:rsidP="00286866">
      <w:pPr>
        <w:jc w:val="both"/>
        <w:rPr>
          <w:lang w:val="de-DE"/>
        </w:rPr>
      </w:pPr>
    </w:p>
    <w:p w14:paraId="1BECBF28" w14:textId="1081235F" w:rsidR="00286866" w:rsidRPr="004676F5" w:rsidRDefault="00286866" w:rsidP="00286866">
      <w:pPr>
        <w:jc w:val="both"/>
        <w:rPr>
          <w:i/>
          <w:lang w:val="de-DE"/>
        </w:rPr>
      </w:pPr>
      <w:r w:rsidRPr="004676F5">
        <w:rPr>
          <w:i/>
          <w:lang w:val="de-DE"/>
        </w:rPr>
        <w:t>[</w:t>
      </w:r>
      <w:r w:rsidR="00BE0A56" w:rsidRPr="004676F5">
        <w:rPr>
          <w:i/>
          <w:lang w:val="de-DE"/>
        </w:rPr>
        <w:t>Art. </w:t>
      </w:r>
      <w:r w:rsidRPr="004676F5">
        <w:rPr>
          <w:i/>
          <w:lang w:val="de-DE"/>
        </w:rPr>
        <w:t xml:space="preserve">VII.92 Abs. 3 Nr. 1 ersetzt durch </w:t>
      </w:r>
      <w:r w:rsidR="00BE0A56" w:rsidRPr="004676F5">
        <w:rPr>
          <w:i/>
          <w:lang w:val="de-DE"/>
        </w:rPr>
        <w:t>Art. </w:t>
      </w:r>
      <w:r w:rsidRPr="004676F5">
        <w:rPr>
          <w:i/>
          <w:lang w:val="de-DE"/>
        </w:rPr>
        <w:t>13 des G. vom 22. April 2016 (B.S. vom 4. Mai 2016)]</w:t>
      </w:r>
    </w:p>
    <w:p w14:paraId="646E305B" w14:textId="77777777" w:rsidR="00286866" w:rsidRPr="004676F5" w:rsidRDefault="00286866" w:rsidP="00286866">
      <w:pPr>
        <w:jc w:val="both"/>
        <w:rPr>
          <w:i/>
          <w:lang w:val="de-DE"/>
        </w:rPr>
      </w:pPr>
    </w:p>
    <w:p w14:paraId="7241F031" w14:textId="77777777" w:rsidR="003D6A5C" w:rsidRPr="004676F5" w:rsidRDefault="003D6A5C" w:rsidP="00881814">
      <w:pPr>
        <w:ind w:firstLine="708"/>
        <w:jc w:val="both"/>
        <w:rPr>
          <w:lang w:val="de-DE"/>
        </w:rPr>
      </w:pPr>
    </w:p>
    <w:p w14:paraId="66A87F89" w14:textId="5E862A64" w:rsidR="00881814" w:rsidRPr="004676F5" w:rsidRDefault="00BE0A56" w:rsidP="00881814">
      <w:pPr>
        <w:ind w:firstLine="708"/>
        <w:jc w:val="both"/>
        <w:rPr>
          <w:lang w:val="de-DE"/>
        </w:rPr>
      </w:pPr>
      <w:r w:rsidRPr="004676F5">
        <w:rPr>
          <w:b/>
          <w:lang w:val="de-DE"/>
        </w:rPr>
        <w:t>Art. </w:t>
      </w:r>
      <w:r w:rsidR="00881814" w:rsidRPr="004676F5">
        <w:rPr>
          <w:b/>
          <w:lang w:val="de-DE"/>
        </w:rPr>
        <w:t>VII.93</w:t>
      </w:r>
      <w:r w:rsidR="00881814" w:rsidRPr="004676F5">
        <w:rPr>
          <w:lang w:val="de-DE"/>
        </w:rPr>
        <w:t> </w:t>
      </w:r>
      <w:r w:rsidR="005B7A5C" w:rsidRPr="004676F5">
        <w:rPr>
          <w:lang w:val="de-DE"/>
        </w:rPr>
        <w:t>- </w:t>
      </w:r>
      <w:r w:rsidR="00881814" w:rsidRPr="004676F5">
        <w:rPr>
          <w:lang w:val="de-DE"/>
        </w:rPr>
        <w:t>Ist in einem Kreditvertrag im Fernabsatz die finanzierte Ware, die im Fernabsatz verkauft wird, erwähnt oder wird der Kreditbetrag oder der aufgenommene Betrag sofort vom Kreditgeber an den Fernverkäufer gezahlt, kann die Lieferung der Ware in Abweichung von den Artikeln VII.90 und VII.84 Absatz 1 vor Abschluss des Kreditvertrags erfolgen, sofern der Verbraucher rechtzeitig vor der Lieferung über die Vertragsbedingungen und die Information nach Artikel VI.57 § 1 verfügt.</w:t>
      </w:r>
    </w:p>
    <w:p w14:paraId="69318ECC" w14:textId="77777777" w:rsidR="00881814" w:rsidRPr="004676F5" w:rsidRDefault="00881814" w:rsidP="00881814">
      <w:pPr>
        <w:ind w:firstLine="708"/>
        <w:jc w:val="both"/>
        <w:rPr>
          <w:lang w:val="de-DE"/>
        </w:rPr>
      </w:pPr>
    </w:p>
    <w:p w14:paraId="2D4014C2" w14:textId="77777777" w:rsidR="003D6A5C" w:rsidRPr="004676F5" w:rsidRDefault="003D6A5C" w:rsidP="00881814">
      <w:pPr>
        <w:ind w:firstLine="708"/>
        <w:jc w:val="both"/>
        <w:rPr>
          <w:lang w:val="de-DE"/>
        </w:rPr>
      </w:pPr>
    </w:p>
    <w:p w14:paraId="22DFC31D" w14:textId="77777777" w:rsidR="003E12D4" w:rsidRDefault="003E12D4">
      <w:pPr>
        <w:rPr>
          <w:lang w:val="de-DE"/>
        </w:rPr>
      </w:pPr>
      <w:r>
        <w:rPr>
          <w:lang w:val="de-DE"/>
        </w:rPr>
        <w:br w:type="page"/>
      </w:r>
    </w:p>
    <w:p w14:paraId="0E69187E" w14:textId="5A0592DB" w:rsidR="00881814" w:rsidRPr="004676F5" w:rsidRDefault="00881814" w:rsidP="00881814">
      <w:pPr>
        <w:jc w:val="center"/>
        <w:rPr>
          <w:lang w:val="de-DE"/>
        </w:rPr>
      </w:pPr>
      <w:r w:rsidRPr="004676F5">
        <w:rPr>
          <w:lang w:val="de-DE"/>
        </w:rPr>
        <w:lastRenderedPageBreak/>
        <w:t>Unterabschnitt 3 </w:t>
      </w:r>
      <w:r w:rsidR="005B7A5C" w:rsidRPr="004676F5">
        <w:rPr>
          <w:lang w:val="de-DE"/>
        </w:rPr>
        <w:t>- </w:t>
      </w:r>
      <w:r w:rsidRPr="004676F5">
        <w:rPr>
          <w:lang w:val="de-DE"/>
        </w:rPr>
        <w:t>Kosten und maximale Rückzahlungsfristen</w:t>
      </w:r>
    </w:p>
    <w:p w14:paraId="70DD4E38" w14:textId="77777777" w:rsidR="00881814" w:rsidRPr="004676F5" w:rsidRDefault="00881814" w:rsidP="00881814">
      <w:pPr>
        <w:ind w:firstLine="708"/>
        <w:jc w:val="both"/>
        <w:rPr>
          <w:lang w:val="de-DE"/>
        </w:rPr>
      </w:pPr>
    </w:p>
    <w:p w14:paraId="750EC03D" w14:textId="77777777" w:rsidR="003D6A5C" w:rsidRPr="004676F5" w:rsidRDefault="003D6A5C" w:rsidP="00881814">
      <w:pPr>
        <w:ind w:firstLine="708"/>
        <w:jc w:val="both"/>
        <w:rPr>
          <w:lang w:val="de-DE"/>
        </w:rPr>
      </w:pPr>
    </w:p>
    <w:p w14:paraId="51F1D4C7" w14:textId="7398CB65" w:rsidR="00881814" w:rsidRPr="004676F5" w:rsidRDefault="00BE0A56" w:rsidP="00881814">
      <w:pPr>
        <w:ind w:firstLine="708"/>
        <w:jc w:val="both"/>
        <w:rPr>
          <w:lang w:val="de-DE"/>
        </w:rPr>
      </w:pPr>
      <w:r w:rsidRPr="004676F5">
        <w:rPr>
          <w:b/>
          <w:lang w:val="de-DE"/>
        </w:rPr>
        <w:t>Art. </w:t>
      </w:r>
      <w:r w:rsidR="00881814" w:rsidRPr="004676F5">
        <w:rPr>
          <w:b/>
          <w:lang w:val="de-DE"/>
        </w:rPr>
        <w:t>VII.94</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Der König bestimmt das Verfahren zur Festlegung und gegebenen</w:t>
      </w:r>
      <w:r w:rsidR="00881814" w:rsidRPr="004676F5">
        <w:rPr>
          <w:lang w:val="de-DE"/>
        </w:rPr>
        <w:softHyphen/>
        <w:t>falls zur Anpassung der Sätze des maximalen effektiven Jahreszinses und legt je nach Art, Betrag und eventuell Laufzeit des Kredits den maximalen effektiven Jahreszins fest.</w:t>
      </w:r>
    </w:p>
    <w:p w14:paraId="457CB06F" w14:textId="77777777" w:rsidR="00881814" w:rsidRPr="004676F5" w:rsidRDefault="00881814" w:rsidP="00881814">
      <w:pPr>
        <w:ind w:firstLine="708"/>
        <w:jc w:val="both"/>
        <w:rPr>
          <w:lang w:val="de-DE"/>
        </w:rPr>
      </w:pPr>
    </w:p>
    <w:p w14:paraId="5B895981" w14:textId="2818D6A1"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Muss bei der Berechnung des effektiven Jahreszinses auf Hypothesen zurück</w:t>
      </w:r>
      <w:r w:rsidRPr="004676F5">
        <w:rPr>
          <w:lang w:val="de-DE"/>
        </w:rPr>
        <w:softHyphen/>
        <w:t>gegriffen werden, kann der König gemäß den in § 1 erwähnten Bestimmungen ebenfalls die maximalen Kreditkosten festlegen, und zwar unter anderem den maximalen Sollzins und gegebenenfalls die maximalen wiederkehrenden und die maximalen einmaligen Kosten, die mit der Krediteröffnung verbunden sind.</w:t>
      </w:r>
    </w:p>
    <w:p w14:paraId="3F3B9922" w14:textId="77777777" w:rsidR="00881814" w:rsidRPr="004676F5" w:rsidRDefault="00881814" w:rsidP="00881814">
      <w:pPr>
        <w:ind w:firstLine="708"/>
        <w:jc w:val="both"/>
        <w:rPr>
          <w:lang w:val="de-DE"/>
        </w:rPr>
      </w:pPr>
    </w:p>
    <w:p w14:paraId="6C6E7D13" w14:textId="6CE3858F"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Die aufgrund des vorliegenden Artikels festgelegten Sätze bleiben auf jeden Fall bis zu ihrer Revision anwendbar.</w:t>
      </w:r>
    </w:p>
    <w:p w14:paraId="65C125EE" w14:textId="77777777" w:rsidR="00881814" w:rsidRPr="004676F5" w:rsidRDefault="00881814" w:rsidP="00881814">
      <w:pPr>
        <w:ind w:firstLine="708"/>
        <w:jc w:val="both"/>
        <w:rPr>
          <w:lang w:val="de-DE"/>
        </w:rPr>
      </w:pPr>
    </w:p>
    <w:p w14:paraId="3DD9082F" w14:textId="77777777" w:rsidR="00881814" w:rsidRPr="004676F5" w:rsidRDefault="00881814" w:rsidP="00881814">
      <w:pPr>
        <w:ind w:firstLine="708"/>
        <w:jc w:val="both"/>
        <w:rPr>
          <w:lang w:val="de-DE"/>
        </w:rPr>
      </w:pPr>
      <w:r w:rsidRPr="004676F5">
        <w:rPr>
          <w:lang w:val="de-DE"/>
        </w:rPr>
        <w:t>Senkungen des maximalen effektiven Jahreszinses und gegebenenfalls der maximalen Kreditkosten sind sofort auf laufende Kreditverträge anwendbar, die in den Grenzen des vorliegenden Gesetzes die Variabilität des effektiven Jahreszinses oder Sollzinses vorsehen.</w:t>
      </w:r>
    </w:p>
    <w:p w14:paraId="4A1BBC0E" w14:textId="77777777" w:rsidR="00881814" w:rsidRPr="004676F5" w:rsidRDefault="00881814" w:rsidP="00881814">
      <w:pPr>
        <w:ind w:firstLine="708"/>
        <w:jc w:val="both"/>
        <w:rPr>
          <w:lang w:val="de-DE"/>
        </w:rPr>
      </w:pPr>
    </w:p>
    <w:p w14:paraId="250A3BC8" w14:textId="77777777" w:rsidR="003D6A5C" w:rsidRPr="004676F5" w:rsidRDefault="003D6A5C" w:rsidP="00881814">
      <w:pPr>
        <w:ind w:firstLine="708"/>
        <w:jc w:val="both"/>
        <w:rPr>
          <w:lang w:val="de-DE"/>
        </w:rPr>
      </w:pPr>
    </w:p>
    <w:p w14:paraId="14A42134" w14:textId="2A63A2AE" w:rsidR="00881814" w:rsidRPr="004676F5" w:rsidRDefault="00BE0A56" w:rsidP="00881814">
      <w:pPr>
        <w:ind w:firstLine="708"/>
        <w:jc w:val="both"/>
        <w:rPr>
          <w:lang w:val="de-DE"/>
        </w:rPr>
      </w:pPr>
      <w:r w:rsidRPr="004676F5">
        <w:rPr>
          <w:b/>
          <w:lang w:val="de-DE"/>
        </w:rPr>
        <w:t>Art. </w:t>
      </w:r>
      <w:r w:rsidR="00881814" w:rsidRPr="004676F5">
        <w:rPr>
          <w:b/>
          <w:lang w:val="de-DE"/>
        </w:rPr>
        <w:t>VII.95</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Der König kann je nach Darlehensbetrag und Kreditart die maximale Rückzahlungsfrist bestimmen.</w:t>
      </w:r>
    </w:p>
    <w:p w14:paraId="779A8E8C" w14:textId="77777777" w:rsidR="00881814" w:rsidRPr="004676F5" w:rsidRDefault="00881814" w:rsidP="00881814">
      <w:pPr>
        <w:ind w:firstLine="708"/>
        <w:jc w:val="both"/>
        <w:rPr>
          <w:lang w:val="de-DE"/>
        </w:rPr>
      </w:pPr>
    </w:p>
    <w:p w14:paraId="7F5B75B6" w14:textId="740151B8"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In unbefristeten oder auf mehr als fünf Jahre befristeten Krediteröffnungen muss eine Frist zur Erreichung des Nullwertes, in der der zurückzuzahlende Gesamtbetrag beglichen werden muss, festgelegt werden. Der König kann eine maximale Frist zur Erreichung des Nullwertes festlegen.</w:t>
      </w:r>
    </w:p>
    <w:p w14:paraId="72BFB3D6" w14:textId="77777777" w:rsidR="00881814" w:rsidRPr="004676F5" w:rsidRDefault="00881814" w:rsidP="00881814">
      <w:pPr>
        <w:ind w:firstLine="708"/>
        <w:jc w:val="both"/>
        <w:rPr>
          <w:lang w:val="de-DE"/>
        </w:rPr>
      </w:pPr>
    </w:p>
    <w:p w14:paraId="3F630829" w14:textId="7B00A347"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Ermöglicht ein Kreditvertrag mit festen Raten die Variabilität des effektiven Jahreszinses, enthält er die Bestimmung, dass der Verbraucher im Fall einer Anpassung die Aufrechterhaltung der Rate und die Verlängerung oder Verkürzung der vereinbarten Rückzahlungsfrist verlangen kann. Die Ausübung dieses Rechts kann zur Überschreitung der in § 1 erwähnten maximalen Rückzahlungsfrist führen.</w:t>
      </w:r>
    </w:p>
    <w:p w14:paraId="553CEAA1" w14:textId="77777777" w:rsidR="00881814" w:rsidRPr="004676F5" w:rsidRDefault="00881814" w:rsidP="00881814">
      <w:pPr>
        <w:ind w:firstLine="708"/>
        <w:jc w:val="both"/>
        <w:rPr>
          <w:lang w:val="de-DE"/>
        </w:rPr>
      </w:pPr>
    </w:p>
    <w:p w14:paraId="1D02053F" w14:textId="77777777" w:rsidR="00881814" w:rsidRPr="004676F5" w:rsidRDefault="00881814" w:rsidP="00881814">
      <w:pPr>
        <w:ind w:firstLine="708"/>
        <w:jc w:val="both"/>
        <w:rPr>
          <w:lang w:val="de-DE"/>
        </w:rPr>
      </w:pPr>
      <w:r w:rsidRPr="004676F5">
        <w:rPr>
          <w:lang w:val="de-DE"/>
        </w:rPr>
        <w:t>Vor Abschluss des Kreditvertrags setzt der Kreditgeber den Verbraucher ausdrücklich über dieses Recht in Kenntnis.</w:t>
      </w:r>
    </w:p>
    <w:p w14:paraId="719004CC" w14:textId="77777777" w:rsidR="00881814" w:rsidRPr="004676F5" w:rsidRDefault="00881814" w:rsidP="00881814">
      <w:pPr>
        <w:ind w:firstLine="708"/>
        <w:jc w:val="both"/>
        <w:rPr>
          <w:lang w:val="de-DE"/>
        </w:rPr>
      </w:pPr>
    </w:p>
    <w:p w14:paraId="67570329" w14:textId="77777777" w:rsidR="00692B96" w:rsidRPr="004676F5" w:rsidRDefault="00881814" w:rsidP="00692B96">
      <w:pPr>
        <w:ind w:firstLine="708"/>
        <w:jc w:val="both"/>
        <w:rPr>
          <w:lang w:val="de-DE"/>
        </w:rPr>
      </w:pPr>
      <w:r w:rsidRPr="004676F5">
        <w:rPr>
          <w:lang w:val="de-DE"/>
        </w:rPr>
        <w:t>§ 4 </w:t>
      </w:r>
      <w:r w:rsidR="005B7A5C" w:rsidRPr="004676F5">
        <w:rPr>
          <w:lang w:val="de-DE"/>
        </w:rPr>
        <w:t>- </w:t>
      </w:r>
      <w:r w:rsidR="00692B96" w:rsidRPr="004676F5">
        <w:rPr>
          <w:lang w:val="de-DE"/>
        </w:rPr>
        <w:t>[Der Kreditgeber setzt den Verbraucher mit allen zweckdienlichen Kommunika</w:t>
      </w:r>
      <w:r w:rsidR="00692B96" w:rsidRPr="004676F5">
        <w:rPr>
          <w:lang w:val="de-DE"/>
        </w:rPr>
        <w:softHyphen/>
        <w:t>tionsmitteln vom Zeitpunkt des Ablaufs der Frist zur Erreichung des Nullwertes und den Folgen der Nichtzahlung - einschließlich der in Artikel VII.100 vorgesehenen Folgen - am Nullstellungstag in Kenntnis:</w:t>
      </w:r>
    </w:p>
    <w:p w14:paraId="102124DF" w14:textId="77777777" w:rsidR="00692B96" w:rsidRPr="004676F5" w:rsidRDefault="00692B96" w:rsidP="00692B96">
      <w:pPr>
        <w:jc w:val="both"/>
        <w:rPr>
          <w:lang w:val="de-DE"/>
        </w:rPr>
      </w:pPr>
    </w:p>
    <w:p w14:paraId="629044D8" w14:textId="77777777" w:rsidR="00692B96" w:rsidRPr="004676F5" w:rsidRDefault="00692B96" w:rsidP="00692B96">
      <w:pPr>
        <w:jc w:val="both"/>
        <w:rPr>
          <w:lang w:val="de-DE"/>
        </w:rPr>
      </w:pPr>
      <w:r w:rsidRPr="004676F5">
        <w:rPr>
          <w:lang w:val="de-DE"/>
        </w:rPr>
        <w:tab/>
        <w:t>1. im Laufe des achten Monats vor Ablauf der Frist zur Erreichung des Nullwertes und</w:t>
      </w:r>
    </w:p>
    <w:p w14:paraId="53ADF765" w14:textId="77777777" w:rsidR="00692B96" w:rsidRPr="004676F5" w:rsidRDefault="00692B96" w:rsidP="00692B96">
      <w:pPr>
        <w:jc w:val="both"/>
        <w:rPr>
          <w:lang w:val="de-DE"/>
        </w:rPr>
      </w:pPr>
    </w:p>
    <w:p w14:paraId="53F8D13B" w14:textId="77777777" w:rsidR="00692B96" w:rsidRPr="004676F5" w:rsidRDefault="00692B96" w:rsidP="00692B96">
      <w:pPr>
        <w:jc w:val="both"/>
        <w:rPr>
          <w:lang w:val="de-DE"/>
        </w:rPr>
      </w:pPr>
      <w:r w:rsidRPr="004676F5">
        <w:rPr>
          <w:lang w:val="de-DE"/>
        </w:rPr>
        <w:tab/>
        <w:t>2. im Laufe des zweiten Monats vor Ablauf der Frist zur Erreichung des Nullwertes.</w:t>
      </w:r>
    </w:p>
    <w:p w14:paraId="0B7FA1B9" w14:textId="77777777" w:rsidR="00692B96" w:rsidRPr="004676F5" w:rsidRDefault="00692B96" w:rsidP="00692B96">
      <w:pPr>
        <w:jc w:val="both"/>
        <w:rPr>
          <w:lang w:val="de-DE"/>
        </w:rPr>
      </w:pPr>
    </w:p>
    <w:p w14:paraId="0BFDE120" w14:textId="77777777" w:rsidR="003E12D4" w:rsidRDefault="003E12D4">
      <w:pPr>
        <w:rPr>
          <w:lang w:val="de-DE"/>
        </w:rPr>
      </w:pPr>
      <w:r>
        <w:rPr>
          <w:lang w:val="de-DE"/>
        </w:rPr>
        <w:br w:type="page"/>
      </w:r>
    </w:p>
    <w:p w14:paraId="3D14E7D1" w14:textId="7D4CF271" w:rsidR="00881814" w:rsidRPr="004676F5" w:rsidRDefault="00692B96" w:rsidP="00692B96">
      <w:pPr>
        <w:ind w:firstLine="708"/>
        <w:jc w:val="both"/>
        <w:rPr>
          <w:lang w:val="de-DE"/>
        </w:rPr>
      </w:pPr>
      <w:r w:rsidRPr="004676F5">
        <w:rPr>
          <w:lang w:val="de-DE"/>
        </w:rPr>
        <w:lastRenderedPageBreak/>
        <w:t>Unterliegt der Kreditvertrag einer Frist zur Erreichung des Nullwertes von bis zu einem Jahr, setzt der Kreditgeber in Abweichung von Absatz 1 den Verbraucher mit allen zweckdienlichen Kommunikationsmitteln spätestens zwei Monate vor Ablauf der Frist zur Erreichung des Nullwertes vom Zeitpunkt des Ablaufs der Frist zur Erreichung des Nullwertes und den Folgen der Nichtzahlung am Nullstellungstag in Kenntnis.]</w:t>
      </w:r>
    </w:p>
    <w:p w14:paraId="16D45A94" w14:textId="77777777" w:rsidR="00692B96" w:rsidRPr="004676F5" w:rsidRDefault="00692B96" w:rsidP="00692B96">
      <w:pPr>
        <w:jc w:val="both"/>
        <w:rPr>
          <w:lang w:val="de-DE"/>
        </w:rPr>
      </w:pPr>
    </w:p>
    <w:p w14:paraId="7C0FB1CE" w14:textId="66D0E7F2" w:rsidR="00692B96" w:rsidRPr="004676F5" w:rsidRDefault="00692B96" w:rsidP="00692B96">
      <w:pPr>
        <w:jc w:val="both"/>
        <w:rPr>
          <w:i/>
          <w:iCs/>
          <w:lang w:val="de-DE"/>
        </w:rPr>
      </w:pPr>
      <w:r w:rsidRPr="004676F5">
        <w:rPr>
          <w:i/>
          <w:iCs/>
          <w:lang w:val="de-DE"/>
        </w:rPr>
        <w:t>[Art. VII.95 § 4 ersetzt durch Art. 17 des G. vom 5. November 2023</w:t>
      </w:r>
      <w:r w:rsidR="00AA0B2E" w:rsidRPr="004676F5">
        <w:rPr>
          <w:i/>
          <w:iCs/>
          <w:lang w:val="de-DE"/>
        </w:rPr>
        <w:t> </w:t>
      </w:r>
      <w:r w:rsidR="003454B3" w:rsidRPr="004676F5">
        <w:rPr>
          <w:i/>
          <w:iCs/>
          <w:lang w:val="de-DE"/>
        </w:rPr>
        <w:t>(I)</w:t>
      </w:r>
      <w:r w:rsidRPr="004676F5">
        <w:rPr>
          <w:i/>
          <w:iCs/>
          <w:lang w:val="de-DE"/>
        </w:rPr>
        <w:t xml:space="preserve"> (B.S. vom 11. Dezember 2023)]</w:t>
      </w:r>
    </w:p>
    <w:p w14:paraId="660E115E" w14:textId="77777777" w:rsidR="00881814" w:rsidRPr="004676F5" w:rsidRDefault="00881814" w:rsidP="00881814">
      <w:pPr>
        <w:ind w:firstLine="708"/>
        <w:jc w:val="both"/>
        <w:rPr>
          <w:lang w:val="de-DE"/>
        </w:rPr>
      </w:pPr>
    </w:p>
    <w:p w14:paraId="44BD3830" w14:textId="77777777" w:rsidR="003D6A5C" w:rsidRPr="004676F5" w:rsidRDefault="003D6A5C" w:rsidP="00881814">
      <w:pPr>
        <w:ind w:firstLine="708"/>
        <w:jc w:val="both"/>
        <w:rPr>
          <w:lang w:val="de-DE"/>
        </w:rPr>
      </w:pPr>
    </w:p>
    <w:p w14:paraId="2A2158A3" w14:textId="6F3AED51" w:rsidR="00881814" w:rsidRPr="004676F5" w:rsidRDefault="00881814" w:rsidP="00881814">
      <w:pPr>
        <w:jc w:val="center"/>
        <w:rPr>
          <w:lang w:val="de-DE"/>
        </w:rPr>
      </w:pPr>
      <w:r w:rsidRPr="004676F5">
        <w:rPr>
          <w:lang w:val="de-DE"/>
        </w:rPr>
        <w:t xml:space="preserve">Unterabschnitt 4 </w:t>
      </w:r>
      <w:r w:rsidR="005B7A5C" w:rsidRPr="004676F5">
        <w:rPr>
          <w:lang w:val="de-DE"/>
        </w:rPr>
        <w:t>- </w:t>
      </w:r>
      <w:r w:rsidRPr="004676F5">
        <w:rPr>
          <w:lang w:val="de-DE"/>
        </w:rPr>
        <w:t>Modalitäten der vorzeitigen Rückzahlung und der Kündigung</w:t>
      </w:r>
    </w:p>
    <w:p w14:paraId="5C523ED4" w14:textId="77777777" w:rsidR="00881814" w:rsidRPr="004676F5" w:rsidRDefault="00881814" w:rsidP="00881814">
      <w:pPr>
        <w:ind w:firstLine="708"/>
        <w:jc w:val="both"/>
        <w:rPr>
          <w:lang w:val="de-DE"/>
        </w:rPr>
      </w:pPr>
    </w:p>
    <w:p w14:paraId="5A412E25" w14:textId="77777777" w:rsidR="003D6A5C" w:rsidRPr="004676F5" w:rsidRDefault="003D6A5C" w:rsidP="00881814">
      <w:pPr>
        <w:ind w:firstLine="708"/>
        <w:jc w:val="both"/>
        <w:rPr>
          <w:lang w:val="de-DE"/>
        </w:rPr>
      </w:pPr>
    </w:p>
    <w:p w14:paraId="11942732" w14:textId="557C97D7" w:rsidR="00881814" w:rsidRPr="004676F5" w:rsidRDefault="00BE0A56" w:rsidP="00881814">
      <w:pPr>
        <w:ind w:firstLine="708"/>
        <w:jc w:val="both"/>
        <w:rPr>
          <w:lang w:val="de-DE"/>
        </w:rPr>
      </w:pPr>
      <w:r w:rsidRPr="004676F5">
        <w:rPr>
          <w:b/>
          <w:lang w:val="de-DE"/>
        </w:rPr>
        <w:t>Art. </w:t>
      </w:r>
      <w:r w:rsidR="00881814" w:rsidRPr="004676F5">
        <w:rPr>
          <w:b/>
          <w:lang w:val="de-DE"/>
        </w:rPr>
        <w:t>VII.96</w:t>
      </w:r>
      <w:r w:rsidR="00881814" w:rsidRPr="004676F5">
        <w:rPr>
          <w:lang w:val="de-DE"/>
        </w:rPr>
        <w:t> </w:t>
      </w:r>
      <w:r w:rsidR="005B7A5C" w:rsidRPr="004676F5">
        <w:rPr>
          <w:lang w:val="de-DE"/>
        </w:rPr>
        <w:t>- </w:t>
      </w:r>
      <w:r w:rsidR="00881814" w:rsidRPr="004676F5">
        <w:rPr>
          <w:lang w:val="de-DE"/>
        </w:rPr>
        <w:t>Der Verbraucher ist jederzeit berechtigt, den geschuldeten Restbetrag an Kapital vollständig oder teilweise vorzeitig zurückzuzahlen. In diesem Fall hat er Anrecht auf Ermäßigung der Gesamtkosten des Kredits für den Verbraucher, die den Zinsen und Kosten für die verbleibende Laufzeit des Vertrags entspricht.</w:t>
      </w:r>
    </w:p>
    <w:p w14:paraId="7BB07643" w14:textId="77777777" w:rsidR="00881814" w:rsidRPr="004676F5" w:rsidRDefault="00881814" w:rsidP="00881814">
      <w:pPr>
        <w:ind w:firstLine="708"/>
        <w:jc w:val="both"/>
        <w:rPr>
          <w:lang w:val="de-DE"/>
        </w:rPr>
      </w:pPr>
    </w:p>
    <w:p w14:paraId="3BB5E505" w14:textId="77777777" w:rsidR="00881814" w:rsidRPr="004676F5" w:rsidRDefault="00881814" w:rsidP="00881814">
      <w:pPr>
        <w:ind w:firstLine="708"/>
        <w:jc w:val="both"/>
        <w:rPr>
          <w:lang w:val="de-DE"/>
        </w:rPr>
      </w:pPr>
      <w:r w:rsidRPr="004676F5">
        <w:rPr>
          <w:lang w:val="de-DE"/>
        </w:rPr>
        <w:t xml:space="preserve">Ein Verbraucher, der seinen Kredit ganz oder teilweise vorzeitig zurückzahlen will, informiert den Kreditgeber mindestens zehn Tage vor der Rückzahlung </w:t>
      </w:r>
      <w:r w:rsidR="00286866" w:rsidRPr="004676F5">
        <w:rPr>
          <w:lang w:val="de-DE"/>
        </w:rPr>
        <w:t>[</w:t>
      </w:r>
      <w:r w:rsidRPr="004676F5">
        <w:rPr>
          <w:lang w:val="de-DE"/>
        </w:rPr>
        <w:t>per Einschreibe</w:t>
      </w:r>
      <w:r w:rsidR="00286866" w:rsidRPr="004676F5">
        <w:rPr>
          <w:lang w:val="de-DE"/>
        </w:rPr>
        <w:t xml:space="preserve">sendung] </w:t>
      </w:r>
      <w:r w:rsidRPr="004676F5">
        <w:rPr>
          <w:lang w:val="de-DE"/>
        </w:rPr>
        <w:t>über seine Absicht.</w:t>
      </w:r>
    </w:p>
    <w:p w14:paraId="4C1FD43F" w14:textId="77777777" w:rsidR="00881814" w:rsidRPr="004676F5" w:rsidRDefault="00881814" w:rsidP="00881814">
      <w:pPr>
        <w:ind w:firstLine="708"/>
        <w:jc w:val="both"/>
        <w:rPr>
          <w:lang w:val="de-DE"/>
        </w:rPr>
      </w:pPr>
    </w:p>
    <w:p w14:paraId="7C1E5025" w14:textId="783BDA8F" w:rsidR="00286866" w:rsidRPr="004676F5" w:rsidRDefault="00286866" w:rsidP="00286866">
      <w:pPr>
        <w:jc w:val="both"/>
        <w:rPr>
          <w:i/>
          <w:lang w:val="de-DE"/>
        </w:rPr>
      </w:pPr>
      <w:r w:rsidRPr="004676F5">
        <w:rPr>
          <w:i/>
          <w:lang w:val="de-DE"/>
        </w:rPr>
        <w:t>[</w:t>
      </w:r>
      <w:r w:rsidR="00BE0A56" w:rsidRPr="004676F5">
        <w:rPr>
          <w:i/>
          <w:lang w:val="de-DE"/>
        </w:rPr>
        <w:t>Art. </w:t>
      </w:r>
      <w:r w:rsidRPr="004676F5">
        <w:rPr>
          <w:i/>
          <w:lang w:val="de-DE"/>
        </w:rPr>
        <w:t xml:space="preserve">VII.96 Abs. 2 abgeändert durch </w:t>
      </w:r>
      <w:r w:rsidR="00BE0A56" w:rsidRPr="004676F5">
        <w:rPr>
          <w:i/>
          <w:lang w:val="de-DE"/>
        </w:rPr>
        <w:t>Art. </w:t>
      </w:r>
      <w:r w:rsidRPr="004676F5">
        <w:rPr>
          <w:i/>
          <w:lang w:val="de-DE"/>
        </w:rPr>
        <w:t>14 des G. vom 22. April 2016 (B.S. vom 4. Mai 2016)]</w:t>
      </w:r>
    </w:p>
    <w:p w14:paraId="31F5A4C9" w14:textId="77777777" w:rsidR="00286866" w:rsidRPr="004676F5" w:rsidRDefault="00286866" w:rsidP="00286866">
      <w:pPr>
        <w:jc w:val="both"/>
        <w:rPr>
          <w:i/>
          <w:lang w:val="de-DE"/>
        </w:rPr>
      </w:pPr>
    </w:p>
    <w:p w14:paraId="37BF8AE9" w14:textId="77777777" w:rsidR="003D6A5C" w:rsidRPr="004676F5" w:rsidRDefault="003D6A5C" w:rsidP="00881814">
      <w:pPr>
        <w:ind w:firstLine="708"/>
        <w:jc w:val="both"/>
        <w:rPr>
          <w:lang w:val="de-DE"/>
        </w:rPr>
      </w:pPr>
    </w:p>
    <w:p w14:paraId="4A40E8F5" w14:textId="68146A19" w:rsidR="00881814" w:rsidRPr="004676F5" w:rsidRDefault="00BE0A56" w:rsidP="00881814">
      <w:pPr>
        <w:ind w:firstLine="708"/>
        <w:jc w:val="both"/>
        <w:rPr>
          <w:spacing w:val="-4"/>
          <w:lang w:val="de-DE"/>
        </w:rPr>
      </w:pPr>
      <w:r w:rsidRPr="004676F5">
        <w:rPr>
          <w:b/>
          <w:spacing w:val="-4"/>
          <w:lang w:val="de-DE"/>
        </w:rPr>
        <w:t>Art. </w:t>
      </w:r>
      <w:r w:rsidR="00881814" w:rsidRPr="004676F5">
        <w:rPr>
          <w:b/>
          <w:spacing w:val="-4"/>
          <w:lang w:val="de-DE"/>
        </w:rPr>
        <w:t>VII.97</w:t>
      </w:r>
      <w:r w:rsidR="00881814" w:rsidRPr="004676F5">
        <w:rPr>
          <w:spacing w:val="-4"/>
          <w:lang w:val="de-DE"/>
        </w:rPr>
        <w:t> </w:t>
      </w:r>
      <w:r w:rsidR="005B7A5C" w:rsidRPr="004676F5">
        <w:rPr>
          <w:spacing w:val="-4"/>
          <w:lang w:val="de-DE"/>
        </w:rPr>
        <w:t>- </w:t>
      </w:r>
      <w:r w:rsidR="00881814" w:rsidRPr="004676F5">
        <w:rPr>
          <w:spacing w:val="-4"/>
          <w:lang w:val="de-DE"/>
        </w:rPr>
        <w:t>§ 1 </w:t>
      </w:r>
      <w:r w:rsidR="005B7A5C" w:rsidRPr="004676F5">
        <w:rPr>
          <w:spacing w:val="-4"/>
          <w:lang w:val="de-DE"/>
        </w:rPr>
        <w:t>- </w:t>
      </w:r>
      <w:r w:rsidR="00881814" w:rsidRPr="004676F5">
        <w:rPr>
          <w:spacing w:val="-4"/>
          <w:lang w:val="de-DE"/>
        </w:rPr>
        <w:t>Der Kreditgeber kann im Falle der vorzeitigen Rückzahlung, ob vollständig oder teilweise, eine angemessene und objektiv gerechtfertigte Entschädigung festlegen.</w:t>
      </w:r>
    </w:p>
    <w:p w14:paraId="3735D074" w14:textId="77777777" w:rsidR="00881814" w:rsidRPr="004676F5" w:rsidRDefault="00881814" w:rsidP="00881814">
      <w:pPr>
        <w:ind w:firstLine="708"/>
        <w:jc w:val="both"/>
        <w:rPr>
          <w:lang w:val="de-DE"/>
        </w:rPr>
      </w:pPr>
    </w:p>
    <w:p w14:paraId="268AB6A1" w14:textId="12D8E6EE" w:rsidR="00881814" w:rsidRPr="004676F5" w:rsidRDefault="00881814" w:rsidP="00881814">
      <w:pPr>
        <w:ind w:firstLine="708"/>
        <w:jc w:val="both"/>
        <w:rPr>
          <w:lang w:val="de-DE"/>
        </w:rPr>
      </w:pPr>
      <w:r w:rsidRPr="004676F5">
        <w:rPr>
          <w:lang w:val="de-DE"/>
        </w:rPr>
        <w:t>Binnen zehn Tagen nach Erhalt des in Artikel VII.96 Absatz 2 erwähnten Ein</w:t>
      </w:r>
      <w:r w:rsidRPr="004676F5">
        <w:rPr>
          <w:lang w:val="de-DE"/>
        </w:rPr>
        <w:softHyphen/>
        <w:t xml:space="preserve">schreibens oder nach Eingang der vom Verbraucher zurückgezahlten Beträge auf dem Konto teilt der Kreditgeber dem Verbraucher </w:t>
      </w:r>
      <w:r w:rsidR="004A1CBF" w:rsidRPr="004676F5">
        <w:rPr>
          <w:lang w:val="de-DE"/>
        </w:rPr>
        <w:t xml:space="preserve">[auf einem dauerhaften Datenträger] </w:t>
      </w:r>
      <w:r w:rsidRPr="004676F5">
        <w:rPr>
          <w:lang w:val="de-DE"/>
        </w:rPr>
        <w:t>den Betrag der geforderten Entschädigung mit. Diese Mitteilung umfasst insbesondere die Berechnung der Entschädigung.</w:t>
      </w:r>
    </w:p>
    <w:p w14:paraId="328CF2B7" w14:textId="77777777" w:rsidR="00881814" w:rsidRPr="004676F5" w:rsidRDefault="00881814" w:rsidP="00881814">
      <w:pPr>
        <w:ind w:firstLine="708"/>
        <w:jc w:val="both"/>
        <w:rPr>
          <w:lang w:val="de-DE"/>
        </w:rPr>
      </w:pPr>
    </w:p>
    <w:p w14:paraId="6448211B" w14:textId="77777777" w:rsidR="00881814" w:rsidRPr="004676F5" w:rsidRDefault="00881814" w:rsidP="00881814">
      <w:pPr>
        <w:ind w:firstLine="708"/>
        <w:jc w:val="both"/>
        <w:rPr>
          <w:lang w:val="de-DE"/>
        </w:rPr>
      </w:pPr>
      <w:r w:rsidRPr="004676F5">
        <w:rPr>
          <w:lang w:val="de-DE"/>
        </w:rPr>
        <w:t>Wenn der Zeitraum zwischen der vorzeitigen Rückzahlung und dem vereinbarten Ende der Laufzeit des Vertrags ein Jahr überschreitet, darf die Entschädigung nicht mehr als 1 Prozent des Betrags des vorzeitig zurückgezahlten Kapitals betragen.</w:t>
      </w:r>
    </w:p>
    <w:p w14:paraId="3E2B05B7" w14:textId="77777777" w:rsidR="00881814" w:rsidRPr="004676F5" w:rsidRDefault="00881814" w:rsidP="00881814">
      <w:pPr>
        <w:ind w:firstLine="708"/>
        <w:jc w:val="both"/>
        <w:rPr>
          <w:lang w:val="de-DE"/>
        </w:rPr>
      </w:pPr>
    </w:p>
    <w:p w14:paraId="13870F74" w14:textId="77777777" w:rsidR="00881814" w:rsidRPr="004676F5" w:rsidRDefault="00881814" w:rsidP="00881814">
      <w:pPr>
        <w:ind w:firstLine="708"/>
        <w:jc w:val="both"/>
        <w:rPr>
          <w:lang w:val="de-DE"/>
        </w:rPr>
      </w:pPr>
      <w:r w:rsidRPr="004676F5">
        <w:rPr>
          <w:lang w:val="de-DE"/>
        </w:rPr>
        <w:t>Beträgt der Zeitraum weniger als ein Jahr, darf die Entschädigung 0,5 Prozent des Betrags des vorzeitig zurückgezahlten Kapitals nicht überschreiten.</w:t>
      </w:r>
    </w:p>
    <w:p w14:paraId="3F68A40A" w14:textId="77777777" w:rsidR="00881814" w:rsidRPr="004676F5" w:rsidRDefault="00881814" w:rsidP="00881814">
      <w:pPr>
        <w:ind w:firstLine="708"/>
        <w:jc w:val="both"/>
        <w:rPr>
          <w:lang w:val="de-DE"/>
        </w:rPr>
      </w:pPr>
    </w:p>
    <w:p w14:paraId="2C69F7BD" w14:textId="1D2BC753"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Keine Entschädigung darf vom Kreditgeber verlangt werden:</w:t>
      </w:r>
    </w:p>
    <w:p w14:paraId="7851DAE8" w14:textId="77777777" w:rsidR="00881814" w:rsidRPr="004676F5" w:rsidRDefault="00881814" w:rsidP="00881814">
      <w:pPr>
        <w:ind w:firstLine="708"/>
        <w:jc w:val="both"/>
        <w:rPr>
          <w:lang w:val="de-DE"/>
        </w:rPr>
      </w:pPr>
    </w:p>
    <w:p w14:paraId="774800E5" w14:textId="77777777" w:rsidR="00881814" w:rsidRPr="004676F5" w:rsidRDefault="00881814" w:rsidP="00881814">
      <w:pPr>
        <w:ind w:firstLine="708"/>
        <w:jc w:val="both"/>
        <w:rPr>
          <w:lang w:val="de-DE"/>
        </w:rPr>
      </w:pPr>
      <w:r w:rsidRPr="004676F5">
        <w:rPr>
          <w:lang w:val="de-DE"/>
        </w:rPr>
        <w:t xml:space="preserve">1. wenn in Anwendung der Artikel VII.194 bis VII.196, VII.200 oder VII.201 die Verbindlichkeiten des Verbrauchers auf den Barzahlungspreis oder den aufgenommenen Betrag beschränkt wurden, </w:t>
      </w:r>
    </w:p>
    <w:p w14:paraId="205752E5" w14:textId="77777777" w:rsidR="00881814" w:rsidRPr="004676F5" w:rsidRDefault="00881814" w:rsidP="00881814">
      <w:pPr>
        <w:ind w:firstLine="708"/>
        <w:jc w:val="both"/>
        <w:rPr>
          <w:lang w:val="de-DE"/>
        </w:rPr>
      </w:pPr>
    </w:p>
    <w:p w14:paraId="5113DEDA" w14:textId="77777777" w:rsidR="00881814" w:rsidRPr="004676F5" w:rsidRDefault="00881814" w:rsidP="00881814">
      <w:pPr>
        <w:ind w:firstLine="708"/>
        <w:jc w:val="both"/>
        <w:rPr>
          <w:lang w:val="de-DE"/>
        </w:rPr>
      </w:pPr>
      <w:r w:rsidRPr="004676F5">
        <w:rPr>
          <w:lang w:val="de-DE"/>
        </w:rPr>
        <w:t>2. im Falle einer Rückzahlung in Ausführung eines Versicherungsvertrags, der vertraglich die Rückzahlung des Kredits gewährleistet,</w:t>
      </w:r>
    </w:p>
    <w:p w14:paraId="02592BDD" w14:textId="77777777" w:rsidR="00881814" w:rsidRPr="004676F5" w:rsidRDefault="00881814" w:rsidP="00881814">
      <w:pPr>
        <w:ind w:firstLine="708"/>
        <w:jc w:val="both"/>
        <w:rPr>
          <w:lang w:val="de-DE"/>
        </w:rPr>
      </w:pPr>
    </w:p>
    <w:p w14:paraId="31F46885" w14:textId="77777777" w:rsidR="00881814" w:rsidRPr="004676F5" w:rsidRDefault="00881814" w:rsidP="00881814">
      <w:pPr>
        <w:ind w:firstLine="708"/>
        <w:jc w:val="both"/>
        <w:rPr>
          <w:lang w:val="de-DE"/>
        </w:rPr>
      </w:pPr>
      <w:r w:rsidRPr="004676F5">
        <w:rPr>
          <w:lang w:val="de-DE"/>
        </w:rPr>
        <w:t>3. bei einer Krediteröffnung,</w:t>
      </w:r>
    </w:p>
    <w:p w14:paraId="085A88BE" w14:textId="77777777" w:rsidR="00881814" w:rsidRPr="004676F5" w:rsidRDefault="00881814" w:rsidP="00881814">
      <w:pPr>
        <w:ind w:firstLine="708"/>
        <w:jc w:val="both"/>
        <w:rPr>
          <w:lang w:val="de-DE"/>
        </w:rPr>
      </w:pPr>
    </w:p>
    <w:p w14:paraId="143CA403" w14:textId="77777777" w:rsidR="00881814" w:rsidRPr="004676F5" w:rsidRDefault="00881814" w:rsidP="00881814">
      <w:pPr>
        <w:ind w:firstLine="708"/>
        <w:jc w:val="both"/>
        <w:rPr>
          <w:lang w:val="de-DE"/>
        </w:rPr>
      </w:pPr>
      <w:r w:rsidRPr="004676F5">
        <w:rPr>
          <w:lang w:val="de-DE"/>
        </w:rPr>
        <w:lastRenderedPageBreak/>
        <w:t>4. wenn die vorzeitige Rückzahlung in einen Zeitraum fällt, für den kein fester Sollzinssatz vereinbart wurde.</w:t>
      </w:r>
    </w:p>
    <w:p w14:paraId="756CC966" w14:textId="77777777" w:rsidR="00881814" w:rsidRPr="004676F5" w:rsidRDefault="00881814" w:rsidP="00881814">
      <w:pPr>
        <w:ind w:firstLine="708"/>
        <w:jc w:val="both"/>
        <w:rPr>
          <w:lang w:val="de-DE"/>
        </w:rPr>
      </w:pPr>
    </w:p>
    <w:p w14:paraId="697744BD" w14:textId="234A05A4"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Keinesfalls darf die Entschädigung den Zinsbetrag übersteigen, den der Ver</w:t>
      </w:r>
      <w:r w:rsidRPr="004676F5">
        <w:rPr>
          <w:lang w:val="de-DE"/>
        </w:rPr>
        <w:softHyphen/>
        <w:t>braucher in der Zeit zwischen der vorzeitigen Rückzahlung und dem vereinbarten Ende der Laufzeit des Kreditvertrags bezahlt hätte.</w:t>
      </w:r>
    </w:p>
    <w:p w14:paraId="1F94FC13" w14:textId="77777777" w:rsidR="00881814" w:rsidRPr="004676F5" w:rsidRDefault="00881814" w:rsidP="00881814">
      <w:pPr>
        <w:ind w:firstLine="708"/>
        <w:jc w:val="both"/>
        <w:rPr>
          <w:lang w:val="de-DE"/>
        </w:rPr>
      </w:pPr>
    </w:p>
    <w:p w14:paraId="402384E9" w14:textId="1B52F62A" w:rsidR="004A1CBF" w:rsidRPr="004676F5" w:rsidRDefault="004A1CBF" w:rsidP="004A1CBF">
      <w:pPr>
        <w:jc w:val="both"/>
        <w:rPr>
          <w:i/>
          <w:iCs/>
          <w:lang w:val="de-DE"/>
        </w:rPr>
      </w:pPr>
      <w:r w:rsidRPr="004676F5">
        <w:rPr>
          <w:i/>
          <w:iCs/>
          <w:lang w:val="de-DE"/>
        </w:rPr>
        <w:t>[Art. VII.97 § 1 Abs. 2 abgeändert durch Art. 12 des G. vom 20. September 2018 (B.S. vom 10. Oktober 2018)]</w:t>
      </w:r>
    </w:p>
    <w:p w14:paraId="1584D783" w14:textId="77777777" w:rsidR="004A1CBF" w:rsidRPr="004676F5" w:rsidRDefault="004A1CBF" w:rsidP="00881814">
      <w:pPr>
        <w:ind w:firstLine="708"/>
        <w:jc w:val="both"/>
        <w:rPr>
          <w:lang w:val="de-DE"/>
        </w:rPr>
      </w:pPr>
    </w:p>
    <w:p w14:paraId="31973095" w14:textId="77777777" w:rsidR="003D6A5C" w:rsidRPr="004676F5" w:rsidRDefault="003D6A5C" w:rsidP="00881814">
      <w:pPr>
        <w:ind w:firstLine="708"/>
        <w:jc w:val="both"/>
        <w:rPr>
          <w:lang w:val="de-DE"/>
        </w:rPr>
      </w:pPr>
    </w:p>
    <w:p w14:paraId="102F8924" w14:textId="27579F0C" w:rsidR="00881814" w:rsidRPr="004676F5" w:rsidRDefault="00BE0A56" w:rsidP="008C1624">
      <w:pPr>
        <w:ind w:firstLine="708"/>
        <w:jc w:val="both"/>
        <w:rPr>
          <w:lang w:val="de-DE"/>
        </w:rPr>
      </w:pPr>
      <w:r w:rsidRPr="004676F5">
        <w:rPr>
          <w:b/>
          <w:lang w:val="de-DE"/>
        </w:rPr>
        <w:t>Art. </w:t>
      </w:r>
      <w:r w:rsidR="00881814" w:rsidRPr="004676F5">
        <w:rPr>
          <w:b/>
          <w:lang w:val="de-DE"/>
        </w:rPr>
        <w:t>VII.98</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Der Verbraucher kann einen unbefristeten Kreditvertrag jederzeit unentgeltlich kündigen, es sei denn, die Parteien haben eine Kündigungsfrist vereinb</w:t>
      </w:r>
      <w:r w:rsidR="008C1624" w:rsidRPr="004676F5">
        <w:rPr>
          <w:lang w:val="de-DE"/>
        </w:rPr>
        <w:t>a</w:t>
      </w:r>
      <w:r w:rsidRPr="004676F5">
        <w:rPr>
          <w:lang w:val="de-DE"/>
        </w:rPr>
        <w:t>rt. </w:t>
      </w:r>
      <w:r w:rsidR="00881814" w:rsidRPr="004676F5">
        <w:rPr>
          <w:lang w:val="de-DE"/>
        </w:rPr>
        <w:t xml:space="preserve">Die Kündigungsfrist darf einen Monat nicht überschreiten. Übt der Verbraucher sein Kündigungsrecht aus, teilt er dies dem Kreditgeber </w:t>
      </w:r>
      <w:r w:rsidR="009F24CD" w:rsidRPr="004676F5">
        <w:rPr>
          <w:lang w:val="de-DE"/>
        </w:rPr>
        <w:t xml:space="preserve">[per Einschreibesendung] </w:t>
      </w:r>
      <w:r w:rsidR="00881814" w:rsidRPr="004676F5">
        <w:rPr>
          <w:lang w:val="de-DE"/>
        </w:rPr>
        <w:t>oder auf einem anderen vom Kreditgeber akzeptierten Träger mit.</w:t>
      </w:r>
    </w:p>
    <w:p w14:paraId="0AACE8B9" w14:textId="77777777" w:rsidR="00881814" w:rsidRPr="004676F5" w:rsidRDefault="00881814" w:rsidP="00881814">
      <w:pPr>
        <w:ind w:firstLine="708"/>
        <w:jc w:val="both"/>
        <w:rPr>
          <w:lang w:val="de-DE"/>
        </w:rPr>
      </w:pPr>
    </w:p>
    <w:p w14:paraId="2668AEFD" w14:textId="42639F34" w:rsidR="00881814" w:rsidRPr="004676F5" w:rsidRDefault="00881814" w:rsidP="00881814">
      <w:pPr>
        <w:ind w:firstLine="708"/>
        <w:jc w:val="both"/>
        <w:rPr>
          <w:lang w:val="de-DE"/>
        </w:rPr>
      </w:pPr>
      <w:r w:rsidRPr="004676F5">
        <w:rPr>
          <w:lang w:val="de-DE"/>
        </w:rPr>
        <w:t xml:space="preserve">Enthält der Kreditvertrag eine entsprechende Vereinbarung, so kann der Kreditgeber einen unbefristeten Kreditvertrag unter Einhaltung einer mindestens zweimonatigen Kündigungsfrist kündigen; die Kündigung ist dem Verbraucher </w:t>
      </w:r>
      <w:r w:rsidR="004A1CBF" w:rsidRPr="004676F5">
        <w:rPr>
          <w:lang w:val="de-DE"/>
        </w:rPr>
        <w:t xml:space="preserve">[auf einem dauerhaften Datenträger] </w:t>
      </w:r>
      <w:r w:rsidRPr="004676F5">
        <w:rPr>
          <w:lang w:val="de-DE"/>
        </w:rPr>
        <w:t xml:space="preserve">mitzuteilen. Übt der Kreditgeber sein Recht aus, teilt er dies dem Verbraucher </w:t>
      </w:r>
      <w:r w:rsidR="009F24CD" w:rsidRPr="004676F5">
        <w:rPr>
          <w:lang w:val="de-DE"/>
        </w:rPr>
        <w:t xml:space="preserve">[per Einschreibesendung] </w:t>
      </w:r>
      <w:r w:rsidRPr="004676F5">
        <w:rPr>
          <w:lang w:val="de-DE"/>
        </w:rPr>
        <w:t>oder auf einem anderen vom Verbraucher akzeptierten Datenträger mit.</w:t>
      </w:r>
    </w:p>
    <w:p w14:paraId="190DF914" w14:textId="77777777" w:rsidR="00881814" w:rsidRPr="004676F5" w:rsidRDefault="00881814" w:rsidP="00881814">
      <w:pPr>
        <w:jc w:val="both"/>
        <w:rPr>
          <w:lang w:val="de-DE"/>
        </w:rPr>
      </w:pPr>
    </w:p>
    <w:p w14:paraId="48192D96" w14:textId="4D62876E"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 xml:space="preserve">Enthält der Kreditvertrag eine entsprechende Vereinbarung, so kann der Kreditgeber aus sachlich gerechtfertigten Gründen das Recht des Verbrauchers auf Inanspruchnahme von Kreditbeträgen aufgrund eines Kreditvertrags aussetzen, insbesondere wenn er über Auskünfte verfügt, aus denen er ableiten kann, dass der Verbraucher nicht mehr in der Lage sein wird, seine Verbindlichkeiten zu erfüllen. Der Kreditgeber hat den Verbraucher über die Aussetzung und die Gründe hierfür möglichst vor, spätestens jedoch unverzüglich nach der Aussetzung </w:t>
      </w:r>
      <w:r w:rsidR="00E057DB" w:rsidRPr="004676F5">
        <w:rPr>
          <w:lang w:val="de-DE"/>
        </w:rPr>
        <w:t xml:space="preserve">[auf einem dauerhaften Datenträger] </w:t>
      </w:r>
      <w:r w:rsidRPr="004676F5">
        <w:rPr>
          <w:lang w:val="de-DE"/>
        </w:rPr>
        <w:t>zu informieren, es sei denn, eine solche Unterrichtung ist nach anderen Rechtsvorschriften nicht zulässig oder läuft Zielen der öffentlichen Ordnung oder der öffentlichen Sicherheit zuwider.</w:t>
      </w:r>
    </w:p>
    <w:p w14:paraId="08F6AB9D" w14:textId="77777777" w:rsidR="00881814" w:rsidRPr="004676F5" w:rsidRDefault="00881814" w:rsidP="00881814">
      <w:pPr>
        <w:rPr>
          <w:lang w:val="de-DE"/>
        </w:rPr>
      </w:pPr>
    </w:p>
    <w:p w14:paraId="7A224A86" w14:textId="3ACF023F" w:rsidR="009F24CD" w:rsidRPr="004676F5" w:rsidRDefault="009F24CD" w:rsidP="00E057DB">
      <w:pPr>
        <w:jc w:val="both"/>
        <w:rPr>
          <w:i/>
          <w:lang w:val="de-DE"/>
        </w:rPr>
      </w:pPr>
      <w:r w:rsidRPr="004676F5">
        <w:rPr>
          <w:i/>
          <w:lang w:val="de-DE"/>
        </w:rPr>
        <w:t>[</w:t>
      </w:r>
      <w:r w:rsidR="00BE0A56" w:rsidRPr="004676F5">
        <w:rPr>
          <w:i/>
          <w:lang w:val="de-DE"/>
        </w:rPr>
        <w:t>Art. </w:t>
      </w:r>
      <w:r w:rsidRPr="004676F5">
        <w:rPr>
          <w:i/>
          <w:lang w:val="de-DE"/>
        </w:rPr>
        <w:t xml:space="preserve">VII.98 § 1 Abs. 1 abgeändert durch </w:t>
      </w:r>
      <w:r w:rsidR="00BE0A56" w:rsidRPr="004676F5">
        <w:rPr>
          <w:i/>
          <w:lang w:val="de-DE"/>
        </w:rPr>
        <w:t>Art. </w:t>
      </w:r>
      <w:r w:rsidRPr="004676F5">
        <w:rPr>
          <w:i/>
          <w:lang w:val="de-DE"/>
        </w:rPr>
        <w:t>15 des G. vom 22. April 2016 (B.S. vom 4. Mai 2016)</w:t>
      </w:r>
      <w:r w:rsidR="004A1CBF" w:rsidRPr="004676F5">
        <w:rPr>
          <w:i/>
          <w:lang w:val="de-DE"/>
        </w:rPr>
        <w:t>; § 1 Abs. 2 abgeändert durch Art. 15 des G. vom 22. April 2016 (B.S. vom 4. Mai 2016) und Art. 12</w:t>
      </w:r>
      <w:r w:rsidR="004A1CBF" w:rsidRPr="004676F5">
        <w:rPr>
          <w:i/>
          <w:iCs/>
          <w:lang w:val="de-DE"/>
        </w:rPr>
        <w:t xml:space="preserve"> des G. vom 20. September 2018 (B.S. vom 10. Oktober 2018)</w:t>
      </w:r>
      <w:r w:rsidR="00E057DB" w:rsidRPr="004676F5">
        <w:rPr>
          <w:i/>
          <w:iCs/>
          <w:lang w:val="de-DE"/>
        </w:rPr>
        <w:t>; § 2 abgeändert durch Art. 12 des G. vom 20. September 2018 (B.S. vom 10. Oktober 2018)</w:t>
      </w:r>
      <w:r w:rsidRPr="004676F5">
        <w:rPr>
          <w:i/>
          <w:lang w:val="de-DE"/>
        </w:rPr>
        <w:t>]</w:t>
      </w:r>
    </w:p>
    <w:p w14:paraId="1091E221" w14:textId="77777777" w:rsidR="003D6A5C" w:rsidRPr="004676F5" w:rsidRDefault="003D6A5C" w:rsidP="00881814">
      <w:pPr>
        <w:rPr>
          <w:lang w:val="de-DE"/>
        </w:rPr>
      </w:pPr>
    </w:p>
    <w:p w14:paraId="479CD1BF" w14:textId="77777777" w:rsidR="009F24CD" w:rsidRPr="004676F5" w:rsidRDefault="009F24CD" w:rsidP="00881814">
      <w:pPr>
        <w:rPr>
          <w:lang w:val="de-DE"/>
        </w:rPr>
      </w:pPr>
    </w:p>
    <w:p w14:paraId="66276A58" w14:textId="6280741D" w:rsidR="00881814" w:rsidRPr="004676F5" w:rsidRDefault="00881814" w:rsidP="00881814">
      <w:pPr>
        <w:jc w:val="center"/>
        <w:rPr>
          <w:lang w:val="de-DE"/>
        </w:rPr>
      </w:pPr>
      <w:r w:rsidRPr="004676F5">
        <w:rPr>
          <w:lang w:val="de-DE"/>
        </w:rPr>
        <w:t xml:space="preserve">Unterabschnitt 5 </w:t>
      </w:r>
      <w:r w:rsidR="005B7A5C" w:rsidRPr="004676F5">
        <w:rPr>
          <w:lang w:val="de-DE"/>
        </w:rPr>
        <w:t>- </w:t>
      </w:r>
      <w:r w:rsidRPr="004676F5">
        <w:rPr>
          <w:lang w:val="de-DE"/>
        </w:rPr>
        <w:t>Kontoauszüge</w:t>
      </w:r>
    </w:p>
    <w:p w14:paraId="1127A9A2" w14:textId="77777777" w:rsidR="00881814" w:rsidRPr="004676F5" w:rsidRDefault="00881814" w:rsidP="00881814">
      <w:pPr>
        <w:ind w:firstLine="708"/>
        <w:jc w:val="both"/>
        <w:rPr>
          <w:lang w:val="de-DE"/>
        </w:rPr>
      </w:pPr>
    </w:p>
    <w:p w14:paraId="39A36266" w14:textId="77777777" w:rsidR="003D6A5C" w:rsidRPr="004676F5" w:rsidRDefault="003D6A5C" w:rsidP="00881814">
      <w:pPr>
        <w:ind w:firstLine="708"/>
        <w:jc w:val="both"/>
        <w:rPr>
          <w:lang w:val="de-DE"/>
        </w:rPr>
      </w:pPr>
    </w:p>
    <w:p w14:paraId="4C02C5E2" w14:textId="083F87E5" w:rsidR="00881814" w:rsidRPr="004676F5" w:rsidRDefault="00BE0A56" w:rsidP="00881814">
      <w:pPr>
        <w:ind w:firstLine="708"/>
        <w:jc w:val="both"/>
        <w:rPr>
          <w:lang w:val="de-DE"/>
        </w:rPr>
      </w:pPr>
      <w:r w:rsidRPr="004676F5">
        <w:rPr>
          <w:b/>
          <w:lang w:val="de-DE"/>
        </w:rPr>
        <w:t>Art. </w:t>
      </w:r>
      <w:r w:rsidR="00881814" w:rsidRPr="004676F5">
        <w:rPr>
          <w:b/>
          <w:lang w:val="de-DE"/>
        </w:rPr>
        <w:t>VII.99</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 xml:space="preserve">Für jede Krediteröffnung wird der Verbraucher regelmäßig mittels eines Kontoauszugs </w:t>
      </w:r>
      <w:r w:rsidR="004A1CBF" w:rsidRPr="004676F5">
        <w:rPr>
          <w:lang w:val="de-DE"/>
        </w:rPr>
        <w:t xml:space="preserve">[auf einem dauerhaften Datenträger] </w:t>
      </w:r>
      <w:r w:rsidR="00881814" w:rsidRPr="004676F5">
        <w:rPr>
          <w:lang w:val="de-DE"/>
        </w:rPr>
        <w:t>informiert, der folgende Einzelheiten enthält:</w:t>
      </w:r>
    </w:p>
    <w:p w14:paraId="216E5F59" w14:textId="77777777" w:rsidR="00881814" w:rsidRPr="004676F5" w:rsidRDefault="00881814" w:rsidP="00881814">
      <w:pPr>
        <w:ind w:firstLine="708"/>
        <w:jc w:val="both"/>
        <w:rPr>
          <w:lang w:val="de-DE"/>
        </w:rPr>
      </w:pPr>
    </w:p>
    <w:p w14:paraId="224C908E" w14:textId="77777777" w:rsidR="00881814" w:rsidRPr="004676F5" w:rsidRDefault="00881814" w:rsidP="00881814">
      <w:pPr>
        <w:ind w:firstLine="708"/>
        <w:jc w:val="both"/>
        <w:rPr>
          <w:lang w:val="de-DE"/>
        </w:rPr>
      </w:pPr>
      <w:r w:rsidRPr="004676F5">
        <w:rPr>
          <w:lang w:val="de-DE"/>
        </w:rPr>
        <w:t>1. genauer Zeitraum, auf den sich der Kontoauszug bezieht,</w:t>
      </w:r>
    </w:p>
    <w:p w14:paraId="6E526C67" w14:textId="77777777" w:rsidR="00881814" w:rsidRPr="004676F5" w:rsidRDefault="00881814" w:rsidP="00881814">
      <w:pPr>
        <w:ind w:firstLine="708"/>
        <w:jc w:val="both"/>
        <w:rPr>
          <w:lang w:val="de-DE"/>
        </w:rPr>
      </w:pPr>
    </w:p>
    <w:p w14:paraId="6B159CEF" w14:textId="77777777" w:rsidR="00881814" w:rsidRPr="004676F5" w:rsidRDefault="00881814" w:rsidP="00881814">
      <w:pPr>
        <w:ind w:firstLine="708"/>
        <w:jc w:val="both"/>
        <w:rPr>
          <w:lang w:val="de-DE"/>
        </w:rPr>
      </w:pPr>
      <w:r w:rsidRPr="004676F5">
        <w:rPr>
          <w:lang w:val="de-DE"/>
        </w:rPr>
        <w:t>2. in Anspruch genommene Beträge und Datum der Inanspruchnahme,</w:t>
      </w:r>
    </w:p>
    <w:p w14:paraId="37325DDB" w14:textId="77777777" w:rsidR="00881814" w:rsidRPr="004676F5" w:rsidRDefault="00881814" w:rsidP="00881814">
      <w:pPr>
        <w:ind w:firstLine="708"/>
        <w:jc w:val="both"/>
        <w:rPr>
          <w:lang w:val="de-DE"/>
        </w:rPr>
      </w:pPr>
    </w:p>
    <w:p w14:paraId="22477D17" w14:textId="77777777" w:rsidR="00881814" w:rsidRPr="004676F5" w:rsidRDefault="00881814" w:rsidP="00881814">
      <w:pPr>
        <w:ind w:firstLine="708"/>
        <w:jc w:val="both"/>
        <w:rPr>
          <w:lang w:val="de-DE"/>
        </w:rPr>
      </w:pPr>
      <w:r w:rsidRPr="004676F5">
        <w:rPr>
          <w:lang w:val="de-DE"/>
        </w:rPr>
        <w:t>3. Gesamtrestschuldbetrag und Datum des letzten Kontoauszugs,</w:t>
      </w:r>
    </w:p>
    <w:p w14:paraId="2B96AFBA" w14:textId="77777777" w:rsidR="00881814" w:rsidRPr="004676F5" w:rsidRDefault="00881814" w:rsidP="00881814">
      <w:pPr>
        <w:ind w:firstLine="708"/>
        <w:jc w:val="both"/>
        <w:rPr>
          <w:lang w:val="de-DE"/>
        </w:rPr>
      </w:pPr>
    </w:p>
    <w:p w14:paraId="4EE03A47" w14:textId="77777777" w:rsidR="00881814" w:rsidRPr="004676F5" w:rsidRDefault="00881814" w:rsidP="00881814">
      <w:pPr>
        <w:ind w:firstLine="708"/>
        <w:jc w:val="both"/>
        <w:rPr>
          <w:lang w:val="de-DE"/>
        </w:rPr>
      </w:pPr>
      <w:r w:rsidRPr="004676F5">
        <w:rPr>
          <w:lang w:val="de-DE"/>
        </w:rPr>
        <w:lastRenderedPageBreak/>
        <w:t>4. neuer Gesamtrestschuldbetrag,</w:t>
      </w:r>
    </w:p>
    <w:p w14:paraId="0B28891E" w14:textId="77777777" w:rsidR="00881814" w:rsidRPr="004676F5" w:rsidRDefault="00881814" w:rsidP="00881814">
      <w:pPr>
        <w:ind w:firstLine="708"/>
        <w:jc w:val="both"/>
        <w:rPr>
          <w:lang w:val="de-DE"/>
        </w:rPr>
      </w:pPr>
    </w:p>
    <w:p w14:paraId="2D20F6C7" w14:textId="77777777" w:rsidR="00881814" w:rsidRPr="004676F5" w:rsidRDefault="00881814" w:rsidP="00881814">
      <w:pPr>
        <w:ind w:firstLine="708"/>
        <w:jc w:val="both"/>
        <w:rPr>
          <w:lang w:val="de-DE"/>
        </w:rPr>
      </w:pPr>
      <w:r w:rsidRPr="004676F5">
        <w:rPr>
          <w:lang w:val="de-DE"/>
        </w:rPr>
        <w:t>5. jeweiliges Datum und jeweiliger Betrag der Zahlungen des Verbrauchers,</w:t>
      </w:r>
    </w:p>
    <w:p w14:paraId="64A7F094" w14:textId="77777777" w:rsidR="00881814" w:rsidRPr="004676F5" w:rsidRDefault="00881814" w:rsidP="00881814">
      <w:pPr>
        <w:ind w:firstLine="708"/>
        <w:jc w:val="both"/>
        <w:rPr>
          <w:lang w:val="de-DE"/>
        </w:rPr>
      </w:pPr>
    </w:p>
    <w:p w14:paraId="19C55820" w14:textId="77777777" w:rsidR="00881814" w:rsidRPr="004676F5" w:rsidRDefault="00881814" w:rsidP="00881814">
      <w:pPr>
        <w:ind w:firstLine="708"/>
        <w:jc w:val="both"/>
        <w:rPr>
          <w:lang w:val="de-DE"/>
        </w:rPr>
      </w:pPr>
      <w:r w:rsidRPr="004676F5">
        <w:rPr>
          <w:lang w:val="de-DE"/>
        </w:rPr>
        <w:t>6. angewandter Sollzinssatz/angewandte Sollzinssätze,</w:t>
      </w:r>
    </w:p>
    <w:p w14:paraId="42D28EDA" w14:textId="77777777" w:rsidR="00881814" w:rsidRPr="004676F5" w:rsidRDefault="00881814" w:rsidP="00881814">
      <w:pPr>
        <w:ind w:firstLine="708"/>
        <w:jc w:val="both"/>
        <w:rPr>
          <w:lang w:val="de-DE"/>
        </w:rPr>
      </w:pPr>
    </w:p>
    <w:p w14:paraId="22BF291F" w14:textId="77777777" w:rsidR="00881814" w:rsidRPr="004676F5" w:rsidRDefault="00881814" w:rsidP="00881814">
      <w:pPr>
        <w:ind w:firstLine="708"/>
        <w:jc w:val="both"/>
        <w:rPr>
          <w:lang w:val="de-DE"/>
        </w:rPr>
      </w:pPr>
      <w:r w:rsidRPr="004676F5">
        <w:rPr>
          <w:lang w:val="de-DE"/>
        </w:rPr>
        <w:t>7. verschiedene Beträge aller etwaig erhobenen Entgelte,</w:t>
      </w:r>
    </w:p>
    <w:p w14:paraId="1A9961A1" w14:textId="77777777" w:rsidR="00881814" w:rsidRPr="004676F5" w:rsidRDefault="00881814" w:rsidP="00881814">
      <w:pPr>
        <w:ind w:firstLine="708"/>
        <w:jc w:val="both"/>
        <w:rPr>
          <w:lang w:val="de-DE"/>
        </w:rPr>
      </w:pPr>
    </w:p>
    <w:p w14:paraId="09432F63" w14:textId="77777777" w:rsidR="00881814" w:rsidRPr="004676F5" w:rsidRDefault="00881814" w:rsidP="00881814">
      <w:pPr>
        <w:ind w:firstLine="708"/>
        <w:jc w:val="both"/>
        <w:rPr>
          <w:lang w:val="de-DE"/>
        </w:rPr>
      </w:pPr>
      <w:r w:rsidRPr="004676F5">
        <w:rPr>
          <w:lang w:val="de-DE"/>
        </w:rPr>
        <w:t>8. gegebenenfalls zu zahlender Mindestbetrag und Zinsen.</w:t>
      </w:r>
    </w:p>
    <w:p w14:paraId="717DB0E5" w14:textId="77777777" w:rsidR="00881814" w:rsidRPr="004676F5" w:rsidRDefault="00881814" w:rsidP="00881814">
      <w:pPr>
        <w:ind w:firstLine="708"/>
        <w:jc w:val="both"/>
        <w:rPr>
          <w:lang w:val="de-DE"/>
        </w:rPr>
      </w:pPr>
    </w:p>
    <w:p w14:paraId="7DF8296A" w14:textId="0D580C24"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Für Krediteröffnungen, bei denen es sich nicht um Überziehungsmöglichkeiten handelt, sind folgende zusätzliche Einzelheiten mitzuteilen:</w:t>
      </w:r>
    </w:p>
    <w:p w14:paraId="3459BAD3" w14:textId="77777777" w:rsidR="00881814" w:rsidRPr="004676F5" w:rsidRDefault="00881814" w:rsidP="00881814">
      <w:pPr>
        <w:ind w:firstLine="708"/>
        <w:jc w:val="both"/>
        <w:rPr>
          <w:lang w:val="de-DE"/>
        </w:rPr>
      </w:pPr>
    </w:p>
    <w:p w14:paraId="7160F91B" w14:textId="77777777" w:rsidR="00881814" w:rsidRPr="004676F5" w:rsidRDefault="00881814" w:rsidP="00881814">
      <w:pPr>
        <w:ind w:firstLine="708"/>
        <w:jc w:val="both"/>
        <w:rPr>
          <w:lang w:val="de-DE"/>
        </w:rPr>
      </w:pPr>
      <w:r w:rsidRPr="004676F5">
        <w:rPr>
          <w:lang w:val="de-DE"/>
        </w:rPr>
        <w:t>1. gegebenenfalls Restschuld des vorherigen Auszugs,</w:t>
      </w:r>
    </w:p>
    <w:p w14:paraId="30417373" w14:textId="77777777" w:rsidR="00881814" w:rsidRPr="004676F5" w:rsidRDefault="00881814" w:rsidP="00881814">
      <w:pPr>
        <w:ind w:firstLine="708"/>
        <w:jc w:val="both"/>
        <w:rPr>
          <w:lang w:val="de-DE"/>
        </w:rPr>
      </w:pPr>
    </w:p>
    <w:p w14:paraId="59F6D951" w14:textId="77777777" w:rsidR="00881814" w:rsidRPr="004676F5" w:rsidRDefault="00881814" w:rsidP="00881814">
      <w:pPr>
        <w:ind w:firstLine="708"/>
        <w:jc w:val="both"/>
        <w:rPr>
          <w:lang w:val="de-DE"/>
        </w:rPr>
      </w:pPr>
      <w:r w:rsidRPr="004676F5">
        <w:rPr>
          <w:lang w:val="de-DE"/>
        </w:rPr>
        <w:t>2. gegebenenfalls Fälligkeiten der ausstehenden Kosten,</w:t>
      </w:r>
    </w:p>
    <w:p w14:paraId="6DFBF0C2" w14:textId="77777777" w:rsidR="00881814" w:rsidRPr="004676F5" w:rsidRDefault="00881814" w:rsidP="00881814">
      <w:pPr>
        <w:ind w:firstLine="708"/>
        <w:jc w:val="both"/>
        <w:rPr>
          <w:lang w:val="de-DE"/>
        </w:rPr>
      </w:pPr>
    </w:p>
    <w:p w14:paraId="755037BD" w14:textId="72146D22" w:rsidR="00881814" w:rsidRPr="004676F5" w:rsidRDefault="00881814" w:rsidP="00881814">
      <w:pPr>
        <w:ind w:firstLine="708"/>
        <w:jc w:val="both"/>
        <w:rPr>
          <w:lang w:val="de-DE"/>
        </w:rPr>
      </w:pPr>
      <w:r w:rsidRPr="004676F5">
        <w:rPr>
          <w:lang w:val="de-DE"/>
        </w:rPr>
        <w:t>3. Fälligkeit und Betrag der ausstehenden Zinsen pro angewandten Sollzinssatz und Angabe der Methode zur Berechnung dieser Zinsen auf die Restschuld anhand des Sollzinssatzes</w:t>
      </w:r>
      <w:r w:rsidR="00692B96" w:rsidRPr="004676F5">
        <w:rPr>
          <w:lang w:val="de-DE"/>
        </w:rPr>
        <w:t>,</w:t>
      </w:r>
    </w:p>
    <w:p w14:paraId="15B11569" w14:textId="77777777" w:rsidR="00692B96" w:rsidRPr="004676F5" w:rsidRDefault="00692B96" w:rsidP="00881814">
      <w:pPr>
        <w:ind w:firstLine="708"/>
        <w:jc w:val="both"/>
        <w:rPr>
          <w:lang w:val="de-DE"/>
        </w:rPr>
      </w:pPr>
    </w:p>
    <w:p w14:paraId="1E0D0376" w14:textId="5DD94464" w:rsidR="00692B96" w:rsidRPr="004676F5" w:rsidRDefault="00692B96" w:rsidP="00881814">
      <w:pPr>
        <w:ind w:firstLine="708"/>
        <w:jc w:val="both"/>
        <w:rPr>
          <w:lang w:val="de-DE"/>
        </w:rPr>
      </w:pPr>
      <w:r w:rsidRPr="004676F5">
        <w:rPr>
          <w:lang w:val="de-DE"/>
        </w:rPr>
        <w:t>[4. Datum, an dem die Frist zur Erreichung des Nullwertes abläuft, mit einem deutlich sichtbaren Warnhinweis, dass die vertraglich vereinbarten Mindestzahlungen möglicherweise nicht ausreichen, um den abgebuchten Betrag rechtzeitig zu diesem Datum zurückzuzahlen.]</w:t>
      </w:r>
    </w:p>
    <w:p w14:paraId="0C14FF3F" w14:textId="77777777" w:rsidR="004A1CBF" w:rsidRPr="004676F5" w:rsidRDefault="004A1CBF" w:rsidP="004A1CBF">
      <w:pPr>
        <w:jc w:val="both"/>
        <w:rPr>
          <w:lang w:val="de-DE"/>
        </w:rPr>
      </w:pPr>
    </w:p>
    <w:p w14:paraId="4F0F76E4" w14:textId="4AD7FA97" w:rsidR="004A1CBF" w:rsidRPr="004676F5" w:rsidRDefault="004A1CBF" w:rsidP="004A1CBF">
      <w:pPr>
        <w:jc w:val="both"/>
        <w:rPr>
          <w:i/>
          <w:iCs/>
          <w:lang w:val="de-DE"/>
        </w:rPr>
      </w:pPr>
      <w:r w:rsidRPr="004676F5">
        <w:rPr>
          <w:i/>
          <w:iCs/>
          <w:lang w:val="de-DE"/>
        </w:rPr>
        <w:t>[Art. VII.99 § 1 einziger Absatz einleitende Bestimmung abgeändert durch Art. 12 des G. vom 20. September 2018 (B.S. vom 10. Oktober 2018)</w:t>
      </w:r>
      <w:r w:rsidR="00692B96" w:rsidRPr="004676F5">
        <w:rPr>
          <w:i/>
          <w:iCs/>
          <w:lang w:val="de-DE"/>
        </w:rPr>
        <w:t xml:space="preserve">; § 2 einziger Absatz Nr. 4 eingefügt durch Art. 18 des G. vom 5. November 2023 </w:t>
      </w:r>
      <w:r w:rsidR="003454B3" w:rsidRPr="004676F5">
        <w:rPr>
          <w:i/>
          <w:iCs/>
          <w:lang w:val="de-DE"/>
        </w:rPr>
        <w:t xml:space="preserve">(I) </w:t>
      </w:r>
      <w:r w:rsidR="00692B96" w:rsidRPr="004676F5">
        <w:rPr>
          <w:i/>
          <w:iCs/>
          <w:lang w:val="de-DE"/>
        </w:rPr>
        <w:t>(B.S. vom 11. Dezember 2023)</w:t>
      </w:r>
      <w:r w:rsidRPr="004676F5">
        <w:rPr>
          <w:i/>
          <w:iCs/>
          <w:lang w:val="de-DE"/>
        </w:rPr>
        <w:t>]</w:t>
      </w:r>
    </w:p>
    <w:p w14:paraId="217731D7" w14:textId="1F50FA46" w:rsidR="00881814" w:rsidRPr="004676F5" w:rsidRDefault="00881814" w:rsidP="00881814">
      <w:pPr>
        <w:ind w:firstLine="708"/>
        <w:jc w:val="both"/>
        <w:rPr>
          <w:lang w:val="de-DE"/>
        </w:rPr>
      </w:pPr>
    </w:p>
    <w:p w14:paraId="74BFD966" w14:textId="77777777" w:rsidR="003D6A5C" w:rsidRPr="004676F5" w:rsidRDefault="003D6A5C" w:rsidP="00881814">
      <w:pPr>
        <w:ind w:firstLine="708"/>
        <w:jc w:val="both"/>
        <w:rPr>
          <w:lang w:val="de-DE"/>
        </w:rPr>
      </w:pPr>
    </w:p>
    <w:p w14:paraId="7F040527" w14:textId="0E8E9558" w:rsidR="00881814" w:rsidRPr="004676F5" w:rsidRDefault="00881814" w:rsidP="00881814">
      <w:pPr>
        <w:jc w:val="center"/>
        <w:rPr>
          <w:lang w:val="de-DE"/>
        </w:rPr>
      </w:pPr>
      <w:r w:rsidRPr="004676F5">
        <w:rPr>
          <w:lang w:val="de-DE"/>
        </w:rPr>
        <w:t>Unterabschnitt 6 </w:t>
      </w:r>
      <w:r w:rsidR="005B7A5C" w:rsidRPr="004676F5">
        <w:rPr>
          <w:lang w:val="de-DE"/>
        </w:rPr>
        <w:t>- </w:t>
      </w:r>
      <w:r w:rsidRPr="004676F5">
        <w:rPr>
          <w:lang w:val="de-DE"/>
        </w:rPr>
        <w:t>Nicht erlaubte Überziehungen und Überschreitungen</w:t>
      </w:r>
    </w:p>
    <w:p w14:paraId="5846A6F9" w14:textId="77777777" w:rsidR="00881814" w:rsidRPr="004676F5" w:rsidRDefault="00881814" w:rsidP="00881814">
      <w:pPr>
        <w:ind w:firstLine="708"/>
        <w:jc w:val="both"/>
        <w:rPr>
          <w:lang w:val="de-DE"/>
        </w:rPr>
      </w:pPr>
    </w:p>
    <w:p w14:paraId="29807766" w14:textId="6736AD52" w:rsidR="003D6A5C" w:rsidRPr="004676F5" w:rsidRDefault="003D6A5C" w:rsidP="00A12382">
      <w:pPr>
        <w:ind w:firstLine="708"/>
        <w:jc w:val="both"/>
        <w:rPr>
          <w:lang w:val="de-DE"/>
        </w:rPr>
      </w:pPr>
    </w:p>
    <w:p w14:paraId="37A415CE" w14:textId="2E87AF17" w:rsidR="00A12382" w:rsidRPr="004676F5" w:rsidRDefault="00BE0A56" w:rsidP="00A12382">
      <w:pPr>
        <w:ind w:firstLine="708"/>
        <w:jc w:val="both"/>
        <w:rPr>
          <w:lang w:val="de-DE"/>
        </w:rPr>
      </w:pPr>
      <w:r w:rsidRPr="004676F5">
        <w:rPr>
          <w:b/>
          <w:lang w:val="de-DE"/>
        </w:rPr>
        <w:t>Art. </w:t>
      </w:r>
      <w:r w:rsidR="00881814" w:rsidRPr="004676F5">
        <w:rPr>
          <w:b/>
          <w:lang w:val="de-DE"/>
        </w:rPr>
        <w:t>VII.100</w:t>
      </w:r>
      <w:r w:rsidR="00881814" w:rsidRPr="004676F5">
        <w:rPr>
          <w:lang w:val="de-DE"/>
        </w:rPr>
        <w:t> </w:t>
      </w:r>
      <w:r w:rsidR="005B7A5C" w:rsidRPr="004676F5">
        <w:rPr>
          <w:lang w:val="de-DE"/>
        </w:rPr>
        <w:t>- </w:t>
      </w:r>
      <w:r w:rsidR="00881814" w:rsidRPr="004676F5">
        <w:rPr>
          <w:lang w:val="de-DE"/>
        </w:rPr>
        <w:t>§ 1</w:t>
      </w:r>
      <w:r w:rsidR="003E12D4">
        <w:rPr>
          <w:lang w:val="de-DE"/>
        </w:rPr>
        <w:t> </w:t>
      </w:r>
      <w:r w:rsidR="005B7A5C" w:rsidRPr="004676F5">
        <w:rPr>
          <w:lang w:val="de-DE"/>
        </w:rPr>
        <w:t>- </w:t>
      </w:r>
      <w:r w:rsidR="00A12382" w:rsidRPr="004676F5">
        <w:rPr>
          <w:lang w:val="de-DE"/>
        </w:rPr>
        <w:t>[Kommt es im Rahmen einer Krediteröffnung oder eines Zahlungskontos zu einer Überziehung und hat der Kreditgeber jegliche Überziehung des gewährten Kreditbetrags ausdrücklich verboten, setzt dieser die Inanspruchnahme von Kreditbeträgen aus und verlangt die Rückzahlung des nicht gewährten Überziehungsbetrags innerhalb einer Frist von maximal fünfundvierzig Tagen ab dem Tag der nicht gewährten Überziehung.</w:t>
      </w:r>
    </w:p>
    <w:p w14:paraId="2CE552B5" w14:textId="77777777" w:rsidR="00A12382" w:rsidRPr="004676F5" w:rsidRDefault="00A12382" w:rsidP="00A12382">
      <w:pPr>
        <w:ind w:firstLine="708"/>
        <w:jc w:val="both"/>
        <w:rPr>
          <w:lang w:val="de-DE"/>
        </w:rPr>
      </w:pPr>
    </w:p>
    <w:p w14:paraId="74A2BF8B" w14:textId="77777777" w:rsidR="00A12382" w:rsidRPr="004676F5" w:rsidRDefault="00A12382" w:rsidP="00A12382">
      <w:pPr>
        <w:ind w:firstLine="708"/>
        <w:jc w:val="both"/>
        <w:rPr>
          <w:lang w:val="de-DE"/>
        </w:rPr>
      </w:pPr>
      <w:r w:rsidRPr="004676F5">
        <w:rPr>
          <w:lang w:val="de-DE"/>
        </w:rPr>
        <w:t>Im Falle einer in Absatz 1 erwähnten nicht gewährten Überziehung im Rahmen einer Krediteröffnung können nur ausdrücklich vereinbarte und durch vorliegendes Buch erlaubte Verzugszinsen und Kosten eingefordert werden. Die Verzugszinsen werden auf den Betrag der nicht gewährten Überziehung berechnet.</w:t>
      </w:r>
    </w:p>
    <w:p w14:paraId="229B36E0" w14:textId="77777777" w:rsidR="00A12382" w:rsidRPr="004676F5" w:rsidRDefault="00A12382" w:rsidP="00A12382">
      <w:pPr>
        <w:ind w:firstLine="708"/>
        <w:jc w:val="both"/>
        <w:rPr>
          <w:lang w:val="de-DE"/>
        </w:rPr>
      </w:pPr>
    </w:p>
    <w:p w14:paraId="3795011F" w14:textId="77777777" w:rsidR="00A12382" w:rsidRPr="004676F5" w:rsidRDefault="00A12382" w:rsidP="00A12382">
      <w:pPr>
        <w:ind w:firstLine="708"/>
        <w:jc w:val="both"/>
        <w:rPr>
          <w:lang w:val="de-DE"/>
        </w:rPr>
      </w:pPr>
      <w:r w:rsidRPr="004676F5">
        <w:rPr>
          <w:lang w:val="de-DE"/>
        </w:rPr>
        <w:t>Im Falle einer in Absatz 1 erwähnten Überziehung im Rahmen eines Zahlungskontos, mit dem kein Kreditvertrag verbunden ist, können nur folgende Beträge eingefordert werden:</w:t>
      </w:r>
    </w:p>
    <w:p w14:paraId="6A58E29E" w14:textId="77777777" w:rsidR="00A12382" w:rsidRPr="004676F5" w:rsidRDefault="00A12382" w:rsidP="00A12382">
      <w:pPr>
        <w:ind w:firstLine="708"/>
        <w:jc w:val="both"/>
        <w:rPr>
          <w:lang w:val="de-DE"/>
        </w:rPr>
      </w:pPr>
    </w:p>
    <w:p w14:paraId="6EFAB7DD" w14:textId="77777777" w:rsidR="00A12382" w:rsidRPr="004676F5" w:rsidRDefault="00A12382" w:rsidP="00A12382">
      <w:pPr>
        <w:ind w:firstLine="708"/>
        <w:jc w:val="both"/>
        <w:rPr>
          <w:lang w:val="de-DE"/>
        </w:rPr>
      </w:pPr>
      <w:r w:rsidRPr="004676F5">
        <w:rPr>
          <w:lang w:val="de-DE"/>
        </w:rPr>
        <w:t>1. der maximale Verzugszinssatz in Höhe des maximalen effektiven Jahreszinses für eine Krediteröffnung ohne Karte zum Zeitpunkt des Auftretens der nicht gewährten Überziehung eines Zahlungskontos,</w:t>
      </w:r>
    </w:p>
    <w:p w14:paraId="236C8BC7" w14:textId="77777777" w:rsidR="00A12382" w:rsidRPr="004676F5" w:rsidRDefault="00A12382" w:rsidP="00A12382">
      <w:pPr>
        <w:ind w:firstLine="708"/>
        <w:jc w:val="both"/>
        <w:rPr>
          <w:lang w:val="de-DE"/>
        </w:rPr>
      </w:pPr>
    </w:p>
    <w:p w14:paraId="163B19C0" w14:textId="77777777" w:rsidR="00A12382" w:rsidRPr="004676F5" w:rsidRDefault="00A12382" w:rsidP="00A12382">
      <w:pPr>
        <w:ind w:firstLine="708"/>
        <w:jc w:val="both"/>
        <w:rPr>
          <w:lang w:val="de-DE"/>
        </w:rPr>
      </w:pPr>
      <w:r w:rsidRPr="004676F5">
        <w:rPr>
          <w:lang w:val="de-DE"/>
        </w:rPr>
        <w:lastRenderedPageBreak/>
        <w:t>2. vereinbarte Kosten für Mahn- und Inverzugsetzungsschreiben für höchstens eine Sendung pro Monat. Diese Kosten bestehen aus einem pauschalen Höchstbetrag von 7,50 EUR zuzüglich der am Tag der Absendung gültigen Portokosten. Der König kann diesen Pauschalbetrag dem Verbraucherpreisindex anpassen,</w:t>
      </w:r>
    </w:p>
    <w:p w14:paraId="7457A706" w14:textId="77777777" w:rsidR="00A12382" w:rsidRPr="004676F5" w:rsidRDefault="00A12382" w:rsidP="00A12382">
      <w:pPr>
        <w:ind w:firstLine="708"/>
        <w:jc w:val="both"/>
        <w:rPr>
          <w:lang w:val="de-DE"/>
        </w:rPr>
      </w:pPr>
    </w:p>
    <w:p w14:paraId="61AF8DEF" w14:textId="77777777" w:rsidR="00A12382" w:rsidRPr="004676F5" w:rsidRDefault="00A12382" w:rsidP="00A12382">
      <w:pPr>
        <w:ind w:firstLine="708"/>
        <w:jc w:val="both"/>
        <w:rPr>
          <w:lang w:val="de-DE"/>
        </w:rPr>
      </w:pPr>
      <w:r w:rsidRPr="004676F5">
        <w:rPr>
          <w:lang w:val="de-DE"/>
        </w:rPr>
        <w:t>3. eine pauschale Entschädigung in Höhe von 5 Prozent des Betrags der nicht gewährten Überziehung, wenn der Verbraucher einen Monat nach einem Inverzugsetzungseinschreiben seinen Verbindlichkeiten nicht nachgekommen ist. Dieses Schreiben wird versandt, wenn der Verbraucher seinen Verbindlichkeiten nach Absatz 1 nicht nachgekommen ist.</w:t>
      </w:r>
    </w:p>
    <w:p w14:paraId="26E4F44D" w14:textId="77777777" w:rsidR="00A12382" w:rsidRPr="004676F5" w:rsidRDefault="00A12382" w:rsidP="00A12382">
      <w:pPr>
        <w:ind w:firstLine="708"/>
        <w:jc w:val="both"/>
        <w:rPr>
          <w:lang w:val="de-DE"/>
        </w:rPr>
      </w:pPr>
    </w:p>
    <w:p w14:paraId="387CE5B8" w14:textId="77777777" w:rsidR="00A12382" w:rsidRPr="004676F5" w:rsidRDefault="00A12382" w:rsidP="00A12382">
      <w:pPr>
        <w:ind w:firstLine="708"/>
        <w:jc w:val="both"/>
        <w:rPr>
          <w:lang w:val="de-DE"/>
        </w:rPr>
      </w:pPr>
      <w:r w:rsidRPr="004676F5">
        <w:rPr>
          <w:lang w:val="de-DE"/>
        </w:rPr>
        <w:t>Im Falle einer in Absatz 1 erwähnten Überziehung wird dem Verbraucher unverzüglich auf einem dauerhaften Datenträger Folgendes mitgeteilt:</w:t>
      </w:r>
    </w:p>
    <w:p w14:paraId="2A85A314" w14:textId="77777777" w:rsidR="00A12382" w:rsidRPr="004676F5" w:rsidRDefault="00A12382" w:rsidP="00A12382">
      <w:pPr>
        <w:ind w:firstLine="708"/>
        <w:jc w:val="both"/>
        <w:rPr>
          <w:lang w:val="de-DE"/>
        </w:rPr>
      </w:pPr>
    </w:p>
    <w:p w14:paraId="63CE0AEF" w14:textId="77777777" w:rsidR="00A12382" w:rsidRPr="004676F5" w:rsidRDefault="00A12382" w:rsidP="00A12382">
      <w:pPr>
        <w:ind w:firstLine="708"/>
        <w:jc w:val="both"/>
        <w:rPr>
          <w:lang w:val="de-DE"/>
        </w:rPr>
      </w:pPr>
      <w:r w:rsidRPr="004676F5">
        <w:rPr>
          <w:lang w:val="de-DE"/>
        </w:rPr>
        <w:t>1. Vorliegen einer nicht gewährten Überziehung,</w:t>
      </w:r>
    </w:p>
    <w:p w14:paraId="72865667" w14:textId="77777777" w:rsidR="00A12382" w:rsidRPr="004676F5" w:rsidRDefault="00A12382" w:rsidP="00A12382">
      <w:pPr>
        <w:ind w:firstLine="708"/>
        <w:jc w:val="both"/>
        <w:rPr>
          <w:lang w:val="de-DE"/>
        </w:rPr>
      </w:pPr>
    </w:p>
    <w:p w14:paraId="26AD969F" w14:textId="77777777" w:rsidR="00A12382" w:rsidRPr="004676F5" w:rsidRDefault="00A12382" w:rsidP="00A12382">
      <w:pPr>
        <w:ind w:firstLine="708"/>
        <w:jc w:val="both"/>
        <w:rPr>
          <w:lang w:val="de-DE"/>
        </w:rPr>
      </w:pPr>
      <w:r w:rsidRPr="004676F5">
        <w:rPr>
          <w:lang w:val="de-DE"/>
        </w:rPr>
        <w:t>2. Betrag der nicht gewährten Überziehung,</w:t>
      </w:r>
    </w:p>
    <w:p w14:paraId="6C780622" w14:textId="77777777" w:rsidR="00A12382" w:rsidRPr="004676F5" w:rsidRDefault="00A12382" w:rsidP="00A12382">
      <w:pPr>
        <w:ind w:firstLine="708"/>
        <w:jc w:val="both"/>
        <w:rPr>
          <w:lang w:val="de-DE"/>
        </w:rPr>
      </w:pPr>
    </w:p>
    <w:p w14:paraId="53904547" w14:textId="77777777" w:rsidR="00A12382" w:rsidRPr="004676F5" w:rsidRDefault="00A12382" w:rsidP="00A12382">
      <w:pPr>
        <w:ind w:firstLine="708"/>
        <w:jc w:val="both"/>
        <w:rPr>
          <w:lang w:val="de-DE"/>
        </w:rPr>
      </w:pPr>
      <w:r w:rsidRPr="004676F5">
        <w:rPr>
          <w:lang w:val="de-DE"/>
        </w:rPr>
        <w:t>3. etwaige Vertragsstrafen, Entgelte beziehungsweise Zinsen, die auf den Betrag der nicht gewährten Überziehung Anwendung finden,</w:t>
      </w:r>
    </w:p>
    <w:p w14:paraId="60BEA99B" w14:textId="77777777" w:rsidR="00A12382" w:rsidRPr="004676F5" w:rsidRDefault="00A12382" w:rsidP="00A12382">
      <w:pPr>
        <w:ind w:firstLine="708"/>
        <w:jc w:val="both"/>
        <w:rPr>
          <w:lang w:val="de-DE"/>
        </w:rPr>
      </w:pPr>
    </w:p>
    <w:p w14:paraId="0D7D7FF8" w14:textId="77777777" w:rsidR="00A12382" w:rsidRPr="004676F5" w:rsidRDefault="00A12382" w:rsidP="00A12382">
      <w:pPr>
        <w:ind w:firstLine="708"/>
        <w:jc w:val="both"/>
        <w:rPr>
          <w:lang w:val="de-DE"/>
        </w:rPr>
      </w:pPr>
      <w:r w:rsidRPr="004676F5">
        <w:rPr>
          <w:lang w:val="de-DE"/>
        </w:rPr>
        <w:t>4. Frist, innerhalb deren die Rückzahlung des nicht gewährten Überziehungsbetrags zu erfolgen hat,</w:t>
      </w:r>
    </w:p>
    <w:p w14:paraId="22A30CB6" w14:textId="77777777" w:rsidR="00A12382" w:rsidRPr="004676F5" w:rsidRDefault="00A12382" w:rsidP="00A12382">
      <w:pPr>
        <w:ind w:firstLine="708"/>
        <w:jc w:val="both"/>
        <w:rPr>
          <w:lang w:val="de-DE"/>
        </w:rPr>
      </w:pPr>
    </w:p>
    <w:p w14:paraId="642B5DC2" w14:textId="77777777" w:rsidR="00A12382" w:rsidRPr="004676F5" w:rsidRDefault="00A12382" w:rsidP="00A12382">
      <w:pPr>
        <w:ind w:firstLine="708"/>
        <w:jc w:val="both"/>
        <w:rPr>
          <w:lang w:val="de-DE"/>
        </w:rPr>
      </w:pPr>
      <w:r w:rsidRPr="004676F5">
        <w:rPr>
          <w:lang w:val="de-DE"/>
        </w:rPr>
        <w:t>5. Warnung über die Folgen bei Zahlungsausfall, einschließlich der Bedingungen der Registrierung in der Zentrale.</w:t>
      </w:r>
    </w:p>
    <w:p w14:paraId="6EB8CBCB" w14:textId="77777777" w:rsidR="00A12382" w:rsidRPr="004676F5" w:rsidRDefault="00A12382" w:rsidP="00A12382">
      <w:pPr>
        <w:ind w:firstLine="708"/>
        <w:jc w:val="both"/>
        <w:rPr>
          <w:lang w:val="de-DE"/>
        </w:rPr>
      </w:pPr>
    </w:p>
    <w:p w14:paraId="426F0F4D" w14:textId="5D3D8427" w:rsidR="00A12382" w:rsidRPr="004676F5" w:rsidRDefault="00A12382" w:rsidP="00A12382">
      <w:pPr>
        <w:ind w:firstLine="708"/>
        <w:jc w:val="both"/>
        <w:rPr>
          <w:lang w:val="de-DE"/>
        </w:rPr>
      </w:pPr>
      <w:r w:rsidRPr="004676F5">
        <w:rPr>
          <w:lang w:val="de-DE"/>
        </w:rPr>
        <w:t>In Anwendung von Absatz 2 und 3 verlangte Zahlungen müssen in einer Unterlage, die dem Verbraucher kostenlos ausgehändigt wird, detailliert angegeben und gerechtfertigt werden.</w:t>
      </w:r>
    </w:p>
    <w:p w14:paraId="39AACDD2" w14:textId="77777777" w:rsidR="00A12382" w:rsidRPr="004676F5" w:rsidRDefault="00A12382" w:rsidP="00A12382">
      <w:pPr>
        <w:ind w:firstLine="708"/>
        <w:jc w:val="both"/>
        <w:rPr>
          <w:lang w:val="de-DE"/>
        </w:rPr>
      </w:pPr>
    </w:p>
    <w:p w14:paraId="12EA4A88" w14:textId="61BD234E" w:rsidR="00881814" w:rsidRPr="004676F5" w:rsidRDefault="00A12382" w:rsidP="00A12382">
      <w:pPr>
        <w:ind w:firstLine="708"/>
        <w:jc w:val="both"/>
        <w:rPr>
          <w:lang w:val="de-DE"/>
        </w:rPr>
      </w:pPr>
      <w:r w:rsidRPr="004676F5">
        <w:rPr>
          <w:lang w:val="de-DE"/>
        </w:rPr>
        <w:t>Klauseln, die für den Fall der Nichterfüllung der Verbindlichkeiten seitens des Verbrauchers in vorliegendem Buch nicht vorgesehene Strafen oder Entschädigungen auferlegen, sind verboten und gelten als ungeschrieben.]</w:t>
      </w:r>
    </w:p>
    <w:p w14:paraId="4139FBAD" w14:textId="77777777" w:rsidR="00881814" w:rsidRPr="004676F5" w:rsidRDefault="00881814" w:rsidP="00881814">
      <w:pPr>
        <w:ind w:firstLine="708"/>
        <w:jc w:val="both"/>
        <w:rPr>
          <w:lang w:val="de-DE"/>
        </w:rPr>
      </w:pPr>
    </w:p>
    <w:p w14:paraId="05D4B753" w14:textId="5450AF48"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 xml:space="preserve">Hält der Verbraucher die aus dem vorangehenden Paragraphen hervorgehenden Verpflichtungen nicht ein, kündigt der Kreditgeber entweder den Vertrag unter Einhaltung von </w:t>
      </w:r>
      <w:r w:rsidR="003E12D4">
        <w:rPr>
          <w:lang w:val="de-DE"/>
        </w:rPr>
        <w:t>[</w:t>
      </w:r>
      <w:r w:rsidRPr="004676F5">
        <w:rPr>
          <w:lang w:val="de-DE"/>
        </w:rPr>
        <w:t xml:space="preserve">Artikel VII.105 </w:t>
      </w:r>
      <w:r w:rsidR="003E12D4">
        <w:rPr>
          <w:lang w:val="de-DE"/>
        </w:rPr>
        <w:t>§ 2 </w:t>
      </w:r>
      <w:r w:rsidRPr="004676F5">
        <w:rPr>
          <w:lang w:val="de-DE"/>
        </w:rPr>
        <w:t>Absatz </w:t>
      </w:r>
      <w:r w:rsidR="003E12D4">
        <w:rPr>
          <w:lang w:val="de-DE"/>
        </w:rPr>
        <w:t>2</w:t>
      </w:r>
      <w:r w:rsidRPr="004676F5">
        <w:rPr>
          <w:lang w:val="de-DE"/>
        </w:rPr>
        <w:t xml:space="preserve"> Nr. 3</w:t>
      </w:r>
      <w:r w:rsidR="003E12D4">
        <w:rPr>
          <w:lang w:val="de-DE"/>
        </w:rPr>
        <w:t>]</w:t>
      </w:r>
      <w:r w:rsidRPr="004676F5">
        <w:rPr>
          <w:lang w:val="de-DE"/>
        </w:rPr>
        <w:t xml:space="preserve"> oder er setzt unter Einhaltung aller Bestimmungen des vorliegenden Buches durch Schuldumwandlung einen neuen Vertrag mit einem höheren Kreditbetrag auf.</w:t>
      </w:r>
    </w:p>
    <w:p w14:paraId="4C89AAFE" w14:textId="77777777" w:rsidR="00980259" w:rsidRPr="004676F5" w:rsidRDefault="00980259" w:rsidP="00881814">
      <w:pPr>
        <w:ind w:firstLine="708"/>
        <w:jc w:val="both"/>
        <w:rPr>
          <w:lang w:val="de-DE"/>
        </w:rPr>
      </w:pPr>
    </w:p>
    <w:p w14:paraId="5871A2D2" w14:textId="58318381" w:rsidR="00980259" w:rsidRPr="004676F5" w:rsidRDefault="00980259" w:rsidP="00980259">
      <w:pPr>
        <w:jc w:val="both"/>
        <w:rPr>
          <w:i/>
          <w:lang w:val="de-DE"/>
        </w:rPr>
      </w:pPr>
      <w:r w:rsidRPr="004676F5">
        <w:rPr>
          <w:i/>
          <w:lang w:val="de-DE"/>
        </w:rPr>
        <w:t>[</w:t>
      </w:r>
      <w:r w:rsidR="00BE0A56" w:rsidRPr="004676F5">
        <w:rPr>
          <w:i/>
          <w:lang w:val="de-DE"/>
        </w:rPr>
        <w:t>Art. </w:t>
      </w:r>
      <w:r w:rsidRPr="004676F5">
        <w:rPr>
          <w:i/>
          <w:lang w:val="de-DE"/>
        </w:rPr>
        <w:t xml:space="preserve">VII.100 § 1 </w:t>
      </w:r>
      <w:r w:rsidR="00A12382" w:rsidRPr="004676F5">
        <w:rPr>
          <w:i/>
          <w:lang w:val="de-DE"/>
        </w:rPr>
        <w:t>ersetzt durch Art. 4</w:t>
      </w:r>
      <w:r w:rsidR="00A12382" w:rsidRPr="004676F5">
        <w:rPr>
          <w:i/>
          <w:iCs/>
          <w:lang w:val="de-DE"/>
        </w:rPr>
        <w:t xml:space="preserve"> des G. vom 31. Juli 2023 (B.S. vom 16. August 2023)</w:t>
      </w:r>
      <w:r w:rsidR="003E12D4">
        <w:rPr>
          <w:i/>
          <w:iCs/>
          <w:lang w:val="de-DE"/>
        </w:rPr>
        <w:t>; § 2 abgeändert durch Art. 38</w:t>
      </w:r>
      <w:r w:rsidR="003E12D4" w:rsidRPr="003E12D4">
        <w:rPr>
          <w:i/>
          <w:iCs/>
          <w:lang w:val="de-DE"/>
        </w:rPr>
        <w:t xml:space="preserve"> des G. vom 20. Dezember 2024 (B.S. vom 14. Januar 2025)</w:t>
      </w:r>
      <w:r w:rsidRPr="004676F5">
        <w:rPr>
          <w:i/>
          <w:lang w:val="de-DE"/>
        </w:rPr>
        <w:t>]</w:t>
      </w:r>
    </w:p>
    <w:p w14:paraId="1A80363F" w14:textId="77777777" w:rsidR="00881814" w:rsidRPr="004676F5" w:rsidRDefault="00881814" w:rsidP="00881814">
      <w:pPr>
        <w:ind w:firstLine="708"/>
        <w:jc w:val="both"/>
        <w:rPr>
          <w:lang w:val="de-DE"/>
        </w:rPr>
      </w:pPr>
    </w:p>
    <w:p w14:paraId="43ADCE34" w14:textId="77777777" w:rsidR="009F24CD" w:rsidRPr="004676F5" w:rsidRDefault="009F24CD">
      <w:pPr>
        <w:rPr>
          <w:b/>
          <w:lang w:val="de-DE"/>
        </w:rPr>
      </w:pPr>
    </w:p>
    <w:p w14:paraId="7DCC6705" w14:textId="24D3FA33" w:rsidR="00881814" w:rsidRPr="004676F5" w:rsidRDefault="00BE0A56" w:rsidP="00881814">
      <w:pPr>
        <w:ind w:firstLine="708"/>
        <w:jc w:val="both"/>
        <w:rPr>
          <w:lang w:val="de-DE"/>
        </w:rPr>
      </w:pPr>
      <w:r w:rsidRPr="004676F5">
        <w:rPr>
          <w:b/>
          <w:lang w:val="de-DE"/>
        </w:rPr>
        <w:t>Art. </w:t>
      </w:r>
      <w:r w:rsidR="00881814" w:rsidRPr="004676F5">
        <w:rPr>
          <w:b/>
          <w:lang w:val="de-DE"/>
        </w:rPr>
        <w:t>VII.101</w:t>
      </w:r>
      <w:r w:rsidR="00881814" w:rsidRPr="004676F5">
        <w:rPr>
          <w:lang w:val="de-DE"/>
        </w:rPr>
        <w:t> </w:t>
      </w:r>
      <w:r w:rsidR="005B7A5C" w:rsidRPr="004676F5">
        <w:rPr>
          <w:lang w:val="de-DE"/>
        </w:rPr>
        <w:t>- </w:t>
      </w:r>
      <w:r w:rsidR="00881814" w:rsidRPr="004676F5">
        <w:rPr>
          <w:lang w:val="de-DE"/>
        </w:rPr>
        <w:t xml:space="preserve">Im Falle einer Überschreitung von mindestens 1.250 EUR während eines Zeitraums von mehr als einem Monat teilt der Kreditgeber dem Verbraucher unverzüglich </w:t>
      </w:r>
      <w:r w:rsidR="004A1CBF" w:rsidRPr="004676F5">
        <w:rPr>
          <w:lang w:val="de-DE"/>
        </w:rPr>
        <w:t xml:space="preserve">[auf einem dauerhaften Datenträger] </w:t>
      </w:r>
      <w:r w:rsidR="00881814" w:rsidRPr="004676F5">
        <w:rPr>
          <w:lang w:val="de-DE"/>
        </w:rPr>
        <w:t>Folgendes mit:</w:t>
      </w:r>
    </w:p>
    <w:p w14:paraId="25992B9F" w14:textId="77777777" w:rsidR="00881814" w:rsidRPr="004676F5" w:rsidRDefault="00881814" w:rsidP="00881814">
      <w:pPr>
        <w:ind w:firstLine="708"/>
        <w:jc w:val="both"/>
        <w:rPr>
          <w:lang w:val="de-DE"/>
        </w:rPr>
      </w:pPr>
    </w:p>
    <w:p w14:paraId="002B2F88" w14:textId="77777777" w:rsidR="00881814" w:rsidRPr="004676F5" w:rsidRDefault="00881814" w:rsidP="00881814">
      <w:pPr>
        <w:ind w:firstLine="708"/>
        <w:jc w:val="both"/>
        <w:rPr>
          <w:lang w:val="de-DE"/>
        </w:rPr>
      </w:pPr>
      <w:r w:rsidRPr="004676F5">
        <w:rPr>
          <w:lang w:val="de-DE"/>
        </w:rPr>
        <w:t>1. Vorliegen einer Überschreitung,</w:t>
      </w:r>
    </w:p>
    <w:p w14:paraId="13CB33CC" w14:textId="77777777" w:rsidR="00881814" w:rsidRPr="004676F5" w:rsidRDefault="00881814" w:rsidP="00881814">
      <w:pPr>
        <w:ind w:firstLine="708"/>
        <w:jc w:val="both"/>
        <w:rPr>
          <w:lang w:val="de-DE"/>
        </w:rPr>
      </w:pPr>
    </w:p>
    <w:p w14:paraId="758EE636" w14:textId="77777777" w:rsidR="00881814" w:rsidRPr="004676F5" w:rsidRDefault="00881814" w:rsidP="00881814">
      <w:pPr>
        <w:ind w:firstLine="708"/>
        <w:jc w:val="both"/>
        <w:rPr>
          <w:lang w:val="de-DE"/>
        </w:rPr>
      </w:pPr>
      <w:r w:rsidRPr="004676F5">
        <w:rPr>
          <w:lang w:val="de-DE"/>
        </w:rPr>
        <w:t>2. Betrag der Überschreitung,</w:t>
      </w:r>
    </w:p>
    <w:p w14:paraId="06228A4E" w14:textId="77777777" w:rsidR="00881814" w:rsidRPr="004676F5" w:rsidRDefault="00881814" w:rsidP="00881814">
      <w:pPr>
        <w:ind w:firstLine="708"/>
        <w:jc w:val="both"/>
        <w:rPr>
          <w:lang w:val="de-DE"/>
        </w:rPr>
      </w:pPr>
    </w:p>
    <w:p w14:paraId="7620928C" w14:textId="77777777" w:rsidR="00881814" w:rsidRPr="004676F5" w:rsidRDefault="00881814" w:rsidP="00881814">
      <w:pPr>
        <w:ind w:firstLine="708"/>
        <w:jc w:val="both"/>
        <w:rPr>
          <w:lang w:val="de-DE"/>
        </w:rPr>
      </w:pPr>
      <w:r w:rsidRPr="004676F5">
        <w:rPr>
          <w:lang w:val="de-DE"/>
        </w:rPr>
        <w:lastRenderedPageBreak/>
        <w:t>3. Sollzinssatz, etwaige Vertragsstrafen und Entgelte, die auf den Betrag der Überschreitung Anwendung finden.</w:t>
      </w:r>
    </w:p>
    <w:p w14:paraId="5AA2F83F" w14:textId="77777777" w:rsidR="00881814" w:rsidRPr="004676F5" w:rsidRDefault="00881814" w:rsidP="00881814">
      <w:pPr>
        <w:ind w:firstLine="708"/>
        <w:jc w:val="both"/>
        <w:rPr>
          <w:lang w:val="de-DE"/>
        </w:rPr>
      </w:pPr>
    </w:p>
    <w:p w14:paraId="391A7E9A" w14:textId="77777777" w:rsidR="00881814" w:rsidRPr="004676F5" w:rsidRDefault="00881814" w:rsidP="00881814">
      <w:pPr>
        <w:ind w:firstLine="708"/>
        <w:jc w:val="both"/>
        <w:rPr>
          <w:lang w:val="de-DE"/>
        </w:rPr>
      </w:pPr>
      <w:r w:rsidRPr="004676F5">
        <w:rPr>
          <w:lang w:val="de-DE"/>
        </w:rPr>
        <w:t>Der König kann diesen Betrag ändern. Solange die im vorangehenden Absatz erwähnte Mitteilung nicht erfolgt ist, kann der Kreditgeber auf den Betrag der Überschreitung nur den zuletzt angewandten Sollzinssatz berechnen, mit Ausnahme jeglicher Vertragsstrafen, Entschädigungen oder Verzugszinsen.</w:t>
      </w:r>
    </w:p>
    <w:p w14:paraId="48779B22" w14:textId="77777777" w:rsidR="00881814" w:rsidRPr="004676F5" w:rsidRDefault="00881814" w:rsidP="00881814">
      <w:pPr>
        <w:ind w:firstLine="708"/>
        <w:jc w:val="both"/>
        <w:rPr>
          <w:lang w:val="de-DE"/>
        </w:rPr>
      </w:pPr>
    </w:p>
    <w:p w14:paraId="2F87423E" w14:textId="748AA952" w:rsidR="00881814" w:rsidRPr="004676F5" w:rsidRDefault="00881814" w:rsidP="00881814">
      <w:pPr>
        <w:ind w:firstLine="708"/>
        <w:jc w:val="both"/>
        <w:rPr>
          <w:lang w:val="de-DE"/>
        </w:rPr>
      </w:pPr>
      <w:r w:rsidRPr="004676F5">
        <w:rPr>
          <w:lang w:val="de-DE"/>
        </w:rPr>
        <w:t xml:space="preserve">Ist die Überschreitung bei Ablauf einer Frist von drei Monaten ab ihrem Entstehen nicht beglichen, setzt der Kreditgeber die Inanspruchnahme von Kreditbeträgen aus und kündigt den Vertrag unter Berücksichtigung von </w:t>
      </w:r>
      <w:r w:rsidR="003E12D4">
        <w:rPr>
          <w:lang w:val="de-DE"/>
        </w:rPr>
        <w:t>[</w:t>
      </w:r>
      <w:r w:rsidR="003E12D4" w:rsidRPr="004676F5">
        <w:rPr>
          <w:lang w:val="de-DE"/>
        </w:rPr>
        <w:t xml:space="preserve">Artikel VII.105 </w:t>
      </w:r>
      <w:r w:rsidR="003E12D4">
        <w:rPr>
          <w:lang w:val="de-DE"/>
        </w:rPr>
        <w:t>§ 2 </w:t>
      </w:r>
      <w:r w:rsidR="003E12D4" w:rsidRPr="004676F5">
        <w:rPr>
          <w:lang w:val="de-DE"/>
        </w:rPr>
        <w:t>Absatz </w:t>
      </w:r>
      <w:r w:rsidR="003E12D4">
        <w:rPr>
          <w:lang w:val="de-DE"/>
        </w:rPr>
        <w:t>2</w:t>
      </w:r>
      <w:r w:rsidR="003E12D4" w:rsidRPr="004676F5">
        <w:rPr>
          <w:lang w:val="de-DE"/>
        </w:rPr>
        <w:t xml:space="preserve"> Nr. 3</w:t>
      </w:r>
      <w:r w:rsidR="003E12D4">
        <w:rPr>
          <w:lang w:val="de-DE"/>
        </w:rPr>
        <w:t>]</w:t>
      </w:r>
      <w:r w:rsidR="003E12D4" w:rsidRPr="004676F5">
        <w:rPr>
          <w:lang w:val="de-DE"/>
        </w:rPr>
        <w:t xml:space="preserve"> </w:t>
      </w:r>
      <w:r w:rsidRPr="004676F5">
        <w:rPr>
          <w:lang w:val="de-DE"/>
        </w:rPr>
        <w:t>oder setzt unter Einhaltung aller Bestimmungen des vorliegenden Buches durch Schuldumwandlung einen neuen Vertrag mit einem höheren Kreditbetrag auf.</w:t>
      </w:r>
    </w:p>
    <w:p w14:paraId="730504A9" w14:textId="77777777" w:rsidR="00881814" w:rsidRPr="004676F5" w:rsidRDefault="00881814" w:rsidP="00881814">
      <w:pPr>
        <w:ind w:firstLine="708"/>
        <w:jc w:val="both"/>
        <w:rPr>
          <w:lang w:val="de-DE"/>
        </w:rPr>
      </w:pPr>
    </w:p>
    <w:p w14:paraId="4D8E4E4E" w14:textId="2DD851B0" w:rsidR="004A1CBF" w:rsidRPr="004676F5" w:rsidRDefault="004A1CBF" w:rsidP="004A1CBF">
      <w:pPr>
        <w:jc w:val="both"/>
        <w:rPr>
          <w:i/>
          <w:iCs/>
          <w:lang w:val="de-DE"/>
        </w:rPr>
      </w:pPr>
      <w:r w:rsidRPr="004676F5">
        <w:rPr>
          <w:i/>
          <w:iCs/>
          <w:lang w:val="de-DE"/>
        </w:rPr>
        <w:t>[Art. VII.101 Abs. 1 einleitende Bestimmung abgeändert durch Art. 12 des G. vom 20. September 2018 (B.S. vom 10. Oktober 2018)</w:t>
      </w:r>
      <w:r w:rsidR="003E12D4">
        <w:rPr>
          <w:i/>
          <w:iCs/>
          <w:lang w:val="de-DE"/>
        </w:rPr>
        <w:t>; Abs. 3 abgeändert durch Art. 39</w:t>
      </w:r>
      <w:r w:rsidR="003E12D4" w:rsidRPr="003E12D4">
        <w:rPr>
          <w:i/>
          <w:iCs/>
          <w:lang w:val="de-DE"/>
        </w:rPr>
        <w:t xml:space="preserve"> des G. vom 20. Dezember 2024 (B.S. vom 14. Januar 2025)</w:t>
      </w:r>
      <w:r w:rsidRPr="004676F5">
        <w:rPr>
          <w:i/>
          <w:iCs/>
          <w:lang w:val="de-DE"/>
        </w:rPr>
        <w:t>]</w:t>
      </w:r>
    </w:p>
    <w:p w14:paraId="78346E0C" w14:textId="77777777" w:rsidR="004A1CBF" w:rsidRPr="004676F5" w:rsidRDefault="004A1CBF" w:rsidP="00881814">
      <w:pPr>
        <w:ind w:firstLine="708"/>
        <w:jc w:val="both"/>
        <w:rPr>
          <w:lang w:val="de-DE"/>
        </w:rPr>
      </w:pPr>
    </w:p>
    <w:p w14:paraId="2290B3D1" w14:textId="77777777" w:rsidR="0063227B" w:rsidRPr="004676F5" w:rsidRDefault="0063227B" w:rsidP="00881814">
      <w:pPr>
        <w:ind w:firstLine="708"/>
        <w:jc w:val="both"/>
        <w:rPr>
          <w:lang w:val="de-DE"/>
        </w:rPr>
      </w:pPr>
    </w:p>
    <w:p w14:paraId="244F2C79" w14:textId="2973A0D6" w:rsidR="00881814" w:rsidRPr="004676F5" w:rsidRDefault="00881814" w:rsidP="00927837">
      <w:pPr>
        <w:jc w:val="center"/>
        <w:rPr>
          <w:i/>
          <w:lang w:val="de-DE"/>
        </w:rPr>
      </w:pPr>
      <w:r w:rsidRPr="004676F5">
        <w:rPr>
          <w:i/>
          <w:lang w:val="de-DE"/>
        </w:rPr>
        <w:t xml:space="preserve">Abschnitt 6 </w:t>
      </w:r>
      <w:r w:rsidR="005B7A5C" w:rsidRPr="004676F5">
        <w:rPr>
          <w:i/>
          <w:lang w:val="de-DE"/>
        </w:rPr>
        <w:t>- </w:t>
      </w:r>
      <w:r w:rsidRPr="004676F5">
        <w:rPr>
          <w:lang w:val="de-DE"/>
        </w:rPr>
        <w:t>Abtretung des Kreditvertrags und der Forderungen aus diesem Vertrag</w:t>
      </w:r>
    </w:p>
    <w:p w14:paraId="0C69E5BE" w14:textId="77777777" w:rsidR="00881814" w:rsidRPr="004676F5" w:rsidRDefault="00881814" w:rsidP="00881814">
      <w:pPr>
        <w:ind w:firstLine="708"/>
        <w:jc w:val="both"/>
        <w:rPr>
          <w:lang w:val="de-DE"/>
        </w:rPr>
      </w:pPr>
    </w:p>
    <w:p w14:paraId="559F5DF3" w14:textId="77777777" w:rsidR="0063227B" w:rsidRPr="004676F5" w:rsidRDefault="0063227B" w:rsidP="00881814">
      <w:pPr>
        <w:ind w:firstLine="708"/>
        <w:jc w:val="both"/>
        <w:rPr>
          <w:lang w:val="de-DE"/>
        </w:rPr>
      </w:pPr>
    </w:p>
    <w:p w14:paraId="5DE40865" w14:textId="20701793" w:rsidR="00881814" w:rsidRPr="004676F5" w:rsidRDefault="00BE0A56" w:rsidP="00881814">
      <w:pPr>
        <w:ind w:firstLine="708"/>
        <w:jc w:val="both"/>
        <w:rPr>
          <w:lang w:val="de-DE"/>
        </w:rPr>
      </w:pPr>
      <w:r w:rsidRPr="004676F5">
        <w:rPr>
          <w:b/>
          <w:lang w:val="de-DE"/>
        </w:rPr>
        <w:t>Art. </w:t>
      </w:r>
      <w:r w:rsidR="00881814" w:rsidRPr="004676F5">
        <w:rPr>
          <w:b/>
          <w:lang w:val="de-DE"/>
        </w:rPr>
        <w:t>VII.102</w:t>
      </w:r>
      <w:r w:rsidR="00881814" w:rsidRPr="004676F5">
        <w:rPr>
          <w:lang w:val="de-DE"/>
        </w:rPr>
        <w:t> </w:t>
      </w:r>
      <w:r w:rsidR="005B7A5C" w:rsidRPr="004676F5">
        <w:rPr>
          <w:lang w:val="de-DE"/>
        </w:rPr>
        <w:t>- </w:t>
      </w:r>
      <w:r w:rsidR="00881814" w:rsidRPr="004676F5">
        <w:rPr>
          <w:lang w:val="de-DE"/>
        </w:rPr>
        <w:t xml:space="preserve">Der Vertrag oder die Schuldforderung aus dem Kreditvertrag kann nur abgetreten werden zugunsten oder nach Forderungsübergang nur erworben werden von einer aufgrund des vorliegenden Buches zugelassenen Person oder auch abgetreten werden zugunsten oder erworben werden von der Bank, von dem Schutzfonds für Einlagen und Finanzinstrumente, von Kreditversicherern, </w:t>
      </w:r>
      <w:r w:rsidR="00980259" w:rsidRPr="004676F5">
        <w:rPr>
          <w:lang w:val="de-DE"/>
        </w:rPr>
        <w:t>[</w:t>
      </w:r>
      <w:r w:rsidR="0089425C" w:rsidRPr="004676F5">
        <w:rPr>
          <w:lang w:val="de-DE"/>
        </w:rPr>
        <w:t>von Mobilisierungsorganismen im Sinne von Artikel 2 des Gesetzes vom 3. August 2012 über verschiedene Maßnahmen zur Erleichterung der Mobilisierung von Forderungen im Finanzsektor</w:t>
      </w:r>
      <w:r w:rsidR="00980259" w:rsidRPr="004676F5">
        <w:rPr>
          <w:lang w:val="de-DE"/>
        </w:rPr>
        <w:t>]</w:t>
      </w:r>
      <w:r w:rsidR="00881814" w:rsidRPr="004676F5">
        <w:rPr>
          <w:lang w:val="de-DE"/>
        </w:rPr>
        <w:t xml:space="preserve"> oder von anderen Personen, die der König zu diesem Zweck bestimmt.</w:t>
      </w:r>
    </w:p>
    <w:p w14:paraId="1022F1B9" w14:textId="77777777" w:rsidR="00980259" w:rsidRPr="004676F5" w:rsidRDefault="00980259" w:rsidP="00881814">
      <w:pPr>
        <w:ind w:firstLine="708"/>
        <w:jc w:val="both"/>
        <w:rPr>
          <w:lang w:val="de-DE"/>
        </w:rPr>
      </w:pPr>
    </w:p>
    <w:p w14:paraId="279FF052" w14:textId="5CCBF69B" w:rsidR="00980259" w:rsidRPr="004676F5" w:rsidRDefault="00980259" w:rsidP="00980259">
      <w:pPr>
        <w:jc w:val="both"/>
        <w:rPr>
          <w:i/>
          <w:lang w:val="de-DE"/>
        </w:rPr>
      </w:pPr>
      <w:r w:rsidRPr="004676F5">
        <w:rPr>
          <w:i/>
          <w:lang w:val="de-DE"/>
        </w:rPr>
        <w:t>[</w:t>
      </w:r>
      <w:r w:rsidR="00BE0A56" w:rsidRPr="004676F5">
        <w:rPr>
          <w:i/>
          <w:lang w:val="de-DE"/>
        </w:rPr>
        <w:t>Art. </w:t>
      </w:r>
      <w:r w:rsidRPr="004676F5">
        <w:rPr>
          <w:i/>
          <w:lang w:val="de-DE"/>
        </w:rPr>
        <w:t xml:space="preserve">VII.102 abgeändert durch </w:t>
      </w:r>
      <w:r w:rsidR="00BE0A56" w:rsidRPr="004676F5">
        <w:rPr>
          <w:i/>
          <w:lang w:val="de-DE"/>
        </w:rPr>
        <w:t>Art. </w:t>
      </w:r>
      <w:r w:rsidRPr="004676F5">
        <w:rPr>
          <w:i/>
          <w:lang w:val="de-DE"/>
        </w:rPr>
        <w:t>21</w:t>
      </w:r>
      <w:r w:rsidRPr="004676F5">
        <w:rPr>
          <w:i/>
          <w:iCs/>
          <w:lang w:val="de-DE"/>
        </w:rPr>
        <w:t xml:space="preserve"> </w:t>
      </w:r>
      <w:r w:rsidRPr="004676F5">
        <w:rPr>
          <w:i/>
          <w:lang w:val="de-DE"/>
        </w:rPr>
        <w:t>des G. vom 26. Oktober 2015 (B.S. vom 30. Oktober 2015)</w:t>
      </w:r>
      <w:r w:rsidR="00B27CF8" w:rsidRPr="004676F5">
        <w:rPr>
          <w:i/>
          <w:lang w:val="de-DE"/>
        </w:rPr>
        <w:t xml:space="preserve"> und Art. 13 des G. vom 30. Juli 2018 (II) (B.S. vom 5. September 2018)</w:t>
      </w:r>
      <w:r w:rsidRPr="004676F5">
        <w:rPr>
          <w:i/>
          <w:lang w:val="de-DE"/>
        </w:rPr>
        <w:t>]</w:t>
      </w:r>
    </w:p>
    <w:p w14:paraId="3DD3306A" w14:textId="77777777" w:rsidR="00881814" w:rsidRPr="004676F5" w:rsidRDefault="00881814" w:rsidP="00881814">
      <w:pPr>
        <w:ind w:firstLine="708"/>
        <w:jc w:val="both"/>
        <w:rPr>
          <w:lang w:val="de-DE"/>
        </w:rPr>
      </w:pPr>
    </w:p>
    <w:p w14:paraId="69F515F1" w14:textId="77777777" w:rsidR="0063227B" w:rsidRPr="004676F5" w:rsidRDefault="0063227B" w:rsidP="00881814">
      <w:pPr>
        <w:ind w:firstLine="708"/>
        <w:jc w:val="both"/>
        <w:rPr>
          <w:lang w:val="de-DE"/>
        </w:rPr>
      </w:pPr>
    </w:p>
    <w:p w14:paraId="7A57AAAB" w14:textId="054A7207" w:rsidR="00881814" w:rsidRPr="004676F5" w:rsidRDefault="00BE0A56" w:rsidP="00881814">
      <w:pPr>
        <w:ind w:firstLine="708"/>
        <w:jc w:val="both"/>
        <w:rPr>
          <w:lang w:val="de-DE"/>
        </w:rPr>
      </w:pPr>
      <w:r w:rsidRPr="004676F5">
        <w:rPr>
          <w:b/>
          <w:lang w:val="de-DE"/>
        </w:rPr>
        <w:t>Art. </w:t>
      </w:r>
      <w:r w:rsidR="00881814" w:rsidRPr="004676F5">
        <w:rPr>
          <w:b/>
          <w:lang w:val="de-DE"/>
        </w:rPr>
        <w:t>VII.103</w:t>
      </w:r>
      <w:r w:rsidR="00881814" w:rsidRPr="004676F5">
        <w:rPr>
          <w:lang w:val="de-DE"/>
        </w:rPr>
        <w:t> </w:t>
      </w:r>
      <w:r w:rsidR="005B7A5C" w:rsidRPr="004676F5">
        <w:rPr>
          <w:lang w:val="de-DE"/>
        </w:rPr>
        <w:t>- </w:t>
      </w:r>
      <w:r w:rsidR="00881814" w:rsidRPr="004676F5">
        <w:rPr>
          <w:lang w:val="de-DE"/>
        </w:rPr>
        <w:t xml:space="preserve">Unbeschadet des Artikels VII.102 ist die Abtretung oder der Forderungsübergang dem Verbraucher gegenüber erst wirksam, nachdem er </w:t>
      </w:r>
      <w:r w:rsidR="009F24CD" w:rsidRPr="004676F5">
        <w:rPr>
          <w:lang w:val="de-DE"/>
        </w:rPr>
        <w:t xml:space="preserve">[per Einschreibesendung] </w:t>
      </w:r>
      <w:r w:rsidR="00881814" w:rsidRPr="004676F5">
        <w:rPr>
          <w:lang w:val="de-DE"/>
        </w:rPr>
        <w:t>darüber informiert worden ist, außer wenn die sofortige Abtretung oder der sofortige Forderungsübergang ausdrücklich im Vertrag vorgesehen ist und die Identität des Zessionars oder des in die Rechte des Altgläubigers eingesetzten Dritten im Kreditvertrag vermerkt ist. Diese Mitteilung ist nicht erforderlich, wenn der ursprüngliche Kreditgeber mit dem Einverständnis des neuen Inhabers der Schuldforderung dem Verbraucher gegenüber nach wie vor als Kreditgeber auftritt.</w:t>
      </w:r>
    </w:p>
    <w:p w14:paraId="103B6673" w14:textId="77777777" w:rsidR="00881814" w:rsidRPr="004676F5" w:rsidRDefault="00881814" w:rsidP="00881814">
      <w:pPr>
        <w:ind w:firstLine="708"/>
        <w:jc w:val="both"/>
        <w:rPr>
          <w:lang w:val="de-DE"/>
        </w:rPr>
      </w:pPr>
    </w:p>
    <w:p w14:paraId="51D5F4DC" w14:textId="5B3D6CF0" w:rsidR="009F24CD" w:rsidRPr="004676F5" w:rsidRDefault="009F24CD" w:rsidP="009F24CD">
      <w:pPr>
        <w:jc w:val="both"/>
        <w:rPr>
          <w:i/>
          <w:lang w:val="de-DE"/>
        </w:rPr>
      </w:pPr>
      <w:r w:rsidRPr="004676F5">
        <w:rPr>
          <w:i/>
          <w:lang w:val="de-DE"/>
        </w:rPr>
        <w:t>[</w:t>
      </w:r>
      <w:r w:rsidR="00BE0A56" w:rsidRPr="004676F5">
        <w:rPr>
          <w:i/>
          <w:lang w:val="de-DE"/>
        </w:rPr>
        <w:t>Art. </w:t>
      </w:r>
      <w:r w:rsidRPr="004676F5">
        <w:rPr>
          <w:i/>
          <w:lang w:val="de-DE"/>
        </w:rPr>
        <w:t xml:space="preserve">VII.103 abgeändert durch </w:t>
      </w:r>
      <w:r w:rsidR="00BE0A56" w:rsidRPr="004676F5">
        <w:rPr>
          <w:i/>
          <w:lang w:val="de-DE"/>
        </w:rPr>
        <w:t>Art. </w:t>
      </w:r>
      <w:r w:rsidRPr="004676F5">
        <w:rPr>
          <w:i/>
          <w:lang w:val="de-DE"/>
        </w:rPr>
        <w:t>16 des G. vom 22. April 2016 (B.S. vom 4. Mai 2016)]</w:t>
      </w:r>
    </w:p>
    <w:p w14:paraId="181F86C6" w14:textId="77777777" w:rsidR="009F24CD" w:rsidRPr="004676F5" w:rsidRDefault="009F24CD" w:rsidP="009F24CD">
      <w:pPr>
        <w:jc w:val="both"/>
        <w:rPr>
          <w:i/>
          <w:lang w:val="de-DE"/>
        </w:rPr>
      </w:pPr>
    </w:p>
    <w:p w14:paraId="0C820E28" w14:textId="77777777" w:rsidR="0063227B" w:rsidRPr="004676F5" w:rsidRDefault="0063227B" w:rsidP="00881814">
      <w:pPr>
        <w:ind w:firstLine="708"/>
        <w:jc w:val="both"/>
        <w:rPr>
          <w:lang w:val="de-DE"/>
        </w:rPr>
      </w:pPr>
    </w:p>
    <w:p w14:paraId="7465DF28" w14:textId="260A0967" w:rsidR="00881814" w:rsidRPr="004676F5" w:rsidRDefault="00BE0A56" w:rsidP="00881814">
      <w:pPr>
        <w:ind w:firstLine="708"/>
        <w:jc w:val="both"/>
        <w:rPr>
          <w:lang w:val="de-DE"/>
        </w:rPr>
      </w:pPr>
      <w:r w:rsidRPr="004676F5">
        <w:rPr>
          <w:b/>
          <w:lang w:val="de-DE"/>
        </w:rPr>
        <w:t>Art. </w:t>
      </w:r>
      <w:r w:rsidR="00881814" w:rsidRPr="004676F5">
        <w:rPr>
          <w:b/>
          <w:lang w:val="de-DE"/>
        </w:rPr>
        <w:t>VII.104</w:t>
      </w:r>
      <w:r w:rsidR="00881814" w:rsidRPr="004676F5">
        <w:rPr>
          <w:lang w:val="de-DE"/>
        </w:rPr>
        <w:t> </w:t>
      </w:r>
      <w:r w:rsidR="005B7A5C" w:rsidRPr="004676F5">
        <w:rPr>
          <w:lang w:val="de-DE"/>
        </w:rPr>
        <w:t>- </w:t>
      </w:r>
      <w:r w:rsidR="00881814" w:rsidRPr="004676F5">
        <w:rPr>
          <w:lang w:val="de-DE"/>
        </w:rPr>
        <w:t>Bei Abtretung der oder Forderungsübergang für die Schuldforderung aus dem Kreditvertrag behält der Verbraucher dem Zessionar oder dem in die Rechte des Altgläubigers eingesetzten Gläubiger gegenüber die Verteidigungsmittel, einschließlich der Aufrechnungseinrede, die er gegen den Zedenten oder Übertragenden geltend machen kann. Anders lautende Klauseln gelten als ungeschrieben.</w:t>
      </w:r>
    </w:p>
    <w:p w14:paraId="032EFE71" w14:textId="77777777" w:rsidR="00881814" w:rsidRPr="004676F5" w:rsidRDefault="00881814" w:rsidP="00881814">
      <w:pPr>
        <w:ind w:firstLine="708"/>
        <w:jc w:val="both"/>
        <w:rPr>
          <w:lang w:val="de-DE"/>
        </w:rPr>
      </w:pPr>
    </w:p>
    <w:p w14:paraId="3CE3E0BC" w14:textId="77777777" w:rsidR="0063227B" w:rsidRPr="004676F5" w:rsidRDefault="0063227B" w:rsidP="00881814">
      <w:pPr>
        <w:ind w:firstLine="708"/>
        <w:jc w:val="both"/>
        <w:rPr>
          <w:lang w:val="de-DE"/>
        </w:rPr>
      </w:pPr>
    </w:p>
    <w:p w14:paraId="0D31622C" w14:textId="54D1A762" w:rsidR="00881814" w:rsidRDefault="00881814" w:rsidP="00881814">
      <w:pPr>
        <w:jc w:val="center"/>
        <w:rPr>
          <w:lang w:val="de-DE"/>
        </w:rPr>
      </w:pPr>
      <w:r w:rsidRPr="004676F5">
        <w:rPr>
          <w:i/>
          <w:lang w:val="de-DE"/>
        </w:rPr>
        <w:t xml:space="preserve">Abschnitt 7 </w:t>
      </w:r>
      <w:r w:rsidR="005B7A5C" w:rsidRPr="004676F5">
        <w:rPr>
          <w:i/>
          <w:lang w:val="de-DE"/>
        </w:rPr>
        <w:t>- </w:t>
      </w:r>
      <w:r w:rsidR="003E12D4">
        <w:rPr>
          <w:iCs/>
          <w:lang w:val="de-DE"/>
        </w:rPr>
        <w:t xml:space="preserve">[Stundungsmaßnahmen und </w:t>
      </w:r>
      <w:r w:rsidRPr="004676F5">
        <w:rPr>
          <w:lang w:val="de-DE"/>
        </w:rPr>
        <w:t>Nichterfüllung des Kreditvertrags</w:t>
      </w:r>
      <w:r w:rsidR="003E12D4">
        <w:rPr>
          <w:lang w:val="de-DE"/>
        </w:rPr>
        <w:t>]</w:t>
      </w:r>
    </w:p>
    <w:p w14:paraId="063BAF21" w14:textId="77777777" w:rsidR="003E12D4" w:rsidRDefault="003E12D4" w:rsidP="00881814">
      <w:pPr>
        <w:jc w:val="center"/>
        <w:rPr>
          <w:lang w:val="de-DE"/>
        </w:rPr>
      </w:pPr>
    </w:p>
    <w:p w14:paraId="155CDBAC" w14:textId="7A26EC8C" w:rsidR="003E12D4" w:rsidRPr="003E12D4" w:rsidRDefault="003E12D4" w:rsidP="003E12D4">
      <w:pPr>
        <w:jc w:val="both"/>
        <w:rPr>
          <w:i/>
          <w:iCs/>
          <w:lang w:val="de-DE"/>
        </w:rPr>
      </w:pPr>
      <w:r>
        <w:rPr>
          <w:i/>
          <w:iCs/>
          <w:lang w:val="de-DE"/>
        </w:rPr>
        <w:t>[Überschrift von Abschnitt 7 ersetzt durch Art. 40</w:t>
      </w:r>
      <w:r w:rsidRPr="003E12D4">
        <w:rPr>
          <w:i/>
          <w:iCs/>
          <w:lang w:val="de-DE"/>
        </w:rPr>
        <w:t xml:space="preserve"> des G. vom 20. Dezember 2024 (B.S. vom 14. Januar 2025)</w:t>
      </w:r>
      <w:r>
        <w:rPr>
          <w:i/>
          <w:iCs/>
          <w:lang w:val="de-DE"/>
        </w:rPr>
        <w:t>]</w:t>
      </w:r>
    </w:p>
    <w:p w14:paraId="3A8FDC3F" w14:textId="77777777" w:rsidR="00881814" w:rsidRPr="004676F5" w:rsidRDefault="00881814" w:rsidP="00881814">
      <w:pPr>
        <w:ind w:firstLine="708"/>
        <w:jc w:val="both"/>
        <w:rPr>
          <w:lang w:val="de-DE"/>
        </w:rPr>
      </w:pPr>
    </w:p>
    <w:p w14:paraId="3C012172" w14:textId="77777777" w:rsidR="0063227B" w:rsidRPr="004676F5" w:rsidRDefault="0063227B" w:rsidP="00881814">
      <w:pPr>
        <w:ind w:firstLine="708"/>
        <w:jc w:val="both"/>
        <w:rPr>
          <w:lang w:val="de-DE"/>
        </w:rPr>
      </w:pPr>
    </w:p>
    <w:p w14:paraId="1C13D07E" w14:textId="4AAEE6E1" w:rsidR="003E12D4" w:rsidRPr="00FE0D0B" w:rsidRDefault="00BE0A56" w:rsidP="003E12D4">
      <w:pPr>
        <w:ind w:firstLine="708"/>
        <w:jc w:val="both"/>
        <w:rPr>
          <w:lang w:val="de-DE"/>
        </w:rPr>
      </w:pPr>
      <w:r w:rsidRPr="004676F5">
        <w:rPr>
          <w:b/>
          <w:lang w:val="de-DE"/>
        </w:rPr>
        <w:t>Art. </w:t>
      </w:r>
      <w:r w:rsidR="00881814" w:rsidRPr="004676F5">
        <w:rPr>
          <w:b/>
          <w:lang w:val="de-DE"/>
        </w:rPr>
        <w:t>VII.105</w:t>
      </w:r>
      <w:r w:rsidR="00881814" w:rsidRPr="004676F5">
        <w:rPr>
          <w:lang w:val="de-DE"/>
        </w:rPr>
        <w:t> </w:t>
      </w:r>
      <w:r w:rsidR="005B7A5C" w:rsidRPr="004676F5">
        <w:rPr>
          <w:lang w:val="de-DE"/>
        </w:rPr>
        <w:t>- </w:t>
      </w:r>
      <w:r w:rsidR="003E12D4">
        <w:rPr>
          <w:lang w:val="de-DE"/>
        </w:rPr>
        <w:t>[</w:t>
      </w:r>
      <w:r w:rsidR="003E12D4" w:rsidRPr="00FE0D0B">
        <w:rPr>
          <w:lang w:val="de-DE"/>
        </w:rPr>
        <w:t>§ 1 - Kreditgeber verfügen über angemessene Strategien und Verfahren, damit sie sich bemühen, je nach Sachlage angemessene Nachsicht walten zu lassen, bevor Vollstreckungsverfahren eingeleitet werden. Derartige Stundungsmaßnahmen müssen unter anderem den individuellen Umständen des Verbrauchers Rechnung tragen und können ausschließlich in der Vorlage eines in Artikel VII.3 § 3 Nr. 6 erwähnten Kreditvertrags bestehen.</w:t>
      </w:r>
    </w:p>
    <w:p w14:paraId="3F3221A7" w14:textId="77777777" w:rsidR="003E12D4" w:rsidRPr="00FE0D0B" w:rsidRDefault="003E12D4" w:rsidP="003E12D4">
      <w:pPr>
        <w:jc w:val="both"/>
        <w:rPr>
          <w:lang w:val="de-DE"/>
        </w:rPr>
      </w:pPr>
    </w:p>
    <w:p w14:paraId="04DD23C8" w14:textId="42C27648" w:rsidR="003E12D4" w:rsidRDefault="003E12D4" w:rsidP="003E12D4">
      <w:pPr>
        <w:ind w:firstLine="708"/>
        <w:jc w:val="both"/>
        <w:rPr>
          <w:lang w:val="de-DE"/>
        </w:rPr>
      </w:pPr>
      <w:r w:rsidRPr="00FE0D0B">
        <w:rPr>
          <w:lang w:val="de-DE"/>
        </w:rPr>
        <w:t>Im Rahmen der Anwendung des vorliegenden Artikels gewährte Stundungsmaßnahmen ziehen keine Bearbeitungsgebühren, Verzugszinsen oder anderen Kosten nach sich, mit Ausnahme des vertraglich vereinbarten Sollzinssatzes und etwaiger Kosten im Zusammenhang mit der normalen Vertragserfüllung, die über den Zeitraum der Stundungsmaßnahmen berechnet werden.</w:t>
      </w:r>
      <w:r>
        <w:rPr>
          <w:lang w:val="de-DE"/>
        </w:rPr>
        <w:t>]</w:t>
      </w:r>
    </w:p>
    <w:p w14:paraId="02638C14" w14:textId="77777777" w:rsidR="003E12D4" w:rsidRDefault="003E12D4" w:rsidP="00881814">
      <w:pPr>
        <w:ind w:firstLine="708"/>
        <w:jc w:val="both"/>
        <w:rPr>
          <w:lang w:val="de-DE"/>
        </w:rPr>
      </w:pPr>
    </w:p>
    <w:p w14:paraId="126CF3F9" w14:textId="32B26F46" w:rsidR="00881814" w:rsidRPr="004676F5" w:rsidRDefault="003E12D4" w:rsidP="00881814">
      <w:pPr>
        <w:ind w:firstLine="708"/>
        <w:jc w:val="both"/>
        <w:rPr>
          <w:lang w:val="de-DE"/>
        </w:rPr>
      </w:pPr>
      <w:r>
        <w:rPr>
          <w:lang w:val="de-DE"/>
        </w:rPr>
        <w:t>[§ 2] - </w:t>
      </w:r>
      <w:r w:rsidR="00881814" w:rsidRPr="004676F5">
        <w:rPr>
          <w:lang w:val="de-DE"/>
        </w:rPr>
        <w:t>Eine Klausel, in der die sofortige Fälligkeit oder eine ausdrückliche auflösende Bedingung vorgesehen ist, ist verboten und gilt als ungeschrieben, vorbehaltlich folgender Fälle:</w:t>
      </w:r>
    </w:p>
    <w:p w14:paraId="78D85DF6" w14:textId="77777777" w:rsidR="00881814" w:rsidRPr="004676F5" w:rsidRDefault="00881814" w:rsidP="00881814">
      <w:pPr>
        <w:ind w:firstLine="708"/>
        <w:jc w:val="both"/>
        <w:rPr>
          <w:lang w:val="de-DE"/>
        </w:rPr>
      </w:pPr>
    </w:p>
    <w:p w14:paraId="1F99A3A6" w14:textId="77777777" w:rsidR="00881814" w:rsidRPr="004676F5" w:rsidRDefault="00881814" w:rsidP="00881814">
      <w:pPr>
        <w:ind w:firstLine="708"/>
        <w:jc w:val="both"/>
        <w:rPr>
          <w:lang w:val="de-DE"/>
        </w:rPr>
      </w:pPr>
      <w:r w:rsidRPr="004676F5">
        <w:rPr>
          <w:lang w:val="de-DE"/>
        </w:rPr>
        <w:t xml:space="preserve">1. Der Verbraucher ist mit mindestens </w:t>
      </w:r>
      <w:r w:rsidR="009F24CD" w:rsidRPr="004676F5">
        <w:rPr>
          <w:lang w:val="de-DE"/>
        </w:rPr>
        <w:t>[zwei Ratenbeträge]</w:t>
      </w:r>
      <w:r w:rsidRPr="004676F5">
        <w:rPr>
          <w:lang w:val="de-DE"/>
        </w:rPr>
        <w:t xml:space="preserve"> oder 20 Prozent des zurückzu</w:t>
      </w:r>
      <w:r w:rsidRPr="004676F5">
        <w:rPr>
          <w:lang w:val="de-DE"/>
        </w:rPr>
        <w:softHyphen/>
        <w:t xml:space="preserve">zahlenden Gesamtbetrags in Verzug und hat seine Verbindlichkeiten innerhalb eines Monats </w:t>
      </w:r>
      <w:r w:rsidR="009F24CD" w:rsidRPr="004676F5">
        <w:rPr>
          <w:lang w:val="de-DE"/>
        </w:rPr>
        <w:t>[ab Versendung einer Einschreibesendung zur Inverzugsetzung]</w:t>
      </w:r>
      <w:r w:rsidRPr="004676F5">
        <w:rPr>
          <w:lang w:val="de-DE"/>
        </w:rPr>
        <w:t xml:space="preserve"> nicht erfüllt. Der Kreditgeber muss den Verbraucher bei der Inverzugsetzung an diese Regeln erinnern.</w:t>
      </w:r>
    </w:p>
    <w:p w14:paraId="6427E5C1" w14:textId="77777777" w:rsidR="00881814" w:rsidRPr="004676F5" w:rsidRDefault="00881814" w:rsidP="00881814">
      <w:pPr>
        <w:ind w:firstLine="708"/>
        <w:jc w:val="both"/>
        <w:rPr>
          <w:lang w:val="de-DE"/>
        </w:rPr>
      </w:pPr>
    </w:p>
    <w:p w14:paraId="69A5FDC5" w14:textId="77777777" w:rsidR="00881814" w:rsidRPr="004676F5" w:rsidRDefault="00881814" w:rsidP="00881814">
      <w:pPr>
        <w:ind w:firstLine="708"/>
        <w:jc w:val="both"/>
        <w:rPr>
          <w:lang w:val="de-DE"/>
        </w:rPr>
      </w:pPr>
      <w:r w:rsidRPr="004676F5">
        <w:rPr>
          <w:lang w:val="de-DE"/>
        </w:rPr>
        <w:t>2. Der Verbraucher veräußert das bewegliche Sachgut vor Zahlung des Preises oder gebraucht es unter Verstoß gegen die Vertragsbestimmungen, obschon der Kreditgeber sich das diesbezügliche Eigentum vorbehalten hat oder die Eigentumsübertragung gemäß den Leasingregeln noch nicht stattgefunden hat.</w:t>
      </w:r>
    </w:p>
    <w:p w14:paraId="2005548C" w14:textId="77777777" w:rsidR="00881814" w:rsidRPr="004676F5" w:rsidRDefault="00881814" w:rsidP="00881814">
      <w:pPr>
        <w:ind w:firstLine="708"/>
        <w:jc w:val="both"/>
        <w:rPr>
          <w:lang w:val="de-DE"/>
        </w:rPr>
      </w:pPr>
    </w:p>
    <w:p w14:paraId="07893A82" w14:textId="4C0A4AA0" w:rsidR="00881814" w:rsidRPr="004676F5" w:rsidRDefault="00881814" w:rsidP="00881814">
      <w:pPr>
        <w:ind w:firstLine="708"/>
        <w:jc w:val="both"/>
        <w:rPr>
          <w:lang w:val="de-DE"/>
        </w:rPr>
      </w:pPr>
      <w:r w:rsidRPr="004676F5">
        <w:rPr>
          <w:lang w:val="de-DE"/>
        </w:rPr>
        <w:t xml:space="preserve">3. Der Verbraucher überschreitet den in den Artikeln VII.100 und VII.101 erwähnten Kreditbetrag und hat seine Verbindlichkeiten innerhalb eines Monats </w:t>
      </w:r>
      <w:r w:rsidR="009F24CD" w:rsidRPr="004676F5">
        <w:rPr>
          <w:lang w:val="de-DE"/>
        </w:rPr>
        <w:t>[ab Versendung einer Einschreibesendung zur Inverzugsetzung]</w:t>
      </w:r>
      <w:r w:rsidRPr="004676F5">
        <w:rPr>
          <w:lang w:val="de-DE"/>
        </w:rPr>
        <w:t xml:space="preserve"> nicht erfüllt. Der Kreditgeber muss den Verbraucher bei der Inverzugsetzung an diese Regeln erinnern.</w:t>
      </w:r>
    </w:p>
    <w:p w14:paraId="369630D2" w14:textId="77777777" w:rsidR="00881814" w:rsidRDefault="00881814" w:rsidP="003E12D4">
      <w:pPr>
        <w:jc w:val="both"/>
        <w:rPr>
          <w:lang w:val="de-DE"/>
        </w:rPr>
      </w:pPr>
    </w:p>
    <w:p w14:paraId="57E92C28" w14:textId="77777777" w:rsidR="00E340B2" w:rsidRPr="004676F5" w:rsidRDefault="00E340B2" w:rsidP="00E340B2">
      <w:pPr>
        <w:ind w:firstLine="708"/>
        <w:jc w:val="both"/>
        <w:rPr>
          <w:lang w:val="de-DE"/>
        </w:rPr>
      </w:pPr>
      <w:r w:rsidRPr="004676F5">
        <w:rPr>
          <w:lang w:val="de-DE"/>
        </w:rPr>
        <w:t>Unbeschadet der Anwendung von Artikel VII.98 sind Klauseln, in denen vorgesehen ist, dass der Kreditgeber während der Laufzeit des Vertrags jederzeit die Rückzahlung des in Anspruch genommenen Kreditbetrags verlangen kann, verboten und gelten als ungeschrieben.</w:t>
      </w:r>
    </w:p>
    <w:p w14:paraId="21B92C67" w14:textId="77777777" w:rsidR="00E340B2" w:rsidRDefault="00E340B2" w:rsidP="003E12D4">
      <w:pPr>
        <w:jc w:val="both"/>
        <w:rPr>
          <w:lang w:val="de-DE"/>
        </w:rPr>
      </w:pPr>
    </w:p>
    <w:p w14:paraId="52D2B421" w14:textId="0436B42F" w:rsidR="009F24CD" w:rsidRPr="00E340B2" w:rsidRDefault="003E12D4" w:rsidP="00E340B2">
      <w:pPr>
        <w:jc w:val="both"/>
        <w:rPr>
          <w:i/>
          <w:iCs/>
          <w:lang w:val="de-DE"/>
        </w:rPr>
      </w:pPr>
      <w:r>
        <w:rPr>
          <w:i/>
          <w:iCs/>
          <w:lang w:val="de-DE"/>
        </w:rPr>
        <w:t>[Art. VII.105 § 1 eingefügt durch Art. 41 Nr. 2</w:t>
      </w:r>
      <w:r w:rsidRPr="003E12D4">
        <w:rPr>
          <w:i/>
          <w:iCs/>
          <w:lang w:val="de-DE"/>
        </w:rPr>
        <w:t xml:space="preserve"> des G. vom 20. Dezember 2024 (B.S. vom 14. Januar 2025)</w:t>
      </w:r>
      <w:r>
        <w:rPr>
          <w:i/>
          <w:iCs/>
          <w:lang w:val="de-DE"/>
        </w:rPr>
        <w:t>; § 2 (frühere</w:t>
      </w:r>
      <w:r w:rsidR="00E340B2">
        <w:rPr>
          <w:i/>
          <w:iCs/>
          <w:lang w:val="de-DE"/>
        </w:rPr>
        <w:t xml:space="preserve"> Abs</w:t>
      </w:r>
      <w:r w:rsidR="00AA48AE">
        <w:rPr>
          <w:i/>
          <w:iCs/>
          <w:lang w:val="de-DE"/>
        </w:rPr>
        <w:t>ätz</w:t>
      </w:r>
      <w:r w:rsidR="00E340B2">
        <w:rPr>
          <w:i/>
          <w:iCs/>
          <w:lang w:val="de-DE"/>
        </w:rPr>
        <w:t>e 1 und 2</w:t>
      </w:r>
      <w:r>
        <w:rPr>
          <w:i/>
          <w:iCs/>
          <w:lang w:val="de-DE"/>
        </w:rPr>
        <w:t>) nummeriert durch Art. 41 Nr. 1</w:t>
      </w:r>
      <w:r w:rsidRPr="003E12D4">
        <w:rPr>
          <w:i/>
          <w:iCs/>
          <w:lang w:val="de-DE"/>
        </w:rPr>
        <w:t xml:space="preserve"> des G. vom 20. Dezember 2024 (B.S. vom 14. Januar 2025)</w:t>
      </w:r>
      <w:r w:rsidR="00E340B2">
        <w:rPr>
          <w:i/>
          <w:iCs/>
          <w:lang w:val="de-DE"/>
        </w:rPr>
        <w:t xml:space="preserve">; § 2 </w:t>
      </w:r>
      <w:r w:rsidR="009F24CD" w:rsidRPr="004676F5">
        <w:rPr>
          <w:i/>
          <w:lang w:val="de-DE"/>
        </w:rPr>
        <w:t xml:space="preserve">Abs. 1 Nr. 1 abgeändert durch </w:t>
      </w:r>
      <w:r w:rsidR="00BE0A56" w:rsidRPr="004676F5">
        <w:rPr>
          <w:i/>
          <w:lang w:val="de-DE"/>
        </w:rPr>
        <w:t>Art. </w:t>
      </w:r>
      <w:r w:rsidR="009F24CD" w:rsidRPr="004676F5">
        <w:rPr>
          <w:i/>
          <w:lang w:val="de-DE"/>
        </w:rPr>
        <w:t xml:space="preserve">17 Nr. 1 des G. vom 22. April 2016 (B.S. vom 4. Mai 2016); </w:t>
      </w:r>
      <w:r w:rsidR="00E340B2">
        <w:rPr>
          <w:i/>
          <w:lang w:val="de-DE"/>
        </w:rPr>
        <w:t xml:space="preserve">§ 2 </w:t>
      </w:r>
      <w:r w:rsidR="009F24CD" w:rsidRPr="004676F5">
        <w:rPr>
          <w:i/>
          <w:lang w:val="de-DE"/>
        </w:rPr>
        <w:t xml:space="preserve">Abs. 1 Nr. 3 abgeändert durch </w:t>
      </w:r>
      <w:r w:rsidR="00BE0A56" w:rsidRPr="004676F5">
        <w:rPr>
          <w:i/>
          <w:lang w:val="de-DE"/>
        </w:rPr>
        <w:t>Art. </w:t>
      </w:r>
      <w:r w:rsidR="009F24CD" w:rsidRPr="004676F5">
        <w:rPr>
          <w:i/>
          <w:lang w:val="de-DE"/>
        </w:rPr>
        <w:t>17 Nr. 2 des G. vom 22. April 2016 (B.S. vom 4. Mai 2016)]</w:t>
      </w:r>
    </w:p>
    <w:p w14:paraId="7855336C" w14:textId="77777777" w:rsidR="009F24CD" w:rsidRPr="004676F5" w:rsidRDefault="009F24CD" w:rsidP="009F24CD">
      <w:pPr>
        <w:jc w:val="both"/>
        <w:rPr>
          <w:i/>
          <w:lang w:val="de-DE"/>
        </w:rPr>
      </w:pPr>
    </w:p>
    <w:p w14:paraId="77A2A37A" w14:textId="77777777" w:rsidR="0063227B" w:rsidRPr="004676F5" w:rsidRDefault="0063227B" w:rsidP="00881814">
      <w:pPr>
        <w:ind w:firstLine="708"/>
        <w:jc w:val="both"/>
        <w:rPr>
          <w:lang w:val="de-DE"/>
        </w:rPr>
      </w:pPr>
    </w:p>
    <w:p w14:paraId="3566793B" w14:textId="61861E33" w:rsidR="00881814" w:rsidRPr="004676F5" w:rsidRDefault="00BE0A56" w:rsidP="00881814">
      <w:pPr>
        <w:ind w:firstLine="708"/>
        <w:jc w:val="both"/>
        <w:rPr>
          <w:lang w:val="de-DE"/>
        </w:rPr>
      </w:pPr>
      <w:r w:rsidRPr="004676F5">
        <w:rPr>
          <w:b/>
          <w:lang w:val="de-DE"/>
        </w:rPr>
        <w:lastRenderedPageBreak/>
        <w:t>Art. </w:t>
      </w:r>
      <w:r w:rsidR="00881814" w:rsidRPr="004676F5">
        <w:rPr>
          <w:b/>
          <w:lang w:val="de-DE"/>
        </w:rPr>
        <w:t>VII.106</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Bei Vertragsauflösung oder sofortiger Fälligkeit wegen Nicht</w:t>
      </w:r>
      <w:r w:rsidR="00881814" w:rsidRPr="004676F5">
        <w:rPr>
          <w:lang w:val="de-DE"/>
        </w:rPr>
        <w:softHyphen/>
        <w:t>erfüllung der Verbindlichkeiten seitens des Verbrauchers dürfen vom Verbraucher keine anderen als die nachstehenden Zahlungen verlangt werden:</w:t>
      </w:r>
    </w:p>
    <w:p w14:paraId="3745944A" w14:textId="77777777" w:rsidR="00881814" w:rsidRPr="004676F5" w:rsidRDefault="00881814" w:rsidP="00881814">
      <w:pPr>
        <w:ind w:firstLine="708"/>
        <w:jc w:val="both"/>
        <w:rPr>
          <w:lang w:val="de-DE"/>
        </w:rPr>
      </w:pPr>
    </w:p>
    <w:p w14:paraId="0356BC25" w14:textId="74B43BD1" w:rsidR="00881814" w:rsidRPr="004676F5" w:rsidRDefault="005B7A5C" w:rsidP="00881814">
      <w:pPr>
        <w:ind w:firstLine="708"/>
        <w:jc w:val="both"/>
        <w:rPr>
          <w:lang w:val="de-DE"/>
        </w:rPr>
      </w:pPr>
      <w:r w:rsidRPr="004676F5">
        <w:rPr>
          <w:lang w:val="de-DE"/>
        </w:rPr>
        <w:t>- </w:t>
      </w:r>
      <w:r w:rsidR="00881814" w:rsidRPr="004676F5">
        <w:rPr>
          <w:lang w:val="de-DE"/>
        </w:rPr>
        <w:t>Restschuld,</w:t>
      </w:r>
    </w:p>
    <w:p w14:paraId="317C8214" w14:textId="77777777" w:rsidR="00881814" w:rsidRPr="004676F5" w:rsidRDefault="00881814" w:rsidP="00881814">
      <w:pPr>
        <w:ind w:firstLine="708"/>
        <w:jc w:val="both"/>
        <w:rPr>
          <w:lang w:val="de-DE"/>
        </w:rPr>
      </w:pPr>
    </w:p>
    <w:p w14:paraId="1096FA4E" w14:textId="445D6141" w:rsidR="00881814" w:rsidRPr="004676F5" w:rsidRDefault="005B7A5C" w:rsidP="00881814">
      <w:pPr>
        <w:ind w:firstLine="708"/>
        <w:jc w:val="both"/>
        <w:rPr>
          <w:lang w:val="de-DE"/>
        </w:rPr>
      </w:pPr>
      <w:r w:rsidRPr="004676F5">
        <w:rPr>
          <w:lang w:val="de-DE"/>
        </w:rPr>
        <w:t>- </w:t>
      </w:r>
      <w:r w:rsidR="00881814" w:rsidRPr="004676F5">
        <w:rPr>
          <w:lang w:val="de-DE"/>
        </w:rPr>
        <w:t>fälliger, nicht gezahlter Betrag der Gesamtkosten des Kredits für den Verbraucher,</w:t>
      </w:r>
    </w:p>
    <w:p w14:paraId="0B0D4F4A" w14:textId="77777777" w:rsidR="00881814" w:rsidRPr="004676F5" w:rsidRDefault="00881814" w:rsidP="00881814">
      <w:pPr>
        <w:ind w:firstLine="708"/>
        <w:jc w:val="both"/>
        <w:rPr>
          <w:lang w:val="de-DE"/>
        </w:rPr>
      </w:pPr>
    </w:p>
    <w:p w14:paraId="18A79244" w14:textId="475DF253" w:rsidR="00881814" w:rsidRPr="004676F5" w:rsidRDefault="005B7A5C" w:rsidP="00881814">
      <w:pPr>
        <w:ind w:firstLine="708"/>
        <w:jc w:val="both"/>
        <w:rPr>
          <w:lang w:val="de-DE"/>
        </w:rPr>
      </w:pPr>
      <w:r w:rsidRPr="004676F5">
        <w:rPr>
          <w:lang w:val="de-DE"/>
        </w:rPr>
        <w:t>- </w:t>
      </w:r>
      <w:r w:rsidR="00881814" w:rsidRPr="004676F5">
        <w:rPr>
          <w:lang w:val="de-DE"/>
        </w:rPr>
        <w:t>Betrag der vereinbarten Verzugszinsen, die auf die Restschuld berechnet werden,</w:t>
      </w:r>
    </w:p>
    <w:p w14:paraId="6FA30002" w14:textId="77777777" w:rsidR="00881814" w:rsidRPr="004676F5" w:rsidRDefault="00881814" w:rsidP="00881814">
      <w:pPr>
        <w:ind w:firstLine="708"/>
        <w:jc w:val="both"/>
        <w:rPr>
          <w:lang w:val="de-DE"/>
        </w:rPr>
      </w:pPr>
    </w:p>
    <w:p w14:paraId="5B444D9A" w14:textId="4F1AD54F" w:rsidR="00881814" w:rsidRPr="004676F5" w:rsidRDefault="005B7A5C" w:rsidP="00881814">
      <w:pPr>
        <w:ind w:firstLine="708"/>
        <w:jc w:val="both"/>
        <w:rPr>
          <w:lang w:val="de-DE"/>
        </w:rPr>
      </w:pPr>
      <w:r w:rsidRPr="004676F5">
        <w:rPr>
          <w:lang w:val="de-DE"/>
        </w:rPr>
        <w:t>- </w:t>
      </w:r>
      <w:r w:rsidR="00881814" w:rsidRPr="004676F5">
        <w:rPr>
          <w:lang w:val="de-DE"/>
        </w:rPr>
        <w:t>vereinbarte Vertragsstrafen oder Entschädigungen, sofern sie auf die Restschuld berechnet und auf folgende Höchstbeträge begrenzt werden:</w:t>
      </w:r>
    </w:p>
    <w:p w14:paraId="6661F6F8" w14:textId="77777777" w:rsidR="00881814" w:rsidRPr="004676F5" w:rsidRDefault="00881814" w:rsidP="00881814">
      <w:pPr>
        <w:ind w:firstLine="708"/>
        <w:jc w:val="both"/>
        <w:rPr>
          <w:lang w:val="de-DE"/>
        </w:rPr>
      </w:pPr>
    </w:p>
    <w:p w14:paraId="574C62C2" w14:textId="64652072" w:rsidR="00881814" w:rsidRPr="004676F5" w:rsidRDefault="005B7A5C" w:rsidP="00881814">
      <w:pPr>
        <w:ind w:firstLine="708"/>
        <w:jc w:val="both"/>
        <w:rPr>
          <w:lang w:val="de-DE"/>
        </w:rPr>
      </w:pPr>
      <w:r w:rsidRPr="004676F5">
        <w:rPr>
          <w:lang w:val="de-DE"/>
        </w:rPr>
        <w:t>- </w:t>
      </w:r>
      <w:r w:rsidR="00881814" w:rsidRPr="004676F5">
        <w:rPr>
          <w:lang w:val="de-DE"/>
        </w:rPr>
        <w:t>höchstens 10 Prozent des Betrags der Restschuld bis zu 7.500 EUR,</w:t>
      </w:r>
    </w:p>
    <w:p w14:paraId="28757E13" w14:textId="77777777" w:rsidR="00881814" w:rsidRPr="004676F5" w:rsidRDefault="00881814" w:rsidP="00881814">
      <w:pPr>
        <w:ind w:firstLine="708"/>
        <w:jc w:val="both"/>
        <w:rPr>
          <w:lang w:val="de-DE"/>
        </w:rPr>
      </w:pPr>
    </w:p>
    <w:p w14:paraId="3E727153" w14:textId="42D83DE3" w:rsidR="00881814" w:rsidRPr="004676F5" w:rsidRDefault="005B7A5C" w:rsidP="00881814">
      <w:pPr>
        <w:ind w:firstLine="708"/>
        <w:jc w:val="both"/>
        <w:rPr>
          <w:lang w:val="de-DE"/>
        </w:rPr>
      </w:pPr>
      <w:r w:rsidRPr="004676F5">
        <w:rPr>
          <w:lang w:val="de-DE"/>
        </w:rPr>
        <w:t>- </w:t>
      </w:r>
      <w:r w:rsidR="00881814" w:rsidRPr="004676F5">
        <w:rPr>
          <w:lang w:val="de-DE"/>
        </w:rPr>
        <w:t>höchstens 5 Prozent des Betrags der Restschuld über 7.500 EUR.</w:t>
      </w:r>
    </w:p>
    <w:p w14:paraId="47724F80" w14:textId="77777777" w:rsidR="00881814" w:rsidRPr="004676F5" w:rsidRDefault="00881814" w:rsidP="00881814">
      <w:pPr>
        <w:ind w:firstLine="708"/>
        <w:jc w:val="both"/>
        <w:rPr>
          <w:lang w:val="de-DE"/>
        </w:rPr>
      </w:pPr>
    </w:p>
    <w:p w14:paraId="0760ACE2" w14:textId="15D276C4"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Bei einfachem Zahlungsverzug, der weder zur Vertragsauflösung noch zur sofortigen Fälligkeit führt, dürfen vom Verbraucher keine anderen als die nachstehenden Zahlungen verlangt werden:</w:t>
      </w:r>
    </w:p>
    <w:p w14:paraId="22D5033D" w14:textId="77777777" w:rsidR="00881814" w:rsidRPr="004676F5" w:rsidRDefault="00881814" w:rsidP="00881814">
      <w:pPr>
        <w:ind w:firstLine="708"/>
        <w:jc w:val="both"/>
        <w:rPr>
          <w:lang w:val="de-DE"/>
        </w:rPr>
      </w:pPr>
    </w:p>
    <w:p w14:paraId="60EA0A48" w14:textId="486EF2BE" w:rsidR="00881814" w:rsidRPr="004676F5" w:rsidRDefault="005B7A5C" w:rsidP="00881814">
      <w:pPr>
        <w:ind w:firstLine="708"/>
        <w:jc w:val="both"/>
        <w:rPr>
          <w:lang w:val="de-DE"/>
        </w:rPr>
      </w:pPr>
      <w:r w:rsidRPr="004676F5">
        <w:rPr>
          <w:lang w:val="de-DE"/>
        </w:rPr>
        <w:t>- </w:t>
      </w:r>
      <w:r w:rsidR="00881814" w:rsidRPr="004676F5">
        <w:rPr>
          <w:lang w:val="de-DE"/>
        </w:rPr>
        <w:t>fälliges, nicht gezahltes Kapital,</w:t>
      </w:r>
    </w:p>
    <w:p w14:paraId="0D99652B" w14:textId="77777777" w:rsidR="00881814" w:rsidRPr="004676F5" w:rsidRDefault="00881814" w:rsidP="00881814">
      <w:pPr>
        <w:ind w:firstLine="708"/>
        <w:jc w:val="both"/>
        <w:rPr>
          <w:lang w:val="de-DE"/>
        </w:rPr>
      </w:pPr>
    </w:p>
    <w:p w14:paraId="50CAE382" w14:textId="6F009487" w:rsidR="00881814" w:rsidRPr="004676F5" w:rsidRDefault="005B7A5C" w:rsidP="00881814">
      <w:pPr>
        <w:ind w:firstLine="708"/>
        <w:jc w:val="both"/>
        <w:rPr>
          <w:lang w:val="de-DE"/>
        </w:rPr>
      </w:pPr>
      <w:r w:rsidRPr="004676F5">
        <w:rPr>
          <w:lang w:val="de-DE"/>
        </w:rPr>
        <w:t>- </w:t>
      </w:r>
      <w:r w:rsidR="00881814" w:rsidRPr="004676F5">
        <w:rPr>
          <w:lang w:val="de-DE"/>
        </w:rPr>
        <w:t>fälliger, nicht gezahlter Betrag der Gesamtkosten des Kredits für den Verbraucher,</w:t>
      </w:r>
    </w:p>
    <w:p w14:paraId="1286D79C" w14:textId="77777777" w:rsidR="00881814" w:rsidRPr="004676F5" w:rsidRDefault="00881814" w:rsidP="00881814">
      <w:pPr>
        <w:ind w:firstLine="708"/>
        <w:jc w:val="both"/>
        <w:rPr>
          <w:lang w:val="de-DE"/>
        </w:rPr>
      </w:pPr>
    </w:p>
    <w:p w14:paraId="5A0A25EE" w14:textId="622D8D77" w:rsidR="00881814" w:rsidRPr="004676F5" w:rsidRDefault="005B7A5C" w:rsidP="00881814">
      <w:pPr>
        <w:ind w:firstLine="708"/>
        <w:jc w:val="both"/>
        <w:rPr>
          <w:lang w:val="de-DE"/>
        </w:rPr>
      </w:pPr>
      <w:r w:rsidRPr="004676F5">
        <w:rPr>
          <w:lang w:val="de-DE"/>
        </w:rPr>
        <w:t>- </w:t>
      </w:r>
      <w:r w:rsidR="00881814" w:rsidRPr="004676F5">
        <w:rPr>
          <w:lang w:val="de-DE"/>
        </w:rPr>
        <w:t>Betrag der vereinbarten Verzugszinsen, die auf das fällige, nicht gezahlte Kapital berechnet werden,</w:t>
      </w:r>
    </w:p>
    <w:p w14:paraId="525E0662" w14:textId="77777777" w:rsidR="00881814" w:rsidRPr="004676F5" w:rsidRDefault="00881814" w:rsidP="00881814">
      <w:pPr>
        <w:ind w:firstLine="708"/>
        <w:jc w:val="both"/>
        <w:rPr>
          <w:lang w:val="de-DE"/>
        </w:rPr>
      </w:pPr>
    </w:p>
    <w:p w14:paraId="7C27BF28" w14:textId="455ADE84" w:rsidR="00881814" w:rsidRPr="004676F5" w:rsidRDefault="005B7A5C" w:rsidP="00881814">
      <w:pPr>
        <w:ind w:firstLine="708"/>
        <w:jc w:val="both"/>
        <w:rPr>
          <w:lang w:val="de-DE"/>
        </w:rPr>
      </w:pPr>
      <w:r w:rsidRPr="004676F5">
        <w:rPr>
          <w:lang w:val="de-DE"/>
        </w:rPr>
        <w:t>- </w:t>
      </w:r>
      <w:r w:rsidR="00881814" w:rsidRPr="004676F5">
        <w:rPr>
          <w:lang w:val="de-DE"/>
        </w:rPr>
        <w:t>vereinbarte Kosten für Mahn</w:t>
      </w:r>
      <w:r w:rsidRPr="004676F5">
        <w:rPr>
          <w:lang w:val="de-DE"/>
        </w:rPr>
        <w:t>- </w:t>
      </w:r>
      <w:r w:rsidR="00881814" w:rsidRPr="004676F5">
        <w:rPr>
          <w:lang w:val="de-DE"/>
        </w:rPr>
        <w:t>und Inverzugsetzungsschreiben, wobei der Verbraucher für höchstens ein Schreiben pro Monat zahlt. Diese Kosten bestehen aus einem pauschalen Höchstbetrag von 7,50 EUR zuzüglich der am Tag der Absendung gültigen Portokosten. Der König kann diesen Pauschalbetrag dem Verbraucherpreisindex anpassen.</w:t>
      </w:r>
    </w:p>
    <w:p w14:paraId="1BDD4E68" w14:textId="77777777" w:rsidR="00881814" w:rsidRPr="004676F5" w:rsidRDefault="00881814" w:rsidP="00881814">
      <w:pPr>
        <w:ind w:firstLine="708"/>
        <w:jc w:val="both"/>
        <w:rPr>
          <w:lang w:val="de-DE"/>
        </w:rPr>
      </w:pPr>
    </w:p>
    <w:p w14:paraId="14159C6A" w14:textId="77777777" w:rsidR="00881814" w:rsidRPr="004676F5" w:rsidRDefault="00881814" w:rsidP="00881814">
      <w:pPr>
        <w:ind w:firstLine="708"/>
        <w:jc w:val="both"/>
        <w:rPr>
          <w:lang w:val="de-DE"/>
        </w:rPr>
      </w:pPr>
      <w:r w:rsidRPr="004676F5">
        <w:rPr>
          <w:lang w:val="de-DE"/>
        </w:rPr>
        <w:t xml:space="preserve">Wenn der Vertrag gemäß Artikel VII.98 § 1 gekündigt wird oder endet und der Verbraucher seine Verbindlichkeiten innerhalb dreier Monate </w:t>
      </w:r>
      <w:r w:rsidR="009F24CD" w:rsidRPr="004676F5">
        <w:rPr>
          <w:lang w:val="de-DE"/>
        </w:rPr>
        <w:t>[ab Versendung einer Einschreibesendung zur Inver</w:t>
      </w:r>
      <w:r w:rsidR="009F24CD" w:rsidRPr="004676F5">
        <w:rPr>
          <w:lang w:val="de-DE"/>
        </w:rPr>
        <w:softHyphen/>
        <w:t>zugsetzung]</w:t>
      </w:r>
      <w:r w:rsidRPr="004676F5">
        <w:rPr>
          <w:lang w:val="de-DE"/>
        </w:rPr>
        <w:t xml:space="preserve"> nicht erfüllt hat, dürfen vom Verbraucher keine anderen als die nachstehenden Zahlungen verlangt werden:</w:t>
      </w:r>
    </w:p>
    <w:p w14:paraId="1C1E3D91" w14:textId="77777777" w:rsidR="00881814" w:rsidRPr="004676F5" w:rsidRDefault="00881814" w:rsidP="00881814">
      <w:pPr>
        <w:ind w:firstLine="708"/>
        <w:jc w:val="both"/>
        <w:rPr>
          <w:lang w:val="de-DE"/>
        </w:rPr>
      </w:pPr>
    </w:p>
    <w:p w14:paraId="4F2C99D9" w14:textId="77E84269" w:rsidR="00881814" w:rsidRPr="004676F5" w:rsidRDefault="005B7A5C" w:rsidP="00881814">
      <w:pPr>
        <w:ind w:firstLine="708"/>
        <w:jc w:val="both"/>
        <w:rPr>
          <w:lang w:val="de-DE"/>
        </w:rPr>
      </w:pPr>
      <w:r w:rsidRPr="004676F5">
        <w:rPr>
          <w:lang w:val="de-DE"/>
        </w:rPr>
        <w:t>- </w:t>
      </w:r>
      <w:r w:rsidR="00881814" w:rsidRPr="004676F5">
        <w:rPr>
          <w:lang w:val="de-DE"/>
        </w:rPr>
        <w:t>fälliges, nicht gezahltes Kapital,</w:t>
      </w:r>
    </w:p>
    <w:p w14:paraId="7D17002E" w14:textId="77777777" w:rsidR="00881814" w:rsidRPr="004676F5" w:rsidRDefault="00881814" w:rsidP="00881814">
      <w:pPr>
        <w:ind w:firstLine="708"/>
        <w:jc w:val="both"/>
        <w:rPr>
          <w:lang w:val="de-DE"/>
        </w:rPr>
      </w:pPr>
    </w:p>
    <w:p w14:paraId="766EE98E" w14:textId="121E41D0" w:rsidR="00881814" w:rsidRPr="004676F5" w:rsidRDefault="005B7A5C" w:rsidP="00881814">
      <w:pPr>
        <w:ind w:firstLine="708"/>
        <w:jc w:val="both"/>
        <w:rPr>
          <w:lang w:val="de-DE"/>
        </w:rPr>
      </w:pPr>
      <w:r w:rsidRPr="004676F5">
        <w:rPr>
          <w:lang w:val="de-DE"/>
        </w:rPr>
        <w:t>- </w:t>
      </w:r>
      <w:r w:rsidR="00881814" w:rsidRPr="004676F5">
        <w:rPr>
          <w:lang w:val="de-DE"/>
        </w:rPr>
        <w:t>fälliger, nicht gezahlter Betrag der Gesamtkosten des Kredits für den Verbraucher,</w:t>
      </w:r>
    </w:p>
    <w:p w14:paraId="1802EEBD" w14:textId="77777777" w:rsidR="00881814" w:rsidRPr="004676F5" w:rsidRDefault="00881814" w:rsidP="00881814">
      <w:pPr>
        <w:ind w:firstLine="708"/>
        <w:jc w:val="both"/>
        <w:rPr>
          <w:lang w:val="de-DE"/>
        </w:rPr>
      </w:pPr>
    </w:p>
    <w:p w14:paraId="438D8FC4" w14:textId="0C51F7BF" w:rsidR="00881814" w:rsidRPr="004676F5" w:rsidRDefault="005B7A5C" w:rsidP="00881814">
      <w:pPr>
        <w:ind w:firstLine="708"/>
        <w:jc w:val="both"/>
        <w:rPr>
          <w:lang w:val="de-DE"/>
        </w:rPr>
      </w:pPr>
      <w:r w:rsidRPr="004676F5">
        <w:rPr>
          <w:lang w:val="de-DE"/>
        </w:rPr>
        <w:t>- </w:t>
      </w:r>
      <w:r w:rsidR="00881814" w:rsidRPr="004676F5">
        <w:rPr>
          <w:lang w:val="de-DE"/>
        </w:rPr>
        <w:t>Betrag der vereinbarten Verzugszinsen, die auf das fällige, nicht gezahlte Kapital berechnet werden,</w:t>
      </w:r>
    </w:p>
    <w:p w14:paraId="28D13A81" w14:textId="77777777" w:rsidR="00881814" w:rsidRPr="004676F5" w:rsidRDefault="00881814" w:rsidP="00881814">
      <w:pPr>
        <w:ind w:firstLine="708"/>
        <w:jc w:val="both"/>
        <w:rPr>
          <w:lang w:val="de-DE"/>
        </w:rPr>
      </w:pPr>
    </w:p>
    <w:p w14:paraId="7DBE3AB4" w14:textId="1631F084" w:rsidR="00881814" w:rsidRPr="004676F5" w:rsidRDefault="005B7A5C" w:rsidP="00881814">
      <w:pPr>
        <w:ind w:firstLine="708"/>
        <w:jc w:val="both"/>
        <w:rPr>
          <w:lang w:val="de-DE"/>
        </w:rPr>
      </w:pPr>
      <w:r w:rsidRPr="004676F5">
        <w:rPr>
          <w:lang w:val="de-DE"/>
        </w:rPr>
        <w:t>- </w:t>
      </w:r>
      <w:r w:rsidR="00881814" w:rsidRPr="004676F5">
        <w:rPr>
          <w:lang w:val="de-DE"/>
        </w:rPr>
        <w:t>vereinbarte Vertragsstrafen oder Entschädigungen innerhalb der in § 1 erwähnten Grenzen und Höchstbeträge.</w:t>
      </w:r>
    </w:p>
    <w:p w14:paraId="05DF156A" w14:textId="77777777" w:rsidR="00881814" w:rsidRPr="004676F5" w:rsidRDefault="00881814" w:rsidP="00881814">
      <w:pPr>
        <w:ind w:firstLine="708"/>
        <w:jc w:val="both"/>
        <w:rPr>
          <w:lang w:val="de-DE"/>
        </w:rPr>
      </w:pPr>
    </w:p>
    <w:p w14:paraId="5A452719" w14:textId="27825F3E" w:rsidR="00881814" w:rsidRPr="004676F5" w:rsidRDefault="00881814" w:rsidP="00881814">
      <w:pPr>
        <w:ind w:firstLine="708"/>
        <w:jc w:val="both"/>
        <w:rPr>
          <w:lang w:val="de-DE"/>
        </w:rPr>
      </w:pPr>
      <w:r w:rsidRPr="004676F5">
        <w:rPr>
          <w:lang w:val="de-DE"/>
        </w:rPr>
        <w:t xml:space="preserve">§ 3 </w:t>
      </w:r>
      <w:r w:rsidR="005B7A5C" w:rsidRPr="004676F5">
        <w:rPr>
          <w:lang w:val="de-DE"/>
        </w:rPr>
        <w:t>- </w:t>
      </w:r>
      <w:r w:rsidRPr="004676F5">
        <w:rPr>
          <w:lang w:val="de-DE"/>
        </w:rPr>
        <w:t>Der vereinbarte Verzugszinssatz darf den zuletzt auf den betreffenden Betrag oder die betreffenden Teilzeiträume angewandten Sollzinssatz zuzüglich eines Koeffizienten von höchstens 10 Prozent nicht übersteigen.</w:t>
      </w:r>
    </w:p>
    <w:p w14:paraId="29F9CEA3" w14:textId="77777777" w:rsidR="00881814" w:rsidRPr="004676F5" w:rsidRDefault="00881814" w:rsidP="00881814">
      <w:pPr>
        <w:ind w:firstLine="708"/>
        <w:jc w:val="both"/>
        <w:rPr>
          <w:lang w:val="de-DE"/>
        </w:rPr>
      </w:pPr>
    </w:p>
    <w:p w14:paraId="6F7913E9" w14:textId="5DDE7BEB" w:rsidR="00881814" w:rsidRPr="004676F5" w:rsidRDefault="00881814" w:rsidP="00881814">
      <w:pPr>
        <w:ind w:firstLine="708"/>
        <w:jc w:val="both"/>
        <w:rPr>
          <w:lang w:val="de-DE"/>
        </w:rPr>
      </w:pPr>
      <w:r w:rsidRPr="004676F5">
        <w:rPr>
          <w:lang w:val="de-DE"/>
        </w:rPr>
        <w:lastRenderedPageBreak/>
        <w:t xml:space="preserve">§ 4 </w:t>
      </w:r>
      <w:r w:rsidR="005B7A5C" w:rsidRPr="004676F5">
        <w:rPr>
          <w:lang w:val="de-DE"/>
        </w:rPr>
        <w:t>- </w:t>
      </w:r>
      <w:r w:rsidRPr="004676F5">
        <w:rPr>
          <w:lang w:val="de-DE"/>
        </w:rPr>
        <w:t>In Anwendung der Paragraphen 1 und 2 verlangte Zahlungen müssen in einer Unterlage, die dem Verbraucher kostenlos ausgehändigt wird, detailliert angegeben und gerechtfertigt werden.</w:t>
      </w:r>
    </w:p>
    <w:p w14:paraId="12FDC38A" w14:textId="77777777" w:rsidR="00881814" w:rsidRPr="004676F5" w:rsidRDefault="00881814" w:rsidP="00881814">
      <w:pPr>
        <w:ind w:firstLine="708"/>
        <w:jc w:val="both"/>
        <w:rPr>
          <w:lang w:val="de-DE"/>
        </w:rPr>
      </w:pPr>
    </w:p>
    <w:p w14:paraId="2C433C35" w14:textId="77777777" w:rsidR="00881814" w:rsidRPr="004676F5" w:rsidRDefault="00881814" w:rsidP="00881814">
      <w:pPr>
        <w:ind w:firstLine="708"/>
        <w:jc w:val="both"/>
        <w:rPr>
          <w:lang w:val="de-DE"/>
        </w:rPr>
      </w:pPr>
      <w:r w:rsidRPr="004676F5">
        <w:rPr>
          <w:lang w:val="de-DE"/>
        </w:rPr>
        <w:t>Eine neue Unterlage, die die in Anwendung der Paragraphen 1 und 2 geschuldeten Beträge detailliert angibt und rechtfertigt, muss dem Verbraucher, der sie beantragt, höchstens dreimal pro Jahr kostenlos ausgehändigt werden.</w:t>
      </w:r>
    </w:p>
    <w:p w14:paraId="2A698423" w14:textId="77777777" w:rsidR="00881814" w:rsidRPr="004676F5" w:rsidRDefault="00881814" w:rsidP="00881814">
      <w:pPr>
        <w:ind w:firstLine="708"/>
        <w:jc w:val="both"/>
        <w:rPr>
          <w:lang w:val="de-DE"/>
        </w:rPr>
      </w:pPr>
    </w:p>
    <w:p w14:paraId="2CFF061D" w14:textId="77777777" w:rsidR="00881814" w:rsidRPr="004676F5" w:rsidRDefault="00881814" w:rsidP="00881814">
      <w:pPr>
        <w:ind w:firstLine="708"/>
        <w:jc w:val="both"/>
        <w:rPr>
          <w:lang w:val="de-DE"/>
        </w:rPr>
      </w:pPr>
      <w:r w:rsidRPr="004676F5">
        <w:rPr>
          <w:lang w:val="de-DE"/>
        </w:rPr>
        <w:t>Der König kann die Vermerke auf dieser Unterlage bestimmen und ein Abrechnungs</w:t>
      </w:r>
      <w:r w:rsidRPr="004676F5">
        <w:rPr>
          <w:lang w:val="de-DE"/>
        </w:rPr>
        <w:softHyphen/>
        <w:t>muster auferlegen.</w:t>
      </w:r>
    </w:p>
    <w:p w14:paraId="4E9A4061" w14:textId="77777777" w:rsidR="00881814" w:rsidRPr="004676F5" w:rsidRDefault="00881814" w:rsidP="00881814">
      <w:pPr>
        <w:ind w:firstLine="708"/>
        <w:jc w:val="both"/>
        <w:rPr>
          <w:lang w:val="de-DE"/>
        </w:rPr>
      </w:pPr>
    </w:p>
    <w:p w14:paraId="0EA4ABC6" w14:textId="59ED2E00" w:rsidR="00881814" w:rsidRPr="004676F5" w:rsidRDefault="00881814" w:rsidP="00881814">
      <w:pPr>
        <w:ind w:firstLine="708"/>
        <w:jc w:val="both"/>
        <w:rPr>
          <w:lang w:val="de-DE"/>
        </w:rPr>
      </w:pPr>
      <w:r w:rsidRPr="004676F5">
        <w:rPr>
          <w:lang w:val="de-DE"/>
        </w:rPr>
        <w:t xml:space="preserve">§ 5 </w:t>
      </w:r>
      <w:r w:rsidR="005B7A5C" w:rsidRPr="004676F5">
        <w:rPr>
          <w:lang w:val="de-DE"/>
        </w:rPr>
        <w:t>- </w:t>
      </w:r>
      <w:r w:rsidRPr="004676F5">
        <w:rPr>
          <w:lang w:val="de-DE"/>
        </w:rPr>
        <w:t>Bei Vertragsauflösung oder sofortiger Fälligkeit dürfen in Abweichung von Artikel </w:t>
      </w:r>
      <w:r w:rsidR="008C2036" w:rsidRPr="004676F5">
        <w:rPr>
          <w:lang w:val="de-DE"/>
        </w:rPr>
        <w:t>[5.210]</w:t>
      </w:r>
      <w:r w:rsidRPr="004676F5">
        <w:rPr>
          <w:lang w:val="de-DE"/>
        </w:rPr>
        <w:t xml:space="preserve"> des Zivilgesetzbuches Zahlungen des Verbrauchers, des Bürgen oder desjenigen, der eine Sicherheit leistet, erst auf den Betrag der Verzugszinsen oder anderer Vertragsstrafen und Entschädigungen angerechnet werden, nachdem die Restschuld und die Gesamtkosten des Kredits gezahlt worden sind.</w:t>
      </w:r>
    </w:p>
    <w:p w14:paraId="5E5E78EF" w14:textId="77777777" w:rsidR="00881814" w:rsidRPr="004676F5" w:rsidRDefault="00881814" w:rsidP="00881814">
      <w:pPr>
        <w:ind w:firstLine="708"/>
        <w:jc w:val="both"/>
        <w:rPr>
          <w:lang w:val="de-DE"/>
        </w:rPr>
      </w:pPr>
    </w:p>
    <w:p w14:paraId="695256E4" w14:textId="61174770" w:rsidR="00881814" w:rsidRPr="004676F5" w:rsidRDefault="00881814" w:rsidP="00881814">
      <w:pPr>
        <w:ind w:firstLine="708"/>
        <w:jc w:val="both"/>
        <w:rPr>
          <w:lang w:val="de-DE"/>
        </w:rPr>
      </w:pPr>
      <w:r w:rsidRPr="004676F5">
        <w:rPr>
          <w:lang w:val="de-DE"/>
        </w:rPr>
        <w:t xml:space="preserve">§ 6 </w:t>
      </w:r>
      <w:r w:rsidR="005B7A5C" w:rsidRPr="004676F5">
        <w:rPr>
          <w:lang w:val="de-DE"/>
        </w:rPr>
        <w:t>- </w:t>
      </w:r>
      <w:r w:rsidRPr="004676F5">
        <w:rPr>
          <w:lang w:val="de-DE"/>
        </w:rPr>
        <w:t>Klauseln, die für den Fall der Nichterfüllung der Verbindlichkeiten seitens des Verbrauchers in vorliegendem Buch nicht vorgesehene Strafen oder Entschädigungen auferlegt, sind verboten und gelten als ungeschrieben.</w:t>
      </w:r>
    </w:p>
    <w:p w14:paraId="16DC6284" w14:textId="77777777" w:rsidR="00881814" w:rsidRPr="004676F5" w:rsidRDefault="00881814" w:rsidP="00881814">
      <w:pPr>
        <w:ind w:firstLine="708"/>
        <w:jc w:val="both"/>
        <w:rPr>
          <w:lang w:val="de-DE"/>
        </w:rPr>
      </w:pPr>
    </w:p>
    <w:p w14:paraId="1FBC14D5" w14:textId="3774E085" w:rsidR="0063227B" w:rsidRPr="004676F5" w:rsidRDefault="009F24CD" w:rsidP="009F24CD">
      <w:pPr>
        <w:jc w:val="both"/>
        <w:rPr>
          <w:i/>
          <w:lang w:val="de-DE"/>
        </w:rPr>
      </w:pPr>
      <w:r w:rsidRPr="004676F5">
        <w:rPr>
          <w:i/>
          <w:lang w:val="de-DE"/>
        </w:rPr>
        <w:t>[</w:t>
      </w:r>
      <w:r w:rsidR="00BE0A56" w:rsidRPr="004676F5">
        <w:rPr>
          <w:i/>
          <w:lang w:val="de-DE"/>
        </w:rPr>
        <w:t>Art. </w:t>
      </w:r>
      <w:r w:rsidRPr="004676F5">
        <w:rPr>
          <w:i/>
          <w:lang w:val="de-DE"/>
        </w:rPr>
        <w:t xml:space="preserve">VII.106 § 2 Abs. 2 einleitende Bestimmung abgeändert durch </w:t>
      </w:r>
      <w:r w:rsidR="00BE0A56" w:rsidRPr="004676F5">
        <w:rPr>
          <w:i/>
          <w:lang w:val="de-DE"/>
        </w:rPr>
        <w:t>Art. </w:t>
      </w:r>
      <w:r w:rsidRPr="004676F5">
        <w:rPr>
          <w:i/>
          <w:lang w:val="de-DE"/>
        </w:rPr>
        <w:t>18 des G. vom 22. April 2016 (B.S. vom 4. Mai 2016)</w:t>
      </w:r>
      <w:r w:rsidR="008C2036" w:rsidRPr="004676F5">
        <w:rPr>
          <w:i/>
          <w:lang w:val="de-DE"/>
        </w:rPr>
        <w:t xml:space="preserve">; § 5 abgeändert </w:t>
      </w:r>
      <w:r w:rsidR="008C2036" w:rsidRPr="004676F5">
        <w:rPr>
          <w:i/>
          <w:iCs/>
          <w:lang w:val="de-DE"/>
        </w:rPr>
        <w:t>durch Art. 18 des G. vom 28.</w:t>
      </w:r>
      <w:r w:rsidR="004809DE" w:rsidRPr="004676F5">
        <w:rPr>
          <w:i/>
          <w:iCs/>
          <w:lang w:val="de-DE"/>
        </w:rPr>
        <w:t> </w:t>
      </w:r>
      <w:r w:rsidR="008C2036" w:rsidRPr="004676F5">
        <w:rPr>
          <w:i/>
          <w:iCs/>
          <w:lang w:val="de-DE"/>
        </w:rPr>
        <w:t>April 2022 (B.S. vom 1. Juli</w:t>
      </w:r>
      <w:r w:rsidR="004809DE" w:rsidRPr="004676F5">
        <w:rPr>
          <w:i/>
          <w:iCs/>
          <w:lang w:val="de-DE"/>
        </w:rPr>
        <w:t> </w:t>
      </w:r>
      <w:r w:rsidR="008C2036" w:rsidRPr="004676F5">
        <w:rPr>
          <w:i/>
          <w:iCs/>
          <w:lang w:val="de-DE"/>
        </w:rPr>
        <w:t>2022)</w:t>
      </w:r>
      <w:r w:rsidRPr="004676F5">
        <w:rPr>
          <w:i/>
          <w:lang w:val="de-DE"/>
        </w:rPr>
        <w:t>]</w:t>
      </w:r>
    </w:p>
    <w:p w14:paraId="0D77EFAC" w14:textId="77777777" w:rsidR="009F24CD" w:rsidRPr="004676F5" w:rsidRDefault="009F24CD" w:rsidP="009F24CD">
      <w:pPr>
        <w:jc w:val="both"/>
        <w:rPr>
          <w:i/>
          <w:lang w:val="de-DE"/>
        </w:rPr>
      </w:pPr>
    </w:p>
    <w:p w14:paraId="4D32471D" w14:textId="77777777" w:rsidR="009F24CD" w:rsidRPr="004676F5" w:rsidRDefault="009F24CD" w:rsidP="009F24CD">
      <w:pPr>
        <w:jc w:val="both"/>
        <w:rPr>
          <w:i/>
          <w:lang w:val="de-DE"/>
        </w:rPr>
      </w:pPr>
    </w:p>
    <w:p w14:paraId="1CDF1521" w14:textId="101C72D1" w:rsidR="00881814" w:rsidRPr="004676F5" w:rsidRDefault="00BE0A56" w:rsidP="00881814">
      <w:pPr>
        <w:ind w:firstLine="708"/>
        <w:jc w:val="both"/>
        <w:rPr>
          <w:lang w:val="de-DE"/>
        </w:rPr>
      </w:pPr>
      <w:r w:rsidRPr="004676F5">
        <w:rPr>
          <w:b/>
          <w:lang w:val="de-DE"/>
        </w:rPr>
        <w:t>Art. </w:t>
      </w:r>
      <w:r w:rsidR="00881814" w:rsidRPr="004676F5">
        <w:rPr>
          <w:b/>
          <w:lang w:val="de-DE"/>
        </w:rPr>
        <w:t>VII.107</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Der Friedensrichter kann von ihm bestimmte Zahlungserleich</w:t>
      </w:r>
      <w:r w:rsidR="00881814" w:rsidRPr="004676F5">
        <w:rPr>
          <w:lang w:val="de-DE"/>
        </w:rPr>
        <w:softHyphen/>
        <w:t>terungen einem Verbraucher gewähren, dessen Finanzlage sich verschlechtert hat.</w:t>
      </w:r>
    </w:p>
    <w:p w14:paraId="353A548D" w14:textId="77777777" w:rsidR="00881814" w:rsidRPr="004676F5" w:rsidRDefault="00881814" w:rsidP="00881814">
      <w:pPr>
        <w:ind w:firstLine="708"/>
        <w:jc w:val="both"/>
        <w:rPr>
          <w:lang w:val="de-DE"/>
        </w:rPr>
      </w:pPr>
    </w:p>
    <w:p w14:paraId="19CA7C97" w14:textId="77777777" w:rsidR="00881814" w:rsidRPr="004676F5" w:rsidRDefault="00881814" w:rsidP="00881814">
      <w:pPr>
        <w:ind w:firstLine="708"/>
        <w:jc w:val="both"/>
        <w:rPr>
          <w:lang w:val="de-DE"/>
        </w:rPr>
      </w:pPr>
      <w:r w:rsidRPr="004676F5">
        <w:rPr>
          <w:lang w:val="de-DE"/>
        </w:rPr>
        <w:t>Wenn aufgrund der Gewährung von Zahlungserleichterungen die Kosten des Kreditvertrags steigen, bestimmt der Friedensrichter den Anteil des Verbrauchers.</w:t>
      </w:r>
    </w:p>
    <w:p w14:paraId="081A7EC1" w14:textId="77777777" w:rsidR="00881814" w:rsidRPr="004676F5" w:rsidRDefault="00881814" w:rsidP="00881814">
      <w:pPr>
        <w:ind w:firstLine="708"/>
        <w:jc w:val="both"/>
        <w:rPr>
          <w:lang w:val="de-DE"/>
        </w:rPr>
      </w:pPr>
    </w:p>
    <w:p w14:paraId="7B7D7A0B" w14:textId="6F20F0AA" w:rsidR="00881814" w:rsidRPr="004676F5" w:rsidRDefault="00881814" w:rsidP="00881814">
      <w:pPr>
        <w:ind w:firstLine="708"/>
        <w:jc w:val="both"/>
        <w:rPr>
          <w:lang w:val="de-DE"/>
        </w:rPr>
      </w:pPr>
      <w:r w:rsidRPr="004676F5">
        <w:rPr>
          <w:lang w:val="de-DE"/>
        </w:rPr>
        <w:t xml:space="preserve">Der zuständige Richter kann dem Verbraucher für die in Artikel VII.106 §§ 1 und 2 erwähnten Schulden einen Zahlungsaufschub oder eine Neuverteilung bewilligen, selbst wenn der Kreditgeber eine Klausel wie in </w:t>
      </w:r>
      <w:r w:rsidR="00E340B2">
        <w:rPr>
          <w:lang w:val="de-DE"/>
        </w:rPr>
        <w:t>[</w:t>
      </w:r>
      <w:r w:rsidRPr="004676F5">
        <w:rPr>
          <w:lang w:val="de-DE"/>
        </w:rPr>
        <w:t xml:space="preserve">Artikel VII.105 </w:t>
      </w:r>
      <w:r w:rsidR="00E340B2">
        <w:rPr>
          <w:lang w:val="de-DE"/>
        </w:rPr>
        <w:t xml:space="preserve">§ 2] </w:t>
      </w:r>
      <w:r w:rsidRPr="004676F5">
        <w:rPr>
          <w:lang w:val="de-DE"/>
        </w:rPr>
        <w:t>erwähnt anwendet oder deren Anwendung verlangt.</w:t>
      </w:r>
    </w:p>
    <w:p w14:paraId="17BFE039" w14:textId="77777777" w:rsidR="00881814" w:rsidRPr="004676F5" w:rsidRDefault="00881814" w:rsidP="00881814">
      <w:pPr>
        <w:ind w:firstLine="708"/>
        <w:jc w:val="both"/>
        <w:rPr>
          <w:lang w:val="de-DE"/>
        </w:rPr>
      </w:pPr>
    </w:p>
    <w:p w14:paraId="3709B7A9" w14:textId="38320A43"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In Abweichung von den Artikeln 2032 Nr. 4 und 2039 des Zivilgesetzbuches müssen der Bürge und gegebenenfalls derjenige, der eine Sicherheit geleistet hat, den dem Verbraucher vom Friedensrichter gewährten Zahlungserleichterungsplan einhalten.</w:t>
      </w:r>
    </w:p>
    <w:p w14:paraId="0AD796C7" w14:textId="77777777" w:rsidR="00881814" w:rsidRPr="004676F5" w:rsidRDefault="00881814" w:rsidP="00881814">
      <w:pPr>
        <w:ind w:firstLine="708"/>
        <w:jc w:val="both"/>
        <w:rPr>
          <w:lang w:val="de-DE"/>
        </w:rPr>
      </w:pPr>
    </w:p>
    <w:p w14:paraId="0BC0159B" w14:textId="5DE5B005"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Wenn der Bürge und gegebenenfalls derjenige, der eine Sicherheit geleistet hat, vom Gläubiger zwecks Zahlung belangt wird, können sie gemäß den Bedingungen und Modalitäten der Artikel 1337</w:t>
      </w:r>
      <w:r w:rsidRPr="004676F5">
        <w:rPr>
          <w:i/>
          <w:lang w:val="de-DE"/>
        </w:rPr>
        <w:t>bis</w:t>
      </w:r>
      <w:r w:rsidRPr="004676F5">
        <w:rPr>
          <w:lang w:val="de-DE"/>
        </w:rPr>
        <w:t xml:space="preserve"> bis 1337</w:t>
      </w:r>
      <w:r w:rsidRPr="004676F5">
        <w:rPr>
          <w:i/>
          <w:lang w:val="de-DE"/>
        </w:rPr>
        <w:t>octies</w:t>
      </w:r>
      <w:r w:rsidRPr="004676F5">
        <w:rPr>
          <w:lang w:val="de-DE"/>
        </w:rPr>
        <w:t xml:space="preserve"> des Gerichtsgesetzbuches über die Gewährung von Zahlungserleichterungen an Verbraucher in Verbraucherkreditangelegenheiten beim Friedensrichter die Gewährung von Zahlungserleichterungen beantragen.</w:t>
      </w:r>
    </w:p>
    <w:p w14:paraId="63098F75" w14:textId="77777777" w:rsidR="00881814" w:rsidRDefault="00881814" w:rsidP="00E340B2">
      <w:pPr>
        <w:jc w:val="both"/>
        <w:rPr>
          <w:lang w:val="de-DE"/>
        </w:rPr>
      </w:pPr>
    </w:p>
    <w:p w14:paraId="4F22C037" w14:textId="75F143B4" w:rsidR="00E340B2" w:rsidRPr="00E340B2" w:rsidRDefault="00E340B2" w:rsidP="00E340B2">
      <w:pPr>
        <w:jc w:val="both"/>
        <w:rPr>
          <w:i/>
          <w:iCs/>
          <w:lang w:val="de-DE"/>
        </w:rPr>
      </w:pPr>
      <w:r>
        <w:rPr>
          <w:i/>
          <w:iCs/>
          <w:lang w:val="de-DE"/>
        </w:rPr>
        <w:t>[Art. VII.107 § 1 Abs. 3 abgeändert durch Art. 42</w:t>
      </w:r>
      <w:r w:rsidRPr="00E340B2">
        <w:rPr>
          <w:i/>
          <w:iCs/>
          <w:lang w:val="de-DE"/>
        </w:rPr>
        <w:t xml:space="preserve"> des G. vom 20. Dezember 2024 (B.S. vom 14. Januar 2025)</w:t>
      </w:r>
      <w:r>
        <w:rPr>
          <w:i/>
          <w:iCs/>
          <w:lang w:val="de-DE"/>
        </w:rPr>
        <w:t>]</w:t>
      </w:r>
    </w:p>
    <w:p w14:paraId="00D16588" w14:textId="77777777" w:rsidR="0063227B" w:rsidRDefault="0063227B" w:rsidP="00881814">
      <w:pPr>
        <w:ind w:firstLine="708"/>
        <w:jc w:val="both"/>
        <w:rPr>
          <w:lang w:val="de-DE"/>
        </w:rPr>
      </w:pPr>
    </w:p>
    <w:p w14:paraId="1E751E1B" w14:textId="77777777" w:rsidR="00E340B2" w:rsidRPr="004676F5" w:rsidRDefault="00E340B2" w:rsidP="00881814">
      <w:pPr>
        <w:ind w:firstLine="708"/>
        <w:jc w:val="both"/>
        <w:rPr>
          <w:lang w:val="de-DE"/>
        </w:rPr>
      </w:pPr>
    </w:p>
    <w:p w14:paraId="7C30C6B4" w14:textId="69727002" w:rsidR="00881814" w:rsidRPr="004676F5" w:rsidRDefault="00BE0A56" w:rsidP="00881814">
      <w:pPr>
        <w:ind w:firstLine="708"/>
        <w:jc w:val="both"/>
        <w:rPr>
          <w:lang w:val="de-DE"/>
        </w:rPr>
      </w:pPr>
      <w:r w:rsidRPr="004676F5">
        <w:rPr>
          <w:b/>
          <w:lang w:val="de-DE"/>
        </w:rPr>
        <w:lastRenderedPageBreak/>
        <w:t>Art. </w:t>
      </w:r>
      <w:r w:rsidR="00881814" w:rsidRPr="004676F5">
        <w:rPr>
          <w:b/>
          <w:lang w:val="de-DE"/>
        </w:rPr>
        <w:t>VII.108</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 xml:space="preserve">Hat der Verbraucher unbeschadet des Paragraphen 2 bereits Summen in Höhe von mindestens 40 Prozent des Barzahlungspreises einer Ware gezahlt, für die entweder eine Eigentumsvorbehaltsklausel oder ein Pfandversprechen mit unwiderruflicher Vollmacht gilt, darf diese Ware nur aufgrund einer gerichtlichen Entscheidung oder einer schriftlichen Vereinbarung, die nach Inverzugsetzung </w:t>
      </w:r>
      <w:r w:rsidR="009F24CD" w:rsidRPr="004676F5">
        <w:rPr>
          <w:lang w:val="de-DE"/>
        </w:rPr>
        <w:t xml:space="preserve">[per Einschreibesendung] </w:t>
      </w:r>
      <w:r w:rsidR="00881814" w:rsidRPr="004676F5">
        <w:rPr>
          <w:lang w:val="de-DE"/>
        </w:rPr>
        <w:t>geschlossen wurde, zurückgenommen werden.</w:t>
      </w:r>
    </w:p>
    <w:p w14:paraId="7643DF59" w14:textId="77777777" w:rsidR="00881814" w:rsidRPr="004676F5" w:rsidRDefault="00881814" w:rsidP="00881814">
      <w:pPr>
        <w:ind w:firstLine="708"/>
        <w:jc w:val="both"/>
        <w:rPr>
          <w:lang w:val="de-DE"/>
        </w:rPr>
      </w:pPr>
    </w:p>
    <w:p w14:paraId="24DC5DBB" w14:textId="77777777" w:rsidR="00881814" w:rsidRPr="004676F5" w:rsidRDefault="00881814" w:rsidP="00881814">
      <w:pPr>
        <w:ind w:firstLine="708"/>
        <w:jc w:val="both"/>
        <w:rPr>
          <w:lang w:val="de-DE"/>
        </w:rPr>
      </w:pPr>
      <w:r w:rsidRPr="004676F5">
        <w:rPr>
          <w:lang w:val="de-DE"/>
        </w:rPr>
        <w:t>Der Kreditgeber muss innerhalb einer Frist von dreißig Tagen ab dem Datum des Verkaufs der finanzierten Ware dem Verbraucher den erhaltenen Preis mitteilen und ihm den zu viel erhaltenen Betrag zurückerstatten.</w:t>
      </w:r>
    </w:p>
    <w:p w14:paraId="3504A746" w14:textId="77777777" w:rsidR="00881814" w:rsidRPr="004676F5" w:rsidRDefault="00881814" w:rsidP="00881814">
      <w:pPr>
        <w:ind w:firstLine="708"/>
        <w:jc w:val="both"/>
        <w:rPr>
          <w:lang w:val="de-DE"/>
        </w:rPr>
      </w:pPr>
    </w:p>
    <w:p w14:paraId="0E920831" w14:textId="3EA0961A"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Hat der Verbraucher im Rahmen eines Leasings mindestens 40 Prozent des Barzahlungspreises für ein bewegliches Sachgut bezahlt, kann er nur aufgrund einer ausdrücklichen, nach Vertragsschluss getroffenen Vereinbarung zwischen den Parteien oder aufgrund eines richterlichen Beschlusses verlangen, im Besitz des Sachguts zu bleiben.</w:t>
      </w:r>
    </w:p>
    <w:p w14:paraId="1350F886" w14:textId="77777777" w:rsidR="00881814" w:rsidRPr="004676F5" w:rsidRDefault="00881814" w:rsidP="00881814">
      <w:pPr>
        <w:ind w:firstLine="708"/>
        <w:jc w:val="both"/>
        <w:rPr>
          <w:lang w:val="de-DE"/>
        </w:rPr>
      </w:pPr>
    </w:p>
    <w:p w14:paraId="245AF36A" w14:textId="0EFF465A"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Auf keinen Fall darf eine Vollmacht oder Vereinbarung, die im Hinblick auf die Rücknahme einer durch einen Kreditvertrag finanzierten Ware geschlossen wurde, zu einer unberechtigten Bereicherung führen.</w:t>
      </w:r>
    </w:p>
    <w:p w14:paraId="5038EEF7" w14:textId="77777777" w:rsidR="00881814" w:rsidRPr="004676F5" w:rsidRDefault="00881814" w:rsidP="00881814">
      <w:pPr>
        <w:rPr>
          <w:lang w:val="de-DE"/>
        </w:rPr>
      </w:pPr>
    </w:p>
    <w:p w14:paraId="3334622E" w14:textId="435BFC21" w:rsidR="0063227B" w:rsidRPr="004676F5" w:rsidRDefault="009F24CD" w:rsidP="00567BB6">
      <w:pPr>
        <w:jc w:val="both"/>
        <w:rPr>
          <w:i/>
          <w:lang w:val="de-DE"/>
        </w:rPr>
      </w:pPr>
      <w:r w:rsidRPr="004676F5">
        <w:rPr>
          <w:i/>
          <w:lang w:val="de-DE"/>
        </w:rPr>
        <w:t>[</w:t>
      </w:r>
      <w:r w:rsidR="00BE0A56" w:rsidRPr="004676F5">
        <w:rPr>
          <w:i/>
          <w:lang w:val="de-DE"/>
        </w:rPr>
        <w:t>Art. </w:t>
      </w:r>
      <w:r w:rsidRPr="004676F5">
        <w:rPr>
          <w:i/>
          <w:lang w:val="de-DE"/>
        </w:rPr>
        <w:t xml:space="preserve">VII.108 § 1 Abs. 1 abgeändert durch </w:t>
      </w:r>
      <w:r w:rsidR="00BE0A56" w:rsidRPr="004676F5">
        <w:rPr>
          <w:i/>
          <w:lang w:val="de-DE"/>
        </w:rPr>
        <w:t>Art. </w:t>
      </w:r>
      <w:r w:rsidRPr="004676F5">
        <w:rPr>
          <w:i/>
          <w:lang w:val="de-DE"/>
        </w:rPr>
        <w:t>19 des G. vom 22. April 2016 (B.S. vom 4. Mai 2016)]</w:t>
      </w:r>
    </w:p>
    <w:p w14:paraId="7BA7607D" w14:textId="77777777" w:rsidR="009F24CD" w:rsidRPr="004676F5" w:rsidRDefault="009F24CD" w:rsidP="00881814">
      <w:pPr>
        <w:rPr>
          <w:i/>
          <w:lang w:val="de-DE"/>
        </w:rPr>
      </w:pPr>
    </w:p>
    <w:p w14:paraId="5F2D9D2F" w14:textId="77777777" w:rsidR="009F24CD" w:rsidRPr="004676F5" w:rsidRDefault="009F24CD" w:rsidP="00881814">
      <w:pPr>
        <w:rPr>
          <w:i/>
          <w:lang w:val="de-DE"/>
        </w:rPr>
      </w:pPr>
    </w:p>
    <w:p w14:paraId="73F404FD" w14:textId="50F7AB72" w:rsidR="00881814" w:rsidRPr="004676F5" w:rsidRDefault="00881814" w:rsidP="00881814">
      <w:pPr>
        <w:jc w:val="center"/>
        <w:rPr>
          <w:lang w:val="de-DE"/>
        </w:rPr>
      </w:pPr>
      <w:r w:rsidRPr="004676F5">
        <w:rPr>
          <w:i/>
          <w:lang w:val="de-DE"/>
        </w:rPr>
        <w:t>Abschnitt 8 </w:t>
      </w:r>
      <w:r w:rsidR="005B7A5C" w:rsidRPr="004676F5">
        <w:rPr>
          <w:i/>
          <w:lang w:val="de-DE"/>
        </w:rPr>
        <w:t>- </w:t>
      </w:r>
      <w:r w:rsidRPr="004676F5">
        <w:rPr>
          <w:lang w:val="de-DE"/>
        </w:rPr>
        <w:t>Sicherheiten</w:t>
      </w:r>
    </w:p>
    <w:p w14:paraId="737053D8" w14:textId="77777777" w:rsidR="00881814" w:rsidRPr="004676F5" w:rsidRDefault="00881814" w:rsidP="00881814">
      <w:pPr>
        <w:ind w:firstLine="708"/>
        <w:jc w:val="both"/>
        <w:rPr>
          <w:lang w:val="de-DE"/>
        </w:rPr>
      </w:pPr>
    </w:p>
    <w:p w14:paraId="374D8213" w14:textId="77777777" w:rsidR="0063227B" w:rsidRPr="004676F5" w:rsidRDefault="0063227B" w:rsidP="00881814">
      <w:pPr>
        <w:ind w:firstLine="708"/>
        <w:jc w:val="both"/>
        <w:rPr>
          <w:lang w:val="de-DE"/>
        </w:rPr>
      </w:pPr>
    </w:p>
    <w:p w14:paraId="3383EF71" w14:textId="0E2281F4" w:rsidR="00881814" w:rsidRPr="004676F5" w:rsidRDefault="00BE0A56" w:rsidP="00881814">
      <w:pPr>
        <w:ind w:firstLine="708"/>
        <w:jc w:val="both"/>
        <w:rPr>
          <w:lang w:val="de-DE"/>
        </w:rPr>
      </w:pPr>
      <w:r w:rsidRPr="004676F5">
        <w:rPr>
          <w:b/>
          <w:lang w:val="de-DE"/>
        </w:rPr>
        <w:t>Art. </w:t>
      </w:r>
      <w:r w:rsidR="00881814" w:rsidRPr="004676F5">
        <w:rPr>
          <w:b/>
          <w:lang w:val="de-DE"/>
        </w:rPr>
        <w:t>VII.109</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In der Bürgschaftsleistung und gegebenenfalls in jeder anderen Form der Sicherheit für Verbindlichkeiten aus einem Kreditvertrag muss der genaue Betrag, für den gebürgt wird, vermerkt sein. Verlangte Sicherheiten gelten nur für diesen Betrag, eventuell zuzüglich Verzugszinsen, unter Ausschluss jeglicher Vertragsstrafen oder Kosten wegen Nichterfüllung. Zu diesem Zweck muss der Kreditgeber vorab und unentgeltlich dem Bürgen und gegebenenfalls demjenigen, der eine Sicherheit leistet, eine Ausfertigung des Kreditvertrags überreichen.</w:t>
      </w:r>
    </w:p>
    <w:p w14:paraId="6785820A" w14:textId="77777777" w:rsidR="00881814" w:rsidRPr="004676F5" w:rsidRDefault="00881814" w:rsidP="00881814">
      <w:pPr>
        <w:ind w:firstLine="708"/>
        <w:jc w:val="both"/>
        <w:rPr>
          <w:lang w:val="de-DE"/>
        </w:rPr>
      </w:pPr>
    </w:p>
    <w:p w14:paraId="07DA981F" w14:textId="1B80634D"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 xml:space="preserve">In jedem Vertrag über eine Sicherheitsleistung, im Rahmen dessen die Person, die die Sicherheit leistet, gemäß Artikel VII.148 § 2 Nr. 1 registriert wird, wird Folgendes angegeben: </w:t>
      </w:r>
    </w:p>
    <w:p w14:paraId="680A929C" w14:textId="77777777" w:rsidR="00881814" w:rsidRPr="004676F5" w:rsidRDefault="00881814" w:rsidP="00881814">
      <w:pPr>
        <w:ind w:firstLine="708"/>
        <w:jc w:val="both"/>
        <w:rPr>
          <w:lang w:val="de-DE"/>
        </w:rPr>
      </w:pPr>
    </w:p>
    <w:p w14:paraId="78A75119" w14:textId="77777777" w:rsidR="00881814" w:rsidRPr="004676F5" w:rsidRDefault="00881814" w:rsidP="00881814">
      <w:pPr>
        <w:ind w:firstLine="708"/>
        <w:jc w:val="both"/>
        <w:rPr>
          <w:lang w:val="de-DE"/>
        </w:rPr>
      </w:pPr>
      <w:r w:rsidRPr="004676F5">
        <w:rPr>
          <w:lang w:val="de-DE"/>
        </w:rPr>
        <w:t xml:space="preserve">1. die Klausel: "Der Kreditvertrag, für den Sie diese Sicherheit geleistet haben, ist in der Zentrale für Kredite an Privatpersonen registriert, in der Sie gemäß Artikel VII.148 § 2 Nr. 1 als Person, die eine Sicherheit geleistet hat, registriert sind." </w:t>
      </w:r>
    </w:p>
    <w:p w14:paraId="45DF1189" w14:textId="77777777" w:rsidR="00881814" w:rsidRPr="004676F5" w:rsidRDefault="00881814" w:rsidP="00881814">
      <w:pPr>
        <w:ind w:firstLine="708"/>
        <w:jc w:val="both"/>
        <w:rPr>
          <w:lang w:val="de-DE"/>
        </w:rPr>
      </w:pPr>
    </w:p>
    <w:p w14:paraId="19B08C83" w14:textId="77777777" w:rsidR="00881814" w:rsidRPr="004676F5" w:rsidRDefault="00881814" w:rsidP="00881814">
      <w:pPr>
        <w:ind w:firstLine="708"/>
        <w:jc w:val="both"/>
        <w:rPr>
          <w:lang w:val="de-DE"/>
        </w:rPr>
      </w:pPr>
      <w:r w:rsidRPr="004676F5">
        <w:rPr>
          <w:lang w:val="de-DE"/>
        </w:rPr>
        <w:t>2. Zwecke der Verarbeitung in der Zentrale,</w:t>
      </w:r>
    </w:p>
    <w:p w14:paraId="250B4BF8" w14:textId="77777777" w:rsidR="00881814" w:rsidRPr="004676F5" w:rsidRDefault="00881814" w:rsidP="00881814">
      <w:pPr>
        <w:ind w:firstLine="708"/>
        <w:jc w:val="both"/>
        <w:rPr>
          <w:lang w:val="de-DE"/>
        </w:rPr>
      </w:pPr>
    </w:p>
    <w:p w14:paraId="3D6E1C6C" w14:textId="77777777" w:rsidR="00881814" w:rsidRPr="004676F5" w:rsidRDefault="00881814" w:rsidP="00881814">
      <w:pPr>
        <w:ind w:firstLine="708"/>
        <w:jc w:val="both"/>
        <w:rPr>
          <w:lang w:val="de-DE"/>
        </w:rPr>
      </w:pPr>
      <w:r w:rsidRPr="004676F5">
        <w:rPr>
          <w:lang w:val="de-DE"/>
        </w:rPr>
        <w:t>3. Name der Zentrale,</w:t>
      </w:r>
    </w:p>
    <w:p w14:paraId="44451EF8" w14:textId="77777777" w:rsidR="00881814" w:rsidRPr="004676F5" w:rsidRDefault="00881814" w:rsidP="00881814">
      <w:pPr>
        <w:ind w:firstLine="708"/>
        <w:jc w:val="both"/>
        <w:rPr>
          <w:lang w:val="de-DE"/>
        </w:rPr>
      </w:pPr>
    </w:p>
    <w:p w14:paraId="2AC1F1BA" w14:textId="4A12AF1F" w:rsidR="00881814" w:rsidRPr="004676F5" w:rsidRDefault="00881814" w:rsidP="00881814">
      <w:pPr>
        <w:ind w:firstLine="708"/>
        <w:jc w:val="both"/>
        <w:rPr>
          <w:lang w:val="de-DE"/>
        </w:rPr>
      </w:pPr>
      <w:r w:rsidRPr="004676F5">
        <w:rPr>
          <w:lang w:val="de-DE"/>
        </w:rPr>
        <w:t>4. Bestehen eines Zugangs-, Berichtigungs</w:t>
      </w:r>
      <w:r w:rsidR="005B7A5C" w:rsidRPr="004676F5">
        <w:rPr>
          <w:lang w:val="de-DE"/>
        </w:rPr>
        <w:t>- </w:t>
      </w:r>
      <w:r w:rsidRPr="004676F5">
        <w:rPr>
          <w:lang w:val="de-DE"/>
        </w:rPr>
        <w:t>und Streichungsrechts hinsichtlich der Daten und Fristen für die Aufbewahrung dieser Daten.</w:t>
      </w:r>
    </w:p>
    <w:p w14:paraId="6D633A0B" w14:textId="77777777" w:rsidR="00881814" w:rsidRPr="004676F5" w:rsidRDefault="00881814" w:rsidP="00881814">
      <w:pPr>
        <w:ind w:firstLine="708"/>
        <w:jc w:val="both"/>
        <w:rPr>
          <w:lang w:val="de-DE"/>
        </w:rPr>
      </w:pPr>
    </w:p>
    <w:p w14:paraId="12B6B129" w14:textId="0E74BD80"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Der Kreditgeber muss denjenigen, der eine Sicherheit leistet, über den Abschluss des Kreditvertrags informieren und ihn vorab über jede Änderung dieses Vertrags unterrichten.</w:t>
      </w:r>
    </w:p>
    <w:p w14:paraId="05B71A6F" w14:textId="77777777" w:rsidR="00881814" w:rsidRPr="004676F5" w:rsidRDefault="00881814" w:rsidP="00881814">
      <w:pPr>
        <w:ind w:firstLine="708"/>
        <w:jc w:val="both"/>
        <w:rPr>
          <w:lang w:val="de-DE"/>
        </w:rPr>
      </w:pPr>
    </w:p>
    <w:p w14:paraId="5C7DD210" w14:textId="77777777" w:rsidR="00881814" w:rsidRPr="004676F5" w:rsidRDefault="00881814" w:rsidP="00881814">
      <w:pPr>
        <w:ind w:firstLine="708"/>
        <w:jc w:val="both"/>
        <w:rPr>
          <w:lang w:val="de-DE"/>
        </w:rPr>
      </w:pPr>
      <w:r w:rsidRPr="004676F5">
        <w:rPr>
          <w:lang w:val="de-DE"/>
        </w:rPr>
        <w:t>Für Kreditverträge auf unbegrenzte Dauer kann der Kreditgeber eine Bürgschaft oder persönliche Sicherheit nur für einen Zeitraum von fünf Jahren verlangen. Dieser Zeitraum kann ausschließlich nach Ablauf dieses Zeitraums und mit ausdrücklicher Zustimmung des Bürgen oder desjenigen, der eine persönliche Sicherheit geleistet hat, erneuert werden.</w:t>
      </w:r>
    </w:p>
    <w:p w14:paraId="61F0A36D" w14:textId="77777777" w:rsidR="00881814" w:rsidRPr="004676F5" w:rsidRDefault="00881814" w:rsidP="00881814">
      <w:pPr>
        <w:ind w:firstLine="708"/>
        <w:jc w:val="both"/>
        <w:rPr>
          <w:lang w:val="de-DE"/>
        </w:rPr>
      </w:pPr>
    </w:p>
    <w:p w14:paraId="0BCF172D" w14:textId="61B80471" w:rsidR="00A12382" w:rsidRPr="004676F5" w:rsidRDefault="00A12382">
      <w:pPr>
        <w:rPr>
          <w:b/>
          <w:lang w:val="de-DE"/>
        </w:rPr>
      </w:pPr>
    </w:p>
    <w:p w14:paraId="76883661" w14:textId="71CE20D9" w:rsidR="00881814" w:rsidRPr="004676F5" w:rsidRDefault="00BE0A56" w:rsidP="00881814">
      <w:pPr>
        <w:ind w:firstLine="708"/>
        <w:jc w:val="both"/>
        <w:rPr>
          <w:lang w:val="de-DE"/>
        </w:rPr>
      </w:pPr>
      <w:r w:rsidRPr="004676F5">
        <w:rPr>
          <w:b/>
          <w:lang w:val="de-DE"/>
        </w:rPr>
        <w:t>Art. </w:t>
      </w:r>
      <w:r w:rsidR="00881814" w:rsidRPr="004676F5">
        <w:rPr>
          <w:b/>
          <w:lang w:val="de-DE"/>
        </w:rPr>
        <w:t>VII.110</w:t>
      </w:r>
      <w:r w:rsidR="00881814" w:rsidRPr="004676F5">
        <w:rPr>
          <w:lang w:val="de-DE"/>
        </w:rPr>
        <w:t> </w:t>
      </w:r>
      <w:r w:rsidR="005B7A5C" w:rsidRPr="004676F5">
        <w:rPr>
          <w:lang w:val="de-DE"/>
        </w:rPr>
        <w:t>- </w:t>
      </w:r>
      <w:r w:rsidR="00881814" w:rsidRPr="004676F5">
        <w:rPr>
          <w:lang w:val="de-DE"/>
        </w:rPr>
        <w:t xml:space="preserve">Der Kreditgeber benachrichtigt den Bürgen und gegebenenfalls denjenigen, der eine Sicherheit geleistet hat, falls der Verbraucher mit </w:t>
      </w:r>
      <w:r w:rsidR="009F24CD" w:rsidRPr="004676F5">
        <w:rPr>
          <w:lang w:val="de-DE"/>
        </w:rPr>
        <w:t>[</w:t>
      </w:r>
      <w:r w:rsidR="00881814" w:rsidRPr="004676F5">
        <w:rPr>
          <w:lang w:val="de-DE"/>
        </w:rPr>
        <w:t>zwei Raten</w:t>
      </w:r>
      <w:r w:rsidR="009F24CD" w:rsidRPr="004676F5">
        <w:rPr>
          <w:lang w:val="de-DE"/>
        </w:rPr>
        <w:t>beträgen]</w:t>
      </w:r>
      <w:r w:rsidR="00881814" w:rsidRPr="004676F5">
        <w:rPr>
          <w:lang w:val="de-DE"/>
        </w:rPr>
        <w:t xml:space="preserve"> oder mindestens einem Fünftel des zurückzuzahlenden Gesamtbetrags in Verzug ist. Der Kreditgeber informiert ihn über gewährte Zahlungserleichterungen und unterrichtet ihn vorab über jede Änderung des ursprünglichen Kreditvertrags.</w:t>
      </w:r>
    </w:p>
    <w:p w14:paraId="629B299D" w14:textId="77777777" w:rsidR="009F24CD" w:rsidRPr="004676F5" w:rsidRDefault="009F24CD" w:rsidP="00881814">
      <w:pPr>
        <w:ind w:firstLine="708"/>
        <w:jc w:val="both"/>
        <w:rPr>
          <w:lang w:val="de-DE"/>
        </w:rPr>
      </w:pPr>
    </w:p>
    <w:p w14:paraId="759847F8" w14:textId="4AF488DF" w:rsidR="009F24CD" w:rsidRPr="004676F5" w:rsidRDefault="009F24CD" w:rsidP="009F24CD">
      <w:pPr>
        <w:jc w:val="both"/>
        <w:rPr>
          <w:i/>
          <w:lang w:val="de-DE"/>
        </w:rPr>
      </w:pPr>
      <w:r w:rsidRPr="004676F5">
        <w:rPr>
          <w:i/>
          <w:lang w:val="de-DE"/>
        </w:rPr>
        <w:t>[</w:t>
      </w:r>
      <w:r w:rsidR="00BE0A56" w:rsidRPr="004676F5">
        <w:rPr>
          <w:i/>
          <w:lang w:val="de-DE"/>
        </w:rPr>
        <w:t>Art. </w:t>
      </w:r>
      <w:r w:rsidRPr="004676F5">
        <w:rPr>
          <w:i/>
          <w:lang w:val="de-DE"/>
        </w:rPr>
        <w:t xml:space="preserve">VII.110 abgeändert durch </w:t>
      </w:r>
      <w:r w:rsidR="00BE0A56" w:rsidRPr="004676F5">
        <w:rPr>
          <w:i/>
          <w:lang w:val="de-DE"/>
        </w:rPr>
        <w:t>Art. </w:t>
      </w:r>
      <w:r w:rsidRPr="004676F5">
        <w:rPr>
          <w:i/>
          <w:lang w:val="de-DE"/>
        </w:rPr>
        <w:t>20 des G. vom 22. April 2016 (B.S. vom 4. Mai 2016)]</w:t>
      </w:r>
    </w:p>
    <w:p w14:paraId="6E0DF06C" w14:textId="77777777" w:rsidR="00881814" w:rsidRPr="004676F5" w:rsidRDefault="00881814" w:rsidP="00881814">
      <w:pPr>
        <w:ind w:firstLine="708"/>
        <w:jc w:val="both"/>
        <w:rPr>
          <w:lang w:val="de-DE"/>
        </w:rPr>
      </w:pPr>
    </w:p>
    <w:p w14:paraId="27CD5ED7" w14:textId="77777777" w:rsidR="0063227B" w:rsidRPr="004676F5" w:rsidRDefault="0063227B" w:rsidP="00881814">
      <w:pPr>
        <w:ind w:firstLine="708"/>
        <w:jc w:val="both"/>
        <w:rPr>
          <w:lang w:val="de-DE"/>
        </w:rPr>
      </w:pPr>
    </w:p>
    <w:p w14:paraId="0CBC1E79" w14:textId="03C42076" w:rsidR="00881814" w:rsidRPr="004676F5" w:rsidRDefault="00BE0A56" w:rsidP="00881814">
      <w:pPr>
        <w:ind w:firstLine="708"/>
        <w:jc w:val="both"/>
        <w:rPr>
          <w:lang w:val="de-DE"/>
        </w:rPr>
      </w:pPr>
      <w:r w:rsidRPr="004676F5">
        <w:rPr>
          <w:b/>
          <w:lang w:val="de-DE"/>
        </w:rPr>
        <w:t>Art. </w:t>
      </w:r>
      <w:r w:rsidR="00881814" w:rsidRPr="004676F5">
        <w:rPr>
          <w:b/>
          <w:lang w:val="de-DE"/>
        </w:rPr>
        <w:t>VII.111</w:t>
      </w:r>
      <w:r w:rsidR="00881814" w:rsidRPr="004676F5">
        <w:rPr>
          <w:lang w:val="de-DE"/>
        </w:rPr>
        <w:t> </w:t>
      </w:r>
      <w:r w:rsidR="005B7A5C" w:rsidRPr="004676F5">
        <w:rPr>
          <w:lang w:val="de-DE"/>
        </w:rPr>
        <w:t>- </w:t>
      </w:r>
      <w:r w:rsidR="009F24CD" w:rsidRPr="004676F5">
        <w:rPr>
          <w:lang w:val="de-DE"/>
        </w:rPr>
        <w:t>[In Abweichung von Artikel 2021 des Zivilgesetzbuches kann der Kreditgeber den Bürgen und gegebenenfalls die Person, die eine Sicherheit geleistet hat, erst belangen, wenn der Verbraucher mit mindestens zwei Ratenbeträgen, 20 Prozent des zurückzuzahlenden Gesamtbetrags oder der letzten Rate in Verzug ist und wenn der Verbraucher seine Verbindlichkeiten innerhalb eines Monats ab Versendung seitens des Kreditgebers einer Einschreibesendung zur Inverzugsetzung nicht erfüllt hat.]</w:t>
      </w:r>
    </w:p>
    <w:p w14:paraId="27E9BC8F" w14:textId="77777777" w:rsidR="00881814" w:rsidRPr="004676F5" w:rsidRDefault="00881814" w:rsidP="00881814">
      <w:pPr>
        <w:rPr>
          <w:lang w:val="de-DE"/>
        </w:rPr>
      </w:pPr>
    </w:p>
    <w:p w14:paraId="4CF3810E" w14:textId="406ACD9D" w:rsidR="009F24CD" w:rsidRPr="004676F5" w:rsidRDefault="009F24CD" w:rsidP="00881814">
      <w:pPr>
        <w:rPr>
          <w:i/>
          <w:lang w:val="de-DE"/>
        </w:rPr>
      </w:pPr>
      <w:r w:rsidRPr="004676F5">
        <w:rPr>
          <w:i/>
          <w:lang w:val="de-DE"/>
        </w:rPr>
        <w:t>[</w:t>
      </w:r>
      <w:r w:rsidR="00BE0A56" w:rsidRPr="004676F5">
        <w:rPr>
          <w:i/>
          <w:lang w:val="de-DE"/>
        </w:rPr>
        <w:t>Art. </w:t>
      </w:r>
      <w:r w:rsidRPr="004676F5">
        <w:rPr>
          <w:i/>
          <w:lang w:val="de-DE"/>
        </w:rPr>
        <w:t xml:space="preserve">VII.111 ersetzt durch </w:t>
      </w:r>
      <w:r w:rsidR="00BE0A56" w:rsidRPr="004676F5">
        <w:rPr>
          <w:i/>
          <w:lang w:val="de-DE"/>
        </w:rPr>
        <w:t>Art. </w:t>
      </w:r>
      <w:r w:rsidRPr="004676F5">
        <w:rPr>
          <w:i/>
          <w:lang w:val="de-DE"/>
        </w:rPr>
        <w:t>21 des G. vom 22. April 2016 (B.S. vom 4. Mai 2016)]</w:t>
      </w:r>
    </w:p>
    <w:p w14:paraId="34AADE63" w14:textId="77777777" w:rsidR="0063227B" w:rsidRPr="004676F5" w:rsidRDefault="0063227B" w:rsidP="00881814">
      <w:pPr>
        <w:rPr>
          <w:lang w:val="de-DE"/>
        </w:rPr>
      </w:pPr>
    </w:p>
    <w:p w14:paraId="1A224FD0" w14:textId="77777777" w:rsidR="009F24CD" w:rsidRPr="004676F5" w:rsidRDefault="009F24CD" w:rsidP="00881814">
      <w:pPr>
        <w:rPr>
          <w:lang w:val="de-DE"/>
        </w:rPr>
      </w:pPr>
    </w:p>
    <w:p w14:paraId="315C9BDB" w14:textId="15B79963" w:rsidR="00881814" w:rsidRPr="004676F5" w:rsidRDefault="00881814" w:rsidP="00881814">
      <w:pPr>
        <w:jc w:val="center"/>
        <w:rPr>
          <w:lang w:val="de-DE"/>
        </w:rPr>
      </w:pPr>
      <w:r w:rsidRPr="004676F5">
        <w:rPr>
          <w:i/>
          <w:lang w:val="de-DE"/>
        </w:rPr>
        <w:t>Abschnitt 9 </w:t>
      </w:r>
      <w:r w:rsidR="005B7A5C" w:rsidRPr="004676F5">
        <w:rPr>
          <w:i/>
          <w:lang w:val="de-DE"/>
        </w:rPr>
        <w:t>- </w:t>
      </w:r>
      <w:r w:rsidRPr="004676F5">
        <w:rPr>
          <w:lang w:val="de-DE"/>
        </w:rPr>
        <w:t>Kreditvermittler</w:t>
      </w:r>
    </w:p>
    <w:p w14:paraId="48D3EA5D" w14:textId="77777777" w:rsidR="00881814" w:rsidRPr="004676F5" w:rsidRDefault="00881814" w:rsidP="00881814">
      <w:pPr>
        <w:ind w:firstLine="708"/>
        <w:jc w:val="both"/>
        <w:rPr>
          <w:lang w:val="de-DE"/>
        </w:rPr>
      </w:pPr>
    </w:p>
    <w:p w14:paraId="04D2C868" w14:textId="77777777" w:rsidR="0063227B" w:rsidRPr="004676F5" w:rsidRDefault="0063227B" w:rsidP="00881814">
      <w:pPr>
        <w:ind w:firstLine="708"/>
        <w:jc w:val="both"/>
        <w:rPr>
          <w:lang w:val="de-DE"/>
        </w:rPr>
      </w:pPr>
    </w:p>
    <w:p w14:paraId="255EF05C" w14:textId="44CCA3FE" w:rsidR="00881814" w:rsidRPr="004676F5" w:rsidRDefault="00BE0A56" w:rsidP="00881814">
      <w:pPr>
        <w:ind w:firstLine="708"/>
        <w:jc w:val="both"/>
        <w:rPr>
          <w:lang w:val="de-DE"/>
        </w:rPr>
      </w:pPr>
      <w:r w:rsidRPr="004676F5">
        <w:rPr>
          <w:b/>
          <w:lang w:val="de-DE"/>
        </w:rPr>
        <w:t>Art. </w:t>
      </w:r>
      <w:r w:rsidR="00881814" w:rsidRPr="004676F5">
        <w:rPr>
          <w:b/>
          <w:lang w:val="de-DE"/>
        </w:rPr>
        <w:t>VII.112</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Kreditvermittler dürfen Kreditverträge nur mit zugelassenen be</w:t>
      </w:r>
      <w:r w:rsidR="00881814" w:rsidRPr="004676F5">
        <w:rPr>
          <w:lang w:val="de-DE"/>
        </w:rPr>
        <w:softHyphen/>
        <w:t>ziehungs</w:t>
      </w:r>
      <w:r w:rsidR="00881814" w:rsidRPr="004676F5">
        <w:rPr>
          <w:lang w:val="de-DE"/>
        </w:rPr>
        <w:softHyphen/>
        <w:t>weise registrierten Kreditgebern vermitteln.</w:t>
      </w:r>
    </w:p>
    <w:p w14:paraId="4637C433" w14:textId="77777777" w:rsidR="00881814" w:rsidRPr="004676F5" w:rsidRDefault="00881814" w:rsidP="00881814">
      <w:pPr>
        <w:ind w:firstLine="708"/>
        <w:jc w:val="both"/>
        <w:rPr>
          <w:lang w:val="de-DE"/>
        </w:rPr>
      </w:pPr>
    </w:p>
    <w:p w14:paraId="646EBD01" w14:textId="410A2A50"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Kreditmakler dürfen ihre Tätigkeit nur unter ihrem Namen ausüben.</w:t>
      </w:r>
    </w:p>
    <w:p w14:paraId="0755BF76" w14:textId="77777777" w:rsidR="00881814" w:rsidRPr="004676F5" w:rsidRDefault="00881814" w:rsidP="00881814">
      <w:pPr>
        <w:ind w:firstLine="708"/>
        <w:jc w:val="both"/>
        <w:rPr>
          <w:lang w:val="de-DE"/>
        </w:rPr>
      </w:pPr>
    </w:p>
    <w:p w14:paraId="7F9EBB26" w14:textId="77777777" w:rsidR="0063227B" w:rsidRPr="004676F5" w:rsidRDefault="0063227B" w:rsidP="00881814">
      <w:pPr>
        <w:ind w:firstLine="708"/>
        <w:jc w:val="both"/>
        <w:rPr>
          <w:lang w:val="de-DE"/>
        </w:rPr>
      </w:pPr>
    </w:p>
    <w:p w14:paraId="077EA43C" w14:textId="54904381" w:rsidR="00881814" w:rsidRPr="004676F5" w:rsidRDefault="00BE0A56" w:rsidP="00881814">
      <w:pPr>
        <w:ind w:firstLine="708"/>
        <w:jc w:val="both"/>
        <w:rPr>
          <w:lang w:val="de-DE"/>
        </w:rPr>
      </w:pPr>
      <w:r w:rsidRPr="004676F5">
        <w:rPr>
          <w:b/>
          <w:lang w:val="de-DE"/>
        </w:rPr>
        <w:t>Art. </w:t>
      </w:r>
      <w:r w:rsidR="00881814" w:rsidRPr="004676F5">
        <w:rPr>
          <w:b/>
          <w:lang w:val="de-DE"/>
        </w:rPr>
        <w:t>VII.113</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Ein Kreditvermittler kann keinen Kreditantrag für einen Verbrau</w:t>
      </w:r>
      <w:r w:rsidR="00881814" w:rsidRPr="004676F5">
        <w:rPr>
          <w:lang w:val="de-DE"/>
        </w:rPr>
        <w:softHyphen/>
        <w:t xml:space="preserve">cher einreichen, wenn er unter Berücksichtigung der Informationen, über die er unter anderem aufgrund der in Artikel VII.69 erwähnten Auskünfte verfügt oder verfügen müsste, annimmt, dass der Verbraucher offensichtlich nicht in der Lage sein wird, die Verbindlichkeiten aus dem Kreditvertrag zu erfüllen. </w:t>
      </w:r>
    </w:p>
    <w:p w14:paraId="206F35FD" w14:textId="77777777" w:rsidR="00881814" w:rsidRPr="004676F5" w:rsidRDefault="00881814" w:rsidP="00881814">
      <w:pPr>
        <w:ind w:firstLine="708"/>
        <w:jc w:val="both"/>
        <w:rPr>
          <w:lang w:val="de-DE"/>
        </w:rPr>
      </w:pPr>
    </w:p>
    <w:p w14:paraId="6576FA7B" w14:textId="1F6B2772"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 xml:space="preserve">Ein Kreditvermittler darf Kreditanträge nicht teilen. Er muss dem Kreditgeber die in Artikel VII.69 erwähnten notwendigen Informationen mitteilen. </w:t>
      </w:r>
    </w:p>
    <w:p w14:paraId="20743D24" w14:textId="77777777" w:rsidR="00881814" w:rsidRPr="004676F5" w:rsidRDefault="00881814" w:rsidP="00881814">
      <w:pPr>
        <w:ind w:firstLine="708"/>
        <w:jc w:val="both"/>
        <w:rPr>
          <w:lang w:val="de-DE"/>
        </w:rPr>
      </w:pPr>
    </w:p>
    <w:p w14:paraId="265A5C9B" w14:textId="4326E646"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Wer als Kreditvermittler auftritt, muss allen kontaktierten Kreditgebern den Betrag der anderen Kreditverträge mitteilen, die er innerhalb zweier Monate vor Einreichung jedes neuen Kreditantrags zugunsten desselben Verbrauchers beantragt oder erhalten hat.</w:t>
      </w:r>
    </w:p>
    <w:p w14:paraId="739F6791" w14:textId="77777777" w:rsidR="00881814" w:rsidRPr="004676F5" w:rsidRDefault="00881814" w:rsidP="00881814">
      <w:pPr>
        <w:ind w:firstLine="708"/>
        <w:jc w:val="both"/>
        <w:rPr>
          <w:lang w:val="de-DE"/>
        </w:rPr>
      </w:pPr>
    </w:p>
    <w:p w14:paraId="45552DE5" w14:textId="77777777" w:rsidR="0063227B" w:rsidRPr="004676F5" w:rsidRDefault="0063227B" w:rsidP="00881814">
      <w:pPr>
        <w:ind w:firstLine="708"/>
        <w:jc w:val="both"/>
        <w:rPr>
          <w:lang w:val="de-DE"/>
        </w:rPr>
      </w:pPr>
    </w:p>
    <w:p w14:paraId="6FCE8CB8" w14:textId="14DC4004" w:rsidR="00881814" w:rsidRPr="004676F5" w:rsidRDefault="00BE0A56" w:rsidP="00881814">
      <w:pPr>
        <w:ind w:firstLine="708"/>
        <w:jc w:val="both"/>
        <w:rPr>
          <w:lang w:val="de-DE"/>
        </w:rPr>
      </w:pPr>
      <w:r w:rsidRPr="004676F5">
        <w:rPr>
          <w:b/>
          <w:lang w:val="de-DE"/>
        </w:rPr>
        <w:t>Art. </w:t>
      </w:r>
      <w:r w:rsidR="00881814" w:rsidRPr="004676F5">
        <w:rPr>
          <w:b/>
          <w:lang w:val="de-DE"/>
        </w:rPr>
        <w:t>VII.114</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Ein Kreditvermittler darf weder mittelbar noch unmittelbar vom Verbraucher, der ihn um seine Vermittlung gebeten hat, eine Vergütung gleich welcher Art erhalten.</w:t>
      </w:r>
    </w:p>
    <w:p w14:paraId="61F96993" w14:textId="77777777" w:rsidR="00881814" w:rsidRPr="004676F5" w:rsidRDefault="00881814" w:rsidP="00881814">
      <w:pPr>
        <w:ind w:firstLine="708"/>
        <w:jc w:val="both"/>
        <w:rPr>
          <w:lang w:val="de-DE"/>
        </w:rPr>
      </w:pPr>
    </w:p>
    <w:p w14:paraId="38541A9F" w14:textId="26C89D9F"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Ein Kreditvermittler hat nur Anspruch auf Provision für Kreditverträge, die infolge seiner Vermittlung gültig und gemäß den Formvorschriften zustande gekommen sind.</w:t>
      </w:r>
    </w:p>
    <w:p w14:paraId="0D8E2706" w14:textId="77777777" w:rsidR="00881814" w:rsidRPr="004676F5" w:rsidRDefault="00881814" w:rsidP="00881814">
      <w:pPr>
        <w:ind w:firstLine="708"/>
        <w:jc w:val="both"/>
        <w:rPr>
          <w:lang w:val="de-DE"/>
        </w:rPr>
      </w:pPr>
    </w:p>
    <w:p w14:paraId="217BBBD1" w14:textId="1B6025D1"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Mindestens die Hälfte der Provision muss gemäß den vom König bestimmten Regeln unter Berücksichtigung der Art und Laufzeit des Vertrags in gestaffelten Zahlungen beglichen werden.</w:t>
      </w:r>
      <w:r w:rsidR="009F24CD" w:rsidRPr="004676F5">
        <w:rPr>
          <w:lang w:val="de-DE"/>
        </w:rPr>
        <w:t xml:space="preserve"> [Die Art und Weise, wie Kreditgeber ihr Personal und die Kreditvermittler vergüten, und die Art und Weise, wie Kreditvermittler ihr Personal und ihre Vermittlungsvertreter vergüten, steht nicht der Einhaltung der ihnen obliegenden Verpflichtung entgegen, unter Berücksichtigung der Interessen der Verbraucher ehrlich, redlich, transparent und professionell zu handeln.]</w:t>
      </w:r>
    </w:p>
    <w:p w14:paraId="22E101F7" w14:textId="77777777" w:rsidR="00881814" w:rsidRPr="004676F5" w:rsidRDefault="00881814" w:rsidP="00881814">
      <w:pPr>
        <w:ind w:firstLine="708"/>
        <w:jc w:val="both"/>
        <w:rPr>
          <w:lang w:val="de-DE"/>
        </w:rPr>
      </w:pPr>
    </w:p>
    <w:p w14:paraId="2D152DAF" w14:textId="1C57A909" w:rsidR="00881814" w:rsidRPr="004676F5" w:rsidRDefault="00881814" w:rsidP="00881814">
      <w:pPr>
        <w:ind w:firstLine="708"/>
        <w:jc w:val="both"/>
        <w:rPr>
          <w:lang w:val="de-DE"/>
        </w:rPr>
      </w:pPr>
      <w:r w:rsidRPr="004676F5">
        <w:rPr>
          <w:lang w:val="de-DE"/>
        </w:rPr>
        <w:t>§ 4 </w:t>
      </w:r>
      <w:r w:rsidR="005B7A5C" w:rsidRPr="004676F5">
        <w:rPr>
          <w:lang w:val="de-DE"/>
        </w:rPr>
        <w:t>- </w:t>
      </w:r>
      <w:r w:rsidRPr="004676F5">
        <w:rPr>
          <w:lang w:val="de-DE"/>
        </w:rPr>
        <w:t>Wird ein Kreditvertrag zur vorzeitigen vollständigen Ablösung eines anderen Kreditvertrags abgeschlossen, entsteht kein Anspruch auf Provision, wenn beide Verträge von demselben Kreditvermittler vermittelt worden sind.</w:t>
      </w:r>
    </w:p>
    <w:p w14:paraId="20865AF5" w14:textId="77777777" w:rsidR="00881814" w:rsidRPr="004676F5" w:rsidRDefault="00881814" w:rsidP="00881814">
      <w:pPr>
        <w:ind w:firstLine="708"/>
        <w:jc w:val="both"/>
        <w:rPr>
          <w:lang w:val="de-DE"/>
        </w:rPr>
      </w:pPr>
    </w:p>
    <w:p w14:paraId="5D5C2E50" w14:textId="77777777" w:rsidR="00881814" w:rsidRPr="004676F5" w:rsidRDefault="00881814" w:rsidP="00881814">
      <w:pPr>
        <w:ind w:firstLine="708"/>
        <w:jc w:val="both"/>
        <w:rPr>
          <w:lang w:val="de-DE"/>
        </w:rPr>
      </w:pPr>
      <w:r w:rsidRPr="004676F5">
        <w:rPr>
          <w:lang w:val="de-DE"/>
        </w:rPr>
        <w:t>Vorliegende Bestimmung ist nicht anwendbar, wenn der effektive Jahreszins des neuen Kreditvertrags deutlich unter dem des früheren Kreditvertrags liegt.</w:t>
      </w:r>
    </w:p>
    <w:p w14:paraId="34698D94" w14:textId="77777777" w:rsidR="009F24CD" w:rsidRPr="004676F5" w:rsidRDefault="009F24CD" w:rsidP="00881814">
      <w:pPr>
        <w:ind w:firstLine="708"/>
        <w:jc w:val="both"/>
        <w:rPr>
          <w:lang w:val="de-DE"/>
        </w:rPr>
      </w:pPr>
    </w:p>
    <w:p w14:paraId="50692A6D" w14:textId="1522F85F" w:rsidR="009F24CD" w:rsidRPr="004676F5" w:rsidRDefault="009F24CD" w:rsidP="009F24CD">
      <w:pPr>
        <w:ind w:firstLine="708"/>
        <w:jc w:val="both"/>
        <w:rPr>
          <w:lang w:val="de-DE"/>
        </w:rPr>
      </w:pPr>
      <w:r w:rsidRPr="004676F5">
        <w:rPr>
          <w:lang w:val="de-DE"/>
        </w:rPr>
        <w:t>[§ 5 </w:t>
      </w:r>
      <w:r w:rsidR="005B7A5C" w:rsidRPr="004676F5">
        <w:rPr>
          <w:lang w:val="de-DE"/>
        </w:rPr>
        <w:t>- </w:t>
      </w:r>
      <w:r w:rsidRPr="004676F5">
        <w:rPr>
          <w:lang w:val="de-DE"/>
        </w:rPr>
        <w:t>Kreditgeber handeln bei der Gestaltung und Anwendung der Vergütungspolitik für das für die Kreditwürdigkeitsprüfung zuständige Personal nach den folgenden Grundsätzen in einer Weise und einem Ausmaß, die/das ihrer Größe, ihrer internen Organisation und Art, Umfang und Komplexität ihrer Tätigkeiten entspricht:</w:t>
      </w:r>
    </w:p>
    <w:p w14:paraId="6D8D7242" w14:textId="77777777" w:rsidR="009F24CD" w:rsidRPr="004676F5" w:rsidRDefault="009F24CD" w:rsidP="009F24CD">
      <w:pPr>
        <w:ind w:firstLine="708"/>
        <w:jc w:val="both"/>
        <w:rPr>
          <w:lang w:val="de-DE"/>
        </w:rPr>
      </w:pPr>
    </w:p>
    <w:p w14:paraId="666545EF" w14:textId="77777777" w:rsidR="009F24CD" w:rsidRPr="004676F5" w:rsidRDefault="009F24CD" w:rsidP="009F24CD">
      <w:pPr>
        <w:ind w:firstLine="708"/>
        <w:jc w:val="both"/>
        <w:rPr>
          <w:lang w:val="de-DE"/>
        </w:rPr>
      </w:pPr>
      <w:r w:rsidRPr="004676F5">
        <w:rPr>
          <w:lang w:val="de-DE"/>
        </w:rPr>
        <w:t>1. Die Vergütungspolitik ist mit einem soliden und wirksamen Risikomanagement vereinbar und diesem förderlich und ermutigt nicht zur Übernahme von Risiken, die über das von dem Kreditgeber tolerierte Maß hinausgehen.</w:t>
      </w:r>
    </w:p>
    <w:p w14:paraId="5638DAAF" w14:textId="77777777" w:rsidR="009F24CD" w:rsidRPr="004676F5" w:rsidRDefault="009F24CD" w:rsidP="009F24CD">
      <w:pPr>
        <w:ind w:firstLine="708"/>
        <w:jc w:val="both"/>
        <w:rPr>
          <w:lang w:val="de-DE"/>
        </w:rPr>
      </w:pPr>
    </w:p>
    <w:p w14:paraId="5E2A44E3" w14:textId="77777777" w:rsidR="009F24CD" w:rsidRPr="004676F5" w:rsidRDefault="009F24CD" w:rsidP="009F24CD">
      <w:pPr>
        <w:ind w:firstLine="708"/>
        <w:jc w:val="both"/>
        <w:rPr>
          <w:lang w:val="de-DE"/>
        </w:rPr>
      </w:pPr>
      <w:r w:rsidRPr="004676F5">
        <w:rPr>
          <w:lang w:val="de-DE"/>
        </w:rPr>
        <w:t>2. Die Vergütungspolitik ist an der Geschäftsstrategie, den Zielen, Werten und langfristigen Interessen des Kreditgebers ausgerichtet und beinhaltet Maßnahmen zur Vermeidung von Interessenkonflikten, wobei insbesondere vorzusehen ist, dass die Vergütung nicht von der Zahl oder dem Anteil der genehmigten Anträge abhängt.</w:t>
      </w:r>
    </w:p>
    <w:p w14:paraId="16A1A616" w14:textId="77777777" w:rsidR="009F24CD" w:rsidRPr="004676F5" w:rsidRDefault="009F24CD" w:rsidP="009F24CD">
      <w:pPr>
        <w:ind w:firstLine="708"/>
        <w:jc w:val="both"/>
        <w:rPr>
          <w:lang w:val="de-DE"/>
        </w:rPr>
      </w:pPr>
    </w:p>
    <w:p w14:paraId="526D69DD" w14:textId="66837540" w:rsidR="009F24CD" w:rsidRPr="004676F5" w:rsidRDefault="009F24CD" w:rsidP="009F24CD">
      <w:pPr>
        <w:ind w:firstLine="708"/>
        <w:jc w:val="both"/>
        <w:rPr>
          <w:lang w:val="de-DE"/>
        </w:rPr>
      </w:pPr>
      <w:r w:rsidRPr="004676F5">
        <w:rPr>
          <w:lang w:val="de-DE"/>
        </w:rPr>
        <w:t>§ 6 </w:t>
      </w:r>
      <w:r w:rsidR="005B7A5C" w:rsidRPr="004676F5">
        <w:rPr>
          <w:lang w:val="de-DE"/>
        </w:rPr>
        <w:t>- </w:t>
      </w:r>
      <w:r w:rsidRPr="004676F5">
        <w:rPr>
          <w:lang w:val="de-DE"/>
        </w:rPr>
        <w:t>Bei Kreditgebern oder Kreditvermittlern, die Beratungsdienstleistungen erbringen, beeinträchtigt die Struktur der Vergütung des damit betrauten Personals nicht dessen Fähigkeit, im besten Interesse des Verbrauchers zu handeln, und ist sie insbesondere nicht an Absatzziele gekoppelt.]</w:t>
      </w:r>
    </w:p>
    <w:p w14:paraId="4A833540" w14:textId="77777777" w:rsidR="009F24CD" w:rsidRPr="004676F5" w:rsidRDefault="009F24CD" w:rsidP="009F24CD">
      <w:pPr>
        <w:ind w:firstLine="708"/>
        <w:jc w:val="both"/>
        <w:rPr>
          <w:lang w:val="de-DE"/>
        </w:rPr>
      </w:pPr>
    </w:p>
    <w:p w14:paraId="269EBCA8" w14:textId="6FF3022D" w:rsidR="00881814" w:rsidRPr="004676F5" w:rsidRDefault="009F24CD" w:rsidP="009F24CD">
      <w:pPr>
        <w:jc w:val="both"/>
        <w:rPr>
          <w:i/>
          <w:lang w:val="de-DE"/>
        </w:rPr>
      </w:pPr>
      <w:r w:rsidRPr="004676F5">
        <w:rPr>
          <w:i/>
          <w:lang w:val="de-DE"/>
        </w:rPr>
        <w:t>[</w:t>
      </w:r>
      <w:r w:rsidR="00BE0A56" w:rsidRPr="004676F5">
        <w:rPr>
          <w:i/>
          <w:lang w:val="de-DE"/>
        </w:rPr>
        <w:t>Art. </w:t>
      </w:r>
      <w:r w:rsidRPr="004676F5">
        <w:rPr>
          <w:i/>
          <w:lang w:val="de-DE"/>
        </w:rPr>
        <w:t xml:space="preserve">VII.114 § 3 ergänzt durch </w:t>
      </w:r>
      <w:r w:rsidR="00BE0A56" w:rsidRPr="004676F5">
        <w:rPr>
          <w:i/>
          <w:lang w:val="de-DE"/>
        </w:rPr>
        <w:t>Art. </w:t>
      </w:r>
      <w:r w:rsidRPr="004676F5">
        <w:rPr>
          <w:i/>
          <w:lang w:val="de-DE"/>
        </w:rPr>
        <w:t xml:space="preserve">22 Nr. 1 des G. vom 22. April 2016 (B.S. vom 4. Mai 2016); §§ 5 und 6 eingefügt durch </w:t>
      </w:r>
      <w:r w:rsidR="00BE0A56" w:rsidRPr="004676F5">
        <w:rPr>
          <w:i/>
          <w:lang w:val="de-DE"/>
        </w:rPr>
        <w:t>Art. </w:t>
      </w:r>
      <w:r w:rsidRPr="004676F5">
        <w:rPr>
          <w:i/>
          <w:lang w:val="de-DE"/>
        </w:rPr>
        <w:t>22 Nr. 2 des G. vom 22. April 2016 (B.S. vom 4. Mai 2016)]</w:t>
      </w:r>
    </w:p>
    <w:p w14:paraId="32B83BCB" w14:textId="77777777" w:rsidR="00B743D3" w:rsidRPr="004676F5" w:rsidRDefault="00B743D3" w:rsidP="00881814">
      <w:pPr>
        <w:ind w:firstLine="708"/>
        <w:jc w:val="both"/>
        <w:rPr>
          <w:lang w:val="de-DE"/>
        </w:rPr>
      </w:pPr>
    </w:p>
    <w:p w14:paraId="60DAAE84" w14:textId="77777777" w:rsidR="009F24CD" w:rsidRPr="004676F5" w:rsidRDefault="009F24CD" w:rsidP="00881814">
      <w:pPr>
        <w:ind w:firstLine="708"/>
        <w:jc w:val="both"/>
        <w:rPr>
          <w:lang w:val="de-DE"/>
        </w:rPr>
      </w:pPr>
    </w:p>
    <w:p w14:paraId="4065DAA4" w14:textId="6B8F4475" w:rsidR="00881814" w:rsidRPr="004676F5" w:rsidRDefault="00881814" w:rsidP="00A12382">
      <w:pPr>
        <w:jc w:val="center"/>
        <w:rPr>
          <w:lang w:val="de-DE"/>
        </w:rPr>
      </w:pPr>
      <w:r w:rsidRPr="004676F5">
        <w:rPr>
          <w:i/>
          <w:lang w:val="de-DE"/>
        </w:rPr>
        <w:t xml:space="preserve">Abschnitt 10 </w:t>
      </w:r>
      <w:r w:rsidR="005B7A5C" w:rsidRPr="004676F5">
        <w:rPr>
          <w:i/>
          <w:lang w:val="de-DE"/>
        </w:rPr>
        <w:t>- </w:t>
      </w:r>
      <w:r w:rsidRPr="004676F5">
        <w:rPr>
          <w:lang w:val="de-DE"/>
        </w:rPr>
        <w:t>Schuldenvermittlung</w:t>
      </w:r>
    </w:p>
    <w:p w14:paraId="1E819382" w14:textId="77777777" w:rsidR="00881814" w:rsidRPr="004676F5" w:rsidRDefault="00881814" w:rsidP="00881814">
      <w:pPr>
        <w:ind w:firstLine="708"/>
        <w:jc w:val="both"/>
        <w:rPr>
          <w:lang w:val="de-DE"/>
        </w:rPr>
      </w:pPr>
    </w:p>
    <w:p w14:paraId="6C04921A" w14:textId="77777777" w:rsidR="00B743D3" w:rsidRPr="004676F5" w:rsidRDefault="00B743D3" w:rsidP="00881814">
      <w:pPr>
        <w:ind w:firstLine="708"/>
        <w:jc w:val="both"/>
        <w:rPr>
          <w:lang w:val="de-DE"/>
        </w:rPr>
      </w:pPr>
    </w:p>
    <w:p w14:paraId="0665F246" w14:textId="4FF12BB1" w:rsidR="00881814" w:rsidRPr="004676F5" w:rsidRDefault="00BE0A56" w:rsidP="00881814">
      <w:pPr>
        <w:ind w:firstLine="708"/>
        <w:jc w:val="both"/>
        <w:rPr>
          <w:lang w:val="de-DE"/>
        </w:rPr>
      </w:pPr>
      <w:r w:rsidRPr="004676F5">
        <w:rPr>
          <w:b/>
          <w:lang w:val="de-DE"/>
        </w:rPr>
        <w:t>Art. </w:t>
      </w:r>
      <w:r w:rsidR="00881814" w:rsidRPr="004676F5">
        <w:rPr>
          <w:b/>
          <w:lang w:val="de-DE"/>
        </w:rPr>
        <w:t>VII.115</w:t>
      </w:r>
      <w:r w:rsidR="00881814" w:rsidRPr="004676F5">
        <w:rPr>
          <w:lang w:val="de-DE"/>
        </w:rPr>
        <w:t> </w:t>
      </w:r>
      <w:r w:rsidR="005B7A5C" w:rsidRPr="004676F5">
        <w:rPr>
          <w:lang w:val="de-DE"/>
        </w:rPr>
        <w:t>- </w:t>
      </w:r>
      <w:r w:rsidR="00881814" w:rsidRPr="004676F5">
        <w:rPr>
          <w:lang w:val="de-DE"/>
        </w:rPr>
        <w:t>Schuldenvermittlung ist verboten, außer:</w:t>
      </w:r>
    </w:p>
    <w:p w14:paraId="100C209A" w14:textId="77777777" w:rsidR="00881814" w:rsidRPr="004676F5" w:rsidRDefault="00881814" w:rsidP="00881814">
      <w:pPr>
        <w:ind w:firstLine="708"/>
        <w:jc w:val="both"/>
        <w:rPr>
          <w:lang w:val="de-DE"/>
        </w:rPr>
      </w:pPr>
    </w:p>
    <w:p w14:paraId="3C4B7E20" w14:textId="77777777" w:rsidR="00881814" w:rsidRPr="004676F5" w:rsidRDefault="00881814" w:rsidP="00881814">
      <w:pPr>
        <w:ind w:firstLine="708"/>
        <w:jc w:val="both"/>
        <w:rPr>
          <w:lang w:val="de-DE"/>
        </w:rPr>
      </w:pPr>
      <w:r w:rsidRPr="004676F5">
        <w:rPr>
          <w:lang w:val="de-DE"/>
        </w:rPr>
        <w:t>1. wenn sie von einem Rechtsanwalt, einem ministeriellen Amtsträger oder einem gerichtlichen Mandatsträger in Ausübung seines Berufs oder Amtes ausgeführt wird,</w:t>
      </w:r>
    </w:p>
    <w:p w14:paraId="373264B9" w14:textId="77777777" w:rsidR="00881814" w:rsidRPr="004676F5" w:rsidRDefault="00881814" w:rsidP="00881814">
      <w:pPr>
        <w:ind w:firstLine="708"/>
        <w:jc w:val="both"/>
        <w:rPr>
          <w:lang w:val="de-DE"/>
        </w:rPr>
      </w:pPr>
    </w:p>
    <w:p w14:paraId="234ED18B" w14:textId="77777777" w:rsidR="00881814" w:rsidRPr="004676F5" w:rsidRDefault="00881814" w:rsidP="00881814">
      <w:pPr>
        <w:ind w:firstLine="708"/>
        <w:jc w:val="both"/>
        <w:rPr>
          <w:lang w:val="de-DE"/>
        </w:rPr>
      </w:pPr>
      <w:r w:rsidRPr="004676F5">
        <w:rPr>
          <w:lang w:val="de-DE"/>
        </w:rPr>
        <w:t>2. wenn sie von öffentlichen Einrichtungen oder von privaten Einrichtungen, die zu diesem Zweck von der zuständigen Behörde zugelassen sind, ausgeführt wird.</w:t>
      </w:r>
    </w:p>
    <w:p w14:paraId="21C98E26" w14:textId="77777777" w:rsidR="00881814" w:rsidRPr="004676F5" w:rsidRDefault="00881814" w:rsidP="00881814">
      <w:pPr>
        <w:rPr>
          <w:lang w:val="de-DE"/>
        </w:rPr>
      </w:pPr>
    </w:p>
    <w:p w14:paraId="4C5F1AAD" w14:textId="77777777" w:rsidR="00B743D3" w:rsidRPr="004676F5" w:rsidRDefault="00B743D3" w:rsidP="00881814">
      <w:pPr>
        <w:rPr>
          <w:lang w:val="de-DE"/>
        </w:rPr>
      </w:pPr>
    </w:p>
    <w:p w14:paraId="4BE35098" w14:textId="52F9DB0B" w:rsidR="00881814" w:rsidRPr="004676F5" w:rsidRDefault="00881814" w:rsidP="00554890">
      <w:pPr>
        <w:jc w:val="center"/>
        <w:rPr>
          <w:lang w:val="de-DE"/>
        </w:rPr>
      </w:pPr>
      <w:r w:rsidRPr="004676F5">
        <w:rPr>
          <w:i/>
          <w:lang w:val="de-DE"/>
        </w:rPr>
        <w:t>Abschnitt 11 </w:t>
      </w:r>
      <w:r w:rsidR="005B7A5C" w:rsidRPr="004676F5">
        <w:rPr>
          <w:i/>
          <w:lang w:val="de-DE"/>
        </w:rPr>
        <w:t>- </w:t>
      </w:r>
      <w:r w:rsidRPr="004676F5">
        <w:rPr>
          <w:lang w:val="de-DE"/>
        </w:rPr>
        <w:t>Verarbeitung personenbezogener Daten</w:t>
      </w:r>
    </w:p>
    <w:p w14:paraId="6A97A8F7" w14:textId="77777777" w:rsidR="00881814" w:rsidRPr="004676F5" w:rsidRDefault="00881814" w:rsidP="00881814">
      <w:pPr>
        <w:ind w:firstLine="708"/>
        <w:jc w:val="both"/>
        <w:rPr>
          <w:lang w:val="de-DE"/>
        </w:rPr>
      </w:pPr>
    </w:p>
    <w:p w14:paraId="5739EC16" w14:textId="77777777" w:rsidR="00B743D3" w:rsidRPr="004676F5" w:rsidRDefault="00B743D3" w:rsidP="00881814">
      <w:pPr>
        <w:ind w:firstLine="708"/>
        <w:jc w:val="both"/>
        <w:rPr>
          <w:lang w:val="de-DE"/>
        </w:rPr>
      </w:pPr>
    </w:p>
    <w:p w14:paraId="6422F875" w14:textId="6D353AA8" w:rsidR="00881814" w:rsidRPr="004676F5" w:rsidRDefault="00881814" w:rsidP="00881814">
      <w:pPr>
        <w:jc w:val="center"/>
        <w:rPr>
          <w:lang w:val="de-DE"/>
        </w:rPr>
      </w:pPr>
      <w:r w:rsidRPr="004676F5">
        <w:rPr>
          <w:lang w:val="de-DE"/>
        </w:rPr>
        <w:t>Unterabschnitt 1 </w:t>
      </w:r>
      <w:r w:rsidR="005B7A5C" w:rsidRPr="004676F5">
        <w:rPr>
          <w:lang w:val="de-DE"/>
        </w:rPr>
        <w:t>- </w:t>
      </w:r>
      <w:r w:rsidRPr="004676F5">
        <w:rPr>
          <w:lang w:val="de-DE"/>
        </w:rPr>
        <w:t>Übermittlung personenbezogener Daten</w:t>
      </w:r>
    </w:p>
    <w:p w14:paraId="2CA292FF" w14:textId="77777777" w:rsidR="00881814" w:rsidRPr="004676F5" w:rsidRDefault="00881814" w:rsidP="00881814">
      <w:pPr>
        <w:ind w:firstLine="708"/>
        <w:jc w:val="both"/>
        <w:rPr>
          <w:lang w:val="de-DE"/>
        </w:rPr>
      </w:pPr>
    </w:p>
    <w:p w14:paraId="73EE0917" w14:textId="77777777" w:rsidR="00B743D3" w:rsidRPr="004676F5" w:rsidRDefault="00B743D3" w:rsidP="00881814">
      <w:pPr>
        <w:ind w:firstLine="708"/>
        <w:jc w:val="both"/>
        <w:rPr>
          <w:lang w:val="de-DE"/>
        </w:rPr>
      </w:pPr>
    </w:p>
    <w:p w14:paraId="0DDFAA00" w14:textId="6F0BA2E9" w:rsidR="00881814" w:rsidRPr="004676F5" w:rsidRDefault="00BE0A56" w:rsidP="00881814">
      <w:pPr>
        <w:ind w:firstLine="708"/>
        <w:jc w:val="both"/>
        <w:rPr>
          <w:lang w:val="de-DE"/>
        </w:rPr>
      </w:pPr>
      <w:r w:rsidRPr="004676F5">
        <w:rPr>
          <w:b/>
          <w:lang w:val="de-DE"/>
        </w:rPr>
        <w:t>Art. </w:t>
      </w:r>
      <w:r w:rsidR="00881814" w:rsidRPr="004676F5">
        <w:rPr>
          <w:b/>
          <w:lang w:val="de-DE"/>
        </w:rPr>
        <w:t>VII.116</w:t>
      </w:r>
      <w:r w:rsidR="00881814" w:rsidRPr="004676F5">
        <w:rPr>
          <w:lang w:val="de-DE"/>
        </w:rPr>
        <w:t> </w:t>
      </w:r>
      <w:r w:rsidR="005B7A5C" w:rsidRPr="004676F5">
        <w:rPr>
          <w:lang w:val="de-DE"/>
        </w:rPr>
        <w:t>- </w:t>
      </w:r>
      <w:r w:rsidR="00881814" w:rsidRPr="004676F5">
        <w:rPr>
          <w:lang w:val="de-DE"/>
        </w:rPr>
        <w:t>Außer bei Abtretung oder Forderungsübergang gemäß den Artikeln VII.102 und VII.103 dürfen personenbezogene Daten des Verbrauchers oder desjenigen, der eine Sicherheit leistet, die im Rahmen von Abschluss oder Ausführung eines Kreditvertrags durch den Kreditgeber verarbeitet werden, Dritten nur unter den</w:t>
      </w:r>
      <w:r w:rsidR="00402892" w:rsidRPr="004676F5">
        <w:rPr>
          <w:lang w:val="de-DE"/>
        </w:rPr>
        <w:t xml:space="preserve"> [</w:t>
      </w:r>
      <w:r w:rsidR="00881814" w:rsidRPr="004676F5">
        <w:rPr>
          <w:lang w:val="de-DE"/>
        </w:rPr>
        <w:t xml:space="preserve">in vorliegendem </w:t>
      </w:r>
      <w:r w:rsidR="00402892" w:rsidRPr="004676F5">
        <w:rPr>
          <w:lang w:val="de-DE"/>
        </w:rPr>
        <w:t>Untera</w:t>
      </w:r>
      <w:r w:rsidR="00881814" w:rsidRPr="004676F5">
        <w:rPr>
          <w:lang w:val="de-DE"/>
        </w:rPr>
        <w:t>bschnitt</w:t>
      </w:r>
      <w:r w:rsidR="00402892" w:rsidRPr="004676F5">
        <w:rPr>
          <w:lang w:val="de-DE"/>
        </w:rPr>
        <w:t>]</w:t>
      </w:r>
      <w:r w:rsidR="00881814" w:rsidRPr="004676F5">
        <w:rPr>
          <w:lang w:val="de-DE"/>
        </w:rPr>
        <w:t xml:space="preserve"> aufgezählten kumulativen Bedingungen übermittelt werden.</w:t>
      </w:r>
    </w:p>
    <w:p w14:paraId="5889722D" w14:textId="77777777" w:rsidR="00402892" w:rsidRPr="004676F5" w:rsidRDefault="00402892" w:rsidP="00881814">
      <w:pPr>
        <w:ind w:firstLine="708"/>
        <w:jc w:val="both"/>
        <w:rPr>
          <w:lang w:val="de-DE"/>
        </w:rPr>
      </w:pPr>
    </w:p>
    <w:p w14:paraId="2BEE20AF" w14:textId="025ADB0D" w:rsidR="00402892" w:rsidRPr="004676F5" w:rsidRDefault="00402892" w:rsidP="00402892">
      <w:pPr>
        <w:jc w:val="both"/>
        <w:rPr>
          <w:i/>
          <w:lang w:val="de-DE"/>
        </w:rPr>
      </w:pPr>
      <w:r w:rsidRPr="004676F5">
        <w:rPr>
          <w:i/>
          <w:lang w:val="de-DE"/>
        </w:rPr>
        <w:t>[</w:t>
      </w:r>
      <w:r w:rsidR="00BE0A56" w:rsidRPr="004676F5">
        <w:rPr>
          <w:i/>
          <w:lang w:val="de-DE"/>
        </w:rPr>
        <w:t>Art. </w:t>
      </w:r>
      <w:r w:rsidRPr="004676F5">
        <w:rPr>
          <w:i/>
          <w:lang w:val="de-DE"/>
        </w:rPr>
        <w:t xml:space="preserve">VII.116 abgeändert durch </w:t>
      </w:r>
      <w:r w:rsidR="00BE0A56" w:rsidRPr="004676F5">
        <w:rPr>
          <w:i/>
          <w:lang w:val="de-DE"/>
        </w:rPr>
        <w:t>Art. </w:t>
      </w:r>
      <w:r w:rsidRPr="004676F5">
        <w:rPr>
          <w:i/>
          <w:lang w:val="de-DE"/>
        </w:rPr>
        <w:t>10 des G. vom 18. April 2017 (B.S. vom 24. April 2017)]</w:t>
      </w:r>
    </w:p>
    <w:p w14:paraId="6968A879" w14:textId="77777777" w:rsidR="00881814" w:rsidRPr="004676F5" w:rsidRDefault="00881814" w:rsidP="00881814">
      <w:pPr>
        <w:ind w:firstLine="708"/>
        <w:jc w:val="both"/>
        <w:rPr>
          <w:lang w:val="de-DE"/>
        </w:rPr>
      </w:pPr>
    </w:p>
    <w:p w14:paraId="6F140E0F" w14:textId="77777777" w:rsidR="00B743D3" w:rsidRPr="004676F5" w:rsidRDefault="00B743D3" w:rsidP="00881814">
      <w:pPr>
        <w:ind w:firstLine="708"/>
        <w:jc w:val="both"/>
        <w:rPr>
          <w:lang w:val="de-DE"/>
        </w:rPr>
      </w:pPr>
    </w:p>
    <w:p w14:paraId="6F6C4910" w14:textId="5041A7E9" w:rsidR="00881814" w:rsidRPr="004676F5" w:rsidRDefault="00BE0A56" w:rsidP="00881814">
      <w:pPr>
        <w:ind w:firstLine="708"/>
        <w:jc w:val="both"/>
        <w:rPr>
          <w:lang w:val="de-DE"/>
        </w:rPr>
      </w:pPr>
      <w:r w:rsidRPr="004676F5">
        <w:rPr>
          <w:b/>
          <w:lang w:val="de-DE"/>
        </w:rPr>
        <w:t>Art. </w:t>
      </w:r>
      <w:r w:rsidR="00881814" w:rsidRPr="004676F5">
        <w:rPr>
          <w:b/>
          <w:lang w:val="de-DE"/>
        </w:rPr>
        <w:t>VII.117</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Personenbezogene Daten dürfen nur im Rahmen des folgenden doppelten Zwecks verarbeitet werden:</w:t>
      </w:r>
    </w:p>
    <w:p w14:paraId="283BCF25" w14:textId="77777777" w:rsidR="00881814" w:rsidRPr="004676F5" w:rsidRDefault="00881814" w:rsidP="00881814">
      <w:pPr>
        <w:ind w:firstLine="708"/>
        <w:jc w:val="both"/>
        <w:rPr>
          <w:lang w:val="de-DE"/>
        </w:rPr>
      </w:pPr>
    </w:p>
    <w:p w14:paraId="19867A50" w14:textId="77777777" w:rsidR="00881814" w:rsidRPr="004676F5" w:rsidRDefault="00881814" w:rsidP="00881814">
      <w:pPr>
        <w:ind w:firstLine="708"/>
        <w:jc w:val="both"/>
        <w:rPr>
          <w:lang w:val="de-DE"/>
        </w:rPr>
      </w:pPr>
      <w:r w:rsidRPr="004676F5">
        <w:rPr>
          <w:lang w:val="de-DE"/>
        </w:rPr>
        <w:t>1. im Hinblick auf die Beurteilung der finanziellen Lage und der Kreditwürdigkeit des Verbrauchers oder desjenigen, der eine Sicherheit leistet,</w:t>
      </w:r>
    </w:p>
    <w:p w14:paraId="570F078F" w14:textId="77777777" w:rsidR="00881814" w:rsidRPr="004676F5" w:rsidRDefault="00881814" w:rsidP="00881814">
      <w:pPr>
        <w:ind w:firstLine="708"/>
        <w:jc w:val="both"/>
        <w:rPr>
          <w:lang w:val="de-DE"/>
        </w:rPr>
      </w:pPr>
    </w:p>
    <w:p w14:paraId="76A1D123" w14:textId="77777777" w:rsidR="00881814" w:rsidRPr="004676F5" w:rsidRDefault="00881814" w:rsidP="00881814">
      <w:pPr>
        <w:ind w:firstLine="708"/>
        <w:jc w:val="both"/>
        <w:rPr>
          <w:lang w:val="de-DE"/>
        </w:rPr>
      </w:pPr>
      <w:r w:rsidRPr="004676F5">
        <w:rPr>
          <w:lang w:val="de-DE"/>
        </w:rPr>
        <w:t>2. im Rahmen der Gewährung oder Verwaltung von Krediten oder Zahlungsdiensten wie in vorliegendem Buch erwähnt, die das Privatvermögen einer natürlichen Person belasten können und deren Zwangsvollstreckung in das Privatvermögen dieser Person betrieben werden kann.</w:t>
      </w:r>
    </w:p>
    <w:p w14:paraId="38E123E7" w14:textId="77777777" w:rsidR="00881814" w:rsidRPr="004676F5" w:rsidRDefault="00881814" w:rsidP="00881814">
      <w:pPr>
        <w:ind w:firstLine="708"/>
        <w:jc w:val="both"/>
        <w:rPr>
          <w:lang w:val="de-DE"/>
        </w:rPr>
      </w:pPr>
    </w:p>
    <w:p w14:paraId="302B15E2" w14:textId="77777777" w:rsidR="00881814" w:rsidRPr="004676F5" w:rsidRDefault="00881814" w:rsidP="00881814">
      <w:pPr>
        <w:ind w:firstLine="708"/>
        <w:jc w:val="both"/>
        <w:rPr>
          <w:lang w:val="de-DE"/>
        </w:rPr>
      </w:pPr>
      <w:r w:rsidRPr="004676F5">
        <w:rPr>
          <w:lang w:val="de-DE"/>
        </w:rPr>
        <w:t>Keinesfalls dürfen personenbezogene Daten zu Zwecken der Kundenwerbung verwendet werden.</w:t>
      </w:r>
    </w:p>
    <w:p w14:paraId="7FF34515" w14:textId="77777777" w:rsidR="00881814" w:rsidRPr="004676F5" w:rsidRDefault="00881814" w:rsidP="00881814">
      <w:pPr>
        <w:ind w:firstLine="708"/>
        <w:jc w:val="both"/>
        <w:rPr>
          <w:lang w:val="de-DE"/>
        </w:rPr>
      </w:pPr>
    </w:p>
    <w:p w14:paraId="32AE297F" w14:textId="29A1E01D"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Gesammelte Daten müssen unter Berücksichtigung der Zwecke nach voran</w:t>
      </w:r>
      <w:r w:rsidRPr="004676F5">
        <w:rPr>
          <w:lang w:val="de-DE"/>
        </w:rPr>
        <w:softHyphen/>
        <w:t>gehendem Paragraphen sachdienlich, angemessen und nicht übertrieben sein.</w:t>
      </w:r>
    </w:p>
    <w:p w14:paraId="5E7AB225" w14:textId="77777777" w:rsidR="00881814" w:rsidRPr="004676F5" w:rsidRDefault="00881814" w:rsidP="00881814">
      <w:pPr>
        <w:ind w:firstLine="708"/>
        <w:jc w:val="both"/>
        <w:rPr>
          <w:lang w:val="de-DE"/>
        </w:rPr>
      </w:pPr>
    </w:p>
    <w:p w14:paraId="24111A72" w14:textId="77777777" w:rsidR="00B743D3" w:rsidRPr="004676F5" w:rsidRDefault="00B743D3" w:rsidP="00881814">
      <w:pPr>
        <w:ind w:firstLine="708"/>
        <w:jc w:val="both"/>
        <w:rPr>
          <w:lang w:val="de-DE"/>
        </w:rPr>
      </w:pPr>
    </w:p>
    <w:p w14:paraId="3F305B8F" w14:textId="53C9F6B6" w:rsidR="00881814" w:rsidRPr="004676F5" w:rsidRDefault="00BE0A56" w:rsidP="00881814">
      <w:pPr>
        <w:ind w:firstLine="708"/>
        <w:jc w:val="both"/>
        <w:rPr>
          <w:lang w:val="de-DE"/>
        </w:rPr>
      </w:pPr>
      <w:r w:rsidRPr="004676F5">
        <w:rPr>
          <w:b/>
          <w:lang w:val="de-DE"/>
        </w:rPr>
        <w:t>Art. </w:t>
      </w:r>
      <w:r w:rsidR="00881814" w:rsidRPr="004676F5">
        <w:rPr>
          <w:b/>
          <w:lang w:val="de-DE"/>
        </w:rPr>
        <w:t>VII.118</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Ausschließlich Daten über Identität des Verbrauchers oder desjenigen, der eine Sicherheit leistet, Höhe und Laufzeit des Kredits, Fälligkeit der einzelnen Teilzahlungen, gegebenenfalls gewährte Zahlungserleichterungen, Zahlungsverzüge und Identität des Kreditgebers dürfen verarbeitet werden. Letztere Angabe darf außer im Falle von Zahlungsverzug ausschließlich dem für die Verarbeitung Verantwortlichen und dem Verbraucher mitgeteilt werden.</w:t>
      </w:r>
    </w:p>
    <w:p w14:paraId="3D35561D" w14:textId="77777777" w:rsidR="00881814" w:rsidRPr="004676F5" w:rsidRDefault="00881814" w:rsidP="00881814">
      <w:pPr>
        <w:ind w:firstLine="708"/>
        <w:jc w:val="both"/>
        <w:rPr>
          <w:lang w:val="de-DE"/>
        </w:rPr>
      </w:pPr>
    </w:p>
    <w:p w14:paraId="42357638" w14:textId="77777777" w:rsidR="00881814" w:rsidRPr="004676F5" w:rsidRDefault="00881814" w:rsidP="00881814">
      <w:pPr>
        <w:ind w:firstLine="708"/>
        <w:jc w:val="both"/>
        <w:rPr>
          <w:lang w:val="de-DE"/>
        </w:rPr>
      </w:pPr>
      <w:r w:rsidRPr="004676F5">
        <w:rPr>
          <w:lang w:val="de-DE"/>
        </w:rPr>
        <w:t>Der König kann durch einen im Ministerrat beratenen Erlass den Inhalt der in vorangehendem Absatz erwähnten Daten bestimmen.</w:t>
      </w:r>
    </w:p>
    <w:p w14:paraId="18051A76" w14:textId="77777777" w:rsidR="00881814" w:rsidRPr="004676F5" w:rsidRDefault="00881814" w:rsidP="00881814">
      <w:pPr>
        <w:ind w:firstLine="708"/>
        <w:jc w:val="both"/>
        <w:rPr>
          <w:lang w:val="de-DE"/>
        </w:rPr>
      </w:pPr>
    </w:p>
    <w:p w14:paraId="16D4EBB9" w14:textId="5AB19BA2"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In Abweichung von § 1 Absatz 1 kann der König durch einen im Ministerrat beratenen Erlass:</w:t>
      </w:r>
    </w:p>
    <w:p w14:paraId="0163DD4C" w14:textId="77777777" w:rsidR="00881814" w:rsidRPr="004676F5" w:rsidRDefault="00881814" w:rsidP="00881814">
      <w:pPr>
        <w:ind w:firstLine="708"/>
        <w:jc w:val="both"/>
        <w:rPr>
          <w:lang w:val="de-DE"/>
        </w:rPr>
      </w:pPr>
    </w:p>
    <w:p w14:paraId="6F2D4BDA" w14:textId="77777777" w:rsidR="00881814" w:rsidRPr="004676F5" w:rsidRDefault="00881814" w:rsidP="00881814">
      <w:pPr>
        <w:ind w:firstLine="708"/>
        <w:jc w:val="both"/>
        <w:rPr>
          <w:lang w:val="de-DE"/>
        </w:rPr>
      </w:pPr>
      <w:r w:rsidRPr="004676F5">
        <w:rPr>
          <w:lang w:val="de-DE"/>
        </w:rPr>
        <w:t>1. bestimmen, welche Kategorien strafrechtlicher Verurteilungen, die gegen den Verbraucher oder denjenigen, der eine Sicherheit leistet, ausgesprochen worden sind, verarbeitet werden dürfen, sofern diese vorab schriftlich darüber informiert worden sind,</w:t>
      </w:r>
    </w:p>
    <w:p w14:paraId="37C3E096" w14:textId="77777777" w:rsidR="00881814" w:rsidRPr="004676F5" w:rsidRDefault="00881814" w:rsidP="00881814">
      <w:pPr>
        <w:jc w:val="both"/>
        <w:rPr>
          <w:lang w:val="de-DE"/>
        </w:rPr>
      </w:pPr>
    </w:p>
    <w:p w14:paraId="708B9934" w14:textId="77777777" w:rsidR="00881814" w:rsidRPr="004676F5" w:rsidRDefault="00881814" w:rsidP="00881814">
      <w:pPr>
        <w:ind w:firstLine="708"/>
        <w:jc w:val="both"/>
        <w:rPr>
          <w:lang w:val="de-DE"/>
        </w:rPr>
      </w:pPr>
      <w:r w:rsidRPr="004676F5">
        <w:rPr>
          <w:lang w:val="de-DE"/>
        </w:rPr>
        <w:lastRenderedPageBreak/>
        <w:t>2. natürliche oder juristische Personen öffentlichen oder privaten Rechts bestimmen, die die in Nr. 1 erwähnten Daten verarbeiten dürfen,</w:t>
      </w:r>
    </w:p>
    <w:p w14:paraId="3681615E" w14:textId="77777777" w:rsidR="00881814" w:rsidRPr="004676F5" w:rsidRDefault="00881814" w:rsidP="00881814">
      <w:pPr>
        <w:ind w:firstLine="708"/>
        <w:jc w:val="both"/>
        <w:rPr>
          <w:lang w:val="de-DE"/>
        </w:rPr>
      </w:pPr>
    </w:p>
    <w:p w14:paraId="1C812832" w14:textId="77777777" w:rsidR="00881814" w:rsidRPr="004676F5" w:rsidRDefault="00881814" w:rsidP="00881814">
      <w:pPr>
        <w:ind w:firstLine="708"/>
        <w:jc w:val="both"/>
        <w:rPr>
          <w:lang w:val="de-DE"/>
        </w:rPr>
      </w:pPr>
      <w:r w:rsidRPr="004676F5">
        <w:rPr>
          <w:lang w:val="de-DE"/>
        </w:rPr>
        <w:t>3. Sonderbedingungen und Modalitäten für diese Verarbeitung festlegen.</w:t>
      </w:r>
    </w:p>
    <w:p w14:paraId="21EFBFDC" w14:textId="77777777" w:rsidR="00881814" w:rsidRPr="004676F5" w:rsidRDefault="00881814" w:rsidP="00881814">
      <w:pPr>
        <w:ind w:firstLine="708"/>
        <w:jc w:val="both"/>
        <w:rPr>
          <w:lang w:val="de-DE"/>
        </w:rPr>
      </w:pPr>
    </w:p>
    <w:p w14:paraId="05A02F85" w14:textId="77777777" w:rsidR="00B743D3" w:rsidRPr="004676F5" w:rsidRDefault="00B743D3" w:rsidP="00881814">
      <w:pPr>
        <w:ind w:firstLine="708"/>
        <w:jc w:val="both"/>
        <w:rPr>
          <w:lang w:val="de-DE"/>
        </w:rPr>
      </w:pPr>
    </w:p>
    <w:p w14:paraId="6D4BB790" w14:textId="34565D2D" w:rsidR="00881814" w:rsidRPr="004676F5" w:rsidRDefault="00BE0A56" w:rsidP="00881814">
      <w:pPr>
        <w:ind w:firstLine="708"/>
        <w:jc w:val="both"/>
        <w:rPr>
          <w:lang w:val="de-DE"/>
        </w:rPr>
      </w:pPr>
      <w:r w:rsidRPr="004676F5">
        <w:rPr>
          <w:b/>
          <w:lang w:val="de-DE"/>
        </w:rPr>
        <w:t>Art. </w:t>
      </w:r>
      <w:r w:rsidR="00881814" w:rsidRPr="004676F5">
        <w:rPr>
          <w:b/>
          <w:lang w:val="de-DE"/>
        </w:rPr>
        <w:t>VII.119</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Personenbezogene Daten dürfen nur folgenden Personen mitgeteilt werden:</w:t>
      </w:r>
    </w:p>
    <w:p w14:paraId="0CCDFCA3" w14:textId="77777777" w:rsidR="00881814" w:rsidRPr="004676F5" w:rsidRDefault="00881814" w:rsidP="00881814">
      <w:pPr>
        <w:ind w:firstLine="708"/>
        <w:jc w:val="both"/>
        <w:rPr>
          <w:lang w:val="de-DE"/>
        </w:rPr>
      </w:pPr>
    </w:p>
    <w:p w14:paraId="5561AD4A" w14:textId="77777777" w:rsidR="00881814" w:rsidRPr="004676F5" w:rsidRDefault="00881814" w:rsidP="00881814">
      <w:pPr>
        <w:ind w:firstLine="708"/>
        <w:jc w:val="both"/>
        <w:rPr>
          <w:lang w:val="de-DE"/>
        </w:rPr>
      </w:pPr>
      <w:r w:rsidRPr="004676F5">
        <w:rPr>
          <w:lang w:val="de-DE"/>
        </w:rPr>
        <w:t>1. zugelassenen beziehungsweise registrierten Kreditgebern,</w:t>
      </w:r>
    </w:p>
    <w:p w14:paraId="1F41D2F1" w14:textId="77777777" w:rsidR="00881814" w:rsidRPr="004676F5" w:rsidRDefault="00881814" w:rsidP="00881814">
      <w:pPr>
        <w:ind w:firstLine="708"/>
        <w:jc w:val="both"/>
        <w:rPr>
          <w:lang w:val="de-DE"/>
        </w:rPr>
      </w:pPr>
    </w:p>
    <w:p w14:paraId="3B461FF9" w14:textId="1603CE14" w:rsidR="00881814" w:rsidRPr="004676F5" w:rsidRDefault="00881814" w:rsidP="00881814">
      <w:pPr>
        <w:ind w:firstLine="708"/>
        <w:jc w:val="both"/>
        <w:rPr>
          <w:lang w:val="de-DE"/>
        </w:rPr>
      </w:pPr>
      <w:r w:rsidRPr="004676F5">
        <w:rPr>
          <w:lang w:val="de-DE"/>
        </w:rPr>
        <w:t xml:space="preserve">2. Personen, denen </w:t>
      </w:r>
      <w:r w:rsidR="0011796A" w:rsidRPr="004676F5">
        <w:rPr>
          <w:lang w:val="de-DE"/>
        </w:rPr>
        <w:t>[...]</w:t>
      </w:r>
      <w:r w:rsidRPr="004676F5">
        <w:rPr>
          <w:lang w:val="de-DE"/>
        </w:rPr>
        <w:t xml:space="preserve"> </w:t>
      </w:r>
      <w:r w:rsidR="00F82DBB" w:rsidRPr="004676F5">
        <w:rPr>
          <w:lang w:val="de-DE"/>
        </w:rPr>
        <w:t>[es in Anwendung des Gesetzes vom 13. März 2016 über den Status und die Kontrolle der Versicherungs</w:t>
      </w:r>
      <w:r w:rsidR="005B7A5C" w:rsidRPr="004676F5">
        <w:rPr>
          <w:lang w:val="de-DE"/>
        </w:rPr>
        <w:t>- </w:t>
      </w:r>
      <w:r w:rsidR="00F82DBB" w:rsidRPr="004676F5">
        <w:rPr>
          <w:lang w:val="de-DE"/>
        </w:rPr>
        <w:t>oder Rückversicherungsunternehmen erlaubt ist]</w:t>
      </w:r>
      <w:r w:rsidRPr="004676F5">
        <w:rPr>
          <w:lang w:val="de-DE"/>
        </w:rPr>
        <w:t>, Kreditversicherungsgeschäfte auszu</w:t>
      </w:r>
      <w:r w:rsidRPr="004676F5">
        <w:rPr>
          <w:lang w:val="de-DE"/>
        </w:rPr>
        <w:softHyphen/>
        <w:t>führen,</w:t>
      </w:r>
    </w:p>
    <w:p w14:paraId="0C4564AF" w14:textId="77777777" w:rsidR="00881814" w:rsidRPr="004676F5" w:rsidRDefault="00881814" w:rsidP="00881814">
      <w:pPr>
        <w:ind w:firstLine="708"/>
        <w:jc w:val="both"/>
        <w:rPr>
          <w:lang w:val="de-DE"/>
        </w:rPr>
      </w:pPr>
    </w:p>
    <w:p w14:paraId="5D343D27" w14:textId="77777777" w:rsidR="00881814" w:rsidRPr="004676F5" w:rsidRDefault="00881814" w:rsidP="00881814">
      <w:pPr>
        <w:ind w:firstLine="708"/>
        <w:jc w:val="both"/>
        <w:rPr>
          <w:lang w:val="de-DE"/>
        </w:rPr>
      </w:pPr>
      <w:r w:rsidRPr="004676F5">
        <w:rPr>
          <w:lang w:val="de-DE"/>
        </w:rPr>
        <w:t>3. der FSMA und der Bank im Rahmen ihrer Aufträge,</w:t>
      </w:r>
    </w:p>
    <w:p w14:paraId="381AE81F" w14:textId="77777777" w:rsidR="00881814" w:rsidRPr="004676F5" w:rsidRDefault="00881814" w:rsidP="00881814">
      <w:pPr>
        <w:ind w:firstLine="708"/>
        <w:jc w:val="both"/>
        <w:rPr>
          <w:lang w:val="de-DE"/>
        </w:rPr>
      </w:pPr>
    </w:p>
    <w:p w14:paraId="7B47B6C3" w14:textId="77777777" w:rsidR="00881814" w:rsidRPr="004676F5" w:rsidRDefault="00881814" w:rsidP="00881814">
      <w:pPr>
        <w:ind w:firstLine="708"/>
        <w:jc w:val="both"/>
        <w:rPr>
          <w:lang w:val="de-DE"/>
        </w:rPr>
      </w:pPr>
      <w:r w:rsidRPr="004676F5">
        <w:rPr>
          <w:lang w:val="de-DE"/>
        </w:rPr>
        <w:t>4. Zahlungsdienstleistern, sofern diese Personen ihre Daten über Zahlungsdienste auf der Grundlage der Gegenseitigkeit mitteilen,</w:t>
      </w:r>
    </w:p>
    <w:p w14:paraId="093B5E50" w14:textId="77777777" w:rsidR="00881814" w:rsidRPr="004676F5" w:rsidRDefault="00881814" w:rsidP="00881814">
      <w:pPr>
        <w:ind w:firstLine="708"/>
        <w:jc w:val="both"/>
        <w:rPr>
          <w:lang w:val="de-DE"/>
        </w:rPr>
      </w:pPr>
    </w:p>
    <w:p w14:paraId="459DE620" w14:textId="77777777" w:rsidR="00881814" w:rsidRPr="004676F5" w:rsidRDefault="00881814" w:rsidP="00881814">
      <w:pPr>
        <w:ind w:firstLine="708"/>
        <w:jc w:val="both"/>
        <w:rPr>
          <w:lang w:val="de-DE"/>
        </w:rPr>
      </w:pPr>
      <w:r w:rsidRPr="004676F5">
        <w:rPr>
          <w:lang w:val="de-DE"/>
        </w:rPr>
        <w:t>5. in den Nummern 1, 2 und 4 des vorliegenden Absatzes erwähnten Vereinigungen von Personen oder Einrichtungen, die zu diesem Zweck vom Minister oder von seinem Beauftragten unter folgenden Bedingungen zugelassen worden sind:</w:t>
      </w:r>
    </w:p>
    <w:p w14:paraId="559222E7" w14:textId="77777777" w:rsidR="00881814" w:rsidRPr="004676F5" w:rsidRDefault="00881814" w:rsidP="00881814">
      <w:pPr>
        <w:ind w:firstLine="708"/>
        <w:jc w:val="both"/>
        <w:rPr>
          <w:lang w:val="de-DE"/>
        </w:rPr>
      </w:pPr>
    </w:p>
    <w:p w14:paraId="6251EA7B" w14:textId="77777777" w:rsidR="00881814" w:rsidRPr="004676F5" w:rsidRDefault="00881814" w:rsidP="00881814">
      <w:pPr>
        <w:ind w:firstLine="708"/>
        <w:jc w:val="both"/>
        <w:rPr>
          <w:lang w:val="de-DE"/>
        </w:rPr>
      </w:pPr>
      <w:r w:rsidRPr="004676F5">
        <w:rPr>
          <w:i/>
          <w:lang w:val="de-DE"/>
        </w:rPr>
        <w:t>a)</w:t>
      </w:r>
      <w:r w:rsidRPr="004676F5">
        <w:rPr>
          <w:lang w:val="de-DE"/>
        </w:rPr>
        <w:t> Rechtspersönlichkeit besitzen,</w:t>
      </w:r>
    </w:p>
    <w:p w14:paraId="7B9D6678" w14:textId="77777777" w:rsidR="00881814" w:rsidRPr="004676F5" w:rsidRDefault="00881814" w:rsidP="00881814">
      <w:pPr>
        <w:ind w:firstLine="708"/>
        <w:jc w:val="both"/>
        <w:rPr>
          <w:lang w:val="de-DE"/>
        </w:rPr>
      </w:pPr>
    </w:p>
    <w:p w14:paraId="6070F81D" w14:textId="77777777" w:rsidR="00881814" w:rsidRPr="004676F5" w:rsidRDefault="00881814" w:rsidP="00881814">
      <w:pPr>
        <w:ind w:firstLine="708"/>
        <w:jc w:val="both"/>
        <w:rPr>
          <w:lang w:val="de-DE"/>
        </w:rPr>
      </w:pPr>
      <w:r w:rsidRPr="004676F5">
        <w:rPr>
          <w:i/>
          <w:lang w:val="de-DE"/>
        </w:rPr>
        <w:t>b)</w:t>
      </w:r>
      <w:r w:rsidRPr="004676F5">
        <w:rPr>
          <w:lang w:val="de-DE"/>
        </w:rPr>
        <w:t> ohne jegliche Gewinnerzielungsabsicht und nur im Hinblick auf den Schutz der beruflichen Interessen ihrer Mitglieder errichtet worden sein,</w:t>
      </w:r>
    </w:p>
    <w:p w14:paraId="68EB4760" w14:textId="77777777" w:rsidR="00881814" w:rsidRPr="004676F5" w:rsidRDefault="00881814" w:rsidP="00881814">
      <w:pPr>
        <w:ind w:firstLine="708"/>
        <w:jc w:val="both"/>
        <w:rPr>
          <w:lang w:val="de-DE"/>
        </w:rPr>
      </w:pPr>
    </w:p>
    <w:p w14:paraId="251E1BB9" w14:textId="77777777" w:rsidR="00881814" w:rsidRPr="004676F5" w:rsidRDefault="00881814" w:rsidP="00881814">
      <w:pPr>
        <w:ind w:firstLine="708"/>
        <w:jc w:val="both"/>
        <w:rPr>
          <w:lang w:val="de-DE"/>
        </w:rPr>
      </w:pPr>
      <w:r w:rsidRPr="004676F5">
        <w:rPr>
          <w:i/>
          <w:lang w:val="de-DE"/>
        </w:rPr>
        <w:t>c)</w:t>
      </w:r>
      <w:r w:rsidRPr="004676F5">
        <w:rPr>
          <w:lang w:val="de-DE"/>
        </w:rPr>
        <w:t> sich aus Mitgliedern zusammensetzen, die mit keiner Verwaltungssanktion oder strafrechtlichen Sanktion belegt worden sind.</w:t>
      </w:r>
    </w:p>
    <w:p w14:paraId="0F1A46A0" w14:textId="77777777" w:rsidR="00881814" w:rsidRPr="004676F5" w:rsidRDefault="00881814" w:rsidP="00881814">
      <w:pPr>
        <w:ind w:firstLine="708"/>
        <w:jc w:val="both"/>
        <w:rPr>
          <w:lang w:val="de-DE"/>
        </w:rPr>
      </w:pPr>
    </w:p>
    <w:p w14:paraId="7E14275C" w14:textId="77777777" w:rsidR="00881814" w:rsidRPr="004676F5" w:rsidRDefault="00881814" w:rsidP="00881814">
      <w:pPr>
        <w:ind w:firstLine="708"/>
        <w:jc w:val="both"/>
        <w:rPr>
          <w:lang w:val="de-DE"/>
        </w:rPr>
      </w:pPr>
      <w:r w:rsidRPr="004676F5">
        <w:rPr>
          <w:lang w:val="de-DE"/>
        </w:rPr>
        <w:t>Der Minister oder sein Beauftragter entscheidet über Zulassungsanträge innerhalb zweier Monate ab Empfang aller erforderlichen Unterlagen und Angaben.</w:t>
      </w:r>
    </w:p>
    <w:p w14:paraId="66370050" w14:textId="77777777" w:rsidR="00881814" w:rsidRPr="004676F5" w:rsidRDefault="00881814" w:rsidP="00881814">
      <w:pPr>
        <w:ind w:firstLine="708"/>
        <w:jc w:val="both"/>
        <w:rPr>
          <w:lang w:val="de-DE"/>
        </w:rPr>
      </w:pPr>
    </w:p>
    <w:p w14:paraId="6713DBB2" w14:textId="77777777" w:rsidR="00881814" w:rsidRPr="004676F5" w:rsidRDefault="00881814" w:rsidP="00881814">
      <w:pPr>
        <w:ind w:firstLine="708"/>
        <w:jc w:val="both"/>
        <w:rPr>
          <w:lang w:val="de-DE"/>
        </w:rPr>
      </w:pPr>
      <w:r w:rsidRPr="004676F5">
        <w:rPr>
          <w:lang w:val="de-DE"/>
        </w:rPr>
        <w:t>Liegen einem Antrag nicht alle vorerwähnten Unterlagen und Angaben bei, wird dies dem Antragsteller innerhalb fünfzehn Tagen ab Empfang des Antrags mitgeteilt. In Ermangelung einer Mitteilung in diesem Sinne innerhalb dieser Frist gilt der Antrag als vollständig und ordnungsgemäß.</w:t>
      </w:r>
    </w:p>
    <w:p w14:paraId="7FE0254F" w14:textId="77777777" w:rsidR="00881814" w:rsidRPr="004676F5" w:rsidRDefault="00881814" w:rsidP="00881814">
      <w:pPr>
        <w:ind w:firstLine="708"/>
        <w:jc w:val="both"/>
        <w:rPr>
          <w:lang w:val="de-DE"/>
        </w:rPr>
      </w:pPr>
    </w:p>
    <w:p w14:paraId="55044C3F" w14:textId="77777777" w:rsidR="00881814" w:rsidRPr="004676F5" w:rsidRDefault="00881814" w:rsidP="00881814">
      <w:pPr>
        <w:ind w:firstLine="708"/>
        <w:jc w:val="both"/>
        <w:rPr>
          <w:lang w:val="de-DE"/>
        </w:rPr>
      </w:pPr>
      <w:r w:rsidRPr="004676F5">
        <w:rPr>
          <w:lang w:val="de-DE"/>
        </w:rPr>
        <w:t xml:space="preserve">Zulassungsverweigerungen sind mit Gründen versehen und werden dem Antragsteller </w:t>
      </w:r>
      <w:r w:rsidR="009F24CD" w:rsidRPr="004676F5">
        <w:rPr>
          <w:lang w:val="de-DE"/>
        </w:rPr>
        <w:t xml:space="preserve">[per Einschreibesendung] </w:t>
      </w:r>
      <w:r w:rsidRPr="004676F5">
        <w:rPr>
          <w:lang w:val="de-DE"/>
        </w:rPr>
        <w:t>übermittelt.</w:t>
      </w:r>
    </w:p>
    <w:p w14:paraId="20EDF32B" w14:textId="77777777" w:rsidR="00881814" w:rsidRPr="004676F5" w:rsidRDefault="00881814" w:rsidP="00881814">
      <w:pPr>
        <w:ind w:firstLine="708"/>
        <w:jc w:val="both"/>
        <w:rPr>
          <w:lang w:val="de-DE"/>
        </w:rPr>
      </w:pPr>
    </w:p>
    <w:p w14:paraId="639669C6" w14:textId="77777777" w:rsidR="00881814" w:rsidRPr="004676F5" w:rsidRDefault="00881814" w:rsidP="00881814">
      <w:pPr>
        <w:ind w:firstLine="708"/>
        <w:jc w:val="both"/>
        <w:rPr>
          <w:lang w:val="de-DE"/>
        </w:rPr>
      </w:pPr>
      <w:r w:rsidRPr="004676F5">
        <w:rPr>
          <w:lang w:val="de-DE"/>
        </w:rPr>
        <w:t>Der Minister kann die Zulassung von Personen, die die vorerwähnten Bedingungen nicht mehr erfüllen oder einer im Rahmen ihres Zulassungsantrags eingegangenen Verpflichtung nicht nachkommen, aussetzen oder entziehen,</w:t>
      </w:r>
    </w:p>
    <w:p w14:paraId="1C64B0C4" w14:textId="77777777" w:rsidR="00881814" w:rsidRPr="004676F5" w:rsidRDefault="00881814" w:rsidP="00881814">
      <w:pPr>
        <w:ind w:firstLine="708"/>
        <w:jc w:val="both"/>
        <w:rPr>
          <w:lang w:val="de-DE"/>
        </w:rPr>
      </w:pPr>
    </w:p>
    <w:p w14:paraId="5DDE0EE4" w14:textId="77777777" w:rsidR="00881814" w:rsidRPr="004676F5" w:rsidRDefault="00881814" w:rsidP="00881814">
      <w:pPr>
        <w:ind w:firstLine="708"/>
        <w:jc w:val="both"/>
        <w:rPr>
          <w:lang w:val="de-DE"/>
        </w:rPr>
      </w:pPr>
      <w:r w:rsidRPr="004676F5">
        <w:rPr>
          <w:lang w:val="de-DE"/>
        </w:rPr>
        <w:t>6. einem Rechtsanwalt, ministeriellen Amtsträger oder gerichtlichen Mandatsträger in der Ausübung seines Mandats oder Amtes und im Rahmen der Erfüllung eines Kreditvertrags,</w:t>
      </w:r>
    </w:p>
    <w:p w14:paraId="2AEE29CE" w14:textId="77777777" w:rsidR="00881814" w:rsidRPr="004676F5" w:rsidRDefault="00881814" w:rsidP="00881814">
      <w:pPr>
        <w:ind w:firstLine="708"/>
        <w:jc w:val="both"/>
        <w:rPr>
          <w:lang w:val="de-DE"/>
        </w:rPr>
      </w:pPr>
    </w:p>
    <w:p w14:paraId="0DC689AC" w14:textId="77777777" w:rsidR="00881814" w:rsidRPr="004676F5" w:rsidRDefault="00881814" w:rsidP="00881814">
      <w:pPr>
        <w:ind w:firstLine="708"/>
        <w:jc w:val="both"/>
        <w:rPr>
          <w:lang w:val="de-DE"/>
        </w:rPr>
      </w:pPr>
      <w:r w:rsidRPr="004676F5">
        <w:rPr>
          <w:lang w:val="de-DE"/>
        </w:rPr>
        <w:lastRenderedPageBreak/>
        <w:t>7. dem Schuldenvermittler in der Ausführung seines Auftrags im Rahmen einer in den Artikeln 1675/2 bis 1675/19 des Gerichtsgesetzbuches erwähnten kollektiven Schulden</w:t>
      </w:r>
      <w:r w:rsidRPr="004676F5">
        <w:rPr>
          <w:lang w:val="de-DE"/>
        </w:rPr>
        <w:softHyphen/>
        <w:t>regelung,</w:t>
      </w:r>
    </w:p>
    <w:p w14:paraId="149C4A0D" w14:textId="77777777" w:rsidR="00881814" w:rsidRPr="004676F5" w:rsidRDefault="00881814" w:rsidP="00881814">
      <w:pPr>
        <w:ind w:firstLine="708"/>
        <w:jc w:val="both"/>
        <w:rPr>
          <w:lang w:val="de-DE"/>
        </w:rPr>
      </w:pPr>
    </w:p>
    <w:p w14:paraId="4AD1A1E6" w14:textId="77777777" w:rsidR="00881814" w:rsidRPr="004676F5" w:rsidRDefault="00881814" w:rsidP="00881814">
      <w:pPr>
        <w:ind w:firstLine="708"/>
        <w:jc w:val="both"/>
        <w:rPr>
          <w:lang w:val="de-DE"/>
        </w:rPr>
      </w:pPr>
      <w:r w:rsidRPr="004676F5">
        <w:rPr>
          <w:lang w:val="de-DE"/>
        </w:rPr>
        <w:t>8. Bediensteten des FÖD Wirtschaft, die befugt sind, im Rahmen von Buch XV zu handeln,</w:t>
      </w:r>
    </w:p>
    <w:p w14:paraId="673CD1D7" w14:textId="77777777" w:rsidR="00881814" w:rsidRPr="004676F5" w:rsidRDefault="00881814" w:rsidP="00881814">
      <w:pPr>
        <w:ind w:firstLine="708"/>
        <w:jc w:val="both"/>
        <w:rPr>
          <w:lang w:val="de-DE"/>
        </w:rPr>
      </w:pPr>
    </w:p>
    <w:p w14:paraId="234B046B" w14:textId="77777777" w:rsidR="00881814" w:rsidRPr="004676F5" w:rsidRDefault="00881814" w:rsidP="00881814">
      <w:pPr>
        <w:ind w:firstLine="708"/>
        <w:jc w:val="both"/>
        <w:rPr>
          <w:lang w:val="de-DE"/>
        </w:rPr>
      </w:pPr>
      <w:r w:rsidRPr="004676F5">
        <w:rPr>
          <w:lang w:val="de-DE"/>
        </w:rPr>
        <w:t>9. den Personen, die eine Tätigkeit der gütlichen Eintreibung von Verbraucherschulden ausüben und die zu diesem Zweck gemäß Artikel 4 § 1 des Gesetzes vom 20. Dezember 2002 über die gütliche Eintreibung von Verbraucherschulden beim FÖD Wirtschaft eingetragen sind,</w:t>
      </w:r>
    </w:p>
    <w:p w14:paraId="0FF53226" w14:textId="77777777" w:rsidR="00881814" w:rsidRPr="004676F5" w:rsidRDefault="00881814" w:rsidP="00881814">
      <w:pPr>
        <w:ind w:firstLine="708"/>
        <w:jc w:val="both"/>
        <w:rPr>
          <w:lang w:val="de-DE"/>
        </w:rPr>
      </w:pPr>
    </w:p>
    <w:p w14:paraId="4C9194E6" w14:textId="77777777" w:rsidR="00881814" w:rsidRPr="004676F5" w:rsidRDefault="00881814" w:rsidP="00881814">
      <w:pPr>
        <w:ind w:firstLine="708"/>
        <w:jc w:val="both"/>
        <w:rPr>
          <w:lang w:val="de-DE"/>
        </w:rPr>
      </w:pPr>
      <w:r w:rsidRPr="004676F5">
        <w:rPr>
          <w:lang w:val="de-DE"/>
        </w:rPr>
        <w:t>10. dem Ausschuss für den Schutz des Privatl</w:t>
      </w:r>
      <w:r w:rsidR="009F24CD" w:rsidRPr="004676F5">
        <w:rPr>
          <w:lang w:val="de-DE"/>
        </w:rPr>
        <w:t>ebens im Rahmen seines Auftrags,</w:t>
      </w:r>
    </w:p>
    <w:p w14:paraId="080A2522" w14:textId="77777777" w:rsidR="009F24CD" w:rsidRPr="004676F5" w:rsidRDefault="009F24CD" w:rsidP="00881814">
      <w:pPr>
        <w:ind w:firstLine="708"/>
        <w:jc w:val="both"/>
        <w:rPr>
          <w:lang w:val="de-DE"/>
        </w:rPr>
      </w:pPr>
    </w:p>
    <w:p w14:paraId="083F3A35" w14:textId="77777777" w:rsidR="009F24CD" w:rsidRPr="004676F5" w:rsidRDefault="009F24CD" w:rsidP="00881814">
      <w:pPr>
        <w:ind w:firstLine="708"/>
        <w:jc w:val="both"/>
        <w:rPr>
          <w:lang w:val="de-DE"/>
        </w:rPr>
      </w:pPr>
      <w:r w:rsidRPr="004676F5">
        <w:rPr>
          <w:lang w:val="de-DE"/>
        </w:rPr>
        <w:t>[11. Mobilisierungsorganismen im Sinne von Artikel 2 des Gesetzes vom 3. Au</w:t>
      </w:r>
      <w:r w:rsidRPr="004676F5">
        <w:rPr>
          <w:lang w:val="de-DE"/>
        </w:rPr>
        <w:softHyphen/>
        <w:t>gust 2012 über verschiedene Maßnahmen zur Erleichterung der Mobilisierung von Forderungen im Finanzsektor.]</w:t>
      </w:r>
    </w:p>
    <w:p w14:paraId="7CA8C736" w14:textId="77777777" w:rsidR="00881814" w:rsidRPr="004676F5" w:rsidRDefault="00881814" w:rsidP="00881814">
      <w:pPr>
        <w:ind w:firstLine="708"/>
        <w:jc w:val="both"/>
        <w:rPr>
          <w:lang w:val="de-DE"/>
        </w:rPr>
      </w:pPr>
    </w:p>
    <w:p w14:paraId="71EF5927" w14:textId="11C58B62"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Erhaltene Daten dürfen nur den in § 1 erwähnten Personen mitgeteilt werden.</w:t>
      </w:r>
    </w:p>
    <w:p w14:paraId="063C14CC" w14:textId="77777777" w:rsidR="00881814" w:rsidRPr="004676F5" w:rsidRDefault="00881814" w:rsidP="00881814">
      <w:pPr>
        <w:ind w:firstLine="708"/>
        <w:jc w:val="both"/>
        <w:rPr>
          <w:lang w:val="de-DE"/>
        </w:rPr>
      </w:pPr>
    </w:p>
    <w:p w14:paraId="49F691AD" w14:textId="075694F5"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Auskunftsanfragen, die in vorliegendem Artikel erwähnte Personen, ausge</w:t>
      </w:r>
      <w:r w:rsidRPr="004676F5">
        <w:rPr>
          <w:lang w:val="de-DE"/>
        </w:rPr>
        <w:softHyphen/>
        <w:t xml:space="preserve">nommen die FSMA, die Bank, in Absatz 1 </w:t>
      </w:r>
      <w:r w:rsidRPr="004676F5">
        <w:rPr>
          <w:i/>
          <w:lang w:val="de-DE"/>
        </w:rPr>
        <w:t>[sic, zu lesen ist: § 1 einziger Absatz]</w:t>
      </w:r>
      <w:r w:rsidRPr="004676F5">
        <w:rPr>
          <w:lang w:val="de-DE"/>
        </w:rPr>
        <w:t xml:space="preserve"> Nr. 8 erwähnte Bedienstete und der Ausschuss für den Schutz des Privatlebens, an den für die Verarbeitung Verantwortlichen richten, müssen die Verbraucher, auf die die Anfragen sich beziehen, durch Angabe des Namens, Vornamens und Geburtsdatums individualisieren; diese Auskunftsanfragen dürfen gruppiert werden.</w:t>
      </w:r>
    </w:p>
    <w:p w14:paraId="133F8333" w14:textId="77777777" w:rsidR="00F82DBB" w:rsidRPr="004676F5" w:rsidRDefault="00F82DBB" w:rsidP="00881814">
      <w:pPr>
        <w:ind w:firstLine="708"/>
        <w:jc w:val="both"/>
        <w:rPr>
          <w:lang w:val="de-DE"/>
        </w:rPr>
      </w:pPr>
    </w:p>
    <w:p w14:paraId="0698FDD8" w14:textId="1F8216AE" w:rsidR="00F82DBB" w:rsidRPr="004676F5" w:rsidRDefault="00F82DBB" w:rsidP="00F82DBB">
      <w:pPr>
        <w:jc w:val="both"/>
        <w:rPr>
          <w:i/>
          <w:lang w:val="de-DE"/>
        </w:rPr>
      </w:pPr>
      <w:r w:rsidRPr="004676F5">
        <w:rPr>
          <w:i/>
          <w:lang w:val="de-DE"/>
        </w:rPr>
        <w:t>[</w:t>
      </w:r>
      <w:r w:rsidR="00BE0A56" w:rsidRPr="004676F5">
        <w:rPr>
          <w:i/>
          <w:lang w:val="de-DE"/>
        </w:rPr>
        <w:t>Art. </w:t>
      </w:r>
      <w:r w:rsidRPr="004676F5">
        <w:rPr>
          <w:i/>
          <w:lang w:val="de-DE"/>
        </w:rPr>
        <w:t xml:space="preserve">VII.119 § 1 einziger Absatz Nr. 2 abgeändert durch </w:t>
      </w:r>
      <w:r w:rsidR="00BE0A56" w:rsidRPr="004676F5">
        <w:rPr>
          <w:i/>
          <w:lang w:val="de-DE"/>
        </w:rPr>
        <w:t>Art. </w:t>
      </w:r>
      <w:r w:rsidRPr="004676F5">
        <w:rPr>
          <w:i/>
          <w:lang w:val="de-DE"/>
        </w:rPr>
        <w:t>750 Nr. 1 und 2</w:t>
      </w:r>
      <w:r w:rsidRPr="004676F5">
        <w:rPr>
          <w:i/>
          <w:iCs/>
          <w:lang w:val="de-DE"/>
        </w:rPr>
        <w:t xml:space="preserve"> des G. vom 13. März 2016 (B.S. vom 23. März 2016, Err. vom 8. April 2016)</w:t>
      </w:r>
      <w:r w:rsidR="00DF59BE" w:rsidRPr="004676F5">
        <w:rPr>
          <w:i/>
          <w:iCs/>
          <w:lang w:val="de-DE"/>
        </w:rPr>
        <w:t xml:space="preserve">; § 1 einziger Absatz Nr. 5 Abs. 4 abgeändert durch </w:t>
      </w:r>
      <w:r w:rsidR="00BE0A56" w:rsidRPr="004676F5">
        <w:rPr>
          <w:i/>
          <w:iCs/>
          <w:lang w:val="de-DE"/>
        </w:rPr>
        <w:t>Art. </w:t>
      </w:r>
      <w:r w:rsidR="00DF59BE" w:rsidRPr="004676F5">
        <w:rPr>
          <w:i/>
          <w:iCs/>
          <w:lang w:val="de-DE"/>
        </w:rPr>
        <w:t>23 Nr. 1</w:t>
      </w:r>
      <w:r w:rsidR="00DF59BE" w:rsidRPr="004676F5">
        <w:rPr>
          <w:i/>
          <w:lang w:val="de-DE"/>
        </w:rPr>
        <w:t xml:space="preserve"> des G. vom 22. April 2016 (B.S. vom 4. Mai 2016); § 1 einziger Absatz Nr. 11 eingefügt durch </w:t>
      </w:r>
      <w:r w:rsidR="00BE0A56" w:rsidRPr="004676F5">
        <w:rPr>
          <w:i/>
          <w:lang w:val="de-DE"/>
        </w:rPr>
        <w:t>Art. </w:t>
      </w:r>
      <w:r w:rsidR="00DF59BE" w:rsidRPr="004676F5">
        <w:rPr>
          <w:i/>
          <w:lang w:val="de-DE"/>
        </w:rPr>
        <w:t>23 Nr. 2 des G. vom 22. April 2016 (B.S. vom 4. Mai 2016)</w:t>
      </w:r>
      <w:r w:rsidRPr="004676F5">
        <w:rPr>
          <w:i/>
          <w:iCs/>
          <w:lang w:val="de-DE"/>
        </w:rPr>
        <w:t>]</w:t>
      </w:r>
    </w:p>
    <w:p w14:paraId="364EF16E" w14:textId="77777777" w:rsidR="00881814" w:rsidRPr="004676F5" w:rsidRDefault="00881814" w:rsidP="00881814">
      <w:pPr>
        <w:ind w:firstLine="708"/>
        <w:jc w:val="both"/>
        <w:rPr>
          <w:lang w:val="de-DE"/>
        </w:rPr>
      </w:pPr>
    </w:p>
    <w:p w14:paraId="0D90D804" w14:textId="77777777" w:rsidR="00B743D3" w:rsidRPr="004676F5" w:rsidRDefault="00B743D3" w:rsidP="00881814">
      <w:pPr>
        <w:ind w:firstLine="708"/>
        <w:jc w:val="both"/>
        <w:rPr>
          <w:lang w:val="de-DE"/>
        </w:rPr>
      </w:pPr>
    </w:p>
    <w:p w14:paraId="08BBB6C5" w14:textId="6A7A8875" w:rsidR="00881814" w:rsidRPr="004676F5" w:rsidRDefault="00881814" w:rsidP="00881814">
      <w:pPr>
        <w:jc w:val="center"/>
        <w:rPr>
          <w:lang w:val="de-DE"/>
        </w:rPr>
      </w:pPr>
      <w:r w:rsidRPr="004676F5">
        <w:rPr>
          <w:lang w:val="de-DE"/>
        </w:rPr>
        <w:t>Unterabschnitt 2 </w:t>
      </w:r>
      <w:r w:rsidR="005B7A5C" w:rsidRPr="004676F5">
        <w:rPr>
          <w:lang w:val="de-DE"/>
        </w:rPr>
        <w:t>- </w:t>
      </w:r>
      <w:r w:rsidRPr="004676F5">
        <w:rPr>
          <w:lang w:val="de-DE"/>
        </w:rPr>
        <w:t>Datenverarbeitung</w:t>
      </w:r>
    </w:p>
    <w:p w14:paraId="245F6894" w14:textId="77777777" w:rsidR="00881814" w:rsidRPr="004676F5" w:rsidRDefault="00881814" w:rsidP="00881814">
      <w:pPr>
        <w:ind w:firstLine="708"/>
        <w:jc w:val="both"/>
        <w:rPr>
          <w:lang w:val="de-DE"/>
        </w:rPr>
      </w:pPr>
    </w:p>
    <w:p w14:paraId="7B3BB467" w14:textId="77777777" w:rsidR="00B743D3" w:rsidRPr="004676F5" w:rsidRDefault="00B743D3" w:rsidP="00881814">
      <w:pPr>
        <w:ind w:firstLine="708"/>
        <w:jc w:val="both"/>
        <w:rPr>
          <w:lang w:val="de-DE"/>
        </w:rPr>
      </w:pPr>
    </w:p>
    <w:p w14:paraId="3C84CDED" w14:textId="4AAFB9F9" w:rsidR="00881814" w:rsidRPr="004676F5" w:rsidRDefault="00BE0A56" w:rsidP="00881814">
      <w:pPr>
        <w:ind w:firstLine="708"/>
        <w:jc w:val="both"/>
        <w:rPr>
          <w:lang w:val="de-DE"/>
        </w:rPr>
      </w:pPr>
      <w:r w:rsidRPr="004676F5">
        <w:rPr>
          <w:b/>
          <w:lang w:val="de-DE"/>
        </w:rPr>
        <w:t>Art. </w:t>
      </w:r>
      <w:r w:rsidR="00881814" w:rsidRPr="004676F5">
        <w:rPr>
          <w:b/>
          <w:lang w:val="de-DE"/>
        </w:rPr>
        <w:t>VII.120</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Daten müssen gelöscht werden, wenn die Aufbewahrung dieser Daten in der Datei nicht mehr gerechtfertigt ist. Der König kann eine Aufbewahrungsfrist für Daten oder Datenkategorien festlegen.</w:t>
      </w:r>
    </w:p>
    <w:p w14:paraId="4DDCD656" w14:textId="77777777" w:rsidR="00881814" w:rsidRPr="004676F5" w:rsidRDefault="00881814" w:rsidP="00881814">
      <w:pPr>
        <w:ind w:firstLine="708"/>
        <w:jc w:val="both"/>
        <w:rPr>
          <w:lang w:val="de-DE"/>
        </w:rPr>
      </w:pPr>
    </w:p>
    <w:p w14:paraId="2C1787E5" w14:textId="77777777" w:rsidR="00881814" w:rsidRPr="004676F5" w:rsidRDefault="00881814" w:rsidP="00881814">
      <w:pPr>
        <w:ind w:firstLine="708"/>
        <w:jc w:val="both"/>
        <w:rPr>
          <w:lang w:val="de-DE"/>
        </w:rPr>
      </w:pPr>
      <w:r w:rsidRPr="004676F5">
        <w:rPr>
          <w:lang w:val="de-DE"/>
        </w:rPr>
        <w:t>Personen, denen aufgrund des Abschlusses oder der Verwaltung von Kreditverträgen personenbezogene Daten mitgeteilt worden sind, dürfen nur während der für Abschluss und Ausführung des Kreditvertrags erforderlichen Zeit darüber verfügen, wobei insbesondere die vom König aufgrund des vorliegenden Paragraphen festgelegten Fristen für die Aufbewahrung der Daten einzuhalten sind.</w:t>
      </w:r>
    </w:p>
    <w:p w14:paraId="1DC53030" w14:textId="77777777" w:rsidR="00881814" w:rsidRPr="004676F5" w:rsidRDefault="00881814" w:rsidP="00881814">
      <w:pPr>
        <w:jc w:val="both"/>
        <w:rPr>
          <w:lang w:val="de-DE"/>
        </w:rPr>
      </w:pPr>
    </w:p>
    <w:p w14:paraId="30D66CAB" w14:textId="571A6143"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Der für die Verarbeitung Verantwortliche muss alle Maßnahmen treffen, um die perfekte Aufbewahrung der personenbezogenen Daten zu gewährleisten.</w:t>
      </w:r>
    </w:p>
    <w:p w14:paraId="2D139DAF" w14:textId="77777777" w:rsidR="00881814" w:rsidRPr="004676F5" w:rsidRDefault="00881814" w:rsidP="00881814">
      <w:pPr>
        <w:ind w:firstLine="708"/>
        <w:jc w:val="both"/>
        <w:rPr>
          <w:lang w:val="de-DE"/>
        </w:rPr>
      </w:pPr>
    </w:p>
    <w:p w14:paraId="649519F0" w14:textId="77777777" w:rsidR="00881814" w:rsidRPr="004676F5" w:rsidRDefault="00881814" w:rsidP="00881814">
      <w:pPr>
        <w:ind w:firstLine="708"/>
        <w:jc w:val="both"/>
        <w:rPr>
          <w:lang w:val="de-DE"/>
        </w:rPr>
      </w:pPr>
      <w:r w:rsidRPr="004676F5">
        <w:rPr>
          <w:lang w:val="de-DE"/>
        </w:rPr>
        <w:t xml:space="preserve">Personen, denen personenbezogene Daten mitgeteilt worden sind, müssen Maßnahmen treffen, um die Vertraulichkeit dieser Daten zu gewährleisten und um dafür zu sorgen, dass sie </w:t>
      </w:r>
      <w:r w:rsidRPr="004676F5">
        <w:rPr>
          <w:lang w:val="de-DE"/>
        </w:rPr>
        <w:lastRenderedPageBreak/>
        <w:t>nur zu den durch oder aufgrund des vorliegenden Buches vorgesehenen Zwecken oder zur Erfüllung ihrer gesetzlichen Verpflichtungen verwendet werden.</w:t>
      </w:r>
    </w:p>
    <w:p w14:paraId="47110473" w14:textId="77777777" w:rsidR="00881814" w:rsidRPr="004676F5" w:rsidRDefault="00881814" w:rsidP="00881814">
      <w:pPr>
        <w:ind w:firstLine="708"/>
        <w:jc w:val="both"/>
        <w:rPr>
          <w:lang w:val="de-DE"/>
        </w:rPr>
      </w:pPr>
    </w:p>
    <w:p w14:paraId="72E477B5" w14:textId="13CC3C2E" w:rsidR="00881814" w:rsidRPr="004676F5" w:rsidRDefault="00881814" w:rsidP="00881814">
      <w:pPr>
        <w:ind w:firstLine="708"/>
        <w:jc w:val="both"/>
        <w:rPr>
          <w:lang w:val="de-DE"/>
        </w:rPr>
      </w:pPr>
      <w:r w:rsidRPr="004676F5">
        <w:rPr>
          <w:lang w:val="de-DE"/>
        </w:rPr>
        <w:t xml:space="preserve">§ 3 </w:t>
      </w:r>
      <w:r w:rsidR="005B7A5C" w:rsidRPr="004676F5">
        <w:rPr>
          <w:lang w:val="de-DE"/>
        </w:rPr>
        <w:t>- </w:t>
      </w:r>
      <w:r w:rsidRPr="004676F5">
        <w:rPr>
          <w:lang w:val="de-DE"/>
        </w:rPr>
        <w:t>Der für die Verarbeitung Verantwortliche ist im Besonderen damit beauftragt, die automatisierte Verarbeitung oder den automatisierten Austausch personenbezogener Daten zu überwachen, und er muss insbesondere dafür sorgen, dass Programme für die automatisierte Datenverarbeitung oder den automatisierten Datenaustausch ausschließlich gemäß vorliegen</w:t>
      </w:r>
      <w:r w:rsidRPr="004676F5">
        <w:rPr>
          <w:lang w:val="de-DE"/>
        </w:rPr>
        <w:softHyphen/>
        <w:t>dem Buch und seinen Ausführungserlassen entwickelt und verwendet werden.</w:t>
      </w:r>
    </w:p>
    <w:p w14:paraId="41D142FB" w14:textId="77777777" w:rsidR="00881814" w:rsidRPr="004676F5" w:rsidRDefault="00881814" w:rsidP="00881814">
      <w:pPr>
        <w:ind w:firstLine="708"/>
        <w:jc w:val="both"/>
        <w:rPr>
          <w:lang w:val="de-DE"/>
        </w:rPr>
      </w:pPr>
    </w:p>
    <w:p w14:paraId="14036423" w14:textId="77777777" w:rsidR="00881814" w:rsidRPr="004676F5" w:rsidRDefault="00881814" w:rsidP="00881814">
      <w:pPr>
        <w:ind w:firstLine="708"/>
        <w:jc w:val="both"/>
        <w:rPr>
          <w:lang w:val="de-DE"/>
        </w:rPr>
      </w:pPr>
      <w:r w:rsidRPr="004676F5">
        <w:rPr>
          <w:lang w:val="de-DE"/>
        </w:rPr>
        <w:t>Der König kann Regeln festlegen, gemäß denen der für die Verarbeitung Verantwortliche seinen Auftrag erfüllen muss.</w:t>
      </w:r>
    </w:p>
    <w:p w14:paraId="61255B18" w14:textId="77777777" w:rsidR="00881814" w:rsidRPr="004676F5" w:rsidRDefault="00881814" w:rsidP="00881814">
      <w:pPr>
        <w:ind w:firstLine="708"/>
        <w:jc w:val="both"/>
        <w:rPr>
          <w:lang w:val="de-DE"/>
        </w:rPr>
      </w:pPr>
    </w:p>
    <w:p w14:paraId="71249363" w14:textId="77777777" w:rsidR="00B743D3" w:rsidRPr="004676F5" w:rsidRDefault="00B743D3" w:rsidP="00881814">
      <w:pPr>
        <w:ind w:firstLine="708"/>
        <w:jc w:val="both"/>
        <w:rPr>
          <w:lang w:val="de-DE"/>
        </w:rPr>
      </w:pPr>
    </w:p>
    <w:p w14:paraId="23373DD8" w14:textId="209CAF08" w:rsidR="00881814" w:rsidRPr="004676F5" w:rsidRDefault="00BE0A56" w:rsidP="00881814">
      <w:pPr>
        <w:ind w:firstLine="708"/>
        <w:jc w:val="both"/>
        <w:rPr>
          <w:lang w:val="de-DE"/>
        </w:rPr>
      </w:pPr>
      <w:r w:rsidRPr="004676F5">
        <w:rPr>
          <w:b/>
          <w:lang w:val="de-DE"/>
        </w:rPr>
        <w:t>Art. </w:t>
      </w:r>
      <w:r w:rsidR="00881814" w:rsidRPr="004676F5">
        <w:rPr>
          <w:b/>
          <w:lang w:val="de-DE"/>
        </w:rPr>
        <w:t>VII.121</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Wird ein Verbraucher oder derjenige, der eine Sicherheit leistet, wegen Zahlungsausfall in Bezug auf Kreditverträge im Sinne des vorliegenden Buches zum ersten Mal in einer Datei registriert, muss der für die Verarbeitung Verantwortliche ihn unverzüglich mittelbar oder unmittelbar darüber informieren.</w:t>
      </w:r>
    </w:p>
    <w:p w14:paraId="194C4B22" w14:textId="77777777" w:rsidR="00881814" w:rsidRPr="004676F5" w:rsidRDefault="00881814" w:rsidP="00881814">
      <w:pPr>
        <w:ind w:firstLine="708"/>
        <w:jc w:val="both"/>
        <w:rPr>
          <w:lang w:val="de-DE"/>
        </w:rPr>
      </w:pPr>
    </w:p>
    <w:p w14:paraId="1EEB0BA7" w14:textId="58C6934C"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Diese Information muss folgende Angaben beinhalten:</w:t>
      </w:r>
    </w:p>
    <w:p w14:paraId="3A2AD744" w14:textId="77777777" w:rsidR="00881814" w:rsidRPr="004676F5" w:rsidRDefault="00881814" w:rsidP="00881814">
      <w:pPr>
        <w:ind w:firstLine="708"/>
        <w:jc w:val="both"/>
        <w:rPr>
          <w:lang w:val="de-DE"/>
        </w:rPr>
      </w:pPr>
    </w:p>
    <w:p w14:paraId="18911E21" w14:textId="77777777" w:rsidR="00881814" w:rsidRPr="004676F5" w:rsidRDefault="00881814" w:rsidP="00881814">
      <w:pPr>
        <w:ind w:firstLine="708"/>
        <w:jc w:val="both"/>
        <w:rPr>
          <w:lang w:val="de-DE"/>
        </w:rPr>
      </w:pPr>
      <w:r w:rsidRPr="004676F5">
        <w:rPr>
          <w:lang w:val="de-DE"/>
        </w:rPr>
        <w:t>1. Identität und Anschrift des für die Verarbeitung Verantwortlichen. Besitzt dieser keine ortsfeste Niederlassung auf dem Gebiet der Europäischen Union, muss er einen Vertreter mit Niederlassung auf belgischem Staatsgebiet bestimmen, unbeschadet der Klagen, die gegen den für die Verarbeitung Verantwortlichen selbst eingereicht werden können,</w:t>
      </w:r>
    </w:p>
    <w:p w14:paraId="123D83F9" w14:textId="77777777" w:rsidR="00881814" w:rsidRPr="004676F5" w:rsidRDefault="00881814" w:rsidP="00881814">
      <w:pPr>
        <w:ind w:firstLine="708"/>
        <w:jc w:val="both"/>
        <w:rPr>
          <w:lang w:val="de-DE"/>
        </w:rPr>
      </w:pPr>
    </w:p>
    <w:p w14:paraId="5CFCB2D5" w14:textId="77777777" w:rsidR="00881814" w:rsidRPr="004676F5" w:rsidRDefault="00881814" w:rsidP="00881814">
      <w:pPr>
        <w:ind w:firstLine="708"/>
        <w:jc w:val="both"/>
        <w:rPr>
          <w:lang w:val="de-DE"/>
        </w:rPr>
      </w:pPr>
      <w:r w:rsidRPr="004676F5">
        <w:rPr>
          <w:lang w:val="de-DE"/>
        </w:rPr>
        <w:t>2. Anschrift des Ausschusses für den Schutz des Privatlebens,</w:t>
      </w:r>
    </w:p>
    <w:p w14:paraId="65658B3D" w14:textId="77777777" w:rsidR="00881814" w:rsidRPr="004676F5" w:rsidRDefault="00881814" w:rsidP="00881814">
      <w:pPr>
        <w:ind w:firstLine="708"/>
        <w:jc w:val="both"/>
        <w:rPr>
          <w:lang w:val="de-DE"/>
        </w:rPr>
      </w:pPr>
    </w:p>
    <w:p w14:paraId="039B98A7" w14:textId="77777777" w:rsidR="00881814" w:rsidRPr="004676F5" w:rsidRDefault="00881814" w:rsidP="00881814">
      <w:pPr>
        <w:ind w:firstLine="708"/>
        <w:jc w:val="both"/>
        <w:rPr>
          <w:lang w:val="de-DE"/>
        </w:rPr>
      </w:pPr>
      <w:r w:rsidRPr="004676F5">
        <w:rPr>
          <w:lang w:val="de-DE"/>
        </w:rPr>
        <w:t>3. Identität und Anschrift der Person, die die Daten mitgeteilt hat,</w:t>
      </w:r>
    </w:p>
    <w:p w14:paraId="033BEAF4" w14:textId="77777777" w:rsidR="00881814" w:rsidRPr="004676F5" w:rsidRDefault="00881814" w:rsidP="00881814">
      <w:pPr>
        <w:ind w:firstLine="708"/>
        <w:jc w:val="both"/>
        <w:rPr>
          <w:lang w:val="de-DE"/>
        </w:rPr>
      </w:pPr>
    </w:p>
    <w:p w14:paraId="2CB15388" w14:textId="77777777" w:rsidR="00881814" w:rsidRPr="004676F5" w:rsidRDefault="00881814" w:rsidP="00881814">
      <w:pPr>
        <w:ind w:firstLine="708"/>
        <w:jc w:val="both"/>
        <w:rPr>
          <w:lang w:val="de-DE"/>
        </w:rPr>
      </w:pPr>
      <w:r w:rsidRPr="004676F5">
        <w:rPr>
          <w:lang w:val="de-DE"/>
        </w:rPr>
        <w:t>4. Recht auf Zugang zur Datei, Berichtigung fehlerhafter Daten und Löschung von Daten, Modalitäten für die Ausübung dieser Rechte und Frist für die Aufbewahrung der Daten, falls eine solche besteht,</w:t>
      </w:r>
    </w:p>
    <w:p w14:paraId="29DE476D" w14:textId="77777777" w:rsidR="00881814" w:rsidRPr="004676F5" w:rsidRDefault="00881814" w:rsidP="00881814">
      <w:pPr>
        <w:ind w:firstLine="708"/>
        <w:jc w:val="both"/>
        <w:rPr>
          <w:lang w:val="de-DE"/>
        </w:rPr>
      </w:pPr>
    </w:p>
    <w:p w14:paraId="4F66E1DC" w14:textId="77777777" w:rsidR="00881814" w:rsidRPr="004676F5" w:rsidRDefault="00881814" w:rsidP="00881814">
      <w:pPr>
        <w:ind w:firstLine="708"/>
        <w:jc w:val="both"/>
        <w:rPr>
          <w:lang w:val="de-DE"/>
        </w:rPr>
      </w:pPr>
      <w:r w:rsidRPr="004676F5">
        <w:rPr>
          <w:lang w:val="de-DE"/>
        </w:rPr>
        <w:t>5. Zwecke der Verarbeitung.</w:t>
      </w:r>
    </w:p>
    <w:p w14:paraId="38F396C7" w14:textId="77777777" w:rsidR="00881814" w:rsidRPr="004676F5" w:rsidRDefault="00881814" w:rsidP="00881814">
      <w:pPr>
        <w:ind w:firstLine="708"/>
        <w:jc w:val="both"/>
        <w:rPr>
          <w:lang w:val="de-DE"/>
        </w:rPr>
      </w:pPr>
    </w:p>
    <w:p w14:paraId="73EC32AC" w14:textId="77777777" w:rsidR="00B743D3" w:rsidRPr="004676F5" w:rsidRDefault="00B743D3" w:rsidP="00881814">
      <w:pPr>
        <w:ind w:firstLine="708"/>
        <w:jc w:val="both"/>
        <w:rPr>
          <w:lang w:val="de-DE"/>
        </w:rPr>
      </w:pPr>
    </w:p>
    <w:p w14:paraId="4760DD48" w14:textId="00B34F95" w:rsidR="00881814" w:rsidRPr="004676F5" w:rsidRDefault="00BE0A56" w:rsidP="00881814">
      <w:pPr>
        <w:ind w:firstLine="708"/>
        <w:jc w:val="both"/>
        <w:rPr>
          <w:lang w:val="de-DE"/>
        </w:rPr>
      </w:pPr>
      <w:r w:rsidRPr="004676F5">
        <w:rPr>
          <w:b/>
          <w:lang w:val="de-DE"/>
        </w:rPr>
        <w:t>Art. </w:t>
      </w:r>
      <w:r w:rsidR="00881814" w:rsidRPr="004676F5">
        <w:rPr>
          <w:b/>
          <w:lang w:val="de-DE"/>
        </w:rPr>
        <w:t>VII.122</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Verbraucher und diejenigen, die eine Sicherheit leisten, können in Bezug auf die in einer Datei registrierten Daten zu ihrer Person oder ihrem Vermögen die in den Artikeln 10 und 12 des Gesetzes vom 8. Dezember 1992 über den Schutz des Privatlebens hinsichtlich der Verarbeitung personenbezogener Daten erwähnten Rechte ausüben.</w:t>
      </w:r>
    </w:p>
    <w:p w14:paraId="6A15E31A" w14:textId="77777777" w:rsidR="00881814" w:rsidRPr="004676F5" w:rsidRDefault="00881814" w:rsidP="00881814">
      <w:pPr>
        <w:ind w:firstLine="708"/>
        <w:jc w:val="both"/>
        <w:rPr>
          <w:lang w:val="de-DE"/>
        </w:rPr>
      </w:pPr>
    </w:p>
    <w:p w14:paraId="64B65561" w14:textId="0AC6E9AE"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Verbraucher und diejenigen, die eine Sicherheit leisten, können unter den vom König festgelegten Bedingungen frei und kostenlos fehlerhafte Daten berichtigen lassen. In diesem Fall muss der für die Verarbeitung Verantwortliche Personen, die von ihm Auskünfte erhalten haben und die die registrierte Person angibt, diese Berichtigung mitteilen.</w:t>
      </w:r>
    </w:p>
    <w:p w14:paraId="41F64A85" w14:textId="77777777" w:rsidR="00881814" w:rsidRPr="004676F5" w:rsidRDefault="00881814" w:rsidP="00881814">
      <w:pPr>
        <w:ind w:firstLine="708"/>
        <w:jc w:val="both"/>
        <w:rPr>
          <w:lang w:val="de-DE"/>
        </w:rPr>
      </w:pPr>
    </w:p>
    <w:p w14:paraId="2095B9D1" w14:textId="6345B46A"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Wenn die Datei Zahlungsausfälle verarbeitet, kann der Verbraucher fordern, dass zusammen mit dem Zahlungsausfall der von ihm mitgeteilte Grund für diesen Zahlungsausfall vermerkt wird.</w:t>
      </w:r>
    </w:p>
    <w:p w14:paraId="2B06572D" w14:textId="77777777" w:rsidR="00881814" w:rsidRPr="004676F5" w:rsidRDefault="00881814" w:rsidP="00881814">
      <w:pPr>
        <w:ind w:firstLine="708"/>
        <w:jc w:val="both"/>
        <w:rPr>
          <w:lang w:val="de-DE"/>
        </w:rPr>
      </w:pPr>
    </w:p>
    <w:p w14:paraId="2D4B216E" w14:textId="6F58223D" w:rsidR="00B743D3" w:rsidRPr="004676F5" w:rsidRDefault="00881814" w:rsidP="00F82DBB">
      <w:pPr>
        <w:ind w:firstLine="708"/>
        <w:jc w:val="both"/>
        <w:rPr>
          <w:lang w:val="de-DE"/>
        </w:rPr>
      </w:pPr>
      <w:r w:rsidRPr="004676F5">
        <w:rPr>
          <w:lang w:val="de-DE"/>
        </w:rPr>
        <w:t xml:space="preserve">§ 4 </w:t>
      </w:r>
      <w:r w:rsidR="005B7A5C" w:rsidRPr="004676F5">
        <w:rPr>
          <w:lang w:val="de-DE"/>
        </w:rPr>
        <w:t>- </w:t>
      </w:r>
      <w:r w:rsidRPr="004676F5">
        <w:rPr>
          <w:lang w:val="de-DE"/>
        </w:rPr>
        <w:t>Der König kann Modalitäten für die Ausübung der in vorliegendem Artikel erwähnten Rechte festlegen.</w:t>
      </w:r>
      <w:r w:rsidR="00B743D3" w:rsidRPr="004676F5">
        <w:rPr>
          <w:lang w:val="de-DE"/>
        </w:rPr>
        <w:br w:type="page"/>
      </w:r>
    </w:p>
    <w:p w14:paraId="364E48C3" w14:textId="149CE0A0" w:rsidR="00881814" w:rsidRPr="004676F5" w:rsidRDefault="00881814" w:rsidP="00881814">
      <w:pPr>
        <w:jc w:val="center"/>
        <w:rPr>
          <w:lang w:val="de-DE"/>
        </w:rPr>
      </w:pPr>
      <w:r w:rsidRPr="004676F5">
        <w:rPr>
          <w:lang w:val="de-DE"/>
        </w:rPr>
        <w:lastRenderedPageBreak/>
        <w:t xml:space="preserve">KAPITEL 2 </w:t>
      </w:r>
      <w:r w:rsidR="005B7A5C" w:rsidRPr="004676F5">
        <w:rPr>
          <w:lang w:val="de-DE"/>
        </w:rPr>
        <w:t>- </w:t>
      </w:r>
      <w:r w:rsidR="003E6C61" w:rsidRPr="004676F5">
        <w:rPr>
          <w:lang w:val="de-DE"/>
        </w:rPr>
        <w:t>[</w:t>
      </w:r>
      <w:r w:rsidRPr="004676F5">
        <w:rPr>
          <w:i/>
          <w:lang w:val="de-DE"/>
        </w:rPr>
        <w:t>Hypothekarkredit</w:t>
      </w:r>
    </w:p>
    <w:p w14:paraId="744A2579" w14:textId="77777777" w:rsidR="00881814" w:rsidRPr="004676F5" w:rsidRDefault="00881814" w:rsidP="00881814">
      <w:pPr>
        <w:ind w:firstLine="708"/>
        <w:jc w:val="both"/>
        <w:rPr>
          <w:lang w:val="de-DE"/>
        </w:rPr>
      </w:pPr>
    </w:p>
    <w:p w14:paraId="5B8C7B7B" w14:textId="3290A83E" w:rsidR="003E6C61" w:rsidRPr="004676F5" w:rsidRDefault="003E6C61" w:rsidP="003E6C61">
      <w:pPr>
        <w:jc w:val="both"/>
        <w:rPr>
          <w:i/>
          <w:lang w:val="de-DE"/>
        </w:rPr>
      </w:pPr>
      <w:r w:rsidRPr="004676F5">
        <w:rPr>
          <w:i/>
          <w:lang w:val="de-DE"/>
        </w:rPr>
        <w:t xml:space="preserve">[Kapitel 2 mit den früheren Artikeln VII.123 bis VII.147 ersetzt durch </w:t>
      </w:r>
      <w:r w:rsidR="00567BB6" w:rsidRPr="004676F5">
        <w:rPr>
          <w:i/>
          <w:lang w:val="de-DE"/>
        </w:rPr>
        <w:t xml:space="preserve">Kapitel 2 mit </w:t>
      </w:r>
      <w:r w:rsidRPr="004676F5">
        <w:rPr>
          <w:i/>
          <w:lang w:val="de-DE"/>
        </w:rPr>
        <w:t xml:space="preserve">den neuen Artikeln VII.123 bis VII.147/38 durch </w:t>
      </w:r>
      <w:r w:rsidR="00BE0A56" w:rsidRPr="004676F5">
        <w:rPr>
          <w:i/>
          <w:lang w:val="de-DE"/>
        </w:rPr>
        <w:t>Art. </w:t>
      </w:r>
      <w:r w:rsidRPr="004676F5">
        <w:rPr>
          <w:i/>
          <w:lang w:val="de-DE"/>
        </w:rPr>
        <w:t>24 des G. vom 22. April 2016 (B.S. vom 4. Mai 2016)]</w:t>
      </w:r>
    </w:p>
    <w:p w14:paraId="376A0682" w14:textId="77777777" w:rsidR="00B743D3" w:rsidRPr="004676F5" w:rsidRDefault="00B743D3" w:rsidP="00881814">
      <w:pPr>
        <w:ind w:firstLine="708"/>
        <w:jc w:val="both"/>
        <w:rPr>
          <w:lang w:val="de-DE"/>
        </w:rPr>
      </w:pPr>
    </w:p>
    <w:p w14:paraId="7988877C" w14:textId="77777777" w:rsidR="00881814" w:rsidRPr="004676F5" w:rsidRDefault="00881814" w:rsidP="00881814">
      <w:pPr>
        <w:ind w:firstLine="708"/>
        <w:jc w:val="both"/>
        <w:rPr>
          <w:lang w:val="de-DE"/>
        </w:rPr>
      </w:pPr>
    </w:p>
    <w:p w14:paraId="05C28D39" w14:textId="09BEFDF9" w:rsidR="003E6C61" w:rsidRPr="004676F5" w:rsidRDefault="003E6C61" w:rsidP="003E6C61">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Werbung</w:t>
      </w:r>
    </w:p>
    <w:p w14:paraId="13B069D9" w14:textId="77777777" w:rsidR="003E6C61" w:rsidRPr="004676F5" w:rsidRDefault="003E6C61" w:rsidP="003E6C61">
      <w:pPr>
        <w:ind w:firstLine="708"/>
        <w:jc w:val="both"/>
        <w:rPr>
          <w:lang w:val="de-DE"/>
        </w:rPr>
      </w:pPr>
    </w:p>
    <w:p w14:paraId="71D96EC3" w14:textId="77777777" w:rsidR="003E6C61" w:rsidRPr="004676F5" w:rsidRDefault="003E6C61" w:rsidP="003E6C61">
      <w:pPr>
        <w:ind w:firstLine="708"/>
        <w:jc w:val="both"/>
        <w:rPr>
          <w:lang w:val="de-DE"/>
        </w:rPr>
      </w:pPr>
    </w:p>
    <w:p w14:paraId="3D7B333D" w14:textId="49CDD2FA" w:rsidR="003E6C61" w:rsidRPr="004676F5" w:rsidRDefault="00BE0A56" w:rsidP="003E6C61">
      <w:pPr>
        <w:ind w:firstLine="708"/>
        <w:jc w:val="both"/>
        <w:rPr>
          <w:lang w:val="de-DE"/>
        </w:rPr>
      </w:pPr>
      <w:r w:rsidRPr="004676F5">
        <w:rPr>
          <w:b/>
          <w:lang w:val="de-DE"/>
        </w:rPr>
        <w:t>Art. </w:t>
      </w:r>
      <w:r w:rsidR="003E6C61" w:rsidRPr="004676F5">
        <w:rPr>
          <w:b/>
          <w:lang w:val="de-DE"/>
        </w:rPr>
        <w:t>VII.123</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Werbemitteilungen und kommerzielle Mitteilungen wie in Arti</w:t>
      </w:r>
      <w:r w:rsidR="003E6C61" w:rsidRPr="004676F5">
        <w:rPr>
          <w:lang w:val="de-DE"/>
        </w:rPr>
        <w:softHyphen/>
        <w:t>kel I.8 Nr. 23 erwähnt über Kreditverträge müssen redlich, eindeutig und nicht irreführend sein.</w:t>
      </w:r>
    </w:p>
    <w:p w14:paraId="3A698380" w14:textId="77777777" w:rsidR="003E6C61" w:rsidRPr="004676F5" w:rsidRDefault="003E6C61" w:rsidP="003E6C61">
      <w:pPr>
        <w:ind w:firstLine="708"/>
        <w:jc w:val="both"/>
        <w:rPr>
          <w:lang w:val="de-DE"/>
        </w:rPr>
      </w:pPr>
    </w:p>
    <w:p w14:paraId="7CE6A541" w14:textId="77777777" w:rsidR="003E6C61" w:rsidRPr="004676F5" w:rsidRDefault="003E6C61" w:rsidP="003E6C61">
      <w:pPr>
        <w:ind w:firstLine="708"/>
        <w:jc w:val="both"/>
        <w:rPr>
          <w:lang w:val="de-DE"/>
        </w:rPr>
      </w:pPr>
      <w:r w:rsidRPr="004676F5">
        <w:rPr>
          <w:lang w:val="de-DE"/>
        </w:rPr>
        <w:t>In Werbemitteilungen und kommerziellen Mitteilungen sind Identität und gegebenen</w:t>
      </w:r>
      <w:r w:rsidRPr="004676F5">
        <w:rPr>
          <w:lang w:val="de-DE"/>
        </w:rPr>
        <w:softHyphen/>
        <w:t>falls geographische Anschrift des Kreditgebers und des Kreditvermittlers angegeben, die relevant sind für die Beziehungen mit dem Verbraucher.</w:t>
      </w:r>
    </w:p>
    <w:p w14:paraId="375EB410" w14:textId="77777777" w:rsidR="003E6C61" w:rsidRPr="004676F5" w:rsidRDefault="003E6C61" w:rsidP="003E6C61">
      <w:pPr>
        <w:ind w:firstLine="708"/>
        <w:jc w:val="both"/>
        <w:rPr>
          <w:lang w:val="de-DE"/>
        </w:rPr>
      </w:pPr>
    </w:p>
    <w:p w14:paraId="472E909F" w14:textId="0AC881DC"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Verboten sind Werbemitteilungen und kommerzielle Mitteilungen für einen Kreditvertrag, die speziell darauf abzielen:</w:t>
      </w:r>
    </w:p>
    <w:p w14:paraId="606EF030" w14:textId="77777777" w:rsidR="003E6C61" w:rsidRPr="004676F5" w:rsidRDefault="003E6C61" w:rsidP="003E6C61">
      <w:pPr>
        <w:ind w:firstLine="708"/>
        <w:jc w:val="both"/>
        <w:rPr>
          <w:lang w:val="de-DE"/>
        </w:rPr>
      </w:pPr>
    </w:p>
    <w:p w14:paraId="1B0145C5" w14:textId="77777777" w:rsidR="003E6C61" w:rsidRPr="004676F5" w:rsidRDefault="003E6C61" w:rsidP="003E6C61">
      <w:pPr>
        <w:ind w:firstLine="708"/>
        <w:jc w:val="both"/>
        <w:rPr>
          <w:lang w:val="de-DE"/>
        </w:rPr>
      </w:pPr>
      <w:r w:rsidRPr="004676F5">
        <w:rPr>
          <w:lang w:val="de-DE"/>
        </w:rPr>
        <w:t>1. einen Verbraucher, der seine Schulden nicht begleichen kann, dazu zu verleiten, einen Kredit aufzunehmen,</w:t>
      </w:r>
    </w:p>
    <w:p w14:paraId="1ADE525D" w14:textId="77777777" w:rsidR="003E6C61" w:rsidRPr="004676F5" w:rsidRDefault="003E6C61" w:rsidP="003E6C61">
      <w:pPr>
        <w:ind w:firstLine="708"/>
        <w:jc w:val="both"/>
        <w:rPr>
          <w:lang w:val="de-DE"/>
        </w:rPr>
      </w:pPr>
    </w:p>
    <w:p w14:paraId="5E0A6B50" w14:textId="77777777" w:rsidR="003E6C61" w:rsidRPr="004676F5" w:rsidRDefault="003E6C61" w:rsidP="003E6C61">
      <w:pPr>
        <w:ind w:firstLine="708"/>
        <w:jc w:val="both"/>
        <w:rPr>
          <w:lang w:val="de-DE"/>
        </w:rPr>
      </w:pPr>
      <w:r w:rsidRPr="004676F5">
        <w:rPr>
          <w:lang w:val="de-DE"/>
        </w:rPr>
        <w:t>2. die Möglichkeit, einen Kredit einfach oder schnell zu erhalten, hervorzuheben,</w:t>
      </w:r>
    </w:p>
    <w:p w14:paraId="50C3B860" w14:textId="77777777" w:rsidR="003E6C61" w:rsidRPr="004676F5" w:rsidRDefault="003E6C61" w:rsidP="003E6C61">
      <w:pPr>
        <w:ind w:firstLine="708"/>
        <w:jc w:val="both"/>
        <w:rPr>
          <w:lang w:val="de-DE"/>
        </w:rPr>
      </w:pPr>
    </w:p>
    <w:p w14:paraId="7F850C52" w14:textId="77777777" w:rsidR="003E6C61" w:rsidRPr="004676F5" w:rsidRDefault="003E6C61" w:rsidP="003E6C61">
      <w:pPr>
        <w:ind w:firstLine="708"/>
        <w:jc w:val="both"/>
        <w:rPr>
          <w:lang w:val="de-DE"/>
        </w:rPr>
      </w:pPr>
      <w:r w:rsidRPr="004676F5">
        <w:rPr>
          <w:lang w:val="de-DE"/>
        </w:rPr>
        <w:t>3. zur Zusammenlegung oder Zentralisierung laufender Kredite zu verleiten oder zum Ausdruck zu bringen, dass laufende Kreditverträge keinen oder kaum Einfluss auf die Beurteilung eines Kreditantrags haben.</w:t>
      </w:r>
    </w:p>
    <w:p w14:paraId="2E3690A3" w14:textId="77777777" w:rsidR="003E6C61" w:rsidRPr="004676F5" w:rsidRDefault="003E6C61" w:rsidP="003E6C61">
      <w:pPr>
        <w:ind w:firstLine="708"/>
        <w:jc w:val="both"/>
        <w:rPr>
          <w:lang w:val="de-DE"/>
        </w:rPr>
      </w:pPr>
    </w:p>
    <w:p w14:paraId="7E5797F3" w14:textId="77777777" w:rsidR="003E6C61" w:rsidRPr="004676F5" w:rsidRDefault="003E6C61" w:rsidP="003E6C61">
      <w:pPr>
        <w:ind w:firstLine="708"/>
        <w:jc w:val="both"/>
        <w:rPr>
          <w:lang w:val="de-DE"/>
        </w:rPr>
      </w:pPr>
      <w:r w:rsidRPr="004676F5">
        <w:rPr>
          <w:lang w:val="de-DE"/>
        </w:rPr>
        <w:t>Ebenfalls verboten sind Werbemitteilungen und kommerzielle Mitteilungen für einen Kreditvertrag:</w:t>
      </w:r>
    </w:p>
    <w:p w14:paraId="016D4436" w14:textId="77777777" w:rsidR="003E6C61" w:rsidRPr="004676F5" w:rsidRDefault="003E6C61" w:rsidP="003E6C61">
      <w:pPr>
        <w:ind w:firstLine="708"/>
        <w:jc w:val="both"/>
        <w:rPr>
          <w:lang w:val="de-DE"/>
        </w:rPr>
      </w:pPr>
    </w:p>
    <w:p w14:paraId="57DE73B4" w14:textId="77777777" w:rsidR="003E6C61" w:rsidRPr="004676F5" w:rsidRDefault="003E6C61" w:rsidP="003E6C61">
      <w:pPr>
        <w:ind w:firstLine="708"/>
        <w:jc w:val="both"/>
        <w:rPr>
          <w:lang w:val="de-DE"/>
        </w:rPr>
      </w:pPr>
      <w:r w:rsidRPr="004676F5">
        <w:rPr>
          <w:lang w:val="de-DE"/>
        </w:rPr>
        <w:t>1. die auf eine Zulassung, Registrierung oder Eintragung als Kreditgeber beziehungs</w:t>
      </w:r>
      <w:r w:rsidRPr="004676F5">
        <w:rPr>
          <w:lang w:val="de-DE"/>
        </w:rPr>
        <w:softHyphen/>
        <w:t>weise Kreditvermittler verweisen,</w:t>
      </w:r>
    </w:p>
    <w:p w14:paraId="0C09A10E" w14:textId="77777777" w:rsidR="003E6C61" w:rsidRPr="004676F5" w:rsidRDefault="003E6C61" w:rsidP="003E6C61">
      <w:pPr>
        <w:ind w:firstLine="708"/>
        <w:jc w:val="both"/>
        <w:rPr>
          <w:lang w:val="de-DE"/>
        </w:rPr>
      </w:pPr>
    </w:p>
    <w:p w14:paraId="68743ACC" w14:textId="77777777" w:rsidR="003E6C61" w:rsidRPr="004676F5" w:rsidRDefault="003E6C61" w:rsidP="003E6C61">
      <w:pPr>
        <w:ind w:firstLine="708"/>
        <w:jc w:val="both"/>
        <w:rPr>
          <w:lang w:val="de-DE"/>
        </w:rPr>
      </w:pPr>
      <w:r w:rsidRPr="004676F5">
        <w:rPr>
          <w:lang w:val="de-DE"/>
        </w:rPr>
        <w:t>2. die durch den Verweis auf maximale effektive Jahreszinssätze oder die Recht</w:t>
      </w:r>
      <w:r w:rsidRPr="004676F5">
        <w:rPr>
          <w:lang w:val="de-DE"/>
        </w:rPr>
        <w:softHyphen/>
        <w:t>mäßigkeit der angewandten Zinssätze den Eindruck erwecken, dass diese Zinssätze die einzigen sind, die angewandt werden können.</w:t>
      </w:r>
    </w:p>
    <w:p w14:paraId="4E00A476" w14:textId="77777777" w:rsidR="003E6C61" w:rsidRPr="004676F5" w:rsidRDefault="003E6C61" w:rsidP="003E6C61">
      <w:pPr>
        <w:ind w:firstLine="708"/>
        <w:jc w:val="both"/>
        <w:rPr>
          <w:lang w:val="de-DE"/>
        </w:rPr>
      </w:pPr>
    </w:p>
    <w:p w14:paraId="09B2227B" w14:textId="77777777" w:rsidR="003E6C61" w:rsidRPr="004676F5" w:rsidRDefault="003E6C61" w:rsidP="003E6C61">
      <w:pPr>
        <w:ind w:firstLine="708"/>
        <w:jc w:val="both"/>
        <w:rPr>
          <w:lang w:val="de-DE"/>
        </w:rPr>
      </w:pPr>
      <w:r w:rsidRPr="004676F5">
        <w:rPr>
          <w:lang w:val="de-DE"/>
        </w:rPr>
        <w:t>Jeder Verweis auf den gesetzlich zugelassenen maximalen effektiven Jahreszins und auf den gesetzlich zugelassenen maximalen Sollzinssatz muss unzweideutig, leserlich und gut sichtbar beziehungsweise hörbar sein und den gesetzlich zugelassenen maximalen effektiven Jahreszins präzise angeben,</w:t>
      </w:r>
    </w:p>
    <w:p w14:paraId="11E17379" w14:textId="77777777" w:rsidR="003E6C61" w:rsidRPr="004676F5" w:rsidRDefault="003E6C61" w:rsidP="003E6C61">
      <w:pPr>
        <w:ind w:firstLine="708"/>
        <w:jc w:val="both"/>
        <w:rPr>
          <w:lang w:val="de-DE"/>
        </w:rPr>
      </w:pPr>
    </w:p>
    <w:p w14:paraId="11179192" w14:textId="77777777" w:rsidR="003E6C61" w:rsidRPr="004676F5" w:rsidRDefault="003E6C61" w:rsidP="003E6C61">
      <w:pPr>
        <w:ind w:firstLine="708"/>
        <w:jc w:val="both"/>
        <w:rPr>
          <w:lang w:val="de-DE"/>
        </w:rPr>
      </w:pPr>
      <w:r w:rsidRPr="004676F5">
        <w:rPr>
          <w:lang w:val="de-DE"/>
        </w:rPr>
        <w:t>3. in denen angegeben wird, dass ein Kreditvertrag ohne Informationen abgeschlossen werden kann, die eine Beurteilung der Finanzlage des Verbrauchers ermöglichen,</w:t>
      </w:r>
    </w:p>
    <w:p w14:paraId="503852BF" w14:textId="77777777" w:rsidR="003E6C61" w:rsidRPr="004676F5" w:rsidRDefault="003E6C61" w:rsidP="003E6C61">
      <w:pPr>
        <w:ind w:firstLine="708"/>
        <w:jc w:val="both"/>
        <w:rPr>
          <w:lang w:val="de-DE"/>
        </w:rPr>
      </w:pPr>
    </w:p>
    <w:p w14:paraId="1BCB58E2" w14:textId="77777777" w:rsidR="003E6C61" w:rsidRPr="004676F5" w:rsidRDefault="003E6C61" w:rsidP="003E6C61">
      <w:pPr>
        <w:ind w:firstLine="708"/>
        <w:jc w:val="both"/>
        <w:rPr>
          <w:lang w:val="de-DE"/>
        </w:rPr>
      </w:pPr>
      <w:r w:rsidRPr="004676F5">
        <w:rPr>
          <w:lang w:val="de-DE"/>
        </w:rPr>
        <w:t>4. in denen eine andere Identität, Adresse oder Eigenschaft genannt wird als die, die vom Inserenten im Rahmen der Zulassung, Registrierung beziehungsweise Eintragung mitgeteilt worden ist,</w:t>
      </w:r>
    </w:p>
    <w:p w14:paraId="631D945D" w14:textId="77777777" w:rsidR="003E6C61" w:rsidRPr="004676F5" w:rsidRDefault="003E6C61" w:rsidP="003E6C61">
      <w:pPr>
        <w:ind w:firstLine="708"/>
        <w:jc w:val="both"/>
        <w:rPr>
          <w:lang w:val="de-DE"/>
        </w:rPr>
      </w:pPr>
    </w:p>
    <w:p w14:paraId="00D1B1D2" w14:textId="569D73FD" w:rsidR="003E6C61" w:rsidRPr="004676F5" w:rsidRDefault="00FB4E0A" w:rsidP="003E6C61">
      <w:pPr>
        <w:ind w:firstLine="708"/>
        <w:jc w:val="both"/>
        <w:rPr>
          <w:lang w:val="de-DE"/>
        </w:rPr>
      </w:pPr>
      <w:r w:rsidRPr="004676F5">
        <w:rPr>
          <w:lang w:val="de-DE"/>
        </w:rPr>
        <w:lastRenderedPageBreak/>
        <w:t>5. in denen</w:t>
      </w:r>
      <w:r w:rsidR="003E6C61" w:rsidRPr="004676F5">
        <w:rPr>
          <w:lang w:val="de-DE"/>
        </w:rPr>
        <w:t xml:space="preserve"> Kreditarten ausschließlich durch Bezeichnungen angegeben werden, die sich von den in vorliegendem Buch verwendeten Bezeichnungen unterscheiden,</w:t>
      </w:r>
    </w:p>
    <w:p w14:paraId="079F6656" w14:textId="77777777" w:rsidR="003E6C61" w:rsidRPr="004676F5" w:rsidRDefault="003E6C61" w:rsidP="003E6C61">
      <w:pPr>
        <w:ind w:firstLine="708"/>
        <w:jc w:val="both"/>
        <w:rPr>
          <w:lang w:val="de-DE"/>
        </w:rPr>
      </w:pPr>
    </w:p>
    <w:p w14:paraId="0925A8B2" w14:textId="20CD99D1" w:rsidR="003E6C61" w:rsidRPr="004676F5" w:rsidRDefault="00FB4E0A" w:rsidP="003E6C61">
      <w:pPr>
        <w:ind w:firstLine="708"/>
        <w:jc w:val="both"/>
        <w:rPr>
          <w:lang w:val="de-DE"/>
        </w:rPr>
      </w:pPr>
      <w:r w:rsidRPr="004676F5">
        <w:rPr>
          <w:lang w:val="de-DE"/>
        </w:rPr>
        <w:t>6. in denen</w:t>
      </w:r>
      <w:r w:rsidR="003E6C61" w:rsidRPr="004676F5">
        <w:rPr>
          <w:lang w:val="de-DE"/>
        </w:rPr>
        <w:t xml:space="preserve"> günstige Zinssätze genannt werden, ohne die Sonderbedingungen und Einschränkungen anzugeben, denen die Inanspruchnahme dieser Sätze unterliegt,</w:t>
      </w:r>
    </w:p>
    <w:p w14:paraId="04C55D2B" w14:textId="77777777" w:rsidR="003E6C61" w:rsidRPr="004676F5" w:rsidRDefault="003E6C61" w:rsidP="003E6C61">
      <w:pPr>
        <w:ind w:firstLine="708"/>
        <w:jc w:val="both"/>
        <w:rPr>
          <w:lang w:val="de-DE"/>
        </w:rPr>
      </w:pPr>
    </w:p>
    <w:p w14:paraId="2293E1B3" w14:textId="77777777" w:rsidR="003E6C61" w:rsidRPr="004676F5" w:rsidRDefault="003E6C61" w:rsidP="003E6C61">
      <w:pPr>
        <w:ind w:firstLine="708"/>
        <w:jc w:val="both"/>
        <w:rPr>
          <w:lang w:val="de-DE"/>
        </w:rPr>
      </w:pPr>
      <w:r w:rsidRPr="004676F5">
        <w:rPr>
          <w:lang w:val="de-DE"/>
        </w:rPr>
        <w:t>7. in denen mit Worten, Zeichen oder Symbolen angegeben wird, dass der Kreditbetrag in bar oder als Bargeld zur Verfügung gestellt wird,</w:t>
      </w:r>
    </w:p>
    <w:p w14:paraId="1E464C29" w14:textId="77777777" w:rsidR="003E6C61" w:rsidRPr="004676F5" w:rsidRDefault="003E6C61" w:rsidP="003E6C61">
      <w:pPr>
        <w:ind w:firstLine="708"/>
        <w:jc w:val="both"/>
        <w:rPr>
          <w:lang w:val="de-DE"/>
        </w:rPr>
      </w:pPr>
    </w:p>
    <w:p w14:paraId="09E47E9A" w14:textId="77777777" w:rsidR="003E6C61" w:rsidRPr="004676F5" w:rsidRDefault="003E6C61" w:rsidP="003E6C61">
      <w:pPr>
        <w:ind w:firstLine="708"/>
        <w:jc w:val="both"/>
        <w:rPr>
          <w:lang w:val="de-DE"/>
        </w:rPr>
      </w:pPr>
      <w:r w:rsidRPr="004676F5">
        <w:rPr>
          <w:lang w:val="de-DE"/>
        </w:rPr>
        <w:t>8. die den Vermerk "Gratiskredit" oder einen ähnlichen Vermerk enthalten, bei dem es sich nicht um den effektiven Jahreszins handelt,</w:t>
      </w:r>
    </w:p>
    <w:p w14:paraId="1DD99088" w14:textId="77777777" w:rsidR="003E6C61" w:rsidRPr="004676F5" w:rsidRDefault="003E6C61" w:rsidP="003E6C61">
      <w:pPr>
        <w:ind w:firstLine="708"/>
        <w:jc w:val="both"/>
        <w:rPr>
          <w:lang w:val="de-DE"/>
        </w:rPr>
      </w:pPr>
    </w:p>
    <w:p w14:paraId="3E8A848A" w14:textId="77777777" w:rsidR="003E6C61" w:rsidRPr="004676F5" w:rsidRDefault="003E6C61" w:rsidP="003E6C61">
      <w:pPr>
        <w:ind w:firstLine="708"/>
        <w:jc w:val="both"/>
        <w:rPr>
          <w:lang w:val="de-DE"/>
        </w:rPr>
      </w:pPr>
      <w:r w:rsidRPr="004676F5">
        <w:rPr>
          <w:lang w:val="de-DE"/>
        </w:rPr>
        <w:t>9. in denen Formulierungen beim Verbraucher falsche Erwartungen in Bezug auf Zugänglichkeit oder Kosten eines Kredits wecken können,</w:t>
      </w:r>
    </w:p>
    <w:p w14:paraId="630B7D22" w14:textId="77777777" w:rsidR="003E6C61" w:rsidRPr="004676F5" w:rsidRDefault="003E6C61" w:rsidP="003E6C61">
      <w:pPr>
        <w:ind w:firstLine="708"/>
        <w:jc w:val="both"/>
        <w:rPr>
          <w:lang w:val="de-DE"/>
        </w:rPr>
      </w:pPr>
    </w:p>
    <w:p w14:paraId="4ACC5F29" w14:textId="77777777" w:rsidR="003E6C61" w:rsidRPr="004676F5" w:rsidRDefault="003E6C61" w:rsidP="003E6C61">
      <w:pPr>
        <w:ind w:firstLine="708"/>
        <w:jc w:val="both"/>
        <w:rPr>
          <w:lang w:val="de-DE"/>
        </w:rPr>
      </w:pPr>
      <w:r w:rsidRPr="004676F5">
        <w:rPr>
          <w:lang w:val="de-DE"/>
        </w:rPr>
        <w:t>10. die eine Handlung begünstigen, die als Nichteinhaltung des oder als Verstoß gegen vorliegendes Buch oder seine Ausführungserlasse anzusehen ist.</w:t>
      </w:r>
    </w:p>
    <w:p w14:paraId="1D6B919F" w14:textId="77777777" w:rsidR="003E6C61" w:rsidRPr="004676F5" w:rsidRDefault="003E6C61" w:rsidP="003E6C61">
      <w:pPr>
        <w:ind w:firstLine="708"/>
        <w:jc w:val="both"/>
        <w:rPr>
          <w:lang w:val="de-DE"/>
        </w:rPr>
      </w:pPr>
    </w:p>
    <w:p w14:paraId="42BE3F8D" w14:textId="77777777" w:rsidR="003E6C61" w:rsidRPr="004676F5" w:rsidRDefault="003E6C61" w:rsidP="003E6C61">
      <w:pPr>
        <w:ind w:firstLine="708"/>
        <w:jc w:val="both"/>
        <w:rPr>
          <w:lang w:val="de-DE"/>
        </w:rPr>
      </w:pPr>
    </w:p>
    <w:p w14:paraId="1798E64E" w14:textId="2BDFBC87" w:rsidR="003E6C61" w:rsidRPr="004676F5" w:rsidRDefault="00BE0A56" w:rsidP="003E6C61">
      <w:pPr>
        <w:ind w:firstLine="708"/>
        <w:jc w:val="both"/>
        <w:rPr>
          <w:lang w:val="de-DE"/>
        </w:rPr>
      </w:pPr>
      <w:r w:rsidRPr="004676F5">
        <w:rPr>
          <w:b/>
          <w:lang w:val="de-DE"/>
        </w:rPr>
        <w:t>Art. </w:t>
      </w:r>
      <w:r w:rsidR="003E6C61" w:rsidRPr="004676F5">
        <w:rPr>
          <w:b/>
          <w:lang w:val="de-DE"/>
        </w:rPr>
        <w:t>VII.124</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In jeder Werbung, in der Zinssätze oder sonstige auf die Kosten eines Kredits für den Verbraucher bezogene Zahlen genannt werden, sind folgende Standardinformationen in klarer, prägnanter und auffallender Art und Weise zu nennen:</w:t>
      </w:r>
    </w:p>
    <w:p w14:paraId="5FC80F42" w14:textId="77777777" w:rsidR="003E6C61" w:rsidRPr="004676F5" w:rsidRDefault="003E6C61" w:rsidP="003E6C61">
      <w:pPr>
        <w:ind w:firstLine="708"/>
        <w:jc w:val="both"/>
        <w:rPr>
          <w:lang w:val="de-DE"/>
        </w:rPr>
      </w:pPr>
    </w:p>
    <w:p w14:paraId="18FE3769" w14:textId="77777777" w:rsidR="003E6C61" w:rsidRPr="004676F5" w:rsidRDefault="003E6C61" w:rsidP="003E6C61">
      <w:pPr>
        <w:ind w:firstLine="708"/>
        <w:jc w:val="both"/>
        <w:rPr>
          <w:lang w:val="de-DE"/>
        </w:rPr>
      </w:pPr>
      <w:r w:rsidRPr="004676F5">
        <w:rPr>
          <w:lang w:val="de-DE"/>
        </w:rPr>
        <w:t>1. Identität des Kreditgebers oder gegebenenfalls des Kreditvermittlers,</w:t>
      </w:r>
    </w:p>
    <w:p w14:paraId="6BA08837" w14:textId="77777777" w:rsidR="003E6C61" w:rsidRPr="004676F5" w:rsidRDefault="003E6C61" w:rsidP="003E6C61">
      <w:pPr>
        <w:ind w:firstLine="708"/>
        <w:jc w:val="both"/>
        <w:rPr>
          <w:lang w:val="de-DE"/>
        </w:rPr>
      </w:pPr>
    </w:p>
    <w:p w14:paraId="0896945B" w14:textId="77777777" w:rsidR="003E6C61" w:rsidRPr="004676F5" w:rsidRDefault="003E6C61" w:rsidP="003E6C61">
      <w:pPr>
        <w:ind w:firstLine="708"/>
        <w:jc w:val="both"/>
        <w:rPr>
          <w:lang w:val="de-DE"/>
        </w:rPr>
      </w:pPr>
      <w:r w:rsidRPr="004676F5">
        <w:rPr>
          <w:lang w:val="de-DE"/>
        </w:rPr>
        <w:t>2. gegebenenfalls Hinweis, dass die Werbung einen mit einer der in Artikel I.9 Nr. 53 erwähnten Sicherheiten gesicherten Hypothekarkredit betrifft,</w:t>
      </w:r>
    </w:p>
    <w:p w14:paraId="13C6099B" w14:textId="77777777" w:rsidR="003E6C61" w:rsidRPr="004676F5" w:rsidRDefault="003E6C61" w:rsidP="003E6C61">
      <w:pPr>
        <w:ind w:firstLine="708"/>
        <w:jc w:val="both"/>
        <w:rPr>
          <w:lang w:val="de-DE"/>
        </w:rPr>
      </w:pPr>
    </w:p>
    <w:p w14:paraId="2F6B28AC" w14:textId="77777777" w:rsidR="003E6C61" w:rsidRPr="004676F5" w:rsidRDefault="003E6C61" w:rsidP="003E6C61">
      <w:pPr>
        <w:ind w:firstLine="708"/>
        <w:jc w:val="both"/>
        <w:rPr>
          <w:lang w:val="de-DE"/>
        </w:rPr>
      </w:pPr>
      <w:r w:rsidRPr="004676F5">
        <w:rPr>
          <w:lang w:val="de-DE"/>
        </w:rPr>
        <w:t>3. Sollzinssatz und Angabe, ob es sich um einen festen oder einen variablen Zinssatz oder eine Kombination aus beiden handelt, sowie Einzelheiten aller für den Verbraucher anfallenden, in die Gesamtkreditkosten einbezogenen Kosten,</w:t>
      </w:r>
    </w:p>
    <w:p w14:paraId="3D040C27" w14:textId="77777777" w:rsidR="003E6C61" w:rsidRPr="004676F5" w:rsidRDefault="003E6C61" w:rsidP="003E6C61">
      <w:pPr>
        <w:ind w:firstLine="708"/>
        <w:jc w:val="both"/>
        <w:rPr>
          <w:lang w:val="de-DE"/>
        </w:rPr>
      </w:pPr>
    </w:p>
    <w:p w14:paraId="5F52FA73" w14:textId="77777777" w:rsidR="003E6C61" w:rsidRPr="004676F5" w:rsidRDefault="003E6C61" w:rsidP="003E6C61">
      <w:pPr>
        <w:ind w:firstLine="708"/>
        <w:jc w:val="both"/>
        <w:rPr>
          <w:lang w:val="de-DE"/>
        </w:rPr>
      </w:pPr>
      <w:r w:rsidRPr="004676F5">
        <w:rPr>
          <w:lang w:val="de-DE"/>
        </w:rPr>
        <w:t>4. Gesamtkreditbetrag,</w:t>
      </w:r>
    </w:p>
    <w:p w14:paraId="0D5EF628" w14:textId="77777777" w:rsidR="003E6C61" w:rsidRPr="004676F5" w:rsidRDefault="003E6C61" w:rsidP="003E6C61">
      <w:pPr>
        <w:ind w:firstLine="708"/>
        <w:jc w:val="both"/>
        <w:rPr>
          <w:lang w:val="de-DE"/>
        </w:rPr>
      </w:pPr>
    </w:p>
    <w:p w14:paraId="0F1610FC" w14:textId="77777777" w:rsidR="003E6C61" w:rsidRPr="004676F5" w:rsidRDefault="003E6C61" w:rsidP="003E6C61">
      <w:pPr>
        <w:ind w:firstLine="708"/>
        <w:jc w:val="both"/>
        <w:rPr>
          <w:lang w:val="de-DE"/>
        </w:rPr>
      </w:pPr>
      <w:r w:rsidRPr="004676F5">
        <w:rPr>
          <w:lang w:val="de-DE"/>
        </w:rPr>
        <w:t>5. effektiver Jahreszins, der in der Werbung mindestens genauso hervorzuheben ist wie jeglicher Zinssatz,</w:t>
      </w:r>
    </w:p>
    <w:p w14:paraId="5C964CB7" w14:textId="77777777" w:rsidR="003E6C61" w:rsidRPr="004676F5" w:rsidRDefault="003E6C61" w:rsidP="003E6C61">
      <w:pPr>
        <w:ind w:firstLine="708"/>
        <w:jc w:val="both"/>
        <w:rPr>
          <w:lang w:val="de-DE"/>
        </w:rPr>
      </w:pPr>
    </w:p>
    <w:p w14:paraId="0D09F907" w14:textId="77777777" w:rsidR="003E6C61" w:rsidRPr="004676F5" w:rsidRDefault="003E6C61" w:rsidP="003E6C61">
      <w:pPr>
        <w:ind w:firstLine="708"/>
        <w:jc w:val="both"/>
        <w:rPr>
          <w:lang w:val="de-DE"/>
        </w:rPr>
      </w:pPr>
      <w:r w:rsidRPr="004676F5">
        <w:rPr>
          <w:lang w:val="de-DE"/>
        </w:rPr>
        <w:t>6. Laufzeit des Kreditvertrags,</w:t>
      </w:r>
    </w:p>
    <w:p w14:paraId="52A32E46" w14:textId="77777777" w:rsidR="003E6C61" w:rsidRPr="004676F5" w:rsidRDefault="003E6C61" w:rsidP="003E6C61">
      <w:pPr>
        <w:ind w:firstLine="708"/>
        <w:jc w:val="both"/>
        <w:rPr>
          <w:lang w:val="de-DE"/>
        </w:rPr>
      </w:pPr>
    </w:p>
    <w:p w14:paraId="59331E20" w14:textId="77777777" w:rsidR="003E6C61" w:rsidRPr="004676F5" w:rsidRDefault="003E6C61" w:rsidP="003E6C61">
      <w:pPr>
        <w:ind w:firstLine="708"/>
        <w:jc w:val="both"/>
        <w:rPr>
          <w:lang w:val="de-DE"/>
        </w:rPr>
      </w:pPr>
      <w:r w:rsidRPr="004676F5">
        <w:rPr>
          <w:lang w:val="de-DE"/>
        </w:rPr>
        <w:t>7. gegebenenfalls Ratenbetrag,</w:t>
      </w:r>
    </w:p>
    <w:p w14:paraId="1917A4A5" w14:textId="77777777" w:rsidR="003E6C61" w:rsidRPr="004676F5" w:rsidRDefault="003E6C61" w:rsidP="003E6C61">
      <w:pPr>
        <w:ind w:firstLine="708"/>
        <w:jc w:val="both"/>
        <w:rPr>
          <w:lang w:val="de-DE"/>
        </w:rPr>
      </w:pPr>
    </w:p>
    <w:p w14:paraId="3B13FA73" w14:textId="77777777" w:rsidR="003E6C61" w:rsidRPr="004676F5" w:rsidRDefault="003E6C61" w:rsidP="003E6C61">
      <w:pPr>
        <w:ind w:firstLine="708"/>
        <w:jc w:val="both"/>
        <w:rPr>
          <w:lang w:val="de-DE"/>
        </w:rPr>
      </w:pPr>
      <w:r w:rsidRPr="004676F5">
        <w:rPr>
          <w:lang w:val="de-DE"/>
        </w:rPr>
        <w:t>8. gegebenenfalls vom Verbraucher zu zahlender Gesamtbetrag,</w:t>
      </w:r>
    </w:p>
    <w:p w14:paraId="087BE393" w14:textId="77777777" w:rsidR="003E6C61" w:rsidRPr="004676F5" w:rsidRDefault="003E6C61" w:rsidP="003E6C61">
      <w:pPr>
        <w:ind w:firstLine="708"/>
        <w:jc w:val="both"/>
        <w:rPr>
          <w:lang w:val="de-DE"/>
        </w:rPr>
      </w:pPr>
    </w:p>
    <w:p w14:paraId="13D6310F" w14:textId="77777777" w:rsidR="003E6C61" w:rsidRPr="004676F5" w:rsidRDefault="003E6C61" w:rsidP="003E6C61">
      <w:pPr>
        <w:ind w:firstLine="708"/>
        <w:jc w:val="both"/>
        <w:rPr>
          <w:lang w:val="de-DE"/>
        </w:rPr>
      </w:pPr>
      <w:r w:rsidRPr="004676F5">
        <w:rPr>
          <w:lang w:val="de-DE"/>
        </w:rPr>
        <w:t>9. gegebenenfalls Anzahl Ratentermine,</w:t>
      </w:r>
    </w:p>
    <w:p w14:paraId="1B24B7D6" w14:textId="77777777" w:rsidR="003E6C61" w:rsidRPr="004676F5" w:rsidRDefault="003E6C61" w:rsidP="003E6C61">
      <w:pPr>
        <w:ind w:firstLine="708"/>
        <w:jc w:val="both"/>
        <w:rPr>
          <w:lang w:val="de-DE"/>
        </w:rPr>
      </w:pPr>
    </w:p>
    <w:p w14:paraId="6AAD46BC" w14:textId="77777777" w:rsidR="003E6C61" w:rsidRPr="004676F5" w:rsidRDefault="003E6C61" w:rsidP="003E6C61">
      <w:pPr>
        <w:ind w:firstLine="708"/>
        <w:jc w:val="both"/>
        <w:rPr>
          <w:lang w:val="de-DE"/>
        </w:rPr>
      </w:pPr>
      <w:r w:rsidRPr="004676F5">
        <w:rPr>
          <w:lang w:val="de-DE"/>
        </w:rPr>
        <w:t>10. gegebenenfalls Warnhinweis, dass sich mögliche Wechselkursschwankungen auf die Höhe des vom Verbraucher zu zahlenden Gesamtbetrags auswirken könnten.</w:t>
      </w:r>
    </w:p>
    <w:p w14:paraId="147F8AC4" w14:textId="77777777" w:rsidR="003E6C61" w:rsidRPr="004676F5" w:rsidRDefault="003E6C61" w:rsidP="003E6C61">
      <w:pPr>
        <w:ind w:firstLine="708"/>
        <w:jc w:val="both"/>
        <w:rPr>
          <w:lang w:val="de-DE"/>
        </w:rPr>
      </w:pPr>
    </w:p>
    <w:p w14:paraId="7BFB4D54" w14:textId="77777777" w:rsidR="003E6C61" w:rsidRPr="004676F5" w:rsidRDefault="003E6C61" w:rsidP="003E6C61">
      <w:pPr>
        <w:ind w:firstLine="708"/>
        <w:jc w:val="both"/>
        <w:rPr>
          <w:lang w:val="de-DE"/>
        </w:rPr>
      </w:pPr>
      <w:r w:rsidRPr="004676F5">
        <w:rPr>
          <w:lang w:val="de-DE"/>
        </w:rPr>
        <w:t xml:space="preserve">Ist der Abschluss eines Vertrags über die Inanspruchnahme einer Nebenleistung, insbesondere eines Versicherungsvertrags, zwingende Voraussetzung dafür, dass der Kredit überhaupt oder nach den vorgesehenen Vertragsbedingungen gewährt wird, und können die Kosten der Nebenleistung nicht im Voraus bestimmt werden, so ist auf die Verpflichtung zum </w:t>
      </w:r>
      <w:r w:rsidRPr="004676F5">
        <w:rPr>
          <w:lang w:val="de-DE"/>
        </w:rPr>
        <w:lastRenderedPageBreak/>
        <w:t>Abschluss dieses Vertrags in klarer, prägnanter und auffallender Art und Weise zusammen mit dem effektiven Jahreszins hinzuweisen.</w:t>
      </w:r>
    </w:p>
    <w:p w14:paraId="72D27E55" w14:textId="77777777" w:rsidR="003E6C61" w:rsidRPr="004676F5" w:rsidRDefault="003E6C61" w:rsidP="003E6C61">
      <w:pPr>
        <w:ind w:firstLine="708"/>
        <w:jc w:val="both"/>
        <w:rPr>
          <w:lang w:val="de-DE"/>
        </w:rPr>
      </w:pPr>
    </w:p>
    <w:p w14:paraId="10457599" w14:textId="77777777" w:rsidR="003E6C61" w:rsidRPr="004676F5" w:rsidRDefault="003E6C61" w:rsidP="003E6C61">
      <w:pPr>
        <w:ind w:firstLine="708"/>
        <w:jc w:val="both"/>
        <w:rPr>
          <w:lang w:val="de-DE"/>
        </w:rPr>
      </w:pPr>
      <w:r w:rsidRPr="004676F5">
        <w:rPr>
          <w:lang w:val="de-DE"/>
        </w:rPr>
        <w:t>Die Informationen nach vorliegendem Paragraphen müssen gut lesbar beziehungsweise akustisch gut verständlich sein je nach Medium, das für die Werbung verwendet wird.</w:t>
      </w:r>
    </w:p>
    <w:p w14:paraId="53BD25A7" w14:textId="77777777" w:rsidR="003E6C61" w:rsidRPr="004676F5" w:rsidRDefault="003E6C61" w:rsidP="003E6C61">
      <w:pPr>
        <w:ind w:firstLine="708"/>
        <w:jc w:val="both"/>
        <w:rPr>
          <w:lang w:val="de-DE"/>
        </w:rPr>
      </w:pPr>
    </w:p>
    <w:p w14:paraId="1A5A64EB" w14:textId="415FC9C5"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Die in § 1 Absatz 1 Nr. 3 bis 9 aufgeführten Informationen sind durch ein reprä</w:t>
      </w:r>
      <w:r w:rsidRPr="004676F5">
        <w:rPr>
          <w:lang w:val="de-DE"/>
        </w:rPr>
        <w:softHyphen/>
        <w:t>sentatives Beispiel zu veranschaulichen und richten sich durchweg nach diesem repräsentativen Beispiel. Der König erlässt Kriterien für die Festlegung dieses Beispiels.</w:t>
      </w:r>
    </w:p>
    <w:p w14:paraId="18DE3868" w14:textId="77777777" w:rsidR="003E6C61" w:rsidRPr="004676F5" w:rsidRDefault="003E6C61" w:rsidP="003E6C61">
      <w:pPr>
        <w:ind w:firstLine="708"/>
        <w:jc w:val="both"/>
        <w:rPr>
          <w:lang w:val="de-DE"/>
        </w:rPr>
      </w:pPr>
    </w:p>
    <w:p w14:paraId="2026A7A1" w14:textId="77777777" w:rsidR="003E6C61" w:rsidRPr="004676F5" w:rsidRDefault="003E6C61" w:rsidP="003E6C61">
      <w:pPr>
        <w:ind w:firstLine="708"/>
        <w:jc w:val="both"/>
        <w:rPr>
          <w:lang w:val="de-DE"/>
        </w:rPr>
      </w:pPr>
      <w:r w:rsidRPr="004676F5">
        <w:rPr>
          <w:lang w:val="de-DE"/>
        </w:rPr>
        <w:t>Der Gesamtkreditbetrag und die Laufzeit basieren auf einem Gesamtkreditbetrag und einer Laufzeit, die je nach Art des Kreditvertrags, für den geworben wird, für die Angebote des Kreditgebers beziehungsweise des Kreditvermittlers oder gegebenenfalls für die Finanzierung der vom Verkäufer angebotenen Produkte oder Dienstleistungen repräsentativ ist. Werden mehrere Kreditverträge gleichzeitig angeboten, muss für jede Art Kreditvertrag ein gesondertes repräsentatives Beispiel genannt werden.</w:t>
      </w:r>
    </w:p>
    <w:p w14:paraId="05F987A9" w14:textId="77777777" w:rsidR="003E6C61" w:rsidRPr="004676F5" w:rsidRDefault="003E6C61" w:rsidP="003E6C61">
      <w:pPr>
        <w:ind w:firstLine="708"/>
        <w:jc w:val="both"/>
        <w:rPr>
          <w:lang w:val="de-DE"/>
        </w:rPr>
      </w:pPr>
    </w:p>
    <w:p w14:paraId="50D60C66" w14:textId="43CAB742"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Der König kann für jede Werbung, ungeachtet des verwendeten Trägers, die Schriftgröße der Informationen bestimmen in Bezug auf die Art des Kreditgeschäfts, seine Dauer, den Betrag der Rückzahlungen, den effektiven Jahreszins und, wenn es sich um einen Sondersatz handelt, den Zeitraum, in dem dieser Satz gilt, sowie in Bezug darauf, ob der Sollzinssatz fest oder variabel ist.</w:t>
      </w:r>
    </w:p>
    <w:p w14:paraId="3EA69320" w14:textId="77777777" w:rsidR="003E6C61" w:rsidRPr="004676F5" w:rsidRDefault="003E6C61" w:rsidP="003E6C61">
      <w:pPr>
        <w:jc w:val="both"/>
        <w:rPr>
          <w:lang w:val="de-DE"/>
        </w:rPr>
      </w:pPr>
    </w:p>
    <w:p w14:paraId="176705F3" w14:textId="77777777" w:rsidR="003E6C61" w:rsidRPr="004676F5" w:rsidRDefault="003E6C61" w:rsidP="003E6C61">
      <w:pPr>
        <w:jc w:val="both"/>
        <w:rPr>
          <w:lang w:val="de-DE"/>
        </w:rPr>
      </w:pPr>
    </w:p>
    <w:p w14:paraId="665BEE27" w14:textId="3F3D1609" w:rsidR="003E6C61" w:rsidRPr="004676F5" w:rsidRDefault="003E6C61" w:rsidP="003E6C61">
      <w:pPr>
        <w:jc w:val="center"/>
        <w:rPr>
          <w:lang w:val="de-DE"/>
        </w:rPr>
      </w:pPr>
      <w:r w:rsidRPr="004676F5">
        <w:rPr>
          <w:i/>
          <w:lang w:val="de-DE"/>
        </w:rPr>
        <w:t>Abschnitt 2 </w:t>
      </w:r>
      <w:r w:rsidR="005B7A5C" w:rsidRPr="004676F5">
        <w:rPr>
          <w:i/>
          <w:lang w:val="de-DE"/>
        </w:rPr>
        <w:t>- </w:t>
      </w:r>
      <w:r w:rsidRPr="004676F5">
        <w:rPr>
          <w:lang w:val="de-DE"/>
        </w:rPr>
        <w:t>Prospekt</w:t>
      </w:r>
    </w:p>
    <w:p w14:paraId="6FCC34D1" w14:textId="77777777" w:rsidR="003E6C61" w:rsidRPr="004676F5" w:rsidRDefault="003E6C61" w:rsidP="003E6C61">
      <w:pPr>
        <w:jc w:val="both"/>
        <w:rPr>
          <w:lang w:val="de-DE"/>
        </w:rPr>
      </w:pPr>
    </w:p>
    <w:p w14:paraId="0813304A" w14:textId="77777777" w:rsidR="003E6C61" w:rsidRPr="004676F5" w:rsidRDefault="003E6C61" w:rsidP="003E6C61">
      <w:pPr>
        <w:jc w:val="both"/>
        <w:rPr>
          <w:lang w:val="de-DE"/>
        </w:rPr>
      </w:pPr>
    </w:p>
    <w:p w14:paraId="63302BD2" w14:textId="371F1867" w:rsidR="003E6C61" w:rsidRPr="004676F5" w:rsidRDefault="00BE0A56" w:rsidP="003E6C61">
      <w:pPr>
        <w:ind w:firstLine="708"/>
        <w:jc w:val="both"/>
        <w:rPr>
          <w:lang w:val="de-DE"/>
        </w:rPr>
      </w:pPr>
      <w:r w:rsidRPr="004676F5">
        <w:rPr>
          <w:b/>
          <w:lang w:val="de-DE"/>
        </w:rPr>
        <w:t>Art. </w:t>
      </w:r>
      <w:r w:rsidR="003E6C61" w:rsidRPr="004676F5">
        <w:rPr>
          <w:b/>
          <w:lang w:val="de-DE"/>
        </w:rPr>
        <w:t>VII.125</w:t>
      </w:r>
      <w:r w:rsidR="003E6C61" w:rsidRPr="004676F5">
        <w:rPr>
          <w:lang w:val="de-DE"/>
        </w:rPr>
        <w:t> </w:t>
      </w:r>
      <w:r w:rsidR="005B7A5C" w:rsidRPr="004676F5">
        <w:rPr>
          <w:lang w:val="de-DE"/>
        </w:rPr>
        <w:t>- </w:t>
      </w:r>
      <w:r w:rsidR="003E6C61" w:rsidRPr="004676F5">
        <w:rPr>
          <w:lang w:val="de-DE"/>
        </w:rPr>
        <w:t xml:space="preserve">Kreditgeber und gegebenenfalls Kreditvermittler stellen jederzeit klare und verständliche allgemeine Informationen über Kreditverträge in Form eines Prospekts, </w:t>
      </w:r>
      <w:r w:rsidR="004A1CBF" w:rsidRPr="004676F5">
        <w:rPr>
          <w:lang w:val="de-DE"/>
        </w:rPr>
        <w:t xml:space="preserve">[auf dauerhaftem Datenträger] </w:t>
      </w:r>
      <w:r w:rsidR="003E6C61" w:rsidRPr="004676F5">
        <w:rPr>
          <w:lang w:val="de-DE"/>
        </w:rPr>
        <w:t>oder in elektronischer Form bereit.</w:t>
      </w:r>
    </w:p>
    <w:p w14:paraId="4A0E062F" w14:textId="77777777" w:rsidR="003E6C61" w:rsidRPr="004676F5" w:rsidRDefault="003E6C61" w:rsidP="003E6C61">
      <w:pPr>
        <w:rPr>
          <w:lang w:val="de-DE"/>
        </w:rPr>
      </w:pPr>
    </w:p>
    <w:p w14:paraId="17100C53" w14:textId="77777777" w:rsidR="003E6C61" w:rsidRPr="004676F5" w:rsidRDefault="003E6C61" w:rsidP="003E6C61">
      <w:pPr>
        <w:ind w:firstLine="708"/>
        <w:jc w:val="both"/>
        <w:rPr>
          <w:lang w:val="de-DE"/>
        </w:rPr>
      </w:pPr>
      <w:r w:rsidRPr="004676F5">
        <w:rPr>
          <w:lang w:val="de-DE"/>
        </w:rPr>
        <w:t>Diese allgemeinen Informationen umfassen zumindest:</w:t>
      </w:r>
    </w:p>
    <w:p w14:paraId="5DB5780F" w14:textId="77777777" w:rsidR="003E6C61" w:rsidRPr="004676F5" w:rsidRDefault="003E6C61" w:rsidP="003E6C61">
      <w:pPr>
        <w:ind w:firstLine="708"/>
        <w:jc w:val="both"/>
        <w:rPr>
          <w:lang w:val="de-DE"/>
        </w:rPr>
      </w:pPr>
    </w:p>
    <w:p w14:paraId="15CBC23A" w14:textId="77777777" w:rsidR="003E6C61" w:rsidRPr="004676F5" w:rsidRDefault="003E6C61" w:rsidP="003E6C61">
      <w:pPr>
        <w:ind w:firstLine="708"/>
        <w:jc w:val="both"/>
        <w:rPr>
          <w:lang w:val="de-DE"/>
        </w:rPr>
      </w:pPr>
      <w:r w:rsidRPr="004676F5">
        <w:rPr>
          <w:lang w:val="de-DE"/>
        </w:rPr>
        <w:t>1. Identität und geografische Anschrift des Urhebers der Informationen,</w:t>
      </w:r>
    </w:p>
    <w:p w14:paraId="44E6D854" w14:textId="77777777" w:rsidR="003E6C61" w:rsidRPr="004676F5" w:rsidRDefault="003E6C61" w:rsidP="003E6C61">
      <w:pPr>
        <w:ind w:firstLine="708"/>
        <w:jc w:val="both"/>
        <w:rPr>
          <w:lang w:val="de-DE"/>
        </w:rPr>
      </w:pPr>
    </w:p>
    <w:p w14:paraId="6705DD43" w14:textId="77777777" w:rsidR="003E6C61" w:rsidRPr="004676F5" w:rsidRDefault="003E6C61" w:rsidP="003E6C61">
      <w:pPr>
        <w:ind w:firstLine="708"/>
        <w:jc w:val="both"/>
        <w:rPr>
          <w:lang w:val="de-DE"/>
        </w:rPr>
      </w:pPr>
      <w:r w:rsidRPr="004676F5">
        <w:rPr>
          <w:lang w:val="de-DE"/>
        </w:rPr>
        <w:t>2. die Zwecke, für die der Kredit verwendet werden kann,</w:t>
      </w:r>
    </w:p>
    <w:p w14:paraId="67064FDE" w14:textId="77777777" w:rsidR="003E6C61" w:rsidRPr="004676F5" w:rsidRDefault="003E6C61" w:rsidP="003E6C61">
      <w:pPr>
        <w:ind w:firstLine="708"/>
        <w:jc w:val="both"/>
        <w:rPr>
          <w:lang w:val="de-DE"/>
        </w:rPr>
      </w:pPr>
    </w:p>
    <w:p w14:paraId="7832F380" w14:textId="77777777" w:rsidR="003E6C61" w:rsidRPr="004676F5" w:rsidRDefault="003E6C61" w:rsidP="003E6C61">
      <w:pPr>
        <w:ind w:firstLine="708"/>
        <w:jc w:val="both"/>
        <w:rPr>
          <w:lang w:val="de-DE"/>
        </w:rPr>
      </w:pPr>
      <w:r w:rsidRPr="004676F5">
        <w:rPr>
          <w:lang w:val="de-DE"/>
        </w:rPr>
        <w:t>3. die Formen von Sicherheiten einschließlich gegebenenfalls der Möglichkeit, dass diese in einem anderen Mitgliedstaat belegen sein dürfen,</w:t>
      </w:r>
    </w:p>
    <w:p w14:paraId="55B47F5E" w14:textId="77777777" w:rsidR="003E6C61" w:rsidRPr="004676F5" w:rsidRDefault="003E6C61" w:rsidP="003E6C61">
      <w:pPr>
        <w:ind w:firstLine="708"/>
        <w:jc w:val="both"/>
        <w:rPr>
          <w:lang w:val="de-DE"/>
        </w:rPr>
      </w:pPr>
    </w:p>
    <w:p w14:paraId="08871B62" w14:textId="77777777" w:rsidR="003E6C61" w:rsidRPr="004676F5" w:rsidRDefault="003E6C61" w:rsidP="003E6C61">
      <w:pPr>
        <w:ind w:firstLine="708"/>
        <w:jc w:val="both"/>
        <w:rPr>
          <w:lang w:val="de-DE"/>
        </w:rPr>
      </w:pPr>
      <w:r w:rsidRPr="004676F5">
        <w:rPr>
          <w:lang w:val="de-DE"/>
        </w:rPr>
        <w:t>4. mögliche Laufzeit der Kreditverträge,</w:t>
      </w:r>
    </w:p>
    <w:p w14:paraId="42323719" w14:textId="77777777" w:rsidR="003E6C61" w:rsidRPr="004676F5" w:rsidRDefault="003E6C61" w:rsidP="003E6C61">
      <w:pPr>
        <w:ind w:firstLine="708"/>
        <w:jc w:val="both"/>
        <w:rPr>
          <w:lang w:val="de-DE"/>
        </w:rPr>
      </w:pPr>
    </w:p>
    <w:p w14:paraId="1B789246" w14:textId="77777777" w:rsidR="003E6C61" w:rsidRPr="004676F5" w:rsidRDefault="003E6C61" w:rsidP="003E6C61">
      <w:pPr>
        <w:ind w:firstLine="708"/>
        <w:jc w:val="both"/>
        <w:rPr>
          <w:lang w:val="de-DE"/>
        </w:rPr>
      </w:pPr>
      <w:r w:rsidRPr="004676F5">
        <w:rPr>
          <w:lang w:val="de-DE"/>
        </w:rPr>
        <w:t>5. Arten von angebotenen Sollzinssätzen mit Angabe, ob es sich um einen festen oder einen variablen Zinssatz oder beide handelt, mit einer kurzen Darstellung der Merkmale eines festen und eines variablen Zinssatzes, einschließlich der sich hieraus ergebenden Konsequenzen für den Verbraucher. Diese Zinssätze und eventuelle Kosten und Vergütungen können dem Prospekt in Form eines separaten Dokuments beigefügt werden, sofern Letzteres datiert ist und diese Beifügung im Prospekt selbst vermerkt ist und ein neues repräsentatives Beispiel angegeben wird,</w:t>
      </w:r>
    </w:p>
    <w:p w14:paraId="7B905940" w14:textId="77777777" w:rsidR="003E6C61" w:rsidRPr="004676F5" w:rsidRDefault="003E6C61" w:rsidP="003E6C61">
      <w:pPr>
        <w:ind w:firstLine="708"/>
        <w:jc w:val="both"/>
        <w:rPr>
          <w:lang w:val="de-DE"/>
        </w:rPr>
      </w:pPr>
    </w:p>
    <w:p w14:paraId="6BBCD393" w14:textId="77777777" w:rsidR="003E6C61" w:rsidRPr="004676F5" w:rsidRDefault="003E6C61" w:rsidP="003E6C61">
      <w:pPr>
        <w:ind w:firstLine="708"/>
        <w:jc w:val="both"/>
        <w:rPr>
          <w:lang w:val="de-DE"/>
        </w:rPr>
      </w:pPr>
      <w:r w:rsidRPr="004676F5">
        <w:rPr>
          <w:lang w:val="de-DE"/>
        </w:rPr>
        <w:lastRenderedPageBreak/>
        <w:t>6. falls Fremdwährungskredite verfügbar sind, eine Angabe der ausländischen Währungen, einschließlich einer Erläuterung der Konsequenzen für den Verbraucher in Fällen, in denen der Kredit auf eine ausländische Währung lautet,</w:t>
      </w:r>
    </w:p>
    <w:p w14:paraId="460D9AD3" w14:textId="77777777" w:rsidR="003E6C61" w:rsidRPr="004676F5" w:rsidRDefault="003E6C61" w:rsidP="003E6C61">
      <w:pPr>
        <w:ind w:firstLine="708"/>
        <w:jc w:val="both"/>
        <w:rPr>
          <w:lang w:val="de-DE"/>
        </w:rPr>
      </w:pPr>
    </w:p>
    <w:p w14:paraId="12F96433" w14:textId="77777777" w:rsidR="003E6C61" w:rsidRPr="004676F5" w:rsidRDefault="003E6C61" w:rsidP="003E6C61">
      <w:pPr>
        <w:ind w:firstLine="708"/>
        <w:jc w:val="both"/>
        <w:rPr>
          <w:lang w:val="de-DE"/>
        </w:rPr>
      </w:pPr>
      <w:r w:rsidRPr="004676F5">
        <w:rPr>
          <w:lang w:val="de-DE"/>
        </w:rPr>
        <w:t>7. ein repräsentatives Beispiel des Gesamtkreditbetrags, der Gesamtkosten des Kredits für den Verbraucher, des vom Verbraucher zu zahlenden Gesamtbetrags und des effektiven Jahreszinses. Der König erlässt Kriterien für die Festlegung dieses Beispiels.</w:t>
      </w:r>
    </w:p>
    <w:p w14:paraId="0485C050" w14:textId="77777777" w:rsidR="003E6C61" w:rsidRPr="004676F5" w:rsidRDefault="003E6C61" w:rsidP="003E6C61">
      <w:pPr>
        <w:ind w:firstLine="708"/>
        <w:jc w:val="both"/>
        <w:rPr>
          <w:lang w:val="de-DE"/>
        </w:rPr>
      </w:pPr>
    </w:p>
    <w:p w14:paraId="1A2F70FE" w14:textId="77777777" w:rsidR="003E6C61" w:rsidRPr="004676F5" w:rsidRDefault="003E6C61" w:rsidP="003E6C61">
      <w:pPr>
        <w:ind w:firstLine="708"/>
        <w:jc w:val="both"/>
        <w:rPr>
          <w:lang w:val="de-DE"/>
        </w:rPr>
      </w:pPr>
      <w:r w:rsidRPr="004676F5">
        <w:rPr>
          <w:lang w:val="de-DE"/>
        </w:rPr>
        <w:t>Der Gesamtkreditbetrag und die Laufzeit basieren auf einem Gesamtkreditbetrag und einer Laufzeit, die je nach Art des Kreditvertrags, der im Prospekt aufgenommen ist, für die Angebote des Kreditgebers beziehungsweise des Kreditvermittlers oder gegebenenfalls für die Finanzierung der vom Verkäufer angebotenen Produkte oder Dienstleistungen repräsentativ ist. Werden mehrere Kreditverträge gleichzeitig angeboten, muss für jede Art Kreditvertrag ein gesondertes repräsentatives Beispiel genannt werden,</w:t>
      </w:r>
    </w:p>
    <w:p w14:paraId="290E6F08" w14:textId="77777777" w:rsidR="003E6C61" w:rsidRPr="004676F5" w:rsidRDefault="003E6C61" w:rsidP="003E6C61">
      <w:pPr>
        <w:ind w:firstLine="708"/>
        <w:jc w:val="both"/>
        <w:rPr>
          <w:lang w:val="de-DE"/>
        </w:rPr>
      </w:pPr>
    </w:p>
    <w:p w14:paraId="29C64692" w14:textId="77777777" w:rsidR="003E6C61" w:rsidRPr="004676F5" w:rsidRDefault="003E6C61" w:rsidP="003E6C61">
      <w:pPr>
        <w:ind w:firstLine="708"/>
        <w:jc w:val="both"/>
        <w:rPr>
          <w:lang w:val="de-DE"/>
        </w:rPr>
      </w:pPr>
      <w:r w:rsidRPr="004676F5">
        <w:rPr>
          <w:lang w:val="de-DE"/>
        </w:rPr>
        <w:t>8. einen Hinweis auf mögliche weitere im Zusammenhang mit einem Kreditvertrag anfallende Kosten, die nicht in den Gesamtkosten des Kredits für den Verbraucher enthalten sind,</w:t>
      </w:r>
    </w:p>
    <w:p w14:paraId="368E1F83" w14:textId="77777777" w:rsidR="003E6C61" w:rsidRPr="004676F5" w:rsidRDefault="003E6C61" w:rsidP="003E6C61">
      <w:pPr>
        <w:ind w:firstLine="708"/>
        <w:jc w:val="both"/>
        <w:rPr>
          <w:lang w:val="de-DE"/>
        </w:rPr>
      </w:pPr>
    </w:p>
    <w:p w14:paraId="055BC194" w14:textId="77777777" w:rsidR="003E6C61" w:rsidRPr="004676F5" w:rsidRDefault="003E6C61" w:rsidP="003E6C61">
      <w:pPr>
        <w:ind w:firstLine="708"/>
        <w:jc w:val="both"/>
        <w:rPr>
          <w:lang w:val="de-DE"/>
        </w:rPr>
      </w:pPr>
      <w:r w:rsidRPr="004676F5">
        <w:rPr>
          <w:lang w:val="de-DE"/>
        </w:rPr>
        <w:t>9. Spektrum der verschiedenen möglichen Optionen zur Rückzahlung des Kredits an den Kreditgeber einschließlich Ratenbeträge und Zahlungstermine,</w:t>
      </w:r>
    </w:p>
    <w:p w14:paraId="2C1E0E34" w14:textId="77777777" w:rsidR="003E6C61" w:rsidRPr="004676F5" w:rsidRDefault="003E6C61" w:rsidP="003E6C61">
      <w:pPr>
        <w:ind w:firstLine="708"/>
        <w:jc w:val="both"/>
        <w:rPr>
          <w:lang w:val="de-DE"/>
        </w:rPr>
      </w:pPr>
    </w:p>
    <w:p w14:paraId="1813A6A7" w14:textId="77777777" w:rsidR="003E6C61" w:rsidRPr="004676F5" w:rsidRDefault="003E6C61" w:rsidP="003E6C61">
      <w:pPr>
        <w:ind w:firstLine="708"/>
        <w:jc w:val="both"/>
        <w:rPr>
          <w:lang w:val="de-DE"/>
        </w:rPr>
      </w:pPr>
      <w:r w:rsidRPr="004676F5">
        <w:rPr>
          <w:lang w:val="de-DE"/>
        </w:rPr>
        <w:t>10. gegebenenfalls einen klaren und prägnanten Hinweis darauf, dass die Einhaltung der Bedingungen des Kreditvertrags die Rückzahlung des aufgrund des Kreditvertrags in Anspruch genommenen Gesamtkreditbetrags nicht garantiert,</w:t>
      </w:r>
    </w:p>
    <w:p w14:paraId="44ED0C44" w14:textId="77777777" w:rsidR="003E6C61" w:rsidRPr="004676F5" w:rsidRDefault="003E6C61" w:rsidP="003E6C61">
      <w:pPr>
        <w:ind w:firstLine="708"/>
        <w:jc w:val="both"/>
        <w:rPr>
          <w:lang w:val="de-DE"/>
        </w:rPr>
      </w:pPr>
    </w:p>
    <w:p w14:paraId="54FC5E00" w14:textId="77777777" w:rsidR="003E6C61" w:rsidRPr="004676F5" w:rsidRDefault="003E6C61" w:rsidP="003E6C61">
      <w:pPr>
        <w:ind w:firstLine="708"/>
        <w:jc w:val="both"/>
        <w:rPr>
          <w:lang w:val="de-DE"/>
        </w:rPr>
      </w:pPr>
      <w:r w:rsidRPr="004676F5">
        <w:rPr>
          <w:lang w:val="de-DE"/>
        </w:rPr>
        <w:t>11. eine Beschreibung der für eine vorzeitige Rückzahlung unmittelbar geltenden Bedingungen,</w:t>
      </w:r>
    </w:p>
    <w:p w14:paraId="70AF02E9" w14:textId="77777777" w:rsidR="003E6C61" w:rsidRPr="004676F5" w:rsidRDefault="003E6C61" w:rsidP="003E6C61">
      <w:pPr>
        <w:ind w:firstLine="708"/>
        <w:jc w:val="both"/>
        <w:rPr>
          <w:lang w:val="de-DE"/>
        </w:rPr>
      </w:pPr>
    </w:p>
    <w:p w14:paraId="050F877B" w14:textId="77777777" w:rsidR="003E6C61" w:rsidRPr="004676F5" w:rsidRDefault="003E6C61" w:rsidP="003E6C61">
      <w:pPr>
        <w:ind w:firstLine="708"/>
        <w:jc w:val="both"/>
        <w:rPr>
          <w:lang w:val="de-DE"/>
        </w:rPr>
      </w:pPr>
      <w:r w:rsidRPr="004676F5">
        <w:rPr>
          <w:lang w:val="de-DE"/>
        </w:rPr>
        <w:t>12. Angabe, ob eine Bewertung des Werts der Immobilie erforderlich ist und, falls ja, wer für die Durchführung der Bewertung verantwortlich ist und welche Kosten dadurch eventuell für den Verbraucher entstehen,</w:t>
      </w:r>
    </w:p>
    <w:p w14:paraId="3FCD1D46" w14:textId="77777777" w:rsidR="003E6C61" w:rsidRPr="004676F5" w:rsidRDefault="003E6C61" w:rsidP="003E6C61">
      <w:pPr>
        <w:ind w:firstLine="708"/>
        <w:jc w:val="both"/>
        <w:rPr>
          <w:lang w:val="de-DE"/>
        </w:rPr>
      </w:pPr>
    </w:p>
    <w:p w14:paraId="3AE8EAFC" w14:textId="77777777" w:rsidR="003E6C61" w:rsidRPr="004676F5" w:rsidRDefault="003E6C61" w:rsidP="003E6C61">
      <w:pPr>
        <w:ind w:firstLine="708"/>
        <w:jc w:val="both"/>
        <w:rPr>
          <w:lang w:val="de-DE"/>
        </w:rPr>
      </w:pPr>
      <w:r w:rsidRPr="004676F5">
        <w:rPr>
          <w:lang w:val="de-DE"/>
        </w:rPr>
        <w:t>13. Angaben zu den Nebenleistungen, die der Verbraucher als Voraussetzung dafür erwerben muss, dass der Kredit überhaupt oder nach den vorgesehenen Vertragsbedingungen gewährt wird, und gegebenenfalls Präzisierung, dass die Nebenleistungen von einem anderen Anbieter als dem Kreditgeber erworben werden können,</w:t>
      </w:r>
    </w:p>
    <w:p w14:paraId="148B963F" w14:textId="77777777" w:rsidR="003E6C61" w:rsidRPr="004676F5" w:rsidRDefault="003E6C61" w:rsidP="003E6C61">
      <w:pPr>
        <w:ind w:firstLine="708"/>
        <w:jc w:val="both"/>
        <w:rPr>
          <w:lang w:val="de-DE"/>
        </w:rPr>
      </w:pPr>
    </w:p>
    <w:p w14:paraId="4A0FBA6A" w14:textId="77777777" w:rsidR="003E6C61" w:rsidRPr="004676F5" w:rsidRDefault="003E6C61" w:rsidP="003E6C61">
      <w:pPr>
        <w:ind w:firstLine="708"/>
        <w:jc w:val="both"/>
        <w:rPr>
          <w:lang w:val="de-DE"/>
        </w:rPr>
      </w:pPr>
      <w:r w:rsidRPr="004676F5">
        <w:rPr>
          <w:lang w:val="de-DE"/>
        </w:rPr>
        <w:t>14. einen allgemeinen Warnhinweis über mögliche Konsequenzen der Nichteinhaltung der mit dem Kreditvertrag eingegangenen Verpflichtungen.</w:t>
      </w:r>
    </w:p>
    <w:p w14:paraId="586F51F1" w14:textId="77777777" w:rsidR="003E6C61" w:rsidRPr="004676F5" w:rsidRDefault="003E6C61" w:rsidP="003E6C61">
      <w:pPr>
        <w:ind w:firstLine="708"/>
        <w:jc w:val="both"/>
        <w:rPr>
          <w:lang w:val="de-DE"/>
        </w:rPr>
      </w:pPr>
    </w:p>
    <w:p w14:paraId="41A777CC" w14:textId="77777777" w:rsidR="003E6C61" w:rsidRPr="004676F5" w:rsidRDefault="003E6C61" w:rsidP="003E6C61">
      <w:pPr>
        <w:ind w:firstLine="708"/>
        <w:jc w:val="both"/>
        <w:rPr>
          <w:lang w:val="de-DE"/>
        </w:rPr>
      </w:pPr>
      <w:r w:rsidRPr="004676F5">
        <w:rPr>
          <w:lang w:val="de-DE"/>
        </w:rPr>
        <w:t>Darüber hinaus umfassen die allgemeinen Informationen:</w:t>
      </w:r>
    </w:p>
    <w:p w14:paraId="50ABA081" w14:textId="77777777" w:rsidR="003E6C61" w:rsidRPr="004676F5" w:rsidRDefault="003E6C61" w:rsidP="003E6C61">
      <w:pPr>
        <w:ind w:firstLine="708"/>
        <w:jc w:val="both"/>
        <w:rPr>
          <w:lang w:val="de-DE"/>
        </w:rPr>
      </w:pPr>
    </w:p>
    <w:p w14:paraId="63395512" w14:textId="77777777" w:rsidR="003E6C61" w:rsidRPr="004676F5" w:rsidRDefault="003E6C61" w:rsidP="003E6C61">
      <w:pPr>
        <w:ind w:firstLine="708"/>
        <w:jc w:val="both"/>
        <w:rPr>
          <w:lang w:val="de-DE"/>
        </w:rPr>
      </w:pPr>
      <w:r w:rsidRPr="004676F5">
        <w:rPr>
          <w:lang w:val="de-DE"/>
        </w:rPr>
        <w:t>1. eine Beschreibung der Kreditarten, die vom Kreditgeber gewährt werden oder für die der Kreditvermittler in Erscheinung tritt,</w:t>
      </w:r>
    </w:p>
    <w:p w14:paraId="29817612" w14:textId="77777777" w:rsidR="003E6C61" w:rsidRPr="004676F5" w:rsidRDefault="003E6C61" w:rsidP="003E6C61">
      <w:pPr>
        <w:ind w:firstLine="708"/>
        <w:jc w:val="both"/>
        <w:rPr>
          <w:lang w:val="de-DE"/>
        </w:rPr>
      </w:pPr>
    </w:p>
    <w:p w14:paraId="669B64E8" w14:textId="77777777" w:rsidR="003E6C61" w:rsidRPr="004676F5" w:rsidRDefault="003E6C61" w:rsidP="003E6C61">
      <w:pPr>
        <w:ind w:firstLine="708"/>
        <w:jc w:val="both"/>
        <w:rPr>
          <w:lang w:val="de-DE"/>
        </w:rPr>
      </w:pPr>
      <w:r w:rsidRPr="004676F5">
        <w:rPr>
          <w:lang w:val="de-DE"/>
        </w:rPr>
        <w:t>2. Höhe der Kosten und Vergütungen,</w:t>
      </w:r>
    </w:p>
    <w:p w14:paraId="727B0659" w14:textId="77777777" w:rsidR="003E6C61" w:rsidRPr="004676F5" w:rsidRDefault="003E6C61" w:rsidP="003E6C61">
      <w:pPr>
        <w:ind w:firstLine="708"/>
        <w:jc w:val="both"/>
        <w:rPr>
          <w:lang w:val="de-DE"/>
        </w:rPr>
      </w:pPr>
    </w:p>
    <w:p w14:paraId="74AF7E03" w14:textId="77777777" w:rsidR="003E6C61" w:rsidRPr="004676F5" w:rsidRDefault="003E6C61" w:rsidP="003E6C61">
      <w:pPr>
        <w:ind w:firstLine="708"/>
        <w:jc w:val="both"/>
        <w:rPr>
          <w:lang w:val="de-DE"/>
        </w:rPr>
      </w:pPr>
      <w:r w:rsidRPr="004676F5">
        <w:rPr>
          <w:lang w:val="de-DE"/>
        </w:rPr>
        <w:t>3. Art der Verträge, deren Beifügung der Kreditgeber und gegebenenfalls der Kredit</w:t>
      </w:r>
      <w:r w:rsidRPr="004676F5">
        <w:rPr>
          <w:lang w:val="de-DE"/>
        </w:rPr>
        <w:softHyphen/>
        <w:t>vermittler verlangt,</w:t>
      </w:r>
    </w:p>
    <w:p w14:paraId="0B8238B2" w14:textId="77777777" w:rsidR="003E6C61" w:rsidRPr="004676F5" w:rsidRDefault="003E6C61" w:rsidP="003E6C61">
      <w:pPr>
        <w:ind w:firstLine="708"/>
        <w:jc w:val="both"/>
        <w:rPr>
          <w:lang w:val="de-DE"/>
        </w:rPr>
      </w:pPr>
    </w:p>
    <w:p w14:paraId="1DC5C508" w14:textId="77777777" w:rsidR="003E6C61" w:rsidRPr="004676F5" w:rsidRDefault="003E6C61" w:rsidP="003E6C61">
      <w:pPr>
        <w:ind w:firstLine="708"/>
        <w:jc w:val="both"/>
        <w:rPr>
          <w:lang w:val="de-DE"/>
        </w:rPr>
      </w:pPr>
      <w:r w:rsidRPr="004676F5">
        <w:rPr>
          <w:lang w:val="de-DE"/>
        </w:rPr>
        <w:t>4. Datum, ab dem der Prospekt gilt,</w:t>
      </w:r>
    </w:p>
    <w:p w14:paraId="47247881" w14:textId="77777777" w:rsidR="003E6C61" w:rsidRPr="004676F5" w:rsidRDefault="003E6C61" w:rsidP="003E6C61">
      <w:pPr>
        <w:ind w:firstLine="708"/>
        <w:jc w:val="both"/>
        <w:rPr>
          <w:lang w:val="de-DE"/>
        </w:rPr>
      </w:pPr>
    </w:p>
    <w:p w14:paraId="5D2FDA55" w14:textId="77777777" w:rsidR="003E6C61" w:rsidRPr="004676F5" w:rsidRDefault="003E6C61" w:rsidP="003E6C61">
      <w:pPr>
        <w:ind w:firstLine="708"/>
        <w:jc w:val="both"/>
        <w:rPr>
          <w:lang w:val="de-DE"/>
        </w:rPr>
      </w:pPr>
      <w:r w:rsidRPr="004676F5">
        <w:rPr>
          <w:lang w:val="de-DE"/>
        </w:rPr>
        <w:t>5. Angabe der anwendbaren Zinssätze, nämlich:</w:t>
      </w:r>
    </w:p>
    <w:p w14:paraId="0FD7D72F" w14:textId="77777777" w:rsidR="003E6C61" w:rsidRPr="004676F5" w:rsidRDefault="003E6C61" w:rsidP="003E6C61">
      <w:pPr>
        <w:ind w:firstLine="708"/>
        <w:jc w:val="both"/>
        <w:rPr>
          <w:lang w:val="de-DE"/>
        </w:rPr>
      </w:pPr>
    </w:p>
    <w:p w14:paraId="6666D38E" w14:textId="77777777" w:rsidR="003E6C61" w:rsidRPr="004676F5" w:rsidRDefault="003E6C61" w:rsidP="003E6C61">
      <w:pPr>
        <w:ind w:firstLine="708"/>
        <w:jc w:val="both"/>
        <w:rPr>
          <w:lang w:val="de-DE"/>
        </w:rPr>
      </w:pPr>
      <w:r w:rsidRPr="004676F5">
        <w:rPr>
          <w:i/>
          <w:lang w:val="de-DE"/>
        </w:rPr>
        <w:t>a)</w:t>
      </w:r>
      <w:r w:rsidRPr="004676F5">
        <w:rPr>
          <w:lang w:val="de-DE"/>
        </w:rPr>
        <w:t xml:space="preserve"> Angabe der periodischen Zinssätze,</w:t>
      </w:r>
    </w:p>
    <w:p w14:paraId="11CED23E" w14:textId="77777777" w:rsidR="003E6C61" w:rsidRPr="004676F5" w:rsidRDefault="003E6C61" w:rsidP="003E6C61">
      <w:pPr>
        <w:ind w:firstLine="708"/>
        <w:jc w:val="both"/>
        <w:rPr>
          <w:lang w:val="de-DE"/>
        </w:rPr>
      </w:pPr>
    </w:p>
    <w:p w14:paraId="46645E54" w14:textId="77777777" w:rsidR="003E6C61" w:rsidRPr="004676F5" w:rsidRDefault="003E6C61" w:rsidP="003E6C61">
      <w:pPr>
        <w:ind w:firstLine="708"/>
        <w:jc w:val="both"/>
        <w:rPr>
          <w:lang w:val="de-DE"/>
        </w:rPr>
      </w:pPr>
      <w:r w:rsidRPr="004676F5">
        <w:rPr>
          <w:i/>
          <w:lang w:val="de-DE"/>
        </w:rPr>
        <w:t>b)</w:t>
      </w:r>
      <w:r w:rsidRPr="004676F5">
        <w:rPr>
          <w:lang w:val="de-DE"/>
        </w:rPr>
        <w:t xml:space="preserve"> der entsprechenden Sollzinssätze,</w:t>
      </w:r>
    </w:p>
    <w:p w14:paraId="13839323" w14:textId="77777777" w:rsidR="003E6C61" w:rsidRPr="004676F5" w:rsidRDefault="003E6C61" w:rsidP="003E6C61">
      <w:pPr>
        <w:ind w:firstLine="708"/>
        <w:jc w:val="both"/>
        <w:rPr>
          <w:lang w:val="de-DE"/>
        </w:rPr>
      </w:pPr>
    </w:p>
    <w:p w14:paraId="39B0584B" w14:textId="77777777" w:rsidR="003E6C61" w:rsidRPr="004676F5" w:rsidRDefault="003E6C61" w:rsidP="003E6C61">
      <w:pPr>
        <w:ind w:firstLine="708"/>
        <w:jc w:val="both"/>
        <w:rPr>
          <w:lang w:val="de-DE"/>
        </w:rPr>
      </w:pPr>
      <w:r w:rsidRPr="004676F5">
        <w:rPr>
          <w:i/>
          <w:lang w:val="de-DE"/>
        </w:rPr>
        <w:t>c)</w:t>
      </w:r>
      <w:r w:rsidRPr="004676F5">
        <w:rPr>
          <w:lang w:val="de-DE"/>
        </w:rPr>
        <w:t xml:space="preserve"> Zinssatzsenkungen oder -erhöhungen, die der Kreditgeber generell und gewöhnlich gewährt oder auferlegt,</w:t>
      </w:r>
    </w:p>
    <w:p w14:paraId="3D380006" w14:textId="77777777" w:rsidR="003E6C61" w:rsidRPr="004676F5" w:rsidRDefault="003E6C61" w:rsidP="003E6C61">
      <w:pPr>
        <w:ind w:firstLine="708"/>
        <w:jc w:val="both"/>
        <w:rPr>
          <w:lang w:val="de-DE"/>
        </w:rPr>
      </w:pPr>
    </w:p>
    <w:p w14:paraId="2865CAA9" w14:textId="77777777" w:rsidR="003E6C61" w:rsidRPr="004676F5" w:rsidRDefault="003E6C61" w:rsidP="003E6C61">
      <w:pPr>
        <w:ind w:firstLine="708"/>
        <w:jc w:val="both"/>
        <w:rPr>
          <w:lang w:val="de-DE"/>
        </w:rPr>
      </w:pPr>
      <w:r w:rsidRPr="004676F5">
        <w:rPr>
          <w:i/>
          <w:lang w:val="de-DE"/>
        </w:rPr>
        <w:t>d)</w:t>
      </w:r>
      <w:r w:rsidRPr="004676F5">
        <w:rPr>
          <w:lang w:val="de-DE"/>
        </w:rPr>
        <w:t xml:space="preserve"> Bedingungen für die Gewährung beziehungsweise Auferlegung der vorerwähnten Senkungen und Erhöhungen,</w:t>
      </w:r>
    </w:p>
    <w:p w14:paraId="641C7F1F" w14:textId="77777777" w:rsidR="003E6C61" w:rsidRPr="004676F5" w:rsidRDefault="003E6C61" w:rsidP="003E6C61">
      <w:pPr>
        <w:ind w:firstLine="708"/>
        <w:jc w:val="both"/>
        <w:rPr>
          <w:lang w:val="de-DE"/>
        </w:rPr>
      </w:pPr>
    </w:p>
    <w:p w14:paraId="3445BE46" w14:textId="77777777" w:rsidR="003E6C61" w:rsidRPr="004676F5" w:rsidRDefault="003E6C61" w:rsidP="003E6C61">
      <w:pPr>
        <w:ind w:firstLine="708"/>
        <w:jc w:val="both"/>
        <w:rPr>
          <w:lang w:val="de-DE"/>
        </w:rPr>
      </w:pPr>
      <w:r w:rsidRPr="004676F5">
        <w:rPr>
          <w:i/>
          <w:lang w:val="de-DE"/>
        </w:rPr>
        <w:t>e)</w:t>
      </w:r>
      <w:r w:rsidRPr="004676F5">
        <w:rPr>
          <w:lang w:val="de-DE"/>
        </w:rPr>
        <w:t> in Anwendung von Artikel VII.143 verwendete Referenzindexe,</w:t>
      </w:r>
    </w:p>
    <w:p w14:paraId="72A1607D" w14:textId="77777777" w:rsidR="003E6C61" w:rsidRPr="004676F5" w:rsidRDefault="003E6C61" w:rsidP="003E6C61">
      <w:pPr>
        <w:ind w:firstLine="708"/>
        <w:jc w:val="both"/>
        <w:rPr>
          <w:lang w:val="de-DE"/>
        </w:rPr>
      </w:pPr>
    </w:p>
    <w:p w14:paraId="33FF8C2E" w14:textId="77777777" w:rsidR="003E6C61" w:rsidRPr="004676F5" w:rsidRDefault="003E6C61" w:rsidP="003E6C61">
      <w:pPr>
        <w:ind w:firstLine="708"/>
        <w:jc w:val="both"/>
        <w:rPr>
          <w:lang w:val="de-DE"/>
        </w:rPr>
      </w:pPr>
      <w:r w:rsidRPr="004676F5">
        <w:rPr>
          <w:lang w:val="de-DE"/>
        </w:rPr>
        <w:t>6. Identität und Adresse des Verantwortlichen für die Verarbeitung der Dateien, die abgefragt werden.</w:t>
      </w:r>
    </w:p>
    <w:p w14:paraId="6DB1826C" w14:textId="77777777" w:rsidR="003E6C61" w:rsidRPr="004676F5" w:rsidRDefault="003E6C61" w:rsidP="003E6C61">
      <w:pPr>
        <w:ind w:firstLine="708"/>
        <w:jc w:val="both"/>
        <w:rPr>
          <w:lang w:val="de-DE"/>
        </w:rPr>
      </w:pPr>
    </w:p>
    <w:p w14:paraId="4DE54E89" w14:textId="77777777" w:rsidR="003E6C61" w:rsidRPr="004676F5" w:rsidRDefault="003E6C61" w:rsidP="003E6C61">
      <w:pPr>
        <w:ind w:firstLine="708"/>
        <w:jc w:val="both"/>
        <w:rPr>
          <w:lang w:val="de-DE"/>
        </w:rPr>
      </w:pPr>
      <w:r w:rsidRPr="004676F5">
        <w:rPr>
          <w:lang w:val="de-DE"/>
        </w:rPr>
        <w:t>Die Parteien können vom Prospekt abweichende Senkungen oder Erhöhungen verein</w:t>
      </w:r>
      <w:r w:rsidRPr="004676F5">
        <w:rPr>
          <w:lang w:val="de-DE"/>
        </w:rPr>
        <w:softHyphen/>
        <w:t>baren, wenn diese vorteilhafter für den Verbraucher sind oder auf seine Initiative hin ausgehandelt werden.</w:t>
      </w:r>
    </w:p>
    <w:p w14:paraId="7102CDC9" w14:textId="77777777" w:rsidR="003E6C61" w:rsidRPr="004676F5" w:rsidRDefault="003E6C61" w:rsidP="003E6C61">
      <w:pPr>
        <w:ind w:firstLine="708"/>
        <w:jc w:val="both"/>
        <w:rPr>
          <w:lang w:val="de-DE"/>
        </w:rPr>
      </w:pPr>
    </w:p>
    <w:p w14:paraId="139D8711" w14:textId="77777777" w:rsidR="003E6C61" w:rsidRPr="004676F5" w:rsidRDefault="003E6C61" w:rsidP="003E6C61">
      <w:pPr>
        <w:ind w:firstLine="708"/>
        <w:jc w:val="both"/>
        <w:rPr>
          <w:lang w:val="de-DE"/>
        </w:rPr>
      </w:pPr>
      <w:r w:rsidRPr="004676F5">
        <w:rPr>
          <w:lang w:val="de-DE"/>
        </w:rPr>
        <w:t>Der König kann die Liste der im Rahmen des Prospekts zu erteilenden Informationen erweitern.</w:t>
      </w:r>
    </w:p>
    <w:p w14:paraId="440BBAE4" w14:textId="77777777" w:rsidR="00324620" w:rsidRPr="004676F5" w:rsidRDefault="00324620" w:rsidP="003E6C61">
      <w:pPr>
        <w:ind w:firstLine="708"/>
        <w:jc w:val="both"/>
        <w:rPr>
          <w:lang w:val="de-DE"/>
        </w:rPr>
      </w:pPr>
    </w:p>
    <w:p w14:paraId="10CF0866" w14:textId="6C6D0499" w:rsidR="00324620" w:rsidRPr="004676F5" w:rsidRDefault="00324620" w:rsidP="00324620">
      <w:pPr>
        <w:jc w:val="both"/>
        <w:rPr>
          <w:i/>
          <w:iCs/>
          <w:lang w:val="de-DE"/>
        </w:rPr>
      </w:pPr>
      <w:r w:rsidRPr="004676F5">
        <w:rPr>
          <w:i/>
          <w:iCs/>
          <w:lang w:val="de-DE"/>
        </w:rPr>
        <w:t>[Art. VII.125 Abs. 1 abgeändert durch Art. 12 des G. vom 20. September 2018 (B.S. vom 10. Oktober 2018)]</w:t>
      </w:r>
    </w:p>
    <w:p w14:paraId="51377158" w14:textId="77777777" w:rsidR="00324620" w:rsidRPr="004676F5" w:rsidRDefault="00324620" w:rsidP="003E6C61">
      <w:pPr>
        <w:ind w:firstLine="708"/>
        <w:jc w:val="both"/>
        <w:rPr>
          <w:lang w:val="de-DE"/>
        </w:rPr>
      </w:pPr>
    </w:p>
    <w:p w14:paraId="20832D69" w14:textId="77777777" w:rsidR="003E6C61" w:rsidRPr="004676F5" w:rsidRDefault="003E6C61" w:rsidP="003E6C61">
      <w:pPr>
        <w:rPr>
          <w:lang w:val="de-DE"/>
        </w:rPr>
      </w:pPr>
    </w:p>
    <w:p w14:paraId="6371D20F" w14:textId="49864778" w:rsidR="003E6C61" w:rsidRPr="004676F5" w:rsidRDefault="003E6C61" w:rsidP="003E6C61">
      <w:pPr>
        <w:jc w:val="center"/>
        <w:rPr>
          <w:lang w:val="de-DE"/>
        </w:rPr>
      </w:pPr>
      <w:r w:rsidRPr="004676F5">
        <w:rPr>
          <w:i/>
          <w:lang w:val="de-DE"/>
        </w:rPr>
        <w:t>Abschnitt 3 </w:t>
      </w:r>
      <w:r w:rsidR="005B7A5C" w:rsidRPr="004676F5">
        <w:rPr>
          <w:lang w:val="de-DE"/>
        </w:rPr>
        <w:t>- </w:t>
      </w:r>
      <w:r w:rsidRPr="004676F5">
        <w:rPr>
          <w:lang w:val="de-DE"/>
        </w:rPr>
        <w:t>Zustandekommen des Kreditvertrags</w:t>
      </w:r>
    </w:p>
    <w:p w14:paraId="20947D24" w14:textId="77777777" w:rsidR="003E6C61" w:rsidRPr="004676F5" w:rsidRDefault="003E6C61" w:rsidP="003E6C61">
      <w:pPr>
        <w:jc w:val="center"/>
        <w:rPr>
          <w:lang w:val="de-DE"/>
        </w:rPr>
      </w:pPr>
    </w:p>
    <w:p w14:paraId="7B9192EF" w14:textId="77777777" w:rsidR="003E6C61" w:rsidRPr="004676F5" w:rsidRDefault="003E6C61" w:rsidP="003E6C61">
      <w:pPr>
        <w:jc w:val="center"/>
        <w:rPr>
          <w:lang w:val="de-DE"/>
        </w:rPr>
      </w:pPr>
    </w:p>
    <w:p w14:paraId="1ABED842" w14:textId="6068613E" w:rsidR="003E6C61" w:rsidRPr="004676F5" w:rsidRDefault="003E6C61" w:rsidP="003E6C61">
      <w:pPr>
        <w:jc w:val="center"/>
        <w:rPr>
          <w:lang w:val="de-DE"/>
        </w:rPr>
      </w:pPr>
      <w:r w:rsidRPr="004676F5">
        <w:rPr>
          <w:lang w:val="de-DE"/>
        </w:rPr>
        <w:t>Unterabschnitt 1 </w:t>
      </w:r>
      <w:r w:rsidR="005B7A5C" w:rsidRPr="004676F5">
        <w:rPr>
          <w:lang w:val="de-DE"/>
        </w:rPr>
        <w:t>- </w:t>
      </w:r>
      <w:r w:rsidRPr="004676F5">
        <w:rPr>
          <w:lang w:val="de-DE"/>
        </w:rPr>
        <w:t>Vom Kreditgeber beziehungsweise Kreditvermittler einzuholende Auskünfte</w:t>
      </w:r>
    </w:p>
    <w:p w14:paraId="267B1227" w14:textId="77777777" w:rsidR="003E6C61" w:rsidRPr="004676F5" w:rsidRDefault="003E6C61" w:rsidP="003E6C61">
      <w:pPr>
        <w:jc w:val="both"/>
        <w:rPr>
          <w:lang w:val="de-DE"/>
        </w:rPr>
      </w:pPr>
    </w:p>
    <w:p w14:paraId="5A742228" w14:textId="77777777" w:rsidR="003E6C61" w:rsidRPr="004676F5" w:rsidRDefault="003E6C61" w:rsidP="003E6C61">
      <w:pPr>
        <w:jc w:val="both"/>
        <w:rPr>
          <w:lang w:val="de-DE"/>
        </w:rPr>
      </w:pPr>
    </w:p>
    <w:p w14:paraId="344F3704" w14:textId="0ACFE534" w:rsidR="003E6C61" w:rsidRPr="004676F5" w:rsidRDefault="00BE0A56" w:rsidP="003E6C61">
      <w:pPr>
        <w:ind w:firstLine="708"/>
        <w:jc w:val="both"/>
        <w:rPr>
          <w:lang w:val="de-DE"/>
        </w:rPr>
      </w:pPr>
      <w:r w:rsidRPr="004676F5">
        <w:rPr>
          <w:b/>
          <w:lang w:val="de-DE"/>
        </w:rPr>
        <w:t>Art. </w:t>
      </w:r>
      <w:r w:rsidR="003E6C61" w:rsidRPr="004676F5">
        <w:rPr>
          <w:b/>
          <w:lang w:val="de-DE"/>
        </w:rPr>
        <w:t>VII.126</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Im Rahmen der Kreditwürdigkeitsprüfung sind Kreditgeber und Kreditvermittler verpflichtet, bei dem einen Kreditvertrag beantragenden Verbraucher und gegebenenfalls der Person, die eine persönliche Sicherheit leistet, die genauen und vollständigen Auskünfte anzufragen, die sie für notwendig erachten, um deren Finanzlage und Rückzahlungsmöglichkeiten zu beurteilen. Der Verbraucher und die Person, die eine persönliche Sicherheit leistet, sind verpflichtet, genau und vollständig auf die Anfrage zu antworten.</w:t>
      </w:r>
    </w:p>
    <w:p w14:paraId="5DFE702A" w14:textId="77777777" w:rsidR="003E6C61" w:rsidRPr="004676F5" w:rsidRDefault="003E6C61" w:rsidP="003E6C61">
      <w:pPr>
        <w:ind w:firstLine="708"/>
        <w:jc w:val="both"/>
        <w:rPr>
          <w:lang w:val="de-DE"/>
        </w:rPr>
      </w:pPr>
    </w:p>
    <w:p w14:paraId="0521E1B0" w14:textId="77777777" w:rsidR="003E6C61" w:rsidRPr="004676F5" w:rsidRDefault="003E6C61" w:rsidP="003E6C61">
      <w:pPr>
        <w:ind w:firstLine="708"/>
        <w:jc w:val="both"/>
        <w:rPr>
          <w:lang w:val="de-DE"/>
        </w:rPr>
      </w:pPr>
      <w:r w:rsidRPr="004676F5">
        <w:rPr>
          <w:lang w:val="de-DE"/>
        </w:rPr>
        <w:t>Dieses Auskunftsersuchen muss verhältnismäßig und auf die Auskünfte beschränkt sein, die erforderlich sind, um eine ordnungsgemäße Kreditwürdigkeitsprüfung durchzuführen. Kreditgeber können um Klärung der als Antwort auf dieses Auskunftsersuchen erhaltenen Informationen nachzusuchen, wo dies erforderlich ist, um eine Kreditwürdigkeitsprüfung zu ermöglichen.</w:t>
      </w:r>
    </w:p>
    <w:p w14:paraId="7FDBDC06" w14:textId="77777777" w:rsidR="003E6C61" w:rsidRPr="004676F5" w:rsidRDefault="003E6C61" w:rsidP="003E6C61">
      <w:pPr>
        <w:ind w:firstLine="708"/>
        <w:jc w:val="both"/>
        <w:rPr>
          <w:lang w:val="de-DE"/>
        </w:rPr>
      </w:pPr>
    </w:p>
    <w:p w14:paraId="3094D023" w14:textId="77777777" w:rsidR="003E6C61" w:rsidRPr="004676F5" w:rsidRDefault="003E6C61" w:rsidP="003E6C61">
      <w:pPr>
        <w:ind w:firstLine="708"/>
        <w:jc w:val="both"/>
        <w:rPr>
          <w:lang w:val="de-DE"/>
        </w:rPr>
      </w:pPr>
      <w:r w:rsidRPr="004676F5">
        <w:rPr>
          <w:lang w:val="de-DE"/>
        </w:rPr>
        <w:t xml:space="preserve">Der Kreditgeber oder der Kreditvermittler warnt den Verbraucher, dass der Kredit nicht gewährt werden kann, wenn der Kreditgeber nicht imstande ist, eine Kreditwürdigkeitsprüfung </w:t>
      </w:r>
      <w:r w:rsidRPr="004676F5">
        <w:rPr>
          <w:lang w:val="de-DE"/>
        </w:rPr>
        <w:lastRenderedPageBreak/>
        <w:t>vorzunehmen, weil sich der Verbraucher weigert, die für die Kreditwürdigkeitsprüfung erforderlichen Informationen oder Nachweise vorzulegen. Diese Warnung kann in standar</w:t>
      </w:r>
      <w:r w:rsidRPr="004676F5">
        <w:rPr>
          <w:lang w:val="de-DE"/>
        </w:rPr>
        <w:softHyphen/>
        <w:t>disierter Form erfolgen.</w:t>
      </w:r>
    </w:p>
    <w:p w14:paraId="58018F3A" w14:textId="77777777" w:rsidR="003E6C61" w:rsidRPr="004676F5" w:rsidRDefault="003E6C61" w:rsidP="003E6C61">
      <w:pPr>
        <w:ind w:firstLine="708"/>
        <w:jc w:val="both"/>
        <w:rPr>
          <w:lang w:val="de-DE"/>
        </w:rPr>
      </w:pPr>
    </w:p>
    <w:p w14:paraId="4EE08CF8" w14:textId="77777777" w:rsidR="003E6C61" w:rsidRPr="004676F5" w:rsidRDefault="003E6C61" w:rsidP="003E6C61">
      <w:pPr>
        <w:ind w:firstLine="708"/>
        <w:jc w:val="both"/>
        <w:rPr>
          <w:lang w:val="de-DE"/>
        </w:rPr>
      </w:pPr>
      <w:r w:rsidRPr="004676F5">
        <w:rPr>
          <w:lang w:val="de-DE"/>
        </w:rPr>
        <w:t>In keinem Fall dürfen angefragte Auskünfte Rasse, ethnische Herkunft, Sexualleben, Gesundheit, politische, philosophische oder religiöse Anschauungen beziehungsweise Aktivi</w:t>
      </w:r>
      <w:r w:rsidRPr="004676F5">
        <w:rPr>
          <w:lang w:val="de-DE"/>
        </w:rPr>
        <w:softHyphen/>
        <w:t>täten oder Mitgliedschaft bei einer Gewerkschaft oder Krankenkasse betreffen.</w:t>
      </w:r>
    </w:p>
    <w:p w14:paraId="178CEB53" w14:textId="77777777" w:rsidR="003E6C61" w:rsidRPr="004676F5" w:rsidRDefault="003E6C61" w:rsidP="003E6C61">
      <w:pPr>
        <w:ind w:firstLine="708"/>
        <w:jc w:val="both"/>
        <w:rPr>
          <w:lang w:val="de-DE"/>
        </w:rPr>
      </w:pPr>
    </w:p>
    <w:p w14:paraId="142C91D7" w14:textId="5210895C"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Der Kreditgeber beziehungsweise gegebenenfalls der Kreditvermittler legt dem Verbraucher beziehungsweise der Person, die eine persönliche Sicherheit leistet, ein Kreditbeantragungsformular beziehungsweise ein Formular zur Auskunftsanfrage vor in der Form eines Fragebogens, in dem alle Auskünfte dargelegt werden, die der Kreditgeber und/oder Kreditvermittler gemäß § 1 Absatz 1 einholen muss. Zum Nachweis der Erfüllung der Verpflichtungen aus vorliegendem Artikel muss der Kreditgeber dieses Formular bis zur vollständigen Rückzahlung des aufgenommenen Kredits aufbewahren. Auskünfte, die vom Verbraucher oder der Person, die eine persönliche Sicherheit leistet, erteilt werden, dürfen nur den in Artikel VII.119 § 1 erwähnten Personen mitgeteilt und von diesen Personen und gegebenenfalls vom Kreditvermittler verarbeitet werden.</w:t>
      </w:r>
    </w:p>
    <w:p w14:paraId="0CE3B1E9" w14:textId="77777777" w:rsidR="003E6C61" w:rsidRPr="004676F5" w:rsidRDefault="003E6C61" w:rsidP="003E6C61">
      <w:pPr>
        <w:ind w:firstLine="708"/>
        <w:jc w:val="both"/>
        <w:rPr>
          <w:lang w:val="de-DE"/>
        </w:rPr>
      </w:pPr>
    </w:p>
    <w:p w14:paraId="162CF217" w14:textId="77777777" w:rsidR="003E6C61" w:rsidRPr="004676F5" w:rsidRDefault="003E6C61" w:rsidP="003E6C61">
      <w:pPr>
        <w:ind w:firstLine="708"/>
        <w:jc w:val="both"/>
        <w:rPr>
          <w:lang w:val="de-DE"/>
        </w:rPr>
      </w:pPr>
      <w:r w:rsidRPr="004676F5">
        <w:rPr>
          <w:lang w:val="de-DE"/>
        </w:rPr>
        <w:t>Der Kreditgeber beziehungsweise gegebenenfalls der Kreditvermittler macht in der vorvertraglichen Phase klare und einfache Angaben dazu, welche erforderlichen Informationen und unabhängig nachprüfbaren Nachweise der Verbraucher beizubringen hat, und gibt den Zeitrahmen an, innerhalb dessen der Verbraucher die Informationen zu liefern hat.</w:t>
      </w:r>
    </w:p>
    <w:p w14:paraId="555029E8" w14:textId="77777777" w:rsidR="003E6C61" w:rsidRPr="004676F5" w:rsidRDefault="003E6C61" w:rsidP="003E6C61">
      <w:pPr>
        <w:ind w:firstLine="708"/>
        <w:jc w:val="both"/>
        <w:rPr>
          <w:lang w:val="de-DE"/>
        </w:rPr>
      </w:pPr>
    </w:p>
    <w:p w14:paraId="7F64830B" w14:textId="77777777" w:rsidR="003E6C61" w:rsidRPr="004676F5" w:rsidRDefault="003E6C61" w:rsidP="003E6C61">
      <w:pPr>
        <w:ind w:firstLine="708"/>
        <w:jc w:val="both"/>
        <w:rPr>
          <w:lang w:val="de-DE"/>
        </w:rPr>
      </w:pPr>
      <w:r w:rsidRPr="004676F5">
        <w:rPr>
          <w:lang w:val="de-DE"/>
        </w:rPr>
        <w:t>Der Fragebogen bezieht sich zumindest auf Zweck des Kredits, Einkünfte, Personen zu Lasten und laufende finanzielle Verpflichtungen, unter anderem Anzahl und offenstehenden Betrag der laufenden Kredite. Der König kann diese Liste ergänzen, wenn der Kreditbetrag 3.000 EUR überschreitet.</w:t>
      </w:r>
    </w:p>
    <w:p w14:paraId="4E042E10" w14:textId="77777777" w:rsidR="003E6C61" w:rsidRPr="004676F5" w:rsidRDefault="003E6C61" w:rsidP="003E6C61">
      <w:pPr>
        <w:ind w:firstLine="708"/>
        <w:jc w:val="both"/>
        <w:rPr>
          <w:lang w:val="de-DE"/>
        </w:rPr>
      </w:pPr>
    </w:p>
    <w:p w14:paraId="1167F967" w14:textId="77777777" w:rsidR="003E6C61" w:rsidRPr="004676F5" w:rsidRDefault="003E6C61" w:rsidP="003E6C61">
      <w:pPr>
        <w:ind w:firstLine="708"/>
        <w:jc w:val="both"/>
        <w:rPr>
          <w:lang w:val="de-DE"/>
        </w:rPr>
      </w:pPr>
      <w:r w:rsidRPr="004676F5">
        <w:rPr>
          <w:lang w:val="de-DE"/>
        </w:rPr>
        <w:t>Im Fragebogen werden die Dateien angegeben, die gemäß Artikel VII.137 befragt werden.</w:t>
      </w:r>
    </w:p>
    <w:p w14:paraId="5CD792DF" w14:textId="77777777" w:rsidR="003E6C61" w:rsidRPr="004676F5" w:rsidRDefault="003E6C61" w:rsidP="003E6C61">
      <w:pPr>
        <w:ind w:firstLine="708"/>
        <w:jc w:val="both"/>
        <w:rPr>
          <w:lang w:val="de-DE"/>
        </w:rPr>
      </w:pPr>
    </w:p>
    <w:p w14:paraId="552A6687" w14:textId="45E263CF"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Die in § 2 Absatz 1 erwähnten Beantragungsformulare müssen zumindest folgende Angaben enthalten:</w:t>
      </w:r>
    </w:p>
    <w:p w14:paraId="56AC2A00" w14:textId="77777777" w:rsidR="003E6C61" w:rsidRPr="004676F5" w:rsidRDefault="003E6C61" w:rsidP="003E6C61">
      <w:pPr>
        <w:ind w:firstLine="708"/>
        <w:jc w:val="both"/>
        <w:rPr>
          <w:lang w:val="de-DE"/>
        </w:rPr>
      </w:pPr>
    </w:p>
    <w:p w14:paraId="25D41D7D" w14:textId="0EEAD50B" w:rsidR="003E6C61" w:rsidRPr="004676F5" w:rsidRDefault="003E6C61" w:rsidP="003E6C61">
      <w:pPr>
        <w:ind w:firstLine="708"/>
        <w:jc w:val="both"/>
        <w:rPr>
          <w:lang w:val="de-DE"/>
        </w:rPr>
      </w:pPr>
      <w:r w:rsidRPr="004676F5">
        <w:rPr>
          <w:lang w:val="de-DE"/>
        </w:rPr>
        <w:t xml:space="preserve">1. Tarif der </w:t>
      </w:r>
      <w:r w:rsidR="00B27CF8" w:rsidRPr="004676F5">
        <w:rPr>
          <w:lang w:val="de-DE"/>
        </w:rPr>
        <w:t xml:space="preserve">[vom Kreditgeber] </w:t>
      </w:r>
      <w:r w:rsidRPr="004676F5">
        <w:rPr>
          <w:lang w:val="de-DE"/>
        </w:rPr>
        <w:t>verlangten Kosten,</w:t>
      </w:r>
    </w:p>
    <w:p w14:paraId="557C15EE" w14:textId="77777777" w:rsidR="003E6C61" w:rsidRPr="004676F5" w:rsidRDefault="003E6C61" w:rsidP="003E6C61">
      <w:pPr>
        <w:ind w:firstLine="708"/>
        <w:jc w:val="both"/>
        <w:rPr>
          <w:lang w:val="de-DE"/>
        </w:rPr>
      </w:pPr>
    </w:p>
    <w:p w14:paraId="14623D48" w14:textId="77777777" w:rsidR="003E6C61" w:rsidRPr="004676F5" w:rsidRDefault="003E6C61" w:rsidP="003E6C61">
      <w:pPr>
        <w:ind w:firstLine="708"/>
        <w:jc w:val="both"/>
        <w:rPr>
          <w:lang w:val="de-DE"/>
        </w:rPr>
      </w:pPr>
      <w:r w:rsidRPr="004676F5">
        <w:rPr>
          <w:lang w:val="de-DE"/>
        </w:rPr>
        <w:t>2. Verweis auf den geltenden Prospekt und Angabe des Ortes, wo er erhältlich ist,</w:t>
      </w:r>
    </w:p>
    <w:p w14:paraId="17D5A343" w14:textId="77777777" w:rsidR="003E6C61" w:rsidRPr="004676F5" w:rsidRDefault="003E6C61" w:rsidP="003E6C61">
      <w:pPr>
        <w:ind w:firstLine="708"/>
        <w:jc w:val="both"/>
        <w:rPr>
          <w:lang w:val="de-DE"/>
        </w:rPr>
      </w:pPr>
    </w:p>
    <w:p w14:paraId="79E50C57" w14:textId="77777777" w:rsidR="003E6C61" w:rsidRPr="004676F5" w:rsidRDefault="003E6C61" w:rsidP="003E6C61">
      <w:pPr>
        <w:ind w:firstLine="708"/>
        <w:jc w:val="both"/>
        <w:rPr>
          <w:lang w:val="de-DE"/>
        </w:rPr>
      </w:pPr>
      <w:r w:rsidRPr="004676F5">
        <w:rPr>
          <w:lang w:val="de-DE"/>
        </w:rPr>
        <w:t>3. wenn dem Prospekt Zinssatztarife in einem separaten Dokument beigefügt werden, Datum dieser Tarife.</w:t>
      </w:r>
    </w:p>
    <w:p w14:paraId="63175EFD" w14:textId="77777777" w:rsidR="003E6C61" w:rsidRPr="004676F5" w:rsidRDefault="003E6C61" w:rsidP="003E6C61">
      <w:pPr>
        <w:ind w:firstLine="708"/>
        <w:jc w:val="both"/>
        <w:rPr>
          <w:lang w:val="de-DE"/>
        </w:rPr>
      </w:pPr>
    </w:p>
    <w:p w14:paraId="12A3F3A5" w14:textId="5D509F65"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Die Informationen werden in angemessener Weise überprüft, erforderlichenfalls auch durch Einsichtnahme in unabhängig nachprüfbare Unterlagen.</w:t>
      </w:r>
    </w:p>
    <w:p w14:paraId="13FC254D" w14:textId="4B2FB38B" w:rsidR="00B27CF8" w:rsidRPr="004676F5" w:rsidRDefault="00B27CF8" w:rsidP="003E6C61">
      <w:pPr>
        <w:ind w:firstLine="708"/>
        <w:jc w:val="both"/>
        <w:rPr>
          <w:lang w:val="de-DE"/>
        </w:rPr>
      </w:pPr>
    </w:p>
    <w:p w14:paraId="0007BAA9" w14:textId="5AEDB326" w:rsidR="00B27CF8" w:rsidRPr="004676F5" w:rsidRDefault="00B27CF8" w:rsidP="00B27CF8">
      <w:pPr>
        <w:jc w:val="both"/>
        <w:rPr>
          <w:i/>
          <w:iCs/>
          <w:lang w:val="de-DE"/>
        </w:rPr>
      </w:pPr>
      <w:r w:rsidRPr="004676F5">
        <w:rPr>
          <w:i/>
          <w:iCs/>
          <w:lang w:val="de-DE"/>
        </w:rPr>
        <w:t>[Art. VII.126 § 3 einziger Absatz Nr. 1 abgeändert durch Art. 14</w:t>
      </w:r>
      <w:r w:rsidRPr="004676F5">
        <w:rPr>
          <w:i/>
          <w:lang w:val="de-DE"/>
        </w:rPr>
        <w:t xml:space="preserve"> des G. vom 30. Juli 2018 (II) (B.S. vom 5. September 2018)]</w:t>
      </w:r>
    </w:p>
    <w:p w14:paraId="36C6AB5A" w14:textId="77777777" w:rsidR="003E6C61" w:rsidRPr="004676F5" w:rsidRDefault="003E6C61" w:rsidP="003E6C61">
      <w:pPr>
        <w:jc w:val="both"/>
        <w:rPr>
          <w:lang w:val="de-DE"/>
        </w:rPr>
      </w:pPr>
    </w:p>
    <w:p w14:paraId="7EA86E30" w14:textId="77777777" w:rsidR="003E6C61" w:rsidRPr="004676F5" w:rsidRDefault="003E6C61" w:rsidP="003E6C61">
      <w:pPr>
        <w:jc w:val="both"/>
        <w:rPr>
          <w:lang w:val="de-DE"/>
        </w:rPr>
      </w:pPr>
    </w:p>
    <w:p w14:paraId="6670A813" w14:textId="77777777" w:rsidR="00324620" w:rsidRPr="004676F5" w:rsidRDefault="00324620">
      <w:pPr>
        <w:rPr>
          <w:lang w:val="de-DE"/>
        </w:rPr>
      </w:pPr>
      <w:r w:rsidRPr="004676F5">
        <w:rPr>
          <w:lang w:val="de-DE"/>
        </w:rPr>
        <w:br w:type="page"/>
      </w:r>
    </w:p>
    <w:p w14:paraId="1E98271E" w14:textId="0AD8C2BD" w:rsidR="003E6C61" w:rsidRPr="004676F5" w:rsidRDefault="003E6C61" w:rsidP="003E6C61">
      <w:pPr>
        <w:jc w:val="center"/>
        <w:rPr>
          <w:lang w:val="de-DE"/>
        </w:rPr>
      </w:pPr>
      <w:r w:rsidRPr="004676F5">
        <w:rPr>
          <w:lang w:val="de-DE"/>
        </w:rPr>
        <w:lastRenderedPageBreak/>
        <w:t>Unterabschnitt 2 </w:t>
      </w:r>
      <w:r w:rsidR="005B7A5C" w:rsidRPr="004676F5">
        <w:rPr>
          <w:lang w:val="de-DE"/>
        </w:rPr>
        <w:t>- </w:t>
      </w:r>
      <w:r w:rsidRPr="004676F5">
        <w:rPr>
          <w:lang w:val="de-DE"/>
        </w:rPr>
        <w:t>Vorvertragliche Information</w:t>
      </w:r>
    </w:p>
    <w:p w14:paraId="4E217128" w14:textId="77777777" w:rsidR="003E6C61" w:rsidRPr="004676F5" w:rsidRDefault="003E6C61" w:rsidP="003E6C61">
      <w:pPr>
        <w:jc w:val="both"/>
        <w:rPr>
          <w:lang w:val="de-DE"/>
        </w:rPr>
      </w:pPr>
    </w:p>
    <w:p w14:paraId="73FEDB67" w14:textId="77777777" w:rsidR="003E6C61" w:rsidRPr="004676F5" w:rsidRDefault="003E6C61" w:rsidP="003E6C61">
      <w:pPr>
        <w:jc w:val="both"/>
        <w:rPr>
          <w:lang w:val="de-DE"/>
        </w:rPr>
      </w:pPr>
    </w:p>
    <w:p w14:paraId="1333F063" w14:textId="331A37F9" w:rsidR="003E6C61" w:rsidRPr="004676F5" w:rsidRDefault="00BE0A56" w:rsidP="003E6C61">
      <w:pPr>
        <w:ind w:firstLine="708"/>
        <w:jc w:val="both"/>
        <w:rPr>
          <w:lang w:val="de-DE"/>
        </w:rPr>
      </w:pPr>
      <w:r w:rsidRPr="004676F5">
        <w:rPr>
          <w:b/>
          <w:lang w:val="de-DE"/>
        </w:rPr>
        <w:t>Art. </w:t>
      </w:r>
      <w:r w:rsidR="003E6C61" w:rsidRPr="004676F5">
        <w:rPr>
          <w:b/>
          <w:lang w:val="de-DE"/>
        </w:rPr>
        <w:t>VII.127</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Der Kreditgeber und gegebenenfalls der Kreditvermittler erteilt dem Verbraucher kostenlos auf ihn zugeschnittene Informationen, die er benötigt, um die auf dem Markt verfügbaren Kreditprodukte zu vergleichen, ihre jeweiligen Auswirkungen zu prüfen und eine fundierte Entscheidung über den Abschluss eines Kreditvertrags zu treffen.</w:t>
      </w:r>
    </w:p>
    <w:p w14:paraId="4A99C415" w14:textId="77777777" w:rsidR="003E6C61" w:rsidRPr="004676F5" w:rsidRDefault="003E6C61" w:rsidP="003E6C61">
      <w:pPr>
        <w:ind w:firstLine="708"/>
        <w:jc w:val="both"/>
        <w:rPr>
          <w:lang w:val="de-DE"/>
        </w:rPr>
      </w:pPr>
    </w:p>
    <w:p w14:paraId="0804235D" w14:textId="77777777" w:rsidR="003E6C61" w:rsidRPr="004676F5" w:rsidRDefault="003E6C61" w:rsidP="003E6C61">
      <w:pPr>
        <w:ind w:firstLine="708"/>
        <w:jc w:val="both"/>
        <w:rPr>
          <w:lang w:val="de-DE"/>
        </w:rPr>
      </w:pPr>
      <w:r w:rsidRPr="004676F5">
        <w:rPr>
          <w:lang w:val="de-DE"/>
        </w:rPr>
        <w:t>Die Erteilung dieser Informationen erfolgt unverzüglich, nachdem der Verbraucher die erforderlichen Angaben zu seinen Bedürfnissen, seiner finanziellen Situation und seinen Präferenzen gemäß Artikel VII.126 gemacht hat, und rechtzeitig, bevor der Verbraucher durch einen Kreditvertrag gebunden ist.</w:t>
      </w:r>
    </w:p>
    <w:p w14:paraId="21CD5013" w14:textId="77777777" w:rsidR="003E6C61" w:rsidRPr="004676F5" w:rsidRDefault="003E6C61" w:rsidP="003E6C61">
      <w:pPr>
        <w:ind w:firstLine="708"/>
        <w:jc w:val="both"/>
        <w:rPr>
          <w:lang w:val="de-DE"/>
        </w:rPr>
      </w:pPr>
    </w:p>
    <w:p w14:paraId="5C859F99" w14:textId="283A8029" w:rsidR="003E6C61" w:rsidRPr="004676F5" w:rsidRDefault="003E6C61" w:rsidP="003E6C61">
      <w:pPr>
        <w:ind w:firstLine="708"/>
        <w:jc w:val="both"/>
        <w:rPr>
          <w:lang w:val="de-DE"/>
        </w:rPr>
      </w:pPr>
      <w:r w:rsidRPr="004676F5">
        <w:rPr>
          <w:lang w:val="de-DE"/>
        </w:rPr>
        <w:t xml:space="preserve">Die auf die Person zugeschnittenen Informationen gemäß Absatz 1 werden </w:t>
      </w:r>
      <w:r w:rsidR="00324620" w:rsidRPr="004676F5">
        <w:rPr>
          <w:lang w:val="de-DE"/>
        </w:rPr>
        <w:t xml:space="preserve">[auf dauerhaftem Datenträger] </w:t>
      </w:r>
      <w:r w:rsidRPr="004676F5">
        <w:rPr>
          <w:lang w:val="de-DE"/>
        </w:rPr>
        <w:t>mittels des Europäischen Standardisierten Merkblatts (ESIS-Merkblatt) wie in Anlage 3 zu vorliegendem Buch aufgenommen erteilt.</w:t>
      </w:r>
    </w:p>
    <w:p w14:paraId="0D48A15A" w14:textId="77777777" w:rsidR="003E6C61" w:rsidRPr="004676F5" w:rsidRDefault="003E6C61" w:rsidP="003E6C61">
      <w:pPr>
        <w:ind w:firstLine="708"/>
        <w:jc w:val="both"/>
        <w:rPr>
          <w:lang w:val="de-DE"/>
        </w:rPr>
      </w:pPr>
    </w:p>
    <w:p w14:paraId="3662BB55" w14:textId="6EBB48F0"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 xml:space="preserve">Das ESIS-Merkblatt wird vom Kreditgeber </w:t>
      </w:r>
      <w:r w:rsidR="00E95656" w:rsidRPr="004676F5">
        <w:rPr>
          <w:lang w:val="de-DE"/>
        </w:rPr>
        <w:t xml:space="preserve">[auf dauerhaftem Datenträger] </w:t>
      </w:r>
      <w:r w:rsidRPr="004676F5">
        <w:rPr>
          <w:lang w:val="de-DE"/>
        </w:rPr>
        <w:t>vor oder zusammen mit der Vorlage des Kreditangebots mitgeteilt. Weichen die Merkmale des Kreditangebots von den Informationen ab, die im zuvor vorgelegten ESIS-Merkblatt enthalten waren, wird diesem Angebot ein neues ESIS-Merkblatt beigefügt.</w:t>
      </w:r>
    </w:p>
    <w:p w14:paraId="04B98A38" w14:textId="77777777" w:rsidR="003E6C61" w:rsidRPr="004676F5" w:rsidRDefault="003E6C61" w:rsidP="003E6C61">
      <w:pPr>
        <w:ind w:firstLine="708"/>
        <w:jc w:val="both"/>
        <w:rPr>
          <w:lang w:val="de-DE"/>
        </w:rPr>
      </w:pPr>
    </w:p>
    <w:p w14:paraId="5CF82DC1" w14:textId="77777777" w:rsidR="003E6C61" w:rsidRPr="004676F5" w:rsidRDefault="003E6C61" w:rsidP="003E6C61">
      <w:pPr>
        <w:ind w:firstLine="708"/>
        <w:jc w:val="both"/>
        <w:rPr>
          <w:lang w:val="de-DE"/>
        </w:rPr>
      </w:pPr>
      <w:r w:rsidRPr="004676F5">
        <w:rPr>
          <w:lang w:val="de-DE"/>
        </w:rPr>
        <w:t>Mit der Vorlage des ESIS-Merkblatts gelten die Anforderungen in Bezug auf die Unterrichtung des Verbrauchers vor Abschluss eines Fernabsatzvertrags gemäß Artikel VI.55 seitens des Kreditgebers und gegebenenfalls des Kreditvermittlers als erfüllt; die Anforderungen des Artikels VI.57 gelten nur dann als erfüllt, wenn das ESIS-Merkblatt zumindest vor Abschluss des Kreditvertrags vorgelegt worden ist.</w:t>
      </w:r>
    </w:p>
    <w:p w14:paraId="380033C8" w14:textId="77777777" w:rsidR="003E6C61" w:rsidRPr="004676F5" w:rsidRDefault="003E6C61" w:rsidP="003E6C61">
      <w:pPr>
        <w:ind w:firstLine="708"/>
        <w:jc w:val="both"/>
        <w:rPr>
          <w:lang w:val="de-DE"/>
        </w:rPr>
      </w:pPr>
    </w:p>
    <w:p w14:paraId="7ACF645B" w14:textId="2C7B5FD2"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Die Vorlage eines Kreditangebots ist Pflicht für Immobiliarhypothekarkredite und für Mobiliarhypothekarkredite, die mit der Bestellung einer hypothekarischen Sicherheit einhergehen. Ein Angebot darf nur vorgelegt werden, wenn alle Kosten, von denen der Kreditgeber Kenntnis haben kann, tatsächlich im effektiven Jahreszins angegeben und enthalten sind. In diesem Angebot sind die Gültigkeitsdauer des Angebots und alle Vertragsbedingungen vermerkt einschließlich eines Tilgungsplans entweder des Kapitals und der fälligen Zinsen oder, bei Wiederherstellung des Kapitals, des Betrags der einmaligen, zum Endablaufdatum des Kredits zu entrichtenden Rückzahlung. Das Kreditangebot bindet den Kreditgeber während mindestens vierzehn Tagen und kann jederzeit vom Verbraucher angenommen werden.</w:t>
      </w:r>
    </w:p>
    <w:p w14:paraId="0149FC0F" w14:textId="77777777" w:rsidR="003E6C61" w:rsidRPr="004676F5" w:rsidRDefault="003E6C61" w:rsidP="003E6C61">
      <w:pPr>
        <w:ind w:firstLine="708"/>
        <w:jc w:val="both"/>
        <w:rPr>
          <w:lang w:val="de-DE"/>
        </w:rPr>
      </w:pPr>
    </w:p>
    <w:p w14:paraId="0E578ED0" w14:textId="6DFCAB53"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Ist ein Kredit nicht zur Finanzierung des Erwerbs oder der Aufrechterhaltung von dinglichen Rechten an unbeweglichen Gütern bestimmt, wird das ESIS-Merkblatt für die Anwendung des vorliegenden Artikels durch das in Anlage 1 und gegebenenfalls 2 zu vorliegendem Buch erwähnte SECCI-Formular ersetzt.</w:t>
      </w:r>
    </w:p>
    <w:p w14:paraId="500E805A" w14:textId="77777777" w:rsidR="003E6C61" w:rsidRPr="004676F5" w:rsidRDefault="003E6C61" w:rsidP="003E6C61">
      <w:pPr>
        <w:ind w:firstLine="708"/>
        <w:jc w:val="both"/>
        <w:rPr>
          <w:lang w:val="de-DE"/>
        </w:rPr>
      </w:pPr>
    </w:p>
    <w:p w14:paraId="575EEA47" w14:textId="353780C5" w:rsidR="003E6C61" w:rsidRPr="004676F5" w:rsidRDefault="003E6C61" w:rsidP="003E6C61">
      <w:pPr>
        <w:ind w:firstLine="708"/>
        <w:jc w:val="both"/>
        <w:rPr>
          <w:lang w:val="de-DE"/>
        </w:rPr>
      </w:pPr>
      <w:r w:rsidRPr="004676F5">
        <w:rPr>
          <w:lang w:val="de-DE"/>
        </w:rPr>
        <w:t>§ 5 </w:t>
      </w:r>
      <w:r w:rsidR="005B7A5C" w:rsidRPr="004676F5">
        <w:rPr>
          <w:lang w:val="de-DE"/>
        </w:rPr>
        <w:t>- </w:t>
      </w:r>
      <w:r w:rsidRPr="004676F5">
        <w:rPr>
          <w:lang w:val="de-DE"/>
        </w:rPr>
        <w:t xml:space="preserve">Bei fernmündlicher Kommunikation wie in Artikel VI.56 erwähnt umfasst die in Artikel VI.56 Absatz 2 Buchstabe </w:t>
      </w:r>
      <w:r w:rsidRPr="004676F5">
        <w:rPr>
          <w:i/>
          <w:lang w:val="de-DE"/>
        </w:rPr>
        <w:t>b)</w:t>
      </w:r>
      <w:r w:rsidRPr="004676F5">
        <w:rPr>
          <w:lang w:val="de-DE"/>
        </w:rPr>
        <w:t xml:space="preserve"> erwähnte Beschreibung der wesentlichen Merkmale der Finanzdienstleistung zumindest die Ziffern 2 bis 6 von Teil A der Anlage 3 zu vorliegendem Buch.</w:t>
      </w:r>
    </w:p>
    <w:p w14:paraId="4207E5DA" w14:textId="77777777" w:rsidR="00324620" w:rsidRPr="004676F5" w:rsidRDefault="00324620" w:rsidP="003E6C61">
      <w:pPr>
        <w:ind w:firstLine="708"/>
        <w:jc w:val="both"/>
        <w:rPr>
          <w:lang w:val="de-DE"/>
        </w:rPr>
      </w:pPr>
    </w:p>
    <w:p w14:paraId="018A7330" w14:textId="33EB5C2F" w:rsidR="00324620" w:rsidRPr="004676F5" w:rsidRDefault="00324620" w:rsidP="00324620">
      <w:pPr>
        <w:jc w:val="both"/>
        <w:rPr>
          <w:i/>
          <w:iCs/>
          <w:lang w:val="de-DE"/>
        </w:rPr>
      </w:pPr>
      <w:r w:rsidRPr="004676F5">
        <w:rPr>
          <w:i/>
          <w:iCs/>
          <w:lang w:val="de-DE"/>
        </w:rPr>
        <w:t>[Art. VII.127 § 1 Abs. 3 abgeändert durch Art. 12 des G. vom 20. September 2018 (B.S. vom 10. Oktober 2018)</w:t>
      </w:r>
      <w:r w:rsidR="00E95656" w:rsidRPr="004676F5">
        <w:rPr>
          <w:i/>
          <w:iCs/>
          <w:lang w:val="de-DE"/>
        </w:rPr>
        <w:t>; § 2 Abs. 1 abgeändert durch Art. 12 des G. vom 20. September 2018 (B.S. vom 10. Oktober 2018)</w:t>
      </w:r>
      <w:r w:rsidRPr="004676F5">
        <w:rPr>
          <w:i/>
          <w:iCs/>
          <w:lang w:val="de-DE"/>
        </w:rPr>
        <w:t>]</w:t>
      </w:r>
    </w:p>
    <w:p w14:paraId="4317EEC3" w14:textId="77777777" w:rsidR="00324620" w:rsidRPr="004676F5" w:rsidRDefault="00324620" w:rsidP="003E6C61">
      <w:pPr>
        <w:ind w:firstLine="708"/>
        <w:jc w:val="both"/>
        <w:rPr>
          <w:lang w:val="de-DE"/>
        </w:rPr>
      </w:pPr>
    </w:p>
    <w:p w14:paraId="6F4E8566" w14:textId="77777777" w:rsidR="003E6C61" w:rsidRPr="004676F5" w:rsidRDefault="003E6C61" w:rsidP="003E6C61">
      <w:pPr>
        <w:jc w:val="both"/>
        <w:rPr>
          <w:lang w:val="de-DE"/>
        </w:rPr>
      </w:pPr>
    </w:p>
    <w:p w14:paraId="32609191" w14:textId="77777777" w:rsidR="003E6C61" w:rsidRPr="004676F5" w:rsidRDefault="003E6C61" w:rsidP="003E6C61">
      <w:pPr>
        <w:jc w:val="both"/>
        <w:rPr>
          <w:lang w:val="de-DE"/>
        </w:rPr>
      </w:pPr>
    </w:p>
    <w:p w14:paraId="3DBD36BA" w14:textId="027B2F51" w:rsidR="003E6C61" w:rsidRPr="004676F5" w:rsidRDefault="003E6C61" w:rsidP="003E6C61">
      <w:pPr>
        <w:jc w:val="center"/>
        <w:rPr>
          <w:lang w:val="de-DE"/>
        </w:rPr>
      </w:pPr>
      <w:r w:rsidRPr="004676F5">
        <w:rPr>
          <w:lang w:val="de-DE"/>
        </w:rPr>
        <w:t>Unterabschnitt 3 </w:t>
      </w:r>
      <w:r w:rsidR="005B7A5C" w:rsidRPr="004676F5">
        <w:rPr>
          <w:lang w:val="de-DE"/>
        </w:rPr>
        <w:t>- </w:t>
      </w:r>
      <w:r w:rsidRPr="004676F5">
        <w:rPr>
          <w:lang w:val="de-DE"/>
        </w:rPr>
        <w:t>Informationsanforderungen an Hypothekarkreditvermittler</w:t>
      </w:r>
    </w:p>
    <w:p w14:paraId="1EE94940" w14:textId="77777777" w:rsidR="003E6C61" w:rsidRPr="004676F5" w:rsidRDefault="003E6C61" w:rsidP="003E6C61">
      <w:pPr>
        <w:jc w:val="both"/>
        <w:rPr>
          <w:lang w:val="de-DE"/>
        </w:rPr>
      </w:pPr>
    </w:p>
    <w:p w14:paraId="76ABE142" w14:textId="77777777" w:rsidR="003E6C61" w:rsidRPr="004676F5" w:rsidRDefault="003E6C61" w:rsidP="003E6C61">
      <w:pPr>
        <w:jc w:val="both"/>
        <w:rPr>
          <w:lang w:val="de-DE"/>
        </w:rPr>
      </w:pPr>
    </w:p>
    <w:p w14:paraId="3AED85FB" w14:textId="165C2440" w:rsidR="003E6C61" w:rsidRPr="004676F5" w:rsidRDefault="00BE0A56" w:rsidP="003E6C61">
      <w:pPr>
        <w:ind w:firstLine="708"/>
        <w:jc w:val="both"/>
        <w:rPr>
          <w:lang w:val="de-DE"/>
        </w:rPr>
      </w:pPr>
      <w:r w:rsidRPr="004676F5">
        <w:rPr>
          <w:b/>
          <w:lang w:val="de-DE"/>
        </w:rPr>
        <w:t>Art. </w:t>
      </w:r>
      <w:r w:rsidR="003E6C61" w:rsidRPr="004676F5">
        <w:rPr>
          <w:b/>
          <w:lang w:val="de-DE"/>
        </w:rPr>
        <w:t>VII.128</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 xml:space="preserve">Rechtzeitig vor Beginn der Vermittlung stellt der Kreditvermittler dem Verbraucher </w:t>
      </w:r>
      <w:r w:rsidR="00324620" w:rsidRPr="004676F5">
        <w:rPr>
          <w:lang w:val="de-DE"/>
        </w:rPr>
        <w:t xml:space="preserve">[auf dauerhaftem Datenträger] </w:t>
      </w:r>
      <w:r w:rsidR="003E6C61" w:rsidRPr="004676F5">
        <w:rPr>
          <w:lang w:val="de-DE"/>
        </w:rPr>
        <w:t>folgende Informationen bereit:</w:t>
      </w:r>
    </w:p>
    <w:p w14:paraId="4539C254" w14:textId="77777777" w:rsidR="003E6C61" w:rsidRPr="004676F5" w:rsidRDefault="003E6C61" w:rsidP="003E6C61">
      <w:pPr>
        <w:ind w:firstLine="708"/>
        <w:jc w:val="both"/>
        <w:rPr>
          <w:lang w:val="de-DE"/>
        </w:rPr>
      </w:pPr>
    </w:p>
    <w:p w14:paraId="53E0E9AE" w14:textId="77777777" w:rsidR="003E6C61" w:rsidRPr="004676F5" w:rsidRDefault="003E6C61" w:rsidP="003E6C61">
      <w:pPr>
        <w:ind w:firstLine="708"/>
        <w:jc w:val="both"/>
        <w:rPr>
          <w:lang w:val="de-DE"/>
        </w:rPr>
      </w:pPr>
      <w:r w:rsidRPr="004676F5">
        <w:rPr>
          <w:lang w:val="de-DE"/>
        </w:rPr>
        <w:t>1. seine Identität und seine geographische Anschrift,</w:t>
      </w:r>
    </w:p>
    <w:p w14:paraId="767197E4" w14:textId="77777777" w:rsidR="003E6C61" w:rsidRPr="004676F5" w:rsidRDefault="003E6C61" w:rsidP="003E6C61">
      <w:pPr>
        <w:ind w:firstLine="708"/>
        <w:jc w:val="both"/>
        <w:rPr>
          <w:lang w:val="de-DE"/>
        </w:rPr>
      </w:pPr>
    </w:p>
    <w:p w14:paraId="7EDD044E" w14:textId="77777777" w:rsidR="003E6C61" w:rsidRPr="004676F5" w:rsidRDefault="003E6C61" w:rsidP="003E6C61">
      <w:pPr>
        <w:ind w:firstLine="708"/>
        <w:jc w:val="both"/>
        <w:rPr>
          <w:lang w:val="de-DE"/>
        </w:rPr>
      </w:pPr>
      <w:r w:rsidRPr="004676F5">
        <w:rPr>
          <w:lang w:val="de-DE"/>
        </w:rPr>
        <w:t>2. in welches Register er eingetragen wurde, gegebenenfalls die Registrierungsnummer, und auf welche Weise sich die Eintragung überprüfen lässt,</w:t>
      </w:r>
    </w:p>
    <w:p w14:paraId="7FFB158D" w14:textId="77777777" w:rsidR="003E6C61" w:rsidRPr="004676F5" w:rsidRDefault="003E6C61" w:rsidP="003E6C61">
      <w:pPr>
        <w:ind w:firstLine="708"/>
        <w:jc w:val="both"/>
        <w:rPr>
          <w:lang w:val="de-DE"/>
        </w:rPr>
      </w:pPr>
    </w:p>
    <w:p w14:paraId="5E76ADBE" w14:textId="77777777" w:rsidR="003E6C61" w:rsidRPr="004676F5" w:rsidRDefault="003E6C61" w:rsidP="003E6C61">
      <w:pPr>
        <w:ind w:firstLine="708"/>
        <w:jc w:val="both"/>
        <w:rPr>
          <w:lang w:val="de-DE"/>
        </w:rPr>
      </w:pPr>
      <w:r w:rsidRPr="004676F5">
        <w:rPr>
          <w:lang w:val="de-DE"/>
        </w:rPr>
        <w:t>3. ob der Kreditvermittler an einen oder mehrere Kreditgeber gebunden ist oder ausschließlich für einen oder mehrere Kreditgeber arbeitet. Falls der Kreditvermittler an einen oder mehrere Kreditgeber gebunden ist oder ausschließlich für einen oder mehrere Kreditgeber arbeitet, muss er die Namen der Kreditgeber, für die er tätig ist, angeben,</w:t>
      </w:r>
    </w:p>
    <w:p w14:paraId="09F4450B" w14:textId="77777777" w:rsidR="003E6C61" w:rsidRPr="004676F5" w:rsidRDefault="003E6C61" w:rsidP="003E6C61">
      <w:pPr>
        <w:ind w:firstLine="708"/>
        <w:jc w:val="both"/>
        <w:rPr>
          <w:lang w:val="de-DE"/>
        </w:rPr>
      </w:pPr>
    </w:p>
    <w:p w14:paraId="7B096380" w14:textId="77777777" w:rsidR="003E6C61" w:rsidRPr="004676F5" w:rsidRDefault="003E6C61" w:rsidP="003E6C61">
      <w:pPr>
        <w:ind w:firstLine="708"/>
        <w:jc w:val="both"/>
        <w:rPr>
          <w:lang w:val="de-DE"/>
        </w:rPr>
      </w:pPr>
      <w:r w:rsidRPr="004676F5">
        <w:rPr>
          <w:lang w:val="de-DE"/>
        </w:rPr>
        <w:t>4. Verfahren für Beschwerden von Verbrauchern oder anderen interessierten Parteien und für die Bearbeitung solcher Beschwerden gemäß den Bestimmungen von Buch XVI des vorliegenden Gesetzbuches,</w:t>
      </w:r>
    </w:p>
    <w:p w14:paraId="323B21A8" w14:textId="77777777" w:rsidR="003E6C61" w:rsidRPr="004676F5" w:rsidRDefault="003E6C61" w:rsidP="003E6C61">
      <w:pPr>
        <w:ind w:firstLine="708"/>
        <w:jc w:val="both"/>
        <w:rPr>
          <w:lang w:val="de-DE"/>
        </w:rPr>
      </w:pPr>
    </w:p>
    <w:p w14:paraId="21870320" w14:textId="77777777" w:rsidR="003E6C61" w:rsidRPr="004676F5" w:rsidRDefault="003E6C61" w:rsidP="003E6C61">
      <w:pPr>
        <w:ind w:firstLine="708"/>
        <w:jc w:val="both"/>
        <w:rPr>
          <w:lang w:val="de-DE"/>
        </w:rPr>
      </w:pPr>
      <w:r w:rsidRPr="004676F5">
        <w:rPr>
          <w:lang w:val="de-DE"/>
        </w:rPr>
        <w:t>5. gegebenenfalls ob und, falls bekannt, in welcher Höhe der Kreditgeber oder ein Dritter dem Kreditvermittler für seine Dienstleistung im Zusammenhang mit dem Kreditvertrag Provisionen zu zahlen oder sonstige Anreize zu gewähren hat. Ist der Betrag zum Zeitpunkt der Bereitstellung der Informationen nicht bekannt, so teilt der Kreditvermittler dem Verbraucher mit, dass der tatsächliche Betrag zu einem späteren Zeitpunkt im ESIS-Merkblatt angegeben wird.</w:t>
      </w:r>
    </w:p>
    <w:p w14:paraId="538F94FA" w14:textId="77777777" w:rsidR="003E6C61" w:rsidRPr="004676F5" w:rsidRDefault="003E6C61" w:rsidP="003E6C61">
      <w:pPr>
        <w:ind w:firstLine="708"/>
        <w:jc w:val="both"/>
        <w:rPr>
          <w:lang w:val="de-DE"/>
        </w:rPr>
      </w:pPr>
    </w:p>
    <w:p w14:paraId="4653170F" w14:textId="33D3441A"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Kreditmakler, die Provisionen von einem oder mehreren Kreditgebern erhalten, erteilen auf Verlangen des Verbrauchers Auskunft über die jeweilige Höhe der Provisionen, die ihnen von den verschiedenen Kreditgebern gezahlt werden, in deren Namen sie dem Verbraucher Kreditverträge anbieten. Der Verbraucher wird darüber unterrichtet, dass er entsprechende Auskünfte verlangen kann.</w:t>
      </w:r>
    </w:p>
    <w:p w14:paraId="7CA864ED" w14:textId="77777777" w:rsidR="003E6C61" w:rsidRPr="004676F5" w:rsidRDefault="003E6C61" w:rsidP="003E6C61">
      <w:pPr>
        <w:ind w:firstLine="708"/>
        <w:jc w:val="both"/>
        <w:rPr>
          <w:lang w:val="de-DE"/>
        </w:rPr>
      </w:pPr>
    </w:p>
    <w:p w14:paraId="6334C711" w14:textId="531FC33E"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Kreditvermittler sorgen dafür, dass von ihnen benannte Vermittlungsvertreter, wenn sie Kontakt mit Verbrauchern aufnehmen oder bevor sie mit diesen Geschäfte abschließen, zusätzlich zu den durch vorliegenden Artikel vorgeschriebenen Informationen mitteilen, in welcher Eigenschaft sie handeln und welchen Kreditvermittler sie vertreten.</w:t>
      </w:r>
    </w:p>
    <w:p w14:paraId="7AC5B176" w14:textId="77777777" w:rsidR="003E6C61" w:rsidRPr="004676F5" w:rsidRDefault="003E6C61" w:rsidP="003E6C61">
      <w:pPr>
        <w:jc w:val="both"/>
        <w:rPr>
          <w:lang w:val="de-DE"/>
        </w:rPr>
      </w:pPr>
    </w:p>
    <w:p w14:paraId="6CDE4966" w14:textId="684A00CA" w:rsidR="00324620" w:rsidRPr="004676F5" w:rsidRDefault="00324620" w:rsidP="00324620">
      <w:pPr>
        <w:jc w:val="both"/>
        <w:rPr>
          <w:i/>
          <w:iCs/>
          <w:lang w:val="de-DE"/>
        </w:rPr>
      </w:pPr>
      <w:r w:rsidRPr="004676F5">
        <w:rPr>
          <w:i/>
          <w:iCs/>
          <w:lang w:val="de-DE"/>
        </w:rPr>
        <w:t>[Art. VII.128 § 1 einziger Absatz einleitende Bestimmung abgeändert durch Art. 12 des G. vom 20. September 2018 (B.S. vom 10. Oktober 2018)]</w:t>
      </w:r>
    </w:p>
    <w:p w14:paraId="2C60975A" w14:textId="77777777" w:rsidR="00324620" w:rsidRPr="004676F5" w:rsidRDefault="00324620" w:rsidP="003E6C61">
      <w:pPr>
        <w:jc w:val="both"/>
        <w:rPr>
          <w:lang w:val="de-DE"/>
        </w:rPr>
      </w:pPr>
    </w:p>
    <w:p w14:paraId="0D35F75A" w14:textId="77777777" w:rsidR="003E6C61" w:rsidRPr="004676F5" w:rsidRDefault="003E6C61" w:rsidP="003E6C61">
      <w:pPr>
        <w:jc w:val="both"/>
        <w:rPr>
          <w:lang w:val="de-DE"/>
        </w:rPr>
      </w:pPr>
    </w:p>
    <w:p w14:paraId="6A5EF85B" w14:textId="6FA9ED5A" w:rsidR="003E6C61" w:rsidRPr="004676F5" w:rsidRDefault="003E6C61" w:rsidP="003E6C61">
      <w:pPr>
        <w:jc w:val="center"/>
        <w:rPr>
          <w:lang w:val="de-DE"/>
        </w:rPr>
      </w:pPr>
      <w:r w:rsidRPr="004676F5">
        <w:rPr>
          <w:lang w:val="de-DE"/>
        </w:rPr>
        <w:t>Unterabschnitt 4 </w:t>
      </w:r>
      <w:r w:rsidR="005B7A5C" w:rsidRPr="004676F5">
        <w:rPr>
          <w:lang w:val="de-DE"/>
        </w:rPr>
        <w:t>- </w:t>
      </w:r>
      <w:r w:rsidRPr="004676F5">
        <w:rPr>
          <w:lang w:val="de-DE"/>
        </w:rPr>
        <w:t>Angemessene Erläuterungen</w:t>
      </w:r>
    </w:p>
    <w:p w14:paraId="586AB1E5" w14:textId="77777777" w:rsidR="003E6C61" w:rsidRPr="004676F5" w:rsidRDefault="003E6C61" w:rsidP="003E6C61">
      <w:pPr>
        <w:jc w:val="both"/>
        <w:rPr>
          <w:lang w:val="de-DE"/>
        </w:rPr>
      </w:pPr>
    </w:p>
    <w:p w14:paraId="10377B2E" w14:textId="77777777" w:rsidR="003E6C61" w:rsidRPr="004676F5" w:rsidRDefault="003E6C61" w:rsidP="003E6C61">
      <w:pPr>
        <w:jc w:val="both"/>
        <w:rPr>
          <w:lang w:val="de-DE"/>
        </w:rPr>
      </w:pPr>
    </w:p>
    <w:p w14:paraId="3B7D5726" w14:textId="5236515B" w:rsidR="003E6C61" w:rsidRPr="004676F5" w:rsidRDefault="00BE0A56" w:rsidP="003E6C61">
      <w:pPr>
        <w:ind w:firstLine="708"/>
        <w:jc w:val="both"/>
        <w:rPr>
          <w:lang w:val="de-DE"/>
        </w:rPr>
      </w:pPr>
      <w:r w:rsidRPr="004676F5">
        <w:rPr>
          <w:b/>
          <w:lang w:val="de-DE"/>
        </w:rPr>
        <w:t>Art. </w:t>
      </w:r>
      <w:r w:rsidR="003E6C61" w:rsidRPr="004676F5">
        <w:rPr>
          <w:b/>
          <w:lang w:val="de-DE"/>
        </w:rPr>
        <w:t>VII.129</w:t>
      </w:r>
      <w:r w:rsidR="003E6C61" w:rsidRPr="004676F5">
        <w:rPr>
          <w:lang w:val="de-DE"/>
        </w:rPr>
        <w:t> </w:t>
      </w:r>
      <w:r w:rsidR="005B7A5C" w:rsidRPr="004676F5">
        <w:rPr>
          <w:lang w:val="de-DE"/>
        </w:rPr>
        <w:t>- </w:t>
      </w:r>
      <w:r w:rsidR="003E6C61" w:rsidRPr="004676F5">
        <w:rPr>
          <w:lang w:val="de-DE"/>
        </w:rPr>
        <w:t>Kreditgeber und gegebenenfalls Kreditvermittler geben dem Verbraucher angemessene Erläuterungen zu den angebotenen Kreditverträgen und etwaigen Neben</w:t>
      </w:r>
      <w:r w:rsidR="003E6C61" w:rsidRPr="004676F5">
        <w:rPr>
          <w:lang w:val="de-DE"/>
        </w:rPr>
        <w:softHyphen/>
        <w:t>leistungen, damit der Verbraucher in die Lage versetzt wird, zu beurteilen, ob die vorgeschlagenen Kreditverträge und die Nebenleistungen seinen Bedürfnissen und seiner finanziellen Situation gerecht werden.</w:t>
      </w:r>
    </w:p>
    <w:p w14:paraId="52851290" w14:textId="77777777" w:rsidR="003E6C61" w:rsidRPr="004676F5" w:rsidRDefault="003E6C61" w:rsidP="003E6C61">
      <w:pPr>
        <w:ind w:firstLine="708"/>
        <w:jc w:val="both"/>
        <w:rPr>
          <w:lang w:val="de-DE"/>
        </w:rPr>
      </w:pPr>
    </w:p>
    <w:p w14:paraId="5625FC46" w14:textId="77777777" w:rsidR="003E6C61" w:rsidRPr="004676F5" w:rsidRDefault="003E6C61" w:rsidP="003E6C61">
      <w:pPr>
        <w:ind w:firstLine="708"/>
        <w:jc w:val="both"/>
        <w:rPr>
          <w:lang w:val="de-DE"/>
        </w:rPr>
      </w:pPr>
      <w:r w:rsidRPr="004676F5">
        <w:rPr>
          <w:lang w:val="de-DE"/>
        </w:rPr>
        <w:t>Die Erläuterungen beinhalten gegebenenfalls insbesondere Folgendes:</w:t>
      </w:r>
    </w:p>
    <w:p w14:paraId="0A4BDABB" w14:textId="77777777" w:rsidR="003E6C61" w:rsidRPr="004676F5" w:rsidRDefault="003E6C61" w:rsidP="003E6C61">
      <w:pPr>
        <w:ind w:firstLine="708"/>
        <w:jc w:val="both"/>
        <w:rPr>
          <w:lang w:val="de-DE"/>
        </w:rPr>
      </w:pPr>
    </w:p>
    <w:p w14:paraId="1B12EE7C" w14:textId="77777777" w:rsidR="003E6C61" w:rsidRPr="004676F5" w:rsidRDefault="003E6C61" w:rsidP="003E6C61">
      <w:pPr>
        <w:ind w:firstLine="708"/>
        <w:jc w:val="both"/>
        <w:rPr>
          <w:lang w:val="de-DE"/>
        </w:rPr>
      </w:pPr>
      <w:r w:rsidRPr="004676F5">
        <w:rPr>
          <w:lang w:val="de-DE"/>
        </w:rPr>
        <w:t>1. die vorvertraglichen Informationen, die gemäß den Artikeln VII.127 und VII.128 bereitzustellen sind,</w:t>
      </w:r>
    </w:p>
    <w:p w14:paraId="4053C784" w14:textId="77777777" w:rsidR="003E6C61" w:rsidRPr="004676F5" w:rsidRDefault="003E6C61" w:rsidP="003E6C61">
      <w:pPr>
        <w:ind w:firstLine="708"/>
        <w:jc w:val="both"/>
        <w:rPr>
          <w:lang w:val="de-DE"/>
        </w:rPr>
      </w:pPr>
    </w:p>
    <w:p w14:paraId="6919DCD5" w14:textId="77777777" w:rsidR="003E6C61" w:rsidRPr="004676F5" w:rsidRDefault="003E6C61" w:rsidP="003E6C61">
      <w:pPr>
        <w:ind w:firstLine="708"/>
        <w:jc w:val="both"/>
        <w:rPr>
          <w:lang w:val="de-DE"/>
        </w:rPr>
      </w:pPr>
      <w:r w:rsidRPr="004676F5">
        <w:rPr>
          <w:lang w:val="de-DE"/>
        </w:rPr>
        <w:t>2. die Hauptmerkmale der angebotenen Produkte,</w:t>
      </w:r>
    </w:p>
    <w:p w14:paraId="2039B4F7" w14:textId="77777777" w:rsidR="003E6C61" w:rsidRPr="004676F5" w:rsidRDefault="003E6C61" w:rsidP="003E6C61">
      <w:pPr>
        <w:ind w:firstLine="708"/>
        <w:jc w:val="both"/>
        <w:rPr>
          <w:lang w:val="de-DE"/>
        </w:rPr>
      </w:pPr>
    </w:p>
    <w:p w14:paraId="60E03C8C" w14:textId="77777777" w:rsidR="003E6C61" w:rsidRPr="004676F5" w:rsidRDefault="003E6C61" w:rsidP="003E6C61">
      <w:pPr>
        <w:ind w:firstLine="708"/>
        <w:jc w:val="both"/>
        <w:rPr>
          <w:lang w:val="de-DE"/>
        </w:rPr>
      </w:pPr>
      <w:r w:rsidRPr="004676F5">
        <w:rPr>
          <w:lang w:val="de-DE"/>
        </w:rPr>
        <w:t>3. mögliche spezifische Auswirkungen der angebotenen Produkte auf den Verbraucher, einschließlich der Konsequenzen bei Zahlungsverzug des Verbrauchers, und</w:t>
      </w:r>
    </w:p>
    <w:p w14:paraId="157FB861" w14:textId="77777777" w:rsidR="003E6C61" w:rsidRPr="004676F5" w:rsidRDefault="003E6C61" w:rsidP="003E6C61">
      <w:pPr>
        <w:ind w:firstLine="708"/>
        <w:jc w:val="both"/>
        <w:rPr>
          <w:lang w:val="de-DE"/>
        </w:rPr>
      </w:pPr>
    </w:p>
    <w:p w14:paraId="5FD11BD5" w14:textId="77777777" w:rsidR="003E6C61" w:rsidRPr="004676F5" w:rsidRDefault="003E6C61" w:rsidP="003E6C61">
      <w:pPr>
        <w:ind w:firstLine="708"/>
        <w:jc w:val="both"/>
        <w:rPr>
          <w:lang w:val="de-DE"/>
        </w:rPr>
      </w:pPr>
      <w:r w:rsidRPr="004676F5">
        <w:rPr>
          <w:lang w:val="de-DE"/>
        </w:rPr>
        <w:t>4. wenn Nebenleistungen mit einem Kreditvertrag gebündelt werden, ob jeder einzelne Bestandteil des Pakets einzeln beendet werden kann, und welche Folgen dies für den Verbraucher hätte.</w:t>
      </w:r>
    </w:p>
    <w:p w14:paraId="742595DD" w14:textId="77777777" w:rsidR="003E6C61" w:rsidRPr="004676F5" w:rsidRDefault="003E6C61" w:rsidP="003E6C61">
      <w:pPr>
        <w:jc w:val="both"/>
        <w:rPr>
          <w:lang w:val="de-DE"/>
        </w:rPr>
      </w:pPr>
    </w:p>
    <w:p w14:paraId="60F3372B" w14:textId="77777777" w:rsidR="002E20BA" w:rsidRPr="004676F5" w:rsidRDefault="002E20BA" w:rsidP="003E6C61">
      <w:pPr>
        <w:jc w:val="both"/>
        <w:rPr>
          <w:lang w:val="de-DE"/>
        </w:rPr>
      </w:pPr>
    </w:p>
    <w:p w14:paraId="6D985E6F" w14:textId="7B2CA5BF" w:rsidR="003E6C61" w:rsidRPr="004676F5" w:rsidRDefault="003E6C61" w:rsidP="003E6C61">
      <w:pPr>
        <w:jc w:val="center"/>
        <w:rPr>
          <w:lang w:val="de-DE"/>
        </w:rPr>
      </w:pPr>
      <w:r w:rsidRPr="004676F5">
        <w:rPr>
          <w:lang w:val="de-DE"/>
        </w:rPr>
        <w:t>Unterabschnitt 5 </w:t>
      </w:r>
      <w:r w:rsidR="005B7A5C" w:rsidRPr="004676F5">
        <w:rPr>
          <w:lang w:val="de-DE"/>
        </w:rPr>
        <w:t>- </w:t>
      </w:r>
      <w:r w:rsidRPr="004676F5">
        <w:rPr>
          <w:lang w:val="de-DE"/>
        </w:rPr>
        <w:t>Allgemeine Verhaltensregeln</w:t>
      </w:r>
    </w:p>
    <w:p w14:paraId="096BC529" w14:textId="77777777" w:rsidR="003E6C61" w:rsidRPr="004676F5" w:rsidRDefault="003E6C61" w:rsidP="003E6C61">
      <w:pPr>
        <w:jc w:val="both"/>
        <w:rPr>
          <w:lang w:val="de-DE"/>
        </w:rPr>
      </w:pPr>
    </w:p>
    <w:p w14:paraId="06775AB0" w14:textId="77777777" w:rsidR="002E20BA" w:rsidRPr="004676F5" w:rsidRDefault="002E20BA" w:rsidP="003E6C61">
      <w:pPr>
        <w:jc w:val="both"/>
        <w:rPr>
          <w:lang w:val="de-DE"/>
        </w:rPr>
      </w:pPr>
    </w:p>
    <w:p w14:paraId="2BDECC88" w14:textId="6A148CB5" w:rsidR="003E6C61" w:rsidRPr="004676F5" w:rsidRDefault="00BE0A56" w:rsidP="003E6C61">
      <w:pPr>
        <w:ind w:firstLine="708"/>
        <w:jc w:val="both"/>
        <w:rPr>
          <w:lang w:val="de-DE"/>
        </w:rPr>
      </w:pPr>
      <w:r w:rsidRPr="004676F5">
        <w:rPr>
          <w:b/>
          <w:lang w:val="de-DE"/>
        </w:rPr>
        <w:t>Art. </w:t>
      </w:r>
      <w:r w:rsidR="003E6C61" w:rsidRPr="004676F5">
        <w:rPr>
          <w:b/>
          <w:lang w:val="de-DE"/>
        </w:rPr>
        <w:t>VII.130</w:t>
      </w:r>
      <w:r w:rsidR="003E6C61" w:rsidRPr="004676F5">
        <w:rPr>
          <w:lang w:val="de-DE"/>
        </w:rPr>
        <w:t> </w:t>
      </w:r>
      <w:r w:rsidR="005B7A5C" w:rsidRPr="004676F5">
        <w:rPr>
          <w:lang w:val="de-DE"/>
        </w:rPr>
        <w:t>- </w:t>
      </w:r>
      <w:r w:rsidR="003E6C61" w:rsidRPr="004676F5">
        <w:rPr>
          <w:lang w:val="de-DE"/>
        </w:rPr>
        <w:t>Kreditgeber und Kreditvermittler handeln bei der Gestaltung von Kreditprodukten oder der Gewährung oder der Vermittlung von Krediten oder der Erbringung von Beratungsdienstleistungen zu Krediten oder gegebenenfalls von Nebenleistungen für Verbraucher oder bei der Ausführung eines Kreditvertrags unter Berücksichtigung der Rechte und Interessen der Verbraucher ehrlich, redlich, transparent und professionell. Tätigkeiten im Zusammenhang mit der Gewährung, Vermittlung oder Erbringung von Beratungsdienst</w:t>
      </w:r>
      <w:r w:rsidR="003E6C61" w:rsidRPr="004676F5">
        <w:rPr>
          <w:lang w:val="de-DE"/>
        </w:rPr>
        <w:softHyphen/>
        <w:t>leistungen zu Krediten oder gegebenenfalls von Nebenleistungen sind Informationen über die Umstände des Verbrauchers, von ihm angegebene konkrete Bedürfnisse und realistische Annahmen bezüglich der Risiken für die Situation des Verbrauchers während der Laufzeit des Kreditvertrags zugrunde zu legen.</w:t>
      </w:r>
    </w:p>
    <w:p w14:paraId="1D5958E5" w14:textId="77777777" w:rsidR="003E6C61" w:rsidRPr="004676F5" w:rsidRDefault="003E6C61" w:rsidP="003E6C61">
      <w:pPr>
        <w:jc w:val="both"/>
        <w:rPr>
          <w:lang w:val="de-DE"/>
        </w:rPr>
      </w:pPr>
    </w:p>
    <w:p w14:paraId="07B41AB8" w14:textId="77777777" w:rsidR="002E20BA" w:rsidRPr="004676F5" w:rsidRDefault="002E20BA" w:rsidP="003E6C61">
      <w:pPr>
        <w:jc w:val="both"/>
        <w:rPr>
          <w:lang w:val="de-DE"/>
        </w:rPr>
      </w:pPr>
    </w:p>
    <w:p w14:paraId="2371A9EF" w14:textId="52A3E84D" w:rsidR="003E6C61" w:rsidRPr="004676F5" w:rsidRDefault="003E6C61" w:rsidP="003E6C61">
      <w:pPr>
        <w:jc w:val="center"/>
        <w:rPr>
          <w:lang w:val="de-DE"/>
        </w:rPr>
      </w:pPr>
      <w:r w:rsidRPr="004676F5">
        <w:rPr>
          <w:lang w:val="de-DE"/>
        </w:rPr>
        <w:t>Unterabschnitt 6 </w:t>
      </w:r>
      <w:r w:rsidR="005B7A5C" w:rsidRPr="004676F5">
        <w:rPr>
          <w:lang w:val="de-DE"/>
        </w:rPr>
        <w:t>- </w:t>
      </w:r>
      <w:r w:rsidRPr="004676F5">
        <w:rPr>
          <w:lang w:val="de-DE"/>
        </w:rPr>
        <w:t>Beratungspflichten und -dienstleistungen</w:t>
      </w:r>
    </w:p>
    <w:p w14:paraId="5A910C4A" w14:textId="77777777" w:rsidR="003E6C61" w:rsidRPr="004676F5" w:rsidRDefault="003E6C61" w:rsidP="003E6C61">
      <w:pPr>
        <w:jc w:val="both"/>
        <w:rPr>
          <w:lang w:val="de-DE"/>
        </w:rPr>
      </w:pPr>
    </w:p>
    <w:p w14:paraId="09916441" w14:textId="77777777" w:rsidR="002E20BA" w:rsidRPr="004676F5" w:rsidRDefault="002E20BA" w:rsidP="003E6C61">
      <w:pPr>
        <w:jc w:val="both"/>
        <w:rPr>
          <w:lang w:val="de-DE"/>
        </w:rPr>
      </w:pPr>
    </w:p>
    <w:p w14:paraId="29BFBE46" w14:textId="5A0EDE00" w:rsidR="003E6C61" w:rsidRPr="004676F5" w:rsidRDefault="00BE0A56" w:rsidP="003E6C61">
      <w:pPr>
        <w:ind w:firstLine="708"/>
        <w:jc w:val="both"/>
        <w:rPr>
          <w:lang w:val="de-DE"/>
        </w:rPr>
      </w:pPr>
      <w:r w:rsidRPr="004676F5">
        <w:rPr>
          <w:b/>
          <w:lang w:val="de-DE"/>
        </w:rPr>
        <w:t>Art. </w:t>
      </w:r>
      <w:r w:rsidR="003E6C61" w:rsidRPr="004676F5">
        <w:rPr>
          <w:b/>
          <w:lang w:val="de-DE"/>
        </w:rPr>
        <w:t>VII.131</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Kreditgeber und Kreditvermittler sind verpflichtet, für Kreditver</w:t>
      </w:r>
      <w:r w:rsidR="003E6C61" w:rsidRPr="004676F5">
        <w:rPr>
          <w:lang w:val="de-DE"/>
        </w:rPr>
        <w:softHyphen/>
        <w:t>träge, die sie gewöhnlich anbieten oder vermitteln, die Kreditart und den Kreditbetrag zu suchen, die der Finanzlage des Verbrauchers bei Vertragsschluss und dem Zweck des Kredits am besten entsprechen.</w:t>
      </w:r>
    </w:p>
    <w:p w14:paraId="3BF340CC" w14:textId="77777777" w:rsidR="003E6C61" w:rsidRPr="004676F5" w:rsidRDefault="003E6C61" w:rsidP="003E6C61">
      <w:pPr>
        <w:ind w:firstLine="708"/>
        <w:jc w:val="both"/>
        <w:rPr>
          <w:lang w:val="de-DE"/>
        </w:rPr>
      </w:pPr>
    </w:p>
    <w:p w14:paraId="7E09A2E1" w14:textId="77777777" w:rsidR="003E6C61" w:rsidRPr="004676F5" w:rsidRDefault="003E6C61" w:rsidP="003E6C61">
      <w:pPr>
        <w:ind w:firstLine="708"/>
        <w:jc w:val="both"/>
        <w:rPr>
          <w:lang w:val="de-DE"/>
        </w:rPr>
      </w:pPr>
      <w:r w:rsidRPr="004676F5">
        <w:rPr>
          <w:lang w:val="de-DE"/>
        </w:rPr>
        <w:t>Kreditgeber und Kreditvermittler und nur sie bieten dem Verbraucher Beratungsdienst</w:t>
      </w:r>
      <w:r w:rsidRPr="004676F5">
        <w:rPr>
          <w:lang w:val="de-DE"/>
        </w:rPr>
        <w:softHyphen/>
        <w:t>leistungen an. Neben den in vorliegendem Artikel festgelegten Bedingungen und Anforderungen halten Kreditgeber und Kreditvermittler die Artikel VII.147/30 §§ 5 und 6, VII.164 § 1 Absatz 2, VII.165 § 1 Absatz 2, VII.180 § 2 Nr. 3 und VII.181 § 1 Nr. 1 und 2 ein.</w:t>
      </w:r>
    </w:p>
    <w:p w14:paraId="52BA8A99" w14:textId="77777777" w:rsidR="003E6C61" w:rsidRPr="004676F5" w:rsidRDefault="003E6C61" w:rsidP="003E6C61">
      <w:pPr>
        <w:ind w:firstLine="708"/>
        <w:jc w:val="both"/>
        <w:rPr>
          <w:lang w:val="de-DE"/>
        </w:rPr>
      </w:pPr>
    </w:p>
    <w:p w14:paraId="5963E8F8" w14:textId="279D786B"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Kreditgeber und Kreditvermittler weisen den Verbraucher im Rahmen eines bestimmten Geschäfts ausdrücklich darauf hin, dass sie ihm Beratungsdienstleistungen erbringen müssen.</w:t>
      </w:r>
    </w:p>
    <w:p w14:paraId="68ED66AE" w14:textId="77777777" w:rsidR="003E6C61" w:rsidRPr="004676F5" w:rsidRDefault="003E6C61" w:rsidP="003E6C61">
      <w:pPr>
        <w:ind w:firstLine="708"/>
        <w:jc w:val="both"/>
        <w:rPr>
          <w:lang w:val="de-DE"/>
        </w:rPr>
      </w:pPr>
    </w:p>
    <w:p w14:paraId="76891353" w14:textId="2073808D"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 xml:space="preserve">Kreditgeber und Kreditvermittler informieren den Verbraucher vor der Erbringung von Beratungsdienstleistungen oder gegebenenfalls vor dem Abschluss eines Vertrags über die Erbringung von Beratungsdienstleistungen </w:t>
      </w:r>
      <w:r w:rsidR="00324620" w:rsidRPr="004676F5">
        <w:rPr>
          <w:lang w:val="de-DE"/>
        </w:rPr>
        <w:t xml:space="preserve">[auf dauerhaftem Datenträger] </w:t>
      </w:r>
      <w:r w:rsidRPr="004676F5">
        <w:rPr>
          <w:lang w:val="de-DE"/>
        </w:rPr>
        <w:t xml:space="preserve">darüber, ob die Empfehlung sich nur auf ihre eigene Produktpalette im Einklang mit § 4 Absatz 2 oder eine </w:t>
      </w:r>
      <w:r w:rsidRPr="004676F5">
        <w:rPr>
          <w:lang w:val="de-DE"/>
        </w:rPr>
        <w:lastRenderedPageBreak/>
        <w:t>größere Auswahl von Produkten auf dem Markt gemäß § 4 Absatz 3 bezieht, damit der Verbraucher verstehen kann, auf welcher Grundlage die Empfehlung ergeht.</w:t>
      </w:r>
    </w:p>
    <w:p w14:paraId="03B7497F" w14:textId="77777777" w:rsidR="003E6C61" w:rsidRPr="004676F5" w:rsidRDefault="003E6C61" w:rsidP="003E6C61">
      <w:pPr>
        <w:ind w:firstLine="708"/>
        <w:jc w:val="both"/>
        <w:rPr>
          <w:lang w:val="de-DE"/>
        </w:rPr>
      </w:pPr>
    </w:p>
    <w:p w14:paraId="298B47CF" w14:textId="77777777" w:rsidR="003E6C61" w:rsidRPr="004676F5" w:rsidRDefault="003E6C61" w:rsidP="003E6C61">
      <w:pPr>
        <w:ind w:firstLine="708"/>
        <w:jc w:val="both"/>
        <w:rPr>
          <w:lang w:val="de-DE"/>
        </w:rPr>
      </w:pPr>
      <w:r w:rsidRPr="004676F5">
        <w:rPr>
          <w:lang w:val="de-DE"/>
        </w:rPr>
        <w:t>Die in Absatz 1 erwähnten Informationen können dem Verbraucher in Form von zusätzlichen vorvertraglichen Informationen erteilt werden.</w:t>
      </w:r>
    </w:p>
    <w:p w14:paraId="5F4E8C4A" w14:textId="77777777" w:rsidR="003E6C61" w:rsidRPr="004676F5" w:rsidRDefault="003E6C61" w:rsidP="003E6C61">
      <w:pPr>
        <w:ind w:firstLine="708"/>
        <w:jc w:val="both"/>
        <w:rPr>
          <w:lang w:val="de-DE"/>
        </w:rPr>
      </w:pPr>
    </w:p>
    <w:p w14:paraId="6368E6A5" w14:textId="413DAD78"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Kreditgeber und Kreditvermittler sorgen dafür, dass sie erforderliche Informationen über die persönliche und finanzielle Situation, die Präferenzen und Ziele des Verbrauchers erhalten, damit sie geeignete Kreditverträge empfehlen können. Die entsprechende Empfehlung stützt sich auf zum betreffenden Zeitpunkt aktuelle Informationen und legt realistische Annahmen bezüglich der Risiken für die Situation des Verbrauchers während der Laufzeit des angebotenen Kreditvertrags zugrunde.</w:t>
      </w:r>
    </w:p>
    <w:p w14:paraId="4A653A22" w14:textId="77777777" w:rsidR="003E6C61" w:rsidRPr="004676F5" w:rsidRDefault="003E6C61" w:rsidP="003E6C61">
      <w:pPr>
        <w:ind w:firstLine="708"/>
        <w:jc w:val="both"/>
        <w:rPr>
          <w:lang w:val="de-DE"/>
        </w:rPr>
      </w:pPr>
    </w:p>
    <w:p w14:paraId="2873FD4D" w14:textId="77777777" w:rsidR="003E6C61" w:rsidRPr="004676F5" w:rsidRDefault="003E6C61" w:rsidP="003E6C61">
      <w:pPr>
        <w:ind w:firstLine="708"/>
        <w:jc w:val="both"/>
        <w:rPr>
          <w:lang w:val="de-DE"/>
        </w:rPr>
      </w:pPr>
      <w:r w:rsidRPr="004676F5">
        <w:rPr>
          <w:lang w:val="de-DE"/>
        </w:rPr>
        <w:t>Kreditgeber, Kreditvermittler oder von Letzteren benannte Vermittlungsvertreter beziehen eine ausreichende Zahl von Kreditverträgen aus ihrer Produktpalette ein und empfehlen unter Berücksichtigung der Bedürfnisse, der finanziellen Situation und der persönlichen Umstände des Verbrauchers einen geeigneten Kreditvertrag oder mehrere geeignete Kreditverträge aus ihrer Produktpalette.</w:t>
      </w:r>
    </w:p>
    <w:p w14:paraId="04C92960" w14:textId="77777777" w:rsidR="003E6C61" w:rsidRPr="004676F5" w:rsidRDefault="003E6C61" w:rsidP="003E6C61">
      <w:pPr>
        <w:ind w:firstLine="708"/>
        <w:jc w:val="both"/>
        <w:rPr>
          <w:lang w:val="de-DE"/>
        </w:rPr>
      </w:pPr>
    </w:p>
    <w:p w14:paraId="3444F668" w14:textId="77777777" w:rsidR="003E6C61" w:rsidRPr="004676F5" w:rsidRDefault="003E6C61" w:rsidP="003E6C61">
      <w:pPr>
        <w:ind w:firstLine="708"/>
        <w:jc w:val="both"/>
        <w:rPr>
          <w:lang w:val="de-DE"/>
        </w:rPr>
      </w:pPr>
      <w:r w:rsidRPr="004676F5">
        <w:rPr>
          <w:lang w:val="de-DE"/>
        </w:rPr>
        <w:t>Kreditmakler oder ihre Vermittlungsvertreter beziehen eine ausreichende Zahl von auf dem Markt verfügbaren Kreditverträgen ein und empfehlen unter Berücksichtigung der Bedürfnisse, der finanziellen Situation und der persönlichen Umstände des Verbrauchers einen auf dem Markt verfügbaren geeigneten Kreditvertrag oder mehrere auf dem Markt verfügbare geeignete Kreditverträge.</w:t>
      </w:r>
    </w:p>
    <w:p w14:paraId="54ADC5E7" w14:textId="77777777" w:rsidR="003E6C61" w:rsidRPr="004676F5" w:rsidRDefault="003E6C61" w:rsidP="003E6C61">
      <w:pPr>
        <w:ind w:firstLine="708"/>
        <w:jc w:val="both"/>
        <w:rPr>
          <w:lang w:val="de-DE"/>
        </w:rPr>
      </w:pPr>
    </w:p>
    <w:p w14:paraId="298E0BC1" w14:textId="5CDE37F6" w:rsidR="003E6C61" w:rsidRPr="004676F5" w:rsidRDefault="003E6C61" w:rsidP="003E6C61">
      <w:pPr>
        <w:ind w:firstLine="708"/>
        <w:jc w:val="both"/>
        <w:rPr>
          <w:lang w:val="de-DE"/>
        </w:rPr>
      </w:pPr>
      <w:r w:rsidRPr="004676F5">
        <w:rPr>
          <w:lang w:val="de-DE"/>
        </w:rPr>
        <w:t>§ 5 </w:t>
      </w:r>
      <w:r w:rsidR="005B7A5C" w:rsidRPr="004676F5">
        <w:rPr>
          <w:lang w:val="de-DE"/>
        </w:rPr>
        <w:t>- </w:t>
      </w:r>
      <w:r w:rsidRPr="004676F5">
        <w:rPr>
          <w:lang w:val="de-DE"/>
        </w:rPr>
        <w:t>Kreditgeber und Kreditvermittler handeln im besten Interesse der Verbraucher:</w:t>
      </w:r>
    </w:p>
    <w:p w14:paraId="4965C6FA" w14:textId="77777777" w:rsidR="003E6C61" w:rsidRPr="004676F5" w:rsidRDefault="003E6C61" w:rsidP="003E6C61">
      <w:pPr>
        <w:ind w:firstLine="708"/>
        <w:jc w:val="both"/>
        <w:rPr>
          <w:lang w:val="de-DE"/>
        </w:rPr>
      </w:pPr>
    </w:p>
    <w:p w14:paraId="608F32D2" w14:textId="77777777" w:rsidR="003E6C61" w:rsidRPr="004676F5" w:rsidRDefault="003E6C61" w:rsidP="003E6C61">
      <w:pPr>
        <w:ind w:firstLine="708"/>
        <w:jc w:val="both"/>
        <w:rPr>
          <w:lang w:val="de-DE"/>
        </w:rPr>
      </w:pPr>
      <w:r w:rsidRPr="004676F5">
        <w:rPr>
          <w:lang w:val="de-DE"/>
        </w:rPr>
        <w:t>1. indem sie sich über die Bedürfnisse und Umstände des Verbrauchers informieren und</w:t>
      </w:r>
    </w:p>
    <w:p w14:paraId="709D7F7F" w14:textId="77777777" w:rsidR="003E6C61" w:rsidRPr="004676F5" w:rsidRDefault="003E6C61" w:rsidP="003E6C61">
      <w:pPr>
        <w:ind w:firstLine="708"/>
        <w:jc w:val="both"/>
        <w:rPr>
          <w:lang w:val="de-DE"/>
        </w:rPr>
      </w:pPr>
    </w:p>
    <w:p w14:paraId="653129D7" w14:textId="77777777" w:rsidR="003E6C61" w:rsidRPr="004676F5" w:rsidRDefault="003E6C61" w:rsidP="003E6C61">
      <w:pPr>
        <w:ind w:firstLine="708"/>
        <w:jc w:val="both"/>
        <w:rPr>
          <w:lang w:val="de-DE"/>
        </w:rPr>
      </w:pPr>
      <w:r w:rsidRPr="004676F5">
        <w:rPr>
          <w:lang w:val="de-DE"/>
        </w:rPr>
        <w:t>2. geeignete Kreditverträge im Einklang mit § 4 empfehlen.</w:t>
      </w:r>
    </w:p>
    <w:p w14:paraId="2A1EFCF1" w14:textId="77777777" w:rsidR="003E6C61" w:rsidRPr="004676F5" w:rsidRDefault="003E6C61" w:rsidP="003E6C61">
      <w:pPr>
        <w:ind w:firstLine="708"/>
        <w:jc w:val="both"/>
        <w:rPr>
          <w:lang w:val="de-DE"/>
        </w:rPr>
      </w:pPr>
    </w:p>
    <w:p w14:paraId="01DA693E" w14:textId="3208E2CA" w:rsidR="003E6C61" w:rsidRPr="004676F5" w:rsidRDefault="003E6C61" w:rsidP="003E6C61">
      <w:pPr>
        <w:ind w:firstLine="708"/>
        <w:jc w:val="both"/>
        <w:rPr>
          <w:lang w:val="de-DE"/>
        </w:rPr>
      </w:pPr>
      <w:r w:rsidRPr="004676F5">
        <w:rPr>
          <w:lang w:val="de-DE"/>
        </w:rPr>
        <w:t xml:space="preserve">Kreditgeber und Kreditvermittler stellen dem Verbraucher eine Aufzeichnung der abgegebenen Empfehlung </w:t>
      </w:r>
      <w:r w:rsidR="00E057DB" w:rsidRPr="004676F5">
        <w:rPr>
          <w:lang w:val="de-DE"/>
        </w:rPr>
        <w:t xml:space="preserve">[auf dauerhaftem Datenträger] </w:t>
      </w:r>
      <w:r w:rsidRPr="004676F5">
        <w:rPr>
          <w:lang w:val="de-DE"/>
        </w:rPr>
        <w:t>zur Verfügung.</w:t>
      </w:r>
    </w:p>
    <w:p w14:paraId="33043223" w14:textId="77777777" w:rsidR="003E6C61" w:rsidRPr="004676F5" w:rsidRDefault="003E6C61" w:rsidP="003E6C61">
      <w:pPr>
        <w:ind w:firstLine="708"/>
        <w:jc w:val="both"/>
        <w:rPr>
          <w:lang w:val="de-DE"/>
        </w:rPr>
      </w:pPr>
    </w:p>
    <w:p w14:paraId="43042E8D" w14:textId="77777777" w:rsidR="003E6C61" w:rsidRPr="004676F5" w:rsidRDefault="003E6C61" w:rsidP="003E6C61">
      <w:pPr>
        <w:ind w:firstLine="708"/>
        <w:jc w:val="both"/>
        <w:rPr>
          <w:lang w:val="de-DE"/>
        </w:rPr>
      </w:pPr>
      <w:r w:rsidRPr="004676F5">
        <w:rPr>
          <w:lang w:val="de-DE"/>
        </w:rPr>
        <w:t>Kreditgeber und Kreditvermittler warnen den Verbraucher, wenn ein Kreditvertrag unter Berücksichtigung der finanziellen Situation des Verbrauchers möglicherweise ein spezifisches Risiko für ihn birgt.</w:t>
      </w:r>
    </w:p>
    <w:p w14:paraId="127AACCB" w14:textId="77777777" w:rsidR="003E6C61" w:rsidRPr="004676F5" w:rsidRDefault="003E6C61" w:rsidP="003E6C61">
      <w:pPr>
        <w:ind w:firstLine="708"/>
        <w:jc w:val="both"/>
        <w:rPr>
          <w:lang w:val="de-DE"/>
        </w:rPr>
      </w:pPr>
    </w:p>
    <w:p w14:paraId="0743ABDC" w14:textId="62CC459C" w:rsidR="003E6C61" w:rsidRPr="004676F5" w:rsidRDefault="003E6C61" w:rsidP="003E6C61">
      <w:pPr>
        <w:ind w:firstLine="708"/>
        <w:jc w:val="both"/>
        <w:rPr>
          <w:lang w:val="de-DE"/>
        </w:rPr>
      </w:pPr>
      <w:r w:rsidRPr="004676F5">
        <w:rPr>
          <w:lang w:val="de-DE"/>
        </w:rPr>
        <w:t>§ 6 </w:t>
      </w:r>
      <w:r w:rsidR="005B7A5C" w:rsidRPr="004676F5">
        <w:rPr>
          <w:lang w:val="de-DE"/>
        </w:rPr>
        <w:t>- </w:t>
      </w:r>
      <w:r w:rsidRPr="004676F5">
        <w:rPr>
          <w:lang w:val="de-DE"/>
        </w:rPr>
        <w:t>Die Verwendung der Begriffe "Beratung" und "Berater" oder ähnlicher Begriffe ist untersagt, wenn die Beratungsdienstleistungen von Kreditgebern oder Kreditvermittlern erbracht werden.</w:t>
      </w:r>
    </w:p>
    <w:p w14:paraId="4A24CEAB" w14:textId="77777777" w:rsidR="003E6C61" w:rsidRPr="004676F5" w:rsidRDefault="003E6C61" w:rsidP="003E6C61">
      <w:pPr>
        <w:ind w:firstLine="708"/>
        <w:jc w:val="both"/>
        <w:rPr>
          <w:lang w:val="de-DE"/>
        </w:rPr>
      </w:pPr>
    </w:p>
    <w:p w14:paraId="0119555C" w14:textId="36215C47" w:rsidR="003E6C61" w:rsidRPr="004676F5" w:rsidRDefault="003E6C61" w:rsidP="003E6C61">
      <w:pPr>
        <w:ind w:firstLine="708"/>
        <w:jc w:val="both"/>
        <w:rPr>
          <w:lang w:val="de-DE"/>
        </w:rPr>
      </w:pPr>
      <w:r w:rsidRPr="004676F5">
        <w:rPr>
          <w:lang w:val="de-DE"/>
        </w:rPr>
        <w:t>§ 7 </w:t>
      </w:r>
      <w:r w:rsidR="005B7A5C" w:rsidRPr="004676F5">
        <w:rPr>
          <w:lang w:val="de-DE"/>
        </w:rPr>
        <w:t>- </w:t>
      </w:r>
      <w:r w:rsidRPr="004676F5">
        <w:rPr>
          <w:lang w:val="de-DE"/>
        </w:rPr>
        <w:t>Natürlichen oder juristischen Personen mit der Eigenschaft eines Kreditgebers oder Kreditvermittlers ist es untersagt, für diese Beratungsdienstleistungen direkt oder indirekt vom Verbraucher irgendeine Vergütung zu verlangen, selbst wenn sie außerhalb einer Kredit</w:t>
      </w:r>
      <w:r w:rsidRPr="004676F5">
        <w:rPr>
          <w:lang w:val="de-DE"/>
        </w:rPr>
        <w:softHyphen/>
        <w:t>vermittlung oder Kreditgewährung handeln.</w:t>
      </w:r>
    </w:p>
    <w:p w14:paraId="43EC58BA" w14:textId="77777777" w:rsidR="003E6C61" w:rsidRPr="004676F5" w:rsidRDefault="003E6C61" w:rsidP="003E6C61">
      <w:pPr>
        <w:jc w:val="both"/>
        <w:rPr>
          <w:lang w:val="de-DE"/>
        </w:rPr>
      </w:pPr>
    </w:p>
    <w:p w14:paraId="714E17F8" w14:textId="56A6B423" w:rsidR="00324620" w:rsidRPr="004676F5" w:rsidRDefault="00324620" w:rsidP="00324620">
      <w:pPr>
        <w:jc w:val="both"/>
        <w:rPr>
          <w:i/>
          <w:iCs/>
          <w:lang w:val="de-DE"/>
        </w:rPr>
      </w:pPr>
      <w:r w:rsidRPr="004676F5">
        <w:rPr>
          <w:i/>
          <w:iCs/>
          <w:lang w:val="de-DE"/>
        </w:rPr>
        <w:t>[Art. VII.131 § 3 Abs. 1 abgeändert durch Art. 12 des G. vom 20. September 2018 (B.S. vom 10. Oktober 2018)</w:t>
      </w:r>
      <w:r w:rsidR="00E057DB" w:rsidRPr="004676F5">
        <w:rPr>
          <w:i/>
          <w:iCs/>
          <w:lang w:val="de-DE"/>
        </w:rPr>
        <w:t>; § 5 Abs. 2 abgeändert durch Art. 12 des G. vom 20. September 2018 (B.S. vom 10. Oktober 2018)</w:t>
      </w:r>
      <w:r w:rsidRPr="004676F5">
        <w:rPr>
          <w:i/>
          <w:iCs/>
          <w:lang w:val="de-DE"/>
        </w:rPr>
        <w:t>]</w:t>
      </w:r>
    </w:p>
    <w:p w14:paraId="5D14BB26" w14:textId="77777777" w:rsidR="002E20BA" w:rsidRPr="004676F5" w:rsidRDefault="002E20BA" w:rsidP="003E6C61">
      <w:pPr>
        <w:jc w:val="both"/>
        <w:rPr>
          <w:lang w:val="de-DE"/>
        </w:rPr>
      </w:pPr>
    </w:p>
    <w:p w14:paraId="3B1F9AB9" w14:textId="77777777" w:rsidR="00324620" w:rsidRPr="004676F5" w:rsidRDefault="00324620">
      <w:pPr>
        <w:rPr>
          <w:lang w:val="de-DE"/>
        </w:rPr>
      </w:pPr>
      <w:r w:rsidRPr="004676F5">
        <w:rPr>
          <w:lang w:val="de-DE"/>
        </w:rPr>
        <w:br w:type="page"/>
      </w:r>
    </w:p>
    <w:p w14:paraId="7F5C9577" w14:textId="32C64FA1" w:rsidR="003E6C61" w:rsidRPr="004676F5" w:rsidRDefault="003E6C61" w:rsidP="003E6C61">
      <w:pPr>
        <w:jc w:val="center"/>
        <w:rPr>
          <w:lang w:val="de-DE"/>
        </w:rPr>
      </w:pPr>
      <w:r w:rsidRPr="004676F5">
        <w:rPr>
          <w:lang w:val="de-DE"/>
        </w:rPr>
        <w:lastRenderedPageBreak/>
        <w:t>Unterabschnitt 7 </w:t>
      </w:r>
      <w:r w:rsidR="005B7A5C" w:rsidRPr="004676F5">
        <w:rPr>
          <w:lang w:val="de-DE"/>
        </w:rPr>
        <w:t>- </w:t>
      </w:r>
      <w:r w:rsidRPr="004676F5">
        <w:rPr>
          <w:lang w:val="de-DE"/>
        </w:rPr>
        <w:t>Untersuchungspflicht</w:t>
      </w:r>
    </w:p>
    <w:p w14:paraId="1DDEEF51" w14:textId="77777777" w:rsidR="003E6C61" w:rsidRPr="004676F5" w:rsidRDefault="003E6C61" w:rsidP="003E6C61">
      <w:pPr>
        <w:jc w:val="both"/>
        <w:rPr>
          <w:lang w:val="de-DE"/>
        </w:rPr>
      </w:pPr>
    </w:p>
    <w:p w14:paraId="0C8FBE49" w14:textId="77777777" w:rsidR="002E20BA" w:rsidRPr="004676F5" w:rsidRDefault="002E20BA" w:rsidP="003E6C61">
      <w:pPr>
        <w:jc w:val="both"/>
        <w:rPr>
          <w:lang w:val="de-DE"/>
        </w:rPr>
      </w:pPr>
    </w:p>
    <w:p w14:paraId="0183B16B" w14:textId="2BD37F61" w:rsidR="003E6C61" w:rsidRPr="004676F5" w:rsidRDefault="00BE0A56" w:rsidP="003E6C61">
      <w:pPr>
        <w:ind w:firstLine="708"/>
        <w:jc w:val="both"/>
        <w:rPr>
          <w:lang w:val="de-DE"/>
        </w:rPr>
      </w:pPr>
      <w:r w:rsidRPr="004676F5">
        <w:rPr>
          <w:b/>
          <w:lang w:val="de-DE"/>
        </w:rPr>
        <w:t>Art. </w:t>
      </w:r>
      <w:r w:rsidR="003E6C61" w:rsidRPr="004676F5">
        <w:rPr>
          <w:b/>
          <w:lang w:val="de-DE"/>
        </w:rPr>
        <w:t>VII.132</w:t>
      </w:r>
      <w:r w:rsidR="003E6C61" w:rsidRPr="004676F5">
        <w:rPr>
          <w:lang w:val="de-DE"/>
        </w:rPr>
        <w:t> </w:t>
      </w:r>
      <w:r w:rsidR="005B7A5C" w:rsidRPr="004676F5">
        <w:rPr>
          <w:lang w:val="de-DE"/>
        </w:rPr>
        <w:t>- </w:t>
      </w:r>
      <w:r w:rsidR="003E6C61" w:rsidRPr="004676F5">
        <w:rPr>
          <w:lang w:val="de-DE"/>
        </w:rPr>
        <w:t>Kreditgeber dürfen einen Kreditvertrag oder einen Vertrag über eine Sicherheitsleistung nur abschließen nach Überprüfung der Erkennungsdaten aufgrund je nach Fall:</w:t>
      </w:r>
    </w:p>
    <w:p w14:paraId="343A0082" w14:textId="77777777" w:rsidR="003E6C61" w:rsidRPr="004676F5" w:rsidRDefault="003E6C61" w:rsidP="003E6C61">
      <w:pPr>
        <w:ind w:firstLine="708"/>
        <w:jc w:val="both"/>
        <w:rPr>
          <w:lang w:val="de-DE"/>
        </w:rPr>
      </w:pPr>
    </w:p>
    <w:p w14:paraId="30323C44" w14:textId="508FA114" w:rsidR="003E6C61" w:rsidRPr="004676F5" w:rsidRDefault="005B7A5C" w:rsidP="003E6C61">
      <w:pPr>
        <w:ind w:firstLine="708"/>
        <w:jc w:val="both"/>
        <w:rPr>
          <w:lang w:val="de-DE"/>
        </w:rPr>
      </w:pPr>
      <w:r w:rsidRPr="004676F5">
        <w:rPr>
          <w:lang w:val="de-DE"/>
        </w:rPr>
        <w:t>- </w:t>
      </w:r>
      <w:r w:rsidR="003E6C61" w:rsidRPr="004676F5">
        <w:rPr>
          <w:lang w:val="de-DE"/>
        </w:rPr>
        <w:t>des in Artikel 6 des Gesetzes vom 19. Juli 1991 über die Bevölkerungsregister, die Personalausweise, die Ausländerkarten und die Aufenthaltsdokumente und zur Abänderung des Gesetzes vom 8. August 1983 zur Organisation eines Nationalregisters der natürlichen Personen erwähnten Personalausweises,</w:t>
      </w:r>
    </w:p>
    <w:p w14:paraId="123ED529" w14:textId="77777777" w:rsidR="003E6C61" w:rsidRPr="004676F5" w:rsidRDefault="003E6C61" w:rsidP="003E6C61">
      <w:pPr>
        <w:ind w:firstLine="708"/>
        <w:jc w:val="both"/>
        <w:rPr>
          <w:lang w:val="de-DE"/>
        </w:rPr>
      </w:pPr>
    </w:p>
    <w:p w14:paraId="0F843690" w14:textId="35B08434" w:rsidR="003E6C61" w:rsidRPr="004676F5" w:rsidRDefault="005B7A5C" w:rsidP="003E6C61">
      <w:pPr>
        <w:ind w:firstLine="708"/>
        <w:jc w:val="both"/>
        <w:rPr>
          <w:lang w:val="de-DE"/>
        </w:rPr>
      </w:pPr>
      <w:r w:rsidRPr="004676F5">
        <w:rPr>
          <w:lang w:val="de-DE"/>
        </w:rPr>
        <w:t>- </w:t>
      </w:r>
      <w:r w:rsidR="003E6C61" w:rsidRPr="004676F5">
        <w:rPr>
          <w:lang w:val="de-DE"/>
        </w:rPr>
        <w:t>des Aufenthaltsscheins, der zum Zeitpunkt der Eintragung in das in Artikel 1 § 1 Absatz 1 Nr. 2 des vorerwähnten Gesetzes vom 19. Juli 1991 erwähnte Warteregister ausgestellt wird,</w:t>
      </w:r>
    </w:p>
    <w:p w14:paraId="5E2DF808" w14:textId="77777777" w:rsidR="003E6C61" w:rsidRPr="004676F5" w:rsidRDefault="003E6C61" w:rsidP="003E6C61">
      <w:pPr>
        <w:ind w:firstLine="708"/>
        <w:jc w:val="both"/>
        <w:rPr>
          <w:lang w:val="de-DE"/>
        </w:rPr>
      </w:pPr>
    </w:p>
    <w:p w14:paraId="24913891" w14:textId="750C669F" w:rsidR="003E6C61" w:rsidRPr="004676F5" w:rsidRDefault="005B7A5C" w:rsidP="003E6C61">
      <w:pPr>
        <w:ind w:firstLine="708"/>
        <w:jc w:val="both"/>
        <w:rPr>
          <w:lang w:val="de-DE"/>
        </w:rPr>
      </w:pPr>
      <w:r w:rsidRPr="004676F5">
        <w:rPr>
          <w:lang w:val="de-DE"/>
        </w:rPr>
        <w:t>- </w:t>
      </w:r>
      <w:r w:rsidR="003E6C61" w:rsidRPr="004676F5">
        <w:rPr>
          <w:lang w:val="de-DE"/>
        </w:rPr>
        <w:t>des Personalausweises, Passes oder gleichwertigen Reisescheins, der einem nicht im Königreich wohnhaften Ausländer vom Staat, in dem er wohnt oder dessen Staatsangehöriger er ist, ausgestellt wird.</w:t>
      </w:r>
    </w:p>
    <w:p w14:paraId="7233D2D0" w14:textId="77777777" w:rsidR="003E6C61" w:rsidRPr="004676F5" w:rsidRDefault="003E6C61" w:rsidP="003E6C61">
      <w:pPr>
        <w:ind w:firstLine="708"/>
        <w:jc w:val="both"/>
        <w:rPr>
          <w:lang w:val="de-DE"/>
        </w:rPr>
      </w:pPr>
    </w:p>
    <w:p w14:paraId="492B61FC" w14:textId="77777777" w:rsidR="002E20BA" w:rsidRPr="004676F5" w:rsidRDefault="002E20BA" w:rsidP="003E6C61">
      <w:pPr>
        <w:ind w:firstLine="708"/>
        <w:jc w:val="both"/>
        <w:rPr>
          <w:lang w:val="de-DE"/>
        </w:rPr>
      </w:pPr>
    </w:p>
    <w:p w14:paraId="205AD418" w14:textId="5F37728A" w:rsidR="003E6C61" w:rsidRPr="004676F5" w:rsidRDefault="00BE0A56" w:rsidP="003E6C61">
      <w:pPr>
        <w:ind w:firstLine="708"/>
        <w:jc w:val="both"/>
        <w:rPr>
          <w:lang w:val="de-DE"/>
        </w:rPr>
      </w:pPr>
      <w:r w:rsidRPr="004676F5">
        <w:rPr>
          <w:b/>
          <w:lang w:val="de-DE"/>
        </w:rPr>
        <w:t>Art. </w:t>
      </w:r>
      <w:r w:rsidR="003E6C61" w:rsidRPr="004676F5">
        <w:rPr>
          <w:b/>
          <w:lang w:val="de-DE"/>
        </w:rPr>
        <w:t>VII.133</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Vor Abschluss eines Kreditvertrags nimmt der Kreditgeber eine eingehende Prüfung der Kreditwürdigkeit des Verbrauchers vor und überprüft, ob der Verbraucher seinen Rückzahlungspflichten nachkommen können wird. Er beurteilt ebenfalls die Zahlungsfähigkeit der Personen, die eine persönliche Sicherheit leisten.</w:t>
      </w:r>
    </w:p>
    <w:p w14:paraId="57876480" w14:textId="77777777" w:rsidR="003E6C61" w:rsidRPr="004676F5" w:rsidRDefault="003E6C61" w:rsidP="003E6C61">
      <w:pPr>
        <w:ind w:firstLine="708"/>
        <w:jc w:val="both"/>
        <w:rPr>
          <w:lang w:val="de-DE"/>
        </w:rPr>
      </w:pPr>
    </w:p>
    <w:p w14:paraId="00275CCB" w14:textId="77777777" w:rsidR="003E6C61" w:rsidRPr="004676F5" w:rsidRDefault="003E6C61" w:rsidP="003E6C61">
      <w:pPr>
        <w:ind w:firstLine="708"/>
        <w:jc w:val="both"/>
        <w:rPr>
          <w:lang w:val="de-DE"/>
        </w:rPr>
      </w:pPr>
      <w:r w:rsidRPr="004676F5">
        <w:rPr>
          <w:lang w:val="de-DE"/>
        </w:rPr>
        <w:t>Die Kreditwürdigkeitsprüfung wird auf der Grundlage notwendiger, ausreichender und angemessener Informationen zu Einkommen, Ausgaben und anderen finanziellen und wirtschaftlichen Umständen des Verbrauchers vorgenommen. Der Kreditgeber ermittelt die Informationen aus einschlägigen internen oder externen Quellen, einschließlich des Verbrauchers, und die Informationen schließen auch die Auskünfte ein, die dem Kredit</w:t>
      </w:r>
      <w:r w:rsidRPr="004676F5">
        <w:rPr>
          <w:lang w:val="de-DE"/>
        </w:rPr>
        <w:softHyphen/>
        <w:t>vermittler im Zuge des Kreditbeantragungsverfahrens erteilt wurden.</w:t>
      </w:r>
    </w:p>
    <w:p w14:paraId="011F8681" w14:textId="77777777" w:rsidR="003E6C61" w:rsidRPr="004676F5" w:rsidRDefault="003E6C61" w:rsidP="003E6C61">
      <w:pPr>
        <w:ind w:firstLine="708"/>
        <w:jc w:val="both"/>
        <w:rPr>
          <w:lang w:val="de-DE"/>
        </w:rPr>
      </w:pPr>
    </w:p>
    <w:p w14:paraId="3177C387" w14:textId="77777777" w:rsidR="003E6C61" w:rsidRPr="004676F5" w:rsidRDefault="003E6C61" w:rsidP="003E6C61">
      <w:pPr>
        <w:ind w:firstLine="708"/>
        <w:jc w:val="both"/>
        <w:rPr>
          <w:lang w:val="de-DE"/>
        </w:rPr>
      </w:pPr>
      <w:r w:rsidRPr="004676F5">
        <w:rPr>
          <w:lang w:val="de-DE"/>
        </w:rPr>
        <w:t>Zu diesem Zweck muss der Kreditgeber außer bei Überziehung darüber hinaus die Zentrale abfragen. Der König bestimmt die Modalitäten dieser Abfrage. Die Bedingungen für den Zugang zu der Zentrale oder zu einer anderen Datei, die zur Prüfung der Kreditwürdigkeit des Verbrauchers oder der Zahlungsfähigkeit einer Person, die eine persönliche Sicherheit leistet, oder zur Überprüfung des Weiterbestehens dieser Kreditwürdigkeit beziehungsweise Zahlungsfähigkeit verwendet wird, dürfen nicht diskriminierend sein.</w:t>
      </w:r>
    </w:p>
    <w:p w14:paraId="5A94F0E3" w14:textId="77777777" w:rsidR="003E6C61" w:rsidRPr="004676F5" w:rsidRDefault="003E6C61" w:rsidP="003E6C61">
      <w:pPr>
        <w:ind w:firstLine="708"/>
        <w:jc w:val="both"/>
        <w:rPr>
          <w:lang w:val="de-DE"/>
        </w:rPr>
      </w:pPr>
    </w:p>
    <w:p w14:paraId="1EEA27A2" w14:textId="77777777" w:rsidR="003E6C61" w:rsidRPr="004676F5" w:rsidRDefault="003E6C61" w:rsidP="003E6C61">
      <w:pPr>
        <w:ind w:firstLine="708"/>
        <w:jc w:val="both"/>
        <w:rPr>
          <w:lang w:val="de-DE"/>
        </w:rPr>
      </w:pPr>
      <w:r w:rsidRPr="004676F5">
        <w:rPr>
          <w:lang w:val="de-DE"/>
        </w:rPr>
        <w:t>Der Kreditgeber sorgt dafür, dass geeignete Verfahren und Angaben, auf die sich die Kreditwürdigkeitsprüfung stützt, festgelegt, dokumentiert und aufbewahrt werden. Zu diesem Zweck legt er für jeden Verbraucher und gegebenenfalls für jede Person, die eine persönliche Sicherheit leistet, eine Kreditakte an, in der die Angaben, auf die sich die Kreditwürdig</w:t>
      </w:r>
      <w:r w:rsidRPr="004676F5">
        <w:rPr>
          <w:lang w:val="de-DE"/>
        </w:rPr>
        <w:softHyphen/>
        <w:t>keitsprüfung stützt, festgelegt, dokumentiert und aufbewahrt werden. Der König bestimmt, in welcher Weise der Kreditgeber den Nachweis über die Abfrage der Zentrale erbringt, und die Frist, während deren dieser Nachweis aufbewahrt werden muss.</w:t>
      </w:r>
    </w:p>
    <w:p w14:paraId="17FF2C4C" w14:textId="77777777" w:rsidR="003E6C61" w:rsidRPr="004676F5" w:rsidRDefault="003E6C61" w:rsidP="003E6C61">
      <w:pPr>
        <w:ind w:firstLine="708"/>
        <w:jc w:val="both"/>
        <w:rPr>
          <w:lang w:val="de-DE"/>
        </w:rPr>
      </w:pPr>
    </w:p>
    <w:p w14:paraId="33532D29" w14:textId="77777777" w:rsidR="003E6C61" w:rsidRPr="004676F5" w:rsidRDefault="003E6C61" w:rsidP="003E6C61">
      <w:pPr>
        <w:ind w:firstLine="708"/>
        <w:jc w:val="both"/>
        <w:rPr>
          <w:lang w:val="de-DE"/>
        </w:rPr>
      </w:pPr>
      <w:r w:rsidRPr="004676F5">
        <w:rPr>
          <w:lang w:val="de-DE"/>
        </w:rPr>
        <w:t>Für die Anwendung der Absätze 1 bis 3 wird für jede Erhöhung des Kreditbetrags der Abschluss eines neuen Kreditvertrags vorausgesetzt.</w:t>
      </w:r>
    </w:p>
    <w:p w14:paraId="18F857A9" w14:textId="77777777" w:rsidR="003E6C61" w:rsidRPr="004676F5" w:rsidRDefault="003E6C61" w:rsidP="003E6C61">
      <w:pPr>
        <w:ind w:firstLine="708"/>
        <w:jc w:val="both"/>
        <w:rPr>
          <w:lang w:val="de-DE"/>
        </w:rPr>
      </w:pPr>
    </w:p>
    <w:p w14:paraId="0A47B91A" w14:textId="77777777" w:rsidR="003E6C61" w:rsidRPr="004676F5" w:rsidRDefault="003E6C61" w:rsidP="003E6C61">
      <w:pPr>
        <w:ind w:firstLine="708"/>
        <w:jc w:val="both"/>
        <w:rPr>
          <w:lang w:val="de-DE"/>
        </w:rPr>
      </w:pPr>
      <w:r w:rsidRPr="004676F5">
        <w:rPr>
          <w:lang w:val="de-DE"/>
        </w:rPr>
        <w:lastRenderedPageBreak/>
        <w:t>Außerdem muss der Kreditgeber bei Mobiliarhypothekarkreditverträgen auf unbestimmte Dauer jedes Jahr spätestens am ersten Arbeitstag nach dem Jahrestag des Abschlusses des Kreditvertrags auf der Grundlage einer erneuten Abfrage der Zentrale die Kreditwürdigkeit des Verbrauchers erneut gemäß den Absätzen 1 bis 3 überprüfen.</w:t>
      </w:r>
    </w:p>
    <w:p w14:paraId="7C94D197" w14:textId="77777777" w:rsidR="003E6C61" w:rsidRPr="004676F5" w:rsidRDefault="003E6C61" w:rsidP="003E6C61">
      <w:pPr>
        <w:ind w:firstLine="708"/>
        <w:jc w:val="both"/>
        <w:rPr>
          <w:lang w:val="de-DE"/>
        </w:rPr>
      </w:pPr>
    </w:p>
    <w:p w14:paraId="74398211" w14:textId="326714BF"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Der Kreditgeber darf einen Kreditvertrag nur abschließen, wenn er unter Berücksichtigung der Informationen, über die er verfügt oder verfügen müsste, berechtigterweise annehmen muss, dass der Verbraucher in der Lage sein wird, die Verbindlichkeiten aus dem Kreditvertrag zu erfüllen.</w:t>
      </w:r>
    </w:p>
    <w:p w14:paraId="5D3FBBE3" w14:textId="77777777" w:rsidR="003E6C61" w:rsidRPr="004676F5" w:rsidRDefault="003E6C61" w:rsidP="003E6C61">
      <w:pPr>
        <w:ind w:firstLine="708"/>
        <w:jc w:val="both"/>
        <w:rPr>
          <w:lang w:val="de-DE"/>
        </w:rPr>
      </w:pPr>
    </w:p>
    <w:p w14:paraId="7117DB17" w14:textId="77777777" w:rsidR="003E6C61" w:rsidRPr="004676F5" w:rsidRDefault="003E6C61" w:rsidP="003E6C61">
      <w:pPr>
        <w:ind w:firstLine="708"/>
        <w:jc w:val="both"/>
        <w:rPr>
          <w:lang w:val="de-DE"/>
        </w:rPr>
      </w:pPr>
      <w:r w:rsidRPr="004676F5">
        <w:rPr>
          <w:lang w:val="de-DE"/>
        </w:rPr>
        <w:t>Die Kreditwürdigkeitsprüfung darf sich nicht hauptsächlich darauf stützen, dass der Wert der Wohnimmobilie den Kreditbetrag übersteigt, oder auf die Annahme, dass der Wert der Wohnimmobilie zunimmt.</w:t>
      </w:r>
    </w:p>
    <w:p w14:paraId="3B3CE336" w14:textId="77777777" w:rsidR="003E6C61" w:rsidRPr="004676F5" w:rsidRDefault="003E6C61" w:rsidP="003E6C61">
      <w:pPr>
        <w:ind w:firstLine="708"/>
        <w:jc w:val="both"/>
        <w:rPr>
          <w:lang w:val="de-DE"/>
        </w:rPr>
      </w:pPr>
    </w:p>
    <w:p w14:paraId="29E57126" w14:textId="77777777" w:rsidR="003E6C61" w:rsidRPr="004676F5" w:rsidRDefault="003E6C61" w:rsidP="003E6C61">
      <w:pPr>
        <w:ind w:firstLine="708"/>
        <w:jc w:val="both"/>
        <w:rPr>
          <w:lang w:val="de-DE"/>
        </w:rPr>
      </w:pPr>
      <w:r w:rsidRPr="004676F5">
        <w:rPr>
          <w:lang w:val="de-DE"/>
        </w:rPr>
        <w:t>Ein Kreditvertrag darf nicht nachträglich mit der Begründung widerrufen oder zum Nachteil des Verbrauchers geändert werden, dass die Kreditwürdigkeitsprüfung nicht ordnungs</w:t>
      </w:r>
      <w:r w:rsidRPr="004676F5">
        <w:rPr>
          <w:lang w:val="de-DE"/>
        </w:rPr>
        <w:softHyphen/>
        <w:t>gemäß durchgeführt wurde. Vorliegender Paragraph findet keine Anwendung, wenn nachgewiesen ist, dass ein Verbraucher Informationen im Sinne des Artikels VII.126 wissentlich vorenthalten oder gefälscht hat.</w:t>
      </w:r>
    </w:p>
    <w:p w14:paraId="6BE1AFD3" w14:textId="77777777" w:rsidR="001F370C" w:rsidRPr="004676F5" w:rsidRDefault="001F370C" w:rsidP="003E6C61">
      <w:pPr>
        <w:ind w:firstLine="708"/>
        <w:jc w:val="both"/>
        <w:rPr>
          <w:lang w:val="de-DE"/>
        </w:rPr>
      </w:pPr>
    </w:p>
    <w:p w14:paraId="6A8BAC94" w14:textId="77777777" w:rsidR="001F370C" w:rsidRPr="004676F5" w:rsidRDefault="001F370C" w:rsidP="001F370C">
      <w:pPr>
        <w:ind w:firstLine="720"/>
        <w:jc w:val="both"/>
        <w:rPr>
          <w:lang w:val="de-DE"/>
        </w:rPr>
      </w:pPr>
      <w:r w:rsidRPr="004676F5">
        <w:rPr>
          <w:lang w:val="de-DE"/>
        </w:rPr>
        <w:t>[Werden im Rahmen eines nicht getilgten Verbraucherkredits und/oder Mobiliar</w:t>
      </w:r>
      <w:r w:rsidRPr="004676F5">
        <w:rPr>
          <w:lang w:val="de-DE"/>
        </w:rPr>
        <w:softHyphen/>
        <w:t>hypothekarkredits für einen Verbraucher bei der Zentrale ein Zahlungsausfall/Zahlungsausfälle für einen rückständigen Gesamtbetrag von mehr als 1.000 EUR registriert, darf der Kreditgeber keinen neuen Mobiliarhypothekarkredit abschließen.</w:t>
      </w:r>
    </w:p>
    <w:p w14:paraId="0B68A301" w14:textId="77777777" w:rsidR="001F370C" w:rsidRPr="004676F5" w:rsidRDefault="001F370C" w:rsidP="001F370C">
      <w:pPr>
        <w:ind w:firstLine="720"/>
        <w:jc w:val="both"/>
        <w:rPr>
          <w:lang w:val="de-DE"/>
        </w:rPr>
      </w:pPr>
    </w:p>
    <w:p w14:paraId="7C9B778B" w14:textId="48420CCB" w:rsidR="001F370C" w:rsidRPr="004676F5" w:rsidRDefault="001F370C" w:rsidP="001F370C">
      <w:pPr>
        <w:ind w:firstLine="708"/>
        <w:jc w:val="both"/>
        <w:rPr>
          <w:lang w:val="de-DE"/>
        </w:rPr>
      </w:pPr>
      <w:r w:rsidRPr="004676F5">
        <w:rPr>
          <w:lang w:val="de-DE"/>
        </w:rPr>
        <w:t>In anderen Fällen nicht zurückgezahlter Zahlungsausfälle darf ein Kreditgeber einen neuen Kreditvertrag nur unter Angabe einer zusätzlichen Begründung in der Kreditakte abschließen.]</w:t>
      </w:r>
    </w:p>
    <w:p w14:paraId="6232932C" w14:textId="77777777" w:rsidR="003E6C61" w:rsidRPr="004676F5" w:rsidRDefault="003E6C61" w:rsidP="003E6C61">
      <w:pPr>
        <w:ind w:firstLine="708"/>
        <w:jc w:val="both"/>
        <w:rPr>
          <w:lang w:val="de-DE"/>
        </w:rPr>
      </w:pPr>
    </w:p>
    <w:p w14:paraId="4944ED0E" w14:textId="3A422692"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 xml:space="preserve">Für die Bewertung einer Wohnimmobilie darf der Kreditgeber, wenn er eine solche Bewertung verlangt, nur auf interne und externe Gutachter zurückgreifen, die über fachliche Kompetenz und ausreichende Unabhängigkeit von dem Kreditvergabeprozess verfügen, um eine unparteiische und objektive Bewertung vorzunehmen. Gegebenenfalls genügen diese Gutachter den gesetzlichen Bedingungen in Bezug auf den Zugang zum Beruf. Kreditgeber dokumentieren den Bewertungsbericht </w:t>
      </w:r>
      <w:r w:rsidR="00324620" w:rsidRPr="004676F5">
        <w:rPr>
          <w:lang w:val="de-DE"/>
        </w:rPr>
        <w:t>[auf dauerhaftem Datenträger]</w:t>
      </w:r>
      <w:r w:rsidRPr="004676F5">
        <w:rPr>
          <w:lang w:val="de-DE"/>
        </w:rPr>
        <w:t>.</w:t>
      </w:r>
    </w:p>
    <w:p w14:paraId="74470567" w14:textId="77777777" w:rsidR="003E6C61" w:rsidRPr="004676F5" w:rsidRDefault="003E6C61" w:rsidP="003E6C61">
      <w:pPr>
        <w:ind w:firstLine="708"/>
        <w:jc w:val="both"/>
        <w:rPr>
          <w:lang w:val="de-DE"/>
        </w:rPr>
      </w:pPr>
    </w:p>
    <w:p w14:paraId="63A74005" w14:textId="77777777" w:rsidR="003E6C61" w:rsidRPr="004676F5" w:rsidRDefault="003E6C61" w:rsidP="003E6C61">
      <w:pPr>
        <w:ind w:firstLine="708"/>
        <w:jc w:val="both"/>
        <w:rPr>
          <w:lang w:val="de-DE"/>
        </w:rPr>
      </w:pPr>
      <w:r w:rsidRPr="004676F5">
        <w:rPr>
          <w:lang w:val="de-DE"/>
        </w:rPr>
        <w:t>Der König kann die Berufe bestimmen, deren Inhaber ermächtigt sind, die in Absatz 1 erwähnten Bewertungen durchzuführen. Darüber hinaus kann er Kriterien festlegen, denen die Gutachter genügen müssen.</w:t>
      </w:r>
    </w:p>
    <w:p w14:paraId="224FE68C" w14:textId="77777777" w:rsidR="003E6C61" w:rsidRPr="004676F5" w:rsidRDefault="003E6C61" w:rsidP="003E6C61">
      <w:pPr>
        <w:ind w:firstLine="708"/>
        <w:jc w:val="both"/>
        <w:rPr>
          <w:lang w:val="de-DE"/>
        </w:rPr>
      </w:pPr>
    </w:p>
    <w:p w14:paraId="6E4C3D75" w14:textId="77777777" w:rsidR="003E6C61" w:rsidRPr="004676F5" w:rsidRDefault="003E6C61" w:rsidP="003E6C61">
      <w:pPr>
        <w:ind w:firstLine="708"/>
        <w:jc w:val="both"/>
        <w:rPr>
          <w:lang w:val="de-DE"/>
        </w:rPr>
      </w:pPr>
      <w:r w:rsidRPr="004676F5">
        <w:rPr>
          <w:lang w:val="de-DE"/>
        </w:rPr>
        <w:t xml:space="preserve">Bei der Bewertung einer als hypothekarische Sicherheit eingebrachten Wohnimmobilie stellt der Kreditgeber sicher, dass die gesetzlichen Standards eingehalten werden, wenn er auf einen internen Gutachter zurückgreift, oder unternimmt er geeignete Schritte, um zu gewährleisten, dass diese Standards angewandt werden, wenn eine Bewertung von einer dritten Partei vorgenommen wird. </w:t>
      </w:r>
    </w:p>
    <w:p w14:paraId="7DDE9EF8" w14:textId="77777777" w:rsidR="003E6C61" w:rsidRPr="004676F5" w:rsidRDefault="003E6C61" w:rsidP="003E6C61">
      <w:pPr>
        <w:jc w:val="both"/>
        <w:rPr>
          <w:lang w:val="de-DE"/>
        </w:rPr>
      </w:pPr>
    </w:p>
    <w:p w14:paraId="04ED2E57" w14:textId="63F93467" w:rsidR="00324620" w:rsidRPr="004676F5" w:rsidRDefault="00324620" w:rsidP="00324620">
      <w:pPr>
        <w:jc w:val="both"/>
        <w:rPr>
          <w:i/>
          <w:iCs/>
          <w:lang w:val="de-DE"/>
        </w:rPr>
      </w:pPr>
      <w:r w:rsidRPr="004676F5">
        <w:rPr>
          <w:i/>
          <w:iCs/>
          <w:lang w:val="de-DE"/>
        </w:rPr>
        <w:t xml:space="preserve">[Art. VII.133 </w:t>
      </w:r>
      <w:r w:rsidR="001F370C" w:rsidRPr="004676F5">
        <w:rPr>
          <w:i/>
          <w:iCs/>
          <w:lang w:val="de-DE"/>
        </w:rPr>
        <w:t>§ 2 Abs. 4 und 5 eingefügt durch Art. 8</w:t>
      </w:r>
      <w:r w:rsidR="001F370C" w:rsidRPr="004676F5">
        <w:rPr>
          <w:i/>
          <w:lang w:val="de-DE"/>
        </w:rPr>
        <w:t xml:space="preserve"> des G. vom 2. Mai 2019 (IV) (B.S. vom 22. Mai 2019); </w:t>
      </w:r>
      <w:r w:rsidRPr="004676F5">
        <w:rPr>
          <w:i/>
          <w:iCs/>
          <w:lang w:val="de-DE"/>
        </w:rPr>
        <w:t>§ 3 Abs. 1 abgeändert durch Art. 12 des G. vom 20. September 2018 (B.S. vom 10. Oktober 2018)]</w:t>
      </w:r>
    </w:p>
    <w:p w14:paraId="32233E75" w14:textId="77777777" w:rsidR="00324620" w:rsidRPr="004676F5" w:rsidRDefault="00324620" w:rsidP="003E6C61">
      <w:pPr>
        <w:jc w:val="both"/>
        <w:rPr>
          <w:lang w:val="de-DE"/>
        </w:rPr>
      </w:pPr>
    </w:p>
    <w:p w14:paraId="60859ED5" w14:textId="77777777" w:rsidR="002E20BA" w:rsidRPr="004676F5" w:rsidRDefault="002E20BA" w:rsidP="003E6C61">
      <w:pPr>
        <w:jc w:val="both"/>
        <w:rPr>
          <w:lang w:val="de-DE"/>
        </w:rPr>
      </w:pPr>
    </w:p>
    <w:p w14:paraId="71CA5A66" w14:textId="77777777" w:rsidR="001F370C" w:rsidRPr="004676F5" w:rsidRDefault="001F370C">
      <w:pPr>
        <w:rPr>
          <w:lang w:val="de-DE"/>
        </w:rPr>
      </w:pPr>
      <w:r w:rsidRPr="004676F5">
        <w:rPr>
          <w:lang w:val="de-DE"/>
        </w:rPr>
        <w:br w:type="page"/>
      </w:r>
    </w:p>
    <w:p w14:paraId="012B2C45" w14:textId="0A9FC5D9" w:rsidR="003E6C61" w:rsidRPr="004676F5" w:rsidRDefault="003E6C61" w:rsidP="003E6C61">
      <w:pPr>
        <w:jc w:val="center"/>
        <w:rPr>
          <w:lang w:val="de-DE"/>
        </w:rPr>
      </w:pPr>
      <w:r w:rsidRPr="004676F5">
        <w:rPr>
          <w:lang w:val="de-DE"/>
        </w:rPr>
        <w:lastRenderedPageBreak/>
        <w:t>Unterabschnitt 8 </w:t>
      </w:r>
      <w:r w:rsidR="005B7A5C" w:rsidRPr="004676F5">
        <w:rPr>
          <w:lang w:val="de-DE"/>
        </w:rPr>
        <w:t>- </w:t>
      </w:r>
      <w:r w:rsidRPr="004676F5">
        <w:rPr>
          <w:lang w:val="de-DE"/>
        </w:rPr>
        <w:t>Abschluss des Kreditvertrags</w:t>
      </w:r>
    </w:p>
    <w:p w14:paraId="704E1334" w14:textId="77777777" w:rsidR="003E6C61" w:rsidRPr="004676F5" w:rsidRDefault="003E6C61" w:rsidP="003E6C61">
      <w:pPr>
        <w:jc w:val="both"/>
        <w:rPr>
          <w:lang w:val="de-DE"/>
        </w:rPr>
      </w:pPr>
    </w:p>
    <w:p w14:paraId="7E439E4F" w14:textId="77777777" w:rsidR="002E20BA" w:rsidRPr="004676F5" w:rsidRDefault="002E20BA" w:rsidP="003E6C61">
      <w:pPr>
        <w:jc w:val="both"/>
        <w:rPr>
          <w:lang w:val="de-DE"/>
        </w:rPr>
      </w:pPr>
    </w:p>
    <w:p w14:paraId="031D4227" w14:textId="21E69E2A" w:rsidR="003E6C61" w:rsidRPr="004676F5" w:rsidRDefault="00BE0A56" w:rsidP="003E6C61">
      <w:pPr>
        <w:ind w:firstLine="708"/>
        <w:jc w:val="both"/>
        <w:rPr>
          <w:lang w:val="de-DE"/>
        </w:rPr>
      </w:pPr>
      <w:r w:rsidRPr="004676F5">
        <w:rPr>
          <w:b/>
          <w:lang w:val="de-DE"/>
        </w:rPr>
        <w:t>Art. </w:t>
      </w:r>
      <w:r w:rsidR="003E6C61" w:rsidRPr="004676F5">
        <w:rPr>
          <w:b/>
          <w:lang w:val="de-DE"/>
        </w:rPr>
        <w:t>VII.134</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 xml:space="preserve">Kreditverträge werden durch handschriftliche oder elektronische Unterschrift aller Vertragsparteien abgeschlossen und </w:t>
      </w:r>
      <w:r w:rsidR="00324620" w:rsidRPr="004676F5">
        <w:rPr>
          <w:lang w:val="de-DE"/>
        </w:rPr>
        <w:t xml:space="preserve">[auf dauerhaftem Datenträger] </w:t>
      </w:r>
      <w:r w:rsidR="003E6C61" w:rsidRPr="004676F5">
        <w:rPr>
          <w:lang w:val="de-DE"/>
        </w:rPr>
        <w:t>erstellt, der alle in vorliegendem Artikel erwähnten Vertragsbedingungen und Angaben enthält. Alle Vertrags</w:t>
      </w:r>
      <w:r w:rsidR="003E6C61" w:rsidRPr="004676F5">
        <w:rPr>
          <w:lang w:val="de-DE"/>
        </w:rPr>
        <w:softHyphen/>
        <w:t>parteien mit einem unterschiedlichen Interesse am Vertrag erhalten eine Ausfertigung des Kreditvertrags. Kreditvermittler erhalten eine Ausfertigung des Kreditangebots oder gegebe</w:t>
      </w:r>
      <w:r w:rsidR="003E6C61" w:rsidRPr="004676F5">
        <w:rPr>
          <w:lang w:val="de-DE"/>
        </w:rPr>
        <w:softHyphen/>
        <w:t>nen</w:t>
      </w:r>
      <w:r w:rsidR="003E6C61" w:rsidRPr="004676F5">
        <w:rPr>
          <w:lang w:val="de-DE"/>
        </w:rPr>
        <w:softHyphen/>
        <w:t>falls des Kreditvertrags.</w:t>
      </w:r>
    </w:p>
    <w:p w14:paraId="147F729D" w14:textId="77777777" w:rsidR="003E6C61" w:rsidRPr="004676F5" w:rsidRDefault="003E6C61" w:rsidP="003E6C61">
      <w:pPr>
        <w:rPr>
          <w:lang w:val="de-DE"/>
        </w:rPr>
      </w:pPr>
    </w:p>
    <w:p w14:paraId="785CBD76" w14:textId="7A80E8FA" w:rsidR="003E6C61" w:rsidRPr="004676F5" w:rsidRDefault="003E6C61" w:rsidP="003E6C61">
      <w:pPr>
        <w:ind w:firstLine="708"/>
        <w:jc w:val="both"/>
        <w:rPr>
          <w:lang w:val="de-DE"/>
        </w:rPr>
      </w:pPr>
      <w:r w:rsidRPr="004676F5">
        <w:rPr>
          <w:lang w:val="de-DE"/>
        </w:rPr>
        <w:t>Die in Absatz 1 erwähnte elektronische Unterschrift erfolgt:</w:t>
      </w:r>
    </w:p>
    <w:p w14:paraId="18DD5334" w14:textId="77777777" w:rsidR="003E6C61" w:rsidRPr="004676F5" w:rsidRDefault="003E6C61" w:rsidP="003E6C61">
      <w:pPr>
        <w:ind w:firstLine="708"/>
        <w:jc w:val="both"/>
        <w:rPr>
          <w:lang w:val="de-DE"/>
        </w:rPr>
      </w:pPr>
    </w:p>
    <w:p w14:paraId="7DCDA4C3" w14:textId="093886E8" w:rsidR="00402892" w:rsidRPr="004676F5" w:rsidRDefault="005B7A5C" w:rsidP="00402892">
      <w:pPr>
        <w:ind w:firstLine="708"/>
        <w:jc w:val="both"/>
        <w:rPr>
          <w:rFonts w:eastAsiaTheme="minorHAnsi"/>
          <w:lang w:val="de-DE"/>
        </w:rPr>
      </w:pPr>
      <w:r w:rsidRPr="004676F5">
        <w:rPr>
          <w:lang w:val="de-DE"/>
        </w:rPr>
        <w:t>- </w:t>
      </w:r>
      <w:r w:rsidR="00402892" w:rsidRPr="004676F5">
        <w:rPr>
          <w:lang w:val="de-DE"/>
        </w:rPr>
        <w:t>[anhand einer qualifizierten elektronischen Signatur oder eines qualifizierten elektronischen Siegels, die in Artikel 3 Absatz 1 Nr. 12 beziehungsweise 27 der Verordnung (EU) Nr. 910/2014 des Europäischen Parlaments und des Rates vom 23. Juli 2014 über elektronische Identifizierung und Vertrauensdienste für elektronische Transaktionen im Binnenmarkt und zur Aufhebung der Richtlinie 1999/93/EG erwähnt sind,</w:t>
      </w:r>
    </w:p>
    <w:p w14:paraId="5536D9DB" w14:textId="77777777" w:rsidR="00402892" w:rsidRPr="004676F5" w:rsidRDefault="00402892" w:rsidP="00402892">
      <w:pPr>
        <w:jc w:val="both"/>
        <w:rPr>
          <w:rFonts w:eastAsiaTheme="minorHAnsi"/>
          <w:lang w:val="de-DE" w:eastAsia="en-US"/>
        </w:rPr>
      </w:pPr>
    </w:p>
    <w:p w14:paraId="34507AB4" w14:textId="7AA066CA" w:rsidR="003E6C61" w:rsidRPr="004676F5" w:rsidRDefault="005B7A5C" w:rsidP="00402892">
      <w:pPr>
        <w:ind w:firstLine="708"/>
        <w:jc w:val="both"/>
        <w:rPr>
          <w:lang w:val="de-DE"/>
        </w:rPr>
      </w:pPr>
      <w:r w:rsidRPr="004676F5">
        <w:rPr>
          <w:lang w:val="de-DE"/>
        </w:rPr>
        <w:t>- </w:t>
      </w:r>
      <w:r w:rsidR="00402892" w:rsidRPr="004676F5">
        <w:rPr>
          <w:lang w:val="de-DE"/>
        </w:rPr>
        <w:t>oder anhand einer anderen elektronischen Signatur, durch die die Identität der Parteien, ihre Einwilligung zum Inhalt des Kreditvertrags und die Erhaltung der Integrität dieses Vertrags gewährleistet sind. Der König kann zu diesem Zweck Kriterien festlegen. Im Streitfall obliegt es dem Kreditgeber nachzuweisen, dass diese elektronische Signatur diese Funktionen tatsäch</w:t>
      </w:r>
      <w:r w:rsidR="00402892" w:rsidRPr="004676F5">
        <w:rPr>
          <w:lang w:val="de-DE"/>
        </w:rPr>
        <w:softHyphen/>
        <w:t>lich erfüllt.]</w:t>
      </w:r>
    </w:p>
    <w:p w14:paraId="0E80248F" w14:textId="77777777" w:rsidR="003E6C61" w:rsidRPr="004676F5" w:rsidRDefault="003E6C61" w:rsidP="003E6C61">
      <w:pPr>
        <w:ind w:firstLine="708"/>
        <w:jc w:val="both"/>
        <w:rPr>
          <w:lang w:val="de-DE"/>
        </w:rPr>
      </w:pPr>
    </w:p>
    <w:p w14:paraId="65073B44" w14:textId="77777777" w:rsidR="003E6C61" w:rsidRPr="004676F5" w:rsidRDefault="003E6C61" w:rsidP="003E6C61">
      <w:pPr>
        <w:ind w:firstLine="708"/>
        <w:jc w:val="both"/>
        <w:rPr>
          <w:lang w:val="de-DE"/>
        </w:rPr>
      </w:pPr>
      <w:r w:rsidRPr="004676F5">
        <w:rPr>
          <w:lang w:val="de-DE"/>
        </w:rPr>
        <w:t>Der in § 3 Nr. 4 des vorliegenden Artikels erwähnte Tilgungsplan ist integraler Bestandteil des Kreditvertrags.</w:t>
      </w:r>
    </w:p>
    <w:p w14:paraId="61799E2E" w14:textId="77777777" w:rsidR="003E6C61" w:rsidRPr="004676F5" w:rsidRDefault="003E6C61" w:rsidP="003E6C61">
      <w:pPr>
        <w:ind w:firstLine="708"/>
        <w:jc w:val="both"/>
        <w:rPr>
          <w:lang w:val="de-DE"/>
        </w:rPr>
      </w:pPr>
    </w:p>
    <w:p w14:paraId="11B63BEE" w14:textId="77777777" w:rsidR="003E6C61" w:rsidRPr="004676F5" w:rsidRDefault="003E6C61" w:rsidP="003E6C61">
      <w:pPr>
        <w:ind w:firstLine="708"/>
        <w:jc w:val="both"/>
        <w:rPr>
          <w:lang w:val="de-DE"/>
        </w:rPr>
      </w:pPr>
      <w:r w:rsidRPr="004676F5">
        <w:rPr>
          <w:lang w:val="de-DE"/>
        </w:rPr>
        <w:t>Bei einer Mobiliarkrediteröffnung, bei der ein Widerrufsrecht besteht, stellt der Verbraucher seiner Unterschrift den Vermerk der Höhe des Kredits voran: "Gelesen und genehmigt für einen Kredit in Höhe von ... EUR." Bei anderen Mobiliarkreditverträgen, bei denen ein Widerrufsrecht besteht, stellt der Verbraucher seiner Unterschrift den Vermerk des vom Verbraucher zu zahlenden Gesamtbetrags voran: "Gelesen und genehmigt für eine Schuldsumme von ... EUR." In beiden Fällen gibt der Verbraucher im Vertrag zudem das Datum und die genaue Anschrift der Vertragsunterzeichnung an.</w:t>
      </w:r>
    </w:p>
    <w:p w14:paraId="1725DE8C" w14:textId="77777777" w:rsidR="003E6C61" w:rsidRPr="004676F5" w:rsidRDefault="003E6C61" w:rsidP="003E6C61">
      <w:pPr>
        <w:ind w:firstLine="708"/>
        <w:jc w:val="both"/>
        <w:rPr>
          <w:lang w:val="de-DE"/>
        </w:rPr>
      </w:pPr>
    </w:p>
    <w:p w14:paraId="22D76678" w14:textId="33B64EE6"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 xml:space="preserve">Im Kreditvertrag oder gegebenenfalls im Kreditangebot ist in klarer, prägnanter Form Folgendes anzugeben: </w:t>
      </w:r>
    </w:p>
    <w:p w14:paraId="3C82D99E" w14:textId="77777777" w:rsidR="003E6C61" w:rsidRPr="004676F5" w:rsidRDefault="003E6C61" w:rsidP="003E6C61">
      <w:pPr>
        <w:ind w:firstLine="708"/>
        <w:jc w:val="both"/>
        <w:rPr>
          <w:lang w:val="de-DE"/>
        </w:rPr>
      </w:pPr>
    </w:p>
    <w:p w14:paraId="02E35BF1" w14:textId="77777777" w:rsidR="003E6C61" w:rsidRPr="004676F5" w:rsidRDefault="003E6C61" w:rsidP="003E6C61">
      <w:pPr>
        <w:ind w:firstLine="708"/>
        <w:jc w:val="both"/>
        <w:rPr>
          <w:lang w:val="de-DE"/>
        </w:rPr>
      </w:pPr>
      <w:r w:rsidRPr="004676F5">
        <w:rPr>
          <w:lang w:val="de-DE"/>
        </w:rPr>
        <w:t>1. Kreditart,</w:t>
      </w:r>
    </w:p>
    <w:p w14:paraId="674AE259" w14:textId="77777777" w:rsidR="003E6C61" w:rsidRPr="004676F5" w:rsidRDefault="003E6C61" w:rsidP="003E6C61">
      <w:pPr>
        <w:ind w:firstLine="708"/>
        <w:jc w:val="both"/>
        <w:rPr>
          <w:lang w:val="de-DE"/>
        </w:rPr>
      </w:pPr>
    </w:p>
    <w:p w14:paraId="3EDA5A35" w14:textId="77777777" w:rsidR="003E6C61" w:rsidRPr="004676F5" w:rsidRDefault="003E6C61" w:rsidP="003E6C61">
      <w:pPr>
        <w:ind w:firstLine="708"/>
        <w:jc w:val="both"/>
        <w:rPr>
          <w:lang w:val="de-DE"/>
        </w:rPr>
      </w:pPr>
      <w:r w:rsidRPr="004676F5">
        <w:rPr>
          <w:lang w:val="de-DE"/>
        </w:rPr>
        <w:t>2. Name, Vorname, Geburtsort und -datum und Wohnsitz des Verbrauchers und gegebenenfalls der Personen, die eine Sicherheit leisten,</w:t>
      </w:r>
    </w:p>
    <w:p w14:paraId="59C386FB" w14:textId="77777777" w:rsidR="003E6C61" w:rsidRPr="004676F5" w:rsidRDefault="003E6C61" w:rsidP="003E6C61">
      <w:pPr>
        <w:ind w:firstLine="708"/>
        <w:jc w:val="both"/>
        <w:rPr>
          <w:lang w:val="de-DE"/>
        </w:rPr>
      </w:pPr>
    </w:p>
    <w:p w14:paraId="3D1E4252" w14:textId="77777777" w:rsidR="003E6C61" w:rsidRPr="004676F5" w:rsidRDefault="003E6C61" w:rsidP="003E6C61">
      <w:pPr>
        <w:ind w:firstLine="708"/>
        <w:jc w:val="both"/>
        <w:rPr>
          <w:lang w:val="de-DE"/>
        </w:rPr>
      </w:pPr>
      <w:r w:rsidRPr="004676F5">
        <w:rPr>
          <w:lang w:val="de-DE"/>
        </w:rPr>
        <w:t>3. Identität des Kreditgebers, einschließlich seiner Unternehmensnummer, seine für Kontakte mit dem Verbraucher relevante geographische Anschrift sowie Bezeichnung und Adresse der zuständigen Aufsichtsbehörde beim FÖD Wirtschaft,</w:t>
      </w:r>
    </w:p>
    <w:p w14:paraId="4CE31649" w14:textId="77777777" w:rsidR="003E6C61" w:rsidRPr="004676F5" w:rsidRDefault="003E6C61" w:rsidP="003E6C61">
      <w:pPr>
        <w:ind w:firstLine="708"/>
        <w:jc w:val="both"/>
        <w:rPr>
          <w:lang w:val="de-DE"/>
        </w:rPr>
      </w:pPr>
    </w:p>
    <w:p w14:paraId="3EDAC7D6" w14:textId="77777777" w:rsidR="003E6C61" w:rsidRPr="004676F5" w:rsidRDefault="003E6C61" w:rsidP="003E6C61">
      <w:pPr>
        <w:ind w:firstLine="708"/>
        <w:jc w:val="both"/>
        <w:rPr>
          <w:lang w:val="de-DE"/>
        </w:rPr>
      </w:pPr>
      <w:r w:rsidRPr="004676F5">
        <w:rPr>
          <w:lang w:val="de-DE"/>
        </w:rPr>
        <w:t>4. gegebenenfalls Identität des Kreditvermittlers, einschließlich seiner Unternehmens</w:t>
      </w:r>
      <w:r w:rsidRPr="004676F5">
        <w:rPr>
          <w:lang w:val="de-DE"/>
        </w:rPr>
        <w:softHyphen/>
        <w:t>nummer, seine für Kontakte mit dem Verbraucher relevante geographische Anschrift sowie Bezeichnung und Adresse der zuständigen Aufsichtsbehörde beim FÖD Wirtschaft,</w:t>
      </w:r>
    </w:p>
    <w:p w14:paraId="6A3123FF" w14:textId="77777777" w:rsidR="003E6C61" w:rsidRPr="004676F5" w:rsidRDefault="003E6C61" w:rsidP="003E6C61">
      <w:pPr>
        <w:ind w:firstLine="708"/>
        <w:jc w:val="both"/>
        <w:rPr>
          <w:lang w:val="de-DE"/>
        </w:rPr>
      </w:pPr>
    </w:p>
    <w:p w14:paraId="7A3EE3DF" w14:textId="77777777" w:rsidR="003E6C61" w:rsidRPr="004676F5" w:rsidRDefault="003E6C61" w:rsidP="003E6C61">
      <w:pPr>
        <w:ind w:firstLine="708"/>
        <w:jc w:val="both"/>
        <w:rPr>
          <w:lang w:val="de-DE"/>
        </w:rPr>
      </w:pPr>
      <w:r w:rsidRPr="004676F5">
        <w:rPr>
          <w:lang w:val="de-DE"/>
        </w:rPr>
        <w:t>5. Laufzeit des Kreditvertrags,</w:t>
      </w:r>
    </w:p>
    <w:p w14:paraId="59B8D3FA" w14:textId="77777777" w:rsidR="003E6C61" w:rsidRPr="004676F5" w:rsidRDefault="003E6C61" w:rsidP="003E6C61">
      <w:pPr>
        <w:ind w:firstLine="708"/>
        <w:jc w:val="both"/>
        <w:rPr>
          <w:lang w:val="de-DE"/>
        </w:rPr>
      </w:pPr>
    </w:p>
    <w:p w14:paraId="22A9024D" w14:textId="77777777" w:rsidR="003E6C61" w:rsidRPr="004676F5" w:rsidRDefault="003E6C61" w:rsidP="003E6C61">
      <w:pPr>
        <w:ind w:firstLine="708"/>
        <w:jc w:val="both"/>
        <w:rPr>
          <w:lang w:val="de-DE"/>
        </w:rPr>
      </w:pPr>
      <w:r w:rsidRPr="004676F5">
        <w:rPr>
          <w:lang w:val="de-DE"/>
        </w:rPr>
        <w:t>6. Kreditbetrag und Bedingungen für die Inanspruchnahme,</w:t>
      </w:r>
    </w:p>
    <w:p w14:paraId="48CA0DB4" w14:textId="77777777" w:rsidR="003E6C61" w:rsidRPr="004676F5" w:rsidRDefault="003E6C61" w:rsidP="003E6C61">
      <w:pPr>
        <w:ind w:firstLine="708"/>
        <w:jc w:val="both"/>
        <w:rPr>
          <w:lang w:val="de-DE"/>
        </w:rPr>
      </w:pPr>
    </w:p>
    <w:p w14:paraId="0A7C820B" w14:textId="77777777" w:rsidR="003E6C61" w:rsidRPr="004676F5" w:rsidRDefault="003E6C61" w:rsidP="003E6C61">
      <w:pPr>
        <w:ind w:firstLine="708"/>
        <w:jc w:val="both"/>
        <w:rPr>
          <w:lang w:val="de-DE"/>
        </w:rPr>
      </w:pPr>
      <w:r w:rsidRPr="004676F5">
        <w:rPr>
          <w:lang w:val="de-DE"/>
        </w:rPr>
        <w:t>7. periodischer Zinssatz, Sollzinssatz, Bedingungen für die Anwendung dieser Zinssätze und der variablen Zinssätze, ursprünglicher Wert jedes Referenzzinssatzes oder Sollzinssatzes und Zeiträume, Bedingungen und Modalitäten der Anpassung dieser Zinssätze. Gelten unter verschiedenen Umständen unterschiedliche Sollzinssätze, so sind die genannten Informationen für alle anzuwendenden Zinssätze zu erteilen,</w:t>
      </w:r>
    </w:p>
    <w:p w14:paraId="659596B1" w14:textId="77777777" w:rsidR="003E6C61" w:rsidRPr="004676F5" w:rsidRDefault="003E6C61" w:rsidP="003E6C61">
      <w:pPr>
        <w:ind w:firstLine="708"/>
        <w:jc w:val="both"/>
        <w:rPr>
          <w:lang w:val="de-DE"/>
        </w:rPr>
      </w:pPr>
    </w:p>
    <w:p w14:paraId="36C2F512" w14:textId="77777777" w:rsidR="003E6C61" w:rsidRPr="004676F5" w:rsidRDefault="003E6C61" w:rsidP="003E6C61">
      <w:pPr>
        <w:ind w:firstLine="708"/>
        <w:jc w:val="both"/>
        <w:rPr>
          <w:lang w:val="de-DE"/>
        </w:rPr>
      </w:pPr>
      <w:r w:rsidRPr="004676F5">
        <w:rPr>
          <w:lang w:val="de-DE"/>
        </w:rPr>
        <w:t>8. effektiver Jahreszins und vom Verbraucher zu zahlender Gesamtbetrag, berechnet zum Zeitpunkt des Abschlusses des Kreditvertrags. Anzugeben sind alle in die Berechnung dieses Zinses einfließenden Annahmen. Die Angabe des effektiven Jahreszinses mit allen Annahmen in dem vom Verbraucher angenommenen Kreditangebot reicht aus und muss nicht in der authentischen Urkunde wiederholt werden, mit der das Zustandekommen des Kreditvertrags bestätigt wird,</w:t>
      </w:r>
    </w:p>
    <w:p w14:paraId="7040752C" w14:textId="77777777" w:rsidR="003E6C61" w:rsidRPr="004676F5" w:rsidRDefault="003E6C61" w:rsidP="003E6C61">
      <w:pPr>
        <w:ind w:firstLine="708"/>
        <w:jc w:val="both"/>
        <w:rPr>
          <w:lang w:val="de-DE"/>
        </w:rPr>
      </w:pPr>
    </w:p>
    <w:p w14:paraId="73DC1DAE" w14:textId="77777777" w:rsidR="003E6C61" w:rsidRPr="004676F5" w:rsidRDefault="003E6C61" w:rsidP="003E6C61">
      <w:pPr>
        <w:ind w:firstLine="708"/>
        <w:jc w:val="both"/>
        <w:rPr>
          <w:lang w:val="de-DE"/>
        </w:rPr>
      </w:pPr>
      <w:r w:rsidRPr="004676F5">
        <w:rPr>
          <w:lang w:val="de-DE"/>
        </w:rPr>
        <w:t>9. Verfahren zur Kündigung des Kreditvertrags,</w:t>
      </w:r>
    </w:p>
    <w:p w14:paraId="5E6B906C" w14:textId="77777777" w:rsidR="003E6C61" w:rsidRPr="004676F5" w:rsidRDefault="003E6C61" w:rsidP="003E6C61">
      <w:pPr>
        <w:ind w:firstLine="708"/>
        <w:jc w:val="both"/>
        <w:rPr>
          <w:lang w:val="de-DE"/>
        </w:rPr>
      </w:pPr>
    </w:p>
    <w:p w14:paraId="5F9074F2" w14:textId="77777777" w:rsidR="003E6C61" w:rsidRPr="004676F5" w:rsidRDefault="003E6C61" w:rsidP="003E6C61">
      <w:pPr>
        <w:ind w:firstLine="708"/>
        <w:jc w:val="both"/>
        <w:rPr>
          <w:lang w:val="de-DE"/>
        </w:rPr>
      </w:pPr>
      <w:r w:rsidRPr="004676F5">
        <w:rPr>
          <w:lang w:val="de-DE"/>
        </w:rPr>
        <w:t>10. folgende Klausel: "Dieser Vertrag wird gemäß Buch VII Artikel VII.148 des Wirtschaftsgesetzbuches in der Zentrale für Kredite an Privatpersonen registriert.",</w:t>
      </w:r>
    </w:p>
    <w:p w14:paraId="43E34F77" w14:textId="77777777" w:rsidR="003E6C61" w:rsidRPr="004676F5" w:rsidRDefault="003E6C61" w:rsidP="003E6C61">
      <w:pPr>
        <w:ind w:firstLine="708"/>
        <w:jc w:val="both"/>
        <w:rPr>
          <w:lang w:val="de-DE"/>
        </w:rPr>
      </w:pPr>
    </w:p>
    <w:p w14:paraId="026C631F" w14:textId="77777777" w:rsidR="003E6C61" w:rsidRPr="004676F5" w:rsidRDefault="003E6C61" w:rsidP="003E6C61">
      <w:pPr>
        <w:ind w:firstLine="708"/>
        <w:jc w:val="both"/>
        <w:rPr>
          <w:lang w:val="de-DE"/>
        </w:rPr>
      </w:pPr>
      <w:r w:rsidRPr="004676F5">
        <w:rPr>
          <w:lang w:val="de-DE"/>
        </w:rPr>
        <w:t>11. Zwecke der Verarbeitung in der Zentrale,</w:t>
      </w:r>
    </w:p>
    <w:p w14:paraId="13235C67" w14:textId="77777777" w:rsidR="003E6C61" w:rsidRPr="004676F5" w:rsidRDefault="003E6C61" w:rsidP="003E6C61">
      <w:pPr>
        <w:ind w:firstLine="708"/>
        <w:jc w:val="both"/>
        <w:rPr>
          <w:lang w:val="de-DE"/>
        </w:rPr>
      </w:pPr>
    </w:p>
    <w:p w14:paraId="4E9CA17A" w14:textId="77777777" w:rsidR="003E6C61" w:rsidRPr="004676F5" w:rsidRDefault="003E6C61" w:rsidP="003E6C61">
      <w:pPr>
        <w:ind w:firstLine="708"/>
        <w:jc w:val="both"/>
        <w:rPr>
          <w:lang w:val="de-DE"/>
        </w:rPr>
      </w:pPr>
      <w:r w:rsidRPr="004676F5">
        <w:rPr>
          <w:lang w:val="de-DE"/>
        </w:rPr>
        <w:t>12. Name der Zentrale,</w:t>
      </w:r>
    </w:p>
    <w:p w14:paraId="69EBAFCB" w14:textId="77777777" w:rsidR="003E6C61" w:rsidRPr="004676F5" w:rsidRDefault="003E6C61" w:rsidP="003E6C61">
      <w:pPr>
        <w:ind w:firstLine="708"/>
        <w:jc w:val="both"/>
        <w:rPr>
          <w:lang w:val="de-DE"/>
        </w:rPr>
      </w:pPr>
    </w:p>
    <w:p w14:paraId="11C3DCDC" w14:textId="61DB4417" w:rsidR="003E6C61" w:rsidRPr="004676F5" w:rsidRDefault="003E6C61" w:rsidP="003E6C61">
      <w:pPr>
        <w:ind w:firstLine="708"/>
        <w:jc w:val="both"/>
        <w:rPr>
          <w:lang w:val="de-DE"/>
        </w:rPr>
      </w:pPr>
      <w:r w:rsidRPr="004676F5">
        <w:rPr>
          <w:lang w:val="de-DE"/>
        </w:rPr>
        <w:t>13. Bestehen eines Zugangs-, Berichtigungs</w:t>
      </w:r>
      <w:r w:rsidR="005B7A5C" w:rsidRPr="004676F5">
        <w:rPr>
          <w:lang w:val="de-DE"/>
        </w:rPr>
        <w:t>- </w:t>
      </w:r>
      <w:r w:rsidRPr="004676F5">
        <w:rPr>
          <w:lang w:val="de-DE"/>
        </w:rPr>
        <w:t>und Streichungsrechts hinsichtlich der Daten und Fristen für die Aufbewahrung dieser Daten,</w:t>
      </w:r>
    </w:p>
    <w:p w14:paraId="21FC9CCB" w14:textId="77777777" w:rsidR="003E6C61" w:rsidRPr="004676F5" w:rsidRDefault="003E6C61" w:rsidP="003E6C61">
      <w:pPr>
        <w:ind w:firstLine="708"/>
        <w:jc w:val="both"/>
        <w:rPr>
          <w:lang w:val="de-DE"/>
        </w:rPr>
      </w:pPr>
    </w:p>
    <w:p w14:paraId="7317EC6A" w14:textId="77777777" w:rsidR="003E6C61" w:rsidRPr="004676F5" w:rsidRDefault="003E6C61" w:rsidP="003E6C61">
      <w:pPr>
        <w:ind w:firstLine="708"/>
        <w:jc w:val="both"/>
        <w:rPr>
          <w:lang w:val="de-DE"/>
        </w:rPr>
      </w:pPr>
      <w:r w:rsidRPr="004676F5">
        <w:rPr>
          <w:lang w:val="de-DE"/>
        </w:rPr>
        <w:t>14. gegebenenfalls Bearbeitungsgebühren.</w:t>
      </w:r>
    </w:p>
    <w:p w14:paraId="77D58216" w14:textId="77777777" w:rsidR="003E6C61" w:rsidRPr="004676F5" w:rsidRDefault="003E6C61" w:rsidP="003E6C61">
      <w:pPr>
        <w:ind w:firstLine="708"/>
        <w:jc w:val="both"/>
        <w:rPr>
          <w:lang w:val="de-DE"/>
        </w:rPr>
      </w:pPr>
    </w:p>
    <w:p w14:paraId="0D75657D" w14:textId="50842EBA"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Im Kreditvertrag oder gegebenenfalls im Kreditangebot ist neben den in § 2 erwähnten Informationen in klarer, prägnanter Form Folgendes anzugeben:</w:t>
      </w:r>
    </w:p>
    <w:p w14:paraId="6BC32175" w14:textId="77777777" w:rsidR="003E6C61" w:rsidRPr="004676F5" w:rsidRDefault="003E6C61" w:rsidP="003E6C61">
      <w:pPr>
        <w:ind w:firstLine="708"/>
        <w:jc w:val="both"/>
        <w:rPr>
          <w:lang w:val="de-DE"/>
        </w:rPr>
      </w:pPr>
    </w:p>
    <w:p w14:paraId="37E7766C" w14:textId="77777777" w:rsidR="003E6C61" w:rsidRPr="004676F5" w:rsidRDefault="003E6C61" w:rsidP="003E6C61">
      <w:pPr>
        <w:ind w:firstLine="708"/>
        <w:jc w:val="both"/>
        <w:rPr>
          <w:lang w:val="de-DE"/>
        </w:rPr>
      </w:pPr>
      <w:r w:rsidRPr="004676F5">
        <w:rPr>
          <w:lang w:val="de-DE"/>
        </w:rPr>
        <w:t>1. wenn der Kredit anhand eines Zahlungsinstruments in Anspruch genommen werden kann, Regeln, die gemäß den Rechtsvorschriften über die Zahlungsdienste im Falle von Verlust, Diebstahl oder missbräuchlicher Verwendung der Karte oder Legitimation Anwendung finden, und gegebenenfalls Höchstbetrag, für den der Verbraucher infolge von missbräuchlicher Verwendung durch einen Dritten das Risiko trägt,</w:t>
      </w:r>
    </w:p>
    <w:p w14:paraId="45B6DCE2" w14:textId="77777777" w:rsidR="003E6C61" w:rsidRPr="004676F5" w:rsidRDefault="003E6C61" w:rsidP="003E6C61">
      <w:pPr>
        <w:ind w:firstLine="708"/>
        <w:jc w:val="both"/>
        <w:rPr>
          <w:lang w:val="de-DE"/>
        </w:rPr>
      </w:pPr>
    </w:p>
    <w:p w14:paraId="1344A72A" w14:textId="77777777" w:rsidR="003E6C61" w:rsidRPr="004676F5" w:rsidRDefault="003E6C61" w:rsidP="003E6C61">
      <w:pPr>
        <w:ind w:firstLine="708"/>
        <w:jc w:val="both"/>
        <w:rPr>
          <w:lang w:val="de-DE"/>
        </w:rPr>
      </w:pPr>
      <w:r w:rsidRPr="004676F5">
        <w:rPr>
          <w:lang w:val="de-DE"/>
        </w:rPr>
        <w:t>2. bei Krediten in Form eines Zahlungsaufschubs für eine bestimmte Ware oder Dienstleistung oder bei verbundenen Kreditverträgen Ware oder Dienstleistung und deren Barzahlungspreis,</w:t>
      </w:r>
    </w:p>
    <w:p w14:paraId="4BCDC0A9" w14:textId="77777777" w:rsidR="003E6C61" w:rsidRPr="004676F5" w:rsidRDefault="003E6C61" w:rsidP="003E6C61">
      <w:pPr>
        <w:ind w:firstLine="708"/>
        <w:jc w:val="both"/>
        <w:rPr>
          <w:lang w:val="de-DE"/>
        </w:rPr>
      </w:pPr>
    </w:p>
    <w:p w14:paraId="2F64FB65" w14:textId="77777777" w:rsidR="003E6C61" w:rsidRPr="004676F5" w:rsidRDefault="003E6C61" w:rsidP="003E6C61">
      <w:pPr>
        <w:ind w:firstLine="708"/>
        <w:jc w:val="both"/>
        <w:rPr>
          <w:lang w:val="de-DE"/>
        </w:rPr>
      </w:pPr>
      <w:r w:rsidRPr="004676F5">
        <w:rPr>
          <w:lang w:val="de-DE"/>
        </w:rPr>
        <w:t>3. Ratenbeträge, Zahlungstermine und Anzahl der vom Verbraucher zu leistenden Zahlungen, einschließlich einer eventuellen Anzahlung, und gegebenenfalls Reihenfolge, in der die Zahlungen auf verschiedene ausstehende Restbeträge, für die unterschiedliche Sollzinssätze gelten, zum Zwecke der Rückzahlung angerechnet werden,</w:t>
      </w:r>
    </w:p>
    <w:p w14:paraId="500D3007" w14:textId="77777777" w:rsidR="003E6C61" w:rsidRPr="004676F5" w:rsidRDefault="003E6C61" w:rsidP="003E6C61">
      <w:pPr>
        <w:ind w:firstLine="708"/>
        <w:jc w:val="both"/>
        <w:rPr>
          <w:lang w:val="de-DE"/>
        </w:rPr>
      </w:pPr>
    </w:p>
    <w:p w14:paraId="24F84A52" w14:textId="77777777" w:rsidR="003E6C61" w:rsidRPr="004676F5" w:rsidRDefault="003E6C61" w:rsidP="003E6C61">
      <w:pPr>
        <w:ind w:firstLine="708"/>
        <w:jc w:val="both"/>
        <w:rPr>
          <w:lang w:val="de-DE"/>
        </w:rPr>
      </w:pPr>
      <w:r w:rsidRPr="004676F5">
        <w:rPr>
          <w:lang w:val="de-DE"/>
        </w:rPr>
        <w:t>4. bei Kapitaltilgung Ratenbeträge, die sich aus Tilgungszahlung und Zinsen zusammensetzen, und Zeitpunkte und Bedingungen für die Zahlung dieser Beträge. Im beigefügten Tilgungsplan sind die Zusammensetzung jedes Ratenbetrags und die nach jeder Zahlung verbleibende Restschuld angegeben.</w:t>
      </w:r>
    </w:p>
    <w:p w14:paraId="6447F418" w14:textId="77777777" w:rsidR="003E6C61" w:rsidRPr="004676F5" w:rsidRDefault="003E6C61" w:rsidP="003E6C61">
      <w:pPr>
        <w:ind w:firstLine="708"/>
        <w:jc w:val="both"/>
        <w:rPr>
          <w:lang w:val="de-DE"/>
        </w:rPr>
      </w:pPr>
    </w:p>
    <w:p w14:paraId="376C216C" w14:textId="77777777" w:rsidR="003E6C61" w:rsidRPr="004676F5" w:rsidRDefault="003E6C61" w:rsidP="003E6C61">
      <w:pPr>
        <w:ind w:firstLine="708"/>
        <w:jc w:val="both"/>
        <w:rPr>
          <w:lang w:val="de-DE"/>
        </w:rPr>
      </w:pPr>
      <w:r w:rsidRPr="004676F5">
        <w:rPr>
          <w:lang w:val="de-DE"/>
        </w:rPr>
        <w:t>Wird eine Ermäßigung des periodischen Zinssatzes gewährt, werden im Tilgungsplan die zu entrichtenden Ratenbeträge und die Restschuldbeträge unter Berücksichtigung dieser Ermäßigung angegeben. Ändert die Ermäßigung, wird ein neuer Tilgungsplan, in dem die Änderungen berücksichtigt werden, übermittelt,</w:t>
      </w:r>
    </w:p>
    <w:p w14:paraId="4A4B0ADE" w14:textId="77777777" w:rsidR="003E6C61" w:rsidRPr="004676F5" w:rsidRDefault="003E6C61" w:rsidP="003E6C61">
      <w:pPr>
        <w:ind w:firstLine="708"/>
        <w:jc w:val="both"/>
        <w:rPr>
          <w:lang w:val="de-DE"/>
        </w:rPr>
      </w:pPr>
    </w:p>
    <w:p w14:paraId="3BECD04C" w14:textId="77777777" w:rsidR="003E6C61" w:rsidRPr="004676F5" w:rsidRDefault="003E6C61" w:rsidP="003E6C61">
      <w:pPr>
        <w:ind w:firstLine="708"/>
        <w:jc w:val="both"/>
        <w:rPr>
          <w:lang w:val="de-DE"/>
        </w:rPr>
      </w:pPr>
      <w:r w:rsidRPr="004676F5">
        <w:rPr>
          <w:lang w:val="de-DE"/>
        </w:rPr>
        <w:t>5. bei Kapitalwiederherstellung Zeitpunkte und Bedingungen für Zahlung der Zinsen und Leistung der Wiederherstellungszahlungen und Verpflichtung, das Kapital des beigefügten Vertrags für die Rückzahlung des in Anspruch genommenen Kreditbetrags zu verwenden.</w:t>
      </w:r>
    </w:p>
    <w:p w14:paraId="06FFD1CC" w14:textId="77777777" w:rsidR="003E6C61" w:rsidRPr="004676F5" w:rsidRDefault="003E6C61" w:rsidP="003E6C61">
      <w:pPr>
        <w:ind w:firstLine="708"/>
        <w:jc w:val="both"/>
        <w:rPr>
          <w:lang w:val="de-DE"/>
        </w:rPr>
      </w:pPr>
    </w:p>
    <w:p w14:paraId="1F203EF3" w14:textId="77777777" w:rsidR="003E6C61" w:rsidRPr="004676F5" w:rsidRDefault="003E6C61" w:rsidP="003E6C61">
      <w:pPr>
        <w:ind w:firstLine="708"/>
        <w:jc w:val="both"/>
        <w:rPr>
          <w:lang w:val="de-DE"/>
        </w:rPr>
      </w:pPr>
      <w:r w:rsidRPr="004676F5">
        <w:rPr>
          <w:lang w:val="de-DE"/>
        </w:rPr>
        <w:t>Wird für dasselbe Kapital Gebrauch von mehreren Arten der Kapitaltilgung oder Kapitalwiederherstellung gemacht, muss im Kreditvertrag vermerkt sein, auf welchen Anteil des Kapitals sich jede dieser Arten bezieht.</w:t>
      </w:r>
    </w:p>
    <w:p w14:paraId="331BC0D4" w14:textId="77777777" w:rsidR="003E6C61" w:rsidRPr="004676F5" w:rsidRDefault="003E6C61" w:rsidP="003E6C61">
      <w:pPr>
        <w:ind w:firstLine="708"/>
        <w:jc w:val="both"/>
        <w:rPr>
          <w:lang w:val="de-DE"/>
        </w:rPr>
      </w:pPr>
    </w:p>
    <w:p w14:paraId="4AC1429B" w14:textId="77777777" w:rsidR="003E6C61" w:rsidRPr="004676F5" w:rsidRDefault="003E6C61" w:rsidP="003E6C61">
      <w:pPr>
        <w:ind w:firstLine="708"/>
        <w:jc w:val="both"/>
        <w:rPr>
          <w:lang w:val="de-DE"/>
        </w:rPr>
      </w:pPr>
      <w:r w:rsidRPr="004676F5">
        <w:rPr>
          <w:lang w:val="de-DE"/>
        </w:rPr>
        <w:t>Sind weder Kapitaltilgung noch Kapitalwiederherstellung bestimmt, müssen im Kreditvertrag die Zeitpunkte und Bedingungen für die Zahlung der Zinsen und der wiederkehrenden und nicht wiederkehrenden Kosten vermerkt sein,</w:t>
      </w:r>
    </w:p>
    <w:p w14:paraId="732519FC" w14:textId="77777777" w:rsidR="003E6C61" w:rsidRPr="004676F5" w:rsidRDefault="003E6C61" w:rsidP="003E6C61">
      <w:pPr>
        <w:ind w:firstLine="708"/>
        <w:jc w:val="both"/>
        <w:rPr>
          <w:lang w:val="de-DE"/>
        </w:rPr>
      </w:pPr>
    </w:p>
    <w:p w14:paraId="7162C50A" w14:textId="77777777" w:rsidR="003E6C61" w:rsidRPr="004676F5" w:rsidRDefault="003E6C61" w:rsidP="003E6C61">
      <w:pPr>
        <w:ind w:firstLine="708"/>
        <w:jc w:val="both"/>
        <w:rPr>
          <w:lang w:val="de-DE"/>
        </w:rPr>
      </w:pPr>
      <w:r w:rsidRPr="004676F5">
        <w:rPr>
          <w:lang w:val="de-DE"/>
        </w:rPr>
        <w:t>6. gegebenenfalls Entgelte für die Führung eines oder mehrerer Konten für die Buchung der Zahlungsvorgänge und der in Anspruch genommenen Kreditbeträge, es sei denn, die Eröffnung eines entsprechenden Kontos ist fakultativ, zusammen mit den Entgelten für die Verwendung eines Zahlungsmittels, mit dem sowohl Zahlungsvorgänge getätigt als auch Kreditbeträge in Anspruch genommen werden können, sowie sonstige Entgelte aufgrund des Kreditvertrags und Bedingungen, unter denen diese Entgelte gemäß Artikel VII.145 geändert werden können,</w:t>
      </w:r>
    </w:p>
    <w:p w14:paraId="752E116E" w14:textId="77777777" w:rsidR="003E6C61" w:rsidRPr="004676F5" w:rsidRDefault="003E6C61" w:rsidP="003E6C61">
      <w:pPr>
        <w:ind w:firstLine="708"/>
        <w:jc w:val="both"/>
        <w:rPr>
          <w:lang w:val="de-DE"/>
        </w:rPr>
      </w:pPr>
    </w:p>
    <w:p w14:paraId="035FB275" w14:textId="77777777" w:rsidR="003E6C61" w:rsidRPr="004676F5" w:rsidRDefault="003E6C61" w:rsidP="003E6C61">
      <w:pPr>
        <w:ind w:firstLine="708"/>
        <w:jc w:val="both"/>
        <w:rPr>
          <w:lang w:val="de-DE"/>
        </w:rPr>
      </w:pPr>
      <w:r w:rsidRPr="004676F5">
        <w:rPr>
          <w:lang w:val="de-DE"/>
        </w:rPr>
        <w:t>7. Satz der Verzugszinsen gemäß der zum Zeitpunkt des Abschlusses des Kreditvertrags geltenden Regelung bei Zahlungsverzug und Art und Weise seiner etwaigen Anpassung sowie gegebenenfalls anfallende Kosten wegen Nichterfüllung des Kreditvertrags,</w:t>
      </w:r>
    </w:p>
    <w:p w14:paraId="094DF1F9" w14:textId="77777777" w:rsidR="003E6C61" w:rsidRPr="004676F5" w:rsidRDefault="003E6C61" w:rsidP="003E6C61">
      <w:pPr>
        <w:ind w:firstLine="708"/>
        <w:jc w:val="both"/>
        <w:rPr>
          <w:lang w:val="de-DE"/>
        </w:rPr>
      </w:pPr>
    </w:p>
    <w:p w14:paraId="0E488B2B" w14:textId="77777777" w:rsidR="003E6C61" w:rsidRPr="004676F5" w:rsidRDefault="003E6C61" w:rsidP="003E6C61">
      <w:pPr>
        <w:ind w:firstLine="708"/>
        <w:jc w:val="both"/>
        <w:rPr>
          <w:lang w:val="de-DE"/>
        </w:rPr>
      </w:pPr>
      <w:r w:rsidRPr="004676F5">
        <w:rPr>
          <w:lang w:val="de-DE"/>
        </w:rPr>
        <w:t>8. Warnhinweis zu den Folgen ausbleibender Zahlungen,</w:t>
      </w:r>
    </w:p>
    <w:p w14:paraId="100F9C75" w14:textId="77777777" w:rsidR="003E6C61" w:rsidRPr="004676F5" w:rsidRDefault="003E6C61" w:rsidP="003E6C61">
      <w:pPr>
        <w:ind w:firstLine="708"/>
        <w:jc w:val="both"/>
        <w:rPr>
          <w:lang w:val="de-DE"/>
        </w:rPr>
      </w:pPr>
    </w:p>
    <w:p w14:paraId="41F1F1F2" w14:textId="77777777" w:rsidR="003E6C61" w:rsidRPr="004676F5" w:rsidRDefault="003E6C61" w:rsidP="003E6C61">
      <w:pPr>
        <w:ind w:firstLine="708"/>
        <w:jc w:val="both"/>
        <w:rPr>
          <w:lang w:val="de-DE"/>
        </w:rPr>
      </w:pPr>
      <w:r w:rsidRPr="004676F5">
        <w:rPr>
          <w:lang w:val="de-DE"/>
        </w:rPr>
        <w:t>9. soweit zutreffend, Hinweis auf zu zahlende Notargebühren,</w:t>
      </w:r>
    </w:p>
    <w:p w14:paraId="79DBA8A7" w14:textId="77777777" w:rsidR="003E6C61" w:rsidRPr="004676F5" w:rsidRDefault="003E6C61" w:rsidP="003E6C61">
      <w:pPr>
        <w:ind w:firstLine="708"/>
        <w:jc w:val="both"/>
        <w:rPr>
          <w:lang w:val="de-DE"/>
        </w:rPr>
      </w:pPr>
    </w:p>
    <w:p w14:paraId="7AE20367" w14:textId="77777777" w:rsidR="003E6C61" w:rsidRPr="004676F5" w:rsidRDefault="003E6C61" w:rsidP="003E6C61">
      <w:pPr>
        <w:ind w:firstLine="708"/>
        <w:jc w:val="both"/>
        <w:rPr>
          <w:lang w:val="de-DE"/>
        </w:rPr>
      </w:pPr>
      <w:r w:rsidRPr="004676F5">
        <w:rPr>
          <w:lang w:val="de-DE"/>
        </w:rPr>
        <w:t>10. gegebenenfalls verlangte Sicherheiten und Versicherungen,</w:t>
      </w:r>
    </w:p>
    <w:p w14:paraId="4BA9869F" w14:textId="77777777" w:rsidR="003E6C61" w:rsidRPr="004676F5" w:rsidRDefault="003E6C61" w:rsidP="003E6C61">
      <w:pPr>
        <w:ind w:firstLine="708"/>
        <w:jc w:val="both"/>
        <w:rPr>
          <w:lang w:val="de-DE"/>
        </w:rPr>
      </w:pPr>
    </w:p>
    <w:p w14:paraId="419E5382" w14:textId="77777777" w:rsidR="003E6C61" w:rsidRPr="004676F5" w:rsidRDefault="003E6C61" w:rsidP="003E6C61">
      <w:pPr>
        <w:ind w:firstLine="708"/>
        <w:jc w:val="both"/>
        <w:rPr>
          <w:lang w:val="de-DE"/>
        </w:rPr>
      </w:pPr>
      <w:r w:rsidRPr="004676F5">
        <w:rPr>
          <w:lang w:val="de-DE"/>
        </w:rPr>
        <w:t>11. Bestehen oder Nichtbestehen eines Widerrufsrechts sowie Frist und andere Modalitäten für die Ausübung des Widerrufsrechts, einschließlich Angaben zu der Verpflichtung des Verbrauchers, das in Anspruch genommene Kapital und die Zinsen gemäß Artikel VII.138 zurückzuzahlen, und der Höhe der Zinsen pro Tag,</w:t>
      </w:r>
    </w:p>
    <w:p w14:paraId="71F68295" w14:textId="77777777" w:rsidR="003E6C61" w:rsidRPr="004676F5" w:rsidRDefault="003E6C61" w:rsidP="003E6C61">
      <w:pPr>
        <w:ind w:firstLine="708"/>
        <w:jc w:val="both"/>
        <w:rPr>
          <w:lang w:val="de-DE"/>
        </w:rPr>
      </w:pPr>
    </w:p>
    <w:p w14:paraId="18FC7E99" w14:textId="77777777" w:rsidR="003E6C61" w:rsidRPr="004676F5" w:rsidRDefault="003E6C61" w:rsidP="003E6C61">
      <w:pPr>
        <w:ind w:firstLine="708"/>
        <w:jc w:val="both"/>
        <w:rPr>
          <w:lang w:val="de-DE"/>
        </w:rPr>
      </w:pPr>
      <w:r w:rsidRPr="004676F5">
        <w:rPr>
          <w:lang w:val="de-DE"/>
        </w:rPr>
        <w:t>12. Information über die Rechte aus Artikel VII.147/6 und Bedingungen für ihre Ausübung,</w:t>
      </w:r>
    </w:p>
    <w:p w14:paraId="29917FC9" w14:textId="77777777" w:rsidR="003E6C61" w:rsidRPr="004676F5" w:rsidRDefault="003E6C61" w:rsidP="003E6C61">
      <w:pPr>
        <w:ind w:firstLine="708"/>
        <w:jc w:val="both"/>
        <w:rPr>
          <w:lang w:val="de-DE"/>
        </w:rPr>
      </w:pPr>
    </w:p>
    <w:p w14:paraId="4DE01171" w14:textId="77777777" w:rsidR="003E6C61" w:rsidRPr="004676F5" w:rsidRDefault="003E6C61" w:rsidP="003E6C61">
      <w:pPr>
        <w:ind w:firstLine="708"/>
        <w:jc w:val="both"/>
        <w:rPr>
          <w:lang w:val="de-DE"/>
        </w:rPr>
      </w:pPr>
      <w:r w:rsidRPr="004676F5">
        <w:rPr>
          <w:lang w:val="de-DE"/>
        </w:rPr>
        <w:t>13. Recht auf vorzeitige Rückzahlung, Verfahren bei vorzeitiger Rückzahlung und gegebenenfalls Information zum Anspruch des Kreditgebers auf Entschädigung sowie zur Art der Bestimmung dieser Entschädigung, einschließlich der in Artikel VII.147/11 § 3 erwähnten Modalitäten bei Kapitalwiederherstellung,</w:t>
      </w:r>
    </w:p>
    <w:p w14:paraId="280A0A92" w14:textId="77777777" w:rsidR="003E6C61" w:rsidRPr="004676F5" w:rsidRDefault="003E6C61" w:rsidP="003E6C61">
      <w:pPr>
        <w:ind w:firstLine="708"/>
        <w:jc w:val="both"/>
        <w:rPr>
          <w:lang w:val="de-DE"/>
        </w:rPr>
      </w:pPr>
    </w:p>
    <w:p w14:paraId="244459CF" w14:textId="26EA807D" w:rsidR="003E6C61" w:rsidRPr="004676F5" w:rsidRDefault="003E6C61" w:rsidP="003E6C61">
      <w:pPr>
        <w:ind w:firstLine="708"/>
        <w:jc w:val="both"/>
        <w:rPr>
          <w:lang w:val="de-DE"/>
        </w:rPr>
      </w:pPr>
      <w:r w:rsidRPr="004676F5">
        <w:rPr>
          <w:lang w:val="de-DE"/>
        </w:rPr>
        <w:t>14. Hinweis auf die dem Verbraucher gemäß Buch XVI zugänglichen außerge</w:t>
      </w:r>
      <w:r w:rsidRPr="004676F5">
        <w:rPr>
          <w:lang w:val="de-DE"/>
        </w:rPr>
        <w:softHyphen/>
        <w:t>richtlichen Beschwerde</w:t>
      </w:r>
      <w:r w:rsidR="005B7A5C" w:rsidRPr="004676F5">
        <w:rPr>
          <w:lang w:val="de-DE"/>
        </w:rPr>
        <w:t>- </w:t>
      </w:r>
      <w:r w:rsidRPr="004676F5">
        <w:rPr>
          <w:lang w:val="de-DE"/>
        </w:rPr>
        <w:t xml:space="preserve">und Rechtsbehelfsverfahren, einschließlich geographischer Anschrift </w:t>
      </w:r>
      <w:r w:rsidRPr="004676F5">
        <w:rPr>
          <w:lang w:val="de-DE"/>
        </w:rPr>
        <w:lastRenderedPageBreak/>
        <w:t>der Stellen, an die ein Zahlungsdienstnutzer seine Beschwerden richten kann, worunter die Kontaktinformationen der Generaldirektion Wirtschaftsinspektion des FÖD Wirtschaft,</w:t>
      </w:r>
    </w:p>
    <w:p w14:paraId="6D361AB6" w14:textId="77777777" w:rsidR="003E6C61" w:rsidRPr="004676F5" w:rsidRDefault="003E6C61" w:rsidP="003E6C61">
      <w:pPr>
        <w:ind w:firstLine="708"/>
        <w:jc w:val="both"/>
        <w:rPr>
          <w:lang w:val="de-DE"/>
        </w:rPr>
      </w:pPr>
    </w:p>
    <w:p w14:paraId="4FABA104" w14:textId="77777777" w:rsidR="003E6C61" w:rsidRPr="004676F5" w:rsidRDefault="003E6C61" w:rsidP="003E6C61">
      <w:pPr>
        <w:ind w:firstLine="708"/>
        <w:jc w:val="both"/>
        <w:rPr>
          <w:lang w:val="de-DE"/>
        </w:rPr>
      </w:pPr>
      <w:r w:rsidRPr="004676F5">
        <w:rPr>
          <w:lang w:val="de-DE"/>
        </w:rPr>
        <w:t>15. gegebenenfalls weitere Vertragsbedingungen.</w:t>
      </w:r>
    </w:p>
    <w:p w14:paraId="064CFBAF" w14:textId="77777777" w:rsidR="003E6C61" w:rsidRPr="004676F5" w:rsidRDefault="003E6C61" w:rsidP="003E6C61">
      <w:pPr>
        <w:ind w:firstLine="708"/>
        <w:jc w:val="both"/>
        <w:rPr>
          <w:lang w:val="de-DE"/>
        </w:rPr>
      </w:pPr>
    </w:p>
    <w:p w14:paraId="52602B42" w14:textId="77777777" w:rsidR="003E6C61" w:rsidRPr="004676F5" w:rsidRDefault="003E6C61" w:rsidP="003E6C61">
      <w:pPr>
        <w:ind w:firstLine="708"/>
        <w:jc w:val="both"/>
        <w:rPr>
          <w:lang w:val="de-DE"/>
        </w:rPr>
      </w:pPr>
      <w:r w:rsidRPr="004676F5">
        <w:rPr>
          <w:lang w:val="de-DE"/>
        </w:rPr>
        <w:t>Die Nummern 1 bis 3 und 6 und 7 finden nur Anwendung auf Mobiliarhypothekar</w:t>
      </w:r>
      <w:r w:rsidRPr="004676F5">
        <w:rPr>
          <w:lang w:val="de-DE"/>
        </w:rPr>
        <w:softHyphen/>
        <w:t>kredite.</w:t>
      </w:r>
    </w:p>
    <w:p w14:paraId="4E687624" w14:textId="77777777" w:rsidR="003E6C61" w:rsidRPr="004676F5" w:rsidRDefault="003E6C61" w:rsidP="003E6C61">
      <w:pPr>
        <w:ind w:firstLine="708"/>
        <w:jc w:val="both"/>
        <w:rPr>
          <w:lang w:val="de-DE"/>
        </w:rPr>
      </w:pPr>
    </w:p>
    <w:p w14:paraId="188923E3" w14:textId="4F4FC358"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Die Gründe, aus denen die Rückzahlung eines Kreditvertrags vorzeitig verlangt oder ein Kreditvertrag gekündigt werden kann, müssen in einer separaten Klausel im Kreditvertrag aufgenommen werden.</w:t>
      </w:r>
    </w:p>
    <w:p w14:paraId="60328904" w14:textId="77777777" w:rsidR="003E6C61" w:rsidRPr="004676F5" w:rsidRDefault="003E6C61" w:rsidP="003E6C61">
      <w:pPr>
        <w:ind w:firstLine="708"/>
        <w:jc w:val="both"/>
        <w:rPr>
          <w:lang w:val="de-DE"/>
        </w:rPr>
      </w:pPr>
    </w:p>
    <w:p w14:paraId="0DBF3838" w14:textId="74BC8BD2" w:rsidR="003E6C61" w:rsidRPr="004676F5" w:rsidRDefault="003E6C61" w:rsidP="003E6C61">
      <w:pPr>
        <w:ind w:firstLine="708"/>
        <w:jc w:val="both"/>
        <w:rPr>
          <w:lang w:val="de-DE"/>
        </w:rPr>
      </w:pPr>
      <w:r w:rsidRPr="004676F5">
        <w:rPr>
          <w:lang w:val="de-DE"/>
        </w:rPr>
        <w:t>§ 5 </w:t>
      </w:r>
      <w:r w:rsidR="005B7A5C" w:rsidRPr="004676F5">
        <w:rPr>
          <w:lang w:val="de-DE"/>
        </w:rPr>
        <w:t>- </w:t>
      </w:r>
      <w:r w:rsidRPr="004676F5">
        <w:rPr>
          <w:lang w:val="de-DE"/>
        </w:rPr>
        <w:t>In Fällen, in denen der Kredit auf Fremdwährung lautet, gewährleistet der Kreditgeber:</w:t>
      </w:r>
    </w:p>
    <w:p w14:paraId="7BDC870B" w14:textId="77777777" w:rsidR="003E6C61" w:rsidRPr="004676F5" w:rsidRDefault="003E6C61" w:rsidP="003E6C61">
      <w:pPr>
        <w:ind w:firstLine="708"/>
        <w:jc w:val="both"/>
        <w:rPr>
          <w:lang w:val="de-DE"/>
        </w:rPr>
      </w:pPr>
    </w:p>
    <w:p w14:paraId="5635B4DE" w14:textId="77777777" w:rsidR="003E6C61" w:rsidRPr="004676F5" w:rsidRDefault="003E6C61" w:rsidP="003E6C61">
      <w:pPr>
        <w:ind w:firstLine="708"/>
        <w:jc w:val="both"/>
        <w:rPr>
          <w:lang w:val="de-DE"/>
        </w:rPr>
      </w:pPr>
      <w:r w:rsidRPr="004676F5">
        <w:rPr>
          <w:lang w:val="de-DE"/>
        </w:rPr>
        <w:t>1. dass der Verbraucher unter festgelegten Bedingungen das Recht hat, den Kreditvertrag auf eine alternative Währung umzustellen, oder</w:t>
      </w:r>
    </w:p>
    <w:p w14:paraId="65689CDC" w14:textId="77777777" w:rsidR="003E6C61" w:rsidRPr="004676F5" w:rsidRDefault="003E6C61" w:rsidP="003E6C61">
      <w:pPr>
        <w:jc w:val="both"/>
        <w:rPr>
          <w:lang w:val="de-DE"/>
        </w:rPr>
      </w:pPr>
    </w:p>
    <w:p w14:paraId="7956998E" w14:textId="77777777" w:rsidR="003E6C61" w:rsidRPr="004676F5" w:rsidRDefault="003E6C61" w:rsidP="003E6C61">
      <w:pPr>
        <w:ind w:firstLine="708"/>
        <w:jc w:val="both"/>
        <w:rPr>
          <w:lang w:val="de-DE"/>
        </w:rPr>
      </w:pPr>
      <w:r w:rsidRPr="004676F5">
        <w:rPr>
          <w:lang w:val="de-DE"/>
        </w:rPr>
        <w:t>2. dass andere Vorkehrungen getroffen werden, um das für den Verbraucher im Rahmen des Kreditvertrags bestehende Wechselkursrisiko zu begrenzen.</w:t>
      </w:r>
    </w:p>
    <w:p w14:paraId="0A4DE389" w14:textId="77777777" w:rsidR="003E6C61" w:rsidRPr="004676F5" w:rsidRDefault="003E6C61" w:rsidP="003E6C61">
      <w:pPr>
        <w:ind w:firstLine="708"/>
        <w:jc w:val="both"/>
        <w:rPr>
          <w:lang w:val="de-DE"/>
        </w:rPr>
      </w:pPr>
    </w:p>
    <w:p w14:paraId="691EB77D" w14:textId="77777777" w:rsidR="003E6C61" w:rsidRPr="004676F5" w:rsidRDefault="003E6C61" w:rsidP="003E6C61">
      <w:pPr>
        <w:ind w:firstLine="708"/>
        <w:jc w:val="both"/>
        <w:rPr>
          <w:lang w:val="de-DE"/>
        </w:rPr>
      </w:pPr>
      <w:r w:rsidRPr="004676F5">
        <w:rPr>
          <w:lang w:val="de-DE"/>
        </w:rPr>
        <w:t>Die in Absatz 1 Nr. 1 erwähnte alternative Währung ist entweder:</w:t>
      </w:r>
    </w:p>
    <w:p w14:paraId="5A722381" w14:textId="77777777" w:rsidR="003E6C61" w:rsidRPr="004676F5" w:rsidRDefault="003E6C61" w:rsidP="003E6C61">
      <w:pPr>
        <w:ind w:firstLine="708"/>
        <w:jc w:val="both"/>
        <w:rPr>
          <w:lang w:val="de-DE"/>
        </w:rPr>
      </w:pPr>
    </w:p>
    <w:p w14:paraId="67C8F7AF" w14:textId="77777777" w:rsidR="003E6C61" w:rsidRPr="004676F5" w:rsidRDefault="003E6C61" w:rsidP="003E6C61">
      <w:pPr>
        <w:ind w:firstLine="708"/>
        <w:jc w:val="both"/>
        <w:rPr>
          <w:lang w:val="de-DE"/>
        </w:rPr>
      </w:pPr>
      <w:r w:rsidRPr="004676F5">
        <w:rPr>
          <w:lang w:val="de-DE"/>
        </w:rPr>
        <w:t>1. die Währung, in der der Verbraucher überwiegend sein Einkommen bezieht oder Vermögenswerte hält, aus denen der Kredit zurückgezahlt werden soll, wie zum Zeitpunkt der jüngsten Kreditwürdigkeitsprüfung, die im Zusammenhang mit dem Kreditvertrag durchge</w:t>
      </w:r>
      <w:r w:rsidRPr="004676F5">
        <w:rPr>
          <w:lang w:val="de-DE"/>
        </w:rPr>
        <w:softHyphen/>
        <w:t>führt wurde, angegeben, oder</w:t>
      </w:r>
    </w:p>
    <w:p w14:paraId="23D2DD07" w14:textId="77777777" w:rsidR="003E6C61" w:rsidRPr="004676F5" w:rsidRDefault="003E6C61" w:rsidP="003E6C61">
      <w:pPr>
        <w:ind w:firstLine="708"/>
        <w:jc w:val="both"/>
        <w:rPr>
          <w:lang w:val="de-DE"/>
        </w:rPr>
      </w:pPr>
    </w:p>
    <w:p w14:paraId="6B7610F5" w14:textId="77777777" w:rsidR="003E6C61" w:rsidRPr="004676F5" w:rsidRDefault="003E6C61" w:rsidP="003E6C61">
      <w:pPr>
        <w:ind w:firstLine="708"/>
        <w:jc w:val="both"/>
        <w:rPr>
          <w:lang w:val="de-DE"/>
        </w:rPr>
      </w:pPr>
      <w:r w:rsidRPr="004676F5">
        <w:rPr>
          <w:lang w:val="de-DE"/>
        </w:rPr>
        <w:t>2. die Währung des Mitgliedstaats, in dem der Verbraucher seinen Wohnsitz hat oder in dem er bei Abschluss des Kreditvertrags seinen Wohnsitz hatte.</w:t>
      </w:r>
    </w:p>
    <w:p w14:paraId="2B7588C8" w14:textId="77777777" w:rsidR="003E6C61" w:rsidRPr="004676F5" w:rsidRDefault="003E6C61" w:rsidP="003E6C61">
      <w:pPr>
        <w:ind w:firstLine="708"/>
        <w:jc w:val="both"/>
        <w:rPr>
          <w:lang w:val="de-DE"/>
        </w:rPr>
      </w:pPr>
    </w:p>
    <w:p w14:paraId="570D2B35" w14:textId="77777777" w:rsidR="003E6C61" w:rsidRPr="004676F5" w:rsidRDefault="003E6C61" w:rsidP="003E6C61">
      <w:pPr>
        <w:ind w:firstLine="708"/>
        <w:jc w:val="both"/>
        <w:rPr>
          <w:lang w:val="de-DE"/>
        </w:rPr>
      </w:pPr>
      <w:r w:rsidRPr="004676F5">
        <w:rPr>
          <w:lang w:val="de-DE"/>
        </w:rPr>
        <w:t>Hat ein Verbraucher das Recht, den Kreditvertrag auf eine alternative Währung umzustellen, so entspricht der für die Umstellung verwendete Wechselkurs dem am Tag des Antrags auf Umstellung geltenden Marktwechselkurs, sofern im Kreditvertrag nichts anderes festgelegt ist.</w:t>
      </w:r>
    </w:p>
    <w:p w14:paraId="2F3F8631" w14:textId="77777777" w:rsidR="003E6C61" w:rsidRPr="004676F5" w:rsidRDefault="003E6C61" w:rsidP="003E6C61">
      <w:pPr>
        <w:ind w:firstLine="708"/>
        <w:jc w:val="both"/>
        <w:rPr>
          <w:lang w:val="de-DE"/>
        </w:rPr>
      </w:pPr>
    </w:p>
    <w:p w14:paraId="330BDBE5" w14:textId="38A12883" w:rsidR="003E6C61" w:rsidRPr="004676F5" w:rsidRDefault="003E6C61" w:rsidP="003E6C61">
      <w:pPr>
        <w:ind w:firstLine="708"/>
        <w:jc w:val="both"/>
        <w:rPr>
          <w:lang w:val="de-DE"/>
        </w:rPr>
      </w:pPr>
      <w:r w:rsidRPr="004676F5">
        <w:rPr>
          <w:lang w:val="de-DE"/>
        </w:rPr>
        <w:t>Der Kreditgeber warnt einen Verbraucher, der einen Fremdwährungskredit aufgenom</w:t>
      </w:r>
      <w:r w:rsidRPr="004676F5">
        <w:rPr>
          <w:lang w:val="de-DE"/>
        </w:rPr>
        <w:softHyphen/>
        <w:t xml:space="preserve">men hat, </w:t>
      </w:r>
      <w:r w:rsidR="00E057DB" w:rsidRPr="004676F5">
        <w:rPr>
          <w:lang w:val="de-DE"/>
        </w:rPr>
        <w:t xml:space="preserve">[auf dauerhaftem Datenträger] </w:t>
      </w:r>
      <w:r w:rsidRPr="004676F5">
        <w:rPr>
          <w:lang w:val="de-DE"/>
        </w:rPr>
        <w:t>regelmäßig und zumindest dann, wenn der Wert des vom Verbraucher noch zu zahlenden Gesamtbetrags oder der regelmäßigen Raten um mehr als 20 Prozent von dem Wert abweicht, der gegeben wäre, wenn der Wechselkurs zwischen der Währung des Kreditvertrags und dem Euro zum Zeitpunkt des Abschlusses des Kreditvertrags angewandt würde. Mit dieser Warnung wird der Verbraucher über einen Anstieg des vom Verbraucher zu zahlenden Gesamtbetrags sowie gegebenenfalls über sein Recht auf Umstellung in eine andere Währung und die hierfür geltenden Bedingungen informiert und es werden andere anwendbare Mechanismen erläutert, um das Wechselkursrisiko für den Verbraucher zu begrenzen.</w:t>
      </w:r>
    </w:p>
    <w:p w14:paraId="68FFAEB7" w14:textId="77777777" w:rsidR="003E6C61" w:rsidRPr="004676F5" w:rsidRDefault="003E6C61" w:rsidP="003E6C61">
      <w:pPr>
        <w:rPr>
          <w:lang w:val="de-DE"/>
        </w:rPr>
      </w:pPr>
    </w:p>
    <w:p w14:paraId="33DE8A1B" w14:textId="1038A47F" w:rsidR="00402892" w:rsidRPr="004676F5" w:rsidRDefault="00402892" w:rsidP="00745C1F">
      <w:pPr>
        <w:jc w:val="both"/>
        <w:rPr>
          <w:i/>
          <w:lang w:val="de-DE"/>
        </w:rPr>
      </w:pPr>
      <w:r w:rsidRPr="004676F5">
        <w:rPr>
          <w:i/>
          <w:lang w:val="de-DE"/>
        </w:rPr>
        <w:t>[</w:t>
      </w:r>
      <w:r w:rsidR="00BE0A56" w:rsidRPr="004676F5">
        <w:rPr>
          <w:i/>
          <w:lang w:val="de-DE"/>
        </w:rPr>
        <w:t>Art. </w:t>
      </w:r>
      <w:r w:rsidRPr="004676F5">
        <w:rPr>
          <w:i/>
          <w:lang w:val="de-DE"/>
        </w:rPr>
        <w:t>VII.134</w:t>
      </w:r>
      <w:r w:rsidR="00324620" w:rsidRPr="004676F5">
        <w:rPr>
          <w:i/>
          <w:lang w:val="de-DE"/>
        </w:rPr>
        <w:t xml:space="preserve"> § 1 Abs. 1 abgeändert durch Art. 12</w:t>
      </w:r>
      <w:r w:rsidR="00324620" w:rsidRPr="004676F5">
        <w:rPr>
          <w:i/>
          <w:iCs/>
          <w:lang w:val="de-DE"/>
        </w:rPr>
        <w:t xml:space="preserve"> des G. vom 20. September 2018 (B.S. vom 10. Oktober 2018);</w:t>
      </w:r>
      <w:r w:rsidRPr="004676F5">
        <w:rPr>
          <w:i/>
          <w:lang w:val="de-DE"/>
        </w:rPr>
        <w:t xml:space="preserve"> § 1 Abs. 2 erster und zweiter Gedankenstrich ersetzt durch </w:t>
      </w:r>
      <w:r w:rsidR="00BE0A56" w:rsidRPr="004676F5">
        <w:rPr>
          <w:i/>
          <w:lang w:val="de-DE"/>
        </w:rPr>
        <w:t>Art. </w:t>
      </w:r>
      <w:r w:rsidRPr="004676F5">
        <w:rPr>
          <w:i/>
          <w:lang w:val="de-DE"/>
        </w:rPr>
        <w:t>11 des G. vom 18. April 2017 (B.S. vom 24. April 2017)</w:t>
      </w:r>
      <w:r w:rsidR="00E057DB" w:rsidRPr="004676F5">
        <w:rPr>
          <w:i/>
          <w:lang w:val="de-DE"/>
        </w:rPr>
        <w:t>; § 5 Abs. 4 abgeändert durch Art. 12</w:t>
      </w:r>
      <w:r w:rsidR="00E057DB" w:rsidRPr="004676F5">
        <w:rPr>
          <w:i/>
          <w:iCs/>
          <w:lang w:val="de-DE"/>
        </w:rPr>
        <w:t xml:space="preserve"> des G. vom 20. September 2018 (B.S. vom 10. Oktober 2018)</w:t>
      </w:r>
      <w:r w:rsidRPr="004676F5">
        <w:rPr>
          <w:i/>
          <w:lang w:val="de-DE"/>
        </w:rPr>
        <w:t>]</w:t>
      </w:r>
    </w:p>
    <w:p w14:paraId="7B650FA9" w14:textId="77777777" w:rsidR="00402892" w:rsidRPr="004676F5" w:rsidRDefault="00402892" w:rsidP="003E6C61">
      <w:pPr>
        <w:rPr>
          <w:i/>
          <w:lang w:val="de-DE"/>
        </w:rPr>
      </w:pPr>
    </w:p>
    <w:p w14:paraId="6F16CF23" w14:textId="77777777" w:rsidR="002E20BA" w:rsidRPr="004676F5" w:rsidRDefault="002E20BA" w:rsidP="003E6C61">
      <w:pPr>
        <w:rPr>
          <w:lang w:val="de-DE"/>
        </w:rPr>
      </w:pPr>
    </w:p>
    <w:p w14:paraId="59155E96" w14:textId="203E96DF" w:rsidR="003E6C61" w:rsidRPr="004676F5" w:rsidRDefault="003E6C61" w:rsidP="003E6C61">
      <w:pPr>
        <w:jc w:val="center"/>
        <w:rPr>
          <w:lang w:val="de-DE"/>
        </w:rPr>
      </w:pPr>
      <w:r w:rsidRPr="004676F5">
        <w:rPr>
          <w:lang w:val="de-DE"/>
        </w:rPr>
        <w:t>Unterabschnitt 9 </w:t>
      </w:r>
      <w:r w:rsidR="005B7A5C" w:rsidRPr="004676F5">
        <w:rPr>
          <w:lang w:val="de-DE"/>
        </w:rPr>
        <w:t>- </w:t>
      </w:r>
      <w:r w:rsidRPr="004676F5">
        <w:rPr>
          <w:lang w:val="de-DE"/>
        </w:rPr>
        <w:t>Kapitalwiederherstellung</w:t>
      </w:r>
    </w:p>
    <w:p w14:paraId="23DA777C" w14:textId="77777777" w:rsidR="003E6C61" w:rsidRPr="004676F5" w:rsidRDefault="003E6C61" w:rsidP="003E6C61">
      <w:pPr>
        <w:jc w:val="both"/>
        <w:rPr>
          <w:lang w:val="de-DE"/>
        </w:rPr>
      </w:pPr>
    </w:p>
    <w:p w14:paraId="0F26A578" w14:textId="77777777" w:rsidR="002E20BA" w:rsidRPr="004676F5" w:rsidRDefault="002E20BA" w:rsidP="003E6C61">
      <w:pPr>
        <w:jc w:val="both"/>
        <w:rPr>
          <w:lang w:val="de-DE"/>
        </w:rPr>
      </w:pPr>
    </w:p>
    <w:p w14:paraId="58A6A2C4" w14:textId="5ED05438" w:rsidR="003E6C61" w:rsidRPr="004676F5" w:rsidRDefault="00BE0A56" w:rsidP="003E6C61">
      <w:pPr>
        <w:ind w:firstLine="708"/>
        <w:jc w:val="both"/>
        <w:rPr>
          <w:lang w:val="de-DE"/>
        </w:rPr>
      </w:pPr>
      <w:r w:rsidRPr="004676F5">
        <w:rPr>
          <w:b/>
          <w:lang w:val="de-DE"/>
        </w:rPr>
        <w:t>Art. </w:t>
      </w:r>
      <w:r w:rsidR="003E6C61" w:rsidRPr="004676F5">
        <w:rPr>
          <w:b/>
          <w:lang w:val="de-DE"/>
        </w:rPr>
        <w:t>VII.135</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Kapitalwiederherstellung erfolgt anhand eines dem Kredit beige</w:t>
      </w:r>
      <w:r w:rsidR="003E6C61" w:rsidRPr="004676F5">
        <w:rPr>
          <w:lang w:val="de-DE"/>
        </w:rPr>
        <w:softHyphen/>
        <w:t>fügten Vertrags. Ein beigefügter Vertrag ist keine Nebenleistung.</w:t>
      </w:r>
    </w:p>
    <w:p w14:paraId="0BBF1F8F" w14:textId="77777777" w:rsidR="003E6C61" w:rsidRPr="004676F5" w:rsidRDefault="003E6C61" w:rsidP="003E6C61">
      <w:pPr>
        <w:ind w:firstLine="708"/>
        <w:jc w:val="both"/>
        <w:rPr>
          <w:lang w:val="de-DE"/>
        </w:rPr>
      </w:pPr>
    </w:p>
    <w:p w14:paraId="3E2A6912" w14:textId="77777777" w:rsidR="003E6C61" w:rsidRPr="004676F5" w:rsidRDefault="003E6C61" w:rsidP="003E6C61">
      <w:pPr>
        <w:ind w:firstLine="708"/>
        <w:jc w:val="both"/>
        <w:rPr>
          <w:lang w:val="de-DE"/>
        </w:rPr>
      </w:pPr>
      <w:r w:rsidRPr="004676F5">
        <w:rPr>
          <w:lang w:val="de-DE"/>
        </w:rPr>
        <w:t>Dieser beigefügte Vertrag darf nur ein Lebensversicherungsvertrag, ein Kapitalan</w:t>
      </w:r>
      <w:r w:rsidRPr="004676F5">
        <w:rPr>
          <w:lang w:val="de-DE"/>
        </w:rPr>
        <w:softHyphen/>
        <w:t>samm</w:t>
      </w:r>
      <w:r w:rsidRPr="004676F5">
        <w:rPr>
          <w:lang w:val="de-DE"/>
        </w:rPr>
        <w:softHyphen/>
        <w:t>lungs</w:t>
      </w:r>
      <w:r w:rsidRPr="004676F5">
        <w:rPr>
          <w:lang w:val="de-DE"/>
        </w:rPr>
        <w:softHyphen/>
        <w:t>vertrag oder eine andere Art der Ersparnisbildung sein.</w:t>
      </w:r>
    </w:p>
    <w:p w14:paraId="7C0DB33F" w14:textId="77777777" w:rsidR="003E6C61" w:rsidRPr="004676F5" w:rsidRDefault="003E6C61" w:rsidP="003E6C61">
      <w:pPr>
        <w:ind w:firstLine="708"/>
        <w:jc w:val="both"/>
        <w:rPr>
          <w:lang w:val="de-DE"/>
        </w:rPr>
      </w:pPr>
    </w:p>
    <w:p w14:paraId="34A284AE" w14:textId="063BE3BD" w:rsidR="003E6C61" w:rsidRPr="004676F5" w:rsidRDefault="003E6C61" w:rsidP="003E6C61">
      <w:pPr>
        <w:ind w:firstLine="708"/>
        <w:jc w:val="both"/>
        <w:rPr>
          <w:lang w:val="de-DE"/>
        </w:rPr>
      </w:pPr>
      <w:r w:rsidRPr="004676F5">
        <w:rPr>
          <w:lang w:val="de-DE"/>
        </w:rPr>
        <w:t>Das wiederhergestellte Kapital ist zu jedem Zeitpunkt der Rückkaufswert oder das im Falle eines Lebensversicherungs</w:t>
      </w:r>
      <w:r w:rsidR="005B7A5C" w:rsidRPr="004676F5">
        <w:rPr>
          <w:lang w:val="de-DE"/>
        </w:rPr>
        <w:t>- </w:t>
      </w:r>
      <w:r w:rsidRPr="004676F5">
        <w:rPr>
          <w:lang w:val="de-DE"/>
        </w:rPr>
        <w:t>beziehungsweise Kapitalansammlungsvertrags gebildete Kapital oder das in den anderen Fällen von Sparverträgen bereits gesparte Kapital.</w:t>
      </w:r>
    </w:p>
    <w:p w14:paraId="59C8C660" w14:textId="77777777" w:rsidR="003E6C61" w:rsidRPr="004676F5" w:rsidRDefault="003E6C61" w:rsidP="003E6C61">
      <w:pPr>
        <w:ind w:firstLine="708"/>
        <w:jc w:val="both"/>
        <w:rPr>
          <w:lang w:val="de-DE"/>
        </w:rPr>
      </w:pPr>
    </w:p>
    <w:p w14:paraId="066F2F70" w14:textId="77777777" w:rsidR="003E6C61" w:rsidRPr="004676F5" w:rsidRDefault="003E6C61" w:rsidP="003E6C61">
      <w:pPr>
        <w:ind w:firstLine="708"/>
        <w:jc w:val="both"/>
        <w:rPr>
          <w:lang w:val="de-DE"/>
        </w:rPr>
      </w:pPr>
      <w:r w:rsidRPr="004676F5">
        <w:rPr>
          <w:lang w:val="de-DE"/>
        </w:rPr>
        <w:t>Erfolgt die Wiederherstellung beim Kreditgeber, wird im Falle der gesetzlichen oder gerichtlichen Auflösung oder des Konkurses des Kreditgebers das wiederhergestellte Kapital durch Aufrechnung zur Verringerung der Forderung des Kreditgebers verwendet, ohne dass irgendeine Entschädigung zu leisten ist.</w:t>
      </w:r>
    </w:p>
    <w:p w14:paraId="727B9801" w14:textId="77777777" w:rsidR="003E6C61" w:rsidRPr="004676F5" w:rsidRDefault="003E6C61" w:rsidP="003E6C61">
      <w:pPr>
        <w:ind w:firstLine="708"/>
        <w:jc w:val="both"/>
        <w:rPr>
          <w:lang w:val="de-DE"/>
        </w:rPr>
      </w:pPr>
    </w:p>
    <w:p w14:paraId="0A8340AC" w14:textId="77777777" w:rsidR="003E6C61" w:rsidRPr="004676F5" w:rsidRDefault="003E6C61" w:rsidP="003E6C61">
      <w:pPr>
        <w:ind w:firstLine="708"/>
        <w:jc w:val="both"/>
        <w:rPr>
          <w:lang w:val="de-DE"/>
        </w:rPr>
      </w:pPr>
      <w:r w:rsidRPr="004676F5">
        <w:rPr>
          <w:lang w:val="de-DE"/>
        </w:rPr>
        <w:t>Erfolgt die Wiederherstellung nicht beim Kreditgeber, wird der wiederherstellende Dritte zu dem Zeitpunkt, zu dem der Kredit einforderbar oder rückzahlbar wird, dem Kreditgeber gegenüber der alleinige Schuldner für das wiederhergestellte Kapital. In diesem Fall übt der Kreditgeber gegenüber dem wiederherstellenden Dritten die Rechte des Verbrauchers aus.</w:t>
      </w:r>
    </w:p>
    <w:p w14:paraId="6854C5F2" w14:textId="77777777" w:rsidR="003E6C61" w:rsidRPr="004676F5" w:rsidRDefault="003E6C61" w:rsidP="003E6C61">
      <w:pPr>
        <w:ind w:firstLine="708"/>
        <w:jc w:val="both"/>
        <w:rPr>
          <w:lang w:val="de-DE"/>
        </w:rPr>
      </w:pPr>
    </w:p>
    <w:p w14:paraId="173ACF5A" w14:textId="099EAC33"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Die Wiederherstellung darf sich nicht auf Beträge beziehen, die das Kapital oder das nach Teilrückzahlung noch zurückzuzahlende Kapital übersteigen.</w:t>
      </w:r>
    </w:p>
    <w:p w14:paraId="46315B87" w14:textId="77777777" w:rsidR="003E6C61" w:rsidRPr="004676F5" w:rsidRDefault="003E6C61" w:rsidP="003E6C61">
      <w:pPr>
        <w:ind w:firstLine="708"/>
        <w:jc w:val="both"/>
        <w:rPr>
          <w:lang w:val="de-DE"/>
        </w:rPr>
      </w:pPr>
    </w:p>
    <w:p w14:paraId="6E912DD8" w14:textId="7D3FF9F6"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Ist der für die Kapitalwiederherstellung vorgesehene Zeitraum länger als die Laufzeit des Kreditvertrags, darf der Verbraucher verlangen, dass der Kreditgeber den Kredit ohne jegliche Entschädigung oder Zinserhöhung bis zu dem Zeitpunkt, an dem das Kapital wiederhergestellt ist, verlängert.</w:t>
      </w:r>
    </w:p>
    <w:p w14:paraId="5298B592" w14:textId="77777777" w:rsidR="003E6C61" w:rsidRPr="004676F5" w:rsidRDefault="003E6C61" w:rsidP="003E6C61">
      <w:pPr>
        <w:ind w:firstLine="708"/>
        <w:jc w:val="both"/>
        <w:rPr>
          <w:lang w:val="de-DE"/>
        </w:rPr>
      </w:pPr>
    </w:p>
    <w:p w14:paraId="477A96DA" w14:textId="77777777" w:rsidR="003E6C61" w:rsidRPr="004676F5" w:rsidRDefault="003E6C61" w:rsidP="003E6C61">
      <w:pPr>
        <w:ind w:firstLine="708"/>
        <w:jc w:val="both"/>
        <w:rPr>
          <w:lang w:val="de-DE"/>
        </w:rPr>
      </w:pPr>
      <w:r w:rsidRPr="004676F5">
        <w:rPr>
          <w:lang w:val="de-DE"/>
        </w:rPr>
        <w:t>Gegebenenfalls trägt der Verbraucher die Kosten für den Abschluss des neuen Kreditvertrags.</w:t>
      </w:r>
    </w:p>
    <w:p w14:paraId="44FA09DA" w14:textId="77777777" w:rsidR="003E6C61" w:rsidRPr="004676F5" w:rsidRDefault="003E6C61" w:rsidP="003E6C61">
      <w:pPr>
        <w:ind w:firstLine="708"/>
        <w:jc w:val="both"/>
        <w:rPr>
          <w:lang w:val="de-DE"/>
        </w:rPr>
      </w:pPr>
    </w:p>
    <w:p w14:paraId="4758D62C" w14:textId="3DAA2AF0"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Der König kann zusätzliche Regeln für die Wiederherstellung festlegen.</w:t>
      </w:r>
    </w:p>
    <w:p w14:paraId="361D37FE" w14:textId="77777777" w:rsidR="003E6C61" w:rsidRPr="004676F5" w:rsidRDefault="003E6C61" w:rsidP="003E6C61">
      <w:pPr>
        <w:ind w:firstLine="708"/>
        <w:jc w:val="both"/>
        <w:rPr>
          <w:lang w:val="de-DE"/>
        </w:rPr>
      </w:pPr>
    </w:p>
    <w:p w14:paraId="19F9D53B" w14:textId="77777777" w:rsidR="002E20BA" w:rsidRPr="004676F5" w:rsidRDefault="002E20BA" w:rsidP="003E6C61">
      <w:pPr>
        <w:ind w:firstLine="708"/>
        <w:jc w:val="both"/>
        <w:rPr>
          <w:lang w:val="de-DE"/>
        </w:rPr>
      </w:pPr>
    </w:p>
    <w:p w14:paraId="2075F6A0" w14:textId="1E698E54" w:rsidR="003E6C61" w:rsidRPr="004676F5" w:rsidRDefault="00BE0A56" w:rsidP="002E20BA">
      <w:pPr>
        <w:ind w:firstLine="708"/>
        <w:jc w:val="both"/>
        <w:rPr>
          <w:lang w:val="de-DE"/>
        </w:rPr>
      </w:pPr>
      <w:r w:rsidRPr="004676F5">
        <w:rPr>
          <w:b/>
          <w:lang w:val="de-DE"/>
        </w:rPr>
        <w:t>Art. </w:t>
      </w:r>
      <w:r w:rsidR="003E6C61" w:rsidRPr="004676F5">
        <w:rPr>
          <w:b/>
          <w:lang w:val="de-DE"/>
        </w:rPr>
        <w:t>VII.136</w:t>
      </w:r>
      <w:r w:rsidR="003E6C61" w:rsidRPr="004676F5">
        <w:rPr>
          <w:lang w:val="de-DE"/>
        </w:rPr>
        <w:t> </w:t>
      </w:r>
      <w:r w:rsidR="005B7A5C" w:rsidRPr="004676F5">
        <w:rPr>
          <w:lang w:val="de-DE"/>
        </w:rPr>
        <w:t>- </w:t>
      </w:r>
      <w:r w:rsidR="003E6C61" w:rsidRPr="004676F5">
        <w:rPr>
          <w:lang w:val="de-DE"/>
        </w:rPr>
        <w:t>Das wiederhergestellte Kapital wird zu dem Zeitpunkt einforderbar, an dem:</w:t>
      </w:r>
    </w:p>
    <w:p w14:paraId="688328D2" w14:textId="77777777" w:rsidR="003E6C61" w:rsidRPr="004676F5" w:rsidRDefault="003E6C61" w:rsidP="003E6C61">
      <w:pPr>
        <w:ind w:firstLine="708"/>
        <w:jc w:val="both"/>
        <w:rPr>
          <w:lang w:val="de-DE"/>
        </w:rPr>
      </w:pPr>
    </w:p>
    <w:p w14:paraId="0AC1F22F" w14:textId="77777777" w:rsidR="003E6C61" w:rsidRPr="004676F5" w:rsidRDefault="003E6C61" w:rsidP="003E6C61">
      <w:pPr>
        <w:ind w:firstLine="708"/>
        <w:jc w:val="both"/>
        <w:rPr>
          <w:lang w:val="de-DE"/>
        </w:rPr>
      </w:pPr>
      <w:r w:rsidRPr="004676F5">
        <w:rPr>
          <w:lang w:val="de-DE"/>
        </w:rPr>
        <w:t>1. der Kredit den Fälligkeitstermin erreicht,</w:t>
      </w:r>
    </w:p>
    <w:p w14:paraId="4D74AC25" w14:textId="77777777" w:rsidR="003E6C61" w:rsidRPr="004676F5" w:rsidRDefault="003E6C61" w:rsidP="003E6C61">
      <w:pPr>
        <w:ind w:firstLine="708"/>
        <w:jc w:val="both"/>
        <w:rPr>
          <w:lang w:val="de-DE"/>
        </w:rPr>
      </w:pPr>
    </w:p>
    <w:p w14:paraId="0FFCF4B1" w14:textId="77777777" w:rsidR="003E6C61" w:rsidRPr="004676F5" w:rsidRDefault="003E6C61" w:rsidP="003E6C61">
      <w:pPr>
        <w:ind w:firstLine="708"/>
        <w:jc w:val="both"/>
        <w:rPr>
          <w:lang w:val="de-DE"/>
        </w:rPr>
      </w:pPr>
      <w:r w:rsidRPr="004676F5">
        <w:rPr>
          <w:lang w:val="de-DE"/>
        </w:rPr>
        <w:t>2. der Verbraucher von seinem gesetzlichen oder vertraglichen Recht auf Kapitalrück</w:t>
      </w:r>
      <w:r w:rsidRPr="004676F5">
        <w:rPr>
          <w:lang w:val="de-DE"/>
        </w:rPr>
        <w:softHyphen/>
        <w:t>zahlung Gebrauch macht.</w:t>
      </w:r>
    </w:p>
    <w:p w14:paraId="7643D754" w14:textId="77777777" w:rsidR="003E6C61" w:rsidRPr="004676F5" w:rsidRDefault="003E6C61" w:rsidP="003E6C61">
      <w:pPr>
        <w:jc w:val="both"/>
        <w:rPr>
          <w:lang w:val="de-DE"/>
        </w:rPr>
      </w:pPr>
    </w:p>
    <w:p w14:paraId="23A8B817" w14:textId="77777777" w:rsidR="002E20BA" w:rsidRPr="004676F5" w:rsidRDefault="002E20BA" w:rsidP="003E6C61">
      <w:pPr>
        <w:jc w:val="both"/>
        <w:rPr>
          <w:lang w:val="de-DE"/>
        </w:rPr>
      </w:pPr>
    </w:p>
    <w:p w14:paraId="7AE19099" w14:textId="77777777" w:rsidR="001F370C" w:rsidRPr="004676F5" w:rsidRDefault="001F370C">
      <w:pPr>
        <w:rPr>
          <w:lang w:val="de-DE"/>
        </w:rPr>
      </w:pPr>
      <w:r w:rsidRPr="004676F5">
        <w:rPr>
          <w:lang w:val="de-DE"/>
        </w:rPr>
        <w:br w:type="page"/>
      </w:r>
    </w:p>
    <w:p w14:paraId="1AAB0687" w14:textId="74C986A0" w:rsidR="003E6C61" w:rsidRPr="004676F5" w:rsidRDefault="003E6C61" w:rsidP="003E6C61">
      <w:pPr>
        <w:jc w:val="center"/>
        <w:rPr>
          <w:lang w:val="de-DE"/>
        </w:rPr>
      </w:pPr>
      <w:r w:rsidRPr="004676F5">
        <w:rPr>
          <w:lang w:val="de-DE"/>
        </w:rPr>
        <w:lastRenderedPageBreak/>
        <w:t>Unterabschnitt 10 </w:t>
      </w:r>
      <w:r w:rsidR="005B7A5C" w:rsidRPr="004676F5">
        <w:rPr>
          <w:lang w:val="de-DE"/>
        </w:rPr>
        <w:t>- </w:t>
      </w:r>
      <w:r w:rsidRPr="004676F5">
        <w:rPr>
          <w:lang w:val="de-DE"/>
        </w:rPr>
        <w:t>Kreditverweigerung</w:t>
      </w:r>
    </w:p>
    <w:p w14:paraId="2E26170D" w14:textId="77777777" w:rsidR="003E6C61" w:rsidRPr="004676F5" w:rsidRDefault="003E6C61" w:rsidP="003E6C61">
      <w:pPr>
        <w:jc w:val="both"/>
        <w:rPr>
          <w:lang w:val="de-DE"/>
        </w:rPr>
      </w:pPr>
    </w:p>
    <w:p w14:paraId="064F156F" w14:textId="77777777" w:rsidR="002E20BA" w:rsidRPr="004676F5" w:rsidRDefault="002E20BA" w:rsidP="003E6C61">
      <w:pPr>
        <w:jc w:val="both"/>
        <w:rPr>
          <w:lang w:val="de-DE"/>
        </w:rPr>
      </w:pPr>
    </w:p>
    <w:p w14:paraId="22F5F049" w14:textId="6542F8EC" w:rsidR="003E6C61" w:rsidRPr="004676F5" w:rsidRDefault="00BE0A56" w:rsidP="003E6C61">
      <w:pPr>
        <w:ind w:firstLine="708"/>
        <w:jc w:val="both"/>
        <w:rPr>
          <w:lang w:val="de-DE"/>
        </w:rPr>
      </w:pPr>
      <w:r w:rsidRPr="004676F5">
        <w:rPr>
          <w:b/>
          <w:lang w:val="de-DE"/>
        </w:rPr>
        <w:t>Art. </w:t>
      </w:r>
      <w:r w:rsidR="003E6C61" w:rsidRPr="004676F5">
        <w:rPr>
          <w:b/>
          <w:lang w:val="de-DE"/>
        </w:rPr>
        <w:t>VII.137</w:t>
      </w:r>
      <w:r w:rsidR="003E6C61" w:rsidRPr="004676F5">
        <w:rPr>
          <w:lang w:val="de-DE"/>
        </w:rPr>
        <w:t> </w:t>
      </w:r>
      <w:r w:rsidR="005B7A5C" w:rsidRPr="004676F5">
        <w:rPr>
          <w:lang w:val="de-DE"/>
        </w:rPr>
        <w:t>- </w:t>
      </w:r>
      <w:r w:rsidR="003E6C61" w:rsidRPr="004676F5">
        <w:rPr>
          <w:lang w:val="de-DE"/>
        </w:rPr>
        <w:t>Wird ein Kredit verweigert, teilt der Kreditgeber dem Verbraucher unverzüglich und unentgeltlich das Ergebnis der Datenabfrage, die Identität und Adresse des für die Verarbeitung der von ihm abgefragten Dateien Verantwortlichen, gegebenenfalls einschließlich der Identität und Adresse des konsultierten Kreditversicherers, mit, an den der Verbraucher sich gemäß Artikel VII.147/37 wenden kann. Gegebenenfalls gibt er ebenfalls an, dass die Verweigerung auf einer automatisierten Verarbeitung von Daten beruht.</w:t>
      </w:r>
    </w:p>
    <w:p w14:paraId="500FD365" w14:textId="77777777" w:rsidR="003E6C61" w:rsidRPr="004676F5" w:rsidRDefault="003E6C61" w:rsidP="003E6C61">
      <w:pPr>
        <w:ind w:firstLine="708"/>
        <w:jc w:val="both"/>
        <w:rPr>
          <w:lang w:val="de-DE"/>
        </w:rPr>
      </w:pPr>
    </w:p>
    <w:p w14:paraId="0A2DB059" w14:textId="77777777" w:rsidR="003E6C61" w:rsidRPr="004676F5" w:rsidRDefault="003E6C61" w:rsidP="003E6C61">
      <w:pPr>
        <w:ind w:firstLine="708"/>
        <w:jc w:val="both"/>
        <w:rPr>
          <w:lang w:val="de-DE"/>
        </w:rPr>
      </w:pPr>
      <w:r w:rsidRPr="004676F5">
        <w:rPr>
          <w:lang w:val="de-DE"/>
        </w:rPr>
        <w:t xml:space="preserve">Die in Absatz 1 erwähnte Mitteilung ist nicht erforderlich, wenn sie durch </w:t>
      </w:r>
      <w:r w:rsidR="00640BBB" w:rsidRPr="004676F5">
        <w:rPr>
          <w:lang w:val="de-DE"/>
        </w:rPr>
        <w:t>[Artikel 19 § 2 Absatz 2 und Buch II Titel 3 Kapitel 2 des Gesetzes vom 18. September 2017 zur Verhinderung von Geldwäsche und Terrorismusfinanzierung und zur Beschränkung der Nutzung von Bargeld]</w:t>
      </w:r>
      <w:r w:rsidRPr="004676F5">
        <w:rPr>
          <w:lang w:val="de-DE"/>
        </w:rPr>
        <w:t xml:space="preserve"> oder durch andere einschlägige Rechtsvorschriften im Bereich der öffentlichen Ordnung oder öffentlichen Sicherheit untersagt ist.</w:t>
      </w:r>
    </w:p>
    <w:p w14:paraId="15D2F3F7" w14:textId="77777777" w:rsidR="003E6C61" w:rsidRPr="004676F5" w:rsidRDefault="003E6C61" w:rsidP="003E6C61">
      <w:pPr>
        <w:ind w:firstLine="708"/>
        <w:jc w:val="both"/>
        <w:rPr>
          <w:lang w:val="de-DE"/>
        </w:rPr>
      </w:pPr>
    </w:p>
    <w:p w14:paraId="58E615F5" w14:textId="77777777" w:rsidR="003E6C61" w:rsidRPr="004676F5" w:rsidRDefault="003E6C61" w:rsidP="003E6C61">
      <w:pPr>
        <w:ind w:firstLine="708"/>
        <w:jc w:val="both"/>
        <w:rPr>
          <w:lang w:val="de-DE"/>
        </w:rPr>
      </w:pPr>
      <w:r w:rsidRPr="004676F5">
        <w:rPr>
          <w:lang w:val="de-DE"/>
        </w:rPr>
        <w:t>Wird der Kredit verweigert, kann vom Verbraucher keinerlei Entschädigung gefordert werden, die vom Kreditgeber gezahlten Kosten für die Abfrage der Zentrale und die in Artikel VII.141 erwähnten Schätzungskosten ausgenommen.</w:t>
      </w:r>
    </w:p>
    <w:p w14:paraId="0DE53FEF" w14:textId="77777777" w:rsidR="003E6C61" w:rsidRPr="004676F5" w:rsidRDefault="003E6C61" w:rsidP="003E6C61">
      <w:pPr>
        <w:jc w:val="both"/>
        <w:rPr>
          <w:lang w:val="de-DE"/>
        </w:rPr>
      </w:pPr>
    </w:p>
    <w:p w14:paraId="2ED264D4" w14:textId="159675A0" w:rsidR="00640BBB" w:rsidRPr="004676F5" w:rsidRDefault="00640BBB" w:rsidP="003E6C61">
      <w:pPr>
        <w:jc w:val="both"/>
        <w:rPr>
          <w:i/>
          <w:lang w:val="de-DE"/>
        </w:rPr>
      </w:pPr>
      <w:r w:rsidRPr="004676F5">
        <w:rPr>
          <w:i/>
          <w:lang w:val="de-DE"/>
        </w:rPr>
        <w:t>[</w:t>
      </w:r>
      <w:r w:rsidR="00BE0A56" w:rsidRPr="004676F5">
        <w:rPr>
          <w:i/>
          <w:lang w:val="de-DE"/>
        </w:rPr>
        <w:t>Art. </w:t>
      </w:r>
      <w:r w:rsidRPr="004676F5">
        <w:rPr>
          <w:i/>
          <w:lang w:val="de-DE"/>
        </w:rPr>
        <w:t>VII.</w:t>
      </w:r>
      <w:r w:rsidR="00726E9F">
        <w:rPr>
          <w:i/>
          <w:lang w:val="de-DE"/>
        </w:rPr>
        <w:t>1</w:t>
      </w:r>
      <w:r w:rsidRPr="004676F5">
        <w:rPr>
          <w:i/>
          <w:lang w:val="de-DE"/>
        </w:rPr>
        <w:t xml:space="preserve">37 Abs. 2 abgeändert durch </w:t>
      </w:r>
      <w:r w:rsidR="00BE0A56" w:rsidRPr="004676F5">
        <w:rPr>
          <w:i/>
          <w:lang w:val="de-DE"/>
        </w:rPr>
        <w:t>Art. </w:t>
      </w:r>
      <w:r w:rsidRPr="004676F5">
        <w:rPr>
          <w:i/>
          <w:lang w:val="de-DE"/>
        </w:rPr>
        <w:t>182</w:t>
      </w:r>
      <w:r w:rsidRPr="004676F5">
        <w:rPr>
          <w:i/>
          <w:iCs/>
          <w:color w:val="000000"/>
          <w:lang w:val="de-DE"/>
        </w:rPr>
        <w:t xml:space="preserve"> des G. vom 18. September 2017 (B.S. vom 6. Oktober 2017)]</w:t>
      </w:r>
    </w:p>
    <w:p w14:paraId="5872EAE9" w14:textId="77777777" w:rsidR="002E20BA" w:rsidRPr="004676F5" w:rsidRDefault="002E20BA" w:rsidP="003E6C61">
      <w:pPr>
        <w:jc w:val="both"/>
        <w:rPr>
          <w:lang w:val="de-DE"/>
        </w:rPr>
      </w:pPr>
    </w:p>
    <w:p w14:paraId="4BAADAF0" w14:textId="77777777" w:rsidR="00640BBB" w:rsidRPr="004676F5" w:rsidRDefault="00640BBB" w:rsidP="003E6C61">
      <w:pPr>
        <w:jc w:val="center"/>
        <w:rPr>
          <w:i/>
          <w:lang w:val="de-DE"/>
        </w:rPr>
      </w:pPr>
    </w:p>
    <w:p w14:paraId="749E1169" w14:textId="2340553E" w:rsidR="003E6C61" w:rsidRPr="004676F5" w:rsidRDefault="003E6C61" w:rsidP="003E6C61">
      <w:pPr>
        <w:jc w:val="center"/>
        <w:rPr>
          <w:lang w:val="de-DE"/>
        </w:rPr>
      </w:pPr>
      <w:r w:rsidRPr="004676F5">
        <w:rPr>
          <w:i/>
          <w:lang w:val="de-DE"/>
        </w:rPr>
        <w:t>Abschnitt 4 </w:t>
      </w:r>
      <w:r w:rsidR="005B7A5C" w:rsidRPr="004676F5">
        <w:rPr>
          <w:lang w:val="de-DE"/>
        </w:rPr>
        <w:t>- </w:t>
      </w:r>
      <w:r w:rsidRPr="004676F5">
        <w:rPr>
          <w:lang w:val="de-DE"/>
        </w:rPr>
        <w:t>Widerrufsrecht</w:t>
      </w:r>
    </w:p>
    <w:p w14:paraId="6F0EDC62" w14:textId="77777777" w:rsidR="003E6C61" w:rsidRPr="004676F5" w:rsidRDefault="003E6C61" w:rsidP="003E6C61">
      <w:pPr>
        <w:jc w:val="both"/>
        <w:rPr>
          <w:lang w:val="de-DE"/>
        </w:rPr>
      </w:pPr>
    </w:p>
    <w:p w14:paraId="28298387" w14:textId="77777777" w:rsidR="002E20BA" w:rsidRPr="004676F5" w:rsidRDefault="002E20BA" w:rsidP="003E6C61">
      <w:pPr>
        <w:jc w:val="both"/>
        <w:rPr>
          <w:lang w:val="de-DE"/>
        </w:rPr>
      </w:pPr>
    </w:p>
    <w:p w14:paraId="5BA7A97C" w14:textId="1922646E" w:rsidR="003E6C61" w:rsidRPr="004676F5" w:rsidRDefault="00BE0A56" w:rsidP="003E6C61">
      <w:pPr>
        <w:ind w:firstLine="708"/>
        <w:jc w:val="both"/>
        <w:rPr>
          <w:lang w:val="de-DE"/>
        </w:rPr>
      </w:pPr>
      <w:r w:rsidRPr="004676F5">
        <w:rPr>
          <w:b/>
          <w:lang w:val="de-DE"/>
        </w:rPr>
        <w:t>Art. </w:t>
      </w:r>
      <w:r w:rsidR="003E6C61" w:rsidRPr="004676F5">
        <w:rPr>
          <w:b/>
          <w:lang w:val="de-DE"/>
        </w:rPr>
        <w:t>VII.138</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Der Verbraucher hat das Recht, innerhalb einer Frist von vierzehn Tagen ohne Angabe von Gründen einen Mobiliarhypothekarkredit, der nicht mit der Bestellung einer hypothekarischen Sicherheit einhergeht, zu widerrufen. Die Frist dieses Widerrufsrechts beginnt:</w:t>
      </w:r>
    </w:p>
    <w:p w14:paraId="4A1DD2E9" w14:textId="77777777" w:rsidR="003E6C61" w:rsidRPr="004676F5" w:rsidRDefault="003E6C61" w:rsidP="003E6C61">
      <w:pPr>
        <w:ind w:firstLine="708"/>
        <w:jc w:val="both"/>
        <w:rPr>
          <w:lang w:val="de-DE"/>
        </w:rPr>
      </w:pPr>
    </w:p>
    <w:p w14:paraId="75311ED1" w14:textId="77777777" w:rsidR="003E6C61" w:rsidRPr="004676F5" w:rsidRDefault="003E6C61" w:rsidP="003E6C61">
      <w:pPr>
        <w:ind w:firstLine="708"/>
        <w:jc w:val="both"/>
        <w:rPr>
          <w:lang w:val="de-DE"/>
        </w:rPr>
      </w:pPr>
      <w:r w:rsidRPr="004676F5">
        <w:rPr>
          <w:lang w:val="de-DE"/>
        </w:rPr>
        <w:t>1. am Tag des Abschlusses des Kreditvertrags oder</w:t>
      </w:r>
    </w:p>
    <w:p w14:paraId="78782086" w14:textId="77777777" w:rsidR="003E6C61" w:rsidRPr="004676F5" w:rsidRDefault="003E6C61" w:rsidP="003E6C61">
      <w:pPr>
        <w:ind w:firstLine="708"/>
        <w:jc w:val="both"/>
        <w:rPr>
          <w:lang w:val="de-DE"/>
        </w:rPr>
      </w:pPr>
    </w:p>
    <w:p w14:paraId="3384A466" w14:textId="77777777" w:rsidR="00402892" w:rsidRPr="004676F5" w:rsidRDefault="003E6C61" w:rsidP="00402892">
      <w:pPr>
        <w:ind w:firstLine="708"/>
        <w:jc w:val="both"/>
        <w:rPr>
          <w:lang w:val="de-DE"/>
        </w:rPr>
      </w:pPr>
      <w:r w:rsidRPr="004676F5">
        <w:rPr>
          <w:lang w:val="de-DE"/>
        </w:rPr>
        <w:t>2. am Tag, an dem der Verbraucher die Vertragsbedingungen und die in Artikel VII.134 erwähnten Informationen erhält, sofern dieser nach dem in Nr. 1 des vorliegenden Absatzes genannten Datum liegt.</w:t>
      </w:r>
    </w:p>
    <w:p w14:paraId="02A3B04E" w14:textId="77777777" w:rsidR="002E20BA" w:rsidRPr="004676F5" w:rsidRDefault="002E20BA" w:rsidP="00402892">
      <w:pPr>
        <w:ind w:firstLine="708"/>
        <w:jc w:val="both"/>
        <w:rPr>
          <w:lang w:val="de-DE"/>
        </w:rPr>
      </w:pPr>
    </w:p>
    <w:p w14:paraId="5CAF4C3E" w14:textId="04DF78DD"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Übt der Verbraucher sein Widerrufsrecht aus, so:</w:t>
      </w:r>
    </w:p>
    <w:p w14:paraId="4C0CD14C" w14:textId="77777777" w:rsidR="003E6C61" w:rsidRPr="004676F5" w:rsidRDefault="003E6C61" w:rsidP="003E6C61">
      <w:pPr>
        <w:ind w:firstLine="708"/>
        <w:jc w:val="both"/>
        <w:rPr>
          <w:lang w:val="de-DE"/>
        </w:rPr>
      </w:pPr>
    </w:p>
    <w:p w14:paraId="22C63B3C" w14:textId="77777777" w:rsidR="003E6C61" w:rsidRPr="004676F5" w:rsidRDefault="003E6C61" w:rsidP="003E6C61">
      <w:pPr>
        <w:ind w:firstLine="708"/>
        <w:jc w:val="both"/>
        <w:rPr>
          <w:lang w:val="de-DE"/>
        </w:rPr>
      </w:pPr>
      <w:r w:rsidRPr="004676F5">
        <w:rPr>
          <w:lang w:val="de-DE"/>
        </w:rPr>
        <w:t>1. teilt er dies gemäß Artikel VII.134 § 3 Nr. 11 dem Kreditgeber per Einschreibe</w:t>
      </w:r>
      <w:r w:rsidRPr="004676F5">
        <w:rPr>
          <w:lang w:val="de-DE"/>
        </w:rPr>
        <w:softHyphen/>
        <w:t>sendung oder auf einem anderen vom Kreditgeber akzeptierten Träger mit. Die Widerrufsfrist gilt als gewahrt, wenn diese Mitteilung vor Fristablauf abgesandt wird, und</w:t>
      </w:r>
    </w:p>
    <w:p w14:paraId="29DB327B" w14:textId="77777777" w:rsidR="003E6C61" w:rsidRPr="004676F5" w:rsidRDefault="003E6C61" w:rsidP="003E6C61">
      <w:pPr>
        <w:ind w:firstLine="708"/>
        <w:jc w:val="both"/>
        <w:rPr>
          <w:lang w:val="de-DE"/>
        </w:rPr>
      </w:pPr>
    </w:p>
    <w:p w14:paraId="592C6FAD" w14:textId="77777777" w:rsidR="003E6C61" w:rsidRPr="004676F5" w:rsidRDefault="003E6C61" w:rsidP="003E6C61">
      <w:pPr>
        <w:ind w:firstLine="708"/>
        <w:jc w:val="both"/>
        <w:rPr>
          <w:lang w:val="de-DE"/>
        </w:rPr>
      </w:pPr>
      <w:r w:rsidRPr="004676F5">
        <w:rPr>
          <w:lang w:val="de-DE"/>
        </w:rPr>
        <w:t>2. gibt er im Fall eines Kreditvertrags, für die dem Verbraucher gemäß diesem Vertrag Waren zur Verfügung gestellt werden, unverzüglich nach Mitteilung des Widerrufs erhaltene Waren zurück und zahlt dem Kreditgeber die für den Zeitraum der Inanspruchnahme des Kredits zu entrichtenden Zinsen,</w:t>
      </w:r>
    </w:p>
    <w:p w14:paraId="18C51545" w14:textId="77777777" w:rsidR="003E6C61" w:rsidRPr="004676F5" w:rsidRDefault="003E6C61" w:rsidP="003E6C61">
      <w:pPr>
        <w:ind w:firstLine="708"/>
        <w:jc w:val="both"/>
        <w:rPr>
          <w:lang w:val="de-DE"/>
        </w:rPr>
      </w:pPr>
    </w:p>
    <w:p w14:paraId="5BCDAE3D" w14:textId="77777777" w:rsidR="003E6C61" w:rsidRPr="004676F5" w:rsidRDefault="003E6C61" w:rsidP="003E6C61">
      <w:pPr>
        <w:ind w:firstLine="708"/>
        <w:jc w:val="both"/>
        <w:rPr>
          <w:lang w:val="de-DE"/>
        </w:rPr>
      </w:pPr>
      <w:r w:rsidRPr="004676F5">
        <w:rPr>
          <w:lang w:val="de-DE"/>
        </w:rPr>
        <w:t xml:space="preserve">3. zahlt er bei allen anderen Kreditverträgen dem Kreditgeber unverzüglich, spätestens jedoch dreißig Kalendertage nach Absendung der Widerrufserklärung an den Kreditgeber das </w:t>
      </w:r>
      <w:r w:rsidRPr="004676F5">
        <w:rPr>
          <w:lang w:val="de-DE"/>
        </w:rPr>
        <w:lastRenderedPageBreak/>
        <w:t>Kapital einschließlich der ab dem Zeitpunkt der Inanspruchnahme des Kredits bis zum Zeitpunkt der Rückzahlung des Kapitals aufgelaufenen Zinsen zurück.</w:t>
      </w:r>
    </w:p>
    <w:p w14:paraId="7CA24082" w14:textId="77777777" w:rsidR="003E6C61" w:rsidRPr="004676F5" w:rsidRDefault="003E6C61" w:rsidP="003E6C61">
      <w:pPr>
        <w:ind w:firstLine="708"/>
        <w:jc w:val="both"/>
        <w:rPr>
          <w:lang w:val="de-DE"/>
        </w:rPr>
      </w:pPr>
    </w:p>
    <w:p w14:paraId="7791C012" w14:textId="77777777" w:rsidR="003E6C61" w:rsidRPr="004676F5" w:rsidRDefault="003E6C61" w:rsidP="003E6C61">
      <w:pPr>
        <w:ind w:firstLine="708"/>
        <w:jc w:val="both"/>
        <w:rPr>
          <w:lang w:val="de-DE"/>
        </w:rPr>
      </w:pPr>
      <w:r w:rsidRPr="004676F5">
        <w:rPr>
          <w:lang w:val="de-DE"/>
        </w:rPr>
        <w:t>Die Zinsen werden auf der Grundlage des vereinbarten Sollzinssatzes berechnet. Der Kreditgeber hat keinen Anspruch auf weitere vom Verbraucher zu leistende Entschädigungen, mit Ausnahme von Entschädigungen für Entgelte, die der Kreditgeber an Behörden entrichtet hat und nicht zurückverlangen kann. Zahlungen, die nach Abschluss des Kreditvertrags erfolgen, werden dem Verbraucher binnen dreißig Tagen nach dem Widerruf zurückerstattet.</w:t>
      </w:r>
    </w:p>
    <w:p w14:paraId="2D8274B1" w14:textId="77777777" w:rsidR="003E6C61" w:rsidRPr="004676F5" w:rsidRDefault="003E6C61" w:rsidP="003E6C61">
      <w:pPr>
        <w:ind w:firstLine="708"/>
        <w:jc w:val="both"/>
        <w:rPr>
          <w:lang w:val="de-DE"/>
        </w:rPr>
      </w:pPr>
    </w:p>
    <w:p w14:paraId="00C37169" w14:textId="20242108"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Der Widerruf des Kreditvertrags bringt von Rechts wegen die Auflösung von Zusatzverträgen mit sich.</w:t>
      </w:r>
    </w:p>
    <w:p w14:paraId="64E28B14" w14:textId="77777777" w:rsidR="003E6C61" w:rsidRPr="004676F5" w:rsidRDefault="003E6C61" w:rsidP="003E6C61">
      <w:pPr>
        <w:ind w:firstLine="708"/>
        <w:jc w:val="both"/>
        <w:rPr>
          <w:lang w:val="de-DE"/>
        </w:rPr>
      </w:pPr>
    </w:p>
    <w:p w14:paraId="61FE7879" w14:textId="06C7BB1F"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Macht der Verbraucher das in vorliegendem Artikel erwähnte Widerrufsrecht geltend, finden die Artikel VI.58, VI.59 und VI.67 keine Anwendung.</w:t>
      </w:r>
    </w:p>
    <w:p w14:paraId="7A60A913" w14:textId="77777777" w:rsidR="003E6C61" w:rsidRPr="004676F5" w:rsidRDefault="003E6C61" w:rsidP="003E6C61">
      <w:pPr>
        <w:rPr>
          <w:lang w:val="de-DE"/>
        </w:rPr>
      </w:pPr>
    </w:p>
    <w:p w14:paraId="6943260D" w14:textId="77777777" w:rsidR="002E20BA" w:rsidRPr="004676F5" w:rsidRDefault="002E20BA" w:rsidP="003E6C61">
      <w:pPr>
        <w:rPr>
          <w:lang w:val="de-DE"/>
        </w:rPr>
      </w:pPr>
    </w:p>
    <w:p w14:paraId="5017AD25" w14:textId="526C580D" w:rsidR="003E6C61" w:rsidRPr="004676F5" w:rsidRDefault="003E6C61" w:rsidP="003E6C61">
      <w:pPr>
        <w:jc w:val="center"/>
        <w:rPr>
          <w:lang w:val="de-DE"/>
        </w:rPr>
      </w:pPr>
      <w:r w:rsidRPr="004676F5">
        <w:rPr>
          <w:i/>
          <w:lang w:val="de-DE"/>
        </w:rPr>
        <w:t>Abschnitt 5 </w:t>
      </w:r>
      <w:r w:rsidR="005B7A5C" w:rsidRPr="004676F5">
        <w:rPr>
          <w:lang w:val="de-DE"/>
        </w:rPr>
        <w:t>- </w:t>
      </w:r>
      <w:r w:rsidRPr="004676F5">
        <w:rPr>
          <w:lang w:val="de-DE"/>
        </w:rPr>
        <w:t>Missbräuchliche Klauseln</w:t>
      </w:r>
    </w:p>
    <w:p w14:paraId="375A37EA" w14:textId="77777777" w:rsidR="003E6C61" w:rsidRPr="004676F5" w:rsidRDefault="003E6C61" w:rsidP="003E6C61">
      <w:pPr>
        <w:jc w:val="center"/>
        <w:rPr>
          <w:lang w:val="de-DE"/>
        </w:rPr>
      </w:pPr>
    </w:p>
    <w:p w14:paraId="1B1FCCD3" w14:textId="77777777" w:rsidR="002E20BA" w:rsidRPr="004676F5" w:rsidRDefault="002E20BA" w:rsidP="003E6C61">
      <w:pPr>
        <w:jc w:val="center"/>
        <w:rPr>
          <w:lang w:val="de-DE"/>
        </w:rPr>
      </w:pPr>
    </w:p>
    <w:p w14:paraId="2E0172B3" w14:textId="0193AECB" w:rsidR="003E6C61" w:rsidRPr="004676F5" w:rsidRDefault="003E6C61" w:rsidP="003E6C61">
      <w:pPr>
        <w:jc w:val="center"/>
        <w:rPr>
          <w:lang w:val="de-DE"/>
        </w:rPr>
      </w:pPr>
      <w:r w:rsidRPr="004676F5">
        <w:rPr>
          <w:lang w:val="de-DE"/>
        </w:rPr>
        <w:t>Unterabschnitt 1 </w:t>
      </w:r>
      <w:r w:rsidR="005B7A5C" w:rsidRPr="004676F5">
        <w:rPr>
          <w:lang w:val="de-DE"/>
        </w:rPr>
        <w:t>- </w:t>
      </w:r>
      <w:r w:rsidRPr="004676F5">
        <w:rPr>
          <w:lang w:val="de-DE"/>
        </w:rPr>
        <w:t>Unrechtmäßige Zahlungen</w:t>
      </w:r>
    </w:p>
    <w:p w14:paraId="089A11C6" w14:textId="77777777" w:rsidR="003E6C61" w:rsidRPr="004676F5" w:rsidRDefault="003E6C61" w:rsidP="003E6C61">
      <w:pPr>
        <w:jc w:val="both"/>
        <w:rPr>
          <w:lang w:val="de-DE"/>
        </w:rPr>
      </w:pPr>
    </w:p>
    <w:p w14:paraId="19A89D1E" w14:textId="77777777" w:rsidR="002E20BA" w:rsidRPr="004676F5" w:rsidRDefault="002E20BA" w:rsidP="003E6C61">
      <w:pPr>
        <w:jc w:val="both"/>
        <w:rPr>
          <w:lang w:val="de-DE"/>
        </w:rPr>
      </w:pPr>
    </w:p>
    <w:p w14:paraId="74A0469C" w14:textId="77643622" w:rsidR="003E6C61" w:rsidRPr="004676F5" w:rsidRDefault="00BE0A56" w:rsidP="003E6C61">
      <w:pPr>
        <w:ind w:firstLine="708"/>
        <w:jc w:val="both"/>
        <w:rPr>
          <w:lang w:val="de-DE"/>
        </w:rPr>
      </w:pPr>
      <w:r w:rsidRPr="004676F5">
        <w:rPr>
          <w:b/>
          <w:lang w:val="de-DE"/>
        </w:rPr>
        <w:t>Art. </w:t>
      </w:r>
      <w:r w:rsidR="003E6C61" w:rsidRPr="004676F5">
        <w:rPr>
          <w:b/>
          <w:lang w:val="de-DE"/>
        </w:rPr>
        <w:t>VII.139</w:t>
      </w:r>
      <w:r w:rsidR="003E6C61" w:rsidRPr="004676F5">
        <w:rPr>
          <w:lang w:val="de-DE"/>
        </w:rPr>
        <w:t> </w:t>
      </w:r>
      <w:r w:rsidR="005B7A5C" w:rsidRPr="004676F5">
        <w:rPr>
          <w:lang w:val="de-DE"/>
        </w:rPr>
        <w:t>- </w:t>
      </w:r>
      <w:r w:rsidR="003E6C61" w:rsidRPr="004676F5">
        <w:rPr>
          <w:lang w:val="de-DE"/>
        </w:rPr>
        <w:t>Wenn ein Preis ganz oder teilweise durch einen Kreditvertrag beglichen wird, für den der Verkäufer oder Dienstleistungserbringer im Hinblick auf den Abschluss dieses Kreditvertrags als Kreditgeber oder Kreditvermittler auftritt, kann der Verbraucher dem Verkäufer oder Dienstleistungserbringer gegenüber keine gültige Verbindlichkeit eingehen und es kann keine Zahlung von dem einen an den anderen erfolgen, solange der Verbraucher den Kreditvertrag nicht unterzeichnet hat.</w:t>
      </w:r>
    </w:p>
    <w:p w14:paraId="43C1D026" w14:textId="77777777" w:rsidR="003E6C61" w:rsidRPr="004676F5" w:rsidRDefault="003E6C61" w:rsidP="003E6C61">
      <w:pPr>
        <w:ind w:firstLine="708"/>
        <w:jc w:val="both"/>
        <w:rPr>
          <w:lang w:val="de-DE"/>
        </w:rPr>
      </w:pPr>
    </w:p>
    <w:p w14:paraId="7D5B16D8" w14:textId="77777777" w:rsidR="003E6C61" w:rsidRPr="004676F5" w:rsidRDefault="003E6C61" w:rsidP="003E6C61">
      <w:pPr>
        <w:ind w:firstLine="708"/>
        <w:jc w:val="both"/>
        <w:rPr>
          <w:lang w:val="de-DE"/>
        </w:rPr>
      </w:pPr>
      <w:r w:rsidRPr="004676F5">
        <w:rPr>
          <w:lang w:val="de-DE"/>
        </w:rPr>
        <w:t>Eine Klausel, durch die der Verbraucher sich verpflichtet, im Falle der Kreditver</w:t>
      </w:r>
      <w:r w:rsidRPr="004676F5">
        <w:rPr>
          <w:lang w:val="de-DE"/>
        </w:rPr>
        <w:softHyphen/>
        <w:t>weigerung den vereinbarten Preis bar zu zahlen, ist nichtig.</w:t>
      </w:r>
    </w:p>
    <w:p w14:paraId="2A8862E4" w14:textId="77777777" w:rsidR="003E6C61" w:rsidRPr="004676F5" w:rsidRDefault="003E6C61" w:rsidP="003E6C61">
      <w:pPr>
        <w:ind w:firstLine="708"/>
        <w:jc w:val="both"/>
        <w:rPr>
          <w:lang w:val="de-DE"/>
        </w:rPr>
      </w:pPr>
    </w:p>
    <w:p w14:paraId="4D469992" w14:textId="77777777" w:rsidR="002E20BA" w:rsidRPr="004676F5" w:rsidRDefault="002E20BA" w:rsidP="003E6C61">
      <w:pPr>
        <w:ind w:firstLine="708"/>
        <w:jc w:val="both"/>
        <w:rPr>
          <w:lang w:val="de-DE"/>
        </w:rPr>
      </w:pPr>
    </w:p>
    <w:p w14:paraId="287E6097" w14:textId="25623555" w:rsidR="003E6C61" w:rsidRPr="004676F5" w:rsidRDefault="00BE0A56" w:rsidP="003E6C61">
      <w:pPr>
        <w:ind w:firstLine="708"/>
        <w:jc w:val="both"/>
        <w:rPr>
          <w:lang w:val="de-DE"/>
        </w:rPr>
      </w:pPr>
      <w:r w:rsidRPr="004676F5">
        <w:rPr>
          <w:b/>
          <w:lang w:val="de-DE"/>
        </w:rPr>
        <w:t>Art. </w:t>
      </w:r>
      <w:r w:rsidR="003E6C61" w:rsidRPr="004676F5">
        <w:rPr>
          <w:b/>
          <w:lang w:val="de-DE"/>
        </w:rPr>
        <w:t>VII.140</w:t>
      </w:r>
      <w:r w:rsidR="003E6C61" w:rsidRPr="004676F5">
        <w:rPr>
          <w:lang w:val="de-DE"/>
        </w:rPr>
        <w:t> </w:t>
      </w:r>
      <w:r w:rsidR="005B7A5C" w:rsidRPr="004676F5">
        <w:rPr>
          <w:lang w:val="de-DE"/>
        </w:rPr>
        <w:t>- </w:t>
      </w:r>
      <w:r w:rsidR="003E6C61" w:rsidRPr="004676F5">
        <w:rPr>
          <w:lang w:val="de-DE"/>
        </w:rPr>
        <w:t>Verboten sind und als ungeschrieben gelten Klauseln eines Mobiliar</w:t>
      </w:r>
      <w:r w:rsidR="003E6C61" w:rsidRPr="004676F5">
        <w:rPr>
          <w:lang w:val="de-DE"/>
        </w:rPr>
        <w:softHyphen/>
        <w:t>hypothekarkredits, in denen dem Kreditgeber erlaubt wird, vom Verbraucher für die Zurverfügungstellung des Kapitals eine Entschädigung zu verlangen, wenn dieser den gewährten Kreditbetrag nicht oder nur teilweise in Anspruch genommen hat.</w:t>
      </w:r>
    </w:p>
    <w:p w14:paraId="134C3F93" w14:textId="77777777" w:rsidR="003E6C61" w:rsidRPr="004676F5" w:rsidRDefault="003E6C61" w:rsidP="003E6C61">
      <w:pPr>
        <w:ind w:firstLine="708"/>
        <w:jc w:val="both"/>
        <w:rPr>
          <w:lang w:val="de-DE"/>
        </w:rPr>
      </w:pPr>
    </w:p>
    <w:p w14:paraId="6F2F9F26" w14:textId="77777777" w:rsidR="003E6C61" w:rsidRPr="004676F5" w:rsidRDefault="003E6C61" w:rsidP="003E6C61">
      <w:pPr>
        <w:ind w:firstLine="708"/>
        <w:jc w:val="both"/>
        <w:rPr>
          <w:lang w:val="de-DE"/>
        </w:rPr>
      </w:pPr>
      <w:r w:rsidRPr="004676F5">
        <w:rPr>
          <w:lang w:val="de-DE"/>
        </w:rPr>
        <w:t>Verboten sind und als ungeschrieben gelten Klauseln eines Immobiliarhypothekar</w:t>
      </w:r>
      <w:r w:rsidRPr="004676F5">
        <w:rPr>
          <w:lang w:val="de-DE"/>
        </w:rPr>
        <w:softHyphen/>
        <w:t>kredits, in denen dem Kreditgeber für einen Zeitraum von mehr als zwei Jahren erlaubt wird, vom Verbraucher für die Zurverfügungstellung des Kapitals eine Entschädigung zu verlangen, wenn dieser den gewährten Kreditbetrag nicht oder nur teilweise in Anspruch genommen hat. Der König kann Höhe und Berechnungsmodalitäten dieser Entschädigung festlegen.</w:t>
      </w:r>
    </w:p>
    <w:p w14:paraId="10F97037" w14:textId="77777777" w:rsidR="003E6C61" w:rsidRPr="004676F5" w:rsidRDefault="003E6C61" w:rsidP="003E6C61">
      <w:pPr>
        <w:ind w:firstLine="708"/>
        <w:jc w:val="both"/>
        <w:rPr>
          <w:lang w:val="de-DE"/>
        </w:rPr>
      </w:pPr>
    </w:p>
    <w:p w14:paraId="4C52A7C0" w14:textId="77777777" w:rsidR="002E20BA" w:rsidRPr="004676F5" w:rsidRDefault="002E20BA" w:rsidP="003E6C61">
      <w:pPr>
        <w:ind w:firstLine="708"/>
        <w:jc w:val="both"/>
        <w:rPr>
          <w:lang w:val="de-DE"/>
        </w:rPr>
      </w:pPr>
    </w:p>
    <w:p w14:paraId="19FA4C51" w14:textId="763FD40E" w:rsidR="003E6C61" w:rsidRPr="004676F5" w:rsidRDefault="00BE0A56" w:rsidP="003E6C61">
      <w:pPr>
        <w:ind w:firstLine="708"/>
        <w:jc w:val="both"/>
        <w:rPr>
          <w:lang w:val="de-DE"/>
        </w:rPr>
      </w:pPr>
      <w:r w:rsidRPr="004676F5">
        <w:rPr>
          <w:b/>
          <w:lang w:val="de-DE"/>
        </w:rPr>
        <w:t>Art. </w:t>
      </w:r>
      <w:r w:rsidR="003E6C61" w:rsidRPr="004676F5">
        <w:rPr>
          <w:b/>
          <w:lang w:val="de-DE"/>
        </w:rPr>
        <w:t>VII.141</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Abgesehen von den gesetzlichen mit der Hypothek verbundenen Kosten und den aufgrund anderer Gesetzes</w:t>
      </w:r>
      <w:r w:rsidR="005B7A5C" w:rsidRPr="004676F5">
        <w:rPr>
          <w:lang w:val="de-DE"/>
        </w:rPr>
        <w:t>- </w:t>
      </w:r>
      <w:r w:rsidR="003E6C61" w:rsidRPr="004676F5">
        <w:rPr>
          <w:lang w:val="de-DE"/>
        </w:rPr>
        <w:t>und Verordnungsbestimmungen gegebenenfalls zu entrichtenden Beträgen dürfen dem Verbraucher nur Kosten für die Bewertung der als Sicherheit angebotenen Güter zu Lasten gelegt werden.</w:t>
      </w:r>
    </w:p>
    <w:p w14:paraId="324E718E" w14:textId="77777777" w:rsidR="003E6C61" w:rsidRPr="004676F5" w:rsidRDefault="003E6C61" w:rsidP="003E6C61">
      <w:pPr>
        <w:ind w:firstLine="708"/>
        <w:jc w:val="both"/>
        <w:rPr>
          <w:lang w:val="de-DE"/>
        </w:rPr>
      </w:pPr>
    </w:p>
    <w:p w14:paraId="06671BEC" w14:textId="77777777" w:rsidR="003E6C61" w:rsidRPr="004676F5" w:rsidRDefault="003E6C61" w:rsidP="003E6C61">
      <w:pPr>
        <w:ind w:firstLine="708"/>
        <w:jc w:val="both"/>
        <w:rPr>
          <w:lang w:val="de-DE"/>
        </w:rPr>
      </w:pPr>
      <w:r w:rsidRPr="004676F5">
        <w:rPr>
          <w:lang w:val="de-DE"/>
        </w:rPr>
        <w:lastRenderedPageBreak/>
        <w:t>Die Bewertung kann nur mit Einverständnis des Verbrauchers vorgenommen werden. Die Bewertung wird von einem internen oder einem vom Kreditgeber zugelassenen externen Gutachter durchgeführt.</w:t>
      </w:r>
    </w:p>
    <w:p w14:paraId="3CA6DD37" w14:textId="77777777" w:rsidR="003E6C61" w:rsidRPr="004676F5" w:rsidRDefault="003E6C61" w:rsidP="003E6C61">
      <w:pPr>
        <w:ind w:firstLine="708"/>
        <w:jc w:val="both"/>
        <w:rPr>
          <w:lang w:val="de-DE"/>
        </w:rPr>
      </w:pPr>
    </w:p>
    <w:p w14:paraId="68814E76" w14:textId="77777777" w:rsidR="003E6C61" w:rsidRPr="004676F5" w:rsidRDefault="003E6C61" w:rsidP="003E6C61">
      <w:pPr>
        <w:ind w:firstLine="708"/>
        <w:jc w:val="both"/>
        <w:rPr>
          <w:lang w:val="de-DE"/>
        </w:rPr>
      </w:pPr>
      <w:r w:rsidRPr="004676F5">
        <w:rPr>
          <w:lang w:val="de-DE"/>
        </w:rPr>
        <w:t>Bewertungskosten sind erst nach erfolgter Bewertung zu entrichten. Im gegenteiligen Fall müssen Vorschüsse zurückgezahlt werden.</w:t>
      </w:r>
    </w:p>
    <w:p w14:paraId="43ABE9A5" w14:textId="77777777" w:rsidR="003E6C61" w:rsidRPr="004676F5" w:rsidRDefault="003E6C61" w:rsidP="003E6C61">
      <w:pPr>
        <w:ind w:firstLine="708"/>
        <w:jc w:val="both"/>
        <w:rPr>
          <w:lang w:val="de-DE"/>
        </w:rPr>
      </w:pPr>
    </w:p>
    <w:p w14:paraId="352F448C" w14:textId="77777777" w:rsidR="003E6C61" w:rsidRPr="004676F5" w:rsidRDefault="003E6C61" w:rsidP="003E6C61">
      <w:pPr>
        <w:ind w:firstLine="708"/>
        <w:jc w:val="both"/>
        <w:rPr>
          <w:lang w:val="de-DE"/>
        </w:rPr>
      </w:pPr>
      <w:r w:rsidRPr="004676F5">
        <w:rPr>
          <w:lang w:val="de-DE"/>
        </w:rPr>
        <w:t>Werden Bewertungskosten dem Verbraucher zu Lasten gelegt, müssen sie ihm vorab mitgeteilt werden. Er erhält unverzüglich eine Abschrift des Bewertungsberichts.</w:t>
      </w:r>
    </w:p>
    <w:p w14:paraId="71656E05" w14:textId="77777777" w:rsidR="003E6C61" w:rsidRPr="004676F5" w:rsidRDefault="003E6C61" w:rsidP="003E6C61">
      <w:pPr>
        <w:ind w:firstLine="708"/>
        <w:jc w:val="both"/>
        <w:rPr>
          <w:lang w:val="de-DE"/>
        </w:rPr>
      </w:pPr>
    </w:p>
    <w:p w14:paraId="5B3ABABD" w14:textId="51500D2D"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In Abweichung von § 1 kann der Kreditgeber bei einem Immobiliarhypothekar</w:t>
      </w:r>
      <w:r w:rsidRPr="004676F5">
        <w:rPr>
          <w:lang w:val="de-DE"/>
        </w:rPr>
        <w:softHyphen/>
        <w:t>kredit Bearbeitungsgebühren verlangen. Diese Gebühren werden erst geschuldet, nachdem der Verbraucher das Kreditangebot angenommen hat.</w:t>
      </w:r>
    </w:p>
    <w:p w14:paraId="771AC77D" w14:textId="77777777" w:rsidR="003E6C61" w:rsidRPr="004676F5" w:rsidRDefault="003E6C61" w:rsidP="003E6C61">
      <w:pPr>
        <w:ind w:firstLine="708"/>
        <w:jc w:val="both"/>
        <w:rPr>
          <w:lang w:val="de-DE"/>
        </w:rPr>
      </w:pPr>
    </w:p>
    <w:p w14:paraId="5963F6A7" w14:textId="77777777" w:rsidR="003E6C61" w:rsidRPr="004676F5" w:rsidRDefault="003E6C61" w:rsidP="003E6C61">
      <w:pPr>
        <w:ind w:firstLine="708"/>
        <w:jc w:val="both"/>
        <w:rPr>
          <w:lang w:val="de-DE"/>
        </w:rPr>
      </w:pPr>
      <w:r w:rsidRPr="004676F5">
        <w:rPr>
          <w:lang w:val="de-DE"/>
        </w:rPr>
        <w:t>Der König kann eine Methode zur Festlegung maximaler Bewertungskosten und Bearbeitungsgebühren und gegebenenfalls zur Anpassung derart festgelegter Höchstbeträge bestimmen.</w:t>
      </w:r>
    </w:p>
    <w:p w14:paraId="6AFA4267" w14:textId="77777777" w:rsidR="003E6C61" w:rsidRPr="004676F5" w:rsidRDefault="003E6C61" w:rsidP="003E6C61">
      <w:pPr>
        <w:rPr>
          <w:lang w:val="de-DE"/>
        </w:rPr>
      </w:pPr>
    </w:p>
    <w:p w14:paraId="1DD24C2D" w14:textId="77777777" w:rsidR="002E20BA" w:rsidRPr="004676F5" w:rsidRDefault="002E20BA" w:rsidP="003E6C61">
      <w:pPr>
        <w:rPr>
          <w:lang w:val="de-DE"/>
        </w:rPr>
      </w:pPr>
    </w:p>
    <w:p w14:paraId="27C11D69" w14:textId="019C68EE" w:rsidR="003E6C61" w:rsidRPr="004676F5" w:rsidRDefault="003E6C61" w:rsidP="003E6C61">
      <w:pPr>
        <w:jc w:val="center"/>
        <w:rPr>
          <w:lang w:val="de-DE"/>
        </w:rPr>
      </w:pPr>
      <w:r w:rsidRPr="004676F5">
        <w:rPr>
          <w:lang w:val="de-DE"/>
        </w:rPr>
        <w:t>Unterabschnitt 2 </w:t>
      </w:r>
      <w:r w:rsidR="005B7A5C" w:rsidRPr="004676F5">
        <w:rPr>
          <w:lang w:val="de-DE"/>
        </w:rPr>
        <w:t>- </w:t>
      </w:r>
      <w:r w:rsidRPr="004676F5">
        <w:rPr>
          <w:lang w:val="de-DE"/>
        </w:rPr>
        <w:t>Berechnung der Sollzinsen und Variabilität des periodischen Zinssatzes, des Sollzinssatzes, der Kosten und der Vertragsbedingungen</w:t>
      </w:r>
    </w:p>
    <w:p w14:paraId="36920E6D" w14:textId="77777777" w:rsidR="003E6C61" w:rsidRPr="004676F5" w:rsidRDefault="003E6C61" w:rsidP="003E6C61">
      <w:pPr>
        <w:jc w:val="both"/>
        <w:rPr>
          <w:lang w:val="de-DE"/>
        </w:rPr>
      </w:pPr>
    </w:p>
    <w:p w14:paraId="1C4037CD" w14:textId="77777777" w:rsidR="002E20BA" w:rsidRPr="004676F5" w:rsidRDefault="002E20BA" w:rsidP="003E6C61">
      <w:pPr>
        <w:jc w:val="both"/>
        <w:rPr>
          <w:lang w:val="de-DE"/>
        </w:rPr>
      </w:pPr>
    </w:p>
    <w:p w14:paraId="66A982E5" w14:textId="7AED3EF9" w:rsidR="003E6C61" w:rsidRPr="004676F5" w:rsidRDefault="00BE0A56" w:rsidP="003E6C61">
      <w:pPr>
        <w:ind w:firstLine="708"/>
        <w:jc w:val="both"/>
        <w:rPr>
          <w:lang w:val="de-DE"/>
        </w:rPr>
      </w:pPr>
      <w:r w:rsidRPr="004676F5">
        <w:rPr>
          <w:b/>
          <w:lang w:val="de-DE"/>
        </w:rPr>
        <w:t>Art. </w:t>
      </w:r>
      <w:r w:rsidR="003E6C61" w:rsidRPr="004676F5">
        <w:rPr>
          <w:b/>
          <w:lang w:val="de-DE"/>
        </w:rPr>
        <w:t>VII.142</w:t>
      </w:r>
      <w:r w:rsidR="003E6C61" w:rsidRPr="004676F5">
        <w:rPr>
          <w:lang w:val="de-DE"/>
        </w:rPr>
        <w:t> </w:t>
      </w:r>
      <w:r w:rsidR="005B7A5C" w:rsidRPr="004676F5">
        <w:rPr>
          <w:lang w:val="de-DE"/>
        </w:rPr>
        <w:t>- </w:t>
      </w:r>
      <w:r w:rsidR="003E6C61" w:rsidRPr="004676F5">
        <w:rPr>
          <w:lang w:val="de-DE"/>
        </w:rPr>
        <w:t>Sollzinsen werden anhand des periodischen Zinssatzes berechnet.</w:t>
      </w:r>
    </w:p>
    <w:p w14:paraId="100F79B7" w14:textId="77777777" w:rsidR="003E6C61" w:rsidRPr="004676F5" w:rsidRDefault="003E6C61" w:rsidP="003E6C61">
      <w:pPr>
        <w:ind w:firstLine="708"/>
        <w:jc w:val="both"/>
        <w:rPr>
          <w:lang w:val="de-DE"/>
        </w:rPr>
      </w:pPr>
    </w:p>
    <w:p w14:paraId="3CBD11E2" w14:textId="77777777" w:rsidR="002E20BA" w:rsidRPr="004676F5" w:rsidRDefault="002E20BA" w:rsidP="003E6C61">
      <w:pPr>
        <w:ind w:firstLine="708"/>
        <w:jc w:val="both"/>
        <w:rPr>
          <w:lang w:val="de-DE"/>
        </w:rPr>
      </w:pPr>
    </w:p>
    <w:p w14:paraId="3C63F1FB" w14:textId="58458AD4" w:rsidR="003E6C61" w:rsidRPr="004676F5" w:rsidRDefault="00BE0A56" w:rsidP="003E6C61">
      <w:pPr>
        <w:ind w:firstLine="708"/>
        <w:jc w:val="both"/>
        <w:rPr>
          <w:lang w:val="de-DE"/>
        </w:rPr>
      </w:pPr>
      <w:r w:rsidRPr="004676F5">
        <w:rPr>
          <w:b/>
          <w:lang w:val="de-DE"/>
        </w:rPr>
        <w:t>Art. </w:t>
      </w:r>
      <w:r w:rsidR="003E6C61" w:rsidRPr="004676F5">
        <w:rPr>
          <w:b/>
          <w:lang w:val="de-DE"/>
        </w:rPr>
        <w:t>VII.143</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Periodischer Zinssatz und Sollzinssatz sind fest oder variabel. Wurden ein oder mehrere feste Sollzinssätze festgelegt, gelten sie für die im Kreditvertrag festgelegte Dauer.</w:t>
      </w:r>
    </w:p>
    <w:p w14:paraId="6146ECB8" w14:textId="77777777" w:rsidR="003E6C61" w:rsidRPr="004676F5" w:rsidRDefault="003E6C61" w:rsidP="003E6C61">
      <w:pPr>
        <w:ind w:firstLine="708"/>
        <w:jc w:val="both"/>
        <w:rPr>
          <w:lang w:val="de-DE"/>
        </w:rPr>
      </w:pPr>
    </w:p>
    <w:p w14:paraId="78F43412" w14:textId="357AB86D"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Außer in den in vorliegendem Artikel vorgesehenen Ausnahmen in Bezug auf die Variabilität des Sollzinssatzes und/oder des periodischen Zinssatzes und unbeschadet der Anwendung von Artikel VII.145 gelten Klauseln, die es ermöglichen, Zinssätze oder Kosten zu ändern, als ungeschrieben.</w:t>
      </w:r>
    </w:p>
    <w:p w14:paraId="4B7E7F97" w14:textId="77777777" w:rsidR="003E6C61" w:rsidRPr="004676F5" w:rsidRDefault="003E6C61" w:rsidP="003E6C61">
      <w:pPr>
        <w:ind w:firstLine="708"/>
        <w:jc w:val="both"/>
        <w:rPr>
          <w:lang w:val="de-DE"/>
        </w:rPr>
      </w:pPr>
    </w:p>
    <w:p w14:paraId="244D1D95" w14:textId="24945706"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Wenn die Variabilität des periodischen Zinssatzes vereinbart worden ist, darf es pro Kreditvertrag nur einen Sollzinssatz geben. Für diesen periodischen Zinssatz gelten folgende Regeln:</w:t>
      </w:r>
    </w:p>
    <w:p w14:paraId="3D74A270" w14:textId="77777777" w:rsidR="003E6C61" w:rsidRPr="004676F5" w:rsidRDefault="003E6C61" w:rsidP="003E6C61">
      <w:pPr>
        <w:ind w:firstLine="708"/>
        <w:jc w:val="both"/>
        <w:rPr>
          <w:lang w:val="de-DE"/>
        </w:rPr>
      </w:pPr>
    </w:p>
    <w:p w14:paraId="3E887D34" w14:textId="77777777" w:rsidR="003E6C61" w:rsidRPr="004676F5" w:rsidRDefault="003E6C61" w:rsidP="003E6C61">
      <w:pPr>
        <w:ind w:firstLine="708"/>
        <w:jc w:val="both"/>
        <w:rPr>
          <w:lang w:val="de-DE"/>
        </w:rPr>
      </w:pPr>
      <w:r w:rsidRPr="004676F5">
        <w:rPr>
          <w:lang w:val="de-DE"/>
        </w:rPr>
        <w:t>1. Der periodische Zinssatz muss sowohl nach oben als auch nach unten schwanken.</w:t>
      </w:r>
    </w:p>
    <w:p w14:paraId="1537F78E" w14:textId="77777777" w:rsidR="003E6C61" w:rsidRPr="004676F5" w:rsidRDefault="003E6C61" w:rsidP="003E6C61">
      <w:pPr>
        <w:ind w:firstLine="708"/>
        <w:jc w:val="both"/>
        <w:rPr>
          <w:lang w:val="de-DE"/>
        </w:rPr>
      </w:pPr>
    </w:p>
    <w:p w14:paraId="1F20B6E3" w14:textId="77777777" w:rsidR="003E6C61" w:rsidRPr="004676F5" w:rsidRDefault="003E6C61" w:rsidP="003E6C61">
      <w:pPr>
        <w:ind w:firstLine="708"/>
        <w:jc w:val="both"/>
        <w:rPr>
          <w:lang w:val="de-DE"/>
        </w:rPr>
      </w:pPr>
      <w:r w:rsidRPr="004676F5">
        <w:rPr>
          <w:lang w:val="de-DE"/>
        </w:rPr>
        <w:t>2. Der periodische Zinssatz darf sich nur bei Ablauf festgelegter Zeiträume von mindestens einem Jahr ändern.</w:t>
      </w:r>
    </w:p>
    <w:p w14:paraId="4514F410" w14:textId="77777777" w:rsidR="003E6C61" w:rsidRPr="004676F5" w:rsidRDefault="003E6C61" w:rsidP="003E6C61">
      <w:pPr>
        <w:ind w:firstLine="708"/>
        <w:jc w:val="both"/>
        <w:rPr>
          <w:lang w:val="de-DE"/>
        </w:rPr>
      </w:pPr>
    </w:p>
    <w:p w14:paraId="4FE3DC3C" w14:textId="77777777" w:rsidR="003E6C61" w:rsidRPr="004676F5" w:rsidRDefault="003E6C61" w:rsidP="003E6C61">
      <w:pPr>
        <w:ind w:firstLine="708"/>
        <w:jc w:val="both"/>
        <w:rPr>
          <w:lang w:val="de-DE"/>
        </w:rPr>
      </w:pPr>
      <w:r w:rsidRPr="004676F5">
        <w:rPr>
          <w:lang w:val="de-DE"/>
        </w:rPr>
        <w:t>3. Die Änderung des periodischen Zinssatzes muss an Schwankungen eines Referenzindexes gebunden sein; dieser muss aus einer Reihe Referenzindexe gewählt werden im Verhältnis zur Dauer der Zeiträume der Zinssatzänderung.</w:t>
      </w:r>
    </w:p>
    <w:p w14:paraId="7384BC24" w14:textId="77777777" w:rsidR="003E6C61" w:rsidRPr="004676F5" w:rsidRDefault="003E6C61" w:rsidP="003E6C61">
      <w:pPr>
        <w:ind w:firstLine="708"/>
        <w:jc w:val="both"/>
        <w:rPr>
          <w:lang w:val="de-DE"/>
        </w:rPr>
      </w:pPr>
    </w:p>
    <w:p w14:paraId="4632A2D2" w14:textId="77777777" w:rsidR="003E6C61" w:rsidRPr="004676F5" w:rsidRDefault="003E6C61" w:rsidP="003E6C61">
      <w:pPr>
        <w:ind w:firstLine="708"/>
        <w:jc w:val="both"/>
        <w:rPr>
          <w:lang w:val="de-DE"/>
        </w:rPr>
      </w:pPr>
      <w:r w:rsidRPr="004676F5">
        <w:rPr>
          <w:lang w:val="de-DE"/>
        </w:rPr>
        <w:t xml:space="preserve">Die Liste und der Berechnungsmodus der Referenzindexe werden vom König auf Stellungnahme der Bank </w:t>
      </w:r>
      <w:r w:rsidR="00402892" w:rsidRPr="004676F5">
        <w:rPr>
          <w:lang w:val="de-DE"/>
        </w:rPr>
        <w:t>[...]</w:t>
      </w:r>
      <w:r w:rsidRPr="004676F5">
        <w:rPr>
          <w:lang w:val="de-DE"/>
        </w:rPr>
        <w:t xml:space="preserve"> durch einen im Ministerrat beratenen Erlass bestimmt.</w:t>
      </w:r>
    </w:p>
    <w:p w14:paraId="1F9D21F1" w14:textId="77777777" w:rsidR="003E6C61" w:rsidRPr="004676F5" w:rsidRDefault="003E6C61" w:rsidP="003E6C61">
      <w:pPr>
        <w:ind w:firstLine="708"/>
        <w:jc w:val="both"/>
        <w:rPr>
          <w:lang w:val="de-DE"/>
        </w:rPr>
      </w:pPr>
    </w:p>
    <w:p w14:paraId="6A2BD13F" w14:textId="77777777" w:rsidR="003E6C61" w:rsidRPr="004676F5" w:rsidRDefault="003E6C61" w:rsidP="003E6C61">
      <w:pPr>
        <w:ind w:firstLine="708"/>
        <w:jc w:val="both"/>
        <w:rPr>
          <w:lang w:val="de-DE"/>
        </w:rPr>
      </w:pPr>
      <w:r w:rsidRPr="004676F5">
        <w:rPr>
          <w:lang w:val="de-DE"/>
        </w:rPr>
        <w:lastRenderedPageBreak/>
        <w:t>4. Der ursprüngliche periodische Zinssatz ist der Zinssatz, zu dem die Zinsen berechnet werden, die der Verbraucher bei der ersten Zinszahlung zu entrichten hat.</w:t>
      </w:r>
    </w:p>
    <w:p w14:paraId="2E074EA8" w14:textId="77777777" w:rsidR="003E6C61" w:rsidRPr="004676F5" w:rsidRDefault="003E6C61" w:rsidP="003E6C61">
      <w:pPr>
        <w:ind w:firstLine="708"/>
        <w:jc w:val="both"/>
        <w:rPr>
          <w:lang w:val="de-DE"/>
        </w:rPr>
      </w:pPr>
    </w:p>
    <w:p w14:paraId="696144AB" w14:textId="77777777" w:rsidR="003E6C61" w:rsidRPr="004676F5" w:rsidRDefault="003E6C61" w:rsidP="003E6C61">
      <w:pPr>
        <w:ind w:firstLine="708"/>
        <w:jc w:val="both"/>
        <w:rPr>
          <w:lang w:val="de-DE"/>
        </w:rPr>
      </w:pPr>
      <w:r w:rsidRPr="004676F5">
        <w:rPr>
          <w:lang w:val="de-DE"/>
        </w:rPr>
        <w:t>5. Der ursprüngliche Wert des Referenzindexes ist der Wert des Referenzindexes, der im Tarif der Zinssätze für die entsprechende Kreditart angegeben ist; es handelt sich um den Wert des Referenzindexes des Kalendermonats vor dem Datum dieses Tarifs.</w:t>
      </w:r>
    </w:p>
    <w:p w14:paraId="53943274" w14:textId="77777777" w:rsidR="003E6C61" w:rsidRPr="004676F5" w:rsidRDefault="003E6C61" w:rsidP="003E6C61">
      <w:pPr>
        <w:ind w:firstLine="708"/>
        <w:jc w:val="both"/>
        <w:rPr>
          <w:lang w:val="de-DE"/>
        </w:rPr>
      </w:pPr>
    </w:p>
    <w:p w14:paraId="77608047" w14:textId="77777777" w:rsidR="003E6C61" w:rsidRPr="004676F5" w:rsidRDefault="003E6C61" w:rsidP="003E6C61">
      <w:pPr>
        <w:ind w:firstLine="708"/>
        <w:jc w:val="both"/>
        <w:rPr>
          <w:lang w:val="de-DE"/>
        </w:rPr>
      </w:pPr>
      <w:r w:rsidRPr="004676F5">
        <w:rPr>
          <w:lang w:val="de-DE"/>
        </w:rPr>
        <w:t>6. Bei Ablauf der im Kreditvertrag festgelegten Zeiträume entspricht der periodische Zinssatz für den neuen Zeitraum dem ursprünglichen Zinssatz zuzüglich der Differenz zwischen dem Wert des im Kalendermonat vor dem Datum der Änderung veröffentlichten Referenzindexes und dem ursprünglichen Wert dieses Referenzindexes.</w:t>
      </w:r>
    </w:p>
    <w:p w14:paraId="4C261276" w14:textId="77777777" w:rsidR="003E6C61" w:rsidRPr="004676F5" w:rsidRDefault="003E6C61" w:rsidP="003E6C61">
      <w:pPr>
        <w:ind w:firstLine="708"/>
        <w:jc w:val="both"/>
        <w:rPr>
          <w:lang w:val="de-DE"/>
        </w:rPr>
      </w:pPr>
    </w:p>
    <w:p w14:paraId="6B9F1DA5" w14:textId="380B4DAA" w:rsidR="003E6C61" w:rsidRPr="004676F5" w:rsidRDefault="003E6C61" w:rsidP="003E6C61">
      <w:pPr>
        <w:ind w:firstLine="708"/>
        <w:jc w:val="both"/>
        <w:rPr>
          <w:lang w:val="de-DE"/>
        </w:rPr>
      </w:pPr>
      <w:r w:rsidRPr="004676F5">
        <w:rPr>
          <w:lang w:val="de-DE"/>
        </w:rPr>
        <w:t xml:space="preserve">Ist der ursprüngliche periodische Zinssatz das Ergebnis einer bedingten Ermäßigung, kann der Kreditgeber </w:t>
      </w:r>
      <w:r w:rsidR="00927837" w:rsidRPr="004676F5">
        <w:rPr>
          <w:lang w:val="de-DE"/>
        </w:rPr>
        <w:t xml:space="preserve">[in den in Artikel VII.147 § 1 vorgesehenen Fällen] </w:t>
      </w:r>
      <w:r w:rsidRPr="004676F5">
        <w:rPr>
          <w:lang w:val="de-DE"/>
        </w:rPr>
        <w:t>für die Bestimmung des neuen Zinssatzes von einem höheren Sollzinssatz ausgehen, wenn der Verbraucher die gestellte(n) Bedingung(en) nicht mehr erfüllt. Die Erhöhung darf nicht über der zu Beginn des Kredits gewährten Ermäßigung liegen, ausgedrückt als Prozentsatz pro Zeitraum.</w:t>
      </w:r>
    </w:p>
    <w:p w14:paraId="5241288B" w14:textId="77777777" w:rsidR="003E6C61" w:rsidRPr="004676F5" w:rsidRDefault="003E6C61" w:rsidP="003E6C61">
      <w:pPr>
        <w:ind w:firstLine="708"/>
        <w:jc w:val="both"/>
        <w:rPr>
          <w:lang w:val="de-DE"/>
        </w:rPr>
      </w:pPr>
    </w:p>
    <w:p w14:paraId="28BD4207" w14:textId="77777777" w:rsidR="003E6C61" w:rsidRPr="004676F5" w:rsidRDefault="003E6C61" w:rsidP="003E6C61">
      <w:pPr>
        <w:ind w:firstLine="708"/>
        <w:jc w:val="both"/>
        <w:rPr>
          <w:lang w:val="de-DE"/>
        </w:rPr>
      </w:pPr>
      <w:r w:rsidRPr="004676F5">
        <w:rPr>
          <w:lang w:val="de-DE"/>
        </w:rPr>
        <w:t>7. Unbeschadet der nachstehenden Bestimmung von Nummer 8 muss im Kreditvertrag bestimmt werden, dass Schwankungen des periodischen Zinssatzes sowohl nach oben als auch nach unten auf eine bestimmte Abweichung im Verhältnis zum ursprünglichen Zinssatz begrenzt sind, wobei diese Abweichung bei Erhöhung des periodischen Zinssatzes nicht größer sein darf als bei Senkung dieses Zinssatzes.</w:t>
      </w:r>
    </w:p>
    <w:p w14:paraId="7F9ABEBC" w14:textId="77777777" w:rsidR="003E6C61" w:rsidRPr="004676F5" w:rsidRDefault="003E6C61" w:rsidP="003E6C61">
      <w:pPr>
        <w:ind w:firstLine="708"/>
        <w:jc w:val="both"/>
        <w:rPr>
          <w:lang w:val="de-DE"/>
        </w:rPr>
      </w:pPr>
    </w:p>
    <w:p w14:paraId="6E943B57" w14:textId="7F1508A3" w:rsidR="003E6C61" w:rsidRPr="004676F5" w:rsidRDefault="003E6C61" w:rsidP="003E6C61">
      <w:pPr>
        <w:ind w:firstLine="708"/>
        <w:jc w:val="both"/>
        <w:rPr>
          <w:lang w:val="de-DE"/>
        </w:rPr>
      </w:pPr>
      <w:r w:rsidRPr="004676F5">
        <w:rPr>
          <w:lang w:val="de-DE"/>
        </w:rPr>
        <w:t xml:space="preserve">Ist der ursprüngliche periodische Zinssatz das Ergebnis einer bedingten Ermäßigung, darf im Kreditvertrag bestimmt werden, dass bei der in Absatz 1 erwähnten Änderung ein höherer Zinssatz berücksichtigt wird, wenn </w:t>
      </w:r>
      <w:r w:rsidR="00927837" w:rsidRPr="004676F5">
        <w:rPr>
          <w:lang w:val="de-DE"/>
        </w:rPr>
        <w:t xml:space="preserve">[in den in Artikel VII.147 § 1 vorgesehenen Fällen] </w:t>
      </w:r>
      <w:r w:rsidRPr="004676F5">
        <w:rPr>
          <w:lang w:val="de-DE"/>
        </w:rPr>
        <w:t>die für die Ermäßigung gestellte(n) Bedingung(en) nicht mehr erfüllt werden. Die anzuwendende Erhöhung darf nicht mehr betragen als die zu Beginn des Kredits gewährte Ermäßigung, ausgedrückt als Prozentsatz pro Zeitraum.</w:t>
      </w:r>
    </w:p>
    <w:p w14:paraId="47B55AFC" w14:textId="77777777" w:rsidR="003E6C61" w:rsidRPr="004676F5" w:rsidRDefault="003E6C61" w:rsidP="003E6C61">
      <w:pPr>
        <w:ind w:firstLine="708"/>
        <w:jc w:val="both"/>
        <w:rPr>
          <w:lang w:val="de-DE"/>
        </w:rPr>
      </w:pPr>
    </w:p>
    <w:p w14:paraId="1370626C" w14:textId="77777777" w:rsidR="003E6C61" w:rsidRPr="004676F5" w:rsidRDefault="003E6C61" w:rsidP="003E6C61">
      <w:pPr>
        <w:ind w:firstLine="708"/>
        <w:jc w:val="both"/>
        <w:rPr>
          <w:lang w:val="de-DE"/>
        </w:rPr>
      </w:pPr>
      <w:r w:rsidRPr="004676F5">
        <w:rPr>
          <w:lang w:val="de-DE"/>
        </w:rPr>
        <w:t>Im Kreditvertrag kann ebenfalls bestimmt werden, dass der periodische Zinssatz sich nur ändert, wenn die Schwankung nach oben oder unten im Verhältnis zum Zinssatz des vorhergehenden Zeitraums eine bestimmte Mindestabweichung erreicht.</w:t>
      </w:r>
    </w:p>
    <w:p w14:paraId="597C79C9" w14:textId="77777777" w:rsidR="003E6C61" w:rsidRPr="004676F5" w:rsidRDefault="003E6C61" w:rsidP="003E6C61">
      <w:pPr>
        <w:ind w:firstLine="708"/>
        <w:jc w:val="both"/>
        <w:rPr>
          <w:lang w:val="de-DE"/>
        </w:rPr>
      </w:pPr>
    </w:p>
    <w:p w14:paraId="175908D6" w14:textId="77777777" w:rsidR="003E6C61" w:rsidRPr="004676F5" w:rsidRDefault="003E6C61" w:rsidP="003E6C61">
      <w:pPr>
        <w:ind w:firstLine="708"/>
        <w:jc w:val="both"/>
        <w:rPr>
          <w:lang w:val="de-DE"/>
        </w:rPr>
      </w:pPr>
      <w:r w:rsidRPr="004676F5">
        <w:rPr>
          <w:lang w:val="de-DE"/>
        </w:rPr>
        <w:t>8. Wenn die Dauer des ersten Zeitraums weniger als drei Jahre beträgt, darf eine Erhöhung des periodischen Zinssatzes weder dazu führen, dass der im zweiten Jahr anzuwendende Zinssatz sich im Verhältnis zum ursprünglichen Zinssatz um mehr als den Gegenwert eines Prozentpunkts pro Jahr erhöht, noch dass der im dritten Jahr anzuwendende periodische Zinssatz sich im Verhältnis zum ursprünglichen Zinssatz um mehr als den Gegenwert von zwei Prozentpunkten pro Jahr erhöht.</w:t>
      </w:r>
    </w:p>
    <w:p w14:paraId="4DB4B409" w14:textId="77777777" w:rsidR="003E6C61" w:rsidRPr="004676F5" w:rsidRDefault="003E6C61" w:rsidP="003E6C61">
      <w:pPr>
        <w:ind w:firstLine="708"/>
        <w:jc w:val="both"/>
        <w:rPr>
          <w:lang w:val="de-DE"/>
        </w:rPr>
      </w:pPr>
    </w:p>
    <w:p w14:paraId="286BA340" w14:textId="1ADE92EE"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Falls der periodische Zinssatz sich ändert und Kapital getilgt wird, werden die Beträge der periodischen Lasten zum neuen Zinssatz gemäß den Bestimmungen des Kreditvertrags berechnet. In Ermangelung solcher Bestimmungen werden die periodischen Lasten entsprechend der Restschuld und der Restlaufzeit gemäß der ursprünglich angewandten technischen Methode berechnet.</w:t>
      </w:r>
    </w:p>
    <w:p w14:paraId="446289E5" w14:textId="77777777" w:rsidR="003E6C61" w:rsidRPr="004676F5" w:rsidRDefault="003E6C61" w:rsidP="003E6C61">
      <w:pPr>
        <w:ind w:firstLine="708"/>
        <w:jc w:val="both"/>
        <w:rPr>
          <w:lang w:val="de-DE"/>
        </w:rPr>
      </w:pPr>
    </w:p>
    <w:p w14:paraId="1350E026" w14:textId="77777777" w:rsidR="003E6C61" w:rsidRPr="004676F5" w:rsidRDefault="003E6C61" w:rsidP="003E6C61">
      <w:pPr>
        <w:ind w:firstLine="708"/>
        <w:jc w:val="both"/>
        <w:rPr>
          <w:lang w:val="de-DE"/>
        </w:rPr>
      </w:pPr>
      <w:r w:rsidRPr="004676F5">
        <w:rPr>
          <w:lang w:val="de-DE"/>
        </w:rPr>
        <w:t>Falls der periodische Zinssatz sich ändert und kein Kapital getilgt wird, werden die Zinsen zum neuen Zinssatz gemäß der ursprünglich angewandten technischen Methode berechnet.</w:t>
      </w:r>
    </w:p>
    <w:p w14:paraId="20B3CFFF" w14:textId="77777777" w:rsidR="003E6C61" w:rsidRPr="004676F5" w:rsidRDefault="003E6C61" w:rsidP="003E6C61">
      <w:pPr>
        <w:ind w:firstLine="708"/>
        <w:jc w:val="both"/>
        <w:rPr>
          <w:lang w:val="de-DE"/>
        </w:rPr>
      </w:pPr>
    </w:p>
    <w:p w14:paraId="2D3F3A56" w14:textId="016EBB9F" w:rsidR="003E6C61" w:rsidRPr="004676F5" w:rsidRDefault="003E6C61" w:rsidP="003E6C61">
      <w:pPr>
        <w:ind w:firstLine="708"/>
        <w:jc w:val="both"/>
        <w:rPr>
          <w:lang w:val="de-DE"/>
        </w:rPr>
      </w:pPr>
      <w:r w:rsidRPr="004676F5">
        <w:rPr>
          <w:lang w:val="de-DE"/>
        </w:rPr>
        <w:lastRenderedPageBreak/>
        <w:t>§ 5 </w:t>
      </w:r>
      <w:r w:rsidR="005B7A5C" w:rsidRPr="004676F5">
        <w:rPr>
          <w:lang w:val="de-DE"/>
        </w:rPr>
        <w:t>- </w:t>
      </w:r>
      <w:r w:rsidRPr="004676F5">
        <w:rPr>
          <w:lang w:val="de-DE"/>
        </w:rPr>
        <w:t>Zeitpunkte, Bedingungen und Modalitäten der Änderung des periodischen Zinssatzes und der ursprüngliche Wert des Referenzindexes müssen im Kreditvertrag angegeben sein.</w:t>
      </w:r>
    </w:p>
    <w:p w14:paraId="6DADC0C4" w14:textId="77777777" w:rsidR="003E6C61" w:rsidRPr="004676F5" w:rsidRDefault="003E6C61" w:rsidP="003E6C61">
      <w:pPr>
        <w:ind w:firstLine="708"/>
        <w:jc w:val="both"/>
        <w:rPr>
          <w:lang w:val="de-DE"/>
        </w:rPr>
      </w:pPr>
    </w:p>
    <w:p w14:paraId="3DC92301" w14:textId="77777777" w:rsidR="003E6C61" w:rsidRPr="004676F5" w:rsidRDefault="003E6C61" w:rsidP="003E6C61">
      <w:pPr>
        <w:ind w:firstLine="708"/>
        <w:jc w:val="both"/>
        <w:rPr>
          <w:lang w:val="de-DE"/>
        </w:rPr>
      </w:pPr>
      <w:r w:rsidRPr="004676F5">
        <w:rPr>
          <w:lang w:val="de-DE"/>
        </w:rPr>
        <w:t xml:space="preserve">Nur ein einzelner Referenzindex, der der vom König gemäß § 7 festgelegten Liste entnommen wird, kann für die Berechnung des periodischen Zinssatzes benutzt werden. </w:t>
      </w:r>
    </w:p>
    <w:p w14:paraId="6850A451" w14:textId="77777777" w:rsidR="003E6C61" w:rsidRPr="004676F5" w:rsidRDefault="003E6C61" w:rsidP="003E6C61">
      <w:pPr>
        <w:ind w:firstLine="708"/>
        <w:jc w:val="both"/>
        <w:rPr>
          <w:lang w:val="de-DE"/>
        </w:rPr>
      </w:pPr>
    </w:p>
    <w:p w14:paraId="78BCB826" w14:textId="77777777" w:rsidR="003E6C61" w:rsidRPr="004676F5" w:rsidRDefault="003E6C61" w:rsidP="003E6C61">
      <w:pPr>
        <w:ind w:firstLine="708"/>
        <w:jc w:val="both"/>
        <w:rPr>
          <w:lang w:val="de-DE"/>
        </w:rPr>
      </w:pPr>
      <w:r w:rsidRPr="004676F5">
        <w:rPr>
          <w:lang w:val="de-DE"/>
        </w:rPr>
        <w:t>Das Archiv dieser Indexe wird vom Kreditgeber geführt.</w:t>
      </w:r>
    </w:p>
    <w:p w14:paraId="7AF18C40" w14:textId="77777777" w:rsidR="003E6C61" w:rsidRPr="004676F5" w:rsidRDefault="003E6C61" w:rsidP="003E6C61">
      <w:pPr>
        <w:ind w:firstLine="708"/>
        <w:jc w:val="both"/>
        <w:rPr>
          <w:lang w:val="de-DE"/>
        </w:rPr>
      </w:pPr>
    </w:p>
    <w:p w14:paraId="1F9E7C99" w14:textId="4AE2F71F" w:rsidR="003E6C61" w:rsidRPr="004676F5" w:rsidRDefault="003E6C61" w:rsidP="003E6C61">
      <w:pPr>
        <w:ind w:firstLine="708"/>
        <w:jc w:val="both"/>
        <w:rPr>
          <w:lang w:val="de-DE"/>
        </w:rPr>
      </w:pPr>
      <w:r w:rsidRPr="004676F5">
        <w:rPr>
          <w:lang w:val="de-DE"/>
        </w:rPr>
        <w:t>§ 6 </w:t>
      </w:r>
      <w:r w:rsidR="005B7A5C" w:rsidRPr="004676F5">
        <w:rPr>
          <w:lang w:val="de-DE"/>
        </w:rPr>
        <w:t>- </w:t>
      </w:r>
      <w:r w:rsidRPr="004676F5">
        <w:rPr>
          <w:lang w:val="de-DE"/>
        </w:rPr>
        <w:t xml:space="preserve">Gegebenenfalls wird der Verbraucher </w:t>
      </w:r>
      <w:r w:rsidR="003658CE" w:rsidRPr="004676F5">
        <w:rPr>
          <w:lang w:val="de-DE"/>
        </w:rPr>
        <w:t xml:space="preserve">[auf dauerhaftem Datenträger] </w:t>
      </w:r>
      <w:r w:rsidRPr="004676F5">
        <w:rPr>
          <w:lang w:val="de-DE"/>
        </w:rPr>
        <w:t>über eine durch Änderung des periodischen Zinssatzes erfolgende Änderung des Sollzinssatzes informiert, bevor die Änderung in Kraft tritt. Dabei wird gegebenenfalls auch der Betrag der nach dem Inkrafttreten des neuen periodischen Zinssatzes und Sollzinssatzes zu leistenden Zahlungen angegeben; ändern sich die Anzahl oder die Periodizität der zu leistenden Zahlungen, so sind auch hierzu Einzelheiten anzugeben. Gegebenenfalls muss der Mitteilung kostenlos ein neuer Tilgungsplan beigefügt werden, der für die Restlaufzeit die in Artikel VII.134 § 3 Nr. 4 erwähnten Angaben enthält.</w:t>
      </w:r>
    </w:p>
    <w:p w14:paraId="1E1EAB1D" w14:textId="77777777" w:rsidR="003E6C61" w:rsidRPr="004676F5" w:rsidRDefault="003E6C61" w:rsidP="003E6C61">
      <w:pPr>
        <w:ind w:firstLine="708"/>
        <w:jc w:val="both"/>
        <w:rPr>
          <w:lang w:val="de-DE"/>
        </w:rPr>
      </w:pPr>
    </w:p>
    <w:p w14:paraId="77A5AA9A" w14:textId="6555EBB5" w:rsidR="00B27CF8" w:rsidRPr="004676F5" w:rsidRDefault="003E6C61" w:rsidP="003658CE">
      <w:pPr>
        <w:ind w:firstLine="708"/>
        <w:jc w:val="both"/>
        <w:rPr>
          <w:lang w:val="de-DE"/>
        </w:rPr>
      </w:pPr>
      <w:r w:rsidRPr="004676F5">
        <w:rPr>
          <w:lang w:val="de-DE"/>
        </w:rPr>
        <w:t>Die Vertragsparteien können jedoch in dem Kreditvertrag vereinbaren, dass die in vorangehendem Absatz erwähnte Information dem Verbraucher in regelmäßigen Abständen erteilt wird, wenn die Änderung des periodischen Zinssatzes und des Sollzinssatzes auf eine Änderung eines Referenzindexes zurückgeht, der neue Referenzindex auf geeigneten Wegen öffentlich zugänglich gemacht wird und die Information über den neuen Referenzindex außerdem in den Geschäftsräumen des Kreditgebers verfügbar ist.</w:t>
      </w:r>
    </w:p>
    <w:p w14:paraId="3DE3B640" w14:textId="77777777" w:rsidR="003658CE" w:rsidRPr="004676F5" w:rsidRDefault="003658CE" w:rsidP="003658CE">
      <w:pPr>
        <w:ind w:firstLine="708"/>
        <w:jc w:val="both"/>
        <w:rPr>
          <w:lang w:val="de-DE"/>
        </w:rPr>
      </w:pPr>
    </w:p>
    <w:p w14:paraId="65972F9F" w14:textId="315CFBFE" w:rsidR="003E6C61" w:rsidRPr="004676F5" w:rsidRDefault="003E6C61" w:rsidP="003E6C61">
      <w:pPr>
        <w:ind w:firstLine="708"/>
        <w:jc w:val="both"/>
        <w:rPr>
          <w:lang w:val="de-DE"/>
        </w:rPr>
      </w:pPr>
      <w:r w:rsidRPr="004676F5">
        <w:rPr>
          <w:lang w:val="de-DE"/>
        </w:rPr>
        <w:t>§ 7 </w:t>
      </w:r>
      <w:r w:rsidR="005B7A5C" w:rsidRPr="004676F5">
        <w:rPr>
          <w:lang w:val="de-DE"/>
        </w:rPr>
        <w:t>- </w:t>
      </w:r>
      <w:r w:rsidRPr="004676F5">
        <w:rPr>
          <w:lang w:val="de-DE"/>
        </w:rPr>
        <w:t>Der König bestimmt durch einen im Ministerrat beratenen Erlass die Modalitäten für die Anwendung des vorliegenden Artikels.</w:t>
      </w:r>
    </w:p>
    <w:p w14:paraId="740AC159" w14:textId="77777777" w:rsidR="003E6C61" w:rsidRDefault="003E6C61" w:rsidP="00402892">
      <w:pPr>
        <w:jc w:val="both"/>
        <w:rPr>
          <w:lang w:val="de-DE"/>
        </w:rPr>
      </w:pPr>
    </w:p>
    <w:p w14:paraId="38C7D46E" w14:textId="41DFE47C" w:rsidR="00DE0629" w:rsidRPr="00FE0D0B" w:rsidRDefault="00DE0629" w:rsidP="00DE0629">
      <w:pPr>
        <w:jc w:val="both"/>
        <w:rPr>
          <w:lang w:val="de-DE"/>
        </w:rPr>
      </w:pPr>
      <w:r>
        <w:rPr>
          <w:lang w:val="de-DE"/>
        </w:rPr>
        <w:tab/>
        <w:t>[</w:t>
      </w:r>
      <w:r w:rsidRPr="00FE0D0B">
        <w:rPr>
          <w:lang w:val="de-DE"/>
        </w:rPr>
        <w:t>§ 8 - Vor der Änderung der Bedingungen eines Kreditvertrags im Rahmen der in Artikel VII.147/20 § 1 erwähnten Stundungsmaßnahmen teilt der Kreditgeber dem Verbraucher folgende Informationen auf Papier oder auf einem im Kreditvertrag näher bestimmten dauerhaften Datenträger kostenlos mit:</w:t>
      </w:r>
    </w:p>
    <w:p w14:paraId="652D5F6B" w14:textId="77777777" w:rsidR="00DE0629" w:rsidRPr="00FE0D0B" w:rsidRDefault="00DE0629" w:rsidP="00DE0629">
      <w:pPr>
        <w:jc w:val="both"/>
        <w:rPr>
          <w:lang w:val="de-DE"/>
        </w:rPr>
      </w:pPr>
    </w:p>
    <w:p w14:paraId="18B27573" w14:textId="77777777" w:rsidR="00DE0629" w:rsidRPr="00FE0D0B" w:rsidRDefault="00DE0629" w:rsidP="00DE0629">
      <w:pPr>
        <w:jc w:val="both"/>
        <w:rPr>
          <w:lang w:val="de-DE"/>
        </w:rPr>
      </w:pPr>
      <w:r w:rsidRPr="00FE0D0B">
        <w:rPr>
          <w:lang w:val="de-DE"/>
        </w:rPr>
        <w:tab/>
        <w:t>1. eine klare Beschreibung der vorgeschlagenen Änderungen und des Erfordernisses des Einverständnisses des Verbrauchers oder gegebenenfalls eine Erklärung der gesetzlich eingeführten Änderungen,</w:t>
      </w:r>
    </w:p>
    <w:p w14:paraId="11506DA2" w14:textId="77777777" w:rsidR="00DE0629" w:rsidRPr="00FE0D0B" w:rsidRDefault="00DE0629" w:rsidP="00DE0629">
      <w:pPr>
        <w:jc w:val="both"/>
        <w:rPr>
          <w:lang w:val="de-DE"/>
        </w:rPr>
      </w:pPr>
    </w:p>
    <w:p w14:paraId="558AA3CF" w14:textId="77777777" w:rsidR="00DE0629" w:rsidRPr="00FE0D0B" w:rsidRDefault="00DE0629" w:rsidP="00DE0629">
      <w:pPr>
        <w:jc w:val="both"/>
        <w:rPr>
          <w:lang w:val="de-DE"/>
        </w:rPr>
      </w:pPr>
      <w:r w:rsidRPr="00FE0D0B">
        <w:rPr>
          <w:lang w:val="de-DE"/>
        </w:rPr>
        <w:tab/>
        <w:t>2. den zeitlichen Rahmen, der für die Umsetzung der in Nr. 1 erwähnten Änderungen vorgesehen ist,</w:t>
      </w:r>
    </w:p>
    <w:p w14:paraId="42BB32BC" w14:textId="77777777" w:rsidR="00DE0629" w:rsidRPr="00FE0D0B" w:rsidRDefault="00DE0629" w:rsidP="00DE0629">
      <w:pPr>
        <w:jc w:val="both"/>
        <w:rPr>
          <w:lang w:val="de-DE"/>
        </w:rPr>
      </w:pPr>
    </w:p>
    <w:p w14:paraId="22963DC6" w14:textId="77777777" w:rsidR="00DE0629" w:rsidRPr="00FE0D0B" w:rsidRDefault="00DE0629" w:rsidP="00DE0629">
      <w:pPr>
        <w:jc w:val="both"/>
        <w:rPr>
          <w:lang w:val="de-DE"/>
        </w:rPr>
      </w:pPr>
      <w:r w:rsidRPr="00FE0D0B">
        <w:rPr>
          <w:lang w:val="de-DE"/>
        </w:rPr>
        <w:tab/>
        <w:t>3. die Beschwerdemöglichkeiten, die dem Verbraucher gegen die in Nr. 1 erwähnten Änderungen zur Verfügung stehen,</w:t>
      </w:r>
    </w:p>
    <w:p w14:paraId="78CCA8D9" w14:textId="77777777" w:rsidR="00DE0629" w:rsidRPr="00FE0D0B" w:rsidRDefault="00DE0629" w:rsidP="00DE0629">
      <w:pPr>
        <w:jc w:val="both"/>
        <w:rPr>
          <w:lang w:val="de-DE"/>
        </w:rPr>
      </w:pPr>
    </w:p>
    <w:p w14:paraId="5E767774" w14:textId="77777777" w:rsidR="00DE0629" w:rsidRPr="00FE0D0B" w:rsidRDefault="00DE0629" w:rsidP="00DE0629">
      <w:pPr>
        <w:jc w:val="both"/>
        <w:rPr>
          <w:lang w:val="de-DE"/>
        </w:rPr>
      </w:pPr>
      <w:r w:rsidRPr="00FE0D0B">
        <w:rPr>
          <w:lang w:val="de-DE"/>
        </w:rPr>
        <w:tab/>
        <w:t>4. die Frist, innerhalb deren eine solche Beschwerde eingelegt werden kann,</w:t>
      </w:r>
    </w:p>
    <w:p w14:paraId="01D18944" w14:textId="77777777" w:rsidR="00DE0629" w:rsidRPr="00FE0D0B" w:rsidRDefault="00DE0629" w:rsidP="00DE0629">
      <w:pPr>
        <w:jc w:val="both"/>
        <w:rPr>
          <w:lang w:val="de-DE"/>
        </w:rPr>
      </w:pPr>
    </w:p>
    <w:p w14:paraId="7D326C63" w14:textId="2F9167F5" w:rsidR="00DE0629" w:rsidRDefault="00DE0629" w:rsidP="00DE0629">
      <w:pPr>
        <w:jc w:val="both"/>
        <w:rPr>
          <w:lang w:val="de-DE"/>
        </w:rPr>
      </w:pPr>
      <w:r w:rsidRPr="00FE0D0B">
        <w:rPr>
          <w:lang w:val="de-DE"/>
        </w:rPr>
        <w:tab/>
        <w:t>5. die Bezeichnung und die Anschrift der zuständigen Behörde, bei der der Verbraucher diese Beschwerde einreichen kann.</w:t>
      </w:r>
      <w:r>
        <w:rPr>
          <w:lang w:val="de-DE"/>
        </w:rPr>
        <w:t>]</w:t>
      </w:r>
    </w:p>
    <w:p w14:paraId="5DEF56C0" w14:textId="77777777" w:rsidR="00DE0629" w:rsidRPr="004676F5" w:rsidRDefault="00DE0629" w:rsidP="00DE0629">
      <w:pPr>
        <w:jc w:val="both"/>
        <w:rPr>
          <w:lang w:val="de-DE"/>
        </w:rPr>
      </w:pPr>
    </w:p>
    <w:p w14:paraId="5BA86453" w14:textId="7F5BF915" w:rsidR="00402892" w:rsidRPr="004676F5" w:rsidRDefault="00402892" w:rsidP="00402892">
      <w:pPr>
        <w:jc w:val="both"/>
        <w:rPr>
          <w:i/>
          <w:lang w:val="de-DE"/>
        </w:rPr>
      </w:pPr>
      <w:r w:rsidRPr="004676F5">
        <w:rPr>
          <w:i/>
          <w:lang w:val="de-DE"/>
        </w:rPr>
        <w:t>[</w:t>
      </w:r>
      <w:r w:rsidR="00BE0A56" w:rsidRPr="004676F5">
        <w:rPr>
          <w:i/>
          <w:lang w:val="de-DE"/>
        </w:rPr>
        <w:t>Art. </w:t>
      </w:r>
      <w:r w:rsidRPr="004676F5">
        <w:rPr>
          <w:i/>
          <w:lang w:val="de-DE"/>
        </w:rPr>
        <w:t xml:space="preserve">VII.143 § 3 einziger Absatz Nr. 3 Abs. 2 abgeändert durch </w:t>
      </w:r>
      <w:r w:rsidR="00BE0A56" w:rsidRPr="004676F5">
        <w:rPr>
          <w:i/>
          <w:lang w:val="de-DE"/>
        </w:rPr>
        <w:t>Art. </w:t>
      </w:r>
      <w:r w:rsidRPr="004676F5">
        <w:rPr>
          <w:i/>
          <w:lang w:val="de-DE"/>
        </w:rPr>
        <w:t>12 des G. vom 18. April 2017 (B.S. vom 24. April 2017)</w:t>
      </w:r>
      <w:r w:rsidR="003658CE" w:rsidRPr="004676F5">
        <w:rPr>
          <w:i/>
          <w:lang w:val="de-DE"/>
        </w:rPr>
        <w:t xml:space="preserve">; </w:t>
      </w:r>
      <w:r w:rsidR="00927837" w:rsidRPr="004676F5">
        <w:rPr>
          <w:i/>
          <w:lang w:val="de-DE"/>
        </w:rPr>
        <w:t xml:space="preserve">§ 3 einziger Absatz Nr. 6 Abs. 2 abgeändert durch Art. 19 Buchstabe a) des G. vom 5. November 2023 </w:t>
      </w:r>
      <w:r w:rsidR="003454B3" w:rsidRPr="004676F5">
        <w:rPr>
          <w:i/>
          <w:lang w:val="de-DE"/>
        </w:rPr>
        <w:t xml:space="preserve">(I) </w:t>
      </w:r>
      <w:r w:rsidR="00927837" w:rsidRPr="004676F5">
        <w:rPr>
          <w:i/>
          <w:lang w:val="de-DE"/>
        </w:rPr>
        <w:t xml:space="preserve">(B.S. vom 11. Dezember 2023); § 3 einziger Absatz Nr. 7 Abs. 2 abgeändert durch Art. 19 Buchstabe b) des G. vom </w:t>
      </w:r>
      <w:r w:rsidR="00927837" w:rsidRPr="004676F5">
        <w:rPr>
          <w:i/>
          <w:lang w:val="de-DE"/>
        </w:rPr>
        <w:lastRenderedPageBreak/>
        <w:t xml:space="preserve">5. November 2023 </w:t>
      </w:r>
      <w:r w:rsidR="003454B3" w:rsidRPr="004676F5">
        <w:rPr>
          <w:i/>
          <w:lang w:val="de-DE"/>
        </w:rPr>
        <w:t xml:space="preserve">(I) </w:t>
      </w:r>
      <w:r w:rsidR="00927837" w:rsidRPr="004676F5">
        <w:rPr>
          <w:i/>
          <w:lang w:val="de-DE"/>
        </w:rPr>
        <w:t xml:space="preserve">(B.S. vom 11. Dezember 2023); </w:t>
      </w:r>
      <w:r w:rsidR="003658CE" w:rsidRPr="004676F5">
        <w:rPr>
          <w:i/>
          <w:lang w:val="de-DE"/>
        </w:rPr>
        <w:t>§ 6 Abs. 1 abgeändert durch Art. 12</w:t>
      </w:r>
      <w:r w:rsidR="003658CE" w:rsidRPr="004676F5">
        <w:rPr>
          <w:i/>
          <w:iCs/>
          <w:lang w:val="de-DE"/>
        </w:rPr>
        <w:t xml:space="preserve"> des G. vom 20. September 2018 (B.S. vom 10. Oktober 2018)</w:t>
      </w:r>
      <w:r w:rsidR="00DE0629">
        <w:rPr>
          <w:i/>
          <w:iCs/>
          <w:lang w:val="de-DE"/>
        </w:rPr>
        <w:t>; § 8 eingefügt durch Art. 43</w:t>
      </w:r>
      <w:r w:rsidR="00DE0629" w:rsidRPr="00DE0629">
        <w:rPr>
          <w:i/>
          <w:iCs/>
          <w:lang w:val="de-DE"/>
        </w:rPr>
        <w:t xml:space="preserve"> des G. vom 20. Dezember 2024 (B.S. vom 14. Januar 2025)</w:t>
      </w:r>
      <w:r w:rsidRPr="004676F5">
        <w:rPr>
          <w:i/>
          <w:lang w:val="de-DE"/>
        </w:rPr>
        <w:t>]</w:t>
      </w:r>
    </w:p>
    <w:p w14:paraId="661D9AB1" w14:textId="77777777" w:rsidR="00402892" w:rsidRPr="004676F5" w:rsidRDefault="00402892" w:rsidP="00402892">
      <w:pPr>
        <w:jc w:val="both"/>
        <w:rPr>
          <w:i/>
          <w:lang w:val="de-DE"/>
        </w:rPr>
      </w:pPr>
    </w:p>
    <w:p w14:paraId="18C470A3" w14:textId="77777777" w:rsidR="002E20BA" w:rsidRPr="004676F5" w:rsidRDefault="002E20BA" w:rsidP="003E6C61">
      <w:pPr>
        <w:ind w:firstLine="708"/>
        <w:jc w:val="both"/>
        <w:rPr>
          <w:lang w:val="de-DE"/>
        </w:rPr>
      </w:pPr>
    </w:p>
    <w:p w14:paraId="4321EC1D" w14:textId="36C7972A" w:rsidR="003E6C61" w:rsidRPr="004676F5" w:rsidRDefault="00BE0A56" w:rsidP="003E6C61">
      <w:pPr>
        <w:ind w:firstLine="708"/>
        <w:jc w:val="both"/>
        <w:rPr>
          <w:lang w:val="de-DE"/>
        </w:rPr>
      </w:pPr>
      <w:r w:rsidRPr="004676F5">
        <w:rPr>
          <w:b/>
          <w:lang w:val="de-DE"/>
        </w:rPr>
        <w:t>Art. </w:t>
      </w:r>
      <w:r w:rsidR="003E6C61" w:rsidRPr="004676F5">
        <w:rPr>
          <w:b/>
          <w:lang w:val="de-DE"/>
        </w:rPr>
        <w:t>VII.144</w:t>
      </w:r>
      <w:r w:rsidR="003E6C61" w:rsidRPr="004676F5">
        <w:rPr>
          <w:lang w:val="de-DE"/>
        </w:rPr>
        <w:t> </w:t>
      </w:r>
      <w:r w:rsidR="005B7A5C" w:rsidRPr="004676F5">
        <w:rPr>
          <w:lang w:val="de-DE"/>
        </w:rPr>
        <w:t>- </w:t>
      </w:r>
      <w:r w:rsidR="003E6C61" w:rsidRPr="004676F5">
        <w:rPr>
          <w:lang w:val="de-DE"/>
        </w:rPr>
        <w:t>Sollzinsen werden berechnet:</w:t>
      </w:r>
    </w:p>
    <w:p w14:paraId="076BF8A5" w14:textId="77777777" w:rsidR="003E6C61" w:rsidRPr="004676F5" w:rsidRDefault="003E6C61" w:rsidP="003E6C61">
      <w:pPr>
        <w:ind w:firstLine="708"/>
        <w:jc w:val="both"/>
        <w:rPr>
          <w:lang w:val="de-DE"/>
        </w:rPr>
      </w:pPr>
    </w:p>
    <w:p w14:paraId="542E78D4" w14:textId="77777777" w:rsidR="003E6C61" w:rsidRPr="004676F5" w:rsidRDefault="003E6C61" w:rsidP="003E6C61">
      <w:pPr>
        <w:ind w:firstLine="708"/>
        <w:jc w:val="both"/>
        <w:rPr>
          <w:lang w:val="de-DE"/>
        </w:rPr>
      </w:pPr>
      <w:r w:rsidRPr="004676F5">
        <w:rPr>
          <w:lang w:val="de-DE"/>
        </w:rPr>
        <w:t>1. bei Tilgung auf die Restschuld,</w:t>
      </w:r>
    </w:p>
    <w:p w14:paraId="15DE4146" w14:textId="77777777" w:rsidR="003E6C61" w:rsidRPr="004676F5" w:rsidRDefault="003E6C61" w:rsidP="003E6C61">
      <w:pPr>
        <w:ind w:firstLine="708"/>
        <w:jc w:val="both"/>
        <w:rPr>
          <w:lang w:val="de-DE"/>
        </w:rPr>
      </w:pPr>
    </w:p>
    <w:p w14:paraId="0A7ACF42" w14:textId="77777777" w:rsidR="003E6C61" w:rsidRPr="004676F5" w:rsidRDefault="003E6C61" w:rsidP="003E6C61">
      <w:pPr>
        <w:ind w:firstLine="708"/>
        <w:jc w:val="both"/>
        <w:rPr>
          <w:lang w:val="de-DE"/>
        </w:rPr>
      </w:pPr>
      <w:r w:rsidRPr="004676F5">
        <w:rPr>
          <w:lang w:val="de-DE"/>
        </w:rPr>
        <w:t>2. bei Wiederherstellung auf das Kapital oder nach Teilrückzahlung auf das noch zurückzuzahlende Kapital.</w:t>
      </w:r>
    </w:p>
    <w:p w14:paraId="246DCCA1" w14:textId="77777777" w:rsidR="003E6C61" w:rsidRPr="004676F5" w:rsidRDefault="003E6C61" w:rsidP="003E6C61">
      <w:pPr>
        <w:ind w:firstLine="708"/>
        <w:jc w:val="both"/>
        <w:rPr>
          <w:lang w:val="de-DE"/>
        </w:rPr>
      </w:pPr>
    </w:p>
    <w:p w14:paraId="234FF210" w14:textId="77777777" w:rsidR="003E6C61" w:rsidRPr="004676F5" w:rsidRDefault="003E6C61" w:rsidP="003E6C61">
      <w:pPr>
        <w:ind w:firstLine="708"/>
        <w:jc w:val="both"/>
        <w:rPr>
          <w:lang w:val="de-DE"/>
        </w:rPr>
      </w:pPr>
      <w:r w:rsidRPr="004676F5">
        <w:rPr>
          <w:lang w:val="de-DE"/>
        </w:rPr>
        <w:t>3. bei einmaliger, bei Ablauf des Kreditvertrags zu entrichtender Kapitalrückzahlung auf die Restschuld.</w:t>
      </w:r>
    </w:p>
    <w:p w14:paraId="4D0624C8" w14:textId="77777777" w:rsidR="003E6C61" w:rsidRPr="004676F5" w:rsidRDefault="003E6C61" w:rsidP="003E6C61">
      <w:pPr>
        <w:ind w:firstLine="708"/>
        <w:jc w:val="both"/>
        <w:rPr>
          <w:lang w:val="de-DE"/>
        </w:rPr>
      </w:pPr>
    </w:p>
    <w:p w14:paraId="7FBDE5BE" w14:textId="77777777" w:rsidR="003E6C61" w:rsidRPr="004676F5" w:rsidRDefault="003E6C61" w:rsidP="003E6C61">
      <w:pPr>
        <w:ind w:firstLine="708"/>
        <w:jc w:val="both"/>
        <w:rPr>
          <w:lang w:val="de-DE"/>
        </w:rPr>
      </w:pPr>
      <w:r w:rsidRPr="004676F5">
        <w:rPr>
          <w:lang w:val="de-DE"/>
        </w:rPr>
        <w:t>Im Falle einer Krediteröffnung werden die Sollzinsen auf den aufgenommenen Teil des Kapitals berechnet.</w:t>
      </w:r>
    </w:p>
    <w:p w14:paraId="3323A91A" w14:textId="77777777" w:rsidR="003E6C61" w:rsidRPr="004676F5" w:rsidRDefault="003E6C61" w:rsidP="003E6C61">
      <w:pPr>
        <w:ind w:firstLine="708"/>
        <w:jc w:val="both"/>
        <w:rPr>
          <w:lang w:val="de-DE"/>
        </w:rPr>
      </w:pPr>
    </w:p>
    <w:p w14:paraId="7A1B26AE" w14:textId="77777777" w:rsidR="003E6C61" w:rsidRPr="004676F5" w:rsidRDefault="003E6C61" w:rsidP="003E6C61">
      <w:pPr>
        <w:ind w:firstLine="708"/>
        <w:jc w:val="both"/>
        <w:rPr>
          <w:lang w:val="de-DE"/>
        </w:rPr>
      </w:pPr>
      <w:r w:rsidRPr="004676F5">
        <w:rPr>
          <w:lang w:val="de-DE"/>
        </w:rPr>
        <w:t>Es ist verboten, Zinsen zu verlangen oder zahlen zu lassen:</w:t>
      </w:r>
    </w:p>
    <w:p w14:paraId="7EA7D20D" w14:textId="77777777" w:rsidR="003E6C61" w:rsidRPr="004676F5" w:rsidRDefault="003E6C61" w:rsidP="003E6C61">
      <w:pPr>
        <w:ind w:firstLine="708"/>
        <w:jc w:val="both"/>
        <w:rPr>
          <w:lang w:val="de-DE"/>
        </w:rPr>
      </w:pPr>
    </w:p>
    <w:p w14:paraId="07322BD8" w14:textId="77777777" w:rsidR="003E6C61" w:rsidRPr="004676F5" w:rsidRDefault="003E6C61" w:rsidP="003E6C61">
      <w:pPr>
        <w:ind w:firstLine="708"/>
        <w:jc w:val="both"/>
        <w:rPr>
          <w:lang w:val="de-DE"/>
        </w:rPr>
      </w:pPr>
      <w:r w:rsidRPr="004676F5">
        <w:rPr>
          <w:lang w:val="de-DE"/>
        </w:rPr>
        <w:t>1. vor Ablauf des Zeitraums, für die sie berechnet werden,</w:t>
      </w:r>
    </w:p>
    <w:p w14:paraId="2AC8BF55" w14:textId="77777777" w:rsidR="003E6C61" w:rsidRPr="004676F5" w:rsidRDefault="003E6C61" w:rsidP="003E6C61">
      <w:pPr>
        <w:ind w:firstLine="708"/>
        <w:jc w:val="both"/>
        <w:rPr>
          <w:lang w:val="de-DE"/>
        </w:rPr>
      </w:pPr>
    </w:p>
    <w:p w14:paraId="7260ECC1" w14:textId="77777777" w:rsidR="003E6C61" w:rsidRPr="004676F5" w:rsidRDefault="003E6C61" w:rsidP="003E6C61">
      <w:pPr>
        <w:ind w:firstLine="708"/>
        <w:jc w:val="both"/>
        <w:rPr>
          <w:lang w:val="de-DE"/>
        </w:rPr>
      </w:pPr>
      <w:r w:rsidRPr="004676F5">
        <w:rPr>
          <w:lang w:val="de-DE"/>
        </w:rPr>
        <w:t>2. in Teilen der Zeiträume, für die sie berechnet werden.</w:t>
      </w:r>
    </w:p>
    <w:p w14:paraId="0B678FE4" w14:textId="77777777" w:rsidR="003E6C61" w:rsidRPr="004676F5" w:rsidRDefault="003E6C61" w:rsidP="003E6C61">
      <w:pPr>
        <w:ind w:firstLine="708"/>
        <w:jc w:val="both"/>
        <w:rPr>
          <w:lang w:val="de-DE"/>
        </w:rPr>
      </w:pPr>
    </w:p>
    <w:p w14:paraId="1F07E756" w14:textId="77777777" w:rsidR="003E6C61" w:rsidRPr="004676F5" w:rsidRDefault="003E6C61" w:rsidP="003E6C61">
      <w:pPr>
        <w:ind w:firstLine="708"/>
        <w:jc w:val="both"/>
        <w:rPr>
          <w:lang w:val="de-DE"/>
        </w:rPr>
      </w:pPr>
      <w:r w:rsidRPr="004676F5">
        <w:rPr>
          <w:lang w:val="de-DE"/>
        </w:rPr>
        <w:t>Werden Sollzinsen aufgrund des Kreditvertrags einem Dritten gezahlt, hat diese Zahlung befreiende Wirkung für den Verbraucher dem Kreditgeber gegenüber.</w:t>
      </w:r>
    </w:p>
    <w:p w14:paraId="0D4288FD" w14:textId="77777777" w:rsidR="003E6C61" w:rsidRPr="004676F5" w:rsidRDefault="003E6C61" w:rsidP="003E6C61">
      <w:pPr>
        <w:ind w:firstLine="708"/>
        <w:jc w:val="both"/>
        <w:rPr>
          <w:lang w:val="de-DE"/>
        </w:rPr>
      </w:pPr>
    </w:p>
    <w:p w14:paraId="4C8E14F8" w14:textId="77777777" w:rsidR="002E20BA" w:rsidRPr="004676F5" w:rsidRDefault="002E20BA" w:rsidP="003E6C61">
      <w:pPr>
        <w:ind w:firstLine="708"/>
        <w:jc w:val="both"/>
        <w:rPr>
          <w:lang w:val="de-DE"/>
        </w:rPr>
      </w:pPr>
    </w:p>
    <w:p w14:paraId="01C75DBE" w14:textId="4D9F9D2B" w:rsidR="003E6C61" w:rsidRPr="004676F5" w:rsidRDefault="00BE0A56" w:rsidP="003E6C61">
      <w:pPr>
        <w:ind w:firstLine="708"/>
        <w:jc w:val="both"/>
        <w:rPr>
          <w:lang w:val="de-DE"/>
        </w:rPr>
      </w:pPr>
      <w:r w:rsidRPr="004676F5">
        <w:rPr>
          <w:b/>
          <w:lang w:val="de-DE"/>
        </w:rPr>
        <w:t>Art. </w:t>
      </w:r>
      <w:r w:rsidR="003E6C61" w:rsidRPr="004676F5">
        <w:rPr>
          <w:b/>
          <w:lang w:val="de-DE"/>
        </w:rPr>
        <w:t>VII.145</w:t>
      </w:r>
      <w:r w:rsidR="003E6C61" w:rsidRPr="004676F5">
        <w:rPr>
          <w:lang w:val="de-DE"/>
        </w:rPr>
        <w:t> </w:t>
      </w:r>
      <w:r w:rsidR="005B7A5C" w:rsidRPr="004676F5">
        <w:rPr>
          <w:lang w:val="de-DE"/>
        </w:rPr>
        <w:t>- </w:t>
      </w:r>
      <w:r w:rsidR="003E6C61" w:rsidRPr="004676F5">
        <w:rPr>
          <w:lang w:val="de-DE"/>
        </w:rPr>
        <w:t>Im Rahmen eines Immobiliarhypothekarkredits kann der Verbraucher beim Kreditgeber beantragen, Änderungen der Bedingungen und/oder Sicherheiten an einem laufenden Kreditvertrag vorzunehmen. Dem Kreditgeber steht es frei, einem solchen Antrag stattzugeben.</w:t>
      </w:r>
    </w:p>
    <w:p w14:paraId="5863E7DC" w14:textId="77777777" w:rsidR="003E6C61" w:rsidRPr="004676F5" w:rsidRDefault="003E6C61" w:rsidP="003E6C61">
      <w:pPr>
        <w:ind w:firstLine="708"/>
        <w:jc w:val="both"/>
        <w:rPr>
          <w:lang w:val="de-DE"/>
        </w:rPr>
      </w:pPr>
    </w:p>
    <w:p w14:paraId="0BC2D8B7" w14:textId="77777777" w:rsidR="003E6C61" w:rsidRPr="004676F5" w:rsidRDefault="003E6C61" w:rsidP="003E6C61">
      <w:pPr>
        <w:ind w:firstLine="708"/>
        <w:jc w:val="both"/>
        <w:rPr>
          <w:lang w:val="de-DE"/>
        </w:rPr>
      </w:pPr>
      <w:r w:rsidRPr="004676F5">
        <w:rPr>
          <w:lang w:val="de-DE"/>
        </w:rPr>
        <w:t>Solche Änderungen dürfen sich nur auf Folgendes beziehen:</w:t>
      </w:r>
    </w:p>
    <w:p w14:paraId="4D009D47" w14:textId="77777777" w:rsidR="003E6C61" w:rsidRPr="004676F5" w:rsidRDefault="003E6C61" w:rsidP="003E6C61">
      <w:pPr>
        <w:ind w:firstLine="708"/>
        <w:jc w:val="both"/>
        <w:rPr>
          <w:lang w:val="de-DE"/>
        </w:rPr>
      </w:pPr>
    </w:p>
    <w:p w14:paraId="2B9E7A7F" w14:textId="77777777" w:rsidR="003E6C61" w:rsidRPr="004676F5" w:rsidRDefault="003E6C61" w:rsidP="003E6C61">
      <w:pPr>
        <w:ind w:firstLine="708"/>
        <w:jc w:val="both"/>
        <w:rPr>
          <w:lang w:val="de-DE"/>
        </w:rPr>
      </w:pPr>
      <w:r w:rsidRPr="004676F5">
        <w:rPr>
          <w:lang w:val="de-DE"/>
        </w:rPr>
        <w:t>1. einen neuen periodischen Zinssatz, Verlängerung oder Verkürzung der Laufzeit, Ersetzung einer Rückzahlungsart durch eine andere, zeitweilige Aussetzung der Zahlung von Kapitaltilgungen oder Wiederherstellungsprämien und unbeschadet der Anwendung von Artikel VII.143 und der dort aufgenommenen Einschränkungen Variabilität des periodischen Zinssatzes,</w:t>
      </w:r>
    </w:p>
    <w:p w14:paraId="79CE1B79" w14:textId="77777777" w:rsidR="003E6C61" w:rsidRPr="004676F5" w:rsidRDefault="003E6C61" w:rsidP="003E6C61">
      <w:pPr>
        <w:ind w:firstLine="708"/>
        <w:jc w:val="both"/>
        <w:rPr>
          <w:lang w:val="de-DE"/>
        </w:rPr>
      </w:pPr>
    </w:p>
    <w:p w14:paraId="7300D9C7" w14:textId="77777777" w:rsidR="003E6C61" w:rsidRPr="004676F5" w:rsidRDefault="003E6C61" w:rsidP="003E6C61">
      <w:pPr>
        <w:ind w:firstLine="708"/>
        <w:jc w:val="both"/>
        <w:rPr>
          <w:lang w:val="de-DE"/>
        </w:rPr>
      </w:pPr>
      <w:r w:rsidRPr="004676F5">
        <w:rPr>
          <w:lang w:val="de-DE"/>
        </w:rPr>
        <w:t>2. vollständige oder teilweise Streichung der Eintragung einer Hypothek auf unbewegliche Güter, Ersetzung einer Sicherheit durch eine andere, Bestellung einer zusätzlichen Sicherheit, Erneuerung einer Sicherheit, Befreiung eines Verbrauchers von seinen Kreditverpflichtungen oder Hinzufügung eines neuen Verbrauchers.</w:t>
      </w:r>
    </w:p>
    <w:p w14:paraId="02AFABFF" w14:textId="77777777" w:rsidR="003E6C61" w:rsidRPr="004676F5" w:rsidRDefault="003E6C61" w:rsidP="003E6C61">
      <w:pPr>
        <w:ind w:firstLine="708"/>
        <w:jc w:val="both"/>
        <w:rPr>
          <w:lang w:val="de-DE"/>
        </w:rPr>
      </w:pPr>
    </w:p>
    <w:p w14:paraId="2865FD20" w14:textId="77777777" w:rsidR="003E6C61" w:rsidRPr="004676F5" w:rsidRDefault="003E6C61" w:rsidP="003E6C61">
      <w:pPr>
        <w:ind w:firstLine="708"/>
        <w:jc w:val="both"/>
        <w:rPr>
          <w:lang w:val="de-DE"/>
        </w:rPr>
      </w:pPr>
      <w:r w:rsidRPr="004676F5">
        <w:rPr>
          <w:lang w:val="de-DE"/>
        </w:rPr>
        <w:t>Die in Absatz 2 aufgezählten Änderungen können durch einen im Ministerrat beratenen Königlichen Erlass ergänzt werden.</w:t>
      </w:r>
    </w:p>
    <w:p w14:paraId="6BAC83E6" w14:textId="77777777" w:rsidR="003E6C61" w:rsidRPr="004676F5" w:rsidRDefault="003E6C61" w:rsidP="003E6C61">
      <w:pPr>
        <w:ind w:firstLine="708"/>
        <w:jc w:val="both"/>
        <w:rPr>
          <w:lang w:val="de-DE"/>
        </w:rPr>
      </w:pPr>
    </w:p>
    <w:p w14:paraId="544D0624" w14:textId="77777777" w:rsidR="003E6C61" w:rsidRPr="004676F5" w:rsidRDefault="003E6C61" w:rsidP="003E6C61">
      <w:pPr>
        <w:ind w:firstLine="708"/>
        <w:jc w:val="both"/>
        <w:rPr>
          <w:lang w:val="de-DE"/>
        </w:rPr>
      </w:pPr>
      <w:r w:rsidRPr="004676F5">
        <w:rPr>
          <w:lang w:val="de-DE"/>
        </w:rPr>
        <w:t>Geht der Kreditgeber auf diesen Antrag ein, legt er dem Verbraucher ein Kreditangebot vor, das auf die Änderungen im Vergleich zum laufenden Kreditvertrag beschränkt ist.</w:t>
      </w:r>
    </w:p>
    <w:p w14:paraId="29F16906" w14:textId="77777777" w:rsidR="003E6C61" w:rsidRPr="004676F5" w:rsidRDefault="003E6C61" w:rsidP="003E6C61">
      <w:pPr>
        <w:ind w:firstLine="708"/>
        <w:jc w:val="both"/>
        <w:rPr>
          <w:lang w:val="de-DE"/>
        </w:rPr>
      </w:pPr>
    </w:p>
    <w:p w14:paraId="2D56CBC5" w14:textId="77777777" w:rsidR="003E6C61" w:rsidRPr="004676F5" w:rsidRDefault="003E6C61" w:rsidP="003E6C61">
      <w:pPr>
        <w:ind w:firstLine="708"/>
        <w:jc w:val="both"/>
        <w:rPr>
          <w:lang w:val="de-DE"/>
        </w:rPr>
      </w:pPr>
      <w:r w:rsidRPr="004676F5">
        <w:rPr>
          <w:lang w:val="de-DE"/>
        </w:rPr>
        <w:lastRenderedPageBreak/>
        <w:t>Artikel VII.133 ist entsprechend anwendbar.</w:t>
      </w:r>
    </w:p>
    <w:p w14:paraId="75D40E11" w14:textId="77777777" w:rsidR="003E6C61" w:rsidRPr="004676F5" w:rsidRDefault="003E6C61" w:rsidP="003E6C61">
      <w:pPr>
        <w:ind w:firstLine="708"/>
        <w:jc w:val="both"/>
        <w:rPr>
          <w:lang w:val="de-DE"/>
        </w:rPr>
      </w:pPr>
    </w:p>
    <w:p w14:paraId="632CA9A5" w14:textId="77777777" w:rsidR="003E6C61" w:rsidRPr="004676F5" w:rsidRDefault="003E6C61" w:rsidP="003E6C61">
      <w:pPr>
        <w:ind w:firstLine="708"/>
        <w:jc w:val="both"/>
        <w:rPr>
          <w:lang w:val="de-DE"/>
        </w:rPr>
      </w:pPr>
      <w:r w:rsidRPr="004676F5">
        <w:rPr>
          <w:lang w:val="de-DE"/>
        </w:rPr>
        <w:t>Für Änderungen an laufenden Kreditverträgen und wenn ein Verbraucher Duplikate bereits ausgestellter Dokumente beantragt, kann der Kreditgeber auf der Grundlage des zum Zeitpunkt der Beantragung seitens des Verbrauchers geltenden Tarifs Bearbeitungsgebühren anrechnen, nachdem der Verbraucher das Kreditangebot angenommen hat. Der Kreditgeber verweist in seinem Angebot auf den geltenden Tarif. Der König kann eine Methode zur Festlegung maximaler Bearbeitungsgebühren und gegebenenfalls zur Anpassung derart festgelegter Höchstbeträge bestimmen.</w:t>
      </w:r>
    </w:p>
    <w:p w14:paraId="4375085E" w14:textId="77777777" w:rsidR="003E6C61" w:rsidRPr="004676F5" w:rsidRDefault="003E6C61" w:rsidP="003E6C61">
      <w:pPr>
        <w:ind w:firstLine="708"/>
        <w:jc w:val="both"/>
        <w:rPr>
          <w:lang w:val="de-DE"/>
        </w:rPr>
      </w:pPr>
    </w:p>
    <w:p w14:paraId="7BCEC76D" w14:textId="77777777" w:rsidR="003E6C61" w:rsidRPr="004676F5" w:rsidRDefault="003E6C61" w:rsidP="003E6C61">
      <w:pPr>
        <w:ind w:firstLine="708"/>
        <w:jc w:val="both"/>
        <w:rPr>
          <w:lang w:val="de-DE"/>
        </w:rPr>
      </w:pPr>
      <w:r w:rsidRPr="004676F5">
        <w:rPr>
          <w:lang w:val="de-DE"/>
        </w:rPr>
        <w:t>Ein Kreditgeber kann Bearbeitungsgebühren anrechnen, wenn der Verbraucher vertraglich vorgesehene Optionen in Anspruch nimmt, sofern im Kreditvertrag die Anrechnung solcher Bearbeitungsgebühren vorgesehen ist. Der König kann eine Methode zur Festlegung maximaler Bearbeitungsgebühren und gegebenenfalls zur Anpassung derart festgelegter Höchstbeträge bestimmen.</w:t>
      </w:r>
    </w:p>
    <w:p w14:paraId="46C5932A" w14:textId="77777777" w:rsidR="003E6C61" w:rsidRPr="004676F5" w:rsidRDefault="003E6C61" w:rsidP="003E6C61">
      <w:pPr>
        <w:jc w:val="both"/>
        <w:rPr>
          <w:lang w:val="de-DE"/>
        </w:rPr>
      </w:pPr>
    </w:p>
    <w:p w14:paraId="39366BC0" w14:textId="07042CE2" w:rsidR="00927837" w:rsidRPr="004676F5" w:rsidRDefault="00927837">
      <w:pPr>
        <w:rPr>
          <w:lang w:val="de-DE"/>
        </w:rPr>
      </w:pPr>
    </w:p>
    <w:p w14:paraId="629DBE99" w14:textId="1914420B" w:rsidR="003E6C61" w:rsidRPr="004676F5" w:rsidRDefault="003E6C61" w:rsidP="003E6C61">
      <w:pPr>
        <w:jc w:val="center"/>
        <w:rPr>
          <w:lang w:val="de-DE"/>
        </w:rPr>
      </w:pPr>
      <w:r w:rsidRPr="004676F5">
        <w:rPr>
          <w:lang w:val="de-DE"/>
        </w:rPr>
        <w:t>Unterabschnitt 3 </w:t>
      </w:r>
      <w:r w:rsidR="005B7A5C" w:rsidRPr="004676F5">
        <w:rPr>
          <w:lang w:val="de-DE"/>
        </w:rPr>
        <w:t>- </w:t>
      </w:r>
      <w:r w:rsidRPr="004676F5">
        <w:rPr>
          <w:lang w:val="de-DE"/>
        </w:rPr>
        <w:t>Nebenleistungen</w:t>
      </w:r>
    </w:p>
    <w:p w14:paraId="58A5EC97" w14:textId="77777777" w:rsidR="003E6C61" w:rsidRPr="004676F5" w:rsidRDefault="003E6C61" w:rsidP="003E6C61">
      <w:pPr>
        <w:jc w:val="both"/>
        <w:rPr>
          <w:lang w:val="de-DE"/>
        </w:rPr>
      </w:pPr>
    </w:p>
    <w:p w14:paraId="7072441B" w14:textId="77777777" w:rsidR="002E20BA" w:rsidRPr="004676F5" w:rsidRDefault="002E20BA" w:rsidP="003E6C61">
      <w:pPr>
        <w:jc w:val="both"/>
        <w:rPr>
          <w:lang w:val="de-DE"/>
        </w:rPr>
      </w:pPr>
    </w:p>
    <w:p w14:paraId="6AABA52F" w14:textId="19667D6C" w:rsidR="003E6C61" w:rsidRPr="004676F5" w:rsidRDefault="00BE0A56" w:rsidP="003E6C61">
      <w:pPr>
        <w:ind w:firstLine="708"/>
        <w:jc w:val="both"/>
        <w:rPr>
          <w:lang w:val="de-DE"/>
        </w:rPr>
      </w:pPr>
      <w:r w:rsidRPr="004676F5">
        <w:rPr>
          <w:b/>
          <w:lang w:val="de-DE"/>
        </w:rPr>
        <w:t>Art. </w:t>
      </w:r>
      <w:r w:rsidR="003E6C61" w:rsidRPr="004676F5">
        <w:rPr>
          <w:b/>
          <w:lang w:val="de-DE"/>
        </w:rPr>
        <w:t>VII.146</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Im Sinne des und im Hinblick auf die Anwendung des vorliegenden Kapitels liegt ein Zusatzvertrag vor, wenn der Verbraucher in Ausführung einer Bedingung des zur Finanzierung des Erwerbs oder der Aufrechterhaltung von dinglichen Rechten an einem unbeweglichen Gut bestimmten Kreditvertrags, deren Nichterfüllung die Fälligkeit des aufgenommenen Kreditbetrags zur Folge haben könnte, einen Versicherungsvertrag abschließt oder aufrechterhält</w:t>
      </w:r>
      <w:r w:rsidR="00927837" w:rsidRPr="004676F5">
        <w:rPr>
          <w:lang w:val="de-DE"/>
        </w:rPr>
        <w:t>[, gegebenenfalls nach Ersetzung durch einen gleichwertigen Zusatzvertrag, der mit dem Anbieter des Verbrauchers abgeschlossen wird]</w:t>
      </w:r>
      <w:r w:rsidR="003E6C61" w:rsidRPr="004676F5">
        <w:rPr>
          <w:lang w:val="de-DE"/>
        </w:rPr>
        <w:t>.</w:t>
      </w:r>
    </w:p>
    <w:p w14:paraId="55ECF322" w14:textId="77777777" w:rsidR="003E6C61" w:rsidRPr="004676F5" w:rsidRDefault="003E6C61" w:rsidP="003E6C61">
      <w:pPr>
        <w:ind w:firstLine="708"/>
        <w:jc w:val="both"/>
        <w:rPr>
          <w:lang w:val="de-DE"/>
        </w:rPr>
      </w:pPr>
    </w:p>
    <w:p w14:paraId="7E38513D" w14:textId="77777777" w:rsidR="003E6C61" w:rsidRPr="004676F5" w:rsidRDefault="003E6C61" w:rsidP="003E6C61">
      <w:pPr>
        <w:ind w:firstLine="708"/>
        <w:jc w:val="both"/>
        <w:rPr>
          <w:lang w:val="de-DE"/>
        </w:rPr>
      </w:pPr>
      <w:r w:rsidRPr="004676F5">
        <w:rPr>
          <w:lang w:val="de-DE"/>
        </w:rPr>
        <w:t>Bei diesem Zusatzvertrag darf es sich nur handeln um:</w:t>
      </w:r>
    </w:p>
    <w:p w14:paraId="519194F5" w14:textId="77777777" w:rsidR="003E6C61" w:rsidRPr="004676F5" w:rsidRDefault="003E6C61" w:rsidP="003E6C61">
      <w:pPr>
        <w:ind w:firstLine="708"/>
        <w:jc w:val="both"/>
        <w:rPr>
          <w:lang w:val="de-DE"/>
        </w:rPr>
      </w:pPr>
    </w:p>
    <w:p w14:paraId="590C6853" w14:textId="77777777" w:rsidR="003E6C61" w:rsidRPr="004676F5" w:rsidRDefault="003E6C61" w:rsidP="003E6C61">
      <w:pPr>
        <w:ind w:firstLine="708"/>
        <w:jc w:val="both"/>
        <w:rPr>
          <w:lang w:val="de-DE"/>
        </w:rPr>
      </w:pPr>
      <w:r w:rsidRPr="004676F5">
        <w:rPr>
          <w:lang w:val="de-DE"/>
        </w:rPr>
        <w:t>1. eine Restschuldversicherung oder eine zeitweilige Todesfallversicherung mit festem Kapital, die das Todesfallrisiko deckt, wenn keine Kapitaltilgung erfolgt, die vereinbarungs</w:t>
      </w:r>
      <w:r w:rsidRPr="004676F5">
        <w:rPr>
          <w:lang w:val="de-DE"/>
        </w:rPr>
        <w:softHyphen/>
        <w:t>gemäß die Rückzahlung des Kredits gewährleisten,</w:t>
      </w:r>
    </w:p>
    <w:p w14:paraId="4C0B1284" w14:textId="77777777" w:rsidR="003E6C61" w:rsidRPr="004676F5" w:rsidRDefault="003E6C61" w:rsidP="003E6C61">
      <w:pPr>
        <w:ind w:firstLine="708"/>
        <w:jc w:val="both"/>
        <w:rPr>
          <w:lang w:val="de-DE"/>
        </w:rPr>
      </w:pPr>
    </w:p>
    <w:p w14:paraId="5FD22E0A" w14:textId="77777777" w:rsidR="003E6C61" w:rsidRPr="004676F5" w:rsidRDefault="003E6C61" w:rsidP="003E6C61">
      <w:pPr>
        <w:ind w:firstLine="708"/>
        <w:jc w:val="both"/>
        <w:rPr>
          <w:lang w:val="de-DE"/>
        </w:rPr>
      </w:pPr>
      <w:r w:rsidRPr="004676F5">
        <w:rPr>
          <w:lang w:val="de-DE"/>
        </w:rPr>
        <w:t>2. eine Versicherung, die das Risiko der Beschädigung des als Sicherheit angebotenen unbeweglichen Guts deckt,</w:t>
      </w:r>
    </w:p>
    <w:p w14:paraId="1D3D188A" w14:textId="77777777" w:rsidR="003E6C61" w:rsidRPr="004676F5" w:rsidRDefault="003E6C61" w:rsidP="003E6C61">
      <w:pPr>
        <w:ind w:firstLine="708"/>
        <w:jc w:val="both"/>
        <w:rPr>
          <w:lang w:val="de-DE"/>
        </w:rPr>
      </w:pPr>
    </w:p>
    <w:p w14:paraId="4BE336FB" w14:textId="77777777" w:rsidR="003E6C61" w:rsidRPr="004676F5" w:rsidRDefault="003E6C61" w:rsidP="003E6C61">
      <w:pPr>
        <w:ind w:firstLine="708"/>
        <w:jc w:val="both"/>
        <w:rPr>
          <w:lang w:val="de-DE"/>
        </w:rPr>
      </w:pPr>
      <w:r w:rsidRPr="004676F5">
        <w:rPr>
          <w:lang w:val="de-DE"/>
        </w:rPr>
        <w:t>3. eine Kautionsversicherung.</w:t>
      </w:r>
    </w:p>
    <w:p w14:paraId="66C114A5" w14:textId="77777777" w:rsidR="003E6C61" w:rsidRPr="004676F5" w:rsidRDefault="003E6C61" w:rsidP="003E6C61">
      <w:pPr>
        <w:ind w:firstLine="708"/>
        <w:jc w:val="both"/>
        <w:rPr>
          <w:lang w:val="de-DE"/>
        </w:rPr>
      </w:pPr>
    </w:p>
    <w:p w14:paraId="1841F980" w14:textId="62168B3E"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Der Kreditgeber darf sich im Kreditvertrag nicht das Recht vorbehalten, während der Laufzeit des Vertrags eine Erhöhung der Deckung aufzuerlegen.</w:t>
      </w:r>
    </w:p>
    <w:p w14:paraId="360D6B22" w14:textId="77777777" w:rsidR="003E6C61" w:rsidRPr="004676F5" w:rsidRDefault="003E6C61" w:rsidP="003E6C61">
      <w:pPr>
        <w:ind w:firstLine="708"/>
        <w:jc w:val="both"/>
        <w:rPr>
          <w:lang w:val="de-DE"/>
        </w:rPr>
      </w:pPr>
    </w:p>
    <w:p w14:paraId="3BD3C3B4" w14:textId="77777777" w:rsidR="003E6C61" w:rsidRPr="004676F5" w:rsidRDefault="003E6C61" w:rsidP="003E6C61">
      <w:pPr>
        <w:ind w:firstLine="708"/>
        <w:jc w:val="both"/>
        <w:rPr>
          <w:lang w:val="de-DE"/>
        </w:rPr>
      </w:pPr>
      <w:r w:rsidRPr="004676F5">
        <w:rPr>
          <w:lang w:val="de-DE"/>
        </w:rPr>
        <w:t>Der Kreditgeber darf den Verbraucher unbeschadet der Anwendung von Artikel VII.147 § 1 Absatz 1 weder unmittelbar noch mittelbar verpflichten, den Zusatzvertrag bei einem vom Kreditgeber bestimmten Versicherer abzuschließen.</w:t>
      </w:r>
    </w:p>
    <w:p w14:paraId="4607ADC0" w14:textId="77777777" w:rsidR="003E6C61" w:rsidRPr="004676F5" w:rsidRDefault="003E6C61" w:rsidP="003E6C61">
      <w:pPr>
        <w:ind w:firstLine="708"/>
        <w:jc w:val="both"/>
        <w:rPr>
          <w:lang w:val="de-DE"/>
        </w:rPr>
      </w:pPr>
    </w:p>
    <w:p w14:paraId="2FA18507" w14:textId="1AA1A382"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Besteht ein Zusatzvertrag über eine Restschuldversicherung oder eine zeitweilige Todesfallversicherung mit festem Kapital, die das Todesfallrisiko deckt, wenn keine Kapitaltilgung erfolgt, wird das versicherte Kapital im Todesfall des Versicherten verwendet, um die Restschuld zurückzuzahlen und gegebenenfalls aufgelaufene und noch nicht fällige Zinsen zu zahlen.</w:t>
      </w:r>
    </w:p>
    <w:p w14:paraId="6279350F" w14:textId="77777777" w:rsidR="003E6C61" w:rsidRPr="004676F5" w:rsidRDefault="003E6C61" w:rsidP="003E6C61">
      <w:pPr>
        <w:ind w:firstLine="708"/>
        <w:jc w:val="both"/>
        <w:rPr>
          <w:lang w:val="de-DE"/>
        </w:rPr>
      </w:pPr>
    </w:p>
    <w:p w14:paraId="5EF56048" w14:textId="77777777" w:rsidR="003E6C61" w:rsidRPr="004676F5" w:rsidRDefault="003E6C61" w:rsidP="003E6C61">
      <w:pPr>
        <w:ind w:firstLine="708"/>
        <w:jc w:val="both"/>
        <w:rPr>
          <w:lang w:val="de-DE"/>
        </w:rPr>
      </w:pPr>
      <w:r w:rsidRPr="004676F5">
        <w:rPr>
          <w:lang w:val="de-DE"/>
        </w:rPr>
        <w:lastRenderedPageBreak/>
        <w:t>Übersteigt das Kapital einer solchen Versicherung die Restschuld, darf der Verbraucher dieses Kapital jederzeit auf den entsprechenden Betrag verringern.</w:t>
      </w:r>
    </w:p>
    <w:p w14:paraId="067B9036" w14:textId="77777777" w:rsidR="003E6C61" w:rsidRPr="004676F5" w:rsidRDefault="003E6C61" w:rsidP="003E6C61">
      <w:pPr>
        <w:ind w:firstLine="708"/>
        <w:jc w:val="both"/>
        <w:rPr>
          <w:lang w:val="de-DE"/>
        </w:rPr>
      </w:pPr>
    </w:p>
    <w:p w14:paraId="4D582A3A" w14:textId="77777777" w:rsidR="003E6C61" w:rsidRPr="004676F5" w:rsidRDefault="003E6C61" w:rsidP="003E6C61">
      <w:pPr>
        <w:ind w:firstLine="708"/>
        <w:jc w:val="both"/>
        <w:rPr>
          <w:lang w:val="de-DE"/>
        </w:rPr>
      </w:pPr>
      <w:r w:rsidRPr="004676F5">
        <w:rPr>
          <w:lang w:val="de-DE"/>
        </w:rPr>
        <w:t>Bezieht die Versicherung sich nur auf einen Teil des Kreditkapitals, werden dieselben Regeln verhältnisgleich angewandt.</w:t>
      </w:r>
    </w:p>
    <w:p w14:paraId="4A58DF44" w14:textId="77777777" w:rsidR="003E6C61" w:rsidRPr="004676F5" w:rsidRDefault="003E6C61" w:rsidP="003E6C61">
      <w:pPr>
        <w:ind w:firstLine="708"/>
        <w:jc w:val="both"/>
        <w:rPr>
          <w:lang w:val="de-DE"/>
        </w:rPr>
      </w:pPr>
    </w:p>
    <w:p w14:paraId="4E7A18A2" w14:textId="1B4AD544"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Besteht ein Zusatzvertrag, muss Folgendes in dem vom Kreditgeber und vom Verbraucher unterzeichneten Dokument festgelegt werden:</w:t>
      </w:r>
    </w:p>
    <w:p w14:paraId="3D0FCC07" w14:textId="77777777" w:rsidR="003E6C61" w:rsidRPr="004676F5" w:rsidRDefault="003E6C61" w:rsidP="003E6C61">
      <w:pPr>
        <w:ind w:firstLine="708"/>
        <w:jc w:val="both"/>
        <w:rPr>
          <w:lang w:val="de-DE"/>
        </w:rPr>
      </w:pPr>
    </w:p>
    <w:p w14:paraId="221305D5" w14:textId="77777777" w:rsidR="003E6C61" w:rsidRPr="004676F5" w:rsidRDefault="003E6C61" w:rsidP="003E6C61">
      <w:pPr>
        <w:ind w:firstLine="708"/>
        <w:jc w:val="both"/>
        <w:rPr>
          <w:lang w:val="de-DE"/>
        </w:rPr>
      </w:pPr>
      <w:r w:rsidRPr="004676F5">
        <w:rPr>
          <w:lang w:val="de-DE"/>
        </w:rPr>
        <w:t>1. Kredit, auf den der Zusatzvertrag sich bezieht,</w:t>
      </w:r>
    </w:p>
    <w:p w14:paraId="4ED37553" w14:textId="77777777" w:rsidR="003E6C61" w:rsidRPr="004676F5" w:rsidRDefault="003E6C61" w:rsidP="003E6C61">
      <w:pPr>
        <w:ind w:firstLine="708"/>
        <w:jc w:val="both"/>
        <w:rPr>
          <w:lang w:val="de-DE"/>
        </w:rPr>
      </w:pPr>
    </w:p>
    <w:p w14:paraId="2148CCCB" w14:textId="77777777" w:rsidR="003E6C61" w:rsidRPr="004676F5" w:rsidRDefault="003E6C61" w:rsidP="003E6C61">
      <w:pPr>
        <w:ind w:firstLine="708"/>
        <w:jc w:val="both"/>
        <w:rPr>
          <w:lang w:val="de-DE"/>
        </w:rPr>
      </w:pPr>
      <w:r w:rsidRPr="004676F5">
        <w:rPr>
          <w:lang w:val="de-DE"/>
        </w:rPr>
        <w:t>2. Annahme seitens des Kreditgebers des Versicherungsvertrags als Zusatzvertrag,</w:t>
      </w:r>
    </w:p>
    <w:p w14:paraId="00E540D8" w14:textId="77777777" w:rsidR="003E6C61" w:rsidRPr="004676F5" w:rsidRDefault="003E6C61" w:rsidP="003E6C61">
      <w:pPr>
        <w:ind w:firstLine="708"/>
        <w:jc w:val="both"/>
        <w:rPr>
          <w:lang w:val="de-DE"/>
        </w:rPr>
      </w:pPr>
    </w:p>
    <w:p w14:paraId="75F561AD" w14:textId="77777777" w:rsidR="003E6C61" w:rsidRPr="004676F5" w:rsidRDefault="003E6C61" w:rsidP="003E6C61">
      <w:pPr>
        <w:ind w:firstLine="708"/>
        <w:jc w:val="both"/>
        <w:rPr>
          <w:lang w:val="de-DE"/>
        </w:rPr>
      </w:pPr>
      <w:r w:rsidRPr="004676F5">
        <w:rPr>
          <w:lang w:val="de-DE"/>
        </w:rPr>
        <w:t>3. vom Verbraucher aufgrund des Zusatzvertrags getragene Verpflichtungen.</w:t>
      </w:r>
    </w:p>
    <w:p w14:paraId="61B1276D" w14:textId="77777777" w:rsidR="003E6C61" w:rsidRPr="004676F5" w:rsidRDefault="003E6C61" w:rsidP="00927837">
      <w:pPr>
        <w:jc w:val="both"/>
        <w:rPr>
          <w:lang w:val="de-DE"/>
        </w:rPr>
      </w:pPr>
    </w:p>
    <w:p w14:paraId="6409C16D" w14:textId="1DDEAD14" w:rsidR="00927837" w:rsidRPr="004676F5" w:rsidRDefault="00927837" w:rsidP="00927837">
      <w:pPr>
        <w:jc w:val="both"/>
        <w:rPr>
          <w:i/>
          <w:iCs/>
          <w:lang w:val="de-DE"/>
        </w:rPr>
      </w:pPr>
      <w:r w:rsidRPr="004676F5">
        <w:rPr>
          <w:i/>
          <w:iCs/>
          <w:lang w:val="de-DE"/>
        </w:rPr>
        <w:t>[Art. VII.1</w:t>
      </w:r>
      <w:r w:rsidR="004D3716" w:rsidRPr="004676F5">
        <w:rPr>
          <w:i/>
          <w:iCs/>
          <w:lang w:val="de-DE"/>
        </w:rPr>
        <w:t>4</w:t>
      </w:r>
      <w:r w:rsidRPr="004676F5">
        <w:rPr>
          <w:i/>
          <w:iCs/>
          <w:lang w:val="de-DE"/>
        </w:rPr>
        <w:t>6 § 1 Abs. 1 abgeändert durch Art. 20 des G. vom 5. November 2023</w:t>
      </w:r>
      <w:r w:rsidR="003454B3" w:rsidRPr="004676F5">
        <w:rPr>
          <w:i/>
          <w:iCs/>
          <w:lang w:val="de-DE"/>
        </w:rPr>
        <w:t xml:space="preserve"> (I)</w:t>
      </w:r>
      <w:r w:rsidRPr="004676F5">
        <w:rPr>
          <w:i/>
          <w:iCs/>
          <w:lang w:val="de-DE"/>
        </w:rPr>
        <w:t xml:space="preserve"> (B.S. vom 11. Dezember 2023)]</w:t>
      </w:r>
    </w:p>
    <w:p w14:paraId="64427675" w14:textId="77777777" w:rsidR="002E20BA" w:rsidRPr="004676F5" w:rsidRDefault="002E20BA" w:rsidP="003E6C61">
      <w:pPr>
        <w:ind w:firstLine="708"/>
        <w:jc w:val="both"/>
        <w:rPr>
          <w:lang w:val="de-DE"/>
        </w:rPr>
      </w:pPr>
    </w:p>
    <w:p w14:paraId="074498E0" w14:textId="77777777" w:rsidR="00927837" w:rsidRPr="004676F5" w:rsidRDefault="00927837" w:rsidP="003E6C61">
      <w:pPr>
        <w:ind w:firstLine="708"/>
        <w:jc w:val="both"/>
        <w:rPr>
          <w:lang w:val="de-DE"/>
        </w:rPr>
      </w:pPr>
    </w:p>
    <w:p w14:paraId="16B9ADB4" w14:textId="1AC93E91" w:rsidR="003E6C61" w:rsidRPr="004676F5" w:rsidRDefault="00BE0A56" w:rsidP="00927837">
      <w:pPr>
        <w:ind w:firstLine="708"/>
        <w:jc w:val="both"/>
        <w:rPr>
          <w:lang w:val="de-DE"/>
        </w:rPr>
      </w:pPr>
      <w:r w:rsidRPr="004676F5">
        <w:rPr>
          <w:b/>
          <w:lang w:val="de-DE"/>
        </w:rPr>
        <w:t>Art. </w:t>
      </w:r>
      <w:r w:rsidR="003E6C61" w:rsidRPr="004676F5">
        <w:rPr>
          <w:b/>
          <w:lang w:val="de-DE"/>
        </w:rPr>
        <w:t>VII.147</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927837" w:rsidRPr="004676F5">
        <w:rPr>
          <w:lang w:val="de-DE"/>
        </w:rPr>
        <w:t>[Kopplungsgeschäfte sind untersagt. Kreditgeber und Kreditvermittler dürfen im Rahmen des Abschlusses eines Kreditvertrags den Verbraucher auch nicht dazu verpflichten, einen anderen Vertrag bei dem Kreditgeber, dem Kreditvermittler oder einem von ihnen bestimmten Dritten zu unterzeichnen, es sei denn, es handelt sich um ein Bündelungsgeschäfts.]</w:t>
      </w:r>
    </w:p>
    <w:p w14:paraId="6F9C2EBE" w14:textId="77777777" w:rsidR="00927837" w:rsidRPr="004676F5" w:rsidRDefault="00927837" w:rsidP="00927837">
      <w:pPr>
        <w:ind w:firstLine="708"/>
        <w:jc w:val="both"/>
        <w:rPr>
          <w:lang w:val="de-DE"/>
        </w:rPr>
      </w:pPr>
    </w:p>
    <w:p w14:paraId="6CC5DD5F" w14:textId="66FBE4AD" w:rsidR="00927837" w:rsidRPr="004676F5" w:rsidRDefault="00927837" w:rsidP="00927837">
      <w:pPr>
        <w:ind w:firstLine="708"/>
        <w:jc w:val="both"/>
        <w:rPr>
          <w:lang w:val="de-DE"/>
        </w:rPr>
      </w:pPr>
      <w:r w:rsidRPr="004676F5">
        <w:rPr>
          <w:lang w:val="de-DE"/>
        </w:rPr>
        <w:t>[§ 1/1 - Eine bedingte Ermäßigung, die die Kreditkosten und insbesondere den Sollzinssatz betrifft und die im Rahmen eines Bündelungsgeschäfts gewährt wird, ist nur für eine der in Artikel VII.146 § 1 Absatz 2 erwähnten Versicherungen - ohne dass es sich dabei notwendigerweise um einen Zusatzvertrag handelt - und für ein Zahlungskonto wie in Artikel I.9 Nr. 8 bestimmt erlaubt.</w:t>
      </w:r>
    </w:p>
    <w:p w14:paraId="7DCA8470" w14:textId="77777777" w:rsidR="00927837" w:rsidRPr="004676F5" w:rsidRDefault="00927837" w:rsidP="00927837">
      <w:pPr>
        <w:jc w:val="both"/>
        <w:rPr>
          <w:lang w:val="de-DE"/>
        </w:rPr>
      </w:pPr>
    </w:p>
    <w:p w14:paraId="5D47B180" w14:textId="77777777" w:rsidR="00927837" w:rsidRPr="004676F5" w:rsidRDefault="00927837" w:rsidP="00927837">
      <w:pPr>
        <w:jc w:val="both"/>
        <w:rPr>
          <w:lang w:val="de-DE"/>
        </w:rPr>
      </w:pPr>
      <w:r w:rsidRPr="004676F5">
        <w:rPr>
          <w:lang w:val="de-DE"/>
        </w:rPr>
        <w:tab/>
        <w:t>Die bedingte Ermäßigung wird für jede Bedingung getrennt angeboten und im Kreditvertrag angegeben.</w:t>
      </w:r>
    </w:p>
    <w:p w14:paraId="22715C3C" w14:textId="77777777" w:rsidR="00927837" w:rsidRPr="004676F5" w:rsidRDefault="00927837" w:rsidP="00927837">
      <w:pPr>
        <w:jc w:val="both"/>
        <w:rPr>
          <w:lang w:val="de-DE"/>
        </w:rPr>
      </w:pPr>
    </w:p>
    <w:p w14:paraId="71EC3060" w14:textId="77777777" w:rsidR="00927837" w:rsidRPr="004676F5" w:rsidRDefault="00927837" w:rsidP="00927837">
      <w:pPr>
        <w:jc w:val="both"/>
        <w:rPr>
          <w:lang w:val="de-DE"/>
        </w:rPr>
      </w:pPr>
      <w:r w:rsidRPr="004676F5">
        <w:rPr>
          <w:lang w:val="de-DE"/>
        </w:rPr>
        <w:tab/>
        <w:t>Der Kreditgeber oder gegebenenfalls der Kreditvermittler darf dem Verbraucher bei Abschluss des Kreditvertrags keinen Vermittler für den bestimmten Anbieter vorschreiben, um bei einem Bündelungsgeschäft die bedingte Ermäßigung behalten zu können.</w:t>
      </w:r>
    </w:p>
    <w:p w14:paraId="0D08D720" w14:textId="77777777" w:rsidR="00927837" w:rsidRPr="004676F5" w:rsidRDefault="00927837" w:rsidP="00927837">
      <w:pPr>
        <w:jc w:val="both"/>
        <w:rPr>
          <w:lang w:val="de-DE"/>
        </w:rPr>
      </w:pPr>
    </w:p>
    <w:p w14:paraId="2731B108" w14:textId="77777777" w:rsidR="00927837" w:rsidRPr="004676F5" w:rsidRDefault="00927837" w:rsidP="00927837">
      <w:pPr>
        <w:jc w:val="both"/>
        <w:rPr>
          <w:lang w:val="de-DE"/>
        </w:rPr>
      </w:pPr>
      <w:r w:rsidRPr="004676F5">
        <w:rPr>
          <w:lang w:val="de-DE"/>
        </w:rPr>
        <w:tab/>
        <w:t>Bei einer bedingten Ermäßigung ist der Kreditgeber verpflichtet, den ermäßigten Zinssatz des Kreditvertrags ohne zusätzliche Kosten beizubehalten, falls der Verbraucher von seinem Recht Gebrauch macht, nach dem ersten Drittel der Gesamtlaufzeit des Kreditvertrags zu einem anderen Anbieter seiner Wahl zu wechseln.</w:t>
      </w:r>
    </w:p>
    <w:p w14:paraId="3861418B" w14:textId="77777777" w:rsidR="00927837" w:rsidRPr="004676F5" w:rsidRDefault="00927837" w:rsidP="00927837">
      <w:pPr>
        <w:jc w:val="both"/>
        <w:rPr>
          <w:lang w:val="de-DE"/>
        </w:rPr>
      </w:pPr>
    </w:p>
    <w:p w14:paraId="061C4FD6" w14:textId="77777777" w:rsidR="00927837" w:rsidRPr="004676F5" w:rsidRDefault="00927837" w:rsidP="00927837">
      <w:pPr>
        <w:jc w:val="both"/>
        <w:rPr>
          <w:lang w:val="de-DE"/>
        </w:rPr>
      </w:pPr>
      <w:r w:rsidRPr="004676F5">
        <w:rPr>
          <w:lang w:val="de-DE"/>
        </w:rPr>
        <w:tab/>
        <w:t>Absatz 4 gilt nicht für einen Zeitraum, der dem ersten Drittel der Gesamtlaufzeit eines Hypothekarkreditvertrags entspricht, der auf den Abschluss des Kreditvertrags folgt, es sei denn, in diesem Zeitraum:</w:t>
      </w:r>
    </w:p>
    <w:p w14:paraId="072F6C29" w14:textId="77777777" w:rsidR="00927837" w:rsidRPr="004676F5" w:rsidRDefault="00927837" w:rsidP="00927837">
      <w:pPr>
        <w:jc w:val="both"/>
        <w:rPr>
          <w:lang w:val="de-DE"/>
        </w:rPr>
      </w:pPr>
    </w:p>
    <w:p w14:paraId="415502D6" w14:textId="77777777" w:rsidR="00927837" w:rsidRPr="004676F5" w:rsidRDefault="00927837" w:rsidP="00927837">
      <w:pPr>
        <w:jc w:val="both"/>
        <w:rPr>
          <w:lang w:val="de-DE"/>
        </w:rPr>
      </w:pPr>
      <w:r w:rsidRPr="004676F5">
        <w:rPr>
          <w:lang w:val="de-DE"/>
        </w:rPr>
        <w:tab/>
        <w:t>1. nimmt der Versicherer eine Tariferhöhung vor, wobei die Anwendung des ABEX-Indexes auf den Versicherungswert keine Tariferhöhung im Sinne der vorliegenden Bestimmung darstellt,</w:t>
      </w:r>
    </w:p>
    <w:p w14:paraId="755AB071" w14:textId="77777777" w:rsidR="00927837" w:rsidRPr="004676F5" w:rsidRDefault="00927837" w:rsidP="00927837">
      <w:pPr>
        <w:jc w:val="both"/>
        <w:rPr>
          <w:lang w:val="de-DE"/>
        </w:rPr>
      </w:pPr>
    </w:p>
    <w:p w14:paraId="332FE40D" w14:textId="77777777" w:rsidR="00927837" w:rsidRPr="004676F5" w:rsidRDefault="00927837" w:rsidP="00927837">
      <w:pPr>
        <w:jc w:val="both"/>
        <w:rPr>
          <w:lang w:val="de-DE"/>
        </w:rPr>
      </w:pPr>
      <w:r w:rsidRPr="004676F5">
        <w:rPr>
          <w:lang w:val="de-DE"/>
        </w:rPr>
        <w:lastRenderedPageBreak/>
        <w:tab/>
        <w:t>2. wird die in Absatz 1 erwähnte Versicherung nach Eintritt eines Schadensfalls gekündigt,</w:t>
      </w:r>
    </w:p>
    <w:p w14:paraId="4F4C8A15" w14:textId="77777777" w:rsidR="00927837" w:rsidRPr="004676F5" w:rsidRDefault="00927837" w:rsidP="00927837">
      <w:pPr>
        <w:jc w:val="both"/>
        <w:rPr>
          <w:lang w:val="de-DE"/>
        </w:rPr>
      </w:pPr>
    </w:p>
    <w:p w14:paraId="465A2CC8" w14:textId="77777777" w:rsidR="00927837" w:rsidRPr="004676F5" w:rsidRDefault="00927837" w:rsidP="00927837">
      <w:pPr>
        <w:jc w:val="both"/>
        <w:rPr>
          <w:lang w:val="de-DE"/>
        </w:rPr>
      </w:pPr>
      <w:r w:rsidRPr="004676F5">
        <w:rPr>
          <w:lang w:val="de-DE"/>
        </w:rPr>
        <w:tab/>
        <w:t>3. beendet der Verbraucher im Rahmen eines Kontowechsel-Services gemäß Buch VII Titel 3 Kapitel 9/1 den Rahmenvertrag für sein Zahlungskonto, der Teil des Bündelungs</w:t>
      </w:r>
      <w:r w:rsidRPr="004676F5">
        <w:rPr>
          <w:lang w:val="de-DE"/>
        </w:rPr>
        <w:softHyphen/>
        <w:t>geschäfts ist, das zu der bedingten Ermäßigung geführt hat.</w:t>
      </w:r>
    </w:p>
    <w:p w14:paraId="0C74D6BE" w14:textId="77777777" w:rsidR="00927837" w:rsidRPr="004676F5" w:rsidRDefault="00927837" w:rsidP="00927837">
      <w:pPr>
        <w:jc w:val="both"/>
        <w:rPr>
          <w:lang w:val="de-DE"/>
        </w:rPr>
      </w:pPr>
    </w:p>
    <w:p w14:paraId="795EE194" w14:textId="77777777" w:rsidR="00927837" w:rsidRPr="004676F5" w:rsidRDefault="00927837" w:rsidP="00927837">
      <w:pPr>
        <w:jc w:val="both"/>
        <w:rPr>
          <w:lang w:val="de-DE"/>
        </w:rPr>
      </w:pPr>
      <w:r w:rsidRPr="004676F5">
        <w:rPr>
          <w:lang w:val="de-DE"/>
        </w:rPr>
        <w:tab/>
        <w:t>Der Verbraucher behält den Lastschriftauftrag bei, der die Zahlung der Beträge einer Rate zu den Fälligkeitsterminen seines Kreditvertrags sicherstellt, wenn dies eine Bedingung des Kreditvertrags ist.</w:t>
      </w:r>
    </w:p>
    <w:p w14:paraId="4800F190" w14:textId="77777777" w:rsidR="00927837" w:rsidRPr="004676F5" w:rsidRDefault="00927837" w:rsidP="00927837">
      <w:pPr>
        <w:jc w:val="both"/>
        <w:rPr>
          <w:lang w:val="de-DE"/>
        </w:rPr>
      </w:pPr>
    </w:p>
    <w:p w14:paraId="673FF275" w14:textId="5E873870" w:rsidR="00927837" w:rsidRPr="004676F5" w:rsidRDefault="00927837" w:rsidP="00927837">
      <w:pPr>
        <w:jc w:val="both"/>
        <w:rPr>
          <w:lang w:val="de-DE"/>
        </w:rPr>
      </w:pPr>
      <w:r w:rsidRPr="004676F5">
        <w:rPr>
          <w:lang w:val="de-DE"/>
        </w:rPr>
        <w:tab/>
        <w:t>Im Kreditvertrag ist das Datum angegeben, ab dem der Verbraucher den Anbieter jeder in den Absätzen 4 und 5 erwähnten Versicherung und des Zahlungskontos, das gemäß den Absätzen 3 und 5 Teil des Bündelungsgeschäfts ist, wechseln kann.]</w:t>
      </w:r>
    </w:p>
    <w:p w14:paraId="1B4567D8" w14:textId="77777777" w:rsidR="00927837" w:rsidRPr="004676F5" w:rsidRDefault="00927837" w:rsidP="00927837">
      <w:pPr>
        <w:jc w:val="both"/>
        <w:rPr>
          <w:lang w:val="de-DE"/>
        </w:rPr>
      </w:pPr>
    </w:p>
    <w:p w14:paraId="491B73BC" w14:textId="6301D291" w:rsidR="00927837" w:rsidRPr="004676F5" w:rsidRDefault="00927837" w:rsidP="00927837">
      <w:pPr>
        <w:jc w:val="both"/>
        <w:rPr>
          <w:lang w:val="de-DE"/>
        </w:rPr>
      </w:pPr>
      <w:r w:rsidRPr="004676F5">
        <w:rPr>
          <w:lang w:val="de-DE"/>
        </w:rPr>
        <w:tab/>
        <w:t>[§ 1/2 - Schreiben Kreditgeber oder gegebenenfalls Kreditvermittler die Zeichnung einer Nebenleistung oder den Abschluss eines Zusatzvertrags vor, müssen sie den vom Verbraucher vorgeschlagenen Anbieter akzeptieren, der nicht der von ihnen bevorzugte Anbieter ist, wenn dieser vom Verbraucher vorgeschlagene Anbieter zu einem gleichen oder reduzierten Preis eine gleichwertige Nebenleistung oder gegebenenfalls einen gleichwertigen Zusatzvertrag anbietet.</w:t>
      </w:r>
    </w:p>
    <w:p w14:paraId="3D33CAF7" w14:textId="77777777" w:rsidR="00927837" w:rsidRPr="004676F5" w:rsidRDefault="00927837" w:rsidP="00927837">
      <w:pPr>
        <w:jc w:val="both"/>
        <w:rPr>
          <w:lang w:val="de-DE"/>
        </w:rPr>
      </w:pPr>
    </w:p>
    <w:p w14:paraId="06FE2D24" w14:textId="77777777" w:rsidR="00927837" w:rsidRPr="004676F5" w:rsidRDefault="00927837" w:rsidP="00927837">
      <w:pPr>
        <w:jc w:val="both"/>
        <w:rPr>
          <w:lang w:val="de-DE"/>
        </w:rPr>
      </w:pPr>
      <w:r w:rsidRPr="004676F5">
        <w:rPr>
          <w:lang w:val="de-DE"/>
        </w:rPr>
        <w:tab/>
        <w:t>Der Kreditgeber teilt dem Verbraucher seine Entscheidung über die Annahme oder Ablehnung des vom Verbraucher vorgeschlagenen Anbieters so schnell wie möglich, spätestens jedoch dreißig Kalendertage nach Eingang des Antrags des Verbrauchers auf einem dauerhaften Datenträger mit.</w:t>
      </w:r>
    </w:p>
    <w:p w14:paraId="60167586" w14:textId="77777777" w:rsidR="00927837" w:rsidRPr="004676F5" w:rsidRDefault="00927837" w:rsidP="00927837">
      <w:pPr>
        <w:jc w:val="both"/>
        <w:rPr>
          <w:lang w:val="de-DE"/>
        </w:rPr>
      </w:pPr>
    </w:p>
    <w:p w14:paraId="58A77F67" w14:textId="77777777" w:rsidR="00927837" w:rsidRPr="004676F5" w:rsidRDefault="00927837" w:rsidP="00927837">
      <w:pPr>
        <w:jc w:val="both"/>
        <w:rPr>
          <w:lang w:val="de-DE"/>
        </w:rPr>
      </w:pPr>
      <w:r w:rsidRPr="004676F5">
        <w:rPr>
          <w:lang w:val="de-DE"/>
        </w:rPr>
        <w:tab/>
        <w:t>Die Entscheidung des Kreditgebers, den vom Verbraucher vorgeschlagenen Anbieter abzulehnen, muss ausdrücklich sein und alle Gründe für die Ablehnung und gegebenenfalls die fehlenden Informationen und Garantien enthalten.</w:t>
      </w:r>
    </w:p>
    <w:p w14:paraId="2CCF7793" w14:textId="77777777" w:rsidR="00927837" w:rsidRPr="004676F5" w:rsidRDefault="00927837" w:rsidP="00927837">
      <w:pPr>
        <w:jc w:val="both"/>
        <w:rPr>
          <w:lang w:val="de-DE"/>
        </w:rPr>
      </w:pPr>
    </w:p>
    <w:p w14:paraId="61344717" w14:textId="31FAA19E" w:rsidR="00927837" w:rsidRPr="004676F5" w:rsidRDefault="00927837" w:rsidP="00927837">
      <w:pPr>
        <w:ind w:firstLine="708"/>
        <w:jc w:val="both"/>
        <w:rPr>
          <w:lang w:val="de-DE"/>
        </w:rPr>
      </w:pPr>
      <w:r w:rsidRPr="004676F5">
        <w:rPr>
          <w:lang w:val="de-DE"/>
        </w:rPr>
        <w:t>Die Beweislast, dass der Verbraucher freie Wahl hatte in Zusammenhang mit dem Abschluss eines Vertrags über eine Nebenleistung, der ergänzend zum Kreditvertrag geschlossen wurde, liegt beim Kreditgeber beziehungsweise Kreditvermittler.]</w:t>
      </w:r>
    </w:p>
    <w:p w14:paraId="6C4996F3" w14:textId="77777777" w:rsidR="003E6C61" w:rsidRPr="004676F5" w:rsidRDefault="003E6C61" w:rsidP="003E6C61">
      <w:pPr>
        <w:ind w:firstLine="708"/>
        <w:jc w:val="both"/>
        <w:rPr>
          <w:lang w:val="de-DE"/>
        </w:rPr>
      </w:pPr>
    </w:p>
    <w:p w14:paraId="5E30C9D5" w14:textId="60D21FFE"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Zudem dürfen Kreditgeber und Kreditvermittler den Verbraucher bei Abschluss eines Kreditvertrags nicht durch eine Klausel dazu verpflichten, das geliehene Kapital ganz oder teilweise zu verpfänden beziehungsweise für eine Einlage oder zum Erwerb von Wertpapieren oder anderen Finanzinstrumenten zu verwenden.</w:t>
      </w:r>
    </w:p>
    <w:p w14:paraId="10BBDD67" w14:textId="77777777" w:rsidR="003E6C61" w:rsidRPr="004676F5" w:rsidRDefault="003E6C61" w:rsidP="003E6C61">
      <w:pPr>
        <w:rPr>
          <w:lang w:val="de-DE"/>
        </w:rPr>
      </w:pPr>
    </w:p>
    <w:p w14:paraId="47FF15DC" w14:textId="049507A7" w:rsidR="00927837" w:rsidRPr="004676F5" w:rsidRDefault="00927837" w:rsidP="00927837">
      <w:pPr>
        <w:jc w:val="both"/>
        <w:rPr>
          <w:i/>
          <w:iCs/>
          <w:lang w:val="de-DE"/>
        </w:rPr>
      </w:pPr>
      <w:r w:rsidRPr="004676F5">
        <w:rPr>
          <w:i/>
          <w:iCs/>
          <w:lang w:val="de-DE"/>
        </w:rPr>
        <w:t>[Art. VII.147 § 1 ersetzt durch Art. 21 Buchstabe a) des G. vom 5. November 2023</w:t>
      </w:r>
      <w:r w:rsidR="003454B3" w:rsidRPr="004676F5">
        <w:rPr>
          <w:i/>
          <w:iCs/>
          <w:lang w:val="de-DE"/>
        </w:rPr>
        <w:t xml:space="preserve"> (I)</w:t>
      </w:r>
      <w:r w:rsidRPr="004676F5">
        <w:rPr>
          <w:i/>
          <w:iCs/>
          <w:lang w:val="de-DE"/>
        </w:rPr>
        <w:t xml:space="preserve"> (B.S. vom 11. Dezember 2023); § 1/1 eingefügt durch Art. 21 Buchstabe b) des G. vom 5. November 2023</w:t>
      </w:r>
      <w:r w:rsidR="003454B3" w:rsidRPr="004676F5">
        <w:rPr>
          <w:i/>
          <w:iCs/>
          <w:lang w:val="de-DE"/>
        </w:rPr>
        <w:t> (I)</w:t>
      </w:r>
      <w:r w:rsidRPr="004676F5">
        <w:rPr>
          <w:i/>
          <w:iCs/>
          <w:lang w:val="de-DE"/>
        </w:rPr>
        <w:t xml:space="preserve"> (B.S. vom 11. Dezember 2023</w:t>
      </w:r>
      <w:r w:rsidR="00A601A0" w:rsidRPr="004676F5">
        <w:rPr>
          <w:i/>
          <w:iCs/>
          <w:lang w:val="de-DE"/>
        </w:rPr>
        <w:t>, Err. vom 26. Januar 2024</w:t>
      </w:r>
      <w:r w:rsidRPr="004676F5">
        <w:rPr>
          <w:i/>
          <w:iCs/>
          <w:lang w:val="de-DE"/>
        </w:rPr>
        <w:t xml:space="preserve">); § 1/2 eingefügt durch Art. 21 Buchstabe c) des G. vom 5. November 2023 </w:t>
      </w:r>
      <w:r w:rsidR="003454B3" w:rsidRPr="004676F5">
        <w:rPr>
          <w:i/>
          <w:iCs/>
          <w:lang w:val="de-DE"/>
        </w:rPr>
        <w:t xml:space="preserve">(I) </w:t>
      </w:r>
      <w:r w:rsidRPr="004676F5">
        <w:rPr>
          <w:i/>
          <w:iCs/>
          <w:lang w:val="de-DE"/>
        </w:rPr>
        <w:t>(B.S. vom 11. Dezember 2023</w:t>
      </w:r>
      <w:r w:rsidR="00A601A0" w:rsidRPr="004676F5">
        <w:rPr>
          <w:i/>
          <w:iCs/>
          <w:lang w:val="de-DE"/>
        </w:rPr>
        <w:t>, Err. vom 26. Januar 2024</w:t>
      </w:r>
      <w:r w:rsidRPr="004676F5">
        <w:rPr>
          <w:i/>
          <w:iCs/>
          <w:lang w:val="de-DE"/>
        </w:rPr>
        <w:t>)]</w:t>
      </w:r>
    </w:p>
    <w:p w14:paraId="62A14D14" w14:textId="77777777" w:rsidR="00927837" w:rsidRPr="004676F5" w:rsidRDefault="00927837" w:rsidP="003E6C61">
      <w:pPr>
        <w:rPr>
          <w:i/>
          <w:iCs/>
          <w:lang w:val="de-DE"/>
        </w:rPr>
      </w:pPr>
    </w:p>
    <w:p w14:paraId="122976E9" w14:textId="77777777" w:rsidR="002E20BA" w:rsidRPr="004676F5" w:rsidRDefault="002E20BA" w:rsidP="003E6C61">
      <w:pPr>
        <w:rPr>
          <w:lang w:val="de-DE"/>
        </w:rPr>
      </w:pPr>
    </w:p>
    <w:p w14:paraId="5BC38EDA" w14:textId="5388336E" w:rsidR="003E6C61" w:rsidRPr="004676F5" w:rsidRDefault="003E6C61" w:rsidP="003E6C61">
      <w:pPr>
        <w:jc w:val="center"/>
        <w:rPr>
          <w:lang w:val="de-DE"/>
        </w:rPr>
      </w:pPr>
      <w:r w:rsidRPr="004676F5">
        <w:rPr>
          <w:lang w:val="de-DE"/>
        </w:rPr>
        <w:t>Unterabschnitt 4 </w:t>
      </w:r>
      <w:r w:rsidR="005B7A5C" w:rsidRPr="004676F5">
        <w:rPr>
          <w:lang w:val="de-DE"/>
        </w:rPr>
        <w:t>- </w:t>
      </w:r>
      <w:r w:rsidRPr="004676F5">
        <w:rPr>
          <w:lang w:val="de-DE"/>
        </w:rPr>
        <w:t>Nicht zugelassene Sicherheiten</w:t>
      </w:r>
    </w:p>
    <w:p w14:paraId="784C2299" w14:textId="77777777" w:rsidR="003E6C61" w:rsidRPr="004676F5" w:rsidRDefault="003E6C61" w:rsidP="003E6C61">
      <w:pPr>
        <w:jc w:val="both"/>
        <w:rPr>
          <w:lang w:val="de-DE"/>
        </w:rPr>
      </w:pPr>
    </w:p>
    <w:p w14:paraId="1BD84CE2" w14:textId="77777777" w:rsidR="002E20BA" w:rsidRPr="004676F5" w:rsidRDefault="002E20BA" w:rsidP="003E6C61">
      <w:pPr>
        <w:jc w:val="both"/>
        <w:rPr>
          <w:lang w:val="de-DE"/>
        </w:rPr>
      </w:pPr>
    </w:p>
    <w:p w14:paraId="540A32F9" w14:textId="7F5BFDE7" w:rsidR="003E6C61" w:rsidRPr="004676F5" w:rsidRDefault="00BE0A56" w:rsidP="003E6C61">
      <w:pPr>
        <w:ind w:firstLine="708"/>
        <w:jc w:val="both"/>
        <w:rPr>
          <w:lang w:val="de-DE"/>
        </w:rPr>
      </w:pPr>
      <w:r w:rsidRPr="004676F5">
        <w:rPr>
          <w:b/>
          <w:lang w:val="de-DE"/>
        </w:rPr>
        <w:t>Art. </w:t>
      </w:r>
      <w:r w:rsidR="003E6C61" w:rsidRPr="004676F5">
        <w:rPr>
          <w:b/>
          <w:lang w:val="de-DE"/>
        </w:rPr>
        <w:t>VII.147/1</w:t>
      </w:r>
      <w:r w:rsidR="003E6C61" w:rsidRPr="004676F5">
        <w:rPr>
          <w:lang w:val="de-DE"/>
        </w:rPr>
        <w:t> </w:t>
      </w:r>
      <w:r w:rsidR="005B7A5C" w:rsidRPr="004676F5">
        <w:rPr>
          <w:lang w:val="de-DE"/>
        </w:rPr>
        <w:t>- </w:t>
      </w:r>
      <w:r w:rsidR="003E6C61" w:rsidRPr="004676F5">
        <w:rPr>
          <w:lang w:val="de-DE"/>
        </w:rPr>
        <w:t>Im Rahmen eines Kreditvertrags ist es dem Verbraucher oder gegebe</w:t>
      </w:r>
      <w:r w:rsidR="003E6C61" w:rsidRPr="004676F5">
        <w:rPr>
          <w:lang w:val="de-DE"/>
        </w:rPr>
        <w:softHyphen/>
        <w:t>nen</w:t>
      </w:r>
      <w:r w:rsidR="003E6C61" w:rsidRPr="004676F5">
        <w:rPr>
          <w:lang w:val="de-DE"/>
        </w:rPr>
        <w:softHyphen/>
        <w:t xml:space="preserve">falls demjenigen, der eine Sicherheit leistet, verboten, anhand eines Wechsels oder </w:t>
      </w:r>
      <w:r w:rsidR="003E6C61" w:rsidRPr="004676F5">
        <w:rPr>
          <w:lang w:val="de-DE"/>
        </w:rPr>
        <w:lastRenderedPageBreak/>
        <w:t>Eigenwechsels die Zahlung der Verbindlichkeiten zu versprechen oder zu gewährleisten, die er aufgrund eines Kreditvertrags eingeht. Es ist ebenfalls verboten, Schecks als Sicherheit für die Rückzahlung des gesamten oder eines Teils des geschuldeten Betrags unterzeichnen zu lassen.</w:t>
      </w:r>
    </w:p>
    <w:p w14:paraId="26524F21" w14:textId="77777777" w:rsidR="003E6C61" w:rsidRPr="004676F5" w:rsidRDefault="003E6C61" w:rsidP="003E6C61">
      <w:pPr>
        <w:ind w:firstLine="708"/>
        <w:jc w:val="both"/>
        <w:rPr>
          <w:lang w:val="de-DE"/>
        </w:rPr>
      </w:pPr>
    </w:p>
    <w:p w14:paraId="3EB26235" w14:textId="77777777" w:rsidR="002E20BA" w:rsidRPr="004676F5" w:rsidRDefault="002E20BA" w:rsidP="003E6C61">
      <w:pPr>
        <w:ind w:firstLine="708"/>
        <w:jc w:val="both"/>
        <w:rPr>
          <w:lang w:val="de-DE"/>
        </w:rPr>
      </w:pPr>
    </w:p>
    <w:p w14:paraId="5C6E4E17" w14:textId="27E8A64C" w:rsidR="003E6C61" w:rsidRPr="004676F5" w:rsidRDefault="00BE0A56" w:rsidP="003E6C61">
      <w:pPr>
        <w:ind w:firstLine="708"/>
        <w:jc w:val="both"/>
        <w:rPr>
          <w:lang w:val="de-DE"/>
        </w:rPr>
      </w:pPr>
      <w:r w:rsidRPr="004676F5">
        <w:rPr>
          <w:b/>
          <w:lang w:val="de-DE"/>
        </w:rPr>
        <w:t>Art. </w:t>
      </w:r>
      <w:r w:rsidR="003E6C61" w:rsidRPr="004676F5">
        <w:rPr>
          <w:b/>
          <w:lang w:val="de-DE"/>
        </w:rPr>
        <w:t>VII.147/2</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 xml:space="preserve">Eine Abtretung von Rechten in Bezug auf die </w:t>
      </w:r>
      <w:r w:rsidR="00B27CF8" w:rsidRPr="004676F5">
        <w:rPr>
          <w:lang w:val="de-DE"/>
        </w:rPr>
        <w:t>[in den Artikeln 1409, 1409</w:t>
      </w:r>
      <w:r w:rsidR="00B27CF8" w:rsidRPr="004676F5">
        <w:rPr>
          <w:i/>
          <w:iCs/>
          <w:lang w:val="de-DE"/>
        </w:rPr>
        <w:t>bis</w:t>
      </w:r>
      <w:r w:rsidR="00B27CF8" w:rsidRPr="004676F5">
        <w:rPr>
          <w:lang w:val="de-DE"/>
        </w:rPr>
        <w:t xml:space="preserve"> und 1410 § 1 des Gerichtsgesetzbuches]</w:t>
      </w:r>
      <w:r w:rsidR="003E6C61" w:rsidRPr="004676F5">
        <w:rPr>
          <w:lang w:val="de-DE"/>
        </w:rPr>
        <w:t xml:space="preserve"> erwähnten Beträge, die im Rahmen eines durch vorliegendes Buch geregelten Kreditvertrags erfolgt, unterliegt den Artikeln 27 bis 35, Artikel 34 ausgenommen, des Gesetzes vom 12. April 1965 über den Schutz der Entlohnung der Arbeitnehmer und kann nur in Höhe der Beträge, die zum Zeitpunkt der Abtretungsnotifizierung aufgrund des Kreditvertrags einforderbar sind, durchgeführt und angewandt werden.</w:t>
      </w:r>
    </w:p>
    <w:p w14:paraId="0EB6A319" w14:textId="77777777" w:rsidR="003E6C61" w:rsidRPr="004676F5" w:rsidRDefault="003E6C61" w:rsidP="003E6C61">
      <w:pPr>
        <w:ind w:firstLine="708"/>
        <w:jc w:val="both"/>
        <w:rPr>
          <w:lang w:val="de-DE"/>
        </w:rPr>
      </w:pPr>
    </w:p>
    <w:p w14:paraId="0F9BA84A" w14:textId="79F6DD34"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Einkünfte oder der Lohn Minderjähriger, selbst wenn sie für mündig erklärt sind, sind unabtretbar und unpfändbar, was Kreditverträge betrifft.</w:t>
      </w:r>
    </w:p>
    <w:p w14:paraId="27E8CB36" w14:textId="28C8ABD0" w:rsidR="00B27CF8" w:rsidRPr="004676F5" w:rsidRDefault="00B27CF8" w:rsidP="003E6C61">
      <w:pPr>
        <w:ind w:firstLine="708"/>
        <w:jc w:val="both"/>
        <w:rPr>
          <w:lang w:val="de-DE"/>
        </w:rPr>
      </w:pPr>
    </w:p>
    <w:p w14:paraId="35741232" w14:textId="7D445F1E" w:rsidR="00B27CF8" w:rsidRPr="004676F5" w:rsidRDefault="00B27CF8" w:rsidP="00B27CF8">
      <w:pPr>
        <w:jc w:val="both"/>
        <w:rPr>
          <w:i/>
          <w:iCs/>
          <w:lang w:val="de-DE"/>
        </w:rPr>
      </w:pPr>
      <w:r w:rsidRPr="004676F5">
        <w:rPr>
          <w:i/>
          <w:iCs/>
          <w:lang w:val="de-DE"/>
        </w:rPr>
        <w:t>[Art. VII.147/2 § 1 abgeändert durch Art. 15</w:t>
      </w:r>
      <w:r w:rsidRPr="004676F5">
        <w:rPr>
          <w:i/>
          <w:lang w:val="de-DE"/>
        </w:rPr>
        <w:t xml:space="preserve"> des G. vom 30. Juli 2018 (II) (B.S. vom 5. September 2018)]</w:t>
      </w:r>
    </w:p>
    <w:p w14:paraId="6193C6D1" w14:textId="77777777" w:rsidR="003E6C61" w:rsidRPr="004676F5" w:rsidRDefault="003E6C61" w:rsidP="003E6C61">
      <w:pPr>
        <w:ind w:firstLine="708"/>
        <w:jc w:val="both"/>
        <w:rPr>
          <w:lang w:val="de-DE"/>
        </w:rPr>
      </w:pPr>
    </w:p>
    <w:p w14:paraId="7D3F3902" w14:textId="77777777" w:rsidR="002E20BA" w:rsidRPr="004676F5" w:rsidRDefault="002E20BA" w:rsidP="003E6C61">
      <w:pPr>
        <w:ind w:firstLine="708"/>
        <w:jc w:val="both"/>
        <w:rPr>
          <w:lang w:val="de-DE"/>
        </w:rPr>
      </w:pPr>
    </w:p>
    <w:p w14:paraId="7D7AEFF1" w14:textId="6BC8B067" w:rsidR="003E6C61" w:rsidRPr="004676F5" w:rsidRDefault="003E6C61" w:rsidP="003E6C61">
      <w:pPr>
        <w:jc w:val="center"/>
        <w:rPr>
          <w:lang w:val="de-DE"/>
        </w:rPr>
      </w:pPr>
      <w:r w:rsidRPr="004676F5">
        <w:rPr>
          <w:i/>
          <w:lang w:val="de-DE"/>
        </w:rPr>
        <w:t>Abschnitt 6 </w:t>
      </w:r>
      <w:r w:rsidR="005B7A5C" w:rsidRPr="004676F5">
        <w:rPr>
          <w:lang w:val="de-DE"/>
        </w:rPr>
        <w:t>- </w:t>
      </w:r>
      <w:r w:rsidRPr="004676F5">
        <w:rPr>
          <w:lang w:val="de-DE"/>
        </w:rPr>
        <w:t>Ausführung des Kreditvertrags</w:t>
      </w:r>
    </w:p>
    <w:p w14:paraId="7053F83E" w14:textId="77777777" w:rsidR="003E6C61" w:rsidRPr="004676F5" w:rsidRDefault="003E6C61" w:rsidP="003E6C61">
      <w:pPr>
        <w:jc w:val="center"/>
        <w:rPr>
          <w:lang w:val="de-DE"/>
        </w:rPr>
      </w:pPr>
    </w:p>
    <w:p w14:paraId="606760ED" w14:textId="77777777" w:rsidR="002E20BA" w:rsidRPr="004676F5" w:rsidRDefault="002E20BA" w:rsidP="003E6C61">
      <w:pPr>
        <w:jc w:val="center"/>
        <w:rPr>
          <w:lang w:val="de-DE"/>
        </w:rPr>
      </w:pPr>
    </w:p>
    <w:p w14:paraId="78FE4E6B" w14:textId="4316FAE4" w:rsidR="003E6C61" w:rsidRPr="004676F5" w:rsidRDefault="003E6C61" w:rsidP="003E6C61">
      <w:pPr>
        <w:jc w:val="center"/>
        <w:rPr>
          <w:lang w:val="de-DE"/>
        </w:rPr>
      </w:pPr>
      <w:r w:rsidRPr="004676F5">
        <w:rPr>
          <w:lang w:val="de-DE"/>
        </w:rPr>
        <w:t>Unterabschnitt 1 </w:t>
      </w:r>
      <w:r w:rsidR="005B7A5C" w:rsidRPr="004676F5">
        <w:rPr>
          <w:lang w:val="de-DE"/>
        </w:rPr>
        <w:t>- </w:t>
      </w:r>
      <w:r w:rsidRPr="004676F5">
        <w:rPr>
          <w:lang w:val="de-DE"/>
        </w:rPr>
        <w:t>Zurverfügungstellung des Kreditbetrags</w:t>
      </w:r>
    </w:p>
    <w:p w14:paraId="4F135568" w14:textId="77777777" w:rsidR="003E6C61" w:rsidRPr="004676F5" w:rsidRDefault="003E6C61" w:rsidP="003E6C61">
      <w:pPr>
        <w:jc w:val="both"/>
        <w:rPr>
          <w:lang w:val="de-DE"/>
        </w:rPr>
      </w:pPr>
    </w:p>
    <w:p w14:paraId="33C05E68" w14:textId="77777777" w:rsidR="002E20BA" w:rsidRPr="004676F5" w:rsidRDefault="002E20BA" w:rsidP="003E6C61">
      <w:pPr>
        <w:jc w:val="both"/>
        <w:rPr>
          <w:lang w:val="de-DE"/>
        </w:rPr>
      </w:pPr>
    </w:p>
    <w:p w14:paraId="75F29DA2" w14:textId="25314357" w:rsidR="003E6C61" w:rsidRPr="004676F5" w:rsidRDefault="00BE0A56" w:rsidP="003E6C61">
      <w:pPr>
        <w:ind w:firstLine="708"/>
        <w:jc w:val="both"/>
        <w:rPr>
          <w:lang w:val="de-DE"/>
        </w:rPr>
      </w:pPr>
      <w:r w:rsidRPr="004676F5">
        <w:rPr>
          <w:b/>
          <w:lang w:val="de-DE"/>
        </w:rPr>
        <w:t>Art. </w:t>
      </w:r>
      <w:r w:rsidR="003E6C61" w:rsidRPr="004676F5">
        <w:rPr>
          <w:b/>
          <w:lang w:val="de-DE"/>
        </w:rPr>
        <w:t>VII.147/3</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Solange der Kreditvertrag nicht von allen Parteien unterzeichnet worden ist, darf keine Zahlung erfolgen, weder vom Kreditgeber an den Verbraucher oder für dessen Rechnung noch vom Verbraucher an den Kreditgeber, außer was Bewertungskosten betrifft.</w:t>
      </w:r>
    </w:p>
    <w:p w14:paraId="77965898" w14:textId="77777777" w:rsidR="003E6C61" w:rsidRPr="004676F5" w:rsidRDefault="003E6C61" w:rsidP="003E6C61">
      <w:pPr>
        <w:ind w:firstLine="708"/>
        <w:jc w:val="both"/>
        <w:rPr>
          <w:lang w:val="de-DE"/>
        </w:rPr>
      </w:pPr>
    </w:p>
    <w:p w14:paraId="5DD1AC17" w14:textId="77777777" w:rsidR="003E6C61" w:rsidRPr="004676F5" w:rsidRDefault="003E6C61" w:rsidP="003E6C61">
      <w:pPr>
        <w:ind w:firstLine="708"/>
        <w:jc w:val="both"/>
        <w:rPr>
          <w:lang w:val="de-DE"/>
        </w:rPr>
      </w:pPr>
      <w:r w:rsidRPr="004676F5">
        <w:rPr>
          <w:lang w:val="de-DE"/>
        </w:rPr>
        <w:t>Vorbehaltlich anders lautender Bestimmungen im Kreditvertrag stellt der Kreditgeber den Kreditbetrag unverzüglich zur Verfügung, und zwar per Überweisung auf das Konto des Verbrauchers beziehungsweise eines vom Verbraucher bestimmten Dritten oder per Scheck.</w:t>
      </w:r>
    </w:p>
    <w:p w14:paraId="4FC3C559" w14:textId="77777777" w:rsidR="003E6C61" w:rsidRPr="004676F5" w:rsidRDefault="003E6C61" w:rsidP="003E6C61">
      <w:pPr>
        <w:ind w:firstLine="708"/>
        <w:jc w:val="both"/>
        <w:rPr>
          <w:lang w:val="de-DE"/>
        </w:rPr>
      </w:pPr>
    </w:p>
    <w:p w14:paraId="2476BCC1" w14:textId="77777777" w:rsidR="003E6C61" w:rsidRPr="004676F5" w:rsidRDefault="003E6C61" w:rsidP="003E6C61">
      <w:pPr>
        <w:ind w:firstLine="708"/>
        <w:jc w:val="both"/>
        <w:rPr>
          <w:lang w:val="de-DE"/>
        </w:rPr>
      </w:pPr>
      <w:r w:rsidRPr="004676F5">
        <w:rPr>
          <w:lang w:val="de-DE"/>
        </w:rPr>
        <w:t>Weder Kreditbetrag noch Kapital dürfen an einen Index gebunden sein.</w:t>
      </w:r>
    </w:p>
    <w:p w14:paraId="7A33EE49" w14:textId="77777777" w:rsidR="003E6C61" w:rsidRPr="004676F5" w:rsidRDefault="003E6C61" w:rsidP="003E6C61">
      <w:pPr>
        <w:ind w:firstLine="708"/>
        <w:jc w:val="both"/>
        <w:rPr>
          <w:lang w:val="de-DE"/>
        </w:rPr>
      </w:pPr>
    </w:p>
    <w:p w14:paraId="35494CDF" w14:textId="77777777" w:rsidR="003E6C61" w:rsidRPr="004676F5" w:rsidRDefault="003E6C61" w:rsidP="003E6C61">
      <w:pPr>
        <w:ind w:firstLine="708"/>
        <w:jc w:val="both"/>
        <w:rPr>
          <w:lang w:val="de-DE"/>
        </w:rPr>
      </w:pPr>
      <w:r w:rsidRPr="004676F5">
        <w:rPr>
          <w:lang w:val="de-DE"/>
        </w:rPr>
        <w:t>Die Bereitstellung des Kreditbetrags in bar oder als Bargeld darf nur in Fällen erfolgen, die vom König durch einen im Ministerrat beratenen Erlass genannt werden, wobei Betrag, Art und Zweck des Kredits und Zeitpunkt des Abschlusses des Kreditvertrags berücksichtigt werden.</w:t>
      </w:r>
    </w:p>
    <w:p w14:paraId="5816E5A5" w14:textId="77777777" w:rsidR="003E6C61" w:rsidRPr="004676F5" w:rsidRDefault="003E6C61" w:rsidP="003E6C61">
      <w:pPr>
        <w:ind w:firstLine="708"/>
        <w:jc w:val="both"/>
        <w:rPr>
          <w:lang w:val="de-DE"/>
        </w:rPr>
      </w:pPr>
    </w:p>
    <w:p w14:paraId="0174D498" w14:textId="5545D3AB"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Der Kreditgeber haftet weiterhin für Beträge, die er dem Kreditvermittler in Ausführung des Kreditvertrags übermittelt hat, bis sie dem Verbraucher oder einem vom Verbraucher bestimmten Dritten vollständig zur Verfügung gestellt worden sind.</w:t>
      </w:r>
    </w:p>
    <w:p w14:paraId="7A0C830A" w14:textId="77777777" w:rsidR="003E6C61" w:rsidRPr="004676F5" w:rsidRDefault="003E6C61" w:rsidP="003E6C61">
      <w:pPr>
        <w:jc w:val="both"/>
        <w:rPr>
          <w:lang w:val="de-DE"/>
        </w:rPr>
      </w:pPr>
    </w:p>
    <w:p w14:paraId="4D0BFCD6" w14:textId="77777777" w:rsidR="002E20BA" w:rsidRPr="004676F5" w:rsidRDefault="002E20BA" w:rsidP="003E6C61">
      <w:pPr>
        <w:jc w:val="both"/>
        <w:rPr>
          <w:lang w:val="de-DE"/>
        </w:rPr>
      </w:pPr>
    </w:p>
    <w:p w14:paraId="5FEF79D4" w14:textId="1F7B63D9" w:rsidR="003E6C61" w:rsidRPr="004676F5" w:rsidRDefault="003E6C61" w:rsidP="003E6C61">
      <w:pPr>
        <w:jc w:val="center"/>
        <w:rPr>
          <w:lang w:val="de-DE"/>
        </w:rPr>
      </w:pPr>
      <w:r w:rsidRPr="004676F5">
        <w:rPr>
          <w:lang w:val="de-DE"/>
        </w:rPr>
        <w:t>Unterabschnitt 2 </w:t>
      </w:r>
      <w:r w:rsidR="005B7A5C" w:rsidRPr="004676F5">
        <w:rPr>
          <w:lang w:val="de-DE"/>
        </w:rPr>
        <w:t>- </w:t>
      </w:r>
      <w:r w:rsidRPr="004676F5">
        <w:rPr>
          <w:lang w:val="de-DE"/>
        </w:rPr>
        <w:t>Finanzierung von Waren und Dienstleistungen</w:t>
      </w:r>
    </w:p>
    <w:p w14:paraId="01219CED" w14:textId="77777777" w:rsidR="003E6C61" w:rsidRPr="004676F5" w:rsidRDefault="003E6C61" w:rsidP="003E6C61">
      <w:pPr>
        <w:jc w:val="both"/>
        <w:rPr>
          <w:lang w:val="de-DE"/>
        </w:rPr>
      </w:pPr>
    </w:p>
    <w:p w14:paraId="018DDA96" w14:textId="77777777" w:rsidR="002E20BA" w:rsidRPr="004676F5" w:rsidRDefault="002E20BA" w:rsidP="003E6C61">
      <w:pPr>
        <w:jc w:val="both"/>
        <w:rPr>
          <w:lang w:val="de-DE"/>
        </w:rPr>
      </w:pPr>
    </w:p>
    <w:p w14:paraId="3A075F98" w14:textId="5E6EB421" w:rsidR="003E6C61" w:rsidRPr="004676F5" w:rsidRDefault="00BE0A56" w:rsidP="003E6C61">
      <w:pPr>
        <w:ind w:firstLine="708"/>
        <w:jc w:val="both"/>
        <w:rPr>
          <w:lang w:val="de-DE"/>
        </w:rPr>
      </w:pPr>
      <w:r w:rsidRPr="004676F5">
        <w:rPr>
          <w:b/>
          <w:lang w:val="de-DE"/>
        </w:rPr>
        <w:t>Art. </w:t>
      </w:r>
      <w:r w:rsidR="003E6C61" w:rsidRPr="004676F5">
        <w:rPr>
          <w:b/>
          <w:lang w:val="de-DE"/>
        </w:rPr>
        <w:t>VII.147/4</w:t>
      </w:r>
      <w:r w:rsidR="003E6C61" w:rsidRPr="004676F5">
        <w:rPr>
          <w:lang w:val="de-DE"/>
        </w:rPr>
        <w:t> </w:t>
      </w:r>
      <w:r w:rsidR="005B7A5C" w:rsidRPr="004676F5">
        <w:rPr>
          <w:lang w:val="de-DE"/>
        </w:rPr>
        <w:t>- </w:t>
      </w:r>
      <w:r w:rsidR="003E6C61" w:rsidRPr="004676F5">
        <w:rPr>
          <w:lang w:val="de-DE"/>
        </w:rPr>
        <w:t>Die Bestimmungen des vorliegenden Unterabschnitts sind auf Mobiliar</w:t>
      </w:r>
      <w:r w:rsidR="003E6C61" w:rsidRPr="004676F5">
        <w:rPr>
          <w:lang w:val="de-DE"/>
        </w:rPr>
        <w:softHyphen/>
        <w:t>hypothekarkredite anwendbar.</w:t>
      </w:r>
    </w:p>
    <w:p w14:paraId="47EB2AE9" w14:textId="77777777" w:rsidR="003E6C61" w:rsidRPr="004676F5" w:rsidRDefault="003E6C61" w:rsidP="003E6C61">
      <w:pPr>
        <w:ind w:firstLine="708"/>
        <w:jc w:val="both"/>
        <w:rPr>
          <w:lang w:val="de-DE"/>
        </w:rPr>
      </w:pPr>
    </w:p>
    <w:p w14:paraId="23DA1253" w14:textId="77777777" w:rsidR="002E20BA" w:rsidRPr="004676F5" w:rsidRDefault="002E20BA" w:rsidP="003E6C61">
      <w:pPr>
        <w:ind w:firstLine="708"/>
        <w:jc w:val="both"/>
        <w:rPr>
          <w:lang w:val="de-DE"/>
        </w:rPr>
      </w:pPr>
    </w:p>
    <w:p w14:paraId="7FFDC048" w14:textId="406C6B80" w:rsidR="003E6C61" w:rsidRPr="004676F5" w:rsidRDefault="00BE0A56" w:rsidP="003E6C61">
      <w:pPr>
        <w:ind w:firstLine="708"/>
        <w:jc w:val="both"/>
        <w:rPr>
          <w:lang w:val="de-DE"/>
        </w:rPr>
      </w:pPr>
      <w:r w:rsidRPr="004676F5">
        <w:rPr>
          <w:b/>
          <w:lang w:val="de-DE"/>
        </w:rPr>
        <w:t>Art. </w:t>
      </w:r>
      <w:r w:rsidR="003E6C61" w:rsidRPr="004676F5">
        <w:rPr>
          <w:b/>
          <w:lang w:val="de-DE"/>
        </w:rPr>
        <w:t>VII.147/5</w:t>
      </w:r>
      <w:r w:rsidR="003E6C61" w:rsidRPr="004676F5">
        <w:rPr>
          <w:lang w:val="de-DE"/>
        </w:rPr>
        <w:t> </w:t>
      </w:r>
      <w:r w:rsidR="005B7A5C" w:rsidRPr="004676F5">
        <w:rPr>
          <w:lang w:val="de-DE"/>
        </w:rPr>
        <w:t>- </w:t>
      </w:r>
      <w:r w:rsidR="003E6C61" w:rsidRPr="004676F5">
        <w:rPr>
          <w:lang w:val="de-DE"/>
        </w:rPr>
        <w:t>Wird die finanzierte Ware oder Dienstleistung im Kreditvertrag erwähnt oder zahlt der Kreditgeber den Betrag des Kreditvertrags direkt an den Verkäufer oder Dienstleistungserbringer, werden die Verbindlichkeiten des Verbrauchers erst ab Lieferung der Ware oder Dienstleistung wirksam; im Falle von Verkauf oder Dienstleistung mit wiederholter Ausführung werden die Verbindlichkeiten des Verbrauchers ab Beginn der Lieferung der Ware oder der Erbringung der Dienstleistung wirksam und enden sie bei Unterbrechung der Lieferung oder Dienstleistungserbringung, es sei denn, der Verbraucher erhält den Kreditbetrag selbst und dem Kreditgeber ist die Identität des Verkäufers oder Dienstleistungserbringers nicht bekannt.</w:t>
      </w:r>
    </w:p>
    <w:p w14:paraId="44C68AF5" w14:textId="77777777" w:rsidR="003E6C61" w:rsidRPr="004676F5" w:rsidRDefault="003E6C61" w:rsidP="003E6C61">
      <w:pPr>
        <w:ind w:firstLine="708"/>
        <w:jc w:val="both"/>
        <w:rPr>
          <w:lang w:val="de-DE"/>
        </w:rPr>
      </w:pPr>
    </w:p>
    <w:p w14:paraId="0FCDBC23" w14:textId="77777777" w:rsidR="003E6C61" w:rsidRPr="004676F5" w:rsidRDefault="003E6C61" w:rsidP="003E6C61">
      <w:pPr>
        <w:ind w:firstLine="708"/>
        <w:jc w:val="both"/>
        <w:rPr>
          <w:lang w:val="de-DE"/>
        </w:rPr>
      </w:pPr>
      <w:r w:rsidRPr="004676F5">
        <w:rPr>
          <w:lang w:val="de-DE"/>
        </w:rPr>
        <w:t>Der Betrag des Kredits darf dem Verkäufer oder Dienstleistungserbringer erst übergeben werden, nachdem dem Kreditgeber die Lieferung der Ware oder die Erbringung der Dienstleistung notifiziert worden ist.</w:t>
      </w:r>
    </w:p>
    <w:p w14:paraId="62B74A1A" w14:textId="77777777" w:rsidR="003E6C61" w:rsidRPr="004676F5" w:rsidRDefault="003E6C61" w:rsidP="003E6C61">
      <w:pPr>
        <w:ind w:firstLine="708"/>
        <w:jc w:val="both"/>
        <w:rPr>
          <w:lang w:val="de-DE"/>
        </w:rPr>
      </w:pPr>
    </w:p>
    <w:p w14:paraId="2CA2BAE9" w14:textId="666E3ABB" w:rsidR="003E6C61" w:rsidRPr="004676F5" w:rsidRDefault="003E6C61" w:rsidP="003E6C61">
      <w:pPr>
        <w:ind w:firstLine="708"/>
        <w:jc w:val="both"/>
        <w:rPr>
          <w:lang w:val="de-DE"/>
        </w:rPr>
      </w:pPr>
      <w:r w:rsidRPr="004676F5">
        <w:rPr>
          <w:lang w:val="de-DE"/>
        </w:rPr>
        <w:t xml:space="preserve">Die in Absatz 2 erwähnte Notifizierung erfolgt </w:t>
      </w:r>
      <w:r w:rsidR="003658CE" w:rsidRPr="004676F5">
        <w:rPr>
          <w:lang w:val="de-DE"/>
        </w:rPr>
        <w:t>[auf dauerhaftem Datenträger]</w:t>
      </w:r>
      <w:r w:rsidRPr="004676F5">
        <w:rPr>
          <w:lang w:val="de-DE"/>
        </w:rPr>
        <w:t>; es kann ein Lieferschein sein, der vom Verbraucher datiert und unterzeichnet ist.</w:t>
      </w:r>
    </w:p>
    <w:p w14:paraId="79E952F5" w14:textId="77777777" w:rsidR="003E6C61" w:rsidRPr="004676F5" w:rsidRDefault="003E6C61" w:rsidP="003E6C61">
      <w:pPr>
        <w:ind w:firstLine="708"/>
        <w:jc w:val="both"/>
        <w:rPr>
          <w:lang w:val="de-DE"/>
        </w:rPr>
      </w:pPr>
    </w:p>
    <w:p w14:paraId="07208ACD" w14:textId="77777777" w:rsidR="003E6C61" w:rsidRPr="004676F5" w:rsidRDefault="003E6C61" w:rsidP="003E6C61">
      <w:pPr>
        <w:ind w:firstLine="708"/>
        <w:jc w:val="both"/>
        <w:rPr>
          <w:lang w:val="de-DE"/>
        </w:rPr>
      </w:pPr>
      <w:r w:rsidRPr="004676F5">
        <w:rPr>
          <w:lang w:val="de-DE"/>
        </w:rPr>
        <w:t>Aufgrund des Kreditvertrags geschuldete Zinsen setzen erst am Tag dieser Notifizierung ein.</w:t>
      </w:r>
    </w:p>
    <w:p w14:paraId="63E1D969" w14:textId="77777777" w:rsidR="003658CE" w:rsidRPr="004676F5" w:rsidRDefault="003658CE" w:rsidP="003E6C61">
      <w:pPr>
        <w:ind w:firstLine="708"/>
        <w:jc w:val="both"/>
        <w:rPr>
          <w:lang w:val="de-DE"/>
        </w:rPr>
      </w:pPr>
    </w:p>
    <w:p w14:paraId="6EE0E58B" w14:textId="340A510D" w:rsidR="003658CE" w:rsidRPr="004676F5" w:rsidRDefault="003658CE" w:rsidP="003658CE">
      <w:pPr>
        <w:jc w:val="both"/>
        <w:rPr>
          <w:i/>
          <w:iCs/>
          <w:lang w:val="de-DE"/>
        </w:rPr>
      </w:pPr>
      <w:r w:rsidRPr="004676F5">
        <w:rPr>
          <w:i/>
          <w:iCs/>
          <w:lang w:val="de-DE"/>
        </w:rPr>
        <w:t>[Art. VII.147/5 Abs. 3 abgeändert durch Art. 12 des G. vom 20. September 2018 (B.S. vom 10. Oktober 2018)]</w:t>
      </w:r>
    </w:p>
    <w:p w14:paraId="44158D64" w14:textId="77777777" w:rsidR="003658CE" w:rsidRPr="004676F5" w:rsidRDefault="003658CE" w:rsidP="003E6C61">
      <w:pPr>
        <w:ind w:firstLine="708"/>
        <w:jc w:val="both"/>
        <w:rPr>
          <w:lang w:val="de-DE"/>
        </w:rPr>
      </w:pPr>
    </w:p>
    <w:p w14:paraId="0080F25E" w14:textId="77777777" w:rsidR="002E20BA" w:rsidRPr="004676F5" w:rsidRDefault="002E20BA" w:rsidP="003E6C61">
      <w:pPr>
        <w:ind w:firstLine="708"/>
        <w:jc w:val="both"/>
        <w:rPr>
          <w:lang w:val="de-DE"/>
        </w:rPr>
      </w:pPr>
    </w:p>
    <w:p w14:paraId="6DDEAD7A" w14:textId="292067E7" w:rsidR="003E6C61" w:rsidRPr="004676F5" w:rsidRDefault="00BE0A56" w:rsidP="003E6C61">
      <w:pPr>
        <w:ind w:firstLine="708"/>
        <w:jc w:val="both"/>
        <w:rPr>
          <w:lang w:val="de-DE"/>
        </w:rPr>
      </w:pPr>
      <w:r w:rsidRPr="004676F5">
        <w:rPr>
          <w:b/>
          <w:lang w:val="de-DE"/>
        </w:rPr>
        <w:t>Art. </w:t>
      </w:r>
      <w:r w:rsidR="003E6C61" w:rsidRPr="004676F5">
        <w:rPr>
          <w:b/>
          <w:lang w:val="de-DE"/>
        </w:rPr>
        <w:t>VII.147/6</w:t>
      </w:r>
      <w:r w:rsidR="003E6C61" w:rsidRPr="004676F5">
        <w:rPr>
          <w:lang w:val="de-DE"/>
        </w:rPr>
        <w:t> </w:t>
      </w:r>
      <w:r w:rsidR="005B7A5C" w:rsidRPr="004676F5">
        <w:rPr>
          <w:lang w:val="de-DE"/>
        </w:rPr>
        <w:t>- </w:t>
      </w:r>
      <w:r w:rsidR="003E6C61" w:rsidRPr="004676F5">
        <w:rPr>
          <w:lang w:val="de-DE"/>
        </w:rPr>
        <w:t>Hat der Verbraucher ein Recht auf Widerruf eines Vertrags über die Lieferung von Waren oder die Erbringung von Dienstleistungen ausgeübt, so ist er an einen damit verbundenen Kreditvertrag nicht mehr gebunden.</w:t>
      </w:r>
    </w:p>
    <w:p w14:paraId="12B21D68" w14:textId="77777777" w:rsidR="003E6C61" w:rsidRPr="004676F5" w:rsidRDefault="003E6C61" w:rsidP="003E6C61">
      <w:pPr>
        <w:ind w:firstLine="708"/>
        <w:jc w:val="both"/>
        <w:rPr>
          <w:lang w:val="de-DE"/>
        </w:rPr>
      </w:pPr>
    </w:p>
    <w:p w14:paraId="561ED601" w14:textId="32F010E0" w:rsidR="003E6C61" w:rsidRPr="004676F5" w:rsidRDefault="003E6C61" w:rsidP="003E6C61">
      <w:pPr>
        <w:ind w:firstLine="708"/>
        <w:jc w:val="both"/>
        <w:rPr>
          <w:lang w:val="de-DE"/>
        </w:rPr>
      </w:pPr>
      <w:r w:rsidRPr="004676F5">
        <w:rPr>
          <w:lang w:val="de-DE"/>
        </w:rPr>
        <w:t>Werden die unter einen verbundenen Kreditvertrag fallenden Waren oder Dienst</w:t>
      </w:r>
      <w:r w:rsidRPr="004676F5">
        <w:rPr>
          <w:lang w:val="de-DE"/>
        </w:rPr>
        <w:softHyphen/>
        <w:t>leistungen nicht oder nur teilweise geliefert oder entsprechen sie nicht dem Warenlieferungs</w:t>
      </w:r>
      <w:r w:rsidR="005B7A5C" w:rsidRPr="004676F5">
        <w:rPr>
          <w:lang w:val="de-DE"/>
        </w:rPr>
        <w:t>- </w:t>
      </w:r>
      <w:r w:rsidRPr="004676F5">
        <w:rPr>
          <w:lang w:val="de-DE"/>
        </w:rPr>
        <w:t>oder Dienstleistungsvertrag, so kann der Verbraucher Rechte gegen den Kreditgeber geltend machen, wenn er nach den geltenden Rechtsvorschriften oder den Bestimmungen des Warenlieferungs</w:t>
      </w:r>
      <w:r w:rsidR="005B7A5C" w:rsidRPr="004676F5">
        <w:rPr>
          <w:lang w:val="de-DE"/>
        </w:rPr>
        <w:t>- </w:t>
      </w:r>
      <w:r w:rsidRPr="004676F5">
        <w:rPr>
          <w:lang w:val="de-DE"/>
        </w:rPr>
        <w:t>oder Dienstleistungsvertrags seine Rechte gegen den Lieferanten oder den Dienstleistungserbringer geltend gemacht hat, diese aber nicht durchsetzen konnte.</w:t>
      </w:r>
    </w:p>
    <w:p w14:paraId="7804B92E" w14:textId="77777777" w:rsidR="003E6C61" w:rsidRPr="004676F5" w:rsidRDefault="003E6C61" w:rsidP="003E6C61">
      <w:pPr>
        <w:ind w:firstLine="708"/>
        <w:jc w:val="both"/>
        <w:rPr>
          <w:lang w:val="de-DE"/>
        </w:rPr>
      </w:pPr>
    </w:p>
    <w:p w14:paraId="68410B3A" w14:textId="77777777" w:rsidR="003E6C61" w:rsidRPr="004676F5" w:rsidRDefault="003E6C61" w:rsidP="003E6C61">
      <w:pPr>
        <w:ind w:firstLine="708"/>
        <w:jc w:val="both"/>
        <w:rPr>
          <w:lang w:val="de-DE"/>
        </w:rPr>
      </w:pPr>
      <w:r w:rsidRPr="004676F5">
        <w:rPr>
          <w:lang w:val="de-DE"/>
        </w:rPr>
        <w:t>Eine Einrede kann dem Kreditgeber gegenüber nur geltend gemacht werden, wenn:</w:t>
      </w:r>
    </w:p>
    <w:p w14:paraId="2258911B" w14:textId="77777777" w:rsidR="003E6C61" w:rsidRPr="004676F5" w:rsidRDefault="003E6C61" w:rsidP="003E6C61">
      <w:pPr>
        <w:ind w:firstLine="708"/>
        <w:jc w:val="both"/>
        <w:rPr>
          <w:lang w:val="de-DE"/>
        </w:rPr>
      </w:pPr>
    </w:p>
    <w:p w14:paraId="3AC374E7" w14:textId="77777777" w:rsidR="003E6C61" w:rsidRPr="004676F5" w:rsidRDefault="003E6C61" w:rsidP="003E6C61">
      <w:pPr>
        <w:ind w:firstLine="708"/>
        <w:jc w:val="both"/>
        <w:rPr>
          <w:lang w:val="de-DE"/>
        </w:rPr>
      </w:pPr>
      <w:r w:rsidRPr="004676F5">
        <w:rPr>
          <w:lang w:val="de-DE"/>
        </w:rPr>
        <w:t>1. der Verbraucher den Verkäufer der Ware oder den Dienstleistungserbringer in Bezug auf die Ausführung der Verpflichtungen aus dem Vertrag per Einschreibesendung in Verzug gesetzt hat, ohne dass die Verpflichtungen innerhalb eines Monats ab Versendedatum erfüllt worden sind,</w:t>
      </w:r>
    </w:p>
    <w:p w14:paraId="77688F51" w14:textId="77777777" w:rsidR="003E6C61" w:rsidRPr="004676F5" w:rsidRDefault="003E6C61" w:rsidP="003E6C61">
      <w:pPr>
        <w:ind w:firstLine="708"/>
        <w:jc w:val="both"/>
        <w:rPr>
          <w:lang w:val="de-DE"/>
        </w:rPr>
      </w:pPr>
    </w:p>
    <w:p w14:paraId="014F089F" w14:textId="77777777" w:rsidR="003E6C61" w:rsidRPr="004676F5" w:rsidRDefault="003E6C61" w:rsidP="003E6C61">
      <w:pPr>
        <w:ind w:firstLine="708"/>
        <w:jc w:val="both"/>
        <w:rPr>
          <w:lang w:val="de-DE"/>
        </w:rPr>
      </w:pPr>
      <w:r w:rsidRPr="004676F5">
        <w:rPr>
          <w:lang w:val="de-DE"/>
        </w:rPr>
        <w:t>2. der Verbraucher den Kreditgeber informiert hat, dass er die noch ausstehenden Zahlungen auf ein gesperrtes Konto einzahlen wird, wenn der Verkäufer der Ware oder der Dienstleistungserbringer den Vertrag nicht gemäß Nr. 1 erfüllt. Der König kann Modalitäten für die Eröffnung und Führung dieses Kontos bestimmen.</w:t>
      </w:r>
    </w:p>
    <w:p w14:paraId="500A6858" w14:textId="77777777" w:rsidR="003E6C61" w:rsidRPr="004676F5" w:rsidRDefault="003E6C61" w:rsidP="003E6C61">
      <w:pPr>
        <w:ind w:firstLine="708"/>
        <w:jc w:val="both"/>
        <w:rPr>
          <w:lang w:val="de-DE"/>
        </w:rPr>
      </w:pPr>
    </w:p>
    <w:p w14:paraId="3A51D4BB" w14:textId="77777777" w:rsidR="003E6C61" w:rsidRPr="004676F5" w:rsidRDefault="003E6C61" w:rsidP="003E6C61">
      <w:pPr>
        <w:ind w:firstLine="708"/>
        <w:jc w:val="both"/>
        <w:rPr>
          <w:lang w:val="de-DE"/>
        </w:rPr>
      </w:pPr>
      <w:r w:rsidRPr="004676F5">
        <w:rPr>
          <w:lang w:val="de-DE"/>
        </w:rPr>
        <w:t>Zinsen des so hinterlegten Betrags werden zum Kapital geschlagen.</w:t>
      </w:r>
    </w:p>
    <w:p w14:paraId="705AEA4A" w14:textId="77777777" w:rsidR="003E6C61" w:rsidRPr="004676F5" w:rsidRDefault="003E6C61" w:rsidP="003E6C61">
      <w:pPr>
        <w:ind w:firstLine="708"/>
        <w:jc w:val="both"/>
        <w:rPr>
          <w:lang w:val="de-DE"/>
        </w:rPr>
      </w:pPr>
    </w:p>
    <w:p w14:paraId="6ADB0959" w14:textId="77777777" w:rsidR="003E6C61" w:rsidRPr="004676F5" w:rsidRDefault="003E6C61" w:rsidP="003E6C61">
      <w:pPr>
        <w:ind w:firstLine="708"/>
        <w:jc w:val="both"/>
        <w:rPr>
          <w:lang w:val="de-DE"/>
        </w:rPr>
      </w:pPr>
      <w:r w:rsidRPr="004676F5">
        <w:rPr>
          <w:lang w:val="de-DE"/>
        </w:rPr>
        <w:lastRenderedPageBreak/>
        <w:t>Durch das alleinige Bestehen der Depositen erhält der Kreditgeber Vorzugsrecht auf das Kontoguthaben für jegliche Forderung, die sich aus der vollständigen oder teilweisen Nichterfüllung der Verbindlichkeiten des Verbrauchers ergibt.</w:t>
      </w:r>
    </w:p>
    <w:p w14:paraId="70028DE5" w14:textId="77777777" w:rsidR="003E6C61" w:rsidRPr="004676F5" w:rsidRDefault="003E6C61" w:rsidP="003E6C61">
      <w:pPr>
        <w:ind w:firstLine="708"/>
        <w:jc w:val="both"/>
        <w:rPr>
          <w:lang w:val="de-DE"/>
        </w:rPr>
      </w:pPr>
    </w:p>
    <w:p w14:paraId="2D0A800E" w14:textId="77777777" w:rsidR="003E6C61" w:rsidRPr="004676F5" w:rsidRDefault="003E6C61" w:rsidP="003E6C61">
      <w:pPr>
        <w:ind w:firstLine="708"/>
        <w:jc w:val="both"/>
        <w:rPr>
          <w:lang w:val="de-DE"/>
        </w:rPr>
      </w:pPr>
      <w:r w:rsidRPr="004676F5">
        <w:rPr>
          <w:lang w:val="de-DE"/>
        </w:rPr>
        <w:t>Über den hinterlegten Betrag kann nur zugunsten der einen oder anderen Partei verfügt werden, sofern eine schriftliche Vereinbarung vorgelegt wird, die erstellt wurde, nachdem der Betrag auf dem vorerwähnten Konto gesperrt wurde, oder sofern eine beglaubigte Abschrift der Ausfertigung einer gerichtlichen Entscheidung vorgelegt wird. Diese Entscheidung ist ungeachtet eines Einspruchs oder einer Berufung ohne Kaution oder Sicherheitsleistung vorläufig vollstreckbar.</w:t>
      </w:r>
    </w:p>
    <w:p w14:paraId="06DF684A" w14:textId="77777777" w:rsidR="003E6C61" w:rsidRPr="004676F5" w:rsidRDefault="003E6C61" w:rsidP="003E6C61">
      <w:pPr>
        <w:ind w:firstLine="708"/>
        <w:jc w:val="both"/>
        <w:rPr>
          <w:lang w:val="de-DE"/>
        </w:rPr>
      </w:pPr>
    </w:p>
    <w:p w14:paraId="43B09222" w14:textId="77777777" w:rsidR="002E20BA" w:rsidRPr="004676F5" w:rsidRDefault="002E20BA" w:rsidP="003E6C61">
      <w:pPr>
        <w:ind w:firstLine="708"/>
        <w:jc w:val="both"/>
        <w:rPr>
          <w:lang w:val="de-DE"/>
        </w:rPr>
      </w:pPr>
    </w:p>
    <w:p w14:paraId="67E3057B" w14:textId="062F608A" w:rsidR="003E6C61" w:rsidRPr="004676F5" w:rsidRDefault="00BE0A56" w:rsidP="003E6C61">
      <w:pPr>
        <w:ind w:firstLine="708"/>
        <w:jc w:val="both"/>
        <w:rPr>
          <w:lang w:val="de-DE"/>
        </w:rPr>
      </w:pPr>
      <w:r w:rsidRPr="004676F5">
        <w:rPr>
          <w:b/>
          <w:lang w:val="de-DE"/>
        </w:rPr>
        <w:t>Art. </w:t>
      </w:r>
      <w:r w:rsidR="003E6C61" w:rsidRPr="004676F5">
        <w:rPr>
          <w:b/>
          <w:lang w:val="de-DE"/>
        </w:rPr>
        <w:t>VII.147/7</w:t>
      </w:r>
      <w:r w:rsidR="003E6C61" w:rsidRPr="004676F5">
        <w:rPr>
          <w:lang w:val="de-DE"/>
        </w:rPr>
        <w:t> </w:t>
      </w:r>
      <w:r w:rsidR="005B7A5C" w:rsidRPr="004676F5">
        <w:rPr>
          <w:lang w:val="de-DE"/>
        </w:rPr>
        <w:t>- </w:t>
      </w:r>
      <w:r w:rsidR="003E6C61" w:rsidRPr="004676F5">
        <w:rPr>
          <w:lang w:val="de-DE"/>
        </w:rPr>
        <w:t>Ist in einem Kreditvertrag im Fernabsatz die finanzierte Ware, die im Fernabsatz verkauft wird, erwähnt oder wird der Kreditbetrag oder der aufgenommene Betrag sofort vom Kreditgeber an den Fernverkäufer gezahlt, kann die Lieferung der Ware in Abweichung von den Artikeln VII.139 Absatz 1 und VII.147/3 vor Abschluss des Kredit</w:t>
      </w:r>
      <w:r w:rsidR="003E6C61" w:rsidRPr="004676F5">
        <w:rPr>
          <w:lang w:val="de-DE"/>
        </w:rPr>
        <w:softHyphen/>
        <w:t>vertrags erfolgen, sofern der Verbraucher rechtzeitig vor der Lieferung über die Vertragsbe</w:t>
      </w:r>
      <w:r w:rsidR="003E6C61" w:rsidRPr="004676F5">
        <w:rPr>
          <w:lang w:val="de-DE"/>
        </w:rPr>
        <w:softHyphen/>
        <w:t>dingungen und die Information nach Artikel VI.57 § 1 verfügt.</w:t>
      </w:r>
    </w:p>
    <w:p w14:paraId="0B562571" w14:textId="77777777" w:rsidR="003E6C61" w:rsidRPr="004676F5" w:rsidRDefault="003E6C61" w:rsidP="003E6C61">
      <w:pPr>
        <w:ind w:firstLine="708"/>
        <w:jc w:val="both"/>
        <w:rPr>
          <w:lang w:val="de-DE"/>
        </w:rPr>
      </w:pPr>
    </w:p>
    <w:p w14:paraId="02E706CB" w14:textId="77777777" w:rsidR="002E20BA" w:rsidRPr="004676F5" w:rsidRDefault="002E20BA" w:rsidP="003E6C61">
      <w:pPr>
        <w:jc w:val="center"/>
        <w:rPr>
          <w:lang w:val="de-DE"/>
        </w:rPr>
      </w:pPr>
    </w:p>
    <w:p w14:paraId="30A43B76" w14:textId="6080468C" w:rsidR="003E6C61" w:rsidRPr="004676F5" w:rsidRDefault="003E6C61" w:rsidP="003E6C61">
      <w:pPr>
        <w:jc w:val="center"/>
        <w:rPr>
          <w:lang w:val="de-DE"/>
        </w:rPr>
      </w:pPr>
      <w:r w:rsidRPr="004676F5">
        <w:rPr>
          <w:lang w:val="de-DE"/>
        </w:rPr>
        <w:t>Unterabschnitt 3 </w:t>
      </w:r>
      <w:r w:rsidR="005B7A5C" w:rsidRPr="004676F5">
        <w:rPr>
          <w:lang w:val="de-DE"/>
        </w:rPr>
        <w:t>- </w:t>
      </w:r>
      <w:r w:rsidRPr="004676F5">
        <w:rPr>
          <w:lang w:val="de-DE"/>
        </w:rPr>
        <w:t>Kosten und maximale Rückzahlungsfristen</w:t>
      </w:r>
    </w:p>
    <w:p w14:paraId="2789E9C5" w14:textId="77777777" w:rsidR="003E6C61" w:rsidRPr="004676F5" w:rsidRDefault="003E6C61" w:rsidP="003E6C61">
      <w:pPr>
        <w:ind w:firstLine="708"/>
        <w:jc w:val="both"/>
        <w:rPr>
          <w:lang w:val="de-DE"/>
        </w:rPr>
      </w:pPr>
    </w:p>
    <w:p w14:paraId="70DA047A" w14:textId="77777777" w:rsidR="002E20BA" w:rsidRPr="004676F5" w:rsidRDefault="002E20BA" w:rsidP="003E6C61">
      <w:pPr>
        <w:ind w:firstLine="708"/>
        <w:jc w:val="both"/>
        <w:rPr>
          <w:lang w:val="de-DE"/>
        </w:rPr>
      </w:pPr>
    </w:p>
    <w:p w14:paraId="76EABB52" w14:textId="323CB170" w:rsidR="003E6C61" w:rsidRPr="004676F5" w:rsidRDefault="00BE0A56" w:rsidP="003E6C61">
      <w:pPr>
        <w:ind w:firstLine="708"/>
        <w:jc w:val="both"/>
        <w:rPr>
          <w:lang w:val="de-DE"/>
        </w:rPr>
      </w:pPr>
      <w:r w:rsidRPr="004676F5">
        <w:rPr>
          <w:b/>
          <w:lang w:val="de-DE"/>
        </w:rPr>
        <w:t>Art. </w:t>
      </w:r>
      <w:r w:rsidR="003E6C61" w:rsidRPr="004676F5">
        <w:rPr>
          <w:b/>
          <w:lang w:val="de-DE"/>
        </w:rPr>
        <w:t>VII.147/8</w:t>
      </w:r>
      <w:r w:rsidR="003E6C61" w:rsidRPr="004676F5">
        <w:rPr>
          <w:lang w:val="de-DE"/>
        </w:rPr>
        <w:t> </w:t>
      </w:r>
      <w:r w:rsidR="005B7A5C" w:rsidRPr="004676F5">
        <w:rPr>
          <w:lang w:val="de-DE"/>
        </w:rPr>
        <w:t>- </w:t>
      </w:r>
      <w:r w:rsidR="003E6C61" w:rsidRPr="004676F5">
        <w:rPr>
          <w:lang w:val="de-DE"/>
        </w:rPr>
        <w:t>Die Bestimmungen des vorliegenden Unterabschnitts sind auf Mobiliar</w:t>
      </w:r>
      <w:r w:rsidR="003E6C61" w:rsidRPr="004676F5">
        <w:rPr>
          <w:lang w:val="de-DE"/>
        </w:rPr>
        <w:softHyphen/>
        <w:t>hypothekarkredite anwendbar.</w:t>
      </w:r>
    </w:p>
    <w:p w14:paraId="2621347F" w14:textId="77777777" w:rsidR="003E6C61" w:rsidRPr="004676F5" w:rsidRDefault="003E6C61" w:rsidP="003E6C61">
      <w:pPr>
        <w:ind w:firstLine="708"/>
        <w:jc w:val="both"/>
        <w:rPr>
          <w:lang w:val="de-DE"/>
        </w:rPr>
      </w:pPr>
    </w:p>
    <w:p w14:paraId="62E7C1C7" w14:textId="77777777" w:rsidR="002E20BA" w:rsidRPr="004676F5" w:rsidRDefault="002E20BA" w:rsidP="003E6C61">
      <w:pPr>
        <w:ind w:firstLine="708"/>
        <w:jc w:val="both"/>
        <w:rPr>
          <w:lang w:val="de-DE"/>
        </w:rPr>
      </w:pPr>
    </w:p>
    <w:p w14:paraId="7001E0BB" w14:textId="57C1A1F9" w:rsidR="003E6C61" w:rsidRPr="004676F5" w:rsidRDefault="00BE0A56" w:rsidP="003E6C61">
      <w:pPr>
        <w:ind w:firstLine="708"/>
        <w:jc w:val="both"/>
        <w:rPr>
          <w:lang w:val="de-DE"/>
        </w:rPr>
      </w:pPr>
      <w:r w:rsidRPr="004676F5">
        <w:rPr>
          <w:b/>
          <w:lang w:val="de-DE"/>
        </w:rPr>
        <w:t>Art. </w:t>
      </w:r>
      <w:r w:rsidR="003E6C61" w:rsidRPr="004676F5">
        <w:rPr>
          <w:b/>
          <w:lang w:val="de-DE"/>
        </w:rPr>
        <w:t>VII.147/9</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Der König bestimmt das Verfahren zur Festlegung und gegebenenfalls zur Anpassung der Sätze des maximalen effektiven Jahreszinses. Er legt je nach Art, Betrag und eventuell Laufzeit des Kredits den maximalen effektiven Jahreszins fest.</w:t>
      </w:r>
    </w:p>
    <w:p w14:paraId="1317664A" w14:textId="77777777" w:rsidR="003E6C61" w:rsidRPr="004676F5" w:rsidRDefault="003E6C61" w:rsidP="003E6C61">
      <w:pPr>
        <w:ind w:firstLine="708"/>
        <w:jc w:val="both"/>
        <w:rPr>
          <w:lang w:val="de-DE"/>
        </w:rPr>
      </w:pPr>
    </w:p>
    <w:p w14:paraId="03BBDE35" w14:textId="6A044E2C"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Muss bei der Berechnung des effektiven Jahreszinses auf Hypothesen zurückgegriffen werden, kann der König gemäß den in § 1 erwähnten Bestimmungen ebenfalls die maximalen Kreditkosten festlegen, und zwar unter anderem den maximalen Sollzins und gegebenenfalls die maximalen wiederkehrenden und die maximalen einmaligen Kosten, die mit der Krediteröffnung verbunden sind.</w:t>
      </w:r>
    </w:p>
    <w:p w14:paraId="59484901" w14:textId="77777777" w:rsidR="003E6C61" w:rsidRPr="004676F5" w:rsidRDefault="003E6C61" w:rsidP="003E6C61">
      <w:pPr>
        <w:ind w:firstLine="708"/>
        <w:jc w:val="both"/>
        <w:rPr>
          <w:lang w:val="de-DE"/>
        </w:rPr>
      </w:pPr>
    </w:p>
    <w:p w14:paraId="45259C94" w14:textId="766EBC78"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Die aufgrund des vorliegenden Artikels festgelegten Sätze bleiben auf jeden Fall bis zu ihrer Revision anwendbar.</w:t>
      </w:r>
    </w:p>
    <w:p w14:paraId="4EF4C536" w14:textId="77777777" w:rsidR="003E6C61" w:rsidRPr="004676F5" w:rsidRDefault="003E6C61" w:rsidP="003E6C61">
      <w:pPr>
        <w:ind w:firstLine="708"/>
        <w:jc w:val="both"/>
        <w:rPr>
          <w:lang w:val="de-DE"/>
        </w:rPr>
      </w:pPr>
    </w:p>
    <w:p w14:paraId="1F3E9497" w14:textId="77777777" w:rsidR="003E6C61" w:rsidRPr="004676F5" w:rsidRDefault="003E6C61" w:rsidP="003E6C61">
      <w:pPr>
        <w:ind w:firstLine="708"/>
        <w:jc w:val="both"/>
        <w:rPr>
          <w:lang w:val="de-DE"/>
        </w:rPr>
      </w:pPr>
      <w:r w:rsidRPr="004676F5">
        <w:rPr>
          <w:lang w:val="de-DE"/>
        </w:rPr>
        <w:t>Senkungen des maximalen effektiven Jahreszinses und gegebenenfalls der maximalen Kreditkosten sind sofort auf laufende Kreditverträge anwendbar, die in den Grenzen des vorliegenden Buches die Variabilität des effektiven Jahreszinses oder Sollzinses vorsehen.</w:t>
      </w:r>
    </w:p>
    <w:p w14:paraId="3ED734E1" w14:textId="77777777" w:rsidR="003E6C61" w:rsidRPr="004676F5" w:rsidRDefault="003E6C61" w:rsidP="003E6C61">
      <w:pPr>
        <w:ind w:firstLine="708"/>
        <w:jc w:val="both"/>
        <w:rPr>
          <w:lang w:val="de-DE"/>
        </w:rPr>
      </w:pPr>
    </w:p>
    <w:p w14:paraId="61147547" w14:textId="77777777" w:rsidR="002E20BA" w:rsidRPr="004676F5" w:rsidRDefault="002E20BA" w:rsidP="003E6C61">
      <w:pPr>
        <w:ind w:firstLine="708"/>
        <w:jc w:val="both"/>
        <w:rPr>
          <w:lang w:val="de-DE"/>
        </w:rPr>
      </w:pPr>
    </w:p>
    <w:p w14:paraId="68E400F4" w14:textId="669255C3" w:rsidR="003E6C61" w:rsidRPr="004676F5" w:rsidRDefault="00BE0A56" w:rsidP="003E6C61">
      <w:pPr>
        <w:ind w:firstLine="708"/>
        <w:jc w:val="both"/>
        <w:rPr>
          <w:lang w:val="de-DE"/>
        </w:rPr>
      </w:pPr>
      <w:r w:rsidRPr="004676F5">
        <w:rPr>
          <w:b/>
          <w:lang w:val="de-DE"/>
        </w:rPr>
        <w:t>Art. </w:t>
      </w:r>
      <w:r w:rsidR="003E6C61" w:rsidRPr="004676F5">
        <w:rPr>
          <w:b/>
          <w:lang w:val="de-DE"/>
        </w:rPr>
        <w:t>VII.147/10</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Der König kann je nach Darlehensbetrag und Kreditart die maximale Rückzahlungsfrist bestimmen.</w:t>
      </w:r>
    </w:p>
    <w:p w14:paraId="0E057A85" w14:textId="77777777" w:rsidR="003E6C61" w:rsidRPr="004676F5" w:rsidRDefault="003E6C61" w:rsidP="003E6C61">
      <w:pPr>
        <w:ind w:firstLine="708"/>
        <w:jc w:val="both"/>
        <w:rPr>
          <w:lang w:val="de-DE"/>
        </w:rPr>
      </w:pPr>
    </w:p>
    <w:p w14:paraId="0339E6AF" w14:textId="3A10CEB6"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In unbefristeten oder auf mehr als fünf Jahre befristeten Krediteröffnungen muss eine Frist zur Erreichung des Nullwertes, in der der zurückzuzahlende Gesamtbetrag beglichen werden muss, festgelegt werden. Der König kann eine maximale Frist zur Erreichung des Nullwertes festlegen.</w:t>
      </w:r>
    </w:p>
    <w:p w14:paraId="5F537B0C" w14:textId="77777777" w:rsidR="003E6C61" w:rsidRPr="004676F5" w:rsidRDefault="003E6C61" w:rsidP="003E6C61">
      <w:pPr>
        <w:ind w:firstLine="708"/>
        <w:jc w:val="both"/>
        <w:rPr>
          <w:lang w:val="de-DE"/>
        </w:rPr>
      </w:pPr>
    </w:p>
    <w:p w14:paraId="20A47366" w14:textId="1FAC1DE9"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Ermöglicht ein Kreditvertrag mit festen Ratenbeträgen die Variabilität des effektiven Sollzinses, enthält er die Bestimmung, dass der Verbraucher im Fall einer Anpassung die Aufrechterhaltung der Rate und die Verlängerung oder Verkürzung der vereinbarten Rückzahlungsfrist verlangen kann. Die Ausübung dieses Rechts kann zur Überschreitung der in § 1 erwähnten maximalen Rückzahlungsfrist führen.</w:t>
      </w:r>
    </w:p>
    <w:p w14:paraId="5FEBDA15" w14:textId="77777777" w:rsidR="003E6C61" w:rsidRPr="004676F5" w:rsidRDefault="003E6C61" w:rsidP="003E6C61">
      <w:pPr>
        <w:ind w:firstLine="708"/>
        <w:jc w:val="both"/>
        <w:rPr>
          <w:lang w:val="de-DE"/>
        </w:rPr>
      </w:pPr>
    </w:p>
    <w:p w14:paraId="761A4326" w14:textId="77777777" w:rsidR="003E6C61" w:rsidRPr="004676F5" w:rsidRDefault="003E6C61" w:rsidP="003E6C61">
      <w:pPr>
        <w:ind w:firstLine="708"/>
        <w:jc w:val="both"/>
        <w:rPr>
          <w:lang w:val="de-DE"/>
        </w:rPr>
      </w:pPr>
      <w:r w:rsidRPr="004676F5">
        <w:rPr>
          <w:lang w:val="de-DE"/>
        </w:rPr>
        <w:t>Vor Abschluss des Kreditvertrags setzt der Kreditgeber den Verbraucher ausdrücklich über dieses Recht in Kenntnis.</w:t>
      </w:r>
    </w:p>
    <w:p w14:paraId="688EFBBE" w14:textId="77777777" w:rsidR="003E6C61" w:rsidRPr="004676F5" w:rsidRDefault="003E6C61" w:rsidP="003E6C61">
      <w:pPr>
        <w:ind w:firstLine="708"/>
        <w:jc w:val="both"/>
        <w:rPr>
          <w:lang w:val="de-DE"/>
        </w:rPr>
      </w:pPr>
    </w:p>
    <w:p w14:paraId="505C9A70" w14:textId="2096F3D7"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Spätestens zwei Monate vor Ablauf der Frist zur Erreichung des Nullwertes setzt der Kreditgeber den Verbraucher mit allen zweckdienlichen Kommunikationsmitteln davon in Kenntnis.</w:t>
      </w:r>
    </w:p>
    <w:p w14:paraId="0B9DA28B" w14:textId="77777777" w:rsidR="003E6C61" w:rsidRPr="004676F5" w:rsidRDefault="003E6C61" w:rsidP="003E6C61">
      <w:pPr>
        <w:jc w:val="both"/>
        <w:rPr>
          <w:lang w:val="de-DE"/>
        </w:rPr>
      </w:pPr>
    </w:p>
    <w:p w14:paraId="39715888" w14:textId="77777777" w:rsidR="002E20BA" w:rsidRPr="004676F5" w:rsidRDefault="002E20BA" w:rsidP="003E6C61">
      <w:pPr>
        <w:jc w:val="both"/>
        <w:rPr>
          <w:lang w:val="de-DE"/>
        </w:rPr>
      </w:pPr>
    </w:p>
    <w:p w14:paraId="544E3027" w14:textId="679B13C1" w:rsidR="003E6C61" w:rsidRPr="004676F5" w:rsidRDefault="003E6C61" w:rsidP="003E6C61">
      <w:pPr>
        <w:jc w:val="center"/>
        <w:rPr>
          <w:lang w:val="de-DE"/>
        </w:rPr>
      </w:pPr>
      <w:r w:rsidRPr="004676F5">
        <w:rPr>
          <w:lang w:val="de-DE"/>
        </w:rPr>
        <w:t>Unterabschnitt 4 </w:t>
      </w:r>
      <w:r w:rsidR="005B7A5C" w:rsidRPr="004676F5">
        <w:rPr>
          <w:lang w:val="de-DE"/>
        </w:rPr>
        <w:t>- </w:t>
      </w:r>
      <w:r w:rsidRPr="004676F5">
        <w:rPr>
          <w:lang w:val="de-DE"/>
        </w:rPr>
        <w:t>Modalitäten der vorzeitigen Rückzahlung und der Kündigung eines Kreditvertrags</w:t>
      </w:r>
    </w:p>
    <w:p w14:paraId="569A33EA" w14:textId="77777777" w:rsidR="003E6C61" w:rsidRPr="004676F5" w:rsidRDefault="003E6C61" w:rsidP="003E6C61">
      <w:pPr>
        <w:jc w:val="both"/>
        <w:rPr>
          <w:lang w:val="de-DE"/>
        </w:rPr>
      </w:pPr>
    </w:p>
    <w:p w14:paraId="74C6797D" w14:textId="77777777" w:rsidR="002E20BA" w:rsidRPr="004676F5" w:rsidRDefault="002E20BA" w:rsidP="003E6C61">
      <w:pPr>
        <w:jc w:val="both"/>
        <w:rPr>
          <w:lang w:val="de-DE"/>
        </w:rPr>
      </w:pPr>
    </w:p>
    <w:p w14:paraId="7D2F964F" w14:textId="7B89746F" w:rsidR="003E6C61" w:rsidRPr="004676F5" w:rsidRDefault="00BE0A56" w:rsidP="003E6C61">
      <w:pPr>
        <w:ind w:firstLine="708"/>
        <w:jc w:val="both"/>
        <w:rPr>
          <w:lang w:val="de-DE"/>
        </w:rPr>
      </w:pPr>
      <w:r w:rsidRPr="004676F5">
        <w:rPr>
          <w:b/>
          <w:lang w:val="de-DE"/>
        </w:rPr>
        <w:t>Art. </w:t>
      </w:r>
      <w:r w:rsidR="003E6C61" w:rsidRPr="004676F5">
        <w:rPr>
          <w:b/>
          <w:lang w:val="de-DE"/>
        </w:rPr>
        <w:t>VII.147/11</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Der Verbraucher ist jederzeit berechtigt, den geschuldeten Restbetrag an Kapital vorzeitig zurückzuzahlen. In diesem Fall hat er Anrecht auf Ermäßigung der Gesamtkosten des Kredits für den Verbraucher, die den Zinsen und Kosten für die verbleibende Laufzeit des Kreditvertrags entspricht.</w:t>
      </w:r>
    </w:p>
    <w:p w14:paraId="25A6561A" w14:textId="77777777" w:rsidR="003E6C61" w:rsidRPr="004676F5" w:rsidRDefault="003E6C61" w:rsidP="003E6C61">
      <w:pPr>
        <w:ind w:firstLine="708"/>
        <w:jc w:val="both"/>
        <w:rPr>
          <w:lang w:val="de-DE"/>
        </w:rPr>
      </w:pPr>
    </w:p>
    <w:p w14:paraId="7941F198" w14:textId="77777777" w:rsidR="003E6C61" w:rsidRPr="004676F5" w:rsidRDefault="003E6C61" w:rsidP="003E6C61">
      <w:pPr>
        <w:ind w:firstLine="708"/>
        <w:jc w:val="both"/>
        <w:rPr>
          <w:lang w:val="de-DE"/>
        </w:rPr>
      </w:pPr>
      <w:r w:rsidRPr="004676F5">
        <w:rPr>
          <w:lang w:val="de-DE"/>
        </w:rPr>
        <w:t>Vorbehaltlich anders lautender Bestimmung im Kreditvertrag hat der Verbraucher das Recht, das Kapital jederzeit teilweise zurückzuzahlen. In diesem Fall hat er Anrecht auf Ermäßigung der Gesamtkosten des Kredits für den Verbraucher, die den Zinsen und Kosten für den Zeitraum entspricht, auf den sich die vorzeitige Rückzahlung bezieht. Eine anders lautende Bestimmung darf weder eine Teilrückzahlung einmal pro Kalenderjahr noch eine Rückzahlung von mindestens 10 Prozent des Kapitals ausschließen.</w:t>
      </w:r>
    </w:p>
    <w:p w14:paraId="71DE3F5D" w14:textId="77777777" w:rsidR="003E6C61" w:rsidRPr="004676F5" w:rsidRDefault="003E6C61" w:rsidP="003E6C61">
      <w:pPr>
        <w:ind w:firstLine="708"/>
        <w:jc w:val="both"/>
        <w:rPr>
          <w:lang w:val="de-DE"/>
        </w:rPr>
      </w:pPr>
    </w:p>
    <w:p w14:paraId="7631C965" w14:textId="77777777" w:rsidR="003E6C61" w:rsidRPr="004676F5" w:rsidRDefault="003E6C61" w:rsidP="003E6C61">
      <w:pPr>
        <w:ind w:firstLine="708"/>
        <w:jc w:val="both"/>
        <w:rPr>
          <w:lang w:val="de-DE"/>
        </w:rPr>
      </w:pPr>
      <w:r w:rsidRPr="004676F5">
        <w:rPr>
          <w:lang w:val="de-DE"/>
        </w:rPr>
        <w:t>Ein Verbraucher, der seinen Kredit ganz oder teilweise vorzeitig zurückzahlen will, informiert den Kreditgeber mindestens zehn Tage vor der Rückzahlung per Einschreibesendung über seine Absicht.</w:t>
      </w:r>
    </w:p>
    <w:p w14:paraId="6F081635" w14:textId="77777777" w:rsidR="003E6C61" w:rsidRPr="004676F5" w:rsidRDefault="003E6C61" w:rsidP="003E6C61">
      <w:pPr>
        <w:ind w:firstLine="708"/>
        <w:jc w:val="both"/>
        <w:rPr>
          <w:lang w:val="de-DE"/>
        </w:rPr>
      </w:pPr>
    </w:p>
    <w:p w14:paraId="2448EC76" w14:textId="60DCF6A6"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 xml:space="preserve">Beabsichtigt ein Verbraucher, seine Verbindlichkeiten aus einem Kreditvertrag vor Ablauf des Vertrags zu erfüllen, so erteilt der Kreditgeber dem Verbraucher unverzüglich nach Eingang des Antrags die für die Prüfung dieser Möglichkeit erforderlichen Informationen </w:t>
      </w:r>
      <w:r w:rsidR="003658CE" w:rsidRPr="004676F5">
        <w:rPr>
          <w:lang w:val="de-DE"/>
        </w:rPr>
        <w:t>[auf dauerhaftem Datenträger]</w:t>
      </w:r>
      <w:r w:rsidRPr="004676F5">
        <w:rPr>
          <w:lang w:val="de-DE"/>
        </w:rPr>
        <w:t>. Diese Informationen müssen mindestens eine Quantifizierung der Auswirkungen der Erfüllung der Verbindlichkeiten vor Ablauf des Kreditvertrags für den Verbraucher enthalten und etwaige herangezogene Annahmen klar angeben. Alle herangezo</w:t>
      </w:r>
      <w:r w:rsidRPr="004676F5">
        <w:rPr>
          <w:lang w:val="de-DE"/>
        </w:rPr>
        <w:softHyphen/>
        <w:t>genen Annahmen müssen vernünftig und zu rechtfertigen sein.</w:t>
      </w:r>
    </w:p>
    <w:p w14:paraId="1CA4326D" w14:textId="77777777" w:rsidR="003E6C61" w:rsidRPr="004676F5" w:rsidRDefault="003E6C61" w:rsidP="003E6C61">
      <w:pPr>
        <w:ind w:firstLine="708"/>
        <w:jc w:val="both"/>
        <w:rPr>
          <w:lang w:val="de-DE"/>
        </w:rPr>
      </w:pPr>
    </w:p>
    <w:p w14:paraId="622F44FB" w14:textId="4EB4049E"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Im Falle der Kapitalwiederherstellung hat der Verbraucher bei Rückzahlung folgende Wahlmöglichkeiten:</w:t>
      </w:r>
    </w:p>
    <w:p w14:paraId="4A7632AA" w14:textId="77777777" w:rsidR="003E6C61" w:rsidRPr="004676F5" w:rsidRDefault="003E6C61" w:rsidP="003E6C61">
      <w:pPr>
        <w:ind w:firstLine="708"/>
        <w:jc w:val="both"/>
        <w:rPr>
          <w:lang w:val="de-DE"/>
        </w:rPr>
      </w:pPr>
    </w:p>
    <w:p w14:paraId="338289A9" w14:textId="77777777" w:rsidR="003E6C61" w:rsidRPr="004676F5" w:rsidRDefault="003E6C61" w:rsidP="003E6C61">
      <w:pPr>
        <w:ind w:firstLine="708"/>
        <w:jc w:val="both"/>
        <w:rPr>
          <w:lang w:val="de-DE"/>
        </w:rPr>
      </w:pPr>
      <w:r w:rsidRPr="004676F5">
        <w:rPr>
          <w:lang w:val="de-DE"/>
        </w:rPr>
        <w:t>1. bei vollständiger Rückzahlung das wiederhergestellte Kapital ganz oder teilweise dazu verwenden oder es nicht dazu verwenden,</w:t>
      </w:r>
    </w:p>
    <w:p w14:paraId="31E7F36F" w14:textId="77777777" w:rsidR="003E6C61" w:rsidRPr="004676F5" w:rsidRDefault="003E6C61" w:rsidP="003E6C61">
      <w:pPr>
        <w:ind w:firstLine="708"/>
        <w:jc w:val="both"/>
        <w:rPr>
          <w:lang w:val="de-DE"/>
        </w:rPr>
      </w:pPr>
    </w:p>
    <w:p w14:paraId="2A72B767" w14:textId="77777777" w:rsidR="003E6C61" w:rsidRPr="004676F5" w:rsidRDefault="003E6C61" w:rsidP="003E6C61">
      <w:pPr>
        <w:ind w:firstLine="708"/>
        <w:jc w:val="both"/>
        <w:rPr>
          <w:lang w:val="de-DE"/>
        </w:rPr>
      </w:pPr>
      <w:r w:rsidRPr="004676F5">
        <w:rPr>
          <w:lang w:val="de-DE"/>
        </w:rPr>
        <w:t>2. bei Rückzahlung eines Teils der gesamten Rückzahlung denselben Teil des wiederhergestellten Kapitals ganz oder teilweise dazu verwenden oder ihn nicht dazu verwenden.</w:t>
      </w:r>
    </w:p>
    <w:p w14:paraId="0DF2A83D" w14:textId="77777777" w:rsidR="003E6C61" w:rsidRPr="004676F5" w:rsidRDefault="003E6C61" w:rsidP="003E6C61">
      <w:pPr>
        <w:ind w:firstLine="708"/>
        <w:jc w:val="both"/>
        <w:rPr>
          <w:lang w:val="de-DE"/>
        </w:rPr>
      </w:pPr>
    </w:p>
    <w:p w14:paraId="312CDA04" w14:textId="77777777" w:rsidR="003E6C61" w:rsidRPr="004676F5" w:rsidRDefault="003E6C61" w:rsidP="003E6C61">
      <w:pPr>
        <w:ind w:firstLine="708"/>
        <w:jc w:val="both"/>
        <w:rPr>
          <w:lang w:val="de-DE"/>
        </w:rPr>
      </w:pPr>
      <w:r w:rsidRPr="004676F5">
        <w:rPr>
          <w:lang w:val="de-DE"/>
        </w:rPr>
        <w:t>Außerdem hat der Verbraucher das Recht, den Teil seines Vertrags, der nicht mehr beigefügt ist, berücksichtigen zu lassen, um die Prämien des Vertrags auf einen Betrag zu verringern, der notwendig ist, um den beigefügten Teil aufrechtzuerhalten.</w:t>
      </w:r>
    </w:p>
    <w:p w14:paraId="20B4AB97" w14:textId="77777777" w:rsidR="003E6C61" w:rsidRPr="004676F5" w:rsidRDefault="003E6C61" w:rsidP="003E6C61">
      <w:pPr>
        <w:ind w:firstLine="708"/>
        <w:jc w:val="both"/>
        <w:rPr>
          <w:lang w:val="de-DE"/>
        </w:rPr>
      </w:pPr>
    </w:p>
    <w:p w14:paraId="0799A6EB" w14:textId="0FAE8F46" w:rsidR="003658CE" w:rsidRPr="004676F5" w:rsidRDefault="003658CE" w:rsidP="003658CE">
      <w:pPr>
        <w:jc w:val="both"/>
        <w:rPr>
          <w:i/>
          <w:iCs/>
          <w:lang w:val="de-DE"/>
        </w:rPr>
      </w:pPr>
      <w:r w:rsidRPr="004676F5">
        <w:rPr>
          <w:i/>
          <w:iCs/>
          <w:lang w:val="de-DE"/>
        </w:rPr>
        <w:t>[Art. VII.147/11 § 2 abgeändert durch Art. 12 des G. vom 20. September 2018 (B.S. vom 10. Oktober 2018)]</w:t>
      </w:r>
    </w:p>
    <w:p w14:paraId="666B1F54" w14:textId="77777777" w:rsidR="003658CE" w:rsidRPr="004676F5" w:rsidRDefault="003658CE" w:rsidP="003E6C61">
      <w:pPr>
        <w:ind w:firstLine="708"/>
        <w:jc w:val="both"/>
        <w:rPr>
          <w:lang w:val="de-DE"/>
        </w:rPr>
      </w:pPr>
    </w:p>
    <w:p w14:paraId="4E27750E" w14:textId="77777777" w:rsidR="002E20BA" w:rsidRPr="004676F5" w:rsidRDefault="002E20BA" w:rsidP="003E6C61">
      <w:pPr>
        <w:ind w:firstLine="708"/>
        <w:jc w:val="both"/>
        <w:rPr>
          <w:lang w:val="de-DE"/>
        </w:rPr>
      </w:pPr>
    </w:p>
    <w:p w14:paraId="5AC27293" w14:textId="77655D0B" w:rsidR="003E6C61" w:rsidRPr="004676F5" w:rsidRDefault="00BE0A56" w:rsidP="003E6C61">
      <w:pPr>
        <w:ind w:firstLine="708"/>
        <w:jc w:val="both"/>
        <w:rPr>
          <w:lang w:val="de-DE"/>
        </w:rPr>
      </w:pPr>
      <w:r w:rsidRPr="004676F5">
        <w:rPr>
          <w:b/>
          <w:lang w:val="de-DE"/>
        </w:rPr>
        <w:t>Art. </w:t>
      </w:r>
      <w:r w:rsidR="003E6C61" w:rsidRPr="004676F5">
        <w:rPr>
          <w:b/>
          <w:lang w:val="de-DE"/>
        </w:rPr>
        <w:t>VII.147/12</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Der Kreditgeber darf im Falle der vorzeitigen Rückzahlung, ob vollständig oder teilweise, eine Entschädigung festlegen.</w:t>
      </w:r>
    </w:p>
    <w:p w14:paraId="70B25F18" w14:textId="77777777" w:rsidR="003E6C61" w:rsidRPr="004676F5" w:rsidRDefault="003E6C61" w:rsidP="003E6C61">
      <w:pPr>
        <w:ind w:firstLine="708"/>
        <w:jc w:val="both"/>
        <w:rPr>
          <w:lang w:val="de-DE"/>
        </w:rPr>
      </w:pPr>
    </w:p>
    <w:p w14:paraId="05F718EE" w14:textId="77777777" w:rsidR="003E6C61" w:rsidRPr="004676F5" w:rsidRDefault="003E6C61" w:rsidP="003E6C61">
      <w:pPr>
        <w:ind w:firstLine="708"/>
        <w:jc w:val="both"/>
        <w:rPr>
          <w:lang w:val="de-DE"/>
        </w:rPr>
      </w:pPr>
      <w:r w:rsidRPr="004676F5">
        <w:rPr>
          <w:lang w:val="de-DE"/>
        </w:rPr>
        <w:t>Diese Entschädigung muss zum periodischen Zinssatz des Kredits auf den Betrag der Restschuld berechnet werden.</w:t>
      </w:r>
    </w:p>
    <w:p w14:paraId="738403A7" w14:textId="77777777" w:rsidR="003E6C61" w:rsidRPr="004676F5" w:rsidRDefault="003E6C61" w:rsidP="003E6C61">
      <w:pPr>
        <w:ind w:firstLine="708"/>
        <w:jc w:val="both"/>
        <w:rPr>
          <w:lang w:val="de-DE"/>
        </w:rPr>
      </w:pPr>
    </w:p>
    <w:p w14:paraId="2A8D096B" w14:textId="77777777" w:rsidR="003E6C61" w:rsidRPr="004676F5" w:rsidRDefault="003E6C61" w:rsidP="003E6C61">
      <w:pPr>
        <w:ind w:firstLine="708"/>
        <w:jc w:val="both"/>
        <w:rPr>
          <w:lang w:val="de-DE"/>
        </w:rPr>
      </w:pPr>
      <w:r w:rsidRPr="004676F5">
        <w:rPr>
          <w:lang w:val="de-DE"/>
        </w:rPr>
        <w:t>Für diese Berechnung muss dieser Betrag, wenn ein beigefügter Vertrag besteht, dessen Rückkaufswert nicht zur Rückzahlung verwendet wird, um diesen Rückkaufswert verringert werden.</w:t>
      </w:r>
    </w:p>
    <w:p w14:paraId="7FAF0923" w14:textId="77777777" w:rsidR="003E6C61" w:rsidRPr="004676F5" w:rsidRDefault="003E6C61" w:rsidP="003E6C61">
      <w:pPr>
        <w:ind w:firstLine="708"/>
        <w:jc w:val="both"/>
        <w:rPr>
          <w:lang w:val="de-DE"/>
        </w:rPr>
      </w:pPr>
    </w:p>
    <w:p w14:paraId="78FE778D" w14:textId="77777777" w:rsidR="003E6C61" w:rsidRPr="004676F5" w:rsidRDefault="003E6C61" w:rsidP="003E6C61">
      <w:pPr>
        <w:ind w:firstLine="708"/>
        <w:jc w:val="both"/>
        <w:rPr>
          <w:lang w:val="de-DE"/>
        </w:rPr>
      </w:pPr>
      <w:r w:rsidRPr="004676F5">
        <w:rPr>
          <w:lang w:val="de-DE"/>
        </w:rPr>
        <w:t>Bei Teilrückzahlung werden diese Regeln verhältnisgleich angewandt.</w:t>
      </w:r>
    </w:p>
    <w:p w14:paraId="553D5588" w14:textId="77777777" w:rsidR="003E6C61" w:rsidRPr="004676F5" w:rsidRDefault="003E6C61" w:rsidP="003E6C61">
      <w:pPr>
        <w:ind w:firstLine="708"/>
        <w:jc w:val="both"/>
        <w:rPr>
          <w:lang w:val="de-DE"/>
        </w:rPr>
      </w:pPr>
    </w:p>
    <w:p w14:paraId="2D071F3E" w14:textId="77777777" w:rsidR="003E6C61" w:rsidRPr="004676F5" w:rsidRDefault="003E6C61" w:rsidP="003E6C61">
      <w:pPr>
        <w:ind w:firstLine="708"/>
        <w:jc w:val="both"/>
        <w:rPr>
          <w:lang w:val="de-DE"/>
        </w:rPr>
      </w:pPr>
      <w:r w:rsidRPr="004676F5">
        <w:rPr>
          <w:lang w:val="de-DE"/>
        </w:rPr>
        <w:t>Diese Entschädigung darf die Zinsen für drei Monate nicht übersteigen.</w:t>
      </w:r>
    </w:p>
    <w:p w14:paraId="05466964" w14:textId="77777777" w:rsidR="003E6C61" w:rsidRPr="004676F5" w:rsidRDefault="003E6C61" w:rsidP="003E6C61">
      <w:pPr>
        <w:ind w:firstLine="708"/>
        <w:jc w:val="both"/>
        <w:rPr>
          <w:lang w:val="de-DE"/>
        </w:rPr>
      </w:pPr>
    </w:p>
    <w:p w14:paraId="7945C8F6" w14:textId="3FA5080E"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Keine Entschädigung darf vom Kreditgeber verlangt werden:</w:t>
      </w:r>
    </w:p>
    <w:p w14:paraId="58F810B0" w14:textId="77777777" w:rsidR="003E6C61" w:rsidRPr="004676F5" w:rsidRDefault="003E6C61" w:rsidP="003E6C61">
      <w:pPr>
        <w:ind w:firstLine="708"/>
        <w:jc w:val="both"/>
        <w:rPr>
          <w:lang w:val="de-DE"/>
        </w:rPr>
      </w:pPr>
    </w:p>
    <w:p w14:paraId="58015DE4" w14:textId="77777777" w:rsidR="003E6C61" w:rsidRPr="004676F5" w:rsidRDefault="003E6C61" w:rsidP="003E6C61">
      <w:pPr>
        <w:ind w:firstLine="708"/>
        <w:jc w:val="both"/>
        <w:rPr>
          <w:lang w:val="de-DE"/>
        </w:rPr>
      </w:pPr>
      <w:r w:rsidRPr="004676F5">
        <w:rPr>
          <w:lang w:val="de-DE"/>
        </w:rPr>
        <w:t>1. wenn in Anwendung der Artikel VII.209 und VII.210 die Verbindlichkeiten des Verbrauchers auf den Barzahlungspreis oder den aufgenommenen Betrag beschränkt wurden,</w:t>
      </w:r>
    </w:p>
    <w:p w14:paraId="477BD396" w14:textId="77777777" w:rsidR="003E6C61" w:rsidRPr="004676F5" w:rsidRDefault="003E6C61" w:rsidP="003E6C61">
      <w:pPr>
        <w:ind w:firstLine="708"/>
        <w:jc w:val="both"/>
        <w:rPr>
          <w:lang w:val="de-DE"/>
        </w:rPr>
      </w:pPr>
    </w:p>
    <w:p w14:paraId="74710093" w14:textId="77777777" w:rsidR="003E6C61" w:rsidRPr="004676F5" w:rsidRDefault="003E6C61" w:rsidP="003E6C61">
      <w:pPr>
        <w:ind w:firstLine="708"/>
        <w:jc w:val="both"/>
        <w:rPr>
          <w:lang w:val="de-DE"/>
        </w:rPr>
      </w:pPr>
      <w:r w:rsidRPr="004676F5">
        <w:rPr>
          <w:lang w:val="de-DE"/>
        </w:rPr>
        <w:t>2. bei Rückzahlung infolge eines Todesfalles in Ausführung eines Zusatzvertrags oder beigefügten Vertrags,</w:t>
      </w:r>
    </w:p>
    <w:p w14:paraId="2E2FF480" w14:textId="77777777" w:rsidR="003E6C61" w:rsidRPr="004676F5" w:rsidRDefault="003E6C61" w:rsidP="003E6C61">
      <w:pPr>
        <w:ind w:firstLine="708"/>
        <w:jc w:val="both"/>
        <w:rPr>
          <w:lang w:val="de-DE"/>
        </w:rPr>
      </w:pPr>
    </w:p>
    <w:p w14:paraId="00C397F6" w14:textId="77777777" w:rsidR="003E6C61" w:rsidRPr="004676F5" w:rsidRDefault="003E6C61" w:rsidP="003E6C61">
      <w:pPr>
        <w:ind w:firstLine="708"/>
        <w:jc w:val="both"/>
        <w:rPr>
          <w:spacing w:val="-2"/>
          <w:lang w:val="de-DE"/>
        </w:rPr>
      </w:pPr>
      <w:r w:rsidRPr="004676F5">
        <w:rPr>
          <w:spacing w:val="-2"/>
          <w:lang w:val="de-DE"/>
        </w:rPr>
        <w:t>3. bei Krediteröffnung, die ein für ein bewegliches Gut bestimmter Hypothekarkredit ist.</w:t>
      </w:r>
    </w:p>
    <w:p w14:paraId="6AA97A74" w14:textId="77777777" w:rsidR="003E6C61" w:rsidRPr="004676F5" w:rsidRDefault="003E6C61" w:rsidP="003E6C61">
      <w:pPr>
        <w:ind w:firstLine="708"/>
        <w:jc w:val="both"/>
        <w:rPr>
          <w:lang w:val="de-DE"/>
        </w:rPr>
      </w:pPr>
    </w:p>
    <w:p w14:paraId="02CB95ED" w14:textId="742F49D1"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Der Kreditgeber darf den Rückkauf eines beigefügten Vertrags nur zu seinen Gunsten bestimmen, wenn der Ertrag des Verkaufs des als Sicherheit gegebenen unbeweglichen Guts ihm nicht ermöglicht, Rückzahlung seines Kredits zu erhalten.</w:t>
      </w:r>
    </w:p>
    <w:p w14:paraId="5743659C" w14:textId="77777777" w:rsidR="003E6C61" w:rsidRPr="004676F5" w:rsidRDefault="003E6C61" w:rsidP="003E6C61">
      <w:pPr>
        <w:ind w:firstLine="708"/>
        <w:jc w:val="both"/>
        <w:rPr>
          <w:lang w:val="de-DE"/>
        </w:rPr>
      </w:pPr>
    </w:p>
    <w:p w14:paraId="4F9DFA93" w14:textId="244C221E"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Einem Dritten aufgrund des Kreditvertrags geleistete Kapitalzahlungen und Entschädigungen im Hinblick auf eine vorzeitige Rückzahlung haben befreiende Wirkung dem Kreditgeber gegenüber.</w:t>
      </w:r>
    </w:p>
    <w:p w14:paraId="7AA2AF44" w14:textId="77777777" w:rsidR="003E6C61" w:rsidRPr="004676F5" w:rsidRDefault="003E6C61" w:rsidP="003E6C61">
      <w:pPr>
        <w:ind w:firstLine="708"/>
        <w:jc w:val="both"/>
        <w:rPr>
          <w:lang w:val="de-DE"/>
        </w:rPr>
      </w:pPr>
    </w:p>
    <w:p w14:paraId="4E2ACA0D" w14:textId="77777777" w:rsidR="002E20BA" w:rsidRPr="004676F5" w:rsidRDefault="002E20BA" w:rsidP="003E6C61">
      <w:pPr>
        <w:ind w:firstLine="708"/>
        <w:jc w:val="both"/>
        <w:rPr>
          <w:lang w:val="de-DE"/>
        </w:rPr>
      </w:pPr>
    </w:p>
    <w:p w14:paraId="5A96226C" w14:textId="4E44AFD6" w:rsidR="003E6C61" w:rsidRPr="004676F5" w:rsidRDefault="00BE0A56" w:rsidP="003E6C61">
      <w:pPr>
        <w:ind w:firstLine="708"/>
        <w:jc w:val="both"/>
        <w:rPr>
          <w:lang w:val="de-DE"/>
        </w:rPr>
      </w:pPr>
      <w:r w:rsidRPr="004676F5">
        <w:rPr>
          <w:b/>
          <w:lang w:val="de-DE"/>
        </w:rPr>
        <w:t>Art. </w:t>
      </w:r>
      <w:r w:rsidR="003E6C61" w:rsidRPr="004676F5">
        <w:rPr>
          <w:b/>
          <w:lang w:val="de-DE"/>
        </w:rPr>
        <w:t>VII.147/13</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Der Verbraucher kann einen unbefristeten Mobiliarhypothekar</w:t>
      </w:r>
      <w:r w:rsidR="003E6C61" w:rsidRPr="004676F5">
        <w:rPr>
          <w:lang w:val="de-DE"/>
        </w:rPr>
        <w:softHyphen/>
        <w:t>kredit jederzeit unentgeltlich kündigen, es sei denn, die Parteien haben eine Kündigungsfrist vereinb</w:t>
      </w:r>
      <w:r w:rsidR="008C1624" w:rsidRPr="004676F5">
        <w:rPr>
          <w:lang w:val="de-DE"/>
        </w:rPr>
        <w:t>a</w:t>
      </w:r>
      <w:r w:rsidRPr="004676F5">
        <w:rPr>
          <w:lang w:val="de-DE"/>
        </w:rPr>
        <w:t>rt. </w:t>
      </w:r>
      <w:r w:rsidR="003E6C61" w:rsidRPr="004676F5">
        <w:rPr>
          <w:lang w:val="de-DE"/>
        </w:rPr>
        <w:t>Die Kündigungsfrist darf einen Monat nicht überschreiten. Übt der Verbraucher sein Kündigungsrecht aus, teilt er dies dem Kreditgeber per Einschreibesendung oder auf einem anderen vom Kreditgeber akzeptierten Träger mit.</w:t>
      </w:r>
    </w:p>
    <w:p w14:paraId="4CB370EF" w14:textId="77777777" w:rsidR="003E6C61" w:rsidRPr="004676F5" w:rsidRDefault="003E6C61" w:rsidP="003E6C61">
      <w:pPr>
        <w:ind w:firstLine="708"/>
        <w:jc w:val="both"/>
        <w:rPr>
          <w:lang w:val="de-DE"/>
        </w:rPr>
      </w:pPr>
    </w:p>
    <w:p w14:paraId="1B0069A7" w14:textId="1E5E61D8" w:rsidR="003E6C61" w:rsidRPr="004676F5" w:rsidRDefault="003E6C61" w:rsidP="003E6C61">
      <w:pPr>
        <w:ind w:firstLine="708"/>
        <w:jc w:val="both"/>
        <w:rPr>
          <w:lang w:val="de-DE"/>
        </w:rPr>
      </w:pPr>
      <w:r w:rsidRPr="004676F5">
        <w:rPr>
          <w:lang w:val="de-DE"/>
        </w:rPr>
        <w:t xml:space="preserve">Enthält der in Absatz 1 erwähnte Kreditvertrag eine entsprechende Vereinbarung, kann der Kreditgeber diesen Vertrag unter Einhaltung einer mindestens zweimonatigen Kündigungsfrist kündigen; die Kündigung wird dem Verbraucher </w:t>
      </w:r>
      <w:r w:rsidR="003658CE" w:rsidRPr="004676F5">
        <w:rPr>
          <w:lang w:val="de-DE"/>
        </w:rPr>
        <w:t xml:space="preserve">[auf dauerhaftem </w:t>
      </w:r>
      <w:r w:rsidR="003658CE" w:rsidRPr="004676F5">
        <w:rPr>
          <w:lang w:val="de-DE"/>
        </w:rPr>
        <w:lastRenderedPageBreak/>
        <w:t xml:space="preserve">Datenträger] </w:t>
      </w:r>
      <w:r w:rsidRPr="004676F5">
        <w:rPr>
          <w:lang w:val="de-DE"/>
        </w:rPr>
        <w:t>mitgeteilt. Übt der Kreditgeber sein Recht aus, teilt er dies dem Verbraucher per Einschreibesendung oder auf einem anderen vom Verbraucher akzeptierten Träger mit.</w:t>
      </w:r>
    </w:p>
    <w:p w14:paraId="79E1E390" w14:textId="77777777" w:rsidR="003E6C61" w:rsidRPr="004676F5" w:rsidRDefault="003E6C61" w:rsidP="003E6C61">
      <w:pPr>
        <w:ind w:firstLine="708"/>
        <w:jc w:val="both"/>
        <w:rPr>
          <w:lang w:val="de-DE"/>
        </w:rPr>
      </w:pPr>
    </w:p>
    <w:p w14:paraId="69E3F87B" w14:textId="5E34FA49"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Enthält der Kreditvertrag eine entsprechende Vereinbarung, so kann der Kredit</w:t>
      </w:r>
      <w:r w:rsidRPr="004676F5">
        <w:rPr>
          <w:lang w:val="de-DE"/>
        </w:rPr>
        <w:softHyphen/>
        <w:t xml:space="preserve">geber aus sachlich gerechtfertigten Gründen das Recht des Verbrauchers auf Inanspruchnahme von Kreditbeträgen aufgrund eines Kreditvertrags aussetzen, insbesondere wenn er über Auskünfte verfügt, aus denen er ableiten kann, dass der Verbraucher nicht mehr in der Lage sein wird, seine Verbindlichkeiten zu erfüllen. Der Kreditgeber informiert den Verbraucher </w:t>
      </w:r>
      <w:r w:rsidR="003658CE" w:rsidRPr="004676F5">
        <w:rPr>
          <w:lang w:val="de-DE"/>
        </w:rPr>
        <w:t xml:space="preserve">[auf dauerhaftem Datenträger] </w:t>
      </w:r>
      <w:r w:rsidRPr="004676F5">
        <w:rPr>
          <w:lang w:val="de-DE"/>
        </w:rPr>
        <w:t>über die Aussetzung und die Gründe hierfür möglichst vor, spätestens jedoch unverzüglich nach der Aussetzung, es sei denn, eine solche Unterrichtung ist nach anderen Rechtsvorschriften nicht zulässig oder läuft Zielen der öffentlichen Ordnung oder der öffentlichen Sicherheit zuwider.</w:t>
      </w:r>
    </w:p>
    <w:p w14:paraId="31C6B852" w14:textId="77777777" w:rsidR="003658CE" w:rsidRPr="004676F5" w:rsidRDefault="003658CE" w:rsidP="003E6C61">
      <w:pPr>
        <w:ind w:firstLine="708"/>
        <w:jc w:val="both"/>
        <w:rPr>
          <w:lang w:val="de-DE"/>
        </w:rPr>
      </w:pPr>
    </w:p>
    <w:p w14:paraId="0A7C635A" w14:textId="64EBB023" w:rsidR="003658CE" w:rsidRPr="004676F5" w:rsidRDefault="003658CE" w:rsidP="003658CE">
      <w:pPr>
        <w:jc w:val="both"/>
        <w:rPr>
          <w:i/>
          <w:iCs/>
          <w:lang w:val="de-DE"/>
        </w:rPr>
      </w:pPr>
      <w:r w:rsidRPr="004676F5">
        <w:rPr>
          <w:i/>
          <w:iCs/>
          <w:lang w:val="de-DE"/>
        </w:rPr>
        <w:t>[Art. VII.147/13 § 1 Abs. 2 abgeändert durch Art. 12 des G. vom 20. September 2018 (B.S. vom 10. Oktober 2018); § 2 abgeändert durch Art. 12 des G. vom 20. September 2018 (B.S. vom 10. Oktober 2018)]</w:t>
      </w:r>
    </w:p>
    <w:p w14:paraId="28ED01C1" w14:textId="7F4FB248" w:rsidR="00554890" w:rsidRPr="004676F5" w:rsidRDefault="00554890">
      <w:pPr>
        <w:rPr>
          <w:lang w:val="de-DE"/>
        </w:rPr>
      </w:pPr>
    </w:p>
    <w:p w14:paraId="146462FF" w14:textId="77777777" w:rsidR="00927837" w:rsidRPr="004676F5" w:rsidRDefault="00927837" w:rsidP="003E6C61">
      <w:pPr>
        <w:jc w:val="center"/>
        <w:rPr>
          <w:lang w:val="de-DE"/>
        </w:rPr>
      </w:pPr>
    </w:p>
    <w:p w14:paraId="565A71F1" w14:textId="2F777230" w:rsidR="003E6C61" w:rsidRPr="004676F5" w:rsidRDefault="003E6C61" w:rsidP="003E6C61">
      <w:pPr>
        <w:jc w:val="center"/>
        <w:rPr>
          <w:lang w:val="de-DE"/>
        </w:rPr>
      </w:pPr>
      <w:r w:rsidRPr="004676F5">
        <w:rPr>
          <w:lang w:val="de-DE"/>
        </w:rPr>
        <w:t>Unterabschnitt 5 </w:t>
      </w:r>
      <w:r w:rsidR="005B7A5C" w:rsidRPr="004676F5">
        <w:rPr>
          <w:lang w:val="de-DE"/>
        </w:rPr>
        <w:t>- </w:t>
      </w:r>
      <w:r w:rsidRPr="004676F5">
        <w:rPr>
          <w:lang w:val="de-DE"/>
        </w:rPr>
        <w:t>Kontoauszüge</w:t>
      </w:r>
    </w:p>
    <w:p w14:paraId="66D20357" w14:textId="77777777" w:rsidR="003E6C61" w:rsidRPr="004676F5" w:rsidRDefault="003E6C61" w:rsidP="003E6C61">
      <w:pPr>
        <w:jc w:val="both"/>
        <w:rPr>
          <w:lang w:val="de-DE"/>
        </w:rPr>
      </w:pPr>
    </w:p>
    <w:p w14:paraId="21D703D0" w14:textId="77777777" w:rsidR="002E20BA" w:rsidRPr="004676F5" w:rsidRDefault="002E20BA" w:rsidP="003E6C61">
      <w:pPr>
        <w:jc w:val="both"/>
        <w:rPr>
          <w:lang w:val="de-DE"/>
        </w:rPr>
      </w:pPr>
    </w:p>
    <w:p w14:paraId="50BA08EB" w14:textId="45D0E33E" w:rsidR="003E6C61" w:rsidRPr="004676F5" w:rsidRDefault="00BE0A56" w:rsidP="002E20BA">
      <w:pPr>
        <w:ind w:firstLine="708"/>
        <w:jc w:val="both"/>
        <w:rPr>
          <w:lang w:val="de-DE"/>
        </w:rPr>
      </w:pPr>
      <w:r w:rsidRPr="004676F5">
        <w:rPr>
          <w:b/>
          <w:lang w:val="de-DE"/>
        </w:rPr>
        <w:t>Art. </w:t>
      </w:r>
      <w:r w:rsidR="003E6C61" w:rsidRPr="004676F5">
        <w:rPr>
          <w:b/>
          <w:lang w:val="de-DE"/>
        </w:rPr>
        <w:t>VII.147/14</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 xml:space="preserve">Für jede Krediteröffnung, die ein Mobiliarhypothekarkredit ist, wird der Verbraucher regelmäßig mittels eines Kontoauszugs </w:t>
      </w:r>
      <w:r w:rsidR="003658CE" w:rsidRPr="004676F5">
        <w:rPr>
          <w:lang w:val="de-DE"/>
        </w:rPr>
        <w:t xml:space="preserve">[auf dauerhaftem Datenträger] </w:t>
      </w:r>
      <w:r w:rsidR="003E6C61" w:rsidRPr="004676F5">
        <w:rPr>
          <w:lang w:val="de-DE"/>
        </w:rPr>
        <w:t>informiert, der folgende Einzelheiten enthält:</w:t>
      </w:r>
    </w:p>
    <w:p w14:paraId="0BF50EB8" w14:textId="77777777" w:rsidR="003E6C61" w:rsidRPr="004676F5" w:rsidRDefault="003E6C61" w:rsidP="003E6C61">
      <w:pPr>
        <w:jc w:val="both"/>
        <w:rPr>
          <w:lang w:val="de-DE"/>
        </w:rPr>
      </w:pPr>
    </w:p>
    <w:p w14:paraId="5342592C" w14:textId="77777777" w:rsidR="003E6C61" w:rsidRPr="004676F5" w:rsidRDefault="003E6C61" w:rsidP="003E6C61">
      <w:pPr>
        <w:ind w:firstLine="708"/>
        <w:jc w:val="both"/>
        <w:rPr>
          <w:lang w:val="de-DE"/>
        </w:rPr>
      </w:pPr>
      <w:r w:rsidRPr="004676F5">
        <w:rPr>
          <w:lang w:val="de-DE"/>
        </w:rPr>
        <w:t>1. genauer Zeitraum, auf den sich der Kontoauszug bezieht,</w:t>
      </w:r>
    </w:p>
    <w:p w14:paraId="3363CCE5" w14:textId="77777777" w:rsidR="003E6C61" w:rsidRPr="004676F5" w:rsidRDefault="003E6C61" w:rsidP="003E6C61">
      <w:pPr>
        <w:ind w:firstLine="708"/>
        <w:jc w:val="both"/>
        <w:rPr>
          <w:lang w:val="de-DE"/>
        </w:rPr>
      </w:pPr>
    </w:p>
    <w:p w14:paraId="16B833DA" w14:textId="77777777" w:rsidR="003E6C61" w:rsidRPr="004676F5" w:rsidRDefault="003E6C61" w:rsidP="003E6C61">
      <w:pPr>
        <w:ind w:firstLine="708"/>
        <w:jc w:val="both"/>
        <w:rPr>
          <w:lang w:val="de-DE"/>
        </w:rPr>
      </w:pPr>
      <w:r w:rsidRPr="004676F5">
        <w:rPr>
          <w:lang w:val="de-DE"/>
        </w:rPr>
        <w:t>2. in Anspruch genommene Beträge und Datum der Inanspruchnahme,</w:t>
      </w:r>
    </w:p>
    <w:p w14:paraId="33A9F0B0" w14:textId="77777777" w:rsidR="003E6C61" w:rsidRPr="004676F5" w:rsidRDefault="003E6C61" w:rsidP="003E6C61">
      <w:pPr>
        <w:ind w:firstLine="708"/>
        <w:jc w:val="both"/>
        <w:rPr>
          <w:lang w:val="de-DE"/>
        </w:rPr>
      </w:pPr>
    </w:p>
    <w:p w14:paraId="19835626" w14:textId="77777777" w:rsidR="003E6C61" w:rsidRPr="004676F5" w:rsidRDefault="003E6C61" w:rsidP="003E6C61">
      <w:pPr>
        <w:ind w:firstLine="708"/>
        <w:jc w:val="both"/>
        <w:rPr>
          <w:lang w:val="de-DE"/>
        </w:rPr>
      </w:pPr>
      <w:r w:rsidRPr="004676F5">
        <w:rPr>
          <w:lang w:val="de-DE"/>
        </w:rPr>
        <w:t>3. Gesamtrestschuldbetrag und Datum des letzten Kontoauszugs,</w:t>
      </w:r>
    </w:p>
    <w:p w14:paraId="5E8CAAD9" w14:textId="77777777" w:rsidR="003E6C61" w:rsidRPr="004676F5" w:rsidRDefault="003E6C61" w:rsidP="003E6C61">
      <w:pPr>
        <w:ind w:firstLine="708"/>
        <w:jc w:val="both"/>
        <w:rPr>
          <w:lang w:val="de-DE"/>
        </w:rPr>
      </w:pPr>
    </w:p>
    <w:p w14:paraId="558325C4" w14:textId="77777777" w:rsidR="003E6C61" w:rsidRPr="004676F5" w:rsidRDefault="003E6C61" w:rsidP="003E6C61">
      <w:pPr>
        <w:ind w:firstLine="708"/>
        <w:jc w:val="both"/>
        <w:rPr>
          <w:lang w:val="de-DE"/>
        </w:rPr>
      </w:pPr>
      <w:r w:rsidRPr="004676F5">
        <w:rPr>
          <w:lang w:val="de-DE"/>
        </w:rPr>
        <w:t>4. neuer Gesamtrestschuldbetrag,</w:t>
      </w:r>
    </w:p>
    <w:p w14:paraId="234CAF5D" w14:textId="77777777" w:rsidR="003E6C61" w:rsidRPr="004676F5" w:rsidRDefault="003E6C61" w:rsidP="003E6C61">
      <w:pPr>
        <w:ind w:firstLine="708"/>
        <w:jc w:val="both"/>
        <w:rPr>
          <w:lang w:val="de-DE"/>
        </w:rPr>
      </w:pPr>
    </w:p>
    <w:p w14:paraId="4FF0507C" w14:textId="77777777" w:rsidR="003E6C61" w:rsidRPr="004676F5" w:rsidRDefault="003E6C61" w:rsidP="003E6C61">
      <w:pPr>
        <w:ind w:firstLine="708"/>
        <w:jc w:val="both"/>
        <w:rPr>
          <w:lang w:val="de-DE"/>
        </w:rPr>
      </w:pPr>
      <w:r w:rsidRPr="004676F5">
        <w:rPr>
          <w:lang w:val="de-DE"/>
        </w:rPr>
        <w:t>5. jeweiliges Datum und jeweiliger Betrag der Zahlungen des Verbrauchers,</w:t>
      </w:r>
    </w:p>
    <w:p w14:paraId="514C8CBF" w14:textId="77777777" w:rsidR="003E6C61" w:rsidRPr="004676F5" w:rsidRDefault="003E6C61" w:rsidP="003E6C61">
      <w:pPr>
        <w:ind w:firstLine="708"/>
        <w:jc w:val="both"/>
        <w:rPr>
          <w:lang w:val="de-DE"/>
        </w:rPr>
      </w:pPr>
    </w:p>
    <w:p w14:paraId="00C06437" w14:textId="77777777" w:rsidR="003E6C61" w:rsidRPr="004676F5" w:rsidRDefault="003E6C61" w:rsidP="003E6C61">
      <w:pPr>
        <w:ind w:firstLine="708"/>
        <w:jc w:val="both"/>
        <w:rPr>
          <w:lang w:val="de-DE"/>
        </w:rPr>
      </w:pPr>
      <w:r w:rsidRPr="004676F5">
        <w:rPr>
          <w:lang w:val="de-DE"/>
        </w:rPr>
        <w:t>6. angewandter Zinssatz/angewandte Zinssätze,</w:t>
      </w:r>
    </w:p>
    <w:p w14:paraId="6FD149E0" w14:textId="77777777" w:rsidR="003E6C61" w:rsidRPr="004676F5" w:rsidRDefault="003E6C61" w:rsidP="003E6C61">
      <w:pPr>
        <w:ind w:firstLine="708"/>
        <w:jc w:val="both"/>
        <w:rPr>
          <w:lang w:val="de-DE"/>
        </w:rPr>
      </w:pPr>
    </w:p>
    <w:p w14:paraId="4B0C038C" w14:textId="77777777" w:rsidR="003E6C61" w:rsidRPr="004676F5" w:rsidRDefault="003E6C61" w:rsidP="003E6C61">
      <w:pPr>
        <w:ind w:firstLine="708"/>
        <w:jc w:val="both"/>
        <w:rPr>
          <w:lang w:val="de-DE"/>
        </w:rPr>
      </w:pPr>
      <w:r w:rsidRPr="004676F5">
        <w:rPr>
          <w:lang w:val="de-DE"/>
        </w:rPr>
        <w:t>7. verschiedene Beträge aller etwaig erhobenen Entgelte,</w:t>
      </w:r>
    </w:p>
    <w:p w14:paraId="26F0E9E7" w14:textId="77777777" w:rsidR="003E6C61" w:rsidRPr="004676F5" w:rsidRDefault="003E6C61" w:rsidP="003E6C61">
      <w:pPr>
        <w:ind w:firstLine="708"/>
        <w:jc w:val="both"/>
        <w:rPr>
          <w:lang w:val="de-DE"/>
        </w:rPr>
      </w:pPr>
    </w:p>
    <w:p w14:paraId="034A06CF" w14:textId="77777777" w:rsidR="003E6C61" w:rsidRPr="004676F5" w:rsidRDefault="003E6C61" w:rsidP="003E6C61">
      <w:pPr>
        <w:ind w:firstLine="708"/>
        <w:jc w:val="both"/>
        <w:rPr>
          <w:lang w:val="de-DE"/>
        </w:rPr>
      </w:pPr>
      <w:r w:rsidRPr="004676F5">
        <w:rPr>
          <w:lang w:val="de-DE"/>
        </w:rPr>
        <w:t>8. gegebenenfalls zu zahlender Mindestbetrag und Zinsen.</w:t>
      </w:r>
    </w:p>
    <w:p w14:paraId="49F3D60A" w14:textId="77777777" w:rsidR="003E6C61" w:rsidRPr="004676F5" w:rsidRDefault="003E6C61" w:rsidP="003E6C61">
      <w:pPr>
        <w:ind w:firstLine="708"/>
        <w:jc w:val="both"/>
        <w:rPr>
          <w:lang w:val="de-DE"/>
        </w:rPr>
      </w:pPr>
    </w:p>
    <w:p w14:paraId="2A67293C" w14:textId="1F342630"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Für Krediteröffnungen, bei denen es sich nicht um Überziehungsmöglichkeiten handelt, sind folgende zusätzliche Einzelheiten mitzuteilen:</w:t>
      </w:r>
    </w:p>
    <w:p w14:paraId="52A5A6FB" w14:textId="77777777" w:rsidR="003E6C61" w:rsidRPr="004676F5" w:rsidRDefault="003E6C61" w:rsidP="003E6C61">
      <w:pPr>
        <w:ind w:firstLine="708"/>
        <w:jc w:val="both"/>
        <w:rPr>
          <w:lang w:val="de-DE"/>
        </w:rPr>
      </w:pPr>
    </w:p>
    <w:p w14:paraId="3803D043" w14:textId="77777777" w:rsidR="003E6C61" w:rsidRPr="004676F5" w:rsidRDefault="003E6C61" w:rsidP="003E6C61">
      <w:pPr>
        <w:ind w:firstLine="708"/>
        <w:jc w:val="both"/>
        <w:rPr>
          <w:lang w:val="de-DE"/>
        </w:rPr>
      </w:pPr>
      <w:r w:rsidRPr="004676F5">
        <w:rPr>
          <w:lang w:val="de-DE"/>
        </w:rPr>
        <w:t>1. gegebenenfalls Restschuld des vorherigen Auszugs,</w:t>
      </w:r>
    </w:p>
    <w:p w14:paraId="05597575" w14:textId="77777777" w:rsidR="003E6C61" w:rsidRPr="004676F5" w:rsidRDefault="003E6C61" w:rsidP="003E6C61">
      <w:pPr>
        <w:ind w:firstLine="708"/>
        <w:jc w:val="both"/>
        <w:rPr>
          <w:lang w:val="de-DE"/>
        </w:rPr>
      </w:pPr>
    </w:p>
    <w:p w14:paraId="53FBB82F" w14:textId="77777777" w:rsidR="003E6C61" w:rsidRPr="004676F5" w:rsidRDefault="003E6C61" w:rsidP="003E6C61">
      <w:pPr>
        <w:ind w:firstLine="708"/>
        <w:jc w:val="both"/>
        <w:rPr>
          <w:lang w:val="de-DE"/>
        </w:rPr>
      </w:pPr>
      <w:r w:rsidRPr="004676F5">
        <w:rPr>
          <w:lang w:val="de-DE"/>
        </w:rPr>
        <w:t>2. gegebenenfalls Fälligkeiten der ausstehenden Kosten,</w:t>
      </w:r>
    </w:p>
    <w:p w14:paraId="7AD5C321" w14:textId="77777777" w:rsidR="003E6C61" w:rsidRPr="004676F5" w:rsidRDefault="003E6C61" w:rsidP="003E6C61">
      <w:pPr>
        <w:ind w:firstLine="708"/>
        <w:jc w:val="both"/>
        <w:rPr>
          <w:lang w:val="de-DE"/>
        </w:rPr>
      </w:pPr>
    </w:p>
    <w:p w14:paraId="37D91604" w14:textId="77777777" w:rsidR="00DE0629" w:rsidRDefault="00DE0629">
      <w:pPr>
        <w:rPr>
          <w:lang w:val="de-DE"/>
        </w:rPr>
      </w:pPr>
      <w:r>
        <w:rPr>
          <w:lang w:val="de-DE"/>
        </w:rPr>
        <w:br w:type="page"/>
      </w:r>
    </w:p>
    <w:p w14:paraId="75ABC3F1" w14:textId="4EEEBD18" w:rsidR="003E6C61" w:rsidRPr="004676F5" w:rsidRDefault="003E6C61" w:rsidP="003E6C61">
      <w:pPr>
        <w:ind w:firstLine="708"/>
        <w:jc w:val="both"/>
        <w:rPr>
          <w:lang w:val="de-DE"/>
        </w:rPr>
      </w:pPr>
      <w:r w:rsidRPr="004676F5">
        <w:rPr>
          <w:lang w:val="de-DE"/>
        </w:rPr>
        <w:lastRenderedPageBreak/>
        <w:t>3. Fälligkeit und Betrag der ausstehenden Zinsen pro angewandten Sollzinssatz und Angabe der Methode zur Berechnung dieser Zinsen auf die Restschuld anhand des Sollzinssatzes.</w:t>
      </w:r>
    </w:p>
    <w:p w14:paraId="5988F799" w14:textId="77777777" w:rsidR="003E6C61" w:rsidRPr="004676F5" w:rsidRDefault="003E6C61" w:rsidP="003E6C61">
      <w:pPr>
        <w:ind w:firstLine="708"/>
        <w:jc w:val="both"/>
        <w:rPr>
          <w:lang w:val="de-DE"/>
        </w:rPr>
      </w:pPr>
    </w:p>
    <w:p w14:paraId="62AA049E" w14:textId="74CDCE33" w:rsidR="003658CE" w:rsidRPr="004676F5" w:rsidRDefault="003658CE" w:rsidP="003658CE">
      <w:pPr>
        <w:jc w:val="both"/>
        <w:rPr>
          <w:i/>
          <w:iCs/>
          <w:lang w:val="de-DE"/>
        </w:rPr>
      </w:pPr>
      <w:r w:rsidRPr="004676F5">
        <w:rPr>
          <w:i/>
          <w:iCs/>
          <w:lang w:val="de-DE"/>
        </w:rPr>
        <w:t>[Art. VII.147/14 § 1 einziger Absatz einleitende Bestimmung abgeändert durch Art. 12 des G. vom 20. September 2018 (B.S. vom 10. Oktober 2018)]</w:t>
      </w:r>
    </w:p>
    <w:p w14:paraId="71B4D1B3" w14:textId="77777777" w:rsidR="003658CE" w:rsidRPr="004676F5" w:rsidRDefault="003658CE" w:rsidP="003E6C61">
      <w:pPr>
        <w:ind w:firstLine="708"/>
        <w:jc w:val="both"/>
        <w:rPr>
          <w:lang w:val="de-DE"/>
        </w:rPr>
      </w:pPr>
    </w:p>
    <w:p w14:paraId="768F9CF1" w14:textId="77777777" w:rsidR="002E20BA" w:rsidRPr="004676F5" w:rsidRDefault="002E20BA" w:rsidP="003E6C61">
      <w:pPr>
        <w:ind w:firstLine="708"/>
        <w:jc w:val="both"/>
        <w:rPr>
          <w:lang w:val="de-DE"/>
        </w:rPr>
      </w:pPr>
    </w:p>
    <w:p w14:paraId="7E84CD1F" w14:textId="3F7B0A18" w:rsidR="003E6C61" w:rsidRPr="004676F5" w:rsidRDefault="003E6C61" w:rsidP="003E6C61">
      <w:pPr>
        <w:jc w:val="center"/>
        <w:rPr>
          <w:lang w:val="de-DE"/>
        </w:rPr>
      </w:pPr>
      <w:r w:rsidRPr="004676F5">
        <w:rPr>
          <w:lang w:val="de-DE"/>
        </w:rPr>
        <w:t>Unterabschnitt 6 </w:t>
      </w:r>
      <w:r w:rsidR="005B7A5C" w:rsidRPr="004676F5">
        <w:rPr>
          <w:lang w:val="de-DE"/>
        </w:rPr>
        <w:t>- </w:t>
      </w:r>
      <w:r w:rsidRPr="004676F5">
        <w:rPr>
          <w:lang w:val="de-DE"/>
        </w:rPr>
        <w:t>Nicht erlaubte Überziehungen und Überschreitungen</w:t>
      </w:r>
    </w:p>
    <w:p w14:paraId="47BE1CF7" w14:textId="77777777" w:rsidR="003E6C61" w:rsidRPr="004676F5" w:rsidRDefault="003E6C61" w:rsidP="003E6C61">
      <w:pPr>
        <w:ind w:firstLine="708"/>
        <w:jc w:val="both"/>
        <w:rPr>
          <w:lang w:val="de-DE"/>
        </w:rPr>
      </w:pPr>
    </w:p>
    <w:p w14:paraId="636A0F90" w14:textId="77777777" w:rsidR="002E20BA" w:rsidRPr="004676F5" w:rsidRDefault="002E20BA" w:rsidP="003E6C61">
      <w:pPr>
        <w:ind w:firstLine="708"/>
        <w:jc w:val="both"/>
        <w:rPr>
          <w:lang w:val="de-DE"/>
        </w:rPr>
      </w:pPr>
    </w:p>
    <w:p w14:paraId="76E3ED5D" w14:textId="5CE3A9C4" w:rsidR="003E6C61" w:rsidRPr="004676F5" w:rsidRDefault="00BE0A56" w:rsidP="003E6C61">
      <w:pPr>
        <w:ind w:firstLine="708"/>
        <w:jc w:val="both"/>
        <w:rPr>
          <w:lang w:val="de-DE"/>
        </w:rPr>
      </w:pPr>
      <w:r w:rsidRPr="004676F5">
        <w:rPr>
          <w:b/>
          <w:lang w:val="de-DE"/>
        </w:rPr>
        <w:t>Art. </w:t>
      </w:r>
      <w:r w:rsidR="003E6C61" w:rsidRPr="004676F5">
        <w:rPr>
          <w:b/>
          <w:lang w:val="de-DE"/>
        </w:rPr>
        <w:t>VII.147/15</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Kommt es im Rahmen einer Krediteröffnung beziehungsweise eines Zahlungskontos, die ein Mobiliarhypothekarkredit sind, zu einer Überziehung und hat der Kreditgeber jegliche Überziehung des gewährten Kreditbetrags ausdrücklich verboten, setzt dieser die Inanspruchnahme von Kreditbeträgen aus und verlangt die Rückzahlung des nicht gewährten Überziehungsbetrags innerhalb einer Frist von maximal fünfundvierzig Tagen ab dem Tag der nicht gewährten Überziehung.</w:t>
      </w:r>
    </w:p>
    <w:p w14:paraId="2115F1C3" w14:textId="77777777" w:rsidR="003E6C61" w:rsidRPr="004676F5" w:rsidRDefault="003E6C61" w:rsidP="003E6C61">
      <w:pPr>
        <w:ind w:firstLine="708"/>
        <w:jc w:val="both"/>
        <w:rPr>
          <w:lang w:val="de-DE"/>
        </w:rPr>
      </w:pPr>
    </w:p>
    <w:p w14:paraId="61E88BBF" w14:textId="77777777" w:rsidR="003E6C61" w:rsidRPr="004676F5" w:rsidRDefault="003E6C61" w:rsidP="003E6C61">
      <w:pPr>
        <w:ind w:firstLine="708"/>
        <w:jc w:val="both"/>
        <w:rPr>
          <w:lang w:val="de-DE"/>
        </w:rPr>
      </w:pPr>
      <w:r w:rsidRPr="004676F5">
        <w:rPr>
          <w:lang w:val="de-DE"/>
        </w:rPr>
        <w:t>In diesem Fall können nur ausdrücklich vereinbarte und durch vorliegendes Buch erlaubte Verzugszinsen und Kosten eingefordert werden. Die Verzugszinsen werden auf den Betrag der nicht gewährten Überziehung berechnet.</w:t>
      </w:r>
    </w:p>
    <w:p w14:paraId="31460A49" w14:textId="77777777" w:rsidR="003E6C61" w:rsidRPr="004676F5" w:rsidRDefault="003E6C61" w:rsidP="003E6C61">
      <w:pPr>
        <w:ind w:firstLine="708"/>
        <w:jc w:val="both"/>
        <w:rPr>
          <w:lang w:val="de-DE"/>
        </w:rPr>
      </w:pPr>
    </w:p>
    <w:p w14:paraId="5396F410" w14:textId="4B3D9036" w:rsidR="003E6C61" w:rsidRPr="004676F5" w:rsidRDefault="003E6C61" w:rsidP="003E6C61">
      <w:pPr>
        <w:ind w:firstLine="708"/>
        <w:jc w:val="both"/>
        <w:rPr>
          <w:lang w:val="de-DE"/>
        </w:rPr>
      </w:pPr>
      <w:r w:rsidRPr="004676F5">
        <w:rPr>
          <w:lang w:val="de-DE"/>
        </w:rPr>
        <w:t xml:space="preserve">Der Kreditgeber teilt dem Verbraucher unverzüglich </w:t>
      </w:r>
      <w:r w:rsidR="003658CE" w:rsidRPr="004676F5">
        <w:rPr>
          <w:lang w:val="de-DE"/>
        </w:rPr>
        <w:t xml:space="preserve">[auf dauerhaftem Datenträger] </w:t>
      </w:r>
      <w:r w:rsidRPr="004676F5">
        <w:rPr>
          <w:lang w:val="de-DE"/>
        </w:rPr>
        <w:t>Folgendes mit:</w:t>
      </w:r>
    </w:p>
    <w:p w14:paraId="611DE599" w14:textId="77777777" w:rsidR="003E6C61" w:rsidRPr="004676F5" w:rsidRDefault="003E6C61" w:rsidP="003E6C61">
      <w:pPr>
        <w:ind w:firstLine="708"/>
        <w:jc w:val="both"/>
        <w:rPr>
          <w:lang w:val="de-DE"/>
        </w:rPr>
      </w:pPr>
    </w:p>
    <w:p w14:paraId="52FE0BFA" w14:textId="77777777" w:rsidR="003E6C61" w:rsidRPr="004676F5" w:rsidRDefault="003E6C61" w:rsidP="003E6C61">
      <w:pPr>
        <w:ind w:firstLine="708"/>
        <w:jc w:val="both"/>
        <w:rPr>
          <w:lang w:val="de-DE"/>
        </w:rPr>
      </w:pPr>
      <w:r w:rsidRPr="004676F5">
        <w:rPr>
          <w:lang w:val="de-DE"/>
        </w:rPr>
        <w:t>1. Vorliegen einer nicht gewährten Überziehung,</w:t>
      </w:r>
    </w:p>
    <w:p w14:paraId="771E5726" w14:textId="77777777" w:rsidR="003E6C61" w:rsidRPr="004676F5" w:rsidRDefault="003E6C61" w:rsidP="003E6C61">
      <w:pPr>
        <w:ind w:firstLine="708"/>
        <w:jc w:val="both"/>
        <w:rPr>
          <w:lang w:val="de-DE"/>
        </w:rPr>
      </w:pPr>
    </w:p>
    <w:p w14:paraId="62024B22" w14:textId="77777777" w:rsidR="003E6C61" w:rsidRPr="004676F5" w:rsidRDefault="003E6C61" w:rsidP="003E6C61">
      <w:pPr>
        <w:ind w:firstLine="708"/>
        <w:jc w:val="both"/>
        <w:rPr>
          <w:lang w:val="de-DE"/>
        </w:rPr>
      </w:pPr>
      <w:r w:rsidRPr="004676F5">
        <w:rPr>
          <w:lang w:val="de-DE"/>
        </w:rPr>
        <w:t>2. Betrag der nicht gewährten Überziehung,</w:t>
      </w:r>
    </w:p>
    <w:p w14:paraId="0D093AC9" w14:textId="77777777" w:rsidR="003E6C61" w:rsidRPr="004676F5" w:rsidRDefault="003E6C61" w:rsidP="003E6C61">
      <w:pPr>
        <w:ind w:firstLine="708"/>
        <w:jc w:val="both"/>
        <w:rPr>
          <w:lang w:val="de-DE"/>
        </w:rPr>
      </w:pPr>
    </w:p>
    <w:p w14:paraId="3620E5EB" w14:textId="77777777" w:rsidR="003E6C61" w:rsidRPr="004676F5" w:rsidRDefault="003E6C61" w:rsidP="003E6C61">
      <w:pPr>
        <w:ind w:firstLine="708"/>
        <w:jc w:val="both"/>
        <w:rPr>
          <w:lang w:val="de-DE"/>
        </w:rPr>
      </w:pPr>
      <w:r w:rsidRPr="004676F5">
        <w:rPr>
          <w:lang w:val="de-DE"/>
        </w:rPr>
        <w:t>3. etwaige Vertragsstrafen, Entgelte beziehungsweise Zinsen, die auf den Betrag der nicht gewährten Überziehung Anwendung finden.</w:t>
      </w:r>
    </w:p>
    <w:p w14:paraId="27214B5A" w14:textId="77777777" w:rsidR="003E6C61" w:rsidRPr="004676F5" w:rsidRDefault="003E6C61" w:rsidP="003E6C61">
      <w:pPr>
        <w:ind w:firstLine="708"/>
        <w:jc w:val="both"/>
        <w:rPr>
          <w:lang w:val="de-DE"/>
        </w:rPr>
      </w:pPr>
    </w:p>
    <w:p w14:paraId="43549383" w14:textId="584B9310"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Hält der Verbraucher die aus dem vorangehenden Paragraphen hervorgehenden Verpflichtungen nicht ein, kündigt der Kreditgeber entweder den Vertrag unter Einhaltung von Artikel VII.147/20 § 1 Nr. 3 oder er setzt unter Einhaltung aller Bestimmungen des vorliegenden Buches durch Schuldumwandlung einen neuen Vertrag mit einem höheren Kreditbetrag auf.</w:t>
      </w:r>
    </w:p>
    <w:p w14:paraId="293779B4" w14:textId="77777777" w:rsidR="003658CE" w:rsidRPr="004676F5" w:rsidRDefault="003658CE" w:rsidP="003E6C61">
      <w:pPr>
        <w:ind w:firstLine="708"/>
        <w:jc w:val="both"/>
        <w:rPr>
          <w:lang w:val="de-DE"/>
        </w:rPr>
      </w:pPr>
    </w:p>
    <w:p w14:paraId="1AF8436A" w14:textId="47C1DBF6" w:rsidR="003658CE" w:rsidRPr="004676F5" w:rsidRDefault="003658CE" w:rsidP="003658CE">
      <w:pPr>
        <w:jc w:val="both"/>
        <w:rPr>
          <w:i/>
          <w:iCs/>
          <w:lang w:val="de-DE"/>
        </w:rPr>
      </w:pPr>
      <w:r w:rsidRPr="004676F5">
        <w:rPr>
          <w:i/>
          <w:iCs/>
          <w:lang w:val="de-DE"/>
        </w:rPr>
        <w:t>[Art. VII.147/15 § 1 Abs. 3 einleitende Bestimmung abgeändert durch Art. 12 des G. vom 20. September 2018 (B.S. vom 10. Oktober 2018)]</w:t>
      </w:r>
    </w:p>
    <w:p w14:paraId="75C2FF24" w14:textId="77777777" w:rsidR="003658CE" w:rsidRPr="004676F5" w:rsidRDefault="003658CE" w:rsidP="003E6C61">
      <w:pPr>
        <w:ind w:firstLine="708"/>
        <w:jc w:val="both"/>
        <w:rPr>
          <w:lang w:val="de-DE"/>
        </w:rPr>
      </w:pPr>
    </w:p>
    <w:p w14:paraId="426DEF64" w14:textId="77777777" w:rsidR="002E20BA" w:rsidRPr="004676F5" w:rsidRDefault="002E20BA" w:rsidP="003E6C61">
      <w:pPr>
        <w:ind w:firstLine="708"/>
        <w:jc w:val="both"/>
        <w:rPr>
          <w:lang w:val="de-DE"/>
        </w:rPr>
      </w:pPr>
    </w:p>
    <w:p w14:paraId="0E85B9CE" w14:textId="7FEF9A70" w:rsidR="003E6C61" w:rsidRPr="004676F5" w:rsidRDefault="00BE0A56" w:rsidP="003E6C61">
      <w:pPr>
        <w:ind w:firstLine="708"/>
        <w:jc w:val="both"/>
        <w:rPr>
          <w:lang w:val="de-DE"/>
        </w:rPr>
      </w:pPr>
      <w:r w:rsidRPr="004676F5">
        <w:rPr>
          <w:b/>
          <w:lang w:val="de-DE"/>
        </w:rPr>
        <w:t>Art. </w:t>
      </w:r>
      <w:r w:rsidR="003E6C61" w:rsidRPr="004676F5">
        <w:rPr>
          <w:b/>
          <w:lang w:val="de-DE"/>
        </w:rPr>
        <w:t>VII.147/16</w:t>
      </w:r>
      <w:r w:rsidR="003E6C61" w:rsidRPr="004676F5">
        <w:rPr>
          <w:lang w:val="de-DE"/>
        </w:rPr>
        <w:t> </w:t>
      </w:r>
      <w:r w:rsidR="005B7A5C" w:rsidRPr="004676F5">
        <w:rPr>
          <w:lang w:val="de-DE"/>
        </w:rPr>
        <w:t>- </w:t>
      </w:r>
      <w:r w:rsidR="003E6C61" w:rsidRPr="004676F5">
        <w:rPr>
          <w:lang w:val="de-DE"/>
        </w:rPr>
        <w:t xml:space="preserve">Im Falle einer Überschreitung, die ein Mobiliarhypothekarkredit ist, von mindestens 1.250 EUR während eines Zeitraums von mehr als einem Monat teilt der Kreditgeber dem Verbraucher unverzüglich </w:t>
      </w:r>
      <w:r w:rsidR="003658CE" w:rsidRPr="004676F5">
        <w:rPr>
          <w:lang w:val="de-DE"/>
        </w:rPr>
        <w:t xml:space="preserve">[auf dauerhaftem Datenträger] </w:t>
      </w:r>
      <w:r w:rsidR="003E6C61" w:rsidRPr="004676F5">
        <w:rPr>
          <w:lang w:val="de-DE"/>
        </w:rPr>
        <w:t>Folgendes mit:</w:t>
      </w:r>
    </w:p>
    <w:p w14:paraId="3B35CB95" w14:textId="77777777" w:rsidR="003E6C61" w:rsidRPr="004676F5" w:rsidRDefault="003E6C61" w:rsidP="003E6C61">
      <w:pPr>
        <w:ind w:firstLine="708"/>
        <w:jc w:val="both"/>
        <w:rPr>
          <w:lang w:val="de-DE"/>
        </w:rPr>
      </w:pPr>
    </w:p>
    <w:p w14:paraId="19CFF25E" w14:textId="77777777" w:rsidR="003E6C61" w:rsidRPr="004676F5" w:rsidRDefault="003E6C61" w:rsidP="003E6C61">
      <w:pPr>
        <w:ind w:firstLine="708"/>
        <w:jc w:val="both"/>
        <w:rPr>
          <w:lang w:val="de-DE"/>
        </w:rPr>
      </w:pPr>
      <w:r w:rsidRPr="004676F5">
        <w:rPr>
          <w:lang w:val="de-DE"/>
        </w:rPr>
        <w:t>1. Vorliegen einer Überschreitung,</w:t>
      </w:r>
    </w:p>
    <w:p w14:paraId="5991AE74" w14:textId="77777777" w:rsidR="003E6C61" w:rsidRPr="004676F5" w:rsidRDefault="003E6C61" w:rsidP="003E6C61">
      <w:pPr>
        <w:ind w:firstLine="708"/>
        <w:jc w:val="both"/>
        <w:rPr>
          <w:lang w:val="de-DE"/>
        </w:rPr>
      </w:pPr>
    </w:p>
    <w:p w14:paraId="44DE7BB8" w14:textId="77777777" w:rsidR="003E6C61" w:rsidRPr="004676F5" w:rsidRDefault="003E6C61" w:rsidP="003E6C61">
      <w:pPr>
        <w:ind w:firstLine="708"/>
        <w:jc w:val="both"/>
        <w:rPr>
          <w:lang w:val="de-DE"/>
        </w:rPr>
      </w:pPr>
      <w:r w:rsidRPr="004676F5">
        <w:rPr>
          <w:lang w:val="de-DE"/>
        </w:rPr>
        <w:t>2. Betrag der Überschreitung,</w:t>
      </w:r>
    </w:p>
    <w:p w14:paraId="263D2B0C" w14:textId="77777777" w:rsidR="003E6C61" w:rsidRPr="004676F5" w:rsidRDefault="003E6C61" w:rsidP="003E6C61">
      <w:pPr>
        <w:ind w:firstLine="708"/>
        <w:jc w:val="both"/>
        <w:rPr>
          <w:lang w:val="de-DE"/>
        </w:rPr>
      </w:pPr>
    </w:p>
    <w:p w14:paraId="13A91FBD" w14:textId="77777777" w:rsidR="003E6C61" w:rsidRPr="004676F5" w:rsidRDefault="003E6C61" w:rsidP="003E6C61">
      <w:pPr>
        <w:ind w:firstLine="708"/>
        <w:jc w:val="both"/>
        <w:rPr>
          <w:lang w:val="de-DE"/>
        </w:rPr>
      </w:pPr>
      <w:r w:rsidRPr="004676F5">
        <w:rPr>
          <w:lang w:val="de-DE"/>
        </w:rPr>
        <w:t>3. Sollzinssatz, etwaige Vertragsstrafen und Entgelte, die auf den Betrag der Über</w:t>
      </w:r>
      <w:r w:rsidRPr="004676F5">
        <w:rPr>
          <w:lang w:val="de-DE"/>
        </w:rPr>
        <w:softHyphen/>
        <w:t>schreitung Anwendung finden.</w:t>
      </w:r>
    </w:p>
    <w:p w14:paraId="5A3347DC" w14:textId="77777777" w:rsidR="003E6C61" w:rsidRPr="004676F5" w:rsidRDefault="003E6C61" w:rsidP="003E6C61">
      <w:pPr>
        <w:ind w:firstLine="708"/>
        <w:jc w:val="both"/>
        <w:rPr>
          <w:lang w:val="de-DE"/>
        </w:rPr>
      </w:pPr>
    </w:p>
    <w:p w14:paraId="7C58B795" w14:textId="77777777" w:rsidR="003E6C61" w:rsidRPr="004676F5" w:rsidRDefault="003E6C61" w:rsidP="003E6C61">
      <w:pPr>
        <w:ind w:firstLine="708"/>
        <w:jc w:val="both"/>
        <w:rPr>
          <w:lang w:val="de-DE"/>
        </w:rPr>
      </w:pPr>
      <w:r w:rsidRPr="004676F5">
        <w:rPr>
          <w:lang w:val="de-DE"/>
        </w:rPr>
        <w:t>Der König kann diesen Betrag ändern. Solange die im vorangehenden Absatz erwähnte Mitteilung nicht erfolgt ist, kann der Kreditgeber auf den Betrag der Überschreitung nur den zuletzt angewandten Sollzinssatz berechnen, unter Ausschluss jeglicher Vertragsstrafen, Entschädigungen oder Verzugszinsen.</w:t>
      </w:r>
    </w:p>
    <w:p w14:paraId="7287C836" w14:textId="77777777" w:rsidR="003E6C61" w:rsidRPr="004676F5" w:rsidRDefault="003E6C61" w:rsidP="003E6C61">
      <w:pPr>
        <w:ind w:firstLine="708"/>
        <w:jc w:val="both"/>
        <w:rPr>
          <w:lang w:val="de-DE"/>
        </w:rPr>
      </w:pPr>
    </w:p>
    <w:p w14:paraId="5E18ADD6" w14:textId="77777777" w:rsidR="003E6C61" w:rsidRPr="004676F5" w:rsidRDefault="003E6C61" w:rsidP="003E6C61">
      <w:pPr>
        <w:ind w:firstLine="708"/>
        <w:jc w:val="both"/>
        <w:rPr>
          <w:lang w:val="de-DE"/>
        </w:rPr>
      </w:pPr>
      <w:r w:rsidRPr="004676F5">
        <w:rPr>
          <w:lang w:val="de-DE"/>
        </w:rPr>
        <w:t>Ist die Überschreitung bei Ablauf einer Frist von drei Monaten ab ihrem Entstehen nicht beglichen, setzt der Kreditgeber die Inanspruchnahme von Kreditbeträgen aus und kündigt den Vertrag unter Berücksichtigung von Artikel VII.147/20 § 1 Nr. 3 oder setzt unter Einhaltung aller Bestimmungen des vorliegenden Buches durch Schuldumwandlung einen neuen Vertrag mit einem höheren Kreditbetrag auf.</w:t>
      </w:r>
    </w:p>
    <w:p w14:paraId="73D1CC12" w14:textId="77777777" w:rsidR="003E6C61" w:rsidRPr="004676F5" w:rsidRDefault="003E6C61" w:rsidP="003E6C61">
      <w:pPr>
        <w:ind w:firstLine="708"/>
        <w:jc w:val="both"/>
        <w:rPr>
          <w:lang w:val="de-DE"/>
        </w:rPr>
      </w:pPr>
    </w:p>
    <w:p w14:paraId="543F8273" w14:textId="51CA340A" w:rsidR="003658CE" w:rsidRPr="004676F5" w:rsidRDefault="003658CE" w:rsidP="003658CE">
      <w:pPr>
        <w:jc w:val="both"/>
        <w:rPr>
          <w:i/>
          <w:iCs/>
          <w:lang w:val="de-DE"/>
        </w:rPr>
      </w:pPr>
      <w:r w:rsidRPr="004676F5">
        <w:rPr>
          <w:i/>
          <w:iCs/>
          <w:lang w:val="de-DE"/>
        </w:rPr>
        <w:t>[Art. VII.147/16 Abs. 1 einleitende Bestimmung abgeändert durch Art. 12 des G. vom 20. September 2018 (B.S. vom 10. Oktober 2018)]</w:t>
      </w:r>
    </w:p>
    <w:p w14:paraId="7C129164" w14:textId="77777777" w:rsidR="003658CE" w:rsidRPr="004676F5" w:rsidRDefault="003658CE" w:rsidP="003E6C61">
      <w:pPr>
        <w:ind w:firstLine="708"/>
        <w:jc w:val="both"/>
        <w:rPr>
          <w:lang w:val="de-DE"/>
        </w:rPr>
      </w:pPr>
    </w:p>
    <w:p w14:paraId="635D141B" w14:textId="1E2E5832" w:rsidR="008C2036" w:rsidRPr="004676F5" w:rsidRDefault="008C2036">
      <w:pPr>
        <w:rPr>
          <w:i/>
          <w:lang w:val="de-DE"/>
        </w:rPr>
      </w:pPr>
    </w:p>
    <w:p w14:paraId="4B564414" w14:textId="1F1DC798" w:rsidR="003E6C61" w:rsidRPr="004676F5" w:rsidRDefault="003E6C61" w:rsidP="003E6C61">
      <w:pPr>
        <w:jc w:val="center"/>
        <w:rPr>
          <w:lang w:val="de-DE"/>
        </w:rPr>
      </w:pPr>
      <w:r w:rsidRPr="004676F5">
        <w:rPr>
          <w:i/>
          <w:lang w:val="de-DE"/>
        </w:rPr>
        <w:t>Abschnitt 7 </w:t>
      </w:r>
      <w:r w:rsidR="005B7A5C" w:rsidRPr="004676F5">
        <w:rPr>
          <w:lang w:val="de-DE"/>
        </w:rPr>
        <w:t>- </w:t>
      </w:r>
      <w:r w:rsidRPr="004676F5">
        <w:rPr>
          <w:lang w:val="de-DE"/>
        </w:rPr>
        <w:t>Abtretung des Kreditvertrags und der Forderungen aus diesem Vertrag</w:t>
      </w:r>
    </w:p>
    <w:p w14:paraId="477E8E87" w14:textId="77777777" w:rsidR="003E6C61" w:rsidRPr="004676F5" w:rsidRDefault="003E6C61" w:rsidP="003E6C61">
      <w:pPr>
        <w:jc w:val="both"/>
        <w:rPr>
          <w:lang w:val="de-DE"/>
        </w:rPr>
      </w:pPr>
    </w:p>
    <w:p w14:paraId="5D2EB406" w14:textId="77777777" w:rsidR="002E20BA" w:rsidRPr="004676F5" w:rsidRDefault="002E20BA" w:rsidP="003E6C61">
      <w:pPr>
        <w:jc w:val="both"/>
        <w:rPr>
          <w:lang w:val="de-DE"/>
        </w:rPr>
      </w:pPr>
    </w:p>
    <w:p w14:paraId="63BD21FE" w14:textId="1E3FE510" w:rsidR="003E6C61" w:rsidRPr="004676F5" w:rsidRDefault="00BE0A56" w:rsidP="003E6C61">
      <w:pPr>
        <w:ind w:firstLine="708"/>
        <w:jc w:val="both"/>
        <w:rPr>
          <w:lang w:val="de-DE"/>
        </w:rPr>
      </w:pPr>
      <w:r w:rsidRPr="004676F5">
        <w:rPr>
          <w:b/>
          <w:lang w:val="de-DE"/>
        </w:rPr>
        <w:t>Art. </w:t>
      </w:r>
      <w:r w:rsidR="003E6C61" w:rsidRPr="004676F5">
        <w:rPr>
          <w:b/>
          <w:lang w:val="de-DE"/>
        </w:rPr>
        <w:t>VII.147/17</w:t>
      </w:r>
      <w:r w:rsidR="003E6C61" w:rsidRPr="004676F5">
        <w:rPr>
          <w:lang w:val="de-DE"/>
        </w:rPr>
        <w:t> </w:t>
      </w:r>
      <w:r w:rsidR="005B7A5C" w:rsidRPr="004676F5">
        <w:rPr>
          <w:lang w:val="de-DE"/>
        </w:rPr>
        <w:t>- </w:t>
      </w:r>
      <w:r w:rsidR="003E6C61" w:rsidRPr="004676F5">
        <w:rPr>
          <w:lang w:val="de-DE"/>
        </w:rPr>
        <w:t xml:space="preserve">Unbeschadet der Anwendung </w:t>
      </w:r>
      <w:r w:rsidR="008C2036" w:rsidRPr="004676F5">
        <w:rPr>
          <w:lang w:val="de-DE"/>
        </w:rPr>
        <w:t>[der Artikel 5.218 bis 5.220]</w:t>
      </w:r>
      <w:r w:rsidR="003E6C61" w:rsidRPr="004676F5">
        <w:rPr>
          <w:lang w:val="de-DE"/>
        </w:rPr>
        <w:t xml:space="preserve"> des Zivilgesetzbuches können </w:t>
      </w:r>
      <w:r w:rsidR="00DE0629">
        <w:rPr>
          <w:lang w:val="de-DE"/>
        </w:rPr>
        <w:t>[H</w:t>
      </w:r>
      <w:r w:rsidR="003E6C61" w:rsidRPr="004676F5">
        <w:rPr>
          <w:lang w:val="de-DE"/>
        </w:rPr>
        <w:t>ypothekarkredite</w:t>
      </w:r>
      <w:r w:rsidR="00DE0629">
        <w:rPr>
          <w:lang w:val="de-DE"/>
        </w:rPr>
        <w:t>]</w:t>
      </w:r>
      <w:r w:rsidR="003E6C61" w:rsidRPr="004676F5">
        <w:rPr>
          <w:lang w:val="de-DE"/>
        </w:rPr>
        <w:t xml:space="preserve"> oder Forderungen aus solchen Kreditver</w:t>
      </w:r>
      <w:r w:rsidR="003E6C61" w:rsidRPr="004676F5">
        <w:rPr>
          <w:lang w:val="de-DE"/>
        </w:rPr>
        <w:softHyphen/>
        <w:t>trägen nur abgetreten werden an oder nach Forderungsübergang nur erworben werden von einem aufgrund des vorliegenden Buches zugelassenen oder eingetragenen Kreditgeber oder auch abgetreten werden an oder erworben werden von der Bank, von dem Schutzfonds für Einlagen und Finanzinstrumente, von Kreditversicherern, von Mobilisierungsorganismen im Sinne von Artikel 2 des Gesetzes vom 3. August 2012 über verschiedene Maßnahmen zur Erleichterung der Mobilisierung von Forderungen im Finanzsektor oder von anderen Personen, die der König zu diesem Zweck bestimmt.</w:t>
      </w:r>
    </w:p>
    <w:p w14:paraId="474C73A7" w14:textId="77777777" w:rsidR="008C2036" w:rsidRPr="004676F5" w:rsidRDefault="008C2036" w:rsidP="003E6C61">
      <w:pPr>
        <w:ind w:firstLine="708"/>
        <w:jc w:val="both"/>
        <w:rPr>
          <w:lang w:val="de-DE"/>
        </w:rPr>
      </w:pPr>
    </w:p>
    <w:p w14:paraId="500D1807" w14:textId="33036A63" w:rsidR="008C2036" w:rsidRPr="004676F5" w:rsidRDefault="008C2036" w:rsidP="008C2036">
      <w:pPr>
        <w:jc w:val="both"/>
        <w:rPr>
          <w:i/>
          <w:iCs/>
          <w:lang w:val="de-DE"/>
        </w:rPr>
      </w:pPr>
      <w:r w:rsidRPr="004676F5">
        <w:rPr>
          <w:i/>
          <w:iCs/>
          <w:lang w:val="de-DE"/>
        </w:rPr>
        <w:t>[Art. VII.147/17 abgeändert durch Art. 19 des G. vom 28.</w:t>
      </w:r>
      <w:r w:rsidR="00880421" w:rsidRPr="004676F5">
        <w:rPr>
          <w:i/>
          <w:iCs/>
          <w:lang w:val="de-DE"/>
        </w:rPr>
        <w:t> </w:t>
      </w:r>
      <w:r w:rsidRPr="004676F5">
        <w:rPr>
          <w:i/>
          <w:iCs/>
          <w:lang w:val="de-DE"/>
        </w:rPr>
        <w:t>April 2022 (B.S. vom 1. Juli</w:t>
      </w:r>
      <w:r w:rsidR="00880421" w:rsidRPr="004676F5">
        <w:rPr>
          <w:i/>
          <w:iCs/>
          <w:lang w:val="de-DE"/>
        </w:rPr>
        <w:t> </w:t>
      </w:r>
      <w:r w:rsidRPr="004676F5">
        <w:rPr>
          <w:i/>
          <w:iCs/>
          <w:lang w:val="de-DE"/>
        </w:rPr>
        <w:t>2022)</w:t>
      </w:r>
      <w:r w:rsidR="00DE0629">
        <w:rPr>
          <w:i/>
          <w:iCs/>
          <w:lang w:val="de-DE"/>
        </w:rPr>
        <w:t xml:space="preserve"> und Art. 44</w:t>
      </w:r>
      <w:r w:rsidR="00DE0629" w:rsidRPr="00DE0629">
        <w:rPr>
          <w:i/>
          <w:iCs/>
          <w:lang w:val="de-DE"/>
        </w:rPr>
        <w:t xml:space="preserve"> des G. vom 20. Dezember 2024 (B.S. vom 14. Januar 2025)</w:t>
      </w:r>
      <w:r w:rsidRPr="004676F5">
        <w:rPr>
          <w:i/>
          <w:iCs/>
          <w:lang w:val="de-DE"/>
        </w:rPr>
        <w:t>]</w:t>
      </w:r>
    </w:p>
    <w:p w14:paraId="69CE08FA" w14:textId="77777777" w:rsidR="003E6C61" w:rsidRPr="004676F5" w:rsidRDefault="003E6C61" w:rsidP="003E6C61">
      <w:pPr>
        <w:ind w:firstLine="708"/>
        <w:jc w:val="both"/>
        <w:rPr>
          <w:lang w:val="de-DE"/>
        </w:rPr>
      </w:pPr>
    </w:p>
    <w:p w14:paraId="203B5AC1" w14:textId="77777777" w:rsidR="002E20BA" w:rsidRPr="004676F5" w:rsidRDefault="002E20BA" w:rsidP="003E6C61">
      <w:pPr>
        <w:ind w:firstLine="708"/>
        <w:jc w:val="both"/>
        <w:rPr>
          <w:lang w:val="de-DE"/>
        </w:rPr>
      </w:pPr>
    </w:p>
    <w:p w14:paraId="2015623A" w14:textId="0AFF9E37" w:rsidR="003E6C61" w:rsidRPr="004676F5" w:rsidRDefault="00BE0A56" w:rsidP="003E6C61">
      <w:pPr>
        <w:ind w:firstLine="708"/>
        <w:jc w:val="both"/>
        <w:rPr>
          <w:lang w:val="de-DE"/>
        </w:rPr>
      </w:pPr>
      <w:r w:rsidRPr="004676F5">
        <w:rPr>
          <w:b/>
          <w:lang w:val="de-DE"/>
        </w:rPr>
        <w:t>Art. </w:t>
      </w:r>
      <w:r w:rsidR="003E6C61" w:rsidRPr="004676F5">
        <w:rPr>
          <w:b/>
          <w:lang w:val="de-DE"/>
        </w:rPr>
        <w:t>VII.147/18</w:t>
      </w:r>
      <w:r w:rsidR="003E6C61" w:rsidRPr="004676F5">
        <w:rPr>
          <w:lang w:val="de-DE"/>
        </w:rPr>
        <w:t> </w:t>
      </w:r>
      <w:r w:rsidR="005B7A5C" w:rsidRPr="004676F5">
        <w:rPr>
          <w:lang w:val="de-DE"/>
        </w:rPr>
        <w:t>- </w:t>
      </w:r>
      <w:r w:rsidR="003E6C61" w:rsidRPr="004676F5">
        <w:rPr>
          <w:lang w:val="de-DE"/>
        </w:rPr>
        <w:t xml:space="preserve">Unbeschadet des Artikels VII.147/17 ist im Rahmen eines </w:t>
      </w:r>
      <w:r w:rsidR="00DE0629">
        <w:rPr>
          <w:lang w:val="de-DE"/>
        </w:rPr>
        <w:t>[H</w:t>
      </w:r>
      <w:r w:rsidR="003E6C61" w:rsidRPr="004676F5">
        <w:rPr>
          <w:lang w:val="de-DE"/>
        </w:rPr>
        <w:t>ypothekarkredits</w:t>
      </w:r>
      <w:r w:rsidR="00DE0629">
        <w:rPr>
          <w:lang w:val="de-DE"/>
        </w:rPr>
        <w:t>]</w:t>
      </w:r>
      <w:r w:rsidR="003E6C61" w:rsidRPr="004676F5">
        <w:rPr>
          <w:lang w:val="de-DE"/>
        </w:rPr>
        <w:t xml:space="preserve"> Abtretung oder Forderungsübergang dem Verbraucher gegenüber erst wirksam, nachdem er per Einschreibesendung darüber informiert worden ist, außer wenn sofortige Abtretung oder sofortiger Forderungsübergang ausdrücklich im Vertrag vorgesehen ist und die Identität des Zessionars oder des in die Rechte des Altgläubigers eingesetzten Dritten im Kreditvertrag vermerkt ist. Diese Mitteilung ist nicht erforderlich, wenn der ursprüngliche Kreditgeber mit dem Einverständnis des neuen Inhabers der Forderung dem Verbraucher gegenüber nach wie vor als Kreditgeber auftritt.</w:t>
      </w:r>
    </w:p>
    <w:p w14:paraId="6F6602D0" w14:textId="77777777" w:rsidR="003E6C61" w:rsidRDefault="003E6C61" w:rsidP="00DE0629">
      <w:pPr>
        <w:jc w:val="both"/>
        <w:rPr>
          <w:lang w:val="de-DE"/>
        </w:rPr>
      </w:pPr>
    </w:p>
    <w:p w14:paraId="4C31BA25" w14:textId="665B3D88" w:rsidR="00DE0629" w:rsidRDefault="00DE0629" w:rsidP="00DE0629">
      <w:pPr>
        <w:jc w:val="both"/>
        <w:rPr>
          <w:i/>
          <w:iCs/>
          <w:lang w:val="de-DE"/>
        </w:rPr>
      </w:pPr>
      <w:r>
        <w:rPr>
          <w:i/>
          <w:iCs/>
          <w:lang w:val="de-DE"/>
        </w:rPr>
        <w:t>[Art. VII.147/18 abgeändert durch Art. 45</w:t>
      </w:r>
      <w:r w:rsidRPr="00DE0629">
        <w:rPr>
          <w:i/>
          <w:iCs/>
          <w:lang w:val="de-DE"/>
        </w:rPr>
        <w:t xml:space="preserve"> des G. vom 20. Dezember 2024 (B.S. vom 14. Januar 2025)</w:t>
      </w:r>
      <w:r>
        <w:rPr>
          <w:i/>
          <w:iCs/>
          <w:lang w:val="de-DE"/>
        </w:rPr>
        <w:t>]</w:t>
      </w:r>
    </w:p>
    <w:p w14:paraId="2487B4AD" w14:textId="77777777" w:rsidR="00DE0629" w:rsidRPr="00DE0629" w:rsidRDefault="00DE0629" w:rsidP="00DE0629">
      <w:pPr>
        <w:jc w:val="both"/>
        <w:rPr>
          <w:i/>
          <w:iCs/>
          <w:lang w:val="de-DE"/>
        </w:rPr>
      </w:pPr>
    </w:p>
    <w:p w14:paraId="3786EB29" w14:textId="77777777" w:rsidR="002E20BA" w:rsidRPr="004676F5" w:rsidRDefault="002E20BA" w:rsidP="003E6C61">
      <w:pPr>
        <w:ind w:firstLine="708"/>
        <w:jc w:val="both"/>
        <w:rPr>
          <w:lang w:val="de-DE"/>
        </w:rPr>
      </w:pPr>
    </w:p>
    <w:p w14:paraId="0F6F5E09" w14:textId="77777777" w:rsidR="00DE0629" w:rsidRDefault="00DE0629">
      <w:pPr>
        <w:rPr>
          <w:b/>
          <w:lang w:val="de-DE"/>
        </w:rPr>
      </w:pPr>
      <w:r>
        <w:rPr>
          <w:b/>
          <w:lang w:val="de-DE"/>
        </w:rPr>
        <w:br w:type="page"/>
      </w:r>
    </w:p>
    <w:p w14:paraId="4DF858A3" w14:textId="235BAFAE" w:rsidR="003E6C61" w:rsidRDefault="00BE0A56" w:rsidP="003E6C61">
      <w:pPr>
        <w:ind w:firstLine="708"/>
        <w:jc w:val="both"/>
        <w:rPr>
          <w:lang w:val="de-DE"/>
        </w:rPr>
      </w:pPr>
      <w:r w:rsidRPr="004676F5">
        <w:rPr>
          <w:b/>
          <w:lang w:val="de-DE"/>
        </w:rPr>
        <w:lastRenderedPageBreak/>
        <w:t>Art. </w:t>
      </w:r>
      <w:r w:rsidR="003E6C61" w:rsidRPr="004676F5">
        <w:rPr>
          <w:b/>
          <w:lang w:val="de-DE"/>
        </w:rPr>
        <w:t>VII.147/19</w:t>
      </w:r>
      <w:r w:rsidR="003E6C61" w:rsidRPr="004676F5">
        <w:rPr>
          <w:lang w:val="de-DE"/>
        </w:rPr>
        <w:t> </w:t>
      </w:r>
      <w:r w:rsidR="005B7A5C" w:rsidRPr="004676F5">
        <w:rPr>
          <w:lang w:val="de-DE"/>
        </w:rPr>
        <w:t>- </w:t>
      </w:r>
      <w:r w:rsidR="003E6C61" w:rsidRPr="004676F5">
        <w:rPr>
          <w:lang w:val="de-DE"/>
        </w:rPr>
        <w:t xml:space="preserve">Bei Abtretung oder Forderungsübergang einer Forderung aus einem </w:t>
      </w:r>
      <w:r w:rsidR="00DE0629">
        <w:rPr>
          <w:lang w:val="de-DE"/>
        </w:rPr>
        <w:t>[H</w:t>
      </w:r>
      <w:r w:rsidR="003E6C61" w:rsidRPr="004676F5">
        <w:rPr>
          <w:lang w:val="de-DE"/>
        </w:rPr>
        <w:t>ypothekarkredit</w:t>
      </w:r>
      <w:r w:rsidR="00DE0629">
        <w:rPr>
          <w:lang w:val="de-DE"/>
        </w:rPr>
        <w:t>]</w:t>
      </w:r>
      <w:r w:rsidR="003E6C61" w:rsidRPr="004676F5">
        <w:rPr>
          <w:lang w:val="de-DE"/>
        </w:rPr>
        <w:t xml:space="preserve"> behält der Verbraucher dem Zessionar oder dem in die Rechte des Altgläubigers eingesetzten Gläubiger gegenüber die Verteidigungsmittel, einschließlich der Aufrechnungseinrede, die er gegen den Zedenten oder Übertragenden geltend machen kann. Anders lautende Klauseln gelten als ungeschrieben.</w:t>
      </w:r>
    </w:p>
    <w:p w14:paraId="2BC0F412" w14:textId="77777777" w:rsidR="00DE0629" w:rsidRDefault="00DE0629" w:rsidP="00DE0629">
      <w:pPr>
        <w:jc w:val="both"/>
        <w:rPr>
          <w:lang w:val="de-DE"/>
        </w:rPr>
      </w:pPr>
    </w:p>
    <w:p w14:paraId="18B13079" w14:textId="457E8FB3" w:rsidR="00DE0629" w:rsidRPr="00DE0629" w:rsidRDefault="00DE0629" w:rsidP="00DE0629">
      <w:pPr>
        <w:jc w:val="both"/>
        <w:rPr>
          <w:i/>
          <w:iCs/>
          <w:lang w:val="de-DE"/>
        </w:rPr>
      </w:pPr>
      <w:r>
        <w:rPr>
          <w:i/>
          <w:iCs/>
          <w:lang w:val="de-DE"/>
        </w:rPr>
        <w:t>[Art. VII.147/19 abgeändert durch Art. 46</w:t>
      </w:r>
      <w:r w:rsidRPr="00DE0629">
        <w:rPr>
          <w:i/>
          <w:iCs/>
          <w:lang w:val="de-DE"/>
        </w:rPr>
        <w:t xml:space="preserve"> des G. vom 20. Dezember 2024 (B.S. vom 14. Januar 2025)</w:t>
      </w:r>
      <w:r>
        <w:rPr>
          <w:i/>
          <w:iCs/>
          <w:lang w:val="de-DE"/>
        </w:rPr>
        <w:t>]</w:t>
      </w:r>
    </w:p>
    <w:p w14:paraId="4B6D4FC3" w14:textId="77777777" w:rsidR="003E6C61" w:rsidRPr="004676F5" w:rsidRDefault="003E6C61" w:rsidP="003E6C61">
      <w:pPr>
        <w:jc w:val="both"/>
        <w:rPr>
          <w:lang w:val="de-DE"/>
        </w:rPr>
      </w:pPr>
    </w:p>
    <w:p w14:paraId="3B99D0EB" w14:textId="77777777" w:rsidR="002E20BA" w:rsidRPr="004676F5" w:rsidRDefault="002E20BA" w:rsidP="003E6C61">
      <w:pPr>
        <w:jc w:val="both"/>
        <w:rPr>
          <w:lang w:val="de-DE"/>
        </w:rPr>
      </w:pPr>
    </w:p>
    <w:p w14:paraId="16F0A27D" w14:textId="6FB54FEB" w:rsidR="003E6C61" w:rsidRDefault="003E6C61" w:rsidP="003E6C61">
      <w:pPr>
        <w:jc w:val="center"/>
        <w:rPr>
          <w:lang w:val="de-DE"/>
        </w:rPr>
      </w:pPr>
      <w:r w:rsidRPr="004676F5">
        <w:rPr>
          <w:i/>
          <w:lang w:val="de-DE"/>
        </w:rPr>
        <w:t>Abschnitt 8</w:t>
      </w:r>
      <w:r w:rsidRPr="004676F5">
        <w:rPr>
          <w:lang w:val="de-DE"/>
        </w:rPr>
        <w:t> </w:t>
      </w:r>
      <w:r w:rsidR="005B7A5C" w:rsidRPr="004676F5">
        <w:rPr>
          <w:lang w:val="de-DE"/>
        </w:rPr>
        <w:t>- </w:t>
      </w:r>
      <w:r w:rsidR="00DE0629">
        <w:rPr>
          <w:lang w:val="de-DE"/>
        </w:rPr>
        <w:t xml:space="preserve">[Stundungsmaßnahmen und </w:t>
      </w:r>
      <w:r w:rsidRPr="004676F5">
        <w:rPr>
          <w:lang w:val="de-DE"/>
        </w:rPr>
        <w:t>Nichterfüllung des Kreditvertrags</w:t>
      </w:r>
      <w:r w:rsidR="00DE0629">
        <w:rPr>
          <w:lang w:val="de-DE"/>
        </w:rPr>
        <w:t>]</w:t>
      </w:r>
    </w:p>
    <w:p w14:paraId="23E3CD92" w14:textId="77777777" w:rsidR="00DE0629" w:rsidRDefault="00DE0629" w:rsidP="003E6C61">
      <w:pPr>
        <w:jc w:val="center"/>
        <w:rPr>
          <w:lang w:val="de-DE"/>
        </w:rPr>
      </w:pPr>
    </w:p>
    <w:p w14:paraId="69DFDB79" w14:textId="0E3056E0" w:rsidR="00DE0629" w:rsidRPr="00DE0629" w:rsidRDefault="00DE0629" w:rsidP="00DE0629">
      <w:pPr>
        <w:jc w:val="both"/>
        <w:rPr>
          <w:i/>
          <w:iCs/>
          <w:lang w:val="de-DE"/>
        </w:rPr>
      </w:pPr>
      <w:r>
        <w:rPr>
          <w:i/>
          <w:iCs/>
          <w:lang w:val="de-DE"/>
        </w:rPr>
        <w:t>[Überschrift von Abschnitt 8 ersetzt durch Art. 47</w:t>
      </w:r>
      <w:r w:rsidRPr="00DE0629">
        <w:rPr>
          <w:i/>
          <w:iCs/>
          <w:lang w:val="de-DE"/>
        </w:rPr>
        <w:t xml:space="preserve"> des G. vom 20. Dezember 2024 (B.S. vom 14. Januar 2025)</w:t>
      </w:r>
      <w:r>
        <w:rPr>
          <w:i/>
          <w:iCs/>
          <w:lang w:val="de-DE"/>
        </w:rPr>
        <w:t>]</w:t>
      </w:r>
    </w:p>
    <w:p w14:paraId="28964418" w14:textId="77777777" w:rsidR="003E6C61" w:rsidRPr="004676F5" w:rsidRDefault="003E6C61" w:rsidP="003E6C61">
      <w:pPr>
        <w:jc w:val="both"/>
        <w:rPr>
          <w:lang w:val="de-DE"/>
        </w:rPr>
      </w:pPr>
    </w:p>
    <w:p w14:paraId="27BF066A" w14:textId="77777777" w:rsidR="002E20BA" w:rsidRPr="004676F5" w:rsidRDefault="002E20BA" w:rsidP="003E6C61">
      <w:pPr>
        <w:jc w:val="both"/>
        <w:rPr>
          <w:lang w:val="de-DE"/>
        </w:rPr>
      </w:pPr>
    </w:p>
    <w:p w14:paraId="5D5A5532" w14:textId="21729502" w:rsidR="00DE0629" w:rsidRPr="00FE0D0B" w:rsidRDefault="00BE0A56" w:rsidP="00DE0629">
      <w:pPr>
        <w:ind w:firstLine="708"/>
        <w:jc w:val="both"/>
        <w:rPr>
          <w:lang w:val="de-DE"/>
        </w:rPr>
      </w:pPr>
      <w:r w:rsidRPr="004676F5">
        <w:rPr>
          <w:b/>
          <w:lang w:val="de-DE"/>
        </w:rPr>
        <w:t>Art. </w:t>
      </w:r>
      <w:r w:rsidR="003E6C61" w:rsidRPr="004676F5">
        <w:rPr>
          <w:b/>
          <w:lang w:val="de-DE"/>
        </w:rPr>
        <w:t>VII.147/20</w:t>
      </w:r>
      <w:r w:rsidR="003E6C61" w:rsidRPr="004676F5">
        <w:rPr>
          <w:lang w:val="de-DE"/>
        </w:rPr>
        <w:t> </w:t>
      </w:r>
      <w:r w:rsidR="005B7A5C" w:rsidRPr="004676F5">
        <w:rPr>
          <w:lang w:val="de-DE"/>
        </w:rPr>
        <w:t>- </w:t>
      </w:r>
      <w:r w:rsidR="00DE0629">
        <w:rPr>
          <w:lang w:val="de-DE"/>
        </w:rPr>
        <w:t>[</w:t>
      </w:r>
      <w:r w:rsidR="00DE0629" w:rsidRPr="00FE0D0B">
        <w:rPr>
          <w:lang w:val="de-DE"/>
        </w:rPr>
        <w:t>§ 1 - Kreditgeber verfügen über angemessene Strategien und Verfahren, damit sie sich bemühen, je nach Sachlage angemessene Nachsicht walten zu lassen, bevor Vollstreckungsverfahren eingeleitet werden. Derartige Stundungsmaßnahmen müssen unter anderem den individuellen Umständen des Verbrauchers Rechnung tragen.</w:t>
      </w:r>
    </w:p>
    <w:p w14:paraId="6D835074" w14:textId="77777777" w:rsidR="00DE0629" w:rsidRPr="00FE0D0B" w:rsidRDefault="00DE0629" w:rsidP="00DE0629">
      <w:pPr>
        <w:jc w:val="both"/>
        <w:rPr>
          <w:lang w:val="de-DE"/>
        </w:rPr>
      </w:pPr>
    </w:p>
    <w:p w14:paraId="61B2648E" w14:textId="77777777" w:rsidR="00DE0629" w:rsidRPr="00FE0D0B" w:rsidRDefault="00DE0629" w:rsidP="00DE0629">
      <w:pPr>
        <w:jc w:val="both"/>
        <w:rPr>
          <w:lang w:val="de-DE"/>
        </w:rPr>
      </w:pPr>
      <w:r w:rsidRPr="00FE0D0B">
        <w:rPr>
          <w:lang w:val="de-DE"/>
        </w:rPr>
        <w:tab/>
        <w:t>Was Mobiliarhypothekarkredite betrifft, führt jede Änderung der bestehenden Bedingungen zum Abschluss eines neuen Kreditvertrags.</w:t>
      </w:r>
    </w:p>
    <w:p w14:paraId="13C88384" w14:textId="77777777" w:rsidR="00DE0629" w:rsidRPr="00FE0D0B" w:rsidRDefault="00DE0629" w:rsidP="00DE0629">
      <w:pPr>
        <w:jc w:val="both"/>
        <w:rPr>
          <w:lang w:val="de-DE"/>
        </w:rPr>
      </w:pPr>
    </w:p>
    <w:p w14:paraId="0E6A0FF6" w14:textId="77777777" w:rsidR="00DE0629" w:rsidRPr="00FE0D0B" w:rsidRDefault="00DE0629" w:rsidP="00DE0629">
      <w:pPr>
        <w:jc w:val="both"/>
        <w:rPr>
          <w:lang w:val="de-DE"/>
        </w:rPr>
      </w:pPr>
      <w:r w:rsidRPr="00FE0D0B">
        <w:rPr>
          <w:lang w:val="de-DE"/>
        </w:rPr>
        <w:tab/>
        <w:t>Was Immobiliarhypothekarkredite betrifft, erfolgt jede in Artikel VII.145 Absatz 2 erwähnte Änderung durch einen in Artikel VII.145 Absatz 4 erwähnten Zusatzvertrag. Jede weitere Änderung der bestehenden Bedingungen führt zum Abschluss eines neuen Kreditvertrags.</w:t>
      </w:r>
    </w:p>
    <w:p w14:paraId="15F2FBE7" w14:textId="77777777" w:rsidR="00DE0629" w:rsidRPr="00FE0D0B" w:rsidRDefault="00DE0629" w:rsidP="00DE0629">
      <w:pPr>
        <w:jc w:val="both"/>
        <w:rPr>
          <w:lang w:val="de-DE"/>
        </w:rPr>
      </w:pPr>
    </w:p>
    <w:p w14:paraId="25B694DA" w14:textId="77777777" w:rsidR="00DE0629" w:rsidRPr="00FE0D0B" w:rsidRDefault="00DE0629" w:rsidP="00DE0629">
      <w:pPr>
        <w:jc w:val="both"/>
        <w:rPr>
          <w:lang w:val="de-DE"/>
        </w:rPr>
      </w:pPr>
      <w:r w:rsidRPr="00FE0D0B">
        <w:rPr>
          <w:lang w:val="de-DE"/>
        </w:rPr>
        <w:tab/>
        <w:t>Artikel VII.133 ist entsprechend anwendbar.</w:t>
      </w:r>
    </w:p>
    <w:p w14:paraId="6879310E" w14:textId="77777777" w:rsidR="00DE0629" w:rsidRPr="00FE0D0B" w:rsidRDefault="00DE0629" w:rsidP="00DE0629">
      <w:pPr>
        <w:jc w:val="both"/>
        <w:rPr>
          <w:lang w:val="de-DE"/>
        </w:rPr>
      </w:pPr>
    </w:p>
    <w:p w14:paraId="58A4FE6C" w14:textId="43CB27A5" w:rsidR="00DE0629" w:rsidRDefault="00DE0629" w:rsidP="00DE0629">
      <w:pPr>
        <w:ind w:firstLine="708"/>
        <w:jc w:val="both"/>
        <w:rPr>
          <w:lang w:val="de-DE"/>
        </w:rPr>
      </w:pPr>
      <w:r w:rsidRPr="00FE0D0B">
        <w:rPr>
          <w:lang w:val="de-DE"/>
        </w:rPr>
        <w:t>Im Rahmen der Anwendung des vorliegenden Artikels gewährte Stundungsmaßnahmen ziehen keine Bearbeitungsgebühren, Verzugszinsen oder anderen Kosten nach sich, mit Ausnahme des vertraglich vereinbarten Sollzinssatzes und etwaiger Kosten im Zusammenhang mit der normalen Vertragserfüllung, die über den Zeitraum der Stundungsmaßnahmen berechnet werden.</w:t>
      </w:r>
      <w:r>
        <w:rPr>
          <w:lang w:val="de-DE"/>
        </w:rPr>
        <w:t>]</w:t>
      </w:r>
    </w:p>
    <w:p w14:paraId="32F7300D" w14:textId="77777777" w:rsidR="00DE0629" w:rsidRDefault="00DE0629" w:rsidP="003E6C61">
      <w:pPr>
        <w:ind w:firstLine="708"/>
        <w:jc w:val="both"/>
        <w:rPr>
          <w:lang w:val="de-DE"/>
        </w:rPr>
      </w:pPr>
    </w:p>
    <w:p w14:paraId="6665E51A" w14:textId="0E0EAFE3" w:rsidR="003E6C61" w:rsidRPr="004676F5" w:rsidRDefault="00DE0629" w:rsidP="003E6C61">
      <w:pPr>
        <w:ind w:firstLine="708"/>
        <w:jc w:val="both"/>
        <w:rPr>
          <w:lang w:val="de-DE"/>
        </w:rPr>
      </w:pPr>
      <w:r>
        <w:rPr>
          <w:lang w:val="de-DE"/>
        </w:rPr>
        <w:t>[</w:t>
      </w:r>
      <w:r w:rsidR="003E6C61" w:rsidRPr="004676F5">
        <w:rPr>
          <w:lang w:val="de-DE"/>
        </w:rPr>
        <w:t>§ </w:t>
      </w:r>
      <w:r>
        <w:rPr>
          <w:lang w:val="de-DE"/>
        </w:rPr>
        <w:t>2]</w:t>
      </w:r>
      <w:r w:rsidR="003E6C61" w:rsidRPr="004676F5">
        <w:rPr>
          <w:lang w:val="de-DE"/>
        </w:rPr>
        <w:t> </w:t>
      </w:r>
      <w:r w:rsidR="005B7A5C" w:rsidRPr="004676F5">
        <w:rPr>
          <w:lang w:val="de-DE"/>
        </w:rPr>
        <w:t>- </w:t>
      </w:r>
      <w:r w:rsidR="003E6C61" w:rsidRPr="004676F5">
        <w:rPr>
          <w:lang w:val="de-DE"/>
        </w:rPr>
        <w:t>Unbeschadet der Anwendung von Artikel VII.147/13 § 1 ist eine Klausel, in der die sofortige Fälligkeit oder eine ausdrückliche auflösende Bedingung vorgesehen ist, verboten und gilt als ungeschrieben, vorbehaltlich folgender Fälle:</w:t>
      </w:r>
    </w:p>
    <w:p w14:paraId="6E12F30E" w14:textId="77777777" w:rsidR="003E6C61" w:rsidRPr="004676F5" w:rsidRDefault="003E6C61" w:rsidP="003E6C61">
      <w:pPr>
        <w:ind w:firstLine="708"/>
        <w:jc w:val="both"/>
        <w:rPr>
          <w:lang w:val="de-DE"/>
        </w:rPr>
      </w:pPr>
    </w:p>
    <w:p w14:paraId="68034D67" w14:textId="77777777" w:rsidR="003E6C61" w:rsidRPr="004676F5" w:rsidRDefault="003E6C61" w:rsidP="003E6C61">
      <w:pPr>
        <w:ind w:firstLine="708"/>
        <w:jc w:val="both"/>
        <w:rPr>
          <w:lang w:val="de-DE"/>
        </w:rPr>
      </w:pPr>
      <w:r w:rsidRPr="004676F5">
        <w:rPr>
          <w:lang w:val="de-DE"/>
        </w:rPr>
        <w:t>1. Der Verbraucher ist mit mindestens zwei Ratenbeträgen oder 20 Prozent des zurückzuzahlenden Gesamtbetrags oder der entsprechenden Beträge für die Kapitalwieder</w:t>
      </w:r>
      <w:r w:rsidRPr="004676F5">
        <w:rPr>
          <w:lang w:val="de-DE"/>
        </w:rPr>
        <w:softHyphen/>
        <w:t>herstellung in Verzug und hat seine Verbindlichkeiten innerhalb eines Monats ab Versendung einer Einschreibesendung zur Inverzugsetzung nicht erfüllt. Der Kreditgeber muss den Verbraucher bei der Inverzugsetzung an diese Regeln erinnern.</w:t>
      </w:r>
    </w:p>
    <w:p w14:paraId="61BD6938" w14:textId="77777777" w:rsidR="003E6C61" w:rsidRPr="004676F5" w:rsidRDefault="003E6C61" w:rsidP="003E6C61">
      <w:pPr>
        <w:ind w:firstLine="708"/>
        <w:jc w:val="both"/>
        <w:rPr>
          <w:lang w:val="de-DE"/>
        </w:rPr>
      </w:pPr>
    </w:p>
    <w:p w14:paraId="3A7A6C66" w14:textId="77777777" w:rsidR="003E6C61" w:rsidRPr="004676F5" w:rsidRDefault="003E6C61" w:rsidP="003E6C61">
      <w:pPr>
        <w:ind w:firstLine="708"/>
        <w:jc w:val="both"/>
        <w:rPr>
          <w:lang w:val="de-DE"/>
        </w:rPr>
      </w:pPr>
      <w:r w:rsidRPr="004676F5">
        <w:rPr>
          <w:lang w:val="de-DE"/>
        </w:rPr>
        <w:t>2. Der Verbraucher veräußert bei einem Mobiliarhypothekarkredit das finanzierte bewegliche Gut vor Zahlung des Preises oder gebraucht es unter Verstoß gegen die Vertragsbestimmungen, obschon der Kreditgeber sich das diesbezügliche Eigentum vorbe</w:t>
      </w:r>
      <w:r w:rsidRPr="004676F5">
        <w:rPr>
          <w:lang w:val="de-DE"/>
        </w:rPr>
        <w:softHyphen/>
        <w:t>halten hat.</w:t>
      </w:r>
    </w:p>
    <w:p w14:paraId="059D63D8" w14:textId="77777777" w:rsidR="003E6C61" w:rsidRPr="004676F5" w:rsidRDefault="003E6C61" w:rsidP="003E6C61">
      <w:pPr>
        <w:ind w:firstLine="708"/>
        <w:jc w:val="both"/>
        <w:rPr>
          <w:lang w:val="de-DE"/>
        </w:rPr>
      </w:pPr>
    </w:p>
    <w:p w14:paraId="020C0055" w14:textId="77777777" w:rsidR="003E6C61" w:rsidRPr="004676F5" w:rsidRDefault="003E6C61" w:rsidP="003E6C61">
      <w:pPr>
        <w:ind w:firstLine="708"/>
        <w:jc w:val="both"/>
        <w:rPr>
          <w:lang w:val="de-DE"/>
        </w:rPr>
      </w:pPr>
      <w:r w:rsidRPr="004676F5">
        <w:rPr>
          <w:lang w:val="de-DE"/>
        </w:rPr>
        <w:lastRenderedPageBreak/>
        <w:t>3. Der Verbraucher überschreitet bei einem Mobiliarhypothekarkredit den in den Artikeln VII.147/15 und VII.147/16 erwähnten Kreditbetrag und hat seine Verbindlichkeiten innerhalb eines Monats ab Versendung einer Einschreibesendung zur Inverzugsetzung nicht erfüllt.</w:t>
      </w:r>
    </w:p>
    <w:p w14:paraId="21756C76" w14:textId="77777777" w:rsidR="003E6C61" w:rsidRPr="004676F5" w:rsidRDefault="003E6C61" w:rsidP="003E6C61">
      <w:pPr>
        <w:ind w:firstLine="708"/>
        <w:jc w:val="both"/>
        <w:rPr>
          <w:lang w:val="de-DE"/>
        </w:rPr>
      </w:pPr>
    </w:p>
    <w:p w14:paraId="30CEAB75" w14:textId="77777777" w:rsidR="003E6C61" w:rsidRPr="004676F5" w:rsidRDefault="003E6C61" w:rsidP="003E6C61">
      <w:pPr>
        <w:ind w:firstLine="708"/>
        <w:jc w:val="both"/>
        <w:rPr>
          <w:lang w:val="de-DE"/>
        </w:rPr>
      </w:pPr>
      <w:r w:rsidRPr="004676F5">
        <w:rPr>
          <w:lang w:val="de-DE"/>
        </w:rPr>
        <w:t>4. Über den Verbraucher wird der Konkurs eröffnet.</w:t>
      </w:r>
    </w:p>
    <w:p w14:paraId="03948804" w14:textId="77777777" w:rsidR="003E6C61" w:rsidRPr="004676F5" w:rsidRDefault="003E6C61" w:rsidP="003E6C61">
      <w:pPr>
        <w:ind w:firstLine="708"/>
        <w:jc w:val="both"/>
        <w:rPr>
          <w:lang w:val="de-DE"/>
        </w:rPr>
      </w:pPr>
    </w:p>
    <w:p w14:paraId="7432B321" w14:textId="73C52B43" w:rsidR="003E6C61" w:rsidRPr="004676F5" w:rsidRDefault="003E6C61" w:rsidP="003E6C61">
      <w:pPr>
        <w:ind w:firstLine="708"/>
        <w:jc w:val="both"/>
        <w:rPr>
          <w:lang w:val="de-DE"/>
        </w:rPr>
      </w:pPr>
      <w:r w:rsidRPr="004676F5">
        <w:rPr>
          <w:lang w:val="de-DE"/>
        </w:rPr>
        <w:t>5. Der Verbraucher hat in folgenden Fällen die hypothekarische Sicherheit, die er durch den Kreditvertrag geleistet hatte, durch eigenes Zutun verringert:</w:t>
      </w:r>
    </w:p>
    <w:p w14:paraId="580EE33C" w14:textId="77777777" w:rsidR="003E6C61" w:rsidRPr="004676F5" w:rsidRDefault="003E6C61" w:rsidP="003E6C61">
      <w:pPr>
        <w:ind w:firstLine="708"/>
        <w:jc w:val="both"/>
        <w:rPr>
          <w:lang w:val="de-DE"/>
        </w:rPr>
      </w:pPr>
    </w:p>
    <w:p w14:paraId="4E306484" w14:textId="77777777" w:rsidR="003E6C61" w:rsidRPr="004676F5" w:rsidRDefault="003E6C61" w:rsidP="003E6C61">
      <w:pPr>
        <w:ind w:firstLine="708"/>
        <w:jc w:val="both"/>
        <w:rPr>
          <w:lang w:val="de-DE"/>
        </w:rPr>
      </w:pPr>
      <w:r w:rsidRPr="004676F5">
        <w:rPr>
          <w:i/>
          <w:lang w:val="de-DE"/>
        </w:rPr>
        <w:t>a)</w:t>
      </w:r>
      <w:r w:rsidRPr="004676F5">
        <w:rPr>
          <w:lang w:val="de-DE"/>
        </w:rPr>
        <w:t> Das unbewegliche Gut, das die hypothekarische Sicherheit bildet, wird ganz oder teilweise veräußert, verkauft, getauscht oder unter Lebenden geschenkt.</w:t>
      </w:r>
    </w:p>
    <w:p w14:paraId="318CEF20" w14:textId="77777777" w:rsidR="003E6C61" w:rsidRPr="004676F5" w:rsidRDefault="003E6C61" w:rsidP="003E6C61">
      <w:pPr>
        <w:ind w:firstLine="708"/>
        <w:jc w:val="both"/>
        <w:rPr>
          <w:lang w:val="de-DE"/>
        </w:rPr>
      </w:pPr>
    </w:p>
    <w:p w14:paraId="06BE69EF" w14:textId="77777777" w:rsidR="003E6C61" w:rsidRPr="004676F5" w:rsidRDefault="003E6C61" w:rsidP="003E6C61">
      <w:pPr>
        <w:ind w:firstLine="708"/>
        <w:jc w:val="both"/>
        <w:rPr>
          <w:lang w:val="de-DE"/>
        </w:rPr>
      </w:pPr>
      <w:r w:rsidRPr="004676F5">
        <w:rPr>
          <w:i/>
          <w:lang w:val="de-DE"/>
        </w:rPr>
        <w:t>b)</w:t>
      </w:r>
      <w:r w:rsidRPr="004676F5">
        <w:rPr>
          <w:lang w:val="de-DE"/>
        </w:rPr>
        <w:t> Das unbewegliche Gut, für das eine Hypothekenvollmacht oder ein Hypotheken</w:t>
      </w:r>
      <w:r w:rsidRPr="004676F5">
        <w:rPr>
          <w:lang w:val="de-DE"/>
        </w:rPr>
        <w:softHyphen/>
        <w:t>versprechen besteht, wird mit einer Hypothek belastet.</w:t>
      </w:r>
    </w:p>
    <w:p w14:paraId="51F297FE" w14:textId="77777777" w:rsidR="003E6C61" w:rsidRPr="004676F5" w:rsidRDefault="003E6C61" w:rsidP="003E6C61">
      <w:pPr>
        <w:ind w:firstLine="708"/>
        <w:jc w:val="both"/>
        <w:rPr>
          <w:lang w:val="de-DE"/>
        </w:rPr>
      </w:pPr>
    </w:p>
    <w:p w14:paraId="62BDBE84" w14:textId="7B17B8BD" w:rsidR="003E6C61" w:rsidRPr="004676F5" w:rsidRDefault="00DE0629" w:rsidP="003E6C61">
      <w:pPr>
        <w:ind w:firstLine="708"/>
        <w:jc w:val="both"/>
        <w:rPr>
          <w:lang w:val="de-DE"/>
        </w:rPr>
      </w:pPr>
      <w:r>
        <w:rPr>
          <w:lang w:val="de-DE"/>
        </w:rPr>
        <w:t>[</w:t>
      </w:r>
      <w:r w:rsidR="003E6C61" w:rsidRPr="004676F5">
        <w:rPr>
          <w:lang w:val="de-DE"/>
        </w:rPr>
        <w:t>§ </w:t>
      </w:r>
      <w:r>
        <w:rPr>
          <w:lang w:val="de-DE"/>
        </w:rPr>
        <w:t>3]</w:t>
      </w:r>
      <w:r w:rsidR="003E6C61" w:rsidRPr="004676F5">
        <w:rPr>
          <w:lang w:val="de-DE"/>
        </w:rPr>
        <w:t> </w:t>
      </w:r>
      <w:r w:rsidR="005B7A5C" w:rsidRPr="004676F5">
        <w:rPr>
          <w:lang w:val="de-DE"/>
        </w:rPr>
        <w:t>- </w:t>
      </w:r>
      <w:r w:rsidR="003E6C61" w:rsidRPr="004676F5">
        <w:rPr>
          <w:lang w:val="de-DE"/>
        </w:rPr>
        <w:t>Der Richter kann unbeschadet der gemeinrechtlichen Sanktionen und der Anwendung von Artikel VII.134 § 4 in folgenden Fällen die Auflösung des Vertrags zu Lasten des Verbrauchers anordnen:</w:t>
      </w:r>
    </w:p>
    <w:p w14:paraId="2442C697" w14:textId="77777777" w:rsidR="003E6C61" w:rsidRPr="004676F5" w:rsidRDefault="003E6C61" w:rsidP="003E6C61">
      <w:pPr>
        <w:ind w:firstLine="708"/>
        <w:jc w:val="both"/>
        <w:rPr>
          <w:lang w:val="de-DE"/>
        </w:rPr>
      </w:pPr>
    </w:p>
    <w:p w14:paraId="30C95344" w14:textId="77777777" w:rsidR="003E6C61" w:rsidRPr="004676F5" w:rsidRDefault="003E6C61" w:rsidP="003E6C61">
      <w:pPr>
        <w:ind w:firstLine="708"/>
        <w:jc w:val="both"/>
        <w:rPr>
          <w:lang w:val="de-DE"/>
        </w:rPr>
      </w:pPr>
      <w:r w:rsidRPr="004676F5">
        <w:rPr>
          <w:lang w:val="de-DE"/>
        </w:rPr>
        <w:t>1. Das mit einer hypothekarischen Sicherheit belastete unbewegliche Gut wird von einem anderen Gläubiger gepfändet.</w:t>
      </w:r>
    </w:p>
    <w:p w14:paraId="368C2B53" w14:textId="77777777" w:rsidR="003E6C61" w:rsidRPr="004676F5" w:rsidRDefault="003E6C61" w:rsidP="003E6C61">
      <w:pPr>
        <w:ind w:firstLine="708"/>
        <w:jc w:val="both"/>
        <w:rPr>
          <w:lang w:val="de-DE"/>
        </w:rPr>
      </w:pPr>
    </w:p>
    <w:p w14:paraId="3A66DDE7" w14:textId="77777777" w:rsidR="003E6C61" w:rsidRPr="004676F5" w:rsidRDefault="003E6C61" w:rsidP="003E6C61">
      <w:pPr>
        <w:ind w:firstLine="708"/>
        <w:jc w:val="both"/>
        <w:rPr>
          <w:lang w:val="de-DE"/>
        </w:rPr>
      </w:pPr>
      <w:r w:rsidRPr="004676F5">
        <w:rPr>
          <w:lang w:val="de-DE"/>
        </w:rPr>
        <w:t>2. Die Hypothekeneintragung hat nicht den mit dem Verbraucher vereinbarten Rang.</w:t>
      </w:r>
    </w:p>
    <w:p w14:paraId="175BBD17" w14:textId="77777777" w:rsidR="003E6C61" w:rsidRPr="004676F5" w:rsidRDefault="003E6C61" w:rsidP="003E6C61">
      <w:pPr>
        <w:ind w:firstLine="708"/>
        <w:jc w:val="both"/>
        <w:rPr>
          <w:lang w:val="de-DE"/>
        </w:rPr>
      </w:pPr>
    </w:p>
    <w:p w14:paraId="3571CA7D" w14:textId="77777777" w:rsidR="003E6C61" w:rsidRPr="004676F5" w:rsidRDefault="003E6C61" w:rsidP="003E6C61">
      <w:pPr>
        <w:ind w:firstLine="708"/>
        <w:jc w:val="both"/>
        <w:rPr>
          <w:lang w:val="de-DE"/>
        </w:rPr>
      </w:pPr>
      <w:r w:rsidRPr="004676F5">
        <w:rPr>
          <w:lang w:val="de-DE"/>
        </w:rPr>
        <w:t>3. Die hypothekarische Sicherheit wird durch eine dem Verbraucher zuzurechnende wesentliche Verringerung des Wertes des unbeweglichen Guts verringert, und zwar: durch eine Änderung von Art oder Zweckbestimmung, eine ernsthafte Beschädigung, eine schwere Verschmutzung, eine Vermietung unter dem normalen Mietpreis oder eine Vermietung für einen Zeitraum von mehr als neun Jahren, außer bei Einwilligung des Kreditgebers.</w:t>
      </w:r>
    </w:p>
    <w:p w14:paraId="6971DA8D" w14:textId="77777777" w:rsidR="003E6C61" w:rsidRPr="004676F5" w:rsidRDefault="003E6C61" w:rsidP="003E6C61">
      <w:pPr>
        <w:ind w:firstLine="708"/>
        <w:jc w:val="both"/>
        <w:rPr>
          <w:lang w:val="de-DE"/>
        </w:rPr>
      </w:pPr>
    </w:p>
    <w:p w14:paraId="4FDA3574" w14:textId="77777777" w:rsidR="003E6C61" w:rsidRPr="004676F5" w:rsidRDefault="003E6C61" w:rsidP="003E6C61">
      <w:pPr>
        <w:ind w:firstLine="708"/>
        <w:jc w:val="both"/>
        <w:rPr>
          <w:lang w:val="de-DE"/>
        </w:rPr>
      </w:pPr>
      <w:r w:rsidRPr="004676F5">
        <w:rPr>
          <w:lang w:val="de-DE"/>
        </w:rPr>
        <w:t>4. Die Basisakte wird bei Miteigentum mit Einverständnis des Verbrauchers geändert, was eine Wertminderung zur Folge hat.</w:t>
      </w:r>
    </w:p>
    <w:p w14:paraId="01418201" w14:textId="77777777" w:rsidR="003E6C61" w:rsidRPr="004676F5" w:rsidRDefault="003E6C61" w:rsidP="003E6C61">
      <w:pPr>
        <w:ind w:firstLine="708"/>
        <w:jc w:val="both"/>
        <w:rPr>
          <w:lang w:val="de-DE"/>
        </w:rPr>
      </w:pPr>
    </w:p>
    <w:p w14:paraId="49251231" w14:textId="77777777" w:rsidR="003E6C61" w:rsidRPr="004676F5" w:rsidRDefault="003E6C61" w:rsidP="003E6C61">
      <w:pPr>
        <w:ind w:firstLine="708"/>
        <w:jc w:val="both"/>
        <w:rPr>
          <w:lang w:val="de-DE"/>
        </w:rPr>
      </w:pPr>
      <w:r w:rsidRPr="004676F5">
        <w:rPr>
          <w:lang w:val="de-DE"/>
        </w:rPr>
        <w:t>5. Der vereinbarte Feuerversicherungsvertrag, Restschuldversicherungsvertrag oder Vertrag über eine zeitweilige Todesfallversicherung mit festem Kapital wird nicht binnen drei Monaten ab authentischer Beurkundung des Kreditvertrags beigebracht.</w:t>
      </w:r>
    </w:p>
    <w:p w14:paraId="2E37B3A0" w14:textId="77777777" w:rsidR="003E6C61" w:rsidRPr="004676F5" w:rsidRDefault="003E6C61" w:rsidP="003E6C61">
      <w:pPr>
        <w:ind w:firstLine="708"/>
        <w:jc w:val="both"/>
        <w:rPr>
          <w:lang w:val="de-DE"/>
        </w:rPr>
      </w:pPr>
    </w:p>
    <w:p w14:paraId="29F2CD8E" w14:textId="77777777" w:rsidR="003E6C61" w:rsidRPr="004676F5" w:rsidRDefault="003E6C61" w:rsidP="003E6C61">
      <w:pPr>
        <w:ind w:firstLine="708"/>
        <w:jc w:val="both"/>
        <w:rPr>
          <w:lang w:val="de-DE"/>
        </w:rPr>
      </w:pPr>
      <w:r w:rsidRPr="004676F5">
        <w:rPr>
          <w:lang w:val="de-DE"/>
        </w:rPr>
        <w:t>6. Der Verbraucher hat wissentlich Auskünfte im Sinne des Artikels VII.126 verheimlicht oder er hat falsche Auskünfte mitgeteilt, wodurch seine Kreditwürdigkeit verkehrt bewertet wurde.</w:t>
      </w:r>
    </w:p>
    <w:p w14:paraId="62C47E8D" w14:textId="77777777" w:rsidR="003E6C61" w:rsidRPr="004676F5" w:rsidRDefault="003E6C61" w:rsidP="003E6C61">
      <w:pPr>
        <w:ind w:firstLine="708"/>
        <w:jc w:val="both"/>
        <w:rPr>
          <w:lang w:val="de-DE"/>
        </w:rPr>
      </w:pPr>
    </w:p>
    <w:p w14:paraId="2737C961" w14:textId="77777777" w:rsidR="003E6C61" w:rsidRPr="004676F5" w:rsidRDefault="003E6C61" w:rsidP="003E6C61">
      <w:pPr>
        <w:ind w:firstLine="708"/>
        <w:jc w:val="both"/>
        <w:rPr>
          <w:lang w:val="de-DE"/>
        </w:rPr>
      </w:pPr>
      <w:r w:rsidRPr="004676F5">
        <w:rPr>
          <w:lang w:val="de-DE"/>
        </w:rPr>
        <w:t>7. Ein Unternehmer, Architekt, Maurer oder anderer Arbeiter hat ein in Artikel 27 Nr. 5 des Hypothekengesetzes vom 16. Dezember 1851 erwähntes Protokoll erstellt.</w:t>
      </w:r>
    </w:p>
    <w:p w14:paraId="22356622" w14:textId="77777777" w:rsidR="003E6C61" w:rsidRPr="004676F5" w:rsidRDefault="003E6C61" w:rsidP="003E6C61">
      <w:pPr>
        <w:ind w:firstLine="708"/>
        <w:jc w:val="both"/>
        <w:rPr>
          <w:lang w:val="de-DE"/>
        </w:rPr>
      </w:pPr>
    </w:p>
    <w:p w14:paraId="759BDC4C" w14:textId="77777777" w:rsidR="003E6C61" w:rsidRPr="004676F5" w:rsidRDefault="003E6C61" w:rsidP="003E6C61">
      <w:pPr>
        <w:ind w:firstLine="708"/>
        <w:jc w:val="both"/>
        <w:rPr>
          <w:lang w:val="de-DE"/>
        </w:rPr>
      </w:pPr>
      <w:r w:rsidRPr="004676F5">
        <w:rPr>
          <w:lang w:val="de-DE"/>
        </w:rPr>
        <w:t>8. Das durch den Kreditvertrag finanzierte unbewegliche Gut ist innerhalb vierund</w:t>
      </w:r>
      <w:r w:rsidRPr="004676F5">
        <w:rPr>
          <w:lang w:val="de-DE"/>
        </w:rPr>
        <w:softHyphen/>
        <w:t>zwanzig Monaten ab Unterzeichnung der authentischen Krediturkunde nicht vollständig fertiggestellt worden und ist für eine Vermietung nicht geeignet oder die Arbeiten werden nicht gemäß den Plänen und Lastenheften oder den erteilten Genehmigungen ausgeführt.</w:t>
      </w:r>
    </w:p>
    <w:p w14:paraId="775F476B" w14:textId="77777777" w:rsidR="003E6C61" w:rsidRPr="004676F5" w:rsidRDefault="003E6C61" w:rsidP="003E6C61">
      <w:pPr>
        <w:ind w:firstLine="708"/>
        <w:jc w:val="both"/>
        <w:rPr>
          <w:lang w:val="de-DE"/>
        </w:rPr>
      </w:pPr>
    </w:p>
    <w:p w14:paraId="1D43BECC" w14:textId="77777777" w:rsidR="003E6C61" w:rsidRPr="004676F5" w:rsidRDefault="003E6C61" w:rsidP="003E6C61">
      <w:pPr>
        <w:ind w:firstLine="708"/>
        <w:jc w:val="both"/>
        <w:rPr>
          <w:lang w:val="de-DE"/>
        </w:rPr>
      </w:pPr>
      <w:r w:rsidRPr="004676F5">
        <w:rPr>
          <w:lang w:val="de-DE"/>
        </w:rPr>
        <w:t>9. Der Kredit wird für eine Zweckbestimmung verwendet, die nicht die vom Verbraucher angegebene Zweckbestimmung ist.</w:t>
      </w:r>
    </w:p>
    <w:p w14:paraId="4AFB5361" w14:textId="77777777" w:rsidR="003E6C61" w:rsidRPr="004676F5" w:rsidRDefault="003E6C61" w:rsidP="003E6C61">
      <w:pPr>
        <w:ind w:firstLine="708"/>
        <w:jc w:val="both"/>
        <w:rPr>
          <w:lang w:val="de-DE"/>
        </w:rPr>
      </w:pPr>
    </w:p>
    <w:p w14:paraId="26BA7DB7" w14:textId="47F26191" w:rsidR="003E6C61" w:rsidRPr="004676F5" w:rsidRDefault="00DE0629" w:rsidP="003E6C61">
      <w:pPr>
        <w:ind w:firstLine="708"/>
        <w:jc w:val="both"/>
        <w:rPr>
          <w:lang w:val="de-DE"/>
        </w:rPr>
      </w:pPr>
      <w:r>
        <w:rPr>
          <w:lang w:val="de-DE"/>
        </w:rPr>
        <w:t>[</w:t>
      </w:r>
      <w:r w:rsidR="003E6C61" w:rsidRPr="004676F5">
        <w:rPr>
          <w:lang w:val="de-DE"/>
        </w:rPr>
        <w:t>§ </w:t>
      </w:r>
      <w:r>
        <w:rPr>
          <w:lang w:val="de-DE"/>
        </w:rPr>
        <w:t>4]</w:t>
      </w:r>
      <w:r w:rsidR="003E6C61" w:rsidRPr="004676F5">
        <w:rPr>
          <w:lang w:val="de-DE"/>
        </w:rPr>
        <w:t> </w:t>
      </w:r>
      <w:r w:rsidR="005B7A5C" w:rsidRPr="004676F5">
        <w:rPr>
          <w:lang w:val="de-DE"/>
        </w:rPr>
        <w:t>- </w:t>
      </w:r>
      <w:r w:rsidR="003E6C61" w:rsidRPr="004676F5">
        <w:rPr>
          <w:lang w:val="de-DE"/>
        </w:rPr>
        <w:t>Der Kreditgeber erinnert den Verbraucher bei der Inverzugsetzung an diese Regeln.</w:t>
      </w:r>
    </w:p>
    <w:p w14:paraId="5B75A846" w14:textId="77777777" w:rsidR="003E6C61" w:rsidRPr="004676F5" w:rsidRDefault="003E6C61" w:rsidP="003E6C61">
      <w:pPr>
        <w:ind w:firstLine="708"/>
        <w:jc w:val="both"/>
        <w:rPr>
          <w:lang w:val="de-DE"/>
        </w:rPr>
      </w:pPr>
    </w:p>
    <w:p w14:paraId="4BC57A9E" w14:textId="001E39A3" w:rsidR="003E6C61" w:rsidRPr="004676F5" w:rsidRDefault="003E6C61" w:rsidP="003E6C61">
      <w:pPr>
        <w:ind w:firstLine="708"/>
        <w:jc w:val="both"/>
        <w:rPr>
          <w:lang w:val="de-DE"/>
        </w:rPr>
      </w:pPr>
      <w:r w:rsidRPr="004676F5">
        <w:rPr>
          <w:lang w:val="de-DE"/>
        </w:rPr>
        <w:t>Unbeschadet der Anwendung von Artikel VII.147/13 § 1 sind Klauseln, in denen vorgesehen ist, dass der Kreditgeber während der Laufzeit des Vertrags jederzeit die Rückzahlung des in Anspruch genommenen Kreditbetrags verlangen kann, verboten und gelten als ungeschrieben. Vorfälligkeits</w:t>
      </w:r>
      <w:r w:rsidR="005B7A5C" w:rsidRPr="004676F5">
        <w:rPr>
          <w:lang w:val="de-DE"/>
        </w:rPr>
        <w:t>- </w:t>
      </w:r>
      <w:r w:rsidRPr="004676F5">
        <w:rPr>
          <w:lang w:val="de-DE"/>
        </w:rPr>
        <w:t>und Auflösungsklauseln dürfen nicht auf den Kreditgeber zurückzuführen sein.</w:t>
      </w:r>
    </w:p>
    <w:p w14:paraId="71FDDC88" w14:textId="77777777" w:rsidR="003E6C61" w:rsidRDefault="003E6C61" w:rsidP="00DE0629">
      <w:pPr>
        <w:jc w:val="both"/>
        <w:rPr>
          <w:lang w:val="de-DE"/>
        </w:rPr>
      </w:pPr>
    </w:p>
    <w:p w14:paraId="6600ED38" w14:textId="0D06D1B5" w:rsidR="00DE0629" w:rsidRPr="00DE0629" w:rsidRDefault="00DE0629" w:rsidP="00DE0629">
      <w:pPr>
        <w:jc w:val="both"/>
        <w:rPr>
          <w:lang w:val="de-DE"/>
        </w:rPr>
      </w:pPr>
      <w:r>
        <w:rPr>
          <w:i/>
          <w:iCs/>
          <w:lang w:val="de-DE"/>
        </w:rPr>
        <w:t>[Art. VII.147/20 neuer Paragraph 1 eingefügt durch Art. 48 Nr. 4</w:t>
      </w:r>
      <w:r w:rsidRPr="00DE0629">
        <w:rPr>
          <w:i/>
          <w:iCs/>
          <w:lang w:val="de-DE"/>
        </w:rPr>
        <w:t xml:space="preserve"> des G. vom 20. Dezember 2024 (B.S. vom 14. Januar 2025)</w:t>
      </w:r>
      <w:r>
        <w:rPr>
          <w:i/>
          <w:iCs/>
          <w:lang w:val="de-DE"/>
        </w:rPr>
        <w:t>; früherer Paragraph 1 umnummeriert zu § 2 durch Art. 48 Nr. 1</w:t>
      </w:r>
      <w:r w:rsidRPr="00DE0629">
        <w:rPr>
          <w:i/>
          <w:iCs/>
          <w:lang w:val="de-DE"/>
        </w:rPr>
        <w:t xml:space="preserve"> des G. vom 20. Dezember 2024 (B.S. vom 14. Januar 2025)</w:t>
      </w:r>
      <w:r>
        <w:rPr>
          <w:i/>
          <w:iCs/>
          <w:lang w:val="de-DE"/>
        </w:rPr>
        <w:t>; früherer Paragraph 2 umnummeriert zu § 3 durch Art. 48 Nr. 2</w:t>
      </w:r>
      <w:r w:rsidRPr="00DE0629">
        <w:rPr>
          <w:i/>
          <w:iCs/>
          <w:lang w:val="de-DE"/>
        </w:rPr>
        <w:t xml:space="preserve"> des G. vom 20. Dezember 2024 (B.S. vom 14. Januar 2025)</w:t>
      </w:r>
      <w:r>
        <w:rPr>
          <w:i/>
          <w:iCs/>
          <w:lang w:val="de-DE"/>
        </w:rPr>
        <w:t>;</w:t>
      </w:r>
      <w:r w:rsidRPr="00DE0629">
        <w:rPr>
          <w:i/>
          <w:iCs/>
          <w:lang w:val="de-DE"/>
        </w:rPr>
        <w:t xml:space="preserve"> </w:t>
      </w:r>
      <w:r>
        <w:rPr>
          <w:i/>
          <w:iCs/>
          <w:lang w:val="de-DE"/>
        </w:rPr>
        <w:t>früherer Paragraph 3 umnummeriert zu § 4 durch Art. 48 Nr. 3</w:t>
      </w:r>
      <w:r w:rsidRPr="00DE0629">
        <w:rPr>
          <w:i/>
          <w:iCs/>
          <w:lang w:val="de-DE"/>
        </w:rPr>
        <w:t xml:space="preserve"> des G. vom 20. Dezember 2024 (B.S. vom 14. Januar 2025)</w:t>
      </w:r>
      <w:r>
        <w:rPr>
          <w:i/>
          <w:iCs/>
          <w:lang w:val="de-DE"/>
        </w:rPr>
        <w:t>]</w:t>
      </w:r>
    </w:p>
    <w:p w14:paraId="33024525" w14:textId="77777777" w:rsidR="002E20BA" w:rsidRDefault="002E20BA" w:rsidP="003E6C61">
      <w:pPr>
        <w:ind w:firstLine="708"/>
        <w:jc w:val="both"/>
        <w:rPr>
          <w:lang w:val="de-DE"/>
        </w:rPr>
      </w:pPr>
    </w:p>
    <w:p w14:paraId="11C31D6A" w14:textId="77777777" w:rsidR="00DE0629" w:rsidRPr="004676F5" w:rsidRDefault="00DE0629" w:rsidP="003E6C61">
      <w:pPr>
        <w:ind w:firstLine="708"/>
        <w:jc w:val="both"/>
        <w:rPr>
          <w:lang w:val="de-DE"/>
        </w:rPr>
      </w:pPr>
    </w:p>
    <w:p w14:paraId="79235A1B" w14:textId="6B729F1B" w:rsidR="003E6C61" w:rsidRPr="004676F5" w:rsidRDefault="00BE0A56" w:rsidP="003E6C61">
      <w:pPr>
        <w:ind w:firstLine="708"/>
        <w:jc w:val="both"/>
        <w:rPr>
          <w:lang w:val="de-DE"/>
        </w:rPr>
      </w:pPr>
      <w:r w:rsidRPr="004676F5">
        <w:rPr>
          <w:b/>
          <w:lang w:val="de-DE"/>
        </w:rPr>
        <w:t>Art. </w:t>
      </w:r>
      <w:r w:rsidR="003E6C61" w:rsidRPr="004676F5">
        <w:rPr>
          <w:b/>
          <w:lang w:val="de-DE"/>
        </w:rPr>
        <w:t>VII.147/21</w:t>
      </w:r>
      <w:r w:rsidR="003E6C61" w:rsidRPr="004676F5">
        <w:rPr>
          <w:lang w:val="de-DE"/>
        </w:rPr>
        <w:t> </w:t>
      </w:r>
      <w:r w:rsidR="005B7A5C" w:rsidRPr="004676F5">
        <w:rPr>
          <w:lang w:val="de-DE"/>
        </w:rPr>
        <w:t>- </w:t>
      </w:r>
      <w:r w:rsidR="003E6C61" w:rsidRPr="004676F5">
        <w:rPr>
          <w:lang w:val="de-DE"/>
        </w:rPr>
        <w:t>Im Falle der Nichtzahlung eines geschuldeten Betrags muss der Kreditgeber innerhalb dreier Monate nach dem Fälligkeitstermin dem Verbraucher per Einschreibesendung eine Mahnung mit Angabe der Folgen des Zahlungsausfalls zusenden.</w:t>
      </w:r>
    </w:p>
    <w:p w14:paraId="5C44AA74" w14:textId="77777777" w:rsidR="003E6C61" w:rsidRPr="004676F5" w:rsidRDefault="003E6C61" w:rsidP="003E6C61">
      <w:pPr>
        <w:ind w:firstLine="708"/>
        <w:jc w:val="both"/>
        <w:rPr>
          <w:lang w:val="de-DE"/>
        </w:rPr>
      </w:pPr>
    </w:p>
    <w:p w14:paraId="514C0CAA" w14:textId="77777777" w:rsidR="003E6C61" w:rsidRPr="004676F5" w:rsidRDefault="003E6C61" w:rsidP="003E6C61">
      <w:pPr>
        <w:ind w:firstLine="708"/>
        <w:jc w:val="both"/>
        <w:rPr>
          <w:lang w:val="de-DE"/>
        </w:rPr>
      </w:pPr>
      <w:r w:rsidRPr="004676F5">
        <w:rPr>
          <w:lang w:val="de-DE"/>
        </w:rPr>
        <w:t>Bei Nichteinhaltung dieser Verpflichtung darf die in den Artikeln VII.147/22 und VII.147/23 erwähnte vertragliche Erhöhung des Zinssatzes wegen Zahlungsverzug nicht auf diesen Fälligkeitstermin angewandt werden; außerdem muss für diesen Fälligkeitstermin ohne zusätzliche Kosten oder Zinsen eine sechsmonatige Zahlungsfrist gewährt werden; diese Frist beginnt an dem Fälligkeitstermin, an dem der geschuldete Betrag nicht gezahlt wurde.</w:t>
      </w:r>
    </w:p>
    <w:p w14:paraId="6D8EBE81" w14:textId="77777777" w:rsidR="003E6C61" w:rsidRPr="004676F5" w:rsidRDefault="003E6C61" w:rsidP="003E6C61">
      <w:pPr>
        <w:ind w:firstLine="708"/>
        <w:jc w:val="both"/>
        <w:rPr>
          <w:lang w:val="de-DE"/>
        </w:rPr>
      </w:pPr>
    </w:p>
    <w:p w14:paraId="182F5885" w14:textId="77777777" w:rsidR="002E20BA" w:rsidRPr="004676F5" w:rsidRDefault="002E20BA" w:rsidP="003E6C61">
      <w:pPr>
        <w:ind w:firstLine="708"/>
        <w:jc w:val="both"/>
        <w:rPr>
          <w:lang w:val="de-DE"/>
        </w:rPr>
      </w:pPr>
    </w:p>
    <w:p w14:paraId="6B63B151" w14:textId="11B59BFB" w:rsidR="003E6C61" w:rsidRPr="004676F5" w:rsidRDefault="00BE0A56" w:rsidP="003E6C61">
      <w:pPr>
        <w:ind w:firstLine="708"/>
        <w:jc w:val="both"/>
        <w:rPr>
          <w:lang w:val="de-DE"/>
        </w:rPr>
      </w:pPr>
      <w:r w:rsidRPr="004676F5">
        <w:rPr>
          <w:b/>
          <w:lang w:val="de-DE"/>
        </w:rPr>
        <w:t>Art. </w:t>
      </w:r>
      <w:r w:rsidR="003E6C61" w:rsidRPr="004676F5">
        <w:rPr>
          <w:b/>
          <w:lang w:val="de-DE"/>
        </w:rPr>
        <w:t>VII.147/22</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Bei Auflösung eines Mobiliarhypothekarkredits oder sofortiger Fälligkeit wegen Nichterfüllung der Verbindlichkeiten seitens des Verbrauchers dürfen vom Verbraucher keine anderen als die nachstehenden Zahlungen verlangt werden:</w:t>
      </w:r>
    </w:p>
    <w:p w14:paraId="6A9669CF" w14:textId="77777777" w:rsidR="003E6C61" w:rsidRPr="004676F5" w:rsidRDefault="003E6C61" w:rsidP="003E6C61">
      <w:pPr>
        <w:ind w:firstLine="708"/>
        <w:jc w:val="both"/>
        <w:rPr>
          <w:lang w:val="de-DE"/>
        </w:rPr>
      </w:pPr>
    </w:p>
    <w:p w14:paraId="27660DEE" w14:textId="163E71F4" w:rsidR="003E6C61" w:rsidRPr="004676F5" w:rsidRDefault="005B7A5C" w:rsidP="003E6C61">
      <w:pPr>
        <w:ind w:firstLine="708"/>
        <w:jc w:val="both"/>
        <w:rPr>
          <w:lang w:val="de-DE"/>
        </w:rPr>
      </w:pPr>
      <w:r w:rsidRPr="004676F5">
        <w:rPr>
          <w:lang w:val="de-DE"/>
        </w:rPr>
        <w:t>- </w:t>
      </w:r>
      <w:r w:rsidR="003E6C61" w:rsidRPr="004676F5">
        <w:rPr>
          <w:lang w:val="de-DE"/>
        </w:rPr>
        <w:t>Restschuld,</w:t>
      </w:r>
    </w:p>
    <w:p w14:paraId="1131343D" w14:textId="77777777" w:rsidR="003E6C61" w:rsidRPr="004676F5" w:rsidRDefault="003E6C61" w:rsidP="003E6C61">
      <w:pPr>
        <w:ind w:firstLine="708"/>
        <w:jc w:val="both"/>
        <w:rPr>
          <w:lang w:val="de-DE"/>
        </w:rPr>
      </w:pPr>
    </w:p>
    <w:p w14:paraId="27ADB44B" w14:textId="2F14D472" w:rsidR="003E6C61" w:rsidRPr="004676F5" w:rsidRDefault="005B7A5C" w:rsidP="003E6C61">
      <w:pPr>
        <w:ind w:firstLine="708"/>
        <w:jc w:val="both"/>
        <w:rPr>
          <w:lang w:val="de-DE"/>
        </w:rPr>
      </w:pPr>
      <w:r w:rsidRPr="004676F5">
        <w:rPr>
          <w:lang w:val="de-DE"/>
        </w:rPr>
        <w:t>- </w:t>
      </w:r>
      <w:r w:rsidR="003E6C61" w:rsidRPr="004676F5">
        <w:rPr>
          <w:lang w:val="de-DE"/>
        </w:rPr>
        <w:t>fälliger, nicht gezahlter Betrag der Gesamtkosten des Kredits für den Verbraucher,</w:t>
      </w:r>
    </w:p>
    <w:p w14:paraId="4DEA7A8F" w14:textId="77777777" w:rsidR="003E6C61" w:rsidRPr="004676F5" w:rsidRDefault="003E6C61" w:rsidP="003E6C61">
      <w:pPr>
        <w:ind w:firstLine="708"/>
        <w:jc w:val="both"/>
        <w:rPr>
          <w:lang w:val="de-DE"/>
        </w:rPr>
      </w:pPr>
    </w:p>
    <w:p w14:paraId="376CAD92" w14:textId="6951E1AA" w:rsidR="003E6C61" w:rsidRPr="004676F5" w:rsidRDefault="005B7A5C" w:rsidP="003E6C61">
      <w:pPr>
        <w:ind w:firstLine="708"/>
        <w:jc w:val="both"/>
        <w:rPr>
          <w:lang w:val="de-DE"/>
        </w:rPr>
      </w:pPr>
      <w:r w:rsidRPr="004676F5">
        <w:rPr>
          <w:lang w:val="de-DE"/>
        </w:rPr>
        <w:t>- </w:t>
      </w:r>
      <w:r w:rsidR="003E6C61" w:rsidRPr="004676F5">
        <w:rPr>
          <w:lang w:val="de-DE"/>
        </w:rPr>
        <w:t>Betrag der vereinbarten Verzugszinsen, die auf die Restschuld berechnet werden,</w:t>
      </w:r>
    </w:p>
    <w:p w14:paraId="5F4B89E9" w14:textId="77777777" w:rsidR="003E6C61" w:rsidRPr="004676F5" w:rsidRDefault="003E6C61" w:rsidP="003E6C61">
      <w:pPr>
        <w:ind w:firstLine="708"/>
        <w:jc w:val="both"/>
        <w:rPr>
          <w:lang w:val="de-DE"/>
        </w:rPr>
      </w:pPr>
    </w:p>
    <w:p w14:paraId="6FF6A19C" w14:textId="2E523207" w:rsidR="003E6C61" w:rsidRPr="004676F5" w:rsidRDefault="005B7A5C" w:rsidP="003E6C61">
      <w:pPr>
        <w:ind w:firstLine="708"/>
        <w:jc w:val="both"/>
        <w:rPr>
          <w:lang w:val="de-DE"/>
        </w:rPr>
      </w:pPr>
      <w:r w:rsidRPr="004676F5">
        <w:rPr>
          <w:lang w:val="de-DE"/>
        </w:rPr>
        <w:t>- </w:t>
      </w:r>
      <w:r w:rsidR="003E6C61" w:rsidRPr="004676F5">
        <w:rPr>
          <w:lang w:val="de-DE"/>
        </w:rPr>
        <w:t>vereinbarte Vertragsstrafen oder Entschädigungen, sofern sie auf die Restschuld berechnet und auf folgende Höchstbeträge begrenzt werden:</w:t>
      </w:r>
    </w:p>
    <w:p w14:paraId="63A2C213" w14:textId="77777777" w:rsidR="003E6C61" w:rsidRPr="004676F5" w:rsidRDefault="003E6C61" w:rsidP="003E6C61">
      <w:pPr>
        <w:ind w:firstLine="708"/>
        <w:jc w:val="both"/>
        <w:rPr>
          <w:lang w:val="de-DE"/>
        </w:rPr>
      </w:pPr>
    </w:p>
    <w:p w14:paraId="75FC3C06" w14:textId="5915E46A" w:rsidR="003E6C61" w:rsidRPr="004676F5" w:rsidRDefault="005B7A5C" w:rsidP="003E6C61">
      <w:pPr>
        <w:ind w:firstLine="708"/>
        <w:jc w:val="both"/>
        <w:rPr>
          <w:lang w:val="de-DE"/>
        </w:rPr>
      </w:pPr>
      <w:r w:rsidRPr="004676F5">
        <w:rPr>
          <w:lang w:val="de-DE"/>
        </w:rPr>
        <w:t>- </w:t>
      </w:r>
      <w:r w:rsidR="003E6C61" w:rsidRPr="004676F5">
        <w:rPr>
          <w:lang w:val="de-DE"/>
        </w:rPr>
        <w:t>höchstens 10 Prozent des Betrags der Restschuld bis zu 7.500 EUR,</w:t>
      </w:r>
    </w:p>
    <w:p w14:paraId="6897AC50" w14:textId="77777777" w:rsidR="003E6C61" w:rsidRPr="004676F5" w:rsidRDefault="003E6C61" w:rsidP="003E6C61">
      <w:pPr>
        <w:ind w:firstLine="708"/>
        <w:jc w:val="both"/>
        <w:rPr>
          <w:lang w:val="de-DE"/>
        </w:rPr>
      </w:pPr>
    </w:p>
    <w:p w14:paraId="1DBA55E7" w14:textId="6F4FBF81" w:rsidR="003E6C61" w:rsidRPr="004676F5" w:rsidRDefault="005B7A5C" w:rsidP="003E6C61">
      <w:pPr>
        <w:ind w:firstLine="708"/>
        <w:jc w:val="both"/>
        <w:rPr>
          <w:lang w:val="de-DE"/>
        </w:rPr>
      </w:pPr>
      <w:r w:rsidRPr="004676F5">
        <w:rPr>
          <w:lang w:val="de-DE"/>
        </w:rPr>
        <w:t>- </w:t>
      </w:r>
      <w:r w:rsidR="003E6C61" w:rsidRPr="004676F5">
        <w:rPr>
          <w:lang w:val="de-DE"/>
        </w:rPr>
        <w:t>höchstens 5 Prozent des Betrags der Restschuld über 7.500 EUR.</w:t>
      </w:r>
    </w:p>
    <w:p w14:paraId="107E346C" w14:textId="77777777" w:rsidR="003E6C61" w:rsidRPr="004676F5" w:rsidRDefault="003E6C61" w:rsidP="003E6C61">
      <w:pPr>
        <w:ind w:firstLine="708"/>
        <w:jc w:val="both"/>
        <w:rPr>
          <w:lang w:val="de-DE"/>
        </w:rPr>
      </w:pPr>
    </w:p>
    <w:p w14:paraId="54ADBADF" w14:textId="048E69A8"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Bei einfachem Zahlungsverzug im Rahmen eines Mobiliarhypothekarkredits, der weder zur Vertragsauflösung noch zur sofortigen Fälligkeit führt, dürfen vom Verbraucher keine anderen als die nachstehenden Zahlungen verlangt werden:</w:t>
      </w:r>
    </w:p>
    <w:p w14:paraId="27E6DA39" w14:textId="77777777" w:rsidR="003E6C61" w:rsidRPr="004676F5" w:rsidRDefault="003E6C61" w:rsidP="003E6C61">
      <w:pPr>
        <w:ind w:firstLine="708"/>
        <w:jc w:val="both"/>
        <w:rPr>
          <w:lang w:val="de-DE"/>
        </w:rPr>
      </w:pPr>
    </w:p>
    <w:p w14:paraId="5E4E950C" w14:textId="264434B8" w:rsidR="003E6C61" w:rsidRPr="004676F5" w:rsidRDefault="005B7A5C" w:rsidP="003E6C61">
      <w:pPr>
        <w:ind w:firstLine="708"/>
        <w:jc w:val="both"/>
        <w:rPr>
          <w:lang w:val="de-DE"/>
        </w:rPr>
      </w:pPr>
      <w:r w:rsidRPr="004676F5">
        <w:rPr>
          <w:lang w:val="de-DE"/>
        </w:rPr>
        <w:t>- </w:t>
      </w:r>
      <w:r w:rsidR="003E6C61" w:rsidRPr="004676F5">
        <w:rPr>
          <w:lang w:val="de-DE"/>
        </w:rPr>
        <w:t>fälliges, nicht gezahltes Kapital,</w:t>
      </w:r>
    </w:p>
    <w:p w14:paraId="07B8CD1F" w14:textId="77777777" w:rsidR="003E6C61" w:rsidRPr="004676F5" w:rsidRDefault="003E6C61" w:rsidP="003E6C61">
      <w:pPr>
        <w:ind w:firstLine="708"/>
        <w:jc w:val="both"/>
        <w:rPr>
          <w:lang w:val="de-DE"/>
        </w:rPr>
      </w:pPr>
    </w:p>
    <w:p w14:paraId="57A1D6FB" w14:textId="2723258A" w:rsidR="003E6C61" w:rsidRPr="004676F5" w:rsidRDefault="005B7A5C" w:rsidP="003E6C61">
      <w:pPr>
        <w:ind w:firstLine="708"/>
        <w:jc w:val="both"/>
        <w:rPr>
          <w:lang w:val="de-DE"/>
        </w:rPr>
      </w:pPr>
      <w:r w:rsidRPr="004676F5">
        <w:rPr>
          <w:lang w:val="de-DE"/>
        </w:rPr>
        <w:lastRenderedPageBreak/>
        <w:t>- </w:t>
      </w:r>
      <w:r w:rsidR="003E6C61" w:rsidRPr="004676F5">
        <w:rPr>
          <w:lang w:val="de-DE"/>
        </w:rPr>
        <w:t>fälliger, nicht gezahlter Betrag der Gesamtkosten des Kredits für den Verbraucher,</w:t>
      </w:r>
    </w:p>
    <w:p w14:paraId="76C14847" w14:textId="77777777" w:rsidR="003E6C61" w:rsidRPr="004676F5" w:rsidRDefault="003E6C61" w:rsidP="003E6C61">
      <w:pPr>
        <w:ind w:firstLine="708"/>
        <w:jc w:val="both"/>
        <w:rPr>
          <w:lang w:val="de-DE"/>
        </w:rPr>
      </w:pPr>
    </w:p>
    <w:p w14:paraId="6FFEB79D" w14:textId="333D14B7" w:rsidR="003E6C61" w:rsidRPr="004676F5" w:rsidRDefault="005B7A5C" w:rsidP="003E6C61">
      <w:pPr>
        <w:ind w:firstLine="708"/>
        <w:jc w:val="both"/>
        <w:rPr>
          <w:lang w:val="de-DE"/>
        </w:rPr>
      </w:pPr>
      <w:r w:rsidRPr="004676F5">
        <w:rPr>
          <w:lang w:val="de-DE"/>
        </w:rPr>
        <w:t>- </w:t>
      </w:r>
      <w:r w:rsidR="003E6C61" w:rsidRPr="004676F5">
        <w:rPr>
          <w:lang w:val="de-DE"/>
        </w:rPr>
        <w:t>Betrag der vereinbarten Verzugszinsen, die auf das fällige, nicht gezahlte Kapital berechnet werden,</w:t>
      </w:r>
    </w:p>
    <w:p w14:paraId="19D6EA90" w14:textId="77777777" w:rsidR="003E6C61" w:rsidRPr="004676F5" w:rsidRDefault="003E6C61" w:rsidP="003E6C61">
      <w:pPr>
        <w:ind w:firstLine="708"/>
        <w:jc w:val="both"/>
        <w:rPr>
          <w:lang w:val="de-DE"/>
        </w:rPr>
      </w:pPr>
    </w:p>
    <w:p w14:paraId="64F158C6" w14:textId="3C09EAE8" w:rsidR="003E6C61" w:rsidRPr="004676F5" w:rsidRDefault="005B7A5C" w:rsidP="003E6C61">
      <w:pPr>
        <w:ind w:firstLine="708"/>
        <w:jc w:val="both"/>
        <w:rPr>
          <w:lang w:val="de-DE"/>
        </w:rPr>
      </w:pPr>
      <w:r w:rsidRPr="004676F5">
        <w:rPr>
          <w:lang w:val="de-DE"/>
        </w:rPr>
        <w:t>- </w:t>
      </w:r>
      <w:r w:rsidR="003E6C61" w:rsidRPr="004676F5">
        <w:rPr>
          <w:lang w:val="de-DE"/>
        </w:rPr>
        <w:t>vereinbarte Kosten für Mahn</w:t>
      </w:r>
      <w:r w:rsidRPr="004676F5">
        <w:rPr>
          <w:lang w:val="de-DE"/>
        </w:rPr>
        <w:t>- </w:t>
      </w:r>
      <w:r w:rsidR="003E6C61" w:rsidRPr="004676F5">
        <w:rPr>
          <w:lang w:val="de-DE"/>
        </w:rPr>
        <w:t>und Inverzugsetzungsschreiben, wobei der Verbraucher für höchstens eine Sendung pro Monat zahlt. Diese Kosten bestehen aus einem pauschalen Höchstbetrag von 7,50 EUR zuzüglich der am Tag der Absendung gültigen Portokosten. Der König kann diesen Pauschalbetrag dem Verbraucherpreisindex anpassen.</w:t>
      </w:r>
    </w:p>
    <w:p w14:paraId="19E78231" w14:textId="77777777" w:rsidR="003E6C61" w:rsidRPr="004676F5" w:rsidRDefault="003E6C61" w:rsidP="003E6C61">
      <w:pPr>
        <w:ind w:firstLine="708"/>
        <w:jc w:val="both"/>
        <w:rPr>
          <w:lang w:val="de-DE"/>
        </w:rPr>
      </w:pPr>
    </w:p>
    <w:p w14:paraId="617A589B" w14:textId="69DA879F" w:rsidR="003E6C61" w:rsidRPr="004676F5" w:rsidRDefault="003E6C61" w:rsidP="003E6C61">
      <w:pPr>
        <w:ind w:firstLine="708"/>
        <w:jc w:val="both"/>
        <w:rPr>
          <w:lang w:val="de-DE"/>
        </w:rPr>
      </w:pPr>
      <w:r w:rsidRPr="004676F5">
        <w:rPr>
          <w:lang w:val="de-DE"/>
        </w:rPr>
        <w:t>Wenn der Kreditvertrag gemäß Artikel VII.147/13 § 1 gekündigt wird oder endet und der Verbraucher seine Verbindlichkeiten innerhalb dreier Monate ab Versendung einer Einschreibesendung zur Inverzugsetzung nicht erfüllt hat, dürfen vom Verbraucher keine anderen als die nachstehenden Zahlungen verlangt werden:</w:t>
      </w:r>
    </w:p>
    <w:p w14:paraId="2DA6251A" w14:textId="77777777" w:rsidR="003E6C61" w:rsidRPr="004676F5" w:rsidRDefault="003E6C61" w:rsidP="003E6C61">
      <w:pPr>
        <w:ind w:firstLine="708"/>
        <w:jc w:val="both"/>
        <w:rPr>
          <w:lang w:val="de-DE"/>
        </w:rPr>
      </w:pPr>
    </w:p>
    <w:p w14:paraId="59EA1469" w14:textId="18BB72AB" w:rsidR="003E6C61" w:rsidRPr="004676F5" w:rsidRDefault="005B7A5C" w:rsidP="003E6C61">
      <w:pPr>
        <w:ind w:firstLine="708"/>
        <w:jc w:val="both"/>
        <w:rPr>
          <w:lang w:val="de-DE"/>
        </w:rPr>
      </w:pPr>
      <w:r w:rsidRPr="004676F5">
        <w:rPr>
          <w:lang w:val="de-DE"/>
        </w:rPr>
        <w:t>- </w:t>
      </w:r>
      <w:r w:rsidR="003E6C61" w:rsidRPr="004676F5">
        <w:rPr>
          <w:lang w:val="de-DE"/>
        </w:rPr>
        <w:t>fälliges, nicht gezahltes Kapital,</w:t>
      </w:r>
    </w:p>
    <w:p w14:paraId="041DE24E" w14:textId="77777777" w:rsidR="003E6C61" w:rsidRPr="004676F5" w:rsidRDefault="003E6C61" w:rsidP="003E6C61">
      <w:pPr>
        <w:ind w:firstLine="708"/>
        <w:jc w:val="both"/>
        <w:rPr>
          <w:lang w:val="de-DE"/>
        </w:rPr>
      </w:pPr>
    </w:p>
    <w:p w14:paraId="097F7BDE" w14:textId="0744EAE7" w:rsidR="003E6C61" w:rsidRPr="004676F5" w:rsidRDefault="005B7A5C" w:rsidP="003E6C61">
      <w:pPr>
        <w:ind w:firstLine="708"/>
        <w:jc w:val="both"/>
        <w:rPr>
          <w:lang w:val="de-DE"/>
        </w:rPr>
      </w:pPr>
      <w:r w:rsidRPr="004676F5">
        <w:rPr>
          <w:lang w:val="de-DE"/>
        </w:rPr>
        <w:t>- </w:t>
      </w:r>
      <w:r w:rsidR="003E6C61" w:rsidRPr="004676F5">
        <w:rPr>
          <w:lang w:val="de-DE"/>
        </w:rPr>
        <w:t>fälliger, nicht gezahlter Betrag der Gesamtkosten des Kredits für den Verbraucher,</w:t>
      </w:r>
    </w:p>
    <w:p w14:paraId="7ABFA998" w14:textId="77777777" w:rsidR="003E6C61" w:rsidRPr="004676F5" w:rsidRDefault="003E6C61" w:rsidP="003E6C61">
      <w:pPr>
        <w:ind w:firstLine="708"/>
        <w:jc w:val="both"/>
        <w:rPr>
          <w:lang w:val="de-DE"/>
        </w:rPr>
      </w:pPr>
    </w:p>
    <w:p w14:paraId="25DA2408" w14:textId="2AE8959E" w:rsidR="003E6C61" w:rsidRPr="004676F5" w:rsidRDefault="005B7A5C" w:rsidP="003E6C61">
      <w:pPr>
        <w:ind w:firstLine="708"/>
        <w:jc w:val="both"/>
        <w:rPr>
          <w:lang w:val="de-DE"/>
        </w:rPr>
      </w:pPr>
      <w:r w:rsidRPr="004676F5">
        <w:rPr>
          <w:lang w:val="de-DE"/>
        </w:rPr>
        <w:t>- </w:t>
      </w:r>
      <w:r w:rsidR="003E6C61" w:rsidRPr="004676F5">
        <w:rPr>
          <w:lang w:val="de-DE"/>
        </w:rPr>
        <w:t>Betrag der vereinbarten Verzugszinsen, die auf das fällige, nicht gezahlte Kapital berechnet werden,</w:t>
      </w:r>
    </w:p>
    <w:p w14:paraId="3CA50B77" w14:textId="77777777" w:rsidR="003E6C61" w:rsidRPr="004676F5" w:rsidRDefault="003E6C61" w:rsidP="003E6C61">
      <w:pPr>
        <w:ind w:firstLine="708"/>
        <w:jc w:val="both"/>
        <w:rPr>
          <w:lang w:val="de-DE"/>
        </w:rPr>
      </w:pPr>
    </w:p>
    <w:p w14:paraId="22B5B5CA" w14:textId="73D80B47" w:rsidR="003E6C61" w:rsidRPr="004676F5" w:rsidRDefault="005B7A5C" w:rsidP="003E6C61">
      <w:pPr>
        <w:ind w:firstLine="708"/>
        <w:jc w:val="both"/>
        <w:rPr>
          <w:lang w:val="de-DE"/>
        </w:rPr>
      </w:pPr>
      <w:r w:rsidRPr="004676F5">
        <w:rPr>
          <w:lang w:val="de-DE"/>
        </w:rPr>
        <w:t>- </w:t>
      </w:r>
      <w:r w:rsidR="003E6C61" w:rsidRPr="004676F5">
        <w:rPr>
          <w:lang w:val="de-DE"/>
        </w:rPr>
        <w:t>vereinbarte Vertragsstrafen oder Entschädigungen innerhalb der in § 1 erwähnten Grenzen und Höchstbeträge.</w:t>
      </w:r>
    </w:p>
    <w:p w14:paraId="300BCCE4" w14:textId="77777777" w:rsidR="003E6C61" w:rsidRPr="004676F5" w:rsidRDefault="003E6C61" w:rsidP="003E6C61">
      <w:pPr>
        <w:ind w:firstLine="708"/>
        <w:jc w:val="both"/>
        <w:rPr>
          <w:lang w:val="de-DE"/>
        </w:rPr>
      </w:pPr>
    </w:p>
    <w:p w14:paraId="4FC01DBF" w14:textId="1FA697C8"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Der im Rahmen eines Mobiliarhypothekarkredits vereinbarte Verzugszinssatz darf den zuletzt auf den betreffenden Betrag oder die betreffenden Teilzeiträume angewandten Sollzinssatz zuzüglich eines Koeffizienten von höchstens 10 Prozent nicht übersteigen.</w:t>
      </w:r>
    </w:p>
    <w:p w14:paraId="1841F6D7" w14:textId="77777777" w:rsidR="003E6C61" w:rsidRPr="004676F5" w:rsidRDefault="003E6C61" w:rsidP="003E6C61">
      <w:pPr>
        <w:ind w:firstLine="708"/>
        <w:jc w:val="both"/>
        <w:rPr>
          <w:lang w:val="de-DE"/>
        </w:rPr>
      </w:pPr>
    </w:p>
    <w:p w14:paraId="35A75067" w14:textId="5175BD19"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In Anwendung der Paragraphen 1 und 2 verlangte Zahlungen müssen in einer Unterlage, die dem Verbraucher kostenlos ausgehändigt wird, detailliert angegeben und gerechtfertigt werden.</w:t>
      </w:r>
    </w:p>
    <w:p w14:paraId="6EC43F08" w14:textId="77777777" w:rsidR="003E6C61" w:rsidRPr="004676F5" w:rsidRDefault="003E6C61" w:rsidP="003E6C61">
      <w:pPr>
        <w:ind w:firstLine="708"/>
        <w:jc w:val="both"/>
        <w:rPr>
          <w:lang w:val="de-DE"/>
        </w:rPr>
      </w:pPr>
    </w:p>
    <w:p w14:paraId="79B2F7E9" w14:textId="77777777" w:rsidR="003E6C61" w:rsidRPr="004676F5" w:rsidRDefault="003E6C61" w:rsidP="003E6C61">
      <w:pPr>
        <w:ind w:firstLine="708"/>
        <w:jc w:val="both"/>
        <w:rPr>
          <w:lang w:val="de-DE"/>
        </w:rPr>
      </w:pPr>
      <w:r w:rsidRPr="004676F5">
        <w:rPr>
          <w:lang w:val="de-DE"/>
        </w:rPr>
        <w:t>Eine neue Unterlage, die die in Anwendung der Paragraphen 1 und 2 geschuldeten Beträge detailliert angibt und rechtfertigt, muss dem Verbraucher, der sie beantragt, höchstens dreimal pro Jahr kostenlos ausgehändigt werden.</w:t>
      </w:r>
    </w:p>
    <w:p w14:paraId="61DD95F6" w14:textId="77777777" w:rsidR="003E6C61" w:rsidRPr="004676F5" w:rsidRDefault="003E6C61" w:rsidP="003E6C61">
      <w:pPr>
        <w:ind w:firstLine="708"/>
        <w:jc w:val="both"/>
        <w:rPr>
          <w:lang w:val="de-DE"/>
        </w:rPr>
      </w:pPr>
    </w:p>
    <w:p w14:paraId="0CCEE300" w14:textId="77777777" w:rsidR="003E6C61" w:rsidRPr="004676F5" w:rsidRDefault="003E6C61" w:rsidP="003E6C61">
      <w:pPr>
        <w:ind w:firstLine="708"/>
        <w:jc w:val="both"/>
        <w:rPr>
          <w:lang w:val="de-DE"/>
        </w:rPr>
      </w:pPr>
      <w:r w:rsidRPr="004676F5">
        <w:rPr>
          <w:lang w:val="de-DE"/>
        </w:rPr>
        <w:t>Der König kann die Vermerke auf dieser Unterlage bestimmen und ein Abrechnungs</w:t>
      </w:r>
      <w:r w:rsidRPr="004676F5">
        <w:rPr>
          <w:lang w:val="de-DE"/>
        </w:rPr>
        <w:softHyphen/>
        <w:t>muster auferlegen.</w:t>
      </w:r>
    </w:p>
    <w:p w14:paraId="77E7284D" w14:textId="77777777" w:rsidR="003E6C61" w:rsidRPr="004676F5" w:rsidRDefault="003E6C61" w:rsidP="003E6C61">
      <w:pPr>
        <w:ind w:firstLine="708"/>
        <w:jc w:val="both"/>
        <w:rPr>
          <w:lang w:val="de-DE"/>
        </w:rPr>
      </w:pPr>
    </w:p>
    <w:p w14:paraId="7A01FFBD" w14:textId="4C6B64C7" w:rsidR="003E6C61" w:rsidRPr="004676F5" w:rsidRDefault="003E6C61" w:rsidP="003E6C61">
      <w:pPr>
        <w:ind w:firstLine="708"/>
        <w:jc w:val="both"/>
        <w:rPr>
          <w:lang w:val="de-DE"/>
        </w:rPr>
      </w:pPr>
      <w:r w:rsidRPr="004676F5">
        <w:rPr>
          <w:lang w:val="de-DE"/>
        </w:rPr>
        <w:t>§ 5 </w:t>
      </w:r>
      <w:r w:rsidR="005B7A5C" w:rsidRPr="004676F5">
        <w:rPr>
          <w:lang w:val="de-DE"/>
        </w:rPr>
        <w:t>- </w:t>
      </w:r>
      <w:r w:rsidRPr="004676F5">
        <w:rPr>
          <w:lang w:val="de-DE"/>
        </w:rPr>
        <w:t>Bei Auflösung oder sofortiger Fälligkeit eines in Artikel VII.138 § 1 erwähnten Kreditvertrags dürfen in Abweichung von Artikel </w:t>
      </w:r>
      <w:r w:rsidR="00C85AFC" w:rsidRPr="004676F5">
        <w:rPr>
          <w:lang w:val="de-DE"/>
        </w:rPr>
        <w:t>[5.210]</w:t>
      </w:r>
      <w:r w:rsidRPr="004676F5">
        <w:rPr>
          <w:lang w:val="de-DE"/>
        </w:rPr>
        <w:t xml:space="preserve"> des Zivilgesetzbuches Zahlungen des Verbrauchers oder der Person, die eine Sicherheit leistet, erst auf den Betrag der Verzugszinsen oder anderer Vertragsstrafen und Entschädigungen angerechnet werden, nachdem die Rest</w:t>
      </w:r>
      <w:r w:rsidRPr="004676F5">
        <w:rPr>
          <w:lang w:val="de-DE"/>
        </w:rPr>
        <w:softHyphen/>
        <w:t>schuld und die Gesamtkosten des Kredits für den Verbraucher gezahlt worden sind.</w:t>
      </w:r>
    </w:p>
    <w:p w14:paraId="39BCF9E9" w14:textId="77777777" w:rsidR="003E6C61" w:rsidRPr="004676F5" w:rsidRDefault="003E6C61" w:rsidP="003E6C61">
      <w:pPr>
        <w:ind w:firstLine="708"/>
        <w:jc w:val="both"/>
        <w:rPr>
          <w:lang w:val="de-DE"/>
        </w:rPr>
      </w:pPr>
    </w:p>
    <w:p w14:paraId="21CC2A0D" w14:textId="323D612D" w:rsidR="003E6C61" w:rsidRPr="004676F5" w:rsidRDefault="003E6C61" w:rsidP="003E6C61">
      <w:pPr>
        <w:ind w:firstLine="708"/>
        <w:jc w:val="both"/>
        <w:rPr>
          <w:lang w:val="de-DE"/>
        </w:rPr>
      </w:pPr>
      <w:r w:rsidRPr="004676F5">
        <w:rPr>
          <w:lang w:val="de-DE"/>
        </w:rPr>
        <w:t>§ 6 </w:t>
      </w:r>
      <w:r w:rsidR="005B7A5C" w:rsidRPr="004676F5">
        <w:rPr>
          <w:lang w:val="de-DE"/>
        </w:rPr>
        <w:t>- </w:t>
      </w:r>
      <w:r w:rsidRPr="004676F5">
        <w:rPr>
          <w:lang w:val="de-DE"/>
        </w:rPr>
        <w:t>Klauseln, die für den Fall der Nichterfüllung der Verbindlichkeiten seitens des Verbrauchers in vorliegendem Buch nicht vorgesehene Strafen oder Entschädigungen auferlegen, sind verboten und gelten als ungeschrieben.</w:t>
      </w:r>
    </w:p>
    <w:p w14:paraId="27855860" w14:textId="77777777" w:rsidR="00C85AFC" w:rsidRPr="004676F5" w:rsidRDefault="00C85AFC" w:rsidP="003E6C61">
      <w:pPr>
        <w:ind w:firstLine="708"/>
        <w:jc w:val="both"/>
        <w:rPr>
          <w:lang w:val="de-DE"/>
        </w:rPr>
      </w:pPr>
    </w:p>
    <w:p w14:paraId="1D3B0936" w14:textId="78ADDE94" w:rsidR="00C85AFC" w:rsidRPr="004676F5" w:rsidRDefault="00C85AFC" w:rsidP="00C85AFC">
      <w:pPr>
        <w:jc w:val="both"/>
        <w:rPr>
          <w:i/>
          <w:iCs/>
          <w:lang w:val="de-DE"/>
        </w:rPr>
      </w:pPr>
      <w:r w:rsidRPr="004676F5">
        <w:rPr>
          <w:i/>
          <w:iCs/>
          <w:lang w:val="de-DE"/>
        </w:rPr>
        <w:t>[Art.</w:t>
      </w:r>
      <w:r w:rsidR="00880421" w:rsidRPr="004676F5">
        <w:rPr>
          <w:i/>
          <w:iCs/>
          <w:lang w:val="de-DE"/>
        </w:rPr>
        <w:t> </w:t>
      </w:r>
      <w:r w:rsidRPr="004676F5">
        <w:rPr>
          <w:i/>
          <w:iCs/>
          <w:lang w:val="de-DE"/>
        </w:rPr>
        <w:t>VII.147/22 § 5 abgeändert durch Art. 20 des G. vom 28. April 2022 (B.S. vom 1. Juli 2022)]</w:t>
      </w:r>
    </w:p>
    <w:p w14:paraId="3075F65C" w14:textId="77777777" w:rsidR="003E6C61" w:rsidRPr="004676F5" w:rsidRDefault="003E6C61" w:rsidP="003E6C61">
      <w:pPr>
        <w:ind w:firstLine="708"/>
        <w:jc w:val="both"/>
        <w:rPr>
          <w:lang w:val="de-DE"/>
        </w:rPr>
      </w:pPr>
    </w:p>
    <w:p w14:paraId="387905C2" w14:textId="77777777" w:rsidR="002E20BA" w:rsidRPr="004676F5" w:rsidRDefault="002E20BA" w:rsidP="003E6C61">
      <w:pPr>
        <w:ind w:firstLine="708"/>
        <w:jc w:val="both"/>
        <w:rPr>
          <w:lang w:val="de-DE"/>
        </w:rPr>
      </w:pPr>
    </w:p>
    <w:p w14:paraId="15DEB141" w14:textId="07A1242D" w:rsidR="003E6C61" w:rsidRPr="004676F5" w:rsidRDefault="00BE0A56" w:rsidP="003E6C61">
      <w:pPr>
        <w:ind w:firstLine="708"/>
        <w:jc w:val="both"/>
        <w:rPr>
          <w:lang w:val="de-DE"/>
        </w:rPr>
      </w:pPr>
      <w:r w:rsidRPr="004676F5">
        <w:rPr>
          <w:b/>
          <w:lang w:val="de-DE"/>
        </w:rPr>
        <w:t>Art. </w:t>
      </w:r>
      <w:r w:rsidR="003E6C61" w:rsidRPr="004676F5">
        <w:rPr>
          <w:b/>
          <w:lang w:val="de-DE"/>
        </w:rPr>
        <w:t>VII.147/23</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Bei Auflösung eines Immobiliarhypothekarkredits oder sofortiger Fälligkeit wegen Nichterfüllung der Verbindlichkeiten seitens des Verbrauchers dürfen vom Verbraucher keine anderen als die nachstehenden Zahlungen verlangt werden:</w:t>
      </w:r>
    </w:p>
    <w:p w14:paraId="1B42D2EC" w14:textId="77777777" w:rsidR="003E6C61" w:rsidRPr="004676F5" w:rsidRDefault="003E6C61" w:rsidP="003E6C61">
      <w:pPr>
        <w:ind w:firstLine="708"/>
        <w:jc w:val="both"/>
        <w:rPr>
          <w:lang w:val="de-DE"/>
        </w:rPr>
      </w:pPr>
    </w:p>
    <w:p w14:paraId="6DA26612" w14:textId="28157F0E" w:rsidR="003E6C61" w:rsidRPr="004676F5" w:rsidRDefault="005B7A5C" w:rsidP="003E6C61">
      <w:pPr>
        <w:ind w:firstLine="708"/>
        <w:jc w:val="both"/>
        <w:rPr>
          <w:lang w:val="de-DE"/>
        </w:rPr>
      </w:pPr>
      <w:r w:rsidRPr="004676F5">
        <w:rPr>
          <w:lang w:val="de-DE"/>
        </w:rPr>
        <w:t>- </w:t>
      </w:r>
      <w:r w:rsidR="003E6C61" w:rsidRPr="004676F5">
        <w:rPr>
          <w:lang w:val="de-DE"/>
        </w:rPr>
        <w:t>Restschuld,</w:t>
      </w:r>
    </w:p>
    <w:p w14:paraId="0A32C58A" w14:textId="77777777" w:rsidR="003E6C61" w:rsidRPr="004676F5" w:rsidRDefault="003E6C61" w:rsidP="003E6C61">
      <w:pPr>
        <w:ind w:firstLine="708"/>
        <w:jc w:val="both"/>
        <w:rPr>
          <w:lang w:val="de-DE"/>
        </w:rPr>
      </w:pPr>
    </w:p>
    <w:p w14:paraId="58D1027E" w14:textId="3D6DB674" w:rsidR="003E6C61" w:rsidRPr="004676F5" w:rsidRDefault="005B7A5C" w:rsidP="003E6C61">
      <w:pPr>
        <w:ind w:firstLine="708"/>
        <w:jc w:val="both"/>
        <w:rPr>
          <w:lang w:val="de-DE"/>
        </w:rPr>
      </w:pPr>
      <w:r w:rsidRPr="004676F5">
        <w:rPr>
          <w:lang w:val="de-DE"/>
        </w:rPr>
        <w:t>- </w:t>
      </w:r>
      <w:r w:rsidR="003E6C61" w:rsidRPr="004676F5">
        <w:rPr>
          <w:lang w:val="de-DE"/>
        </w:rPr>
        <w:t>Verzugszinsen, die gemäß § 2 einforderbar geworden sind,</w:t>
      </w:r>
    </w:p>
    <w:p w14:paraId="655980ED" w14:textId="77777777" w:rsidR="003E6C61" w:rsidRPr="004676F5" w:rsidRDefault="003E6C61" w:rsidP="003E6C61">
      <w:pPr>
        <w:ind w:firstLine="708"/>
        <w:jc w:val="both"/>
        <w:rPr>
          <w:lang w:val="de-DE"/>
        </w:rPr>
      </w:pPr>
    </w:p>
    <w:p w14:paraId="35B3E62E" w14:textId="78350F8C" w:rsidR="003E6C61" w:rsidRPr="004676F5" w:rsidRDefault="005B7A5C" w:rsidP="003E6C61">
      <w:pPr>
        <w:ind w:firstLine="708"/>
        <w:jc w:val="both"/>
        <w:rPr>
          <w:lang w:val="de-DE"/>
        </w:rPr>
      </w:pPr>
      <w:r w:rsidRPr="004676F5">
        <w:rPr>
          <w:lang w:val="de-DE"/>
        </w:rPr>
        <w:t>- </w:t>
      </w:r>
      <w:r w:rsidR="003E6C61" w:rsidRPr="004676F5">
        <w:rPr>
          <w:lang w:val="de-DE"/>
        </w:rPr>
        <w:t>fällige, nicht gezahlte Zinsen und Kosten, die gemäß § 2 einforderbar geworden sind,</w:t>
      </w:r>
    </w:p>
    <w:p w14:paraId="519243A2" w14:textId="77777777" w:rsidR="003E6C61" w:rsidRPr="004676F5" w:rsidRDefault="003E6C61" w:rsidP="003E6C61">
      <w:pPr>
        <w:ind w:firstLine="708"/>
        <w:jc w:val="both"/>
        <w:rPr>
          <w:lang w:val="de-DE"/>
        </w:rPr>
      </w:pPr>
    </w:p>
    <w:p w14:paraId="73397E48" w14:textId="411A457D" w:rsidR="003E6C61" w:rsidRPr="004676F5" w:rsidRDefault="005B7A5C" w:rsidP="003E6C61">
      <w:pPr>
        <w:ind w:firstLine="708"/>
        <w:jc w:val="both"/>
        <w:rPr>
          <w:lang w:val="de-DE"/>
        </w:rPr>
      </w:pPr>
      <w:r w:rsidRPr="004676F5">
        <w:rPr>
          <w:lang w:val="de-DE"/>
        </w:rPr>
        <w:t>- </w:t>
      </w:r>
      <w:r w:rsidR="003E6C61" w:rsidRPr="004676F5">
        <w:rPr>
          <w:lang w:val="de-DE"/>
        </w:rPr>
        <w:t>eine Entschädigung, die höchstens der in Artikel VII.147/12 § 1 erwähnten Vorfällig</w:t>
      </w:r>
      <w:r w:rsidR="003E6C61" w:rsidRPr="004676F5">
        <w:rPr>
          <w:lang w:val="de-DE"/>
        </w:rPr>
        <w:softHyphen/>
        <w:t>keits</w:t>
      </w:r>
      <w:r w:rsidR="003E6C61" w:rsidRPr="004676F5">
        <w:rPr>
          <w:lang w:val="de-DE"/>
        </w:rPr>
        <w:softHyphen/>
        <w:t>entschädigung entspricht und auf die Restschuld berechnet wird. </w:t>
      </w:r>
    </w:p>
    <w:p w14:paraId="7FAE8797" w14:textId="77777777" w:rsidR="003E6C61" w:rsidRPr="004676F5" w:rsidRDefault="003E6C61" w:rsidP="003E6C61">
      <w:pPr>
        <w:ind w:firstLine="708"/>
        <w:jc w:val="both"/>
        <w:rPr>
          <w:lang w:val="de-DE"/>
        </w:rPr>
      </w:pPr>
    </w:p>
    <w:p w14:paraId="65949A5F" w14:textId="20DA7278"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Bei einfachem Zahlungsverzug im Rahmen eines Immobiliarhypothekarkredits, der weder zur Vertragsauflösung noch zur sofortigen Fälligkeit führt, dürfen vom Verbraucher keine anderen als die nachstehenden Zahlungen verlangt werden:</w:t>
      </w:r>
    </w:p>
    <w:p w14:paraId="10F32BB8" w14:textId="77777777" w:rsidR="003E6C61" w:rsidRPr="004676F5" w:rsidRDefault="003E6C61" w:rsidP="003E6C61">
      <w:pPr>
        <w:ind w:firstLine="708"/>
        <w:jc w:val="both"/>
        <w:rPr>
          <w:lang w:val="de-DE"/>
        </w:rPr>
      </w:pPr>
    </w:p>
    <w:p w14:paraId="5BE0F953" w14:textId="77777777" w:rsidR="003E6C61" w:rsidRPr="004676F5" w:rsidRDefault="003E6C61" w:rsidP="003E6C61">
      <w:pPr>
        <w:ind w:firstLine="708"/>
        <w:jc w:val="both"/>
        <w:rPr>
          <w:lang w:val="de-DE"/>
        </w:rPr>
      </w:pPr>
      <w:r w:rsidRPr="004676F5">
        <w:rPr>
          <w:lang w:val="de-DE"/>
        </w:rPr>
        <w:t>1. fälliges, nicht gezahltes Kapital,</w:t>
      </w:r>
    </w:p>
    <w:p w14:paraId="60C9C9EE" w14:textId="77777777" w:rsidR="003E6C61" w:rsidRPr="004676F5" w:rsidRDefault="003E6C61" w:rsidP="003E6C61">
      <w:pPr>
        <w:ind w:firstLine="708"/>
        <w:jc w:val="both"/>
        <w:rPr>
          <w:lang w:val="de-DE"/>
        </w:rPr>
      </w:pPr>
    </w:p>
    <w:p w14:paraId="38549511" w14:textId="203C3762" w:rsidR="003E6C61" w:rsidRPr="004676F5" w:rsidRDefault="00B27CF8" w:rsidP="003E6C61">
      <w:pPr>
        <w:ind w:firstLine="708"/>
        <w:jc w:val="both"/>
        <w:rPr>
          <w:lang w:val="de-DE"/>
        </w:rPr>
      </w:pPr>
      <w:r w:rsidRPr="004676F5">
        <w:rPr>
          <w:lang w:val="de-DE"/>
        </w:rPr>
        <w:t>2</w:t>
      </w:r>
      <w:r w:rsidR="003E6C61" w:rsidRPr="004676F5">
        <w:rPr>
          <w:lang w:val="de-DE"/>
        </w:rPr>
        <w:t>. fällige, nicht gezahlte Zinsen und Kosten,</w:t>
      </w:r>
    </w:p>
    <w:p w14:paraId="1FE76C58" w14:textId="77777777" w:rsidR="003E6C61" w:rsidRPr="004676F5" w:rsidRDefault="003E6C61" w:rsidP="003E6C61">
      <w:pPr>
        <w:ind w:firstLine="708"/>
        <w:jc w:val="both"/>
        <w:rPr>
          <w:lang w:val="de-DE"/>
        </w:rPr>
      </w:pPr>
    </w:p>
    <w:p w14:paraId="0C34242B" w14:textId="3A753312" w:rsidR="003E6C61" w:rsidRPr="004676F5" w:rsidRDefault="003E6C61" w:rsidP="003E6C61">
      <w:pPr>
        <w:ind w:firstLine="708"/>
        <w:jc w:val="both"/>
        <w:rPr>
          <w:lang w:val="de-DE"/>
        </w:rPr>
      </w:pPr>
      <w:r w:rsidRPr="004676F5">
        <w:rPr>
          <w:lang w:val="de-DE"/>
        </w:rPr>
        <w:t>3. Verzugszinsen in Höhe von 0,5 Prozent auf Jahresbasis, wie folgt berechnet:</w:t>
      </w:r>
    </w:p>
    <w:p w14:paraId="475C41F0" w14:textId="77777777" w:rsidR="003E6C61" w:rsidRPr="004676F5" w:rsidRDefault="003E6C61" w:rsidP="003E6C61">
      <w:pPr>
        <w:ind w:firstLine="708"/>
        <w:jc w:val="both"/>
        <w:rPr>
          <w:lang w:val="de-DE"/>
        </w:rPr>
      </w:pPr>
    </w:p>
    <w:p w14:paraId="395A767F" w14:textId="77777777" w:rsidR="003E6C61" w:rsidRPr="004676F5" w:rsidRDefault="003E6C61" w:rsidP="003E6C61">
      <w:pPr>
        <w:ind w:firstLine="708"/>
        <w:jc w:val="both"/>
        <w:rPr>
          <w:lang w:val="de-DE"/>
        </w:rPr>
      </w:pPr>
      <w:r w:rsidRPr="004676F5">
        <w:rPr>
          <w:i/>
          <w:lang w:val="de-DE"/>
        </w:rPr>
        <w:t>a)</w:t>
      </w:r>
      <w:r w:rsidRPr="004676F5">
        <w:rPr>
          <w:lang w:val="de-DE"/>
        </w:rPr>
        <w:t> bei Nichtzahlung der Zinsen zum Fälligkeitstermin: Restschuld zum Zeitpunkt des Zahlungsverzugs multipliziert mit dem periodischen Zinssatz, der dem Sollzinssatz in Höhe von 0,5 Prozent entspricht,</w:t>
      </w:r>
    </w:p>
    <w:p w14:paraId="5E80A599" w14:textId="77777777" w:rsidR="003E6C61" w:rsidRPr="004676F5" w:rsidRDefault="003E6C61" w:rsidP="003E6C61">
      <w:pPr>
        <w:ind w:firstLine="708"/>
        <w:jc w:val="both"/>
        <w:rPr>
          <w:lang w:val="de-DE"/>
        </w:rPr>
      </w:pPr>
    </w:p>
    <w:p w14:paraId="085DD905" w14:textId="77777777" w:rsidR="003E6C61" w:rsidRPr="004676F5" w:rsidRDefault="003E6C61" w:rsidP="003E6C61">
      <w:pPr>
        <w:ind w:firstLine="708"/>
        <w:jc w:val="both"/>
        <w:rPr>
          <w:lang w:val="de-DE"/>
        </w:rPr>
      </w:pPr>
      <w:r w:rsidRPr="004676F5">
        <w:rPr>
          <w:i/>
          <w:lang w:val="de-DE"/>
        </w:rPr>
        <w:t>b)</w:t>
      </w:r>
      <w:r w:rsidRPr="004676F5">
        <w:rPr>
          <w:lang w:val="de-DE"/>
        </w:rPr>
        <w:t> auf nichtgezahltes Kapital, Möglichkeit, einen Verzugszins pro rata temporis zum periodischen Zinssatz des Kredits, erhöht um einen periodischen Zinssatz, der dem Sollzinssatz in Höhe von 0,5 Prozent entspricht, zu berechnen. Diese Verzugszinsen setzen am Datum des Zahlungsverzugs ein und laufen bis zur effektiven Rückzahlung,</w:t>
      </w:r>
    </w:p>
    <w:p w14:paraId="135B40A7" w14:textId="77777777" w:rsidR="003E6C61" w:rsidRPr="004676F5" w:rsidRDefault="003E6C61" w:rsidP="003E6C61">
      <w:pPr>
        <w:ind w:firstLine="708"/>
        <w:jc w:val="both"/>
        <w:rPr>
          <w:lang w:val="de-DE"/>
        </w:rPr>
      </w:pPr>
    </w:p>
    <w:p w14:paraId="2ECC041C" w14:textId="27DBBFAA" w:rsidR="003E6C61" w:rsidRPr="004676F5" w:rsidRDefault="003E6C61" w:rsidP="003E6C61">
      <w:pPr>
        <w:ind w:firstLine="708"/>
        <w:jc w:val="both"/>
        <w:rPr>
          <w:lang w:val="de-DE"/>
        </w:rPr>
      </w:pPr>
      <w:r w:rsidRPr="004676F5">
        <w:rPr>
          <w:lang w:val="de-DE"/>
        </w:rPr>
        <w:t>4. vereinbarte Kosten für Mahn</w:t>
      </w:r>
      <w:r w:rsidR="005B7A5C" w:rsidRPr="004676F5">
        <w:rPr>
          <w:lang w:val="de-DE"/>
        </w:rPr>
        <w:t>- </w:t>
      </w:r>
      <w:r w:rsidRPr="004676F5">
        <w:rPr>
          <w:lang w:val="de-DE"/>
        </w:rPr>
        <w:t>und Inverzugsetzungsschreiben, wobei der Verbraucher für höchstens eine Sendung pro Monat zahlt. Diese Kosten bestehen aus einem pauschalen Höchstbetrag von 7,50 EUR zuzüglich der am Tag der Absendung gültigen Portokosten. Der König kann diesen Pauschalbetrag dem Verbraucherpreisindex anpassen.</w:t>
      </w:r>
    </w:p>
    <w:p w14:paraId="63C67DE9" w14:textId="77777777" w:rsidR="003E6C61" w:rsidRPr="004676F5" w:rsidRDefault="003E6C61" w:rsidP="003E6C61">
      <w:pPr>
        <w:ind w:firstLine="708"/>
        <w:jc w:val="both"/>
        <w:rPr>
          <w:lang w:val="de-DE"/>
        </w:rPr>
      </w:pPr>
    </w:p>
    <w:p w14:paraId="50D94862" w14:textId="2C42130E"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In Anwendung der Paragraphen 1 und 2 verlangte Zahlungen müssen in einer Unterlage, die dem Verbraucher kostenlos ausgehändigt wird, detailliert angegeben und gerechtfertigt werden.</w:t>
      </w:r>
    </w:p>
    <w:p w14:paraId="3ABAB14B" w14:textId="77777777" w:rsidR="003E6C61" w:rsidRPr="004676F5" w:rsidRDefault="003E6C61" w:rsidP="003E6C61">
      <w:pPr>
        <w:ind w:firstLine="708"/>
        <w:jc w:val="both"/>
        <w:rPr>
          <w:lang w:val="de-DE"/>
        </w:rPr>
      </w:pPr>
    </w:p>
    <w:p w14:paraId="27304DFC" w14:textId="77777777" w:rsidR="003E6C61" w:rsidRPr="004676F5" w:rsidRDefault="003E6C61" w:rsidP="003E6C61">
      <w:pPr>
        <w:ind w:firstLine="708"/>
        <w:jc w:val="both"/>
        <w:rPr>
          <w:lang w:val="de-DE"/>
        </w:rPr>
      </w:pPr>
      <w:r w:rsidRPr="004676F5">
        <w:rPr>
          <w:lang w:val="de-DE"/>
        </w:rPr>
        <w:t>Eine neue Unterlage, die die in Anwendung der Paragraphen 1 und 2 geschuldeten Beträge detailliert angibt und rechtfertigt, muss dem Verbraucher, der sie beantragt, höchstens dreimal pro Jahr kostenlos ausgehändigt werden.</w:t>
      </w:r>
    </w:p>
    <w:p w14:paraId="032C77D2" w14:textId="77777777" w:rsidR="003E6C61" w:rsidRPr="004676F5" w:rsidRDefault="003E6C61" w:rsidP="003E6C61">
      <w:pPr>
        <w:ind w:firstLine="708"/>
        <w:jc w:val="both"/>
        <w:rPr>
          <w:lang w:val="de-DE"/>
        </w:rPr>
      </w:pPr>
    </w:p>
    <w:p w14:paraId="5BFD5A66" w14:textId="77777777" w:rsidR="003E6C61" w:rsidRPr="004676F5" w:rsidRDefault="003E6C61" w:rsidP="003E6C61">
      <w:pPr>
        <w:ind w:firstLine="708"/>
        <w:jc w:val="both"/>
        <w:rPr>
          <w:lang w:val="de-DE"/>
        </w:rPr>
      </w:pPr>
      <w:r w:rsidRPr="004676F5">
        <w:rPr>
          <w:lang w:val="de-DE"/>
        </w:rPr>
        <w:t>Der König kann die Vermerke auf dieser Unterlage bestimmen und ein Abrechnungs</w:t>
      </w:r>
      <w:r w:rsidRPr="004676F5">
        <w:rPr>
          <w:lang w:val="de-DE"/>
        </w:rPr>
        <w:softHyphen/>
        <w:t>muster auferlegen.</w:t>
      </w:r>
    </w:p>
    <w:p w14:paraId="2181F438" w14:textId="77777777" w:rsidR="003E6C61" w:rsidRPr="004676F5" w:rsidRDefault="003E6C61" w:rsidP="003E6C61">
      <w:pPr>
        <w:ind w:firstLine="708"/>
        <w:jc w:val="both"/>
        <w:rPr>
          <w:lang w:val="de-DE"/>
        </w:rPr>
      </w:pPr>
    </w:p>
    <w:p w14:paraId="1182C7D0" w14:textId="5A95003C" w:rsidR="003E6C61" w:rsidRPr="004676F5" w:rsidRDefault="003E6C61" w:rsidP="003E6C61">
      <w:pPr>
        <w:ind w:firstLine="708"/>
        <w:jc w:val="both"/>
        <w:rPr>
          <w:lang w:val="de-DE"/>
        </w:rPr>
      </w:pPr>
      <w:r w:rsidRPr="004676F5">
        <w:rPr>
          <w:lang w:val="de-DE"/>
        </w:rPr>
        <w:lastRenderedPageBreak/>
        <w:t>§ 4 </w:t>
      </w:r>
      <w:r w:rsidR="005B7A5C" w:rsidRPr="004676F5">
        <w:rPr>
          <w:lang w:val="de-DE"/>
        </w:rPr>
        <w:t>- </w:t>
      </w:r>
      <w:r w:rsidRPr="004676F5">
        <w:rPr>
          <w:lang w:val="de-DE"/>
        </w:rPr>
        <w:t>Klauseln, die für den Fall der Nichterfüllung der Verbindlichkeiten seitens des Verbrauchers in vorliegendem Buch nicht vorgesehene Strafen oder Entschädigungen auferlegen, sind verboten und gelten als ungeschrieben.</w:t>
      </w:r>
    </w:p>
    <w:p w14:paraId="61382444" w14:textId="77777777" w:rsidR="003E6C61" w:rsidRPr="004676F5" w:rsidRDefault="003E6C61" w:rsidP="003E6C61">
      <w:pPr>
        <w:ind w:firstLine="708"/>
        <w:jc w:val="both"/>
        <w:rPr>
          <w:lang w:val="de-DE"/>
        </w:rPr>
      </w:pPr>
    </w:p>
    <w:p w14:paraId="516D322C" w14:textId="054C195E" w:rsidR="00AB0E03" w:rsidRPr="004676F5" w:rsidRDefault="00AB0E03">
      <w:pPr>
        <w:rPr>
          <w:i/>
          <w:lang w:val="de-DE"/>
        </w:rPr>
      </w:pPr>
    </w:p>
    <w:p w14:paraId="063F1726" w14:textId="54B2A392" w:rsidR="003E6C61" w:rsidRPr="004676F5" w:rsidRDefault="003E6C61" w:rsidP="003E6C61">
      <w:pPr>
        <w:jc w:val="center"/>
        <w:rPr>
          <w:lang w:val="de-DE"/>
        </w:rPr>
      </w:pPr>
      <w:r w:rsidRPr="004676F5">
        <w:rPr>
          <w:i/>
          <w:lang w:val="de-DE"/>
        </w:rPr>
        <w:t xml:space="preserve">Abschnitt 9 </w:t>
      </w:r>
      <w:r w:rsidR="005B7A5C" w:rsidRPr="004676F5">
        <w:rPr>
          <w:lang w:val="de-DE"/>
        </w:rPr>
        <w:t>- </w:t>
      </w:r>
      <w:r w:rsidRPr="004676F5">
        <w:rPr>
          <w:lang w:val="de-DE"/>
        </w:rPr>
        <w:t>Zahlungserleichterungen</w:t>
      </w:r>
    </w:p>
    <w:p w14:paraId="3D67BE2F" w14:textId="77777777" w:rsidR="003E6C61" w:rsidRPr="004676F5" w:rsidRDefault="003E6C61" w:rsidP="003E6C61">
      <w:pPr>
        <w:jc w:val="both"/>
        <w:rPr>
          <w:lang w:val="de-DE"/>
        </w:rPr>
      </w:pPr>
    </w:p>
    <w:p w14:paraId="4FF7DF73" w14:textId="77777777" w:rsidR="002E20BA" w:rsidRPr="004676F5" w:rsidRDefault="002E20BA" w:rsidP="003E6C61">
      <w:pPr>
        <w:jc w:val="both"/>
        <w:rPr>
          <w:lang w:val="de-DE"/>
        </w:rPr>
      </w:pPr>
    </w:p>
    <w:p w14:paraId="73441877" w14:textId="1D435EF3" w:rsidR="003E6C61" w:rsidRPr="004676F5" w:rsidRDefault="00BE0A56" w:rsidP="003E6C61">
      <w:pPr>
        <w:ind w:firstLine="708"/>
        <w:jc w:val="both"/>
        <w:rPr>
          <w:lang w:val="de-DE"/>
        </w:rPr>
      </w:pPr>
      <w:r w:rsidRPr="004676F5">
        <w:rPr>
          <w:b/>
          <w:lang w:val="de-DE"/>
        </w:rPr>
        <w:t>Art. </w:t>
      </w:r>
      <w:r w:rsidR="003E6C61" w:rsidRPr="004676F5">
        <w:rPr>
          <w:b/>
          <w:lang w:val="de-DE"/>
        </w:rPr>
        <w:t>VII.147/24</w:t>
      </w:r>
      <w:r w:rsidR="003E6C61" w:rsidRPr="004676F5">
        <w:rPr>
          <w:lang w:val="de-DE"/>
        </w:rPr>
        <w:t> </w:t>
      </w:r>
      <w:r w:rsidR="005B7A5C" w:rsidRPr="004676F5">
        <w:rPr>
          <w:lang w:val="de-DE"/>
        </w:rPr>
        <w:t>- </w:t>
      </w:r>
      <w:r w:rsidR="003E6C61" w:rsidRPr="004676F5">
        <w:rPr>
          <w:lang w:val="de-DE"/>
        </w:rPr>
        <w:t>Einer Vollstreckung oder Pfändung, die aufgrund eines Urteils oder einer anderen authentischen Urkunde erfolgt, muss im Rahmen des vorliegenden Kapitels zur Vermeidung der Nichtigkeit ein im Sitzungsprotokoll aufzunehmender Versuch einer gütlichen Regelung vor dem Pfändungsrichter vorangehen.</w:t>
      </w:r>
    </w:p>
    <w:p w14:paraId="166B7755" w14:textId="77777777" w:rsidR="003E6C61" w:rsidRPr="004676F5" w:rsidRDefault="003E6C61" w:rsidP="003E6C61">
      <w:pPr>
        <w:ind w:firstLine="708"/>
        <w:jc w:val="both"/>
        <w:rPr>
          <w:lang w:val="de-DE"/>
        </w:rPr>
      </w:pPr>
    </w:p>
    <w:p w14:paraId="33CDB326" w14:textId="77777777" w:rsidR="003E6C61" w:rsidRPr="004676F5" w:rsidRDefault="003E6C61" w:rsidP="003E6C61">
      <w:pPr>
        <w:ind w:firstLine="708"/>
        <w:jc w:val="both"/>
        <w:rPr>
          <w:lang w:val="de-DE"/>
        </w:rPr>
      </w:pPr>
      <w:r w:rsidRPr="004676F5">
        <w:rPr>
          <w:lang w:val="de-DE"/>
        </w:rPr>
        <w:t>Anträge des Verbrauchers, des Bürgen oder gegebenenfalls der Person, die eine persönliche Sicherheit leistet, auf Gewährung von Zahlungserleichterungen werden an den Pfändungsrichter gerichtet, es sei denn, sie beziehen sich auf Kreditverträge, die in Artikel VII.138 § 1 erwähnt sind: In diesem Fall kommt Artikel VII.107 zur Anwendung.</w:t>
      </w:r>
    </w:p>
    <w:p w14:paraId="755E8647" w14:textId="77777777" w:rsidR="003E6C61" w:rsidRPr="004676F5" w:rsidRDefault="003E6C61" w:rsidP="003E6C61">
      <w:pPr>
        <w:ind w:firstLine="708"/>
        <w:jc w:val="both"/>
        <w:rPr>
          <w:lang w:val="de-DE"/>
        </w:rPr>
      </w:pPr>
    </w:p>
    <w:p w14:paraId="46524AF4" w14:textId="77777777" w:rsidR="003E6C61" w:rsidRPr="004676F5" w:rsidRDefault="003E6C61" w:rsidP="003E6C61">
      <w:pPr>
        <w:ind w:firstLine="708"/>
        <w:jc w:val="both"/>
        <w:rPr>
          <w:lang w:val="de-DE"/>
        </w:rPr>
      </w:pPr>
      <w:r w:rsidRPr="004676F5">
        <w:rPr>
          <w:lang w:val="de-DE"/>
        </w:rPr>
        <w:t>Die Artikel 732 und 733 des Gerichtsgesetzbuches sind anwendbar.</w:t>
      </w:r>
    </w:p>
    <w:p w14:paraId="5E12418A" w14:textId="77777777" w:rsidR="003E6C61" w:rsidRPr="004676F5" w:rsidRDefault="003E6C61" w:rsidP="003E6C61">
      <w:pPr>
        <w:ind w:firstLine="708"/>
        <w:jc w:val="both"/>
        <w:rPr>
          <w:lang w:val="de-DE"/>
        </w:rPr>
      </w:pPr>
    </w:p>
    <w:p w14:paraId="7D692F3C" w14:textId="77777777" w:rsidR="003E6C61" w:rsidRPr="004676F5" w:rsidRDefault="003E6C61" w:rsidP="003E6C61">
      <w:pPr>
        <w:ind w:firstLine="708"/>
        <w:jc w:val="both"/>
        <w:rPr>
          <w:lang w:val="de-DE"/>
        </w:rPr>
      </w:pPr>
      <w:r w:rsidRPr="004676F5">
        <w:rPr>
          <w:lang w:val="de-DE"/>
        </w:rPr>
        <w:t>In Abweichung von den Artikeln 2032 Nr. 4 und 2039 des Zivilgesetzbuches müssen der Bürge und gegebenenfalls jegliche Person, die eine persönliche Sicherheit geleistet hat, den Zahlungserleichterungsplan einhalten, den der Pfändungsrichter dem Verbraucher gewährt.</w:t>
      </w:r>
    </w:p>
    <w:p w14:paraId="47460469" w14:textId="77777777" w:rsidR="003E6C61" w:rsidRPr="004676F5" w:rsidRDefault="003E6C61" w:rsidP="003E6C61">
      <w:pPr>
        <w:ind w:firstLine="708"/>
        <w:jc w:val="both"/>
        <w:rPr>
          <w:lang w:val="de-DE"/>
        </w:rPr>
      </w:pPr>
    </w:p>
    <w:p w14:paraId="64241479" w14:textId="77777777" w:rsidR="002E20BA" w:rsidRPr="004676F5" w:rsidRDefault="002E20BA" w:rsidP="003E6C61">
      <w:pPr>
        <w:ind w:firstLine="708"/>
        <w:jc w:val="both"/>
        <w:rPr>
          <w:lang w:val="de-DE"/>
        </w:rPr>
      </w:pPr>
    </w:p>
    <w:p w14:paraId="5732481D" w14:textId="1232DE7C" w:rsidR="003E6C61" w:rsidRPr="004676F5" w:rsidRDefault="00BE0A56" w:rsidP="003E6C61">
      <w:pPr>
        <w:ind w:firstLine="708"/>
        <w:jc w:val="both"/>
        <w:rPr>
          <w:lang w:val="de-DE"/>
        </w:rPr>
      </w:pPr>
      <w:r w:rsidRPr="004676F5">
        <w:rPr>
          <w:b/>
          <w:lang w:val="de-DE"/>
        </w:rPr>
        <w:t>Art. </w:t>
      </w:r>
      <w:r w:rsidR="003E6C61" w:rsidRPr="004676F5">
        <w:rPr>
          <w:b/>
          <w:lang w:val="de-DE"/>
        </w:rPr>
        <w:t>VII.147/25</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Hat ein Verbraucher bereits Summen in Höhe von mindestens 40 Prozent des Barzahlungspreises einer Ware gezahlt, für die entweder eine Eigentums</w:t>
      </w:r>
      <w:r w:rsidR="003E6C61" w:rsidRPr="004676F5">
        <w:rPr>
          <w:lang w:val="de-DE"/>
        </w:rPr>
        <w:softHyphen/>
        <w:t>vorbehaltklausel oder ein Pfandversprechen mit unwiderruflicher Vollmacht besteht, darf diese Ware nur aufgrund einer gerichtlichen Entscheidung oder schriftlichen Vereinbarung, die nach Inverzugsetzung per Einschreibsendung geschlossen wurde, zurückgenommen werden.</w:t>
      </w:r>
    </w:p>
    <w:p w14:paraId="3F05586D" w14:textId="77777777" w:rsidR="003E6C61" w:rsidRPr="004676F5" w:rsidRDefault="003E6C61" w:rsidP="003E6C61">
      <w:pPr>
        <w:ind w:firstLine="708"/>
        <w:jc w:val="both"/>
        <w:rPr>
          <w:lang w:val="de-DE"/>
        </w:rPr>
      </w:pPr>
    </w:p>
    <w:p w14:paraId="4B1E29E9" w14:textId="77777777" w:rsidR="003E6C61" w:rsidRPr="004676F5" w:rsidRDefault="003E6C61" w:rsidP="003E6C61">
      <w:pPr>
        <w:ind w:firstLine="708"/>
        <w:jc w:val="both"/>
        <w:rPr>
          <w:lang w:val="de-DE"/>
        </w:rPr>
      </w:pPr>
      <w:r w:rsidRPr="004676F5">
        <w:rPr>
          <w:lang w:val="de-DE"/>
        </w:rPr>
        <w:t>Der Kreditgeber muss innerhalb einer Frist von dreißig Tagen ab dem Datum des Verkaufs der finanzierten Ware dem Verbraucher den erhaltenen Preis mitteilen und ihm den zu viel erhaltenen Betrag zurückerstatten.</w:t>
      </w:r>
    </w:p>
    <w:p w14:paraId="5F3AA117" w14:textId="77777777" w:rsidR="003E6C61" w:rsidRPr="004676F5" w:rsidRDefault="003E6C61" w:rsidP="003E6C61">
      <w:pPr>
        <w:ind w:firstLine="708"/>
        <w:jc w:val="both"/>
        <w:rPr>
          <w:lang w:val="de-DE"/>
        </w:rPr>
      </w:pPr>
    </w:p>
    <w:p w14:paraId="6742DA33" w14:textId="13CADEF1"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Auf keinen Fall darf eine Vollmacht oder Vereinbarung, die im Hinblick auf die Rücknahme einer durch einen Kreditvertrag finanzierten Ware geschlossen wurde, zu einer unberechtigten Bereicherung führen.</w:t>
      </w:r>
    </w:p>
    <w:p w14:paraId="0AB9D77C" w14:textId="77777777" w:rsidR="003E6C61" w:rsidRPr="004676F5" w:rsidRDefault="003E6C61" w:rsidP="003E6C61">
      <w:pPr>
        <w:jc w:val="both"/>
        <w:rPr>
          <w:lang w:val="de-DE"/>
        </w:rPr>
      </w:pPr>
    </w:p>
    <w:p w14:paraId="168C5451" w14:textId="77777777" w:rsidR="002E20BA" w:rsidRPr="004676F5" w:rsidRDefault="002E20BA" w:rsidP="003E6C61">
      <w:pPr>
        <w:jc w:val="center"/>
        <w:rPr>
          <w:i/>
          <w:lang w:val="de-DE"/>
        </w:rPr>
      </w:pPr>
    </w:p>
    <w:p w14:paraId="208B579B" w14:textId="2DC7502A" w:rsidR="003E6C61" w:rsidRPr="004676F5" w:rsidRDefault="003E6C61" w:rsidP="003E6C61">
      <w:pPr>
        <w:jc w:val="center"/>
        <w:rPr>
          <w:lang w:val="de-DE"/>
        </w:rPr>
      </w:pPr>
      <w:r w:rsidRPr="004676F5">
        <w:rPr>
          <w:i/>
          <w:lang w:val="de-DE"/>
        </w:rPr>
        <w:t>Abschnitt 10 </w:t>
      </w:r>
      <w:r w:rsidR="005B7A5C" w:rsidRPr="004676F5">
        <w:rPr>
          <w:lang w:val="de-DE"/>
        </w:rPr>
        <w:t>- </w:t>
      </w:r>
      <w:r w:rsidRPr="004676F5">
        <w:rPr>
          <w:lang w:val="de-DE"/>
        </w:rPr>
        <w:t>Sicherheiten</w:t>
      </w:r>
    </w:p>
    <w:p w14:paraId="1CACA748" w14:textId="77777777" w:rsidR="003E6C61" w:rsidRPr="004676F5" w:rsidRDefault="003E6C61" w:rsidP="003E6C61">
      <w:pPr>
        <w:jc w:val="both"/>
        <w:rPr>
          <w:lang w:val="de-DE"/>
        </w:rPr>
      </w:pPr>
    </w:p>
    <w:p w14:paraId="269A440F" w14:textId="77777777" w:rsidR="002E20BA" w:rsidRPr="004676F5" w:rsidRDefault="002E20BA" w:rsidP="003E6C61">
      <w:pPr>
        <w:jc w:val="both"/>
        <w:rPr>
          <w:lang w:val="de-DE"/>
        </w:rPr>
      </w:pPr>
    </w:p>
    <w:p w14:paraId="0731B132" w14:textId="21F695F0" w:rsidR="003E6C61" w:rsidRPr="004676F5" w:rsidRDefault="00BE0A56" w:rsidP="003E6C61">
      <w:pPr>
        <w:ind w:firstLine="708"/>
        <w:jc w:val="both"/>
        <w:rPr>
          <w:lang w:val="de-DE"/>
        </w:rPr>
      </w:pPr>
      <w:r w:rsidRPr="004676F5">
        <w:rPr>
          <w:b/>
          <w:lang w:val="de-DE"/>
        </w:rPr>
        <w:t>Art. </w:t>
      </w:r>
      <w:r w:rsidR="003E6C61" w:rsidRPr="004676F5">
        <w:rPr>
          <w:b/>
          <w:lang w:val="de-DE"/>
        </w:rPr>
        <w:t>VII.147/26</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In Bürgschaftsleistungen und gegebenenfalls in beliebigen anderen Formen von Sicherheiten, die Drittverbraucher für Verbindlichkeiten aus einem Kreditvertrag gewähren, muss der genaue Betrag, für den gebürgt wird, vermerkt sein. Verlangte Sicherheiten gelten nur für diesen Betrag, eventuell zuzüglich Verzugszinsen, unter Ausschluss jeglicher Vertragsstrafen oder Nichterfüllungskosten. Zu diesem Zweck muss der Kreditgeber vorab dem Bürgen und gegebenenfalls der Person, die eine Sicherheit leistet, kostenlos eine Ausfertigung des Kreditvertrags überreichen.</w:t>
      </w:r>
    </w:p>
    <w:p w14:paraId="1867720E" w14:textId="77777777" w:rsidR="003E6C61" w:rsidRPr="004676F5" w:rsidRDefault="003E6C61" w:rsidP="003E6C61">
      <w:pPr>
        <w:ind w:firstLine="708"/>
        <w:jc w:val="both"/>
        <w:rPr>
          <w:lang w:val="de-DE"/>
        </w:rPr>
      </w:pPr>
    </w:p>
    <w:p w14:paraId="538F40FA" w14:textId="1A21629A" w:rsidR="003E6C61" w:rsidRPr="004676F5" w:rsidRDefault="003E6C61" w:rsidP="003E6C61">
      <w:pPr>
        <w:ind w:firstLine="708"/>
        <w:jc w:val="both"/>
        <w:rPr>
          <w:lang w:val="de-DE"/>
        </w:rPr>
      </w:pPr>
      <w:r w:rsidRPr="004676F5">
        <w:rPr>
          <w:lang w:val="de-DE"/>
        </w:rPr>
        <w:lastRenderedPageBreak/>
        <w:t>§ 2 </w:t>
      </w:r>
      <w:r w:rsidR="005B7A5C" w:rsidRPr="004676F5">
        <w:rPr>
          <w:lang w:val="de-DE"/>
        </w:rPr>
        <w:t>- </w:t>
      </w:r>
      <w:r w:rsidRPr="004676F5">
        <w:rPr>
          <w:lang w:val="de-DE"/>
        </w:rPr>
        <w:t xml:space="preserve">In Verträgen über Sicherheitsleistungen, in deren Rahmen die Person, die die Sicherheit leistet, gemäß Artikel VII.148 § 2 Nr. 1 registriert wird, wird Folgendes angegeben: </w:t>
      </w:r>
    </w:p>
    <w:p w14:paraId="39BC9202" w14:textId="77777777" w:rsidR="003E6C61" w:rsidRPr="004676F5" w:rsidRDefault="003E6C61" w:rsidP="003E6C61">
      <w:pPr>
        <w:ind w:firstLine="708"/>
        <w:jc w:val="both"/>
        <w:rPr>
          <w:lang w:val="de-DE"/>
        </w:rPr>
      </w:pPr>
    </w:p>
    <w:p w14:paraId="123A32BE" w14:textId="77777777" w:rsidR="003E6C61" w:rsidRPr="004676F5" w:rsidRDefault="003E6C61" w:rsidP="003E6C61">
      <w:pPr>
        <w:ind w:firstLine="708"/>
        <w:jc w:val="both"/>
        <w:rPr>
          <w:lang w:val="de-DE"/>
        </w:rPr>
      </w:pPr>
      <w:r w:rsidRPr="004676F5">
        <w:rPr>
          <w:lang w:val="de-DE"/>
        </w:rPr>
        <w:t>1. die Klausel: "Der Kreditvertrag, für den Sie diese Sicherheit geleistet haben, ist in der Zentrale für Kredite an Privatpersonen registriert, in der Sie gemäß Artikel VII.148 § 2 Nr. 1 als Person, die eine Sicherheit geleistet hat, registriert sind."</w:t>
      </w:r>
    </w:p>
    <w:p w14:paraId="5DB95898" w14:textId="77777777" w:rsidR="003E6C61" w:rsidRPr="004676F5" w:rsidRDefault="003E6C61" w:rsidP="003E6C61">
      <w:pPr>
        <w:ind w:firstLine="708"/>
        <w:jc w:val="both"/>
        <w:rPr>
          <w:lang w:val="de-DE"/>
        </w:rPr>
      </w:pPr>
    </w:p>
    <w:p w14:paraId="2A88BA8D" w14:textId="77777777" w:rsidR="003E6C61" w:rsidRPr="004676F5" w:rsidRDefault="003E6C61" w:rsidP="003E6C61">
      <w:pPr>
        <w:ind w:firstLine="708"/>
        <w:jc w:val="both"/>
        <w:rPr>
          <w:lang w:val="de-DE"/>
        </w:rPr>
      </w:pPr>
      <w:r w:rsidRPr="004676F5">
        <w:rPr>
          <w:lang w:val="de-DE"/>
        </w:rPr>
        <w:t>2. Zwecke der Verarbeitung in der Zentrale,</w:t>
      </w:r>
    </w:p>
    <w:p w14:paraId="5A698C50" w14:textId="77777777" w:rsidR="003E6C61" w:rsidRPr="004676F5" w:rsidRDefault="003E6C61" w:rsidP="003E6C61">
      <w:pPr>
        <w:ind w:firstLine="708"/>
        <w:jc w:val="both"/>
        <w:rPr>
          <w:lang w:val="de-DE"/>
        </w:rPr>
      </w:pPr>
    </w:p>
    <w:p w14:paraId="1E38B1C8" w14:textId="77777777" w:rsidR="003E6C61" w:rsidRPr="004676F5" w:rsidRDefault="003E6C61" w:rsidP="003E6C61">
      <w:pPr>
        <w:ind w:firstLine="708"/>
        <w:jc w:val="both"/>
        <w:rPr>
          <w:lang w:val="de-DE"/>
        </w:rPr>
      </w:pPr>
      <w:r w:rsidRPr="004676F5">
        <w:rPr>
          <w:lang w:val="de-DE"/>
        </w:rPr>
        <w:t>3. Name der Zentrale,</w:t>
      </w:r>
    </w:p>
    <w:p w14:paraId="0008FB89" w14:textId="77777777" w:rsidR="003E6C61" w:rsidRPr="004676F5" w:rsidRDefault="003E6C61" w:rsidP="003E6C61">
      <w:pPr>
        <w:ind w:firstLine="708"/>
        <w:jc w:val="both"/>
        <w:rPr>
          <w:lang w:val="de-DE"/>
        </w:rPr>
      </w:pPr>
    </w:p>
    <w:p w14:paraId="73A65AE2" w14:textId="0DA68460" w:rsidR="003E6C61" w:rsidRPr="004676F5" w:rsidRDefault="003E6C61" w:rsidP="003E6C61">
      <w:pPr>
        <w:ind w:firstLine="708"/>
        <w:jc w:val="both"/>
        <w:rPr>
          <w:lang w:val="de-DE"/>
        </w:rPr>
      </w:pPr>
      <w:r w:rsidRPr="004676F5">
        <w:rPr>
          <w:lang w:val="de-DE"/>
        </w:rPr>
        <w:t>4. Bestehen eines Zugangs-, Berichtigungs</w:t>
      </w:r>
      <w:r w:rsidR="005B7A5C" w:rsidRPr="004676F5">
        <w:rPr>
          <w:lang w:val="de-DE"/>
        </w:rPr>
        <w:t>- </w:t>
      </w:r>
      <w:r w:rsidRPr="004676F5">
        <w:rPr>
          <w:lang w:val="de-DE"/>
        </w:rPr>
        <w:t>und Streichungsrechts hinsichtlich der Daten und Fristen für die Aufbewahrung dieser Daten.</w:t>
      </w:r>
    </w:p>
    <w:p w14:paraId="4FF97F12" w14:textId="77777777" w:rsidR="003E6C61" w:rsidRPr="004676F5" w:rsidRDefault="003E6C61" w:rsidP="003E6C61">
      <w:pPr>
        <w:ind w:firstLine="708"/>
        <w:jc w:val="both"/>
        <w:rPr>
          <w:lang w:val="de-DE"/>
        </w:rPr>
      </w:pPr>
    </w:p>
    <w:p w14:paraId="318CBD77" w14:textId="1E77D893"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Der Kreditgeber muss Personen, die eine Sicherheit leisten, über den Abschluss des Kreditvertrags informieren und sie vorab über jede Änderung dieses Vertrags unterrichten.</w:t>
      </w:r>
    </w:p>
    <w:p w14:paraId="7F4D5598" w14:textId="77777777" w:rsidR="003E6C61" w:rsidRPr="004676F5" w:rsidRDefault="003E6C61" w:rsidP="003E6C61">
      <w:pPr>
        <w:ind w:firstLine="708"/>
        <w:jc w:val="both"/>
        <w:rPr>
          <w:lang w:val="de-DE"/>
        </w:rPr>
      </w:pPr>
    </w:p>
    <w:p w14:paraId="54D9A07A" w14:textId="77777777" w:rsidR="003E6C61" w:rsidRPr="004676F5" w:rsidRDefault="003E6C61" w:rsidP="003E6C61">
      <w:pPr>
        <w:ind w:firstLine="708"/>
        <w:jc w:val="both"/>
        <w:rPr>
          <w:lang w:val="de-DE"/>
        </w:rPr>
      </w:pPr>
      <w:r w:rsidRPr="004676F5">
        <w:rPr>
          <w:lang w:val="de-DE"/>
        </w:rPr>
        <w:t>Für Kreditverträge auf unbegrenzte Dauer kann der Kreditgeber eine Bürgschaft oder persönliche Sicherheit nur für einen Zeitraum von fünf Jahren verlangen. Dieser Zeitraum kann nach Ablauf dieses Zeitraums ausschließlich mit ausdrücklicher Zustimmung des Bürgen oder der Person, die eine persönliche Sicherheit geleistet hat, erneuert werden.</w:t>
      </w:r>
    </w:p>
    <w:p w14:paraId="3BEE56B1" w14:textId="77777777" w:rsidR="003E6C61" w:rsidRPr="004676F5" w:rsidRDefault="003E6C61" w:rsidP="003E6C61">
      <w:pPr>
        <w:ind w:firstLine="708"/>
        <w:jc w:val="both"/>
        <w:rPr>
          <w:lang w:val="de-DE"/>
        </w:rPr>
      </w:pPr>
    </w:p>
    <w:p w14:paraId="41808D22" w14:textId="77777777" w:rsidR="002E20BA" w:rsidRPr="004676F5" w:rsidRDefault="002E20BA" w:rsidP="003E6C61">
      <w:pPr>
        <w:ind w:firstLine="708"/>
        <w:jc w:val="both"/>
        <w:rPr>
          <w:lang w:val="de-DE"/>
        </w:rPr>
      </w:pPr>
    </w:p>
    <w:p w14:paraId="7BB31A1B" w14:textId="2E4064AB" w:rsidR="003E6C61" w:rsidRPr="004676F5" w:rsidRDefault="00BE0A56" w:rsidP="003E6C61">
      <w:pPr>
        <w:ind w:firstLine="708"/>
        <w:jc w:val="both"/>
        <w:rPr>
          <w:lang w:val="de-DE"/>
        </w:rPr>
      </w:pPr>
      <w:r w:rsidRPr="004676F5">
        <w:rPr>
          <w:b/>
          <w:lang w:val="de-DE"/>
        </w:rPr>
        <w:t>Art. </w:t>
      </w:r>
      <w:r w:rsidR="003E6C61" w:rsidRPr="004676F5">
        <w:rPr>
          <w:b/>
          <w:lang w:val="de-DE"/>
        </w:rPr>
        <w:t>VII.147/27</w:t>
      </w:r>
      <w:r w:rsidR="003E6C61" w:rsidRPr="004676F5">
        <w:rPr>
          <w:lang w:val="de-DE"/>
        </w:rPr>
        <w:t> </w:t>
      </w:r>
      <w:r w:rsidR="005B7A5C" w:rsidRPr="004676F5">
        <w:rPr>
          <w:lang w:val="de-DE"/>
        </w:rPr>
        <w:t>- </w:t>
      </w:r>
      <w:r w:rsidR="003E6C61" w:rsidRPr="004676F5">
        <w:rPr>
          <w:lang w:val="de-DE"/>
        </w:rPr>
        <w:t xml:space="preserve">Der Kreditgeber benachrichtigt den Bürgen und gegebenenfalls die Person, die eine Sicherheit geleistet hat, falls der Verbraucher mit zwei Ratenbeträgen oder mindestens einem Fünftel des zurückzuzahlenden Gesamtbetrags in Verzug ist. Der Kreditgeber </w:t>
      </w:r>
      <w:r w:rsidR="00BE3C07" w:rsidRPr="004676F5">
        <w:rPr>
          <w:lang w:val="de-DE"/>
        </w:rPr>
        <w:t>[</w:t>
      </w:r>
      <w:r w:rsidR="003E6C61" w:rsidRPr="004676F5">
        <w:rPr>
          <w:lang w:val="de-DE"/>
        </w:rPr>
        <w:t xml:space="preserve">informiert </w:t>
      </w:r>
      <w:r w:rsidR="00BE3C07" w:rsidRPr="004676F5">
        <w:rPr>
          <w:lang w:val="de-DE"/>
        </w:rPr>
        <w:t>sie]</w:t>
      </w:r>
      <w:r w:rsidR="003E6C61" w:rsidRPr="004676F5">
        <w:rPr>
          <w:lang w:val="de-DE"/>
        </w:rPr>
        <w:t xml:space="preserve"> über gewährte Zahlungserleichterungen und </w:t>
      </w:r>
      <w:r w:rsidR="00BE3C07" w:rsidRPr="004676F5">
        <w:rPr>
          <w:lang w:val="de-DE"/>
        </w:rPr>
        <w:t>[</w:t>
      </w:r>
      <w:r w:rsidR="003E6C61" w:rsidRPr="004676F5">
        <w:rPr>
          <w:lang w:val="de-DE"/>
        </w:rPr>
        <w:t xml:space="preserve">unterrichtet </w:t>
      </w:r>
      <w:r w:rsidR="00BE3C07" w:rsidRPr="004676F5">
        <w:rPr>
          <w:lang w:val="de-DE"/>
        </w:rPr>
        <w:t>sie]</w:t>
      </w:r>
      <w:r w:rsidR="003E6C61" w:rsidRPr="004676F5">
        <w:rPr>
          <w:lang w:val="de-DE"/>
        </w:rPr>
        <w:t xml:space="preserve"> vorab über jede Änderung des ursprünglichen Kreditvertrags.</w:t>
      </w:r>
    </w:p>
    <w:p w14:paraId="464DB58B" w14:textId="2E3A5DCE" w:rsidR="00BE3C07" w:rsidRPr="004676F5" w:rsidRDefault="00BE3C07" w:rsidP="003E6C61">
      <w:pPr>
        <w:ind w:firstLine="708"/>
        <w:jc w:val="both"/>
        <w:rPr>
          <w:lang w:val="de-DE"/>
        </w:rPr>
      </w:pPr>
    </w:p>
    <w:p w14:paraId="102D662E" w14:textId="6F4448EB" w:rsidR="00BE3C07" w:rsidRPr="004676F5" w:rsidRDefault="00BE3C07" w:rsidP="00BE3C07">
      <w:pPr>
        <w:jc w:val="both"/>
        <w:rPr>
          <w:i/>
          <w:iCs/>
          <w:lang w:val="de-DE"/>
        </w:rPr>
      </w:pPr>
      <w:r w:rsidRPr="004676F5">
        <w:rPr>
          <w:i/>
          <w:iCs/>
          <w:lang w:val="de-DE"/>
        </w:rPr>
        <w:t>[Art. </w:t>
      </w:r>
      <w:r w:rsidR="00726E9F">
        <w:rPr>
          <w:i/>
          <w:iCs/>
          <w:lang w:val="de-DE"/>
        </w:rPr>
        <w:t>VVI.</w:t>
      </w:r>
      <w:r w:rsidRPr="004676F5">
        <w:rPr>
          <w:i/>
          <w:iCs/>
          <w:lang w:val="de-DE"/>
        </w:rPr>
        <w:t>147/27 abgeändert durch Art. 18 Nr. 1 und 2</w:t>
      </w:r>
      <w:r w:rsidRPr="004676F5">
        <w:rPr>
          <w:i/>
          <w:lang w:val="de-DE"/>
        </w:rPr>
        <w:t xml:space="preserve"> des G. vom 30. Juli 2018 (II) (B.S. vom 5. September 2018)]</w:t>
      </w:r>
    </w:p>
    <w:p w14:paraId="20FD65F6" w14:textId="77777777" w:rsidR="003E6C61" w:rsidRPr="004676F5" w:rsidRDefault="003E6C61" w:rsidP="003E6C61">
      <w:pPr>
        <w:ind w:firstLine="708"/>
        <w:jc w:val="both"/>
        <w:rPr>
          <w:lang w:val="de-DE"/>
        </w:rPr>
      </w:pPr>
    </w:p>
    <w:p w14:paraId="343D546D" w14:textId="77777777" w:rsidR="002E20BA" w:rsidRPr="004676F5" w:rsidRDefault="002E20BA" w:rsidP="003E6C61">
      <w:pPr>
        <w:ind w:firstLine="708"/>
        <w:jc w:val="both"/>
        <w:rPr>
          <w:lang w:val="de-DE"/>
        </w:rPr>
      </w:pPr>
    </w:p>
    <w:p w14:paraId="2FDCAD12" w14:textId="2308B91D" w:rsidR="003E6C61" w:rsidRPr="004676F5" w:rsidRDefault="00BE0A56" w:rsidP="003E6C61">
      <w:pPr>
        <w:ind w:firstLine="708"/>
        <w:jc w:val="both"/>
        <w:rPr>
          <w:lang w:val="de-DE"/>
        </w:rPr>
      </w:pPr>
      <w:r w:rsidRPr="004676F5">
        <w:rPr>
          <w:b/>
          <w:lang w:val="de-DE"/>
        </w:rPr>
        <w:t>Art. </w:t>
      </w:r>
      <w:r w:rsidR="003E6C61" w:rsidRPr="004676F5">
        <w:rPr>
          <w:b/>
          <w:lang w:val="de-DE"/>
        </w:rPr>
        <w:t>VII.147/28</w:t>
      </w:r>
      <w:r w:rsidR="003E6C61" w:rsidRPr="004676F5">
        <w:rPr>
          <w:lang w:val="de-DE"/>
        </w:rPr>
        <w:t> </w:t>
      </w:r>
      <w:r w:rsidR="005B7A5C" w:rsidRPr="004676F5">
        <w:rPr>
          <w:lang w:val="de-DE"/>
        </w:rPr>
        <w:t>- </w:t>
      </w:r>
      <w:r w:rsidR="003E6C61" w:rsidRPr="004676F5">
        <w:rPr>
          <w:lang w:val="de-DE"/>
        </w:rPr>
        <w:t>In Abweichung von Artikel 2021 des Zivilgesetzbuches kann der Kreditgeber den Bürgen und gegebenenfalls die Person, die eine Sicherheit geleistet hat, erst belangen, wenn der Verbraucher mit mindestens zwei Raten, 20 Prozent des zurückzu</w:t>
      </w:r>
      <w:r w:rsidR="003E6C61" w:rsidRPr="004676F5">
        <w:rPr>
          <w:lang w:val="de-DE"/>
        </w:rPr>
        <w:softHyphen/>
        <w:t>zahlenden Gesamtbetrags oder der letzten Rate in Verzug ist und wenn der Verbraucher seine Verbindlichkeiten innerhalb eines Monats ab Versendung seitens des Kreditgebers einer Einschreibesendung zur Inverzugsetzung nicht erfüllt hat.</w:t>
      </w:r>
    </w:p>
    <w:p w14:paraId="3FE84C5A" w14:textId="77777777" w:rsidR="003E6C61" w:rsidRPr="004676F5" w:rsidRDefault="003E6C61" w:rsidP="003E6C61">
      <w:pPr>
        <w:jc w:val="both"/>
        <w:rPr>
          <w:lang w:val="de-DE"/>
        </w:rPr>
      </w:pPr>
    </w:p>
    <w:p w14:paraId="4DC5F71B" w14:textId="77777777" w:rsidR="002E20BA" w:rsidRPr="004676F5" w:rsidRDefault="002E20BA" w:rsidP="003E6C61">
      <w:pPr>
        <w:jc w:val="both"/>
        <w:rPr>
          <w:lang w:val="de-DE"/>
        </w:rPr>
      </w:pPr>
    </w:p>
    <w:p w14:paraId="3EA59B8E" w14:textId="7271D661" w:rsidR="003E6C61" w:rsidRPr="004676F5" w:rsidRDefault="003E6C61" w:rsidP="003E6C61">
      <w:pPr>
        <w:jc w:val="both"/>
        <w:rPr>
          <w:lang w:val="de-DE"/>
        </w:rPr>
      </w:pPr>
      <w:r w:rsidRPr="004676F5">
        <w:rPr>
          <w:i/>
          <w:lang w:val="de-DE"/>
        </w:rPr>
        <w:t>Abschnitt 11 </w:t>
      </w:r>
      <w:r w:rsidR="005B7A5C" w:rsidRPr="004676F5">
        <w:rPr>
          <w:lang w:val="de-DE"/>
        </w:rPr>
        <w:t>- </w:t>
      </w:r>
      <w:r w:rsidRPr="004676F5">
        <w:rPr>
          <w:lang w:val="de-DE"/>
        </w:rPr>
        <w:t>Verhaltensregeln bei Bereitstellung von Krediten an Verbraucher über Kreditvermittler und Zahlung von Provisionen und Vergütungen an Kreditvermittler und Personalmitglieder</w:t>
      </w:r>
    </w:p>
    <w:p w14:paraId="724D5AC5" w14:textId="77777777" w:rsidR="003E6C61" w:rsidRPr="004676F5" w:rsidRDefault="003E6C61" w:rsidP="003E6C61">
      <w:pPr>
        <w:jc w:val="both"/>
        <w:rPr>
          <w:lang w:val="de-DE"/>
        </w:rPr>
      </w:pPr>
    </w:p>
    <w:p w14:paraId="1CA01CA6" w14:textId="77777777" w:rsidR="002E20BA" w:rsidRPr="004676F5" w:rsidRDefault="002E20BA" w:rsidP="003E6C61">
      <w:pPr>
        <w:jc w:val="both"/>
        <w:rPr>
          <w:lang w:val="de-DE"/>
        </w:rPr>
      </w:pPr>
    </w:p>
    <w:p w14:paraId="4577C121" w14:textId="4E97C270" w:rsidR="003E6C61" w:rsidRPr="004676F5" w:rsidRDefault="00BE0A56" w:rsidP="003E6C61">
      <w:pPr>
        <w:ind w:firstLine="708"/>
        <w:jc w:val="both"/>
        <w:rPr>
          <w:lang w:val="de-DE"/>
        </w:rPr>
      </w:pPr>
      <w:r w:rsidRPr="004676F5">
        <w:rPr>
          <w:b/>
          <w:lang w:val="de-DE"/>
        </w:rPr>
        <w:t>Art. </w:t>
      </w:r>
      <w:r w:rsidR="003E6C61" w:rsidRPr="004676F5">
        <w:rPr>
          <w:b/>
          <w:lang w:val="de-DE"/>
        </w:rPr>
        <w:t>VII.147/29</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Ein Kreditvermittler kann keinen Kreditantrag für einen Verbraucher einreichen, wenn er unter Berücksichtigung der Informationen, über die er unter anderem aufgrund der in Artikel VII.126 erwähnten Auskünfte verfügt oder verfügen müsste, annimmt, dass der Verbraucher offensichtlich nicht in der Lage sein wird, die Verbindlichkeiten aus dem Kreditvertrag zu erfüllen.</w:t>
      </w:r>
    </w:p>
    <w:p w14:paraId="1E38EB01" w14:textId="77777777" w:rsidR="003E6C61" w:rsidRPr="004676F5" w:rsidRDefault="003E6C61" w:rsidP="003E6C61">
      <w:pPr>
        <w:ind w:firstLine="708"/>
        <w:jc w:val="both"/>
        <w:rPr>
          <w:lang w:val="de-DE"/>
        </w:rPr>
      </w:pPr>
    </w:p>
    <w:p w14:paraId="089C3AF1" w14:textId="5B23B841" w:rsidR="003E6C61" w:rsidRPr="004676F5" w:rsidRDefault="003E6C61" w:rsidP="003E6C61">
      <w:pPr>
        <w:ind w:firstLine="708"/>
        <w:jc w:val="both"/>
        <w:rPr>
          <w:lang w:val="de-DE"/>
        </w:rPr>
      </w:pPr>
      <w:r w:rsidRPr="004676F5">
        <w:rPr>
          <w:lang w:val="de-DE"/>
        </w:rPr>
        <w:lastRenderedPageBreak/>
        <w:t>§ 2 </w:t>
      </w:r>
      <w:r w:rsidR="005B7A5C" w:rsidRPr="004676F5">
        <w:rPr>
          <w:lang w:val="de-DE"/>
        </w:rPr>
        <w:t>- </w:t>
      </w:r>
      <w:r w:rsidRPr="004676F5">
        <w:rPr>
          <w:lang w:val="de-DE"/>
        </w:rPr>
        <w:t xml:space="preserve">Ein Kreditvermittler darf Kreditanträge nicht teilen. Er muss dem Kreditgeber die in Artikel VII.69 erwähnten notwendigen Informationen mitteilen. </w:t>
      </w:r>
    </w:p>
    <w:p w14:paraId="6C8DDE27" w14:textId="77777777" w:rsidR="003E6C61" w:rsidRPr="004676F5" w:rsidRDefault="003E6C61" w:rsidP="003E6C61">
      <w:pPr>
        <w:ind w:firstLine="708"/>
        <w:jc w:val="both"/>
        <w:rPr>
          <w:lang w:val="de-DE"/>
        </w:rPr>
      </w:pPr>
    </w:p>
    <w:p w14:paraId="19907DA0" w14:textId="02C5E523" w:rsidR="003E6C61" w:rsidRPr="004676F5" w:rsidRDefault="003E6C61" w:rsidP="003E6C61">
      <w:pPr>
        <w:ind w:firstLine="708"/>
        <w:jc w:val="both"/>
        <w:rPr>
          <w:lang w:val="de-DE"/>
        </w:rPr>
      </w:pPr>
      <w:r w:rsidRPr="004676F5">
        <w:rPr>
          <w:lang w:val="de-DE"/>
        </w:rPr>
        <w:t xml:space="preserve">§ 3 </w:t>
      </w:r>
      <w:r w:rsidR="005B7A5C" w:rsidRPr="004676F5">
        <w:rPr>
          <w:lang w:val="de-DE"/>
        </w:rPr>
        <w:t>- </w:t>
      </w:r>
      <w:r w:rsidRPr="004676F5">
        <w:rPr>
          <w:lang w:val="de-DE"/>
        </w:rPr>
        <w:t>Wer als Kreditvermittler auftritt, muss allen kontaktierten Kreditgebern den Betrag der anderen Kreditverträge mitteilen, die er innerhalb zweier Monate vor Einreichung jedes neuen Kreditantrags zugunsten desselben Verbrauchers beantragt oder erhalten hat.</w:t>
      </w:r>
    </w:p>
    <w:p w14:paraId="5730158D" w14:textId="77777777" w:rsidR="003E6C61" w:rsidRPr="004676F5" w:rsidRDefault="003E6C61" w:rsidP="003E6C61">
      <w:pPr>
        <w:ind w:firstLine="708"/>
        <w:jc w:val="both"/>
        <w:rPr>
          <w:lang w:val="de-DE"/>
        </w:rPr>
      </w:pPr>
    </w:p>
    <w:p w14:paraId="6AB7A56D" w14:textId="3A9E1B81"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Der Kreditvermittler darf nur Kreditverträge mit zugelassenen beziehungsweise registrierten Kreditgebern vermitteln.</w:t>
      </w:r>
    </w:p>
    <w:p w14:paraId="22523352" w14:textId="77777777" w:rsidR="003E6C61" w:rsidRPr="004676F5" w:rsidRDefault="003E6C61" w:rsidP="003E6C61">
      <w:pPr>
        <w:ind w:firstLine="708"/>
        <w:jc w:val="both"/>
        <w:rPr>
          <w:lang w:val="de-DE"/>
        </w:rPr>
      </w:pPr>
    </w:p>
    <w:p w14:paraId="468799C5" w14:textId="77777777" w:rsidR="003E6C61" w:rsidRPr="004676F5" w:rsidRDefault="003E6C61" w:rsidP="003E6C61">
      <w:pPr>
        <w:ind w:firstLine="708"/>
        <w:jc w:val="both"/>
        <w:rPr>
          <w:lang w:val="de-DE"/>
        </w:rPr>
      </w:pPr>
      <w:r w:rsidRPr="004676F5">
        <w:rPr>
          <w:lang w:val="de-DE"/>
        </w:rPr>
        <w:t>Kreditmakler dürfen ihre Tätigkeit nur unter ihrem Namen ausüben.</w:t>
      </w:r>
    </w:p>
    <w:p w14:paraId="5B22F142" w14:textId="77777777" w:rsidR="003E6C61" w:rsidRPr="004676F5" w:rsidRDefault="003E6C61" w:rsidP="003E6C61">
      <w:pPr>
        <w:ind w:firstLine="708"/>
        <w:jc w:val="both"/>
        <w:rPr>
          <w:lang w:val="de-DE"/>
        </w:rPr>
      </w:pPr>
    </w:p>
    <w:p w14:paraId="668E50E2" w14:textId="77777777" w:rsidR="002E20BA" w:rsidRPr="004676F5" w:rsidRDefault="002E20BA" w:rsidP="003E6C61">
      <w:pPr>
        <w:ind w:firstLine="708"/>
        <w:jc w:val="both"/>
        <w:rPr>
          <w:lang w:val="de-DE"/>
        </w:rPr>
      </w:pPr>
    </w:p>
    <w:p w14:paraId="7CC1DB1E" w14:textId="0A8E142D" w:rsidR="003E6C61" w:rsidRPr="004676F5" w:rsidRDefault="00BE0A56" w:rsidP="003E6C61">
      <w:pPr>
        <w:ind w:firstLine="708"/>
        <w:jc w:val="both"/>
        <w:rPr>
          <w:lang w:val="de-DE"/>
        </w:rPr>
      </w:pPr>
      <w:r w:rsidRPr="004676F5">
        <w:rPr>
          <w:b/>
          <w:lang w:val="de-DE"/>
        </w:rPr>
        <w:t>Art. </w:t>
      </w:r>
      <w:r w:rsidR="003E6C61" w:rsidRPr="004676F5">
        <w:rPr>
          <w:b/>
          <w:lang w:val="de-DE"/>
        </w:rPr>
        <w:t>VII.147/30</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Ein Kreditvermittler darf weder mittelbar noch unmittelbar vom Verbraucher, der ihn um seine Vermittlung gebeten hat, eine Vergütung gleich welcher Art erhalten.</w:t>
      </w:r>
    </w:p>
    <w:p w14:paraId="3400191E" w14:textId="77777777" w:rsidR="003E6C61" w:rsidRPr="004676F5" w:rsidRDefault="003E6C61" w:rsidP="003E6C61">
      <w:pPr>
        <w:ind w:firstLine="708"/>
        <w:jc w:val="both"/>
        <w:rPr>
          <w:lang w:val="de-DE"/>
        </w:rPr>
      </w:pPr>
    </w:p>
    <w:p w14:paraId="02D05A43" w14:textId="6D293EC6"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Ein Kreditvermittler hat nur Anspruch auf Provision für Kreditverträge, die infolge seiner Vermittlung gültig und gemäß den Formvorschriften zustande gekommen sind.</w:t>
      </w:r>
    </w:p>
    <w:p w14:paraId="0E235EF6" w14:textId="77777777" w:rsidR="003E6C61" w:rsidRPr="004676F5" w:rsidRDefault="003E6C61" w:rsidP="003E6C61">
      <w:pPr>
        <w:ind w:firstLine="708"/>
        <w:jc w:val="both"/>
        <w:rPr>
          <w:lang w:val="de-DE"/>
        </w:rPr>
      </w:pPr>
    </w:p>
    <w:p w14:paraId="7DFEB3B2" w14:textId="346E0BB6"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Mindestens die Hälfte der Provision an Kreditvermittler und Personalmitglieder muss gemäß den vom König bestimmten Regeln unter Berücksichtigung von Art und Laufzeit des Vertrags in gestaffelten Zahlungen beglichen werden. Die Art und Weise, wie Kreditgeber ihr Personal und Kreditvermittler vergüten, und die Art und Weise, wie Kreditvermittler ihr Personal und ihre Vermittlungsvertreter vergüten, steht nicht der Einhaltung der in Artikel VII.130 Absatz 1 erwähnten Verpflichtung entgegen.</w:t>
      </w:r>
    </w:p>
    <w:p w14:paraId="2F40AA94" w14:textId="77777777" w:rsidR="003E6C61" w:rsidRPr="004676F5" w:rsidRDefault="003E6C61" w:rsidP="003E6C61">
      <w:pPr>
        <w:ind w:firstLine="708"/>
        <w:jc w:val="both"/>
        <w:rPr>
          <w:lang w:val="de-DE"/>
        </w:rPr>
      </w:pPr>
    </w:p>
    <w:p w14:paraId="5EDCAD6E" w14:textId="073878F8" w:rsidR="003E6C61"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Wird ein Kreditvertrag zur vorzeitigen vollständigen Ablösung eines anderen Kreditvertrags abgeschlossen, entsteht kein Anspruch auf Provision, wenn beide Verträge von demselben Kreditvermittler vermittelt worden sind.</w:t>
      </w:r>
    </w:p>
    <w:p w14:paraId="52F6419B" w14:textId="77777777" w:rsidR="003E6C61" w:rsidRPr="004676F5" w:rsidRDefault="003E6C61" w:rsidP="003E6C61">
      <w:pPr>
        <w:ind w:firstLine="708"/>
        <w:jc w:val="both"/>
        <w:rPr>
          <w:lang w:val="de-DE"/>
        </w:rPr>
      </w:pPr>
    </w:p>
    <w:p w14:paraId="4C3FBFAF" w14:textId="77777777" w:rsidR="003E6C61" w:rsidRPr="004676F5" w:rsidRDefault="003E6C61" w:rsidP="003E6C61">
      <w:pPr>
        <w:ind w:firstLine="708"/>
        <w:jc w:val="both"/>
        <w:rPr>
          <w:lang w:val="de-DE"/>
        </w:rPr>
      </w:pPr>
      <w:r w:rsidRPr="004676F5">
        <w:rPr>
          <w:lang w:val="de-DE"/>
        </w:rPr>
        <w:t>Vorliegende Bestimmung ist nicht anwendbar, wenn der effektive Jahreszins des neuen Kreditvertrags deutlich unter dem des früheren Kreditvertrags liegt.</w:t>
      </w:r>
    </w:p>
    <w:p w14:paraId="44A97763" w14:textId="77777777" w:rsidR="003E6C61" w:rsidRPr="004676F5" w:rsidRDefault="003E6C61" w:rsidP="003E6C61">
      <w:pPr>
        <w:ind w:firstLine="708"/>
        <w:jc w:val="both"/>
        <w:rPr>
          <w:lang w:val="de-DE"/>
        </w:rPr>
      </w:pPr>
    </w:p>
    <w:p w14:paraId="3455F080" w14:textId="47A8ABF4" w:rsidR="003E6C61" w:rsidRPr="004676F5" w:rsidRDefault="003E6C61" w:rsidP="003E6C61">
      <w:pPr>
        <w:ind w:firstLine="708"/>
        <w:jc w:val="both"/>
        <w:rPr>
          <w:lang w:val="de-DE"/>
        </w:rPr>
      </w:pPr>
      <w:r w:rsidRPr="004676F5">
        <w:rPr>
          <w:lang w:val="de-DE"/>
        </w:rPr>
        <w:t>§ 5 </w:t>
      </w:r>
      <w:r w:rsidR="005B7A5C" w:rsidRPr="004676F5">
        <w:rPr>
          <w:lang w:val="de-DE"/>
        </w:rPr>
        <w:t>- </w:t>
      </w:r>
      <w:r w:rsidRPr="004676F5">
        <w:rPr>
          <w:lang w:val="de-DE"/>
        </w:rPr>
        <w:t>Kreditgeber handeln bei der Gestaltung und Anwendung der Vergütungspolitik für das für die Kreditwürdigkeitsprüfung zuständige Personal nach den folgenden Grundsätzen in einer Weise und einem Ausmaß, die/das ihrer Größe, ihrer internen Organisation und Art, Umfang und Komplexität ihrer Tätigkeiten entspricht:</w:t>
      </w:r>
    </w:p>
    <w:p w14:paraId="5FF828AD" w14:textId="77777777" w:rsidR="003E6C61" w:rsidRPr="004676F5" w:rsidRDefault="003E6C61" w:rsidP="003E6C61">
      <w:pPr>
        <w:ind w:firstLine="708"/>
        <w:jc w:val="both"/>
        <w:rPr>
          <w:lang w:val="de-DE"/>
        </w:rPr>
      </w:pPr>
    </w:p>
    <w:p w14:paraId="4E3D6E4E" w14:textId="77777777" w:rsidR="003E6C61" w:rsidRPr="004676F5" w:rsidRDefault="003E6C61" w:rsidP="003E6C61">
      <w:pPr>
        <w:ind w:firstLine="708"/>
        <w:jc w:val="both"/>
        <w:rPr>
          <w:lang w:val="de-DE"/>
        </w:rPr>
      </w:pPr>
      <w:r w:rsidRPr="004676F5">
        <w:rPr>
          <w:lang w:val="de-DE"/>
        </w:rPr>
        <w:t>1. Die Vergütungspolitik ist mit einem soliden und wirksamen Risikomanagement vereinbar und diesem förderlich und ermutigt nicht zur Übernahme von Risiken, die über das von dem Kreditgeber tolerierte Maß hinausgehen.</w:t>
      </w:r>
    </w:p>
    <w:p w14:paraId="25BD9109" w14:textId="77777777" w:rsidR="003E6C61" w:rsidRPr="004676F5" w:rsidRDefault="003E6C61" w:rsidP="003E6C61">
      <w:pPr>
        <w:ind w:firstLine="708"/>
        <w:jc w:val="both"/>
        <w:rPr>
          <w:lang w:val="de-DE"/>
        </w:rPr>
      </w:pPr>
    </w:p>
    <w:p w14:paraId="7471D2EB" w14:textId="77777777" w:rsidR="003E6C61" w:rsidRPr="004676F5" w:rsidRDefault="003E6C61" w:rsidP="003E6C61">
      <w:pPr>
        <w:ind w:firstLine="708"/>
        <w:jc w:val="both"/>
        <w:rPr>
          <w:lang w:val="de-DE"/>
        </w:rPr>
      </w:pPr>
      <w:r w:rsidRPr="004676F5">
        <w:rPr>
          <w:lang w:val="de-DE"/>
        </w:rPr>
        <w:t>2. Die Vergütungspolitik ist an der Geschäftsstrategie, den Zielen, Werten und langfristigen Interessen des Kreditgebers ausgerichtet und beinhaltet Maßnahmen zur Vermeidung von Interessenkonflikten, wobei insbesondere vorzusehen ist, dass die Vergütung nicht von der Zahl oder dem Anteil der genehmigten Anträge abhängt.</w:t>
      </w:r>
    </w:p>
    <w:p w14:paraId="4DB57A9B" w14:textId="77777777" w:rsidR="003E6C61" w:rsidRPr="004676F5" w:rsidRDefault="003E6C61" w:rsidP="003E6C61">
      <w:pPr>
        <w:ind w:firstLine="708"/>
        <w:jc w:val="both"/>
        <w:rPr>
          <w:lang w:val="de-DE"/>
        </w:rPr>
      </w:pPr>
    </w:p>
    <w:p w14:paraId="462D6240" w14:textId="2DDB639E" w:rsidR="003E6C61" w:rsidRPr="004676F5" w:rsidRDefault="003E6C61" w:rsidP="003E6C61">
      <w:pPr>
        <w:ind w:firstLine="708"/>
        <w:jc w:val="both"/>
        <w:rPr>
          <w:spacing w:val="-4"/>
          <w:lang w:val="de-DE"/>
        </w:rPr>
      </w:pPr>
      <w:r w:rsidRPr="004676F5">
        <w:rPr>
          <w:spacing w:val="-4"/>
          <w:lang w:val="de-DE"/>
        </w:rPr>
        <w:t>§ 6 </w:t>
      </w:r>
      <w:r w:rsidR="005B7A5C" w:rsidRPr="004676F5">
        <w:rPr>
          <w:spacing w:val="-4"/>
          <w:lang w:val="de-DE"/>
        </w:rPr>
        <w:t>- </w:t>
      </w:r>
      <w:r w:rsidRPr="004676F5">
        <w:rPr>
          <w:spacing w:val="-4"/>
          <w:lang w:val="de-DE"/>
        </w:rPr>
        <w:t>Bei Kreditgebern oder Kreditvermittlern, die Beratungsdienstleistungen erbringen, beein</w:t>
      </w:r>
      <w:r w:rsidR="001F370C" w:rsidRPr="004676F5">
        <w:rPr>
          <w:spacing w:val="-4"/>
          <w:lang w:val="de-DE"/>
        </w:rPr>
        <w:softHyphen/>
      </w:r>
      <w:r w:rsidRPr="004676F5">
        <w:rPr>
          <w:spacing w:val="-4"/>
          <w:lang w:val="de-DE"/>
        </w:rPr>
        <w:t xml:space="preserve">trächtigt die Struktur der Vergütung des damit betrauten Personals nicht dessen Fähigkeit, im besten Interesse des Verbrauchers zu handeln, und ist sie insbesondere nicht an Absatzziele gekoppelt. </w:t>
      </w:r>
    </w:p>
    <w:p w14:paraId="304F4C51" w14:textId="5375E4EB" w:rsidR="00AB0E03" w:rsidRDefault="00AB0E03">
      <w:pPr>
        <w:rPr>
          <w:i/>
          <w:lang w:val="de-DE"/>
        </w:rPr>
      </w:pPr>
    </w:p>
    <w:p w14:paraId="4B373750" w14:textId="77777777" w:rsidR="00DE0629" w:rsidRPr="004676F5" w:rsidRDefault="00DE0629">
      <w:pPr>
        <w:rPr>
          <w:i/>
          <w:lang w:val="de-DE"/>
        </w:rPr>
      </w:pPr>
    </w:p>
    <w:p w14:paraId="7AAF9FCC" w14:textId="3A74B38E" w:rsidR="003E6C61" w:rsidRPr="004676F5" w:rsidRDefault="003E6C61" w:rsidP="003E6C61">
      <w:pPr>
        <w:jc w:val="center"/>
        <w:rPr>
          <w:lang w:val="de-DE"/>
        </w:rPr>
      </w:pPr>
      <w:r w:rsidRPr="004676F5">
        <w:rPr>
          <w:i/>
          <w:lang w:val="de-DE"/>
        </w:rPr>
        <w:t>Abschnitt 12 </w:t>
      </w:r>
      <w:r w:rsidR="005B7A5C" w:rsidRPr="004676F5">
        <w:rPr>
          <w:i/>
          <w:lang w:val="de-DE"/>
        </w:rPr>
        <w:t>- </w:t>
      </w:r>
      <w:r w:rsidRPr="004676F5">
        <w:rPr>
          <w:lang w:val="de-DE"/>
        </w:rPr>
        <w:t>Schuldenvermittlung</w:t>
      </w:r>
    </w:p>
    <w:p w14:paraId="3E923E89" w14:textId="77777777" w:rsidR="003E6C61" w:rsidRPr="004676F5" w:rsidRDefault="003E6C61" w:rsidP="003E6C61">
      <w:pPr>
        <w:jc w:val="both"/>
        <w:rPr>
          <w:lang w:val="de-DE"/>
        </w:rPr>
      </w:pPr>
    </w:p>
    <w:p w14:paraId="0B75EE0E" w14:textId="77777777" w:rsidR="002E20BA" w:rsidRPr="004676F5" w:rsidRDefault="002E20BA" w:rsidP="003E6C61">
      <w:pPr>
        <w:ind w:firstLine="708"/>
        <w:jc w:val="both"/>
        <w:rPr>
          <w:lang w:val="de-DE"/>
        </w:rPr>
      </w:pPr>
    </w:p>
    <w:p w14:paraId="463A5239" w14:textId="22D767C5" w:rsidR="003E6C61" w:rsidRPr="004676F5" w:rsidRDefault="00BE0A56" w:rsidP="003E6C61">
      <w:pPr>
        <w:ind w:firstLine="708"/>
        <w:jc w:val="both"/>
        <w:rPr>
          <w:lang w:val="de-DE"/>
        </w:rPr>
      </w:pPr>
      <w:r w:rsidRPr="004676F5">
        <w:rPr>
          <w:b/>
          <w:lang w:val="de-DE"/>
        </w:rPr>
        <w:t>Art. </w:t>
      </w:r>
      <w:r w:rsidR="003E6C61" w:rsidRPr="004676F5">
        <w:rPr>
          <w:b/>
          <w:lang w:val="de-DE"/>
        </w:rPr>
        <w:t>VII.147/31</w:t>
      </w:r>
      <w:r w:rsidR="003E6C61" w:rsidRPr="004676F5">
        <w:rPr>
          <w:lang w:val="de-DE"/>
        </w:rPr>
        <w:t> </w:t>
      </w:r>
      <w:r w:rsidR="005B7A5C" w:rsidRPr="004676F5">
        <w:rPr>
          <w:lang w:val="de-DE"/>
        </w:rPr>
        <w:t>- </w:t>
      </w:r>
      <w:r w:rsidR="003E6C61" w:rsidRPr="004676F5">
        <w:rPr>
          <w:lang w:val="de-DE"/>
        </w:rPr>
        <w:t>Schuldenvermittlung ist verboten, außer:</w:t>
      </w:r>
    </w:p>
    <w:p w14:paraId="467124F5" w14:textId="77777777" w:rsidR="003E6C61" w:rsidRPr="004676F5" w:rsidRDefault="003E6C61" w:rsidP="003E6C61">
      <w:pPr>
        <w:ind w:firstLine="708"/>
        <w:jc w:val="both"/>
        <w:rPr>
          <w:lang w:val="de-DE"/>
        </w:rPr>
      </w:pPr>
    </w:p>
    <w:p w14:paraId="7DA39315" w14:textId="77777777" w:rsidR="003E6C61" w:rsidRPr="004676F5" w:rsidRDefault="003E6C61" w:rsidP="003E6C61">
      <w:pPr>
        <w:ind w:firstLine="708"/>
        <w:jc w:val="both"/>
        <w:rPr>
          <w:lang w:val="de-DE"/>
        </w:rPr>
      </w:pPr>
      <w:r w:rsidRPr="004676F5">
        <w:rPr>
          <w:lang w:val="de-DE"/>
        </w:rPr>
        <w:t>1. wenn sie von einem Rechtsanwalt, einem ministeriellen Amtsträger oder einem gerichtlichen Mandatsträger in Ausübung seines Berufs oder Amtes ausgeführt wird,</w:t>
      </w:r>
    </w:p>
    <w:p w14:paraId="074E82CB" w14:textId="77777777" w:rsidR="003E6C61" w:rsidRPr="004676F5" w:rsidRDefault="003E6C61" w:rsidP="003E6C61">
      <w:pPr>
        <w:ind w:firstLine="708"/>
        <w:jc w:val="both"/>
        <w:rPr>
          <w:lang w:val="de-DE"/>
        </w:rPr>
      </w:pPr>
    </w:p>
    <w:p w14:paraId="69FC6A74" w14:textId="77777777" w:rsidR="003E6C61" w:rsidRPr="004676F5" w:rsidRDefault="003E6C61" w:rsidP="003E6C61">
      <w:pPr>
        <w:ind w:firstLine="708"/>
        <w:jc w:val="both"/>
        <w:rPr>
          <w:lang w:val="de-DE"/>
        </w:rPr>
      </w:pPr>
      <w:r w:rsidRPr="004676F5">
        <w:rPr>
          <w:lang w:val="de-DE"/>
        </w:rPr>
        <w:t>2. wenn sie von öffentlichen Einrichtungen oder von privaten Einrichtungen, die zu diesem Zweck von der zuständigen Behörde zugelassen sind, ausgeführt wird.</w:t>
      </w:r>
    </w:p>
    <w:p w14:paraId="138CD3A3" w14:textId="77777777" w:rsidR="003E6C61" w:rsidRPr="004676F5" w:rsidRDefault="003E6C61" w:rsidP="003E6C61">
      <w:pPr>
        <w:jc w:val="both"/>
        <w:rPr>
          <w:lang w:val="de-DE"/>
        </w:rPr>
      </w:pPr>
    </w:p>
    <w:p w14:paraId="114503A8" w14:textId="24DF5970" w:rsidR="00980046" w:rsidRPr="004676F5" w:rsidRDefault="00980046">
      <w:pPr>
        <w:rPr>
          <w:i/>
          <w:lang w:val="de-DE"/>
        </w:rPr>
      </w:pPr>
    </w:p>
    <w:p w14:paraId="3A5A905A" w14:textId="7D61597C" w:rsidR="003E6C61" w:rsidRPr="004676F5" w:rsidRDefault="003E6C61" w:rsidP="003E6C61">
      <w:pPr>
        <w:jc w:val="center"/>
        <w:rPr>
          <w:lang w:val="de-DE"/>
        </w:rPr>
      </w:pPr>
      <w:r w:rsidRPr="004676F5">
        <w:rPr>
          <w:i/>
          <w:lang w:val="de-DE"/>
        </w:rPr>
        <w:t>Abschnitt 13 </w:t>
      </w:r>
      <w:r w:rsidR="005B7A5C" w:rsidRPr="004676F5">
        <w:rPr>
          <w:lang w:val="de-DE"/>
        </w:rPr>
        <w:t>- </w:t>
      </w:r>
      <w:r w:rsidRPr="004676F5">
        <w:rPr>
          <w:lang w:val="de-DE"/>
        </w:rPr>
        <w:t>Verarbeitung personenbezogener Daten</w:t>
      </w:r>
    </w:p>
    <w:p w14:paraId="3F60941A" w14:textId="77777777" w:rsidR="003E6C61" w:rsidRPr="004676F5" w:rsidRDefault="003E6C61" w:rsidP="003E6C61">
      <w:pPr>
        <w:jc w:val="center"/>
        <w:rPr>
          <w:lang w:val="de-DE"/>
        </w:rPr>
      </w:pPr>
    </w:p>
    <w:p w14:paraId="771E8741" w14:textId="77777777" w:rsidR="002E20BA" w:rsidRPr="004676F5" w:rsidRDefault="002E20BA" w:rsidP="003E6C61">
      <w:pPr>
        <w:jc w:val="center"/>
        <w:rPr>
          <w:lang w:val="de-DE"/>
        </w:rPr>
      </w:pPr>
    </w:p>
    <w:p w14:paraId="6937B256" w14:textId="5E979690" w:rsidR="003E6C61" w:rsidRPr="004676F5" w:rsidRDefault="003E6C61" w:rsidP="003E6C61">
      <w:pPr>
        <w:jc w:val="center"/>
        <w:rPr>
          <w:lang w:val="de-DE"/>
        </w:rPr>
      </w:pPr>
      <w:r w:rsidRPr="004676F5">
        <w:rPr>
          <w:lang w:val="de-DE"/>
        </w:rPr>
        <w:t xml:space="preserve">Unterabschnitt 1 </w:t>
      </w:r>
      <w:r w:rsidR="005B7A5C" w:rsidRPr="004676F5">
        <w:rPr>
          <w:lang w:val="de-DE"/>
        </w:rPr>
        <w:t>- </w:t>
      </w:r>
      <w:r w:rsidRPr="004676F5">
        <w:rPr>
          <w:lang w:val="de-DE"/>
        </w:rPr>
        <w:t>Übermittlung personenbezogener Daten</w:t>
      </w:r>
    </w:p>
    <w:p w14:paraId="18C17279" w14:textId="77777777" w:rsidR="003E6C61" w:rsidRPr="004676F5" w:rsidRDefault="003E6C61" w:rsidP="003E6C61">
      <w:pPr>
        <w:jc w:val="both"/>
        <w:rPr>
          <w:lang w:val="de-DE"/>
        </w:rPr>
      </w:pPr>
    </w:p>
    <w:p w14:paraId="50514EA4" w14:textId="77777777" w:rsidR="002E20BA" w:rsidRPr="004676F5" w:rsidRDefault="002E20BA" w:rsidP="003E6C61">
      <w:pPr>
        <w:jc w:val="both"/>
        <w:rPr>
          <w:lang w:val="de-DE"/>
        </w:rPr>
      </w:pPr>
    </w:p>
    <w:p w14:paraId="5A42DCBE" w14:textId="2CCDB8C8" w:rsidR="003E6C61" w:rsidRPr="004676F5" w:rsidRDefault="00BE0A56" w:rsidP="003E6C61">
      <w:pPr>
        <w:ind w:firstLine="708"/>
        <w:jc w:val="both"/>
        <w:rPr>
          <w:lang w:val="de-DE"/>
        </w:rPr>
      </w:pPr>
      <w:r w:rsidRPr="004676F5">
        <w:rPr>
          <w:b/>
          <w:lang w:val="de-DE"/>
        </w:rPr>
        <w:t>Art. </w:t>
      </w:r>
      <w:r w:rsidR="003E6C61" w:rsidRPr="004676F5">
        <w:rPr>
          <w:b/>
          <w:lang w:val="de-DE"/>
        </w:rPr>
        <w:t>VII.147/32</w:t>
      </w:r>
      <w:r w:rsidR="003E6C61" w:rsidRPr="004676F5">
        <w:rPr>
          <w:lang w:val="de-DE"/>
        </w:rPr>
        <w:t> </w:t>
      </w:r>
      <w:r w:rsidR="005B7A5C" w:rsidRPr="004676F5">
        <w:rPr>
          <w:lang w:val="de-DE"/>
        </w:rPr>
        <w:t>- </w:t>
      </w:r>
      <w:r w:rsidR="003E6C61" w:rsidRPr="004676F5">
        <w:rPr>
          <w:lang w:val="de-DE"/>
        </w:rPr>
        <w:t xml:space="preserve">Außer bei Abtretung oder Forderungsübergang gemäß den Artikeln VII.147/17 und VII.147/18 dürfen personenbezogene Daten des Verbrauchers oder der Person, die eine Sicherheit leistet, die im Rahmen von Abschluss oder Ausführung eines Kreditvertrags vom Kreditgeber verarbeitet werden, Dritten nur unter den </w:t>
      </w:r>
      <w:r w:rsidR="002D304F" w:rsidRPr="004676F5">
        <w:rPr>
          <w:lang w:val="de-DE"/>
        </w:rPr>
        <w:t>[</w:t>
      </w:r>
      <w:r w:rsidR="003E6C61" w:rsidRPr="004676F5">
        <w:rPr>
          <w:lang w:val="de-DE"/>
        </w:rPr>
        <w:t xml:space="preserve">in vorliegendem </w:t>
      </w:r>
      <w:r w:rsidR="002D304F" w:rsidRPr="004676F5">
        <w:rPr>
          <w:lang w:val="de-DE"/>
        </w:rPr>
        <w:t>Untera</w:t>
      </w:r>
      <w:r w:rsidR="003E6C61" w:rsidRPr="004676F5">
        <w:rPr>
          <w:lang w:val="de-DE"/>
        </w:rPr>
        <w:t>bschnitt</w:t>
      </w:r>
      <w:r w:rsidR="002D304F" w:rsidRPr="004676F5">
        <w:rPr>
          <w:lang w:val="de-DE"/>
        </w:rPr>
        <w:t>]</w:t>
      </w:r>
      <w:r w:rsidR="003E6C61" w:rsidRPr="004676F5">
        <w:rPr>
          <w:lang w:val="de-DE"/>
        </w:rPr>
        <w:t xml:space="preserve"> aufgezählten kumulativen Bedingungen übermittelt werden.</w:t>
      </w:r>
    </w:p>
    <w:p w14:paraId="521B45D4" w14:textId="77777777" w:rsidR="002D304F" w:rsidRPr="004676F5" w:rsidRDefault="002D304F" w:rsidP="003E6C61">
      <w:pPr>
        <w:ind w:firstLine="708"/>
        <w:jc w:val="both"/>
        <w:rPr>
          <w:lang w:val="de-DE"/>
        </w:rPr>
      </w:pPr>
    </w:p>
    <w:p w14:paraId="7B52C9ED" w14:textId="2168E6A3" w:rsidR="002D304F" w:rsidRPr="004676F5" w:rsidRDefault="002D304F" w:rsidP="002D304F">
      <w:pPr>
        <w:jc w:val="both"/>
        <w:rPr>
          <w:rFonts w:ascii="Times New Roman Italique" w:hAnsi="Times New Roman Italique"/>
          <w:i/>
          <w:spacing w:val="-2"/>
          <w:lang w:val="de-DE"/>
        </w:rPr>
      </w:pPr>
      <w:r w:rsidRPr="004676F5">
        <w:rPr>
          <w:rFonts w:ascii="Times New Roman Italique" w:hAnsi="Times New Roman Italique"/>
          <w:i/>
          <w:spacing w:val="-2"/>
          <w:lang w:val="de-DE"/>
        </w:rPr>
        <w:t>[</w:t>
      </w:r>
      <w:r w:rsidR="00BE0A56" w:rsidRPr="004676F5">
        <w:rPr>
          <w:rFonts w:ascii="Times New Roman Italique" w:hAnsi="Times New Roman Italique"/>
          <w:i/>
          <w:spacing w:val="-2"/>
          <w:lang w:val="de-DE"/>
        </w:rPr>
        <w:t>Art. </w:t>
      </w:r>
      <w:r w:rsidRPr="004676F5">
        <w:rPr>
          <w:rFonts w:ascii="Times New Roman Italique" w:hAnsi="Times New Roman Italique"/>
          <w:i/>
          <w:spacing w:val="-2"/>
          <w:lang w:val="de-DE"/>
        </w:rPr>
        <w:t xml:space="preserve">VII.147/32 abgeändert durch </w:t>
      </w:r>
      <w:r w:rsidR="00BE0A56" w:rsidRPr="004676F5">
        <w:rPr>
          <w:rFonts w:ascii="Times New Roman Italique" w:hAnsi="Times New Roman Italique"/>
          <w:i/>
          <w:spacing w:val="-2"/>
          <w:lang w:val="de-DE"/>
        </w:rPr>
        <w:t>Art. </w:t>
      </w:r>
      <w:r w:rsidRPr="004676F5">
        <w:rPr>
          <w:rFonts w:ascii="Times New Roman Italique" w:hAnsi="Times New Roman Italique"/>
          <w:i/>
          <w:spacing w:val="-2"/>
          <w:lang w:val="de-DE"/>
        </w:rPr>
        <w:t>13 des G. vom 18. April 2017 (B.S. vom 24. April 2017)]</w:t>
      </w:r>
    </w:p>
    <w:p w14:paraId="3219893A" w14:textId="77777777" w:rsidR="003E6C61" w:rsidRPr="004676F5" w:rsidRDefault="003E6C61" w:rsidP="003E6C61">
      <w:pPr>
        <w:rPr>
          <w:lang w:val="de-DE"/>
        </w:rPr>
      </w:pPr>
    </w:p>
    <w:p w14:paraId="18B240ED" w14:textId="77777777" w:rsidR="002E20BA" w:rsidRPr="004676F5" w:rsidRDefault="002E20BA" w:rsidP="003E6C61">
      <w:pPr>
        <w:rPr>
          <w:lang w:val="de-DE"/>
        </w:rPr>
      </w:pPr>
    </w:p>
    <w:p w14:paraId="0971892F" w14:textId="72FAAE9A" w:rsidR="003E6C61" w:rsidRPr="004676F5" w:rsidRDefault="00BE0A56" w:rsidP="003E6C61">
      <w:pPr>
        <w:ind w:firstLine="708"/>
        <w:jc w:val="both"/>
        <w:rPr>
          <w:lang w:val="de-DE"/>
        </w:rPr>
      </w:pPr>
      <w:r w:rsidRPr="004676F5">
        <w:rPr>
          <w:b/>
          <w:lang w:val="de-DE"/>
        </w:rPr>
        <w:t>Art. </w:t>
      </w:r>
      <w:r w:rsidR="003E6C61" w:rsidRPr="004676F5">
        <w:rPr>
          <w:b/>
          <w:lang w:val="de-DE"/>
        </w:rPr>
        <w:t>VII.147/33</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Personenbezogene Daten dürfen nur im Rahmen des folgenden doppelten Zwecks verarbeitet werden:</w:t>
      </w:r>
    </w:p>
    <w:p w14:paraId="63A895AE" w14:textId="77777777" w:rsidR="003E6C61" w:rsidRPr="004676F5" w:rsidRDefault="003E6C61" w:rsidP="003E6C61">
      <w:pPr>
        <w:ind w:firstLine="708"/>
        <w:jc w:val="both"/>
        <w:rPr>
          <w:lang w:val="de-DE"/>
        </w:rPr>
      </w:pPr>
    </w:p>
    <w:p w14:paraId="55832A99" w14:textId="77777777" w:rsidR="003E6C61" w:rsidRPr="004676F5" w:rsidRDefault="003E6C61" w:rsidP="003E6C61">
      <w:pPr>
        <w:ind w:firstLine="708"/>
        <w:jc w:val="both"/>
        <w:rPr>
          <w:lang w:val="de-DE"/>
        </w:rPr>
      </w:pPr>
      <w:r w:rsidRPr="004676F5">
        <w:rPr>
          <w:lang w:val="de-DE"/>
        </w:rPr>
        <w:t>1. im Hinblick auf die Beurteilung der finanziellen Lage und die Prüfung der Kreditwürdigkeit des Verbrauchers oder der Zahlungsfähigkeit der Person, die eine Sicherheit leistet,</w:t>
      </w:r>
    </w:p>
    <w:p w14:paraId="24060920" w14:textId="77777777" w:rsidR="003E6C61" w:rsidRPr="004676F5" w:rsidRDefault="003E6C61" w:rsidP="003E6C61">
      <w:pPr>
        <w:ind w:firstLine="708"/>
        <w:jc w:val="both"/>
        <w:rPr>
          <w:lang w:val="de-DE"/>
        </w:rPr>
      </w:pPr>
    </w:p>
    <w:p w14:paraId="1698C66D" w14:textId="77777777" w:rsidR="003E6C61" w:rsidRPr="004676F5" w:rsidRDefault="003E6C61" w:rsidP="003E6C61">
      <w:pPr>
        <w:ind w:firstLine="708"/>
        <w:jc w:val="both"/>
        <w:rPr>
          <w:lang w:val="de-DE"/>
        </w:rPr>
      </w:pPr>
      <w:r w:rsidRPr="004676F5">
        <w:rPr>
          <w:lang w:val="de-DE"/>
        </w:rPr>
        <w:t>2. im Rahmen der Gewährung oder Verwaltung von Krediten oder Zahlungsdiensten wie in vorliegendem Buch erwähnt, die das Privatvermögen einer natürlichen Person belasten können und deren Zwangsvollstreckung in das Privatvermögen dieser Person betrieben werden kann.</w:t>
      </w:r>
    </w:p>
    <w:p w14:paraId="7E01071B" w14:textId="77777777" w:rsidR="003E6C61" w:rsidRPr="004676F5" w:rsidRDefault="003E6C61" w:rsidP="003E6C61">
      <w:pPr>
        <w:ind w:firstLine="708"/>
        <w:jc w:val="both"/>
        <w:rPr>
          <w:lang w:val="de-DE"/>
        </w:rPr>
      </w:pPr>
    </w:p>
    <w:p w14:paraId="087A89E7" w14:textId="77777777" w:rsidR="003E6C61" w:rsidRPr="004676F5" w:rsidRDefault="003E6C61" w:rsidP="003E6C61">
      <w:pPr>
        <w:ind w:firstLine="708"/>
        <w:jc w:val="both"/>
        <w:rPr>
          <w:lang w:val="de-DE"/>
        </w:rPr>
      </w:pPr>
      <w:r w:rsidRPr="004676F5">
        <w:rPr>
          <w:lang w:val="de-DE"/>
        </w:rPr>
        <w:t>Keinesfalls dürfen personenbezogene Daten zu Zwecken der Kundenwerbung verwendet werden.</w:t>
      </w:r>
    </w:p>
    <w:p w14:paraId="60091664" w14:textId="77777777" w:rsidR="003E6C61" w:rsidRPr="004676F5" w:rsidRDefault="003E6C61" w:rsidP="003E6C61">
      <w:pPr>
        <w:ind w:firstLine="708"/>
        <w:jc w:val="both"/>
        <w:rPr>
          <w:lang w:val="de-DE"/>
        </w:rPr>
      </w:pPr>
    </w:p>
    <w:p w14:paraId="57ACF25D" w14:textId="7C54B239"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Gesammelte Daten müssen unter Berücksichtigung der Zwecke nach vorangehendem Paragraphen sachdienlich, angemessen und nicht übertrieben sein.</w:t>
      </w:r>
    </w:p>
    <w:p w14:paraId="20DAB32D" w14:textId="77777777" w:rsidR="003E6C61" w:rsidRPr="004676F5" w:rsidRDefault="003E6C61" w:rsidP="003E6C61">
      <w:pPr>
        <w:ind w:firstLine="708"/>
        <w:jc w:val="both"/>
        <w:rPr>
          <w:lang w:val="de-DE"/>
        </w:rPr>
      </w:pPr>
    </w:p>
    <w:p w14:paraId="01189394" w14:textId="77777777" w:rsidR="002E20BA" w:rsidRPr="004676F5" w:rsidRDefault="002E20BA" w:rsidP="003E6C61">
      <w:pPr>
        <w:ind w:firstLine="708"/>
        <w:jc w:val="both"/>
        <w:rPr>
          <w:lang w:val="de-DE"/>
        </w:rPr>
      </w:pPr>
    </w:p>
    <w:p w14:paraId="26E23A28" w14:textId="71B8BCB8" w:rsidR="003E6C61" w:rsidRPr="004676F5" w:rsidRDefault="00BE0A56" w:rsidP="003E6C61">
      <w:pPr>
        <w:ind w:firstLine="708"/>
        <w:jc w:val="both"/>
        <w:rPr>
          <w:lang w:val="de-DE"/>
        </w:rPr>
      </w:pPr>
      <w:r w:rsidRPr="004676F5">
        <w:rPr>
          <w:b/>
          <w:lang w:val="de-DE"/>
        </w:rPr>
        <w:t>Art. </w:t>
      </w:r>
      <w:r w:rsidR="003E6C61" w:rsidRPr="004676F5">
        <w:rPr>
          <w:b/>
          <w:lang w:val="de-DE"/>
        </w:rPr>
        <w:t>VII.147/34</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 xml:space="preserve">Ausschließlich Daten über Identität des Verbrauchers oder der Person, die eine Sicherheit leistet, Höhe und Laufzeit des Kredits, Fälligkeit der einzelnen Teilzahlungen, gegebenenfalls gewährte Zahlungserleichterungen, Zahlungsverzüge und Identität des Kreditgebers dürfen verarbeitet werden. Letztere Angabe darf außer im Falle von </w:t>
      </w:r>
      <w:r w:rsidR="003E6C61" w:rsidRPr="004676F5">
        <w:rPr>
          <w:lang w:val="de-DE"/>
        </w:rPr>
        <w:lastRenderedPageBreak/>
        <w:t>Zahlungsverzug ausschließlich dem für die Verarbeitung Verantwortlichen und dem Verbraucher mitgeteilt werden.</w:t>
      </w:r>
    </w:p>
    <w:p w14:paraId="4FDDDC82" w14:textId="77777777" w:rsidR="003E6C61" w:rsidRPr="004676F5" w:rsidRDefault="003E6C61" w:rsidP="003E6C61">
      <w:pPr>
        <w:ind w:firstLine="708"/>
        <w:jc w:val="both"/>
        <w:rPr>
          <w:lang w:val="de-DE"/>
        </w:rPr>
      </w:pPr>
    </w:p>
    <w:p w14:paraId="0D61539D" w14:textId="77777777" w:rsidR="003E6C61" w:rsidRPr="004676F5" w:rsidRDefault="003E6C61" w:rsidP="003E6C61">
      <w:pPr>
        <w:ind w:firstLine="708"/>
        <w:jc w:val="both"/>
        <w:rPr>
          <w:lang w:val="de-DE"/>
        </w:rPr>
      </w:pPr>
      <w:r w:rsidRPr="004676F5">
        <w:rPr>
          <w:lang w:val="de-DE"/>
        </w:rPr>
        <w:t>Der König kann durch einen im Ministerrat beratenen Erlass den Inhalt der in vorangehendem Absatz erwähnten Daten bestimmen.</w:t>
      </w:r>
    </w:p>
    <w:p w14:paraId="69D16AE0" w14:textId="77777777" w:rsidR="003E6C61" w:rsidRPr="004676F5" w:rsidRDefault="003E6C61" w:rsidP="003E6C61">
      <w:pPr>
        <w:ind w:firstLine="708"/>
        <w:jc w:val="both"/>
        <w:rPr>
          <w:lang w:val="de-DE"/>
        </w:rPr>
      </w:pPr>
    </w:p>
    <w:p w14:paraId="21FE0019" w14:textId="6EA98A36"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In Abweichung von § 1 Absatz 1 kann der König durch einen im Ministerrat beratenen Erlass:</w:t>
      </w:r>
    </w:p>
    <w:p w14:paraId="28568810" w14:textId="77777777" w:rsidR="003E6C61" w:rsidRPr="004676F5" w:rsidRDefault="003E6C61" w:rsidP="003E6C61">
      <w:pPr>
        <w:ind w:firstLine="708"/>
        <w:jc w:val="both"/>
        <w:rPr>
          <w:lang w:val="de-DE"/>
        </w:rPr>
      </w:pPr>
    </w:p>
    <w:p w14:paraId="1AAEA482" w14:textId="77777777" w:rsidR="003E6C61" w:rsidRPr="004676F5" w:rsidRDefault="003E6C61" w:rsidP="003E6C61">
      <w:pPr>
        <w:ind w:firstLine="708"/>
        <w:jc w:val="both"/>
        <w:rPr>
          <w:lang w:val="de-DE"/>
        </w:rPr>
      </w:pPr>
      <w:r w:rsidRPr="004676F5">
        <w:rPr>
          <w:lang w:val="de-DE"/>
        </w:rPr>
        <w:t>1. bestimmen, welche Kategorien strafrechtlicher Verurteilungen, die gegen den Verbraucher oder die Person, die eine Sicherheit leistet, ausgesprochen worden sind, verarbeitet werden dürfen, sofern diese vorab schriftlich darüber informiert worden sind,</w:t>
      </w:r>
    </w:p>
    <w:p w14:paraId="38E9C8C6" w14:textId="77777777" w:rsidR="003E6C61" w:rsidRPr="004676F5" w:rsidRDefault="003E6C61" w:rsidP="003E6C61">
      <w:pPr>
        <w:ind w:firstLine="708"/>
        <w:jc w:val="both"/>
        <w:rPr>
          <w:lang w:val="de-DE"/>
        </w:rPr>
      </w:pPr>
    </w:p>
    <w:p w14:paraId="7BC81A95" w14:textId="77777777" w:rsidR="003E6C61" w:rsidRPr="004676F5" w:rsidRDefault="003E6C61" w:rsidP="003E6C61">
      <w:pPr>
        <w:ind w:firstLine="708"/>
        <w:jc w:val="both"/>
        <w:rPr>
          <w:lang w:val="de-DE"/>
        </w:rPr>
      </w:pPr>
      <w:r w:rsidRPr="004676F5">
        <w:rPr>
          <w:lang w:val="de-DE"/>
        </w:rPr>
        <w:t>2. natürliche oder juristische Personen öffentlichen oder privaten Rechts bestimmen, die die in Nr. 1 erwähnten Daten verarbeiten dürfen,</w:t>
      </w:r>
    </w:p>
    <w:p w14:paraId="46B0D158" w14:textId="77777777" w:rsidR="003E6C61" w:rsidRPr="004676F5" w:rsidRDefault="003E6C61" w:rsidP="003E6C61">
      <w:pPr>
        <w:ind w:firstLine="708"/>
        <w:jc w:val="both"/>
        <w:rPr>
          <w:lang w:val="de-DE"/>
        </w:rPr>
      </w:pPr>
    </w:p>
    <w:p w14:paraId="085C09B2" w14:textId="77777777" w:rsidR="003E6C61" w:rsidRPr="004676F5" w:rsidRDefault="003E6C61" w:rsidP="003E6C61">
      <w:pPr>
        <w:ind w:firstLine="708"/>
        <w:jc w:val="both"/>
        <w:rPr>
          <w:lang w:val="de-DE"/>
        </w:rPr>
      </w:pPr>
      <w:r w:rsidRPr="004676F5">
        <w:rPr>
          <w:lang w:val="de-DE"/>
        </w:rPr>
        <w:t>3. Sonderbedingungen und Modalitäten für diese Verarbeitung festlegen.</w:t>
      </w:r>
    </w:p>
    <w:p w14:paraId="4DEC9448" w14:textId="77777777" w:rsidR="003E6C61" w:rsidRPr="004676F5" w:rsidRDefault="003E6C61" w:rsidP="003E6C61">
      <w:pPr>
        <w:ind w:firstLine="708"/>
        <w:jc w:val="both"/>
        <w:rPr>
          <w:lang w:val="de-DE"/>
        </w:rPr>
      </w:pPr>
    </w:p>
    <w:p w14:paraId="080164DA" w14:textId="77777777" w:rsidR="002E20BA" w:rsidRPr="004676F5" w:rsidRDefault="002E20BA" w:rsidP="003E6C61">
      <w:pPr>
        <w:ind w:firstLine="708"/>
        <w:jc w:val="both"/>
        <w:rPr>
          <w:lang w:val="de-DE"/>
        </w:rPr>
      </w:pPr>
    </w:p>
    <w:p w14:paraId="3886B8BE" w14:textId="740E6868" w:rsidR="003E6C61" w:rsidRPr="004676F5" w:rsidRDefault="00BE0A56" w:rsidP="002E20BA">
      <w:pPr>
        <w:ind w:firstLine="708"/>
        <w:jc w:val="both"/>
        <w:rPr>
          <w:lang w:val="de-DE"/>
        </w:rPr>
      </w:pPr>
      <w:r w:rsidRPr="004676F5">
        <w:rPr>
          <w:b/>
          <w:lang w:val="de-DE"/>
        </w:rPr>
        <w:t>Art. </w:t>
      </w:r>
      <w:r w:rsidR="003E6C61" w:rsidRPr="004676F5">
        <w:rPr>
          <w:b/>
          <w:lang w:val="de-DE"/>
        </w:rPr>
        <w:t>VII.147/35</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Personenbezogene Daten dürfen nur folgenden Personen mitge</w:t>
      </w:r>
      <w:r w:rsidR="003E6C61" w:rsidRPr="004676F5">
        <w:rPr>
          <w:lang w:val="de-DE"/>
        </w:rPr>
        <w:softHyphen/>
        <w:t>teilt werden:</w:t>
      </w:r>
    </w:p>
    <w:p w14:paraId="236A17AF" w14:textId="77777777" w:rsidR="003E6C61" w:rsidRPr="004676F5" w:rsidRDefault="003E6C61" w:rsidP="003E6C61">
      <w:pPr>
        <w:ind w:firstLine="708"/>
        <w:jc w:val="both"/>
        <w:rPr>
          <w:lang w:val="de-DE"/>
        </w:rPr>
      </w:pPr>
    </w:p>
    <w:p w14:paraId="381B5311" w14:textId="77777777" w:rsidR="003E6C61" w:rsidRPr="004676F5" w:rsidRDefault="003E6C61" w:rsidP="003E6C61">
      <w:pPr>
        <w:ind w:firstLine="708"/>
        <w:jc w:val="both"/>
        <w:rPr>
          <w:lang w:val="de-DE"/>
        </w:rPr>
      </w:pPr>
      <w:r w:rsidRPr="004676F5">
        <w:rPr>
          <w:lang w:val="de-DE"/>
        </w:rPr>
        <w:t>1. zugelassenen beziehungsweise registrierten Kreditgebern,</w:t>
      </w:r>
    </w:p>
    <w:p w14:paraId="0B4E7963" w14:textId="77777777" w:rsidR="003E6C61" w:rsidRPr="004676F5" w:rsidRDefault="003E6C61" w:rsidP="003E6C61">
      <w:pPr>
        <w:ind w:firstLine="708"/>
        <w:jc w:val="both"/>
        <w:rPr>
          <w:lang w:val="de-DE"/>
        </w:rPr>
      </w:pPr>
    </w:p>
    <w:p w14:paraId="5C938602" w14:textId="77777777" w:rsidR="003E6C61" w:rsidRPr="004676F5" w:rsidRDefault="003E6C61" w:rsidP="003E6C61">
      <w:pPr>
        <w:ind w:firstLine="708"/>
        <w:jc w:val="both"/>
        <w:rPr>
          <w:lang w:val="de-DE"/>
        </w:rPr>
      </w:pPr>
      <w:r w:rsidRPr="004676F5">
        <w:rPr>
          <w:lang w:val="de-DE"/>
        </w:rPr>
        <w:t>2. Personen, denen der König in Anwendung des Gesetzes vom 9. Juli 1975 über die Kontrolle der Versicherungsunternehmen erlaubt hat, Kreditversicherungsgeschäfte auszu</w:t>
      </w:r>
      <w:r w:rsidRPr="004676F5">
        <w:rPr>
          <w:lang w:val="de-DE"/>
        </w:rPr>
        <w:softHyphen/>
        <w:t>führen,</w:t>
      </w:r>
    </w:p>
    <w:p w14:paraId="2288D9AA" w14:textId="77777777" w:rsidR="003E6C61" w:rsidRPr="004676F5" w:rsidRDefault="003E6C61" w:rsidP="003E6C61">
      <w:pPr>
        <w:ind w:firstLine="708"/>
        <w:jc w:val="both"/>
        <w:rPr>
          <w:lang w:val="de-DE"/>
        </w:rPr>
      </w:pPr>
    </w:p>
    <w:p w14:paraId="7713078D" w14:textId="77777777" w:rsidR="003E6C61" w:rsidRPr="004676F5" w:rsidRDefault="003E6C61" w:rsidP="003E6C61">
      <w:pPr>
        <w:ind w:firstLine="708"/>
        <w:jc w:val="both"/>
        <w:rPr>
          <w:lang w:val="de-DE"/>
        </w:rPr>
      </w:pPr>
      <w:r w:rsidRPr="004676F5">
        <w:rPr>
          <w:lang w:val="de-DE"/>
        </w:rPr>
        <w:t>3. der FSMA und der Bank im Rahmen ihrer Aufträge,</w:t>
      </w:r>
    </w:p>
    <w:p w14:paraId="3015A04A" w14:textId="77777777" w:rsidR="003E6C61" w:rsidRPr="004676F5" w:rsidRDefault="003E6C61" w:rsidP="003E6C61">
      <w:pPr>
        <w:ind w:firstLine="708"/>
        <w:jc w:val="both"/>
        <w:rPr>
          <w:lang w:val="de-DE"/>
        </w:rPr>
      </w:pPr>
    </w:p>
    <w:p w14:paraId="48B2F84C" w14:textId="77777777" w:rsidR="003E6C61" w:rsidRPr="004676F5" w:rsidRDefault="003E6C61" w:rsidP="003E6C61">
      <w:pPr>
        <w:ind w:firstLine="708"/>
        <w:jc w:val="both"/>
        <w:rPr>
          <w:lang w:val="de-DE"/>
        </w:rPr>
      </w:pPr>
      <w:r w:rsidRPr="004676F5">
        <w:rPr>
          <w:lang w:val="de-DE"/>
        </w:rPr>
        <w:t>4. Zahlungsdienstleistern, sofern diese Personen ihre Daten über Zahlungsdienste auf der Grundlage der Gegenseitigkeit mitteilen,</w:t>
      </w:r>
    </w:p>
    <w:p w14:paraId="14EC450B" w14:textId="77777777" w:rsidR="003E6C61" w:rsidRPr="004676F5" w:rsidRDefault="003E6C61" w:rsidP="003E6C61">
      <w:pPr>
        <w:rPr>
          <w:lang w:val="de-DE"/>
        </w:rPr>
      </w:pPr>
    </w:p>
    <w:p w14:paraId="47216AC5" w14:textId="77777777" w:rsidR="003E6C61" w:rsidRPr="004676F5" w:rsidRDefault="003E6C61" w:rsidP="003E6C61">
      <w:pPr>
        <w:ind w:firstLine="708"/>
        <w:jc w:val="both"/>
        <w:rPr>
          <w:lang w:val="de-DE"/>
        </w:rPr>
      </w:pPr>
      <w:r w:rsidRPr="004676F5">
        <w:rPr>
          <w:lang w:val="de-DE"/>
        </w:rPr>
        <w:t>5. in den Nummern 1, 2 und 4 des vorliegenden Absatzes erwähnten Vereinigungen von Personen oder Einrichtungen, die zu diesem Zweck vom Minister oder von seinem Beauftragten unter folgenden Bedingungen zugelassen worden sind:</w:t>
      </w:r>
    </w:p>
    <w:p w14:paraId="6809F51C" w14:textId="77777777" w:rsidR="003E6C61" w:rsidRPr="004676F5" w:rsidRDefault="003E6C61" w:rsidP="003E6C61">
      <w:pPr>
        <w:ind w:firstLine="708"/>
        <w:jc w:val="both"/>
        <w:rPr>
          <w:lang w:val="de-DE"/>
        </w:rPr>
      </w:pPr>
    </w:p>
    <w:p w14:paraId="610D2270" w14:textId="77777777" w:rsidR="003E6C61" w:rsidRPr="004676F5" w:rsidRDefault="003E6C61" w:rsidP="003E6C61">
      <w:pPr>
        <w:ind w:firstLine="708"/>
        <w:jc w:val="both"/>
        <w:rPr>
          <w:lang w:val="de-DE"/>
        </w:rPr>
      </w:pPr>
      <w:r w:rsidRPr="004676F5">
        <w:rPr>
          <w:i/>
          <w:lang w:val="de-DE"/>
        </w:rPr>
        <w:t>a)</w:t>
      </w:r>
      <w:r w:rsidRPr="004676F5">
        <w:rPr>
          <w:lang w:val="de-DE"/>
        </w:rPr>
        <w:t> Rechtspersönlichkeit besitzen,</w:t>
      </w:r>
    </w:p>
    <w:p w14:paraId="4FEF18C6" w14:textId="77777777" w:rsidR="003E6C61" w:rsidRPr="004676F5" w:rsidRDefault="003E6C61" w:rsidP="003E6C61">
      <w:pPr>
        <w:ind w:firstLine="708"/>
        <w:jc w:val="both"/>
        <w:rPr>
          <w:lang w:val="de-DE"/>
        </w:rPr>
      </w:pPr>
    </w:p>
    <w:p w14:paraId="229647F6" w14:textId="77777777" w:rsidR="003E6C61" w:rsidRPr="004676F5" w:rsidRDefault="003E6C61" w:rsidP="003E6C61">
      <w:pPr>
        <w:ind w:firstLine="708"/>
        <w:jc w:val="both"/>
        <w:rPr>
          <w:lang w:val="de-DE"/>
        </w:rPr>
      </w:pPr>
      <w:r w:rsidRPr="004676F5">
        <w:rPr>
          <w:i/>
          <w:lang w:val="de-DE"/>
        </w:rPr>
        <w:t>b)</w:t>
      </w:r>
      <w:r w:rsidRPr="004676F5">
        <w:rPr>
          <w:lang w:val="de-DE"/>
        </w:rPr>
        <w:t> ohne jegliche Gewinnerzielungsabsicht und nur im Hinblick auf den Schutz der beruflichen Interessen ihrer Mitglieder errichtet worden sein,</w:t>
      </w:r>
    </w:p>
    <w:p w14:paraId="7A536EA6" w14:textId="77777777" w:rsidR="003E6C61" w:rsidRPr="004676F5" w:rsidRDefault="003E6C61" w:rsidP="003E6C61">
      <w:pPr>
        <w:ind w:firstLine="708"/>
        <w:jc w:val="both"/>
        <w:rPr>
          <w:lang w:val="de-DE"/>
        </w:rPr>
      </w:pPr>
    </w:p>
    <w:p w14:paraId="6DC8BEAD" w14:textId="77777777" w:rsidR="003E6C61" w:rsidRPr="004676F5" w:rsidRDefault="003E6C61" w:rsidP="003E6C61">
      <w:pPr>
        <w:ind w:firstLine="708"/>
        <w:jc w:val="both"/>
        <w:rPr>
          <w:lang w:val="de-DE"/>
        </w:rPr>
      </w:pPr>
      <w:r w:rsidRPr="004676F5">
        <w:rPr>
          <w:i/>
          <w:lang w:val="de-DE"/>
        </w:rPr>
        <w:t>c)</w:t>
      </w:r>
      <w:r w:rsidRPr="004676F5">
        <w:rPr>
          <w:lang w:val="de-DE"/>
        </w:rPr>
        <w:t> sich aus Mitgliedern zusammensetzen, die mit keiner Verwaltungssanktion oder strafrechtlichen Sanktion belegt worden sind.</w:t>
      </w:r>
    </w:p>
    <w:p w14:paraId="4947F419" w14:textId="77777777" w:rsidR="003E6C61" w:rsidRPr="004676F5" w:rsidRDefault="003E6C61" w:rsidP="003E6C61">
      <w:pPr>
        <w:ind w:firstLine="708"/>
        <w:jc w:val="both"/>
        <w:rPr>
          <w:lang w:val="de-DE"/>
        </w:rPr>
      </w:pPr>
    </w:p>
    <w:p w14:paraId="686C49A8" w14:textId="77777777" w:rsidR="003E6C61" w:rsidRPr="004676F5" w:rsidRDefault="003E6C61" w:rsidP="003E6C61">
      <w:pPr>
        <w:ind w:firstLine="708"/>
        <w:jc w:val="both"/>
        <w:rPr>
          <w:lang w:val="de-DE"/>
        </w:rPr>
      </w:pPr>
      <w:r w:rsidRPr="004676F5">
        <w:rPr>
          <w:lang w:val="de-DE"/>
        </w:rPr>
        <w:t>Der Minister oder sein Beauftragter entscheidet über Zulassungsanträge innerhalb zweier Monate ab Empfang aller erforderlichen Unterlagen und Angaben.</w:t>
      </w:r>
    </w:p>
    <w:p w14:paraId="1D52A56C" w14:textId="77777777" w:rsidR="003E6C61" w:rsidRPr="004676F5" w:rsidRDefault="003E6C61" w:rsidP="003E6C61">
      <w:pPr>
        <w:ind w:firstLine="708"/>
        <w:jc w:val="both"/>
        <w:rPr>
          <w:lang w:val="de-DE"/>
        </w:rPr>
      </w:pPr>
    </w:p>
    <w:p w14:paraId="06A0EF96" w14:textId="77777777" w:rsidR="003E6C61" w:rsidRPr="004676F5" w:rsidRDefault="003E6C61" w:rsidP="003E6C61">
      <w:pPr>
        <w:ind w:firstLine="708"/>
        <w:jc w:val="both"/>
        <w:rPr>
          <w:lang w:val="de-DE"/>
        </w:rPr>
      </w:pPr>
      <w:r w:rsidRPr="004676F5">
        <w:rPr>
          <w:lang w:val="de-DE"/>
        </w:rPr>
        <w:t>Liegen einem Antrag nicht alle vorerwähnten Unterlagen und Angaben bei, wird dies dem Antragsteller innerhalb fünfzehn Tagen ab Empfang des Antrags mitgeteilt. In Ermangelung einer Mitteilung in diesem Sinne innerhalb dieser Frist gilt der Antrag als vollständig und ordnungsgemäß.</w:t>
      </w:r>
    </w:p>
    <w:p w14:paraId="67140EAE" w14:textId="77777777" w:rsidR="003E6C61" w:rsidRPr="004676F5" w:rsidRDefault="003E6C61" w:rsidP="003E6C61">
      <w:pPr>
        <w:ind w:firstLine="708"/>
        <w:jc w:val="both"/>
        <w:rPr>
          <w:lang w:val="de-DE"/>
        </w:rPr>
      </w:pPr>
    </w:p>
    <w:p w14:paraId="0784041A" w14:textId="77777777" w:rsidR="003E6C61" w:rsidRPr="004676F5" w:rsidRDefault="003E6C61" w:rsidP="003E6C61">
      <w:pPr>
        <w:ind w:firstLine="708"/>
        <w:jc w:val="both"/>
        <w:rPr>
          <w:lang w:val="de-DE"/>
        </w:rPr>
      </w:pPr>
      <w:r w:rsidRPr="004676F5">
        <w:rPr>
          <w:lang w:val="de-DE"/>
        </w:rPr>
        <w:t>Zulassungsverweigerungen sind mit Gründen versehen und werden dem Antragsteller per Einschreibesendung übermittelt.</w:t>
      </w:r>
    </w:p>
    <w:p w14:paraId="6E9E1995" w14:textId="77777777" w:rsidR="003E6C61" w:rsidRPr="004676F5" w:rsidRDefault="003E6C61" w:rsidP="003E6C61">
      <w:pPr>
        <w:ind w:firstLine="708"/>
        <w:jc w:val="both"/>
        <w:rPr>
          <w:lang w:val="de-DE"/>
        </w:rPr>
      </w:pPr>
    </w:p>
    <w:p w14:paraId="4248558D" w14:textId="77777777" w:rsidR="003E6C61" w:rsidRPr="004676F5" w:rsidRDefault="003E6C61" w:rsidP="003E6C61">
      <w:pPr>
        <w:ind w:firstLine="708"/>
        <w:jc w:val="both"/>
        <w:rPr>
          <w:lang w:val="de-DE"/>
        </w:rPr>
      </w:pPr>
      <w:r w:rsidRPr="004676F5">
        <w:rPr>
          <w:lang w:val="de-DE"/>
        </w:rPr>
        <w:t>Der Minister kann die Zulassung von Personen, die die vorerwähnten Bedingungen nicht mehr erfüllen oder einer im Rahmen ihres Zulassungsantrags eingegangenen Verpflichtung nicht nachkommen, aussetzen oder entziehen,</w:t>
      </w:r>
    </w:p>
    <w:p w14:paraId="6C06D5C4" w14:textId="77777777" w:rsidR="003E6C61" w:rsidRPr="004676F5" w:rsidRDefault="003E6C61" w:rsidP="003E6C61">
      <w:pPr>
        <w:ind w:firstLine="708"/>
        <w:jc w:val="both"/>
        <w:rPr>
          <w:lang w:val="de-DE"/>
        </w:rPr>
      </w:pPr>
    </w:p>
    <w:p w14:paraId="5D43AE59" w14:textId="77777777" w:rsidR="003E6C61" w:rsidRPr="004676F5" w:rsidRDefault="003E6C61" w:rsidP="003E6C61">
      <w:pPr>
        <w:ind w:firstLine="708"/>
        <w:jc w:val="both"/>
        <w:rPr>
          <w:lang w:val="de-DE"/>
        </w:rPr>
      </w:pPr>
      <w:r w:rsidRPr="004676F5">
        <w:rPr>
          <w:lang w:val="de-DE"/>
        </w:rPr>
        <w:t>6. einem Rechtsanwalt, ministeriellen Amtsträger oder gerichtlichen Mandatsträger in der Ausübung seines Mandats oder Amtes und im Rahmen der Erfüllung eines Kreditvertrags,</w:t>
      </w:r>
    </w:p>
    <w:p w14:paraId="088466C6" w14:textId="77777777" w:rsidR="003E6C61" w:rsidRPr="004676F5" w:rsidRDefault="003E6C61" w:rsidP="003E6C61">
      <w:pPr>
        <w:ind w:firstLine="708"/>
        <w:jc w:val="both"/>
        <w:rPr>
          <w:lang w:val="de-DE"/>
        </w:rPr>
      </w:pPr>
    </w:p>
    <w:p w14:paraId="5A67769F" w14:textId="77777777" w:rsidR="003E6C61" w:rsidRPr="004676F5" w:rsidRDefault="003E6C61" w:rsidP="003E6C61">
      <w:pPr>
        <w:ind w:firstLine="708"/>
        <w:jc w:val="both"/>
        <w:rPr>
          <w:lang w:val="de-DE"/>
        </w:rPr>
      </w:pPr>
      <w:r w:rsidRPr="004676F5">
        <w:rPr>
          <w:lang w:val="de-DE"/>
        </w:rPr>
        <w:t>7. dem Schuldenvermittler in der Ausführung seines Auftrags im Rahmen einer in den Artikeln 1675/2 bis 1675/19 des Gerichtsgesetzbuches erwähnten kollektiven Schulden</w:t>
      </w:r>
      <w:r w:rsidRPr="004676F5">
        <w:rPr>
          <w:lang w:val="de-DE"/>
        </w:rPr>
        <w:softHyphen/>
        <w:t>regelung,</w:t>
      </w:r>
    </w:p>
    <w:p w14:paraId="4E3E908C" w14:textId="77777777" w:rsidR="003E6C61" w:rsidRPr="004676F5" w:rsidRDefault="003E6C61" w:rsidP="003E6C61">
      <w:pPr>
        <w:ind w:firstLine="708"/>
        <w:jc w:val="both"/>
        <w:rPr>
          <w:lang w:val="de-DE"/>
        </w:rPr>
      </w:pPr>
    </w:p>
    <w:p w14:paraId="513C1C15" w14:textId="77777777" w:rsidR="003E6C61" w:rsidRPr="004676F5" w:rsidRDefault="003E6C61" w:rsidP="003E6C61">
      <w:pPr>
        <w:ind w:firstLine="708"/>
        <w:jc w:val="both"/>
        <w:rPr>
          <w:lang w:val="de-DE"/>
        </w:rPr>
      </w:pPr>
      <w:r w:rsidRPr="004676F5">
        <w:rPr>
          <w:lang w:val="de-DE"/>
        </w:rPr>
        <w:t>8. Bediensteten des FÖD Wirtschaft, die befugt sind, im Rahmen von Buch XV zu handeln,</w:t>
      </w:r>
    </w:p>
    <w:p w14:paraId="0A0E2793" w14:textId="77777777" w:rsidR="003E6C61" w:rsidRPr="004676F5" w:rsidRDefault="003E6C61" w:rsidP="003E6C61">
      <w:pPr>
        <w:ind w:firstLine="708"/>
        <w:jc w:val="both"/>
        <w:rPr>
          <w:lang w:val="de-DE"/>
        </w:rPr>
      </w:pPr>
    </w:p>
    <w:p w14:paraId="5C10F2FD" w14:textId="77777777" w:rsidR="003E6C61" w:rsidRPr="004676F5" w:rsidRDefault="003E6C61" w:rsidP="003E6C61">
      <w:pPr>
        <w:ind w:firstLine="708"/>
        <w:jc w:val="both"/>
        <w:rPr>
          <w:lang w:val="de-DE"/>
        </w:rPr>
      </w:pPr>
      <w:r w:rsidRPr="004676F5">
        <w:rPr>
          <w:lang w:val="de-DE"/>
        </w:rPr>
        <w:t>9. Personen, die eine Tätigkeit der gütlichen Eintreibung von Verbraucherschulden ausüben und die zu diesem Zweck gemäß Artikel 4 § 1 des Gesetzes vom 20. Dezember 2002 über die gütliche Eintreibung von Verbraucherschulden beim FÖD Wirtschaft eingetragen sind,</w:t>
      </w:r>
    </w:p>
    <w:p w14:paraId="1146C3C8" w14:textId="77777777" w:rsidR="003E6C61" w:rsidRPr="004676F5" w:rsidRDefault="003E6C61" w:rsidP="003E6C61">
      <w:pPr>
        <w:ind w:firstLine="708"/>
        <w:jc w:val="both"/>
        <w:rPr>
          <w:lang w:val="de-DE"/>
        </w:rPr>
      </w:pPr>
    </w:p>
    <w:p w14:paraId="62D18A66" w14:textId="77777777" w:rsidR="003E6C61" w:rsidRPr="004676F5" w:rsidRDefault="003E6C61" w:rsidP="003E6C61">
      <w:pPr>
        <w:ind w:firstLine="708"/>
        <w:jc w:val="both"/>
        <w:rPr>
          <w:lang w:val="de-DE"/>
        </w:rPr>
      </w:pPr>
      <w:r w:rsidRPr="004676F5">
        <w:rPr>
          <w:lang w:val="de-DE"/>
        </w:rPr>
        <w:t>10. dem Ausschuss für den Schutz des Privatlebens im Rahmen seines Auftrags,</w:t>
      </w:r>
    </w:p>
    <w:p w14:paraId="1BB7547B" w14:textId="77777777" w:rsidR="003E6C61" w:rsidRPr="004676F5" w:rsidRDefault="003E6C61" w:rsidP="003E6C61">
      <w:pPr>
        <w:ind w:firstLine="708"/>
        <w:jc w:val="both"/>
        <w:rPr>
          <w:lang w:val="de-DE"/>
        </w:rPr>
      </w:pPr>
    </w:p>
    <w:p w14:paraId="6330BBF6" w14:textId="77777777" w:rsidR="003E6C61" w:rsidRPr="004676F5" w:rsidRDefault="003E6C61" w:rsidP="003E6C61">
      <w:pPr>
        <w:ind w:firstLine="708"/>
        <w:jc w:val="both"/>
        <w:rPr>
          <w:lang w:val="de-DE"/>
        </w:rPr>
      </w:pPr>
      <w:r w:rsidRPr="004676F5">
        <w:rPr>
          <w:lang w:val="de-DE"/>
        </w:rPr>
        <w:t>11. Mobilisierungsorganismen im Sinne von Artikel 2 des Gesetzes vom 3. Au</w:t>
      </w:r>
      <w:r w:rsidRPr="004676F5">
        <w:rPr>
          <w:lang w:val="de-DE"/>
        </w:rPr>
        <w:softHyphen/>
        <w:t>gust 2012 über verschiedene Maßnahmen zur Erleichterung der Mobilisierung von Forderungen im Finanzsektor.</w:t>
      </w:r>
    </w:p>
    <w:p w14:paraId="5FA7BEEE" w14:textId="77777777" w:rsidR="003E6C61" w:rsidRPr="004676F5" w:rsidRDefault="003E6C61" w:rsidP="003E6C61">
      <w:pPr>
        <w:ind w:firstLine="708"/>
        <w:jc w:val="both"/>
        <w:rPr>
          <w:lang w:val="de-DE"/>
        </w:rPr>
      </w:pPr>
    </w:p>
    <w:p w14:paraId="4154A640" w14:textId="0AA836DE"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Erhaltene Daten dürfen nur den in § 1 erwähnten Personen mitgeteilt werden.</w:t>
      </w:r>
    </w:p>
    <w:p w14:paraId="677AAD67" w14:textId="77777777" w:rsidR="003E6C61" w:rsidRPr="004676F5" w:rsidRDefault="003E6C61" w:rsidP="003E6C61">
      <w:pPr>
        <w:ind w:firstLine="708"/>
        <w:jc w:val="both"/>
        <w:rPr>
          <w:lang w:val="de-DE"/>
        </w:rPr>
      </w:pPr>
    </w:p>
    <w:p w14:paraId="685B458C" w14:textId="28DAD4E4"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 xml:space="preserve">Auskunftsanfragen, die in vorliegendem Artikel erwähnte Personen, ausgenommen die FSMA, die Bank, in Absatz 1 </w:t>
      </w:r>
      <w:r w:rsidRPr="004676F5">
        <w:rPr>
          <w:i/>
          <w:lang w:val="de-DE"/>
        </w:rPr>
        <w:t>[sic, zu lesen ist: § 1 einziger Absatz]</w:t>
      </w:r>
      <w:r w:rsidRPr="004676F5">
        <w:rPr>
          <w:lang w:val="de-DE"/>
        </w:rPr>
        <w:t xml:space="preserve"> Nr. 8 erwähnte Bedienstete und der Ausschuss für den Schutz des Privatlebens an den für die Verarbeitung Verantwortlichen richten, müssen die Verbraucher, auf die die Anfragen sich beziehen, durch Angabe des Namens, Vornamens und Geburtsdatums individualisieren; diese Auskunftsanfragen dürfen gruppiert werden.</w:t>
      </w:r>
    </w:p>
    <w:p w14:paraId="1087F2BD" w14:textId="77777777" w:rsidR="003E6C61" w:rsidRPr="004676F5" w:rsidRDefault="003E6C61" w:rsidP="003E6C61">
      <w:pPr>
        <w:jc w:val="both"/>
        <w:rPr>
          <w:lang w:val="de-DE"/>
        </w:rPr>
      </w:pPr>
    </w:p>
    <w:p w14:paraId="4A77FF32" w14:textId="77777777" w:rsidR="002E20BA" w:rsidRPr="004676F5" w:rsidRDefault="002E20BA" w:rsidP="003E6C61">
      <w:pPr>
        <w:jc w:val="both"/>
        <w:rPr>
          <w:lang w:val="de-DE"/>
        </w:rPr>
      </w:pPr>
    </w:p>
    <w:p w14:paraId="78860664" w14:textId="3EE61651" w:rsidR="003E6C61" w:rsidRPr="004676F5" w:rsidRDefault="003E6C61" w:rsidP="003E6C61">
      <w:pPr>
        <w:jc w:val="center"/>
        <w:rPr>
          <w:lang w:val="de-DE"/>
        </w:rPr>
      </w:pPr>
      <w:r w:rsidRPr="004676F5">
        <w:rPr>
          <w:lang w:val="de-DE"/>
        </w:rPr>
        <w:t>Unterabschnitt 2 </w:t>
      </w:r>
      <w:r w:rsidR="005B7A5C" w:rsidRPr="004676F5">
        <w:rPr>
          <w:lang w:val="de-DE"/>
        </w:rPr>
        <w:t>- </w:t>
      </w:r>
      <w:r w:rsidRPr="004676F5">
        <w:rPr>
          <w:lang w:val="de-DE"/>
        </w:rPr>
        <w:t>Datenverarbeitung</w:t>
      </w:r>
    </w:p>
    <w:p w14:paraId="48B01361" w14:textId="77777777" w:rsidR="003E6C61" w:rsidRPr="004676F5" w:rsidRDefault="003E6C61" w:rsidP="003E6C61">
      <w:pPr>
        <w:jc w:val="both"/>
        <w:rPr>
          <w:lang w:val="de-DE"/>
        </w:rPr>
      </w:pPr>
    </w:p>
    <w:p w14:paraId="25E43D31" w14:textId="77777777" w:rsidR="002E20BA" w:rsidRPr="004676F5" w:rsidRDefault="002E20BA" w:rsidP="003E6C61">
      <w:pPr>
        <w:jc w:val="both"/>
        <w:rPr>
          <w:lang w:val="de-DE"/>
        </w:rPr>
      </w:pPr>
    </w:p>
    <w:p w14:paraId="400C492F" w14:textId="3FCFDF81" w:rsidR="003E6C61" w:rsidRPr="004676F5" w:rsidRDefault="00BE0A56" w:rsidP="003E6C61">
      <w:pPr>
        <w:ind w:firstLine="708"/>
        <w:jc w:val="both"/>
        <w:rPr>
          <w:lang w:val="de-DE"/>
        </w:rPr>
      </w:pPr>
      <w:r w:rsidRPr="004676F5">
        <w:rPr>
          <w:b/>
          <w:lang w:val="de-DE"/>
        </w:rPr>
        <w:t>Art. </w:t>
      </w:r>
      <w:r w:rsidR="003E6C61" w:rsidRPr="004676F5">
        <w:rPr>
          <w:b/>
          <w:lang w:val="de-DE"/>
        </w:rPr>
        <w:t>VII.147/36</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Daten werden gelöscht, wenn die Aufbewahrung dieser Daten in der Datei nicht mehr gerechtfertigt ist. Der König kann eine Aufbewahrungsfrist für Daten oder Datenkategorien festlegen.</w:t>
      </w:r>
    </w:p>
    <w:p w14:paraId="32605562" w14:textId="77777777" w:rsidR="003E6C61" w:rsidRPr="004676F5" w:rsidRDefault="003E6C61" w:rsidP="003E6C61">
      <w:pPr>
        <w:ind w:firstLine="708"/>
        <w:jc w:val="both"/>
        <w:rPr>
          <w:lang w:val="de-DE"/>
        </w:rPr>
      </w:pPr>
    </w:p>
    <w:p w14:paraId="34B86B1E" w14:textId="77777777" w:rsidR="003E6C61" w:rsidRPr="004676F5" w:rsidRDefault="003E6C61" w:rsidP="003E6C61">
      <w:pPr>
        <w:ind w:firstLine="708"/>
        <w:jc w:val="both"/>
        <w:rPr>
          <w:lang w:val="de-DE"/>
        </w:rPr>
      </w:pPr>
      <w:r w:rsidRPr="004676F5">
        <w:rPr>
          <w:lang w:val="de-DE"/>
        </w:rPr>
        <w:t>Personen, denen aufgrund des Abschlusses oder der Verwaltung von Kreditverträgen personenbezogene Daten mitgeteilt worden sind, dürfen nur während der für Abschluss und Ausführung des Kreditvertrags erforderlichen Zeit darüber verfügen, wobei insbesondere die vom König aufgrund des vorliegenden Paragraphen festgelegten Fristen für die Aufbewahrung der Daten einzuhalten sind.</w:t>
      </w:r>
    </w:p>
    <w:p w14:paraId="21F22190" w14:textId="77777777" w:rsidR="003E6C61" w:rsidRPr="004676F5" w:rsidRDefault="003E6C61" w:rsidP="003E6C61">
      <w:pPr>
        <w:ind w:firstLine="708"/>
        <w:jc w:val="both"/>
        <w:rPr>
          <w:lang w:val="de-DE"/>
        </w:rPr>
      </w:pPr>
    </w:p>
    <w:p w14:paraId="60FE459C" w14:textId="30600E3C" w:rsidR="003E6C61" w:rsidRPr="004676F5" w:rsidRDefault="003E6C61" w:rsidP="003E6C61">
      <w:pPr>
        <w:ind w:firstLine="708"/>
        <w:jc w:val="both"/>
        <w:rPr>
          <w:lang w:val="de-DE"/>
        </w:rPr>
      </w:pPr>
      <w:r w:rsidRPr="004676F5">
        <w:rPr>
          <w:lang w:val="de-DE"/>
        </w:rPr>
        <w:lastRenderedPageBreak/>
        <w:t>§ 2 </w:t>
      </w:r>
      <w:r w:rsidR="005B7A5C" w:rsidRPr="004676F5">
        <w:rPr>
          <w:lang w:val="de-DE"/>
        </w:rPr>
        <w:t>- </w:t>
      </w:r>
      <w:r w:rsidRPr="004676F5">
        <w:rPr>
          <w:lang w:val="de-DE"/>
        </w:rPr>
        <w:t>Der für die Verarbeitung Verantwortliche muss alle Maßnahmen treffen, um die perfekte Aufbewahrung der personenbezogenen Daten zu gewährleisten.</w:t>
      </w:r>
    </w:p>
    <w:p w14:paraId="15C169A3" w14:textId="77777777" w:rsidR="003E6C61" w:rsidRPr="004676F5" w:rsidRDefault="003E6C61" w:rsidP="003E6C61">
      <w:pPr>
        <w:ind w:firstLine="708"/>
        <w:jc w:val="both"/>
        <w:rPr>
          <w:lang w:val="de-DE"/>
        </w:rPr>
      </w:pPr>
    </w:p>
    <w:p w14:paraId="37FE3E46" w14:textId="77777777" w:rsidR="003E6C61" w:rsidRPr="004676F5" w:rsidRDefault="003E6C61" w:rsidP="003E6C61">
      <w:pPr>
        <w:ind w:firstLine="708"/>
        <w:jc w:val="both"/>
        <w:rPr>
          <w:lang w:val="de-DE"/>
        </w:rPr>
      </w:pPr>
      <w:r w:rsidRPr="004676F5">
        <w:rPr>
          <w:lang w:val="de-DE"/>
        </w:rPr>
        <w:t>Personen, denen personenbezogene Daten mitgeteilt worden sind, müssen Maßnahmen treffen, um die Vertraulichkeit dieser Daten zu gewährleisten und um dafür zu sorgen, dass sie nur zu den durch oder aufgrund des vorliegenden Buches vorgesehenen Zwecken oder zur Erfüllung ihrer gesetzlichen Verpflichtungen verwendet werden.</w:t>
      </w:r>
    </w:p>
    <w:p w14:paraId="2FA7D5C7" w14:textId="77777777" w:rsidR="003E6C61" w:rsidRPr="004676F5" w:rsidRDefault="003E6C61" w:rsidP="003E6C61">
      <w:pPr>
        <w:ind w:firstLine="708"/>
        <w:jc w:val="both"/>
        <w:rPr>
          <w:lang w:val="de-DE"/>
        </w:rPr>
      </w:pPr>
    </w:p>
    <w:p w14:paraId="54C0FEAB" w14:textId="06BCA388" w:rsidR="003E6C61" w:rsidRPr="004676F5" w:rsidRDefault="003E6C61" w:rsidP="003E6C61">
      <w:pPr>
        <w:ind w:firstLine="708"/>
        <w:jc w:val="both"/>
        <w:rPr>
          <w:lang w:val="de-DE"/>
        </w:rPr>
      </w:pPr>
      <w:r w:rsidRPr="004676F5">
        <w:rPr>
          <w:lang w:val="de-DE"/>
        </w:rPr>
        <w:t>§ 3 </w:t>
      </w:r>
      <w:r w:rsidR="005B7A5C" w:rsidRPr="004676F5">
        <w:rPr>
          <w:lang w:val="de-DE"/>
        </w:rPr>
        <w:t>- </w:t>
      </w:r>
      <w:r w:rsidRPr="004676F5">
        <w:rPr>
          <w:lang w:val="de-DE"/>
        </w:rPr>
        <w:t>Der für die Verarbeitung Verantwortliche ist im Besonderen damit beauftragt, die automatisierte Verarbeitung oder den automatisierten Austausch personenbezogener Daten zu überwachen, und er muss insbesondere dafür sorgen, dass Programme für die automatisierte Datenverarbeitung oder den automatisierten Datenaustausch ausschließlich gemäß vorliegen</w:t>
      </w:r>
      <w:r w:rsidRPr="004676F5">
        <w:rPr>
          <w:lang w:val="de-DE"/>
        </w:rPr>
        <w:softHyphen/>
        <w:t>dem Buch und seinen Ausführungserlassen entwickelt und verwendet werden.</w:t>
      </w:r>
    </w:p>
    <w:p w14:paraId="0AF6DBFD" w14:textId="77777777" w:rsidR="003E6C61" w:rsidRPr="004676F5" w:rsidRDefault="003E6C61" w:rsidP="003E6C61">
      <w:pPr>
        <w:ind w:firstLine="708"/>
        <w:jc w:val="both"/>
        <w:rPr>
          <w:lang w:val="de-DE"/>
        </w:rPr>
      </w:pPr>
    </w:p>
    <w:p w14:paraId="3B6221AC" w14:textId="77777777" w:rsidR="003E6C61" w:rsidRPr="004676F5" w:rsidRDefault="003E6C61" w:rsidP="003E6C61">
      <w:pPr>
        <w:ind w:firstLine="708"/>
        <w:jc w:val="both"/>
        <w:rPr>
          <w:lang w:val="de-DE"/>
        </w:rPr>
      </w:pPr>
      <w:r w:rsidRPr="004676F5">
        <w:rPr>
          <w:lang w:val="de-DE"/>
        </w:rPr>
        <w:t>Der König kann Regeln festlegen, gemäß denen der für die Verarbeitung Verantwortliche seinen Auftrag erfüllen muss.</w:t>
      </w:r>
    </w:p>
    <w:p w14:paraId="3EB29621" w14:textId="77777777" w:rsidR="003E6C61" w:rsidRPr="004676F5" w:rsidRDefault="003E6C61" w:rsidP="003E6C61">
      <w:pPr>
        <w:ind w:firstLine="708"/>
        <w:jc w:val="both"/>
        <w:rPr>
          <w:lang w:val="de-DE"/>
        </w:rPr>
      </w:pPr>
    </w:p>
    <w:p w14:paraId="6436573D" w14:textId="77777777" w:rsidR="002E20BA" w:rsidRPr="004676F5" w:rsidRDefault="002E20BA" w:rsidP="003E6C61">
      <w:pPr>
        <w:ind w:firstLine="708"/>
        <w:jc w:val="both"/>
        <w:rPr>
          <w:lang w:val="de-DE"/>
        </w:rPr>
      </w:pPr>
    </w:p>
    <w:p w14:paraId="13BDA48B" w14:textId="05882355" w:rsidR="003E6C61" w:rsidRPr="004676F5" w:rsidRDefault="00BE0A56" w:rsidP="003E6C61">
      <w:pPr>
        <w:ind w:firstLine="708"/>
        <w:jc w:val="both"/>
        <w:rPr>
          <w:lang w:val="de-DE"/>
        </w:rPr>
      </w:pPr>
      <w:r w:rsidRPr="004676F5">
        <w:rPr>
          <w:b/>
          <w:lang w:val="de-DE"/>
        </w:rPr>
        <w:t>Art. </w:t>
      </w:r>
      <w:r w:rsidR="003E6C61" w:rsidRPr="004676F5">
        <w:rPr>
          <w:b/>
          <w:lang w:val="de-DE"/>
        </w:rPr>
        <w:t>VII.147/37</w:t>
      </w:r>
      <w:r w:rsidR="003E6C61" w:rsidRPr="004676F5">
        <w:rPr>
          <w:lang w:val="de-DE"/>
        </w:rPr>
        <w:t> </w:t>
      </w:r>
      <w:r w:rsidR="005B7A5C" w:rsidRPr="004676F5">
        <w:rPr>
          <w:lang w:val="de-DE"/>
        </w:rPr>
        <w:t>- </w:t>
      </w:r>
      <w:r w:rsidR="003E6C61" w:rsidRPr="004676F5">
        <w:rPr>
          <w:lang w:val="de-DE"/>
        </w:rPr>
        <w:t>§ 1 </w:t>
      </w:r>
      <w:r w:rsidR="005B7A5C" w:rsidRPr="004676F5">
        <w:rPr>
          <w:lang w:val="de-DE"/>
        </w:rPr>
        <w:t>- </w:t>
      </w:r>
      <w:r w:rsidR="003E6C61" w:rsidRPr="004676F5">
        <w:rPr>
          <w:lang w:val="de-DE"/>
        </w:rPr>
        <w:t>Wird ein Verbraucher oder die Person, die eine Sicherheit leistet, wegen Zahlungsausfall in Bezug auf Kreditverträge im Sinne des vorliegenden Buches zum ersten Mal in einer Datei registriert, muss der für die Verarbeitung Verantwortliche ihn unverzüglich mittelbar oder unmittelbar darüber informieren.</w:t>
      </w:r>
    </w:p>
    <w:p w14:paraId="4D026109" w14:textId="3674EFD6" w:rsidR="003E6C61" w:rsidRPr="004676F5" w:rsidRDefault="003E6C61" w:rsidP="003E6C61">
      <w:pPr>
        <w:rPr>
          <w:lang w:val="de-DE"/>
        </w:rPr>
      </w:pPr>
    </w:p>
    <w:p w14:paraId="6F5177E6" w14:textId="2F7C2DB3"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In dieser Information muss Folgendes vermerkt sein:</w:t>
      </w:r>
    </w:p>
    <w:p w14:paraId="2371A665" w14:textId="77777777" w:rsidR="003E6C61" w:rsidRPr="004676F5" w:rsidRDefault="003E6C61" w:rsidP="003E6C61">
      <w:pPr>
        <w:ind w:firstLine="708"/>
        <w:jc w:val="both"/>
        <w:rPr>
          <w:lang w:val="de-DE"/>
        </w:rPr>
      </w:pPr>
    </w:p>
    <w:p w14:paraId="5A0943A3" w14:textId="77777777" w:rsidR="003E6C61" w:rsidRPr="004676F5" w:rsidRDefault="003E6C61" w:rsidP="003E6C61">
      <w:pPr>
        <w:ind w:firstLine="708"/>
        <w:jc w:val="both"/>
        <w:rPr>
          <w:lang w:val="de-DE"/>
        </w:rPr>
      </w:pPr>
      <w:r w:rsidRPr="004676F5">
        <w:rPr>
          <w:lang w:val="de-DE"/>
        </w:rPr>
        <w:t>1. Identität und Anschrift des für die Verarbeitung Verantwortlichen. Besitzt dieser keine ortsfeste Niederlassung auf dem Gebiet der Europäischen Union, muss er einen Vertreter mit Niederlassung auf belgischem Staatsgebiet bestimmen, unbeschadet der Klagen, die gegen den für die Verarbeitung Verantwortlichen selbst eingereicht werden können,</w:t>
      </w:r>
    </w:p>
    <w:p w14:paraId="3074A0FA" w14:textId="77777777" w:rsidR="003E6C61" w:rsidRPr="004676F5" w:rsidRDefault="003E6C61" w:rsidP="003E6C61">
      <w:pPr>
        <w:ind w:firstLine="708"/>
        <w:jc w:val="both"/>
        <w:rPr>
          <w:lang w:val="de-DE"/>
        </w:rPr>
      </w:pPr>
    </w:p>
    <w:p w14:paraId="05506BB8" w14:textId="77777777" w:rsidR="003E6C61" w:rsidRPr="004676F5" w:rsidRDefault="003E6C61" w:rsidP="003E6C61">
      <w:pPr>
        <w:ind w:firstLine="708"/>
        <w:jc w:val="both"/>
        <w:rPr>
          <w:lang w:val="de-DE"/>
        </w:rPr>
      </w:pPr>
      <w:r w:rsidRPr="004676F5">
        <w:rPr>
          <w:lang w:val="de-DE"/>
        </w:rPr>
        <w:t>2. Anschrift des Ausschusses für den Schutz des Privatlebens,</w:t>
      </w:r>
    </w:p>
    <w:p w14:paraId="79411D99" w14:textId="77777777" w:rsidR="003E6C61" w:rsidRPr="004676F5" w:rsidRDefault="003E6C61" w:rsidP="003E6C61">
      <w:pPr>
        <w:ind w:firstLine="708"/>
        <w:jc w:val="both"/>
        <w:rPr>
          <w:lang w:val="de-DE"/>
        </w:rPr>
      </w:pPr>
    </w:p>
    <w:p w14:paraId="521979C8" w14:textId="77777777" w:rsidR="003E6C61" w:rsidRPr="004676F5" w:rsidRDefault="003E6C61" w:rsidP="003E6C61">
      <w:pPr>
        <w:ind w:firstLine="708"/>
        <w:jc w:val="both"/>
        <w:rPr>
          <w:lang w:val="de-DE"/>
        </w:rPr>
      </w:pPr>
      <w:r w:rsidRPr="004676F5">
        <w:rPr>
          <w:lang w:val="de-DE"/>
        </w:rPr>
        <w:t>3. Identität und Anschrift der Person, die die Daten mitgeteilt hat,</w:t>
      </w:r>
    </w:p>
    <w:p w14:paraId="3661C998" w14:textId="77777777" w:rsidR="003E6C61" w:rsidRPr="004676F5" w:rsidRDefault="003E6C61" w:rsidP="003E6C61">
      <w:pPr>
        <w:ind w:firstLine="708"/>
        <w:jc w:val="both"/>
        <w:rPr>
          <w:lang w:val="de-DE"/>
        </w:rPr>
      </w:pPr>
    </w:p>
    <w:p w14:paraId="607FA130" w14:textId="77777777" w:rsidR="003E6C61" w:rsidRPr="004676F5" w:rsidRDefault="003E6C61" w:rsidP="003E6C61">
      <w:pPr>
        <w:ind w:firstLine="708"/>
        <w:jc w:val="both"/>
        <w:rPr>
          <w:lang w:val="de-DE"/>
        </w:rPr>
      </w:pPr>
      <w:r w:rsidRPr="004676F5">
        <w:rPr>
          <w:lang w:val="de-DE"/>
        </w:rPr>
        <w:t>4. Recht auf Zugang zur Datei, Berichtigung fehlerhafter Daten und Löschung von Daten, Modalitäten für die Ausübung dieser Rechte und Frist für die Aufbewahrung der Daten, falls eine solche besteht,</w:t>
      </w:r>
    </w:p>
    <w:p w14:paraId="1B578788" w14:textId="77777777" w:rsidR="003E6C61" w:rsidRPr="004676F5" w:rsidRDefault="003E6C61" w:rsidP="003E6C61">
      <w:pPr>
        <w:ind w:firstLine="708"/>
        <w:jc w:val="both"/>
        <w:rPr>
          <w:lang w:val="de-DE"/>
        </w:rPr>
      </w:pPr>
    </w:p>
    <w:p w14:paraId="07F71EC3" w14:textId="77777777" w:rsidR="003E6C61" w:rsidRPr="004676F5" w:rsidRDefault="003E6C61" w:rsidP="003E6C61">
      <w:pPr>
        <w:ind w:firstLine="708"/>
        <w:jc w:val="both"/>
        <w:rPr>
          <w:lang w:val="de-DE"/>
        </w:rPr>
      </w:pPr>
      <w:r w:rsidRPr="004676F5">
        <w:rPr>
          <w:lang w:val="de-DE"/>
        </w:rPr>
        <w:t>5. Zwecke der Verarbeitung.</w:t>
      </w:r>
    </w:p>
    <w:p w14:paraId="2E63D4B7" w14:textId="77777777" w:rsidR="003E6C61" w:rsidRPr="004676F5" w:rsidRDefault="003E6C61" w:rsidP="003E6C61">
      <w:pPr>
        <w:ind w:firstLine="708"/>
        <w:jc w:val="both"/>
        <w:rPr>
          <w:lang w:val="de-DE"/>
        </w:rPr>
      </w:pPr>
    </w:p>
    <w:p w14:paraId="46E43AF6" w14:textId="77777777" w:rsidR="002E20BA" w:rsidRPr="004676F5" w:rsidRDefault="002E20BA" w:rsidP="003E6C61">
      <w:pPr>
        <w:ind w:firstLine="708"/>
        <w:jc w:val="both"/>
        <w:rPr>
          <w:lang w:val="de-DE"/>
        </w:rPr>
      </w:pPr>
    </w:p>
    <w:p w14:paraId="3CB6B7F9" w14:textId="627C427A" w:rsidR="003E6C61" w:rsidRPr="004676F5" w:rsidRDefault="00BE0A56" w:rsidP="003E6C61">
      <w:pPr>
        <w:ind w:firstLine="708"/>
        <w:jc w:val="both"/>
        <w:rPr>
          <w:lang w:val="de-DE"/>
        </w:rPr>
      </w:pPr>
      <w:r w:rsidRPr="004676F5">
        <w:rPr>
          <w:b/>
          <w:lang w:val="de-DE"/>
        </w:rPr>
        <w:t>Art. </w:t>
      </w:r>
      <w:r w:rsidR="003E6C61" w:rsidRPr="004676F5">
        <w:rPr>
          <w:b/>
          <w:lang w:val="de-DE"/>
        </w:rPr>
        <w:t>VII.147/38</w:t>
      </w:r>
      <w:r w:rsidR="003E6C61" w:rsidRPr="004676F5">
        <w:rPr>
          <w:lang w:val="de-DE"/>
        </w:rPr>
        <w:t> </w:t>
      </w:r>
      <w:r w:rsidR="005B7A5C" w:rsidRPr="004676F5">
        <w:rPr>
          <w:lang w:val="de-DE"/>
        </w:rPr>
        <w:t>- </w:t>
      </w:r>
      <w:r w:rsidR="003E6C61" w:rsidRPr="004676F5">
        <w:rPr>
          <w:lang w:val="de-DE"/>
        </w:rPr>
        <w:t>§ 1 -Verbraucher und Personen, die eine Sicherheit leisten, können in Bezug auf die in einer Datei registrierten Daten zu ihrer Person oder ihrem Vermögen die in den Artikeln 10 und 12 des Gesetzes vom 8. Dezember 1992 über den Schutz des Privatlebens hinsichtlich der Verarbeitung personenbezogener Daten erwähnten Rechte ausüben.</w:t>
      </w:r>
    </w:p>
    <w:p w14:paraId="48BCA5AC" w14:textId="77777777" w:rsidR="003E6C61" w:rsidRPr="004676F5" w:rsidRDefault="003E6C61" w:rsidP="003E6C61">
      <w:pPr>
        <w:ind w:firstLine="708"/>
        <w:jc w:val="both"/>
        <w:rPr>
          <w:lang w:val="de-DE"/>
        </w:rPr>
      </w:pPr>
    </w:p>
    <w:p w14:paraId="082C85A3" w14:textId="65DCFE5A" w:rsidR="003E6C61" w:rsidRPr="004676F5" w:rsidRDefault="003E6C61" w:rsidP="003E6C61">
      <w:pPr>
        <w:ind w:firstLine="708"/>
        <w:jc w:val="both"/>
        <w:rPr>
          <w:lang w:val="de-DE"/>
        </w:rPr>
      </w:pPr>
      <w:r w:rsidRPr="004676F5">
        <w:rPr>
          <w:lang w:val="de-DE"/>
        </w:rPr>
        <w:t>§ 2 </w:t>
      </w:r>
      <w:r w:rsidR="005B7A5C" w:rsidRPr="004676F5">
        <w:rPr>
          <w:lang w:val="de-DE"/>
        </w:rPr>
        <w:t>- </w:t>
      </w:r>
      <w:r w:rsidRPr="004676F5">
        <w:rPr>
          <w:lang w:val="de-DE"/>
        </w:rPr>
        <w:t>Verbraucher und Personen, die eine Sicherheit leisten, können unter den vom König festgelegten Bedingungen frei und kostenlos fehlerhafte Daten berichtigen lassen. In diesem Fall muss der für die Verarbeitung Verantwortliche Personen, die von ihm Auskünfte erhalten haben und die die registrierte Person angibt, diese Berichtigung mitteilen.</w:t>
      </w:r>
    </w:p>
    <w:p w14:paraId="2F0F8300" w14:textId="77777777" w:rsidR="003E6C61" w:rsidRPr="004676F5" w:rsidRDefault="003E6C61" w:rsidP="003E6C61">
      <w:pPr>
        <w:ind w:firstLine="708"/>
        <w:jc w:val="both"/>
        <w:rPr>
          <w:lang w:val="de-DE"/>
        </w:rPr>
      </w:pPr>
    </w:p>
    <w:p w14:paraId="0121671A" w14:textId="05BB892E" w:rsidR="003E6C61" w:rsidRPr="004676F5" w:rsidRDefault="003E6C61" w:rsidP="003E6C61">
      <w:pPr>
        <w:ind w:firstLine="708"/>
        <w:jc w:val="both"/>
        <w:rPr>
          <w:lang w:val="de-DE"/>
        </w:rPr>
      </w:pPr>
      <w:r w:rsidRPr="004676F5">
        <w:rPr>
          <w:lang w:val="de-DE"/>
        </w:rPr>
        <w:lastRenderedPageBreak/>
        <w:t>§ 3 </w:t>
      </w:r>
      <w:r w:rsidR="005B7A5C" w:rsidRPr="004676F5">
        <w:rPr>
          <w:lang w:val="de-DE"/>
        </w:rPr>
        <w:t>- </w:t>
      </w:r>
      <w:r w:rsidRPr="004676F5">
        <w:rPr>
          <w:lang w:val="de-DE"/>
        </w:rPr>
        <w:t>Wenn die Datei Zahlungsausfälle verarbeitet, kann der Verbraucher fordern, dass zusammen mit dem Zahlungsausfall der von ihm mitgeteilte Grund für diesen Zahlungsausfall vermerkt wird.</w:t>
      </w:r>
    </w:p>
    <w:p w14:paraId="797D0A96" w14:textId="77777777" w:rsidR="003E6C61" w:rsidRPr="004676F5" w:rsidRDefault="003E6C61" w:rsidP="003E6C61">
      <w:pPr>
        <w:ind w:firstLine="708"/>
        <w:jc w:val="both"/>
        <w:rPr>
          <w:lang w:val="de-DE"/>
        </w:rPr>
      </w:pPr>
    </w:p>
    <w:p w14:paraId="4D0C1AE6" w14:textId="04BE50C5" w:rsidR="00881814" w:rsidRPr="004676F5" w:rsidRDefault="003E6C61" w:rsidP="003E6C61">
      <w:pPr>
        <w:ind w:firstLine="708"/>
        <w:jc w:val="both"/>
        <w:rPr>
          <w:lang w:val="de-DE"/>
        </w:rPr>
      </w:pPr>
      <w:r w:rsidRPr="004676F5">
        <w:rPr>
          <w:lang w:val="de-DE"/>
        </w:rPr>
        <w:t>§ 4 </w:t>
      </w:r>
      <w:r w:rsidR="005B7A5C" w:rsidRPr="004676F5">
        <w:rPr>
          <w:lang w:val="de-DE"/>
        </w:rPr>
        <w:t>- </w:t>
      </w:r>
      <w:r w:rsidRPr="004676F5">
        <w:rPr>
          <w:lang w:val="de-DE"/>
        </w:rPr>
        <w:t>Der König kann Modalitäten für die Ausübung der in vorliegendem Artikel erwähnten Rechte festlegen.</w:t>
      </w:r>
      <w:r w:rsidR="002E20BA" w:rsidRPr="004676F5">
        <w:rPr>
          <w:lang w:val="de-DE"/>
        </w:rPr>
        <w:t>]</w:t>
      </w:r>
    </w:p>
    <w:p w14:paraId="6470B90D" w14:textId="77777777" w:rsidR="00974D74" w:rsidRPr="004676F5" w:rsidRDefault="00974D74" w:rsidP="00881814">
      <w:pPr>
        <w:ind w:firstLine="708"/>
        <w:jc w:val="both"/>
        <w:rPr>
          <w:lang w:val="de-DE"/>
        </w:rPr>
      </w:pPr>
    </w:p>
    <w:p w14:paraId="53781D36" w14:textId="77777777" w:rsidR="00C76F75" w:rsidRPr="004676F5" w:rsidRDefault="00C76F75">
      <w:pPr>
        <w:rPr>
          <w:lang w:val="de-DE"/>
        </w:rPr>
      </w:pPr>
      <w:r w:rsidRPr="004676F5">
        <w:rPr>
          <w:lang w:val="de-DE"/>
        </w:rPr>
        <w:br w:type="page"/>
      </w:r>
    </w:p>
    <w:p w14:paraId="42057343" w14:textId="2783463D" w:rsidR="00881814" w:rsidRPr="004676F5" w:rsidRDefault="00881814" w:rsidP="00881814">
      <w:pPr>
        <w:jc w:val="center"/>
        <w:rPr>
          <w:lang w:val="de-DE"/>
        </w:rPr>
      </w:pPr>
      <w:r w:rsidRPr="004676F5">
        <w:rPr>
          <w:lang w:val="de-DE"/>
        </w:rPr>
        <w:lastRenderedPageBreak/>
        <w:t xml:space="preserve">KAPITEL 3 </w:t>
      </w:r>
      <w:r w:rsidR="005B7A5C" w:rsidRPr="004676F5">
        <w:rPr>
          <w:lang w:val="de-DE"/>
        </w:rPr>
        <w:t>- </w:t>
      </w:r>
      <w:r w:rsidRPr="004676F5">
        <w:rPr>
          <w:i/>
          <w:lang w:val="de-DE"/>
        </w:rPr>
        <w:t>Zentrale für Kredite an Privatpersonen</w:t>
      </w:r>
    </w:p>
    <w:p w14:paraId="6623B897" w14:textId="77777777" w:rsidR="00881814" w:rsidRPr="004676F5" w:rsidRDefault="00881814" w:rsidP="00881814">
      <w:pPr>
        <w:ind w:firstLine="708"/>
        <w:jc w:val="both"/>
        <w:rPr>
          <w:lang w:val="de-DE"/>
        </w:rPr>
      </w:pPr>
    </w:p>
    <w:p w14:paraId="036D5E3D" w14:textId="77777777" w:rsidR="00974D74" w:rsidRPr="004676F5" w:rsidRDefault="00974D74" w:rsidP="00881814">
      <w:pPr>
        <w:ind w:firstLine="708"/>
        <w:jc w:val="both"/>
        <w:rPr>
          <w:lang w:val="de-DE"/>
        </w:rPr>
      </w:pPr>
    </w:p>
    <w:p w14:paraId="15C4F46C" w14:textId="602211CF" w:rsidR="00881814" w:rsidRPr="004676F5" w:rsidRDefault="00881814" w:rsidP="00881814">
      <w:pPr>
        <w:jc w:val="center"/>
        <w:rPr>
          <w:lang w:val="de-DE"/>
        </w:rPr>
      </w:pPr>
      <w:r w:rsidRPr="004676F5">
        <w:rPr>
          <w:i/>
          <w:lang w:val="de-DE"/>
        </w:rPr>
        <w:t>Abschnitt 1 </w:t>
      </w:r>
      <w:r w:rsidR="005B7A5C" w:rsidRPr="004676F5">
        <w:rPr>
          <w:i/>
          <w:lang w:val="de-DE"/>
        </w:rPr>
        <w:t>- </w:t>
      </w:r>
      <w:r w:rsidRPr="004676F5">
        <w:rPr>
          <w:lang w:val="de-DE"/>
        </w:rPr>
        <w:t>Registrierung</w:t>
      </w:r>
    </w:p>
    <w:p w14:paraId="3FE197CB" w14:textId="77777777" w:rsidR="00881814" w:rsidRPr="004676F5" w:rsidRDefault="00881814" w:rsidP="00881814">
      <w:pPr>
        <w:ind w:firstLine="708"/>
        <w:jc w:val="both"/>
        <w:rPr>
          <w:lang w:val="de-DE"/>
        </w:rPr>
      </w:pPr>
    </w:p>
    <w:p w14:paraId="4C89284D" w14:textId="77777777" w:rsidR="00974D74" w:rsidRPr="004676F5" w:rsidRDefault="00974D74" w:rsidP="00881814">
      <w:pPr>
        <w:ind w:firstLine="708"/>
        <w:jc w:val="both"/>
        <w:rPr>
          <w:lang w:val="de-DE"/>
        </w:rPr>
      </w:pPr>
    </w:p>
    <w:p w14:paraId="73DA1F2D" w14:textId="77777777" w:rsidR="00A12382" w:rsidRPr="004676F5" w:rsidRDefault="00BE0A56" w:rsidP="00A12382">
      <w:pPr>
        <w:ind w:firstLine="708"/>
        <w:jc w:val="both"/>
        <w:rPr>
          <w:lang w:val="de-DE"/>
        </w:rPr>
      </w:pPr>
      <w:r w:rsidRPr="004676F5">
        <w:rPr>
          <w:b/>
          <w:lang w:val="de-DE"/>
        </w:rPr>
        <w:t>Art. </w:t>
      </w:r>
      <w:r w:rsidR="00881814" w:rsidRPr="004676F5">
        <w:rPr>
          <w:b/>
          <w:lang w:val="de-DE"/>
        </w:rPr>
        <w:t>VII.148</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A12382" w:rsidRPr="004676F5">
        <w:rPr>
          <w:lang w:val="de-DE"/>
        </w:rPr>
        <w:t>[Die Bank ist beauftragt, Folgendes in der Zentrale zu registrieren:</w:t>
      </w:r>
    </w:p>
    <w:p w14:paraId="11EAEF1F" w14:textId="77777777" w:rsidR="00A12382" w:rsidRPr="004676F5" w:rsidRDefault="00A12382" w:rsidP="00A12382">
      <w:pPr>
        <w:ind w:firstLine="708"/>
        <w:jc w:val="both"/>
        <w:rPr>
          <w:lang w:val="de-DE"/>
        </w:rPr>
      </w:pPr>
    </w:p>
    <w:p w14:paraId="7CE42FC8" w14:textId="77777777" w:rsidR="00A12382" w:rsidRPr="004676F5" w:rsidRDefault="00A12382" w:rsidP="00A12382">
      <w:pPr>
        <w:ind w:firstLine="708"/>
        <w:jc w:val="both"/>
        <w:rPr>
          <w:lang w:val="de-DE"/>
        </w:rPr>
      </w:pPr>
      <w:r w:rsidRPr="004676F5">
        <w:rPr>
          <w:lang w:val="de-DE"/>
        </w:rPr>
        <w:t>1. Kreditverträge, die in den Anwendungsbereich des vorliegenden Buches fallen (positive Seite),</w:t>
      </w:r>
    </w:p>
    <w:p w14:paraId="5909FC59" w14:textId="77777777" w:rsidR="00A12382" w:rsidRPr="004676F5" w:rsidRDefault="00A12382" w:rsidP="00A12382">
      <w:pPr>
        <w:ind w:firstLine="708"/>
        <w:jc w:val="both"/>
        <w:rPr>
          <w:lang w:val="de-DE"/>
        </w:rPr>
      </w:pPr>
    </w:p>
    <w:p w14:paraId="6F22C35D" w14:textId="77777777" w:rsidR="00A12382" w:rsidRPr="004676F5" w:rsidRDefault="00A12382" w:rsidP="00A12382">
      <w:pPr>
        <w:ind w:firstLine="708"/>
        <w:jc w:val="both"/>
        <w:rPr>
          <w:lang w:val="de-DE"/>
        </w:rPr>
      </w:pPr>
      <w:r w:rsidRPr="004676F5">
        <w:rPr>
          <w:lang w:val="de-DE"/>
        </w:rPr>
        <w:t>2. Zahlungsausfälle aus diesen Verträgen (negative Seite), die die vom König festgelegten Kriterien erfüllen,</w:t>
      </w:r>
    </w:p>
    <w:p w14:paraId="23ADA93E" w14:textId="77777777" w:rsidR="00A12382" w:rsidRPr="004676F5" w:rsidRDefault="00A12382" w:rsidP="00A12382">
      <w:pPr>
        <w:ind w:firstLine="708"/>
        <w:jc w:val="both"/>
        <w:rPr>
          <w:lang w:val="de-DE"/>
        </w:rPr>
      </w:pPr>
    </w:p>
    <w:p w14:paraId="58427D13" w14:textId="77777777" w:rsidR="00A12382" w:rsidRPr="004676F5" w:rsidRDefault="00A12382" w:rsidP="00A12382">
      <w:pPr>
        <w:ind w:firstLine="708"/>
        <w:jc w:val="both"/>
        <w:rPr>
          <w:lang w:val="de-DE"/>
        </w:rPr>
      </w:pPr>
      <w:r w:rsidRPr="004676F5">
        <w:rPr>
          <w:lang w:val="de-DE"/>
        </w:rPr>
        <w:t>3. in Artikel VII.100 erwähnte nicht gewährte Überziehungen eines Zahlungskontos, mit dem kein Kreditvertrag verbunden ist (negative Seite).</w:t>
      </w:r>
    </w:p>
    <w:p w14:paraId="09C51BAC" w14:textId="77777777" w:rsidR="00A12382" w:rsidRPr="004676F5" w:rsidRDefault="00A12382" w:rsidP="00A12382">
      <w:pPr>
        <w:ind w:firstLine="708"/>
        <w:jc w:val="both"/>
        <w:rPr>
          <w:lang w:val="de-DE"/>
        </w:rPr>
      </w:pPr>
    </w:p>
    <w:p w14:paraId="768CB6CA" w14:textId="684EF5EF" w:rsidR="00881814" w:rsidRPr="004676F5" w:rsidRDefault="00A12382" w:rsidP="00A12382">
      <w:pPr>
        <w:ind w:firstLine="708"/>
        <w:jc w:val="both"/>
        <w:rPr>
          <w:lang w:val="de-DE"/>
        </w:rPr>
      </w:pPr>
      <w:r w:rsidRPr="004676F5">
        <w:rPr>
          <w:lang w:val="de-DE"/>
        </w:rPr>
        <w:t>Absatz 1 gilt nicht für Kreditverträge nach Artikel VII.3 § 3 Nr. 2 über einen Kreditbetrag bis einschließlich 1250 EUR und auch nicht für Überschreitungen, was die positive Seite betrifft.]</w:t>
      </w:r>
    </w:p>
    <w:p w14:paraId="0F4D47F1" w14:textId="77777777" w:rsidR="00881814" w:rsidRPr="004676F5" w:rsidRDefault="00881814" w:rsidP="00881814">
      <w:pPr>
        <w:ind w:firstLine="708"/>
        <w:jc w:val="both"/>
        <w:rPr>
          <w:lang w:val="de-DE"/>
        </w:rPr>
      </w:pPr>
    </w:p>
    <w:p w14:paraId="22CD930A" w14:textId="7D95F1AD"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Die in der Zentrale registrierten Daten betreffen:</w:t>
      </w:r>
    </w:p>
    <w:p w14:paraId="438E99BC" w14:textId="77777777" w:rsidR="00881814" w:rsidRPr="004676F5" w:rsidRDefault="00881814" w:rsidP="00881814">
      <w:pPr>
        <w:ind w:firstLine="708"/>
        <w:jc w:val="both"/>
        <w:rPr>
          <w:lang w:val="de-DE"/>
        </w:rPr>
      </w:pPr>
    </w:p>
    <w:p w14:paraId="50AC967D" w14:textId="77777777" w:rsidR="00881814" w:rsidRPr="004676F5" w:rsidRDefault="00881814" w:rsidP="00881814">
      <w:pPr>
        <w:ind w:firstLine="708"/>
        <w:jc w:val="both"/>
        <w:rPr>
          <w:lang w:val="de-DE"/>
        </w:rPr>
      </w:pPr>
      <w:r w:rsidRPr="004676F5">
        <w:rPr>
          <w:lang w:val="de-DE"/>
        </w:rPr>
        <w:t>1. Identität des Verbrauchers, des Kreditgebers und gegebenenfalls des Zessionars und desjenigen, der eine Sicherheit leistet,</w:t>
      </w:r>
    </w:p>
    <w:p w14:paraId="08162769" w14:textId="77777777" w:rsidR="00881814" w:rsidRPr="004676F5" w:rsidRDefault="00881814" w:rsidP="00881814">
      <w:pPr>
        <w:ind w:firstLine="708"/>
        <w:jc w:val="both"/>
        <w:rPr>
          <w:lang w:val="de-DE"/>
        </w:rPr>
      </w:pPr>
    </w:p>
    <w:p w14:paraId="54F28D22" w14:textId="77777777" w:rsidR="00881814" w:rsidRPr="004676F5" w:rsidRDefault="00881814" w:rsidP="00881814">
      <w:pPr>
        <w:ind w:firstLine="708"/>
        <w:jc w:val="both"/>
        <w:rPr>
          <w:lang w:val="de-DE"/>
        </w:rPr>
      </w:pPr>
      <w:r w:rsidRPr="004676F5">
        <w:rPr>
          <w:lang w:val="de-DE"/>
        </w:rPr>
        <w:t>2. Aktenzeichen des Kreditvertrags,</w:t>
      </w:r>
    </w:p>
    <w:p w14:paraId="781D2EB6" w14:textId="77777777" w:rsidR="00881814" w:rsidRPr="004676F5" w:rsidRDefault="00881814" w:rsidP="00881814">
      <w:pPr>
        <w:ind w:firstLine="708"/>
        <w:jc w:val="both"/>
        <w:rPr>
          <w:lang w:val="de-DE"/>
        </w:rPr>
      </w:pPr>
    </w:p>
    <w:p w14:paraId="1295E266" w14:textId="77777777" w:rsidR="00881814" w:rsidRPr="004676F5" w:rsidRDefault="00881814" w:rsidP="00881814">
      <w:pPr>
        <w:ind w:firstLine="708"/>
        <w:jc w:val="both"/>
        <w:rPr>
          <w:lang w:val="de-DE"/>
        </w:rPr>
      </w:pPr>
      <w:r w:rsidRPr="004676F5">
        <w:rPr>
          <w:lang w:val="de-DE"/>
        </w:rPr>
        <w:t>3. Kreditart,</w:t>
      </w:r>
    </w:p>
    <w:p w14:paraId="1B1B1449" w14:textId="77777777" w:rsidR="00881814" w:rsidRPr="004676F5" w:rsidRDefault="00881814" w:rsidP="00881814">
      <w:pPr>
        <w:ind w:firstLine="708"/>
        <w:jc w:val="both"/>
        <w:rPr>
          <w:lang w:val="de-DE"/>
        </w:rPr>
      </w:pPr>
    </w:p>
    <w:p w14:paraId="78E5F4F4" w14:textId="77777777" w:rsidR="00881814" w:rsidRPr="004676F5" w:rsidRDefault="00881814" w:rsidP="00881814">
      <w:pPr>
        <w:ind w:firstLine="708"/>
        <w:jc w:val="both"/>
        <w:rPr>
          <w:lang w:val="de-DE"/>
        </w:rPr>
      </w:pPr>
      <w:r w:rsidRPr="004676F5">
        <w:rPr>
          <w:lang w:val="de-DE"/>
        </w:rPr>
        <w:t>4. Merkmale des Kreditvertrags, die es ermöglichen, den Debetstand des Vertrags und dessen Entwicklung zu bestimmen,</w:t>
      </w:r>
    </w:p>
    <w:p w14:paraId="28F33CF0" w14:textId="77777777" w:rsidR="00881814" w:rsidRPr="004676F5" w:rsidRDefault="00881814" w:rsidP="00881814">
      <w:pPr>
        <w:ind w:firstLine="708"/>
        <w:jc w:val="both"/>
        <w:rPr>
          <w:lang w:val="de-DE"/>
        </w:rPr>
      </w:pPr>
    </w:p>
    <w:p w14:paraId="16758640" w14:textId="77777777" w:rsidR="00881814" w:rsidRPr="004676F5" w:rsidRDefault="00881814" w:rsidP="00881814">
      <w:pPr>
        <w:ind w:firstLine="708"/>
        <w:jc w:val="both"/>
        <w:rPr>
          <w:lang w:val="de-DE"/>
        </w:rPr>
      </w:pPr>
      <w:r w:rsidRPr="004676F5">
        <w:rPr>
          <w:lang w:val="de-DE"/>
        </w:rPr>
        <w:t>5. gegebenenfalls vom Verbraucher mitgeteilten Grund für den Zahlungsausfall,</w:t>
      </w:r>
    </w:p>
    <w:p w14:paraId="35AC0E88" w14:textId="77777777" w:rsidR="00881814" w:rsidRPr="004676F5" w:rsidRDefault="00881814" w:rsidP="00881814">
      <w:pPr>
        <w:ind w:firstLine="708"/>
        <w:jc w:val="both"/>
        <w:rPr>
          <w:lang w:val="de-DE"/>
        </w:rPr>
      </w:pPr>
    </w:p>
    <w:p w14:paraId="24B6439C" w14:textId="1D6A2239" w:rsidR="00881814" w:rsidRDefault="00881814" w:rsidP="00881814">
      <w:pPr>
        <w:ind w:firstLine="708"/>
        <w:jc w:val="both"/>
        <w:rPr>
          <w:lang w:val="de-DE"/>
        </w:rPr>
      </w:pPr>
      <w:r w:rsidRPr="004676F5">
        <w:rPr>
          <w:lang w:val="de-DE"/>
        </w:rPr>
        <w:t>6. gegebenenfalls dem Verbraucher gewährte Zahlungserleichterungen</w:t>
      </w:r>
      <w:r w:rsidR="00CE7C89">
        <w:rPr>
          <w:lang w:val="de-DE"/>
        </w:rPr>
        <w:t>,</w:t>
      </w:r>
    </w:p>
    <w:p w14:paraId="69C19C81" w14:textId="77777777" w:rsidR="00CE7C89" w:rsidRDefault="00CE7C89" w:rsidP="00881814">
      <w:pPr>
        <w:ind w:firstLine="708"/>
        <w:jc w:val="both"/>
        <w:rPr>
          <w:lang w:val="de-DE"/>
        </w:rPr>
      </w:pPr>
    </w:p>
    <w:p w14:paraId="1C5A205B" w14:textId="6ADC7690" w:rsidR="00CE7C89" w:rsidRPr="004676F5" w:rsidRDefault="00CE7C89" w:rsidP="00881814">
      <w:pPr>
        <w:ind w:firstLine="708"/>
        <w:jc w:val="both"/>
        <w:rPr>
          <w:lang w:val="de-DE"/>
        </w:rPr>
      </w:pPr>
      <w:r w:rsidRPr="00FE0D0B">
        <w:rPr>
          <w:lang w:val="de-DE"/>
        </w:rPr>
        <w:t>7.</w:t>
      </w:r>
      <w:r w:rsidR="00E704C1" w:rsidRPr="00E704C1">
        <w:rPr>
          <w:lang w:val="de-DE"/>
        </w:rPr>
        <w:t xml:space="preserve"> </w:t>
      </w:r>
      <w:r w:rsidR="00E704C1">
        <w:rPr>
          <w:lang w:val="de-DE"/>
        </w:rPr>
        <w:t>[</w:t>
      </w:r>
      <w:r w:rsidRPr="00FE0D0B">
        <w:rPr>
          <w:lang w:val="de-DE"/>
        </w:rPr>
        <w:t>Änderungen wie in Artikel VII.147/20 § 1 Absatz 3 erwähnt, einschließlich des neuen Ablaufdatums des Kredits, sowie Datum dieser Gewährung.</w:t>
      </w:r>
      <w:r>
        <w:rPr>
          <w:lang w:val="de-DE"/>
        </w:rPr>
        <w:t>]</w:t>
      </w:r>
    </w:p>
    <w:p w14:paraId="7F4C8718" w14:textId="77777777" w:rsidR="00881814" w:rsidRPr="004676F5" w:rsidRDefault="00881814" w:rsidP="00881814">
      <w:pPr>
        <w:ind w:firstLine="708"/>
        <w:jc w:val="both"/>
        <w:rPr>
          <w:lang w:val="de-DE"/>
        </w:rPr>
      </w:pPr>
    </w:p>
    <w:p w14:paraId="35E7923D" w14:textId="77777777" w:rsidR="00881814" w:rsidRPr="004676F5" w:rsidRDefault="00881814" w:rsidP="00881814">
      <w:pPr>
        <w:ind w:firstLine="708"/>
        <w:jc w:val="both"/>
        <w:rPr>
          <w:lang w:val="de-DE"/>
        </w:rPr>
      </w:pPr>
      <w:r w:rsidRPr="004676F5">
        <w:rPr>
          <w:lang w:val="de-DE"/>
        </w:rPr>
        <w:t>Der König bestimmt genauen Inhalt, Bedingungen und Modalitäten der Fortschreibung dieser Daten und Fristen für deren Aufbewahrung. Er kann diese Liste mit anderen Daten ergänzen, die für die Ausübung der Aufgaben der Bank als Aufsichtsbehörde nützlich sein können.</w:t>
      </w:r>
    </w:p>
    <w:p w14:paraId="0FE20501" w14:textId="77777777" w:rsidR="00881814" w:rsidRPr="004676F5" w:rsidRDefault="00881814" w:rsidP="00881814">
      <w:pPr>
        <w:ind w:firstLine="708"/>
        <w:jc w:val="both"/>
        <w:rPr>
          <w:lang w:val="de-DE"/>
        </w:rPr>
      </w:pPr>
    </w:p>
    <w:p w14:paraId="6CE6BED8" w14:textId="77777777" w:rsidR="00881814" w:rsidRPr="004676F5" w:rsidRDefault="00881814" w:rsidP="00881814">
      <w:pPr>
        <w:ind w:firstLine="708"/>
        <w:jc w:val="both"/>
        <w:rPr>
          <w:lang w:val="de-DE"/>
        </w:rPr>
      </w:pPr>
      <w:r w:rsidRPr="004676F5">
        <w:rPr>
          <w:lang w:val="de-DE"/>
        </w:rPr>
        <w:t>Der König kann durch einen im Ministerrat beratenen Erlass zusätzliche Informationen festlegen, die die Bank im Hinblick auf die Erstellung von Statistiken bei den in Artikel VII.149 erwähnten Personen einholen kann.</w:t>
      </w:r>
    </w:p>
    <w:p w14:paraId="6B34493F" w14:textId="77777777" w:rsidR="00881814" w:rsidRPr="004676F5" w:rsidRDefault="00881814" w:rsidP="00881814">
      <w:pPr>
        <w:ind w:firstLine="708"/>
        <w:jc w:val="both"/>
        <w:rPr>
          <w:lang w:val="de-DE"/>
        </w:rPr>
      </w:pPr>
    </w:p>
    <w:p w14:paraId="3F7B8EC6" w14:textId="77777777" w:rsidR="00CE7C89" w:rsidRDefault="00CE7C89">
      <w:pPr>
        <w:rPr>
          <w:lang w:val="de-DE"/>
        </w:rPr>
      </w:pPr>
      <w:r>
        <w:rPr>
          <w:lang w:val="de-DE"/>
        </w:rPr>
        <w:br w:type="page"/>
      </w:r>
    </w:p>
    <w:p w14:paraId="4FEADB90" w14:textId="13625C4C" w:rsidR="00881814" w:rsidRPr="004676F5" w:rsidRDefault="00881814" w:rsidP="00881814">
      <w:pPr>
        <w:ind w:firstLine="708"/>
        <w:jc w:val="both"/>
        <w:rPr>
          <w:lang w:val="de-DE"/>
        </w:rPr>
      </w:pPr>
      <w:r w:rsidRPr="004676F5">
        <w:rPr>
          <w:lang w:val="de-DE"/>
        </w:rPr>
        <w:lastRenderedPageBreak/>
        <w:t xml:space="preserve">§ 3 </w:t>
      </w:r>
      <w:r w:rsidR="005B7A5C" w:rsidRPr="004676F5">
        <w:rPr>
          <w:lang w:val="de-DE"/>
        </w:rPr>
        <w:t>- </w:t>
      </w:r>
      <w:r w:rsidRPr="004676F5">
        <w:rPr>
          <w:lang w:val="de-DE"/>
        </w:rPr>
        <w:t>Die Bank legt die administrativen und technischen Richtlinien fest, die von den Personen beachtet werden müssen, die der Zentrale Daten mitteilen oder sie abfragen müssen.</w:t>
      </w:r>
    </w:p>
    <w:p w14:paraId="7FF60FE1" w14:textId="77777777" w:rsidR="00881814" w:rsidRPr="004676F5" w:rsidRDefault="00881814" w:rsidP="00A12382">
      <w:pPr>
        <w:jc w:val="both"/>
        <w:rPr>
          <w:lang w:val="de-DE"/>
        </w:rPr>
      </w:pPr>
    </w:p>
    <w:p w14:paraId="5164772D" w14:textId="285BEED5" w:rsidR="00A12382" w:rsidRPr="004676F5" w:rsidRDefault="00A12382" w:rsidP="00A12382">
      <w:pPr>
        <w:jc w:val="both"/>
        <w:rPr>
          <w:i/>
          <w:iCs/>
          <w:lang w:val="de-DE"/>
        </w:rPr>
      </w:pPr>
      <w:r w:rsidRPr="004676F5">
        <w:rPr>
          <w:i/>
          <w:iCs/>
          <w:lang w:val="de-DE"/>
        </w:rPr>
        <w:t>[Art. VII.148 § 1 ersetzt durch Art. 5 des G. vom 31. Juli 2023 (B.S. vom 16. August 2023)</w:t>
      </w:r>
      <w:r w:rsidR="00CE7C89">
        <w:rPr>
          <w:i/>
          <w:iCs/>
          <w:lang w:val="de-DE"/>
        </w:rPr>
        <w:t xml:space="preserve">; § 2 Abs. 1 Nr. 7 </w:t>
      </w:r>
      <w:r w:rsidR="00E704C1">
        <w:rPr>
          <w:i/>
          <w:iCs/>
          <w:lang w:val="de-DE"/>
        </w:rPr>
        <w:t>ersetz</w:t>
      </w:r>
      <w:r w:rsidR="00CE7C89">
        <w:rPr>
          <w:i/>
          <w:iCs/>
          <w:lang w:val="de-DE"/>
        </w:rPr>
        <w:t>t durch Art. 49</w:t>
      </w:r>
      <w:r w:rsidR="00CE7C89" w:rsidRPr="00CE7C89">
        <w:rPr>
          <w:i/>
          <w:iCs/>
          <w:lang w:val="de-DE"/>
        </w:rPr>
        <w:t xml:space="preserve"> des G. vom 20. Dezember 2024 (B.S. vom 14. Januar 2025)</w:t>
      </w:r>
      <w:r w:rsidRPr="004676F5">
        <w:rPr>
          <w:i/>
          <w:iCs/>
          <w:lang w:val="de-DE"/>
        </w:rPr>
        <w:t>]</w:t>
      </w:r>
    </w:p>
    <w:p w14:paraId="7D90F0B4" w14:textId="77777777" w:rsidR="00A12382" w:rsidRPr="004676F5" w:rsidRDefault="00A12382" w:rsidP="00A12382">
      <w:pPr>
        <w:jc w:val="both"/>
        <w:rPr>
          <w:i/>
          <w:iCs/>
          <w:lang w:val="de-DE"/>
        </w:rPr>
      </w:pPr>
    </w:p>
    <w:p w14:paraId="1DCC3283" w14:textId="77777777" w:rsidR="00974D74" w:rsidRPr="004676F5" w:rsidRDefault="00974D74" w:rsidP="00881814">
      <w:pPr>
        <w:ind w:firstLine="708"/>
        <w:jc w:val="both"/>
        <w:rPr>
          <w:lang w:val="de-DE"/>
        </w:rPr>
      </w:pPr>
    </w:p>
    <w:p w14:paraId="3DBA8429" w14:textId="312F27E9" w:rsidR="00881814" w:rsidRPr="004676F5" w:rsidRDefault="00881814" w:rsidP="00881814">
      <w:pPr>
        <w:jc w:val="center"/>
        <w:rPr>
          <w:lang w:val="de-DE"/>
        </w:rPr>
      </w:pPr>
      <w:r w:rsidRPr="004676F5">
        <w:rPr>
          <w:i/>
          <w:lang w:val="de-DE"/>
        </w:rPr>
        <w:t>Abschnitt 2 </w:t>
      </w:r>
      <w:r w:rsidR="005B7A5C" w:rsidRPr="004676F5">
        <w:rPr>
          <w:i/>
          <w:lang w:val="de-DE"/>
        </w:rPr>
        <w:t>- </w:t>
      </w:r>
      <w:r w:rsidRPr="004676F5">
        <w:rPr>
          <w:lang w:val="de-DE"/>
        </w:rPr>
        <w:t>Mitteilung und Abfrage der Daten</w:t>
      </w:r>
    </w:p>
    <w:p w14:paraId="376CF80E" w14:textId="77777777" w:rsidR="00881814" w:rsidRPr="004676F5" w:rsidRDefault="00881814" w:rsidP="00881814">
      <w:pPr>
        <w:ind w:firstLine="708"/>
        <w:jc w:val="both"/>
        <w:rPr>
          <w:lang w:val="de-DE"/>
        </w:rPr>
      </w:pPr>
    </w:p>
    <w:p w14:paraId="6A74FEC9" w14:textId="77777777" w:rsidR="00974D74" w:rsidRPr="004676F5" w:rsidRDefault="00974D74" w:rsidP="00881814">
      <w:pPr>
        <w:ind w:firstLine="708"/>
        <w:jc w:val="both"/>
        <w:rPr>
          <w:lang w:val="de-DE"/>
        </w:rPr>
      </w:pPr>
    </w:p>
    <w:p w14:paraId="255F4CB9" w14:textId="199A4B33" w:rsidR="00881814" w:rsidRPr="004676F5" w:rsidRDefault="00BE0A56" w:rsidP="00881814">
      <w:pPr>
        <w:ind w:firstLine="708"/>
        <w:jc w:val="both"/>
        <w:rPr>
          <w:lang w:val="de-DE"/>
        </w:rPr>
      </w:pPr>
      <w:r w:rsidRPr="004676F5">
        <w:rPr>
          <w:b/>
          <w:lang w:val="de-DE"/>
        </w:rPr>
        <w:t>Art. </w:t>
      </w:r>
      <w:r w:rsidR="00881814" w:rsidRPr="004676F5">
        <w:rPr>
          <w:b/>
          <w:lang w:val="de-DE"/>
        </w:rPr>
        <w:t>VII.149</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57369A" w:rsidRPr="004676F5">
        <w:rPr>
          <w:lang w:val="de-DE"/>
        </w:rPr>
        <w:t>[Um Informationen über Finanzlage und Kreditwürdigkeit des Verbrauchers und Finanzlage und Zahlungsfähigkeit der Person, die eine Sicherheit leistet, zu erhalten, fragen Kreditgeber vor Abschluss eines Kreditvertrags die Zentrale ab; dies gilt nicht für eine Überschreitung oder die Abgabe eines in den Artikeln VII.127 § 3 und VII.133 erwähnten Angebots.]</w:t>
      </w:r>
      <w:r w:rsidR="00881814" w:rsidRPr="004676F5">
        <w:rPr>
          <w:lang w:val="de-DE"/>
        </w:rPr>
        <w:t xml:space="preserve"> Der König bestimmt die Modalitäten dieser Abfrage.</w:t>
      </w:r>
    </w:p>
    <w:p w14:paraId="540F17AB" w14:textId="77777777" w:rsidR="00881814" w:rsidRPr="004676F5" w:rsidRDefault="00881814" w:rsidP="00881814">
      <w:pPr>
        <w:ind w:firstLine="708"/>
        <w:jc w:val="both"/>
        <w:rPr>
          <w:lang w:val="de-DE"/>
        </w:rPr>
      </w:pPr>
    </w:p>
    <w:p w14:paraId="620BD961" w14:textId="70D67E15"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Für den Abschluss von Kreditverträgen zugelassene oder registrierte Kreditgeber und vom König bestimmte Personen teilen der Zentrale die Daten in Bezug auf jeden Kreditvertrag und jeden Zahlungsausfall wie in Artikel VII.148 § 1 erwähnt mit.</w:t>
      </w:r>
    </w:p>
    <w:p w14:paraId="7B9F4B68" w14:textId="77777777" w:rsidR="00881814" w:rsidRPr="004676F5" w:rsidRDefault="00881814" w:rsidP="00881814">
      <w:pPr>
        <w:ind w:firstLine="708"/>
        <w:jc w:val="both"/>
        <w:rPr>
          <w:lang w:val="de-DE"/>
        </w:rPr>
      </w:pPr>
    </w:p>
    <w:p w14:paraId="291CC793" w14:textId="77777777" w:rsidR="00881814" w:rsidRPr="004676F5" w:rsidRDefault="00881814" w:rsidP="00881814">
      <w:pPr>
        <w:ind w:firstLine="708"/>
        <w:jc w:val="both"/>
        <w:rPr>
          <w:lang w:val="de-DE"/>
        </w:rPr>
      </w:pPr>
      <w:r w:rsidRPr="004676F5">
        <w:rPr>
          <w:lang w:val="de-DE"/>
        </w:rPr>
        <w:t>Der König bestimmt die Fristen für die Mitteilung dieser Daten an die Zentrale.</w:t>
      </w:r>
    </w:p>
    <w:p w14:paraId="5021105E" w14:textId="77777777" w:rsidR="00881814" w:rsidRPr="004676F5" w:rsidRDefault="00881814" w:rsidP="00881814">
      <w:pPr>
        <w:ind w:firstLine="708"/>
        <w:jc w:val="both"/>
        <w:rPr>
          <w:lang w:val="de-DE"/>
        </w:rPr>
      </w:pPr>
    </w:p>
    <w:p w14:paraId="1F7DC84F" w14:textId="77777777" w:rsidR="00881814" w:rsidRPr="004676F5" w:rsidRDefault="00881814" w:rsidP="00881814">
      <w:pPr>
        <w:ind w:firstLine="708"/>
        <w:jc w:val="both"/>
        <w:rPr>
          <w:lang w:val="de-DE"/>
        </w:rPr>
      </w:pPr>
      <w:r w:rsidRPr="004676F5">
        <w:rPr>
          <w:lang w:val="de-DE"/>
        </w:rPr>
        <w:t>Stellen zuständige Bedienstete des FÖD Wirtschaft fest, dass ein Kreditgeber Kreditverträge abgeschlossen hat, ohne über die dazu erforderliche Zulassung oder Registrierung zu verfügen, können sie ihn verpflichten, die Verträge und die Zahlungsausfälle dennoch in der Zentrale registrieren zu lassen. Sie teilen dies der Zentrale und dem Begleitausschuss mit. Die Registrierungskosten gehen zu Lasten des Kreditgebers. Der König kann Zahlungsmodalitäten vorsehen und die Höhe dieser Kosten festlegen.</w:t>
      </w:r>
    </w:p>
    <w:p w14:paraId="377A303A" w14:textId="77777777" w:rsidR="0057369A" w:rsidRPr="004676F5" w:rsidRDefault="0057369A" w:rsidP="00881814">
      <w:pPr>
        <w:ind w:firstLine="708"/>
        <w:jc w:val="both"/>
        <w:rPr>
          <w:lang w:val="de-DE"/>
        </w:rPr>
      </w:pPr>
    </w:p>
    <w:p w14:paraId="6598FD61" w14:textId="0460D7FE" w:rsidR="0057369A" w:rsidRPr="004676F5" w:rsidRDefault="0057369A" w:rsidP="0057369A">
      <w:pPr>
        <w:jc w:val="both"/>
        <w:rPr>
          <w:i/>
          <w:lang w:val="de-DE"/>
        </w:rPr>
      </w:pPr>
      <w:r w:rsidRPr="004676F5">
        <w:rPr>
          <w:i/>
          <w:lang w:val="de-DE"/>
        </w:rPr>
        <w:t>[</w:t>
      </w:r>
      <w:r w:rsidR="00BE0A56" w:rsidRPr="004676F5">
        <w:rPr>
          <w:i/>
          <w:lang w:val="de-DE"/>
        </w:rPr>
        <w:t>Art. </w:t>
      </w:r>
      <w:r w:rsidRPr="004676F5">
        <w:rPr>
          <w:i/>
          <w:lang w:val="de-DE"/>
        </w:rPr>
        <w:t xml:space="preserve">VII.149 § 1 abgeändert durch </w:t>
      </w:r>
      <w:r w:rsidR="00BE0A56" w:rsidRPr="004676F5">
        <w:rPr>
          <w:i/>
          <w:lang w:val="de-DE"/>
        </w:rPr>
        <w:t>Art. </w:t>
      </w:r>
      <w:r w:rsidRPr="004676F5">
        <w:rPr>
          <w:i/>
          <w:lang w:val="de-DE"/>
        </w:rPr>
        <w:t>25 des G. vom 22. April 2016 (B.S. vom 4. Mai 2016)]</w:t>
      </w:r>
    </w:p>
    <w:p w14:paraId="393D6A0D" w14:textId="77777777" w:rsidR="00881814" w:rsidRPr="004676F5" w:rsidRDefault="00881814" w:rsidP="00881814">
      <w:pPr>
        <w:ind w:firstLine="708"/>
        <w:jc w:val="both"/>
        <w:rPr>
          <w:lang w:val="de-DE"/>
        </w:rPr>
      </w:pPr>
    </w:p>
    <w:p w14:paraId="041A3936" w14:textId="77777777" w:rsidR="00974D74" w:rsidRPr="004676F5" w:rsidRDefault="00974D74" w:rsidP="00881814">
      <w:pPr>
        <w:ind w:firstLine="708"/>
        <w:jc w:val="both"/>
        <w:rPr>
          <w:lang w:val="de-DE"/>
        </w:rPr>
      </w:pPr>
    </w:p>
    <w:p w14:paraId="7D1180D7" w14:textId="1056C855" w:rsidR="00881814" w:rsidRPr="004676F5" w:rsidRDefault="00BE0A56" w:rsidP="00881814">
      <w:pPr>
        <w:ind w:firstLine="708"/>
        <w:jc w:val="both"/>
        <w:rPr>
          <w:lang w:val="de-DE"/>
        </w:rPr>
      </w:pPr>
      <w:r w:rsidRPr="004676F5">
        <w:rPr>
          <w:b/>
          <w:lang w:val="de-DE"/>
        </w:rPr>
        <w:t>Art. </w:t>
      </w:r>
      <w:r w:rsidR="00881814" w:rsidRPr="004676F5">
        <w:rPr>
          <w:b/>
          <w:lang w:val="de-DE"/>
        </w:rPr>
        <w:t>VII.150</w:t>
      </w:r>
      <w:r w:rsidR="00881814" w:rsidRPr="004676F5">
        <w:rPr>
          <w:lang w:val="de-DE"/>
        </w:rPr>
        <w:t> </w:t>
      </w:r>
      <w:r w:rsidR="005B7A5C" w:rsidRPr="004676F5">
        <w:rPr>
          <w:lang w:val="de-DE"/>
        </w:rPr>
        <w:t>- </w:t>
      </w:r>
      <w:r w:rsidR="00881814" w:rsidRPr="004676F5">
        <w:rPr>
          <w:lang w:val="de-DE"/>
        </w:rPr>
        <w:t xml:space="preserve">Für die Anwendung des vorliegenden Buches und im Hinblick auf die Identifizierung der Verbraucher und der Personen, die eine Sicherheit leisten, benutzen die Kreditgeber </w:t>
      </w:r>
      <w:r w:rsidR="00A12382" w:rsidRPr="004676F5">
        <w:rPr>
          <w:lang w:val="de-DE"/>
        </w:rPr>
        <w:t xml:space="preserve">[gegebenenfalls] </w:t>
      </w:r>
      <w:r w:rsidR="00881814" w:rsidRPr="004676F5">
        <w:rPr>
          <w:lang w:val="de-DE"/>
        </w:rPr>
        <w:t>die Erkennungsnummer des Nationalregisters der natürlichen Personen.</w:t>
      </w:r>
    </w:p>
    <w:p w14:paraId="2388A919" w14:textId="77777777" w:rsidR="00881814" w:rsidRPr="004676F5" w:rsidRDefault="00881814" w:rsidP="00881814">
      <w:pPr>
        <w:ind w:firstLine="708"/>
        <w:jc w:val="both"/>
        <w:rPr>
          <w:lang w:val="de-DE"/>
        </w:rPr>
      </w:pPr>
    </w:p>
    <w:p w14:paraId="4CCBFAA0" w14:textId="77777777" w:rsidR="00881814" w:rsidRPr="004676F5" w:rsidRDefault="00881814" w:rsidP="00881814">
      <w:pPr>
        <w:ind w:firstLine="708"/>
        <w:jc w:val="both"/>
        <w:rPr>
          <w:lang w:val="de-DE"/>
        </w:rPr>
      </w:pPr>
      <w:r w:rsidRPr="004676F5">
        <w:rPr>
          <w:lang w:val="de-DE"/>
        </w:rPr>
        <w:t>Bei Beantragung eines Kreditvertrags teilt der Verbraucher die vorerwähnte Erkennungsnummer mit.</w:t>
      </w:r>
    </w:p>
    <w:p w14:paraId="485A9E19" w14:textId="77777777" w:rsidR="00881814" w:rsidRPr="004676F5" w:rsidRDefault="00881814" w:rsidP="00881814">
      <w:pPr>
        <w:ind w:firstLine="708"/>
        <w:jc w:val="both"/>
        <w:rPr>
          <w:lang w:val="de-DE"/>
        </w:rPr>
      </w:pPr>
    </w:p>
    <w:p w14:paraId="576FF3FB" w14:textId="070FAF4E" w:rsidR="00881814" w:rsidRPr="004676F5" w:rsidRDefault="00881814" w:rsidP="00881814">
      <w:pPr>
        <w:ind w:firstLine="708"/>
        <w:jc w:val="both"/>
        <w:rPr>
          <w:lang w:val="de-DE"/>
        </w:rPr>
      </w:pPr>
      <w:r w:rsidRPr="004676F5">
        <w:rPr>
          <w:lang w:val="de-DE"/>
        </w:rPr>
        <w:t xml:space="preserve">Die Bank ist ermächtigt, in ihren Beziehungen mit den Verbrauchern und den </w:t>
      </w:r>
      <w:r w:rsidR="00870ECD" w:rsidRPr="004676F5">
        <w:rPr>
          <w:lang w:val="de-DE"/>
        </w:rPr>
        <w:t>[in den Artikeln VII.149 § 2 Absatz 1]</w:t>
      </w:r>
      <w:r w:rsidRPr="004676F5">
        <w:rPr>
          <w:lang w:val="de-DE"/>
        </w:rPr>
        <w:t xml:space="preserve"> und VII.153 § 1 erwähnten Personen </w:t>
      </w:r>
      <w:r w:rsidR="00A12382" w:rsidRPr="004676F5">
        <w:rPr>
          <w:lang w:val="de-DE"/>
        </w:rPr>
        <w:t xml:space="preserve">[gegebenenfalls] </w:t>
      </w:r>
      <w:r w:rsidRPr="004676F5">
        <w:rPr>
          <w:lang w:val="de-DE"/>
        </w:rPr>
        <w:t>die Erkennungsnummer des Nationalregisters der natürlichen Personen zu benutzen.</w:t>
      </w:r>
    </w:p>
    <w:p w14:paraId="7CEFC849" w14:textId="77777777" w:rsidR="00870ECD" w:rsidRPr="004676F5" w:rsidRDefault="00870ECD" w:rsidP="00881814">
      <w:pPr>
        <w:ind w:firstLine="708"/>
        <w:jc w:val="both"/>
        <w:rPr>
          <w:lang w:val="de-DE"/>
        </w:rPr>
      </w:pPr>
    </w:p>
    <w:p w14:paraId="15E38C23" w14:textId="7A15B146" w:rsidR="00870ECD" w:rsidRPr="004676F5" w:rsidRDefault="00870ECD" w:rsidP="00870ECD">
      <w:pPr>
        <w:jc w:val="both"/>
        <w:rPr>
          <w:i/>
          <w:lang w:val="de-DE"/>
        </w:rPr>
      </w:pPr>
      <w:r w:rsidRPr="004676F5">
        <w:rPr>
          <w:i/>
          <w:lang w:val="de-DE"/>
        </w:rPr>
        <w:t>[</w:t>
      </w:r>
      <w:r w:rsidR="00BE0A56" w:rsidRPr="004676F5">
        <w:rPr>
          <w:i/>
          <w:lang w:val="de-DE"/>
        </w:rPr>
        <w:t>Art. </w:t>
      </w:r>
      <w:r w:rsidRPr="004676F5">
        <w:rPr>
          <w:i/>
          <w:lang w:val="de-DE"/>
        </w:rPr>
        <w:t xml:space="preserve">VII.150 </w:t>
      </w:r>
      <w:r w:rsidR="00A12382" w:rsidRPr="004676F5">
        <w:rPr>
          <w:i/>
          <w:lang w:val="de-DE"/>
        </w:rPr>
        <w:t>Abs. 1 abgeändert durch Art. 6 Nr. 1</w:t>
      </w:r>
      <w:r w:rsidR="00A12382" w:rsidRPr="004676F5">
        <w:rPr>
          <w:i/>
          <w:iCs/>
          <w:lang w:val="de-DE"/>
        </w:rPr>
        <w:t xml:space="preserve"> des G. vom 31. Juli 2023 (B.S. vom 16. August 2023); </w:t>
      </w:r>
      <w:r w:rsidRPr="004676F5">
        <w:rPr>
          <w:i/>
          <w:lang w:val="de-DE"/>
        </w:rPr>
        <w:t xml:space="preserve">Abs. 3 abgeändert durch </w:t>
      </w:r>
      <w:r w:rsidR="00BE0A56" w:rsidRPr="004676F5">
        <w:rPr>
          <w:i/>
          <w:lang w:val="de-DE"/>
        </w:rPr>
        <w:t>Art. </w:t>
      </w:r>
      <w:r w:rsidRPr="004676F5">
        <w:rPr>
          <w:i/>
          <w:lang w:val="de-DE"/>
        </w:rPr>
        <w:t>22</w:t>
      </w:r>
      <w:r w:rsidRPr="004676F5">
        <w:rPr>
          <w:i/>
          <w:iCs/>
          <w:lang w:val="de-DE"/>
        </w:rPr>
        <w:t xml:space="preserve"> </w:t>
      </w:r>
      <w:r w:rsidRPr="004676F5">
        <w:rPr>
          <w:i/>
          <w:lang w:val="de-DE"/>
        </w:rPr>
        <w:t>des G. vom 26. Oktober 2015 (B.S. vom 30. Oktober 2015)</w:t>
      </w:r>
      <w:r w:rsidR="00A12382" w:rsidRPr="004676F5">
        <w:rPr>
          <w:i/>
          <w:lang w:val="de-DE"/>
        </w:rPr>
        <w:t xml:space="preserve"> und Art. 6 Nr. 2</w:t>
      </w:r>
      <w:r w:rsidR="00A12382" w:rsidRPr="004676F5">
        <w:rPr>
          <w:i/>
          <w:iCs/>
          <w:lang w:val="de-DE"/>
        </w:rPr>
        <w:t xml:space="preserve"> des G. vom 31. Juli 2023 (B.S. vom 16. August 2023)</w:t>
      </w:r>
      <w:r w:rsidRPr="004676F5">
        <w:rPr>
          <w:i/>
          <w:lang w:val="de-DE"/>
        </w:rPr>
        <w:t>]</w:t>
      </w:r>
    </w:p>
    <w:p w14:paraId="5583D8AE" w14:textId="77777777" w:rsidR="00881814" w:rsidRPr="004676F5" w:rsidRDefault="00881814" w:rsidP="00881814">
      <w:pPr>
        <w:ind w:firstLine="708"/>
        <w:jc w:val="both"/>
        <w:rPr>
          <w:lang w:val="de-DE"/>
        </w:rPr>
      </w:pPr>
    </w:p>
    <w:p w14:paraId="3E1C6D5E" w14:textId="77777777" w:rsidR="00974D74" w:rsidRPr="004676F5" w:rsidRDefault="00974D74" w:rsidP="00881814">
      <w:pPr>
        <w:ind w:firstLine="708"/>
        <w:jc w:val="both"/>
        <w:rPr>
          <w:lang w:val="de-DE"/>
        </w:rPr>
      </w:pPr>
    </w:p>
    <w:p w14:paraId="214A9F84" w14:textId="77777777" w:rsidR="00726E9F" w:rsidRDefault="00726E9F">
      <w:pPr>
        <w:rPr>
          <w:b/>
          <w:lang w:val="de-DE"/>
        </w:rPr>
      </w:pPr>
      <w:r>
        <w:rPr>
          <w:b/>
          <w:lang w:val="de-DE"/>
        </w:rPr>
        <w:br w:type="page"/>
      </w:r>
    </w:p>
    <w:p w14:paraId="639C870A" w14:textId="29AE5DA1" w:rsidR="00881814" w:rsidRPr="004676F5" w:rsidRDefault="00BE0A56" w:rsidP="00881814">
      <w:pPr>
        <w:ind w:firstLine="708"/>
        <w:jc w:val="both"/>
        <w:rPr>
          <w:lang w:val="de-DE"/>
        </w:rPr>
      </w:pPr>
      <w:r w:rsidRPr="004676F5">
        <w:rPr>
          <w:b/>
          <w:lang w:val="de-DE"/>
        </w:rPr>
        <w:lastRenderedPageBreak/>
        <w:t>Art. </w:t>
      </w:r>
      <w:r w:rsidR="00881814" w:rsidRPr="004676F5">
        <w:rPr>
          <w:b/>
          <w:lang w:val="de-DE"/>
        </w:rPr>
        <w:t>VII.151</w:t>
      </w:r>
      <w:r w:rsidR="00881814" w:rsidRPr="004676F5">
        <w:rPr>
          <w:lang w:val="de-DE"/>
        </w:rPr>
        <w:t> </w:t>
      </w:r>
      <w:r w:rsidR="005B7A5C" w:rsidRPr="004676F5">
        <w:rPr>
          <w:lang w:val="de-DE"/>
        </w:rPr>
        <w:t>- </w:t>
      </w:r>
      <w:r w:rsidR="00881814" w:rsidRPr="004676F5">
        <w:rPr>
          <w:lang w:val="de-DE"/>
        </w:rPr>
        <w:t>Bei der ersten Registrierung auf der negativen Seite wird der Verbraucher unverzüglich von der Bank darüber informiert. Diese Information muss folgende Angaben beinhalten:</w:t>
      </w:r>
    </w:p>
    <w:p w14:paraId="06F566F3" w14:textId="77777777" w:rsidR="00881814" w:rsidRPr="004676F5" w:rsidRDefault="00881814" w:rsidP="00881814">
      <w:pPr>
        <w:ind w:firstLine="708"/>
        <w:jc w:val="both"/>
        <w:rPr>
          <w:lang w:val="de-DE"/>
        </w:rPr>
      </w:pPr>
    </w:p>
    <w:p w14:paraId="0F7B235D" w14:textId="77777777" w:rsidR="00881814" w:rsidRPr="004676F5" w:rsidRDefault="00881814" w:rsidP="00881814">
      <w:pPr>
        <w:ind w:firstLine="708"/>
        <w:jc w:val="both"/>
        <w:rPr>
          <w:lang w:val="de-DE"/>
        </w:rPr>
      </w:pPr>
      <w:r w:rsidRPr="004676F5">
        <w:rPr>
          <w:lang w:val="de-DE"/>
        </w:rPr>
        <w:t>1. Aktenzeichen des betreffenden Vertrags,</w:t>
      </w:r>
    </w:p>
    <w:p w14:paraId="02086B46" w14:textId="77777777" w:rsidR="00881814" w:rsidRPr="004676F5" w:rsidRDefault="00881814" w:rsidP="00881814">
      <w:pPr>
        <w:ind w:firstLine="708"/>
        <w:jc w:val="both"/>
        <w:rPr>
          <w:lang w:val="de-DE"/>
        </w:rPr>
      </w:pPr>
    </w:p>
    <w:p w14:paraId="180810A8" w14:textId="77777777" w:rsidR="00881814" w:rsidRPr="004676F5" w:rsidRDefault="00881814" w:rsidP="00881814">
      <w:pPr>
        <w:ind w:firstLine="708"/>
        <w:jc w:val="both"/>
        <w:rPr>
          <w:lang w:val="de-DE"/>
        </w:rPr>
      </w:pPr>
      <w:r w:rsidRPr="004676F5">
        <w:rPr>
          <w:lang w:val="de-DE"/>
        </w:rPr>
        <w:t>2. Zwecke der Verarbeitung in der Zentrale,</w:t>
      </w:r>
    </w:p>
    <w:p w14:paraId="0873C7AA" w14:textId="77777777" w:rsidR="00881814" w:rsidRPr="004676F5" w:rsidRDefault="00881814" w:rsidP="00881814">
      <w:pPr>
        <w:ind w:firstLine="708"/>
        <w:jc w:val="both"/>
        <w:rPr>
          <w:lang w:val="de-DE"/>
        </w:rPr>
      </w:pPr>
    </w:p>
    <w:p w14:paraId="5CBF8BF0" w14:textId="77777777" w:rsidR="00881814" w:rsidRPr="004676F5" w:rsidRDefault="00881814" w:rsidP="00881814">
      <w:pPr>
        <w:ind w:firstLine="708"/>
        <w:jc w:val="both"/>
        <w:rPr>
          <w:lang w:val="de-DE"/>
        </w:rPr>
      </w:pPr>
      <w:r w:rsidRPr="004676F5">
        <w:rPr>
          <w:lang w:val="de-DE"/>
        </w:rPr>
        <w:t>3. Name und Anschrift der Person, die die Daten mitgeteilt hat,</w:t>
      </w:r>
    </w:p>
    <w:p w14:paraId="3B686575" w14:textId="77777777" w:rsidR="00881814" w:rsidRPr="004676F5" w:rsidRDefault="00881814" w:rsidP="00881814">
      <w:pPr>
        <w:ind w:firstLine="708"/>
        <w:jc w:val="both"/>
        <w:rPr>
          <w:lang w:val="de-DE"/>
        </w:rPr>
      </w:pPr>
    </w:p>
    <w:p w14:paraId="2F09093B" w14:textId="696D749A" w:rsidR="00881814" w:rsidRPr="004676F5" w:rsidRDefault="00881814" w:rsidP="00881814">
      <w:pPr>
        <w:ind w:firstLine="708"/>
        <w:jc w:val="both"/>
        <w:rPr>
          <w:lang w:val="de-DE"/>
        </w:rPr>
      </w:pPr>
      <w:r w:rsidRPr="004676F5">
        <w:rPr>
          <w:lang w:val="de-DE"/>
        </w:rPr>
        <w:t>4. Bestehen eines Zugangs-, Berichtigungs</w:t>
      </w:r>
      <w:r w:rsidR="005B7A5C" w:rsidRPr="004676F5">
        <w:rPr>
          <w:lang w:val="de-DE"/>
        </w:rPr>
        <w:t>- </w:t>
      </w:r>
      <w:r w:rsidRPr="004676F5">
        <w:rPr>
          <w:lang w:val="de-DE"/>
        </w:rPr>
        <w:t>und Streichungsrechts hinsichtlich der Daten und Fristen für die Aufbewahrung dieser Daten,</w:t>
      </w:r>
    </w:p>
    <w:p w14:paraId="08B3DA1A" w14:textId="77777777" w:rsidR="00881814" w:rsidRPr="004676F5" w:rsidRDefault="00881814" w:rsidP="00881814">
      <w:pPr>
        <w:ind w:firstLine="708"/>
        <w:jc w:val="both"/>
        <w:rPr>
          <w:lang w:val="de-DE"/>
        </w:rPr>
      </w:pPr>
    </w:p>
    <w:p w14:paraId="76C2DDBA" w14:textId="77777777" w:rsidR="00881814" w:rsidRPr="004676F5" w:rsidRDefault="00881814" w:rsidP="00881814">
      <w:pPr>
        <w:ind w:firstLine="708"/>
        <w:jc w:val="both"/>
        <w:rPr>
          <w:lang w:val="de-DE"/>
        </w:rPr>
      </w:pPr>
      <w:r w:rsidRPr="004676F5">
        <w:rPr>
          <w:lang w:val="de-DE"/>
        </w:rPr>
        <w:t>5. Kontaktdaten der zuständigen Aufsichtsbehörde beim FÖD Wirtschaft und des Ausschusses für den Schutz des Privatlebens.</w:t>
      </w:r>
    </w:p>
    <w:p w14:paraId="2CC110F2" w14:textId="77777777" w:rsidR="00881814" w:rsidRPr="004676F5" w:rsidRDefault="00881814" w:rsidP="00881814">
      <w:pPr>
        <w:ind w:firstLine="708"/>
        <w:jc w:val="both"/>
        <w:rPr>
          <w:lang w:val="de-DE"/>
        </w:rPr>
      </w:pPr>
    </w:p>
    <w:p w14:paraId="05B3EECE" w14:textId="77777777" w:rsidR="00974D74" w:rsidRPr="004676F5" w:rsidRDefault="00974D74" w:rsidP="00881814">
      <w:pPr>
        <w:ind w:firstLine="708"/>
        <w:jc w:val="both"/>
        <w:rPr>
          <w:lang w:val="de-DE"/>
        </w:rPr>
      </w:pPr>
    </w:p>
    <w:p w14:paraId="62DD14F9" w14:textId="6F25103D" w:rsidR="00881814" w:rsidRPr="004676F5" w:rsidRDefault="00BE0A56" w:rsidP="00881814">
      <w:pPr>
        <w:ind w:firstLine="708"/>
        <w:jc w:val="both"/>
        <w:rPr>
          <w:lang w:val="de-DE"/>
        </w:rPr>
      </w:pPr>
      <w:r w:rsidRPr="004676F5">
        <w:rPr>
          <w:b/>
          <w:lang w:val="de-DE"/>
        </w:rPr>
        <w:t>Art. </w:t>
      </w:r>
      <w:r w:rsidR="00881814" w:rsidRPr="004676F5">
        <w:rPr>
          <w:b/>
          <w:lang w:val="de-DE"/>
        </w:rPr>
        <w:t>VII.152</w:t>
      </w:r>
      <w:r w:rsidR="00881814" w:rsidRPr="004676F5">
        <w:rPr>
          <w:lang w:val="de-DE"/>
        </w:rPr>
        <w:t> </w:t>
      </w:r>
      <w:r w:rsidR="005B7A5C" w:rsidRPr="004676F5">
        <w:rPr>
          <w:lang w:val="de-DE"/>
        </w:rPr>
        <w:t>- </w:t>
      </w:r>
      <w:r w:rsidR="00881814" w:rsidRPr="004676F5">
        <w:rPr>
          <w:lang w:val="de-DE"/>
        </w:rPr>
        <w:t>Gemäß den vom König festgelegten Modalitäten haben Verbraucher und Personen, die eine Sicherheit leisten, kostenlos Zugang zu den auf ihren Namen registrierten Daten und können sie frei und kostenlos die Berichtigung fehlerhafter Daten beantragen.</w:t>
      </w:r>
    </w:p>
    <w:p w14:paraId="567A80E1" w14:textId="77777777" w:rsidR="00881814" w:rsidRPr="004676F5" w:rsidRDefault="00881814" w:rsidP="00881814">
      <w:pPr>
        <w:ind w:firstLine="708"/>
        <w:jc w:val="both"/>
        <w:rPr>
          <w:lang w:val="de-DE"/>
        </w:rPr>
      </w:pPr>
    </w:p>
    <w:p w14:paraId="34AF0B36" w14:textId="77777777" w:rsidR="00881814" w:rsidRPr="004676F5" w:rsidRDefault="00881814" w:rsidP="00881814">
      <w:pPr>
        <w:ind w:firstLine="708"/>
        <w:jc w:val="both"/>
        <w:rPr>
          <w:lang w:val="de-DE"/>
        </w:rPr>
      </w:pPr>
      <w:r w:rsidRPr="004676F5">
        <w:rPr>
          <w:lang w:val="de-DE"/>
        </w:rPr>
        <w:t>Bei Berichtigungsantrag muss die Bank diesen Antrag an die in Artikel VII.149 Absatz 1 und 3 erwähnte Person, die die Daten mitgeteilt hat und für die Richtigkeit ihres Inhalts verantwortlich ist, weiterleiten. Gegebenenfalls beantragt diese Person bei der Zentrale die Berichtigung der registrierten Daten.</w:t>
      </w:r>
    </w:p>
    <w:p w14:paraId="3A4DD76E" w14:textId="77777777" w:rsidR="00881814" w:rsidRPr="004676F5" w:rsidRDefault="00881814" w:rsidP="00881814">
      <w:pPr>
        <w:ind w:firstLine="708"/>
        <w:jc w:val="both"/>
        <w:rPr>
          <w:lang w:val="de-DE"/>
        </w:rPr>
      </w:pPr>
    </w:p>
    <w:p w14:paraId="574E755F" w14:textId="77777777" w:rsidR="00881814" w:rsidRPr="004676F5" w:rsidRDefault="00881814" w:rsidP="00881814">
      <w:pPr>
        <w:ind w:firstLine="708"/>
        <w:jc w:val="both"/>
        <w:rPr>
          <w:lang w:val="de-DE"/>
        </w:rPr>
      </w:pPr>
      <w:r w:rsidRPr="004676F5">
        <w:rPr>
          <w:lang w:val="de-DE"/>
        </w:rPr>
        <w:t>Bei Berichtigung muss die Bank Personen, die von der Zentrale Auskünfte erhalten haben und die die registrierte Person angibt, diese Berichtigung mitteilen.</w:t>
      </w:r>
    </w:p>
    <w:p w14:paraId="77F99241" w14:textId="77777777" w:rsidR="00881814" w:rsidRPr="004676F5" w:rsidRDefault="00881814" w:rsidP="00881814">
      <w:pPr>
        <w:ind w:firstLine="708"/>
        <w:jc w:val="both"/>
        <w:rPr>
          <w:lang w:val="de-DE"/>
        </w:rPr>
      </w:pPr>
    </w:p>
    <w:p w14:paraId="3C6CB229" w14:textId="77777777" w:rsidR="00974D74" w:rsidRPr="004676F5" w:rsidRDefault="00974D74" w:rsidP="00881814">
      <w:pPr>
        <w:ind w:firstLine="708"/>
        <w:jc w:val="both"/>
        <w:rPr>
          <w:lang w:val="de-DE"/>
        </w:rPr>
      </w:pPr>
    </w:p>
    <w:p w14:paraId="30FBB420" w14:textId="5DA1801E" w:rsidR="00881814" w:rsidRPr="004676F5" w:rsidRDefault="00BE0A56" w:rsidP="00881814">
      <w:pPr>
        <w:ind w:firstLine="708"/>
        <w:jc w:val="both"/>
        <w:rPr>
          <w:lang w:val="de-DE"/>
        </w:rPr>
      </w:pPr>
      <w:r w:rsidRPr="004676F5">
        <w:rPr>
          <w:b/>
          <w:lang w:val="de-DE"/>
        </w:rPr>
        <w:t>Art. </w:t>
      </w:r>
      <w:r w:rsidR="00881814" w:rsidRPr="004676F5">
        <w:rPr>
          <w:b/>
          <w:lang w:val="de-DE"/>
        </w:rPr>
        <w:t>VII.153</w:t>
      </w:r>
      <w:r w:rsidR="00881814" w:rsidRPr="004676F5">
        <w:rPr>
          <w:lang w:val="de-DE"/>
        </w:rPr>
        <w:t xml:space="preserve"> </w:t>
      </w:r>
      <w:r w:rsidR="005B7A5C" w:rsidRPr="004676F5">
        <w:rPr>
          <w:lang w:val="de-DE"/>
        </w:rPr>
        <w:t>- </w:t>
      </w:r>
      <w:r w:rsidR="00881814" w:rsidRPr="004676F5">
        <w:rPr>
          <w:lang w:val="de-DE"/>
        </w:rPr>
        <w:t>§ 1 </w:t>
      </w:r>
      <w:r w:rsidR="005B7A5C" w:rsidRPr="004676F5">
        <w:rPr>
          <w:lang w:val="de-DE"/>
        </w:rPr>
        <w:t>- </w:t>
      </w:r>
      <w:r w:rsidR="00881814" w:rsidRPr="004676F5">
        <w:rPr>
          <w:lang w:val="de-DE"/>
        </w:rPr>
        <w:t>Gemäß den vom König festgelegten Regeln darf die Bank die Auskünfte nur folgenden Personen mitteilen:</w:t>
      </w:r>
    </w:p>
    <w:p w14:paraId="4339F250" w14:textId="77777777" w:rsidR="00881814" w:rsidRPr="004676F5" w:rsidRDefault="00881814" w:rsidP="00881814">
      <w:pPr>
        <w:ind w:firstLine="708"/>
        <w:jc w:val="both"/>
        <w:rPr>
          <w:lang w:val="de-DE"/>
        </w:rPr>
      </w:pPr>
    </w:p>
    <w:p w14:paraId="2111B3DE" w14:textId="77777777" w:rsidR="00881814" w:rsidRPr="004676F5" w:rsidRDefault="00881814" w:rsidP="00881814">
      <w:pPr>
        <w:ind w:firstLine="708"/>
        <w:jc w:val="both"/>
        <w:rPr>
          <w:lang w:val="de-DE"/>
        </w:rPr>
      </w:pPr>
      <w:r w:rsidRPr="004676F5">
        <w:rPr>
          <w:lang w:val="de-DE"/>
        </w:rPr>
        <w:t xml:space="preserve">1. den </w:t>
      </w:r>
      <w:r w:rsidR="0057369A" w:rsidRPr="004676F5">
        <w:rPr>
          <w:lang w:val="de-DE"/>
        </w:rPr>
        <w:t>[in den Artikeln VII.119 § 1 einziger Absatz Nr. 1 bis 3, 6 bis 8, 10 und 11 und VII.147/35 einziger Absatz Nr. 1 bis 3, 6 bis 8, 10 und 11]</w:t>
      </w:r>
      <w:r w:rsidRPr="004676F5">
        <w:rPr>
          <w:lang w:val="de-DE"/>
        </w:rPr>
        <w:t xml:space="preserve"> erwähnten Personen,</w:t>
      </w:r>
    </w:p>
    <w:p w14:paraId="3F2E0618" w14:textId="77777777" w:rsidR="00881814" w:rsidRPr="004676F5" w:rsidRDefault="00881814" w:rsidP="00881814">
      <w:pPr>
        <w:ind w:firstLine="708"/>
        <w:jc w:val="both"/>
        <w:rPr>
          <w:lang w:val="de-DE"/>
        </w:rPr>
      </w:pPr>
    </w:p>
    <w:p w14:paraId="63AC9445" w14:textId="77777777" w:rsidR="00881814" w:rsidRPr="004676F5" w:rsidRDefault="00881814" w:rsidP="00881814">
      <w:pPr>
        <w:ind w:firstLine="708"/>
        <w:jc w:val="both"/>
        <w:rPr>
          <w:lang w:val="de-DE"/>
        </w:rPr>
      </w:pPr>
      <w:r w:rsidRPr="004676F5">
        <w:rPr>
          <w:lang w:val="de-DE"/>
        </w:rPr>
        <w:t>2. den in Artikel VII.119 § 1 Absatz 1 Nr. 4 erwähnten Personen, insofern sie ebenfalls über eine Zulassung als Kreditgeber verfügen,</w:t>
      </w:r>
    </w:p>
    <w:p w14:paraId="6EC0F4D4" w14:textId="77777777" w:rsidR="00881814" w:rsidRPr="004676F5" w:rsidRDefault="00881814" w:rsidP="00881814">
      <w:pPr>
        <w:ind w:firstLine="708"/>
        <w:jc w:val="both"/>
        <w:rPr>
          <w:lang w:val="de-DE"/>
        </w:rPr>
      </w:pPr>
    </w:p>
    <w:p w14:paraId="7B7D5A14" w14:textId="77777777" w:rsidR="00881814" w:rsidRPr="004676F5" w:rsidRDefault="00881814" w:rsidP="00881814">
      <w:pPr>
        <w:ind w:firstLine="708"/>
        <w:jc w:val="both"/>
        <w:rPr>
          <w:lang w:val="de-DE"/>
        </w:rPr>
      </w:pPr>
      <w:r w:rsidRPr="004676F5">
        <w:rPr>
          <w:lang w:val="de-DE"/>
        </w:rPr>
        <w:t>3. den in Artikel VII.119 § 1 Absatz 1 Nr. 9 erwähnten Personen, jedoch nur, was die Daten der Kreditverträge betrifft, die sie aufgrund ihrer Tätigkeit der gütlichen Beitreibung von Schulden tatsächlich übernommen haben,</w:t>
      </w:r>
    </w:p>
    <w:p w14:paraId="12F5B538" w14:textId="77777777" w:rsidR="00881814" w:rsidRPr="004676F5" w:rsidRDefault="00881814" w:rsidP="00881814">
      <w:pPr>
        <w:ind w:firstLine="708"/>
        <w:jc w:val="both"/>
        <w:rPr>
          <w:lang w:val="de-DE"/>
        </w:rPr>
      </w:pPr>
    </w:p>
    <w:p w14:paraId="7735D3DF" w14:textId="77777777" w:rsidR="00881814" w:rsidRPr="004676F5" w:rsidRDefault="00881814" w:rsidP="00881814">
      <w:pPr>
        <w:ind w:firstLine="708"/>
        <w:jc w:val="both"/>
        <w:rPr>
          <w:lang w:val="de-DE"/>
        </w:rPr>
      </w:pPr>
      <w:r w:rsidRPr="004676F5">
        <w:rPr>
          <w:lang w:val="de-DE"/>
        </w:rPr>
        <w:t>4. im Rahmen einer Aussage in einer Strafsache.</w:t>
      </w:r>
    </w:p>
    <w:p w14:paraId="670E0A7F" w14:textId="77777777" w:rsidR="00881814" w:rsidRPr="004676F5" w:rsidRDefault="00881814" w:rsidP="00881814">
      <w:pPr>
        <w:ind w:firstLine="708"/>
        <w:jc w:val="both"/>
        <w:rPr>
          <w:lang w:val="de-DE"/>
        </w:rPr>
      </w:pPr>
    </w:p>
    <w:p w14:paraId="20B586FA" w14:textId="77777777" w:rsidR="00881814" w:rsidRPr="004676F5" w:rsidRDefault="00881814" w:rsidP="00881814">
      <w:pPr>
        <w:ind w:firstLine="708"/>
        <w:jc w:val="both"/>
        <w:rPr>
          <w:lang w:val="de-DE"/>
        </w:rPr>
      </w:pPr>
      <w:r w:rsidRPr="004676F5">
        <w:rPr>
          <w:lang w:val="de-DE"/>
        </w:rPr>
        <w:t>Ausländische zentrale Kreditregister dürfen die in der Zentrale aufgenommenen Auskünfte ebenfalls erhalten, vorausgesetzt, dass ihre Zwecke, die registrierten Daten und der Schutz, den sie hinsichtlich des Privatlebens gewährleisten, denjenigen der Zentrale gleichwertig sind und dass sie der Zentrale auf der Grundlage der Gegenseitigkeit ihre Daten übermitteln.</w:t>
      </w:r>
    </w:p>
    <w:p w14:paraId="6F07DA51" w14:textId="77777777" w:rsidR="00881814" w:rsidRPr="004676F5" w:rsidRDefault="00881814" w:rsidP="00881814">
      <w:pPr>
        <w:ind w:firstLine="708"/>
        <w:jc w:val="both"/>
        <w:rPr>
          <w:lang w:val="de-DE"/>
        </w:rPr>
      </w:pPr>
    </w:p>
    <w:p w14:paraId="1B4F49CB" w14:textId="77777777" w:rsidR="00881814" w:rsidRPr="004676F5" w:rsidRDefault="00881814" w:rsidP="00881814">
      <w:pPr>
        <w:ind w:firstLine="708"/>
        <w:jc w:val="both"/>
        <w:rPr>
          <w:lang w:val="de-DE"/>
        </w:rPr>
      </w:pPr>
      <w:r w:rsidRPr="004676F5">
        <w:rPr>
          <w:lang w:val="de-DE"/>
        </w:rPr>
        <w:lastRenderedPageBreak/>
        <w:t>Der König kann gegebenenfalls je nach Kategorie von Personen, denen in der Zentrale enthaltene Auskünfte mitgeteilt werden dürfen, die Mitteilung dieser Auskünfte auf bestimmte Daten begrenzen oder die Mitteilung bestimmter Daten ausschließen.</w:t>
      </w:r>
    </w:p>
    <w:p w14:paraId="4BCEA7AB" w14:textId="77777777" w:rsidR="00881814" w:rsidRPr="004676F5" w:rsidRDefault="00881814" w:rsidP="00881814">
      <w:pPr>
        <w:ind w:firstLine="708"/>
        <w:jc w:val="both"/>
        <w:rPr>
          <w:lang w:val="de-DE"/>
        </w:rPr>
      </w:pPr>
    </w:p>
    <w:p w14:paraId="52032A6E" w14:textId="43C51178"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Von der Bank mitgeteilte Auskünfte dürfen nur im Rahmen der Gewährung oder Verwaltung von Krediten oder Zahlungsmitteln, die das Privatvermögen einer natürlichen Person belasten können und deren Zwangsvollstreckung in das Privatvermögen dieser Person betrieben werden kann, verwendet werden.</w:t>
      </w:r>
    </w:p>
    <w:p w14:paraId="5E7F9999" w14:textId="77777777" w:rsidR="00881814" w:rsidRPr="004676F5" w:rsidRDefault="00881814" w:rsidP="00881814">
      <w:pPr>
        <w:ind w:firstLine="708"/>
        <w:jc w:val="both"/>
        <w:rPr>
          <w:lang w:val="de-DE"/>
        </w:rPr>
      </w:pPr>
    </w:p>
    <w:p w14:paraId="6034620A" w14:textId="77777777" w:rsidR="00881814" w:rsidRPr="004676F5" w:rsidRDefault="00881814" w:rsidP="00881814">
      <w:pPr>
        <w:ind w:firstLine="708"/>
        <w:jc w:val="both"/>
        <w:rPr>
          <w:lang w:val="de-DE"/>
        </w:rPr>
      </w:pPr>
      <w:r w:rsidRPr="004676F5">
        <w:rPr>
          <w:lang w:val="de-DE"/>
        </w:rPr>
        <w:t>Diese Auskünfte dürfen nicht zu Zwecken der Kundenwerbung verwendet werden.</w:t>
      </w:r>
    </w:p>
    <w:p w14:paraId="54A20335" w14:textId="77777777" w:rsidR="00881814" w:rsidRPr="004676F5" w:rsidRDefault="00881814" w:rsidP="00881814">
      <w:pPr>
        <w:ind w:firstLine="708"/>
        <w:jc w:val="both"/>
        <w:rPr>
          <w:lang w:val="de-DE"/>
        </w:rPr>
      </w:pPr>
    </w:p>
    <w:p w14:paraId="6661DF78" w14:textId="77777777" w:rsidR="00881814" w:rsidRPr="004676F5" w:rsidRDefault="00881814" w:rsidP="00881814">
      <w:pPr>
        <w:ind w:firstLine="708"/>
        <w:jc w:val="both"/>
        <w:rPr>
          <w:lang w:val="de-DE"/>
        </w:rPr>
      </w:pPr>
      <w:r w:rsidRPr="004676F5">
        <w:rPr>
          <w:lang w:val="de-DE"/>
        </w:rPr>
        <w:t xml:space="preserve">In Artikel VII.119 § 1 Absatz 1 Nr. 1 und 2 erwähnten Personen ist es gegebenenfalls und unter ihrer Verantwortung erlaubt, einen Kreditvermittler über die globalisierte Antwort auf eine Abfrage zu informieren, insofern die Abfrage auf der Grundlage eines konkreten Kreditantrags erfolgt, für den der Kreditvermittler Handlungen der Kreditvermittlung vorgenommen hat. Diese globalisierte Antwort darf sich nur </w:t>
      </w:r>
      <w:r w:rsidR="0057369A" w:rsidRPr="004676F5">
        <w:rPr>
          <w:lang w:val="de-DE"/>
        </w:rPr>
        <w:t>[auf die Anzahl Kreditverträge, auf die Summe der registrierten Kreditbeträge und bei Kreditverweigerung gemäß Artikel VII.77 § 2 Absatz 2 auf den Vermerk, dass die Verweigerung auf die Anwendung dieser Bestimmung gestützt ist, beziehen]</w:t>
      </w:r>
      <w:r w:rsidRPr="004676F5">
        <w:rPr>
          <w:lang w:val="de-DE"/>
        </w:rPr>
        <w:t>. Der Kreditvermittler darf diese Auskünfte nur im Hinblick auf die Erfüllung seiner Verpflichtungen aus den Artikeln VII.69 bis VII.71, VII.74 und VII.75 benutzen. Nach Abschluss der Kreditakte</w:t>
      </w:r>
      <w:r w:rsidR="00E63B21" w:rsidRPr="004676F5">
        <w:rPr>
          <w:lang w:val="de-DE"/>
        </w:rPr>
        <w:t xml:space="preserve"> [durch den Kreditgeber]</w:t>
      </w:r>
      <w:r w:rsidRPr="004676F5">
        <w:rPr>
          <w:lang w:val="de-DE"/>
        </w:rPr>
        <w:t xml:space="preserve"> ist die globalisierte Antwort nicht mehr verfügbar. </w:t>
      </w:r>
    </w:p>
    <w:p w14:paraId="53C6E8EB" w14:textId="77777777" w:rsidR="00881814" w:rsidRPr="004676F5" w:rsidRDefault="00881814" w:rsidP="00881814">
      <w:pPr>
        <w:ind w:firstLine="708"/>
        <w:jc w:val="both"/>
        <w:rPr>
          <w:lang w:val="de-DE"/>
        </w:rPr>
      </w:pPr>
    </w:p>
    <w:p w14:paraId="10E24F8C" w14:textId="77777777" w:rsidR="00881814" w:rsidRPr="004676F5" w:rsidRDefault="00881814" w:rsidP="00881814">
      <w:pPr>
        <w:ind w:firstLine="708"/>
        <w:jc w:val="both"/>
        <w:rPr>
          <w:lang w:val="de-DE"/>
        </w:rPr>
      </w:pPr>
      <w:r w:rsidRPr="004676F5">
        <w:rPr>
          <w:lang w:val="de-DE"/>
        </w:rPr>
        <w:t>Der Kreditvermittler darf den Verbraucher oder gegebenenfalls denjenigen, der eine persönliche Sicherheit leistet, nicht auffordern, sein Recht auf Zugang zu der Zentrale auszuüben und dem Kreditvermittler die erhaltene Antwort mitzuteilen.</w:t>
      </w:r>
    </w:p>
    <w:p w14:paraId="55126EF9" w14:textId="77777777" w:rsidR="00881814" w:rsidRPr="004676F5" w:rsidRDefault="00881814" w:rsidP="00881814">
      <w:pPr>
        <w:ind w:firstLine="708"/>
        <w:jc w:val="both"/>
        <w:rPr>
          <w:lang w:val="de-DE"/>
        </w:rPr>
      </w:pPr>
    </w:p>
    <w:p w14:paraId="5B7AE2C0" w14:textId="0B354F72" w:rsidR="00A12382" w:rsidRPr="004676F5" w:rsidRDefault="00A12382" w:rsidP="00881814">
      <w:pPr>
        <w:ind w:firstLine="708"/>
        <w:jc w:val="both"/>
        <w:rPr>
          <w:lang w:val="de-DE"/>
        </w:rPr>
      </w:pPr>
      <w:r w:rsidRPr="004676F5">
        <w:rPr>
          <w:lang w:val="de-DE"/>
        </w:rPr>
        <w:t>[§ 2/1 - In Abweichung von § 2 sind die in Artikel VII.119 § 1 Nr. 1 und 2 erwähnten Personen und die in Artikel VII.147/35 § 1 Nr. 1 und 2 erwähnten Personen ermächtigt, gegebenenfalls und unter ihrer Verantwortung vertraglich gebundene Vermittler, die ebenfalls die Eigenschaft eines Bank- und Investmentdienstleistungsagenten besitzen, über die von der Bank erteilten Auskünfte zu informieren, sofern die Abfrage auf der Grundlage eines konkreten Kreditantrags erfolgte, für den dieser Kreditvermittler Kreditvermittlungshandlungen vorgenommen hat.]</w:t>
      </w:r>
    </w:p>
    <w:p w14:paraId="7CB30AE8" w14:textId="77777777" w:rsidR="00A12382" w:rsidRPr="004676F5" w:rsidRDefault="00A12382" w:rsidP="00881814">
      <w:pPr>
        <w:ind w:firstLine="708"/>
        <w:jc w:val="both"/>
        <w:rPr>
          <w:lang w:val="de-DE"/>
        </w:rPr>
      </w:pPr>
    </w:p>
    <w:p w14:paraId="3F381A61" w14:textId="6B027052"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Personen, die von der Zentrale Auskünfte erhalten haben, müssen die nötigen Maßnahmen treffen, um die Vertraulichkeit dieser Auskünfte zu gewährleisten.</w:t>
      </w:r>
    </w:p>
    <w:p w14:paraId="6658BF7F" w14:textId="77777777" w:rsidR="00881814" w:rsidRPr="004676F5" w:rsidRDefault="00881814" w:rsidP="00881814">
      <w:pPr>
        <w:ind w:firstLine="708"/>
        <w:jc w:val="both"/>
        <w:rPr>
          <w:lang w:val="de-DE"/>
        </w:rPr>
      </w:pPr>
    </w:p>
    <w:p w14:paraId="75B7572E" w14:textId="160D04A1" w:rsidR="00881814" w:rsidRPr="004676F5" w:rsidRDefault="00881814" w:rsidP="00881814">
      <w:pPr>
        <w:ind w:firstLine="708"/>
        <w:jc w:val="both"/>
        <w:rPr>
          <w:lang w:val="de-DE"/>
        </w:rPr>
      </w:pPr>
      <w:r w:rsidRPr="004676F5">
        <w:rPr>
          <w:lang w:val="de-DE"/>
        </w:rPr>
        <w:t>§ 4 </w:t>
      </w:r>
      <w:r w:rsidR="005B7A5C" w:rsidRPr="004676F5">
        <w:rPr>
          <w:lang w:val="de-DE"/>
        </w:rPr>
        <w:t>- </w:t>
      </w:r>
      <w:r w:rsidR="00A12382" w:rsidRPr="004676F5">
        <w:rPr>
          <w:lang w:val="de-DE"/>
        </w:rPr>
        <w:t>[Unbeschadet der Anwendung der Verordnung (EU) 2016/679 des Europäischen Parlaments und des Rates vom 27. April 2016 zum Schutz natürlicher Personen bei der Verarbeitung personenbezogener Daten, zum freien Datenverkehr und zur Aufhebung der Richtlinie 95/46/EG und des Gesetzes vom 30. Juli 2018 über den Schutz natürlicher Personen hinsichtlich der Verarbeitung personenbezogener Daten ist die Bank ermächtigt, in der Zentrale gespeicherte Daten für wissenschaftliche oder statistische Zwecke oder im Rahmen ihrer gemäß dem Gesetz vom 22. Februar 1998 zur Festlegung des Grundlagenstatuts der Belgischen Nationalbank ausgeübten Tätigkeiten zu verwenden und diese Daten für wissenschaftliche oder statistische Zwecke in einer Form zu übermitteln, in der einzelne natürliche Personen vom Empfänger der Daten nicht mehr identifiziert werden können. Die Benutzung und Übermittlung der in vorliegendem Paragraphen erwähnten Daten erfolgt in pseudonymisierter Form.]</w:t>
      </w:r>
    </w:p>
    <w:p w14:paraId="15987D12" w14:textId="77777777" w:rsidR="00E63B21" w:rsidRPr="004676F5" w:rsidRDefault="00E63B21" w:rsidP="00881814">
      <w:pPr>
        <w:ind w:firstLine="708"/>
        <w:jc w:val="both"/>
        <w:rPr>
          <w:lang w:val="de-DE"/>
        </w:rPr>
      </w:pPr>
    </w:p>
    <w:p w14:paraId="1602CAAC" w14:textId="5D86D92C" w:rsidR="00E63B21" w:rsidRPr="004676F5" w:rsidRDefault="00E63B21" w:rsidP="00E63B21">
      <w:pPr>
        <w:jc w:val="both"/>
        <w:rPr>
          <w:i/>
          <w:lang w:val="de-DE"/>
        </w:rPr>
      </w:pPr>
      <w:r w:rsidRPr="004676F5">
        <w:rPr>
          <w:i/>
          <w:lang w:val="de-DE"/>
        </w:rPr>
        <w:t>[</w:t>
      </w:r>
      <w:r w:rsidR="00BE0A56" w:rsidRPr="004676F5">
        <w:rPr>
          <w:i/>
          <w:lang w:val="de-DE"/>
        </w:rPr>
        <w:t>Art. </w:t>
      </w:r>
      <w:r w:rsidRPr="004676F5">
        <w:rPr>
          <w:i/>
          <w:lang w:val="de-DE"/>
        </w:rPr>
        <w:t xml:space="preserve">VII.153 </w:t>
      </w:r>
      <w:r w:rsidR="0057369A" w:rsidRPr="004676F5">
        <w:rPr>
          <w:i/>
          <w:lang w:val="de-DE"/>
        </w:rPr>
        <w:t xml:space="preserve">§ 1 Abs. 1 Nr. 1 abgeändert durch </w:t>
      </w:r>
      <w:r w:rsidR="00BE0A56" w:rsidRPr="004676F5">
        <w:rPr>
          <w:i/>
          <w:lang w:val="de-DE"/>
        </w:rPr>
        <w:t>Art. </w:t>
      </w:r>
      <w:r w:rsidR="0057369A" w:rsidRPr="004676F5">
        <w:rPr>
          <w:i/>
          <w:lang w:val="de-DE"/>
        </w:rPr>
        <w:t xml:space="preserve">26 Nr. 1 des G. vom 22. April 2016 (B.S. vom 4. Mai 2016); </w:t>
      </w:r>
      <w:r w:rsidRPr="004676F5">
        <w:rPr>
          <w:i/>
          <w:lang w:val="de-DE"/>
        </w:rPr>
        <w:t xml:space="preserve">§ 2 Abs. 3 abgeändert durch </w:t>
      </w:r>
      <w:r w:rsidR="00BE0A56" w:rsidRPr="004676F5">
        <w:rPr>
          <w:i/>
          <w:lang w:val="de-DE"/>
        </w:rPr>
        <w:t>Art. </w:t>
      </w:r>
      <w:r w:rsidRPr="004676F5">
        <w:rPr>
          <w:i/>
          <w:lang w:val="de-DE"/>
        </w:rPr>
        <w:t>23 Nr. 1</w:t>
      </w:r>
      <w:r w:rsidRPr="004676F5">
        <w:rPr>
          <w:i/>
          <w:iCs/>
          <w:lang w:val="de-DE"/>
        </w:rPr>
        <w:t xml:space="preserve"> </w:t>
      </w:r>
      <w:r w:rsidRPr="004676F5">
        <w:rPr>
          <w:i/>
          <w:lang w:val="de-DE"/>
        </w:rPr>
        <w:t xml:space="preserve">des G. vom 26. Oktober 2015 </w:t>
      </w:r>
      <w:r w:rsidRPr="004676F5">
        <w:rPr>
          <w:i/>
          <w:lang w:val="de-DE"/>
        </w:rPr>
        <w:lastRenderedPageBreak/>
        <w:t>(B.S. vom 30. Oktober 2015)</w:t>
      </w:r>
      <w:r w:rsidR="0057369A" w:rsidRPr="004676F5">
        <w:rPr>
          <w:i/>
          <w:lang w:val="de-DE"/>
        </w:rPr>
        <w:t xml:space="preserve"> und </w:t>
      </w:r>
      <w:r w:rsidR="00BE0A56" w:rsidRPr="004676F5">
        <w:rPr>
          <w:i/>
          <w:lang w:val="de-DE"/>
        </w:rPr>
        <w:t>Art. </w:t>
      </w:r>
      <w:r w:rsidR="0057369A" w:rsidRPr="004676F5">
        <w:rPr>
          <w:i/>
          <w:lang w:val="de-DE"/>
        </w:rPr>
        <w:t>26 Nr. 2 des G. vom 22. April 2016 (B.S. vom 4. Mai 2016)</w:t>
      </w:r>
      <w:r w:rsidR="00A12382" w:rsidRPr="004676F5">
        <w:rPr>
          <w:i/>
          <w:lang w:val="de-DE"/>
        </w:rPr>
        <w:t>; § 2/1 eingefügt durch Art. 7 Nr. 1</w:t>
      </w:r>
      <w:r w:rsidR="00A12382" w:rsidRPr="004676F5">
        <w:rPr>
          <w:i/>
          <w:iCs/>
          <w:lang w:val="de-DE"/>
        </w:rPr>
        <w:t xml:space="preserve"> des G. vom 31. Juli 2023 (B.S. vom 16. August 2023); § 4 ersetzt durch Art. 7 Nr. 2 des G. vom 31. Juli 2023 (B.S. vom 16. August 2023)</w:t>
      </w:r>
      <w:r w:rsidRPr="004676F5">
        <w:rPr>
          <w:i/>
          <w:lang w:val="de-DE"/>
        </w:rPr>
        <w:t>]</w:t>
      </w:r>
    </w:p>
    <w:p w14:paraId="0425E5A1" w14:textId="77777777" w:rsidR="00881814" w:rsidRPr="004676F5" w:rsidRDefault="00974D74" w:rsidP="00974D74">
      <w:pPr>
        <w:tabs>
          <w:tab w:val="left" w:pos="1125"/>
        </w:tabs>
        <w:ind w:firstLine="708"/>
        <w:jc w:val="both"/>
        <w:rPr>
          <w:lang w:val="de-DE"/>
        </w:rPr>
      </w:pPr>
      <w:r w:rsidRPr="004676F5">
        <w:rPr>
          <w:lang w:val="de-DE"/>
        </w:rPr>
        <w:tab/>
      </w:r>
    </w:p>
    <w:p w14:paraId="3CE70D5B" w14:textId="77777777" w:rsidR="00974D74" w:rsidRPr="004676F5" w:rsidRDefault="00974D74" w:rsidP="00974D74">
      <w:pPr>
        <w:tabs>
          <w:tab w:val="left" w:pos="1125"/>
        </w:tabs>
        <w:ind w:firstLine="708"/>
        <w:jc w:val="both"/>
        <w:rPr>
          <w:lang w:val="de-DE"/>
        </w:rPr>
      </w:pPr>
    </w:p>
    <w:p w14:paraId="06F83AEC" w14:textId="463B6F57" w:rsidR="00881814" w:rsidRPr="004676F5" w:rsidRDefault="00BE0A56" w:rsidP="00881814">
      <w:pPr>
        <w:ind w:firstLine="708"/>
        <w:jc w:val="both"/>
        <w:rPr>
          <w:lang w:val="de-DE"/>
        </w:rPr>
      </w:pPr>
      <w:r w:rsidRPr="004676F5">
        <w:rPr>
          <w:b/>
          <w:lang w:val="de-DE"/>
        </w:rPr>
        <w:t>Art. </w:t>
      </w:r>
      <w:r w:rsidR="00881814" w:rsidRPr="004676F5">
        <w:rPr>
          <w:b/>
          <w:lang w:val="de-DE"/>
        </w:rPr>
        <w:t>VII.154</w:t>
      </w:r>
      <w:r w:rsidR="00881814" w:rsidRPr="004676F5">
        <w:rPr>
          <w:lang w:val="de-DE"/>
        </w:rPr>
        <w:t> </w:t>
      </w:r>
      <w:r w:rsidR="005B7A5C" w:rsidRPr="004676F5">
        <w:rPr>
          <w:lang w:val="de-DE"/>
        </w:rPr>
        <w:t>- </w:t>
      </w:r>
      <w:r w:rsidR="00881814" w:rsidRPr="004676F5">
        <w:rPr>
          <w:lang w:val="de-DE"/>
        </w:rPr>
        <w:t xml:space="preserve">Um die bei der in </w:t>
      </w:r>
      <w:r w:rsidR="00E63B21" w:rsidRPr="004676F5">
        <w:rPr>
          <w:lang w:val="de-DE"/>
        </w:rPr>
        <w:t>[Artikel VII.149 § 1]</w:t>
      </w:r>
      <w:r w:rsidR="00881814" w:rsidRPr="004676F5">
        <w:rPr>
          <w:lang w:val="de-DE"/>
        </w:rPr>
        <w:t xml:space="preserve"> erwähnten Abfrage erhaltenen Auskünfte zu vervollständigen:</w:t>
      </w:r>
    </w:p>
    <w:p w14:paraId="7BF9218F" w14:textId="77777777" w:rsidR="00881814" w:rsidRPr="004676F5" w:rsidRDefault="00881814" w:rsidP="00881814">
      <w:pPr>
        <w:ind w:firstLine="708"/>
        <w:jc w:val="both"/>
        <w:rPr>
          <w:lang w:val="de-DE"/>
        </w:rPr>
      </w:pPr>
    </w:p>
    <w:p w14:paraId="1F896323" w14:textId="23A35044" w:rsidR="00881814" w:rsidRPr="004676F5" w:rsidRDefault="00881814" w:rsidP="00881814">
      <w:pPr>
        <w:ind w:firstLine="708"/>
        <w:jc w:val="both"/>
        <w:rPr>
          <w:lang w:val="de-DE"/>
        </w:rPr>
      </w:pPr>
      <w:r w:rsidRPr="004676F5">
        <w:rPr>
          <w:lang w:val="de-DE"/>
        </w:rPr>
        <w:t>1. ist die Bank ermächtigt, für Rechnung der Kreditgeber die in Artikel 1389</w:t>
      </w:r>
      <w:r w:rsidRPr="004676F5">
        <w:rPr>
          <w:i/>
          <w:lang w:val="de-DE"/>
        </w:rPr>
        <w:t>bis</w:t>
      </w:r>
      <w:r w:rsidRPr="004676F5">
        <w:rPr>
          <w:lang w:val="de-DE"/>
        </w:rPr>
        <w:t>/1 des Gerichtsgesetzbuches erwähnte Datei der Pfändungs-, Vollmachtserteilungs-, Abtretungs</w:t>
      </w:r>
      <w:r w:rsidR="005B7A5C" w:rsidRPr="004676F5">
        <w:rPr>
          <w:lang w:val="de-DE"/>
        </w:rPr>
        <w:t>- </w:t>
      </w:r>
      <w:r w:rsidRPr="004676F5">
        <w:rPr>
          <w:lang w:val="de-DE"/>
        </w:rPr>
        <w:t>und Protestbescheide und der Bescheide über die kollektive Schuldenregelung abzufragen. Der König bestimmt die Daten, die abgefragt werden dürfen,</w:t>
      </w:r>
    </w:p>
    <w:p w14:paraId="74ACF6AD" w14:textId="77777777" w:rsidR="00881814" w:rsidRPr="004676F5" w:rsidRDefault="00881814" w:rsidP="00881814">
      <w:pPr>
        <w:ind w:firstLine="708"/>
        <w:jc w:val="both"/>
        <w:rPr>
          <w:lang w:val="de-DE"/>
        </w:rPr>
      </w:pPr>
    </w:p>
    <w:p w14:paraId="2A803732" w14:textId="0809392E" w:rsidR="00881814" w:rsidRPr="004676F5" w:rsidRDefault="00881814" w:rsidP="00881814">
      <w:pPr>
        <w:ind w:firstLine="708"/>
        <w:jc w:val="both"/>
        <w:rPr>
          <w:lang w:val="de-DE"/>
        </w:rPr>
      </w:pPr>
      <w:r w:rsidRPr="004676F5">
        <w:rPr>
          <w:lang w:val="de-DE"/>
        </w:rPr>
        <w:t>2. kann der König unter den von Ihm bestimmten Bedingungen die Bank ermächtigen, für Rechnung der Kreditgeber andere Dateien mit Übersichten nicht beglichener Schulden von Verbrauchern abzufragen. In diesem Fall bestimmt der König die Daten, die abgefragt werden dürfen</w:t>
      </w:r>
      <w:r w:rsidR="00A12382" w:rsidRPr="004676F5">
        <w:rPr>
          <w:lang w:val="de-DE"/>
        </w:rPr>
        <w:t>,</w:t>
      </w:r>
    </w:p>
    <w:p w14:paraId="0056EDA1" w14:textId="77777777" w:rsidR="00A12382" w:rsidRPr="004676F5" w:rsidRDefault="00A12382" w:rsidP="00881814">
      <w:pPr>
        <w:ind w:firstLine="708"/>
        <w:jc w:val="both"/>
        <w:rPr>
          <w:lang w:val="de-DE"/>
        </w:rPr>
      </w:pPr>
    </w:p>
    <w:p w14:paraId="32DE5440" w14:textId="4703962F" w:rsidR="00A12382" w:rsidRPr="004676F5" w:rsidRDefault="00A12382" w:rsidP="00881814">
      <w:pPr>
        <w:ind w:firstLine="708"/>
        <w:jc w:val="both"/>
        <w:rPr>
          <w:lang w:val="de-DE"/>
        </w:rPr>
      </w:pPr>
      <w:r w:rsidRPr="004676F5">
        <w:rPr>
          <w:lang w:val="de-DE"/>
        </w:rPr>
        <w:t>[3. kann diese durch Daten aus dem Register der Unternehmenskredite ergänzt werden, die sich auf Kreditinstrumente beziehen, die aufgrund von Verträgen geschaffen wurden, die in Artikel 2 Nr. 5 des Gesetzes vom 28. November 2021 zur Organisation eines Registers der Unternehmenskredite bestimmt sind und bei denen eine natürliche Person oder ein Unternehmen, das eine natürliche Person ist, Schuldner ist. Der König legt fest, welche Daten übermittelt werden können und wie diese zusätzliche Abfrage abläuft.]</w:t>
      </w:r>
    </w:p>
    <w:p w14:paraId="13D245D2" w14:textId="77777777" w:rsidR="00E63B21" w:rsidRPr="004676F5" w:rsidRDefault="00E63B21" w:rsidP="00881814">
      <w:pPr>
        <w:ind w:firstLine="708"/>
        <w:jc w:val="both"/>
        <w:rPr>
          <w:lang w:val="de-DE"/>
        </w:rPr>
      </w:pPr>
    </w:p>
    <w:p w14:paraId="04CD35CD" w14:textId="43CFB768" w:rsidR="00E63B21" w:rsidRPr="004676F5" w:rsidRDefault="00E63B21" w:rsidP="00E63B21">
      <w:pPr>
        <w:jc w:val="both"/>
        <w:rPr>
          <w:i/>
          <w:lang w:val="de-DE"/>
        </w:rPr>
      </w:pPr>
      <w:r w:rsidRPr="004676F5">
        <w:rPr>
          <w:i/>
          <w:lang w:val="de-DE"/>
        </w:rPr>
        <w:t>[</w:t>
      </w:r>
      <w:r w:rsidR="00BE0A56" w:rsidRPr="004676F5">
        <w:rPr>
          <w:i/>
          <w:lang w:val="de-DE"/>
        </w:rPr>
        <w:t>Art. </w:t>
      </w:r>
      <w:r w:rsidRPr="004676F5">
        <w:rPr>
          <w:i/>
          <w:lang w:val="de-DE"/>
        </w:rPr>
        <w:t xml:space="preserve">VII.154 einziger Absatz einleitende Bestimmung </w:t>
      </w:r>
      <w:r w:rsidR="00041464" w:rsidRPr="004676F5">
        <w:rPr>
          <w:i/>
          <w:lang w:val="de-DE"/>
        </w:rPr>
        <w:t xml:space="preserve">abgeändert durch </w:t>
      </w:r>
      <w:r w:rsidR="00BE0A56" w:rsidRPr="004676F5">
        <w:rPr>
          <w:i/>
          <w:lang w:val="de-DE"/>
        </w:rPr>
        <w:t>Art. </w:t>
      </w:r>
      <w:r w:rsidR="00041464" w:rsidRPr="004676F5">
        <w:rPr>
          <w:i/>
          <w:lang w:val="de-DE"/>
        </w:rPr>
        <w:t>24</w:t>
      </w:r>
      <w:r w:rsidR="00041464" w:rsidRPr="004676F5">
        <w:rPr>
          <w:i/>
          <w:iCs/>
          <w:lang w:val="de-DE"/>
        </w:rPr>
        <w:t xml:space="preserve"> </w:t>
      </w:r>
      <w:r w:rsidR="00041464" w:rsidRPr="004676F5">
        <w:rPr>
          <w:i/>
          <w:lang w:val="de-DE"/>
        </w:rPr>
        <w:t>des G. vom 26. Oktober 2015 (B.S. vom 30. Oktober 2015)</w:t>
      </w:r>
      <w:r w:rsidR="00A12382" w:rsidRPr="004676F5">
        <w:rPr>
          <w:i/>
          <w:lang w:val="de-DE"/>
        </w:rPr>
        <w:t>; einziger Absatz Nr. 3 eingefügt durch Art. 8</w:t>
      </w:r>
      <w:r w:rsidR="00A12382" w:rsidRPr="004676F5">
        <w:rPr>
          <w:i/>
          <w:iCs/>
          <w:lang w:val="de-DE"/>
        </w:rPr>
        <w:t xml:space="preserve"> des G. vom 31. Juli 2023 (B.S. vom 16. August 2023)</w:t>
      </w:r>
      <w:r w:rsidR="00041464" w:rsidRPr="004676F5">
        <w:rPr>
          <w:i/>
          <w:lang w:val="de-DE"/>
        </w:rPr>
        <w:t>]</w:t>
      </w:r>
    </w:p>
    <w:p w14:paraId="4F95A8E7" w14:textId="77777777" w:rsidR="00881814" w:rsidRPr="004676F5" w:rsidRDefault="00881814" w:rsidP="00881814">
      <w:pPr>
        <w:ind w:firstLine="708"/>
        <w:jc w:val="both"/>
        <w:rPr>
          <w:lang w:val="de-DE"/>
        </w:rPr>
      </w:pPr>
    </w:p>
    <w:p w14:paraId="3B7D7EEF" w14:textId="77777777" w:rsidR="007A7DCC" w:rsidRPr="004676F5" w:rsidRDefault="007A7DCC" w:rsidP="00881814">
      <w:pPr>
        <w:jc w:val="center"/>
        <w:rPr>
          <w:iCs/>
          <w:lang w:val="de-DE"/>
        </w:rPr>
      </w:pPr>
    </w:p>
    <w:p w14:paraId="2A99AD5E" w14:textId="5B6A94D8" w:rsidR="00A12382" w:rsidRPr="004676F5" w:rsidRDefault="00A12382" w:rsidP="00881814">
      <w:pPr>
        <w:jc w:val="center"/>
        <w:rPr>
          <w:lang w:val="de-DE"/>
        </w:rPr>
      </w:pPr>
      <w:r w:rsidRPr="004676F5">
        <w:rPr>
          <w:iCs/>
          <w:lang w:val="de-DE"/>
        </w:rPr>
        <w:t>[</w:t>
      </w:r>
      <w:r w:rsidRPr="004676F5">
        <w:rPr>
          <w:i/>
          <w:iCs/>
          <w:lang w:val="de-DE"/>
        </w:rPr>
        <w:t>Abschnitt 2/1</w:t>
      </w:r>
      <w:r w:rsidRPr="004676F5">
        <w:rPr>
          <w:lang w:val="de-DE"/>
        </w:rPr>
        <w:t> - Aufbewahrungsfristen]</w:t>
      </w:r>
    </w:p>
    <w:p w14:paraId="12F3526F" w14:textId="77777777" w:rsidR="00A12382" w:rsidRPr="004676F5" w:rsidRDefault="00A12382" w:rsidP="00881814">
      <w:pPr>
        <w:jc w:val="center"/>
        <w:rPr>
          <w:lang w:val="de-DE"/>
        </w:rPr>
      </w:pPr>
    </w:p>
    <w:p w14:paraId="04319430" w14:textId="781A5AC9" w:rsidR="00A12382" w:rsidRPr="004676F5" w:rsidRDefault="00A12382" w:rsidP="00A12382">
      <w:pPr>
        <w:jc w:val="both"/>
        <w:rPr>
          <w:i/>
          <w:iCs/>
          <w:lang w:val="de-DE"/>
        </w:rPr>
      </w:pPr>
      <w:r w:rsidRPr="004676F5">
        <w:rPr>
          <w:i/>
          <w:lang w:val="de-DE"/>
        </w:rPr>
        <w:t>[Unterteilung Abschnitt 2/1 eingefügt durch Art. 9</w:t>
      </w:r>
      <w:r w:rsidRPr="004676F5">
        <w:rPr>
          <w:i/>
          <w:iCs/>
          <w:lang w:val="de-DE"/>
        </w:rPr>
        <w:t xml:space="preserve"> des G. vom 31. Juli 2023 (B.S. vom 16. August 2023)]</w:t>
      </w:r>
    </w:p>
    <w:p w14:paraId="446E6CA1" w14:textId="77777777" w:rsidR="00A12382" w:rsidRPr="004676F5" w:rsidRDefault="00A12382" w:rsidP="00A12382">
      <w:pPr>
        <w:jc w:val="both"/>
        <w:rPr>
          <w:lang w:val="de-DE"/>
        </w:rPr>
      </w:pPr>
    </w:p>
    <w:p w14:paraId="60A04397" w14:textId="77777777" w:rsidR="00A12382" w:rsidRPr="004676F5" w:rsidRDefault="00A12382" w:rsidP="00A12382">
      <w:pPr>
        <w:jc w:val="both"/>
        <w:rPr>
          <w:lang w:val="de-DE"/>
        </w:rPr>
      </w:pPr>
    </w:p>
    <w:p w14:paraId="618B58B2" w14:textId="71CEFA4D" w:rsidR="00A12382" w:rsidRPr="004676F5" w:rsidRDefault="00A12382" w:rsidP="00A12382">
      <w:pPr>
        <w:ind w:firstLine="708"/>
        <w:jc w:val="both"/>
        <w:rPr>
          <w:lang w:val="de-DE"/>
        </w:rPr>
      </w:pPr>
      <w:r w:rsidRPr="004676F5">
        <w:rPr>
          <w:lang w:val="de-DE"/>
        </w:rPr>
        <w:t>[</w:t>
      </w:r>
      <w:r w:rsidRPr="004676F5">
        <w:rPr>
          <w:b/>
          <w:bCs/>
          <w:lang w:val="de-DE"/>
        </w:rPr>
        <w:t>Art. VII.154/1</w:t>
      </w:r>
      <w:r w:rsidRPr="004676F5">
        <w:rPr>
          <w:lang w:val="de-DE"/>
        </w:rPr>
        <w:t> - § 1 ­ In Artikel VII.148 § 1 Absatz 1 Nr. 1 erwähnte Daten werden im Hinblick auf ihre Abfrage wie folgt aufbewahrt:</w:t>
      </w:r>
    </w:p>
    <w:p w14:paraId="39D68865" w14:textId="77777777" w:rsidR="00A12382" w:rsidRPr="004676F5" w:rsidRDefault="00A12382" w:rsidP="00A12382">
      <w:pPr>
        <w:ind w:firstLine="708"/>
        <w:jc w:val="both"/>
        <w:rPr>
          <w:lang w:val="de-DE"/>
        </w:rPr>
      </w:pPr>
    </w:p>
    <w:p w14:paraId="763B5B76" w14:textId="77777777" w:rsidR="00A12382" w:rsidRPr="004676F5" w:rsidRDefault="00A12382" w:rsidP="00A12382">
      <w:pPr>
        <w:ind w:firstLine="708"/>
        <w:jc w:val="both"/>
        <w:rPr>
          <w:lang w:val="de-DE"/>
        </w:rPr>
      </w:pPr>
      <w:r w:rsidRPr="004676F5">
        <w:rPr>
          <w:lang w:val="de-DE"/>
        </w:rPr>
        <w:t>1. drei Monate und acht Werktage nach Ende des Kreditvertrags,</w:t>
      </w:r>
    </w:p>
    <w:p w14:paraId="5E30B6BA" w14:textId="77777777" w:rsidR="00A12382" w:rsidRPr="004676F5" w:rsidRDefault="00A12382" w:rsidP="00A12382">
      <w:pPr>
        <w:ind w:firstLine="708"/>
        <w:jc w:val="both"/>
        <w:rPr>
          <w:lang w:val="de-DE"/>
        </w:rPr>
      </w:pPr>
    </w:p>
    <w:p w14:paraId="0DDED6F7" w14:textId="77777777" w:rsidR="00A12382" w:rsidRPr="004676F5" w:rsidRDefault="00A12382" w:rsidP="00A12382">
      <w:pPr>
        <w:ind w:firstLine="708"/>
        <w:jc w:val="both"/>
        <w:rPr>
          <w:lang w:val="de-DE"/>
        </w:rPr>
      </w:pPr>
      <w:r w:rsidRPr="004676F5">
        <w:rPr>
          <w:lang w:val="de-DE"/>
        </w:rPr>
        <w:t>2. gegebenenfalls bis zu dem Tag, an dem die Mitteilung über die Rückzahlung des geschuldeten Betrags erfolgt, wenn der Kredit vorzeitig zurückgezahlt oder der Krediteröffnungsvertrag gekündigt wird, sofern nach der Rückzahlung eine erneute Inanspruchnahme nicht mehr möglich ist.</w:t>
      </w:r>
    </w:p>
    <w:p w14:paraId="38E96998" w14:textId="77777777" w:rsidR="00A12382" w:rsidRPr="004676F5" w:rsidRDefault="00A12382" w:rsidP="00A12382">
      <w:pPr>
        <w:ind w:firstLine="708"/>
        <w:jc w:val="both"/>
        <w:rPr>
          <w:lang w:val="de-DE"/>
        </w:rPr>
      </w:pPr>
    </w:p>
    <w:p w14:paraId="6D84B7F8" w14:textId="77777777" w:rsidR="00A12382" w:rsidRPr="004676F5" w:rsidRDefault="00A12382" w:rsidP="00A12382">
      <w:pPr>
        <w:ind w:firstLine="708"/>
        <w:jc w:val="both"/>
        <w:rPr>
          <w:lang w:val="de-DE"/>
        </w:rPr>
      </w:pPr>
      <w:r w:rsidRPr="004676F5">
        <w:rPr>
          <w:lang w:val="de-DE"/>
        </w:rPr>
        <w:t>§ 2 ­ Nach Ablauf der Aufbewahrungsfristen werden alle Daten aus der Zentrale gelöscht.</w:t>
      </w:r>
    </w:p>
    <w:p w14:paraId="17929770" w14:textId="77777777" w:rsidR="00A12382" w:rsidRPr="004676F5" w:rsidRDefault="00A12382" w:rsidP="00A12382">
      <w:pPr>
        <w:ind w:firstLine="708"/>
        <w:jc w:val="both"/>
        <w:rPr>
          <w:lang w:val="de-DE"/>
        </w:rPr>
      </w:pPr>
    </w:p>
    <w:p w14:paraId="6DC85E5B" w14:textId="77777777" w:rsidR="00A12382" w:rsidRPr="004676F5" w:rsidRDefault="00A12382" w:rsidP="00A12382">
      <w:pPr>
        <w:ind w:firstLine="708"/>
        <w:jc w:val="both"/>
        <w:rPr>
          <w:lang w:val="de-DE"/>
        </w:rPr>
      </w:pPr>
      <w:r w:rsidRPr="004676F5">
        <w:rPr>
          <w:lang w:val="de-DE"/>
        </w:rPr>
        <w:t>Liegt jedoch Zahlungsausfall vor, wird die Registrierung nach Verhältnis der diesbezüglich in Artikel VII.54/2 vorgesehenen Fristen verlängert.</w:t>
      </w:r>
    </w:p>
    <w:p w14:paraId="3AD8AB84" w14:textId="77777777" w:rsidR="00A12382" w:rsidRPr="004676F5" w:rsidRDefault="00A12382" w:rsidP="00A12382">
      <w:pPr>
        <w:ind w:firstLine="708"/>
        <w:jc w:val="both"/>
        <w:rPr>
          <w:lang w:val="de-DE"/>
        </w:rPr>
      </w:pPr>
    </w:p>
    <w:p w14:paraId="2538B482" w14:textId="43E2064F" w:rsidR="00A12382" w:rsidRPr="004676F5" w:rsidRDefault="00A12382" w:rsidP="00A12382">
      <w:pPr>
        <w:ind w:firstLine="708"/>
        <w:jc w:val="both"/>
        <w:rPr>
          <w:lang w:val="de-DE"/>
        </w:rPr>
      </w:pPr>
      <w:r w:rsidRPr="004676F5">
        <w:rPr>
          <w:lang w:val="de-DE"/>
        </w:rPr>
        <w:t>§ 3 ­ Im Hinblick auf die Verarbeitung zu den in Artikel VII.153 § 4 erwähnten Zwecken kann die Bank diese Daten bis zu dreißig Jahre nach Vertragsbeendigung aufbewahren. Sofern sich die Daten auf natürliche Personen beziehen, erfolgt die in vorliegendem Paragraphen erwähnte Aufbewahrung in pseudonymisierter Form.]</w:t>
      </w:r>
    </w:p>
    <w:p w14:paraId="42C7BE2D" w14:textId="77777777" w:rsidR="00A12382" w:rsidRPr="004676F5" w:rsidRDefault="00A12382" w:rsidP="00A12382">
      <w:pPr>
        <w:jc w:val="both"/>
        <w:rPr>
          <w:lang w:val="de-DE"/>
        </w:rPr>
      </w:pPr>
    </w:p>
    <w:p w14:paraId="7FD9E041" w14:textId="6D52FE6E" w:rsidR="00A12382" w:rsidRPr="004676F5" w:rsidRDefault="00A12382" w:rsidP="00A12382">
      <w:pPr>
        <w:jc w:val="both"/>
        <w:rPr>
          <w:i/>
          <w:iCs/>
          <w:lang w:val="de-DE"/>
        </w:rPr>
      </w:pPr>
      <w:r w:rsidRPr="004676F5">
        <w:rPr>
          <w:i/>
          <w:iCs/>
          <w:lang w:val="de-DE"/>
        </w:rPr>
        <w:t>[Art. VII.154/1 eingefügt durch Art. 10 des G. vom 31. Juli 2023 (B.S. vom 16. August 2023)]</w:t>
      </w:r>
    </w:p>
    <w:p w14:paraId="0B7192A2" w14:textId="77777777" w:rsidR="00A12382" w:rsidRPr="004676F5" w:rsidRDefault="00A12382" w:rsidP="00A12382">
      <w:pPr>
        <w:ind w:firstLine="708"/>
        <w:jc w:val="both"/>
        <w:rPr>
          <w:lang w:val="de-DE"/>
        </w:rPr>
      </w:pPr>
    </w:p>
    <w:p w14:paraId="6FBE9B02" w14:textId="77777777" w:rsidR="00A12382" w:rsidRPr="004676F5" w:rsidRDefault="00A12382" w:rsidP="00A12382">
      <w:pPr>
        <w:ind w:firstLine="708"/>
        <w:jc w:val="both"/>
        <w:rPr>
          <w:lang w:val="de-DE"/>
        </w:rPr>
      </w:pPr>
    </w:p>
    <w:p w14:paraId="33F2A848" w14:textId="3DB3C0DB" w:rsidR="00A12382" w:rsidRPr="004676F5" w:rsidRDefault="00A12382" w:rsidP="00A12382">
      <w:pPr>
        <w:ind w:firstLine="708"/>
        <w:jc w:val="both"/>
        <w:rPr>
          <w:lang w:val="de-DE"/>
        </w:rPr>
      </w:pPr>
      <w:r w:rsidRPr="004676F5">
        <w:rPr>
          <w:lang w:val="de-DE"/>
        </w:rPr>
        <w:t>[</w:t>
      </w:r>
      <w:r w:rsidRPr="004676F5">
        <w:rPr>
          <w:b/>
          <w:bCs/>
          <w:lang w:val="de-DE"/>
        </w:rPr>
        <w:t>Art. VII.154/2</w:t>
      </w:r>
      <w:r w:rsidRPr="004676F5">
        <w:rPr>
          <w:lang w:val="de-DE"/>
        </w:rPr>
        <w:t> - § 1 ­ Die in Artikel VII.148 § 1 Absatz 1 Nr. 2 und 3 erwähnten Daten werden im Hinblick auf ihre Abfrage wie folgt aufbewahrt:</w:t>
      </w:r>
    </w:p>
    <w:p w14:paraId="7F2EB2BC" w14:textId="77777777" w:rsidR="00A12382" w:rsidRPr="004676F5" w:rsidRDefault="00A12382" w:rsidP="00A12382">
      <w:pPr>
        <w:ind w:firstLine="708"/>
        <w:jc w:val="both"/>
        <w:rPr>
          <w:lang w:val="de-DE"/>
        </w:rPr>
      </w:pPr>
    </w:p>
    <w:p w14:paraId="3D8BDBAB" w14:textId="77777777" w:rsidR="00A12382" w:rsidRPr="004676F5" w:rsidRDefault="00A12382" w:rsidP="00A12382">
      <w:pPr>
        <w:ind w:firstLine="708"/>
        <w:jc w:val="both"/>
        <w:rPr>
          <w:lang w:val="de-DE"/>
        </w:rPr>
      </w:pPr>
      <w:r w:rsidRPr="004676F5">
        <w:rPr>
          <w:lang w:val="de-DE"/>
        </w:rPr>
        <w:t>1. bis zu zwölf Monate ab dem Datum der Regularisierung des Kreditvertrags,</w:t>
      </w:r>
    </w:p>
    <w:p w14:paraId="39771540" w14:textId="77777777" w:rsidR="00A12382" w:rsidRPr="004676F5" w:rsidRDefault="00A12382" w:rsidP="00A12382">
      <w:pPr>
        <w:ind w:firstLine="708"/>
        <w:jc w:val="both"/>
        <w:rPr>
          <w:lang w:val="de-DE"/>
        </w:rPr>
      </w:pPr>
    </w:p>
    <w:p w14:paraId="287701D5" w14:textId="77777777" w:rsidR="00A12382" w:rsidRPr="004676F5" w:rsidRDefault="00A12382" w:rsidP="00A12382">
      <w:pPr>
        <w:ind w:firstLine="708"/>
        <w:jc w:val="both"/>
        <w:rPr>
          <w:lang w:val="de-DE"/>
        </w:rPr>
      </w:pPr>
      <w:r w:rsidRPr="004676F5">
        <w:rPr>
          <w:lang w:val="de-DE"/>
        </w:rPr>
        <w:t>2. höchstens zehn Jahre ab dem Datum des ersten Zahlungsausfalls, ob der Kreditvertrag in der Zwischenzeit regularisiert worden ist oder nicht.</w:t>
      </w:r>
    </w:p>
    <w:p w14:paraId="788E0A17" w14:textId="77777777" w:rsidR="00A12382" w:rsidRPr="004676F5" w:rsidRDefault="00A12382" w:rsidP="00A12382">
      <w:pPr>
        <w:ind w:firstLine="708"/>
        <w:jc w:val="both"/>
        <w:rPr>
          <w:lang w:val="de-DE"/>
        </w:rPr>
      </w:pPr>
    </w:p>
    <w:p w14:paraId="7C25F9A8" w14:textId="77777777" w:rsidR="00A12382" w:rsidRPr="004676F5" w:rsidRDefault="00A12382" w:rsidP="00A12382">
      <w:pPr>
        <w:ind w:firstLine="708"/>
        <w:jc w:val="both"/>
        <w:rPr>
          <w:lang w:val="de-DE"/>
        </w:rPr>
      </w:pPr>
      <w:r w:rsidRPr="004676F5">
        <w:rPr>
          <w:lang w:val="de-DE"/>
        </w:rPr>
        <w:t>Bei erneutem Zahlungsausfall nach Ablauf dieser Frist von höchstens zehn Jahren setzt eine neue Frist von zehn Jahren ab dem Datum ein, an dem die Kriterien für die Registrierung dieses erneuten Zahlungsausfalls gegeben sind.</w:t>
      </w:r>
    </w:p>
    <w:p w14:paraId="57E7920C" w14:textId="77777777" w:rsidR="00A12382" w:rsidRPr="004676F5" w:rsidRDefault="00A12382" w:rsidP="00A12382">
      <w:pPr>
        <w:ind w:firstLine="708"/>
        <w:jc w:val="both"/>
        <w:rPr>
          <w:lang w:val="de-DE"/>
        </w:rPr>
      </w:pPr>
    </w:p>
    <w:p w14:paraId="69DAC57A" w14:textId="77777777" w:rsidR="00A12382" w:rsidRPr="004676F5" w:rsidRDefault="00A12382" w:rsidP="00A12382">
      <w:pPr>
        <w:ind w:firstLine="708"/>
        <w:jc w:val="both"/>
        <w:rPr>
          <w:lang w:val="de-DE"/>
        </w:rPr>
      </w:pPr>
      <w:r w:rsidRPr="004676F5">
        <w:rPr>
          <w:lang w:val="de-DE"/>
        </w:rPr>
        <w:t>§ 2 ­ Nach Ablauf der Aufbewahrungsfristen werden alle Daten aus der Zentrale gelöscht.</w:t>
      </w:r>
    </w:p>
    <w:p w14:paraId="08D6C179" w14:textId="77777777" w:rsidR="00A12382" w:rsidRPr="004676F5" w:rsidRDefault="00A12382" w:rsidP="00A12382">
      <w:pPr>
        <w:ind w:firstLine="708"/>
        <w:jc w:val="both"/>
        <w:rPr>
          <w:lang w:val="de-DE"/>
        </w:rPr>
      </w:pPr>
    </w:p>
    <w:p w14:paraId="698BF326" w14:textId="25DAD48E" w:rsidR="00A12382" w:rsidRPr="004676F5" w:rsidRDefault="00A12382" w:rsidP="00A12382">
      <w:pPr>
        <w:ind w:firstLine="708"/>
        <w:jc w:val="both"/>
        <w:rPr>
          <w:lang w:val="de-DE"/>
        </w:rPr>
      </w:pPr>
      <w:r w:rsidRPr="004676F5">
        <w:rPr>
          <w:lang w:val="de-DE"/>
        </w:rPr>
        <w:t>§ 3 ­ Im Hinblick auf die Verarbeitung zu den in Artikel VII.153 § 4 erwähnten Zwecken kann die Bank diese Daten bis zu dreißig Jahre nach Löschung des Zahlungsausfalls aufbewahren. Sofern sich die Daten auf natürliche Personen beziehen, erfolgt die in vorliegendem Paragraphen erwähnte Aufbewahrung in pseudonymisierter Form.]</w:t>
      </w:r>
    </w:p>
    <w:p w14:paraId="77E938DB" w14:textId="77777777" w:rsidR="00A12382" w:rsidRPr="004676F5" w:rsidRDefault="00A12382" w:rsidP="00A12382">
      <w:pPr>
        <w:jc w:val="both"/>
        <w:rPr>
          <w:lang w:val="de-DE"/>
        </w:rPr>
      </w:pPr>
    </w:p>
    <w:p w14:paraId="4430693F" w14:textId="03126A41" w:rsidR="00A12382" w:rsidRPr="004676F5" w:rsidRDefault="00A12382" w:rsidP="00A12382">
      <w:pPr>
        <w:jc w:val="both"/>
        <w:rPr>
          <w:i/>
          <w:iCs/>
          <w:lang w:val="de-DE"/>
        </w:rPr>
      </w:pPr>
      <w:r w:rsidRPr="004676F5">
        <w:rPr>
          <w:i/>
          <w:iCs/>
          <w:lang w:val="de-DE"/>
        </w:rPr>
        <w:t>[Art. VII.154/2 eingefügt durch Art. 11 des G. vom 31. Juli 2023 (B.S. vom 16. August 2023)]</w:t>
      </w:r>
    </w:p>
    <w:p w14:paraId="64A02BB4" w14:textId="77777777" w:rsidR="00A12382" w:rsidRPr="004676F5" w:rsidRDefault="00A12382" w:rsidP="00A12382">
      <w:pPr>
        <w:jc w:val="both"/>
        <w:rPr>
          <w:lang w:val="de-DE"/>
        </w:rPr>
      </w:pPr>
    </w:p>
    <w:p w14:paraId="4B4F0C74" w14:textId="77777777" w:rsidR="00A12382" w:rsidRPr="004676F5" w:rsidRDefault="00A12382" w:rsidP="00A12382">
      <w:pPr>
        <w:jc w:val="both"/>
        <w:rPr>
          <w:i/>
          <w:lang w:val="de-DE"/>
        </w:rPr>
      </w:pPr>
    </w:p>
    <w:p w14:paraId="587B6892" w14:textId="1985AC58" w:rsidR="00881814" w:rsidRPr="004676F5" w:rsidRDefault="00881814" w:rsidP="00881814">
      <w:pPr>
        <w:jc w:val="center"/>
        <w:rPr>
          <w:lang w:val="de-DE"/>
        </w:rPr>
      </w:pPr>
      <w:r w:rsidRPr="004676F5">
        <w:rPr>
          <w:i/>
          <w:lang w:val="de-DE"/>
        </w:rPr>
        <w:t xml:space="preserve">Abschnitt 3 </w:t>
      </w:r>
      <w:r w:rsidR="005B7A5C" w:rsidRPr="004676F5">
        <w:rPr>
          <w:i/>
          <w:lang w:val="de-DE"/>
        </w:rPr>
        <w:t>- </w:t>
      </w:r>
      <w:r w:rsidRPr="004676F5">
        <w:rPr>
          <w:lang w:val="de-DE"/>
        </w:rPr>
        <w:t>Verschiedene Bestimmungen</w:t>
      </w:r>
    </w:p>
    <w:p w14:paraId="11678966" w14:textId="77777777" w:rsidR="00881814" w:rsidRPr="004676F5" w:rsidRDefault="00881814" w:rsidP="00881814">
      <w:pPr>
        <w:ind w:firstLine="708"/>
        <w:jc w:val="both"/>
        <w:rPr>
          <w:lang w:val="de-DE"/>
        </w:rPr>
      </w:pPr>
    </w:p>
    <w:p w14:paraId="4C0ED829" w14:textId="77777777" w:rsidR="007A7DCC" w:rsidRPr="004676F5" w:rsidRDefault="007A7DCC" w:rsidP="00881814">
      <w:pPr>
        <w:ind w:firstLine="708"/>
        <w:jc w:val="both"/>
        <w:rPr>
          <w:lang w:val="de-DE"/>
        </w:rPr>
      </w:pPr>
    </w:p>
    <w:p w14:paraId="70876905" w14:textId="5D7178AF" w:rsidR="00881814" w:rsidRPr="004676F5" w:rsidRDefault="00BE0A56" w:rsidP="00881814">
      <w:pPr>
        <w:ind w:firstLine="708"/>
        <w:jc w:val="both"/>
        <w:rPr>
          <w:lang w:val="de-DE"/>
        </w:rPr>
      </w:pPr>
      <w:r w:rsidRPr="004676F5">
        <w:rPr>
          <w:b/>
          <w:lang w:val="de-DE"/>
        </w:rPr>
        <w:t>Art. </w:t>
      </w:r>
      <w:r w:rsidR="00881814" w:rsidRPr="004676F5">
        <w:rPr>
          <w:b/>
          <w:lang w:val="de-DE"/>
        </w:rPr>
        <w:t>VII.155</w:t>
      </w:r>
      <w:r w:rsidR="00881814" w:rsidRPr="004676F5">
        <w:rPr>
          <w:lang w:val="de-DE"/>
        </w:rPr>
        <w:t> </w:t>
      </w:r>
      <w:r w:rsidR="005B7A5C" w:rsidRPr="004676F5">
        <w:rPr>
          <w:lang w:val="de-DE"/>
        </w:rPr>
        <w:t>- </w:t>
      </w:r>
      <w:r w:rsidR="00881814" w:rsidRPr="004676F5">
        <w:rPr>
          <w:lang w:val="de-DE"/>
        </w:rPr>
        <w:t>Die Bank ist ermächtigt, Personen, denen Auskünfte aus der Zentrale mitgeteilt werden dürfen, um Erstattung der Kosten für Erfassung, Registrierung, Verwaltung, Kontrolle und Bereitstellung der Daten der Zentrale zu ersuchen.</w:t>
      </w:r>
    </w:p>
    <w:p w14:paraId="15D4D3A3" w14:textId="77777777" w:rsidR="00881814" w:rsidRPr="004676F5" w:rsidRDefault="00881814" w:rsidP="00881814">
      <w:pPr>
        <w:ind w:firstLine="708"/>
        <w:jc w:val="both"/>
        <w:rPr>
          <w:lang w:val="de-DE"/>
        </w:rPr>
      </w:pPr>
    </w:p>
    <w:p w14:paraId="20C7E092" w14:textId="77777777" w:rsidR="007A7DCC" w:rsidRPr="004676F5" w:rsidRDefault="007A7DCC" w:rsidP="00881814">
      <w:pPr>
        <w:ind w:firstLine="708"/>
        <w:jc w:val="both"/>
        <w:rPr>
          <w:lang w:val="de-DE"/>
        </w:rPr>
      </w:pPr>
    </w:p>
    <w:p w14:paraId="2EFEF80A" w14:textId="7F3CDFE0" w:rsidR="00881814" w:rsidRPr="004676F5" w:rsidRDefault="00BE0A56" w:rsidP="00881814">
      <w:pPr>
        <w:ind w:firstLine="708"/>
        <w:jc w:val="both"/>
        <w:rPr>
          <w:lang w:val="de-DE"/>
        </w:rPr>
      </w:pPr>
      <w:r w:rsidRPr="004676F5">
        <w:rPr>
          <w:b/>
          <w:lang w:val="de-DE"/>
        </w:rPr>
        <w:t>Art. </w:t>
      </w:r>
      <w:r w:rsidR="00881814" w:rsidRPr="004676F5">
        <w:rPr>
          <w:b/>
          <w:lang w:val="de-DE"/>
        </w:rPr>
        <w:t>VII.156</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Bei der Bank wird ein Begleitausschuss eingesetzt, der sich zusammensetzt aus Vertretern der Kreditgeber, der Verbraucher, der Bank, des Ausschusses für den Schutz des Privatlebens und des Ministers. Der König bestimmt das Verfahren zur Bestimmung dieser Vertreter und die Arbeitsweise des Ausschusses.</w:t>
      </w:r>
    </w:p>
    <w:p w14:paraId="067E578D" w14:textId="77777777" w:rsidR="00881814" w:rsidRPr="004676F5" w:rsidRDefault="00881814" w:rsidP="00881814">
      <w:pPr>
        <w:ind w:firstLine="708"/>
        <w:jc w:val="both"/>
        <w:rPr>
          <w:lang w:val="de-DE"/>
        </w:rPr>
      </w:pPr>
    </w:p>
    <w:p w14:paraId="37F16D60" w14:textId="1D1BA247"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Der Begleitausschuss ist damit beauftragt, Stellungnahmen abzugeben zu:</w:t>
      </w:r>
    </w:p>
    <w:p w14:paraId="43FDDBB5" w14:textId="77777777" w:rsidR="00881814" w:rsidRPr="004676F5" w:rsidRDefault="00881814" w:rsidP="00881814">
      <w:pPr>
        <w:ind w:firstLine="708"/>
        <w:jc w:val="both"/>
        <w:rPr>
          <w:lang w:val="de-DE"/>
        </w:rPr>
      </w:pPr>
    </w:p>
    <w:p w14:paraId="7CE294CE" w14:textId="77777777" w:rsidR="00881814" w:rsidRPr="004676F5" w:rsidRDefault="00881814" w:rsidP="00881814">
      <w:pPr>
        <w:ind w:firstLine="708"/>
        <w:jc w:val="both"/>
        <w:rPr>
          <w:lang w:val="de-DE"/>
        </w:rPr>
      </w:pPr>
      <w:r w:rsidRPr="004676F5">
        <w:rPr>
          <w:lang w:val="de-DE"/>
        </w:rPr>
        <w:t>1. Entwürfen von Erlassen zur Ausführung des vorliegenden Kapitels, mit Ausnahme des in § 1 erwähnten Erlasses,</w:t>
      </w:r>
    </w:p>
    <w:p w14:paraId="1B738BD0" w14:textId="77777777" w:rsidR="00881814" w:rsidRPr="004676F5" w:rsidRDefault="00881814" w:rsidP="00881814">
      <w:pPr>
        <w:ind w:firstLine="708"/>
        <w:jc w:val="both"/>
        <w:rPr>
          <w:lang w:val="de-DE"/>
        </w:rPr>
      </w:pPr>
    </w:p>
    <w:p w14:paraId="3AC77079" w14:textId="77777777" w:rsidR="00881814" w:rsidRPr="004676F5" w:rsidRDefault="00881814" w:rsidP="00881814">
      <w:pPr>
        <w:ind w:firstLine="708"/>
        <w:jc w:val="both"/>
        <w:rPr>
          <w:lang w:val="de-DE"/>
        </w:rPr>
      </w:pPr>
      <w:r w:rsidRPr="004676F5">
        <w:rPr>
          <w:lang w:val="de-DE"/>
        </w:rPr>
        <w:t>2. Organisation der Zentrale und Einfluss der Betriebsverfahren auf ihre Kosten,</w:t>
      </w:r>
    </w:p>
    <w:p w14:paraId="1032977E" w14:textId="77777777" w:rsidR="00881814" w:rsidRPr="004676F5" w:rsidRDefault="00881814" w:rsidP="00881814">
      <w:pPr>
        <w:ind w:firstLine="708"/>
        <w:jc w:val="both"/>
        <w:rPr>
          <w:lang w:val="de-DE"/>
        </w:rPr>
      </w:pPr>
    </w:p>
    <w:p w14:paraId="7FEA85D3" w14:textId="77777777" w:rsidR="00881814" w:rsidRPr="004676F5" w:rsidRDefault="00881814" w:rsidP="00881814">
      <w:pPr>
        <w:ind w:firstLine="708"/>
        <w:jc w:val="both"/>
        <w:rPr>
          <w:lang w:val="de-DE"/>
        </w:rPr>
      </w:pPr>
      <w:r w:rsidRPr="004676F5">
        <w:rPr>
          <w:lang w:val="de-DE"/>
        </w:rPr>
        <w:lastRenderedPageBreak/>
        <w:t>3. Jahreshaushaltsplanentwürfen für die Zentrale,</w:t>
      </w:r>
    </w:p>
    <w:p w14:paraId="631CF3AD" w14:textId="77777777" w:rsidR="00881814" w:rsidRPr="004676F5" w:rsidRDefault="00881814" w:rsidP="00881814">
      <w:pPr>
        <w:ind w:firstLine="708"/>
        <w:jc w:val="both"/>
        <w:rPr>
          <w:lang w:val="de-DE"/>
        </w:rPr>
      </w:pPr>
    </w:p>
    <w:p w14:paraId="68BD0FC8" w14:textId="77777777" w:rsidR="00881814" w:rsidRPr="004676F5" w:rsidRDefault="00881814" w:rsidP="00881814">
      <w:pPr>
        <w:ind w:firstLine="708"/>
        <w:jc w:val="both"/>
        <w:rPr>
          <w:lang w:val="de-DE"/>
        </w:rPr>
      </w:pPr>
      <w:r w:rsidRPr="004676F5">
        <w:rPr>
          <w:lang w:val="de-DE"/>
        </w:rPr>
        <w:t>4. Entwürfen der in Artikel VII.157 erwähnten Berichte.</w:t>
      </w:r>
    </w:p>
    <w:p w14:paraId="381366FD" w14:textId="77777777" w:rsidR="00881814" w:rsidRPr="004676F5" w:rsidRDefault="00881814" w:rsidP="00881814">
      <w:pPr>
        <w:ind w:firstLine="708"/>
        <w:jc w:val="both"/>
        <w:rPr>
          <w:lang w:val="de-DE"/>
        </w:rPr>
      </w:pPr>
    </w:p>
    <w:p w14:paraId="5B62D100" w14:textId="08E79452" w:rsidR="00881814" w:rsidRPr="004676F5" w:rsidRDefault="00881814" w:rsidP="00881814">
      <w:pPr>
        <w:ind w:firstLine="708"/>
        <w:jc w:val="both"/>
        <w:rPr>
          <w:lang w:val="de-DE"/>
        </w:rPr>
      </w:pPr>
      <w:r w:rsidRPr="004676F5">
        <w:rPr>
          <w:lang w:val="de-DE"/>
        </w:rPr>
        <w:t xml:space="preserve">§ 3 </w:t>
      </w:r>
      <w:r w:rsidR="005B7A5C" w:rsidRPr="004676F5">
        <w:rPr>
          <w:lang w:val="de-DE"/>
        </w:rPr>
        <w:t>- </w:t>
      </w:r>
      <w:r w:rsidRPr="004676F5">
        <w:rPr>
          <w:lang w:val="de-DE"/>
        </w:rPr>
        <w:t>Der Begleitausschuss ist ebenfalls damit beauftragt:</w:t>
      </w:r>
    </w:p>
    <w:p w14:paraId="78F8C5B6" w14:textId="77777777" w:rsidR="00881814" w:rsidRPr="004676F5" w:rsidRDefault="00881814" w:rsidP="00881814">
      <w:pPr>
        <w:ind w:firstLine="708"/>
        <w:jc w:val="both"/>
        <w:rPr>
          <w:lang w:val="de-DE"/>
        </w:rPr>
      </w:pPr>
    </w:p>
    <w:p w14:paraId="7AC5D9B7" w14:textId="77777777" w:rsidR="00881814" w:rsidRPr="004676F5" w:rsidRDefault="00881814" w:rsidP="00881814">
      <w:pPr>
        <w:ind w:firstLine="708"/>
        <w:jc w:val="both"/>
        <w:rPr>
          <w:lang w:val="de-DE"/>
        </w:rPr>
      </w:pPr>
      <w:r w:rsidRPr="004676F5">
        <w:rPr>
          <w:lang w:val="de-DE"/>
        </w:rPr>
        <w:t>1. den Jahresabschluss der Zentrale zu billigen und die Verwendung des eventuellen Betriebsüberschusses zu bestimmen,</w:t>
      </w:r>
    </w:p>
    <w:p w14:paraId="133E3267" w14:textId="77777777" w:rsidR="00881814" w:rsidRPr="004676F5" w:rsidRDefault="00881814" w:rsidP="00881814">
      <w:pPr>
        <w:ind w:firstLine="708"/>
        <w:jc w:val="both"/>
        <w:rPr>
          <w:lang w:val="de-DE"/>
        </w:rPr>
      </w:pPr>
    </w:p>
    <w:p w14:paraId="542042B4" w14:textId="77777777" w:rsidR="00881814" w:rsidRPr="004676F5" w:rsidRDefault="00881814" w:rsidP="00881814">
      <w:pPr>
        <w:ind w:firstLine="708"/>
        <w:jc w:val="both"/>
        <w:rPr>
          <w:lang w:val="de-DE"/>
        </w:rPr>
      </w:pPr>
      <w:r w:rsidRPr="004676F5">
        <w:rPr>
          <w:lang w:val="de-DE"/>
        </w:rPr>
        <w:t>2. Struktur und Modalitäten der Verteilung der Erstattung der in Artikel VII.155 erwähnten Kosten festzulegen,</w:t>
      </w:r>
    </w:p>
    <w:p w14:paraId="74ABD073" w14:textId="77777777" w:rsidR="00881814" w:rsidRPr="004676F5" w:rsidRDefault="00881814" w:rsidP="00881814">
      <w:pPr>
        <w:ind w:firstLine="708"/>
        <w:jc w:val="both"/>
        <w:rPr>
          <w:lang w:val="de-DE"/>
        </w:rPr>
      </w:pPr>
    </w:p>
    <w:p w14:paraId="7E68BC8A" w14:textId="77777777" w:rsidR="00881814" w:rsidRPr="004676F5" w:rsidRDefault="00881814" w:rsidP="00881814">
      <w:pPr>
        <w:ind w:firstLine="708"/>
        <w:jc w:val="both"/>
        <w:rPr>
          <w:lang w:val="de-DE"/>
        </w:rPr>
      </w:pPr>
      <w:r w:rsidRPr="004676F5">
        <w:rPr>
          <w:lang w:val="de-DE"/>
        </w:rPr>
        <w:t>3. in Artikel VII.148 § 3 erwähnte administrative und technische Richtlinien zu billigen,</w:t>
      </w:r>
    </w:p>
    <w:p w14:paraId="13160893" w14:textId="77777777" w:rsidR="00881814" w:rsidRPr="004676F5" w:rsidRDefault="00881814" w:rsidP="00881814">
      <w:pPr>
        <w:ind w:firstLine="708"/>
        <w:jc w:val="both"/>
        <w:rPr>
          <w:lang w:val="de-DE"/>
        </w:rPr>
      </w:pPr>
    </w:p>
    <w:p w14:paraId="4F53AE6B" w14:textId="77777777" w:rsidR="00881814" w:rsidRPr="004676F5" w:rsidRDefault="00881814" w:rsidP="00881814">
      <w:pPr>
        <w:ind w:firstLine="708"/>
        <w:jc w:val="both"/>
        <w:rPr>
          <w:lang w:val="de-DE"/>
        </w:rPr>
      </w:pPr>
      <w:r w:rsidRPr="004676F5">
        <w:rPr>
          <w:lang w:val="de-DE"/>
        </w:rPr>
        <w:t>4. Vereinbarungen in Bezug auf den Austausch von Auskünften mit ausländischen zentralen Kreditregistern unter den in Artikel VII.153 § 1 Absatz 2 erwähnten Bedingungen zu billigen.</w:t>
      </w:r>
    </w:p>
    <w:p w14:paraId="58570F7E" w14:textId="77777777" w:rsidR="00881814" w:rsidRPr="004676F5" w:rsidRDefault="00881814" w:rsidP="00881814">
      <w:pPr>
        <w:ind w:firstLine="708"/>
        <w:jc w:val="both"/>
        <w:rPr>
          <w:lang w:val="de-DE"/>
        </w:rPr>
      </w:pPr>
    </w:p>
    <w:p w14:paraId="1EFA3FB3" w14:textId="09B38C2F" w:rsidR="00881814" w:rsidRPr="004676F5" w:rsidRDefault="00881814" w:rsidP="00881814">
      <w:pPr>
        <w:ind w:firstLine="708"/>
        <w:jc w:val="both"/>
        <w:rPr>
          <w:lang w:val="de-DE"/>
        </w:rPr>
      </w:pPr>
      <w:r w:rsidRPr="004676F5">
        <w:rPr>
          <w:lang w:val="de-DE"/>
        </w:rPr>
        <w:t>§ 4 </w:t>
      </w:r>
      <w:r w:rsidR="005B7A5C" w:rsidRPr="004676F5">
        <w:rPr>
          <w:lang w:val="de-DE"/>
        </w:rPr>
        <w:t>- </w:t>
      </w:r>
      <w:r w:rsidRPr="004676F5">
        <w:rPr>
          <w:lang w:val="de-DE"/>
        </w:rPr>
        <w:t>Der Begleitausschuss kann das Revisorenkollegium der Bank darum bitten, die Rechnungen der Zentrale zu zertifizieren.</w:t>
      </w:r>
    </w:p>
    <w:p w14:paraId="016A713A" w14:textId="77777777" w:rsidR="00881814" w:rsidRPr="004676F5" w:rsidRDefault="00881814" w:rsidP="00881814">
      <w:pPr>
        <w:ind w:firstLine="708"/>
        <w:jc w:val="both"/>
        <w:rPr>
          <w:lang w:val="de-DE"/>
        </w:rPr>
      </w:pPr>
    </w:p>
    <w:p w14:paraId="6B865E36" w14:textId="77777777" w:rsidR="007A7DCC" w:rsidRPr="004676F5" w:rsidRDefault="007A7DCC" w:rsidP="00881814">
      <w:pPr>
        <w:ind w:firstLine="708"/>
        <w:jc w:val="both"/>
        <w:rPr>
          <w:lang w:val="de-DE"/>
        </w:rPr>
      </w:pPr>
    </w:p>
    <w:p w14:paraId="1CD93AE7" w14:textId="7DAC1DDA" w:rsidR="00881814" w:rsidRPr="004676F5" w:rsidRDefault="00BE0A56" w:rsidP="00881814">
      <w:pPr>
        <w:ind w:firstLine="708"/>
        <w:jc w:val="both"/>
        <w:rPr>
          <w:lang w:val="de-DE"/>
        </w:rPr>
      </w:pPr>
      <w:r w:rsidRPr="004676F5">
        <w:rPr>
          <w:b/>
          <w:lang w:val="de-DE"/>
        </w:rPr>
        <w:t>Art. </w:t>
      </w:r>
      <w:r w:rsidR="00881814" w:rsidRPr="004676F5">
        <w:rPr>
          <w:b/>
          <w:lang w:val="de-DE"/>
        </w:rPr>
        <w:t>VII.157</w:t>
      </w:r>
      <w:r w:rsidR="00881814" w:rsidRPr="004676F5">
        <w:rPr>
          <w:lang w:val="de-DE"/>
        </w:rPr>
        <w:t> </w:t>
      </w:r>
      <w:r w:rsidR="005B7A5C" w:rsidRPr="004676F5">
        <w:rPr>
          <w:lang w:val="de-DE"/>
        </w:rPr>
        <w:t>- </w:t>
      </w:r>
      <w:r w:rsidR="00881814" w:rsidRPr="004676F5">
        <w:rPr>
          <w:lang w:val="de-DE"/>
        </w:rPr>
        <w:t>Mindestens einmal pro Jahr übermittelt die Bank dem Minister einen Bericht über die Arbeit der Zentrale.</w:t>
      </w:r>
    </w:p>
    <w:p w14:paraId="54B5638B" w14:textId="77777777" w:rsidR="00881814" w:rsidRPr="004676F5" w:rsidRDefault="00881814" w:rsidP="00881814">
      <w:pPr>
        <w:ind w:firstLine="708"/>
        <w:jc w:val="both"/>
        <w:rPr>
          <w:lang w:val="de-DE"/>
        </w:rPr>
      </w:pPr>
    </w:p>
    <w:p w14:paraId="4DB8AB1B" w14:textId="77777777" w:rsidR="00881814" w:rsidRPr="004676F5" w:rsidRDefault="00881814" w:rsidP="00881814">
      <w:pPr>
        <w:ind w:firstLine="708"/>
        <w:jc w:val="both"/>
        <w:rPr>
          <w:lang w:val="de-DE"/>
        </w:rPr>
      </w:pPr>
      <w:r w:rsidRPr="004676F5">
        <w:rPr>
          <w:lang w:val="de-DE"/>
        </w:rPr>
        <w:t>Dieser Bericht enthält unter anderem:</w:t>
      </w:r>
    </w:p>
    <w:p w14:paraId="4088FBF5" w14:textId="77777777" w:rsidR="00881814" w:rsidRPr="004676F5" w:rsidRDefault="00881814" w:rsidP="00881814">
      <w:pPr>
        <w:ind w:firstLine="708"/>
        <w:jc w:val="both"/>
        <w:rPr>
          <w:lang w:val="de-DE"/>
        </w:rPr>
      </w:pPr>
    </w:p>
    <w:p w14:paraId="6236B4FA" w14:textId="77777777" w:rsidR="00881814" w:rsidRPr="004676F5" w:rsidRDefault="00881814" w:rsidP="00881814">
      <w:pPr>
        <w:ind w:firstLine="708"/>
        <w:jc w:val="both"/>
        <w:rPr>
          <w:lang w:val="de-DE"/>
        </w:rPr>
      </w:pPr>
      <w:r w:rsidRPr="004676F5">
        <w:rPr>
          <w:lang w:val="de-DE"/>
        </w:rPr>
        <w:t>1. eine Übersicht über Anzahl und Art der registrierten Daten,</w:t>
      </w:r>
    </w:p>
    <w:p w14:paraId="67C9C5E4" w14:textId="77777777" w:rsidR="00881814" w:rsidRPr="004676F5" w:rsidRDefault="00881814" w:rsidP="00881814">
      <w:pPr>
        <w:ind w:firstLine="708"/>
        <w:jc w:val="both"/>
        <w:rPr>
          <w:lang w:val="de-DE"/>
        </w:rPr>
      </w:pPr>
    </w:p>
    <w:p w14:paraId="42B9AB52" w14:textId="77777777" w:rsidR="00881814" w:rsidRPr="004676F5" w:rsidRDefault="00881814" w:rsidP="00881814">
      <w:pPr>
        <w:ind w:firstLine="708"/>
        <w:jc w:val="both"/>
        <w:rPr>
          <w:lang w:val="de-DE"/>
        </w:rPr>
      </w:pPr>
      <w:r w:rsidRPr="004676F5">
        <w:rPr>
          <w:lang w:val="de-DE"/>
        </w:rPr>
        <w:t>2. eine Übersicht über die Anzahl Abfragen der Zentrale,</w:t>
      </w:r>
    </w:p>
    <w:p w14:paraId="67EE4D6A" w14:textId="77777777" w:rsidR="00881814" w:rsidRPr="004676F5" w:rsidRDefault="00881814" w:rsidP="00881814">
      <w:pPr>
        <w:ind w:firstLine="708"/>
        <w:jc w:val="both"/>
        <w:rPr>
          <w:lang w:val="de-DE"/>
        </w:rPr>
      </w:pPr>
    </w:p>
    <w:p w14:paraId="3C1CD98A" w14:textId="77777777" w:rsidR="00881814" w:rsidRPr="004676F5" w:rsidRDefault="00881814" w:rsidP="00881814">
      <w:pPr>
        <w:ind w:firstLine="708"/>
        <w:jc w:val="both"/>
        <w:rPr>
          <w:lang w:val="de-DE"/>
        </w:rPr>
      </w:pPr>
      <w:r w:rsidRPr="004676F5">
        <w:rPr>
          <w:lang w:val="de-DE"/>
        </w:rPr>
        <w:t>3. eine ausführliche Wiedergabe der Betriebskosten der Zentrale mit Angabe eventueller praktischer oder technischer Probleme,</w:t>
      </w:r>
    </w:p>
    <w:p w14:paraId="39D24A8A" w14:textId="77777777" w:rsidR="00881814" w:rsidRPr="004676F5" w:rsidRDefault="00881814" w:rsidP="00881814">
      <w:pPr>
        <w:ind w:firstLine="708"/>
        <w:jc w:val="both"/>
        <w:rPr>
          <w:lang w:val="de-DE"/>
        </w:rPr>
      </w:pPr>
    </w:p>
    <w:p w14:paraId="53826DF1" w14:textId="77777777" w:rsidR="00881814" w:rsidRPr="004676F5" w:rsidRDefault="00881814" w:rsidP="00881814">
      <w:pPr>
        <w:ind w:firstLine="708"/>
        <w:jc w:val="both"/>
        <w:rPr>
          <w:lang w:val="de-DE"/>
        </w:rPr>
      </w:pPr>
      <w:r w:rsidRPr="004676F5">
        <w:rPr>
          <w:lang w:val="de-DE"/>
        </w:rPr>
        <w:t>4. eine Analyse der Entwicklung der Zahlungsausfälle.</w:t>
      </w:r>
    </w:p>
    <w:p w14:paraId="4DC0A046" w14:textId="77777777" w:rsidR="00881814" w:rsidRPr="004676F5" w:rsidRDefault="00881814" w:rsidP="00881814">
      <w:pPr>
        <w:ind w:firstLine="708"/>
        <w:jc w:val="both"/>
        <w:rPr>
          <w:lang w:val="de-DE"/>
        </w:rPr>
      </w:pPr>
    </w:p>
    <w:p w14:paraId="71D18295" w14:textId="77777777" w:rsidR="00881814" w:rsidRPr="004676F5" w:rsidRDefault="00881814" w:rsidP="00881814">
      <w:pPr>
        <w:ind w:firstLine="708"/>
        <w:jc w:val="both"/>
        <w:rPr>
          <w:lang w:val="de-DE"/>
        </w:rPr>
      </w:pPr>
      <w:r w:rsidRPr="004676F5">
        <w:rPr>
          <w:lang w:val="de-DE"/>
        </w:rPr>
        <w:t xml:space="preserve">Dieser Bericht wird im </w:t>
      </w:r>
      <w:r w:rsidRPr="004676F5">
        <w:rPr>
          <w:i/>
          <w:lang w:val="de-DE"/>
        </w:rPr>
        <w:t>Belgischen Staatsblatt</w:t>
      </w:r>
      <w:r w:rsidRPr="004676F5">
        <w:rPr>
          <w:lang w:val="de-DE"/>
        </w:rPr>
        <w:t xml:space="preserve"> veröffentlicht.</w:t>
      </w:r>
    </w:p>
    <w:p w14:paraId="0D8B7037" w14:textId="77777777" w:rsidR="007A7DCC" w:rsidRPr="004676F5" w:rsidRDefault="007A7DCC" w:rsidP="00881814">
      <w:pPr>
        <w:ind w:firstLine="708"/>
        <w:jc w:val="both"/>
        <w:rPr>
          <w:lang w:val="de-DE"/>
        </w:rPr>
      </w:pPr>
    </w:p>
    <w:p w14:paraId="395C989E" w14:textId="4C9960BF" w:rsidR="00C76F75" w:rsidRPr="004676F5" w:rsidRDefault="00C76F75">
      <w:pPr>
        <w:rPr>
          <w:lang w:val="de-DE"/>
        </w:rPr>
      </w:pPr>
    </w:p>
    <w:p w14:paraId="24E3EFA7" w14:textId="77777777" w:rsidR="006F7055" w:rsidRPr="004676F5" w:rsidRDefault="006F7055">
      <w:pPr>
        <w:rPr>
          <w:lang w:val="de-DE"/>
        </w:rPr>
      </w:pPr>
      <w:r w:rsidRPr="004676F5">
        <w:rPr>
          <w:lang w:val="de-DE"/>
        </w:rPr>
        <w:br w:type="page"/>
      </w:r>
    </w:p>
    <w:p w14:paraId="3057A670" w14:textId="33217074" w:rsidR="00881814" w:rsidRPr="004676F5" w:rsidRDefault="00881814" w:rsidP="00881814">
      <w:pPr>
        <w:jc w:val="center"/>
        <w:rPr>
          <w:lang w:val="de-DE"/>
        </w:rPr>
      </w:pPr>
      <w:r w:rsidRPr="004676F5">
        <w:rPr>
          <w:lang w:val="de-DE"/>
        </w:rPr>
        <w:lastRenderedPageBreak/>
        <w:t>KAPITEL 4 </w:t>
      </w:r>
      <w:r w:rsidR="005B7A5C" w:rsidRPr="004676F5">
        <w:rPr>
          <w:lang w:val="de-DE"/>
        </w:rPr>
        <w:t>- </w:t>
      </w:r>
      <w:r w:rsidRPr="004676F5">
        <w:rPr>
          <w:i/>
          <w:lang w:val="de-DE"/>
        </w:rPr>
        <w:t>Zugang zur Tätigkeit eines Kreditgebers oder Kreditvermittlers</w:t>
      </w:r>
    </w:p>
    <w:p w14:paraId="2D98E3A4" w14:textId="77777777" w:rsidR="00881814" w:rsidRPr="004676F5" w:rsidRDefault="00881814" w:rsidP="00881814">
      <w:pPr>
        <w:ind w:firstLine="708"/>
        <w:jc w:val="both"/>
        <w:rPr>
          <w:lang w:val="de-DE"/>
        </w:rPr>
      </w:pPr>
    </w:p>
    <w:p w14:paraId="5D61D2F5" w14:textId="77777777" w:rsidR="007A7DCC" w:rsidRPr="004676F5" w:rsidRDefault="007A7DCC" w:rsidP="00881814">
      <w:pPr>
        <w:ind w:firstLine="708"/>
        <w:jc w:val="both"/>
        <w:rPr>
          <w:lang w:val="de-DE"/>
        </w:rPr>
      </w:pPr>
    </w:p>
    <w:p w14:paraId="0CE6ECAE" w14:textId="3A992499" w:rsidR="00881814" w:rsidRPr="004676F5" w:rsidRDefault="00BE0A56" w:rsidP="00881814">
      <w:pPr>
        <w:ind w:firstLine="708"/>
        <w:jc w:val="both"/>
        <w:rPr>
          <w:lang w:val="de-DE"/>
        </w:rPr>
      </w:pPr>
      <w:r w:rsidRPr="004676F5">
        <w:rPr>
          <w:b/>
          <w:lang w:val="de-DE"/>
        </w:rPr>
        <w:t>Art. </w:t>
      </w:r>
      <w:r w:rsidR="00881814" w:rsidRPr="004676F5">
        <w:rPr>
          <w:b/>
          <w:lang w:val="de-DE"/>
        </w:rPr>
        <w:t>VII.158</w:t>
      </w:r>
      <w:r w:rsidR="00881814" w:rsidRPr="004676F5">
        <w:rPr>
          <w:lang w:val="de-DE"/>
        </w:rPr>
        <w:t> </w:t>
      </w:r>
      <w:r w:rsidR="005B7A5C" w:rsidRPr="004676F5">
        <w:rPr>
          <w:lang w:val="de-DE"/>
        </w:rPr>
        <w:t>- </w:t>
      </w:r>
      <w:r w:rsidR="00881814" w:rsidRPr="004676F5">
        <w:rPr>
          <w:lang w:val="de-DE"/>
        </w:rPr>
        <w:t>Vorliegendes Kapitel ist auf Personen anwendbar, die in Belgien die Tätigkeit eines Kreditgebers oder Kreditvermittlers ausübt.</w:t>
      </w:r>
    </w:p>
    <w:p w14:paraId="1212835D" w14:textId="77777777" w:rsidR="00881814" w:rsidRPr="004676F5" w:rsidRDefault="007A7DCC" w:rsidP="00881814">
      <w:pPr>
        <w:ind w:firstLine="708"/>
        <w:jc w:val="both"/>
        <w:rPr>
          <w:lang w:val="de-DE"/>
        </w:rPr>
      </w:pPr>
      <w:r w:rsidRPr="004676F5">
        <w:rPr>
          <w:lang w:val="de-DE"/>
        </w:rPr>
        <w:t xml:space="preserve"> </w:t>
      </w:r>
    </w:p>
    <w:p w14:paraId="6B464A71" w14:textId="77777777" w:rsidR="007A7DCC" w:rsidRPr="004676F5" w:rsidRDefault="007A7DCC" w:rsidP="00881814">
      <w:pPr>
        <w:ind w:firstLine="708"/>
        <w:jc w:val="both"/>
        <w:rPr>
          <w:lang w:val="de-DE"/>
        </w:rPr>
      </w:pPr>
    </w:p>
    <w:p w14:paraId="02A2D215" w14:textId="3318DFAF" w:rsidR="00881814" w:rsidRPr="004676F5" w:rsidRDefault="00881814" w:rsidP="00881814">
      <w:pPr>
        <w:jc w:val="center"/>
        <w:rPr>
          <w:lang w:val="de-DE"/>
        </w:rPr>
      </w:pPr>
      <w:r w:rsidRPr="004676F5">
        <w:rPr>
          <w:i/>
          <w:lang w:val="de-DE"/>
        </w:rPr>
        <w:t>Abschnitt 1 </w:t>
      </w:r>
      <w:r w:rsidR="005B7A5C" w:rsidRPr="004676F5">
        <w:rPr>
          <w:i/>
          <w:lang w:val="de-DE"/>
        </w:rPr>
        <w:t>- </w:t>
      </w:r>
      <w:r w:rsidRPr="004676F5">
        <w:rPr>
          <w:lang w:val="de-DE"/>
        </w:rPr>
        <w:t>Kreditgeber</w:t>
      </w:r>
    </w:p>
    <w:p w14:paraId="3B621B03" w14:textId="77777777" w:rsidR="00881814" w:rsidRPr="004676F5" w:rsidRDefault="00881814" w:rsidP="00881814">
      <w:pPr>
        <w:jc w:val="both"/>
        <w:rPr>
          <w:lang w:val="de-DE"/>
        </w:rPr>
      </w:pPr>
    </w:p>
    <w:p w14:paraId="3DB32273" w14:textId="77777777" w:rsidR="007A7DCC" w:rsidRPr="004676F5" w:rsidRDefault="007A7DCC" w:rsidP="00881814">
      <w:pPr>
        <w:jc w:val="both"/>
        <w:rPr>
          <w:lang w:val="de-DE"/>
        </w:rPr>
      </w:pPr>
    </w:p>
    <w:p w14:paraId="1C3D76E3" w14:textId="14CF8568" w:rsidR="00881814" w:rsidRPr="004676F5" w:rsidRDefault="00BE0A56" w:rsidP="00881814">
      <w:pPr>
        <w:ind w:firstLine="708"/>
        <w:jc w:val="both"/>
        <w:rPr>
          <w:lang w:val="de-DE"/>
        </w:rPr>
      </w:pPr>
      <w:r w:rsidRPr="004676F5">
        <w:rPr>
          <w:b/>
          <w:lang w:val="de-DE"/>
        </w:rPr>
        <w:t>Art. </w:t>
      </w:r>
      <w:r w:rsidR="00881814" w:rsidRPr="004676F5">
        <w:rPr>
          <w:b/>
          <w:lang w:val="de-DE"/>
        </w:rPr>
        <w:t>VII.159</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Niemand darf in Belgien die Tätigkeit eines Kreditgebers ausüben, wenn er nicht vorab von der FSMA zugelassen oder registriert worden ist.</w:t>
      </w:r>
    </w:p>
    <w:p w14:paraId="7D06A586" w14:textId="77777777" w:rsidR="00881814" w:rsidRPr="004676F5" w:rsidRDefault="00881814" w:rsidP="00881814">
      <w:pPr>
        <w:ind w:firstLine="708"/>
        <w:jc w:val="both"/>
        <w:rPr>
          <w:lang w:val="de-DE"/>
        </w:rPr>
      </w:pPr>
    </w:p>
    <w:p w14:paraId="0308F554" w14:textId="77777777" w:rsidR="00881814" w:rsidRPr="004676F5" w:rsidRDefault="00881814" w:rsidP="00881814">
      <w:pPr>
        <w:ind w:firstLine="708"/>
        <w:jc w:val="both"/>
        <w:rPr>
          <w:lang w:val="de-DE"/>
        </w:rPr>
      </w:pPr>
      <w:r w:rsidRPr="004676F5">
        <w:rPr>
          <w:lang w:val="de-DE"/>
        </w:rPr>
        <w:t>Niemand darf zur Ausübung der in vorliegendem Buch erwähnten Tätigkeit eines Kreditgebers den Titel eines Kreditgebers führen, wenn er nicht vorab von der FSMA zugelassen oder registriert worden ist.</w:t>
      </w:r>
    </w:p>
    <w:p w14:paraId="09B83D82" w14:textId="77777777" w:rsidR="00881814" w:rsidRPr="004676F5" w:rsidRDefault="00881814" w:rsidP="00881814">
      <w:pPr>
        <w:ind w:firstLine="708"/>
        <w:jc w:val="both"/>
        <w:rPr>
          <w:lang w:val="de-DE"/>
        </w:rPr>
      </w:pPr>
    </w:p>
    <w:p w14:paraId="7C1C5B39" w14:textId="6FA118A5"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Als "Hypothekarkreditgeber" gilt ein Kreditgeber, der auf dem Gebiet der Hypothekarkredite tätig ist.</w:t>
      </w:r>
    </w:p>
    <w:p w14:paraId="66E496FA" w14:textId="77777777" w:rsidR="00881814" w:rsidRPr="004676F5" w:rsidRDefault="00881814" w:rsidP="00881814">
      <w:pPr>
        <w:ind w:firstLine="708"/>
        <w:jc w:val="both"/>
        <w:rPr>
          <w:lang w:val="de-DE"/>
        </w:rPr>
      </w:pPr>
    </w:p>
    <w:p w14:paraId="6A80DA7F" w14:textId="77777777" w:rsidR="00881814" w:rsidRPr="004676F5" w:rsidRDefault="00881814" w:rsidP="00881814">
      <w:pPr>
        <w:ind w:firstLine="708"/>
        <w:jc w:val="both"/>
        <w:rPr>
          <w:lang w:val="de-DE"/>
        </w:rPr>
      </w:pPr>
      <w:r w:rsidRPr="004676F5">
        <w:rPr>
          <w:lang w:val="de-DE"/>
        </w:rPr>
        <w:t>Als "Verbraucherkreditgeber" gilt ein Kreditgeber, der auf dem Gebiet der Verbraucherkredite tätig ist.</w:t>
      </w:r>
    </w:p>
    <w:p w14:paraId="6C4B26A1" w14:textId="77777777" w:rsidR="00881814" w:rsidRPr="004676F5" w:rsidRDefault="00881814" w:rsidP="00881814">
      <w:pPr>
        <w:ind w:firstLine="708"/>
        <w:jc w:val="both"/>
        <w:rPr>
          <w:lang w:val="de-DE"/>
        </w:rPr>
      </w:pPr>
    </w:p>
    <w:p w14:paraId="1A15EF4B" w14:textId="49BD978D" w:rsidR="002D304F" w:rsidRPr="004676F5" w:rsidRDefault="002D304F" w:rsidP="00881814">
      <w:pPr>
        <w:ind w:firstLine="708"/>
        <w:jc w:val="both"/>
        <w:rPr>
          <w:lang w:val="de-DE"/>
        </w:rPr>
      </w:pPr>
      <w:r w:rsidRPr="004676F5">
        <w:rPr>
          <w:lang w:val="de-DE"/>
        </w:rPr>
        <w:t>[§ 2/1 </w:t>
      </w:r>
      <w:r w:rsidR="005B7A5C" w:rsidRPr="004676F5">
        <w:rPr>
          <w:lang w:val="de-DE"/>
        </w:rPr>
        <w:t>- </w:t>
      </w:r>
      <w:r w:rsidRPr="004676F5">
        <w:rPr>
          <w:lang w:val="de-DE"/>
        </w:rPr>
        <w:t>Der König kann für Kreditgeber, die keine Kredite mehr gewähren, sondern sich darauf beschränken, bestehende Kredite zu verwalten und abzuwickeln, Abweichungen von den Zulassungs</w:t>
      </w:r>
      <w:r w:rsidR="005B7A5C" w:rsidRPr="004676F5">
        <w:rPr>
          <w:lang w:val="de-DE"/>
        </w:rPr>
        <w:t>- </w:t>
      </w:r>
      <w:r w:rsidRPr="004676F5">
        <w:rPr>
          <w:lang w:val="de-DE"/>
        </w:rPr>
        <w:t>und Ausübungsbedingungen vorsehen.]</w:t>
      </w:r>
    </w:p>
    <w:p w14:paraId="5689CD03" w14:textId="77777777" w:rsidR="002D304F" w:rsidRPr="004676F5" w:rsidRDefault="002D304F" w:rsidP="00881814">
      <w:pPr>
        <w:ind w:firstLine="708"/>
        <w:jc w:val="both"/>
        <w:rPr>
          <w:lang w:val="de-DE"/>
        </w:rPr>
      </w:pPr>
    </w:p>
    <w:p w14:paraId="7F8AD1D7" w14:textId="071FEB16" w:rsidR="00881814" w:rsidRPr="004676F5" w:rsidRDefault="00881814" w:rsidP="00881814">
      <w:pPr>
        <w:ind w:firstLine="708"/>
        <w:jc w:val="both"/>
        <w:rPr>
          <w:lang w:val="de-DE"/>
        </w:rPr>
      </w:pPr>
      <w:r w:rsidRPr="004676F5">
        <w:rPr>
          <w:lang w:val="de-DE"/>
        </w:rPr>
        <w:t>§ 3 </w:t>
      </w:r>
      <w:r w:rsidR="005B7A5C" w:rsidRPr="004676F5">
        <w:rPr>
          <w:lang w:val="de-DE"/>
        </w:rPr>
        <w:t>- </w:t>
      </w:r>
      <w:r w:rsidR="0057369A" w:rsidRPr="004676F5">
        <w:rPr>
          <w:lang w:val="de-DE"/>
        </w:rPr>
        <w:t>[Bei Abtretung von Forderungen aus einem Immobiliarhypothekarkredit, auf die vorliegendes Buch anwendbar ist, unterliegt der Zessionar ebenfalls den Bestimmungen des vorliegenden Kapitels und der Artikel VII.123 bis VII.125 und VII.147/21.]</w:t>
      </w:r>
    </w:p>
    <w:p w14:paraId="0BA11893" w14:textId="77777777" w:rsidR="00041464" w:rsidRPr="004676F5" w:rsidRDefault="00041464" w:rsidP="00881814">
      <w:pPr>
        <w:ind w:firstLine="708"/>
        <w:jc w:val="both"/>
        <w:rPr>
          <w:lang w:val="de-DE"/>
        </w:rPr>
      </w:pPr>
    </w:p>
    <w:p w14:paraId="3E386F6F" w14:textId="77777777" w:rsidR="00041464" w:rsidRPr="004676F5" w:rsidRDefault="00041464" w:rsidP="00881814">
      <w:pPr>
        <w:ind w:firstLine="708"/>
        <w:jc w:val="both"/>
        <w:rPr>
          <w:lang w:val="de-DE"/>
        </w:rPr>
      </w:pPr>
      <w:r w:rsidRPr="004676F5">
        <w:rPr>
          <w:lang w:val="de-DE"/>
        </w:rPr>
        <w:t>[Ist der Zessionar ein Mobilisierungsorganismus im Sinne von Artikel 2 des Gesetzes vom 3. August 2012 über verschiedene Maßnahmen zur Erleichterung der Mobilisierung von Forderungen im Finanzsektor, unterliegt er nicht Artikel VII.162. Der König kann insbesondere unter Berücksichtigung der Art der vorgenommenen Abtretungen oder des Status oder der Organisationsstruktur des Zessionars zusätzliche Abweichungen von Absatz 1 vorsehen für diese Organismen oder für andere öffentliche oder finanzielle juristische Personen im Sinne von Artikel 3 des Gesetzes vom 15. Dezember 2004 über Finanzsicherheiten und zur Festlegung verschiedener steuerrechtlicher Bestimmungen in Bezug auf Vereinbarungen über die Leistung von dinglichen Sicherheiten und den Verleih mit Bezug auf Finanzinstrumente.]</w:t>
      </w:r>
    </w:p>
    <w:p w14:paraId="1617B95D" w14:textId="77777777" w:rsidR="00166E24" w:rsidRPr="004676F5" w:rsidRDefault="00166E24" w:rsidP="00881814">
      <w:pPr>
        <w:ind w:firstLine="708"/>
        <w:jc w:val="both"/>
        <w:rPr>
          <w:lang w:val="de-DE"/>
        </w:rPr>
      </w:pPr>
    </w:p>
    <w:p w14:paraId="272ED591" w14:textId="29423A8D" w:rsidR="00166E24" w:rsidRPr="004676F5" w:rsidRDefault="00166E24" w:rsidP="00166E24">
      <w:pPr>
        <w:jc w:val="both"/>
        <w:rPr>
          <w:i/>
          <w:lang w:val="de-DE"/>
        </w:rPr>
      </w:pPr>
      <w:r w:rsidRPr="004676F5">
        <w:rPr>
          <w:i/>
          <w:lang w:val="de-DE"/>
        </w:rPr>
        <w:t>[</w:t>
      </w:r>
      <w:r w:rsidR="00BE0A56" w:rsidRPr="004676F5">
        <w:rPr>
          <w:i/>
          <w:lang w:val="de-DE"/>
        </w:rPr>
        <w:t>Art. </w:t>
      </w:r>
      <w:r w:rsidRPr="004676F5">
        <w:rPr>
          <w:i/>
          <w:lang w:val="de-DE"/>
        </w:rPr>
        <w:t xml:space="preserve">VII.159 </w:t>
      </w:r>
      <w:r w:rsidR="002D304F" w:rsidRPr="004676F5">
        <w:rPr>
          <w:i/>
          <w:lang w:val="de-DE"/>
        </w:rPr>
        <w:t xml:space="preserve">§ 2/1 eingefügt durch </w:t>
      </w:r>
      <w:r w:rsidR="00BE0A56" w:rsidRPr="004676F5">
        <w:rPr>
          <w:i/>
          <w:lang w:val="de-DE"/>
        </w:rPr>
        <w:t>Art. </w:t>
      </w:r>
      <w:r w:rsidR="002D304F" w:rsidRPr="004676F5">
        <w:rPr>
          <w:i/>
          <w:lang w:val="de-DE"/>
        </w:rPr>
        <w:t xml:space="preserve">14 des G. vom 18. April 2017 (B.S. vom 24. April 2017); </w:t>
      </w:r>
      <w:r w:rsidR="0057369A" w:rsidRPr="004676F5">
        <w:rPr>
          <w:i/>
          <w:lang w:val="de-DE"/>
        </w:rPr>
        <w:t xml:space="preserve">§ 3 Abs. 1 ersetzt durch </w:t>
      </w:r>
      <w:r w:rsidR="00BE0A56" w:rsidRPr="004676F5">
        <w:rPr>
          <w:i/>
          <w:lang w:val="de-DE"/>
        </w:rPr>
        <w:t>Art. </w:t>
      </w:r>
      <w:r w:rsidR="0057369A" w:rsidRPr="004676F5">
        <w:rPr>
          <w:i/>
          <w:lang w:val="de-DE"/>
        </w:rPr>
        <w:t xml:space="preserve">27 des G. vom 22. April 2016 (B.S. vom 4. Mai 2016); </w:t>
      </w:r>
      <w:r w:rsidRPr="004676F5">
        <w:rPr>
          <w:i/>
          <w:lang w:val="de-DE"/>
        </w:rPr>
        <w:t xml:space="preserve">§ 3 Abs. 2 eingefügt durch </w:t>
      </w:r>
      <w:r w:rsidR="00BE0A56" w:rsidRPr="004676F5">
        <w:rPr>
          <w:i/>
          <w:lang w:val="de-DE"/>
        </w:rPr>
        <w:t>Art. </w:t>
      </w:r>
      <w:r w:rsidRPr="004676F5">
        <w:rPr>
          <w:i/>
          <w:lang w:val="de-DE"/>
        </w:rPr>
        <w:t>25</w:t>
      </w:r>
      <w:r w:rsidRPr="004676F5">
        <w:rPr>
          <w:i/>
          <w:iCs/>
          <w:lang w:val="de-DE"/>
        </w:rPr>
        <w:t xml:space="preserve"> </w:t>
      </w:r>
      <w:r w:rsidRPr="004676F5">
        <w:rPr>
          <w:i/>
          <w:lang w:val="de-DE"/>
        </w:rPr>
        <w:t>des G. vom 26. Oktober 2015 (B.S. vom 30. Oktober 2015)</w:t>
      </w:r>
      <w:r w:rsidR="0057369A" w:rsidRPr="004676F5">
        <w:rPr>
          <w:i/>
          <w:lang w:val="de-DE"/>
        </w:rPr>
        <w:t>]</w:t>
      </w:r>
    </w:p>
    <w:p w14:paraId="4AC3D8AB" w14:textId="77777777" w:rsidR="00881814" w:rsidRPr="004676F5" w:rsidRDefault="00881814" w:rsidP="00881814">
      <w:pPr>
        <w:ind w:firstLine="708"/>
        <w:jc w:val="both"/>
        <w:rPr>
          <w:lang w:val="de-DE"/>
        </w:rPr>
      </w:pPr>
    </w:p>
    <w:p w14:paraId="565BEC6A" w14:textId="77777777" w:rsidR="007A7DCC" w:rsidRPr="004676F5" w:rsidRDefault="007A7DCC" w:rsidP="00881814">
      <w:pPr>
        <w:ind w:firstLine="708"/>
        <w:jc w:val="both"/>
        <w:rPr>
          <w:lang w:val="de-DE"/>
        </w:rPr>
      </w:pPr>
    </w:p>
    <w:p w14:paraId="1F89859D" w14:textId="77777777" w:rsidR="002D304F" w:rsidRPr="004676F5" w:rsidRDefault="002D304F">
      <w:pPr>
        <w:rPr>
          <w:i/>
          <w:lang w:val="de-DE"/>
        </w:rPr>
      </w:pPr>
      <w:r w:rsidRPr="004676F5">
        <w:rPr>
          <w:i/>
          <w:lang w:val="de-DE"/>
        </w:rPr>
        <w:br w:type="page"/>
      </w:r>
    </w:p>
    <w:p w14:paraId="79D7891C" w14:textId="4CEC980D" w:rsidR="00881814" w:rsidRPr="004676F5" w:rsidRDefault="00881814" w:rsidP="00881814">
      <w:pPr>
        <w:jc w:val="center"/>
        <w:rPr>
          <w:lang w:val="de-DE"/>
        </w:rPr>
      </w:pPr>
      <w:r w:rsidRPr="004676F5">
        <w:rPr>
          <w:i/>
          <w:lang w:val="de-DE"/>
        </w:rPr>
        <w:lastRenderedPageBreak/>
        <w:t>Abschnitt 2 </w:t>
      </w:r>
      <w:r w:rsidR="005B7A5C" w:rsidRPr="004676F5">
        <w:rPr>
          <w:i/>
          <w:lang w:val="de-DE"/>
        </w:rPr>
        <w:t>- </w:t>
      </w:r>
      <w:r w:rsidRPr="004676F5">
        <w:rPr>
          <w:lang w:val="de-DE"/>
        </w:rPr>
        <w:t>Kreditgeber nach belgischem Recht</w:t>
      </w:r>
    </w:p>
    <w:p w14:paraId="5CB3F666" w14:textId="77777777" w:rsidR="00881814" w:rsidRPr="004676F5" w:rsidRDefault="00881814" w:rsidP="00881814">
      <w:pPr>
        <w:ind w:firstLine="708"/>
        <w:jc w:val="both"/>
        <w:rPr>
          <w:lang w:val="de-DE"/>
        </w:rPr>
      </w:pPr>
    </w:p>
    <w:p w14:paraId="7F009160" w14:textId="77777777" w:rsidR="007A7DCC" w:rsidRPr="004676F5" w:rsidRDefault="007A7DCC" w:rsidP="00881814">
      <w:pPr>
        <w:ind w:firstLine="708"/>
        <w:jc w:val="both"/>
        <w:rPr>
          <w:lang w:val="de-DE"/>
        </w:rPr>
      </w:pPr>
    </w:p>
    <w:p w14:paraId="53D60669" w14:textId="1B921C51" w:rsidR="00881814" w:rsidRPr="004676F5" w:rsidRDefault="00881814" w:rsidP="00881814">
      <w:pPr>
        <w:jc w:val="center"/>
        <w:rPr>
          <w:lang w:val="de-DE"/>
        </w:rPr>
      </w:pPr>
      <w:r w:rsidRPr="004676F5">
        <w:rPr>
          <w:lang w:val="de-DE"/>
        </w:rPr>
        <w:t xml:space="preserve">Unterabschnitt 1 </w:t>
      </w:r>
      <w:r w:rsidR="005B7A5C" w:rsidRPr="004676F5">
        <w:rPr>
          <w:lang w:val="de-DE"/>
        </w:rPr>
        <w:t>- </w:t>
      </w:r>
      <w:r w:rsidRPr="004676F5">
        <w:rPr>
          <w:lang w:val="de-DE"/>
        </w:rPr>
        <w:t>Zulassungsbedingungen</w:t>
      </w:r>
    </w:p>
    <w:p w14:paraId="54C0D1C5" w14:textId="77777777" w:rsidR="00881814" w:rsidRPr="004676F5" w:rsidRDefault="00881814" w:rsidP="00881814">
      <w:pPr>
        <w:ind w:firstLine="708"/>
        <w:jc w:val="both"/>
        <w:rPr>
          <w:lang w:val="de-DE"/>
        </w:rPr>
      </w:pPr>
    </w:p>
    <w:p w14:paraId="043C546D" w14:textId="77777777" w:rsidR="007A7DCC" w:rsidRPr="004676F5" w:rsidRDefault="007A7DCC" w:rsidP="00881814">
      <w:pPr>
        <w:ind w:firstLine="708"/>
        <w:jc w:val="both"/>
        <w:rPr>
          <w:lang w:val="de-DE"/>
        </w:rPr>
      </w:pPr>
    </w:p>
    <w:p w14:paraId="197F959E" w14:textId="01933A01" w:rsidR="00881814" w:rsidRPr="004676F5" w:rsidRDefault="00BE0A56" w:rsidP="00881814">
      <w:pPr>
        <w:ind w:firstLine="708"/>
        <w:jc w:val="both"/>
        <w:rPr>
          <w:lang w:val="de-DE"/>
        </w:rPr>
      </w:pPr>
      <w:r w:rsidRPr="004676F5">
        <w:rPr>
          <w:b/>
          <w:lang w:val="de-DE"/>
        </w:rPr>
        <w:t>Art. </w:t>
      </w:r>
      <w:r w:rsidR="00881814" w:rsidRPr="004676F5">
        <w:rPr>
          <w:b/>
          <w:lang w:val="de-DE"/>
        </w:rPr>
        <w:t>VII.160</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Zulassungsanträge werden der FSMA in den Formen und unter den Bedingungen übermittelt, die der König festlegt.</w:t>
      </w:r>
    </w:p>
    <w:p w14:paraId="4E9B94D5" w14:textId="77777777" w:rsidR="00881814" w:rsidRPr="004676F5" w:rsidRDefault="00881814" w:rsidP="00881814">
      <w:pPr>
        <w:ind w:firstLine="708"/>
        <w:jc w:val="both"/>
        <w:rPr>
          <w:lang w:val="de-DE"/>
        </w:rPr>
      </w:pPr>
    </w:p>
    <w:p w14:paraId="41A97F54" w14:textId="0D38D49B"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Eine Zulassung kann beantragt werden:</w:t>
      </w:r>
    </w:p>
    <w:p w14:paraId="1E868C17" w14:textId="77777777" w:rsidR="00881814" w:rsidRPr="004676F5" w:rsidRDefault="00881814" w:rsidP="00881814">
      <w:pPr>
        <w:ind w:firstLine="708"/>
        <w:jc w:val="both"/>
        <w:rPr>
          <w:lang w:val="de-DE"/>
        </w:rPr>
      </w:pPr>
    </w:p>
    <w:p w14:paraId="2AB90847" w14:textId="77777777" w:rsidR="00881814" w:rsidRPr="004676F5" w:rsidRDefault="00881814" w:rsidP="00881814">
      <w:pPr>
        <w:ind w:firstLine="708"/>
        <w:jc w:val="both"/>
        <w:rPr>
          <w:lang w:val="de-DE"/>
        </w:rPr>
      </w:pPr>
      <w:r w:rsidRPr="004676F5">
        <w:rPr>
          <w:lang w:val="de-DE"/>
        </w:rPr>
        <w:t>1. als Hypothekarkreditgeber,</w:t>
      </w:r>
    </w:p>
    <w:p w14:paraId="177F4EEE" w14:textId="77777777" w:rsidR="00881814" w:rsidRPr="004676F5" w:rsidRDefault="00881814" w:rsidP="00881814">
      <w:pPr>
        <w:ind w:firstLine="708"/>
        <w:jc w:val="both"/>
        <w:rPr>
          <w:lang w:val="de-DE"/>
        </w:rPr>
      </w:pPr>
    </w:p>
    <w:p w14:paraId="0A03D0B6" w14:textId="77777777" w:rsidR="00881814" w:rsidRPr="004676F5" w:rsidRDefault="00881814" w:rsidP="00881814">
      <w:pPr>
        <w:ind w:firstLine="708"/>
        <w:jc w:val="both"/>
        <w:rPr>
          <w:lang w:val="de-DE"/>
        </w:rPr>
      </w:pPr>
      <w:r w:rsidRPr="004676F5">
        <w:rPr>
          <w:lang w:val="de-DE"/>
        </w:rPr>
        <w:t>2. als Verbraucherkreditgeber.</w:t>
      </w:r>
    </w:p>
    <w:p w14:paraId="4F6A9E33" w14:textId="77777777" w:rsidR="00881814" w:rsidRPr="004676F5" w:rsidRDefault="00881814" w:rsidP="00881814">
      <w:pPr>
        <w:ind w:firstLine="708"/>
        <w:jc w:val="both"/>
        <w:rPr>
          <w:lang w:val="de-DE"/>
        </w:rPr>
      </w:pPr>
    </w:p>
    <w:p w14:paraId="4843DA53" w14:textId="77777777" w:rsidR="00881814" w:rsidRPr="004676F5" w:rsidRDefault="00881814" w:rsidP="00881814">
      <w:pPr>
        <w:ind w:firstLine="708"/>
        <w:jc w:val="both"/>
        <w:rPr>
          <w:lang w:val="de-DE"/>
        </w:rPr>
      </w:pPr>
      <w:r w:rsidRPr="004676F5">
        <w:rPr>
          <w:lang w:val="de-DE"/>
        </w:rPr>
        <w:t>Der Antragsteller gibt in seinem Antrag an, welche Art der Zulassung er erhalten möchte.</w:t>
      </w:r>
    </w:p>
    <w:p w14:paraId="6E1B8D26" w14:textId="77777777" w:rsidR="00881814" w:rsidRPr="004676F5" w:rsidRDefault="00881814" w:rsidP="00881814">
      <w:pPr>
        <w:ind w:firstLine="708"/>
        <w:jc w:val="both"/>
        <w:rPr>
          <w:lang w:val="de-DE"/>
        </w:rPr>
      </w:pPr>
    </w:p>
    <w:p w14:paraId="3202D355" w14:textId="77777777" w:rsidR="00881814" w:rsidRPr="004676F5" w:rsidRDefault="00881814" w:rsidP="00881814">
      <w:pPr>
        <w:ind w:firstLine="708"/>
        <w:jc w:val="both"/>
        <w:rPr>
          <w:lang w:val="de-DE"/>
        </w:rPr>
      </w:pPr>
      <w:r w:rsidRPr="004676F5">
        <w:rPr>
          <w:lang w:val="de-DE"/>
        </w:rPr>
        <w:t>Eine selbe juristische Person kann beide Zulassungen erhalten.</w:t>
      </w:r>
    </w:p>
    <w:p w14:paraId="31722657" w14:textId="77777777" w:rsidR="00881814" w:rsidRPr="004676F5" w:rsidRDefault="00881814" w:rsidP="00881814">
      <w:pPr>
        <w:ind w:firstLine="708"/>
        <w:jc w:val="both"/>
        <w:rPr>
          <w:lang w:val="de-DE"/>
        </w:rPr>
      </w:pPr>
    </w:p>
    <w:p w14:paraId="0335B5DF" w14:textId="5194EA94" w:rsidR="00881814" w:rsidRPr="004676F5" w:rsidRDefault="00881814" w:rsidP="00881814">
      <w:pPr>
        <w:ind w:firstLine="708"/>
        <w:jc w:val="both"/>
        <w:rPr>
          <w:lang w:val="de-DE"/>
        </w:rPr>
      </w:pPr>
      <w:r w:rsidRPr="004676F5">
        <w:rPr>
          <w:lang w:val="de-DE"/>
        </w:rPr>
        <w:t xml:space="preserve">§ 3 </w:t>
      </w:r>
      <w:r w:rsidR="005B7A5C" w:rsidRPr="004676F5">
        <w:rPr>
          <w:lang w:val="de-DE"/>
        </w:rPr>
        <w:t>- </w:t>
      </w:r>
      <w:r w:rsidRPr="004676F5">
        <w:rPr>
          <w:lang w:val="de-DE"/>
        </w:rPr>
        <w:t>Handelt es sich um einen Antrag auf Zulassung als Verbraucherkreditgeber, gibt der Antragsteller an:</w:t>
      </w:r>
    </w:p>
    <w:p w14:paraId="3E8ECC75" w14:textId="77777777" w:rsidR="00881814" w:rsidRPr="004676F5" w:rsidRDefault="00881814" w:rsidP="00881814">
      <w:pPr>
        <w:ind w:firstLine="708"/>
        <w:jc w:val="both"/>
        <w:rPr>
          <w:lang w:val="de-DE"/>
        </w:rPr>
      </w:pPr>
    </w:p>
    <w:p w14:paraId="074670F0" w14:textId="77777777" w:rsidR="00881814" w:rsidRPr="004676F5" w:rsidRDefault="00881814" w:rsidP="00881814">
      <w:pPr>
        <w:ind w:firstLine="708"/>
        <w:jc w:val="both"/>
        <w:rPr>
          <w:lang w:val="de-DE"/>
        </w:rPr>
      </w:pPr>
      <w:r w:rsidRPr="004676F5">
        <w:rPr>
          <w:lang w:val="de-DE"/>
        </w:rPr>
        <w:t>1. ob er Teilzahlungsverkäufe oder -darlehen oder Leasingverträge anbieten will und ob er für solche Kreditverträge unmittelbar als Zessionar oder in die Rechte von Altgläubigern eingesetzter Gläubiger tätig werden will,</w:t>
      </w:r>
    </w:p>
    <w:p w14:paraId="346755CB" w14:textId="77777777" w:rsidR="00881814" w:rsidRPr="004676F5" w:rsidRDefault="00881814" w:rsidP="00881814">
      <w:pPr>
        <w:ind w:firstLine="708"/>
        <w:jc w:val="both"/>
        <w:rPr>
          <w:lang w:val="de-DE"/>
        </w:rPr>
      </w:pPr>
    </w:p>
    <w:p w14:paraId="7B5325D5" w14:textId="77777777" w:rsidR="00881814" w:rsidRPr="004676F5" w:rsidRDefault="00881814" w:rsidP="00881814">
      <w:pPr>
        <w:ind w:firstLine="708"/>
        <w:jc w:val="both"/>
        <w:rPr>
          <w:lang w:val="de-DE"/>
        </w:rPr>
      </w:pPr>
      <w:r w:rsidRPr="004676F5">
        <w:rPr>
          <w:lang w:val="de-DE"/>
        </w:rPr>
        <w:t>2. ob er ebenfalls Krediteröffnungen oder Kreditverträge anbieten will, für die durch oder aufgrund des vorliegenden Buches keine besonderen Regeln festgelegt worden sind, und ob er für solche Kreditverträge unmittelbar als Zessionar oder in die Rechte von Altgläubigern eingesetzter Gläubiger tätig werden will.</w:t>
      </w:r>
    </w:p>
    <w:p w14:paraId="3FDF5B75" w14:textId="77777777" w:rsidR="00881814" w:rsidRPr="004676F5" w:rsidRDefault="00881814" w:rsidP="00881814">
      <w:pPr>
        <w:ind w:firstLine="708"/>
        <w:jc w:val="both"/>
        <w:rPr>
          <w:lang w:val="de-DE"/>
        </w:rPr>
      </w:pPr>
    </w:p>
    <w:p w14:paraId="76C473BD" w14:textId="406F9BA4" w:rsidR="00881814" w:rsidRPr="004676F5" w:rsidRDefault="00881814" w:rsidP="00881814">
      <w:pPr>
        <w:ind w:firstLine="708"/>
        <w:jc w:val="both"/>
        <w:rPr>
          <w:lang w:val="de-DE"/>
        </w:rPr>
      </w:pPr>
      <w:r w:rsidRPr="004676F5">
        <w:rPr>
          <w:lang w:val="de-DE"/>
        </w:rPr>
        <w:t>§ 4 </w:t>
      </w:r>
      <w:r w:rsidR="005B7A5C" w:rsidRPr="004676F5">
        <w:rPr>
          <w:lang w:val="de-DE"/>
        </w:rPr>
        <w:t>- </w:t>
      </w:r>
      <w:r w:rsidRPr="004676F5">
        <w:rPr>
          <w:lang w:val="de-DE"/>
        </w:rPr>
        <w:t>Zulassungsanträgen wird eine Akte beigefügt, die den von der FSMA festgelegten Bedingungen genügt und in der insbesondere Art und Umfang der beabsichtigten Geschäfte, organisatorischer Aufbau des Instituts und enge Verbindungen mit anderen Personen angegeben sind. Der Antragsteller erteilt alle Auskünfte, die für die Beurteilung seines Antrags erforderlich sind.</w:t>
      </w:r>
    </w:p>
    <w:p w14:paraId="69990A80" w14:textId="77777777" w:rsidR="00881814" w:rsidRPr="004676F5" w:rsidRDefault="00881814" w:rsidP="00881814">
      <w:pPr>
        <w:ind w:firstLine="708"/>
        <w:jc w:val="both"/>
        <w:rPr>
          <w:lang w:val="de-DE"/>
        </w:rPr>
      </w:pPr>
    </w:p>
    <w:p w14:paraId="2F34BF9F" w14:textId="77777777" w:rsidR="00881814" w:rsidRPr="004676F5" w:rsidRDefault="00881814" w:rsidP="00881814">
      <w:pPr>
        <w:ind w:firstLine="708"/>
        <w:jc w:val="both"/>
        <w:rPr>
          <w:lang w:val="de-DE"/>
        </w:rPr>
      </w:pPr>
      <w:r w:rsidRPr="004676F5">
        <w:rPr>
          <w:lang w:val="de-DE"/>
        </w:rPr>
        <w:t>Änderungen in den Angaben aus der Zulassungsakte werden unmittelbar der FSMA mitgeteilt, unbeschadet des Rechts der FSMA, bei den Betreffenden Informationen einzuholen oder Belege anzufordern.</w:t>
      </w:r>
    </w:p>
    <w:p w14:paraId="15A7F88D" w14:textId="77777777" w:rsidR="00881814" w:rsidRPr="004676F5" w:rsidRDefault="00881814" w:rsidP="00881814">
      <w:pPr>
        <w:ind w:firstLine="708"/>
        <w:jc w:val="both"/>
        <w:rPr>
          <w:lang w:val="de-DE"/>
        </w:rPr>
      </w:pPr>
    </w:p>
    <w:p w14:paraId="67F6FF21" w14:textId="77777777" w:rsidR="00881814" w:rsidRPr="004676F5" w:rsidRDefault="00881814" w:rsidP="00881814">
      <w:pPr>
        <w:ind w:firstLine="708"/>
        <w:jc w:val="both"/>
        <w:rPr>
          <w:lang w:val="de-DE"/>
        </w:rPr>
      </w:pPr>
      <w:r w:rsidRPr="004676F5">
        <w:rPr>
          <w:lang w:val="de-DE"/>
        </w:rPr>
        <w:t>Die Zulassungsakte enthält ebenfalls den Nachweis, dass die Muster der Kreditverträge einschließlich der Tilgungspläne, die der Kreditgeber zu verwenden beabsichtigt, vorab vom FÖD Wirtschaft gebilligt worden sind.</w:t>
      </w:r>
    </w:p>
    <w:p w14:paraId="09A680E3" w14:textId="77777777" w:rsidR="00881814" w:rsidRPr="004676F5" w:rsidRDefault="00881814" w:rsidP="00881814">
      <w:pPr>
        <w:ind w:firstLine="708"/>
        <w:jc w:val="both"/>
        <w:rPr>
          <w:lang w:val="de-DE"/>
        </w:rPr>
      </w:pPr>
    </w:p>
    <w:p w14:paraId="53AB4D85" w14:textId="542DFC37" w:rsidR="002D304F" w:rsidRPr="004676F5" w:rsidRDefault="002D304F" w:rsidP="002D304F">
      <w:pPr>
        <w:ind w:firstLine="708"/>
        <w:jc w:val="both"/>
        <w:rPr>
          <w:rFonts w:eastAsiaTheme="minorHAnsi"/>
          <w:lang w:val="de-DE"/>
        </w:rPr>
      </w:pPr>
      <w:r w:rsidRPr="004676F5">
        <w:rPr>
          <w:lang w:val="de-DE"/>
        </w:rPr>
        <w:t>[Der FÖD Wirtschaft befindet über vorgelegte Muster von Kreditverträgen in einer Frist von vier Monaten ab dem Tag des Erhalts aller Unterlagen und Angaben</w:t>
      </w:r>
      <w:r w:rsidR="00980046" w:rsidRPr="004676F5">
        <w:rPr>
          <w:lang w:val="de-DE"/>
        </w:rPr>
        <w:t xml:space="preserve"> [und spätestens sechs Monate nach Eingang des Billigungsantrags]</w:t>
      </w:r>
      <w:r w:rsidRPr="004676F5">
        <w:rPr>
          <w:lang w:val="de-DE"/>
        </w:rPr>
        <w:t>.</w:t>
      </w:r>
      <w:r w:rsidR="00980046" w:rsidRPr="004676F5">
        <w:rPr>
          <w:lang w:val="de-DE"/>
        </w:rPr>
        <w:t>]</w:t>
      </w:r>
    </w:p>
    <w:p w14:paraId="6DC9C4F9" w14:textId="77777777" w:rsidR="002D304F" w:rsidRPr="004676F5" w:rsidRDefault="002D304F" w:rsidP="002D304F">
      <w:pPr>
        <w:jc w:val="both"/>
        <w:rPr>
          <w:rFonts w:eastAsiaTheme="minorHAnsi"/>
          <w:lang w:val="de-DE" w:eastAsia="en-US"/>
        </w:rPr>
      </w:pPr>
    </w:p>
    <w:p w14:paraId="7096869B" w14:textId="29773516" w:rsidR="002D304F" w:rsidRPr="004676F5" w:rsidRDefault="00980046" w:rsidP="002D304F">
      <w:pPr>
        <w:ind w:firstLine="708"/>
        <w:jc w:val="both"/>
        <w:rPr>
          <w:lang w:val="de-DE"/>
        </w:rPr>
      </w:pPr>
      <w:r w:rsidRPr="004676F5">
        <w:rPr>
          <w:lang w:val="de-DE"/>
        </w:rPr>
        <w:t>[</w:t>
      </w:r>
      <w:r w:rsidR="002D304F" w:rsidRPr="004676F5">
        <w:rPr>
          <w:lang w:val="de-DE"/>
        </w:rPr>
        <w:t>Für Kreditgeber, die in Artikel 54 §§ 4 und 5 des Gesetzes vom 19. April 2014 zur Einfügung von Buch VII "Zahlungs</w:t>
      </w:r>
      <w:r w:rsidR="005B7A5C" w:rsidRPr="004676F5">
        <w:rPr>
          <w:lang w:val="de-DE"/>
        </w:rPr>
        <w:t>- </w:t>
      </w:r>
      <w:r w:rsidR="002D304F" w:rsidRPr="004676F5">
        <w:rPr>
          <w:lang w:val="de-DE"/>
        </w:rPr>
        <w:t xml:space="preserve">und Kreditdienste" in das Wirtschaftsgesetzbuch, zur </w:t>
      </w:r>
      <w:r w:rsidR="002D304F" w:rsidRPr="004676F5">
        <w:rPr>
          <w:lang w:val="de-DE"/>
        </w:rPr>
        <w:lastRenderedPageBreak/>
        <w:t>Einfügung der Buch VII eigenen Begriffsbestimmungen und der Strafen in Bezug auf Verstöße gegen Buch VII in die Bücher I und XV des Wirtschaftsgesetzbuches und zur Festlegung verschiedener anderer Bestimmungen erwähnt sind, reicht unbeschadet der Anwendung von § 5 Absatz 2 der Nachweis, dass die Muster der Kreditverträge einschließlich der Tilgungspläne dem FÖD Wirtschaft zur Billigung vorgelegt worden sind.]</w:t>
      </w:r>
    </w:p>
    <w:p w14:paraId="59B6D5C7" w14:textId="77777777" w:rsidR="002D304F" w:rsidRPr="004676F5" w:rsidRDefault="002D304F" w:rsidP="00881814">
      <w:pPr>
        <w:ind w:firstLine="708"/>
        <w:jc w:val="both"/>
        <w:rPr>
          <w:lang w:val="de-DE"/>
        </w:rPr>
      </w:pPr>
    </w:p>
    <w:p w14:paraId="56341BAB" w14:textId="6E4DCD10" w:rsidR="00881814" w:rsidRPr="004676F5" w:rsidRDefault="00881814" w:rsidP="00881814">
      <w:pPr>
        <w:ind w:firstLine="708"/>
        <w:jc w:val="both"/>
        <w:rPr>
          <w:lang w:val="de-DE"/>
        </w:rPr>
      </w:pPr>
      <w:r w:rsidRPr="004676F5">
        <w:rPr>
          <w:lang w:val="de-DE"/>
        </w:rPr>
        <w:t xml:space="preserve">§ 5 </w:t>
      </w:r>
      <w:r w:rsidR="005B7A5C" w:rsidRPr="004676F5">
        <w:rPr>
          <w:lang w:val="de-DE"/>
        </w:rPr>
        <w:t>- </w:t>
      </w:r>
      <w:r w:rsidRPr="004676F5">
        <w:rPr>
          <w:lang w:val="de-DE"/>
        </w:rPr>
        <w:t>Der FÖD Wirtschaft untersucht, ob die Vertragsmuster den Bestimmungen des vorliegenden Buches und von Buch VI und ihren Ausführungserlassen entsprechen. Die Muster werden vorher ausgefüllt, damit unter anderem die Berechnung des effektiven Jahreszinses überprüft werden kann.</w:t>
      </w:r>
    </w:p>
    <w:p w14:paraId="281649F0" w14:textId="77777777" w:rsidR="002D304F" w:rsidRPr="004676F5" w:rsidRDefault="002D304F" w:rsidP="00881814">
      <w:pPr>
        <w:ind w:firstLine="708"/>
        <w:jc w:val="both"/>
        <w:rPr>
          <w:lang w:val="de-DE"/>
        </w:rPr>
      </w:pPr>
    </w:p>
    <w:p w14:paraId="7A1F355B" w14:textId="77777777" w:rsidR="002D304F" w:rsidRPr="004676F5" w:rsidRDefault="002D304F" w:rsidP="00881814">
      <w:pPr>
        <w:ind w:firstLine="708"/>
        <w:jc w:val="both"/>
        <w:rPr>
          <w:lang w:val="de-DE"/>
        </w:rPr>
      </w:pPr>
      <w:r w:rsidRPr="004676F5">
        <w:rPr>
          <w:lang w:val="de-DE"/>
        </w:rPr>
        <w:t>[Wenn der FÖD Wirtschaft nach Anhörung des Betreffenden der FSMA durch eine mit Gründen versehene Notifizierung mitteilt, dass die Muster der Kreditverträge eines in § 4 Absatz 5 erwähnten Kreditgebers abgelehnt worden sind, ist Artikel XV.67/1 § 5 entsprechend anwendbar.]</w:t>
      </w:r>
    </w:p>
    <w:p w14:paraId="1A4ED49B" w14:textId="77777777" w:rsidR="00881814" w:rsidRPr="004676F5" w:rsidRDefault="00881814" w:rsidP="00881814">
      <w:pPr>
        <w:ind w:firstLine="708"/>
        <w:jc w:val="both"/>
        <w:rPr>
          <w:lang w:val="de-DE"/>
        </w:rPr>
      </w:pPr>
    </w:p>
    <w:p w14:paraId="5D3EEB30" w14:textId="19205BAF" w:rsidR="00881814" w:rsidRPr="004676F5" w:rsidRDefault="00881814" w:rsidP="00881814">
      <w:pPr>
        <w:ind w:firstLine="708"/>
        <w:jc w:val="both"/>
        <w:rPr>
          <w:lang w:val="de-DE"/>
        </w:rPr>
      </w:pPr>
      <w:r w:rsidRPr="004676F5">
        <w:rPr>
          <w:lang w:val="de-DE"/>
        </w:rPr>
        <w:t>Änderungen in den Vertragsmustern werden dem FÖD Wirtschaft vorab zur Billigung vorgelegt.</w:t>
      </w:r>
      <w:r w:rsidR="00980046" w:rsidRPr="004676F5">
        <w:rPr>
          <w:lang w:val="de-DE"/>
        </w:rPr>
        <w:t xml:space="preserve"> [Der FÖD Wirtschaft befindet über die vorgelegten Änderungen in einer Frist von vier Monaten ab dem Tag des Erhalts aller Unterlagen und Angaben und spätestens sechs Monate nach Eingang des Billigungsantrags.]</w:t>
      </w:r>
    </w:p>
    <w:p w14:paraId="51D18912" w14:textId="77777777" w:rsidR="00881814" w:rsidRPr="004676F5" w:rsidRDefault="00881814" w:rsidP="00881814">
      <w:pPr>
        <w:ind w:firstLine="708"/>
        <w:jc w:val="both"/>
        <w:rPr>
          <w:lang w:val="de-DE"/>
        </w:rPr>
      </w:pPr>
    </w:p>
    <w:p w14:paraId="6E84624F" w14:textId="0A59BC32" w:rsidR="00881814" w:rsidRPr="004676F5" w:rsidRDefault="00881814" w:rsidP="00881814">
      <w:pPr>
        <w:ind w:firstLine="708"/>
        <w:jc w:val="both"/>
        <w:rPr>
          <w:lang w:val="de-DE"/>
        </w:rPr>
      </w:pPr>
      <w:r w:rsidRPr="004676F5">
        <w:rPr>
          <w:lang w:val="de-DE"/>
        </w:rPr>
        <w:t>§ 6 </w:t>
      </w:r>
      <w:r w:rsidR="005B7A5C" w:rsidRPr="004676F5">
        <w:rPr>
          <w:lang w:val="de-DE"/>
        </w:rPr>
        <w:t>- </w:t>
      </w:r>
      <w:r w:rsidRPr="004676F5">
        <w:rPr>
          <w:lang w:val="de-DE"/>
        </w:rPr>
        <w:t xml:space="preserve">Die FSMA erteilt Kreditgebern, die den Bedingungen des vorliegenden Unterabschnitts genügen, eine Zulassung. </w:t>
      </w:r>
      <w:r w:rsidR="00355B29" w:rsidRPr="004676F5">
        <w:rPr>
          <w:lang w:val="de-DE"/>
        </w:rPr>
        <w:t>[Sie entscheidet innerhalb sechzig Tagen nach Empfang des Antrags und aller erforderlichen Unterlagen.]</w:t>
      </w:r>
    </w:p>
    <w:p w14:paraId="67BC6AAE" w14:textId="77777777" w:rsidR="00881814" w:rsidRPr="004676F5" w:rsidRDefault="00881814" w:rsidP="00881814">
      <w:pPr>
        <w:ind w:firstLine="708"/>
        <w:jc w:val="both"/>
        <w:rPr>
          <w:lang w:val="de-DE"/>
        </w:rPr>
      </w:pPr>
    </w:p>
    <w:p w14:paraId="42558A53" w14:textId="77777777" w:rsidR="00881814" w:rsidRPr="004676F5" w:rsidRDefault="00881814" w:rsidP="00881814">
      <w:pPr>
        <w:ind w:firstLine="708"/>
        <w:jc w:val="both"/>
        <w:rPr>
          <w:lang w:val="de-DE"/>
        </w:rPr>
      </w:pPr>
      <w:r w:rsidRPr="004676F5">
        <w:rPr>
          <w:lang w:val="de-DE"/>
        </w:rPr>
        <w:t xml:space="preserve">Beschlüsse über die Zulassung werden den Antragstellern </w:t>
      </w:r>
      <w:r w:rsidR="00137AE1" w:rsidRPr="004676F5">
        <w:rPr>
          <w:lang w:val="de-DE"/>
        </w:rPr>
        <w:t xml:space="preserve">[per Einschreibesendung] </w:t>
      </w:r>
      <w:r w:rsidRPr="004676F5">
        <w:rPr>
          <w:lang w:val="de-DE"/>
        </w:rPr>
        <w:t>mitgeteilt.</w:t>
      </w:r>
    </w:p>
    <w:p w14:paraId="66A86851" w14:textId="77777777" w:rsidR="00881814" w:rsidRPr="004676F5" w:rsidRDefault="00881814" w:rsidP="00881814">
      <w:pPr>
        <w:ind w:firstLine="708"/>
        <w:jc w:val="both"/>
        <w:rPr>
          <w:lang w:val="de-DE"/>
        </w:rPr>
      </w:pPr>
    </w:p>
    <w:p w14:paraId="65B6E748" w14:textId="7F0FAB94" w:rsidR="00881814" w:rsidRPr="004676F5" w:rsidRDefault="00881814" w:rsidP="00881814">
      <w:pPr>
        <w:ind w:firstLine="708"/>
        <w:jc w:val="both"/>
        <w:rPr>
          <w:lang w:val="de-DE"/>
        </w:rPr>
      </w:pPr>
      <w:r w:rsidRPr="004676F5">
        <w:rPr>
          <w:lang w:val="de-DE"/>
        </w:rPr>
        <w:t>Die FSMA kann Antragstellern Zulassungsbeschlüsse oder Beschlüsse zur Zulassungsverweigerung, Inverzugsetzungs</w:t>
      </w:r>
      <w:r w:rsidR="005B7A5C" w:rsidRPr="004676F5">
        <w:rPr>
          <w:lang w:val="de-DE"/>
        </w:rPr>
        <w:t>- </w:t>
      </w:r>
      <w:r w:rsidRPr="004676F5">
        <w:rPr>
          <w:lang w:val="de-DE"/>
        </w:rPr>
        <w:t>und Verbotsbeschlüsse und Beschlüsse zur Aussetzung oder zum Entzug der Zulassung rechtsgültig anhand von Vordrucken notifizieren, die mit einer durch ein Verfahren der maschinellen Datenverarbeitung wiedergegebenen Unterschrift versehen sind.</w:t>
      </w:r>
    </w:p>
    <w:p w14:paraId="34D398A9" w14:textId="77777777" w:rsidR="00881814" w:rsidRPr="004676F5" w:rsidRDefault="00881814" w:rsidP="00137AE1">
      <w:pPr>
        <w:jc w:val="both"/>
        <w:rPr>
          <w:lang w:val="de-DE"/>
        </w:rPr>
      </w:pPr>
    </w:p>
    <w:p w14:paraId="34946DA0" w14:textId="3A6D2938" w:rsidR="00137AE1" w:rsidRPr="004676F5" w:rsidRDefault="00137AE1" w:rsidP="00137AE1">
      <w:pPr>
        <w:jc w:val="both"/>
        <w:rPr>
          <w:i/>
          <w:lang w:val="de-DE"/>
        </w:rPr>
      </w:pPr>
      <w:r w:rsidRPr="004676F5">
        <w:rPr>
          <w:i/>
          <w:lang w:val="de-DE"/>
        </w:rPr>
        <w:t>[</w:t>
      </w:r>
      <w:r w:rsidR="00BE0A56" w:rsidRPr="004676F5">
        <w:rPr>
          <w:i/>
          <w:lang w:val="de-DE"/>
        </w:rPr>
        <w:t>Art. </w:t>
      </w:r>
      <w:r w:rsidRPr="004676F5">
        <w:rPr>
          <w:i/>
          <w:lang w:val="de-DE"/>
        </w:rPr>
        <w:t xml:space="preserve">VII.160 </w:t>
      </w:r>
      <w:r w:rsidR="002D304F" w:rsidRPr="004676F5">
        <w:rPr>
          <w:i/>
          <w:lang w:val="de-DE"/>
        </w:rPr>
        <w:t xml:space="preserve">§ 4 Abs. 4 eingefügt durch </w:t>
      </w:r>
      <w:r w:rsidR="00BE0A56" w:rsidRPr="004676F5">
        <w:rPr>
          <w:i/>
          <w:lang w:val="de-DE"/>
        </w:rPr>
        <w:t>Art. </w:t>
      </w:r>
      <w:r w:rsidR="002D304F" w:rsidRPr="004676F5">
        <w:rPr>
          <w:i/>
          <w:lang w:val="de-DE"/>
        </w:rPr>
        <w:t>15 Nr. 1 des G. vom 18. April 2017 (B.S. vom 24. April 2017)</w:t>
      </w:r>
      <w:r w:rsidR="00980046" w:rsidRPr="004676F5">
        <w:rPr>
          <w:i/>
          <w:lang w:val="de-DE"/>
        </w:rPr>
        <w:t xml:space="preserve"> und abgeändert durch Art. 9 Nr. 1 des G. vom 2. Mai 2019 (IV) (B.S. vom 22. Mai 2019)</w:t>
      </w:r>
      <w:r w:rsidR="002D304F" w:rsidRPr="004676F5">
        <w:rPr>
          <w:i/>
          <w:lang w:val="de-DE"/>
        </w:rPr>
        <w:t xml:space="preserve">; </w:t>
      </w:r>
      <w:r w:rsidR="00980046" w:rsidRPr="004676F5">
        <w:rPr>
          <w:i/>
          <w:lang w:val="de-DE"/>
        </w:rPr>
        <w:t xml:space="preserve">§ 4 Abs. 5 eingefügt durch Art. 15 Nr. 1 des G. vom 18. April 2017 (B.S. vom 24. April 2017); </w:t>
      </w:r>
      <w:r w:rsidR="002D304F" w:rsidRPr="004676F5">
        <w:rPr>
          <w:i/>
          <w:lang w:val="de-DE"/>
        </w:rPr>
        <w:t xml:space="preserve">§ 5 neuer Absatz 2 eingefügt durch </w:t>
      </w:r>
      <w:r w:rsidR="00BE0A56" w:rsidRPr="004676F5">
        <w:rPr>
          <w:i/>
          <w:lang w:val="de-DE"/>
        </w:rPr>
        <w:t>Art. </w:t>
      </w:r>
      <w:r w:rsidR="002D304F" w:rsidRPr="004676F5">
        <w:rPr>
          <w:i/>
          <w:lang w:val="de-DE"/>
        </w:rPr>
        <w:t xml:space="preserve">15 Nr. 2 des G. vom 18. April 2017 (B.S. vom 24. April 2017); </w:t>
      </w:r>
      <w:r w:rsidR="00980046" w:rsidRPr="004676F5">
        <w:rPr>
          <w:i/>
          <w:lang w:val="de-DE"/>
        </w:rPr>
        <w:t>§ 5 Abs. 3 abgeändert durch Art. 9 Nr. 2 des G. vom 2. Mai 2019 (IV) (B.S. vom 22. Mai 2019);</w:t>
      </w:r>
      <w:r w:rsidR="00355B29" w:rsidRPr="004676F5">
        <w:rPr>
          <w:i/>
          <w:lang w:val="de-DE"/>
        </w:rPr>
        <w:t xml:space="preserve"> § 6 Abs. 1 abgeändert durch Art. 15 des G. vom 8. Mai 2022 (B.S. vom 23. Juni 2022);</w:t>
      </w:r>
      <w:r w:rsidR="00980046" w:rsidRPr="004676F5">
        <w:rPr>
          <w:i/>
          <w:lang w:val="de-DE"/>
        </w:rPr>
        <w:t xml:space="preserve"> </w:t>
      </w:r>
      <w:r w:rsidRPr="004676F5">
        <w:rPr>
          <w:i/>
          <w:lang w:val="de-DE"/>
        </w:rPr>
        <w:t xml:space="preserve">§ 6 Abs. 2 abgeändert durch </w:t>
      </w:r>
      <w:r w:rsidR="00BE0A56" w:rsidRPr="004676F5">
        <w:rPr>
          <w:i/>
          <w:lang w:val="de-DE"/>
        </w:rPr>
        <w:t>Art. </w:t>
      </w:r>
      <w:r w:rsidRPr="004676F5">
        <w:rPr>
          <w:i/>
          <w:lang w:val="de-DE"/>
        </w:rPr>
        <w:t>28 des G. vom 22. April 2016 (B.S. vom 4. Mai 2016)]</w:t>
      </w:r>
    </w:p>
    <w:p w14:paraId="3D3E71FC" w14:textId="77777777" w:rsidR="00137AE1" w:rsidRPr="004676F5" w:rsidRDefault="00137AE1" w:rsidP="00137AE1">
      <w:pPr>
        <w:jc w:val="both"/>
        <w:rPr>
          <w:i/>
          <w:lang w:val="de-DE"/>
        </w:rPr>
      </w:pPr>
    </w:p>
    <w:p w14:paraId="1FA7A8BD" w14:textId="77777777" w:rsidR="007A7DCC" w:rsidRPr="004676F5" w:rsidRDefault="007A7DCC" w:rsidP="00881814">
      <w:pPr>
        <w:ind w:firstLine="708"/>
        <w:jc w:val="both"/>
        <w:rPr>
          <w:lang w:val="de-DE"/>
        </w:rPr>
      </w:pPr>
    </w:p>
    <w:p w14:paraId="7E012C7A" w14:textId="1B4A3FCA" w:rsidR="00881814" w:rsidRPr="004676F5" w:rsidRDefault="00BE0A56" w:rsidP="00881814">
      <w:pPr>
        <w:ind w:firstLine="708"/>
        <w:jc w:val="both"/>
        <w:rPr>
          <w:lang w:val="de-DE"/>
        </w:rPr>
      </w:pPr>
      <w:r w:rsidRPr="004676F5">
        <w:rPr>
          <w:b/>
          <w:lang w:val="de-DE"/>
        </w:rPr>
        <w:t>Art. </w:t>
      </w:r>
      <w:r w:rsidR="00881814" w:rsidRPr="004676F5">
        <w:rPr>
          <w:b/>
          <w:lang w:val="de-DE"/>
        </w:rPr>
        <w:t>VII.161</w:t>
      </w:r>
      <w:r w:rsidR="00881814" w:rsidRPr="004676F5">
        <w:rPr>
          <w:lang w:val="de-DE"/>
        </w:rPr>
        <w:t> </w:t>
      </w:r>
      <w:r w:rsidR="005B7A5C" w:rsidRPr="004676F5">
        <w:rPr>
          <w:lang w:val="de-DE"/>
        </w:rPr>
        <w:t>- </w:t>
      </w:r>
      <w:r w:rsidR="006A7165" w:rsidRPr="004676F5">
        <w:rPr>
          <w:lang w:val="de-DE"/>
        </w:rPr>
        <w:t>[Kreditgeber müssen in einer der folgenden Gesellschaftsformen gegründet sein: Genossenschaft, Aktiengesellschaft, Europäische Gesellschaft oder Europäische Genossenschaft; oder in Form einer juristischen Person für Europäische wirtschaftliche Interessenvereinigungen, die keine Gesellschaften sind, unter Einhaltung der besonderen Anforderungen, die in vorliegendem Gesetz, dem Gesetzbuch der Gesellschaften und Vereinigungen oder in den europäischen Vorschriften festgelegt sind.]</w:t>
      </w:r>
    </w:p>
    <w:p w14:paraId="5DECCC64" w14:textId="77777777" w:rsidR="006A7165" w:rsidRPr="004676F5" w:rsidRDefault="006A7165" w:rsidP="00881814">
      <w:pPr>
        <w:ind w:firstLine="708"/>
        <w:jc w:val="both"/>
        <w:rPr>
          <w:lang w:val="de-DE"/>
        </w:rPr>
      </w:pPr>
    </w:p>
    <w:p w14:paraId="5C1A462E" w14:textId="4D8590CC" w:rsidR="006A7165" w:rsidRPr="004676F5" w:rsidRDefault="006A7165" w:rsidP="006A7165">
      <w:pPr>
        <w:jc w:val="both"/>
        <w:rPr>
          <w:i/>
          <w:iCs/>
          <w:lang w:val="de-DE"/>
        </w:rPr>
      </w:pPr>
      <w:r w:rsidRPr="004676F5">
        <w:rPr>
          <w:i/>
          <w:iCs/>
          <w:lang w:val="de-DE"/>
        </w:rPr>
        <w:t>[Art. VII.161 ersetzt durch Art. 297 des G. vom 27. Juni 2021 (B.S. vom 9. Juli 2021)]</w:t>
      </w:r>
    </w:p>
    <w:p w14:paraId="6F559395" w14:textId="77777777" w:rsidR="006A7165" w:rsidRPr="004676F5" w:rsidRDefault="006A7165" w:rsidP="006A7165">
      <w:pPr>
        <w:jc w:val="both"/>
        <w:rPr>
          <w:lang w:val="de-DE"/>
        </w:rPr>
      </w:pPr>
    </w:p>
    <w:p w14:paraId="79DF4078" w14:textId="77777777" w:rsidR="006A7165" w:rsidRPr="004676F5" w:rsidRDefault="006A7165" w:rsidP="006A7165">
      <w:pPr>
        <w:jc w:val="both"/>
        <w:rPr>
          <w:lang w:val="de-DE"/>
        </w:rPr>
      </w:pPr>
    </w:p>
    <w:p w14:paraId="21D49C47" w14:textId="1A7F2C0D" w:rsidR="00881814" w:rsidRPr="004676F5" w:rsidRDefault="00BE0A56" w:rsidP="00881814">
      <w:pPr>
        <w:ind w:firstLine="708"/>
        <w:jc w:val="both"/>
        <w:rPr>
          <w:lang w:val="de-DE"/>
        </w:rPr>
      </w:pPr>
      <w:r w:rsidRPr="004676F5">
        <w:rPr>
          <w:b/>
          <w:lang w:val="de-DE"/>
        </w:rPr>
        <w:t>Art. </w:t>
      </w:r>
      <w:r w:rsidR="00881814" w:rsidRPr="004676F5">
        <w:rPr>
          <w:b/>
          <w:lang w:val="de-DE"/>
        </w:rPr>
        <w:t>VII.162</w:t>
      </w:r>
      <w:r w:rsidR="00881814" w:rsidRPr="004676F5">
        <w:rPr>
          <w:lang w:val="de-DE"/>
        </w:rPr>
        <w:t> </w:t>
      </w:r>
      <w:r w:rsidR="005B7A5C" w:rsidRPr="004676F5">
        <w:rPr>
          <w:lang w:val="de-DE"/>
        </w:rPr>
        <w:t>- </w:t>
      </w:r>
      <w:r w:rsidR="00881814" w:rsidRPr="004676F5">
        <w:rPr>
          <w:lang w:val="de-DE"/>
        </w:rPr>
        <w:t>Zwecks Erhalt einer Zulassung ist ein Mindestkapital erforderlich, das gemäß folgenden Regeln festgelegt wird:</w:t>
      </w:r>
    </w:p>
    <w:p w14:paraId="747C109A" w14:textId="77777777" w:rsidR="00881814" w:rsidRPr="004676F5" w:rsidRDefault="00881814" w:rsidP="00881814">
      <w:pPr>
        <w:ind w:firstLine="708"/>
        <w:jc w:val="both"/>
        <w:rPr>
          <w:lang w:val="de-DE"/>
        </w:rPr>
      </w:pPr>
    </w:p>
    <w:p w14:paraId="5695E8B8" w14:textId="77777777" w:rsidR="00881814" w:rsidRPr="004676F5" w:rsidRDefault="00881814" w:rsidP="00881814">
      <w:pPr>
        <w:ind w:firstLine="708"/>
        <w:jc w:val="both"/>
        <w:rPr>
          <w:lang w:val="de-DE"/>
        </w:rPr>
      </w:pPr>
      <w:r w:rsidRPr="004676F5">
        <w:rPr>
          <w:lang w:val="de-DE"/>
        </w:rPr>
        <w:t>1. mindestens 250.000 EUR pro Kategorie Kreditverträge für Kreditgeber, die Teil</w:t>
      </w:r>
      <w:r w:rsidRPr="004676F5">
        <w:rPr>
          <w:lang w:val="de-DE"/>
        </w:rPr>
        <w:softHyphen/>
        <w:t>zahlungsverkäufe oder -darlehen oder Leasingverträge anbieten, und für Kreditgeber, die für solche Kreditverträge unmittelbar als Zessionar oder in die Rechte von Altgläubigern eingesetzte Gläubiger tätig sind,</w:t>
      </w:r>
    </w:p>
    <w:p w14:paraId="500DAF96" w14:textId="77777777" w:rsidR="00881814" w:rsidRPr="004676F5" w:rsidRDefault="00881814" w:rsidP="00881814">
      <w:pPr>
        <w:ind w:firstLine="708"/>
        <w:jc w:val="both"/>
        <w:rPr>
          <w:lang w:val="de-DE"/>
        </w:rPr>
      </w:pPr>
    </w:p>
    <w:p w14:paraId="3815F80B" w14:textId="77777777" w:rsidR="00881814" w:rsidRPr="004676F5" w:rsidRDefault="00881814" w:rsidP="00881814">
      <w:pPr>
        <w:ind w:firstLine="708"/>
        <w:jc w:val="both"/>
        <w:rPr>
          <w:lang w:val="de-DE"/>
        </w:rPr>
      </w:pPr>
      <w:r w:rsidRPr="004676F5">
        <w:rPr>
          <w:lang w:val="de-DE"/>
        </w:rPr>
        <w:t>2. mindestens 2.500.000 EUR für Kreditgeber, die Krediteröffnungen oder Verbraucherkreditverträge anbieten, für die durch oder aufgrund des Gesetzes keine besonderen Regeln festgelegt worden sind, und für Kreditgeber, die für solche Kreditverträge unmittelbar als Zessionar oder in die Rechte von Altgläubiger eingesetzte Gläubiger tätig sind,</w:t>
      </w:r>
    </w:p>
    <w:p w14:paraId="3DD97CB6" w14:textId="77777777" w:rsidR="00881814" w:rsidRPr="004676F5" w:rsidRDefault="00881814" w:rsidP="00881814">
      <w:pPr>
        <w:ind w:firstLine="708"/>
        <w:jc w:val="both"/>
        <w:rPr>
          <w:lang w:val="de-DE"/>
        </w:rPr>
      </w:pPr>
    </w:p>
    <w:p w14:paraId="5B922D3B" w14:textId="77777777" w:rsidR="00881814" w:rsidRPr="004676F5" w:rsidRDefault="00881814" w:rsidP="00881814">
      <w:pPr>
        <w:ind w:firstLine="708"/>
        <w:jc w:val="both"/>
        <w:rPr>
          <w:lang w:val="de-DE"/>
        </w:rPr>
      </w:pPr>
      <w:r w:rsidRPr="004676F5">
        <w:rPr>
          <w:lang w:val="de-DE"/>
        </w:rPr>
        <w:t>3. mindestens 2.500.000 EUR für Kreditgeber, die Hypothekarkreditverträge anbieten, und für Kreditgeber, die für solche Kreditverträge unmittelbar als Zessionar oder in die Rechte von Altgläubigern eingesetzte Gläubiger tätig sind.</w:t>
      </w:r>
    </w:p>
    <w:p w14:paraId="11DE057B" w14:textId="77777777" w:rsidR="00881814" w:rsidRPr="004676F5" w:rsidRDefault="00881814" w:rsidP="00881814">
      <w:pPr>
        <w:ind w:firstLine="708"/>
        <w:jc w:val="both"/>
        <w:rPr>
          <w:lang w:val="de-DE"/>
        </w:rPr>
      </w:pPr>
    </w:p>
    <w:p w14:paraId="0D84F962" w14:textId="77777777" w:rsidR="00881814" w:rsidRPr="004676F5" w:rsidRDefault="00881814" w:rsidP="00881814">
      <w:pPr>
        <w:ind w:firstLine="708"/>
        <w:jc w:val="both"/>
        <w:rPr>
          <w:lang w:val="de-DE"/>
        </w:rPr>
      </w:pPr>
      <w:r w:rsidRPr="004676F5">
        <w:rPr>
          <w:lang w:val="de-DE"/>
        </w:rPr>
        <w:t>Das Kapital muss voll eingezahlt werden in Höhe des in Absatz 1 festgelegten Mindestbetrags.</w:t>
      </w:r>
    </w:p>
    <w:p w14:paraId="415FD2D5" w14:textId="77777777" w:rsidR="00881814" w:rsidRPr="004676F5" w:rsidRDefault="00881814" w:rsidP="00881814">
      <w:pPr>
        <w:ind w:firstLine="708"/>
        <w:jc w:val="both"/>
        <w:rPr>
          <w:lang w:val="de-DE"/>
        </w:rPr>
      </w:pPr>
    </w:p>
    <w:p w14:paraId="142811FE" w14:textId="608B6262" w:rsidR="00881814" w:rsidRPr="004676F5" w:rsidRDefault="00881814" w:rsidP="00881814">
      <w:pPr>
        <w:ind w:firstLine="708"/>
        <w:jc w:val="both"/>
        <w:rPr>
          <w:lang w:val="de-DE"/>
        </w:rPr>
      </w:pPr>
      <w:r w:rsidRPr="004676F5">
        <w:rPr>
          <w:lang w:val="de-DE"/>
        </w:rPr>
        <w:t>Ist die antragstellende Gesellschaft eine bestehende Gesellschaft, werden Emissions</w:t>
      </w:r>
      <w:r w:rsidRPr="004676F5">
        <w:rPr>
          <w:lang w:val="de-DE"/>
        </w:rPr>
        <w:softHyphen/>
        <w:t xml:space="preserve">agien, Rücklagen und Ergebnisvortrag Kapital gleichgesetzt. Das Kapital muss sich aber in dem in Absatz 1 Nr. 1 erwähnten Fall auf mindestens 175.000 EUR und in dem </w:t>
      </w:r>
      <w:r w:rsidR="00BE3C07" w:rsidRPr="004676F5">
        <w:rPr>
          <w:lang w:val="de-DE"/>
        </w:rPr>
        <w:t>[</w:t>
      </w:r>
      <w:r w:rsidRPr="004676F5">
        <w:rPr>
          <w:lang w:val="de-DE"/>
        </w:rPr>
        <w:t xml:space="preserve">in Absatz 1 Nr. 2 </w:t>
      </w:r>
      <w:r w:rsidR="00BE3C07" w:rsidRPr="004676F5">
        <w:rPr>
          <w:lang w:val="de-DE"/>
        </w:rPr>
        <w:t xml:space="preserve">und 3] </w:t>
      </w:r>
      <w:r w:rsidRPr="004676F5">
        <w:rPr>
          <w:lang w:val="de-DE"/>
        </w:rPr>
        <w:t>erwähnten Fall auf mindestens 2.000.000 EUR belaufen und in Höhe dieser Beträge eingezahlt sein.</w:t>
      </w:r>
    </w:p>
    <w:p w14:paraId="5E4A2BC2" w14:textId="5E7D895E" w:rsidR="00BE3C07" w:rsidRPr="004676F5" w:rsidRDefault="00BE3C07" w:rsidP="00881814">
      <w:pPr>
        <w:ind w:firstLine="708"/>
        <w:jc w:val="both"/>
        <w:rPr>
          <w:lang w:val="de-DE"/>
        </w:rPr>
      </w:pPr>
    </w:p>
    <w:p w14:paraId="110BB777" w14:textId="5D74AE08" w:rsidR="00BE3C07" w:rsidRPr="004676F5" w:rsidRDefault="00BE3C07" w:rsidP="00BE3C07">
      <w:pPr>
        <w:jc w:val="both"/>
        <w:rPr>
          <w:i/>
          <w:iCs/>
          <w:lang w:val="de-DE"/>
        </w:rPr>
      </w:pPr>
      <w:r w:rsidRPr="004676F5">
        <w:rPr>
          <w:i/>
          <w:iCs/>
          <w:lang w:val="de-DE"/>
        </w:rPr>
        <w:t>[Art. VII.162 Abs. 3 abgeändert durch Art. 19</w:t>
      </w:r>
      <w:r w:rsidRPr="004676F5">
        <w:rPr>
          <w:i/>
          <w:lang w:val="de-DE"/>
        </w:rPr>
        <w:t xml:space="preserve"> des G. vom 30. Juli 2018 (II) (B.S. vom 5. September 2018)]</w:t>
      </w:r>
    </w:p>
    <w:p w14:paraId="6047043B" w14:textId="77777777" w:rsidR="00881814" w:rsidRPr="004676F5" w:rsidRDefault="00881814" w:rsidP="00881814">
      <w:pPr>
        <w:ind w:firstLine="708"/>
        <w:jc w:val="both"/>
        <w:rPr>
          <w:lang w:val="de-DE"/>
        </w:rPr>
      </w:pPr>
    </w:p>
    <w:p w14:paraId="1F7A25CD" w14:textId="77777777" w:rsidR="007A7DCC" w:rsidRPr="004676F5" w:rsidRDefault="007A7DCC" w:rsidP="00881814">
      <w:pPr>
        <w:ind w:firstLine="708"/>
        <w:jc w:val="both"/>
        <w:rPr>
          <w:lang w:val="de-DE"/>
        </w:rPr>
      </w:pPr>
    </w:p>
    <w:p w14:paraId="2C08DF33" w14:textId="280C9FFF" w:rsidR="00881814" w:rsidRPr="004676F5" w:rsidRDefault="00BE0A56" w:rsidP="00881814">
      <w:pPr>
        <w:ind w:firstLine="708"/>
        <w:jc w:val="both"/>
        <w:rPr>
          <w:lang w:val="de-DE"/>
        </w:rPr>
      </w:pPr>
      <w:r w:rsidRPr="004676F5">
        <w:rPr>
          <w:b/>
          <w:lang w:val="de-DE"/>
        </w:rPr>
        <w:t>Art. </w:t>
      </w:r>
      <w:r w:rsidR="00881814" w:rsidRPr="004676F5">
        <w:rPr>
          <w:b/>
          <w:lang w:val="de-DE"/>
        </w:rPr>
        <w:t>VII.163</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 xml:space="preserve">Die FSMA erteilt eine Zulassung erst, wenn ihr die Identität der allein oder gemeinsam handelnden natürlichen oder juristischen Personen mitgeteilt worden ist, die direkt oder indirekt </w:t>
      </w:r>
      <w:r w:rsidR="00CE1D07" w:rsidRPr="004676F5">
        <w:rPr>
          <w:lang w:val="de-DE"/>
        </w:rPr>
        <w:t>[eine Beteiligung von mindestens 20 Prozent am Kapital des Kreditgebers halten, ob sie Stimmrecht gewährt oder nicht, mindestens 20 Prozent der Stimmrechte besitzen oder den Kreditgeber kontrollieren]</w:t>
      </w:r>
      <w:r w:rsidR="00881814" w:rsidRPr="004676F5">
        <w:rPr>
          <w:lang w:val="de-DE"/>
        </w:rPr>
        <w:t>. In der Mitteilung sind Kapital</w:t>
      </w:r>
      <w:r w:rsidR="005B7A5C" w:rsidRPr="004676F5">
        <w:rPr>
          <w:lang w:val="de-DE"/>
        </w:rPr>
        <w:t>- </w:t>
      </w:r>
      <w:r w:rsidR="00881814" w:rsidRPr="004676F5">
        <w:rPr>
          <w:lang w:val="de-DE"/>
        </w:rPr>
        <w:t>und Stimmrechtsanteile, die diese Personen halten, angegeben.</w:t>
      </w:r>
    </w:p>
    <w:p w14:paraId="6B676411" w14:textId="77777777" w:rsidR="00881814" w:rsidRPr="004676F5" w:rsidRDefault="00881814" w:rsidP="00881814">
      <w:pPr>
        <w:ind w:firstLine="708"/>
        <w:jc w:val="both"/>
        <w:rPr>
          <w:lang w:val="de-DE"/>
        </w:rPr>
      </w:pPr>
    </w:p>
    <w:p w14:paraId="7876D762" w14:textId="77777777" w:rsidR="00881814" w:rsidRPr="004676F5" w:rsidRDefault="00881814" w:rsidP="00881814">
      <w:pPr>
        <w:ind w:firstLine="708"/>
        <w:jc w:val="both"/>
        <w:rPr>
          <w:lang w:val="de-DE"/>
        </w:rPr>
      </w:pPr>
      <w:r w:rsidRPr="004676F5">
        <w:rPr>
          <w:lang w:val="de-DE"/>
        </w:rPr>
        <w:t>Die Zulassung wird verweigert, wenn die FSMA der Auffassung ist, dass die in Absatz 1 erwähnten natürlichen oder juristischen Personen den zur Gewährleistung einer soliden und umsichtigen Geschäftsführung des Kreditgebers zu stellenden Ansprüchen nicht genügen.</w:t>
      </w:r>
    </w:p>
    <w:p w14:paraId="0231CA82" w14:textId="77777777" w:rsidR="00881814" w:rsidRPr="004676F5" w:rsidRDefault="00881814" w:rsidP="00881814">
      <w:pPr>
        <w:ind w:firstLine="708"/>
        <w:jc w:val="both"/>
        <w:rPr>
          <w:lang w:val="de-DE"/>
        </w:rPr>
      </w:pPr>
    </w:p>
    <w:p w14:paraId="4B32931A" w14:textId="1887A7F1"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Wird die Zulassung von einem Kreditgeber beantragt, der Tochterunternehmen eines Kreditinstituts, eines Versicherungs</w:t>
      </w:r>
      <w:r w:rsidR="005B7A5C" w:rsidRPr="004676F5">
        <w:rPr>
          <w:lang w:val="de-DE"/>
        </w:rPr>
        <w:t>- </w:t>
      </w:r>
      <w:r w:rsidRPr="004676F5">
        <w:rPr>
          <w:lang w:val="de-DE"/>
        </w:rPr>
        <w:t>oder Rückversicherungsunternehmens, einer Börsengesellschaft oder eines Zahlungsinstituts mit Zulassung in Belgien oder Tochter</w:t>
      </w:r>
      <w:r w:rsidRPr="004676F5">
        <w:rPr>
          <w:lang w:val="de-DE"/>
        </w:rPr>
        <w:softHyphen/>
        <w:t>unternehmen des Mutterunternehmens eines Kreditinstituts, eines Versicherungs</w:t>
      </w:r>
      <w:r w:rsidR="005B7A5C" w:rsidRPr="004676F5">
        <w:rPr>
          <w:lang w:val="de-DE"/>
        </w:rPr>
        <w:t>- </w:t>
      </w:r>
      <w:r w:rsidRPr="004676F5">
        <w:rPr>
          <w:lang w:val="de-DE"/>
        </w:rPr>
        <w:t>oder Rückversicherungsunternehmens, einer Börsengesellschaft oder eines Zahlungsinstituts mit Zulassung in Belgien ist oder der von denselben natürlichen oder juristischen Personen kontrolliert wird wie ein Kreditinstitut, ein Versicherungs</w:t>
      </w:r>
      <w:r w:rsidR="005B7A5C" w:rsidRPr="004676F5">
        <w:rPr>
          <w:lang w:val="de-DE"/>
        </w:rPr>
        <w:t>- </w:t>
      </w:r>
      <w:r w:rsidRPr="004676F5">
        <w:rPr>
          <w:lang w:val="de-DE"/>
        </w:rPr>
        <w:t>oder Rückversicherungs</w:t>
      </w:r>
      <w:r w:rsidRPr="004676F5">
        <w:rPr>
          <w:lang w:val="de-DE"/>
        </w:rPr>
        <w:softHyphen/>
        <w:t>unternehmen, eine Börsengesellschaft oder ein Zahlungsinstitut mit Zulassung in Belgien, so befragt die FSMA die Bank, bevor sie einen Beschluss fasst.</w:t>
      </w:r>
    </w:p>
    <w:p w14:paraId="6E4216ED" w14:textId="77777777" w:rsidR="00881814" w:rsidRPr="004676F5" w:rsidRDefault="00881814" w:rsidP="00881814">
      <w:pPr>
        <w:ind w:firstLine="708"/>
        <w:jc w:val="both"/>
        <w:rPr>
          <w:lang w:val="de-DE"/>
        </w:rPr>
      </w:pPr>
    </w:p>
    <w:p w14:paraId="787661B4" w14:textId="527E8A1B" w:rsidR="00881814" w:rsidRPr="004676F5" w:rsidRDefault="00881814" w:rsidP="00881814">
      <w:pPr>
        <w:ind w:firstLine="708"/>
        <w:jc w:val="both"/>
        <w:rPr>
          <w:lang w:val="de-DE"/>
        </w:rPr>
      </w:pPr>
      <w:r w:rsidRPr="004676F5">
        <w:rPr>
          <w:lang w:val="de-DE"/>
        </w:rPr>
        <w:t>Wird die Zulassung von einem Kreditgeber beantragt, der Tochterunternehmen eines Kreditinstituts, eines Versicherungs</w:t>
      </w:r>
      <w:r w:rsidR="005B7A5C" w:rsidRPr="004676F5">
        <w:rPr>
          <w:lang w:val="de-DE"/>
        </w:rPr>
        <w:t>- </w:t>
      </w:r>
      <w:r w:rsidRPr="004676F5">
        <w:rPr>
          <w:lang w:val="de-DE"/>
        </w:rPr>
        <w:t>oder Rückversicherungsunternehmens, einer Investment</w:t>
      </w:r>
      <w:r w:rsidRPr="004676F5">
        <w:rPr>
          <w:lang w:val="de-DE"/>
        </w:rPr>
        <w:softHyphen/>
        <w:t>gesellschaft, einer Verwaltungsgesellschaft von Organismen für gemeinsame Anlagen oder eines Zahlungsinstituts mit Zulassung in einem anderen Mitgliedstaat oder Tochterunter</w:t>
      </w:r>
      <w:r w:rsidRPr="004676F5">
        <w:rPr>
          <w:lang w:val="de-DE"/>
        </w:rPr>
        <w:softHyphen/>
        <w:t>nehmen eines Mutterunternehmens eines Kreditinstituts, eines Versicherungs</w:t>
      </w:r>
      <w:r w:rsidR="005B7A5C" w:rsidRPr="004676F5">
        <w:rPr>
          <w:lang w:val="de-DE"/>
        </w:rPr>
        <w:t>- </w:t>
      </w:r>
      <w:r w:rsidRPr="004676F5">
        <w:rPr>
          <w:lang w:val="de-DE"/>
        </w:rPr>
        <w:t>oder Rückver</w:t>
      </w:r>
      <w:r w:rsidRPr="004676F5">
        <w:rPr>
          <w:lang w:val="de-DE"/>
        </w:rPr>
        <w:softHyphen/>
        <w:t>sicherungs</w:t>
      </w:r>
      <w:r w:rsidRPr="004676F5">
        <w:rPr>
          <w:lang w:val="de-DE"/>
        </w:rPr>
        <w:softHyphen/>
        <w:t>unternehmens, einer Investmentgesellschaft, einer Verwaltungsgesellschaft von Organismen für gemeinsame Anlagen oder eines Zahlungsinstituts mit Zulassung in einem anderen Mitgliedstaat ist oder der von denselben natürlichen oder juristischen Personen kontrolliert wird wie ein Kreditinstitut, ein Versicherungs</w:t>
      </w:r>
      <w:r w:rsidR="005B7A5C" w:rsidRPr="004676F5">
        <w:rPr>
          <w:lang w:val="de-DE"/>
        </w:rPr>
        <w:t>- </w:t>
      </w:r>
      <w:r w:rsidRPr="004676F5">
        <w:rPr>
          <w:lang w:val="de-DE"/>
        </w:rPr>
        <w:t>oder Rückversicherungsunter</w:t>
      </w:r>
      <w:r w:rsidRPr="004676F5">
        <w:rPr>
          <w:lang w:val="de-DE"/>
        </w:rPr>
        <w:softHyphen/>
        <w:t>nehmen, eine Investmentgesellschaft, eine Verwaltungsgesellschaft von Organismen für gemeinsame Anlagen oder ein Zahlungsinstitut mit Zulassung in einem anderen Mitgliedstaat, so befragt die FSMA, bevor sie einen Beschluss fasst, die nationalen Aufsichtsbehörden, die in diesen anderen Mitgliedstaaten zuständig sind für die Aufsicht über Kreditinstitute, Versicherungs</w:t>
      </w:r>
      <w:r w:rsidR="005B7A5C" w:rsidRPr="004676F5">
        <w:rPr>
          <w:lang w:val="de-DE"/>
        </w:rPr>
        <w:t>- </w:t>
      </w:r>
      <w:r w:rsidRPr="004676F5">
        <w:rPr>
          <w:lang w:val="de-DE"/>
        </w:rPr>
        <w:t>oder Rückversicherungsunternehmen, Investmentgesellschaften, Verwal</w:t>
      </w:r>
      <w:r w:rsidRPr="004676F5">
        <w:rPr>
          <w:lang w:val="de-DE"/>
        </w:rPr>
        <w:softHyphen/>
        <w:t>tungs</w:t>
      </w:r>
      <w:r w:rsidRPr="004676F5">
        <w:rPr>
          <w:lang w:val="de-DE"/>
        </w:rPr>
        <w:softHyphen/>
        <w:t>gesell</w:t>
      </w:r>
      <w:r w:rsidRPr="004676F5">
        <w:rPr>
          <w:lang w:val="de-DE"/>
        </w:rPr>
        <w:softHyphen/>
        <w:t>schaften von Organismen für gemeinsame Anlagen oder Zahlungsinstitute, die gemäß ihrem Recht zugelassen sind.</w:t>
      </w:r>
    </w:p>
    <w:p w14:paraId="1BBB522D" w14:textId="77777777" w:rsidR="00CE1D07" w:rsidRPr="004676F5" w:rsidRDefault="00CE1D07" w:rsidP="00881814">
      <w:pPr>
        <w:ind w:firstLine="708"/>
        <w:jc w:val="both"/>
        <w:rPr>
          <w:lang w:val="de-DE"/>
        </w:rPr>
      </w:pPr>
    </w:p>
    <w:p w14:paraId="17EFADAA" w14:textId="2B9324AC" w:rsidR="00CE1D07" w:rsidRPr="004676F5" w:rsidRDefault="00CE1D07" w:rsidP="00CE1D07">
      <w:pPr>
        <w:jc w:val="both"/>
        <w:rPr>
          <w:i/>
          <w:iCs/>
          <w:lang w:val="de-DE"/>
        </w:rPr>
      </w:pPr>
      <w:r w:rsidRPr="004676F5">
        <w:rPr>
          <w:i/>
          <w:iCs/>
          <w:lang w:val="de-DE"/>
        </w:rPr>
        <w:t>[Art. VII.163 § 1 Abs. 1 abgeändert durch Art. 298 des G. vom 27. Juni 2021 (B.S. vom 9. Juli 2021)]</w:t>
      </w:r>
    </w:p>
    <w:p w14:paraId="708F2DE6" w14:textId="77777777" w:rsidR="00881814" w:rsidRPr="004676F5" w:rsidRDefault="00881814" w:rsidP="00881814">
      <w:pPr>
        <w:ind w:firstLine="708"/>
        <w:jc w:val="both"/>
        <w:rPr>
          <w:lang w:val="de-DE"/>
        </w:rPr>
      </w:pPr>
    </w:p>
    <w:p w14:paraId="3FE0C5F8" w14:textId="77777777" w:rsidR="007A7DCC" w:rsidRPr="004676F5" w:rsidRDefault="007A7DCC" w:rsidP="00881814">
      <w:pPr>
        <w:ind w:firstLine="708"/>
        <w:jc w:val="both"/>
        <w:rPr>
          <w:lang w:val="de-DE"/>
        </w:rPr>
      </w:pPr>
    </w:p>
    <w:p w14:paraId="2D1786D9" w14:textId="15206138" w:rsidR="00881814" w:rsidRPr="004676F5" w:rsidRDefault="00BE0A56" w:rsidP="00881814">
      <w:pPr>
        <w:ind w:firstLine="708"/>
        <w:jc w:val="both"/>
        <w:rPr>
          <w:lang w:val="de-DE"/>
        </w:rPr>
      </w:pPr>
      <w:r w:rsidRPr="004676F5">
        <w:rPr>
          <w:b/>
          <w:lang w:val="de-DE"/>
        </w:rPr>
        <w:t>Art. </w:t>
      </w:r>
      <w:r w:rsidR="00881814" w:rsidRPr="004676F5">
        <w:rPr>
          <w:b/>
          <w:lang w:val="de-DE"/>
        </w:rPr>
        <w:t>VII.164</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 xml:space="preserve">Mitglieder </w:t>
      </w:r>
      <w:r w:rsidR="00CE1D07" w:rsidRPr="004676F5">
        <w:rPr>
          <w:lang w:val="de-DE"/>
        </w:rPr>
        <w:t>[</w:t>
      </w:r>
      <w:r w:rsidR="00881814" w:rsidRPr="004676F5">
        <w:rPr>
          <w:lang w:val="de-DE"/>
        </w:rPr>
        <w:t>des Verwaltungsorgans</w:t>
      </w:r>
      <w:r w:rsidR="00CE1D07" w:rsidRPr="004676F5">
        <w:rPr>
          <w:lang w:val="de-DE"/>
        </w:rPr>
        <w:t>]</w:t>
      </w:r>
      <w:r w:rsidR="00881814" w:rsidRPr="004676F5">
        <w:rPr>
          <w:lang w:val="de-DE"/>
        </w:rPr>
        <w:t xml:space="preserve"> von Kreditgebern, mit der tatsächlichen Geschäftsleitung beauftragte Personen oder gegebenenfalls Mitglieder des Direktionsausschusses sind ausschließlich natürliche Personen.</w:t>
      </w:r>
    </w:p>
    <w:p w14:paraId="7A9CFECE" w14:textId="77777777" w:rsidR="00881814" w:rsidRPr="004676F5" w:rsidRDefault="00881814" w:rsidP="00881814">
      <w:pPr>
        <w:ind w:firstLine="708"/>
        <w:jc w:val="both"/>
        <w:rPr>
          <w:lang w:val="de-DE"/>
        </w:rPr>
      </w:pPr>
    </w:p>
    <w:p w14:paraId="73E82C14" w14:textId="77777777" w:rsidR="00881814" w:rsidRPr="004676F5" w:rsidRDefault="00881814" w:rsidP="00881814">
      <w:pPr>
        <w:ind w:firstLine="708"/>
        <w:jc w:val="both"/>
        <w:rPr>
          <w:lang w:val="de-DE"/>
        </w:rPr>
      </w:pPr>
      <w:r w:rsidRPr="004676F5">
        <w:rPr>
          <w:lang w:val="de-DE"/>
        </w:rPr>
        <w:t>In Absatz 1 erwähnte Personen müssen insbesondere unter Berücksichtigung der Gewährung von Kreditverträgen wie in Artikel VII.160 § 3 erwähnt ständig über die berufliche Zuverlässigkeit und angemessene Fachkompetenz verfügen, die zur Ausübung ihrer Funktion erforderlich sind.</w:t>
      </w:r>
    </w:p>
    <w:p w14:paraId="2CEFF639" w14:textId="77777777" w:rsidR="00881814" w:rsidRPr="004676F5" w:rsidRDefault="00881814" w:rsidP="00881814">
      <w:pPr>
        <w:ind w:firstLine="708"/>
        <w:jc w:val="both"/>
        <w:rPr>
          <w:lang w:val="de-DE"/>
        </w:rPr>
      </w:pPr>
    </w:p>
    <w:p w14:paraId="0CC5C566" w14:textId="7134835A"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Die tatsächliche Geschäftsleitung eines Kreditgebers muss mindestens zwei natürlichen Personen anvertraut werden.</w:t>
      </w:r>
    </w:p>
    <w:p w14:paraId="1A32819F" w14:textId="77777777" w:rsidR="00881814" w:rsidRPr="004676F5" w:rsidRDefault="00881814" w:rsidP="00881814">
      <w:pPr>
        <w:ind w:firstLine="708"/>
        <w:jc w:val="both"/>
        <w:rPr>
          <w:lang w:val="de-DE"/>
        </w:rPr>
      </w:pPr>
    </w:p>
    <w:p w14:paraId="1EA360A5" w14:textId="4730A467"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 xml:space="preserve">Mitglieder </w:t>
      </w:r>
      <w:r w:rsidR="00CE1D07" w:rsidRPr="004676F5">
        <w:rPr>
          <w:lang w:val="de-DE"/>
        </w:rPr>
        <w:t>[</w:t>
      </w:r>
      <w:r w:rsidRPr="004676F5">
        <w:rPr>
          <w:lang w:val="de-DE"/>
        </w:rPr>
        <w:t>des Verwaltungsorgans</w:t>
      </w:r>
      <w:r w:rsidR="00CE1D07" w:rsidRPr="004676F5">
        <w:rPr>
          <w:lang w:val="de-DE"/>
        </w:rPr>
        <w:t>]</w:t>
      </w:r>
      <w:r w:rsidRPr="004676F5">
        <w:rPr>
          <w:lang w:val="de-DE"/>
        </w:rPr>
        <w:t xml:space="preserve"> von Kreditgebern, mit der tatsächlichen Geschäftsleitung beauftragte Personen oder gegebenenfalls Mitglieder des Direktionsausschusses dürfen sich nicht in einem der in </w:t>
      </w:r>
      <w:r w:rsidR="00166E24" w:rsidRPr="004676F5">
        <w:rPr>
          <w:lang w:val="de-DE"/>
        </w:rPr>
        <w:t>[Artikel 20 des Gesetzes vom 25. April 2014]</w:t>
      </w:r>
      <w:r w:rsidRPr="004676F5">
        <w:rPr>
          <w:lang w:val="de-DE"/>
        </w:rPr>
        <w:t xml:space="preserve"> erwähnten Fälle befinden.</w:t>
      </w:r>
    </w:p>
    <w:p w14:paraId="7CBF5009" w14:textId="77777777" w:rsidR="00881814" w:rsidRPr="004676F5" w:rsidRDefault="00881814" w:rsidP="00881814">
      <w:pPr>
        <w:ind w:firstLine="708"/>
        <w:jc w:val="both"/>
        <w:rPr>
          <w:lang w:val="de-DE"/>
        </w:rPr>
      </w:pPr>
    </w:p>
    <w:p w14:paraId="526E6F04" w14:textId="77777777" w:rsidR="00881814" w:rsidRPr="004676F5" w:rsidRDefault="00881814" w:rsidP="00881814">
      <w:pPr>
        <w:ind w:firstLine="708"/>
        <w:jc w:val="both"/>
        <w:rPr>
          <w:lang w:val="de-DE"/>
        </w:rPr>
      </w:pPr>
      <w:r w:rsidRPr="004676F5">
        <w:rPr>
          <w:lang w:val="de-DE"/>
        </w:rPr>
        <w:t>Muss die FSMA sich über die berufliche Zuverlässigkeit und angemessene Fach</w:t>
      </w:r>
      <w:r w:rsidRPr="004676F5">
        <w:rPr>
          <w:lang w:val="de-DE"/>
        </w:rPr>
        <w:softHyphen/>
        <w:t>kom</w:t>
      </w:r>
      <w:r w:rsidRPr="004676F5">
        <w:rPr>
          <w:lang w:val="de-DE"/>
        </w:rPr>
        <w:softHyphen/>
        <w:t>petenz einer Person aussprechen, die zum ersten Mal für eine in vorliegendem Paragraphen erwähnte Funktion in einem Finanzunternehmen vorgeschlagen wird, das gemäß Artikel 45 § 1 Nr. 2 des Gesetzes vom 2. August 2002 von der FSMA beaufsichtigt wird, so zieht die FSMA zuvor die Bank zu Rate. Die Bank teilt der FSMA ihre Stellungnahme binnen einer Frist von einer Woche ab Empfang des Antrags auf Stellungnahme mit.</w:t>
      </w:r>
    </w:p>
    <w:p w14:paraId="71A5CF22" w14:textId="77777777" w:rsidR="00166E24" w:rsidRPr="004676F5" w:rsidRDefault="00166E24" w:rsidP="00881814">
      <w:pPr>
        <w:ind w:firstLine="708"/>
        <w:jc w:val="both"/>
        <w:rPr>
          <w:lang w:val="de-DE"/>
        </w:rPr>
      </w:pPr>
    </w:p>
    <w:p w14:paraId="01082DA9" w14:textId="02E09975" w:rsidR="00166E24" w:rsidRPr="004676F5" w:rsidRDefault="00166E24" w:rsidP="00166E24">
      <w:pPr>
        <w:jc w:val="both"/>
        <w:rPr>
          <w:i/>
          <w:lang w:val="de-DE"/>
        </w:rPr>
      </w:pPr>
      <w:r w:rsidRPr="004676F5">
        <w:rPr>
          <w:i/>
          <w:lang w:val="de-DE"/>
        </w:rPr>
        <w:t>[</w:t>
      </w:r>
      <w:r w:rsidR="00BE0A56" w:rsidRPr="004676F5">
        <w:rPr>
          <w:i/>
          <w:lang w:val="de-DE"/>
        </w:rPr>
        <w:t>Art. </w:t>
      </w:r>
      <w:r w:rsidRPr="004676F5">
        <w:rPr>
          <w:i/>
          <w:lang w:val="de-DE"/>
        </w:rPr>
        <w:t xml:space="preserve">VII.164 </w:t>
      </w:r>
      <w:r w:rsidR="00CE1D07" w:rsidRPr="004676F5">
        <w:rPr>
          <w:i/>
          <w:lang w:val="de-DE"/>
        </w:rPr>
        <w:t>§ 1 Abs. 1 abgeändert durch Art. 299</w:t>
      </w:r>
      <w:r w:rsidR="00CE1D07" w:rsidRPr="004676F5">
        <w:rPr>
          <w:i/>
          <w:iCs/>
          <w:lang w:val="de-DE"/>
        </w:rPr>
        <w:t xml:space="preserve"> des G. vom 27. Juni 2021 (B.S. vom 9. Juli 2021)</w:t>
      </w:r>
      <w:r w:rsidR="00CE1D07" w:rsidRPr="004676F5">
        <w:rPr>
          <w:i/>
          <w:lang w:val="de-DE"/>
        </w:rPr>
        <w:t xml:space="preserve">; </w:t>
      </w:r>
      <w:r w:rsidRPr="004676F5">
        <w:rPr>
          <w:i/>
          <w:lang w:val="de-DE"/>
        </w:rPr>
        <w:t xml:space="preserve">§ 3 Abs. 1 abgeändert durch </w:t>
      </w:r>
      <w:r w:rsidR="00BE0A56" w:rsidRPr="004676F5">
        <w:rPr>
          <w:i/>
          <w:lang w:val="de-DE"/>
        </w:rPr>
        <w:t>Art. </w:t>
      </w:r>
      <w:r w:rsidRPr="004676F5">
        <w:rPr>
          <w:i/>
          <w:lang w:val="de-DE"/>
        </w:rPr>
        <w:t>26</w:t>
      </w:r>
      <w:r w:rsidRPr="004676F5">
        <w:rPr>
          <w:i/>
          <w:iCs/>
          <w:lang w:val="de-DE"/>
        </w:rPr>
        <w:t xml:space="preserve"> </w:t>
      </w:r>
      <w:r w:rsidRPr="004676F5">
        <w:rPr>
          <w:i/>
          <w:lang w:val="de-DE"/>
        </w:rPr>
        <w:t>des G. vom 26. Oktober 2015 (B.S. vom 30. Oktober 2015)</w:t>
      </w:r>
      <w:r w:rsidR="00CE1D07" w:rsidRPr="004676F5">
        <w:rPr>
          <w:i/>
          <w:lang w:val="de-DE"/>
        </w:rPr>
        <w:t xml:space="preserve"> und Art. 299</w:t>
      </w:r>
      <w:r w:rsidR="00CE1D07" w:rsidRPr="004676F5">
        <w:rPr>
          <w:i/>
          <w:iCs/>
          <w:lang w:val="de-DE"/>
        </w:rPr>
        <w:t xml:space="preserve"> des G. vom 27. Juni 2021 (B.S. vom 9. Juli 2021)</w:t>
      </w:r>
      <w:r w:rsidRPr="004676F5">
        <w:rPr>
          <w:i/>
          <w:lang w:val="de-DE"/>
        </w:rPr>
        <w:t>]</w:t>
      </w:r>
    </w:p>
    <w:p w14:paraId="31CC6BDC" w14:textId="77777777" w:rsidR="00881814" w:rsidRPr="004676F5" w:rsidRDefault="00881814" w:rsidP="00881814">
      <w:pPr>
        <w:ind w:firstLine="708"/>
        <w:jc w:val="both"/>
        <w:rPr>
          <w:lang w:val="de-DE"/>
        </w:rPr>
      </w:pPr>
    </w:p>
    <w:p w14:paraId="0A52AAFF" w14:textId="77777777" w:rsidR="007A7DCC" w:rsidRPr="004676F5" w:rsidRDefault="007A7DCC" w:rsidP="00881814">
      <w:pPr>
        <w:ind w:firstLine="708"/>
        <w:jc w:val="both"/>
        <w:rPr>
          <w:lang w:val="de-DE"/>
        </w:rPr>
      </w:pPr>
    </w:p>
    <w:p w14:paraId="2076AFF9" w14:textId="562DDA7A" w:rsidR="00881814" w:rsidRPr="004676F5" w:rsidRDefault="00BE0A56" w:rsidP="00881814">
      <w:pPr>
        <w:ind w:firstLine="708"/>
        <w:jc w:val="both"/>
        <w:rPr>
          <w:lang w:val="de-DE"/>
        </w:rPr>
      </w:pPr>
      <w:r w:rsidRPr="004676F5">
        <w:rPr>
          <w:b/>
          <w:lang w:val="de-DE"/>
        </w:rPr>
        <w:lastRenderedPageBreak/>
        <w:t>Art. </w:t>
      </w:r>
      <w:r w:rsidR="00881814" w:rsidRPr="004676F5">
        <w:rPr>
          <w:b/>
          <w:lang w:val="de-DE"/>
        </w:rPr>
        <w:t>VII.165</w:t>
      </w:r>
      <w:r w:rsidR="00881814" w:rsidRPr="004676F5">
        <w:rPr>
          <w:lang w:val="de-DE"/>
        </w:rPr>
        <w:t xml:space="preserve"> </w:t>
      </w:r>
      <w:r w:rsidR="005B7A5C" w:rsidRPr="004676F5">
        <w:rPr>
          <w:lang w:val="de-DE"/>
        </w:rPr>
        <w:t>- </w:t>
      </w:r>
      <w:r w:rsidR="00881814" w:rsidRPr="004676F5">
        <w:rPr>
          <w:lang w:val="de-DE"/>
        </w:rPr>
        <w:t>§ 1 </w:t>
      </w:r>
      <w:r w:rsidR="005B7A5C" w:rsidRPr="004676F5">
        <w:rPr>
          <w:lang w:val="de-DE"/>
        </w:rPr>
        <w:t>- </w:t>
      </w:r>
      <w:r w:rsidR="00BE3C07" w:rsidRPr="004676F5">
        <w:rPr>
          <w:lang w:val="de-DE"/>
        </w:rPr>
        <w:t xml:space="preserve">[Kreditgeber verfügen über eine Organisation, </w:t>
      </w:r>
      <w:r w:rsidR="00355B29" w:rsidRPr="004676F5">
        <w:rPr>
          <w:lang w:val="de-DE"/>
        </w:rPr>
        <w:t xml:space="preserve">[einschließlich Überwachungsmaßnahmen,] </w:t>
      </w:r>
      <w:r w:rsidR="00BE3C07" w:rsidRPr="004676F5">
        <w:rPr>
          <w:lang w:val="de-DE"/>
        </w:rPr>
        <w:t xml:space="preserve">die es ihnen erlaubt, jederzeit die gesetzlichen und verordnungsrechtlichen Verpflichtungen zu erfüllen, die aufgrund des vorliegenden Buches </w:t>
      </w:r>
      <w:r w:rsidR="00481B48" w:rsidRPr="004676F5">
        <w:rPr>
          <w:lang w:val="de-DE"/>
        </w:rPr>
        <w:t>[und seiner Ausführungserlasse und -verordnungen]</w:t>
      </w:r>
      <w:r w:rsidR="00BE3C07" w:rsidRPr="004676F5">
        <w:rPr>
          <w:lang w:val="de-DE"/>
        </w:rPr>
        <w:t xml:space="preserve"> für sie gelten.]</w:t>
      </w:r>
    </w:p>
    <w:p w14:paraId="0449AF8D" w14:textId="77777777" w:rsidR="00881814" w:rsidRPr="004676F5" w:rsidRDefault="00881814" w:rsidP="00881814">
      <w:pPr>
        <w:ind w:firstLine="708"/>
        <w:jc w:val="both"/>
        <w:rPr>
          <w:lang w:val="de-DE"/>
        </w:rPr>
      </w:pPr>
    </w:p>
    <w:p w14:paraId="19E06604" w14:textId="77777777" w:rsidR="00881814" w:rsidRPr="004676F5" w:rsidRDefault="00881814" w:rsidP="00881814">
      <w:pPr>
        <w:ind w:firstLine="708"/>
        <w:jc w:val="both"/>
        <w:rPr>
          <w:lang w:val="de-DE"/>
        </w:rPr>
      </w:pPr>
      <w:r w:rsidRPr="004676F5">
        <w:rPr>
          <w:lang w:val="de-DE"/>
        </w:rPr>
        <w:t>Insbesondere richten sie eine Organisation ein, die es ihnen zu überprüfen erlaubt, dass ihre vertraglich gebundenen Vermittler und deren Angestellte und Vermittlungsvertreter die gesetzlichen und verordnungsrechtlichen Verpflichtungen erfüllen, die aufgrund des vorliegenden Buches und seiner Ausführungserlasse und -verordnungen für sie gelten, und insbesondere die Bestimmungen in Bezug auf die erforderlichen Fachkenntnisse.</w:t>
      </w:r>
    </w:p>
    <w:p w14:paraId="50B6629C" w14:textId="77777777" w:rsidR="00881814" w:rsidRPr="004676F5" w:rsidRDefault="00881814" w:rsidP="00881814">
      <w:pPr>
        <w:ind w:firstLine="708"/>
        <w:jc w:val="both"/>
        <w:rPr>
          <w:lang w:val="de-DE"/>
        </w:rPr>
      </w:pPr>
    </w:p>
    <w:p w14:paraId="2A21B099" w14:textId="77777777" w:rsidR="00355B29" w:rsidRPr="004676F5" w:rsidRDefault="00355B29" w:rsidP="00355B29">
      <w:pPr>
        <w:ind w:firstLine="708"/>
        <w:jc w:val="both"/>
        <w:rPr>
          <w:lang w:val="de-DE"/>
        </w:rPr>
      </w:pPr>
      <w:r w:rsidRPr="004676F5">
        <w:rPr>
          <w:lang w:val="de-DE"/>
        </w:rPr>
        <w:t>[Diese Organisation beruht unter anderem auf:</w:t>
      </w:r>
    </w:p>
    <w:p w14:paraId="6980AB6E" w14:textId="77777777" w:rsidR="00355B29" w:rsidRPr="004676F5" w:rsidRDefault="00355B29" w:rsidP="00355B29">
      <w:pPr>
        <w:ind w:firstLine="708"/>
        <w:jc w:val="both"/>
        <w:rPr>
          <w:lang w:val="de-DE"/>
        </w:rPr>
      </w:pPr>
    </w:p>
    <w:p w14:paraId="083D909A" w14:textId="77777777" w:rsidR="00355B29" w:rsidRPr="004676F5" w:rsidRDefault="00355B29" w:rsidP="00355B29">
      <w:pPr>
        <w:ind w:firstLine="708"/>
        <w:jc w:val="both"/>
        <w:rPr>
          <w:lang w:val="de-DE"/>
        </w:rPr>
      </w:pPr>
      <w:r w:rsidRPr="004676F5">
        <w:rPr>
          <w:lang w:val="de-DE"/>
        </w:rPr>
        <w:t>1. einer angemessenen Führungsstruktur, die auf höchster Ebene auf einer klaren Unterscheidung zwischen der tatsächlichen Leitung des Unternehmens einerseits und der Kontrolle über diese Leitung andererseits beruht und innerhalb des Unternehmens eine angemessene Aufgabentrennung und eine genau abgegrenzte, transparente und kohärente Zuweisung von Verantwortungsbereichen beinhaltet,</w:t>
      </w:r>
    </w:p>
    <w:p w14:paraId="3CE11E2A" w14:textId="77777777" w:rsidR="00355B29" w:rsidRPr="004676F5" w:rsidRDefault="00355B29" w:rsidP="00355B29">
      <w:pPr>
        <w:jc w:val="both"/>
        <w:rPr>
          <w:lang w:val="de-DE"/>
        </w:rPr>
      </w:pPr>
    </w:p>
    <w:p w14:paraId="234F1045" w14:textId="77777777" w:rsidR="00355B29" w:rsidRPr="004676F5" w:rsidRDefault="00355B29" w:rsidP="00355B29">
      <w:pPr>
        <w:ind w:firstLine="708"/>
        <w:jc w:val="both"/>
        <w:rPr>
          <w:lang w:val="de-DE"/>
        </w:rPr>
      </w:pPr>
      <w:r w:rsidRPr="004676F5">
        <w:rPr>
          <w:lang w:val="de-DE"/>
        </w:rPr>
        <w:t>2. einer angemessenen Verwaltungs- und Rechnungslegungspraxis und einer angemessenen internen Kontrolle,</w:t>
      </w:r>
    </w:p>
    <w:p w14:paraId="2B2FE6D5" w14:textId="77777777" w:rsidR="00355B29" w:rsidRPr="004676F5" w:rsidRDefault="00355B29" w:rsidP="00355B29">
      <w:pPr>
        <w:ind w:firstLine="708"/>
        <w:jc w:val="both"/>
        <w:rPr>
          <w:lang w:val="de-DE"/>
        </w:rPr>
      </w:pPr>
    </w:p>
    <w:p w14:paraId="67B742F5" w14:textId="77777777" w:rsidR="00355B29" w:rsidRPr="004676F5" w:rsidRDefault="00355B29" w:rsidP="00355B29">
      <w:pPr>
        <w:ind w:firstLine="708"/>
        <w:jc w:val="both"/>
        <w:rPr>
          <w:lang w:val="de-DE"/>
        </w:rPr>
      </w:pPr>
      <w:r w:rsidRPr="004676F5">
        <w:rPr>
          <w:lang w:val="de-DE"/>
        </w:rPr>
        <w:t>3. wirksamen Verfahren zur Ermittlung, Quantifizierung, Steuerung und Überwachung von bedeutenden Risiken und der internen Berichterstattung über solche Risiken, denen das Unternehmen möglicherweise ausgesetzt ist, einschließlich der Vermeidung von Interessenkonflikten.</w:t>
      </w:r>
    </w:p>
    <w:p w14:paraId="7C909913" w14:textId="77777777" w:rsidR="00355B29" w:rsidRPr="004676F5" w:rsidRDefault="00355B29" w:rsidP="00355B29">
      <w:pPr>
        <w:ind w:firstLine="708"/>
        <w:jc w:val="both"/>
        <w:rPr>
          <w:lang w:val="de-DE"/>
        </w:rPr>
      </w:pPr>
    </w:p>
    <w:p w14:paraId="42264F1D" w14:textId="7482E582" w:rsidR="00355B29" w:rsidRPr="004676F5" w:rsidRDefault="00355B29" w:rsidP="00355B29">
      <w:pPr>
        <w:ind w:firstLine="708"/>
        <w:jc w:val="both"/>
        <w:rPr>
          <w:lang w:val="de-DE"/>
        </w:rPr>
      </w:pPr>
      <w:r w:rsidRPr="004676F5">
        <w:rPr>
          <w:lang w:val="de-DE"/>
        </w:rPr>
        <w:t>Die in Absatz 3 erwähnten organisatorischen Vorkehrungen sind angesichts von Art, Umfang und Komplexität der Risiken, die mit dem Geschäftsmodell und den Tätigkeiten des Kreditgebers einhergehen, angemessen.]</w:t>
      </w:r>
    </w:p>
    <w:p w14:paraId="41CC00A8" w14:textId="77777777" w:rsidR="00355B29" w:rsidRPr="004676F5" w:rsidRDefault="00355B29" w:rsidP="00355B29">
      <w:pPr>
        <w:ind w:firstLine="708"/>
        <w:jc w:val="both"/>
        <w:rPr>
          <w:lang w:val="de-DE"/>
        </w:rPr>
      </w:pPr>
    </w:p>
    <w:p w14:paraId="7FF1D0E0" w14:textId="77777777" w:rsidR="00881814" w:rsidRPr="004676F5" w:rsidRDefault="00881814" w:rsidP="00881814">
      <w:pPr>
        <w:ind w:firstLine="708"/>
        <w:jc w:val="both"/>
        <w:rPr>
          <w:lang w:val="de-DE"/>
        </w:rPr>
      </w:pPr>
      <w:r w:rsidRPr="004676F5">
        <w:rPr>
          <w:lang w:val="de-DE"/>
        </w:rPr>
        <w:t>Sie führen eine Buchführung, aufgrund deren die gemäß den Vorschriften über Statistik erforderlichen Auskünfte erteilt werden können.</w:t>
      </w:r>
    </w:p>
    <w:p w14:paraId="7AE70D91" w14:textId="77777777" w:rsidR="00881814" w:rsidRPr="004676F5" w:rsidRDefault="00881814" w:rsidP="00881814">
      <w:pPr>
        <w:ind w:firstLine="708"/>
        <w:jc w:val="both"/>
        <w:rPr>
          <w:lang w:val="de-DE"/>
        </w:rPr>
      </w:pPr>
    </w:p>
    <w:p w14:paraId="0D007EF9" w14:textId="77777777" w:rsidR="00881814" w:rsidRPr="004676F5" w:rsidRDefault="00881814" w:rsidP="00881814">
      <w:pPr>
        <w:ind w:firstLine="708"/>
        <w:jc w:val="both"/>
        <w:rPr>
          <w:lang w:val="de-DE"/>
        </w:rPr>
      </w:pPr>
      <w:r w:rsidRPr="004676F5">
        <w:rPr>
          <w:lang w:val="de-DE"/>
        </w:rPr>
        <w:t>Hypothekarkreditgeber registrieren auf angemessene Weise, welche Art unbeweg</w:t>
      </w:r>
      <w:r w:rsidRPr="004676F5">
        <w:rPr>
          <w:lang w:val="de-DE"/>
        </w:rPr>
        <w:softHyphen/>
        <w:t>licher Güter als Sicherheit angenommen werden und welche Annahmepolitik in Bezug auf Hypothekarkreditanträge gehandhabt wird.</w:t>
      </w:r>
    </w:p>
    <w:p w14:paraId="6713BD58" w14:textId="77777777" w:rsidR="00881814" w:rsidRPr="004676F5" w:rsidRDefault="00881814" w:rsidP="00881814">
      <w:pPr>
        <w:ind w:firstLine="708"/>
        <w:jc w:val="both"/>
        <w:rPr>
          <w:lang w:val="de-DE"/>
        </w:rPr>
      </w:pPr>
    </w:p>
    <w:p w14:paraId="7B53BD38" w14:textId="08ECAE5B"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00CE1D07" w:rsidRPr="004676F5">
        <w:rPr>
          <w:lang w:val="de-DE"/>
        </w:rPr>
        <w:t>[Hauptverwaltung und satzungsmäßiger Sitz der Kreditgeber müssen sich in Belgien befinden.]</w:t>
      </w:r>
    </w:p>
    <w:p w14:paraId="568F0EE5" w14:textId="77777777" w:rsidR="00881814" w:rsidRPr="004676F5" w:rsidRDefault="00881814" w:rsidP="00881814">
      <w:pPr>
        <w:rPr>
          <w:lang w:val="de-DE"/>
        </w:rPr>
      </w:pPr>
    </w:p>
    <w:p w14:paraId="493B4347" w14:textId="417D218E" w:rsidR="007A7DCC" w:rsidRPr="004676F5" w:rsidRDefault="00BE3C07" w:rsidP="00BE3C07">
      <w:pPr>
        <w:jc w:val="both"/>
        <w:rPr>
          <w:i/>
          <w:lang w:val="de-DE"/>
        </w:rPr>
      </w:pPr>
      <w:r w:rsidRPr="004676F5">
        <w:rPr>
          <w:i/>
          <w:iCs/>
          <w:lang w:val="de-DE"/>
        </w:rPr>
        <w:t>[Art. VII.165 § 1 Abs. 1 ersetzt durch Art. 20</w:t>
      </w:r>
      <w:r w:rsidRPr="004676F5">
        <w:rPr>
          <w:i/>
          <w:lang w:val="de-DE"/>
        </w:rPr>
        <w:t xml:space="preserve"> des G. vom 30. Juli 2018 (II) (B.S. vom 5. September 2018)</w:t>
      </w:r>
      <w:r w:rsidR="00481B48" w:rsidRPr="004676F5">
        <w:rPr>
          <w:i/>
          <w:lang w:val="de-DE"/>
        </w:rPr>
        <w:t xml:space="preserve"> und abgeändert durch Art. 187 des G. vom 2. Mai 2019</w:t>
      </w:r>
      <w:r w:rsidR="0066077D" w:rsidRPr="004676F5">
        <w:rPr>
          <w:i/>
          <w:lang w:val="de-DE"/>
        </w:rPr>
        <w:t> (VI)</w:t>
      </w:r>
      <w:r w:rsidR="00481B48" w:rsidRPr="004676F5">
        <w:rPr>
          <w:i/>
          <w:lang w:val="de-DE"/>
        </w:rPr>
        <w:t xml:space="preserve"> (B.S. vom 21. Mai 2019)</w:t>
      </w:r>
      <w:r w:rsidR="00355B29" w:rsidRPr="004676F5">
        <w:rPr>
          <w:i/>
          <w:lang w:val="de-DE"/>
        </w:rPr>
        <w:t xml:space="preserve"> und Art. 16 Nr. 1 des G. vom 8. Mai 2022 (B.S. vom 23. Juni 2022)</w:t>
      </w:r>
      <w:r w:rsidR="00CE1D07" w:rsidRPr="004676F5">
        <w:rPr>
          <w:i/>
          <w:lang w:val="de-DE"/>
        </w:rPr>
        <w:t xml:space="preserve">; </w:t>
      </w:r>
      <w:r w:rsidR="002057B8" w:rsidRPr="004676F5">
        <w:rPr>
          <w:i/>
          <w:iCs/>
          <w:lang w:val="de-DE"/>
        </w:rPr>
        <w:t xml:space="preserve">§ 1 neue Absätze 3 und 4 eingefügt durch Art. 16 Nr. 2 des G. vom 8. Mai 2022 (B.S. vom 23. Juni 2022); </w:t>
      </w:r>
      <w:r w:rsidR="00CE1D07" w:rsidRPr="004676F5">
        <w:rPr>
          <w:i/>
          <w:lang w:val="de-DE"/>
        </w:rPr>
        <w:t>§ 2 ersetzt durch Art. 300</w:t>
      </w:r>
      <w:r w:rsidR="00CE1D07" w:rsidRPr="004676F5">
        <w:rPr>
          <w:i/>
          <w:iCs/>
          <w:lang w:val="de-DE"/>
        </w:rPr>
        <w:t xml:space="preserve"> des G. vom 27. Juni 2021 (B.S. vom 9. Juli 2021)</w:t>
      </w:r>
      <w:r w:rsidRPr="004676F5">
        <w:rPr>
          <w:i/>
          <w:lang w:val="de-DE"/>
        </w:rPr>
        <w:t>]</w:t>
      </w:r>
    </w:p>
    <w:p w14:paraId="5244D886" w14:textId="36336B2A" w:rsidR="00BE3C07" w:rsidRPr="004676F5" w:rsidRDefault="00BE3C07" w:rsidP="00881814">
      <w:pPr>
        <w:rPr>
          <w:i/>
          <w:lang w:val="de-DE"/>
        </w:rPr>
      </w:pPr>
    </w:p>
    <w:p w14:paraId="6DA305F8" w14:textId="77777777" w:rsidR="00BE3C07" w:rsidRPr="004676F5" w:rsidRDefault="00BE3C07" w:rsidP="00881814">
      <w:pPr>
        <w:rPr>
          <w:i/>
          <w:iCs/>
          <w:lang w:val="de-DE"/>
        </w:rPr>
      </w:pPr>
    </w:p>
    <w:p w14:paraId="60002A34" w14:textId="77777777" w:rsidR="00355B29" w:rsidRPr="004676F5" w:rsidRDefault="00355B29">
      <w:pPr>
        <w:rPr>
          <w:lang w:val="de-DE"/>
        </w:rPr>
      </w:pPr>
      <w:r w:rsidRPr="004676F5">
        <w:rPr>
          <w:lang w:val="de-DE"/>
        </w:rPr>
        <w:br w:type="page"/>
      </w:r>
    </w:p>
    <w:p w14:paraId="0190DDB4" w14:textId="09ECE454" w:rsidR="00881814" w:rsidRPr="004676F5" w:rsidRDefault="00881814" w:rsidP="00881814">
      <w:pPr>
        <w:jc w:val="center"/>
        <w:rPr>
          <w:lang w:val="de-DE"/>
        </w:rPr>
      </w:pPr>
      <w:r w:rsidRPr="004676F5">
        <w:rPr>
          <w:lang w:val="de-DE"/>
        </w:rPr>
        <w:lastRenderedPageBreak/>
        <w:t xml:space="preserve">Unterabschnitt 2 </w:t>
      </w:r>
      <w:r w:rsidR="005B7A5C" w:rsidRPr="004676F5">
        <w:rPr>
          <w:lang w:val="de-DE"/>
        </w:rPr>
        <w:t>- </w:t>
      </w:r>
      <w:r w:rsidRPr="004676F5">
        <w:rPr>
          <w:lang w:val="de-DE"/>
        </w:rPr>
        <w:t>Bedingungen der Geschäftsausübung</w:t>
      </w:r>
    </w:p>
    <w:p w14:paraId="2D95ECE0" w14:textId="77777777" w:rsidR="00881814" w:rsidRPr="004676F5" w:rsidRDefault="00881814" w:rsidP="00881814">
      <w:pPr>
        <w:ind w:firstLine="708"/>
        <w:jc w:val="both"/>
        <w:rPr>
          <w:lang w:val="de-DE"/>
        </w:rPr>
      </w:pPr>
    </w:p>
    <w:p w14:paraId="6BAD26D7" w14:textId="77777777" w:rsidR="007A7DCC" w:rsidRPr="004676F5" w:rsidRDefault="007A7DCC" w:rsidP="00881814">
      <w:pPr>
        <w:ind w:firstLine="708"/>
        <w:jc w:val="both"/>
        <w:rPr>
          <w:lang w:val="de-DE"/>
        </w:rPr>
      </w:pPr>
    </w:p>
    <w:p w14:paraId="6CB7E6CC" w14:textId="3C619F7E" w:rsidR="00881814" w:rsidRPr="004676F5" w:rsidRDefault="00BE0A56" w:rsidP="00881814">
      <w:pPr>
        <w:ind w:firstLine="708"/>
        <w:jc w:val="both"/>
        <w:rPr>
          <w:lang w:val="de-DE"/>
        </w:rPr>
      </w:pPr>
      <w:r w:rsidRPr="004676F5">
        <w:rPr>
          <w:b/>
          <w:lang w:val="de-DE"/>
        </w:rPr>
        <w:t>Art. </w:t>
      </w:r>
      <w:r w:rsidR="00881814" w:rsidRPr="004676F5">
        <w:rPr>
          <w:b/>
          <w:lang w:val="de-DE"/>
        </w:rPr>
        <w:t>VII.166</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Unbeschadet der nachfolgenden Bestimmungen werden die Zu</w:t>
      </w:r>
      <w:r w:rsidR="00881814" w:rsidRPr="004676F5">
        <w:rPr>
          <w:lang w:val="de-DE"/>
        </w:rPr>
        <w:softHyphen/>
        <w:t>lassungsbedingungen während der Ausübung der Tätigkeit ständig erfüllt.</w:t>
      </w:r>
    </w:p>
    <w:p w14:paraId="661E1CDD" w14:textId="77777777" w:rsidR="00881814" w:rsidRPr="004676F5" w:rsidRDefault="00881814" w:rsidP="00881814">
      <w:pPr>
        <w:ind w:firstLine="708"/>
        <w:jc w:val="both"/>
        <w:rPr>
          <w:lang w:val="de-DE"/>
        </w:rPr>
      </w:pPr>
    </w:p>
    <w:p w14:paraId="2C4634C3" w14:textId="479E5CE5"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Kreditgeber dürfen nicht auf Kreditvermittler zurückgreifen, die nicht gemäß den Bestimmungen des vorliegenden Kapitels eingetragen sind.</w:t>
      </w:r>
    </w:p>
    <w:p w14:paraId="1C62D497" w14:textId="77777777" w:rsidR="00881814" w:rsidRPr="004676F5" w:rsidRDefault="00881814" w:rsidP="00881814">
      <w:pPr>
        <w:ind w:firstLine="708"/>
        <w:jc w:val="both"/>
        <w:rPr>
          <w:lang w:val="de-DE"/>
        </w:rPr>
      </w:pPr>
    </w:p>
    <w:p w14:paraId="16825DBB" w14:textId="77777777" w:rsidR="00881814" w:rsidRPr="004676F5" w:rsidRDefault="00881814" w:rsidP="00881814">
      <w:pPr>
        <w:ind w:firstLine="708"/>
        <w:jc w:val="both"/>
        <w:rPr>
          <w:lang w:val="de-DE"/>
        </w:rPr>
      </w:pPr>
      <w:r w:rsidRPr="004676F5">
        <w:rPr>
          <w:lang w:val="de-DE"/>
        </w:rPr>
        <w:t>Greifen sie dennoch auf einen nicht eingetragenen Kreditvermittler zurück, haften sie zivilrechtlich für Handlungen dieses Kreditvermittlers im Rahmen seiner Kreditvermittlungs</w:t>
      </w:r>
      <w:r w:rsidRPr="004676F5">
        <w:rPr>
          <w:lang w:val="de-DE"/>
        </w:rPr>
        <w:softHyphen/>
        <w:t>tätigkeit.</w:t>
      </w:r>
    </w:p>
    <w:p w14:paraId="22527D3E" w14:textId="77777777" w:rsidR="00881814" w:rsidRPr="004676F5" w:rsidRDefault="00881814" w:rsidP="00881814">
      <w:pPr>
        <w:ind w:firstLine="708"/>
        <w:jc w:val="both"/>
        <w:rPr>
          <w:lang w:val="de-DE"/>
        </w:rPr>
      </w:pPr>
    </w:p>
    <w:p w14:paraId="519B70BD" w14:textId="479DBF81"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Haben Kreditgeber Kenntnis von Sachverhalten, die Zweifel in Bezug auf die Einhaltung der durch vorliegendes Kapitel vorgesehenen Eintragungsbedingungen bei einem Kreditvermittler aufkommen lassen, auf den sie zurückgreifen oder zurückgegriffen haben, teilen sie diese Sachverhalte der FSMA unverzüglich mit.</w:t>
      </w:r>
    </w:p>
    <w:p w14:paraId="5340EBDC" w14:textId="77777777" w:rsidR="00881814" w:rsidRPr="004676F5" w:rsidRDefault="00881814" w:rsidP="00881814">
      <w:pPr>
        <w:ind w:firstLine="708"/>
        <w:jc w:val="both"/>
        <w:rPr>
          <w:lang w:val="de-DE"/>
        </w:rPr>
      </w:pPr>
    </w:p>
    <w:p w14:paraId="7CA531A8" w14:textId="77777777" w:rsidR="00881814" w:rsidRPr="004676F5" w:rsidRDefault="00881814" w:rsidP="00881814">
      <w:pPr>
        <w:ind w:firstLine="708"/>
        <w:jc w:val="both"/>
        <w:rPr>
          <w:lang w:val="de-DE"/>
        </w:rPr>
      </w:pPr>
      <w:r w:rsidRPr="004676F5">
        <w:rPr>
          <w:lang w:val="de-DE"/>
        </w:rPr>
        <w:t>Sie informieren ebenfalls die FSMA, wenn ihnen bekannt ist, dass jemand als Kreditvermittler auftritt, ohne in dem durch vorliegendes Buch vorgesehenen Register eingetragen zu sein.</w:t>
      </w:r>
    </w:p>
    <w:p w14:paraId="686EF8F5" w14:textId="77777777" w:rsidR="00881814" w:rsidRPr="004676F5" w:rsidRDefault="00881814" w:rsidP="00881814">
      <w:pPr>
        <w:ind w:firstLine="708"/>
        <w:jc w:val="both"/>
        <w:rPr>
          <w:lang w:val="de-DE"/>
        </w:rPr>
      </w:pPr>
    </w:p>
    <w:p w14:paraId="0451C3D2" w14:textId="708A210A" w:rsidR="00881814" w:rsidRPr="004676F5" w:rsidRDefault="00881814" w:rsidP="00881814">
      <w:pPr>
        <w:ind w:firstLine="708"/>
        <w:jc w:val="both"/>
        <w:rPr>
          <w:lang w:val="de-DE"/>
        </w:rPr>
      </w:pPr>
      <w:r w:rsidRPr="004676F5">
        <w:rPr>
          <w:lang w:val="de-DE"/>
        </w:rPr>
        <w:t>§ 4 </w:t>
      </w:r>
      <w:r w:rsidR="005B7A5C" w:rsidRPr="004676F5">
        <w:rPr>
          <w:lang w:val="de-DE"/>
        </w:rPr>
        <w:t>- </w:t>
      </w:r>
      <w:r w:rsidRPr="004676F5">
        <w:rPr>
          <w:lang w:val="de-DE"/>
        </w:rPr>
        <w:t>Kreditgeber treten einem Verfahren der außergerichtlichen Beilegung verbrau</w:t>
      </w:r>
      <w:r w:rsidRPr="004676F5">
        <w:rPr>
          <w:lang w:val="de-DE"/>
        </w:rPr>
        <w:softHyphen/>
        <w:t>che</w:t>
      </w:r>
      <w:r w:rsidR="005263E2" w:rsidRPr="004676F5">
        <w:rPr>
          <w:lang w:val="de-DE"/>
        </w:rPr>
        <w:t>r</w:t>
      </w:r>
      <w:r w:rsidR="0081732A" w:rsidRPr="004676F5">
        <w:rPr>
          <w:lang w:val="de-DE"/>
        </w:rPr>
        <w:softHyphen/>
      </w:r>
      <w:r w:rsidRPr="004676F5">
        <w:rPr>
          <w:lang w:val="de-DE"/>
        </w:rPr>
        <w:t>rechtlicher Streitigkeiten wie in Artikel VII.216 erwähnt bei, beteiligen sich an der Finanzierung dieses Verfahrens und leisten Informationsanfragen Folge, die ihnen im Rahmen dieses Streitbeilegungsverfahrens übermittelt werden.</w:t>
      </w:r>
    </w:p>
    <w:p w14:paraId="4FD20995" w14:textId="77777777" w:rsidR="00881814" w:rsidRPr="004676F5" w:rsidRDefault="00881814" w:rsidP="00881814">
      <w:pPr>
        <w:ind w:firstLine="708"/>
        <w:jc w:val="both"/>
        <w:rPr>
          <w:lang w:val="de-DE"/>
        </w:rPr>
      </w:pPr>
    </w:p>
    <w:p w14:paraId="3B585A59" w14:textId="423E11FE" w:rsidR="00355B29" w:rsidRPr="004676F5" w:rsidRDefault="00355B29" w:rsidP="00881814">
      <w:pPr>
        <w:ind w:firstLine="708"/>
        <w:jc w:val="both"/>
        <w:rPr>
          <w:lang w:val="de-DE"/>
        </w:rPr>
      </w:pPr>
      <w:r w:rsidRPr="004676F5">
        <w:rPr>
          <w:lang w:val="de-DE"/>
        </w:rPr>
        <w:t>[§ 5 - Kreditgeber müssen gegebenenfalls die Bestimmungen von Artikel XV.18/1 einhalten.]</w:t>
      </w:r>
    </w:p>
    <w:p w14:paraId="0D52BF34" w14:textId="77777777" w:rsidR="00355B29" w:rsidRPr="004676F5" w:rsidRDefault="00355B29" w:rsidP="00355B29">
      <w:pPr>
        <w:jc w:val="both"/>
        <w:rPr>
          <w:lang w:val="de-DE"/>
        </w:rPr>
      </w:pPr>
    </w:p>
    <w:p w14:paraId="0D915E6A" w14:textId="1A6EE275" w:rsidR="00355B29" w:rsidRPr="004676F5" w:rsidRDefault="00355B29" w:rsidP="00355B29">
      <w:pPr>
        <w:jc w:val="both"/>
        <w:rPr>
          <w:i/>
          <w:iCs/>
          <w:lang w:val="de-DE"/>
        </w:rPr>
      </w:pPr>
      <w:r w:rsidRPr="004676F5">
        <w:rPr>
          <w:i/>
          <w:iCs/>
          <w:lang w:val="de-DE"/>
        </w:rPr>
        <w:t>[Art. VII.166 § 5 eingefügt durch Art. 17 des G. vom 8. Mai 2022 (B.S. vom 23. Juni 2022)]</w:t>
      </w:r>
    </w:p>
    <w:p w14:paraId="2FBF1A00" w14:textId="77777777" w:rsidR="00355B29" w:rsidRPr="004676F5" w:rsidRDefault="00355B29" w:rsidP="00355B29">
      <w:pPr>
        <w:jc w:val="both"/>
        <w:rPr>
          <w:i/>
          <w:iCs/>
          <w:lang w:val="de-DE"/>
        </w:rPr>
      </w:pPr>
    </w:p>
    <w:p w14:paraId="47C67F1B" w14:textId="77777777" w:rsidR="007A7DCC" w:rsidRPr="004676F5" w:rsidRDefault="007A7DCC" w:rsidP="00881814">
      <w:pPr>
        <w:ind w:firstLine="708"/>
        <w:jc w:val="both"/>
        <w:rPr>
          <w:lang w:val="de-DE"/>
        </w:rPr>
      </w:pPr>
    </w:p>
    <w:p w14:paraId="250710D1" w14:textId="0B587849" w:rsidR="00881814" w:rsidRPr="004676F5" w:rsidRDefault="00BE0A56" w:rsidP="00881814">
      <w:pPr>
        <w:ind w:firstLine="708"/>
        <w:jc w:val="both"/>
        <w:rPr>
          <w:lang w:val="de-DE"/>
        </w:rPr>
      </w:pPr>
      <w:r w:rsidRPr="004676F5">
        <w:rPr>
          <w:b/>
          <w:lang w:val="de-DE"/>
        </w:rPr>
        <w:t>Art. </w:t>
      </w:r>
      <w:r w:rsidR="00881814" w:rsidRPr="004676F5">
        <w:rPr>
          <w:b/>
          <w:lang w:val="de-DE"/>
        </w:rPr>
        <w:t>VII.167</w:t>
      </w:r>
      <w:r w:rsidR="00881814" w:rsidRPr="004676F5">
        <w:rPr>
          <w:lang w:val="de-DE"/>
        </w:rPr>
        <w:t> </w:t>
      </w:r>
      <w:r w:rsidR="005B7A5C" w:rsidRPr="004676F5">
        <w:rPr>
          <w:lang w:val="de-DE"/>
        </w:rPr>
        <w:t>- </w:t>
      </w:r>
      <w:r w:rsidR="00881814" w:rsidRPr="004676F5">
        <w:rPr>
          <w:lang w:val="de-DE"/>
        </w:rPr>
        <w:t>Die Eigenmittel eines Kreditgebers dürfen nicht unter den Betrag des gemäß Artikel VII.162 festgelegten Mindestkapitals absinken.</w:t>
      </w:r>
    </w:p>
    <w:p w14:paraId="1B1CEBE2" w14:textId="77777777" w:rsidR="00881814" w:rsidRPr="004676F5" w:rsidRDefault="00881814" w:rsidP="00881814">
      <w:pPr>
        <w:ind w:firstLine="708"/>
        <w:jc w:val="both"/>
        <w:rPr>
          <w:lang w:val="de-DE"/>
        </w:rPr>
      </w:pPr>
    </w:p>
    <w:p w14:paraId="3F91FB4B" w14:textId="77777777" w:rsidR="00881814" w:rsidRPr="004676F5" w:rsidRDefault="00881814" w:rsidP="00881814">
      <w:pPr>
        <w:ind w:firstLine="708"/>
        <w:jc w:val="both"/>
        <w:rPr>
          <w:lang w:val="de-DE"/>
        </w:rPr>
      </w:pPr>
      <w:r w:rsidRPr="004676F5">
        <w:rPr>
          <w:lang w:val="de-DE"/>
        </w:rPr>
        <w:t>In Genossenschaften dürfen keine Anteile zurückgezahlt werden, wenn dies zur Folge hätte, dass der Kreditgeber die Bestimmungen des vorhergehenden Absatzes nicht mehr einhalten würde.</w:t>
      </w:r>
    </w:p>
    <w:p w14:paraId="5E623CF1" w14:textId="77777777" w:rsidR="00881814" w:rsidRPr="004676F5" w:rsidRDefault="00881814" w:rsidP="00881814">
      <w:pPr>
        <w:ind w:firstLine="708"/>
        <w:jc w:val="both"/>
        <w:rPr>
          <w:lang w:val="de-DE"/>
        </w:rPr>
      </w:pPr>
    </w:p>
    <w:p w14:paraId="79C8DB70" w14:textId="77777777" w:rsidR="007A7DCC" w:rsidRPr="004676F5" w:rsidRDefault="007A7DCC" w:rsidP="00881814">
      <w:pPr>
        <w:ind w:firstLine="708"/>
        <w:jc w:val="both"/>
        <w:rPr>
          <w:lang w:val="de-DE"/>
        </w:rPr>
      </w:pPr>
    </w:p>
    <w:p w14:paraId="29975B7D" w14:textId="752E110D" w:rsidR="00881814" w:rsidRPr="004676F5" w:rsidRDefault="00BE0A56" w:rsidP="00881814">
      <w:pPr>
        <w:ind w:firstLine="708"/>
        <w:jc w:val="both"/>
        <w:rPr>
          <w:lang w:val="de-DE"/>
        </w:rPr>
      </w:pPr>
      <w:r w:rsidRPr="004676F5">
        <w:rPr>
          <w:b/>
          <w:lang w:val="de-DE"/>
        </w:rPr>
        <w:t>Art. </w:t>
      </w:r>
      <w:r w:rsidR="00881814" w:rsidRPr="004676F5">
        <w:rPr>
          <w:b/>
          <w:lang w:val="de-DE"/>
        </w:rPr>
        <w:t>VII.168</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CE1D07" w:rsidRPr="004676F5">
        <w:rPr>
          <w:lang w:val="de-DE"/>
        </w:rPr>
        <w:t>[Unbeschadet der Anwendung des Gesetzes vom 2. Mai 2007 über die Offenlegung bedeutender Beteiligungen an Emittenten, deren Anteile zum Handel an einem geregelten Markt zugelassen sind, und zur Festlegung verschiedener Bestimmungen zeigt eine natürliche oder juristische Person beziehungsweise zeigen gemeinsam handelnde natürliche oder juristische Personen, die beschlossen hat/haben, direkt oder indirekt eine Beteiligung am Kapital eines Kreditgebers oder einen Teil der Stimmrechte zu erwerben oder direkt oder indirekt eine derartige Beteiligung oder ihren Teil der Stimmrechte zu erhöhen, mit der Folge, dass ihr Anteil an den Stimmrechten oder am Kapital 20 Prozent, 30 Prozent oder 50 Prozent erreichen oder überschreiten würde oder der Kreditgeber ihr Tochterunternehmen würde, der FSMA vorab schriftlich dieses Vorhaben an.]</w:t>
      </w:r>
    </w:p>
    <w:p w14:paraId="2E9D915E" w14:textId="77777777" w:rsidR="00881814" w:rsidRPr="004676F5" w:rsidRDefault="00881814" w:rsidP="00881814">
      <w:pPr>
        <w:ind w:firstLine="708"/>
        <w:jc w:val="both"/>
        <w:rPr>
          <w:lang w:val="de-DE"/>
        </w:rPr>
      </w:pPr>
    </w:p>
    <w:p w14:paraId="6DDE9D82" w14:textId="77777777" w:rsidR="00881814" w:rsidRPr="004676F5" w:rsidRDefault="00881814" w:rsidP="00881814">
      <w:pPr>
        <w:ind w:firstLine="708"/>
        <w:jc w:val="both"/>
        <w:rPr>
          <w:lang w:val="de-DE"/>
        </w:rPr>
      </w:pPr>
      <w:r w:rsidRPr="004676F5">
        <w:rPr>
          <w:lang w:val="de-DE"/>
        </w:rPr>
        <w:lastRenderedPageBreak/>
        <w:t>Die FSMA ist ermächtigt, bei dieser Person jegliche nützlichen Auskünfte anzufordern, um beurteilen zu können, ob diese Person die zur Gewährleistung einer soliden und umsichtigen Geschäftsführung des Kreditgebers erforderlichen Eigenschaften besitzt.</w:t>
      </w:r>
    </w:p>
    <w:p w14:paraId="104D86AE" w14:textId="77777777" w:rsidR="00881814" w:rsidRPr="004676F5" w:rsidRDefault="00881814" w:rsidP="00881814">
      <w:pPr>
        <w:ind w:firstLine="708"/>
        <w:jc w:val="both"/>
        <w:rPr>
          <w:lang w:val="de-DE"/>
        </w:rPr>
      </w:pPr>
    </w:p>
    <w:p w14:paraId="09347DD5" w14:textId="77777777" w:rsidR="00881814" w:rsidRPr="004676F5" w:rsidRDefault="00881814" w:rsidP="00881814">
      <w:pPr>
        <w:ind w:firstLine="708"/>
        <w:jc w:val="both"/>
        <w:rPr>
          <w:lang w:val="de-DE"/>
        </w:rPr>
      </w:pPr>
      <w:r w:rsidRPr="004676F5">
        <w:rPr>
          <w:lang w:val="de-DE"/>
        </w:rPr>
        <w:t>Gegebenenfalls nimmt die FSMA die in Artikel VII.163 § 2 vorgesehenen Befra</w:t>
      </w:r>
      <w:r w:rsidRPr="004676F5">
        <w:rPr>
          <w:lang w:val="de-DE"/>
        </w:rPr>
        <w:softHyphen/>
        <w:t>gungen vor.</w:t>
      </w:r>
    </w:p>
    <w:p w14:paraId="3DCC05D5" w14:textId="77777777" w:rsidR="00881814" w:rsidRPr="004676F5" w:rsidRDefault="00881814" w:rsidP="00881814">
      <w:pPr>
        <w:ind w:firstLine="708"/>
        <w:jc w:val="both"/>
        <w:rPr>
          <w:lang w:val="de-DE"/>
        </w:rPr>
      </w:pPr>
    </w:p>
    <w:p w14:paraId="570891B9" w14:textId="5B9B8953"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Binnen zwei Monaten nach Empfang einer vollständigen Akte kann die FSMA sich dem beabsichtigten Erwerb widersetzen, wenn sie vernünftige Gründe zu der Annahme hat, dass der interessierte Erwerber die Eigenschaften, die zur Gewährleistung einer soliden und umsichtigen Geschäftsführung des Kreditgebers erforderlich sind, nicht besitzt.</w:t>
      </w:r>
    </w:p>
    <w:p w14:paraId="7ECB3BC6" w14:textId="77777777" w:rsidR="00881814" w:rsidRPr="004676F5" w:rsidRDefault="00881814" w:rsidP="00881814">
      <w:pPr>
        <w:ind w:firstLine="708"/>
        <w:jc w:val="both"/>
        <w:rPr>
          <w:lang w:val="de-DE"/>
        </w:rPr>
      </w:pPr>
    </w:p>
    <w:p w14:paraId="55C10567" w14:textId="2E171C75"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Wenn die FSMA Gründe zu der Annahme hat, dass der Einfluss einer natürlichen oder juristischen Person, die direkt oder indirekt eine Beteiligung von mindestens 20 Prozent am Kapital eines Kreditgebers hält</w:t>
      </w:r>
      <w:r w:rsidR="00CE1D07" w:rsidRPr="004676F5">
        <w:rPr>
          <w:lang w:val="de-DE"/>
        </w:rPr>
        <w:t>[, mindestens 20 Prozent der Stimmrechte besitzt oder den Kreditgeber direkt oder indirekt kontrolliert]</w:t>
      </w:r>
      <w:r w:rsidRPr="004676F5">
        <w:rPr>
          <w:lang w:val="de-DE"/>
        </w:rPr>
        <w:t>, sich zu Lasten einer soliden und umsichtigen Geschäftsführung auswirken könnte, kann sie unbeschadet anderer durch vorliegendes Gesetz vorgesehener Maßnahmen:</w:t>
      </w:r>
    </w:p>
    <w:p w14:paraId="68F91E9A" w14:textId="77777777" w:rsidR="00881814" w:rsidRPr="004676F5" w:rsidRDefault="00881814" w:rsidP="00881814">
      <w:pPr>
        <w:ind w:firstLine="708"/>
        <w:jc w:val="both"/>
        <w:rPr>
          <w:lang w:val="de-DE"/>
        </w:rPr>
      </w:pPr>
    </w:p>
    <w:p w14:paraId="3817E026" w14:textId="77777777" w:rsidR="00881814" w:rsidRPr="004676F5" w:rsidRDefault="00881814" w:rsidP="00881814">
      <w:pPr>
        <w:ind w:firstLine="708"/>
        <w:jc w:val="both"/>
        <w:rPr>
          <w:lang w:val="de-DE"/>
        </w:rPr>
      </w:pPr>
      <w:r w:rsidRPr="004676F5">
        <w:rPr>
          <w:lang w:val="de-DE"/>
        </w:rPr>
        <w:t>1. die Stimmrechtsausübung in Verbindung mit den von den betreffenden Aktionären oder Gesellschaftern gehaltenen Aktien oder Anteilen aussetzen; sie kann auf Antrag Interessehabender die Aufhebung der von ihr angeordneten Maßnahmen gewähren; ihr Beschluss wird dem betreffenden Aktionär oder Gesellschafter auf die angemessenste Weise notifiziert; ihr Beschluss ist ausführbar, sobald er notifiziert wurde; die FSMA kann ihren Beschluss veröffentlichen,</w:t>
      </w:r>
    </w:p>
    <w:p w14:paraId="06FEE25B" w14:textId="77777777" w:rsidR="00881814" w:rsidRPr="004676F5" w:rsidRDefault="00881814" w:rsidP="00881814">
      <w:pPr>
        <w:ind w:firstLine="708"/>
        <w:jc w:val="both"/>
        <w:rPr>
          <w:lang w:val="de-DE"/>
        </w:rPr>
      </w:pPr>
    </w:p>
    <w:p w14:paraId="7B3E7AA5" w14:textId="77777777" w:rsidR="00881814" w:rsidRPr="004676F5" w:rsidRDefault="00881814" w:rsidP="00881814">
      <w:pPr>
        <w:ind w:firstLine="708"/>
        <w:jc w:val="both"/>
        <w:rPr>
          <w:lang w:val="de-DE"/>
        </w:rPr>
      </w:pPr>
      <w:r w:rsidRPr="004676F5">
        <w:rPr>
          <w:lang w:val="de-DE"/>
        </w:rPr>
        <w:t>2. anordnen, dass der betreffende Aktionär oder Gesellschafter innerhalb der von ihr festgelegten Frist seine Aktionärsrechte abtritt.</w:t>
      </w:r>
    </w:p>
    <w:p w14:paraId="26F417FC" w14:textId="77777777" w:rsidR="00881814" w:rsidRPr="004676F5" w:rsidRDefault="00881814" w:rsidP="00881814">
      <w:pPr>
        <w:ind w:firstLine="708"/>
        <w:jc w:val="both"/>
        <w:rPr>
          <w:lang w:val="de-DE"/>
        </w:rPr>
      </w:pPr>
    </w:p>
    <w:p w14:paraId="7D48E4C0" w14:textId="17FFBFFE" w:rsidR="00881814" w:rsidRPr="004676F5" w:rsidRDefault="00881814" w:rsidP="00881814">
      <w:pPr>
        <w:ind w:firstLine="708"/>
        <w:jc w:val="both"/>
        <w:rPr>
          <w:lang w:val="de-DE"/>
        </w:rPr>
      </w:pPr>
      <w:r w:rsidRPr="004676F5">
        <w:rPr>
          <w:lang w:val="de-DE"/>
        </w:rPr>
        <w:t>In Ermangelung einer Abtretung der Aktionärsrechte innerhalb der festgelegten Frist kann die FSMA anordnen, dass die Aktionärsrechte bei einer von ihr bestimmten Einrichtung oder Person sequestriert werden. Der Sequester setzt den Kreditgeber davon in Kenntnis; Letzterer ändert das Verzeichnis der Namensaktien oder -anteile dementsprechend und akzeptiert die alleinige Ausübung der mit diesen Aktien oder Anteilen verbundenen Rechte durch den Sequester. Der Sequester handelt im Interesse einer soliden und umsichtigen Geschäftsführung des Kreditgebers und im Interesse des Inhabers der sequestrierten Aktionärsrechte. Er übt alle mit den Aktien oder Anteilen verbundenen Rechte aus. Von ihm als Dividende oder dergleichen eingenommene Beträge überweist er vorerwähntem Inhaber nur, wenn dieser der in Absatz 1 Nr. 2 erwähnten Anordnung nachgekommen ist. Die Zeichnung von Kapitalerhöhungen oder anderen Wertpapieren, ob sie Stimmrecht verleihen oder nicht, die Möglichkeit, Dividenden als Gesellschaftsanteile auszuzahlen, die Annahme von öffentlichen Übernahme</w:t>
      </w:r>
      <w:r w:rsidR="005B7A5C" w:rsidRPr="004676F5">
        <w:rPr>
          <w:lang w:val="de-DE"/>
        </w:rPr>
        <w:t>- </w:t>
      </w:r>
      <w:r w:rsidRPr="004676F5">
        <w:rPr>
          <w:lang w:val="de-DE"/>
        </w:rPr>
        <w:t>oder Umtauschangeboten und die Einzahlung noch nicht voll eingezahlter Anteile unterliegen der Zustimmung des vorerwähnten Inhabers. Aufgrund dieser Geschäfte erworbene Aktionärsrechte fallen von Rechts wegen unter die vorerwähnte Sequestration. Die Entlohnung des Sequesters wird von der FSMA festgelegt und geht zu Lasten des vorerwähnten Inhabers. Der Sequester kann diese Entlohnung mit den Beträgen verrechnen, die ihm in seiner Eigenschaft als Sequester oder vom vorerwähnten Inhaber im Hinblick auf die Ausführung der vorerwähnten Geschäfte gezahlt worden sind.</w:t>
      </w:r>
    </w:p>
    <w:p w14:paraId="707CA184" w14:textId="77777777" w:rsidR="00881814" w:rsidRPr="004676F5" w:rsidRDefault="00881814" w:rsidP="00881814">
      <w:pPr>
        <w:ind w:firstLine="708"/>
        <w:jc w:val="both"/>
        <w:rPr>
          <w:lang w:val="de-DE"/>
        </w:rPr>
      </w:pPr>
    </w:p>
    <w:p w14:paraId="784D4A3F" w14:textId="3142040F" w:rsidR="00881814" w:rsidRPr="004676F5" w:rsidRDefault="00881814" w:rsidP="00881814">
      <w:pPr>
        <w:ind w:firstLine="708"/>
        <w:jc w:val="both"/>
        <w:rPr>
          <w:lang w:val="de-DE"/>
        </w:rPr>
      </w:pPr>
      <w:r w:rsidRPr="004676F5">
        <w:rPr>
          <w:lang w:val="de-DE"/>
        </w:rPr>
        <w:t xml:space="preserve">Wenn nach Ablauf der gemäß Absatz 1 Nr. 2 erster Satz erwähnten Frist die Stimmrechte vom ursprünglichen Inhaber oder einer anderen Person, die für Rechnung dieses Inhabers handelt und nicht der Sequester ist, ungeachtet einer Aussetzung der Ausübung gemäß </w:t>
      </w:r>
      <w:r w:rsidRPr="004676F5">
        <w:rPr>
          <w:lang w:val="de-DE"/>
        </w:rPr>
        <w:lastRenderedPageBreak/>
        <w:t xml:space="preserve">Absatz 1 Nr. 1 ausgeübt werden, kann das </w:t>
      </w:r>
      <w:r w:rsidR="00361072" w:rsidRPr="004676F5">
        <w:rPr>
          <w:lang w:val="de-DE"/>
        </w:rPr>
        <w:t>[Unternehmensgericht]</w:t>
      </w:r>
      <w:r w:rsidRPr="004676F5">
        <w:rPr>
          <w:lang w:val="de-DE"/>
        </w:rPr>
        <w:t>, in dessen Bereich die Gesellschaft ihren Sitz hat, auf Antrag der FSMA Beschlüsse der Generalversammlung ganz oder teilweise für nichtig erklären, wenn ohne diese illegal ausgeübten Stimmrechte die für die Generalversammlungsbeschlüsse erforderlichen Anwesenheits</w:t>
      </w:r>
      <w:r w:rsidR="005B7A5C" w:rsidRPr="004676F5">
        <w:rPr>
          <w:lang w:val="de-DE"/>
        </w:rPr>
        <w:t>- </w:t>
      </w:r>
      <w:r w:rsidRPr="004676F5">
        <w:rPr>
          <w:lang w:val="de-DE"/>
        </w:rPr>
        <w:t>oder Mehrheitsquoren nicht erreicht worden wären.</w:t>
      </w:r>
    </w:p>
    <w:p w14:paraId="4713AFD6" w14:textId="77777777" w:rsidR="00CE1D07" w:rsidRPr="004676F5" w:rsidRDefault="00CE1D07" w:rsidP="00881814">
      <w:pPr>
        <w:ind w:firstLine="708"/>
        <w:jc w:val="both"/>
        <w:rPr>
          <w:lang w:val="de-DE"/>
        </w:rPr>
      </w:pPr>
    </w:p>
    <w:p w14:paraId="7D6716A9" w14:textId="4D4DE164" w:rsidR="00CE1D07" w:rsidRPr="004676F5" w:rsidRDefault="00CE1D07" w:rsidP="00CE1D07">
      <w:pPr>
        <w:ind w:firstLine="708"/>
        <w:jc w:val="both"/>
        <w:rPr>
          <w:lang w:val="de-DE"/>
        </w:rPr>
      </w:pPr>
      <w:r w:rsidRPr="004676F5">
        <w:rPr>
          <w:lang w:val="de-DE"/>
        </w:rPr>
        <w:t>[</w:t>
      </w:r>
      <w:r w:rsidR="00C63089" w:rsidRPr="004676F5">
        <w:rPr>
          <w:lang w:val="de-DE"/>
        </w:rPr>
        <w:t>§ 4 </w:t>
      </w:r>
      <w:r w:rsidR="005B7A5C" w:rsidRPr="004676F5">
        <w:rPr>
          <w:lang w:val="de-DE"/>
        </w:rPr>
        <w:t>- </w:t>
      </w:r>
      <w:r w:rsidRPr="004676F5">
        <w:rPr>
          <w:lang w:val="de-DE"/>
        </w:rPr>
        <w:t>Die in § 1 erwähnten Anzeigepflichten gelten auch bei Über</w:t>
      </w:r>
      <w:r w:rsidR="005B7A5C" w:rsidRPr="004676F5">
        <w:rPr>
          <w:lang w:val="de-DE"/>
        </w:rPr>
        <w:t>- </w:t>
      </w:r>
      <w:r w:rsidRPr="004676F5">
        <w:rPr>
          <w:lang w:val="de-DE"/>
        </w:rPr>
        <w:t>oder Unterschreitungen der in diesem Paragraphen erwähnten Schwellen, die sich aus dem Bestehen von Doppel</w:t>
      </w:r>
      <w:r w:rsidR="005B7A5C" w:rsidRPr="004676F5">
        <w:rPr>
          <w:lang w:val="de-DE"/>
        </w:rPr>
        <w:t>- </w:t>
      </w:r>
      <w:r w:rsidRPr="004676F5">
        <w:rPr>
          <w:lang w:val="de-DE"/>
        </w:rPr>
        <w:t>oder Mehrfachstimmrechten oder aus dem Erwerb eigener Aktien durch den Kreditgeber oder aus jeder anderen Situation ergeben, die eine Änderung der Höhe einer Beteiligung mit sich bringt, die nicht Folge eines Erwerbs oder einer Veräußerung ist.</w:t>
      </w:r>
    </w:p>
    <w:p w14:paraId="76DD55A4" w14:textId="77777777" w:rsidR="00CE1D07" w:rsidRPr="004676F5" w:rsidRDefault="00CE1D07" w:rsidP="00CE1D07">
      <w:pPr>
        <w:jc w:val="both"/>
        <w:rPr>
          <w:lang w:val="de-DE"/>
        </w:rPr>
      </w:pPr>
    </w:p>
    <w:p w14:paraId="0F67F000" w14:textId="0C3BC99D" w:rsidR="00CE1D07" w:rsidRPr="004676F5" w:rsidRDefault="00CE1D07" w:rsidP="00CE1D07">
      <w:pPr>
        <w:ind w:firstLine="708"/>
        <w:jc w:val="both"/>
        <w:rPr>
          <w:lang w:val="de-DE"/>
        </w:rPr>
      </w:pPr>
      <w:r w:rsidRPr="004676F5">
        <w:rPr>
          <w:lang w:val="de-DE"/>
        </w:rPr>
        <w:t>Im Falle einer Änderung der in § 1 erwähnten Schwelle, die sich aus der Anwendung von Absatz 1 ergibt, gilt die in § 2 vorgesehene Beurteilung, wobei mit dem in diesen Bestimmungen vorgesehenen Erwerb in dem Fall auf die Höhe der Beteiligung abgezielt wird.]</w:t>
      </w:r>
    </w:p>
    <w:p w14:paraId="4826587C" w14:textId="34991168" w:rsidR="00881814" w:rsidRPr="004676F5" w:rsidRDefault="00881814" w:rsidP="00361072">
      <w:pPr>
        <w:jc w:val="both"/>
        <w:rPr>
          <w:lang w:val="de-DE"/>
        </w:rPr>
      </w:pPr>
    </w:p>
    <w:p w14:paraId="6F3D9A98" w14:textId="24AF9937" w:rsidR="00361072" w:rsidRPr="004676F5" w:rsidRDefault="00361072" w:rsidP="00361072">
      <w:pPr>
        <w:jc w:val="both"/>
        <w:rPr>
          <w:i/>
          <w:lang w:val="de-DE"/>
        </w:rPr>
      </w:pPr>
      <w:r w:rsidRPr="004676F5">
        <w:rPr>
          <w:i/>
          <w:lang w:val="de-DE"/>
        </w:rPr>
        <w:t xml:space="preserve">[Art. VII.168 </w:t>
      </w:r>
      <w:r w:rsidR="00CE1D07" w:rsidRPr="004676F5">
        <w:rPr>
          <w:i/>
          <w:lang w:val="de-DE"/>
        </w:rPr>
        <w:t>§ 1 Abs. 1 ersetzt durch Art. 301 Nr. 1</w:t>
      </w:r>
      <w:r w:rsidR="00CE1D07" w:rsidRPr="004676F5">
        <w:rPr>
          <w:i/>
          <w:iCs/>
          <w:lang w:val="de-DE"/>
        </w:rPr>
        <w:t xml:space="preserve"> des G. vom 27. Juni 2021 (B.S. vom 9. Juli 2021); § 3 Abs. 1 abgeändert durch Art. 301 Nr. 2 des G. vom 27. Juni 2021 (B.S. vom 9. Juli 2021); </w:t>
      </w:r>
      <w:r w:rsidRPr="004676F5">
        <w:rPr>
          <w:i/>
          <w:lang w:val="de-DE"/>
        </w:rPr>
        <w:t>§ 3 Abs. 3 abgeändert durch Art. 252 des G. vom 15. April 2018 (B.S. vom 27. April 2018)</w:t>
      </w:r>
      <w:r w:rsidR="00CE1D07" w:rsidRPr="004676F5">
        <w:rPr>
          <w:i/>
          <w:lang w:val="de-DE"/>
        </w:rPr>
        <w:t>; § 4 eingefügt durch Art. 301 Nr. 3</w:t>
      </w:r>
      <w:r w:rsidR="00CE1D07" w:rsidRPr="004676F5">
        <w:rPr>
          <w:i/>
          <w:iCs/>
          <w:lang w:val="de-DE"/>
        </w:rPr>
        <w:t xml:space="preserve"> des G. vom 27. Juni 2021 (B.S. vom 9. Juli 2021)</w:t>
      </w:r>
      <w:r w:rsidRPr="004676F5">
        <w:rPr>
          <w:i/>
          <w:lang w:val="de-DE"/>
        </w:rPr>
        <w:t>]</w:t>
      </w:r>
    </w:p>
    <w:p w14:paraId="0316B98E" w14:textId="77777777" w:rsidR="00361072" w:rsidRPr="004676F5" w:rsidRDefault="00361072" w:rsidP="00361072">
      <w:pPr>
        <w:jc w:val="both"/>
        <w:rPr>
          <w:i/>
          <w:lang w:val="de-DE"/>
        </w:rPr>
      </w:pPr>
    </w:p>
    <w:p w14:paraId="021D61CB" w14:textId="77777777" w:rsidR="007A7DCC" w:rsidRPr="004676F5" w:rsidRDefault="007A7DCC" w:rsidP="00881814">
      <w:pPr>
        <w:ind w:firstLine="708"/>
        <w:jc w:val="both"/>
        <w:rPr>
          <w:lang w:val="de-DE"/>
        </w:rPr>
      </w:pPr>
    </w:p>
    <w:p w14:paraId="3C3D6CEE" w14:textId="275EBCF9" w:rsidR="00881814" w:rsidRPr="004676F5" w:rsidRDefault="00BE0A56" w:rsidP="00881814">
      <w:pPr>
        <w:ind w:firstLine="708"/>
        <w:jc w:val="both"/>
        <w:rPr>
          <w:lang w:val="de-DE"/>
        </w:rPr>
      </w:pPr>
      <w:r w:rsidRPr="004676F5">
        <w:rPr>
          <w:b/>
          <w:lang w:val="de-DE"/>
        </w:rPr>
        <w:t>Art. </w:t>
      </w:r>
      <w:r w:rsidR="00881814" w:rsidRPr="004676F5">
        <w:rPr>
          <w:b/>
          <w:lang w:val="de-DE"/>
        </w:rPr>
        <w:t>VII.169</w:t>
      </w:r>
      <w:r w:rsidR="00881814" w:rsidRPr="004676F5">
        <w:rPr>
          <w:lang w:val="de-DE"/>
        </w:rPr>
        <w:t> </w:t>
      </w:r>
      <w:r w:rsidR="005B7A5C" w:rsidRPr="004676F5">
        <w:rPr>
          <w:lang w:val="de-DE"/>
        </w:rPr>
        <w:t>- </w:t>
      </w:r>
      <w:r w:rsidR="00881814" w:rsidRPr="004676F5">
        <w:rPr>
          <w:lang w:val="de-DE"/>
        </w:rPr>
        <w:t xml:space="preserve">Kreditgeber informieren die FSMA im Voraus über einen Vorschlag für die Bestellung von Mitgliedern </w:t>
      </w:r>
      <w:r w:rsidR="00CE1D07" w:rsidRPr="004676F5">
        <w:rPr>
          <w:lang w:val="de-DE"/>
        </w:rPr>
        <w:t>[</w:t>
      </w:r>
      <w:r w:rsidR="00881814" w:rsidRPr="004676F5">
        <w:rPr>
          <w:lang w:val="de-DE"/>
        </w:rPr>
        <w:t>des Verwaltungsorgans</w:t>
      </w:r>
      <w:r w:rsidR="00CE1D07" w:rsidRPr="004676F5">
        <w:rPr>
          <w:lang w:val="de-DE"/>
        </w:rPr>
        <w:t>]</w:t>
      </w:r>
      <w:r w:rsidR="00881814" w:rsidRPr="004676F5">
        <w:rPr>
          <w:lang w:val="de-DE"/>
        </w:rPr>
        <w:t xml:space="preserve"> und Mitgliedern des Direktionsausschusses oder in Ermangelung eines Direktionsausschusses der mit der tatsächlichen Geschäftsleitung beauftragten Personen.</w:t>
      </w:r>
    </w:p>
    <w:p w14:paraId="1B88CB8B" w14:textId="77777777" w:rsidR="00881814" w:rsidRPr="004676F5" w:rsidRDefault="00881814" w:rsidP="00881814">
      <w:pPr>
        <w:ind w:firstLine="708"/>
        <w:jc w:val="both"/>
        <w:rPr>
          <w:lang w:val="de-DE"/>
        </w:rPr>
      </w:pPr>
    </w:p>
    <w:p w14:paraId="69F55F3F" w14:textId="77777777" w:rsidR="00881814" w:rsidRPr="004676F5" w:rsidRDefault="00881814" w:rsidP="00881814">
      <w:pPr>
        <w:ind w:firstLine="708"/>
        <w:jc w:val="both"/>
        <w:rPr>
          <w:lang w:val="de-DE"/>
        </w:rPr>
      </w:pPr>
      <w:r w:rsidRPr="004676F5">
        <w:rPr>
          <w:lang w:val="de-DE"/>
        </w:rPr>
        <w:t>Im Rahmen der aufgrund von Absatz 1 erforderlichen Information übermitteln Kreditgeber der FSMA Unterlagen und Informationen, anhand deren sie beurteilen kann, ob Personen, deren Bestellung vorgeschlagen wird, gemäß Artikel VII.164 § 1 Absatz 2 über die zur Ausübung ihrer Funktion erforderliche berufliche Zuverlässigkeit und angemessene Fachkompetenz verfügen.</w:t>
      </w:r>
    </w:p>
    <w:p w14:paraId="0553E63B" w14:textId="77777777" w:rsidR="00881814" w:rsidRPr="004676F5" w:rsidRDefault="00881814" w:rsidP="00881814">
      <w:pPr>
        <w:ind w:firstLine="708"/>
        <w:jc w:val="both"/>
        <w:rPr>
          <w:lang w:val="de-DE"/>
        </w:rPr>
      </w:pPr>
    </w:p>
    <w:p w14:paraId="7EB41FF3" w14:textId="77777777" w:rsidR="00881814" w:rsidRPr="004676F5" w:rsidRDefault="00881814" w:rsidP="00881814">
      <w:pPr>
        <w:ind w:firstLine="708"/>
        <w:jc w:val="both"/>
        <w:rPr>
          <w:lang w:val="de-DE"/>
        </w:rPr>
      </w:pPr>
      <w:r w:rsidRPr="004676F5">
        <w:rPr>
          <w:lang w:val="de-DE"/>
        </w:rPr>
        <w:t>Absatz 1 ist ebenfalls anwendbar bei einem Vorschlag für die Erneuerung der Bestellung der in Absatz 1 erwähnten Personen und bei Nichterneuerung der Bestellung, Abberufung oder Amtsniederlegung.</w:t>
      </w:r>
    </w:p>
    <w:p w14:paraId="5F3AA828" w14:textId="77777777" w:rsidR="00881814" w:rsidRPr="004676F5" w:rsidRDefault="00881814" w:rsidP="00881814">
      <w:pPr>
        <w:ind w:firstLine="708"/>
        <w:jc w:val="both"/>
        <w:rPr>
          <w:lang w:val="de-DE"/>
        </w:rPr>
      </w:pPr>
    </w:p>
    <w:p w14:paraId="68520289" w14:textId="77777777" w:rsidR="00881814" w:rsidRPr="004676F5" w:rsidRDefault="00881814" w:rsidP="00881814">
      <w:pPr>
        <w:ind w:firstLine="708"/>
        <w:jc w:val="both"/>
        <w:rPr>
          <w:lang w:val="de-DE"/>
        </w:rPr>
      </w:pPr>
      <w:r w:rsidRPr="004676F5">
        <w:rPr>
          <w:lang w:val="de-DE"/>
        </w:rPr>
        <w:t>Die Bestellung der in Absatz 1 erwähnten Personen unterliegt der vorherigen Billigung durch die FSMA.</w:t>
      </w:r>
    </w:p>
    <w:p w14:paraId="2D383336" w14:textId="77777777" w:rsidR="00881814" w:rsidRPr="004676F5" w:rsidRDefault="00881814" w:rsidP="00881814">
      <w:pPr>
        <w:ind w:firstLine="708"/>
        <w:jc w:val="both"/>
        <w:rPr>
          <w:lang w:val="de-DE"/>
        </w:rPr>
      </w:pPr>
    </w:p>
    <w:p w14:paraId="6011789B" w14:textId="77777777" w:rsidR="00881814" w:rsidRPr="004676F5" w:rsidRDefault="00881814" w:rsidP="00881814">
      <w:pPr>
        <w:ind w:firstLine="708"/>
        <w:jc w:val="both"/>
        <w:rPr>
          <w:lang w:val="de-DE"/>
        </w:rPr>
      </w:pPr>
      <w:r w:rsidRPr="004676F5">
        <w:rPr>
          <w:lang w:val="de-DE"/>
        </w:rPr>
        <w:t>Handelt es sich um die Bestellung einer Person, die zum ersten Mal für eine in Absatz 1 erwähnte Funktion in einem Finanzunternehmen vorgeschlagen wird, das gemäß Artikel 45 § 1 Nr. 2 des Gesetzes vom 2. August 2002 von der FSMA beaufsichtigt wird, so zieht die FSMA zuvor die Bank zu Rate. Die Bank teilt der FSMA ihre Stellungnahme binnen einer Frist von einer Woche ab Empfang des Antrags auf Stellungnahme mit.</w:t>
      </w:r>
    </w:p>
    <w:p w14:paraId="194CB1EB" w14:textId="77777777" w:rsidR="00881814" w:rsidRPr="004676F5" w:rsidRDefault="00881814" w:rsidP="00881814">
      <w:pPr>
        <w:ind w:firstLine="708"/>
        <w:jc w:val="both"/>
        <w:rPr>
          <w:lang w:val="de-DE"/>
        </w:rPr>
      </w:pPr>
    </w:p>
    <w:p w14:paraId="2E525585" w14:textId="0C9E8407" w:rsidR="00881814" w:rsidRPr="004676F5" w:rsidRDefault="00881814" w:rsidP="00881814">
      <w:pPr>
        <w:ind w:firstLine="708"/>
        <w:jc w:val="both"/>
        <w:rPr>
          <w:lang w:val="de-DE"/>
        </w:rPr>
      </w:pPr>
      <w:r w:rsidRPr="004676F5">
        <w:rPr>
          <w:lang w:val="de-DE"/>
        </w:rPr>
        <w:t xml:space="preserve">Kreditgeber informieren die FSMA über die eventuelle Verteilung der Aufgaben unter den Mitgliedern </w:t>
      </w:r>
      <w:r w:rsidR="00CE1D07" w:rsidRPr="004676F5">
        <w:rPr>
          <w:lang w:val="de-DE"/>
        </w:rPr>
        <w:t>[</w:t>
      </w:r>
      <w:r w:rsidRPr="004676F5">
        <w:rPr>
          <w:lang w:val="de-DE"/>
        </w:rPr>
        <w:t>des Verwaltungsorgans</w:t>
      </w:r>
      <w:r w:rsidR="00CE1D07" w:rsidRPr="004676F5">
        <w:rPr>
          <w:lang w:val="de-DE"/>
        </w:rPr>
        <w:t>]</w:t>
      </w:r>
      <w:r w:rsidRPr="004676F5">
        <w:rPr>
          <w:lang w:val="de-DE"/>
        </w:rPr>
        <w:t xml:space="preserve"> und den mit der tatsächlichen Geschäftsleitung beauftragten Personen und über wichtige Änderungen in Bezug auf diese Aufgabenverteilung.</w:t>
      </w:r>
    </w:p>
    <w:p w14:paraId="27A79E4B" w14:textId="77777777" w:rsidR="00881814" w:rsidRPr="004676F5" w:rsidRDefault="00881814" w:rsidP="00881814">
      <w:pPr>
        <w:ind w:firstLine="708"/>
        <w:jc w:val="both"/>
        <w:rPr>
          <w:lang w:val="de-DE"/>
        </w:rPr>
      </w:pPr>
    </w:p>
    <w:p w14:paraId="647067F4" w14:textId="3FF1F43F" w:rsidR="00881814" w:rsidRPr="004676F5" w:rsidRDefault="00881814" w:rsidP="00881814">
      <w:pPr>
        <w:ind w:firstLine="708"/>
        <w:jc w:val="both"/>
        <w:rPr>
          <w:lang w:val="de-DE"/>
        </w:rPr>
      </w:pPr>
      <w:r w:rsidRPr="004676F5">
        <w:rPr>
          <w:lang w:val="de-DE"/>
        </w:rPr>
        <w:lastRenderedPageBreak/>
        <w:t>Bei wichtigen Änderungen in Bezug auf die in vorhergehendem Absatz erwähnte Aufgabenverteilung sind die Absätze 1 bis 4 anwendbar.</w:t>
      </w:r>
    </w:p>
    <w:p w14:paraId="4033DE04" w14:textId="20D92416" w:rsidR="008562C5" w:rsidRPr="004676F5" w:rsidRDefault="008562C5" w:rsidP="00881814">
      <w:pPr>
        <w:ind w:firstLine="708"/>
        <w:jc w:val="both"/>
        <w:rPr>
          <w:lang w:val="de-DE"/>
        </w:rPr>
      </w:pPr>
    </w:p>
    <w:p w14:paraId="6BDEAA7C" w14:textId="77777777" w:rsidR="008562C5" w:rsidRPr="004676F5" w:rsidRDefault="008562C5" w:rsidP="008562C5">
      <w:pPr>
        <w:ind w:firstLine="708"/>
        <w:jc w:val="both"/>
        <w:rPr>
          <w:lang w:val="de-DE"/>
        </w:rPr>
      </w:pPr>
      <w:r w:rsidRPr="004676F5">
        <w:rPr>
          <w:lang w:val="de-DE"/>
        </w:rPr>
        <w:t>[Unbeschadet des Artikels VII.160 § 4 Absatz 2 informieren Kreditgeber und in Absatz 1 erwähnte Personen die FSMA unverzüglich über alle Sachverhalte oder Aspekte, die zu einer Änderung der bei der Bestellung übermittelten Angaben führen können und Auswirkungen auf die zur Ausübung der betreffenden Funktion erforderliche berufliche Zuverlässigkeit oder angemessene Fachkompetenz haben können.</w:t>
      </w:r>
    </w:p>
    <w:p w14:paraId="583F377A" w14:textId="77777777" w:rsidR="008562C5" w:rsidRPr="004676F5" w:rsidRDefault="008562C5" w:rsidP="008562C5">
      <w:pPr>
        <w:rPr>
          <w:lang w:val="de-DE"/>
        </w:rPr>
      </w:pPr>
    </w:p>
    <w:p w14:paraId="454A114C" w14:textId="6D3583C4" w:rsidR="008562C5" w:rsidRPr="004676F5" w:rsidRDefault="008562C5" w:rsidP="008562C5">
      <w:pPr>
        <w:ind w:firstLine="708"/>
        <w:jc w:val="both"/>
        <w:rPr>
          <w:lang w:val="de-DE"/>
        </w:rPr>
      </w:pPr>
      <w:r w:rsidRPr="004676F5">
        <w:rPr>
          <w:lang w:val="de-DE"/>
        </w:rPr>
        <w:t>Erfährt die FSMA im Rahmen der Ausführung ihres Aufsichtsauftrags von einem solchen Sachverhalt oder Aspekt, ob in Anwendung von Absatz 8 oder nicht, kann sie gemäß den Artikeln VII.164 § 1 Absatz 2, VII.166 § 1 und XV.18/1 die Einhaltung der in Artikel VII.164 § 1 Absatz 2 erwähnten Anforderungen neu bewerten.]</w:t>
      </w:r>
    </w:p>
    <w:p w14:paraId="390CE5B2" w14:textId="3ED4C24B" w:rsidR="008562C5" w:rsidRPr="004676F5" w:rsidRDefault="008562C5" w:rsidP="008562C5">
      <w:pPr>
        <w:ind w:firstLine="708"/>
        <w:jc w:val="both"/>
        <w:rPr>
          <w:lang w:val="de-DE"/>
        </w:rPr>
      </w:pPr>
    </w:p>
    <w:p w14:paraId="032E8EEB" w14:textId="47769E67" w:rsidR="008562C5" w:rsidRPr="004676F5" w:rsidRDefault="008562C5" w:rsidP="008562C5">
      <w:pPr>
        <w:jc w:val="both"/>
        <w:rPr>
          <w:i/>
          <w:lang w:val="de-DE"/>
        </w:rPr>
      </w:pPr>
      <w:r w:rsidRPr="004676F5">
        <w:rPr>
          <w:i/>
          <w:lang w:val="de-DE"/>
        </w:rPr>
        <w:t xml:space="preserve">[Art. VII.169 </w:t>
      </w:r>
      <w:r w:rsidR="00CE1D07" w:rsidRPr="004676F5">
        <w:rPr>
          <w:i/>
          <w:lang w:val="de-DE"/>
        </w:rPr>
        <w:t>Abs. 1 abgeändert durch Art. 299</w:t>
      </w:r>
      <w:r w:rsidR="00CE1D07" w:rsidRPr="004676F5">
        <w:rPr>
          <w:i/>
          <w:iCs/>
          <w:lang w:val="de-DE"/>
        </w:rPr>
        <w:t xml:space="preserve"> des G. vom 27. Juni 2021 (B.S. vom 9. Juli 2021); Abs. 6 abgeändert durch Art. 299 des G. vom 27. Juni 2021 (B.S. vom 9. Juli 2021); </w:t>
      </w:r>
      <w:r w:rsidRPr="004676F5">
        <w:rPr>
          <w:i/>
          <w:lang w:val="de-DE"/>
        </w:rPr>
        <w:t>Abs. 8 und 9 eingefügt durch Art. 20 des G. vom 5. Dezember 2017 (B.S. vom 18. Dezember 2017)]</w:t>
      </w:r>
    </w:p>
    <w:p w14:paraId="4750EB22" w14:textId="77777777" w:rsidR="00881814" w:rsidRPr="004676F5" w:rsidRDefault="00881814" w:rsidP="00881814">
      <w:pPr>
        <w:ind w:firstLine="708"/>
        <w:jc w:val="both"/>
        <w:rPr>
          <w:lang w:val="de-DE"/>
        </w:rPr>
      </w:pPr>
    </w:p>
    <w:p w14:paraId="06595BFC" w14:textId="77777777" w:rsidR="007A7DCC" w:rsidRPr="004676F5" w:rsidRDefault="007A7DCC" w:rsidP="00881814">
      <w:pPr>
        <w:ind w:firstLine="708"/>
        <w:jc w:val="both"/>
        <w:rPr>
          <w:lang w:val="de-DE"/>
        </w:rPr>
      </w:pPr>
    </w:p>
    <w:p w14:paraId="2D2A83DA" w14:textId="0C4AF854" w:rsidR="00881814" w:rsidRPr="004676F5" w:rsidRDefault="00BE0A56" w:rsidP="00881814">
      <w:pPr>
        <w:ind w:firstLine="708"/>
        <w:jc w:val="both"/>
        <w:rPr>
          <w:lang w:val="de-DE"/>
        </w:rPr>
      </w:pPr>
      <w:r w:rsidRPr="004676F5">
        <w:rPr>
          <w:b/>
          <w:lang w:val="de-DE"/>
        </w:rPr>
        <w:t>Art. </w:t>
      </w:r>
      <w:r w:rsidR="00881814" w:rsidRPr="004676F5">
        <w:rPr>
          <w:b/>
          <w:lang w:val="de-DE"/>
        </w:rPr>
        <w:t>VII.170</w:t>
      </w:r>
      <w:r w:rsidR="00881814" w:rsidRPr="004676F5">
        <w:rPr>
          <w:lang w:val="de-DE"/>
        </w:rPr>
        <w:t> </w:t>
      </w:r>
      <w:r w:rsidR="005B7A5C" w:rsidRPr="004676F5">
        <w:rPr>
          <w:lang w:val="de-DE"/>
        </w:rPr>
        <w:t>- </w:t>
      </w:r>
      <w:r w:rsidR="00881814" w:rsidRPr="004676F5">
        <w:rPr>
          <w:lang w:val="de-DE"/>
        </w:rPr>
        <w:t>Für die Eröffnung seitens eines Kreditgebers von Zweigniederlassungen und Tochterunternehmen im Ausland, die die Tätigkeit eines Kreditgebers ausüben, ist die vorherige Erlaubnis der FSMA erforderlich.</w:t>
      </w:r>
    </w:p>
    <w:p w14:paraId="5311099A" w14:textId="77777777" w:rsidR="00881814" w:rsidRPr="004676F5" w:rsidRDefault="00881814" w:rsidP="00881814">
      <w:pPr>
        <w:ind w:firstLine="708"/>
        <w:jc w:val="both"/>
        <w:rPr>
          <w:lang w:val="de-DE"/>
        </w:rPr>
      </w:pPr>
    </w:p>
    <w:p w14:paraId="4FAA36C1" w14:textId="77777777" w:rsidR="00881814" w:rsidRPr="004676F5" w:rsidRDefault="00881814" w:rsidP="00881814">
      <w:pPr>
        <w:ind w:firstLine="708"/>
        <w:jc w:val="both"/>
        <w:rPr>
          <w:lang w:val="de-DE"/>
        </w:rPr>
      </w:pPr>
      <w:r w:rsidRPr="004676F5">
        <w:rPr>
          <w:lang w:val="de-DE"/>
        </w:rPr>
        <w:t>Die FSMA kann sich der Verwirklichung des Projekts nur widersetzen, wenn sie der Ansicht ist, dass das Projekt nachteilige Auswirkungen auf Organisation oder Kontrolle des Kreditgebers haben wird.</w:t>
      </w:r>
    </w:p>
    <w:p w14:paraId="500373D6" w14:textId="77777777" w:rsidR="00881814" w:rsidRPr="004676F5" w:rsidRDefault="00881814" w:rsidP="00881814">
      <w:pPr>
        <w:ind w:firstLine="708"/>
        <w:jc w:val="both"/>
        <w:rPr>
          <w:lang w:val="de-DE"/>
        </w:rPr>
      </w:pPr>
    </w:p>
    <w:p w14:paraId="2F7FBDE6" w14:textId="77777777" w:rsidR="008D748D" w:rsidRPr="004676F5" w:rsidRDefault="008D748D" w:rsidP="00881814">
      <w:pPr>
        <w:ind w:firstLine="708"/>
        <w:jc w:val="both"/>
        <w:rPr>
          <w:lang w:val="de-DE"/>
        </w:rPr>
      </w:pPr>
    </w:p>
    <w:p w14:paraId="52A4DC46" w14:textId="05927162" w:rsidR="00881814" w:rsidRPr="004676F5" w:rsidRDefault="00BE0A56" w:rsidP="00881814">
      <w:pPr>
        <w:ind w:firstLine="708"/>
        <w:jc w:val="both"/>
        <w:rPr>
          <w:lang w:val="de-DE"/>
        </w:rPr>
      </w:pPr>
      <w:r w:rsidRPr="004676F5">
        <w:rPr>
          <w:b/>
          <w:lang w:val="de-DE"/>
        </w:rPr>
        <w:t>Art. </w:t>
      </w:r>
      <w:r w:rsidR="00881814" w:rsidRPr="004676F5">
        <w:rPr>
          <w:b/>
          <w:lang w:val="de-DE"/>
        </w:rPr>
        <w:t>VII.171</w:t>
      </w:r>
      <w:r w:rsidR="00881814" w:rsidRPr="004676F5">
        <w:rPr>
          <w:lang w:val="de-DE"/>
        </w:rPr>
        <w:t> </w:t>
      </w:r>
      <w:r w:rsidR="005B7A5C" w:rsidRPr="004676F5">
        <w:rPr>
          <w:lang w:val="de-DE"/>
        </w:rPr>
        <w:t>- </w:t>
      </w:r>
      <w:r w:rsidR="00881814" w:rsidRPr="004676F5">
        <w:rPr>
          <w:lang w:val="de-DE"/>
        </w:rPr>
        <w:t xml:space="preserve">Kreditgeber sind verpflichtet, der FSMA zur Deckung </w:t>
      </w:r>
      <w:r w:rsidR="00BE3C07" w:rsidRPr="004676F5">
        <w:rPr>
          <w:lang w:val="de-DE"/>
        </w:rPr>
        <w:t>[der Funktionskosten]</w:t>
      </w:r>
      <w:r w:rsidR="00881814" w:rsidRPr="004676F5">
        <w:rPr>
          <w:lang w:val="de-DE"/>
        </w:rPr>
        <w:t xml:space="preserve"> eine Vergütung zu zahlen. Der König bestimmt in Anwendung von Artikel 56 des Gesetzes vom 2. August 2002 die Höhe dieser Vergütung, die Fälle, in denen sie geschuldet wird, und die Fristen für ihre Entrichtung.</w:t>
      </w:r>
    </w:p>
    <w:p w14:paraId="54A783B6" w14:textId="3974B90E" w:rsidR="00BE3C07" w:rsidRPr="004676F5" w:rsidRDefault="00BE3C07" w:rsidP="00881814">
      <w:pPr>
        <w:ind w:firstLine="708"/>
        <w:jc w:val="both"/>
        <w:rPr>
          <w:lang w:val="de-DE"/>
        </w:rPr>
      </w:pPr>
    </w:p>
    <w:p w14:paraId="4DEC230E" w14:textId="42842B49" w:rsidR="00BE3C07" w:rsidRPr="004676F5" w:rsidRDefault="00BE3C07" w:rsidP="00BE3C07">
      <w:pPr>
        <w:jc w:val="both"/>
        <w:rPr>
          <w:i/>
          <w:iCs/>
          <w:lang w:val="de-DE"/>
        </w:rPr>
      </w:pPr>
      <w:r w:rsidRPr="004676F5">
        <w:rPr>
          <w:i/>
          <w:iCs/>
          <w:lang w:val="de-DE"/>
        </w:rPr>
        <w:t>[Art. VII.171 abgeändert durch Art. 21</w:t>
      </w:r>
      <w:r w:rsidRPr="004676F5">
        <w:rPr>
          <w:i/>
          <w:lang w:val="de-DE"/>
        </w:rPr>
        <w:t xml:space="preserve"> des G. vom 30. Juli 2018 (II) (B.S. vom 5. September 2018)]</w:t>
      </w:r>
    </w:p>
    <w:p w14:paraId="19A33A5B" w14:textId="77777777" w:rsidR="00881814" w:rsidRPr="004676F5" w:rsidRDefault="00881814" w:rsidP="00881814">
      <w:pPr>
        <w:rPr>
          <w:lang w:val="de-DE"/>
        </w:rPr>
      </w:pPr>
    </w:p>
    <w:p w14:paraId="26026F21" w14:textId="77777777" w:rsidR="008D748D" w:rsidRPr="004676F5" w:rsidRDefault="008D748D" w:rsidP="00881814">
      <w:pPr>
        <w:rPr>
          <w:lang w:val="de-DE"/>
        </w:rPr>
      </w:pPr>
    </w:p>
    <w:p w14:paraId="466E1610" w14:textId="663D6837" w:rsidR="00881814" w:rsidRPr="004676F5" w:rsidRDefault="00BE0A56" w:rsidP="00881814">
      <w:pPr>
        <w:ind w:firstLine="708"/>
        <w:jc w:val="both"/>
        <w:rPr>
          <w:lang w:val="de-DE"/>
        </w:rPr>
      </w:pPr>
      <w:r w:rsidRPr="004676F5">
        <w:rPr>
          <w:b/>
          <w:lang w:val="de-DE"/>
        </w:rPr>
        <w:t>Art. </w:t>
      </w:r>
      <w:r w:rsidR="00881814" w:rsidRPr="004676F5">
        <w:rPr>
          <w:b/>
          <w:lang w:val="de-DE"/>
        </w:rPr>
        <w:t>VII.172</w:t>
      </w:r>
      <w:r w:rsidR="00881814" w:rsidRPr="004676F5">
        <w:rPr>
          <w:lang w:val="de-DE"/>
        </w:rPr>
        <w:t> </w:t>
      </w:r>
      <w:r w:rsidR="005B7A5C" w:rsidRPr="004676F5">
        <w:rPr>
          <w:lang w:val="de-DE"/>
        </w:rPr>
        <w:t>- </w:t>
      </w:r>
      <w:r w:rsidR="00881814" w:rsidRPr="004676F5">
        <w:rPr>
          <w:lang w:val="de-DE"/>
        </w:rPr>
        <w:t>Die FSMA veröffentlicht auf ihrer Website eine regelmäßig fortge</w:t>
      </w:r>
      <w:r w:rsidR="00881814" w:rsidRPr="004676F5">
        <w:rPr>
          <w:lang w:val="de-DE"/>
        </w:rPr>
        <w:softHyphen/>
        <w:t>schriebene Liste der Kreditgeber und eine Übersicht der in den letzten zwölf Monaten eingetretenen Änderungen. Diese Liste ist wie folgt unterteilt:</w:t>
      </w:r>
    </w:p>
    <w:p w14:paraId="08512BD3" w14:textId="77777777" w:rsidR="00881814" w:rsidRPr="004676F5" w:rsidRDefault="00881814" w:rsidP="00881814">
      <w:pPr>
        <w:ind w:firstLine="708"/>
        <w:jc w:val="both"/>
        <w:rPr>
          <w:lang w:val="de-DE"/>
        </w:rPr>
      </w:pPr>
    </w:p>
    <w:p w14:paraId="2D0AE01F" w14:textId="77777777" w:rsidR="00881814" w:rsidRPr="004676F5" w:rsidRDefault="00881814" w:rsidP="00881814">
      <w:pPr>
        <w:ind w:firstLine="708"/>
        <w:jc w:val="both"/>
        <w:rPr>
          <w:lang w:val="de-DE"/>
        </w:rPr>
      </w:pPr>
      <w:r w:rsidRPr="004676F5">
        <w:rPr>
          <w:lang w:val="de-DE"/>
        </w:rPr>
        <w:t>Liste der Hypothekarkreditgeber</w:t>
      </w:r>
    </w:p>
    <w:p w14:paraId="1544CE05" w14:textId="77777777" w:rsidR="00881814" w:rsidRPr="004676F5" w:rsidRDefault="00881814" w:rsidP="00881814">
      <w:pPr>
        <w:ind w:firstLine="708"/>
        <w:jc w:val="both"/>
        <w:rPr>
          <w:lang w:val="de-DE"/>
        </w:rPr>
      </w:pPr>
    </w:p>
    <w:p w14:paraId="0BA0579B" w14:textId="77777777" w:rsidR="00881814" w:rsidRPr="004676F5" w:rsidRDefault="00881814" w:rsidP="00881814">
      <w:pPr>
        <w:ind w:firstLine="708"/>
        <w:jc w:val="both"/>
        <w:rPr>
          <w:lang w:val="de-DE"/>
        </w:rPr>
      </w:pPr>
      <w:r w:rsidRPr="004676F5">
        <w:rPr>
          <w:lang w:val="de-DE"/>
        </w:rPr>
        <w:t>1. Zugelassene Hypothekarkreditgeber nach belgischem Recht:</w:t>
      </w:r>
    </w:p>
    <w:p w14:paraId="214D9B38" w14:textId="77777777" w:rsidR="00881814" w:rsidRPr="004676F5" w:rsidRDefault="00881814" w:rsidP="00881814">
      <w:pPr>
        <w:ind w:firstLine="708"/>
        <w:jc w:val="both"/>
        <w:rPr>
          <w:lang w:val="de-DE"/>
        </w:rPr>
      </w:pPr>
    </w:p>
    <w:p w14:paraId="394878E1" w14:textId="77777777" w:rsidR="00881814" w:rsidRPr="004676F5" w:rsidRDefault="00881814" w:rsidP="00881814">
      <w:pPr>
        <w:ind w:firstLine="708"/>
        <w:jc w:val="both"/>
        <w:rPr>
          <w:lang w:val="de-DE"/>
        </w:rPr>
      </w:pPr>
      <w:r w:rsidRPr="004676F5">
        <w:rPr>
          <w:lang w:val="de-DE"/>
        </w:rPr>
        <w:t>a. Kreditinstitute,</w:t>
      </w:r>
    </w:p>
    <w:p w14:paraId="2C5218CB" w14:textId="77777777" w:rsidR="00881814" w:rsidRPr="004676F5" w:rsidRDefault="00881814" w:rsidP="00881814">
      <w:pPr>
        <w:ind w:firstLine="708"/>
        <w:jc w:val="both"/>
        <w:rPr>
          <w:lang w:val="de-DE"/>
        </w:rPr>
      </w:pPr>
    </w:p>
    <w:p w14:paraId="648E0168" w14:textId="77777777" w:rsidR="00881814" w:rsidRPr="004676F5" w:rsidRDefault="00881814" w:rsidP="00881814">
      <w:pPr>
        <w:ind w:firstLine="708"/>
        <w:jc w:val="both"/>
        <w:rPr>
          <w:lang w:val="de-DE"/>
        </w:rPr>
      </w:pPr>
      <w:r w:rsidRPr="004676F5">
        <w:rPr>
          <w:lang w:val="de-DE"/>
        </w:rPr>
        <w:t>b. Versicherungsunternehmen,</w:t>
      </w:r>
    </w:p>
    <w:p w14:paraId="36D8CE92" w14:textId="77777777" w:rsidR="00881814" w:rsidRPr="004676F5" w:rsidRDefault="00881814" w:rsidP="00881814">
      <w:pPr>
        <w:ind w:firstLine="708"/>
        <w:jc w:val="both"/>
        <w:rPr>
          <w:lang w:val="de-DE"/>
        </w:rPr>
      </w:pPr>
    </w:p>
    <w:p w14:paraId="36797E12" w14:textId="77777777" w:rsidR="00881814" w:rsidRPr="004676F5" w:rsidRDefault="00881814" w:rsidP="00881814">
      <w:pPr>
        <w:ind w:firstLine="708"/>
        <w:jc w:val="both"/>
        <w:rPr>
          <w:lang w:val="de-DE"/>
        </w:rPr>
      </w:pPr>
      <w:r w:rsidRPr="004676F5">
        <w:rPr>
          <w:lang w:val="de-DE"/>
        </w:rPr>
        <w:t>c. E-Geld-Institute,</w:t>
      </w:r>
    </w:p>
    <w:p w14:paraId="6DE659DE" w14:textId="77777777" w:rsidR="00881814" w:rsidRPr="004676F5" w:rsidRDefault="00881814" w:rsidP="00881814">
      <w:pPr>
        <w:ind w:firstLine="708"/>
        <w:jc w:val="both"/>
        <w:rPr>
          <w:lang w:val="de-DE"/>
        </w:rPr>
      </w:pPr>
    </w:p>
    <w:p w14:paraId="391297FA" w14:textId="77777777" w:rsidR="00881814" w:rsidRPr="004676F5" w:rsidRDefault="00881814" w:rsidP="00881814">
      <w:pPr>
        <w:ind w:firstLine="708"/>
        <w:jc w:val="both"/>
        <w:rPr>
          <w:lang w:val="de-DE"/>
        </w:rPr>
      </w:pPr>
      <w:r w:rsidRPr="004676F5">
        <w:rPr>
          <w:lang w:val="de-DE"/>
        </w:rPr>
        <w:lastRenderedPageBreak/>
        <w:t>d. Zahlungsinstitute,</w:t>
      </w:r>
    </w:p>
    <w:p w14:paraId="195D3541" w14:textId="77777777" w:rsidR="00881814" w:rsidRPr="004676F5" w:rsidRDefault="00881814" w:rsidP="00881814">
      <w:pPr>
        <w:ind w:firstLine="708"/>
        <w:jc w:val="both"/>
        <w:rPr>
          <w:lang w:val="de-DE"/>
        </w:rPr>
      </w:pPr>
    </w:p>
    <w:p w14:paraId="27D0B384" w14:textId="77777777" w:rsidR="00881814" w:rsidRPr="004676F5" w:rsidRDefault="00881814" w:rsidP="00881814">
      <w:pPr>
        <w:ind w:firstLine="708"/>
        <w:jc w:val="both"/>
        <w:rPr>
          <w:lang w:val="de-DE"/>
        </w:rPr>
      </w:pPr>
      <w:r w:rsidRPr="004676F5">
        <w:rPr>
          <w:lang w:val="de-DE"/>
        </w:rPr>
        <w:t>e. "Soziale" Kreditgeber (Artikel VII.3 § 4 Nr. 2),</w:t>
      </w:r>
    </w:p>
    <w:p w14:paraId="0C838B93" w14:textId="77777777" w:rsidR="00881814" w:rsidRPr="004676F5" w:rsidRDefault="00881814" w:rsidP="00881814">
      <w:pPr>
        <w:ind w:firstLine="708"/>
        <w:jc w:val="both"/>
        <w:rPr>
          <w:lang w:val="de-DE"/>
        </w:rPr>
      </w:pPr>
    </w:p>
    <w:p w14:paraId="2D8E37DB" w14:textId="77777777" w:rsidR="00881814" w:rsidRPr="004676F5" w:rsidRDefault="00881814" w:rsidP="00881814">
      <w:pPr>
        <w:ind w:firstLine="708"/>
        <w:jc w:val="both"/>
        <w:rPr>
          <w:lang w:val="de-DE"/>
        </w:rPr>
      </w:pPr>
      <w:r w:rsidRPr="004676F5">
        <w:rPr>
          <w:lang w:val="de-DE"/>
        </w:rPr>
        <w:t>f. </w:t>
      </w:r>
      <w:r w:rsidR="00B907A3" w:rsidRPr="004676F5">
        <w:rPr>
          <w:lang w:val="de-DE"/>
        </w:rPr>
        <w:t>[Kreditgeber, die keine Kredite mehr gewähren, sondern sich darauf beschränken, bestehende Kredite zu verwalten und abzuwickeln (Artikel VII.159 § 2/1),]</w:t>
      </w:r>
    </w:p>
    <w:p w14:paraId="4401A1E7" w14:textId="77777777" w:rsidR="00B907A3" w:rsidRPr="004676F5" w:rsidRDefault="00B907A3" w:rsidP="00881814">
      <w:pPr>
        <w:ind w:firstLine="708"/>
        <w:jc w:val="both"/>
        <w:rPr>
          <w:lang w:val="de-DE"/>
        </w:rPr>
      </w:pPr>
    </w:p>
    <w:p w14:paraId="0DACF07D" w14:textId="77777777" w:rsidR="00B907A3" w:rsidRPr="004676F5" w:rsidRDefault="00B907A3" w:rsidP="00B907A3">
      <w:pPr>
        <w:ind w:firstLine="708"/>
        <w:jc w:val="both"/>
        <w:rPr>
          <w:rFonts w:eastAsiaTheme="minorHAnsi"/>
          <w:lang w:val="de-DE"/>
        </w:rPr>
      </w:pPr>
      <w:r w:rsidRPr="004676F5">
        <w:rPr>
          <w:lang w:val="de-DE"/>
        </w:rPr>
        <w:t>[g. Zessionare von Forderungen aus einem Immobiliarhypothekarkredit (Arti</w:t>
      </w:r>
      <w:r w:rsidRPr="004676F5">
        <w:rPr>
          <w:lang w:val="de-DE"/>
        </w:rPr>
        <w:softHyphen/>
        <w:t>kel VII.159 § 3 Absatz 2),</w:t>
      </w:r>
    </w:p>
    <w:p w14:paraId="3E92AF85" w14:textId="77777777" w:rsidR="00B907A3" w:rsidRPr="004676F5" w:rsidRDefault="00B907A3" w:rsidP="00B907A3">
      <w:pPr>
        <w:jc w:val="both"/>
        <w:rPr>
          <w:rFonts w:eastAsiaTheme="minorHAnsi"/>
          <w:lang w:val="de-DE" w:eastAsia="en-US"/>
        </w:rPr>
      </w:pPr>
    </w:p>
    <w:p w14:paraId="1C645F6E" w14:textId="77777777" w:rsidR="00B907A3" w:rsidRPr="004676F5" w:rsidRDefault="00B907A3" w:rsidP="00B907A3">
      <w:pPr>
        <w:ind w:firstLine="708"/>
        <w:jc w:val="both"/>
        <w:rPr>
          <w:lang w:val="de-DE"/>
        </w:rPr>
      </w:pPr>
      <w:r w:rsidRPr="004676F5">
        <w:rPr>
          <w:lang w:val="de-DE"/>
        </w:rPr>
        <w:t>h. Andere Kreditgeber.]</w:t>
      </w:r>
    </w:p>
    <w:p w14:paraId="51ADB7D5" w14:textId="77777777" w:rsidR="00881814" w:rsidRPr="004676F5" w:rsidRDefault="00881814" w:rsidP="00881814">
      <w:pPr>
        <w:ind w:firstLine="708"/>
        <w:jc w:val="both"/>
        <w:rPr>
          <w:lang w:val="de-DE"/>
        </w:rPr>
      </w:pPr>
    </w:p>
    <w:p w14:paraId="10723B0D" w14:textId="77777777" w:rsidR="00881814" w:rsidRPr="004676F5" w:rsidRDefault="00881814" w:rsidP="00881814">
      <w:pPr>
        <w:ind w:firstLine="708"/>
        <w:jc w:val="both"/>
        <w:rPr>
          <w:lang w:val="de-DE"/>
        </w:rPr>
      </w:pPr>
      <w:r w:rsidRPr="004676F5">
        <w:rPr>
          <w:lang w:val="de-DE"/>
        </w:rPr>
        <w:t>2. Zugelassene Hypothekarkreditgeber nach ausländischem Recht:</w:t>
      </w:r>
    </w:p>
    <w:p w14:paraId="09501EF1" w14:textId="77777777" w:rsidR="00881814" w:rsidRPr="004676F5" w:rsidRDefault="00881814" w:rsidP="00881814">
      <w:pPr>
        <w:ind w:firstLine="708"/>
        <w:jc w:val="both"/>
        <w:rPr>
          <w:lang w:val="de-DE"/>
        </w:rPr>
      </w:pPr>
    </w:p>
    <w:p w14:paraId="61BFC663" w14:textId="77777777" w:rsidR="00881814" w:rsidRPr="004676F5" w:rsidRDefault="00881814" w:rsidP="00881814">
      <w:pPr>
        <w:ind w:firstLine="708"/>
        <w:jc w:val="both"/>
        <w:rPr>
          <w:lang w:val="de-DE"/>
        </w:rPr>
      </w:pPr>
      <w:r w:rsidRPr="004676F5">
        <w:rPr>
          <w:lang w:val="de-DE"/>
        </w:rPr>
        <w:t>a. Kreditinstitute, die dem Recht eines Staates unterliegen, der dem Europäischen Wirtschaftsraum nicht angehört,</w:t>
      </w:r>
    </w:p>
    <w:p w14:paraId="152A9EB5" w14:textId="77777777" w:rsidR="00881814" w:rsidRPr="004676F5" w:rsidRDefault="00881814" w:rsidP="00881814">
      <w:pPr>
        <w:ind w:firstLine="708"/>
        <w:jc w:val="both"/>
        <w:rPr>
          <w:lang w:val="de-DE"/>
        </w:rPr>
      </w:pPr>
    </w:p>
    <w:p w14:paraId="1F1737F5" w14:textId="77777777" w:rsidR="00881814" w:rsidRPr="004676F5" w:rsidRDefault="00881814" w:rsidP="00881814">
      <w:pPr>
        <w:ind w:firstLine="708"/>
        <w:jc w:val="both"/>
        <w:rPr>
          <w:lang w:val="de-DE"/>
        </w:rPr>
      </w:pPr>
      <w:r w:rsidRPr="004676F5">
        <w:rPr>
          <w:lang w:val="de-DE"/>
        </w:rPr>
        <w:t>b. Versicherungsunternehmen,</w:t>
      </w:r>
    </w:p>
    <w:p w14:paraId="58CA804E" w14:textId="77777777" w:rsidR="00881814" w:rsidRPr="004676F5" w:rsidRDefault="00881814" w:rsidP="00881814">
      <w:pPr>
        <w:ind w:firstLine="708"/>
        <w:jc w:val="both"/>
        <w:rPr>
          <w:lang w:val="de-DE"/>
        </w:rPr>
      </w:pPr>
    </w:p>
    <w:p w14:paraId="6BA9030E" w14:textId="77777777" w:rsidR="00881814" w:rsidRPr="004676F5" w:rsidRDefault="00881814" w:rsidP="00881814">
      <w:pPr>
        <w:ind w:firstLine="708"/>
        <w:jc w:val="both"/>
        <w:rPr>
          <w:lang w:val="de-DE"/>
        </w:rPr>
      </w:pPr>
      <w:r w:rsidRPr="004676F5">
        <w:rPr>
          <w:lang w:val="de-DE"/>
        </w:rPr>
        <w:t>c. E-Geld-Institute, die dem Recht eines anderen Staates des Europäischen Wirt</w:t>
      </w:r>
      <w:r w:rsidRPr="004676F5">
        <w:rPr>
          <w:lang w:val="de-DE"/>
        </w:rPr>
        <w:softHyphen/>
        <w:t>schafts</w:t>
      </w:r>
      <w:r w:rsidRPr="004676F5">
        <w:rPr>
          <w:lang w:val="de-DE"/>
        </w:rPr>
        <w:softHyphen/>
        <w:t>raums unterliegen,</w:t>
      </w:r>
    </w:p>
    <w:p w14:paraId="4DE71E4E" w14:textId="77777777" w:rsidR="00881814" w:rsidRPr="004676F5" w:rsidRDefault="00881814" w:rsidP="00881814">
      <w:pPr>
        <w:ind w:firstLine="708"/>
        <w:jc w:val="both"/>
        <w:rPr>
          <w:lang w:val="de-DE"/>
        </w:rPr>
      </w:pPr>
    </w:p>
    <w:p w14:paraId="368277AB" w14:textId="77777777" w:rsidR="00881814" w:rsidRPr="004676F5" w:rsidRDefault="00881814" w:rsidP="00881814">
      <w:pPr>
        <w:ind w:firstLine="708"/>
        <w:jc w:val="both"/>
        <w:rPr>
          <w:lang w:val="de-DE"/>
        </w:rPr>
      </w:pPr>
      <w:r w:rsidRPr="004676F5">
        <w:rPr>
          <w:lang w:val="de-DE"/>
        </w:rPr>
        <w:t>d. Zahlungsinstitute, die dem Recht eines anderen Staates des Europäischen Wirt</w:t>
      </w:r>
      <w:r w:rsidRPr="004676F5">
        <w:rPr>
          <w:lang w:val="de-DE"/>
        </w:rPr>
        <w:softHyphen/>
        <w:t>schaftsraums unterliegen,</w:t>
      </w:r>
    </w:p>
    <w:p w14:paraId="4635B316" w14:textId="77777777" w:rsidR="00881814" w:rsidRPr="004676F5" w:rsidRDefault="00881814" w:rsidP="00881814">
      <w:pPr>
        <w:ind w:firstLine="708"/>
        <w:jc w:val="both"/>
        <w:rPr>
          <w:lang w:val="de-DE"/>
        </w:rPr>
      </w:pPr>
    </w:p>
    <w:p w14:paraId="15243646" w14:textId="77777777" w:rsidR="00881814" w:rsidRPr="004676F5" w:rsidRDefault="00881814" w:rsidP="00881814">
      <w:pPr>
        <w:ind w:firstLine="708"/>
        <w:jc w:val="both"/>
        <w:rPr>
          <w:lang w:val="de-DE"/>
        </w:rPr>
      </w:pPr>
      <w:r w:rsidRPr="004676F5">
        <w:rPr>
          <w:lang w:val="de-DE"/>
        </w:rPr>
        <w:t>e. E-Geld-Institute, die dem Recht eines Staates unterliegen, der dem Europäischen Wirtschaftsraum nicht angehört, und als solche in Belgien zugelassen sind,</w:t>
      </w:r>
    </w:p>
    <w:p w14:paraId="2942E8C2" w14:textId="77777777" w:rsidR="00881814" w:rsidRPr="004676F5" w:rsidRDefault="00881814" w:rsidP="00881814">
      <w:pPr>
        <w:ind w:firstLine="708"/>
        <w:jc w:val="both"/>
        <w:rPr>
          <w:lang w:val="de-DE"/>
        </w:rPr>
      </w:pPr>
    </w:p>
    <w:p w14:paraId="06E81F57" w14:textId="77777777" w:rsidR="00881814" w:rsidRPr="004676F5" w:rsidRDefault="00881814" w:rsidP="00881814">
      <w:pPr>
        <w:ind w:firstLine="708"/>
        <w:jc w:val="both"/>
        <w:rPr>
          <w:lang w:val="de-DE"/>
        </w:rPr>
      </w:pPr>
      <w:r w:rsidRPr="004676F5">
        <w:rPr>
          <w:lang w:val="de-DE"/>
        </w:rPr>
        <w:t>f. </w:t>
      </w:r>
      <w:r w:rsidR="00B907A3" w:rsidRPr="004676F5">
        <w:rPr>
          <w:lang w:val="de-DE"/>
        </w:rPr>
        <w:t>[Kreditgeber, die keine Kredite mehr gewähren, sondern sich darauf beschränken, bestehende Kredite zu verwalten und abzuwickeln (Artikel VII.159 § 2/1),]</w:t>
      </w:r>
      <w:r w:rsidRPr="004676F5">
        <w:rPr>
          <w:lang w:val="de-DE"/>
        </w:rPr>
        <w:t xml:space="preserve"> </w:t>
      </w:r>
    </w:p>
    <w:p w14:paraId="1206FD50" w14:textId="77777777" w:rsidR="00B907A3" w:rsidRPr="004676F5" w:rsidRDefault="00B907A3" w:rsidP="00881814">
      <w:pPr>
        <w:ind w:firstLine="708"/>
        <w:jc w:val="both"/>
        <w:rPr>
          <w:lang w:val="de-DE"/>
        </w:rPr>
      </w:pPr>
    </w:p>
    <w:p w14:paraId="31309C16" w14:textId="77777777" w:rsidR="00B907A3" w:rsidRPr="004676F5" w:rsidRDefault="00B907A3" w:rsidP="00B907A3">
      <w:pPr>
        <w:ind w:firstLine="708"/>
        <w:jc w:val="both"/>
        <w:rPr>
          <w:rFonts w:eastAsiaTheme="minorHAnsi"/>
          <w:lang w:val="de-DE"/>
        </w:rPr>
      </w:pPr>
      <w:r w:rsidRPr="004676F5">
        <w:rPr>
          <w:lang w:val="de-DE"/>
        </w:rPr>
        <w:t>[g. Zessionare von Forderungen aus einem Immobiliarhypothekarkredit (Arti</w:t>
      </w:r>
      <w:r w:rsidRPr="004676F5">
        <w:rPr>
          <w:lang w:val="de-DE"/>
        </w:rPr>
        <w:softHyphen/>
        <w:t>kel VII.159 § 3 Absatz 2),</w:t>
      </w:r>
    </w:p>
    <w:p w14:paraId="30E0D069" w14:textId="77777777" w:rsidR="00B907A3" w:rsidRPr="004676F5" w:rsidRDefault="00B907A3" w:rsidP="00B907A3">
      <w:pPr>
        <w:jc w:val="both"/>
        <w:rPr>
          <w:rFonts w:eastAsiaTheme="minorHAnsi"/>
          <w:lang w:val="de-DE" w:eastAsia="en-US"/>
        </w:rPr>
      </w:pPr>
    </w:p>
    <w:p w14:paraId="3BA80C82" w14:textId="77777777" w:rsidR="00B907A3" w:rsidRPr="004676F5" w:rsidRDefault="00B907A3" w:rsidP="00B907A3">
      <w:pPr>
        <w:ind w:firstLine="708"/>
        <w:jc w:val="both"/>
        <w:rPr>
          <w:lang w:val="de-DE"/>
        </w:rPr>
      </w:pPr>
      <w:r w:rsidRPr="004676F5">
        <w:rPr>
          <w:lang w:val="de-DE"/>
        </w:rPr>
        <w:t>h. Andere Hypothekarkreditgeber nach ausländischem Recht.]</w:t>
      </w:r>
    </w:p>
    <w:p w14:paraId="1E64C8E9" w14:textId="02494EF2" w:rsidR="00B907A3" w:rsidRPr="004676F5" w:rsidRDefault="00B907A3">
      <w:pPr>
        <w:rPr>
          <w:lang w:val="de-DE"/>
        </w:rPr>
      </w:pPr>
    </w:p>
    <w:p w14:paraId="1B7C5496" w14:textId="77777777" w:rsidR="00881814" w:rsidRPr="004676F5" w:rsidRDefault="00881814" w:rsidP="00881814">
      <w:pPr>
        <w:ind w:firstLine="708"/>
        <w:jc w:val="both"/>
        <w:rPr>
          <w:lang w:val="de-DE"/>
        </w:rPr>
      </w:pPr>
      <w:r w:rsidRPr="004676F5">
        <w:rPr>
          <w:lang w:val="de-DE"/>
        </w:rPr>
        <w:t>3. Registrierte Hypothekarkreditgeber nach ausländischem Recht:</w:t>
      </w:r>
    </w:p>
    <w:p w14:paraId="0BC5ABFA" w14:textId="77777777" w:rsidR="00881814" w:rsidRPr="004676F5" w:rsidRDefault="00881814" w:rsidP="00881814">
      <w:pPr>
        <w:ind w:firstLine="708"/>
        <w:jc w:val="both"/>
        <w:rPr>
          <w:lang w:val="de-DE"/>
        </w:rPr>
      </w:pPr>
    </w:p>
    <w:p w14:paraId="3963531D" w14:textId="77777777" w:rsidR="00881814" w:rsidRPr="004676F5" w:rsidRDefault="00881814" w:rsidP="00881814">
      <w:pPr>
        <w:ind w:firstLine="708"/>
        <w:jc w:val="both"/>
        <w:rPr>
          <w:lang w:val="de-DE"/>
        </w:rPr>
      </w:pPr>
      <w:r w:rsidRPr="004676F5">
        <w:rPr>
          <w:lang w:val="de-DE"/>
        </w:rPr>
        <w:t>a. Kreditinstitute, die dem Recht eines anderen Staates des Europäischen Wirtschaftsraums unterliegen,</w:t>
      </w:r>
    </w:p>
    <w:p w14:paraId="32784957" w14:textId="77777777" w:rsidR="00881814" w:rsidRPr="004676F5" w:rsidRDefault="00881814" w:rsidP="00881814">
      <w:pPr>
        <w:ind w:firstLine="708"/>
        <w:jc w:val="both"/>
        <w:rPr>
          <w:lang w:val="de-DE"/>
        </w:rPr>
      </w:pPr>
    </w:p>
    <w:p w14:paraId="4BA26539" w14:textId="77777777" w:rsidR="00881814" w:rsidRPr="004676F5" w:rsidRDefault="00881814" w:rsidP="00881814">
      <w:pPr>
        <w:ind w:firstLine="708"/>
        <w:jc w:val="both"/>
        <w:rPr>
          <w:lang w:val="de-DE"/>
        </w:rPr>
      </w:pPr>
      <w:r w:rsidRPr="004676F5">
        <w:rPr>
          <w:lang w:val="de-DE"/>
        </w:rPr>
        <w:t>b. Finanzinstitute, die dem Recht eines anderen Staates des Europäischen Wirtschaftsraums unterliegen und Tochterunternehmen von Kreditinstituten sind, die dem Recht eines anderen Staates des Europäischen Wirtschaftsraums unterliegen (</w:t>
      </w:r>
      <w:r w:rsidR="002D42EE" w:rsidRPr="004676F5">
        <w:rPr>
          <w:lang w:val="de-DE"/>
        </w:rPr>
        <w:t>[Artikel 332 des Gesetzes vom 25. April 2014]</w:t>
      </w:r>
      <w:r w:rsidRPr="004676F5">
        <w:rPr>
          <w:lang w:val="de-DE"/>
        </w:rPr>
        <w:t>).</w:t>
      </w:r>
    </w:p>
    <w:p w14:paraId="301214A6" w14:textId="77777777" w:rsidR="00881814" w:rsidRPr="004676F5" w:rsidRDefault="00881814" w:rsidP="00881814">
      <w:pPr>
        <w:rPr>
          <w:lang w:val="de-DE"/>
        </w:rPr>
      </w:pPr>
    </w:p>
    <w:p w14:paraId="40AEEF15" w14:textId="77777777" w:rsidR="002D42EE" w:rsidRPr="004676F5" w:rsidRDefault="002D42EE" w:rsidP="002D42EE">
      <w:pPr>
        <w:ind w:firstLine="708"/>
        <w:jc w:val="both"/>
        <w:rPr>
          <w:lang w:val="de-DE"/>
        </w:rPr>
      </w:pPr>
      <w:r w:rsidRPr="004676F5">
        <w:rPr>
          <w:lang w:val="de-DE"/>
        </w:rPr>
        <w:t>[Liste der Verbraucherkreditgeber</w:t>
      </w:r>
    </w:p>
    <w:p w14:paraId="1216DD1C" w14:textId="77777777" w:rsidR="002D42EE" w:rsidRPr="004676F5" w:rsidRDefault="002D42EE" w:rsidP="002D42EE">
      <w:pPr>
        <w:ind w:firstLine="708"/>
        <w:jc w:val="both"/>
        <w:rPr>
          <w:lang w:val="de-DE"/>
        </w:rPr>
      </w:pPr>
    </w:p>
    <w:p w14:paraId="122D44E8" w14:textId="77777777" w:rsidR="002D42EE" w:rsidRPr="004676F5" w:rsidRDefault="002D42EE" w:rsidP="002D42EE">
      <w:pPr>
        <w:ind w:firstLine="708"/>
        <w:jc w:val="both"/>
        <w:rPr>
          <w:lang w:val="de-DE"/>
        </w:rPr>
      </w:pPr>
      <w:r w:rsidRPr="004676F5">
        <w:rPr>
          <w:lang w:val="de-DE"/>
        </w:rPr>
        <w:t>1. Zugelassene Verbraucherkreditgeber nach belgischem Recht:</w:t>
      </w:r>
    </w:p>
    <w:p w14:paraId="6DB92190" w14:textId="77777777" w:rsidR="002D42EE" w:rsidRPr="004676F5" w:rsidRDefault="002D42EE" w:rsidP="002D42EE">
      <w:pPr>
        <w:ind w:firstLine="708"/>
        <w:jc w:val="both"/>
        <w:rPr>
          <w:lang w:val="de-DE"/>
        </w:rPr>
      </w:pPr>
    </w:p>
    <w:p w14:paraId="724994BC" w14:textId="77777777" w:rsidR="002D42EE" w:rsidRPr="004676F5" w:rsidRDefault="002D42EE" w:rsidP="002D42EE">
      <w:pPr>
        <w:ind w:firstLine="708"/>
        <w:jc w:val="both"/>
        <w:rPr>
          <w:lang w:val="de-DE"/>
        </w:rPr>
      </w:pPr>
      <w:r w:rsidRPr="004676F5">
        <w:rPr>
          <w:lang w:val="de-DE"/>
        </w:rPr>
        <w:t>a. Kreditinstitute,</w:t>
      </w:r>
    </w:p>
    <w:p w14:paraId="0BDBE138" w14:textId="77777777" w:rsidR="002D42EE" w:rsidRPr="004676F5" w:rsidRDefault="002D42EE" w:rsidP="002D42EE">
      <w:pPr>
        <w:ind w:firstLine="708"/>
        <w:jc w:val="both"/>
        <w:rPr>
          <w:lang w:val="de-DE"/>
        </w:rPr>
      </w:pPr>
    </w:p>
    <w:p w14:paraId="0D5BCAA2" w14:textId="77777777" w:rsidR="002D42EE" w:rsidRPr="004676F5" w:rsidRDefault="002D42EE" w:rsidP="002D42EE">
      <w:pPr>
        <w:ind w:firstLine="708"/>
        <w:jc w:val="both"/>
        <w:rPr>
          <w:lang w:val="de-DE"/>
        </w:rPr>
      </w:pPr>
      <w:r w:rsidRPr="004676F5">
        <w:rPr>
          <w:lang w:val="de-DE"/>
        </w:rPr>
        <w:lastRenderedPageBreak/>
        <w:t>b. Investmentgesellschaften,</w:t>
      </w:r>
    </w:p>
    <w:p w14:paraId="15795F8D" w14:textId="77777777" w:rsidR="002D42EE" w:rsidRPr="004676F5" w:rsidRDefault="002D42EE" w:rsidP="002D42EE">
      <w:pPr>
        <w:ind w:firstLine="708"/>
        <w:jc w:val="both"/>
        <w:rPr>
          <w:lang w:val="de-DE"/>
        </w:rPr>
      </w:pPr>
    </w:p>
    <w:p w14:paraId="6C536EA0" w14:textId="77777777" w:rsidR="002D42EE" w:rsidRPr="004676F5" w:rsidRDefault="002D42EE" w:rsidP="002D42EE">
      <w:pPr>
        <w:ind w:firstLine="708"/>
        <w:jc w:val="both"/>
        <w:rPr>
          <w:lang w:val="de-DE"/>
        </w:rPr>
      </w:pPr>
      <w:r w:rsidRPr="004676F5">
        <w:rPr>
          <w:lang w:val="de-DE"/>
        </w:rPr>
        <w:t>c. E-Geld-Institute,</w:t>
      </w:r>
    </w:p>
    <w:p w14:paraId="57C7D820" w14:textId="77777777" w:rsidR="002D42EE" w:rsidRPr="004676F5" w:rsidRDefault="002D42EE" w:rsidP="002D42EE">
      <w:pPr>
        <w:ind w:firstLine="708"/>
        <w:jc w:val="both"/>
        <w:rPr>
          <w:lang w:val="de-DE"/>
        </w:rPr>
      </w:pPr>
    </w:p>
    <w:p w14:paraId="28BB21F6" w14:textId="77777777" w:rsidR="002D42EE" w:rsidRPr="004676F5" w:rsidRDefault="002D42EE" w:rsidP="002D42EE">
      <w:pPr>
        <w:ind w:firstLine="708"/>
        <w:jc w:val="both"/>
        <w:rPr>
          <w:lang w:val="de-DE"/>
        </w:rPr>
      </w:pPr>
      <w:r w:rsidRPr="004676F5">
        <w:rPr>
          <w:lang w:val="de-DE"/>
        </w:rPr>
        <w:t>d. Zahlungsinstitute,</w:t>
      </w:r>
    </w:p>
    <w:p w14:paraId="2E12A825" w14:textId="77777777" w:rsidR="002D42EE" w:rsidRPr="004676F5" w:rsidRDefault="002D42EE" w:rsidP="002D42EE">
      <w:pPr>
        <w:ind w:firstLine="708"/>
        <w:jc w:val="both"/>
        <w:rPr>
          <w:lang w:val="de-DE"/>
        </w:rPr>
      </w:pPr>
    </w:p>
    <w:p w14:paraId="1CC95BC0" w14:textId="77777777" w:rsidR="002D42EE" w:rsidRPr="004676F5" w:rsidRDefault="002D42EE" w:rsidP="002D42EE">
      <w:pPr>
        <w:ind w:firstLine="708"/>
        <w:jc w:val="both"/>
        <w:rPr>
          <w:lang w:val="de-DE"/>
        </w:rPr>
      </w:pPr>
      <w:r w:rsidRPr="004676F5">
        <w:rPr>
          <w:lang w:val="de-DE"/>
        </w:rPr>
        <w:t xml:space="preserve">e. "Soziale" Kreditgeber (Artikel VII.3 § 4 Nr. 2), </w:t>
      </w:r>
    </w:p>
    <w:p w14:paraId="73D19316" w14:textId="77777777" w:rsidR="002D42EE" w:rsidRPr="004676F5" w:rsidRDefault="002D42EE" w:rsidP="002D42EE">
      <w:pPr>
        <w:ind w:firstLine="708"/>
        <w:jc w:val="both"/>
        <w:rPr>
          <w:lang w:val="de-DE"/>
        </w:rPr>
      </w:pPr>
    </w:p>
    <w:p w14:paraId="4A04B7FD" w14:textId="77777777" w:rsidR="002D42EE" w:rsidRPr="004676F5" w:rsidRDefault="002D42EE" w:rsidP="002D42EE">
      <w:pPr>
        <w:ind w:firstLine="708"/>
        <w:jc w:val="both"/>
        <w:rPr>
          <w:lang w:val="de-DE"/>
        </w:rPr>
      </w:pPr>
      <w:r w:rsidRPr="004676F5">
        <w:rPr>
          <w:lang w:val="de-DE"/>
        </w:rPr>
        <w:t>f. </w:t>
      </w:r>
      <w:r w:rsidR="00B907A3" w:rsidRPr="004676F5">
        <w:rPr>
          <w:lang w:val="de-DE"/>
        </w:rPr>
        <w:t>[Kreditgeber, die keine Kredite mehr gewähren, sondern sich darauf beschränken, bestehende Kredite zu verwalten und abzuwickeln (Artikel VII.159 § 2/1),]</w:t>
      </w:r>
    </w:p>
    <w:p w14:paraId="32134EA3" w14:textId="77777777" w:rsidR="002D42EE" w:rsidRPr="004676F5" w:rsidRDefault="002D42EE" w:rsidP="002D42EE">
      <w:pPr>
        <w:ind w:firstLine="708"/>
        <w:jc w:val="both"/>
        <w:rPr>
          <w:lang w:val="de-DE"/>
        </w:rPr>
      </w:pPr>
    </w:p>
    <w:p w14:paraId="29BC8202" w14:textId="77777777" w:rsidR="00B907A3" w:rsidRPr="004676F5" w:rsidRDefault="00B907A3" w:rsidP="002D42EE">
      <w:pPr>
        <w:ind w:firstLine="708"/>
        <w:jc w:val="both"/>
        <w:rPr>
          <w:lang w:val="de-DE"/>
        </w:rPr>
      </w:pPr>
      <w:r w:rsidRPr="004676F5">
        <w:rPr>
          <w:lang w:val="de-DE"/>
        </w:rPr>
        <w:t>[g. Andere Kreditgeber.]</w:t>
      </w:r>
    </w:p>
    <w:p w14:paraId="3FD44272" w14:textId="77777777" w:rsidR="00B907A3" w:rsidRPr="004676F5" w:rsidRDefault="00B907A3" w:rsidP="002D42EE">
      <w:pPr>
        <w:ind w:firstLine="708"/>
        <w:jc w:val="both"/>
        <w:rPr>
          <w:lang w:val="de-DE"/>
        </w:rPr>
      </w:pPr>
    </w:p>
    <w:p w14:paraId="4D05E056" w14:textId="77777777" w:rsidR="002D42EE" w:rsidRPr="004676F5" w:rsidRDefault="002D42EE" w:rsidP="002D42EE">
      <w:pPr>
        <w:ind w:firstLine="708"/>
        <w:jc w:val="both"/>
        <w:rPr>
          <w:lang w:val="de-DE"/>
        </w:rPr>
      </w:pPr>
      <w:r w:rsidRPr="004676F5">
        <w:rPr>
          <w:lang w:val="de-DE"/>
        </w:rPr>
        <w:t>2. Zugelassene Verbraucherkreditgeber nach ausländischem Recht (Artikel VII.176):</w:t>
      </w:r>
    </w:p>
    <w:p w14:paraId="757C23AC" w14:textId="77777777" w:rsidR="002D42EE" w:rsidRPr="004676F5" w:rsidRDefault="002D42EE" w:rsidP="002D42EE">
      <w:pPr>
        <w:ind w:firstLine="708"/>
        <w:jc w:val="both"/>
        <w:rPr>
          <w:lang w:val="de-DE"/>
        </w:rPr>
      </w:pPr>
    </w:p>
    <w:p w14:paraId="367174EC" w14:textId="77777777" w:rsidR="002D42EE" w:rsidRPr="004676F5" w:rsidRDefault="002D42EE" w:rsidP="002D42EE">
      <w:pPr>
        <w:ind w:firstLine="708"/>
        <w:jc w:val="both"/>
        <w:rPr>
          <w:lang w:val="de-DE"/>
        </w:rPr>
      </w:pPr>
      <w:r w:rsidRPr="004676F5">
        <w:rPr>
          <w:lang w:val="de-DE"/>
        </w:rPr>
        <w:t>a. Kreditinstitute, die dem Recht eines Staates unterliegen, der dem Europäischen Wirtschaftsraum nicht angehört,</w:t>
      </w:r>
    </w:p>
    <w:p w14:paraId="399F49E4" w14:textId="77777777" w:rsidR="002D42EE" w:rsidRPr="004676F5" w:rsidRDefault="002D42EE" w:rsidP="002D42EE">
      <w:pPr>
        <w:ind w:firstLine="708"/>
        <w:jc w:val="both"/>
        <w:rPr>
          <w:lang w:val="de-DE"/>
        </w:rPr>
      </w:pPr>
    </w:p>
    <w:p w14:paraId="2EE28699" w14:textId="77777777" w:rsidR="002D42EE" w:rsidRPr="004676F5" w:rsidRDefault="002D42EE" w:rsidP="002D42EE">
      <w:pPr>
        <w:ind w:firstLine="708"/>
        <w:jc w:val="both"/>
        <w:rPr>
          <w:lang w:val="de-DE"/>
        </w:rPr>
      </w:pPr>
      <w:r w:rsidRPr="004676F5">
        <w:rPr>
          <w:lang w:val="de-DE"/>
        </w:rPr>
        <w:t>b. </w:t>
      </w:r>
      <w:r w:rsidR="00B907A3" w:rsidRPr="004676F5">
        <w:rPr>
          <w:lang w:val="de-DE"/>
        </w:rPr>
        <w:t xml:space="preserve">[Kreditgeber, die keine Kredite mehr gewähren, sondern sich darauf beschränken, bestehende Kredite zu verwalten und abzuwickeln (Artikel VII.159 § 2/1),] </w:t>
      </w:r>
    </w:p>
    <w:p w14:paraId="43525C18" w14:textId="77777777" w:rsidR="00B907A3" w:rsidRPr="004676F5" w:rsidRDefault="00B907A3" w:rsidP="002D42EE">
      <w:pPr>
        <w:ind w:firstLine="708"/>
        <w:jc w:val="both"/>
        <w:rPr>
          <w:lang w:val="de-DE"/>
        </w:rPr>
      </w:pPr>
    </w:p>
    <w:p w14:paraId="49A3ED9E" w14:textId="77777777" w:rsidR="00B907A3" w:rsidRPr="004676F5" w:rsidRDefault="00B907A3" w:rsidP="002D42EE">
      <w:pPr>
        <w:ind w:firstLine="708"/>
        <w:jc w:val="both"/>
        <w:rPr>
          <w:lang w:val="de-DE"/>
        </w:rPr>
      </w:pPr>
      <w:r w:rsidRPr="004676F5">
        <w:rPr>
          <w:lang w:val="de-DE"/>
        </w:rPr>
        <w:t>[c. Andere Verbraucherkreditgeber nach ausländischem Recht.]</w:t>
      </w:r>
    </w:p>
    <w:p w14:paraId="30DFABA1" w14:textId="77777777" w:rsidR="002D42EE" w:rsidRPr="004676F5" w:rsidRDefault="002D42EE" w:rsidP="002D42EE">
      <w:pPr>
        <w:ind w:firstLine="708"/>
        <w:jc w:val="both"/>
        <w:rPr>
          <w:lang w:val="de-DE"/>
        </w:rPr>
      </w:pPr>
    </w:p>
    <w:p w14:paraId="0FC8022D" w14:textId="77777777" w:rsidR="002D42EE" w:rsidRPr="004676F5" w:rsidRDefault="002D42EE" w:rsidP="002D42EE">
      <w:pPr>
        <w:ind w:firstLine="708"/>
        <w:jc w:val="both"/>
        <w:rPr>
          <w:lang w:val="de-DE"/>
        </w:rPr>
      </w:pPr>
      <w:r w:rsidRPr="004676F5">
        <w:rPr>
          <w:lang w:val="de-DE"/>
        </w:rPr>
        <w:t>3. Registrierte Verbraucherkreditgeber nach ausländischem Recht (Artikel VII.174):</w:t>
      </w:r>
    </w:p>
    <w:p w14:paraId="07084527" w14:textId="77777777" w:rsidR="002D42EE" w:rsidRPr="004676F5" w:rsidRDefault="002D42EE" w:rsidP="002D42EE">
      <w:pPr>
        <w:ind w:firstLine="708"/>
        <w:jc w:val="both"/>
        <w:rPr>
          <w:lang w:val="de-DE"/>
        </w:rPr>
      </w:pPr>
    </w:p>
    <w:p w14:paraId="6351A39C" w14:textId="77777777" w:rsidR="002D42EE" w:rsidRPr="004676F5" w:rsidRDefault="002D42EE" w:rsidP="002D42EE">
      <w:pPr>
        <w:ind w:firstLine="708"/>
        <w:jc w:val="both"/>
        <w:rPr>
          <w:lang w:val="de-DE"/>
        </w:rPr>
      </w:pPr>
      <w:r w:rsidRPr="004676F5">
        <w:rPr>
          <w:lang w:val="de-DE"/>
        </w:rPr>
        <w:t>a. Kreditinstitute, die dem Recht eines anderen Mitgliedstaates des Europäischen Wirtschaftsraums unterliegen,</w:t>
      </w:r>
    </w:p>
    <w:p w14:paraId="4DFE8B96" w14:textId="77777777" w:rsidR="002D42EE" w:rsidRPr="004676F5" w:rsidRDefault="002D42EE" w:rsidP="002D42EE">
      <w:pPr>
        <w:ind w:firstLine="708"/>
        <w:jc w:val="both"/>
        <w:rPr>
          <w:lang w:val="de-DE"/>
        </w:rPr>
      </w:pPr>
    </w:p>
    <w:p w14:paraId="393DD342" w14:textId="77777777" w:rsidR="002D42EE" w:rsidRPr="004676F5" w:rsidRDefault="002D42EE" w:rsidP="002D42EE">
      <w:pPr>
        <w:ind w:firstLine="708"/>
        <w:jc w:val="both"/>
        <w:rPr>
          <w:lang w:val="de-DE"/>
        </w:rPr>
      </w:pPr>
      <w:r w:rsidRPr="004676F5">
        <w:rPr>
          <w:lang w:val="de-DE"/>
        </w:rPr>
        <w:t>b. Finanzinstitute, die dem Recht eines anderen Mitgliedstaates des Europäischen Wirtschaftsraums unterliegen und Tochterunternehmen von Kreditinstituten sind, die dem Recht eines anderen Mitgliedstaates des Europäischen Wirtschaftsraums unterliegen (Artikel 332 des Gesetzes vom 25. April 2014),</w:t>
      </w:r>
    </w:p>
    <w:p w14:paraId="13DE55AF" w14:textId="77777777" w:rsidR="002D42EE" w:rsidRPr="004676F5" w:rsidRDefault="002D42EE" w:rsidP="002D42EE">
      <w:pPr>
        <w:ind w:firstLine="708"/>
        <w:jc w:val="both"/>
        <w:rPr>
          <w:lang w:val="de-DE"/>
        </w:rPr>
      </w:pPr>
    </w:p>
    <w:p w14:paraId="5389D1B8" w14:textId="77777777" w:rsidR="002D42EE" w:rsidRPr="004676F5" w:rsidRDefault="002D42EE" w:rsidP="002D42EE">
      <w:pPr>
        <w:ind w:firstLine="708"/>
        <w:jc w:val="both"/>
        <w:rPr>
          <w:lang w:val="de-DE"/>
        </w:rPr>
      </w:pPr>
      <w:r w:rsidRPr="004676F5">
        <w:rPr>
          <w:lang w:val="de-DE"/>
        </w:rPr>
        <w:t>c. Investmentgesellschaften, die dem Recht eines anderen Mitgliedstaates des Europäischen Wirtschaftsraums unterliegen,</w:t>
      </w:r>
    </w:p>
    <w:p w14:paraId="693F740E" w14:textId="77777777" w:rsidR="002D42EE" w:rsidRPr="004676F5" w:rsidRDefault="002D42EE" w:rsidP="002D42EE">
      <w:pPr>
        <w:ind w:firstLine="708"/>
        <w:jc w:val="both"/>
        <w:rPr>
          <w:lang w:val="de-DE"/>
        </w:rPr>
      </w:pPr>
    </w:p>
    <w:p w14:paraId="425432B9" w14:textId="77777777" w:rsidR="002D42EE" w:rsidRPr="004676F5" w:rsidRDefault="002D42EE" w:rsidP="002D42EE">
      <w:pPr>
        <w:ind w:firstLine="708"/>
        <w:jc w:val="both"/>
        <w:rPr>
          <w:lang w:val="de-DE"/>
        </w:rPr>
      </w:pPr>
      <w:r w:rsidRPr="004676F5">
        <w:rPr>
          <w:lang w:val="de-DE"/>
        </w:rPr>
        <w:t xml:space="preserve">d. E-Geld-Institute, die dem Recht eines anderen Mitgliedstaates des Europäischen Wirtschaftsraums unterliegen, </w:t>
      </w:r>
    </w:p>
    <w:p w14:paraId="332AC3CA" w14:textId="77777777" w:rsidR="002D42EE" w:rsidRPr="004676F5" w:rsidRDefault="002D42EE" w:rsidP="002D42EE">
      <w:pPr>
        <w:ind w:firstLine="708"/>
        <w:jc w:val="both"/>
        <w:rPr>
          <w:lang w:val="de-DE"/>
        </w:rPr>
      </w:pPr>
    </w:p>
    <w:p w14:paraId="0AA5FB65" w14:textId="77777777" w:rsidR="00881814" w:rsidRPr="004676F5" w:rsidRDefault="002D42EE" w:rsidP="002D42EE">
      <w:pPr>
        <w:ind w:firstLine="708"/>
        <w:jc w:val="both"/>
        <w:rPr>
          <w:lang w:val="de-DE"/>
        </w:rPr>
      </w:pPr>
      <w:r w:rsidRPr="004676F5">
        <w:rPr>
          <w:lang w:val="de-DE"/>
        </w:rPr>
        <w:t>e. Zahlungsinstitute, die dem Recht eines anderen Mitgliedstaates des Europäischen Wirtschaftsraums unterliegen.]</w:t>
      </w:r>
    </w:p>
    <w:p w14:paraId="1CAA1175" w14:textId="77777777" w:rsidR="00881814" w:rsidRPr="004676F5" w:rsidRDefault="00881814" w:rsidP="00881814">
      <w:pPr>
        <w:ind w:firstLine="708"/>
        <w:jc w:val="both"/>
        <w:rPr>
          <w:lang w:val="de-DE"/>
        </w:rPr>
      </w:pPr>
    </w:p>
    <w:p w14:paraId="436C7F15" w14:textId="77777777" w:rsidR="00A568AA" w:rsidRPr="004676F5" w:rsidRDefault="00A568AA" w:rsidP="00A568AA">
      <w:pPr>
        <w:jc w:val="both"/>
        <w:rPr>
          <w:lang w:val="de-DE"/>
        </w:rPr>
      </w:pPr>
      <w:r w:rsidRPr="004676F5">
        <w:rPr>
          <w:lang w:val="de-DE"/>
        </w:rPr>
        <w:tab/>
        <w:t>[</w:t>
      </w:r>
      <w:r w:rsidRPr="004676F5">
        <w:rPr>
          <w:lang w:val="de-DE" w:bidi="de-DE"/>
        </w:rPr>
        <w:t>In der von der FSMA veröffentlichten Liste wird Folgendes angegeben:</w:t>
      </w:r>
    </w:p>
    <w:p w14:paraId="345430B5" w14:textId="77777777" w:rsidR="00A568AA" w:rsidRPr="004676F5" w:rsidRDefault="00A568AA" w:rsidP="00A568AA">
      <w:pPr>
        <w:jc w:val="both"/>
        <w:rPr>
          <w:lang w:val="de-DE" w:bidi="de-DE"/>
        </w:rPr>
      </w:pPr>
      <w:r w:rsidRPr="004676F5">
        <w:rPr>
          <w:lang w:val="de-DE" w:bidi="de-DE"/>
        </w:rPr>
        <w:tab/>
      </w:r>
    </w:p>
    <w:p w14:paraId="1CDD4EB2" w14:textId="4852408C" w:rsidR="00A568AA" w:rsidRPr="004676F5" w:rsidRDefault="00A568AA" w:rsidP="00A568AA">
      <w:pPr>
        <w:jc w:val="both"/>
        <w:rPr>
          <w:lang w:val="de-DE" w:bidi="de-DE"/>
        </w:rPr>
      </w:pPr>
      <w:r w:rsidRPr="004676F5">
        <w:rPr>
          <w:lang w:val="de-DE" w:bidi="de-DE"/>
        </w:rPr>
        <w:tab/>
      </w:r>
      <w:r w:rsidR="005B7A5C" w:rsidRPr="004676F5">
        <w:rPr>
          <w:lang w:val="de-DE" w:bidi="de-DE"/>
        </w:rPr>
        <w:t>- </w:t>
      </w:r>
      <w:r w:rsidRPr="004676F5">
        <w:rPr>
          <w:lang w:val="de-DE" w:bidi="de-DE"/>
        </w:rPr>
        <w:t>gegebenenfalls die Gruppe, der der Kreditgeber angehört,</w:t>
      </w:r>
    </w:p>
    <w:p w14:paraId="7120CC51" w14:textId="77777777" w:rsidR="00A568AA" w:rsidRPr="004676F5" w:rsidRDefault="00A568AA" w:rsidP="00A568AA">
      <w:pPr>
        <w:jc w:val="both"/>
        <w:rPr>
          <w:lang w:val="de-DE" w:bidi="de-DE"/>
        </w:rPr>
      </w:pPr>
    </w:p>
    <w:p w14:paraId="124B2E79" w14:textId="3BE0BE2B" w:rsidR="00881814" w:rsidRPr="004676F5" w:rsidRDefault="005B7A5C" w:rsidP="00A568AA">
      <w:pPr>
        <w:ind w:firstLine="708"/>
        <w:jc w:val="both"/>
        <w:rPr>
          <w:lang w:val="de-DE"/>
        </w:rPr>
      </w:pPr>
      <w:r w:rsidRPr="004676F5">
        <w:rPr>
          <w:lang w:val="de-DE" w:bidi="de-DE"/>
        </w:rPr>
        <w:t>- </w:t>
      </w:r>
      <w:r w:rsidR="00A568AA" w:rsidRPr="004676F5">
        <w:rPr>
          <w:lang w:val="de-DE" w:bidi="de-DE"/>
        </w:rPr>
        <w:t>für jeden Verbraucherkreditgeber unter Verweis auf Artikel VII.160 § 3 die Art der gewährten Kredite</w:t>
      </w:r>
      <w:r w:rsidR="00B907A3" w:rsidRPr="004676F5">
        <w:rPr>
          <w:lang w:val="de-DE" w:bidi="de-DE"/>
        </w:rPr>
        <w:t>,</w:t>
      </w:r>
      <w:r w:rsidR="00A568AA" w:rsidRPr="004676F5">
        <w:rPr>
          <w:lang w:val="de-DE"/>
        </w:rPr>
        <w:t>]</w:t>
      </w:r>
    </w:p>
    <w:p w14:paraId="694292EC" w14:textId="77777777" w:rsidR="00B907A3" w:rsidRPr="004676F5" w:rsidRDefault="00B907A3" w:rsidP="00A568AA">
      <w:pPr>
        <w:ind w:firstLine="708"/>
        <w:jc w:val="both"/>
        <w:rPr>
          <w:lang w:val="de-DE"/>
        </w:rPr>
      </w:pPr>
    </w:p>
    <w:p w14:paraId="6437ED7F" w14:textId="77777777" w:rsidR="009446A1" w:rsidRPr="004676F5" w:rsidRDefault="009446A1">
      <w:pPr>
        <w:rPr>
          <w:lang w:val="de-DE"/>
        </w:rPr>
      </w:pPr>
      <w:r w:rsidRPr="004676F5">
        <w:rPr>
          <w:lang w:val="de-DE"/>
        </w:rPr>
        <w:br w:type="page"/>
      </w:r>
    </w:p>
    <w:p w14:paraId="3A0B6610" w14:textId="244E2040" w:rsidR="00B907A3" w:rsidRPr="004676F5" w:rsidRDefault="00B907A3" w:rsidP="00A568AA">
      <w:pPr>
        <w:ind w:firstLine="708"/>
        <w:jc w:val="both"/>
        <w:rPr>
          <w:lang w:val="de-DE"/>
        </w:rPr>
      </w:pPr>
      <w:r w:rsidRPr="004676F5">
        <w:rPr>
          <w:lang w:val="de-DE"/>
        </w:rPr>
        <w:lastRenderedPageBreak/>
        <w:t>[</w:t>
      </w:r>
      <w:r w:rsidR="005B7A5C" w:rsidRPr="004676F5">
        <w:rPr>
          <w:lang w:val="de-DE"/>
        </w:rPr>
        <w:t>- </w:t>
      </w:r>
      <w:r w:rsidRPr="004676F5">
        <w:rPr>
          <w:lang w:val="de-DE"/>
        </w:rPr>
        <w:t>andere Informationen, die die FSMA für eine korrekte Information der Öffentlichkeit für zweckmäßig erachtet.]</w:t>
      </w:r>
    </w:p>
    <w:p w14:paraId="62575717" w14:textId="77777777" w:rsidR="00A568AA" w:rsidRPr="004676F5" w:rsidRDefault="00A568AA" w:rsidP="00A568AA">
      <w:pPr>
        <w:ind w:firstLine="708"/>
        <w:jc w:val="both"/>
        <w:rPr>
          <w:lang w:val="de-DE"/>
        </w:rPr>
      </w:pPr>
    </w:p>
    <w:p w14:paraId="4BB5010B" w14:textId="54634FED" w:rsidR="00A568AA" w:rsidRPr="004676F5" w:rsidRDefault="00A568AA" w:rsidP="00A568AA">
      <w:pPr>
        <w:jc w:val="both"/>
        <w:rPr>
          <w:i/>
          <w:lang w:val="de-DE"/>
        </w:rPr>
      </w:pPr>
      <w:r w:rsidRPr="004676F5">
        <w:rPr>
          <w:i/>
          <w:lang w:val="de-DE"/>
        </w:rPr>
        <w:t>[</w:t>
      </w:r>
      <w:r w:rsidR="00BE0A56" w:rsidRPr="004676F5">
        <w:rPr>
          <w:i/>
          <w:lang w:val="de-DE"/>
        </w:rPr>
        <w:t>Art. </w:t>
      </w:r>
      <w:r w:rsidRPr="004676F5">
        <w:rPr>
          <w:i/>
          <w:lang w:val="de-DE"/>
        </w:rPr>
        <w:t xml:space="preserve">VII.172 </w:t>
      </w:r>
      <w:r w:rsidR="00D00121" w:rsidRPr="004676F5">
        <w:rPr>
          <w:i/>
          <w:lang w:val="de-DE"/>
        </w:rPr>
        <w:t xml:space="preserve">Abs. 1 abgeändert durch </w:t>
      </w:r>
      <w:r w:rsidR="00BE0A56" w:rsidRPr="004676F5">
        <w:rPr>
          <w:i/>
          <w:lang w:val="de-DE"/>
        </w:rPr>
        <w:t>Art. </w:t>
      </w:r>
      <w:r w:rsidR="00D00121" w:rsidRPr="004676F5">
        <w:rPr>
          <w:i/>
          <w:lang w:val="de-DE"/>
        </w:rPr>
        <w:t>28 Nr. 1 und 2</w:t>
      </w:r>
      <w:r w:rsidR="00D00121" w:rsidRPr="004676F5">
        <w:rPr>
          <w:i/>
          <w:iCs/>
          <w:lang w:val="de-DE"/>
        </w:rPr>
        <w:t xml:space="preserve"> </w:t>
      </w:r>
      <w:r w:rsidR="00D00121" w:rsidRPr="004676F5">
        <w:rPr>
          <w:i/>
          <w:lang w:val="de-DE"/>
        </w:rPr>
        <w:t>des G. vom 26. Oktober 2015 (B.S. vom 30. Oktober 2015)</w:t>
      </w:r>
      <w:r w:rsidR="00B907A3" w:rsidRPr="004676F5">
        <w:rPr>
          <w:i/>
          <w:lang w:val="de-DE"/>
        </w:rPr>
        <w:t xml:space="preserve"> und </w:t>
      </w:r>
      <w:r w:rsidR="00BE0A56" w:rsidRPr="004676F5">
        <w:rPr>
          <w:i/>
          <w:lang w:val="de-DE"/>
        </w:rPr>
        <w:t>Art. </w:t>
      </w:r>
      <w:r w:rsidR="00B907A3" w:rsidRPr="004676F5">
        <w:rPr>
          <w:i/>
          <w:lang w:val="de-DE"/>
        </w:rPr>
        <w:t>16 Nr. 1 bis 8 des G. vom 18. April 2017 (B.S. vom 24. April 2017)</w:t>
      </w:r>
      <w:r w:rsidR="00D00121" w:rsidRPr="004676F5">
        <w:rPr>
          <w:i/>
          <w:lang w:val="de-DE"/>
        </w:rPr>
        <w:t xml:space="preserve">; </w:t>
      </w:r>
      <w:r w:rsidRPr="004676F5">
        <w:rPr>
          <w:i/>
          <w:lang w:val="de-DE"/>
        </w:rPr>
        <w:t xml:space="preserve">Abs. 2 ersetzt durch </w:t>
      </w:r>
      <w:r w:rsidR="00BE0A56" w:rsidRPr="004676F5">
        <w:rPr>
          <w:i/>
          <w:lang w:val="de-DE"/>
        </w:rPr>
        <w:t>Art. </w:t>
      </w:r>
      <w:r w:rsidRPr="004676F5">
        <w:rPr>
          <w:i/>
          <w:lang w:val="de-DE"/>
        </w:rPr>
        <w:t>39</w:t>
      </w:r>
      <w:r w:rsidRPr="004676F5">
        <w:rPr>
          <w:i/>
          <w:iCs/>
          <w:lang w:val="de-DE"/>
        </w:rPr>
        <w:t xml:space="preserve"> des G. vom 18. Dezember 2015 (</w:t>
      </w:r>
      <w:r w:rsidR="00624234" w:rsidRPr="004676F5">
        <w:rPr>
          <w:i/>
          <w:iCs/>
          <w:lang w:val="de-DE"/>
        </w:rPr>
        <w:t>II) (B.S. vom 30. Dezember 2015</w:t>
      </w:r>
      <w:r w:rsidRPr="004676F5">
        <w:rPr>
          <w:i/>
          <w:iCs/>
          <w:lang w:val="de-DE"/>
        </w:rPr>
        <w:t>)</w:t>
      </w:r>
      <w:r w:rsidR="00B907A3" w:rsidRPr="004676F5">
        <w:rPr>
          <w:i/>
          <w:iCs/>
          <w:lang w:val="de-DE"/>
        </w:rPr>
        <w:t xml:space="preserve">; Abs. 2 dritter Gedankenstrich eingefügt durch </w:t>
      </w:r>
      <w:r w:rsidR="00BE0A56" w:rsidRPr="004676F5">
        <w:rPr>
          <w:i/>
          <w:iCs/>
          <w:lang w:val="de-DE"/>
        </w:rPr>
        <w:t>Art. </w:t>
      </w:r>
      <w:r w:rsidR="00B907A3" w:rsidRPr="004676F5">
        <w:rPr>
          <w:i/>
          <w:iCs/>
          <w:lang w:val="de-DE"/>
        </w:rPr>
        <w:t>16 Nr. 9</w:t>
      </w:r>
      <w:r w:rsidR="00B907A3" w:rsidRPr="004676F5">
        <w:rPr>
          <w:i/>
          <w:lang w:val="de-DE"/>
        </w:rPr>
        <w:t xml:space="preserve"> des G. vom 18. April 2017 (B.S. vom 24. April 2017)</w:t>
      </w:r>
      <w:r w:rsidRPr="004676F5">
        <w:rPr>
          <w:i/>
          <w:iCs/>
          <w:lang w:val="de-DE"/>
        </w:rPr>
        <w:t>]</w:t>
      </w:r>
    </w:p>
    <w:p w14:paraId="79F5EE37" w14:textId="77777777" w:rsidR="00881814" w:rsidRPr="004676F5" w:rsidRDefault="00881814" w:rsidP="00881814">
      <w:pPr>
        <w:ind w:firstLine="708"/>
        <w:jc w:val="both"/>
        <w:rPr>
          <w:lang w:val="de-DE"/>
        </w:rPr>
      </w:pPr>
    </w:p>
    <w:p w14:paraId="6AC0B168" w14:textId="77777777" w:rsidR="008D748D" w:rsidRPr="004676F5" w:rsidRDefault="008D748D" w:rsidP="00881814">
      <w:pPr>
        <w:ind w:firstLine="708"/>
        <w:jc w:val="both"/>
        <w:rPr>
          <w:lang w:val="de-DE"/>
        </w:rPr>
      </w:pPr>
    </w:p>
    <w:p w14:paraId="7D62E5AD" w14:textId="6CB065BE" w:rsidR="00881814" w:rsidRPr="004676F5" w:rsidRDefault="00BE0A56" w:rsidP="00881814">
      <w:pPr>
        <w:ind w:firstLine="708"/>
        <w:jc w:val="both"/>
        <w:rPr>
          <w:lang w:val="de-DE"/>
        </w:rPr>
      </w:pPr>
      <w:r w:rsidRPr="004676F5">
        <w:rPr>
          <w:b/>
          <w:lang w:val="de-DE"/>
        </w:rPr>
        <w:t>Art. </w:t>
      </w:r>
      <w:r w:rsidR="00881814" w:rsidRPr="004676F5">
        <w:rPr>
          <w:b/>
          <w:lang w:val="de-DE"/>
        </w:rPr>
        <w:t>VII.173</w:t>
      </w:r>
      <w:r w:rsidR="00881814" w:rsidRPr="004676F5">
        <w:rPr>
          <w:lang w:val="de-DE"/>
        </w:rPr>
        <w:t> </w:t>
      </w:r>
      <w:r w:rsidR="005B7A5C" w:rsidRPr="004676F5">
        <w:rPr>
          <w:lang w:val="de-DE"/>
        </w:rPr>
        <w:t>- </w:t>
      </w:r>
      <w:r w:rsidR="00881814" w:rsidRPr="004676F5">
        <w:rPr>
          <w:lang w:val="de-DE"/>
        </w:rPr>
        <w:t xml:space="preserve">Die Artikel VII.161 bis VII.164 und VII.167 bis VII.169 sind nicht anwendbar auf Kreditgeber, die </w:t>
      </w:r>
      <w:r w:rsidR="005D7CEE" w:rsidRPr="004676F5">
        <w:rPr>
          <w:lang w:val="de-DE"/>
        </w:rPr>
        <w:t>[</w:t>
      </w:r>
      <w:r w:rsidR="005813CC" w:rsidRPr="004676F5">
        <w:rPr>
          <w:lang w:val="de-DE"/>
        </w:rPr>
        <w:t xml:space="preserve">in der in Artikel 14 des Gesetzes vom 25. April 2014 erwähnten Liste als Kreditinstitut, in der in </w:t>
      </w:r>
      <w:r w:rsidR="0012182F" w:rsidRPr="004676F5">
        <w:rPr>
          <w:lang w:val="de-DE"/>
        </w:rPr>
        <w:t>[Artikel 7 des Gesetzes vom 25. Oktober 2016]</w:t>
      </w:r>
      <w:r w:rsidR="005813CC" w:rsidRPr="004676F5">
        <w:rPr>
          <w:lang w:val="de-DE"/>
        </w:rPr>
        <w:t xml:space="preserve"> erwähnten Liste als Investmentgesellschaft</w:t>
      </w:r>
      <w:r w:rsidR="005D7CEE" w:rsidRPr="004676F5">
        <w:rPr>
          <w:lang w:val="de-DE"/>
        </w:rPr>
        <w:t>]</w:t>
      </w:r>
      <w:r w:rsidR="00881814" w:rsidRPr="004676F5">
        <w:rPr>
          <w:lang w:val="de-DE"/>
        </w:rPr>
        <w:t xml:space="preserve">, in der </w:t>
      </w:r>
      <w:r w:rsidR="00F82DBB" w:rsidRPr="004676F5">
        <w:rPr>
          <w:lang w:val="de-DE"/>
        </w:rPr>
        <w:t>[in Artikel 31 des Gesetzes vom 13. März 2016 über den Status und die Kontrolle der Versicherungs</w:t>
      </w:r>
      <w:r w:rsidR="005B7A5C" w:rsidRPr="004676F5">
        <w:rPr>
          <w:lang w:val="de-DE"/>
        </w:rPr>
        <w:t>- </w:t>
      </w:r>
      <w:r w:rsidR="00F82DBB" w:rsidRPr="004676F5">
        <w:rPr>
          <w:lang w:val="de-DE"/>
        </w:rPr>
        <w:t>oder Rückversicherungs</w:t>
      </w:r>
      <w:r w:rsidR="00F82DBB" w:rsidRPr="004676F5">
        <w:rPr>
          <w:lang w:val="de-DE"/>
        </w:rPr>
        <w:softHyphen/>
        <w:t>unternehmen]</w:t>
      </w:r>
      <w:r w:rsidR="00881814" w:rsidRPr="004676F5">
        <w:rPr>
          <w:lang w:val="de-DE"/>
        </w:rPr>
        <w:t xml:space="preserve"> erwähnten Liste als Versicherungsunternehmen, in der in Artikel 64 des Gesetzes vom 21. Dezember 2009 erwähnten Liste als E-Geld-Institut oder in der in Artikel 9 desselben Gesetzes erwähnten Liste als Zahlungsinstitut eingetragen sind.</w:t>
      </w:r>
    </w:p>
    <w:p w14:paraId="56122A90" w14:textId="77777777" w:rsidR="00F82DBB" w:rsidRPr="004676F5" w:rsidRDefault="00F82DBB" w:rsidP="00881814">
      <w:pPr>
        <w:ind w:firstLine="708"/>
        <w:jc w:val="both"/>
        <w:rPr>
          <w:lang w:val="de-DE"/>
        </w:rPr>
      </w:pPr>
    </w:p>
    <w:p w14:paraId="11F7B4F3" w14:textId="638A6EA7" w:rsidR="00F82DBB" w:rsidRPr="004676F5" w:rsidRDefault="00F82DBB" w:rsidP="00F82DBB">
      <w:pPr>
        <w:jc w:val="both"/>
        <w:rPr>
          <w:i/>
          <w:iCs/>
          <w:lang w:val="de-DE"/>
        </w:rPr>
      </w:pPr>
      <w:r w:rsidRPr="004676F5">
        <w:rPr>
          <w:i/>
          <w:lang w:val="de-DE"/>
        </w:rPr>
        <w:t>[</w:t>
      </w:r>
      <w:r w:rsidR="00BE0A56" w:rsidRPr="004676F5">
        <w:rPr>
          <w:i/>
          <w:lang w:val="de-DE"/>
        </w:rPr>
        <w:t>Art. </w:t>
      </w:r>
      <w:r w:rsidRPr="004676F5">
        <w:rPr>
          <w:i/>
          <w:lang w:val="de-DE"/>
        </w:rPr>
        <w:t xml:space="preserve">VII.173 abgeändert durch </w:t>
      </w:r>
      <w:r w:rsidR="00BE0A56" w:rsidRPr="004676F5">
        <w:rPr>
          <w:i/>
          <w:lang w:val="de-DE"/>
        </w:rPr>
        <w:t>Art. </w:t>
      </w:r>
      <w:r w:rsidRPr="004676F5">
        <w:rPr>
          <w:i/>
          <w:lang w:val="de-DE"/>
        </w:rPr>
        <w:t>751</w:t>
      </w:r>
      <w:r w:rsidRPr="004676F5">
        <w:rPr>
          <w:i/>
          <w:iCs/>
          <w:lang w:val="de-DE"/>
        </w:rPr>
        <w:t xml:space="preserve"> des G. vom 13. März 2016 (B.S. vom 23. März 2016, Err. vom 8. April 2016)</w:t>
      </w:r>
      <w:r w:rsidR="0012182F" w:rsidRPr="004676F5">
        <w:rPr>
          <w:i/>
          <w:iCs/>
          <w:lang w:val="de-DE"/>
        </w:rPr>
        <w:t xml:space="preserve">, </w:t>
      </w:r>
      <w:r w:rsidR="00BE0A56" w:rsidRPr="004676F5">
        <w:rPr>
          <w:i/>
          <w:iCs/>
          <w:lang w:val="de-DE"/>
        </w:rPr>
        <w:t>Art. </w:t>
      </w:r>
      <w:r w:rsidR="005813CC" w:rsidRPr="004676F5">
        <w:rPr>
          <w:i/>
          <w:iCs/>
          <w:lang w:val="de-DE"/>
        </w:rPr>
        <w:t xml:space="preserve">29 </w:t>
      </w:r>
      <w:r w:rsidR="005813CC" w:rsidRPr="004676F5">
        <w:rPr>
          <w:i/>
          <w:lang w:val="de-DE"/>
        </w:rPr>
        <w:t>des G. vom 26. Oktober 2015 (B.S. vom 30. Oktober 2015)</w:t>
      </w:r>
      <w:r w:rsidR="0012182F" w:rsidRPr="004676F5">
        <w:rPr>
          <w:i/>
          <w:lang w:val="de-DE"/>
        </w:rPr>
        <w:t xml:space="preserve"> und </w:t>
      </w:r>
      <w:r w:rsidR="00BE0A56" w:rsidRPr="004676F5">
        <w:rPr>
          <w:i/>
          <w:lang w:val="de-DE"/>
        </w:rPr>
        <w:t>Art. </w:t>
      </w:r>
      <w:r w:rsidR="0012182F" w:rsidRPr="004676F5">
        <w:rPr>
          <w:i/>
          <w:lang w:val="de-DE"/>
        </w:rPr>
        <w:t>174 des G. vom 25. Oktober 2016 (B.S. vom 18. November 2016)</w:t>
      </w:r>
      <w:r w:rsidRPr="004676F5">
        <w:rPr>
          <w:i/>
          <w:iCs/>
          <w:lang w:val="de-DE"/>
        </w:rPr>
        <w:t>]</w:t>
      </w:r>
    </w:p>
    <w:p w14:paraId="50C3DA1A" w14:textId="049304B2" w:rsidR="00FD4FF3" w:rsidRPr="004676F5" w:rsidRDefault="00FD4FF3" w:rsidP="00F82DBB">
      <w:pPr>
        <w:jc w:val="both"/>
        <w:rPr>
          <w:i/>
          <w:iCs/>
          <w:lang w:val="de-DE"/>
        </w:rPr>
      </w:pPr>
    </w:p>
    <w:p w14:paraId="1727CDB3" w14:textId="6D0B05DF" w:rsidR="00FD4FF3" w:rsidRPr="004676F5" w:rsidRDefault="00FD4FF3" w:rsidP="00F82DBB">
      <w:pPr>
        <w:jc w:val="both"/>
        <w:rPr>
          <w:i/>
          <w:iCs/>
          <w:lang w:val="de-DE"/>
        </w:rPr>
      </w:pPr>
    </w:p>
    <w:p w14:paraId="08DB3158" w14:textId="522AB4C8" w:rsidR="00881814" w:rsidRPr="004676F5" w:rsidRDefault="00881814" w:rsidP="00881814">
      <w:pPr>
        <w:jc w:val="center"/>
        <w:rPr>
          <w:lang w:val="de-DE"/>
        </w:rPr>
      </w:pPr>
      <w:r w:rsidRPr="004676F5">
        <w:rPr>
          <w:i/>
          <w:lang w:val="de-DE"/>
        </w:rPr>
        <w:t>Abschnitt 3 </w:t>
      </w:r>
      <w:r w:rsidR="005B7A5C" w:rsidRPr="004676F5">
        <w:rPr>
          <w:i/>
          <w:lang w:val="de-DE"/>
        </w:rPr>
        <w:t>- </w:t>
      </w:r>
      <w:r w:rsidRPr="004676F5">
        <w:rPr>
          <w:lang w:val="de-DE"/>
        </w:rPr>
        <w:t>Kreditgeber nach ausländischem Recht</w:t>
      </w:r>
    </w:p>
    <w:p w14:paraId="5C00A727" w14:textId="77777777" w:rsidR="00881814" w:rsidRPr="004676F5" w:rsidRDefault="00881814" w:rsidP="00881814">
      <w:pPr>
        <w:ind w:firstLine="708"/>
        <w:jc w:val="both"/>
        <w:rPr>
          <w:lang w:val="de-DE"/>
        </w:rPr>
      </w:pPr>
    </w:p>
    <w:p w14:paraId="20196720" w14:textId="77777777" w:rsidR="008D748D" w:rsidRPr="004676F5" w:rsidRDefault="008D748D" w:rsidP="00881814">
      <w:pPr>
        <w:ind w:firstLine="708"/>
        <w:jc w:val="both"/>
        <w:rPr>
          <w:lang w:val="de-DE"/>
        </w:rPr>
      </w:pPr>
    </w:p>
    <w:p w14:paraId="0995F5F1" w14:textId="351C29CE" w:rsidR="00881814" w:rsidRPr="004676F5" w:rsidRDefault="00881814" w:rsidP="00881814">
      <w:pPr>
        <w:jc w:val="center"/>
        <w:rPr>
          <w:lang w:val="de-DE"/>
        </w:rPr>
      </w:pPr>
      <w:r w:rsidRPr="004676F5">
        <w:rPr>
          <w:lang w:val="de-DE"/>
        </w:rPr>
        <w:t>Unterabschnitt 1 </w:t>
      </w:r>
      <w:r w:rsidR="005B7A5C" w:rsidRPr="004676F5">
        <w:rPr>
          <w:lang w:val="de-DE"/>
        </w:rPr>
        <w:t>- </w:t>
      </w:r>
      <w:r w:rsidRPr="004676F5">
        <w:rPr>
          <w:lang w:val="de-DE"/>
        </w:rPr>
        <w:t>Bestimmte beaufsichtigte Finanzunternehmen, die dem Recht eines anderen Mitgliedstaats unterliegen</w:t>
      </w:r>
    </w:p>
    <w:p w14:paraId="5908E4AF" w14:textId="77777777" w:rsidR="00881814" w:rsidRPr="004676F5" w:rsidRDefault="00881814" w:rsidP="00881814">
      <w:pPr>
        <w:ind w:firstLine="708"/>
        <w:jc w:val="both"/>
        <w:rPr>
          <w:lang w:val="de-DE"/>
        </w:rPr>
      </w:pPr>
    </w:p>
    <w:p w14:paraId="4539E803" w14:textId="77777777" w:rsidR="008D748D" w:rsidRPr="004676F5" w:rsidRDefault="008D748D" w:rsidP="00881814">
      <w:pPr>
        <w:ind w:firstLine="708"/>
        <w:jc w:val="both"/>
        <w:rPr>
          <w:lang w:val="de-DE"/>
        </w:rPr>
      </w:pPr>
    </w:p>
    <w:p w14:paraId="59869E25" w14:textId="7EAD9E01" w:rsidR="00881814" w:rsidRPr="004676F5" w:rsidRDefault="00BE0A56" w:rsidP="00881814">
      <w:pPr>
        <w:ind w:firstLine="708"/>
        <w:jc w:val="both"/>
        <w:rPr>
          <w:lang w:val="de-DE"/>
        </w:rPr>
      </w:pPr>
      <w:r w:rsidRPr="004676F5">
        <w:rPr>
          <w:b/>
          <w:lang w:val="de-DE"/>
        </w:rPr>
        <w:t>Art. </w:t>
      </w:r>
      <w:r w:rsidR="00881814" w:rsidRPr="004676F5">
        <w:rPr>
          <w:b/>
          <w:lang w:val="de-DE"/>
        </w:rPr>
        <w:t>VII.174</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 xml:space="preserve">Kreditinstitute, </w:t>
      </w:r>
      <w:r w:rsidR="005813CC" w:rsidRPr="004676F5">
        <w:rPr>
          <w:lang w:val="de-DE"/>
        </w:rPr>
        <w:t>[in Artikel 332 des Gesetzes vom 25. April 2014 erwähnte Finanzinstitute, Investmentgesellschaften]</w:t>
      </w:r>
      <w:r w:rsidR="00881814" w:rsidRPr="004676F5">
        <w:rPr>
          <w:lang w:val="de-DE"/>
        </w:rPr>
        <w:t>, E-Geld-Institute und Zahlungsinstitute, die dem Recht eines anderen Mitgliedstaats unterliegen und aufgrund ihres nationalen Rechts in ihrem Herkunfts</w:t>
      </w:r>
      <w:r w:rsidR="00881814" w:rsidRPr="004676F5">
        <w:rPr>
          <w:lang w:val="de-DE"/>
        </w:rPr>
        <w:softHyphen/>
        <w:t>mitgliedstaat Verbraucherkreditverträge gewähren dürfen, können über Errichtung einer Zweigstelle oder im Rahmen des freien Dienstleistungsverkehrs in Belgien ohne vorherige Zulassung durch die FSMA die Tätigkeit eines Verbraucherkreditgebers ausüben.</w:t>
      </w:r>
    </w:p>
    <w:p w14:paraId="1C6DD03A" w14:textId="77777777" w:rsidR="00881814" w:rsidRPr="004676F5" w:rsidRDefault="00881814" w:rsidP="00881814">
      <w:pPr>
        <w:ind w:firstLine="708"/>
        <w:jc w:val="both"/>
        <w:rPr>
          <w:lang w:val="de-DE"/>
        </w:rPr>
      </w:pPr>
    </w:p>
    <w:p w14:paraId="3BDA124B" w14:textId="77777777" w:rsidR="00881814" w:rsidRPr="004676F5" w:rsidRDefault="00881814" w:rsidP="00881814">
      <w:pPr>
        <w:ind w:firstLine="708"/>
        <w:jc w:val="both"/>
        <w:rPr>
          <w:lang w:val="de-DE"/>
        </w:rPr>
      </w:pPr>
      <w:r w:rsidRPr="004676F5">
        <w:rPr>
          <w:lang w:val="de-DE"/>
        </w:rPr>
        <w:t xml:space="preserve">Kreditinstitute und in </w:t>
      </w:r>
      <w:r w:rsidR="005813CC" w:rsidRPr="004676F5">
        <w:rPr>
          <w:lang w:val="de-DE"/>
        </w:rPr>
        <w:t>[Artikel 332 des Gesetzes vom 25. April 2014]</w:t>
      </w:r>
      <w:r w:rsidRPr="004676F5">
        <w:rPr>
          <w:lang w:val="de-DE"/>
        </w:rPr>
        <w:t xml:space="preserve"> erwähnte Finanzinstitute, die aufgrund ihres nationalen Rechts in ihrem Herkunftsmitgliedstaat Hypo</w:t>
      </w:r>
      <w:r w:rsidRPr="004676F5">
        <w:rPr>
          <w:lang w:val="de-DE"/>
        </w:rPr>
        <w:softHyphen/>
        <w:t>thekarkreditverträge gewähren dürfen, können über Errichtung einer Zweigstelle oder im Rahmen des freien Dienstleistungsverkehrs in Belgien die Tätigkeit eines Hypothekar</w:t>
      </w:r>
      <w:r w:rsidRPr="004676F5">
        <w:rPr>
          <w:lang w:val="de-DE"/>
        </w:rPr>
        <w:softHyphen/>
        <w:t>kreditgebers ausüben, ohne vorab von der FSMA zugelassen worden zu sein.</w:t>
      </w:r>
    </w:p>
    <w:p w14:paraId="37FC9D31" w14:textId="77777777" w:rsidR="00881814" w:rsidRPr="004676F5" w:rsidRDefault="00881814" w:rsidP="00881814">
      <w:pPr>
        <w:ind w:firstLine="708"/>
        <w:jc w:val="both"/>
        <w:rPr>
          <w:lang w:val="de-DE"/>
        </w:rPr>
      </w:pPr>
    </w:p>
    <w:p w14:paraId="71272163" w14:textId="666AE088"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Sobald die Bank gemäß den anwendbaren Bestimmungen von der zuständigen Behörde des Herkunftsmitgliedstaats eines Instituts informiert wird, dass dieses Institut in Belgien Hypothekarkreditverträge abschließen will, teilt sie dies der FSMA mit und übermittelt ihr die relevanten Angaben, die ihr von der zuständigen Behörde des Herkunfts</w:t>
      </w:r>
      <w:r w:rsidRPr="004676F5">
        <w:rPr>
          <w:lang w:val="de-DE"/>
        </w:rPr>
        <w:softHyphen/>
        <w:t>mitgliedstaats zugesandt worden sind.</w:t>
      </w:r>
    </w:p>
    <w:p w14:paraId="0538C2D6" w14:textId="77777777" w:rsidR="00881814" w:rsidRPr="004676F5" w:rsidRDefault="00881814" w:rsidP="00881814">
      <w:pPr>
        <w:ind w:firstLine="708"/>
        <w:jc w:val="both"/>
        <w:rPr>
          <w:lang w:val="de-DE"/>
        </w:rPr>
      </w:pPr>
    </w:p>
    <w:p w14:paraId="6D97468F" w14:textId="647823AE" w:rsidR="00881814" w:rsidRPr="004676F5" w:rsidRDefault="00881814" w:rsidP="00881814">
      <w:pPr>
        <w:ind w:firstLine="708"/>
        <w:jc w:val="both"/>
        <w:rPr>
          <w:lang w:val="de-DE"/>
        </w:rPr>
      </w:pPr>
      <w:r w:rsidRPr="004676F5">
        <w:rPr>
          <w:lang w:val="de-DE"/>
        </w:rPr>
        <w:lastRenderedPageBreak/>
        <w:t>§ 3 </w:t>
      </w:r>
      <w:r w:rsidR="005B7A5C" w:rsidRPr="004676F5">
        <w:rPr>
          <w:lang w:val="de-DE"/>
        </w:rPr>
        <w:t>- </w:t>
      </w:r>
      <w:r w:rsidRPr="004676F5">
        <w:rPr>
          <w:lang w:val="de-DE"/>
        </w:rPr>
        <w:t>Die FSMA informiert das betreffende Institut über die belgischen Gesetzes</w:t>
      </w:r>
      <w:r w:rsidR="005B7A5C" w:rsidRPr="004676F5">
        <w:rPr>
          <w:lang w:val="de-DE"/>
        </w:rPr>
        <w:t>- </w:t>
      </w:r>
      <w:r w:rsidRPr="004676F5">
        <w:rPr>
          <w:lang w:val="de-DE"/>
        </w:rPr>
        <w:t>und Verordnungsbestimmungen, die ihres Wissens und nach Absprache mit dem FÖD Wirtschaft von allgemeinem Interesse sind, und über die Verpflichtung, dem FÖD Wirtschaft vorab die Muster für Hypothekar</w:t>
      </w:r>
      <w:r w:rsidR="005B7A5C" w:rsidRPr="004676F5">
        <w:rPr>
          <w:lang w:val="de-DE"/>
        </w:rPr>
        <w:t>- </w:t>
      </w:r>
      <w:r w:rsidRPr="004676F5">
        <w:rPr>
          <w:lang w:val="de-DE"/>
        </w:rPr>
        <w:t>oder Verbraucherkreditverträge vorzulegen, die das Institut in Belgien zu verwenden beabsichtigt. In vorliegendem Absatz erwähnte Bestimmungen allgemeinen Interesses werden auf der Website der FSMA veröffentlicht.</w:t>
      </w:r>
    </w:p>
    <w:p w14:paraId="5F7ACC57" w14:textId="77777777" w:rsidR="00881814" w:rsidRPr="004676F5" w:rsidRDefault="00881814" w:rsidP="00881814">
      <w:pPr>
        <w:jc w:val="both"/>
        <w:rPr>
          <w:lang w:val="de-DE"/>
        </w:rPr>
      </w:pPr>
    </w:p>
    <w:p w14:paraId="04FE1122" w14:textId="77777777" w:rsidR="00881814" w:rsidRPr="004676F5" w:rsidRDefault="00881814" w:rsidP="00881814">
      <w:pPr>
        <w:ind w:firstLine="708"/>
        <w:jc w:val="both"/>
        <w:rPr>
          <w:lang w:val="de-DE"/>
        </w:rPr>
      </w:pPr>
      <w:r w:rsidRPr="004676F5">
        <w:rPr>
          <w:lang w:val="de-DE"/>
        </w:rPr>
        <w:t>Zu diesem Zweck legt das betreffende Institut die Muster der Kreditverträge, die es zu verwenden beabsichtigt, vorab dem FÖD Wirtschaft zur Billigung vor. Der FÖD Wirtschaft untersucht, ob die Vertragsmuster den Bestimmungen allgemeinen Interesses des vorliegenden Buches und von Buch VI und ihren Ausführungserlassen entsprechen. Die Muster werden ausgefüllt, damit unter anderem die Berechnung des effektiven Jahreszinses überprüft werden kann. Der FÖD Wirtschaft übermittelt der FSMA eine Abschrift seiner Antwort an den Antragsteller.</w:t>
      </w:r>
    </w:p>
    <w:p w14:paraId="21E3EB91" w14:textId="77777777" w:rsidR="00881814" w:rsidRPr="004676F5" w:rsidRDefault="00881814" w:rsidP="00881814">
      <w:pPr>
        <w:ind w:firstLine="708"/>
        <w:jc w:val="both"/>
        <w:rPr>
          <w:lang w:val="de-DE"/>
        </w:rPr>
      </w:pPr>
    </w:p>
    <w:p w14:paraId="3FD0E594" w14:textId="77777777" w:rsidR="00881814" w:rsidRPr="004676F5" w:rsidRDefault="00881814" w:rsidP="00881814">
      <w:pPr>
        <w:ind w:firstLine="708"/>
        <w:jc w:val="both"/>
        <w:rPr>
          <w:lang w:val="de-DE"/>
        </w:rPr>
      </w:pPr>
      <w:r w:rsidRPr="004676F5">
        <w:rPr>
          <w:lang w:val="de-DE"/>
        </w:rPr>
        <w:t>Änderungen an den Vertragsmustern unterliegen demselben Verfahren.</w:t>
      </w:r>
    </w:p>
    <w:p w14:paraId="4C0438AE" w14:textId="77777777" w:rsidR="00881814" w:rsidRPr="004676F5" w:rsidRDefault="00881814" w:rsidP="00881814">
      <w:pPr>
        <w:ind w:firstLine="708"/>
        <w:jc w:val="both"/>
        <w:rPr>
          <w:lang w:val="de-DE"/>
        </w:rPr>
      </w:pPr>
    </w:p>
    <w:p w14:paraId="58FF43DA" w14:textId="710CB292" w:rsidR="00B907A3" w:rsidRPr="004676F5" w:rsidRDefault="00881814" w:rsidP="00B907A3">
      <w:pPr>
        <w:ind w:firstLine="708"/>
        <w:jc w:val="both"/>
        <w:rPr>
          <w:rFonts w:eastAsiaTheme="minorHAnsi"/>
          <w:lang w:val="de-DE"/>
        </w:rPr>
      </w:pPr>
      <w:r w:rsidRPr="004676F5">
        <w:rPr>
          <w:lang w:val="de-DE"/>
        </w:rPr>
        <w:t>§ 4 </w:t>
      </w:r>
      <w:r w:rsidR="005B7A5C" w:rsidRPr="004676F5">
        <w:rPr>
          <w:lang w:val="de-DE"/>
        </w:rPr>
        <w:t>- </w:t>
      </w:r>
      <w:r w:rsidR="00B907A3" w:rsidRPr="004676F5">
        <w:rPr>
          <w:lang w:val="de-DE"/>
        </w:rPr>
        <w:t>[</w:t>
      </w:r>
      <w:r w:rsidR="00980046" w:rsidRPr="004676F5">
        <w:rPr>
          <w:lang w:val="de-DE"/>
        </w:rPr>
        <w:t>[Der FÖD Wirtschaft befindet über vorgelegte Muster von Kreditverträgen und ihre Änderungen in einer Frist von vier Monaten ab dem Tag des Erhalts aller Unterlagen und Angaben und spätestens sechs Monate nach Eingang des Billigungsantrags.]</w:t>
      </w:r>
    </w:p>
    <w:p w14:paraId="53DAD776" w14:textId="77777777" w:rsidR="00B907A3" w:rsidRPr="004676F5" w:rsidRDefault="00B907A3" w:rsidP="00B907A3">
      <w:pPr>
        <w:jc w:val="both"/>
        <w:rPr>
          <w:rFonts w:eastAsiaTheme="minorHAnsi"/>
          <w:lang w:val="de-DE" w:eastAsia="en-US"/>
        </w:rPr>
      </w:pPr>
    </w:p>
    <w:p w14:paraId="0D88BED5" w14:textId="77777777" w:rsidR="00B907A3" w:rsidRPr="004676F5" w:rsidRDefault="00B907A3" w:rsidP="00B907A3">
      <w:pPr>
        <w:jc w:val="both"/>
        <w:rPr>
          <w:rFonts w:eastAsiaTheme="minorHAnsi"/>
          <w:lang w:val="de-DE"/>
        </w:rPr>
      </w:pPr>
      <w:r w:rsidRPr="004676F5">
        <w:rPr>
          <w:lang w:val="de-DE"/>
        </w:rPr>
        <w:tab/>
        <w:t>Werden die Vertragsmuster vom FÖD Wirtschaft gebilligt, registriert die FSMA das betreffende Institut als Kreditgeber und notifiziert sie dies dem Institut; eine Abschrift dieser Notifizierung wird der Bank zugesandt.</w:t>
      </w:r>
    </w:p>
    <w:p w14:paraId="520DB99C" w14:textId="77777777" w:rsidR="00B907A3" w:rsidRPr="004676F5" w:rsidRDefault="00B907A3" w:rsidP="00B907A3">
      <w:pPr>
        <w:jc w:val="both"/>
        <w:rPr>
          <w:rFonts w:eastAsiaTheme="minorHAnsi"/>
          <w:lang w:val="de-DE" w:eastAsia="en-US"/>
        </w:rPr>
      </w:pPr>
    </w:p>
    <w:p w14:paraId="73967368" w14:textId="156F90ED" w:rsidR="00881814" w:rsidRPr="004676F5" w:rsidRDefault="00B907A3" w:rsidP="00B907A3">
      <w:pPr>
        <w:ind w:firstLine="708"/>
        <w:jc w:val="both"/>
        <w:rPr>
          <w:lang w:val="de-DE"/>
        </w:rPr>
      </w:pPr>
      <w:r w:rsidRPr="004676F5">
        <w:rPr>
          <w:lang w:val="de-DE"/>
        </w:rPr>
        <w:t>Für bereits registrierte Kreditgeber, die in Artikel 54 § 6 des Gesetzes vom 19. April 2014 zur Einfügung von Buch VII "Zahlungs</w:t>
      </w:r>
      <w:r w:rsidR="005B7A5C" w:rsidRPr="004676F5">
        <w:rPr>
          <w:lang w:val="de-DE"/>
        </w:rPr>
        <w:t>- </w:t>
      </w:r>
      <w:r w:rsidRPr="004676F5">
        <w:rPr>
          <w:lang w:val="de-DE"/>
        </w:rPr>
        <w:t>und Kreditdienste" in das Wirtschaftsgesetzbuch, zur Einfügung der Buch VII eigenen Begriffsbestimmungen und der Strafen in Bezug auf Verstöße gegen Buch VII in die Bücher I und XV des Wirtschaftsgesetzbuches und zur Festlegung verschiedener anderer Bestimmungen erwähnt sind, reicht unbeschadet der Anwendung von § 6 der Nachweis, dass die Muster der Kreditverträge dem FÖD Wirtschaft zur Billigung vorgelegt worden sind.]</w:t>
      </w:r>
    </w:p>
    <w:p w14:paraId="6DD63F89" w14:textId="77777777" w:rsidR="00881814" w:rsidRPr="004676F5" w:rsidRDefault="00881814" w:rsidP="00881814">
      <w:pPr>
        <w:ind w:firstLine="708"/>
        <w:jc w:val="both"/>
        <w:rPr>
          <w:lang w:val="de-DE"/>
        </w:rPr>
      </w:pPr>
    </w:p>
    <w:p w14:paraId="4F505431" w14:textId="4908DDEC" w:rsidR="00881814" w:rsidRPr="004676F5" w:rsidRDefault="00881814" w:rsidP="00881814">
      <w:pPr>
        <w:ind w:firstLine="708"/>
        <w:jc w:val="both"/>
        <w:rPr>
          <w:lang w:val="de-DE"/>
        </w:rPr>
      </w:pPr>
      <w:r w:rsidRPr="004676F5">
        <w:rPr>
          <w:lang w:val="de-DE"/>
        </w:rPr>
        <w:t>§ 5 </w:t>
      </w:r>
      <w:r w:rsidR="005B7A5C" w:rsidRPr="004676F5">
        <w:rPr>
          <w:lang w:val="de-DE"/>
        </w:rPr>
        <w:t>- </w:t>
      </w:r>
      <w:r w:rsidRPr="004676F5">
        <w:rPr>
          <w:lang w:val="de-DE"/>
        </w:rPr>
        <w:t>In Ermangelung einer Notifizierung innerhalb zweier Monate ab der in § 3 Absatz 1 erwähnten Mitteilung darf das Institut die angekündigten Tätigkeiten aufnehmen, nachdem es die FSMA und den FÖD Wirtschaft davon in Kenntnis gesetzt hat.</w:t>
      </w:r>
    </w:p>
    <w:p w14:paraId="57BACB85" w14:textId="77777777" w:rsidR="00881814" w:rsidRPr="004676F5" w:rsidRDefault="00881814" w:rsidP="00881814">
      <w:pPr>
        <w:ind w:firstLine="708"/>
        <w:jc w:val="both"/>
        <w:rPr>
          <w:lang w:val="de-DE"/>
        </w:rPr>
      </w:pPr>
    </w:p>
    <w:p w14:paraId="341E807D" w14:textId="6BAA0528" w:rsidR="00881814" w:rsidRPr="004676F5" w:rsidRDefault="00881814" w:rsidP="00881814">
      <w:pPr>
        <w:ind w:firstLine="708"/>
        <w:jc w:val="both"/>
        <w:rPr>
          <w:lang w:val="de-DE"/>
        </w:rPr>
      </w:pPr>
      <w:r w:rsidRPr="004676F5">
        <w:rPr>
          <w:lang w:val="de-DE"/>
        </w:rPr>
        <w:t>§ 6 </w:t>
      </w:r>
      <w:r w:rsidR="005B7A5C" w:rsidRPr="004676F5">
        <w:rPr>
          <w:lang w:val="de-DE"/>
        </w:rPr>
        <w:t>- </w:t>
      </w:r>
      <w:r w:rsidRPr="004676F5">
        <w:rPr>
          <w:lang w:val="de-DE"/>
        </w:rPr>
        <w:t>Billigt der FÖD Wirtschaft die Vertragsmuster nicht, notifiziert die FSMA dies dem Institut.</w:t>
      </w:r>
    </w:p>
    <w:p w14:paraId="113406B7" w14:textId="77777777" w:rsidR="00881814" w:rsidRPr="004676F5" w:rsidRDefault="00881814" w:rsidP="00881814">
      <w:pPr>
        <w:ind w:firstLine="708"/>
        <w:jc w:val="both"/>
        <w:rPr>
          <w:lang w:val="de-DE"/>
        </w:rPr>
      </w:pPr>
    </w:p>
    <w:p w14:paraId="13F26304" w14:textId="77777777" w:rsidR="00881814" w:rsidRPr="004676F5" w:rsidRDefault="00881814" w:rsidP="00881814">
      <w:pPr>
        <w:ind w:firstLine="708"/>
        <w:jc w:val="both"/>
        <w:rPr>
          <w:lang w:val="de-DE"/>
        </w:rPr>
      </w:pPr>
      <w:r w:rsidRPr="004676F5">
        <w:rPr>
          <w:lang w:val="de-DE"/>
        </w:rPr>
        <w:t xml:space="preserve">Berücksichtigt das Institut diese Notifizierung nicht, kann die FSMA dem Institut verbieten, in Belgien eine Tätigkeit als Kreditgeber und gegebenenfalls als Kreditvermittler auszuüben. Dieser Beschluss wird dem Institut </w:t>
      </w:r>
      <w:r w:rsidR="00137AE1" w:rsidRPr="004676F5">
        <w:rPr>
          <w:lang w:val="de-DE"/>
        </w:rPr>
        <w:t xml:space="preserve">[per Einschreibesendung] </w:t>
      </w:r>
      <w:r w:rsidRPr="004676F5">
        <w:rPr>
          <w:lang w:val="de-DE"/>
        </w:rPr>
        <w:t>notifiziert; eine Abschrift dieser Notifizierung wird der Bank und dem FÖD Wirtschaft zugesandt.</w:t>
      </w:r>
    </w:p>
    <w:p w14:paraId="54CD3D56" w14:textId="77777777" w:rsidR="005813CC" w:rsidRPr="004676F5" w:rsidRDefault="005813CC" w:rsidP="00881814">
      <w:pPr>
        <w:ind w:firstLine="708"/>
        <w:jc w:val="both"/>
        <w:rPr>
          <w:lang w:val="de-DE"/>
        </w:rPr>
      </w:pPr>
    </w:p>
    <w:p w14:paraId="60B6DE83" w14:textId="61C74ED8" w:rsidR="005813CC" w:rsidRPr="004676F5" w:rsidRDefault="005813CC" w:rsidP="005813CC">
      <w:pPr>
        <w:jc w:val="both"/>
        <w:rPr>
          <w:i/>
          <w:lang w:val="de-DE"/>
        </w:rPr>
      </w:pPr>
      <w:r w:rsidRPr="004676F5">
        <w:rPr>
          <w:i/>
          <w:lang w:val="de-DE"/>
        </w:rPr>
        <w:t>[</w:t>
      </w:r>
      <w:r w:rsidR="00BE0A56" w:rsidRPr="004676F5">
        <w:rPr>
          <w:i/>
          <w:lang w:val="de-DE"/>
        </w:rPr>
        <w:t>Art. </w:t>
      </w:r>
      <w:r w:rsidRPr="004676F5">
        <w:rPr>
          <w:i/>
          <w:lang w:val="de-DE"/>
        </w:rPr>
        <w:t xml:space="preserve">VII.174 § 1 Abs. 1 abgeändert durch </w:t>
      </w:r>
      <w:r w:rsidR="00BE0A56" w:rsidRPr="004676F5">
        <w:rPr>
          <w:i/>
          <w:lang w:val="de-DE"/>
        </w:rPr>
        <w:t>Art. </w:t>
      </w:r>
      <w:r w:rsidRPr="004676F5">
        <w:rPr>
          <w:i/>
          <w:lang w:val="de-DE"/>
        </w:rPr>
        <w:t>30 Nr. 1</w:t>
      </w:r>
      <w:r w:rsidRPr="004676F5">
        <w:rPr>
          <w:i/>
          <w:iCs/>
          <w:lang w:val="de-DE"/>
        </w:rPr>
        <w:t xml:space="preserve"> </w:t>
      </w:r>
      <w:r w:rsidRPr="004676F5">
        <w:rPr>
          <w:i/>
          <w:lang w:val="de-DE"/>
        </w:rPr>
        <w:t xml:space="preserve">des G. vom 26. Oktober 2015 (B.S. vom 30. Oktober 2015); § 1 Abs. 2 abgeändert durch </w:t>
      </w:r>
      <w:r w:rsidR="00BE0A56" w:rsidRPr="004676F5">
        <w:rPr>
          <w:i/>
          <w:lang w:val="de-DE"/>
        </w:rPr>
        <w:t>Art. </w:t>
      </w:r>
      <w:r w:rsidRPr="004676F5">
        <w:rPr>
          <w:i/>
          <w:lang w:val="de-DE"/>
        </w:rPr>
        <w:t>30 Nr. 2</w:t>
      </w:r>
      <w:r w:rsidRPr="004676F5">
        <w:rPr>
          <w:i/>
          <w:iCs/>
          <w:lang w:val="de-DE"/>
        </w:rPr>
        <w:t xml:space="preserve"> </w:t>
      </w:r>
      <w:r w:rsidRPr="004676F5">
        <w:rPr>
          <w:i/>
          <w:lang w:val="de-DE"/>
        </w:rPr>
        <w:t>des G. vom 26. Oktober </w:t>
      </w:r>
      <w:r w:rsidR="00137AE1" w:rsidRPr="004676F5">
        <w:rPr>
          <w:i/>
          <w:lang w:val="de-DE"/>
        </w:rPr>
        <w:t>2015 (B.S. vom 30. Oktober 2015);</w:t>
      </w:r>
      <w:r w:rsidR="00B907A3" w:rsidRPr="004676F5">
        <w:rPr>
          <w:i/>
          <w:lang w:val="de-DE"/>
        </w:rPr>
        <w:t xml:space="preserve"> § 4 ersetzt durch </w:t>
      </w:r>
      <w:r w:rsidR="00BE0A56" w:rsidRPr="004676F5">
        <w:rPr>
          <w:i/>
          <w:lang w:val="de-DE"/>
        </w:rPr>
        <w:t>Art. </w:t>
      </w:r>
      <w:r w:rsidR="00B907A3" w:rsidRPr="004676F5">
        <w:rPr>
          <w:i/>
          <w:lang w:val="de-DE"/>
        </w:rPr>
        <w:t>17 des G. vom 18. April 2017 (B.S. vom 24. April 2017);</w:t>
      </w:r>
      <w:r w:rsidR="00137AE1" w:rsidRPr="004676F5">
        <w:rPr>
          <w:i/>
          <w:lang w:val="de-DE"/>
        </w:rPr>
        <w:t xml:space="preserve"> </w:t>
      </w:r>
      <w:r w:rsidR="00980046" w:rsidRPr="004676F5">
        <w:rPr>
          <w:i/>
          <w:lang w:val="de-DE"/>
        </w:rPr>
        <w:t xml:space="preserve">§ 4 Abs. 1 ersetzt durch Art. 10 des G. vom 2. Mai 2019 (IV) (B.S. vom 22. Mai 2019); </w:t>
      </w:r>
      <w:r w:rsidR="00137AE1" w:rsidRPr="004676F5">
        <w:rPr>
          <w:i/>
          <w:lang w:val="de-DE"/>
        </w:rPr>
        <w:t xml:space="preserve">§ 6 Abs. 2 abgeändert durch </w:t>
      </w:r>
      <w:r w:rsidR="00BE0A56" w:rsidRPr="004676F5">
        <w:rPr>
          <w:i/>
          <w:lang w:val="de-DE"/>
        </w:rPr>
        <w:t>Art. </w:t>
      </w:r>
      <w:r w:rsidR="00137AE1" w:rsidRPr="004676F5">
        <w:rPr>
          <w:i/>
          <w:lang w:val="de-DE"/>
        </w:rPr>
        <w:t>29 des G. vom 22. April 2016 (B.S. vom 4. Mai 2016)</w:t>
      </w:r>
      <w:r w:rsidRPr="004676F5">
        <w:rPr>
          <w:i/>
          <w:lang w:val="de-DE"/>
        </w:rPr>
        <w:t>]</w:t>
      </w:r>
    </w:p>
    <w:p w14:paraId="6283325C" w14:textId="77777777" w:rsidR="00881814" w:rsidRPr="004676F5" w:rsidRDefault="00881814" w:rsidP="00881814">
      <w:pPr>
        <w:ind w:firstLine="708"/>
        <w:jc w:val="both"/>
        <w:rPr>
          <w:lang w:val="de-DE"/>
        </w:rPr>
      </w:pPr>
    </w:p>
    <w:p w14:paraId="5E2FED67" w14:textId="77777777" w:rsidR="008D748D" w:rsidRPr="004676F5" w:rsidRDefault="008D748D" w:rsidP="00881814">
      <w:pPr>
        <w:ind w:firstLine="708"/>
        <w:jc w:val="both"/>
        <w:rPr>
          <w:lang w:val="de-DE"/>
        </w:rPr>
      </w:pPr>
    </w:p>
    <w:p w14:paraId="6FB37D87" w14:textId="08C1D5C7" w:rsidR="00881814" w:rsidRPr="004676F5" w:rsidRDefault="00BE0A56" w:rsidP="00881814">
      <w:pPr>
        <w:ind w:firstLine="708"/>
        <w:jc w:val="both"/>
        <w:rPr>
          <w:lang w:val="de-DE"/>
        </w:rPr>
      </w:pPr>
      <w:r w:rsidRPr="004676F5">
        <w:rPr>
          <w:b/>
          <w:lang w:val="de-DE"/>
        </w:rPr>
        <w:t>Art. </w:t>
      </w:r>
      <w:r w:rsidR="00881814" w:rsidRPr="004676F5">
        <w:rPr>
          <w:b/>
          <w:lang w:val="de-DE"/>
        </w:rPr>
        <w:t>VII.175</w:t>
      </w:r>
      <w:r w:rsidR="00881814" w:rsidRPr="004676F5">
        <w:rPr>
          <w:lang w:val="de-DE"/>
        </w:rPr>
        <w:t> </w:t>
      </w:r>
      <w:r w:rsidR="005B7A5C" w:rsidRPr="004676F5">
        <w:rPr>
          <w:lang w:val="de-DE"/>
        </w:rPr>
        <w:t>- </w:t>
      </w:r>
      <w:r w:rsidR="00881814" w:rsidRPr="004676F5">
        <w:rPr>
          <w:lang w:val="de-DE"/>
        </w:rPr>
        <w:t>Die Artikel VII.165 § 1 und VII.166 §§ 2 bis 4 sind auf die in vorliegendem Unterabschnitt erwähnten Institute anwendbar.</w:t>
      </w:r>
    </w:p>
    <w:p w14:paraId="53E3A093" w14:textId="77777777" w:rsidR="00881814" w:rsidRPr="004676F5" w:rsidRDefault="00881814" w:rsidP="00881814">
      <w:pPr>
        <w:ind w:firstLine="708"/>
        <w:jc w:val="both"/>
        <w:rPr>
          <w:lang w:val="de-DE"/>
        </w:rPr>
      </w:pPr>
    </w:p>
    <w:p w14:paraId="5E93FD0B" w14:textId="77777777" w:rsidR="00881814" w:rsidRPr="004676F5" w:rsidRDefault="00881814" w:rsidP="00881814">
      <w:pPr>
        <w:ind w:firstLine="708"/>
        <w:jc w:val="both"/>
        <w:rPr>
          <w:lang w:val="de-DE"/>
        </w:rPr>
      </w:pPr>
      <w:r w:rsidRPr="004676F5">
        <w:rPr>
          <w:lang w:val="de-DE"/>
        </w:rPr>
        <w:t>In vorliegendem Unterabschnitt erwähnte Institute, die in Belgien über eine Zweigniederlassung verfügen, unterliegen den Artikeln VII.180 § 2 und VII.184 § 1 Absatz 2.</w:t>
      </w:r>
    </w:p>
    <w:p w14:paraId="6E5F806F" w14:textId="77777777" w:rsidR="00881814" w:rsidRPr="004676F5" w:rsidRDefault="00881814" w:rsidP="00881814">
      <w:pPr>
        <w:ind w:firstLine="708"/>
        <w:jc w:val="both"/>
        <w:rPr>
          <w:lang w:val="de-DE"/>
        </w:rPr>
      </w:pPr>
    </w:p>
    <w:p w14:paraId="60CF22AD" w14:textId="77777777" w:rsidR="008D748D" w:rsidRPr="004676F5" w:rsidRDefault="008D748D" w:rsidP="00881814">
      <w:pPr>
        <w:ind w:firstLine="708"/>
        <w:jc w:val="both"/>
        <w:rPr>
          <w:lang w:val="de-DE"/>
        </w:rPr>
      </w:pPr>
    </w:p>
    <w:p w14:paraId="05722689" w14:textId="2CF47A73" w:rsidR="00881814" w:rsidRPr="004676F5" w:rsidRDefault="00881814" w:rsidP="00881814">
      <w:pPr>
        <w:jc w:val="center"/>
        <w:rPr>
          <w:lang w:val="de-DE"/>
        </w:rPr>
      </w:pPr>
      <w:r w:rsidRPr="004676F5">
        <w:rPr>
          <w:lang w:val="de-DE"/>
        </w:rPr>
        <w:t>Unterabschnitt 2 </w:t>
      </w:r>
      <w:r w:rsidR="005B7A5C" w:rsidRPr="004676F5">
        <w:rPr>
          <w:lang w:val="de-DE"/>
        </w:rPr>
        <w:t>- </w:t>
      </w:r>
      <w:r w:rsidRPr="004676F5">
        <w:rPr>
          <w:lang w:val="de-DE"/>
        </w:rPr>
        <w:t>Andere Kreditgeber nach ausländischem Recht</w:t>
      </w:r>
    </w:p>
    <w:p w14:paraId="073D0787" w14:textId="77777777" w:rsidR="00881814" w:rsidRPr="004676F5" w:rsidRDefault="00881814" w:rsidP="00881814">
      <w:pPr>
        <w:ind w:firstLine="708"/>
        <w:jc w:val="both"/>
        <w:rPr>
          <w:lang w:val="de-DE"/>
        </w:rPr>
      </w:pPr>
    </w:p>
    <w:p w14:paraId="4B566A88" w14:textId="77777777" w:rsidR="008D748D" w:rsidRPr="004676F5" w:rsidRDefault="008D748D" w:rsidP="00881814">
      <w:pPr>
        <w:ind w:firstLine="708"/>
        <w:jc w:val="both"/>
        <w:rPr>
          <w:lang w:val="de-DE"/>
        </w:rPr>
      </w:pPr>
    </w:p>
    <w:p w14:paraId="4D41CEDA" w14:textId="4E5768BA" w:rsidR="00881814" w:rsidRPr="004676F5" w:rsidRDefault="00BE0A56" w:rsidP="00881814">
      <w:pPr>
        <w:ind w:firstLine="708"/>
        <w:jc w:val="both"/>
        <w:rPr>
          <w:lang w:val="de-DE"/>
        </w:rPr>
      </w:pPr>
      <w:r w:rsidRPr="004676F5">
        <w:rPr>
          <w:b/>
          <w:lang w:val="de-DE"/>
        </w:rPr>
        <w:t>Art. </w:t>
      </w:r>
      <w:r w:rsidR="00881814" w:rsidRPr="004676F5">
        <w:rPr>
          <w:b/>
          <w:lang w:val="de-DE"/>
        </w:rPr>
        <w:t>VII.176</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Vorliegender Unterabschnitt betrifft Gesellschaften nach auslän</w:t>
      </w:r>
      <w:r w:rsidR="00881814" w:rsidRPr="004676F5">
        <w:rPr>
          <w:lang w:val="de-DE"/>
        </w:rPr>
        <w:softHyphen/>
        <w:t>dischem Recht, die nicht in Unterabschnitt 1 erwähnt sind.</w:t>
      </w:r>
    </w:p>
    <w:p w14:paraId="70A96D2A" w14:textId="77777777" w:rsidR="00881814" w:rsidRPr="004676F5" w:rsidRDefault="00881814" w:rsidP="00881814">
      <w:pPr>
        <w:ind w:firstLine="708"/>
        <w:jc w:val="both"/>
        <w:rPr>
          <w:lang w:val="de-DE"/>
        </w:rPr>
      </w:pPr>
    </w:p>
    <w:p w14:paraId="2ECDDAA5" w14:textId="77777777" w:rsidR="00881814" w:rsidRPr="004676F5" w:rsidRDefault="00881814" w:rsidP="00881814">
      <w:pPr>
        <w:ind w:firstLine="708"/>
        <w:jc w:val="both"/>
        <w:rPr>
          <w:lang w:val="de-DE"/>
        </w:rPr>
      </w:pPr>
      <w:r w:rsidRPr="004676F5">
        <w:rPr>
          <w:lang w:val="de-DE"/>
        </w:rPr>
        <w:t>In vorliegendem Unterabschnitt erwähnte Gesellschaften, die dem Recht eines Drittstaates unterliegen, dürfen die Tätigkeit eines Kreditgebers in Belgien nicht ausüben, es sei denn, sie sind in Belgien ansässig.</w:t>
      </w:r>
    </w:p>
    <w:p w14:paraId="2A49C57B" w14:textId="77777777" w:rsidR="00881814" w:rsidRPr="004676F5" w:rsidRDefault="00881814" w:rsidP="00881814">
      <w:pPr>
        <w:ind w:firstLine="708"/>
        <w:jc w:val="both"/>
        <w:rPr>
          <w:lang w:val="de-DE"/>
        </w:rPr>
      </w:pPr>
    </w:p>
    <w:p w14:paraId="28F8BD05" w14:textId="27CEDEEC" w:rsidR="00DE30A4" w:rsidRPr="004676F5" w:rsidRDefault="00881814" w:rsidP="00DE30A4">
      <w:pPr>
        <w:ind w:firstLine="708"/>
        <w:jc w:val="both"/>
        <w:rPr>
          <w:lang w:val="de-DE"/>
        </w:rPr>
      </w:pPr>
      <w:r w:rsidRPr="004676F5">
        <w:rPr>
          <w:lang w:val="de-DE"/>
        </w:rPr>
        <w:t>§ 2 </w:t>
      </w:r>
      <w:r w:rsidR="005B7A5C" w:rsidRPr="004676F5">
        <w:rPr>
          <w:lang w:val="de-DE"/>
        </w:rPr>
        <w:t>- </w:t>
      </w:r>
      <w:r w:rsidR="00DE30A4" w:rsidRPr="004676F5">
        <w:rPr>
          <w:lang w:val="de-DE"/>
        </w:rPr>
        <w:t>[Die Abschnitte 1 und 2 und die Artikel VII.180 § 2 und VII.184 § 1 Absatz 2 sind auf die in vorliegendem Unterabschnitt erwähnten Kreditgeber anwendbar, ausgenommen Artikel VII.165 § 2.</w:t>
      </w:r>
    </w:p>
    <w:p w14:paraId="69784427" w14:textId="77777777" w:rsidR="00DE30A4" w:rsidRPr="004676F5" w:rsidRDefault="00DE30A4" w:rsidP="00DE30A4">
      <w:pPr>
        <w:jc w:val="both"/>
        <w:rPr>
          <w:lang w:val="de-DE"/>
        </w:rPr>
      </w:pPr>
    </w:p>
    <w:p w14:paraId="45DB761E" w14:textId="77777777" w:rsidR="00DE30A4" w:rsidRPr="004676F5" w:rsidRDefault="00DE30A4" w:rsidP="00DE30A4">
      <w:pPr>
        <w:jc w:val="both"/>
        <w:rPr>
          <w:lang w:val="de-DE"/>
        </w:rPr>
      </w:pPr>
      <w:r w:rsidRPr="004676F5">
        <w:rPr>
          <w:lang w:val="de-DE"/>
        </w:rPr>
        <w:tab/>
        <w:t>Die Artikel VII.164 und VII.169 sind auf ihre tatsächliche Geschäftsleitung in Belgien anwendbar, Artikel VII.165 § 1 gilt für ihre belgische Niederlassung.</w:t>
      </w:r>
    </w:p>
    <w:p w14:paraId="0F4F3099" w14:textId="77777777" w:rsidR="00DE30A4" w:rsidRPr="004676F5" w:rsidRDefault="00DE30A4" w:rsidP="00DE30A4">
      <w:pPr>
        <w:jc w:val="both"/>
        <w:rPr>
          <w:lang w:val="de-DE"/>
        </w:rPr>
      </w:pPr>
    </w:p>
    <w:p w14:paraId="6C080CEF" w14:textId="77777777" w:rsidR="00DE30A4" w:rsidRPr="004676F5" w:rsidRDefault="00DE30A4" w:rsidP="00DE30A4">
      <w:pPr>
        <w:jc w:val="both"/>
        <w:rPr>
          <w:lang w:val="de-DE"/>
        </w:rPr>
      </w:pPr>
      <w:r w:rsidRPr="004676F5">
        <w:rPr>
          <w:lang w:val="de-DE"/>
        </w:rPr>
        <w:tab/>
        <w:t>Kreditgeber, die dem Recht eines anderen Mitgliedstaats des Europäischen Wirtschaftsraums unterliegen und ihre Tätigkeit als Kreditgeber in Belgien im Rahmen der Niederlassungsfreiheit ausüben, und Kreditgeber, die dem Recht eines Drittstaates unterliegen, richten für ihre auf belgischem Staatsgebiet getätigten Geschäfte ihre Hauptverwaltung in Belgien ein.</w:t>
      </w:r>
    </w:p>
    <w:p w14:paraId="0BE5253D" w14:textId="77777777" w:rsidR="00DE30A4" w:rsidRPr="004676F5" w:rsidRDefault="00DE30A4" w:rsidP="00DE30A4">
      <w:pPr>
        <w:jc w:val="both"/>
        <w:rPr>
          <w:lang w:val="de-DE"/>
        </w:rPr>
      </w:pPr>
    </w:p>
    <w:p w14:paraId="33844D6D" w14:textId="4490B6CF" w:rsidR="00881814" w:rsidRPr="004676F5" w:rsidRDefault="00DE30A4" w:rsidP="00DE30A4">
      <w:pPr>
        <w:ind w:firstLine="708"/>
        <w:jc w:val="both"/>
        <w:rPr>
          <w:lang w:val="de-DE"/>
        </w:rPr>
      </w:pPr>
      <w:r w:rsidRPr="004676F5">
        <w:rPr>
          <w:lang w:val="de-DE"/>
        </w:rPr>
        <w:t>Artikel VII.170 ist nicht anwendbar auf Zweigniederlassungen von Gesellschaften nach ausländischem Recht.]</w:t>
      </w:r>
    </w:p>
    <w:p w14:paraId="72A51F58" w14:textId="77777777" w:rsidR="00DE30A4" w:rsidRPr="004676F5" w:rsidRDefault="00DE30A4" w:rsidP="00DE30A4">
      <w:pPr>
        <w:ind w:firstLine="708"/>
        <w:jc w:val="both"/>
        <w:rPr>
          <w:lang w:val="de-DE"/>
        </w:rPr>
      </w:pPr>
    </w:p>
    <w:p w14:paraId="5C68427D" w14:textId="3BFE9D4E" w:rsidR="0061470E" w:rsidRPr="004676F5" w:rsidRDefault="00881814" w:rsidP="0061470E">
      <w:pPr>
        <w:ind w:firstLine="708"/>
        <w:jc w:val="both"/>
        <w:rPr>
          <w:lang w:val="de-DE"/>
        </w:rPr>
      </w:pPr>
      <w:r w:rsidRPr="004676F5">
        <w:rPr>
          <w:lang w:val="de-DE"/>
        </w:rPr>
        <w:t xml:space="preserve">§ 3 </w:t>
      </w:r>
      <w:r w:rsidR="005B7A5C" w:rsidRPr="004676F5">
        <w:rPr>
          <w:lang w:val="de-DE"/>
        </w:rPr>
        <w:t>- </w:t>
      </w:r>
      <w:r w:rsidR="0061470E" w:rsidRPr="004676F5">
        <w:rPr>
          <w:lang w:val="de-DE"/>
        </w:rPr>
        <w:t>[Die Artikel VII.161 bis VII.164 und VII.167 bis VII.169 sind nicht anwendbar auf folgende in vorliegendem Unterabschnitt erwähnte Kreditgeber:</w:t>
      </w:r>
    </w:p>
    <w:p w14:paraId="26CB92FF" w14:textId="77777777" w:rsidR="0061470E" w:rsidRPr="004676F5" w:rsidRDefault="0061470E" w:rsidP="0061470E">
      <w:pPr>
        <w:ind w:firstLine="708"/>
        <w:jc w:val="both"/>
        <w:rPr>
          <w:lang w:val="de-DE"/>
        </w:rPr>
      </w:pPr>
    </w:p>
    <w:p w14:paraId="6AD31574" w14:textId="77777777" w:rsidR="0061470E" w:rsidRPr="004676F5" w:rsidRDefault="0061470E" w:rsidP="0061470E">
      <w:pPr>
        <w:ind w:firstLine="708"/>
        <w:jc w:val="both"/>
        <w:rPr>
          <w:lang w:val="de-DE"/>
        </w:rPr>
      </w:pPr>
      <w:r w:rsidRPr="004676F5">
        <w:rPr>
          <w:lang w:val="de-DE"/>
        </w:rPr>
        <w:t>1. Zweigniederlassungen von Kreditinstituten, die dem Recht eines Drittstaates unterliegen und in der in Artikel 14 des Gesetzes vom 25. April 2014 erwähnten Liste eingetragen sind,</w:t>
      </w:r>
    </w:p>
    <w:p w14:paraId="3EEAF4A8" w14:textId="77777777" w:rsidR="0061470E" w:rsidRPr="004676F5" w:rsidRDefault="0061470E" w:rsidP="0061470E">
      <w:pPr>
        <w:ind w:firstLine="708"/>
        <w:jc w:val="both"/>
        <w:rPr>
          <w:lang w:val="de-DE"/>
        </w:rPr>
      </w:pPr>
    </w:p>
    <w:p w14:paraId="56B8B210" w14:textId="77777777" w:rsidR="0061470E" w:rsidRPr="004676F5" w:rsidRDefault="0061470E" w:rsidP="0061470E">
      <w:pPr>
        <w:ind w:firstLine="708"/>
        <w:jc w:val="both"/>
        <w:rPr>
          <w:lang w:val="de-DE"/>
        </w:rPr>
      </w:pPr>
      <w:r w:rsidRPr="004676F5">
        <w:rPr>
          <w:lang w:val="de-DE"/>
        </w:rPr>
        <w:t xml:space="preserve">2. Zweigniederlassungen von Investmentgesellschaften, die dem Recht eines Drittstaates unterliegen und in der in </w:t>
      </w:r>
      <w:r w:rsidR="0012182F" w:rsidRPr="004676F5">
        <w:rPr>
          <w:lang w:val="de-DE"/>
        </w:rPr>
        <w:t>[Artikel 13 § 3 des Gesetzes vom 25. Oktober 2016]</w:t>
      </w:r>
      <w:r w:rsidRPr="004676F5">
        <w:rPr>
          <w:lang w:val="de-DE"/>
        </w:rPr>
        <w:t xml:space="preserve"> erwähnten Liste eingetragen sind,</w:t>
      </w:r>
    </w:p>
    <w:p w14:paraId="0693F246" w14:textId="77777777" w:rsidR="0061470E" w:rsidRPr="004676F5" w:rsidRDefault="0061470E" w:rsidP="0061470E">
      <w:pPr>
        <w:ind w:firstLine="708"/>
        <w:jc w:val="both"/>
        <w:rPr>
          <w:lang w:val="de-DE"/>
        </w:rPr>
      </w:pPr>
    </w:p>
    <w:p w14:paraId="74C20E77" w14:textId="77777777" w:rsidR="0061470E" w:rsidRPr="004676F5" w:rsidRDefault="0061470E" w:rsidP="0061470E">
      <w:pPr>
        <w:ind w:firstLine="708"/>
        <w:jc w:val="both"/>
        <w:rPr>
          <w:lang w:val="de-DE"/>
        </w:rPr>
      </w:pPr>
      <w:r w:rsidRPr="004676F5">
        <w:rPr>
          <w:lang w:val="de-DE"/>
        </w:rPr>
        <w:t>3. Versicherungsunternehmen, die dem Recht eines anderen Mitgliedstaats des Europäischen Wirtschaftsraums unterliegen, ihre Tätigkeit in Belgien über eine Zweigstelle oder im Rahmen des freien Dienstleistungsverkehrs ausüben und in der in Artikel 66 des Gesetzes vom 9. Juli 1975 über die Kontrolle der Versicherungsunternehmen erwähnten Liste eingetragen sind,</w:t>
      </w:r>
    </w:p>
    <w:p w14:paraId="53B1DD6C" w14:textId="77777777" w:rsidR="0061470E" w:rsidRPr="004676F5" w:rsidRDefault="0061470E" w:rsidP="0061470E">
      <w:pPr>
        <w:jc w:val="both"/>
        <w:rPr>
          <w:lang w:val="de-DE"/>
        </w:rPr>
      </w:pPr>
    </w:p>
    <w:p w14:paraId="69884B2E" w14:textId="77777777" w:rsidR="0061470E" w:rsidRPr="004676F5" w:rsidRDefault="0061470E" w:rsidP="0061470E">
      <w:pPr>
        <w:ind w:firstLine="708"/>
        <w:jc w:val="both"/>
        <w:rPr>
          <w:lang w:val="de-DE"/>
        </w:rPr>
      </w:pPr>
      <w:r w:rsidRPr="004676F5">
        <w:rPr>
          <w:lang w:val="de-DE"/>
        </w:rPr>
        <w:lastRenderedPageBreak/>
        <w:t>4. Zweigniederlassungen von Versicherungsunternehmen, die dem Recht eines Drittstaates unterliegen und in der in Artikel 4 des Gesetzes vom 9. Juli 1975 über die Kontrolle der Versicherungsunternehmen erwähnten Liste eingetragen sind,</w:t>
      </w:r>
    </w:p>
    <w:p w14:paraId="2CB90079" w14:textId="77777777" w:rsidR="0061470E" w:rsidRPr="004676F5" w:rsidRDefault="0061470E" w:rsidP="0061470E">
      <w:pPr>
        <w:ind w:firstLine="708"/>
        <w:jc w:val="both"/>
        <w:rPr>
          <w:lang w:val="de-DE"/>
        </w:rPr>
      </w:pPr>
    </w:p>
    <w:p w14:paraId="5053F6DA" w14:textId="77777777" w:rsidR="0061470E" w:rsidRPr="004676F5" w:rsidRDefault="0061470E" w:rsidP="0061470E">
      <w:pPr>
        <w:ind w:firstLine="708"/>
        <w:jc w:val="both"/>
        <w:rPr>
          <w:lang w:val="de-DE"/>
        </w:rPr>
      </w:pPr>
      <w:r w:rsidRPr="004676F5">
        <w:rPr>
          <w:lang w:val="de-DE"/>
        </w:rPr>
        <w:t>5. E-Geld-Institute, die dem Recht eines anderen Mitgliedstaats des Europäischen Wirtschaftsraums unterliegen, ihre Tätigkeit in Belgien über eine Zweigstelle oder im Rahmen des freien Dienstleistungsverkehrs ausüben und in der in Artikel 91 des Gesetzes vom 21. Dezember 2009 erwähnten Liste eingetragen sind,</w:t>
      </w:r>
    </w:p>
    <w:p w14:paraId="4031DB51" w14:textId="77777777" w:rsidR="0061470E" w:rsidRPr="004676F5" w:rsidRDefault="0061470E" w:rsidP="0061470E">
      <w:pPr>
        <w:ind w:firstLine="708"/>
        <w:jc w:val="both"/>
        <w:rPr>
          <w:lang w:val="de-DE"/>
        </w:rPr>
      </w:pPr>
    </w:p>
    <w:p w14:paraId="53B78F43" w14:textId="77777777" w:rsidR="0061470E" w:rsidRPr="004676F5" w:rsidRDefault="0061470E" w:rsidP="0061470E">
      <w:pPr>
        <w:ind w:firstLine="708"/>
        <w:jc w:val="both"/>
        <w:rPr>
          <w:lang w:val="de-DE"/>
        </w:rPr>
      </w:pPr>
      <w:r w:rsidRPr="004676F5">
        <w:rPr>
          <w:lang w:val="de-DE"/>
        </w:rPr>
        <w:t>6. Zweigniederlassungen von E-Geld-Instituten, die dem Recht eines Drittstaates unterliegen und in der in Artikel 64 des Gesetzes vom 21. Dezember 2009 erwähnten Liste eingetragen sind,</w:t>
      </w:r>
    </w:p>
    <w:p w14:paraId="43FFD934" w14:textId="77777777" w:rsidR="0061470E" w:rsidRPr="004676F5" w:rsidRDefault="0061470E" w:rsidP="0061470E">
      <w:pPr>
        <w:ind w:firstLine="708"/>
        <w:jc w:val="both"/>
        <w:rPr>
          <w:lang w:val="de-DE"/>
        </w:rPr>
      </w:pPr>
    </w:p>
    <w:p w14:paraId="493C6DE4" w14:textId="77777777" w:rsidR="00881814" w:rsidRPr="004676F5" w:rsidRDefault="0061470E" w:rsidP="0061470E">
      <w:pPr>
        <w:ind w:firstLine="708"/>
        <w:jc w:val="both"/>
        <w:rPr>
          <w:lang w:val="de-DE"/>
        </w:rPr>
      </w:pPr>
      <w:r w:rsidRPr="004676F5">
        <w:rPr>
          <w:lang w:val="de-DE"/>
        </w:rPr>
        <w:t>7. Zahlungsinstitute, die dem Recht eines anderen Mitgliedstaats des Europäischen Wirtschaftsraums unterliegen, ihre Tätigkeit in Belgien über eine Zweigstelle oder im Rahmen des freien Dienstleistungsverkehrs ausüben und in der in Artikel 39 des Gesetzes vom 21. Dezember 2009 erwähnten Liste eingetragen sind.]</w:t>
      </w:r>
    </w:p>
    <w:p w14:paraId="2E50A10A" w14:textId="77777777" w:rsidR="00881814" w:rsidRPr="004676F5" w:rsidRDefault="00881814" w:rsidP="00881814">
      <w:pPr>
        <w:rPr>
          <w:lang w:val="de-DE"/>
        </w:rPr>
      </w:pPr>
    </w:p>
    <w:p w14:paraId="039796E1" w14:textId="051BBFF6" w:rsidR="004215F6" w:rsidRPr="004676F5" w:rsidRDefault="006F404A" w:rsidP="004215F6">
      <w:pPr>
        <w:jc w:val="both"/>
        <w:rPr>
          <w:i/>
          <w:iCs/>
          <w:lang w:val="de-DE"/>
        </w:rPr>
      </w:pPr>
      <w:r w:rsidRPr="004676F5">
        <w:rPr>
          <w:i/>
          <w:lang w:val="de-DE"/>
        </w:rPr>
        <w:t>[</w:t>
      </w:r>
      <w:r w:rsidR="00BE0A56" w:rsidRPr="004676F5">
        <w:rPr>
          <w:i/>
          <w:lang w:val="de-DE"/>
        </w:rPr>
        <w:t>Art. </w:t>
      </w:r>
      <w:r w:rsidRPr="004676F5">
        <w:rPr>
          <w:i/>
          <w:lang w:val="de-DE"/>
        </w:rPr>
        <w:t xml:space="preserve">VII.176 </w:t>
      </w:r>
      <w:r w:rsidR="00DE30A4" w:rsidRPr="004676F5">
        <w:rPr>
          <w:i/>
          <w:lang w:val="de-DE"/>
        </w:rPr>
        <w:t>§ 2 ersetzt durch Art. 368</w:t>
      </w:r>
      <w:r w:rsidR="00DE30A4" w:rsidRPr="004676F5">
        <w:rPr>
          <w:i/>
          <w:iCs/>
          <w:lang w:val="de-DE"/>
        </w:rPr>
        <w:t xml:space="preserve"> des G. vom 27. Juni 2021 (B.S. vom 9. Juli 2021); </w:t>
      </w:r>
      <w:r w:rsidRPr="004676F5">
        <w:rPr>
          <w:i/>
          <w:lang w:val="de-DE"/>
        </w:rPr>
        <w:t xml:space="preserve">§ 3 </w:t>
      </w:r>
      <w:r w:rsidR="0061470E" w:rsidRPr="004676F5">
        <w:rPr>
          <w:i/>
          <w:lang w:val="de-DE"/>
        </w:rPr>
        <w:t xml:space="preserve">ersetzt durch </w:t>
      </w:r>
      <w:r w:rsidR="00BE0A56" w:rsidRPr="004676F5">
        <w:rPr>
          <w:i/>
          <w:lang w:val="de-DE"/>
        </w:rPr>
        <w:t>Art. </w:t>
      </w:r>
      <w:r w:rsidR="0061470E" w:rsidRPr="004676F5">
        <w:rPr>
          <w:i/>
          <w:lang w:val="de-DE"/>
        </w:rPr>
        <w:t>31</w:t>
      </w:r>
      <w:r w:rsidR="0061470E" w:rsidRPr="004676F5">
        <w:rPr>
          <w:i/>
          <w:iCs/>
          <w:lang w:val="de-DE"/>
        </w:rPr>
        <w:t xml:space="preserve"> </w:t>
      </w:r>
      <w:r w:rsidR="0061470E" w:rsidRPr="004676F5">
        <w:rPr>
          <w:i/>
          <w:lang w:val="de-DE"/>
        </w:rPr>
        <w:t>des G. vom 26. Oktober 2015 (B.S. vom 30. Oktober 2015)</w:t>
      </w:r>
      <w:r w:rsidR="0012182F" w:rsidRPr="004676F5">
        <w:rPr>
          <w:i/>
          <w:lang w:val="de-DE"/>
        </w:rPr>
        <w:t xml:space="preserve">; § 3 einziger Absatz Nr. 2 abgeändert durch </w:t>
      </w:r>
      <w:r w:rsidR="00BE0A56" w:rsidRPr="004676F5">
        <w:rPr>
          <w:i/>
          <w:lang w:val="de-DE"/>
        </w:rPr>
        <w:t>Art. </w:t>
      </w:r>
      <w:r w:rsidR="0012182F" w:rsidRPr="004676F5">
        <w:rPr>
          <w:i/>
          <w:lang w:val="de-DE"/>
        </w:rPr>
        <w:t>175 des G. vom 25. Oktober 2016 (B.S. vom 18. November 2016)</w:t>
      </w:r>
      <w:r w:rsidRPr="004676F5">
        <w:rPr>
          <w:i/>
          <w:iCs/>
          <w:lang w:val="de-DE"/>
        </w:rPr>
        <w:t>]</w:t>
      </w:r>
    </w:p>
    <w:p w14:paraId="069C1D61" w14:textId="77777777" w:rsidR="004215F6" w:rsidRPr="004676F5" w:rsidRDefault="004215F6" w:rsidP="004215F6">
      <w:pPr>
        <w:jc w:val="both"/>
        <w:rPr>
          <w:i/>
          <w:iCs/>
          <w:lang w:val="de-DE"/>
        </w:rPr>
      </w:pPr>
    </w:p>
    <w:p w14:paraId="11F1262D" w14:textId="77777777" w:rsidR="004215F6" w:rsidRPr="004676F5" w:rsidRDefault="004215F6" w:rsidP="004215F6">
      <w:pPr>
        <w:jc w:val="both"/>
        <w:rPr>
          <w:i/>
          <w:iCs/>
          <w:lang w:val="de-DE"/>
        </w:rPr>
      </w:pPr>
    </w:p>
    <w:p w14:paraId="1CBAAFE9" w14:textId="2AA47F0D" w:rsidR="00881814" w:rsidRPr="004676F5" w:rsidRDefault="00881814" w:rsidP="00881814">
      <w:pPr>
        <w:jc w:val="center"/>
        <w:rPr>
          <w:lang w:val="de-DE"/>
        </w:rPr>
      </w:pPr>
      <w:r w:rsidRPr="004676F5">
        <w:rPr>
          <w:i/>
          <w:lang w:val="de-DE"/>
        </w:rPr>
        <w:t>Abschnitt 4 </w:t>
      </w:r>
      <w:r w:rsidR="005B7A5C" w:rsidRPr="004676F5">
        <w:rPr>
          <w:i/>
          <w:lang w:val="de-DE"/>
        </w:rPr>
        <w:t>- </w:t>
      </w:r>
      <w:r w:rsidRPr="004676F5">
        <w:rPr>
          <w:lang w:val="de-DE"/>
        </w:rPr>
        <w:t>Kreditvermittler</w:t>
      </w:r>
    </w:p>
    <w:p w14:paraId="40FB431A" w14:textId="77777777" w:rsidR="00881814" w:rsidRPr="004676F5" w:rsidRDefault="00881814" w:rsidP="00881814">
      <w:pPr>
        <w:ind w:firstLine="708"/>
        <w:jc w:val="both"/>
        <w:rPr>
          <w:lang w:val="de-DE"/>
        </w:rPr>
      </w:pPr>
    </w:p>
    <w:p w14:paraId="024A24E6" w14:textId="77777777" w:rsidR="008D748D" w:rsidRPr="004676F5" w:rsidRDefault="008D748D" w:rsidP="00881814">
      <w:pPr>
        <w:ind w:firstLine="708"/>
        <w:jc w:val="both"/>
        <w:rPr>
          <w:lang w:val="de-DE"/>
        </w:rPr>
      </w:pPr>
    </w:p>
    <w:p w14:paraId="717646F8" w14:textId="515956F2" w:rsidR="00881814" w:rsidRPr="004676F5" w:rsidRDefault="00BE0A56" w:rsidP="00881814">
      <w:pPr>
        <w:ind w:firstLine="708"/>
        <w:jc w:val="both"/>
        <w:rPr>
          <w:lang w:val="de-DE"/>
        </w:rPr>
      </w:pPr>
      <w:r w:rsidRPr="004676F5">
        <w:rPr>
          <w:b/>
          <w:lang w:val="de-DE"/>
        </w:rPr>
        <w:t>Art. </w:t>
      </w:r>
      <w:r w:rsidR="00881814" w:rsidRPr="004676F5">
        <w:rPr>
          <w:b/>
          <w:lang w:val="de-DE"/>
        </w:rPr>
        <w:t>VII.177</w:t>
      </w:r>
      <w:r w:rsidR="00881814" w:rsidRPr="004676F5">
        <w:rPr>
          <w:lang w:val="de-DE"/>
        </w:rPr>
        <w:t> </w:t>
      </w:r>
      <w:r w:rsidR="005B7A5C" w:rsidRPr="004676F5">
        <w:rPr>
          <w:lang w:val="de-DE"/>
        </w:rPr>
        <w:t>- </w:t>
      </w:r>
      <w:r w:rsidR="00881814" w:rsidRPr="004676F5">
        <w:rPr>
          <w:lang w:val="de-DE"/>
        </w:rPr>
        <w:t>Kreditvermittler werden in zwei Kategorien aufgegliedert:</w:t>
      </w:r>
    </w:p>
    <w:p w14:paraId="618D99DF" w14:textId="77777777" w:rsidR="00881814" w:rsidRPr="004676F5" w:rsidRDefault="00881814" w:rsidP="00881814">
      <w:pPr>
        <w:ind w:firstLine="708"/>
        <w:jc w:val="both"/>
        <w:rPr>
          <w:lang w:val="de-DE"/>
        </w:rPr>
      </w:pPr>
    </w:p>
    <w:p w14:paraId="1054E1A6" w14:textId="77777777" w:rsidR="00881814" w:rsidRPr="004676F5" w:rsidRDefault="00881814" w:rsidP="00881814">
      <w:pPr>
        <w:ind w:firstLine="708"/>
        <w:jc w:val="both"/>
        <w:rPr>
          <w:lang w:val="de-DE"/>
        </w:rPr>
      </w:pPr>
      <w:r w:rsidRPr="004676F5">
        <w:rPr>
          <w:lang w:val="de-DE"/>
        </w:rPr>
        <w:t>1. Hypothekarkreditvermittler,</w:t>
      </w:r>
    </w:p>
    <w:p w14:paraId="2361446B" w14:textId="77777777" w:rsidR="00881814" w:rsidRPr="004676F5" w:rsidRDefault="00881814" w:rsidP="00881814">
      <w:pPr>
        <w:ind w:firstLine="708"/>
        <w:jc w:val="both"/>
        <w:rPr>
          <w:lang w:val="de-DE"/>
        </w:rPr>
      </w:pPr>
    </w:p>
    <w:p w14:paraId="658A8FAA" w14:textId="77777777" w:rsidR="00881814" w:rsidRPr="004676F5" w:rsidRDefault="00881814" w:rsidP="00881814">
      <w:pPr>
        <w:ind w:firstLine="708"/>
        <w:jc w:val="both"/>
        <w:rPr>
          <w:lang w:val="de-DE"/>
        </w:rPr>
      </w:pPr>
      <w:r w:rsidRPr="004676F5">
        <w:rPr>
          <w:lang w:val="de-DE"/>
        </w:rPr>
        <w:t>2. Verbraucherkreditvermittler.</w:t>
      </w:r>
    </w:p>
    <w:p w14:paraId="0FB661F3" w14:textId="77777777" w:rsidR="00881814" w:rsidRPr="004676F5" w:rsidRDefault="00881814" w:rsidP="00881814">
      <w:pPr>
        <w:ind w:firstLine="708"/>
        <w:jc w:val="both"/>
        <w:rPr>
          <w:lang w:val="de-DE"/>
        </w:rPr>
      </w:pPr>
    </w:p>
    <w:p w14:paraId="62D85E0C" w14:textId="77777777" w:rsidR="00881814" w:rsidRPr="004676F5" w:rsidRDefault="00881814" w:rsidP="00881814">
      <w:pPr>
        <w:ind w:firstLine="708"/>
        <w:jc w:val="both"/>
        <w:rPr>
          <w:lang w:val="de-DE"/>
        </w:rPr>
      </w:pPr>
      <w:r w:rsidRPr="004676F5">
        <w:rPr>
          <w:lang w:val="de-DE"/>
        </w:rPr>
        <w:t>Als "Hypothekarkreditvermittler" gilt ein Kreditvermittler, der auf dem Gebiet der Hypothekarkredite tätig ist.</w:t>
      </w:r>
    </w:p>
    <w:p w14:paraId="219CEA19" w14:textId="77777777" w:rsidR="00881814" w:rsidRPr="004676F5" w:rsidRDefault="00881814" w:rsidP="00881814">
      <w:pPr>
        <w:ind w:firstLine="708"/>
        <w:jc w:val="both"/>
        <w:rPr>
          <w:lang w:val="de-DE"/>
        </w:rPr>
      </w:pPr>
    </w:p>
    <w:p w14:paraId="1BCD7E9A" w14:textId="77777777" w:rsidR="00881814" w:rsidRPr="004676F5" w:rsidRDefault="00881814" w:rsidP="00881814">
      <w:pPr>
        <w:ind w:firstLine="708"/>
        <w:jc w:val="both"/>
        <w:rPr>
          <w:lang w:val="de-DE"/>
        </w:rPr>
      </w:pPr>
      <w:r w:rsidRPr="004676F5">
        <w:rPr>
          <w:lang w:val="de-DE"/>
        </w:rPr>
        <w:t>Als "Verbraucherkreditvermittler" gilt ein Kreditvermittler, der auf dem Gebiet der Verbraucherkredite tätig ist.</w:t>
      </w:r>
    </w:p>
    <w:p w14:paraId="357E924B" w14:textId="77777777" w:rsidR="00881814" w:rsidRPr="004676F5" w:rsidRDefault="00881814" w:rsidP="00881814">
      <w:pPr>
        <w:ind w:firstLine="708"/>
        <w:jc w:val="both"/>
        <w:rPr>
          <w:lang w:val="de-DE"/>
        </w:rPr>
      </w:pPr>
    </w:p>
    <w:p w14:paraId="53BF1180" w14:textId="77777777" w:rsidR="008D748D" w:rsidRPr="004676F5" w:rsidRDefault="008D748D" w:rsidP="00881814">
      <w:pPr>
        <w:ind w:firstLine="708"/>
        <w:jc w:val="both"/>
        <w:rPr>
          <w:lang w:val="de-DE"/>
        </w:rPr>
      </w:pPr>
    </w:p>
    <w:p w14:paraId="640F3590" w14:textId="42E958AF" w:rsidR="00881814" w:rsidRPr="004676F5" w:rsidRDefault="00BE0A56" w:rsidP="00881814">
      <w:pPr>
        <w:ind w:firstLine="708"/>
        <w:jc w:val="both"/>
        <w:rPr>
          <w:lang w:val="de-DE"/>
        </w:rPr>
      </w:pPr>
      <w:r w:rsidRPr="004676F5">
        <w:rPr>
          <w:b/>
          <w:lang w:val="de-DE"/>
        </w:rPr>
        <w:t>Art. </w:t>
      </w:r>
      <w:r w:rsidR="00881814" w:rsidRPr="004676F5">
        <w:rPr>
          <w:b/>
          <w:lang w:val="de-DE"/>
        </w:rPr>
        <w:t>VII.178</w:t>
      </w:r>
      <w:r w:rsidR="00881814" w:rsidRPr="004676F5">
        <w:rPr>
          <w:lang w:val="de-DE"/>
        </w:rPr>
        <w:t> </w:t>
      </w:r>
      <w:r w:rsidR="005B7A5C" w:rsidRPr="004676F5">
        <w:rPr>
          <w:lang w:val="de-DE"/>
        </w:rPr>
        <w:t>- </w:t>
      </w:r>
      <w:r w:rsidR="00881814" w:rsidRPr="004676F5">
        <w:rPr>
          <w:lang w:val="de-DE"/>
        </w:rPr>
        <w:t>Ein in der Form einer juristischen Person nach belgischem Recht errichteter Kreditvermittler muss seine Hauptverwaltung in Belgien haben.</w:t>
      </w:r>
    </w:p>
    <w:p w14:paraId="3686BBE4" w14:textId="77777777" w:rsidR="00881814" w:rsidRPr="004676F5" w:rsidRDefault="00881814" w:rsidP="00881814">
      <w:pPr>
        <w:ind w:firstLine="708"/>
        <w:jc w:val="both"/>
        <w:rPr>
          <w:lang w:val="de-DE"/>
        </w:rPr>
      </w:pPr>
    </w:p>
    <w:p w14:paraId="69E2E6DA" w14:textId="302E31FA" w:rsidR="00881814" w:rsidRPr="004676F5" w:rsidRDefault="00EB3058" w:rsidP="00881814">
      <w:pPr>
        <w:ind w:firstLine="708"/>
        <w:jc w:val="both"/>
        <w:rPr>
          <w:lang w:val="de-DE"/>
        </w:rPr>
      </w:pPr>
      <w:r w:rsidRPr="004676F5">
        <w:rPr>
          <w:lang w:val="de-DE"/>
        </w:rPr>
        <w:t>[Kreditvermittler, die nicht in Form einer juristischen Person gegründet sind und ihre Haupttätigkeit tatsächlich in Belgien ausüben, müssen ihre Hauptverwaltung in Belgien haben.]</w:t>
      </w:r>
    </w:p>
    <w:p w14:paraId="44E29089" w14:textId="77777777" w:rsidR="00EB3058" w:rsidRPr="004676F5" w:rsidRDefault="00EB3058" w:rsidP="00881814">
      <w:pPr>
        <w:ind w:firstLine="708"/>
        <w:jc w:val="both"/>
        <w:rPr>
          <w:lang w:val="de-DE"/>
        </w:rPr>
      </w:pPr>
    </w:p>
    <w:p w14:paraId="0AEAE735" w14:textId="77777777" w:rsidR="009446A1" w:rsidRPr="004676F5" w:rsidRDefault="009446A1">
      <w:pPr>
        <w:rPr>
          <w:lang w:val="de-DE"/>
        </w:rPr>
      </w:pPr>
      <w:r w:rsidRPr="004676F5">
        <w:rPr>
          <w:lang w:val="de-DE"/>
        </w:rPr>
        <w:br w:type="page"/>
      </w:r>
    </w:p>
    <w:p w14:paraId="371F455A" w14:textId="23FBB8BD" w:rsidR="00EB3058" w:rsidRPr="004676F5" w:rsidRDefault="00EB3058" w:rsidP="00881814">
      <w:pPr>
        <w:ind w:firstLine="708"/>
        <w:jc w:val="both"/>
        <w:rPr>
          <w:lang w:val="de-DE"/>
        </w:rPr>
      </w:pPr>
      <w:r w:rsidRPr="004676F5">
        <w:rPr>
          <w:lang w:val="de-DE"/>
        </w:rPr>
        <w:lastRenderedPageBreak/>
        <w:t>[Kreditvermittler, die ihren Wohn</w:t>
      </w:r>
      <w:r w:rsidR="005B7A5C" w:rsidRPr="004676F5">
        <w:rPr>
          <w:lang w:val="de-DE"/>
        </w:rPr>
        <w:t>- </w:t>
      </w:r>
      <w:r w:rsidRPr="004676F5">
        <w:rPr>
          <w:lang w:val="de-DE"/>
        </w:rPr>
        <w:t>oder Gesellschaftssitz in einem Drittstaat haben, richten für ihre auf belgischem Staatsgebiet getätigten Geschäfte ihre Hauptverwaltung in Belgien ein.]</w:t>
      </w:r>
    </w:p>
    <w:p w14:paraId="2B148BEE" w14:textId="77777777" w:rsidR="00EB3058" w:rsidRPr="004676F5" w:rsidRDefault="00EB3058" w:rsidP="00881814">
      <w:pPr>
        <w:ind w:firstLine="708"/>
        <w:jc w:val="both"/>
        <w:rPr>
          <w:lang w:val="de-DE"/>
        </w:rPr>
      </w:pPr>
    </w:p>
    <w:p w14:paraId="6086A45C" w14:textId="605E231E" w:rsidR="00EB3058" w:rsidRPr="004676F5" w:rsidRDefault="00EB3058" w:rsidP="00EB3058">
      <w:pPr>
        <w:jc w:val="both"/>
        <w:rPr>
          <w:i/>
          <w:iCs/>
          <w:lang w:val="de-DE"/>
        </w:rPr>
      </w:pPr>
      <w:r w:rsidRPr="004676F5">
        <w:rPr>
          <w:i/>
          <w:iCs/>
          <w:lang w:val="de-DE"/>
        </w:rPr>
        <w:t>[Art. VII.178 Abs. 2 ersetzt durch Art. 369 Nr. 1 des G. vom 27. Juni 2021 (B.S. vom 9. Juli 2021); Abs. 3 eingefügt durch Art. 369 Nr. 2 des G. vom 27. Juni 2021 (B.S. vom 9. Juli 2021)]</w:t>
      </w:r>
    </w:p>
    <w:p w14:paraId="40BF2EE8" w14:textId="77777777" w:rsidR="00881814" w:rsidRPr="004676F5" w:rsidRDefault="00881814" w:rsidP="00881814">
      <w:pPr>
        <w:ind w:firstLine="708"/>
        <w:jc w:val="both"/>
        <w:rPr>
          <w:lang w:val="de-DE"/>
        </w:rPr>
      </w:pPr>
    </w:p>
    <w:p w14:paraId="017761D6" w14:textId="77777777" w:rsidR="008D748D" w:rsidRPr="004676F5" w:rsidRDefault="008D748D" w:rsidP="00881814">
      <w:pPr>
        <w:ind w:firstLine="708"/>
        <w:jc w:val="both"/>
        <w:rPr>
          <w:lang w:val="de-DE"/>
        </w:rPr>
      </w:pPr>
    </w:p>
    <w:p w14:paraId="5BF10344" w14:textId="0D4E37B2" w:rsidR="008D748D" w:rsidRPr="004676F5" w:rsidRDefault="00BE0A56" w:rsidP="00881814">
      <w:pPr>
        <w:ind w:firstLine="708"/>
        <w:jc w:val="both"/>
        <w:rPr>
          <w:lang w:val="de-DE"/>
        </w:rPr>
      </w:pPr>
      <w:r w:rsidRPr="004676F5">
        <w:rPr>
          <w:b/>
          <w:lang w:val="de-DE"/>
        </w:rPr>
        <w:t>Art. </w:t>
      </w:r>
      <w:r w:rsidR="00881814" w:rsidRPr="004676F5">
        <w:rPr>
          <w:b/>
          <w:lang w:val="de-DE"/>
        </w:rPr>
        <w:t>VII.179</w:t>
      </w:r>
      <w:r w:rsidR="00881814" w:rsidRPr="004676F5">
        <w:rPr>
          <w:lang w:val="de-DE"/>
        </w:rPr>
        <w:t> </w:t>
      </w:r>
      <w:r w:rsidR="005B7A5C" w:rsidRPr="004676F5">
        <w:rPr>
          <w:lang w:val="de-DE"/>
        </w:rPr>
        <w:t>- </w:t>
      </w:r>
      <w:r w:rsidR="00881814" w:rsidRPr="004676F5">
        <w:rPr>
          <w:lang w:val="de-DE"/>
        </w:rPr>
        <w:t xml:space="preserve">Kreditvermittler sind verpflichtet, der FSMA zur Deckung </w:t>
      </w:r>
      <w:r w:rsidR="00C04120" w:rsidRPr="004676F5">
        <w:rPr>
          <w:lang w:val="de-DE"/>
        </w:rPr>
        <w:t>[</w:t>
      </w:r>
      <w:r w:rsidR="00881814" w:rsidRPr="004676F5">
        <w:rPr>
          <w:lang w:val="de-DE"/>
        </w:rPr>
        <w:t xml:space="preserve">der </w:t>
      </w:r>
      <w:r w:rsidR="00C04120" w:rsidRPr="004676F5">
        <w:rPr>
          <w:lang w:val="de-DE"/>
        </w:rPr>
        <w:t>Funktion</w:t>
      </w:r>
      <w:r w:rsidR="00881814" w:rsidRPr="004676F5">
        <w:rPr>
          <w:lang w:val="de-DE"/>
        </w:rPr>
        <w:t>skosten</w:t>
      </w:r>
      <w:r w:rsidR="00C04120" w:rsidRPr="004676F5">
        <w:rPr>
          <w:lang w:val="de-DE"/>
        </w:rPr>
        <w:t>]</w:t>
      </w:r>
      <w:r w:rsidR="00881814" w:rsidRPr="004676F5">
        <w:rPr>
          <w:lang w:val="de-DE"/>
        </w:rPr>
        <w:t xml:space="preserve"> eine Vergütung zu zahlen. Der König bestimmt in Anwendung von Artikel 56 des Gesetzes vom 2. August 2002 die Höhe dieser Vergütung, die Fälle, in denen sie geschuldet wird, und die Fristen für ihre Entrichtung.</w:t>
      </w:r>
    </w:p>
    <w:p w14:paraId="48172E35" w14:textId="247BC687" w:rsidR="006F404A" w:rsidRPr="004676F5" w:rsidRDefault="006F404A">
      <w:pPr>
        <w:rPr>
          <w:i/>
          <w:lang w:val="de-DE"/>
        </w:rPr>
      </w:pPr>
    </w:p>
    <w:p w14:paraId="3B7BF71E" w14:textId="71FD06D3" w:rsidR="00C04120" w:rsidRPr="004676F5" w:rsidRDefault="00C04120" w:rsidP="00C04120">
      <w:pPr>
        <w:jc w:val="both"/>
        <w:rPr>
          <w:i/>
          <w:lang w:val="de-DE"/>
        </w:rPr>
      </w:pPr>
      <w:r w:rsidRPr="004676F5">
        <w:rPr>
          <w:i/>
          <w:lang w:val="de-DE"/>
        </w:rPr>
        <w:t>[Art. VII.179 abgeändert durch Art. 22 des G. vom 30. Juli 2018 (II) (B.S. vom 5. September 2018)]</w:t>
      </w:r>
    </w:p>
    <w:p w14:paraId="12FBBE2C" w14:textId="77777777" w:rsidR="00C04120" w:rsidRPr="004676F5" w:rsidRDefault="00C04120">
      <w:pPr>
        <w:rPr>
          <w:i/>
          <w:lang w:val="de-DE"/>
        </w:rPr>
      </w:pPr>
    </w:p>
    <w:p w14:paraId="3C5478C7" w14:textId="77777777" w:rsidR="0061470E" w:rsidRPr="004676F5" w:rsidRDefault="0061470E">
      <w:pPr>
        <w:rPr>
          <w:i/>
          <w:lang w:val="de-DE"/>
        </w:rPr>
      </w:pPr>
    </w:p>
    <w:p w14:paraId="0FAA35C0" w14:textId="0D8FA421" w:rsidR="00881814" w:rsidRPr="004676F5" w:rsidRDefault="00881814" w:rsidP="00881814">
      <w:pPr>
        <w:jc w:val="center"/>
        <w:rPr>
          <w:lang w:val="de-DE"/>
        </w:rPr>
      </w:pPr>
      <w:r w:rsidRPr="004676F5">
        <w:rPr>
          <w:i/>
          <w:lang w:val="de-DE"/>
        </w:rPr>
        <w:t>Abschnitt 5 </w:t>
      </w:r>
      <w:r w:rsidR="005B7A5C" w:rsidRPr="004676F5">
        <w:rPr>
          <w:i/>
          <w:lang w:val="de-DE"/>
        </w:rPr>
        <w:t>- </w:t>
      </w:r>
      <w:r w:rsidRPr="004676F5">
        <w:rPr>
          <w:lang w:val="de-DE"/>
        </w:rPr>
        <w:t>Hypothekarkreditvermittler</w:t>
      </w:r>
    </w:p>
    <w:p w14:paraId="0FDCB6DB" w14:textId="77777777" w:rsidR="00881814" w:rsidRPr="004676F5" w:rsidRDefault="00881814" w:rsidP="00881814">
      <w:pPr>
        <w:ind w:firstLine="708"/>
        <w:jc w:val="both"/>
        <w:rPr>
          <w:lang w:val="de-DE"/>
        </w:rPr>
      </w:pPr>
    </w:p>
    <w:p w14:paraId="215FBA90" w14:textId="77777777" w:rsidR="008D748D" w:rsidRPr="004676F5" w:rsidRDefault="008D748D" w:rsidP="00881814">
      <w:pPr>
        <w:ind w:firstLine="708"/>
        <w:jc w:val="both"/>
        <w:rPr>
          <w:lang w:val="de-DE"/>
        </w:rPr>
      </w:pPr>
    </w:p>
    <w:p w14:paraId="7084F955" w14:textId="1D379806" w:rsidR="00881814" w:rsidRPr="004676F5" w:rsidRDefault="00881814" w:rsidP="00881814">
      <w:pPr>
        <w:jc w:val="center"/>
        <w:rPr>
          <w:lang w:val="de-DE"/>
        </w:rPr>
      </w:pPr>
      <w:r w:rsidRPr="004676F5">
        <w:rPr>
          <w:lang w:val="de-DE"/>
        </w:rPr>
        <w:t>Unterabschnitt 1 </w:t>
      </w:r>
      <w:r w:rsidR="005B7A5C" w:rsidRPr="004676F5">
        <w:rPr>
          <w:lang w:val="de-DE"/>
        </w:rPr>
        <w:t>- </w:t>
      </w:r>
      <w:r w:rsidRPr="004676F5">
        <w:rPr>
          <w:lang w:val="de-DE"/>
        </w:rPr>
        <w:t>Allgemeine Bestimmungen</w:t>
      </w:r>
    </w:p>
    <w:p w14:paraId="385E159C" w14:textId="77777777" w:rsidR="00881814" w:rsidRPr="004676F5" w:rsidRDefault="00881814" w:rsidP="00881814">
      <w:pPr>
        <w:ind w:firstLine="708"/>
        <w:jc w:val="both"/>
        <w:rPr>
          <w:lang w:val="de-DE"/>
        </w:rPr>
      </w:pPr>
    </w:p>
    <w:p w14:paraId="0C6FD286" w14:textId="77777777" w:rsidR="008D748D" w:rsidRPr="004676F5" w:rsidRDefault="008D748D" w:rsidP="00881814">
      <w:pPr>
        <w:ind w:firstLine="708"/>
        <w:jc w:val="both"/>
        <w:rPr>
          <w:lang w:val="de-DE"/>
        </w:rPr>
      </w:pPr>
    </w:p>
    <w:p w14:paraId="38EC11C8" w14:textId="4860231B" w:rsidR="00881814" w:rsidRPr="004676F5" w:rsidRDefault="00BE0A56" w:rsidP="00881814">
      <w:pPr>
        <w:ind w:firstLine="708"/>
        <w:jc w:val="both"/>
        <w:rPr>
          <w:lang w:val="de-DE"/>
        </w:rPr>
      </w:pPr>
      <w:r w:rsidRPr="004676F5">
        <w:rPr>
          <w:b/>
          <w:lang w:val="de-DE"/>
        </w:rPr>
        <w:t>Art. </w:t>
      </w:r>
      <w:r w:rsidR="00881814" w:rsidRPr="004676F5">
        <w:rPr>
          <w:b/>
          <w:lang w:val="de-DE"/>
        </w:rPr>
        <w:t>VII.180</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 xml:space="preserve">Ein Hypothekarkreditvermittler, dessen Herkunftsmitgliedstaat Belgien ist, darf die Tätigkeit </w:t>
      </w:r>
      <w:r w:rsidR="00C04120" w:rsidRPr="004676F5">
        <w:rPr>
          <w:lang w:val="de-DE"/>
        </w:rPr>
        <w:t>[d</w:t>
      </w:r>
      <w:r w:rsidR="00881814" w:rsidRPr="004676F5">
        <w:rPr>
          <w:lang w:val="de-DE"/>
        </w:rPr>
        <w:t>e</w:t>
      </w:r>
      <w:r w:rsidR="00C04120" w:rsidRPr="004676F5">
        <w:rPr>
          <w:lang w:val="de-DE"/>
        </w:rPr>
        <w:t>r</w:t>
      </w:r>
      <w:r w:rsidR="00881814" w:rsidRPr="004676F5">
        <w:rPr>
          <w:lang w:val="de-DE"/>
        </w:rPr>
        <w:t xml:space="preserve"> Hypothekarkreditvermittl</w:t>
      </w:r>
      <w:r w:rsidR="00C04120" w:rsidRPr="004676F5">
        <w:rPr>
          <w:lang w:val="de-DE"/>
        </w:rPr>
        <w:t>ung]</w:t>
      </w:r>
      <w:r w:rsidR="00881814" w:rsidRPr="004676F5">
        <w:rPr>
          <w:lang w:val="de-DE"/>
        </w:rPr>
        <w:t xml:space="preserve"> nur ausüben, wenn er vorab in das Register eingetragen worden ist, das die FSMA zu diesem Zweck führt.</w:t>
      </w:r>
    </w:p>
    <w:p w14:paraId="5372FAD9" w14:textId="77777777" w:rsidR="00881814" w:rsidRPr="004676F5" w:rsidRDefault="00881814" w:rsidP="00881814">
      <w:pPr>
        <w:ind w:firstLine="708"/>
        <w:jc w:val="both"/>
        <w:rPr>
          <w:lang w:val="de-DE"/>
        </w:rPr>
      </w:pPr>
    </w:p>
    <w:p w14:paraId="7D0E44D3" w14:textId="77777777" w:rsidR="00881814" w:rsidRPr="004676F5" w:rsidRDefault="00881814" w:rsidP="00881814">
      <w:pPr>
        <w:ind w:firstLine="708"/>
        <w:jc w:val="both"/>
        <w:rPr>
          <w:lang w:val="de-DE"/>
        </w:rPr>
      </w:pPr>
      <w:r w:rsidRPr="004676F5">
        <w:rPr>
          <w:lang w:val="de-DE"/>
        </w:rPr>
        <w:t>Ein Hypothekarkreditvermittler, dessen Herkunftsmitgliedstaat ein anderer Staat als Belgien ist, darf die Tätigkeit eines Hypothekarkreditvermittlers in Belgien nur ausüben, wenn er vorab von der zuständigen Behörde seines Herkunftsmitgliedstaats als Hypothekar</w:t>
      </w:r>
      <w:r w:rsidRPr="004676F5">
        <w:rPr>
          <w:lang w:val="de-DE"/>
        </w:rPr>
        <w:softHyphen/>
        <w:t>kreditvermittler eingetragen worden ist.</w:t>
      </w:r>
    </w:p>
    <w:p w14:paraId="2773455F" w14:textId="77777777" w:rsidR="00881814" w:rsidRPr="004676F5" w:rsidRDefault="00881814" w:rsidP="00881814">
      <w:pPr>
        <w:ind w:firstLine="708"/>
        <w:jc w:val="both"/>
        <w:rPr>
          <w:lang w:val="de-DE"/>
        </w:rPr>
      </w:pPr>
    </w:p>
    <w:p w14:paraId="0C390496" w14:textId="77777777" w:rsidR="00881814" w:rsidRPr="004676F5" w:rsidRDefault="00881814" w:rsidP="00881814">
      <w:pPr>
        <w:ind w:firstLine="708"/>
        <w:jc w:val="both"/>
        <w:rPr>
          <w:lang w:val="de-DE"/>
        </w:rPr>
      </w:pPr>
      <w:r w:rsidRPr="004676F5">
        <w:rPr>
          <w:lang w:val="de-DE"/>
        </w:rPr>
        <w:t>Ein Hypothekarkreditvermittler, der seinen Wohnsitz beziehungsweise Sitz in einem Land außerhalb des Europäischen Wirtschaftsraums hat, darf die Tätigkeit eines Hypothekar</w:t>
      </w:r>
      <w:r w:rsidRPr="004676F5">
        <w:rPr>
          <w:lang w:val="de-DE"/>
        </w:rPr>
        <w:softHyphen/>
        <w:t>kreditvermittlers nur ausüben, wenn er vorab in das Register der Hypothekarkreditvermittler eingetragen worden ist, das die FSMA führt.</w:t>
      </w:r>
    </w:p>
    <w:p w14:paraId="0271B561" w14:textId="77777777" w:rsidR="00881814" w:rsidRPr="004676F5" w:rsidRDefault="00881814" w:rsidP="00881814">
      <w:pPr>
        <w:ind w:firstLine="708"/>
        <w:jc w:val="both"/>
        <w:rPr>
          <w:lang w:val="de-DE"/>
        </w:rPr>
      </w:pPr>
    </w:p>
    <w:p w14:paraId="5F47F745" w14:textId="5F178144"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Hypothekarkreditgeber, die gemäß vorliegendem Kapitel ordnungsgemäß zuge</w:t>
      </w:r>
      <w:r w:rsidRPr="004676F5">
        <w:rPr>
          <w:lang w:val="de-DE"/>
        </w:rPr>
        <w:softHyphen/>
        <w:t xml:space="preserve">lassen beziehungsweise registriert sind, dürfen die Tätigkeit </w:t>
      </w:r>
      <w:r w:rsidR="00C04120" w:rsidRPr="004676F5">
        <w:rPr>
          <w:lang w:val="de-DE"/>
        </w:rPr>
        <w:t>[der Hypothekarkreditver</w:t>
      </w:r>
      <w:r w:rsidR="00C04120" w:rsidRPr="004676F5">
        <w:rPr>
          <w:lang w:val="de-DE"/>
        </w:rPr>
        <w:softHyphen/>
        <w:t xml:space="preserve">mittlung] </w:t>
      </w:r>
      <w:r w:rsidRPr="004676F5">
        <w:rPr>
          <w:lang w:val="de-DE"/>
        </w:rPr>
        <w:t>jedoch ohne Eintragung im Register ausüben, sofern sie folgende Bedingungen erfüllen:</w:t>
      </w:r>
    </w:p>
    <w:p w14:paraId="66E5F246" w14:textId="77777777" w:rsidR="00881814" w:rsidRPr="004676F5" w:rsidRDefault="00881814" w:rsidP="00881814">
      <w:pPr>
        <w:ind w:firstLine="708"/>
        <w:jc w:val="both"/>
        <w:rPr>
          <w:lang w:val="de-DE"/>
        </w:rPr>
      </w:pPr>
    </w:p>
    <w:p w14:paraId="1E8C60F7" w14:textId="77777777" w:rsidR="00881814" w:rsidRPr="004676F5" w:rsidRDefault="00881814" w:rsidP="00881814">
      <w:pPr>
        <w:ind w:firstLine="708"/>
        <w:jc w:val="both"/>
        <w:rPr>
          <w:lang w:val="de-DE"/>
        </w:rPr>
      </w:pPr>
      <w:r w:rsidRPr="004676F5">
        <w:rPr>
          <w:lang w:val="de-DE"/>
        </w:rPr>
        <w:t>1. Sie bestimmen gemäß den Regeln von § 5 des vorliegenden Artikels einen oder mehrere Vertriebsbeauftragte.</w:t>
      </w:r>
    </w:p>
    <w:p w14:paraId="0A70AF09" w14:textId="77777777" w:rsidR="00881814" w:rsidRPr="004676F5" w:rsidRDefault="00881814" w:rsidP="00881814">
      <w:pPr>
        <w:ind w:firstLine="708"/>
        <w:jc w:val="both"/>
        <w:rPr>
          <w:lang w:val="de-DE"/>
        </w:rPr>
      </w:pPr>
    </w:p>
    <w:p w14:paraId="1FF7B4CD" w14:textId="77A2F571" w:rsidR="00881814" w:rsidRPr="004676F5" w:rsidRDefault="00881814" w:rsidP="00881814">
      <w:pPr>
        <w:ind w:firstLine="708"/>
        <w:jc w:val="both"/>
        <w:rPr>
          <w:lang w:val="de-DE"/>
        </w:rPr>
      </w:pPr>
      <w:r w:rsidRPr="004676F5">
        <w:rPr>
          <w:lang w:val="de-DE"/>
        </w:rPr>
        <w:t>2. Diese Vertriebsbeauftragten erfüllen dieselben Bedingungen im Bereich der Berufs</w:t>
      </w:r>
      <w:r w:rsidRPr="004676F5">
        <w:rPr>
          <w:lang w:val="de-DE"/>
        </w:rPr>
        <w:softHyphen/>
        <w:t xml:space="preserve">kenntnisse, der </w:t>
      </w:r>
      <w:r w:rsidR="009446A1" w:rsidRPr="004676F5">
        <w:rPr>
          <w:lang w:val="de-DE"/>
        </w:rPr>
        <w:t>[angemessenen Fachkompetenz]</w:t>
      </w:r>
      <w:r w:rsidRPr="004676F5">
        <w:rPr>
          <w:lang w:val="de-DE"/>
        </w:rPr>
        <w:t xml:space="preserve"> und der beruflichen Zuverlässigkeit wie Vertriebsbeauftragte der Hypothekarkreditvermittler.</w:t>
      </w:r>
    </w:p>
    <w:p w14:paraId="7CDFEFB7" w14:textId="77777777" w:rsidR="00881814" w:rsidRPr="004676F5" w:rsidRDefault="00881814" w:rsidP="00881814">
      <w:pPr>
        <w:ind w:firstLine="708"/>
        <w:jc w:val="both"/>
        <w:rPr>
          <w:lang w:val="de-DE"/>
        </w:rPr>
      </w:pPr>
    </w:p>
    <w:p w14:paraId="35FC381E" w14:textId="77777777" w:rsidR="00881814" w:rsidRPr="004676F5" w:rsidRDefault="00881814" w:rsidP="00881814">
      <w:pPr>
        <w:ind w:firstLine="708"/>
        <w:jc w:val="both"/>
        <w:rPr>
          <w:lang w:val="de-DE"/>
        </w:rPr>
      </w:pPr>
      <w:r w:rsidRPr="004676F5">
        <w:rPr>
          <w:lang w:val="de-DE"/>
        </w:rPr>
        <w:t xml:space="preserve">3. Andere vom Kreditgeber beschäftigte Personen mit Kundenkontakt im Sinne von Artikel I.9 Nr. 79 des Wirtschaftsgesetzbuches, auf welche Weise auch immer, müssen </w:t>
      </w:r>
      <w:r w:rsidRPr="004676F5">
        <w:rPr>
          <w:lang w:val="de-DE"/>
        </w:rPr>
        <w:lastRenderedPageBreak/>
        <w:t>dieselben Bedingungen in Bezug auf Berufskenntnisse erfüllen wie Personen mit Kunden</w:t>
      </w:r>
      <w:r w:rsidRPr="004676F5">
        <w:rPr>
          <w:lang w:val="de-DE"/>
        </w:rPr>
        <w:softHyphen/>
        <w:t>kontakt, die von Hypothekarkreditvermittlern beschäftigt werden.</w:t>
      </w:r>
    </w:p>
    <w:p w14:paraId="28019B76" w14:textId="77777777" w:rsidR="00881814" w:rsidRPr="004676F5" w:rsidRDefault="00881814" w:rsidP="00881814">
      <w:pPr>
        <w:ind w:firstLine="708"/>
        <w:jc w:val="both"/>
        <w:rPr>
          <w:lang w:val="de-DE"/>
        </w:rPr>
      </w:pPr>
    </w:p>
    <w:p w14:paraId="60B5B90F" w14:textId="77777777" w:rsidR="00881814" w:rsidRPr="004676F5" w:rsidRDefault="00881814" w:rsidP="00881814">
      <w:pPr>
        <w:ind w:firstLine="708"/>
        <w:jc w:val="both"/>
        <w:rPr>
          <w:lang w:val="de-DE"/>
        </w:rPr>
      </w:pPr>
      <w:r w:rsidRPr="004676F5">
        <w:rPr>
          <w:lang w:val="de-DE"/>
        </w:rPr>
        <w:t>4. Sie verfügen über eine Berufshaftpflichtversicherung, die den gesamten Europä</w:t>
      </w:r>
      <w:r w:rsidRPr="004676F5">
        <w:rPr>
          <w:lang w:val="de-DE"/>
        </w:rPr>
        <w:softHyphen/>
        <w:t>ischen Wirtschaftsraum deckt. Der Versicherungsvertrag enthält eine Klausel, durch die das Versicherungsunternehmen verpflichtet ist, bei Vertragsauflösung die FSMA davon in Kenntnis zu setzen. Der König legt auf Stellungnahme der FSMA die Bedingungen dieser Versicherung fest.</w:t>
      </w:r>
    </w:p>
    <w:p w14:paraId="36896152" w14:textId="77777777" w:rsidR="00881814" w:rsidRPr="004676F5" w:rsidRDefault="00881814" w:rsidP="00881814">
      <w:pPr>
        <w:ind w:firstLine="708"/>
        <w:jc w:val="both"/>
        <w:rPr>
          <w:lang w:val="de-DE"/>
        </w:rPr>
      </w:pPr>
    </w:p>
    <w:p w14:paraId="4F675DB5" w14:textId="76382B9C" w:rsidR="00881814" w:rsidRPr="004676F5" w:rsidRDefault="00881814" w:rsidP="00881814">
      <w:pPr>
        <w:ind w:firstLine="708"/>
        <w:jc w:val="both"/>
        <w:rPr>
          <w:lang w:val="de-DE"/>
        </w:rPr>
      </w:pPr>
      <w:r w:rsidRPr="004676F5">
        <w:rPr>
          <w:lang w:val="de-DE"/>
        </w:rPr>
        <w:t xml:space="preserve">Die betreffenden Kreditgeber weisen der FSMA gegenüber regelmäßig die Einhaltung der Bestimmungen unter Nr. 1 und 2 des vorhergehenden Absatzes nach durch Übermittlung einer namentlichen Liste der Vertriebsbeauftragten und einer Aufzeichnung aller späteren Änderungen an dieser Liste. </w:t>
      </w:r>
      <w:r w:rsidR="00C04120" w:rsidRPr="004676F5">
        <w:rPr>
          <w:lang w:val="de-DE"/>
        </w:rPr>
        <w:t xml:space="preserve">[Sie stehen für die </w:t>
      </w:r>
      <w:r w:rsidR="009446A1" w:rsidRPr="004676F5">
        <w:rPr>
          <w:lang w:val="de-DE"/>
        </w:rPr>
        <w:t xml:space="preserve">[angemessene Fachkompetenz] </w:t>
      </w:r>
      <w:r w:rsidR="00C04120" w:rsidRPr="004676F5">
        <w:rPr>
          <w:lang w:val="de-DE"/>
        </w:rPr>
        <w:t xml:space="preserve">und die berufliche Zuverlässigkeit der in Absatz 1 Nr. 2 erwähnten Personen und für die Berufskenntnisse der in Absatz 1 Nr. 2 und 3 erwähnten Personen ein. Sie bewahren die Unterlagen zum Nachweis der </w:t>
      </w:r>
      <w:r w:rsidR="009446A1" w:rsidRPr="004676F5">
        <w:rPr>
          <w:lang w:val="de-DE"/>
        </w:rPr>
        <w:t>[angemessenen Fachkompetenz]</w:t>
      </w:r>
      <w:r w:rsidR="00C04120" w:rsidRPr="004676F5">
        <w:rPr>
          <w:lang w:val="de-DE"/>
        </w:rPr>
        <w:t>, der beruflichen Zuverlässigkeit und der erforderlichen Berufskenntnisse der vorerwähnten Personen auf und halten sie zur Verfügung der FSMA.]</w:t>
      </w:r>
    </w:p>
    <w:p w14:paraId="4B82B734" w14:textId="77777777" w:rsidR="00881814" w:rsidRPr="004676F5" w:rsidRDefault="00881814" w:rsidP="00881814">
      <w:pPr>
        <w:ind w:firstLine="708"/>
        <w:jc w:val="both"/>
        <w:rPr>
          <w:lang w:val="de-DE"/>
        </w:rPr>
      </w:pPr>
    </w:p>
    <w:p w14:paraId="70BB268C" w14:textId="217C87DC"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Niemand darf den Titel eines Vermittlers von Hypothekarkrediten oder einer seiner Unterteilungen führen, um anzugeben, dass er die Tätigkeit eines Hypothekar</w:t>
      </w:r>
      <w:r w:rsidRPr="004676F5">
        <w:rPr>
          <w:lang w:val="de-DE"/>
        </w:rPr>
        <w:softHyphen/>
        <w:t>kreditvermittlers wie in vorliegendem Abschnitt erwähnt ausübt, wenn er nicht vorab in dem zu diesem Zweck von der FSMA geführten Register eingetragen ist.</w:t>
      </w:r>
    </w:p>
    <w:p w14:paraId="56C2AED6" w14:textId="77777777" w:rsidR="00881814" w:rsidRPr="004676F5" w:rsidRDefault="00881814" w:rsidP="00881814">
      <w:pPr>
        <w:ind w:firstLine="708"/>
        <w:jc w:val="both"/>
        <w:rPr>
          <w:lang w:val="de-DE"/>
        </w:rPr>
      </w:pPr>
    </w:p>
    <w:p w14:paraId="05BA29D4" w14:textId="36FBE7EA" w:rsidR="00881814" w:rsidRPr="004676F5" w:rsidRDefault="00881814" w:rsidP="00881814">
      <w:pPr>
        <w:ind w:firstLine="708"/>
        <w:jc w:val="both"/>
        <w:rPr>
          <w:lang w:val="de-DE"/>
        </w:rPr>
      </w:pPr>
      <w:r w:rsidRPr="004676F5">
        <w:rPr>
          <w:lang w:val="de-DE"/>
        </w:rPr>
        <w:t xml:space="preserve">§ 4 </w:t>
      </w:r>
      <w:r w:rsidR="005B7A5C" w:rsidRPr="004676F5">
        <w:rPr>
          <w:lang w:val="de-DE"/>
        </w:rPr>
        <w:t>- </w:t>
      </w:r>
      <w:r w:rsidRPr="004676F5">
        <w:rPr>
          <w:lang w:val="de-DE"/>
        </w:rPr>
        <w:t>Hypothekarkreditvermittler werden wie folgt unterteilt:</w:t>
      </w:r>
    </w:p>
    <w:p w14:paraId="51E35493" w14:textId="77777777" w:rsidR="00881814" w:rsidRPr="004676F5" w:rsidRDefault="00881814" w:rsidP="00881814">
      <w:pPr>
        <w:ind w:firstLine="708"/>
        <w:jc w:val="both"/>
        <w:rPr>
          <w:lang w:val="de-DE"/>
        </w:rPr>
      </w:pPr>
    </w:p>
    <w:p w14:paraId="19306BD6" w14:textId="77777777" w:rsidR="00881814" w:rsidRPr="004676F5" w:rsidRDefault="00881814" w:rsidP="00881814">
      <w:pPr>
        <w:ind w:firstLine="708"/>
        <w:jc w:val="both"/>
        <w:rPr>
          <w:lang w:val="de-DE"/>
        </w:rPr>
      </w:pPr>
      <w:r w:rsidRPr="004676F5">
        <w:rPr>
          <w:lang w:val="de-DE"/>
        </w:rPr>
        <w:t>1. Kreditmakler,</w:t>
      </w:r>
    </w:p>
    <w:p w14:paraId="71A5C1D0" w14:textId="77777777" w:rsidR="00881814" w:rsidRPr="004676F5" w:rsidRDefault="00881814" w:rsidP="00881814">
      <w:pPr>
        <w:ind w:firstLine="708"/>
        <w:jc w:val="both"/>
        <w:rPr>
          <w:lang w:val="de-DE"/>
        </w:rPr>
      </w:pPr>
    </w:p>
    <w:p w14:paraId="7F0936EE" w14:textId="77777777" w:rsidR="00881814" w:rsidRPr="004676F5" w:rsidRDefault="00881814" w:rsidP="00881814">
      <w:pPr>
        <w:ind w:firstLine="708"/>
        <w:jc w:val="both"/>
        <w:rPr>
          <w:lang w:val="de-DE"/>
        </w:rPr>
      </w:pPr>
      <w:r w:rsidRPr="004676F5">
        <w:rPr>
          <w:lang w:val="de-DE"/>
        </w:rPr>
        <w:t>2. vertraglich gebundene Vermittler,</w:t>
      </w:r>
    </w:p>
    <w:p w14:paraId="1F8D37BB" w14:textId="77777777" w:rsidR="00881814" w:rsidRPr="004676F5" w:rsidRDefault="00881814" w:rsidP="00881814">
      <w:pPr>
        <w:ind w:firstLine="708"/>
        <w:jc w:val="both"/>
        <w:rPr>
          <w:lang w:val="de-DE"/>
        </w:rPr>
      </w:pPr>
    </w:p>
    <w:p w14:paraId="079FD0BC" w14:textId="77777777" w:rsidR="00881814" w:rsidRPr="004676F5" w:rsidRDefault="00881814" w:rsidP="00881814">
      <w:pPr>
        <w:ind w:firstLine="708"/>
        <w:jc w:val="both"/>
        <w:rPr>
          <w:lang w:val="de-DE"/>
        </w:rPr>
      </w:pPr>
      <w:r w:rsidRPr="004676F5">
        <w:rPr>
          <w:lang w:val="de-DE"/>
        </w:rPr>
        <w:t>3. Vermittlungsvertreter.</w:t>
      </w:r>
    </w:p>
    <w:p w14:paraId="191780EF" w14:textId="77777777" w:rsidR="00881814" w:rsidRPr="004676F5" w:rsidRDefault="00881814" w:rsidP="00881814">
      <w:pPr>
        <w:ind w:firstLine="708"/>
        <w:jc w:val="both"/>
        <w:rPr>
          <w:lang w:val="de-DE"/>
        </w:rPr>
      </w:pPr>
    </w:p>
    <w:p w14:paraId="35BA12FD" w14:textId="16C735F4" w:rsidR="00881814" w:rsidRPr="004676F5" w:rsidRDefault="00881814" w:rsidP="00881814">
      <w:pPr>
        <w:ind w:firstLine="708"/>
        <w:jc w:val="both"/>
        <w:rPr>
          <w:lang w:val="de-DE"/>
        </w:rPr>
      </w:pPr>
      <w:r w:rsidRPr="004676F5">
        <w:rPr>
          <w:lang w:val="de-DE"/>
        </w:rPr>
        <w:t>§ 5 </w:t>
      </w:r>
      <w:r w:rsidR="005B7A5C" w:rsidRPr="004676F5">
        <w:rPr>
          <w:lang w:val="de-DE"/>
        </w:rPr>
        <w:t>- </w:t>
      </w:r>
      <w:r w:rsidRPr="004676F5">
        <w:rPr>
          <w:lang w:val="de-DE"/>
        </w:rPr>
        <w:t>Hypothekarkreditvermittler bestimmen eine oder mehrere natürliche Personen als Vertriebsbeauftragte. Die Anzahl der Vertriebsbeauftragten ist der Struktur und den Tätigkeiten des Vermittlers angepasst. Der König kann diese Anzahl festlegen.</w:t>
      </w:r>
    </w:p>
    <w:p w14:paraId="3E77364C" w14:textId="77777777" w:rsidR="00881814" w:rsidRPr="004676F5" w:rsidRDefault="00881814" w:rsidP="00881814">
      <w:pPr>
        <w:ind w:firstLine="708"/>
        <w:jc w:val="both"/>
        <w:rPr>
          <w:lang w:val="de-DE"/>
        </w:rPr>
      </w:pPr>
    </w:p>
    <w:p w14:paraId="7E6AD8E6" w14:textId="77777777" w:rsidR="00881814" w:rsidRPr="004676F5" w:rsidRDefault="00881814" w:rsidP="00881814">
      <w:pPr>
        <w:ind w:firstLine="708"/>
        <w:jc w:val="both"/>
        <w:rPr>
          <w:lang w:val="de-DE"/>
        </w:rPr>
      </w:pPr>
      <w:r w:rsidRPr="004676F5">
        <w:rPr>
          <w:lang w:val="de-DE"/>
        </w:rPr>
        <w:t>Hypothekarkreditvermittler weisen der FSMA gegenüber regelmäßig die Einhaltung des vorhergehenden Absatzes nach durch Übermittlung einer namentlichen Liste der Vertriebsbeauftragten und einer Aufzeichnung aller späteren Änderungen an dieser Liste. Sie bewahren die Unterlagen zum Nachweis der Berufskenntnisse der Vertriebsbeauftragten und der Personen mit Kundenkontakt auf und halten sie zur Verfügung der FSMA.</w:t>
      </w:r>
    </w:p>
    <w:p w14:paraId="640FE0D8" w14:textId="32AD1AB2" w:rsidR="008D748D" w:rsidRPr="004676F5" w:rsidRDefault="008D748D" w:rsidP="00881814">
      <w:pPr>
        <w:ind w:firstLine="708"/>
        <w:jc w:val="both"/>
        <w:rPr>
          <w:lang w:val="de-DE"/>
        </w:rPr>
      </w:pPr>
    </w:p>
    <w:p w14:paraId="147D3CCA" w14:textId="4EC72748" w:rsidR="00C04120" w:rsidRPr="004676F5" w:rsidRDefault="00C04120" w:rsidP="00C04120">
      <w:pPr>
        <w:jc w:val="both"/>
        <w:rPr>
          <w:i/>
          <w:iCs/>
          <w:lang w:val="de-DE"/>
        </w:rPr>
      </w:pPr>
      <w:r w:rsidRPr="004676F5">
        <w:rPr>
          <w:i/>
          <w:iCs/>
          <w:lang w:val="de-DE"/>
        </w:rPr>
        <w:t>[Art. VII.180 § 1 Abs. 1 abgeändert durch Art. 23 Nr. 1</w:t>
      </w:r>
      <w:r w:rsidRPr="004676F5">
        <w:rPr>
          <w:i/>
          <w:lang w:val="de-DE"/>
        </w:rPr>
        <w:t xml:space="preserve"> des G. vom 30. Juli 2018 (II) (B.S. vom 5. September 2018); </w:t>
      </w:r>
      <w:r w:rsidRPr="004676F5">
        <w:rPr>
          <w:i/>
          <w:iCs/>
          <w:lang w:val="de-DE"/>
        </w:rPr>
        <w:t>§ 2 Abs. 1</w:t>
      </w:r>
      <w:r w:rsidR="00E921EE" w:rsidRPr="004676F5">
        <w:rPr>
          <w:i/>
          <w:iCs/>
          <w:lang w:val="de-DE"/>
        </w:rPr>
        <w:t xml:space="preserve"> einleitende Bestimmung</w:t>
      </w:r>
      <w:r w:rsidRPr="004676F5">
        <w:rPr>
          <w:i/>
          <w:iCs/>
          <w:lang w:val="de-DE"/>
        </w:rPr>
        <w:t xml:space="preserve"> abgeändert durch Art. 23 Nr. 2</w:t>
      </w:r>
      <w:r w:rsidRPr="004676F5">
        <w:rPr>
          <w:i/>
          <w:lang w:val="de-DE"/>
        </w:rPr>
        <w:t xml:space="preserve"> des G. vom 30. Juli 2018 (II) (B.S. vom 5. September 2018); </w:t>
      </w:r>
      <w:r w:rsidR="009446A1" w:rsidRPr="004676F5">
        <w:rPr>
          <w:i/>
          <w:lang w:val="de-DE"/>
        </w:rPr>
        <w:t xml:space="preserve">§ 2 Abs. 1 Nr. 2 abgeändert durch Art. 18 des G. vom 8. Mai 2022 (B.S. vom 23. Juni 2022); </w:t>
      </w:r>
      <w:r w:rsidRPr="004676F5">
        <w:rPr>
          <w:i/>
          <w:iCs/>
          <w:lang w:val="de-DE"/>
        </w:rPr>
        <w:t>§ 2 Abs. 2 abgeändert durch Art. 23 Nr. 3</w:t>
      </w:r>
      <w:r w:rsidRPr="004676F5">
        <w:rPr>
          <w:i/>
          <w:lang w:val="de-DE"/>
        </w:rPr>
        <w:t xml:space="preserve"> des G. vom 30. Juli 2018 (II) (B.S. vom 5. September 2018)</w:t>
      </w:r>
      <w:r w:rsidR="009446A1" w:rsidRPr="004676F5">
        <w:rPr>
          <w:i/>
          <w:lang w:val="de-DE"/>
        </w:rPr>
        <w:t xml:space="preserve"> und Art. 18 des G. vom 8. Mai 2022 (B.S. vom 23. Juni 2022)</w:t>
      </w:r>
      <w:r w:rsidRPr="004676F5">
        <w:rPr>
          <w:i/>
          <w:lang w:val="de-DE"/>
        </w:rPr>
        <w:t>]</w:t>
      </w:r>
    </w:p>
    <w:p w14:paraId="35E5DD9B" w14:textId="7BD77A56" w:rsidR="00C04120" w:rsidRPr="004676F5" w:rsidRDefault="00C04120" w:rsidP="00C04120">
      <w:pPr>
        <w:jc w:val="both"/>
        <w:rPr>
          <w:i/>
          <w:iCs/>
          <w:lang w:val="de-DE"/>
        </w:rPr>
      </w:pPr>
      <w:r w:rsidRPr="004676F5">
        <w:rPr>
          <w:i/>
          <w:lang w:val="de-DE"/>
        </w:rPr>
        <w:t xml:space="preserve"> </w:t>
      </w:r>
    </w:p>
    <w:p w14:paraId="5031B0E2" w14:textId="77777777" w:rsidR="008D748D" w:rsidRPr="004676F5" w:rsidRDefault="008D748D" w:rsidP="00881814">
      <w:pPr>
        <w:ind w:firstLine="708"/>
        <w:jc w:val="both"/>
        <w:rPr>
          <w:lang w:val="de-DE"/>
        </w:rPr>
      </w:pPr>
    </w:p>
    <w:p w14:paraId="6EF8EBC2" w14:textId="77777777" w:rsidR="009446A1" w:rsidRPr="004676F5" w:rsidRDefault="009446A1">
      <w:pPr>
        <w:rPr>
          <w:lang w:val="de-DE"/>
        </w:rPr>
      </w:pPr>
      <w:r w:rsidRPr="004676F5">
        <w:rPr>
          <w:lang w:val="de-DE"/>
        </w:rPr>
        <w:br w:type="page"/>
      </w:r>
    </w:p>
    <w:p w14:paraId="1D5BB5F4" w14:textId="493AC734" w:rsidR="00881814" w:rsidRPr="004676F5" w:rsidRDefault="00881814" w:rsidP="00881814">
      <w:pPr>
        <w:jc w:val="center"/>
        <w:rPr>
          <w:lang w:val="de-DE"/>
        </w:rPr>
      </w:pPr>
      <w:r w:rsidRPr="004676F5">
        <w:rPr>
          <w:lang w:val="de-DE"/>
        </w:rPr>
        <w:lastRenderedPageBreak/>
        <w:t xml:space="preserve">Unterabschnitt 2 </w:t>
      </w:r>
      <w:r w:rsidR="005B7A5C" w:rsidRPr="004676F5">
        <w:rPr>
          <w:lang w:val="de-DE"/>
        </w:rPr>
        <w:t>- </w:t>
      </w:r>
      <w:r w:rsidRPr="004676F5">
        <w:rPr>
          <w:lang w:val="de-DE"/>
        </w:rPr>
        <w:t>Eintragungsbedingungen</w:t>
      </w:r>
    </w:p>
    <w:p w14:paraId="62602209" w14:textId="77777777" w:rsidR="00881814" w:rsidRPr="004676F5" w:rsidRDefault="00881814" w:rsidP="00881814">
      <w:pPr>
        <w:ind w:firstLine="708"/>
        <w:jc w:val="both"/>
        <w:rPr>
          <w:lang w:val="de-DE"/>
        </w:rPr>
      </w:pPr>
    </w:p>
    <w:p w14:paraId="1D06AFA7" w14:textId="77777777" w:rsidR="008D748D" w:rsidRPr="004676F5" w:rsidRDefault="008D748D" w:rsidP="00881814">
      <w:pPr>
        <w:ind w:firstLine="708"/>
        <w:jc w:val="both"/>
        <w:rPr>
          <w:lang w:val="de-DE"/>
        </w:rPr>
      </w:pPr>
    </w:p>
    <w:p w14:paraId="248D613A" w14:textId="164CF081" w:rsidR="00881814" w:rsidRPr="004676F5" w:rsidRDefault="00BE0A56" w:rsidP="00881814">
      <w:pPr>
        <w:ind w:firstLine="708"/>
        <w:jc w:val="both"/>
        <w:rPr>
          <w:lang w:val="de-DE"/>
        </w:rPr>
      </w:pPr>
      <w:r w:rsidRPr="004676F5">
        <w:rPr>
          <w:b/>
          <w:lang w:val="de-DE"/>
        </w:rPr>
        <w:t>Art. </w:t>
      </w:r>
      <w:r w:rsidR="00881814" w:rsidRPr="004676F5">
        <w:rPr>
          <w:b/>
          <w:lang w:val="de-DE"/>
        </w:rPr>
        <w:t>VII.181</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Um in das Register der Hypothekarkreditvermittler eingetragen zu werden und um diese Eintragung beizubehalten, müssen Antragsteller folgende Bedingungen erfüllen:</w:t>
      </w:r>
    </w:p>
    <w:p w14:paraId="5ED7B374" w14:textId="77777777" w:rsidR="00881814" w:rsidRPr="004676F5" w:rsidRDefault="00881814" w:rsidP="00881814">
      <w:pPr>
        <w:ind w:firstLine="708"/>
        <w:jc w:val="both"/>
        <w:rPr>
          <w:lang w:val="de-DE"/>
        </w:rPr>
      </w:pPr>
    </w:p>
    <w:p w14:paraId="140C4AA0" w14:textId="77777777" w:rsidR="00881814" w:rsidRPr="004676F5" w:rsidRDefault="00881814" w:rsidP="00881814">
      <w:pPr>
        <w:ind w:firstLine="708"/>
        <w:jc w:val="both"/>
        <w:rPr>
          <w:lang w:val="de-DE"/>
        </w:rPr>
      </w:pPr>
      <w:r w:rsidRPr="004676F5">
        <w:rPr>
          <w:lang w:val="de-DE"/>
        </w:rPr>
        <w:t>1. Vermittler, Vertriebsbeauftragte und Personen mit Kundenkontakt besitzen vom König bestimmte Berufskenntnisse.</w:t>
      </w:r>
    </w:p>
    <w:p w14:paraId="36979BAA" w14:textId="77777777" w:rsidR="00881814" w:rsidRPr="004676F5" w:rsidRDefault="00881814" w:rsidP="00881814">
      <w:pPr>
        <w:ind w:firstLine="708"/>
        <w:jc w:val="both"/>
        <w:rPr>
          <w:lang w:val="de-DE"/>
        </w:rPr>
      </w:pPr>
    </w:p>
    <w:p w14:paraId="713BA3CB" w14:textId="49B6B093" w:rsidR="00881814" w:rsidRPr="004676F5" w:rsidRDefault="00881814" w:rsidP="00881814">
      <w:pPr>
        <w:ind w:firstLine="708"/>
        <w:jc w:val="both"/>
        <w:rPr>
          <w:lang w:val="de-DE"/>
        </w:rPr>
      </w:pPr>
      <w:r w:rsidRPr="004676F5">
        <w:rPr>
          <w:lang w:val="de-DE"/>
        </w:rPr>
        <w:t xml:space="preserve">2. Vermittler und Vertriebsbeauftragte weisen ausreichende </w:t>
      </w:r>
      <w:r w:rsidR="009446A1" w:rsidRPr="004676F5">
        <w:rPr>
          <w:lang w:val="de-DE"/>
        </w:rPr>
        <w:t xml:space="preserve">[angemessene Fachkompetenz] </w:t>
      </w:r>
      <w:r w:rsidRPr="004676F5">
        <w:rPr>
          <w:lang w:val="de-DE"/>
        </w:rPr>
        <w:t xml:space="preserve">und berufliche Zuverlässigkeit für die Ausübung ihrer Aufgaben auf. Sie dürfen sich nicht in einem der in </w:t>
      </w:r>
      <w:r w:rsidR="00CC1D39" w:rsidRPr="004676F5">
        <w:rPr>
          <w:lang w:val="de-DE"/>
        </w:rPr>
        <w:t>[</w:t>
      </w:r>
      <w:r w:rsidR="001E190F" w:rsidRPr="004676F5">
        <w:rPr>
          <w:lang w:val="de-DE"/>
        </w:rPr>
        <w:t>Artikel 20 des Gesetzes vom 25. April 2014</w:t>
      </w:r>
      <w:r w:rsidR="00CC1D39" w:rsidRPr="004676F5">
        <w:rPr>
          <w:lang w:val="de-DE"/>
        </w:rPr>
        <w:t>]</w:t>
      </w:r>
      <w:r w:rsidRPr="004676F5">
        <w:rPr>
          <w:lang w:val="de-DE"/>
        </w:rPr>
        <w:t xml:space="preserve"> erwähnten Fälle befinden und </w:t>
      </w:r>
      <w:r w:rsidR="00B907A3" w:rsidRPr="004676F5">
        <w:rPr>
          <w:lang w:val="de-DE"/>
        </w:rPr>
        <w:t>[gegen sie darf weniger als zehn Jahre zuvor kein Konkurs eröffnet worden sein]</w:t>
      </w:r>
      <w:r w:rsidRPr="004676F5">
        <w:rPr>
          <w:lang w:val="de-DE"/>
        </w:rPr>
        <w:t xml:space="preserve">, es sei denn, sie wurden rehabilitiert. </w:t>
      </w:r>
      <w:r w:rsidR="00B907A3" w:rsidRPr="004676F5">
        <w:rPr>
          <w:lang w:val="de-DE"/>
        </w:rPr>
        <w:t>[...]</w:t>
      </w:r>
    </w:p>
    <w:p w14:paraId="18079730" w14:textId="77777777" w:rsidR="00881814" w:rsidRPr="004676F5" w:rsidRDefault="00881814" w:rsidP="00881814">
      <w:pPr>
        <w:ind w:firstLine="708"/>
        <w:jc w:val="both"/>
        <w:rPr>
          <w:lang w:val="de-DE"/>
        </w:rPr>
      </w:pPr>
    </w:p>
    <w:p w14:paraId="763FCA66" w14:textId="2C19FCB7" w:rsidR="00881814" w:rsidRPr="004676F5" w:rsidRDefault="00C04120" w:rsidP="00C04120">
      <w:pPr>
        <w:ind w:firstLine="708"/>
        <w:jc w:val="both"/>
        <w:rPr>
          <w:lang w:val="de-DE"/>
        </w:rPr>
      </w:pPr>
      <w:r w:rsidRPr="004676F5">
        <w:rPr>
          <w:lang w:val="de-DE"/>
        </w:rPr>
        <w:t>3. [Die Tätigkeit der Hypothekarkreditvermittlung muss durch eine Berufshaftpflicht</w:t>
      </w:r>
      <w:r w:rsidRPr="004676F5">
        <w:rPr>
          <w:lang w:val="de-DE"/>
        </w:rPr>
        <w:softHyphen/>
        <w:t xml:space="preserve">versicherung gedeckt sein, die den gesamten Europäischen Wirtschaftsraum deckt.] </w:t>
      </w:r>
      <w:r w:rsidR="00881814" w:rsidRPr="004676F5">
        <w:rPr>
          <w:lang w:val="de-DE"/>
        </w:rPr>
        <w:t xml:space="preserve">Der Versicherungsvertrag enthält eine Klausel, durch die das Versicherungsunternehmen verpflichtet ist, bei Vertragsauflösung die FSMA davon in Kenntnis zu setzen. Der König legt auf Stellungnahme der FSMA die Bedingungen dieser Versicherung fest. </w:t>
      </w:r>
      <w:r w:rsidR="00E25173" w:rsidRPr="004676F5">
        <w:rPr>
          <w:lang w:val="de-DE"/>
        </w:rPr>
        <w:t>[…]</w:t>
      </w:r>
    </w:p>
    <w:p w14:paraId="0844B394" w14:textId="77777777" w:rsidR="00881814" w:rsidRPr="004676F5" w:rsidRDefault="00881814" w:rsidP="00881814">
      <w:pPr>
        <w:ind w:firstLine="708"/>
        <w:jc w:val="both"/>
        <w:rPr>
          <w:lang w:val="de-DE"/>
        </w:rPr>
      </w:pPr>
    </w:p>
    <w:p w14:paraId="4EA9E671" w14:textId="77777777" w:rsidR="00881814" w:rsidRPr="004676F5" w:rsidRDefault="00881814" w:rsidP="00881814">
      <w:pPr>
        <w:ind w:firstLine="708"/>
        <w:jc w:val="both"/>
        <w:rPr>
          <w:lang w:val="de-DE"/>
        </w:rPr>
      </w:pPr>
      <w:r w:rsidRPr="004676F5">
        <w:rPr>
          <w:lang w:val="de-DE"/>
        </w:rPr>
        <w:t>4. Im Rahmen ihrer Tätigkeit als Hypothekarkreditvermittler in Belgien arbeiten sie nur mit Unternehmen oder Personen, die in Anwendung des vorliegenden Kapitels für die Ausübung dieser Tätigkeit in Belgien zugelassen oder registriert sind.</w:t>
      </w:r>
    </w:p>
    <w:p w14:paraId="66FA674C" w14:textId="77777777" w:rsidR="00881814" w:rsidRPr="004676F5" w:rsidRDefault="00881814" w:rsidP="00881814">
      <w:pPr>
        <w:ind w:firstLine="708"/>
        <w:jc w:val="both"/>
        <w:rPr>
          <w:lang w:val="de-DE"/>
        </w:rPr>
      </w:pPr>
    </w:p>
    <w:p w14:paraId="2F59BE2E" w14:textId="77777777" w:rsidR="00881814" w:rsidRPr="004676F5" w:rsidRDefault="00881814" w:rsidP="00881814">
      <w:pPr>
        <w:ind w:firstLine="708"/>
        <w:jc w:val="both"/>
        <w:rPr>
          <w:lang w:val="de-DE"/>
        </w:rPr>
      </w:pPr>
      <w:r w:rsidRPr="004676F5">
        <w:rPr>
          <w:lang w:val="de-DE"/>
        </w:rPr>
        <w:t>5. Sie treten einem Verfahren der außergerichtlichen Beilegung verbraucherrechtlicher Streitigkeiten wie in Artikel VII.216 erwähnt bei, beteiligen sich an der Finanzierung dieses Verfahrens und leisten Informationsanfragen Folge, die ihnen im Rahmen dieses Streitbei</w:t>
      </w:r>
      <w:r w:rsidRPr="004676F5">
        <w:rPr>
          <w:lang w:val="de-DE"/>
        </w:rPr>
        <w:softHyphen/>
        <w:t>legungsverfahrens übermittelt werden.</w:t>
      </w:r>
    </w:p>
    <w:p w14:paraId="20E1AFF2" w14:textId="77777777" w:rsidR="00881814" w:rsidRPr="004676F5" w:rsidRDefault="00881814" w:rsidP="00881814">
      <w:pPr>
        <w:ind w:firstLine="708"/>
        <w:jc w:val="both"/>
        <w:rPr>
          <w:lang w:val="de-DE"/>
        </w:rPr>
      </w:pPr>
    </w:p>
    <w:p w14:paraId="0D27AA76" w14:textId="77777777" w:rsidR="00881814" w:rsidRPr="004676F5" w:rsidRDefault="00881814" w:rsidP="00881814">
      <w:pPr>
        <w:ind w:firstLine="708"/>
        <w:jc w:val="both"/>
        <w:rPr>
          <w:lang w:val="de-DE"/>
        </w:rPr>
      </w:pPr>
      <w:r w:rsidRPr="004676F5">
        <w:rPr>
          <w:lang w:val="de-DE"/>
        </w:rPr>
        <w:t>6. Sie zahlen die der FSMA für die Ausübung ihrer Aufsicht geschuldeten Vergütungen.</w:t>
      </w:r>
    </w:p>
    <w:p w14:paraId="45C338A6" w14:textId="77777777" w:rsidR="00881814" w:rsidRPr="004676F5" w:rsidRDefault="00881814" w:rsidP="00881814">
      <w:pPr>
        <w:ind w:firstLine="708"/>
        <w:jc w:val="both"/>
        <w:rPr>
          <w:lang w:val="de-DE"/>
        </w:rPr>
      </w:pPr>
    </w:p>
    <w:p w14:paraId="6D611297" w14:textId="750A75FD" w:rsidR="00881814" w:rsidRPr="004676F5" w:rsidRDefault="00881814" w:rsidP="00881814">
      <w:pPr>
        <w:ind w:firstLine="708"/>
        <w:jc w:val="both"/>
        <w:rPr>
          <w:lang w:val="de-DE"/>
        </w:rPr>
      </w:pPr>
      <w:r w:rsidRPr="004676F5">
        <w:rPr>
          <w:lang w:val="de-DE"/>
        </w:rPr>
        <w:t xml:space="preserve">7. Sie teilen der FSMA eine berufliche Anschrift für elektronische Post mit, an die die FSMA rechtsgültig individuelle oder kollektive Mitteilungen richten kann, die sie in Ausführung des vorliegenden Kapitels </w:t>
      </w:r>
      <w:r w:rsidR="009171C7" w:rsidRPr="004676F5">
        <w:rPr>
          <w:lang w:val="de-DE"/>
        </w:rPr>
        <w:t>[oder jeder anderen Gesetzes</w:t>
      </w:r>
      <w:r w:rsidR="005B7A5C" w:rsidRPr="004676F5">
        <w:rPr>
          <w:lang w:val="de-DE"/>
        </w:rPr>
        <w:t>- </w:t>
      </w:r>
      <w:r w:rsidR="009171C7" w:rsidRPr="004676F5">
        <w:rPr>
          <w:lang w:val="de-DE"/>
        </w:rPr>
        <w:t xml:space="preserve">oder Verordnungsbestimmung, deren Aufsicht sie gewährleistet,] </w:t>
      </w:r>
      <w:r w:rsidRPr="004676F5">
        <w:rPr>
          <w:lang w:val="de-DE"/>
        </w:rPr>
        <w:t>vornimmt</w:t>
      </w:r>
      <w:r w:rsidR="002057B8" w:rsidRPr="004676F5">
        <w:rPr>
          <w:lang w:val="de-DE"/>
        </w:rPr>
        <w:t>.</w:t>
      </w:r>
    </w:p>
    <w:p w14:paraId="658E6A6A" w14:textId="77777777" w:rsidR="009446A1" w:rsidRPr="004676F5" w:rsidRDefault="009446A1" w:rsidP="00881814">
      <w:pPr>
        <w:ind w:firstLine="708"/>
        <w:jc w:val="both"/>
        <w:rPr>
          <w:lang w:val="de-DE"/>
        </w:rPr>
      </w:pPr>
    </w:p>
    <w:p w14:paraId="31519950" w14:textId="4B4DC7D9" w:rsidR="009446A1" w:rsidRPr="004676F5" w:rsidRDefault="009446A1" w:rsidP="00881814">
      <w:pPr>
        <w:ind w:firstLine="708"/>
        <w:jc w:val="both"/>
        <w:rPr>
          <w:lang w:val="de-DE"/>
        </w:rPr>
      </w:pPr>
      <w:r w:rsidRPr="004676F5">
        <w:rPr>
          <w:lang w:val="de-DE"/>
        </w:rPr>
        <w:t>[8. Sie halten gegebenenfalls die Bestimmungen von Artikel XV.18/1 ein.]</w:t>
      </w:r>
    </w:p>
    <w:p w14:paraId="40132656" w14:textId="77777777" w:rsidR="00881814" w:rsidRPr="004676F5" w:rsidRDefault="00881814" w:rsidP="00881814">
      <w:pPr>
        <w:ind w:firstLine="708"/>
        <w:jc w:val="both"/>
        <w:rPr>
          <w:lang w:val="de-DE"/>
        </w:rPr>
      </w:pPr>
    </w:p>
    <w:p w14:paraId="39B29845" w14:textId="55AB0B17" w:rsidR="00881814" w:rsidRPr="004676F5" w:rsidRDefault="00881814" w:rsidP="00881814">
      <w:pPr>
        <w:ind w:firstLine="708"/>
        <w:jc w:val="both"/>
        <w:rPr>
          <w:lang w:val="de-DE"/>
        </w:rPr>
      </w:pPr>
      <w:r w:rsidRPr="004676F5">
        <w:rPr>
          <w:lang w:val="de-DE"/>
        </w:rPr>
        <w:t xml:space="preserve">Hypothekarkreditvermittler </w:t>
      </w:r>
      <w:r w:rsidR="00D81D6B" w:rsidRPr="004676F5">
        <w:rPr>
          <w:lang w:val="de-DE"/>
        </w:rPr>
        <w:t>[...]</w:t>
      </w:r>
      <w:r w:rsidRPr="004676F5">
        <w:rPr>
          <w:lang w:val="de-DE"/>
        </w:rPr>
        <w:t xml:space="preserve"> müssen der FSMA gegenüber gemäß den von ihr durch Verordnung festlegten Regeln einschließlich Periodizität die Einhaltung der Bestimmungen von Absatz 1 nachweisen.</w:t>
      </w:r>
    </w:p>
    <w:p w14:paraId="13885F8B" w14:textId="77777777" w:rsidR="00881814" w:rsidRPr="004676F5" w:rsidRDefault="00881814" w:rsidP="00881814">
      <w:pPr>
        <w:ind w:firstLine="708"/>
        <w:jc w:val="both"/>
        <w:rPr>
          <w:lang w:val="de-DE"/>
        </w:rPr>
      </w:pPr>
    </w:p>
    <w:p w14:paraId="71C60E1E" w14:textId="51A30951"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Beantragt eine juristische Person ihre Eintragung als Vermittler, gelten darüber hinaus folgende Bestimmungen:</w:t>
      </w:r>
    </w:p>
    <w:p w14:paraId="56187EB2" w14:textId="77777777" w:rsidR="00881814" w:rsidRPr="004676F5" w:rsidRDefault="00881814" w:rsidP="00881814">
      <w:pPr>
        <w:ind w:firstLine="708"/>
        <w:jc w:val="both"/>
        <w:rPr>
          <w:lang w:val="de-DE"/>
        </w:rPr>
      </w:pPr>
    </w:p>
    <w:p w14:paraId="04C15ECA" w14:textId="68F277F3" w:rsidR="00881814" w:rsidRPr="004676F5" w:rsidRDefault="00881814" w:rsidP="00881814">
      <w:pPr>
        <w:ind w:firstLine="708"/>
        <w:jc w:val="both"/>
        <w:rPr>
          <w:lang w:val="de-DE"/>
        </w:rPr>
      </w:pPr>
      <w:r w:rsidRPr="004676F5">
        <w:rPr>
          <w:lang w:val="de-DE"/>
        </w:rPr>
        <w:t xml:space="preserve">1. Mitglieder </w:t>
      </w:r>
      <w:r w:rsidR="00DE30A4" w:rsidRPr="004676F5">
        <w:rPr>
          <w:lang w:val="de-DE"/>
        </w:rPr>
        <w:t>[</w:t>
      </w:r>
      <w:r w:rsidRPr="004676F5">
        <w:rPr>
          <w:lang w:val="de-DE"/>
        </w:rPr>
        <w:t>des Verwaltungsorgans</w:t>
      </w:r>
      <w:r w:rsidR="00DE30A4" w:rsidRPr="004676F5">
        <w:rPr>
          <w:lang w:val="de-DE"/>
        </w:rPr>
        <w:t>]</w:t>
      </w:r>
      <w:r w:rsidRPr="004676F5">
        <w:rPr>
          <w:lang w:val="de-DE"/>
        </w:rPr>
        <w:t xml:space="preserve"> dieser juristischen Person </w:t>
      </w:r>
      <w:r w:rsidR="001E190F" w:rsidRPr="004676F5">
        <w:rPr>
          <w:lang w:val="de-DE"/>
        </w:rPr>
        <w:t xml:space="preserve">[und mit der tatsächlichen Geschäftsleitung dieser juristischen Person beauftragte Personen] </w:t>
      </w:r>
      <w:r w:rsidRPr="004676F5">
        <w:rPr>
          <w:lang w:val="de-DE"/>
        </w:rPr>
        <w:t xml:space="preserve">müssen vom König festgelegte Berufskenntnisse besitzen und ausreichende </w:t>
      </w:r>
      <w:r w:rsidR="009446A1" w:rsidRPr="004676F5">
        <w:rPr>
          <w:lang w:val="de-DE"/>
        </w:rPr>
        <w:t xml:space="preserve">[angemessene Fachkompetenz] </w:t>
      </w:r>
      <w:r w:rsidRPr="004676F5">
        <w:rPr>
          <w:lang w:val="de-DE"/>
        </w:rPr>
        <w:t xml:space="preserve">und berufliche Zuverlässigkeit für die Ausübung ihrer Aufgaben aufweisen. Sie dürfen sich nicht in einem der in </w:t>
      </w:r>
      <w:r w:rsidR="001E190F" w:rsidRPr="004676F5">
        <w:rPr>
          <w:lang w:val="de-DE"/>
        </w:rPr>
        <w:t>[Artikel 20 des Gesetzes vom 25. April 2014]</w:t>
      </w:r>
      <w:r w:rsidRPr="004676F5">
        <w:rPr>
          <w:lang w:val="de-DE"/>
        </w:rPr>
        <w:t xml:space="preserve"> erwähnten Fälle befinden </w:t>
      </w:r>
      <w:r w:rsidRPr="004676F5">
        <w:rPr>
          <w:lang w:val="de-DE"/>
        </w:rPr>
        <w:lastRenderedPageBreak/>
        <w:t xml:space="preserve">und </w:t>
      </w:r>
      <w:r w:rsidR="00B907A3" w:rsidRPr="004676F5">
        <w:rPr>
          <w:lang w:val="de-DE"/>
        </w:rPr>
        <w:t>[gegen sie darf weniger als zehn Jahre zuvor kein Konkurs eröffnet worden sein]</w:t>
      </w:r>
      <w:r w:rsidRPr="004676F5">
        <w:rPr>
          <w:lang w:val="de-DE"/>
        </w:rPr>
        <w:t xml:space="preserve">, es sei denn, sie wurden rehabilitiert. </w:t>
      </w:r>
      <w:r w:rsidR="00B907A3" w:rsidRPr="004676F5">
        <w:rPr>
          <w:lang w:val="de-DE"/>
        </w:rPr>
        <w:t>[...]</w:t>
      </w:r>
    </w:p>
    <w:p w14:paraId="095E22FC" w14:textId="77777777" w:rsidR="00881814" w:rsidRPr="004676F5" w:rsidRDefault="00881814" w:rsidP="00881814">
      <w:pPr>
        <w:ind w:firstLine="708"/>
        <w:jc w:val="both"/>
        <w:rPr>
          <w:lang w:val="de-DE"/>
        </w:rPr>
      </w:pPr>
    </w:p>
    <w:p w14:paraId="7B70C87A" w14:textId="77777777" w:rsidR="00881814" w:rsidRPr="004676F5" w:rsidRDefault="00881814" w:rsidP="00881814">
      <w:pPr>
        <w:ind w:firstLine="708"/>
        <w:jc w:val="both"/>
        <w:rPr>
          <w:lang w:val="de-DE"/>
        </w:rPr>
      </w:pPr>
      <w:r w:rsidRPr="004676F5">
        <w:rPr>
          <w:lang w:val="de-DE"/>
        </w:rPr>
        <w:t>2. Die juristische Person teilt der FSMA die Identität der Aktionäre mit, die die Gesellschaft kontrollieren; diese Aktionäre müssen nach dem Urteil der FSMA die Eigenschaften, die zur Gewährleistung einer soliden und umsichtigen Geschäftsführung erforderlich sind, besitzen. Änderungen in den Angaben zur Identität der Aktionäre, die die Gesellschaft kontrollieren, werden der FSMA mitgeteilt.</w:t>
      </w:r>
    </w:p>
    <w:p w14:paraId="30C7F399" w14:textId="77777777" w:rsidR="00881814" w:rsidRPr="004676F5" w:rsidRDefault="00881814" w:rsidP="00881814">
      <w:pPr>
        <w:jc w:val="both"/>
        <w:rPr>
          <w:lang w:val="de-DE"/>
        </w:rPr>
      </w:pPr>
    </w:p>
    <w:p w14:paraId="01D8F10E" w14:textId="59065DDA"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 xml:space="preserve">Antragsteller, die eine Eintragung als Hypothekarkreditmakler beantragen, fügen ihrem Antrag eine eidesstattliche Erklärung bei, aus der hervorgeht, dass sie ihre beruflichen Tätigkeiten außerhalb jeglichen Alleinvertretervertrags oder jeglicher anderen rechtlichen Verpflichtung ausüben, die sie dazu verpflichten würden, die Gesamtheit oder einen Teil ihrer Produktion </w:t>
      </w:r>
      <w:r w:rsidR="001E190F" w:rsidRPr="004676F5">
        <w:rPr>
          <w:lang w:val="de-DE"/>
        </w:rPr>
        <w:t>[bei einem oder mehreren Kreditgebern]</w:t>
      </w:r>
      <w:r w:rsidRPr="004676F5">
        <w:rPr>
          <w:lang w:val="de-DE"/>
        </w:rPr>
        <w:t xml:space="preserve"> zu platzieren.</w:t>
      </w:r>
    </w:p>
    <w:p w14:paraId="7AA44999" w14:textId="77777777" w:rsidR="00881814" w:rsidRPr="004676F5" w:rsidRDefault="00881814" w:rsidP="00881814">
      <w:pPr>
        <w:ind w:firstLine="708"/>
        <w:jc w:val="both"/>
        <w:rPr>
          <w:lang w:val="de-DE"/>
        </w:rPr>
      </w:pPr>
    </w:p>
    <w:p w14:paraId="0BA87689" w14:textId="77777777" w:rsidR="00881814" w:rsidRPr="004676F5" w:rsidRDefault="00881814" w:rsidP="00881814">
      <w:pPr>
        <w:ind w:firstLine="708"/>
        <w:jc w:val="both"/>
        <w:rPr>
          <w:lang w:val="de-DE"/>
        </w:rPr>
      </w:pPr>
      <w:r w:rsidRPr="004676F5">
        <w:rPr>
          <w:lang w:val="de-DE"/>
        </w:rPr>
        <w:t>Änderungen an den Angaben, auf die die in Absatz 1 erwähnte eidesstattliche Erklärung sich bezieht, werden unverzüglich der FSMA mitgeteilt.</w:t>
      </w:r>
    </w:p>
    <w:p w14:paraId="58D82B3A" w14:textId="77777777" w:rsidR="00881814" w:rsidRPr="004676F5" w:rsidRDefault="00881814" w:rsidP="00881814">
      <w:pPr>
        <w:ind w:firstLine="708"/>
        <w:jc w:val="both"/>
        <w:rPr>
          <w:lang w:val="de-DE"/>
        </w:rPr>
      </w:pPr>
    </w:p>
    <w:p w14:paraId="77FF3884" w14:textId="3BAC5686" w:rsidR="001E190F" w:rsidRPr="004676F5" w:rsidRDefault="00881814" w:rsidP="001E190F">
      <w:pPr>
        <w:ind w:firstLine="708"/>
        <w:jc w:val="both"/>
        <w:rPr>
          <w:lang w:val="de-DE"/>
        </w:rPr>
      </w:pPr>
      <w:r w:rsidRPr="004676F5">
        <w:rPr>
          <w:lang w:val="de-DE"/>
        </w:rPr>
        <w:t>§ 4 </w:t>
      </w:r>
      <w:r w:rsidR="005B7A5C" w:rsidRPr="004676F5">
        <w:rPr>
          <w:lang w:val="de-DE"/>
        </w:rPr>
        <w:t>- </w:t>
      </w:r>
      <w:r w:rsidR="001E190F" w:rsidRPr="004676F5">
        <w:rPr>
          <w:lang w:val="de-DE"/>
        </w:rPr>
        <w:t>[Vermittlungsvertreter handeln hinsichtlich ihrer Tätigkeit der Hypothekarkredit</w:t>
      </w:r>
      <w:r w:rsidR="001E190F" w:rsidRPr="004676F5">
        <w:rPr>
          <w:lang w:val="de-DE"/>
        </w:rPr>
        <w:softHyphen/>
        <w:t>vermittlung unter der unbeschränkten und vorbehaltlosen Haftung des Hypothekarkredit</w:t>
      </w:r>
      <w:r w:rsidR="001E190F" w:rsidRPr="004676F5">
        <w:rPr>
          <w:lang w:val="de-DE"/>
        </w:rPr>
        <w:softHyphen/>
        <w:t xml:space="preserve">vermittlers, für dessen Rechnung sie handeln, </w:t>
      </w:r>
      <w:r w:rsidR="007D4AE5" w:rsidRPr="004676F5">
        <w:rPr>
          <w:lang w:val="de-DE"/>
        </w:rPr>
        <w:t>[</w:t>
      </w:r>
      <w:r w:rsidR="007D4AE5" w:rsidRPr="004676F5">
        <w:rPr>
          <w:lang w:val="de-DE" w:bidi="de-DE"/>
        </w:rPr>
        <w:t>oder eines oder mehrerer Hypothekarkreditgeber</w:t>
      </w:r>
      <w:r w:rsidR="007D4AE5" w:rsidRPr="004676F5">
        <w:rPr>
          <w:lang w:val="de-DE"/>
        </w:rPr>
        <w:t>]</w:t>
      </w:r>
      <w:r w:rsidR="001E190F" w:rsidRPr="004676F5">
        <w:rPr>
          <w:lang w:val="de-DE"/>
        </w:rPr>
        <w:t>, wenn sie für Rechnung eines vertraglich gebundenen Vermittlers handeln. Antragsteller, die eine Eintragung als Vermittlungsvertreter beantragen, weisen dies in ihrer Eintragungsakte nach.</w:t>
      </w:r>
    </w:p>
    <w:p w14:paraId="1528281A" w14:textId="77777777" w:rsidR="001E190F" w:rsidRPr="004676F5" w:rsidRDefault="001E190F" w:rsidP="001E190F">
      <w:pPr>
        <w:ind w:firstLine="708"/>
        <w:jc w:val="both"/>
        <w:rPr>
          <w:lang w:val="de-DE"/>
        </w:rPr>
      </w:pPr>
    </w:p>
    <w:p w14:paraId="40972292" w14:textId="77777777" w:rsidR="00881814" w:rsidRPr="004676F5" w:rsidRDefault="001E190F" w:rsidP="001E190F">
      <w:pPr>
        <w:ind w:firstLine="708"/>
        <w:jc w:val="both"/>
        <w:rPr>
          <w:lang w:val="de-DE"/>
        </w:rPr>
      </w:pPr>
      <w:r w:rsidRPr="004676F5">
        <w:rPr>
          <w:lang w:val="de-DE"/>
        </w:rPr>
        <w:t xml:space="preserve">Der Kreditvermittler </w:t>
      </w:r>
      <w:r w:rsidR="007D4AE5" w:rsidRPr="004676F5">
        <w:rPr>
          <w:lang w:val="de-DE"/>
        </w:rPr>
        <w:t>[</w:t>
      </w:r>
      <w:r w:rsidR="007D4AE5" w:rsidRPr="004676F5">
        <w:rPr>
          <w:lang w:val="de-DE" w:bidi="de-DE"/>
        </w:rPr>
        <w:t>oder der oder die Kreditgeber überprüfen</w:t>
      </w:r>
      <w:r w:rsidR="007D4AE5" w:rsidRPr="004676F5">
        <w:rPr>
          <w:lang w:val="de-DE"/>
        </w:rPr>
        <w:t>]</w:t>
      </w:r>
      <w:r w:rsidRPr="004676F5">
        <w:rPr>
          <w:lang w:val="de-DE"/>
        </w:rPr>
        <w:t>, ob der Vermittlungsvertreter die Bestimmungen des vorliegenden Buches und seiner Ausführungserlasse und -verordnungen einhält.]</w:t>
      </w:r>
    </w:p>
    <w:p w14:paraId="01160C91" w14:textId="77777777" w:rsidR="00881814" w:rsidRPr="004676F5" w:rsidRDefault="00881814" w:rsidP="00881814">
      <w:pPr>
        <w:ind w:firstLine="708"/>
        <w:jc w:val="both"/>
        <w:rPr>
          <w:lang w:val="de-DE"/>
        </w:rPr>
      </w:pPr>
    </w:p>
    <w:p w14:paraId="45ECBBC4" w14:textId="292FBD45" w:rsidR="00881814" w:rsidRPr="004676F5" w:rsidRDefault="00881814" w:rsidP="00881814">
      <w:pPr>
        <w:ind w:firstLine="708"/>
        <w:jc w:val="both"/>
        <w:rPr>
          <w:lang w:val="de-DE"/>
        </w:rPr>
      </w:pPr>
      <w:r w:rsidRPr="004676F5">
        <w:rPr>
          <w:lang w:val="de-DE"/>
        </w:rPr>
        <w:t>§ 5 </w:t>
      </w:r>
      <w:r w:rsidR="005B7A5C" w:rsidRPr="004676F5">
        <w:rPr>
          <w:lang w:val="de-DE"/>
        </w:rPr>
        <w:t>- </w:t>
      </w:r>
      <w:r w:rsidR="00D81D6B" w:rsidRPr="004676F5">
        <w:rPr>
          <w:lang w:val="de-DE"/>
        </w:rPr>
        <w:t>[...]</w:t>
      </w:r>
    </w:p>
    <w:p w14:paraId="25EC24AC" w14:textId="77777777" w:rsidR="00881814" w:rsidRPr="004676F5" w:rsidRDefault="00881814" w:rsidP="00881814">
      <w:pPr>
        <w:ind w:firstLine="708"/>
        <w:jc w:val="both"/>
        <w:rPr>
          <w:lang w:val="de-DE"/>
        </w:rPr>
      </w:pPr>
    </w:p>
    <w:p w14:paraId="6F47B0F3" w14:textId="1A8588A7" w:rsidR="00881814" w:rsidRPr="004676F5" w:rsidRDefault="00881814" w:rsidP="00881814">
      <w:pPr>
        <w:ind w:firstLine="708"/>
        <w:jc w:val="both"/>
        <w:rPr>
          <w:lang w:val="de-DE"/>
        </w:rPr>
      </w:pPr>
      <w:r w:rsidRPr="004676F5">
        <w:rPr>
          <w:lang w:val="de-DE"/>
        </w:rPr>
        <w:t>§ 6 </w:t>
      </w:r>
      <w:r w:rsidR="005B7A5C" w:rsidRPr="004676F5">
        <w:rPr>
          <w:lang w:val="de-DE"/>
        </w:rPr>
        <w:t>- </w:t>
      </w:r>
      <w:r w:rsidRPr="004676F5">
        <w:rPr>
          <w:lang w:val="de-DE"/>
        </w:rPr>
        <w:t xml:space="preserve">Ein vertraglich gebundener Vermittler handelt hinsichtlich seiner Tätigkeit der Hypothekarkreditvermittlung unter der unbeschränkten und vorbehaltlosen Haftung </w:t>
      </w:r>
      <w:r w:rsidR="007D4AE5" w:rsidRPr="004676F5">
        <w:rPr>
          <w:lang w:val="de-DE"/>
        </w:rPr>
        <w:t>[</w:t>
      </w:r>
      <w:r w:rsidR="007D4AE5" w:rsidRPr="004676F5">
        <w:rPr>
          <w:lang w:val="de-DE" w:bidi="de-DE"/>
        </w:rPr>
        <w:t>des oder der Hypothekarkreditgeber, für deren Rechnung er handelt</w:t>
      </w:r>
      <w:r w:rsidR="007D4AE5" w:rsidRPr="004676F5">
        <w:rPr>
          <w:lang w:val="de-DE"/>
        </w:rPr>
        <w:t>]</w:t>
      </w:r>
      <w:r w:rsidRPr="004676F5">
        <w:rPr>
          <w:lang w:val="de-DE"/>
        </w:rPr>
        <w:t>.</w:t>
      </w:r>
      <w:r w:rsidR="001E190F" w:rsidRPr="004676F5">
        <w:rPr>
          <w:lang w:val="de-DE"/>
        </w:rPr>
        <w:t xml:space="preserve"> [Antragsteller, die eine Eintragung als vertraglich gebundener Vermittler beantragen, weisen dies in ihrer Eintragungsakte nach.]</w:t>
      </w:r>
    </w:p>
    <w:p w14:paraId="2C5C4BA5" w14:textId="77777777" w:rsidR="00881814" w:rsidRPr="004676F5" w:rsidRDefault="00881814" w:rsidP="00881814">
      <w:pPr>
        <w:ind w:firstLine="708"/>
        <w:jc w:val="both"/>
        <w:rPr>
          <w:lang w:val="de-DE"/>
        </w:rPr>
      </w:pPr>
    </w:p>
    <w:p w14:paraId="3D3AD621" w14:textId="68B05449" w:rsidR="008562C5" w:rsidRPr="004676F5" w:rsidRDefault="001E190F" w:rsidP="00E25173">
      <w:pPr>
        <w:ind w:firstLine="708"/>
        <w:jc w:val="both"/>
        <w:rPr>
          <w:lang w:val="de-DE"/>
        </w:rPr>
      </w:pPr>
      <w:r w:rsidRPr="004676F5">
        <w:rPr>
          <w:lang w:val="de-DE"/>
        </w:rPr>
        <w:t>[</w:t>
      </w:r>
      <w:r w:rsidR="007D4AE5" w:rsidRPr="004676F5">
        <w:rPr>
          <w:lang w:val="de-DE" w:bidi="de-DE"/>
        </w:rPr>
        <w:t>Der oder die Kreditgeber überprüfen</w:t>
      </w:r>
      <w:r w:rsidR="007D4AE5" w:rsidRPr="004676F5">
        <w:rPr>
          <w:lang w:val="de-DE"/>
        </w:rPr>
        <w:t>]</w:t>
      </w:r>
      <w:r w:rsidR="00881814" w:rsidRPr="004676F5">
        <w:rPr>
          <w:lang w:val="de-DE"/>
        </w:rPr>
        <w:t>, ob der vertraglich gebundene Vermittler die Bestimmungen des vorliegenden Buches und seiner Ausführungserlasse und -verordnungen einhält.</w:t>
      </w:r>
    </w:p>
    <w:p w14:paraId="4F9E6F7A" w14:textId="77777777" w:rsidR="00E25173" w:rsidRPr="004676F5" w:rsidRDefault="00E25173" w:rsidP="00E25173">
      <w:pPr>
        <w:ind w:firstLine="708"/>
        <w:jc w:val="both"/>
        <w:rPr>
          <w:lang w:val="de-DE"/>
        </w:rPr>
      </w:pPr>
    </w:p>
    <w:p w14:paraId="134C79C0" w14:textId="72C7E9EB" w:rsidR="00881814" w:rsidRPr="004676F5" w:rsidRDefault="00881814" w:rsidP="006628A4">
      <w:pPr>
        <w:ind w:firstLine="708"/>
        <w:jc w:val="both"/>
        <w:rPr>
          <w:lang w:val="de-DE"/>
        </w:rPr>
      </w:pPr>
      <w:r w:rsidRPr="004676F5">
        <w:rPr>
          <w:lang w:val="de-DE"/>
        </w:rPr>
        <w:t>§ 7 </w:t>
      </w:r>
      <w:r w:rsidR="005B7A5C" w:rsidRPr="004676F5">
        <w:rPr>
          <w:lang w:val="de-DE"/>
        </w:rPr>
        <w:t>- </w:t>
      </w:r>
      <w:r w:rsidR="006628A4" w:rsidRPr="004676F5">
        <w:rPr>
          <w:lang w:val="de-DE"/>
        </w:rPr>
        <w:t>[...]</w:t>
      </w:r>
    </w:p>
    <w:p w14:paraId="77E76754" w14:textId="77777777" w:rsidR="006628A4" w:rsidRPr="004676F5" w:rsidRDefault="006628A4" w:rsidP="006628A4">
      <w:pPr>
        <w:ind w:firstLine="708"/>
        <w:jc w:val="both"/>
        <w:rPr>
          <w:lang w:val="de-DE"/>
        </w:rPr>
      </w:pPr>
    </w:p>
    <w:p w14:paraId="037404A5" w14:textId="6E8F9CA1" w:rsidR="006628A4" w:rsidRPr="004676F5" w:rsidRDefault="006628A4" w:rsidP="006628A4">
      <w:pPr>
        <w:jc w:val="both"/>
        <w:rPr>
          <w:i/>
          <w:lang w:val="de-DE"/>
        </w:rPr>
      </w:pPr>
      <w:r w:rsidRPr="004676F5">
        <w:rPr>
          <w:i/>
          <w:lang w:val="de-DE"/>
        </w:rPr>
        <w:t>[</w:t>
      </w:r>
      <w:r w:rsidR="00BE0A56" w:rsidRPr="004676F5">
        <w:rPr>
          <w:i/>
          <w:lang w:val="de-DE"/>
        </w:rPr>
        <w:t>Art. </w:t>
      </w:r>
      <w:r w:rsidRPr="004676F5">
        <w:rPr>
          <w:i/>
          <w:lang w:val="de-DE"/>
        </w:rPr>
        <w:t xml:space="preserve">VII.181 § 1 Abs. 1 Nr. 2 abgeändert durch </w:t>
      </w:r>
      <w:r w:rsidR="00BE0A56" w:rsidRPr="004676F5">
        <w:rPr>
          <w:i/>
          <w:lang w:val="de-DE"/>
        </w:rPr>
        <w:t>Art. </w:t>
      </w:r>
      <w:r w:rsidRPr="004676F5">
        <w:rPr>
          <w:i/>
          <w:lang w:val="de-DE"/>
        </w:rPr>
        <w:t>32 Nr. 1 des G. vom 26. Oktober 2015 (B.S. vom 30. Oktober 2015)</w:t>
      </w:r>
      <w:r w:rsidR="009446A1" w:rsidRPr="004676F5">
        <w:rPr>
          <w:i/>
          <w:lang w:val="de-DE"/>
        </w:rPr>
        <w:t>,</w:t>
      </w:r>
      <w:r w:rsidR="00B907A3" w:rsidRPr="004676F5">
        <w:rPr>
          <w:i/>
          <w:lang w:val="de-DE"/>
        </w:rPr>
        <w:t xml:space="preserve"> </w:t>
      </w:r>
      <w:r w:rsidR="00BE0A56" w:rsidRPr="004676F5">
        <w:rPr>
          <w:i/>
          <w:lang w:val="de-DE"/>
        </w:rPr>
        <w:t>Art. </w:t>
      </w:r>
      <w:r w:rsidR="00B907A3" w:rsidRPr="004676F5">
        <w:rPr>
          <w:i/>
          <w:lang w:val="de-DE"/>
        </w:rPr>
        <w:t>18 Nr. 1 und 2 des G. vom 18. April 2017 (B.S. vom 24. April 2017)</w:t>
      </w:r>
      <w:r w:rsidR="009446A1" w:rsidRPr="004676F5">
        <w:rPr>
          <w:i/>
          <w:lang w:val="de-DE"/>
        </w:rPr>
        <w:t xml:space="preserve"> und Art. 18 des G. vom 8. Mai 2022 (B.S. vom 23. Juni 2022)</w:t>
      </w:r>
      <w:r w:rsidRPr="004676F5">
        <w:rPr>
          <w:i/>
          <w:lang w:val="de-DE"/>
        </w:rPr>
        <w:t xml:space="preserve">; </w:t>
      </w:r>
      <w:r w:rsidR="00E25173" w:rsidRPr="004676F5">
        <w:rPr>
          <w:i/>
          <w:lang w:val="de-DE"/>
        </w:rPr>
        <w:t xml:space="preserve">§ 1 Abs. 1 Nr. 3 abgeändert durch Art. 24 Nr. 1 und 2 des G. vom 30. Juli 2018 (II) (B.S. vom 5. September 2018); </w:t>
      </w:r>
      <w:r w:rsidR="009171C7" w:rsidRPr="004676F5">
        <w:rPr>
          <w:i/>
          <w:lang w:val="de-DE"/>
        </w:rPr>
        <w:t>§ 1 Abs. 1 Nr. 7 abgeändert durch Art. 146</w:t>
      </w:r>
      <w:r w:rsidR="009171C7" w:rsidRPr="004676F5">
        <w:rPr>
          <w:i/>
          <w:iCs/>
          <w:lang w:val="de-DE"/>
        </w:rPr>
        <w:t xml:space="preserve"> des G. vom 20. Juli 2020 (B.S. vom 5. August 2020);</w:t>
      </w:r>
      <w:r w:rsidR="009446A1" w:rsidRPr="004676F5">
        <w:rPr>
          <w:i/>
          <w:iCs/>
          <w:lang w:val="de-DE"/>
        </w:rPr>
        <w:t xml:space="preserve"> § 1 Abs. 1 Nr. 8 eingefügt durch Art. 19 des G. vom 8. Mai 2022 (B.S. vom 23. Juni 2022);</w:t>
      </w:r>
      <w:r w:rsidR="009171C7" w:rsidRPr="004676F5">
        <w:rPr>
          <w:i/>
          <w:iCs/>
          <w:lang w:val="de-DE"/>
        </w:rPr>
        <w:t xml:space="preserve"> </w:t>
      </w:r>
      <w:r w:rsidR="00D81D6B" w:rsidRPr="004676F5">
        <w:rPr>
          <w:i/>
          <w:iCs/>
          <w:lang w:val="de-DE"/>
        </w:rPr>
        <w:t>§ 1 Abs. 2 abgeändert durch Art. 188 Nr. 1 des G. vom 2. Mai 2019</w:t>
      </w:r>
      <w:r w:rsidR="0066077D" w:rsidRPr="004676F5">
        <w:rPr>
          <w:i/>
          <w:lang w:val="de-DE"/>
        </w:rPr>
        <w:t> (VI)</w:t>
      </w:r>
      <w:r w:rsidR="00D81D6B" w:rsidRPr="004676F5">
        <w:rPr>
          <w:i/>
          <w:iCs/>
          <w:lang w:val="de-DE"/>
        </w:rPr>
        <w:t xml:space="preserve"> (B.S. vom 21. Mai 2019); </w:t>
      </w:r>
      <w:r w:rsidRPr="004676F5">
        <w:rPr>
          <w:i/>
          <w:lang w:val="de-DE"/>
        </w:rPr>
        <w:t xml:space="preserve">§ 2 einziger Absatz Nr. 1 abgeändert durch </w:t>
      </w:r>
      <w:r w:rsidR="00BE0A56" w:rsidRPr="004676F5">
        <w:rPr>
          <w:i/>
          <w:lang w:val="de-DE"/>
        </w:rPr>
        <w:t>Art. </w:t>
      </w:r>
      <w:r w:rsidRPr="004676F5">
        <w:rPr>
          <w:i/>
          <w:lang w:val="de-DE"/>
        </w:rPr>
        <w:t>32 Nr. 2 Buchstabe a) und b) des G. vom 26. Oktober 2015 (B.S. vom 30. Oktober 2015)</w:t>
      </w:r>
      <w:r w:rsidR="00DE30A4" w:rsidRPr="004676F5">
        <w:rPr>
          <w:i/>
          <w:lang w:val="de-DE"/>
        </w:rPr>
        <w:t>,</w:t>
      </w:r>
      <w:r w:rsidR="00B907A3" w:rsidRPr="004676F5">
        <w:rPr>
          <w:i/>
          <w:lang w:val="de-DE"/>
        </w:rPr>
        <w:t xml:space="preserve"> </w:t>
      </w:r>
      <w:r w:rsidR="00BE0A56" w:rsidRPr="004676F5">
        <w:rPr>
          <w:i/>
          <w:lang w:val="de-DE"/>
        </w:rPr>
        <w:t>Art. </w:t>
      </w:r>
      <w:r w:rsidR="00B907A3" w:rsidRPr="004676F5">
        <w:rPr>
          <w:i/>
          <w:lang w:val="de-DE"/>
        </w:rPr>
        <w:t>18 Nr. 3 und 4 des G. vom 18. April 2017 (B.S. vom 24. April 2017)</w:t>
      </w:r>
      <w:r w:rsidR="009446A1" w:rsidRPr="004676F5">
        <w:rPr>
          <w:i/>
          <w:lang w:val="de-DE"/>
        </w:rPr>
        <w:t>,</w:t>
      </w:r>
      <w:r w:rsidR="00DE30A4" w:rsidRPr="004676F5">
        <w:rPr>
          <w:i/>
          <w:lang w:val="de-DE"/>
        </w:rPr>
        <w:t xml:space="preserve"> Art. 299</w:t>
      </w:r>
      <w:r w:rsidR="00DE30A4" w:rsidRPr="004676F5">
        <w:rPr>
          <w:i/>
          <w:iCs/>
          <w:lang w:val="de-DE"/>
        </w:rPr>
        <w:t xml:space="preserve"> des G. vom 27. Juni 2021 </w:t>
      </w:r>
      <w:r w:rsidR="00DE30A4" w:rsidRPr="004676F5">
        <w:rPr>
          <w:i/>
          <w:iCs/>
          <w:lang w:val="de-DE"/>
        </w:rPr>
        <w:lastRenderedPageBreak/>
        <w:t>(B.S. vom 9. Juli 2021)</w:t>
      </w:r>
      <w:r w:rsidR="009446A1" w:rsidRPr="004676F5">
        <w:rPr>
          <w:i/>
          <w:iCs/>
          <w:lang w:val="de-DE"/>
        </w:rPr>
        <w:t xml:space="preserve"> und Art. 18 des G. vom 8. Mai 2022 (B.S. vom 23. Juni 2022)</w:t>
      </w:r>
      <w:r w:rsidRPr="004676F5">
        <w:rPr>
          <w:i/>
          <w:lang w:val="de-DE"/>
        </w:rPr>
        <w:t xml:space="preserve">; § 3 Abs. 1 abgeändert durch </w:t>
      </w:r>
      <w:r w:rsidR="00BE0A56" w:rsidRPr="004676F5">
        <w:rPr>
          <w:i/>
          <w:lang w:val="de-DE"/>
        </w:rPr>
        <w:t>Art. </w:t>
      </w:r>
      <w:r w:rsidRPr="004676F5">
        <w:rPr>
          <w:i/>
          <w:lang w:val="de-DE"/>
        </w:rPr>
        <w:t xml:space="preserve">32 Nr. 3 des G. vom 26. Oktober 2015 (B.S. vom 30. Oktober 2015); § 4 ersetzt durch </w:t>
      </w:r>
      <w:r w:rsidR="00BE0A56" w:rsidRPr="004676F5">
        <w:rPr>
          <w:i/>
          <w:lang w:val="de-DE"/>
        </w:rPr>
        <w:t>Art. </w:t>
      </w:r>
      <w:r w:rsidRPr="004676F5">
        <w:rPr>
          <w:i/>
          <w:lang w:val="de-DE"/>
        </w:rPr>
        <w:t xml:space="preserve">32 Nr. 4 des G. vom 26. Oktober 2015 (B.S. vom 30. Oktober 2015); </w:t>
      </w:r>
      <w:r w:rsidR="007D4AE5" w:rsidRPr="004676F5">
        <w:rPr>
          <w:i/>
          <w:lang w:val="de-DE"/>
        </w:rPr>
        <w:t xml:space="preserve">§ 4 Abs. 1 abgeändert durch </w:t>
      </w:r>
      <w:r w:rsidR="00BE0A56" w:rsidRPr="004676F5">
        <w:rPr>
          <w:i/>
          <w:lang w:val="de-DE"/>
        </w:rPr>
        <w:t>Art. </w:t>
      </w:r>
      <w:r w:rsidR="007D4AE5" w:rsidRPr="004676F5">
        <w:rPr>
          <w:i/>
          <w:lang w:val="de-DE"/>
        </w:rPr>
        <w:t>40 Nr. 1</w:t>
      </w:r>
      <w:r w:rsidR="007D4AE5" w:rsidRPr="004676F5">
        <w:rPr>
          <w:i/>
          <w:iCs/>
          <w:lang w:val="de-DE"/>
        </w:rPr>
        <w:t xml:space="preserve"> Buchstabe a) des G. vom 18. Dezember 2015 (II) (B.S. vom 30. Dezember 2015); § 4 Abs. 2 abgeändert durch </w:t>
      </w:r>
      <w:r w:rsidR="00BE0A56" w:rsidRPr="004676F5">
        <w:rPr>
          <w:i/>
          <w:iCs/>
          <w:lang w:val="de-DE"/>
        </w:rPr>
        <w:t>Art. </w:t>
      </w:r>
      <w:r w:rsidR="007D4AE5" w:rsidRPr="004676F5">
        <w:rPr>
          <w:i/>
          <w:iCs/>
          <w:lang w:val="de-DE"/>
        </w:rPr>
        <w:t>40 Nr. 1 Buchstabe b) des G. vom 18. Dezember 2015 (</w:t>
      </w:r>
      <w:r w:rsidR="00912E03" w:rsidRPr="004676F5">
        <w:rPr>
          <w:i/>
          <w:iCs/>
          <w:lang w:val="de-DE"/>
        </w:rPr>
        <w:t>II) (B.S. vom 30. Dezember 2015</w:t>
      </w:r>
      <w:r w:rsidR="007D4AE5" w:rsidRPr="004676F5">
        <w:rPr>
          <w:i/>
          <w:iCs/>
          <w:lang w:val="de-DE"/>
        </w:rPr>
        <w:t xml:space="preserve">); </w:t>
      </w:r>
      <w:r w:rsidR="00D81D6B" w:rsidRPr="004676F5">
        <w:rPr>
          <w:i/>
          <w:iCs/>
          <w:lang w:val="de-DE"/>
        </w:rPr>
        <w:t>§ 5 aufgehoben durch Art. 188 Nr. 2 des G. vom 2. Mai 2019</w:t>
      </w:r>
      <w:r w:rsidR="0066077D" w:rsidRPr="004676F5">
        <w:rPr>
          <w:i/>
          <w:iCs/>
          <w:lang w:val="de-DE"/>
        </w:rPr>
        <w:t> (VI)</w:t>
      </w:r>
      <w:r w:rsidR="00D81D6B" w:rsidRPr="004676F5">
        <w:rPr>
          <w:i/>
          <w:iCs/>
          <w:lang w:val="de-DE"/>
        </w:rPr>
        <w:t xml:space="preserve"> (B.S. vom 21. Mai 2019); </w:t>
      </w:r>
      <w:r w:rsidRPr="004676F5">
        <w:rPr>
          <w:i/>
          <w:lang w:val="de-DE"/>
        </w:rPr>
        <w:t>§</w:t>
      </w:r>
      <w:r w:rsidR="00BF3E40" w:rsidRPr="004676F5">
        <w:rPr>
          <w:i/>
          <w:lang w:val="de-DE"/>
        </w:rPr>
        <w:t> 6 Abs. 1 abgeänder</w:t>
      </w:r>
      <w:r w:rsidRPr="004676F5">
        <w:rPr>
          <w:i/>
          <w:lang w:val="de-DE"/>
        </w:rPr>
        <w:t xml:space="preserve">t durch </w:t>
      </w:r>
      <w:r w:rsidR="00BE0A56" w:rsidRPr="004676F5">
        <w:rPr>
          <w:i/>
          <w:lang w:val="de-DE"/>
        </w:rPr>
        <w:t>Art. </w:t>
      </w:r>
      <w:r w:rsidRPr="004676F5">
        <w:rPr>
          <w:i/>
          <w:lang w:val="de-DE"/>
        </w:rPr>
        <w:t>32 Nr. 5 </w:t>
      </w:r>
      <w:r w:rsidR="007D4AE5" w:rsidRPr="004676F5">
        <w:rPr>
          <w:i/>
          <w:lang w:val="de-DE"/>
        </w:rPr>
        <w:t xml:space="preserve">Buchstabe a) </w:t>
      </w:r>
      <w:r w:rsidRPr="004676F5">
        <w:rPr>
          <w:i/>
          <w:lang w:val="de-DE"/>
        </w:rPr>
        <w:t>des G. vom 26. Oktober 2015 (B.S. vom 30. Oktober 2015)</w:t>
      </w:r>
      <w:r w:rsidR="00BF3E40" w:rsidRPr="004676F5">
        <w:rPr>
          <w:i/>
          <w:lang w:val="de-DE"/>
        </w:rPr>
        <w:t xml:space="preserve"> und </w:t>
      </w:r>
      <w:r w:rsidR="00BE0A56" w:rsidRPr="004676F5">
        <w:rPr>
          <w:i/>
          <w:lang w:val="de-DE"/>
        </w:rPr>
        <w:t>Art. </w:t>
      </w:r>
      <w:r w:rsidR="00BF3E40" w:rsidRPr="004676F5">
        <w:rPr>
          <w:i/>
          <w:lang w:val="de-DE"/>
        </w:rPr>
        <w:t>40 Nr. 2 Buchstabe a)</w:t>
      </w:r>
      <w:r w:rsidR="00BF3E40" w:rsidRPr="004676F5">
        <w:rPr>
          <w:i/>
          <w:iCs/>
          <w:lang w:val="de-DE"/>
        </w:rPr>
        <w:t xml:space="preserve"> des G. vom 18. Dezember 2015 (II) (B.S. vom 30. Dezember 2015)</w:t>
      </w:r>
      <w:r w:rsidRPr="004676F5">
        <w:rPr>
          <w:i/>
          <w:lang w:val="de-DE"/>
        </w:rPr>
        <w:t xml:space="preserve">; § 6 Abs. 2 abgeändert durch </w:t>
      </w:r>
      <w:r w:rsidR="00BE0A56" w:rsidRPr="004676F5">
        <w:rPr>
          <w:i/>
          <w:lang w:val="de-DE"/>
        </w:rPr>
        <w:t>Art. </w:t>
      </w:r>
      <w:r w:rsidRPr="004676F5">
        <w:rPr>
          <w:i/>
          <w:lang w:val="de-DE"/>
        </w:rPr>
        <w:t>32 Nr. </w:t>
      </w:r>
      <w:r w:rsidR="007D4AE5" w:rsidRPr="004676F5">
        <w:rPr>
          <w:i/>
          <w:lang w:val="de-DE"/>
        </w:rPr>
        <w:t>5 Buchstabe b)</w:t>
      </w:r>
      <w:r w:rsidRPr="004676F5">
        <w:rPr>
          <w:i/>
          <w:lang w:val="de-DE"/>
        </w:rPr>
        <w:t xml:space="preserve"> des G. vom 26. Oktober 2015 (B.S. vom 30. Oktober 2015)</w:t>
      </w:r>
      <w:r w:rsidR="00BF3E40" w:rsidRPr="004676F5">
        <w:rPr>
          <w:i/>
          <w:lang w:val="de-DE"/>
        </w:rPr>
        <w:t xml:space="preserve"> und </w:t>
      </w:r>
      <w:r w:rsidR="00BE0A56" w:rsidRPr="004676F5">
        <w:rPr>
          <w:i/>
          <w:lang w:val="de-DE"/>
        </w:rPr>
        <w:t>Art. </w:t>
      </w:r>
      <w:r w:rsidR="00BF3E40" w:rsidRPr="004676F5">
        <w:rPr>
          <w:i/>
          <w:lang w:val="de-DE"/>
        </w:rPr>
        <w:t>40 Nr. 2 Buchstabe b)</w:t>
      </w:r>
      <w:r w:rsidR="00BF3E40" w:rsidRPr="004676F5">
        <w:rPr>
          <w:i/>
          <w:iCs/>
          <w:lang w:val="de-DE"/>
        </w:rPr>
        <w:t xml:space="preserve"> des G. vom 18. Dezember 2015 (II) (B.S. vom 30. Dezembe</w:t>
      </w:r>
      <w:r w:rsidR="00912E03" w:rsidRPr="004676F5">
        <w:rPr>
          <w:i/>
          <w:iCs/>
          <w:lang w:val="de-DE"/>
        </w:rPr>
        <w:t>r 2015</w:t>
      </w:r>
      <w:r w:rsidR="00BF3E40" w:rsidRPr="004676F5">
        <w:rPr>
          <w:i/>
          <w:iCs/>
          <w:lang w:val="de-DE"/>
        </w:rPr>
        <w:t>)</w:t>
      </w:r>
      <w:r w:rsidRPr="004676F5">
        <w:rPr>
          <w:i/>
          <w:lang w:val="de-DE"/>
        </w:rPr>
        <w:t>;</w:t>
      </w:r>
      <w:r w:rsidR="007D4AE5" w:rsidRPr="004676F5">
        <w:rPr>
          <w:i/>
          <w:lang w:val="de-DE"/>
        </w:rPr>
        <w:t xml:space="preserve"> § 7 aufgehoben durch </w:t>
      </w:r>
      <w:r w:rsidR="00BE0A56" w:rsidRPr="004676F5">
        <w:rPr>
          <w:i/>
          <w:lang w:val="de-DE"/>
        </w:rPr>
        <w:t>Art. </w:t>
      </w:r>
      <w:r w:rsidR="007D4AE5" w:rsidRPr="004676F5">
        <w:rPr>
          <w:i/>
          <w:lang w:val="de-DE"/>
        </w:rPr>
        <w:t>32 Nr. 6 des G. vom 26. Oktober 2015 (B.S. vom 30. Oktober 2015)]</w:t>
      </w:r>
    </w:p>
    <w:p w14:paraId="14E2DCA0" w14:textId="77777777" w:rsidR="00881814" w:rsidRPr="004676F5" w:rsidRDefault="00881814" w:rsidP="00881814">
      <w:pPr>
        <w:ind w:firstLine="708"/>
        <w:jc w:val="both"/>
        <w:rPr>
          <w:lang w:val="de-DE"/>
        </w:rPr>
      </w:pPr>
    </w:p>
    <w:p w14:paraId="5E369FD1" w14:textId="77777777" w:rsidR="008D748D" w:rsidRPr="004676F5" w:rsidRDefault="008D748D" w:rsidP="00881814">
      <w:pPr>
        <w:ind w:firstLine="708"/>
        <w:jc w:val="both"/>
        <w:rPr>
          <w:lang w:val="de-DE"/>
        </w:rPr>
      </w:pPr>
    </w:p>
    <w:p w14:paraId="709E0FE1" w14:textId="30F9C315" w:rsidR="00881814" w:rsidRPr="004676F5" w:rsidRDefault="00881814" w:rsidP="00881814">
      <w:pPr>
        <w:jc w:val="center"/>
        <w:rPr>
          <w:lang w:val="de-DE"/>
        </w:rPr>
      </w:pPr>
      <w:r w:rsidRPr="004676F5">
        <w:rPr>
          <w:lang w:val="de-DE"/>
        </w:rPr>
        <w:t>Unterabschnitt 3 </w:t>
      </w:r>
      <w:r w:rsidR="005B7A5C" w:rsidRPr="004676F5">
        <w:rPr>
          <w:lang w:val="de-DE"/>
        </w:rPr>
        <w:t>- </w:t>
      </w:r>
      <w:r w:rsidRPr="004676F5">
        <w:rPr>
          <w:lang w:val="de-DE"/>
        </w:rPr>
        <w:t>Eintragungsverfahren</w:t>
      </w:r>
    </w:p>
    <w:p w14:paraId="7AD42DB6" w14:textId="77777777" w:rsidR="00881814" w:rsidRPr="004676F5" w:rsidRDefault="00881814" w:rsidP="00881814">
      <w:pPr>
        <w:ind w:firstLine="708"/>
        <w:jc w:val="both"/>
        <w:rPr>
          <w:lang w:val="de-DE"/>
        </w:rPr>
      </w:pPr>
    </w:p>
    <w:p w14:paraId="38EA8C70" w14:textId="77777777" w:rsidR="008D748D" w:rsidRPr="004676F5" w:rsidRDefault="008D748D" w:rsidP="00881814">
      <w:pPr>
        <w:ind w:firstLine="708"/>
        <w:jc w:val="both"/>
        <w:rPr>
          <w:lang w:val="de-DE"/>
        </w:rPr>
      </w:pPr>
    </w:p>
    <w:p w14:paraId="191A7F21" w14:textId="4AE632E9" w:rsidR="00881814" w:rsidRPr="004676F5" w:rsidRDefault="00BE0A56" w:rsidP="00881814">
      <w:pPr>
        <w:ind w:firstLine="708"/>
        <w:jc w:val="both"/>
        <w:rPr>
          <w:lang w:val="de-DE"/>
        </w:rPr>
      </w:pPr>
      <w:r w:rsidRPr="004676F5">
        <w:rPr>
          <w:b/>
          <w:lang w:val="de-DE"/>
        </w:rPr>
        <w:t>Art. </w:t>
      </w:r>
      <w:r w:rsidR="00881814" w:rsidRPr="004676F5">
        <w:rPr>
          <w:b/>
          <w:lang w:val="de-DE"/>
        </w:rPr>
        <w:t>VII.182</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Eintragungsanträge werden der FSMA in den Formen und unter den Bedingungen übermittelt, die der König festlegt.</w:t>
      </w:r>
    </w:p>
    <w:p w14:paraId="288BD1AF" w14:textId="77777777" w:rsidR="00881814" w:rsidRPr="004676F5" w:rsidRDefault="00881814" w:rsidP="00881814">
      <w:pPr>
        <w:ind w:firstLine="708"/>
        <w:jc w:val="both"/>
        <w:rPr>
          <w:lang w:val="de-DE"/>
        </w:rPr>
      </w:pPr>
    </w:p>
    <w:p w14:paraId="16F7DF00" w14:textId="22EB14B4"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Änderungen in den Angaben aus der Eintragungsakte werden unmittelbar der FSMA mitgeteilt, unbeschadet des Rechts der FSMA, bei den Betreffenden Informationen einzuholen oder Belege anzufordern.</w:t>
      </w:r>
    </w:p>
    <w:p w14:paraId="4311EEE2" w14:textId="22063B81" w:rsidR="008562C5" w:rsidRPr="004676F5" w:rsidRDefault="008562C5" w:rsidP="00881814">
      <w:pPr>
        <w:ind w:firstLine="708"/>
        <w:jc w:val="both"/>
        <w:rPr>
          <w:lang w:val="de-DE"/>
        </w:rPr>
      </w:pPr>
    </w:p>
    <w:p w14:paraId="6C289166" w14:textId="6F2AAC03" w:rsidR="008562C5" w:rsidRPr="004676F5" w:rsidRDefault="008562C5" w:rsidP="008562C5">
      <w:pPr>
        <w:ind w:firstLine="708"/>
        <w:jc w:val="both"/>
        <w:rPr>
          <w:lang w:val="de-DE"/>
        </w:rPr>
      </w:pPr>
      <w:r w:rsidRPr="004676F5">
        <w:rPr>
          <w:lang w:val="de-DE"/>
        </w:rPr>
        <w:t xml:space="preserve">[Hypothekarkreditgeber, Hypothekarkreditvermittler und in den Artikeln VII.180 § 2 Absatz 1 Nr. 2 und VII.181 § 1 Absatz 1 Nr. 2 und § 2 Nr. 1 erwähnte Personen informieren die FSMA unverzüglich insbesondere über alle Sachverhalte oder Aspekte, die zu einer Änderung der bei Beantragung der Eintragung übermittelten Angaben führen können und Auswirkungen auf die zur Ausübung der betreffenden Funktion erforderliche </w:t>
      </w:r>
      <w:r w:rsidR="009446A1" w:rsidRPr="004676F5">
        <w:rPr>
          <w:lang w:val="de-DE"/>
        </w:rPr>
        <w:t xml:space="preserve">[angemessene Fachkompetenz] </w:t>
      </w:r>
      <w:r w:rsidRPr="004676F5">
        <w:rPr>
          <w:lang w:val="de-DE"/>
        </w:rPr>
        <w:t>oder berufliche Zuverlässigkeit haben können.</w:t>
      </w:r>
      <w:r w:rsidR="009446A1" w:rsidRPr="004676F5">
        <w:rPr>
          <w:lang w:val="de-DE"/>
        </w:rPr>
        <w:t>]</w:t>
      </w:r>
    </w:p>
    <w:p w14:paraId="6B5EE5B2" w14:textId="77777777" w:rsidR="008562C5" w:rsidRPr="004676F5" w:rsidRDefault="008562C5" w:rsidP="008562C5">
      <w:pPr>
        <w:rPr>
          <w:lang w:val="de-DE"/>
        </w:rPr>
      </w:pPr>
    </w:p>
    <w:p w14:paraId="642590D0" w14:textId="5315DBA9" w:rsidR="008562C5" w:rsidRPr="004676F5" w:rsidRDefault="009446A1" w:rsidP="008562C5">
      <w:pPr>
        <w:ind w:firstLine="708"/>
        <w:jc w:val="both"/>
        <w:rPr>
          <w:lang w:val="de-DE"/>
        </w:rPr>
      </w:pPr>
      <w:r w:rsidRPr="004676F5">
        <w:rPr>
          <w:lang w:val="de-DE"/>
        </w:rPr>
        <w:t>[</w:t>
      </w:r>
      <w:r w:rsidR="008562C5" w:rsidRPr="004676F5">
        <w:rPr>
          <w:lang w:val="de-DE"/>
        </w:rPr>
        <w:t>Erfährt die FSMA im Rahmen der Ausführung ihres Aufsichtsauftrags von einem solchen Sachverhalt oder Aspekt, ob in Anwendung von Absatz 2 oder nicht, kann sie gemäß den Artikeln VII.181 § 1 Absatz 1 und XV.18/1 die Einhaltung der in den Artikeln VII.180 § 2 Absatz 1 Nr. 2 und VII.181 § 1 Absatz 1 Nr. 2 und § 2 Nr. 1 erwähnten Anforderungen neu bewerten.]</w:t>
      </w:r>
    </w:p>
    <w:p w14:paraId="3E32ADDC" w14:textId="77777777" w:rsidR="00881814" w:rsidRPr="004676F5" w:rsidRDefault="00881814" w:rsidP="00881814">
      <w:pPr>
        <w:ind w:firstLine="708"/>
        <w:jc w:val="both"/>
        <w:rPr>
          <w:lang w:val="de-DE"/>
        </w:rPr>
      </w:pPr>
    </w:p>
    <w:p w14:paraId="3944A6DE" w14:textId="5C7037D1"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Die FSMA trägt Hypothekarkreditvermittler, die den Bedingungen von Unter</w:t>
      </w:r>
      <w:r w:rsidRPr="004676F5">
        <w:rPr>
          <w:lang w:val="de-DE"/>
        </w:rPr>
        <w:softHyphen/>
        <w:t xml:space="preserve">abschnitt 2 genügen, ein. </w:t>
      </w:r>
      <w:r w:rsidR="009446A1" w:rsidRPr="004676F5">
        <w:rPr>
          <w:lang w:val="de-DE"/>
        </w:rPr>
        <w:t>[Sie entscheidet innerhalb sechzig Tagen nach Empfang des Antrags und aller erforderlichen Unterlagen.]</w:t>
      </w:r>
    </w:p>
    <w:p w14:paraId="19C2533D" w14:textId="77777777" w:rsidR="00881814" w:rsidRPr="004676F5" w:rsidRDefault="00881814" w:rsidP="00881814">
      <w:pPr>
        <w:ind w:firstLine="708"/>
        <w:jc w:val="both"/>
        <w:rPr>
          <w:lang w:val="de-DE"/>
        </w:rPr>
      </w:pPr>
    </w:p>
    <w:p w14:paraId="4F0014AA" w14:textId="513EE2D0" w:rsidR="00881814" w:rsidRPr="004676F5" w:rsidRDefault="00881814" w:rsidP="00881814">
      <w:pPr>
        <w:ind w:firstLine="708"/>
        <w:jc w:val="both"/>
        <w:rPr>
          <w:lang w:val="de-DE"/>
        </w:rPr>
      </w:pPr>
      <w:r w:rsidRPr="004676F5">
        <w:rPr>
          <w:lang w:val="de-DE"/>
        </w:rPr>
        <w:t>§ 4 </w:t>
      </w:r>
      <w:r w:rsidR="005B7A5C" w:rsidRPr="004676F5">
        <w:rPr>
          <w:lang w:val="de-DE"/>
        </w:rPr>
        <w:t>- </w:t>
      </w:r>
      <w:r w:rsidRPr="004676F5">
        <w:rPr>
          <w:lang w:val="de-DE"/>
        </w:rPr>
        <w:t xml:space="preserve">Der Direktionsausschuss der FSMA kann einem von ihm bestimmten Mitglied des Personals der FSMA die Notifizierung der Beschlüsse zur Eintragung beziehungsweise zur </w:t>
      </w:r>
      <w:r w:rsidRPr="004676F5">
        <w:rPr>
          <w:spacing w:val="2"/>
          <w:lang w:val="de-DE"/>
        </w:rPr>
        <w:t xml:space="preserve">Verweigerung der Eintragung in das Register der Hypothekarkreditvermittler, der Änderungs-, </w:t>
      </w:r>
      <w:r w:rsidRPr="004676F5">
        <w:rPr>
          <w:lang w:val="de-DE"/>
        </w:rPr>
        <w:t>Inverzugsetzungs</w:t>
      </w:r>
      <w:r w:rsidR="005B7A5C" w:rsidRPr="004676F5">
        <w:rPr>
          <w:lang w:val="de-DE"/>
        </w:rPr>
        <w:t>- </w:t>
      </w:r>
      <w:r w:rsidRPr="004676F5">
        <w:rPr>
          <w:lang w:val="de-DE"/>
        </w:rPr>
        <w:t>und Verbotsbeschlüsse und der Beschlüsse zur Aussetzung oder Streichung der Eintragung auftragen.</w:t>
      </w:r>
    </w:p>
    <w:p w14:paraId="51259EDD" w14:textId="77777777" w:rsidR="00881814" w:rsidRPr="004676F5" w:rsidRDefault="00881814" w:rsidP="00881814">
      <w:pPr>
        <w:ind w:firstLine="708"/>
        <w:jc w:val="both"/>
        <w:rPr>
          <w:lang w:val="de-DE"/>
        </w:rPr>
      </w:pPr>
    </w:p>
    <w:p w14:paraId="2B4C6DB6" w14:textId="77777777" w:rsidR="00881814" w:rsidRPr="004676F5" w:rsidRDefault="00881814" w:rsidP="00881814">
      <w:pPr>
        <w:ind w:firstLine="708"/>
        <w:jc w:val="both"/>
        <w:rPr>
          <w:lang w:val="de-DE"/>
        </w:rPr>
      </w:pPr>
      <w:r w:rsidRPr="004676F5">
        <w:rPr>
          <w:lang w:val="de-DE"/>
        </w:rPr>
        <w:t>Die FSMA kann in vorhergehendem Absatz erwähnte Beschlüsse rechtsgültig anhand von Vordrucken notifizieren, die mit einer durch ein Verfahren der maschinellen Datenverarbeitung wiedergegebenen Unterschrift versehen sind.</w:t>
      </w:r>
    </w:p>
    <w:p w14:paraId="2E19A866" w14:textId="77777777" w:rsidR="00881814" w:rsidRPr="004676F5" w:rsidRDefault="00881814" w:rsidP="00881814">
      <w:pPr>
        <w:ind w:firstLine="708"/>
        <w:jc w:val="both"/>
        <w:rPr>
          <w:lang w:val="de-DE"/>
        </w:rPr>
      </w:pPr>
    </w:p>
    <w:p w14:paraId="295E1D42" w14:textId="5643FAE1" w:rsidR="00881814" w:rsidRPr="004676F5" w:rsidRDefault="00881814" w:rsidP="00881814">
      <w:pPr>
        <w:ind w:firstLine="708"/>
        <w:jc w:val="both"/>
        <w:rPr>
          <w:lang w:val="de-DE"/>
        </w:rPr>
      </w:pPr>
      <w:r w:rsidRPr="004676F5">
        <w:rPr>
          <w:lang w:val="de-DE"/>
        </w:rPr>
        <w:lastRenderedPageBreak/>
        <w:t>§ 5 </w:t>
      </w:r>
      <w:r w:rsidR="005B7A5C" w:rsidRPr="004676F5">
        <w:rPr>
          <w:lang w:val="de-DE"/>
        </w:rPr>
        <w:t>- </w:t>
      </w:r>
      <w:r w:rsidRPr="004676F5">
        <w:rPr>
          <w:lang w:val="de-DE"/>
        </w:rPr>
        <w:t>Die FSMA veröffentlicht auf ihrer Website ein regelmäßig fortgeschriebenes Register der Hypothekarkreditvermittler und eine Übersicht der in den letzten zwölf Monaten eingetretenen Änderungen.</w:t>
      </w:r>
    </w:p>
    <w:p w14:paraId="1A953C67" w14:textId="77777777" w:rsidR="00881814" w:rsidRPr="004676F5" w:rsidRDefault="00881814" w:rsidP="00881814">
      <w:pPr>
        <w:ind w:firstLine="708"/>
        <w:jc w:val="both"/>
        <w:rPr>
          <w:lang w:val="de-DE"/>
        </w:rPr>
      </w:pPr>
    </w:p>
    <w:p w14:paraId="6A3B0392" w14:textId="77777777" w:rsidR="00881814" w:rsidRPr="004676F5" w:rsidRDefault="00881814" w:rsidP="00881814">
      <w:pPr>
        <w:ind w:firstLine="708"/>
        <w:jc w:val="both"/>
        <w:rPr>
          <w:lang w:val="de-DE"/>
        </w:rPr>
      </w:pPr>
      <w:r w:rsidRPr="004676F5">
        <w:rPr>
          <w:lang w:val="de-DE"/>
        </w:rPr>
        <w:t>Dieses Register ist wie folgt unterteilt:</w:t>
      </w:r>
    </w:p>
    <w:p w14:paraId="7504F52B" w14:textId="77777777" w:rsidR="00881814" w:rsidRPr="004676F5" w:rsidRDefault="00881814" w:rsidP="00881814">
      <w:pPr>
        <w:ind w:firstLine="708"/>
        <w:jc w:val="both"/>
        <w:rPr>
          <w:lang w:val="de-DE"/>
        </w:rPr>
      </w:pPr>
    </w:p>
    <w:p w14:paraId="5A3E597F" w14:textId="77777777" w:rsidR="00881814" w:rsidRPr="004676F5" w:rsidRDefault="00881814" w:rsidP="00881814">
      <w:pPr>
        <w:ind w:firstLine="708"/>
        <w:jc w:val="both"/>
        <w:rPr>
          <w:lang w:val="de-DE"/>
        </w:rPr>
      </w:pPr>
      <w:r w:rsidRPr="004676F5">
        <w:rPr>
          <w:lang w:val="de-DE"/>
        </w:rPr>
        <w:t>A. Vermittler nach belgischem Recht</w:t>
      </w:r>
    </w:p>
    <w:p w14:paraId="24FC461D" w14:textId="77777777" w:rsidR="00881814" w:rsidRPr="004676F5" w:rsidRDefault="00881814" w:rsidP="00881814">
      <w:pPr>
        <w:ind w:firstLine="708"/>
        <w:jc w:val="both"/>
        <w:rPr>
          <w:lang w:val="de-DE"/>
        </w:rPr>
      </w:pPr>
    </w:p>
    <w:p w14:paraId="7D1A8C5D" w14:textId="77777777" w:rsidR="00881814" w:rsidRPr="004676F5" w:rsidRDefault="00881814" w:rsidP="00881814">
      <w:pPr>
        <w:ind w:firstLine="708"/>
        <w:jc w:val="both"/>
        <w:rPr>
          <w:lang w:val="de-DE"/>
        </w:rPr>
      </w:pPr>
      <w:r w:rsidRPr="004676F5">
        <w:rPr>
          <w:lang w:val="de-DE"/>
        </w:rPr>
        <w:t>Kreditmakler</w:t>
      </w:r>
    </w:p>
    <w:p w14:paraId="7E87D713" w14:textId="77777777" w:rsidR="00881814" w:rsidRPr="004676F5" w:rsidRDefault="00881814" w:rsidP="00881814">
      <w:pPr>
        <w:ind w:firstLine="708"/>
        <w:jc w:val="both"/>
        <w:rPr>
          <w:lang w:val="de-DE"/>
        </w:rPr>
      </w:pPr>
    </w:p>
    <w:p w14:paraId="3C52E784" w14:textId="77777777" w:rsidR="00881814" w:rsidRPr="004676F5" w:rsidRDefault="00881814" w:rsidP="00881814">
      <w:pPr>
        <w:ind w:firstLine="708"/>
        <w:jc w:val="both"/>
        <w:rPr>
          <w:lang w:val="de-DE"/>
        </w:rPr>
      </w:pPr>
      <w:r w:rsidRPr="004676F5">
        <w:rPr>
          <w:lang w:val="de-DE"/>
        </w:rPr>
        <w:t>Vertraglich gebundene Vermittler</w:t>
      </w:r>
    </w:p>
    <w:p w14:paraId="53889748" w14:textId="77777777" w:rsidR="00881814" w:rsidRPr="004676F5" w:rsidRDefault="00881814" w:rsidP="00881814">
      <w:pPr>
        <w:ind w:firstLine="708"/>
        <w:jc w:val="both"/>
        <w:rPr>
          <w:lang w:val="de-DE"/>
        </w:rPr>
      </w:pPr>
    </w:p>
    <w:p w14:paraId="3A208750" w14:textId="77777777" w:rsidR="00881814" w:rsidRPr="004676F5" w:rsidRDefault="00881814" w:rsidP="00881814">
      <w:pPr>
        <w:ind w:firstLine="708"/>
        <w:jc w:val="both"/>
        <w:rPr>
          <w:lang w:val="de-DE"/>
        </w:rPr>
      </w:pPr>
      <w:r w:rsidRPr="004676F5">
        <w:rPr>
          <w:lang w:val="de-DE"/>
        </w:rPr>
        <w:t>Vermittlungsvertreter</w:t>
      </w:r>
    </w:p>
    <w:p w14:paraId="0CF3DFF5" w14:textId="77777777" w:rsidR="00881814" w:rsidRPr="004676F5" w:rsidRDefault="00881814" w:rsidP="00881814">
      <w:pPr>
        <w:ind w:firstLine="708"/>
        <w:jc w:val="both"/>
        <w:rPr>
          <w:lang w:val="de-DE"/>
        </w:rPr>
      </w:pPr>
    </w:p>
    <w:p w14:paraId="02E36FF5" w14:textId="77777777" w:rsidR="00881814" w:rsidRPr="004676F5" w:rsidRDefault="00881814" w:rsidP="00881814">
      <w:pPr>
        <w:ind w:firstLine="708"/>
        <w:jc w:val="both"/>
        <w:rPr>
          <w:lang w:val="de-DE"/>
        </w:rPr>
      </w:pPr>
      <w:r w:rsidRPr="004676F5">
        <w:rPr>
          <w:lang w:val="de-DE"/>
        </w:rPr>
        <w:t>B. In Belgien durch Zweigniederlassung ansässige Vermittler nach dem Recht eines anderen Mitgliedstaats</w:t>
      </w:r>
    </w:p>
    <w:p w14:paraId="6A4AB516" w14:textId="77777777" w:rsidR="00881814" w:rsidRPr="004676F5" w:rsidRDefault="00881814" w:rsidP="00881814">
      <w:pPr>
        <w:ind w:firstLine="708"/>
        <w:jc w:val="both"/>
        <w:rPr>
          <w:lang w:val="de-DE"/>
        </w:rPr>
      </w:pPr>
    </w:p>
    <w:p w14:paraId="4F11F7D7" w14:textId="77777777" w:rsidR="00881814" w:rsidRPr="004676F5" w:rsidRDefault="00881814" w:rsidP="00881814">
      <w:pPr>
        <w:ind w:firstLine="708"/>
        <w:jc w:val="both"/>
        <w:rPr>
          <w:lang w:val="de-DE"/>
        </w:rPr>
      </w:pPr>
      <w:r w:rsidRPr="004676F5">
        <w:rPr>
          <w:lang w:val="de-DE"/>
        </w:rPr>
        <w:t>C. In Belgien im freien Dienstleistungsverkehr tätige Vermittler nach dem Recht eines anderen Mitgliedstaats</w:t>
      </w:r>
    </w:p>
    <w:p w14:paraId="7F5DE4B1" w14:textId="77777777" w:rsidR="00881814" w:rsidRPr="004676F5" w:rsidRDefault="00881814" w:rsidP="00881814">
      <w:pPr>
        <w:ind w:firstLine="708"/>
        <w:jc w:val="both"/>
        <w:rPr>
          <w:lang w:val="de-DE"/>
        </w:rPr>
      </w:pPr>
    </w:p>
    <w:p w14:paraId="501B6897" w14:textId="4ABA2897" w:rsidR="00881814" w:rsidRPr="004676F5" w:rsidRDefault="00881814" w:rsidP="00881814">
      <w:pPr>
        <w:ind w:firstLine="708"/>
        <w:jc w:val="both"/>
        <w:rPr>
          <w:lang w:val="de-DE"/>
        </w:rPr>
      </w:pPr>
      <w:r w:rsidRPr="004676F5">
        <w:rPr>
          <w:lang w:val="de-DE"/>
        </w:rPr>
        <w:t>D. Andere Vermittler nach ausländischem Recht</w:t>
      </w:r>
    </w:p>
    <w:p w14:paraId="4688404C" w14:textId="77777777" w:rsidR="00881814" w:rsidRPr="004676F5" w:rsidRDefault="00881814" w:rsidP="00881814">
      <w:pPr>
        <w:ind w:firstLine="708"/>
        <w:jc w:val="both"/>
        <w:rPr>
          <w:lang w:val="de-DE"/>
        </w:rPr>
      </w:pPr>
    </w:p>
    <w:p w14:paraId="74177C79" w14:textId="77777777" w:rsidR="00881814" w:rsidRPr="004676F5" w:rsidRDefault="00881814" w:rsidP="00881814">
      <w:pPr>
        <w:ind w:firstLine="708"/>
        <w:jc w:val="both"/>
        <w:rPr>
          <w:lang w:val="de-DE"/>
        </w:rPr>
      </w:pPr>
      <w:r w:rsidRPr="004676F5">
        <w:rPr>
          <w:lang w:val="de-DE"/>
        </w:rPr>
        <w:t>Für jeden Hypothekarkreditvermittler wird im Register Folgendes angegeben:</w:t>
      </w:r>
    </w:p>
    <w:p w14:paraId="440F1821" w14:textId="77777777" w:rsidR="00881814" w:rsidRPr="004676F5" w:rsidRDefault="00881814" w:rsidP="00881814">
      <w:pPr>
        <w:ind w:firstLine="708"/>
        <w:jc w:val="both"/>
        <w:rPr>
          <w:lang w:val="de-DE"/>
        </w:rPr>
      </w:pPr>
    </w:p>
    <w:p w14:paraId="121D92AB" w14:textId="77777777" w:rsidR="00881814" w:rsidRPr="004676F5" w:rsidRDefault="00881814" w:rsidP="00881814">
      <w:pPr>
        <w:ind w:firstLine="708"/>
        <w:jc w:val="both"/>
        <w:rPr>
          <w:lang w:val="de-DE"/>
        </w:rPr>
      </w:pPr>
      <w:r w:rsidRPr="004676F5">
        <w:rPr>
          <w:lang w:val="de-DE"/>
        </w:rPr>
        <w:t>1. zu seiner Identifizierung erforderliche Angaben,</w:t>
      </w:r>
    </w:p>
    <w:p w14:paraId="13905415" w14:textId="77777777" w:rsidR="00881814" w:rsidRPr="004676F5" w:rsidRDefault="00881814" w:rsidP="00881814">
      <w:pPr>
        <w:ind w:firstLine="708"/>
        <w:jc w:val="both"/>
        <w:rPr>
          <w:lang w:val="de-DE"/>
        </w:rPr>
      </w:pPr>
    </w:p>
    <w:p w14:paraId="22F678AE" w14:textId="77777777" w:rsidR="00881814" w:rsidRPr="004676F5" w:rsidRDefault="00881814" w:rsidP="00881814">
      <w:pPr>
        <w:ind w:firstLine="708"/>
        <w:jc w:val="both"/>
        <w:rPr>
          <w:lang w:val="de-DE"/>
        </w:rPr>
      </w:pPr>
      <w:r w:rsidRPr="004676F5">
        <w:rPr>
          <w:lang w:val="de-DE"/>
        </w:rPr>
        <w:t>2. Datum seiner Eintragung,</w:t>
      </w:r>
    </w:p>
    <w:p w14:paraId="648076E3" w14:textId="77777777" w:rsidR="00881814" w:rsidRPr="004676F5" w:rsidRDefault="00881814" w:rsidP="00881814">
      <w:pPr>
        <w:ind w:firstLine="708"/>
        <w:jc w:val="both"/>
        <w:rPr>
          <w:lang w:val="de-DE"/>
        </w:rPr>
      </w:pPr>
    </w:p>
    <w:p w14:paraId="2F5DCDD7" w14:textId="77777777" w:rsidR="00881814" w:rsidRPr="004676F5" w:rsidRDefault="00881814" w:rsidP="00881814">
      <w:pPr>
        <w:ind w:firstLine="708"/>
        <w:jc w:val="both"/>
        <w:rPr>
          <w:lang w:val="de-DE"/>
        </w:rPr>
      </w:pPr>
      <w:r w:rsidRPr="004676F5">
        <w:rPr>
          <w:lang w:val="de-DE"/>
        </w:rPr>
        <w:t>3. Kategorie, in der er eingetragen ist,</w:t>
      </w:r>
    </w:p>
    <w:p w14:paraId="3CAE6FBF" w14:textId="77777777" w:rsidR="00881814" w:rsidRPr="004676F5" w:rsidRDefault="00881814" w:rsidP="00881814">
      <w:pPr>
        <w:ind w:firstLine="708"/>
        <w:jc w:val="both"/>
        <w:rPr>
          <w:lang w:val="de-DE"/>
        </w:rPr>
      </w:pPr>
    </w:p>
    <w:p w14:paraId="0B01C689" w14:textId="77777777" w:rsidR="00881814" w:rsidRPr="004676F5" w:rsidRDefault="00881814" w:rsidP="00881814">
      <w:pPr>
        <w:ind w:firstLine="708"/>
        <w:jc w:val="both"/>
        <w:rPr>
          <w:lang w:val="de-DE"/>
        </w:rPr>
      </w:pPr>
      <w:r w:rsidRPr="004676F5">
        <w:rPr>
          <w:lang w:val="de-DE"/>
        </w:rPr>
        <w:t>4. Namen der Vertriebsbeauftragten,</w:t>
      </w:r>
    </w:p>
    <w:p w14:paraId="5E2A2892" w14:textId="77777777" w:rsidR="00881814" w:rsidRPr="004676F5" w:rsidRDefault="00881814" w:rsidP="00881814">
      <w:pPr>
        <w:ind w:firstLine="708"/>
        <w:jc w:val="both"/>
        <w:rPr>
          <w:lang w:val="de-DE"/>
        </w:rPr>
      </w:pPr>
    </w:p>
    <w:p w14:paraId="126348BA" w14:textId="77777777" w:rsidR="00881814" w:rsidRPr="004676F5" w:rsidRDefault="00881814" w:rsidP="00881814">
      <w:pPr>
        <w:ind w:firstLine="708"/>
        <w:jc w:val="both"/>
        <w:rPr>
          <w:lang w:val="de-DE"/>
        </w:rPr>
      </w:pPr>
      <w:r w:rsidRPr="004676F5">
        <w:rPr>
          <w:lang w:val="de-DE"/>
        </w:rPr>
        <w:t>5. </w:t>
      </w:r>
      <w:r w:rsidR="006F4974" w:rsidRPr="004676F5">
        <w:rPr>
          <w:lang w:val="de-DE"/>
        </w:rPr>
        <w:t>[</w:t>
      </w:r>
      <w:r w:rsidR="006F4974" w:rsidRPr="004676F5">
        <w:rPr>
          <w:lang w:val="de-DE" w:bidi="de-DE"/>
        </w:rPr>
        <w:t>für vertraglich gebundene Vermittler: Namen des oder der Hypothekarkreditgeber, an die sie gebunden sind, und gegebenenfalls Gruppe, der diese Kreditgeber angehören,</w:t>
      </w:r>
      <w:r w:rsidR="006F4974" w:rsidRPr="004676F5">
        <w:rPr>
          <w:lang w:val="de-DE"/>
        </w:rPr>
        <w:t>]</w:t>
      </w:r>
    </w:p>
    <w:p w14:paraId="05E9B954" w14:textId="77777777" w:rsidR="00881814" w:rsidRPr="004676F5" w:rsidRDefault="00881814" w:rsidP="00881814">
      <w:pPr>
        <w:ind w:firstLine="708"/>
        <w:jc w:val="both"/>
        <w:rPr>
          <w:lang w:val="de-DE"/>
        </w:rPr>
      </w:pPr>
    </w:p>
    <w:p w14:paraId="72777001" w14:textId="77777777" w:rsidR="00881814" w:rsidRPr="004676F5" w:rsidRDefault="00881814" w:rsidP="00881814">
      <w:pPr>
        <w:ind w:firstLine="708"/>
        <w:jc w:val="both"/>
        <w:rPr>
          <w:lang w:val="de-DE"/>
        </w:rPr>
      </w:pPr>
      <w:r w:rsidRPr="004676F5">
        <w:rPr>
          <w:lang w:val="de-DE"/>
        </w:rPr>
        <w:t>6. </w:t>
      </w:r>
      <w:r w:rsidR="006F4974" w:rsidRPr="004676F5">
        <w:rPr>
          <w:lang w:val="de-DE"/>
        </w:rPr>
        <w:t>[für Vermittlungsvertreter: Namen des Hypothekarkreditvermittlers, unter dessen Haftung sie ihre Tätigkeiten ausüben,]</w:t>
      </w:r>
    </w:p>
    <w:p w14:paraId="6B10C1CF" w14:textId="77777777" w:rsidR="00881814" w:rsidRPr="004676F5" w:rsidRDefault="00881814" w:rsidP="00881814">
      <w:pPr>
        <w:ind w:firstLine="708"/>
        <w:jc w:val="both"/>
        <w:rPr>
          <w:lang w:val="de-DE"/>
        </w:rPr>
      </w:pPr>
    </w:p>
    <w:p w14:paraId="7CE80E51" w14:textId="77777777" w:rsidR="00881814" w:rsidRPr="004676F5" w:rsidRDefault="00881814" w:rsidP="00881814">
      <w:pPr>
        <w:ind w:firstLine="708"/>
        <w:jc w:val="both"/>
        <w:rPr>
          <w:lang w:val="de-DE"/>
        </w:rPr>
      </w:pPr>
      <w:r w:rsidRPr="004676F5">
        <w:rPr>
          <w:lang w:val="de-DE"/>
        </w:rPr>
        <w:t>7. gegebenenfalls Datum seiner Streichung,</w:t>
      </w:r>
    </w:p>
    <w:p w14:paraId="6D7A3DD2" w14:textId="77777777" w:rsidR="00881814" w:rsidRPr="004676F5" w:rsidRDefault="00881814" w:rsidP="00881814">
      <w:pPr>
        <w:ind w:firstLine="708"/>
        <w:jc w:val="both"/>
        <w:rPr>
          <w:lang w:val="de-DE"/>
        </w:rPr>
      </w:pPr>
    </w:p>
    <w:p w14:paraId="05A29FFF" w14:textId="77777777" w:rsidR="00881814" w:rsidRPr="004676F5" w:rsidRDefault="00881814" w:rsidP="00881814">
      <w:pPr>
        <w:ind w:firstLine="708"/>
        <w:jc w:val="both"/>
        <w:rPr>
          <w:lang w:val="de-DE"/>
        </w:rPr>
      </w:pPr>
      <w:r w:rsidRPr="004676F5">
        <w:rPr>
          <w:lang w:val="de-DE"/>
        </w:rPr>
        <w:t>8. andere Informationen, die die FSMA für eine korrekte Information der Öffent</w:t>
      </w:r>
      <w:r w:rsidRPr="004676F5">
        <w:rPr>
          <w:lang w:val="de-DE"/>
        </w:rPr>
        <w:softHyphen/>
        <w:t>lichkeit für zweckmäßig erachtet.</w:t>
      </w:r>
    </w:p>
    <w:p w14:paraId="4AE0B31B" w14:textId="77777777" w:rsidR="00881814" w:rsidRPr="004676F5" w:rsidRDefault="00881814" w:rsidP="00881814">
      <w:pPr>
        <w:ind w:firstLine="708"/>
        <w:jc w:val="both"/>
        <w:rPr>
          <w:lang w:val="de-DE"/>
        </w:rPr>
      </w:pPr>
    </w:p>
    <w:p w14:paraId="2943F8DD" w14:textId="77777777" w:rsidR="00881814" w:rsidRPr="004676F5" w:rsidRDefault="00881814" w:rsidP="00881814">
      <w:pPr>
        <w:ind w:firstLine="708"/>
        <w:jc w:val="both"/>
        <w:rPr>
          <w:lang w:val="de-DE"/>
        </w:rPr>
      </w:pPr>
      <w:r w:rsidRPr="004676F5">
        <w:rPr>
          <w:lang w:val="de-DE"/>
        </w:rPr>
        <w:t>Die FSMA legt Bedingungen fest, unter denen ein Vermerk über die Streichung eines Vermittlers von der Website entfernt wird.</w:t>
      </w:r>
    </w:p>
    <w:p w14:paraId="2FAEF8E6" w14:textId="77777777" w:rsidR="00881814" w:rsidRPr="004676F5" w:rsidRDefault="00881814" w:rsidP="00881814">
      <w:pPr>
        <w:ind w:firstLine="708"/>
        <w:jc w:val="both"/>
        <w:rPr>
          <w:lang w:val="de-DE"/>
        </w:rPr>
      </w:pPr>
    </w:p>
    <w:p w14:paraId="668F5563" w14:textId="545A03E3" w:rsidR="00881814" w:rsidRPr="004676F5" w:rsidRDefault="00881814" w:rsidP="00881814">
      <w:pPr>
        <w:ind w:firstLine="708"/>
        <w:jc w:val="both"/>
        <w:rPr>
          <w:lang w:val="de-DE"/>
        </w:rPr>
      </w:pPr>
      <w:r w:rsidRPr="004676F5">
        <w:rPr>
          <w:lang w:val="de-DE"/>
        </w:rPr>
        <w:t>§ 6 </w:t>
      </w:r>
      <w:r w:rsidR="005B7A5C" w:rsidRPr="004676F5">
        <w:rPr>
          <w:lang w:val="de-DE"/>
        </w:rPr>
        <w:t>- </w:t>
      </w:r>
      <w:r w:rsidRPr="004676F5">
        <w:rPr>
          <w:lang w:val="de-DE"/>
        </w:rPr>
        <w:t>Bei Einreichung des Eintragungsantrags gibt der Antragsteller die Kategorie an, in die er im Register eingetragen werden möchte. Ein Vermittler darf nur in eine Kategorie des Registers eingetragen werden.</w:t>
      </w:r>
    </w:p>
    <w:p w14:paraId="23CB9BE5" w14:textId="77777777" w:rsidR="006F4974" w:rsidRPr="004676F5" w:rsidRDefault="006F4974" w:rsidP="00881814">
      <w:pPr>
        <w:ind w:firstLine="708"/>
        <w:jc w:val="both"/>
        <w:rPr>
          <w:lang w:val="de-DE"/>
        </w:rPr>
      </w:pPr>
    </w:p>
    <w:p w14:paraId="55286D5E" w14:textId="579BE263" w:rsidR="006F4974" w:rsidRPr="004676F5" w:rsidRDefault="006F4974" w:rsidP="006F4974">
      <w:pPr>
        <w:jc w:val="both"/>
        <w:rPr>
          <w:i/>
          <w:lang w:val="de-DE"/>
        </w:rPr>
      </w:pPr>
      <w:r w:rsidRPr="004676F5">
        <w:rPr>
          <w:i/>
          <w:lang w:val="de-DE"/>
        </w:rPr>
        <w:t>[</w:t>
      </w:r>
      <w:r w:rsidR="00BE0A56" w:rsidRPr="004676F5">
        <w:rPr>
          <w:i/>
          <w:lang w:val="de-DE"/>
        </w:rPr>
        <w:t>Art. </w:t>
      </w:r>
      <w:r w:rsidRPr="004676F5">
        <w:rPr>
          <w:i/>
          <w:lang w:val="de-DE"/>
        </w:rPr>
        <w:t xml:space="preserve">VII.182 </w:t>
      </w:r>
      <w:r w:rsidR="008562C5" w:rsidRPr="004676F5">
        <w:rPr>
          <w:i/>
          <w:lang w:val="de-DE"/>
        </w:rPr>
        <w:t>§ 2 Abs. 2 eingefügt durch Art. 21 des G. vom 5. Dezember 2017 (B.S. vom 18. Dezember 2017)</w:t>
      </w:r>
      <w:r w:rsidR="009446A1" w:rsidRPr="004676F5">
        <w:rPr>
          <w:i/>
          <w:lang w:val="de-DE"/>
        </w:rPr>
        <w:t xml:space="preserve"> und abgeändert durch Art. 18 des G. vom 8. Mai 2022 (B.S. vom </w:t>
      </w:r>
      <w:r w:rsidR="009446A1" w:rsidRPr="004676F5">
        <w:rPr>
          <w:i/>
          <w:lang w:val="de-DE"/>
        </w:rPr>
        <w:lastRenderedPageBreak/>
        <w:t>23. Juni 2022)</w:t>
      </w:r>
      <w:r w:rsidR="008562C5" w:rsidRPr="004676F5">
        <w:rPr>
          <w:i/>
          <w:lang w:val="de-DE"/>
        </w:rPr>
        <w:t xml:space="preserve">; </w:t>
      </w:r>
      <w:r w:rsidR="009446A1" w:rsidRPr="004676F5">
        <w:rPr>
          <w:i/>
          <w:lang w:val="de-DE"/>
        </w:rPr>
        <w:t xml:space="preserve">§ 2 Abs. 3 eingefügt durch Art. 21 des G. vom 5. Dezember 2017 (B.S. vom 18. Dezember 2017); § 3 abgeändert durch Art. 20 des G. vom 8. Mai 2022 (B.S. vom 23. Juni 2022); </w:t>
      </w:r>
      <w:r w:rsidRPr="004676F5">
        <w:rPr>
          <w:i/>
          <w:lang w:val="de-DE"/>
        </w:rPr>
        <w:t xml:space="preserve">§ 5 Abs. 3 Nr. 5 ersetzt durch </w:t>
      </w:r>
      <w:r w:rsidR="00BE0A56" w:rsidRPr="004676F5">
        <w:rPr>
          <w:i/>
          <w:lang w:val="de-DE"/>
        </w:rPr>
        <w:t>Art. </w:t>
      </w:r>
      <w:r w:rsidRPr="004676F5">
        <w:rPr>
          <w:i/>
          <w:lang w:val="de-DE"/>
        </w:rPr>
        <w:t>41</w:t>
      </w:r>
      <w:r w:rsidRPr="004676F5">
        <w:rPr>
          <w:i/>
          <w:iCs/>
          <w:lang w:val="de-DE"/>
        </w:rPr>
        <w:t xml:space="preserve"> des G. vom 18. Dezember 2015 (</w:t>
      </w:r>
      <w:r w:rsidR="00AC0398" w:rsidRPr="004676F5">
        <w:rPr>
          <w:i/>
          <w:iCs/>
          <w:lang w:val="de-DE"/>
        </w:rPr>
        <w:t>II) (B.S. vom 30. Dezember 2015</w:t>
      </w:r>
      <w:r w:rsidRPr="004676F5">
        <w:rPr>
          <w:i/>
          <w:iCs/>
          <w:lang w:val="de-DE"/>
        </w:rPr>
        <w:t xml:space="preserve">); § 5 Abs. 3 Nr. 6 ersetzt durch </w:t>
      </w:r>
      <w:r w:rsidR="00BE0A56" w:rsidRPr="004676F5">
        <w:rPr>
          <w:i/>
          <w:iCs/>
          <w:lang w:val="de-DE"/>
        </w:rPr>
        <w:t>Art. </w:t>
      </w:r>
      <w:r w:rsidRPr="004676F5">
        <w:rPr>
          <w:i/>
          <w:iCs/>
          <w:lang w:val="de-DE"/>
        </w:rPr>
        <w:t>33 Nr. 2</w:t>
      </w:r>
      <w:r w:rsidRPr="004676F5">
        <w:rPr>
          <w:i/>
          <w:lang w:val="de-DE"/>
        </w:rPr>
        <w:t> des G. vom 26. Oktober 2015 (B.S. vom 30. Oktober 2015)]</w:t>
      </w:r>
    </w:p>
    <w:p w14:paraId="0AF88C70" w14:textId="77777777" w:rsidR="00881814" w:rsidRPr="004676F5" w:rsidRDefault="00881814" w:rsidP="00881814">
      <w:pPr>
        <w:ind w:firstLine="708"/>
        <w:jc w:val="both"/>
        <w:rPr>
          <w:lang w:val="de-DE"/>
        </w:rPr>
      </w:pPr>
    </w:p>
    <w:p w14:paraId="7C305DA1" w14:textId="77777777" w:rsidR="008D748D" w:rsidRPr="004676F5" w:rsidRDefault="008D748D" w:rsidP="00881814">
      <w:pPr>
        <w:ind w:firstLine="708"/>
        <w:jc w:val="both"/>
        <w:rPr>
          <w:lang w:val="de-DE"/>
        </w:rPr>
      </w:pPr>
    </w:p>
    <w:p w14:paraId="6684EB7D" w14:textId="5CE23867" w:rsidR="00881814" w:rsidRPr="004676F5" w:rsidRDefault="00881814" w:rsidP="00881814">
      <w:pPr>
        <w:jc w:val="center"/>
        <w:rPr>
          <w:lang w:val="de-DE"/>
        </w:rPr>
      </w:pPr>
      <w:r w:rsidRPr="004676F5">
        <w:rPr>
          <w:lang w:val="de-DE"/>
        </w:rPr>
        <w:t>Unterabschnitt 4 </w:t>
      </w:r>
      <w:r w:rsidR="005B7A5C" w:rsidRPr="004676F5">
        <w:rPr>
          <w:lang w:val="de-DE"/>
        </w:rPr>
        <w:t>- </w:t>
      </w:r>
      <w:r w:rsidRPr="004676F5">
        <w:rPr>
          <w:lang w:val="de-DE"/>
        </w:rPr>
        <w:t>Niederlassungsfreiheit und freier Dienstleistungsverkehr</w:t>
      </w:r>
    </w:p>
    <w:p w14:paraId="144AF9F2" w14:textId="77777777" w:rsidR="00881814" w:rsidRPr="004676F5" w:rsidRDefault="00881814" w:rsidP="00881814">
      <w:pPr>
        <w:ind w:firstLine="708"/>
        <w:jc w:val="both"/>
        <w:rPr>
          <w:lang w:val="de-DE"/>
        </w:rPr>
      </w:pPr>
    </w:p>
    <w:p w14:paraId="1B638318" w14:textId="77777777" w:rsidR="008D748D" w:rsidRPr="004676F5" w:rsidRDefault="008D748D" w:rsidP="00881814">
      <w:pPr>
        <w:ind w:firstLine="708"/>
        <w:jc w:val="both"/>
        <w:rPr>
          <w:lang w:val="de-DE"/>
        </w:rPr>
      </w:pPr>
    </w:p>
    <w:p w14:paraId="53A902D0" w14:textId="79068448" w:rsidR="00881814" w:rsidRPr="004676F5" w:rsidRDefault="00BE0A56" w:rsidP="00881814">
      <w:pPr>
        <w:ind w:firstLine="708"/>
        <w:jc w:val="both"/>
        <w:rPr>
          <w:lang w:val="de-DE"/>
        </w:rPr>
      </w:pPr>
      <w:r w:rsidRPr="004676F5">
        <w:rPr>
          <w:b/>
          <w:lang w:val="de-DE"/>
        </w:rPr>
        <w:t>Art. </w:t>
      </w:r>
      <w:r w:rsidR="00881814" w:rsidRPr="004676F5">
        <w:rPr>
          <w:b/>
          <w:lang w:val="de-DE"/>
        </w:rPr>
        <w:t>VII.183</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Ein in Belgien eingetragener Hypothekarkreditvermittler, der im Rahmen der Niederlassungsfreiheit oder des freien Dienstleistungsverkehrs zum ersten Mal Tätigkeiten in einem anderen Mitgliedstaat ausüben möchte, teilt dies vorab der FSMA mit. Im Register wird angegeben, in welchen Mitgliedstaaten der Vermittler im Rahmen der Niederlassungsfreiheit oder des freien Dienstleistungsverkehrs tätig ist.</w:t>
      </w:r>
    </w:p>
    <w:p w14:paraId="15DDD043" w14:textId="77777777" w:rsidR="00881814" w:rsidRPr="004676F5" w:rsidRDefault="00881814" w:rsidP="00881814">
      <w:pPr>
        <w:ind w:firstLine="708"/>
        <w:jc w:val="both"/>
        <w:rPr>
          <w:lang w:val="de-DE"/>
        </w:rPr>
      </w:pPr>
    </w:p>
    <w:p w14:paraId="798B66FD" w14:textId="77777777" w:rsidR="00881814" w:rsidRPr="004676F5" w:rsidRDefault="00881814" w:rsidP="00881814">
      <w:pPr>
        <w:ind w:firstLine="708"/>
        <w:jc w:val="both"/>
        <w:rPr>
          <w:lang w:val="de-DE"/>
        </w:rPr>
      </w:pPr>
      <w:r w:rsidRPr="004676F5">
        <w:rPr>
          <w:lang w:val="de-DE"/>
        </w:rPr>
        <w:t>Innerhalb eines Monats ab der Notifizierung teilt die FSMA diese Absicht der zuständigen Behörde des Aufnahmemitgliedstaats mit und setzt den betreffenden Vermittler von dieser Notifizierung in Kenntnis.</w:t>
      </w:r>
    </w:p>
    <w:p w14:paraId="73FAF124" w14:textId="77777777" w:rsidR="00881814" w:rsidRPr="004676F5" w:rsidRDefault="00881814" w:rsidP="00881814">
      <w:pPr>
        <w:ind w:firstLine="708"/>
        <w:jc w:val="both"/>
        <w:rPr>
          <w:lang w:val="de-DE"/>
        </w:rPr>
      </w:pPr>
    </w:p>
    <w:p w14:paraId="7D01EE61" w14:textId="77777777" w:rsidR="00881814" w:rsidRPr="004676F5" w:rsidRDefault="00881814" w:rsidP="00881814">
      <w:pPr>
        <w:ind w:firstLine="708"/>
        <w:jc w:val="both"/>
        <w:rPr>
          <w:lang w:val="de-DE"/>
        </w:rPr>
      </w:pPr>
      <w:r w:rsidRPr="004676F5">
        <w:rPr>
          <w:lang w:val="de-DE"/>
        </w:rPr>
        <w:t>Die FSMA notifiziert den zuständigen Behörden des oder der betreffenden Aufnahmemitgliedstaaten ebenfalls den oder die Kreditgeber, an die der Hypothekar</w:t>
      </w:r>
      <w:r w:rsidRPr="004676F5">
        <w:rPr>
          <w:lang w:val="de-DE"/>
        </w:rPr>
        <w:softHyphen/>
        <w:t>kreditvermittler gebunden ist, und gibt an, ob der Kreditgeber für die Tätigkeiten dieses Vermittlers unbeschränkt und vorbehaltlos haftet.</w:t>
      </w:r>
    </w:p>
    <w:p w14:paraId="4E230CA1" w14:textId="77777777" w:rsidR="00881814" w:rsidRPr="004676F5" w:rsidRDefault="00881814" w:rsidP="00881814">
      <w:pPr>
        <w:ind w:firstLine="708"/>
        <w:jc w:val="both"/>
        <w:rPr>
          <w:lang w:val="de-DE"/>
        </w:rPr>
      </w:pPr>
    </w:p>
    <w:p w14:paraId="31A84D0A" w14:textId="77777777" w:rsidR="00881814" w:rsidRPr="004676F5" w:rsidRDefault="00881814" w:rsidP="00881814">
      <w:pPr>
        <w:ind w:firstLine="708"/>
        <w:jc w:val="both"/>
        <w:rPr>
          <w:lang w:val="de-DE"/>
        </w:rPr>
      </w:pPr>
      <w:r w:rsidRPr="004676F5">
        <w:rPr>
          <w:lang w:val="de-DE"/>
        </w:rPr>
        <w:t>Die FSMA ist zuständig, um die Berufskenntnisse der Vertriebsbeauftragten und der Personen mit Kundenkontakt der in vorliegendem Paragraphen erwähnten Hypothekarkredit</w:t>
      </w:r>
      <w:r w:rsidRPr="004676F5">
        <w:rPr>
          <w:lang w:val="de-DE"/>
        </w:rPr>
        <w:softHyphen/>
        <w:t>vermittler zu überprüfen, die im Rahmen des freien Dienstleistungsverkehrs in anderen Mitgliedstaaten des Europäischen Wirtschaftsraums als Belgien tätig sind.</w:t>
      </w:r>
    </w:p>
    <w:p w14:paraId="20A0363A" w14:textId="77777777" w:rsidR="00881814" w:rsidRPr="004676F5" w:rsidRDefault="00881814" w:rsidP="00881814">
      <w:pPr>
        <w:ind w:firstLine="708"/>
        <w:jc w:val="both"/>
        <w:rPr>
          <w:lang w:val="de-DE"/>
        </w:rPr>
      </w:pPr>
    </w:p>
    <w:p w14:paraId="3D4D0E63" w14:textId="77777777" w:rsidR="00881814" w:rsidRPr="004676F5" w:rsidRDefault="00881814" w:rsidP="00881814">
      <w:pPr>
        <w:ind w:firstLine="708"/>
        <w:jc w:val="both"/>
        <w:rPr>
          <w:lang w:val="de-DE"/>
        </w:rPr>
      </w:pPr>
      <w:r w:rsidRPr="004676F5">
        <w:rPr>
          <w:lang w:val="de-DE"/>
        </w:rPr>
        <w:t>Streicht die FSMA einen in vorliegendem Paragraphen erwähnten Vermittler aus dem Register, setzt sie die Behörden der betreffenden Aufnahmemitgliedstaaten binnen vierzehn Tagen davon in Kenntnis.</w:t>
      </w:r>
    </w:p>
    <w:p w14:paraId="502DB219" w14:textId="77777777" w:rsidR="00881814" w:rsidRPr="004676F5" w:rsidRDefault="00881814" w:rsidP="00881814">
      <w:pPr>
        <w:ind w:firstLine="708"/>
        <w:jc w:val="both"/>
        <w:rPr>
          <w:lang w:val="de-DE"/>
        </w:rPr>
      </w:pPr>
    </w:p>
    <w:p w14:paraId="04164386" w14:textId="4C2462FB"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Ein in dieser Eigenschaft in einem anderen Mitgliedstaat als Belgien ermächtigter Hypothekarkreditvermittler kann seine Tätigkeiten in Belgien im Rahmen der Niederlassungs</w:t>
      </w:r>
      <w:r w:rsidRPr="004676F5">
        <w:rPr>
          <w:lang w:val="de-DE"/>
        </w:rPr>
        <w:softHyphen/>
        <w:t>freiheit oder des freien Dienstleistungsverkehrs aufnehmen, nachdem er die zuständige Behörde seines Herkunftsmitgliedstaats davon in Kenntnis gesetzt hat und diese Behörde gemäß den einschlägigen Bestimmungen des europäischen Rechts die FSMA informiert hat. Die FSMA veröffentlicht die Liste dieser Vermittler auf ihrer Website und sorgt auf der Grundlage der Angaben, über die sie verfügt, für die regelmäßige Fortschreibung dieser Liste.</w:t>
      </w:r>
    </w:p>
    <w:p w14:paraId="6529285F" w14:textId="77777777" w:rsidR="00881814" w:rsidRPr="004676F5" w:rsidRDefault="00881814" w:rsidP="00881814">
      <w:pPr>
        <w:ind w:firstLine="708"/>
        <w:jc w:val="both"/>
        <w:rPr>
          <w:lang w:val="de-DE"/>
        </w:rPr>
      </w:pPr>
    </w:p>
    <w:p w14:paraId="76FEA34B" w14:textId="1371EEDC" w:rsidR="00881814" w:rsidRPr="004676F5" w:rsidRDefault="00881814" w:rsidP="00881814">
      <w:pPr>
        <w:ind w:firstLine="708"/>
        <w:jc w:val="both"/>
        <w:rPr>
          <w:lang w:val="de-DE"/>
        </w:rPr>
      </w:pPr>
      <w:r w:rsidRPr="004676F5">
        <w:rPr>
          <w:lang w:val="de-DE"/>
        </w:rPr>
        <w:t xml:space="preserve">§ 3 </w:t>
      </w:r>
      <w:r w:rsidR="005B7A5C" w:rsidRPr="004676F5">
        <w:rPr>
          <w:lang w:val="de-DE"/>
        </w:rPr>
        <w:t>- </w:t>
      </w:r>
      <w:r w:rsidRPr="004676F5">
        <w:rPr>
          <w:lang w:val="de-DE"/>
        </w:rPr>
        <w:t>Die FSMA informiert den betreffenden Vermittler über die belgischen Gesetzes</w:t>
      </w:r>
      <w:r w:rsidR="005B7A5C" w:rsidRPr="004676F5">
        <w:rPr>
          <w:lang w:val="de-DE"/>
        </w:rPr>
        <w:t>- </w:t>
      </w:r>
      <w:r w:rsidRPr="004676F5">
        <w:rPr>
          <w:lang w:val="de-DE"/>
        </w:rPr>
        <w:t>und Verordnungsbestimmungen, die ihres Wissens und nach Absprache mit dem FÖD Wirtschaft von allgemeinem Interesse sind. In vorliegendem Absatz erwähnte Bestimmungen allgemeinen Interesses werden auf der Website der FSMA veröffentlicht.</w:t>
      </w:r>
    </w:p>
    <w:p w14:paraId="21CB6BD5" w14:textId="77777777" w:rsidR="00881814" w:rsidRPr="004676F5" w:rsidRDefault="00881814" w:rsidP="00881814">
      <w:pPr>
        <w:jc w:val="both"/>
        <w:rPr>
          <w:lang w:val="de-DE"/>
        </w:rPr>
      </w:pPr>
    </w:p>
    <w:p w14:paraId="13F4A053" w14:textId="35087A2F" w:rsidR="00881814" w:rsidRPr="004676F5" w:rsidRDefault="00881814" w:rsidP="00881814">
      <w:pPr>
        <w:ind w:firstLine="708"/>
        <w:jc w:val="both"/>
        <w:rPr>
          <w:lang w:val="de-DE"/>
        </w:rPr>
      </w:pPr>
      <w:r w:rsidRPr="004676F5">
        <w:rPr>
          <w:lang w:val="de-DE"/>
        </w:rPr>
        <w:t>§ 4 </w:t>
      </w:r>
      <w:r w:rsidR="005B7A5C" w:rsidRPr="004676F5">
        <w:rPr>
          <w:lang w:val="de-DE"/>
        </w:rPr>
        <w:t>- </w:t>
      </w:r>
      <w:r w:rsidRPr="004676F5">
        <w:rPr>
          <w:lang w:val="de-DE"/>
        </w:rPr>
        <w:t>Der betreffende Vermittler darf seine Tätigkeiten einen Monat nach dem Zeitpunkt, zu dem er von den zuständigen Behörden des Herkunftsmitgliedstaats von der in § 2 erwähnten Notifizierung in Kenntnis gesetzt worden ist, aufnehmen.</w:t>
      </w:r>
    </w:p>
    <w:p w14:paraId="2AB750BE" w14:textId="77777777" w:rsidR="00881814" w:rsidRPr="004676F5" w:rsidRDefault="00881814" w:rsidP="00881814">
      <w:pPr>
        <w:ind w:firstLine="708"/>
        <w:jc w:val="both"/>
        <w:rPr>
          <w:lang w:val="de-DE"/>
        </w:rPr>
      </w:pPr>
    </w:p>
    <w:p w14:paraId="55A15287" w14:textId="51269EBD" w:rsidR="00881814" w:rsidRPr="004676F5" w:rsidRDefault="00881814" w:rsidP="00881814">
      <w:pPr>
        <w:ind w:firstLine="708"/>
        <w:jc w:val="both"/>
        <w:rPr>
          <w:lang w:val="de-DE"/>
        </w:rPr>
      </w:pPr>
      <w:r w:rsidRPr="004676F5">
        <w:rPr>
          <w:lang w:val="de-DE"/>
        </w:rPr>
        <w:lastRenderedPageBreak/>
        <w:t xml:space="preserve">§ 5 </w:t>
      </w:r>
      <w:r w:rsidR="005B7A5C" w:rsidRPr="004676F5">
        <w:rPr>
          <w:lang w:val="de-DE"/>
        </w:rPr>
        <w:t>- </w:t>
      </w:r>
      <w:r w:rsidR="00E25173" w:rsidRPr="004676F5">
        <w:rPr>
          <w:lang w:val="de-DE"/>
        </w:rPr>
        <w:t>[Unbeschadet des Paragraphen 3 müssen in § 2 erwähnte Vermittler, die im Rahmen der Niederlassungsfreiheit in Belgien ansässig sind,] f</w:t>
      </w:r>
      <w:r w:rsidRPr="004676F5">
        <w:rPr>
          <w:lang w:val="de-DE"/>
        </w:rPr>
        <w:t>olgenden Bedingungen entsprechen:</w:t>
      </w:r>
    </w:p>
    <w:p w14:paraId="28E7E627" w14:textId="77777777" w:rsidR="00881814" w:rsidRPr="004676F5" w:rsidRDefault="00881814" w:rsidP="00881814">
      <w:pPr>
        <w:ind w:firstLine="708"/>
        <w:jc w:val="both"/>
        <w:rPr>
          <w:lang w:val="de-DE"/>
        </w:rPr>
      </w:pPr>
    </w:p>
    <w:p w14:paraId="6375293A" w14:textId="77777777" w:rsidR="00881814" w:rsidRPr="004676F5" w:rsidRDefault="00881814" w:rsidP="00881814">
      <w:pPr>
        <w:ind w:firstLine="708"/>
        <w:jc w:val="both"/>
        <w:rPr>
          <w:lang w:val="de-DE"/>
        </w:rPr>
      </w:pPr>
      <w:r w:rsidRPr="004676F5">
        <w:rPr>
          <w:lang w:val="de-DE"/>
        </w:rPr>
        <w:t>1. Sie bestimmen gemäß den Regeln von Artikel VII.180 § 5 einen oder mehrere Vertriebsbeauftragte.</w:t>
      </w:r>
    </w:p>
    <w:p w14:paraId="20BB85B7" w14:textId="77777777" w:rsidR="00881814" w:rsidRPr="004676F5" w:rsidRDefault="00881814" w:rsidP="00881814">
      <w:pPr>
        <w:ind w:firstLine="708"/>
        <w:jc w:val="both"/>
        <w:rPr>
          <w:lang w:val="de-DE"/>
        </w:rPr>
      </w:pPr>
    </w:p>
    <w:p w14:paraId="550589AE" w14:textId="6241D2E5" w:rsidR="00881814" w:rsidRPr="004676F5" w:rsidRDefault="00881814" w:rsidP="00881814">
      <w:pPr>
        <w:ind w:firstLine="708"/>
        <w:jc w:val="both"/>
        <w:rPr>
          <w:lang w:val="de-DE"/>
        </w:rPr>
      </w:pPr>
      <w:r w:rsidRPr="004676F5">
        <w:rPr>
          <w:lang w:val="de-DE"/>
        </w:rPr>
        <w:t>2. Diese Vertriebsbeauftragten erfüllen dieselben Bedingungen im Bereich der Berufs</w:t>
      </w:r>
      <w:r w:rsidRPr="004676F5">
        <w:rPr>
          <w:lang w:val="de-DE"/>
        </w:rPr>
        <w:softHyphen/>
        <w:t xml:space="preserve">kenntnisse, der </w:t>
      </w:r>
      <w:r w:rsidR="009446A1" w:rsidRPr="004676F5">
        <w:rPr>
          <w:lang w:val="de-DE"/>
        </w:rPr>
        <w:t xml:space="preserve">[angemessenen Fachkompetenz] </w:t>
      </w:r>
      <w:r w:rsidRPr="004676F5">
        <w:rPr>
          <w:lang w:val="de-DE"/>
        </w:rPr>
        <w:t>und der beruflichen Zuverlässigkeit wie Vertriebsbeauftragte der Hypothekarkreditvermittler nach belgischem Recht.</w:t>
      </w:r>
    </w:p>
    <w:p w14:paraId="507FCDFF" w14:textId="77777777" w:rsidR="00881814" w:rsidRPr="004676F5" w:rsidRDefault="00881814" w:rsidP="00881814">
      <w:pPr>
        <w:ind w:firstLine="708"/>
        <w:jc w:val="both"/>
        <w:rPr>
          <w:lang w:val="de-DE"/>
        </w:rPr>
      </w:pPr>
    </w:p>
    <w:p w14:paraId="520E9E28" w14:textId="74A85827" w:rsidR="00881814" w:rsidRPr="004676F5" w:rsidRDefault="00E25173" w:rsidP="00E25173">
      <w:pPr>
        <w:ind w:firstLine="708"/>
        <w:jc w:val="both"/>
        <w:rPr>
          <w:lang w:val="de-DE"/>
        </w:rPr>
      </w:pPr>
      <w:r w:rsidRPr="004676F5">
        <w:rPr>
          <w:lang w:val="de-DE"/>
        </w:rPr>
        <w:t xml:space="preserve">3. </w:t>
      </w:r>
      <w:r w:rsidR="00881814" w:rsidRPr="004676F5">
        <w:rPr>
          <w:lang w:val="de-DE"/>
        </w:rPr>
        <w:t xml:space="preserve">Andere vom Vermittler beschäftigte Personen mit Kundenkontakt im Sinne von </w:t>
      </w:r>
      <w:r w:rsidR="00102763" w:rsidRPr="004676F5">
        <w:rPr>
          <w:lang w:val="de-DE"/>
        </w:rPr>
        <w:t>[</w:t>
      </w:r>
      <w:r w:rsidR="00881814" w:rsidRPr="004676F5">
        <w:rPr>
          <w:lang w:val="de-DE"/>
        </w:rPr>
        <w:t>Artikel I.9 Nr. </w:t>
      </w:r>
      <w:r w:rsidR="00102763" w:rsidRPr="004676F5">
        <w:rPr>
          <w:lang w:val="de-DE"/>
        </w:rPr>
        <w:t>79]</w:t>
      </w:r>
      <w:r w:rsidR="00881814" w:rsidRPr="004676F5">
        <w:rPr>
          <w:lang w:val="de-DE"/>
        </w:rPr>
        <w:t>, auf welche Weise auch immer, müssen dieselben Bedingungen in Bezug auf Berufskenntnisse erfüllen wie Personen mit Kundenkontakt, die von Hypothekarkredit</w:t>
      </w:r>
      <w:r w:rsidR="00881814" w:rsidRPr="004676F5">
        <w:rPr>
          <w:lang w:val="de-DE"/>
        </w:rPr>
        <w:softHyphen/>
        <w:t>vermittlern nach belgischem Recht beschäftigt werden.</w:t>
      </w:r>
    </w:p>
    <w:p w14:paraId="27BC7CEA" w14:textId="451C9E92" w:rsidR="00E25173" w:rsidRPr="004676F5" w:rsidRDefault="00E25173" w:rsidP="00E25173">
      <w:pPr>
        <w:ind w:firstLine="708"/>
        <w:rPr>
          <w:lang w:val="de-DE"/>
        </w:rPr>
      </w:pPr>
    </w:p>
    <w:p w14:paraId="75FC31E2" w14:textId="55774410" w:rsidR="00E25173" w:rsidRPr="004676F5" w:rsidRDefault="00E25173" w:rsidP="00E25173">
      <w:pPr>
        <w:ind w:firstLine="708"/>
        <w:jc w:val="both"/>
        <w:rPr>
          <w:lang w:val="de-DE"/>
        </w:rPr>
      </w:pPr>
      <w:r w:rsidRPr="004676F5">
        <w:rPr>
          <w:lang w:val="de-DE"/>
        </w:rPr>
        <w:t>[4. In Belgien erbrachte Dienstleistungen erfüllen die Anforderungen der Artikel I.9 Nr. 42, VII.123 § 1, VII.124 §§ 1 und 2, VII.125 Absatz 1 und 2, VII.126 § 1 Absatz 2 und 3, § 2 Absatz 2 und § 4, VII.127 §§ 1, 2, 3 und 5, VII.128, VII.129, VII.131, VII.133 § 1 Absatz 1 und 2, VII.134 § 1, VII.138, VII.147/22 § 4 Absatz 1 und 2, VII.147/23 § 3 Absatz 1 und 2, VII.147/29 §§ 2 und 3 und VII.181 § 1 Absatz 1 Nr. 5 und der Erlasse und Verordnungen zur Ausführung dieser Artikel.]</w:t>
      </w:r>
    </w:p>
    <w:p w14:paraId="15D63B4D" w14:textId="77777777" w:rsidR="00881814" w:rsidRPr="004676F5" w:rsidRDefault="00881814" w:rsidP="00881814">
      <w:pPr>
        <w:ind w:firstLine="708"/>
        <w:jc w:val="both"/>
        <w:rPr>
          <w:lang w:val="de-DE"/>
        </w:rPr>
      </w:pPr>
    </w:p>
    <w:p w14:paraId="56ADB97C" w14:textId="33BFD137" w:rsidR="00102763" w:rsidRPr="004676F5" w:rsidRDefault="00102763" w:rsidP="00102763">
      <w:pPr>
        <w:ind w:firstLine="708"/>
        <w:jc w:val="both"/>
        <w:rPr>
          <w:lang w:val="de-DE"/>
        </w:rPr>
      </w:pPr>
      <w:r w:rsidRPr="004676F5">
        <w:rPr>
          <w:lang w:val="de-DE"/>
        </w:rPr>
        <w:t>[§ 5</w:t>
      </w:r>
      <w:r w:rsidRPr="004676F5">
        <w:rPr>
          <w:i/>
          <w:lang w:val="de-DE"/>
        </w:rPr>
        <w:t>bis </w:t>
      </w:r>
      <w:r w:rsidR="005B7A5C" w:rsidRPr="004676F5">
        <w:rPr>
          <w:lang w:val="de-DE"/>
        </w:rPr>
        <w:t>- </w:t>
      </w:r>
      <w:r w:rsidR="00E25173" w:rsidRPr="004676F5">
        <w:rPr>
          <w:lang w:val="de-DE"/>
        </w:rPr>
        <w:t>[Unbeschadet des Paragraphen 3 müssen in § 2 erwähnte Vermittler, die im Rahmen der Niederlassungsfreiheit in Belgien tätig sind,]</w:t>
      </w:r>
      <w:r w:rsidRPr="004676F5">
        <w:rPr>
          <w:lang w:val="de-DE"/>
        </w:rPr>
        <w:t xml:space="preserve"> folgenden Bedingungen entsprechen:</w:t>
      </w:r>
    </w:p>
    <w:p w14:paraId="61B1B2F2" w14:textId="77777777" w:rsidR="00102763" w:rsidRPr="004676F5" w:rsidRDefault="00102763" w:rsidP="00102763">
      <w:pPr>
        <w:ind w:firstLine="708"/>
        <w:jc w:val="both"/>
        <w:rPr>
          <w:lang w:val="de-DE"/>
        </w:rPr>
      </w:pPr>
    </w:p>
    <w:p w14:paraId="792AD324" w14:textId="77777777" w:rsidR="00102763" w:rsidRPr="004676F5" w:rsidRDefault="00102763" w:rsidP="00102763">
      <w:pPr>
        <w:ind w:firstLine="708"/>
        <w:jc w:val="both"/>
        <w:rPr>
          <w:lang w:val="de-DE"/>
        </w:rPr>
      </w:pPr>
      <w:r w:rsidRPr="004676F5">
        <w:rPr>
          <w:lang w:val="de-DE"/>
        </w:rPr>
        <w:t>1. Sie bestimmen gemäß den Regeln von Artikel VII.180 § 5 einen oder mehrere Vertriebsbeauftragte.</w:t>
      </w:r>
    </w:p>
    <w:p w14:paraId="7AF2F520" w14:textId="77777777" w:rsidR="00102763" w:rsidRPr="004676F5" w:rsidRDefault="00102763" w:rsidP="00102763">
      <w:pPr>
        <w:ind w:firstLine="708"/>
        <w:jc w:val="both"/>
        <w:rPr>
          <w:lang w:val="de-DE"/>
        </w:rPr>
      </w:pPr>
    </w:p>
    <w:p w14:paraId="55B2BFF0" w14:textId="77777777" w:rsidR="00102763" w:rsidRPr="004676F5" w:rsidRDefault="00102763" w:rsidP="00102763">
      <w:pPr>
        <w:ind w:firstLine="708"/>
        <w:jc w:val="both"/>
        <w:rPr>
          <w:lang w:val="de-DE"/>
        </w:rPr>
      </w:pPr>
      <w:r w:rsidRPr="004676F5">
        <w:rPr>
          <w:lang w:val="de-DE"/>
        </w:rPr>
        <w:t>2. Der König bestimmt die Bedingungen im Bereich Berufskenntnisse, die diese Vertriebsbeauftragten und andere vom Vermittler beschäftigte Personen mit Kundenkontakt im Sinne von Artikel I.9 Nr. 79, auf welche Weise auch immer, erfüllen müssen.]</w:t>
      </w:r>
    </w:p>
    <w:p w14:paraId="457A4902" w14:textId="77777777" w:rsidR="00102763" w:rsidRPr="004676F5" w:rsidRDefault="00102763" w:rsidP="00881814">
      <w:pPr>
        <w:ind w:firstLine="708"/>
        <w:jc w:val="both"/>
        <w:rPr>
          <w:lang w:val="de-DE"/>
        </w:rPr>
      </w:pPr>
    </w:p>
    <w:p w14:paraId="7F4F9E00" w14:textId="3CE08F3C" w:rsidR="00881814" w:rsidRPr="004676F5" w:rsidRDefault="00881814" w:rsidP="00980046">
      <w:pPr>
        <w:ind w:firstLine="708"/>
        <w:rPr>
          <w:lang w:val="de-DE"/>
        </w:rPr>
      </w:pPr>
      <w:r w:rsidRPr="004676F5">
        <w:rPr>
          <w:lang w:val="de-DE"/>
        </w:rPr>
        <w:t>§ 6 </w:t>
      </w:r>
      <w:r w:rsidR="005B7A5C" w:rsidRPr="004676F5">
        <w:rPr>
          <w:lang w:val="de-DE"/>
        </w:rPr>
        <w:t>- </w:t>
      </w:r>
      <w:r w:rsidRPr="004676F5">
        <w:rPr>
          <w:lang w:val="de-DE"/>
        </w:rPr>
        <w:t>Ausländische Behörden, die für die Aufsicht über die Hypothekarkreditvermittler mit Niederlassung in Belgien zuständig sind, dürfen nach vorheriger Unterrichtung der FSMA vor Ort Überprüfungen in dieser Niederlassung vornehmen.</w:t>
      </w:r>
    </w:p>
    <w:p w14:paraId="2C6D62C2" w14:textId="77777777" w:rsidR="00102763" w:rsidRPr="004676F5" w:rsidRDefault="00102763" w:rsidP="00881814">
      <w:pPr>
        <w:ind w:firstLine="708"/>
        <w:jc w:val="both"/>
        <w:rPr>
          <w:lang w:val="de-DE"/>
        </w:rPr>
      </w:pPr>
    </w:p>
    <w:p w14:paraId="7B727095" w14:textId="3584E408" w:rsidR="00102763" w:rsidRPr="004676F5" w:rsidRDefault="00421898" w:rsidP="00102763">
      <w:pPr>
        <w:jc w:val="both"/>
        <w:rPr>
          <w:i/>
          <w:lang w:val="de-DE"/>
        </w:rPr>
      </w:pPr>
      <w:r w:rsidRPr="004676F5">
        <w:rPr>
          <w:i/>
          <w:lang w:val="de-DE"/>
        </w:rPr>
        <w:t>[</w:t>
      </w:r>
      <w:r w:rsidR="00BE0A56" w:rsidRPr="004676F5">
        <w:rPr>
          <w:i/>
          <w:lang w:val="de-DE"/>
        </w:rPr>
        <w:t>Art. </w:t>
      </w:r>
      <w:r w:rsidRPr="004676F5">
        <w:rPr>
          <w:i/>
          <w:lang w:val="de-DE"/>
        </w:rPr>
        <w:t xml:space="preserve">VII.183 </w:t>
      </w:r>
      <w:r w:rsidR="00E25173" w:rsidRPr="004676F5">
        <w:rPr>
          <w:i/>
          <w:lang w:val="de-DE"/>
        </w:rPr>
        <w:t>§ </w:t>
      </w:r>
      <w:r w:rsidR="00C23C7C" w:rsidRPr="004676F5">
        <w:rPr>
          <w:i/>
          <w:lang w:val="de-DE"/>
        </w:rPr>
        <w:t>5</w:t>
      </w:r>
      <w:r w:rsidR="00E25173" w:rsidRPr="004676F5">
        <w:rPr>
          <w:i/>
          <w:lang w:val="de-DE"/>
        </w:rPr>
        <w:t xml:space="preserve"> einziger Absatz einleitende Bestimmung abgeändert durch Art. 25 Nr. 1 des G. vom 30. Juli 2018 (II) (B.S. vom 5. September 2018);</w:t>
      </w:r>
      <w:r w:rsidR="009446A1" w:rsidRPr="004676F5">
        <w:rPr>
          <w:i/>
          <w:lang w:val="de-DE"/>
        </w:rPr>
        <w:t xml:space="preserve"> § 5 einziger Absatz Nr. 2 abgeändert durch Art. 18 des G. vom 8. Mai 2022 (B.S. vom 23. Juni 2022);</w:t>
      </w:r>
      <w:r w:rsidR="00E25173" w:rsidRPr="004676F5">
        <w:rPr>
          <w:i/>
          <w:lang w:val="de-DE"/>
        </w:rPr>
        <w:t xml:space="preserve"> </w:t>
      </w:r>
      <w:r w:rsidRPr="004676F5">
        <w:rPr>
          <w:i/>
          <w:lang w:val="de-DE"/>
        </w:rPr>
        <w:t xml:space="preserve">§ 5 einziger Absatz Nr. 3 abgeändert durch </w:t>
      </w:r>
      <w:r w:rsidR="00BE0A56" w:rsidRPr="004676F5">
        <w:rPr>
          <w:i/>
          <w:lang w:val="de-DE"/>
        </w:rPr>
        <w:t>Art. </w:t>
      </w:r>
      <w:r w:rsidRPr="004676F5">
        <w:rPr>
          <w:i/>
          <w:lang w:val="de-DE"/>
        </w:rPr>
        <w:t>34 Nr. 2</w:t>
      </w:r>
      <w:r w:rsidRPr="004676F5">
        <w:rPr>
          <w:i/>
          <w:iCs/>
          <w:lang w:val="de-DE"/>
        </w:rPr>
        <w:t xml:space="preserve"> </w:t>
      </w:r>
      <w:r w:rsidRPr="004676F5">
        <w:rPr>
          <w:i/>
          <w:lang w:val="de-DE"/>
        </w:rPr>
        <w:t xml:space="preserve">des G. vom 26. Oktober 2015 (B.S. vom 30. Oktober 2015); </w:t>
      </w:r>
      <w:r w:rsidR="00E25173" w:rsidRPr="004676F5">
        <w:rPr>
          <w:i/>
          <w:lang w:val="de-DE"/>
        </w:rPr>
        <w:t xml:space="preserve">§ 5 einziger Absatz Nr. 4 eingefügt durch Art. 25 Nr. 2 des G. vom 30. Juli 2018 (II) (B.S. vom 5. September 2018); </w:t>
      </w:r>
      <w:r w:rsidRPr="004676F5">
        <w:rPr>
          <w:i/>
          <w:lang w:val="de-DE"/>
        </w:rPr>
        <w:t xml:space="preserve">§ 5bis eingefügt durch </w:t>
      </w:r>
      <w:r w:rsidR="00BE0A56" w:rsidRPr="004676F5">
        <w:rPr>
          <w:i/>
          <w:lang w:val="de-DE"/>
        </w:rPr>
        <w:t>Art. </w:t>
      </w:r>
      <w:r w:rsidRPr="004676F5">
        <w:rPr>
          <w:i/>
          <w:lang w:val="de-DE"/>
        </w:rPr>
        <w:t>34 Nr. 3</w:t>
      </w:r>
      <w:r w:rsidRPr="004676F5">
        <w:rPr>
          <w:i/>
          <w:iCs/>
          <w:lang w:val="de-DE"/>
        </w:rPr>
        <w:t xml:space="preserve"> </w:t>
      </w:r>
      <w:r w:rsidRPr="004676F5">
        <w:rPr>
          <w:i/>
          <w:lang w:val="de-DE"/>
        </w:rPr>
        <w:t>des G. vom 26. Oktober 2015 (B.S. vom 30. Oktober 2015)</w:t>
      </w:r>
      <w:r w:rsidR="00E25173" w:rsidRPr="004676F5">
        <w:rPr>
          <w:i/>
          <w:lang w:val="de-DE"/>
        </w:rPr>
        <w:t>; § 5bis einziger Absatz einleitende Bestimmung abgeändert durch Art. 26 des G. vom 30. Juli 2018 (II) (B.S. vom 5. September 2018)</w:t>
      </w:r>
      <w:r w:rsidRPr="004676F5">
        <w:rPr>
          <w:i/>
          <w:lang w:val="de-DE"/>
        </w:rPr>
        <w:t>]</w:t>
      </w:r>
    </w:p>
    <w:p w14:paraId="70560899" w14:textId="77777777" w:rsidR="00881814" w:rsidRPr="004676F5" w:rsidRDefault="00881814" w:rsidP="00881814">
      <w:pPr>
        <w:rPr>
          <w:lang w:val="de-DE"/>
        </w:rPr>
      </w:pPr>
    </w:p>
    <w:p w14:paraId="2F94DB2E" w14:textId="77777777" w:rsidR="008D748D" w:rsidRPr="004676F5" w:rsidRDefault="008D748D" w:rsidP="00881814">
      <w:pPr>
        <w:rPr>
          <w:lang w:val="de-DE"/>
        </w:rPr>
      </w:pPr>
    </w:p>
    <w:p w14:paraId="31AF986A" w14:textId="77777777" w:rsidR="009446A1" w:rsidRPr="004676F5" w:rsidRDefault="009446A1">
      <w:pPr>
        <w:rPr>
          <w:i/>
          <w:lang w:val="de-DE"/>
        </w:rPr>
      </w:pPr>
      <w:r w:rsidRPr="004676F5">
        <w:rPr>
          <w:i/>
          <w:lang w:val="de-DE"/>
        </w:rPr>
        <w:br w:type="page"/>
      </w:r>
    </w:p>
    <w:p w14:paraId="054D74B1" w14:textId="54894882" w:rsidR="00881814" w:rsidRPr="004676F5" w:rsidRDefault="00881814" w:rsidP="004B25BD">
      <w:pPr>
        <w:jc w:val="center"/>
        <w:rPr>
          <w:lang w:val="de-DE"/>
        </w:rPr>
      </w:pPr>
      <w:r w:rsidRPr="004676F5">
        <w:rPr>
          <w:i/>
          <w:lang w:val="de-DE"/>
        </w:rPr>
        <w:lastRenderedPageBreak/>
        <w:t>Abschnitt 6 </w:t>
      </w:r>
      <w:r w:rsidR="005B7A5C" w:rsidRPr="004676F5">
        <w:rPr>
          <w:i/>
          <w:lang w:val="de-DE"/>
        </w:rPr>
        <w:t>- </w:t>
      </w:r>
      <w:r w:rsidRPr="004676F5">
        <w:rPr>
          <w:lang w:val="de-DE"/>
        </w:rPr>
        <w:t>Verbraucherkreditvermittler.</w:t>
      </w:r>
    </w:p>
    <w:p w14:paraId="0782692B" w14:textId="77777777" w:rsidR="00881814" w:rsidRPr="004676F5" w:rsidRDefault="00881814" w:rsidP="00881814">
      <w:pPr>
        <w:ind w:firstLine="708"/>
        <w:jc w:val="both"/>
        <w:rPr>
          <w:lang w:val="de-DE"/>
        </w:rPr>
      </w:pPr>
    </w:p>
    <w:p w14:paraId="3109594F" w14:textId="77777777" w:rsidR="008D748D" w:rsidRPr="004676F5" w:rsidRDefault="008D748D" w:rsidP="00881814">
      <w:pPr>
        <w:ind w:firstLine="708"/>
        <w:jc w:val="both"/>
        <w:rPr>
          <w:lang w:val="de-DE"/>
        </w:rPr>
      </w:pPr>
    </w:p>
    <w:p w14:paraId="4EB3F880" w14:textId="2C771037" w:rsidR="00881814" w:rsidRPr="004676F5" w:rsidRDefault="00881814" w:rsidP="00881814">
      <w:pPr>
        <w:jc w:val="center"/>
        <w:rPr>
          <w:lang w:val="de-DE"/>
        </w:rPr>
      </w:pPr>
      <w:r w:rsidRPr="004676F5">
        <w:rPr>
          <w:lang w:val="de-DE"/>
        </w:rPr>
        <w:t>Unterabschnitt 1 </w:t>
      </w:r>
      <w:r w:rsidR="005B7A5C" w:rsidRPr="004676F5">
        <w:rPr>
          <w:lang w:val="de-DE"/>
        </w:rPr>
        <w:t>- </w:t>
      </w:r>
      <w:r w:rsidRPr="004676F5">
        <w:rPr>
          <w:lang w:val="de-DE"/>
        </w:rPr>
        <w:t>Allgemeine Bestimmungen</w:t>
      </w:r>
    </w:p>
    <w:p w14:paraId="6951274E" w14:textId="77777777" w:rsidR="00881814" w:rsidRPr="004676F5" w:rsidRDefault="00881814" w:rsidP="00881814">
      <w:pPr>
        <w:ind w:firstLine="708"/>
        <w:jc w:val="both"/>
        <w:rPr>
          <w:lang w:val="de-DE"/>
        </w:rPr>
      </w:pPr>
    </w:p>
    <w:p w14:paraId="695DCF3F" w14:textId="77777777" w:rsidR="008D748D" w:rsidRPr="004676F5" w:rsidRDefault="008D748D" w:rsidP="00881814">
      <w:pPr>
        <w:ind w:firstLine="708"/>
        <w:jc w:val="both"/>
        <w:rPr>
          <w:lang w:val="de-DE"/>
        </w:rPr>
      </w:pPr>
    </w:p>
    <w:p w14:paraId="4EE4A403" w14:textId="274A9CB2" w:rsidR="00881814" w:rsidRPr="004676F5" w:rsidRDefault="00BE0A56" w:rsidP="00881814">
      <w:pPr>
        <w:ind w:firstLine="708"/>
        <w:jc w:val="both"/>
        <w:rPr>
          <w:lang w:val="de-DE"/>
        </w:rPr>
      </w:pPr>
      <w:r w:rsidRPr="004676F5">
        <w:rPr>
          <w:b/>
          <w:lang w:val="de-DE"/>
        </w:rPr>
        <w:t>Art. </w:t>
      </w:r>
      <w:r w:rsidR="00881814" w:rsidRPr="004676F5">
        <w:rPr>
          <w:b/>
          <w:lang w:val="de-DE"/>
        </w:rPr>
        <w:t>VII.184</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 xml:space="preserve">Niemand darf in Belgien die Tätigkeit </w:t>
      </w:r>
      <w:r w:rsidR="00E25173" w:rsidRPr="004676F5">
        <w:rPr>
          <w:lang w:val="de-DE"/>
        </w:rPr>
        <w:t xml:space="preserve">[der Verbraucherkreditvermittlung] </w:t>
      </w:r>
      <w:r w:rsidR="00881814" w:rsidRPr="004676F5">
        <w:rPr>
          <w:lang w:val="de-DE"/>
        </w:rPr>
        <w:t>ausüben, wenn er nicht vorab in dem zu diesem Zweck von der FSMA geführten Register eingetragen ist.</w:t>
      </w:r>
    </w:p>
    <w:p w14:paraId="3474F828" w14:textId="77777777" w:rsidR="00881814" w:rsidRPr="004676F5" w:rsidRDefault="00881814" w:rsidP="00881814">
      <w:pPr>
        <w:ind w:firstLine="708"/>
        <w:jc w:val="both"/>
        <w:rPr>
          <w:lang w:val="de-DE"/>
        </w:rPr>
      </w:pPr>
    </w:p>
    <w:p w14:paraId="0660F40C" w14:textId="18DC96E4" w:rsidR="00881814" w:rsidRPr="004676F5" w:rsidRDefault="00881814" w:rsidP="00881814">
      <w:pPr>
        <w:ind w:firstLine="708"/>
        <w:jc w:val="both"/>
        <w:rPr>
          <w:lang w:val="de-DE"/>
        </w:rPr>
      </w:pPr>
      <w:r w:rsidRPr="004676F5">
        <w:rPr>
          <w:lang w:val="de-DE"/>
        </w:rPr>
        <w:t xml:space="preserve">Verbraucherkreditgeber, die gemäß vorliegendem Kapitel ordnungsgemäß zugelassen beziehungsweise registriert sind, dürfen die Tätigkeit </w:t>
      </w:r>
      <w:r w:rsidR="00E25173" w:rsidRPr="004676F5">
        <w:rPr>
          <w:lang w:val="de-DE"/>
        </w:rPr>
        <w:t xml:space="preserve">[der Verbraucherkreditvermittlung] </w:t>
      </w:r>
      <w:r w:rsidRPr="004676F5">
        <w:rPr>
          <w:lang w:val="de-DE"/>
        </w:rPr>
        <w:t>jedoch ohne Eintragung im Register ausüben, sofern sie folgende Bedingungen erfüllen:</w:t>
      </w:r>
    </w:p>
    <w:p w14:paraId="507F17D9" w14:textId="77777777" w:rsidR="00881814" w:rsidRPr="004676F5" w:rsidRDefault="00881814" w:rsidP="00881814">
      <w:pPr>
        <w:ind w:firstLine="708"/>
        <w:jc w:val="both"/>
        <w:rPr>
          <w:lang w:val="de-DE"/>
        </w:rPr>
      </w:pPr>
    </w:p>
    <w:p w14:paraId="36C2AF1B" w14:textId="77777777" w:rsidR="00881814" w:rsidRPr="004676F5" w:rsidRDefault="00881814" w:rsidP="00881814">
      <w:pPr>
        <w:ind w:firstLine="708"/>
        <w:jc w:val="both"/>
        <w:rPr>
          <w:lang w:val="de-DE"/>
        </w:rPr>
      </w:pPr>
      <w:r w:rsidRPr="004676F5">
        <w:rPr>
          <w:lang w:val="de-DE"/>
        </w:rPr>
        <w:t>1. Sie bestimmen gemäß den Regeln von Artikel VII.185 § 2 einen oder mehrere Vertriebsbeauftragte.</w:t>
      </w:r>
    </w:p>
    <w:p w14:paraId="65C47F64" w14:textId="77777777" w:rsidR="00881814" w:rsidRPr="004676F5" w:rsidRDefault="00881814" w:rsidP="00881814">
      <w:pPr>
        <w:ind w:firstLine="708"/>
        <w:jc w:val="both"/>
        <w:rPr>
          <w:lang w:val="de-DE"/>
        </w:rPr>
      </w:pPr>
    </w:p>
    <w:p w14:paraId="3E57FE56" w14:textId="776F89BF" w:rsidR="00881814" w:rsidRPr="004676F5" w:rsidRDefault="00881814" w:rsidP="00881814">
      <w:pPr>
        <w:ind w:firstLine="708"/>
        <w:jc w:val="both"/>
        <w:rPr>
          <w:lang w:val="de-DE"/>
        </w:rPr>
      </w:pPr>
      <w:r w:rsidRPr="004676F5">
        <w:rPr>
          <w:lang w:val="de-DE"/>
        </w:rPr>
        <w:t xml:space="preserve">2. Die Vertriebsbeauftragten erfüllen dieselben Bedingungen im Bereich der Berufskenntnisse, der </w:t>
      </w:r>
      <w:r w:rsidR="009446A1" w:rsidRPr="004676F5">
        <w:rPr>
          <w:lang w:val="de-DE"/>
        </w:rPr>
        <w:t xml:space="preserve">[angemessenen Fachkompetenz] </w:t>
      </w:r>
      <w:r w:rsidRPr="004676F5">
        <w:rPr>
          <w:lang w:val="de-DE"/>
        </w:rPr>
        <w:t>und der beruflichen Zuverlässigkeit wie Vertriebsbeauftragte der Verbraucherkreditvermittler.</w:t>
      </w:r>
    </w:p>
    <w:p w14:paraId="50C50F5E" w14:textId="77777777" w:rsidR="00881814" w:rsidRPr="004676F5" w:rsidRDefault="00881814" w:rsidP="00881814">
      <w:pPr>
        <w:ind w:firstLine="708"/>
        <w:jc w:val="both"/>
        <w:rPr>
          <w:lang w:val="de-DE"/>
        </w:rPr>
      </w:pPr>
    </w:p>
    <w:p w14:paraId="32EB7918" w14:textId="77777777" w:rsidR="00881814" w:rsidRPr="004676F5" w:rsidRDefault="00881814" w:rsidP="00881814">
      <w:pPr>
        <w:ind w:firstLine="708"/>
        <w:jc w:val="both"/>
        <w:rPr>
          <w:lang w:val="de-DE"/>
        </w:rPr>
      </w:pPr>
      <w:r w:rsidRPr="004676F5">
        <w:rPr>
          <w:lang w:val="de-DE"/>
        </w:rPr>
        <w:t>3. Andere vom Kreditgeber beschäftigte Personen mit Kundenkontakt im Sinne von Artikel I.9 Nr. 79, auf welche Weise auch immer, müssen dieselben Bedingungen in Bezug auf Berufskenntnisse erfüllen wie Personen mit Kundenkontakt, die von Verbraucherkredit</w:t>
      </w:r>
      <w:r w:rsidRPr="004676F5">
        <w:rPr>
          <w:lang w:val="de-DE"/>
        </w:rPr>
        <w:softHyphen/>
        <w:t>vermittlern beschäftigt werden.</w:t>
      </w:r>
    </w:p>
    <w:p w14:paraId="0E914F6F" w14:textId="77777777" w:rsidR="00881814" w:rsidRPr="004676F5" w:rsidRDefault="00881814" w:rsidP="00881814">
      <w:pPr>
        <w:ind w:firstLine="708"/>
        <w:jc w:val="both"/>
        <w:rPr>
          <w:lang w:val="de-DE"/>
        </w:rPr>
      </w:pPr>
    </w:p>
    <w:p w14:paraId="77A11443" w14:textId="77777777" w:rsidR="00881814" w:rsidRPr="004676F5" w:rsidRDefault="00881814" w:rsidP="00881814">
      <w:pPr>
        <w:ind w:firstLine="708"/>
        <w:jc w:val="both"/>
        <w:rPr>
          <w:lang w:val="de-DE"/>
        </w:rPr>
      </w:pPr>
      <w:r w:rsidRPr="004676F5">
        <w:rPr>
          <w:lang w:val="de-DE"/>
        </w:rPr>
        <w:t>4. Sie verfügen über eine Berufshaftpflichtversicherung, die den gesamten Europä</w:t>
      </w:r>
      <w:r w:rsidRPr="004676F5">
        <w:rPr>
          <w:lang w:val="de-DE"/>
        </w:rPr>
        <w:softHyphen/>
        <w:t>ischen Wirtschaftsraum deckt. Der Versicherungsvertrag enthält eine Klausel, durch die das Versicherungsunternehmen verpflichtet ist, bei Vertragsauflösung die FSMA davon in Kenntnis zu setzen. Der König legt auf Stellungnahme der FSMA die Bedingungen dieser Versicherung fest.</w:t>
      </w:r>
    </w:p>
    <w:p w14:paraId="79933E5B" w14:textId="77777777" w:rsidR="00881814" w:rsidRPr="004676F5" w:rsidRDefault="00881814" w:rsidP="00881814">
      <w:pPr>
        <w:ind w:firstLine="708"/>
        <w:jc w:val="both"/>
        <w:rPr>
          <w:lang w:val="de-DE"/>
        </w:rPr>
      </w:pPr>
    </w:p>
    <w:p w14:paraId="20CC182E" w14:textId="17D0EF58" w:rsidR="00881814" w:rsidRPr="004676F5" w:rsidRDefault="00881814" w:rsidP="00881814">
      <w:pPr>
        <w:ind w:firstLine="708"/>
        <w:jc w:val="both"/>
        <w:rPr>
          <w:lang w:val="de-DE"/>
        </w:rPr>
      </w:pPr>
      <w:r w:rsidRPr="004676F5">
        <w:rPr>
          <w:lang w:val="de-DE"/>
        </w:rPr>
        <w:t xml:space="preserve">Die betreffenden Kreditgeber weisen der FSMA gegenüber regelmäßig die Einhaltung der Bestimmungen unter Nr. 1 und 2 des vorhergehenden Absatzes nach durch Übermittlung einer namentlichen Liste der Vertriebsbeauftragten und einer Aufzeichnung aller späteren Änderungen an dieser Liste. </w:t>
      </w:r>
      <w:r w:rsidR="00E25173" w:rsidRPr="004676F5">
        <w:rPr>
          <w:lang w:val="de-DE"/>
        </w:rPr>
        <w:t xml:space="preserve">[Sie stehen für die </w:t>
      </w:r>
      <w:r w:rsidR="009446A1" w:rsidRPr="004676F5">
        <w:rPr>
          <w:lang w:val="de-DE"/>
        </w:rPr>
        <w:t xml:space="preserve">[angemessene Fachkompetenz] </w:t>
      </w:r>
      <w:r w:rsidR="00E25173" w:rsidRPr="004676F5">
        <w:rPr>
          <w:lang w:val="de-DE"/>
        </w:rPr>
        <w:t xml:space="preserve">und die berufliche Zuverlässigkeit der in Absatz 2 Nr. 2 erwähnten Personen und für die Berufskenntnisse der in Absatz 2 Nr. 2 und 3 erwähnten Personen ein. Sie bewahren die Unterlagen zum Nachweis der </w:t>
      </w:r>
      <w:r w:rsidR="009446A1" w:rsidRPr="004676F5">
        <w:rPr>
          <w:lang w:val="de-DE"/>
        </w:rPr>
        <w:t>[angemessenen Fachkompetenz]</w:t>
      </w:r>
      <w:r w:rsidR="00E25173" w:rsidRPr="004676F5">
        <w:rPr>
          <w:lang w:val="de-DE"/>
        </w:rPr>
        <w:t>, der beruflichen Zuverlässigkeit und der erforderlichen Berufskenntnisse der vorerwähnten Personen auf und halten sie zur Verfügung der FSMA.]</w:t>
      </w:r>
    </w:p>
    <w:p w14:paraId="50C85E92" w14:textId="77777777" w:rsidR="00881814" w:rsidRPr="004676F5" w:rsidRDefault="00881814" w:rsidP="00881814">
      <w:pPr>
        <w:ind w:firstLine="708"/>
        <w:jc w:val="both"/>
        <w:rPr>
          <w:lang w:val="de-DE"/>
        </w:rPr>
      </w:pPr>
    </w:p>
    <w:p w14:paraId="31E0FA48" w14:textId="24748656"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Niemand darf den Titel eines Vermittlers von Krediten oder einer seiner Unter</w:t>
      </w:r>
      <w:r w:rsidRPr="004676F5">
        <w:rPr>
          <w:lang w:val="de-DE"/>
        </w:rPr>
        <w:softHyphen/>
        <w:t>teilungen führen, um anzugeben, dass er die Tätigkeit eines Verbraucherkreditvermittlers wie in vorliegendem Kapitel erwähnt ausübt, wenn er nicht vorab in dem zu diesem Zweck von der FSMA geführten Register eingetragen ist.</w:t>
      </w:r>
    </w:p>
    <w:p w14:paraId="55C3B901" w14:textId="77777777" w:rsidR="00E25173" w:rsidRPr="004676F5" w:rsidRDefault="00E25173">
      <w:pPr>
        <w:rPr>
          <w:i/>
          <w:iCs/>
          <w:lang w:val="de-DE"/>
        </w:rPr>
      </w:pPr>
    </w:p>
    <w:p w14:paraId="39887378" w14:textId="2C157889" w:rsidR="008D748D" w:rsidRPr="004676F5" w:rsidRDefault="00E25173" w:rsidP="00E25173">
      <w:pPr>
        <w:jc w:val="both"/>
        <w:rPr>
          <w:i/>
          <w:lang w:val="de-DE"/>
        </w:rPr>
      </w:pPr>
      <w:r w:rsidRPr="004676F5">
        <w:rPr>
          <w:i/>
          <w:iCs/>
          <w:lang w:val="de-DE"/>
        </w:rPr>
        <w:t>[Art. VII.184 § 1 Abs. 1 abgeändert durch Art. 27 Nr. 1</w:t>
      </w:r>
      <w:r w:rsidRPr="004676F5">
        <w:rPr>
          <w:i/>
          <w:lang w:val="de-DE"/>
        </w:rPr>
        <w:t xml:space="preserve"> des G. vom 30. Juli 2018 (II) (B.S. vom 5. September 2018); </w:t>
      </w:r>
      <w:r w:rsidRPr="004676F5">
        <w:rPr>
          <w:i/>
          <w:iCs/>
          <w:lang w:val="de-DE"/>
        </w:rPr>
        <w:t xml:space="preserve">§ 1 Abs. 2 </w:t>
      </w:r>
      <w:r w:rsidR="00E921EE" w:rsidRPr="004676F5">
        <w:rPr>
          <w:i/>
          <w:iCs/>
          <w:lang w:val="de-DE"/>
        </w:rPr>
        <w:t xml:space="preserve">einleitende Bestimmung </w:t>
      </w:r>
      <w:r w:rsidRPr="004676F5">
        <w:rPr>
          <w:i/>
          <w:iCs/>
          <w:lang w:val="de-DE"/>
        </w:rPr>
        <w:t>abgeändert durch Art. 27 Nr. 2</w:t>
      </w:r>
      <w:r w:rsidRPr="004676F5">
        <w:rPr>
          <w:i/>
          <w:lang w:val="de-DE"/>
        </w:rPr>
        <w:t xml:space="preserve"> des G. vom 30. Juli 2018 (II) (B.S. vom 5. September 2018); </w:t>
      </w:r>
      <w:r w:rsidR="009446A1" w:rsidRPr="004676F5">
        <w:rPr>
          <w:i/>
          <w:lang w:val="de-DE"/>
        </w:rPr>
        <w:t xml:space="preserve">§ 1 Abs. 2 Nr. 2 abgeändert durch Art. 18 des G. vom 8. Mai 2022 (B.S. vom 23. Juni 2022); </w:t>
      </w:r>
      <w:r w:rsidRPr="004676F5">
        <w:rPr>
          <w:i/>
          <w:iCs/>
          <w:lang w:val="de-DE"/>
        </w:rPr>
        <w:t>§ 1 Abs. 3 abgeändert durch Art. 27 Nr. 3</w:t>
      </w:r>
      <w:r w:rsidRPr="004676F5">
        <w:rPr>
          <w:i/>
          <w:lang w:val="de-DE"/>
        </w:rPr>
        <w:t xml:space="preserve"> </w:t>
      </w:r>
      <w:r w:rsidRPr="004676F5">
        <w:rPr>
          <w:i/>
          <w:lang w:val="de-DE"/>
        </w:rPr>
        <w:lastRenderedPageBreak/>
        <w:t>des G. vom 30. Juli 2018 (II) (B.S. vom 5. September 2018)</w:t>
      </w:r>
      <w:r w:rsidR="009446A1" w:rsidRPr="004676F5">
        <w:rPr>
          <w:i/>
          <w:lang w:val="de-DE"/>
        </w:rPr>
        <w:t xml:space="preserve"> und Art. </w:t>
      </w:r>
      <w:r w:rsidR="00BE3947" w:rsidRPr="004676F5">
        <w:rPr>
          <w:i/>
          <w:lang w:val="de-DE"/>
        </w:rPr>
        <w:t>18 des G. vom 8. Mai 2022 (B.S. vom 23. Juni 2022)</w:t>
      </w:r>
      <w:r w:rsidRPr="004676F5">
        <w:rPr>
          <w:i/>
          <w:lang w:val="de-DE"/>
        </w:rPr>
        <w:t xml:space="preserve">] </w:t>
      </w:r>
    </w:p>
    <w:p w14:paraId="6D94120F" w14:textId="77777777" w:rsidR="00E25173" w:rsidRPr="004676F5" w:rsidRDefault="00E25173" w:rsidP="00E25173">
      <w:pPr>
        <w:jc w:val="both"/>
        <w:rPr>
          <w:i/>
          <w:iCs/>
          <w:u w:val="single"/>
          <w:lang w:val="de-DE"/>
        </w:rPr>
      </w:pPr>
    </w:p>
    <w:p w14:paraId="13AFB618" w14:textId="77777777" w:rsidR="00E25173" w:rsidRPr="004676F5" w:rsidRDefault="00E25173" w:rsidP="00881814">
      <w:pPr>
        <w:ind w:firstLine="708"/>
        <w:jc w:val="both"/>
        <w:rPr>
          <w:b/>
          <w:lang w:val="de-DE"/>
        </w:rPr>
      </w:pPr>
    </w:p>
    <w:p w14:paraId="42C29CBC" w14:textId="15DD59C2" w:rsidR="00881814" w:rsidRPr="004676F5" w:rsidRDefault="00BE0A56" w:rsidP="00881814">
      <w:pPr>
        <w:ind w:firstLine="708"/>
        <w:jc w:val="both"/>
        <w:rPr>
          <w:lang w:val="de-DE"/>
        </w:rPr>
      </w:pPr>
      <w:r w:rsidRPr="004676F5">
        <w:rPr>
          <w:b/>
          <w:lang w:val="de-DE"/>
        </w:rPr>
        <w:t>Art. </w:t>
      </w:r>
      <w:r w:rsidR="00881814" w:rsidRPr="004676F5">
        <w:rPr>
          <w:b/>
          <w:lang w:val="de-DE"/>
        </w:rPr>
        <w:t>VII.185</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Verbraucherkreditvermittler werden wie folgt unterteilt:</w:t>
      </w:r>
    </w:p>
    <w:p w14:paraId="3F039F7B" w14:textId="77777777" w:rsidR="00881814" w:rsidRPr="004676F5" w:rsidRDefault="00881814" w:rsidP="00881814">
      <w:pPr>
        <w:ind w:firstLine="708"/>
        <w:jc w:val="both"/>
        <w:rPr>
          <w:lang w:val="de-DE"/>
        </w:rPr>
      </w:pPr>
    </w:p>
    <w:p w14:paraId="0909FA98" w14:textId="77777777" w:rsidR="00881814" w:rsidRPr="004676F5" w:rsidRDefault="00881814" w:rsidP="00881814">
      <w:pPr>
        <w:ind w:firstLine="708"/>
        <w:jc w:val="both"/>
        <w:rPr>
          <w:lang w:val="de-DE"/>
        </w:rPr>
      </w:pPr>
      <w:r w:rsidRPr="004676F5">
        <w:rPr>
          <w:lang w:val="de-DE"/>
        </w:rPr>
        <w:t>1. Kreditmakler,</w:t>
      </w:r>
    </w:p>
    <w:p w14:paraId="5EDF4294" w14:textId="77777777" w:rsidR="00881814" w:rsidRPr="004676F5" w:rsidRDefault="00881814" w:rsidP="00881814">
      <w:pPr>
        <w:ind w:firstLine="708"/>
        <w:jc w:val="both"/>
        <w:rPr>
          <w:lang w:val="de-DE"/>
        </w:rPr>
      </w:pPr>
    </w:p>
    <w:p w14:paraId="360A0BCC" w14:textId="77777777" w:rsidR="00881814" w:rsidRPr="004676F5" w:rsidRDefault="00881814" w:rsidP="00881814">
      <w:pPr>
        <w:ind w:firstLine="708"/>
        <w:jc w:val="both"/>
        <w:rPr>
          <w:lang w:val="de-DE"/>
        </w:rPr>
      </w:pPr>
      <w:r w:rsidRPr="004676F5">
        <w:rPr>
          <w:lang w:val="de-DE"/>
        </w:rPr>
        <w:t>2. vertraglich gebundene Vermittler,</w:t>
      </w:r>
    </w:p>
    <w:p w14:paraId="3A735765" w14:textId="77777777" w:rsidR="00881814" w:rsidRPr="004676F5" w:rsidRDefault="00881814" w:rsidP="00881814">
      <w:pPr>
        <w:ind w:firstLine="708"/>
        <w:jc w:val="both"/>
        <w:rPr>
          <w:lang w:val="de-DE"/>
        </w:rPr>
      </w:pPr>
    </w:p>
    <w:p w14:paraId="75EC7FB3" w14:textId="77777777" w:rsidR="00881814" w:rsidRPr="004676F5" w:rsidRDefault="00881814" w:rsidP="00881814">
      <w:pPr>
        <w:ind w:firstLine="708"/>
        <w:jc w:val="both"/>
        <w:rPr>
          <w:lang w:val="de-DE"/>
        </w:rPr>
      </w:pPr>
      <w:r w:rsidRPr="004676F5">
        <w:rPr>
          <w:lang w:val="de-DE"/>
        </w:rPr>
        <w:t>3. nebenberufliche Vertreter.</w:t>
      </w:r>
    </w:p>
    <w:p w14:paraId="0CEBF735" w14:textId="77777777" w:rsidR="00881814" w:rsidRPr="004676F5" w:rsidRDefault="00881814" w:rsidP="00881814">
      <w:pPr>
        <w:ind w:firstLine="708"/>
        <w:jc w:val="both"/>
        <w:rPr>
          <w:lang w:val="de-DE"/>
        </w:rPr>
      </w:pPr>
    </w:p>
    <w:p w14:paraId="5377656C" w14:textId="2D0FA6CB"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Verbraucherkreditvermittler bestimmen eine oder mehrere natürliche Personen als Vertriebsbeauftragte. Die Anzahl der Vertriebsbeauftragten ist der Struktur und den Tätigkeiten des Vermittlers angepasst. Der König kann diese Anzahl festlegen.</w:t>
      </w:r>
    </w:p>
    <w:p w14:paraId="267AD0C7" w14:textId="77777777" w:rsidR="00881814" w:rsidRPr="004676F5" w:rsidRDefault="00881814" w:rsidP="00881814">
      <w:pPr>
        <w:jc w:val="both"/>
        <w:rPr>
          <w:lang w:val="de-DE"/>
        </w:rPr>
      </w:pPr>
    </w:p>
    <w:p w14:paraId="50A83563" w14:textId="77777777" w:rsidR="00881814" w:rsidRPr="004676F5" w:rsidRDefault="00881814" w:rsidP="00881814">
      <w:pPr>
        <w:ind w:firstLine="708"/>
        <w:jc w:val="both"/>
        <w:rPr>
          <w:lang w:val="de-DE"/>
        </w:rPr>
      </w:pPr>
      <w:r w:rsidRPr="004676F5">
        <w:rPr>
          <w:lang w:val="de-DE"/>
        </w:rPr>
        <w:t>Verbraucherkreditvermittler weisen der FSMA gegenüber regelmäßig die Einhaltung des vorhergehenden Absatzes nach durch Übermittlung einer namentlichen Liste der Vertriebsbeauftragten und einer Aufzeichnung aller späteren Änderungen an dieser Liste. Sie bewahren die Unterlagen zum Nachweis der Berufskenntnisse der Vertriebsbeauftragten und der Personen mit Kundenkontakt auf und halten sie zur Verfügung der FSMA.</w:t>
      </w:r>
    </w:p>
    <w:p w14:paraId="601501A9" w14:textId="77777777" w:rsidR="00881814" w:rsidRPr="004676F5" w:rsidRDefault="00881814" w:rsidP="00881814">
      <w:pPr>
        <w:jc w:val="both"/>
        <w:rPr>
          <w:lang w:val="de-DE"/>
        </w:rPr>
      </w:pPr>
    </w:p>
    <w:p w14:paraId="20EDA369" w14:textId="77777777" w:rsidR="008D748D" w:rsidRPr="004676F5" w:rsidRDefault="008D748D" w:rsidP="00881814">
      <w:pPr>
        <w:jc w:val="both"/>
        <w:rPr>
          <w:lang w:val="de-DE"/>
        </w:rPr>
      </w:pPr>
    </w:p>
    <w:p w14:paraId="57A2C604" w14:textId="2A33A9BE" w:rsidR="00881814" w:rsidRPr="004676F5" w:rsidRDefault="00881814" w:rsidP="00881814">
      <w:pPr>
        <w:jc w:val="center"/>
        <w:rPr>
          <w:lang w:val="de-DE"/>
        </w:rPr>
      </w:pPr>
      <w:r w:rsidRPr="004676F5">
        <w:rPr>
          <w:lang w:val="de-DE"/>
        </w:rPr>
        <w:t xml:space="preserve">Unterabschnitt 2 </w:t>
      </w:r>
      <w:r w:rsidR="005B7A5C" w:rsidRPr="004676F5">
        <w:rPr>
          <w:lang w:val="de-DE"/>
        </w:rPr>
        <w:t>- </w:t>
      </w:r>
      <w:r w:rsidRPr="004676F5">
        <w:rPr>
          <w:lang w:val="de-DE"/>
        </w:rPr>
        <w:t>Eintragungsbedingungen</w:t>
      </w:r>
    </w:p>
    <w:p w14:paraId="1A935D40" w14:textId="77777777" w:rsidR="00881814" w:rsidRPr="004676F5" w:rsidRDefault="00881814" w:rsidP="00881814">
      <w:pPr>
        <w:ind w:firstLine="708"/>
        <w:jc w:val="both"/>
        <w:rPr>
          <w:lang w:val="de-DE"/>
        </w:rPr>
      </w:pPr>
    </w:p>
    <w:p w14:paraId="226D12E7" w14:textId="77777777" w:rsidR="008D748D" w:rsidRPr="004676F5" w:rsidRDefault="008D748D" w:rsidP="00881814">
      <w:pPr>
        <w:ind w:firstLine="708"/>
        <w:jc w:val="both"/>
        <w:rPr>
          <w:lang w:val="de-DE"/>
        </w:rPr>
      </w:pPr>
    </w:p>
    <w:p w14:paraId="4D7AF9AA" w14:textId="304E746E" w:rsidR="00881814" w:rsidRPr="004676F5" w:rsidRDefault="00BE0A56" w:rsidP="00881814">
      <w:pPr>
        <w:ind w:firstLine="708"/>
        <w:jc w:val="both"/>
        <w:rPr>
          <w:lang w:val="de-DE"/>
        </w:rPr>
      </w:pPr>
      <w:r w:rsidRPr="004676F5">
        <w:rPr>
          <w:b/>
          <w:lang w:val="de-DE"/>
        </w:rPr>
        <w:t>Art. </w:t>
      </w:r>
      <w:r w:rsidR="00881814" w:rsidRPr="004676F5">
        <w:rPr>
          <w:b/>
          <w:lang w:val="de-DE"/>
        </w:rPr>
        <w:t>VII.186</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Um in das Register der Verbraucherkreditvermittler eingetragen zu werden und um diese Eintragung beizubehalten, müssen Antragsteller, die als Kreditmakler oder vertraglich gebundener Vermittler eingetragen werden möchten, folgende Bedingungen erfüllen:</w:t>
      </w:r>
    </w:p>
    <w:p w14:paraId="01C8CF1F" w14:textId="77777777" w:rsidR="00881814" w:rsidRPr="004676F5" w:rsidRDefault="00881814" w:rsidP="00881814">
      <w:pPr>
        <w:ind w:firstLine="708"/>
        <w:jc w:val="both"/>
        <w:rPr>
          <w:lang w:val="de-DE"/>
        </w:rPr>
      </w:pPr>
    </w:p>
    <w:p w14:paraId="0FBE7C01" w14:textId="77777777" w:rsidR="00881814" w:rsidRPr="004676F5" w:rsidRDefault="00881814" w:rsidP="00881814">
      <w:pPr>
        <w:ind w:firstLine="708"/>
        <w:jc w:val="both"/>
        <w:rPr>
          <w:lang w:val="de-DE"/>
        </w:rPr>
      </w:pPr>
      <w:r w:rsidRPr="004676F5">
        <w:rPr>
          <w:lang w:val="de-DE"/>
        </w:rPr>
        <w:t>1. Vermittler, Vertriebsbeauftragte und Personen mit Kundenkontakt besitzen vom König bestimmte Berufskenntnisse.</w:t>
      </w:r>
    </w:p>
    <w:p w14:paraId="19A7FE7F" w14:textId="77777777" w:rsidR="00881814" w:rsidRPr="004676F5" w:rsidRDefault="00881814" w:rsidP="00881814">
      <w:pPr>
        <w:ind w:firstLine="708"/>
        <w:jc w:val="both"/>
        <w:rPr>
          <w:lang w:val="de-DE"/>
        </w:rPr>
      </w:pPr>
    </w:p>
    <w:p w14:paraId="5CDB073B" w14:textId="1EEA0A76" w:rsidR="00881814" w:rsidRPr="004676F5" w:rsidRDefault="00881814" w:rsidP="00881814">
      <w:pPr>
        <w:ind w:firstLine="708"/>
        <w:jc w:val="both"/>
        <w:rPr>
          <w:lang w:val="de-DE"/>
        </w:rPr>
      </w:pPr>
      <w:r w:rsidRPr="004676F5">
        <w:rPr>
          <w:lang w:val="de-DE"/>
        </w:rPr>
        <w:t xml:space="preserve">2. Vermittler und Vertriebsbeauftragte weisen ausreichende </w:t>
      </w:r>
      <w:r w:rsidR="00BE3947" w:rsidRPr="004676F5">
        <w:rPr>
          <w:lang w:val="de-DE"/>
        </w:rPr>
        <w:t xml:space="preserve">[angemessene Fachkompetenz] </w:t>
      </w:r>
      <w:r w:rsidRPr="004676F5">
        <w:rPr>
          <w:lang w:val="de-DE"/>
        </w:rPr>
        <w:t xml:space="preserve">und berufliche Zuverlässigkeit für die Ausübung ihrer Aufgaben auf. Sie dürfen sich nicht in einem der in </w:t>
      </w:r>
      <w:r w:rsidR="00D53A23" w:rsidRPr="004676F5">
        <w:rPr>
          <w:lang w:val="de-DE"/>
        </w:rPr>
        <w:t>[Artikel 20 des Gesetzes vom 25. April 2014]</w:t>
      </w:r>
      <w:r w:rsidRPr="004676F5">
        <w:rPr>
          <w:lang w:val="de-DE"/>
        </w:rPr>
        <w:t xml:space="preserve"> erwähnten Fälle befinden.</w:t>
      </w:r>
    </w:p>
    <w:p w14:paraId="59B14C02" w14:textId="77777777" w:rsidR="00881814" w:rsidRPr="004676F5" w:rsidRDefault="00881814" w:rsidP="00881814">
      <w:pPr>
        <w:ind w:firstLine="708"/>
        <w:jc w:val="both"/>
        <w:rPr>
          <w:lang w:val="de-DE"/>
        </w:rPr>
      </w:pPr>
    </w:p>
    <w:p w14:paraId="01BDBFF2" w14:textId="617EBC0E" w:rsidR="00881814" w:rsidRPr="004676F5" w:rsidRDefault="00881814" w:rsidP="00881814">
      <w:pPr>
        <w:ind w:firstLine="708"/>
        <w:jc w:val="both"/>
        <w:rPr>
          <w:lang w:val="de-DE"/>
        </w:rPr>
      </w:pPr>
      <w:r w:rsidRPr="004676F5">
        <w:rPr>
          <w:lang w:val="de-DE"/>
        </w:rPr>
        <w:t>3. </w:t>
      </w:r>
      <w:r w:rsidR="0025610F" w:rsidRPr="004676F5">
        <w:rPr>
          <w:lang w:val="de-DE"/>
        </w:rPr>
        <w:t>[Die Tätigkeit der Verbraucherkreditvermittlung muss durch eine Berufshaftpflichtversicherung gedeckt sein, die den gesamten Europäischen Wirtschaftsraum deckt.]</w:t>
      </w:r>
      <w:r w:rsidRPr="004676F5">
        <w:rPr>
          <w:lang w:val="de-DE"/>
        </w:rPr>
        <w:t xml:space="preserve"> Der Versicherungsvertrag enthält eine Klausel, durch die das Versicherungsunternehmen verpflichtet ist, bei Vertragsauflösung die FSMA davon in Kenntnis zu setzen. Der König legt auf Stellungnahme der FSMA die Bedingungen dieser Versicherung fest. </w:t>
      </w:r>
      <w:r w:rsidR="0025610F" w:rsidRPr="004676F5">
        <w:rPr>
          <w:lang w:val="de-DE"/>
        </w:rPr>
        <w:t>[...]</w:t>
      </w:r>
    </w:p>
    <w:p w14:paraId="67796ADF" w14:textId="77777777" w:rsidR="00881814" w:rsidRPr="004676F5" w:rsidRDefault="00881814" w:rsidP="00881814">
      <w:pPr>
        <w:ind w:firstLine="708"/>
        <w:jc w:val="both"/>
        <w:rPr>
          <w:lang w:val="de-DE"/>
        </w:rPr>
      </w:pPr>
    </w:p>
    <w:p w14:paraId="3805E38D" w14:textId="77777777" w:rsidR="00881814" w:rsidRPr="004676F5" w:rsidRDefault="00881814" w:rsidP="00881814">
      <w:pPr>
        <w:ind w:firstLine="708"/>
        <w:jc w:val="both"/>
        <w:rPr>
          <w:lang w:val="de-DE"/>
        </w:rPr>
      </w:pPr>
      <w:r w:rsidRPr="004676F5">
        <w:rPr>
          <w:lang w:val="de-DE"/>
        </w:rPr>
        <w:t>4. Im Rahmen ihrer Tätigkeit als Verbraucherkreditvermittler in Belgien arbeiten sie nur mit Unternehmen oder Personen, die in Anwendung des vorliegenden Kapitels für die Ausübung dieser Tätigkeit in Belgien zugelassen oder registriert sind.</w:t>
      </w:r>
    </w:p>
    <w:p w14:paraId="54F77056" w14:textId="77777777" w:rsidR="00881814" w:rsidRPr="004676F5" w:rsidRDefault="00881814" w:rsidP="00881814">
      <w:pPr>
        <w:ind w:firstLine="708"/>
        <w:jc w:val="both"/>
        <w:rPr>
          <w:lang w:val="de-DE"/>
        </w:rPr>
      </w:pPr>
    </w:p>
    <w:p w14:paraId="339D8476" w14:textId="77777777" w:rsidR="00881814" w:rsidRPr="004676F5" w:rsidRDefault="00881814" w:rsidP="00881814">
      <w:pPr>
        <w:ind w:firstLine="708"/>
        <w:jc w:val="both"/>
        <w:rPr>
          <w:lang w:val="de-DE"/>
        </w:rPr>
      </w:pPr>
      <w:r w:rsidRPr="004676F5">
        <w:rPr>
          <w:lang w:val="de-DE"/>
        </w:rPr>
        <w:t xml:space="preserve">5. Sie treten einem Verfahren der außergerichtlichen Beilegung verbraucherrechtlicher Streitigkeiten wie in Artikel VII.216 erwähnt bei, beteiligen sich an der Finanzierung dieses </w:t>
      </w:r>
      <w:r w:rsidRPr="004676F5">
        <w:rPr>
          <w:lang w:val="de-DE"/>
        </w:rPr>
        <w:lastRenderedPageBreak/>
        <w:t>Verfahrens und leisten Informationsanfragen Folge, die ihnen im Rahmen dieses Streitbei</w:t>
      </w:r>
      <w:r w:rsidRPr="004676F5">
        <w:rPr>
          <w:lang w:val="de-DE"/>
        </w:rPr>
        <w:softHyphen/>
        <w:t>legungsverfahrens übermittelt werden.</w:t>
      </w:r>
    </w:p>
    <w:p w14:paraId="3CEF67F4" w14:textId="77777777" w:rsidR="00881814" w:rsidRPr="004676F5" w:rsidRDefault="00881814" w:rsidP="00881814">
      <w:pPr>
        <w:ind w:firstLine="708"/>
        <w:jc w:val="both"/>
        <w:rPr>
          <w:lang w:val="de-DE"/>
        </w:rPr>
      </w:pPr>
    </w:p>
    <w:p w14:paraId="4773C140" w14:textId="77777777" w:rsidR="00881814" w:rsidRPr="004676F5" w:rsidRDefault="00881814" w:rsidP="00881814">
      <w:pPr>
        <w:ind w:firstLine="708"/>
        <w:jc w:val="both"/>
        <w:rPr>
          <w:lang w:val="de-DE"/>
        </w:rPr>
      </w:pPr>
      <w:r w:rsidRPr="004676F5">
        <w:rPr>
          <w:lang w:val="de-DE"/>
        </w:rPr>
        <w:t>6. Sie zahlen die der FSMA für die Ausübung ihrer Aufsicht geschuldeten Vergütungen.</w:t>
      </w:r>
    </w:p>
    <w:p w14:paraId="3EC98446" w14:textId="77777777" w:rsidR="00881814" w:rsidRPr="004676F5" w:rsidRDefault="00881814" w:rsidP="00881814">
      <w:pPr>
        <w:ind w:firstLine="708"/>
        <w:jc w:val="both"/>
        <w:rPr>
          <w:lang w:val="de-DE"/>
        </w:rPr>
      </w:pPr>
    </w:p>
    <w:p w14:paraId="53E44AF8" w14:textId="462CE3D1" w:rsidR="00881814" w:rsidRPr="004676F5" w:rsidRDefault="00881814" w:rsidP="00881814">
      <w:pPr>
        <w:ind w:firstLine="708"/>
        <w:jc w:val="both"/>
        <w:rPr>
          <w:lang w:val="de-DE"/>
        </w:rPr>
      </w:pPr>
      <w:r w:rsidRPr="004676F5">
        <w:rPr>
          <w:lang w:val="de-DE"/>
        </w:rPr>
        <w:t>7. Sie teilen der FSMA eine berufliche Anschrift für elektronische Post mit, an die die FSMA rechtsgültig individuelle oder kollektive Mitteilungen richten kann, die sie in Ausführung des vorliegenden Kapitels</w:t>
      </w:r>
      <w:r w:rsidR="00BE3947" w:rsidRPr="004676F5">
        <w:rPr>
          <w:lang w:val="de-DE"/>
        </w:rPr>
        <w:t xml:space="preserve"> [oder jeder anderen Gesetzes- oder Verordnungs</w:t>
      </w:r>
      <w:r w:rsidR="00BE3947" w:rsidRPr="004676F5">
        <w:rPr>
          <w:lang w:val="de-DE"/>
        </w:rPr>
        <w:softHyphen/>
        <w:t xml:space="preserve">bestimmung, deren Aufsicht sie gewährleistet,] </w:t>
      </w:r>
      <w:r w:rsidRPr="004676F5">
        <w:rPr>
          <w:lang w:val="de-DE"/>
        </w:rPr>
        <w:t>vornimmt</w:t>
      </w:r>
      <w:r w:rsidR="002057B8" w:rsidRPr="004676F5">
        <w:rPr>
          <w:lang w:val="de-DE"/>
        </w:rPr>
        <w:t>.</w:t>
      </w:r>
    </w:p>
    <w:p w14:paraId="20A2BAE7" w14:textId="77777777" w:rsidR="00BE3947" w:rsidRPr="004676F5" w:rsidRDefault="00BE3947" w:rsidP="00881814">
      <w:pPr>
        <w:ind w:firstLine="708"/>
        <w:jc w:val="both"/>
        <w:rPr>
          <w:lang w:val="de-DE"/>
        </w:rPr>
      </w:pPr>
    </w:p>
    <w:p w14:paraId="0AE6E5AD" w14:textId="4BECE450" w:rsidR="00BE3947" w:rsidRPr="004676F5" w:rsidRDefault="00BE3947" w:rsidP="00881814">
      <w:pPr>
        <w:ind w:firstLine="708"/>
        <w:jc w:val="both"/>
        <w:rPr>
          <w:lang w:val="de-DE"/>
        </w:rPr>
      </w:pPr>
      <w:r w:rsidRPr="004676F5">
        <w:rPr>
          <w:lang w:val="de-DE"/>
        </w:rPr>
        <w:t>[8. Sie halten gegebenenfalls die Bestimmungen von Artikel XV.18/1 ein.]</w:t>
      </w:r>
    </w:p>
    <w:p w14:paraId="781CE841" w14:textId="77777777" w:rsidR="00881814" w:rsidRPr="004676F5" w:rsidRDefault="00881814" w:rsidP="00881814">
      <w:pPr>
        <w:ind w:firstLine="708"/>
        <w:jc w:val="both"/>
        <w:rPr>
          <w:lang w:val="de-DE"/>
        </w:rPr>
      </w:pPr>
    </w:p>
    <w:p w14:paraId="0806EF7E" w14:textId="66B812C0" w:rsidR="00881814" w:rsidRPr="004676F5" w:rsidRDefault="00881814" w:rsidP="00881814">
      <w:pPr>
        <w:ind w:firstLine="708"/>
        <w:jc w:val="both"/>
        <w:rPr>
          <w:lang w:val="de-DE"/>
        </w:rPr>
      </w:pPr>
      <w:r w:rsidRPr="004676F5">
        <w:rPr>
          <w:lang w:val="de-DE"/>
        </w:rPr>
        <w:t xml:space="preserve">In vorliegendem Artikel erwähnte Vermittler </w:t>
      </w:r>
      <w:r w:rsidR="00D81D6B" w:rsidRPr="004676F5">
        <w:rPr>
          <w:lang w:val="de-DE"/>
        </w:rPr>
        <w:t>[...]</w:t>
      </w:r>
      <w:r w:rsidRPr="004676F5">
        <w:rPr>
          <w:lang w:val="de-DE"/>
        </w:rPr>
        <w:t xml:space="preserve"> müssen der FSMA gegenüber gemäß den von ihr durch Verordnung festlegten Regeln einschließlich Periodizität die Einhaltung der Bestimmungen von Absatz 1 nachweisen.</w:t>
      </w:r>
    </w:p>
    <w:p w14:paraId="0D1E5B37" w14:textId="77777777" w:rsidR="00881814" w:rsidRPr="004676F5" w:rsidRDefault="00881814" w:rsidP="00881814">
      <w:pPr>
        <w:ind w:firstLine="708"/>
        <w:jc w:val="both"/>
        <w:rPr>
          <w:lang w:val="de-DE"/>
        </w:rPr>
      </w:pPr>
    </w:p>
    <w:p w14:paraId="609E076C" w14:textId="334CEF0D"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Beantragt eine juristische Person ihre Eintragung als Vermittler, gelten darüber hinaus folgende Bestimmungen:</w:t>
      </w:r>
    </w:p>
    <w:p w14:paraId="298FAE26" w14:textId="77777777" w:rsidR="00881814" w:rsidRPr="004676F5" w:rsidRDefault="00881814" w:rsidP="00881814">
      <w:pPr>
        <w:ind w:firstLine="708"/>
        <w:jc w:val="both"/>
        <w:rPr>
          <w:lang w:val="de-DE"/>
        </w:rPr>
      </w:pPr>
    </w:p>
    <w:p w14:paraId="0818C193" w14:textId="3EB29E40" w:rsidR="00881814" w:rsidRPr="004676F5" w:rsidRDefault="00881814" w:rsidP="00881814">
      <w:pPr>
        <w:ind w:firstLine="708"/>
        <w:jc w:val="both"/>
        <w:rPr>
          <w:lang w:val="de-DE"/>
        </w:rPr>
      </w:pPr>
      <w:r w:rsidRPr="004676F5">
        <w:rPr>
          <w:lang w:val="de-DE"/>
        </w:rPr>
        <w:t xml:space="preserve">1. Personen, denen die tatsächliche Geschäftsleitung dieser juristischen Person anvertraut ist, müssen vom König festgelegte Berufskenntnisse besitzen und ausreichende </w:t>
      </w:r>
      <w:r w:rsidR="00BE3947" w:rsidRPr="004676F5">
        <w:rPr>
          <w:lang w:val="de-DE"/>
        </w:rPr>
        <w:t xml:space="preserve">[angemessene Fachkompetenz] </w:t>
      </w:r>
      <w:r w:rsidRPr="004676F5">
        <w:rPr>
          <w:lang w:val="de-DE"/>
        </w:rPr>
        <w:t xml:space="preserve">und berufliche Zuverlässigkeit für die Ausübung ihrer Aufgaben aufweisen. Sie dürfen sich nicht in einem der in </w:t>
      </w:r>
      <w:r w:rsidR="00D53A23" w:rsidRPr="004676F5">
        <w:rPr>
          <w:lang w:val="de-DE"/>
        </w:rPr>
        <w:t>[Artikel 20 des Gesetzes vom 25. April 2014]</w:t>
      </w:r>
      <w:r w:rsidRPr="004676F5">
        <w:rPr>
          <w:lang w:val="de-DE"/>
        </w:rPr>
        <w:t xml:space="preserve"> erwähnten Fälle befinden.</w:t>
      </w:r>
    </w:p>
    <w:p w14:paraId="38C6C8BE" w14:textId="77777777" w:rsidR="00881814" w:rsidRPr="004676F5" w:rsidRDefault="00881814" w:rsidP="00881814">
      <w:pPr>
        <w:ind w:firstLine="708"/>
        <w:jc w:val="both"/>
        <w:rPr>
          <w:lang w:val="de-DE"/>
        </w:rPr>
      </w:pPr>
    </w:p>
    <w:p w14:paraId="3D0FFE89" w14:textId="77777777" w:rsidR="00881814" w:rsidRPr="004676F5" w:rsidRDefault="00881814" w:rsidP="00881814">
      <w:pPr>
        <w:ind w:firstLine="708"/>
        <w:jc w:val="both"/>
        <w:rPr>
          <w:lang w:val="de-DE"/>
        </w:rPr>
      </w:pPr>
      <w:r w:rsidRPr="004676F5">
        <w:rPr>
          <w:lang w:val="de-DE"/>
        </w:rPr>
        <w:t>2. Die juristische Person teilt der FSMA die Identität der Aktionäre mit, die die Gesellschaft kontrollieren; diese Aktionäre müssen nach dem Urteil der FSMA die Eigenschaften, die zur Gewährleistung einer soliden und umsichtigen Geschäftsführung erforderlich sind, besitzen. Änderungen in den Angaben zur Identität der Aktionäre, die die Gesellschaft kontrollieren, werden der FSMA mitgeteilt.</w:t>
      </w:r>
    </w:p>
    <w:p w14:paraId="29A49B9F" w14:textId="77777777" w:rsidR="00881814" w:rsidRPr="004676F5" w:rsidRDefault="00881814" w:rsidP="00881814">
      <w:pPr>
        <w:ind w:firstLine="708"/>
        <w:jc w:val="both"/>
        <w:rPr>
          <w:lang w:val="de-DE"/>
        </w:rPr>
      </w:pPr>
    </w:p>
    <w:p w14:paraId="2AF2F20A" w14:textId="07CD3BAB"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 xml:space="preserve">Antragsteller, die eine Eintragung als Verbraucherkreditmakler beantragen, fügen ihrem Antrag eine eidesstattliche Erklärung bei, aus der hervorgeht, dass sie ihre beruflichen Tätigkeiten außerhalb jeglichen Alleinvertretervertrags oder jeglicher anderen rechtlichen Verpflichtung ausüben, die sie dazu verpflichten würden, die Gesamtheit oder einen Teil ihrer Produktion </w:t>
      </w:r>
      <w:r w:rsidR="00D53A23" w:rsidRPr="004676F5">
        <w:rPr>
          <w:lang w:val="de-DE"/>
        </w:rPr>
        <w:t>[bei einem oder mehreren Kreditgebern]</w:t>
      </w:r>
      <w:r w:rsidRPr="004676F5">
        <w:rPr>
          <w:lang w:val="de-DE"/>
        </w:rPr>
        <w:t xml:space="preserve"> zu platzieren.</w:t>
      </w:r>
    </w:p>
    <w:p w14:paraId="453C23DA" w14:textId="77777777" w:rsidR="00881814" w:rsidRPr="004676F5" w:rsidRDefault="00881814" w:rsidP="00881814">
      <w:pPr>
        <w:ind w:firstLine="708"/>
        <w:jc w:val="both"/>
        <w:rPr>
          <w:lang w:val="de-DE"/>
        </w:rPr>
      </w:pPr>
    </w:p>
    <w:p w14:paraId="2F384135" w14:textId="77777777" w:rsidR="00881814" w:rsidRPr="004676F5" w:rsidRDefault="00881814" w:rsidP="00881814">
      <w:pPr>
        <w:ind w:firstLine="708"/>
        <w:jc w:val="both"/>
        <w:rPr>
          <w:lang w:val="de-DE"/>
        </w:rPr>
      </w:pPr>
      <w:r w:rsidRPr="004676F5">
        <w:rPr>
          <w:lang w:val="de-DE"/>
        </w:rPr>
        <w:t>Änderungen an den Angaben, auf die die in Absatz 1 erwähnte eidesstattliche Erklärung sich bezieht, werden unverzüglich der FSMA mitgeteilt.</w:t>
      </w:r>
    </w:p>
    <w:p w14:paraId="1C2A4E05" w14:textId="77777777" w:rsidR="00881814" w:rsidRPr="004676F5" w:rsidRDefault="00881814" w:rsidP="00881814">
      <w:pPr>
        <w:ind w:firstLine="708"/>
        <w:jc w:val="both"/>
        <w:rPr>
          <w:lang w:val="de-DE"/>
        </w:rPr>
      </w:pPr>
    </w:p>
    <w:p w14:paraId="1DFFDF66" w14:textId="40FA705A" w:rsidR="00881814" w:rsidRPr="004676F5" w:rsidRDefault="00881814" w:rsidP="00881814">
      <w:pPr>
        <w:ind w:firstLine="708"/>
        <w:jc w:val="both"/>
        <w:rPr>
          <w:lang w:val="de-DE"/>
        </w:rPr>
      </w:pPr>
      <w:r w:rsidRPr="004676F5">
        <w:rPr>
          <w:lang w:val="de-DE"/>
        </w:rPr>
        <w:t>§ 4 </w:t>
      </w:r>
      <w:r w:rsidR="005B7A5C" w:rsidRPr="004676F5">
        <w:rPr>
          <w:lang w:val="de-DE"/>
        </w:rPr>
        <w:t>- </w:t>
      </w:r>
      <w:r w:rsidR="00D81D6B" w:rsidRPr="004676F5">
        <w:rPr>
          <w:lang w:val="de-DE"/>
        </w:rPr>
        <w:t>[...]</w:t>
      </w:r>
    </w:p>
    <w:p w14:paraId="7C2A0DC3" w14:textId="77777777" w:rsidR="00881814" w:rsidRPr="004676F5" w:rsidRDefault="00881814" w:rsidP="00881814">
      <w:pPr>
        <w:ind w:firstLine="708"/>
        <w:jc w:val="both"/>
        <w:rPr>
          <w:lang w:val="de-DE"/>
        </w:rPr>
      </w:pPr>
    </w:p>
    <w:p w14:paraId="745EFD81" w14:textId="330158AF" w:rsidR="00D53A23" w:rsidRPr="004676F5" w:rsidRDefault="00881814" w:rsidP="00D53A23">
      <w:pPr>
        <w:ind w:firstLine="708"/>
        <w:jc w:val="both"/>
        <w:rPr>
          <w:lang w:val="de-DE"/>
        </w:rPr>
      </w:pPr>
      <w:r w:rsidRPr="004676F5">
        <w:rPr>
          <w:lang w:val="de-DE"/>
        </w:rPr>
        <w:t>§ 5 </w:t>
      </w:r>
      <w:r w:rsidR="005B7A5C" w:rsidRPr="004676F5">
        <w:rPr>
          <w:lang w:val="de-DE"/>
        </w:rPr>
        <w:t>- </w:t>
      </w:r>
      <w:r w:rsidR="00D53A23" w:rsidRPr="004676F5">
        <w:rPr>
          <w:lang w:val="de-DE"/>
        </w:rPr>
        <w:t xml:space="preserve">[Ein vertraglich gebundener Vermittler handelt hinsichtlich seiner Tätigkeit der Verbraucherkreditvermittlung unter der unbeschränkten und vorbehaltlosen Haftung </w:t>
      </w:r>
      <w:r w:rsidR="00C7057E" w:rsidRPr="004676F5">
        <w:rPr>
          <w:lang w:val="de-DE"/>
        </w:rPr>
        <w:t>[</w:t>
      </w:r>
      <w:r w:rsidR="00C7057E" w:rsidRPr="004676F5">
        <w:rPr>
          <w:lang w:val="de-DE" w:bidi="de-DE"/>
        </w:rPr>
        <w:t>des oder der Verbraucherkreditgeber, für deren Rechnung er handelt</w:t>
      </w:r>
      <w:r w:rsidR="00C7057E" w:rsidRPr="004676F5">
        <w:rPr>
          <w:lang w:val="de-DE"/>
        </w:rPr>
        <w:t>]</w:t>
      </w:r>
      <w:r w:rsidR="00D53A23" w:rsidRPr="004676F5">
        <w:rPr>
          <w:lang w:val="de-DE"/>
        </w:rPr>
        <w:t>. Antragsteller, die eine Eintragung als vertraglich gebundener Vermittler beantragen, weisen dies in ihrer Eintragungsakte nach.</w:t>
      </w:r>
    </w:p>
    <w:p w14:paraId="7B302DE1" w14:textId="77777777" w:rsidR="00D53A23" w:rsidRPr="004676F5" w:rsidRDefault="00D53A23" w:rsidP="00D53A23">
      <w:pPr>
        <w:ind w:firstLine="708"/>
        <w:jc w:val="both"/>
        <w:rPr>
          <w:lang w:val="de-DE"/>
        </w:rPr>
      </w:pPr>
    </w:p>
    <w:p w14:paraId="3F7D3AE7" w14:textId="77777777" w:rsidR="00BE3947" w:rsidRPr="004676F5" w:rsidRDefault="00BE3947">
      <w:pPr>
        <w:rPr>
          <w:lang w:val="de-DE"/>
        </w:rPr>
      </w:pPr>
      <w:r w:rsidRPr="004676F5">
        <w:rPr>
          <w:lang w:val="de-DE"/>
        </w:rPr>
        <w:br w:type="page"/>
      </w:r>
    </w:p>
    <w:p w14:paraId="025CFFDC" w14:textId="59FFA581" w:rsidR="00881814" w:rsidRPr="004676F5" w:rsidRDefault="00C7057E" w:rsidP="00D53A23">
      <w:pPr>
        <w:ind w:firstLine="708"/>
        <w:jc w:val="both"/>
        <w:rPr>
          <w:lang w:val="de-DE"/>
        </w:rPr>
      </w:pPr>
      <w:r w:rsidRPr="004676F5">
        <w:rPr>
          <w:lang w:val="de-DE"/>
        </w:rPr>
        <w:lastRenderedPageBreak/>
        <w:t>[</w:t>
      </w:r>
      <w:r w:rsidRPr="004676F5">
        <w:rPr>
          <w:lang w:val="de-DE" w:bidi="de-DE"/>
        </w:rPr>
        <w:t>Der oder die Kreditgeber überprüfen</w:t>
      </w:r>
      <w:r w:rsidRPr="004676F5">
        <w:rPr>
          <w:lang w:val="de-DE"/>
        </w:rPr>
        <w:t>]</w:t>
      </w:r>
      <w:r w:rsidR="00D53A23" w:rsidRPr="004676F5">
        <w:rPr>
          <w:lang w:val="de-DE"/>
        </w:rPr>
        <w:t>, ob der vertraglich gebundene Vermittler die Bestimmungen des vorliegenden Buches und seiner Ausführungserlasse und -verordnungen einhält.]</w:t>
      </w:r>
    </w:p>
    <w:p w14:paraId="44D05CC9" w14:textId="77777777" w:rsidR="00881814" w:rsidRPr="004676F5" w:rsidRDefault="00881814" w:rsidP="00881814">
      <w:pPr>
        <w:rPr>
          <w:lang w:val="de-DE"/>
        </w:rPr>
      </w:pPr>
    </w:p>
    <w:p w14:paraId="088457E7" w14:textId="432CABC2" w:rsidR="00D53A23" w:rsidRPr="004676F5" w:rsidRDefault="00D53A23" w:rsidP="00D53A23">
      <w:pPr>
        <w:jc w:val="both"/>
        <w:rPr>
          <w:i/>
          <w:lang w:val="de-DE"/>
        </w:rPr>
      </w:pPr>
      <w:r w:rsidRPr="004676F5">
        <w:rPr>
          <w:i/>
          <w:lang w:val="de-DE"/>
        </w:rPr>
        <w:t>[</w:t>
      </w:r>
      <w:r w:rsidR="00BE0A56" w:rsidRPr="004676F5">
        <w:rPr>
          <w:i/>
          <w:lang w:val="de-DE"/>
        </w:rPr>
        <w:t>Art. </w:t>
      </w:r>
      <w:r w:rsidRPr="004676F5">
        <w:rPr>
          <w:i/>
          <w:lang w:val="de-DE"/>
        </w:rPr>
        <w:t xml:space="preserve">VII.186 § 1 Abs. 1 Nr. 2 abgeändert durch </w:t>
      </w:r>
      <w:r w:rsidR="00BE0A56" w:rsidRPr="004676F5">
        <w:rPr>
          <w:i/>
          <w:lang w:val="de-DE"/>
        </w:rPr>
        <w:t>Art. </w:t>
      </w:r>
      <w:r w:rsidRPr="004676F5">
        <w:rPr>
          <w:i/>
          <w:lang w:val="de-DE"/>
        </w:rPr>
        <w:t>36 Nr. 1</w:t>
      </w:r>
      <w:r w:rsidRPr="004676F5">
        <w:rPr>
          <w:i/>
          <w:iCs/>
          <w:lang w:val="de-DE"/>
        </w:rPr>
        <w:t xml:space="preserve"> </w:t>
      </w:r>
      <w:r w:rsidRPr="004676F5">
        <w:rPr>
          <w:i/>
          <w:lang w:val="de-DE"/>
        </w:rPr>
        <w:t>des G. vom 26. Oktober 2015 (B.S. vom 30. Oktober 2015)</w:t>
      </w:r>
      <w:r w:rsidR="00BE3947" w:rsidRPr="004676F5">
        <w:rPr>
          <w:i/>
          <w:lang w:val="de-DE"/>
        </w:rPr>
        <w:t xml:space="preserve"> und Art. 18 des G. vom 8. Mai 2022 (B.S. vom 23. Juni 2022)</w:t>
      </w:r>
      <w:r w:rsidR="00421898" w:rsidRPr="004676F5">
        <w:rPr>
          <w:i/>
          <w:lang w:val="de-DE"/>
        </w:rPr>
        <w:t>;</w:t>
      </w:r>
      <w:r w:rsidRPr="004676F5">
        <w:rPr>
          <w:i/>
          <w:lang w:val="de-DE"/>
        </w:rPr>
        <w:t xml:space="preserve"> </w:t>
      </w:r>
      <w:r w:rsidR="0025610F" w:rsidRPr="004676F5">
        <w:rPr>
          <w:i/>
          <w:lang w:val="de-DE"/>
        </w:rPr>
        <w:t>§ 1 Abs. 1 Nr. 3 abgeändert durch Art. 28 Nr. 1 und 2 des G. vom 30. Juli 2018 (II) (B.S. vom 5. September 2018);</w:t>
      </w:r>
      <w:r w:rsidR="00BE3947" w:rsidRPr="004676F5">
        <w:rPr>
          <w:i/>
          <w:lang w:val="de-DE"/>
        </w:rPr>
        <w:t xml:space="preserve"> § 1 Abs. 1 Nr. 7 abgeändert durch Art. 21 Nr. 1 des G. vom 8. Mai 2022 (B.S. vom 23. Juni 2022); § 1 Abs. 1 Nr. 8 eingefügt durch Art. 21 Nr. 2 des G. vom 8. Mai 2022 (B.S. vom 23. Juni 2022);</w:t>
      </w:r>
      <w:r w:rsidR="0025610F" w:rsidRPr="004676F5">
        <w:rPr>
          <w:i/>
          <w:lang w:val="de-DE"/>
        </w:rPr>
        <w:t xml:space="preserve"> </w:t>
      </w:r>
      <w:r w:rsidR="00D81D6B" w:rsidRPr="004676F5">
        <w:rPr>
          <w:i/>
          <w:lang w:val="de-DE"/>
        </w:rPr>
        <w:t>§ 1 Abs. 2 abgeändert durch Art. 189 Nr. 1 des G. vom 2. Mai 2019</w:t>
      </w:r>
      <w:r w:rsidR="0066077D" w:rsidRPr="004676F5">
        <w:rPr>
          <w:i/>
          <w:lang w:val="de-DE"/>
        </w:rPr>
        <w:t> (VI)</w:t>
      </w:r>
      <w:r w:rsidR="00D81D6B" w:rsidRPr="004676F5">
        <w:rPr>
          <w:i/>
          <w:lang w:val="de-DE"/>
        </w:rPr>
        <w:t xml:space="preserve"> (B.S. vom 21. Mai 2019); </w:t>
      </w:r>
      <w:r w:rsidR="00BE3947" w:rsidRPr="004676F5">
        <w:rPr>
          <w:i/>
          <w:lang w:val="de-DE"/>
        </w:rPr>
        <w:t xml:space="preserve">§ 2 einziger Absatz Nr. 1 abgeändert durch Art. 18 des G. vom 8. Mai 2022 (B.S. vom 23. Juni 2022); </w:t>
      </w:r>
      <w:r w:rsidRPr="004676F5">
        <w:rPr>
          <w:i/>
          <w:lang w:val="de-DE"/>
        </w:rPr>
        <w:t xml:space="preserve">§ 2 einziger Absatz Nr. 2 abgeändert durch </w:t>
      </w:r>
      <w:r w:rsidR="00BE0A56" w:rsidRPr="004676F5">
        <w:rPr>
          <w:i/>
          <w:lang w:val="de-DE"/>
        </w:rPr>
        <w:t>Art. </w:t>
      </w:r>
      <w:r w:rsidRPr="004676F5">
        <w:rPr>
          <w:i/>
          <w:lang w:val="de-DE"/>
        </w:rPr>
        <w:t>36 Nr. 2</w:t>
      </w:r>
      <w:r w:rsidRPr="004676F5">
        <w:rPr>
          <w:i/>
          <w:iCs/>
          <w:lang w:val="de-DE"/>
        </w:rPr>
        <w:t xml:space="preserve"> </w:t>
      </w:r>
      <w:r w:rsidRPr="004676F5">
        <w:rPr>
          <w:i/>
          <w:lang w:val="de-DE"/>
        </w:rPr>
        <w:t xml:space="preserve">des G. vom 26. Oktober 2015 (B.S. vom 30. Oktober 2015); § 3 Abs. 1 abgeändert durch </w:t>
      </w:r>
      <w:r w:rsidR="00BE0A56" w:rsidRPr="004676F5">
        <w:rPr>
          <w:i/>
          <w:lang w:val="de-DE"/>
        </w:rPr>
        <w:t>Art. </w:t>
      </w:r>
      <w:r w:rsidRPr="004676F5">
        <w:rPr>
          <w:i/>
          <w:lang w:val="de-DE"/>
        </w:rPr>
        <w:t>36 Nr. 3</w:t>
      </w:r>
      <w:r w:rsidRPr="004676F5">
        <w:rPr>
          <w:i/>
          <w:iCs/>
          <w:lang w:val="de-DE"/>
        </w:rPr>
        <w:t xml:space="preserve"> </w:t>
      </w:r>
      <w:r w:rsidRPr="004676F5">
        <w:rPr>
          <w:i/>
          <w:lang w:val="de-DE"/>
        </w:rPr>
        <w:t xml:space="preserve">des G. vom 26. Oktober 2015 (B.S. vom 30. Oktober 2015); </w:t>
      </w:r>
      <w:r w:rsidR="00D81D6B" w:rsidRPr="004676F5">
        <w:rPr>
          <w:i/>
          <w:lang w:val="de-DE"/>
        </w:rPr>
        <w:t>§ 4 aufgehoben durch Art. 189 Nr. 2 des G. vom 2. Mai 2019</w:t>
      </w:r>
      <w:r w:rsidR="0066077D" w:rsidRPr="004676F5">
        <w:rPr>
          <w:i/>
          <w:lang w:val="de-DE"/>
        </w:rPr>
        <w:t> (VI)</w:t>
      </w:r>
      <w:r w:rsidR="00D81D6B" w:rsidRPr="004676F5">
        <w:rPr>
          <w:i/>
          <w:lang w:val="de-DE"/>
        </w:rPr>
        <w:t xml:space="preserve"> (B.S. vom 21. Mai 2019); </w:t>
      </w:r>
      <w:r w:rsidR="00C7057E" w:rsidRPr="004676F5">
        <w:rPr>
          <w:i/>
          <w:lang w:val="de-DE"/>
        </w:rPr>
        <w:t xml:space="preserve">§ 5 ersetzt durch </w:t>
      </w:r>
      <w:r w:rsidR="00BE0A56" w:rsidRPr="004676F5">
        <w:rPr>
          <w:i/>
          <w:lang w:val="de-DE"/>
        </w:rPr>
        <w:t>Art. </w:t>
      </w:r>
      <w:r w:rsidR="00C7057E" w:rsidRPr="004676F5">
        <w:rPr>
          <w:i/>
          <w:lang w:val="de-DE"/>
        </w:rPr>
        <w:t>36 Nr. 4</w:t>
      </w:r>
      <w:r w:rsidR="00C7057E" w:rsidRPr="004676F5">
        <w:rPr>
          <w:i/>
          <w:iCs/>
          <w:lang w:val="de-DE"/>
        </w:rPr>
        <w:t xml:space="preserve"> </w:t>
      </w:r>
      <w:r w:rsidR="00C7057E" w:rsidRPr="004676F5">
        <w:rPr>
          <w:i/>
          <w:lang w:val="de-DE"/>
        </w:rPr>
        <w:t xml:space="preserve">des G. vom 26. Oktober 2015 (B.S. vom 30. Oktober 2015); § 5 Abs. 1 abgeändert durch </w:t>
      </w:r>
      <w:r w:rsidR="00BE0A56" w:rsidRPr="004676F5">
        <w:rPr>
          <w:i/>
          <w:lang w:val="de-DE"/>
        </w:rPr>
        <w:t>Art. </w:t>
      </w:r>
      <w:r w:rsidR="00C7057E" w:rsidRPr="004676F5">
        <w:rPr>
          <w:i/>
          <w:lang w:val="de-DE"/>
        </w:rPr>
        <w:t>42 Nr. 1</w:t>
      </w:r>
      <w:r w:rsidR="00C7057E" w:rsidRPr="004676F5">
        <w:rPr>
          <w:i/>
          <w:iCs/>
          <w:lang w:val="de-DE"/>
        </w:rPr>
        <w:t xml:space="preserve"> des G. vom 18. Dezember 2015 (</w:t>
      </w:r>
      <w:r w:rsidR="00AC0398" w:rsidRPr="004676F5">
        <w:rPr>
          <w:i/>
          <w:iCs/>
          <w:lang w:val="de-DE"/>
        </w:rPr>
        <w:t>II) (B.S. vom 30. Dezember 2015</w:t>
      </w:r>
      <w:r w:rsidR="00C7057E" w:rsidRPr="004676F5">
        <w:rPr>
          <w:i/>
          <w:iCs/>
          <w:lang w:val="de-DE"/>
        </w:rPr>
        <w:t xml:space="preserve">); § 5 Abs. 2 abgeändert durch </w:t>
      </w:r>
      <w:r w:rsidR="00BE0A56" w:rsidRPr="004676F5">
        <w:rPr>
          <w:i/>
          <w:iCs/>
          <w:lang w:val="de-DE"/>
        </w:rPr>
        <w:t>Art. </w:t>
      </w:r>
      <w:r w:rsidR="00C7057E" w:rsidRPr="004676F5">
        <w:rPr>
          <w:i/>
          <w:iCs/>
          <w:lang w:val="de-DE"/>
        </w:rPr>
        <w:t>42 Nr. 2 des G. vom 18. Dezember 2015 (</w:t>
      </w:r>
      <w:r w:rsidR="00AC0398" w:rsidRPr="004676F5">
        <w:rPr>
          <w:i/>
          <w:iCs/>
          <w:lang w:val="de-DE"/>
        </w:rPr>
        <w:t>II) (B.S. vom 30. Dezember 2015</w:t>
      </w:r>
      <w:r w:rsidR="00C7057E" w:rsidRPr="004676F5">
        <w:rPr>
          <w:i/>
          <w:iCs/>
          <w:lang w:val="de-DE"/>
        </w:rPr>
        <w:t>)</w:t>
      </w:r>
      <w:r w:rsidR="00C7057E" w:rsidRPr="004676F5">
        <w:rPr>
          <w:i/>
          <w:lang w:val="de-DE"/>
        </w:rPr>
        <w:t>]</w:t>
      </w:r>
    </w:p>
    <w:p w14:paraId="582CEAF8" w14:textId="77777777" w:rsidR="00C7057E" w:rsidRPr="004676F5" w:rsidRDefault="00C7057E" w:rsidP="00D53A23">
      <w:pPr>
        <w:jc w:val="both"/>
        <w:rPr>
          <w:i/>
          <w:lang w:val="de-DE"/>
        </w:rPr>
      </w:pPr>
    </w:p>
    <w:p w14:paraId="4E3F12D2" w14:textId="23C5FB5C" w:rsidR="003C352D" w:rsidRPr="004676F5" w:rsidRDefault="003C352D" w:rsidP="00881814">
      <w:pPr>
        <w:rPr>
          <w:lang w:val="de-DE"/>
        </w:rPr>
      </w:pPr>
    </w:p>
    <w:p w14:paraId="64C1DD40" w14:textId="5AD8031B" w:rsidR="00881814" w:rsidRPr="004676F5" w:rsidRDefault="00BE0A56" w:rsidP="00881814">
      <w:pPr>
        <w:ind w:firstLine="708"/>
        <w:jc w:val="both"/>
        <w:rPr>
          <w:lang w:val="de-DE"/>
        </w:rPr>
      </w:pPr>
      <w:r w:rsidRPr="004676F5">
        <w:rPr>
          <w:b/>
          <w:lang w:val="de-DE"/>
        </w:rPr>
        <w:t>Art. </w:t>
      </w:r>
      <w:r w:rsidR="00881814" w:rsidRPr="004676F5">
        <w:rPr>
          <w:b/>
          <w:lang w:val="de-DE"/>
        </w:rPr>
        <w:t>VII.187</w:t>
      </w:r>
      <w:r w:rsidR="00881814" w:rsidRPr="004676F5">
        <w:rPr>
          <w:lang w:val="de-DE"/>
        </w:rPr>
        <w:t> </w:t>
      </w:r>
      <w:r w:rsidR="005B7A5C" w:rsidRPr="004676F5">
        <w:rPr>
          <w:lang w:val="de-DE"/>
        </w:rPr>
        <w:t>- </w:t>
      </w:r>
      <w:r w:rsidR="00881814" w:rsidRPr="004676F5">
        <w:rPr>
          <w:lang w:val="de-DE"/>
        </w:rPr>
        <w:t xml:space="preserve">§ 1 </w:t>
      </w:r>
      <w:r w:rsidR="005B7A5C" w:rsidRPr="004676F5">
        <w:rPr>
          <w:lang w:val="de-DE"/>
        </w:rPr>
        <w:t>- </w:t>
      </w:r>
      <w:r w:rsidR="00881814" w:rsidRPr="004676F5">
        <w:rPr>
          <w:lang w:val="de-DE"/>
        </w:rPr>
        <w:t>Um in das Register der Verbraucherkreditvermittler eingetragen zu werden und um diese Eintragung beizubehalten, müssen Antragsteller, die als neben</w:t>
      </w:r>
      <w:r w:rsidR="00881814" w:rsidRPr="004676F5">
        <w:rPr>
          <w:lang w:val="de-DE"/>
        </w:rPr>
        <w:softHyphen/>
        <w:t>beruflicher Vertreter eingetragen werden möchten, folgende Bedingungen erfüllen:</w:t>
      </w:r>
    </w:p>
    <w:p w14:paraId="7C51CDB8" w14:textId="77777777" w:rsidR="00881814" w:rsidRPr="004676F5" w:rsidRDefault="00881814" w:rsidP="00881814">
      <w:pPr>
        <w:ind w:firstLine="708"/>
        <w:jc w:val="both"/>
        <w:rPr>
          <w:lang w:val="de-DE"/>
        </w:rPr>
      </w:pPr>
    </w:p>
    <w:p w14:paraId="694DF424" w14:textId="77777777" w:rsidR="00881814" w:rsidRPr="004676F5" w:rsidRDefault="00881814" w:rsidP="00881814">
      <w:pPr>
        <w:ind w:firstLine="708"/>
        <w:jc w:val="both"/>
        <w:rPr>
          <w:lang w:val="de-DE"/>
        </w:rPr>
      </w:pPr>
      <w:r w:rsidRPr="004676F5">
        <w:rPr>
          <w:lang w:val="de-DE"/>
        </w:rPr>
        <w:t>1. Vertriebsbeauftragte und Personen mit Kundenkontakt besitzen vom König bestimmte Berufskenntnisse.</w:t>
      </w:r>
    </w:p>
    <w:p w14:paraId="6E9C0349" w14:textId="77777777" w:rsidR="00881814" w:rsidRPr="004676F5" w:rsidRDefault="00881814" w:rsidP="00881814">
      <w:pPr>
        <w:ind w:firstLine="708"/>
        <w:jc w:val="both"/>
        <w:rPr>
          <w:lang w:val="de-DE"/>
        </w:rPr>
      </w:pPr>
    </w:p>
    <w:p w14:paraId="7236EB2C" w14:textId="3F5030B7" w:rsidR="00881814" w:rsidRPr="004676F5" w:rsidRDefault="00881814" w:rsidP="00881814">
      <w:pPr>
        <w:ind w:firstLine="708"/>
        <w:jc w:val="both"/>
        <w:rPr>
          <w:lang w:val="de-DE"/>
        </w:rPr>
      </w:pPr>
      <w:r w:rsidRPr="004676F5">
        <w:rPr>
          <w:lang w:val="de-DE"/>
        </w:rPr>
        <w:t xml:space="preserve">2. Vertriebsbeauftragte weisen ausreichende </w:t>
      </w:r>
      <w:r w:rsidR="00BE3947" w:rsidRPr="004676F5">
        <w:rPr>
          <w:lang w:val="de-DE"/>
        </w:rPr>
        <w:t xml:space="preserve">[angemessene Fachkompetenz] </w:t>
      </w:r>
      <w:r w:rsidRPr="004676F5">
        <w:rPr>
          <w:lang w:val="de-DE"/>
        </w:rPr>
        <w:t xml:space="preserve">und berufliche Zuverlässigkeit für die Ausübung ihrer Aufgaben auf. Sie dürfen sich nicht in einem der in </w:t>
      </w:r>
      <w:r w:rsidR="003E3DF5" w:rsidRPr="004676F5">
        <w:rPr>
          <w:lang w:val="de-DE"/>
        </w:rPr>
        <w:t>[Artikel 20 des Gesetzes vom 25. April 2014]</w:t>
      </w:r>
      <w:r w:rsidRPr="004676F5">
        <w:rPr>
          <w:lang w:val="de-DE"/>
        </w:rPr>
        <w:t xml:space="preserve"> erwähnten Fälle befinden.</w:t>
      </w:r>
    </w:p>
    <w:p w14:paraId="3FE8E74D" w14:textId="77777777" w:rsidR="00881814" w:rsidRPr="004676F5" w:rsidRDefault="00881814" w:rsidP="00881814">
      <w:pPr>
        <w:ind w:firstLine="708"/>
        <w:jc w:val="both"/>
        <w:rPr>
          <w:lang w:val="de-DE"/>
        </w:rPr>
      </w:pPr>
    </w:p>
    <w:p w14:paraId="64FE5999" w14:textId="77777777" w:rsidR="00881814" w:rsidRPr="004676F5" w:rsidRDefault="00881814" w:rsidP="00881814">
      <w:pPr>
        <w:ind w:firstLine="708"/>
        <w:jc w:val="both"/>
        <w:rPr>
          <w:lang w:val="de-DE"/>
        </w:rPr>
      </w:pPr>
      <w:r w:rsidRPr="004676F5">
        <w:rPr>
          <w:lang w:val="de-DE"/>
        </w:rPr>
        <w:t>3. Sie verfügen über eine Berufshaftpflichtversicherung, die den gesamten Europäischen Wirtschaftsraum deckt. Der Versicherungsvertrag enthält eine Klausel, durch die das Versicherungsunternehmen verpflichtet ist, bei Vertragsauflösung die FSMA davon in Kenntnis zu setzen. Der König legt auf Stellungnahme der FSMA die Bedingungen dieser Versicherung fest.</w:t>
      </w:r>
    </w:p>
    <w:p w14:paraId="0CC0409D" w14:textId="77777777" w:rsidR="00881814" w:rsidRPr="004676F5" w:rsidRDefault="00881814" w:rsidP="00881814">
      <w:pPr>
        <w:ind w:firstLine="708"/>
        <w:jc w:val="both"/>
        <w:rPr>
          <w:lang w:val="de-DE"/>
        </w:rPr>
      </w:pPr>
    </w:p>
    <w:p w14:paraId="467B8E71" w14:textId="77777777" w:rsidR="00881814" w:rsidRPr="004676F5" w:rsidRDefault="00881814" w:rsidP="00881814">
      <w:pPr>
        <w:ind w:firstLine="708"/>
        <w:jc w:val="both"/>
        <w:rPr>
          <w:lang w:val="de-DE"/>
        </w:rPr>
      </w:pPr>
      <w:r w:rsidRPr="004676F5">
        <w:rPr>
          <w:lang w:val="de-DE"/>
        </w:rPr>
        <w:t>4. Im Rahmen ihrer Tätigkeit als Verbraucherkreditvermittler in Belgien arbeiten sie nur mit Unternehmen oder Personen, die in Anwendung des vorliegenden Kapitels für die Ausübung dieser Tätigkeit in Belgien zugelassen oder registriert sind.</w:t>
      </w:r>
    </w:p>
    <w:p w14:paraId="0D1462DD" w14:textId="77777777" w:rsidR="00881814" w:rsidRPr="004676F5" w:rsidRDefault="00881814" w:rsidP="00881814">
      <w:pPr>
        <w:ind w:firstLine="708"/>
        <w:jc w:val="both"/>
        <w:rPr>
          <w:lang w:val="de-DE"/>
        </w:rPr>
      </w:pPr>
    </w:p>
    <w:p w14:paraId="62217BA5" w14:textId="77777777" w:rsidR="00881814" w:rsidRPr="004676F5" w:rsidRDefault="00881814" w:rsidP="00881814">
      <w:pPr>
        <w:ind w:firstLine="708"/>
        <w:jc w:val="both"/>
        <w:rPr>
          <w:lang w:val="de-DE"/>
        </w:rPr>
      </w:pPr>
      <w:r w:rsidRPr="004676F5">
        <w:rPr>
          <w:lang w:val="de-DE"/>
        </w:rPr>
        <w:t>5. Sie treten einem Verfahren der außergerichtlichen Beilegung verbraucherrechtlicher Streitigkeiten wie in Artikel VII.216 erwähnt bei, beteiligen sich an der Finanzierung dieses Verfahrens und leisten Informationsanfragen Folge, die ihnen im Rahmen dieses Streitbei</w:t>
      </w:r>
      <w:r w:rsidRPr="004676F5">
        <w:rPr>
          <w:lang w:val="de-DE"/>
        </w:rPr>
        <w:softHyphen/>
        <w:t>legungsverfahrens übermittelt werden.</w:t>
      </w:r>
    </w:p>
    <w:p w14:paraId="39914E18" w14:textId="77777777" w:rsidR="00881814" w:rsidRPr="004676F5" w:rsidRDefault="00881814" w:rsidP="00881814">
      <w:pPr>
        <w:ind w:firstLine="708"/>
        <w:jc w:val="both"/>
        <w:rPr>
          <w:lang w:val="de-DE"/>
        </w:rPr>
      </w:pPr>
    </w:p>
    <w:p w14:paraId="166DD0CE" w14:textId="77777777" w:rsidR="00881814" w:rsidRPr="004676F5" w:rsidRDefault="00881814" w:rsidP="00881814">
      <w:pPr>
        <w:ind w:firstLine="708"/>
        <w:jc w:val="both"/>
        <w:rPr>
          <w:lang w:val="de-DE"/>
        </w:rPr>
      </w:pPr>
      <w:r w:rsidRPr="004676F5">
        <w:rPr>
          <w:lang w:val="de-DE"/>
        </w:rPr>
        <w:t>6. Sie zahlen die der FSMA für die Ausübung ihrer Aufsicht geschuldeten Vergütungen.</w:t>
      </w:r>
    </w:p>
    <w:p w14:paraId="0DF01966" w14:textId="77777777" w:rsidR="00881814" w:rsidRPr="004676F5" w:rsidRDefault="00881814" w:rsidP="00881814">
      <w:pPr>
        <w:ind w:firstLine="708"/>
        <w:jc w:val="both"/>
        <w:rPr>
          <w:lang w:val="de-DE"/>
        </w:rPr>
      </w:pPr>
    </w:p>
    <w:p w14:paraId="4F0B1820" w14:textId="77777777" w:rsidR="00881814" w:rsidRPr="004676F5" w:rsidRDefault="00881814" w:rsidP="00881814">
      <w:pPr>
        <w:ind w:firstLine="708"/>
        <w:jc w:val="both"/>
        <w:rPr>
          <w:lang w:val="de-DE"/>
        </w:rPr>
      </w:pPr>
      <w:r w:rsidRPr="004676F5">
        <w:rPr>
          <w:lang w:val="de-DE"/>
        </w:rPr>
        <w:t>7. Sie teilen der FSMA eine berufliche Anschrift für elektronische Post mit, an die die FSMA rechtsgültig individuelle oder kollektive Mitteilungen richten kann, die sie in Ausführung des vorliegenden Kapitels vornimmt.</w:t>
      </w:r>
    </w:p>
    <w:p w14:paraId="77A954B2" w14:textId="77777777" w:rsidR="00881814" w:rsidRPr="004676F5" w:rsidRDefault="00881814" w:rsidP="00881814">
      <w:pPr>
        <w:ind w:firstLine="708"/>
        <w:jc w:val="both"/>
        <w:rPr>
          <w:lang w:val="de-DE"/>
        </w:rPr>
      </w:pPr>
    </w:p>
    <w:p w14:paraId="36231F09" w14:textId="7D09DE9F" w:rsidR="00881814" w:rsidRPr="004676F5" w:rsidRDefault="00881814" w:rsidP="00881814">
      <w:pPr>
        <w:ind w:firstLine="708"/>
        <w:jc w:val="both"/>
        <w:rPr>
          <w:lang w:val="de-DE"/>
        </w:rPr>
      </w:pPr>
      <w:r w:rsidRPr="004676F5">
        <w:rPr>
          <w:lang w:val="de-DE"/>
        </w:rPr>
        <w:t>§ 2 </w:t>
      </w:r>
      <w:r w:rsidR="005B7A5C" w:rsidRPr="004676F5">
        <w:rPr>
          <w:lang w:val="de-DE"/>
        </w:rPr>
        <w:t>- </w:t>
      </w:r>
      <w:r w:rsidRPr="004676F5">
        <w:rPr>
          <w:lang w:val="de-DE"/>
        </w:rPr>
        <w:t>In vorliegendem Artikel erwähnte Vermittler müssen der FSMA gegenüber gemäß den von ihr durch Verordnung festlegten Regeln einschließlich Periodizität die Einhaltung der Bestimmungen von Absatz 1 nachweisen.</w:t>
      </w:r>
    </w:p>
    <w:p w14:paraId="7C6A652C" w14:textId="77777777" w:rsidR="003E3DF5" w:rsidRPr="004676F5" w:rsidRDefault="003E3DF5" w:rsidP="00881814">
      <w:pPr>
        <w:ind w:firstLine="708"/>
        <w:jc w:val="both"/>
        <w:rPr>
          <w:lang w:val="de-DE"/>
        </w:rPr>
      </w:pPr>
    </w:p>
    <w:p w14:paraId="18B83F13" w14:textId="4ABC0B7F" w:rsidR="003E3DF5" w:rsidRPr="004676F5" w:rsidRDefault="003E3DF5" w:rsidP="003E3DF5">
      <w:pPr>
        <w:jc w:val="both"/>
        <w:rPr>
          <w:i/>
          <w:lang w:val="de-DE"/>
        </w:rPr>
      </w:pPr>
      <w:r w:rsidRPr="004676F5">
        <w:rPr>
          <w:i/>
          <w:lang w:val="de-DE"/>
        </w:rPr>
        <w:t>[</w:t>
      </w:r>
      <w:r w:rsidR="00BE0A56" w:rsidRPr="004676F5">
        <w:rPr>
          <w:i/>
          <w:lang w:val="de-DE"/>
        </w:rPr>
        <w:t>Art. </w:t>
      </w:r>
      <w:r w:rsidRPr="004676F5">
        <w:rPr>
          <w:i/>
          <w:lang w:val="de-DE"/>
        </w:rPr>
        <w:t xml:space="preserve">VII.187 § 1 einziger Absatz Nr. 2 abgeändert durch </w:t>
      </w:r>
      <w:r w:rsidR="00BE0A56" w:rsidRPr="004676F5">
        <w:rPr>
          <w:i/>
          <w:lang w:val="de-DE"/>
        </w:rPr>
        <w:t>Art. </w:t>
      </w:r>
      <w:r w:rsidRPr="004676F5">
        <w:rPr>
          <w:i/>
          <w:lang w:val="de-DE"/>
        </w:rPr>
        <w:t>37</w:t>
      </w:r>
      <w:r w:rsidRPr="004676F5">
        <w:rPr>
          <w:i/>
          <w:iCs/>
          <w:lang w:val="de-DE"/>
        </w:rPr>
        <w:t xml:space="preserve"> </w:t>
      </w:r>
      <w:r w:rsidRPr="004676F5">
        <w:rPr>
          <w:i/>
          <w:lang w:val="de-DE"/>
        </w:rPr>
        <w:t>des G. vom 26. Oktober 2015 (B.S. vom 30. Oktober 2015)</w:t>
      </w:r>
      <w:r w:rsidR="00BE3947" w:rsidRPr="004676F5">
        <w:rPr>
          <w:i/>
          <w:lang w:val="de-DE"/>
        </w:rPr>
        <w:t xml:space="preserve"> und Art. 18 des G. vom 8. Mai 2022 (B.S. vom 23. Juni 2022)</w:t>
      </w:r>
      <w:r w:rsidRPr="004676F5">
        <w:rPr>
          <w:i/>
          <w:lang w:val="de-DE"/>
        </w:rPr>
        <w:t>]</w:t>
      </w:r>
    </w:p>
    <w:p w14:paraId="6F587991" w14:textId="77777777" w:rsidR="00881814" w:rsidRPr="004676F5" w:rsidRDefault="00881814" w:rsidP="00881814">
      <w:pPr>
        <w:ind w:firstLine="708"/>
        <w:jc w:val="both"/>
        <w:rPr>
          <w:lang w:val="de-DE"/>
        </w:rPr>
      </w:pPr>
    </w:p>
    <w:p w14:paraId="303C9C53" w14:textId="77777777" w:rsidR="003C352D" w:rsidRPr="004676F5" w:rsidRDefault="003C352D" w:rsidP="00881814">
      <w:pPr>
        <w:ind w:firstLine="708"/>
        <w:jc w:val="both"/>
        <w:rPr>
          <w:lang w:val="de-DE"/>
        </w:rPr>
      </w:pPr>
    </w:p>
    <w:p w14:paraId="2045DE51" w14:textId="6F3AB309" w:rsidR="00881814" w:rsidRPr="004676F5" w:rsidRDefault="00881814" w:rsidP="00881814">
      <w:pPr>
        <w:jc w:val="center"/>
        <w:rPr>
          <w:lang w:val="de-DE"/>
        </w:rPr>
      </w:pPr>
      <w:r w:rsidRPr="004676F5">
        <w:rPr>
          <w:lang w:val="de-DE"/>
        </w:rPr>
        <w:t>Unterabschnitt 3 </w:t>
      </w:r>
      <w:r w:rsidR="005B7A5C" w:rsidRPr="004676F5">
        <w:rPr>
          <w:lang w:val="de-DE"/>
        </w:rPr>
        <w:t>- </w:t>
      </w:r>
      <w:r w:rsidRPr="004676F5">
        <w:rPr>
          <w:lang w:val="de-DE"/>
        </w:rPr>
        <w:t>Eintragungsverfahren</w:t>
      </w:r>
    </w:p>
    <w:p w14:paraId="336E8BD0" w14:textId="77777777" w:rsidR="00881814" w:rsidRPr="004676F5" w:rsidRDefault="00881814" w:rsidP="00881814">
      <w:pPr>
        <w:ind w:firstLine="708"/>
        <w:jc w:val="both"/>
        <w:rPr>
          <w:lang w:val="de-DE"/>
        </w:rPr>
      </w:pPr>
    </w:p>
    <w:p w14:paraId="32F681DB" w14:textId="77777777" w:rsidR="003C352D" w:rsidRPr="004676F5" w:rsidRDefault="003C352D" w:rsidP="00881814">
      <w:pPr>
        <w:ind w:firstLine="708"/>
        <w:jc w:val="both"/>
        <w:rPr>
          <w:lang w:val="de-DE"/>
        </w:rPr>
      </w:pPr>
    </w:p>
    <w:p w14:paraId="35E0797D" w14:textId="2D91109D" w:rsidR="00881814" w:rsidRPr="004676F5" w:rsidRDefault="00BE0A56" w:rsidP="00881814">
      <w:pPr>
        <w:ind w:firstLine="708"/>
        <w:jc w:val="both"/>
        <w:rPr>
          <w:lang w:val="de-DE"/>
        </w:rPr>
      </w:pPr>
      <w:r w:rsidRPr="004676F5">
        <w:rPr>
          <w:b/>
          <w:lang w:val="de-DE"/>
        </w:rPr>
        <w:t>Art. </w:t>
      </w:r>
      <w:r w:rsidR="00881814" w:rsidRPr="004676F5">
        <w:rPr>
          <w:b/>
          <w:lang w:val="de-DE"/>
        </w:rPr>
        <w:t>VII.188</w:t>
      </w:r>
      <w:r w:rsidR="00881814" w:rsidRPr="004676F5">
        <w:rPr>
          <w:lang w:val="de-DE"/>
        </w:rPr>
        <w:t> </w:t>
      </w:r>
      <w:r w:rsidR="005B7A5C" w:rsidRPr="004676F5">
        <w:rPr>
          <w:lang w:val="de-DE"/>
        </w:rPr>
        <w:t>- </w:t>
      </w:r>
      <w:r w:rsidR="00881814" w:rsidRPr="004676F5">
        <w:rPr>
          <w:lang w:val="de-DE"/>
        </w:rPr>
        <w:t>§ 1 </w:t>
      </w:r>
      <w:r w:rsidR="005B7A5C" w:rsidRPr="004676F5">
        <w:rPr>
          <w:lang w:val="de-DE"/>
        </w:rPr>
        <w:t>- </w:t>
      </w:r>
      <w:r w:rsidR="00881814" w:rsidRPr="004676F5">
        <w:rPr>
          <w:lang w:val="de-DE"/>
        </w:rPr>
        <w:t>Eintragungsanträge werden der FSMA in den Formen und unter den Bedingungen übermittelt, die der König festlegt.</w:t>
      </w:r>
    </w:p>
    <w:p w14:paraId="7FA17C75" w14:textId="77777777" w:rsidR="00881814" w:rsidRPr="004676F5" w:rsidRDefault="00881814" w:rsidP="00881814">
      <w:pPr>
        <w:ind w:firstLine="708"/>
        <w:jc w:val="both"/>
        <w:rPr>
          <w:lang w:val="de-DE"/>
        </w:rPr>
      </w:pPr>
    </w:p>
    <w:p w14:paraId="7130A2B7" w14:textId="28E88643" w:rsidR="00881814" w:rsidRPr="004676F5" w:rsidRDefault="00881814" w:rsidP="00881814">
      <w:pPr>
        <w:ind w:firstLine="708"/>
        <w:jc w:val="both"/>
        <w:rPr>
          <w:lang w:val="de-DE"/>
        </w:rPr>
      </w:pPr>
      <w:r w:rsidRPr="004676F5">
        <w:rPr>
          <w:lang w:val="de-DE"/>
        </w:rPr>
        <w:t xml:space="preserve">§ 2 </w:t>
      </w:r>
      <w:r w:rsidR="005B7A5C" w:rsidRPr="004676F5">
        <w:rPr>
          <w:lang w:val="de-DE"/>
        </w:rPr>
        <w:t>- </w:t>
      </w:r>
      <w:r w:rsidRPr="004676F5">
        <w:rPr>
          <w:lang w:val="de-DE"/>
        </w:rPr>
        <w:t>Änderungen in den Angaben aus der Eintragungsakte werden unmittelbar der FSMA mitgeteilt, unbeschadet des Rechts der FSMA, bei den Betreffenden Informationen einzuholen oder Belege anzufordern.</w:t>
      </w:r>
    </w:p>
    <w:p w14:paraId="5EAEABD5" w14:textId="6E02EB7C" w:rsidR="008562C5" w:rsidRPr="004676F5" w:rsidRDefault="008562C5" w:rsidP="00881814">
      <w:pPr>
        <w:ind w:firstLine="708"/>
        <w:jc w:val="both"/>
        <w:rPr>
          <w:lang w:val="de-DE"/>
        </w:rPr>
      </w:pPr>
    </w:p>
    <w:p w14:paraId="03C3DCCF" w14:textId="23383371" w:rsidR="008562C5" w:rsidRPr="004676F5" w:rsidRDefault="008562C5" w:rsidP="008562C5">
      <w:pPr>
        <w:ind w:firstLine="708"/>
        <w:jc w:val="both"/>
        <w:rPr>
          <w:lang w:val="de-DE"/>
        </w:rPr>
      </w:pPr>
      <w:r w:rsidRPr="004676F5">
        <w:rPr>
          <w:lang w:val="de-DE"/>
        </w:rPr>
        <w:t xml:space="preserve">[Verbraucherkreditgeber, Verbraucherkreditvermittler und in den Artikeln VII.184 § 1 Absatz 2 Nr. 2 und VII.186 § 1 Absatz 1 Nr. 2 und § 2 Nr. 1 erwähnte Personen informieren die FSMA unverzüglich insbesondere über alle Sachverhalte oder Aspekte, die zu einer Änderung der bei Beantragung der Eintragung übermittelten Angaben führen können und Auswirkungen auf die zur Ausübung der betreffenden Funktion erforderliche </w:t>
      </w:r>
      <w:r w:rsidR="00BE3947" w:rsidRPr="004676F5">
        <w:rPr>
          <w:lang w:val="de-DE"/>
        </w:rPr>
        <w:t xml:space="preserve">[angemessene Fachkompetenz] </w:t>
      </w:r>
      <w:r w:rsidRPr="004676F5">
        <w:rPr>
          <w:lang w:val="de-DE"/>
        </w:rPr>
        <w:t>oder berufliche Zuverlässigkeit haben können.</w:t>
      </w:r>
      <w:r w:rsidR="00BE3947" w:rsidRPr="004676F5">
        <w:rPr>
          <w:lang w:val="de-DE"/>
        </w:rPr>
        <w:t>]</w:t>
      </w:r>
    </w:p>
    <w:p w14:paraId="0BFA97B7" w14:textId="77777777" w:rsidR="008562C5" w:rsidRPr="004676F5" w:rsidRDefault="008562C5" w:rsidP="008562C5">
      <w:pPr>
        <w:ind w:firstLine="708"/>
        <w:jc w:val="both"/>
        <w:rPr>
          <w:lang w:val="de-DE"/>
        </w:rPr>
      </w:pPr>
    </w:p>
    <w:p w14:paraId="0110DD7A" w14:textId="3E1A4387" w:rsidR="008562C5" w:rsidRPr="004676F5" w:rsidRDefault="00BE3947" w:rsidP="008562C5">
      <w:pPr>
        <w:ind w:firstLine="708"/>
        <w:jc w:val="both"/>
        <w:rPr>
          <w:lang w:val="de-DE"/>
        </w:rPr>
      </w:pPr>
      <w:r w:rsidRPr="004676F5">
        <w:rPr>
          <w:lang w:val="de-DE"/>
        </w:rPr>
        <w:t>[</w:t>
      </w:r>
      <w:r w:rsidR="008562C5" w:rsidRPr="004676F5">
        <w:rPr>
          <w:lang w:val="de-DE"/>
        </w:rPr>
        <w:t>Erfährt die FSMA im Rahmen der Ausführung ihres Aufsichtsauftrags von einem solchen Sachverhalt oder Aspekt, ob in Anwendung von Absatz 2 oder nicht, kann sie gemäß den Artikeln VII.186 § 1 Absatz 1 und XV.18/1 die Einhaltung der in den Artikeln VII.184 § 1 Absatz 2 Nr. 2 und VII.186 § 1 Absatz 1 Nr. 2 und § 2 Nr. 1 erwähnten Anforderungen neu bewerten.]</w:t>
      </w:r>
    </w:p>
    <w:p w14:paraId="71DF3D64" w14:textId="77777777" w:rsidR="00881814" w:rsidRPr="004676F5" w:rsidRDefault="00881814" w:rsidP="00881814">
      <w:pPr>
        <w:ind w:firstLine="708"/>
        <w:jc w:val="both"/>
        <w:rPr>
          <w:lang w:val="de-DE"/>
        </w:rPr>
      </w:pPr>
    </w:p>
    <w:p w14:paraId="1C43095C" w14:textId="5370ACC6" w:rsidR="00881814" w:rsidRPr="004676F5" w:rsidRDefault="00881814" w:rsidP="00881814">
      <w:pPr>
        <w:ind w:firstLine="708"/>
        <w:jc w:val="both"/>
        <w:rPr>
          <w:lang w:val="de-DE"/>
        </w:rPr>
      </w:pPr>
      <w:r w:rsidRPr="004676F5">
        <w:rPr>
          <w:lang w:val="de-DE"/>
        </w:rPr>
        <w:t>§ 3 </w:t>
      </w:r>
      <w:r w:rsidR="005B7A5C" w:rsidRPr="004676F5">
        <w:rPr>
          <w:lang w:val="de-DE"/>
        </w:rPr>
        <w:t>- </w:t>
      </w:r>
      <w:r w:rsidRPr="004676F5">
        <w:rPr>
          <w:lang w:val="de-DE"/>
        </w:rPr>
        <w:t>Die FSMA trägt Verbraucherkreditvermittler, die den Bedingungen von Unter</w:t>
      </w:r>
      <w:r w:rsidRPr="004676F5">
        <w:rPr>
          <w:lang w:val="de-DE"/>
        </w:rPr>
        <w:softHyphen/>
        <w:t xml:space="preserve">abschnitt 2 genügen, ein. </w:t>
      </w:r>
      <w:r w:rsidR="00BE3947" w:rsidRPr="004676F5">
        <w:rPr>
          <w:lang w:val="de-DE"/>
        </w:rPr>
        <w:t>[Sie entscheidet innerhalb sechzig Tagen nach Empfang des Antrags und aller erforderlichen Unterlagen.]</w:t>
      </w:r>
    </w:p>
    <w:p w14:paraId="52CAD4C7" w14:textId="77777777" w:rsidR="00881814" w:rsidRPr="004676F5" w:rsidRDefault="00881814" w:rsidP="00881814">
      <w:pPr>
        <w:ind w:firstLine="708"/>
        <w:jc w:val="both"/>
        <w:rPr>
          <w:lang w:val="de-DE"/>
        </w:rPr>
      </w:pPr>
    </w:p>
    <w:p w14:paraId="4A51C5A3" w14:textId="1F4CD23C" w:rsidR="00881814" w:rsidRPr="004676F5" w:rsidRDefault="00881814" w:rsidP="00881814">
      <w:pPr>
        <w:ind w:firstLine="708"/>
        <w:jc w:val="both"/>
        <w:rPr>
          <w:lang w:val="de-DE"/>
        </w:rPr>
      </w:pPr>
      <w:r w:rsidRPr="004676F5">
        <w:rPr>
          <w:lang w:val="de-DE"/>
        </w:rPr>
        <w:t xml:space="preserve">§ 4 </w:t>
      </w:r>
      <w:r w:rsidR="005B7A5C" w:rsidRPr="004676F5">
        <w:rPr>
          <w:lang w:val="de-DE"/>
        </w:rPr>
        <w:t>- </w:t>
      </w:r>
      <w:r w:rsidRPr="004676F5">
        <w:rPr>
          <w:lang w:val="de-DE"/>
        </w:rPr>
        <w:t xml:space="preserve">Der Direktionsausschuss der FSMA kann einem von ihm bestimmten Mitglied des Personals der FSMA die Notifizierung der Beschlüsse zur Eintragung beziehungsweise zur </w:t>
      </w:r>
      <w:r w:rsidRPr="004676F5">
        <w:rPr>
          <w:spacing w:val="2"/>
          <w:lang w:val="de-DE"/>
        </w:rPr>
        <w:t>Verweigerung der Eintragung in das Register der Verbraucherkreditvermittler, der Änderungs-,</w:t>
      </w:r>
      <w:r w:rsidRPr="004676F5">
        <w:rPr>
          <w:lang w:val="de-DE"/>
        </w:rPr>
        <w:t xml:space="preserve"> Inverzugsetzungs</w:t>
      </w:r>
      <w:r w:rsidR="005B7A5C" w:rsidRPr="004676F5">
        <w:rPr>
          <w:lang w:val="de-DE"/>
        </w:rPr>
        <w:t>- </w:t>
      </w:r>
      <w:r w:rsidRPr="004676F5">
        <w:rPr>
          <w:lang w:val="de-DE"/>
        </w:rPr>
        <w:t>und Verbotsbeschlüsse und der Beschlüsse zur Aussetzung oder Streichung der Eintragung auftragen.</w:t>
      </w:r>
    </w:p>
    <w:p w14:paraId="3E17D4E8" w14:textId="77777777" w:rsidR="00881814" w:rsidRPr="004676F5" w:rsidRDefault="00881814" w:rsidP="00881814">
      <w:pPr>
        <w:ind w:firstLine="708"/>
        <w:jc w:val="both"/>
        <w:rPr>
          <w:lang w:val="de-DE"/>
        </w:rPr>
      </w:pPr>
    </w:p>
    <w:p w14:paraId="334FA831" w14:textId="77777777" w:rsidR="00881814" w:rsidRPr="004676F5" w:rsidRDefault="00881814" w:rsidP="00881814">
      <w:pPr>
        <w:ind w:firstLine="708"/>
        <w:jc w:val="both"/>
        <w:rPr>
          <w:lang w:val="de-DE"/>
        </w:rPr>
      </w:pPr>
      <w:r w:rsidRPr="004676F5">
        <w:rPr>
          <w:lang w:val="de-DE"/>
        </w:rPr>
        <w:t>Die FSMA kann in vorhergehendem Absatz erwähnte Beschlüsse rechtsgültig anhand von Vordrucken notifizieren, die mit einer durch ein Verfahren der maschinellen Daten</w:t>
      </w:r>
      <w:r w:rsidRPr="004676F5">
        <w:rPr>
          <w:lang w:val="de-DE"/>
        </w:rPr>
        <w:softHyphen/>
        <w:t>verarbeitung wiedergegebenen Unterschrift versehen sind.</w:t>
      </w:r>
    </w:p>
    <w:p w14:paraId="11F42676" w14:textId="77777777" w:rsidR="00881814" w:rsidRPr="004676F5" w:rsidRDefault="00881814" w:rsidP="00881814">
      <w:pPr>
        <w:ind w:firstLine="708"/>
        <w:jc w:val="both"/>
        <w:rPr>
          <w:lang w:val="de-DE"/>
        </w:rPr>
      </w:pPr>
    </w:p>
    <w:p w14:paraId="5E743B5B" w14:textId="24B5E5CA" w:rsidR="00881814" w:rsidRPr="004676F5" w:rsidRDefault="00881814" w:rsidP="00881814">
      <w:pPr>
        <w:ind w:firstLine="708"/>
        <w:jc w:val="both"/>
        <w:rPr>
          <w:lang w:val="de-DE"/>
        </w:rPr>
      </w:pPr>
      <w:r w:rsidRPr="004676F5">
        <w:rPr>
          <w:lang w:val="de-DE"/>
        </w:rPr>
        <w:t>§ 5 </w:t>
      </w:r>
      <w:r w:rsidR="005B7A5C" w:rsidRPr="004676F5">
        <w:rPr>
          <w:lang w:val="de-DE"/>
        </w:rPr>
        <w:t>- </w:t>
      </w:r>
      <w:r w:rsidRPr="004676F5">
        <w:rPr>
          <w:lang w:val="de-DE"/>
        </w:rPr>
        <w:t>Die FSMA veröffentlicht auf ihrer Website ein regelmäßig fortgeschriebenes Register der Verbraucherkreditvermittler und eine Übersicht der in den letzten zwölf Monaten eingetretenen Änderungen.</w:t>
      </w:r>
    </w:p>
    <w:p w14:paraId="2C15FEA2" w14:textId="77777777" w:rsidR="00881814" w:rsidRPr="004676F5" w:rsidRDefault="00881814" w:rsidP="00881814">
      <w:pPr>
        <w:ind w:firstLine="708"/>
        <w:jc w:val="both"/>
        <w:rPr>
          <w:lang w:val="de-DE"/>
        </w:rPr>
      </w:pPr>
    </w:p>
    <w:p w14:paraId="6B4EA41E" w14:textId="77777777" w:rsidR="00BE3947" w:rsidRPr="004676F5" w:rsidRDefault="00BE3947">
      <w:pPr>
        <w:rPr>
          <w:lang w:val="de-DE"/>
        </w:rPr>
      </w:pPr>
      <w:r w:rsidRPr="004676F5">
        <w:rPr>
          <w:lang w:val="de-DE"/>
        </w:rPr>
        <w:br w:type="page"/>
      </w:r>
    </w:p>
    <w:p w14:paraId="62D647E5" w14:textId="067255B5" w:rsidR="00881814" w:rsidRPr="004676F5" w:rsidRDefault="00881814" w:rsidP="00881814">
      <w:pPr>
        <w:ind w:firstLine="708"/>
        <w:jc w:val="both"/>
        <w:rPr>
          <w:lang w:val="de-DE"/>
        </w:rPr>
      </w:pPr>
      <w:r w:rsidRPr="004676F5">
        <w:rPr>
          <w:lang w:val="de-DE"/>
        </w:rPr>
        <w:lastRenderedPageBreak/>
        <w:t>Dieses Register ist wie folgt unterteilt:</w:t>
      </w:r>
    </w:p>
    <w:p w14:paraId="5190FB20" w14:textId="77777777" w:rsidR="00881814" w:rsidRPr="004676F5" w:rsidRDefault="00881814" w:rsidP="00881814">
      <w:pPr>
        <w:ind w:firstLine="708"/>
        <w:jc w:val="both"/>
        <w:rPr>
          <w:lang w:val="de-DE"/>
        </w:rPr>
      </w:pPr>
    </w:p>
    <w:p w14:paraId="41FED9C9" w14:textId="77777777" w:rsidR="00881814" w:rsidRPr="004676F5" w:rsidRDefault="00881814" w:rsidP="00881814">
      <w:pPr>
        <w:ind w:firstLine="708"/>
        <w:jc w:val="both"/>
        <w:rPr>
          <w:lang w:val="de-DE"/>
        </w:rPr>
      </w:pPr>
      <w:r w:rsidRPr="004676F5">
        <w:rPr>
          <w:lang w:val="de-DE"/>
        </w:rPr>
        <w:t>1. Kreditmakler</w:t>
      </w:r>
    </w:p>
    <w:p w14:paraId="68F5C1B8" w14:textId="77777777" w:rsidR="00881814" w:rsidRPr="004676F5" w:rsidRDefault="00881814" w:rsidP="00881814">
      <w:pPr>
        <w:ind w:firstLine="708"/>
        <w:jc w:val="both"/>
        <w:rPr>
          <w:lang w:val="de-DE"/>
        </w:rPr>
      </w:pPr>
    </w:p>
    <w:p w14:paraId="3715978C" w14:textId="77777777" w:rsidR="00881814" w:rsidRPr="004676F5" w:rsidRDefault="00881814" w:rsidP="00881814">
      <w:pPr>
        <w:ind w:firstLine="708"/>
        <w:jc w:val="both"/>
        <w:rPr>
          <w:lang w:val="de-DE"/>
        </w:rPr>
      </w:pPr>
      <w:r w:rsidRPr="004676F5">
        <w:rPr>
          <w:lang w:val="de-DE"/>
        </w:rPr>
        <w:t>2. Vertraglich gebundene Vermittler</w:t>
      </w:r>
    </w:p>
    <w:p w14:paraId="52639852" w14:textId="77777777" w:rsidR="00881814" w:rsidRPr="004676F5" w:rsidRDefault="00881814" w:rsidP="00881814">
      <w:pPr>
        <w:ind w:firstLine="708"/>
        <w:jc w:val="both"/>
        <w:rPr>
          <w:lang w:val="de-DE"/>
        </w:rPr>
      </w:pPr>
    </w:p>
    <w:p w14:paraId="51D7600C" w14:textId="77777777" w:rsidR="00881814" w:rsidRPr="004676F5" w:rsidRDefault="00881814" w:rsidP="00881814">
      <w:pPr>
        <w:ind w:firstLine="708"/>
        <w:jc w:val="both"/>
        <w:rPr>
          <w:lang w:val="de-DE"/>
        </w:rPr>
      </w:pPr>
      <w:r w:rsidRPr="004676F5">
        <w:rPr>
          <w:lang w:val="de-DE"/>
        </w:rPr>
        <w:t>3. Nebenberufliche Vertreter</w:t>
      </w:r>
    </w:p>
    <w:p w14:paraId="4E8C9988" w14:textId="77777777" w:rsidR="00881814" w:rsidRPr="004676F5" w:rsidRDefault="00881814" w:rsidP="00881814">
      <w:pPr>
        <w:ind w:firstLine="708"/>
        <w:jc w:val="both"/>
        <w:rPr>
          <w:lang w:val="de-DE"/>
        </w:rPr>
      </w:pPr>
    </w:p>
    <w:p w14:paraId="02EAC2D6" w14:textId="77777777" w:rsidR="00D65098" w:rsidRPr="004676F5" w:rsidRDefault="00D65098" w:rsidP="00D65098">
      <w:pPr>
        <w:ind w:firstLine="708"/>
        <w:jc w:val="both"/>
        <w:rPr>
          <w:lang w:val="de-DE"/>
        </w:rPr>
      </w:pPr>
      <w:r w:rsidRPr="004676F5">
        <w:rPr>
          <w:lang w:val="de-DE"/>
        </w:rPr>
        <w:t>[Für jeden Verbraucherkreditvermittler wird im Register Folgendes angegeben:</w:t>
      </w:r>
    </w:p>
    <w:p w14:paraId="034149B6" w14:textId="77777777" w:rsidR="00D65098" w:rsidRPr="004676F5" w:rsidRDefault="00D65098" w:rsidP="00D65098">
      <w:pPr>
        <w:ind w:firstLine="708"/>
        <w:jc w:val="both"/>
        <w:rPr>
          <w:lang w:val="de-DE"/>
        </w:rPr>
      </w:pPr>
    </w:p>
    <w:p w14:paraId="7AB586E9" w14:textId="77777777" w:rsidR="00D65098" w:rsidRPr="004676F5" w:rsidRDefault="00D65098" w:rsidP="00D65098">
      <w:pPr>
        <w:ind w:firstLine="708"/>
        <w:jc w:val="both"/>
        <w:rPr>
          <w:lang w:val="de-DE"/>
        </w:rPr>
      </w:pPr>
      <w:r w:rsidRPr="004676F5">
        <w:rPr>
          <w:lang w:val="de-DE"/>
        </w:rPr>
        <w:t>1. Angaben, die für seine Identifizierung erforderlich sind,</w:t>
      </w:r>
    </w:p>
    <w:p w14:paraId="21058789" w14:textId="77777777" w:rsidR="00D65098" w:rsidRPr="004676F5" w:rsidRDefault="00D65098" w:rsidP="00D65098">
      <w:pPr>
        <w:ind w:firstLine="708"/>
        <w:jc w:val="both"/>
        <w:rPr>
          <w:lang w:val="de-DE"/>
        </w:rPr>
      </w:pPr>
    </w:p>
    <w:p w14:paraId="6C2D5E85" w14:textId="77777777" w:rsidR="00D65098" w:rsidRPr="004676F5" w:rsidRDefault="00D65098" w:rsidP="00D65098">
      <w:pPr>
        <w:ind w:firstLine="708"/>
        <w:jc w:val="both"/>
        <w:rPr>
          <w:lang w:val="de-DE"/>
        </w:rPr>
      </w:pPr>
      <w:r w:rsidRPr="004676F5">
        <w:rPr>
          <w:lang w:val="de-DE"/>
        </w:rPr>
        <w:t>2. Datum seiner Eintragung,</w:t>
      </w:r>
    </w:p>
    <w:p w14:paraId="239006A9" w14:textId="77777777" w:rsidR="00D65098" w:rsidRPr="004676F5" w:rsidRDefault="00D65098" w:rsidP="00D65098">
      <w:pPr>
        <w:ind w:firstLine="708"/>
        <w:jc w:val="both"/>
        <w:rPr>
          <w:lang w:val="de-DE"/>
        </w:rPr>
      </w:pPr>
    </w:p>
    <w:p w14:paraId="675C3C10" w14:textId="77777777" w:rsidR="00D65098" w:rsidRPr="004676F5" w:rsidRDefault="00D65098" w:rsidP="00D65098">
      <w:pPr>
        <w:ind w:firstLine="708"/>
        <w:jc w:val="both"/>
        <w:rPr>
          <w:lang w:val="de-DE"/>
        </w:rPr>
      </w:pPr>
      <w:r w:rsidRPr="004676F5">
        <w:rPr>
          <w:lang w:val="de-DE"/>
        </w:rPr>
        <w:t>3. Kategorie, in der er eingetragen ist,</w:t>
      </w:r>
    </w:p>
    <w:p w14:paraId="58791444" w14:textId="77777777" w:rsidR="00D65098" w:rsidRPr="004676F5" w:rsidRDefault="00D65098" w:rsidP="00D65098">
      <w:pPr>
        <w:ind w:firstLine="708"/>
        <w:jc w:val="both"/>
        <w:rPr>
          <w:lang w:val="de-DE"/>
        </w:rPr>
      </w:pPr>
    </w:p>
    <w:p w14:paraId="380B6878" w14:textId="77777777" w:rsidR="00D65098" w:rsidRPr="004676F5" w:rsidRDefault="00D65098" w:rsidP="00D65098">
      <w:pPr>
        <w:ind w:firstLine="708"/>
        <w:jc w:val="both"/>
        <w:rPr>
          <w:lang w:val="de-DE"/>
        </w:rPr>
      </w:pPr>
      <w:r w:rsidRPr="004676F5">
        <w:rPr>
          <w:lang w:val="de-DE"/>
        </w:rPr>
        <w:t>4. gegebenenfalls Datum seiner Streichung,</w:t>
      </w:r>
    </w:p>
    <w:p w14:paraId="28B38F6C" w14:textId="77777777" w:rsidR="00D65098" w:rsidRPr="004676F5" w:rsidRDefault="00D65098" w:rsidP="00D65098">
      <w:pPr>
        <w:ind w:firstLine="708"/>
        <w:jc w:val="both"/>
        <w:rPr>
          <w:lang w:val="de-DE"/>
        </w:rPr>
      </w:pPr>
    </w:p>
    <w:p w14:paraId="0B91F52F" w14:textId="77777777" w:rsidR="00D65098" w:rsidRPr="004676F5" w:rsidRDefault="00D65098" w:rsidP="00D65098">
      <w:pPr>
        <w:ind w:firstLine="708"/>
        <w:jc w:val="both"/>
        <w:rPr>
          <w:lang w:val="de-DE"/>
        </w:rPr>
      </w:pPr>
      <w:r w:rsidRPr="004676F5">
        <w:rPr>
          <w:lang w:val="de-DE"/>
        </w:rPr>
        <w:t>5. Namen der Vertriebsbeauftragten,</w:t>
      </w:r>
    </w:p>
    <w:p w14:paraId="7977C278" w14:textId="77777777" w:rsidR="00D65098" w:rsidRPr="004676F5" w:rsidRDefault="00D65098" w:rsidP="00D65098">
      <w:pPr>
        <w:ind w:firstLine="708"/>
        <w:jc w:val="both"/>
        <w:rPr>
          <w:lang w:val="de-DE"/>
        </w:rPr>
      </w:pPr>
    </w:p>
    <w:p w14:paraId="026C70DB" w14:textId="77777777" w:rsidR="00D65098" w:rsidRPr="004676F5" w:rsidRDefault="00D65098" w:rsidP="00D65098">
      <w:pPr>
        <w:ind w:firstLine="708"/>
        <w:jc w:val="both"/>
        <w:rPr>
          <w:lang w:val="de-DE"/>
        </w:rPr>
      </w:pPr>
      <w:r w:rsidRPr="004676F5">
        <w:rPr>
          <w:lang w:val="de-DE"/>
        </w:rPr>
        <w:t>6. </w:t>
      </w:r>
      <w:r w:rsidR="00096F51" w:rsidRPr="004676F5">
        <w:rPr>
          <w:lang w:val="de-DE"/>
        </w:rPr>
        <w:t>[</w:t>
      </w:r>
      <w:r w:rsidR="00096F51" w:rsidRPr="004676F5">
        <w:rPr>
          <w:lang w:val="de-DE" w:bidi="de-DE"/>
        </w:rPr>
        <w:t>für vertraglich gebundene Vermittler: Namen des oder der Verbraucherkreditgeber, an die sie gebunden sind, und gegebenenfalls Gruppe, der diese Kreditgeber angehören,</w:t>
      </w:r>
      <w:r w:rsidR="00096F51" w:rsidRPr="004676F5">
        <w:rPr>
          <w:lang w:val="de-DE"/>
        </w:rPr>
        <w:t>]</w:t>
      </w:r>
    </w:p>
    <w:p w14:paraId="15322D65" w14:textId="77777777" w:rsidR="00D65098" w:rsidRPr="004676F5" w:rsidRDefault="00D65098" w:rsidP="00D65098">
      <w:pPr>
        <w:ind w:firstLine="708"/>
        <w:jc w:val="both"/>
        <w:rPr>
          <w:lang w:val="de-DE"/>
        </w:rPr>
      </w:pPr>
    </w:p>
    <w:p w14:paraId="41043923" w14:textId="77777777" w:rsidR="00881814" w:rsidRPr="004676F5" w:rsidRDefault="00D65098" w:rsidP="00D65098">
      <w:pPr>
        <w:ind w:firstLine="708"/>
        <w:jc w:val="both"/>
        <w:rPr>
          <w:lang w:val="de-DE"/>
        </w:rPr>
      </w:pPr>
      <w:r w:rsidRPr="004676F5">
        <w:rPr>
          <w:lang w:val="de-DE"/>
        </w:rPr>
        <w:t>7. andere Informationen, die die FSMA für eine korrekte Information der Öffentlichkeit für zweckmäßig erachtet.]</w:t>
      </w:r>
    </w:p>
    <w:p w14:paraId="5A10BC18" w14:textId="77777777" w:rsidR="00881814" w:rsidRPr="004676F5" w:rsidRDefault="00881814" w:rsidP="00881814">
      <w:pPr>
        <w:ind w:firstLine="708"/>
        <w:jc w:val="both"/>
        <w:rPr>
          <w:lang w:val="de-DE"/>
        </w:rPr>
      </w:pPr>
    </w:p>
    <w:p w14:paraId="4F0CD064" w14:textId="77777777" w:rsidR="00881814" w:rsidRPr="004676F5" w:rsidRDefault="00D65098" w:rsidP="00881814">
      <w:pPr>
        <w:ind w:firstLine="708"/>
        <w:jc w:val="both"/>
        <w:rPr>
          <w:lang w:val="de-DE"/>
        </w:rPr>
      </w:pPr>
      <w:r w:rsidRPr="004676F5">
        <w:rPr>
          <w:lang w:val="de-DE"/>
        </w:rPr>
        <w:t>[Die FSMA legt Bedingungen fest, unter denen ein Vermerk über die Streichung eines Vermittlers von der Website entfernt wird.]</w:t>
      </w:r>
    </w:p>
    <w:p w14:paraId="39A366D8" w14:textId="77777777" w:rsidR="00881814" w:rsidRPr="004676F5" w:rsidRDefault="00881814" w:rsidP="00881814">
      <w:pPr>
        <w:ind w:firstLine="708"/>
        <w:jc w:val="both"/>
        <w:rPr>
          <w:lang w:val="de-DE"/>
        </w:rPr>
      </w:pPr>
    </w:p>
    <w:p w14:paraId="4CAD3021" w14:textId="570ABA16" w:rsidR="00881814" w:rsidRPr="004676F5" w:rsidRDefault="00881814" w:rsidP="00881814">
      <w:pPr>
        <w:ind w:firstLine="708"/>
        <w:jc w:val="both"/>
        <w:rPr>
          <w:lang w:val="de-DE"/>
        </w:rPr>
      </w:pPr>
      <w:r w:rsidRPr="004676F5">
        <w:rPr>
          <w:lang w:val="de-DE"/>
        </w:rPr>
        <w:t>§ 6 </w:t>
      </w:r>
      <w:r w:rsidR="005B7A5C" w:rsidRPr="004676F5">
        <w:rPr>
          <w:lang w:val="de-DE"/>
        </w:rPr>
        <w:t>- </w:t>
      </w:r>
      <w:r w:rsidRPr="004676F5">
        <w:rPr>
          <w:lang w:val="de-DE"/>
        </w:rPr>
        <w:t>Bei Einreichung des Eintragungsantrags gibt der Antragsteller die Kategorie an, in die er im Register eingetragen werden möchte. Ein Vermittler darf nur in eine Kategorie des Registers eingetragen werden.</w:t>
      </w:r>
    </w:p>
    <w:p w14:paraId="2B1C3CA7" w14:textId="77777777" w:rsidR="00D65098" w:rsidRPr="004676F5" w:rsidRDefault="00D65098" w:rsidP="00881814">
      <w:pPr>
        <w:ind w:firstLine="708"/>
        <w:jc w:val="both"/>
        <w:rPr>
          <w:lang w:val="de-DE"/>
        </w:rPr>
      </w:pPr>
    </w:p>
    <w:p w14:paraId="754FA443" w14:textId="7C44CE11" w:rsidR="00D65098" w:rsidRPr="004676F5" w:rsidRDefault="00D65098" w:rsidP="00D65098">
      <w:pPr>
        <w:jc w:val="both"/>
        <w:rPr>
          <w:i/>
          <w:lang w:val="de-DE"/>
        </w:rPr>
      </w:pPr>
      <w:r w:rsidRPr="004676F5">
        <w:rPr>
          <w:i/>
          <w:lang w:val="de-DE"/>
        </w:rPr>
        <w:t>[</w:t>
      </w:r>
      <w:r w:rsidR="00BE0A56" w:rsidRPr="004676F5">
        <w:rPr>
          <w:i/>
          <w:lang w:val="de-DE"/>
        </w:rPr>
        <w:t>Art. </w:t>
      </w:r>
      <w:r w:rsidRPr="004676F5">
        <w:rPr>
          <w:i/>
          <w:lang w:val="de-DE"/>
        </w:rPr>
        <w:t xml:space="preserve">VII.188 </w:t>
      </w:r>
      <w:r w:rsidR="008562C5" w:rsidRPr="004676F5">
        <w:rPr>
          <w:i/>
          <w:lang w:val="de-DE"/>
        </w:rPr>
        <w:t>§ 2 Abs. 2 eingefügt durch Art. 22 des G. vom 5. Dezember 2017 (B.S. vom 18. Dezember 2017)</w:t>
      </w:r>
      <w:r w:rsidR="00BE3947" w:rsidRPr="004676F5">
        <w:rPr>
          <w:i/>
          <w:lang w:val="de-DE"/>
        </w:rPr>
        <w:t xml:space="preserve"> und abgeändert durch Art. 18 des G. vom 8. Mai 2022 (B.S. vom 23. Juni 2022)</w:t>
      </w:r>
      <w:r w:rsidR="008562C5" w:rsidRPr="004676F5">
        <w:rPr>
          <w:i/>
          <w:lang w:val="de-DE"/>
        </w:rPr>
        <w:t xml:space="preserve">; </w:t>
      </w:r>
      <w:r w:rsidR="00BE3947" w:rsidRPr="004676F5">
        <w:rPr>
          <w:i/>
          <w:lang w:val="de-DE"/>
        </w:rPr>
        <w:t xml:space="preserve">§ 2 Abs. 3 eingefügt durch Art. 22 des G. vom 5. Dezember 2017 (B.S. vom 18. Dezember 2017); § 3 abgeändert durch Art. 22 des G. vom 8. Mai 2022 (B.S. vom 23. Juni 2022); </w:t>
      </w:r>
      <w:r w:rsidRPr="004676F5">
        <w:rPr>
          <w:i/>
          <w:lang w:val="de-DE"/>
        </w:rPr>
        <w:t xml:space="preserve">§ 5 Abs. 3 ersetzt durch </w:t>
      </w:r>
      <w:r w:rsidR="00BE0A56" w:rsidRPr="004676F5">
        <w:rPr>
          <w:i/>
          <w:lang w:val="de-DE"/>
        </w:rPr>
        <w:t>Art. </w:t>
      </w:r>
      <w:r w:rsidRPr="004676F5">
        <w:rPr>
          <w:i/>
          <w:lang w:val="de-DE"/>
        </w:rPr>
        <w:t>38 Nr. 1</w:t>
      </w:r>
      <w:r w:rsidRPr="004676F5">
        <w:rPr>
          <w:i/>
          <w:iCs/>
          <w:lang w:val="de-DE"/>
        </w:rPr>
        <w:t xml:space="preserve"> </w:t>
      </w:r>
      <w:r w:rsidRPr="004676F5">
        <w:rPr>
          <w:i/>
          <w:lang w:val="de-DE"/>
        </w:rPr>
        <w:t>des G. vom 26. Oktober 2015 (B.S. vom 30. Oktober 2015)</w:t>
      </w:r>
      <w:r w:rsidR="00096F51" w:rsidRPr="004676F5">
        <w:rPr>
          <w:i/>
          <w:lang w:val="de-DE"/>
        </w:rPr>
        <w:t xml:space="preserve">; § 5 Abs. 3 Nr. 6 ersetzt durch </w:t>
      </w:r>
      <w:r w:rsidR="00BE0A56" w:rsidRPr="004676F5">
        <w:rPr>
          <w:i/>
          <w:lang w:val="de-DE"/>
        </w:rPr>
        <w:t>Art. </w:t>
      </w:r>
      <w:r w:rsidR="00096F51" w:rsidRPr="004676F5">
        <w:rPr>
          <w:i/>
          <w:lang w:val="de-DE"/>
        </w:rPr>
        <w:t>43</w:t>
      </w:r>
      <w:r w:rsidR="00096F51" w:rsidRPr="004676F5">
        <w:rPr>
          <w:i/>
          <w:iCs/>
          <w:lang w:val="de-DE"/>
        </w:rPr>
        <w:t xml:space="preserve"> des G. vom 18. Dezember 2015 (</w:t>
      </w:r>
      <w:r w:rsidR="00AC0398" w:rsidRPr="004676F5">
        <w:rPr>
          <w:i/>
          <w:iCs/>
          <w:lang w:val="de-DE"/>
        </w:rPr>
        <w:t>II) (B.S. vom 30. Dezember 2015</w:t>
      </w:r>
      <w:r w:rsidR="00096F51" w:rsidRPr="004676F5">
        <w:rPr>
          <w:i/>
          <w:iCs/>
          <w:lang w:val="de-DE"/>
        </w:rPr>
        <w:t>)</w:t>
      </w:r>
      <w:r w:rsidRPr="004676F5">
        <w:rPr>
          <w:i/>
          <w:lang w:val="de-DE"/>
        </w:rPr>
        <w:t xml:space="preserve">; § 5 Abs. 4 ersetzt durch </w:t>
      </w:r>
      <w:r w:rsidR="00BE0A56" w:rsidRPr="004676F5">
        <w:rPr>
          <w:i/>
          <w:lang w:val="de-DE"/>
        </w:rPr>
        <w:t>Art. </w:t>
      </w:r>
      <w:r w:rsidRPr="004676F5">
        <w:rPr>
          <w:i/>
          <w:lang w:val="de-DE"/>
        </w:rPr>
        <w:t>38 Nr. 2</w:t>
      </w:r>
      <w:r w:rsidRPr="004676F5">
        <w:rPr>
          <w:i/>
          <w:iCs/>
          <w:lang w:val="de-DE"/>
        </w:rPr>
        <w:t xml:space="preserve"> </w:t>
      </w:r>
      <w:r w:rsidRPr="004676F5">
        <w:rPr>
          <w:i/>
          <w:lang w:val="de-DE"/>
        </w:rPr>
        <w:t>des G. vom 26. Oktober 2015 (B.S. vom 30. Oktober 2015)]</w:t>
      </w:r>
    </w:p>
    <w:p w14:paraId="0B5D9721" w14:textId="77777777" w:rsidR="003C352D" w:rsidRPr="004676F5" w:rsidRDefault="003C352D">
      <w:pPr>
        <w:rPr>
          <w:b/>
          <w:lang w:val="de-DE"/>
        </w:rPr>
      </w:pPr>
      <w:r w:rsidRPr="004676F5">
        <w:rPr>
          <w:b/>
          <w:lang w:val="de-DE"/>
        </w:rPr>
        <w:br w:type="page"/>
      </w:r>
    </w:p>
    <w:p w14:paraId="207B78F9" w14:textId="606E1F38" w:rsidR="00881814" w:rsidRPr="004676F5" w:rsidRDefault="00881814" w:rsidP="00881814">
      <w:pPr>
        <w:jc w:val="center"/>
        <w:rPr>
          <w:b/>
          <w:i/>
          <w:lang w:val="de-DE"/>
        </w:rPr>
      </w:pPr>
      <w:r w:rsidRPr="004676F5">
        <w:rPr>
          <w:b/>
          <w:lang w:val="de-DE"/>
        </w:rPr>
        <w:lastRenderedPageBreak/>
        <w:t>TITEL 5 </w:t>
      </w:r>
      <w:r w:rsidR="005B7A5C" w:rsidRPr="004676F5">
        <w:rPr>
          <w:b/>
          <w:lang w:val="de-DE"/>
        </w:rPr>
        <w:t>- </w:t>
      </w:r>
      <w:r w:rsidRPr="004676F5">
        <w:rPr>
          <w:b/>
          <w:i/>
          <w:lang w:val="de-DE"/>
        </w:rPr>
        <w:t>Zivilrechtliche Sanktionen</w:t>
      </w:r>
    </w:p>
    <w:p w14:paraId="3BDCB3D6" w14:textId="77777777" w:rsidR="00881814" w:rsidRPr="004676F5" w:rsidRDefault="00881814" w:rsidP="00881814">
      <w:pPr>
        <w:ind w:firstLine="708"/>
        <w:jc w:val="both"/>
        <w:rPr>
          <w:lang w:val="de-DE"/>
        </w:rPr>
      </w:pPr>
    </w:p>
    <w:p w14:paraId="1CEBE83E" w14:textId="77777777" w:rsidR="003C352D" w:rsidRPr="004676F5" w:rsidRDefault="003C352D" w:rsidP="00881814">
      <w:pPr>
        <w:ind w:firstLine="708"/>
        <w:jc w:val="both"/>
        <w:rPr>
          <w:lang w:val="de-DE"/>
        </w:rPr>
      </w:pPr>
    </w:p>
    <w:p w14:paraId="213961A6" w14:textId="3F6F61B1" w:rsidR="00881814" w:rsidRPr="004676F5" w:rsidRDefault="00881814" w:rsidP="00881814">
      <w:pPr>
        <w:jc w:val="center"/>
        <w:rPr>
          <w:lang w:val="de-DE"/>
        </w:rPr>
      </w:pPr>
      <w:r w:rsidRPr="004676F5">
        <w:rPr>
          <w:lang w:val="de-DE"/>
        </w:rPr>
        <w:t>KAPITEL 1 </w:t>
      </w:r>
      <w:r w:rsidR="005B7A5C" w:rsidRPr="004676F5">
        <w:rPr>
          <w:lang w:val="de-DE"/>
        </w:rPr>
        <w:t>- </w:t>
      </w:r>
      <w:r w:rsidRPr="004676F5">
        <w:rPr>
          <w:i/>
          <w:lang w:val="de-DE"/>
        </w:rPr>
        <w:t>Zahlungsdienste</w:t>
      </w:r>
    </w:p>
    <w:p w14:paraId="3163EFF4" w14:textId="77777777" w:rsidR="00881814" w:rsidRPr="004676F5" w:rsidRDefault="00881814" w:rsidP="00881814">
      <w:pPr>
        <w:ind w:firstLine="708"/>
        <w:jc w:val="both"/>
        <w:rPr>
          <w:lang w:val="de-DE"/>
        </w:rPr>
      </w:pPr>
    </w:p>
    <w:p w14:paraId="61F92487" w14:textId="77777777" w:rsidR="003C352D" w:rsidRPr="004676F5" w:rsidRDefault="003C352D" w:rsidP="00881814">
      <w:pPr>
        <w:ind w:firstLine="708"/>
        <w:jc w:val="both"/>
        <w:rPr>
          <w:lang w:val="de-DE"/>
        </w:rPr>
      </w:pPr>
    </w:p>
    <w:p w14:paraId="35699942" w14:textId="77777777" w:rsidR="00927837" w:rsidRPr="004676F5" w:rsidRDefault="00BE0A56" w:rsidP="00881814">
      <w:pPr>
        <w:ind w:firstLine="708"/>
        <w:jc w:val="both"/>
        <w:rPr>
          <w:lang w:val="de-DE"/>
        </w:rPr>
      </w:pPr>
      <w:r w:rsidRPr="004676F5">
        <w:rPr>
          <w:b/>
          <w:lang w:val="de-DE"/>
        </w:rPr>
        <w:t>Art. </w:t>
      </w:r>
      <w:r w:rsidR="00881814" w:rsidRPr="004676F5">
        <w:rPr>
          <w:b/>
          <w:lang w:val="de-DE"/>
        </w:rPr>
        <w:t>VII.189</w:t>
      </w:r>
      <w:r w:rsidR="00881814" w:rsidRPr="004676F5">
        <w:rPr>
          <w:lang w:val="de-DE"/>
        </w:rPr>
        <w:t> </w:t>
      </w:r>
      <w:r w:rsidR="005B7A5C" w:rsidRPr="004676F5">
        <w:rPr>
          <w:lang w:val="de-DE"/>
        </w:rPr>
        <w:t>- </w:t>
      </w:r>
      <w:r w:rsidR="00881814" w:rsidRPr="004676F5">
        <w:rPr>
          <w:lang w:val="de-DE"/>
        </w:rPr>
        <w:t>Außer wenn ein Zahlungsdienstleister nachweist, dass der Zahler in be</w:t>
      </w:r>
      <w:r w:rsidR="00881814" w:rsidRPr="004676F5">
        <w:rPr>
          <w:lang w:val="de-DE"/>
        </w:rPr>
        <w:softHyphen/>
        <w:t>trü</w:t>
      </w:r>
      <w:r w:rsidR="00881814" w:rsidRPr="004676F5">
        <w:rPr>
          <w:lang w:val="de-DE"/>
        </w:rPr>
        <w:softHyphen/>
        <w:t xml:space="preserve">gerischer Absicht gehandelt hat, bleibt der Zahlungsdienstleister dem Zahlungsdienstnutzer gegenüber haftbar für die Folgen der Nutzung eines Zahlungsinstruments durch einen nicht berechtigten Dritten, wenn der Zahlungsdienstleister seinen Verpflichtungen nach </w:t>
      </w:r>
      <w:r w:rsidR="00927837" w:rsidRPr="004676F5">
        <w:rPr>
          <w:lang w:val="de-DE"/>
        </w:rPr>
        <w:t>[den Artikeln VII.22 Nr. 5 Buchstabe </w:t>
      </w:r>
      <w:r w:rsidR="00927837" w:rsidRPr="004676F5">
        <w:rPr>
          <w:i/>
          <w:lang w:val="de-DE"/>
        </w:rPr>
        <w:t>a)</w:t>
      </w:r>
      <w:r w:rsidR="00927837" w:rsidRPr="004676F5">
        <w:rPr>
          <w:lang w:val="de-DE"/>
        </w:rPr>
        <w:t xml:space="preserve"> und </w:t>
      </w:r>
      <w:r w:rsidR="00927837" w:rsidRPr="004676F5">
        <w:rPr>
          <w:i/>
          <w:lang w:val="de-DE"/>
        </w:rPr>
        <w:t>d)</w:t>
      </w:r>
      <w:r w:rsidR="00927837" w:rsidRPr="004676F5">
        <w:rPr>
          <w:lang w:val="de-DE"/>
        </w:rPr>
        <w:t xml:space="preserve"> und VII.39 Nr. 1 und 3]</w:t>
      </w:r>
      <w:r w:rsidR="00881814" w:rsidRPr="004676F5">
        <w:rPr>
          <w:lang w:val="de-DE"/>
        </w:rPr>
        <w:t xml:space="preserve"> nicht nachgekommen ist.</w:t>
      </w:r>
    </w:p>
    <w:p w14:paraId="5D2786F2" w14:textId="77777777" w:rsidR="00927837" w:rsidRPr="004676F5" w:rsidRDefault="00927837" w:rsidP="00927837">
      <w:pPr>
        <w:jc w:val="both"/>
        <w:rPr>
          <w:lang w:val="de-DE"/>
        </w:rPr>
      </w:pPr>
    </w:p>
    <w:p w14:paraId="2DFB346C" w14:textId="1435ED5F" w:rsidR="00881814" w:rsidRPr="004676F5" w:rsidRDefault="00927837" w:rsidP="00927837">
      <w:pPr>
        <w:jc w:val="both"/>
        <w:rPr>
          <w:lang w:val="de-DE"/>
        </w:rPr>
      </w:pPr>
      <w:r w:rsidRPr="004676F5">
        <w:rPr>
          <w:i/>
          <w:iCs/>
          <w:lang w:val="de-DE"/>
        </w:rPr>
        <w:t>[Art. VII.189 abgeändert durch Art. 22 des G. vom 5. November 2023</w:t>
      </w:r>
      <w:r w:rsidR="00AA0B2E" w:rsidRPr="004676F5">
        <w:rPr>
          <w:i/>
          <w:iCs/>
          <w:lang w:val="de-DE"/>
        </w:rPr>
        <w:t> </w:t>
      </w:r>
      <w:r w:rsidR="003454B3" w:rsidRPr="004676F5">
        <w:rPr>
          <w:i/>
          <w:iCs/>
          <w:lang w:val="de-DE"/>
        </w:rPr>
        <w:t>(I)</w:t>
      </w:r>
      <w:r w:rsidRPr="004676F5">
        <w:rPr>
          <w:i/>
          <w:iCs/>
          <w:lang w:val="de-DE"/>
        </w:rPr>
        <w:t xml:space="preserve"> (B.S. vom 11. Dezember 2023)]</w:t>
      </w:r>
      <w:r w:rsidR="00881814" w:rsidRPr="004676F5">
        <w:rPr>
          <w:lang w:val="de-DE"/>
        </w:rPr>
        <w:t xml:space="preserve"> </w:t>
      </w:r>
    </w:p>
    <w:p w14:paraId="1916E3DC" w14:textId="77777777" w:rsidR="00881814" w:rsidRPr="004676F5" w:rsidRDefault="00881814" w:rsidP="00881814">
      <w:pPr>
        <w:ind w:firstLine="708"/>
        <w:jc w:val="both"/>
        <w:rPr>
          <w:lang w:val="de-DE"/>
        </w:rPr>
      </w:pPr>
    </w:p>
    <w:p w14:paraId="1E30337C" w14:textId="77777777" w:rsidR="003C352D" w:rsidRPr="004676F5" w:rsidRDefault="003C352D" w:rsidP="00881814">
      <w:pPr>
        <w:ind w:firstLine="708"/>
        <w:jc w:val="both"/>
        <w:rPr>
          <w:lang w:val="de-DE"/>
        </w:rPr>
      </w:pPr>
    </w:p>
    <w:p w14:paraId="3A33D73E" w14:textId="5262453D" w:rsidR="00881814" w:rsidRPr="004676F5" w:rsidRDefault="00BE0A56" w:rsidP="00881814">
      <w:pPr>
        <w:ind w:firstLine="708"/>
        <w:jc w:val="both"/>
        <w:rPr>
          <w:lang w:val="de-DE"/>
        </w:rPr>
      </w:pPr>
      <w:r w:rsidRPr="004676F5">
        <w:rPr>
          <w:b/>
          <w:lang w:val="de-DE"/>
        </w:rPr>
        <w:t>Art. </w:t>
      </w:r>
      <w:r w:rsidR="00881814" w:rsidRPr="004676F5">
        <w:rPr>
          <w:b/>
          <w:lang w:val="de-DE"/>
        </w:rPr>
        <w:t>VII.190</w:t>
      </w:r>
      <w:r w:rsidR="00881814" w:rsidRPr="004676F5">
        <w:rPr>
          <w:lang w:val="de-DE"/>
        </w:rPr>
        <w:t> </w:t>
      </w:r>
      <w:r w:rsidR="005B7A5C" w:rsidRPr="004676F5">
        <w:rPr>
          <w:lang w:val="de-DE"/>
        </w:rPr>
        <w:t>- </w:t>
      </w:r>
      <w:r w:rsidR="00881814" w:rsidRPr="004676F5">
        <w:rPr>
          <w:lang w:val="de-DE"/>
        </w:rPr>
        <w:t xml:space="preserve">Kommt ein Zahlungsdienstleister seinen Verpflichtungen nach </w:t>
      </w:r>
      <w:r w:rsidR="00927837" w:rsidRPr="004676F5">
        <w:rPr>
          <w:lang w:val="de-DE"/>
        </w:rPr>
        <w:t>[</w:t>
      </w:r>
      <w:r w:rsidR="00881814" w:rsidRPr="004676F5">
        <w:rPr>
          <w:lang w:val="de-DE"/>
        </w:rPr>
        <w:t>Arti</w:t>
      </w:r>
      <w:r w:rsidR="00881814" w:rsidRPr="004676F5">
        <w:rPr>
          <w:lang w:val="de-DE"/>
        </w:rPr>
        <w:softHyphen/>
        <w:t>kel VII.</w:t>
      </w:r>
      <w:r w:rsidR="00927837" w:rsidRPr="004676F5">
        <w:rPr>
          <w:lang w:val="de-DE"/>
        </w:rPr>
        <w:t>30</w:t>
      </w:r>
      <w:r w:rsidR="00881814" w:rsidRPr="004676F5">
        <w:rPr>
          <w:lang w:val="de-DE"/>
        </w:rPr>
        <w:t xml:space="preserve"> §</w:t>
      </w:r>
      <w:r w:rsidR="00A601A0" w:rsidRPr="004676F5">
        <w:rPr>
          <w:lang w:val="de-DE"/>
        </w:rPr>
        <w:t> 1</w:t>
      </w:r>
      <w:r w:rsidR="00927837" w:rsidRPr="004676F5">
        <w:rPr>
          <w:lang w:val="de-DE"/>
        </w:rPr>
        <w:t>]</w:t>
      </w:r>
      <w:r w:rsidR="00881814" w:rsidRPr="004676F5">
        <w:rPr>
          <w:lang w:val="de-DE"/>
        </w:rPr>
        <w:t xml:space="preserve"> nicht nach, ist der Zahlungsdienstnutzer unbeschadet gemeinrechtlicher Sanktionen von Rechts wegen von der Zahlung eingeforderter Entgelte befreit.</w:t>
      </w:r>
    </w:p>
    <w:p w14:paraId="3E3CB73E" w14:textId="77777777" w:rsidR="00927837" w:rsidRPr="004676F5" w:rsidRDefault="00927837" w:rsidP="00927837">
      <w:pPr>
        <w:jc w:val="both"/>
        <w:rPr>
          <w:lang w:val="de-DE"/>
        </w:rPr>
      </w:pPr>
    </w:p>
    <w:p w14:paraId="743090DF" w14:textId="77FBBE97" w:rsidR="00927837" w:rsidRPr="004676F5" w:rsidRDefault="00927837" w:rsidP="00927837">
      <w:pPr>
        <w:jc w:val="both"/>
        <w:rPr>
          <w:i/>
          <w:iCs/>
          <w:lang w:val="de-DE"/>
        </w:rPr>
      </w:pPr>
      <w:r w:rsidRPr="004676F5">
        <w:rPr>
          <w:i/>
          <w:iCs/>
          <w:lang w:val="de-DE"/>
        </w:rPr>
        <w:t>[Art. VII.190 abgeändert durch Art. 23 des G. vom 5. November 2023</w:t>
      </w:r>
      <w:r w:rsidR="00AA0B2E" w:rsidRPr="004676F5">
        <w:rPr>
          <w:i/>
          <w:iCs/>
          <w:lang w:val="de-DE"/>
        </w:rPr>
        <w:t> </w:t>
      </w:r>
      <w:r w:rsidR="003454B3" w:rsidRPr="004676F5">
        <w:rPr>
          <w:i/>
          <w:iCs/>
          <w:lang w:val="de-DE"/>
        </w:rPr>
        <w:t>(I)</w:t>
      </w:r>
      <w:r w:rsidRPr="004676F5">
        <w:rPr>
          <w:i/>
          <w:iCs/>
          <w:lang w:val="de-DE"/>
        </w:rPr>
        <w:t xml:space="preserve"> (B.S. vom 11. Dezember 2023)]</w:t>
      </w:r>
    </w:p>
    <w:p w14:paraId="71D52C07" w14:textId="77777777" w:rsidR="00881814" w:rsidRPr="004676F5" w:rsidRDefault="00881814" w:rsidP="00881814">
      <w:pPr>
        <w:ind w:firstLine="708"/>
        <w:jc w:val="both"/>
        <w:rPr>
          <w:lang w:val="de-DE"/>
        </w:rPr>
      </w:pPr>
    </w:p>
    <w:p w14:paraId="1A0705D3" w14:textId="77777777" w:rsidR="003C352D" w:rsidRPr="004676F5" w:rsidRDefault="003C352D" w:rsidP="00881814">
      <w:pPr>
        <w:ind w:firstLine="708"/>
        <w:jc w:val="both"/>
        <w:rPr>
          <w:lang w:val="de-DE"/>
        </w:rPr>
      </w:pPr>
    </w:p>
    <w:p w14:paraId="1A773E1B" w14:textId="3DA822EE" w:rsidR="00881814" w:rsidRPr="004676F5" w:rsidRDefault="00BE0A56" w:rsidP="00881814">
      <w:pPr>
        <w:ind w:firstLine="708"/>
        <w:jc w:val="both"/>
        <w:rPr>
          <w:lang w:val="de-DE"/>
        </w:rPr>
      </w:pPr>
      <w:r w:rsidRPr="004676F5">
        <w:rPr>
          <w:b/>
          <w:lang w:val="de-DE"/>
        </w:rPr>
        <w:t>Art. </w:t>
      </w:r>
      <w:r w:rsidR="00881814" w:rsidRPr="004676F5">
        <w:rPr>
          <w:b/>
          <w:lang w:val="de-DE"/>
        </w:rPr>
        <w:t>VII.191</w:t>
      </w:r>
      <w:r w:rsidR="00881814" w:rsidRPr="004676F5">
        <w:rPr>
          <w:lang w:val="de-DE"/>
        </w:rPr>
        <w:t> </w:t>
      </w:r>
      <w:r w:rsidR="005B7A5C" w:rsidRPr="004676F5">
        <w:rPr>
          <w:lang w:val="de-DE"/>
        </w:rPr>
        <w:t>- </w:t>
      </w:r>
      <w:r w:rsidR="00881814" w:rsidRPr="004676F5">
        <w:rPr>
          <w:lang w:val="de-DE"/>
        </w:rPr>
        <w:t xml:space="preserve">Kommt ein Zahlungsdienstleister seinen Verpflichtungen nach </w:t>
      </w:r>
      <w:r w:rsidR="00A601A0" w:rsidRPr="004676F5">
        <w:rPr>
          <w:lang w:val="de-DE"/>
        </w:rPr>
        <w:t>[den Artikeln VII.7, VII.9, VII.11, VII.21, VII.22 Nr. 2 bis 6, VII.23, VII.24, VII.30, VII.31, VII.33, VII.39, VII.43, VII.46, VII.47 § 2, VII.48, VII.49, VII.51, VII.53 bis VII.55/1 und VII.55/3 bis VII.55/5]</w:t>
      </w:r>
      <w:r w:rsidR="00881814" w:rsidRPr="004676F5">
        <w:rPr>
          <w:lang w:val="de-DE"/>
        </w:rPr>
        <w:t xml:space="preserve"> nicht nach, kann der Zahlungsdienstnutzer unbeschadet gemeinrechtlicher Sanktionen ab dem Zeitpunkt, an dem er von der Nichterfüllung der Verpflichtungen Kenntnis hat oder haben sollte, </w:t>
      </w:r>
      <w:r w:rsidR="000A26B7" w:rsidRPr="004676F5">
        <w:rPr>
          <w:lang w:val="de-DE"/>
        </w:rPr>
        <w:t>[durch ein per Einschreibesendung versandtes, mit Gründen versehenes Schreiben]</w:t>
      </w:r>
      <w:r w:rsidR="00881814" w:rsidRPr="004676F5">
        <w:rPr>
          <w:lang w:val="de-DE"/>
        </w:rPr>
        <w:t xml:space="preserve"> den Rahmenvertrag unverzüglich und ohne Entgelt oder Vertragsstrafen kündigen.</w:t>
      </w:r>
    </w:p>
    <w:p w14:paraId="6B964C1A" w14:textId="77777777" w:rsidR="00881814" w:rsidRPr="004676F5" w:rsidRDefault="00881814" w:rsidP="00881814">
      <w:pPr>
        <w:ind w:firstLine="708"/>
        <w:jc w:val="both"/>
        <w:rPr>
          <w:lang w:val="de-DE"/>
        </w:rPr>
      </w:pPr>
    </w:p>
    <w:p w14:paraId="7FF2676B" w14:textId="5186436B" w:rsidR="000A26B7" w:rsidRPr="004676F5" w:rsidRDefault="000A26B7" w:rsidP="000A26B7">
      <w:pPr>
        <w:jc w:val="both"/>
        <w:rPr>
          <w:i/>
          <w:lang w:val="de-DE"/>
        </w:rPr>
      </w:pPr>
      <w:r w:rsidRPr="004676F5">
        <w:rPr>
          <w:i/>
          <w:lang w:val="de-DE"/>
        </w:rPr>
        <w:t>[</w:t>
      </w:r>
      <w:r w:rsidR="00BE0A56" w:rsidRPr="004676F5">
        <w:rPr>
          <w:i/>
          <w:lang w:val="de-DE"/>
        </w:rPr>
        <w:t>Art. </w:t>
      </w:r>
      <w:r w:rsidRPr="004676F5">
        <w:rPr>
          <w:i/>
          <w:lang w:val="de-DE"/>
        </w:rPr>
        <w:t xml:space="preserve">VII.191 abgeändert durch </w:t>
      </w:r>
      <w:r w:rsidR="00BE0A56" w:rsidRPr="004676F5">
        <w:rPr>
          <w:i/>
          <w:lang w:val="de-DE"/>
        </w:rPr>
        <w:t>Art. </w:t>
      </w:r>
      <w:r w:rsidRPr="004676F5">
        <w:rPr>
          <w:i/>
          <w:lang w:val="de-DE"/>
        </w:rPr>
        <w:t>30 des G. vom 22. April 2016 (B.S. vom 4. Mai 2016)</w:t>
      </w:r>
      <w:r w:rsidR="00A601A0" w:rsidRPr="004676F5">
        <w:rPr>
          <w:i/>
          <w:lang w:val="de-DE"/>
        </w:rPr>
        <w:t xml:space="preserve"> und Art. 24 des G. vom 5. November 2023</w:t>
      </w:r>
      <w:r w:rsidR="003454B3" w:rsidRPr="004676F5">
        <w:rPr>
          <w:i/>
          <w:lang w:val="de-DE"/>
        </w:rPr>
        <w:t xml:space="preserve"> (I)</w:t>
      </w:r>
      <w:r w:rsidR="00A601A0" w:rsidRPr="004676F5">
        <w:rPr>
          <w:i/>
          <w:lang w:val="de-DE"/>
        </w:rPr>
        <w:t xml:space="preserve"> (B.S. vom 11. Dezember 2023)</w:t>
      </w:r>
      <w:r w:rsidRPr="004676F5">
        <w:rPr>
          <w:i/>
          <w:lang w:val="de-DE"/>
        </w:rPr>
        <w:t>]</w:t>
      </w:r>
    </w:p>
    <w:p w14:paraId="11767C52" w14:textId="77777777" w:rsidR="000A26B7" w:rsidRPr="004676F5" w:rsidRDefault="000A26B7" w:rsidP="000A26B7">
      <w:pPr>
        <w:jc w:val="both"/>
        <w:rPr>
          <w:i/>
          <w:lang w:val="de-DE"/>
        </w:rPr>
      </w:pPr>
    </w:p>
    <w:p w14:paraId="098C006D" w14:textId="77777777" w:rsidR="003C352D" w:rsidRPr="004676F5" w:rsidRDefault="003C352D" w:rsidP="00881814">
      <w:pPr>
        <w:ind w:firstLine="708"/>
        <w:jc w:val="both"/>
        <w:rPr>
          <w:lang w:val="de-DE"/>
        </w:rPr>
      </w:pPr>
    </w:p>
    <w:p w14:paraId="5AF916A2" w14:textId="54F8E10D" w:rsidR="00881814" w:rsidRPr="004676F5" w:rsidRDefault="00BE0A56" w:rsidP="00881814">
      <w:pPr>
        <w:ind w:firstLine="708"/>
        <w:jc w:val="both"/>
        <w:rPr>
          <w:lang w:val="de-DE"/>
        </w:rPr>
      </w:pPr>
      <w:r w:rsidRPr="004676F5">
        <w:rPr>
          <w:b/>
          <w:lang w:val="de-DE"/>
        </w:rPr>
        <w:t>Art. </w:t>
      </w:r>
      <w:r w:rsidR="00881814" w:rsidRPr="004676F5">
        <w:rPr>
          <w:b/>
          <w:lang w:val="de-DE"/>
        </w:rPr>
        <w:t>VII.192</w:t>
      </w:r>
      <w:r w:rsidR="00881814" w:rsidRPr="004676F5">
        <w:rPr>
          <w:lang w:val="de-DE"/>
        </w:rPr>
        <w:t> </w:t>
      </w:r>
      <w:r w:rsidR="005B7A5C" w:rsidRPr="004676F5">
        <w:rPr>
          <w:lang w:val="de-DE"/>
        </w:rPr>
        <w:t>- </w:t>
      </w:r>
      <w:r w:rsidR="00881814" w:rsidRPr="004676F5">
        <w:rPr>
          <w:lang w:val="de-DE"/>
        </w:rPr>
        <w:t>Kommt ein E-Geld-Emittent seinen Verpflichtungen nach Arti</w:t>
      </w:r>
      <w:r w:rsidR="00881814" w:rsidRPr="004676F5">
        <w:rPr>
          <w:lang w:val="de-DE"/>
        </w:rPr>
        <w:softHyphen/>
        <w:t>kel VII.61 nicht nach und unbeschadet gemeinrechtlicher Sanktionen:</w:t>
      </w:r>
    </w:p>
    <w:p w14:paraId="20E6382B" w14:textId="77777777" w:rsidR="00881814" w:rsidRPr="004676F5" w:rsidRDefault="00881814" w:rsidP="00881814">
      <w:pPr>
        <w:ind w:firstLine="708"/>
        <w:jc w:val="both"/>
        <w:rPr>
          <w:lang w:val="de-DE"/>
        </w:rPr>
      </w:pPr>
    </w:p>
    <w:p w14:paraId="3B059201" w14:textId="77777777" w:rsidR="00881814" w:rsidRPr="004676F5" w:rsidRDefault="00881814" w:rsidP="00881814">
      <w:pPr>
        <w:ind w:firstLine="708"/>
        <w:jc w:val="both"/>
        <w:rPr>
          <w:lang w:val="de-DE"/>
        </w:rPr>
      </w:pPr>
      <w:r w:rsidRPr="004676F5">
        <w:rPr>
          <w:lang w:val="de-DE"/>
        </w:rPr>
        <w:t>1. ist der E-Geld-Inhaber von Rechts wegen von der Zahlung etwaiger Entgelte in Zusammenhang mit dem Rücktausch befreit,</w:t>
      </w:r>
    </w:p>
    <w:p w14:paraId="5FBEF5AC" w14:textId="77777777" w:rsidR="00881814" w:rsidRPr="004676F5" w:rsidRDefault="00881814" w:rsidP="00881814">
      <w:pPr>
        <w:ind w:firstLine="708"/>
        <w:jc w:val="both"/>
        <w:rPr>
          <w:lang w:val="de-DE"/>
        </w:rPr>
      </w:pPr>
    </w:p>
    <w:p w14:paraId="3BE3A200" w14:textId="77777777" w:rsidR="00881814" w:rsidRPr="004676F5" w:rsidRDefault="00881814" w:rsidP="00881814">
      <w:pPr>
        <w:ind w:firstLine="708"/>
        <w:jc w:val="both"/>
        <w:rPr>
          <w:lang w:val="de-DE"/>
        </w:rPr>
      </w:pPr>
      <w:r w:rsidRPr="004676F5">
        <w:rPr>
          <w:lang w:val="de-DE"/>
        </w:rPr>
        <w:t xml:space="preserve">2. kann der E-Geld-Inhaber ab dem Zeitpunkt, an dem er von der Nichterfüllung der Verpflichtungen Kenntnis hat oder haben sollte, </w:t>
      </w:r>
      <w:r w:rsidR="00137AE1" w:rsidRPr="004676F5">
        <w:rPr>
          <w:lang w:val="de-DE"/>
        </w:rPr>
        <w:t>[durch ein per Einschreibesendung versandtes, mit Gründen versehenes Schreiben]</w:t>
      </w:r>
      <w:r w:rsidRPr="004676F5">
        <w:rPr>
          <w:lang w:val="de-DE"/>
        </w:rPr>
        <w:t xml:space="preserve"> den E-Geld-Vertrag und gegebenenfalls den Rahmenvertrag im Bereich Zahlungsdienste unverzüglich und ohne Entgelt oder Vertragsstrafen kündigen.</w:t>
      </w:r>
    </w:p>
    <w:p w14:paraId="26CA9DAA" w14:textId="77777777" w:rsidR="00881814" w:rsidRPr="004676F5" w:rsidRDefault="00881814" w:rsidP="00137AE1">
      <w:pPr>
        <w:jc w:val="both"/>
        <w:rPr>
          <w:lang w:val="de-DE"/>
        </w:rPr>
      </w:pPr>
    </w:p>
    <w:p w14:paraId="460F370F" w14:textId="5188590C" w:rsidR="00137AE1" w:rsidRPr="004676F5" w:rsidRDefault="00137AE1" w:rsidP="00137AE1">
      <w:pPr>
        <w:jc w:val="both"/>
        <w:rPr>
          <w:i/>
          <w:lang w:val="de-DE"/>
        </w:rPr>
      </w:pPr>
      <w:r w:rsidRPr="004676F5">
        <w:rPr>
          <w:i/>
          <w:lang w:val="de-DE"/>
        </w:rPr>
        <w:t>[</w:t>
      </w:r>
      <w:r w:rsidR="00BE0A56" w:rsidRPr="004676F5">
        <w:rPr>
          <w:i/>
          <w:lang w:val="de-DE"/>
        </w:rPr>
        <w:t>Art. </w:t>
      </w:r>
      <w:r w:rsidRPr="004676F5">
        <w:rPr>
          <w:i/>
          <w:lang w:val="de-DE"/>
        </w:rPr>
        <w:t xml:space="preserve">VII.192 einziger Absatz Nr. 2 abgeändert durch </w:t>
      </w:r>
      <w:r w:rsidR="00BE0A56" w:rsidRPr="004676F5">
        <w:rPr>
          <w:i/>
          <w:lang w:val="de-DE"/>
        </w:rPr>
        <w:t>Art. </w:t>
      </w:r>
      <w:r w:rsidRPr="004676F5">
        <w:rPr>
          <w:i/>
          <w:lang w:val="de-DE"/>
        </w:rPr>
        <w:t>31 des G. vom 22. April 2016 (B.S. vom 4. Mai 2016)]</w:t>
      </w:r>
    </w:p>
    <w:p w14:paraId="50C00C0C" w14:textId="77777777" w:rsidR="00137AE1" w:rsidRPr="004676F5" w:rsidRDefault="00137AE1" w:rsidP="00137AE1">
      <w:pPr>
        <w:jc w:val="both"/>
        <w:rPr>
          <w:i/>
          <w:lang w:val="de-DE"/>
        </w:rPr>
      </w:pPr>
    </w:p>
    <w:p w14:paraId="729AFAC7" w14:textId="77777777" w:rsidR="003C352D" w:rsidRPr="004676F5" w:rsidRDefault="003C352D" w:rsidP="00881814">
      <w:pPr>
        <w:ind w:firstLine="708"/>
        <w:jc w:val="both"/>
        <w:rPr>
          <w:lang w:val="de-DE"/>
        </w:rPr>
      </w:pPr>
    </w:p>
    <w:p w14:paraId="3E939D01" w14:textId="772AA127" w:rsidR="00881814" w:rsidRPr="004676F5" w:rsidRDefault="00BE0A56" w:rsidP="00881814">
      <w:pPr>
        <w:ind w:firstLine="708"/>
        <w:jc w:val="both"/>
        <w:rPr>
          <w:lang w:val="de-DE"/>
        </w:rPr>
      </w:pPr>
      <w:r w:rsidRPr="004676F5">
        <w:rPr>
          <w:b/>
          <w:lang w:val="de-DE"/>
        </w:rPr>
        <w:lastRenderedPageBreak/>
        <w:t>Art. </w:t>
      </w:r>
      <w:r w:rsidR="00881814" w:rsidRPr="004676F5">
        <w:rPr>
          <w:b/>
          <w:lang w:val="de-DE"/>
        </w:rPr>
        <w:t>VII.193</w:t>
      </w:r>
      <w:r w:rsidR="00881814" w:rsidRPr="004676F5">
        <w:rPr>
          <w:lang w:val="de-DE"/>
        </w:rPr>
        <w:t> </w:t>
      </w:r>
      <w:r w:rsidR="005B7A5C" w:rsidRPr="004676F5">
        <w:rPr>
          <w:lang w:val="de-DE"/>
        </w:rPr>
        <w:t>- </w:t>
      </w:r>
      <w:r w:rsidR="00881814" w:rsidRPr="004676F5">
        <w:rPr>
          <w:lang w:val="de-DE"/>
        </w:rPr>
        <w:t>Kommt ein Zahlungsdienstleister den Informationsanforderungen nach Artikel 5 Nr. 2 und 3 der Verordnung (EU) Nr. 260/2012, die für eine ordnungsgemäße Ausführung eines Zahlungsvorgangs erforderlich sind, nicht nach beziehungsweise gewährleistet er deren Einhaltung nicht, kann der Zahlungsdienstnutzer unbeschadet gemeinrechtlicher Sanktionen für den wegen der Nichteinhaltung der Verpflichtungen erlittenen Schaden die Anwendung von Ausgleichsmaßnahmen fordern.</w:t>
      </w:r>
    </w:p>
    <w:p w14:paraId="3FFAFAD1" w14:textId="77777777" w:rsidR="00881814" w:rsidRPr="004676F5" w:rsidRDefault="00881814" w:rsidP="00881814">
      <w:pPr>
        <w:ind w:firstLine="708"/>
        <w:jc w:val="both"/>
        <w:rPr>
          <w:lang w:val="de-DE"/>
        </w:rPr>
      </w:pPr>
    </w:p>
    <w:p w14:paraId="1A74FA65" w14:textId="77777777" w:rsidR="00881814" w:rsidRPr="004676F5" w:rsidRDefault="00881814" w:rsidP="00881814">
      <w:pPr>
        <w:ind w:firstLine="708"/>
        <w:jc w:val="both"/>
        <w:rPr>
          <w:lang w:val="de-DE"/>
        </w:rPr>
      </w:pPr>
      <w:r w:rsidRPr="004676F5">
        <w:rPr>
          <w:lang w:val="de-DE"/>
        </w:rPr>
        <w:t xml:space="preserve">Der Zahlungsdienstleister haftet dem Zahler gegenüber für die Folgen der Ausführung eines Zahlungsvorgangs, die den vom Zahler gemäß Artikel 5 Nr. 3 Buchstabe </w:t>
      </w:r>
      <w:r w:rsidRPr="004676F5">
        <w:rPr>
          <w:i/>
          <w:lang w:val="de-DE"/>
        </w:rPr>
        <w:t>d)</w:t>
      </w:r>
      <w:r w:rsidRPr="004676F5">
        <w:rPr>
          <w:lang w:val="de-DE"/>
        </w:rPr>
        <w:t xml:space="preserve"> der Verordnung (EU) Nr. 260/2012 erteilten Anweisungen nicht entspricht. Er bringt das belastete Zahlungskonto unverzüglich wieder auf den Stand, auf dem es sich befunden hätte, wenn vorerwähnte Anweisungen befolgt worden wären. Auch hat der Zahler Anrecht auf Zusatzentschädigungen für eventuelle weitere finanzielle Folgen.</w:t>
      </w:r>
    </w:p>
    <w:p w14:paraId="14B6BFB3" w14:textId="77777777" w:rsidR="00881814" w:rsidRPr="004676F5" w:rsidRDefault="00881814" w:rsidP="00881814">
      <w:pPr>
        <w:ind w:firstLine="708"/>
        <w:jc w:val="both"/>
        <w:rPr>
          <w:lang w:val="de-DE"/>
        </w:rPr>
      </w:pPr>
    </w:p>
    <w:p w14:paraId="41E4E2AF" w14:textId="77777777" w:rsidR="00881814" w:rsidRPr="004676F5" w:rsidRDefault="00881814" w:rsidP="00881814">
      <w:pPr>
        <w:ind w:firstLine="708"/>
        <w:jc w:val="both"/>
        <w:rPr>
          <w:lang w:val="de-DE"/>
        </w:rPr>
      </w:pPr>
      <w:r w:rsidRPr="004676F5">
        <w:rPr>
          <w:lang w:val="de-DE"/>
        </w:rPr>
        <w:t>Kommt ein Zahlungsempfänger, der kein Verbraucher ist, den Informationsanforde</w:t>
      </w:r>
      <w:r w:rsidRPr="004676F5">
        <w:rPr>
          <w:lang w:val="de-DE"/>
        </w:rPr>
        <w:softHyphen/>
        <w:t>rungen nach Artikel 5 Nr. 4 der Verordnung (EU) Nr. 260/2012, die für eine ordnungsgemäße Ausführung eines Zahlungsvorgangs erforderlich sind, nicht nach beziehungsweise gewährleistet er deren Einhaltung nicht, kann der Zahlungsdienstnutzer unbeschadet gemeinrechtlicher Sanktionen für den wegen der Nichteinhaltung der Verpflichtungen erlittenen Schaden die Anwendung von Ausgleichsmaßnahmen fordern.</w:t>
      </w:r>
    </w:p>
    <w:p w14:paraId="04D9374F" w14:textId="77777777" w:rsidR="00881814" w:rsidRPr="004676F5" w:rsidRDefault="00881814" w:rsidP="00881814">
      <w:pPr>
        <w:ind w:firstLine="708"/>
        <w:jc w:val="both"/>
        <w:rPr>
          <w:lang w:val="de-DE"/>
        </w:rPr>
      </w:pPr>
    </w:p>
    <w:p w14:paraId="1C2B7C1C" w14:textId="77777777" w:rsidR="003C352D" w:rsidRPr="004676F5" w:rsidRDefault="003C352D" w:rsidP="00881814">
      <w:pPr>
        <w:ind w:firstLine="708"/>
        <w:jc w:val="both"/>
        <w:rPr>
          <w:lang w:val="de-DE"/>
        </w:rPr>
      </w:pPr>
    </w:p>
    <w:p w14:paraId="4B4510AB" w14:textId="77777777" w:rsidR="00C76F75" w:rsidRPr="004676F5" w:rsidRDefault="00C76F75">
      <w:pPr>
        <w:rPr>
          <w:lang w:val="de-DE"/>
        </w:rPr>
      </w:pPr>
      <w:r w:rsidRPr="004676F5">
        <w:rPr>
          <w:lang w:val="de-DE"/>
        </w:rPr>
        <w:br w:type="page"/>
      </w:r>
    </w:p>
    <w:p w14:paraId="339D4970" w14:textId="645BFAA3" w:rsidR="00881814" w:rsidRPr="004676F5" w:rsidRDefault="00881814" w:rsidP="00881814">
      <w:pPr>
        <w:jc w:val="center"/>
        <w:rPr>
          <w:lang w:val="de-DE"/>
        </w:rPr>
      </w:pPr>
      <w:r w:rsidRPr="004676F5">
        <w:rPr>
          <w:lang w:val="de-DE"/>
        </w:rPr>
        <w:lastRenderedPageBreak/>
        <w:t xml:space="preserve">KAPITEL 2 </w:t>
      </w:r>
      <w:r w:rsidR="005B7A5C" w:rsidRPr="004676F5">
        <w:rPr>
          <w:lang w:val="de-DE"/>
        </w:rPr>
        <w:t>- </w:t>
      </w:r>
      <w:r w:rsidRPr="004676F5">
        <w:rPr>
          <w:i/>
          <w:lang w:val="de-DE"/>
        </w:rPr>
        <w:t>Verbraucherkredit</w:t>
      </w:r>
    </w:p>
    <w:p w14:paraId="341714F2" w14:textId="77777777" w:rsidR="00881814" w:rsidRPr="004676F5" w:rsidRDefault="00881814" w:rsidP="00881814">
      <w:pPr>
        <w:ind w:firstLine="708"/>
        <w:jc w:val="both"/>
        <w:rPr>
          <w:lang w:val="de-DE"/>
        </w:rPr>
      </w:pPr>
    </w:p>
    <w:p w14:paraId="748B57C9" w14:textId="77777777" w:rsidR="003C352D" w:rsidRPr="004676F5" w:rsidRDefault="003C352D" w:rsidP="00881814">
      <w:pPr>
        <w:ind w:firstLine="708"/>
        <w:jc w:val="both"/>
        <w:rPr>
          <w:lang w:val="de-DE"/>
        </w:rPr>
      </w:pPr>
    </w:p>
    <w:p w14:paraId="20B3ABFD" w14:textId="3D81F681" w:rsidR="00881814" w:rsidRPr="004676F5" w:rsidRDefault="00BE0A56" w:rsidP="00881814">
      <w:pPr>
        <w:ind w:firstLine="708"/>
        <w:jc w:val="both"/>
        <w:rPr>
          <w:lang w:val="de-DE"/>
        </w:rPr>
      </w:pPr>
      <w:r w:rsidRPr="004676F5">
        <w:rPr>
          <w:b/>
          <w:lang w:val="de-DE"/>
        </w:rPr>
        <w:t>Art. </w:t>
      </w:r>
      <w:r w:rsidR="00881814" w:rsidRPr="004676F5">
        <w:rPr>
          <w:b/>
          <w:lang w:val="de-DE"/>
        </w:rPr>
        <w:t>VII.194</w:t>
      </w:r>
      <w:r w:rsidR="00881814" w:rsidRPr="004676F5">
        <w:rPr>
          <w:lang w:val="de-DE"/>
        </w:rPr>
        <w:t> </w:t>
      </w:r>
      <w:r w:rsidR="005B7A5C" w:rsidRPr="004676F5">
        <w:rPr>
          <w:lang w:val="de-DE"/>
        </w:rPr>
        <w:t>- </w:t>
      </w:r>
      <w:r w:rsidR="00881814" w:rsidRPr="004676F5">
        <w:rPr>
          <w:lang w:val="de-DE"/>
        </w:rPr>
        <w:t>Unbeschadet gemeinrechtlicher Sanktionen erklärt der Richter den Vertrag für nichtig oder ermäßigt die Verbindlichkeiten des Verbrauchers höchstens bis auf den Barzahlungspreis der Ware beziehungsweise Dienstleistung oder auf den aufgenommenen Betrag, dies unter Beibehaltung des Vorteils der Zahlung in Raten, wenn der Kreditvertrag infolge einer in Artikel VII.67 erwähnten ungesetzlichen Verkaufsmethode abgeschlossen worden ist.</w:t>
      </w:r>
    </w:p>
    <w:p w14:paraId="27D9C707" w14:textId="77777777" w:rsidR="00881814" w:rsidRPr="004676F5" w:rsidRDefault="00881814" w:rsidP="00881814">
      <w:pPr>
        <w:ind w:firstLine="708"/>
        <w:jc w:val="both"/>
        <w:rPr>
          <w:lang w:val="de-DE"/>
        </w:rPr>
      </w:pPr>
    </w:p>
    <w:p w14:paraId="68B52145" w14:textId="77777777" w:rsidR="003C352D" w:rsidRPr="004676F5" w:rsidRDefault="003C352D" w:rsidP="00881814">
      <w:pPr>
        <w:ind w:firstLine="708"/>
        <w:jc w:val="both"/>
        <w:rPr>
          <w:lang w:val="de-DE"/>
        </w:rPr>
      </w:pPr>
    </w:p>
    <w:p w14:paraId="07CA4A15" w14:textId="02B9998F" w:rsidR="00881814" w:rsidRPr="004676F5" w:rsidRDefault="00BE0A56" w:rsidP="00881814">
      <w:pPr>
        <w:ind w:firstLine="708"/>
        <w:jc w:val="both"/>
        <w:rPr>
          <w:lang w:val="de-DE"/>
        </w:rPr>
      </w:pPr>
      <w:r w:rsidRPr="004676F5">
        <w:rPr>
          <w:b/>
          <w:lang w:val="de-DE"/>
        </w:rPr>
        <w:t>Art. </w:t>
      </w:r>
      <w:r w:rsidR="00881814" w:rsidRPr="004676F5">
        <w:rPr>
          <w:b/>
          <w:lang w:val="de-DE"/>
        </w:rPr>
        <w:t>VII.195</w:t>
      </w:r>
      <w:r w:rsidR="00881814" w:rsidRPr="004676F5">
        <w:rPr>
          <w:lang w:val="de-DE"/>
        </w:rPr>
        <w:t> </w:t>
      </w:r>
      <w:r w:rsidR="005B7A5C" w:rsidRPr="004676F5">
        <w:rPr>
          <w:lang w:val="de-DE"/>
        </w:rPr>
        <w:t>- </w:t>
      </w:r>
      <w:r w:rsidR="00881814" w:rsidRPr="004676F5">
        <w:rPr>
          <w:lang w:val="de-DE"/>
        </w:rPr>
        <w:t xml:space="preserve">Unbeschadet gemeinrechtlicher Sanktionen erklärt der Richter den Vertrag für nichtig oder ermäßigt die Verbindlichkeiten des Verbrauchers höchstens bis auf den Barzahlungspreis oder auf den aufgenommenen Betrag, wenn der Kreditgeber die in Artikel VII.78 § 1 Absatz 2, § 2 Nr. 5 bis 9 und § 3 Nr. 1 bis 7, 11, 13 und 14 erwähnten Bestimmungen nicht einhält. </w:t>
      </w:r>
    </w:p>
    <w:p w14:paraId="7688BE53" w14:textId="77777777" w:rsidR="00881814" w:rsidRPr="004676F5" w:rsidRDefault="00881814" w:rsidP="00881814">
      <w:pPr>
        <w:ind w:firstLine="708"/>
        <w:jc w:val="both"/>
        <w:rPr>
          <w:lang w:val="de-DE"/>
        </w:rPr>
      </w:pPr>
    </w:p>
    <w:p w14:paraId="76FA66EB" w14:textId="77777777" w:rsidR="00881814" w:rsidRPr="004676F5" w:rsidRDefault="00881814" w:rsidP="00881814">
      <w:pPr>
        <w:ind w:firstLine="708"/>
        <w:jc w:val="both"/>
        <w:rPr>
          <w:lang w:val="de-DE"/>
        </w:rPr>
      </w:pPr>
      <w:r w:rsidRPr="004676F5">
        <w:rPr>
          <w:lang w:val="de-DE"/>
        </w:rPr>
        <w:t>Der Richter kann eine gleichartige Maßnahme ergreifen, wenn der Kreditgeber:</w:t>
      </w:r>
    </w:p>
    <w:p w14:paraId="7F4B2D71" w14:textId="77777777" w:rsidR="00881814" w:rsidRPr="004676F5" w:rsidRDefault="00881814" w:rsidP="00881814">
      <w:pPr>
        <w:ind w:firstLine="708"/>
        <w:jc w:val="both"/>
        <w:rPr>
          <w:lang w:val="de-DE"/>
        </w:rPr>
      </w:pPr>
    </w:p>
    <w:p w14:paraId="021B53CC" w14:textId="77777777" w:rsidR="00881814" w:rsidRPr="004676F5" w:rsidRDefault="00881814" w:rsidP="00881814">
      <w:pPr>
        <w:ind w:firstLine="708"/>
        <w:jc w:val="both"/>
        <w:rPr>
          <w:lang w:val="de-DE"/>
        </w:rPr>
      </w:pPr>
      <w:r w:rsidRPr="004676F5">
        <w:rPr>
          <w:lang w:val="de-DE"/>
        </w:rPr>
        <w:t>1. die in Artikel VII.78 § 2 Nr. 1 bis 4 und § 3 Nr. 8 bis 10, 12 und 15 erwähnten Angaben nicht vermerkt,</w:t>
      </w:r>
    </w:p>
    <w:p w14:paraId="6D6A6371" w14:textId="77777777" w:rsidR="00881814" w:rsidRPr="004676F5" w:rsidRDefault="00881814" w:rsidP="00881814">
      <w:pPr>
        <w:ind w:firstLine="708"/>
        <w:jc w:val="both"/>
        <w:rPr>
          <w:lang w:val="de-DE"/>
        </w:rPr>
      </w:pPr>
    </w:p>
    <w:p w14:paraId="2575D7F2" w14:textId="77777777" w:rsidR="00881814" w:rsidRPr="004676F5" w:rsidRDefault="00881814" w:rsidP="00881814">
      <w:pPr>
        <w:ind w:firstLine="708"/>
        <w:jc w:val="both"/>
        <w:rPr>
          <w:lang w:val="de-DE"/>
        </w:rPr>
      </w:pPr>
      <w:r w:rsidRPr="004676F5">
        <w:rPr>
          <w:lang w:val="de-DE"/>
        </w:rPr>
        <w:t>2. den in Artikel VII.77 § 1 Absatz 2 erwähnten Verpflichtungen nicht nachgekommen ist.</w:t>
      </w:r>
    </w:p>
    <w:p w14:paraId="34EA2D11" w14:textId="77777777" w:rsidR="00881814" w:rsidRPr="004676F5" w:rsidRDefault="00881814" w:rsidP="00881814">
      <w:pPr>
        <w:ind w:firstLine="708"/>
        <w:jc w:val="both"/>
        <w:rPr>
          <w:lang w:val="de-DE"/>
        </w:rPr>
      </w:pPr>
    </w:p>
    <w:p w14:paraId="16CFA9F6" w14:textId="77777777" w:rsidR="00881814" w:rsidRPr="004676F5" w:rsidRDefault="00881814" w:rsidP="00881814">
      <w:pPr>
        <w:ind w:firstLine="708"/>
        <w:jc w:val="both"/>
        <w:rPr>
          <w:lang w:val="de-DE"/>
        </w:rPr>
      </w:pPr>
      <w:r w:rsidRPr="004676F5">
        <w:rPr>
          <w:lang w:val="de-DE"/>
        </w:rPr>
        <w:t xml:space="preserve">Der Richter ermäßigt die Verbindlichkeiten desjenigen, der eine Sicherheit geleistet hat, höchstens bis auf den Barzahlungspreis oder den aufgenommenen Betrag, wenn der Kreditgeber die Bestimmungen </w:t>
      </w:r>
      <w:r w:rsidR="00FF542D" w:rsidRPr="004676F5">
        <w:rPr>
          <w:lang w:val="de-DE"/>
        </w:rPr>
        <w:t>[</w:t>
      </w:r>
      <w:r w:rsidRPr="004676F5">
        <w:rPr>
          <w:lang w:val="de-DE"/>
        </w:rPr>
        <w:t>des Artikels VII.1</w:t>
      </w:r>
      <w:r w:rsidR="00FF542D" w:rsidRPr="004676F5">
        <w:rPr>
          <w:lang w:val="de-DE"/>
        </w:rPr>
        <w:t>10]</w:t>
      </w:r>
      <w:r w:rsidRPr="004676F5">
        <w:rPr>
          <w:lang w:val="de-DE"/>
        </w:rPr>
        <w:t xml:space="preserve"> nicht einhält. </w:t>
      </w:r>
    </w:p>
    <w:p w14:paraId="37B81277" w14:textId="77777777" w:rsidR="00881814" w:rsidRPr="004676F5" w:rsidRDefault="00881814" w:rsidP="00881814">
      <w:pPr>
        <w:ind w:firstLine="708"/>
        <w:jc w:val="both"/>
        <w:rPr>
          <w:lang w:val="de-DE"/>
        </w:rPr>
      </w:pPr>
    </w:p>
    <w:p w14:paraId="2BA93FBD" w14:textId="77777777" w:rsidR="00881814" w:rsidRPr="004676F5" w:rsidRDefault="00881814" w:rsidP="00881814">
      <w:pPr>
        <w:ind w:firstLine="708"/>
        <w:jc w:val="both"/>
        <w:rPr>
          <w:lang w:val="de-DE"/>
        </w:rPr>
      </w:pPr>
      <w:r w:rsidRPr="004676F5">
        <w:rPr>
          <w:lang w:val="de-DE"/>
        </w:rPr>
        <w:t>Bei Ermäßigung der Verbindlichkeiten des Verbrauchers behält dieser den Vorteil der Zahlung in Raten.</w:t>
      </w:r>
    </w:p>
    <w:p w14:paraId="16FF0DB4" w14:textId="77777777" w:rsidR="00FF542D" w:rsidRPr="004676F5" w:rsidRDefault="00FF542D" w:rsidP="00881814">
      <w:pPr>
        <w:ind w:firstLine="708"/>
        <w:jc w:val="both"/>
        <w:rPr>
          <w:lang w:val="de-DE"/>
        </w:rPr>
      </w:pPr>
    </w:p>
    <w:p w14:paraId="51BD7646" w14:textId="4E2F7629" w:rsidR="00FF542D" w:rsidRPr="004676F5" w:rsidRDefault="00FF542D" w:rsidP="00FF542D">
      <w:pPr>
        <w:jc w:val="both"/>
        <w:rPr>
          <w:i/>
          <w:lang w:val="de-DE"/>
        </w:rPr>
      </w:pPr>
      <w:r w:rsidRPr="004676F5">
        <w:rPr>
          <w:i/>
          <w:lang w:val="de-DE"/>
        </w:rPr>
        <w:t>[</w:t>
      </w:r>
      <w:r w:rsidR="00BE0A56" w:rsidRPr="004676F5">
        <w:rPr>
          <w:i/>
          <w:lang w:val="de-DE"/>
        </w:rPr>
        <w:t>Art. </w:t>
      </w:r>
      <w:r w:rsidRPr="004676F5">
        <w:rPr>
          <w:i/>
          <w:lang w:val="de-DE"/>
        </w:rPr>
        <w:t xml:space="preserve">VII.195 Abs. 3 abgeändert durch </w:t>
      </w:r>
      <w:r w:rsidR="00BE0A56" w:rsidRPr="004676F5">
        <w:rPr>
          <w:i/>
          <w:lang w:val="de-DE"/>
        </w:rPr>
        <w:t>Art. </w:t>
      </w:r>
      <w:r w:rsidRPr="004676F5">
        <w:rPr>
          <w:i/>
          <w:lang w:val="de-DE"/>
        </w:rPr>
        <w:t>39</w:t>
      </w:r>
      <w:r w:rsidRPr="004676F5">
        <w:rPr>
          <w:i/>
          <w:iCs/>
          <w:lang w:val="de-DE"/>
        </w:rPr>
        <w:t xml:space="preserve"> </w:t>
      </w:r>
      <w:r w:rsidRPr="004676F5">
        <w:rPr>
          <w:i/>
          <w:lang w:val="de-DE"/>
        </w:rPr>
        <w:t>des G. vom 26. Oktober 2015 (B.S. vom 30. Oktober 2015)]</w:t>
      </w:r>
    </w:p>
    <w:p w14:paraId="6C6F4AFF" w14:textId="77777777" w:rsidR="00881814" w:rsidRPr="004676F5" w:rsidRDefault="00881814" w:rsidP="00881814">
      <w:pPr>
        <w:ind w:firstLine="708"/>
        <w:jc w:val="both"/>
        <w:rPr>
          <w:lang w:val="de-DE"/>
        </w:rPr>
      </w:pPr>
    </w:p>
    <w:p w14:paraId="049D043D" w14:textId="77777777" w:rsidR="003C352D" w:rsidRPr="004676F5" w:rsidRDefault="003C352D" w:rsidP="00881814">
      <w:pPr>
        <w:ind w:firstLine="708"/>
        <w:jc w:val="both"/>
        <w:rPr>
          <w:lang w:val="de-DE"/>
        </w:rPr>
      </w:pPr>
    </w:p>
    <w:p w14:paraId="16B84558" w14:textId="5A19CE1F" w:rsidR="00881814" w:rsidRPr="004676F5" w:rsidRDefault="00BE0A56" w:rsidP="00881814">
      <w:pPr>
        <w:ind w:firstLine="708"/>
        <w:jc w:val="both"/>
        <w:rPr>
          <w:lang w:val="de-DE"/>
        </w:rPr>
      </w:pPr>
      <w:r w:rsidRPr="004676F5">
        <w:rPr>
          <w:b/>
          <w:lang w:val="de-DE"/>
        </w:rPr>
        <w:t>Art. </w:t>
      </w:r>
      <w:r w:rsidR="00881814" w:rsidRPr="004676F5">
        <w:rPr>
          <w:b/>
          <w:lang w:val="de-DE"/>
        </w:rPr>
        <w:t>VII.196</w:t>
      </w:r>
      <w:r w:rsidR="00881814" w:rsidRPr="004676F5">
        <w:rPr>
          <w:lang w:val="de-DE"/>
        </w:rPr>
        <w:t> </w:t>
      </w:r>
      <w:r w:rsidR="005B7A5C" w:rsidRPr="004676F5">
        <w:rPr>
          <w:lang w:val="de-DE"/>
        </w:rPr>
        <w:t>- </w:t>
      </w:r>
      <w:r w:rsidR="00881814" w:rsidRPr="004676F5">
        <w:rPr>
          <w:lang w:val="de-DE"/>
        </w:rPr>
        <w:t>Die Verbindlichkeiten des Verbrauchers sind von Rechts wegen auf den Barzahlungspreis der Ware beziehungsweise Dienstleistung oder auf den aufgenommenen Betrag beschränkt, wenn:</w:t>
      </w:r>
    </w:p>
    <w:p w14:paraId="364908C0" w14:textId="77777777" w:rsidR="00881814" w:rsidRPr="004676F5" w:rsidRDefault="00881814" w:rsidP="00881814">
      <w:pPr>
        <w:ind w:firstLine="708"/>
        <w:jc w:val="both"/>
        <w:rPr>
          <w:lang w:val="de-DE"/>
        </w:rPr>
      </w:pPr>
    </w:p>
    <w:p w14:paraId="2AE1880A" w14:textId="77777777" w:rsidR="00881814" w:rsidRPr="004676F5" w:rsidRDefault="00881814" w:rsidP="00881814">
      <w:pPr>
        <w:ind w:firstLine="708"/>
        <w:jc w:val="both"/>
        <w:rPr>
          <w:lang w:val="de-DE"/>
        </w:rPr>
      </w:pPr>
      <w:r w:rsidRPr="004676F5">
        <w:rPr>
          <w:lang w:val="de-DE"/>
        </w:rPr>
        <w:t>1. der Kreditgeber einen Kreditvertrag zu einem höheren Satz als dem vom König in Anwendung von Artikel VII.94 festgelegten Satz gewährt hat,</w:t>
      </w:r>
    </w:p>
    <w:p w14:paraId="292CBCC1" w14:textId="77777777" w:rsidR="00881814" w:rsidRPr="004676F5" w:rsidRDefault="00881814" w:rsidP="00881814">
      <w:pPr>
        <w:ind w:firstLine="708"/>
        <w:jc w:val="both"/>
        <w:rPr>
          <w:lang w:val="de-DE"/>
        </w:rPr>
      </w:pPr>
    </w:p>
    <w:p w14:paraId="3451F8C7" w14:textId="77777777" w:rsidR="00881814" w:rsidRPr="004676F5" w:rsidRDefault="00881814" w:rsidP="00881814">
      <w:pPr>
        <w:ind w:firstLine="708"/>
        <w:jc w:val="both"/>
        <w:rPr>
          <w:lang w:val="de-DE"/>
        </w:rPr>
      </w:pPr>
      <w:r w:rsidRPr="004676F5">
        <w:rPr>
          <w:lang w:val="de-DE"/>
        </w:rPr>
        <w:t xml:space="preserve">2. der Kreditgeber die in Artikel VII.95 erwähnten Bestimmungen nicht eingehalten oder gegen sie verstoßen hat, </w:t>
      </w:r>
    </w:p>
    <w:p w14:paraId="47C1BAC4" w14:textId="77777777" w:rsidR="00881814" w:rsidRPr="004676F5" w:rsidRDefault="00881814" w:rsidP="00881814">
      <w:pPr>
        <w:ind w:firstLine="708"/>
        <w:jc w:val="both"/>
        <w:rPr>
          <w:lang w:val="de-DE"/>
        </w:rPr>
      </w:pPr>
    </w:p>
    <w:p w14:paraId="6E26CE30" w14:textId="77777777" w:rsidR="00881814" w:rsidRPr="004676F5" w:rsidRDefault="00881814" w:rsidP="00881814">
      <w:pPr>
        <w:ind w:firstLine="708"/>
        <w:jc w:val="both"/>
        <w:rPr>
          <w:lang w:val="de-DE"/>
        </w:rPr>
      </w:pPr>
      <w:r w:rsidRPr="004676F5">
        <w:rPr>
          <w:lang w:val="de-DE"/>
        </w:rPr>
        <w:t xml:space="preserve">3. die Vertragsabtretung oder die Abtretung beziehungsweise der Übergang der Rechte aus dem Kreditvertrag unter Missachtung der Bedingungen von Artikel VII.102 erfolgt ist, </w:t>
      </w:r>
    </w:p>
    <w:p w14:paraId="61C0F13C" w14:textId="77777777" w:rsidR="00881814" w:rsidRPr="004676F5" w:rsidRDefault="00881814" w:rsidP="00881814">
      <w:pPr>
        <w:ind w:firstLine="708"/>
        <w:jc w:val="both"/>
        <w:rPr>
          <w:lang w:val="de-DE"/>
        </w:rPr>
      </w:pPr>
    </w:p>
    <w:p w14:paraId="0B934543" w14:textId="77777777" w:rsidR="00AB0E03" w:rsidRPr="004676F5" w:rsidRDefault="00AB0E03">
      <w:pPr>
        <w:rPr>
          <w:lang w:val="de-DE"/>
        </w:rPr>
      </w:pPr>
      <w:r w:rsidRPr="004676F5">
        <w:rPr>
          <w:lang w:val="de-DE"/>
        </w:rPr>
        <w:br w:type="page"/>
      </w:r>
    </w:p>
    <w:p w14:paraId="3425F355" w14:textId="18F1B401" w:rsidR="00881814" w:rsidRPr="004676F5" w:rsidRDefault="00881814" w:rsidP="00881814">
      <w:pPr>
        <w:ind w:firstLine="708"/>
        <w:jc w:val="both"/>
        <w:rPr>
          <w:lang w:val="de-DE"/>
        </w:rPr>
      </w:pPr>
      <w:r w:rsidRPr="004676F5">
        <w:rPr>
          <w:lang w:val="de-DE"/>
        </w:rPr>
        <w:lastRenderedPageBreak/>
        <w:t>4. ein Kreditvertrag geschlossen worden ist:</w:t>
      </w:r>
    </w:p>
    <w:p w14:paraId="2EF4D52D" w14:textId="77777777" w:rsidR="00881814" w:rsidRPr="004676F5" w:rsidRDefault="00881814" w:rsidP="00881814">
      <w:pPr>
        <w:ind w:firstLine="708"/>
        <w:jc w:val="both"/>
        <w:rPr>
          <w:lang w:val="de-DE"/>
        </w:rPr>
      </w:pPr>
    </w:p>
    <w:p w14:paraId="01A2FC43" w14:textId="08AF8053" w:rsidR="00881814" w:rsidRPr="004676F5" w:rsidRDefault="00881814" w:rsidP="00881814">
      <w:pPr>
        <w:ind w:firstLine="708"/>
        <w:jc w:val="both"/>
        <w:rPr>
          <w:lang w:val="de-DE"/>
        </w:rPr>
      </w:pPr>
      <w:r w:rsidRPr="004676F5">
        <w:rPr>
          <w:i/>
          <w:lang w:val="de-DE"/>
        </w:rPr>
        <w:t>a)</w:t>
      </w:r>
      <w:r w:rsidRPr="004676F5">
        <w:rPr>
          <w:lang w:val="de-DE"/>
        </w:rPr>
        <w:t> von einem Kreditgeber, der nicht gemäß den zum Zeitpunkt der Gewährung des Kredits anwendbaren Gesetzes</w:t>
      </w:r>
      <w:r w:rsidR="005B7A5C" w:rsidRPr="004676F5">
        <w:rPr>
          <w:lang w:val="de-DE"/>
        </w:rPr>
        <w:t>- </w:t>
      </w:r>
      <w:r w:rsidRPr="004676F5">
        <w:rPr>
          <w:lang w:val="de-DE"/>
        </w:rPr>
        <w:t>oder Verordnungsbestimmungen zugelassen oder registriert ist,</w:t>
      </w:r>
    </w:p>
    <w:p w14:paraId="64B452CE" w14:textId="77777777" w:rsidR="00881814" w:rsidRPr="004676F5" w:rsidRDefault="00881814" w:rsidP="00881814">
      <w:pPr>
        <w:ind w:firstLine="708"/>
        <w:jc w:val="both"/>
        <w:rPr>
          <w:lang w:val="de-DE"/>
        </w:rPr>
      </w:pPr>
    </w:p>
    <w:p w14:paraId="74D99914" w14:textId="77777777" w:rsidR="00881814" w:rsidRPr="004676F5" w:rsidRDefault="00881814" w:rsidP="00881814">
      <w:pPr>
        <w:ind w:firstLine="708"/>
        <w:jc w:val="both"/>
        <w:rPr>
          <w:lang w:val="de-DE"/>
        </w:rPr>
      </w:pPr>
      <w:r w:rsidRPr="004676F5">
        <w:rPr>
          <w:i/>
          <w:lang w:val="de-DE"/>
        </w:rPr>
        <w:t>b)</w:t>
      </w:r>
      <w:r w:rsidRPr="004676F5">
        <w:rPr>
          <w:lang w:val="de-DE"/>
        </w:rPr>
        <w:t> von einem Kreditgeber, der zuvor auf diese Registrierung beziehungsweise Zulassung verzichtet hat,</w:t>
      </w:r>
    </w:p>
    <w:p w14:paraId="5AD27D50" w14:textId="77777777" w:rsidR="00881814" w:rsidRPr="004676F5" w:rsidRDefault="00881814" w:rsidP="00881814">
      <w:pPr>
        <w:ind w:firstLine="708"/>
        <w:jc w:val="both"/>
        <w:rPr>
          <w:lang w:val="de-DE"/>
        </w:rPr>
      </w:pPr>
    </w:p>
    <w:p w14:paraId="581E5960" w14:textId="130BDA6C" w:rsidR="00881814" w:rsidRPr="004676F5" w:rsidRDefault="00881814" w:rsidP="00881814">
      <w:pPr>
        <w:ind w:firstLine="708"/>
        <w:jc w:val="both"/>
        <w:rPr>
          <w:lang w:val="de-DE"/>
        </w:rPr>
      </w:pPr>
      <w:r w:rsidRPr="004676F5">
        <w:rPr>
          <w:i/>
          <w:lang w:val="de-DE"/>
        </w:rPr>
        <w:t>c) </w:t>
      </w:r>
      <w:r w:rsidRPr="004676F5">
        <w:rPr>
          <w:lang w:val="de-DE"/>
        </w:rPr>
        <w:t>über einen Kreditvermittler, der nicht gemäß den zum Zeitpunkt der Gewährung des Kredits anwendbaren Gesetzes</w:t>
      </w:r>
      <w:r w:rsidR="005B7A5C" w:rsidRPr="004676F5">
        <w:rPr>
          <w:lang w:val="de-DE"/>
        </w:rPr>
        <w:t>- </w:t>
      </w:r>
      <w:r w:rsidRPr="004676F5">
        <w:rPr>
          <w:lang w:val="de-DE"/>
        </w:rPr>
        <w:t>oder Verordnungsbestimmungen eingetragen ist,</w:t>
      </w:r>
    </w:p>
    <w:p w14:paraId="1F57A69F" w14:textId="77777777" w:rsidR="00881814" w:rsidRPr="004676F5" w:rsidRDefault="00881814" w:rsidP="00881814">
      <w:pPr>
        <w:ind w:firstLine="708"/>
        <w:jc w:val="both"/>
        <w:rPr>
          <w:lang w:val="de-DE"/>
        </w:rPr>
      </w:pPr>
    </w:p>
    <w:p w14:paraId="009FE713" w14:textId="77777777" w:rsidR="00881814" w:rsidRPr="004676F5" w:rsidRDefault="00881814" w:rsidP="00881814">
      <w:pPr>
        <w:ind w:firstLine="708"/>
        <w:jc w:val="both"/>
        <w:rPr>
          <w:lang w:val="de-DE"/>
        </w:rPr>
      </w:pPr>
      <w:r w:rsidRPr="004676F5">
        <w:rPr>
          <w:i/>
          <w:lang w:val="de-DE"/>
        </w:rPr>
        <w:t>d)</w:t>
      </w:r>
      <w:r w:rsidRPr="004676F5">
        <w:rPr>
          <w:lang w:val="de-DE"/>
        </w:rPr>
        <w:t> von einem Kreditgeber, dessen Zulassung oder Registrierung vorher gestrichen, entzogen oder ausgesetzt worden ist oder der gemäß Artikel XV.67/3 einem Verbot unterliegt,</w:t>
      </w:r>
    </w:p>
    <w:p w14:paraId="1170780E" w14:textId="77777777" w:rsidR="00881814" w:rsidRPr="004676F5" w:rsidRDefault="00881814" w:rsidP="00881814">
      <w:pPr>
        <w:ind w:firstLine="708"/>
        <w:jc w:val="both"/>
        <w:rPr>
          <w:lang w:val="de-DE"/>
        </w:rPr>
      </w:pPr>
    </w:p>
    <w:p w14:paraId="22BA74C0" w14:textId="77777777" w:rsidR="00881814" w:rsidRPr="004676F5" w:rsidRDefault="00881814" w:rsidP="00881814">
      <w:pPr>
        <w:ind w:firstLine="708"/>
        <w:jc w:val="both"/>
        <w:rPr>
          <w:lang w:val="de-DE"/>
        </w:rPr>
      </w:pPr>
      <w:r w:rsidRPr="004676F5">
        <w:rPr>
          <w:i/>
          <w:lang w:val="de-DE"/>
        </w:rPr>
        <w:t>e)</w:t>
      </w:r>
      <w:r w:rsidRPr="004676F5">
        <w:rPr>
          <w:lang w:val="de-DE"/>
        </w:rPr>
        <w:t> über einen Kreditvermittler, dessen Eintragung vorher gestrichen oder ausgesetzt worden ist oder der gemäß Artikel XV.68 einem Verbot unterliegt,</w:t>
      </w:r>
    </w:p>
    <w:p w14:paraId="661DA98D" w14:textId="77777777" w:rsidR="00881814" w:rsidRPr="004676F5" w:rsidRDefault="00881814" w:rsidP="00881814">
      <w:pPr>
        <w:ind w:firstLine="708"/>
        <w:jc w:val="both"/>
        <w:rPr>
          <w:lang w:val="de-DE"/>
        </w:rPr>
      </w:pPr>
    </w:p>
    <w:p w14:paraId="1AFE6678" w14:textId="77777777" w:rsidR="00881814" w:rsidRPr="004676F5" w:rsidRDefault="00881814" w:rsidP="00881814">
      <w:pPr>
        <w:ind w:firstLine="708"/>
        <w:jc w:val="both"/>
        <w:rPr>
          <w:lang w:val="de-DE"/>
        </w:rPr>
      </w:pPr>
      <w:r w:rsidRPr="004676F5">
        <w:rPr>
          <w:lang w:val="de-DE"/>
        </w:rPr>
        <w:t>5. der Kreditgeber die in Artikel VII.87 erwähnten Bestimmungen nicht eingehalten oder gegen sie verstoßen hat.</w:t>
      </w:r>
    </w:p>
    <w:p w14:paraId="2CADDC77" w14:textId="77777777" w:rsidR="00881814" w:rsidRPr="004676F5" w:rsidRDefault="00881814" w:rsidP="00881814">
      <w:pPr>
        <w:ind w:firstLine="708"/>
        <w:jc w:val="both"/>
        <w:rPr>
          <w:lang w:val="de-DE"/>
        </w:rPr>
      </w:pPr>
    </w:p>
    <w:p w14:paraId="24EF9706" w14:textId="77777777" w:rsidR="00881814" w:rsidRPr="004676F5" w:rsidRDefault="00881814" w:rsidP="00881814">
      <w:pPr>
        <w:ind w:firstLine="708"/>
        <w:jc w:val="both"/>
        <w:rPr>
          <w:lang w:val="de-DE"/>
        </w:rPr>
      </w:pPr>
      <w:r w:rsidRPr="004676F5">
        <w:rPr>
          <w:lang w:val="de-DE"/>
        </w:rPr>
        <w:t xml:space="preserve">Absatz 1 ist nicht anwendbar, wenn der betreffende Kreditgeber ein Kreditinstitut, ein E-Geld-Institut oder ein Zahlungsinstitut, das dem Recht eines anderen Mitgliedstaats des Europäischen Wirtschaftsraums unterliegt, beziehungsweise ein in </w:t>
      </w:r>
      <w:r w:rsidR="00FF542D" w:rsidRPr="004676F5">
        <w:rPr>
          <w:lang w:val="de-DE"/>
        </w:rPr>
        <w:t>[Artikel 332 des Gesetzes vom 25. April 2014]</w:t>
      </w:r>
      <w:r w:rsidRPr="004676F5">
        <w:rPr>
          <w:lang w:val="de-DE"/>
        </w:rPr>
        <w:t xml:space="preserve"> erwähntes Finanzinstitut, das aufgrund seines nationalen Rechts in seinem Herkunftsmitgliedstaat Verbraucherkreditverträge gewähren darf, ist, das seine Tätigkeiten in Belgien über Errichtung einer Zweigstelle oder im Rahmen des freien Dienstleistungsverkehrs ausübt, ohne dass die zu diesem Zweck durch die europäischen Richtlinien vorgeschriebenen Formalitäten erfüllt worden sind.</w:t>
      </w:r>
    </w:p>
    <w:p w14:paraId="16819A33" w14:textId="77777777" w:rsidR="00881814" w:rsidRPr="004676F5" w:rsidRDefault="00881814" w:rsidP="00881814">
      <w:pPr>
        <w:ind w:firstLine="708"/>
        <w:jc w:val="both"/>
        <w:rPr>
          <w:lang w:val="de-DE"/>
        </w:rPr>
      </w:pPr>
    </w:p>
    <w:p w14:paraId="050541EA" w14:textId="77777777" w:rsidR="00881814" w:rsidRPr="004676F5" w:rsidRDefault="00881814" w:rsidP="00881814">
      <w:pPr>
        <w:ind w:firstLine="708"/>
        <w:jc w:val="both"/>
        <w:rPr>
          <w:lang w:val="de-DE"/>
        </w:rPr>
      </w:pPr>
      <w:r w:rsidRPr="004676F5">
        <w:rPr>
          <w:lang w:val="de-DE"/>
        </w:rPr>
        <w:t>In diesen Fällen behält der Verbraucher den Vorteil der Zahlung in Raten.</w:t>
      </w:r>
    </w:p>
    <w:p w14:paraId="35BE6801" w14:textId="77777777" w:rsidR="00FF542D" w:rsidRPr="004676F5" w:rsidRDefault="00FF542D" w:rsidP="00881814">
      <w:pPr>
        <w:ind w:firstLine="708"/>
        <w:jc w:val="both"/>
        <w:rPr>
          <w:lang w:val="de-DE"/>
        </w:rPr>
      </w:pPr>
    </w:p>
    <w:p w14:paraId="64A8B877" w14:textId="46562CC4" w:rsidR="00FF542D" w:rsidRPr="004676F5" w:rsidRDefault="00FF542D" w:rsidP="00FF542D">
      <w:pPr>
        <w:jc w:val="both"/>
        <w:rPr>
          <w:i/>
          <w:lang w:val="de-DE"/>
        </w:rPr>
      </w:pPr>
      <w:r w:rsidRPr="004676F5">
        <w:rPr>
          <w:i/>
          <w:lang w:val="de-DE"/>
        </w:rPr>
        <w:t>[</w:t>
      </w:r>
      <w:r w:rsidR="00BE0A56" w:rsidRPr="004676F5">
        <w:rPr>
          <w:i/>
          <w:lang w:val="de-DE"/>
        </w:rPr>
        <w:t>Art. </w:t>
      </w:r>
      <w:r w:rsidRPr="004676F5">
        <w:rPr>
          <w:i/>
          <w:lang w:val="de-DE"/>
        </w:rPr>
        <w:t xml:space="preserve">VII.196 Abs. 2 abgeändert durch </w:t>
      </w:r>
      <w:r w:rsidR="00BE0A56" w:rsidRPr="004676F5">
        <w:rPr>
          <w:i/>
          <w:lang w:val="de-DE"/>
        </w:rPr>
        <w:t>Art. </w:t>
      </w:r>
      <w:r w:rsidRPr="004676F5">
        <w:rPr>
          <w:i/>
          <w:lang w:val="de-DE"/>
        </w:rPr>
        <w:t>40</w:t>
      </w:r>
      <w:r w:rsidRPr="004676F5">
        <w:rPr>
          <w:i/>
          <w:iCs/>
          <w:lang w:val="de-DE"/>
        </w:rPr>
        <w:t xml:space="preserve"> </w:t>
      </w:r>
      <w:r w:rsidRPr="004676F5">
        <w:rPr>
          <w:i/>
          <w:lang w:val="de-DE"/>
        </w:rPr>
        <w:t>des G. vom 26. Oktober 2015 (B.S. vom 30. Oktober 2015)]</w:t>
      </w:r>
    </w:p>
    <w:p w14:paraId="37B99FB9" w14:textId="77777777" w:rsidR="00881814" w:rsidRPr="004676F5" w:rsidRDefault="00881814" w:rsidP="00881814">
      <w:pPr>
        <w:ind w:firstLine="708"/>
        <w:jc w:val="both"/>
        <w:rPr>
          <w:lang w:val="de-DE"/>
        </w:rPr>
      </w:pPr>
    </w:p>
    <w:p w14:paraId="673144A9" w14:textId="77777777" w:rsidR="003C352D" w:rsidRPr="004676F5" w:rsidRDefault="003C352D" w:rsidP="00881814">
      <w:pPr>
        <w:ind w:firstLine="708"/>
        <w:jc w:val="both"/>
        <w:rPr>
          <w:lang w:val="de-DE"/>
        </w:rPr>
      </w:pPr>
    </w:p>
    <w:p w14:paraId="6823FA08" w14:textId="35D87E29" w:rsidR="00881814" w:rsidRPr="004676F5" w:rsidRDefault="00BE0A56" w:rsidP="00881814">
      <w:pPr>
        <w:ind w:firstLine="708"/>
        <w:jc w:val="both"/>
        <w:rPr>
          <w:lang w:val="de-DE"/>
        </w:rPr>
      </w:pPr>
      <w:r w:rsidRPr="004676F5">
        <w:rPr>
          <w:b/>
          <w:lang w:val="de-DE"/>
        </w:rPr>
        <w:t>Art. </w:t>
      </w:r>
      <w:r w:rsidR="00881814" w:rsidRPr="004676F5">
        <w:rPr>
          <w:b/>
          <w:lang w:val="de-DE"/>
        </w:rPr>
        <w:t>VII.197</w:t>
      </w:r>
      <w:r w:rsidR="00881814" w:rsidRPr="004676F5">
        <w:rPr>
          <w:lang w:val="de-DE"/>
        </w:rPr>
        <w:t> </w:t>
      </w:r>
      <w:r w:rsidR="005B7A5C" w:rsidRPr="004676F5">
        <w:rPr>
          <w:lang w:val="de-DE"/>
        </w:rPr>
        <w:t>- </w:t>
      </w:r>
      <w:r w:rsidR="00881814" w:rsidRPr="004676F5">
        <w:rPr>
          <w:lang w:val="de-DE"/>
        </w:rPr>
        <w:t>Der Verbraucher kann die Erstattung der von ihm gezahlten Beträge zuzüglich gesetzlicher Zinsen fordern, wenn eine Zahlung trotz des in den Artikeln VII.79, VII.90</w:t>
      </w:r>
      <w:r w:rsidR="00CE7C89">
        <w:rPr>
          <w:lang w:val="de-DE"/>
        </w:rPr>
        <w:t xml:space="preserve">[, </w:t>
      </w:r>
      <w:r w:rsidR="00CE7C89" w:rsidRPr="00FE0D0B">
        <w:rPr>
          <w:lang w:val="de-DE"/>
        </w:rPr>
        <w:t>VII.105 § 1 Absatz 2</w:t>
      </w:r>
      <w:r w:rsidR="00CE7C89">
        <w:rPr>
          <w:lang w:val="de-DE"/>
        </w:rPr>
        <w:t>]</w:t>
      </w:r>
      <w:r w:rsidR="00881814" w:rsidRPr="004676F5">
        <w:rPr>
          <w:lang w:val="de-DE"/>
        </w:rPr>
        <w:t xml:space="preserve"> und VII.114 § 1 erwähnten Verbots oder im Rahmen eines durch Artikel VII.115 verbotenen Schuldenvermittlungsgeschäfts geleistet worden ist.</w:t>
      </w:r>
    </w:p>
    <w:p w14:paraId="473C01A9" w14:textId="77777777" w:rsidR="00881814" w:rsidRDefault="00881814" w:rsidP="00CE7C89">
      <w:pPr>
        <w:jc w:val="both"/>
        <w:rPr>
          <w:lang w:val="de-DE"/>
        </w:rPr>
      </w:pPr>
    </w:p>
    <w:p w14:paraId="5F824074" w14:textId="47FE4FF9" w:rsidR="00CE7C89" w:rsidRDefault="00CE7C89" w:rsidP="00CE7C89">
      <w:pPr>
        <w:jc w:val="both"/>
        <w:rPr>
          <w:i/>
          <w:iCs/>
          <w:lang w:val="de-DE"/>
        </w:rPr>
      </w:pPr>
      <w:r>
        <w:rPr>
          <w:i/>
          <w:iCs/>
          <w:lang w:val="de-DE"/>
        </w:rPr>
        <w:t>[Art. VII.197 abgeändert durch Art. 50</w:t>
      </w:r>
      <w:r w:rsidRPr="00CE7C89">
        <w:rPr>
          <w:i/>
          <w:iCs/>
          <w:lang w:val="de-DE"/>
        </w:rPr>
        <w:t xml:space="preserve"> des G. vom 20. Dezember 2024 (B.S. vom 14. Januar 2025)</w:t>
      </w:r>
      <w:r>
        <w:rPr>
          <w:i/>
          <w:iCs/>
          <w:lang w:val="de-DE"/>
        </w:rPr>
        <w:t>]</w:t>
      </w:r>
    </w:p>
    <w:p w14:paraId="26478163" w14:textId="77777777" w:rsidR="00CE7C89" w:rsidRPr="00CE7C89" w:rsidRDefault="00CE7C89" w:rsidP="00CE7C89">
      <w:pPr>
        <w:jc w:val="both"/>
        <w:rPr>
          <w:i/>
          <w:iCs/>
          <w:lang w:val="de-DE"/>
        </w:rPr>
      </w:pPr>
    </w:p>
    <w:p w14:paraId="64189ACA" w14:textId="77777777" w:rsidR="003C352D" w:rsidRPr="004676F5" w:rsidRDefault="003C352D" w:rsidP="00881814">
      <w:pPr>
        <w:ind w:firstLine="708"/>
        <w:jc w:val="both"/>
        <w:rPr>
          <w:lang w:val="de-DE"/>
        </w:rPr>
      </w:pPr>
    </w:p>
    <w:p w14:paraId="1EF734E4" w14:textId="30E77864" w:rsidR="00881814" w:rsidRPr="004676F5" w:rsidRDefault="00BE0A56" w:rsidP="00881814">
      <w:pPr>
        <w:ind w:firstLine="708"/>
        <w:jc w:val="both"/>
        <w:rPr>
          <w:lang w:val="de-DE"/>
        </w:rPr>
      </w:pPr>
      <w:r w:rsidRPr="004676F5">
        <w:rPr>
          <w:b/>
          <w:lang w:val="de-DE"/>
        </w:rPr>
        <w:t>Art. </w:t>
      </w:r>
      <w:r w:rsidR="00881814" w:rsidRPr="004676F5">
        <w:rPr>
          <w:b/>
          <w:lang w:val="de-DE"/>
        </w:rPr>
        <w:t>VII.198</w:t>
      </w:r>
      <w:r w:rsidR="00881814" w:rsidRPr="004676F5">
        <w:rPr>
          <w:lang w:val="de-DE"/>
        </w:rPr>
        <w:t> </w:t>
      </w:r>
      <w:r w:rsidR="005B7A5C" w:rsidRPr="004676F5">
        <w:rPr>
          <w:lang w:val="de-DE"/>
        </w:rPr>
        <w:t>- </w:t>
      </w:r>
      <w:r w:rsidR="00881814" w:rsidRPr="004676F5">
        <w:rPr>
          <w:lang w:val="de-DE"/>
        </w:rPr>
        <w:t xml:space="preserve">Wenn ein Kreditgeber oder Kreditvermittler trotz des in Artikel VII.90 § 1 Absatz 1 erwähnten Verbots eine Zahlung leistet oder eine Ware liefert beziehungsweise eine Dienstleistung erbringt, muss der Verbraucher die geleistete Zahlung nicht erstatten, die gelieferte Dienstleistung oder die gelieferte Ware nicht bezahlen und letztere nicht zurückgeben. </w:t>
      </w:r>
    </w:p>
    <w:p w14:paraId="0CB4CBD3" w14:textId="77777777" w:rsidR="00881814" w:rsidRPr="004676F5" w:rsidRDefault="00881814" w:rsidP="00881814">
      <w:pPr>
        <w:ind w:firstLine="708"/>
        <w:jc w:val="both"/>
        <w:rPr>
          <w:lang w:val="de-DE"/>
        </w:rPr>
      </w:pPr>
    </w:p>
    <w:p w14:paraId="0EFC0B96" w14:textId="77777777" w:rsidR="003C352D" w:rsidRPr="004676F5" w:rsidRDefault="003C352D" w:rsidP="00881814">
      <w:pPr>
        <w:ind w:firstLine="708"/>
        <w:jc w:val="both"/>
        <w:rPr>
          <w:lang w:val="de-DE"/>
        </w:rPr>
      </w:pPr>
    </w:p>
    <w:p w14:paraId="76553A3A" w14:textId="65D949D8" w:rsidR="00881814" w:rsidRPr="004676F5" w:rsidRDefault="00BE0A56" w:rsidP="00881814">
      <w:pPr>
        <w:ind w:firstLine="708"/>
        <w:jc w:val="both"/>
        <w:rPr>
          <w:lang w:val="de-DE"/>
        </w:rPr>
      </w:pPr>
      <w:r w:rsidRPr="004676F5">
        <w:rPr>
          <w:b/>
          <w:lang w:val="de-DE"/>
        </w:rPr>
        <w:lastRenderedPageBreak/>
        <w:t>Art. </w:t>
      </w:r>
      <w:r w:rsidR="00881814" w:rsidRPr="004676F5">
        <w:rPr>
          <w:b/>
          <w:lang w:val="de-DE"/>
        </w:rPr>
        <w:t>VII.199</w:t>
      </w:r>
      <w:r w:rsidR="00881814" w:rsidRPr="004676F5">
        <w:rPr>
          <w:lang w:val="de-DE"/>
        </w:rPr>
        <w:t> </w:t>
      </w:r>
      <w:r w:rsidR="005B7A5C" w:rsidRPr="004676F5">
        <w:rPr>
          <w:lang w:val="de-DE"/>
        </w:rPr>
        <w:t>- </w:t>
      </w:r>
      <w:r w:rsidR="00881814" w:rsidRPr="004676F5">
        <w:rPr>
          <w:lang w:val="de-DE"/>
        </w:rPr>
        <w:t>Wenn in vorliegendem Buch nicht vorgesehene Strafen oder Schadens</w:t>
      </w:r>
      <w:r w:rsidR="00881814" w:rsidRPr="004676F5">
        <w:rPr>
          <w:lang w:val="de-DE"/>
        </w:rPr>
        <w:softHyphen/>
        <w:t>ersatz</w:t>
      </w:r>
      <w:r w:rsidR="00881814" w:rsidRPr="004676F5">
        <w:rPr>
          <w:lang w:val="de-DE"/>
        </w:rPr>
        <w:softHyphen/>
      </w:r>
      <w:r w:rsidR="00881814" w:rsidRPr="004676F5">
        <w:rPr>
          <w:lang w:val="de-DE"/>
        </w:rPr>
        <w:softHyphen/>
        <w:t>leistungen vom Verbraucher oder demjenigen, der eine Sicherheit leistet, verlangt werden, sind diese von Rechts wegen vollständig davon entbunden.</w:t>
      </w:r>
    </w:p>
    <w:p w14:paraId="3EA7C0E0" w14:textId="77777777" w:rsidR="00881814" w:rsidRPr="004676F5" w:rsidRDefault="00881814" w:rsidP="00881814">
      <w:pPr>
        <w:ind w:firstLine="708"/>
        <w:jc w:val="both"/>
        <w:rPr>
          <w:lang w:val="de-DE"/>
        </w:rPr>
      </w:pPr>
    </w:p>
    <w:p w14:paraId="449F2A51" w14:textId="7FCAC7EC" w:rsidR="00881814" w:rsidRPr="004676F5" w:rsidRDefault="00881814" w:rsidP="00881814">
      <w:pPr>
        <w:ind w:firstLine="708"/>
        <w:jc w:val="both"/>
        <w:rPr>
          <w:lang w:val="de-DE"/>
        </w:rPr>
      </w:pPr>
      <w:r w:rsidRPr="004676F5">
        <w:rPr>
          <w:lang w:val="de-DE"/>
        </w:rPr>
        <w:t>Wenn der Richter außerdem urteilt, dass die für den Fall der Nichterfüllung des Vertrags vereinbarten oder in diesem Fall angewandten Strafen oder Schadens</w:t>
      </w:r>
      <w:r w:rsidRPr="004676F5">
        <w:rPr>
          <w:lang w:val="de-DE"/>
        </w:rPr>
        <w:softHyphen/>
        <w:t>ersatz</w:t>
      </w:r>
      <w:r w:rsidRPr="004676F5">
        <w:rPr>
          <w:lang w:val="de-DE"/>
        </w:rPr>
        <w:softHyphen/>
        <w:t xml:space="preserve">leistungen, unter anderem in Form von </w:t>
      </w:r>
      <w:r w:rsidR="00C85AFC" w:rsidRPr="004676F5">
        <w:rPr>
          <w:lang w:val="de-DE"/>
        </w:rPr>
        <w:t>[Entschädigungsklauseln]</w:t>
      </w:r>
      <w:r w:rsidRPr="004676F5">
        <w:rPr>
          <w:lang w:val="de-DE"/>
        </w:rPr>
        <w:t>, übertrieben oder ungerechtfertigt sind, kann er diese von Amts wegen ermäßigen oder den Verbraucher ganz davon befreien.</w:t>
      </w:r>
    </w:p>
    <w:p w14:paraId="40A50BE0" w14:textId="77777777" w:rsidR="00C85AFC" w:rsidRPr="004676F5" w:rsidRDefault="00C85AFC" w:rsidP="00880421">
      <w:pPr>
        <w:jc w:val="both"/>
        <w:rPr>
          <w:lang w:val="de-DE"/>
        </w:rPr>
      </w:pPr>
    </w:p>
    <w:p w14:paraId="2C88E8AC" w14:textId="70746CEB" w:rsidR="00C85AFC" w:rsidRPr="004676F5" w:rsidRDefault="00C85AFC" w:rsidP="00880421">
      <w:pPr>
        <w:jc w:val="both"/>
        <w:rPr>
          <w:i/>
          <w:iCs/>
          <w:lang w:val="de-DE"/>
        </w:rPr>
      </w:pPr>
      <w:r w:rsidRPr="004676F5">
        <w:rPr>
          <w:i/>
          <w:iCs/>
          <w:lang w:val="de-DE"/>
        </w:rPr>
        <w:t>[Art.</w:t>
      </w:r>
      <w:r w:rsidR="00AA1D42" w:rsidRPr="004676F5">
        <w:rPr>
          <w:i/>
          <w:iCs/>
          <w:lang w:val="de-DE"/>
        </w:rPr>
        <w:t> </w:t>
      </w:r>
      <w:r w:rsidRPr="004676F5">
        <w:rPr>
          <w:i/>
          <w:iCs/>
          <w:lang w:val="de-DE"/>
        </w:rPr>
        <w:t>VII.199 abgeändert durch Art. 21 des G. vom 28. April 2022 (B.S. vom 1. Juli 2022)]</w:t>
      </w:r>
    </w:p>
    <w:p w14:paraId="29273035" w14:textId="77777777" w:rsidR="00881814" w:rsidRPr="004676F5" w:rsidRDefault="00881814" w:rsidP="00881814">
      <w:pPr>
        <w:ind w:firstLine="708"/>
        <w:jc w:val="both"/>
        <w:rPr>
          <w:lang w:val="de-DE"/>
        </w:rPr>
      </w:pPr>
    </w:p>
    <w:p w14:paraId="5F711F5E" w14:textId="77777777" w:rsidR="003C352D" w:rsidRPr="004676F5" w:rsidRDefault="003C352D" w:rsidP="00881814">
      <w:pPr>
        <w:ind w:firstLine="708"/>
        <w:jc w:val="both"/>
        <w:rPr>
          <w:lang w:val="de-DE"/>
        </w:rPr>
      </w:pPr>
    </w:p>
    <w:p w14:paraId="11CD493F" w14:textId="0E93E07D" w:rsidR="00881814" w:rsidRPr="004676F5" w:rsidRDefault="00BE0A56" w:rsidP="00881814">
      <w:pPr>
        <w:ind w:firstLine="708"/>
        <w:jc w:val="both"/>
        <w:rPr>
          <w:lang w:val="de-DE"/>
        </w:rPr>
      </w:pPr>
      <w:r w:rsidRPr="004676F5">
        <w:rPr>
          <w:b/>
          <w:lang w:val="de-DE"/>
        </w:rPr>
        <w:t>Art. </w:t>
      </w:r>
      <w:r w:rsidR="00881814" w:rsidRPr="004676F5">
        <w:rPr>
          <w:b/>
          <w:lang w:val="de-DE"/>
        </w:rPr>
        <w:t>VII.200</w:t>
      </w:r>
      <w:r w:rsidR="00881814" w:rsidRPr="004676F5">
        <w:rPr>
          <w:lang w:val="de-DE"/>
        </w:rPr>
        <w:t> </w:t>
      </w:r>
      <w:r w:rsidR="005B7A5C" w:rsidRPr="004676F5">
        <w:rPr>
          <w:lang w:val="de-DE"/>
        </w:rPr>
        <w:t>- </w:t>
      </w:r>
      <w:r w:rsidR="00881814" w:rsidRPr="004676F5">
        <w:rPr>
          <w:lang w:val="de-DE"/>
        </w:rPr>
        <w:t>Werden die in den Artikeln VII.106 § 4, VII.86 §§ 2 bis 4 und VII.99 erwähnten Bestimmungen nicht eingehalten, ist der Verbraucher von Rechts wegen für den Zeitraum, auf den der Verstoß sich bezieht, von Zinsen und Kosten befreit.</w:t>
      </w:r>
    </w:p>
    <w:p w14:paraId="0B7F9F2D" w14:textId="77777777" w:rsidR="00881814" w:rsidRPr="004676F5" w:rsidRDefault="00881814" w:rsidP="00881814">
      <w:pPr>
        <w:ind w:firstLine="708"/>
        <w:jc w:val="both"/>
        <w:rPr>
          <w:lang w:val="de-DE"/>
        </w:rPr>
      </w:pPr>
    </w:p>
    <w:p w14:paraId="3A0A380C" w14:textId="77777777" w:rsidR="00881814" w:rsidRPr="004676F5" w:rsidRDefault="00881814" w:rsidP="00881814">
      <w:pPr>
        <w:ind w:firstLine="708"/>
        <w:jc w:val="both"/>
        <w:rPr>
          <w:lang w:val="de-DE"/>
        </w:rPr>
      </w:pPr>
      <w:r w:rsidRPr="004676F5">
        <w:rPr>
          <w:lang w:val="de-DE"/>
        </w:rPr>
        <w:t>Falls der Verbraucher ungeachtet des in Artikel VII.87 § 3 erwähnten Verbots die Wiederherstellung des Kreditkapitals vorgenommen hat, kann er die sofortige Rückzahlung des wiederhergestellten Kapitals, erworbene Zinsen einbegriffen, oder die Rückzahlung des Kredits nach Verhältnis des wiederhergestellten Kapitals, erworbene Zinsen einbegriffen, verlangen.</w:t>
      </w:r>
    </w:p>
    <w:p w14:paraId="3514EEC4" w14:textId="77777777" w:rsidR="00881814" w:rsidRPr="004676F5" w:rsidRDefault="00881814" w:rsidP="00881814">
      <w:pPr>
        <w:ind w:firstLine="708"/>
        <w:jc w:val="both"/>
        <w:rPr>
          <w:lang w:val="de-DE"/>
        </w:rPr>
      </w:pPr>
    </w:p>
    <w:p w14:paraId="7F1896D6" w14:textId="77777777" w:rsidR="003C352D" w:rsidRPr="004676F5" w:rsidRDefault="003C352D" w:rsidP="00881814">
      <w:pPr>
        <w:ind w:firstLine="708"/>
        <w:jc w:val="both"/>
        <w:rPr>
          <w:lang w:val="de-DE"/>
        </w:rPr>
      </w:pPr>
    </w:p>
    <w:p w14:paraId="6D5F9470" w14:textId="609C12CA" w:rsidR="00881814" w:rsidRPr="004676F5" w:rsidRDefault="00BE0A56" w:rsidP="00881814">
      <w:pPr>
        <w:ind w:firstLine="708"/>
        <w:jc w:val="both"/>
        <w:rPr>
          <w:lang w:val="de-DE"/>
        </w:rPr>
      </w:pPr>
      <w:r w:rsidRPr="004676F5">
        <w:rPr>
          <w:b/>
          <w:lang w:val="de-DE"/>
        </w:rPr>
        <w:t>Art. </w:t>
      </w:r>
      <w:r w:rsidR="00881814" w:rsidRPr="004676F5">
        <w:rPr>
          <w:b/>
          <w:lang w:val="de-DE"/>
        </w:rPr>
        <w:t>VII.201</w:t>
      </w:r>
      <w:r w:rsidR="00881814" w:rsidRPr="004676F5">
        <w:rPr>
          <w:lang w:val="de-DE"/>
        </w:rPr>
        <w:t> </w:t>
      </w:r>
      <w:r w:rsidR="005B7A5C" w:rsidRPr="004676F5">
        <w:rPr>
          <w:lang w:val="de-DE"/>
        </w:rPr>
        <w:t>- </w:t>
      </w:r>
      <w:r w:rsidR="00881814" w:rsidRPr="004676F5">
        <w:rPr>
          <w:lang w:val="de-DE"/>
        </w:rPr>
        <w:t>Unbeschadet anderer gemeinrechtlicher Sanktionen kann der Richter den Verbraucher ganz oder teilweise von Verzugszinsen befreien und seine Verbindlichkeiten bis auf den Barzahlungspreis der Ware beziehungsweise Dienstleistung oder auf den aufgenommenen Betrag ermäßigen, wenn:</w:t>
      </w:r>
    </w:p>
    <w:p w14:paraId="06CE80E8" w14:textId="77777777" w:rsidR="00881814" w:rsidRPr="004676F5" w:rsidRDefault="00881814" w:rsidP="00881814">
      <w:pPr>
        <w:ind w:firstLine="708"/>
        <w:jc w:val="both"/>
        <w:rPr>
          <w:lang w:val="de-DE"/>
        </w:rPr>
      </w:pPr>
    </w:p>
    <w:p w14:paraId="3B33ED45" w14:textId="77777777" w:rsidR="00881814" w:rsidRPr="004676F5" w:rsidRDefault="00881814" w:rsidP="00881814">
      <w:pPr>
        <w:ind w:firstLine="708"/>
        <w:jc w:val="both"/>
        <w:rPr>
          <w:lang w:val="de-DE"/>
        </w:rPr>
      </w:pPr>
      <w:r w:rsidRPr="004676F5">
        <w:rPr>
          <w:lang w:val="de-DE"/>
        </w:rPr>
        <w:t>1. der Kreditgeber die in den Artikeln VII.69, VII.70, VII.72, VII.74, VII.75 und VII.77 erwähnten Verpflichtungen nicht eingehalten hat,</w:t>
      </w:r>
    </w:p>
    <w:p w14:paraId="52223141" w14:textId="77777777" w:rsidR="00881814" w:rsidRPr="004676F5" w:rsidRDefault="00881814" w:rsidP="00881814">
      <w:pPr>
        <w:ind w:firstLine="708"/>
        <w:jc w:val="both"/>
        <w:rPr>
          <w:lang w:val="de-DE"/>
        </w:rPr>
      </w:pPr>
    </w:p>
    <w:p w14:paraId="04C86581" w14:textId="77777777" w:rsidR="00881814" w:rsidRPr="004676F5" w:rsidRDefault="00881814" w:rsidP="00881814">
      <w:pPr>
        <w:ind w:firstLine="708"/>
        <w:jc w:val="both"/>
        <w:rPr>
          <w:lang w:val="de-DE"/>
        </w:rPr>
      </w:pPr>
      <w:r w:rsidRPr="004676F5">
        <w:rPr>
          <w:lang w:val="de-DE"/>
        </w:rPr>
        <w:t>2. der Kreditvermittler die in den Artikeln VII.69 § 1 Absatz 1,</w:t>
      </w:r>
      <w:r w:rsidR="003E32DF" w:rsidRPr="004676F5">
        <w:rPr>
          <w:lang w:val="de-DE"/>
        </w:rPr>
        <w:t xml:space="preserve"> VII.70, VII.71, VII.74, VII.75[, VII.112 und VII.113 § 1]</w:t>
      </w:r>
      <w:r w:rsidRPr="004676F5">
        <w:rPr>
          <w:lang w:val="de-DE"/>
        </w:rPr>
        <w:t xml:space="preserve"> erwähnten Verpflichtungen nicht eingehalten hat,</w:t>
      </w:r>
    </w:p>
    <w:p w14:paraId="16EAC601" w14:textId="77777777" w:rsidR="00881814" w:rsidRPr="004676F5" w:rsidRDefault="00881814" w:rsidP="00881814">
      <w:pPr>
        <w:ind w:firstLine="708"/>
        <w:jc w:val="both"/>
        <w:rPr>
          <w:lang w:val="de-DE"/>
        </w:rPr>
      </w:pPr>
    </w:p>
    <w:p w14:paraId="47BADA6C" w14:textId="77777777" w:rsidR="00881814" w:rsidRPr="004676F5" w:rsidRDefault="00881814" w:rsidP="00881814">
      <w:pPr>
        <w:ind w:firstLine="708"/>
        <w:jc w:val="both"/>
        <w:rPr>
          <w:lang w:val="de-DE"/>
        </w:rPr>
      </w:pPr>
      <w:r w:rsidRPr="004676F5">
        <w:rPr>
          <w:lang w:val="de-DE"/>
        </w:rPr>
        <w:t>3. die in Artikel VII.76 vorgesehenen Formalitäten für den Vertragsschluss nicht eingehalten worden sind.</w:t>
      </w:r>
    </w:p>
    <w:p w14:paraId="665A34B4" w14:textId="77777777" w:rsidR="00881814" w:rsidRPr="004676F5" w:rsidRDefault="00881814" w:rsidP="00881814">
      <w:pPr>
        <w:ind w:firstLine="708"/>
        <w:jc w:val="both"/>
        <w:rPr>
          <w:lang w:val="de-DE"/>
        </w:rPr>
      </w:pPr>
    </w:p>
    <w:p w14:paraId="2DA4C491" w14:textId="77777777" w:rsidR="00881814" w:rsidRPr="004676F5" w:rsidRDefault="00881814" w:rsidP="00881814">
      <w:pPr>
        <w:ind w:firstLine="708"/>
        <w:jc w:val="both"/>
        <w:rPr>
          <w:lang w:val="de-DE"/>
        </w:rPr>
      </w:pPr>
      <w:r w:rsidRPr="004676F5">
        <w:rPr>
          <w:lang w:val="de-DE"/>
        </w:rPr>
        <w:t>In diesen Fällen behält der Verbraucher den Vorteil der Zahlung in Raten.</w:t>
      </w:r>
    </w:p>
    <w:p w14:paraId="2515CD16" w14:textId="77777777" w:rsidR="003E32DF" w:rsidRPr="004676F5" w:rsidRDefault="003E32DF" w:rsidP="00881814">
      <w:pPr>
        <w:ind w:firstLine="708"/>
        <w:jc w:val="both"/>
        <w:rPr>
          <w:lang w:val="de-DE"/>
        </w:rPr>
      </w:pPr>
    </w:p>
    <w:p w14:paraId="506999BC" w14:textId="083BE577" w:rsidR="003E32DF" w:rsidRPr="004676F5" w:rsidRDefault="003E32DF" w:rsidP="003E32DF">
      <w:pPr>
        <w:jc w:val="both"/>
        <w:rPr>
          <w:i/>
          <w:lang w:val="de-DE"/>
        </w:rPr>
      </w:pPr>
      <w:r w:rsidRPr="004676F5">
        <w:rPr>
          <w:i/>
          <w:lang w:val="de-DE"/>
        </w:rPr>
        <w:t>[</w:t>
      </w:r>
      <w:r w:rsidR="00BE0A56" w:rsidRPr="004676F5">
        <w:rPr>
          <w:i/>
          <w:lang w:val="de-DE"/>
        </w:rPr>
        <w:t>Art. </w:t>
      </w:r>
      <w:r w:rsidRPr="004676F5">
        <w:rPr>
          <w:i/>
          <w:lang w:val="de-DE"/>
        </w:rPr>
        <w:t xml:space="preserve">VII. 201 Abs. 1 Nr. 2 abgeändert durch </w:t>
      </w:r>
      <w:r w:rsidR="00BE0A56" w:rsidRPr="004676F5">
        <w:rPr>
          <w:i/>
          <w:lang w:val="de-DE"/>
        </w:rPr>
        <w:t>Art. </w:t>
      </w:r>
      <w:r w:rsidRPr="004676F5">
        <w:rPr>
          <w:i/>
          <w:lang w:val="de-DE"/>
        </w:rPr>
        <w:t>41</w:t>
      </w:r>
      <w:r w:rsidRPr="004676F5">
        <w:rPr>
          <w:i/>
          <w:iCs/>
          <w:lang w:val="de-DE"/>
        </w:rPr>
        <w:t xml:space="preserve"> </w:t>
      </w:r>
      <w:r w:rsidRPr="004676F5">
        <w:rPr>
          <w:i/>
          <w:lang w:val="de-DE"/>
        </w:rPr>
        <w:t>des G. vom 26. Oktober 2015 (B.S. vom 30. Oktober 2015)]</w:t>
      </w:r>
    </w:p>
    <w:p w14:paraId="7E3BABD7" w14:textId="77777777" w:rsidR="00881814" w:rsidRPr="004676F5" w:rsidRDefault="00881814" w:rsidP="00881814">
      <w:pPr>
        <w:ind w:firstLine="708"/>
        <w:jc w:val="both"/>
        <w:rPr>
          <w:lang w:val="de-DE"/>
        </w:rPr>
      </w:pPr>
    </w:p>
    <w:p w14:paraId="523C628C" w14:textId="77777777" w:rsidR="003C352D" w:rsidRPr="004676F5" w:rsidRDefault="003C352D" w:rsidP="00881814">
      <w:pPr>
        <w:ind w:firstLine="708"/>
        <w:jc w:val="both"/>
        <w:rPr>
          <w:lang w:val="de-DE"/>
        </w:rPr>
      </w:pPr>
    </w:p>
    <w:p w14:paraId="719D700B" w14:textId="61CC05C6" w:rsidR="00881814" w:rsidRPr="004676F5" w:rsidRDefault="00BE0A56" w:rsidP="00881814">
      <w:pPr>
        <w:ind w:firstLine="708"/>
        <w:jc w:val="both"/>
        <w:rPr>
          <w:lang w:val="de-DE"/>
        </w:rPr>
      </w:pPr>
      <w:r w:rsidRPr="004676F5">
        <w:rPr>
          <w:b/>
          <w:lang w:val="de-DE"/>
        </w:rPr>
        <w:t>Art. </w:t>
      </w:r>
      <w:r w:rsidR="00881814" w:rsidRPr="004676F5">
        <w:rPr>
          <w:b/>
          <w:lang w:val="de-DE"/>
        </w:rPr>
        <w:t>VII.202</w:t>
      </w:r>
      <w:r w:rsidR="00881814" w:rsidRPr="004676F5">
        <w:rPr>
          <w:lang w:val="de-DE"/>
        </w:rPr>
        <w:t> </w:t>
      </w:r>
      <w:r w:rsidR="005B7A5C" w:rsidRPr="004676F5">
        <w:rPr>
          <w:lang w:val="de-DE"/>
        </w:rPr>
        <w:t>- </w:t>
      </w:r>
      <w:r w:rsidR="00881814" w:rsidRPr="004676F5">
        <w:rPr>
          <w:lang w:val="de-DE"/>
        </w:rPr>
        <w:t>Der Verbraucher ist von den Zinsen für den Teil der Zahlungen, die unter Verstoß gegen Artikel VII.91 Absatz 1 und 4 vor Lieferung der Ware oder Erbringung der Dienstleistung erfolgt sind, befreit.</w:t>
      </w:r>
    </w:p>
    <w:p w14:paraId="3FE0585F" w14:textId="77777777" w:rsidR="00881814" w:rsidRPr="004676F5" w:rsidRDefault="00881814" w:rsidP="00881814">
      <w:pPr>
        <w:ind w:firstLine="708"/>
        <w:jc w:val="both"/>
        <w:rPr>
          <w:lang w:val="de-DE"/>
        </w:rPr>
      </w:pPr>
    </w:p>
    <w:p w14:paraId="1CAB1074" w14:textId="77777777" w:rsidR="003C352D" w:rsidRPr="004676F5" w:rsidRDefault="003C352D" w:rsidP="00881814">
      <w:pPr>
        <w:ind w:firstLine="708"/>
        <w:jc w:val="both"/>
        <w:rPr>
          <w:lang w:val="de-DE"/>
        </w:rPr>
      </w:pPr>
    </w:p>
    <w:p w14:paraId="69A2E0BE" w14:textId="5B4257C5" w:rsidR="00881814" w:rsidRPr="004676F5" w:rsidRDefault="00BE0A56" w:rsidP="00881814">
      <w:pPr>
        <w:ind w:firstLine="708"/>
        <w:jc w:val="both"/>
        <w:rPr>
          <w:lang w:val="de-DE"/>
        </w:rPr>
      </w:pPr>
      <w:r w:rsidRPr="004676F5">
        <w:rPr>
          <w:b/>
          <w:lang w:val="de-DE"/>
        </w:rPr>
        <w:t>Art. </w:t>
      </w:r>
      <w:r w:rsidR="00881814" w:rsidRPr="004676F5">
        <w:rPr>
          <w:b/>
          <w:lang w:val="de-DE"/>
        </w:rPr>
        <w:t>VII.203</w:t>
      </w:r>
      <w:r w:rsidR="00881814" w:rsidRPr="004676F5">
        <w:rPr>
          <w:lang w:val="de-DE"/>
        </w:rPr>
        <w:t> </w:t>
      </w:r>
      <w:r w:rsidR="005B7A5C" w:rsidRPr="004676F5">
        <w:rPr>
          <w:lang w:val="de-DE"/>
        </w:rPr>
        <w:t>- </w:t>
      </w:r>
      <w:r w:rsidR="00881814" w:rsidRPr="004676F5">
        <w:rPr>
          <w:lang w:val="de-DE"/>
        </w:rPr>
        <w:t>Werden die Bestimmungen von Artikel VII.84 Absatz 1 nicht einge</w:t>
      </w:r>
      <w:r w:rsidR="00881814" w:rsidRPr="004676F5">
        <w:rPr>
          <w:lang w:val="de-DE"/>
        </w:rPr>
        <w:softHyphen/>
        <w:t>halten, erhält der Verbraucher das Recht, die Nichtigkeit des Kauf</w:t>
      </w:r>
      <w:r w:rsidR="005B7A5C" w:rsidRPr="004676F5">
        <w:rPr>
          <w:lang w:val="de-DE"/>
        </w:rPr>
        <w:t>- </w:t>
      </w:r>
      <w:r w:rsidR="00881814" w:rsidRPr="004676F5">
        <w:rPr>
          <w:lang w:val="de-DE"/>
        </w:rPr>
        <w:t>oder Dienstleistungs</w:t>
      </w:r>
      <w:r w:rsidR="00881814" w:rsidRPr="004676F5">
        <w:rPr>
          <w:lang w:val="de-DE"/>
        </w:rPr>
        <w:softHyphen/>
        <w:t>vertrags zu verlangen und vom Verkäufer oder Dienstleistungserbringer die Rückzahlung bereits geleisteter Zahlungen zu fordern.</w:t>
      </w:r>
    </w:p>
    <w:p w14:paraId="2894D87A" w14:textId="77777777" w:rsidR="00881814" w:rsidRPr="004676F5" w:rsidRDefault="00881814" w:rsidP="00881814">
      <w:pPr>
        <w:ind w:firstLine="708"/>
        <w:jc w:val="both"/>
        <w:rPr>
          <w:lang w:val="de-DE"/>
        </w:rPr>
      </w:pPr>
    </w:p>
    <w:p w14:paraId="71419908" w14:textId="77777777" w:rsidR="003C352D" w:rsidRPr="004676F5" w:rsidRDefault="003C352D" w:rsidP="00881814">
      <w:pPr>
        <w:ind w:firstLine="708"/>
        <w:jc w:val="both"/>
        <w:rPr>
          <w:lang w:val="de-DE"/>
        </w:rPr>
      </w:pPr>
    </w:p>
    <w:p w14:paraId="7C98CA81" w14:textId="50C098DD" w:rsidR="00881814" w:rsidRPr="004676F5" w:rsidRDefault="00BE0A56" w:rsidP="00881814">
      <w:pPr>
        <w:ind w:firstLine="708"/>
        <w:jc w:val="both"/>
        <w:rPr>
          <w:lang w:val="de-DE"/>
        </w:rPr>
      </w:pPr>
      <w:r w:rsidRPr="004676F5">
        <w:rPr>
          <w:b/>
          <w:lang w:val="de-DE"/>
        </w:rPr>
        <w:t>Art. </w:t>
      </w:r>
      <w:r w:rsidR="00881814" w:rsidRPr="004676F5">
        <w:rPr>
          <w:b/>
          <w:lang w:val="de-DE"/>
        </w:rPr>
        <w:t>VII.204</w:t>
      </w:r>
      <w:r w:rsidR="00881814" w:rsidRPr="004676F5">
        <w:rPr>
          <w:lang w:val="de-DE"/>
        </w:rPr>
        <w:t> </w:t>
      </w:r>
      <w:r w:rsidR="005B7A5C" w:rsidRPr="004676F5">
        <w:rPr>
          <w:lang w:val="de-DE"/>
        </w:rPr>
        <w:t>- </w:t>
      </w:r>
      <w:r w:rsidR="00881814" w:rsidRPr="004676F5">
        <w:rPr>
          <w:lang w:val="de-DE"/>
        </w:rPr>
        <w:t>Hat der Verbraucher versäumt, die in Artikel VII.69 erwähnten Auskünfte mitzuteilen, oder hat er falsche Auskünfte mitgeteilt, kann der Richter unbeschadet gemeinrechtlicher Sanktionen die Auflösung des Vertrags zu Lasten des Verbrauchers anordnen.</w:t>
      </w:r>
    </w:p>
    <w:p w14:paraId="0C9DA7C9" w14:textId="77777777" w:rsidR="00881814" w:rsidRPr="004676F5" w:rsidRDefault="00881814" w:rsidP="00881814">
      <w:pPr>
        <w:ind w:firstLine="708"/>
        <w:jc w:val="both"/>
        <w:rPr>
          <w:lang w:val="de-DE"/>
        </w:rPr>
      </w:pPr>
    </w:p>
    <w:p w14:paraId="173A734F" w14:textId="77777777" w:rsidR="003C352D" w:rsidRPr="004676F5" w:rsidRDefault="003C352D" w:rsidP="00881814">
      <w:pPr>
        <w:ind w:firstLine="708"/>
        <w:jc w:val="both"/>
        <w:rPr>
          <w:lang w:val="de-DE"/>
        </w:rPr>
      </w:pPr>
    </w:p>
    <w:p w14:paraId="38665466" w14:textId="4C8B52BA" w:rsidR="00881814" w:rsidRPr="004676F5" w:rsidRDefault="00BE0A56" w:rsidP="00881814">
      <w:pPr>
        <w:ind w:firstLine="708"/>
        <w:jc w:val="both"/>
        <w:rPr>
          <w:lang w:val="de-DE"/>
        </w:rPr>
      </w:pPr>
      <w:r w:rsidRPr="004676F5">
        <w:rPr>
          <w:b/>
          <w:lang w:val="de-DE"/>
        </w:rPr>
        <w:t>Art. </w:t>
      </w:r>
      <w:r w:rsidR="00881814" w:rsidRPr="004676F5">
        <w:rPr>
          <w:b/>
          <w:lang w:val="de-DE"/>
        </w:rPr>
        <w:t>VII.205</w:t>
      </w:r>
      <w:r w:rsidR="00881814" w:rsidRPr="004676F5">
        <w:rPr>
          <w:lang w:val="de-DE"/>
        </w:rPr>
        <w:t> </w:t>
      </w:r>
      <w:r w:rsidR="005B7A5C" w:rsidRPr="004676F5">
        <w:rPr>
          <w:lang w:val="de-DE"/>
        </w:rPr>
        <w:t>- </w:t>
      </w:r>
      <w:r w:rsidR="00881814" w:rsidRPr="004676F5">
        <w:rPr>
          <w:lang w:val="de-DE"/>
        </w:rPr>
        <w:t>Wer unter Verstoß gegen Artikel VII.88 einen Wechsel oder Eigen</w:t>
      </w:r>
      <w:r w:rsidR="00881814" w:rsidRPr="004676F5">
        <w:rPr>
          <w:lang w:val="de-DE"/>
        </w:rPr>
        <w:softHyphen/>
        <w:t>wechsel unterzeichnen lässt oder einen Scheck als Bezahlung oder als Sicherheit für die Rückzahlung des gesamten oder eines Teils des geschuldeten Betrags annimmt, muss dem Verbraucher die Gesamtkosten des Kredits zurückzahlen.</w:t>
      </w:r>
    </w:p>
    <w:p w14:paraId="48C09775" w14:textId="77777777" w:rsidR="00881814" w:rsidRPr="004676F5" w:rsidRDefault="00881814" w:rsidP="00881814">
      <w:pPr>
        <w:ind w:firstLine="708"/>
        <w:jc w:val="both"/>
        <w:rPr>
          <w:lang w:val="de-DE"/>
        </w:rPr>
      </w:pPr>
    </w:p>
    <w:p w14:paraId="1F7F4B82" w14:textId="77777777" w:rsidR="003C352D" w:rsidRPr="004676F5" w:rsidRDefault="003C352D" w:rsidP="00881814">
      <w:pPr>
        <w:ind w:firstLine="708"/>
        <w:jc w:val="both"/>
        <w:rPr>
          <w:lang w:val="de-DE"/>
        </w:rPr>
      </w:pPr>
    </w:p>
    <w:p w14:paraId="71807232" w14:textId="2A2B03B6" w:rsidR="00881814" w:rsidRPr="004676F5" w:rsidRDefault="00BE0A56" w:rsidP="00881814">
      <w:pPr>
        <w:ind w:firstLine="708"/>
        <w:jc w:val="both"/>
        <w:rPr>
          <w:lang w:val="de-DE"/>
        </w:rPr>
      </w:pPr>
      <w:r w:rsidRPr="004676F5">
        <w:rPr>
          <w:b/>
          <w:lang w:val="de-DE"/>
        </w:rPr>
        <w:t>Art. </w:t>
      </w:r>
      <w:r w:rsidR="00881814" w:rsidRPr="004676F5">
        <w:rPr>
          <w:b/>
          <w:lang w:val="de-DE"/>
        </w:rPr>
        <w:t>VII.206</w:t>
      </w:r>
      <w:r w:rsidR="00881814" w:rsidRPr="004676F5">
        <w:rPr>
          <w:lang w:val="de-DE"/>
        </w:rPr>
        <w:t> </w:t>
      </w:r>
      <w:r w:rsidR="005B7A5C" w:rsidRPr="004676F5">
        <w:rPr>
          <w:lang w:val="de-DE"/>
        </w:rPr>
        <w:t>- </w:t>
      </w:r>
      <w:r w:rsidR="00881814" w:rsidRPr="004676F5">
        <w:rPr>
          <w:lang w:val="de-DE"/>
        </w:rPr>
        <w:t>Derjenige, der eine Sicherheit leistet, wird von jeder Verbindlichkeit befreit, wenn er entgegen Artikel VII.109 § 1 nicht vorab eine Ausfertigung des Kredit</w:t>
      </w:r>
      <w:r w:rsidR="00881814" w:rsidRPr="004676F5">
        <w:rPr>
          <w:lang w:val="de-DE"/>
        </w:rPr>
        <w:softHyphen/>
        <w:t xml:space="preserve">vertrags erhalten hat. </w:t>
      </w:r>
    </w:p>
    <w:p w14:paraId="67A9DC4D" w14:textId="77777777" w:rsidR="00881814" w:rsidRPr="004676F5" w:rsidRDefault="00881814" w:rsidP="00881814">
      <w:pPr>
        <w:ind w:firstLine="708"/>
        <w:jc w:val="both"/>
        <w:rPr>
          <w:lang w:val="de-DE"/>
        </w:rPr>
      </w:pPr>
    </w:p>
    <w:p w14:paraId="7A7564CA" w14:textId="77777777" w:rsidR="003C352D" w:rsidRPr="004676F5" w:rsidRDefault="003C352D" w:rsidP="00881814">
      <w:pPr>
        <w:ind w:firstLine="708"/>
        <w:jc w:val="both"/>
        <w:rPr>
          <w:lang w:val="de-DE"/>
        </w:rPr>
      </w:pPr>
    </w:p>
    <w:p w14:paraId="04A88C07" w14:textId="046A0890" w:rsidR="00881814" w:rsidRPr="004676F5" w:rsidRDefault="00BE0A56" w:rsidP="00881814">
      <w:pPr>
        <w:ind w:firstLine="708"/>
        <w:jc w:val="both"/>
        <w:rPr>
          <w:lang w:val="de-DE"/>
        </w:rPr>
      </w:pPr>
      <w:r w:rsidRPr="004676F5">
        <w:rPr>
          <w:b/>
          <w:lang w:val="de-DE"/>
        </w:rPr>
        <w:t>Art. </w:t>
      </w:r>
      <w:r w:rsidR="00881814" w:rsidRPr="004676F5">
        <w:rPr>
          <w:b/>
          <w:lang w:val="de-DE"/>
        </w:rPr>
        <w:t>VII.207</w:t>
      </w:r>
      <w:r w:rsidR="00881814" w:rsidRPr="004676F5">
        <w:rPr>
          <w:lang w:val="de-DE"/>
        </w:rPr>
        <w:t> </w:t>
      </w:r>
      <w:r w:rsidR="005B7A5C" w:rsidRPr="004676F5">
        <w:rPr>
          <w:lang w:val="de-DE"/>
        </w:rPr>
        <w:t>- </w:t>
      </w:r>
      <w:r w:rsidR="00881814" w:rsidRPr="004676F5">
        <w:rPr>
          <w:lang w:val="de-DE"/>
        </w:rPr>
        <w:t>Die Rücknahme des betreffenden beweglichen Sachguts unter Verstoß gegen Artikel VII.108 führt zur Auflösung des Kreditvertrags. Der Kreditgeber muss geleistete Zahlungen innerhalb dreißig Tagen vollständig erstatten.</w:t>
      </w:r>
    </w:p>
    <w:p w14:paraId="511098B9" w14:textId="77777777" w:rsidR="00881814" w:rsidRPr="004676F5" w:rsidRDefault="00881814" w:rsidP="00881814">
      <w:pPr>
        <w:jc w:val="both"/>
        <w:rPr>
          <w:lang w:val="de-DE"/>
        </w:rPr>
      </w:pPr>
    </w:p>
    <w:p w14:paraId="04BFC32F" w14:textId="77777777" w:rsidR="003C352D" w:rsidRPr="004676F5" w:rsidRDefault="003C352D" w:rsidP="00881814">
      <w:pPr>
        <w:jc w:val="both"/>
        <w:rPr>
          <w:lang w:val="de-DE"/>
        </w:rPr>
      </w:pPr>
    </w:p>
    <w:p w14:paraId="4BAF8A9C" w14:textId="4514A143" w:rsidR="00881814" w:rsidRPr="004676F5" w:rsidRDefault="00BE0A56" w:rsidP="00881814">
      <w:pPr>
        <w:ind w:firstLine="708"/>
        <w:jc w:val="both"/>
        <w:rPr>
          <w:lang w:val="de-DE"/>
        </w:rPr>
      </w:pPr>
      <w:r w:rsidRPr="004676F5">
        <w:rPr>
          <w:b/>
          <w:lang w:val="de-DE"/>
        </w:rPr>
        <w:t>Art. </w:t>
      </w:r>
      <w:r w:rsidR="00881814" w:rsidRPr="004676F5">
        <w:rPr>
          <w:b/>
          <w:lang w:val="de-DE"/>
        </w:rPr>
        <w:t>VII.208</w:t>
      </w:r>
      <w:r w:rsidR="00881814" w:rsidRPr="004676F5">
        <w:rPr>
          <w:lang w:val="de-DE"/>
        </w:rPr>
        <w:t> </w:t>
      </w:r>
      <w:r w:rsidR="005B7A5C" w:rsidRPr="004676F5">
        <w:rPr>
          <w:lang w:val="de-DE"/>
        </w:rPr>
        <w:t>- </w:t>
      </w:r>
      <w:r w:rsidR="00881814" w:rsidRPr="004676F5">
        <w:rPr>
          <w:lang w:val="de-DE"/>
        </w:rPr>
        <w:t xml:space="preserve">Keine Provision wird geschuldet, wenn der Kreditvertrag aufgelöst oder gekündigt wird oder Gegenstand einer Fälligkeit ist und der Kreditvermittler die Bestimmungen </w:t>
      </w:r>
      <w:r w:rsidR="003E32DF" w:rsidRPr="004676F5">
        <w:rPr>
          <w:lang w:val="de-DE"/>
        </w:rPr>
        <w:t>[</w:t>
      </w:r>
      <w:r w:rsidR="00881814" w:rsidRPr="004676F5">
        <w:rPr>
          <w:lang w:val="de-DE"/>
        </w:rPr>
        <w:t>des Artikels VII.11</w:t>
      </w:r>
      <w:r w:rsidR="003E32DF" w:rsidRPr="004676F5">
        <w:rPr>
          <w:lang w:val="de-DE"/>
        </w:rPr>
        <w:t>3]</w:t>
      </w:r>
      <w:r w:rsidR="00881814" w:rsidRPr="004676F5">
        <w:rPr>
          <w:lang w:val="de-DE"/>
        </w:rPr>
        <w:t xml:space="preserve"> nicht eingehalten hat.</w:t>
      </w:r>
    </w:p>
    <w:p w14:paraId="286566C7" w14:textId="77777777" w:rsidR="003E32DF" w:rsidRPr="004676F5" w:rsidRDefault="003E32DF" w:rsidP="00881814">
      <w:pPr>
        <w:ind w:firstLine="708"/>
        <w:jc w:val="both"/>
        <w:rPr>
          <w:lang w:val="de-DE"/>
        </w:rPr>
      </w:pPr>
    </w:p>
    <w:p w14:paraId="5524AD8B" w14:textId="2471B822" w:rsidR="003E32DF" w:rsidRPr="004676F5" w:rsidRDefault="003E32DF" w:rsidP="003E32DF">
      <w:pPr>
        <w:jc w:val="both"/>
        <w:rPr>
          <w:i/>
          <w:lang w:val="de-DE"/>
        </w:rPr>
      </w:pPr>
      <w:r w:rsidRPr="004676F5">
        <w:rPr>
          <w:i/>
          <w:lang w:val="de-DE"/>
        </w:rPr>
        <w:t>[</w:t>
      </w:r>
      <w:r w:rsidR="00BE0A56" w:rsidRPr="004676F5">
        <w:rPr>
          <w:i/>
          <w:lang w:val="de-DE"/>
        </w:rPr>
        <w:t>Art. </w:t>
      </w:r>
      <w:r w:rsidRPr="004676F5">
        <w:rPr>
          <w:i/>
          <w:lang w:val="de-DE"/>
        </w:rPr>
        <w:t xml:space="preserve">VII.208 abgeändert durch </w:t>
      </w:r>
      <w:r w:rsidR="00BE0A56" w:rsidRPr="004676F5">
        <w:rPr>
          <w:i/>
          <w:lang w:val="de-DE"/>
        </w:rPr>
        <w:t>Art. </w:t>
      </w:r>
      <w:r w:rsidRPr="004676F5">
        <w:rPr>
          <w:i/>
          <w:lang w:val="de-DE"/>
        </w:rPr>
        <w:t>42</w:t>
      </w:r>
      <w:r w:rsidRPr="004676F5">
        <w:rPr>
          <w:i/>
          <w:iCs/>
          <w:lang w:val="de-DE"/>
        </w:rPr>
        <w:t xml:space="preserve"> </w:t>
      </w:r>
      <w:r w:rsidRPr="004676F5">
        <w:rPr>
          <w:i/>
          <w:lang w:val="de-DE"/>
        </w:rPr>
        <w:t>des G. vom 26. Oktober 2015 (B.S. vom 30. Oktober 2015)]</w:t>
      </w:r>
    </w:p>
    <w:p w14:paraId="7B2291BF" w14:textId="77777777" w:rsidR="00881814" w:rsidRPr="004676F5" w:rsidRDefault="00881814" w:rsidP="00881814">
      <w:pPr>
        <w:ind w:firstLine="708"/>
        <w:jc w:val="both"/>
        <w:rPr>
          <w:lang w:val="de-DE"/>
        </w:rPr>
      </w:pPr>
    </w:p>
    <w:p w14:paraId="783E4DEF" w14:textId="77777777" w:rsidR="003C352D" w:rsidRPr="004676F5" w:rsidRDefault="003C352D" w:rsidP="00881814">
      <w:pPr>
        <w:ind w:firstLine="708"/>
        <w:jc w:val="both"/>
        <w:rPr>
          <w:lang w:val="de-DE"/>
        </w:rPr>
      </w:pPr>
    </w:p>
    <w:p w14:paraId="0940CC47" w14:textId="77777777" w:rsidR="00C76F75" w:rsidRPr="004676F5" w:rsidRDefault="00C76F75">
      <w:pPr>
        <w:rPr>
          <w:lang w:val="de-DE"/>
        </w:rPr>
      </w:pPr>
      <w:r w:rsidRPr="004676F5">
        <w:rPr>
          <w:lang w:val="de-DE"/>
        </w:rPr>
        <w:br w:type="page"/>
      </w:r>
    </w:p>
    <w:p w14:paraId="15E97C6A" w14:textId="6D800813" w:rsidR="00881814" w:rsidRPr="004676F5" w:rsidRDefault="00881814" w:rsidP="00881814">
      <w:pPr>
        <w:jc w:val="center"/>
        <w:rPr>
          <w:lang w:val="de-DE"/>
        </w:rPr>
      </w:pPr>
      <w:r w:rsidRPr="004676F5">
        <w:rPr>
          <w:lang w:val="de-DE"/>
        </w:rPr>
        <w:lastRenderedPageBreak/>
        <w:t>KAPITEL 3 </w:t>
      </w:r>
      <w:r w:rsidR="005B7A5C" w:rsidRPr="004676F5">
        <w:rPr>
          <w:lang w:val="de-DE"/>
        </w:rPr>
        <w:t>- </w:t>
      </w:r>
      <w:r w:rsidR="00137AE1" w:rsidRPr="004676F5">
        <w:rPr>
          <w:lang w:val="de-DE"/>
        </w:rPr>
        <w:t>[</w:t>
      </w:r>
      <w:r w:rsidRPr="004676F5">
        <w:rPr>
          <w:i/>
          <w:lang w:val="de-DE"/>
        </w:rPr>
        <w:t>Hypothekarkredit</w:t>
      </w:r>
    </w:p>
    <w:p w14:paraId="39569FF6" w14:textId="77777777" w:rsidR="00881814" w:rsidRPr="004676F5" w:rsidRDefault="00881814" w:rsidP="00881814">
      <w:pPr>
        <w:ind w:firstLine="708"/>
        <w:jc w:val="both"/>
        <w:rPr>
          <w:lang w:val="de-DE"/>
        </w:rPr>
      </w:pPr>
    </w:p>
    <w:p w14:paraId="4B4375B6" w14:textId="665E8C8D" w:rsidR="00137AE1" w:rsidRPr="004676F5" w:rsidRDefault="00137AE1" w:rsidP="00137AE1">
      <w:pPr>
        <w:jc w:val="both"/>
        <w:rPr>
          <w:i/>
          <w:lang w:val="de-DE"/>
        </w:rPr>
      </w:pPr>
      <w:r w:rsidRPr="004676F5">
        <w:rPr>
          <w:i/>
          <w:lang w:val="de-DE"/>
        </w:rPr>
        <w:t xml:space="preserve">[Kapitel 3 mit den früheren Artikeln VII.209 bis VII.214 ersetzt durch </w:t>
      </w:r>
      <w:r w:rsidR="003105E2" w:rsidRPr="004676F5">
        <w:rPr>
          <w:i/>
          <w:lang w:val="de-DE"/>
        </w:rPr>
        <w:t xml:space="preserve">Kapitel 3 mit </w:t>
      </w:r>
      <w:r w:rsidRPr="004676F5">
        <w:rPr>
          <w:i/>
          <w:lang w:val="de-DE"/>
        </w:rPr>
        <w:t xml:space="preserve">den neuen Artikeln VII.209 bis VII.214/10 durch </w:t>
      </w:r>
      <w:r w:rsidR="00BE0A56" w:rsidRPr="004676F5">
        <w:rPr>
          <w:i/>
          <w:lang w:val="de-DE"/>
        </w:rPr>
        <w:t>Art. </w:t>
      </w:r>
      <w:r w:rsidRPr="004676F5">
        <w:rPr>
          <w:i/>
          <w:lang w:val="de-DE"/>
        </w:rPr>
        <w:t>32 des G. vom 22. April 2016 (B.S. vom 4. Mai 2016)]</w:t>
      </w:r>
    </w:p>
    <w:p w14:paraId="76079CAF" w14:textId="77777777" w:rsidR="00137AE1" w:rsidRPr="004676F5" w:rsidRDefault="00137AE1" w:rsidP="00137AE1">
      <w:pPr>
        <w:jc w:val="both"/>
        <w:rPr>
          <w:i/>
          <w:lang w:val="de-DE"/>
        </w:rPr>
      </w:pPr>
      <w:r w:rsidRPr="004676F5">
        <w:rPr>
          <w:i/>
          <w:lang w:val="de-DE"/>
        </w:rPr>
        <w:t xml:space="preserve"> </w:t>
      </w:r>
    </w:p>
    <w:p w14:paraId="1D12D00D" w14:textId="77777777" w:rsidR="003C352D" w:rsidRPr="004676F5" w:rsidRDefault="003C352D" w:rsidP="00881814">
      <w:pPr>
        <w:ind w:firstLine="708"/>
        <w:jc w:val="both"/>
        <w:rPr>
          <w:lang w:val="de-DE"/>
        </w:rPr>
      </w:pPr>
    </w:p>
    <w:p w14:paraId="75C43A8B" w14:textId="2E03097B" w:rsidR="00137AE1" w:rsidRPr="004676F5" w:rsidRDefault="00BE0A56" w:rsidP="00137AE1">
      <w:pPr>
        <w:ind w:firstLine="708"/>
        <w:jc w:val="both"/>
        <w:rPr>
          <w:lang w:val="de-DE"/>
        </w:rPr>
      </w:pPr>
      <w:r w:rsidRPr="004676F5">
        <w:rPr>
          <w:b/>
          <w:lang w:val="de-DE"/>
        </w:rPr>
        <w:t>Art. </w:t>
      </w:r>
      <w:r w:rsidR="00137AE1" w:rsidRPr="004676F5">
        <w:rPr>
          <w:b/>
          <w:lang w:val="de-DE"/>
        </w:rPr>
        <w:t>VII.209</w:t>
      </w:r>
      <w:r w:rsidR="00137AE1" w:rsidRPr="004676F5">
        <w:rPr>
          <w:lang w:val="de-DE"/>
        </w:rPr>
        <w:t> </w:t>
      </w:r>
      <w:r w:rsidR="005B7A5C" w:rsidRPr="004676F5">
        <w:rPr>
          <w:lang w:val="de-DE"/>
        </w:rPr>
        <w:t>- </w:t>
      </w:r>
      <w:r w:rsidR="00137AE1" w:rsidRPr="004676F5">
        <w:rPr>
          <w:lang w:val="de-DE"/>
        </w:rPr>
        <w:t xml:space="preserve">§ 1 </w:t>
      </w:r>
      <w:r w:rsidR="005B7A5C" w:rsidRPr="004676F5">
        <w:rPr>
          <w:lang w:val="de-DE"/>
        </w:rPr>
        <w:t>- </w:t>
      </w:r>
      <w:r w:rsidR="00137AE1" w:rsidRPr="004676F5">
        <w:rPr>
          <w:lang w:val="de-DE"/>
        </w:rPr>
        <w:t xml:space="preserve">Wenn ein Kreditgeber die in den Artikeln VII.126, VII.127, VII.129, VII.130, VII.133 oder VII.147 erwähnten Verpflichtungen oder Verbote nicht einhält, die in Artikel VII.132 erwähnten Formalitäten nicht erfüllt oder die </w:t>
      </w:r>
      <w:r w:rsidR="00CE7C89">
        <w:rPr>
          <w:lang w:val="de-DE"/>
        </w:rPr>
        <w:t>[</w:t>
      </w:r>
      <w:r w:rsidR="00CE7C89" w:rsidRPr="00FE0D0B">
        <w:rPr>
          <w:lang w:val="de-DE"/>
        </w:rPr>
        <w:t>in den Artikeln VII.134, VII.145 Absatz 5 und VII.147/20 § 1 Absatz 3</w:t>
      </w:r>
      <w:r w:rsidR="00CE7C89">
        <w:rPr>
          <w:lang w:val="de-DE"/>
        </w:rPr>
        <w:t>]</w:t>
      </w:r>
      <w:r w:rsidR="00137AE1" w:rsidRPr="004676F5">
        <w:rPr>
          <w:lang w:val="de-DE"/>
        </w:rPr>
        <w:t xml:space="preserve"> erwähnten Angaben nicht macht, kann der Richter:</w:t>
      </w:r>
    </w:p>
    <w:p w14:paraId="0406CCB4" w14:textId="77777777" w:rsidR="00137AE1" w:rsidRPr="004676F5" w:rsidRDefault="00137AE1" w:rsidP="00137AE1">
      <w:pPr>
        <w:ind w:firstLine="708"/>
        <w:jc w:val="both"/>
        <w:rPr>
          <w:lang w:val="de-DE"/>
        </w:rPr>
      </w:pPr>
    </w:p>
    <w:p w14:paraId="13E7BF94" w14:textId="77777777" w:rsidR="00137AE1" w:rsidRPr="004676F5" w:rsidRDefault="00137AE1" w:rsidP="00137AE1">
      <w:pPr>
        <w:ind w:firstLine="708"/>
        <w:jc w:val="both"/>
        <w:rPr>
          <w:lang w:val="de-DE"/>
        </w:rPr>
      </w:pPr>
      <w:r w:rsidRPr="004676F5">
        <w:rPr>
          <w:lang w:val="de-DE"/>
        </w:rPr>
        <w:t>1. unbeschadet gemeinrechtlicher Sanktionen bei einem Mobiliarhypothekarkredit den Vertrag für nichtig erklären oder die Verbindlichkeiten des Verbrauchers auf den aufgenomme</w:t>
      </w:r>
      <w:r w:rsidRPr="004676F5">
        <w:rPr>
          <w:lang w:val="de-DE"/>
        </w:rPr>
        <w:softHyphen/>
        <w:t>nen Kreditbetrag ermäßigen und den Verbraucher ganz oder teilweise von Verzugszinsen befreien. Ist Letzteres der Fall, behält der Verbraucher den Vorteil der Zahlung in Raten,</w:t>
      </w:r>
    </w:p>
    <w:p w14:paraId="3CAD4E5B" w14:textId="77777777" w:rsidR="00137AE1" w:rsidRPr="004676F5" w:rsidRDefault="00137AE1" w:rsidP="00137AE1">
      <w:pPr>
        <w:ind w:firstLine="708"/>
        <w:jc w:val="both"/>
        <w:rPr>
          <w:lang w:val="de-DE"/>
        </w:rPr>
      </w:pPr>
    </w:p>
    <w:p w14:paraId="5FA3DEBC" w14:textId="77777777" w:rsidR="00137AE1" w:rsidRPr="004676F5" w:rsidRDefault="00137AE1" w:rsidP="00137AE1">
      <w:pPr>
        <w:ind w:firstLine="708"/>
        <w:jc w:val="both"/>
        <w:rPr>
          <w:lang w:val="de-DE"/>
        </w:rPr>
      </w:pPr>
      <w:r w:rsidRPr="004676F5">
        <w:rPr>
          <w:lang w:val="de-DE"/>
        </w:rPr>
        <w:t>2. bei einem Immobiliarhypothekarkredit den Kreditgeber zur einer einmaligen Zahlung von Schadenersatz in Höhe von höchstens 40 Prozent der gesamten Zinsen des Kredits bei einem aufgenommenen Kreditbetrag bis einschließlich 20.000 EUR und von höchstens 30 Prozent der gesamten Zinsen des Kredits bei einem aufgenommenen Kreditbetrag über 20.000 EUR verurteilen.</w:t>
      </w:r>
    </w:p>
    <w:p w14:paraId="2CA4BECB" w14:textId="77777777" w:rsidR="00137AE1" w:rsidRPr="004676F5" w:rsidRDefault="00137AE1" w:rsidP="00137AE1">
      <w:pPr>
        <w:ind w:firstLine="708"/>
        <w:jc w:val="both"/>
        <w:rPr>
          <w:lang w:val="de-DE"/>
        </w:rPr>
      </w:pPr>
    </w:p>
    <w:p w14:paraId="47384C2F" w14:textId="07E11BDB" w:rsidR="00137AE1" w:rsidRDefault="00137AE1" w:rsidP="00137AE1">
      <w:pPr>
        <w:ind w:firstLine="708"/>
        <w:jc w:val="both"/>
        <w:rPr>
          <w:lang w:val="de-DE"/>
        </w:rPr>
      </w:pPr>
      <w:r w:rsidRPr="004676F5">
        <w:rPr>
          <w:lang w:val="de-DE"/>
        </w:rPr>
        <w:t>§ 2 </w:t>
      </w:r>
      <w:r w:rsidR="005B7A5C" w:rsidRPr="004676F5">
        <w:rPr>
          <w:lang w:val="de-DE"/>
        </w:rPr>
        <w:t>- </w:t>
      </w:r>
      <w:r w:rsidRPr="004676F5">
        <w:rPr>
          <w:lang w:val="de-DE"/>
        </w:rPr>
        <w:t>Wenn ein Kreditvermittler die in den Artikeln VII.126 § 1 Absatz 1, VII.127, VII.129, VII.130 oder VII.147/29 § 4 erwähnten Verpflichtungen nicht einhält, kann der Richter eine Sanktion aussprechen, die der in § 1 erwähnten Sanktion entspricht.</w:t>
      </w:r>
    </w:p>
    <w:p w14:paraId="3996D412" w14:textId="77777777" w:rsidR="00CE7C89" w:rsidRDefault="00CE7C89" w:rsidP="00CE7C89">
      <w:pPr>
        <w:jc w:val="both"/>
        <w:rPr>
          <w:lang w:val="de-DE"/>
        </w:rPr>
      </w:pPr>
    </w:p>
    <w:p w14:paraId="7C0F4FB1" w14:textId="7AB98044" w:rsidR="00CE7C89" w:rsidRPr="00CE7C89" w:rsidRDefault="00CE7C89" w:rsidP="00CE7C89">
      <w:pPr>
        <w:jc w:val="both"/>
        <w:rPr>
          <w:i/>
          <w:iCs/>
          <w:lang w:val="de-DE"/>
        </w:rPr>
      </w:pPr>
      <w:r>
        <w:rPr>
          <w:i/>
          <w:iCs/>
          <w:lang w:val="de-DE"/>
        </w:rPr>
        <w:t>[Art. VII.209 § 1 einziger Absatz einleitende Bestimmung abgeändert durch Art. 51</w:t>
      </w:r>
      <w:r w:rsidRPr="00CE7C89">
        <w:rPr>
          <w:i/>
          <w:iCs/>
          <w:lang w:val="de-DE"/>
        </w:rPr>
        <w:t xml:space="preserve"> des G. vom 20. Dezember 2024 (B.S. vom 14. Januar 2025)</w:t>
      </w:r>
      <w:r>
        <w:rPr>
          <w:i/>
          <w:iCs/>
          <w:lang w:val="de-DE"/>
        </w:rPr>
        <w:t>]</w:t>
      </w:r>
    </w:p>
    <w:p w14:paraId="55CF8A21" w14:textId="77777777" w:rsidR="00137AE1" w:rsidRPr="004676F5" w:rsidRDefault="00137AE1" w:rsidP="00137AE1">
      <w:pPr>
        <w:ind w:firstLine="708"/>
        <w:jc w:val="both"/>
        <w:rPr>
          <w:lang w:val="de-DE"/>
        </w:rPr>
      </w:pPr>
    </w:p>
    <w:p w14:paraId="15F2F2C7" w14:textId="77777777" w:rsidR="00137AE1" w:rsidRPr="004676F5" w:rsidRDefault="00137AE1" w:rsidP="00137AE1">
      <w:pPr>
        <w:ind w:firstLine="708"/>
        <w:jc w:val="both"/>
        <w:rPr>
          <w:lang w:val="de-DE"/>
        </w:rPr>
      </w:pPr>
    </w:p>
    <w:p w14:paraId="24586727" w14:textId="423F0C3A" w:rsidR="00137AE1" w:rsidRPr="004676F5" w:rsidRDefault="00BE0A56" w:rsidP="00137AE1">
      <w:pPr>
        <w:ind w:firstLine="708"/>
        <w:jc w:val="both"/>
        <w:rPr>
          <w:lang w:val="de-DE"/>
        </w:rPr>
      </w:pPr>
      <w:r w:rsidRPr="004676F5">
        <w:rPr>
          <w:b/>
          <w:lang w:val="de-DE"/>
        </w:rPr>
        <w:t>Art. </w:t>
      </w:r>
      <w:r w:rsidR="00137AE1" w:rsidRPr="004676F5">
        <w:rPr>
          <w:b/>
          <w:lang w:val="de-DE"/>
        </w:rPr>
        <w:t>VII.210</w:t>
      </w:r>
      <w:r w:rsidR="00137AE1" w:rsidRPr="004676F5">
        <w:rPr>
          <w:lang w:val="de-DE"/>
        </w:rPr>
        <w:t> </w:t>
      </w:r>
      <w:r w:rsidR="005B7A5C" w:rsidRPr="004676F5">
        <w:rPr>
          <w:lang w:val="de-DE"/>
        </w:rPr>
        <w:t>- </w:t>
      </w:r>
      <w:r w:rsidR="00137AE1" w:rsidRPr="004676F5">
        <w:rPr>
          <w:lang w:val="de-DE"/>
        </w:rPr>
        <w:t>Die Verbindlichkeiten des Verbrauchers sind von Rechts wegen auf den aufgenommenen Kreditbetrag beschränkt, wenn:</w:t>
      </w:r>
    </w:p>
    <w:p w14:paraId="6E7A191C" w14:textId="77777777" w:rsidR="00137AE1" w:rsidRPr="004676F5" w:rsidRDefault="00137AE1" w:rsidP="00137AE1">
      <w:pPr>
        <w:ind w:firstLine="708"/>
        <w:jc w:val="both"/>
        <w:rPr>
          <w:lang w:val="de-DE"/>
        </w:rPr>
      </w:pPr>
    </w:p>
    <w:p w14:paraId="5D222E1F" w14:textId="77777777" w:rsidR="00137AE1" w:rsidRPr="004676F5" w:rsidRDefault="00137AE1" w:rsidP="00137AE1">
      <w:pPr>
        <w:ind w:firstLine="708"/>
        <w:jc w:val="both"/>
        <w:rPr>
          <w:lang w:val="de-DE"/>
        </w:rPr>
      </w:pPr>
      <w:r w:rsidRPr="004676F5">
        <w:rPr>
          <w:lang w:val="de-DE"/>
        </w:rPr>
        <w:t>1. der Kreditgeber einen Kreditvertrag zu einem höheren Satz als dem vom König in Anwendung von Artikel VII.147/9 festgelegten Satz gewährt hat,</w:t>
      </w:r>
    </w:p>
    <w:p w14:paraId="03504B49" w14:textId="77777777" w:rsidR="00137AE1" w:rsidRPr="004676F5" w:rsidRDefault="00137AE1" w:rsidP="00137AE1">
      <w:pPr>
        <w:ind w:firstLine="708"/>
        <w:jc w:val="both"/>
        <w:rPr>
          <w:lang w:val="de-DE"/>
        </w:rPr>
      </w:pPr>
    </w:p>
    <w:p w14:paraId="3A64D1D6" w14:textId="77777777" w:rsidR="00137AE1" w:rsidRPr="004676F5" w:rsidRDefault="00137AE1" w:rsidP="00137AE1">
      <w:pPr>
        <w:ind w:firstLine="708"/>
        <w:jc w:val="both"/>
        <w:rPr>
          <w:lang w:val="de-DE"/>
        </w:rPr>
      </w:pPr>
      <w:r w:rsidRPr="004676F5">
        <w:rPr>
          <w:lang w:val="de-DE"/>
        </w:rPr>
        <w:t>2. der Kreditgeber die in Artikel VII.147/29 §§ 1 bis 3 erwähnten Bestimmungen nicht eingehalten oder gegen sie verstoßen hat,</w:t>
      </w:r>
    </w:p>
    <w:p w14:paraId="48D2DFED" w14:textId="77777777" w:rsidR="00137AE1" w:rsidRPr="004676F5" w:rsidRDefault="00137AE1" w:rsidP="00137AE1">
      <w:pPr>
        <w:ind w:firstLine="708"/>
        <w:jc w:val="both"/>
        <w:rPr>
          <w:lang w:val="de-DE"/>
        </w:rPr>
      </w:pPr>
    </w:p>
    <w:p w14:paraId="5CE56821" w14:textId="77777777" w:rsidR="00137AE1" w:rsidRPr="004676F5" w:rsidRDefault="00137AE1" w:rsidP="00137AE1">
      <w:pPr>
        <w:ind w:firstLine="708"/>
        <w:jc w:val="both"/>
        <w:rPr>
          <w:lang w:val="de-DE"/>
        </w:rPr>
      </w:pPr>
      <w:r w:rsidRPr="004676F5">
        <w:rPr>
          <w:lang w:val="de-DE"/>
        </w:rPr>
        <w:t>3. die Vertragsabtretung oder die Abtretung beziehungsweise der Übergang der Rechte aus dem Kreditvertrag unter Missachtung der Bedingungen von Artikel VII.147/17 erfolgt ist,</w:t>
      </w:r>
    </w:p>
    <w:p w14:paraId="67D89C71" w14:textId="77777777" w:rsidR="00137AE1" w:rsidRPr="004676F5" w:rsidRDefault="00137AE1" w:rsidP="00137AE1">
      <w:pPr>
        <w:ind w:firstLine="708"/>
        <w:jc w:val="both"/>
        <w:rPr>
          <w:lang w:val="de-DE"/>
        </w:rPr>
      </w:pPr>
    </w:p>
    <w:p w14:paraId="7BF68ED0" w14:textId="77777777" w:rsidR="00137AE1" w:rsidRPr="004676F5" w:rsidRDefault="00137AE1" w:rsidP="00137AE1">
      <w:pPr>
        <w:ind w:firstLine="708"/>
        <w:jc w:val="both"/>
        <w:rPr>
          <w:lang w:val="de-DE"/>
        </w:rPr>
      </w:pPr>
      <w:r w:rsidRPr="004676F5">
        <w:rPr>
          <w:lang w:val="de-DE"/>
        </w:rPr>
        <w:t>4. ein Kreditvertrag geschlossen worden ist:</w:t>
      </w:r>
    </w:p>
    <w:p w14:paraId="3CD1B3C1" w14:textId="77777777" w:rsidR="00137AE1" w:rsidRPr="004676F5" w:rsidRDefault="00137AE1" w:rsidP="00137AE1">
      <w:pPr>
        <w:ind w:firstLine="708"/>
        <w:jc w:val="both"/>
        <w:rPr>
          <w:lang w:val="de-DE"/>
        </w:rPr>
      </w:pPr>
    </w:p>
    <w:p w14:paraId="53E9C60F" w14:textId="26517C09" w:rsidR="00137AE1" w:rsidRPr="004676F5" w:rsidRDefault="00137AE1" w:rsidP="00137AE1">
      <w:pPr>
        <w:ind w:firstLine="708"/>
        <w:jc w:val="both"/>
        <w:rPr>
          <w:lang w:val="de-DE"/>
        </w:rPr>
      </w:pPr>
      <w:r w:rsidRPr="004676F5">
        <w:rPr>
          <w:i/>
          <w:lang w:val="de-DE"/>
        </w:rPr>
        <w:t>a) </w:t>
      </w:r>
      <w:r w:rsidRPr="004676F5">
        <w:rPr>
          <w:lang w:val="de-DE"/>
        </w:rPr>
        <w:t>von einem Kreditgeber, der nicht gemäß den zum Zeitpunkt der Gewährung des Kredits anwendbaren Gesetzes</w:t>
      </w:r>
      <w:r w:rsidR="005B7A5C" w:rsidRPr="004676F5">
        <w:rPr>
          <w:lang w:val="de-DE"/>
        </w:rPr>
        <w:t>- </w:t>
      </w:r>
      <w:r w:rsidRPr="004676F5">
        <w:rPr>
          <w:lang w:val="de-DE"/>
        </w:rPr>
        <w:t>oder Verordnungsbestimmungen zugelassen oder registriert ist,</w:t>
      </w:r>
    </w:p>
    <w:p w14:paraId="4A600A36" w14:textId="77777777" w:rsidR="00137AE1" w:rsidRPr="004676F5" w:rsidRDefault="00137AE1" w:rsidP="00137AE1">
      <w:pPr>
        <w:ind w:firstLine="708"/>
        <w:jc w:val="both"/>
        <w:rPr>
          <w:lang w:val="de-DE"/>
        </w:rPr>
      </w:pPr>
    </w:p>
    <w:p w14:paraId="61748E82" w14:textId="77777777" w:rsidR="00137AE1" w:rsidRPr="004676F5" w:rsidRDefault="00137AE1" w:rsidP="00137AE1">
      <w:pPr>
        <w:ind w:firstLine="708"/>
        <w:jc w:val="both"/>
        <w:rPr>
          <w:lang w:val="de-DE"/>
        </w:rPr>
      </w:pPr>
      <w:r w:rsidRPr="004676F5">
        <w:rPr>
          <w:i/>
          <w:lang w:val="de-DE"/>
        </w:rPr>
        <w:t>b) </w:t>
      </w:r>
      <w:r w:rsidRPr="004676F5">
        <w:rPr>
          <w:lang w:val="de-DE"/>
        </w:rPr>
        <w:t>von einem Kreditgeber, der zuvor auf diese Registrierung beziehungsweise Zulassung verzichtet hat,</w:t>
      </w:r>
    </w:p>
    <w:p w14:paraId="4F8C09B6" w14:textId="77777777" w:rsidR="00137AE1" w:rsidRPr="004676F5" w:rsidRDefault="00137AE1" w:rsidP="00137AE1">
      <w:pPr>
        <w:ind w:firstLine="708"/>
        <w:jc w:val="both"/>
        <w:rPr>
          <w:lang w:val="de-DE"/>
        </w:rPr>
      </w:pPr>
    </w:p>
    <w:p w14:paraId="4A5D67F4" w14:textId="4B9FDA5F" w:rsidR="00137AE1" w:rsidRPr="004676F5" w:rsidRDefault="00137AE1" w:rsidP="00137AE1">
      <w:pPr>
        <w:ind w:firstLine="708"/>
        <w:jc w:val="both"/>
        <w:rPr>
          <w:lang w:val="de-DE"/>
        </w:rPr>
      </w:pPr>
      <w:r w:rsidRPr="004676F5">
        <w:rPr>
          <w:i/>
          <w:lang w:val="de-DE"/>
        </w:rPr>
        <w:t>c) </w:t>
      </w:r>
      <w:r w:rsidRPr="004676F5">
        <w:rPr>
          <w:lang w:val="de-DE"/>
        </w:rPr>
        <w:t>über einen Kreditvermittler, der nicht gemäß den zum Zeitpunkt der Gewährung des Kredits anwendbaren Gesetzes</w:t>
      </w:r>
      <w:r w:rsidR="005B7A5C" w:rsidRPr="004676F5">
        <w:rPr>
          <w:lang w:val="de-DE"/>
        </w:rPr>
        <w:t>- </w:t>
      </w:r>
      <w:r w:rsidRPr="004676F5">
        <w:rPr>
          <w:lang w:val="de-DE"/>
        </w:rPr>
        <w:t>oder Verordnungsbestimmungen eingetragen ist,</w:t>
      </w:r>
    </w:p>
    <w:p w14:paraId="7C69D780" w14:textId="77777777" w:rsidR="00137AE1" w:rsidRPr="004676F5" w:rsidRDefault="00137AE1" w:rsidP="00137AE1">
      <w:pPr>
        <w:ind w:firstLine="708"/>
        <w:jc w:val="both"/>
        <w:rPr>
          <w:lang w:val="de-DE"/>
        </w:rPr>
      </w:pPr>
    </w:p>
    <w:p w14:paraId="037D3DDE" w14:textId="77777777" w:rsidR="00137AE1" w:rsidRPr="004676F5" w:rsidRDefault="00137AE1" w:rsidP="00137AE1">
      <w:pPr>
        <w:ind w:firstLine="708"/>
        <w:jc w:val="both"/>
        <w:rPr>
          <w:lang w:val="de-DE"/>
        </w:rPr>
      </w:pPr>
      <w:r w:rsidRPr="004676F5">
        <w:rPr>
          <w:i/>
          <w:lang w:val="de-DE"/>
        </w:rPr>
        <w:t>d) </w:t>
      </w:r>
      <w:r w:rsidRPr="004676F5">
        <w:rPr>
          <w:lang w:val="de-DE"/>
        </w:rPr>
        <w:t>von einem Kreditgeber, dessen Zulassung oder Registrierung vorher gestrichen, entzogen oder ausgesetzt worden ist oder der gemäß Artikel XV.67/3 einem Verbot unterliegt,</w:t>
      </w:r>
    </w:p>
    <w:p w14:paraId="76BB2491" w14:textId="77777777" w:rsidR="00137AE1" w:rsidRPr="004676F5" w:rsidRDefault="00137AE1" w:rsidP="00137AE1">
      <w:pPr>
        <w:ind w:firstLine="708"/>
        <w:jc w:val="both"/>
        <w:rPr>
          <w:lang w:val="de-DE"/>
        </w:rPr>
      </w:pPr>
    </w:p>
    <w:p w14:paraId="0476D45A" w14:textId="77777777" w:rsidR="00137AE1" w:rsidRPr="004676F5" w:rsidRDefault="00137AE1" w:rsidP="00137AE1">
      <w:pPr>
        <w:ind w:firstLine="708"/>
        <w:jc w:val="both"/>
        <w:rPr>
          <w:lang w:val="de-DE"/>
        </w:rPr>
      </w:pPr>
      <w:r w:rsidRPr="004676F5">
        <w:rPr>
          <w:i/>
          <w:lang w:val="de-DE"/>
        </w:rPr>
        <w:t>e) </w:t>
      </w:r>
      <w:r w:rsidRPr="004676F5">
        <w:rPr>
          <w:lang w:val="de-DE"/>
        </w:rPr>
        <w:t>über einen Kreditvermittler, dessen Eintragung vorher gestrichen oder ausgesetzt worden ist oder der gemäß Artikel XV.68 einem Verbot unterliegt.</w:t>
      </w:r>
    </w:p>
    <w:p w14:paraId="5DBD35F8" w14:textId="77777777" w:rsidR="00137AE1" w:rsidRPr="004676F5" w:rsidRDefault="00137AE1" w:rsidP="00137AE1">
      <w:pPr>
        <w:ind w:firstLine="708"/>
        <w:jc w:val="both"/>
        <w:rPr>
          <w:lang w:val="de-DE"/>
        </w:rPr>
      </w:pPr>
    </w:p>
    <w:p w14:paraId="3ECC4A8E" w14:textId="77777777" w:rsidR="00137AE1" w:rsidRPr="004676F5" w:rsidRDefault="00137AE1" w:rsidP="00137AE1">
      <w:pPr>
        <w:ind w:firstLine="708"/>
        <w:jc w:val="both"/>
        <w:rPr>
          <w:lang w:val="de-DE"/>
        </w:rPr>
      </w:pPr>
      <w:r w:rsidRPr="004676F5">
        <w:rPr>
          <w:lang w:val="de-DE"/>
        </w:rPr>
        <w:t>In diesen Fällen behält der Verbraucher den Vorteil der Zahlung in Raten.</w:t>
      </w:r>
    </w:p>
    <w:p w14:paraId="3E54ECCC" w14:textId="77777777" w:rsidR="00137AE1" w:rsidRPr="004676F5" w:rsidRDefault="00137AE1" w:rsidP="00137AE1">
      <w:pPr>
        <w:ind w:firstLine="708"/>
        <w:jc w:val="both"/>
        <w:rPr>
          <w:lang w:val="de-DE"/>
        </w:rPr>
      </w:pPr>
    </w:p>
    <w:p w14:paraId="5B0D2553" w14:textId="77777777" w:rsidR="00137AE1" w:rsidRPr="004676F5" w:rsidRDefault="00137AE1" w:rsidP="00137AE1">
      <w:pPr>
        <w:ind w:firstLine="708"/>
        <w:jc w:val="both"/>
        <w:rPr>
          <w:lang w:val="de-DE"/>
        </w:rPr>
      </w:pPr>
      <w:r w:rsidRPr="004676F5">
        <w:rPr>
          <w:lang w:val="de-DE"/>
        </w:rPr>
        <w:t>Absatz 1 Nr. 4 ist nicht anwendbar wenn:</w:t>
      </w:r>
    </w:p>
    <w:p w14:paraId="225DCB7A" w14:textId="77777777" w:rsidR="00137AE1" w:rsidRPr="004676F5" w:rsidRDefault="00137AE1" w:rsidP="00137AE1">
      <w:pPr>
        <w:ind w:firstLine="708"/>
        <w:jc w:val="both"/>
        <w:rPr>
          <w:lang w:val="de-DE"/>
        </w:rPr>
      </w:pPr>
    </w:p>
    <w:p w14:paraId="0353D77F" w14:textId="77777777" w:rsidR="00137AE1" w:rsidRPr="004676F5" w:rsidRDefault="00137AE1" w:rsidP="00137AE1">
      <w:pPr>
        <w:ind w:firstLine="708"/>
        <w:jc w:val="both"/>
        <w:rPr>
          <w:lang w:val="de-DE"/>
        </w:rPr>
      </w:pPr>
      <w:r w:rsidRPr="004676F5">
        <w:rPr>
          <w:lang w:val="de-DE"/>
        </w:rPr>
        <w:t>1. der betreffende Kreditgeber ein Kreditinstitut, ein E-Geld-Institut oder ein Zahlungsinstitut, das dem Recht eines anderen Mitgliedstaats des Europäischen Wirtschafts</w:t>
      </w:r>
      <w:r w:rsidRPr="004676F5">
        <w:rPr>
          <w:lang w:val="de-DE"/>
        </w:rPr>
        <w:softHyphen/>
        <w:t>raums unterliegt, beziehungsweise ein in Artikel 332 des Gesetzes vom 25. April 2014 erwähntes Finanzinstitut, das aufgrund seines nationalen Rechts in seinem Herkunftsmitglied</w:t>
      </w:r>
      <w:r w:rsidRPr="004676F5">
        <w:rPr>
          <w:lang w:val="de-DE"/>
        </w:rPr>
        <w:softHyphen/>
        <w:t>staat Verbraucherkreditverträge gewähren darf, ist, das seine Tätigkeiten in Belgien über Errichtung einer Zweigstelle oder im Rahmen des freien Dienstleistungsverkehrs ausübt, ohne dass die zu diesem Zweck durch die europäischen Richtlinien vorgeschriebenen Formalitäten erfüllt worden sind,</w:t>
      </w:r>
    </w:p>
    <w:p w14:paraId="427EE440" w14:textId="77777777" w:rsidR="00137AE1" w:rsidRPr="004676F5" w:rsidRDefault="00137AE1" w:rsidP="00137AE1">
      <w:pPr>
        <w:ind w:firstLine="708"/>
        <w:jc w:val="both"/>
        <w:rPr>
          <w:lang w:val="de-DE"/>
        </w:rPr>
      </w:pPr>
    </w:p>
    <w:p w14:paraId="19073F2D" w14:textId="77777777" w:rsidR="00137AE1" w:rsidRPr="004676F5" w:rsidRDefault="00137AE1" w:rsidP="00137AE1">
      <w:pPr>
        <w:ind w:firstLine="708"/>
        <w:jc w:val="both"/>
        <w:rPr>
          <w:lang w:val="de-DE"/>
        </w:rPr>
      </w:pPr>
      <w:r w:rsidRPr="004676F5">
        <w:rPr>
          <w:lang w:val="de-DE"/>
        </w:rPr>
        <w:t>2. der betreffende Vermittler ein in Artikel VII.183 § 2 erwähnter Hypothekarkredit</w:t>
      </w:r>
      <w:r w:rsidRPr="004676F5">
        <w:rPr>
          <w:lang w:val="de-DE"/>
        </w:rPr>
        <w:softHyphen/>
        <w:t>vermittler ist und die zu diesem Zweck durch die europäischen Richtlinien vorgeschriebenen Formalitäten nicht erfüllt worden sind.</w:t>
      </w:r>
    </w:p>
    <w:p w14:paraId="460F563F" w14:textId="77777777" w:rsidR="00137AE1" w:rsidRPr="004676F5" w:rsidRDefault="00137AE1" w:rsidP="00137AE1">
      <w:pPr>
        <w:ind w:firstLine="708"/>
        <w:jc w:val="both"/>
        <w:rPr>
          <w:lang w:val="de-DE"/>
        </w:rPr>
      </w:pPr>
    </w:p>
    <w:p w14:paraId="556C91DE" w14:textId="77777777" w:rsidR="00137AE1" w:rsidRPr="004676F5" w:rsidRDefault="00137AE1" w:rsidP="00137AE1">
      <w:pPr>
        <w:ind w:firstLine="708"/>
        <w:jc w:val="both"/>
        <w:rPr>
          <w:lang w:val="de-DE"/>
        </w:rPr>
      </w:pPr>
    </w:p>
    <w:p w14:paraId="4124C977" w14:textId="139E7239" w:rsidR="00137AE1" w:rsidRPr="004676F5" w:rsidRDefault="00BE0A56" w:rsidP="00137AE1">
      <w:pPr>
        <w:ind w:firstLine="708"/>
        <w:jc w:val="both"/>
        <w:rPr>
          <w:lang w:val="de-DE"/>
        </w:rPr>
      </w:pPr>
      <w:r w:rsidRPr="004676F5">
        <w:rPr>
          <w:b/>
          <w:lang w:val="de-DE"/>
        </w:rPr>
        <w:t>Art. </w:t>
      </w:r>
      <w:r w:rsidR="00137AE1" w:rsidRPr="004676F5">
        <w:rPr>
          <w:b/>
          <w:lang w:val="de-DE"/>
        </w:rPr>
        <w:t>VII.211</w:t>
      </w:r>
      <w:r w:rsidR="00137AE1" w:rsidRPr="004676F5">
        <w:rPr>
          <w:lang w:val="de-DE"/>
        </w:rPr>
        <w:t> </w:t>
      </w:r>
      <w:r w:rsidR="005B7A5C" w:rsidRPr="004676F5">
        <w:rPr>
          <w:lang w:val="de-DE"/>
        </w:rPr>
        <w:t>- </w:t>
      </w:r>
      <w:r w:rsidR="00137AE1" w:rsidRPr="004676F5">
        <w:rPr>
          <w:lang w:val="de-DE"/>
        </w:rPr>
        <w:t>Der Verbraucher kann die Erstattung der von ihm gezahlten Beträge zuzüglich gesetzlicher Zinsen fordern, wenn eine Zahlung trotz des in den Artikeln VII.137, VII.140 und VII.141, VII.147/3</w:t>
      </w:r>
      <w:r w:rsidR="00CE7C89">
        <w:rPr>
          <w:lang w:val="de-DE"/>
        </w:rPr>
        <w:t xml:space="preserve">[, </w:t>
      </w:r>
      <w:r w:rsidR="00CE7C89" w:rsidRPr="00FE0D0B">
        <w:rPr>
          <w:lang w:val="de-DE"/>
        </w:rPr>
        <w:t>VII.147/20 § 1 Absatz 4</w:t>
      </w:r>
      <w:r w:rsidR="00CE7C89">
        <w:rPr>
          <w:lang w:val="de-DE"/>
        </w:rPr>
        <w:t>]</w:t>
      </w:r>
      <w:r w:rsidR="00137AE1" w:rsidRPr="004676F5">
        <w:rPr>
          <w:lang w:val="de-DE"/>
        </w:rPr>
        <w:t xml:space="preserve"> und VII.147/30 § 1 erwähnten Verbots oder im Rahmen eines durch Artikel VII.147/31 verbotenen Schuldenvermittlungsgeschäfts geleistet worden ist. </w:t>
      </w:r>
    </w:p>
    <w:p w14:paraId="3B51AF93" w14:textId="77777777" w:rsidR="00137AE1" w:rsidRDefault="00137AE1" w:rsidP="00CE7C89">
      <w:pPr>
        <w:jc w:val="both"/>
        <w:rPr>
          <w:lang w:val="de-DE"/>
        </w:rPr>
      </w:pPr>
    </w:p>
    <w:p w14:paraId="41E6E40D" w14:textId="2D868993" w:rsidR="00CE7C89" w:rsidRDefault="00CE7C89" w:rsidP="00CE7C89">
      <w:pPr>
        <w:jc w:val="both"/>
        <w:rPr>
          <w:i/>
          <w:iCs/>
          <w:lang w:val="de-DE"/>
        </w:rPr>
      </w:pPr>
      <w:r>
        <w:rPr>
          <w:i/>
          <w:iCs/>
          <w:lang w:val="de-DE"/>
        </w:rPr>
        <w:t>[Art. VII.211 abgeändert durch Art. 52</w:t>
      </w:r>
      <w:r w:rsidRPr="00CE7C89">
        <w:rPr>
          <w:i/>
          <w:iCs/>
          <w:lang w:val="de-DE"/>
        </w:rPr>
        <w:t xml:space="preserve"> des G. vom 20. Dezember 2024 (B.S. vom 14. Januar 2025)</w:t>
      </w:r>
      <w:r>
        <w:rPr>
          <w:i/>
          <w:iCs/>
          <w:lang w:val="de-DE"/>
        </w:rPr>
        <w:t>]</w:t>
      </w:r>
    </w:p>
    <w:p w14:paraId="6D3C06B3" w14:textId="77777777" w:rsidR="00CE7C89" w:rsidRPr="00CE7C89" w:rsidRDefault="00CE7C89" w:rsidP="00CE7C89">
      <w:pPr>
        <w:jc w:val="both"/>
        <w:rPr>
          <w:i/>
          <w:iCs/>
          <w:lang w:val="de-DE"/>
        </w:rPr>
      </w:pPr>
    </w:p>
    <w:p w14:paraId="47C96FF8" w14:textId="77777777" w:rsidR="00137AE1" w:rsidRPr="004676F5" w:rsidRDefault="00137AE1" w:rsidP="00137AE1">
      <w:pPr>
        <w:ind w:firstLine="708"/>
        <w:jc w:val="both"/>
        <w:rPr>
          <w:lang w:val="de-DE"/>
        </w:rPr>
      </w:pPr>
    </w:p>
    <w:p w14:paraId="15D96792" w14:textId="5A757B0D" w:rsidR="00137AE1" w:rsidRPr="004676F5" w:rsidRDefault="00BE0A56" w:rsidP="00137AE1">
      <w:pPr>
        <w:ind w:firstLine="708"/>
        <w:jc w:val="both"/>
        <w:rPr>
          <w:lang w:val="de-DE"/>
        </w:rPr>
      </w:pPr>
      <w:r w:rsidRPr="004676F5">
        <w:rPr>
          <w:b/>
          <w:lang w:val="de-DE"/>
        </w:rPr>
        <w:t>Art. </w:t>
      </w:r>
      <w:r w:rsidR="00137AE1" w:rsidRPr="004676F5">
        <w:rPr>
          <w:b/>
          <w:lang w:val="de-DE"/>
        </w:rPr>
        <w:t>VII.212</w:t>
      </w:r>
      <w:r w:rsidR="00137AE1" w:rsidRPr="004676F5">
        <w:rPr>
          <w:lang w:val="de-DE"/>
        </w:rPr>
        <w:t> </w:t>
      </w:r>
      <w:r w:rsidR="005B7A5C" w:rsidRPr="004676F5">
        <w:rPr>
          <w:lang w:val="de-DE"/>
        </w:rPr>
        <w:t>- </w:t>
      </w:r>
      <w:r w:rsidR="00137AE1" w:rsidRPr="004676F5">
        <w:rPr>
          <w:lang w:val="de-DE"/>
        </w:rPr>
        <w:t>Wenn ein Kreditgeber oder Kreditvermittler trotz des in Artikel VII.147/3 § 1 Absatz 1 erwähnten Verbots eine Zahlung leistet, muss der Verbraucher die geleistete Zahlung nicht erstatten, die gelieferte Dienstleistung oder die gelieferte Ware nicht bezahlen und letztere nicht zurückgeben.</w:t>
      </w:r>
    </w:p>
    <w:p w14:paraId="506703C9" w14:textId="77777777" w:rsidR="00137AE1" w:rsidRPr="004676F5" w:rsidRDefault="00137AE1" w:rsidP="00137AE1">
      <w:pPr>
        <w:ind w:firstLine="708"/>
        <w:jc w:val="both"/>
        <w:rPr>
          <w:lang w:val="de-DE"/>
        </w:rPr>
      </w:pPr>
    </w:p>
    <w:p w14:paraId="1B091542" w14:textId="77777777" w:rsidR="00137AE1" w:rsidRPr="004676F5" w:rsidRDefault="00137AE1" w:rsidP="00137AE1">
      <w:pPr>
        <w:ind w:firstLine="708"/>
        <w:jc w:val="both"/>
        <w:rPr>
          <w:lang w:val="de-DE"/>
        </w:rPr>
      </w:pPr>
    </w:p>
    <w:p w14:paraId="46813348" w14:textId="2D7FFF51" w:rsidR="00137AE1" w:rsidRPr="004676F5" w:rsidRDefault="00BE0A56" w:rsidP="00137AE1">
      <w:pPr>
        <w:ind w:firstLine="708"/>
        <w:jc w:val="both"/>
        <w:rPr>
          <w:lang w:val="de-DE"/>
        </w:rPr>
      </w:pPr>
      <w:bookmarkStart w:id="3" w:name="_Hlk181713837"/>
      <w:r w:rsidRPr="004676F5">
        <w:rPr>
          <w:b/>
          <w:lang w:val="de-DE"/>
        </w:rPr>
        <w:t>Art. </w:t>
      </w:r>
      <w:r w:rsidR="00137AE1" w:rsidRPr="004676F5">
        <w:rPr>
          <w:b/>
          <w:lang w:val="de-DE"/>
        </w:rPr>
        <w:t>VII.213</w:t>
      </w:r>
      <w:bookmarkEnd w:id="3"/>
      <w:r w:rsidR="00137AE1" w:rsidRPr="004676F5">
        <w:rPr>
          <w:lang w:val="de-DE"/>
        </w:rPr>
        <w:t> </w:t>
      </w:r>
      <w:r w:rsidR="005B7A5C" w:rsidRPr="004676F5">
        <w:rPr>
          <w:lang w:val="de-DE"/>
        </w:rPr>
        <w:t>- </w:t>
      </w:r>
      <w:r w:rsidR="00137AE1" w:rsidRPr="004676F5">
        <w:rPr>
          <w:lang w:val="de-DE"/>
        </w:rPr>
        <w:t>Wenn in vorliegendem Buch nicht vorgesehene Strafen oder Schaden</w:t>
      </w:r>
      <w:r w:rsidR="00137AE1" w:rsidRPr="004676F5">
        <w:rPr>
          <w:lang w:val="de-DE"/>
        </w:rPr>
        <w:softHyphen/>
        <w:t>ersatz</w:t>
      </w:r>
      <w:r w:rsidR="00137AE1" w:rsidRPr="004676F5">
        <w:rPr>
          <w:lang w:val="de-DE"/>
        </w:rPr>
        <w:softHyphen/>
        <w:t>leistungen vom Verbraucher oder von der Person, die eine Sicherheit leistet, verlangt werden, sind diese von Rechts wegen vollständig davon entbunden.</w:t>
      </w:r>
    </w:p>
    <w:p w14:paraId="659934BC" w14:textId="77777777" w:rsidR="00137AE1" w:rsidRPr="004676F5" w:rsidRDefault="00137AE1" w:rsidP="00137AE1">
      <w:pPr>
        <w:ind w:firstLine="708"/>
        <w:jc w:val="both"/>
        <w:rPr>
          <w:lang w:val="de-DE"/>
        </w:rPr>
      </w:pPr>
    </w:p>
    <w:p w14:paraId="70EF6048" w14:textId="77777777" w:rsidR="00CE7C89" w:rsidRDefault="00CE7C89">
      <w:pPr>
        <w:rPr>
          <w:lang w:val="de-DE"/>
        </w:rPr>
      </w:pPr>
      <w:r>
        <w:rPr>
          <w:lang w:val="de-DE"/>
        </w:rPr>
        <w:br w:type="page"/>
      </w:r>
    </w:p>
    <w:p w14:paraId="4188F97F" w14:textId="32DA049A" w:rsidR="00137AE1" w:rsidRPr="004676F5" w:rsidRDefault="00137AE1" w:rsidP="00137AE1">
      <w:pPr>
        <w:ind w:firstLine="708"/>
        <w:jc w:val="both"/>
        <w:rPr>
          <w:lang w:val="de-DE"/>
        </w:rPr>
      </w:pPr>
      <w:r w:rsidRPr="004676F5">
        <w:rPr>
          <w:lang w:val="de-DE"/>
        </w:rPr>
        <w:lastRenderedPageBreak/>
        <w:t xml:space="preserve">Wenn der Richter außerdem urteilt, dass die für den Fall der Nichterfüllung des Vertrags vereinbarten oder in diesem Fall angewandten Strafen oder Schadenersatzleistungen, unter anderem in Form von </w:t>
      </w:r>
      <w:r w:rsidR="00C85AFC" w:rsidRPr="004676F5">
        <w:rPr>
          <w:lang w:val="de-DE"/>
        </w:rPr>
        <w:t>[Entschädigungsklauseln]</w:t>
      </w:r>
      <w:r w:rsidRPr="004676F5">
        <w:rPr>
          <w:lang w:val="de-DE"/>
        </w:rPr>
        <w:t>, übertrieben oder ungerechtfertigt sind, kann er diese von Amts wegen ermäßigen oder den Verbraucher ganz davon befreien.</w:t>
      </w:r>
    </w:p>
    <w:p w14:paraId="3ED857E0" w14:textId="77777777" w:rsidR="00137AE1" w:rsidRPr="004676F5" w:rsidRDefault="00137AE1" w:rsidP="00137AE1">
      <w:pPr>
        <w:ind w:firstLine="708"/>
        <w:jc w:val="both"/>
        <w:rPr>
          <w:lang w:val="de-DE"/>
        </w:rPr>
      </w:pPr>
    </w:p>
    <w:p w14:paraId="33324822" w14:textId="2DD92E3A" w:rsidR="00C85AFC" w:rsidRPr="004676F5" w:rsidRDefault="00C85AFC" w:rsidP="00C85AFC">
      <w:pPr>
        <w:jc w:val="both"/>
        <w:rPr>
          <w:i/>
          <w:iCs/>
          <w:lang w:val="de-DE"/>
        </w:rPr>
      </w:pPr>
      <w:r w:rsidRPr="004676F5">
        <w:rPr>
          <w:i/>
          <w:iCs/>
          <w:lang w:val="de-DE"/>
        </w:rPr>
        <w:t>[Art.</w:t>
      </w:r>
      <w:r w:rsidR="00880421" w:rsidRPr="004676F5">
        <w:rPr>
          <w:i/>
          <w:iCs/>
          <w:lang w:val="de-DE"/>
        </w:rPr>
        <w:t> </w:t>
      </w:r>
      <w:r w:rsidRPr="004676F5">
        <w:rPr>
          <w:i/>
          <w:iCs/>
          <w:lang w:val="de-DE"/>
        </w:rPr>
        <w:t>VII.213 Abs. 2 abgeändert durch Art. 22 des G. vom 28. April 2022 (B.S. vom 1. Juli 2022)]</w:t>
      </w:r>
    </w:p>
    <w:p w14:paraId="0CB004F2" w14:textId="77777777" w:rsidR="00137AE1" w:rsidRPr="004676F5" w:rsidRDefault="00137AE1" w:rsidP="00137AE1">
      <w:pPr>
        <w:ind w:firstLine="708"/>
        <w:jc w:val="both"/>
        <w:rPr>
          <w:lang w:val="de-DE"/>
        </w:rPr>
      </w:pPr>
    </w:p>
    <w:p w14:paraId="3DA131DD" w14:textId="77777777" w:rsidR="00C85AFC" w:rsidRPr="004676F5" w:rsidRDefault="00C85AFC" w:rsidP="00137AE1">
      <w:pPr>
        <w:ind w:firstLine="708"/>
        <w:jc w:val="both"/>
        <w:rPr>
          <w:lang w:val="de-DE"/>
        </w:rPr>
      </w:pPr>
    </w:p>
    <w:p w14:paraId="57BA5FDA" w14:textId="3AC3C11A" w:rsidR="00137AE1" w:rsidRPr="004676F5" w:rsidRDefault="00BE0A56" w:rsidP="00137AE1">
      <w:pPr>
        <w:ind w:firstLine="708"/>
        <w:jc w:val="both"/>
        <w:rPr>
          <w:lang w:val="de-DE"/>
        </w:rPr>
      </w:pPr>
      <w:r w:rsidRPr="004676F5">
        <w:rPr>
          <w:b/>
          <w:lang w:val="de-DE"/>
        </w:rPr>
        <w:t>Art. </w:t>
      </w:r>
      <w:r w:rsidR="00137AE1" w:rsidRPr="004676F5">
        <w:rPr>
          <w:b/>
          <w:lang w:val="de-DE"/>
        </w:rPr>
        <w:t>VII.214</w:t>
      </w:r>
      <w:r w:rsidR="00137AE1" w:rsidRPr="004676F5">
        <w:rPr>
          <w:lang w:val="de-DE"/>
        </w:rPr>
        <w:t> </w:t>
      </w:r>
      <w:r w:rsidR="005B7A5C" w:rsidRPr="004676F5">
        <w:rPr>
          <w:lang w:val="de-DE"/>
        </w:rPr>
        <w:t>- </w:t>
      </w:r>
      <w:r w:rsidR="00137AE1" w:rsidRPr="004676F5">
        <w:rPr>
          <w:lang w:val="de-DE"/>
        </w:rPr>
        <w:t>Werden die in den Artikeln </w:t>
      </w:r>
      <w:r w:rsidR="00CE7C89">
        <w:rPr>
          <w:lang w:val="de-DE"/>
        </w:rPr>
        <w:t>[</w:t>
      </w:r>
      <w:r w:rsidR="00137AE1" w:rsidRPr="004676F5">
        <w:rPr>
          <w:lang w:val="de-DE"/>
        </w:rPr>
        <w:t>VII.143 §§ 2 bis 4</w:t>
      </w:r>
      <w:r w:rsidR="00CE7C89">
        <w:rPr>
          <w:lang w:val="de-DE"/>
        </w:rPr>
        <w:t xml:space="preserve"> und 8]</w:t>
      </w:r>
      <w:r w:rsidR="00137AE1" w:rsidRPr="004676F5">
        <w:rPr>
          <w:lang w:val="de-DE"/>
        </w:rPr>
        <w:t>, VII.147/14 und VII. 147/22 § 4 erwähnten Bestimmungen nicht eingehalten, ist der Verbraucher von Rechts wegen für den Zeitraum, auf den der Verstoß sich bezieht, von Zinsen und Kosten befreit.</w:t>
      </w:r>
    </w:p>
    <w:p w14:paraId="23FC00EB" w14:textId="4140C223" w:rsidR="00137AE1" w:rsidRDefault="00137AE1" w:rsidP="00137AE1">
      <w:pPr>
        <w:rPr>
          <w:lang w:val="de-DE"/>
        </w:rPr>
      </w:pPr>
    </w:p>
    <w:p w14:paraId="79EEA68A" w14:textId="7B7EBFDD" w:rsidR="00CE7C89" w:rsidRDefault="00CE7C89" w:rsidP="00CE7C89">
      <w:pPr>
        <w:jc w:val="both"/>
        <w:rPr>
          <w:i/>
          <w:iCs/>
          <w:lang w:val="de-DE"/>
        </w:rPr>
      </w:pPr>
      <w:r>
        <w:rPr>
          <w:i/>
          <w:iCs/>
          <w:lang w:val="de-DE"/>
        </w:rPr>
        <w:t>[Art. VII.214 abgeändert durch Art. 53</w:t>
      </w:r>
      <w:r w:rsidRPr="00CE7C89">
        <w:rPr>
          <w:i/>
          <w:iCs/>
          <w:lang w:val="de-DE"/>
        </w:rPr>
        <w:t xml:space="preserve"> des G. vom 20. Dezember 2024 (B.S. vom 14. Januar 2025)</w:t>
      </w:r>
      <w:r>
        <w:rPr>
          <w:i/>
          <w:iCs/>
          <w:lang w:val="de-DE"/>
        </w:rPr>
        <w:t>]</w:t>
      </w:r>
    </w:p>
    <w:p w14:paraId="5F373A6F" w14:textId="77777777" w:rsidR="00CE7C89" w:rsidRPr="00CE7C89" w:rsidRDefault="00CE7C89" w:rsidP="00137AE1">
      <w:pPr>
        <w:rPr>
          <w:i/>
          <w:iCs/>
          <w:lang w:val="de-DE"/>
        </w:rPr>
      </w:pPr>
    </w:p>
    <w:p w14:paraId="15BBFF3B" w14:textId="77777777" w:rsidR="00137AE1" w:rsidRPr="004676F5" w:rsidRDefault="00137AE1" w:rsidP="00137AE1">
      <w:pPr>
        <w:ind w:firstLine="708"/>
        <w:jc w:val="both"/>
        <w:rPr>
          <w:lang w:val="de-DE"/>
        </w:rPr>
      </w:pPr>
    </w:p>
    <w:p w14:paraId="683B3553" w14:textId="70588F7D" w:rsidR="00137AE1" w:rsidRPr="004676F5" w:rsidRDefault="00BE0A56" w:rsidP="00137AE1">
      <w:pPr>
        <w:ind w:firstLine="708"/>
        <w:jc w:val="both"/>
        <w:rPr>
          <w:lang w:val="de-DE"/>
        </w:rPr>
      </w:pPr>
      <w:r w:rsidRPr="004676F5">
        <w:rPr>
          <w:b/>
          <w:lang w:val="de-DE"/>
        </w:rPr>
        <w:t>Art. </w:t>
      </w:r>
      <w:r w:rsidR="00137AE1" w:rsidRPr="004676F5">
        <w:rPr>
          <w:b/>
          <w:lang w:val="de-DE"/>
        </w:rPr>
        <w:t>VII.214/1</w:t>
      </w:r>
      <w:r w:rsidR="00137AE1" w:rsidRPr="004676F5">
        <w:rPr>
          <w:lang w:val="de-DE"/>
        </w:rPr>
        <w:t> </w:t>
      </w:r>
      <w:r w:rsidR="005B7A5C" w:rsidRPr="004676F5">
        <w:rPr>
          <w:lang w:val="de-DE"/>
        </w:rPr>
        <w:t>- </w:t>
      </w:r>
      <w:r w:rsidR="00137AE1" w:rsidRPr="004676F5">
        <w:rPr>
          <w:lang w:val="de-DE"/>
        </w:rPr>
        <w:t>Wenn infolge der Nichteinhaltung von Artikel VII.134 § 3 Nr. 5:</w:t>
      </w:r>
    </w:p>
    <w:p w14:paraId="4279A883" w14:textId="77777777" w:rsidR="00137AE1" w:rsidRPr="004676F5" w:rsidRDefault="00137AE1" w:rsidP="00137AE1">
      <w:pPr>
        <w:ind w:firstLine="708"/>
        <w:jc w:val="both"/>
        <w:rPr>
          <w:lang w:val="de-DE"/>
        </w:rPr>
      </w:pPr>
    </w:p>
    <w:p w14:paraId="504290FD" w14:textId="705B134E" w:rsidR="00137AE1" w:rsidRPr="004676F5" w:rsidRDefault="00137AE1" w:rsidP="00137AE1">
      <w:pPr>
        <w:ind w:firstLine="708"/>
        <w:jc w:val="both"/>
        <w:rPr>
          <w:lang w:val="de-DE"/>
        </w:rPr>
      </w:pPr>
      <w:r w:rsidRPr="004676F5">
        <w:rPr>
          <w:lang w:val="de-DE"/>
        </w:rPr>
        <w:t>1. die Höhe der Tilgungs</w:t>
      </w:r>
      <w:r w:rsidR="005B7A5C" w:rsidRPr="004676F5">
        <w:rPr>
          <w:lang w:val="de-DE"/>
        </w:rPr>
        <w:t>- </w:t>
      </w:r>
      <w:r w:rsidRPr="004676F5">
        <w:rPr>
          <w:lang w:val="de-DE"/>
        </w:rPr>
        <w:t>oder Wiederherstellungszahlungen nicht bestimmt werden kann, muss der Verbraucher derartige Zahlungen nicht leisten,</w:t>
      </w:r>
    </w:p>
    <w:p w14:paraId="24C12D3A" w14:textId="77777777" w:rsidR="00137AE1" w:rsidRPr="004676F5" w:rsidRDefault="00137AE1" w:rsidP="00137AE1">
      <w:pPr>
        <w:ind w:firstLine="708"/>
        <w:jc w:val="both"/>
        <w:rPr>
          <w:lang w:val="de-DE"/>
        </w:rPr>
      </w:pPr>
    </w:p>
    <w:p w14:paraId="21F0D274" w14:textId="77777777" w:rsidR="00137AE1" w:rsidRPr="004676F5" w:rsidRDefault="00137AE1" w:rsidP="00137AE1">
      <w:pPr>
        <w:ind w:firstLine="708"/>
        <w:jc w:val="both"/>
        <w:rPr>
          <w:lang w:val="de-DE"/>
        </w:rPr>
      </w:pPr>
      <w:r w:rsidRPr="004676F5">
        <w:rPr>
          <w:lang w:val="de-DE"/>
        </w:rPr>
        <w:t>2. die Zeitpunkte und Bedingungen für die Entrichtung periodischer Lasten, Zinsen oder Wiederherstellungszahlungen nicht bestimmt werden können, muss der Verbraucher sie nur an den Jahrestagen des Kredits zahlen.</w:t>
      </w:r>
    </w:p>
    <w:p w14:paraId="2EC67173" w14:textId="77777777" w:rsidR="00137AE1" w:rsidRPr="004676F5" w:rsidRDefault="00137AE1" w:rsidP="00137AE1">
      <w:pPr>
        <w:ind w:firstLine="708"/>
        <w:jc w:val="both"/>
        <w:rPr>
          <w:lang w:val="de-DE"/>
        </w:rPr>
      </w:pPr>
    </w:p>
    <w:p w14:paraId="0DFB234B" w14:textId="77777777" w:rsidR="00137AE1" w:rsidRPr="004676F5" w:rsidRDefault="00137AE1" w:rsidP="00137AE1">
      <w:pPr>
        <w:ind w:firstLine="708"/>
        <w:jc w:val="both"/>
        <w:rPr>
          <w:lang w:val="de-DE"/>
        </w:rPr>
      </w:pPr>
    </w:p>
    <w:p w14:paraId="7685B7E7" w14:textId="3B3EA36F" w:rsidR="00137AE1" w:rsidRPr="004676F5" w:rsidRDefault="00BE0A56" w:rsidP="00137AE1">
      <w:pPr>
        <w:ind w:firstLine="708"/>
        <w:jc w:val="both"/>
        <w:rPr>
          <w:lang w:val="de-DE"/>
        </w:rPr>
      </w:pPr>
      <w:r w:rsidRPr="004676F5">
        <w:rPr>
          <w:b/>
          <w:lang w:val="de-DE"/>
        </w:rPr>
        <w:t>Art. </w:t>
      </w:r>
      <w:r w:rsidR="00137AE1" w:rsidRPr="004676F5">
        <w:rPr>
          <w:b/>
          <w:lang w:val="de-DE"/>
        </w:rPr>
        <w:t>VII.214/2</w:t>
      </w:r>
      <w:r w:rsidR="00137AE1" w:rsidRPr="004676F5">
        <w:rPr>
          <w:lang w:val="de-DE"/>
        </w:rPr>
        <w:t> </w:t>
      </w:r>
      <w:r w:rsidR="005B7A5C" w:rsidRPr="004676F5">
        <w:rPr>
          <w:lang w:val="de-DE"/>
        </w:rPr>
        <w:t>- </w:t>
      </w:r>
      <w:r w:rsidR="00137AE1" w:rsidRPr="004676F5">
        <w:rPr>
          <w:lang w:val="de-DE"/>
        </w:rPr>
        <w:t>Der Verbraucher ist von den Zinsen für den Teil der Zahlungen, die unter Verstoß gegen Artikel VII.147/5 Absatz 1 und 4 vor Lieferung der Ware oder Erbringung der Dienstleistung erfolgt sind, befreit.</w:t>
      </w:r>
    </w:p>
    <w:p w14:paraId="02ED19F3" w14:textId="77777777" w:rsidR="00137AE1" w:rsidRPr="004676F5" w:rsidRDefault="00137AE1" w:rsidP="00137AE1">
      <w:pPr>
        <w:ind w:firstLine="708"/>
        <w:jc w:val="both"/>
        <w:rPr>
          <w:lang w:val="de-DE"/>
        </w:rPr>
      </w:pPr>
    </w:p>
    <w:p w14:paraId="5D092AA9" w14:textId="77777777" w:rsidR="00137AE1" w:rsidRPr="004676F5" w:rsidRDefault="00137AE1" w:rsidP="00137AE1">
      <w:pPr>
        <w:ind w:firstLine="708"/>
        <w:jc w:val="both"/>
        <w:rPr>
          <w:lang w:val="de-DE"/>
        </w:rPr>
      </w:pPr>
    </w:p>
    <w:p w14:paraId="43B675C1" w14:textId="7F8988BA" w:rsidR="00137AE1" w:rsidRPr="004676F5" w:rsidRDefault="00BE0A56" w:rsidP="00137AE1">
      <w:pPr>
        <w:ind w:firstLine="708"/>
        <w:jc w:val="both"/>
        <w:rPr>
          <w:lang w:val="de-DE"/>
        </w:rPr>
      </w:pPr>
      <w:r w:rsidRPr="004676F5">
        <w:rPr>
          <w:b/>
          <w:lang w:val="de-DE"/>
        </w:rPr>
        <w:t>Art. </w:t>
      </w:r>
      <w:r w:rsidR="00137AE1" w:rsidRPr="004676F5">
        <w:rPr>
          <w:b/>
          <w:lang w:val="de-DE"/>
        </w:rPr>
        <w:t>VII.214/3</w:t>
      </w:r>
      <w:r w:rsidR="00137AE1" w:rsidRPr="004676F5">
        <w:rPr>
          <w:lang w:val="de-DE"/>
        </w:rPr>
        <w:t> </w:t>
      </w:r>
      <w:r w:rsidR="005B7A5C" w:rsidRPr="004676F5">
        <w:rPr>
          <w:lang w:val="de-DE"/>
        </w:rPr>
        <w:t>- </w:t>
      </w:r>
      <w:r w:rsidR="00137AE1" w:rsidRPr="004676F5">
        <w:rPr>
          <w:lang w:val="de-DE"/>
        </w:rPr>
        <w:t>Werden die Bestimmungen von Artikel VII.139 Absatz 1 nicht einge</w:t>
      </w:r>
      <w:r w:rsidR="00137AE1" w:rsidRPr="004676F5">
        <w:rPr>
          <w:lang w:val="de-DE"/>
        </w:rPr>
        <w:softHyphen/>
        <w:t>halten, erhält der Verbraucher das Recht, die Nichtigkeit des Kauf</w:t>
      </w:r>
      <w:r w:rsidR="005B7A5C" w:rsidRPr="004676F5">
        <w:rPr>
          <w:lang w:val="de-DE"/>
        </w:rPr>
        <w:t>- </w:t>
      </w:r>
      <w:r w:rsidR="00137AE1" w:rsidRPr="004676F5">
        <w:rPr>
          <w:lang w:val="de-DE"/>
        </w:rPr>
        <w:t>oder Dienstleistungsvertrags zu verlangen und vom Verkäufer oder Dienstleistungserbringer die Rückzahlung bereits geleisteter Zahlungen zu fordern.</w:t>
      </w:r>
    </w:p>
    <w:p w14:paraId="49D04E38" w14:textId="77777777" w:rsidR="00137AE1" w:rsidRPr="004676F5" w:rsidRDefault="00137AE1" w:rsidP="00137AE1">
      <w:pPr>
        <w:ind w:firstLine="708"/>
        <w:jc w:val="both"/>
        <w:rPr>
          <w:lang w:val="de-DE"/>
        </w:rPr>
      </w:pPr>
    </w:p>
    <w:p w14:paraId="5755A3C4" w14:textId="77777777" w:rsidR="00137AE1" w:rsidRPr="004676F5" w:rsidRDefault="00137AE1" w:rsidP="00137AE1">
      <w:pPr>
        <w:ind w:firstLine="708"/>
        <w:jc w:val="both"/>
        <w:rPr>
          <w:lang w:val="de-DE"/>
        </w:rPr>
      </w:pPr>
    </w:p>
    <w:p w14:paraId="0B7885DA" w14:textId="2BBE287E" w:rsidR="00137AE1" w:rsidRPr="004676F5" w:rsidRDefault="00BE0A56" w:rsidP="00137AE1">
      <w:pPr>
        <w:ind w:firstLine="708"/>
        <w:jc w:val="both"/>
        <w:rPr>
          <w:lang w:val="de-DE"/>
        </w:rPr>
      </w:pPr>
      <w:r w:rsidRPr="004676F5">
        <w:rPr>
          <w:b/>
          <w:lang w:val="de-DE"/>
        </w:rPr>
        <w:t>Art. </w:t>
      </w:r>
      <w:r w:rsidR="00137AE1" w:rsidRPr="004676F5">
        <w:rPr>
          <w:b/>
          <w:lang w:val="de-DE"/>
        </w:rPr>
        <w:t>VII.214/4</w:t>
      </w:r>
      <w:r w:rsidR="00137AE1" w:rsidRPr="004676F5">
        <w:rPr>
          <w:lang w:val="de-DE"/>
        </w:rPr>
        <w:t> </w:t>
      </w:r>
      <w:r w:rsidR="005B7A5C" w:rsidRPr="004676F5">
        <w:rPr>
          <w:lang w:val="de-DE"/>
        </w:rPr>
        <w:t>- </w:t>
      </w:r>
      <w:r w:rsidR="00137AE1" w:rsidRPr="004676F5">
        <w:rPr>
          <w:lang w:val="de-DE"/>
        </w:rPr>
        <w:t>Hat der Verbraucher versäumt, die in Artikel VII.126 erwähnten Auskünfte mitzuteilen, oder hat er falsche Auskünfte mitgeteilt, kann der Richter unbeschadet der gemeinrechtlichen Sanktionen die Auflösung des Vertrags zu Lasten des Verbrauchers anordnen.</w:t>
      </w:r>
    </w:p>
    <w:p w14:paraId="29B3A209" w14:textId="77777777" w:rsidR="00137AE1" w:rsidRPr="004676F5" w:rsidRDefault="00137AE1" w:rsidP="00137AE1">
      <w:pPr>
        <w:ind w:firstLine="708"/>
        <w:jc w:val="both"/>
        <w:rPr>
          <w:lang w:val="de-DE"/>
        </w:rPr>
      </w:pPr>
    </w:p>
    <w:p w14:paraId="6B5C02B1" w14:textId="77777777" w:rsidR="00137AE1" w:rsidRPr="004676F5" w:rsidRDefault="00137AE1" w:rsidP="00137AE1">
      <w:pPr>
        <w:ind w:firstLine="708"/>
        <w:jc w:val="both"/>
        <w:rPr>
          <w:lang w:val="de-DE"/>
        </w:rPr>
      </w:pPr>
    </w:p>
    <w:p w14:paraId="43E02ED2" w14:textId="3CEFAA7A" w:rsidR="00137AE1" w:rsidRPr="004676F5" w:rsidRDefault="00BE0A56" w:rsidP="00137AE1">
      <w:pPr>
        <w:ind w:firstLine="708"/>
        <w:jc w:val="both"/>
        <w:rPr>
          <w:lang w:val="de-DE"/>
        </w:rPr>
      </w:pPr>
      <w:r w:rsidRPr="004676F5">
        <w:rPr>
          <w:b/>
          <w:lang w:val="de-DE"/>
        </w:rPr>
        <w:t>Art. </w:t>
      </w:r>
      <w:r w:rsidR="00137AE1" w:rsidRPr="004676F5">
        <w:rPr>
          <w:b/>
          <w:lang w:val="de-DE"/>
        </w:rPr>
        <w:t>VII.214/5</w:t>
      </w:r>
      <w:r w:rsidR="00137AE1" w:rsidRPr="004676F5">
        <w:rPr>
          <w:lang w:val="de-DE"/>
        </w:rPr>
        <w:t> </w:t>
      </w:r>
      <w:r w:rsidR="005B7A5C" w:rsidRPr="004676F5">
        <w:rPr>
          <w:lang w:val="de-DE"/>
        </w:rPr>
        <w:t>- </w:t>
      </w:r>
      <w:r w:rsidR="00137AE1" w:rsidRPr="004676F5">
        <w:rPr>
          <w:lang w:val="de-DE"/>
        </w:rPr>
        <w:t>Wer unter Verstoß gegen Artikel VII.147/1 einen Wechsel oder Eigenwechsel unterzeichnen lässt oder einen Scheck als Bezahlung oder als Sicherheit für die Rückzahlung des gesamten oder eines Teils des geschuldeten Betrags annimmt, muss dem Verbraucher die Gesamtkosten des Kredits zurückzahlen.</w:t>
      </w:r>
    </w:p>
    <w:p w14:paraId="0A710522" w14:textId="77777777" w:rsidR="00137AE1" w:rsidRPr="004676F5" w:rsidRDefault="00137AE1" w:rsidP="00137AE1">
      <w:pPr>
        <w:ind w:firstLine="708"/>
        <w:jc w:val="both"/>
        <w:rPr>
          <w:lang w:val="de-DE"/>
        </w:rPr>
      </w:pPr>
    </w:p>
    <w:p w14:paraId="2CDEB0D6" w14:textId="77777777" w:rsidR="00137AE1" w:rsidRPr="004676F5" w:rsidRDefault="00137AE1" w:rsidP="00137AE1">
      <w:pPr>
        <w:ind w:firstLine="708"/>
        <w:jc w:val="both"/>
        <w:rPr>
          <w:lang w:val="de-DE"/>
        </w:rPr>
      </w:pPr>
    </w:p>
    <w:p w14:paraId="7632C028" w14:textId="34675BB2" w:rsidR="00137AE1" w:rsidRPr="004676F5" w:rsidRDefault="00BE0A56" w:rsidP="00137AE1">
      <w:pPr>
        <w:ind w:firstLine="708"/>
        <w:jc w:val="both"/>
        <w:rPr>
          <w:lang w:val="de-DE"/>
        </w:rPr>
      </w:pPr>
      <w:r w:rsidRPr="004676F5">
        <w:rPr>
          <w:b/>
          <w:lang w:val="de-DE"/>
        </w:rPr>
        <w:lastRenderedPageBreak/>
        <w:t>Art. </w:t>
      </w:r>
      <w:r w:rsidR="00137AE1" w:rsidRPr="004676F5">
        <w:rPr>
          <w:b/>
          <w:lang w:val="de-DE"/>
        </w:rPr>
        <w:t>VII.214/6</w:t>
      </w:r>
      <w:r w:rsidR="00137AE1" w:rsidRPr="004676F5">
        <w:rPr>
          <w:lang w:val="de-DE"/>
        </w:rPr>
        <w:t> </w:t>
      </w:r>
      <w:r w:rsidR="005B7A5C" w:rsidRPr="004676F5">
        <w:rPr>
          <w:lang w:val="de-DE"/>
        </w:rPr>
        <w:t>- </w:t>
      </w:r>
      <w:r w:rsidR="00137AE1" w:rsidRPr="004676F5">
        <w:rPr>
          <w:lang w:val="de-DE"/>
        </w:rPr>
        <w:t>Die Person, die eine Sicherheit leistet, wird von jeder Verbindlichkeit befreit, wenn sie entgegen Artikel VII.147/26 nicht vorab eine Ausfertigung des Kreditvertrags erhalten hat.</w:t>
      </w:r>
    </w:p>
    <w:p w14:paraId="1402A423" w14:textId="77777777" w:rsidR="00137AE1" w:rsidRPr="004676F5" w:rsidRDefault="00137AE1" w:rsidP="00137AE1">
      <w:pPr>
        <w:ind w:firstLine="708"/>
        <w:jc w:val="both"/>
        <w:rPr>
          <w:lang w:val="de-DE"/>
        </w:rPr>
      </w:pPr>
    </w:p>
    <w:p w14:paraId="445F91E1" w14:textId="77777777" w:rsidR="00137AE1" w:rsidRPr="004676F5" w:rsidRDefault="00137AE1" w:rsidP="00137AE1">
      <w:pPr>
        <w:ind w:firstLine="708"/>
        <w:jc w:val="both"/>
        <w:rPr>
          <w:lang w:val="de-DE"/>
        </w:rPr>
      </w:pPr>
    </w:p>
    <w:p w14:paraId="216C434D" w14:textId="2C9BBFB8" w:rsidR="00137AE1" w:rsidRPr="004676F5" w:rsidRDefault="00BE0A56" w:rsidP="00137AE1">
      <w:pPr>
        <w:ind w:firstLine="708"/>
        <w:jc w:val="both"/>
        <w:rPr>
          <w:lang w:val="de-DE"/>
        </w:rPr>
      </w:pPr>
      <w:r w:rsidRPr="004676F5">
        <w:rPr>
          <w:b/>
          <w:lang w:val="de-DE"/>
        </w:rPr>
        <w:t>Art. </w:t>
      </w:r>
      <w:r w:rsidR="00137AE1" w:rsidRPr="004676F5">
        <w:rPr>
          <w:b/>
          <w:lang w:val="de-DE"/>
        </w:rPr>
        <w:t>VII.214/7</w:t>
      </w:r>
      <w:r w:rsidR="00137AE1" w:rsidRPr="004676F5">
        <w:rPr>
          <w:lang w:val="de-DE"/>
        </w:rPr>
        <w:t> </w:t>
      </w:r>
      <w:r w:rsidR="005B7A5C" w:rsidRPr="004676F5">
        <w:rPr>
          <w:lang w:val="de-DE"/>
        </w:rPr>
        <w:t>- </w:t>
      </w:r>
      <w:r w:rsidR="00137AE1" w:rsidRPr="004676F5">
        <w:rPr>
          <w:lang w:val="de-DE"/>
        </w:rPr>
        <w:t>Die Rücknahme des betreffenden beweglichen Sachguts unter Verstoß gegen Artikel VII.147/25 führt zur Auflösung des Kreditvertrags. Der Kreditgeber muss geleistete Zahlungen innerhalb dreißig Tagen vollständig erstatten.</w:t>
      </w:r>
    </w:p>
    <w:p w14:paraId="515E9D4A" w14:textId="77777777" w:rsidR="00137AE1" w:rsidRPr="004676F5" w:rsidRDefault="00137AE1" w:rsidP="00137AE1">
      <w:pPr>
        <w:ind w:firstLine="708"/>
        <w:jc w:val="both"/>
        <w:rPr>
          <w:lang w:val="de-DE"/>
        </w:rPr>
      </w:pPr>
    </w:p>
    <w:p w14:paraId="35C50231" w14:textId="77777777" w:rsidR="00137AE1" w:rsidRPr="004676F5" w:rsidRDefault="00137AE1" w:rsidP="00137AE1">
      <w:pPr>
        <w:ind w:firstLine="708"/>
        <w:jc w:val="both"/>
        <w:rPr>
          <w:lang w:val="de-DE"/>
        </w:rPr>
      </w:pPr>
    </w:p>
    <w:p w14:paraId="61F1D143" w14:textId="7C9D3912" w:rsidR="00137AE1" w:rsidRPr="004676F5" w:rsidRDefault="00BE0A56" w:rsidP="00137AE1">
      <w:pPr>
        <w:ind w:firstLine="708"/>
        <w:jc w:val="both"/>
        <w:rPr>
          <w:lang w:val="de-DE"/>
        </w:rPr>
      </w:pPr>
      <w:r w:rsidRPr="004676F5">
        <w:rPr>
          <w:b/>
          <w:lang w:val="de-DE"/>
        </w:rPr>
        <w:t>Art. </w:t>
      </w:r>
      <w:r w:rsidR="00137AE1" w:rsidRPr="004676F5">
        <w:rPr>
          <w:b/>
          <w:lang w:val="de-DE"/>
        </w:rPr>
        <w:t>VII.214/8</w:t>
      </w:r>
      <w:r w:rsidR="00137AE1" w:rsidRPr="004676F5">
        <w:rPr>
          <w:lang w:val="de-DE"/>
        </w:rPr>
        <w:t> </w:t>
      </w:r>
      <w:r w:rsidR="005B7A5C" w:rsidRPr="004676F5">
        <w:rPr>
          <w:lang w:val="de-DE"/>
        </w:rPr>
        <w:t>- </w:t>
      </w:r>
      <w:r w:rsidR="00137AE1" w:rsidRPr="004676F5">
        <w:rPr>
          <w:lang w:val="de-DE"/>
        </w:rPr>
        <w:t>Keine Provision wird geschuldet, wenn der Kreditvertrag aufgelöst oder gekündigt wird oder Gegenstand einer sofortigen Fälligkeit ist und der Kreditvermittler die Bestimmungen des Artikels VII.147/30 nicht eingehalten hat.</w:t>
      </w:r>
    </w:p>
    <w:p w14:paraId="14F5F1C7" w14:textId="77777777" w:rsidR="00137AE1" w:rsidRPr="004676F5" w:rsidRDefault="00137AE1" w:rsidP="00137AE1">
      <w:pPr>
        <w:ind w:firstLine="708"/>
        <w:jc w:val="both"/>
        <w:rPr>
          <w:lang w:val="de-DE"/>
        </w:rPr>
      </w:pPr>
    </w:p>
    <w:p w14:paraId="3A490B20" w14:textId="77777777" w:rsidR="00137AE1" w:rsidRPr="004676F5" w:rsidRDefault="00137AE1" w:rsidP="00137AE1">
      <w:pPr>
        <w:ind w:firstLine="708"/>
        <w:jc w:val="both"/>
        <w:rPr>
          <w:lang w:val="de-DE"/>
        </w:rPr>
      </w:pPr>
    </w:p>
    <w:p w14:paraId="1F3CAE6F" w14:textId="340F49F2" w:rsidR="00137AE1" w:rsidRPr="004676F5" w:rsidRDefault="00BE0A56" w:rsidP="00137AE1">
      <w:pPr>
        <w:ind w:firstLine="708"/>
        <w:jc w:val="both"/>
        <w:rPr>
          <w:lang w:val="de-DE"/>
        </w:rPr>
      </w:pPr>
      <w:r w:rsidRPr="004676F5">
        <w:rPr>
          <w:b/>
          <w:lang w:val="de-DE"/>
        </w:rPr>
        <w:t>Art. </w:t>
      </w:r>
      <w:r w:rsidR="00137AE1" w:rsidRPr="004676F5">
        <w:rPr>
          <w:b/>
          <w:lang w:val="de-DE"/>
        </w:rPr>
        <w:t>VII.214/9</w:t>
      </w:r>
      <w:r w:rsidR="00137AE1" w:rsidRPr="004676F5">
        <w:rPr>
          <w:lang w:val="de-DE"/>
        </w:rPr>
        <w:t> </w:t>
      </w:r>
      <w:r w:rsidR="005B7A5C" w:rsidRPr="004676F5">
        <w:rPr>
          <w:lang w:val="de-DE"/>
        </w:rPr>
        <w:t>- </w:t>
      </w:r>
      <w:r w:rsidR="00137AE1" w:rsidRPr="004676F5">
        <w:rPr>
          <w:lang w:val="de-DE"/>
        </w:rPr>
        <w:t>Von Rechts wegen nichtig sind:</w:t>
      </w:r>
    </w:p>
    <w:p w14:paraId="75FC89B3" w14:textId="77777777" w:rsidR="00137AE1" w:rsidRPr="004676F5" w:rsidRDefault="00137AE1" w:rsidP="00137AE1">
      <w:pPr>
        <w:ind w:firstLine="708"/>
        <w:jc w:val="both"/>
        <w:rPr>
          <w:lang w:val="de-DE"/>
        </w:rPr>
      </w:pPr>
    </w:p>
    <w:p w14:paraId="743B8CC3" w14:textId="77777777" w:rsidR="00137AE1" w:rsidRPr="004676F5" w:rsidRDefault="00137AE1" w:rsidP="00137AE1">
      <w:pPr>
        <w:ind w:firstLine="708"/>
        <w:jc w:val="both"/>
        <w:rPr>
          <w:lang w:val="de-DE"/>
        </w:rPr>
      </w:pPr>
      <w:r w:rsidRPr="004676F5">
        <w:rPr>
          <w:lang w:val="de-DE"/>
        </w:rPr>
        <w:t>1. Beifügung oder Zusatz eines Vertrags, der nicht in Artikel VII.146 erwähnt ist,</w:t>
      </w:r>
    </w:p>
    <w:p w14:paraId="2B94150B" w14:textId="77777777" w:rsidR="00137AE1" w:rsidRPr="004676F5" w:rsidRDefault="00137AE1" w:rsidP="00137AE1">
      <w:pPr>
        <w:ind w:firstLine="708"/>
        <w:jc w:val="both"/>
        <w:rPr>
          <w:lang w:val="de-DE"/>
        </w:rPr>
      </w:pPr>
    </w:p>
    <w:p w14:paraId="6AF818BE" w14:textId="77777777" w:rsidR="00137AE1" w:rsidRPr="004676F5" w:rsidRDefault="00137AE1" w:rsidP="00137AE1">
      <w:pPr>
        <w:ind w:firstLine="708"/>
        <w:jc w:val="both"/>
        <w:rPr>
          <w:lang w:val="de-DE"/>
        </w:rPr>
      </w:pPr>
      <w:r w:rsidRPr="004676F5">
        <w:rPr>
          <w:lang w:val="de-DE"/>
        </w:rPr>
        <w:t>2. Klauseln, die im Widerspruch zu den Artikeln VII.147 und VII.147/1 stehen.</w:t>
      </w:r>
    </w:p>
    <w:p w14:paraId="4ADA1162" w14:textId="77777777" w:rsidR="00137AE1" w:rsidRPr="004676F5" w:rsidRDefault="00137AE1" w:rsidP="00137AE1">
      <w:pPr>
        <w:ind w:firstLine="708"/>
        <w:jc w:val="both"/>
        <w:rPr>
          <w:lang w:val="de-DE"/>
        </w:rPr>
      </w:pPr>
    </w:p>
    <w:p w14:paraId="2AD9A6DB" w14:textId="77777777" w:rsidR="00137AE1" w:rsidRPr="004676F5" w:rsidRDefault="00137AE1" w:rsidP="00137AE1">
      <w:pPr>
        <w:ind w:firstLine="708"/>
        <w:jc w:val="both"/>
        <w:rPr>
          <w:lang w:val="de-DE"/>
        </w:rPr>
      </w:pPr>
    </w:p>
    <w:p w14:paraId="7AE2F99E" w14:textId="1C4699DF" w:rsidR="00137AE1" w:rsidRPr="004676F5" w:rsidRDefault="00BE0A56" w:rsidP="00137AE1">
      <w:pPr>
        <w:ind w:firstLine="708"/>
        <w:jc w:val="both"/>
        <w:rPr>
          <w:lang w:val="de-DE"/>
        </w:rPr>
      </w:pPr>
      <w:r w:rsidRPr="004676F5">
        <w:rPr>
          <w:b/>
          <w:lang w:val="de-DE"/>
        </w:rPr>
        <w:t>Art. </w:t>
      </w:r>
      <w:r w:rsidR="00137AE1" w:rsidRPr="004676F5">
        <w:rPr>
          <w:b/>
          <w:lang w:val="de-DE"/>
        </w:rPr>
        <w:t>VII.214/10</w:t>
      </w:r>
      <w:r w:rsidR="00137AE1" w:rsidRPr="004676F5">
        <w:rPr>
          <w:lang w:val="de-DE"/>
        </w:rPr>
        <w:t> </w:t>
      </w:r>
      <w:r w:rsidR="005B7A5C" w:rsidRPr="004676F5">
        <w:rPr>
          <w:lang w:val="de-DE"/>
        </w:rPr>
        <w:t>- </w:t>
      </w:r>
      <w:r w:rsidR="00137AE1" w:rsidRPr="004676F5">
        <w:rPr>
          <w:lang w:val="de-DE"/>
        </w:rPr>
        <w:t>§ 1 </w:t>
      </w:r>
      <w:r w:rsidR="005B7A5C" w:rsidRPr="004676F5">
        <w:rPr>
          <w:lang w:val="de-DE"/>
        </w:rPr>
        <w:t>- </w:t>
      </w:r>
      <w:r w:rsidR="00137AE1" w:rsidRPr="004676F5">
        <w:rPr>
          <w:lang w:val="de-DE"/>
        </w:rPr>
        <w:t>Wenn ein Kreditgeber oder Kreditvermittler unbeschadet der Anwendung der vorhergehenden Bestimmungen des vorliegenden Kapitels die Verpflich</w:t>
      </w:r>
      <w:r w:rsidR="00137AE1" w:rsidRPr="004676F5">
        <w:rPr>
          <w:lang w:val="de-DE"/>
        </w:rPr>
        <w:softHyphen/>
        <w:t>tungen oder Verbote von Titel 4 Kapitel 2 oder seiner Ausführungserlasse nicht einhält, darf der Verbraucher den Kredit jederzeit und ohne jegliche Entschädigung zu seinen Lasten zurückzahlen. Macht der Verbraucher von diesem Recht Gebrauch und kann der Sollzinssatz oder der periodische Zinssatz nicht bestimmt werden, weil der Kreditvertrag nicht die erforderlichen Angaben enthält, werden aufgelaufene Zinsen zum gesetzlichen Zinssatz berechnet.</w:t>
      </w:r>
    </w:p>
    <w:p w14:paraId="708F2F56" w14:textId="77777777" w:rsidR="00137AE1" w:rsidRPr="004676F5" w:rsidRDefault="00137AE1" w:rsidP="00137AE1">
      <w:pPr>
        <w:ind w:firstLine="708"/>
        <w:jc w:val="both"/>
        <w:rPr>
          <w:lang w:val="de-DE"/>
        </w:rPr>
      </w:pPr>
    </w:p>
    <w:p w14:paraId="4017E9B5" w14:textId="4CE2B224" w:rsidR="00C76F75" w:rsidRPr="004676F5" w:rsidRDefault="00137AE1" w:rsidP="00137AE1">
      <w:pPr>
        <w:ind w:firstLine="708"/>
        <w:rPr>
          <w:lang w:val="de-DE"/>
        </w:rPr>
      </w:pPr>
      <w:r w:rsidRPr="004676F5">
        <w:rPr>
          <w:lang w:val="de-DE"/>
        </w:rPr>
        <w:t>§ 2 </w:t>
      </w:r>
      <w:r w:rsidR="005B7A5C" w:rsidRPr="004676F5">
        <w:rPr>
          <w:lang w:val="de-DE"/>
        </w:rPr>
        <w:t>- </w:t>
      </w:r>
      <w:r w:rsidRPr="004676F5">
        <w:rPr>
          <w:lang w:val="de-DE"/>
        </w:rPr>
        <w:t>Das in § 1 erwähnte Recht beeinträchtigt keine anderen Rechte beziehungsweise Rechtsmittel, die der Verbraucher geltend machen kann.]</w:t>
      </w:r>
    </w:p>
    <w:p w14:paraId="706D9B25" w14:textId="77777777" w:rsidR="00137AE1" w:rsidRPr="004676F5" w:rsidRDefault="00137AE1" w:rsidP="00137AE1">
      <w:pPr>
        <w:ind w:firstLine="708"/>
        <w:rPr>
          <w:lang w:val="de-DE"/>
        </w:rPr>
      </w:pPr>
    </w:p>
    <w:p w14:paraId="37E5C4D7" w14:textId="77777777" w:rsidR="00137AE1" w:rsidRPr="004676F5" w:rsidRDefault="00137AE1" w:rsidP="00881814">
      <w:pPr>
        <w:jc w:val="center"/>
        <w:rPr>
          <w:lang w:val="de-DE"/>
        </w:rPr>
      </w:pPr>
      <w:r w:rsidRPr="004676F5">
        <w:rPr>
          <w:lang w:val="de-DE"/>
        </w:rPr>
        <w:br/>
      </w:r>
    </w:p>
    <w:p w14:paraId="04BD4340" w14:textId="77777777" w:rsidR="00137AE1" w:rsidRPr="004676F5" w:rsidRDefault="00137AE1">
      <w:pPr>
        <w:rPr>
          <w:lang w:val="de-DE"/>
        </w:rPr>
      </w:pPr>
      <w:r w:rsidRPr="004676F5">
        <w:rPr>
          <w:lang w:val="de-DE"/>
        </w:rPr>
        <w:br w:type="page"/>
      </w:r>
    </w:p>
    <w:p w14:paraId="6BC9AB3D" w14:textId="31971816" w:rsidR="00881814" w:rsidRPr="004676F5" w:rsidRDefault="00881814" w:rsidP="00881814">
      <w:pPr>
        <w:jc w:val="center"/>
        <w:rPr>
          <w:lang w:val="de-DE"/>
        </w:rPr>
      </w:pPr>
      <w:r w:rsidRPr="004676F5">
        <w:rPr>
          <w:lang w:val="de-DE"/>
        </w:rPr>
        <w:lastRenderedPageBreak/>
        <w:t>KAPITEL 4 </w:t>
      </w:r>
      <w:r w:rsidR="005B7A5C" w:rsidRPr="004676F5">
        <w:rPr>
          <w:lang w:val="de-DE"/>
        </w:rPr>
        <w:t>- </w:t>
      </w:r>
      <w:r w:rsidRPr="004676F5">
        <w:rPr>
          <w:i/>
          <w:lang w:val="de-DE"/>
        </w:rPr>
        <w:t>Gemeinsame Bestimmungen</w:t>
      </w:r>
    </w:p>
    <w:p w14:paraId="32BB3DD2" w14:textId="77777777" w:rsidR="00881814" w:rsidRPr="004676F5" w:rsidRDefault="00881814" w:rsidP="00881814">
      <w:pPr>
        <w:ind w:firstLine="708"/>
        <w:jc w:val="both"/>
        <w:rPr>
          <w:lang w:val="de-DE"/>
        </w:rPr>
      </w:pPr>
    </w:p>
    <w:p w14:paraId="543F621A" w14:textId="77777777" w:rsidR="003C352D" w:rsidRPr="004676F5" w:rsidRDefault="003C352D" w:rsidP="00881814">
      <w:pPr>
        <w:ind w:firstLine="708"/>
        <w:jc w:val="both"/>
        <w:rPr>
          <w:lang w:val="de-DE"/>
        </w:rPr>
      </w:pPr>
    </w:p>
    <w:p w14:paraId="1EA35DDB" w14:textId="359AD753" w:rsidR="00881814" w:rsidRPr="004676F5" w:rsidRDefault="00BE0A56" w:rsidP="00881814">
      <w:pPr>
        <w:ind w:firstLine="708"/>
        <w:jc w:val="both"/>
        <w:rPr>
          <w:lang w:val="de-DE"/>
        </w:rPr>
      </w:pPr>
      <w:r w:rsidRPr="004676F5">
        <w:rPr>
          <w:b/>
          <w:lang w:val="de-DE"/>
        </w:rPr>
        <w:t>Art. </w:t>
      </w:r>
      <w:r w:rsidR="00881814" w:rsidRPr="004676F5">
        <w:rPr>
          <w:b/>
          <w:lang w:val="de-DE"/>
        </w:rPr>
        <w:t>VII.215</w:t>
      </w:r>
      <w:r w:rsidR="00881814" w:rsidRPr="004676F5">
        <w:rPr>
          <w:lang w:val="de-DE"/>
        </w:rPr>
        <w:t> </w:t>
      </w:r>
      <w:r w:rsidR="005B7A5C" w:rsidRPr="004676F5">
        <w:rPr>
          <w:lang w:val="de-DE"/>
        </w:rPr>
        <w:t>- </w:t>
      </w:r>
      <w:r w:rsidR="00881814" w:rsidRPr="004676F5">
        <w:rPr>
          <w:lang w:val="de-DE"/>
        </w:rPr>
        <w:t>Bei Ablauf einer zehntägigen Frist ab Urteilsverkündung hat der Greffier des Gerichts/des Gerichtshofes den Minister von jedem Urteil/jedem Entscheid, das/der eine oder mehrere zivilrechtliche oder strafrechtliche Sanktionen anwendet, in Kenntnis zu setzen.</w:t>
      </w:r>
    </w:p>
    <w:p w14:paraId="7C546F4D" w14:textId="77777777" w:rsidR="00881814" w:rsidRPr="004676F5" w:rsidRDefault="00881814" w:rsidP="00881814">
      <w:pPr>
        <w:ind w:firstLine="708"/>
        <w:jc w:val="both"/>
        <w:rPr>
          <w:lang w:val="de-DE"/>
        </w:rPr>
      </w:pPr>
    </w:p>
    <w:p w14:paraId="4E3EC785" w14:textId="77777777" w:rsidR="00881814" w:rsidRPr="004676F5" w:rsidRDefault="00881814" w:rsidP="00881814">
      <w:pPr>
        <w:ind w:firstLine="708"/>
        <w:jc w:val="both"/>
        <w:rPr>
          <w:lang w:val="de-DE"/>
        </w:rPr>
      </w:pPr>
      <w:r w:rsidRPr="004676F5">
        <w:rPr>
          <w:lang w:val="de-DE"/>
        </w:rPr>
        <w:t>Der Greffier hat den Minister ebenfalls unverzüglich von jeder Beschwerde gegen eine derartige Entscheidung in Kenntnis zu setzen.</w:t>
      </w:r>
    </w:p>
    <w:p w14:paraId="59791E8B" w14:textId="77777777" w:rsidR="00881814" w:rsidRPr="004676F5" w:rsidRDefault="00881814" w:rsidP="00881814">
      <w:pPr>
        <w:ind w:firstLine="708"/>
        <w:jc w:val="both"/>
        <w:rPr>
          <w:lang w:val="de-DE"/>
        </w:rPr>
      </w:pPr>
    </w:p>
    <w:p w14:paraId="1695A38C" w14:textId="77777777" w:rsidR="003C352D" w:rsidRPr="004676F5" w:rsidRDefault="003C352D">
      <w:pPr>
        <w:rPr>
          <w:b/>
          <w:lang w:val="de-DE"/>
        </w:rPr>
      </w:pPr>
    </w:p>
    <w:p w14:paraId="05AFFEAA" w14:textId="77777777" w:rsidR="00C76F75" w:rsidRPr="004676F5" w:rsidRDefault="00C76F75">
      <w:pPr>
        <w:rPr>
          <w:b/>
          <w:lang w:val="de-DE"/>
        </w:rPr>
      </w:pPr>
      <w:r w:rsidRPr="004676F5">
        <w:rPr>
          <w:b/>
          <w:lang w:val="de-DE"/>
        </w:rPr>
        <w:br w:type="page"/>
      </w:r>
    </w:p>
    <w:p w14:paraId="4BC97A34" w14:textId="040A9B83" w:rsidR="00881814" w:rsidRPr="004676F5" w:rsidRDefault="00881814" w:rsidP="00881814">
      <w:pPr>
        <w:jc w:val="center"/>
        <w:rPr>
          <w:b/>
          <w:lang w:val="de-DE"/>
        </w:rPr>
      </w:pPr>
      <w:r w:rsidRPr="004676F5">
        <w:rPr>
          <w:b/>
          <w:lang w:val="de-DE"/>
        </w:rPr>
        <w:lastRenderedPageBreak/>
        <w:t>TITEL 6 </w:t>
      </w:r>
      <w:r w:rsidR="005B7A5C" w:rsidRPr="004676F5">
        <w:rPr>
          <w:b/>
          <w:lang w:val="de-DE"/>
        </w:rPr>
        <w:t>- </w:t>
      </w:r>
      <w:r w:rsidRPr="004676F5">
        <w:rPr>
          <w:b/>
          <w:i/>
          <w:lang w:val="de-DE"/>
        </w:rPr>
        <w:t>Außergerichtliche Beilegung verbraucherrechtlicher Streitigkeiten</w:t>
      </w:r>
    </w:p>
    <w:p w14:paraId="0B61EA72" w14:textId="77777777" w:rsidR="00881814" w:rsidRPr="004676F5" w:rsidRDefault="00881814" w:rsidP="00881814">
      <w:pPr>
        <w:ind w:firstLine="708"/>
        <w:jc w:val="both"/>
        <w:rPr>
          <w:lang w:val="de-DE"/>
        </w:rPr>
      </w:pPr>
    </w:p>
    <w:p w14:paraId="466BCAD1" w14:textId="77777777" w:rsidR="003C352D" w:rsidRPr="004676F5" w:rsidRDefault="003C352D" w:rsidP="00881814">
      <w:pPr>
        <w:ind w:firstLine="708"/>
        <w:jc w:val="both"/>
        <w:rPr>
          <w:lang w:val="de-DE"/>
        </w:rPr>
      </w:pPr>
    </w:p>
    <w:p w14:paraId="30507EA1" w14:textId="65ED2BD7" w:rsidR="00881814" w:rsidRPr="004676F5" w:rsidRDefault="00BE0A56" w:rsidP="00881814">
      <w:pPr>
        <w:ind w:firstLine="708"/>
        <w:jc w:val="both"/>
        <w:rPr>
          <w:lang w:val="de-DE"/>
        </w:rPr>
      </w:pPr>
      <w:r w:rsidRPr="004676F5">
        <w:rPr>
          <w:b/>
          <w:lang w:val="de-DE"/>
        </w:rPr>
        <w:t>Art. </w:t>
      </w:r>
      <w:r w:rsidR="00881814" w:rsidRPr="004676F5">
        <w:rPr>
          <w:b/>
          <w:lang w:val="de-DE"/>
        </w:rPr>
        <w:t>VII.216</w:t>
      </w:r>
      <w:r w:rsidR="00881814" w:rsidRPr="004676F5">
        <w:rPr>
          <w:lang w:val="de-DE"/>
        </w:rPr>
        <w:t> </w:t>
      </w:r>
      <w:r w:rsidR="005B7A5C" w:rsidRPr="004676F5">
        <w:rPr>
          <w:lang w:val="de-DE"/>
        </w:rPr>
        <w:t>- </w:t>
      </w:r>
      <w:r w:rsidR="00881814" w:rsidRPr="004676F5">
        <w:rPr>
          <w:lang w:val="de-DE"/>
        </w:rPr>
        <w:t xml:space="preserve">Ein außergerichtliches Verfahren der Beschwerdenbearbeitung im Bereich der </w:t>
      </w:r>
      <w:r w:rsidR="000867F3" w:rsidRPr="004676F5">
        <w:rPr>
          <w:lang w:val="de-DE"/>
        </w:rPr>
        <w:t xml:space="preserve">[in vorliegendem Buch erwähnten] </w:t>
      </w:r>
      <w:r w:rsidR="00881814" w:rsidRPr="004676F5">
        <w:rPr>
          <w:lang w:val="de-DE"/>
        </w:rPr>
        <w:t>Finanzdienste wird eingerichtet, mit dem zur Beilegung von Streitigkeiten zwischen einerseits Zahlungsdienstleistern, Kreditgebern oder Kreditvermittlern und andererseits Verbrauchern beigetragen werden soll durch Abgabe von Stellungnahmen oder indem als Vermittler aufgetreten wird.</w:t>
      </w:r>
    </w:p>
    <w:p w14:paraId="1B16C400" w14:textId="77777777" w:rsidR="00881814" w:rsidRPr="004676F5" w:rsidRDefault="00881814" w:rsidP="00881814">
      <w:pPr>
        <w:ind w:firstLine="708"/>
        <w:jc w:val="both"/>
        <w:rPr>
          <w:lang w:val="de-DE"/>
        </w:rPr>
      </w:pPr>
    </w:p>
    <w:p w14:paraId="536A01DA" w14:textId="77777777" w:rsidR="00881814" w:rsidRPr="004676F5" w:rsidRDefault="00881814" w:rsidP="00881814">
      <w:pPr>
        <w:ind w:firstLine="708"/>
        <w:jc w:val="both"/>
        <w:rPr>
          <w:lang w:val="de-DE"/>
        </w:rPr>
      </w:pPr>
      <w:r w:rsidRPr="004676F5">
        <w:rPr>
          <w:lang w:val="de-DE"/>
        </w:rPr>
        <w:t>Dieser Ombudsdienst für Finanzdienstleistungen ist ein unabhängiges Organ, das den Bedingungen des Artikels XVI.25 des Wirtschaftsgesetzbuches entspricht.</w:t>
      </w:r>
    </w:p>
    <w:p w14:paraId="24D5D779" w14:textId="77777777" w:rsidR="00C853B7" w:rsidRPr="004676F5" w:rsidRDefault="00C853B7" w:rsidP="00881814">
      <w:pPr>
        <w:ind w:firstLine="708"/>
        <w:jc w:val="both"/>
        <w:rPr>
          <w:lang w:val="de-DE"/>
        </w:rPr>
      </w:pPr>
    </w:p>
    <w:p w14:paraId="3AB7F72D" w14:textId="77777777" w:rsidR="00C853B7" w:rsidRPr="004676F5" w:rsidRDefault="00C853B7" w:rsidP="00881814">
      <w:pPr>
        <w:ind w:firstLine="708"/>
        <w:jc w:val="both"/>
        <w:rPr>
          <w:lang w:val="de-DE"/>
        </w:rPr>
      </w:pPr>
      <w:r w:rsidRPr="004676F5">
        <w:rPr>
          <w:lang w:val="de-DE"/>
        </w:rPr>
        <w:t>[Zahlungsdienstleister sind verpflichtet, diesem Ombudsdienst beizutreten.]</w:t>
      </w:r>
    </w:p>
    <w:p w14:paraId="3E92585B" w14:textId="77777777" w:rsidR="00C853B7" w:rsidRPr="004676F5" w:rsidRDefault="00C853B7" w:rsidP="00881814">
      <w:pPr>
        <w:ind w:firstLine="708"/>
        <w:jc w:val="both"/>
        <w:rPr>
          <w:lang w:val="de-DE"/>
        </w:rPr>
      </w:pPr>
    </w:p>
    <w:p w14:paraId="0F548130" w14:textId="2895EBFC" w:rsidR="00C853B7" w:rsidRPr="004676F5" w:rsidRDefault="00C853B7" w:rsidP="00C853B7">
      <w:pPr>
        <w:jc w:val="both"/>
        <w:rPr>
          <w:i/>
          <w:lang w:val="de-DE"/>
        </w:rPr>
      </w:pPr>
      <w:r w:rsidRPr="004676F5">
        <w:rPr>
          <w:i/>
          <w:lang w:val="de-DE"/>
        </w:rPr>
        <w:t>[</w:t>
      </w:r>
      <w:r w:rsidR="00BE0A56" w:rsidRPr="004676F5">
        <w:rPr>
          <w:i/>
          <w:lang w:val="de-DE"/>
        </w:rPr>
        <w:t>Art. </w:t>
      </w:r>
      <w:r w:rsidRPr="004676F5">
        <w:rPr>
          <w:i/>
          <w:lang w:val="de-DE"/>
        </w:rPr>
        <w:t xml:space="preserve">VII.216 </w:t>
      </w:r>
      <w:r w:rsidR="000867F3" w:rsidRPr="004676F5">
        <w:rPr>
          <w:i/>
          <w:lang w:val="de-DE"/>
        </w:rPr>
        <w:t xml:space="preserve">Abs. 1 abgeändert durch Art. 27 des G. vom 22. Dezember 2017 (B.S. vom 12. Januar 2018); </w:t>
      </w:r>
      <w:r w:rsidRPr="004676F5">
        <w:rPr>
          <w:i/>
          <w:lang w:val="de-DE"/>
        </w:rPr>
        <w:t xml:space="preserve">Abs. 3 eingefügt durch </w:t>
      </w:r>
      <w:r w:rsidR="00BE0A56" w:rsidRPr="004676F5">
        <w:rPr>
          <w:i/>
          <w:lang w:val="de-DE"/>
        </w:rPr>
        <w:t>Art. </w:t>
      </w:r>
      <w:r w:rsidRPr="004676F5">
        <w:rPr>
          <w:i/>
          <w:lang w:val="de-DE"/>
        </w:rPr>
        <w:t>44</w:t>
      </w:r>
      <w:r w:rsidRPr="004676F5">
        <w:rPr>
          <w:i/>
          <w:iCs/>
          <w:lang w:val="de-DE"/>
        </w:rPr>
        <w:t xml:space="preserve"> </w:t>
      </w:r>
      <w:r w:rsidRPr="004676F5">
        <w:rPr>
          <w:i/>
          <w:lang w:val="de-DE"/>
        </w:rPr>
        <w:t>des G. vom 26. Oktober 2015 (B.S. vom 30. Oktober 2015)]</w:t>
      </w:r>
    </w:p>
    <w:p w14:paraId="37ECD805" w14:textId="77777777" w:rsidR="00881814" w:rsidRPr="004676F5" w:rsidRDefault="00881814" w:rsidP="00881814">
      <w:pPr>
        <w:rPr>
          <w:lang w:val="de-DE"/>
        </w:rPr>
      </w:pPr>
    </w:p>
    <w:p w14:paraId="3F1E26B9" w14:textId="77777777" w:rsidR="005C47F1" w:rsidRPr="004676F5" w:rsidRDefault="005C47F1">
      <w:pPr>
        <w:rPr>
          <w:b/>
          <w:lang w:val="de-DE"/>
        </w:rPr>
      </w:pPr>
    </w:p>
    <w:p w14:paraId="27DC6C1B" w14:textId="77777777" w:rsidR="005C47F1" w:rsidRPr="004676F5" w:rsidRDefault="005C47F1">
      <w:pPr>
        <w:rPr>
          <w:b/>
          <w:lang w:val="de-DE"/>
        </w:rPr>
      </w:pPr>
      <w:r w:rsidRPr="004676F5">
        <w:rPr>
          <w:b/>
          <w:lang w:val="de-DE"/>
        </w:rPr>
        <w:br w:type="page"/>
      </w:r>
    </w:p>
    <w:p w14:paraId="2FE5A3AD" w14:textId="6361BF2D" w:rsidR="005C47F1" w:rsidRPr="004676F5" w:rsidRDefault="005C47F1" w:rsidP="005C47F1">
      <w:pPr>
        <w:jc w:val="center"/>
        <w:rPr>
          <w:lang w:val="de-DE"/>
        </w:rPr>
      </w:pPr>
      <w:r w:rsidRPr="004676F5">
        <w:rPr>
          <w:lang w:val="de-DE"/>
        </w:rPr>
        <w:lastRenderedPageBreak/>
        <w:t>[</w:t>
      </w:r>
      <w:r w:rsidRPr="004676F5">
        <w:rPr>
          <w:b/>
          <w:lang w:val="de-DE"/>
        </w:rPr>
        <w:t xml:space="preserve">TITEL 6/1 </w:t>
      </w:r>
      <w:r w:rsidR="005B7A5C" w:rsidRPr="004676F5">
        <w:rPr>
          <w:b/>
          <w:lang w:val="de-DE"/>
        </w:rPr>
        <w:t>- </w:t>
      </w:r>
      <w:r w:rsidRPr="004676F5">
        <w:rPr>
          <w:b/>
          <w:i/>
          <w:lang w:val="de-DE"/>
        </w:rPr>
        <w:t>Handelspapiere</w:t>
      </w:r>
      <w:r w:rsidRPr="004676F5">
        <w:rPr>
          <w:lang w:val="de-DE"/>
        </w:rPr>
        <w:t>]</w:t>
      </w:r>
    </w:p>
    <w:p w14:paraId="7ACC600A" w14:textId="77777777" w:rsidR="005C47F1" w:rsidRPr="004676F5" w:rsidRDefault="005C47F1" w:rsidP="005C47F1">
      <w:pPr>
        <w:jc w:val="center"/>
        <w:rPr>
          <w:lang w:val="de-DE"/>
        </w:rPr>
      </w:pPr>
    </w:p>
    <w:p w14:paraId="6CCC6B3C" w14:textId="77777777" w:rsidR="005C47F1" w:rsidRPr="004676F5" w:rsidRDefault="005C47F1" w:rsidP="005C47F1">
      <w:pPr>
        <w:jc w:val="both"/>
        <w:rPr>
          <w:i/>
          <w:iCs/>
          <w:lang w:val="de-DE"/>
        </w:rPr>
      </w:pPr>
      <w:r w:rsidRPr="004676F5">
        <w:rPr>
          <w:i/>
          <w:lang w:val="de-DE"/>
        </w:rPr>
        <w:t>[Unterteilung Titel 6/1 eingefügt durch Art. 100</w:t>
      </w:r>
      <w:r w:rsidRPr="004676F5">
        <w:rPr>
          <w:i/>
          <w:iCs/>
          <w:lang w:val="de-DE"/>
        </w:rPr>
        <w:t xml:space="preserve"> des G. vom 15. April 2018 (B.S. vom 27. April 2018)]</w:t>
      </w:r>
    </w:p>
    <w:p w14:paraId="5FD3167A" w14:textId="77777777" w:rsidR="005C47F1" w:rsidRPr="004676F5" w:rsidRDefault="005C47F1" w:rsidP="005C47F1">
      <w:pPr>
        <w:jc w:val="both"/>
        <w:rPr>
          <w:iCs/>
          <w:lang w:val="de-DE"/>
        </w:rPr>
      </w:pPr>
    </w:p>
    <w:p w14:paraId="12E710E1" w14:textId="77777777" w:rsidR="005C47F1" w:rsidRPr="004676F5" w:rsidRDefault="005C47F1" w:rsidP="005C47F1">
      <w:pPr>
        <w:jc w:val="both"/>
        <w:rPr>
          <w:iCs/>
          <w:lang w:val="de-DE"/>
        </w:rPr>
      </w:pPr>
    </w:p>
    <w:p w14:paraId="055A859E" w14:textId="0CFFCC8D" w:rsidR="005C47F1" w:rsidRPr="004676F5" w:rsidRDefault="005C47F1" w:rsidP="005C47F1">
      <w:pPr>
        <w:jc w:val="center"/>
        <w:rPr>
          <w:lang w:val="de-DE"/>
        </w:rPr>
      </w:pPr>
      <w:r w:rsidRPr="004676F5">
        <w:rPr>
          <w:lang w:val="de-DE"/>
        </w:rPr>
        <w:t>[KAPITEL 1 </w:t>
      </w:r>
      <w:r w:rsidR="005B7A5C" w:rsidRPr="004676F5">
        <w:rPr>
          <w:lang w:val="de-DE"/>
        </w:rPr>
        <w:t>- </w:t>
      </w:r>
      <w:r w:rsidRPr="004676F5">
        <w:rPr>
          <w:i/>
          <w:lang w:val="de-DE"/>
        </w:rPr>
        <w:t>Allgemeine Bestimmung</w:t>
      </w:r>
      <w:r w:rsidRPr="004676F5">
        <w:rPr>
          <w:lang w:val="de-DE"/>
        </w:rPr>
        <w:t>]</w:t>
      </w:r>
    </w:p>
    <w:p w14:paraId="2110EE3D" w14:textId="77777777" w:rsidR="005C47F1" w:rsidRPr="004676F5" w:rsidRDefault="005C47F1" w:rsidP="005C47F1">
      <w:pPr>
        <w:jc w:val="center"/>
        <w:rPr>
          <w:lang w:val="de-DE"/>
        </w:rPr>
      </w:pPr>
    </w:p>
    <w:p w14:paraId="29466DBE" w14:textId="6D7501C9" w:rsidR="005C47F1" w:rsidRPr="004676F5" w:rsidRDefault="005C47F1" w:rsidP="005C47F1">
      <w:pPr>
        <w:jc w:val="both"/>
        <w:rPr>
          <w:i/>
          <w:iCs/>
          <w:lang w:val="de-DE"/>
        </w:rPr>
      </w:pPr>
      <w:r w:rsidRPr="004676F5">
        <w:rPr>
          <w:lang w:val="de-DE"/>
        </w:rPr>
        <w:t xml:space="preserve"> </w:t>
      </w:r>
      <w:r w:rsidRPr="004676F5">
        <w:rPr>
          <w:i/>
          <w:lang w:val="de-DE"/>
        </w:rPr>
        <w:t>[Unterteilung Kapitel 1 eingefügt durch Art. 101</w:t>
      </w:r>
      <w:r w:rsidRPr="004676F5">
        <w:rPr>
          <w:i/>
          <w:iCs/>
          <w:lang w:val="de-DE"/>
        </w:rPr>
        <w:t xml:space="preserve"> des G. vom 15. April 2018 (B.S. vom 27. April 2018)]</w:t>
      </w:r>
    </w:p>
    <w:p w14:paraId="3CD25F13" w14:textId="6D963AD6" w:rsidR="005C47F1" w:rsidRPr="004676F5" w:rsidRDefault="005C47F1" w:rsidP="005C47F1">
      <w:pPr>
        <w:jc w:val="both"/>
        <w:rPr>
          <w:i/>
          <w:iCs/>
          <w:lang w:val="de-DE"/>
        </w:rPr>
      </w:pPr>
    </w:p>
    <w:p w14:paraId="375C02E7" w14:textId="5FE825C4" w:rsidR="005C47F1" w:rsidRPr="004676F5" w:rsidRDefault="005C47F1" w:rsidP="005C47F1">
      <w:pPr>
        <w:jc w:val="both"/>
        <w:rPr>
          <w:iCs/>
          <w:lang w:val="de-DE"/>
        </w:rPr>
      </w:pPr>
    </w:p>
    <w:p w14:paraId="1F1A85F2" w14:textId="407C1C42" w:rsidR="005C47F1" w:rsidRPr="004676F5" w:rsidRDefault="005C47F1" w:rsidP="005C47F1">
      <w:pPr>
        <w:ind w:firstLine="708"/>
        <w:jc w:val="both"/>
        <w:rPr>
          <w:lang w:val="de-DE"/>
        </w:rPr>
      </w:pPr>
      <w:r w:rsidRPr="004676F5">
        <w:rPr>
          <w:iCs/>
          <w:lang w:val="de-DE"/>
        </w:rPr>
        <w:t>[</w:t>
      </w:r>
      <w:r w:rsidRPr="004676F5">
        <w:rPr>
          <w:b/>
          <w:lang w:val="de-DE"/>
        </w:rPr>
        <w:t>Art. VII.216/1</w:t>
      </w:r>
      <w:r w:rsidRPr="004676F5">
        <w:rPr>
          <w:lang w:val="de-DE"/>
        </w:rPr>
        <w:t> </w:t>
      </w:r>
      <w:r w:rsidR="005B7A5C" w:rsidRPr="004676F5">
        <w:rPr>
          <w:lang w:val="de-DE"/>
        </w:rPr>
        <w:t>- </w:t>
      </w:r>
      <w:r w:rsidRPr="004676F5">
        <w:rPr>
          <w:lang w:val="de-DE"/>
        </w:rPr>
        <w:t>In vorliegendem Titel deckt der Begriff "Bankier" in Belgien ansässige Kreditinstitute, die dem Gesetz vom 25. April 2014 über den Status und die Kontrolle der Kreditinstitute und der Börsengesellschaften unterstehen.]</w:t>
      </w:r>
    </w:p>
    <w:p w14:paraId="3CF71E96" w14:textId="6F5D3083" w:rsidR="005C47F1" w:rsidRPr="004676F5" w:rsidRDefault="005C47F1" w:rsidP="005C47F1">
      <w:pPr>
        <w:ind w:firstLine="708"/>
        <w:jc w:val="both"/>
        <w:rPr>
          <w:lang w:val="de-DE"/>
        </w:rPr>
      </w:pPr>
    </w:p>
    <w:p w14:paraId="66FC03D5" w14:textId="77777777" w:rsidR="005C47F1" w:rsidRPr="004676F5" w:rsidRDefault="005C47F1" w:rsidP="005C47F1">
      <w:pPr>
        <w:jc w:val="both"/>
        <w:rPr>
          <w:i/>
          <w:lang w:val="de-DE"/>
        </w:rPr>
      </w:pPr>
      <w:r w:rsidRPr="004676F5">
        <w:rPr>
          <w:i/>
          <w:lang w:val="de-DE"/>
        </w:rPr>
        <w:t>[Art. VII.216/1 eingefügt durch Art. 102 des G. vom 15. April 2018 (B.S. vom 27. April 2018)]</w:t>
      </w:r>
    </w:p>
    <w:p w14:paraId="46DA1FF2" w14:textId="77777777" w:rsidR="005C47F1" w:rsidRPr="004676F5" w:rsidRDefault="005C47F1" w:rsidP="005C47F1">
      <w:pPr>
        <w:jc w:val="both"/>
        <w:rPr>
          <w:i/>
          <w:lang w:val="de-DE"/>
        </w:rPr>
      </w:pPr>
    </w:p>
    <w:p w14:paraId="13070BAF" w14:textId="77777777" w:rsidR="005C47F1" w:rsidRPr="004676F5" w:rsidRDefault="005C47F1" w:rsidP="005C47F1">
      <w:pPr>
        <w:jc w:val="both"/>
        <w:rPr>
          <w:i/>
          <w:lang w:val="de-DE"/>
        </w:rPr>
      </w:pPr>
    </w:p>
    <w:p w14:paraId="34CE31A5" w14:textId="77777777" w:rsidR="00591DDC" w:rsidRPr="004676F5" w:rsidRDefault="00591DDC">
      <w:pPr>
        <w:rPr>
          <w:lang w:val="de-DE"/>
        </w:rPr>
      </w:pPr>
      <w:r w:rsidRPr="004676F5">
        <w:rPr>
          <w:lang w:val="de-DE"/>
        </w:rPr>
        <w:br w:type="page"/>
      </w:r>
    </w:p>
    <w:p w14:paraId="23C2A0F3" w14:textId="76CBFD6B" w:rsidR="005C47F1" w:rsidRPr="004676F5" w:rsidRDefault="005C47F1" w:rsidP="005C47F1">
      <w:pPr>
        <w:jc w:val="center"/>
        <w:rPr>
          <w:i/>
          <w:lang w:val="de-DE"/>
        </w:rPr>
      </w:pPr>
      <w:r w:rsidRPr="004676F5">
        <w:rPr>
          <w:lang w:val="de-DE"/>
        </w:rPr>
        <w:lastRenderedPageBreak/>
        <w:t>[KAPITEL 2 </w:t>
      </w:r>
      <w:r w:rsidR="005B7A5C" w:rsidRPr="004676F5">
        <w:rPr>
          <w:lang w:val="de-DE"/>
        </w:rPr>
        <w:t>- </w:t>
      </w:r>
      <w:r w:rsidRPr="004676F5">
        <w:rPr>
          <w:i/>
          <w:lang w:val="de-DE"/>
        </w:rPr>
        <w:t>Gezogener Wechsel</w:t>
      </w:r>
      <w:r w:rsidRPr="004676F5">
        <w:rPr>
          <w:lang w:val="de-DE"/>
        </w:rPr>
        <w:t>]</w:t>
      </w:r>
    </w:p>
    <w:p w14:paraId="140E4F6D" w14:textId="77777777" w:rsidR="005C47F1" w:rsidRPr="004676F5" w:rsidRDefault="005C47F1" w:rsidP="005C47F1">
      <w:pPr>
        <w:jc w:val="both"/>
        <w:rPr>
          <w:i/>
          <w:lang w:val="de-DE"/>
        </w:rPr>
      </w:pPr>
    </w:p>
    <w:p w14:paraId="777745D9" w14:textId="77777777" w:rsidR="005C47F1" w:rsidRPr="004676F5" w:rsidRDefault="005C47F1" w:rsidP="005C47F1">
      <w:pPr>
        <w:jc w:val="both"/>
        <w:rPr>
          <w:i/>
          <w:iCs/>
          <w:lang w:val="de-DE"/>
        </w:rPr>
      </w:pPr>
      <w:r w:rsidRPr="004676F5">
        <w:rPr>
          <w:i/>
          <w:lang w:val="de-DE"/>
        </w:rPr>
        <w:t>[Unterteilung Kapitel 2 eingefügt durch Art. 103</w:t>
      </w:r>
      <w:r w:rsidRPr="004676F5">
        <w:rPr>
          <w:i/>
          <w:iCs/>
          <w:lang w:val="de-DE"/>
        </w:rPr>
        <w:t xml:space="preserve"> des G. vom 15. April 2018 (B.S. vom 27. April 2018)]</w:t>
      </w:r>
    </w:p>
    <w:p w14:paraId="10817951" w14:textId="77777777" w:rsidR="005C47F1" w:rsidRPr="004676F5" w:rsidRDefault="005C47F1" w:rsidP="005C47F1">
      <w:pPr>
        <w:jc w:val="both"/>
        <w:rPr>
          <w:i/>
          <w:iCs/>
          <w:lang w:val="de-DE"/>
        </w:rPr>
      </w:pPr>
    </w:p>
    <w:p w14:paraId="7444221D" w14:textId="77777777" w:rsidR="005C47F1" w:rsidRPr="004676F5" w:rsidRDefault="005C47F1" w:rsidP="005C47F1">
      <w:pPr>
        <w:jc w:val="both"/>
        <w:rPr>
          <w:i/>
          <w:iCs/>
          <w:lang w:val="de-DE"/>
        </w:rPr>
      </w:pPr>
    </w:p>
    <w:p w14:paraId="682F14F2" w14:textId="62C883FB" w:rsidR="005C47F1" w:rsidRPr="004676F5" w:rsidRDefault="005C47F1" w:rsidP="005C47F1">
      <w:pPr>
        <w:jc w:val="center"/>
        <w:rPr>
          <w:i/>
          <w:iCs/>
          <w:lang w:val="de-DE"/>
        </w:rPr>
      </w:pPr>
      <w:r w:rsidRPr="004676F5">
        <w:rPr>
          <w:iCs/>
          <w:lang w:val="de-DE"/>
        </w:rPr>
        <w:t>[</w:t>
      </w:r>
      <w:r w:rsidRPr="004676F5">
        <w:rPr>
          <w:i/>
          <w:lang w:val="de-DE"/>
        </w:rPr>
        <w:t>Abschnitt 1</w:t>
      </w:r>
      <w:r w:rsidRPr="004676F5">
        <w:rPr>
          <w:lang w:val="de-DE"/>
        </w:rPr>
        <w:t> </w:t>
      </w:r>
      <w:r w:rsidR="005B7A5C" w:rsidRPr="004676F5">
        <w:rPr>
          <w:lang w:val="de-DE"/>
        </w:rPr>
        <w:t>- </w:t>
      </w:r>
      <w:r w:rsidRPr="004676F5">
        <w:rPr>
          <w:lang w:val="de-DE"/>
        </w:rPr>
        <w:t>Ausstellung und Form des gezogenen Wechsels]</w:t>
      </w:r>
    </w:p>
    <w:p w14:paraId="71438784" w14:textId="18E599CD" w:rsidR="005C47F1" w:rsidRPr="004676F5" w:rsidRDefault="005C47F1" w:rsidP="005C47F1">
      <w:pPr>
        <w:ind w:firstLine="708"/>
        <w:jc w:val="both"/>
        <w:rPr>
          <w:lang w:val="de-DE"/>
        </w:rPr>
      </w:pPr>
    </w:p>
    <w:p w14:paraId="3E8663E7" w14:textId="72971AA2" w:rsidR="005C47F1" w:rsidRPr="004676F5" w:rsidRDefault="005C47F1" w:rsidP="005C47F1">
      <w:pPr>
        <w:jc w:val="both"/>
        <w:rPr>
          <w:i/>
          <w:iCs/>
          <w:lang w:val="de-DE"/>
        </w:rPr>
      </w:pPr>
      <w:r w:rsidRPr="004676F5">
        <w:rPr>
          <w:i/>
          <w:lang w:val="de-DE"/>
        </w:rPr>
        <w:t>[Unterteilung Abschnitt 1 eingefügt durch Art. 104</w:t>
      </w:r>
      <w:r w:rsidRPr="004676F5">
        <w:rPr>
          <w:i/>
          <w:iCs/>
          <w:lang w:val="de-DE"/>
        </w:rPr>
        <w:t xml:space="preserve"> des G. vom 15. April 2018 (B.S. vom 27. April 2018)]</w:t>
      </w:r>
    </w:p>
    <w:p w14:paraId="3B4A0A9D" w14:textId="77777777" w:rsidR="005C47F1" w:rsidRPr="004676F5" w:rsidRDefault="005C47F1" w:rsidP="005C47F1">
      <w:pPr>
        <w:ind w:firstLine="708"/>
        <w:jc w:val="both"/>
        <w:rPr>
          <w:lang w:val="de-DE"/>
        </w:rPr>
      </w:pPr>
    </w:p>
    <w:p w14:paraId="46B2B99B" w14:textId="77777777" w:rsidR="005C47F1" w:rsidRPr="004676F5" w:rsidRDefault="005C47F1" w:rsidP="005C47F1">
      <w:pPr>
        <w:ind w:firstLine="708"/>
        <w:jc w:val="both"/>
        <w:rPr>
          <w:lang w:val="de-DE"/>
        </w:rPr>
      </w:pPr>
    </w:p>
    <w:p w14:paraId="4E809A05" w14:textId="51FE8DA6" w:rsidR="005C47F1" w:rsidRPr="004676F5" w:rsidRDefault="005C47F1" w:rsidP="005C47F1">
      <w:pPr>
        <w:ind w:firstLine="708"/>
        <w:jc w:val="both"/>
        <w:rPr>
          <w:lang w:val="de-DE"/>
        </w:rPr>
      </w:pPr>
      <w:r w:rsidRPr="004676F5">
        <w:rPr>
          <w:lang w:val="de-DE"/>
        </w:rPr>
        <w:t>[</w:t>
      </w:r>
      <w:r w:rsidRPr="004676F5">
        <w:rPr>
          <w:b/>
          <w:lang w:val="de-DE"/>
        </w:rPr>
        <w:t>Art. VII.216/2</w:t>
      </w:r>
      <w:r w:rsidRPr="004676F5">
        <w:rPr>
          <w:lang w:val="de-DE"/>
        </w:rPr>
        <w:t> </w:t>
      </w:r>
      <w:r w:rsidR="005B7A5C" w:rsidRPr="004676F5">
        <w:rPr>
          <w:lang w:val="de-DE"/>
        </w:rPr>
        <w:t>- </w:t>
      </w:r>
      <w:r w:rsidRPr="004676F5">
        <w:rPr>
          <w:lang w:val="de-DE"/>
        </w:rPr>
        <w:t>Der gezogene Wechsel enthält:</w:t>
      </w:r>
    </w:p>
    <w:p w14:paraId="36A189EF" w14:textId="77777777" w:rsidR="005C47F1" w:rsidRPr="004676F5" w:rsidRDefault="005C47F1" w:rsidP="005C47F1">
      <w:pPr>
        <w:ind w:firstLine="708"/>
        <w:jc w:val="both"/>
        <w:rPr>
          <w:lang w:val="de-DE"/>
        </w:rPr>
      </w:pPr>
    </w:p>
    <w:p w14:paraId="6E3560AD" w14:textId="77777777" w:rsidR="005C47F1" w:rsidRPr="004676F5" w:rsidRDefault="005C47F1" w:rsidP="005C47F1">
      <w:pPr>
        <w:ind w:firstLine="708"/>
        <w:jc w:val="both"/>
        <w:rPr>
          <w:lang w:val="de-DE"/>
        </w:rPr>
      </w:pPr>
      <w:r w:rsidRPr="004676F5">
        <w:rPr>
          <w:lang w:val="de-DE"/>
        </w:rPr>
        <w:t>1. die Bezeichnung als Wechsel im Text der Urkunde, und zwar in der Sprache, in der sie ausgestellt ist,</w:t>
      </w:r>
    </w:p>
    <w:p w14:paraId="10CAB84C" w14:textId="77777777" w:rsidR="005C47F1" w:rsidRPr="004676F5" w:rsidRDefault="005C47F1" w:rsidP="005C47F1">
      <w:pPr>
        <w:ind w:firstLine="708"/>
        <w:jc w:val="both"/>
        <w:rPr>
          <w:lang w:val="de-DE"/>
        </w:rPr>
      </w:pPr>
    </w:p>
    <w:p w14:paraId="4C0D015E" w14:textId="77777777" w:rsidR="005C47F1" w:rsidRPr="004676F5" w:rsidRDefault="005C47F1" w:rsidP="005C47F1">
      <w:pPr>
        <w:ind w:firstLine="708"/>
        <w:jc w:val="both"/>
        <w:rPr>
          <w:lang w:val="de-DE"/>
        </w:rPr>
      </w:pPr>
      <w:r w:rsidRPr="004676F5">
        <w:rPr>
          <w:lang w:val="de-DE"/>
        </w:rPr>
        <w:t>2. die unbedingte Anweisung, eine bestimmte Geldsumme zu zahlen,</w:t>
      </w:r>
    </w:p>
    <w:p w14:paraId="29FA511C" w14:textId="77777777" w:rsidR="005C47F1" w:rsidRPr="004676F5" w:rsidRDefault="005C47F1" w:rsidP="005C47F1">
      <w:pPr>
        <w:ind w:firstLine="708"/>
        <w:jc w:val="both"/>
        <w:rPr>
          <w:lang w:val="de-DE"/>
        </w:rPr>
      </w:pPr>
    </w:p>
    <w:p w14:paraId="03067079" w14:textId="77777777" w:rsidR="005C47F1" w:rsidRPr="004676F5" w:rsidRDefault="005C47F1" w:rsidP="005C47F1">
      <w:pPr>
        <w:ind w:firstLine="708"/>
        <w:jc w:val="both"/>
        <w:rPr>
          <w:lang w:val="de-DE"/>
        </w:rPr>
      </w:pPr>
      <w:r w:rsidRPr="004676F5">
        <w:rPr>
          <w:lang w:val="de-DE"/>
        </w:rPr>
        <w:t>3. den Namen dessen, der zahlen soll (Bezogener),</w:t>
      </w:r>
    </w:p>
    <w:p w14:paraId="29158882" w14:textId="77777777" w:rsidR="005C47F1" w:rsidRPr="004676F5" w:rsidRDefault="005C47F1" w:rsidP="005C47F1">
      <w:pPr>
        <w:ind w:firstLine="708"/>
        <w:jc w:val="both"/>
        <w:rPr>
          <w:lang w:val="de-DE"/>
        </w:rPr>
      </w:pPr>
    </w:p>
    <w:p w14:paraId="3A229FB2" w14:textId="77777777" w:rsidR="005C47F1" w:rsidRPr="004676F5" w:rsidRDefault="005C47F1" w:rsidP="005C47F1">
      <w:pPr>
        <w:ind w:firstLine="708"/>
        <w:jc w:val="both"/>
        <w:rPr>
          <w:lang w:val="de-DE"/>
        </w:rPr>
      </w:pPr>
      <w:r w:rsidRPr="004676F5">
        <w:rPr>
          <w:lang w:val="de-DE"/>
        </w:rPr>
        <w:t>4. die Angabe der Verfallzeit,</w:t>
      </w:r>
    </w:p>
    <w:p w14:paraId="5D55508B" w14:textId="77777777" w:rsidR="005C47F1" w:rsidRPr="004676F5" w:rsidRDefault="005C47F1" w:rsidP="005C47F1">
      <w:pPr>
        <w:ind w:firstLine="708"/>
        <w:jc w:val="both"/>
        <w:rPr>
          <w:lang w:val="de-DE"/>
        </w:rPr>
      </w:pPr>
    </w:p>
    <w:p w14:paraId="2CFFDF61" w14:textId="77777777" w:rsidR="005C47F1" w:rsidRPr="004676F5" w:rsidRDefault="005C47F1" w:rsidP="005C47F1">
      <w:pPr>
        <w:ind w:firstLine="708"/>
        <w:jc w:val="both"/>
        <w:rPr>
          <w:lang w:val="de-DE"/>
        </w:rPr>
      </w:pPr>
      <w:r w:rsidRPr="004676F5">
        <w:rPr>
          <w:lang w:val="de-DE"/>
        </w:rPr>
        <w:t>5. die Angabe des Zahlungsortes,</w:t>
      </w:r>
    </w:p>
    <w:p w14:paraId="6F2961E1" w14:textId="77777777" w:rsidR="005C47F1" w:rsidRPr="004676F5" w:rsidRDefault="005C47F1" w:rsidP="005C47F1">
      <w:pPr>
        <w:ind w:firstLine="708"/>
        <w:jc w:val="both"/>
        <w:rPr>
          <w:lang w:val="de-DE"/>
        </w:rPr>
      </w:pPr>
    </w:p>
    <w:p w14:paraId="219CE62F" w14:textId="77777777" w:rsidR="005C47F1" w:rsidRPr="004676F5" w:rsidRDefault="005C47F1" w:rsidP="005C47F1">
      <w:pPr>
        <w:ind w:firstLine="708"/>
        <w:jc w:val="both"/>
        <w:rPr>
          <w:lang w:val="de-DE"/>
        </w:rPr>
      </w:pPr>
      <w:r w:rsidRPr="004676F5">
        <w:rPr>
          <w:lang w:val="de-DE"/>
        </w:rPr>
        <w:t>6. den Namen dessen, an den oder an dessen Order gezahlt werden soll,</w:t>
      </w:r>
    </w:p>
    <w:p w14:paraId="1B374CDA" w14:textId="77777777" w:rsidR="005C47F1" w:rsidRPr="004676F5" w:rsidRDefault="005C47F1" w:rsidP="005C47F1">
      <w:pPr>
        <w:ind w:firstLine="708"/>
        <w:jc w:val="both"/>
        <w:rPr>
          <w:lang w:val="de-DE"/>
        </w:rPr>
      </w:pPr>
    </w:p>
    <w:p w14:paraId="338C0E61" w14:textId="77777777" w:rsidR="005C47F1" w:rsidRPr="004676F5" w:rsidRDefault="005C47F1" w:rsidP="005C47F1">
      <w:pPr>
        <w:ind w:firstLine="708"/>
        <w:jc w:val="both"/>
        <w:rPr>
          <w:lang w:val="de-DE"/>
        </w:rPr>
      </w:pPr>
      <w:r w:rsidRPr="004676F5">
        <w:rPr>
          <w:lang w:val="de-DE"/>
        </w:rPr>
        <w:t>7. die Angabe des Tages und des Ortes der Ausstellung,</w:t>
      </w:r>
    </w:p>
    <w:p w14:paraId="1F106825" w14:textId="77777777" w:rsidR="005C47F1" w:rsidRPr="004676F5" w:rsidRDefault="005C47F1" w:rsidP="005C47F1">
      <w:pPr>
        <w:ind w:firstLine="708"/>
        <w:jc w:val="both"/>
        <w:rPr>
          <w:lang w:val="de-DE"/>
        </w:rPr>
      </w:pPr>
    </w:p>
    <w:p w14:paraId="5378232A" w14:textId="7DBC6BD1" w:rsidR="005C47F1" w:rsidRPr="004676F5" w:rsidRDefault="005C47F1" w:rsidP="005C47F1">
      <w:pPr>
        <w:ind w:firstLine="708"/>
        <w:jc w:val="both"/>
        <w:rPr>
          <w:lang w:val="de-DE"/>
        </w:rPr>
      </w:pPr>
      <w:r w:rsidRPr="004676F5">
        <w:rPr>
          <w:lang w:val="de-DE"/>
        </w:rPr>
        <w:t>8. die Unterschrift des Ausstellers.</w:t>
      </w:r>
    </w:p>
    <w:p w14:paraId="4655AB41" w14:textId="5F97B481" w:rsidR="00514F85" w:rsidRPr="004676F5" w:rsidRDefault="00514F85" w:rsidP="005C47F1">
      <w:pPr>
        <w:ind w:firstLine="708"/>
        <w:jc w:val="both"/>
        <w:rPr>
          <w:lang w:val="de-DE"/>
        </w:rPr>
      </w:pPr>
    </w:p>
    <w:p w14:paraId="59F4952C" w14:textId="77777777" w:rsidR="00514F85" w:rsidRPr="004676F5" w:rsidRDefault="00514F85" w:rsidP="005C47F1">
      <w:pPr>
        <w:ind w:firstLine="708"/>
        <w:jc w:val="both"/>
        <w:rPr>
          <w:lang w:val="de-DE"/>
        </w:rPr>
      </w:pPr>
    </w:p>
    <w:p w14:paraId="22346B2B" w14:textId="14BA3436" w:rsidR="005C47F1" w:rsidRPr="004676F5" w:rsidRDefault="005C47F1" w:rsidP="005C47F1">
      <w:pPr>
        <w:ind w:firstLine="708"/>
        <w:jc w:val="both"/>
        <w:rPr>
          <w:lang w:val="de-DE"/>
        </w:rPr>
      </w:pPr>
      <w:r w:rsidRPr="004676F5">
        <w:rPr>
          <w:b/>
          <w:lang w:val="de-DE"/>
        </w:rPr>
        <w:t>Art. VII.216/3</w:t>
      </w:r>
      <w:r w:rsidRPr="004676F5">
        <w:rPr>
          <w:lang w:val="de-DE"/>
        </w:rPr>
        <w:t> </w:t>
      </w:r>
      <w:r w:rsidR="005B7A5C" w:rsidRPr="004676F5">
        <w:rPr>
          <w:lang w:val="de-DE"/>
        </w:rPr>
        <w:t>- </w:t>
      </w:r>
      <w:r w:rsidRPr="004676F5">
        <w:rPr>
          <w:lang w:val="de-DE"/>
        </w:rPr>
        <w:t>Eine Urkunde, der einer der in Artikel VII.216/2 bezeichneten Bestandteile fehlt, gilt nicht als gezogener Wechsel, vorbehaltlich der in den folgenden Absätzen bezeichneten Fälle.</w:t>
      </w:r>
    </w:p>
    <w:p w14:paraId="500012A2" w14:textId="77777777" w:rsidR="005C47F1" w:rsidRPr="004676F5" w:rsidRDefault="005C47F1" w:rsidP="005C47F1">
      <w:pPr>
        <w:ind w:firstLine="708"/>
        <w:jc w:val="both"/>
        <w:rPr>
          <w:lang w:val="de-DE"/>
        </w:rPr>
      </w:pPr>
    </w:p>
    <w:p w14:paraId="2DD7ABAB" w14:textId="77777777" w:rsidR="005C47F1" w:rsidRPr="004676F5" w:rsidRDefault="005C47F1" w:rsidP="005C47F1">
      <w:pPr>
        <w:ind w:firstLine="708"/>
        <w:jc w:val="both"/>
        <w:rPr>
          <w:lang w:val="de-DE"/>
        </w:rPr>
      </w:pPr>
      <w:r w:rsidRPr="004676F5">
        <w:rPr>
          <w:lang w:val="de-DE"/>
        </w:rPr>
        <w:t>Ein Wechsel ohne Angabe der Verfallzeit gilt als Sichtwechsel.</w:t>
      </w:r>
    </w:p>
    <w:p w14:paraId="45E1784B" w14:textId="77777777" w:rsidR="005C47F1" w:rsidRPr="004676F5" w:rsidRDefault="005C47F1" w:rsidP="005C47F1">
      <w:pPr>
        <w:ind w:firstLine="708"/>
        <w:jc w:val="both"/>
        <w:rPr>
          <w:lang w:val="de-DE"/>
        </w:rPr>
      </w:pPr>
    </w:p>
    <w:p w14:paraId="75D09F6C" w14:textId="77777777" w:rsidR="005C47F1" w:rsidRPr="004676F5" w:rsidRDefault="005C47F1" w:rsidP="005C47F1">
      <w:pPr>
        <w:ind w:firstLine="708"/>
        <w:jc w:val="both"/>
        <w:rPr>
          <w:lang w:val="de-DE"/>
        </w:rPr>
      </w:pPr>
      <w:r w:rsidRPr="004676F5">
        <w:rPr>
          <w:lang w:val="de-DE"/>
        </w:rPr>
        <w:t>Mangels einer besonderen Angabe gilt der bei dem Namen des Bezogenen angegebene Ort als Zahlungsort und zugleich als Wohnsitz des Bezogenen.</w:t>
      </w:r>
    </w:p>
    <w:p w14:paraId="5F80EBB1" w14:textId="77777777" w:rsidR="005C47F1" w:rsidRPr="004676F5" w:rsidRDefault="005C47F1" w:rsidP="005C47F1">
      <w:pPr>
        <w:ind w:firstLine="708"/>
        <w:jc w:val="both"/>
        <w:rPr>
          <w:lang w:val="de-DE"/>
        </w:rPr>
      </w:pPr>
    </w:p>
    <w:p w14:paraId="6FDED012" w14:textId="77777777" w:rsidR="005C47F1" w:rsidRPr="004676F5" w:rsidRDefault="005C47F1" w:rsidP="005C47F1">
      <w:pPr>
        <w:ind w:firstLine="708"/>
        <w:jc w:val="both"/>
        <w:rPr>
          <w:lang w:val="de-DE"/>
        </w:rPr>
      </w:pPr>
      <w:r w:rsidRPr="004676F5">
        <w:rPr>
          <w:lang w:val="de-DE"/>
        </w:rPr>
        <w:t>Ein Wechsel ohne Angabe des Ausstellungsortes gilt als ausgestellt an dem Ort, der bei dem Namen des Ausstellers angegeben ist.</w:t>
      </w:r>
    </w:p>
    <w:p w14:paraId="51E13C86" w14:textId="77777777" w:rsidR="005C47F1" w:rsidRPr="004676F5" w:rsidRDefault="005C47F1" w:rsidP="005C47F1">
      <w:pPr>
        <w:ind w:firstLine="708"/>
        <w:jc w:val="both"/>
        <w:rPr>
          <w:lang w:val="de-DE"/>
        </w:rPr>
      </w:pPr>
    </w:p>
    <w:p w14:paraId="75504B23" w14:textId="6C482A39" w:rsidR="00514F85" w:rsidRPr="004676F5" w:rsidRDefault="005C47F1" w:rsidP="005C47F1">
      <w:pPr>
        <w:ind w:firstLine="708"/>
        <w:jc w:val="both"/>
        <w:rPr>
          <w:lang w:val="de-DE"/>
        </w:rPr>
      </w:pPr>
      <w:r w:rsidRPr="004676F5">
        <w:rPr>
          <w:lang w:val="de-DE"/>
        </w:rPr>
        <w:t>Die in Artikel VII.216/2 Nr. 8 vorgesehene Unterschrift kann durch ein notarielles Brevet ersetzt werden, das auf den Wechsel gesetzt wird und durch das der Wille dessen, der die Unterschrift leisten sollte, beglaubigt wird.</w:t>
      </w:r>
    </w:p>
    <w:p w14:paraId="2788C9EA" w14:textId="77777777" w:rsidR="005D04DA" w:rsidRPr="004676F5" w:rsidRDefault="005D04DA" w:rsidP="005C47F1">
      <w:pPr>
        <w:ind w:firstLine="708"/>
        <w:jc w:val="both"/>
        <w:rPr>
          <w:lang w:val="de-DE"/>
        </w:rPr>
      </w:pPr>
    </w:p>
    <w:p w14:paraId="2EE5E521" w14:textId="77777777" w:rsidR="005C47F1" w:rsidRPr="004676F5" w:rsidRDefault="005C47F1" w:rsidP="005C47F1">
      <w:pPr>
        <w:ind w:firstLine="708"/>
        <w:jc w:val="both"/>
        <w:rPr>
          <w:lang w:val="de-DE"/>
        </w:rPr>
      </w:pPr>
    </w:p>
    <w:p w14:paraId="4493F87B" w14:textId="110C6C44" w:rsidR="005C47F1" w:rsidRPr="004676F5" w:rsidRDefault="005C47F1" w:rsidP="005C47F1">
      <w:pPr>
        <w:ind w:firstLine="708"/>
        <w:jc w:val="both"/>
        <w:rPr>
          <w:lang w:val="de-DE"/>
        </w:rPr>
      </w:pPr>
      <w:r w:rsidRPr="004676F5">
        <w:rPr>
          <w:b/>
          <w:lang w:val="de-DE"/>
        </w:rPr>
        <w:t>Art. VII.216/4</w:t>
      </w:r>
      <w:r w:rsidRPr="004676F5">
        <w:rPr>
          <w:lang w:val="de-DE"/>
        </w:rPr>
        <w:t> </w:t>
      </w:r>
      <w:r w:rsidR="005B7A5C" w:rsidRPr="004676F5">
        <w:rPr>
          <w:lang w:val="de-DE"/>
        </w:rPr>
        <w:t>- </w:t>
      </w:r>
      <w:r w:rsidRPr="004676F5">
        <w:rPr>
          <w:lang w:val="de-DE"/>
        </w:rPr>
        <w:t>Der Wechsel kann an die eigene Order des Ausstellers lauten.</w:t>
      </w:r>
    </w:p>
    <w:p w14:paraId="7BB06A2F" w14:textId="77777777" w:rsidR="005C47F1" w:rsidRPr="004676F5" w:rsidRDefault="005C47F1" w:rsidP="005C47F1">
      <w:pPr>
        <w:ind w:firstLine="708"/>
        <w:jc w:val="both"/>
        <w:rPr>
          <w:lang w:val="de-DE"/>
        </w:rPr>
      </w:pPr>
    </w:p>
    <w:p w14:paraId="39E695AB" w14:textId="77777777" w:rsidR="005C47F1" w:rsidRPr="004676F5" w:rsidRDefault="005C47F1" w:rsidP="005C47F1">
      <w:pPr>
        <w:ind w:firstLine="708"/>
        <w:jc w:val="both"/>
        <w:rPr>
          <w:lang w:val="de-DE"/>
        </w:rPr>
      </w:pPr>
      <w:r w:rsidRPr="004676F5">
        <w:rPr>
          <w:lang w:val="de-DE"/>
        </w:rPr>
        <w:t>Er kann auf den Aussteller selbst gezogen werden.</w:t>
      </w:r>
    </w:p>
    <w:p w14:paraId="5E08A00E" w14:textId="77777777" w:rsidR="005C47F1" w:rsidRPr="004676F5" w:rsidRDefault="005C47F1" w:rsidP="005C47F1">
      <w:pPr>
        <w:ind w:firstLine="708"/>
        <w:jc w:val="both"/>
        <w:rPr>
          <w:lang w:val="de-DE"/>
        </w:rPr>
      </w:pPr>
    </w:p>
    <w:p w14:paraId="620C7BBF" w14:textId="5CE197BA" w:rsidR="00514F85" w:rsidRPr="004676F5" w:rsidRDefault="005C47F1" w:rsidP="005C47F1">
      <w:pPr>
        <w:ind w:firstLine="708"/>
        <w:jc w:val="both"/>
        <w:rPr>
          <w:lang w:val="de-DE"/>
        </w:rPr>
      </w:pPr>
      <w:r w:rsidRPr="004676F5">
        <w:rPr>
          <w:lang w:val="de-DE"/>
        </w:rPr>
        <w:t>Er kann für Rechnung eines Dritten gezogen werden.</w:t>
      </w:r>
    </w:p>
    <w:p w14:paraId="1CB75CB4" w14:textId="77777777" w:rsidR="00514F85" w:rsidRPr="004676F5" w:rsidRDefault="00514F85" w:rsidP="005C47F1">
      <w:pPr>
        <w:ind w:firstLine="708"/>
        <w:jc w:val="both"/>
        <w:rPr>
          <w:lang w:val="de-DE"/>
        </w:rPr>
      </w:pPr>
    </w:p>
    <w:p w14:paraId="3B3BF697" w14:textId="77777777" w:rsidR="005C47F1" w:rsidRPr="004676F5" w:rsidRDefault="005C47F1" w:rsidP="005C47F1">
      <w:pPr>
        <w:ind w:firstLine="708"/>
        <w:jc w:val="both"/>
        <w:rPr>
          <w:lang w:val="de-DE"/>
        </w:rPr>
      </w:pPr>
    </w:p>
    <w:p w14:paraId="066FC032" w14:textId="7CB05FBF" w:rsidR="005C47F1" w:rsidRPr="004676F5" w:rsidRDefault="005C47F1" w:rsidP="005C47F1">
      <w:pPr>
        <w:ind w:firstLine="708"/>
        <w:jc w:val="both"/>
        <w:rPr>
          <w:lang w:val="de-DE"/>
        </w:rPr>
      </w:pPr>
      <w:r w:rsidRPr="004676F5">
        <w:rPr>
          <w:b/>
          <w:lang w:val="de-DE"/>
        </w:rPr>
        <w:t>Art. VII.216/5</w:t>
      </w:r>
      <w:r w:rsidRPr="004676F5">
        <w:rPr>
          <w:lang w:val="de-DE"/>
        </w:rPr>
        <w:t> </w:t>
      </w:r>
      <w:r w:rsidR="005B7A5C" w:rsidRPr="004676F5">
        <w:rPr>
          <w:lang w:val="de-DE"/>
        </w:rPr>
        <w:t>- </w:t>
      </w:r>
      <w:r w:rsidRPr="004676F5">
        <w:rPr>
          <w:lang w:val="de-DE"/>
        </w:rPr>
        <w:t>Der Wechsel kann bei einem Dritten, am Wohnsitz des Bezogenen oder an einem anderen Ort zahlbar gestellt werden.</w:t>
      </w:r>
    </w:p>
    <w:p w14:paraId="12343482" w14:textId="2B6E65A2" w:rsidR="00514F85" w:rsidRPr="004676F5" w:rsidRDefault="00514F85" w:rsidP="005C47F1">
      <w:pPr>
        <w:ind w:firstLine="708"/>
        <w:jc w:val="both"/>
        <w:rPr>
          <w:lang w:val="de-DE"/>
        </w:rPr>
      </w:pPr>
    </w:p>
    <w:p w14:paraId="082D00A1" w14:textId="77777777" w:rsidR="005C47F1" w:rsidRPr="004676F5" w:rsidRDefault="005C47F1" w:rsidP="005C47F1">
      <w:pPr>
        <w:ind w:firstLine="708"/>
        <w:jc w:val="both"/>
        <w:rPr>
          <w:lang w:val="de-DE"/>
        </w:rPr>
      </w:pPr>
    </w:p>
    <w:p w14:paraId="417DD863" w14:textId="25909FFC" w:rsidR="005C47F1" w:rsidRPr="004676F5" w:rsidRDefault="005C47F1" w:rsidP="005C47F1">
      <w:pPr>
        <w:ind w:firstLine="708"/>
        <w:jc w:val="both"/>
        <w:rPr>
          <w:lang w:val="de-DE"/>
        </w:rPr>
      </w:pPr>
      <w:r w:rsidRPr="004676F5">
        <w:rPr>
          <w:b/>
          <w:lang w:val="de-DE"/>
        </w:rPr>
        <w:t>Art. VII.216/6</w:t>
      </w:r>
      <w:r w:rsidRPr="004676F5">
        <w:rPr>
          <w:lang w:val="de-DE"/>
        </w:rPr>
        <w:t> </w:t>
      </w:r>
      <w:r w:rsidR="005B7A5C" w:rsidRPr="004676F5">
        <w:rPr>
          <w:lang w:val="de-DE"/>
        </w:rPr>
        <w:t>- </w:t>
      </w:r>
      <w:r w:rsidRPr="004676F5">
        <w:rPr>
          <w:lang w:val="de-DE"/>
        </w:rPr>
        <w:t>In einem Wechsel, der auf Sicht oder auf eine bestimmte Zeit nach Sicht lautet, kann der Aussteller bestimmen, dass die Wechselsumme zu verzinsen ist. Bei jedem anderen Wechsel gilt der Zinsvermerk als nicht geschrieben.</w:t>
      </w:r>
    </w:p>
    <w:p w14:paraId="13E314C6" w14:textId="77777777" w:rsidR="005C47F1" w:rsidRPr="004676F5" w:rsidRDefault="005C47F1" w:rsidP="005C47F1">
      <w:pPr>
        <w:ind w:firstLine="708"/>
        <w:jc w:val="both"/>
        <w:rPr>
          <w:lang w:val="de-DE"/>
        </w:rPr>
      </w:pPr>
    </w:p>
    <w:p w14:paraId="09A0BC5C" w14:textId="77777777" w:rsidR="005C47F1" w:rsidRPr="004676F5" w:rsidRDefault="005C47F1" w:rsidP="005C47F1">
      <w:pPr>
        <w:ind w:firstLine="708"/>
        <w:jc w:val="both"/>
        <w:rPr>
          <w:lang w:val="de-DE"/>
        </w:rPr>
      </w:pPr>
      <w:r w:rsidRPr="004676F5">
        <w:rPr>
          <w:lang w:val="de-DE"/>
        </w:rPr>
        <w:t>Der Zinsfuß ist im Wechsel anzugeben; fehlt diese Angabe, so gilt der Zinsvermerk als nicht geschrieben.</w:t>
      </w:r>
    </w:p>
    <w:p w14:paraId="7666D362" w14:textId="77777777" w:rsidR="005C47F1" w:rsidRPr="004676F5" w:rsidRDefault="005C47F1" w:rsidP="005C47F1">
      <w:pPr>
        <w:ind w:firstLine="708"/>
        <w:jc w:val="both"/>
        <w:rPr>
          <w:lang w:val="de-DE"/>
        </w:rPr>
      </w:pPr>
    </w:p>
    <w:p w14:paraId="61C85F1F" w14:textId="7E496BD0" w:rsidR="005C47F1" w:rsidRPr="004676F5" w:rsidRDefault="005C47F1" w:rsidP="005C47F1">
      <w:pPr>
        <w:ind w:firstLine="708"/>
        <w:jc w:val="both"/>
        <w:rPr>
          <w:lang w:val="de-DE"/>
        </w:rPr>
      </w:pPr>
      <w:r w:rsidRPr="004676F5">
        <w:rPr>
          <w:lang w:val="de-DE"/>
        </w:rPr>
        <w:t>Die Zinsen laufen vom Tag der Ausstellung des Wechsels, sofern nicht ein anderer Tag bestimmt ist.</w:t>
      </w:r>
    </w:p>
    <w:p w14:paraId="5602A2B2" w14:textId="61B9F87B" w:rsidR="00514F85" w:rsidRPr="004676F5" w:rsidRDefault="00514F85" w:rsidP="005C47F1">
      <w:pPr>
        <w:ind w:firstLine="708"/>
        <w:jc w:val="both"/>
        <w:rPr>
          <w:lang w:val="de-DE"/>
        </w:rPr>
      </w:pPr>
    </w:p>
    <w:p w14:paraId="5EF6004D" w14:textId="77777777" w:rsidR="005C47F1" w:rsidRPr="004676F5" w:rsidRDefault="005C47F1" w:rsidP="005C47F1">
      <w:pPr>
        <w:ind w:firstLine="708"/>
        <w:jc w:val="both"/>
        <w:rPr>
          <w:lang w:val="de-DE"/>
        </w:rPr>
      </w:pPr>
    </w:p>
    <w:p w14:paraId="1E767439" w14:textId="62414437" w:rsidR="005C47F1" w:rsidRPr="004676F5" w:rsidRDefault="005C47F1" w:rsidP="005C47F1">
      <w:pPr>
        <w:ind w:firstLine="708"/>
        <w:jc w:val="both"/>
        <w:rPr>
          <w:lang w:val="de-DE"/>
        </w:rPr>
      </w:pPr>
      <w:r w:rsidRPr="004676F5">
        <w:rPr>
          <w:b/>
          <w:lang w:val="de-DE"/>
        </w:rPr>
        <w:t>Art. VII.216/7</w:t>
      </w:r>
      <w:r w:rsidRPr="004676F5">
        <w:rPr>
          <w:lang w:val="de-DE"/>
        </w:rPr>
        <w:t> </w:t>
      </w:r>
      <w:r w:rsidR="005B7A5C" w:rsidRPr="004676F5">
        <w:rPr>
          <w:lang w:val="de-DE"/>
        </w:rPr>
        <w:t>- </w:t>
      </w:r>
      <w:r w:rsidRPr="004676F5">
        <w:rPr>
          <w:lang w:val="de-DE"/>
        </w:rPr>
        <w:t>Ist die Wechselsumme in Buchstaben und in Ziffern angegeben, so gilt bei Abweichungen die in Buchstaben angegebene Summe.</w:t>
      </w:r>
    </w:p>
    <w:p w14:paraId="415577EA" w14:textId="77777777" w:rsidR="005C47F1" w:rsidRPr="004676F5" w:rsidRDefault="005C47F1" w:rsidP="005C47F1">
      <w:pPr>
        <w:ind w:firstLine="708"/>
        <w:jc w:val="both"/>
        <w:rPr>
          <w:lang w:val="de-DE"/>
        </w:rPr>
      </w:pPr>
    </w:p>
    <w:p w14:paraId="06E6113F" w14:textId="704E89D7" w:rsidR="005C47F1" w:rsidRPr="004676F5" w:rsidRDefault="005C47F1" w:rsidP="005C47F1">
      <w:pPr>
        <w:ind w:firstLine="708"/>
        <w:jc w:val="both"/>
        <w:rPr>
          <w:lang w:val="de-DE"/>
        </w:rPr>
      </w:pPr>
      <w:r w:rsidRPr="004676F5">
        <w:rPr>
          <w:lang w:val="de-DE"/>
        </w:rPr>
        <w:t>Ist die Wechselsumme mehrmals in Buchstaben oder mehrmals in Ziffern angegeben, so gilt bei Abweichungen die geringste Summe.</w:t>
      </w:r>
    </w:p>
    <w:p w14:paraId="3FC14E72" w14:textId="100AFEE2" w:rsidR="00514F85" w:rsidRPr="004676F5" w:rsidRDefault="00514F85" w:rsidP="005C47F1">
      <w:pPr>
        <w:ind w:firstLine="708"/>
        <w:jc w:val="both"/>
        <w:rPr>
          <w:lang w:val="de-DE"/>
        </w:rPr>
      </w:pPr>
    </w:p>
    <w:p w14:paraId="43304B12" w14:textId="77777777" w:rsidR="005C47F1" w:rsidRPr="004676F5" w:rsidRDefault="005C47F1" w:rsidP="005C47F1">
      <w:pPr>
        <w:ind w:firstLine="708"/>
        <w:jc w:val="both"/>
        <w:rPr>
          <w:lang w:val="de-DE"/>
        </w:rPr>
      </w:pPr>
    </w:p>
    <w:p w14:paraId="2EBCB952" w14:textId="27E238B9" w:rsidR="005C47F1" w:rsidRPr="004676F5" w:rsidRDefault="005C47F1" w:rsidP="005C47F1">
      <w:pPr>
        <w:ind w:firstLine="708"/>
        <w:jc w:val="both"/>
        <w:rPr>
          <w:lang w:val="de-DE"/>
        </w:rPr>
      </w:pPr>
      <w:r w:rsidRPr="004676F5">
        <w:rPr>
          <w:b/>
          <w:lang w:val="de-DE"/>
        </w:rPr>
        <w:t>Art. VII.216/8</w:t>
      </w:r>
      <w:r w:rsidRPr="004676F5">
        <w:rPr>
          <w:lang w:val="de-DE"/>
        </w:rPr>
        <w:t> </w:t>
      </w:r>
      <w:r w:rsidR="005B7A5C" w:rsidRPr="004676F5">
        <w:rPr>
          <w:lang w:val="de-DE"/>
        </w:rPr>
        <w:t>- </w:t>
      </w:r>
      <w:r w:rsidRPr="004676F5">
        <w:rPr>
          <w:lang w:val="de-DE"/>
        </w:rPr>
        <w:t>Trägt ein Wechsel Unterschriften von Personen, die eine Wechselver</w:t>
      </w:r>
      <w:r w:rsidRPr="004676F5">
        <w:rPr>
          <w:lang w:val="de-DE"/>
        </w:rPr>
        <w:softHyphen/>
        <w:t>bindlichkeit nicht eingehen können, gefälschte Unterschriften, Unterschriften erdichteter Personen oder Unterschriften, die aus irgendeinem anderen Grund für die Personen, die unterschrieben haben oder mit deren Namen unterschrieben worden ist, keine Verbindlichkeit begründen, so hat dies auf die Gültigkeit der übrigen Unterschriften keinen Einfluss.</w:t>
      </w:r>
    </w:p>
    <w:p w14:paraId="07B4848F" w14:textId="69C98FF1" w:rsidR="00514F85" w:rsidRPr="004676F5" w:rsidRDefault="00514F85" w:rsidP="005C47F1">
      <w:pPr>
        <w:ind w:firstLine="708"/>
        <w:jc w:val="both"/>
        <w:rPr>
          <w:lang w:val="de-DE"/>
        </w:rPr>
      </w:pPr>
    </w:p>
    <w:p w14:paraId="191E5915" w14:textId="77777777" w:rsidR="005C47F1" w:rsidRPr="004676F5" w:rsidRDefault="005C47F1" w:rsidP="005C47F1">
      <w:pPr>
        <w:ind w:firstLine="708"/>
        <w:jc w:val="both"/>
        <w:rPr>
          <w:lang w:val="de-DE"/>
        </w:rPr>
      </w:pPr>
    </w:p>
    <w:p w14:paraId="3C4C2962" w14:textId="1A210235" w:rsidR="005C47F1" w:rsidRPr="004676F5" w:rsidRDefault="005C47F1" w:rsidP="005C47F1">
      <w:pPr>
        <w:ind w:firstLine="708"/>
        <w:jc w:val="both"/>
        <w:rPr>
          <w:lang w:val="de-DE"/>
        </w:rPr>
      </w:pPr>
      <w:r w:rsidRPr="004676F5">
        <w:rPr>
          <w:b/>
          <w:lang w:val="de-DE"/>
        </w:rPr>
        <w:t>Art. VII.216/9</w:t>
      </w:r>
      <w:r w:rsidRPr="004676F5">
        <w:rPr>
          <w:lang w:val="de-DE"/>
        </w:rPr>
        <w:t> </w:t>
      </w:r>
      <w:r w:rsidR="005B7A5C" w:rsidRPr="004676F5">
        <w:rPr>
          <w:lang w:val="de-DE"/>
        </w:rPr>
        <w:t>- </w:t>
      </w:r>
      <w:r w:rsidRPr="004676F5">
        <w:rPr>
          <w:lang w:val="de-DE"/>
        </w:rPr>
        <w:t>Wer auf einen Wechsel seine Unterschrift als Vertreter eines anderen setzt, ohne hierzu ermächtigt zu sein, haftet selbst wechselmäßig und hat, wenn er den Wechsel einlöst, dieselben Rechte, die der angeblich Vertretene haben würde. Das Gleiche gilt von einem Vertreter, der seine Vertretungsbefugnis überschritten hat.</w:t>
      </w:r>
    </w:p>
    <w:p w14:paraId="50DC7BA1" w14:textId="7F524852" w:rsidR="005C47F1" w:rsidRPr="004676F5" w:rsidRDefault="005C47F1" w:rsidP="005C47F1">
      <w:pPr>
        <w:ind w:firstLine="708"/>
        <w:jc w:val="both"/>
        <w:rPr>
          <w:lang w:val="de-DE"/>
        </w:rPr>
      </w:pPr>
    </w:p>
    <w:p w14:paraId="41407274" w14:textId="77777777" w:rsidR="00514F85" w:rsidRPr="004676F5" w:rsidRDefault="00514F85" w:rsidP="005C47F1">
      <w:pPr>
        <w:ind w:firstLine="708"/>
        <w:jc w:val="both"/>
        <w:rPr>
          <w:lang w:val="de-DE"/>
        </w:rPr>
      </w:pPr>
    </w:p>
    <w:p w14:paraId="357F9FF6" w14:textId="6408AAB9" w:rsidR="005C47F1" w:rsidRPr="004676F5" w:rsidRDefault="005C47F1" w:rsidP="005C47F1">
      <w:pPr>
        <w:ind w:firstLine="708"/>
        <w:jc w:val="both"/>
        <w:rPr>
          <w:lang w:val="de-DE"/>
        </w:rPr>
      </w:pPr>
      <w:r w:rsidRPr="004676F5">
        <w:rPr>
          <w:b/>
          <w:lang w:val="de-DE"/>
        </w:rPr>
        <w:t>Art. VII.216/10</w:t>
      </w:r>
      <w:r w:rsidRPr="004676F5">
        <w:rPr>
          <w:lang w:val="de-DE"/>
        </w:rPr>
        <w:t> </w:t>
      </w:r>
      <w:r w:rsidR="005B7A5C" w:rsidRPr="004676F5">
        <w:rPr>
          <w:lang w:val="de-DE"/>
        </w:rPr>
        <w:t>- </w:t>
      </w:r>
      <w:r w:rsidRPr="004676F5">
        <w:rPr>
          <w:lang w:val="de-DE"/>
        </w:rPr>
        <w:t>Der Aussteller haftet für die Annahme und die Zahlung des Wechsels.</w:t>
      </w:r>
    </w:p>
    <w:p w14:paraId="7C287D5A" w14:textId="77777777" w:rsidR="005C47F1" w:rsidRPr="004676F5" w:rsidRDefault="005C47F1" w:rsidP="005C47F1">
      <w:pPr>
        <w:ind w:firstLine="708"/>
        <w:jc w:val="both"/>
        <w:rPr>
          <w:lang w:val="de-DE"/>
        </w:rPr>
      </w:pPr>
    </w:p>
    <w:p w14:paraId="385DCF7F" w14:textId="7D4E1AD8" w:rsidR="005C47F1" w:rsidRPr="004676F5" w:rsidRDefault="005C47F1" w:rsidP="005C47F1">
      <w:pPr>
        <w:ind w:firstLine="708"/>
        <w:jc w:val="both"/>
        <w:rPr>
          <w:lang w:val="de-DE"/>
        </w:rPr>
      </w:pPr>
      <w:r w:rsidRPr="004676F5">
        <w:rPr>
          <w:lang w:val="de-DE"/>
        </w:rPr>
        <w:t>Er kann die Haftung für die Annahme ausschließen; jeder Vermerk, durch den er die Haftung für die Zahlung ausschließt, gilt als nicht geschrieben.</w:t>
      </w:r>
    </w:p>
    <w:p w14:paraId="5B427461" w14:textId="2980A395" w:rsidR="00514F85" w:rsidRPr="004676F5" w:rsidRDefault="00514F85" w:rsidP="005C47F1">
      <w:pPr>
        <w:ind w:firstLine="708"/>
        <w:jc w:val="both"/>
        <w:rPr>
          <w:lang w:val="de-DE"/>
        </w:rPr>
      </w:pPr>
    </w:p>
    <w:p w14:paraId="01EE00E6" w14:textId="77777777" w:rsidR="005C47F1" w:rsidRPr="004676F5" w:rsidRDefault="005C47F1" w:rsidP="005C47F1">
      <w:pPr>
        <w:ind w:firstLine="708"/>
        <w:jc w:val="both"/>
        <w:rPr>
          <w:lang w:val="de-DE"/>
        </w:rPr>
      </w:pPr>
    </w:p>
    <w:p w14:paraId="67FDC5D7" w14:textId="46ADEADB" w:rsidR="005C47F1" w:rsidRPr="004676F5" w:rsidRDefault="00514F85" w:rsidP="005C47F1">
      <w:pPr>
        <w:jc w:val="both"/>
        <w:rPr>
          <w:lang w:val="de-DE"/>
        </w:rPr>
      </w:pPr>
      <w:r w:rsidRPr="004676F5">
        <w:rPr>
          <w:lang w:val="de-DE"/>
        </w:rPr>
        <w:tab/>
      </w:r>
      <w:r w:rsidR="005C47F1" w:rsidRPr="004676F5">
        <w:rPr>
          <w:b/>
          <w:lang w:val="de-DE"/>
        </w:rPr>
        <w:t>Art. VII.216/11</w:t>
      </w:r>
      <w:r w:rsidR="005C47F1" w:rsidRPr="004676F5">
        <w:rPr>
          <w:lang w:val="de-DE"/>
        </w:rPr>
        <w:t> </w:t>
      </w:r>
      <w:r w:rsidR="005B7A5C" w:rsidRPr="004676F5">
        <w:rPr>
          <w:lang w:val="de-DE"/>
        </w:rPr>
        <w:t>- </w:t>
      </w:r>
      <w:r w:rsidR="005C47F1" w:rsidRPr="004676F5">
        <w:rPr>
          <w:lang w:val="de-DE"/>
        </w:rPr>
        <w:t>Wenn ein Wechsel, der bei der Begebung unvollständig war, den getroffenen Vereinbarungen zuwider ausgefüllt worden ist, so kann die Nichteinhaltung dieser Vereinbarungen dem Inhaber nicht entgegengesetzt werden, es sei denn, dass er den Wechsel in bösem Glauben erworben hat oder ihm beim Erwerb eine grobe Fahrlässigkeit zur Last fällt.</w:t>
      </w:r>
      <w:r w:rsidRPr="004676F5">
        <w:rPr>
          <w:lang w:val="de-DE"/>
        </w:rPr>
        <w:t>]</w:t>
      </w:r>
    </w:p>
    <w:p w14:paraId="4639CEBF" w14:textId="32BD4290" w:rsidR="00514F85" w:rsidRPr="004676F5" w:rsidRDefault="00514F85" w:rsidP="005C47F1">
      <w:pPr>
        <w:jc w:val="both"/>
        <w:rPr>
          <w:lang w:val="de-DE"/>
        </w:rPr>
      </w:pPr>
    </w:p>
    <w:p w14:paraId="48916B29" w14:textId="47D2B2E6" w:rsidR="00514F85" w:rsidRPr="004676F5" w:rsidRDefault="00514F85" w:rsidP="00514F85">
      <w:pPr>
        <w:jc w:val="both"/>
        <w:rPr>
          <w:i/>
          <w:lang w:val="de-DE"/>
        </w:rPr>
      </w:pPr>
      <w:r w:rsidRPr="004676F5">
        <w:rPr>
          <w:i/>
          <w:lang w:val="de-DE"/>
        </w:rPr>
        <w:t>[Art. </w:t>
      </w:r>
      <w:r w:rsidR="005D04DA" w:rsidRPr="004676F5">
        <w:rPr>
          <w:i/>
          <w:lang w:val="de-DE"/>
        </w:rPr>
        <w:t xml:space="preserve">VII.216/2 bis </w:t>
      </w:r>
      <w:r w:rsidRPr="004676F5">
        <w:rPr>
          <w:i/>
          <w:lang w:val="de-DE"/>
        </w:rPr>
        <w:t>VII.216/11 eingefügt durch Art. 105 des G. vom 15. April 2018 (B.S. vom 27. April 2018)]</w:t>
      </w:r>
    </w:p>
    <w:p w14:paraId="21AF6B9A" w14:textId="70D4061D" w:rsidR="00514F85" w:rsidRPr="004676F5" w:rsidRDefault="00514F85" w:rsidP="005C47F1">
      <w:pPr>
        <w:jc w:val="both"/>
        <w:rPr>
          <w:iCs/>
          <w:lang w:val="de-DE"/>
        </w:rPr>
      </w:pPr>
    </w:p>
    <w:p w14:paraId="10FB72A9" w14:textId="196A7512" w:rsidR="00514F85" w:rsidRPr="004676F5" w:rsidRDefault="00514F85" w:rsidP="005C47F1">
      <w:pPr>
        <w:jc w:val="both"/>
        <w:rPr>
          <w:iCs/>
          <w:lang w:val="de-DE"/>
        </w:rPr>
      </w:pPr>
    </w:p>
    <w:p w14:paraId="5D0A6405" w14:textId="3DB72477" w:rsidR="00514F85" w:rsidRPr="004676F5" w:rsidRDefault="00514F85" w:rsidP="00514F85">
      <w:pPr>
        <w:jc w:val="center"/>
        <w:rPr>
          <w:lang w:val="de-DE"/>
        </w:rPr>
      </w:pPr>
      <w:r w:rsidRPr="004676F5">
        <w:rPr>
          <w:lang w:val="de-DE"/>
        </w:rPr>
        <w:t>[</w:t>
      </w:r>
      <w:r w:rsidRPr="004676F5">
        <w:rPr>
          <w:i/>
          <w:lang w:val="de-DE"/>
        </w:rPr>
        <w:t>Abschnitt 2</w:t>
      </w:r>
      <w:r w:rsidRPr="004676F5">
        <w:rPr>
          <w:lang w:val="de-DE"/>
        </w:rPr>
        <w:t> </w:t>
      </w:r>
      <w:r w:rsidR="005B7A5C" w:rsidRPr="004676F5">
        <w:rPr>
          <w:lang w:val="de-DE"/>
        </w:rPr>
        <w:t>- </w:t>
      </w:r>
      <w:r w:rsidRPr="004676F5">
        <w:rPr>
          <w:lang w:val="de-DE"/>
        </w:rPr>
        <w:t>Indossament]</w:t>
      </w:r>
    </w:p>
    <w:p w14:paraId="72ABF991" w14:textId="6DA661A5" w:rsidR="00514F85" w:rsidRPr="004676F5" w:rsidRDefault="00514F85" w:rsidP="00514F85">
      <w:pPr>
        <w:ind w:firstLine="708"/>
        <w:jc w:val="both"/>
        <w:rPr>
          <w:lang w:val="de-DE"/>
        </w:rPr>
      </w:pPr>
    </w:p>
    <w:p w14:paraId="73C84073" w14:textId="04FEF6A3" w:rsidR="00514F85" w:rsidRPr="004676F5" w:rsidRDefault="00514F85" w:rsidP="00514F85">
      <w:pPr>
        <w:jc w:val="both"/>
        <w:rPr>
          <w:i/>
          <w:iCs/>
          <w:lang w:val="de-DE"/>
        </w:rPr>
      </w:pPr>
      <w:r w:rsidRPr="004676F5">
        <w:rPr>
          <w:i/>
          <w:lang w:val="de-DE"/>
        </w:rPr>
        <w:t xml:space="preserve">[Unterteilung </w:t>
      </w:r>
      <w:r w:rsidRPr="004676F5">
        <w:rPr>
          <w:i/>
          <w:lang w:val="de-DE"/>
        </w:rPr>
        <w:tab/>
        <w:t>Abschnitt 2 eingefügt durch Art. 106</w:t>
      </w:r>
      <w:r w:rsidRPr="004676F5">
        <w:rPr>
          <w:i/>
          <w:iCs/>
          <w:lang w:val="de-DE"/>
        </w:rPr>
        <w:t xml:space="preserve"> des G. vom 15. April 2018 (B.S. vom 27. April 2018)]</w:t>
      </w:r>
    </w:p>
    <w:p w14:paraId="22FCE58A" w14:textId="77777777" w:rsidR="00514F85" w:rsidRPr="004676F5" w:rsidRDefault="00514F85" w:rsidP="00514F85">
      <w:pPr>
        <w:ind w:firstLine="708"/>
        <w:jc w:val="both"/>
        <w:rPr>
          <w:lang w:val="de-DE"/>
        </w:rPr>
      </w:pPr>
    </w:p>
    <w:p w14:paraId="2CA138EE" w14:textId="77777777" w:rsidR="00514F85" w:rsidRPr="004676F5" w:rsidRDefault="00514F85" w:rsidP="00514F85">
      <w:pPr>
        <w:ind w:firstLine="708"/>
        <w:jc w:val="both"/>
        <w:rPr>
          <w:lang w:val="de-DE"/>
        </w:rPr>
      </w:pPr>
    </w:p>
    <w:p w14:paraId="407C1A6A" w14:textId="0B5A4686" w:rsidR="00514F85" w:rsidRPr="004676F5" w:rsidRDefault="00514F85" w:rsidP="00514F85">
      <w:pPr>
        <w:ind w:firstLine="708"/>
        <w:jc w:val="both"/>
        <w:rPr>
          <w:lang w:val="de-DE"/>
        </w:rPr>
      </w:pPr>
      <w:r w:rsidRPr="004676F5">
        <w:rPr>
          <w:lang w:val="de-DE"/>
        </w:rPr>
        <w:t>[</w:t>
      </w:r>
      <w:r w:rsidRPr="004676F5">
        <w:rPr>
          <w:b/>
          <w:lang w:val="de-DE"/>
        </w:rPr>
        <w:t>Art. VII.216/12</w:t>
      </w:r>
      <w:r w:rsidRPr="004676F5">
        <w:rPr>
          <w:lang w:val="de-DE"/>
        </w:rPr>
        <w:t> </w:t>
      </w:r>
      <w:r w:rsidR="005B7A5C" w:rsidRPr="004676F5">
        <w:rPr>
          <w:lang w:val="de-DE"/>
        </w:rPr>
        <w:t>- </w:t>
      </w:r>
      <w:r w:rsidRPr="004676F5">
        <w:rPr>
          <w:lang w:val="de-DE"/>
        </w:rPr>
        <w:t>Jeder Wechsel kann durch Indossament übertragen werden, auch wenn er nicht ausdrücklich an Order lautet.</w:t>
      </w:r>
    </w:p>
    <w:p w14:paraId="740E37DC" w14:textId="77777777" w:rsidR="00514F85" w:rsidRPr="004676F5" w:rsidRDefault="00514F85" w:rsidP="00514F85">
      <w:pPr>
        <w:ind w:firstLine="708"/>
        <w:jc w:val="both"/>
        <w:rPr>
          <w:lang w:val="de-DE"/>
        </w:rPr>
      </w:pPr>
    </w:p>
    <w:p w14:paraId="6081ED94" w14:textId="52F2497E" w:rsidR="00514F85" w:rsidRPr="004676F5" w:rsidRDefault="00514F85" w:rsidP="00514F85">
      <w:pPr>
        <w:ind w:firstLine="708"/>
        <w:jc w:val="both"/>
        <w:rPr>
          <w:lang w:val="de-DE"/>
        </w:rPr>
      </w:pPr>
      <w:r w:rsidRPr="004676F5">
        <w:rPr>
          <w:lang w:val="de-DE"/>
        </w:rPr>
        <w:t>Hat der Aussteller in den Wechsel die Worte "nicht an Order" oder einen gleichbedeutenden Vermerk aufgenommen, so kann der Wechsel nur in der Form und mit den Wirkungen einer gewöhnlichen Abtretung übertragen werden.</w:t>
      </w:r>
    </w:p>
    <w:p w14:paraId="5BF57D8E" w14:textId="73DE88EC" w:rsidR="00514F85" w:rsidRPr="004676F5" w:rsidRDefault="00514F85" w:rsidP="00514F85">
      <w:pPr>
        <w:ind w:firstLine="708"/>
        <w:jc w:val="both"/>
        <w:rPr>
          <w:lang w:val="de-DE"/>
        </w:rPr>
      </w:pPr>
    </w:p>
    <w:p w14:paraId="73842DF0" w14:textId="77777777" w:rsidR="00514F85" w:rsidRPr="004676F5" w:rsidRDefault="00514F85" w:rsidP="00514F85">
      <w:pPr>
        <w:ind w:firstLine="708"/>
        <w:jc w:val="both"/>
        <w:rPr>
          <w:lang w:val="de-DE"/>
        </w:rPr>
      </w:pPr>
    </w:p>
    <w:p w14:paraId="30E354F6" w14:textId="1C153B66" w:rsidR="00514F85" w:rsidRPr="004676F5" w:rsidRDefault="00514F85" w:rsidP="00514F85">
      <w:pPr>
        <w:ind w:firstLine="708"/>
        <w:jc w:val="both"/>
        <w:rPr>
          <w:lang w:val="de-DE"/>
        </w:rPr>
      </w:pPr>
      <w:r w:rsidRPr="004676F5">
        <w:rPr>
          <w:b/>
          <w:lang w:val="de-DE"/>
        </w:rPr>
        <w:t>Art. VII.216/13</w:t>
      </w:r>
      <w:r w:rsidRPr="004676F5">
        <w:rPr>
          <w:lang w:val="de-DE"/>
        </w:rPr>
        <w:t> </w:t>
      </w:r>
      <w:r w:rsidR="005B7A5C" w:rsidRPr="004676F5">
        <w:rPr>
          <w:lang w:val="de-DE"/>
        </w:rPr>
        <w:t>- </w:t>
      </w:r>
      <w:r w:rsidRPr="004676F5">
        <w:rPr>
          <w:lang w:val="de-DE"/>
        </w:rPr>
        <w:t>Das Indossament kann auch auf den Bezogenen, gleichviel ob er den Wechsel angenommen hat oder nicht, auf den Aussteller oder auf jeden anderen Wechselverpflichteten lauten. Diese Personen können den Wechsel weiter indossieren.</w:t>
      </w:r>
    </w:p>
    <w:p w14:paraId="1C3F361D" w14:textId="77777777" w:rsidR="00514F85" w:rsidRPr="004676F5" w:rsidRDefault="00514F85" w:rsidP="00514F85">
      <w:pPr>
        <w:ind w:firstLine="708"/>
        <w:jc w:val="both"/>
        <w:rPr>
          <w:lang w:val="de-DE"/>
        </w:rPr>
      </w:pPr>
    </w:p>
    <w:p w14:paraId="400BBAB8" w14:textId="77777777" w:rsidR="00514F85" w:rsidRPr="004676F5" w:rsidRDefault="00514F85" w:rsidP="00514F85">
      <w:pPr>
        <w:ind w:firstLine="708"/>
        <w:jc w:val="both"/>
        <w:rPr>
          <w:lang w:val="de-DE"/>
        </w:rPr>
      </w:pPr>
      <w:r w:rsidRPr="004676F5">
        <w:rPr>
          <w:lang w:val="de-DE"/>
        </w:rPr>
        <w:t>Das Indossament muss unbedingt sein. Bedingungen, von denen es abhängig gemacht wird, gelten als nicht geschrieben.</w:t>
      </w:r>
    </w:p>
    <w:p w14:paraId="1D0709ED" w14:textId="77777777" w:rsidR="00514F85" w:rsidRPr="004676F5" w:rsidRDefault="00514F85" w:rsidP="00514F85">
      <w:pPr>
        <w:ind w:firstLine="708"/>
        <w:jc w:val="both"/>
        <w:rPr>
          <w:lang w:val="de-DE"/>
        </w:rPr>
      </w:pPr>
    </w:p>
    <w:p w14:paraId="32147DD9" w14:textId="77777777" w:rsidR="00514F85" w:rsidRPr="004676F5" w:rsidRDefault="00514F85" w:rsidP="00514F85">
      <w:pPr>
        <w:ind w:firstLine="708"/>
        <w:jc w:val="both"/>
        <w:rPr>
          <w:lang w:val="de-DE"/>
        </w:rPr>
      </w:pPr>
      <w:r w:rsidRPr="004676F5">
        <w:rPr>
          <w:lang w:val="de-DE"/>
        </w:rPr>
        <w:t>Ein Teilindossament ist nichtig.</w:t>
      </w:r>
    </w:p>
    <w:p w14:paraId="572CC2E0" w14:textId="77777777" w:rsidR="00514F85" w:rsidRPr="004676F5" w:rsidRDefault="00514F85" w:rsidP="00514F85">
      <w:pPr>
        <w:ind w:firstLine="708"/>
        <w:jc w:val="both"/>
        <w:rPr>
          <w:lang w:val="de-DE"/>
        </w:rPr>
      </w:pPr>
    </w:p>
    <w:p w14:paraId="6B3CEB6E" w14:textId="0FC3157B" w:rsidR="00514F85" w:rsidRPr="004676F5" w:rsidRDefault="00514F85" w:rsidP="00514F85">
      <w:pPr>
        <w:ind w:firstLine="708"/>
        <w:jc w:val="both"/>
        <w:rPr>
          <w:lang w:val="de-DE"/>
        </w:rPr>
      </w:pPr>
      <w:r w:rsidRPr="004676F5">
        <w:rPr>
          <w:lang w:val="de-DE"/>
        </w:rPr>
        <w:t>Ein Indossament an den Inhaber gilt als Blankoindossament.</w:t>
      </w:r>
    </w:p>
    <w:p w14:paraId="21BB38C6" w14:textId="267DBCA7" w:rsidR="00514F85" w:rsidRPr="004676F5" w:rsidRDefault="00514F85" w:rsidP="00514F85">
      <w:pPr>
        <w:ind w:firstLine="708"/>
        <w:jc w:val="both"/>
        <w:rPr>
          <w:lang w:val="de-DE"/>
        </w:rPr>
      </w:pPr>
    </w:p>
    <w:p w14:paraId="1B20D5EC" w14:textId="77777777" w:rsidR="00514F85" w:rsidRPr="004676F5" w:rsidRDefault="00514F85" w:rsidP="00514F85">
      <w:pPr>
        <w:ind w:firstLine="708"/>
        <w:jc w:val="both"/>
        <w:rPr>
          <w:lang w:val="de-DE"/>
        </w:rPr>
      </w:pPr>
    </w:p>
    <w:p w14:paraId="55BB750E" w14:textId="599D95B3" w:rsidR="00514F85" w:rsidRPr="004676F5" w:rsidRDefault="00514F85" w:rsidP="00514F85">
      <w:pPr>
        <w:ind w:firstLine="708"/>
        <w:jc w:val="both"/>
        <w:rPr>
          <w:lang w:val="de-DE"/>
        </w:rPr>
      </w:pPr>
      <w:r w:rsidRPr="004676F5">
        <w:rPr>
          <w:b/>
          <w:lang w:val="de-DE"/>
        </w:rPr>
        <w:t>Art. VII.216/14</w:t>
      </w:r>
      <w:r w:rsidRPr="004676F5">
        <w:rPr>
          <w:lang w:val="de-DE"/>
        </w:rPr>
        <w:t> </w:t>
      </w:r>
      <w:r w:rsidR="005B7A5C" w:rsidRPr="004676F5">
        <w:rPr>
          <w:lang w:val="de-DE"/>
        </w:rPr>
        <w:t>- </w:t>
      </w:r>
      <w:r w:rsidRPr="004676F5">
        <w:rPr>
          <w:lang w:val="de-DE"/>
        </w:rPr>
        <w:t>Das Indossament muss auf den Wechsel oder auf ein mit dem Wechsel verbundenes Blatt (Anhang) gesetzt werden. Es muss von dem Indossanten unterschrieben werden.</w:t>
      </w:r>
    </w:p>
    <w:p w14:paraId="13868E61" w14:textId="77777777" w:rsidR="00514F85" w:rsidRPr="004676F5" w:rsidRDefault="00514F85" w:rsidP="00514F85">
      <w:pPr>
        <w:ind w:firstLine="708"/>
        <w:jc w:val="both"/>
        <w:rPr>
          <w:lang w:val="de-DE"/>
        </w:rPr>
      </w:pPr>
    </w:p>
    <w:p w14:paraId="4EACEBED" w14:textId="77777777" w:rsidR="005D04DA" w:rsidRPr="004676F5" w:rsidRDefault="00514F85" w:rsidP="00514F85">
      <w:pPr>
        <w:ind w:firstLine="708"/>
        <w:jc w:val="both"/>
        <w:rPr>
          <w:lang w:val="de-DE"/>
        </w:rPr>
      </w:pPr>
      <w:r w:rsidRPr="004676F5">
        <w:rPr>
          <w:lang w:val="de-DE"/>
        </w:rPr>
        <w:t>Das Indossament braucht den Indossatar nicht zu bezeichnen und kann selbst in der bloßen Unterschrift des Indossanten bestehen (Blankoindossament). In diesem letzteren Fall muss das Indossament, um gültig zu sein, auf die Rückseite des Wechsels oder auf den Anhang gesetzt werden.</w:t>
      </w:r>
    </w:p>
    <w:p w14:paraId="6FED9CAC" w14:textId="77777777" w:rsidR="005D04DA" w:rsidRPr="004676F5" w:rsidRDefault="005D04DA" w:rsidP="00514F85">
      <w:pPr>
        <w:ind w:firstLine="708"/>
        <w:jc w:val="both"/>
        <w:rPr>
          <w:lang w:val="de-DE"/>
        </w:rPr>
      </w:pPr>
    </w:p>
    <w:p w14:paraId="6ACA0234" w14:textId="77777777" w:rsidR="005D04DA" w:rsidRPr="004676F5" w:rsidRDefault="005D04DA" w:rsidP="00514F85">
      <w:pPr>
        <w:ind w:firstLine="708"/>
        <w:jc w:val="both"/>
        <w:rPr>
          <w:lang w:val="de-DE"/>
        </w:rPr>
      </w:pPr>
    </w:p>
    <w:p w14:paraId="76F03ECD" w14:textId="3ADA8F52" w:rsidR="00514F85" w:rsidRPr="004676F5" w:rsidRDefault="00514F85" w:rsidP="00514F85">
      <w:pPr>
        <w:ind w:firstLine="708"/>
        <w:jc w:val="both"/>
        <w:rPr>
          <w:lang w:val="de-DE"/>
        </w:rPr>
      </w:pPr>
      <w:r w:rsidRPr="004676F5">
        <w:rPr>
          <w:b/>
          <w:lang w:val="de-DE"/>
        </w:rPr>
        <w:t>Art. VII.216/15</w:t>
      </w:r>
      <w:r w:rsidRPr="004676F5">
        <w:rPr>
          <w:lang w:val="de-DE"/>
        </w:rPr>
        <w:t> </w:t>
      </w:r>
      <w:r w:rsidR="005B7A5C" w:rsidRPr="004676F5">
        <w:rPr>
          <w:lang w:val="de-DE"/>
        </w:rPr>
        <w:t>- </w:t>
      </w:r>
      <w:r w:rsidRPr="004676F5">
        <w:rPr>
          <w:lang w:val="de-DE"/>
        </w:rPr>
        <w:t>Das Indossament überträgt alle Rechte aus dem Wechsel.</w:t>
      </w:r>
    </w:p>
    <w:p w14:paraId="79A64770" w14:textId="77777777" w:rsidR="00514F85" w:rsidRPr="004676F5" w:rsidRDefault="00514F85" w:rsidP="00514F85">
      <w:pPr>
        <w:ind w:firstLine="708"/>
        <w:jc w:val="both"/>
        <w:rPr>
          <w:lang w:val="de-DE"/>
        </w:rPr>
      </w:pPr>
    </w:p>
    <w:p w14:paraId="7B0F9563" w14:textId="77777777" w:rsidR="00514F85" w:rsidRPr="004676F5" w:rsidRDefault="00514F85" w:rsidP="00514F85">
      <w:pPr>
        <w:ind w:firstLine="708"/>
        <w:jc w:val="both"/>
        <w:rPr>
          <w:lang w:val="de-DE"/>
        </w:rPr>
      </w:pPr>
      <w:r w:rsidRPr="004676F5">
        <w:rPr>
          <w:lang w:val="de-DE"/>
        </w:rPr>
        <w:t>Ist es ein Blankoindossament, so kann der Inhaber:</w:t>
      </w:r>
    </w:p>
    <w:p w14:paraId="1FE2E0FE" w14:textId="77777777" w:rsidR="00514F85" w:rsidRPr="004676F5" w:rsidRDefault="00514F85" w:rsidP="00514F85">
      <w:pPr>
        <w:ind w:firstLine="708"/>
        <w:jc w:val="both"/>
        <w:rPr>
          <w:lang w:val="de-DE"/>
        </w:rPr>
      </w:pPr>
    </w:p>
    <w:p w14:paraId="5DDE24A6" w14:textId="77777777" w:rsidR="00514F85" w:rsidRPr="004676F5" w:rsidRDefault="00514F85" w:rsidP="00514F85">
      <w:pPr>
        <w:ind w:firstLine="708"/>
        <w:jc w:val="both"/>
        <w:rPr>
          <w:lang w:val="de-DE"/>
        </w:rPr>
      </w:pPr>
      <w:r w:rsidRPr="004676F5">
        <w:rPr>
          <w:lang w:val="de-DE"/>
        </w:rPr>
        <w:t>1. das Indossament mit seinem Namen oder mit dem Namen eines anderen ausfüllen,</w:t>
      </w:r>
    </w:p>
    <w:p w14:paraId="2E30CCDF" w14:textId="77777777" w:rsidR="00514F85" w:rsidRPr="004676F5" w:rsidRDefault="00514F85" w:rsidP="00514F85">
      <w:pPr>
        <w:ind w:firstLine="708"/>
        <w:jc w:val="both"/>
        <w:rPr>
          <w:lang w:val="de-DE"/>
        </w:rPr>
      </w:pPr>
    </w:p>
    <w:p w14:paraId="21305550" w14:textId="77777777" w:rsidR="00514F85" w:rsidRPr="004676F5" w:rsidRDefault="00514F85" w:rsidP="00514F85">
      <w:pPr>
        <w:ind w:firstLine="708"/>
        <w:jc w:val="both"/>
        <w:rPr>
          <w:lang w:val="de-DE"/>
        </w:rPr>
      </w:pPr>
      <w:r w:rsidRPr="004676F5">
        <w:rPr>
          <w:lang w:val="de-DE"/>
        </w:rPr>
        <w:t>2. den Wechsel durch ein Blankoindossament oder an eine bestimmte Person weiter indossieren,</w:t>
      </w:r>
    </w:p>
    <w:p w14:paraId="5645B0C8" w14:textId="77777777" w:rsidR="00514F85" w:rsidRPr="004676F5" w:rsidRDefault="00514F85" w:rsidP="00514F85">
      <w:pPr>
        <w:ind w:firstLine="708"/>
        <w:jc w:val="both"/>
        <w:rPr>
          <w:lang w:val="de-DE"/>
        </w:rPr>
      </w:pPr>
    </w:p>
    <w:p w14:paraId="4A9BD6E0" w14:textId="62C370A3" w:rsidR="00514F85" w:rsidRPr="004676F5" w:rsidRDefault="00514F85" w:rsidP="00514F85">
      <w:pPr>
        <w:ind w:firstLine="708"/>
        <w:jc w:val="both"/>
        <w:rPr>
          <w:lang w:val="de-DE"/>
        </w:rPr>
      </w:pPr>
      <w:r w:rsidRPr="004676F5">
        <w:rPr>
          <w:lang w:val="de-DE"/>
        </w:rPr>
        <w:t>3. den Wechsel weiter begeben, ohne das Blankoindossament auszufüllen und ohne ihn zu indossieren.</w:t>
      </w:r>
    </w:p>
    <w:p w14:paraId="7EC4FED8" w14:textId="77777777" w:rsidR="005D04DA" w:rsidRPr="004676F5" w:rsidRDefault="005D04DA" w:rsidP="00514F85">
      <w:pPr>
        <w:ind w:firstLine="708"/>
        <w:jc w:val="both"/>
        <w:rPr>
          <w:lang w:val="de-DE"/>
        </w:rPr>
      </w:pPr>
    </w:p>
    <w:p w14:paraId="578F30A1" w14:textId="77777777" w:rsidR="00514F85" w:rsidRPr="004676F5" w:rsidRDefault="00514F85" w:rsidP="00514F85">
      <w:pPr>
        <w:ind w:firstLine="708"/>
        <w:jc w:val="both"/>
        <w:rPr>
          <w:lang w:val="de-DE"/>
        </w:rPr>
      </w:pPr>
    </w:p>
    <w:p w14:paraId="2B4987DA" w14:textId="7094B0EF" w:rsidR="00514F85" w:rsidRPr="004676F5" w:rsidRDefault="00514F85" w:rsidP="00514F85">
      <w:pPr>
        <w:ind w:firstLine="708"/>
        <w:jc w:val="both"/>
        <w:rPr>
          <w:lang w:val="de-DE"/>
        </w:rPr>
      </w:pPr>
      <w:r w:rsidRPr="004676F5">
        <w:rPr>
          <w:b/>
          <w:lang w:val="de-DE"/>
        </w:rPr>
        <w:lastRenderedPageBreak/>
        <w:t>Art. VII.216/16</w:t>
      </w:r>
      <w:r w:rsidRPr="004676F5">
        <w:rPr>
          <w:lang w:val="de-DE"/>
        </w:rPr>
        <w:t> </w:t>
      </w:r>
      <w:r w:rsidR="005B7A5C" w:rsidRPr="004676F5">
        <w:rPr>
          <w:lang w:val="de-DE"/>
        </w:rPr>
        <w:t>- </w:t>
      </w:r>
      <w:r w:rsidRPr="004676F5">
        <w:rPr>
          <w:lang w:val="de-DE"/>
        </w:rPr>
        <w:t>Der Indossant haftet mangels eines entgegenstehenden Vermerks für die Annahme und die Zahlung.</w:t>
      </w:r>
    </w:p>
    <w:p w14:paraId="3EED773C" w14:textId="77777777" w:rsidR="00514F85" w:rsidRPr="004676F5" w:rsidRDefault="00514F85" w:rsidP="00514F85">
      <w:pPr>
        <w:ind w:firstLine="708"/>
        <w:jc w:val="both"/>
        <w:rPr>
          <w:lang w:val="de-DE"/>
        </w:rPr>
      </w:pPr>
    </w:p>
    <w:p w14:paraId="370405C0" w14:textId="77777777" w:rsidR="00514F85" w:rsidRPr="004676F5" w:rsidRDefault="00514F85" w:rsidP="00514F85">
      <w:pPr>
        <w:ind w:firstLine="708"/>
        <w:jc w:val="both"/>
        <w:rPr>
          <w:lang w:val="de-DE"/>
        </w:rPr>
      </w:pPr>
      <w:r w:rsidRPr="004676F5">
        <w:rPr>
          <w:lang w:val="de-DE"/>
        </w:rPr>
        <w:t>Er kann untersagen, dass der Wechsel weiter indossiert wird; in diesem Fall haftet er nicht denen gegenüber, an die der Wechsel weiter indossiert wird.</w:t>
      </w:r>
    </w:p>
    <w:p w14:paraId="305D5F22" w14:textId="6671984E" w:rsidR="00514F85" w:rsidRPr="004676F5" w:rsidRDefault="00514F85" w:rsidP="00514F85">
      <w:pPr>
        <w:ind w:firstLine="708"/>
        <w:jc w:val="both"/>
        <w:rPr>
          <w:lang w:val="de-DE"/>
        </w:rPr>
      </w:pPr>
    </w:p>
    <w:p w14:paraId="2EECE1A5" w14:textId="77777777" w:rsidR="005D04DA" w:rsidRPr="004676F5" w:rsidRDefault="005D04DA" w:rsidP="00514F85">
      <w:pPr>
        <w:ind w:firstLine="708"/>
        <w:jc w:val="both"/>
        <w:rPr>
          <w:lang w:val="de-DE"/>
        </w:rPr>
      </w:pPr>
    </w:p>
    <w:p w14:paraId="091760AA" w14:textId="3361939B" w:rsidR="00514F85" w:rsidRPr="004676F5" w:rsidRDefault="00514F85" w:rsidP="00514F85">
      <w:pPr>
        <w:ind w:firstLine="708"/>
        <w:jc w:val="both"/>
        <w:rPr>
          <w:lang w:val="de-DE"/>
        </w:rPr>
      </w:pPr>
      <w:r w:rsidRPr="004676F5">
        <w:rPr>
          <w:b/>
          <w:lang w:val="de-DE"/>
        </w:rPr>
        <w:t>Art. VII.216/17</w:t>
      </w:r>
      <w:r w:rsidRPr="004676F5">
        <w:rPr>
          <w:lang w:val="de-DE"/>
        </w:rPr>
        <w:t> </w:t>
      </w:r>
      <w:r w:rsidR="005B7A5C" w:rsidRPr="004676F5">
        <w:rPr>
          <w:lang w:val="de-DE"/>
        </w:rPr>
        <w:t>- </w:t>
      </w:r>
      <w:r w:rsidRPr="004676F5">
        <w:rPr>
          <w:lang w:val="de-DE"/>
        </w:rPr>
        <w:t>Wer den Wechsel in Händen hat, gilt als rechtmäßiger Inhaber, sofern er sein Recht durch eine ununterbrochene Reihe von Indossamenten nachweist, und zwar auch dann, wenn das letzte ein Blankoindossament ist. Ausgestrichene Indossamente gelten hierbei als nicht geschrieben. Folgt auf ein Blankoindossament ein weiteres Indossament, so wird angenommen, dass der Aussteller dieses Indossaments den Wechsel durch das Blanko</w:t>
      </w:r>
      <w:r w:rsidRPr="004676F5">
        <w:rPr>
          <w:lang w:val="de-DE"/>
        </w:rPr>
        <w:softHyphen/>
        <w:t>indossament erworben hat.</w:t>
      </w:r>
    </w:p>
    <w:p w14:paraId="60E40DE8" w14:textId="77777777" w:rsidR="00514F85" w:rsidRPr="004676F5" w:rsidRDefault="00514F85" w:rsidP="00514F85">
      <w:pPr>
        <w:ind w:firstLine="708"/>
        <w:jc w:val="both"/>
        <w:rPr>
          <w:lang w:val="de-DE"/>
        </w:rPr>
      </w:pPr>
    </w:p>
    <w:p w14:paraId="27F6674E" w14:textId="77777777" w:rsidR="00514F85" w:rsidRPr="004676F5" w:rsidRDefault="00514F85" w:rsidP="00514F85">
      <w:pPr>
        <w:ind w:firstLine="708"/>
        <w:jc w:val="both"/>
        <w:rPr>
          <w:lang w:val="de-DE"/>
        </w:rPr>
      </w:pPr>
      <w:r w:rsidRPr="004676F5">
        <w:rPr>
          <w:lang w:val="de-DE"/>
        </w:rPr>
        <w:t>Ist der Wechsel einem früheren Inhaber irgendwie abhandengekommen, so ist der neue Inhaber, der sein Recht nach den Vorschriften von Absatz 1 nachweist, zur Herausgabe des Wechsels nur verpflichtet, wenn er ihn in bösem Glauben erworben hat oder ihm beim Erwerb eine grobe Fahrlässigkeit zur Last fällt.</w:t>
      </w:r>
    </w:p>
    <w:p w14:paraId="32E5F600" w14:textId="509953B4" w:rsidR="00514F85" w:rsidRPr="004676F5" w:rsidRDefault="00514F85" w:rsidP="00514F85">
      <w:pPr>
        <w:ind w:firstLine="708"/>
        <w:jc w:val="both"/>
        <w:rPr>
          <w:lang w:val="de-DE"/>
        </w:rPr>
      </w:pPr>
    </w:p>
    <w:p w14:paraId="252CF549" w14:textId="77777777" w:rsidR="005D04DA" w:rsidRPr="004676F5" w:rsidRDefault="005D04DA" w:rsidP="00514F85">
      <w:pPr>
        <w:ind w:firstLine="708"/>
        <w:jc w:val="both"/>
        <w:rPr>
          <w:lang w:val="de-DE"/>
        </w:rPr>
      </w:pPr>
    </w:p>
    <w:p w14:paraId="3B1B2F99" w14:textId="5CA2FC82" w:rsidR="00514F85" w:rsidRPr="004676F5" w:rsidRDefault="00514F85" w:rsidP="00514F85">
      <w:pPr>
        <w:ind w:firstLine="708"/>
        <w:jc w:val="both"/>
        <w:rPr>
          <w:lang w:val="de-DE"/>
        </w:rPr>
      </w:pPr>
      <w:r w:rsidRPr="004676F5">
        <w:rPr>
          <w:b/>
          <w:lang w:val="de-DE"/>
        </w:rPr>
        <w:t>Art. VII.216/18</w:t>
      </w:r>
      <w:r w:rsidRPr="004676F5">
        <w:rPr>
          <w:lang w:val="de-DE"/>
        </w:rPr>
        <w:t> </w:t>
      </w:r>
      <w:r w:rsidR="005B7A5C" w:rsidRPr="004676F5">
        <w:rPr>
          <w:lang w:val="de-DE"/>
        </w:rPr>
        <w:t>- </w:t>
      </w:r>
      <w:r w:rsidRPr="004676F5">
        <w:rPr>
          <w:lang w:val="de-DE"/>
        </w:rPr>
        <w:t>Wer aus dem Wechsel in Anspruch genommen wird, kann dem Inhaber keine Einwendungen entgegensetzen, die sich auf seine unmittelbaren Beziehungen zu dem Aussteller oder zu einem früheren Inhaber gründen, es sei denn, dass der Inhaber bei dem Erwerb des Wechsels bewusst zum Nachteil des Schuldners gehandelt hat.</w:t>
      </w:r>
    </w:p>
    <w:p w14:paraId="1CFDD301" w14:textId="48CAC3A4" w:rsidR="00514F85" w:rsidRPr="004676F5" w:rsidRDefault="00514F85" w:rsidP="00514F85">
      <w:pPr>
        <w:ind w:firstLine="708"/>
        <w:jc w:val="both"/>
        <w:rPr>
          <w:lang w:val="de-DE"/>
        </w:rPr>
      </w:pPr>
    </w:p>
    <w:p w14:paraId="25C0476B" w14:textId="77777777" w:rsidR="005D04DA" w:rsidRPr="004676F5" w:rsidRDefault="005D04DA" w:rsidP="00514F85">
      <w:pPr>
        <w:ind w:firstLine="708"/>
        <w:jc w:val="both"/>
        <w:rPr>
          <w:lang w:val="de-DE"/>
        </w:rPr>
      </w:pPr>
    </w:p>
    <w:p w14:paraId="50949FB5" w14:textId="55DD8171" w:rsidR="00514F85" w:rsidRPr="004676F5" w:rsidRDefault="00514F85" w:rsidP="00514F85">
      <w:pPr>
        <w:ind w:firstLine="708"/>
        <w:jc w:val="both"/>
        <w:rPr>
          <w:lang w:val="de-DE"/>
        </w:rPr>
      </w:pPr>
      <w:r w:rsidRPr="004676F5">
        <w:rPr>
          <w:b/>
          <w:lang w:val="de-DE"/>
        </w:rPr>
        <w:t>Art. VII.216/19</w:t>
      </w:r>
      <w:r w:rsidRPr="004676F5">
        <w:rPr>
          <w:lang w:val="de-DE"/>
        </w:rPr>
        <w:t> </w:t>
      </w:r>
      <w:r w:rsidR="005B7A5C" w:rsidRPr="004676F5">
        <w:rPr>
          <w:lang w:val="de-DE"/>
        </w:rPr>
        <w:t>- </w:t>
      </w:r>
      <w:r w:rsidRPr="004676F5">
        <w:rPr>
          <w:lang w:val="de-DE"/>
        </w:rPr>
        <w:t>Enthält das Indossament den Vermerk "Wert zur Einziehung", "zum Inkasso", "in Prokura" oder einen anderen nur eine Bevollmächtigung ausdrückenden Vermerk, so kann der Inhaber alle Rechte aus dem Wechsel geltend machen; aber er kann ihn nur durch ein weiteres Vollmachtindossament übertragen.</w:t>
      </w:r>
    </w:p>
    <w:p w14:paraId="70BFD47E" w14:textId="77777777" w:rsidR="00514F85" w:rsidRPr="004676F5" w:rsidRDefault="00514F85" w:rsidP="00514F85">
      <w:pPr>
        <w:ind w:firstLine="708"/>
        <w:jc w:val="both"/>
        <w:rPr>
          <w:lang w:val="de-DE"/>
        </w:rPr>
      </w:pPr>
    </w:p>
    <w:p w14:paraId="0A47DBA4" w14:textId="77777777" w:rsidR="00514F85" w:rsidRPr="004676F5" w:rsidRDefault="00514F85" w:rsidP="00514F85">
      <w:pPr>
        <w:ind w:firstLine="708"/>
        <w:jc w:val="both"/>
        <w:rPr>
          <w:lang w:val="de-DE"/>
        </w:rPr>
      </w:pPr>
      <w:r w:rsidRPr="004676F5">
        <w:rPr>
          <w:lang w:val="de-DE"/>
        </w:rPr>
        <w:t>Die Wechselverpflichteten können in diesem Fall dem Inhaber nur solche Einwendungen entgegensetzen, die ihnen gegen den Indossanten zustehen.</w:t>
      </w:r>
    </w:p>
    <w:p w14:paraId="01C1CB6B" w14:textId="77777777" w:rsidR="00514F85" w:rsidRPr="004676F5" w:rsidRDefault="00514F85" w:rsidP="00514F85">
      <w:pPr>
        <w:ind w:firstLine="708"/>
        <w:jc w:val="both"/>
        <w:rPr>
          <w:lang w:val="de-DE"/>
        </w:rPr>
      </w:pPr>
    </w:p>
    <w:p w14:paraId="02A57B20" w14:textId="77777777" w:rsidR="00514F85" w:rsidRPr="004676F5" w:rsidRDefault="00514F85" w:rsidP="00514F85">
      <w:pPr>
        <w:ind w:firstLine="708"/>
        <w:jc w:val="both"/>
        <w:rPr>
          <w:lang w:val="de-DE"/>
        </w:rPr>
      </w:pPr>
      <w:r w:rsidRPr="004676F5">
        <w:rPr>
          <w:lang w:val="de-DE"/>
        </w:rPr>
        <w:t>Die in dem Vollmachtindossament enthaltene Vollmacht erlischt weder mit dem Tod noch mit dem Eintritt der Handlungsunfähigkeit des Vollmachtgebers.</w:t>
      </w:r>
    </w:p>
    <w:p w14:paraId="21713765" w14:textId="77777777" w:rsidR="00514F85" w:rsidRPr="004676F5" w:rsidRDefault="00514F85" w:rsidP="00514F85">
      <w:pPr>
        <w:ind w:firstLine="708"/>
        <w:jc w:val="both"/>
        <w:rPr>
          <w:lang w:val="de-DE"/>
        </w:rPr>
      </w:pPr>
    </w:p>
    <w:p w14:paraId="1E05ACE0" w14:textId="77777777" w:rsidR="005D04DA" w:rsidRPr="004676F5" w:rsidRDefault="005D04DA" w:rsidP="00514F85">
      <w:pPr>
        <w:ind w:firstLine="708"/>
        <w:jc w:val="both"/>
        <w:rPr>
          <w:lang w:val="de-DE"/>
        </w:rPr>
      </w:pPr>
    </w:p>
    <w:p w14:paraId="0F66F415" w14:textId="1589CE77" w:rsidR="00514F85" w:rsidRPr="004676F5" w:rsidRDefault="00514F85" w:rsidP="00514F85">
      <w:pPr>
        <w:ind w:firstLine="708"/>
        <w:jc w:val="both"/>
        <w:rPr>
          <w:lang w:val="de-DE"/>
        </w:rPr>
      </w:pPr>
      <w:r w:rsidRPr="004676F5">
        <w:rPr>
          <w:b/>
          <w:lang w:val="de-DE"/>
        </w:rPr>
        <w:t>Art. VII.216/20</w:t>
      </w:r>
      <w:r w:rsidRPr="004676F5">
        <w:rPr>
          <w:lang w:val="de-DE"/>
        </w:rPr>
        <w:t> </w:t>
      </w:r>
      <w:r w:rsidR="005B7A5C" w:rsidRPr="004676F5">
        <w:rPr>
          <w:lang w:val="de-DE"/>
        </w:rPr>
        <w:t>- </w:t>
      </w:r>
      <w:r w:rsidRPr="004676F5">
        <w:rPr>
          <w:lang w:val="de-DE"/>
        </w:rPr>
        <w:t>Enthält das Indossament den Vermerk "Wert zur Sicherheit", "Wert zum Pfand" oder einen anderen eine Verpfändung ausdrückenden Vermerk, so kann der Inhaber alle Rechte aus dem Wechsel geltend machen; ein von ihm ausgestelltes Indossament hat aber nur die Wirkung eines Vollmachtindossaments.</w:t>
      </w:r>
    </w:p>
    <w:p w14:paraId="7BAE8605" w14:textId="77777777" w:rsidR="00514F85" w:rsidRPr="004676F5" w:rsidRDefault="00514F85" w:rsidP="00514F85">
      <w:pPr>
        <w:ind w:firstLine="708"/>
        <w:jc w:val="both"/>
        <w:rPr>
          <w:lang w:val="de-DE"/>
        </w:rPr>
      </w:pPr>
    </w:p>
    <w:p w14:paraId="71585717" w14:textId="77777777" w:rsidR="00514F85" w:rsidRPr="004676F5" w:rsidRDefault="00514F85" w:rsidP="00514F85">
      <w:pPr>
        <w:ind w:firstLine="708"/>
        <w:jc w:val="both"/>
        <w:rPr>
          <w:lang w:val="de-DE"/>
        </w:rPr>
      </w:pPr>
      <w:r w:rsidRPr="004676F5">
        <w:rPr>
          <w:lang w:val="de-DE"/>
        </w:rPr>
        <w:t>Die Wechselverpflichteten können dem Inhaber keine Einwendungen entgegensetzen, die sich auf ihre unmittelbaren Beziehungen zu dem Indossanten gründen, es sei denn, dass der Inhaber bei dem Erwerb des Wechsels bewusst zum Nachteil des Schuldners gehandelt hat.</w:t>
      </w:r>
    </w:p>
    <w:p w14:paraId="6511EF23" w14:textId="5AC5D42E" w:rsidR="00514F85" w:rsidRPr="004676F5" w:rsidRDefault="00514F85" w:rsidP="00514F85">
      <w:pPr>
        <w:ind w:firstLine="708"/>
        <w:jc w:val="both"/>
        <w:rPr>
          <w:lang w:val="de-DE"/>
        </w:rPr>
      </w:pPr>
    </w:p>
    <w:p w14:paraId="7269DB80" w14:textId="77777777" w:rsidR="005D04DA" w:rsidRPr="004676F5" w:rsidRDefault="005D04DA" w:rsidP="00514F85">
      <w:pPr>
        <w:ind w:firstLine="708"/>
        <w:jc w:val="both"/>
        <w:rPr>
          <w:lang w:val="de-DE"/>
        </w:rPr>
      </w:pPr>
    </w:p>
    <w:p w14:paraId="7C0FED33" w14:textId="56E8C9B7" w:rsidR="00514F85" w:rsidRPr="004676F5" w:rsidRDefault="00514F85" w:rsidP="00514F85">
      <w:pPr>
        <w:ind w:firstLine="708"/>
        <w:jc w:val="both"/>
        <w:rPr>
          <w:lang w:val="de-DE"/>
        </w:rPr>
      </w:pPr>
      <w:r w:rsidRPr="004676F5">
        <w:rPr>
          <w:b/>
          <w:lang w:val="de-DE"/>
        </w:rPr>
        <w:t>Art. VII.216/21</w:t>
      </w:r>
      <w:r w:rsidRPr="004676F5">
        <w:rPr>
          <w:lang w:val="de-DE"/>
        </w:rPr>
        <w:t> </w:t>
      </w:r>
      <w:r w:rsidR="005B7A5C" w:rsidRPr="004676F5">
        <w:rPr>
          <w:lang w:val="de-DE"/>
        </w:rPr>
        <w:t>- </w:t>
      </w:r>
      <w:r w:rsidRPr="004676F5">
        <w:rPr>
          <w:lang w:val="de-DE"/>
        </w:rPr>
        <w:t>Ein Indossament nach Verfall hat dieselben Wirkungen wie ein Indossament vor Verfall. Ist jedoch der Wechsel erst nach Erhebung des Protestes mangels Zahlung oder nach Ablauf der hierfür bestimmten Frist indossiert worden, so hat das Indossament nur die Wirkungen einer gewöhnlichen Abtretung.</w:t>
      </w:r>
    </w:p>
    <w:p w14:paraId="0A0BB56B" w14:textId="77777777" w:rsidR="00514F85" w:rsidRPr="004676F5" w:rsidRDefault="00514F85" w:rsidP="00514F85">
      <w:pPr>
        <w:ind w:firstLine="708"/>
        <w:jc w:val="both"/>
        <w:rPr>
          <w:lang w:val="de-DE"/>
        </w:rPr>
      </w:pPr>
    </w:p>
    <w:p w14:paraId="7E3B6EF5" w14:textId="73916E93" w:rsidR="00514F85" w:rsidRPr="004676F5" w:rsidRDefault="00514F85" w:rsidP="00514F85">
      <w:pPr>
        <w:ind w:firstLine="708"/>
        <w:jc w:val="both"/>
        <w:rPr>
          <w:lang w:val="de-DE"/>
        </w:rPr>
      </w:pPr>
      <w:r w:rsidRPr="004676F5">
        <w:rPr>
          <w:lang w:val="de-DE"/>
        </w:rPr>
        <w:t xml:space="preserve">Bis zum Beweis des Gegenteils wird vermutet, dass ein nicht datiertes Indossament vor Ablauf der für die Erhebung des Protestes bestimmten Frist auf </w:t>
      </w:r>
      <w:r w:rsidR="005D04DA" w:rsidRPr="004676F5">
        <w:rPr>
          <w:lang w:val="de-DE"/>
        </w:rPr>
        <w:t>den Wechsel gesetzt worden ist.]</w:t>
      </w:r>
    </w:p>
    <w:p w14:paraId="2D4BF5AA" w14:textId="561C42C3" w:rsidR="005D04DA" w:rsidRPr="004676F5" w:rsidRDefault="005D04DA" w:rsidP="00514F85">
      <w:pPr>
        <w:ind w:firstLine="708"/>
        <w:jc w:val="both"/>
        <w:rPr>
          <w:lang w:val="de-DE"/>
        </w:rPr>
      </w:pPr>
    </w:p>
    <w:p w14:paraId="222A9BB5" w14:textId="67D899AE" w:rsidR="005D04DA" w:rsidRPr="004676F5" w:rsidRDefault="005D04DA" w:rsidP="005D04DA">
      <w:pPr>
        <w:jc w:val="both"/>
        <w:rPr>
          <w:i/>
          <w:lang w:val="de-DE"/>
        </w:rPr>
      </w:pPr>
      <w:r w:rsidRPr="004676F5">
        <w:rPr>
          <w:i/>
          <w:lang w:val="de-DE"/>
        </w:rPr>
        <w:t>[Art. VII.216/12 bis VII.216/21 eingefügt durch Art. 107 des G. vom 15. April 2018 (B.S. vom 27. April 2018)]</w:t>
      </w:r>
    </w:p>
    <w:p w14:paraId="153A2209" w14:textId="77777777" w:rsidR="005D04DA" w:rsidRPr="004676F5" w:rsidRDefault="005D04DA" w:rsidP="00514F85">
      <w:pPr>
        <w:ind w:firstLine="708"/>
        <w:jc w:val="both"/>
        <w:rPr>
          <w:lang w:val="de-DE"/>
        </w:rPr>
      </w:pPr>
    </w:p>
    <w:p w14:paraId="2419E571" w14:textId="77777777" w:rsidR="00514F85" w:rsidRPr="004676F5" w:rsidRDefault="00514F85" w:rsidP="005C47F1">
      <w:pPr>
        <w:jc w:val="both"/>
        <w:rPr>
          <w:iCs/>
          <w:lang w:val="de-DE"/>
        </w:rPr>
      </w:pPr>
    </w:p>
    <w:p w14:paraId="744AA677" w14:textId="06BEB2A2" w:rsidR="005D04DA" w:rsidRPr="004676F5" w:rsidRDefault="005D04DA" w:rsidP="005D04DA">
      <w:pPr>
        <w:jc w:val="center"/>
        <w:rPr>
          <w:lang w:val="de-DE"/>
        </w:rPr>
      </w:pPr>
      <w:r w:rsidRPr="004676F5">
        <w:rPr>
          <w:lang w:val="de-DE"/>
        </w:rPr>
        <w:t>[</w:t>
      </w:r>
      <w:r w:rsidRPr="004676F5">
        <w:rPr>
          <w:i/>
          <w:lang w:val="de-DE"/>
        </w:rPr>
        <w:t>Abschnitt 3</w:t>
      </w:r>
      <w:r w:rsidRPr="004676F5">
        <w:rPr>
          <w:lang w:val="de-DE"/>
        </w:rPr>
        <w:t> </w:t>
      </w:r>
      <w:r w:rsidR="005B7A5C" w:rsidRPr="004676F5">
        <w:rPr>
          <w:lang w:val="de-DE"/>
        </w:rPr>
        <w:t>- </w:t>
      </w:r>
      <w:r w:rsidRPr="004676F5">
        <w:rPr>
          <w:lang w:val="de-DE"/>
        </w:rPr>
        <w:t>Annahme]</w:t>
      </w:r>
    </w:p>
    <w:p w14:paraId="6EE11CB0" w14:textId="66B9FE2F" w:rsidR="005D04DA" w:rsidRPr="004676F5" w:rsidRDefault="005D04DA" w:rsidP="005D04DA">
      <w:pPr>
        <w:ind w:firstLine="708"/>
        <w:jc w:val="both"/>
        <w:rPr>
          <w:lang w:val="de-DE"/>
        </w:rPr>
      </w:pPr>
    </w:p>
    <w:p w14:paraId="23F2C860" w14:textId="0E59BFF2" w:rsidR="005D04DA" w:rsidRPr="004676F5" w:rsidRDefault="005D04DA" w:rsidP="005D04DA">
      <w:pPr>
        <w:jc w:val="both"/>
        <w:rPr>
          <w:i/>
          <w:iCs/>
          <w:lang w:val="de-DE"/>
        </w:rPr>
      </w:pPr>
      <w:r w:rsidRPr="004676F5">
        <w:rPr>
          <w:i/>
          <w:lang w:val="de-DE"/>
        </w:rPr>
        <w:t>[Unterteilung Abschnitt 3 eingefügt durch Art. 108</w:t>
      </w:r>
      <w:r w:rsidRPr="004676F5">
        <w:rPr>
          <w:i/>
          <w:iCs/>
          <w:lang w:val="de-DE"/>
        </w:rPr>
        <w:t xml:space="preserve"> des G. vom 15. April 2018 (B.S. vom 27. April 2018)]</w:t>
      </w:r>
    </w:p>
    <w:p w14:paraId="08593841" w14:textId="77777777" w:rsidR="005D04DA" w:rsidRPr="004676F5" w:rsidRDefault="005D04DA" w:rsidP="005D04DA">
      <w:pPr>
        <w:ind w:firstLine="708"/>
        <w:jc w:val="both"/>
        <w:rPr>
          <w:lang w:val="de-DE"/>
        </w:rPr>
      </w:pPr>
    </w:p>
    <w:p w14:paraId="4D1676B6" w14:textId="77777777" w:rsidR="005D04DA" w:rsidRPr="004676F5" w:rsidRDefault="005D04DA" w:rsidP="005D04DA">
      <w:pPr>
        <w:ind w:firstLine="708"/>
        <w:jc w:val="both"/>
        <w:rPr>
          <w:lang w:val="de-DE"/>
        </w:rPr>
      </w:pPr>
    </w:p>
    <w:p w14:paraId="65CAE833" w14:textId="573842A7" w:rsidR="005D04DA" w:rsidRPr="004676F5" w:rsidRDefault="005D04DA" w:rsidP="005D04DA">
      <w:pPr>
        <w:ind w:firstLine="708"/>
        <w:jc w:val="both"/>
        <w:rPr>
          <w:lang w:val="de-DE"/>
        </w:rPr>
      </w:pPr>
      <w:r w:rsidRPr="004676F5">
        <w:rPr>
          <w:lang w:val="de-DE"/>
        </w:rPr>
        <w:t>[</w:t>
      </w:r>
      <w:r w:rsidRPr="004676F5">
        <w:rPr>
          <w:b/>
          <w:lang w:val="de-DE"/>
        </w:rPr>
        <w:t>Art. VII.216/22</w:t>
      </w:r>
      <w:r w:rsidRPr="004676F5">
        <w:rPr>
          <w:lang w:val="de-DE"/>
        </w:rPr>
        <w:t> </w:t>
      </w:r>
      <w:r w:rsidR="005B7A5C" w:rsidRPr="004676F5">
        <w:rPr>
          <w:lang w:val="de-DE"/>
        </w:rPr>
        <w:t>- </w:t>
      </w:r>
      <w:r w:rsidRPr="004676F5">
        <w:rPr>
          <w:lang w:val="de-DE"/>
        </w:rPr>
        <w:t>Der Wechsel kann von dem Inhaber oder von jedem, der den Wechsel auch nur in Händen hat, bis zum Verfall dem Bezogenen an seinem Wohnsitz zur Annahme vorgelegt werden.</w:t>
      </w:r>
    </w:p>
    <w:p w14:paraId="343AE8C2" w14:textId="00659A94" w:rsidR="005D04DA" w:rsidRPr="004676F5" w:rsidRDefault="005D04DA" w:rsidP="005D04DA">
      <w:pPr>
        <w:ind w:firstLine="708"/>
        <w:jc w:val="both"/>
        <w:rPr>
          <w:lang w:val="de-DE"/>
        </w:rPr>
      </w:pPr>
    </w:p>
    <w:p w14:paraId="54E7CE85" w14:textId="77777777" w:rsidR="005D04DA" w:rsidRPr="004676F5" w:rsidRDefault="005D04DA" w:rsidP="005D04DA">
      <w:pPr>
        <w:ind w:firstLine="708"/>
        <w:jc w:val="both"/>
        <w:rPr>
          <w:lang w:val="de-DE"/>
        </w:rPr>
      </w:pPr>
    </w:p>
    <w:p w14:paraId="53003A75" w14:textId="5B19671A" w:rsidR="005D04DA" w:rsidRPr="004676F5" w:rsidRDefault="005D04DA" w:rsidP="005D04DA">
      <w:pPr>
        <w:ind w:firstLine="708"/>
        <w:jc w:val="both"/>
        <w:rPr>
          <w:lang w:val="de-DE"/>
        </w:rPr>
      </w:pPr>
      <w:r w:rsidRPr="004676F5">
        <w:rPr>
          <w:b/>
          <w:lang w:val="de-DE"/>
        </w:rPr>
        <w:t>Art. VII.216/23</w:t>
      </w:r>
      <w:r w:rsidRPr="004676F5">
        <w:rPr>
          <w:lang w:val="de-DE"/>
        </w:rPr>
        <w:t> </w:t>
      </w:r>
      <w:r w:rsidR="005B7A5C" w:rsidRPr="004676F5">
        <w:rPr>
          <w:lang w:val="de-DE"/>
        </w:rPr>
        <w:t>- </w:t>
      </w:r>
      <w:r w:rsidRPr="004676F5">
        <w:rPr>
          <w:lang w:val="de-DE"/>
        </w:rPr>
        <w:t>Der Aussteller kann in jedem Wechsel mit oder ohne Bestimmung einer Frist vorschreiben, dass der Wechsel zur Annahme vorgelegt werden muss.</w:t>
      </w:r>
    </w:p>
    <w:p w14:paraId="4ACF8E7E" w14:textId="77777777" w:rsidR="005D04DA" w:rsidRPr="004676F5" w:rsidRDefault="005D04DA" w:rsidP="005D04DA">
      <w:pPr>
        <w:ind w:firstLine="708"/>
        <w:jc w:val="both"/>
        <w:rPr>
          <w:lang w:val="de-DE"/>
        </w:rPr>
      </w:pPr>
    </w:p>
    <w:p w14:paraId="179A5882" w14:textId="77777777" w:rsidR="005D04DA" w:rsidRPr="004676F5" w:rsidRDefault="005D04DA" w:rsidP="005D04DA">
      <w:pPr>
        <w:ind w:firstLine="708"/>
        <w:jc w:val="both"/>
        <w:rPr>
          <w:lang w:val="de-DE"/>
        </w:rPr>
      </w:pPr>
      <w:r w:rsidRPr="004676F5">
        <w:rPr>
          <w:lang w:val="de-DE"/>
        </w:rPr>
        <w:t>Er kann im Wechsel die Vorlegung zur Annahme untersagen, wenn es sich nicht um einen Wechsel handelt, der bei einem Dritten oder an einem von dem Wohnsitz des Bezogenen verschiedenen Ort zahlbar ist oder der auf eine bestimmte Zeit nach Sicht lautet.</w:t>
      </w:r>
    </w:p>
    <w:p w14:paraId="174239D0" w14:textId="77777777" w:rsidR="005D04DA" w:rsidRPr="004676F5" w:rsidRDefault="005D04DA" w:rsidP="005D04DA">
      <w:pPr>
        <w:ind w:firstLine="708"/>
        <w:jc w:val="both"/>
        <w:rPr>
          <w:lang w:val="de-DE"/>
        </w:rPr>
      </w:pPr>
    </w:p>
    <w:p w14:paraId="62B09815" w14:textId="77777777" w:rsidR="005D04DA" w:rsidRPr="004676F5" w:rsidRDefault="005D04DA" w:rsidP="005D04DA">
      <w:pPr>
        <w:ind w:firstLine="708"/>
        <w:jc w:val="both"/>
        <w:rPr>
          <w:lang w:val="de-DE"/>
        </w:rPr>
      </w:pPr>
      <w:r w:rsidRPr="004676F5">
        <w:rPr>
          <w:lang w:val="de-DE"/>
        </w:rPr>
        <w:t>Er kann auch vorschreiben, dass der Wechsel nicht vor einem bestimmten Tag zur Annahme vorgelegt werden darf.</w:t>
      </w:r>
    </w:p>
    <w:p w14:paraId="2BC74E53" w14:textId="77777777" w:rsidR="005D04DA" w:rsidRPr="004676F5" w:rsidRDefault="005D04DA" w:rsidP="005D04DA">
      <w:pPr>
        <w:ind w:firstLine="708"/>
        <w:jc w:val="both"/>
        <w:rPr>
          <w:lang w:val="de-DE"/>
        </w:rPr>
      </w:pPr>
    </w:p>
    <w:p w14:paraId="181480D3" w14:textId="77777777" w:rsidR="005D04DA" w:rsidRPr="004676F5" w:rsidRDefault="005D04DA" w:rsidP="005D04DA">
      <w:pPr>
        <w:ind w:firstLine="708"/>
        <w:jc w:val="both"/>
        <w:rPr>
          <w:lang w:val="de-DE"/>
        </w:rPr>
      </w:pPr>
      <w:r w:rsidRPr="004676F5">
        <w:rPr>
          <w:lang w:val="de-DE"/>
        </w:rPr>
        <w:t>Jeder Indossant kann, wenn der Aussteller die Vorlegung zur Annahme nicht untersagt hat, mit oder ohne Bestimmung einer Frist vorschreiben, dass der Wechsel zur Annahme vorgelegt werden muss.</w:t>
      </w:r>
    </w:p>
    <w:p w14:paraId="659EDABE" w14:textId="77777777" w:rsidR="005D04DA" w:rsidRPr="004676F5" w:rsidRDefault="005D04DA" w:rsidP="005D04DA">
      <w:pPr>
        <w:ind w:firstLine="708"/>
        <w:jc w:val="both"/>
        <w:rPr>
          <w:lang w:val="de-DE"/>
        </w:rPr>
      </w:pPr>
    </w:p>
    <w:p w14:paraId="54BC2DD4" w14:textId="77777777" w:rsidR="005D04DA" w:rsidRPr="004676F5" w:rsidRDefault="005D04DA" w:rsidP="005D04DA">
      <w:pPr>
        <w:ind w:firstLine="708"/>
        <w:jc w:val="both"/>
        <w:rPr>
          <w:lang w:val="de-DE"/>
        </w:rPr>
      </w:pPr>
    </w:p>
    <w:p w14:paraId="1A3A9ECA" w14:textId="0ECBB574" w:rsidR="005D04DA" w:rsidRPr="004676F5" w:rsidRDefault="005D04DA" w:rsidP="005D04DA">
      <w:pPr>
        <w:ind w:firstLine="708"/>
        <w:jc w:val="both"/>
        <w:rPr>
          <w:lang w:val="de-DE"/>
        </w:rPr>
      </w:pPr>
      <w:r w:rsidRPr="004676F5">
        <w:rPr>
          <w:b/>
          <w:lang w:val="de-DE"/>
        </w:rPr>
        <w:t>Art. VII.216/24</w:t>
      </w:r>
      <w:r w:rsidRPr="004676F5">
        <w:rPr>
          <w:lang w:val="de-DE"/>
        </w:rPr>
        <w:t> </w:t>
      </w:r>
      <w:r w:rsidR="005B7A5C" w:rsidRPr="004676F5">
        <w:rPr>
          <w:lang w:val="de-DE"/>
        </w:rPr>
        <w:t>- </w:t>
      </w:r>
      <w:r w:rsidRPr="004676F5">
        <w:rPr>
          <w:lang w:val="de-DE"/>
        </w:rPr>
        <w:t>Wechsel, die auf eine bestimmte Zeit nach Sicht lauten, müssen binnen einem Jahr nach dem Tag der Ausstellung zur Annahme vorgelegt werden.</w:t>
      </w:r>
    </w:p>
    <w:p w14:paraId="55EA7736" w14:textId="77777777" w:rsidR="005D04DA" w:rsidRPr="004676F5" w:rsidRDefault="005D04DA" w:rsidP="005D04DA">
      <w:pPr>
        <w:ind w:firstLine="708"/>
        <w:jc w:val="both"/>
        <w:rPr>
          <w:lang w:val="de-DE"/>
        </w:rPr>
      </w:pPr>
    </w:p>
    <w:p w14:paraId="1EEC2591" w14:textId="77777777" w:rsidR="005D04DA" w:rsidRPr="004676F5" w:rsidRDefault="005D04DA" w:rsidP="005D04DA">
      <w:pPr>
        <w:ind w:firstLine="708"/>
        <w:jc w:val="both"/>
        <w:rPr>
          <w:lang w:val="de-DE"/>
        </w:rPr>
      </w:pPr>
      <w:r w:rsidRPr="004676F5">
        <w:rPr>
          <w:lang w:val="de-DE"/>
        </w:rPr>
        <w:t>Der Aussteller kann eine kürzere oder eine längere Frist bestimmen.</w:t>
      </w:r>
    </w:p>
    <w:p w14:paraId="6469E212" w14:textId="77777777" w:rsidR="005D04DA" w:rsidRPr="004676F5" w:rsidRDefault="005D04DA" w:rsidP="005D04DA">
      <w:pPr>
        <w:ind w:firstLine="708"/>
        <w:jc w:val="both"/>
        <w:rPr>
          <w:lang w:val="de-DE"/>
        </w:rPr>
      </w:pPr>
    </w:p>
    <w:p w14:paraId="4D12C7CC" w14:textId="77777777" w:rsidR="005D04DA" w:rsidRPr="004676F5" w:rsidRDefault="005D04DA" w:rsidP="005D04DA">
      <w:pPr>
        <w:ind w:firstLine="708"/>
        <w:jc w:val="both"/>
        <w:rPr>
          <w:lang w:val="de-DE"/>
        </w:rPr>
      </w:pPr>
      <w:r w:rsidRPr="004676F5">
        <w:rPr>
          <w:lang w:val="de-DE"/>
        </w:rPr>
        <w:t>Die Indossanten können die Vorlegungsfristen abkürzen.</w:t>
      </w:r>
    </w:p>
    <w:p w14:paraId="6487AF3B" w14:textId="5236F635" w:rsidR="005D04DA" w:rsidRPr="004676F5" w:rsidRDefault="005D04DA" w:rsidP="005D04DA">
      <w:pPr>
        <w:ind w:firstLine="708"/>
        <w:jc w:val="both"/>
        <w:rPr>
          <w:lang w:val="de-DE"/>
        </w:rPr>
      </w:pPr>
    </w:p>
    <w:p w14:paraId="21902114" w14:textId="77777777" w:rsidR="005D04DA" w:rsidRPr="004676F5" w:rsidRDefault="005D04DA" w:rsidP="005D04DA">
      <w:pPr>
        <w:ind w:firstLine="708"/>
        <w:jc w:val="both"/>
        <w:rPr>
          <w:lang w:val="de-DE"/>
        </w:rPr>
      </w:pPr>
    </w:p>
    <w:p w14:paraId="445A4745" w14:textId="7846CE23" w:rsidR="005D04DA" w:rsidRPr="004676F5" w:rsidRDefault="005D04DA" w:rsidP="005D04DA">
      <w:pPr>
        <w:ind w:firstLine="708"/>
        <w:jc w:val="both"/>
        <w:rPr>
          <w:lang w:val="de-DE"/>
        </w:rPr>
      </w:pPr>
      <w:r w:rsidRPr="004676F5">
        <w:rPr>
          <w:b/>
          <w:lang w:val="de-DE"/>
        </w:rPr>
        <w:t>Art. VII.216/25</w:t>
      </w:r>
      <w:r w:rsidRPr="004676F5">
        <w:rPr>
          <w:lang w:val="de-DE"/>
        </w:rPr>
        <w:t> </w:t>
      </w:r>
      <w:r w:rsidR="005B7A5C" w:rsidRPr="004676F5">
        <w:rPr>
          <w:lang w:val="de-DE"/>
        </w:rPr>
        <w:t>- </w:t>
      </w:r>
      <w:r w:rsidRPr="004676F5">
        <w:rPr>
          <w:lang w:val="de-DE"/>
        </w:rPr>
        <w:t>Der Bezogene kann verlangen, dass ihm der Wechsel am Tag nach der ersten Vorlegung nochmals vorgelegt wird. Die Beteiligten können sich darauf, dass diesem Verlangen nicht entsprochen worden ist, nur berufen, wenn das Verlangen im Protest vermerkt ist.</w:t>
      </w:r>
    </w:p>
    <w:p w14:paraId="566CFDED" w14:textId="77777777" w:rsidR="005D04DA" w:rsidRPr="004676F5" w:rsidRDefault="005D04DA" w:rsidP="005D04DA">
      <w:pPr>
        <w:ind w:firstLine="708"/>
        <w:jc w:val="both"/>
        <w:rPr>
          <w:lang w:val="de-DE"/>
        </w:rPr>
      </w:pPr>
    </w:p>
    <w:p w14:paraId="2E566176" w14:textId="77777777" w:rsidR="005D04DA" w:rsidRPr="004676F5" w:rsidRDefault="005D04DA" w:rsidP="005D04DA">
      <w:pPr>
        <w:ind w:firstLine="708"/>
        <w:jc w:val="both"/>
        <w:rPr>
          <w:lang w:val="de-DE"/>
        </w:rPr>
      </w:pPr>
      <w:r w:rsidRPr="004676F5">
        <w:rPr>
          <w:lang w:val="de-DE"/>
        </w:rPr>
        <w:t>Der Inhaber ist nicht verpflichtet, den zur Annahme vorgelegten Wechsel in der Hand des Bezogenen zu lassen.</w:t>
      </w:r>
    </w:p>
    <w:p w14:paraId="42E5C914" w14:textId="3151BD3B" w:rsidR="005D04DA" w:rsidRPr="004676F5" w:rsidRDefault="005D04DA" w:rsidP="005D04DA">
      <w:pPr>
        <w:ind w:firstLine="708"/>
        <w:jc w:val="both"/>
        <w:rPr>
          <w:lang w:val="de-DE"/>
        </w:rPr>
      </w:pPr>
    </w:p>
    <w:p w14:paraId="27D5466B" w14:textId="77777777" w:rsidR="005D04DA" w:rsidRPr="004676F5" w:rsidRDefault="005D04DA" w:rsidP="005D04DA">
      <w:pPr>
        <w:ind w:firstLine="708"/>
        <w:jc w:val="both"/>
        <w:rPr>
          <w:lang w:val="de-DE"/>
        </w:rPr>
      </w:pPr>
    </w:p>
    <w:p w14:paraId="045FDC9C" w14:textId="0EA98200" w:rsidR="005D04DA" w:rsidRPr="004676F5" w:rsidRDefault="005D04DA" w:rsidP="005D04DA">
      <w:pPr>
        <w:ind w:firstLine="708"/>
        <w:jc w:val="both"/>
        <w:rPr>
          <w:lang w:val="de-DE"/>
        </w:rPr>
      </w:pPr>
      <w:r w:rsidRPr="004676F5">
        <w:rPr>
          <w:b/>
          <w:lang w:val="de-DE"/>
        </w:rPr>
        <w:lastRenderedPageBreak/>
        <w:t>Art. VII.216/26</w:t>
      </w:r>
      <w:r w:rsidRPr="004676F5">
        <w:rPr>
          <w:lang w:val="de-DE"/>
        </w:rPr>
        <w:t> </w:t>
      </w:r>
      <w:r w:rsidR="005B7A5C" w:rsidRPr="004676F5">
        <w:rPr>
          <w:lang w:val="de-DE"/>
        </w:rPr>
        <w:t>- </w:t>
      </w:r>
      <w:r w:rsidRPr="004676F5">
        <w:rPr>
          <w:lang w:val="de-DE"/>
        </w:rPr>
        <w:t>Die Annahmeerklärung wird auf den Wechsel gesetzt. Sie wird durch das Wort "angenommen" oder ein gleichbedeutendes Wort ausgedrückt; sie ist vom Bezogenen zu unterschreiben. Die bloße Unterschrift des Bezogenen auf der Vorderseite des Wechsels gilt als Annahme.</w:t>
      </w:r>
    </w:p>
    <w:p w14:paraId="6C9F0611" w14:textId="77777777" w:rsidR="005D04DA" w:rsidRPr="004676F5" w:rsidRDefault="005D04DA" w:rsidP="005D04DA">
      <w:pPr>
        <w:ind w:firstLine="708"/>
        <w:jc w:val="both"/>
        <w:rPr>
          <w:lang w:val="de-DE"/>
        </w:rPr>
      </w:pPr>
    </w:p>
    <w:p w14:paraId="2BB89943" w14:textId="77777777" w:rsidR="005D04DA" w:rsidRPr="004676F5" w:rsidRDefault="005D04DA" w:rsidP="005D04DA">
      <w:pPr>
        <w:ind w:firstLine="708"/>
        <w:jc w:val="both"/>
        <w:rPr>
          <w:lang w:val="de-DE"/>
        </w:rPr>
      </w:pPr>
      <w:r w:rsidRPr="004676F5">
        <w:rPr>
          <w:lang w:val="de-DE"/>
        </w:rPr>
        <w:t>Lautet der Wechsel auf eine bestimmte Zeit nach Sicht oder ist er infolge eines besonderen Vermerks innerhalb einer bestimmten Frist zur Annahme vorzulegen, so muss die Annahmeerklärung den Tag bezeichnen, an dem sie erfolgt ist, sofern der Inhaber nicht die Angabe des Tages der Vorlegung verlangt. Ist kein Tag angegeben, so muss der Inhaber, um seine Rückgriffsrechte gegen die Indossanten und den Aussteller zu wahren, diese Unterlassung rechtzeitig durch einen Protest feststellen lassen.</w:t>
      </w:r>
    </w:p>
    <w:p w14:paraId="63DC6625" w14:textId="3BFB4360" w:rsidR="005D04DA" w:rsidRPr="004676F5" w:rsidRDefault="005D04DA" w:rsidP="005D04DA">
      <w:pPr>
        <w:ind w:firstLine="708"/>
        <w:jc w:val="both"/>
        <w:rPr>
          <w:lang w:val="de-DE"/>
        </w:rPr>
      </w:pPr>
    </w:p>
    <w:p w14:paraId="31547ECF" w14:textId="77777777" w:rsidR="005D04DA" w:rsidRPr="004676F5" w:rsidRDefault="005D04DA" w:rsidP="005D04DA">
      <w:pPr>
        <w:ind w:firstLine="708"/>
        <w:jc w:val="both"/>
        <w:rPr>
          <w:lang w:val="de-DE"/>
        </w:rPr>
      </w:pPr>
    </w:p>
    <w:p w14:paraId="19478C3C" w14:textId="76FA9784" w:rsidR="005D04DA" w:rsidRPr="004676F5" w:rsidRDefault="005D04DA" w:rsidP="005D04DA">
      <w:pPr>
        <w:ind w:firstLine="708"/>
        <w:jc w:val="both"/>
        <w:rPr>
          <w:lang w:val="de-DE"/>
        </w:rPr>
      </w:pPr>
      <w:r w:rsidRPr="004676F5">
        <w:rPr>
          <w:b/>
          <w:lang w:val="de-DE"/>
        </w:rPr>
        <w:t>Art. VII.216/27</w:t>
      </w:r>
      <w:r w:rsidRPr="004676F5">
        <w:rPr>
          <w:lang w:val="de-DE"/>
        </w:rPr>
        <w:t> </w:t>
      </w:r>
      <w:r w:rsidR="005B7A5C" w:rsidRPr="004676F5">
        <w:rPr>
          <w:lang w:val="de-DE"/>
        </w:rPr>
        <w:t>- </w:t>
      </w:r>
      <w:r w:rsidRPr="004676F5">
        <w:rPr>
          <w:lang w:val="de-DE"/>
        </w:rPr>
        <w:t>Die Annahme muss unbedingt sein; der Bezogene kann sie aber auf einen Teil der Wechselsumme beschränken.</w:t>
      </w:r>
    </w:p>
    <w:p w14:paraId="68DB97C3" w14:textId="77777777" w:rsidR="005D04DA" w:rsidRPr="004676F5" w:rsidRDefault="005D04DA" w:rsidP="005D04DA">
      <w:pPr>
        <w:ind w:firstLine="708"/>
        <w:jc w:val="both"/>
        <w:rPr>
          <w:lang w:val="de-DE"/>
        </w:rPr>
      </w:pPr>
    </w:p>
    <w:p w14:paraId="4B59F5FF" w14:textId="77777777" w:rsidR="005D04DA" w:rsidRPr="004676F5" w:rsidRDefault="005D04DA" w:rsidP="005D04DA">
      <w:pPr>
        <w:ind w:firstLine="708"/>
        <w:jc w:val="both"/>
        <w:rPr>
          <w:lang w:val="de-DE"/>
        </w:rPr>
      </w:pPr>
      <w:r w:rsidRPr="004676F5">
        <w:rPr>
          <w:lang w:val="de-DE"/>
        </w:rPr>
        <w:t>Wenn die Annahmeerklärung irgendeine andere Abweichung von den Bestimmungen des Wechsels enthält, so gilt die Annahme als verweigert. Der Annehmende haftet jedoch nach dem Inhalt seiner Annahmeerklärung.</w:t>
      </w:r>
    </w:p>
    <w:p w14:paraId="553F0F87" w14:textId="1191A93D" w:rsidR="005D04DA" w:rsidRPr="004676F5" w:rsidRDefault="005D04DA" w:rsidP="005D04DA">
      <w:pPr>
        <w:ind w:firstLine="708"/>
        <w:jc w:val="both"/>
        <w:rPr>
          <w:lang w:val="de-DE"/>
        </w:rPr>
      </w:pPr>
    </w:p>
    <w:p w14:paraId="1C163B11" w14:textId="77777777" w:rsidR="005D04DA" w:rsidRPr="004676F5" w:rsidRDefault="005D04DA" w:rsidP="005D04DA">
      <w:pPr>
        <w:ind w:firstLine="708"/>
        <w:jc w:val="both"/>
        <w:rPr>
          <w:lang w:val="de-DE"/>
        </w:rPr>
      </w:pPr>
    </w:p>
    <w:p w14:paraId="6F438A5A" w14:textId="67743809" w:rsidR="005D04DA" w:rsidRPr="004676F5" w:rsidRDefault="005D04DA" w:rsidP="005D04DA">
      <w:pPr>
        <w:ind w:firstLine="708"/>
        <w:jc w:val="both"/>
        <w:rPr>
          <w:lang w:val="de-DE"/>
        </w:rPr>
      </w:pPr>
      <w:r w:rsidRPr="004676F5">
        <w:rPr>
          <w:b/>
          <w:lang w:val="de-DE"/>
        </w:rPr>
        <w:t>Art. VII.216/28</w:t>
      </w:r>
      <w:r w:rsidRPr="004676F5">
        <w:rPr>
          <w:lang w:val="de-DE"/>
        </w:rPr>
        <w:t> </w:t>
      </w:r>
      <w:r w:rsidR="005B7A5C" w:rsidRPr="004676F5">
        <w:rPr>
          <w:lang w:val="de-DE"/>
        </w:rPr>
        <w:t>- </w:t>
      </w:r>
      <w:r w:rsidRPr="004676F5">
        <w:rPr>
          <w:lang w:val="de-DE"/>
        </w:rPr>
        <w:t>Hat der Aussteller im Wechsel einen von dem Wohnsitz des Bezogenen verschiedenen Zahlungsort angegeben, ohne einen Dritten zu bezeichnen, bei dem die Zahlung geleistet werden soll, so kann der Bezogene bei der Annahmeerklärung einen Dritten bezeichnen. Mangels einer solchen Bezeichnung wird angenommen, dass sich der Annehmer verpflichtet hat, selbst am Zahlungsort zu zahlen.</w:t>
      </w:r>
    </w:p>
    <w:p w14:paraId="0D1F9682" w14:textId="77777777" w:rsidR="005D04DA" w:rsidRPr="004676F5" w:rsidRDefault="005D04DA" w:rsidP="005D04DA">
      <w:pPr>
        <w:ind w:firstLine="708"/>
        <w:jc w:val="both"/>
        <w:rPr>
          <w:lang w:val="de-DE"/>
        </w:rPr>
      </w:pPr>
    </w:p>
    <w:p w14:paraId="0FDDBDCA" w14:textId="77777777" w:rsidR="005D04DA" w:rsidRPr="004676F5" w:rsidRDefault="005D04DA" w:rsidP="005D04DA">
      <w:pPr>
        <w:ind w:firstLine="708"/>
        <w:jc w:val="both"/>
        <w:rPr>
          <w:lang w:val="de-DE"/>
        </w:rPr>
      </w:pPr>
      <w:r w:rsidRPr="004676F5">
        <w:rPr>
          <w:lang w:val="de-DE"/>
        </w:rPr>
        <w:t>Ist der Wechsel beim Bezogenen selbst zahlbar, so kann dieser in der Annahmeerklärung eine am Zahlungsort befindliche Stelle bezeichnen, wo die Zahlung geleistet werden soll.</w:t>
      </w:r>
    </w:p>
    <w:p w14:paraId="48C6A993" w14:textId="1BE4AD9B" w:rsidR="005D04DA" w:rsidRPr="004676F5" w:rsidRDefault="005D04DA" w:rsidP="005D04DA">
      <w:pPr>
        <w:ind w:firstLine="708"/>
        <w:jc w:val="both"/>
        <w:rPr>
          <w:lang w:val="de-DE"/>
        </w:rPr>
      </w:pPr>
    </w:p>
    <w:p w14:paraId="2EE4D027" w14:textId="77777777" w:rsidR="005D04DA" w:rsidRPr="004676F5" w:rsidRDefault="005D04DA" w:rsidP="005D04DA">
      <w:pPr>
        <w:ind w:firstLine="708"/>
        <w:jc w:val="both"/>
        <w:rPr>
          <w:lang w:val="de-DE"/>
        </w:rPr>
      </w:pPr>
    </w:p>
    <w:p w14:paraId="08645947" w14:textId="5B971501" w:rsidR="005D04DA" w:rsidRPr="004676F5" w:rsidRDefault="005D04DA" w:rsidP="005D04DA">
      <w:pPr>
        <w:ind w:firstLine="708"/>
        <w:jc w:val="both"/>
        <w:rPr>
          <w:lang w:val="de-DE"/>
        </w:rPr>
      </w:pPr>
      <w:r w:rsidRPr="004676F5">
        <w:rPr>
          <w:b/>
          <w:lang w:val="de-DE"/>
        </w:rPr>
        <w:t>Art. VII.216/29</w:t>
      </w:r>
      <w:r w:rsidRPr="004676F5">
        <w:rPr>
          <w:lang w:val="de-DE"/>
        </w:rPr>
        <w:t> </w:t>
      </w:r>
      <w:r w:rsidR="005B7A5C" w:rsidRPr="004676F5">
        <w:rPr>
          <w:lang w:val="de-DE"/>
        </w:rPr>
        <w:t>- </w:t>
      </w:r>
      <w:r w:rsidRPr="004676F5">
        <w:rPr>
          <w:lang w:val="de-DE"/>
        </w:rPr>
        <w:t>Der Bezogene wird durch die Annahme verpflichtet, den Wechsel bei Verfall zu bezahlen.</w:t>
      </w:r>
    </w:p>
    <w:p w14:paraId="0CC1A95A" w14:textId="77777777" w:rsidR="005D04DA" w:rsidRPr="004676F5" w:rsidRDefault="005D04DA" w:rsidP="005D04DA">
      <w:pPr>
        <w:ind w:firstLine="708"/>
        <w:jc w:val="both"/>
        <w:rPr>
          <w:lang w:val="de-DE"/>
        </w:rPr>
      </w:pPr>
    </w:p>
    <w:p w14:paraId="7C8A89C7" w14:textId="77777777" w:rsidR="005D04DA" w:rsidRPr="004676F5" w:rsidRDefault="005D04DA" w:rsidP="005D04DA">
      <w:pPr>
        <w:ind w:firstLine="708"/>
        <w:jc w:val="both"/>
        <w:rPr>
          <w:lang w:val="de-DE"/>
        </w:rPr>
      </w:pPr>
      <w:r w:rsidRPr="004676F5">
        <w:rPr>
          <w:lang w:val="de-DE"/>
        </w:rPr>
        <w:t>Mangels Zahlung hat der Inhaber, auch wenn er der Aussteller ist, gegen den Annehmer einen unmittelbaren Anspruch aus dem Wechsel auf alles, was aufgrund der Artikel VII.216/49 und VII.216/50 gefordert werden kann.</w:t>
      </w:r>
    </w:p>
    <w:p w14:paraId="69D49E50" w14:textId="1B122E87" w:rsidR="005D04DA" w:rsidRPr="004676F5" w:rsidRDefault="005D04DA" w:rsidP="005D04DA">
      <w:pPr>
        <w:ind w:firstLine="708"/>
        <w:jc w:val="both"/>
        <w:rPr>
          <w:lang w:val="de-DE"/>
        </w:rPr>
      </w:pPr>
    </w:p>
    <w:p w14:paraId="238FBA06" w14:textId="77777777" w:rsidR="005D04DA" w:rsidRPr="004676F5" w:rsidRDefault="005D04DA" w:rsidP="005D04DA">
      <w:pPr>
        <w:ind w:firstLine="708"/>
        <w:jc w:val="both"/>
        <w:rPr>
          <w:lang w:val="de-DE"/>
        </w:rPr>
      </w:pPr>
    </w:p>
    <w:p w14:paraId="1CCA4931" w14:textId="7EC838B6" w:rsidR="005D04DA" w:rsidRPr="004676F5" w:rsidRDefault="005D04DA" w:rsidP="005D04DA">
      <w:pPr>
        <w:ind w:firstLine="708"/>
        <w:jc w:val="both"/>
        <w:rPr>
          <w:lang w:val="de-DE"/>
        </w:rPr>
      </w:pPr>
      <w:r w:rsidRPr="004676F5">
        <w:rPr>
          <w:b/>
          <w:lang w:val="de-DE"/>
        </w:rPr>
        <w:t>Art. VII.216/30</w:t>
      </w:r>
      <w:r w:rsidRPr="004676F5">
        <w:rPr>
          <w:lang w:val="de-DE"/>
        </w:rPr>
        <w:t> </w:t>
      </w:r>
      <w:r w:rsidR="005B7A5C" w:rsidRPr="004676F5">
        <w:rPr>
          <w:lang w:val="de-DE"/>
        </w:rPr>
        <w:t>- </w:t>
      </w:r>
      <w:r w:rsidRPr="004676F5">
        <w:rPr>
          <w:lang w:val="de-DE"/>
        </w:rPr>
        <w:t>Hat der Bezogene die auf den Wechsel gesetzte Annahmeerklärung vor der Rückgabe des Wechsels gestrichen, so gilt die Annahme als verweigert. Bis zum Beweis des Gegenteils wird vermutet, dass die Streichung vor der Rückgabe des Wechsels erfolgt ist.</w:t>
      </w:r>
    </w:p>
    <w:p w14:paraId="1766A662" w14:textId="77777777" w:rsidR="005D04DA" w:rsidRPr="004676F5" w:rsidRDefault="005D04DA" w:rsidP="005D04DA">
      <w:pPr>
        <w:ind w:firstLine="708"/>
        <w:jc w:val="both"/>
        <w:rPr>
          <w:lang w:val="de-DE"/>
        </w:rPr>
      </w:pPr>
    </w:p>
    <w:p w14:paraId="5809BF50" w14:textId="2D3C952F" w:rsidR="005D04DA" w:rsidRPr="004676F5" w:rsidRDefault="005D04DA" w:rsidP="005D04DA">
      <w:pPr>
        <w:ind w:firstLine="708"/>
        <w:jc w:val="both"/>
        <w:rPr>
          <w:lang w:val="de-DE"/>
        </w:rPr>
      </w:pPr>
      <w:r w:rsidRPr="004676F5">
        <w:rPr>
          <w:lang w:val="de-DE"/>
        </w:rPr>
        <w:t>Hat der Bezogene jedoch dem Inhaber oder einer Person, deren Unterschrift sich auf dem Wechsel befindet, die Annahme schriftlich mitgeteilt, so haftet er diesen gegenüber nach dem Inhalt seiner Annahmeerklärung.]</w:t>
      </w:r>
    </w:p>
    <w:p w14:paraId="0833F249" w14:textId="4BE29590" w:rsidR="005D04DA" w:rsidRPr="004676F5" w:rsidRDefault="005D04DA" w:rsidP="005D04DA">
      <w:pPr>
        <w:ind w:firstLine="708"/>
        <w:jc w:val="both"/>
        <w:rPr>
          <w:lang w:val="de-DE"/>
        </w:rPr>
      </w:pPr>
    </w:p>
    <w:p w14:paraId="7AC92935" w14:textId="355CE65A" w:rsidR="005D04DA" w:rsidRPr="004676F5" w:rsidRDefault="005D04DA" w:rsidP="005D04DA">
      <w:pPr>
        <w:jc w:val="both"/>
        <w:rPr>
          <w:i/>
          <w:lang w:val="de-DE"/>
        </w:rPr>
      </w:pPr>
      <w:r w:rsidRPr="004676F5">
        <w:rPr>
          <w:i/>
          <w:lang w:val="de-DE"/>
        </w:rPr>
        <w:t>[Art. VII.216/22 bis VII.216/30 eingefügt durch Art. 109 des G. vom 15. April 2018 (B.S. vom 27. April 2018)]</w:t>
      </w:r>
    </w:p>
    <w:p w14:paraId="4E90943F" w14:textId="77777777" w:rsidR="005D04DA" w:rsidRPr="004676F5" w:rsidRDefault="005D04DA" w:rsidP="005D04DA">
      <w:pPr>
        <w:ind w:firstLine="708"/>
        <w:jc w:val="both"/>
        <w:rPr>
          <w:lang w:val="de-DE"/>
        </w:rPr>
      </w:pPr>
    </w:p>
    <w:p w14:paraId="151CF688" w14:textId="77777777" w:rsidR="00260C41" w:rsidRPr="004676F5" w:rsidRDefault="00260C41" w:rsidP="005C47F1">
      <w:pPr>
        <w:jc w:val="both"/>
        <w:rPr>
          <w:lang w:val="de-DE"/>
        </w:rPr>
      </w:pPr>
    </w:p>
    <w:p w14:paraId="56603D21" w14:textId="15F59532" w:rsidR="00260C41" w:rsidRPr="004676F5" w:rsidRDefault="00260C41" w:rsidP="00260C41">
      <w:pPr>
        <w:jc w:val="center"/>
        <w:rPr>
          <w:lang w:val="de-DE"/>
        </w:rPr>
      </w:pPr>
      <w:r w:rsidRPr="004676F5">
        <w:rPr>
          <w:lang w:val="de-DE"/>
        </w:rPr>
        <w:lastRenderedPageBreak/>
        <w:t>[</w:t>
      </w:r>
      <w:r w:rsidRPr="004676F5">
        <w:rPr>
          <w:i/>
          <w:lang w:val="de-DE"/>
        </w:rPr>
        <w:t>Abschnitt 4</w:t>
      </w:r>
      <w:r w:rsidRPr="004676F5">
        <w:rPr>
          <w:lang w:val="de-DE"/>
        </w:rPr>
        <w:t> </w:t>
      </w:r>
      <w:r w:rsidR="005B7A5C" w:rsidRPr="004676F5">
        <w:rPr>
          <w:lang w:val="de-DE"/>
        </w:rPr>
        <w:t>- </w:t>
      </w:r>
      <w:r w:rsidRPr="004676F5">
        <w:rPr>
          <w:lang w:val="de-DE"/>
        </w:rPr>
        <w:t>Wechselbürgschaft]</w:t>
      </w:r>
    </w:p>
    <w:p w14:paraId="4515F953" w14:textId="77777777" w:rsidR="00260C41" w:rsidRPr="004676F5" w:rsidRDefault="00260C41" w:rsidP="00260C41">
      <w:pPr>
        <w:ind w:firstLine="708"/>
        <w:jc w:val="both"/>
        <w:rPr>
          <w:lang w:val="de-DE"/>
        </w:rPr>
      </w:pPr>
    </w:p>
    <w:p w14:paraId="20047B75" w14:textId="4B335FDA" w:rsidR="00260C41" w:rsidRPr="004676F5" w:rsidRDefault="00260C41" w:rsidP="00260C41">
      <w:pPr>
        <w:jc w:val="both"/>
        <w:rPr>
          <w:i/>
          <w:iCs/>
          <w:lang w:val="de-DE"/>
        </w:rPr>
      </w:pPr>
      <w:r w:rsidRPr="004676F5">
        <w:rPr>
          <w:i/>
          <w:lang w:val="de-DE"/>
        </w:rPr>
        <w:t>[Unterteilung Abschnitt 4 eingefügt durch Art. 110</w:t>
      </w:r>
      <w:r w:rsidRPr="004676F5">
        <w:rPr>
          <w:i/>
          <w:iCs/>
          <w:lang w:val="de-DE"/>
        </w:rPr>
        <w:t xml:space="preserve"> des G. vom 15. April 2018 (B.S. vom 27. April 2018)]</w:t>
      </w:r>
    </w:p>
    <w:p w14:paraId="577F6FFB" w14:textId="0CF10FD5" w:rsidR="00260C41" w:rsidRPr="004676F5" w:rsidRDefault="00260C41" w:rsidP="00260C41">
      <w:pPr>
        <w:ind w:firstLine="708"/>
        <w:jc w:val="both"/>
        <w:rPr>
          <w:lang w:val="de-DE"/>
        </w:rPr>
      </w:pPr>
    </w:p>
    <w:p w14:paraId="16F9057F" w14:textId="77777777" w:rsidR="00260C41" w:rsidRPr="004676F5" w:rsidRDefault="00260C41" w:rsidP="00260C41">
      <w:pPr>
        <w:ind w:firstLine="708"/>
        <w:jc w:val="both"/>
        <w:rPr>
          <w:lang w:val="de-DE"/>
        </w:rPr>
      </w:pPr>
    </w:p>
    <w:p w14:paraId="4EF7D5DC" w14:textId="2B712E46" w:rsidR="00260C41" w:rsidRPr="004676F5" w:rsidRDefault="00260C41" w:rsidP="00260C41">
      <w:pPr>
        <w:ind w:firstLine="708"/>
        <w:jc w:val="both"/>
        <w:rPr>
          <w:lang w:val="de-DE"/>
        </w:rPr>
      </w:pPr>
      <w:r w:rsidRPr="004676F5">
        <w:rPr>
          <w:lang w:val="de-DE"/>
        </w:rPr>
        <w:t>[</w:t>
      </w:r>
      <w:r w:rsidRPr="004676F5">
        <w:rPr>
          <w:b/>
          <w:lang w:val="de-DE"/>
        </w:rPr>
        <w:t>Art. VII.216/31</w:t>
      </w:r>
      <w:r w:rsidRPr="004676F5">
        <w:rPr>
          <w:lang w:val="de-DE"/>
        </w:rPr>
        <w:t> </w:t>
      </w:r>
      <w:r w:rsidR="005B7A5C" w:rsidRPr="004676F5">
        <w:rPr>
          <w:lang w:val="de-DE"/>
        </w:rPr>
        <w:t>- </w:t>
      </w:r>
      <w:r w:rsidRPr="004676F5">
        <w:rPr>
          <w:lang w:val="de-DE"/>
        </w:rPr>
        <w:t>Die Zahlung der Wechselsumme kann ganz oder teilweise durch Wechselbürgschaft gesichert werden.</w:t>
      </w:r>
    </w:p>
    <w:p w14:paraId="14D4456C" w14:textId="77777777" w:rsidR="00260C41" w:rsidRPr="004676F5" w:rsidRDefault="00260C41" w:rsidP="00260C41">
      <w:pPr>
        <w:ind w:firstLine="708"/>
        <w:jc w:val="both"/>
        <w:rPr>
          <w:lang w:val="de-DE"/>
        </w:rPr>
      </w:pPr>
    </w:p>
    <w:p w14:paraId="2E77F450" w14:textId="77777777" w:rsidR="00260C41" w:rsidRPr="004676F5" w:rsidRDefault="00260C41" w:rsidP="00260C41">
      <w:pPr>
        <w:ind w:firstLine="708"/>
        <w:jc w:val="both"/>
        <w:rPr>
          <w:lang w:val="de-DE"/>
        </w:rPr>
      </w:pPr>
      <w:r w:rsidRPr="004676F5">
        <w:rPr>
          <w:lang w:val="de-DE"/>
        </w:rPr>
        <w:t>Diese Sicherheit kann von einem Dritten oder auch von einer Person geleistet werden, deren Unterschrift sich schon auf dem Wechsel befindet.</w:t>
      </w:r>
    </w:p>
    <w:p w14:paraId="4AE45DC1" w14:textId="3A4EFB6C" w:rsidR="00260C41" w:rsidRPr="004676F5" w:rsidRDefault="00260C41" w:rsidP="00260C41">
      <w:pPr>
        <w:ind w:firstLine="708"/>
        <w:jc w:val="both"/>
        <w:rPr>
          <w:lang w:val="de-DE"/>
        </w:rPr>
      </w:pPr>
    </w:p>
    <w:p w14:paraId="03102F9C" w14:textId="77777777" w:rsidR="00260C41" w:rsidRPr="004676F5" w:rsidRDefault="00260C41" w:rsidP="00260C41">
      <w:pPr>
        <w:ind w:firstLine="708"/>
        <w:jc w:val="both"/>
        <w:rPr>
          <w:lang w:val="de-DE"/>
        </w:rPr>
      </w:pPr>
    </w:p>
    <w:p w14:paraId="35ED93E6" w14:textId="63FBDC82" w:rsidR="00260C41" w:rsidRPr="004676F5" w:rsidRDefault="00260C41" w:rsidP="00260C41">
      <w:pPr>
        <w:ind w:firstLine="708"/>
        <w:jc w:val="both"/>
        <w:rPr>
          <w:lang w:val="de-DE"/>
        </w:rPr>
      </w:pPr>
      <w:r w:rsidRPr="004676F5">
        <w:rPr>
          <w:b/>
          <w:lang w:val="de-DE"/>
        </w:rPr>
        <w:t>Art. VII.216/32</w:t>
      </w:r>
      <w:r w:rsidRPr="004676F5">
        <w:rPr>
          <w:lang w:val="de-DE"/>
        </w:rPr>
        <w:t> </w:t>
      </w:r>
      <w:r w:rsidR="005B7A5C" w:rsidRPr="004676F5">
        <w:rPr>
          <w:lang w:val="de-DE"/>
        </w:rPr>
        <w:t>- </w:t>
      </w:r>
      <w:r w:rsidRPr="004676F5">
        <w:rPr>
          <w:lang w:val="de-DE"/>
        </w:rPr>
        <w:t>Die Bürgschaftserklärung wird auf den Wechsel oder auf einen Anhang gesetzt oder durch eine besondere Urkunde geleistet, in der der Ort bezeichnet ist, wo sie geleistet wurde.</w:t>
      </w:r>
    </w:p>
    <w:p w14:paraId="764FAFC6" w14:textId="77777777" w:rsidR="00260C41" w:rsidRPr="004676F5" w:rsidRDefault="00260C41" w:rsidP="00260C41">
      <w:pPr>
        <w:ind w:firstLine="708"/>
        <w:jc w:val="both"/>
        <w:rPr>
          <w:lang w:val="de-DE"/>
        </w:rPr>
      </w:pPr>
    </w:p>
    <w:p w14:paraId="6A173B3C" w14:textId="77777777" w:rsidR="00260C41" w:rsidRPr="004676F5" w:rsidRDefault="00260C41" w:rsidP="00260C41">
      <w:pPr>
        <w:ind w:firstLine="708"/>
        <w:jc w:val="both"/>
        <w:rPr>
          <w:lang w:val="de-DE"/>
        </w:rPr>
      </w:pPr>
      <w:r w:rsidRPr="004676F5">
        <w:rPr>
          <w:lang w:val="de-DE"/>
        </w:rPr>
        <w:t>Sie wird durch die Worte "als Bürge" oder einen gleichbedeutenden Vermerk ausgedrückt; sie ist von dem Wechselbürgen zu unterschreiben.</w:t>
      </w:r>
    </w:p>
    <w:p w14:paraId="184853D3" w14:textId="77777777" w:rsidR="00260C41" w:rsidRPr="004676F5" w:rsidRDefault="00260C41" w:rsidP="00260C41">
      <w:pPr>
        <w:ind w:firstLine="708"/>
        <w:jc w:val="both"/>
        <w:rPr>
          <w:lang w:val="de-DE"/>
        </w:rPr>
      </w:pPr>
    </w:p>
    <w:p w14:paraId="29C49621" w14:textId="77777777" w:rsidR="00260C41" w:rsidRPr="004676F5" w:rsidRDefault="00260C41" w:rsidP="00260C41">
      <w:pPr>
        <w:ind w:firstLine="708"/>
        <w:jc w:val="both"/>
        <w:rPr>
          <w:lang w:val="de-DE"/>
        </w:rPr>
      </w:pPr>
      <w:r w:rsidRPr="004676F5">
        <w:rPr>
          <w:lang w:val="de-DE"/>
        </w:rPr>
        <w:t>Die bloße Unterschrift auf der Vorderseite des Wechsels gilt als Bürgschaftserklärung, soweit es sich nicht um die Unterschrift des Bezogenen oder des Ausstellers handelt.</w:t>
      </w:r>
    </w:p>
    <w:p w14:paraId="75C0269C" w14:textId="77777777" w:rsidR="00260C41" w:rsidRPr="004676F5" w:rsidRDefault="00260C41" w:rsidP="00260C41">
      <w:pPr>
        <w:ind w:firstLine="708"/>
        <w:jc w:val="both"/>
        <w:rPr>
          <w:lang w:val="de-DE"/>
        </w:rPr>
      </w:pPr>
    </w:p>
    <w:p w14:paraId="67961878" w14:textId="77777777" w:rsidR="00260C41" w:rsidRPr="004676F5" w:rsidRDefault="00260C41" w:rsidP="00260C41">
      <w:pPr>
        <w:ind w:firstLine="708"/>
        <w:jc w:val="both"/>
        <w:rPr>
          <w:lang w:val="de-DE"/>
        </w:rPr>
      </w:pPr>
      <w:r w:rsidRPr="004676F5">
        <w:rPr>
          <w:lang w:val="de-DE"/>
        </w:rPr>
        <w:t>In der Erklärung ist anzugeben, für wen die Bürgschaft geleistet wird. Mangels einer solchen Angabe gilt sie für den Aussteller.</w:t>
      </w:r>
    </w:p>
    <w:p w14:paraId="04359FB8" w14:textId="1EFF3131" w:rsidR="00260C41" w:rsidRPr="004676F5" w:rsidRDefault="00260C41" w:rsidP="00260C41">
      <w:pPr>
        <w:ind w:firstLine="708"/>
        <w:jc w:val="both"/>
        <w:rPr>
          <w:lang w:val="de-DE"/>
        </w:rPr>
      </w:pPr>
    </w:p>
    <w:p w14:paraId="3F0EDD26" w14:textId="77777777" w:rsidR="00260C41" w:rsidRPr="004676F5" w:rsidRDefault="00260C41" w:rsidP="00260C41">
      <w:pPr>
        <w:ind w:firstLine="708"/>
        <w:jc w:val="both"/>
        <w:rPr>
          <w:lang w:val="de-DE"/>
        </w:rPr>
      </w:pPr>
    </w:p>
    <w:p w14:paraId="183D0D71" w14:textId="59E28BF9" w:rsidR="00260C41" w:rsidRPr="004676F5" w:rsidRDefault="00260C41" w:rsidP="00260C41">
      <w:pPr>
        <w:ind w:firstLine="708"/>
        <w:jc w:val="both"/>
        <w:rPr>
          <w:lang w:val="de-DE"/>
        </w:rPr>
      </w:pPr>
      <w:r w:rsidRPr="004676F5">
        <w:rPr>
          <w:b/>
          <w:lang w:val="de-DE"/>
        </w:rPr>
        <w:t>Art. VII.216/33</w:t>
      </w:r>
      <w:r w:rsidRPr="004676F5">
        <w:rPr>
          <w:lang w:val="de-DE"/>
        </w:rPr>
        <w:t> </w:t>
      </w:r>
      <w:r w:rsidR="005B7A5C" w:rsidRPr="004676F5">
        <w:rPr>
          <w:lang w:val="de-DE"/>
        </w:rPr>
        <w:t>- </w:t>
      </w:r>
      <w:r w:rsidRPr="004676F5">
        <w:rPr>
          <w:lang w:val="de-DE"/>
        </w:rPr>
        <w:t>Der Wechselbürge haftet in der gleichen Weise wie derjenige, für den er sich verbürgt hat.</w:t>
      </w:r>
    </w:p>
    <w:p w14:paraId="79397958" w14:textId="77777777" w:rsidR="00260C41" w:rsidRPr="004676F5" w:rsidRDefault="00260C41" w:rsidP="00260C41">
      <w:pPr>
        <w:ind w:firstLine="708"/>
        <w:jc w:val="both"/>
        <w:rPr>
          <w:lang w:val="de-DE"/>
        </w:rPr>
      </w:pPr>
    </w:p>
    <w:p w14:paraId="2CF1283F" w14:textId="77777777" w:rsidR="00260C41" w:rsidRPr="004676F5" w:rsidRDefault="00260C41" w:rsidP="00260C41">
      <w:pPr>
        <w:ind w:firstLine="708"/>
        <w:jc w:val="both"/>
        <w:rPr>
          <w:lang w:val="de-DE"/>
        </w:rPr>
      </w:pPr>
      <w:r w:rsidRPr="004676F5">
        <w:rPr>
          <w:lang w:val="de-DE"/>
        </w:rPr>
        <w:t>Seine Verpflichtungserklärung ist auch gültig, wenn die Verbindlichkeit, für die er sich verbürgt hat, aus einem anderen Grund als wegen eines Formfehlers nichtig ist.</w:t>
      </w:r>
    </w:p>
    <w:p w14:paraId="3AA1B55B" w14:textId="77777777" w:rsidR="00260C41" w:rsidRPr="004676F5" w:rsidRDefault="00260C41" w:rsidP="00260C41">
      <w:pPr>
        <w:jc w:val="both"/>
        <w:rPr>
          <w:lang w:val="de-DE"/>
        </w:rPr>
      </w:pPr>
    </w:p>
    <w:p w14:paraId="68B72DF0" w14:textId="0C324EE6" w:rsidR="00260C41" w:rsidRPr="004676F5" w:rsidRDefault="00260C41" w:rsidP="00260C41">
      <w:pPr>
        <w:ind w:firstLine="708"/>
        <w:jc w:val="both"/>
        <w:rPr>
          <w:lang w:val="de-DE"/>
        </w:rPr>
      </w:pPr>
      <w:r w:rsidRPr="004676F5">
        <w:rPr>
          <w:lang w:val="de-DE"/>
        </w:rPr>
        <w:t>Der Wechselbürge, der den Wechsel bezahlt, erwirbt die Rechte aus dem Wechsel gegen denjenigen, für den er sich verbürgt hat, und gegen alle, die diesem gegenüber wechselmäßig haften.]</w:t>
      </w:r>
    </w:p>
    <w:p w14:paraId="010995F1" w14:textId="67C9DD7E" w:rsidR="00260C41" w:rsidRPr="004676F5" w:rsidRDefault="00260C41" w:rsidP="00260C41">
      <w:pPr>
        <w:ind w:firstLine="708"/>
        <w:jc w:val="both"/>
        <w:rPr>
          <w:lang w:val="de-DE"/>
        </w:rPr>
      </w:pPr>
    </w:p>
    <w:p w14:paraId="1C94EC85" w14:textId="4D3092DC" w:rsidR="00260C41" w:rsidRPr="004676F5" w:rsidRDefault="00260C41" w:rsidP="00260C41">
      <w:pPr>
        <w:jc w:val="both"/>
        <w:rPr>
          <w:i/>
          <w:lang w:val="de-DE"/>
        </w:rPr>
      </w:pPr>
      <w:r w:rsidRPr="004676F5">
        <w:rPr>
          <w:i/>
          <w:lang w:val="de-DE"/>
        </w:rPr>
        <w:t>[Art. VII.216/31 bis VII.216/33 eingefügt durch Art. 111 des G. vom 15. April 2018 (B.S. vom 27. April 2018)]</w:t>
      </w:r>
    </w:p>
    <w:p w14:paraId="46432BA7" w14:textId="5B7EDFBB" w:rsidR="00260C41" w:rsidRPr="004676F5" w:rsidRDefault="00260C41" w:rsidP="00260C41">
      <w:pPr>
        <w:ind w:firstLine="708"/>
        <w:jc w:val="both"/>
        <w:rPr>
          <w:lang w:val="de-DE"/>
        </w:rPr>
      </w:pPr>
    </w:p>
    <w:p w14:paraId="482700BF" w14:textId="77777777" w:rsidR="00260C41" w:rsidRPr="004676F5" w:rsidRDefault="00260C41" w:rsidP="00260C41">
      <w:pPr>
        <w:ind w:firstLine="708"/>
        <w:jc w:val="both"/>
        <w:rPr>
          <w:lang w:val="de-DE"/>
        </w:rPr>
      </w:pPr>
    </w:p>
    <w:p w14:paraId="7E6F63A4" w14:textId="7AB1D03F" w:rsidR="00260C41" w:rsidRPr="004676F5" w:rsidRDefault="00260C41" w:rsidP="00260C41">
      <w:pPr>
        <w:jc w:val="center"/>
        <w:rPr>
          <w:lang w:val="de-DE"/>
        </w:rPr>
      </w:pPr>
      <w:r w:rsidRPr="004676F5">
        <w:rPr>
          <w:lang w:val="de-DE"/>
        </w:rPr>
        <w:t>[</w:t>
      </w:r>
      <w:r w:rsidRPr="004676F5">
        <w:rPr>
          <w:i/>
          <w:lang w:val="de-DE"/>
        </w:rPr>
        <w:t>Abschnitt 5</w:t>
      </w:r>
      <w:r w:rsidRPr="004676F5">
        <w:rPr>
          <w:lang w:val="de-DE"/>
        </w:rPr>
        <w:t> </w:t>
      </w:r>
      <w:r w:rsidR="005B7A5C" w:rsidRPr="004676F5">
        <w:rPr>
          <w:lang w:val="de-DE"/>
        </w:rPr>
        <w:t>- </w:t>
      </w:r>
      <w:r w:rsidRPr="004676F5">
        <w:rPr>
          <w:lang w:val="de-DE"/>
        </w:rPr>
        <w:t>Verfall]</w:t>
      </w:r>
    </w:p>
    <w:p w14:paraId="124E96EC" w14:textId="77777777" w:rsidR="00260C41" w:rsidRPr="004676F5" w:rsidRDefault="00260C41" w:rsidP="00260C41">
      <w:pPr>
        <w:ind w:firstLine="708"/>
        <w:jc w:val="both"/>
        <w:rPr>
          <w:lang w:val="de-DE"/>
        </w:rPr>
      </w:pPr>
    </w:p>
    <w:p w14:paraId="27E42046" w14:textId="0395F8BD" w:rsidR="00260C41" w:rsidRPr="004676F5" w:rsidRDefault="00260C41" w:rsidP="00260C41">
      <w:pPr>
        <w:jc w:val="both"/>
        <w:rPr>
          <w:i/>
          <w:iCs/>
          <w:lang w:val="de-DE"/>
        </w:rPr>
      </w:pPr>
      <w:r w:rsidRPr="004676F5">
        <w:rPr>
          <w:i/>
          <w:lang w:val="de-DE"/>
        </w:rPr>
        <w:t>[Unterteilung Abschnitt 5 eingefügt durch Art. 112</w:t>
      </w:r>
      <w:r w:rsidRPr="004676F5">
        <w:rPr>
          <w:i/>
          <w:iCs/>
          <w:lang w:val="de-DE"/>
        </w:rPr>
        <w:t xml:space="preserve"> des G. vom 15. April 2018 (B.S. vom 27. April 2018)]</w:t>
      </w:r>
    </w:p>
    <w:p w14:paraId="6C009773" w14:textId="77777777" w:rsidR="00260C41" w:rsidRPr="004676F5" w:rsidRDefault="00260C41" w:rsidP="00260C41">
      <w:pPr>
        <w:ind w:firstLine="708"/>
        <w:jc w:val="both"/>
        <w:rPr>
          <w:lang w:val="de-DE"/>
        </w:rPr>
      </w:pPr>
    </w:p>
    <w:p w14:paraId="7E6FC4F4" w14:textId="77777777" w:rsidR="00260C41" w:rsidRPr="004676F5" w:rsidRDefault="00260C41" w:rsidP="00260C41">
      <w:pPr>
        <w:ind w:firstLine="708"/>
        <w:jc w:val="both"/>
        <w:rPr>
          <w:lang w:val="de-DE"/>
        </w:rPr>
      </w:pPr>
    </w:p>
    <w:p w14:paraId="71475E3E" w14:textId="1399BC23" w:rsidR="00260C41" w:rsidRPr="004676F5" w:rsidRDefault="00260C41" w:rsidP="00260C41">
      <w:pPr>
        <w:ind w:firstLine="708"/>
        <w:jc w:val="both"/>
        <w:rPr>
          <w:lang w:val="de-DE"/>
        </w:rPr>
      </w:pPr>
      <w:r w:rsidRPr="004676F5">
        <w:rPr>
          <w:lang w:val="de-DE"/>
        </w:rPr>
        <w:t>[</w:t>
      </w:r>
      <w:r w:rsidRPr="004676F5">
        <w:rPr>
          <w:b/>
          <w:lang w:val="de-DE"/>
        </w:rPr>
        <w:t>Art. VII.216/34</w:t>
      </w:r>
      <w:r w:rsidRPr="004676F5">
        <w:rPr>
          <w:lang w:val="de-DE"/>
        </w:rPr>
        <w:t> </w:t>
      </w:r>
      <w:r w:rsidR="005B7A5C" w:rsidRPr="004676F5">
        <w:rPr>
          <w:lang w:val="de-DE"/>
        </w:rPr>
        <w:t>- </w:t>
      </w:r>
      <w:r w:rsidRPr="004676F5">
        <w:rPr>
          <w:lang w:val="de-DE"/>
        </w:rPr>
        <w:t>Ein Wechsel kann gezogen werden:</w:t>
      </w:r>
    </w:p>
    <w:p w14:paraId="59F75B98" w14:textId="77777777" w:rsidR="00260C41" w:rsidRPr="004676F5" w:rsidRDefault="00260C41" w:rsidP="00260C41">
      <w:pPr>
        <w:ind w:firstLine="708"/>
        <w:jc w:val="both"/>
        <w:rPr>
          <w:lang w:val="de-DE"/>
        </w:rPr>
      </w:pPr>
    </w:p>
    <w:p w14:paraId="0181C5CB" w14:textId="77777777" w:rsidR="00260C41" w:rsidRPr="004676F5" w:rsidRDefault="00260C41" w:rsidP="00260C41">
      <w:pPr>
        <w:ind w:firstLine="708"/>
        <w:jc w:val="both"/>
        <w:rPr>
          <w:lang w:val="de-DE"/>
        </w:rPr>
      </w:pPr>
      <w:r w:rsidRPr="004676F5">
        <w:rPr>
          <w:lang w:val="de-DE"/>
        </w:rPr>
        <w:t>1. auf Sicht,</w:t>
      </w:r>
    </w:p>
    <w:p w14:paraId="6A8D9B9D" w14:textId="77777777" w:rsidR="00260C41" w:rsidRPr="004676F5" w:rsidRDefault="00260C41" w:rsidP="00260C41">
      <w:pPr>
        <w:ind w:firstLine="708"/>
        <w:jc w:val="both"/>
        <w:rPr>
          <w:lang w:val="de-DE"/>
        </w:rPr>
      </w:pPr>
    </w:p>
    <w:p w14:paraId="5597CFF2" w14:textId="77777777" w:rsidR="00260C41" w:rsidRPr="004676F5" w:rsidRDefault="00260C41" w:rsidP="00260C41">
      <w:pPr>
        <w:ind w:firstLine="708"/>
        <w:jc w:val="both"/>
        <w:rPr>
          <w:lang w:val="de-DE"/>
        </w:rPr>
      </w:pPr>
      <w:r w:rsidRPr="004676F5">
        <w:rPr>
          <w:lang w:val="de-DE"/>
        </w:rPr>
        <w:t>2. auf eine bestimmte Zeit nach Sicht,</w:t>
      </w:r>
    </w:p>
    <w:p w14:paraId="3C114A29" w14:textId="77777777" w:rsidR="00260C41" w:rsidRPr="004676F5" w:rsidRDefault="00260C41" w:rsidP="00260C41">
      <w:pPr>
        <w:ind w:firstLine="708"/>
        <w:jc w:val="both"/>
        <w:rPr>
          <w:lang w:val="de-DE"/>
        </w:rPr>
      </w:pPr>
    </w:p>
    <w:p w14:paraId="7E56D92A" w14:textId="77777777" w:rsidR="00260C41" w:rsidRPr="004676F5" w:rsidRDefault="00260C41" w:rsidP="00260C41">
      <w:pPr>
        <w:ind w:firstLine="708"/>
        <w:jc w:val="both"/>
        <w:rPr>
          <w:lang w:val="de-DE"/>
        </w:rPr>
      </w:pPr>
      <w:r w:rsidRPr="004676F5">
        <w:rPr>
          <w:lang w:val="de-DE"/>
        </w:rPr>
        <w:t>3. auf eine bestimmte Zeit nach der Ausstellung,</w:t>
      </w:r>
    </w:p>
    <w:p w14:paraId="64D60B07" w14:textId="77777777" w:rsidR="00260C41" w:rsidRPr="004676F5" w:rsidRDefault="00260C41" w:rsidP="00260C41">
      <w:pPr>
        <w:ind w:firstLine="708"/>
        <w:jc w:val="both"/>
        <w:rPr>
          <w:lang w:val="de-DE"/>
        </w:rPr>
      </w:pPr>
    </w:p>
    <w:p w14:paraId="0272059B" w14:textId="77777777" w:rsidR="00260C41" w:rsidRPr="004676F5" w:rsidRDefault="00260C41" w:rsidP="00260C41">
      <w:pPr>
        <w:ind w:firstLine="708"/>
        <w:jc w:val="both"/>
        <w:rPr>
          <w:lang w:val="de-DE"/>
        </w:rPr>
      </w:pPr>
      <w:r w:rsidRPr="004676F5">
        <w:rPr>
          <w:lang w:val="de-DE"/>
        </w:rPr>
        <w:t>4. auf einen bestimmten Tag.</w:t>
      </w:r>
    </w:p>
    <w:p w14:paraId="6B4DBAA9" w14:textId="77777777" w:rsidR="00260C41" w:rsidRPr="004676F5" w:rsidRDefault="00260C41" w:rsidP="00260C41">
      <w:pPr>
        <w:ind w:firstLine="708"/>
        <w:jc w:val="both"/>
        <w:rPr>
          <w:lang w:val="de-DE"/>
        </w:rPr>
      </w:pPr>
    </w:p>
    <w:p w14:paraId="1FFEDDCF" w14:textId="77777777" w:rsidR="00260C41" w:rsidRPr="004676F5" w:rsidRDefault="00260C41" w:rsidP="00260C41">
      <w:pPr>
        <w:ind w:firstLine="708"/>
        <w:jc w:val="both"/>
        <w:rPr>
          <w:lang w:val="de-DE"/>
        </w:rPr>
      </w:pPr>
      <w:r w:rsidRPr="004676F5">
        <w:rPr>
          <w:lang w:val="de-DE"/>
        </w:rPr>
        <w:t>Wechsel mit anderen oder mit mehreren aufeinanderfolgenden Verfallzeiten sind nichtig.</w:t>
      </w:r>
    </w:p>
    <w:p w14:paraId="0F9014B6" w14:textId="5BB8D303" w:rsidR="00260C41" w:rsidRPr="004676F5" w:rsidRDefault="00260C41" w:rsidP="00260C41">
      <w:pPr>
        <w:ind w:firstLine="708"/>
        <w:jc w:val="both"/>
        <w:rPr>
          <w:lang w:val="de-DE"/>
        </w:rPr>
      </w:pPr>
    </w:p>
    <w:p w14:paraId="5C84010A" w14:textId="77777777" w:rsidR="00260C41" w:rsidRPr="004676F5" w:rsidRDefault="00260C41" w:rsidP="00260C41">
      <w:pPr>
        <w:ind w:firstLine="708"/>
        <w:jc w:val="both"/>
        <w:rPr>
          <w:lang w:val="de-DE"/>
        </w:rPr>
      </w:pPr>
    </w:p>
    <w:p w14:paraId="25773AAC" w14:textId="42F444BD" w:rsidR="00260C41" w:rsidRPr="004676F5" w:rsidRDefault="00260C41" w:rsidP="00260C41">
      <w:pPr>
        <w:ind w:firstLine="708"/>
        <w:jc w:val="both"/>
        <w:rPr>
          <w:lang w:val="de-DE"/>
        </w:rPr>
      </w:pPr>
      <w:r w:rsidRPr="004676F5">
        <w:rPr>
          <w:b/>
          <w:lang w:val="de-DE"/>
        </w:rPr>
        <w:t>Art. VII.216/35</w:t>
      </w:r>
      <w:r w:rsidRPr="004676F5">
        <w:rPr>
          <w:lang w:val="de-DE"/>
        </w:rPr>
        <w:t> </w:t>
      </w:r>
      <w:r w:rsidR="005B7A5C" w:rsidRPr="004676F5">
        <w:rPr>
          <w:lang w:val="de-DE"/>
        </w:rPr>
        <w:t>- </w:t>
      </w:r>
      <w:r w:rsidRPr="004676F5">
        <w:rPr>
          <w:lang w:val="de-DE"/>
        </w:rPr>
        <w:t>Der Sichtwechsel ist bei der Vorlegung fällig. Er muss binnen einem Jahr nach der Ausstellung zur Zahlung vorgelegt werden. Der Aussteller kann eine kürzere oder eine längere Frist bestimmen. Die Indossanten können die Vorlegungsfristen abkürzen.</w:t>
      </w:r>
    </w:p>
    <w:p w14:paraId="6A12A6EF" w14:textId="77777777" w:rsidR="00260C41" w:rsidRPr="004676F5" w:rsidRDefault="00260C41" w:rsidP="00260C41">
      <w:pPr>
        <w:ind w:firstLine="708"/>
        <w:jc w:val="both"/>
        <w:rPr>
          <w:lang w:val="de-DE"/>
        </w:rPr>
      </w:pPr>
    </w:p>
    <w:p w14:paraId="689AFF7B" w14:textId="77777777" w:rsidR="00260C41" w:rsidRPr="004676F5" w:rsidRDefault="00260C41" w:rsidP="00260C41">
      <w:pPr>
        <w:ind w:firstLine="708"/>
        <w:jc w:val="both"/>
        <w:rPr>
          <w:lang w:val="de-DE"/>
        </w:rPr>
      </w:pPr>
      <w:r w:rsidRPr="004676F5">
        <w:rPr>
          <w:lang w:val="de-DE"/>
        </w:rPr>
        <w:t>Der Aussteller kann vorschreiben, dass der Sichtwechsel nicht vor einem bestimmten Tag zur Zahlung vorgelegt werden darf. In diesem Fall beginnt die Vorlegungsfrist mit diesem Tag.</w:t>
      </w:r>
    </w:p>
    <w:p w14:paraId="1D47F7AA" w14:textId="4F28CC80" w:rsidR="00260C41" w:rsidRPr="004676F5" w:rsidRDefault="00260C41" w:rsidP="00260C41">
      <w:pPr>
        <w:ind w:firstLine="708"/>
        <w:jc w:val="both"/>
        <w:rPr>
          <w:lang w:val="de-DE"/>
        </w:rPr>
      </w:pPr>
    </w:p>
    <w:p w14:paraId="6B3A2B9B" w14:textId="77777777" w:rsidR="00260C41" w:rsidRPr="004676F5" w:rsidRDefault="00260C41" w:rsidP="00260C41">
      <w:pPr>
        <w:ind w:firstLine="708"/>
        <w:jc w:val="both"/>
        <w:rPr>
          <w:lang w:val="de-DE"/>
        </w:rPr>
      </w:pPr>
    </w:p>
    <w:p w14:paraId="6CF4F066" w14:textId="3A04BB63" w:rsidR="00260C41" w:rsidRPr="004676F5" w:rsidRDefault="00260C41" w:rsidP="00260C41">
      <w:pPr>
        <w:ind w:firstLine="708"/>
        <w:jc w:val="both"/>
        <w:rPr>
          <w:lang w:val="de-DE"/>
        </w:rPr>
      </w:pPr>
      <w:r w:rsidRPr="004676F5">
        <w:rPr>
          <w:b/>
          <w:lang w:val="de-DE"/>
        </w:rPr>
        <w:t>Art. VII.216/36</w:t>
      </w:r>
      <w:r w:rsidRPr="004676F5">
        <w:rPr>
          <w:lang w:val="de-DE"/>
        </w:rPr>
        <w:t> </w:t>
      </w:r>
      <w:r w:rsidR="005B7A5C" w:rsidRPr="004676F5">
        <w:rPr>
          <w:lang w:val="de-DE"/>
        </w:rPr>
        <w:t>- </w:t>
      </w:r>
      <w:r w:rsidRPr="004676F5">
        <w:rPr>
          <w:lang w:val="de-DE"/>
        </w:rPr>
        <w:t>Der Verfall eines Wechsels, der auf eine bestimmte Zeit nach Sicht lautet, richtet sich nach dem in der Annahmeerklärung angegebenen Tag oder nach dem Tag des Protestes.</w:t>
      </w:r>
    </w:p>
    <w:p w14:paraId="0BB76960" w14:textId="77777777" w:rsidR="00260C41" w:rsidRPr="004676F5" w:rsidRDefault="00260C41" w:rsidP="00260C41">
      <w:pPr>
        <w:ind w:firstLine="708"/>
        <w:jc w:val="both"/>
        <w:rPr>
          <w:lang w:val="de-DE"/>
        </w:rPr>
      </w:pPr>
    </w:p>
    <w:p w14:paraId="16524625" w14:textId="77777777" w:rsidR="00260C41" w:rsidRPr="004676F5" w:rsidRDefault="00260C41" w:rsidP="00260C41">
      <w:pPr>
        <w:ind w:firstLine="708"/>
        <w:jc w:val="both"/>
        <w:rPr>
          <w:lang w:val="de-DE"/>
        </w:rPr>
      </w:pPr>
      <w:r w:rsidRPr="004676F5">
        <w:rPr>
          <w:lang w:val="de-DE"/>
        </w:rPr>
        <w:t>Ist in der Annahmeerklärung ein Tag nicht angegeben und ein Protest nicht erhoben worden, so gilt dem Annehmer gegenüber der Wechsel als am letzten Tag der für die Vorlegung zur Annahme vorgesehenen Frist angenommen.</w:t>
      </w:r>
    </w:p>
    <w:p w14:paraId="6D59AABE" w14:textId="31A7C2BC" w:rsidR="00260C41" w:rsidRPr="004676F5" w:rsidRDefault="00260C41" w:rsidP="00260C41">
      <w:pPr>
        <w:ind w:firstLine="708"/>
        <w:jc w:val="both"/>
        <w:rPr>
          <w:lang w:val="de-DE"/>
        </w:rPr>
      </w:pPr>
    </w:p>
    <w:p w14:paraId="0BE66FA8" w14:textId="77777777" w:rsidR="00260C41" w:rsidRPr="004676F5" w:rsidRDefault="00260C41" w:rsidP="00260C41">
      <w:pPr>
        <w:ind w:firstLine="708"/>
        <w:jc w:val="both"/>
        <w:rPr>
          <w:lang w:val="de-DE"/>
        </w:rPr>
      </w:pPr>
    </w:p>
    <w:p w14:paraId="23F828CC" w14:textId="210E359B" w:rsidR="00260C41" w:rsidRPr="004676F5" w:rsidRDefault="00260C41" w:rsidP="00260C41">
      <w:pPr>
        <w:ind w:firstLine="708"/>
        <w:jc w:val="both"/>
        <w:rPr>
          <w:lang w:val="de-DE"/>
        </w:rPr>
      </w:pPr>
      <w:r w:rsidRPr="004676F5">
        <w:rPr>
          <w:b/>
          <w:lang w:val="de-DE"/>
        </w:rPr>
        <w:t>Art. VII.216/37</w:t>
      </w:r>
      <w:r w:rsidRPr="004676F5">
        <w:rPr>
          <w:lang w:val="de-DE"/>
        </w:rPr>
        <w:t> </w:t>
      </w:r>
      <w:r w:rsidR="005B7A5C" w:rsidRPr="004676F5">
        <w:rPr>
          <w:lang w:val="de-DE"/>
        </w:rPr>
        <w:t>- </w:t>
      </w:r>
      <w:r w:rsidRPr="004676F5">
        <w:rPr>
          <w:lang w:val="de-DE"/>
        </w:rPr>
        <w:t>Ein Wechsel, der auf einen oder mehrere Monate nach der Ausstellung oder nach Sicht lautet, verfällt an dem entsprechenden Tag des Zahlungsmonats. Fehlt dieser Tag, so ist der Wechsel am letzten Tag des Monats fällig.</w:t>
      </w:r>
    </w:p>
    <w:p w14:paraId="0241D1A3" w14:textId="77777777" w:rsidR="00260C41" w:rsidRPr="004676F5" w:rsidRDefault="00260C41" w:rsidP="00260C41">
      <w:pPr>
        <w:ind w:firstLine="708"/>
        <w:jc w:val="both"/>
        <w:rPr>
          <w:lang w:val="de-DE"/>
        </w:rPr>
      </w:pPr>
    </w:p>
    <w:p w14:paraId="3213FE2E" w14:textId="77777777" w:rsidR="00260C41" w:rsidRPr="004676F5" w:rsidRDefault="00260C41" w:rsidP="00260C41">
      <w:pPr>
        <w:ind w:firstLine="708"/>
        <w:jc w:val="both"/>
        <w:rPr>
          <w:lang w:val="de-DE"/>
        </w:rPr>
      </w:pPr>
      <w:r w:rsidRPr="004676F5">
        <w:rPr>
          <w:lang w:val="de-DE"/>
        </w:rPr>
        <w:t>Lautet der Wechsel auf einen oder mehrere Monate und einen halben Monat nach der Ausstellung oder nach Sicht, so werden die ganzen Monate zuerst gezählt.</w:t>
      </w:r>
    </w:p>
    <w:p w14:paraId="440B0BBF" w14:textId="77777777" w:rsidR="00260C41" w:rsidRPr="004676F5" w:rsidRDefault="00260C41" w:rsidP="00260C41">
      <w:pPr>
        <w:ind w:firstLine="708"/>
        <w:jc w:val="both"/>
        <w:rPr>
          <w:lang w:val="de-DE"/>
        </w:rPr>
      </w:pPr>
    </w:p>
    <w:p w14:paraId="76CE717B" w14:textId="77777777" w:rsidR="00260C41" w:rsidRPr="004676F5" w:rsidRDefault="00260C41" w:rsidP="00260C41">
      <w:pPr>
        <w:ind w:firstLine="708"/>
        <w:jc w:val="both"/>
        <w:rPr>
          <w:lang w:val="de-DE"/>
        </w:rPr>
      </w:pPr>
      <w:r w:rsidRPr="004676F5">
        <w:rPr>
          <w:lang w:val="de-DE"/>
        </w:rPr>
        <w:t>Ist als Verfallzeit der Anfang, die Mitte (Mitte Januar, Mitte Februar und so weiter) oder das Ende eines Monats angegeben, so ist darunter der erste, der fünfzehnte oder der letzte Tag des Monats zu verstehen.</w:t>
      </w:r>
    </w:p>
    <w:p w14:paraId="68E46661" w14:textId="77777777" w:rsidR="00260C41" w:rsidRPr="004676F5" w:rsidRDefault="00260C41" w:rsidP="00260C41">
      <w:pPr>
        <w:ind w:firstLine="708"/>
        <w:jc w:val="both"/>
        <w:rPr>
          <w:lang w:val="de-DE"/>
        </w:rPr>
      </w:pPr>
    </w:p>
    <w:p w14:paraId="1D388A41" w14:textId="77777777" w:rsidR="00260C41" w:rsidRPr="004676F5" w:rsidRDefault="00260C41" w:rsidP="00260C41">
      <w:pPr>
        <w:ind w:firstLine="708"/>
        <w:jc w:val="both"/>
        <w:rPr>
          <w:lang w:val="de-DE"/>
        </w:rPr>
      </w:pPr>
      <w:r w:rsidRPr="004676F5">
        <w:rPr>
          <w:lang w:val="de-DE"/>
        </w:rPr>
        <w:t>Die Ausdrücke "acht Tage" oder "fünfzehn Tage" bedeuten nicht eine oder zwei Wochen, sondern volle acht oder fünfzehn Tage.</w:t>
      </w:r>
    </w:p>
    <w:p w14:paraId="1D1CB27D" w14:textId="77777777" w:rsidR="00260C41" w:rsidRPr="004676F5" w:rsidRDefault="00260C41" w:rsidP="00260C41">
      <w:pPr>
        <w:ind w:firstLine="708"/>
        <w:jc w:val="both"/>
        <w:rPr>
          <w:lang w:val="de-DE"/>
        </w:rPr>
      </w:pPr>
    </w:p>
    <w:p w14:paraId="70F814D6" w14:textId="77777777" w:rsidR="00260C41" w:rsidRPr="004676F5" w:rsidRDefault="00260C41" w:rsidP="00260C41">
      <w:pPr>
        <w:ind w:firstLine="708"/>
        <w:jc w:val="both"/>
        <w:rPr>
          <w:lang w:val="de-DE"/>
        </w:rPr>
      </w:pPr>
      <w:r w:rsidRPr="004676F5">
        <w:rPr>
          <w:lang w:val="de-DE"/>
        </w:rPr>
        <w:t xml:space="preserve">Der Ausdruck "halber Monat" bedeutet fünfzehn Tage. </w:t>
      </w:r>
    </w:p>
    <w:p w14:paraId="7844551E" w14:textId="22562CD7" w:rsidR="00260C41" w:rsidRPr="004676F5" w:rsidRDefault="00260C41" w:rsidP="00260C41">
      <w:pPr>
        <w:ind w:firstLine="708"/>
        <w:jc w:val="both"/>
        <w:rPr>
          <w:lang w:val="de-DE"/>
        </w:rPr>
      </w:pPr>
    </w:p>
    <w:p w14:paraId="5F02FF68" w14:textId="77777777" w:rsidR="00260C41" w:rsidRPr="004676F5" w:rsidRDefault="00260C41" w:rsidP="00260C41">
      <w:pPr>
        <w:ind w:firstLine="708"/>
        <w:jc w:val="both"/>
        <w:rPr>
          <w:lang w:val="de-DE"/>
        </w:rPr>
      </w:pPr>
    </w:p>
    <w:p w14:paraId="70825801" w14:textId="4A0A770B" w:rsidR="00260C41" w:rsidRPr="004676F5" w:rsidRDefault="00260C41" w:rsidP="00260C41">
      <w:pPr>
        <w:ind w:firstLine="708"/>
        <w:jc w:val="both"/>
        <w:rPr>
          <w:lang w:val="de-DE"/>
        </w:rPr>
      </w:pPr>
      <w:r w:rsidRPr="004676F5">
        <w:rPr>
          <w:b/>
          <w:lang w:val="de-DE"/>
        </w:rPr>
        <w:t>Art. VII.216/38</w:t>
      </w:r>
      <w:r w:rsidRPr="004676F5">
        <w:rPr>
          <w:lang w:val="de-DE"/>
        </w:rPr>
        <w:t> </w:t>
      </w:r>
      <w:r w:rsidR="005B7A5C" w:rsidRPr="004676F5">
        <w:rPr>
          <w:lang w:val="de-DE"/>
        </w:rPr>
        <w:t>- </w:t>
      </w:r>
      <w:r w:rsidRPr="004676F5">
        <w:rPr>
          <w:lang w:val="de-DE"/>
        </w:rPr>
        <w:t>Ist ein Wechsel an einem bestimmten Tag an einem Ort zahlbar, dessen Kalender von dem des Ausstellungsortes abweicht, so ist für den Verfalltag der Kalender des Zahlungsortes maßgebend.</w:t>
      </w:r>
    </w:p>
    <w:p w14:paraId="53772529" w14:textId="77777777" w:rsidR="00260C41" w:rsidRPr="004676F5" w:rsidRDefault="00260C41" w:rsidP="00260C41">
      <w:pPr>
        <w:ind w:firstLine="708"/>
        <w:jc w:val="both"/>
        <w:rPr>
          <w:lang w:val="de-DE"/>
        </w:rPr>
      </w:pPr>
    </w:p>
    <w:p w14:paraId="1CD9670B" w14:textId="77777777" w:rsidR="00260C41" w:rsidRPr="004676F5" w:rsidRDefault="00260C41" w:rsidP="00260C41">
      <w:pPr>
        <w:ind w:firstLine="708"/>
        <w:jc w:val="both"/>
        <w:rPr>
          <w:lang w:val="de-DE"/>
        </w:rPr>
      </w:pPr>
      <w:r w:rsidRPr="004676F5">
        <w:rPr>
          <w:lang w:val="de-DE"/>
        </w:rPr>
        <w:t>Ist ein zwischen zwei Orten mit verschiedenem Kalender gezogener Wechsel eine bestimmte Zeit nach der Ausstellung zahlbar, so wird der Tag der Ausstellung in den nach dem Kalender des Zahlungsortes entsprechenden Tag umgerechnet und hiernach der Verfalltag ermittelt.</w:t>
      </w:r>
    </w:p>
    <w:p w14:paraId="5B52DFF8" w14:textId="77777777" w:rsidR="00260C41" w:rsidRPr="004676F5" w:rsidRDefault="00260C41" w:rsidP="00260C41">
      <w:pPr>
        <w:ind w:firstLine="708"/>
        <w:jc w:val="both"/>
        <w:rPr>
          <w:lang w:val="de-DE"/>
        </w:rPr>
      </w:pPr>
    </w:p>
    <w:p w14:paraId="1567182B" w14:textId="77777777" w:rsidR="00260C41" w:rsidRPr="004676F5" w:rsidRDefault="00260C41" w:rsidP="00260C41">
      <w:pPr>
        <w:ind w:firstLine="708"/>
        <w:jc w:val="both"/>
        <w:rPr>
          <w:lang w:val="de-DE"/>
        </w:rPr>
      </w:pPr>
      <w:r w:rsidRPr="004676F5">
        <w:rPr>
          <w:lang w:val="de-DE"/>
        </w:rPr>
        <w:t>Auf die Berechnung der Fristen für die Vorlegung von Wechseln findet die Vorschrift von Absatz 2 entsprechende Anwendung.</w:t>
      </w:r>
    </w:p>
    <w:p w14:paraId="2F16F2C1" w14:textId="77777777" w:rsidR="00260C41" w:rsidRPr="004676F5" w:rsidRDefault="00260C41" w:rsidP="00260C41">
      <w:pPr>
        <w:ind w:firstLine="708"/>
        <w:jc w:val="both"/>
        <w:rPr>
          <w:lang w:val="de-DE"/>
        </w:rPr>
      </w:pPr>
    </w:p>
    <w:p w14:paraId="2FDD7928" w14:textId="6AC2C9FD" w:rsidR="00260C41" w:rsidRPr="004676F5" w:rsidRDefault="00260C41" w:rsidP="00260C41">
      <w:pPr>
        <w:jc w:val="both"/>
        <w:rPr>
          <w:lang w:val="de-DE"/>
        </w:rPr>
      </w:pPr>
      <w:r w:rsidRPr="004676F5">
        <w:rPr>
          <w:lang w:val="de-DE"/>
        </w:rPr>
        <w:tab/>
        <w:t>Die Vorschriften des vorliegenden Artikels finden keine Anwendung, wenn sich aus einem Vermerk im Wechsel oder sonst aus dessen Inhalt ergibt, dass etwas anderes beabsichtigt war.]</w:t>
      </w:r>
    </w:p>
    <w:p w14:paraId="4DCBD9AF" w14:textId="206AE232" w:rsidR="00260C41" w:rsidRPr="004676F5" w:rsidRDefault="00260C41" w:rsidP="00260C41">
      <w:pPr>
        <w:jc w:val="both"/>
        <w:rPr>
          <w:lang w:val="de-DE"/>
        </w:rPr>
      </w:pPr>
    </w:p>
    <w:p w14:paraId="4AEB9D94" w14:textId="363AF890" w:rsidR="00260C41" w:rsidRPr="004676F5" w:rsidRDefault="00260C41" w:rsidP="00260C41">
      <w:pPr>
        <w:jc w:val="both"/>
        <w:rPr>
          <w:i/>
          <w:lang w:val="de-DE"/>
        </w:rPr>
      </w:pPr>
      <w:r w:rsidRPr="004676F5">
        <w:rPr>
          <w:i/>
          <w:lang w:val="de-DE"/>
        </w:rPr>
        <w:t>[Art. VII.216/34 bis VII.216/38 eingefügt durch Art. 113 des G. vom 15. April 2018 (B.S. vom 27. April 2018)]</w:t>
      </w:r>
    </w:p>
    <w:p w14:paraId="3F7466EA" w14:textId="77777777" w:rsidR="00260C41" w:rsidRPr="004676F5" w:rsidRDefault="00260C41" w:rsidP="00260C41">
      <w:pPr>
        <w:jc w:val="both"/>
        <w:rPr>
          <w:lang w:val="de-DE"/>
        </w:rPr>
      </w:pPr>
    </w:p>
    <w:p w14:paraId="520AB48F" w14:textId="77777777" w:rsidR="00260C41" w:rsidRPr="004676F5" w:rsidRDefault="00260C41" w:rsidP="005C47F1">
      <w:pPr>
        <w:jc w:val="both"/>
        <w:rPr>
          <w:lang w:val="de-DE"/>
        </w:rPr>
      </w:pPr>
    </w:p>
    <w:p w14:paraId="2943AB40" w14:textId="3B4F1610" w:rsidR="00260C41" w:rsidRPr="004676F5" w:rsidRDefault="00260C41" w:rsidP="00260C41">
      <w:pPr>
        <w:jc w:val="center"/>
        <w:rPr>
          <w:lang w:val="de-DE"/>
        </w:rPr>
      </w:pPr>
      <w:r w:rsidRPr="004676F5">
        <w:rPr>
          <w:lang w:val="de-DE"/>
        </w:rPr>
        <w:t>[</w:t>
      </w:r>
      <w:r w:rsidRPr="004676F5">
        <w:rPr>
          <w:i/>
          <w:lang w:val="de-DE"/>
        </w:rPr>
        <w:t>Abschnitt 6</w:t>
      </w:r>
      <w:r w:rsidRPr="004676F5">
        <w:rPr>
          <w:lang w:val="de-DE"/>
        </w:rPr>
        <w:t> </w:t>
      </w:r>
      <w:r w:rsidR="005B7A5C" w:rsidRPr="004676F5">
        <w:rPr>
          <w:lang w:val="de-DE"/>
        </w:rPr>
        <w:t>- </w:t>
      </w:r>
      <w:r w:rsidRPr="004676F5">
        <w:rPr>
          <w:lang w:val="de-DE"/>
        </w:rPr>
        <w:t>Zahlung]</w:t>
      </w:r>
    </w:p>
    <w:p w14:paraId="240D8C7F" w14:textId="5A7FBC2E" w:rsidR="00260C41" w:rsidRPr="004676F5" w:rsidRDefault="00260C41" w:rsidP="00260C41">
      <w:pPr>
        <w:ind w:firstLine="708"/>
        <w:jc w:val="both"/>
        <w:rPr>
          <w:lang w:val="de-DE"/>
        </w:rPr>
      </w:pPr>
    </w:p>
    <w:p w14:paraId="44374D06" w14:textId="03EB1DA1" w:rsidR="00260C41" w:rsidRPr="004676F5" w:rsidRDefault="00260C41" w:rsidP="00260C41">
      <w:pPr>
        <w:jc w:val="both"/>
        <w:rPr>
          <w:i/>
          <w:iCs/>
          <w:lang w:val="de-DE"/>
        </w:rPr>
      </w:pPr>
      <w:r w:rsidRPr="004676F5">
        <w:rPr>
          <w:i/>
          <w:lang w:val="de-DE"/>
        </w:rPr>
        <w:t>[Unterteilung Abschnitt 6 eingefügt durch Art. 114</w:t>
      </w:r>
      <w:r w:rsidRPr="004676F5">
        <w:rPr>
          <w:i/>
          <w:iCs/>
          <w:lang w:val="de-DE"/>
        </w:rPr>
        <w:t xml:space="preserve"> des G. vom 15. April 2018 (B.S. vom 27. April 2018)]</w:t>
      </w:r>
    </w:p>
    <w:p w14:paraId="71632213" w14:textId="77777777" w:rsidR="00260C41" w:rsidRPr="004676F5" w:rsidRDefault="00260C41" w:rsidP="00260C41">
      <w:pPr>
        <w:ind w:firstLine="708"/>
        <w:jc w:val="both"/>
        <w:rPr>
          <w:lang w:val="de-DE"/>
        </w:rPr>
      </w:pPr>
    </w:p>
    <w:p w14:paraId="36D39A3C" w14:textId="77777777" w:rsidR="00260C41" w:rsidRPr="004676F5" w:rsidRDefault="00260C41" w:rsidP="00260C41">
      <w:pPr>
        <w:ind w:firstLine="708"/>
        <w:jc w:val="both"/>
        <w:rPr>
          <w:lang w:val="de-DE"/>
        </w:rPr>
      </w:pPr>
    </w:p>
    <w:p w14:paraId="7C97D0C3" w14:textId="0EA580C5" w:rsidR="00260C41" w:rsidRPr="004676F5" w:rsidRDefault="00260C41" w:rsidP="00260C41">
      <w:pPr>
        <w:ind w:firstLine="708"/>
        <w:jc w:val="both"/>
        <w:rPr>
          <w:lang w:val="de-DE"/>
        </w:rPr>
      </w:pPr>
      <w:r w:rsidRPr="004676F5">
        <w:rPr>
          <w:bCs/>
          <w:lang w:val="de-DE"/>
        </w:rPr>
        <w:t>[</w:t>
      </w:r>
      <w:r w:rsidRPr="004676F5">
        <w:rPr>
          <w:b/>
          <w:lang w:val="de-DE"/>
        </w:rPr>
        <w:t>Art. VII.216/39</w:t>
      </w:r>
      <w:r w:rsidRPr="004676F5">
        <w:rPr>
          <w:lang w:val="de-DE"/>
        </w:rPr>
        <w:t> </w:t>
      </w:r>
      <w:r w:rsidR="005B7A5C" w:rsidRPr="004676F5">
        <w:rPr>
          <w:lang w:val="de-DE"/>
        </w:rPr>
        <w:t>- </w:t>
      </w:r>
      <w:r w:rsidRPr="004676F5">
        <w:rPr>
          <w:lang w:val="de-DE"/>
        </w:rPr>
        <w:t>Der Inhaber eines Wechsels, der an einem bestimmten Tag oder bestimmte Zeit nach der Ausstellung oder nach Sicht zahlbar ist, hat den Wechsel am Zahlungstag zur Zahlung vorzulegen. Die Nichteinhaltung dieser Vorschrift kann nur einen Anspruch auf Schadenersatz zur Folge haben.</w:t>
      </w:r>
    </w:p>
    <w:p w14:paraId="6730B2C9" w14:textId="77777777" w:rsidR="00260C41" w:rsidRPr="004676F5" w:rsidRDefault="00260C41" w:rsidP="00260C41">
      <w:pPr>
        <w:ind w:firstLine="708"/>
        <w:jc w:val="both"/>
        <w:rPr>
          <w:lang w:val="de-DE"/>
        </w:rPr>
      </w:pPr>
    </w:p>
    <w:p w14:paraId="5247C33A" w14:textId="77777777" w:rsidR="00260C41" w:rsidRPr="004676F5" w:rsidRDefault="00260C41" w:rsidP="00260C41">
      <w:pPr>
        <w:ind w:firstLine="708"/>
        <w:jc w:val="both"/>
        <w:rPr>
          <w:lang w:val="de-DE"/>
        </w:rPr>
      </w:pPr>
      <w:r w:rsidRPr="004676F5">
        <w:rPr>
          <w:lang w:val="de-DE"/>
        </w:rPr>
        <w:t>Die Einlieferung in eine von der Regierung bestimmte Abrechnungsstelle oder in eine zu diesem Zweck von der Regierung ermächtigte Stelle steht der Vorlegung zur Zahlung gleich.</w:t>
      </w:r>
    </w:p>
    <w:p w14:paraId="26196BBA" w14:textId="46487A21" w:rsidR="00260C41" w:rsidRPr="004676F5" w:rsidRDefault="00260C41" w:rsidP="00260C41">
      <w:pPr>
        <w:ind w:firstLine="708"/>
        <w:jc w:val="both"/>
        <w:rPr>
          <w:lang w:val="de-DE"/>
        </w:rPr>
      </w:pPr>
    </w:p>
    <w:p w14:paraId="658215A8" w14:textId="77777777" w:rsidR="00260C41" w:rsidRPr="004676F5" w:rsidRDefault="00260C41" w:rsidP="00260C41">
      <w:pPr>
        <w:ind w:firstLine="708"/>
        <w:jc w:val="both"/>
        <w:rPr>
          <w:lang w:val="de-DE"/>
        </w:rPr>
      </w:pPr>
    </w:p>
    <w:p w14:paraId="38468860" w14:textId="6DD3C696" w:rsidR="00260C41" w:rsidRPr="004676F5" w:rsidRDefault="00260C41" w:rsidP="00260C41">
      <w:pPr>
        <w:ind w:firstLine="708"/>
        <w:jc w:val="both"/>
        <w:rPr>
          <w:lang w:val="de-DE"/>
        </w:rPr>
      </w:pPr>
      <w:r w:rsidRPr="004676F5">
        <w:rPr>
          <w:b/>
          <w:lang w:val="de-DE"/>
        </w:rPr>
        <w:t>Art. VII.216/40</w:t>
      </w:r>
      <w:r w:rsidRPr="004676F5">
        <w:rPr>
          <w:lang w:val="de-DE"/>
        </w:rPr>
        <w:t> </w:t>
      </w:r>
      <w:r w:rsidR="005B7A5C" w:rsidRPr="004676F5">
        <w:rPr>
          <w:lang w:val="de-DE"/>
        </w:rPr>
        <w:t>- </w:t>
      </w:r>
      <w:r w:rsidRPr="004676F5">
        <w:rPr>
          <w:lang w:val="de-DE"/>
        </w:rPr>
        <w:t>Der Bezogene kann vom Inhaber gegen Zahlung die Aushändigung des quittierten Wechsels verlangen.</w:t>
      </w:r>
    </w:p>
    <w:p w14:paraId="04EAA17F" w14:textId="77777777" w:rsidR="00260C41" w:rsidRPr="004676F5" w:rsidRDefault="00260C41" w:rsidP="00260C41">
      <w:pPr>
        <w:ind w:firstLine="708"/>
        <w:jc w:val="both"/>
        <w:rPr>
          <w:lang w:val="de-DE"/>
        </w:rPr>
      </w:pPr>
    </w:p>
    <w:p w14:paraId="384237B7" w14:textId="77777777" w:rsidR="00260C41" w:rsidRPr="004676F5" w:rsidRDefault="00260C41" w:rsidP="00260C41">
      <w:pPr>
        <w:ind w:firstLine="708"/>
        <w:jc w:val="both"/>
        <w:rPr>
          <w:lang w:val="de-DE"/>
        </w:rPr>
      </w:pPr>
      <w:r w:rsidRPr="004676F5">
        <w:rPr>
          <w:lang w:val="de-DE"/>
        </w:rPr>
        <w:t>Der Inhaber darf eine Teilzahlung nicht zurückweisen.</w:t>
      </w:r>
    </w:p>
    <w:p w14:paraId="5F603242" w14:textId="77777777" w:rsidR="00260C41" w:rsidRPr="004676F5" w:rsidRDefault="00260C41" w:rsidP="00260C41">
      <w:pPr>
        <w:ind w:firstLine="708"/>
        <w:jc w:val="both"/>
        <w:rPr>
          <w:lang w:val="de-DE"/>
        </w:rPr>
      </w:pPr>
    </w:p>
    <w:p w14:paraId="0874F276" w14:textId="77777777" w:rsidR="00260C41" w:rsidRPr="004676F5" w:rsidRDefault="00260C41" w:rsidP="00260C41">
      <w:pPr>
        <w:ind w:firstLine="708"/>
        <w:jc w:val="both"/>
        <w:rPr>
          <w:lang w:val="de-DE"/>
        </w:rPr>
      </w:pPr>
      <w:r w:rsidRPr="004676F5">
        <w:rPr>
          <w:lang w:val="de-DE"/>
        </w:rPr>
        <w:t>Im Fall der Teilzahlung kann der Bezogene verlangen, dass sie auf dem Wechsel vermerkt und ihm eine Quittung erteilt wird.</w:t>
      </w:r>
    </w:p>
    <w:p w14:paraId="09863C3D" w14:textId="4A85CDC9" w:rsidR="00260C41" w:rsidRPr="004676F5" w:rsidRDefault="00260C41" w:rsidP="00260C41">
      <w:pPr>
        <w:ind w:firstLine="708"/>
        <w:jc w:val="both"/>
        <w:rPr>
          <w:lang w:val="de-DE"/>
        </w:rPr>
      </w:pPr>
    </w:p>
    <w:p w14:paraId="0A346640" w14:textId="77777777" w:rsidR="00260C41" w:rsidRPr="004676F5" w:rsidRDefault="00260C41" w:rsidP="00260C41">
      <w:pPr>
        <w:ind w:firstLine="708"/>
        <w:jc w:val="both"/>
        <w:rPr>
          <w:lang w:val="de-DE"/>
        </w:rPr>
      </w:pPr>
    </w:p>
    <w:p w14:paraId="7DC19971" w14:textId="09450A4B" w:rsidR="00260C41" w:rsidRPr="004676F5" w:rsidRDefault="00260C41" w:rsidP="00260C41">
      <w:pPr>
        <w:ind w:firstLine="708"/>
        <w:jc w:val="both"/>
        <w:rPr>
          <w:lang w:val="de-DE"/>
        </w:rPr>
      </w:pPr>
      <w:r w:rsidRPr="004676F5">
        <w:rPr>
          <w:b/>
          <w:lang w:val="de-DE"/>
        </w:rPr>
        <w:t>Art. VII.216/41</w:t>
      </w:r>
      <w:r w:rsidRPr="004676F5">
        <w:rPr>
          <w:lang w:val="de-DE"/>
        </w:rPr>
        <w:t> </w:t>
      </w:r>
      <w:r w:rsidR="005B7A5C" w:rsidRPr="004676F5">
        <w:rPr>
          <w:lang w:val="de-DE"/>
        </w:rPr>
        <w:t>- </w:t>
      </w:r>
      <w:r w:rsidRPr="004676F5">
        <w:rPr>
          <w:lang w:val="de-DE"/>
        </w:rPr>
        <w:t>Der Inhaber des Wechsels ist nicht verpflichtet, die Zahlung vor Verfall anzunehmen.</w:t>
      </w:r>
    </w:p>
    <w:p w14:paraId="0728877B" w14:textId="77777777" w:rsidR="00260C41" w:rsidRPr="004676F5" w:rsidRDefault="00260C41" w:rsidP="00260C41">
      <w:pPr>
        <w:ind w:firstLine="708"/>
        <w:jc w:val="both"/>
        <w:rPr>
          <w:lang w:val="de-DE"/>
        </w:rPr>
      </w:pPr>
    </w:p>
    <w:p w14:paraId="38E21DE0" w14:textId="77777777" w:rsidR="00260C41" w:rsidRPr="004676F5" w:rsidRDefault="00260C41" w:rsidP="00260C41">
      <w:pPr>
        <w:ind w:firstLine="708"/>
        <w:jc w:val="both"/>
        <w:rPr>
          <w:lang w:val="de-DE"/>
        </w:rPr>
      </w:pPr>
      <w:r w:rsidRPr="004676F5">
        <w:rPr>
          <w:lang w:val="de-DE"/>
        </w:rPr>
        <w:t>Der Bezogene, der vor Verfall zahlt, handelt auf eigene Gefahr.</w:t>
      </w:r>
    </w:p>
    <w:p w14:paraId="55A0E9F3" w14:textId="77777777" w:rsidR="00260C41" w:rsidRPr="004676F5" w:rsidRDefault="00260C41" w:rsidP="00260C41">
      <w:pPr>
        <w:ind w:firstLine="708"/>
        <w:jc w:val="both"/>
        <w:rPr>
          <w:lang w:val="de-DE"/>
        </w:rPr>
      </w:pPr>
    </w:p>
    <w:p w14:paraId="193BE55F" w14:textId="77777777" w:rsidR="00260C41" w:rsidRPr="004676F5" w:rsidRDefault="00260C41" w:rsidP="00260C41">
      <w:pPr>
        <w:ind w:firstLine="708"/>
        <w:jc w:val="both"/>
        <w:rPr>
          <w:lang w:val="de-DE"/>
        </w:rPr>
      </w:pPr>
      <w:r w:rsidRPr="004676F5">
        <w:rPr>
          <w:lang w:val="de-DE"/>
        </w:rPr>
        <w:t>Wer bei Verfall zahlt, wird von seiner Verbindlichkeit befreit, wenn ihm nicht Betrug oder grobe Fahrlässigkeit zur Last fällt. Er ist verpflichtet, die Ordnungsmäßigkeit der Reihe der Indossamente, aber nicht die Unterschriften der Indossanten zu prüfen.</w:t>
      </w:r>
    </w:p>
    <w:p w14:paraId="29DB3C0A" w14:textId="17434AA4" w:rsidR="00260C41" w:rsidRPr="004676F5" w:rsidRDefault="00260C41" w:rsidP="00260C41">
      <w:pPr>
        <w:ind w:firstLine="708"/>
        <w:jc w:val="both"/>
        <w:rPr>
          <w:lang w:val="de-DE"/>
        </w:rPr>
      </w:pPr>
    </w:p>
    <w:p w14:paraId="0B93418F" w14:textId="77777777" w:rsidR="00260C41" w:rsidRPr="004676F5" w:rsidRDefault="00260C41" w:rsidP="00260C41">
      <w:pPr>
        <w:ind w:firstLine="708"/>
        <w:jc w:val="both"/>
        <w:rPr>
          <w:lang w:val="de-DE"/>
        </w:rPr>
      </w:pPr>
    </w:p>
    <w:p w14:paraId="5A9B0CE5" w14:textId="38563AC1" w:rsidR="00260C41" w:rsidRPr="004676F5" w:rsidRDefault="00260C41" w:rsidP="00260C41">
      <w:pPr>
        <w:ind w:firstLine="708"/>
        <w:jc w:val="both"/>
        <w:rPr>
          <w:lang w:val="de-DE"/>
        </w:rPr>
      </w:pPr>
      <w:r w:rsidRPr="004676F5">
        <w:rPr>
          <w:b/>
          <w:lang w:val="de-DE"/>
        </w:rPr>
        <w:t>Art. VII.216/42</w:t>
      </w:r>
      <w:r w:rsidRPr="004676F5">
        <w:rPr>
          <w:lang w:val="de-DE"/>
        </w:rPr>
        <w:t> </w:t>
      </w:r>
      <w:r w:rsidR="005B7A5C" w:rsidRPr="004676F5">
        <w:rPr>
          <w:lang w:val="de-DE"/>
        </w:rPr>
        <w:t>- </w:t>
      </w:r>
      <w:r w:rsidRPr="004676F5">
        <w:rPr>
          <w:lang w:val="de-DE"/>
        </w:rPr>
        <w:t>Lautet der Wechsel auf eine Währung, die am Zahlungsort nicht gilt, so kann die Wechselsumme in der Landeswährung nach dem Wert gezahlt werden, den sie am Verfalltag besitzt. Wenn der Schuldner die Zahlung verzögert, so kann der Inhaber wählen, ob die Wechselsumme nach dem Kurs des Verfalltages oder nach dem Kurs des Zahlungstages in die Landeswährung umgerechnet werden soll.</w:t>
      </w:r>
    </w:p>
    <w:p w14:paraId="094A8F0D" w14:textId="77777777" w:rsidR="00260C41" w:rsidRPr="004676F5" w:rsidRDefault="00260C41" w:rsidP="00260C41">
      <w:pPr>
        <w:ind w:firstLine="708"/>
        <w:jc w:val="both"/>
        <w:rPr>
          <w:lang w:val="de-DE"/>
        </w:rPr>
      </w:pPr>
    </w:p>
    <w:p w14:paraId="0C5EA1BE" w14:textId="77777777" w:rsidR="00260C41" w:rsidRPr="004676F5" w:rsidRDefault="00260C41" w:rsidP="00260C41">
      <w:pPr>
        <w:ind w:firstLine="708"/>
        <w:jc w:val="both"/>
        <w:rPr>
          <w:lang w:val="de-DE"/>
        </w:rPr>
      </w:pPr>
      <w:r w:rsidRPr="004676F5">
        <w:rPr>
          <w:lang w:val="de-DE"/>
        </w:rPr>
        <w:lastRenderedPageBreak/>
        <w:t>Der Wert der fremden Währung bestimmt sich nach den Handelsgebräuchen des Zahlungsortes. Der Aussteller kann jedoch im Wechsel für die zu zahlende Summe einen Umrechnungskurs bestimmen.</w:t>
      </w:r>
    </w:p>
    <w:p w14:paraId="256FBC75" w14:textId="77777777" w:rsidR="00260C41" w:rsidRPr="004676F5" w:rsidRDefault="00260C41" w:rsidP="00260C41">
      <w:pPr>
        <w:ind w:firstLine="708"/>
        <w:jc w:val="both"/>
        <w:rPr>
          <w:lang w:val="de-DE"/>
        </w:rPr>
      </w:pPr>
    </w:p>
    <w:p w14:paraId="4A9DA474" w14:textId="77777777" w:rsidR="00260C41" w:rsidRPr="004676F5" w:rsidRDefault="00260C41" w:rsidP="00260C41">
      <w:pPr>
        <w:ind w:firstLine="708"/>
        <w:jc w:val="both"/>
        <w:rPr>
          <w:lang w:val="de-DE"/>
        </w:rPr>
      </w:pPr>
      <w:r w:rsidRPr="004676F5">
        <w:rPr>
          <w:lang w:val="de-DE"/>
        </w:rPr>
        <w:t>Die vorerwähnten Vorschriften finden keine Anwendung, wenn der Aussteller die Zahlung in einer bestimmten Währung vorgeschrieben hat (Effektivvermerk).</w:t>
      </w:r>
    </w:p>
    <w:p w14:paraId="1CBAC8B7" w14:textId="77777777" w:rsidR="00260C41" w:rsidRPr="004676F5" w:rsidRDefault="00260C41" w:rsidP="00260C41">
      <w:pPr>
        <w:ind w:firstLine="708"/>
        <w:jc w:val="both"/>
        <w:rPr>
          <w:lang w:val="de-DE"/>
        </w:rPr>
      </w:pPr>
    </w:p>
    <w:p w14:paraId="44B2CE66" w14:textId="77777777" w:rsidR="00260C41" w:rsidRPr="004676F5" w:rsidRDefault="00260C41" w:rsidP="00260C41">
      <w:pPr>
        <w:ind w:firstLine="708"/>
        <w:jc w:val="both"/>
        <w:rPr>
          <w:lang w:val="de-DE"/>
        </w:rPr>
      </w:pPr>
      <w:r w:rsidRPr="004676F5">
        <w:rPr>
          <w:lang w:val="de-DE"/>
        </w:rPr>
        <w:t>Lautet der Wechsel auf eine Geldsorte, die im Land der Ausstellung dieselbe Bezeichnung, aber einen anderen Wert hat als in dem der Zahlung, so wird vermutet, dass die Geldsorte des Zahlungsortes gemeint ist.</w:t>
      </w:r>
    </w:p>
    <w:p w14:paraId="1AA5088E" w14:textId="2B46C578" w:rsidR="00260C41" w:rsidRPr="004676F5" w:rsidRDefault="00260C41" w:rsidP="00260C41">
      <w:pPr>
        <w:ind w:firstLine="708"/>
        <w:jc w:val="both"/>
        <w:rPr>
          <w:lang w:val="de-DE"/>
        </w:rPr>
      </w:pPr>
    </w:p>
    <w:p w14:paraId="5512611D" w14:textId="77777777" w:rsidR="00260C41" w:rsidRPr="004676F5" w:rsidRDefault="00260C41" w:rsidP="00260C41">
      <w:pPr>
        <w:ind w:firstLine="708"/>
        <w:jc w:val="both"/>
        <w:rPr>
          <w:lang w:val="de-DE"/>
        </w:rPr>
      </w:pPr>
    </w:p>
    <w:p w14:paraId="4845FFD5" w14:textId="58CAEA2C" w:rsidR="00260C41" w:rsidRPr="004676F5" w:rsidRDefault="00260C41" w:rsidP="00260C41">
      <w:pPr>
        <w:ind w:firstLine="708"/>
        <w:jc w:val="both"/>
        <w:rPr>
          <w:lang w:val="de-DE"/>
        </w:rPr>
      </w:pPr>
      <w:r w:rsidRPr="004676F5">
        <w:rPr>
          <w:b/>
          <w:lang w:val="de-DE"/>
        </w:rPr>
        <w:t>Art. VII.216/43</w:t>
      </w:r>
      <w:r w:rsidRPr="004676F5">
        <w:rPr>
          <w:lang w:val="de-DE"/>
        </w:rPr>
        <w:t> </w:t>
      </w:r>
      <w:r w:rsidR="005B7A5C" w:rsidRPr="004676F5">
        <w:rPr>
          <w:lang w:val="de-DE"/>
        </w:rPr>
        <w:t>- </w:t>
      </w:r>
      <w:r w:rsidRPr="004676F5">
        <w:rPr>
          <w:lang w:val="de-DE"/>
        </w:rPr>
        <w:t>Wird der Wechsel nicht innerhalb der in Artikel VII.216/39 bestimmten Frist zur Zahlung vorgelegt, so kann der Schuldner die Wechselsumme bei der von der Regierung bestimmten zuständigen Behörde auf Gefahr und Kosten des Inhabers hinterlegen.]</w:t>
      </w:r>
    </w:p>
    <w:p w14:paraId="5CB3BF68" w14:textId="76C2EE1E" w:rsidR="00260C41" w:rsidRPr="004676F5" w:rsidRDefault="00260C41" w:rsidP="00260C41">
      <w:pPr>
        <w:ind w:firstLine="708"/>
        <w:jc w:val="both"/>
        <w:rPr>
          <w:lang w:val="de-DE"/>
        </w:rPr>
      </w:pPr>
    </w:p>
    <w:p w14:paraId="614F6EE0" w14:textId="34076397" w:rsidR="00260C41" w:rsidRPr="004676F5" w:rsidRDefault="00260C41" w:rsidP="00260C41">
      <w:pPr>
        <w:jc w:val="both"/>
        <w:rPr>
          <w:i/>
          <w:lang w:val="de-DE"/>
        </w:rPr>
      </w:pPr>
      <w:r w:rsidRPr="004676F5">
        <w:rPr>
          <w:i/>
          <w:lang w:val="de-DE"/>
        </w:rPr>
        <w:t>[Art. VII.216/39 bis VII.216/43 eingefügt durch Art. 115 des G. vom 15. April 2018 (B.S. vom 27. April 2018)]</w:t>
      </w:r>
    </w:p>
    <w:p w14:paraId="1A84560C" w14:textId="61E5DB0E" w:rsidR="00260C41" w:rsidRPr="004676F5" w:rsidRDefault="00260C41" w:rsidP="00260C41">
      <w:pPr>
        <w:jc w:val="both"/>
        <w:rPr>
          <w:i/>
          <w:lang w:val="de-DE"/>
        </w:rPr>
      </w:pPr>
    </w:p>
    <w:p w14:paraId="4A1199FA" w14:textId="204CE942" w:rsidR="00260C41" w:rsidRPr="004676F5" w:rsidRDefault="00260C41" w:rsidP="00260C41">
      <w:pPr>
        <w:jc w:val="both"/>
        <w:rPr>
          <w:i/>
          <w:lang w:val="de-DE"/>
        </w:rPr>
      </w:pPr>
    </w:p>
    <w:p w14:paraId="419D4FDC" w14:textId="709A715F" w:rsidR="00260C41" w:rsidRPr="004676F5" w:rsidRDefault="00260C41" w:rsidP="00260C41">
      <w:pPr>
        <w:jc w:val="center"/>
        <w:rPr>
          <w:lang w:val="de-DE"/>
        </w:rPr>
      </w:pPr>
      <w:r w:rsidRPr="004676F5">
        <w:rPr>
          <w:lang w:val="de-DE"/>
        </w:rPr>
        <w:t>[</w:t>
      </w:r>
      <w:r w:rsidRPr="004676F5">
        <w:rPr>
          <w:i/>
          <w:lang w:val="de-DE"/>
        </w:rPr>
        <w:t>Abschnitt 7</w:t>
      </w:r>
      <w:r w:rsidRPr="004676F5">
        <w:rPr>
          <w:lang w:val="de-DE"/>
        </w:rPr>
        <w:t> </w:t>
      </w:r>
      <w:r w:rsidR="005B7A5C" w:rsidRPr="004676F5">
        <w:rPr>
          <w:lang w:val="de-DE"/>
        </w:rPr>
        <w:t>- </w:t>
      </w:r>
      <w:r w:rsidRPr="004676F5">
        <w:rPr>
          <w:lang w:val="de-DE"/>
        </w:rPr>
        <w:t>Rückgriff mangels Annahme und mangels Zahlung]</w:t>
      </w:r>
    </w:p>
    <w:p w14:paraId="2F35DFF9" w14:textId="77777777" w:rsidR="00260C41" w:rsidRPr="004676F5" w:rsidRDefault="00260C41" w:rsidP="00260C41">
      <w:pPr>
        <w:ind w:firstLine="708"/>
        <w:jc w:val="both"/>
        <w:rPr>
          <w:lang w:val="de-DE"/>
        </w:rPr>
      </w:pPr>
    </w:p>
    <w:p w14:paraId="0059E202" w14:textId="09E32083" w:rsidR="00260C41" w:rsidRPr="004676F5" w:rsidRDefault="00260C41" w:rsidP="00260C41">
      <w:pPr>
        <w:jc w:val="both"/>
        <w:rPr>
          <w:i/>
          <w:iCs/>
          <w:lang w:val="de-DE"/>
        </w:rPr>
      </w:pPr>
      <w:r w:rsidRPr="004676F5">
        <w:rPr>
          <w:i/>
          <w:lang w:val="de-DE"/>
        </w:rPr>
        <w:t>[Unterteilung Abschnitt 7 eingefügt durch Art. 116</w:t>
      </w:r>
      <w:r w:rsidRPr="004676F5">
        <w:rPr>
          <w:i/>
          <w:iCs/>
          <w:lang w:val="de-DE"/>
        </w:rPr>
        <w:t xml:space="preserve"> des G. vom 15. April 2018 (B.S. vom 27. April 2018)]</w:t>
      </w:r>
    </w:p>
    <w:p w14:paraId="115B5942" w14:textId="77777777" w:rsidR="00260C41" w:rsidRPr="004676F5" w:rsidRDefault="00260C41" w:rsidP="005C47F1">
      <w:pPr>
        <w:jc w:val="both"/>
        <w:rPr>
          <w:lang w:val="de-DE"/>
        </w:rPr>
      </w:pPr>
    </w:p>
    <w:p w14:paraId="47361846" w14:textId="77777777" w:rsidR="00260C41" w:rsidRPr="004676F5" w:rsidRDefault="00260C41" w:rsidP="005C47F1">
      <w:pPr>
        <w:jc w:val="both"/>
        <w:rPr>
          <w:lang w:val="de-DE"/>
        </w:rPr>
      </w:pPr>
    </w:p>
    <w:p w14:paraId="7185A0CB" w14:textId="3CE9C020" w:rsidR="00260C41" w:rsidRPr="004676F5" w:rsidRDefault="00260C41" w:rsidP="00260C41">
      <w:pPr>
        <w:ind w:firstLine="708"/>
        <w:jc w:val="both"/>
        <w:rPr>
          <w:lang w:val="de-DE"/>
        </w:rPr>
      </w:pPr>
      <w:r w:rsidRPr="004676F5">
        <w:rPr>
          <w:lang w:val="de-DE"/>
        </w:rPr>
        <w:t>[</w:t>
      </w:r>
      <w:r w:rsidRPr="004676F5">
        <w:rPr>
          <w:b/>
          <w:lang w:val="de-DE"/>
        </w:rPr>
        <w:t>Art. VII.216/44</w:t>
      </w:r>
      <w:r w:rsidRPr="004676F5">
        <w:rPr>
          <w:lang w:val="de-DE"/>
        </w:rPr>
        <w:t> </w:t>
      </w:r>
      <w:r w:rsidR="005B7A5C" w:rsidRPr="004676F5">
        <w:rPr>
          <w:lang w:val="de-DE"/>
        </w:rPr>
        <w:t>- </w:t>
      </w:r>
      <w:r w:rsidRPr="004676F5">
        <w:rPr>
          <w:lang w:val="de-DE"/>
        </w:rPr>
        <w:t>Der Inhaber kann gegen die Indossanten, den Aussteller und die anderen Wechselverpflichteten Rückgriff nehmen:</w:t>
      </w:r>
    </w:p>
    <w:p w14:paraId="2E768A60" w14:textId="77777777" w:rsidR="00260C41" w:rsidRPr="004676F5" w:rsidRDefault="00260C41" w:rsidP="00260C41">
      <w:pPr>
        <w:ind w:firstLine="708"/>
        <w:jc w:val="both"/>
        <w:rPr>
          <w:lang w:val="de-DE"/>
        </w:rPr>
      </w:pPr>
    </w:p>
    <w:p w14:paraId="14A75DD1" w14:textId="77777777" w:rsidR="00260C41" w:rsidRPr="004676F5" w:rsidRDefault="00260C41" w:rsidP="00260C41">
      <w:pPr>
        <w:ind w:firstLine="708"/>
        <w:jc w:val="both"/>
        <w:rPr>
          <w:lang w:val="de-DE"/>
        </w:rPr>
      </w:pPr>
      <w:r w:rsidRPr="004676F5">
        <w:rPr>
          <w:lang w:val="de-DE"/>
        </w:rPr>
        <w:t>1. bei Verfall:</w:t>
      </w:r>
    </w:p>
    <w:p w14:paraId="73C6E5B4" w14:textId="77777777" w:rsidR="00260C41" w:rsidRPr="004676F5" w:rsidRDefault="00260C41" w:rsidP="00260C41">
      <w:pPr>
        <w:ind w:firstLine="708"/>
        <w:jc w:val="both"/>
        <w:rPr>
          <w:lang w:val="de-DE"/>
        </w:rPr>
      </w:pPr>
    </w:p>
    <w:p w14:paraId="30670EDF" w14:textId="77777777" w:rsidR="00260C41" w:rsidRPr="004676F5" w:rsidRDefault="00260C41" w:rsidP="00260C41">
      <w:pPr>
        <w:ind w:firstLine="708"/>
        <w:jc w:val="both"/>
        <w:rPr>
          <w:lang w:val="de-DE"/>
        </w:rPr>
      </w:pPr>
      <w:r w:rsidRPr="004676F5">
        <w:rPr>
          <w:lang w:val="de-DE"/>
        </w:rPr>
        <w:t>wenn der Wechsel nicht bezahlt worden ist,</w:t>
      </w:r>
    </w:p>
    <w:p w14:paraId="7CB24AD0" w14:textId="77777777" w:rsidR="00260C41" w:rsidRPr="004676F5" w:rsidRDefault="00260C41" w:rsidP="00260C41">
      <w:pPr>
        <w:ind w:firstLine="708"/>
        <w:jc w:val="both"/>
        <w:rPr>
          <w:lang w:val="de-DE"/>
        </w:rPr>
      </w:pPr>
    </w:p>
    <w:p w14:paraId="5EED0A8B" w14:textId="77777777" w:rsidR="00260C41" w:rsidRPr="004676F5" w:rsidRDefault="00260C41" w:rsidP="00260C41">
      <w:pPr>
        <w:ind w:firstLine="708"/>
        <w:jc w:val="both"/>
        <w:rPr>
          <w:lang w:val="de-DE"/>
        </w:rPr>
      </w:pPr>
      <w:r w:rsidRPr="004676F5">
        <w:rPr>
          <w:lang w:val="de-DE"/>
        </w:rPr>
        <w:t>2. schon vor Verfall:</w:t>
      </w:r>
    </w:p>
    <w:p w14:paraId="46BA4F70" w14:textId="77777777" w:rsidR="00260C41" w:rsidRPr="004676F5" w:rsidRDefault="00260C41" w:rsidP="00260C41">
      <w:pPr>
        <w:ind w:firstLine="708"/>
        <w:jc w:val="both"/>
        <w:rPr>
          <w:lang w:val="de-DE"/>
        </w:rPr>
      </w:pPr>
    </w:p>
    <w:p w14:paraId="74864677" w14:textId="77777777" w:rsidR="00260C41" w:rsidRPr="004676F5" w:rsidRDefault="00260C41" w:rsidP="00260C41">
      <w:pPr>
        <w:ind w:firstLine="708"/>
        <w:jc w:val="both"/>
        <w:rPr>
          <w:lang w:val="de-DE"/>
        </w:rPr>
      </w:pPr>
      <w:r w:rsidRPr="004676F5">
        <w:rPr>
          <w:i/>
          <w:lang w:val="de-DE"/>
        </w:rPr>
        <w:t>a)</w:t>
      </w:r>
      <w:r w:rsidRPr="004676F5">
        <w:rPr>
          <w:lang w:val="de-DE"/>
        </w:rPr>
        <w:t> wenn die Annahme ganz oder teilweise verweigert worden ist,</w:t>
      </w:r>
    </w:p>
    <w:p w14:paraId="5E4A27B5" w14:textId="77777777" w:rsidR="00260C41" w:rsidRPr="004676F5" w:rsidRDefault="00260C41" w:rsidP="00260C41">
      <w:pPr>
        <w:ind w:firstLine="708"/>
        <w:jc w:val="both"/>
        <w:rPr>
          <w:lang w:val="de-DE"/>
        </w:rPr>
      </w:pPr>
    </w:p>
    <w:p w14:paraId="5DE23AEC" w14:textId="77777777" w:rsidR="00260C41" w:rsidRPr="004676F5" w:rsidRDefault="00260C41" w:rsidP="00260C41">
      <w:pPr>
        <w:ind w:firstLine="708"/>
        <w:jc w:val="both"/>
        <w:rPr>
          <w:lang w:val="de-DE"/>
        </w:rPr>
      </w:pPr>
      <w:r w:rsidRPr="004676F5">
        <w:rPr>
          <w:i/>
          <w:lang w:val="de-DE"/>
        </w:rPr>
        <w:t>b)</w:t>
      </w:r>
      <w:r w:rsidRPr="004676F5">
        <w:rPr>
          <w:lang w:val="de-DE"/>
        </w:rPr>
        <w:t> wenn der Bezogene, gleichviel ob er den Wechsel angenommen hat oder nicht, oder der Aussteller eines Wechsels, dessen Vorlegung zur Annahme untersagt ist, seine Zahlungen eingestellt hat oder offenkundig zahlungsunfähig ist.</w:t>
      </w:r>
    </w:p>
    <w:p w14:paraId="4AFB465A" w14:textId="77777777" w:rsidR="00260C41" w:rsidRPr="004676F5" w:rsidRDefault="00260C41" w:rsidP="00260C41">
      <w:pPr>
        <w:ind w:firstLine="708"/>
        <w:jc w:val="both"/>
        <w:rPr>
          <w:lang w:val="de-DE"/>
        </w:rPr>
      </w:pPr>
    </w:p>
    <w:p w14:paraId="24C6C3A3" w14:textId="77777777" w:rsidR="00260C41" w:rsidRPr="004676F5" w:rsidRDefault="00260C41" w:rsidP="00260C41">
      <w:pPr>
        <w:ind w:firstLine="708"/>
        <w:jc w:val="both"/>
        <w:rPr>
          <w:lang w:val="de-DE"/>
        </w:rPr>
      </w:pPr>
      <w:r w:rsidRPr="004676F5">
        <w:rPr>
          <w:lang w:val="de-DE"/>
        </w:rPr>
        <w:t>Durch die Bestimmungen in vorhergehendem Buchstaben </w:t>
      </w:r>
      <w:r w:rsidRPr="004676F5">
        <w:rPr>
          <w:i/>
          <w:lang w:val="de-DE"/>
        </w:rPr>
        <w:t>b)</w:t>
      </w:r>
      <w:r w:rsidRPr="004676F5">
        <w:rPr>
          <w:lang w:val="de-DE"/>
        </w:rPr>
        <w:t xml:space="preserve"> verlieren die Wechsel</w:t>
      </w:r>
      <w:r w:rsidRPr="004676F5">
        <w:rPr>
          <w:lang w:val="de-DE"/>
        </w:rPr>
        <w:softHyphen/>
        <w:t>verpflichteten nicht die Möglichkeit, dass ihnen durch Sicherheitsleistung Fristen bewilligt werden; diese Fristen dürfen den Verfalltag des Wechsels keinesfalls überschreiten.</w:t>
      </w:r>
    </w:p>
    <w:p w14:paraId="784C0EFD" w14:textId="651D1D02" w:rsidR="00260C41" w:rsidRPr="004676F5" w:rsidRDefault="00260C41" w:rsidP="00260C41">
      <w:pPr>
        <w:ind w:firstLine="708"/>
        <w:jc w:val="both"/>
        <w:rPr>
          <w:lang w:val="de-DE"/>
        </w:rPr>
      </w:pPr>
    </w:p>
    <w:p w14:paraId="28EEBD0E" w14:textId="77777777" w:rsidR="00260C41" w:rsidRPr="004676F5" w:rsidRDefault="00260C41" w:rsidP="00260C41">
      <w:pPr>
        <w:ind w:firstLine="708"/>
        <w:jc w:val="both"/>
        <w:rPr>
          <w:lang w:val="de-DE"/>
        </w:rPr>
      </w:pPr>
    </w:p>
    <w:p w14:paraId="18E80AC1" w14:textId="32F772CE" w:rsidR="00260C41" w:rsidRPr="004676F5" w:rsidRDefault="00260C41" w:rsidP="00260C41">
      <w:pPr>
        <w:ind w:firstLine="708"/>
        <w:jc w:val="both"/>
        <w:rPr>
          <w:lang w:val="de-DE"/>
        </w:rPr>
      </w:pPr>
      <w:r w:rsidRPr="004676F5">
        <w:rPr>
          <w:b/>
          <w:lang w:val="de-DE"/>
        </w:rPr>
        <w:t>Art. VII.216/45</w:t>
      </w:r>
      <w:r w:rsidRPr="004676F5">
        <w:rPr>
          <w:lang w:val="de-DE"/>
        </w:rPr>
        <w:t> </w:t>
      </w:r>
      <w:r w:rsidR="005B7A5C" w:rsidRPr="004676F5">
        <w:rPr>
          <w:lang w:val="de-DE"/>
        </w:rPr>
        <w:t>- </w:t>
      </w:r>
      <w:r w:rsidRPr="004676F5">
        <w:rPr>
          <w:lang w:val="de-DE"/>
        </w:rPr>
        <w:t>Die Verweigerung der Annahme oder der Zahlung muss durch eine authentische Urkunde (Protest mangels Annahme oder mangels Zahlung) festgestellt werden.</w:t>
      </w:r>
    </w:p>
    <w:p w14:paraId="18F157EC" w14:textId="77777777" w:rsidR="00260C41" w:rsidRPr="004676F5" w:rsidRDefault="00260C41" w:rsidP="00260C41">
      <w:pPr>
        <w:ind w:firstLine="708"/>
        <w:jc w:val="both"/>
        <w:rPr>
          <w:lang w:val="de-DE"/>
        </w:rPr>
      </w:pPr>
    </w:p>
    <w:p w14:paraId="7DC6A8FC" w14:textId="77777777" w:rsidR="00260C41" w:rsidRPr="004676F5" w:rsidRDefault="00260C41" w:rsidP="00260C41">
      <w:pPr>
        <w:ind w:firstLine="708"/>
        <w:jc w:val="both"/>
        <w:rPr>
          <w:lang w:val="de-DE"/>
        </w:rPr>
      </w:pPr>
      <w:r w:rsidRPr="004676F5">
        <w:rPr>
          <w:lang w:val="de-DE"/>
        </w:rPr>
        <w:t xml:space="preserve">Der Protest mangels Annahme muss innerhalb der Frist erhoben werden, die für die Vorlegung zur Annahme gilt. Ist im Fall des Artikels VII.216/25 Absatz 1 der Wechsel am </w:t>
      </w:r>
      <w:r w:rsidRPr="004676F5">
        <w:rPr>
          <w:lang w:val="de-DE"/>
        </w:rPr>
        <w:lastRenderedPageBreak/>
        <w:t>letzten Tag der Frist zum ersten Mal vorgelegt worden, so kann der Protest noch am folgenden Tag erhoben werden.</w:t>
      </w:r>
    </w:p>
    <w:p w14:paraId="494DCADA" w14:textId="77777777" w:rsidR="00260C41" w:rsidRPr="004676F5" w:rsidRDefault="00260C41" w:rsidP="00260C41">
      <w:pPr>
        <w:ind w:firstLine="708"/>
        <w:jc w:val="both"/>
        <w:rPr>
          <w:lang w:val="de-DE"/>
        </w:rPr>
      </w:pPr>
    </w:p>
    <w:p w14:paraId="486BD80C" w14:textId="77777777" w:rsidR="00260C41" w:rsidRPr="004676F5" w:rsidRDefault="00260C41" w:rsidP="00260C41">
      <w:pPr>
        <w:ind w:firstLine="708"/>
        <w:jc w:val="both"/>
        <w:rPr>
          <w:lang w:val="de-DE"/>
        </w:rPr>
      </w:pPr>
      <w:r w:rsidRPr="004676F5">
        <w:rPr>
          <w:lang w:val="de-DE"/>
        </w:rPr>
        <w:t>Der Protest mangels Zahlung muss bei einem Wechsel, der an einem bestimmten Tag oder bestimmte Zeit nach der Ausstellung oder nach Sicht zahlbar ist, an einem der beiden auf den Zahlungstag folgenden Werktage erhoben werden. Bei einem Sichtwechsel muss der Protest mangels Zahlung in den gleichen Fristen erhoben werden, wie sie in Absatz 2 für den Protest mangels Annahme vorgesehen sind.</w:t>
      </w:r>
    </w:p>
    <w:p w14:paraId="6C4C2FCE" w14:textId="77777777" w:rsidR="00260C41" w:rsidRPr="004676F5" w:rsidRDefault="00260C41" w:rsidP="00260C41">
      <w:pPr>
        <w:ind w:firstLine="708"/>
        <w:jc w:val="both"/>
        <w:rPr>
          <w:lang w:val="de-DE"/>
        </w:rPr>
      </w:pPr>
    </w:p>
    <w:p w14:paraId="41D2DDCF" w14:textId="77777777" w:rsidR="00260C41" w:rsidRPr="004676F5" w:rsidRDefault="00260C41" w:rsidP="00260C41">
      <w:pPr>
        <w:ind w:firstLine="708"/>
        <w:jc w:val="both"/>
        <w:rPr>
          <w:lang w:val="de-DE"/>
        </w:rPr>
      </w:pPr>
      <w:r w:rsidRPr="004676F5">
        <w:rPr>
          <w:lang w:val="de-DE"/>
        </w:rPr>
        <w:t>Ist Protest mangels Annahme erhoben worden, so bedarf es weder der Vorlegung zur Zahlung noch des Protestes mangels Zahlung.</w:t>
      </w:r>
    </w:p>
    <w:p w14:paraId="51941E4C" w14:textId="77777777" w:rsidR="00260C41" w:rsidRPr="004676F5" w:rsidRDefault="00260C41" w:rsidP="00260C41">
      <w:pPr>
        <w:ind w:firstLine="708"/>
        <w:jc w:val="both"/>
        <w:rPr>
          <w:lang w:val="de-DE"/>
        </w:rPr>
      </w:pPr>
    </w:p>
    <w:p w14:paraId="3A5B2A1E" w14:textId="77777777" w:rsidR="00260C41" w:rsidRPr="004676F5" w:rsidRDefault="00260C41" w:rsidP="00260C41">
      <w:pPr>
        <w:ind w:firstLine="708"/>
        <w:jc w:val="both"/>
        <w:rPr>
          <w:lang w:val="de-DE"/>
        </w:rPr>
      </w:pPr>
      <w:r w:rsidRPr="004676F5">
        <w:rPr>
          <w:lang w:val="de-DE"/>
        </w:rPr>
        <w:t>Im Fall der offenkundigen Zahlungsunfähigkeit des Bezogenen, gleichviel ob er den Wechsel angenommen hat oder nicht, kann der Inhaber nur Rückgriff nehmen, nachdem der Wechsel dem Bezogenen zur Zahlung vorgelegt und Protest erhoben worden ist.</w:t>
      </w:r>
    </w:p>
    <w:p w14:paraId="566B98F0" w14:textId="77777777" w:rsidR="00260C41" w:rsidRPr="004676F5" w:rsidRDefault="00260C41" w:rsidP="00260C41">
      <w:pPr>
        <w:ind w:firstLine="708"/>
        <w:jc w:val="both"/>
        <w:rPr>
          <w:lang w:val="de-DE"/>
        </w:rPr>
      </w:pPr>
    </w:p>
    <w:p w14:paraId="78D7196F" w14:textId="77777777" w:rsidR="00260C41" w:rsidRPr="004676F5" w:rsidRDefault="00260C41" w:rsidP="00260C41">
      <w:pPr>
        <w:ind w:firstLine="708"/>
        <w:jc w:val="both"/>
        <w:rPr>
          <w:lang w:val="de-DE"/>
        </w:rPr>
      </w:pPr>
      <w:r w:rsidRPr="004676F5">
        <w:rPr>
          <w:lang w:val="de-DE"/>
        </w:rPr>
        <w:t>Im Fall der durch gerichtliche Entscheidung festgestellten Zahlungseinstellung des Bezogenen, gleichviel ob er den Wechsel angenommen hat oder nicht, und im Fall der durch gerichtliche Entscheidung erklärten Zahlungseinstellung des Ausstellers eines Wechsels, dessen Vorlegung zur Annahme untersagt ist, genügt es zur Ausübung des Rückgriffsrechts, dass das Urteil zur Feststellung der Zahlungseinstellung vorgelegt wird.</w:t>
      </w:r>
    </w:p>
    <w:p w14:paraId="6EF7A6E4" w14:textId="69D78811" w:rsidR="00260C41" w:rsidRPr="004676F5" w:rsidRDefault="00260C41" w:rsidP="00260C41">
      <w:pPr>
        <w:ind w:firstLine="708"/>
        <w:jc w:val="both"/>
        <w:rPr>
          <w:lang w:val="de-DE"/>
        </w:rPr>
      </w:pPr>
    </w:p>
    <w:p w14:paraId="0C8BE70B" w14:textId="77777777" w:rsidR="00260C41" w:rsidRPr="004676F5" w:rsidRDefault="00260C41" w:rsidP="00260C41">
      <w:pPr>
        <w:ind w:firstLine="708"/>
        <w:jc w:val="both"/>
        <w:rPr>
          <w:lang w:val="de-DE"/>
        </w:rPr>
      </w:pPr>
    </w:p>
    <w:p w14:paraId="2DCA6480" w14:textId="34F9C47E" w:rsidR="00260C41" w:rsidRPr="004676F5" w:rsidRDefault="00260C41" w:rsidP="00260C41">
      <w:pPr>
        <w:ind w:firstLine="708"/>
        <w:jc w:val="both"/>
        <w:rPr>
          <w:lang w:val="de-DE"/>
        </w:rPr>
      </w:pPr>
      <w:r w:rsidRPr="004676F5">
        <w:rPr>
          <w:b/>
          <w:lang w:val="de-DE"/>
        </w:rPr>
        <w:t>Art. VII.216/46</w:t>
      </w:r>
      <w:r w:rsidRPr="004676F5">
        <w:rPr>
          <w:lang w:val="de-DE"/>
        </w:rPr>
        <w:t> </w:t>
      </w:r>
      <w:r w:rsidR="005B7A5C" w:rsidRPr="004676F5">
        <w:rPr>
          <w:lang w:val="de-DE"/>
        </w:rPr>
        <w:t>- </w:t>
      </w:r>
      <w:r w:rsidRPr="004676F5">
        <w:rPr>
          <w:lang w:val="de-DE"/>
        </w:rPr>
        <w:t>Der Inhaber muss seinen unmittelbaren Vormann und den Aussteller von dem Unterbleiben der Annahme oder der Zahlung innerhalb der vier Werktage benachrichtigen, die auf den Tag der Protesterhebung oder, im Fall des Vermerks "ohne Kosten", auf den Tag der Vorlegung folgen. Jeder Indossant muss innerhalb zweier Werktage nach Empfang der Nachricht seinem unmittelbaren Vormann von der Nachricht, die er erhalten hat, Kenntnis geben und ihm die Namen und Adressen derjenigen mitteilen, die vorher Nachricht gegeben haben, und so weiter in der Reihenfolge bis zum Aussteller. Die Fristen laufen vom Empfang der vorhergehenden Nachricht.</w:t>
      </w:r>
    </w:p>
    <w:p w14:paraId="487E5D17" w14:textId="77777777" w:rsidR="00260C41" w:rsidRPr="004676F5" w:rsidRDefault="00260C41" w:rsidP="00260C41">
      <w:pPr>
        <w:ind w:firstLine="708"/>
        <w:jc w:val="both"/>
        <w:rPr>
          <w:lang w:val="de-DE"/>
        </w:rPr>
      </w:pPr>
    </w:p>
    <w:p w14:paraId="32C605FC" w14:textId="77777777" w:rsidR="00260C41" w:rsidRPr="004676F5" w:rsidRDefault="00260C41" w:rsidP="00260C41">
      <w:pPr>
        <w:ind w:firstLine="708"/>
        <w:jc w:val="both"/>
        <w:rPr>
          <w:lang w:val="de-DE"/>
        </w:rPr>
      </w:pPr>
      <w:r w:rsidRPr="004676F5">
        <w:rPr>
          <w:lang w:val="de-DE"/>
        </w:rPr>
        <w:t>Wird nach Maßgabe von Absatz 1 einer Person, deren Unterschrift sich auf dem Wechsel befindet, Nachricht gegeben, so muss die gleiche Nachricht in derselben Frist ihrem Wechselbürgen gegeben werden.</w:t>
      </w:r>
    </w:p>
    <w:p w14:paraId="71E06B16" w14:textId="77777777" w:rsidR="00260C41" w:rsidRPr="004676F5" w:rsidRDefault="00260C41" w:rsidP="00260C41">
      <w:pPr>
        <w:ind w:firstLine="708"/>
        <w:jc w:val="both"/>
        <w:rPr>
          <w:lang w:val="de-DE"/>
        </w:rPr>
      </w:pPr>
    </w:p>
    <w:p w14:paraId="49792354" w14:textId="77777777" w:rsidR="00260C41" w:rsidRPr="004676F5" w:rsidRDefault="00260C41" w:rsidP="00260C41">
      <w:pPr>
        <w:ind w:firstLine="708"/>
        <w:jc w:val="both"/>
        <w:rPr>
          <w:lang w:val="de-DE"/>
        </w:rPr>
      </w:pPr>
      <w:r w:rsidRPr="004676F5">
        <w:rPr>
          <w:lang w:val="de-DE"/>
        </w:rPr>
        <w:t>Hat ein Indossant seine Adresse nicht oder in unleserlicher Form angegeben, so genügt es, dass sein unmittelbarer Vormann benachrichtigt wird.</w:t>
      </w:r>
    </w:p>
    <w:p w14:paraId="474D1C91" w14:textId="77777777" w:rsidR="00260C41" w:rsidRPr="004676F5" w:rsidRDefault="00260C41" w:rsidP="00260C41">
      <w:pPr>
        <w:ind w:firstLine="708"/>
        <w:jc w:val="both"/>
        <w:rPr>
          <w:lang w:val="de-DE"/>
        </w:rPr>
      </w:pPr>
    </w:p>
    <w:p w14:paraId="744DB25A" w14:textId="77777777" w:rsidR="00260C41" w:rsidRPr="004676F5" w:rsidRDefault="00260C41" w:rsidP="00260C41">
      <w:pPr>
        <w:ind w:firstLine="708"/>
        <w:jc w:val="both"/>
        <w:rPr>
          <w:lang w:val="de-DE"/>
        </w:rPr>
      </w:pPr>
      <w:r w:rsidRPr="004676F5">
        <w:rPr>
          <w:lang w:val="de-DE"/>
        </w:rPr>
        <w:t>Die Nachricht kann in jeder Form gegeben werden, auch durch die bloße Rücksendung des Wechsels.</w:t>
      </w:r>
    </w:p>
    <w:p w14:paraId="63C01211" w14:textId="77777777" w:rsidR="00260C41" w:rsidRPr="004676F5" w:rsidRDefault="00260C41" w:rsidP="00260C41">
      <w:pPr>
        <w:ind w:firstLine="708"/>
        <w:jc w:val="both"/>
        <w:rPr>
          <w:lang w:val="de-DE"/>
        </w:rPr>
      </w:pPr>
    </w:p>
    <w:p w14:paraId="5A81FB41" w14:textId="77777777" w:rsidR="00260C41" w:rsidRPr="004676F5" w:rsidRDefault="00260C41" w:rsidP="00260C41">
      <w:pPr>
        <w:ind w:firstLine="708"/>
        <w:jc w:val="both"/>
        <w:rPr>
          <w:lang w:val="de-DE"/>
        </w:rPr>
      </w:pPr>
      <w:r w:rsidRPr="004676F5">
        <w:rPr>
          <w:lang w:val="de-DE"/>
        </w:rPr>
        <w:t>Der zur Benachrichtigung Verpflichtete hat zu beweisen, dass er in der vorgeschriebenen Frist benachrichtigt hat. Die Frist gilt als eingehalten, wenn ein Schreiben, das die Benachrichtigung enthält, innerhalb der Frist zur Post gegeben worden ist.</w:t>
      </w:r>
    </w:p>
    <w:p w14:paraId="4790C7BA" w14:textId="77777777" w:rsidR="00260C41" w:rsidRPr="004676F5" w:rsidRDefault="00260C41" w:rsidP="00260C41">
      <w:pPr>
        <w:ind w:firstLine="708"/>
        <w:jc w:val="both"/>
        <w:rPr>
          <w:lang w:val="de-DE"/>
        </w:rPr>
      </w:pPr>
    </w:p>
    <w:p w14:paraId="184AFF9E" w14:textId="77777777" w:rsidR="00260C41" w:rsidRPr="004676F5" w:rsidRDefault="00260C41" w:rsidP="00260C41">
      <w:pPr>
        <w:ind w:firstLine="708"/>
        <w:jc w:val="both"/>
        <w:rPr>
          <w:lang w:val="de-DE"/>
        </w:rPr>
      </w:pPr>
      <w:r w:rsidRPr="004676F5">
        <w:rPr>
          <w:lang w:val="de-DE"/>
        </w:rPr>
        <w:t>Wer die rechtzeitige Benachrichtigung versäumt, verliert nicht den Rückgriff; er haftet für den etwa durch seine Nachlässigkeit entstandenen Schaden, jedoch nur bis zur Höhe der Wechselsumme.</w:t>
      </w:r>
    </w:p>
    <w:p w14:paraId="103D0A19" w14:textId="6E2B55ED" w:rsidR="00260C41" w:rsidRPr="004676F5" w:rsidRDefault="00260C41" w:rsidP="00260C41">
      <w:pPr>
        <w:ind w:firstLine="708"/>
        <w:jc w:val="both"/>
        <w:rPr>
          <w:lang w:val="de-DE"/>
        </w:rPr>
      </w:pPr>
    </w:p>
    <w:p w14:paraId="0F8C6980" w14:textId="77777777" w:rsidR="00260C41" w:rsidRPr="004676F5" w:rsidRDefault="00260C41" w:rsidP="00260C41">
      <w:pPr>
        <w:ind w:firstLine="708"/>
        <w:jc w:val="both"/>
        <w:rPr>
          <w:lang w:val="de-DE"/>
        </w:rPr>
      </w:pPr>
    </w:p>
    <w:p w14:paraId="10B90F51" w14:textId="626D8C09" w:rsidR="00260C41" w:rsidRPr="004676F5" w:rsidRDefault="00260C41" w:rsidP="00260C41">
      <w:pPr>
        <w:ind w:firstLine="708"/>
        <w:jc w:val="both"/>
        <w:rPr>
          <w:lang w:val="de-DE"/>
        </w:rPr>
      </w:pPr>
      <w:r w:rsidRPr="004676F5">
        <w:rPr>
          <w:b/>
          <w:lang w:val="de-DE"/>
        </w:rPr>
        <w:lastRenderedPageBreak/>
        <w:t>Art. VII.216/47</w:t>
      </w:r>
      <w:r w:rsidRPr="004676F5">
        <w:rPr>
          <w:lang w:val="de-DE"/>
        </w:rPr>
        <w:t> </w:t>
      </w:r>
      <w:r w:rsidR="005B7A5C" w:rsidRPr="004676F5">
        <w:rPr>
          <w:lang w:val="de-DE"/>
        </w:rPr>
        <w:t>- </w:t>
      </w:r>
      <w:r w:rsidRPr="004676F5">
        <w:rPr>
          <w:lang w:val="de-DE"/>
        </w:rPr>
        <w:t>Der Aussteller sowie jeder Indossant oder Wechselbürge kann durch den Vermerk "ohne Kosten", "ohne Protest" oder einen gleichbedeutenden auf den Wechsel gesetzten und unterzeichneten Vermerk den Inhaber von der Verpflichtung befreien, zum Zweck der Ausübung des Rückgriffs Protest mangels Annahme oder mangels Zahlung erheben zu lassen.</w:t>
      </w:r>
    </w:p>
    <w:p w14:paraId="268D4CAD" w14:textId="77777777" w:rsidR="00260C41" w:rsidRPr="004676F5" w:rsidRDefault="00260C41" w:rsidP="00260C41">
      <w:pPr>
        <w:ind w:firstLine="708"/>
        <w:jc w:val="both"/>
        <w:rPr>
          <w:lang w:val="de-DE"/>
        </w:rPr>
      </w:pPr>
    </w:p>
    <w:p w14:paraId="15C34FCF" w14:textId="77777777" w:rsidR="00260C41" w:rsidRPr="004676F5" w:rsidRDefault="00260C41" w:rsidP="00260C41">
      <w:pPr>
        <w:ind w:firstLine="708"/>
        <w:jc w:val="both"/>
        <w:rPr>
          <w:lang w:val="de-DE"/>
        </w:rPr>
      </w:pPr>
      <w:r w:rsidRPr="004676F5">
        <w:rPr>
          <w:lang w:val="de-DE"/>
        </w:rPr>
        <w:t>Der Vermerk befreit den Inhaber nicht von der Verpflichtung, den Wechsel rechtzeitig vorzulegen und die erforderlichen Nachrichten zu geben. Der Beweis, dass die Frist nicht eingehalten worden ist, obliegt demjenigen, der sich dem Inhaber gegenüber darauf beruft.</w:t>
      </w:r>
    </w:p>
    <w:p w14:paraId="00D96C34" w14:textId="77777777" w:rsidR="00260C41" w:rsidRPr="004676F5" w:rsidRDefault="00260C41" w:rsidP="00260C41">
      <w:pPr>
        <w:ind w:firstLine="708"/>
        <w:jc w:val="both"/>
        <w:rPr>
          <w:lang w:val="de-DE"/>
        </w:rPr>
      </w:pPr>
    </w:p>
    <w:p w14:paraId="3018BC9E" w14:textId="77777777" w:rsidR="00260C41" w:rsidRPr="004676F5" w:rsidRDefault="00260C41" w:rsidP="00260C41">
      <w:pPr>
        <w:ind w:firstLine="708"/>
        <w:jc w:val="both"/>
        <w:rPr>
          <w:lang w:val="de-DE"/>
        </w:rPr>
      </w:pPr>
      <w:r w:rsidRPr="004676F5">
        <w:rPr>
          <w:lang w:val="de-DE"/>
        </w:rPr>
        <w:t>Ist der Vermerk vom Aussteller beigefügt, so wirkt er gegenüber allen Wechselverpflichteten; ist er von einem Indossanten oder einem Wechselbürgen beigefügt, so wirkt er nur diesen gegenüber. Lässt der Inhaber ungeachtet des vom Aussteller beigefügten Vermerks Protest erheben, so fallen ihm die Kosten zur Last. Ist der Vermerk von einem Indossanten oder einem Wechselbürgen beigefügt, so sind alle Wechselverpflichteten zum Ersatz der Kosten eines dennoch erhobenen Protestes verpflichtet.</w:t>
      </w:r>
    </w:p>
    <w:p w14:paraId="4008B5F1" w14:textId="18B8057B" w:rsidR="00260C41" w:rsidRPr="004676F5" w:rsidRDefault="00260C41" w:rsidP="00260C41">
      <w:pPr>
        <w:ind w:firstLine="708"/>
        <w:jc w:val="both"/>
        <w:rPr>
          <w:lang w:val="de-DE"/>
        </w:rPr>
      </w:pPr>
    </w:p>
    <w:p w14:paraId="66B6F914" w14:textId="77777777" w:rsidR="00260C41" w:rsidRPr="004676F5" w:rsidRDefault="00260C41" w:rsidP="00260C41">
      <w:pPr>
        <w:ind w:firstLine="708"/>
        <w:jc w:val="both"/>
        <w:rPr>
          <w:lang w:val="de-DE"/>
        </w:rPr>
      </w:pPr>
    </w:p>
    <w:p w14:paraId="2938BAE7" w14:textId="2C043EFA" w:rsidR="00260C41" w:rsidRPr="004676F5" w:rsidRDefault="00260C41" w:rsidP="00260C41">
      <w:pPr>
        <w:ind w:firstLine="708"/>
        <w:jc w:val="both"/>
        <w:rPr>
          <w:lang w:val="de-DE"/>
        </w:rPr>
      </w:pPr>
      <w:r w:rsidRPr="004676F5">
        <w:rPr>
          <w:b/>
          <w:lang w:val="de-DE"/>
        </w:rPr>
        <w:t>Art. VII.216/48</w:t>
      </w:r>
      <w:r w:rsidRPr="004676F5">
        <w:rPr>
          <w:lang w:val="de-DE"/>
        </w:rPr>
        <w:t> </w:t>
      </w:r>
      <w:r w:rsidR="005B7A5C" w:rsidRPr="004676F5">
        <w:rPr>
          <w:lang w:val="de-DE"/>
        </w:rPr>
        <w:t>- </w:t>
      </w:r>
      <w:r w:rsidRPr="004676F5">
        <w:rPr>
          <w:lang w:val="de-DE"/>
        </w:rPr>
        <w:t>Alle, die einen Wechsel ausgestellt, angenommen, indossiert oder mit einer Bürgschaftserklärung versehen haben, haften dem Inhaber gegenüber als Gesamt</w:t>
      </w:r>
      <w:r w:rsidRPr="004676F5">
        <w:rPr>
          <w:lang w:val="de-DE"/>
        </w:rPr>
        <w:softHyphen/>
        <w:t>schuldner.</w:t>
      </w:r>
    </w:p>
    <w:p w14:paraId="0066F1B6" w14:textId="77777777" w:rsidR="00260C41" w:rsidRPr="004676F5" w:rsidRDefault="00260C41" w:rsidP="00260C41">
      <w:pPr>
        <w:ind w:firstLine="708"/>
        <w:jc w:val="both"/>
        <w:rPr>
          <w:lang w:val="de-DE"/>
        </w:rPr>
      </w:pPr>
    </w:p>
    <w:p w14:paraId="085372AA" w14:textId="77777777" w:rsidR="00260C41" w:rsidRPr="004676F5" w:rsidRDefault="00260C41" w:rsidP="00260C41">
      <w:pPr>
        <w:ind w:firstLine="708"/>
        <w:jc w:val="both"/>
        <w:rPr>
          <w:lang w:val="de-DE"/>
        </w:rPr>
      </w:pPr>
      <w:r w:rsidRPr="004676F5">
        <w:rPr>
          <w:lang w:val="de-DE"/>
        </w:rPr>
        <w:t>Der Inhaber kann jeden einzeln oder mehrere oder alle zusammen in Anspruch nehmen, ohne an die Reihenfolge gebunden zu sein, in der sie sich verpflichtet haben.</w:t>
      </w:r>
    </w:p>
    <w:p w14:paraId="0462A94C" w14:textId="77777777" w:rsidR="00260C41" w:rsidRPr="004676F5" w:rsidRDefault="00260C41" w:rsidP="00260C41">
      <w:pPr>
        <w:ind w:firstLine="708"/>
        <w:jc w:val="both"/>
        <w:rPr>
          <w:lang w:val="de-DE"/>
        </w:rPr>
      </w:pPr>
    </w:p>
    <w:p w14:paraId="580579AD" w14:textId="77777777" w:rsidR="00260C41" w:rsidRPr="004676F5" w:rsidRDefault="00260C41" w:rsidP="00260C41">
      <w:pPr>
        <w:ind w:firstLine="708"/>
        <w:jc w:val="both"/>
        <w:rPr>
          <w:lang w:val="de-DE"/>
        </w:rPr>
      </w:pPr>
      <w:r w:rsidRPr="004676F5">
        <w:rPr>
          <w:lang w:val="de-DE"/>
        </w:rPr>
        <w:t>Das gleiche Recht steht jedem Wechselverpflichteten zu, der den Wechsel eingelöst hat.</w:t>
      </w:r>
    </w:p>
    <w:p w14:paraId="6519D1D1" w14:textId="77777777" w:rsidR="00260C41" w:rsidRPr="004676F5" w:rsidRDefault="00260C41" w:rsidP="00260C41">
      <w:pPr>
        <w:ind w:firstLine="708"/>
        <w:jc w:val="both"/>
        <w:rPr>
          <w:lang w:val="de-DE"/>
        </w:rPr>
      </w:pPr>
    </w:p>
    <w:p w14:paraId="2A932E6C" w14:textId="77777777" w:rsidR="00260C41" w:rsidRPr="004676F5" w:rsidRDefault="00260C41" w:rsidP="00260C41">
      <w:pPr>
        <w:ind w:firstLine="708"/>
        <w:jc w:val="both"/>
        <w:rPr>
          <w:lang w:val="de-DE"/>
        </w:rPr>
      </w:pPr>
      <w:r w:rsidRPr="004676F5">
        <w:rPr>
          <w:lang w:val="de-DE"/>
        </w:rPr>
        <w:t>Durch die Geltendmachung des Anspruchs gegen einen Wechselverpflichteten verliert der Inhaber nicht seine Rechte gegen die anderen Wechselverpflichteten, auch nicht gegen die Nachmänner desjenigen, der zuerst in Anspruch genommen worden ist.</w:t>
      </w:r>
    </w:p>
    <w:p w14:paraId="6B68A37F" w14:textId="147E535A" w:rsidR="00260C41" w:rsidRPr="004676F5" w:rsidRDefault="00260C41" w:rsidP="00260C41">
      <w:pPr>
        <w:ind w:firstLine="708"/>
        <w:jc w:val="both"/>
        <w:rPr>
          <w:lang w:val="de-DE"/>
        </w:rPr>
      </w:pPr>
    </w:p>
    <w:p w14:paraId="4D506A6D" w14:textId="77777777" w:rsidR="00260C41" w:rsidRPr="004676F5" w:rsidRDefault="00260C41" w:rsidP="00260C41">
      <w:pPr>
        <w:ind w:firstLine="708"/>
        <w:jc w:val="both"/>
        <w:rPr>
          <w:lang w:val="de-DE"/>
        </w:rPr>
      </w:pPr>
    </w:p>
    <w:p w14:paraId="28553D2B" w14:textId="6500BEBD" w:rsidR="00260C41" w:rsidRPr="004676F5" w:rsidRDefault="00260C41" w:rsidP="00260C41">
      <w:pPr>
        <w:ind w:firstLine="708"/>
        <w:jc w:val="both"/>
        <w:rPr>
          <w:lang w:val="de-DE"/>
        </w:rPr>
      </w:pPr>
      <w:r w:rsidRPr="004676F5">
        <w:rPr>
          <w:b/>
          <w:lang w:val="de-DE"/>
        </w:rPr>
        <w:t>Art. VII.216/49</w:t>
      </w:r>
      <w:r w:rsidRPr="004676F5">
        <w:rPr>
          <w:lang w:val="de-DE"/>
        </w:rPr>
        <w:t> </w:t>
      </w:r>
      <w:r w:rsidR="005B7A5C" w:rsidRPr="004676F5">
        <w:rPr>
          <w:lang w:val="de-DE"/>
        </w:rPr>
        <w:t>- </w:t>
      </w:r>
      <w:r w:rsidRPr="004676F5">
        <w:rPr>
          <w:lang w:val="de-DE"/>
        </w:rPr>
        <w:t>Der Inhaber kann im Wege des Rückgriffs verlangen:</w:t>
      </w:r>
    </w:p>
    <w:p w14:paraId="6918622D" w14:textId="77777777" w:rsidR="00260C41" w:rsidRPr="004676F5" w:rsidRDefault="00260C41" w:rsidP="00260C41">
      <w:pPr>
        <w:ind w:firstLine="708"/>
        <w:jc w:val="both"/>
        <w:rPr>
          <w:lang w:val="de-DE"/>
        </w:rPr>
      </w:pPr>
    </w:p>
    <w:p w14:paraId="677B4418" w14:textId="77777777" w:rsidR="00260C41" w:rsidRPr="004676F5" w:rsidRDefault="00260C41" w:rsidP="00260C41">
      <w:pPr>
        <w:ind w:firstLine="708"/>
        <w:jc w:val="both"/>
        <w:rPr>
          <w:lang w:val="de-DE"/>
        </w:rPr>
      </w:pPr>
      <w:r w:rsidRPr="004676F5">
        <w:rPr>
          <w:lang w:val="de-DE"/>
        </w:rPr>
        <w:t>1. die Wechselsumme, soweit der Wechsel nicht angenommen oder nicht eingelöst worden ist, mit den etwa bedungenen Zinsen,</w:t>
      </w:r>
    </w:p>
    <w:p w14:paraId="7EF02E32" w14:textId="77777777" w:rsidR="00260C41" w:rsidRPr="004676F5" w:rsidRDefault="00260C41" w:rsidP="00260C41">
      <w:pPr>
        <w:ind w:firstLine="708"/>
        <w:jc w:val="both"/>
        <w:rPr>
          <w:lang w:val="de-DE"/>
        </w:rPr>
      </w:pPr>
    </w:p>
    <w:p w14:paraId="5F29406E" w14:textId="77777777" w:rsidR="00260C41" w:rsidRPr="004676F5" w:rsidRDefault="00260C41" w:rsidP="00260C41">
      <w:pPr>
        <w:ind w:firstLine="708"/>
        <w:jc w:val="both"/>
        <w:rPr>
          <w:lang w:val="de-DE"/>
        </w:rPr>
      </w:pPr>
      <w:r w:rsidRPr="004676F5">
        <w:rPr>
          <w:lang w:val="de-DE"/>
        </w:rPr>
        <w:t>2. Zinsen zum gesetzlichen Zinssatz seit dem Verfalltag,</w:t>
      </w:r>
    </w:p>
    <w:p w14:paraId="4C999700" w14:textId="77777777" w:rsidR="00260C41" w:rsidRPr="004676F5" w:rsidRDefault="00260C41" w:rsidP="00260C41">
      <w:pPr>
        <w:ind w:firstLine="708"/>
        <w:jc w:val="both"/>
        <w:rPr>
          <w:lang w:val="de-DE"/>
        </w:rPr>
      </w:pPr>
    </w:p>
    <w:p w14:paraId="3B42A913" w14:textId="77777777" w:rsidR="00260C41" w:rsidRPr="004676F5" w:rsidRDefault="00260C41" w:rsidP="00260C41">
      <w:pPr>
        <w:ind w:firstLine="708"/>
        <w:jc w:val="both"/>
        <w:rPr>
          <w:lang w:val="de-DE"/>
        </w:rPr>
      </w:pPr>
      <w:r w:rsidRPr="004676F5">
        <w:rPr>
          <w:lang w:val="de-DE"/>
        </w:rPr>
        <w:t>3. die Kosten des Protestes und der Nachrichten sowie die anderen Auslagen.</w:t>
      </w:r>
    </w:p>
    <w:p w14:paraId="075D2216" w14:textId="77777777" w:rsidR="00260C41" w:rsidRPr="004676F5" w:rsidRDefault="00260C41" w:rsidP="00260C41">
      <w:pPr>
        <w:ind w:firstLine="708"/>
        <w:jc w:val="both"/>
        <w:rPr>
          <w:lang w:val="de-DE"/>
        </w:rPr>
      </w:pPr>
    </w:p>
    <w:p w14:paraId="1AF153DA" w14:textId="77777777" w:rsidR="00260C41" w:rsidRPr="004676F5" w:rsidRDefault="00260C41" w:rsidP="00260C41">
      <w:pPr>
        <w:ind w:firstLine="708"/>
        <w:jc w:val="both"/>
        <w:rPr>
          <w:lang w:val="de-DE"/>
        </w:rPr>
      </w:pPr>
      <w:r w:rsidRPr="004676F5">
        <w:rPr>
          <w:lang w:val="de-DE"/>
        </w:rPr>
        <w:t>Wird der Rückgriff vor Verfall genommen, so werden von der Wechselsumme Zinsen abgezogen. Diese Zinsen werden aufgrund des öffentlich bekannt gemachten Diskontsatzes (Satz der Zentralnotenbank) berechnet, der am Tag des Rückgriffs am Wohnsitz des Inhabers gilt.</w:t>
      </w:r>
    </w:p>
    <w:p w14:paraId="372A8BF7" w14:textId="210FC36C" w:rsidR="00260C41" w:rsidRPr="004676F5" w:rsidRDefault="00260C41" w:rsidP="00260C41">
      <w:pPr>
        <w:ind w:firstLine="708"/>
        <w:jc w:val="both"/>
        <w:rPr>
          <w:lang w:val="de-DE"/>
        </w:rPr>
      </w:pPr>
    </w:p>
    <w:p w14:paraId="74C8C851" w14:textId="77777777" w:rsidR="00260C41" w:rsidRPr="004676F5" w:rsidRDefault="00260C41" w:rsidP="00260C41">
      <w:pPr>
        <w:ind w:firstLine="708"/>
        <w:jc w:val="both"/>
        <w:rPr>
          <w:lang w:val="de-DE"/>
        </w:rPr>
      </w:pPr>
    </w:p>
    <w:p w14:paraId="76485E4A" w14:textId="37156983" w:rsidR="00260C41" w:rsidRPr="004676F5" w:rsidRDefault="00260C41" w:rsidP="00260C41">
      <w:pPr>
        <w:ind w:firstLine="708"/>
        <w:jc w:val="both"/>
        <w:rPr>
          <w:lang w:val="de-DE"/>
        </w:rPr>
      </w:pPr>
      <w:r w:rsidRPr="004676F5">
        <w:rPr>
          <w:b/>
          <w:lang w:val="de-DE"/>
        </w:rPr>
        <w:t>Art. VII.216/50</w:t>
      </w:r>
      <w:r w:rsidRPr="004676F5">
        <w:rPr>
          <w:lang w:val="de-DE"/>
        </w:rPr>
        <w:t> </w:t>
      </w:r>
      <w:r w:rsidR="005B7A5C" w:rsidRPr="004676F5">
        <w:rPr>
          <w:lang w:val="de-DE"/>
        </w:rPr>
        <w:t>- </w:t>
      </w:r>
      <w:r w:rsidRPr="004676F5">
        <w:rPr>
          <w:lang w:val="de-DE"/>
        </w:rPr>
        <w:t>Wer den Wechsel eingelöst hat, kann von seinen Vormännern verlangen:</w:t>
      </w:r>
    </w:p>
    <w:p w14:paraId="51563BBC" w14:textId="77777777" w:rsidR="00260C41" w:rsidRPr="004676F5" w:rsidRDefault="00260C41" w:rsidP="00260C41">
      <w:pPr>
        <w:ind w:firstLine="708"/>
        <w:jc w:val="both"/>
        <w:rPr>
          <w:lang w:val="de-DE"/>
        </w:rPr>
      </w:pPr>
    </w:p>
    <w:p w14:paraId="743E8910" w14:textId="77777777" w:rsidR="00260C41" w:rsidRPr="004676F5" w:rsidRDefault="00260C41" w:rsidP="00260C41">
      <w:pPr>
        <w:ind w:firstLine="708"/>
        <w:jc w:val="both"/>
        <w:rPr>
          <w:lang w:val="de-DE"/>
        </w:rPr>
      </w:pPr>
      <w:r w:rsidRPr="004676F5">
        <w:rPr>
          <w:lang w:val="de-DE"/>
        </w:rPr>
        <w:t>1. den vollen Betrag, den er gezahlt hat,</w:t>
      </w:r>
    </w:p>
    <w:p w14:paraId="1E1D2EFD" w14:textId="77777777" w:rsidR="00260C41" w:rsidRPr="004676F5" w:rsidRDefault="00260C41" w:rsidP="00260C41">
      <w:pPr>
        <w:ind w:firstLine="708"/>
        <w:jc w:val="both"/>
        <w:rPr>
          <w:lang w:val="de-DE"/>
        </w:rPr>
      </w:pPr>
    </w:p>
    <w:p w14:paraId="60A06345" w14:textId="77777777" w:rsidR="00260C41" w:rsidRPr="004676F5" w:rsidRDefault="00260C41" w:rsidP="00260C41">
      <w:pPr>
        <w:ind w:firstLine="708"/>
        <w:jc w:val="both"/>
        <w:rPr>
          <w:lang w:val="de-DE"/>
        </w:rPr>
      </w:pPr>
      <w:r w:rsidRPr="004676F5">
        <w:rPr>
          <w:lang w:val="de-DE"/>
        </w:rPr>
        <w:lastRenderedPageBreak/>
        <w:t>2. die Zinsen dieses Betrags zum gesetzlichen Zinssatz seit dem Tag der Einlösung,</w:t>
      </w:r>
    </w:p>
    <w:p w14:paraId="040D3339" w14:textId="77777777" w:rsidR="00260C41" w:rsidRPr="004676F5" w:rsidRDefault="00260C41" w:rsidP="00260C41">
      <w:pPr>
        <w:ind w:firstLine="708"/>
        <w:jc w:val="both"/>
        <w:rPr>
          <w:lang w:val="de-DE"/>
        </w:rPr>
      </w:pPr>
    </w:p>
    <w:p w14:paraId="0972CD6E" w14:textId="77777777" w:rsidR="00260C41" w:rsidRPr="004676F5" w:rsidRDefault="00260C41" w:rsidP="00260C41">
      <w:pPr>
        <w:ind w:firstLine="708"/>
        <w:jc w:val="both"/>
        <w:rPr>
          <w:lang w:val="de-DE"/>
        </w:rPr>
      </w:pPr>
      <w:r w:rsidRPr="004676F5">
        <w:rPr>
          <w:lang w:val="de-DE"/>
        </w:rPr>
        <w:t>3. seine Auslagen.</w:t>
      </w:r>
    </w:p>
    <w:p w14:paraId="143F9F86" w14:textId="55B9D392" w:rsidR="00260C41" w:rsidRPr="004676F5" w:rsidRDefault="00260C41" w:rsidP="00260C41">
      <w:pPr>
        <w:ind w:firstLine="708"/>
        <w:jc w:val="both"/>
        <w:rPr>
          <w:lang w:val="de-DE"/>
        </w:rPr>
      </w:pPr>
    </w:p>
    <w:p w14:paraId="54F66387" w14:textId="77777777" w:rsidR="00260C41" w:rsidRPr="004676F5" w:rsidRDefault="00260C41" w:rsidP="00260C41">
      <w:pPr>
        <w:ind w:firstLine="708"/>
        <w:jc w:val="both"/>
        <w:rPr>
          <w:lang w:val="de-DE"/>
        </w:rPr>
      </w:pPr>
    </w:p>
    <w:p w14:paraId="67D791BF" w14:textId="2958DD7C" w:rsidR="00260C41" w:rsidRPr="004676F5" w:rsidRDefault="00260C41" w:rsidP="00260C41">
      <w:pPr>
        <w:ind w:firstLine="708"/>
        <w:jc w:val="both"/>
        <w:rPr>
          <w:lang w:val="de-DE"/>
        </w:rPr>
      </w:pPr>
      <w:r w:rsidRPr="004676F5">
        <w:rPr>
          <w:b/>
          <w:lang w:val="de-DE"/>
        </w:rPr>
        <w:t>Art. VII.216/51</w:t>
      </w:r>
      <w:r w:rsidRPr="004676F5">
        <w:rPr>
          <w:lang w:val="de-DE"/>
        </w:rPr>
        <w:t> </w:t>
      </w:r>
      <w:r w:rsidR="005B7A5C" w:rsidRPr="004676F5">
        <w:rPr>
          <w:lang w:val="de-DE"/>
        </w:rPr>
        <w:t>- </w:t>
      </w:r>
      <w:r w:rsidRPr="004676F5">
        <w:rPr>
          <w:lang w:val="de-DE"/>
        </w:rPr>
        <w:t>Jeder Wechselverpflichtete, gegen den Rückgriff genommen wird oder genommen werden kann, ist berechtigt, zu verlangen, dass ihm gegen Entrichtung der Rückgriffssumme der Wechsel mit dem Protest und eine quittierte Rechnung ausgehändigt werden.</w:t>
      </w:r>
    </w:p>
    <w:p w14:paraId="53FF43D2" w14:textId="77777777" w:rsidR="00260C41" w:rsidRPr="004676F5" w:rsidRDefault="00260C41" w:rsidP="00260C41">
      <w:pPr>
        <w:ind w:firstLine="708"/>
        <w:jc w:val="both"/>
        <w:rPr>
          <w:lang w:val="de-DE"/>
        </w:rPr>
      </w:pPr>
    </w:p>
    <w:p w14:paraId="02D9BDAA" w14:textId="77777777" w:rsidR="00260C41" w:rsidRPr="004676F5" w:rsidRDefault="00260C41" w:rsidP="00260C41">
      <w:pPr>
        <w:ind w:firstLine="708"/>
        <w:jc w:val="both"/>
        <w:rPr>
          <w:lang w:val="de-DE"/>
        </w:rPr>
      </w:pPr>
      <w:r w:rsidRPr="004676F5">
        <w:rPr>
          <w:lang w:val="de-DE"/>
        </w:rPr>
        <w:t>Jeder Indossant, der den Wechsel eingelöst hat, kann sein Indossament und die Indossamente seiner Nachmänner ausstreichen.</w:t>
      </w:r>
    </w:p>
    <w:p w14:paraId="764DC539" w14:textId="0B550392" w:rsidR="00260C41" w:rsidRPr="004676F5" w:rsidRDefault="00260C41" w:rsidP="00260C41">
      <w:pPr>
        <w:ind w:firstLine="708"/>
        <w:jc w:val="both"/>
        <w:rPr>
          <w:lang w:val="de-DE"/>
        </w:rPr>
      </w:pPr>
    </w:p>
    <w:p w14:paraId="57769D21" w14:textId="77777777" w:rsidR="00260C41" w:rsidRPr="004676F5" w:rsidRDefault="00260C41" w:rsidP="00260C41">
      <w:pPr>
        <w:ind w:firstLine="708"/>
        <w:jc w:val="both"/>
        <w:rPr>
          <w:lang w:val="de-DE"/>
        </w:rPr>
      </w:pPr>
    </w:p>
    <w:p w14:paraId="20940AD5" w14:textId="135562BA" w:rsidR="00260C41" w:rsidRPr="004676F5" w:rsidRDefault="00260C41" w:rsidP="00260C41">
      <w:pPr>
        <w:ind w:firstLine="708"/>
        <w:jc w:val="both"/>
        <w:rPr>
          <w:lang w:val="de-DE"/>
        </w:rPr>
      </w:pPr>
      <w:r w:rsidRPr="004676F5">
        <w:rPr>
          <w:b/>
          <w:lang w:val="de-DE"/>
        </w:rPr>
        <w:t>Art. VII.216/52</w:t>
      </w:r>
      <w:r w:rsidRPr="004676F5">
        <w:rPr>
          <w:lang w:val="de-DE"/>
        </w:rPr>
        <w:t> </w:t>
      </w:r>
      <w:r w:rsidR="005B7A5C" w:rsidRPr="004676F5">
        <w:rPr>
          <w:lang w:val="de-DE"/>
        </w:rPr>
        <w:t>- </w:t>
      </w:r>
      <w:r w:rsidRPr="004676F5">
        <w:rPr>
          <w:lang w:val="de-DE"/>
        </w:rPr>
        <w:t>Bei dem Rückgriff nach einer Teilannahme kann derjenige, der den nicht angenommenen Teil der Wechselsumme entrichtet, verlangen, dass dies auf dem Wechsel vermerkt und ihm darüber Quittung erteilt wird. Der Inhaber muss ihm ferner eine beglaubigte Abschrift des Wechsels und den Protest aushändigen, um den weiteren Rückgriff zu ermöglichen.</w:t>
      </w:r>
    </w:p>
    <w:p w14:paraId="6A703FCE" w14:textId="7C76D174" w:rsidR="00260C41" w:rsidRPr="004676F5" w:rsidRDefault="00260C41" w:rsidP="00260C41">
      <w:pPr>
        <w:ind w:firstLine="708"/>
        <w:jc w:val="both"/>
        <w:rPr>
          <w:lang w:val="de-DE"/>
        </w:rPr>
      </w:pPr>
    </w:p>
    <w:p w14:paraId="754E4081" w14:textId="77777777" w:rsidR="00260C41" w:rsidRPr="004676F5" w:rsidRDefault="00260C41" w:rsidP="00260C41">
      <w:pPr>
        <w:ind w:firstLine="708"/>
        <w:jc w:val="both"/>
        <w:rPr>
          <w:lang w:val="de-DE"/>
        </w:rPr>
      </w:pPr>
    </w:p>
    <w:p w14:paraId="6F4CA50A" w14:textId="57718F75" w:rsidR="00260C41" w:rsidRPr="004676F5" w:rsidRDefault="00260C41" w:rsidP="00260C41">
      <w:pPr>
        <w:ind w:firstLine="708"/>
        <w:jc w:val="both"/>
        <w:rPr>
          <w:lang w:val="de-DE"/>
        </w:rPr>
      </w:pPr>
      <w:r w:rsidRPr="004676F5">
        <w:rPr>
          <w:b/>
          <w:lang w:val="de-DE"/>
        </w:rPr>
        <w:t>Art. VII.216/53</w:t>
      </w:r>
      <w:r w:rsidRPr="004676F5">
        <w:rPr>
          <w:lang w:val="de-DE"/>
        </w:rPr>
        <w:t> </w:t>
      </w:r>
      <w:r w:rsidR="005B7A5C" w:rsidRPr="004676F5">
        <w:rPr>
          <w:lang w:val="de-DE"/>
        </w:rPr>
        <w:t>- </w:t>
      </w:r>
      <w:r w:rsidRPr="004676F5">
        <w:rPr>
          <w:lang w:val="de-DE"/>
        </w:rPr>
        <w:t>Wer zum Rückgriff berechtigt ist, kann mangels eines entgegenstehenden Vermerks den Rückgriff dadurch nehmen, dass er auf einen seiner Vormänner einen neuen Wechsel (Rückwechsel) zieht, der auf Sicht lautet und am Wohnsitz dieses Vormanns zahlbar ist.</w:t>
      </w:r>
    </w:p>
    <w:p w14:paraId="6A645D5A" w14:textId="77777777" w:rsidR="00260C41" w:rsidRPr="004676F5" w:rsidRDefault="00260C41" w:rsidP="00260C41">
      <w:pPr>
        <w:ind w:firstLine="708"/>
        <w:jc w:val="both"/>
        <w:rPr>
          <w:lang w:val="de-DE"/>
        </w:rPr>
      </w:pPr>
    </w:p>
    <w:p w14:paraId="275E351E" w14:textId="77777777" w:rsidR="00260C41" w:rsidRPr="004676F5" w:rsidRDefault="00260C41" w:rsidP="00260C41">
      <w:pPr>
        <w:ind w:firstLine="708"/>
        <w:jc w:val="both"/>
        <w:rPr>
          <w:lang w:val="de-DE"/>
        </w:rPr>
      </w:pPr>
      <w:r w:rsidRPr="004676F5">
        <w:rPr>
          <w:lang w:val="de-DE"/>
        </w:rPr>
        <w:t>Der Rückwechsel umfasst, außer den in den Artikeln VII.216/49 und VII.216/50 angegebenen Beträgen, die Maklergebühr und gegebenenfalls Steuern.</w:t>
      </w:r>
    </w:p>
    <w:p w14:paraId="64287732" w14:textId="77777777" w:rsidR="00260C41" w:rsidRPr="004676F5" w:rsidRDefault="00260C41" w:rsidP="00260C41">
      <w:pPr>
        <w:ind w:firstLine="708"/>
        <w:jc w:val="both"/>
        <w:rPr>
          <w:lang w:val="de-DE"/>
        </w:rPr>
      </w:pPr>
    </w:p>
    <w:p w14:paraId="7F7194F3" w14:textId="77777777" w:rsidR="00260C41" w:rsidRPr="004676F5" w:rsidRDefault="00260C41" w:rsidP="00260C41">
      <w:pPr>
        <w:ind w:firstLine="708"/>
        <w:jc w:val="both"/>
        <w:rPr>
          <w:lang w:val="de-DE"/>
        </w:rPr>
      </w:pPr>
      <w:r w:rsidRPr="004676F5">
        <w:rPr>
          <w:lang w:val="de-DE"/>
        </w:rPr>
        <w:t>Wird der Rückwechsel vom Inhaber gezogen, so richtet sich die Höhe der Wechselsumme nach dem Kurs, den ein vom Zahlungsort des ursprünglichen Wechsels auf den Wohnsitz des Vormanns gezogener Sichtwechsel hat. Wird der Rückwechsel von einem Indossanten gezogen, so richtet sich die Höhe der Wechselsumme nach dem Kurs, den ein vom Wohnsitz des Ausstellers des Rückwechsels auf den Wohnsitz des Vormanns gezogener Sichtwechsel hat.</w:t>
      </w:r>
    </w:p>
    <w:p w14:paraId="436C1BAC" w14:textId="560D8E52" w:rsidR="00260C41" w:rsidRPr="004676F5" w:rsidRDefault="00260C41" w:rsidP="00260C41">
      <w:pPr>
        <w:ind w:firstLine="708"/>
        <w:jc w:val="both"/>
        <w:rPr>
          <w:lang w:val="de-DE"/>
        </w:rPr>
      </w:pPr>
    </w:p>
    <w:p w14:paraId="6119CA8F" w14:textId="77777777" w:rsidR="00260C41" w:rsidRPr="004676F5" w:rsidRDefault="00260C41" w:rsidP="00260C41">
      <w:pPr>
        <w:ind w:firstLine="708"/>
        <w:jc w:val="both"/>
        <w:rPr>
          <w:lang w:val="de-DE"/>
        </w:rPr>
      </w:pPr>
    </w:p>
    <w:p w14:paraId="256E76D1" w14:textId="28185AE2" w:rsidR="00260C41" w:rsidRPr="004676F5" w:rsidRDefault="00260C41" w:rsidP="00260C41">
      <w:pPr>
        <w:ind w:firstLine="708"/>
        <w:jc w:val="both"/>
        <w:rPr>
          <w:lang w:val="de-DE"/>
        </w:rPr>
      </w:pPr>
      <w:r w:rsidRPr="004676F5">
        <w:rPr>
          <w:b/>
          <w:lang w:val="de-DE"/>
        </w:rPr>
        <w:t>Art. VII.216/54</w:t>
      </w:r>
      <w:r w:rsidRPr="004676F5">
        <w:rPr>
          <w:lang w:val="de-DE"/>
        </w:rPr>
        <w:t> </w:t>
      </w:r>
      <w:r w:rsidR="005B7A5C" w:rsidRPr="004676F5">
        <w:rPr>
          <w:lang w:val="de-DE"/>
        </w:rPr>
        <w:t>- </w:t>
      </w:r>
      <w:r w:rsidRPr="004676F5">
        <w:rPr>
          <w:lang w:val="de-DE"/>
        </w:rPr>
        <w:t>Mit der Versäumung der Fristen:</w:t>
      </w:r>
    </w:p>
    <w:p w14:paraId="19D107E5" w14:textId="77777777" w:rsidR="00260C41" w:rsidRPr="004676F5" w:rsidRDefault="00260C41" w:rsidP="00260C41">
      <w:pPr>
        <w:ind w:firstLine="708"/>
        <w:jc w:val="both"/>
        <w:rPr>
          <w:lang w:val="de-DE"/>
        </w:rPr>
      </w:pPr>
    </w:p>
    <w:p w14:paraId="0328991D" w14:textId="77777777" w:rsidR="00260C41" w:rsidRPr="004676F5" w:rsidRDefault="00260C41" w:rsidP="00260C41">
      <w:pPr>
        <w:ind w:firstLine="708"/>
        <w:jc w:val="both"/>
        <w:rPr>
          <w:lang w:val="de-DE"/>
        </w:rPr>
      </w:pPr>
      <w:r w:rsidRPr="004676F5">
        <w:rPr>
          <w:lang w:val="de-DE"/>
        </w:rPr>
        <w:t>1. für die Vorlegung eines Wechsels, der auf Sicht oder auf eine bestimmte Zeit nach Sicht lautet,</w:t>
      </w:r>
    </w:p>
    <w:p w14:paraId="4786947F" w14:textId="77777777" w:rsidR="00260C41" w:rsidRPr="004676F5" w:rsidRDefault="00260C41" w:rsidP="00260C41">
      <w:pPr>
        <w:ind w:firstLine="708"/>
        <w:jc w:val="both"/>
        <w:rPr>
          <w:lang w:val="de-DE"/>
        </w:rPr>
      </w:pPr>
    </w:p>
    <w:p w14:paraId="10FBB75D" w14:textId="77777777" w:rsidR="00260C41" w:rsidRPr="004676F5" w:rsidRDefault="00260C41" w:rsidP="00260C41">
      <w:pPr>
        <w:ind w:firstLine="708"/>
        <w:jc w:val="both"/>
        <w:rPr>
          <w:lang w:val="de-DE"/>
        </w:rPr>
      </w:pPr>
      <w:r w:rsidRPr="004676F5">
        <w:rPr>
          <w:lang w:val="de-DE"/>
        </w:rPr>
        <w:t>2. für die Erhebung des Protestes mangels Annahme oder mangels Zahlung,</w:t>
      </w:r>
    </w:p>
    <w:p w14:paraId="23B6327E" w14:textId="77777777" w:rsidR="00260C41" w:rsidRPr="004676F5" w:rsidRDefault="00260C41" w:rsidP="00260C41">
      <w:pPr>
        <w:ind w:firstLine="708"/>
        <w:jc w:val="both"/>
        <w:rPr>
          <w:lang w:val="de-DE"/>
        </w:rPr>
      </w:pPr>
    </w:p>
    <w:p w14:paraId="1FBBDF19" w14:textId="77777777" w:rsidR="00260C41" w:rsidRPr="004676F5" w:rsidRDefault="00260C41" w:rsidP="00260C41">
      <w:pPr>
        <w:ind w:firstLine="708"/>
        <w:jc w:val="both"/>
        <w:rPr>
          <w:lang w:val="de-DE"/>
        </w:rPr>
      </w:pPr>
      <w:r w:rsidRPr="004676F5">
        <w:rPr>
          <w:lang w:val="de-DE"/>
        </w:rPr>
        <w:t>3. für die Vorlegung zur Zahlung im Fall des Vermerks "ohne Kosten"</w:t>
      </w:r>
    </w:p>
    <w:p w14:paraId="056A74F6" w14:textId="77777777" w:rsidR="00260C41" w:rsidRPr="004676F5" w:rsidRDefault="00260C41" w:rsidP="00260C41">
      <w:pPr>
        <w:ind w:firstLine="708"/>
        <w:jc w:val="both"/>
        <w:rPr>
          <w:lang w:val="de-DE"/>
        </w:rPr>
      </w:pPr>
    </w:p>
    <w:p w14:paraId="6015C1A7" w14:textId="77777777" w:rsidR="00260C41" w:rsidRPr="004676F5" w:rsidRDefault="00260C41" w:rsidP="00260C41">
      <w:pPr>
        <w:ind w:firstLine="708"/>
        <w:jc w:val="both"/>
        <w:rPr>
          <w:lang w:val="de-DE"/>
        </w:rPr>
      </w:pPr>
      <w:r w:rsidRPr="004676F5">
        <w:rPr>
          <w:lang w:val="de-DE"/>
        </w:rPr>
        <w:t>verliert der Inhaber seine Rechte gegen die Indossanten, den Aussteller und alle anderen Wechselverpflichteten, mit Ausnahme des Annehmers.</w:t>
      </w:r>
    </w:p>
    <w:p w14:paraId="3DB31E07" w14:textId="77777777" w:rsidR="00260C41" w:rsidRPr="004676F5" w:rsidRDefault="00260C41" w:rsidP="00260C41">
      <w:pPr>
        <w:ind w:firstLine="708"/>
        <w:jc w:val="both"/>
        <w:rPr>
          <w:lang w:val="de-DE"/>
        </w:rPr>
      </w:pPr>
    </w:p>
    <w:p w14:paraId="1B93BDC6" w14:textId="77777777" w:rsidR="00260C41" w:rsidRPr="004676F5" w:rsidRDefault="00260C41" w:rsidP="00260C41">
      <w:pPr>
        <w:ind w:firstLine="708"/>
        <w:jc w:val="both"/>
        <w:rPr>
          <w:lang w:val="de-DE"/>
        </w:rPr>
      </w:pPr>
      <w:r w:rsidRPr="004676F5">
        <w:rPr>
          <w:lang w:val="de-DE"/>
        </w:rPr>
        <w:t xml:space="preserve">Versäumt der Inhaber die vom Aussteller für die Vorlegung zur Annahme vorgeschriebene Frist, so verliert er das Recht, mangels Annahme und mangels Zahlung </w:t>
      </w:r>
      <w:r w:rsidRPr="004676F5">
        <w:rPr>
          <w:lang w:val="de-DE"/>
        </w:rPr>
        <w:lastRenderedPageBreak/>
        <w:t>Rückgriff zu nehmen, sofern nicht der Wortlaut des Vermerks ergibt, dass der Aussteller nur die Haftung für die Annahme hat ausschließen wollen.</w:t>
      </w:r>
    </w:p>
    <w:p w14:paraId="0DE4167F" w14:textId="77777777" w:rsidR="00260C41" w:rsidRPr="004676F5" w:rsidRDefault="00260C41" w:rsidP="00260C41">
      <w:pPr>
        <w:ind w:firstLine="708"/>
        <w:jc w:val="both"/>
        <w:rPr>
          <w:lang w:val="de-DE"/>
        </w:rPr>
      </w:pPr>
    </w:p>
    <w:p w14:paraId="023FB725" w14:textId="77777777" w:rsidR="00260C41" w:rsidRPr="004676F5" w:rsidRDefault="00260C41" w:rsidP="00260C41">
      <w:pPr>
        <w:ind w:firstLine="708"/>
        <w:jc w:val="both"/>
        <w:rPr>
          <w:lang w:val="de-DE"/>
        </w:rPr>
      </w:pPr>
      <w:r w:rsidRPr="004676F5">
        <w:rPr>
          <w:lang w:val="de-DE"/>
        </w:rPr>
        <w:t>Ist die Frist für die Vorlegung in einem Indossament enthalten, so kann sich nur der Indossant darauf berufen.</w:t>
      </w:r>
    </w:p>
    <w:p w14:paraId="6161B1F9" w14:textId="357CC9EF" w:rsidR="00260C41" w:rsidRPr="004676F5" w:rsidRDefault="00260C41" w:rsidP="00260C41">
      <w:pPr>
        <w:ind w:firstLine="708"/>
        <w:jc w:val="both"/>
        <w:rPr>
          <w:lang w:val="de-DE"/>
        </w:rPr>
      </w:pPr>
    </w:p>
    <w:p w14:paraId="0F5BA494" w14:textId="77777777" w:rsidR="00260C41" w:rsidRPr="004676F5" w:rsidRDefault="00260C41" w:rsidP="00260C41">
      <w:pPr>
        <w:ind w:firstLine="708"/>
        <w:jc w:val="both"/>
        <w:rPr>
          <w:lang w:val="de-DE"/>
        </w:rPr>
      </w:pPr>
    </w:p>
    <w:p w14:paraId="7BF58BC0" w14:textId="0343727D" w:rsidR="00260C41" w:rsidRPr="004676F5" w:rsidRDefault="00260C41" w:rsidP="00260C41">
      <w:pPr>
        <w:ind w:firstLine="708"/>
        <w:jc w:val="both"/>
        <w:rPr>
          <w:lang w:val="de-DE"/>
        </w:rPr>
      </w:pPr>
      <w:r w:rsidRPr="004676F5">
        <w:rPr>
          <w:b/>
          <w:lang w:val="de-DE"/>
        </w:rPr>
        <w:t>Art. VII.216/55</w:t>
      </w:r>
      <w:r w:rsidRPr="004676F5">
        <w:rPr>
          <w:lang w:val="de-DE"/>
        </w:rPr>
        <w:t> </w:t>
      </w:r>
      <w:r w:rsidR="005B7A5C" w:rsidRPr="004676F5">
        <w:rPr>
          <w:lang w:val="de-DE"/>
        </w:rPr>
        <w:t>- </w:t>
      </w:r>
      <w:r w:rsidRPr="004676F5">
        <w:rPr>
          <w:lang w:val="de-DE"/>
        </w:rPr>
        <w:t>Steht der rechtzeitigen Vorlegung des Wechsels oder der rechtzeitigen Erhebung des Protestes ein unüberwindliches Hindernis entgegen (gesetzliche Vorschrift eines Staates oder ein anderer Fall höherer Gewalt), so werden die für diese Handlungen bestimmten Fristen verlängert.</w:t>
      </w:r>
    </w:p>
    <w:p w14:paraId="15FF43FB" w14:textId="77777777" w:rsidR="00260C41" w:rsidRPr="004676F5" w:rsidRDefault="00260C41" w:rsidP="00260C41">
      <w:pPr>
        <w:ind w:firstLine="708"/>
        <w:jc w:val="both"/>
        <w:rPr>
          <w:lang w:val="de-DE"/>
        </w:rPr>
      </w:pPr>
    </w:p>
    <w:p w14:paraId="7CDFB824" w14:textId="77777777" w:rsidR="00260C41" w:rsidRPr="004676F5" w:rsidRDefault="00260C41" w:rsidP="00260C41">
      <w:pPr>
        <w:ind w:firstLine="708"/>
        <w:jc w:val="both"/>
        <w:rPr>
          <w:lang w:val="de-DE"/>
        </w:rPr>
      </w:pPr>
      <w:r w:rsidRPr="004676F5">
        <w:rPr>
          <w:lang w:val="de-DE"/>
        </w:rPr>
        <w:t>Der Inhaber ist verpflichtet, seinen unmittelbaren Vormann von dem Fall der höheren Gewalt unverzüglich zu benachrichtigen und die Benachrichtigung unter Beifügung des Tages und Ortes sowie seiner Unterschrift auf dem Wechsel oder einem Anhang zu vermerken; im Übrigen finden die Vorschriften des Artikels VII.216/46 Anwendung. Fällt die höhere Gewalt weg, so muss der Inhaber den Wechsel unverzüglich zur Annahme oder zur Zahlung vorlegen und gegebenenfalls Protest erheben lassen.</w:t>
      </w:r>
    </w:p>
    <w:p w14:paraId="2DA8339E" w14:textId="77777777" w:rsidR="00260C41" w:rsidRPr="004676F5" w:rsidRDefault="00260C41" w:rsidP="00260C41">
      <w:pPr>
        <w:ind w:firstLine="708"/>
        <w:jc w:val="both"/>
        <w:rPr>
          <w:lang w:val="de-DE"/>
        </w:rPr>
      </w:pPr>
    </w:p>
    <w:p w14:paraId="28D0F5AA" w14:textId="77777777" w:rsidR="00260C41" w:rsidRPr="004676F5" w:rsidRDefault="00260C41" w:rsidP="00260C41">
      <w:pPr>
        <w:ind w:firstLine="708"/>
        <w:jc w:val="both"/>
        <w:rPr>
          <w:lang w:val="de-DE"/>
        </w:rPr>
      </w:pPr>
      <w:r w:rsidRPr="004676F5">
        <w:rPr>
          <w:lang w:val="de-DE"/>
        </w:rPr>
        <w:t>Dauert die höhere Gewalt länger als dreißig Tage nach Verfall, so kann Rückgriff genommen werden, ohne dass es der Vorlegung oder der Protesterhebung bedarf.</w:t>
      </w:r>
    </w:p>
    <w:p w14:paraId="736D3640" w14:textId="77777777" w:rsidR="00260C41" w:rsidRPr="004676F5" w:rsidRDefault="00260C41" w:rsidP="00260C41">
      <w:pPr>
        <w:ind w:firstLine="708"/>
        <w:jc w:val="both"/>
        <w:rPr>
          <w:lang w:val="de-DE"/>
        </w:rPr>
      </w:pPr>
    </w:p>
    <w:p w14:paraId="3FC717A2" w14:textId="77777777" w:rsidR="00260C41" w:rsidRPr="004676F5" w:rsidRDefault="00260C41" w:rsidP="00260C41">
      <w:pPr>
        <w:ind w:firstLine="708"/>
        <w:jc w:val="both"/>
        <w:rPr>
          <w:lang w:val="de-DE"/>
        </w:rPr>
      </w:pPr>
      <w:r w:rsidRPr="004676F5">
        <w:rPr>
          <w:lang w:val="de-DE"/>
        </w:rPr>
        <w:t>Bei Wechseln, die auf Sicht oder auf eine bestimmte Zeit nach Sicht lauten, läuft die dreißigtägige Frist von dem Tag, an dem der Inhaber seinen Vormann von dem Fall der höheren Gewalt benachrichtigt hat; diese Nachricht kann schon vor Ablauf der Vorlegungsfrist gegeben werden. Bei Wechseln, die auf bestimmte Zeit nach Sicht lauten, verlängert sich die dreißigtägige Frist um die im Wechsel angegebene Nachsichtfrist.</w:t>
      </w:r>
    </w:p>
    <w:p w14:paraId="53E2685C" w14:textId="77777777" w:rsidR="00260C41" w:rsidRPr="004676F5" w:rsidRDefault="00260C41" w:rsidP="00260C41">
      <w:pPr>
        <w:ind w:firstLine="708"/>
        <w:jc w:val="both"/>
        <w:rPr>
          <w:lang w:val="de-DE"/>
        </w:rPr>
      </w:pPr>
    </w:p>
    <w:p w14:paraId="731F9BDF" w14:textId="77777777" w:rsidR="00260C41" w:rsidRPr="004676F5" w:rsidRDefault="00260C41" w:rsidP="00260C41">
      <w:pPr>
        <w:jc w:val="both"/>
        <w:rPr>
          <w:lang w:val="de-DE"/>
        </w:rPr>
      </w:pPr>
      <w:r w:rsidRPr="004676F5">
        <w:rPr>
          <w:lang w:val="de-DE"/>
        </w:rPr>
        <w:tab/>
        <w:t>Tatsachen, die rein persönlich den Inhaber oder denjenigen betreffen, den er mit der Vorlegung des Wechsels oder mit der Protesterhebung beauftragt hat, gelten nicht als Fälle höherer Gewalt.]</w:t>
      </w:r>
    </w:p>
    <w:p w14:paraId="3DD43923" w14:textId="77777777" w:rsidR="00260C41" w:rsidRPr="004676F5" w:rsidRDefault="00260C41" w:rsidP="00260C41">
      <w:pPr>
        <w:jc w:val="both"/>
        <w:rPr>
          <w:lang w:val="de-DE"/>
        </w:rPr>
      </w:pPr>
    </w:p>
    <w:p w14:paraId="79B7C750" w14:textId="2A6603EA" w:rsidR="00260C41" w:rsidRPr="004676F5" w:rsidRDefault="00260C41" w:rsidP="00260C41">
      <w:pPr>
        <w:jc w:val="both"/>
        <w:rPr>
          <w:i/>
          <w:lang w:val="de-DE"/>
        </w:rPr>
      </w:pPr>
      <w:r w:rsidRPr="004676F5">
        <w:rPr>
          <w:i/>
          <w:lang w:val="de-DE"/>
        </w:rPr>
        <w:t>[Art. VII.216/</w:t>
      </w:r>
      <w:r w:rsidR="00296630" w:rsidRPr="004676F5">
        <w:rPr>
          <w:i/>
          <w:lang w:val="de-DE"/>
        </w:rPr>
        <w:t>44</w:t>
      </w:r>
      <w:r w:rsidRPr="004676F5">
        <w:rPr>
          <w:i/>
          <w:lang w:val="de-DE"/>
        </w:rPr>
        <w:t xml:space="preserve"> bis VII.216/</w:t>
      </w:r>
      <w:r w:rsidR="00296630" w:rsidRPr="004676F5">
        <w:rPr>
          <w:i/>
          <w:lang w:val="de-DE"/>
        </w:rPr>
        <w:t>55 eingefügt durch Art. 11</w:t>
      </w:r>
      <w:r w:rsidRPr="004676F5">
        <w:rPr>
          <w:i/>
          <w:lang w:val="de-DE"/>
        </w:rPr>
        <w:t>7 des G. vom 15. April 2018 (B.S. vom 27. April 2018)]</w:t>
      </w:r>
    </w:p>
    <w:p w14:paraId="26B0E4C7" w14:textId="6B4565AE" w:rsidR="00296630" w:rsidRPr="004676F5" w:rsidRDefault="00296630" w:rsidP="00260C41">
      <w:pPr>
        <w:jc w:val="both"/>
        <w:rPr>
          <w:i/>
          <w:lang w:val="de-DE"/>
        </w:rPr>
      </w:pPr>
    </w:p>
    <w:p w14:paraId="605AB7AC" w14:textId="13453E3E" w:rsidR="00296630" w:rsidRPr="004676F5" w:rsidRDefault="00296630" w:rsidP="00260C41">
      <w:pPr>
        <w:jc w:val="both"/>
        <w:rPr>
          <w:i/>
          <w:lang w:val="de-DE"/>
        </w:rPr>
      </w:pPr>
    </w:p>
    <w:p w14:paraId="6271948E" w14:textId="09C445DE" w:rsidR="00296630" w:rsidRPr="004676F5" w:rsidRDefault="00296630" w:rsidP="00296630">
      <w:pPr>
        <w:jc w:val="center"/>
        <w:rPr>
          <w:lang w:val="de-DE"/>
        </w:rPr>
      </w:pPr>
      <w:r w:rsidRPr="004676F5">
        <w:rPr>
          <w:lang w:val="de-DE"/>
        </w:rPr>
        <w:t>[</w:t>
      </w:r>
      <w:r w:rsidRPr="004676F5">
        <w:rPr>
          <w:i/>
          <w:lang w:val="de-DE"/>
        </w:rPr>
        <w:t>Abschnitt 8</w:t>
      </w:r>
      <w:r w:rsidRPr="004676F5">
        <w:rPr>
          <w:lang w:val="de-DE"/>
        </w:rPr>
        <w:t> </w:t>
      </w:r>
      <w:r w:rsidR="005B7A5C" w:rsidRPr="004676F5">
        <w:rPr>
          <w:lang w:val="de-DE"/>
        </w:rPr>
        <w:t>- </w:t>
      </w:r>
      <w:r w:rsidRPr="004676F5">
        <w:rPr>
          <w:lang w:val="de-DE"/>
        </w:rPr>
        <w:t>Ehreneintritt]</w:t>
      </w:r>
    </w:p>
    <w:p w14:paraId="2C0B2F84" w14:textId="442AA9A1" w:rsidR="00296630" w:rsidRPr="004676F5" w:rsidRDefault="00296630" w:rsidP="00296630">
      <w:pPr>
        <w:jc w:val="center"/>
        <w:rPr>
          <w:lang w:val="de-DE"/>
        </w:rPr>
      </w:pPr>
    </w:p>
    <w:p w14:paraId="16F30038" w14:textId="27FFF08C" w:rsidR="00296630" w:rsidRPr="004676F5" w:rsidRDefault="00296630" w:rsidP="00296630">
      <w:pPr>
        <w:jc w:val="both"/>
        <w:rPr>
          <w:i/>
          <w:iCs/>
          <w:lang w:val="de-DE"/>
        </w:rPr>
      </w:pPr>
      <w:r w:rsidRPr="004676F5">
        <w:rPr>
          <w:i/>
          <w:lang w:val="de-DE"/>
        </w:rPr>
        <w:t>[Unterteilung Abschnitt 8 eingefügt durch Art. 118</w:t>
      </w:r>
      <w:r w:rsidRPr="004676F5">
        <w:rPr>
          <w:i/>
          <w:iCs/>
          <w:lang w:val="de-DE"/>
        </w:rPr>
        <w:t xml:space="preserve"> des G. vom 15. April 2018 (B.S. vom 27. April 2018)]</w:t>
      </w:r>
    </w:p>
    <w:p w14:paraId="20BC042D" w14:textId="67F8F99A" w:rsidR="00296630" w:rsidRPr="004676F5" w:rsidRDefault="00296630" w:rsidP="00296630">
      <w:pPr>
        <w:jc w:val="both"/>
        <w:rPr>
          <w:i/>
          <w:iCs/>
          <w:lang w:val="de-DE"/>
        </w:rPr>
      </w:pPr>
    </w:p>
    <w:p w14:paraId="558C7F2E" w14:textId="09F7F9AE" w:rsidR="00296630" w:rsidRPr="004676F5" w:rsidRDefault="00296630" w:rsidP="00296630">
      <w:pPr>
        <w:jc w:val="both"/>
        <w:rPr>
          <w:iCs/>
          <w:lang w:val="de-DE"/>
        </w:rPr>
      </w:pPr>
    </w:p>
    <w:p w14:paraId="09324641" w14:textId="58F9554E" w:rsidR="00296630" w:rsidRPr="004676F5" w:rsidRDefault="00296630" w:rsidP="00296630">
      <w:pPr>
        <w:jc w:val="center"/>
        <w:rPr>
          <w:lang w:val="de-DE"/>
        </w:rPr>
      </w:pPr>
      <w:r w:rsidRPr="004676F5">
        <w:rPr>
          <w:iCs/>
          <w:lang w:val="de-DE"/>
        </w:rPr>
        <w:t>[</w:t>
      </w:r>
      <w:r w:rsidRPr="004676F5">
        <w:rPr>
          <w:lang w:val="de-DE"/>
        </w:rPr>
        <w:t>Unterabschnitt 1 </w:t>
      </w:r>
      <w:r w:rsidR="005B7A5C" w:rsidRPr="004676F5">
        <w:rPr>
          <w:lang w:val="de-DE"/>
        </w:rPr>
        <w:t>- </w:t>
      </w:r>
      <w:r w:rsidRPr="004676F5">
        <w:rPr>
          <w:lang w:val="de-DE"/>
        </w:rPr>
        <w:t>Allgemeine Vorschriften]</w:t>
      </w:r>
    </w:p>
    <w:p w14:paraId="52BCEC60" w14:textId="34C50860" w:rsidR="00296630" w:rsidRPr="004676F5" w:rsidRDefault="00296630" w:rsidP="00296630">
      <w:pPr>
        <w:jc w:val="center"/>
        <w:rPr>
          <w:lang w:val="de-DE"/>
        </w:rPr>
      </w:pPr>
    </w:p>
    <w:p w14:paraId="42857D06" w14:textId="6667F723" w:rsidR="00296630" w:rsidRPr="004676F5" w:rsidRDefault="00296630" w:rsidP="00296630">
      <w:pPr>
        <w:jc w:val="both"/>
        <w:rPr>
          <w:i/>
          <w:iCs/>
          <w:lang w:val="de-DE"/>
        </w:rPr>
      </w:pPr>
      <w:r w:rsidRPr="004676F5">
        <w:rPr>
          <w:i/>
          <w:lang w:val="de-DE"/>
        </w:rPr>
        <w:t>[Unterteilung Unterabschnitt 1 eingefügt durch Art. 119</w:t>
      </w:r>
      <w:r w:rsidRPr="004676F5">
        <w:rPr>
          <w:i/>
          <w:iCs/>
          <w:lang w:val="de-DE"/>
        </w:rPr>
        <w:t xml:space="preserve"> des G. vom 15. April 2018 (B.S. vom 27. April 2018)]</w:t>
      </w:r>
    </w:p>
    <w:p w14:paraId="3D80D760" w14:textId="12D359AA" w:rsidR="00296630" w:rsidRPr="004676F5" w:rsidRDefault="00296630" w:rsidP="00296630">
      <w:pPr>
        <w:jc w:val="both"/>
        <w:rPr>
          <w:iCs/>
          <w:lang w:val="de-DE"/>
        </w:rPr>
      </w:pPr>
    </w:p>
    <w:p w14:paraId="512395CA" w14:textId="5D3647B7" w:rsidR="00296630" w:rsidRPr="004676F5" w:rsidRDefault="00296630" w:rsidP="00296630">
      <w:pPr>
        <w:jc w:val="both"/>
        <w:rPr>
          <w:iCs/>
          <w:lang w:val="de-DE"/>
        </w:rPr>
      </w:pPr>
    </w:p>
    <w:p w14:paraId="3A564A79" w14:textId="76795B6A" w:rsidR="00296630" w:rsidRPr="004676F5" w:rsidRDefault="00296630" w:rsidP="00296630">
      <w:pPr>
        <w:ind w:firstLine="708"/>
        <w:jc w:val="both"/>
        <w:rPr>
          <w:lang w:val="de-DE"/>
        </w:rPr>
      </w:pPr>
      <w:r w:rsidRPr="004676F5">
        <w:rPr>
          <w:iCs/>
          <w:lang w:val="de-DE"/>
        </w:rPr>
        <w:t>[</w:t>
      </w:r>
      <w:r w:rsidRPr="004676F5">
        <w:rPr>
          <w:b/>
          <w:lang w:val="de-DE"/>
        </w:rPr>
        <w:t>Art. VII.216/56</w:t>
      </w:r>
      <w:r w:rsidRPr="004676F5">
        <w:rPr>
          <w:lang w:val="de-DE"/>
        </w:rPr>
        <w:t> </w:t>
      </w:r>
      <w:r w:rsidR="005B7A5C" w:rsidRPr="004676F5">
        <w:rPr>
          <w:lang w:val="de-DE"/>
        </w:rPr>
        <w:t>- </w:t>
      </w:r>
      <w:r w:rsidRPr="004676F5">
        <w:rPr>
          <w:lang w:val="de-DE"/>
        </w:rPr>
        <w:t>Der Aussteller sowie jeder Indossant oder Wechselbürge kann eine Person angeben, die im Notfall annehmen oder zahlen soll.</w:t>
      </w:r>
    </w:p>
    <w:p w14:paraId="1B73C632" w14:textId="77777777" w:rsidR="00296630" w:rsidRPr="004676F5" w:rsidRDefault="00296630" w:rsidP="00296630">
      <w:pPr>
        <w:ind w:firstLine="708"/>
        <w:jc w:val="both"/>
        <w:rPr>
          <w:lang w:val="de-DE"/>
        </w:rPr>
      </w:pPr>
    </w:p>
    <w:p w14:paraId="43873585" w14:textId="77777777" w:rsidR="00296630" w:rsidRPr="004676F5" w:rsidRDefault="00296630" w:rsidP="00296630">
      <w:pPr>
        <w:ind w:firstLine="708"/>
        <w:jc w:val="both"/>
        <w:rPr>
          <w:lang w:val="de-DE"/>
        </w:rPr>
      </w:pPr>
      <w:r w:rsidRPr="004676F5">
        <w:rPr>
          <w:lang w:val="de-DE"/>
        </w:rPr>
        <w:lastRenderedPageBreak/>
        <w:t>Der Wechsel kann unter den nachstehend bezeichneten Voraussetzungen zu Ehren eines jeden Wechselverpflichteten, gegen den Rückgriff genommen werden kann, angenommen oder bezahlt werden.</w:t>
      </w:r>
    </w:p>
    <w:p w14:paraId="351D027D" w14:textId="77777777" w:rsidR="00296630" w:rsidRPr="004676F5" w:rsidRDefault="00296630" w:rsidP="00296630">
      <w:pPr>
        <w:ind w:firstLine="708"/>
        <w:jc w:val="both"/>
        <w:rPr>
          <w:lang w:val="de-DE"/>
        </w:rPr>
      </w:pPr>
    </w:p>
    <w:p w14:paraId="34F540B7" w14:textId="77777777" w:rsidR="00296630" w:rsidRPr="004676F5" w:rsidRDefault="00296630" w:rsidP="00296630">
      <w:pPr>
        <w:ind w:firstLine="708"/>
        <w:jc w:val="both"/>
        <w:rPr>
          <w:lang w:val="de-DE"/>
        </w:rPr>
      </w:pPr>
      <w:r w:rsidRPr="004676F5">
        <w:rPr>
          <w:lang w:val="de-DE"/>
        </w:rPr>
        <w:t>Jeder Dritte, auch der Bezogene, sowie jeder aus dem Wechsel bereits Verpflichtete, mit Ausnahme des Annehmers, kann einen Wechsel zu Ehren annehmen oder bezahlen.</w:t>
      </w:r>
    </w:p>
    <w:p w14:paraId="3FC07503" w14:textId="77777777" w:rsidR="00296630" w:rsidRPr="004676F5" w:rsidRDefault="00296630" w:rsidP="00296630">
      <w:pPr>
        <w:ind w:firstLine="708"/>
        <w:jc w:val="both"/>
        <w:rPr>
          <w:lang w:val="de-DE"/>
        </w:rPr>
      </w:pPr>
    </w:p>
    <w:p w14:paraId="066A0F73" w14:textId="0EB22789" w:rsidR="00296630" w:rsidRPr="004676F5" w:rsidRDefault="00296630" w:rsidP="00296630">
      <w:pPr>
        <w:jc w:val="both"/>
        <w:rPr>
          <w:lang w:val="de-DE"/>
        </w:rPr>
      </w:pPr>
      <w:r w:rsidRPr="004676F5">
        <w:rPr>
          <w:lang w:val="de-DE"/>
        </w:rPr>
        <w:tab/>
        <w:t>Wer zu Ehren annimmt oder zahlt, ist verpflichtet, den Wechselverpflichteten, für den er eintritt, innerhalb zweier Werktage hiervon zu benachrichtigen. Hält er die Frist nicht ein, so haftet er für den etwa durch seine Nachlässigkeit entstandenen Schaden, jedoch nur bis zur Höhe der Wechselsumme.]</w:t>
      </w:r>
    </w:p>
    <w:p w14:paraId="63A36292" w14:textId="0E0976E6" w:rsidR="00296630" w:rsidRPr="004676F5" w:rsidRDefault="00296630" w:rsidP="00296630">
      <w:pPr>
        <w:jc w:val="both"/>
        <w:rPr>
          <w:lang w:val="de-DE"/>
        </w:rPr>
      </w:pPr>
    </w:p>
    <w:p w14:paraId="1C2312B3" w14:textId="3DE6796A" w:rsidR="00296630" w:rsidRPr="004676F5" w:rsidRDefault="00296630" w:rsidP="00296630">
      <w:pPr>
        <w:jc w:val="both"/>
        <w:rPr>
          <w:i/>
          <w:iCs/>
          <w:lang w:val="de-DE"/>
        </w:rPr>
      </w:pPr>
      <w:r w:rsidRPr="004676F5">
        <w:rPr>
          <w:i/>
          <w:lang w:val="de-DE"/>
        </w:rPr>
        <w:t>[Art. VII.216/56 eingefügt durch Art. 120</w:t>
      </w:r>
      <w:r w:rsidRPr="004676F5">
        <w:rPr>
          <w:i/>
          <w:iCs/>
          <w:lang w:val="de-DE"/>
        </w:rPr>
        <w:t xml:space="preserve"> des G. vom 15. April 2018 (B.S. vom 27. April 2018)]</w:t>
      </w:r>
    </w:p>
    <w:p w14:paraId="4DCCBB64" w14:textId="423DBAAD" w:rsidR="00296630" w:rsidRPr="004676F5" w:rsidRDefault="00296630" w:rsidP="00296630">
      <w:pPr>
        <w:jc w:val="both"/>
        <w:rPr>
          <w:i/>
          <w:iCs/>
          <w:lang w:val="de-DE"/>
        </w:rPr>
      </w:pPr>
    </w:p>
    <w:p w14:paraId="552F6666" w14:textId="167831F2" w:rsidR="00296630" w:rsidRPr="004676F5" w:rsidRDefault="00296630" w:rsidP="00296630">
      <w:pPr>
        <w:jc w:val="both"/>
        <w:rPr>
          <w:iCs/>
          <w:lang w:val="de-DE"/>
        </w:rPr>
      </w:pPr>
    </w:p>
    <w:p w14:paraId="1C20D10E" w14:textId="41675C54" w:rsidR="00296630" w:rsidRPr="004676F5" w:rsidRDefault="00296630" w:rsidP="00296630">
      <w:pPr>
        <w:jc w:val="center"/>
        <w:rPr>
          <w:lang w:val="de-DE"/>
        </w:rPr>
      </w:pPr>
      <w:r w:rsidRPr="004676F5">
        <w:rPr>
          <w:iCs/>
          <w:lang w:val="de-DE"/>
        </w:rPr>
        <w:t>[</w:t>
      </w:r>
      <w:r w:rsidRPr="004676F5">
        <w:rPr>
          <w:lang w:val="de-DE"/>
        </w:rPr>
        <w:t>Unterabschnitt 2 </w:t>
      </w:r>
      <w:r w:rsidR="005B7A5C" w:rsidRPr="004676F5">
        <w:rPr>
          <w:lang w:val="de-DE"/>
        </w:rPr>
        <w:t>- </w:t>
      </w:r>
      <w:r w:rsidRPr="004676F5">
        <w:rPr>
          <w:lang w:val="de-DE"/>
        </w:rPr>
        <w:t>Ehrenannahme]</w:t>
      </w:r>
    </w:p>
    <w:p w14:paraId="08944D9E" w14:textId="3C725B27" w:rsidR="00296630" w:rsidRPr="004676F5" w:rsidRDefault="00296630" w:rsidP="00296630">
      <w:pPr>
        <w:jc w:val="center"/>
        <w:rPr>
          <w:lang w:val="de-DE"/>
        </w:rPr>
      </w:pPr>
    </w:p>
    <w:p w14:paraId="07182E96" w14:textId="0BA9B890" w:rsidR="00296630" w:rsidRPr="004676F5" w:rsidRDefault="00296630" w:rsidP="00296630">
      <w:pPr>
        <w:jc w:val="both"/>
        <w:rPr>
          <w:i/>
          <w:iCs/>
          <w:lang w:val="de-DE"/>
        </w:rPr>
      </w:pPr>
      <w:r w:rsidRPr="004676F5">
        <w:rPr>
          <w:i/>
          <w:lang w:val="de-DE"/>
        </w:rPr>
        <w:t>[Unterteilung Unterabschnitt 2 eingefügt durch Art. 121</w:t>
      </w:r>
      <w:r w:rsidRPr="004676F5">
        <w:rPr>
          <w:i/>
          <w:iCs/>
          <w:lang w:val="de-DE"/>
        </w:rPr>
        <w:t xml:space="preserve"> des G. vom 15. April 2018 (B.S. vom 27. April 2018)]</w:t>
      </w:r>
    </w:p>
    <w:p w14:paraId="091A1334" w14:textId="485F6FC8" w:rsidR="00296630" w:rsidRPr="004676F5" w:rsidRDefault="00296630" w:rsidP="00296630">
      <w:pPr>
        <w:jc w:val="both"/>
        <w:rPr>
          <w:iCs/>
          <w:lang w:val="de-DE"/>
        </w:rPr>
      </w:pPr>
    </w:p>
    <w:p w14:paraId="105026D9" w14:textId="6DEF087A" w:rsidR="00296630" w:rsidRPr="004676F5" w:rsidRDefault="00296630" w:rsidP="00296630">
      <w:pPr>
        <w:jc w:val="both"/>
        <w:rPr>
          <w:iCs/>
          <w:lang w:val="de-DE"/>
        </w:rPr>
      </w:pPr>
    </w:p>
    <w:p w14:paraId="3069484E" w14:textId="07813B6F" w:rsidR="00296630" w:rsidRPr="004676F5" w:rsidRDefault="00296630" w:rsidP="00296630">
      <w:pPr>
        <w:ind w:firstLine="708"/>
        <w:jc w:val="both"/>
        <w:rPr>
          <w:lang w:val="de-DE"/>
        </w:rPr>
      </w:pPr>
      <w:r w:rsidRPr="004676F5">
        <w:rPr>
          <w:iCs/>
          <w:lang w:val="de-DE"/>
        </w:rPr>
        <w:t>[</w:t>
      </w:r>
      <w:r w:rsidRPr="004676F5">
        <w:rPr>
          <w:b/>
          <w:lang w:val="de-DE"/>
        </w:rPr>
        <w:t>Art. VII.216/57</w:t>
      </w:r>
      <w:r w:rsidRPr="004676F5">
        <w:rPr>
          <w:lang w:val="de-DE"/>
        </w:rPr>
        <w:t> </w:t>
      </w:r>
      <w:r w:rsidR="005B7A5C" w:rsidRPr="004676F5">
        <w:rPr>
          <w:lang w:val="de-DE"/>
        </w:rPr>
        <w:t>- </w:t>
      </w:r>
      <w:r w:rsidRPr="004676F5">
        <w:rPr>
          <w:lang w:val="de-DE"/>
        </w:rPr>
        <w:t>Die Ehrenannahme ist in allen Fällen zulässig, in denen der Inhaber vor Verfall Rückgriff nehmen kann, es sei denn, dass es sich um einen Wechsel handelt, dessen Vorlegung zur Annahme untersagt ist.</w:t>
      </w:r>
    </w:p>
    <w:p w14:paraId="5207AE34" w14:textId="77777777" w:rsidR="00296630" w:rsidRPr="004676F5" w:rsidRDefault="00296630" w:rsidP="00296630">
      <w:pPr>
        <w:ind w:firstLine="708"/>
        <w:jc w:val="both"/>
        <w:rPr>
          <w:lang w:val="de-DE"/>
        </w:rPr>
      </w:pPr>
    </w:p>
    <w:p w14:paraId="0BB2E0E1" w14:textId="77777777" w:rsidR="00296630" w:rsidRPr="004676F5" w:rsidRDefault="00296630" w:rsidP="00296630">
      <w:pPr>
        <w:ind w:firstLine="708"/>
        <w:jc w:val="both"/>
        <w:rPr>
          <w:lang w:val="de-DE"/>
        </w:rPr>
      </w:pPr>
      <w:r w:rsidRPr="004676F5">
        <w:rPr>
          <w:lang w:val="de-DE"/>
        </w:rPr>
        <w:t>Ist auf dem Wechsel eine Person angegeben, die im Notfall am Zahlungsort annehmen oder zahlen soll, so kann der Inhaber vor Verfall gegen denjenigen, der die Notadresse beigefügt hat, und gegen seine Nachmänner nur Rückgriff nehmen, wenn er den Wechsel der in der Notadresse bezeichneten Person vorgelegt hat und im Fall der Verweigerung der Ehrenannahme die Verweigerung durch einen Protest hat feststellen lassen.</w:t>
      </w:r>
    </w:p>
    <w:p w14:paraId="6869BF00" w14:textId="77777777" w:rsidR="00296630" w:rsidRPr="004676F5" w:rsidRDefault="00296630" w:rsidP="00296630">
      <w:pPr>
        <w:ind w:firstLine="708"/>
        <w:jc w:val="both"/>
        <w:rPr>
          <w:lang w:val="de-DE"/>
        </w:rPr>
      </w:pPr>
    </w:p>
    <w:p w14:paraId="3BD143BC" w14:textId="77777777" w:rsidR="00296630" w:rsidRPr="004676F5" w:rsidRDefault="00296630" w:rsidP="00296630">
      <w:pPr>
        <w:ind w:firstLine="708"/>
        <w:jc w:val="both"/>
        <w:rPr>
          <w:lang w:val="de-DE"/>
        </w:rPr>
      </w:pPr>
      <w:r w:rsidRPr="004676F5">
        <w:rPr>
          <w:lang w:val="de-DE"/>
        </w:rPr>
        <w:t>In den anderen Fällen des Ehreneintritts kann der Inhaber die Ehrenannahme zurückweisen. Lässt er sie aber zu, so verliert er den Rückgriff vor Verfall gegen denjenigen, zu dessen Ehren die Annahme erklärt worden ist, und gegen dessen Nachmänner.</w:t>
      </w:r>
    </w:p>
    <w:p w14:paraId="662049E1" w14:textId="0919050B" w:rsidR="00296630" w:rsidRPr="004676F5" w:rsidRDefault="00296630" w:rsidP="00296630">
      <w:pPr>
        <w:ind w:firstLine="708"/>
        <w:jc w:val="both"/>
        <w:rPr>
          <w:lang w:val="de-DE"/>
        </w:rPr>
      </w:pPr>
    </w:p>
    <w:p w14:paraId="1FE32D65" w14:textId="77777777" w:rsidR="00296630" w:rsidRPr="004676F5" w:rsidRDefault="00296630" w:rsidP="00296630">
      <w:pPr>
        <w:ind w:firstLine="708"/>
        <w:jc w:val="both"/>
        <w:rPr>
          <w:lang w:val="de-DE"/>
        </w:rPr>
      </w:pPr>
    </w:p>
    <w:p w14:paraId="7FBF1A9F" w14:textId="1F1379B1" w:rsidR="00296630" w:rsidRPr="004676F5" w:rsidRDefault="00296630" w:rsidP="00296630">
      <w:pPr>
        <w:ind w:firstLine="708"/>
        <w:jc w:val="both"/>
        <w:rPr>
          <w:lang w:val="de-DE"/>
        </w:rPr>
      </w:pPr>
      <w:r w:rsidRPr="004676F5">
        <w:rPr>
          <w:b/>
          <w:lang w:val="de-DE"/>
        </w:rPr>
        <w:t>Art. VII.216/58</w:t>
      </w:r>
      <w:r w:rsidRPr="004676F5">
        <w:rPr>
          <w:lang w:val="de-DE"/>
        </w:rPr>
        <w:t> </w:t>
      </w:r>
      <w:r w:rsidR="005B7A5C" w:rsidRPr="004676F5">
        <w:rPr>
          <w:lang w:val="de-DE"/>
        </w:rPr>
        <w:t>- </w:t>
      </w:r>
      <w:r w:rsidRPr="004676F5">
        <w:rPr>
          <w:lang w:val="de-DE"/>
        </w:rPr>
        <w:t>Die Ehrenannahme wird auf dem Wechsel vermerkt; sie ist von demjenigen, der zu Ehren annimmt, zu unterschreiben. In der Annahmeerklärung ist anzugeben, für wen die Ehrenannahme stattfindet; mangels einer solchen Angabe gilt sie für den Aussteller.</w:t>
      </w:r>
    </w:p>
    <w:p w14:paraId="616D3674" w14:textId="69515095" w:rsidR="00296630" w:rsidRPr="004676F5" w:rsidRDefault="00296630" w:rsidP="00296630">
      <w:pPr>
        <w:ind w:firstLine="708"/>
        <w:jc w:val="both"/>
        <w:rPr>
          <w:lang w:val="de-DE"/>
        </w:rPr>
      </w:pPr>
    </w:p>
    <w:p w14:paraId="6F8D5C9C" w14:textId="77777777" w:rsidR="00296630" w:rsidRPr="004676F5" w:rsidRDefault="00296630" w:rsidP="00296630">
      <w:pPr>
        <w:ind w:firstLine="708"/>
        <w:jc w:val="both"/>
        <w:rPr>
          <w:lang w:val="de-DE"/>
        </w:rPr>
      </w:pPr>
    </w:p>
    <w:p w14:paraId="35CEE12C" w14:textId="5D7E806A" w:rsidR="00296630" w:rsidRPr="004676F5" w:rsidRDefault="00296630" w:rsidP="00296630">
      <w:pPr>
        <w:ind w:firstLine="708"/>
        <w:jc w:val="both"/>
        <w:rPr>
          <w:lang w:val="de-DE"/>
        </w:rPr>
      </w:pPr>
      <w:r w:rsidRPr="004676F5">
        <w:rPr>
          <w:b/>
          <w:lang w:val="de-DE"/>
        </w:rPr>
        <w:t>Art. VII.216/59</w:t>
      </w:r>
      <w:r w:rsidRPr="004676F5">
        <w:rPr>
          <w:lang w:val="de-DE"/>
        </w:rPr>
        <w:t> </w:t>
      </w:r>
      <w:r w:rsidR="005B7A5C" w:rsidRPr="004676F5">
        <w:rPr>
          <w:lang w:val="de-DE"/>
        </w:rPr>
        <w:t>- </w:t>
      </w:r>
      <w:r w:rsidRPr="004676F5">
        <w:rPr>
          <w:lang w:val="de-DE"/>
        </w:rPr>
        <w:t>Wer zu Ehren annimmt, haftet dem Inhaber und den Nachmännern desjenigen gegenüber, für den er eingetreten ist, in der gleichen Weise wie dieser selbst.</w:t>
      </w:r>
    </w:p>
    <w:p w14:paraId="5CA13770" w14:textId="77777777" w:rsidR="00296630" w:rsidRPr="004676F5" w:rsidRDefault="00296630" w:rsidP="00296630">
      <w:pPr>
        <w:ind w:firstLine="708"/>
        <w:jc w:val="both"/>
        <w:rPr>
          <w:lang w:val="de-DE"/>
        </w:rPr>
      </w:pPr>
    </w:p>
    <w:p w14:paraId="062532A0" w14:textId="54B0343F" w:rsidR="00296630" w:rsidRPr="004676F5" w:rsidRDefault="00296630" w:rsidP="00296630">
      <w:pPr>
        <w:jc w:val="both"/>
        <w:rPr>
          <w:lang w:val="de-DE"/>
        </w:rPr>
      </w:pPr>
      <w:r w:rsidRPr="004676F5">
        <w:rPr>
          <w:lang w:val="de-DE"/>
        </w:rPr>
        <w:tab/>
        <w:t>Trotz der Ehrenannahme können der Wechselverpflichtete, zu dessen Ehren der Wechsel angenommen worden ist, und seine Vormänner vom Inhaber gegen Erstattung des in Artikel VII.216/49 angegebenen Betrags die Aushändigung des Wechsels und gegebenenfalls des erhobenen Protestes sowie einer quittierten Rechnung verlangen.]</w:t>
      </w:r>
    </w:p>
    <w:p w14:paraId="06D12E21" w14:textId="21E36847" w:rsidR="00296630" w:rsidRPr="004676F5" w:rsidRDefault="00296630" w:rsidP="00296630">
      <w:pPr>
        <w:jc w:val="both"/>
        <w:rPr>
          <w:lang w:val="de-DE"/>
        </w:rPr>
      </w:pPr>
    </w:p>
    <w:p w14:paraId="0EA031B2" w14:textId="09D3810C" w:rsidR="00296630" w:rsidRPr="004676F5" w:rsidRDefault="00296630" w:rsidP="00296630">
      <w:pPr>
        <w:jc w:val="both"/>
        <w:rPr>
          <w:i/>
          <w:lang w:val="de-DE"/>
        </w:rPr>
      </w:pPr>
      <w:r w:rsidRPr="004676F5">
        <w:rPr>
          <w:i/>
          <w:lang w:val="de-DE"/>
        </w:rPr>
        <w:t>[Art. VII.216/57 bis VII.216/59 eingefügt durch Art. 122 des G. vom 15. April 2018 (B.S. vom 27. April 2018)]</w:t>
      </w:r>
    </w:p>
    <w:p w14:paraId="2C243FCA" w14:textId="77777777" w:rsidR="00296630" w:rsidRPr="004676F5" w:rsidRDefault="00296630" w:rsidP="00296630">
      <w:pPr>
        <w:jc w:val="both"/>
        <w:rPr>
          <w:iCs/>
          <w:lang w:val="de-DE"/>
        </w:rPr>
      </w:pPr>
    </w:p>
    <w:p w14:paraId="0A1FACD8" w14:textId="120A6B26" w:rsidR="00296630" w:rsidRPr="004676F5" w:rsidRDefault="00296630" w:rsidP="00296630">
      <w:pPr>
        <w:jc w:val="center"/>
        <w:rPr>
          <w:iCs/>
          <w:lang w:val="de-DE"/>
        </w:rPr>
      </w:pPr>
    </w:p>
    <w:p w14:paraId="34BD56B7" w14:textId="77777777" w:rsidR="00296630" w:rsidRPr="004676F5" w:rsidRDefault="00296630" w:rsidP="00296630">
      <w:pPr>
        <w:jc w:val="center"/>
        <w:rPr>
          <w:iCs/>
          <w:lang w:val="de-DE"/>
        </w:rPr>
      </w:pPr>
    </w:p>
    <w:p w14:paraId="05DF1B21" w14:textId="065607B9" w:rsidR="00296630" w:rsidRPr="004676F5" w:rsidRDefault="00296630" w:rsidP="00296630">
      <w:pPr>
        <w:jc w:val="center"/>
        <w:rPr>
          <w:iCs/>
          <w:lang w:val="de-DE"/>
        </w:rPr>
      </w:pPr>
      <w:r w:rsidRPr="004676F5">
        <w:rPr>
          <w:iCs/>
          <w:lang w:val="de-DE"/>
        </w:rPr>
        <w:t>[</w:t>
      </w:r>
      <w:r w:rsidRPr="004676F5">
        <w:rPr>
          <w:lang w:val="de-DE"/>
        </w:rPr>
        <w:t>Unterabschnitt 3 </w:t>
      </w:r>
      <w:r w:rsidR="005B7A5C" w:rsidRPr="004676F5">
        <w:rPr>
          <w:lang w:val="de-DE"/>
        </w:rPr>
        <w:t>- </w:t>
      </w:r>
      <w:r w:rsidRPr="004676F5">
        <w:rPr>
          <w:lang w:val="de-DE"/>
        </w:rPr>
        <w:t>Ehrenzahlung</w:t>
      </w:r>
      <w:r w:rsidRPr="004676F5">
        <w:rPr>
          <w:iCs/>
          <w:lang w:val="de-DE"/>
        </w:rPr>
        <w:t>]</w:t>
      </w:r>
    </w:p>
    <w:p w14:paraId="3921D946" w14:textId="62992A78" w:rsidR="00296630" w:rsidRPr="004676F5" w:rsidRDefault="00296630" w:rsidP="00296630">
      <w:pPr>
        <w:jc w:val="center"/>
        <w:rPr>
          <w:iCs/>
          <w:lang w:val="de-DE"/>
        </w:rPr>
      </w:pPr>
    </w:p>
    <w:p w14:paraId="2404288B" w14:textId="1161B77E" w:rsidR="00296630" w:rsidRPr="004676F5" w:rsidRDefault="00296630" w:rsidP="00296630">
      <w:pPr>
        <w:jc w:val="both"/>
        <w:rPr>
          <w:i/>
          <w:iCs/>
          <w:lang w:val="de-DE"/>
        </w:rPr>
      </w:pPr>
      <w:r w:rsidRPr="004676F5">
        <w:rPr>
          <w:i/>
          <w:lang w:val="de-DE"/>
        </w:rPr>
        <w:t>[Unterteilung Unterabschnitt 3 eingefügt durch Art. 123</w:t>
      </w:r>
      <w:r w:rsidRPr="004676F5">
        <w:rPr>
          <w:i/>
          <w:iCs/>
          <w:lang w:val="de-DE"/>
        </w:rPr>
        <w:t xml:space="preserve"> des G. vom 15. April 2018 (B.S. vom 27. April 2018)]</w:t>
      </w:r>
    </w:p>
    <w:p w14:paraId="6CC91E42" w14:textId="7A9AC0BC" w:rsidR="00296630" w:rsidRPr="004676F5" w:rsidRDefault="00296630" w:rsidP="00296630">
      <w:pPr>
        <w:jc w:val="both"/>
        <w:rPr>
          <w:i/>
          <w:iCs/>
          <w:lang w:val="de-DE"/>
        </w:rPr>
      </w:pPr>
    </w:p>
    <w:p w14:paraId="1DE0E8C1" w14:textId="584E02B6" w:rsidR="00296630" w:rsidRPr="004676F5" w:rsidRDefault="00296630" w:rsidP="00296630">
      <w:pPr>
        <w:jc w:val="both"/>
        <w:rPr>
          <w:iCs/>
          <w:lang w:val="de-DE"/>
        </w:rPr>
      </w:pPr>
    </w:p>
    <w:p w14:paraId="4E2CF28D" w14:textId="2D55B49A" w:rsidR="00296630" w:rsidRPr="004676F5" w:rsidRDefault="00296630" w:rsidP="00296630">
      <w:pPr>
        <w:ind w:firstLine="708"/>
        <w:jc w:val="both"/>
        <w:rPr>
          <w:lang w:val="de-DE"/>
        </w:rPr>
      </w:pPr>
      <w:r w:rsidRPr="004676F5">
        <w:rPr>
          <w:iCs/>
          <w:lang w:val="de-DE"/>
        </w:rPr>
        <w:t>[</w:t>
      </w:r>
      <w:r w:rsidRPr="004676F5">
        <w:rPr>
          <w:b/>
          <w:lang w:val="de-DE"/>
        </w:rPr>
        <w:t>Art. VII.216/60</w:t>
      </w:r>
      <w:r w:rsidRPr="004676F5">
        <w:rPr>
          <w:lang w:val="de-DE"/>
        </w:rPr>
        <w:t> </w:t>
      </w:r>
      <w:r w:rsidR="005B7A5C" w:rsidRPr="004676F5">
        <w:rPr>
          <w:lang w:val="de-DE"/>
        </w:rPr>
        <w:t>- </w:t>
      </w:r>
      <w:r w:rsidRPr="004676F5">
        <w:rPr>
          <w:lang w:val="de-DE"/>
        </w:rPr>
        <w:t>Die Ehrenzahlung ist in allen Fällen zulässig, in denen der Inhaber bei Verfall oder vor Verfall Rückgriff nehmen kann.</w:t>
      </w:r>
    </w:p>
    <w:p w14:paraId="2D61E12B" w14:textId="77777777" w:rsidR="00296630" w:rsidRPr="004676F5" w:rsidRDefault="00296630" w:rsidP="00296630">
      <w:pPr>
        <w:ind w:firstLine="708"/>
        <w:jc w:val="both"/>
        <w:rPr>
          <w:lang w:val="de-DE"/>
        </w:rPr>
      </w:pPr>
    </w:p>
    <w:p w14:paraId="1F07EF36" w14:textId="77777777" w:rsidR="00296630" w:rsidRPr="004676F5" w:rsidRDefault="00296630" w:rsidP="00296630">
      <w:pPr>
        <w:ind w:firstLine="708"/>
        <w:jc w:val="both"/>
        <w:rPr>
          <w:lang w:val="de-DE"/>
        </w:rPr>
      </w:pPr>
      <w:r w:rsidRPr="004676F5">
        <w:rPr>
          <w:lang w:val="de-DE"/>
        </w:rPr>
        <w:t>Die Ehrenzahlung muss den vollen Betrag umfassen, den der Wechselverpflichtete, für den sie stattfindet, zahlen müsste. Sie muss spätestens am Tag nach Ablauf der Frist für die Erhebung des Protestes mangels Zahlung stattfinden.</w:t>
      </w:r>
    </w:p>
    <w:p w14:paraId="0E70B420" w14:textId="3257416D" w:rsidR="00296630" w:rsidRPr="004676F5" w:rsidRDefault="00296630" w:rsidP="00296630">
      <w:pPr>
        <w:ind w:firstLine="708"/>
        <w:jc w:val="both"/>
        <w:rPr>
          <w:lang w:val="de-DE"/>
        </w:rPr>
      </w:pPr>
    </w:p>
    <w:p w14:paraId="5875BD86" w14:textId="77777777" w:rsidR="00296630" w:rsidRPr="004676F5" w:rsidRDefault="00296630" w:rsidP="00296630">
      <w:pPr>
        <w:ind w:firstLine="708"/>
        <w:jc w:val="both"/>
        <w:rPr>
          <w:lang w:val="de-DE"/>
        </w:rPr>
      </w:pPr>
    </w:p>
    <w:p w14:paraId="14BAEA5F" w14:textId="76130382" w:rsidR="00296630" w:rsidRPr="004676F5" w:rsidRDefault="00296630" w:rsidP="00296630">
      <w:pPr>
        <w:ind w:firstLine="708"/>
        <w:jc w:val="both"/>
        <w:rPr>
          <w:lang w:val="de-DE"/>
        </w:rPr>
      </w:pPr>
      <w:r w:rsidRPr="004676F5">
        <w:rPr>
          <w:b/>
          <w:lang w:val="de-DE"/>
        </w:rPr>
        <w:t>Art. VII.216/61</w:t>
      </w:r>
      <w:r w:rsidRPr="004676F5">
        <w:rPr>
          <w:lang w:val="de-DE"/>
        </w:rPr>
        <w:t> </w:t>
      </w:r>
      <w:r w:rsidR="005B7A5C" w:rsidRPr="004676F5">
        <w:rPr>
          <w:lang w:val="de-DE"/>
        </w:rPr>
        <w:t>- </w:t>
      </w:r>
      <w:r w:rsidRPr="004676F5">
        <w:rPr>
          <w:lang w:val="de-DE"/>
        </w:rPr>
        <w:t>Ist der Wechsel von Personen zu Ehren angenommen, die ihren Wohnsitz am Zahlungsort haben, oder sind am Zahlungsort wohnende Personen angegeben, die im Notfall zahlen sollen, so muss der Inhaber spätestens am Tag nach Ablauf der Frist für die Erhebung des Protestes mangels Zahlung den Wechsel allen diesen Personen vorlegen und gegebenenfalls Protest wegen unterbliebener Ehrenzahlung erheben lassen.</w:t>
      </w:r>
    </w:p>
    <w:p w14:paraId="61BE0192" w14:textId="77777777" w:rsidR="00296630" w:rsidRPr="004676F5" w:rsidRDefault="00296630" w:rsidP="00296630">
      <w:pPr>
        <w:ind w:firstLine="708"/>
        <w:jc w:val="both"/>
        <w:rPr>
          <w:lang w:val="de-DE"/>
        </w:rPr>
      </w:pPr>
    </w:p>
    <w:p w14:paraId="514F2DAE" w14:textId="77777777" w:rsidR="00296630" w:rsidRPr="004676F5" w:rsidRDefault="00296630" w:rsidP="00296630">
      <w:pPr>
        <w:ind w:firstLine="708"/>
        <w:jc w:val="both"/>
        <w:rPr>
          <w:lang w:val="de-DE"/>
        </w:rPr>
      </w:pPr>
      <w:r w:rsidRPr="004676F5">
        <w:rPr>
          <w:lang w:val="de-DE"/>
        </w:rPr>
        <w:t>Wird der Protest nicht rechtzeitig erhoben, so werden derjenige, der die Notadresse angegeben hat oder zu dessen Ehren der Wechsel angenommen worden ist, und die Nachmänner frei.</w:t>
      </w:r>
    </w:p>
    <w:p w14:paraId="65985EC6" w14:textId="37F4B019" w:rsidR="00296630" w:rsidRPr="004676F5" w:rsidRDefault="00296630" w:rsidP="00296630">
      <w:pPr>
        <w:ind w:firstLine="708"/>
        <w:jc w:val="both"/>
        <w:rPr>
          <w:lang w:val="de-DE"/>
        </w:rPr>
      </w:pPr>
    </w:p>
    <w:p w14:paraId="41147092" w14:textId="77777777" w:rsidR="00296630" w:rsidRPr="004676F5" w:rsidRDefault="00296630" w:rsidP="00296630">
      <w:pPr>
        <w:ind w:firstLine="708"/>
        <w:jc w:val="both"/>
        <w:rPr>
          <w:lang w:val="de-DE"/>
        </w:rPr>
      </w:pPr>
    </w:p>
    <w:p w14:paraId="2178C7B8" w14:textId="424AC367" w:rsidR="00296630" w:rsidRPr="004676F5" w:rsidRDefault="00296630" w:rsidP="00296630">
      <w:pPr>
        <w:ind w:firstLine="708"/>
        <w:jc w:val="both"/>
        <w:rPr>
          <w:lang w:val="de-DE"/>
        </w:rPr>
      </w:pPr>
      <w:r w:rsidRPr="004676F5">
        <w:rPr>
          <w:b/>
          <w:lang w:val="de-DE"/>
        </w:rPr>
        <w:t>Art. VII.216/62</w:t>
      </w:r>
      <w:r w:rsidRPr="004676F5">
        <w:rPr>
          <w:lang w:val="de-DE"/>
        </w:rPr>
        <w:t> </w:t>
      </w:r>
      <w:r w:rsidR="005B7A5C" w:rsidRPr="004676F5">
        <w:rPr>
          <w:lang w:val="de-DE"/>
        </w:rPr>
        <w:t>- </w:t>
      </w:r>
      <w:r w:rsidRPr="004676F5">
        <w:rPr>
          <w:lang w:val="de-DE"/>
        </w:rPr>
        <w:t>Weist der Inhaber die Ehrenzahlung zurück, so verliert er den Rückgriff gegen diejenigen, die frei geworden wären.</w:t>
      </w:r>
    </w:p>
    <w:p w14:paraId="3192A600" w14:textId="482F6170" w:rsidR="00296630" w:rsidRPr="004676F5" w:rsidRDefault="00296630" w:rsidP="00296630">
      <w:pPr>
        <w:ind w:firstLine="708"/>
        <w:jc w:val="both"/>
        <w:rPr>
          <w:lang w:val="de-DE"/>
        </w:rPr>
      </w:pPr>
    </w:p>
    <w:p w14:paraId="5CB9DBB4" w14:textId="77777777" w:rsidR="00296630" w:rsidRPr="004676F5" w:rsidRDefault="00296630" w:rsidP="00296630">
      <w:pPr>
        <w:ind w:firstLine="708"/>
        <w:jc w:val="both"/>
        <w:rPr>
          <w:lang w:val="de-DE"/>
        </w:rPr>
      </w:pPr>
    </w:p>
    <w:p w14:paraId="61F724C4" w14:textId="6181854C" w:rsidR="00296630" w:rsidRPr="004676F5" w:rsidRDefault="00296630" w:rsidP="00296630">
      <w:pPr>
        <w:ind w:firstLine="708"/>
        <w:jc w:val="both"/>
        <w:rPr>
          <w:lang w:val="de-DE"/>
        </w:rPr>
      </w:pPr>
      <w:r w:rsidRPr="004676F5">
        <w:rPr>
          <w:b/>
          <w:lang w:val="de-DE"/>
        </w:rPr>
        <w:t>Art. VII.216/63</w:t>
      </w:r>
      <w:r w:rsidRPr="004676F5">
        <w:rPr>
          <w:lang w:val="de-DE"/>
        </w:rPr>
        <w:t> </w:t>
      </w:r>
      <w:r w:rsidR="005B7A5C" w:rsidRPr="004676F5">
        <w:rPr>
          <w:lang w:val="de-DE"/>
        </w:rPr>
        <w:t>- </w:t>
      </w:r>
      <w:r w:rsidRPr="004676F5">
        <w:rPr>
          <w:lang w:val="de-DE"/>
        </w:rPr>
        <w:t>Über die Ehrenzahlung ist auf dem Wechsel eine Quittung auszustellen, die denjenigen bezeichnet, für den gezahlt wird. Fehlt die Bezeichnung, so gilt die Zahlung für den Aussteller.</w:t>
      </w:r>
    </w:p>
    <w:p w14:paraId="614A5A14" w14:textId="77777777" w:rsidR="00296630" w:rsidRPr="004676F5" w:rsidRDefault="00296630" w:rsidP="00296630">
      <w:pPr>
        <w:ind w:firstLine="708"/>
        <w:jc w:val="both"/>
        <w:rPr>
          <w:lang w:val="de-DE"/>
        </w:rPr>
      </w:pPr>
    </w:p>
    <w:p w14:paraId="7C6E9A29" w14:textId="77777777" w:rsidR="00296630" w:rsidRPr="004676F5" w:rsidRDefault="00296630" w:rsidP="00296630">
      <w:pPr>
        <w:ind w:firstLine="708"/>
        <w:jc w:val="both"/>
        <w:rPr>
          <w:lang w:val="de-DE"/>
        </w:rPr>
      </w:pPr>
      <w:r w:rsidRPr="004676F5">
        <w:rPr>
          <w:lang w:val="de-DE"/>
        </w:rPr>
        <w:t xml:space="preserve">Der Wechsel und der etwa erhobene Protest sind dem Ehrenzahler auszuhändigen. </w:t>
      </w:r>
    </w:p>
    <w:p w14:paraId="3A1D227D" w14:textId="612E764F" w:rsidR="00296630" w:rsidRPr="004676F5" w:rsidRDefault="00296630" w:rsidP="00296630">
      <w:pPr>
        <w:ind w:firstLine="708"/>
        <w:jc w:val="both"/>
        <w:rPr>
          <w:lang w:val="de-DE"/>
        </w:rPr>
      </w:pPr>
    </w:p>
    <w:p w14:paraId="4E7DA072" w14:textId="77777777" w:rsidR="00296630" w:rsidRPr="004676F5" w:rsidRDefault="00296630" w:rsidP="00296630">
      <w:pPr>
        <w:ind w:firstLine="708"/>
        <w:jc w:val="both"/>
        <w:rPr>
          <w:lang w:val="de-DE"/>
        </w:rPr>
      </w:pPr>
    </w:p>
    <w:p w14:paraId="0AC0D82D" w14:textId="74C8845A" w:rsidR="00296630" w:rsidRPr="004676F5" w:rsidRDefault="00296630" w:rsidP="00296630">
      <w:pPr>
        <w:ind w:firstLine="708"/>
        <w:jc w:val="both"/>
        <w:rPr>
          <w:lang w:val="de-DE"/>
        </w:rPr>
      </w:pPr>
      <w:r w:rsidRPr="004676F5">
        <w:rPr>
          <w:b/>
          <w:lang w:val="de-DE"/>
        </w:rPr>
        <w:t>Art. VII.216/64</w:t>
      </w:r>
      <w:r w:rsidRPr="004676F5">
        <w:rPr>
          <w:lang w:val="de-DE"/>
        </w:rPr>
        <w:t> </w:t>
      </w:r>
      <w:r w:rsidR="005B7A5C" w:rsidRPr="004676F5">
        <w:rPr>
          <w:lang w:val="de-DE"/>
        </w:rPr>
        <w:t>- </w:t>
      </w:r>
      <w:r w:rsidRPr="004676F5">
        <w:rPr>
          <w:lang w:val="de-DE"/>
        </w:rPr>
        <w:t>Der Ehrenzahler erwirbt die Rechte aus dem Wechsel gegen den Wechselverpflichteten, für den er gezahlt hat, und gegen die Personen, die diesem gegenüber aus dem Wechsel haften. Er kann jedoch den Wechsel nicht weiter indossieren.</w:t>
      </w:r>
    </w:p>
    <w:p w14:paraId="2331E3C2" w14:textId="77777777" w:rsidR="00296630" w:rsidRPr="004676F5" w:rsidRDefault="00296630" w:rsidP="00296630">
      <w:pPr>
        <w:ind w:firstLine="708"/>
        <w:jc w:val="both"/>
        <w:rPr>
          <w:lang w:val="de-DE"/>
        </w:rPr>
      </w:pPr>
    </w:p>
    <w:p w14:paraId="4BFB3FCD" w14:textId="77777777" w:rsidR="00296630" w:rsidRPr="004676F5" w:rsidRDefault="00296630" w:rsidP="00296630">
      <w:pPr>
        <w:ind w:firstLine="708"/>
        <w:jc w:val="both"/>
        <w:rPr>
          <w:lang w:val="de-DE"/>
        </w:rPr>
      </w:pPr>
      <w:r w:rsidRPr="004676F5">
        <w:rPr>
          <w:lang w:val="de-DE"/>
        </w:rPr>
        <w:t>Die Nachmänner des Wechselverpflichteten, für den gezahlt worden ist, werden frei.</w:t>
      </w:r>
    </w:p>
    <w:p w14:paraId="00CB6967" w14:textId="77777777" w:rsidR="00296630" w:rsidRPr="004676F5" w:rsidRDefault="00296630" w:rsidP="00296630">
      <w:pPr>
        <w:ind w:firstLine="708"/>
        <w:jc w:val="both"/>
        <w:rPr>
          <w:lang w:val="de-DE"/>
        </w:rPr>
      </w:pPr>
    </w:p>
    <w:p w14:paraId="43CAEEB6" w14:textId="7DF9B4C1" w:rsidR="00296630" w:rsidRPr="004676F5" w:rsidRDefault="00296630" w:rsidP="00296630">
      <w:pPr>
        <w:jc w:val="both"/>
        <w:rPr>
          <w:lang w:val="de-DE"/>
        </w:rPr>
      </w:pPr>
      <w:r w:rsidRPr="004676F5">
        <w:rPr>
          <w:lang w:val="de-DE"/>
        </w:rPr>
        <w:tab/>
        <w:t>Sind mehrere Ehrenzahlungen angeboten, so gebührt derjenigen der Vorzug, durch die die meisten Wechselverpflichteten frei werden. Wer entgegen dieser Vorschrift in Kenntnis der Sachlage zu Ehren zahlt, verliert den Rückgriff gegen diejenigen, die sonst frei geworden wären.]</w:t>
      </w:r>
    </w:p>
    <w:p w14:paraId="6F98448D" w14:textId="3F8AB98D" w:rsidR="00296630" w:rsidRPr="004676F5" w:rsidRDefault="00296630" w:rsidP="00296630">
      <w:pPr>
        <w:jc w:val="both"/>
        <w:rPr>
          <w:lang w:val="de-DE"/>
        </w:rPr>
      </w:pPr>
    </w:p>
    <w:p w14:paraId="5265B61B" w14:textId="2597D5DA" w:rsidR="00296630" w:rsidRPr="004676F5" w:rsidRDefault="00296630" w:rsidP="00296630">
      <w:pPr>
        <w:jc w:val="both"/>
        <w:rPr>
          <w:i/>
          <w:lang w:val="de-DE"/>
        </w:rPr>
      </w:pPr>
      <w:r w:rsidRPr="004676F5">
        <w:rPr>
          <w:i/>
          <w:lang w:val="de-DE"/>
        </w:rPr>
        <w:t>[Art. VII.216/60 bis VII.216/64 eingefügt durch Art. 124 des G. vom 15. April 2018 (B.S. vom 27. April 2018)]</w:t>
      </w:r>
    </w:p>
    <w:p w14:paraId="4CF3E2E3" w14:textId="4353FE60" w:rsidR="00296630" w:rsidRPr="004676F5" w:rsidRDefault="00296630" w:rsidP="00296630">
      <w:pPr>
        <w:jc w:val="both"/>
        <w:rPr>
          <w:i/>
          <w:lang w:val="de-DE"/>
        </w:rPr>
      </w:pPr>
    </w:p>
    <w:p w14:paraId="08526F89" w14:textId="5D8D9942" w:rsidR="00296630" w:rsidRPr="004676F5" w:rsidRDefault="00296630" w:rsidP="00296630">
      <w:pPr>
        <w:jc w:val="both"/>
        <w:rPr>
          <w:i/>
          <w:lang w:val="de-DE"/>
        </w:rPr>
      </w:pPr>
    </w:p>
    <w:p w14:paraId="1B43DE3B" w14:textId="179BAA94" w:rsidR="00296630" w:rsidRPr="004676F5" w:rsidRDefault="00296630" w:rsidP="00296630">
      <w:pPr>
        <w:jc w:val="center"/>
        <w:rPr>
          <w:lang w:val="de-DE"/>
        </w:rPr>
      </w:pPr>
      <w:r w:rsidRPr="004676F5">
        <w:rPr>
          <w:lang w:val="de-DE"/>
        </w:rPr>
        <w:t>[</w:t>
      </w:r>
      <w:r w:rsidRPr="004676F5">
        <w:rPr>
          <w:i/>
          <w:lang w:val="de-DE"/>
        </w:rPr>
        <w:t>Abschnitt 9</w:t>
      </w:r>
      <w:r w:rsidRPr="004676F5">
        <w:rPr>
          <w:lang w:val="de-DE"/>
        </w:rPr>
        <w:t> </w:t>
      </w:r>
      <w:r w:rsidR="005B7A5C" w:rsidRPr="004676F5">
        <w:rPr>
          <w:lang w:val="de-DE"/>
        </w:rPr>
        <w:t>- </w:t>
      </w:r>
      <w:r w:rsidRPr="004676F5">
        <w:rPr>
          <w:lang w:val="de-DE"/>
        </w:rPr>
        <w:t>Ausfertigung mehrerer Stücke eines Wechsels und Wechselabschriften]</w:t>
      </w:r>
    </w:p>
    <w:p w14:paraId="15B14BBD" w14:textId="45CDCD36" w:rsidR="00296630" w:rsidRPr="004676F5" w:rsidRDefault="00296630" w:rsidP="00296630">
      <w:pPr>
        <w:ind w:firstLine="708"/>
        <w:jc w:val="both"/>
        <w:rPr>
          <w:lang w:val="de-DE"/>
        </w:rPr>
      </w:pPr>
    </w:p>
    <w:p w14:paraId="2DAF8E39" w14:textId="1E1E52E6" w:rsidR="00296630" w:rsidRPr="004676F5" w:rsidRDefault="00296630" w:rsidP="00296630">
      <w:pPr>
        <w:jc w:val="both"/>
        <w:rPr>
          <w:i/>
          <w:iCs/>
          <w:lang w:val="de-DE"/>
        </w:rPr>
      </w:pPr>
      <w:r w:rsidRPr="004676F5">
        <w:rPr>
          <w:i/>
          <w:lang w:val="de-DE"/>
        </w:rPr>
        <w:t>[Unterteilung Abschnitt 9 eingefügt durch Art. 125</w:t>
      </w:r>
      <w:r w:rsidRPr="004676F5">
        <w:rPr>
          <w:i/>
          <w:iCs/>
          <w:lang w:val="de-DE"/>
        </w:rPr>
        <w:t xml:space="preserve"> des G. vom 15. April 2018 (B.S. vom 27. April 2018)]</w:t>
      </w:r>
    </w:p>
    <w:p w14:paraId="034660DF" w14:textId="77777777" w:rsidR="00296630" w:rsidRPr="004676F5" w:rsidRDefault="00296630" w:rsidP="00296630">
      <w:pPr>
        <w:ind w:firstLine="708"/>
        <w:jc w:val="both"/>
        <w:rPr>
          <w:lang w:val="de-DE"/>
        </w:rPr>
      </w:pPr>
    </w:p>
    <w:p w14:paraId="4DB33E04" w14:textId="77777777" w:rsidR="00296630" w:rsidRPr="004676F5" w:rsidRDefault="00296630" w:rsidP="00296630">
      <w:pPr>
        <w:ind w:firstLine="708"/>
        <w:jc w:val="both"/>
        <w:rPr>
          <w:lang w:val="de-DE"/>
        </w:rPr>
      </w:pPr>
    </w:p>
    <w:p w14:paraId="1C3D658D" w14:textId="738E48E7" w:rsidR="00296630" w:rsidRPr="004676F5" w:rsidRDefault="00296630" w:rsidP="00296630">
      <w:pPr>
        <w:jc w:val="center"/>
        <w:rPr>
          <w:lang w:val="de-DE"/>
        </w:rPr>
      </w:pPr>
      <w:r w:rsidRPr="004676F5">
        <w:rPr>
          <w:lang w:val="de-DE"/>
        </w:rPr>
        <w:t>[Unterabschnitt 1 </w:t>
      </w:r>
      <w:r w:rsidR="005B7A5C" w:rsidRPr="004676F5">
        <w:rPr>
          <w:lang w:val="de-DE"/>
        </w:rPr>
        <w:t>- </w:t>
      </w:r>
      <w:r w:rsidRPr="004676F5">
        <w:rPr>
          <w:lang w:val="de-DE"/>
        </w:rPr>
        <w:t>Ausfertigungen]</w:t>
      </w:r>
    </w:p>
    <w:p w14:paraId="3F4135BE" w14:textId="43B77E35" w:rsidR="00296630" w:rsidRPr="004676F5" w:rsidRDefault="00296630" w:rsidP="00296630">
      <w:pPr>
        <w:jc w:val="center"/>
        <w:rPr>
          <w:lang w:val="de-DE"/>
        </w:rPr>
      </w:pPr>
    </w:p>
    <w:p w14:paraId="25712AA1" w14:textId="3C622A41" w:rsidR="00296630" w:rsidRPr="004676F5" w:rsidRDefault="00296630" w:rsidP="00296630">
      <w:pPr>
        <w:jc w:val="both"/>
        <w:rPr>
          <w:iCs/>
          <w:lang w:val="de-DE"/>
        </w:rPr>
      </w:pPr>
      <w:r w:rsidRPr="004676F5">
        <w:rPr>
          <w:i/>
          <w:lang w:val="de-DE"/>
        </w:rPr>
        <w:t>[Unterteilung Unterabschnitt 1 eingefügt durch Art. 126</w:t>
      </w:r>
      <w:r w:rsidRPr="004676F5">
        <w:rPr>
          <w:i/>
          <w:iCs/>
          <w:lang w:val="de-DE"/>
        </w:rPr>
        <w:t xml:space="preserve"> des G. vom 15. April 2018 (B.S. vom 27. April 2018)]</w:t>
      </w:r>
    </w:p>
    <w:p w14:paraId="1CFBD51C" w14:textId="042B5051" w:rsidR="00296630" w:rsidRPr="004676F5" w:rsidRDefault="00296630" w:rsidP="00296630">
      <w:pPr>
        <w:jc w:val="both"/>
        <w:rPr>
          <w:iCs/>
          <w:lang w:val="de-DE"/>
        </w:rPr>
      </w:pPr>
    </w:p>
    <w:p w14:paraId="0CB4EF4C" w14:textId="144CEF1C" w:rsidR="00296630" w:rsidRPr="004676F5" w:rsidRDefault="00296630" w:rsidP="00296630">
      <w:pPr>
        <w:jc w:val="both"/>
        <w:rPr>
          <w:iCs/>
          <w:lang w:val="de-DE"/>
        </w:rPr>
      </w:pPr>
    </w:p>
    <w:p w14:paraId="1B747B12" w14:textId="09E44E1F" w:rsidR="00296630" w:rsidRPr="004676F5" w:rsidRDefault="00296630" w:rsidP="00296630">
      <w:pPr>
        <w:ind w:firstLine="708"/>
        <w:jc w:val="both"/>
        <w:rPr>
          <w:lang w:val="de-DE"/>
        </w:rPr>
      </w:pPr>
      <w:r w:rsidRPr="004676F5">
        <w:rPr>
          <w:iCs/>
          <w:lang w:val="de-DE"/>
        </w:rPr>
        <w:t>[</w:t>
      </w:r>
      <w:r w:rsidRPr="004676F5">
        <w:rPr>
          <w:b/>
          <w:lang w:val="de-DE"/>
        </w:rPr>
        <w:t>Art. VII.216/65</w:t>
      </w:r>
      <w:r w:rsidRPr="004676F5">
        <w:rPr>
          <w:lang w:val="de-DE"/>
        </w:rPr>
        <w:t> </w:t>
      </w:r>
      <w:r w:rsidR="005B7A5C" w:rsidRPr="004676F5">
        <w:rPr>
          <w:lang w:val="de-DE"/>
        </w:rPr>
        <w:t>- </w:t>
      </w:r>
      <w:r w:rsidRPr="004676F5">
        <w:rPr>
          <w:lang w:val="de-DE"/>
        </w:rPr>
        <w:t>Der Wechsel kann in mehreren gleichen Ausfertigungen ausgestellt werden.</w:t>
      </w:r>
    </w:p>
    <w:p w14:paraId="5EA2311D" w14:textId="77777777" w:rsidR="00296630" w:rsidRPr="004676F5" w:rsidRDefault="00296630" w:rsidP="00296630">
      <w:pPr>
        <w:ind w:firstLine="708"/>
        <w:jc w:val="both"/>
        <w:rPr>
          <w:lang w:val="de-DE"/>
        </w:rPr>
      </w:pPr>
    </w:p>
    <w:p w14:paraId="0F42FBA2" w14:textId="77777777" w:rsidR="00296630" w:rsidRPr="004676F5" w:rsidRDefault="00296630" w:rsidP="00296630">
      <w:pPr>
        <w:ind w:firstLine="708"/>
        <w:jc w:val="both"/>
        <w:rPr>
          <w:lang w:val="de-DE"/>
        </w:rPr>
      </w:pPr>
      <w:r w:rsidRPr="004676F5">
        <w:rPr>
          <w:lang w:val="de-DE"/>
        </w:rPr>
        <w:t>Diese Ausfertigungen müssen im Text der Urkunde mit fortlaufenden Nummern versehen sein; andernfalls gilt jede Ausfertigung als besonderer Wechsel.</w:t>
      </w:r>
    </w:p>
    <w:p w14:paraId="17BC1E04" w14:textId="77777777" w:rsidR="00296630" w:rsidRPr="004676F5" w:rsidRDefault="00296630" w:rsidP="00296630">
      <w:pPr>
        <w:ind w:firstLine="708"/>
        <w:jc w:val="both"/>
        <w:rPr>
          <w:lang w:val="de-DE"/>
        </w:rPr>
      </w:pPr>
    </w:p>
    <w:p w14:paraId="26D840B8" w14:textId="77777777" w:rsidR="00296630" w:rsidRPr="004676F5" w:rsidRDefault="00296630" w:rsidP="00296630">
      <w:pPr>
        <w:ind w:firstLine="708"/>
        <w:jc w:val="both"/>
        <w:rPr>
          <w:lang w:val="de-DE"/>
        </w:rPr>
      </w:pPr>
      <w:r w:rsidRPr="004676F5">
        <w:rPr>
          <w:lang w:val="de-DE"/>
        </w:rPr>
        <w:t>Jeder Inhaber eines Wechsels kann auf seine Kosten die Übergabe mehrerer Ausfertigungen verlangen, sofern nicht aus dem Wechsel zu ersehen ist, dass er in einer einzigen Ausfertigung ausgestellt worden ist. Zu diesem Zweck hat sich der Inhaber an seinen unmittelbaren Vormann zu wenden, der wieder an seinen Vormann zurückgehen muss, und so weiter in der Reihenfolge bis zum Aussteller. Die Indossanten sind verpflichtet, ihre Indossamente auf den x Ausfertigungen zu wiederholen.</w:t>
      </w:r>
    </w:p>
    <w:p w14:paraId="51378E56" w14:textId="13B53768" w:rsidR="00296630" w:rsidRPr="004676F5" w:rsidRDefault="00296630" w:rsidP="00296630">
      <w:pPr>
        <w:ind w:firstLine="708"/>
        <w:jc w:val="both"/>
        <w:rPr>
          <w:lang w:val="de-DE"/>
        </w:rPr>
      </w:pPr>
    </w:p>
    <w:p w14:paraId="2A1B581D" w14:textId="77777777" w:rsidR="00296630" w:rsidRPr="004676F5" w:rsidRDefault="00296630" w:rsidP="00296630">
      <w:pPr>
        <w:ind w:firstLine="708"/>
        <w:jc w:val="both"/>
        <w:rPr>
          <w:lang w:val="de-DE"/>
        </w:rPr>
      </w:pPr>
    </w:p>
    <w:p w14:paraId="5B5C5B9F" w14:textId="052713D0" w:rsidR="00296630" w:rsidRPr="004676F5" w:rsidRDefault="00296630" w:rsidP="00296630">
      <w:pPr>
        <w:ind w:firstLine="708"/>
        <w:jc w:val="both"/>
        <w:rPr>
          <w:lang w:val="de-DE"/>
        </w:rPr>
      </w:pPr>
      <w:r w:rsidRPr="004676F5">
        <w:rPr>
          <w:b/>
          <w:lang w:val="de-DE"/>
        </w:rPr>
        <w:t>Art. VII.216/66</w:t>
      </w:r>
      <w:r w:rsidRPr="004676F5">
        <w:rPr>
          <w:lang w:val="de-DE"/>
        </w:rPr>
        <w:t> </w:t>
      </w:r>
      <w:r w:rsidR="005B7A5C" w:rsidRPr="004676F5">
        <w:rPr>
          <w:lang w:val="de-DE"/>
        </w:rPr>
        <w:t>- </w:t>
      </w:r>
      <w:r w:rsidRPr="004676F5">
        <w:rPr>
          <w:lang w:val="de-DE"/>
        </w:rPr>
        <w:t>Wird eine Ausfertigung bezahlt, so erlöschen die Rechte aus allen Ausfertigungen, auch wenn diese nicht den Vermerk tragen, dass durch die Zahlung auf eine Ausfertigung die anderen ihre Gültigkeit verlieren. Jedoch bleibt der Bezogene aus jeder angenommenen Ausfertigung, die ihm nicht zurückgegeben worden ist, verpflichtet.</w:t>
      </w:r>
    </w:p>
    <w:p w14:paraId="0133CF90" w14:textId="77777777" w:rsidR="00296630" w:rsidRPr="004676F5" w:rsidRDefault="00296630" w:rsidP="00296630">
      <w:pPr>
        <w:ind w:firstLine="708"/>
        <w:jc w:val="both"/>
        <w:rPr>
          <w:lang w:val="de-DE"/>
        </w:rPr>
      </w:pPr>
    </w:p>
    <w:p w14:paraId="3BAE70E6" w14:textId="77777777" w:rsidR="00296630" w:rsidRPr="004676F5" w:rsidRDefault="00296630" w:rsidP="00296630">
      <w:pPr>
        <w:ind w:firstLine="708"/>
        <w:jc w:val="both"/>
        <w:rPr>
          <w:lang w:val="de-DE"/>
        </w:rPr>
      </w:pPr>
      <w:r w:rsidRPr="004676F5">
        <w:rPr>
          <w:lang w:val="de-DE"/>
        </w:rPr>
        <w:t>Hat ein Indossant die Ausfertigungen an verschiedene Personen übertragen, so haften er und seine Nachmänner aus allen Ausfertigungen, die ihre Unterschrift tragen und nicht herausgegeben worden sind.</w:t>
      </w:r>
    </w:p>
    <w:p w14:paraId="2E2DFA21" w14:textId="76102760" w:rsidR="00296630" w:rsidRPr="004676F5" w:rsidRDefault="00296630" w:rsidP="00296630">
      <w:pPr>
        <w:ind w:firstLine="708"/>
        <w:jc w:val="both"/>
        <w:rPr>
          <w:lang w:val="de-DE"/>
        </w:rPr>
      </w:pPr>
    </w:p>
    <w:p w14:paraId="64C37BB8" w14:textId="77777777" w:rsidR="00296630" w:rsidRPr="004676F5" w:rsidRDefault="00296630" w:rsidP="00296630">
      <w:pPr>
        <w:ind w:firstLine="708"/>
        <w:jc w:val="both"/>
        <w:rPr>
          <w:lang w:val="de-DE"/>
        </w:rPr>
      </w:pPr>
    </w:p>
    <w:p w14:paraId="34E1895F" w14:textId="0FAA955A" w:rsidR="00296630" w:rsidRPr="004676F5" w:rsidRDefault="00296630" w:rsidP="00296630">
      <w:pPr>
        <w:ind w:firstLine="708"/>
        <w:jc w:val="both"/>
        <w:rPr>
          <w:lang w:val="de-DE"/>
        </w:rPr>
      </w:pPr>
      <w:r w:rsidRPr="004676F5">
        <w:rPr>
          <w:b/>
          <w:lang w:val="de-DE"/>
        </w:rPr>
        <w:t>Art. VII.216/67</w:t>
      </w:r>
      <w:r w:rsidRPr="004676F5">
        <w:rPr>
          <w:lang w:val="de-DE"/>
        </w:rPr>
        <w:t> </w:t>
      </w:r>
      <w:r w:rsidR="005B7A5C" w:rsidRPr="004676F5">
        <w:rPr>
          <w:lang w:val="de-DE"/>
        </w:rPr>
        <w:t>- </w:t>
      </w:r>
      <w:r w:rsidRPr="004676F5">
        <w:rPr>
          <w:lang w:val="de-DE"/>
        </w:rPr>
        <w:t>Wer eine Ausfertigung zur Annahme versendet, hat auf den anderen Ausfertigungen den Namen dessen anzugeben, bei dem sich die versendete Ausfertigung befindet. Dieser ist verpflichtet, sie dem rechtmäßigen Inhaber einer anderen Ausfertigung auszuhändigen.</w:t>
      </w:r>
    </w:p>
    <w:p w14:paraId="4B5FE2FE" w14:textId="77777777" w:rsidR="00296630" w:rsidRPr="004676F5" w:rsidRDefault="00296630" w:rsidP="00296630">
      <w:pPr>
        <w:jc w:val="both"/>
        <w:rPr>
          <w:lang w:val="de-DE"/>
        </w:rPr>
      </w:pPr>
    </w:p>
    <w:p w14:paraId="233D6963" w14:textId="77777777" w:rsidR="00296630" w:rsidRPr="004676F5" w:rsidRDefault="00296630" w:rsidP="00296630">
      <w:pPr>
        <w:ind w:firstLine="708"/>
        <w:jc w:val="both"/>
        <w:rPr>
          <w:lang w:val="de-DE"/>
        </w:rPr>
      </w:pPr>
      <w:r w:rsidRPr="004676F5">
        <w:rPr>
          <w:lang w:val="de-DE"/>
        </w:rPr>
        <w:t>Wird die Aushändigung verweigert, so kann der Inhaber nur Rückgriff nehmen, nachdem er durch einen Protest hat feststellen lassen:</w:t>
      </w:r>
    </w:p>
    <w:p w14:paraId="0600C90B" w14:textId="77777777" w:rsidR="00296630" w:rsidRPr="004676F5" w:rsidRDefault="00296630" w:rsidP="00296630">
      <w:pPr>
        <w:ind w:firstLine="708"/>
        <w:jc w:val="both"/>
        <w:rPr>
          <w:lang w:val="de-DE"/>
        </w:rPr>
      </w:pPr>
    </w:p>
    <w:p w14:paraId="672D68CF" w14:textId="77777777" w:rsidR="00296630" w:rsidRPr="004676F5" w:rsidRDefault="00296630" w:rsidP="00296630">
      <w:pPr>
        <w:ind w:firstLine="708"/>
        <w:jc w:val="both"/>
        <w:rPr>
          <w:lang w:val="de-DE"/>
        </w:rPr>
      </w:pPr>
      <w:r w:rsidRPr="004676F5">
        <w:rPr>
          <w:lang w:val="de-DE"/>
        </w:rPr>
        <w:t>1. dass ihm die zur Annahme versendete Ausfertigung nicht auf sein Verlangen ausgehändigt worden ist,</w:t>
      </w:r>
    </w:p>
    <w:p w14:paraId="541AC7C8" w14:textId="77777777" w:rsidR="00296630" w:rsidRPr="004676F5" w:rsidRDefault="00296630" w:rsidP="00296630">
      <w:pPr>
        <w:ind w:firstLine="708"/>
        <w:jc w:val="both"/>
        <w:rPr>
          <w:lang w:val="de-DE"/>
        </w:rPr>
      </w:pPr>
    </w:p>
    <w:p w14:paraId="1F3AC802" w14:textId="77777777" w:rsidR="00591DDC" w:rsidRPr="004676F5" w:rsidRDefault="00591DDC">
      <w:pPr>
        <w:rPr>
          <w:lang w:val="de-DE"/>
        </w:rPr>
      </w:pPr>
      <w:r w:rsidRPr="004676F5">
        <w:rPr>
          <w:lang w:val="de-DE"/>
        </w:rPr>
        <w:br w:type="page"/>
      </w:r>
    </w:p>
    <w:p w14:paraId="667DB6FF" w14:textId="1FC9E3F4" w:rsidR="00296630" w:rsidRPr="004676F5" w:rsidRDefault="00296630" w:rsidP="00296630">
      <w:pPr>
        <w:jc w:val="both"/>
        <w:rPr>
          <w:lang w:val="de-DE"/>
        </w:rPr>
      </w:pPr>
      <w:r w:rsidRPr="004676F5">
        <w:rPr>
          <w:lang w:val="de-DE"/>
        </w:rPr>
        <w:lastRenderedPageBreak/>
        <w:tab/>
        <w:t>2. dass die Annahme oder die Zahlung auch nicht auf eine andere Ausfertigung zu erlangen war.]</w:t>
      </w:r>
    </w:p>
    <w:p w14:paraId="2BB8D42F" w14:textId="6CB0C83E" w:rsidR="00296630" w:rsidRPr="004676F5" w:rsidRDefault="00296630" w:rsidP="00296630">
      <w:pPr>
        <w:jc w:val="both"/>
        <w:rPr>
          <w:lang w:val="de-DE"/>
        </w:rPr>
      </w:pPr>
    </w:p>
    <w:p w14:paraId="586B2052" w14:textId="1B1328A8" w:rsidR="00296630" w:rsidRPr="004676F5" w:rsidRDefault="00296630" w:rsidP="00296630">
      <w:pPr>
        <w:jc w:val="both"/>
        <w:rPr>
          <w:i/>
          <w:lang w:val="de-DE"/>
        </w:rPr>
      </w:pPr>
      <w:r w:rsidRPr="004676F5">
        <w:rPr>
          <w:i/>
          <w:lang w:val="de-DE"/>
        </w:rPr>
        <w:t>[Art. VII.216/65 bis VII.216/67 eingefügt durch Art. 127 des G. vom 15. April 2018 (B.S. vom 27. April 2018)]</w:t>
      </w:r>
    </w:p>
    <w:p w14:paraId="54FEE311" w14:textId="77777777" w:rsidR="00296630" w:rsidRPr="004676F5" w:rsidRDefault="00296630" w:rsidP="00296630">
      <w:pPr>
        <w:jc w:val="both"/>
        <w:rPr>
          <w:iCs/>
          <w:lang w:val="de-DE"/>
        </w:rPr>
      </w:pPr>
    </w:p>
    <w:p w14:paraId="71719C54" w14:textId="6C46E821" w:rsidR="00296630" w:rsidRPr="004676F5" w:rsidRDefault="00296630" w:rsidP="00296630">
      <w:pPr>
        <w:jc w:val="center"/>
        <w:rPr>
          <w:lang w:val="de-DE"/>
        </w:rPr>
      </w:pPr>
    </w:p>
    <w:p w14:paraId="77443099" w14:textId="3D060969" w:rsidR="00296630" w:rsidRPr="004676F5" w:rsidRDefault="00296630" w:rsidP="00296630">
      <w:pPr>
        <w:jc w:val="center"/>
        <w:rPr>
          <w:lang w:val="de-DE"/>
        </w:rPr>
      </w:pPr>
      <w:r w:rsidRPr="004676F5">
        <w:rPr>
          <w:lang w:val="de-DE"/>
        </w:rPr>
        <w:t>[Unterabschnitt 2 </w:t>
      </w:r>
      <w:r w:rsidR="005B7A5C" w:rsidRPr="004676F5">
        <w:rPr>
          <w:lang w:val="de-DE"/>
        </w:rPr>
        <w:t>- </w:t>
      </w:r>
      <w:r w:rsidRPr="004676F5">
        <w:rPr>
          <w:lang w:val="de-DE"/>
        </w:rPr>
        <w:t>Abschriften]</w:t>
      </w:r>
    </w:p>
    <w:p w14:paraId="4CE0A487" w14:textId="6114BB9D" w:rsidR="00296630" w:rsidRPr="004676F5" w:rsidRDefault="00296630" w:rsidP="00296630">
      <w:pPr>
        <w:jc w:val="center"/>
        <w:rPr>
          <w:lang w:val="de-DE"/>
        </w:rPr>
      </w:pPr>
    </w:p>
    <w:p w14:paraId="18D92E4B" w14:textId="700AE65C" w:rsidR="00296630" w:rsidRPr="004676F5" w:rsidRDefault="00296630" w:rsidP="00296630">
      <w:pPr>
        <w:jc w:val="both"/>
        <w:rPr>
          <w:i/>
          <w:iCs/>
          <w:lang w:val="de-DE"/>
        </w:rPr>
      </w:pPr>
      <w:r w:rsidRPr="004676F5">
        <w:rPr>
          <w:i/>
          <w:lang w:val="de-DE"/>
        </w:rPr>
        <w:t>[Unterteilung Unterabschnitt 2 eingefügt durch Art. 128</w:t>
      </w:r>
      <w:r w:rsidRPr="004676F5">
        <w:rPr>
          <w:i/>
          <w:iCs/>
          <w:lang w:val="de-DE"/>
        </w:rPr>
        <w:t xml:space="preserve"> des G. vom 15. April 2018 (B.S. vom 27. April 2018)]</w:t>
      </w:r>
    </w:p>
    <w:p w14:paraId="736E5770" w14:textId="77777777" w:rsidR="00296630" w:rsidRPr="004676F5" w:rsidRDefault="00296630" w:rsidP="00296630">
      <w:pPr>
        <w:jc w:val="center"/>
        <w:rPr>
          <w:lang w:val="de-DE"/>
        </w:rPr>
      </w:pPr>
    </w:p>
    <w:p w14:paraId="47FD3874" w14:textId="6D343C59" w:rsidR="00296630" w:rsidRPr="004676F5" w:rsidRDefault="00296630" w:rsidP="00296630">
      <w:pPr>
        <w:jc w:val="both"/>
        <w:rPr>
          <w:iCs/>
          <w:lang w:val="de-DE"/>
        </w:rPr>
      </w:pPr>
    </w:p>
    <w:p w14:paraId="5207A614" w14:textId="4593C40F" w:rsidR="00296630" w:rsidRPr="004676F5" w:rsidRDefault="00296630" w:rsidP="00296630">
      <w:pPr>
        <w:ind w:firstLine="708"/>
        <w:jc w:val="both"/>
        <w:rPr>
          <w:lang w:val="de-DE"/>
        </w:rPr>
      </w:pPr>
      <w:r w:rsidRPr="004676F5">
        <w:rPr>
          <w:iCs/>
          <w:lang w:val="de-DE"/>
        </w:rPr>
        <w:t>[</w:t>
      </w:r>
      <w:r w:rsidRPr="004676F5">
        <w:rPr>
          <w:b/>
          <w:lang w:val="de-DE"/>
        </w:rPr>
        <w:t>Art. VII.216/68</w:t>
      </w:r>
      <w:r w:rsidRPr="004676F5">
        <w:rPr>
          <w:lang w:val="de-DE"/>
        </w:rPr>
        <w:t> </w:t>
      </w:r>
      <w:r w:rsidR="005B7A5C" w:rsidRPr="004676F5">
        <w:rPr>
          <w:lang w:val="de-DE"/>
        </w:rPr>
        <w:t>- </w:t>
      </w:r>
      <w:r w:rsidRPr="004676F5">
        <w:rPr>
          <w:lang w:val="de-DE"/>
        </w:rPr>
        <w:t>Jeder Inhaber eines Wechsels ist befugt, Abschriften davon herzustellen.</w:t>
      </w:r>
    </w:p>
    <w:p w14:paraId="0A7B374B" w14:textId="77777777" w:rsidR="00296630" w:rsidRPr="004676F5" w:rsidRDefault="00296630" w:rsidP="00296630">
      <w:pPr>
        <w:ind w:firstLine="708"/>
        <w:jc w:val="both"/>
        <w:rPr>
          <w:lang w:val="de-DE"/>
        </w:rPr>
      </w:pPr>
    </w:p>
    <w:p w14:paraId="3404EC8C" w14:textId="77777777" w:rsidR="00296630" w:rsidRPr="004676F5" w:rsidRDefault="00296630" w:rsidP="00296630">
      <w:pPr>
        <w:ind w:firstLine="708"/>
        <w:jc w:val="both"/>
        <w:rPr>
          <w:lang w:val="de-DE"/>
        </w:rPr>
      </w:pPr>
      <w:r w:rsidRPr="004676F5">
        <w:rPr>
          <w:lang w:val="de-DE"/>
        </w:rPr>
        <w:t>Die Abschrift muss die Urschrift mit den Indossamenten und allen anderen darauf befindlichen Vermerken genau wiedergeben. Es muss angegeben sein, wie weit die Abschrift reicht.</w:t>
      </w:r>
    </w:p>
    <w:p w14:paraId="3BF38875" w14:textId="77777777" w:rsidR="00296630" w:rsidRPr="004676F5" w:rsidRDefault="00296630" w:rsidP="00296630">
      <w:pPr>
        <w:ind w:firstLine="708"/>
        <w:jc w:val="both"/>
        <w:rPr>
          <w:lang w:val="de-DE"/>
        </w:rPr>
      </w:pPr>
    </w:p>
    <w:p w14:paraId="08C6C2EE" w14:textId="77777777" w:rsidR="00296630" w:rsidRPr="004676F5" w:rsidRDefault="00296630" w:rsidP="00296630">
      <w:pPr>
        <w:ind w:firstLine="708"/>
        <w:jc w:val="both"/>
        <w:rPr>
          <w:lang w:val="de-DE"/>
        </w:rPr>
      </w:pPr>
      <w:r w:rsidRPr="004676F5">
        <w:rPr>
          <w:lang w:val="de-DE"/>
        </w:rPr>
        <w:t>Die Abschrift kann auf dieselbe Weise und mit denselben Wirkungen indossiert und mit einer Bürgschaftserklärung versehen werden wie die Urschrift.</w:t>
      </w:r>
    </w:p>
    <w:p w14:paraId="30679EC8" w14:textId="77777777" w:rsidR="00296630" w:rsidRPr="004676F5" w:rsidRDefault="00296630" w:rsidP="00296630">
      <w:pPr>
        <w:ind w:firstLine="708"/>
        <w:jc w:val="both"/>
        <w:rPr>
          <w:lang w:val="de-DE"/>
        </w:rPr>
      </w:pPr>
    </w:p>
    <w:p w14:paraId="387C2A91" w14:textId="77777777" w:rsidR="00296630" w:rsidRPr="004676F5" w:rsidRDefault="00296630" w:rsidP="00296630">
      <w:pPr>
        <w:ind w:firstLine="708"/>
        <w:jc w:val="both"/>
        <w:rPr>
          <w:lang w:val="de-DE"/>
        </w:rPr>
      </w:pPr>
    </w:p>
    <w:p w14:paraId="07B970CC" w14:textId="21AF854F" w:rsidR="00296630" w:rsidRPr="004676F5" w:rsidRDefault="00296630" w:rsidP="00296630">
      <w:pPr>
        <w:ind w:firstLine="708"/>
        <w:jc w:val="both"/>
        <w:rPr>
          <w:lang w:val="de-DE"/>
        </w:rPr>
      </w:pPr>
      <w:r w:rsidRPr="004676F5">
        <w:rPr>
          <w:b/>
          <w:lang w:val="de-DE"/>
        </w:rPr>
        <w:t>Art. VII.216/69</w:t>
      </w:r>
      <w:r w:rsidRPr="004676F5">
        <w:rPr>
          <w:lang w:val="de-DE"/>
        </w:rPr>
        <w:t> </w:t>
      </w:r>
      <w:r w:rsidR="005B7A5C" w:rsidRPr="004676F5">
        <w:rPr>
          <w:lang w:val="de-DE"/>
        </w:rPr>
        <w:t>- </w:t>
      </w:r>
      <w:r w:rsidRPr="004676F5">
        <w:rPr>
          <w:lang w:val="de-DE"/>
        </w:rPr>
        <w:t>In der Abschrift ist der Verwahrer der Urschrift zu bezeichnen. Dieser ist verpflichtet, die Urschrift dem rechtmäßigen Inhaber der Abschrift auszuhändigen.</w:t>
      </w:r>
    </w:p>
    <w:p w14:paraId="7028EB3E" w14:textId="77777777" w:rsidR="00296630" w:rsidRPr="004676F5" w:rsidRDefault="00296630" w:rsidP="00296630">
      <w:pPr>
        <w:ind w:firstLine="708"/>
        <w:jc w:val="both"/>
        <w:rPr>
          <w:lang w:val="de-DE"/>
        </w:rPr>
      </w:pPr>
    </w:p>
    <w:p w14:paraId="6CD59F02" w14:textId="77777777" w:rsidR="00296630" w:rsidRPr="004676F5" w:rsidRDefault="00296630" w:rsidP="00296630">
      <w:pPr>
        <w:ind w:firstLine="708"/>
        <w:jc w:val="both"/>
        <w:rPr>
          <w:lang w:val="de-DE"/>
        </w:rPr>
      </w:pPr>
      <w:r w:rsidRPr="004676F5">
        <w:rPr>
          <w:lang w:val="de-DE"/>
        </w:rPr>
        <w:t>Wird die Aushändigung verweigert, so kann der Inhaber gegen die Indossanten der Abschrift und gegen diejenigen, die eine Bürgschaftserklärung auf die Abschrift gesetzt haben, nur Rückgriff nehmen, nachdem er durch einen Protest hat feststellen lassen, dass ihm die Urschrift auf sein Verlangen nicht ausgehändigt worden ist.</w:t>
      </w:r>
    </w:p>
    <w:p w14:paraId="5A4208BC" w14:textId="77777777" w:rsidR="00296630" w:rsidRPr="004676F5" w:rsidRDefault="00296630" w:rsidP="00296630">
      <w:pPr>
        <w:ind w:firstLine="708"/>
        <w:jc w:val="both"/>
        <w:rPr>
          <w:lang w:val="de-DE"/>
        </w:rPr>
      </w:pPr>
    </w:p>
    <w:p w14:paraId="07FC15F3" w14:textId="72FF196F" w:rsidR="00296630" w:rsidRPr="004676F5" w:rsidRDefault="00296630" w:rsidP="00296630">
      <w:pPr>
        <w:jc w:val="both"/>
        <w:rPr>
          <w:iCs/>
          <w:lang w:val="de-DE"/>
        </w:rPr>
      </w:pPr>
      <w:r w:rsidRPr="004676F5">
        <w:rPr>
          <w:lang w:val="de-DE"/>
        </w:rPr>
        <w:tab/>
        <w:t>Enthält die Urschrift nach dem letzten, vor Anfertigung der Abschrift daraufgesetzten Indossament den Vermerk "von hier ab gelten Indossamente nur noch auf der Abschrift" oder einen gleichbedeutenden Vermerk, so ist ein später auf die Urschrift gesetztes Indossament nichtig.</w:t>
      </w:r>
      <w:r w:rsidRPr="004676F5">
        <w:rPr>
          <w:iCs/>
          <w:lang w:val="de-DE"/>
        </w:rPr>
        <w:t>]</w:t>
      </w:r>
    </w:p>
    <w:p w14:paraId="3F7FA40C" w14:textId="1EC5296B" w:rsidR="00296630" w:rsidRPr="004676F5" w:rsidRDefault="00296630" w:rsidP="00296630">
      <w:pPr>
        <w:jc w:val="both"/>
        <w:rPr>
          <w:iCs/>
          <w:lang w:val="de-DE"/>
        </w:rPr>
      </w:pPr>
    </w:p>
    <w:p w14:paraId="0CD2A52C" w14:textId="3BD57BBE" w:rsidR="00296630" w:rsidRPr="004676F5" w:rsidRDefault="00296630" w:rsidP="00296630">
      <w:pPr>
        <w:jc w:val="both"/>
        <w:rPr>
          <w:i/>
          <w:iCs/>
          <w:lang w:val="de-DE"/>
        </w:rPr>
      </w:pPr>
      <w:r w:rsidRPr="004676F5">
        <w:rPr>
          <w:i/>
          <w:iCs/>
          <w:lang w:val="de-DE"/>
        </w:rPr>
        <w:t>[Art. VII.216/68 und VII.216/69 eingefügt durch Art. 129 des G. vom 15. April 2018 (B.S. vom 27. April 2018)</w:t>
      </w:r>
      <w:r w:rsidR="00591DDC" w:rsidRPr="004676F5">
        <w:rPr>
          <w:i/>
          <w:iCs/>
          <w:lang w:val="de-DE"/>
        </w:rPr>
        <w:t>]</w:t>
      </w:r>
    </w:p>
    <w:p w14:paraId="07F8F474" w14:textId="74C6C41A" w:rsidR="00591DDC" w:rsidRPr="004676F5" w:rsidRDefault="00591DDC" w:rsidP="00296630">
      <w:pPr>
        <w:jc w:val="both"/>
        <w:rPr>
          <w:i/>
          <w:iCs/>
          <w:lang w:val="de-DE"/>
        </w:rPr>
      </w:pPr>
    </w:p>
    <w:p w14:paraId="085E21F8" w14:textId="1E49D8C6" w:rsidR="00591DDC" w:rsidRPr="004676F5" w:rsidRDefault="00591DDC" w:rsidP="00296630">
      <w:pPr>
        <w:jc w:val="both"/>
        <w:rPr>
          <w:i/>
          <w:iCs/>
          <w:lang w:val="de-DE"/>
        </w:rPr>
      </w:pPr>
    </w:p>
    <w:p w14:paraId="120DE7D1" w14:textId="5B12782A" w:rsidR="00591DDC" w:rsidRPr="004676F5" w:rsidRDefault="00591DDC" w:rsidP="00591DDC">
      <w:pPr>
        <w:jc w:val="center"/>
        <w:rPr>
          <w:iCs/>
          <w:lang w:val="de-DE"/>
        </w:rPr>
      </w:pPr>
      <w:r w:rsidRPr="004676F5">
        <w:rPr>
          <w:iCs/>
          <w:lang w:val="de-DE"/>
        </w:rPr>
        <w:t>[</w:t>
      </w:r>
      <w:r w:rsidRPr="004676F5">
        <w:rPr>
          <w:i/>
          <w:lang w:val="de-DE"/>
        </w:rPr>
        <w:t>Abschnitt 10</w:t>
      </w:r>
      <w:r w:rsidRPr="004676F5">
        <w:rPr>
          <w:lang w:val="de-DE"/>
        </w:rPr>
        <w:t> </w:t>
      </w:r>
      <w:r w:rsidR="005B7A5C" w:rsidRPr="004676F5">
        <w:rPr>
          <w:lang w:val="de-DE"/>
        </w:rPr>
        <w:t>- </w:t>
      </w:r>
      <w:r w:rsidRPr="004676F5">
        <w:rPr>
          <w:lang w:val="de-DE"/>
        </w:rPr>
        <w:t>Änderungen</w:t>
      </w:r>
      <w:r w:rsidRPr="004676F5">
        <w:rPr>
          <w:iCs/>
          <w:lang w:val="de-DE"/>
        </w:rPr>
        <w:t>]</w:t>
      </w:r>
    </w:p>
    <w:p w14:paraId="334902E8" w14:textId="13015BB8" w:rsidR="00591DDC" w:rsidRPr="004676F5" w:rsidRDefault="00591DDC" w:rsidP="00591DDC">
      <w:pPr>
        <w:jc w:val="center"/>
        <w:rPr>
          <w:iCs/>
          <w:lang w:val="de-DE"/>
        </w:rPr>
      </w:pPr>
    </w:p>
    <w:p w14:paraId="7CBBBE6A" w14:textId="3D53F0F5" w:rsidR="00591DDC" w:rsidRPr="004676F5" w:rsidRDefault="00591DDC" w:rsidP="00591DDC">
      <w:pPr>
        <w:jc w:val="both"/>
        <w:rPr>
          <w:i/>
          <w:iCs/>
          <w:lang w:val="de-DE"/>
        </w:rPr>
      </w:pPr>
      <w:r w:rsidRPr="004676F5">
        <w:rPr>
          <w:i/>
          <w:lang w:val="de-DE"/>
        </w:rPr>
        <w:t>[Unterteilung Abschnitt 10 eingefügt durch Art. 130</w:t>
      </w:r>
      <w:r w:rsidRPr="004676F5">
        <w:rPr>
          <w:i/>
          <w:iCs/>
          <w:lang w:val="de-DE"/>
        </w:rPr>
        <w:t xml:space="preserve"> des G. vom 15. April 2018 (B.S. vom 27. April 2018)]</w:t>
      </w:r>
    </w:p>
    <w:p w14:paraId="584FC1BE" w14:textId="06C86E98" w:rsidR="00591DDC" w:rsidRPr="004676F5" w:rsidRDefault="00591DDC" w:rsidP="00591DDC">
      <w:pPr>
        <w:jc w:val="both"/>
        <w:rPr>
          <w:i/>
          <w:iCs/>
          <w:lang w:val="de-DE"/>
        </w:rPr>
      </w:pPr>
    </w:p>
    <w:p w14:paraId="52476528" w14:textId="18008241" w:rsidR="00591DDC" w:rsidRPr="004676F5" w:rsidRDefault="00591DDC" w:rsidP="00591DDC">
      <w:pPr>
        <w:jc w:val="both"/>
        <w:rPr>
          <w:i/>
          <w:iCs/>
          <w:lang w:val="de-DE"/>
        </w:rPr>
      </w:pPr>
    </w:p>
    <w:p w14:paraId="6691BF78" w14:textId="764D4639" w:rsidR="00591DDC" w:rsidRPr="004676F5" w:rsidRDefault="00591DDC" w:rsidP="00591DDC">
      <w:pPr>
        <w:jc w:val="both"/>
        <w:rPr>
          <w:iCs/>
          <w:lang w:val="de-DE"/>
        </w:rPr>
      </w:pPr>
      <w:r w:rsidRPr="004676F5">
        <w:rPr>
          <w:iCs/>
          <w:lang w:val="de-DE"/>
        </w:rPr>
        <w:tab/>
        <w:t>[</w:t>
      </w:r>
      <w:r w:rsidRPr="004676F5">
        <w:rPr>
          <w:b/>
          <w:lang w:val="de-DE"/>
        </w:rPr>
        <w:t>Art. VII.216/70</w:t>
      </w:r>
      <w:r w:rsidRPr="004676F5">
        <w:rPr>
          <w:lang w:val="de-DE"/>
        </w:rPr>
        <w:t> </w:t>
      </w:r>
      <w:r w:rsidR="005B7A5C" w:rsidRPr="004676F5">
        <w:rPr>
          <w:lang w:val="de-DE"/>
        </w:rPr>
        <w:t>- </w:t>
      </w:r>
      <w:r w:rsidRPr="004676F5">
        <w:rPr>
          <w:lang w:val="de-DE"/>
        </w:rPr>
        <w:t>Wird der Text eines Wechsels geändert, so haften diejenigen, die nach der Änderung ihre Unterschrift auf den Wechsel gesetzt haben, entsprechend dem geänderten Text; wer früher unterschrieben hat, haftet nach dem ursprünglichen Text.]</w:t>
      </w:r>
    </w:p>
    <w:p w14:paraId="362868BA" w14:textId="77777777" w:rsidR="00591DDC" w:rsidRPr="004676F5" w:rsidRDefault="00591DDC" w:rsidP="00591DDC">
      <w:pPr>
        <w:jc w:val="center"/>
        <w:rPr>
          <w:iCs/>
          <w:lang w:val="de-DE"/>
        </w:rPr>
      </w:pPr>
    </w:p>
    <w:p w14:paraId="39CD3A24" w14:textId="1BAAD114" w:rsidR="00591DDC" w:rsidRPr="004676F5" w:rsidRDefault="00591DDC" w:rsidP="00591DDC">
      <w:pPr>
        <w:jc w:val="both"/>
        <w:rPr>
          <w:i/>
          <w:iCs/>
          <w:lang w:val="de-DE"/>
        </w:rPr>
      </w:pPr>
      <w:r w:rsidRPr="004676F5">
        <w:rPr>
          <w:i/>
          <w:iCs/>
          <w:lang w:val="de-DE"/>
        </w:rPr>
        <w:t>[Art. VII.216/70 eingefügt durch Art. 131 des G. vom 15. April 2018 (B.S. vom 27. April 2018)]</w:t>
      </w:r>
    </w:p>
    <w:p w14:paraId="28FF27D8" w14:textId="77777777" w:rsidR="00296630" w:rsidRPr="004676F5" w:rsidRDefault="00296630" w:rsidP="00296630">
      <w:pPr>
        <w:jc w:val="center"/>
        <w:rPr>
          <w:iCs/>
          <w:lang w:val="de-DE"/>
        </w:rPr>
      </w:pPr>
    </w:p>
    <w:p w14:paraId="33BA54B0" w14:textId="77777777" w:rsidR="00296630" w:rsidRPr="004676F5" w:rsidRDefault="00296630" w:rsidP="00296630">
      <w:pPr>
        <w:jc w:val="center"/>
        <w:rPr>
          <w:lang w:val="de-DE"/>
        </w:rPr>
      </w:pPr>
    </w:p>
    <w:p w14:paraId="0B0129BF" w14:textId="4C85A3A7" w:rsidR="00296630" w:rsidRPr="004676F5" w:rsidRDefault="00591DDC" w:rsidP="00591DDC">
      <w:pPr>
        <w:jc w:val="center"/>
        <w:rPr>
          <w:lang w:val="de-DE"/>
        </w:rPr>
      </w:pPr>
      <w:r w:rsidRPr="004676F5">
        <w:rPr>
          <w:lang w:val="de-DE"/>
        </w:rPr>
        <w:t>[</w:t>
      </w:r>
      <w:r w:rsidRPr="004676F5">
        <w:rPr>
          <w:i/>
          <w:lang w:val="de-DE"/>
        </w:rPr>
        <w:t>Abschnitt 11</w:t>
      </w:r>
      <w:r w:rsidRPr="004676F5">
        <w:rPr>
          <w:lang w:val="de-DE"/>
        </w:rPr>
        <w:t> </w:t>
      </w:r>
      <w:r w:rsidR="005B7A5C" w:rsidRPr="004676F5">
        <w:rPr>
          <w:lang w:val="de-DE"/>
        </w:rPr>
        <w:t>- </w:t>
      </w:r>
      <w:r w:rsidRPr="004676F5">
        <w:rPr>
          <w:lang w:val="de-DE"/>
        </w:rPr>
        <w:t>Verjährung]</w:t>
      </w:r>
    </w:p>
    <w:p w14:paraId="0329E666" w14:textId="79789504" w:rsidR="00591DDC" w:rsidRPr="004676F5" w:rsidRDefault="00591DDC" w:rsidP="00591DDC">
      <w:pPr>
        <w:jc w:val="center"/>
        <w:rPr>
          <w:lang w:val="de-DE"/>
        </w:rPr>
      </w:pPr>
    </w:p>
    <w:p w14:paraId="6D565301" w14:textId="0ED14976" w:rsidR="00591DDC" w:rsidRPr="004676F5" w:rsidRDefault="00591DDC" w:rsidP="00591DDC">
      <w:pPr>
        <w:jc w:val="both"/>
        <w:rPr>
          <w:i/>
          <w:iCs/>
          <w:lang w:val="de-DE"/>
        </w:rPr>
      </w:pPr>
      <w:r w:rsidRPr="004676F5">
        <w:rPr>
          <w:i/>
          <w:lang w:val="de-DE"/>
        </w:rPr>
        <w:t>[Unterteilung Abschnitt 11 eingefügt durch Art. 132</w:t>
      </w:r>
      <w:r w:rsidRPr="004676F5">
        <w:rPr>
          <w:i/>
          <w:iCs/>
          <w:lang w:val="de-DE"/>
        </w:rPr>
        <w:t xml:space="preserve"> des G. vom 15. April 2018 (B.S. vom 27. April 2018)]</w:t>
      </w:r>
    </w:p>
    <w:p w14:paraId="21F9C2FA" w14:textId="77777777" w:rsidR="00591DDC" w:rsidRPr="004676F5" w:rsidRDefault="00591DDC" w:rsidP="00591DDC">
      <w:pPr>
        <w:jc w:val="center"/>
        <w:rPr>
          <w:lang w:val="de-DE"/>
        </w:rPr>
      </w:pPr>
    </w:p>
    <w:p w14:paraId="5912CE61" w14:textId="0DFBDA29" w:rsidR="00296630" w:rsidRPr="004676F5" w:rsidRDefault="00296630" w:rsidP="00260C41">
      <w:pPr>
        <w:jc w:val="both"/>
        <w:rPr>
          <w:lang w:val="de-DE"/>
        </w:rPr>
      </w:pPr>
    </w:p>
    <w:p w14:paraId="49502B40" w14:textId="7183921D" w:rsidR="00591DDC" w:rsidRPr="004676F5" w:rsidRDefault="00591DDC" w:rsidP="00591DDC">
      <w:pPr>
        <w:ind w:firstLine="708"/>
        <w:jc w:val="both"/>
        <w:rPr>
          <w:lang w:val="de-DE"/>
        </w:rPr>
      </w:pPr>
      <w:r w:rsidRPr="004676F5">
        <w:rPr>
          <w:lang w:val="de-DE"/>
        </w:rPr>
        <w:t>[</w:t>
      </w:r>
      <w:r w:rsidRPr="004676F5">
        <w:rPr>
          <w:b/>
          <w:lang w:val="de-DE"/>
        </w:rPr>
        <w:t>Art. VII.216/71</w:t>
      </w:r>
      <w:r w:rsidRPr="004676F5">
        <w:rPr>
          <w:lang w:val="de-DE"/>
        </w:rPr>
        <w:t> </w:t>
      </w:r>
      <w:r w:rsidR="005B7A5C" w:rsidRPr="004676F5">
        <w:rPr>
          <w:lang w:val="de-DE"/>
        </w:rPr>
        <w:t>- </w:t>
      </w:r>
      <w:r w:rsidRPr="004676F5">
        <w:rPr>
          <w:lang w:val="de-DE"/>
        </w:rPr>
        <w:t>Die wechselmäßigen Ansprüche gegen den Annehmer verjähren in drei Jahren vom Verfalltag.</w:t>
      </w:r>
    </w:p>
    <w:p w14:paraId="23981F4D" w14:textId="77777777" w:rsidR="00591DDC" w:rsidRPr="004676F5" w:rsidRDefault="00591DDC" w:rsidP="00591DDC">
      <w:pPr>
        <w:ind w:firstLine="708"/>
        <w:jc w:val="both"/>
        <w:rPr>
          <w:lang w:val="de-DE"/>
        </w:rPr>
      </w:pPr>
    </w:p>
    <w:p w14:paraId="1DF599C7" w14:textId="77777777" w:rsidR="00591DDC" w:rsidRPr="004676F5" w:rsidRDefault="00591DDC" w:rsidP="00591DDC">
      <w:pPr>
        <w:ind w:firstLine="708"/>
        <w:jc w:val="both"/>
        <w:rPr>
          <w:lang w:val="de-DE"/>
        </w:rPr>
      </w:pPr>
      <w:r w:rsidRPr="004676F5">
        <w:rPr>
          <w:lang w:val="de-DE"/>
        </w:rPr>
        <w:t>Die Ansprüche des Inhabers gegen die Indossanten und gegen den Aussteller verjähren in einem Jahr vom Tag des rechtzeitig erhobenen Protestes oder im Fall des Vermerks "ohne Kosten" vom Verfalltag.</w:t>
      </w:r>
    </w:p>
    <w:p w14:paraId="721921BC" w14:textId="77777777" w:rsidR="00591DDC" w:rsidRPr="004676F5" w:rsidRDefault="00591DDC" w:rsidP="00591DDC">
      <w:pPr>
        <w:ind w:firstLine="708"/>
        <w:jc w:val="both"/>
        <w:rPr>
          <w:lang w:val="de-DE"/>
        </w:rPr>
      </w:pPr>
    </w:p>
    <w:p w14:paraId="49301D36" w14:textId="77777777" w:rsidR="00591DDC" w:rsidRPr="004676F5" w:rsidRDefault="00591DDC" w:rsidP="00591DDC">
      <w:pPr>
        <w:ind w:firstLine="708"/>
        <w:jc w:val="both"/>
        <w:rPr>
          <w:lang w:val="de-DE"/>
        </w:rPr>
      </w:pPr>
      <w:r w:rsidRPr="004676F5">
        <w:rPr>
          <w:lang w:val="de-DE"/>
        </w:rPr>
        <w:t>Die Ansprüche eines Indossanten gegen andere Indossanten und gegen den Aussteller verjähren in sechs Monaten von dem Tag, an dem der Wechsel vom Indossanten eingelöst oder ihm gegenüber gerichtlich geltend gemacht worden ist.</w:t>
      </w:r>
    </w:p>
    <w:p w14:paraId="55DD7A75" w14:textId="77777777" w:rsidR="00591DDC" w:rsidRPr="004676F5" w:rsidRDefault="00591DDC" w:rsidP="00591DDC">
      <w:pPr>
        <w:ind w:firstLine="708"/>
        <w:jc w:val="both"/>
        <w:rPr>
          <w:lang w:val="de-DE"/>
        </w:rPr>
      </w:pPr>
    </w:p>
    <w:p w14:paraId="4D39B8E3" w14:textId="77777777" w:rsidR="00591DDC" w:rsidRPr="004676F5" w:rsidRDefault="00591DDC" w:rsidP="00591DDC">
      <w:pPr>
        <w:ind w:firstLine="708"/>
        <w:jc w:val="both"/>
        <w:rPr>
          <w:lang w:val="de-DE"/>
        </w:rPr>
      </w:pPr>
    </w:p>
    <w:p w14:paraId="2CAFAC2D" w14:textId="31988146" w:rsidR="00591DDC" w:rsidRPr="004676F5" w:rsidRDefault="00591DDC" w:rsidP="00591DDC">
      <w:pPr>
        <w:ind w:firstLine="708"/>
        <w:jc w:val="both"/>
        <w:rPr>
          <w:lang w:val="de-DE"/>
        </w:rPr>
      </w:pPr>
      <w:r w:rsidRPr="004676F5">
        <w:rPr>
          <w:b/>
          <w:lang w:val="de-DE"/>
        </w:rPr>
        <w:t>Art. VII.216/72</w:t>
      </w:r>
      <w:r w:rsidRPr="004676F5">
        <w:rPr>
          <w:lang w:val="de-DE"/>
        </w:rPr>
        <w:t> </w:t>
      </w:r>
      <w:r w:rsidR="005B7A5C" w:rsidRPr="004676F5">
        <w:rPr>
          <w:lang w:val="de-DE"/>
        </w:rPr>
        <w:t>- </w:t>
      </w:r>
      <w:r w:rsidRPr="004676F5">
        <w:rPr>
          <w:lang w:val="de-DE"/>
        </w:rPr>
        <w:t>Im Fall der Verjährung bleibt zugunsten der Person, die den Wechsel vor Verfall erworben hat, ein Anspruch bestehen:</w:t>
      </w:r>
    </w:p>
    <w:p w14:paraId="6A6D13BC" w14:textId="77777777" w:rsidR="00591DDC" w:rsidRPr="004676F5" w:rsidRDefault="00591DDC" w:rsidP="00591DDC">
      <w:pPr>
        <w:ind w:firstLine="708"/>
        <w:jc w:val="both"/>
        <w:rPr>
          <w:lang w:val="de-DE"/>
        </w:rPr>
      </w:pPr>
    </w:p>
    <w:p w14:paraId="759B07E2" w14:textId="77777777" w:rsidR="00591DDC" w:rsidRPr="004676F5" w:rsidRDefault="00591DDC" w:rsidP="00591DDC">
      <w:pPr>
        <w:ind w:firstLine="708"/>
        <w:jc w:val="both"/>
        <w:rPr>
          <w:lang w:val="de-DE"/>
        </w:rPr>
      </w:pPr>
      <w:r w:rsidRPr="004676F5">
        <w:rPr>
          <w:lang w:val="de-DE"/>
        </w:rPr>
        <w:t>1. gegen den Aussteller, der keine Deckung geleistet hat,</w:t>
      </w:r>
    </w:p>
    <w:p w14:paraId="578A5B37" w14:textId="77777777" w:rsidR="00591DDC" w:rsidRPr="004676F5" w:rsidRDefault="00591DDC" w:rsidP="00591DDC">
      <w:pPr>
        <w:ind w:firstLine="708"/>
        <w:jc w:val="both"/>
        <w:rPr>
          <w:lang w:val="de-DE"/>
        </w:rPr>
      </w:pPr>
    </w:p>
    <w:p w14:paraId="71DA3F65" w14:textId="77777777" w:rsidR="00591DDC" w:rsidRPr="004676F5" w:rsidRDefault="00591DDC" w:rsidP="00591DDC">
      <w:pPr>
        <w:ind w:firstLine="708"/>
        <w:jc w:val="both"/>
        <w:rPr>
          <w:lang w:val="de-DE"/>
        </w:rPr>
      </w:pPr>
      <w:r w:rsidRPr="004676F5">
        <w:rPr>
          <w:lang w:val="de-DE"/>
        </w:rPr>
        <w:t>2. gegen den Aussteller, Annehmer oder Indossanten, der sich ungerechtfertigt bereichert hat.</w:t>
      </w:r>
    </w:p>
    <w:p w14:paraId="5CBEED8A" w14:textId="77777777" w:rsidR="00591DDC" w:rsidRPr="004676F5" w:rsidRDefault="00591DDC" w:rsidP="00591DDC">
      <w:pPr>
        <w:ind w:firstLine="708"/>
        <w:jc w:val="both"/>
        <w:rPr>
          <w:lang w:val="de-DE"/>
        </w:rPr>
      </w:pPr>
    </w:p>
    <w:p w14:paraId="23ABBE0C" w14:textId="77777777" w:rsidR="00591DDC" w:rsidRPr="004676F5" w:rsidRDefault="00591DDC" w:rsidP="00591DDC">
      <w:pPr>
        <w:ind w:firstLine="708"/>
        <w:jc w:val="both"/>
        <w:rPr>
          <w:lang w:val="de-DE"/>
        </w:rPr>
      </w:pPr>
      <w:r w:rsidRPr="004676F5">
        <w:rPr>
          <w:lang w:val="de-DE"/>
        </w:rPr>
        <w:t>Dieser Anspruch verjährt in den in Artikel VII.216/71 vorgesehenen Fristen vom Tag des Eintritts der in diesem Artikel vorgesehenen Verjährung.</w:t>
      </w:r>
    </w:p>
    <w:p w14:paraId="0EA68FF4" w14:textId="3A76B2C8" w:rsidR="00591DDC" w:rsidRPr="004676F5" w:rsidRDefault="00591DDC" w:rsidP="00591DDC">
      <w:pPr>
        <w:ind w:firstLine="708"/>
        <w:jc w:val="both"/>
        <w:rPr>
          <w:lang w:val="de-DE"/>
        </w:rPr>
      </w:pPr>
    </w:p>
    <w:p w14:paraId="76B58615" w14:textId="77777777" w:rsidR="00591DDC" w:rsidRPr="004676F5" w:rsidRDefault="00591DDC" w:rsidP="00591DDC">
      <w:pPr>
        <w:ind w:firstLine="708"/>
        <w:jc w:val="both"/>
        <w:rPr>
          <w:lang w:val="de-DE"/>
        </w:rPr>
      </w:pPr>
    </w:p>
    <w:p w14:paraId="26ED42F5" w14:textId="2C235E88" w:rsidR="00591DDC" w:rsidRPr="004676F5" w:rsidRDefault="00591DDC" w:rsidP="00591DDC">
      <w:pPr>
        <w:ind w:firstLine="708"/>
        <w:jc w:val="both"/>
        <w:rPr>
          <w:lang w:val="de-DE"/>
        </w:rPr>
      </w:pPr>
      <w:r w:rsidRPr="004676F5">
        <w:rPr>
          <w:b/>
          <w:lang w:val="de-DE"/>
        </w:rPr>
        <w:t>Art. VII.216/73</w:t>
      </w:r>
      <w:r w:rsidRPr="004676F5">
        <w:rPr>
          <w:lang w:val="de-DE"/>
        </w:rPr>
        <w:t> </w:t>
      </w:r>
      <w:r w:rsidR="005B7A5C" w:rsidRPr="004676F5">
        <w:rPr>
          <w:lang w:val="de-DE"/>
        </w:rPr>
        <w:t>- </w:t>
      </w:r>
      <w:r w:rsidRPr="004676F5">
        <w:rPr>
          <w:lang w:val="de-DE"/>
        </w:rPr>
        <w:t>Die Unterbrechung der Verjährung wirkt nur gegen den Wechselverpflichteten, in Ansehung dessen die Tatsache eingetreten ist, die die Unterbrechung bewirkt.</w:t>
      </w:r>
    </w:p>
    <w:p w14:paraId="772E7722" w14:textId="77777777" w:rsidR="00591DDC" w:rsidRPr="004676F5" w:rsidRDefault="00591DDC" w:rsidP="00591DDC">
      <w:pPr>
        <w:ind w:firstLine="708"/>
        <w:jc w:val="both"/>
        <w:rPr>
          <w:lang w:val="de-DE"/>
        </w:rPr>
      </w:pPr>
    </w:p>
    <w:p w14:paraId="11ED0368" w14:textId="27D6BBC7" w:rsidR="00591DDC" w:rsidRPr="004676F5" w:rsidRDefault="00591DDC" w:rsidP="00591DDC">
      <w:pPr>
        <w:jc w:val="both"/>
        <w:rPr>
          <w:lang w:val="de-DE"/>
        </w:rPr>
      </w:pPr>
      <w:r w:rsidRPr="004676F5">
        <w:rPr>
          <w:lang w:val="de-DE"/>
        </w:rPr>
        <w:tab/>
        <w:t>Die Verjährung von wechselmäßigen Ansprüchen wird durch Rechtsverfolgung unterbrochen; sie wird durch Ereignisse höherer Gewalt ausgesetzt.]</w:t>
      </w:r>
    </w:p>
    <w:p w14:paraId="73EE8E64" w14:textId="21D98F03" w:rsidR="00591DDC" w:rsidRPr="004676F5" w:rsidRDefault="00591DDC" w:rsidP="00591DDC">
      <w:pPr>
        <w:jc w:val="both"/>
        <w:rPr>
          <w:lang w:val="de-DE"/>
        </w:rPr>
      </w:pPr>
    </w:p>
    <w:p w14:paraId="3BBC7B75" w14:textId="11018EE1" w:rsidR="00591DDC" w:rsidRPr="004676F5" w:rsidRDefault="00591DDC" w:rsidP="00591DDC">
      <w:pPr>
        <w:jc w:val="both"/>
        <w:rPr>
          <w:i/>
          <w:lang w:val="de-DE"/>
        </w:rPr>
      </w:pPr>
      <w:r w:rsidRPr="004676F5">
        <w:rPr>
          <w:i/>
          <w:lang w:val="de-DE"/>
        </w:rPr>
        <w:t>[Art. VII.216/71 bis VII.216/73 eingefügt durch Art. 133 des G. vom 15. April 2018 (B.S. vom 27. April 2018)]</w:t>
      </w:r>
    </w:p>
    <w:p w14:paraId="32502328" w14:textId="77777777" w:rsidR="00591DDC" w:rsidRPr="004676F5" w:rsidRDefault="00591DDC" w:rsidP="00591DDC">
      <w:pPr>
        <w:jc w:val="both"/>
        <w:rPr>
          <w:lang w:val="de-DE"/>
        </w:rPr>
      </w:pPr>
    </w:p>
    <w:p w14:paraId="1693D3E1" w14:textId="03D2F887" w:rsidR="00260C41" w:rsidRPr="004676F5" w:rsidRDefault="00260C41" w:rsidP="005C47F1">
      <w:pPr>
        <w:jc w:val="both"/>
        <w:rPr>
          <w:lang w:val="de-DE"/>
        </w:rPr>
      </w:pPr>
    </w:p>
    <w:p w14:paraId="4F94FBA7" w14:textId="47528AE2" w:rsidR="00591DDC" w:rsidRPr="004676F5" w:rsidRDefault="00591DDC" w:rsidP="00591DDC">
      <w:pPr>
        <w:jc w:val="center"/>
        <w:rPr>
          <w:lang w:val="de-DE"/>
        </w:rPr>
      </w:pPr>
      <w:r w:rsidRPr="004676F5">
        <w:rPr>
          <w:lang w:val="de-DE"/>
        </w:rPr>
        <w:t>[</w:t>
      </w:r>
      <w:r w:rsidRPr="004676F5">
        <w:rPr>
          <w:i/>
          <w:lang w:val="de-DE"/>
        </w:rPr>
        <w:t>Abschnitt 12</w:t>
      </w:r>
      <w:r w:rsidRPr="004676F5">
        <w:rPr>
          <w:lang w:val="de-DE"/>
        </w:rPr>
        <w:t> </w:t>
      </w:r>
      <w:r w:rsidR="005B7A5C" w:rsidRPr="004676F5">
        <w:rPr>
          <w:lang w:val="de-DE"/>
        </w:rPr>
        <w:t>- </w:t>
      </w:r>
      <w:r w:rsidRPr="004676F5">
        <w:rPr>
          <w:lang w:val="de-DE"/>
        </w:rPr>
        <w:t>Allgemeine Vorschriften]</w:t>
      </w:r>
    </w:p>
    <w:p w14:paraId="2F04E4D7" w14:textId="69CBCF77" w:rsidR="00591DDC" w:rsidRPr="004676F5" w:rsidRDefault="00591DDC" w:rsidP="00591DDC">
      <w:pPr>
        <w:jc w:val="center"/>
        <w:rPr>
          <w:lang w:val="de-DE"/>
        </w:rPr>
      </w:pPr>
    </w:p>
    <w:p w14:paraId="33922625" w14:textId="5811D1BC" w:rsidR="00591DDC" w:rsidRPr="004676F5" w:rsidRDefault="00591DDC" w:rsidP="00591DDC">
      <w:pPr>
        <w:jc w:val="both"/>
        <w:rPr>
          <w:i/>
          <w:iCs/>
          <w:lang w:val="de-DE"/>
        </w:rPr>
      </w:pPr>
      <w:r w:rsidRPr="004676F5">
        <w:rPr>
          <w:i/>
          <w:lang w:val="de-DE"/>
        </w:rPr>
        <w:t>[Unterteilung Abschnitt 12 eingefügt durch Art. 134</w:t>
      </w:r>
      <w:r w:rsidRPr="004676F5">
        <w:rPr>
          <w:i/>
          <w:iCs/>
          <w:lang w:val="de-DE"/>
        </w:rPr>
        <w:t xml:space="preserve"> des G. vom 15. April 2018 (B.S. vom 27. April 2018)]</w:t>
      </w:r>
    </w:p>
    <w:p w14:paraId="4AE2ED62" w14:textId="77777777" w:rsidR="00591DDC" w:rsidRPr="004676F5" w:rsidRDefault="00591DDC" w:rsidP="00591DDC">
      <w:pPr>
        <w:jc w:val="center"/>
        <w:rPr>
          <w:lang w:val="de-DE"/>
        </w:rPr>
      </w:pPr>
    </w:p>
    <w:p w14:paraId="2B073E7F" w14:textId="3EA809D7" w:rsidR="00260C41" w:rsidRPr="004676F5" w:rsidRDefault="00260C41" w:rsidP="005C47F1">
      <w:pPr>
        <w:jc w:val="both"/>
        <w:rPr>
          <w:lang w:val="de-DE"/>
        </w:rPr>
      </w:pPr>
    </w:p>
    <w:p w14:paraId="2E85E63F" w14:textId="4FDE65E7" w:rsidR="00591DDC" w:rsidRPr="004676F5" w:rsidRDefault="00591DDC" w:rsidP="00591DDC">
      <w:pPr>
        <w:ind w:firstLine="708"/>
        <w:jc w:val="both"/>
        <w:rPr>
          <w:lang w:val="de-DE"/>
        </w:rPr>
      </w:pPr>
      <w:r w:rsidRPr="004676F5">
        <w:rPr>
          <w:lang w:val="de-DE"/>
        </w:rPr>
        <w:t>[</w:t>
      </w:r>
      <w:r w:rsidRPr="004676F5">
        <w:rPr>
          <w:b/>
          <w:lang w:val="de-DE"/>
        </w:rPr>
        <w:t>Art. VII.216/74</w:t>
      </w:r>
      <w:r w:rsidRPr="004676F5">
        <w:rPr>
          <w:lang w:val="de-DE"/>
        </w:rPr>
        <w:t> </w:t>
      </w:r>
      <w:r w:rsidR="005B7A5C" w:rsidRPr="004676F5">
        <w:rPr>
          <w:lang w:val="de-DE"/>
        </w:rPr>
        <w:t>- </w:t>
      </w:r>
      <w:r w:rsidRPr="004676F5">
        <w:rPr>
          <w:lang w:val="de-DE"/>
        </w:rPr>
        <w:t xml:space="preserve">Verfällt der Wechsel an einem gesetzlichen Feiertag, so kann die Zahlung erst am nächsten Werktag verlangt werden. Auch alle anderen auf den Wechsel </w:t>
      </w:r>
      <w:r w:rsidRPr="004676F5">
        <w:rPr>
          <w:lang w:val="de-DE"/>
        </w:rPr>
        <w:lastRenderedPageBreak/>
        <w:t>bezüglichen Handlungen, insbesondere die Vorlegung zur Annahme und die Protesterhebung, können nur an einem Werktag stattfinden.</w:t>
      </w:r>
    </w:p>
    <w:p w14:paraId="61DECEFC" w14:textId="77777777" w:rsidR="00591DDC" w:rsidRPr="004676F5" w:rsidRDefault="00591DDC" w:rsidP="00591DDC">
      <w:pPr>
        <w:ind w:firstLine="708"/>
        <w:jc w:val="both"/>
        <w:rPr>
          <w:lang w:val="de-DE"/>
        </w:rPr>
      </w:pPr>
    </w:p>
    <w:p w14:paraId="3BB77A0E" w14:textId="77777777" w:rsidR="00591DDC" w:rsidRPr="004676F5" w:rsidRDefault="00591DDC" w:rsidP="00591DDC">
      <w:pPr>
        <w:ind w:firstLine="708"/>
        <w:jc w:val="both"/>
        <w:rPr>
          <w:lang w:val="de-DE"/>
        </w:rPr>
      </w:pPr>
      <w:r w:rsidRPr="004676F5">
        <w:rPr>
          <w:lang w:val="de-DE"/>
        </w:rPr>
        <w:t>Fällt der letzte Tag einer Frist, innerhalb deren eine dieser Handlungen vorgenommen werden muss, auf einen gesetzlichen Feiertag, so wird die Frist bis zum nächsten Werktag verlängert. Feiertage, die in den Lauf einer Frist fallen, werden bei der Berechnung der Frist mitgezählt.</w:t>
      </w:r>
    </w:p>
    <w:p w14:paraId="08D24321" w14:textId="77777777" w:rsidR="00591DDC" w:rsidRPr="004676F5" w:rsidRDefault="00591DDC" w:rsidP="00591DDC">
      <w:pPr>
        <w:ind w:firstLine="708"/>
        <w:jc w:val="both"/>
        <w:rPr>
          <w:lang w:val="de-DE"/>
        </w:rPr>
      </w:pPr>
    </w:p>
    <w:p w14:paraId="05660CE1" w14:textId="77777777" w:rsidR="00591DDC" w:rsidRPr="004676F5" w:rsidRDefault="00591DDC" w:rsidP="00591DDC">
      <w:pPr>
        <w:ind w:firstLine="708"/>
        <w:jc w:val="both"/>
        <w:rPr>
          <w:lang w:val="de-DE"/>
        </w:rPr>
      </w:pPr>
      <w:r w:rsidRPr="004676F5">
        <w:rPr>
          <w:lang w:val="de-DE"/>
        </w:rPr>
        <w:t>Für die Anwendung des vorliegenden Artikels wird ein Samstag einem gesetzlichen Feiertag gleichgesetzt.</w:t>
      </w:r>
    </w:p>
    <w:p w14:paraId="3708B695" w14:textId="587CC1B1" w:rsidR="00591DDC" w:rsidRPr="004676F5" w:rsidRDefault="00591DDC" w:rsidP="00591DDC">
      <w:pPr>
        <w:ind w:firstLine="708"/>
        <w:jc w:val="both"/>
        <w:rPr>
          <w:lang w:val="de-DE"/>
        </w:rPr>
      </w:pPr>
    </w:p>
    <w:p w14:paraId="451F8A54" w14:textId="77777777" w:rsidR="00591DDC" w:rsidRPr="004676F5" w:rsidRDefault="00591DDC" w:rsidP="00591DDC">
      <w:pPr>
        <w:ind w:firstLine="708"/>
        <w:jc w:val="both"/>
        <w:rPr>
          <w:lang w:val="de-DE"/>
        </w:rPr>
      </w:pPr>
    </w:p>
    <w:p w14:paraId="6451375C" w14:textId="4A76B2AC" w:rsidR="00591DDC" w:rsidRPr="004676F5" w:rsidRDefault="00591DDC" w:rsidP="00591DDC">
      <w:pPr>
        <w:ind w:firstLine="708"/>
        <w:jc w:val="both"/>
        <w:rPr>
          <w:lang w:val="de-DE"/>
        </w:rPr>
      </w:pPr>
      <w:r w:rsidRPr="004676F5">
        <w:rPr>
          <w:b/>
          <w:lang w:val="de-DE"/>
        </w:rPr>
        <w:t>Art. VII.216/75</w:t>
      </w:r>
      <w:r w:rsidRPr="004676F5">
        <w:rPr>
          <w:lang w:val="de-DE"/>
        </w:rPr>
        <w:t> </w:t>
      </w:r>
      <w:r w:rsidR="005B7A5C" w:rsidRPr="004676F5">
        <w:rPr>
          <w:lang w:val="de-DE"/>
        </w:rPr>
        <w:t>- </w:t>
      </w:r>
      <w:r w:rsidRPr="004676F5">
        <w:rPr>
          <w:lang w:val="de-DE"/>
        </w:rPr>
        <w:t>Bei der Berechnung der gesetzlichen oder im Wechsel bestimmten Fristen wird der Tag, von dem sie zu laufen beginnen, nicht mitgezählt.</w:t>
      </w:r>
    </w:p>
    <w:p w14:paraId="1AC5BE55" w14:textId="660A9473" w:rsidR="00591DDC" w:rsidRPr="004676F5" w:rsidRDefault="00591DDC" w:rsidP="00591DDC">
      <w:pPr>
        <w:ind w:firstLine="708"/>
        <w:jc w:val="both"/>
        <w:rPr>
          <w:lang w:val="de-DE"/>
        </w:rPr>
      </w:pPr>
    </w:p>
    <w:p w14:paraId="3EEDFB1C" w14:textId="77777777" w:rsidR="00591DDC" w:rsidRPr="004676F5" w:rsidRDefault="00591DDC" w:rsidP="00591DDC">
      <w:pPr>
        <w:ind w:firstLine="708"/>
        <w:jc w:val="both"/>
        <w:rPr>
          <w:lang w:val="de-DE"/>
        </w:rPr>
      </w:pPr>
    </w:p>
    <w:p w14:paraId="4F8E5033" w14:textId="197D4F56" w:rsidR="00591DDC" w:rsidRPr="004676F5" w:rsidRDefault="00591DDC" w:rsidP="00591DDC">
      <w:pPr>
        <w:jc w:val="both"/>
        <w:rPr>
          <w:lang w:val="de-DE"/>
        </w:rPr>
      </w:pPr>
      <w:r w:rsidRPr="004676F5">
        <w:rPr>
          <w:lang w:val="de-DE"/>
        </w:rPr>
        <w:tab/>
      </w:r>
      <w:r w:rsidRPr="004676F5">
        <w:rPr>
          <w:b/>
          <w:lang w:val="de-DE"/>
        </w:rPr>
        <w:t>Art. VII.216/76</w:t>
      </w:r>
      <w:r w:rsidRPr="004676F5">
        <w:rPr>
          <w:lang w:val="de-DE"/>
        </w:rPr>
        <w:t> </w:t>
      </w:r>
      <w:r w:rsidR="005B7A5C" w:rsidRPr="004676F5">
        <w:rPr>
          <w:lang w:val="de-DE"/>
        </w:rPr>
        <w:t>- </w:t>
      </w:r>
      <w:r w:rsidRPr="004676F5">
        <w:rPr>
          <w:lang w:val="de-DE"/>
        </w:rPr>
        <w:t>Weder gesetzliche noch richterliche Respekttage, außer die durch vorliegendes Kapitel vorgesehenen Respekttage, werden anerkannt.]</w:t>
      </w:r>
    </w:p>
    <w:p w14:paraId="16F9B9FF" w14:textId="05613080" w:rsidR="00591DDC" w:rsidRPr="004676F5" w:rsidRDefault="00591DDC" w:rsidP="00591DDC">
      <w:pPr>
        <w:jc w:val="both"/>
        <w:rPr>
          <w:lang w:val="de-DE"/>
        </w:rPr>
      </w:pPr>
    </w:p>
    <w:p w14:paraId="79AC2908" w14:textId="14F5ADC7" w:rsidR="00591DDC" w:rsidRPr="004676F5" w:rsidRDefault="00591DDC" w:rsidP="00591DDC">
      <w:pPr>
        <w:jc w:val="both"/>
        <w:rPr>
          <w:i/>
          <w:lang w:val="de-DE"/>
        </w:rPr>
      </w:pPr>
      <w:r w:rsidRPr="004676F5">
        <w:rPr>
          <w:i/>
          <w:lang w:val="de-DE"/>
        </w:rPr>
        <w:t>[Art. VII.216/74 bis VII.216/76 eingefügt durch Art. 135 des G. vom 15. April 2018 (B.S. vom 27. April 2018)]</w:t>
      </w:r>
    </w:p>
    <w:p w14:paraId="7C8E4F33" w14:textId="77777777" w:rsidR="00591DDC" w:rsidRPr="004676F5" w:rsidRDefault="00591DDC" w:rsidP="00591DDC">
      <w:pPr>
        <w:jc w:val="both"/>
        <w:rPr>
          <w:lang w:val="de-DE"/>
        </w:rPr>
      </w:pPr>
    </w:p>
    <w:p w14:paraId="5143F7CA" w14:textId="77777777" w:rsidR="00591DDC" w:rsidRPr="004676F5" w:rsidRDefault="00591DDC">
      <w:pPr>
        <w:rPr>
          <w:b/>
          <w:lang w:val="de-DE"/>
        </w:rPr>
      </w:pPr>
    </w:p>
    <w:p w14:paraId="2D823610" w14:textId="77777777" w:rsidR="00591DDC" w:rsidRPr="004676F5" w:rsidRDefault="00591DDC">
      <w:pPr>
        <w:rPr>
          <w:b/>
          <w:lang w:val="de-DE"/>
        </w:rPr>
      </w:pPr>
    </w:p>
    <w:p w14:paraId="593E2BAF" w14:textId="77777777" w:rsidR="00591DDC" w:rsidRPr="004676F5" w:rsidRDefault="00591DDC">
      <w:pPr>
        <w:rPr>
          <w:b/>
          <w:lang w:val="de-DE"/>
        </w:rPr>
      </w:pPr>
    </w:p>
    <w:p w14:paraId="550DB762" w14:textId="77777777" w:rsidR="00591DDC" w:rsidRPr="004676F5" w:rsidRDefault="00591DDC">
      <w:pPr>
        <w:rPr>
          <w:b/>
          <w:lang w:val="de-DE"/>
        </w:rPr>
      </w:pPr>
      <w:r w:rsidRPr="004676F5">
        <w:rPr>
          <w:b/>
          <w:lang w:val="de-DE"/>
        </w:rPr>
        <w:br w:type="page"/>
      </w:r>
    </w:p>
    <w:p w14:paraId="544CD86D" w14:textId="3A95A52D" w:rsidR="00591DDC" w:rsidRPr="004676F5" w:rsidRDefault="00591DDC" w:rsidP="00591DDC">
      <w:pPr>
        <w:jc w:val="center"/>
        <w:rPr>
          <w:lang w:val="de-DE"/>
        </w:rPr>
      </w:pPr>
      <w:r w:rsidRPr="004676F5">
        <w:rPr>
          <w:lang w:val="de-DE"/>
        </w:rPr>
        <w:lastRenderedPageBreak/>
        <w:t>[KAPITEL 3 </w:t>
      </w:r>
      <w:r w:rsidR="005B7A5C" w:rsidRPr="004676F5">
        <w:rPr>
          <w:lang w:val="de-DE"/>
        </w:rPr>
        <w:t>- </w:t>
      </w:r>
      <w:r w:rsidRPr="004676F5">
        <w:rPr>
          <w:i/>
          <w:lang w:val="de-DE"/>
        </w:rPr>
        <w:t>Eigenwechsel</w:t>
      </w:r>
      <w:r w:rsidRPr="004676F5">
        <w:rPr>
          <w:lang w:val="de-DE"/>
        </w:rPr>
        <w:t>]</w:t>
      </w:r>
    </w:p>
    <w:p w14:paraId="5D70E601" w14:textId="77777777" w:rsidR="00591DDC" w:rsidRPr="004676F5" w:rsidRDefault="00591DDC" w:rsidP="00591DDC">
      <w:pPr>
        <w:jc w:val="center"/>
        <w:rPr>
          <w:lang w:val="de-DE"/>
        </w:rPr>
      </w:pPr>
    </w:p>
    <w:p w14:paraId="415114DF" w14:textId="6B0974EF" w:rsidR="00591DDC" w:rsidRPr="004676F5" w:rsidRDefault="00591DDC" w:rsidP="00591DDC">
      <w:pPr>
        <w:jc w:val="both"/>
        <w:rPr>
          <w:iCs/>
          <w:lang w:val="de-DE"/>
        </w:rPr>
      </w:pPr>
      <w:r w:rsidRPr="004676F5">
        <w:rPr>
          <w:i/>
          <w:lang w:val="de-DE"/>
        </w:rPr>
        <w:t>[Unterteilung Kapitel 3 eingefügt durch Art. 136</w:t>
      </w:r>
      <w:r w:rsidRPr="004676F5">
        <w:rPr>
          <w:i/>
          <w:iCs/>
          <w:lang w:val="de-DE"/>
        </w:rPr>
        <w:t xml:space="preserve"> des G. vom 15. April 2018 (B.S. vom 27. April 2018)]</w:t>
      </w:r>
    </w:p>
    <w:p w14:paraId="64D7F71F" w14:textId="4C305BAB" w:rsidR="00591DDC" w:rsidRPr="004676F5" w:rsidRDefault="00591DDC" w:rsidP="00591DDC">
      <w:pPr>
        <w:jc w:val="both"/>
        <w:rPr>
          <w:iCs/>
          <w:lang w:val="de-DE"/>
        </w:rPr>
      </w:pPr>
    </w:p>
    <w:p w14:paraId="76398F2D" w14:textId="1936AC4F" w:rsidR="00591DDC" w:rsidRPr="004676F5" w:rsidRDefault="00591DDC" w:rsidP="00591DDC">
      <w:pPr>
        <w:jc w:val="both"/>
        <w:rPr>
          <w:iCs/>
          <w:lang w:val="de-DE"/>
        </w:rPr>
      </w:pPr>
    </w:p>
    <w:p w14:paraId="6CC3B20D" w14:textId="6DF2550A" w:rsidR="00F4045F" w:rsidRPr="004676F5" w:rsidRDefault="00591DDC" w:rsidP="00F4045F">
      <w:pPr>
        <w:ind w:firstLine="708"/>
        <w:jc w:val="both"/>
        <w:rPr>
          <w:lang w:val="de-DE"/>
        </w:rPr>
      </w:pPr>
      <w:r w:rsidRPr="004676F5">
        <w:rPr>
          <w:iCs/>
          <w:lang w:val="de-DE"/>
        </w:rPr>
        <w:t>[</w:t>
      </w:r>
      <w:r w:rsidR="00F4045F" w:rsidRPr="004676F5">
        <w:rPr>
          <w:b/>
          <w:lang w:val="de-DE"/>
        </w:rPr>
        <w:t>Art. VII.216/77</w:t>
      </w:r>
      <w:r w:rsidR="00F4045F" w:rsidRPr="004676F5">
        <w:rPr>
          <w:lang w:val="de-DE"/>
        </w:rPr>
        <w:t> </w:t>
      </w:r>
      <w:r w:rsidR="005B7A5C" w:rsidRPr="004676F5">
        <w:rPr>
          <w:lang w:val="de-DE"/>
        </w:rPr>
        <w:t>- </w:t>
      </w:r>
      <w:r w:rsidR="00F4045F" w:rsidRPr="004676F5">
        <w:rPr>
          <w:lang w:val="de-DE"/>
        </w:rPr>
        <w:t>Der Eigenwechsel enthält:</w:t>
      </w:r>
    </w:p>
    <w:p w14:paraId="2A929D14" w14:textId="77777777" w:rsidR="00F4045F" w:rsidRPr="004676F5" w:rsidRDefault="00F4045F" w:rsidP="00F4045F">
      <w:pPr>
        <w:ind w:firstLine="708"/>
        <w:jc w:val="both"/>
        <w:rPr>
          <w:lang w:val="de-DE"/>
        </w:rPr>
      </w:pPr>
    </w:p>
    <w:p w14:paraId="55A0C196" w14:textId="77777777" w:rsidR="00F4045F" w:rsidRPr="004676F5" w:rsidRDefault="00F4045F" w:rsidP="00F4045F">
      <w:pPr>
        <w:ind w:firstLine="708"/>
        <w:jc w:val="both"/>
        <w:rPr>
          <w:lang w:val="de-DE"/>
        </w:rPr>
      </w:pPr>
      <w:r w:rsidRPr="004676F5">
        <w:rPr>
          <w:lang w:val="de-DE"/>
        </w:rPr>
        <w:t>1. die Bezeichnung "Eigenwechsel" im Text der Urkunde, und zwar in der Sprache, in der sie ausgestellt ist,</w:t>
      </w:r>
    </w:p>
    <w:p w14:paraId="132F6F9C" w14:textId="77777777" w:rsidR="00F4045F" w:rsidRPr="004676F5" w:rsidRDefault="00F4045F" w:rsidP="00F4045F">
      <w:pPr>
        <w:ind w:firstLine="708"/>
        <w:jc w:val="both"/>
        <w:rPr>
          <w:lang w:val="de-DE"/>
        </w:rPr>
      </w:pPr>
    </w:p>
    <w:p w14:paraId="1DD97E87" w14:textId="77777777" w:rsidR="00F4045F" w:rsidRPr="004676F5" w:rsidRDefault="00F4045F" w:rsidP="00F4045F">
      <w:pPr>
        <w:ind w:firstLine="708"/>
        <w:jc w:val="both"/>
        <w:rPr>
          <w:lang w:val="de-DE"/>
        </w:rPr>
      </w:pPr>
      <w:r w:rsidRPr="004676F5">
        <w:rPr>
          <w:lang w:val="de-DE"/>
        </w:rPr>
        <w:t>2. das unbedingte Versprechen, eine bestimmte Geldsumme zu zahlen,</w:t>
      </w:r>
    </w:p>
    <w:p w14:paraId="3BD7C621" w14:textId="77777777" w:rsidR="00F4045F" w:rsidRPr="004676F5" w:rsidRDefault="00F4045F" w:rsidP="00F4045F">
      <w:pPr>
        <w:ind w:firstLine="708"/>
        <w:jc w:val="both"/>
        <w:rPr>
          <w:lang w:val="de-DE"/>
        </w:rPr>
      </w:pPr>
    </w:p>
    <w:p w14:paraId="5FD8A598" w14:textId="77777777" w:rsidR="00F4045F" w:rsidRPr="004676F5" w:rsidRDefault="00F4045F" w:rsidP="00F4045F">
      <w:pPr>
        <w:ind w:firstLine="708"/>
        <w:jc w:val="both"/>
        <w:rPr>
          <w:lang w:val="de-DE"/>
        </w:rPr>
      </w:pPr>
      <w:r w:rsidRPr="004676F5">
        <w:rPr>
          <w:lang w:val="de-DE"/>
        </w:rPr>
        <w:t>3. die Angabe der Verfallzeit,</w:t>
      </w:r>
    </w:p>
    <w:p w14:paraId="1555AE9C" w14:textId="77777777" w:rsidR="00F4045F" w:rsidRPr="004676F5" w:rsidRDefault="00F4045F" w:rsidP="00F4045F">
      <w:pPr>
        <w:ind w:firstLine="708"/>
        <w:jc w:val="both"/>
        <w:rPr>
          <w:lang w:val="de-DE"/>
        </w:rPr>
      </w:pPr>
    </w:p>
    <w:p w14:paraId="131849DA" w14:textId="77777777" w:rsidR="00F4045F" w:rsidRPr="004676F5" w:rsidRDefault="00F4045F" w:rsidP="00F4045F">
      <w:pPr>
        <w:ind w:firstLine="708"/>
        <w:jc w:val="both"/>
        <w:rPr>
          <w:lang w:val="de-DE"/>
        </w:rPr>
      </w:pPr>
      <w:r w:rsidRPr="004676F5">
        <w:rPr>
          <w:lang w:val="de-DE"/>
        </w:rPr>
        <w:t>4. die Angabe des Zahlungsortes,</w:t>
      </w:r>
    </w:p>
    <w:p w14:paraId="25D5E5FF" w14:textId="77777777" w:rsidR="00F4045F" w:rsidRPr="004676F5" w:rsidRDefault="00F4045F" w:rsidP="00F4045F">
      <w:pPr>
        <w:ind w:firstLine="708"/>
        <w:jc w:val="both"/>
        <w:rPr>
          <w:lang w:val="de-DE"/>
        </w:rPr>
      </w:pPr>
    </w:p>
    <w:p w14:paraId="19E52B26" w14:textId="77777777" w:rsidR="00F4045F" w:rsidRPr="004676F5" w:rsidRDefault="00F4045F" w:rsidP="00F4045F">
      <w:pPr>
        <w:ind w:firstLine="708"/>
        <w:jc w:val="both"/>
        <w:rPr>
          <w:lang w:val="de-DE"/>
        </w:rPr>
      </w:pPr>
      <w:r w:rsidRPr="004676F5">
        <w:rPr>
          <w:lang w:val="de-DE"/>
        </w:rPr>
        <w:t>5. den Namen dessen, an den oder an dessen Order gezahlt werden soll,</w:t>
      </w:r>
    </w:p>
    <w:p w14:paraId="07B51D89" w14:textId="77777777" w:rsidR="00F4045F" w:rsidRPr="004676F5" w:rsidRDefault="00F4045F" w:rsidP="00F4045F">
      <w:pPr>
        <w:ind w:firstLine="708"/>
        <w:jc w:val="both"/>
        <w:rPr>
          <w:lang w:val="de-DE"/>
        </w:rPr>
      </w:pPr>
    </w:p>
    <w:p w14:paraId="4A3AC43F" w14:textId="77777777" w:rsidR="00F4045F" w:rsidRPr="004676F5" w:rsidRDefault="00F4045F" w:rsidP="00F4045F">
      <w:pPr>
        <w:ind w:firstLine="708"/>
        <w:jc w:val="both"/>
        <w:rPr>
          <w:lang w:val="de-DE"/>
        </w:rPr>
      </w:pPr>
      <w:r w:rsidRPr="004676F5">
        <w:rPr>
          <w:lang w:val="de-DE"/>
        </w:rPr>
        <w:t>6. die Angabe des Tages und des Ortes der Ausstellung,</w:t>
      </w:r>
    </w:p>
    <w:p w14:paraId="4B87768F" w14:textId="77777777" w:rsidR="00F4045F" w:rsidRPr="004676F5" w:rsidRDefault="00F4045F" w:rsidP="00F4045F">
      <w:pPr>
        <w:ind w:firstLine="708"/>
        <w:jc w:val="both"/>
        <w:rPr>
          <w:lang w:val="de-DE"/>
        </w:rPr>
      </w:pPr>
    </w:p>
    <w:p w14:paraId="26DC2557" w14:textId="77777777" w:rsidR="00F4045F" w:rsidRPr="004676F5" w:rsidRDefault="00F4045F" w:rsidP="00F4045F">
      <w:pPr>
        <w:ind w:firstLine="708"/>
        <w:jc w:val="both"/>
        <w:rPr>
          <w:lang w:val="de-DE"/>
        </w:rPr>
      </w:pPr>
      <w:r w:rsidRPr="004676F5">
        <w:rPr>
          <w:lang w:val="de-DE"/>
        </w:rPr>
        <w:t>7. die Unterschrift des Ausstellers.</w:t>
      </w:r>
    </w:p>
    <w:p w14:paraId="669148D4" w14:textId="6DE2A66F" w:rsidR="00F4045F" w:rsidRPr="004676F5" w:rsidRDefault="00F4045F" w:rsidP="00F4045F">
      <w:pPr>
        <w:ind w:firstLine="708"/>
        <w:jc w:val="both"/>
        <w:rPr>
          <w:lang w:val="de-DE"/>
        </w:rPr>
      </w:pPr>
    </w:p>
    <w:p w14:paraId="2B17EDC1" w14:textId="77777777" w:rsidR="00F4045F" w:rsidRPr="004676F5" w:rsidRDefault="00F4045F" w:rsidP="00F4045F">
      <w:pPr>
        <w:ind w:firstLine="708"/>
        <w:jc w:val="both"/>
        <w:rPr>
          <w:lang w:val="de-DE"/>
        </w:rPr>
      </w:pPr>
    </w:p>
    <w:p w14:paraId="6EA3DF21" w14:textId="3BC41556" w:rsidR="00F4045F" w:rsidRPr="004676F5" w:rsidRDefault="00F4045F" w:rsidP="00F4045F">
      <w:pPr>
        <w:ind w:firstLine="708"/>
        <w:jc w:val="both"/>
        <w:rPr>
          <w:lang w:val="de-DE"/>
        </w:rPr>
      </w:pPr>
      <w:r w:rsidRPr="004676F5">
        <w:rPr>
          <w:b/>
          <w:lang w:val="de-DE"/>
        </w:rPr>
        <w:t>Art. VII.216/78</w:t>
      </w:r>
      <w:r w:rsidRPr="004676F5">
        <w:rPr>
          <w:lang w:val="de-DE"/>
        </w:rPr>
        <w:t> </w:t>
      </w:r>
      <w:r w:rsidR="005B7A5C" w:rsidRPr="004676F5">
        <w:rPr>
          <w:lang w:val="de-DE"/>
        </w:rPr>
        <w:t>- </w:t>
      </w:r>
      <w:r w:rsidRPr="004676F5">
        <w:rPr>
          <w:lang w:val="de-DE"/>
        </w:rPr>
        <w:t>Eine Urkunde, der einer der in Artikel VII.216/77 bezeichneten Bestandteile fehlt, gilt nicht als Eigenwechsel, vorbehaltlich der in den folgenden Absätzen bezeichneten Fälle.</w:t>
      </w:r>
    </w:p>
    <w:p w14:paraId="1FB3E755" w14:textId="77777777" w:rsidR="00F4045F" w:rsidRPr="004676F5" w:rsidRDefault="00F4045F" w:rsidP="00F4045F">
      <w:pPr>
        <w:ind w:firstLine="708"/>
        <w:jc w:val="both"/>
        <w:rPr>
          <w:lang w:val="de-DE"/>
        </w:rPr>
      </w:pPr>
    </w:p>
    <w:p w14:paraId="53BE628C" w14:textId="77777777" w:rsidR="00F4045F" w:rsidRPr="004676F5" w:rsidRDefault="00F4045F" w:rsidP="00F4045F">
      <w:pPr>
        <w:ind w:firstLine="708"/>
        <w:jc w:val="both"/>
        <w:rPr>
          <w:lang w:val="de-DE"/>
        </w:rPr>
      </w:pPr>
      <w:r w:rsidRPr="004676F5">
        <w:rPr>
          <w:lang w:val="de-DE"/>
        </w:rPr>
        <w:t>Ein Eigenwechsel ohne Angabe der Verfallzeit gilt als Sichtwechsel.</w:t>
      </w:r>
    </w:p>
    <w:p w14:paraId="49D77751" w14:textId="77777777" w:rsidR="00F4045F" w:rsidRPr="004676F5" w:rsidRDefault="00F4045F" w:rsidP="00F4045F">
      <w:pPr>
        <w:ind w:firstLine="708"/>
        <w:jc w:val="both"/>
        <w:rPr>
          <w:lang w:val="de-DE"/>
        </w:rPr>
      </w:pPr>
    </w:p>
    <w:p w14:paraId="6A092BD3" w14:textId="77777777" w:rsidR="00F4045F" w:rsidRPr="004676F5" w:rsidRDefault="00F4045F" w:rsidP="00F4045F">
      <w:pPr>
        <w:ind w:firstLine="708"/>
        <w:jc w:val="both"/>
        <w:rPr>
          <w:lang w:val="de-DE"/>
        </w:rPr>
      </w:pPr>
      <w:r w:rsidRPr="004676F5">
        <w:rPr>
          <w:lang w:val="de-DE"/>
        </w:rPr>
        <w:t>Mangels einer besonderen Angabe gilt der Ausstellungsort als Zahlungsort und zugleich als Wohnsitz des Ausstellers.</w:t>
      </w:r>
    </w:p>
    <w:p w14:paraId="7CE32FD7" w14:textId="77777777" w:rsidR="00F4045F" w:rsidRPr="004676F5" w:rsidRDefault="00F4045F" w:rsidP="00F4045F">
      <w:pPr>
        <w:ind w:firstLine="708"/>
        <w:jc w:val="both"/>
        <w:rPr>
          <w:lang w:val="de-DE"/>
        </w:rPr>
      </w:pPr>
    </w:p>
    <w:p w14:paraId="32AF446A" w14:textId="77777777" w:rsidR="00F4045F" w:rsidRPr="004676F5" w:rsidRDefault="00F4045F" w:rsidP="00F4045F">
      <w:pPr>
        <w:ind w:firstLine="708"/>
        <w:jc w:val="both"/>
        <w:rPr>
          <w:lang w:val="de-DE"/>
        </w:rPr>
      </w:pPr>
      <w:r w:rsidRPr="004676F5">
        <w:rPr>
          <w:lang w:val="de-DE"/>
        </w:rPr>
        <w:t>Ein Eigenwechsel ohne Angabe des Ausstellungsortes gilt als ausgestellt an dem Ort, der bei dem Namen des Ausstellers angegeben ist.</w:t>
      </w:r>
    </w:p>
    <w:p w14:paraId="08E07359" w14:textId="5008E1A6" w:rsidR="00F4045F" w:rsidRPr="004676F5" w:rsidRDefault="00F4045F" w:rsidP="00F4045F">
      <w:pPr>
        <w:ind w:firstLine="708"/>
        <w:jc w:val="both"/>
        <w:rPr>
          <w:lang w:val="de-DE"/>
        </w:rPr>
      </w:pPr>
    </w:p>
    <w:p w14:paraId="7FC583A7" w14:textId="77777777" w:rsidR="00F4045F" w:rsidRPr="004676F5" w:rsidRDefault="00F4045F" w:rsidP="00F4045F">
      <w:pPr>
        <w:ind w:firstLine="708"/>
        <w:jc w:val="both"/>
        <w:rPr>
          <w:lang w:val="de-DE"/>
        </w:rPr>
      </w:pPr>
    </w:p>
    <w:p w14:paraId="25B5D2D5" w14:textId="20E47DB1" w:rsidR="00F4045F" w:rsidRPr="004676F5" w:rsidRDefault="00F4045F" w:rsidP="00F4045F">
      <w:pPr>
        <w:ind w:firstLine="708"/>
        <w:jc w:val="both"/>
        <w:rPr>
          <w:lang w:val="de-DE"/>
        </w:rPr>
      </w:pPr>
      <w:r w:rsidRPr="004676F5">
        <w:rPr>
          <w:b/>
          <w:lang w:val="de-DE"/>
        </w:rPr>
        <w:t>Art. VII.216/79</w:t>
      </w:r>
      <w:r w:rsidRPr="004676F5">
        <w:rPr>
          <w:lang w:val="de-DE"/>
        </w:rPr>
        <w:t> </w:t>
      </w:r>
      <w:r w:rsidR="005B7A5C" w:rsidRPr="004676F5">
        <w:rPr>
          <w:lang w:val="de-DE"/>
        </w:rPr>
        <w:t>- </w:t>
      </w:r>
      <w:r w:rsidRPr="004676F5">
        <w:rPr>
          <w:lang w:val="de-DE"/>
        </w:rPr>
        <w:t>Für den Eigenwechsel gelten, soweit sie nicht mit seinem Wesen in Widerspruch stehen, die für den gezogenen Wechsel gegebenen Vorschriften über:</w:t>
      </w:r>
    </w:p>
    <w:p w14:paraId="4B660361" w14:textId="77777777" w:rsidR="00F4045F" w:rsidRPr="004676F5" w:rsidRDefault="00F4045F" w:rsidP="00F4045F">
      <w:pPr>
        <w:ind w:firstLine="708"/>
        <w:jc w:val="both"/>
        <w:rPr>
          <w:lang w:val="de-DE"/>
        </w:rPr>
      </w:pPr>
    </w:p>
    <w:p w14:paraId="239C7D73" w14:textId="77777777" w:rsidR="00F4045F" w:rsidRPr="004676F5" w:rsidRDefault="00F4045F" w:rsidP="00F4045F">
      <w:pPr>
        <w:ind w:firstLine="708"/>
        <w:jc w:val="both"/>
        <w:rPr>
          <w:lang w:val="de-DE"/>
        </w:rPr>
      </w:pPr>
      <w:r w:rsidRPr="004676F5">
        <w:rPr>
          <w:lang w:val="de-DE"/>
        </w:rPr>
        <w:t>1. das Indossament (Artikel VII.216/12 bis VII.216/21),</w:t>
      </w:r>
    </w:p>
    <w:p w14:paraId="45857D1E" w14:textId="77777777" w:rsidR="00F4045F" w:rsidRPr="004676F5" w:rsidRDefault="00F4045F" w:rsidP="00F4045F">
      <w:pPr>
        <w:ind w:firstLine="708"/>
        <w:jc w:val="both"/>
        <w:rPr>
          <w:lang w:val="de-DE"/>
        </w:rPr>
      </w:pPr>
    </w:p>
    <w:p w14:paraId="2D1DC7A9" w14:textId="77777777" w:rsidR="00F4045F" w:rsidRPr="004676F5" w:rsidRDefault="00F4045F" w:rsidP="00F4045F">
      <w:pPr>
        <w:ind w:firstLine="708"/>
        <w:jc w:val="both"/>
        <w:rPr>
          <w:lang w:val="de-DE"/>
        </w:rPr>
      </w:pPr>
      <w:r w:rsidRPr="004676F5">
        <w:rPr>
          <w:lang w:val="de-DE"/>
        </w:rPr>
        <w:t>2. den Verfall (Artikel VII.216/34 bis VII.216/38),</w:t>
      </w:r>
    </w:p>
    <w:p w14:paraId="6A81571D" w14:textId="77777777" w:rsidR="00F4045F" w:rsidRPr="004676F5" w:rsidRDefault="00F4045F" w:rsidP="00F4045F">
      <w:pPr>
        <w:ind w:firstLine="708"/>
        <w:jc w:val="both"/>
        <w:rPr>
          <w:lang w:val="de-DE"/>
        </w:rPr>
      </w:pPr>
    </w:p>
    <w:p w14:paraId="7EF7E0A1" w14:textId="77777777" w:rsidR="00F4045F" w:rsidRPr="004676F5" w:rsidRDefault="00F4045F" w:rsidP="00F4045F">
      <w:pPr>
        <w:ind w:firstLine="708"/>
        <w:jc w:val="both"/>
        <w:rPr>
          <w:lang w:val="de-DE"/>
        </w:rPr>
      </w:pPr>
      <w:r w:rsidRPr="004676F5">
        <w:rPr>
          <w:lang w:val="de-DE"/>
        </w:rPr>
        <w:t>3. die Zahlung (Artikel VII.216/39 bis VII.216/43),</w:t>
      </w:r>
    </w:p>
    <w:p w14:paraId="06716C50" w14:textId="77777777" w:rsidR="00F4045F" w:rsidRPr="004676F5" w:rsidRDefault="00F4045F" w:rsidP="00F4045F">
      <w:pPr>
        <w:ind w:firstLine="708"/>
        <w:jc w:val="both"/>
        <w:rPr>
          <w:lang w:val="de-DE"/>
        </w:rPr>
      </w:pPr>
    </w:p>
    <w:p w14:paraId="4854FB39" w14:textId="77777777" w:rsidR="00F4045F" w:rsidRPr="004676F5" w:rsidRDefault="00F4045F" w:rsidP="00F4045F">
      <w:pPr>
        <w:ind w:firstLine="708"/>
        <w:jc w:val="both"/>
        <w:rPr>
          <w:lang w:val="de-DE"/>
        </w:rPr>
      </w:pPr>
      <w:r w:rsidRPr="004676F5">
        <w:rPr>
          <w:lang w:val="de-DE"/>
        </w:rPr>
        <w:t>4. den Rückgriff mangels Zahlung (Artikel VII.216/44 bis VII.216/51 und VII.216/53 bis VII.216/55),</w:t>
      </w:r>
    </w:p>
    <w:p w14:paraId="7F36A274" w14:textId="77777777" w:rsidR="00F4045F" w:rsidRPr="004676F5" w:rsidRDefault="00F4045F" w:rsidP="00F4045F">
      <w:pPr>
        <w:ind w:firstLine="708"/>
        <w:jc w:val="both"/>
        <w:rPr>
          <w:lang w:val="de-DE"/>
        </w:rPr>
      </w:pPr>
    </w:p>
    <w:p w14:paraId="6E0339CB" w14:textId="77777777" w:rsidR="00F4045F" w:rsidRPr="004676F5" w:rsidRDefault="00F4045F" w:rsidP="00F4045F">
      <w:pPr>
        <w:ind w:firstLine="708"/>
        <w:jc w:val="both"/>
        <w:rPr>
          <w:lang w:val="de-DE"/>
        </w:rPr>
      </w:pPr>
      <w:r w:rsidRPr="004676F5">
        <w:rPr>
          <w:lang w:val="de-DE"/>
        </w:rPr>
        <w:t>5. die Ehrenzahlung (Artikel VII.216/56 und VII.216/60 bis VII.216/64),</w:t>
      </w:r>
    </w:p>
    <w:p w14:paraId="0CCD121E" w14:textId="77777777" w:rsidR="00F4045F" w:rsidRPr="004676F5" w:rsidRDefault="00F4045F" w:rsidP="00F4045F">
      <w:pPr>
        <w:ind w:firstLine="708"/>
        <w:jc w:val="both"/>
        <w:rPr>
          <w:lang w:val="de-DE"/>
        </w:rPr>
      </w:pPr>
    </w:p>
    <w:p w14:paraId="323CB5A2" w14:textId="77777777" w:rsidR="00F4045F" w:rsidRPr="004676F5" w:rsidRDefault="00F4045F" w:rsidP="00F4045F">
      <w:pPr>
        <w:ind w:firstLine="708"/>
        <w:jc w:val="both"/>
        <w:rPr>
          <w:lang w:val="de-DE"/>
        </w:rPr>
      </w:pPr>
      <w:r w:rsidRPr="004676F5">
        <w:rPr>
          <w:lang w:val="de-DE"/>
        </w:rPr>
        <w:t>6. die Abschriften (Artikel VII.216/68 und VII.216/69),</w:t>
      </w:r>
    </w:p>
    <w:p w14:paraId="5E10CC2F" w14:textId="77777777" w:rsidR="00F4045F" w:rsidRPr="004676F5" w:rsidRDefault="00F4045F" w:rsidP="00F4045F">
      <w:pPr>
        <w:ind w:firstLine="708"/>
        <w:jc w:val="both"/>
        <w:rPr>
          <w:lang w:val="de-DE"/>
        </w:rPr>
      </w:pPr>
    </w:p>
    <w:p w14:paraId="45761A17" w14:textId="77777777" w:rsidR="00F4045F" w:rsidRPr="004676F5" w:rsidRDefault="00F4045F" w:rsidP="00F4045F">
      <w:pPr>
        <w:ind w:firstLine="708"/>
        <w:jc w:val="both"/>
        <w:rPr>
          <w:lang w:val="de-DE"/>
        </w:rPr>
      </w:pPr>
      <w:r w:rsidRPr="004676F5">
        <w:rPr>
          <w:lang w:val="de-DE"/>
        </w:rPr>
        <w:t>7. die Änderungen (Artikel VII.216/70),</w:t>
      </w:r>
    </w:p>
    <w:p w14:paraId="5ED3B739" w14:textId="77777777" w:rsidR="00F4045F" w:rsidRPr="004676F5" w:rsidRDefault="00F4045F" w:rsidP="00F4045F">
      <w:pPr>
        <w:ind w:firstLine="708"/>
        <w:jc w:val="both"/>
        <w:rPr>
          <w:lang w:val="de-DE"/>
        </w:rPr>
      </w:pPr>
    </w:p>
    <w:p w14:paraId="7B2901DC" w14:textId="77777777" w:rsidR="00F4045F" w:rsidRPr="004676F5" w:rsidRDefault="00F4045F" w:rsidP="00F4045F">
      <w:pPr>
        <w:ind w:firstLine="708"/>
        <w:jc w:val="both"/>
        <w:rPr>
          <w:lang w:val="de-DE"/>
        </w:rPr>
      </w:pPr>
      <w:r w:rsidRPr="004676F5">
        <w:rPr>
          <w:lang w:val="de-DE"/>
        </w:rPr>
        <w:t>8. die Verjährung (Artikel VII.216/71, VII.216/72 und VII.216/73),</w:t>
      </w:r>
    </w:p>
    <w:p w14:paraId="6F39544C" w14:textId="77777777" w:rsidR="00F4045F" w:rsidRPr="004676F5" w:rsidRDefault="00F4045F" w:rsidP="00F4045F">
      <w:pPr>
        <w:ind w:firstLine="708"/>
        <w:jc w:val="both"/>
        <w:rPr>
          <w:lang w:val="de-DE"/>
        </w:rPr>
      </w:pPr>
    </w:p>
    <w:p w14:paraId="0563DFB9" w14:textId="77777777" w:rsidR="00F4045F" w:rsidRPr="004676F5" w:rsidRDefault="00F4045F" w:rsidP="00F4045F">
      <w:pPr>
        <w:ind w:firstLine="708"/>
        <w:jc w:val="both"/>
        <w:rPr>
          <w:lang w:val="de-DE"/>
        </w:rPr>
      </w:pPr>
      <w:r w:rsidRPr="004676F5">
        <w:rPr>
          <w:lang w:val="de-DE"/>
        </w:rPr>
        <w:t>9. die Feiertage, die Fristenberechnung und das Verbot der Respekttage (Artikel VII.216/74, VII.216/75 und VII.21676),</w:t>
      </w:r>
    </w:p>
    <w:p w14:paraId="638A7646" w14:textId="77777777" w:rsidR="00F4045F" w:rsidRPr="004676F5" w:rsidRDefault="00F4045F" w:rsidP="00F4045F">
      <w:pPr>
        <w:ind w:firstLine="708"/>
        <w:jc w:val="both"/>
        <w:rPr>
          <w:lang w:val="de-DE"/>
        </w:rPr>
      </w:pPr>
    </w:p>
    <w:p w14:paraId="51E852DD" w14:textId="77777777" w:rsidR="00F4045F" w:rsidRPr="004676F5" w:rsidRDefault="00F4045F" w:rsidP="00F4045F">
      <w:pPr>
        <w:ind w:firstLine="708"/>
        <w:jc w:val="both"/>
        <w:rPr>
          <w:lang w:val="de-DE"/>
        </w:rPr>
      </w:pPr>
      <w:r w:rsidRPr="004676F5">
        <w:rPr>
          <w:lang w:val="de-DE"/>
        </w:rPr>
        <w:t>10. die Zahlung abhandengekommener Wechsel (Artikel VII.216/88 bis VII.216/93),</w:t>
      </w:r>
    </w:p>
    <w:p w14:paraId="58BFD6A7" w14:textId="77777777" w:rsidR="00F4045F" w:rsidRPr="004676F5" w:rsidRDefault="00F4045F" w:rsidP="00F4045F">
      <w:pPr>
        <w:ind w:firstLine="708"/>
        <w:jc w:val="both"/>
        <w:rPr>
          <w:lang w:val="de-DE"/>
        </w:rPr>
      </w:pPr>
    </w:p>
    <w:p w14:paraId="529AB3DC" w14:textId="77777777" w:rsidR="00F4045F" w:rsidRPr="004676F5" w:rsidRDefault="00F4045F" w:rsidP="00F4045F">
      <w:pPr>
        <w:ind w:firstLine="708"/>
        <w:jc w:val="both"/>
        <w:rPr>
          <w:lang w:val="de-DE"/>
        </w:rPr>
      </w:pPr>
      <w:r w:rsidRPr="004676F5">
        <w:rPr>
          <w:lang w:val="de-DE"/>
        </w:rPr>
        <w:t>11. die Sicherungspfändung (Artikel VII.216/96).</w:t>
      </w:r>
    </w:p>
    <w:p w14:paraId="13F2EE0B" w14:textId="77777777" w:rsidR="00F4045F" w:rsidRPr="004676F5" w:rsidRDefault="00F4045F" w:rsidP="00F4045F">
      <w:pPr>
        <w:ind w:firstLine="708"/>
        <w:jc w:val="both"/>
        <w:rPr>
          <w:lang w:val="de-DE"/>
        </w:rPr>
      </w:pPr>
    </w:p>
    <w:p w14:paraId="69A2DDC8" w14:textId="77777777" w:rsidR="00F4045F" w:rsidRPr="004676F5" w:rsidRDefault="00F4045F" w:rsidP="00F4045F">
      <w:pPr>
        <w:ind w:firstLine="708"/>
        <w:jc w:val="both"/>
        <w:rPr>
          <w:lang w:val="de-DE"/>
        </w:rPr>
      </w:pPr>
      <w:r w:rsidRPr="004676F5">
        <w:rPr>
          <w:lang w:val="de-DE"/>
        </w:rPr>
        <w:t>Ferner gelten für den Eigenwechsel die Vorschriften über gezogene Wechsel, die bei einem Dritten oder an einem von dem Wohnsitz des Bezogenen verschiedenen Ort zahlbar sind (Artikel VII.216/5 und VII.216/28), über den Zinsvermerk (Artikel VII.216/6), über die Abweichungen bei der Angabe der Wechselsumme (Artikel VII.216/7), über die Folgen einer ungültigen Unterschrift (Artikel VII.216/8) oder die Unterschrift einer Person, die ohne Vertretungsbefugnis handelt oder ihre Vertretungsbefugnis überschreitet (Artikel VII.216/9), und über den Blankowechsel (Artikel VII.216/11).</w:t>
      </w:r>
    </w:p>
    <w:p w14:paraId="28232DEE" w14:textId="77777777" w:rsidR="00F4045F" w:rsidRPr="004676F5" w:rsidRDefault="00F4045F" w:rsidP="00F4045F">
      <w:pPr>
        <w:ind w:firstLine="708"/>
        <w:jc w:val="both"/>
        <w:rPr>
          <w:lang w:val="de-DE"/>
        </w:rPr>
      </w:pPr>
    </w:p>
    <w:p w14:paraId="68A5C8FE" w14:textId="77777777" w:rsidR="00F4045F" w:rsidRPr="004676F5" w:rsidRDefault="00F4045F" w:rsidP="00F4045F">
      <w:pPr>
        <w:ind w:firstLine="708"/>
        <w:jc w:val="both"/>
        <w:rPr>
          <w:lang w:val="de-DE"/>
        </w:rPr>
      </w:pPr>
      <w:r w:rsidRPr="004676F5">
        <w:rPr>
          <w:lang w:val="de-DE"/>
        </w:rPr>
        <w:t>Ebenso finden auf den Eigenwechsel die Vorschriften über die Wechselbürgschaft Anwendung (Artikel VII.216/31 bis VII.216/33); im Fall des Artikels VII.216/32 Absatz 4 gilt die Wechselbürgschaft, wenn die Erklärung nicht angibt, für wen sie geleistet wird, für den Aussteller des Eigenwechsels.</w:t>
      </w:r>
    </w:p>
    <w:p w14:paraId="3B1CA7B1" w14:textId="77777777" w:rsidR="00F4045F" w:rsidRPr="004676F5" w:rsidRDefault="00F4045F" w:rsidP="00F4045F">
      <w:pPr>
        <w:ind w:firstLine="708"/>
        <w:jc w:val="both"/>
        <w:rPr>
          <w:lang w:val="de-DE"/>
        </w:rPr>
      </w:pPr>
    </w:p>
    <w:p w14:paraId="555A0EF6" w14:textId="77777777" w:rsidR="00F4045F" w:rsidRPr="004676F5" w:rsidRDefault="00F4045F" w:rsidP="00F4045F">
      <w:pPr>
        <w:ind w:firstLine="708"/>
        <w:jc w:val="both"/>
        <w:rPr>
          <w:lang w:val="de-DE"/>
        </w:rPr>
      </w:pPr>
      <w:r w:rsidRPr="004676F5">
        <w:rPr>
          <w:lang w:val="de-DE"/>
        </w:rPr>
        <w:t>Artikel VII.216/3 Absatz 5 und die Artikel VII.216/72 und VII.216/95 des vorliegenden Gesetzbuches sind ebenfalls auf den Eigenwechsel anwendbar.</w:t>
      </w:r>
    </w:p>
    <w:p w14:paraId="7AFCCF27" w14:textId="5758A284" w:rsidR="00F4045F" w:rsidRPr="004676F5" w:rsidRDefault="00F4045F" w:rsidP="00F4045F">
      <w:pPr>
        <w:ind w:firstLine="708"/>
        <w:jc w:val="both"/>
        <w:rPr>
          <w:lang w:val="de-DE"/>
        </w:rPr>
      </w:pPr>
    </w:p>
    <w:p w14:paraId="7E5F7DBD" w14:textId="77777777" w:rsidR="00F4045F" w:rsidRPr="004676F5" w:rsidRDefault="00F4045F" w:rsidP="00F4045F">
      <w:pPr>
        <w:ind w:firstLine="708"/>
        <w:jc w:val="both"/>
        <w:rPr>
          <w:lang w:val="de-DE"/>
        </w:rPr>
      </w:pPr>
    </w:p>
    <w:p w14:paraId="4FA3F890" w14:textId="135B6947" w:rsidR="00F4045F" w:rsidRPr="004676F5" w:rsidRDefault="00F4045F" w:rsidP="00F4045F">
      <w:pPr>
        <w:ind w:firstLine="708"/>
        <w:jc w:val="both"/>
        <w:rPr>
          <w:lang w:val="de-DE"/>
        </w:rPr>
      </w:pPr>
      <w:r w:rsidRPr="004676F5">
        <w:rPr>
          <w:b/>
          <w:lang w:val="de-DE"/>
        </w:rPr>
        <w:t>Art. VII.216/80</w:t>
      </w:r>
      <w:r w:rsidRPr="004676F5">
        <w:rPr>
          <w:lang w:val="de-DE"/>
        </w:rPr>
        <w:t> </w:t>
      </w:r>
      <w:r w:rsidR="005B7A5C" w:rsidRPr="004676F5">
        <w:rPr>
          <w:lang w:val="de-DE"/>
        </w:rPr>
        <w:t>- </w:t>
      </w:r>
      <w:r w:rsidRPr="004676F5">
        <w:rPr>
          <w:lang w:val="de-DE"/>
        </w:rPr>
        <w:t>Der Aussteller eines Eigenwechsels haftet in der gleichen Weise wie der Annehmer eines gezogenen Wechsels.</w:t>
      </w:r>
    </w:p>
    <w:p w14:paraId="60838DA5" w14:textId="77777777" w:rsidR="00F4045F" w:rsidRPr="004676F5" w:rsidRDefault="00F4045F" w:rsidP="00F4045F">
      <w:pPr>
        <w:ind w:firstLine="708"/>
        <w:jc w:val="both"/>
        <w:rPr>
          <w:lang w:val="de-DE"/>
        </w:rPr>
      </w:pPr>
    </w:p>
    <w:p w14:paraId="617D0905" w14:textId="48D263D6" w:rsidR="00591DDC" w:rsidRPr="004676F5" w:rsidRDefault="00F4045F" w:rsidP="00F4045F">
      <w:pPr>
        <w:jc w:val="both"/>
        <w:rPr>
          <w:lang w:val="de-DE"/>
        </w:rPr>
      </w:pPr>
      <w:r w:rsidRPr="004676F5">
        <w:rPr>
          <w:lang w:val="de-DE"/>
        </w:rPr>
        <w:tab/>
        <w:t>Eigenwechsel, die auf eine bestimmte Zeit nach Sicht lauten, müssen dem Aussteller innerhalb der in Artikel VII.216/24 bezeichneten Fristen zur Sicht vorgelegt werden. Die Sicht ist von dem Aussteller auf dem Wechsel unter Angabe des Tages und Beifügung der Unterschrift zu bestätigen. Die Nachsichtfrist läuft vom Tag des Sichtvermerks. Weigert sich der Aussteller, die Sicht unter Angabe des Tages zu bestätigen, so ist dies durch einen Protest festzustellen (Artikel VII.216/26); die Nachsichtfrist läuft dann vom Tag des Protestes.]</w:t>
      </w:r>
    </w:p>
    <w:p w14:paraId="4A4CEC06" w14:textId="04076F82" w:rsidR="00F4045F" w:rsidRPr="004676F5" w:rsidRDefault="00F4045F" w:rsidP="00F4045F">
      <w:pPr>
        <w:jc w:val="both"/>
        <w:rPr>
          <w:lang w:val="de-DE"/>
        </w:rPr>
      </w:pPr>
    </w:p>
    <w:p w14:paraId="636B1C1D" w14:textId="324FF671" w:rsidR="00F4045F" w:rsidRPr="004676F5" w:rsidRDefault="00F4045F" w:rsidP="00F4045F">
      <w:pPr>
        <w:jc w:val="both"/>
        <w:rPr>
          <w:i/>
          <w:lang w:val="de-DE"/>
        </w:rPr>
      </w:pPr>
      <w:r w:rsidRPr="004676F5">
        <w:rPr>
          <w:i/>
          <w:lang w:val="de-DE"/>
        </w:rPr>
        <w:t>[Art. VII.216/77 bis VII.216/80 eingefügt durch Art. 137 des G. vom 15. April 2018 (B.S. vom 27. April 2018)]</w:t>
      </w:r>
    </w:p>
    <w:p w14:paraId="2C4D9316" w14:textId="40AE2BFC" w:rsidR="00F4045F" w:rsidRPr="004676F5" w:rsidRDefault="00F4045F" w:rsidP="00F4045F">
      <w:pPr>
        <w:jc w:val="both"/>
        <w:rPr>
          <w:iCs/>
          <w:lang w:val="de-DE"/>
        </w:rPr>
      </w:pPr>
    </w:p>
    <w:p w14:paraId="74DA41B4" w14:textId="74178A74" w:rsidR="00F4045F" w:rsidRPr="004676F5" w:rsidRDefault="00F4045F">
      <w:pPr>
        <w:rPr>
          <w:iCs/>
          <w:lang w:val="de-DE"/>
        </w:rPr>
      </w:pPr>
      <w:r w:rsidRPr="004676F5">
        <w:rPr>
          <w:iCs/>
          <w:lang w:val="de-DE"/>
        </w:rPr>
        <w:br w:type="page"/>
      </w:r>
    </w:p>
    <w:p w14:paraId="46276BEB" w14:textId="6EA6C1AB" w:rsidR="00F4045F" w:rsidRPr="004676F5" w:rsidRDefault="00F4045F" w:rsidP="00F4045F">
      <w:pPr>
        <w:jc w:val="center"/>
        <w:rPr>
          <w:iCs/>
          <w:lang w:val="de-DE"/>
        </w:rPr>
      </w:pPr>
      <w:r w:rsidRPr="004676F5">
        <w:rPr>
          <w:iCs/>
          <w:lang w:val="de-DE"/>
        </w:rPr>
        <w:lastRenderedPageBreak/>
        <w:t>[</w:t>
      </w:r>
      <w:r w:rsidRPr="004676F5">
        <w:rPr>
          <w:lang w:val="de-DE"/>
        </w:rPr>
        <w:t>KAPITEL 4 </w:t>
      </w:r>
      <w:r w:rsidR="005B7A5C" w:rsidRPr="004676F5">
        <w:rPr>
          <w:lang w:val="de-DE"/>
        </w:rPr>
        <w:t>- </w:t>
      </w:r>
      <w:r w:rsidRPr="004676F5">
        <w:rPr>
          <w:i/>
          <w:lang w:val="de-DE"/>
        </w:rPr>
        <w:t>Ergänzende Vorschriften</w:t>
      </w:r>
      <w:r w:rsidRPr="004676F5">
        <w:rPr>
          <w:iCs/>
          <w:lang w:val="de-DE"/>
        </w:rPr>
        <w:t>]</w:t>
      </w:r>
    </w:p>
    <w:p w14:paraId="0EE80565" w14:textId="77777777" w:rsidR="00F4045F" w:rsidRPr="004676F5" w:rsidRDefault="00F4045F" w:rsidP="00591DDC">
      <w:pPr>
        <w:jc w:val="center"/>
        <w:rPr>
          <w:lang w:val="de-DE"/>
        </w:rPr>
      </w:pPr>
    </w:p>
    <w:p w14:paraId="0A1924D1" w14:textId="3FD8C67C" w:rsidR="00F4045F" w:rsidRPr="004676F5" w:rsidRDefault="00F4045F" w:rsidP="00F4045F">
      <w:pPr>
        <w:jc w:val="both"/>
        <w:rPr>
          <w:i/>
          <w:iCs/>
          <w:lang w:val="de-DE"/>
        </w:rPr>
      </w:pPr>
      <w:r w:rsidRPr="004676F5">
        <w:rPr>
          <w:i/>
          <w:lang w:val="de-DE"/>
        </w:rPr>
        <w:t>[Unterteilung Kapitel 4 eingefügt durch Art. 138</w:t>
      </w:r>
      <w:r w:rsidRPr="004676F5">
        <w:rPr>
          <w:i/>
          <w:iCs/>
          <w:lang w:val="de-DE"/>
        </w:rPr>
        <w:t xml:space="preserve"> des G. vom 15. April 2018 (B.S. vom 27. April 2018)]</w:t>
      </w:r>
    </w:p>
    <w:p w14:paraId="7A436AD2" w14:textId="0765EA16" w:rsidR="00F4045F" w:rsidRPr="004676F5" w:rsidRDefault="00F4045F" w:rsidP="00F4045F">
      <w:pPr>
        <w:jc w:val="both"/>
        <w:rPr>
          <w:i/>
          <w:iCs/>
          <w:lang w:val="de-DE"/>
        </w:rPr>
      </w:pPr>
    </w:p>
    <w:p w14:paraId="6BD201C4" w14:textId="729AA9BF" w:rsidR="00F4045F" w:rsidRPr="004676F5" w:rsidRDefault="00F4045F" w:rsidP="00F4045F">
      <w:pPr>
        <w:jc w:val="both"/>
        <w:rPr>
          <w:iCs/>
          <w:lang w:val="de-DE"/>
        </w:rPr>
      </w:pPr>
    </w:p>
    <w:p w14:paraId="326EF3CE" w14:textId="2EBF3CBF" w:rsidR="00F4045F" w:rsidRPr="004676F5" w:rsidRDefault="00F4045F" w:rsidP="00F4045F">
      <w:pPr>
        <w:jc w:val="center"/>
        <w:rPr>
          <w:iCs/>
          <w:lang w:val="de-DE"/>
        </w:rPr>
      </w:pPr>
      <w:r w:rsidRPr="004676F5">
        <w:rPr>
          <w:iCs/>
          <w:lang w:val="de-DE"/>
        </w:rPr>
        <w:t>[</w:t>
      </w:r>
      <w:r w:rsidRPr="004676F5">
        <w:rPr>
          <w:i/>
          <w:lang w:val="de-DE"/>
        </w:rPr>
        <w:t>Abschnitt 1</w:t>
      </w:r>
      <w:r w:rsidRPr="004676F5">
        <w:rPr>
          <w:lang w:val="de-DE"/>
        </w:rPr>
        <w:t> </w:t>
      </w:r>
      <w:r w:rsidR="005B7A5C" w:rsidRPr="004676F5">
        <w:rPr>
          <w:lang w:val="de-DE"/>
        </w:rPr>
        <w:t>- </w:t>
      </w:r>
      <w:r w:rsidRPr="004676F5">
        <w:rPr>
          <w:lang w:val="de-DE"/>
        </w:rPr>
        <w:t>Deckung</w:t>
      </w:r>
      <w:r w:rsidRPr="004676F5">
        <w:rPr>
          <w:iCs/>
          <w:lang w:val="de-DE"/>
        </w:rPr>
        <w:t>]</w:t>
      </w:r>
    </w:p>
    <w:p w14:paraId="56E6741D" w14:textId="620152ED" w:rsidR="00F4045F" w:rsidRPr="004676F5" w:rsidRDefault="00F4045F" w:rsidP="00F4045F">
      <w:pPr>
        <w:jc w:val="center"/>
        <w:rPr>
          <w:iCs/>
          <w:lang w:val="de-DE"/>
        </w:rPr>
      </w:pPr>
    </w:p>
    <w:p w14:paraId="7871CC19" w14:textId="63FD400E" w:rsidR="00F4045F" w:rsidRPr="004676F5" w:rsidRDefault="00F4045F" w:rsidP="00F4045F">
      <w:pPr>
        <w:jc w:val="both"/>
        <w:rPr>
          <w:i/>
          <w:iCs/>
          <w:lang w:val="de-DE"/>
        </w:rPr>
      </w:pPr>
      <w:r w:rsidRPr="004676F5">
        <w:rPr>
          <w:i/>
          <w:lang w:val="de-DE"/>
        </w:rPr>
        <w:t>[Unterteilung Abschnitt 1 eingefügt durch Art. 139</w:t>
      </w:r>
      <w:r w:rsidRPr="004676F5">
        <w:rPr>
          <w:i/>
          <w:iCs/>
          <w:lang w:val="de-DE"/>
        </w:rPr>
        <w:t xml:space="preserve"> des G. vom 15. April 2018 (B.S. vom 27. April 2018)]</w:t>
      </w:r>
    </w:p>
    <w:p w14:paraId="058F51CD" w14:textId="7AFDD3DD" w:rsidR="00F4045F" w:rsidRPr="004676F5" w:rsidRDefault="00F4045F" w:rsidP="00F4045F">
      <w:pPr>
        <w:jc w:val="both"/>
        <w:rPr>
          <w:iCs/>
          <w:lang w:val="de-DE"/>
        </w:rPr>
      </w:pPr>
    </w:p>
    <w:p w14:paraId="76B5D12C" w14:textId="382689FC" w:rsidR="00F4045F" w:rsidRPr="004676F5" w:rsidRDefault="00F4045F" w:rsidP="00F4045F">
      <w:pPr>
        <w:jc w:val="both"/>
        <w:rPr>
          <w:iCs/>
          <w:lang w:val="de-DE"/>
        </w:rPr>
      </w:pPr>
    </w:p>
    <w:p w14:paraId="3C59B5C2" w14:textId="4885F421" w:rsidR="00F4045F" w:rsidRPr="004676F5" w:rsidRDefault="00F4045F" w:rsidP="00F4045F">
      <w:pPr>
        <w:ind w:firstLine="708"/>
        <w:jc w:val="both"/>
        <w:rPr>
          <w:lang w:val="de-DE"/>
        </w:rPr>
      </w:pPr>
      <w:r w:rsidRPr="004676F5">
        <w:rPr>
          <w:iCs/>
          <w:lang w:val="de-DE"/>
        </w:rPr>
        <w:t>[</w:t>
      </w:r>
      <w:r w:rsidRPr="004676F5">
        <w:rPr>
          <w:b/>
          <w:lang w:val="de-DE"/>
        </w:rPr>
        <w:t>Art. VII.216/81</w:t>
      </w:r>
      <w:r w:rsidRPr="004676F5">
        <w:rPr>
          <w:lang w:val="de-DE"/>
        </w:rPr>
        <w:t> </w:t>
      </w:r>
      <w:r w:rsidR="005B7A5C" w:rsidRPr="004676F5">
        <w:rPr>
          <w:lang w:val="de-DE"/>
        </w:rPr>
        <w:t>- </w:t>
      </w:r>
      <w:r w:rsidRPr="004676F5">
        <w:rPr>
          <w:lang w:val="de-DE"/>
        </w:rPr>
        <w:t>Der Aussteller oder, wenn der Wechsel für Rechnung eines anderen gezogen wird, der Vollmachtgeber beziehungsweise der Auftraggeber muss Deckung leisten.</w:t>
      </w:r>
    </w:p>
    <w:p w14:paraId="589EB362" w14:textId="18A4A454" w:rsidR="00F4045F" w:rsidRPr="004676F5" w:rsidRDefault="00F4045F" w:rsidP="00F4045F">
      <w:pPr>
        <w:ind w:firstLine="708"/>
        <w:jc w:val="both"/>
        <w:rPr>
          <w:lang w:val="de-DE"/>
        </w:rPr>
      </w:pPr>
    </w:p>
    <w:p w14:paraId="7F40E302" w14:textId="77777777" w:rsidR="00F4045F" w:rsidRPr="004676F5" w:rsidRDefault="00F4045F" w:rsidP="00F4045F">
      <w:pPr>
        <w:ind w:firstLine="708"/>
        <w:jc w:val="both"/>
        <w:rPr>
          <w:lang w:val="de-DE"/>
        </w:rPr>
      </w:pPr>
    </w:p>
    <w:p w14:paraId="5B54A39F" w14:textId="78E1D4FE" w:rsidR="00F4045F" w:rsidRPr="004676F5" w:rsidRDefault="00F4045F" w:rsidP="00F4045F">
      <w:pPr>
        <w:ind w:firstLine="708"/>
        <w:jc w:val="both"/>
        <w:rPr>
          <w:lang w:val="de-DE"/>
        </w:rPr>
      </w:pPr>
      <w:r w:rsidRPr="004676F5">
        <w:rPr>
          <w:b/>
          <w:lang w:val="de-DE"/>
        </w:rPr>
        <w:t>Art. VII.216/82</w:t>
      </w:r>
      <w:r w:rsidRPr="004676F5">
        <w:rPr>
          <w:lang w:val="de-DE"/>
        </w:rPr>
        <w:t> </w:t>
      </w:r>
      <w:r w:rsidR="005B7A5C" w:rsidRPr="004676F5">
        <w:rPr>
          <w:lang w:val="de-DE"/>
        </w:rPr>
        <w:t>- </w:t>
      </w:r>
      <w:r w:rsidRPr="004676F5">
        <w:rPr>
          <w:lang w:val="de-DE"/>
        </w:rPr>
        <w:t>Für Deckung ist gesorgt, wenn der Bezogene bei Verfall im Besitz eines Wertes oder einer Sicherheit ist, die dazu ausreicht, ihn vollständig abzusichern, und die der Aussteller oder Auftraggeber dazu bestimmt, die Zahlung des Wechsels zu gewährleisten.</w:t>
      </w:r>
    </w:p>
    <w:p w14:paraId="5915EF9D" w14:textId="7751C247" w:rsidR="00F4045F" w:rsidRPr="004676F5" w:rsidRDefault="00F4045F" w:rsidP="00F4045F">
      <w:pPr>
        <w:ind w:firstLine="708"/>
        <w:jc w:val="both"/>
        <w:rPr>
          <w:lang w:val="de-DE"/>
        </w:rPr>
      </w:pPr>
    </w:p>
    <w:p w14:paraId="1697160E" w14:textId="77777777" w:rsidR="00F4045F" w:rsidRPr="004676F5" w:rsidRDefault="00F4045F" w:rsidP="00F4045F">
      <w:pPr>
        <w:ind w:firstLine="708"/>
        <w:jc w:val="both"/>
        <w:rPr>
          <w:lang w:val="de-DE"/>
        </w:rPr>
      </w:pPr>
    </w:p>
    <w:p w14:paraId="3996469B" w14:textId="5EBA2B42" w:rsidR="00F4045F" w:rsidRPr="004676F5" w:rsidRDefault="00F4045F" w:rsidP="00F4045F">
      <w:pPr>
        <w:ind w:firstLine="708"/>
        <w:jc w:val="both"/>
        <w:rPr>
          <w:lang w:val="de-DE"/>
        </w:rPr>
      </w:pPr>
      <w:r w:rsidRPr="004676F5">
        <w:rPr>
          <w:b/>
          <w:lang w:val="de-DE"/>
        </w:rPr>
        <w:t>Art. VII.216/83</w:t>
      </w:r>
      <w:r w:rsidRPr="004676F5">
        <w:rPr>
          <w:lang w:val="de-DE"/>
        </w:rPr>
        <w:t> </w:t>
      </w:r>
      <w:r w:rsidR="005B7A5C" w:rsidRPr="004676F5">
        <w:rPr>
          <w:lang w:val="de-DE"/>
        </w:rPr>
        <w:t>- </w:t>
      </w:r>
      <w:r w:rsidRPr="004676F5">
        <w:rPr>
          <w:lang w:val="de-DE"/>
        </w:rPr>
        <w:t>Unbeschadet der Anwendung von Artikel XX.111 hat der Inhaber gegenüber den Gläubigern des Ausstellers eine bevorrechtigte Forderung auf die Deckung, über die der Bezogene bei Fälligkeit des Wechsels verfügt.</w:t>
      </w:r>
    </w:p>
    <w:p w14:paraId="551F89B7" w14:textId="77777777" w:rsidR="00F4045F" w:rsidRPr="004676F5" w:rsidRDefault="00F4045F" w:rsidP="00F4045F">
      <w:pPr>
        <w:ind w:firstLine="708"/>
        <w:jc w:val="both"/>
        <w:rPr>
          <w:lang w:val="de-DE"/>
        </w:rPr>
      </w:pPr>
    </w:p>
    <w:p w14:paraId="35F3106A" w14:textId="77777777" w:rsidR="00F4045F" w:rsidRPr="004676F5" w:rsidRDefault="00F4045F" w:rsidP="00F4045F">
      <w:pPr>
        <w:ind w:firstLine="708"/>
        <w:jc w:val="both"/>
        <w:rPr>
          <w:lang w:val="de-DE"/>
        </w:rPr>
      </w:pPr>
      <w:r w:rsidRPr="004676F5">
        <w:rPr>
          <w:lang w:val="de-DE"/>
        </w:rPr>
        <w:t>Hat derselbe Aussteller mehrere Wechsel auf dieselbe Person ausgestellt und verfügt der Bezogene nicht über eine ausreichende Deckung, um alle Wechsel einzulösen, werden sie auf folgende Art und Weise bezahlt:</w:t>
      </w:r>
    </w:p>
    <w:p w14:paraId="48C991AB" w14:textId="77777777" w:rsidR="00F4045F" w:rsidRPr="004676F5" w:rsidRDefault="00F4045F" w:rsidP="00F4045F">
      <w:pPr>
        <w:ind w:firstLine="708"/>
        <w:jc w:val="both"/>
        <w:rPr>
          <w:lang w:val="de-DE"/>
        </w:rPr>
      </w:pPr>
    </w:p>
    <w:p w14:paraId="77E61AD2" w14:textId="77777777" w:rsidR="00F4045F" w:rsidRPr="004676F5" w:rsidRDefault="00F4045F" w:rsidP="00F4045F">
      <w:pPr>
        <w:ind w:firstLine="708"/>
        <w:jc w:val="both"/>
        <w:rPr>
          <w:lang w:val="de-DE"/>
        </w:rPr>
      </w:pPr>
      <w:r w:rsidRPr="004676F5">
        <w:rPr>
          <w:lang w:val="de-DE"/>
        </w:rPr>
        <w:t>Besteht die Deckung aus einer Speziessache, werden die Wechsel, für deren Zahlung die Deckung insbesondere bestimmt war, vor allen anderen eingelöst, unbeschadet jedoch der Rechte, die dem Bezogenen durch frühere Annahmen gewährt wurden.</w:t>
      </w:r>
    </w:p>
    <w:p w14:paraId="519FD1FD" w14:textId="77777777" w:rsidR="00F4045F" w:rsidRPr="004676F5" w:rsidRDefault="00F4045F" w:rsidP="00F4045F">
      <w:pPr>
        <w:ind w:firstLine="708"/>
        <w:jc w:val="both"/>
        <w:rPr>
          <w:lang w:val="de-DE"/>
        </w:rPr>
      </w:pPr>
    </w:p>
    <w:p w14:paraId="7B47BFBB" w14:textId="77777777" w:rsidR="00F4045F" w:rsidRPr="004676F5" w:rsidRDefault="00F4045F" w:rsidP="00F4045F">
      <w:pPr>
        <w:ind w:firstLine="708"/>
        <w:jc w:val="both"/>
        <w:rPr>
          <w:lang w:val="de-DE"/>
        </w:rPr>
      </w:pPr>
      <w:r w:rsidRPr="004676F5">
        <w:rPr>
          <w:lang w:val="de-DE"/>
        </w:rPr>
        <w:t>In Ermangelung einer besonderen Zweckbestimmung werden angenommene Wechsel vorrangig vor nicht angenommenen Wechseln bezahlt.</w:t>
      </w:r>
    </w:p>
    <w:p w14:paraId="0A936D8F" w14:textId="77777777" w:rsidR="00F4045F" w:rsidRPr="004676F5" w:rsidRDefault="00F4045F" w:rsidP="00F4045F">
      <w:pPr>
        <w:ind w:firstLine="708"/>
        <w:jc w:val="both"/>
        <w:rPr>
          <w:lang w:val="de-DE"/>
        </w:rPr>
      </w:pPr>
    </w:p>
    <w:p w14:paraId="54DECDE8" w14:textId="77777777" w:rsidR="00F4045F" w:rsidRPr="004676F5" w:rsidRDefault="00F4045F" w:rsidP="00F4045F">
      <w:pPr>
        <w:ind w:firstLine="708"/>
        <w:jc w:val="both"/>
        <w:rPr>
          <w:lang w:val="de-DE"/>
        </w:rPr>
      </w:pPr>
      <w:r w:rsidRPr="004676F5">
        <w:rPr>
          <w:lang w:val="de-DE"/>
        </w:rPr>
        <w:t>Besteht die Deckung aus fungiblen Sachen, haben angenommene Wechsel Vorrang vor nicht angenommenen Wechseln.</w:t>
      </w:r>
    </w:p>
    <w:p w14:paraId="028E17A6" w14:textId="77777777" w:rsidR="00F4045F" w:rsidRPr="004676F5" w:rsidRDefault="00F4045F" w:rsidP="00F4045F">
      <w:pPr>
        <w:ind w:firstLine="708"/>
        <w:jc w:val="both"/>
        <w:rPr>
          <w:lang w:val="de-DE"/>
        </w:rPr>
      </w:pPr>
    </w:p>
    <w:p w14:paraId="202DF108" w14:textId="77777777" w:rsidR="00F4045F" w:rsidRPr="004676F5" w:rsidRDefault="00F4045F" w:rsidP="00F4045F">
      <w:pPr>
        <w:ind w:firstLine="708"/>
        <w:jc w:val="both"/>
        <w:rPr>
          <w:lang w:val="de-DE"/>
        </w:rPr>
      </w:pPr>
      <w:r w:rsidRPr="004676F5">
        <w:rPr>
          <w:lang w:val="de-DE"/>
        </w:rPr>
        <w:t>Werden mehrere angenommene Wechsel oder mehrere nicht angenommene Wechsel gleichzeitig berücksichtigt, dann werden sie anteilsmäßig bezahlt.</w:t>
      </w:r>
    </w:p>
    <w:p w14:paraId="1D847C74" w14:textId="77777777" w:rsidR="00F4045F" w:rsidRPr="004676F5" w:rsidRDefault="00F4045F" w:rsidP="00F4045F">
      <w:pPr>
        <w:ind w:firstLine="708"/>
        <w:jc w:val="both"/>
        <w:rPr>
          <w:lang w:val="de-DE"/>
        </w:rPr>
      </w:pPr>
    </w:p>
    <w:p w14:paraId="7EA72FA0" w14:textId="77777777" w:rsidR="00F4045F" w:rsidRPr="004676F5" w:rsidRDefault="00F4045F" w:rsidP="00F4045F">
      <w:pPr>
        <w:ind w:firstLine="708"/>
        <w:jc w:val="both"/>
        <w:rPr>
          <w:lang w:val="de-DE"/>
        </w:rPr>
      </w:pPr>
      <w:r w:rsidRPr="004676F5">
        <w:rPr>
          <w:lang w:val="de-DE"/>
        </w:rPr>
        <w:t>Vorhergehendes gilt unter Vorbehalt der Tatsache, dass der Bezogene, der sich nicht im Konkurs befindet, im Fall einer Annahme seinen persönlichen Verpflichtungen nachkommen muss.</w:t>
      </w:r>
    </w:p>
    <w:p w14:paraId="6EDB03E2" w14:textId="3D35DF18" w:rsidR="00F4045F" w:rsidRPr="004676F5" w:rsidRDefault="00F4045F" w:rsidP="00F4045F">
      <w:pPr>
        <w:ind w:firstLine="708"/>
        <w:jc w:val="both"/>
        <w:rPr>
          <w:lang w:val="de-DE"/>
        </w:rPr>
      </w:pPr>
    </w:p>
    <w:p w14:paraId="56BC648C" w14:textId="77777777" w:rsidR="00F4045F" w:rsidRPr="004676F5" w:rsidRDefault="00F4045F" w:rsidP="00F4045F">
      <w:pPr>
        <w:ind w:firstLine="708"/>
        <w:jc w:val="both"/>
        <w:rPr>
          <w:lang w:val="de-DE"/>
        </w:rPr>
      </w:pPr>
    </w:p>
    <w:p w14:paraId="6330F18E" w14:textId="3A226731" w:rsidR="00F4045F" w:rsidRPr="004676F5" w:rsidRDefault="00F4045F" w:rsidP="00F4045F">
      <w:pPr>
        <w:ind w:firstLine="708"/>
        <w:jc w:val="both"/>
        <w:rPr>
          <w:lang w:val="de-DE"/>
        </w:rPr>
      </w:pPr>
      <w:r w:rsidRPr="004676F5">
        <w:rPr>
          <w:b/>
          <w:lang w:val="de-DE"/>
        </w:rPr>
        <w:t>Art. VII.216/84</w:t>
      </w:r>
      <w:r w:rsidRPr="004676F5">
        <w:rPr>
          <w:lang w:val="de-DE"/>
        </w:rPr>
        <w:t> </w:t>
      </w:r>
      <w:r w:rsidR="005B7A5C" w:rsidRPr="004676F5">
        <w:rPr>
          <w:lang w:val="de-DE"/>
        </w:rPr>
        <w:t>- </w:t>
      </w:r>
      <w:r w:rsidRPr="004676F5">
        <w:rPr>
          <w:lang w:val="de-DE"/>
        </w:rPr>
        <w:t>Der in Artikel VII.216/54 festgestellte Rechtsverlust erfolgt nicht, wenn der Aussteller es versäumt, den Nachweis zu erbringen, dass bei Verfall für Deckung gesorgt war, oder wenn er nach Ablauf der in Artikel VII.216/54 erwähnten Fristen auf irgendeine Weise die zur Zahlung des Wechsels bestimmten Mittel erhalten hat.</w:t>
      </w:r>
    </w:p>
    <w:p w14:paraId="67AFC98C" w14:textId="77777777" w:rsidR="00F4045F" w:rsidRPr="004676F5" w:rsidRDefault="00F4045F" w:rsidP="00F4045F">
      <w:pPr>
        <w:ind w:firstLine="708"/>
        <w:jc w:val="both"/>
        <w:rPr>
          <w:lang w:val="de-DE"/>
        </w:rPr>
      </w:pPr>
    </w:p>
    <w:p w14:paraId="5DD3EE74" w14:textId="77777777" w:rsidR="00F4045F" w:rsidRPr="004676F5" w:rsidRDefault="00F4045F" w:rsidP="00F4045F">
      <w:pPr>
        <w:ind w:firstLine="708"/>
        <w:jc w:val="both"/>
        <w:rPr>
          <w:lang w:val="de-DE"/>
        </w:rPr>
      </w:pPr>
      <w:r w:rsidRPr="004676F5">
        <w:rPr>
          <w:lang w:val="de-DE"/>
        </w:rPr>
        <w:lastRenderedPageBreak/>
        <w:t>Gleiches gilt, wenn der Indossant sich ungerechtfertigt bereichert hat.</w:t>
      </w:r>
    </w:p>
    <w:p w14:paraId="266FB5E1" w14:textId="77777777" w:rsidR="00F4045F" w:rsidRPr="004676F5" w:rsidRDefault="00F4045F" w:rsidP="00F4045F">
      <w:pPr>
        <w:ind w:firstLine="708"/>
        <w:jc w:val="both"/>
        <w:rPr>
          <w:lang w:val="de-DE"/>
        </w:rPr>
      </w:pPr>
    </w:p>
    <w:p w14:paraId="26A13522" w14:textId="77777777" w:rsidR="00F4045F" w:rsidRPr="004676F5" w:rsidRDefault="00F4045F" w:rsidP="00F4045F">
      <w:pPr>
        <w:ind w:firstLine="708"/>
        <w:jc w:val="both"/>
        <w:rPr>
          <w:lang w:val="de-DE"/>
        </w:rPr>
      </w:pPr>
      <w:r w:rsidRPr="004676F5">
        <w:rPr>
          <w:lang w:val="de-DE"/>
        </w:rPr>
        <w:t>In den in vorliegendem Artikel erwähnten Fällen verjährt der verbleibende Anspruch in einem Jahr von dem in Artikel VII.216/54 vorgesehenen Zeitpunkt des Rechtsverlusts.</w:t>
      </w:r>
    </w:p>
    <w:p w14:paraId="11801C44" w14:textId="146A3DFB" w:rsidR="00F4045F" w:rsidRPr="004676F5" w:rsidRDefault="00F4045F" w:rsidP="00F4045F">
      <w:pPr>
        <w:ind w:firstLine="708"/>
        <w:jc w:val="both"/>
        <w:rPr>
          <w:lang w:val="de-DE"/>
        </w:rPr>
      </w:pPr>
    </w:p>
    <w:p w14:paraId="4AD887F8" w14:textId="77777777" w:rsidR="00F4045F" w:rsidRPr="004676F5" w:rsidRDefault="00F4045F" w:rsidP="00F4045F">
      <w:pPr>
        <w:ind w:firstLine="708"/>
        <w:jc w:val="both"/>
        <w:rPr>
          <w:lang w:val="de-DE"/>
        </w:rPr>
      </w:pPr>
    </w:p>
    <w:p w14:paraId="7AC9180B" w14:textId="54D7B0DC" w:rsidR="00F4045F" w:rsidRPr="004676F5" w:rsidRDefault="00F4045F" w:rsidP="00F4045F">
      <w:pPr>
        <w:ind w:firstLine="708"/>
        <w:jc w:val="both"/>
        <w:rPr>
          <w:lang w:val="de-DE"/>
        </w:rPr>
      </w:pPr>
      <w:r w:rsidRPr="004676F5">
        <w:rPr>
          <w:b/>
          <w:lang w:val="de-DE"/>
        </w:rPr>
        <w:t>Art. VII.216/85</w:t>
      </w:r>
      <w:r w:rsidRPr="004676F5">
        <w:rPr>
          <w:lang w:val="de-DE"/>
        </w:rPr>
        <w:t> </w:t>
      </w:r>
      <w:r w:rsidR="005B7A5C" w:rsidRPr="004676F5">
        <w:rPr>
          <w:lang w:val="de-DE"/>
        </w:rPr>
        <w:t>- </w:t>
      </w:r>
      <w:r w:rsidRPr="004676F5">
        <w:rPr>
          <w:lang w:val="de-DE"/>
        </w:rPr>
        <w:t>Der Inhaber oder der Aussteller eines Wechsels hat gegen den Bezogenen, der den Wechsel nicht angenommen hat, aber über eine Deckung verfügt, nach Verhältnis der Deckung einen direkten Anspruch auf Zahlung des Wechsels.</w:t>
      </w:r>
    </w:p>
    <w:p w14:paraId="0FAC58CF" w14:textId="6FE5215D" w:rsidR="00F4045F" w:rsidRPr="004676F5" w:rsidRDefault="00F4045F" w:rsidP="00F4045F">
      <w:pPr>
        <w:ind w:firstLine="708"/>
        <w:jc w:val="both"/>
        <w:rPr>
          <w:lang w:val="de-DE"/>
        </w:rPr>
      </w:pPr>
    </w:p>
    <w:p w14:paraId="443DD8AF" w14:textId="77777777" w:rsidR="00F4045F" w:rsidRPr="004676F5" w:rsidRDefault="00F4045F" w:rsidP="00F4045F">
      <w:pPr>
        <w:ind w:firstLine="708"/>
        <w:jc w:val="both"/>
        <w:rPr>
          <w:lang w:val="de-DE"/>
        </w:rPr>
      </w:pPr>
    </w:p>
    <w:p w14:paraId="61D7A595" w14:textId="75F25B69" w:rsidR="00F4045F" w:rsidRPr="004676F5" w:rsidRDefault="00F4045F" w:rsidP="00F4045F">
      <w:pPr>
        <w:ind w:firstLine="708"/>
        <w:jc w:val="both"/>
        <w:rPr>
          <w:lang w:val="de-DE"/>
        </w:rPr>
      </w:pPr>
      <w:r w:rsidRPr="004676F5">
        <w:rPr>
          <w:b/>
          <w:lang w:val="de-DE"/>
        </w:rPr>
        <w:t>Art. VII.216/86</w:t>
      </w:r>
      <w:r w:rsidRPr="004676F5">
        <w:rPr>
          <w:lang w:val="de-DE"/>
        </w:rPr>
        <w:t> </w:t>
      </w:r>
      <w:r w:rsidR="005B7A5C" w:rsidRPr="004676F5">
        <w:rPr>
          <w:lang w:val="de-DE"/>
        </w:rPr>
        <w:t>- </w:t>
      </w:r>
      <w:r w:rsidRPr="004676F5">
        <w:rPr>
          <w:lang w:val="de-DE"/>
        </w:rPr>
        <w:t>Der Bezogene darf sich der Deckung nicht mehr entäußern, wenn der Inhaber es ihm verbietet. Dieses Verbot kann durch gewöhnlichen Brief erfolgen, dem binnen fünfzehn Tagen ab Verfall eine Ladung folgen muss. Der Protest mangels Zahlung gilt als Verbot.</w:t>
      </w:r>
    </w:p>
    <w:p w14:paraId="28F841A9" w14:textId="13AE7AA2" w:rsidR="00F4045F" w:rsidRPr="004676F5" w:rsidRDefault="00F4045F" w:rsidP="00F4045F">
      <w:pPr>
        <w:ind w:firstLine="708"/>
        <w:jc w:val="both"/>
        <w:rPr>
          <w:lang w:val="de-DE"/>
        </w:rPr>
      </w:pPr>
    </w:p>
    <w:p w14:paraId="27A35027" w14:textId="77777777" w:rsidR="00F4045F" w:rsidRPr="004676F5" w:rsidRDefault="00F4045F" w:rsidP="00F4045F">
      <w:pPr>
        <w:ind w:firstLine="708"/>
        <w:jc w:val="both"/>
        <w:rPr>
          <w:lang w:val="de-DE"/>
        </w:rPr>
      </w:pPr>
    </w:p>
    <w:p w14:paraId="39884BE8" w14:textId="223C1180" w:rsidR="00F4045F" w:rsidRPr="004676F5" w:rsidRDefault="00F4045F" w:rsidP="00F4045F">
      <w:pPr>
        <w:jc w:val="both"/>
        <w:rPr>
          <w:lang w:val="de-DE"/>
        </w:rPr>
      </w:pPr>
      <w:r w:rsidRPr="004676F5">
        <w:rPr>
          <w:lang w:val="de-DE"/>
        </w:rPr>
        <w:tab/>
      </w:r>
      <w:r w:rsidRPr="004676F5">
        <w:rPr>
          <w:b/>
          <w:lang w:val="de-DE"/>
        </w:rPr>
        <w:t>Art. VII.216/87</w:t>
      </w:r>
      <w:r w:rsidRPr="004676F5">
        <w:rPr>
          <w:lang w:val="de-DE"/>
        </w:rPr>
        <w:t> </w:t>
      </w:r>
      <w:r w:rsidR="005B7A5C" w:rsidRPr="004676F5">
        <w:rPr>
          <w:lang w:val="de-DE"/>
        </w:rPr>
        <w:t>- </w:t>
      </w:r>
      <w:r w:rsidRPr="004676F5">
        <w:rPr>
          <w:lang w:val="de-DE"/>
        </w:rPr>
        <w:t>Im Fall eines in Artikel VII.216/29 Absatz 2 vorgesehenen Anspruchs ist der Aussteller nicht verpflichtet, das Bestehen der Deckung nachzuweisen.]</w:t>
      </w:r>
    </w:p>
    <w:p w14:paraId="16E65319" w14:textId="1D0EA300" w:rsidR="00F4045F" w:rsidRPr="004676F5" w:rsidRDefault="00F4045F" w:rsidP="00F4045F">
      <w:pPr>
        <w:jc w:val="both"/>
        <w:rPr>
          <w:lang w:val="de-DE"/>
        </w:rPr>
      </w:pPr>
    </w:p>
    <w:p w14:paraId="373A19E3" w14:textId="5D33E836" w:rsidR="00F4045F" w:rsidRPr="004676F5" w:rsidRDefault="00F4045F" w:rsidP="00F4045F">
      <w:pPr>
        <w:jc w:val="both"/>
        <w:rPr>
          <w:i/>
          <w:lang w:val="de-DE"/>
        </w:rPr>
      </w:pPr>
      <w:r w:rsidRPr="004676F5">
        <w:rPr>
          <w:i/>
          <w:lang w:val="de-DE"/>
        </w:rPr>
        <w:t>[Art. VII.216/81 bis VII.216/87 eingefügt durch Art. 140 des G. vom 15. April 2018 (B.S. vom 27. April 2018)]</w:t>
      </w:r>
    </w:p>
    <w:p w14:paraId="55900453" w14:textId="77777777" w:rsidR="00F4045F" w:rsidRPr="004676F5" w:rsidRDefault="00F4045F" w:rsidP="00F4045F">
      <w:pPr>
        <w:jc w:val="both"/>
        <w:rPr>
          <w:iCs/>
          <w:lang w:val="de-DE"/>
        </w:rPr>
      </w:pPr>
    </w:p>
    <w:p w14:paraId="67D7387E" w14:textId="252BB9AB" w:rsidR="00F4045F" w:rsidRPr="004676F5" w:rsidRDefault="00F4045F" w:rsidP="00F4045F">
      <w:pPr>
        <w:jc w:val="center"/>
        <w:rPr>
          <w:iCs/>
          <w:lang w:val="de-DE"/>
        </w:rPr>
      </w:pPr>
    </w:p>
    <w:p w14:paraId="197E9A35" w14:textId="1C394398" w:rsidR="00F4045F" w:rsidRPr="004676F5" w:rsidRDefault="00F4045F" w:rsidP="00F4045F">
      <w:pPr>
        <w:jc w:val="center"/>
        <w:rPr>
          <w:iCs/>
          <w:lang w:val="de-DE"/>
        </w:rPr>
      </w:pPr>
      <w:r w:rsidRPr="004676F5">
        <w:rPr>
          <w:iCs/>
          <w:lang w:val="de-DE"/>
        </w:rPr>
        <w:t>[</w:t>
      </w:r>
      <w:r w:rsidRPr="004676F5">
        <w:rPr>
          <w:i/>
          <w:lang w:val="de-DE"/>
        </w:rPr>
        <w:t>Abschnitt 2</w:t>
      </w:r>
      <w:r w:rsidRPr="004676F5">
        <w:rPr>
          <w:lang w:val="de-DE"/>
        </w:rPr>
        <w:t> </w:t>
      </w:r>
      <w:r w:rsidR="005B7A5C" w:rsidRPr="004676F5">
        <w:rPr>
          <w:lang w:val="de-DE"/>
        </w:rPr>
        <w:t>- </w:t>
      </w:r>
      <w:r w:rsidRPr="004676F5">
        <w:rPr>
          <w:lang w:val="de-DE"/>
        </w:rPr>
        <w:t>Zahlung abhandengekommener Wechsel</w:t>
      </w:r>
      <w:r w:rsidRPr="004676F5">
        <w:rPr>
          <w:iCs/>
          <w:lang w:val="de-DE"/>
        </w:rPr>
        <w:t>]</w:t>
      </w:r>
    </w:p>
    <w:p w14:paraId="57B9D33A" w14:textId="77777777" w:rsidR="00F4045F" w:rsidRPr="004676F5" w:rsidRDefault="00F4045F" w:rsidP="00591DDC">
      <w:pPr>
        <w:jc w:val="center"/>
        <w:rPr>
          <w:lang w:val="de-DE"/>
        </w:rPr>
      </w:pPr>
    </w:p>
    <w:p w14:paraId="504B86E1" w14:textId="2181631F" w:rsidR="00F4045F" w:rsidRPr="004676F5" w:rsidRDefault="00F4045F" w:rsidP="00F4045F">
      <w:pPr>
        <w:jc w:val="both"/>
        <w:rPr>
          <w:i/>
          <w:iCs/>
          <w:lang w:val="de-DE"/>
        </w:rPr>
      </w:pPr>
      <w:r w:rsidRPr="004676F5">
        <w:rPr>
          <w:i/>
          <w:lang w:val="de-DE"/>
        </w:rPr>
        <w:t>[Unterteilung Abschnitt 2 eingefügt durch Art. 141</w:t>
      </w:r>
      <w:r w:rsidRPr="004676F5">
        <w:rPr>
          <w:i/>
          <w:iCs/>
          <w:lang w:val="de-DE"/>
        </w:rPr>
        <w:t xml:space="preserve"> des G. vom 15. April 2018 (B.S. vom 27. April 2018)]</w:t>
      </w:r>
    </w:p>
    <w:p w14:paraId="7BC46EAE" w14:textId="39D701EC" w:rsidR="00F4045F" w:rsidRPr="004676F5" w:rsidRDefault="00F4045F" w:rsidP="00F4045F">
      <w:pPr>
        <w:jc w:val="both"/>
        <w:rPr>
          <w:iCs/>
          <w:lang w:val="de-DE"/>
        </w:rPr>
      </w:pPr>
    </w:p>
    <w:p w14:paraId="08718631" w14:textId="0635B5E9" w:rsidR="00F4045F" w:rsidRPr="004676F5" w:rsidRDefault="00F4045F" w:rsidP="00F4045F">
      <w:pPr>
        <w:jc w:val="both"/>
        <w:rPr>
          <w:iCs/>
          <w:lang w:val="de-DE"/>
        </w:rPr>
      </w:pPr>
    </w:p>
    <w:p w14:paraId="7C9B0FAF" w14:textId="2B4DC067" w:rsidR="00F4045F" w:rsidRPr="004676F5" w:rsidRDefault="00F4045F" w:rsidP="00F4045F">
      <w:pPr>
        <w:ind w:firstLine="708"/>
        <w:jc w:val="both"/>
        <w:rPr>
          <w:lang w:val="de-DE"/>
        </w:rPr>
      </w:pPr>
      <w:r w:rsidRPr="004676F5">
        <w:rPr>
          <w:iCs/>
          <w:lang w:val="de-DE"/>
        </w:rPr>
        <w:t>[</w:t>
      </w:r>
      <w:r w:rsidRPr="004676F5">
        <w:rPr>
          <w:b/>
          <w:lang w:val="de-DE"/>
        </w:rPr>
        <w:t>Art. VII.216/88</w:t>
      </w:r>
      <w:r w:rsidRPr="004676F5">
        <w:rPr>
          <w:lang w:val="de-DE"/>
        </w:rPr>
        <w:t> </w:t>
      </w:r>
      <w:r w:rsidR="005B7A5C" w:rsidRPr="004676F5">
        <w:rPr>
          <w:lang w:val="de-DE"/>
        </w:rPr>
        <w:t>- </w:t>
      </w:r>
      <w:r w:rsidRPr="004676F5">
        <w:rPr>
          <w:lang w:val="de-DE"/>
        </w:rPr>
        <w:t>Im Fall eines unfreiwilligen und zufälligen Verlusts des Besitzes eines nicht angenommenen Wechsels kann derjenige, dem er gehört, die Zahlung des Wechsels auf der Grundlage einer zweiten, dritten oder vierten Ausfertigung und so weiter verlangen.</w:t>
      </w:r>
    </w:p>
    <w:p w14:paraId="63B5A8CE" w14:textId="1D180A20" w:rsidR="00F4045F" w:rsidRPr="004676F5" w:rsidRDefault="00F4045F" w:rsidP="00F4045F">
      <w:pPr>
        <w:ind w:firstLine="708"/>
        <w:jc w:val="both"/>
        <w:rPr>
          <w:lang w:val="de-DE"/>
        </w:rPr>
      </w:pPr>
    </w:p>
    <w:p w14:paraId="3E493E2C" w14:textId="77777777" w:rsidR="00F4045F" w:rsidRPr="004676F5" w:rsidRDefault="00F4045F" w:rsidP="00F4045F">
      <w:pPr>
        <w:ind w:firstLine="708"/>
        <w:jc w:val="both"/>
        <w:rPr>
          <w:lang w:val="de-DE"/>
        </w:rPr>
      </w:pPr>
    </w:p>
    <w:p w14:paraId="4B19D25C" w14:textId="4A1C6765" w:rsidR="00F4045F" w:rsidRPr="004676F5" w:rsidRDefault="00F4045F" w:rsidP="00F4045F">
      <w:pPr>
        <w:ind w:firstLine="708"/>
        <w:jc w:val="both"/>
        <w:rPr>
          <w:lang w:val="de-DE"/>
        </w:rPr>
      </w:pPr>
      <w:r w:rsidRPr="004676F5">
        <w:rPr>
          <w:b/>
          <w:lang w:val="de-DE"/>
        </w:rPr>
        <w:t>Art. VII.216/89</w:t>
      </w:r>
      <w:r w:rsidRPr="004676F5">
        <w:rPr>
          <w:lang w:val="de-DE"/>
        </w:rPr>
        <w:t> </w:t>
      </w:r>
      <w:r w:rsidR="005B7A5C" w:rsidRPr="004676F5">
        <w:rPr>
          <w:lang w:val="de-DE"/>
        </w:rPr>
        <w:t>- </w:t>
      </w:r>
      <w:r w:rsidRPr="004676F5">
        <w:rPr>
          <w:lang w:val="de-DE"/>
        </w:rPr>
        <w:t>Ist ein abhandengekommener Wechsel mit einer Annahmeerklärung versehen, kann die Zahlung des Wechsels auf der Grundlage einer zweiten, dritten oder vierten Ausfertigung und so weiter nur aufgrund eines Beschlusses des Präsidenten des Unternehmensgerichts und gegen Sicherheitsleistung verlangt werden.</w:t>
      </w:r>
    </w:p>
    <w:p w14:paraId="38A7E000" w14:textId="1AE301F1" w:rsidR="00F4045F" w:rsidRPr="004676F5" w:rsidRDefault="00F4045F" w:rsidP="00F4045F">
      <w:pPr>
        <w:ind w:firstLine="708"/>
        <w:jc w:val="both"/>
        <w:rPr>
          <w:lang w:val="de-DE"/>
        </w:rPr>
      </w:pPr>
    </w:p>
    <w:p w14:paraId="11CE39DE" w14:textId="77777777" w:rsidR="00F4045F" w:rsidRPr="004676F5" w:rsidRDefault="00F4045F" w:rsidP="00F4045F">
      <w:pPr>
        <w:ind w:firstLine="708"/>
        <w:jc w:val="both"/>
        <w:rPr>
          <w:lang w:val="de-DE"/>
        </w:rPr>
      </w:pPr>
    </w:p>
    <w:p w14:paraId="1B492BE8" w14:textId="1DF193BC" w:rsidR="00F4045F" w:rsidRPr="004676F5" w:rsidRDefault="00F4045F" w:rsidP="00F4045F">
      <w:pPr>
        <w:ind w:firstLine="708"/>
        <w:jc w:val="both"/>
        <w:rPr>
          <w:lang w:val="de-DE"/>
        </w:rPr>
      </w:pPr>
      <w:r w:rsidRPr="004676F5">
        <w:rPr>
          <w:b/>
          <w:lang w:val="de-DE"/>
        </w:rPr>
        <w:t>Art. VII.216/90</w:t>
      </w:r>
      <w:r w:rsidRPr="004676F5">
        <w:rPr>
          <w:lang w:val="de-DE"/>
        </w:rPr>
        <w:t> </w:t>
      </w:r>
      <w:r w:rsidR="005B7A5C" w:rsidRPr="004676F5">
        <w:rPr>
          <w:lang w:val="de-DE"/>
        </w:rPr>
        <w:t>- </w:t>
      </w:r>
      <w:r w:rsidRPr="004676F5">
        <w:rPr>
          <w:lang w:val="de-DE"/>
        </w:rPr>
        <w:t>Wenn derjenige, dem der Besitz eines angenommenen oder nicht angenommenen Wechsels unfreiwillig und zufällig entzogen worden ist, die zweite, dritte oder vierte Ausfertigung und so weiter nicht vorlegen kann, kann er die Zahlung des abhandengekommenen Wechsels beantragen und sie aufgrund eines Beschlusses des Präsidenten des Unternehmensgerichts erhalten, sofern er sein Eigentum nachweist und eine Sicherheit leistet.</w:t>
      </w:r>
    </w:p>
    <w:p w14:paraId="612616D5" w14:textId="2F8EBFC8" w:rsidR="00F4045F" w:rsidRPr="004676F5" w:rsidRDefault="00F4045F" w:rsidP="00F4045F">
      <w:pPr>
        <w:ind w:firstLine="708"/>
        <w:jc w:val="both"/>
        <w:rPr>
          <w:lang w:val="de-DE"/>
        </w:rPr>
      </w:pPr>
    </w:p>
    <w:p w14:paraId="12603619" w14:textId="77777777" w:rsidR="00F4045F" w:rsidRPr="004676F5" w:rsidRDefault="00F4045F" w:rsidP="00F4045F">
      <w:pPr>
        <w:ind w:firstLine="708"/>
        <w:jc w:val="both"/>
        <w:rPr>
          <w:lang w:val="de-DE"/>
        </w:rPr>
      </w:pPr>
    </w:p>
    <w:p w14:paraId="0D46C206" w14:textId="1595917B" w:rsidR="00F4045F" w:rsidRPr="004676F5" w:rsidRDefault="00F4045F" w:rsidP="00F4045F">
      <w:pPr>
        <w:ind w:firstLine="708"/>
        <w:jc w:val="both"/>
        <w:rPr>
          <w:lang w:val="de-DE"/>
        </w:rPr>
      </w:pPr>
      <w:r w:rsidRPr="004676F5">
        <w:rPr>
          <w:b/>
          <w:lang w:val="de-DE"/>
        </w:rPr>
        <w:t>Art. VII.216/91</w:t>
      </w:r>
      <w:r w:rsidRPr="004676F5">
        <w:rPr>
          <w:lang w:val="de-DE"/>
        </w:rPr>
        <w:t> </w:t>
      </w:r>
      <w:r w:rsidR="005B7A5C" w:rsidRPr="004676F5">
        <w:rPr>
          <w:lang w:val="de-DE"/>
        </w:rPr>
        <w:t>- </w:t>
      </w:r>
      <w:r w:rsidRPr="004676F5">
        <w:rPr>
          <w:lang w:val="de-DE"/>
        </w:rPr>
        <w:t>Wird die Zahlung verweigert, bewahrt der Eigentümer des abhandengekommenen Wechsels all seine Rechte durch Protesturkunde.</w:t>
      </w:r>
    </w:p>
    <w:p w14:paraId="6E8E0F15" w14:textId="77777777" w:rsidR="00F4045F" w:rsidRPr="004676F5" w:rsidRDefault="00F4045F" w:rsidP="00F4045F">
      <w:pPr>
        <w:ind w:firstLine="708"/>
        <w:jc w:val="both"/>
        <w:rPr>
          <w:lang w:val="de-DE"/>
        </w:rPr>
      </w:pPr>
    </w:p>
    <w:p w14:paraId="5AE58D97" w14:textId="77777777" w:rsidR="00F4045F" w:rsidRPr="004676F5" w:rsidRDefault="00F4045F" w:rsidP="00F4045F">
      <w:pPr>
        <w:ind w:firstLine="708"/>
        <w:jc w:val="both"/>
        <w:rPr>
          <w:lang w:val="de-DE"/>
        </w:rPr>
      </w:pPr>
      <w:r w:rsidRPr="004676F5">
        <w:rPr>
          <w:lang w:val="de-DE"/>
        </w:rPr>
        <w:lastRenderedPageBreak/>
        <w:t>Diese Urkunde muss spätestens am zweiten Tag nach Verfall des abhanden</w:t>
      </w:r>
      <w:r w:rsidRPr="004676F5">
        <w:rPr>
          <w:lang w:val="de-DE"/>
        </w:rPr>
        <w:softHyphen/>
        <w:t>gekommenen Wechsels abgefasst werden.</w:t>
      </w:r>
    </w:p>
    <w:p w14:paraId="3375C887" w14:textId="77777777" w:rsidR="00F4045F" w:rsidRPr="004676F5" w:rsidRDefault="00F4045F" w:rsidP="00F4045F">
      <w:pPr>
        <w:ind w:firstLine="708"/>
        <w:jc w:val="both"/>
        <w:rPr>
          <w:lang w:val="de-DE"/>
        </w:rPr>
      </w:pPr>
    </w:p>
    <w:p w14:paraId="489AA162" w14:textId="77777777" w:rsidR="00F4045F" w:rsidRPr="004676F5" w:rsidRDefault="00F4045F" w:rsidP="00F4045F">
      <w:pPr>
        <w:ind w:firstLine="708"/>
        <w:jc w:val="both"/>
        <w:rPr>
          <w:lang w:val="de-DE"/>
        </w:rPr>
      </w:pPr>
      <w:r w:rsidRPr="004676F5">
        <w:rPr>
          <w:lang w:val="de-DE"/>
        </w:rPr>
        <w:t>Sie muss den Ausstellern und Indossanten innerhalb fünfzehn Tagen ab ihrem Datum durch Gerichtsvollzieherurkunde notifiziert werden. Damit sie gültig ist, bedarf sie nicht unbedingt einer vorherigen gerichtlichen Entscheidung oder einer vorherigen Sicherheits</w:t>
      </w:r>
      <w:r w:rsidRPr="004676F5">
        <w:rPr>
          <w:lang w:val="de-DE"/>
        </w:rPr>
        <w:softHyphen/>
        <w:t>leistung.</w:t>
      </w:r>
    </w:p>
    <w:p w14:paraId="6F2E0B3C" w14:textId="21D19FB7" w:rsidR="00F4045F" w:rsidRPr="004676F5" w:rsidRDefault="00F4045F" w:rsidP="00F4045F">
      <w:pPr>
        <w:ind w:firstLine="708"/>
        <w:jc w:val="both"/>
        <w:rPr>
          <w:lang w:val="de-DE"/>
        </w:rPr>
      </w:pPr>
    </w:p>
    <w:p w14:paraId="01E900B5" w14:textId="77777777" w:rsidR="00F4045F" w:rsidRPr="004676F5" w:rsidRDefault="00F4045F" w:rsidP="00F4045F">
      <w:pPr>
        <w:ind w:firstLine="708"/>
        <w:jc w:val="both"/>
        <w:rPr>
          <w:lang w:val="de-DE"/>
        </w:rPr>
      </w:pPr>
    </w:p>
    <w:p w14:paraId="5471E672" w14:textId="2393966E" w:rsidR="00F4045F" w:rsidRPr="004676F5" w:rsidRDefault="00F4045F" w:rsidP="00F4045F">
      <w:pPr>
        <w:ind w:firstLine="708"/>
        <w:jc w:val="both"/>
        <w:rPr>
          <w:lang w:val="de-DE"/>
        </w:rPr>
      </w:pPr>
      <w:r w:rsidRPr="004676F5">
        <w:rPr>
          <w:b/>
          <w:lang w:val="de-DE"/>
        </w:rPr>
        <w:t>Art. VII.216/92</w:t>
      </w:r>
      <w:r w:rsidRPr="004676F5">
        <w:rPr>
          <w:lang w:val="de-DE"/>
        </w:rPr>
        <w:t> </w:t>
      </w:r>
      <w:r w:rsidR="005B7A5C" w:rsidRPr="004676F5">
        <w:rPr>
          <w:lang w:val="de-DE"/>
        </w:rPr>
        <w:t>- </w:t>
      </w:r>
      <w:r w:rsidRPr="004676F5">
        <w:rPr>
          <w:lang w:val="de-DE"/>
        </w:rPr>
        <w:t>Der Eigentümer des abhandengekommenen Wechsels, der eine zweite Ausfertigung erhalten möchte, hat sich an seinen unmittelbaren Vormann zu wenden, der seinen Namen hergeben und wieder an seinen Vormann zurückgehen muss, und so weiter in der Reihenfolge von Indossant zu Indossant bis zum Aussteller des Wechsels.</w:t>
      </w:r>
    </w:p>
    <w:p w14:paraId="30A281C0" w14:textId="77777777" w:rsidR="00F4045F" w:rsidRPr="004676F5" w:rsidRDefault="00F4045F" w:rsidP="00F4045F">
      <w:pPr>
        <w:ind w:firstLine="708"/>
        <w:jc w:val="both"/>
        <w:rPr>
          <w:lang w:val="de-DE"/>
        </w:rPr>
      </w:pPr>
    </w:p>
    <w:p w14:paraId="65587086" w14:textId="77777777" w:rsidR="00F4045F" w:rsidRPr="004676F5" w:rsidRDefault="00F4045F" w:rsidP="00F4045F">
      <w:pPr>
        <w:ind w:firstLine="708"/>
        <w:jc w:val="both"/>
        <w:rPr>
          <w:lang w:val="de-DE"/>
        </w:rPr>
      </w:pPr>
      <w:r w:rsidRPr="004676F5">
        <w:rPr>
          <w:lang w:val="de-DE"/>
        </w:rPr>
        <w:t>Nachdem der Aussteller die zweite Ausfertigung ausgestellt hat, ist jeder Indossant verpflichtet, sein Indossament auf dieser Ausfertigung zu wiederholen.</w:t>
      </w:r>
    </w:p>
    <w:p w14:paraId="0CE1B35A" w14:textId="77777777" w:rsidR="00F4045F" w:rsidRPr="004676F5" w:rsidRDefault="00F4045F" w:rsidP="00F4045F">
      <w:pPr>
        <w:ind w:firstLine="708"/>
        <w:jc w:val="both"/>
        <w:rPr>
          <w:lang w:val="de-DE"/>
        </w:rPr>
      </w:pPr>
    </w:p>
    <w:p w14:paraId="49AA4209" w14:textId="77777777" w:rsidR="00F4045F" w:rsidRPr="004676F5" w:rsidRDefault="00F4045F" w:rsidP="00F4045F">
      <w:pPr>
        <w:ind w:firstLine="708"/>
        <w:jc w:val="both"/>
        <w:rPr>
          <w:lang w:val="de-DE"/>
        </w:rPr>
      </w:pPr>
      <w:r w:rsidRPr="004676F5">
        <w:rPr>
          <w:lang w:val="de-DE"/>
        </w:rPr>
        <w:t>Der Eigentümer des abhandengekommenen Wechsels trägt die Kosten.</w:t>
      </w:r>
    </w:p>
    <w:p w14:paraId="23B431E8" w14:textId="77777777" w:rsidR="00F4045F" w:rsidRPr="004676F5" w:rsidRDefault="00F4045F" w:rsidP="00F4045F">
      <w:pPr>
        <w:ind w:firstLine="708"/>
        <w:jc w:val="both"/>
        <w:rPr>
          <w:lang w:val="de-DE"/>
        </w:rPr>
      </w:pPr>
    </w:p>
    <w:p w14:paraId="0CF64DB0" w14:textId="77777777" w:rsidR="00F4045F" w:rsidRPr="004676F5" w:rsidRDefault="00F4045F" w:rsidP="00F4045F">
      <w:pPr>
        <w:jc w:val="both"/>
        <w:rPr>
          <w:lang w:val="de-DE"/>
        </w:rPr>
      </w:pPr>
    </w:p>
    <w:p w14:paraId="69BDC925" w14:textId="18D4AD6A" w:rsidR="00F4045F" w:rsidRPr="004676F5" w:rsidRDefault="00F4045F" w:rsidP="00F4045F">
      <w:pPr>
        <w:jc w:val="both"/>
        <w:rPr>
          <w:lang w:val="de-DE"/>
        </w:rPr>
      </w:pPr>
      <w:r w:rsidRPr="004676F5">
        <w:rPr>
          <w:lang w:val="de-DE"/>
        </w:rPr>
        <w:tab/>
      </w:r>
      <w:r w:rsidRPr="004676F5">
        <w:rPr>
          <w:b/>
          <w:lang w:val="de-DE"/>
        </w:rPr>
        <w:t>Art. VII.216/93</w:t>
      </w:r>
      <w:r w:rsidRPr="004676F5">
        <w:rPr>
          <w:lang w:val="de-DE"/>
        </w:rPr>
        <w:t> </w:t>
      </w:r>
      <w:r w:rsidR="005B7A5C" w:rsidRPr="004676F5">
        <w:rPr>
          <w:lang w:val="de-DE"/>
        </w:rPr>
        <w:t>- </w:t>
      </w:r>
      <w:r w:rsidRPr="004676F5">
        <w:rPr>
          <w:lang w:val="de-DE"/>
        </w:rPr>
        <w:t>Die in den Artikeln VII.216/89 und VII.216/90 erwähnte, aus der Sicherheitsleistung hervorgehende Verpflichtung erlischt nach drei Jahren, wenn es während dieser Zeit weder Klagen noch Rechtsverfolgung gegeben hat.]</w:t>
      </w:r>
    </w:p>
    <w:p w14:paraId="2F0DACE9" w14:textId="3AAF30AD" w:rsidR="00F4045F" w:rsidRPr="004676F5" w:rsidRDefault="00F4045F" w:rsidP="00F4045F">
      <w:pPr>
        <w:jc w:val="both"/>
        <w:rPr>
          <w:lang w:val="de-DE"/>
        </w:rPr>
      </w:pPr>
    </w:p>
    <w:p w14:paraId="0BD94AC0" w14:textId="641048A8" w:rsidR="00F4045F" w:rsidRPr="004676F5" w:rsidRDefault="00F4045F" w:rsidP="00F4045F">
      <w:pPr>
        <w:jc w:val="both"/>
        <w:rPr>
          <w:i/>
          <w:lang w:val="de-DE"/>
        </w:rPr>
      </w:pPr>
      <w:r w:rsidRPr="004676F5">
        <w:rPr>
          <w:i/>
          <w:lang w:val="de-DE"/>
        </w:rPr>
        <w:t>[Art. VII.216/88 bis VII.216/93 eingefügt durch Art. 142 des G. vom 15. April 2018 (B.S. vom 27. April 2018)]</w:t>
      </w:r>
    </w:p>
    <w:p w14:paraId="6DEB2201" w14:textId="5FC0335D" w:rsidR="00F4045F" w:rsidRPr="004676F5" w:rsidRDefault="00F4045F" w:rsidP="00F4045F">
      <w:pPr>
        <w:jc w:val="both"/>
        <w:rPr>
          <w:lang w:val="de-DE"/>
        </w:rPr>
      </w:pPr>
    </w:p>
    <w:p w14:paraId="6B7F6AEC" w14:textId="1235CE68" w:rsidR="00F4045F" w:rsidRPr="004676F5" w:rsidRDefault="00F4045F" w:rsidP="00F4045F">
      <w:pPr>
        <w:jc w:val="both"/>
        <w:rPr>
          <w:lang w:val="de-DE"/>
        </w:rPr>
      </w:pPr>
    </w:p>
    <w:p w14:paraId="353C2A33" w14:textId="48AC881D" w:rsidR="00F4045F" w:rsidRPr="004676F5" w:rsidRDefault="00F4045F" w:rsidP="00F4045F">
      <w:pPr>
        <w:jc w:val="center"/>
        <w:rPr>
          <w:lang w:val="de-DE"/>
        </w:rPr>
      </w:pPr>
      <w:r w:rsidRPr="004676F5">
        <w:rPr>
          <w:lang w:val="de-DE"/>
        </w:rPr>
        <w:t>[</w:t>
      </w:r>
      <w:r w:rsidRPr="004676F5">
        <w:rPr>
          <w:i/>
          <w:lang w:val="de-DE"/>
        </w:rPr>
        <w:t>Abschnitt 3</w:t>
      </w:r>
      <w:r w:rsidRPr="004676F5">
        <w:rPr>
          <w:lang w:val="de-DE"/>
        </w:rPr>
        <w:t> </w:t>
      </w:r>
      <w:r w:rsidR="005B7A5C" w:rsidRPr="004676F5">
        <w:rPr>
          <w:lang w:val="de-DE"/>
        </w:rPr>
        <w:t>- </w:t>
      </w:r>
      <w:r w:rsidRPr="004676F5">
        <w:rPr>
          <w:lang w:val="de-DE"/>
        </w:rPr>
        <w:t>Besondere Vorschriften]</w:t>
      </w:r>
    </w:p>
    <w:p w14:paraId="3F374C3E" w14:textId="4774BA98" w:rsidR="00F4045F" w:rsidRPr="004676F5" w:rsidRDefault="00F4045F" w:rsidP="00F4045F">
      <w:pPr>
        <w:jc w:val="center"/>
        <w:rPr>
          <w:lang w:val="de-DE"/>
        </w:rPr>
      </w:pPr>
    </w:p>
    <w:p w14:paraId="302A187B" w14:textId="0ADA13A1" w:rsidR="00F4045F" w:rsidRPr="004676F5" w:rsidRDefault="00F4045F" w:rsidP="00F4045F">
      <w:pPr>
        <w:jc w:val="both"/>
        <w:rPr>
          <w:i/>
          <w:iCs/>
          <w:lang w:val="de-DE"/>
        </w:rPr>
      </w:pPr>
      <w:r w:rsidRPr="004676F5">
        <w:rPr>
          <w:i/>
          <w:lang w:val="de-DE"/>
        </w:rPr>
        <w:t>[Unterteilung Abschnitt 3 eingefügt durch Art. 143</w:t>
      </w:r>
      <w:r w:rsidRPr="004676F5">
        <w:rPr>
          <w:i/>
          <w:iCs/>
          <w:lang w:val="de-DE"/>
        </w:rPr>
        <w:t xml:space="preserve"> des G. vom 15. April 2018 (B.S. vom 27. April 2018)]</w:t>
      </w:r>
    </w:p>
    <w:p w14:paraId="6B2FC7D9" w14:textId="2312D129" w:rsidR="00F4045F" w:rsidRPr="004676F5" w:rsidRDefault="00F4045F" w:rsidP="00F4045F">
      <w:pPr>
        <w:jc w:val="both"/>
        <w:rPr>
          <w:iCs/>
          <w:lang w:val="de-DE"/>
        </w:rPr>
      </w:pPr>
    </w:p>
    <w:p w14:paraId="23EED927" w14:textId="1D0D7D0B" w:rsidR="00F4045F" w:rsidRPr="004676F5" w:rsidRDefault="00F4045F" w:rsidP="00F4045F">
      <w:pPr>
        <w:jc w:val="both"/>
        <w:rPr>
          <w:iCs/>
          <w:lang w:val="de-DE"/>
        </w:rPr>
      </w:pPr>
    </w:p>
    <w:p w14:paraId="42D42DB2" w14:textId="6800CB63" w:rsidR="00F4045F" w:rsidRPr="004676F5" w:rsidRDefault="00F4045F" w:rsidP="00F4045F">
      <w:pPr>
        <w:ind w:firstLine="708"/>
        <w:jc w:val="both"/>
        <w:rPr>
          <w:lang w:val="de-DE"/>
        </w:rPr>
      </w:pPr>
      <w:r w:rsidRPr="004676F5">
        <w:rPr>
          <w:iCs/>
          <w:lang w:val="de-DE"/>
        </w:rPr>
        <w:t>[</w:t>
      </w:r>
      <w:r w:rsidRPr="004676F5">
        <w:rPr>
          <w:b/>
          <w:lang w:val="de-DE"/>
        </w:rPr>
        <w:t>Art. VII.216/94</w:t>
      </w:r>
      <w:r w:rsidRPr="004676F5">
        <w:rPr>
          <w:lang w:val="de-DE"/>
        </w:rPr>
        <w:t> </w:t>
      </w:r>
      <w:r w:rsidR="005B7A5C" w:rsidRPr="004676F5">
        <w:rPr>
          <w:lang w:val="de-DE"/>
        </w:rPr>
        <w:t>- </w:t>
      </w:r>
      <w:r w:rsidRPr="004676F5">
        <w:rPr>
          <w:lang w:val="de-DE"/>
        </w:rPr>
        <w:t>Verpflichtungen, die ein Belgier in Bezug auf gezogene Wechsel und Eigenwechsel im Ausland eingegangen ist, werden in Belgien nur dann als gültig anerkannt, wenn er nach belgischem Recht die erforderliche Handlungsfähigkeit besaß, um diese Verpflichtungen einzugehen.</w:t>
      </w:r>
    </w:p>
    <w:p w14:paraId="60E9DB61" w14:textId="79A3F44B" w:rsidR="00F4045F" w:rsidRPr="004676F5" w:rsidRDefault="00F4045F" w:rsidP="00F4045F">
      <w:pPr>
        <w:ind w:firstLine="708"/>
        <w:jc w:val="both"/>
        <w:rPr>
          <w:lang w:val="de-DE"/>
        </w:rPr>
      </w:pPr>
    </w:p>
    <w:p w14:paraId="21DFEAD1" w14:textId="77777777" w:rsidR="00F4045F" w:rsidRPr="004676F5" w:rsidRDefault="00F4045F" w:rsidP="00F4045F">
      <w:pPr>
        <w:ind w:firstLine="708"/>
        <w:jc w:val="both"/>
        <w:rPr>
          <w:lang w:val="de-DE"/>
        </w:rPr>
      </w:pPr>
    </w:p>
    <w:p w14:paraId="069210A7" w14:textId="462B0A0E" w:rsidR="00F4045F" w:rsidRPr="004676F5" w:rsidRDefault="00F4045F" w:rsidP="00F4045F">
      <w:pPr>
        <w:ind w:firstLine="708"/>
        <w:jc w:val="both"/>
        <w:rPr>
          <w:lang w:val="de-DE"/>
        </w:rPr>
      </w:pPr>
      <w:r w:rsidRPr="004676F5">
        <w:rPr>
          <w:b/>
          <w:lang w:val="de-DE"/>
        </w:rPr>
        <w:t>Art. VII.216/95</w:t>
      </w:r>
      <w:r w:rsidRPr="004676F5">
        <w:rPr>
          <w:lang w:val="de-DE"/>
        </w:rPr>
        <w:t> </w:t>
      </w:r>
      <w:r w:rsidR="005B7A5C" w:rsidRPr="004676F5">
        <w:rPr>
          <w:lang w:val="de-DE"/>
        </w:rPr>
        <w:t>- </w:t>
      </w:r>
      <w:r w:rsidRPr="004676F5">
        <w:rPr>
          <w:lang w:val="de-DE"/>
        </w:rPr>
        <w:t>Durch das Indossament eines gezogenen Wechsels oder eines Eigenwechsels werden die persönlichen und dinglichen Sicherheiten, insbesondere die Vorzugsrechte und die Hypothek, durch die die Zahlung des Wechsels garantiert ist, auf den Indossatar übertragen.</w:t>
      </w:r>
    </w:p>
    <w:p w14:paraId="2C95862D" w14:textId="77777777" w:rsidR="00F4045F" w:rsidRPr="004676F5" w:rsidRDefault="00F4045F" w:rsidP="00F4045F">
      <w:pPr>
        <w:ind w:firstLine="708"/>
        <w:jc w:val="both"/>
        <w:rPr>
          <w:lang w:val="de-DE"/>
        </w:rPr>
      </w:pPr>
    </w:p>
    <w:p w14:paraId="7F4925F7" w14:textId="77777777" w:rsidR="00F4045F" w:rsidRPr="004676F5" w:rsidRDefault="00F4045F" w:rsidP="00F4045F">
      <w:pPr>
        <w:ind w:firstLine="708"/>
        <w:jc w:val="both"/>
        <w:rPr>
          <w:lang w:val="de-DE"/>
        </w:rPr>
      </w:pPr>
      <w:r w:rsidRPr="004676F5">
        <w:rPr>
          <w:lang w:val="de-DE"/>
        </w:rPr>
        <w:t>Vorbehaltlich anders lautender Bestimmungen des Krediteröffnungsvertrags verfügen Inhaber von gezogenen Wechseln und Eigenwechseln, die gemäß den Bestimmungen dieses Vertrags ausgestellt oder indossiert werden, über die Sicherheiten, durch die die Krediteröffnung garantiert ist, und zwar bis zu dem Betrag, der aufgrund der Krediteröffnung geschuldet bleibt.</w:t>
      </w:r>
    </w:p>
    <w:p w14:paraId="344268B8" w14:textId="77777777" w:rsidR="00F4045F" w:rsidRPr="004676F5" w:rsidRDefault="00F4045F" w:rsidP="00F4045F">
      <w:pPr>
        <w:ind w:firstLine="708"/>
        <w:jc w:val="both"/>
        <w:rPr>
          <w:lang w:val="de-DE"/>
        </w:rPr>
      </w:pPr>
    </w:p>
    <w:p w14:paraId="72B83B93" w14:textId="77777777" w:rsidR="00F4045F" w:rsidRPr="004676F5" w:rsidRDefault="00F4045F" w:rsidP="00F4045F">
      <w:pPr>
        <w:ind w:firstLine="708"/>
        <w:jc w:val="both"/>
        <w:rPr>
          <w:lang w:val="de-DE"/>
        </w:rPr>
      </w:pPr>
      <w:r w:rsidRPr="004676F5">
        <w:rPr>
          <w:lang w:val="de-DE"/>
        </w:rPr>
        <w:lastRenderedPageBreak/>
        <w:t>Reichen die Sicherheiten nicht aus, um den Kreditgeber und Dritte, die Inhaber der gezogenen Wechsel und der Eigenwechsel sind, abzusichern, werden diese Dritte vorrangig vor dem Kreditgeber und gegebenenfalls anteilsmäßig bezahlt.</w:t>
      </w:r>
    </w:p>
    <w:p w14:paraId="20D2635A" w14:textId="26401A49" w:rsidR="00F4045F" w:rsidRPr="004676F5" w:rsidRDefault="00F4045F" w:rsidP="00F4045F">
      <w:pPr>
        <w:ind w:firstLine="708"/>
        <w:jc w:val="both"/>
        <w:rPr>
          <w:lang w:val="de-DE"/>
        </w:rPr>
      </w:pPr>
    </w:p>
    <w:p w14:paraId="043D2B81" w14:textId="77777777" w:rsidR="00F4045F" w:rsidRPr="004676F5" w:rsidRDefault="00F4045F" w:rsidP="00F4045F">
      <w:pPr>
        <w:ind w:firstLine="708"/>
        <w:jc w:val="both"/>
        <w:rPr>
          <w:lang w:val="de-DE"/>
        </w:rPr>
      </w:pPr>
    </w:p>
    <w:p w14:paraId="2982DA9A" w14:textId="7DC24DB1" w:rsidR="00F4045F" w:rsidRPr="004676F5" w:rsidRDefault="00F4045F" w:rsidP="00F4045F">
      <w:pPr>
        <w:jc w:val="both"/>
        <w:rPr>
          <w:lang w:val="de-DE"/>
        </w:rPr>
      </w:pPr>
      <w:r w:rsidRPr="004676F5">
        <w:rPr>
          <w:lang w:val="de-DE"/>
        </w:rPr>
        <w:tab/>
      </w:r>
      <w:r w:rsidRPr="004676F5">
        <w:rPr>
          <w:b/>
          <w:lang w:val="de-DE"/>
        </w:rPr>
        <w:t>Art. VII.216/96</w:t>
      </w:r>
      <w:r w:rsidRPr="004676F5">
        <w:rPr>
          <w:lang w:val="de-DE"/>
        </w:rPr>
        <w:t> </w:t>
      </w:r>
      <w:r w:rsidR="005B7A5C" w:rsidRPr="004676F5">
        <w:rPr>
          <w:lang w:val="de-DE"/>
        </w:rPr>
        <w:t>- </w:t>
      </w:r>
      <w:r w:rsidRPr="004676F5">
        <w:rPr>
          <w:lang w:val="de-DE"/>
        </w:rPr>
        <w:t>Unbeschadet der für die Ausübung der Rückgriffsrechte vorgeschriebenen Formalitäten kann der Inhaber eines Wechsels, in Bezug auf den mangels Zahlung Protest erhoben worden ist, mit Erlaubnis des Pfändungsrichters die Sicherungspfändung der beweglichen Güter der Aussteller, Annehmer und Indossanten veranlassen.]</w:t>
      </w:r>
    </w:p>
    <w:p w14:paraId="3FBE4FC9" w14:textId="03079862" w:rsidR="00F4045F" w:rsidRPr="004676F5" w:rsidRDefault="00F4045F" w:rsidP="00F4045F">
      <w:pPr>
        <w:jc w:val="both"/>
        <w:rPr>
          <w:lang w:val="de-DE"/>
        </w:rPr>
      </w:pPr>
    </w:p>
    <w:p w14:paraId="626A5882" w14:textId="61EECC2D" w:rsidR="00F4045F" w:rsidRPr="004676F5" w:rsidRDefault="00F4045F" w:rsidP="00F4045F">
      <w:pPr>
        <w:jc w:val="both"/>
        <w:rPr>
          <w:i/>
          <w:lang w:val="de-DE"/>
        </w:rPr>
      </w:pPr>
      <w:r w:rsidRPr="004676F5">
        <w:rPr>
          <w:i/>
          <w:lang w:val="de-DE"/>
        </w:rPr>
        <w:t>[Art. VII.216/94 bis VII.216/96 eingefügt durch Art. 144 des G. vom 15. April 2018 (B.S. vom 27. April 2018)]</w:t>
      </w:r>
    </w:p>
    <w:p w14:paraId="211BC13A" w14:textId="40D0909B" w:rsidR="00F4045F" w:rsidRPr="004676F5" w:rsidRDefault="00F4045F" w:rsidP="00F4045F">
      <w:pPr>
        <w:jc w:val="both"/>
        <w:rPr>
          <w:lang w:val="de-DE"/>
        </w:rPr>
      </w:pPr>
    </w:p>
    <w:p w14:paraId="1C486F8A" w14:textId="21EBC3D2" w:rsidR="00F4045F" w:rsidRPr="004676F5" w:rsidRDefault="00F4045F" w:rsidP="00F4045F">
      <w:pPr>
        <w:jc w:val="both"/>
        <w:rPr>
          <w:lang w:val="de-DE"/>
        </w:rPr>
      </w:pPr>
    </w:p>
    <w:p w14:paraId="6CC41C17" w14:textId="7B1A7A59" w:rsidR="00F4045F" w:rsidRPr="004676F5" w:rsidRDefault="00F4045F" w:rsidP="00F4045F">
      <w:pPr>
        <w:jc w:val="center"/>
        <w:rPr>
          <w:lang w:val="de-DE"/>
        </w:rPr>
      </w:pPr>
      <w:r w:rsidRPr="004676F5">
        <w:rPr>
          <w:lang w:val="de-DE"/>
        </w:rPr>
        <w:t>[</w:t>
      </w:r>
      <w:r w:rsidRPr="004676F5">
        <w:rPr>
          <w:i/>
          <w:lang w:val="de-DE"/>
        </w:rPr>
        <w:t>Abschnitt 4</w:t>
      </w:r>
      <w:r w:rsidRPr="004676F5">
        <w:rPr>
          <w:lang w:val="de-DE"/>
        </w:rPr>
        <w:t> </w:t>
      </w:r>
      <w:r w:rsidR="005B7A5C" w:rsidRPr="004676F5">
        <w:rPr>
          <w:lang w:val="de-DE"/>
        </w:rPr>
        <w:t>- </w:t>
      </w:r>
      <w:r w:rsidRPr="004676F5">
        <w:rPr>
          <w:lang w:val="de-DE"/>
        </w:rPr>
        <w:t>Proteste]</w:t>
      </w:r>
    </w:p>
    <w:p w14:paraId="0AFD1561" w14:textId="2A29D3E6" w:rsidR="00F4045F" w:rsidRPr="004676F5" w:rsidRDefault="00F4045F" w:rsidP="00F4045F">
      <w:pPr>
        <w:jc w:val="center"/>
        <w:rPr>
          <w:lang w:val="de-DE"/>
        </w:rPr>
      </w:pPr>
    </w:p>
    <w:p w14:paraId="0B870501" w14:textId="4183DFB6" w:rsidR="00F4045F" w:rsidRPr="004676F5" w:rsidRDefault="00F4045F" w:rsidP="00F4045F">
      <w:pPr>
        <w:jc w:val="both"/>
        <w:rPr>
          <w:i/>
          <w:iCs/>
          <w:lang w:val="de-DE"/>
        </w:rPr>
      </w:pPr>
      <w:r w:rsidRPr="004676F5">
        <w:rPr>
          <w:i/>
          <w:lang w:val="de-DE"/>
        </w:rPr>
        <w:t>[Unterteilung Abschnitt 4 eingefügt durch Art. 145</w:t>
      </w:r>
      <w:r w:rsidRPr="004676F5">
        <w:rPr>
          <w:i/>
          <w:iCs/>
          <w:lang w:val="de-DE"/>
        </w:rPr>
        <w:t xml:space="preserve"> des G. vom 15. April 2018 (B.S. vom 27. April 2018)]</w:t>
      </w:r>
    </w:p>
    <w:p w14:paraId="7B2A2A12" w14:textId="1B9CF664" w:rsidR="00F4045F" w:rsidRPr="004676F5" w:rsidRDefault="00F4045F" w:rsidP="00F4045F">
      <w:pPr>
        <w:jc w:val="both"/>
        <w:rPr>
          <w:iCs/>
          <w:lang w:val="de-DE"/>
        </w:rPr>
      </w:pPr>
    </w:p>
    <w:p w14:paraId="6FA52BEC" w14:textId="2E92F585" w:rsidR="00F4045F" w:rsidRPr="004676F5" w:rsidRDefault="00F4045F" w:rsidP="00F4045F">
      <w:pPr>
        <w:jc w:val="both"/>
        <w:rPr>
          <w:iCs/>
          <w:lang w:val="de-DE"/>
        </w:rPr>
      </w:pPr>
    </w:p>
    <w:p w14:paraId="7AC5BA0E" w14:textId="41B569C2" w:rsidR="00F4045F" w:rsidRPr="004676F5" w:rsidRDefault="00F4045F" w:rsidP="00F4045F">
      <w:pPr>
        <w:ind w:firstLine="708"/>
        <w:jc w:val="both"/>
        <w:rPr>
          <w:lang w:val="de-DE"/>
        </w:rPr>
      </w:pPr>
      <w:r w:rsidRPr="004676F5">
        <w:rPr>
          <w:iCs/>
          <w:lang w:val="de-DE"/>
        </w:rPr>
        <w:t>[</w:t>
      </w:r>
      <w:r w:rsidRPr="004676F5">
        <w:rPr>
          <w:b/>
          <w:lang w:val="de-DE"/>
        </w:rPr>
        <w:t>Art. VII.216/97</w:t>
      </w:r>
      <w:r w:rsidRPr="004676F5">
        <w:rPr>
          <w:lang w:val="de-DE"/>
        </w:rPr>
        <w:t> </w:t>
      </w:r>
      <w:r w:rsidR="005B7A5C" w:rsidRPr="004676F5">
        <w:rPr>
          <w:lang w:val="de-DE"/>
        </w:rPr>
        <w:t>- </w:t>
      </w:r>
      <w:r w:rsidRPr="004676F5">
        <w:rPr>
          <w:lang w:val="de-DE"/>
        </w:rPr>
        <w:t>§ 1 </w:t>
      </w:r>
      <w:r w:rsidR="005B7A5C" w:rsidRPr="004676F5">
        <w:rPr>
          <w:lang w:val="de-DE"/>
        </w:rPr>
        <w:t>- </w:t>
      </w:r>
      <w:r w:rsidRPr="004676F5">
        <w:rPr>
          <w:lang w:val="de-DE"/>
        </w:rPr>
        <w:t>Proteste mangels Annahme oder mangels Zahlung werden von Gerichtsvollziehern erhoben.</w:t>
      </w:r>
    </w:p>
    <w:p w14:paraId="0E7F9410" w14:textId="77777777" w:rsidR="00F4045F" w:rsidRPr="004676F5" w:rsidRDefault="00F4045F" w:rsidP="00F4045F">
      <w:pPr>
        <w:ind w:firstLine="708"/>
        <w:jc w:val="both"/>
        <w:rPr>
          <w:lang w:val="de-DE"/>
        </w:rPr>
      </w:pPr>
    </w:p>
    <w:p w14:paraId="4F5FEFB8" w14:textId="11A8E712" w:rsidR="00F4045F" w:rsidRPr="004676F5" w:rsidRDefault="00F4045F" w:rsidP="00F4045F">
      <w:pPr>
        <w:ind w:firstLine="708"/>
        <w:jc w:val="both"/>
        <w:rPr>
          <w:lang w:val="de-DE"/>
        </w:rPr>
      </w:pPr>
      <w:r w:rsidRPr="004676F5">
        <w:rPr>
          <w:lang w:val="de-DE"/>
        </w:rPr>
        <w:t>§ 2 </w:t>
      </w:r>
      <w:r w:rsidR="005B7A5C" w:rsidRPr="004676F5">
        <w:rPr>
          <w:lang w:val="de-DE"/>
        </w:rPr>
        <w:t>- </w:t>
      </w:r>
      <w:r w:rsidRPr="004676F5">
        <w:rPr>
          <w:lang w:val="de-DE"/>
        </w:rPr>
        <w:t>Proteste werden erhoben:</w:t>
      </w:r>
    </w:p>
    <w:p w14:paraId="2E7C51BE" w14:textId="77777777" w:rsidR="00F4045F" w:rsidRPr="004676F5" w:rsidRDefault="00F4045F" w:rsidP="00F4045F">
      <w:pPr>
        <w:ind w:firstLine="708"/>
        <w:jc w:val="both"/>
        <w:rPr>
          <w:lang w:val="de-DE"/>
        </w:rPr>
      </w:pPr>
    </w:p>
    <w:p w14:paraId="7258AF13" w14:textId="75491870" w:rsidR="00F4045F" w:rsidRPr="004676F5" w:rsidRDefault="00F4045F" w:rsidP="00F4045F">
      <w:pPr>
        <w:ind w:firstLine="708"/>
        <w:jc w:val="both"/>
        <w:rPr>
          <w:lang w:val="de-DE"/>
        </w:rPr>
      </w:pPr>
      <w:r w:rsidRPr="004676F5">
        <w:rPr>
          <w:lang w:val="de-DE"/>
        </w:rPr>
        <w:t>1. am Wohn</w:t>
      </w:r>
      <w:r w:rsidR="005B7A5C" w:rsidRPr="004676F5">
        <w:rPr>
          <w:lang w:val="de-DE"/>
        </w:rPr>
        <w:t>- </w:t>
      </w:r>
      <w:r w:rsidRPr="004676F5">
        <w:rPr>
          <w:lang w:val="de-DE"/>
        </w:rPr>
        <w:t>oder Gesellschaftssitz, der auf dem Wechsel angegeben ist, und in Ermangelung einer Angabe am letzten bekannten Wohn</w:t>
      </w:r>
      <w:r w:rsidR="005B7A5C" w:rsidRPr="004676F5">
        <w:rPr>
          <w:lang w:val="de-DE"/>
        </w:rPr>
        <w:t>- </w:t>
      </w:r>
      <w:r w:rsidRPr="004676F5">
        <w:rPr>
          <w:lang w:val="de-DE"/>
        </w:rPr>
        <w:t>oder Gesellschaftssitz des Schuldners,</w:t>
      </w:r>
    </w:p>
    <w:p w14:paraId="4F416FED" w14:textId="77777777" w:rsidR="00F4045F" w:rsidRPr="004676F5" w:rsidRDefault="00F4045F" w:rsidP="00F4045F">
      <w:pPr>
        <w:ind w:firstLine="708"/>
        <w:jc w:val="both"/>
        <w:rPr>
          <w:lang w:val="de-DE"/>
        </w:rPr>
      </w:pPr>
    </w:p>
    <w:p w14:paraId="1C6FB30A" w14:textId="5248C521" w:rsidR="00F4045F" w:rsidRPr="004676F5" w:rsidRDefault="00F4045F" w:rsidP="00F4045F">
      <w:pPr>
        <w:ind w:firstLine="708"/>
        <w:jc w:val="both"/>
        <w:rPr>
          <w:lang w:val="de-DE"/>
        </w:rPr>
      </w:pPr>
      <w:r w:rsidRPr="004676F5">
        <w:rPr>
          <w:lang w:val="de-DE"/>
        </w:rPr>
        <w:t>2. am Wohn</w:t>
      </w:r>
      <w:r w:rsidR="005B7A5C" w:rsidRPr="004676F5">
        <w:rPr>
          <w:lang w:val="de-DE"/>
        </w:rPr>
        <w:t>- </w:t>
      </w:r>
      <w:r w:rsidRPr="004676F5">
        <w:rPr>
          <w:lang w:val="de-DE"/>
        </w:rPr>
        <w:t>oder Gesellschaftssitz der Personen, die entweder vom Aussteller oder vom Indossanten auf dem Wechsel angegeben worden sind, um ihn falls nötig zu zahlen,</w:t>
      </w:r>
    </w:p>
    <w:p w14:paraId="0434353E" w14:textId="77777777" w:rsidR="00F4045F" w:rsidRPr="004676F5" w:rsidRDefault="00F4045F" w:rsidP="00F4045F">
      <w:pPr>
        <w:ind w:firstLine="708"/>
        <w:jc w:val="both"/>
        <w:rPr>
          <w:lang w:val="de-DE"/>
        </w:rPr>
      </w:pPr>
    </w:p>
    <w:p w14:paraId="61EB3E40" w14:textId="6433A45E" w:rsidR="00F4045F" w:rsidRPr="004676F5" w:rsidRDefault="00F4045F" w:rsidP="00F4045F">
      <w:pPr>
        <w:ind w:firstLine="708"/>
        <w:jc w:val="both"/>
        <w:rPr>
          <w:lang w:val="de-DE"/>
        </w:rPr>
      </w:pPr>
      <w:r w:rsidRPr="004676F5">
        <w:rPr>
          <w:lang w:val="de-DE"/>
        </w:rPr>
        <w:t>3. am Wohn</w:t>
      </w:r>
      <w:r w:rsidR="005B7A5C" w:rsidRPr="004676F5">
        <w:rPr>
          <w:lang w:val="de-DE"/>
        </w:rPr>
        <w:t>- </w:t>
      </w:r>
      <w:r w:rsidRPr="004676F5">
        <w:rPr>
          <w:lang w:val="de-DE"/>
        </w:rPr>
        <w:t>oder Gesellschaftssitz des Dritten, der zu Ehren angenommen hat.</w:t>
      </w:r>
    </w:p>
    <w:p w14:paraId="18BFF5F8" w14:textId="77777777" w:rsidR="00F4045F" w:rsidRPr="004676F5" w:rsidRDefault="00F4045F" w:rsidP="00F4045F">
      <w:pPr>
        <w:ind w:firstLine="708"/>
        <w:jc w:val="both"/>
        <w:rPr>
          <w:lang w:val="de-DE"/>
        </w:rPr>
      </w:pPr>
    </w:p>
    <w:p w14:paraId="174BE0F8" w14:textId="1E4B991B" w:rsidR="00F4045F" w:rsidRPr="004676F5" w:rsidRDefault="00F4045F" w:rsidP="00F4045F">
      <w:pPr>
        <w:ind w:firstLine="708"/>
        <w:jc w:val="both"/>
        <w:rPr>
          <w:lang w:val="de-DE"/>
        </w:rPr>
      </w:pPr>
      <w:r w:rsidRPr="004676F5">
        <w:rPr>
          <w:lang w:val="de-DE"/>
        </w:rPr>
        <w:t>Im Fall einer falschen oder fehlerhaften Angabe des Wohn</w:t>
      </w:r>
      <w:r w:rsidR="005B7A5C" w:rsidRPr="004676F5">
        <w:rPr>
          <w:lang w:val="de-DE"/>
        </w:rPr>
        <w:t>- </w:t>
      </w:r>
      <w:r w:rsidRPr="004676F5">
        <w:rPr>
          <w:lang w:val="de-DE"/>
        </w:rPr>
        <w:t>oder Gesellschaftssitzes vermerkt der Gerichtsvollzieher in der Urkunde, dass der Schuldner nicht gefunden wurde.</w:t>
      </w:r>
    </w:p>
    <w:p w14:paraId="3DCB3B22" w14:textId="77777777" w:rsidR="00F4045F" w:rsidRPr="004676F5" w:rsidRDefault="00F4045F" w:rsidP="00F4045F">
      <w:pPr>
        <w:ind w:firstLine="708"/>
        <w:jc w:val="both"/>
        <w:rPr>
          <w:lang w:val="de-DE"/>
        </w:rPr>
      </w:pPr>
    </w:p>
    <w:p w14:paraId="2BABB436" w14:textId="77777777" w:rsidR="00F4045F" w:rsidRPr="004676F5" w:rsidRDefault="00F4045F" w:rsidP="00F4045F">
      <w:pPr>
        <w:ind w:firstLine="708"/>
        <w:jc w:val="both"/>
        <w:rPr>
          <w:lang w:val="de-DE"/>
        </w:rPr>
      </w:pPr>
    </w:p>
    <w:p w14:paraId="55735402" w14:textId="31972F7D" w:rsidR="00F4045F" w:rsidRPr="004676F5" w:rsidRDefault="00F4045F" w:rsidP="00F4045F">
      <w:pPr>
        <w:ind w:firstLine="708"/>
        <w:jc w:val="both"/>
        <w:rPr>
          <w:lang w:val="de-DE"/>
        </w:rPr>
      </w:pPr>
      <w:r w:rsidRPr="004676F5">
        <w:rPr>
          <w:b/>
          <w:lang w:val="de-DE"/>
        </w:rPr>
        <w:t>Art. VII.216/98</w:t>
      </w:r>
      <w:r w:rsidRPr="004676F5">
        <w:rPr>
          <w:lang w:val="de-DE"/>
        </w:rPr>
        <w:t> </w:t>
      </w:r>
      <w:r w:rsidR="005B7A5C" w:rsidRPr="004676F5">
        <w:rPr>
          <w:lang w:val="de-DE"/>
        </w:rPr>
        <w:t>- </w:t>
      </w:r>
      <w:r w:rsidRPr="004676F5">
        <w:rPr>
          <w:lang w:val="de-DE"/>
        </w:rPr>
        <w:t>Die Protesturkunde enthält folgende Vermerke, insofern sie im Hinblick auf die Art des Wechsels, auf den sich der Protest bezieht, sachdienlich sind:</w:t>
      </w:r>
    </w:p>
    <w:p w14:paraId="446AAAF1" w14:textId="77777777" w:rsidR="00F4045F" w:rsidRPr="004676F5" w:rsidRDefault="00F4045F" w:rsidP="00F4045F">
      <w:pPr>
        <w:ind w:firstLine="708"/>
        <w:jc w:val="both"/>
        <w:rPr>
          <w:lang w:val="de-DE"/>
        </w:rPr>
      </w:pPr>
    </w:p>
    <w:p w14:paraId="4B2CADB3" w14:textId="77777777" w:rsidR="00F4045F" w:rsidRPr="004676F5" w:rsidRDefault="00F4045F" w:rsidP="00F4045F">
      <w:pPr>
        <w:ind w:firstLine="708"/>
        <w:jc w:val="both"/>
        <w:rPr>
          <w:lang w:val="de-DE"/>
        </w:rPr>
      </w:pPr>
      <w:r w:rsidRPr="004676F5">
        <w:rPr>
          <w:lang w:val="de-DE"/>
        </w:rPr>
        <w:t>1. Ort, Tag und Art des Protestes,</w:t>
      </w:r>
    </w:p>
    <w:p w14:paraId="0C10972E" w14:textId="77777777" w:rsidR="00F4045F" w:rsidRPr="004676F5" w:rsidRDefault="00F4045F" w:rsidP="00F4045F">
      <w:pPr>
        <w:ind w:firstLine="708"/>
        <w:jc w:val="both"/>
        <w:rPr>
          <w:lang w:val="de-DE"/>
        </w:rPr>
      </w:pPr>
    </w:p>
    <w:p w14:paraId="73846971" w14:textId="77777777" w:rsidR="00F4045F" w:rsidRPr="004676F5" w:rsidRDefault="00F4045F" w:rsidP="00F4045F">
      <w:pPr>
        <w:ind w:firstLine="708"/>
        <w:jc w:val="both"/>
        <w:rPr>
          <w:lang w:val="de-DE"/>
        </w:rPr>
      </w:pPr>
      <w:r w:rsidRPr="004676F5">
        <w:rPr>
          <w:lang w:val="de-DE"/>
        </w:rPr>
        <w:t>2. Art des Wechsels, auf den sich der Protest bezieht,</w:t>
      </w:r>
    </w:p>
    <w:p w14:paraId="39CE1AEC" w14:textId="77777777" w:rsidR="00F4045F" w:rsidRPr="004676F5" w:rsidRDefault="00F4045F" w:rsidP="00F4045F">
      <w:pPr>
        <w:ind w:firstLine="708"/>
        <w:jc w:val="both"/>
        <w:rPr>
          <w:lang w:val="de-DE"/>
        </w:rPr>
      </w:pPr>
    </w:p>
    <w:p w14:paraId="32EBA7C7" w14:textId="77777777" w:rsidR="00F4045F" w:rsidRPr="004676F5" w:rsidRDefault="00F4045F" w:rsidP="00F4045F">
      <w:pPr>
        <w:ind w:firstLine="708"/>
        <w:jc w:val="both"/>
        <w:rPr>
          <w:lang w:val="de-DE"/>
        </w:rPr>
      </w:pPr>
      <w:r w:rsidRPr="004676F5">
        <w:rPr>
          <w:lang w:val="de-DE"/>
        </w:rPr>
        <w:t>3. Namen und Vornamen, Rechtsform oder besonderen Namen des Begünstigten des Eigenwechsels oder des Ausstellers des gezogenen Wechsels und Wohnsitz oder, wenn es sich um eine juristische Person handelt, Gesellschaftssitz und Unternehmensnummer,</w:t>
      </w:r>
    </w:p>
    <w:p w14:paraId="1590412E" w14:textId="77777777" w:rsidR="00F4045F" w:rsidRPr="004676F5" w:rsidRDefault="00F4045F" w:rsidP="00F4045F">
      <w:pPr>
        <w:ind w:firstLine="708"/>
        <w:jc w:val="both"/>
        <w:rPr>
          <w:lang w:val="de-DE"/>
        </w:rPr>
      </w:pPr>
    </w:p>
    <w:p w14:paraId="5A214AEA" w14:textId="77777777" w:rsidR="00F4045F" w:rsidRPr="004676F5" w:rsidRDefault="00F4045F" w:rsidP="00F4045F">
      <w:pPr>
        <w:ind w:firstLine="708"/>
        <w:jc w:val="both"/>
        <w:rPr>
          <w:lang w:val="de-DE"/>
        </w:rPr>
      </w:pPr>
      <w:r w:rsidRPr="004676F5">
        <w:rPr>
          <w:lang w:val="de-DE"/>
        </w:rPr>
        <w:t xml:space="preserve">4. Namen und Vornamen, Rechtsform oder besonderen Namen des Ausstellers des Eigenwechsels oder des Bezogenen des gezogenen Wechsels mit dem Vermerk, ob er den </w:t>
      </w:r>
      <w:r w:rsidRPr="004676F5">
        <w:rPr>
          <w:lang w:val="de-DE"/>
        </w:rPr>
        <w:lastRenderedPageBreak/>
        <w:t>Wechsel angenommen hat, Wohnsitz oder, wenn es sich um eine juristische Person handelt, Gesellschaftssitz und Unternehmensnummer,</w:t>
      </w:r>
    </w:p>
    <w:p w14:paraId="4A43DE9B" w14:textId="77777777" w:rsidR="00F4045F" w:rsidRPr="004676F5" w:rsidRDefault="00F4045F" w:rsidP="00F4045F">
      <w:pPr>
        <w:ind w:firstLine="708"/>
        <w:jc w:val="both"/>
        <w:rPr>
          <w:lang w:val="de-DE"/>
        </w:rPr>
      </w:pPr>
    </w:p>
    <w:p w14:paraId="28BFB3DB" w14:textId="77777777" w:rsidR="00F4045F" w:rsidRPr="004676F5" w:rsidRDefault="00F4045F" w:rsidP="00F4045F">
      <w:pPr>
        <w:ind w:firstLine="708"/>
        <w:jc w:val="both"/>
        <w:rPr>
          <w:lang w:val="de-DE"/>
        </w:rPr>
      </w:pPr>
      <w:r w:rsidRPr="004676F5">
        <w:rPr>
          <w:lang w:val="de-DE"/>
        </w:rPr>
        <w:t>5. Verfalltag,</w:t>
      </w:r>
    </w:p>
    <w:p w14:paraId="5D63A057" w14:textId="77777777" w:rsidR="00F4045F" w:rsidRPr="004676F5" w:rsidRDefault="00F4045F" w:rsidP="00F4045F">
      <w:pPr>
        <w:ind w:firstLine="708"/>
        <w:jc w:val="both"/>
        <w:rPr>
          <w:lang w:val="de-DE"/>
        </w:rPr>
      </w:pPr>
    </w:p>
    <w:p w14:paraId="520B03E5" w14:textId="77777777" w:rsidR="00F4045F" w:rsidRPr="004676F5" w:rsidRDefault="00F4045F" w:rsidP="00F4045F">
      <w:pPr>
        <w:ind w:firstLine="708"/>
        <w:jc w:val="both"/>
        <w:rPr>
          <w:lang w:val="de-DE"/>
        </w:rPr>
      </w:pPr>
      <w:r w:rsidRPr="004676F5">
        <w:rPr>
          <w:lang w:val="de-DE"/>
        </w:rPr>
        <w:t>6. Wechselsumme und, falls hiervon abweichend, Summe, in Bezug auf die Protest erhoben wird,</w:t>
      </w:r>
    </w:p>
    <w:p w14:paraId="0BA13D50" w14:textId="77777777" w:rsidR="00F4045F" w:rsidRPr="004676F5" w:rsidRDefault="00F4045F" w:rsidP="00F4045F">
      <w:pPr>
        <w:ind w:firstLine="708"/>
        <w:jc w:val="both"/>
        <w:rPr>
          <w:lang w:val="de-DE"/>
        </w:rPr>
      </w:pPr>
    </w:p>
    <w:p w14:paraId="43B9E6BA" w14:textId="77777777" w:rsidR="00F4045F" w:rsidRPr="004676F5" w:rsidRDefault="00F4045F" w:rsidP="00F4045F">
      <w:pPr>
        <w:ind w:firstLine="708"/>
        <w:jc w:val="both"/>
        <w:rPr>
          <w:lang w:val="de-DE"/>
        </w:rPr>
      </w:pPr>
      <w:r w:rsidRPr="004676F5">
        <w:rPr>
          <w:lang w:val="de-DE"/>
        </w:rPr>
        <w:t>7. Grund für die Weigerung, die dem Protest zugrunde liegt,</w:t>
      </w:r>
    </w:p>
    <w:p w14:paraId="4DD53E0B" w14:textId="77777777" w:rsidR="00F4045F" w:rsidRPr="004676F5" w:rsidRDefault="00F4045F" w:rsidP="00F4045F">
      <w:pPr>
        <w:ind w:firstLine="708"/>
        <w:jc w:val="both"/>
        <w:rPr>
          <w:lang w:val="de-DE"/>
        </w:rPr>
      </w:pPr>
    </w:p>
    <w:p w14:paraId="08BA08FC" w14:textId="77777777" w:rsidR="00F4045F" w:rsidRPr="004676F5" w:rsidRDefault="00F4045F" w:rsidP="00F4045F">
      <w:pPr>
        <w:ind w:firstLine="708"/>
        <w:jc w:val="both"/>
        <w:rPr>
          <w:lang w:val="de-DE"/>
        </w:rPr>
      </w:pPr>
      <w:r w:rsidRPr="004676F5">
        <w:rPr>
          <w:lang w:val="de-DE"/>
        </w:rPr>
        <w:t>8. ausführliche Aufstellung der Kosten der Urkunde,</w:t>
      </w:r>
    </w:p>
    <w:p w14:paraId="63F76EFB" w14:textId="77777777" w:rsidR="00F4045F" w:rsidRPr="004676F5" w:rsidRDefault="00F4045F" w:rsidP="00F4045F">
      <w:pPr>
        <w:ind w:firstLine="708"/>
        <w:jc w:val="both"/>
        <w:rPr>
          <w:lang w:val="de-DE"/>
        </w:rPr>
      </w:pPr>
    </w:p>
    <w:p w14:paraId="26697F4F" w14:textId="77777777" w:rsidR="00F4045F" w:rsidRPr="004676F5" w:rsidRDefault="00F4045F" w:rsidP="00F4045F">
      <w:pPr>
        <w:ind w:firstLine="708"/>
        <w:jc w:val="both"/>
        <w:rPr>
          <w:lang w:val="de-DE"/>
        </w:rPr>
      </w:pPr>
      <w:r w:rsidRPr="004676F5">
        <w:rPr>
          <w:lang w:val="de-DE"/>
        </w:rPr>
        <w:t>9. Namen und Vornamen desjenigen, der die Protesturkunde abgefasst hat,</w:t>
      </w:r>
    </w:p>
    <w:p w14:paraId="3845B14C" w14:textId="77777777" w:rsidR="00F4045F" w:rsidRPr="004676F5" w:rsidRDefault="00F4045F" w:rsidP="00F4045F">
      <w:pPr>
        <w:ind w:firstLine="708"/>
        <w:jc w:val="both"/>
        <w:rPr>
          <w:lang w:val="de-DE"/>
        </w:rPr>
      </w:pPr>
    </w:p>
    <w:p w14:paraId="64AF81E8" w14:textId="77777777" w:rsidR="00F4045F" w:rsidRPr="004676F5" w:rsidRDefault="00F4045F" w:rsidP="00F4045F">
      <w:pPr>
        <w:ind w:firstLine="708"/>
        <w:jc w:val="both"/>
        <w:rPr>
          <w:lang w:val="de-DE"/>
        </w:rPr>
      </w:pPr>
      <w:r w:rsidRPr="004676F5">
        <w:rPr>
          <w:lang w:val="de-DE"/>
        </w:rPr>
        <w:t>10. Namen des Antragstellers,</w:t>
      </w:r>
    </w:p>
    <w:p w14:paraId="3C177E31" w14:textId="77777777" w:rsidR="00F4045F" w:rsidRPr="004676F5" w:rsidRDefault="00F4045F" w:rsidP="00F4045F">
      <w:pPr>
        <w:ind w:firstLine="708"/>
        <w:jc w:val="both"/>
        <w:rPr>
          <w:lang w:val="de-DE"/>
        </w:rPr>
      </w:pPr>
    </w:p>
    <w:p w14:paraId="6C5100A1" w14:textId="417C6ECC" w:rsidR="00F4045F" w:rsidRPr="004676F5" w:rsidRDefault="00F4045F" w:rsidP="00F4045F">
      <w:pPr>
        <w:ind w:firstLine="708"/>
        <w:jc w:val="both"/>
        <w:rPr>
          <w:lang w:val="de-DE"/>
        </w:rPr>
      </w:pPr>
      <w:r w:rsidRPr="004676F5">
        <w:rPr>
          <w:lang w:val="de-DE"/>
        </w:rPr>
        <w:t>11. An</w:t>
      </w:r>
      <w:r w:rsidR="005B7A5C" w:rsidRPr="004676F5">
        <w:rPr>
          <w:lang w:val="de-DE"/>
        </w:rPr>
        <w:t>- </w:t>
      </w:r>
      <w:r w:rsidRPr="004676F5">
        <w:rPr>
          <w:lang w:val="de-DE"/>
        </w:rPr>
        <w:t>oder Abwesenheit desjenigen, der zahlen muss,</w:t>
      </w:r>
    </w:p>
    <w:p w14:paraId="7A9210BA" w14:textId="77777777" w:rsidR="00F4045F" w:rsidRPr="004676F5" w:rsidRDefault="00F4045F" w:rsidP="00F4045F">
      <w:pPr>
        <w:ind w:firstLine="708"/>
        <w:jc w:val="both"/>
        <w:rPr>
          <w:lang w:val="de-DE"/>
        </w:rPr>
      </w:pPr>
    </w:p>
    <w:p w14:paraId="5098B3AB" w14:textId="77777777" w:rsidR="00F4045F" w:rsidRPr="004676F5" w:rsidRDefault="00F4045F" w:rsidP="00F4045F">
      <w:pPr>
        <w:ind w:firstLine="708"/>
        <w:jc w:val="both"/>
        <w:rPr>
          <w:lang w:val="de-DE"/>
        </w:rPr>
      </w:pPr>
      <w:r w:rsidRPr="004676F5">
        <w:rPr>
          <w:lang w:val="de-DE"/>
        </w:rPr>
        <w:t>12. Namen der Person, der die in Artikel VII.216/99 erwähnte Nachricht übergeben worden ist.</w:t>
      </w:r>
    </w:p>
    <w:p w14:paraId="0D3189F4" w14:textId="752D3888" w:rsidR="00F4045F" w:rsidRPr="004676F5" w:rsidRDefault="00F4045F" w:rsidP="00F4045F">
      <w:pPr>
        <w:ind w:firstLine="708"/>
        <w:jc w:val="both"/>
        <w:rPr>
          <w:lang w:val="de-DE"/>
        </w:rPr>
      </w:pPr>
    </w:p>
    <w:p w14:paraId="62DEAD18" w14:textId="77777777" w:rsidR="00F4045F" w:rsidRPr="004676F5" w:rsidRDefault="00F4045F" w:rsidP="00F4045F">
      <w:pPr>
        <w:ind w:firstLine="708"/>
        <w:jc w:val="both"/>
        <w:rPr>
          <w:lang w:val="de-DE"/>
        </w:rPr>
      </w:pPr>
    </w:p>
    <w:p w14:paraId="40861F85" w14:textId="216158DE" w:rsidR="00F4045F" w:rsidRPr="004676F5" w:rsidRDefault="00F4045F" w:rsidP="00F4045F">
      <w:pPr>
        <w:ind w:firstLine="708"/>
        <w:jc w:val="both"/>
        <w:rPr>
          <w:lang w:val="de-DE"/>
        </w:rPr>
      </w:pPr>
      <w:r w:rsidRPr="004676F5">
        <w:rPr>
          <w:b/>
          <w:lang w:val="de-DE"/>
        </w:rPr>
        <w:t>Art. VII.216/99</w:t>
      </w:r>
      <w:r w:rsidRPr="004676F5">
        <w:rPr>
          <w:lang w:val="de-DE"/>
        </w:rPr>
        <w:t> </w:t>
      </w:r>
      <w:r w:rsidR="005B7A5C" w:rsidRPr="004676F5">
        <w:rPr>
          <w:lang w:val="de-DE"/>
        </w:rPr>
        <w:t>- </w:t>
      </w:r>
      <w:r w:rsidRPr="004676F5">
        <w:rPr>
          <w:lang w:val="de-DE"/>
        </w:rPr>
        <w:t>Wer den Protest erhoben hat, hinterlässt an dem in Artikel VII.216/97 § 2 erwähnten Wohn</w:t>
      </w:r>
      <w:r w:rsidR="005B7A5C" w:rsidRPr="004676F5">
        <w:rPr>
          <w:lang w:val="de-DE"/>
        </w:rPr>
        <w:t>- </w:t>
      </w:r>
      <w:r w:rsidRPr="004676F5">
        <w:rPr>
          <w:lang w:val="de-DE"/>
        </w:rPr>
        <w:t>oder Gesellschaftssitz eine Nachricht mit folgenden Vermerken:</w:t>
      </w:r>
    </w:p>
    <w:p w14:paraId="74740EE6" w14:textId="77777777" w:rsidR="00F4045F" w:rsidRPr="004676F5" w:rsidRDefault="00F4045F" w:rsidP="00F4045F">
      <w:pPr>
        <w:ind w:firstLine="708"/>
        <w:jc w:val="both"/>
        <w:rPr>
          <w:lang w:val="de-DE"/>
        </w:rPr>
      </w:pPr>
    </w:p>
    <w:p w14:paraId="236C88BD" w14:textId="77777777" w:rsidR="00F4045F" w:rsidRPr="004676F5" w:rsidRDefault="00F4045F" w:rsidP="00F4045F">
      <w:pPr>
        <w:ind w:firstLine="708"/>
        <w:jc w:val="both"/>
        <w:rPr>
          <w:lang w:val="de-DE"/>
        </w:rPr>
      </w:pPr>
      <w:r w:rsidRPr="004676F5">
        <w:rPr>
          <w:lang w:val="de-DE"/>
        </w:rPr>
        <w:t>1. Namen und Adresse des Inhabers, der den Protest beantragt hat,</w:t>
      </w:r>
    </w:p>
    <w:p w14:paraId="15C685D1" w14:textId="77777777" w:rsidR="00F4045F" w:rsidRPr="004676F5" w:rsidRDefault="00F4045F" w:rsidP="00F4045F">
      <w:pPr>
        <w:ind w:firstLine="708"/>
        <w:jc w:val="both"/>
        <w:rPr>
          <w:lang w:val="de-DE"/>
        </w:rPr>
      </w:pPr>
    </w:p>
    <w:p w14:paraId="7C085D84" w14:textId="77777777" w:rsidR="00F4045F" w:rsidRPr="004676F5" w:rsidRDefault="00F4045F" w:rsidP="00F4045F">
      <w:pPr>
        <w:ind w:firstLine="708"/>
        <w:jc w:val="both"/>
        <w:rPr>
          <w:lang w:val="de-DE"/>
        </w:rPr>
      </w:pPr>
      <w:r w:rsidRPr="004676F5">
        <w:rPr>
          <w:lang w:val="de-DE"/>
        </w:rPr>
        <w:t>2. Namen desjenigen, der den Protest erhoben hat,</w:t>
      </w:r>
    </w:p>
    <w:p w14:paraId="67F892CD" w14:textId="77777777" w:rsidR="00F4045F" w:rsidRPr="004676F5" w:rsidRDefault="00F4045F" w:rsidP="00F4045F">
      <w:pPr>
        <w:ind w:firstLine="708"/>
        <w:jc w:val="both"/>
        <w:rPr>
          <w:lang w:val="de-DE"/>
        </w:rPr>
      </w:pPr>
    </w:p>
    <w:p w14:paraId="4624BA6F" w14:textId="77777777" w:rsidR="00F4045F" w:rsidRPr="004676F5" w:rsidRDefault="00F4045F" w:rsidP="00F4045F">
      <w:pPr>
        <w:ind w:firstLine="708"/>
        <w:jc w:val="both"/>
        <w:rPr>
          <w:lang w:val="de-DE"/>
        </w:rPr>
      </w:pPr>
      <w:r w:rsidRPr="004676F5">
        <w:rPr>
          <w:lang w:val="de-DE"/>
        </w:rPr>
        <w:t>3. Summe des protestierten Wechsels.</w:t>
      </w:r>
    </w:p>
    <w:p w14:paraId="0A1106C0" w14:textId="77777777" w:rsidR="00F4045F" w:rsidRPr="004676F5" w:rsidRDefault="00F4045F" w:rsidP="00F4045F">
      <w:pPr>
        <w:ind w:firstLine="708"/>
        <w:jc w:val="both"/>
        <w:rPr>
          <w:lang w:val="de-DE"/>
        </w:rPr>
      </w:pPr>
    </w:p>
    <w:p w14:paraId="4A3C9FBC" w14:textId="0E2DB16C" w:rsidR="00F4045F" w:rsidRPr="004676F5" w:rsidRDefault="00F4045F" w:rsidP="00F4045F">
      <w:pPr>
        <w:ind w:firstLine="708"/>
        <w:jc w:val="both"/>
        <w:rPr>
          <w:lang w:val="de-DE"/>
        </w:rPr>
      </w:pPr>
      <w:r w:rsidRPr="004676F5">
        <w:rPr>
          <w:lang w:val="de-DE"/>
        </w:rPr>
        <w:t>Wird an vorerwähntem Wohn</w:t>
      </w:r>
      <w:r w:rsidR="005B7A5C" w:rsidRPr="004676F5">
        <w:rPr>
          <w:lang w:val="de-DE"/>
        </w:rPr>
        <w:t>- </w:t>
      </w:r>
      <w:r w:rsidRPr="004676F5">
        <w:rPr>
          <w:lang w:val="de-DE"/>
        </w:rPr>
        <w:t>oder Gesellschaftssitz niemand angetroffen, so wird dies in der Protesturkunde vermerkt und es wird keine Nachricht hinterlassen.</w:t>
      </w:r>
    </w:p>
    <w:p w14:paraId="12C8BAAE" w14:textId="13A35CF2" w:rsidR="00F4045F" w:rsidRPr="004676F5" w:rsidRDefault="00F4045F" w:rsidP="00F4045F">
      <w:pPr>
        <w:ind w:firstLine="708"/>
        <w:jc w:val="both"/>
        <w:rPr>
          <w:lang w:val="de-DE"/>
        </w:rPr>
      </w:pPr>
    </w:p>
    <w:p w14:paraId="7D31609D" w14:textId="77777777" w:rsidR="00F4045F" w:rsidRPr="004676F5" w:rsidRDefault="00F4045F" w:rsidP="00F4045F">
      <w:pPr>
        <w:ind w:firstLine="708"/>
        <w:jc w:val="both"/>
        <w:rPr>
          <w:lang w:val="de-DE"/>
        </w:rPr>
      </w:pPr>
    </w:p>
    <w:p w14:paraId="56E1C1A9" w14:textId="2C31FA1C" w:rsidR="00F4045F" w:rsidRPr="004676F5" w:rsidRDefault="00F4045F" w:rsidP="00F4045F">
      <w:pPr>
        <w:jc w:val="both"/>
        <w:rPr>
          <w:lang w:val="de-DE"/>
        </w:rPr>
      </w:pPr>
      <w:r w:rsidRPr="004676F5">
        <w:rPr>
          <w:lang w:val="de-DE"/>
        </w:rPr>
        <w:tab/>
      </w:r>
      <w:r w:rsidRPr="004676F5">
        <w:rPr>
          <w:b/>
          <w:lang w:val="de-DE"/>
        </w:rPr>
        <w:t>Art. VII.216/100</w:t>
      </w:r>
      <w:r w:rsidRPr="004676F5">
        <w:rPr>
          <w:lang w:val="de-DE"/>
        </w:rPr>
        <w:t> </w:t>
      </w:r>
      <w:r w:rsidR="005B7A5C" w:rsidRPr="004676F5">
        <w:rPr>
          <w:lang w:val="de-DE"/>
        </w:rPr>
        <w:t>- </w:t>
      </w:r>
      <w:r w:rsidRPr="004676F5">
        <w:rPr>
          <w:lang w:val="de-DE"/>
        </w:rPr>
        <w:t>Der König legt die Form der in Artikel VII.216/98 erwähnten Protesturkunden und der in Artikel VII.216/99 erwähnten Nachricht fest.]</w:t>
      </w:r>
    </w:p>
    <w:p w14:paraId="2C2AF894" w14:textId="078F0D53" w:rsidR="00F4045F" w:rsidRPr="004676F5" w:rsidRDefault="00F4045F" w:rsidP="00F4045F">
      <w:pPr>
        <w:jc w:val="both"/>
        <w:rPr>
          <w:lang w:val="de-DE"/>
        </w:rPr>
      </w:pPr>
    </w:p>
    <w:p w14:paraId="7E5CB66F" w14:textId="55FDE7DF" w:rsidR="00F4045F" w:rsidRPr="004676F5" w:rsidRDefault="00507CA8" w:rsidP="00F4045F">
      <w:pPr>
        <w:jc w:val="both"/>
        <w:rPr>
          <w:i/>
          <w:lang w:val="de-DE"/>
        </w:rPr>
      </w:pPr>
      <w:r w:rsidRPr="004676F5">
        <w:rPr>
          <w:i/>
          <w:lang w:val="de-DE"/>
        </w:rPr>
        <w:t>[Art. VII.216/97</w:t>
      </w:r>
      <w:r w:rsidR="00F4045F" w:rsidRPr="004676F5">
        <w:rPr>
          <w:i/>
          <w:lang w:val="de-DE"/>
        </w:rPr>
        <w:t xml:space="preserve"> bis VII.216/100 eingefügt durch Art. 14</w:t>
      </w:r>
      <w:r w:rsidR="00EC446E" w:rsidRPr="004676F5">
        <w:rPr>
          <w:i/>
          <w:lang w:val="de-DE"/>
        </w:rPr>
        <w:t>6</w:t>
      </w:r>
      <w:r w:rsidR="00F4045F" w:rsidRPr="004676F5">
        <w:rPr>
          <w:i/>
          <w:lang w:val="de-DE"/>
        </w:rPr>
        <w:t xml:space="preserve"> des G. vom 15. April 2018 (B.S. vom 27. April 2018)]</w:t>
      </w:r>
    </w:p>
    <w:p w14:paraId="15FEEE8A" w14:textId="24CD804B" w:rsidR="00F4045F" w:rsidRPr="004676F5" w:rsidRDefault="00F4045F" w:rsidP="00F4045F">
      <w:pPr>
        <w:jc w:val="both"/>
        <w:rPr>
          <w:iCs/>
          <w:lang w:val="de-DE"/>
        </w:rPr>
      </w:pPr>
    </w:p>
    <w:p w14:paraId="7ABF743D" w14:textId="1DDB54CE" w:rsidR="00EC446E" w:rsidRPr="004676F5" w:rsidRDefault="00EC446E">
      <w:pPr>
        <w:rPr>
          <w:iCs/>
          <w:lang w:val="de-DE"/>
        </w:rPr>
      </w:pPr>
      <w:r w:rsidRPr="004676F5">
        <w:rPr>
          <w:iCs/>
          <w:lang w:val="de-DE"/>
        </w:rPr>
        <w:br w:type="page"/>
      </w:r>
    </w:p>
    <w:p w14:paraId="5C8632E5" w14:textId="11D6C451" w:rsidR="00EC446E" w:rsidRPr="004676F5" w:rsidRDefault="00EC446E" w:rsidP="00EC446E">
      <w:pPr>
        <w:jc w:val="center"/>
        <w:rPr>
          <w:lang w:val="de-DE"/>
        </w:rPr>
      </w:pPr>
      <w:r w:rsidRPr="004676F5">
        <w:rPr>
          <w:iCs/>
          <w:lang w:val="de-DE"/>
        </w:rPr>
        <w:lastRenderedPageBreak/>
        <w:t>[</w:t>
      </w:r>
      <w:r w:rsidRPr="004676F5">
        <w:rPr>
          <w:lang w:val="de-DE"/>
        </w:rPr>
        <w:t>KAPITEL 5 </w:t>
      </w:r>
      <w:r w:rsidR="005B7A5C" w:rsidRPr="004676F5">
        <w:rPr>
          <w:lang w:val="de-DE"/>
        </w:rPr>
        <w:t>- </w:t>
      </w:r>
      <w:r w:rsidRPr="004676F5">
        <w:rPr>
          <w:i/>
          <w:lang w:val="de-DE"/>
        </w:rPr>
        <w:t>Scheck</w:t>
      </w:r>
      <w:r w:rsidRPr="004676F5">
        <w:rPr>
          <w:lang w:val="de-DE"/>
        </w:rPr>
        <w:t>]</w:t>
      </w:r>
    </w:p>
    <w:p w14:paraId="235B52DC" w14:textId="5FB892DC" w:rsidR="00EC446E" w:rsidRPr="004676F5" w:rsidRDefault="00EC446E" w:rsidP="00EC446E">
      <w:pPr>
        <w:ind w:firstLine="708"/>
        <w:jc w:val="both"/>
        <w:rPr>
          <w:lang w:val="de-DE"/>
        </w:rPr>
      </w:pPr>
    </w:p>
    <w:p w14:paraId="491C9C7B" w14:textId="267B8413" w:rsidR="00EC446E" w:rsidRPr="004676F5" w:rsidRDefault="00EC446E" w:rsidP="00EC446E">
      <w:pPr>
        <w:jc w:val="both"/>
        <w:rPr>
          <w:i/>
          <w:iCs/>
          <w:lang w:val="de-DE"/>
        </w:rPr>
      </w:pPr>
      <w:r w:rsidRPr="004676F5">
        <w:rPr>
          <w:i/>
          <w:lang w:val="de-DE"/>
        </w:rPr>
        <w:t>[Unterteilung Kapitel 5 eingefügt durch Art. 147</w:t>
      </w:r>
      <w:r w:rsidRPr="004676F5">
        <w:rPr>
          <w:i/>
          <w:iCs/>
          <w:lang w:val="de-DE"/>
        </w:rPr>
        <w:t xml:space="preserve"> des G. vom 15. April 2018 (B.S. vom 27. April 2018)]</w:t>
      </w:r>
    </w:p>
    <w:p w14:paraId="46E6E08E" w14:textId="77777777" w:rsidR="00EC446E" w:rsidRPr="004676F5" w:rsidRDefault="00EC446E" w:rsidP="00EC446E">
      <w:pPr>
        <w:ind w:firstLine="708"/>
        <w:jc w:val="both"/>
        <w:rPr>
          <w:lang w:val="de-DE"/>
        </w:rPr>
      </w:pPr>
    </w:p>
    <w:p w14:paraId="77570EE0" w14:textId="77777777" w:rsidR="00EC446E" w:rsidRPr="004676F5" w:rsidRDefault="00EC446E" w:rsidP="00EC446E">
      <w:pPr>
        <w:ind w:firstLine="708"/>
        <w:jc w:val="both"/>
        <w:rPr>
          <w:lang w:val="de-DE"/>
        </w:rPr>
      </w:pPr>
    </w:p>
    <w:p w14:paraId="02511411" w14:textId="6E197F6D" w:rsidR="00EC446E" w:rsidRPr="004676F5" w:rsidRDefault="00EC446E" w:rsidP="00EC446E">
      <w:pPr>
        <w:jc w:val="center"/>
        <w:rPr>
          <w:iCs/>
          <w:lang w:val="de-DE"/>
        </w:rPr>
      </w:pPr>
      <w:r w:rsidRPr="004676F5">
        <w:rPr>
          <w:lang w:val="de-DE"/>
        </w:rPr>
        <w:t>[</w:t>
      </w:r>
      <w:r w:rsidRPr="004676F5">
        <w:rPr>
          <w:i/>
          <w:lang w:val="de-DE"/>
        </w:rPr>
        <w:t>Abschnitt 1</w:t>
      </w:r>
      <w:r w:rsidRPr="004676F5">
        <w:rPr>
          <w:lang w:val="de-DE"/>
        </w:rPr>
        <w:t> </w:t>
      </w:r>
      <w:r w:rsidR="005B7A5C" w:rsidRPr="004676F5">
        <w:rPr>
          <w:lang w:val="de-DE"/>
        </w:rPr>
        <w:t>- </w:t>
      </w:r>
      <w:r w:rsidRPr="004676F5">
        <w:rPr>
          <w:lang w:val="de-DE"/>
        </w:rPr>
        <w:t>Ausstellung und Form des Schecks</w:t>
      </w:r>
      <w:r w:rsidRPr="004676F5">
        <w:rPr>
          <w:iCs/>
          <w:lang w:val="de-DE"/>
        </w:rPr>
        <w:t>]</w:t>
      </w:r>
    </w:p>
    <w:p w14:paraId="2776D8C2" w14:textId="156664FE" w:rsidR="00EC446E" w:rsidRPr="004676F5" w:rsidRDefault="00EC446E" w:rsidP="00EC446E">
      <w:pPr>
        <w:jc w:val="center"/>
        <w:rPr>
          <w:iCs/>
          <w:lang w:val="de-DE"/>
        </w:rPr>
      </w:pPr>
    </w:p>
    <w:p w14:paraId="79587B5B" w14:textId="70FD2DC2" w:rsidR="00EC446E" w:rsidRPr="004676F5" w:rsidRDefault="00EC446E" w:rsidP="00EC446E">
      <w:pPr>
        <w:jc w:val="both"/>
        <w:rPr>
          <w:i/>
          <w:iCs/>
          <w:lang w:val="de-DE"/>
        </w:rPr>
      </w:pPr>
      <w:r w:rsidRPr="004676F5">
        <w:rPr>
          <w:i/>
          <w:lang w:val="de-DE"/>
        </w:rPr>
        <w:t>[Unterteilung Abschnitt 1 eingefügt durch Art. 148</w:t>
      </w:r>
      <w:r w:rsidRPr="004676F5">
        <w:rPr>
          <w:i/>
          <w:iCs/>
          <w:lang w:val="de-DE"/>
        </w:rPr>
        <w:t xml:space="preserve"> des G. vom 15. April 2018 (B.S. vom 27. April 2018)]</w:t>
      </w:r>
    </w:p>
    <w:p w14:paraId="3BD16EFB" w14:textId="6C9B5531" w:rsidR="00EC446E" w:rsidRPr="004676F5" w:rsidRDefault="00EC446E" w:rsidP="00EC446E">
      <w:pPr>
        <w:jc w:val="both"/>
        <w:rPr>
          <w:iCs/>
          <w:lang w:val="de-DE"/>
        </w:rPr>
      </w:pPr>
    </w:p>
    <w:p w14:paraId="1E2039FB" w14:textId="555D0B5A" w:rsidR="00EC446E" w:rsidRPr="004676F5" w:rsidRDefault="00EC446E" w:rsidP="00EC446E">
      <w:pPr>
        <w:jc w:val="both"/>
        <w:rPr>
          <w:iCs/>
          <w:lang w:val="de-DE"/>
        </w:rPr>
      </w:pPr>
    </w:p>
    <w:p w14:paraId="2D8F7C34" w14:textId="5242445C" w:rsidR="00EC446E" w:rsidRPr="004676F5" w:rsidRDefault="00EC446E" w:rsidP="00EC446E">
      <w:pPr>
        <w:ind w:firstLine="708"/>
        <w:jc w:val="both"/>
        <w:rPr>
          <w:lang w:val="de-DE"/>
        </w:rPr>
      </w:pPr>
      <w:r w:rsidRPr="004676F5">
        <w:rPr>
          <w:iCs/>
          <w:lang w:val="de-DE"/>
        </w:rPr>
        <w:t>[</w:t>
      </w:r>
      <w:r w:rsidRPr="004676F5">
        <w:rPr>
          <w:b/>
          <w:lang w:val="de-DE"/>
        </w:rPr>
        <w:t>Art. VII.216/101</w:t>
      </w:r>
      <w:r w:rsidRPr="004676F5">
        <w:rPr>
          <w:lang w:val="de-DE"/>
        </w:rPr>
        <w:t> </w:t>
      </w:r>
      <w:r w:rsidR="005B7A5C" w:rsidRPr="004676F5">
        <w:rPr>
          <w:lang w:val="de-DE"/>
        </w:rPr>
        <w:t>- </w:t>
      </w:r>
      <w:r w:rsidRPr="004676F5">
        <w:rPr>
          <w:lang w:val="de-DE"/>
        </w:rPr>
        <w:t>Der Scheck enthält:</w:t>
      </w:r>
    </w:p>
    <w:p w14:paraId="749C97C7" w14:textId="77777777" w:rsidR="00EC446E" w:rsidRPr="004676F5" w:rsidRDefault="00EC446E" w:rsidP="00EC446E">
      <w:pPr>
        <w:ind w:firstLine="708"/>
        <w:jc w:val="both"/>
        <w:rPr>
          <w:lang w:val="de-DE"/>
        </w:rPr>
      </w:pPr>
    </w:p>
    <w:p w14:paraId="367792AC" w14:textId="77777777" w:rsidR="00EC446E" w:rsidRPr="004676F5" w:rsidRDefault="00EC446E" w:rsidP="00EC446E">
      <w:pPr>
        <w:ind w:firstLine="708"/>
        <w:jc w:val="both"/>
        <w:rPr>
          <w:lang w:val="de-DE"/>
        </w:rPr>
      </w:pPr>
      <w:r w:rsidRPr="004676F5">
        <w:rPr>
          <w:lang w:val="de-DE"/>
        </w:rPr>
        <w:t>1. die Bezeichnung als Scheck im Text der Urkunde, und zwar in der Sprache, in der sie ausgestellt ist,</w:t>
      </w:r>
    </w:p>
    <w:p w14:paraId="2442A12F" w14:textId="77777777" w:rsidR="00EC446E" w:rsidRPr="004676F5" w:rsidRDefault="00EC446E" w:rsidP="00EC446E">
      <w:pPr>
        <w:ind w:firstLine="708"/>
        <w:jc w:val="both"/>
        <w:rPr>
          <w:lang w:val="de-DE"/>
        </w:rPr>
      </w:pPr>
    </w:p>
    <w:p w14:paraId="2B2E539B" w14:textId="77777777" w:rsidR="00EC446E" w:rsidRPr="004676F5" w:rsidRDefault="00EC446E" w:rsidP="00EC446E">
      <w:pPr>
        <w:ind w:firstLine="708"/>
        <w:jc w:val="both"/>
        <w:rPr>
          <w:lang w:val="de-DE"/>
        </w:rPr>
      </w:pPr>
      <w:r w:rsidRPr="004676F5">
        <w:rPr>
          <w:lang w:val="de-DE"/>
        </w:rPr>
        <w:t>2. die unbedingte Anweisung, eine bestimmte Geldsumme zu zahlen,</w:t>
      </w:r>
    </w:p>
    <w:p w14:paraId="2B4A1862" w14:textId="77777777" w:rsidR="00EC446E" w:rsidRPr="004676F5" w:rsidRDefault="00EC446E" w:rsidP="00EC446E">
      <w:pPr>
        <w:ind w:firstLine="708"/>
        <w:jc w:val="both"/>
        <w:rPr>
          <w:lang w:val="de-DE"/>
        </w:rPr>
      </w:pPr>
    </w:p>
    <w:p w14:paraId="54962E7C" w14:textId="77777777" w:rsidR="00EC446E" w:rsidRPr="004676F5" w:rsidRDefault="00EC446E" w:rsidP="00EC446E">
      <w:pPr>
        <w:ind w:firstLine="708"/>
        <w:jc w:val="both"/>
        <w:rPr>
          <w:lang w:val="de-DE"/>
        </w:rPr>
      </w:pPr>
      <w:r w:rsidRPr="004676F5">
        <w:rPr>
          <w:lang w:val="de-DE"/>
        </w:rPr>
        <w:t>3. den Namen dessen, der zahlen soll (Bezogener),</w:t>
      </w:r>
    </w:p>
    <w:p w14:paraId="20821E72" w14:textId="77777777" w:rsidR="00EC446E" w:rsidRPr="004676F5" w:rsidRDefault="00EC446E" w:rsidP="00EC446E">
      <w:pPr>
        <w:ind w:firstLine="708"/>
        <w:jc w:val="both"/>
        <w:rPr>
          <w:lang w:val="de-DE"/>
        </w:rPr>
      </w:pPr>
    </w:p>
    <w:p w14:paraId="3AD6B542" w14:textId="77777777" w:rsidR="00EC446E" w:rsidRPr="004676F5" w:rsidRDefault="00EC446E" w:rsidP="00EC446E">
      <w:pPr>
        <w:ind w:firstLine="708"/>
        <w:jc w:val="both"/>
        <w:rPr>
          <w:lang w:val="de-DE"/>
        </w:rPr>
      </w:pPr>
      <w:r w:rsidRPr="004676F5">
        <w:rPr>
          <w:lang w:val="de-DE"/>
        </w:rPr>
        <w:t>4. die Angabe des Zahlungsortes,</w:t>
      </w:r>
    </w:p>
    <w:p w14:paraId="59F48782" w14:textId="77777777" w:rsidR="00EC446E" w:rsidRPr="004676F5" w:rsidRDefault="00EC446E" w:rsidP="00EC446E">
      <w:pPr>
        <w:ind w:firstLine="708"/>
        <w:jc w:val="both"/>
        <w:rPr>
          <w:lang w:val="de-DE"/>
        </w:rPr>
      </w:pPr>
    </w:p>
    <w:p w14:paraId="14FF5A99" w14:textId="77777777" w:rsidR="00EC446E" w:rsidRPr="004676F5" w:rsidRDefault="00EC446E" w:rsidP="00EC446E">
      <w:pPr>
        <w:ind w:firstLine="708"/>
        <w:jc w:val="both"/>
        <w:rPr>
          <w:lang w:val="de-DE"/>
        </w:rPr>
      </w:pPr>
      <w:r w:rsidRPr="004676F5">
        <w:rPr>
          <w:lang w:val="de-DE"/>
        </w:rPr>
        <w:t>5. die Angabe des Tages und des Ortes der Ausstellung,</w:t>
      </w:r>
    </w:p>
    <w:p w14:paraId="2343674A" w14:textId="77777777" w:rsidR="00EC446E" w:rsidRPr="004676F5" w:rsidRDefault="00EC446E" w:rsidP="00EC446E">
      <w:pPr>
        <w:ind w:firstLine="708"/>
        <w:jc w:val="both"/>
        <w:rPr>
          <w:lang w:val="de-DE"/>
        </w:rPr>
      </w:pPr>
    </w:p>
    <w:p w14:paraId="6BDE5533" w14:textId="77777777" w:rsidR="00EC446E" w:rsidRPr="004676F5" w:rsidRDefault="00EC446E" w:rsidP="00EC446E">
      <w:pPr>
        <w:ind w:firstLine="708"/>
        <w:jc w:val="both"/>
        <w:rPr>
          <w:lang w:val="de-DE"/>
        </w:rPr>
      </w:pPr>
      <w:r w:rsidRPr="004676F5">
        <w:rPr>
          <w:lang w:val="de-DE"/>
        </w:rPr>
        <w:t>6. die Unterschrift des Ausstellers. Die Unterschrift kann durch ein notarielles Brevet ersetzt werden, das auf den Scheck gesetzt wird und durch das der Wille dessen, der die Unterschrift leisten sollte, beglaubigt wird.</w:t>
      </w:r>
    </w:p>
    <w:p w14:paraId="4B778521" w14:textId="789D2022" w:rsidR="00EC446E" w:rsidRPr="004676F5" w:rsidRDefault="00EC446E" w:rsidP="00EC446E">
      <w:pPr>
        <w:ind w:firstLine="708"/>
        <w:jc w:val="both"/>
        <w:rPr>
          <w:lang w:val="de-DE"/>
        </w:rPr>
      </w:pPr>
    </w:p>
    <w:p w14:paraId="3EE6A586" w14:textId="77777777" w:rsidR="00EC446E" w:rsidRPr="004676F5" w:rsidRDefault="00EC446E" w:rsidP="00EC446E">
      <w:pPr>
        <w:ind w:firstLine="708"/>
        <w:jc w:val="both"/>
        <w:rPr>
          <w:lang w:val="de-DE"/>
        </w:rPr>
      </w:pPr>
    </w:p>
    <w:p w14:paraId="433B29B7" w14:textId="293C73F7" w:rsidR="00EC446E" w:rsidRPr="004676F5" w:rsidRDefault="00EC446E" w:rsidP="00EC446E">
      <w:pPr>
        <w:ind w:firstLine="708"/>
        <w:jc w:val="both"/>
        <w:rPr>
          <w:lang w:val="de-DE"/>
        </w:rPr>
      </w:pPr>
      <w:r w:rsidRPr="004676F5">
        <w:rPr>
          <w:b/>
          <w:lang w:val="de-DE"/>
        </w:rPr>
        <w:t>Art. VII.216/102</w:t>
      </w:r>
      <w:r w:rsidRPr="004676F5">
        <w:rPr>
          <w:lang w:val="de-DE"/>
        </w:rPr>
        <w:t> </w:t>
      </w:r>
      <w:r w:rsidR="005B7A5C" w:rsidRPr="004676F5">
        <w:rPr>
          <w:lang w:val="de-DE"/>
        </w:rPr>
        <w:t>- </w:t>
      </w:r>
      <w:r w:rsidRPr="004676F5">
        <w:rPr>
          <w:lang w:val="de-DE"/>
        </w:rPr>
        <w:t>Eine Urkunde, der einer der im vorstehenden Artikel bezeichneten Bestandteile fehlt, gilt nicht als Scheck, vorbehaltlich der in den Absätzen 2 bis 5 bezeichneten Fälle.</w:t>
      </w:r>
    </w:p>
    <w:p w14:paraId="4FBC2C71" w14:textId="77777777" w:rsidR="00EC446E" w:rsidRPr="004676F5" w:rsidRDefault="00EC446E" w:rsidP="00EC446E">
      <w:pPr>
        <w:ind w:firstLine="708"/>
        <w:jc w:val="both"/>
        <w:rPr>
          <w:lang w:val="de-DE"/>
        </w:rPr>
      </w:pPr>
    </w:p>
    <w:p w14:paraId="0101D886" w14:textId="77777777" w:rsidR="00EC446E" w:rsidRPr="004676F5" w:rsidRDefault="00EC446E" w:rsidP="00EC446E">
      <w:pPr>
        <w:ind w:firstLine="708"/>
        <w:jc w:val="both"/>
        <w:rPr>
          <w:lang w:val="de-DE"/>
        </w:rPr>
      </w:pPr>
      <w:r w:rsidRPr="004676F5">
        <w:rPr>
          <w:lang w:val="de-DE"/>
        </w:rPr>
        <w:t>Mangels einer besonderen Angabe gilt der bei dem Namen des Bezogenen angegebene Ort als Zahlungsort.</w:t>
      </w:r>
    </w:p>
    <w:p w14:paraId="3EDC4E9E" w14:textId="77777777" w:rsidR="00EC446E" w:rsidRPr="004676F5" w:rsidRDefault="00EC446E" w:rsidP="00EC446E">
      <w:pPr>
        <w:ind w:firstLine="708"/>
        <w:jc w:val="both"/>
        <w:rPr>
          <w:lang w:val="de-DE"/>
        </w:rPr>
      </w:pPr>
    </w:p>
    <w:p w14:paraId="24C0D73F" w14:textId="77777777" w:rsidR="00EC446E" w:rsidRPr="004676F5" w:rsidRDefault="00EC446E" w:rsidP="00EC446E">
      <w:pPr>
        <w:ind w:firstLine="708"/>
        <w:jc w:val="both"/>
        <w:rPr>
          <w:lang w:val="de-DE"/>
        </w:rPr>
      </w:pPr>
      <w:r w:rsidRPr="004676F5">
        <w:rPr>
          <w:lang w:val="de-DE"/>
        </w:rPr>
        <w:t>Sind mehrere Orte bei dem Namen des Bezogenen angegeben, so ist der Scheck an dem an erster Stelle angegebenen Ort zahlbar.</w:t>
      </w:r>
    </w:p>
    <w:p w14:paraId="150E54A5" w14:textId="77777777" w:rsidR="00EC446E" w:rsidRPr="004676F5" w:rsidRDefault="00EC446E" w:rsidP="00EC446E">
      <w:pPr>
        <w:ind w:firstLine="708"/>
        <w:jc w:val="both"/>
        <w:rPr>
          <w:lang w:val="de-DE"/>
        </w:rPr>
      </w:pPr>
    </w:p>
    <w:p w14:paraId="61D1FFBA" w14:textId="77777777" w:rsidR="00EC446E" w:rsidRPr="004676F5" w:rsidRDefault="00EC446E" w:rsidP="00EC446E">
      <w:pPr>
        <w:ind w:firstLine="708"/>
        <w:jc w:val="both"/>
        <w:rPr>
          <w:lang w:val="de-DE"/>
        </w:rPr>
      </w:pPr>
      <w:r w:rsidRPr="004676F5">
        <w:rPr>
          <w:lang w:val="de-DE"/>
        </w:rPr>
        <w:t>Fehlt eine solche und jede andere Angabe, so ist der Scheck an dem Ort zahlbar, an dem der Bezogene seine Hauptniederlassung hat.</w:t>
      </w:r>
    </w:p>
    <w:p w14:paraId="504C6ED7" w14:textId="77777777" w:rsidR="00EC446E" w:rsidRPr="004676F5" w:rsidRDefault="00EC446E" w:rsidP="00EC446E">
      <w:pPr>
        <w:ind w:firstLine="708"/>
        <w:jc w:val="both"/>
        <w:rPr>
          <w:lang w:val="de-DE"/>
        </w:rPr>
      </w:pPr>
    </w:p>
    <w:p w14:paraId="1F451A01" w14:textId="77777777" w:rsidR="00EC446E" w:rsidRPr="004676F5" w:rsidRDefault="00EC446E" w:rsidP="00EC446E">
      <w:pPr>
        <w:ind w:firstLine="708"/>
        <w:jc w:val="both"/>
        <w:rPr>
          <w:lang w:val="de-DE"/>
        </w:rPr>
      </w:pPr>
      <w:r w:rsidRPr="004676F5">
        <w:rPr>
          <w:lang w:val="de-DE"/>
        </w:rPr>
        <w:t>Ein Scheck ohne Angabe des Ausstellungsortes gilt als ausgestellt an dem Ort, der bei dem Namen des Ausstellers angegeben ist.</w:t>
      </w:r>
    </w:p>
    <w:p w14:paraId="3903616B" w14:textId="3168D22F" w:rsidR="00EC446E" w:rsidRPr="004676F5" w:rsidRDefault="00EC446E" w:rsidP="00EC446E">
      <w:pPr>
        <w:ind w:firstLine="708"/>
        <w:jc w:val="both"/>
        <w:rPr>
          <w:lang w:val="de-DE"/>
        </w:rPr>
      </w:pPr>
    </w:p>
    <w:p w14:paraId="1D541A03" w14:textId="77777777" w:rsidR="00EC446E" w:rsidRPr="004676F5" w:rsidRDefault="00EC446E" w:rsidP="00EC446E">
      <w:pPr>
        <w:ind w:firstLine="708"/>
        <w:jc w:val="both"/>
        <w:rPr>
          <w:lang w:val="de-DE"/>
        </w:rPr>
      </w:pPr>
    </w:p>
    <w:p w14:paraId="51BD2388" w14:textId="30B62EDC" w:rsidR="00EC446E" w:rsidRPr="004676F5" w:rsidRDefault="00EC446E" w:rsidP="00EC446E">
      <w:pPr>
        <w:ind w:firstLine="708"/>
        <w:jc w:val="both"/>
        <w:rPr>
          <w:lang w:val="de-DE"/>
        </w:rPr>
      </w:pPr>
      <w:r w:rsidRPr="004676F5">
        <w:rPr>
          <w:b/>
          <w:lang w:val="de-DE"/>
        </w:rPr>
        <w:t>Art. VII.216/103</w:t>
      </w:r>
      <w:r w:rsidRPr="004676F5">
        <w:rPr>
          <w:lang w:val="de-DE"/>
        </w:rPr>
        <w:t> </w:t>
      </w:r>
      <w:r w:rsidR="005B7A5C" w:rsidRPr="004676F5">
        <w:rPr>
          <w:lang w:val="de-DE"/>
        </w:rPr>
        <w:t>- </w:t>
      </w:r>
      <w:r w:rsidRPr="004676F5">
        <w:rPr>
          <w:lang w:val="de-DE"/>
        </w:rPr>
        <w:t>Der Scheck darf nur auf einen Bankier gezogen werden, bei dem der Aussteller während der gesamten Vorlegungsfrist ein Guthaben hat und gemäß einer ausdrücklichen oder stillschweigenden Vereinbarung, wonach der Aussteller das Recht hat, über dieses Guthaben mittels Schecks zu verfügen.</w:t>
      </w:r>
    </w:p>
    <w:p w14:paraId="6008F431" w14:textId="77777777" w:rsidR="00EC446E" w:rsidRPr="004676F5" w:rsidRDefault="00EC446E" w:rsidP="00EC446E">
      <w:pPr>
        <w:ind w:firstLine="708"/>
        <w:jc w:val="both"/>
        <w:rPr>
          <w:lang w:val="de-DE"/>
        </w:rPr>
      </w:pPr>
    </w:p>
    <w:p w14:paraId="528CE932" w14:textId="77777777" w:rsidR="00EC446E" w:rsidRPr="004676F5" w:rsidRDefault="00EC446E" w:rsidP="00EC446E">
      <w:pPr>
        <w:ind w:firstLine="708"/>
        <w:jc w:val="both"/>
        <w:rPr>
          <w:lang w:val="de-DE"/>
        </w:rPr>
      </w:pPr>
      <w:r w:rsidRPr="004676F5">
        <w:rPr>
          <w:lang w:val="de-DE"/>
        </w:rPr>
        <w:lastRenderedPageBreak/>
        <w:t>Die Gültigkeit der Urkunde als Scheck wird jedoch durch die Nichtbeachtung dieser Vorschriften, abgesehen von der Vorschrift auf einen Bankier gezogen zu sein, nicht berührt.</w:t>
      </w:r>
    </w:p>
    <w:p w14:paraId="02DB0480" w14:textId="3E769CC3" w:rsidR="00EC446E" w:rsidRPr="004676F5" w:rsidRDefault="00EC446E" w:rsidP="00EC446E">
      <w:pPr>
        <w:ind w:firstLine="708"/>
        <w:jc w:val="both"/>
        <w:rPr>
          <w:lang w:val="de-DE"/>
        </w:rPr>
      </w:pPr>
    </w:p>
    <w:p w14:paraId="6768BD1A" w14:textId="77777777" w:rsidR="00EC446E" w:rsidRPr="004676F5" w:rsidRDefault="00EC446E" w:rsidP="00EC446E">
      <w:pPr>
        <w:ind w:firstLine="708"/>
        <w:jc w:val="both"/>
        <w:rPr>
          <w:lang w:val="de-DE"/>
        </w:rPr>
      </w:pPr>
    </w:p>
    <w:p w14:paraId="2748541B" w14:textId="576DC5AD" w:rsidR="00EC446E" w:rsidRPr="004676F5" w:rsidRDefault="00EC446E" w:rsidP="00EC446E">
      <w:pPr>
        <w:ind w:firstLine="708"/>
        <w:jc w:val="both"/>
        <w:rPr>
          <w:lang w:val="de-DE"/>
        </w:rPr>
      </w:pPr>
      <w:r w:rsidRPr="004676F5">
        <w:rPr>
          <w:b/>
          <w:lang w:val="de-DE"/>
        </w:rPr>
        <w:t>Art. VII.216/104</w:t>
      </w:r>
      <w:r w:rsidRPr="004676F5">
        <w:rPr>
          <w:lang w:val="de-DE"/>
        </w:rPr>
        <w:t> </w:t>
      </w:r>
      <w:r w:rsidR="005B7A5C" w:rsidRPr="004676F5">
        <w:rPr>
          <w:lang w:val="de-DE"/>
        </w:rPr>
        <w:t>- </w:t>
      </w:r>
      <w:r w:rsidRPr="004676F5">
        <w:rPr>
          <w:lang w:val="de-DE"/>
        </w:rPr>
        <w:t>Der Scheck kann nicht angenommen werden. Ein auf den Scheck gesetzter Annahmevermerk gilt als nicht geschrieben.</w:t>
      </w:r>
    </w:p>
    <w:p w14:paraId="1CCF4CBB" w14:textId="77777777" w:rsidR="00EC446E" w:rsidRPr="004676F5" w:rsidRDefault="00EC446E" w:rsidP="00EC446E">
      <w:pPr>
        <w:ind w:firstLine="708"/>
        <w:jc w:val="both"/>
        <w:rPr>
          <w:lang w:val="de-DE"/>
        </w:rPr>
      </w:pPr>
    </w:p>
    <w:p w14:paraId="57BF5FE6" w14:textId="77777777" w:rsidR="00EC446E" w:rsidRPr="004676F5" w:rsidRDefault="00EC446E" w:rsidP="00EC446E">
      <w:pPr>
        <w:ind w:firstLine="708"/>
        <w:jc w:val="both"/>
        <w:rPr>
          <w:lang w:val="de-DE"/>
        </w:rPr>
      </w:pPr>
      <w:r w:rsidRPr="004676F5">
        <w:rPr>
          <w:lang w:val="de-DE"/>
        </w:rPr>
        <w:t>Der Aussteller hat jedoch das Recht, den Scheck vom Bezogenen zertifizieren oder abzeichnen zu lassen.</w:t>
      </w:r>
    </w:p>
    <w:p w14:paraId="63CEDCB5" w14:textId="77777777" w:rsidR="00EC446E" w:rsidRPr="004676F5" w:rsidRDefault="00EC446E" w:rsidP="00EC446E">
      <w:pPr>
        <w:ind w:firstLine="708"/>
        <w:jc w:val="both"/>
        <w:rPr>
          <w:lang w:val="de-DE"/>
        </w:rPr>
      </w:pPr>
    </w:p>
    <w:p w14:paraId="11F60A03" w14:textId="77777777" w:rsidR="00EC446E" w:rsidRPr="004676F5" w:rsidRDefault="00EC446E" w:rsidP="00EC446E">
      <w:pPr>
        <w:ind w:firstLine="708"/>
        <w:jc w:val="both"/>
        <w:rPr>
          <w:lang w:val="de-DE"/>
        </w:rPr>
      </w:pPr>
      <w:r w:rsidRPr="004676F5">
        <w:rPr>
          <w:lang w:val="de-DE"/>
        </w:rPr>
        <w:t>Der Sichtvermerk hat lediglich die Wirkung, dass das Bestehen der Deckung zum Zeitpunkt des Sichtvermerks festgestellt wird.</w:t>
      </w:r>
    </w:p>
    <w:p w14:paraId="26EACB0A" w14:textId="77777777" w:rsidR="00EC446E" w:rsidRPr="004676F5" w:rsidRDefault="00EC446E" w:rsidP="00EC446E">
      <w:pPr>
        <w:ind w:firstLine="708"/>
        <w:jc w:val="both"/>
        <w:rPr>
          <w:lang w:val="de-DE"/>
        </w:rPr>
      </w:pPr>
    </w:p>
    <w:p w14:paraId="187C1015" w14:textId="77777777" w:rsidR="00EC446E" w:rsidRPr="004676F5" w:rsidRDefault="00EC446E" w:rsidP="00EC446E">
      <w:pPr>
        <w:ind w:firstLine="708"/>
        <w:jc w:val="both"/>
        <w:rPr>
          <w:lang w:val="de-DE"/>
        </w:rPr>
      </w:pPr>
      <w:r w:rsidRPr="004676F5">
        <w:rPr>
          <w:lang w:val="de-DE"/>
        </w:rPr>
        <w:t>Die Zertifizierung bewirkt, dass die Deckung zugunsten des Inhabers unter der Verantwortung des Bezogenen bis zum Ende der Vorlegungsfrist gesperrt wird.</w:t>
      </w:r>
    </w:p>
    <w:p w14:paraId="6A81BA1C" w14:textId="77777777" w:rsidR="00EC446E" w:rsidRPr="004676F5" w:rsidRDefault="00EC446E" w:rsidP="00EC446E">
      <w:pPr>
        <w:ind w:firstLine="708"/>
        <w:jc w:val="both"/>
        <w:rPr>
          <w:lang w:val="de-DE"/>
        </w:rPr>
      </w:pPr>
    </w:p>
    <w:p w14:paraId="0DCDC520" w14:textId="77777777" w:rsidR="00EC446E" w:rsidRPr="004676F5" w:rsidRDefault="00EC446E" w:rsidP="00EC446E">
      <w:pPr>
        <w:ind w:firstLine="708"/>
        <w:jc w:val="both"/>
        <w:rPr>
          <w:lang w:val="de-DE"/>
        </w:rPr>
      </w:pPr>
      <w:r w:rsidRPr="004676F5">
        <w:rPr>
          <w:lang w:val="de-DE"/>
        </w:rPr>
        <w:t>Sichtvermerk oder Zertifizierung werden verweigert, wenn unter Berücksichtigung früher erteilter Sichtvermerke und Zertifizierungen die Deckung unzureichend ist.</w:t>
      </w:r>
    </w:p>
    <w:p w14:paraId="2A102741" w14:textId="382B8D99" w:rsidR="00EC446E" w:rsidRPr="004676F5" w:rsidRDefault="00EC446E" w:rsidP="00EC446E">
      <w:pPr>
        <w:ind w:firstLine="708"/>
        <w:jc w:val="both"/>
        <w:rPr>
          <w:lang w:val="de-DE"/>
        </w:rPr>
      </w:pPr>
    </w:p>
    <w:p w14:paraId="79E409C9" w14:textId="77777777" w:rsidR="00EC446E" w:rsidRPr="004676F5" w:rsidRDefault="00EC446E" w:rsidP="00EC446E">
      <w:pPr>
        <w:ind w:firstLine="708"/>
        <w:jc w:val="both"/>
        <w:rPr>
          <w:lang w:val="de-DE"/>
        </w:rPr>
      </w:pPr>
    </w:p>
    <w:p w14:paraId="48BEBF28" w14:textId="66A61110" w:rsidR="00EC446E" w:rsidRPr="004676F5" w:rsidRDefault="00EC446E" w:rsidP="00EC446E">
      <w:pPr>
        <w:ind w:firstLine="708"/>
        <w:jc w:val="both"/>
        <w:rPr>
          <w:lang w:val="de-DE"/>
        </w:rPr>
      </w:pPr>
      <w:r w:rsidRPr="004676F5">
        <w:rPr>
          <w:b/>
          <w:lang w:val="de-DE"/>
        </w:rPr>
        <w:t>Art. VII.216/105</w:t>
      </w:r>
      <w:r w:rsidRPr="004676F5">
        <w:rPr>
          <w:lang w:val="de-DE"/>
        </w:rPr>
        <w:t> </w:t>
      </w:r>
      <w:r w:rsidR="005B7A5C" w:rsidRPr="004676F5">
        <w:rPr>
          <w:lang w:val="de-DE"/>
        </w:rPr>
        <w:t>- </w:t>
      </w:r>
      <w:r w:rsidRPr="004676F5">
        <w:rPr>
          <w:lang w:val="de-DE"/>
        </w:rPr>
        <w:t>Der Scheck kann zahlbar gestellt werden:</w:t>
      </w:r>
    </w:p>
    <w:p w14:paraId="58B83380" w14:textId="77777777" w:rsidR="00EC446E" w:rsidRPr="004676F5" w:rsidRDefault="00EC446E" w:rsidP="00EC446E">
      <w:pPr>
        <w:ind w:firstLine="708"/>
        <w:jc w:val="both"/>
        <w:rPr>
          <w:lang w:val="de-DE"/>
        </w:rPr>
      </w:pPr>
    </w:p>
    <w:p w14:paraId="2D9CAAC4" w14:textId="77777777" w:rsidR="00EC446E" w:rsidRPr="004676F5" w:rsidRDefault="00EC446E" w:rsidP="00EC446E">
      <w:pPr>
        <w:ind w:firstLine="708"/>
        <w:jc w:val="both"/>
        <w:rPr>
          <w:lang w:val="de-DE"/>
        </w:rPr>
      </w:pPr>
      <w:r w:rsidRPr="004676F5">
        <w:rPr>
          <w:lang w:val="de-DE"/>
        </w:rPr>
        <w:t>1. an eine bestimmte Person, mit oder ohne den ausdrücklichen Vermerk "an Order",</w:t>
      </w:r>
    </w:p>
    <w:p w14:paraId="6E4FDEF1" w14:textId="77777777" w:rsidR="00EC446E" w:rsidRPr="004676F5" w:rsidRDefault="00EC446E" w:rsidP="00EC446E">
      <w:pPr>
        <w:ind w:firstLine="708"/>
        <w:jc w:val="both"/>
        <w:rPr>
          <w:lang w:val="de-DE"/>
        </w:rPr>
      </w:pPr>
    </w:p>
    <w:p w14:paraId="0928B72B" w14:textId="77777777" w:rsidR="00EC446E" w:rsidRPr="004676F5" w:rsidRDefault="00EC446E" w:rsidP="00EC446E">
      <w:pPr>
        <w:ind w:firstLine="708"/>
        <w:jc w:val="both"/>
        <w:rPr>
          <w:lang w:val="de-DE"/>
        </w:rPr>
      </w:pPr>
      <w:r w:rsidRPr="004676F5">
        <w:rPr>
          <w:lang w:val="de-DE"/>
        </w:rPr>
        <w:t>2. an eine bestimmte Person, mit dem Vermerk "nicht an Order" oder mit einem gleichbedeutenden Vermerk,</w:t>
      </w:r>
    </w:p>
    <w:p w14:paraId="7A07AA95" w14:textId="77777777" w:rsidR="00EC446E" w:rsidRPr="004676F5" w:rsidRDefault="00EC446E" w:rsidP="00EC446E">
      <w:pPr>
        <w:ind w:firstLine="708"/>
        <w:jc w:val="both"/>
        <w:rPr>
          <w:lang w:val="de-DE"/>
        </w:rPr>
      </w:pPr>
    </w:p>
    <w:p w14:paraId="13281EA7" w14:textId="77777777" w:rsidR="00EC446E" w:rsidRPr="004676F5" w:rsidRDefault="00EC446E" w:rsidP="00EC446E">
      <w:pPr>
        <w:ind w:firstLine="708"/>
        <w:jc w:val="both"/>
        <w:rPr>
          <w:lang w:val="de-DE"/>
        </w:rPr>
      </w:pPr>
      <w:r w:rsidRPr="004676F5">
        <w:rPr>
          <w:lang w:val="de-DE"/>
        </w:rPr>
        <w:t>3. an den Inhaber.</w:t>
      </w:r>
    </w:p>
    <w:p w14:paraId="052C9E59" w14:textId="77777777" w:rsidR="00EC446E" w:rsidRPr="004676F5" w:rsidRDefault="00EC446E" w:rsidP="00EC446E">
      <w:pPr>
        <w:ind w:firstLine="708"/>
        <w:jc w:val="both"/>
        <w:rPr>
          <w:lang w:val="de-DE"/>
        </w:rPr>
      </w:pPr>
    </w:p>
    <w:p w14:paraId="1BC38038" w14:textId="77777777" w:rsidR="00EC446E" w:rsidRPr="004676F5" w:rsidRDefault="00EC446E" w:rsidP="00EC446E">
      <w:pPr>
        <w:ind w:firstLine="708"/>
        <w:jc w:val="both"/>
        <w:rPr>
          <w:lang w:val="de-DE"/>
        </w:rPr>
      </w:pPr>
      <w:r w:rsidRPr="004676F5">
        <w:rPr>
          <w:lang w:val="de-DE"/>
        </w:rPr>
        <w:t>Ist im Scheck eine bestimmte Person mit dem Zusatz "oder Überbringer" oder mit einem gleichbedeutenden Vermerk als Zahlungsempfänger bezeichnet, so gilt der Scheck als auf den Inhaber gestellt.</w:t>
      </w:r>
    </w:p>
    <w:p w14:paraId="361AAD8D" w14:textId="77777777" w:rsidR="00EC446E" w:rsidRPr="004676F5" w:rsidRDefault="00EC446E" w:rsidP="00EC446E">
      <w:pPr>
        <w:ind w:firstLine="708"/>
        <w:jc w:val="both"/>
        <w:rPr>
          <w:lang w:val="de-DE"/>
        </w:rPr>
      </w:pPr>
    </w:p>
    <w:p w14:paraId="3880BF75" w14:textId="77777777" w:rsidR="00EC446E" w:rsidRPr="004676F5" w:rsidRDefault="00EC446E" w:rsidP="00EC446E">
      <w:pPr>
        <w:ind w:firstLine="708"/>
        <w:jc w:val="both"/>
        <w:rPr>
          <w:lang w:val="de-DE"/>
        </w:rPr>
      </w:pPr>
      <w:r w:rsidRPr="004676F5">
        <w:rPr>
          <w:lang w:val="de-DE"/>
        </w:rPr>
        <w:t>Ein Scheck ohne Angabe des Nehmers gilt als zahlbar an den Inhaber.</w:t>
      </w:r>
    </w:p>
    <w:p w14:paraId="3E3DBF0D" w14:textId="3C5850BE" w:rsidR="00EC446E" w:rsidRPr="004676F5" w:rsidRDefault="00EC446E" w:rsidP="00EC446E">
      <w:pPr>
        <w:ind w:firstLine="708"/>
        <w:jc w:val="both"/>
        <w:rPr>
          <w:lang w:val="de-DE"/>
        </w:rPr>
      </w:pPr>
    </w:p>
    <w:p w14:paraId="231E5215" w14:textId="77777777" w:rsidR="00EC446E" w:rsidRPr="004676F5" w:rsidRDefault="00EC446E" w:rsidP="00EC446E">
      <w:pPr>
        <w:ind w:firstLine="708"/>
        <w:jc w:val="both"/>
        <w:rPr>
          <w:lang w:val="de-DE"/>
        </w:rPr>
      </w:pPr>
    </w:p>
    <w:p w14:paraId="61D71D81" w14:textId="15982D3B" w:rsidR="00EC446E" w:rsidRPr="004676F5" w:rsidRDefault="00EC446E" w:rsidP="00EC446E">
      <w:pPr>
        <w:ind w:firstLine="708"/>
        <w:jc w:val="both"/>
        <w:rPr>
          <w:lang w:val="de-DE"/>
        </w:rPr>
      </w:pPr>
      <w:r w:rsidRPr="004676F5">
        <w:rPr>
          <w:b/>
          <w:lang w:val="de-DE"/>
        </w:rPr>
        <w:t>Art. VII.216/106</w:t>
      </w:r>
      <w:r w:rsidRPr="004676F5">
        <w:rPr>
          <w:lang w:val="de-DE"/>
        </w:rPr>
        <w:t> </w:t>
      </w:r>
      <w:r w:rsidR="005B7A5C" w:rsidRPr="004676F5">
        <w:rPr>
          <w:lang w:val="de-DE"/>
        </w:rPr>
        <w:t>- </w:t>
      </w:r>
      <w:r w:rsidRPr="004676F5">
        <w:rPr>
          <w:lang w:val="de-DE"/>
        </w:rPr>
        <w:t>Der Scheck kann an die eigene Order des Ausstellers lauten.</w:t>
      </w:r>
    </w:p>
    <w:p w14:paraId="1493B828" w14:textId="77777777" w:rsidR="00EC446E" w:rsidRPr="004676F5" w:rsidRDefault="00EC446E" w:rsidP="00EC446E">
      <w:pPr>
        <w:ind w:firstLine="708"/>
        <w:jc w:val="both"/>
        <w:rPr>
          <w:lang w:val="de-DE"/>
        </w:rPr>
      </w:pPr>
    </w:p>
    <w:p w14:paraId="020C854A" w14:textId="77777777" w:rsidR="00EC446E" w:rsidRPr="004676F5" w:rsidRDefault="00EC446E" w:rsidP="00EC446E">
      <w:pPr>
        <w:ind w:firstLine="708"/>
        <w:jc w:val="both"/>
        <w:rPr>
          <w:lang w:val="de-DE"/>
        </w:rPr>
      </w:pPr>
      <w:r w:rsidRPr="004676F5">
        <w:rPr>
          <w:lang w:val="de-DE"/>
        </w:rPr>
        <w:t>Der Scheck kann für Rechnung eines Dritten gezogen werden.</w:t>
      </w:r>
    </w:p>
    <w:p w14:paraId="3562288C" w14:textId="77777777" w:rsidR="00EC446E" w:rsidRPr="004676F5" w:rsidRDefault="00EC446E" w:rsidP="00EC446E">
      <w:pPr>
        <w:ind w:firstLine="708"/>
        <w:jc w:val="both"/>
        <w:rPr>
          <w:lang w:val="de-DE"/>
        </w:rPr>
      </w:pPr>
    </w:p>
    <w:p w14:paraId="11BA5356" w14:textId="77777777" w:rsidR="00EC446E" w:rsidRPr="004676F5" w:rsidRDefault="00EC446E" w:rsidP="00EC446E">
      <w:pPr>
        <w:ind w:firstLine="708"/>
        <w:jc w:val="both"/>
        <w:rPr>
          <w:lang w:val="de-DE"/>
        </w:rPr>
      </w:pPr>
      <w:r w:rsidRPr="004676F5">
        <w:rPr>
          <w:lang w:val="de-DE"/>
        </w:rPr>
        <w:t>Der Scheck kann auf den Aussteller selbst gezogen werden, Inhaberschecks ausgenommen.</w:t>
      </w:r>
    </w:p>
    <w:p w14:paraId="341BD7DE" w14:textId="5D3FA6ED" w:rsidR="00EC446E" w:rsidRPr="004676F5" w:rsidRDefault="00EC446E" w:rsidP="00EC446E">
      <w:pPr>
        <w:ind w:firstLine="708"/>
        <w:jc w:val="both"/>
        <w:rPr>
          <w:lang w:val="de-DE"/>
        </w:rPr>
      </w:pPr>
    </w:p>
    <w:p w14:paraId="6DF3ADE2" w14:textId="77777777" w:rsidR="00EC446E" w:rsidRPr="004676F5" w:rsidRDefault="00EC446E" w:rsidP="00EC446E">
      <w:pPr>
        <w:ind w:firstLine="708"/>
        <w:jc w:val="both"/>
        <w:rPr>
          <w:lang w:val="de-DE"/>
        </w:rPr>
      </w:pPr>
    </w:p>
    <w:p w14:paraId="2B354062" w14:textId="05A90E05" w:rsidR="00EC446E" w:rsidRPr="004676F5" w:rsidRDefault="00EC446E" w:rsidP="00EC446E">
      <w:pPr>
        <w:ind w:firstLine="708"/>
        <w:jc w:val="both"/>
        <w:rPr>
          <w:lang w:val="de-DE"/>
        </w:rPr>
      </w:pPr>
      <w:r w:rsidRPr="004676F5">
        <w:rPr>
          <w:b/>
          <w:lang w:val="de-DE"/>
        </w:rPr>
        <w:t>Art. VII.216/107</w:t>
      </w:r>
      <w:r w:rsidRPr="004676F5">
        <w:rPr>
          <w:lang w:val="de-DE"/>
        </w:rPr>
        <w:t> </w:t>
      </w:r>
      <w:r w:rsidR="005B7A5C" w:rsidRPr="004676F5">
        <w:rPr>
          <w:lang w:val="de-DE"/>
        </w:rPr>
        <w:t>- </w:t>
      </w:r>
      <w:r w:rsidRPr="004676F5">
        <w:rPr>
          <w:lang w:val="de-DE"/>
        </w:rPr>
        <w:t>Ein in den Scheck aufgenommener Zinsvermerk gilt als nicht geschrieben.</w:t>
      </w:r>
    </w:p>
    <w:p w14:paraId="34F3B62F" w14:textId="26D33C90" w:rsidR="00EC446E" w:rsidRPr="004676F5" w:rsidRDefault="00EC446E" w:rsidP="00EC446E">
      <w:pPr>
        <w:ind w:firstLine="708"/>
        <w:jc w:val="both"/>
        <w:rPr>
          <w:lang w:val="de-DE"/>
        </w:rPr>
      </w:pPr>
    </w:p>
    <w:p w14:paraId="10C71D3B" w14:textId="77777777" w:rsidR="00EC446E" w:rsidRPr="004676F5" w:rsidRDefault="00EC446E" w:rsidP="00EC446E">
      <w:pPr>
        <w:ind w:firstLine="708"/>
        <w:jc w:val="both"/>
        <w:rPr>
          <w:lang w:val="de-DE"/>
        </w:rPr>
      </w:pPr>
    </w:p>
    <w:p w14:paraId="04A106F7" w14:textId="1EBA8F77" w:rsidR="00EC446E" w:rsidRPr="004676F5" w:rsidRDefault="00EC446E" w:rsidP="00EC446E">
      <w:pPr>
        <w:ind w:firstLine="708"/>
        <w:jc w:val="both"/>
        <w:rPr>
          <w:lang w:val="de-DE"/>
        </w:rPr>
      </w:pPr>
      <w:r w:rsidRPr="004676F5">
        <w:rPr>
          <w:b/>
          <w:lang w:val="de-DE"/>
        </w:rPr>
        <w:t>Art. VII.216/108</w:t>
      </w:r>
      <w:r w:rsidRPr="004676F5">
        <w:rPr>
          <w:lang w:val="de-DE"/>
        </w:rPr>
        <w:t> </w:t>
      </w:r>
      <w:r w:rsidR="005B7A5C" w:rsidRPr="004676F5">
        <w:rPr>
          <w:lang w:val="de-DE"/>
        </w:rPr>
        <w:t>- </w:t>
      </w:r>
      <w:r w:rsidRPr="004676F5">
        <w:rPr>
          <w:lang w:val="de-DE"/>
        </w:rPr>
        <w:t>Der Scheck kann bei einem Dritten, am Wohnsitz des Bezogenen oder an einem anderen Ort zahlbar gestellt werden, sofern der Dritte Bankier ist.</w:t>
      </w:r>
    </w:p>
    <w:p w14:paraId="3094D5B3" w14:textId="77777777" w:rsidR="00EC446E" w:rsidRPr="004676F5" w:rsidRDefault="00EC446E" w:rsidP="00EC446E">
      <w:pPr>
        <w:ind w:firstLine="708"/>
        <w:jc w:val="both"/>
        <w:rPr>
          <w:lang w:val="de-DE"/>
        </w:rPr>
      </w:pPr>
    </w:p>
    <w:p w14:paraId="781D56B2" w14:textId="77777777" w:rsidR="00EC446E" w:rsidRPr="004676F5" w:rsidRDefault="00EC446E" w:rsidP="00EC446E">
      <w:pPr>
        <w:ind w:firstLine="708"/>
        <w:jc w:val="both"/>
        <w:rPr>
          <w:lang w:val="de-DE"/>
        </w:rPr>
      </w:pPr>
    </w:p>
    <w:p w14:paraId="7D3BBD40" w14:textId="77777777" w:rsidR="00EC446E" w:rsidRPr="004676F5" w:rsidRDefault="00EC446E" w:rsidP="00EC446E">
      <w:pPr>
        <w:ind w:firstLine="708"/>
        <w:jc w:val="both"/>
        <w:rPr>
          <w:lang w:val="de-DE"/>
        </w:rPr>
      </w:pPr>
    </w:p>
    <w:p w14:paraId="58D6EEB2" w14:textId="0F7BC6E1" w:rsidR="00EC446E" w:rsidRPr="004676F5" w:rsidRDefault="00EC446E" w:rsidP="00EC446E">
      <w:pPr>
        <w:ind w:firstLine="708"/>
        <w:jc w:val="both"/>
        <w:rPr>
          <w:lang w:val="de-DE"/>
        </w:rPr>
      </w:pPr>
      <w:r w:rsidRPr="004676F5">
        <w:rPr>
          <w:b/>
          <w:lang w:val="de-DE"/>
        </w:rPr>
        <w:t>Art. VII.216/109</w:t>
      </w:r>
      <w:r w:rsidRPr="004676F5">
        <w:rPr>
          <w:lang w:val="de-DE"/>
        </w:rPr>
        <w:t> </w:t>
      </w:r>
      <w:r w:rsidR="005B7A5C" w:rsidRPr="004676F5">
        <w:rPr>
          <w:lang w:val="de-DE"/>
        </w:rPr>
        <w:t>- </w:t>
      </w:r>
      <w:r w:rsidRPr="004676F5">
        <w:rPr>
          <w:lang w:val="de-DE"/>
        </w:rPr>
        <w:t>Ist die Schecksumme in Buchstaben und in Ziffern angegeben, so gilt bei Abweichungen die in Buchstaben angegebene Summe.</w:t>
      </w:r>
    </w:p>
    <w:p w14:paraId="4890051F" w14:textId="77777777" w:rsidR="00EC446E" w:rsidRPr="004676F5" w:rsidRDefault="00EC446E" w:rsidP="00EC446E">
      <w:pPr>
        <w:ind w:firstLine="708"/>
        <w:jc w:val="both"/>
        <w:rPr>
          <w:lang w:val="de-DE"/>
        </w:rPr>
      </w:pPr>
    </w:p>
    <w:p w14:paraId="582143A9" w14:textId="77777777" w:rsidR="00EC446E" w:rsidRPr="004676F5" w:rsidRDefault="00EC446E" w:rsidP="00EC446E">
      <w:pPr>
        <w:ind w:firstLine="708"/>
        <w:jc w:val="both"/>
        <w:rPr>
          <w:lang w:val="de-DE"/>
        </w:rPr>
      </w:pPr>
      <w:r w:rsidRPr="004676F5">
        <w:rPr>
          <w:lang w:val="de-DE"/>
        </w:rPr>
        <w:t>Ist die Schecksumme mehrmals in Buchstaben oder Ziffern angegeben, so gilt bei Abweichungen die geringste Summe.</w:t>
      </w:r>
    </w:p>
    <w:p w14:paraId="0F2D9C97" w14:textId="77D84CF6" w:rsidR="00EC446E" w:rsidRPr="004676F5" w:rsidRDefault="00EC446E" w:rsidP="00EC446E">
      <w:pPr>
        <w:ind w:firstLine="708"/>
        <w:jc w:val="both"/>
        <w:rPr>
          <w:lang w:val="de-DE"/>
        </w:rPr>
      </w:pPr>
    </w:p>
    <w:p w14:paraId="400D7E5D" w14:textId="77777777" w:rsidR="00EC446E" w:rsidRPr="004676F5" w:rsidRDefault="00EC446E" w:rsidP="00EC446E">
      <w:pPr>
        <w:ind w:firstLine="708"/>
        <w:jc w:val="both"/>
        <w:rPr>
          <w:lang w:val="de-DE"/>
        </w:rPr>
      </w:pPr>
    </w:p>
    <w:p w14:paraId="63DCF970" w14:textId="2344583D" w:rsidR="00EC446E" w:rsidRPr="004676F5" w:rsidRDefault="00EC446E" w:rsidP="00EC446E">
      <w:pPr>
        <w:ind w:firstLine="708"/>
        <w:jc w:val="both"/>
        <w:rPr>
          <w:lang w:val="de-DE"/>
        </w:rPr>
      </w:pPr>
      <w:r w:rsidRPr="004676F5">
        <w:rPr>
          <w:b/>
          <w:lang w:val="de-DE"/>
        </w:rPr>
        <w:t>Art. VII.216/110</w:t>
      </w:r>
      <w:r w:rsidRPr="004676F5">
        <w:rPr>
          <w:lang w:val="de-DE"/>
        </w:rPr>
        <w:t> </w:t>
      </w:r>
      <w:r w:rsidR="005B7A5C" w:rsidRPr="004676F5">
        <w:rPr>
          <w:lang w:val="de-DE"/>
        </w:rPr>
        <w:t>- </w:t>
      </w:r>
      <w:r w:rsidRPr="004676F5">
        <w:rPr>
          <w:lang w:val="de-DE"/>
        </w:rPr>
        <w:t>Trägt ein Scheck Unterschriften von Personen, die eine Scheckver</w:t>
      </w:r>
      <w:r w:rsidRPr="004676F5">
        <w:rPr>
          <w:lang w:val="de-DE"/>
        </w:rPr>
        <w:softHyphen/>
        <w:t>bindlichkeit nicht eingehen können, gefälschte Unterschriften, Unterschriften erdichteter Personen oder Unterschriften, die aus irgendeinem anderen Grund für die Personen, die unterschrieben haben oder mit deren Namen unterschrieben worden ist, keine Verbindlichkeit begründen, so hat dies auf die Gültigkeit der übrigen Unterschriften keinen Einfluss.</w:t>
      </w:r>
    </w:p>
    <w:p w14:paraId="2F5A1A73" w14:textId="60B59F82" w:rsidR="00EC446E" w:rsidRPr="004676F5" w:rsidRDefault="00EC446E" w:rsidP="00EC446E">
      <w:pPr>
        <w:ind w:firstLine="708"/>
        <w:jc w:val="both"/>
        <w:rPr>
          <w:lang w:val="de-DE"/>
        </w:rPr>
      </w:pPr>
    </w:p>
    <w:p w14:paraId="32B52362" w14:textId="77777777" w:rsidR="00EC446E" w:rsidRPr="004676F5" w:rsidRDefault="00EC446E" w:rsidP="00EC446E">
      <w:pPr>
        <w:ind w:firstLine="708"/>
        <w:jc w:val="both"/>
        <w:rPr>
          <w:lang w:val="de-DE"/>
        </w:rPr>
      </w:pPr>
    </w:p>
    <w:p w14:paraId="2EB582AC" w14:textId="01820525" w:rsidR="00EC446E" w:rsidRPr="004676F5" w:rsidRDefault="00EC446E" w:rsidP="00EC446E">
      <w:pPr>
        <w:ind w:firstLine="708"/>
        <w:jc w:val="both"/>
        <w:rPr>
          <w:lang w:val="de-DE"/>
        </w:rPr>
      </w:pPr>
      <w:r w:rsidRPr="004676F5">
        <w:rPr>
          <w:b/>
          <w:lang w:val="de-DE"/>
        </w:rPr>
        <w:t>Art. VII.216/111</w:t>
      </w:r>
      <w:r w:rsidRPr="004676F5">
        <w:rPr>
          <w:lang w:val="de-DE"/>
        </w:rPr>
        <w:t> </w:t>
      </w:r>
      <w:r w:rsidR="005B7A5C" w:rsidRPr="004676F5">
        <w:rPr>
          <w:lang w:val="de-DE"/>
        </w:rPr>
        <w:t>- </w:t>
      </w:r>
      <w:r w:rsidRPr="004676F5">
        <w:rPr>
          <w:lang w:val="de-DE"/>
        </w:rPr>
        <w:t>Wer auf einen Scheck seine Unterschrift als Vertreter eines anderen setzt, ohne hierzu ermächtigt zu sein, haftet selbst scheckmäßig und hat, wenn er den Scheck einlöst, dieselben Rechte, die der angeblich Vertretene haben würde. Das Gleiche gilt von einem Vertreter, der seine Vertretungsbefugnis überschritten hat.</w:t>
      </w:r>
    </w:p>
    <w:p w14:paraId="0462D29C" w14:textId="6A1B2251" w:rsidR="00EC446E" w:rsidRPr="004676F5" w:rsidRDefault="00EC446E" w:rsidP="00EC446E">
      <w:pPr>
        <w:ind w:firstLine="708"/>
        <w:jc w:val="both"/>
        <w:rPr>
          <w:lang w:val="de-DE"/>
        </w:rPr>
      </w:pPr>
    </w:p>
    <w:p w14:paraId="2E0074B7" w14:textId="77777777" w:rsidR="00EC446E" w:rsidRPr="004676F5" w:rsidRDefault="00EC446E" w:rsidP="00EC446E">
      <w:pPr>
        <w:ind w:firstLine="708"/>
        <w:jc w:val="both"/>
        <w:rPr>
          <w:lang w:val="de-DE"/>
        </w:rPr>
      </w:pPr>
    </w:p>
    <w:p w14:paraId="5E366125" w14:textId="0CC307F2" w:rsidR="00EC446E" w:rsidRPr="004676F5" w:rsidRDefault="00EC446E" w:rsidP="00EC446E">
      <w:pPr>
        <w:ind w:firstLine="708"/>
        <w:jc w:val="both"/>
        <w:rPr>
          <w:lang w:val="de-DE"/>
        </w:rPr>
      </w:pPr>
      <w:r w:rsidRPr="004676F5">
        <w:rPr>
          <w:b/>
          <w:lang w:val="de-DE"/>
        </w:rPr>
        <w:t>Art. VII.216/112</w:t>
      </w:r>
      <w:r w:rsidRPr="004676F5">
        <w:rPr>
          <w:lang w:val="de-DE"/>
        </w:rPr>
        <w:t> </w:t>
      </w:r>
      <w:r w:rsidR="005B7A5C" w:rsidRPr="004676F5">
        <w:rPr>
          <w:lang w:val="de-DE"/>
        </w:rPr>
        <w:t>- </w:t>
      </w:r>
      <w:r w:rsidRPr="004676F5">
        <w:rPr>
          <w:lang w:val="de-DE"/>
        </w:rPr>
        <w:t>Der Aussteller haftet für die Zahlung des Schecks.</w:t>
      </w:r>
    </w:p>
    <w:p w14:paraId="6739A44D" w14:textId="77777777" w:rsidR="00EC446E" w:rsidRPr="004676F5" w:rsidRDefault="00EC446E" w:rsidP="00EC446E">
      <w:pPr>
        <w:ind w:firstLine="708"/>
        <w:jc w:val="both"/>
        <w:rPr>
          <w:lang w:val="de-DE"/>
        </w:rPr>
      </w:pPr>
    </w:p>
    <w:p w14:paraId="29611257" w14:textId="77777777" w:rsidR="00EC446E" w:rsidRPr="004676F5" w:rsidRDefault="00EC446E" w:rsidP="00EC446E">
      <w:pPr>
        <w:ind w:firstLine="708"/>
        <w:jc w:val="both"/>
        <w:rPr>
          <w:lang w:val="de-DE"/>
        </w:rPr>
      </w:pPr>
      <w:r w:rsidRPr="004676F5">
        <w:rPr>
          <w:lang w:val="de-DE"/>
        </w:rPr>
        <w:t>Jeder Vermerk, durch den der Aussteller die Haftung ausschließt, gilt als nicht geschrieben.</w:t>
      </w:r>
    </w:p>
    <w:p w14:paraId="0C094A75" w14:textId="628A4A8C" w:rsidR="00EC446E" w:rsidRPr="004676F5" w:rsidRDefault="00EC446E" w:rsidP="00EC446E">
      <w:pPr>
        <w:ind w:firstLine="708"/>
        <w:jc w:val="both"/>
        <w:rPr>
          <w:lang w:val="de-DE"/>
        </w:rPr>
      </w:pPr>
    </w:p>
    <w:p w14:paraId="6E5AD44B" w14:textId="77777777" w:rsidR="00EC446E" w:rsidRPr="004676F5" w:rsidRDefault="00EC446E" w:rsidP="00EC446E">
      <w:pPr>
        <w:ind w:firstLine="708"/>
        <w:jc w:val="both"/>
        <w:rPr>
          <w:lang w:val="de-DE"/>
        </w:rPr>
      </w:pPr>
    </w:p>
    <w:p w14:paraId="6D896C3C" w14:textId="7BD7FC9E" w:rsidR="00EC446E" w:rsidRPr="004676F5" w:rsidRDefault="00EC446E" w:rsidP="00EC446E">
      <w:pPr>
        <w:jc w:val="both"/>
        <w:rPr>
          <w:lang w:val="de-DE"/>
        </w:rPr>
      </w:pPr>
      <w:r w:rsidRPr="004676F5">
        <w:rPr>
          <w:lang w:val="de-DE"/>
        </w:rPr>
        <w:tab/>
      </w:r>
      <w:r w:rsidRPr="004676F5">
        <w:rPr>
          <w:b/>
          <w:lang w:val="de-DE"/>
        </w:rPr>
        <w:t>Art. VII.216/113</w:t>
      </w:r>
      <w:r w:rsidRPr="004676F5">
        <w:rPr>
          <w:lang w:val="de-DE"/>
        </w:rPr>
        <w:t> </w:t>
      </w:r>
      <w:r w:rsidR="005B7A5C" w:rsidRPr="004676F5">
        <w:rPr>
          <w:lang w:val="de-DE"/>
        </w:rPr>
        <w:t>- </w:t>
      </w:r>
      <w:r w:rsidRPr="004676F5">
        <w:rPr>
          <w:lang w:val="de-DE"/>
        </w:rPr>
        <w:t>Wenn ein Scheck, der bei der Begebung unvollständig war, den getroffenen Vereinbarungen zuwider ausgefüllt worden ist, so kann die Nichteinhaltung dieser Vereinbarungen dem Inhaber nicht entgegengesetzt werden, es sei denn, dass er den Scheck in bösem Glauben erworben hat oder ihm beim Erwerb eine grobe Fahrlässigkeit zur Last fällt.]</w:t>
      </w:r>
    </w:p>
    <w:p w14:paraId="5838347A" w14:textId="7F42190A" w:rsidR="00EC446E" w:rsidRPr="004676F5" w:rsidRDefault="00EC446E" w:rsidP="00EC446E">
      <w:pPr>
        <w:jc w:val="both"/>
        <w:rPr>
          <w:lang w:val="de-DE"/>
        </w:rPr>
      </w:pPr>
    </w:p>
    <w:p w14:paraId="45E1A04F" w14:textId="3D349642" w:rsidR="00EC446E" w:rsidRPr="004676F5" w:rsidRDefault="00EC446E" w:rsidP="00EC446E">
      <w:pPr>
        <w:jc w:val="both"/>
        <w:rPr>
          <w:i/>
          <w:lang w:val="de-DE"/>
        </w:rPr>
      </w:pPr>
      <w:r w:rsidRPr="004676F5">
        <w:rPr>
          <w:i/>
          <w:lang w:val="de-DE"/>
        </w:rPr>
        <w:t>[Art. VII.216/101 bis VII.216/113 eingefügt durch Art. 149 des G. vom 15. April 2018 (B.S. vom 27. April 2018)]</w:t>
      </w:r>
    </w:p>
    <w:p w14:paraId="25C783FA" w14:textId="77777777" w:rsidR="00EC446E" w:rsidRPr="004676F5" w:rsidRDefault="00EC446E" w:rsidP="00EC446E">
      <w:pPr>
        <w:jc w:val="both"/>
        <w:rPr>
          <w:iCs/>
          <w:lang w:val="de-DE"/>
        </w:rPr>
      </w:pPr>
    </w:p>
    <w:p w14:paraId="143D27F0" w14:textId="77777777" w:rsidR="00EC446E" w:rsidRPr="004676F5" w:rsidRDefault="00EC446E" w:rsidP="00EC446E">
      <w:pPr>
        <w:jc w:val="center"/>
        <w:rPr>
          <w:iCs/>
          <w:lang w:val="de-DE"/>
        </w:rPr>
      </w:pPr>
    </w:p>
    <w:p w14:paraId="21B2F819" w14:textId="1C197979" w:rsidR="00F4045F" w:rsidRPr="004676F5" w:rsidRDefault="00EC446E" w:rsidP="00F4045F">
      <w:pPr>
        <w:jc w:val="center"/>
        <w:rPr>
          <w:lang w:val="de-DE"/>
        </w:rPr>
      </w:pPr>
      <w:r w:rsidRPr="004676F5">
        <w:rPr>
          <w:lang w:val="de-DE"/>
        </w:rPr>
        <w:t>[</w:t>
      </w:r>
      <w:r w:rsidRPr="004676F5">
        <w:rPr>
          <w:i/>
          <w:lang w:val="de-DE"/>
        </w:rPr>
        <w:t>Abschnitt 2</w:t>
      </w:r>
      <w:r w:rsidRPr="004676F5">
        <w:rPr>
          <w:lang w:val="de-DE"/>
        </w:rPr>
        <w:t> </w:t>
      </w:r>
      <w:r w:rsidR="005B7A5C" w:rsidRPr="004676F5">
        <w:rPr>
          <w:lang w:val="de-DE"/>
        </w:rPr>
        <w:t>- </w:t>
      </w:r>
      <w:r w:rsidRPr="004676F5">
        <w:rPr>
          <w:lang w:val="de-DE"/>
        </w:rPr>
        <w:t>Übertragung]</w:t>
      </w:r>
    </w:p>
    <w:p w14:paraId="467892FF" w14:textId="1AAC1D7A" w:rsidR="00EC446E" w:rsidRPr="004676F5" w:rsidRDefault="00EC446E" w:rsidP="00F4045F">
      <w:pPr>
        <w:jc w:val="center"/>
        <w:rPr>
          <w:lang w:val="de-DE"/>
        </w:rPr>
      </w:pPr>
    </w:p>
    <w:p w14:paraId="338C4311" w14:textId="3BC20884" w:rsidR="00EC446E" w:rsidRPr="004676F5" w:rsidRDefault="00EC446E" w:rsidP="00EC446E">
      <w:pPr>
        <w:jc w:val="both"/>
        <w:rPr>
          <w:i/>
          <w:iCs/>
          <w:lang w:val="de-DE"/>
        </w:rPr>
      </w:pPr>
      <w:r w:rsidRPr="004676F5">
        <w:rPr>
          <w:i/>
          <w:lang w:val="de-DE"/>
        </w:rPr>
        <w:t>[Unterteilung Abschnitt 2 eingefügt durch Art. 150</w:t>
      </w:r>
      <w:r w:rsidRPr="004676F5">
        <w:rPr>
          <w:i/>
          <w:iCs/>
          <w:lang w:val="de-DE"/>
        </w:rPr>
        <w:t xml:space="preserve"> des G. vom 15. April 2018 (B.S. vom 27. April 2018)]</w:t>
      </w:r>
    </w:p>
    <w:p w14:paraId="1DCD8C6B" w14:textId="71909DE4" w:rsidR="00EC446E" w:rsidRPr="004676F5" w:rsidRDefault="00EC446E" w:rsidP="00EC446E">
      <w:pPr>
        <w:jc w:val="both"/>
        <w:rPr>
          <w:iCs/>
          <w:lang w:val="de-DE"/>
        </w:rPr>
      </w:pPr>
    </w:p>
    <w:p w14:paraId="5406166F" w14:textId="08977BAA" w:rsidR="00EC446E" w:rsidRPr="004676F5" w:rsidRDefault="00EC446E" w:rsidP="00EC446E">
      <w:pPr>
        <w:jc w:val="both"/>
        <w:rPr>
          <w:iCs/>
          <w:lang w:val="de-DE"/>
        </w:rPr>
      </w:pPr>
    </w:p>
    <w:p w14:paraId="4071A354" w14:textId="327F853E" w:rsidR="00EC446E" w:rsidRPr="004676F5" w:rsidRDefault="00EC446E" w:rsidP="00EC446E">
      <w:pPr>
        <w:ind w:firstLine="708"/>
        <w:jc w:val="both"/>
        <w:rPr>
          <w:lang w:val="de-DE"/>
        </w:rPr>
      </w:pPr>
      <w:r w:rsidRPr="004676F5">
        <w:rPr>
          <w:iCs/>
          <w:lang w:val="de-DE"/>
        </w:rPr>
        <w:t>[</w:t>
      </w:r>
      <w:r w:rsidRPr="004676F5">
        <w:rPr>
          <w:b/>
          <w:lang w:val="de-DE"/>
        </w:rPr>
        <w:t>Art. VII.216/114</w:t>
      </w:r>
      <w:r w:rsidRPr="004676F5">
        <w:rPr>
          <w:lang w:val="de-DE"/>
        </w:rPr>
        <w:t> </w:t>
      </w:r>
      <w:r w:rsidR="005B7A5C" w:rsidRPr="004676F5">
        <w:rPr>
          <w:lang w:val="de-DE"/>
        </w:rPr>
        <w:t>- </w:t>
      </w:r>
      <w:r w:rsidRPr="004676F5">
        <w:rPr>
          <w:lang w:val="de-DE"/>
        </w:rPr>
        <w:t>Der auf eine bestimmte Person zahlbar gestellte Scheck mit oder ohne den ausdrücklichen Vermerk "an Order" kann durch Indossament übertragen werden.</w:t>
      </w:r>
    </w:p>
    <w:p w14:paraId="6293A794" w14:textId="77777777" w:rsidR="00EC446E" w:rsidRPr="004676F5" w:rsidRDefault="00EC446E" w:rsidP="00EC446E">
      <w:pPr>
        <w:ind w:firstLine="708"/>
        <w:jc w:val="both"/>
        <w:rPr>
          <w:lang w:val="de-DE"/>
        </w:rPr>
      </w:pPr>
    </w:p>
    <w:p w14:paraId="5590BF57" w14:textId="77777777" w:rsidR="00EC446E" w:rsidRPr="004676F5" w:rsidRDefault="00EC446E" w:rsidP="00EC446E">
      <w:pPr>
        <w:ind w:firstLine="708"/>
        <w:jc w:val="both"/>
        <w:rPr>
          <w:lang w:val="de-DE"/>
        </w:rPr>
      </w:pPr>
      <w:r w:rsidRPr="004676F5">
        <w:rPr>
          <w:lang w:val="de-DE"/>
        </w:rPr>
        <w:t>Der auf eine bestimmte Person zahlbar gestellte Scheck mit dem Vermerk "nicht an Order" oder mit einem gleichbedeutenden Vermerk kann nur in der Form und mit den Wirkungen einer gewöhnlichen Abtretung übertragen werden.</w:t>
      </w:r>
    </w:p>
    <w:p w14:paraId="2D095FFF" w14:textId="77777777" w:rsidR="00EC446E" w:rsidRPr="004676F5" w:rsidRDefault="00EC446E" w:rsidP="00EC446E">
      <w:pPr>
        <w:ind w:firstLine="708"/>
        <w:jc w:val="both"/>
        <w:rPr>
          <w:lang w:val="de-DE"/>
        </w:rPr>
      </w:pPr>
    </w:p>
    <w:p w14:paraId="5BB488FC" w14:textId="77777777" w:rsidR="00EC446E" w:rsidRPr="004676F5" w:rsidRDefault="00EC446E" w:rsidP="00EC446E">
      <w:pPr>
        <w:ind w:firstLine="708"/>
        <w:jc w:val="both"/>
        <w:rPr>
          <w:lang w:val="de-DE"/>
        </w:rPr>
      </w:pPr>
      <w:r w:rsidRPr="004676F5">
        <w:rPr>
          <w:lang w:val="de-DE"/>
        </w:rPr>
        <w:t>Das Indossament kann auch auf den Aussteller oder jeden anderen Scheckverpflichteten lauten. Diese Personen können den Scheck weiter indossieren.</w:t>
      </w:r>
    </w:p>
    <w:p w14:paraId="37F81319" w14:textId="77777777" w:rsidR="00EC446E" w:rsidRPr="004676F5" w:rsidRDefault="00EC446E" w:rsidP="00EC446E">
      <w:pPr>
        <w:ind w:firstLine="708"/>
        <w:jc w:val="both"/>
        <w:rPr>
          <w:lang w:val="de-DE"/>
        </w:rPr>
      </w:pPr>
    </w:p>
    <w:p w14:paraId="7C1281A0" w14:textId="77777777" w:rsidR="00EC446E" w:rsidRPr="004676F5" w:rsidRDefault="00EC446E" w:rsidP="00EC446E">
      <w:pPr>
        <w:ind w:firstLine="708"/>
        <w:jc w:val="both"/>
        <w:rPr>
          <w:lang w:val="de-DE"/>
        </w:rPr>
      </w:pPr>
    </w:p>
    <w:p w14:paraId="430180F8" w14:textId="3EE00436" w:rsidR="00EC446E" w:rsidRPr="004676F5" w:rsidRDefault="00EC446E" w:rsidP="00EC446E">
      <w:pPr>
        <w:ind w:firstLine="708"/>
        <w:jc w:val="both"/>
        <w:rPr>
          <w:lang w:val="de-DE"/>
        </w:rPr>
      </w:pPr>
      <w:r w:rsidRPr="004676F5">
        <w:rPr>
          <w:b/>
          <w:lang w:val="de-DE"/>
        </w:rPr>
        <w:t>Art. VII.216/115</w:t>
      </w:r>
      <w:r w:rsidRPr="004676F5">
        <w:rPr>
          <w:lang w:val="de-DE"/>
        </w:rPr>
        <w:t> </w:t>
      </w:r>
      <w:r w:rsidR="005B7A5C" w:rsidRPr="004676F5">
        <w:rPr>
          <w:lang w:val="de-DE"/>
        </w:rPr>
        <w:t>- </w:t>
      </w:r>
      <w:r w:rsidRPr="004676F5">
        <w:rPr>
          <w:lang w:val="de-DE"/>
        </w:rPr>
        <w:t>Das Indossament muss unbedingt sein. Bedingungen, von denen es abhängig gemacht wird, gelten als nicht geschrieben.</w:t>
      </w:r>
    </w:p>
    <w:p w14:paraId="2BBD9099" w14:textId="77777777" w:rsidR="00EC446E" w:rsidRPr="004676F5" w:rsidRDefault="00EC446E" w:rsidP="00EC446E">
      <w:pPr>
        <w:ind w:firstLine="708"/>
        <w:jc w:val="both"/>
        <w:rPr>
          <w:lang w:val="de-DE"/>
        </w:rPr>
      </w:pPr>
    </w:p>
    <w:p w14:paraId="226103A4" w14:textId="77777777" w:rsidR="00EC446E" w:rsidRPr="004676F5" w:rsidRDefault="00EC446E" w:rsidP="00EC446E">
      <w:pPr>
        <w:ind w:firstLine="708"/>
        <w:jc w:val="both"/>
        <w:rPr>
          <w:lang w:val="de-DE"/>
        </w:rPr>
      </w:pPr>
      <w:r w:rsidRPr="004676F5">
        <w:rPr>
          <w:lang w:val="de-DE"/>
        </w:rPr>
        <w:t>Ein Teilindossament ist nichtig.</w:t>
      </w:r>
    </w:p>
    <w:p w14:paraId="7ED57E0B" w14:textId="77777777" w:rsidR="00EC446E" w:rsidRPr="004676F5" w:rsidRDefault="00EC446E" w:rsidP="00EC446E">
      <w:pPr>
        <w:ind w:firstLine="708"/>
        <w:jc w:val="both"/>
        <w:rPr>
          <w:lang w:val="de-DE"/>
        </w:rPr>
      </w:pPr>
    </w:p>
    <w:p w14:paraId="5F517989" w14:textId="77777777" w:rsidR="00EC446E" w:rsidRPr="004676F5" w:rsidRDefault="00EC446E" w:rsidP="00EC446E">
      <w:pPr>
        <w:ind w:firstLine="708"/>
        <w:jc w:val="both"/>
        <w:rPr>
          <w:lang w:val="de-DE"/>
        </w:rPr>
      </w:pPr>
      <w:r w:rsidRPr="004676F5">
        <w:rPr>
          <w:lang w:val="de-DE"/>
        </w:rPr>
        <w:t>Ebenso ist ein Indossament des Bezogenen nichtig.</w:t>
      </w:r>
    </w:p>
    <w:p w14:paraId="53B05B41" w14:textId="77777777" w:rsidR="00EC446E" w:rsidRPr="004676F5" w:rsidRDefault="00EC446E" w:rsidP="00EC446E">
      <w:pPr>
        <w:ind w:firstLine="708"/>
        <w:jc w:val="both"/>
        <w:rPr>
          <w:lang w:val="de-DE"/>
        </w:rPr>
      </w:pPr>
    </w:p>
    <w:p w14:paraId="2FA9A854" w14:textId="77777777" w:rsidR="00EC446E" w:rsidRPr="004676F5" w:rsidRDefault="00EC446E" w:rsidP="00EC446E">
      <w:pPr>
        <w:ind w:firstLine="708"/>
        <w:jc w:val="both"/>
        <w:rPr>
          <w:lang w:val="de-DE"/>
        </w:rPr>
      </w:pPr>
      <w:r w:rsidRPr="004676F5">
        <w:rPr>
          <w:lang w:val="de-DE"/>
        </w:rPr>
        <w:t>Ein Indossament an den Inhaber gilt als Blankoindossament.</w:t>
      </w:r>
    </w:p>
    <w:p w14:paraId="1AAB5E95" w14:textId="77777777" w:rsidR="00EC446E" w:rsidRPr="004676F5" w:rsidRDefault="00EC446E" w:rsidP="00EC446E">
      <w:pPr>
        <w:ind w:firstLine="708"/>
        <w:jc w:val="both"/>
        <w:rPr>
          <w:lang w:val="de-DE"/>
        </w:rPr>
      </w:pPr>
    </w:p>
    <w:p w14:paraId="3B583938" w14:textId="77777777" w:rsidR="00EC446E" w:rsidRPr="004676F5" w:rsidRDefault="00EC446E" w:rsidP="00EC446E">
      <w:pPr>
        <w:ind w:firstLine="708"/>
        <w:jc w:val="both"/>
        <w:rPr>
          <w:lang w:val="de-DE"/>
        </w:rPr>
      </w:pPr>
      <w:r w:rsidRPr="004676F5">
        <w:rPr>
          <w:lang w:val="de-DE"/>
        </w:rPr>
        <w:t>Das Indossament an den Bezogenen gilt nur als Quittung, es sei denn, dass der Bezogene mehrere Niederlassungen hat und das Indossament auf eine andere Niederlassung lautet als diejenige, auf die der Scheck gezogen worden ist.</w:t>
      </w:r>
    </w:p>
    <w:p w14:paraId="4297F0EF" w14:textId="6D03E423" w:rsidR="00EC446E" w:rsidRPr="004676F5" w:rsidRDefault="00EC446E" w:rsidP="00EC446E">
      <w:pPr>
        <w:ind w:firstLine="708"/>
        <w:jc w:val="both"/>
        <w:rPr>
          <w:lang w:val="de-DE"/>
        </w:rPr>
      </w:pPr>
    </w:p>
    <w:p w14:paraId="49540D39" w14:textId="77777777" w:rsidR="00EC446E" w:rsidRPr="004676F5" w:rsidRDefault="00EC446E" w:rsidP="00EC446E">
      <w:pPr>
        <w:ind w:firstLine="708"/>
        <w:jc w:val="both"/>
        <w:rPr>
          <w:lang w:val="de-DE"/>
        </w:rPr>
      </w:pPr>
    </w:p>
    <w:p w14:paraId="5A02E7A0" w14:textId="4A7C697F" w:rsidR="00EC446E" w:rsidRPr="004676F5" w:rsidRDefault="00EC446E" w:rsidP="00EC446E">
      <w:pPr>
        <w:ind w:firstLine="708"/>
        <w:jc w:val="both"/>
        <w:rPr>
          <w:lang w:val="de-DE"/>
        </w:rPr>
      </w:pPr>
      <w:r w:rsidRPr="004676F5">
        <w:rPr>
          <w:b/>
          <w:lang w:val="de-DE"/>
        </w:rPr>
        <w:t>Art. VII.216/116</w:t>
      </w:r>
      <w:r w:rsidRPr="004676F5">
        <w:rPr>
          <w:lang w:val="de-DE"/>
        </w:rPr>
        <w:t> </w:t>
      </w:r>
      <w:r w:rsidR="005B7A5C" w:rsidRPr="004676F5">
        <w:rPr>
          <w:lang w:val="de-DE"/>
        </w:rPr>
        <w:t>- </w:t>
      </w:r>
      <w:r w:rsidRPr="004676F5">
        <w:rPr>
          <w:lang w:val="de-DE"/>
        </w:rPr>
        <w:t>Das Indossament muss auf den Scheck oder ein mit dem Scheck verbundenes Blatt (Anhang) gesetzt werden. Es muss von dem Indossanten unterschrieben werden.</w:t>
      </w:r>
    </w:p>
    <w:p w14:paraId="3C7CC70F" w14:textId="77777777" w:rsidR="00EC446E" w:rsidRPr="004676F5" w:rsidRDefault="00EC446E" w:rsidP="00EC446E">
      <w:pPr>
        <w:ind w:firstLine="708"/>
        <w:jc w:val="both"/>
        <w:rPr>
          <w:lang w:val="de-DE"/>
        </w:rPr>
      </w:pPr>
    </w:p>
    <w:p w14:paraId="19ED4D70" w14:textId="77777777" w:rsidR="00EC446E" w:rsidRPr="004676F5" w:rsidRDefault="00EC446E" w:rsidP="00EC446E">
      <w:pPr>
        <w:ind w:firstLine="708"/>
        <w:jc w:val="both"/>
        <w:rPr>
          <w:lang w:val="de-DE"/>
        </w:rPr>
      </w:pPr>
      <w:r w:rsidRPr="004676F5">
        <w:rPr>
          <w:lang w:val="de-DE"/>
        </w:rPr>
        <w:t>Das Indossament braucht den Indossatar nicht zu bezeichnen und kann selbst in der bloßen Unterschrift des Indossanten bestehen (Blankoindossament). In diesem letzteren Fall muss das Indossament, um gültig zu sein, auf die Rückseite des Schecks oder auf den Anhang gesetzt werden.</w:t>
      </w:r>
    </w:p>
    <w:p w14:paraId="3FC08400" w14:textId="388C1CF3" w:rsidR="00EC446E" w:rsidRPr="004676F5" w:rsidRDefault="00EC446E" w:rsidP="00EC446E">
      <w:pPr>
        <w:ind w:firstLine="708"/>
        <w:jc w:val="both"/>
        <w:rPr>
          <w:lang w:val="de-DE"/>
        </w:rPr>
      </w:pPr>
    </w:p>
    <w:p w14:paraId="723F5690" w14:textId="77777777" w:rsidR="00EC446E" w:rsidRPr="004676F5" w:rsidRDefault="00EC446E" w:rsidP="00EC446E">
      <w:pPr>
        <w:ind w:firstLine="708"/>
        <w:jc w:val="both"/>
        <w:rPr>
          <w:lang w:val="de-DE"/>
        </w:rPr>
      </w:pPr>
    </w:p>
    <w:p w14:paraId="5794C452" w14:textId="5B07B185" w:rsidR="00EC446E" w:rsidRPr="004676F5" w:rsidRDefault="00EC446E" w:rsidP="00EC446E">
      <w:pPr>
        <w:ind w:firstLine="708"/>
        <w:jc w:val="both"/>
        <w:rPr>
          <w:lang w:val="de-DE"/>
        </w:rPr>
      </w:pPr>
      <w:r w:rsidRPr="004676F5">
        <w:rPr>
          <w:b/>
          <w:lang w:val="de-DE"/>
        </w:rPr>
        <w:t>Art. VII.216/117</w:t>
      </w:r>
      <w:r w:rsidRPr="004676F5">
        <w:rPr>
          <w:lang w:val="de-DE"/>
        </w:rPr>
        <w:t> </w:t>
      </w:r>
      <w:r w:rsidR="005B7A5C" w:rsidRPr="004676F5">
        <w:rPr>
          <w:lang w:val="de-DE"/>
        </w:rPr>
        <w:t>- </w:t>
      </w:r>
      <w:r w:rsidRPr="004676F5">
        <w:rPr>
          <w:lang w:val="de-DE"/>
        </w:rPr>
        <w:t>Das Indossament überträgt alle Rechte aus dem Scheck.</w:t>
      </w:r>
    </w:p>
    <w:p w14:paraId="013C7335" w14:textId="77777777" w:rsidR="00EC446E" w:rsidRPr="004676F5" w:rsidRDefault="00EC446E" w:rsidP="00EC446E">
      <w:pPr>
        <w:ind w:firstLine="708"/>
        <w:jc w:val="both"/>
        <w:rPr>
          <w:lang w:val="de-DE"/>
        </w:rPr>
      </w:pPr>
    </w:p>
    <w:p w14:paraId="071C5D92" w14:textId="77777777" w:rsidR="00EC446E" w:rsidRPr="004676F5" w:rsidRDefault="00EC446E" w:rsidP="00EC446E">
      <w:pPr>
        <w:ind w:firstLine="708"/>
        <w:jc w:val="both"/>
        <w:rPr>
          <w:lang w:val="de-DE"/>
        </w:rPr>
      </w:pPr>
      <w:r w:rsidRPr="004676F5">
        <w:rPr>
          <w:lang w:val="de-DE"/>
        </w:rPr>
        <w:t>Ist es ein Blankoindossament, so kann der Inhaber:</w:t>
      </w:r>
    </w:p>
    <w:p w14:paraId="663E6F0C" w14:textId="77777777" w:rsidR="00EC446E" w:rsidRPr="004676F5" w:rsidRDefault="00EC446E" w:rsidP="00EC446E">
      <w:pPr>
        <w:ind w:firstLine="708"/>
        <w:jc w:val="both"/>
        <w:rPr>
          <w:lang w:val="de-DE"/>
        </w:rPr>
      </w:pPr>
    </w:p>
    <w:p w14:paraId="04370FDE" w14:textId="77777777" w:rsidR="00EC446E" w:rsidRPr="004676F5" w:rsidRDefault="00EC446E" w:rsidP="00EC446E">
      <w:pPr>
        <w:ind w:firstLine="708"/>
        <w:jc w:val="both"/>
        <w:rPr>
          <w:lang w:val="de-DE"/>
        </w:rPr>
      </w:pPr>
      <w:r w:rsidRPr="004676F5">
        <w:rPr>
          <w:lang w:val="de-DE"/>
        </w:rPr>
        <w:t>1. das Indossament mit seinem Namen oder mit dem Namen eines anderen ausfüllen,</w:t>
      </w:r>
    </w:p>
    <w:p w14:paraId="4F68740A" w14:textId="77777777" w:rsidR="00EC446E" w:rsidRPr="004676F5" w:rsidRDefault="00EC446E" w:rsidP="00EC446E">
      <w:pPr>
        <w:ind w:firstLine="708"/>
        <w:jc w:val="both"/>
        <w:rPr>
          <w:lang w:val="de-DE"/>
        </w:rPr>
      </w:pPr>
    </w:p>
    <w:p w14:paraId="75388CE7" w14:textId="77777777" w:rsidR="00EC446E" w:rsidRPr="004676F5" w:rsidRDefault="00EC446E" w:rsidP="00EC446E">
      <w:pPr>
        <w:ind w:firstLine="708"/>
        <w:jc w:val="both"/>
        <w:rPr>
          <w:lang w:val="de-DE"/>
        </w:rPr>
      </w:pPr>
      <w:r w:rsidRPr="004676F5">
        <w:rPr>
          <w:lang w:val="de-DE"/>
        </w:rPr>
        <w:t>2. den Scheck durch ein Blankoindossament oder an eine bestimmte Person weiter indossieren,</w:t>
      </w:r>
    </w:p>
    <w:p w14:paraId="158281FE" w14:textId="77777777" w:rsidR="00EC446E" w:rsidRPr="004676F5" w:rsidRDefault="00EC446E" w:rsidP="00EC446E">
      <w:pPr>
        <w:ind w:firstLine="708"/>
        <w:jc w:val="both"/>
        <w:rPr>
          <w:lang w:val="de-DE"/>
        </w:rPr>
      </w:pPr>
    </w:p>
    <w:p w14:paraId="4AC19B5B" w14:textId="77777777" w:rsidR="00EC446E" w:rsidRPr="004676F5" w:rsidRDefault="00EC446E" w:rsidP="00EC446E">
      <w:pPr>
        <w:ind w:firstLine="708"/>
        <w:jc w:val="both"/>
        <w:rPr>
          <w:lang w:val="de-DE"/>
        </w:rPr>
      </w:pPr>
      <w:r w:rsidRPr="004676F5">
        <w:rPr>
          <w:lang w:val="de-DE"/>
        </w:rPr>
        <w:t>3. den Scheck weiter begeben, ohne das Blankoindossament auszufüllen und ohne ihn zu indossieren.</w:t>
      </w:r>
    </w:p>
    <w:p w14:paraId="0071C0BD" w14:textId="02E8CCAD" w:rsidR="00EC446E" w:rsidRPr="004676F5" w:rsidRDefault="00EC446E" w:rsidP="00EC446E">
      <w:pPr>
        <w:ind w:firstLine="708"/>
        <w:jc w:val="both"/>
        <w:rPr>
          <w:lang w:val="de-DE"/>
        </w:rPr>
      </w:pPr>
    </w:p>
    <w:p w14:paraId="3800ADCA" w14:textId="77777777" w:rsidR="00EC446E" w:rsidRPr="004676F5" w:rsidRDefault="00EC446E" w:rsidP="00EC446E">
      <w:pPr>
        <w:ind w:firstLine="708"/>
        <w:jc w:val="both"/>
        <w:rPr>
          <w:lang w:val="de-DE"/>
        </w:rPr>
      </w:pPr>
    </w:p>
    <w:p w14:paraId="26FBBB7F" w14:textId="0BE9341C" w:rsidR="00EC446E" w:rsidRPr="004676F5" w:rsidRDefault="00EC446E" w:rsidP="00EC446E">
      <w:pPr>
        <w:ind w:firstLine="708"/>
        <w:jc w:val="both"/>
        <w:rPr>
          <w:lang w:val="de-DE"/>
        </w:rPr>
      </w:pPr>
      <w:r w:rsidRPr="004676F5">
        <w:rPr>
          <w:b/>
          <w:lang w:val="de-DE"/>
        </w:rPr>
        <w:t>Art. VII.216/118</w:t>
      </w:r>
      <w:r w:rsidRPr="004676F5">
        <w:rPr>
          <w:lang w:val="de-DE"/>
        </w:rPr>
        <w:t> </w:t>
      </w:r>
      <w:r w:rsidR="005B7A5C" w:rsidRPr="004676F5">
        <w:rPr>
          <w:lang w:val="de-DE"/>
        </w:rPr>
        <w:t>- </w:t>
      </w:r>
      <w:r w:rsidRPr="004676F5">
        <w:rPr>
          <w:lang w:val="de-DE"/>
        </w:rPr>
        <w:t>Der Indossant haftet mangels eines entgegenstehenden Vermerks für die Zahlung.</w:t>
      </w:r>
    </w:p>
    <w:p w14:paraId="2254D0C1" w14:textId="77777777" w:rsidR="00EC446E" w:rsidRPr="004676F5" w:rsidRDefault="00EC446E" w:rsidP="00EC446E">
      <w:pPr>
        <w:ind w:firstLine="708"/>
        <w:jc w:val="both"/>
        <w:rPr>
          <w:lang w:val="de-DE"/>
        </w:rPr>
      </w:pPr>
    </w:p>
    <w:p w14:paraId="2AD94462" w14:textId="77777777" w:rsidR="00EC446E" w:rsidRPr="004676F5" w:rsidRDefault="00EC446E" w:rsidP="00EC446E">
      <w:pPr>
        <w:ind w:firstLine="708"/>
        <w:jc w:val="both"/>
        <w:rPr>
          <w:lang w:val="de-DE"/>
        </w:rPr>
      </w:pPr>
      <w:r w:rsidRPr="004676F5">
        <w:rPr>
          <w:lang w:val="de-DE"/>
        </w:rPr>
        <w:t>Er kann untersagen, dass der Scheck weiter indossiert wird; in diesem Fall haftet er nicht denen gegenüber, an die der Scheck weiter indossiert wird.</w:t>
      </w:r>
    </w:p>
    <w:p w14:paraId="6C2131A3" w14:textId="0D17E6EB" w:rsidR="00EC446E" w:rsidRPr="004676F5" w:rsidRDefault="00EC446E" w:rsidP="00EC446E">
      <w:pPr>
        <w:ind w:firstLine="708"/>
        <w:jc w:val="both"/>
        <w:rPr>
          <w:lang w:val="de-DE"/>
        </w:rPr>
      </w:pPr>
    </w:p>
    <w:p w14:paraId="69028941" w14:textId="77777777" w:rsidR="00EC446E" w:rsidRPr="004676F5" w:rsidRDefault="00EC446E" w:rsidP="00EC446E">
      <w:pPr>
        <w:ind w:firstLine="708"/>
        <w:jc w:val="both"/>
        <w:rPr>
          <w:lang w:val="de-DE"/>
        </w:rPr>
      </w:pPr>
    </w:p>
    <w:p w14:paraId="507A2E17" w14:textId="42B96301" w:rsidR="00EC446E" w:rsidRPr="004676F5" w:rsidRDefault="00EC446E" w:rsidP="00EC446E">
      <w:pPr>
        <w:ind w:firstLine="708"/>
        <w:jc w:val="both"/>
        <w:rPr>
          <w:lang w:val="de-DE"/>
        </w:rPr>
      </w:pPr>
      <w:r w:rsidRPr="004676F5">
        <w:rPr>
          <w:b/>
          <w:lang w:val="de-DE"/>
        </w:rPr>
        <w:t>Art. VII.216/119</w:t>
      </w:r>
      <w:r w:rsidRPr="004676F5">
        <w:rPr>
          <w:lang w:val="de-DE"/>
        </w:rPr>
        <w:t> </w:t>
      </w:r>
      <w:r w:rsidR="005B7A5C" w:rsidRPr="004676F5">
        <w:rPr>
          <w:lang w:val="de-DE"/>
        </w:rPr>
        <w:t>- </w:t>
      </w:r>
      <w:r w:rsidRPr="004676F5">
        <w:rPr>
          <w:lang w:val="de-DE"/>
        </w:rPr>
        <w:t>Wer einen durch Indossament übertragenen Scheck in Händen hat, gilt als rechtmäßiger Inhaber, sofern er sein Recht durch eine ununterbrochene Reihe von Indossamenten nachweist, und zwar auch dann, wenn das letzte ein Blankoindossament ist. Ausgestrichene Indossamente gelten hierbei als nicht geschrieben.</w:t>
      </w:r>
    </w:p>
    <w:p w14:paraId="7A4711ED" w14:textId="77777777" w:rsidR="00EC446E" w:rsidRPr="004676F5" w:rsidRDefault="00EC446E" w:rsidP="00EC446E">
      <w:pPr>
        <w:ind w:firstLine="708"/>
        <w:jc w:val="both"/>
        <w:rPr>
          <w:lang w:val="de-DE"/>
        </w:rPr>
      </w:pPr>
    </w:p>
    <w:p w14:paraId="1387AEAE" w14:textId="77777777" w:rsidR="00EC446E" w:rsidRPr="004676F5" w:rsidRDefault="00EC446E" w:rsidP="00EC446E">
      <w:pPr>
        <w:ind w:firstLine="708"/>
        <w:jc w:val="both"/>
        <w:rPr>
          <w:lang w:val="de-DE"/>
        </w:rPr>
      </w:pPr>
      <w:r w:rsidRPr="004676F5">
        <w:rPr>
          <w:lang w:val="de-DE"/>
        </w:rPr>
        <w:t>Folgt auf ein Blankoindossament ein weiteres Indossament, so wird angenommen, dass der Aussteller dieses Indossaments den Scheck durch das Blankoindossament erworben hat.</w:t>
      </w:r>
    </w:p>
    <w:p w14:paraId="57450D2B" w14:textId="77777777" w:rsidR="00EC446E" w:rsidRPr="004676F5" w:rsidRDefault="00EC446E" w:rsidP="00EC446E">
      <w:pPr>
        <w:ind w:firstLine="708"/>
        <w:jc w:val="both"/>
        <w:rPr>
          <w:lang w:val="de-DE"/>
        </w:rPr>
      </w:pPr>
    </w:p>
    <w:p w14:paraId="59213A4F" w14:textId="77777777" w:rsidR="00EC446E" w:rsidRPr="004676F5" w:rsidRDefault="00EC446E" w:rsidP="00EC446E">
      <w:pPr>
        <w:ind w:firstLine="708"/>
        <w:jc w:val="both"/>
        <w:rPr>
          <w:lang w:val="de-DE"/>
        </w:rPr>
      </w:pPr>
    </w:p>
    <w:p w14:paraId="0F172129" w14:textId="7B53B8FB" w:rsidR="00EC446E" w:rsidRPr="004676F5" w:rsidRDefault="00EC446E" w:rsidP="00EC446E">
      <w:pPr>
        <w:ind w:firstLine="708"/>
        <w:jc w:val="both"/>
        <w:rPr>
          <w:lang w:val="de-DE"/>
        </w:rPr>
      </w:pPr>
      <w:r w:rsidRPr="004676F5">
        <w:rPr>
          <w:b/>
          <w:lang w:val="de-DE"/>
        </w:rPr>
        <w:t>Art. VII.216/120</w:t>
      </w:r>
      <w:r w:rsidRPr="004676F5">
        <w:rPr>
          <w:lang w:val="de-DE"/>
        </w:rPr>
        <w:t> </w:t>
      </w:r>
      <w:r w:rsidR="005B7A5C" w:rsidRPr="004676F5">
        <w:rPr>
          <w:lang w:val="de-DE"/>
        </w:rPr>
        <w:t>- </w:t>
      </w:r>
      <w:r w:rsidRPr="004676F5">
        <w:rPr>
          <w:lang w:val="de-DE"/>
        </w:rPr>
        <w:t>Ein Indossament auf einem Inhaberscheck macht den Indossanten nach den Vorschriften über den Rückgriff haftbar, ohne aber die Urkunde in einen Orderscheck umzuwandeln.</w:t>
      </w:r>
    </w:p>
    <w:p w14:paraId="055FE303" w14:textId="6AC6BC3E" w:rsidR="00EC446E" w:rsidRPr="004676F5" w:rsidRDefault="00EC446E" w:rsidP="00EC446E">
      <w:pPr>
        <w:ind w:firstLine="708"/>
        <w:jc w:val="both"/>
        <w:rPr>
          <w:lang w:val="de-DE"/>
        </w:rPr>
      </w:pPr>
    </w:p>
    <w:p w14:paraId="653084AB" w14:textId="77777777" w:rsidR="00EC446E" w:rsidRPr="004676F5" w:rsidRDefault="00EC446E" w:rsidP="00EC446E">
      <w:pPr>
        <w:ind w:firstLine="708"/>
        <w:jc w:val="both"/>
        <w:rPr>
          <w:lang w:val="de-DE"/>
        </w:rPr>
      </w:pPr>
    </w:p>
    <w:p w14:paraId="4A9497A5" w14:textId="1F95F41C" w:rsidR="00EC446E" w:rsidRPr="004676F5" w:rsidRDefault="00EC446E" w:rsidP="00EC446E">
      <w:pPr>
        <w:ind w:firstLine="708"/>
        <w:jc w:val="both"/>
        <w:rPr>
          <w:lang w:val="de-DE"/>
        </w:rPr>
      </w:pPr>
      <w:r w:rsidRPr="004676F5">
        <w:rPr>
          <w:b/>
          <w:lang w:val="de-DE"/>
        </w:rPr>
        <w:t>Art. VII.216/121</w:t>
      </w:r>
      <w:r w:rsidRPr="004676F5">
        <w:rPr>
          <w:lang w:val="de-DE"/>
        </w:rPr>
        <w:t> </w:t>
      </w:r>
      <w:r w:rsidR="005B7A5C" w:rsidRPr="004676F5">
        <w:rPr>
          <w:lang w:val="de-DE"/>
        </w:rPr>
        <w:t>- </w:t>
      </w:r>
      <w:r w:rsidRPr="004676F5">
        <w:rPr>
          <w:lang w:val="de-DE"/>
        </w:rPr>
        <w:t>Ist der Scheck einem früheren Inhaber irgendwie abhanden</w:t>
      </w:r>
      <w:r w:rsidRPr="004676F5">
        <w:rPr>
          <w:lang w:val="de-DE"/>
        </w:rPr>
        <w:softHyphen/>
        <w:t xml:space="preserve">gekommen, so ist der Inhaber, in dessen Hände der Scheck gelangt ist </w:t>
      </w:r>
      <w:r w:rsidR="005B7A5C" w:rsidRPr="004676F5">
        <w:rPr>
          <w:lang w:val="de-DE"/>
        </w:rPr>
        <w:t>- </w:t>
      </w:r>
      <w:r w:rsidRPr="004676F5">
        <w:rPr>
          <w:lang w:val="de-DE"/>
        </w:rPr>
        <w:t>sei es, dass es sich um einen Inhaberscheck handelt, sei es, dass es sich um einen durch Indossament übertragbaren Scheck handelt und der Inhaber sein Recht gemäß Artikel VII.216/119 nachweist -, zur Herausgabe des Schecks nur verpflichtet, wenn er ihn in bösem Glauben erworben hat oder ihm beim Erwerb eine grobe Fahrlässigkeit zur Last fällt.</w:t>
      </w:r>
    </w:p>
    <w:p w14:paraId="418A7F91" w14:textId="115E6E90" w:rsidR="00EC446E" w:rsidRPr="004676F5" w:rsidRDefault="00EC446E" w:rsidP="00EC446E">
      <w:pPr>
        <w:ind w:firstLine="708"/>
        <w:jc w:val="both"/>
        <w:rPr>
          <w:lang w:val="de-DE"/>
        </w:rPr>
      </w:pPr>
    </w:p>
    <w:p w14:paraId="6EC44700" w14:textId="77777777" w:rsidR="00EC446E" w:rsidRPr="004676F5" w:rsidRDefault="00EC446E" w:rsidP="00EC446E">
      <w:pPr>
        <w:ind w:firstLine="708"/>
        <w:jc w:val="both"/>
        <w:rPr>
          <w:lang w:val="de-DE"/>
        </w:rPr>
      </w:pPr>
    </w:p>
    <w:p w14:paraId="794CA35B" w14:textId="0052950A" w:rsidR="00EC446E" w:rsidRPr="004676F5" w:rsidRDefault="00EC446E" w:rsidP="00EC446E">
      <w:pPr>
        <w:ind w:firstLine="708"/>
        <w:jc w:val="both"/>
        <w:rPr>
          <w:lang w:val="de-DE"/>
        </w:rPr>
      </w:pPr>
      <w:r w:rsidRPr="004676F5">
        <w:rPr>
          <w:b/>
          <w:lang w:val="de-DE"/>
        </w:rPr>
        <w:t>Art. VII.216/122</w:t>
      </w:r>
      <w:r w:rsidRPr="004676F5">
        <w:rPr>
          <w:lang w:val="de-DE"/>
        </w:rPr>
        <w:t> </w:t>
      </w:r>
      <w:r w:rsidR="005B7A5C" w:rsidRPr="004676F5">
        <w:rPr>
          <w:lang w:val="de-DE"/>
        </w:rPr>
        <w:t>- </w:t>
      </w:r>
      <w:r w:rsidRPr="004676F5">
        <w:rPr>
          <w:lang w:val="de-DE"/>
        </w:rPr>
        <w:t>Wer aus dem Scheck in Anspruch genommen wird, kann dem Inhaber keine Einwendungen entgegensetzen, die sich auf seine unmittelbaren Beziehungen zu dem Aussteller oder zu einem früheren Inhaber gründen, es sei denn, dass der Inhaber beim Erwerb des Schecks bewusst zum Nachteil des Schuldners gehandelt hat.</w:t>
      </w:r>
    </w:p>
    <w:p w14:paraId="0C23D76B" w14:textId="7AE4D025" w:rsidR="00EC446E" w:rsidRPr="004676F5" w:rsidRDefault="00EC446E" w:rsidP="00EC446E">
      <w:pPr>
        <w:ind w:firstLine="708"/>
        <w:jc w:val="both"/>
        <w:rPr>
          <w:lang w:val="de-DE"/>
        </w:rPr>
      </w:pPr>
    </w:p>
    <w:p w14:paraId="3712131A" w14:textId="77777777" w:rsidR="00EC446E" w:rsidRPr="004676F5" w:rsidRDefault="00EC446E" w:rsidP="00EC446E">
      <w:pPr>
        <w:ind w:firstLine="708"/>
        <w:jc w:val="both"/>
        <w:rPr>
          <w:lang w:val="de-DE"/>
        </w:rPr>
      </w:pPr>
    </w:p>
    <w:p w14:paraId="560BD300" w14:textId="70CE4EE2" w:rsidR="00EC446E" w:rsidRPr="004676F5" w:rsidRDefault="00EC446E" w:rsidP="00EC446E">
      <w:pPr>
        <w:ind w:firstLine="708"/>
        <w:jc w:val="both"/>
        <w:rPr>
          <w:lang w:val="de-DE"/>
        </w:rPr>
      </w:pPr>
      <w:r w:rsidRPr="004676F5">
        <w:rPr>
          <w:b/>
          <w:lang w:val="de-DE"/>
        </w:rPr>
        <w:t>Art. VII.216/123</w:t>
      </w:r>
      <w:r w:rsidRPr="004676F5">
        <w:rPr>
          <w:lang w:val="de-DE"/>
        </w:rPr>
        <w:t> </w:t>
      </w:r>
      <w:r w:rsidR="005B7A5C" w:rsidRPr="004676F5">
        <w:rPr>
          <w:lang w:val="de-DE"/>
        </w:rPr>
        <w:t>- </w:t>
      </w:r>
      <w:r w:rsidRPr="004676F5">
        <w:rPr>
          <w:lang w:val="de-DE"/>
        </w:rPr>
        <w:t>Enthält das Indossament den Vermerk "Wert zur Einziehung", "zum Inkasso", "in Prokura" oder einen anderen nur eine Bevollmächtigung ausdrückenden Vermerk, so kann der Inhaber alle Rechte aus dem Scheck geltend machen; aber er kann ihn nur durch ein weiteres Vollmachtindossament übertragen.</w:t>
      </w:r>
    </w:p>
    <w:p w14:paraId="1EAA8A82" w14:textId="77777777" w:rsidR="00EC446E" w:rsidRPr="004676F5" w:rsidRDefault="00EC446E" w:rsidP="00EC446E">
      <w:pPr>
        <w:ind w:firstLine="708"/>
        <w:jc w:val="both"/>
        <w:rPr>
          <w:lang w:val="de-DE"/>
        </w:rPr>
      </w:pPr>
    </w:p>
    <w:p w14:paraId="0F905919" w14:textId="77777777" w:rsidR="00EC446E" w:rsidRPr="004676F5" w:rsidRDefault="00EC446E" w:rsidP="00EC446E">
      <w:pPr>
        <w:ind w:firstLine="708"/>
        <w:jc w:val="both"/>
        <w:rPr>
          <w:lang w:val="de-DE"/>
        </w:rPr>
      </w:pPr>
      <w:r w:rsidRPr="004676F5">
        <w:rPr>
          <w:lang w:val="de-DE"/>
        </w:rPr>
        <w:t>Die Scheckverpflichteten können in diesem Fall dem Inhaber nur solche Einwendungen entgegensetzen, die ihnen gegen den Indossanten zustehen.</w:t>
      </w:r>
    </w:p>
    <w:p w14:paraId="2FB6CC94" w14:textId="77777777" w:rsidR="00EC446E" w:rsidRPr="004676F5" w:rsidRDefault="00EC446E" w:rsidP="00EC446E">
      <w:pPr>
        <w:ind w:firstLine="708"/>
        <w:jc w:val="both"/>
        <w:rPr>
          <w:lang w:val="de-DE"/>
        </w:rPr>
      </w:pPr>
    </w:p>
    <w:p w14:paraId="12D321F6" w14:textId="77777777" w:rsidR="00EC446E" w:rsidRPr="004676F5" w:rsidRDefault="00EC446E" w:rsidP="00EC446E">
      <w:pPr>
        <w:ind w:firstLine="708"/>
        <w:jc w:val="both"/>
        <w:rPr>
          <w:lang w:val="de-DE"/>
        </w:rPr>
      </w:pPr>
      <w:r w:rsidRPr="004676F5">
        <w:rPr>
          <w:lang w:val="de-DE"/>
        </w:rPr>
        <w:t>Die in dem Vollmachtindossament enthaltene Vollmacht erlischt weder mit dem Tod noch mit dem Eintritt der Handlungsunfähigkeit des Vollmachtgebers.</w:t>
      </w:r>
    </w:p>
    <w:p w14:paraId="48CA85D3" w14:textId="4B73A96E" w:rsidR="00EC446E" w:rsidRPr="004676F5" w:rsidRDefault="00EC446E" w:rsidP="00EC446E">
      <w:pPr>
        <w:ind w:firstLine="708"/>
        <w:jc w:val="both"/>
        <w:rPr>
          <w:lang w:val="de-DE"/>
        </w:rPr>
      </w:pPr>
    </w:p>
    <w:p w14:paraId="2F37CAC3" w14:textId="77777777" w:rsidR="00EC446E" w:rsidRPr="004676F5" w:rsidRDefault="00EC446E" w:rsidP="00EC446E">
      <w:pPr>
        <w:ind w:firstLine="708"/>
        <w:jc w:val="both"/>
        <w:rPr>
          <w:lang w:val="de-DE"/>
        </w:rPr>
      </w:pPr>
    </w:p>
    <w:p w14:paraId="1C7CD6FB" w14:textId="0187FE66" w:rsidR="00EC446E" w:rsidRPr="004676F5" w:rsidRDefault="00EC446E" w:rsidP="00EC446E">
      <w:pPr>
        <w:ind w:firstLine="708"/>
        <w:jc w:val="both"/>
        <w:rPr>
          <w:lang w:val="de-DE"/>
        </w:rPr>
      </w:pPr>
      <w:r w:rsidRPr="004676F5">
        <w:rPr>
          <w:b/>
          <w:lang w:val="de-DE"/>
        </w:rPr>
        <w:t>Art. VII.216/124</w:t>
      </w:r>
      <w:r w:rsidRPr="004676F5">
        <w:rPr>
          <w:lang w:val="de-DE"/>
        </w:rPr>
        <w:t> </w:t>
      </w:r>
      <w:r w:rsidR="005B7A5C" w:rsidRPr="004676F5">
        <w:rPr>
          <w:lang w:val="de-DE"/>
        </w:rPr>
        <w:t>- </w:t>
      </w:r>
      <w:r w:rsidRPr="004676F5">
        <w:rPr>
          <w:lang w:val="de-DE"/>
        </w:rPr>
        <w:t>Ein Indossament, das nach Erhebung des Protestes oder nach Vornahme einer gleichbedeutenden Feststellung oder nach Ablauf der Vorlegungsfrist auf den Scheck gesetzt wird, hat nur die Wirkungen einer gewöhnlichen Abtretung.</w:t>
      </w:r>
    </w:p>
    <w:p w14:paraId="7C50212A" w14:textId="77777777" w:rsidR="00EC446E" w:rsidRPr="004676F5" w:rsidRDefault="00EC446E" w:rsidP="00EC446E">
      <w:pPr>
        <w:ind w:firstLine="708"/>
        <w:jc w:val="both"/>
        <w:rPr>
          <w:lang w:val="de-DE"/>
        </w:rPr>
      </w:pPr>
    </w:p>
    <w:p w14:paraId="366FEC58" w14:textId="2E08AB8B" w:rsidR="00EC446E" w:rsidRPr="004676F5" w:rsidRDefault="00EC446E" w:rsidP="00EC446E">
      <w:pPr>
        <w:jc w:val="both"/>
        <w:rPr>
          <w:lang w:val="de-DE"/>
        </w:rPr>
      </w:pPr>
      <w:r w:rsidRPr="004676F5">
        <w:rPr>
          <w:lang w:val="de-DE"/>
        </w:rPr>
        <w:tab/>
        <w:t>Bis zum Beweis des Gegenteils wird vermutet, dass ein nicht datiertes Indossament vor Erhebung des Protestes oder vor der Vornahme einer gleichbedeutenden Feststellung oder vor Ablauf der in Absatz 1 erwähnten Frist auf den Scheck gesetzt worden ist.]</w:t>
      </w:r>
    </w:p>
    <w:p w14:paraId="1DA9C4CC" w14:textId="14EF7CA9" w:rsidR="00EC446E" w:rsidRPr="004676F5" w:rsidRDefault="00EC446E" w:rsidP="00EC446E">
      <w:pPr>
        <w:jc w:val="both"/>
        <w:rPr>
          <w:lang w:val="de-DE"/>
        </w:rPr>
      </w:pPr>
    </w:p>
    <w:p w14:paraId="7D495936" w14:textId="4DAF0503" w:rsidR="00EC446E" w:rsidRPr="004676F5" w:rsidRDefault="00EC446E" w:rsidP="00EC446E">
      <w:pPr>
        <w:jc w:val="both"/>
        <w:rPr>
          <w:i/>
          <w:lang w:val="de-DE"/>
        </w:rPr>
      </w:pPr>
      <w:r w:rsidRPr="004676F5">
        <w:rPr>
          <w:i/>
          <w:lang w:val="de-DE"/>
        </w:rPr>
        <w:t>[Art. VII.216/114 bis VII.216/124 eingefügt durch Art. 151 des G. vom 15. April 2018 (B.S. vom 27. April 2018)]</w:t>
      </w:r>
    </w:p>
    <w:p w14:paraId="428E1BDD" w14:textId="77777777" w:rsidR="00EC446E" w:rsidRPr="004676F5" w:rsidRDefault="00EC446E" w:rsidP="00EC446E">
      <w:pPr>
        <w:jc w:val="both"/>
        <w:rPr>
          <w:iCs/>
          <w:lang w:val="de-DE"/>
        </w:rPr>
      </w:pPr>
    </w:p>
    <w:p w14:paraId="57F386D1" w14:textId="77777777" w:rsidR="00EC446E" w:rsidRPr="004676F5" w:rsidRDefault="00EC446E" w:rsidP="00F4045F">
      <w:pPr>
        <w:jc w:val="center"/>
        <w:rPr>
          <w:lang w:val="de-DE"/>
        </w:rPr>
      </w:pPr>
    </w:p>
    <w:p w14:paraId="49D0DE41" w14:textId="77777777" w:rsidR="00EC446E" w:rsidRPr="004676F5" w:rsidRDefault="00EC446E">
      <w:pPr>
        <w:rPr>
          <w:iCs/>
          <w:lang w:val="de-DE"/>
        </w:rPr>
      </w:pPr>
      <w:r w:rsidRPr="004676F5">
        <w:rPr>
          <w:iCs/>
          <w:lang w:val="de-DE"/>
        </w:rPr>
        <w:br w:type="page"/>
      </w:r>
    </w:p>
    <w:p w14:paraId="556D8A38" w14:textId="3A19B4E5" w:rsidR="00F4045F" w:rsidRPr="004676F5" w:rsidRDefault="00EC446E" w:rsidP="00EC446E">
      <w:pPr>
        <w:jc w:val="center"/>
        <w:rPr>
          <w:iCs/>
          <w:lang w:val="de-DE"/>
        </w:rPr>
      </w:pPr>
      <w:r w:rsidRPr="004676F5">
        <w:rPr>
          <w:iCs/>
          <w:lang w:val="de-DE"/>
        </w:rPr>
        <w:lastRenderedPageBreak/>
        <w:t>[</w:t>
      </w:r>
      <w:r w:rsidRPr="004676F5">
        <w:rPr>
          <w:i/>
          <w:lang w:val="de-DE"/>
        </w:rPr>
        <w:t>Abschnitt 3</w:t>
      </w:r>
      <w:r w:rsidRPr="004676F5">
        <w:rPr>
          <w:lang w:val="de-DE"/>
        </w:rPr>
        <w:t> </w:t>
      </w:r>
      <w:r w:rsidR="005B7A5C" w:rsidRPr="004676F5">
        <w:rPr>
          <w:lang w:val="de-DE"/>
        </w:rPr>
        <w:t>- </w:t>
      </w:r>
      <w:r w:rsidRPr="004676F5">
        <w:rPr>
          <w:lang w:val="de-DE"/>
        </w:rPr>
        <w:t>Scheckbürgschaft</w:t>
      </w:r>
      <w:r w:rsidRPr="004676F5">
        <w:rPr>
          <w:iCs/>
          <w:lang w:val="de-DE"/>
        </w:rPr>
        <w:t>]</w:t>
      </w:r>
    </w:p>
    <w:p w14:paraId="6DB3A6D8" w14:textId="2014B058" w:rsidR="00EC446E" w:rsidRPr="004676F5" w:rsidRDefault="00EC446E" w:rsidP="00EC446E">
      <w:pPr>
        <w:jc w:val="center"/>
        <w:rPr>
          <w:iCs/>
          <w:lang w:val="de-DE"/>
        </w:rPr>
      </w:pPr>
    </w:p>
    <w:p w14:paraId="0096E2BC" w14:textId="02F7F60E" w:rsidR="00EC446E" w:rsidRPr="004676F5" w:rsidRDefault="00EC446E" w:rsidP="00EC446E">
      <w:pPr>
        <w:jc w:val="both"/>
        <w:rPr>
          <w:i/>
          <w:iCs/>
          <w:lang w:val="de-DE"/>
        </w:rPr>
      </w:pPr>
      <w:r w:rsidRPr="004676F5">
        <w:rPr>
          <w:i/>
          <w:lang w:val="de-DE"/>
        </w:rPr>
        <w:t>[Unterteilung Abschnitt 3 eingefügt durch Art. 152</w:t>
      </w:r>
      <w:r w:rsidRPr="004676F5">
        <w:rPr>
          <w:i/>
          <w:iCs/>
          <w:lang w:val="de-DE"/>
        </w:rPr>
        <w:t xml:space="preserve"> des G. vom 15. April 2018 (B.S. vom 27. April 2018)]</w:t>
      </w:r>
    </w:p>
    <w:p w14:paraId="7DA72F0E" w14:textId="11C5203B" w:rsidR="00EC446E" w:rsidRPr="004676F5" w:rsidRDefault="00EC446E" w:rsidP="00EC446E">
      <w:pPr>
        <w:jc w:val="both"/>
        <w:rPr>
          <w:iCs/>
          <w:lang w:val="de-DE"/>
        </w:rPr>
      </w:pPr>
    </w:p>
    <w:p w14:paraId="52723074" w14:textId="01B9B4C0" w:rsidR="00EC446E" w:rsidRPr="004676F5" w:rsidRDefault="00EC446E" w:rsidP="00EC446E">
      <w:pPr>
        <w:jc w:val="both"/>
        <w:rPr>
          <w:iCs/>
          <w:lang w:val="de-DE"/>
        </w:rPr>
      </w:pPr>
    </w:p>
    <w:p w14:paraId="05453751" w14:textId="60CA2A63" w:rsidR="00EC446E" w:rsidRPr="004676F5" w:rsidRDefault="00EC446E" w:rsidP="00EC446E">
      <w:pPr>
        <w:ind w:firstLine="708"/>
        <w:jc w:val="both"/>
        <w:rPr>
          <w:lang w:val="de-DE"/>
        </w:rPr>
      </w:pPr>
      <w:r w:rsidRPr="004676F5">
        <w:rPr>
          <w:iCs/>
          <w:lang w:val="de-DE"/>
        </w:rPr>
        <w:t>[</w:t>
      </w:r>
      <w:r w:rsidRPr="004676F5">
        <w:rPr>
          <w:b/>
          <w:lang w:val="de-DE"/>
        </w:rPr>
        <w:t>Art. VII.216/125</w:t>
      </w:r>
      <w:r w:rsidRPr="004676F5">
        <w:rPr>
          <w:lang w:val="de-DE"/>
        </w:rPr>
        <w:t> </w:t>
      </w:r>
      <w:r w:rsidR="005B7A5C" w:rsidRPr="004676F5">
        <w:rPr>
          <w:lang w:val="de-DE"/>
        </w:rPr>
        <w:t>- </w:t>
      </w:r>
      <w:r w:rsidRPr="004676F5">
        <w:rPr>
          <w:lang w:val="de-DE"/>
        </w:rPr>
        <w:t>Die Zahlung der Schecksumme kann ganz oder teilweise durch Scheckbürgschaft gesichert werden.</w:t>
      </w:r>
    </w:p>
    <w:p w14:paraId="4B67D499" w14:textId="77777777" w:rsidR="00EC446E" w:rsidRPr="004676F5" w:rsidRDefault="00EC446E" w:rsidP="00EC446E">
      <w:pPr>
        <w:ind w:firstLine="708"/>
        <w:jc w:val="both"/>
        <w:rPr>
          <w:lang w:val="de-DE"/>
        </w:rPr>
      </w:pPr>
    </w:p>
    <w:p w14:paraId="6953D7EF" w14:textId="77777777" w:rsidR="00EC446E" w:rsidRPr="004676F5" w:rsidRDefault="00EC446E" w:rsidP="00EC446E">
      <w:pPr>
        <w:ind w:firstLine="708"/>
        <w:jc w:val="both"/>
        <w:rPr>
          <w:lang w:val="de-DE"/>
        </w:rPr>
      </w:pPr>
      <w:r w:rsidRPr="004676F5">
        <w:rPr>
          <w:lang w:val="de-DE"/>
        </w:rPr>
        <w:t>Diese Sicherheit kann von einem Dritten, mit Ausnahme des Bezogenen, oder auch von einer Person geleistet werden, deren Unterschrift sich schon auf dem Scheck befindet.</w:t>
      </w:r>
    </w:p>
    <w:p w14:paraId="508FCA4F" w14:textId="16064F4F" w:rsidR="00EC446E" w:rsidRPr="004676F5" w:rsidRDefault="00EC446E" w:rsidP="00EC446E">
      <w:pPr>
        <w:ind w:firstLine="708"/>
        <w:jc w:val="both"/>
        <w:rPr>
          <w:lang w:val="de-DE"/>
        </w:rPr>
      </w:pPr>
    </w:p>
    <w:p w14:paraId="0B1D4AAA" w14:textId="77777777" w:rsidR="00EC446E" w:rsidRPr="004676F5" w:rsidRDefault="00EC446E" w:rsidP="00EC446E">
      <w:pPr>
        <w:ind w:firstLine="708"/>
        <w:jc w:val="both"/>
        <w:rPr>
          <w:lang w:val="de-DE"/>
        </w:rPr>
      </w:pPr>
    </w:p>
    <w:p w14:paraId="3751146A" w14:textId="261F3B71" w:rsidR="00EC446E" w:rsidRPr="004676F5" w:rsidRDefault="00EC446E" w:rsidP="00EC446E">
      <w:pPr>
        <w:ind w:firstLine="708"/>
        <w:jc w:val="both"/>
        <w:rPr>
          <w:lang w:val="de-DE"/>
        </w:rPr>
      </w:pPr>
      <w:r w:rsidRPr="004676F5">
        <w:rPr>
          <w:b/>
          <w:lang w:val="de-DE"/>
        </w:rPr>
        <w:t>Art. VII.216/126</w:t>
      </w:r>
      <w:r w:rsidRPr="004676F5">
        <w:rPr>
          <w:lang w:val="de-DE"/>
        </w:rPr>
        <w:t> </w:t>
      </w:r>
      <w:r w:rsidR="005B7A5C" w:rsidRPr="004676F5">
        <w:rPr>
          <w:lang w:val="de-DE"/>
        </w:rPr>
        <w:t>- </w:t>
      </w:r>
      <w:r w:rsidRPr="004676F5">
        <w:rPr>
          <w:lang w:val="de-DE"/>
        </w:rPr>
        <w:t>Die Bürgschaftserklärung wird auf den Scheck oder auf einen Anhang gesetzt.</w:t>
      </w:r>
    </w:p>
    <w:p w14:paraId="3C88E692" w14:textId="77777777" w:rsidR="00EC446E" w:rsidRPr="004676F5" w:rsidRDefault="00EC446E" w:rsidP="00EC446E">
      <w:pPr>
        <w:ind w:firstLine="708"/>
        <w:jc w:val="both"/>
        <w:rPr>
          <w:lang w:val="de-DE"/>
        </w:rPr>
      </w:pPr>
    </w:p>
    <w:p w14:paraId="6B02547D" w14:textId="77777777" w:rsidR="00EC446E" w:rsidRPr="004676F5" w:rsidRDefault="00EC446E" w:rsidP="00EC446E">
      <w:pPr>
        <w:ind w:firstLine="708"/>
        <w:jc w:val="both"/>
        <w:rPr>
          <w:lang w:val="de-DE"/>
        </w:rPr>
      </w:pPr>
      <w:r w:rsidRPr="004676F5">
        <w:rPr>
          <w:lang w:val="de-DE"/>
        </w:rPr>
        <w:t>Sie kann auch durch eine besondere Urkunde geleistet werden, sofern darin der Ort bezeichnet ist, wo sie geleistet wurde</w:t>
      </w:r>
    </w:p>
    <w:p w14:paraId="53703D5D" w14:textId="77777777" w:rsidR="00EC446E" w:rsidRPr="004676F5" w:rsidRDefault="00EC446E" w:rsidP="00EC446E">
      <w:pPr>
        <w:ind w:firstLine="708"/>
        <w:jc w:val="both"/>
        <w:rPr>
          <w:lang w:val="de-DE"/>
        </w:rPr>
      </w:pPr>
    </w:p>
    <w:p w14:paraId="13EEFFAA" w14:textId="77777777" w:rsidR="00EC446E" w:rsidRPr="004676F5" w:rsidRDefault="00EC446E" w:rsidP="00EC446E">
      <w:pPr>
        <w:ind w:firstLine="708"/>
        <w:jc w:val="both"/>
        <w:rPr>
          <w:lang w:val="de-DE"/>
        </w:rPr>
      </w:pPr>
      <w:r w:rsidRPr="004676F5">
        <w:rPr>
          <w:lang w:val="de-DE"/>
        </w:rPr>
        <w:t>Sie wird durch die Worte "als Bürge" oder einen gleichbedeutenden Vermerk ausgedrückt; sie ist von dem Scheckbürgen zu unterschreiben.</w:t>
      </w:r>
    </w:p>
    <w:p w14:paraId="52D2DF4B" w14:textId="77777777" w:rsidR="00EC446E" w:rsidRPr="004676F5" w:rsidRDefault="00EC446E" w:rsidP="00EC446E">
      <w:pPr>
        <w:ind w:firstLine="708"/>
        <w:jc w:val="both"/>
        <w:rPr>
          <w:lang w:val="de-DE"/>
        </w:rPr>
      </w:pPr>
    </w:p>
    <w:p w14:paraId="7ECD2579" w14:textId="77777777" w:rsidR="00EC446E" w:rsidRPr="004676F5" w:rsidRDefault="00EC446E" w:rsidP="00EC446E">
      <w:pPr>
        <w:ind w:firstLine="708"/>
        <w:jc w:val="both"/>
        <w:rPr>
          <w:lang w:val="de-DE"/>
        </w:rPr>
      </w:pPr>
      <w:r w:rsidRPr="004676F5">
        <w:rPr>
          <w:lang w:val="de-DE"/>
        </w:rPr>
        <w:t>Die bloße Unterschrift auf der Vorderseite des Schecks gilt als Bürgschaftserklärung, soweit es sich nicht um die Unterschrift des Ausstellers handelt.</w:t>
      </w:r>
    </w:p>
    <w:p w14:paraId="1F237C02" w14:textId="77777777" w:rsidR="00EC446E" w:rsidRPr="004676F5" w:rsidRDefault="00EC446E" w:rsidP="00EC446E">
      <w:pPr>
        <w:ind w:firstLine="708"/>
        <w:jc w:val="both"/>
        <w:rPr>
          <w:lang w:val="de-DE"/>
        </w:rPr>
      </w:pPr>
    </w:p>
    <w:p w14:paraId="2F5925AE" w14:textId="77777777" w:rsidR="00EC446E" w:rsidRPr="004676F5" w:rsidRDefault="00EC446E" w:rsidP="00EC446E">
      <w:pPr>
        <w:ind w:firstLine="708"/>
        <w:jc w:val="both"/>
        <w:rPr>
          <w:lang w:val="de-DE"/>
        </w:rPr>
      </w:pPr>
      <w:r w:rsidRPr="004676F5">
        <w:rPr>
          <w:lang w:val="de-DE"/>
        </w:rPr>
        <w:t>In der Erklärung ist anzugeben, für wen die Bürgschaft geleistet wird. Mangels einer solchen Angabe gilt sie für den Aussteller.</w:t>
      </w:r>
    </w:p>
    <w:p w14:paraId="0A074C98" w14:textId="7DC621BD" w:rsidR="00EC446E" w:rsidRPr="004676F5" w:rsidRDefault="00EC446E" w:rsidP="00EC446E">
      <w:pPr>
        <w:ind w:firstLine="708"/>
        <w:jc w:val="both"/>
        <w:rPr>
          <w:lang w:val="de-DE"/>
        </w:rPr>
      </w:pPr>
    </w:p>
    <w:p w14:paraId="35094287" w14:textId="77777777" w:rsidR="00EC446E" w:rsidRPr="004676F5" w:rsidRDefault="00EC446E" w:rsidP="00EC446E">
      <w:pPr>
        <w:ind w:firstLine="708"/>
        <w:jc w:val="both"/>
        <w:rPr>
          <w:lang w:val="de-DE"/>
        </w:rPr>
      </w:pPr>
    </w:p>
    <w:p w14:paraId="55122887" w14:textId="5E91E7DE" w:rsidR="00EC446E" w:rsidRPr="004676F5" w:rsidRDefault="00EC446E" w:rsidP="00EC446E">
      <w:pPr>
        <w:ind w:firstLine="708"/>
        <w:jc w:val="both"/>
        <w:rPr>
          <w:lang w:val="de-DE"/>
        </w:rPr>
      </w:pPr>
      <w:r w:rsidRPr="004676F5">
        <w:rPr>
          <w:b/>
          <w:lang w:val="de-DE"/>
        </w:rPr>
        <w:t>Art. VII.216/127</w:t>
      </w:r>
      <w:r w:rsidRPr="004676F5">
        <w:rPr>
          <w:lang w:val="de-DE"/>
        </w:rPr>
        <w:t> </w:t>
      </w:r>
      <w:r w:rsidR="005B7A5C" w:rsidRPr="004676F5">
        <w:rPr>
          <w:lang w:val="de-DE"/>
        </w:rPr>
        <w:t>- </w:t>
      </w:r>
      <w:r w:rsidRPr="004676F5">
        <w:rPr>
          <w:lang w:val="de-DE"/>
        </w:rPr>
        <w:t>Der Scheckbürge haftet in der gleichen Weise wie derjenige, für den er sich verbürgt hat.</w:t>
      </w:r>
    </w:p>
    <w:p w14:paraId="34A99D8F" w14:textId="77777777" w:rsidR="00EC446E" w:rsidRPr="004676F5" w:rsidRDefault="00EC446E" w:rsidP="00EC446E">
      <w:pPr>
        <w:ind w:firstLine="708"/>
        <w:jc w:val="both"/>
        <w:rPr>
          <w:lang w:val="de-DE"/>
        </w:rPr>
      </w:pPr>
    </w:p>
    <w:p w14:paraId="6A0E3A9B" w14:textId="77777777" w:rsidR="00EC446E" w:rsidRPr="004676F5" w:rsidRDefault="00EC446E" w:rsidP="00EC446E">
      <w:pPr>
        <w:ind w:firstLine="708"/>
        <w:jc w:val="both"/>
        <w:rPr>
          <w:lang w:val="de-DE"/>
        </w:rPr>
      </w:pPr>
      <w:r w:rsidRPr="004676F5">
        <w:rPr>
          <w:lang w:val="de-DE"/>
        </w:rPr>
        <w:t>Seine Verpflichtungserklärung ist auch gültig, wenn die Verbindlichkeit, für die er sich verbürgt hat, aus einem anderen Grund als wegen eines Formfehlers nichtig ist.</w:t>
      </w:r>
    </w:p>
    <w:p w14:paraId="3EEB4D56" w14:textId="77777777" w:rsidR="00EC446E" w:rsidRPr="004676F5" w:rsidRDefault="00EC446E" w:rsidP="00EC446E">
      <w:pPr>
        <w:ind w:firstLine="708"/>
        <w:jc w:val="both"/>
        <w:rPr>
          <w:lang w:val="de-DE"/>
        </w:rPr>
      </w:pPr>
    </w:p>
    <w:p w14:paraId="4C57DEB9" w14:textId="3F49FA0D" w:rsidR="00EC446E" w:rsidRPr="004676F5" w:rsidRDefault="00EC446E" w:rsidP="00EC446E">
      <w:pPr>
        <w:jc w:val="both"/>
        <w:rPr>
          <w:lang w:val="de-DE"/>
        </w:rPr>
      </w:pPr>
      <w:r w:rsidRPr="004676F5">
        <w:rPr>
          <w:lang w:val="de-DE"/>
        </w:rPr>
        <w:tab/>
        <w:t>Der Scheckbürge, der den Scheck bezahlt, erwirbt die Rechte aus dem Scheck gegen denjenigen, für den er sich verbürgt hat, und gegen alle, die diesem scheckmäßig haften.]</w:t>
      </w:r>
    </w:p>
    <w:p w14:paraId="140AA9BB" w14:textId="781E18B6" w:rsidR="00EC446E" w:rsidRPr="004676F5" w:rsidRDefault="00EC446E" w:rsidP="00EC446E">
      <w:pPr>
        <w:jc w:val="both"/>
        <w:rPr>
          <w:lang w:val="de-DE"/>
        </w:rPr>
      </w:pPr>
    </w:p>
    <w:p w14:paraId="66BAC422" w14:textId="05C3F6E1" w:rsidR="00EC446E" w:rsidRPr="004676F5" w:rsidRDefault="00EC446E" w:rsidP="00EC446E">
      <w:pPr>
        <w:jc w:val="both"/>
        <w:rPr>
          <w:i/>
          <w:lang w:val="de-DE"/>
        </w:rPr>
      </w:pPr>
      <w:r w:rsidRPr="004676F5">
        <w:rPr>
          <w:i/>
          <w:lang w:val="de-DE"/>
        </w:rPr>
        <w:t>[Art. VII.216/125 bis VII.216/127 eingefügt durch Art. 153 des G. vom 15. April 2018 (B.S. vom 27. April 2018)]</w:t>
      </w:r>
    </w:p>
    <w:p w14:paraId="35A6FDA5" w14:textId="69C96089" w:rsidR="00EC446E" w:rsidRPr="004676F5" w:rsidRDefault="00EC446E" w:rsidP="00EC446E">
      <w:pPr>
        <w:jc w:val="both"/>
        <w:rPr>
          <w:iCs/>
          <w:lang w:val="de-DE"/>
        </w:rPr>
      </w:pPr>
    </w:p>
    <w:p w14:paraId="6D895E4E" w14:textId="49F3BDD0" w:rsidR="00EC446E" w:rsidRPr="004676F5" w:rsidRDefault="00EC446E" w:rsidP="00EC446E">
      <w:pPr>
        <w:jc w:val="both"/>
        <w:rPr>
          <w:iCs/>
          <w:lang w:val="de-DE"/>
        </w:rPr>
      </w:pPr>
    </w:p>
    <w:p w14:paraId="26C5A88F" w14:textId="255F4738" w:rsidR="00EC446E" w:rsidRPr="004676F5" w:rsidRDefault="00EC446E" w:rsidP="00EC446E">
      <w:pPr>
        <w:jc w:val="center"/>
        <w:rPr>
          <w:iCs/>
          <w:lang w:val="de-DE"/>
        </w:rPr>
      </w:pPr>
      <w:r w:rsidRPr="004676F5">
        <w:rPr>
          <w:iCs/>
          <w:lang w:val="de-DE"/>
        </w:rPr>
        <w:t>[</w:t>
      </w:r>
      <w:r w:rsidRPr="004676F5">
        <w:rPr>
          <w:i/>
          <w:lang w:val="de-DE"/>
        </w:rPr>
        <w:t>Abschnitt 4 </w:t>
      </w:r>
      <w:r w:rsidR="005B7A5C" w:rsidRPr="004676F5">
        <w:rPr>
          <w:lang w:val="de-DE"/>
        </w:rPr>
        <w:t>- </w:t>
      </w:r>
      <w:r w:rsidRPr="004676F5">
        <w:rPr>
          <w:lang w:val="de-DE"/>
        </w:rPr>
        <w:t>Vorlegung und Zahlung</w:t>
      </w:r>
      <w:r w:rsidRPr="004676F5">
        <w:rPr>
          <w:iCs/>
          <w:lang w:val="de-DE"/>
        </w:rPr>
        <w:t>]</w:t>
      </w:r>
    </w:p>
    <w:p w14:paraId="42053442" w14:textId="5CB294DA" w:rsidR="00EC446E" w:rsidRPr="004676F5" w:rsidRDefault="00EC446E" w:rsidP="00EC446E">
      <w:pPr>
        <w:jc w:val="center"/>
        <w:rPr>
          <w:iCs/>
          <w:lang w:val="de-DE"/>
        </w:rPr>
      </w:pPr>
    </w:p>
    <w:p w14:paraId="7B15DF99" w14:textId="4D594075" w:rsidR="00EC446E" w:rsidRPr="004676F5" w:rsidRDefault="00EC446E" w:rsidP="00EC446E">
      <w:pPr>
        <w:jc w:val="both"/>
        <w:rPr>
          <w:i/>
          <w:iCs/>
          <w:lang w:val="de-DE"/>
        </w:rPr>
      </w:pPr>
      <w:r w:rsidRPr="004676F5">
        <w:rPr>
          <w:i/>
          <w:lang w:val="de-DE"/>
        </w:rPr>
        <w:t>[Unterteilung Abschnitt 4 eingefügt durch Art. 154</w:t>
      </w:r>
      <w:r w:rsidRPr="004676F5">
        <w:rPr>
          <w:i/>
          <w:iCs/>
          <w:lang w:val="de-DE"/>
        </w:rPr>
        <w:t xml:space="preserve"> des G. vom 15. April 2018 (B.S. vom 27. April 2018)]</w:t>
      </w:r>
    </w:p>
    <w:p w14:paraId="740AA962" w14:textId="58110F7C" w:rsidR="00EC446E" w:rsidRPr="004676F5" w:rsidRDefault="00EC446E" w:rsidP="00EC446E">
      <w:pPr>
        <w:jc w:val="both"/>
        <w:rPr>
          <w:iCs/>
          <w:lang w:val="de-DE"/>
        </w:rPr>
      </w:pPr>
    </w:p>
    <w:p w14:paraId="218BDDB1" w14:textId="0DC49A62" w:rsidR="00EC446E" w:rsidRPr="004676F5" w:rsidRDefault="00EC446E" w:rsidP="00EC446E">
      <w:pPr>
        <w:jc w:val="both"/>
        <w:rPr>
          <w:iCs/>
          <w:lang w:val="de-DE"/>
        </w:rPr>
      </w:pPr>
    </w:p>
    <w:p w14:paraId="1C91F3B3" w14:textId="41056413" w:rsidR="00EC446E" w:rsidRPr="004676F5" w:rsidRDefault="00EC446E" w:rsidP="00EC446E">
      <w:pPr>
        <w:ind w:firstLine="708"/>
        <w:jc w:val="both"/>
        <w:rPr>
          <w:lang w:val="de-DE"/>
        </w:rPr>
      </w:pPr>
      <w:r w:rsidRPr="004676F5">
        <w:rPr>
          <w:iCs/>
          <w:lang w:val="de-DE"/>
        </w:rPr>
        <w:t>[</w:t>
      </w:r>
      <w:r w:rsidRPr="004676F5">
        <w:rPr>
          <w:b/>
          <w:lang w:val="de-DE"/>
        </w:rPr>
        <w:t>Art. VII.216/128</w:t>
      </w:r>
      <w:r w:rsidRPr="004676F5">
        <w:rPr>
          <w:lang w:val="de-DE"/>
        </w:rPr>
        <w:t> </w:t>
      </w:r>
      <w:r w:rsidR="005B7A5C" w:rsidRPr="004676F5">
        <w:rPr>
          <w:lang w:val="de-DE"/>
        </w:rPr>
        <w:t>- </w:t>
      </w:r>
      <w:r w:rsidRPr="004676F5">
        <w:rPr>
          <w:lang w:val="de-DE"/>
        </w:rPr>
        <w:t>Der Scheck ist bei Sicht zahlbar. Jede gegenteilige Angabe gilt als nicht geschrieben.</w:t>
      </w:r>
    </w:p>
    <w:p w14:paraId="263ECE08" w14:textId="77777777" w:rsidR="00EC446E" w:rsidRPr="004676F5" w:rsidRDefault="00EC446E" w:rsidP="00EC446E">
      <w:pPr>
        <w:ind w:firstLine="708"/>
        <w:jc w:val="both"/>
        <w:rPr>
          <w:lang w:val="de-DE"/>
        </w:rPr>
      </w:pPr>
    </w:p>
    <w:p w14:paraId="5272BEA1" w14:textId="77777777" w:rsidR="00EC446E" w:rsidRPr="004676F5" w:rsidRDefault="00EC446E" w:rsidP="00EC446E">
      <w:pPr>
        <w:ind w:firstLine="708"/>
        <w:jc w:val="both"/>
        <w:rPr>
          <w:lang w:val="de-DE"/>
        </w:rPr>
      </w:pPr>
      <w:r w:rsidRPr="004676F5">
        <w:rPr>
          <w:lang w:val="de-DE"/>
        </w:rPr>
        <w:lastRenderedPageBreak/>
        <w:t>Ein Scheck, der vor Eintritt des auf ihm angegebenen Ausstellungstages zur Zahlung vorgelegt wird, ist am Tag der Vorlegung zahlbar.</w:t>
      </w:r>
    </w:p>
    <w:p w14:paraId="17080965" w14:textId="493013F9" w:rsidR="00EC446E" w:rsidRPr="004676F5" w:rsidRDefault="00EC446E" w:rsidP="00EC446E">
      <w:pPr>
        <w:ind w:firstLine="708"/>
        <w:jc w:val="both"/>
        <w:rPr>
          <w:lang w:val="de-DE"/>
        </w:rPr>
      </w:pPr>
    </w:p>
    <w:p w14:paraId="547B0A07" w14:textId="77777777" w:rsidR="00EC446E" w:rsidRPr="004676F5" w:rsidRDefault="00EC446E" w:rsidP="00EC446E">
      <w:pPr>
        <w:ind w:firstLine="708"/>
        <w:jc w:val="both"/>
        <w:rPr>
          <w:lang w:val="de-DE"/>
        </w:rPr>
      </w:pPr>
    </w:p>
    <w:p w14:paraId="2A5D388A" w14:textId="67E57DDE" w:rsidR="00EC446E" w:rsidRPr="004676F5" w:rsidRDefault="00EC446E" w:rsidP="00EC446E">
      <w:pPr>
        <w:ind w:firstLine="708"/>
        <w:jc w:val="both"/>
        <w:rPr>
          <w:lang w:val="de-DE"/>
        </w:rPr>
      </w:pPr>
      <w:r w:rsidRPr="004676F5">
        <w:rPr>
          <w:b/>
          <w:lang w:val="de-DE"/>
        </w:rPr>
        <w:t>Art. VII.216/129</w:t>
      </w:r>
      <w:r w:rsidRPr="004676F5">
        <w:rPr>
          <w:lang w:val="de-DE"/>
        </w:rPr>
        <w:t> </w:t>
      </w:r>
      <w:r w:rsidR="005B7A5C" w:rsidRPr="004676F5">
        <w:rPr>
          <w:lang w:val="de-DE"/>
        </w:rPr>
        <w:t>- </w:t>
      </w:r>
      <w:r w:rsidRPr="004676F5">
        <w:rPr>
          <w:lang w:val="de-DE"/>
        </w:rPr>
        <w:t>Ein in Belgien ausgestellter und zahlbarer Scheck muss binnen acht Tagen zur Zahlung vorgelegt werden.</w:t>
      </w:r>
    </w:p>
    <w:p w14:paraId="554EDF99" w14:textId="77777777" w:rsidR="00EC446E" w:rsidRPr="004676F5" w:rsidRDefault="00EC446E" w:rsidP="00EC446E">
      <w:pPr>
        <w:ind w:firstLine="708"/>
        <w:jc w:val="both"/>
        <w:rPr>
          <w:lang w:val="de-DE"/>
        </w:rPr>
      </w:pPr>
    </w:p>
    <w:p w14:paraId="4DE4C5C6" w14:textId="77777777" w:rsidR="00EC446E" w:rsidRPr="004676F5" w:rsidRDefault="00EC446E" w:rsidP="00EC446E">
      <w:pPr>
        <w:ind w:firstLine="708"/>
        <w:jc w:val="both"/>
        <w:rPr>
          <w:lang w:val="de-DE"/>
        </w:rPr>
      </w:pPr>
      <w:r w:rsidRPr="004676F5">
        <w:rPr>
          <w:lang w:val="de-DE"/>
        </w:rPr>
        <w:t>Ein außerhalb Belgiens ausgestellter Scheck, der auf dem Gebiet des Königreichs zahlbar ist, muss binnen zwanzig Tagen vorgelegt werden, wenn der Ausstellungsort sich in Europa befindet, und binnen hundertzwanzig Tagen, wenn der Ausstellungsort sich außerhalb Europas befindet.</w:t>
      </w:r>
    </w:p>
    <w:p w14:paraId="5C842AEC" w14:textId="77777777" w:rsidR="00EC446E" w:rsidRPr="004676F5" w:rsidRDefault="00EC446E" w:rsidP="00EC446E">
      <w:pPr>
        <w:ind w:firstLine="708"/>
        <w:jc w:val="both"/>
        <w:rPr>
          <w:lang w:val="de-DE"/>
        </w:rPr>
      </w:pPr>
    </w:p>
    <w:p w14:paraId="556F9273" w14:textId="77777777" w:rsidR="00EC446E" w:rsidRPr="004676F5" w:rsidRDefault="00EC446E" w:rsidP="00EC446E">
      <w:pPr>
        <w:ind w:firstLine="708"/>
        <w:jc w:val="both"/>
        <w:rPr>
          <w:lang w:val="de-DE"/>
        </w:rPr>
      </w:pPr>
      <w:r w:rsidRPr="004676F5">
        <w:rPr>
          <w:lang w:val="de-DE"/>
        </w:rPr>
        <w:t>Hierbei gelten Schecks, die in einem an das Mittelmeer grenzenden Staat ausgestellt werden, als in Europa ausgestellt.</w:t>
      </w:r>
    </w:p>
    <w:p w14:paraId="34522324" w14:textId="77777777" w:rsidR="00EC446E" w:rsidRPr="004676F5" w:rsidRDefault="00EC446E" w:rsidP="00EC446E">
      <w:pPr>
        <w:ind w:firstLine="708"/>
        <w:jc w:val="both"/>
        <w:rPr>
          <w:lang w:val="de-DE"/>
        </w:rPr>
      </w:pPr>
    </w:p>
    <w:p w14:paraId="4E1ADBFE" w14:textId="77777777" w:rsidR="00EC446E" w:rsidRPr="004676F5" w:rsidRDefault="00EC446E" w:rsidP="00EC446E">
      <w:pPr>
        <w:ind w:firstLine="708"/>
        <w:jc w:val="both"/>
        <w:rPr>
          <w:lang w:val="de-DE"/>
        </w:rPr>
      </w:pPr>
      <w:r w:rsidRPr="004676F5">
        <w:rPr>
          <w:lang w:val="de-DE"/>
        </w:rPr>
        <w:t>Die in Absatz 2 vorgesehenen Fristen gelten auch, wenn aus den bei der Ausstellung gemachten Angaben auf dem Scheck hervorgeht, dass er in Belgien ausgestellt und zahlbar ist, jedoch in einem anderen Land umlaufen soll; die Fristen betragen zwanzig oder hundertzwanzig Tage, je nachdem, ob der Scheck innerhalb beziehungsweise außerhalb Europas umlaufen soll.</w:t>
      </w:r>
    </w:p>
    <w:p w14:paraId="777676C9" w14:textId="77777777" w:rsidR="00EC446E" w:rsidRPr="004676F5" w:rsidRDefault="00EC446E" w:rsidP="00EC446E">
      <w:pPr>
        <w:ind w:firstLine="708"/>
        <w:jc w:val="both"/>
        <w:rPr>
          <w:lang w:val="de-DE"/>
        </w:rPr>
      </w:pPr>
    </w:p>
    <w:p w14:paraId="16B80338" w14:textId="77777777" w:rsidR="00EC446E" w:rsidRPr="004676F5" w:rsidRDefault="00EC446E" w:rsidP="00EC446E">
      <w:pPr>
        <w:ind w:firstLine="708"/>
        <w:jc w:val="both"/>
        <w:rPr>
          <w:lang w:val="de-DE"/>
        </w:rPr>
      </w:pPr>
      <w:r w:rsidRPr="004676F5">
        <w:rPr>
          <w:lang w:val="de-DE"/>
        </w:rPr>
        <w:t>Die vorstehend erwähnten Fristen beginnen an dem Tag zu laufen, der auf dem Scheck als Ausstellungstag angegeben ist.</w:t>
      </w:r>
    </w:p>
    <w:p w14:paraId="2C603B1C" w14:textId="0F3C8ED4" w:rsidR="00EC446E" w:rsidRPr="004676F5" w:rsidRDefault="00EC446E" w:rsidP="00EC446E">
      <w:pPr>
        <w:ind w:firstLine="708"/>
        <w:jc w:val="both"/>
        <w:rPr>
          <w:lang w:val="de-DE"/>
        </w:rPr>
      </w:pPr>
    </w:p>
    <w:p w14:paraId="21401E27" w14:textId="77777777" w:rsidR="00EC446E" w:rsidRPr="004676F5" w:rsidRDefault="00EC446E" w:rsidP="00EC446E">
      <w:pPr>
        <w:ind w:firstLine="708"/>
        <w:jc w:val="both"/>
        <w:rPr>
          <w:lang w:val="de-DE"/>
        </w:rPr>
      </w:pPr>
    </w:p>
    <w:p w14:paraId="02C86AC1" w14:textId="18704534" w:rsidR="00EC446E" w:rsidRPr="004676F5" w:rsidRDefault="00EC446E" w:rsidP="00EC446E">
      <w:pPr>
        <w:ind w:firstLine="708"/>
        <w:jc w:val="both"/>
        <w:rPr>
          <w:lang w:val="de-DE"/>
        </w:rPr>
      </w:pPr>
      <w:r w:rsidRPr="004676F5">
        <w:rPr>
          <w:b/>
          <w:lang w:val="de-DE"/>
        </w:rPr>
        <w:t>Art. VII.216/130</w:t>
      </w:r>
      <w:r w:rsidRPr="004676F5">
        <w:rPr>
          <w:lang w:val="de-DE"/>
        </w:rPr>
        <w:t> </w:t>
      </w:r>
      <w:r w:rsidR="005B7A5C" w:rsidRPr="004676F5">
        <w:rPr>
          <w:lang w:val="de-DE"/>
        </w:rPr>
        <w:t>- </w:t>
      </w:r>
      <w:r w:rsidRPr="004676F5">
        <w:rPr>
          <w:lang w:val="de-DE"/>
        </w:rPr>
        <w:t>Ist ein Scheck auf einen Ort gezogen, dessen Kalender von dem des Ausstellungsortes abweicht, so wird der Tag der Ausstellung in den nach dem Kalender des Zahlungsortes entsprechenden Tag umgerechnet.</w:t>
      </w:r>
    </w:p>
    <w:p w14:paraId="5DB42FD3" w14:textId="33D18E6B" w:rsidR="00EC446E" w:rsidRPr="004676F5" w:rsidRDefault="00EC446E" w:rsidP="00EC446E">
      <w:pPr>
        <w:ind w:firstLine="708"/>
        <w:jc w:val="both"/>
        <w:rPr>
          <w:lang w:val="de-DE"/>
        </w:rPr>
      </w:pPr>
    </w:p>
    <w:p w14:paraId="095166F5" w14:textId="77777777" w:rsidR="00EC446E" w:rsidRPr="004676F5" w:rsidRDefault="00EC446E" w:rsidP="00EC446E">
      <w:pPr>
        <w:ind w:firstLine="708"/>
        <w:jc w:val="both"/>
        <w:rPr>
          <w:lang w:val="de-DE"/>
        </w:rPr>
      </w:pPr>
    </w:p>
    <w:p w14:paraId="649B96F5" w14:textId="0C1846A6" w:rsidR="00EC446E" w:rsidRPr="004676F5" w:rsidRDefault="00EC446E" w:rsidP="00EC446E">
      <w:pPr>
        <w:ind w:firstLine="708"/>
        <w:jc w:val="both"/>
        <w:rPr>
          <w:lang w:val="de-DE"/>
        </w:rPr>
      </w:pPr>
      <w:r w:rsidRPr="004676F5">
        <w:rPr>
          <w:b/>
          <w:lang w:val="de-DE"/>
        </w:rPr>
        <w:t>Art. VII.216/131</w:t>
      </w:r>
      <w:r w:rsidRPr="004676F5">
        <w:rPr>
          <w:lang w:val="de-DE"/>
        </w:rPr>
        <w:t> </w:t>
      </w:r>
      <w:r w:rsidR="005B7A5C" w:rsidRPr="004676F5">
        <w:rPr>
          <w:lang w:val="de-DE"/>
        </w:rPr>
        <w:t>- </w:t>
      </w:r>
      <w:r w:rsidRPr="004676F5">
        <w:rPr>
          <w:lang w:val="de-DE"/>
        </w:rPr>
        <w:t>Die Einlieferung in eine von der Regierung bezeichnete Abrechnungsstelle steht der Vorlegung zur Zahlung gleich.</w:t>
      </w:r>
    </w:p>
    <w:p w14:paraId="3FFB15A9" w14:textId="12E76E71" w:rsidR="00EC446E" w:rsidRPr="004676F5" w:rsidRDefault="00EC446E" w:rsidP="00EC446E">
      <w:pPr>
        <w:ind w:firstLine="708"/>
        <w:jc w:val="both"/>
        <w:rPr>
          <w:lang w:val="de-DE"/>
        </w:rPr>
      </w:pPr>
    </w:p>
    <w:p w14:paraId="5384A9AF" w14:textId="77777777" w:rsidR="00EC446E" w:rsidRPr="004676F5" w:rsidRDefault="00EC446E" w:rsidP="00EC446E">
      <w:pPr>
        <w:ind w:firstLine="708"/>
        <w:jc w:val="both"/>
        <w:rPr>
          <w:lang w:val="de-DE"/>
        </w:rPr>
      </w:pPr>
    </w:p>
    <w:p w14:paraId="1E7ADA60" w14:textId="31B35812" w:rsidR="00EC446E" w:rsidRPr="004676F5" w:rsidRDefault="00EC446E" w:rsidP="00EC446E">
      <w:pPr>
        <w:ind w:firstLine="708"/>
        <w:jc w:val="both"/>
        <w:rPr>
          <w:lang w:val="de-DE"/>
        </w:rPr>
      </w:pPr>
      <w:r w:rsidRPr="004676F5">
        <w:rPr>
          <w:b/>
          <w:lang w:val="de-DE"/>
        </w:rPr>
        <w:t>Art. VII.216/132</w:t>
      </w:r>
      <w:r w:rsidRPr="004676F5">
        <w:rPr>
          <w:lang w:val="de-DE"/>
        </w:rPr>
        <w:t> </w:t>
      </w:r>
      <w:r w:rsidR="005B7A5C" w:rsidRPr="004676F5">
        <w:rPr>
          <w:lang w:val="de-DE"/>
        </w:rPr>
        <w:t>- </w:t>
      </w:r>
      <w:r w:rsidRPr="004676F5">
        <w:rPr>
          <w:lang w:val="de-DE"/>
        </w:rPr>
        <w:t xml:space="preserve">Ein Widerruf des Schecks ist erst nach Ablauf der Vorlegungsfrist wirksam. </w:t>
      </w:r>
    </w:p>
    <w:p w14:paraId="6A185084" w14:textId="77777777" w:rsidR="00EC446E" w:rsidRPr="004676F5" w:rsidRDefault="00EC446E" w:rsidP="00EC446E">
      <w:pPr>
        <w:ind w:firstLine="708"/>
        <w:jc w:val="both"/>
        <w:rPr>
          <w:lang w:val="de-DE"/>
        </w:rPr>
      </w:pPr>
    </w:p>
    <w:p w14:paraId="41D5C845" w14:textId="77777777" w:rsidR="00EC446E" w:rsidRPr="004676F5" w:rsidRDefault="00EC446E" w:rsidP="00EC446E">
      <w:pPr>
        <w:ind w:firstLine="708"/>
        <w:jc w:val="both"/>
        <w:rPr>
          <w:lang w:val="de-DE"/>
        </w:rPr>
      </w:pPr>
      <w:r w:rsidRPr="004676F5">
        <w:rPr>
          <w:lang w:val="de-DE"/>
        </w:rPr>
        <w:t>Wenn der Scheck nicht widerrufen ist, kann der Bezogene auch nach Ablauf der Vorlegungsfrist Zahlung leisten.</w:t>
      </w:r>
    </w:p>
    <w:p w14:paraId="4170E39F" w14:textId="77777777" w:rsidR="00EC446E" w:rsidRPr="004676F5" w:rsidRDefault="00EC446E" w:rsidP="00EC446E">
      <w:pPr>
        <w:ind w:firstLine="708"/>
        <w:jc w:val="both"/>
        <w:rPr>
          <w:lang w:val="de-DE"/>
        </w:rPr>
      </w:pPr>
    </w:p>
    <w:p w14:paraId="7B6680CC" w14:textId="77777777" w:rsidR="00EC446E" w:rsidRPr="004676F5" w:rsidRDefault="00EC446E" w:rsidP="00EC446E">
      <w:pPr>
        <w:ind w:firstLine="708"/>
        <w:jc w:val="both"/>
        <w:rPr>
          <w:b/>
          <w:lang w:val="de-DE"/>
        </w:rPr>
      </w:pPr>
    </w:p>
    <w:p w14:paraId="22D91B76" w14:textId="505D7C6F" w:rsidR="00EC446E" w:rsidRPr="004676F5" w:rsidRDefault="00EC446E" w:rsidP="00EC446E">
      <w:pPr>
        <w:ind w:firstLine="708"/>
        <w:jc w:val="both"/>
        <w:rPr>
          <w:lang w:val="de-DE"/>
        </w:rPr>
      </w:pPr>
      <w:r w:rsidRPr="004676F5">
        <w:rPr>
          <w:b/>
          <w:lang w:val="de-DE"/>
        </w:rPr>
        <w:t>Art. VII.216/133</w:t>
      </w:r>
      <w:r w:rsidRPr="004676F5">
        <w:rPr>
          <w:lang w:val="de-DE"/>
        </w:rPr>
        <w:t> </w:t>
      </w:r>
      <w:r w:rsidR="005B7A5C" w:rsidRPr="004676F5">
        <w:rPr>
          <w:lang w:val="de-DE"/>
        </w:rPr>
        <w:t>- </w:t>
      </w:r>
      <w:r w:rsidRPr="004676F5">
        <w:rPr>
          <w:lang w:val="de-DE"/>
        </w:rPr>
        <w:t>Auf die Wirksamkeit des Schecks ist es ohne Einfluss, wenn der Aussteller nach der Begebung des Schecks stirbt oder handlungsunfähig wird.</w:t>
      </w:r>
    </w:p>
    <w:p w14:paraId="7DFF4964" w14:textId="266808DF" w:rsidR="00EC446E" w:rsidRPr="004676F5" w:rsidRDefault="00EC446E" w:rsidP="00EC446E">
      <w:pPr>
        <w:ind w:firstLine="708"/>
        <w:jc w:val="both"/>
        <w:rPr>
          <w:lang w:val="de-DE"/>
        </w:rPr>
      </w:pPr>
    </w:p>
    <w:p w14:paraId="0029291C" w14:textId="77777777" w:rsidR="00EC446E" w:rsidRPr="004676F5" w:rsidRDefault="00EC446E" w:rsidP="00EC446E">
      <w:pPr>
        <w:ind w:firstLine="708"/>
        <w:jc w:val="both"/>
        <w:rPr>
          <w:lang w:val="de-DE"/>
        </w:rPr>
      </w:pPr>
    </w:p>
    <w:p w14:paraId="45AF8521" w14:textId="75FE521E" w:rsidR="00EC446E" w:rsidRPr="004676F5" w:rsidRDefault="00EC446E" w:rsidP="00EC446E">
      <w:pPr>
        <w:ind w:firstLine="708"/>
        <w:jc w:val="both"/>
        <w:rPr>
          <w:lang w:val="de-DE"/>
        </w:rPr>
      </w:pPr>
      <w:r w:rsidRPr="004676F5">
        <w:rPr>
          <w:b/>
          <w:lang w:val="de-DE"/>
        </w:rPr>
        <w:t>Art. VII.216/134</w:t>
      </w:r>
      <w:r w:rsidRPr="004676F5">
        <w:rPr>
          <w:lang w:val="de-DE"/>
        </w:rPr>
        <w:t> </w:t>
      </w:r>
      <w:r w:rsidR="005B7A5C" w:rsidRPr="004676F5">
        <w:rPr>
          <w:lang w:val="de-DE"/>
        </w:rPr>
        <w:t>- </w:t>
      </w:r>
      <w:r w:rsidRPr="004676F5">
        <w:rPr>
          <w:lang w:val="de-DE"/>
        </w:rPr>
        <w:t>Der Bezogene kann vom Inhaber gegen Zahlung die Aushändigung des quittierten Schecks verlangen.</w:t>
      </w:r>
    </w:p>
    <w:p w14:paraId="799309F1" w14:textId="77777777" w:rsidR="00EC446E" w:rsidRPr="004676F5" w:rsidRDefault="00EC446E" w:rsidP="00EC446E">
      <w:pPr>
        <w:ind w:firstLine="708"/>
        <w:jc w:val="both"/>
        <w:rPr>
          <w:lang w:val="de-DE"/>
        </w:rPr>
      </w:pPr>
    </w:p>
    <w:p w14:paraId="18F16348" w14:textId="77777777" w:rsidR="00EC446E" w:rsidRPr="004676F5" w:rsidRDefault="00EC446E" w:rsidP="00EC446E">
      <w:pPr>
        <w:ind w:firstLine="708"/>
        <w:jc w:val="both"/>
        <w:rPr>
          <w:lang w:val="de-DE"/>
        </w:rPr>
      </w:pPr>
      <w:r w:rsidRPr="004676F5">
        <w:rPr>
          <w:lang w:val="de-DE"/>
        </w:rPr>
        <w:t>Der Inhaber darf eine Teilzahlung nicht zurückweisen.</w:t>
      </w:r>
    </w:p>
    <w:p w14:paraId="7F7A7707" w14:textId="77777777" w:rsidR="00EC446E" w:rsidRPr="004676F5" w:rsidRDefault="00EC446E" w:rsidP="00EC446E">
      <w:pPr>
        <w:ind w:firstLine="708"/>
        <w:jc w:val="both"/>
        <w:rPr>
          <w:lang w:val="de-DE"/>
        </w:rPr>
      </w:pPr>
    </w:p>
    <w:p w14:paraId="18353863" w14:textId="77777777" w:rsidR="00EC446E" w:rsidRPr="004676F5" w:rsidRDefault="00EC446E" w:rsidP="00EC446E">
      <w:pPr>
        <w:ind w:firstLine="708"/>
        <w:jc w:val="both"/>
        <w:rPr>
          <w:lang w:val="de-DE"/>
        </w:rPr>
      </w:pPr>
      <w:r w:rsidRPr="004676F5">
        <w:rPr>
          <w:lang w:val="de-DE"/>
        </w:rPr>
        <w:t>Im Fall der Teilzahlung kann der Bezogene verlangen, dass sie auf dem Scheck vermerkt und ihm eine Quittung erteilt wird.</w:t>
      </w:r>
    </w:p>
    <w:p w14:paraId="4CC0F6B8" w14:textId="461ABF55" w:rsidR="00EC446E" w:rsidRPr="004676F5" w:rsidRDefault="00EC446E" w:rsidP="00EC446E">
      <w:pPr>
        <w:ind w:firstLine="708"/>
        <w:jc w:val="both"/>
        <w:rPr>
          <w:lang w:val="de-DE"/>
        </w:rPr>
      </w:pPr>
    </w:p>
    <w:p w14:paraId="0B2B0782" w14:textId="77777777" w:rsidR="00EC446E" w:rsidRPr="004676F5" w:rsidRDefault="00EC446E" w:rsidP="00EC446E">
      <w:pPr>
        <w:ind w:firstLine="708"/>
        <w:jc w:val="both"/>
        <w:rPr>
          <w:b/>
          <w:lang w:val="de-DE"/>
        </w:rPr>
      </w:pPr>
    </w:p>
    <w:p w14:paraId="21C5D8FF" w14:textId="1E2DBFD1" w:rsidR="00EC446E" w:rsidRPr="004676F5" w:rsidRDefault="00EC446E" w:rsidP="00EC446E">
      <w:pPr>
        <w:ind w:firstLine="708"/>
        <w:jc w:val="both"/>
        <w:rPr>
          <w:lang w:val="de-DE"/>
        </w:rPr>
      </w:pPr>
      <w:r w:rsidRPr="004676F5">
        <w:rPr>
          <w:b/>
          <w:lang w:val="de-DE"/>
        </w:rPr>
        <w:t>Art. VII.216/135</w:t>
      </w:r>
      <w:r w:rsidRPr="004676F5">
        <w:rPr>
          <w:lang w:val="de-DE"/>
        </w:rPr>
        <w:t> </w:t>
      </w:r>
      <w:r w:rsidR="005B7A5C" w:rsidRPr="004676F5">
        <w:rPr>
          <w:lang w:val="de-DE"/>
        </w:rPr>
        <w:t>- </w:t>
      </w:r>
      <w:r w:rsidRPr="004676F5">
        <w:rPr>
          <w:lang w:val="de-DE"/>
        </w:rPr>
        <w:t>Der Bezogene, der einen durch Indossament übertragbaren Scheck einlöst, ist verpflichtet, die Ordnungsmäßigkeit der Reihe der Indossamente, aber nicht die Unterschrift der Indossanten zu prüfen.</w:t>
      </w:r>
    </w:p>
    <w:p w14:paraId="3E22748C" w14:textId="77777777" w:rsidR="00EC446E" w:rsidRPr="004676F5" w:rsidRDefault="00EC446E" w:rsidP="00EC446E">
      <w:pPr>
        <w:ind w:firstLine="708"/>
        <w:jc w:val="both"/>
        <w:rPr>
          <w:lang w:val="de-DE"/>
        </w:rPr>
      </w:pPr>
    </w:p>
    <w:p w14:paraId="4ADDE464" w14:textId="77777777" w:rsidR="00EC446E" w:rsidRPr="004676F5" w:rsidRDefault="00EC446E" w:rsidP="00EC446E">
      <w:pPr>
        <w:ind w:firstLine="708"/>
        <w:jc w:val="both"/>
        <w:rPr>
          <w:lang w:val="de-DE"/>
        </w:rPr>
      </w:pPr>
      <w:r w:rsidRPr="004676F5">
        <w:rPr>
          <w:lang w:val="de-DE"/>
        </w:rPr>
        <w:t>Durch Zahlung des Schecks wird der Bezogene von seiner Verbindlichkeit befreit, wenn ihm nicht Betrug oder grobe Fahrlässigkeit zur Last fällt.</w:t>
      </w:r>
    </w:p>
    <w:p w14:paraId="3D8FBFBF" w14:textId="0CCBD01C" w:rsidR="00EC446E" w:rsidRPr="004676F5" w:rsidRDefault="00EC446E" w:rsidP="00EC446E">
      <w:pPr>
        <w:ind w:firstLine="708"/>
        <w:jc w:val="both"/>
        <w:rPr>
          <w:lang w:val="de-DE"/>
        </w:rPr>
      </w:pPr>
    </w:p>
    <w:p w14:paraId="01FB7966" w14:textId="77777777" w:rsidR="00EC446E" w:rsidRPr="004676F5" w:rsidRDefault="00EC446E" w:rsidP="00EC446E">
      <w:pPr>
        <w:ind w:firstLine="708"/>
        <w:jc w:val="both"/>
        <w:rPr>
          <w:lang w:val="de-DE"/>
        </w:rPr>
      </w:pPr>
    </w:p>
    <w:p w14:paraId="4EBBE00C" w14:textId="7CCB9D51" w:rsidR="00EC446E" w:rsidRPr="004676F5" w:rsidRDefault="00EC446E" w:rsidP="00EC446E">
      <w:pPr>
        <w:ind w:firstLine="708"/>
        <w:jc w:val="both"/>
        <w:rPr>
          <w:lang w:val="de-DE"/>
        </w:rPr>
      </w:pPr>
      <w:r w:rsidRPr="004676F5">
        <w:rPr>
          <w:b/>
          <w:lang w:val="de-DE"/>
        </w:rPr>
        <w:t>Art. VII.216/136</w:t>
      </w:r>
      <w:r w:rsidRPr="004676F5">
        <w:rPr>
          <w:lang w:val="de-DE"/>
        </w:rPr>
        <w:t> </w:t>
      </w:r>
      <w:r w:rsidR="005B7A5C" w:rsidRPr="004676F5">
        <w:rPr>
          <w:lang w:val="de-DE"/>
        </w:rPr>
        <w:t>- </w:t>
      </w:r>
      <w:r w:rsidRPr="004676F5">
        <w:rPr>
          <w:lang w:val="de-DE"/>
        </w:rPr>
        <w:t>Der Eigentümer eines Scheckbuchs haftet für Aufträge, die auf den aus dem Scheckbuch entnommenen Scheckformularen ausgestellt werden. Er trägt insbesondere alle Folgen, die sich aus Verlust, Diebstahl oder missbräuchlicher Verwendung dieser Formulare ergeben, es sei denn, er weist nach, dass dem Bezogenen Betrug oder grobe Fahrlässigkeit zur Last fällt oder dass der Scheck erst nach seinem Empfang durch den rechtmäßigen Empfänger verloren, gestohlen oder gefälscht worden ist. Wenn dieser denselben Beweis erbringt, geht der Schaden zu Lasten des nachfolgenden Empfängers und so weiter.</w:t>
      </w:r>
    </w:p>
    <w:p w14:paraId="188F0826" w14:textId="276CEC83" w:rsidR="00EC446E" w:rsidRPr="004676F5" w:rsidRDefault="00EC446E" w:rsidP="00EC446E">
      <w:pPr>
        <w:ind w:firstLine="708"/>
        <w:jc w:val="both"/>
        <w:rPr>
          <w:lang w:val="de-DE"/>
        </w:rPr>
      </w:pPr>
    </w:p>
    <w:p w14:paraId="18BA28BF" w14:textId="77777777" w:rsidR="00EC446E" w:rsidRPr="004676F5" w:rsidRDefault="00EC446E" w:rsidP="00EC446E">
      <w:pPr>
        <w:ind w:firstLine="708"/>
        <w:jc w:val="both"/>
        <w:rPr>
          <w:lang w:val="de-DE"/>
        </w:rPr>
      </w:pPr>
    </w:p>
    <w:p w14:paraId="423860D6" w14:textId="21794011" w:rsidR="00EC446E" w:rsidRPr="004676F5" w:rsidRDefault="00EC446E" w:rsidP="00EC446E">
      <w:pPr>
        <w:ind w:firstLine="708"/>
        <w:jc w:val="both"/>
        <w:rPr>
          <w:lang w:val="de-DE"/>
        </w:rPr>
      </w:pPr>
      <w:r w:rsidRPr="004676F5">
        <w:rPr>
          <w:b/>
          <w:lang w:val="de-DE"/>
        </w:rPr>
        <w:t>Art. VII.216/137</w:t>
      </w:r>
      <w:r w:rsidRPr="004676F5">
        <w:rPr>
          <w:lang w:val="de-DE"/>
        </w:rPr>
        <w:t> </w:t>
      </w:r>
      <w:r w:rsidR="005B7A5C" w:rsidRPr="004676F5">
        <w:rPr>
          <w:lang w:val="de-DE"/>
        </w:rPr>
        <w:t>- </w:t>
      </w:r>
      <w:r w:rsidRPr="004676F5">
        <w:rPr>
          <w:lang w:val="de-DE"/>
        </w:rPr>
        <w:t>Lautet der Scheck auf eine Währung, die am Zahlungsort nicht gilt, so kann die Schecksumme während der Vorlegungsfrist des Schecks in der Landeswährung nach dem Wert gezahlt werden, den sie am Zahlungstag besitzt. Wenn die Zahlung nicht bei Vorlegung erfolgt, so kann der Inhaber wählen, ob die Schecksumme nach dem Kurs des Vorlegungstages oder nach dem Kurs des Zahlungstages in die Landeswährung umgerechnet werden soll.</w:t>
      </w:r>
    </w:p>
    <w:p w14:paraId="07E7D314" w14:textId="77777777" w:rsidR="00EC446E" w:rsidRPr="004676F5" w:rsidRDefault="00EC446E" w:rsidP="00EC446E">
      <w:pPr>
        <w:ind w:firstLine="708"/>
        <w:jc w:val="both"/>
        <w:rPr>
          <w:lang w:val="de-DE"/>
        </w:rPr>
      </w:pPr>
    </w:p>
    <w:p w14:paraId="639957DE" w14:textId="77777777" w:rsidR="00EC446E" w:rsidRPr="004676F5" w:rsidRDefault="00EC446E" w:rsidP="00EC446E">
      <w:pPr>
        <w:ind w:firstLine="708"/>
        <w:jc w:val="both"/>
        <w:rPr>
          <w:lang w:val="de-DE"/>
        </w:rPr>
      </w:pPr>
      <w:r w:rsidRPr="004676F5">
        <w:rPr>
          <w:lang w:val="de-DE"/>
        </w:rPr>
        <w:t>Der Wert der fremden Währung bestimmt sich nach den Handelsgebräuchen des Zahlungsortes. Der Aussteller kann jedoch im Scheck für die zu zahlende Summe einen Umrechnungskurs bestimmen.</w:t>
      </w:r>
    </w:p>
    <w:p w14:paraId="0CCCC2EF" w14:textId="77777777" w:rsidR="00EC446E" w:rsidRPr="004676F5" w:rsidRDefault="00EC446E" w:rsidP="00EC446E">
      <w:pPr>
        <w:ind w:firstLine="708"/>
        <w:jc w:val="both"/>
        <w:rPr>
          <w:lang w:val="de-DE"/>
        </w:rPr>
      </w:pPr>
    </w:p>
    <w:p w14:paraId="265EF1CA" w14:textId="77777777" w:rsidR="00EC446E" w:rsidRPr="004676F5" w:rsidRDefault="00EC446E" w:rsidP="00EC446E">
      <w:pPr>
        <w:ind w:firstLine="708"/>
        <w:jc w:val="both"/>
        <w:rPr>
          <w:lang w:val="de-DE"/>
        </w:rPr>
      </w:pPr>
      <w:r w:rsidRPr="004676F5">
        <w:rPr>
          <w:lang w:val="de-DE"/>
        </w:rPr>
        <w:t>Die vorerwähnten Vorschriften finden keine Anwendung, wenn der Aussteller die Zahlung in einer bestimmten Währung vorgeschrieben hat (Effektivvermerk).</w:t>
      </w:r>
    </w:p>
    <w:p w14:paraId="236E973E" w14:textId="77777777" w:rsidR="00EC446E" w:rsidRPr="004676F5" w:rsidRDefault="00EC446E" w:rsidP="00EC446E">
      <w:pPr>
        <w:ind w:firstLine="708"/>
        <w:jc w:val="both"/>
        <w:rPr>
          <w:lang w:val="de-DE"/>
        </w:rPr>
      </w:pPr>
    </w:p>
    <w:p w14:paraId="64ACFC97" w14:textId="77777777" w:rsidR="00EC446E" w:rsidRPr="004676F5" w:rsidRDefault="00EC446E" w:rsidP="00EC446E">
      <w:pPr>
        <w:ind w:firstLine="708"/>
        <w:jc w:val="both"/>
        <w:rPr>
          <w:lang w:val="de-DE"/>
        </w:rPr>
      </w:pPr>
      <w:r w:rsidRPr="004676F5">
        <w:rPr>
          <w:lang w:val="de-DE"/>
        </w:rPr>
        <w:t>Lautet der Scheck auf eine Geldsorte, die im Land der Ausstellung dieselbe Bezeichnung, aber einen anderen Wert hat als in dem der Zahlung, so wird vermutet, dass die Geldsorte des Zahlungsortes gemeint ist.</w:t>
      </w:r>
    </w:p>
    <w:p w14:paraId="5B63093E" w14:textId="38B9F8FC" w:rsidR="00EC446E" w:rsidRPr="004676F5" w:rsidRDefault="00EC446E" w:rsidP="00EC446E">
      <w:pPr>
        <w:ind w:firstLine="708"/>
        <w:jc w:val="both"/>
        <w:rPr>
          <w:lang w:val="de-DE"/>
        </w:rPr>
      </w:pPr>
    </w:p>
    <w:p w14:paraId="5191ADF8" w14:textId="77777777" w:rsidR="00EC446E" w:rsidRPr="004676F5" w:rsidRDefault="00EC446E" w:rsidP="00EC446E">
      <w:pPr>
        <w:ind w:firstLine="708"/>
        <w:jc w:val="both"/>
        <w:rPr>
          <w:lang w:val="de-DE"/>
        </w:rPr>
      </w:pPr>
    </w:p>
    <w:p w14:paraId="4A63553A" w14:textId="411808D9" w:rsidR="00EC446E" w:rsidRPr="004676F5" w:rsidRDefault="00EC446E" w:rsidP="00EC446E">
      <w:pPr>
        <w:jc w:val="both"/>
        <w:rPr>
          <w:lang w:val="de-DE"/>
        </w:rPr>
      </w:pPr>
      <w:r w:rsidRPr="004676F5">
        <w:rPr>
          <w:b/>
          <w:lang w:val="de-DE"/>
        </w:rPr>
        <w:tab/>
        <w:t>Art. VII.216/138</w:t>
      </w:r>
      <w:r w:rsidRPr="004676F5">
        <w:rPr>
          <w:lang w:val="de-DE"/>
        </w:rPr>
        <w:t> </w:t>
      </w:r>
      <w:r w:rsidR="005B7A5C" w:rsidRPr="004676F5">
        <w:rPr>
          <w:lang w:val="de-DE"/>
        </w:rPr>
        <w:t>- </w:t>
      </w:r>
      <w:r w:rsidRPr="004676F5">
        <w:rPr>
          <w:lang w:val="de-DE"/>
        </w:rPr>
        <w:t>In Ermangelung einer Angabe der Währungseinheit auf einem in Belgien ausgestellten und zahlbaren Scheck wird davon ausgegangen, dass der Betrag eines ausgestellten Schecks auf Euro lautet.]</w:t>
      </w:r>
    </w:p>
    <w:p w14:paraId="6DF0EFFD" w14:textId="4F33B5EB" w:rsidR="00EC446E" w:rsidRPr="004676F5" w:rsidRDefault="00EC446E" w:rsidP="00EC446E">
      <w:pPr>
        <w:jc w:val="both"/>
        <w:rPr>
          <w:lang w:val="de-DE"/>
        </w:rPr>
      </w:pPr>
    </w:p>
    <w:p w14:paraId="4F796BCF" w14:textId="426AAE98" w:rsidR="00EC446E" w:rsidRPr="004676F5" w:rsidRDefault="00EC446E" w:rsidP="00EC446E">
      <w:pPr>
        <w:jc w:val="both"/>
        <w:rPr>
          <w:i/>
          <w:lang w:val="de-DE"/>
        </w:rPr>
      </w:pPr>
      <w:r w:rsidRPr="004676F5">
        <w:rPr>
          <w:i/>
          <w:lang w:val="de-DE"/>
        </w:rPr>
        <w:t>[Art. VII.216/12</w:t>
      </w:r>
      <w:r w:rsidR="00B67579" w:rsidRPr="004676F5">
        <w:rPr>
          <w:i/>
          <w:lang w:val="de-DE"/>
        </w:rPr>
        <w:t>8</w:t>
      </w:r>
      <w:r w:rsidRPr="004676F5">
        <w:rPr>
          <w:i/>
          <w:lang w:val="de-DE"/>
        </w:rPr>
        <w:t xml:space="preserve"> bis VII.216/138 eingefügt durch Art. 1</w:t>
      </w:r>
      <w:r w:rsidR="00B67579" w:rsidRPr="004676F5">
        <w:rPr>
          <w:i/>
          <w:lang w:val="de-DE"/>
        </w:rPr>
        <w:t>55</w:t>
      </w:r>
      <w:r w:rsidRPr="004676F5">
        <w:rPr>
          <w:i/>
          <w:lang w:val="de-DE"/>
        </w:rPr>
        <w:t xml:space="preserve"> des G. vom 15. April 2018 (B.S. vom 27. April 2018)]</w:t>
      </w:r>
    </w:p>
    <w:p w14:paraId="50AD702B" w14:textId="28B5129D" w:rsidR="00B67579" w:rsidRPr="004676F5" w:rsidRDefault="00B67579" w:rsidP="00EC446E">
      <w:pPr>
        <w:jc w:val="both"/>
        <w:rPr>
          <w:lang w:val="de-DE"/>
        </w:rPr>
      </w:pPr>
    </w:p>
    <w:p w14:paraId="4597E794" w14:textId="6F9BEABC" w:rsidR="00B67579" w:rsidRPr="004676F5" w:rsidRDefault="00B67579" w:rsidP="00EC446E">
      <w:pPr>
        <w:jc w:val="both"/>
        <w:rPr>
          <w:lang w:val="de-DE"/>
        </w:rPr>
      </w:pPr>
    </w:p>
    <w:p w14:paraId="776A6567" w14:textId="77777777" w:rsidR="00B67579" w:rsidRPr="004676F5" w:rsidRDefault="00B67579">
      <w:pPr>
        <w:rPr>
          <w:lang w:val="de-DE"/>
        </w:rPr>
      </w:pPr>
      <w:r w:rsidRPr="004676F5">
        <w:rPr>
          <w:lang w:val="de-DE"/>
        </w:rPr>
        <w:br w:type="page"/>
      </w:r>
    </w:p>
    <w:p w14:paraId="4B89238F" w14:textId="0636FEDC" w:rsidR="00B67579" w:rsidRPr="004676F5" w:rsidRDefault="00B67579" w:rsidP="00B67579">
      <w:pPr>
        <w:jc w:val="center"/>
        <w:rPr>
          <w:lang w:val="de-DE"/>
        </w:rPr>
      </w:pPr>
      <w:r w:rsidRPr="004676F5">
        <w:rPr>
          <w:lang w:val="de-DE"/>
        </w:rPr>
        <w:lastRenderedPageBreak/>
        <w:t>[</w:t>
      </w:r>
      <w:r w:rsidRPr="004676F5">
        <w:rPr>
          <w:i/>
          <w:lang w:val="de-DE"/>
        </w:rPr>
        <w:t>Abschnitt 5</w:t>
      </w:r>
      <w:r w:rsidRPr="004676F5">
        <w:rPr>
          <w:lang w:val="de-DE"/>
        </w:rPr>
        <w:t> </w:t>
      </w:r>
      <w:r w:rsidR="005B7A5C" w:rsidRPr="004676F5">
        <w:rPr>
          <w:lang w:val="de-DE"/>
        </w:rPr>
        <w:t>- </w:t>
      </w:r>
      <w:r w:rsidRPr="004676F5">
        <w:rPr>
          <w:lang w:val="de-DE"/>
        </w:rPr>
        <w:t>Gekreuzter Scheck und Verrechnungsscheck]</w:t>
      </w:r>
    </w:p>
    <w:p w14:paraId="41113F1A" w14:textId="4DAE9F49" w:rsidR="00B67579" w:rsidRPr="004676F5" w:rsidRDefault="00B67579" w:rsidP="00B67579">
      <w:pPr>
        <w:jc w:val="center"/>
        <w:rPr>
          <w:lang w:val="de-DE"/>
        </w:rPr>
      </w:pPr>
    </w:p>
    <w:p w14:paraId="18F5D4A0" w14:textId="71C15B33" w:rsidR="00B67579" w:rsidRPr="004676F5" w:rsidRDefault="00B67579" w:rsidP="00B67579">
      <w:pPr>
        <w:jc w:val="both"/>
        <w:rPr>
          <w:i/>
          <w:iCs/>
          <w:lang w:val="de-DE"/>
        </w:rPr>
      </w:pPr>
      <w:r w:rsidRPr="004676F5">
        <w:rPr>
          <w:i/>
          <w:lang w:val="de-DE"/>
        </w:rPr>
        <w:t>[Unterteilung Abschnitt 5 eingefügt durch Art. 156</w:t>
      </w:r>
      <w:r w:rsidRPr="004676F5">
        <w:rPr>
          <w:i/>
          <w:iCs/>
          <w:lang w:val="de-DE"/>
        </w:rPr>
        <w:t xml:space="preserve"> des G. vom 15. April 2018 (B.S. vom 27. April 2018)]</w:t>
      </w:r>
    </w:p>
    <w:p w14:paraId="3F21A15D" w14:textId="77777777" w:rsidR="00B67579" w:rsidRPr="004676F5" w:rsidRDefault="00B67579" w:rsidP="00B67579">
      <w:pPr>
        <w:jc w:val="center"/>
        <w:rPr>
          <w:lang w:val="de-DE"/>
        </w:rPr>
      </w:pPr>
    </w:p>
    <w:p w14:paraId="0DD6DFB3" w14:textId="47C11741" w:rsidR="00EC446E" w:rsidRPr="004676F5" w:rsidRDefault="00EC446E" w:rsidP="00EC446E">
      <w:pPr>
        <w:jc w:val="both"/>
        <w:rPr>
          <w:iCs/>
          <w:lang w:val="de-DE"/>
        </w:rPr>
      </w:pPr>
    </w:p>
    <w:p w14:paraId="6140711F" w14:textId="41B1263B" w:rsidR="00B67579" w:rsidRPr="004676F5" w:rsidRDefault="00B67579" w:rsidP="00B67579">
      <w:pPr>
        <w:ind w:firstLine="708"/>
        <w:jc w:val="both"/>
        <w:rPr>
          <w:lang w:val="de-DE"/>
        </w:rPr>
      </w:pPr>
      <w:r w:rsidRPr="004676F5">
        <w:rPr>
          <w:iCs/>
          <w:lang w:val="de-DE"/>
        </w:rPr>
        <w:t>[</w:t>
      </w:r>
      <w:r w:rsidRPr="004676F5">
        <w:rPr>
          <w:b/>
          <w:lang w:val="de-DE"/>
        </w:rPr>
        <w:t>Art. VII.216/139</w:t>
      </w:r>
      <w:r w:rsidRPr="004676F5">
        <w:rPr>
          <w:lang w:val="de-DE"/>
        </w:rPr>
        <w:t> </w:t>
      </w:r>
      <w:r w:rsidR="005B7A5C" w:rsidRPr="004676F5">
        <w:rPr>
          <w:lang w:val="de-DE"/>
        </w:rPr>
        <w:t>- </w:t>
      </w:r>
      <w:r w:rsidRPr="004676F5">
        <w:rPr>
          <w:lang w:val="de-DE"/>
        </w:rPr>
        <w:t>Der Aussteller sowie jeder Inhaber können den Scheck mit den in folgendem Artikel vorgesehenen Wirkungen kreuzen.</w:t>
      </w:r>
    </w:p>
    <w:p w14:paraId="0040A3A2" w14:textId="77777777" w:rsidR="00B67579" w:rsidRPr="004676F5" w:rsidRDefault="00B67579" w:rsidP="00B67579">
      <w:pPr>
        <w:ind w:firstLine="708"/>
        <w:jc w:val="both"/>
        <w:rPr>
          <w:lang w:val="de-DE"/>
        </w:rPr>
      </w:pPr>
    </w:p>
    <w:p w14:paraId="4AD22A82" w14:textId="77777777" w:rsidR="00B67579" w:rsidRPr="004676F5" w:rsidRDefault="00B67579" w:rsidP="00B67579">
      <w:pPr>
        <w:ind w:firstLine="708"/>
        <w:jc w:val="both"/>
        <w:rPr>
          <w:lang w:val="de-DE"/>
        </w:rPr>
      </w:pPr>
      <w:r w:rsidRPr="004676F5">
        <w:rPr>
          <w:lang w:val="de-DE"/>
        </w:rPr>
        <w:t>Die Kreuzung erfolgt durch zwei gleichlaufende Striche auf der Vorderseite des Schecks.</w:t>
      </w:r>
    </w:p>
    <w:p w14:paraId="7BB5A0F4" w14:textId="77777777" w:rsidR="00B67579" w:rsidRPr="004676F5" w:rsidRDefault="00B67579" w:rsidP="00B67579">
      <w:pPr>
        <w:ind w:firstLine="708"/>
        <w:jc w:val="both"/>
        <w:rPr>
          <w:lang w:val="de-DE"/>
        </w:rPr>
      </w:pPr>
    </w:p>
    <w:p w14:paraId="01ECB62B" w14:textId="77777777" w:rsidR="00B67579" w:rsidRPr="004676F5" w:rsidRDefault="00B67579" w:rsidP="00B67579">
      <w:pPr>
        <w:ind w:firstLine="708"/>
        <w:jc w:val="both"/>
        <w:rPr>
          <w:lang w:val="de-DE"/>
        </w:rPr>
      </w:pPr>
      <w:r w:rsidRPr="004676F5">
        <w:rPr>
          <w:lang w:val="de-DE"/>
        </w:rPr>
        <w:t>Die Kreuzung kann allgemein oder besonders sein. Die Kreuzung ist allgemein, wenn zwischen den beiden Strichen keine Angabe oder die Bezeichnung "Bankier" oder ein gleichbedeutender Vermerk steht; sie ist eine besondere, wenn der Name eines Bankiers zwischen die beiden Striche gesetzt ist.</w:t>
      </w:r>
    </w:p>
    <w:p w14:paraId="7115371B" w14:textId="77777777" w:rsidR="00B67579" w:rsidRPr="004676F5" w:rsidRDefault="00B67579" w:rsidP="00B67579">
      <w:pPr>
        <w:ind w:firstLine="708"/>
        <w:jc w:val="both"/>
        <w:rPr>
          <w:lang w:val="de-DE"/>
        </w:rPr>
      </w:pPr>
    </w:p>
    <w:p w14:paraId="55EFFC73" w14:textId="77777777" w:rsidR="00B67579" w:rsidRPr="004676F5" w:rsidRDefault="00B67579" w:rsidP="00B67579">
      <w:pPr>
        <w:ind w:firstLine="708"/>
        <w:jc w:val="both"/>
        <w:rPr>
          <w:lang w:val="de-DE"/>
        </w:rPr>
      </w:pPr>
      <w:r w:rsidRPr="004676F5">
        <w:rPr>
          <w:lang w:val="de-DE"/>
        </w:rPr>
        <w:t>Die allgemeine Kreuzung kann in eine besondere, nicht aber die besondere Kreuzung in eine allgemeine umgewandelt werden.</w:t>
      </w:r>
    </w:p>
    <w:p w14:paraId="72B49912" w14:textId="77777777" w:rsidR="00B67579" w:rsidRPr="004676F5" w:rsidRDefault="00B67579" w:rsidP="00B67579">
      <w:pPr>
        <w:ind w:firstLine="708"/>
        <w:jc w:val="both"/>
        <w:rPr>
          <w:lang w:val="de-DE"/>
        </w:rPr>
      </w:pPr>
    </w:p>
    <w:p w14:paraId="15614AD1" w14:textId="77777777" w:rsidR="00B67579" w:rsidRPr="004676F5" w:rsidRDefault="00B67579" w:rsidP="00B67579">
      <w:pPr>
        <w:ind w:firstLine="708"/>
        <w:jc w:val="both"/>
        <w:rPr>
          <w:lang w:val="de-DE"/>
        </w:rPr>
      </w:pPr>
      <w:r w:rsidRPr="004676F5">
        <w:rPr>
          <w:lang w:val="de-DE"/>
        </w:rPr>
        <w:t>Die Streichung der Kreuzung oder des Namens des bezeichneten Bankiers gilt als nicht erfolgt.</w:t>
      </w:r>
    </w:p>
    <w:p w14:paraId="507FF064" w14:textId="2F5C8CBB" w:rsidR="00B67579" w:rsidRPr="004676F5" w:rsidRDefault="00B67579" w:rsidP="00B67579">
      <w:pPr>
        <w:ind w:firstLine="708"/>
        <w:jc w:val="both"/>
        <w:rPr>
          <w:lang w:val="de-DE"/>
        </w:rPr>
      </w:pPr>
    </w:p>
    <w:p w14:paraId="0C8FA260" w14:textId="77777777" w:rsidR="00B67579" w:rsidRPr="004676F5" w:rsidRDefault="00B67579" w:rsidP="00B67579">
      <w:pPr>
        <w:ind w:firstLine="708"/>
        <w:jc w:val="both"/>
        <w:rPr>
          <w:lang w:val="de-DE"/>
        </w:rPr>
      </w:pPr>
    </w:p>
    <w:p w14:paraId="57361C92" w14:textId="6257C71B" w:rsidR="00B67579" w:rsidRPr="004676F5" w:rsidRDefault="00B67579" w:rsidP="00B67579">
      <w:pPr>
        <w:ind w:firstLine="708"/>
        <w:jc w:val="both"/>
        <w:rPr>
          <w:lang w:val="de-DE"/>
        </w:rPr>
      </w:pPr>
      <w:r w:rsidRPr="004676F5">
        <w:rPr>
          <w:b/>
          <w:lang w:val="de-DE"/>
        </w:rPr>
        <w:t>Art. VII.216/140</w:t>
      </w:r>
      <w:r w:rsidRPr="004676F5">
        <w:rPr>
          <w:lang w:val="de-DE"/>
        </w:rPr>
        <w:t> </w:t>
      </w:r>
      <w:r w:rsidR="005B7A5C" w:rsidRPr="004676F5">
        <w:rPr>
          <w:lang w:val="de-DE"/>
        </w:rPr>
        <w:t>- </w:t>
      </w:r>
      <w:r w:rsidRPr="004676F5">
        <w:rPr>
          <w:lang w:val="de-DE"/>
        </w:rPr>
        <w:t>Ein allgemein gekreuzter Scheck darf vom Bezogenen nur an einen Bankier oder an einen Kunden des Bezogenen bezahlt werden.</w:t>
      </w:r>
    </w:p>
    <w:p w14:paraId="51F2EAA0" w14:textId="77777777" w:rsidR="00B67579" w:rsidRPr="004676F5" w:rsidRDefault="00B67579" w:rsidP="00B67579">
      <w:pPr>
        <w:ind w:firstLine="708"/>
        <w:jc w:val="both"/>
        <w:rPr>
          <w:lang w:val="de-DE"/>
        </w:rPr>
      </w:pPr>
    </w:p>
    <w:p w14:paraId="6F1FD0F1" w14:textId="77777777" w:rsidR="00B67579" w:rsidRPr="004676F5" w:rsidRDefault="00B67579" w:rsidP="00B67579">
      <w:pPr>
        <w:ind w:firstLine="708"/>
        <w:jc w:val="both"/>
        <w:rPr>
          <w:lang w:val="de-DE"/>
        </w:rPr>
      </w:pPr>
      <w:r w:rsidRPr="004676F5">
        <w:rPr>
          <w:lang w:val="de-DE"/>
        </w:rPr>
        <w:t>Ein besonders gekreuzter Scheck darf vom Bezogenen nur an den bezeichneten Bankier oder, wenn dieser selbst der Bezogene ist, an dessen Kunden bezahlt werden. Jedoch kann der bezeichnete Bankier einen anderen Bankier mit der Einziehung des Schecks betrauen.</w:t>
      </w:r>
    </w:p>
    <w:p w14:paraId="329F9F11" w14:textId="77777777" w:rsidR="00B67579" w:rsidRPr="004676F5" w:rsidRDefault="00B67579" w:rsidP="00B67579">
      <w:pPr>
        <w:ind w:firstLine="708"/>
        <w:jc w:val="both"/>
        <w:rPr>
          <w:lang w:val="de-DE"/>
        </w:rPr>
      </w:pPr>
    </w:p>
    <w:p w14:paraId="30A63036" w14:textId="77777777" w:rsidR="00B67579" w:rsidRPr="004676F5" w:rsidRDefault="00B67579" w:rsidP="00B67579">
      <w:pPr>
        <w:ind w:firstLine="708"/>
        <w:jc w:val="both"/>
        <w:rPr>
          <w:lang w:val="de-DE"/>
        </w:rPr>
      </w:pPr>
      <w:r w:rsidRPr="004676F5">
        <w:rPr>
          <w:lang w:val="de-DE"/>
        </w:rPr>
        <w:t>Ein Bankier darf einen gekreuzten Scheck nur von einem seiner Kunden oder von einem anderen Bankier erwerben. Auch darf er ihn nicht für Rechnung anderer als der vorgenannten Personen einziehen.</w:t>
      </w:r>
    </w:p>
    <w:p w14:paraId="729443B5" w14:textId="77777777" w:rsidR="00B67579" w:rsidRPr="004676F5" w:rsidRDefault="00B67579" w:rsidP="00B67579">
      <w:pPr>
        <w:ind w:firstLine="708"/>
        <w:jc w:val="both"/>
        <w:rPr>
          <w:lang w:val="de-DE"/>
        </w:rPr>
      </w:pPr>
    </w:p>
    <w:p w14:paraId="3CF66A85" w14:textId="77777777" w:rsidR="00B67579" w:rsidRPr="004676F5" w:rsidRDefault="00B67579" w:rsidP="00B67579">
      <w:pPr>
        <w:ind w:firstLine="708"/>
        <w:jc w:val="both"/>
        <w:rPr>
          <w:lang w:val="de-DE"/>
        </w:rPr>
      </w:pPr>
      <w:r w:rsidRPr="004676F5">
        <w:rPr>
          <w:lang w:val="de-DE"/>
        </w:rPr>
        <w:t>Befinden sich auf einem Scheck mehrere besondere Kreuzungen, so darf der Scheck vom Bezogenen nur dann bezahlt werden, wenn nicht mehr als zwei Kreuzungen vorliegen und die eine zum Zwecke der Einziehung durch Einlieferung in eine Abrechnungsstelle erfolgt ist.</w:t>
      </w:r>
    </w:p>
    <w:p w14:paraId="54613C38" w14:textId="77777777" w:rsidR="00B67579" w:rsidRPr="004676F5" w:rsidRDefault="00B67579" w:rsidP="00B67579">
      <w:pPr>
        <w:ind w:firstLine="708"/>
        <w:jc w:val="both"/>
        <w:rPr>
          <w:lang w:val="de-DE"/>
        </w:rPr>
      </w:pPr>
    </w:p>
    <w:p w14:paraId="31500A42" w14:textId="77777777" w:rsidR="00B67579" w:rsidRPr="004676F5" w:rsidRDefault="00B67579" w:rsidP="00B67579">
      <w:pPr>
        <w:ind w:firstLine="708"/>
        <w:jc w:val="both"/>
        <w:rPr>
          <w:lang w:val="de-DE"/>
        </w:rPr>
      </w:pPr>
      <w:r w:rsidRPr="004676F5">
        <w:rPr>
          <w:lang w:val="de-DE"/>
        </w:rPr>
        <w:t>Der Bezogene oder der Bankier, der den vorstehenden Vorschriften zuwiderhandelt, haftet für den entstandenen Schaden, jedoch nur bis zur Höhe der Schecksumme.</w:t>
      </w:r>
    </w:p>
    <w:p w14:paraId="66A65E9D" w14:textId="7D54F871" w:rsidR="00B67579" w:rsidRPr="004676F5" w:rsidRDefault="00B67579" w:rsidP="00B67579">
      <w:pPr>
        <w:ind w:firstLine="708"/>
        <w:jc w:val="both"/>
        <w:rPr>
          <w:lang w:val="de-DE"/>
        </w:rPr>
      </w:pPr>
    </w:p>
    <w:p w14:paraId="3FCBF066" w14:textId="77777777" w:rsidR="00B67579" w:rsidRPr="004676F5" w:rsidRDefault="00B67579" w:rsidP="00B67579">
      <w:pPr>
        <w:ind w:firstLine="708"/>
        <w:jc w:val="both"/>
        <w:rPr>
          <w:lang w:val="de-DE"/>
        </w:rPr>
      </w:pPr>
    </w:p>
    <w:p w14:paraId="1788A8AB" w14:textId="750B0933" w:rsidR="00B67579" w:rsidRPr="004676F5" w:rsidRDefault="00B67579" w:rsidP="00B67579">
      <w:pPr>
        <w:ind w:firstLine="708"/>
        <w:jc w:val="both"/>
        <w:rPr>
          <w:lang w:val="de-DE"/>
        </w:rPr>
      </w:pPr>
      <w:r w:rsidRPr="004676F5">
        <w:rPr>
          <w:b/>
          <w:lang w:val="de-DE"/>
        </w:rPr>
        <w:t>Art. VII.216/141</w:t>
      </w:r>
      <w:r w:rsidRPr="004676F5">
        <w:rPr>
          <w:lang w:val="de-DE"/>
        </w:rPr>
        <w:t> </w:t>
      </w:r>
      <w:r w:rsidR="005B7A5C" w:rsidRPr="004676F5">
        <w:rPr>
          <w:lang w:val="de-DE"/>
        </w:rPr>
        <w:t>- </w:t>
      </w:r>
      <w:r w:rsidRPr="004676F5">
        <w:rPr>
          <w:lang w:val="de-DE"/>
        </w:rPr>
        <w:t>Der Aussteller sowie jeder Inhaber eines Schecks kann durch den quer über die Vorderseite gesetzten Vermerk "nur zur Verrechnung" oder durch einen gleichbedeutenden Vermerk untersagen, dass der Scheck bar bezahlt wird.</w:t>
      </w:r>
    </w:p>
    <w:p w14:paraId="70BB76B8" w14:textId="77777777" w:rsidR="00B67579" w:rsidRPr="004676F5" w:rsidRDefault="00B67579" w:rsidP="00B67579">
      <w:pPr>
        <w:ind w:firstLine="708"/>
        <w:jc w:val="both"/>
        <w:rPr>
          <w:lang w:val="de-DE"/>
        </w:rPr>
      </w:pPr>
    </w:p>
    <w:p w14:paraId="62C65F70" w14:textId="77777777" w:rsidR="00B67579" w:rsidRPr="004676F5" w:rsidRDefault="00B67579" w:rsidP="00B67579">
      <w:pPr>
        <w:ind w:firstLine="708"/>
        <w:jc w:val="both"/>
        <w:rPr>
          <w:lang w:val="de-DE"/>
        </w:rPr>
      </w:pPr>
      <w:r w:rsidRPr="004676F5">
        <w:rPr>
          <w:lang w:val="de-DE"/>
        </w:rPr>
        <w:t>Der Bezogene darf in diesem Fall den Scheck nur im Weg der Gutschrift einlösen (Verrechnung, Überweisung, Ausgleichung). Die Gutschrift gilt als Zahlung.</w:t>
      </w:r>
    </w:p>
    <w:p w14:paraId="6F48296C" w14:textId="77777777" w:rsidR="00B67579" w:rsidRPr="004676F5" w:rsidRDefault="00B67579" w:rsidP="00B67579">
      <w:pPr>
        <w:ind w:firstLine="708"/>
        <w:jc w:val="both"/>
        <w:rPr>
          <w:lang w:val="de-DE"/>
        </w:rPr>
      </w:pPr>
    </w:p>
    <w:p w14:paraId="3E69F6FE" w14:textId="77777777" w:rsidR="00B67579" w:rsidRPr="004676F5" w:rsidRDefault="00B67579" w:rsidP="00B67579">
      <w:pPr>
        <w:ind w:firstLine="708"/>
        <w:jc w:val="both"/>
        <w:rPr>
          <w:lang w:val="de-DE"/>
        </w:rPr>
      </w:pPr>
      <w:r w:rsidRPr="004676F5">
        <w:rPr>
          <w:lang w:val="de-DE"/>
        </w:rPr>
        <w:t>Die Streichung des Vermerks "nur zur Verrechnung" gilt als nicht erfolgt.</w:t>
      </w:r>
    </w:p>
    <w:p w14:paraId="02353157" w14:textId="77777777" w:rsidR="00B67579" w:rsidRPr="004676F5" w:rsidRDefault="00B67579" w:rsidP="00B67579">
      <w:pPr>
        <w:ind w:firstLine="708"/>
        <w:jc w:val="both"/>
        <w:rPr>
          <w:lang w:val="de-DE"/>
        </w:rPr>
      </w:pPr>
    </w:p>
    <w:p w14:paraId="55A5F5C0" w14:textId="0DD261E2" w:rsidR="00B67579" w:rsidRPr="004676F5" w:rsidRDefault="00B67579" w:rsidP="00B67579">
      <w:pPr>
        <w:jc w:val="both"/>
        <w:rPr>
          <w:lang w:val="de-DE"/>
        </w:rPr>
      </w:pPr>
      <w:r w:rsidRPr="004676F5">
        <w:rPr>
          <w:lang w:val="de-DE"/>
        </w:rPr>
        <w:lastRenderedPageBreak/>
        <w:tab/>
        <w:t>Der Bezogene, der den vorstehenden Vorschriften zuwiderhandelt, haftet für den entstandenen Schaden, jedoch nur bis zur Höhe der Schecksumme.]</w:t>
      </w:r>
    </w:p>
    <w:p w14:paraId="5B01D2FF" w14:textId="70086DCE" w:rsidR="00B67579" w:rsidRPr="004676F5" w:rsidRDefault="00B67579" w:rsidP="00B67579">
      <w:pPr>
        <w:jc w:val="both"/>
        <w:rPr>
          <w:lang w:val="de-DE"/>
        </w:rPr>
      </w:pPr>
    </w:p>
    <w:p w14:paraId="2A057DFC" w14:textId="1662B192" w:rsidR="00B67579" w:rsidRPr="004676F5" w:rsidRDefault="00B67579" w:rsidP="00B67579">
      <w:pPr>
        <w:jc w:val="both"/>
        <w:rPr>
          <w:i/>
          <w:lang w:val="de-DE"/>
        </w:rPr>
      </w:pPr>
      <w:r w:rsidRPr="004676F5">
        <w:rPr>
          <w:i/>
          <w:lang w:val="de-DE"/>
        </w:rPr>
        <w:t>[Art. VII.216/139 bis VII.216/141 eingefügt durch Art. 157 des G. vom 15. April 2018 (B.S. vom 27. April 2018)]</w:t>
      </w:r>
    </w:p>
    <w:p w14:paraId="0E696AA1" w14:textId="6342F19F" w:rsidR="00B67579" w:rsidRPr="004676F5" w:rsidRDefault="00B67579" w:rsidP="00B67579">
      <w:pPr>
        <w:jc w:val="both"/>
        <w:rPr>
          <w:iCs/>
          <w:lang w:val="de-DE"/>
        </w:rPr>
      </w:pPr>
    </w:p>
    <w:p w14:paraId="1A3C5AD3" w14:textId="18750003" w:rsidR="00B67579" w:rsidRPr="004676F5" w:rsidRDefault="00B67579" w:rsidP="00B67579">
      <w:pPr>
        <w:jc w:val="both"/>
        <w:rPr>
          <w:iCs/>
          <w:lang w:val="de-DE"/>
        </w:rPr>
      </w:pPr>
    </w:p>
    <w:p w14:paraId="5B8E1EC6" w14:textId="435567DB" w:rsidR="00B67579" w:rsidRPr="004676F5" w:rsidRDefault="00B67579" w:rsidP="00B67579">
      <w:pPr>
        <w:jc w:val="center"/>
        <w:rPr>
          <w:iCs/>
          <w:lang w:val="de-DE"/>
        </w:rPr>
      </w:pPr>
      <w:r w:rsidRPr="004676F5">
        <w:rPr>
          <w:iCs/>
          <w:lang w:val="de-DE"/>
        </w:rPr>
        <w:t>[</w:t>
      </w:r>
      <w:r w:rsidRPr="004676F5">
        <w:rPr>
          <w:i/>
          <w:lang w:val="de-DE"/>
        </w:rPr>
        <w:t>Abschnitt 6</w:t>
      </w:r>
      <w:r w:rsidRPr="004676F5">
        <w:rPr>
          <w:lang w:val="de-DE"/>
        </w:rPr>
        <w:t> </w:t>
      </w:r>
      <w:r w:rsidR="005B7A5C" w:rsidRPr="004676F5">
        <w:rPr>
          <w:lang w:val="de-DE"/>
        </w:rPr>
        <w:t>- </w:t>
      </w:r>
      <w:r w:rsidRPr="004676F5">
        <w:rPr>
          <w:lang w:val="de-DE"/>
        </w:rPr>
        <w:t>Rückgriff mangels Zahlung</w:t>
      </w:r>
      <w:r w:rsidRPr="004676F5">
        <w:rPr>
          <w:iCs/>
          <w:lang w:val="de-DE"/>
        </w:rPr>
        <w:t>]</w:t>
      </w:r>
    </w:p>
    <w:p w14:paraId="2287264F" w14:textId="35D567C3" w:rsidR="00B67579" w:rsidRPr="004676F5" w:rsidRDefault="00B67579" w:rsidP="00B67579">
      <w:pPr>
        <w:jc w:val="center"/>
        <w:rPr>
          <w:iCs/>
          <w:lang w:val="de-DE"/>
        </w:rPr>
      </w:pPr>
    </w:p>
    <w:p w14:paraId="31BCE6AD" w14:textId="0CDD9463" w:rsidR="00B67579" w:rsidRPr="004676F5" w:rsidRDefault="00B67579" w:rsidP="00B67579">
      <w:pPr>
        <w:jc w:val="both"/>
        <w:rPr>
          <w:i/>
          <w:iCs/>
          <w:lang w:val="de-DE"/>
        </w:rPr>
      </w:pPr>
      <w:r w:rsidRPr="004676F5">
        <w:rPr>
          <w:i/>
          <w:lang w:val="de-DE"/>
        </w:rPr>
        <w:t>[Unterteilung Abschnitt 6 eingefügt durch Art. 158</w:t>
      </w:r>
      <w:r w:rsidRPr="004676F5">
        <w:rPr>
          <w:i/>
          <w:iCs/>
          <w:lang w:val="de-DE"/>
        </w:rPr>
        <w:t xml:space="preserve"> des G. vom 15. April 2018 (B.S. vom 27. April 2018)]</w:t>
      </w:r>
    </w:p>
    <w:p w14:paraId="2B924D71" w14:textId="26B1B9B9" w:rsidR="00B67579" w:rsidRPr="004676F5" w:rsidRDefault="00B67579" w:rsidP="00B67579">
      <w:pPr>
        <w:jc w:val="both"/>
        <w:rPr>
          <w:iCs/>
          <w:lang w:val="de-DE"/>
        </w:rPr>
      </w:pPr>
    </w:p>
    <w:p w14:paraId="0B2EC79A" w14:textId="1CAC06CF" w:rsidR="00B67579" w:rsidRPr="004676F5" w:rsidRDefault="00B67579" w:rsidP="00B67579">
      <w:pPr>
        <w:jc w:val="both"/>
        <w:rPr>
          <w:iCs/>
          <w:lang w:val="de-DE"/>
        </w:rPr>
      </w:pPr>
    </w:p>
    <w:p w14:paraId="086B8264" w14:textId="0819A29E" w:rsidR="00B67579" w:rsidRPr="004676F5" w:rsidRDefault="00B67579" w:rsidP="00B67579">
      <w:pPr>
        <w:ind w:firstLine="708"/>
        <w:jc w:val="both"/>
        <w:rPr>
          <w:lang w:val="de-DE"/>
        </w:rPr>
      </w:pPr>
      <w:r w:rsidRPr="004676F5">
        <w:rPr>
          <w:iCs/>
          <w:lang w:val="de-DE"/>
        </w:rPr>
        <w:t>[</w:t>
      </w:r>
      <w:r w:rsidRPr="004676F5">
        <w:rPr>
          <w:b/>
          <w:lang w:val="de-DE"/>
        </w:rPr>
        <w:t>Art. VII.216/142</w:t>
      </w:r>
      <w:r w:rsidRPr="004676F5">
        <w:rPr>
          <w:lang w:val="de-DE"/>
        </w:rPr>
        <w:t> </w:t>
      </w:r>
      <w:r w:rsidR="005B7A5C" w:rsidRPr="004676F5">
        <w:rPr>
          <w:lang w:val="de-DE"/>
        </w:rPr>
        <w:t>- </w:t>
      </w:r>
      <w:r w:rsidRPr="004676F5">
        <w:rPr>
          <w:lang w:val="de-DE"/>
        </w:rPr>
        <w:t>Unbeschadet der Anwendung von Artikel XX.111 hat der Inhaber eines Schecks gegenüber den Gläubigern des Ausstellers eine bevorrechtigte Forderung auf Guthaben, deren Schuldner der Bezogene zum Zeitpunkt der Vorlegung des Schecks war.</w:t>
      </w:r>
    </w:p>
    <w:p w14:paraId="1F75DF9E" w14:textId="77777777" w:rsidR="00B67579" w:rsidRPr="004676F5" w:rsidRDefault="00B67579" w:rsidP="00B67579">
      <w:pPr>
        <w:ind w:firstLine="708"/>
        <w:jc w:val="both"/>
        <w:rPr>
          <w:lang w:val="de-DE"/>
        </w:rPr>
      </w:pPr>
    </w:p>
    <w:p w14:paraId="0810671A" w14:textId="77777777" w:rsidR="00B67579" w:rsidRPr="004676F5" w:rsidRDefault="00B67579" w:rsidP="00B67579">
      <w:pPr>
        <w:ind w:firstLine="708"/>
        <w:jc w:val="both"/>
        <w:rPr>
          <w:lang w:val="de-DE"/>
        </w:rPr>
      </w:pPr>
      <w:r w:rsidRPr="004676F5">
        <w:rPr>
          <w:lang w:val="de-DE"/>
        </w:rPr>
        <w:t>Wenn mehrere Schecks von demselben Aussteller auf denselben Bankier ausgestellt wurden und die Guthaben, deren Schuldner der Bankier ist, nicht ausreichen, um alle Schecks zu begleichen, werden sie anteilsmäßig bezahlt, es sei denn, es liegt eine Zertifizierung vor.</w:t>
      </w:r>
    </w:p>
    <w:p w14:paraId="784FF47C" w14:textId="4F1FB8B9" w:rsidR="00B67579" w:rsidRPr="004676F5" w:rsidRDefault="00B67579" w:rsidP="00B67579">
      <w:pPr>
        <w:ind w:firstLine="708"/>
        <w:jc w:val="both"/>
        <w:rPr>
          <w:lang w:val="de-DE"/>
        </w:rPr>
      </w:pPr>
    </w:p>
    <w:p w14:paraId="0EFE83DA" w14:textId="77777777" w:rsidR="00B67579" w:rsidRPr="004676F5" w:rsidRDefault="00B67579" w:rsidP="00B67579">
      <w:pPr>
        <w:ind w:firstLine="708"/>
        <w:jc w:val="both"/>
        <w:rPr>
          <w:lang w:val="de-DE"/>
        </w:rPr>
      </w:pPr>
    </w:p>
    <w:p w14:paraId="2E63210C" w14:textId="022EEE45" w:rsidR="00B67579" w:rsidRPr="004676F5" w:rsidRDefault="00B67579" w:rsidP="00B67579">
      <w:pPr>
        <w:ind w:firstLine="708"/>
        <w:jc w:val="both"/>
        <w:rPr>
          <w:lang w:val="de-DE"/>
        </w:rPr>
      </w:pPr>
      <w:r w:rsidRPr="004676F5">
        <w:rPr>
          <w:b/>
          <w:lang w:val="de-DE"/>
        </w:rPr>
        <w:t>Art. VII.216/143</w:t>
      </w:r>
      <w:r w:rsidRPr="004676F5">
        <w:rPr>
          <w:lang w:val="de-DE"/>
        </w:rPr>
        <w:t> </w:t>
      </w:r>
      <w:r w:rsidR="005B7A5C" w:rsidRPr="004676F5">
        <w:rPr>
          <w:lang w:val="de-DE"/>
        </w:rPr>
        <w:t>- </w:t>
      </w:r>
      <w:r w:rsidRPr="004676F5">
        <w:rPr>
          <w:lang w:val="de-DE"/>
        </w:rPr>
        <w:t>Der Inhaber kann gegen die Indossanten, den Aussteller und die anderen Scheckverpflichteten Rückgriff nehmen, wenn der rechtzeitig vorgelegte Scheck nicht eingelöst und die Verweigerung der Zahlung festgestellt worden ist:</w:t>
      </w:r>
    </w:p>
    <w:p w14:paraId="2BF7A7B2" w14:textId="77777777" w:rsidR="00B67579" w:rsidRPr="004676F5" w:rsidRDefault="00B67579" w:rsidP="00B67579">
      <w:pPr>
        <w:ind w:firstLine="708"/>
        <w:jc w:val="both"/>
        <w:rPr>
          <w:lang w:val="de-DE"/>
        </w:rPr>
      </w:pPr>
    </w:p>
    <w:p w14:paraId="56E92570" w14:textId="77777777" w:rsidR="00B67579" w:rsidRPr="004676F5" w:rsidRDefault="00B67579" w:rsidP="00B67579">
      <w:pPr>
        <w:ind w:firstLine="708"/>
        <w:jc w:val="both"/>
        <w:rPr>
          <w:lang w:val="de-DE"/>
        </w:rPr>
      </w:pPr>
      <w:r w:rsidRPr="004676F5">
        <w:rPr>
          <w:lang w:val="de-DE"/>
        </w:rPr>
        <w:t>1. durch eine authentische Urkunde (Protest) oder</w:t>
      </w:r>
    </w:p>
    <w:p w14:paraId="494E285B" w14:textId="77777777" w:rsidR="00B67579" w:rsidRPr="004676F5" w:rsidRDefault="00B67579" w:rsidP="00B67579">
      <w:pPr>
        <w:ind w:firstLine="708"/>
        <w:jc w:val="both"/>
        <w:rPr>
          <w:lang w:val="de-DE"/>
        </w:rPr>
      </w:pPr>
    </w:p>
    <w:p w14:paraId="566F0FC3" w14:textId="77777777" w:rsidR="00B67579" w:rsidRPr="004676F5" w:rsidRDefault="00B67579" w:rsidP="00B67579">
      <w:pPr>
        <w:ind w:firstLine="708"/>
        <w:jc w:val="both"/>
        <w:rPr>
          <w:lang w:val="de-DE"/>
        </w:rPr>
      </w:pPr>
      <w:r w:rsidRPr="004676F5">
        <w:rPr>
          <w:lang w:val="de-DE"/>
        </w:rPr>
        <w:t>2. durch eine schriftliche, datierte Erklärung des Bezogenen auf dem Scheck, die den Tag der Vorlegung angibt, oder</w:t>
      </w:r>
    </w:p>
    <w:p w14:paraId="7DBC8A79" w14:textId="77777777" w:rsidR="00B67579" w:rsidRPr="004676F5" w:rsidRDefault="00B67579" w:rsidP="00B67579">
      <w:pPr>
        <w:ind w:firstLine="708"/>
        <w:jc w:val="both"/>
        <w:rPr>
          <w:lang w:val="de-DE"/>
        </w:rPr>
      </w:pPr>
    </w:p>
    <w:p w14:paraId="45192D9B" w14:textId="77777777" w:rsidR="00B67579" w:rsidRPr="004676F5" w:rsidRDefault="00B67579" w:rsidP="00B67579">
      <w:pPr>
        <w:ind w:firstLine="708"/>
        <w:jc w:val="both"/>
        <w:rPr>
          <w:lang w:val="de-DE"/>
        </w:rPr>
      </w:pPr>
      <w:r w:rsidRPr="004676F5">
        <w:rPr>
          <w:lang w:val="de-DE"/>
        </w:rPr>
        <w:t>3. durch eine schriftliche, datierte Erklärung einer Abrechnungsstelle auf dem Scheck, dass der Scheck rechtzeitig eingeliefert und nicht bezahlt worden ist.</w:t>
      </w:r>
    </w:p>
    <w:p w14:paraId="71F771A4" w14:textId="77777777" w:rsidR="00B67579" w:rsidRPr="004676F5" w:rsidRDefault="00B67579" w:rsidP="00B67579">
      <w:pPr>
        <w:ind w:firstLine="708"/>
        <w:jc w:val="both"/>
        <w:rPr>
          <w:lang w:val="de-DE"/>
        </w:rPr>
      </w:pPr>
    </w:p>
    <w:p w14:paraId="3CCF94B8" w14:textId="77777777" w:rsidR="00B67579" w:rsidRPr="004676F5" w:rsidRDefault="00B67579" w:rsidP="00B67579">
      <w:pPr>
        <w:ind w:firstLine="708"/>
        <w:jc w:val="both"/>
        <w:rPr>
          <w:lang w:val="de-DE"/>
        </w:rPr>
      </w:pPr>
      <w:r w:rsidRPr="004676F5">
        <w:rPr>
          <w:lang w:val="de-DE"/>
        </w:rPr>
        <w:t>Der Inhaber kann seinen Rückgriff gegen den Aussteller auch dann noch ausüben, wenn der Scheck verspätet vorgelegt oder die Zahlungsverweigerung verspätet festgestellt worden ist, außer wenn die verfügbaren Guthaben durch ein Ereignis, das nicht dem Aussteller zuzurechnen ist, nach Ablauf der Vorlagefrist verschwunden sind.</w:t>
      </w:r>
    </w:p>
    <w:p w14:paraId="02891F4E" w14:textId="5514F239" w:rsidR="00B67579" w:rsidRPr="004676F5" w:rsidRDefault="00B67579" w:rsidP="00B67579">
      <w:pPr>
        <w:ind w:firstLine="708"/>
        <w:jc w:val="both"/>
        <w:rPr>
          <w:lang w:val="de-DE"/>
        </w:rPr>
      </w:pPr>
    </w:p>
    <w:p w14:paraId="1F9D5F1C" w14:textId="77777777" w:rsidR="00B67579" w:rsidRPr="004676F5" w:rsidRDefault="00B67579" w:rsidP="00B67579">
      <w:pPr>
        <w:ind w:firstLine="708"/>
        <w:jc w:val="both"/>
        <w:rPr>
          <w:lang w:val="de-DE"/>
        </w:rPr>
      </w:pPr>
    </w:p>
    <w:p w14:paraId="6182993F" w14:textId="4C2C4A70" w:rsidR="00B67579" w:rsidRPr="004676F5" w:rsidRDefault="00B67579" w:rsidP="00B67579">
      <w:pPr>
        <w:ind w:firstLine="708"/>
        <w:jc w:val="both"/>
        <w:rPr>
          <w:lang w:val="de-DE"/>
        </w:rPr>
      </w:pPr>
      <w:r w:rsidRPr="004676F5">
        <w:rPr>
          <w:b/>
          <w:lang w:val="de-DE"/>
        </w:rPr>
        <w:t>Art. VII.216/144</w:t>
      </w:r>
      <w:r w:rsidRPr="004676F5">
        <w:rPr>
          <w:lang w:val="de-DE"/>
        </w:rPr>
        <w:t> </w:t>
      </w:r>
      <w:r w:rsidR="005B7A5C" w:rsidRPr="004676F5">
        <w:rPr>
          <w:lang w:val="de-DE"/>
        </w:rPr>
        <w:t>- </w:t>
      </w:r>
      <w:r w:rsidRPr="004676F5">
        <w:rPr>
          <w:lang w:val="de-DE"/>
        </w:rPr>
        <w:t>Der Protest oder die gleichbedeutende Feststellung muss vor Ablauf der Vorlegungsfrist vorgenommen werden.</w:t>
      </w:r>
    </w:p>
    <w:p w14:paraId="6A3E02A4" w14:textId="77777777" w:rsidR="00B67579" w:rsidRPr="004676F5" w:rsidRDefault="00B67579" w:rsidP="00B67579">
      <w:pPr>
        <w:ind w:firstLine="708"/>
        <w:jc w:val="both"/>
        <w:rPr>
          <w:lang w:val="de-DE"/>
        </w:rPr>
      </w:pPr>
    </w:p>
    <w:p w14:paraId="67F84EFA" w14:textId="77777777" w:rsidR="00B67579" w:rsidRPr="004676F5" w:rsidRDefault="00B67579" w:rsidP="00B67579">
      <w:pPr>
        <w:ind w:firstLine="708"/>
        <w:jc w:val="both"/>
        <w:rPr>
          <w:lang w:val="de-DE"/>
        </w:rPr>
      </w:pPr>
      <w:r w:rsidRPr="004676F5">
        <w:rPr>
          <w:lang w:val="de-DE"/>
        </w:rPr>
        <w:t>Ist die Vorlegung am letzten Tag der Frist erfolgt, so kann der Protest oder die gleichbedeutende Feststellung auch noch an dem folgenden Werktag vorgenommen werden.</w:t>
      </w:r>
    </w:p>
    <w:p w14:paraId="3BFAC142" w14:textId="735665F3" w:rsidR="00B67579" w:rsidRPr="004676F5" w:rsidRDefault="00B67579" w:rsidP="00B67579">
      <w:pPr>
        <w:ind w:firstLine="708"/>
        <w:jc w:val="both"/>
        <w:rPr>
          <w:lang w:val="de-DE"/>
        </w:rPr>
      </w:pPr>
    </w:p>
    <w:p w14:paraId="5491FEA2" w14:textId="77777777" w:rsidR="00B67579" w:rsidRPr="004676F5" w:rsidRDefault="00B67579" w:rsidP="00B67579">
      <w:pPr>
        <w:ind w:firstLine="708"/>
        <w:jc w:val="both"/>
        <w:rPr>
          <w:lang w:val="de-DE"/>
        </w:rPr>
      </w:pPr>
    </w:p>
    <w:p w14:paraId="1DD4E528" w14:textId="131C77EC" w:rsidR="00B67579" w:rsidRPr="004676F5" w:rsidRDefault="00B67579" w:rsidP="00B67579">
      <w:pPr>
        <w:ind w:firstLine="708"/>
        <w:jc w:val="both"/>
        <w:rPr>
          <w:lang w:val="de-DE"/>
        </w:rPr>
      </w:pPr>
      <w:r w:rsidRPr="004676F5">
        <w:rPr>
          <w:b/>
          <w:lang w:val="de-DE"/>
        </w:rPr>
        <w:t>Art. VII.216/145</w:t>
      </w:r>
      <w:r w:rsidRPr="004676F5">
        <w:rPr>
          <w:lang w:val="de-DE"/>
        </w:rPr>
        <w:t> </w:t>
      </w:r>
      <w:r w:rsidR="005B7A5C" w:rsidRPr="004676F5">
        <w:rPr>
          <w:lang w:val="de-DE"/>
        </w:rPr>
        <w:t>- </w:t>
      </w:r>
      <w:r w:rsidRPr="004676F5">
        <w:rPr>
          <w:lang w:val="de-DE"/>
        </w:rPr>
        <w:t xml:space="preserve">Der Inhaber muss seinen unmittelbaren Vormann und den Aussteller von dem Unterbleiben der Zahlung innerhalb der vier Werktage benachrichtigen, die auf den Tag der Protesterhebung oder der Vornahme der gleichbedeutenden Feststellung oder, im Fall des Vermerks "ohne Kosten", auf den Tag der Vorlegung folgen. Jeder Indossant muss innerhalb zweier Werktage nach Empfang der Nachricht seinem unmittelbaren Vormann von </w:t>
      </w:r>
      <w:r w:rsidRPr="004676F5">
        <w:rPr>
          <w:lang w:val="de-DE"/>
        </w:rPr>
        <w:lastRenderedPageBreak/>
        <w:t>der Nachricht, die er erhalten hat, Kenntnis geben und ihm die Namen und Adressen derjenigen mitteilen, die vorher Nachricht gegeben haben, und so weiter in der Reihenfolge bis zum Aussteller. Die Fristen laufen vom Empfang der vorhergehenden Nachricht.</w:t>
      </w:r>
    </w:p>
    <w:p w14:paraId="0B6803C1" w14:textId="77777777" w:rsidR="00B67579" w:rsidRPr="004676F5" w:rsidRDefault="00B67579" w:rsidP="00B67579">
      <w:pPr>
        <w:ind w:firstLine="708"/>
        <w:jc w:val="both"/>
        <w:rPr>
          <w:lang w:val="de-DE"/>
        </w:rPr>
      </w:pPr>
    </w:p>
    <w:p w14:paraId="3064BCE2" w14:textId="77777777" w:rsidR="00B67579" w:rsidRPr="004676F5" w:rsidRDefault="00B67579" w:rsidP="00B67579">
      <w:pPr>
        <w:ind w:firstLine="708"/>
        <w:jc w:val="both"/>
        <w:rPr>
          <w:lang w:val="de-DE"/>
        </w:rPr>
      </w:pPr>
      <w:r w:rsidRPr="004676F5">
        <w:rPr>
          <w:lang w:val="de-DE"/>
        </w:rPr>
        <w:t>Wird nach Maßgabe von Absatz 1 einer Person, deren Unterschrift sich auf dem Scheck befindet, Nachricht gegeben, so muss die gleiche Nachricht in derselben Frist ihrem Scheckbürgen gegeben werden.</w:t>
      </w:r>
    </w:p>
    <w:p w14:paraId="23AF05AA" w14:textId="77777777" w:rsidR="00B67579" w:rsidRPr="004676F5" w:rsidRDefault="00B67579" w:rsidP="00B67579">
      <w:pPr>
        <w:ind w:firstLine="708"/>
        <w:jc w:val="both"/>
        <w:rPr>
          <w:lang w:val="de-DE"/>
        </w:rPr>
      </w:pPr>
    </w:p>
    <w:p w14:paraId="0C792340" w14:textId="77777777" w:rsidR="00B67579" w:rsidRPr="004676F5" w:rsidRDefault="00B67579" w:rsidP="00B67579">
      <w:pPr>
        <w:ind w:firstLine="708"/>
        <w:jc w:val="both"/>
        <w:rPr>
          <w:lang w:val="de-DE"/>
        </w:rPr>
      </w:pPr>
      <w:r w:rsidRPr="004676F5">
        <w:rPr>
          <w:lang w:val="de-DE"/>
        </w:rPr>
        <w:t>Hat ein Indossant seine Adresse nicht oder in unleserlicher Form angegeben, so genügt es, dass sein unmittelbarer Vormann benachrichtigt wird.</w:t>
      </w:r>
    </w:p>
    <w:p w14:paraId="1E4A1596" w14:textId="77777777" w:rsidR="00B67579" w:rsidRPr="004676F5" w:rsidRDefault="00B67579" w:rsidP="00B67579">
      <w:pPr>
        <w:ind w:firstLine="708"/>
        <w:jc w:val="both"/>
        <w:rPr>
          <w:lang w:val="de-DE"/>
        </w:rPr>
      </w:pPr>
    </w:p>
    <w:p w14:paraId="1B2ACBF9" w14:textId="77777777" w:rsidR="00B67579" w:rsidRPr="004676F5" w:rsidRDefault="00B67579" w:rsidP="00B67579">
      <w:pPr>
        <w:ind w:firstLine="708"/>
        <w:jc w:val="both"/>
        <w:rPr>
          <w:lang w:val="de-DE"/>
        </w:rPr>
      </w:pPr>
      <w:r w:rsidRPr="004676F5">
        <w:rPr>
          <w:lang w:val="de-DE"/>
        </w:rPr>
        <w:t>Die Nachricht kann in jeder Form gegeben werden, auch durch die bloße Rücksendung des Schecks.</w:t>
      </w:r>
    </w:p>
    <w:p w14:paraId="53DFD6F0" w14:textId="77777777" w:rsidR="00B67579" w:rsidRPr="004676F5" w:rsidRDefault="00B67579" w:rsidP="00B67579">
      <w:pPr>
        <w:ind w:firstLine="708"/>
        <w:jc w:val="both"/>
        <w:rPr>
          <w:lang w:val="de-DE"/>
        </w:rPr>
      </w:pPr>
    </w:p>
    <w:p w14:paraId="4D4599F7" w14:textId="77777777" w:rsidR="00B67579" w:rsidRPr="004676F5" w:rsidRDefault="00B67579" w:rsidP="00B67579">
      <w:pPr>
        <w:ind w:firstLine="708"/>
        <w:jc w:val="both"/>
        <w:rPr>
          <w:lang w:val="de-DE"/>
        </w:rPr>
      </w:pPr>
      <w:r w:rsidRPr="004676F5">
        <w:rPr>
          <w:lang w:val="de-DE"/>
        </w:rPr>
        <w:t>Der zur Benachrichtigung Verpflichtete hat zu beweisen, dass er in der vorgeschriebenen Frist benachrichtigt hat. Die Frist gilt als eingehalten, wenn ein Schreiben, das die Benachrichtigung enthält, innerhalb der Frist zur Post gegeben worden ist.</w:t>
      </w:r>
    </w:p>
    <w:p w14:paraId="02307E56" w14:textId="77777777" w:rsidR="00B67579" w:rsidRPr="004676F5" w:rsidRDefault="00B67579" w:rsidP="00B67579">
      <w:pPr>
        <w:ind w:firstLine="708"/>
        <w:jc w:val="both"/>
        <w:rPr>
          <w:lang w:val="de-DE"/>
        </w:rPr>
      </w:pPr>
    </w:p>
    <w:p w14:paraId="196B6869" w14:textId="77777777" w:rsidR="00B67579" w:rsidRPr="004676F5" w:rsidRDefault="00B67579" w:rsidP="00B67579">
      <w:pPr>
        <w:ind w:firstLine="708"/>
        <w:jc w:val="both"/>
        <w:rPr>
          <w:lang w:val="de-DE"/>
        </w:rPr>
      </w:pPr>
      <w:r w:rsidRPr="004676F5">
        <w:rPr>
          <w:lang w:val="de-DE"/>
        </w:rPr>
        <w:t>Wer die rechtzeitige Benachrichtigung versäumt, verliert nicht den Rückgriff; er haftet für den etwa durch seine Nachlässigkeit entstandenen Schaden, jedoch nur bis zur Höhe der Schecksumme.</w:t>
      </w:r>
    </w:p>
    <w:p w14:paraId="48913C58" w14:textId="7FE2614B" w:rsidR="00B67579" w:rsidRPr="004676F5" w:rsidRDefault="00B67579" w:rsidP="00B67579">
      <w:pPr>
        <w:ind w:firstLine="708"/>
        <w:jc w:val="both"/>
        <w:rPr>
          <w:lang w:val="de-DE"/>
        </w:rPr>
      </w:pPr>
    </w:p>
    <w:p w14:paraId="2ABB6F49" w14:textId="77777777" w:rsidR="00B67579" w:rsidRPr="004676F5" w:rsidRDefault="00B67579" w:rsidP="00B67579">
      <w:pPr>
        <w:ind w:firstLine="708"/>
        <w:jc w:val="both"/>
        <w:rPr>
          <w:lang w:val="de-DE"/>
        </w:rPr>
      </w:pPr>
    </w:p>
    <w:p w14:paraId="06C4CF4B" w14:textId="70339806" w:rsidR="00B67579" w:rsidRPr="004676F5" w:rsidRDefault="00B67579" w:rsidP="00B67579">
      <w:pPr>
        <w:ind w:firstLine="708"/>
        <w:jc w:val="both"/>
        <w:rPr>
          <w:lang w:val="de-DE"/>
        </w:rPr>
      </w:pPr>
      <w:r w:rsidRPr="004676F5">
        <w:rPr>
          <w:b/>
          <w:lang w:val="de-DE"/>
        </w:rPr>
        <w:t>Art. VII.216/146</w:t>
      </w:r>
      <w:r w:rsidRPr="004676F5">
        <w:rPr>
          <w:lang w:val="de-DE"/>
        </w:rPr>
        <w:t> </w:t>
      </w:r>
      <w:r w:rsidR="005B7A5C" w:rsidRPr="004676F5">
        <w:rPr>
          <w:lang w:val="de-DE"/>
        </w:rPr>
        <w:t>- </w:t>
      </w:r>
      <w:r w:rsidRPr="004676F5">
        <w:rPr>
          <w:lang w:val="de-DE"/>
        </w:rPr>
        <w:t>Unbeschadet der für die Ausübung der Rückgriffsrechte vorgeschriebenen Formalitäten kann der Inhaber eines Schecks, in Bezug auf den mangels Zahlung Protest erhoben worden ist, mit Erlaubnis des Pfändungsrichters die Sicherungspfändung der beweglichen Güter der Aussteller und Indossanten veranlassen.</w:t>
      </w:r>
    </w:p>
    <w:p w14:paraId="4751231F" w14:textId="73A912DE" w:rsidR="00B67579" w:rsidRPr="004676F5" w:rsidRDefault="00B67579" w:rsidP="00B67579">
      <w:pPr>
        <w:ind w:firstLine="708"/>
        <w:jc w:val="both"/>
        <w:rPr>
          <w:lang w:val="de-DE"/>
        </w:rPr>
      </w:pPr>
    </w:p>
    <w:p w14:paraId="3845B633" w14:textId="77777777" w:rsidR="00B67579" w:rsidRPr="004676F5" w:rsidRDefault="00B67579" w:rsidP="00B67579">
      <w:pPr>
        <w:ind w:firstLine="708"/>
        <w:jc w:val="both"/>
        <w:rPr>
          <w:lang w:val="de-DE"/>
        </w:rPr>
      </w:pPr>
    </w:p>
    <w:p w14:paraId="0EBD42EB" w14:textId="13858FB3" w:rsidR="00B67579" w:rsidRPr="004676F5" w:rsidRDefault="00B67579" w:rsidP="00B67579">
      <w:pPr>
        <w:ind w:firstLine="708"/>
        <w:jc w:val="both"/>
        <w:rPr>
          <w:lang w:val="de-DE"/>
        </w:rPr>
      </w:pPr>
      <w:r w:rsidRPr="004676F5">
        <w:rPr>
          <w:b/>
          <w:lang w:val="de-DE"/>
        </w:rPr>
        <w:t>Art. VII.216/147</w:t>
      </w:r>
      <w:r w:rsidRPr="004676F5">
        <w:rPr>
          <w:lang w:val="de-DE"/>
        </w:rPr>
        <w:t> </w:t>
      </w:r>
      <w:r w:rsidR="005B7A5C" w:rsidRPr="004676F5">
        <w:rPr>
          <w:lang w:val="de-DE"/>
        </w:rPr>
        <w:t>- </w:t>
      </w:r>
      <w:r w:rsidRPr="004676F5">
        <w:rPr>
          <w:lang w:val="de-DE"/>
        </w:rPr>
        <w:t>Der Aussteller sowie jeder Indossant oder Scheckbürge kann durch den Vermerk "ohne Kosten", "ohne Protest" oder einen gleichbedeutenden auf den Scheck gesetzten und unterzeichneten Vermerk den Inhaber von der Verpflichtung befreien, zum Zweck der Ausübung des Rückgriffs Protest erheben oder eine gleichbedeutende Feststellung vornehmen zu lassen.</w:t>
      </w:r>
    </w:p>
    <w:p w14:paraId="0DBCDF01" w14:textId="77777777" w:rsidR="00B67579" w:rsidRPr="004676F5" w:rsidRDefault="00B67579" w:rsidP="00B67579">
      <w:pPr>
        <w:ind w:firstLine="708"/>
        <w:jc w:val="both"/>
        <w:rPr>
          <w:lang w:val="de-DE"/>
        </w:rPr>
      </w:pPr>
    </w:p>
    <w:p w14:paraId="21C3F498" w14:textId="77777777" w:rsidR="00B67579" w:rsidRPr="004676F5" w:rsidRDefault="00B67579" w:rsidP="00B67579">
      <w:pPr>
        <w:ind w:firstLine="708"/>
        <w:jc w:val="both"/>
        <w:rPr>
          <w:lang w:val="de-DE"/>
        </w:rPr>
      </w:pPr>
      <w:r w:rsidRPr="004676F5">
        <w:rPr>
          <w:lang w:val="de-DE"/>
        </w:rPr>
        <w:t>Der Vermerk befreit den Inhaber nicht von der Verpflichtung, den Scheck rechtzeitig vorzulegen und die erforderlichen Nachrichten zu geben. Der Beweis, dass die Frist nicht eingehalten worden ist, obliegt demjenigen, der sich dem Inhaber gegenüber darauf beruft.</w:t>
      </w:r>
    </w:p>
    <w:p w14:paraId="758B2CC7" w14:textId="77777777" w:rsidR="00B67579" w:rsidRPr="004676F5" w:rsidRDefault="00B67579" w:rsidP="00B67579">
      <w:pPr>
        <w:ind w:firstLine="708"/>
        <w:jc w:val="both"/>
        <w:rPr>
          <w:lang w:val="de-DE"/>
        </w:rPr>
      </w:pPr>
    </w:p>
    <w:p w14:paraId="7741CC05" w14:textId="77777777" w:rsidR="00B67579" w:rsidRPr="004676F5" w:rsidRDefault="00B67579" w:rsidP="00B67579">
      <w:pPr>
        <w:ind w:firstLine="708"/>
        <w:jc w:val="both"/>
        <w:rPr>
          <w:lang w:val="de-DE"/>
        </w:rPr>
      </w:pPr>
      <w:r w:rsidRPr="004676F5">
        <w:rPr>
          <w:lang w:val="de-DE"/>
        </w:rPr>
        <w:t>Ist der Vermerk vom Aussteller beigefügt, so wirkt er gegenüber allen Scheckver</w:t>
      </w:r>
      <w:r w:rsidRPr="004676F5">
        <w:rPr>
          <w:lang w:val="de-DE"/>
        </w:rPr>
        <w:softHyphen/>
        <w:t>pflichteten; ist er von einem Indossanten oder einem Scheckbürgen beigefügt, so wirkt er nur diesen gegenüber.</w:t>
      </w:r>
    </w:p>
    <w:p w14:paraId="323CD43A" w14:textId="77777777" w:rsidR="00B67579" w:rsidRPr="004676F5" w:rsidRDefault="00B67579" w:rsidP="00B67579">
      <w:pPr>
        <w:ind w:firstLine="708"/>
        <w:jc w:val="both"/>
        <w:rPr>
          <w:lang w:val="de-DE"/>
        </w:rPr>
      </w:pPr>
    </w:p>
    <w:p w14:paraId="62A68B03" w14:textId="77777777" w:rsidR="00B67579" w:rsidRPr="004676F5" w:rsidRDefault="00B67579" w:rsidP="00B67579">
      <w:pPr>
        <w:ind w:firstLine="708"/>
        <w:jc w:val="both"/>
        <w:rPr>
          <w:lang w:val="de-DE"/>
        </w:rPr>
      </w:pPr>
      <w:r w:rsidRPr="004676F5">
        <w:rPr>
          <w:lang w:val="de-DE"/>
        </w:rPr>
        <w:t>Lässt der Inhaber ungeachtet des vom Aussteller beigefügten Vermerks Protest erheben oder eine gleichbedeutende Feststellung vornehmen, so fallen ihm die Kosten zur Last. Ist der Vermerk von einem Indossanten oder einem Scheckbürgen beigefügt, so sind alle Scheckverpflichteten zum Ersatz der Kosten eines dennoch erhobenen Protestes oder einer gleichbedeutenden Feststellung verpflichtet.</w:t>
      </w:r>
    </w:p>
    <w:p w14:paraId="2A2FD90B" w14:textId="656B9D90" w:rsidR="00B67579" w:rsidRPr="004676F5" w:rsidRDefault="00B67579" w:rsidP="00B67579">
      <w:pPr>
        <w:ind w:firstLine="708"/>
        <w:jc w:val="both"/>
        <w:rPr>
          <w:lang w:val="de-DE"/>
        </w:rPr>
      </w:pPr>
    </w:p>
    <w:p w14:paraId="6C8891C0" w14:textId="77777777" w:rsidR="00B67579" w:rsidRPr="004676F5" w:rsidRDefault="00B67579" w:rsidP="00B67579">
      <w:pPr>
        <w:ind w:firstLine="708"/>
        <w:jc w:val="both"/>
        <w:rPr>
          <w:lang w:val="de-DE"/>
        </w:rPr>
      </w:pPr>
    </w:p>
    <w:p w14:paraId="08A64481" w14:textId="79C10E23" w:rsidR="00B67579" w:rsidRPr="004676F5" w:rsidRDefault="00B67579" w:rsidP="00B67579">
      <w:pPr>
        <w:ind w:firstLine="708"/>
        <w:jc w:val="both"/>
        <w:rPr>
          <w:lang w:val="de-DE"/>
        </w:rPr>
      </w:pPr>
      <w:r w:rsidRPr="004676F5">
        <w:rPr>
          <w:b/>
          <w:lang w:val="de-DE"/>
        </w:rPr>
        <w:t>Art. VII.216/148</w:t>
      </w:r>
      <w:r w:rsidRPr="004676F5">
        <w:rPr>
          <w:lang w:val="de-DE"/>
        </w:rPr>
        <w:t> </w:t>
      </w:r>
      <w:r w:rsidR="005B7A5C" w:rsidRPr="004676F5">
        <w:rPr>
          <w:lang w:val="de-DE"/>
        </w:rPr>
        <w:t>- </w:t>
      </w:r>
      <w:r w:rsidRPr="004676F5">
        <w:rPr>
          <w:lang w:val="de-DE"/>
        </w:rPr>
        <w:t>Alle Scheckverpflichteten haften dem Inhaber gegenüber als Gesamtschuldner.</w:t>
      </w:r>
    </w:p>
    <w:p w14:paraId="6D9EC39B" w14:textId="77777777" w:rsidR="00B67579" w:rsidRPr="004676F5" w:rsidRDefault="00B67579" w:rsidP="00B67579">
      <w:pPr>
        <w:ind w:firstLine="708"/>
        <w:jc w:val="both"/>
        <w:rPr>
          <w:lang w:val="de-DE"/>
        </w:rPr>
      </w:pPr>
    </w:p>
    <w:p w14:paraId="7EC2FABB" w14:textId="77777777" w:rsidR="00B67579" w:rsidRPr="004676F5" w:rsidRDefault="00B67579" w:rsidP="00B67579">
      <w:pPr>
        <w:ind w:firstLine="708"/>
        <w:jc w:val="both"/>
        <w:rPr>
          <w:lang w:val="de-DE"/>
        </w:rPr>
      </w:pPr>
      <w:r w:rsidRPr="004676F5">
        <w:rPr>
          <w:lang w:val="de-DE"/>
        </w:rPr>
        <w:t>Der Inhaber kann jeden einzeln oder mehrere oder alle zusammen in Anspruch nehmen, ohne an die Reihenfolge gebunden zu sein, in der sie sich verpflichtet haben.</w:t>
      </w:r>
    </w:p>
    <w:p w14:paraId="1919C7A8" w14:textId="77777777" w:rsidR="00B67579" w:rsidRPr="004676F5" w:rsidRDefault="00B67579" w:rsidP="00B67579">
      <w:pPr>
        <w:ind w:firstLine="708"/>
        <w:jc w:val="both"/>
        <w:rPr>
          <w:lang w:val="de-DE"/>
        </w:rPr>
      </w:pPr>
    </w:p>
    <w:p w14:paraId="0D0D24EB" w14:textId="77777777" w:rsidR="00B67579" w:rsidRPr="004676F5" w:rsidRDefault="00B67579" w:rsidP="00B67579">
      <w:pPr>
        <w:ind w:firstLine="708"/>
        <w:jc w:val="both"/>
        <w:rPr>
          <w:lang w:val="de-DE"/>
        </w:rPr>
      </w:pPr>
      <w:r w:rsidRPr="004676F5">
        <w:rPr>
          <w:lang w:val="de-DE"/>
        </w:rPr>
        <w:t>Das gleiche Recht steht jedem Scheckverpflichteten zu, der den Scheck eingelöst hat.</w:t>
      </w:r>
    </w:p>
    <w:p w14:paraId="4C4DF747" w14:textId="77777777" w:rsidR="00B67579" w:rsidRPr="004676F5" w:rsidRDefault="00B67579" w:rsidP="00B67579">
      <w:pPr>
        <w:ind w:firstLine="708"/>
        <w:jc w:val="both"/>
        <w:rPr>
          <w:lang w:val="de-DE"/>
        </w:rPr>
      </w:pPr>
    </w:p>
    <w:p w14:paraId="66144990" w14:textId="77777777" w:rsidR="00B67579" w:rsidRPr="004676F5" w:rsidRDefault="00B67579" w:rsidP="00B67579">
      <w:pPr>
        <w:ind w:firstLine="708"/>
        <w:jc w:val="both"/>
        <w:rPr>
          <w:lang w:val="de-DE"/>
        </w:rPr>
      </w:pPr>
      <w:r w:rsidRPr="004676F5">
        <w:rPr>
          <w:lang w:val="de-DE"/>
        </w:rPr>
        <w:t>Durch die Geltendmachung des Anspruches gegen einen Scheckverpflichteten verliert der Inhaber nicht seine Rechte gegen die anderen Scheckverpflichteten, auch nicht gegen die Nachmänner desjenigen, der zuerst in Anspruch genommen worden ist.</w:t>
      </w:r>
    </w:p>
    <w:p w14:paraId="3357134C" w14:textId="4E4C56EE" w:rsidR="00B67579" w:rsidRPr="004676F5" w:rsidRDefault="00B67579" w:rsidP="00B67579">
      <w:pPr>
        <w:ind w:firstLine="708"/>
        <w:jc w:val="both"/>
        <w:rPr>
          <w:lang w:val="de-DE"/>
        </w:rPr>
      </w:pPr>
    </w:p>
    <w:p w14:paraId="61AFBCC1" w14:textId="77777777" w:rsidR="00B67579" w:rsidRPr="004676F5" w:rsidRDefault="00B67579" w:rsidP="00B67579">
      <w:pPr>
        <w:ind w:firstLine="708"/>
        <w:jc w:val="both"/>
        <w:rPr>
          <w:lang w:val="de-DE"/>
        </w:rPr>
      </w:pPr>
    </w:p>
    <w:p w14:paraId="2E8C195C" w14:textId="398F5A4B" w:rsidR="00B67579" w:rsidRPr="004676F5" w:rsidRDefault="00B67579" w:rsidP="00B67579">
      <w:pPr>
        <w:ind w:firstLine="708"/>
        <w:jc w:val="both"/>
        <w:rPr>
          <w:lang w:val="de-DE"/>
        </w:rPr>
      </w:pPr>
      <w:r w:rsidRPr="004676F5">
        <w:rPr>
          <w:b/>
          <w:lang w:val="de-DE"/>
        </w:rPr>
        <w:t>Art. VII.216/149</w:t>
      </w:r>
      <w:r w:rsidRPr="004676F5">
        <w:rPr>
          <w:lang w:val="de-DE"/>
        </w:rPr>
        <w:t> </w:t>
      </w:r>
      <w:r w:rsidR="005B7A5C" w:rsidRPr="004676F5">
        <w:rPr>
          <w:lang w:val="de-DE"/>
        </w:rPr>
        <w:t>- </w:t>
      </w:r>
      <w:r w:rsidRPr="004676F5">
        <w:rPr>
          <w:lang w:val="de-DE"/>
        </w:rPr>
        <w:t>Der Inhaber kann im Wege des Rückgriffs verlangen:</w:t>
      </w:r>
    </w:p>
    <w:p w14:paraId="4FB5B497" w14:textId="77777777" w:rsidR="00B67579" w:rsidRPr="004676F5" w:rsidRDefault="00B67579" w:rsidP="00B67579">
      <w:pPr>
        <w:ind w:firstLine="708"/>
        <w:jc w:val="both"/>
        <w:rPr>
          <w:lang w:val="de-DE"/>
        </w:rPr>
      </w:pPr>
    </w:p>
    <w:p w14:paraId="08DDDA5A" w14:textId="77777777" w:rsidR="00B67579" w:rsidRPr="004676F5" w:rsidRDefault="00B67579" w:rsidP="00B67579">
      <w:pPr>
        <w:ind w:firstLine="708"/>
        <w:jc w:val="both"/>
        <w:rPr>
          <w:lang w:val="de-DE"/>
        </w:rPr>
      </w:pPr>
      <w:r w:rsidRPr="004676F5">
        <w:rPr>
          <w:lang w:val="de-DE"/>
        </w:rPr>
        <w:t>1. die Schecksumme, soweit der Scheck nicht eingelöst worden ist,</w:t>
      </w:r>
    </w:p>
    <w:p w14:paraId="420E6BD6" w14:textId="77777777" w:rsidR="00B67579" w:rsidRPr="004676F5" w:rsidRDefault="00B67579" w:rsidP="00B67579">
      <w:pPr>
        <w:ind w:firstLine="708"/>
        <w:jc w:val="both"/>
        <w:rPr>
          <w:lang w:val="de-DE"/>
        </w:rPr>
      </w:pPr>
    </w:p>
    <w:p w14:paraId="3E4BD2F9" w14:textId="77777777" w:rsidR="00B67579" w:rsidRPr="004676F5" w:rsidRDefault="00B67579" w:rsidP="00B67579">
      <w:pPr>
        <w:ind w:firstLine="708"/>
        <w:jc w:val="both"/>
        <w:rPr>
          <w:lang w:val="de-DE"/>
        </w:rPr>
      </w:pPr>
      <w:r w:rsidRPr="004676F5">
        <w:rPr>
          <w:lang w:val="de-DE"/>
        </w:rPr>
        <w:t>2. die Zinsen dieses Betrags zum gesetzlichen Zinssatz seit dem Tag der Einlösung,</w:t>
      </w:r>
    </w:p>
    <w:p w14:paraId="7DE97950" w14:textId="77777777" w:rsidR="00B67579" w:rsidRPr="004676F5" w:rsidRDefault="00B67579" w:rsidP="00B67579">
      <w:pPr>
        <w:ind w:firstLine="708"/>
        <w:jc w:val="both"/>
        <w:rPr>
          <w:lang w:val="de-DE"/>
        </w:rPr>
      </w:pPr>
    </w:p>
    <w:p w14:paraId="00DFF09F" w14:textId="77777777" w:rsidR="00B67579" w:rsidRPr="004676F5" w:rsidRDefault="00B67579" w:rsidP="00B67579">
      <w:pPr>
        <w:ind w:firstLine="708"/>
        <w:jc w:val="both"/>
        <w:rPr>
          <w:lang w:val="de-DE"/>
        </w:rPr>
      </w:pPr>
      <w:r w:rsidRPr="004676F5">
        <w:rPr>
          <w:lang w:val="de-DE"/>
        </w:rPr>
        <w:t>3. die Kosten des Protestes oder der gleichbedeutenden Feststellung und der Nachrichten sowie die anderen Auslagen.</w:t>
      </w:r>
    </w:p>
    <w:p w14:paraId="2A1EAF4C" w14:textId="77777777" w:rsidR="00B67579" w:rsidRPr="004676F5" w:rsidRDefault="00B67579" w:rsidP="00B67579">
      <w:pPr>
        <w:ind w:firstLine="708"/>
        <w:jc w:val="both"/>
        <w:rPr>
          <w:lang w:val="de-DE"/>
        </w:rPr>
      </w:pPr>
    </w:p>
    <w:p w14:paraId="7637BE8A" w14:textId="2DE91F37" w:rsidR="00B67579" w:rsidRPr="004676F5" w:rsidRDefault="00B67579" w:rsidP="00B67579">
      <w:pPr>
        <w:rPr>
          <w:lang w:val="de-DE"/>
        </w:rPr>
      </w:pPr>
    </w:p>
    <w:p w14:paraId="5395A7DC" w14:textId="2FDBC977" w:rsidR="00B67579" w:rsidRPr="004676F5" w:rsidRDefault="00B67579" w:rsidP="00B67579">
      <w:pPr>
        <w:ind w:firstLine="708"/>
        <w:jc w:val="both"/>
        <w:rPr>
          <w:lang w:val="de-DE"/>
        </w:rPr>
      </w:pPr>
      <w:r w:rsidRPr="004676F5">
        <w:rPr>
          <w:b/>
          <w:lang w:val="de-DE"/>
        </w:rPr>
        <w:t>Art. VII.216/150</w:t>
      </w:r>
      <w:r w:rsidRPr="004676F5">
        <w:rPr>
          <w:lang w:val="de-DE"/>
        </w:rPr>
        <w:t> </w:t>
      </w:r>
      <w:r w:rsidR="005B7A5C" w:rsidRPr="004676F5">
        <w:rPr>
          <w:lang w:val="de-DE"/>
        </w:rPr>
        <w:t>- </w:t>
      </w:r>
      <w:r w:rsidRPr="004676F5">
        <w:rPr>
          <w:lang w:val="de-DE"/>
        </w:rPr>
        <w:t>Wer den Scheck eingelöst hat, kann von seinen Vormännern verlangen:</w:t>
      </w:r>
    </w:p>
    <w:p w14:paraId="2F557E8F" w14:textId="77777777" w:rsidR="00B67579" w:rsidRPr="004676F5" w:rsidRDefault="00B67579" w:rsidP="00B67579">
      <w:pPr>
        <w:ind w:firstLine="708"/>
        <w:jc w:val="both"/>
        <w:rPr>
          <w:lang w:val="de-DE"/>
        </w:rPr>
      </w:pPr>
    </w:p>
    <w:p w14:paraId="7DE51368" w14:textId="77777777" w:rsidR="00B67579" w:rsidRPr="004676F5" w:rsidRDefault="00B67579" w:rsidP="00B67579">
      <w:pPr>
        <w:ind w:firstLine="708"/>
        <w:jc w:val="both"/>
        <w:rPr>
          <w:lang w:val="de-DE"/>
        </w:rPr>
      </w:pPr>
      <w:r w:rsidRPr="004676F5">
        <w:rPr>
          <w:lang w:val="de-DE"/>
        </w:rPr>
        <w:t>1. den vollen Betrag, den er gezahlt hat,</w:t>
      </w:r>
    </w:p>
    <w:p w14:paraId="5826665B" w14:textId="77777777" w:rsidR="00B67579" w:rsidRPr="004676F5" w:rsidRDefault="00B67579" w:rsidP="00B67579">
      <w:pPr>
        <w:ind w:firstLine="708"/>
        <w:jc w:val="both"/>
        <w:rPr>
          <w:lang w:val="de-DE"/>
        </w:rPr>
      </w:pPr>
    </w:p>
    <w:p w14:paraId="54318859" w14:textId="77777777" w:rsidR="00B67579" w:rsidRPr="004676F5" w:rsidRDefault="00B67579" w:rsidP="00B67579">
      <w:pPr>
        <w:ind w:firstLine="708"/>
        <w:jc w:val="both"/>
        <w:rPr>
          <w:lang w:val="de-DE"/>
        </w:rPr>
      </w:pPr>
      <w:r w:rsidRPr="004676F5">
        <w:rPr>
          <w:lang w:val="de-DE"/>
        </w:rPr>
        <w:t>2. die Zinsen dieses Betrags zum gesetzlichen Zinssatz seit dem Tag der Einlösung,</w:t>
      </w:r>
    </w:p>
    <w:p w14:paraId="0B48AFA1" w14:textId="77777777" w:rsidR="00B67579" w:rsidRPr="004676F5" w:rsidRDefault="00B67579" w:rsidP="00B67579">
      <w:pPr>
        <w:ind w:firstLine="708"/>
        <w:jc w:val="both"/>
        <w:rPr>
          <w:lang w:val="de-DE"/>
        </w:rPr>
      </w:pPr>
    </w:p>
    <w:p w14:paraId="7E86592C" w14:textId="77777777" w:rsidR="00B67579" w:rsidRPr="004676F5" w:rsidRDefault="00B67579" w:rsidP="00B67579">
      <w:pPr>
        <w:ind w:firstLine="708"/>
        <w:jc w:val="both"/>
        <w:rPr>
          <w:lang w:val="de-DE"/>
        </w:rPr>
      </w:pPr>
      <w:r w:rsidRPr="004676F5">
        <w:rPr>
          <w:lang w:val="de-DE"/>
        </w:rPr>
        <w:t>3. seine Auslagen.</w:t>
      </w:r>
    </w:p>
    <w:p w14:paraId="0317FB34" w14:textId="635F586C" w:rsidR="00B67579" w:rsidRPr="004676F5" w:rsidRDefault="00B67579" w:rsidP="00B67579">
      <w:pPr>
        <w:ind w:firstLine="708"/>
        <w:jc w:val="both"/>
        <w:rPr>
          <w:lang w:val="de-DE"/>
        </w:rPr>
      </w:pPr>
    </w:p>
    <w:p w14:paraId="5BD00019" w14:textId="77777777" w:rsidR="00B67579" w:rsidRPr="004676F5" w:rsidRDefault="00B67579" w:rsidP="00B67579">
      <w:pPr>
        <w:ind w:firstLine="708"/>
        <w:jc w:val="both"/>
        <w:rPr>
          <w:lang w:val="de-DE"/>
        </w:rPr>
      </w:pPr>
    </w:p>
    <w:p w14:paraId="4A0CA413" w14:textId="4CA15C33" w:rsidR="00B67579" w:rsidRPr="004676F5" w:rsidRDefault="00B67579" w:rsidP="00B67579">
      <w:pPr>
        <w:ind w:firstLine="708"/>
        <w:jc w:val="both"/>
        <w:rPr>
          <w:lang w:val="de-DE"/>
        </w:rPr>
      </w:pPr>
      <w:r w:rsidRPr="004676F5">
        <w:rPr>
          <w:b/>
          <w:lang w:val="de-DE"/>
        </w:rPr>
        <w:t>Art. VII.216/151</w:t>
      </w:r>
      <w:r w:rsidRPr="004676F5">
        <w:rPr>
          <w:lang w:val="de-DE"/>
        </w:rPr>
        <w:t> </w:t>
      </w:r>
      <w:r w:rsidR="005B7A5C" w:rsidRPr="004676F5">
        <w:rPr>
          <w:lang w:val="de-DE"/>
        </w:rPr>
        <w:t>- </w:t>
      </w:r>
      <w:r w:rsidRPr="004676F5">
        <w:rPr>
          <w:lang w:val="de-DE"/>
        </w:rPr>
        <w:t>Jeder Scheckverpflichtete, gegen den Rückgriff genommen wird oder genommen werden kann, ist berechtigt, zu verlangen, dass ihm gegen Entrichtung der Rückgriffssumme der Scheck mit dem Protest oder der gleichbedeutenden Feststellung und eine quittierte Rechnung ausgehändigt werden.</w:t>
      </w:r>
    </w:p>
    <w:p w14:paraId="61FF50DB" w14:textId="77777777" w:rsidR="00B67579" w:rsidRPr="004676F5" w:rsidRDefault="00B67579" w:rsidP="00B67579">
      <w:pPr>
        <w:ind w:firstLine="708"/>
        <w:jc w:val="both"/>
        <w:rPr>
          <w:lang w:val="de-DE"/>
        </w:rPr>
      </w:pPr>
    </w:p>
    <w:p w14:paraId="1ACDDE3E" w14:textId="77777777" w:rsidR="00B67579" w:rsidRPr="004676F5" w:rsidRDefault="00B67579" w:rsidP="00B67579">
      <w:pPr>
        <w:ind w:firstLine="708"/>
        <w:jc w:val="both"/>
        <w:rPr>
          <w:lang w:val="de-DE"/>
        </w:rPr>
      </w:pPr>
      <w:r w:rsidRPr="004676F5">
        <w:rPr>
          <w:lang w:val="de-DE"/>
        </w:rPr>
        <w:t>Jeder Indossant, der den Scheck eingelöst hat, kann sein Indossament und die Indossamente seiner Nachmänner ausstreichen.</w:t>
      </w:r>
    </w:p>
    <w:p w14:paraId="66D3AD97" w14:textId="55A0A941" w:rsidR="00B67579" w:rsidRPr="004676F5" w:rsidRDefault="00B67579" w:rsidP="00B67579">
      <w:pPr>
        <w:ind w:firstLine="708"/>
        <w:jc w:val="both"/>
        <w:rPr>
          <w:lang w:val="de-DE"/>
        </w:rPr>
      </w:pPr>
    </w:p>
    <w:p w14:paraId="0F8A0B37" w14:textId="77777777" w:rsidR="00B67579" w:rsidRPr="004676F5" w:rsidRDefault="00B67579" w:rsidP="00B67579">
      <w:pPr>
        <w:ind w:firstLine="708"/>
        <w:jc w:val="both"/>
        <w:rPr>
          <w:lang w:val="de-DE"/>
        </w:rPr>
      </w:pPr>
    </w:p>
    <w:p w14:paraId="61B7551E" w14:textId="6CDADE70" w:rsidR="00B67579" w:rsidRPr="004676F5" w:rsidRDefault="00B67579" w:rsidP="00B67579">
      <w:pPr>
        <w:ind w:firstLine="708"/>
        <w:jc w:val="both"/>
        <w:rPr>
          <w:lang w:val="de-DE"/>
        </w:rPr>
      </w:pPr>
      <w:r w:rsidRPr="004676F5">
        <w:rPr>
          <w:b/>
          <w:lang w:val="de-DE"/>
        </w:rPr>
        <w:t>Art. VII.216/152</w:t>
      </w:r>
      <w:r w:rsidRPr="004676F5">
        <w:rPr>
          <w:lang w:val="de-DE"/>
        </w:rPr>
        <w:t> </w:t>
      </w:r>
      <w:r w:rsidR="005B7A5C" w:rsidRPr="004676F5">
        <w:rPr>
          <w:lang w:val="de-DE"/>
        </w:rPr>
        <w:t>- </w:t>
      </w:r>
      <w:r w:rsidRPr="004676F5">
        <w:rPr>
          <w:lang w:val="de-DE"/>
        </w:rPr>
        <w:t>Steht der rechtzeitigen Vorlegung des Schecks oder der rechtzeitigen Erhebung des Protestes oder der Vornahme einer gleichbedeutenden Feststellung ein unüberwindliches Hindernis entgegen (gesetzliche Vorschrift eines Staates oder ein anderer Fall höherer Gewalt), so werden die für diese Handlungen bestimmten Fristen verlängert.</w:t>
      </w:r>
    </w:p>
    <w:p w14:paraId="514942E1" w14:textId="77777777" w:rsidR="00B67579" w:rsidRPr="004676F5" w:rsidRDefault="00B67579" w:rsidP="00B67579">
      <w:pPr>
        <w:ind w:firstLine="708"/>
        <w:jc w:val="both"/>
        <w:rPr>
          <w:lang w:val="de-DE"/>
        </w:rPr>
      </w:pPr>
    </w:p>
    <w:p w14:paraId="0297898F" w14:textId="77777777" w:rsidR="00B67579" w:rsidRPr="004676F5" w:rsidRDefault="00B67579" w:rsidP="00B67579">
      <w:pPr>
        <w:ind w:firstLine="708"/>
        <w:jc w:val="both"/>
        <w:rPr>
          <w:lang w:val="de-DE"/>
        </w:rPr>
      </w:pPr>
      <w:r w:rsidRPr="004676F5">
        <w:rPr>
          <w:lang w:val="de-DE"/>
        </w:rPr>
        <w:t>Der Inhaber ist verpflichtet, seinen unmittelbaren Vormann von dem Fall der höheren Gewalt unverzüglich zu benachrichtigen und die Benachrichtigung unter Beifügung des Tages und Ortes sowie seiner Unterschrift auf dem Scheck oder einem Anhang zu vermerken; im Übrigen finden die Vorschriften des Artikels VII.216/145 Anwendung.</w:t>
      </w:r>
    </w:p>
    <w:p w14:paraId="0A84E1EF" w14:textId="77777777" w:rsidR="00B67579" w:rsidRPr="004676F5" w:rsidRDefault="00B67579" w:rsidP="00B67579">
      <w:pPr>
        <w:ind w:firstLine="708"/>
        <w:jc w:val="both"/>
        <w:rPr>
          <w:lang w:val="de-DE"/>
        </w:rPr>
      </w:pPr>
    </w:p>
    <w:p w14:paraId="26DC3D09" w14:textId="77777777" w:rsidR="00B67579" w:rsidRPr="004676F5" w:rsidRDefault="00B67579" w:rsidP="00B67579">
      <w:pPr>
        <w:ind w:firstLine="708"/>
        <w:jc w:val="both"/>
        <w:rPr>
          <w:lang w:val="de-DE"/>
        </w:rPr>
      </w:pPr>
      <w:r w:rsidRPr="004676F5">
        <w:rPr>
          <w:lang w:val="de-DE"/>
        </w:rPr>
        <w:lastRenderedPageBreak/>
        <w:t>Fällt die höhere Gewalt weg, so muss der Inhaber den Scheck unverzüglich zur Zahlung vorlegen und gegebenenfalls Protest erheben oder eine gleichbedeutende Feststellung vornehmen lassen.</w:t>
      </w:r>
    </w:p>
    <w:p w14:paraId="6A1E3702" w14:textId="77777777" w:rsidR="00B67579" w:rsidRPr="004676F5" w:rsidRDefault="00B67579" w:rsidP="00B67579">
      <w:pPr>
        <w:ind w:firstLine="708"/>
        <w:jc w:val="both"/>
        <w:rPr>
          <w:lang w:val="de-DE"/>
        </w:rPr>
      </w:pPr>
    </w:p>
    <w:p w14:paraId="243133E3" w14:textId="77777777" w:rsidR="00B67579" w:rsidRPr="004676F5" w:rsidRDefault="00B67579" w:rsidP="00B67579">
      <w:pPr>
        <w:ind w:firstLine="708"/>
        <w:jc w:val="both"/>
        <w:rPr>
          <w:lang w:val="de-DE"/>
        </w:rPr>
      </w:pPr>
      <w:r w:rsidRPr="004676F5">
        <w:rPr>
          <w:lang w:val="de-DE"/>
        </w:rPr>
        <w:t>Dauert die höhere Gewalt länger als fünfzehn Tage seit dem Tag, an dem der Inhaber, selbst vor Ablauf der Vorlegungsfrist, seinen Vormann von dem Fall der höheren Gewalt benachrichtigt hat, so kann Rückgriff genommen werden, ohne dass es der Vorlegung oder der Protesterhebung oder einer gleichbedeutenden Feststellung bedarf.</w:t>
      </w:r>
    </w:p>
    <w:p w14:paraId="0EA059B1" w14:textId="77777777" w:rsidR="00B67579" w:rsidRPr="004676F5" w:rsidRDefault="00B67579" w:rsidP="00B67579">
      <w:pPr>
        <w:ind w:firstLine="708"/>
        <w:jc w:val="both"/>
        <w:rPr>
          <w:lang w:val="de-DE"/>
        </w:rPr>
      </w:pPr>
    </w:p>
    <w:p w14:paraId="389DA70E" w14:textId="77777777" w:rsidR="00B67579" w:rsidRPr="004676F5" w:rsidRDefault="00B67579" w:rsidP="00B67579">
      <w:pPr>
        <w:ind w:firstLine="708"/>
        <w:jc w:val="both"/>
        <w:rPr>
          <w:lang w:val="de-DE"/>
        </w:rPr>
      </w:pPr>
      <w:r w:rsidRPr="004676F5">
        <w:rPr>
          <w:lang w:val="de-DE"/>
        </w:rPr>
        <w:t>Tatsachen, die rein persönlich den Inhaber oder denjenigen betreffen, den er mit der Vorlegung des Schecks oder mit der Protesterhebung oder mit der Herbeiführung einer gleichbedeutenden Feststellung beauftragt hat, gelten nicht als Fälle höherer Gewalt.</w:t>
      </w:r>
    </w:p>
    <w:p w14:paraId="131E9011" w14:textId="3DDD0656" w:rsidR="00B67579" w:rsidRPr="004676F5" w:rsidRDefault="00B67579" w:rsidP="00B67579">
      <w:pPr>
        <w:ind w:firstLine="708"/>
        <w:jc w:val="both"/>
        <w:rPr>
          <w:lang w:val="de-DE"/>
        </w:rPr>
      </w:pPr>
    </w:p>
    <w:p w14:paraId="6348E469" w14:textId="77777777" w:rsidR="00B67579" w:rsidRPr="004676F5" w:rsidRDefault="00B67579" w:rsidP="00B67579">
      <w:pPr>
        <w:ind w:firstLine="708"/>
        <w:jc w:val="both"/>
        <w:rPr>
          <w:lang w:val="de-DE"/>
        </w:rPr>
      </w:pPr>
    </w:p>
    <w:p w14:paraId="0E8DFEF4" w14:textId="0DC2D15C" w:rsidR="00B67579" w:rsidRPr="004676F5" w:rsidRDefault="00B67579" w:rsidP="00B67579">
      <w:pPr>
        <w:jc w:val="both"/>
        <w:rPr>
          <w:lang w:val="de-DE"/>
        </w:rPr>
      </w:pPr>
      <w:r w:rsidRPr="004676F5">
        <w:rPr>
          <w:lang w:val="de-DE"/>
        </w:rPr>
        <w:tab/>
      </w:r>
      <w:r w:rsidRPr="004676F5">
        <w:rPr>
          <w:b/>
          <w:lang w:val="de-DE"/>
        </w:rPr>
        <w:t>Art. VII.216/153</w:t>
      </w:r>
      <w:r w:rsidRPr="004676F5">
        <w:rPr>
          <w:lang w:val="de-DE"/>
        </w:rPr>
        <w:t> </w:t>
      </w:r>
      <w:r w:rsidR="005B7A5C" w:rsidRPr="004676F5">
        <w:rPr>
          <w:lang w:val="de-DE"/>
        </w:rPr>
        <w:t>- </w:t>
      </w:r>
      <w:r w:rsidRPr="004676F5">
        <w:rPr>
          <w:lang w:val="de-DE"/>
        </w:rPr>
        <w:t>Im Fall des Verfalls bleibt ein Anspruch bestehen gegen den Aussteller, der keine Deckung geleistet hat oder gegen den Aussteller oder Indossanten, der sich ungerechtfertigt bereichert hat.]</w:t>
      </w:r>
    </w:p>
    <w:p w14:paraId="3EDDDBB9" w14:textId="604327D0" w:rsidR="00B67579" w:rsidRPr="004676F5" w:rsidRDefault="00B67579" w:rsidP="00B67579">
      <w:pPr>
        <w:jc w:val="both"/>
        <w:rPr>
          <w:lang w:val="de-DE"/>
        </w:rPr>
      </w:pPr>
    </w:p>
    <w:p w14:paraId="3B1A6C68" w14:textId="10FC5408" w:rsidR="00B67579" w:rsidRPr="004676F5" w:rsidRDefault="00B67579" w:rsidP="00B67579">
      <w:pPr>
        <w:jc w:val="both"/>
        <w:rPr>
          <w:i/>
          <w:lang w:val="de-DE"/>
        </w:rPr>
      </w:pPr>
      <w:r w:rsidRPr="004676F5">
        <w:rPr>
          <w:i/>
          <w:lang w:val="de-DE"/>
        </w:rPr>
        <w:t>[Art. VII.216/142 bis VII.216/153 eingefügt durch Art. 159 des G. vom 15. April 2018 (B.S. vom 27. April 2018)]</w:t>
      </w:r>
    </w:p>
    <w:p w14:paraId="0B5B4E14" w14:textId="7E6F81CF" w:rsidR="00B67579" w:rsidRPr="004676F5" w:rsidRDefault="00B67579" w:rsidP="00B67579">
      <w:pPr>
        <w:jc w:val="both"/>
        <w:rPr>
          <w:iCs/>
          <w:lang w:val="de-DE"/>
        </w:rPr>
      </w:pPr>
    </w:p>
    <w:p w14:paraId="16D3D119" w14:textId="570958F7" w:rsidR="00B67579" w:rsidRPr="004676F5" w:rsidRDefault="00B67579" w:rsidP="00B67579">
      <w:pPr>
        <w:jc w:val="both"/>
        <w:rPr>
          <w:iCs/>
          <w:lang w:val="de-DE"/>
        </w:rPr>
      </w:pPr>
    </w:p>
    <w:p w14:paraId="1CA6CE01" w14:textId="71F55FAF" w:rsidR="00B67579" w:rsidRPr="004676F5" w:rsidRDefault="00B67579" w:rsidP="00B67579">
      <w:pPr>
        <w:jc w:val="center"/>
        <w:rPr>
          <w:iCs/>
          <w:lang w:val="de-DE"/>
        </w:rPr>
      </w:pPr>
      <w:r w:rsidRPr="004676F5">
        <w:rPr>
          <w:iCs/>
          <w:lang w:val="de-DE"/>
        </w:rPr>
        <w:t>[</w:t>
      </w:r>
      <w:r w:rsidRPr="004676F5">
        <w:rPr>
          <w:i/>
          <w:lang w:val="de-DE"/>
        </w:rPr>
        <w:t>Abschnitt 7</w:t>
      </w:r>
      <w:r w:rsidRPr="004676F5">
        <w:rPr>
          <w:lang w:val="de-DE"/>
        </w:rPr>
        <w:t> </w:t>
      </w:r>
      <w:r w:rsidR="005B7A5C" w:rsidRPr="004676F5">
        <w:rPr>
          <w:lang w:val="de-DE"/>
        </w:rPr>
        <w:t>- </w:t>
      </w:r>
      <w:r w:rsidRPr="004676F5">
        <w:rPr>
          <w:lang w:val="de-DE"/>
        </w:rPr>
        <w:t>Ausfertigung mehrerer Stücke eines Schecks</w:t>
      </w:r>
      <w:r w:rsidRPr="004676F5">
        <w:rPr>
          <w:iCs/>
          <w:lang w:val="de-DE"/>
        </w:rPr>
        <w:t>]</w:t>
      </w:r>
    </w:p>
    <w:p w14:paraId="434EB3E7" w14:textId="3D588726" w:rsidR="00B67579" w:rsidRPr="004676F5" w:rsidRDefault="00B67579" w:rsidP="00B67579">
      <w:pPr>
        <w:jc w:val="center"/>
        <w:rPr>
          <w:iCs/>
          <w:lang w:val="de-DE"/>
        </w:rPr>
      </w:pPr>
    </w:p>
    <w:p w14:paraId="65BCB5C9" w14:textId="64C8A69E" w:rsidR="00B67579" w:rsidRPr="004676F5" w:rsidRDefault="00B67579" w:rsidP="00B67579">
      <w:pPr>
        <w:jc w:val="both"/>
        <w:rPr>
          <w:i/>
          <w:iCs/>
          <w:lang w:val="de-DE"/>
        </w:rPr>
      </w:pPr>
      <w:r w:rsidRPr="004676F5">
        <w:rPr>
          <w:i/>
          <w:lang w:val="de-DE"/>
        </w:rPr>
        <w:t>[Unterteilung Abschnitt 7 eingefügt durch Art. 160</w:t>
      </w:r>
      <w:r w:rsidRPr="004676F5">
        <w:rPr>
          <w:i/>
          <w:iCs/>
          <w:lang w:val="de-DE"/>
        </w:rPr>
        <w:t xml:space="preserve"> des G. vom 15. April 2018 (B.S. vom 27. April 2018)]</w:t>
      </w:r>
    </w:p>
    <w:p w14:paraId="00ACEC52" w14:textId="04F2AF01" w:rsidR="00B67579" w:rsidRPr="004676F5" w:rsidRDefault="00B67579" w:rsidP="00B67579">
      <w:pPr>
        <w:jc w:val="both"/>
        <w:rPr>
          <w:iCs/>
          <w:lang w:val="de-DE"/>
        </w:rPr>
      </w:pPr>
    </w:p>
    <w:p w14:paraId="6D306917" w14:textId="753C97BD" w:rsidR="00B67579" w:rsidRPr="004676F5" w:rsidRDefault="00B67579" w:rsidP="00B67579">
      <w:pPr>
        <w:jc w:val="both"/>
        <w:rPr>
          <w:iCs/>
          <w:lang w:val="de-DE"/>
        </w:rPr>
      </w:pPr>
    </w:p>
    <w:p w14:paraId="6E2AB4A4" w14:textId="49BCB1DE" w:rsidR="00B67579" w:rsidRPr="004676F5" w:rsidRDefault="00B67579" w:rsidP="00B67579">
      <w:pPr>
        <w:ind w:firstLine="708"/>
        <w:jc w:val="both"/>
        <w:rPr>
          <w:lang w:val="de-DE"/>
        </w:rPr>
      </w:pPr>
      <w:r w:rsidRPr="004676F5">
        <w:rPr>
          <w:iCs/>
          <w:lang w:val="de-DE"/>
        </w:rPr>
        <w:t>[</w:t>
      </w:r>
      <w:r w:rsidRPr="004676F5">
        <w:rPr>
          <w:b/>
          <w:lang w:val="de-DE"/>
        </w:rPr>
        <w:t>Art. VII.216/154</w:t>
      </w:r>
      <w:r w:rsidRPr="004676F5">
        <w:rPr>
          <w:lang w:val="de-DE"/>
        </w:rPr>
        <w:t> </w:t>
      </w:r>
      <w:r w:rsidR="005B7A5C" w:rsidRPr="004676F5">
        <w:rPr>
          <w:lang w:val="de-DE"/>
        </w:rPr>
        <w:t>- </w:t>
      </w:r>
      <w:r w:rsidRPr="004676F5">
        <w:rPr>
          <w:lang w:val="de-DE"/>
        </w:rPr>
        <w:t>Schecks, die nicht auf den Inhaber gestellt sind und in einem anderen Staat als dem der Ausstellung oder in einem überseeischen Gebiet des Staates der Ausstellung zahlbar sind, und umgekehrt, oder in dem überseeischen Gebiet eines Staates ausgestellt und zahlbar sind, oder in dem überseeischen Gebiet eines Staates ausgestellt und in einem anderen überseeischen Gebiet desselben Staates zahlbar sind, können in mehreren gleichen Ausfertigungen ausgestellt werden. Diese Ausfertigungen müssen im Text der Urkunde mit fortlaufenden Nummern versehen sein; andernfalls gilt jede Ausfertigung als besonderer Scheck.</w:t>
      </w:r>
    </w:p>
    <w:p w14:paraId="7760F022" w14:textId="7B36B846" w:rsidR="00B67579" w:rsidRPr="004676F5" w:rsidRDefault="00B67579" w:rsidP="00B67579">
      <w:pPr>
        <w:ind w:firstLine="708"/>
        <w:jc w:val="both"/>
        <w:rPr>
          <w:lang w:val="de-DE"/>
        </w:rPr>
      </w:pPr>
    </w:p>
    <w:p w14:paraId="7D48454B" w14:textId="77777777" w:rsidR="00B67579" w:rsidRPr="004676F5" w:rsidRDefault="00B67579" w:rsidP="00B67579">
      <w:pPr>
        <w:ind w:firstLine="708"/>
        <w:jc w:val="both"/>
        <w:rPr>
          <w:lang w:val="de-DE"/>
        </w:rPr>
      </w:pPr>
    </w:p>
    <w:p w14:paraId="5CE95298" w14:textId="18675238" w:rsidR="00B67579" w:rsidRPr="004676F5" w:rsidRDefault="00B67579" w:rsidP="00B67579">
      <w:pPr>
        <w:ind w:firstLine="708"/>
        <w:jc w:val="both"/>
        <w:rPr>
          <w:lang w:val="de-DE"/>
        </w:rPr>
      </w:pPr>
      <w:r w:rsidRPr="004676F5">
        <w:rPr>
          <w:b/>
          <w:lang w:val="de-DE"/>
        </w:rPr>
        <w:t>Art. VII.216/155</w:t>
      </w:r>
      <w:r w:rsidRPr="004676F5">
        <w:rPr>
          <w:lang w:val="de-DE"/>
        </w:rPr>
        <w:t> </w:t>
      </w:r>
      <w:r w:rsidR="005B7A5C" w:rsidRPr="004676F5">
        <w:rPr>
          <w:lang w:val="de-DE"/>
        </w:rPr>
        <w:t>- </w:t>
      </w:r>
      <w:r w:rsidRPr="004676F5">
        <w:rPr>
          <w:lang w:val="de-DE"/>
        </w:rPr>
        <w:t>Wird eine Ausfertigung bezahlt, so erlöschen die Rechte aus allen Ausfertigungen, auch wenn diese nicht den Vermerk tragen, dass durch die Zahlung auf eine Ausfertigung die anderen ihre Gültigkeit verlieren.</w:t>
      </w:r>
    </w:p>
    <w:p w14:paraId="7E127000" w14:textId="77777777" w:rsidR="00B67579" w:rsidRPr="004676F5" w:rsidRDefault="00B67579" w:rsidP="00B67579">
      <w:pPr>
        <w:ind w:firstLine="708"/>
        <w:jc w:val="both"/>
        <w:rPr>
          <w:lang w:val="de-DE"/>
        </w:rPr>
      </w:pPr>
    </w:p>
    <w:p w14:paraId="30961C55" w14:textId="17507553" w:rsidR="00B67579" w:rsidRPr="004676F5" w:rsidRDefault="00B67579" w:rsidP="00B67579">
      <w:pPr>
        <w:jc w:val="both"/>
        <w:rPr>
          <w:lang w:val="de-DE"/>
        </w:rPr>
      </w:pPr>
      <w:r w:rsidRPr="004676F5">
        <w:rPr>
          <w:lang w:val="de-DE"/>
        </w:rPr>
        <w:tab/>
        <w:t>Hat ein Indossant die Ausfertigungen an verschiedene Personen übertragen, so haften er und seine Nachmänner aus allen Ausfertigungen, die ihre Unterschrift tragen und nicht herausgegeben worden sind.]</w:t>
      </w:r>
    </w:p>
    <w:p w14:paraId="04B1B99D" w14:textId="312A61F3" w:rsidR="00B67579" w:rsidRPr="004676F5" w:rsidRDefault="00B67579" w:rsidP="00B67579">
      <w:pPr>
        <w:jc w:val="both"/>
        <w:rPr>
          <w:lang w:val="de-DE"/>
        </w:rPr>
      </w:pPr>
    </w:p>
    <w:p w14:paraId="0FADF468" w14:textId="708E8961" w:rsidR="00B67579" w:rsidRPr="004676F5" w:rsidRDefault="00B67579" w:rsidP="00B67579">
      <w:pPr>
        <w:jc w:val="both"/>
        <w:rPr>
          <w:i/>
          <w:iCs/>
          <w:lang w:val="de-DE"/>
        </w:rPr>
      </w:pPr>
      <w:r w:rsidRPr="004676F5">
        <w:rPr>
          <w:i/>
          <w:iCs/>
          <w:lang w:val="de-DE"/>
        </w:rPr>
        <w:t>[Art. VII.216/154 und VII.216/155 eingefügt durch Art. 161 des G. vom 15. April 2018 (B.S. vom 27. April 2018)]</w:t>
      </w:r>
    </w:p>
    <w:p w14:paraId="273941DB" w14:textId="5AA02C86" w:rsidR="00B67579" w:rsidRPr="004676F5" w:rsidRDefault="00B67579" w:rsidP="00B67579">
      <w:pPr>
        <w:jc w:val="both"/>
        <w:rPr>
          <w:iCs/>
          <w:lang w:val="de-DE"/>
        </w:rPr>
      </w:pPr>
    </w:p>
    <w:p w14:paraId="4DD8F2D6" w14:textId="16E8D3A3" w:rsidR="00B67579" w:rsidRPr="004676F5" w:rsidRDefault="00B67579" w:rsidP="00B67579">
      <w:pPr>
        <w:jc w:val="both"/>
        <w:rPr>
          <w:iCs/>
          <w:lang w:val="de-DE"/>
        </w:rPr>
      </w:pPr>
    </w:p>
    <w:p w14:paraId="237BF500" w14:textId="77777777" w:rsidR="00B67579" w:rsidRPr="004676F5" w:rsidRDefault="00B67579">
      <w:pPr>
        <w:rPr>
          <w:iCs/>
          <w:lang w:val="de-DE"/>
        </w:rPr>
      </w:pPr>
      <w:r w:rsidRPr="004676F5">
        <w:rPr>
          <w:iCs/>
          <w:lang w:val="de-DE"/>
        </w:rPr>
        <w:br w:type="page"/>
      </w:r>
    </w:p>
    <w:p w14:paraId="7D0BCA29" w14:textId="34CEA599" w:rsidR="00B67579" w:rsidRPr="004676F5" w:rsidRDefault="00B67579" w:rsidP="00B67579">
      <w:pPr>
        <w:jc w:val="center"/>
        <w:rPr>
          <w:iCs/>
          <w:lang w:val="de-DE"/>
        </w:rPr>
      </w:pPr>
      <w:r w:rsidRPr="004676F5">
        <w:rPr>
          <w:iCs/>
          <w:lang w:val="de-DE"/>
        </w:rPr>
        <w:lastRenderedPageBreak/>
        <w:t>[</w:t>
      </w:r>
      <w:r w:rsidRPr="004676F5">
        <w:rPr>
          <w:i/>
          <w:lang w:val="de-DE"/>
        </w:rPr>
        <w:t>Abschnitt 8</w:t>
      </w:r>
      <w:r w:rsidRPr="004676F5">
        <w:rPr>
          <w:lang w:val="de-DE"/>
        </w:rPr>
        <w:t> </w:t>
      </w:r>
      <w:r w:rsidR="005B7A5C" w:rsidRPr="004676F5">
        <w:rPr>
          <w:lang w:val="de-DE"/>
        </w:rPr>
        <w:t>- </w:t>
      </w:r>
      <w:r w:rsidRPr="004676F5">
        <w:rPr>
          <w:lang w:val="de-DE"/>
        </w:rPr>
        <w:t>Änderungen</w:t>
      </w:r>
      <w:r w:rsidRPr="004676F5">
        <w:rPr>
          <w:iCs/>
          <w:lang w:val="de-DE"/>
        </w:rPr>
        <w:t>]</w:t>
      </w:r>
    </w:p>
    <w:p w14:paraId="7D881238" w14:textId="682FF6B6" w:rsidR="00B67579" w:rsidRPr="004676F5" w:rsidRDefault="00B67579" w:rsidP="00B67579">
      <w:pPr>
        <w:jc w:val="center"/>
        <w:rPr>
          <w:iCs/>
          <w:lang w:val="de-DE"/>
        </w:rPr>
      </w:pPr>
    </w:p>
    <w:p w14:paraId="2B21DEC2" w14:textId="47E7F7F1" w:rsidR="00B67579" w:rsidRPr="004676F5" w:rsidRDefault="00B67579" w:rsidP="00B67579">
      <w:pPr>
        <w:jc w:val="both"/>
        <w:rPr>
          <w:i/>
          <w:iCs/>
          <w:lang w:val="de-DE"/>
        </w:rPr>
      </w:pPr>
      <w:r w:rsidRPr="004676F5">
        <w:rPr>
          <w:i/>
          <w:lang w:val="de-DE"/>
        </w:rPr>
        <w:t>[Unterteilung Abschnitt 8 eingefügt durch Art. 162</w:t>
      </w:r>
      <w:r w:rsidRPr="004676F5">
        <w:rPr>
          <w:i/>
          <w:iCs/>
          <w:lang w:val="de-DE"/>
        </w:rPr>
        <w:t xml:space="preserve"> des G. vom 15. April 2018 (B.S. vom 27. April 2018)]</w:t>
      </w:r>
    </w:p>
    <w:p w14:paraId="13189470" w14:textId="77777777" w:rsidR="00B67579" w:rsidRPr="004676F5" w:rsidRDefault="00B67579" w:rsidP="00B67579">
      <w:pPr>
        <w:jc w:val="center"/>
        <w:rPr>
          <w:iCs/>
          <w:lang w:val="de-DE"/>
        </w:rPr>
      </w:pPr>
    </w:p>
    <w:p w14:paraId="41FC7DAB" w14:textId="291FC340" w:rsidR="00B67579" w:rsidRPr="004676F5" w:rsidRDefault="00B67579" w:rsidP="00B67579">
      <w:pPr>
        <w:jc w:val="both"/>
        <w:rPr>
          <w:iCs/>
          <w:lang w:val="de-DE"/>
        </w:rPr>
      </w:pPr>
    </w:p>
    <w:p w14:paraId="42923AE7" w14:textId="63898903" w:rsidR="00B67579" w:rsidRPr="004676F5" w:rsidRDefault="00B67579" w:rsidP="00B67579">
      <w:pPr>
        <w:jc w:val="both"/>
        <w:rPr>
          <w:lang w:val="de-DE"/>
        </w:rPr>
      </w:pPr>
      <w:r w:rsidRPr="004676F5">
        <w:rPr>
          <w:iCs/>
          <w:lang w:val="de-DE"/>
        </w:rPr>
        <w:tab/>
        <w:t>[</w:t>
      </w:r>
      <w:r w:rsidRPr="004676F5">
        <w:rPr>
          <w:b/>
          <w:lang w:val="de-DE"/>
        </w:rPr>
        <w:t>Art. VII.216/156</w:t>
      </w:r>
      <w:r w:rsidRPr="004676F5">
        <w:rPr>
          <w:lang w:val="de-DE"/>
        </w:rPr>
        <w:t> </w:t>
      </w:r>
      <w:r w:rsidR="005B7A5C" w:rsidRPr="004676F5">
        <w:rPr>
          <w:lang w:val="de-DE"/>
        </w:rPr>
        <w:t>- </w:t>
      </w:r>
      <w:r w:rsidRPr="004676F5">
        <w:rPr>
          <w:lang w:val="de-DE"/>
        </w:rPr>
        <w:t>Wird der Text eines Schecks geändert, so haften diejenigen, die ihre Unterschrift nach der Änderung auf den Scheck gesetzt haben, entsprechend dem geänderten Text; wer früher unterschrieben hat, haftet nach dem ursprünglichen Text.]</w:t>
      </w:r>
    </w:p>
    <w:p w14:paraId="08AB3346" w14:textId="2ADAAC98" w:rsidR="00B67579" w:rsidRPr="004676F5" w:rsidRDefault="00B67579" w:rsidP="00B67579">
      <w:pPr>
        <w:jc w:val="both"/>
        <w:rPr>
          <w:lang w:val="de-DE"/>
        </w:rPr>
      </w:pPr>
    </w:p>
    <w:p w14:paraId="3262DC0D" w14:textId="10AF4C0B" w:rsidR="00B67579" w:rsidRPr="004676F5" w:rsidRDefault="00B67579" w:rsidP="00B67579">
      <w:pPr>
        <w:jc w:val="both"/>
        <w:rPr>
          <w:i/>
          <w:lang w:val="de-DE"/>
        </w:rPr>
      </w:pPr>
      <w:r w:rsidRPr="004676F5">
        <w:rPr>
          <w:i/>
          <w:lang w:val="de-DE"/>
        </w:rPr>
        <w:t>[Art. VII.216/156 eingefügt durch Art. 163 des G. vom 15. April 2018 (B.S. vom 27. April 2018)]</w:t>
      </w:r>
    </w:p>
    <w:p w14:paraId="3004F194" w14:textId="48B47B5B" w:rsidR="00B67579" w:rsidRPr="004676F5" w:rsidRDefault="00B67579" w:rsidP="00B67579">
      <w:pPr>
        <w:jc w:val="both"/>
        <w:rPr>
          <w:lang w:val="de-DE"/>
        </w:rPr>
      </w:pPr>
    </w:p>
    <w:p w14:paraId="4EED1B90" w14:textId="7947446B" w:rsidR="00B67579" w:rsidRPr="004676F5" w:rsidRDefault="00B67579" w:rsidP="00B67579">
      <w:pPr>
        <w:jc w:val="both"/>
        <w:rPr>
          <w:lang w:val="de-DE"/>
        </w:rPr>
      </w:pPr>
    </w:p>
    <w:p w14:paraId="3E18A64C" w14:textId="55E96A05" w:rsidR="00B67579" w:rsidRPr="004676F5" w:rsidRDefault="00B67579" w:rsidP="00B67579">
      <w:pPr>
        <w:jc w:val="center"/>
        <w:rPr>
          <w:lang w:val="de-DE"/>
        </w:rPr>
      </w:pPr>
      <w:r w:rsidRPr="004676F5">
        <w:rPr>
          <w:lang w:val="de-DE"/>
        </w:rPr>
        <w:t>[</w:t>
      </w:r>
      <w:r w:rsidRPr="004676F5">
        <w:rPr>
          <w:i/>
          <w:lang w:val="de-DE"/>
        </w:rPr>
        <w:t>Abschnitt 9</w:t>
      </w:r>
      <w:r w:rsidRPr="004676F5">
        <w:rPr>
          <w:lang w:val="de-DE"/>
        </w:rPr>
        <w:t> </w:t>
      </w:r>
      <w:r w:rsidR="005B7A5C" w:rsidRPr="004676F5">
        <w:rPr>
          <w:lang w:val="de-DE"/>
        </w:rPr>
        <w:t>- </w:t>
      </w:r>
      <w:r w:rsidRPr="004676F5">
        <w:rPr>
          <w:lang w:val="de-DE"/>
        </w:rPr>
        <w:t>Verjährung]</w:t>
      </w:r>
    </w:p>
    <w:p w14:paraId="5CE1043A" w14:textId="3F6C06B4" w:rsidR="00B67579" w:rsidRPr="004676F5" w:rsidRDefault="00B67579" w:rsidP="00B67579">
      <w:pPr>
        <w:jc w:val="center"/>
        <w:rPr>
          <w:lang w:val="de-DE"/>
        </w:rPr>
      </w:pPr>
    </w:p>
    <w:p w14:paraId="2BC907EF" w14:textId="08CF441C" w:rsidR="00B67579" w:rsidRPr="004676F5" w:rsidRDefault="00B67579" w:rsidP="00B67579">
      <w:pPr>
        <w:jc w:val="both"/>
        <w:rPr>
          <w:i/>
          <w:iCs/>
          <w:lang w:val="de-DE"/>
        </w:rPr>
      </w:pPr>
      <w:r w:rsidRPr="004676F5">
        <w:rPr>
          <w:i/>
          <w:lang w:val="de-DE"/>
        </w:rPr>
        <w:t>[Unterteilung Abschnitt 9 eingefügt durch Art. 164</w:t>
      </w:r>
      <w:r w:rsidRPr="004676F5">
        <w:rPr>
          <w:i/>
          <w:iCs/>
          <w:lang w:val="de-DE"/>
        </w:rPr>
        <w:t xml:space="preserve"> des G. vom 15. April 2018 (B.S. vom 27. April 2018)]</w:t>
      </w:r>
    </w:p>
    <w:p w14:paraId="1274A651" w14:textId="201D281E" w:rsidR="00B67579" w:rsidRPr="004676F5" w:rsidRDefault="00B67579" w:rsidP="00B67579">
      <w:pPr>
        <w:jc w:val="both"/>
        <w:rPr>
          <w:iCs/>
          <w:lang w:val="de-DE"/>
        </w:rPr>
      </w:pPr>
    </w:p>
    <w:p w14:paraId="0ABF3932" w14:textId="77777777" w:rsidR="00B67579" w:rsidRPr="004676F5" w:rsidRDefault="00B67579" w:rsidP="00B67579">
      <w:pPr>
        <w:ind w:firstLine="708"/>
        <w:jc w:val="both"/>
        <w:rPr>
          <w:iCs/>
          <w:lang w:val="de-DE"/>
        </w:rPr>
      </w:pPr>
    </w:p>
    <w:p w14:paraId="653AF043" w14:textId="54946833" w:rsidR="00B67579" w:rsidRPr="004676F5" w:rsidRDefault="00B67579" w:rsidP="00B67579">
      <w:pPr>
        <w:ind w:firstLine="708"/>
        <w:jc w:val="both"/>
        <w:rPr>
          <w:lang w:val="de-DE"/>
        </w:rPr>
      </w:pPr>
      <w:r w:rsidRPr="004676F5">
        <w:rPr>
          <w:iCs/>
          <w:lang w:val="de-DE"/>
        </w:rPr>
        <w:t>[</w:t>
      </w:r>
      <w:r w:rsidRPr="004676F5">
        <w:rPr>
          <w:b/>
          <w:lang w:val="de-DE"/>
        </w:rPr>
        <w:t>Art. VII.216/157</w:t>
      </w:r>
      <w:r w:rsidRPr="004676F5">
        <w:rPr>
          <w:lang w:val="de-DE"/>
        </w:rPr>
        <w:t> </w:t>
      </w:r>
      <w:r w:rsidR="005B7A5C" w:rsidRPr="004676F5">
        <w:rPr>
          <w:lang w:val="de-DE"/>
        </w:rPr>
        <w:t>- </w:t>
      </w:r>
      <w:r w:rsidRPr="004676F5">
        <w:rPr>
          <w:lang w:val="de-DE"/>
        </w:rPr>
        <w:t>Die Rückgriffsansprüche des Inhabers gegen die Indossanten, den Aussteller und die anderen Scheckverpflichteten verjähren in sechs Monaten vom Ablauf der Vorlegungsfrist.</w:t>
      </w:r>
    </w:p>
    <w:p w14:paraId="2120390C" w14:textId="77777777" w:rsidR="00B67579" w:rsidRPr="004676F5" w:rsidRDefault="00B67579" w:rsidP="00B67579">
      <w:pPr>
        <w:ind w:firstLine="708"/>
        <w:jc w:val="both"/>
        <w:rPr>
          <w:lang w:val="de-DE"/>
        </w:rPr>
      </w:pPr>
    </w:p>
    <w:p w14:paraId="6C393AC1" w14:textId="77777777" w:rsidR="00B67579" w:rsidRPr="004676F5" w:rsidRDefault="00B67579" w:rsidP="00B67579">
      <w:pPr>
        <w:ind w:firstLine="708"/>
        <w:jc w:val="both"/>
        <w:rPr>
          <w:lang w:val="de-DE"/>
        </w:rPr>
      </w:pPr>
      <w:r w:rsidRPr="004676F5">
        <w:rPr>
          <w:lang w:val="de-DE"/>
        </w:rPr>
        <w:t>Die Rückgriffsansprüche eines Verpflichteten gegen einen anderen Scheckver</w:t>
      </w:r>
      <w:r w:rsidRPr="004676F5">
        <w:rPr>
          <w:lang w:val="de-DE"/>
        </w:rPr>
        <w:softHyphen/>
        <w:t>pflichteten verjähren in sechs Monaten von dem Tag, an dem der Scheck von dem Verpflichteten eingelöst oder ihm gegenüber gerichtlich geltend gemacht worden ist.</w:t>
      </w:r>
    </w:p>
    <w:p w14:paraId="6A8FDD32" w14:textId="178675E5" w:rsidR="00B67579" w:rsidRPr="004676F5" w:rsidRDefault="00B67579" w:rsidP="00B67579">
      <w:pPr>
        <w:ind w:firstLine="708"/>
        <w:jc w:val="both"/>
        <w:rPr>
          <w:lang w:val="de-DE"/>
        </w:rPr>
      </w:pPr>
    </w:p>
    <w:p w14:paraId="1C659CD3" w14:textId="77777777" w:rsidR="00B67579" w:rsidRPr="004676F5" w:rsidRDefault="00B67579" w:rsidP="00B67579">
      <w:pPr>
        <w:ind w:firstLine="708"/>
        <w:jc w:val="both"/>
        <w:rPr>
          <w:lang w:val="de-DE"/>
        </w:rPr>
      </w:pPr>
    </w:p>
    <w:p w14:paraId="2C25B456" w14:textId="0C9CE0B0" w:rsidR="00B67579" w:rsidRPr="004676F5" w:rsidRDefault="00B67579" w:rsidP="00B67579">
      <w:pPr>
        <w:ind w:firstLine="708"/>
        <w:jc w:val="both"/>
        <w:rPr>
          <w:lang w:val="de-DE"/>
        </w:rPr>
      </w:pPr>
      <w:r w:rsidRPr="004676F5">
        <w:rPr>
          <w:b/>
          <w:lang w:val="de-DE"/>
        </w:rPr>
        <w:t>Art. VII.216/158</w:t>
      </w:r>
      <w:r w:rsidRPr="004676F5">
        <w:rPr>
          <w:lang w:val="de-DE"/>
        </w:rPr>
        <w:t> </w:t>
      </w:r>
      <w:r w:rsidR="005B7A5C" w:rsidRPr="004676F5">
        <w:rPr>
          <w:lang w:val="de-DE"/>
        </w:rPr>
        <w:t>- </w:t>
      </w:r>
      <w:r w:rsidRPr="004676F5">
        <w:rPr>
          <w:lang w:val="de-DE"/>
        </w:rPr>
        <w:t>Im Fall der Verjährung bleibt ein Anspruch bestehen gegen den Aussteller, der keine Deckung geleistet hat oder gegen den Aussteller oder Indossanten, der sich ungerechtfertigt bereichert hat.</w:t>
      </w:r>
    </w:p>
    <w:p w14:paraId="3D8413AB" w14:textId="013DFAD6" w:rsidR="00B67579" w:rsidRPr="004676F5" w:rsidRDefault="00B67579" w:rsidP="00B67579">
      <w:pPr>
        <w:ind w:firstLine="708"/>
        <w:jc w:val="both"/>
        <w:rPr>
          <w:lang w:val="de-DE"/>
        </w:rPr>
      </w:pPr>
    </w:p>
    <w:p w14:paraId="41CC8F5A" w14:textId="77777777" w:rsidR="00B67579" w:rsidRPr="004676F5" w:rsidRDefault="00B67579" w:rsidP="00B67579">
      <w:pPr>
        <w:ind w:firstLine="708"/>
        <w:jc w:val="both"/>
        <w:rPr>
          <w:lang w:val="de-DE"/>
        </w:rPr>
      </w:pPr>
    </w:p>
    <w:p w14:paraId="0EF36B74" w14:textId="1DBDBA68" w:rsidR="00B67579" w:rsidRPr="004676F5" w:rsidRDefault="00B67579" w:rsidP="00B67579">
      <w:pPr>
        <w:ind w:firstLine="708"/>
        <w:jc w:val="both"/>
        <w:rPr>
          <w:lang w:val="de-DE"/>
        </w:rPr>
      </w:pPr>
      <w:r w:rsidRPr="004676F5">
        <w:rPr>
          <w:b/>
          <w:lang w:val="de-DE"/>
        </w:rPr>
        <w:t>Art. VII.216/159</w:t>
      </w:r>
      <w:r w:rsidRPr="004676F5">
        <w:rPr>
          <w:lang w:val="de-DE"/>
        </w:rPr>
        <w:t> </w:t>
      </w:r>
      <w:r w:rsidR="005B7A5C" w:rsidRPr="004676F5">
        <w:rPr>
          <w:lang w:val="de-DE"/>
        </w:rPr>
        <w:t>- </w:t>
      </w:r>
      <w:r w:rsidRPr="004676F5">
        <w:rPr>
          <w:lang w:val="de-DE"/>
        </w:rPr>
        <w:t>Die Verjährung von Ansprüchen aus einem Scheck wird durch Rechtsverfolgung unterbrochen; sie wird durch Ereignisse höherer Gewalt ausgesetzt.</w:t>
      </w:r>
    </w:p>
    <w:p w14:paraId="2B6DFCEF" w14:textId="77777777" w:rsidR="00B67579" w:rsidRPr="004676F5" w:rsidRDefault="00B67579" w:rsidP="00B67579">
      <w:pPr>
        <w:ind w:firstLine="708"/>
        <w:jc w:val="both"/>
        <w:rPr>
          <w:lang w:val="de-DE"/>
        </w:rPr>
      </w:pPr>
    </w:p>
    <w:p w14:paraId="4529280B" w14:textId="5FA43E98" w:rsidR="00B67579" w:rsidRPr="004676F5" w:rsidRDefault="00B67579" w:rsidP="00B67579">
      <w:pPr>
        <w:jc w:val="both"/>
        <w:rPr>
          <w:iCs/>
          <w:vanish/>
          <w:lang w:val="de-DE"/>
          <w:specVanish/>
        </w:rPr>
      </w:pPr>
      <w:r w:rsidRPr="004676F5">
        <w:rPr>
          <w:lang w:val="de-DE"/>
        </w:rPr>
        <w:tab/>
        <w:t>Die Unterbrechung der Verjährung wirkt nur gegen den Scheckverpflichteten, in Ansehung dessen die Tatsache eingetreten ist, die die Unterbrechung bewirkt.</w:t>
      </w:r>
    </w:p>
    <w:p w14:paraId="2E49F4DE" w14:textId="59D02E19" w:rsidR="00B67579" w:rsidRPr="004676F5" w:rsidRDefault="00B67579" w:rsidP="00B67579">
      <w:pPr>
        <w:jc w:val="center"/>
        <w:rPr>
          <w:lang w:val="de-DE"/>
        </w:rPr>
      </w:pPr>
      <w:r w:rsidRPr="004676F5">
        <w:rPr>
          <w:lang w:val="de-DE"/>
        </w:rPr>
        <w:t>]</w:t>
      </w:r>
    </w:p>
    <w:p w14:paraId="22855AC3" w14:textId="70F7B0F8" w:rsidR="00B67579" w:rsidRPr="004676F5" w:rsidRDefault="00B67579" w:rsidP="00B67579">
      <w:pPr>
        <w:jc w:val="center"/>
        <w:rPr>
          <w:lang w:val="de-DE"/>
        </w:rPr>
      </w:pPr>
    </w:p>
    <w:p w14:paraId="713F4174" w14:textId="1E21C200" w:rsidR="00B67579" w:rsidRPr="004676F5" w:rsidRDefault="00B67579" w:rsidP="00B67579">
      <w:pPr>
        <w:jc w:val="both"/>
        <w:rPr>
          <w:i/>
          <w:lang w:val="de-DE"/>
        </w:rPr>
      </w:pPr>
      <w:r w:rsidRPr="004676F5">
        <w:rPr>
          <w:i/>
          <w:lang w:val="de-DE"/>
        </w:rPr>
        <w:t>[Art. VII.216/157 bis VII.216/159 eingefügt durch Art. 165 des G. vom 15. April 2018 (B.S. vom 27. April 2018)]</w:t>
      </w:r>
    </w:p>
    <w:p w14:paraId="101C3E43" w14:textId="268D5606" w:rsidR="00B67579" w:rsidRPr="004676F5" w:rsidRDefault="00B67579" w:rsidP="00B67579">
      <w:pPr>
        <w:jc w:val="both"/>
        <w:rPr>
          <w:lang w:val="de-DE"/>
        </w:rPr>
      </w:pPr>
    </w:p>
    <w:p w14:paraId="1729FB2D" w14:textId="40959C67" w:rsidR="00B67579" w:rsidRPr="004676F5" w:rsidRDefault="00B67579" w:rsidP="00B67579">
      <w:pPr>
        <w:jc w:val="both"/>
        <w:rPr>
          <w:lang w:val="de-DE"/>
        </w:rPr>
      </w:pPr>
    </w:p>
    <w:p w14:paraId="469DF7F4" w14:textId="5B762DE3" w:rsidR="00B67579" w:rsidRPr="004676F5" w:rsidRDefault="00B67579" w:rsidP="00B67579">
      <w:pPr>
        <w:jc w:val="center"/>
        <w:rPr>
          <w:lang w:val="de-DE"/>
        </w:rPr>
      </w:pPr>
      <w:r w:rsidRPr="004676F5">
        <w:rPr>
          <w:lang w:val="de-DE"/>
        </w:rPr>
        <w:t>[</w:t>
      </w:r>
      <w:r w:rsidRPr="004676F5">
        <w:rPr>
          <w:i/>
          <w:lang w:val="de-DE"/>
        </w:rPr>
        <w:t>Abschnitt 10</w:t>
      </w:r>
      <w:r w:rsidRPr="004676F5">
        <w:rPr>
          <w:lang w:val="de-DE"/>
        </w:rPr>
        <w:t> </w:t>
      </w:r>
      <w:r w:rsidR="005B7A5C" w:rsidRPr="004676F5">
        <w:rPr>
          <w:lang w:val="de-DE"/>
        </w:rPr>
        <w:t>- </w:t>
      </w:r>
      <w:r w:rsidRPr="004676F5">
        <w:rPr>
          <w:lang w:val="de-DE"/>
        </w:rPr>
        <w:t>Allgemeine Vorschriften]</w:t>
      </w:r>
    </w:p>
    <w:p w14:paraId="3ABAA141" w14:textId="24C8FB0E" w:rsidR="00B67579" w:rsidRPr="004676F5" w:rsidRDefault="00B67579" w:rsidP="00B67579">
      <w:pPr>
        <w:jc w:val="center"/>
        <w:rPr>
          <w:lang w:val="de-DE"/>
        </w:rPr>
      </w:pPr>
    </w:p>
    <w:p w14:paraId="0D589DCF" w14:textId="2B33C31B" w:rsidR="00B67579" w:rsidRPr="004676F5" w:rsidRDefault="00B67579" w:rsidP="00B67579">
      <w:pPr>
        <w:jc w:val="both"/>
        <w:rPr>
          <w:i/>
          <w:iCs/>
          <w:lang w:val="de-DE"/>
        </w:rPr>
      </w:pPr>
      <w:r w:rsidRPr="004676F5">
        <w:rPr>
          <w:i/>
          <w:lang w:val="de-DE"/>
        </w:rPr>
        <w:t>[Unterteilung Abschnitt 10 eingefügt durch Art. 166</w:t>
      </w:r>
      <w:r w:rsidRPr="004676F5">
        <w:rPr>
          <w:i/>
          <w:iCs/>
          <w:lang w:val="de-DE"/>
        </w:rPr>
        <w:t xml:space="preserve"> des G. vom 15. April 2018 (B.S. vom 27. April 2018)]</w:t>
      </w:r>
    </w:p>
    <w:p w14:paraId="7BD0BC45" w14:textId="11D39EA0" w:rsidR="00B67579" w:rsidRPr="004676F5" w:rsidRDefault="00B67579" w:rsidP="00B67579">
      <w:pPr>
        <w:jc w:val="both"/>
        <w:rPr>
          <w:iCs/>
          <w:lang w:val="de-DE"/>
        </w:rPr>
      </w:pPr>
    </w:p>
    <w:p w14:paraId="7E7927D4" w14:textId="08F9E9B4" w:rsidR="00B67579" w:rsidRPr="004676F5" w:rsidRDefault="00B67579" w:rsidP="00B67579">
      <w:pPr>
        <w:jc w:val="both"/>
        <w:rPr>
          <w:iCs/>
          <w:lang w:val="de-DE"/>
        </w:rPr>
      </w:pPr>
    </w:p>
    <w:p w14:paraId="70F87EB4" w14:textId="128E3794" w:rsidR="00B67579" w:rsidRPr="004676F5" w:rsidRDefault="00B67579" w:rsidP="00B67579">
      <w:pPr>
        <w:ind w:firstLine="708"/>
        <w:jc w:val="both"/>
        <w:rPr>
          <w:lang w:val="de-DE"/>
        </w:rPr>
      </w:pPr>
      <w:r w:rsidRPr="004676F5">
        <w:rPr>
          <w:iCs/>
          <w:lang w:val="de-DE"/>
        </w:rPr>
        <w:t>[</w:t>
      </w:r>
      <w:r w:rsidRPr="004676F5">
        <w:rPr>
          <w:b/>
          <w:lang w:val="de-DE"/>
        </w:rPr>
        <w:t>Art. VII.216/160</w:t>
      </w:r>
      <w:r w:rsidRPr="004676F5">
        <w:rPr>
          <w:lang w:val="de-DE"/>
        </w:rPr>
        <w:t> </w:t>
      </w:r>
      <w:r w:rsidR="005B7A5C" w:rsidRPr="004676F5">
        <w:rPr>
          <w:lang w:val="de-DE"/>
        </w:rPr>
        <w:t>- </w:t>
      </w:r>
      <w:r w:rsidRPr="004676F5">
        <w:rPr>
          <w:lang w:val="de-DE"/>
        </w:rPr>
        <w:t>Die Vorlegung und der Protest eines Schecks können nur an einem Werktag stattfinden.</w:t>
      </w:r>
    </w:p>
    <w:p w14:paraId="0821B28F" w14:textId="77777777" w:rsidR="00B67579" w:rsidRPr="004676F5" w:rsidRDefault="00B67579" w:rsidP="00B67579">
      <w:pPr>
        <w:ind w:firstLine="708"/>
        <w:jc w:val="both"/>
        <w:rPr>
          <w:lang w:val="de-DE"/>
        </w:rPr>
      </w:pPr>
    </w:p>
    <w:p w14:paraId="0FCBD279" w14:textId="77777777" w:rsidR="00B67579" w:rsidRPr="004676F5" w:rsidRDefault="00B67579" w:rsidP="00B67579">
      <w:pPr>
        <w:ind w:firstLine="708"/>
        <w:jc w:val="both"/>
        <w:rPr>
          <w:lang w:val="de-DE"/>
        </w:rPr>
      </w:pPr>
      <w:r w:rsidRPr="004676F5">
        <w:rPr>
          <w:lang w:val="de-DE"/>
        </w:rPr>
        <w:t>Fällt der letzte Tag einer Frist, innerhalb deren eine auf den Scheck bezügliche Handlung, insbesondere die Vorlegung, der Protest oder eine gleichbedeutende Feststellung, vorgenommen werden muss, auf einen Samstag, Sonntag oder gesetzlichen Feiertag, so wird die Frist bis zum nächsten Werktag verlängert. Samstage, Sonntage und Feiertage, die in den Lauf einer Frist fallen, werden bei der Berechnung der Frist mitgezählt.</w:t>
      </w:r>
    </w:p>
    <w:p w14:paraId="19561A1E" w14:textId="2EDB0CF9" w:rsidR="00B67579" w:rsidRPr="004676F5" w:rsidRDefault="00B67579" w:rsidP="00B67579">
      <w:pPr>
        <w:ind w:firstLine="708"/>
        <w:jc w:val="both"/>
        <w:rPr>
          <w:lang w:val="de-DE"/>
        </w:rPr>
      </w:pPr>
    </w:p>
    <w:p w14:paraId="248D7597" w14:textId="77777777" w:rsidR="00B67579" w:rsidRPr="004676F5" w:rsidRDefault="00B67579" w:rsidP="00B67579">
      <w:pPr>
        <w:ind w:firstLine="708"/>
        <w:jc w:val="both"/>
        <w:rPr>
          <w:lang w:val="de-DE"/>
        </w:rPr>
      </w:pPr>
    </w:p>
    <w:p w14:paraId="1734A02E" w14:textId="402968A4" w:rsidR="00B67579" w:rsidRPr="004676F5" w:rsidRDefault="00B67579" w:rsidP="00B67579">
      <w:pPr>
        <w:ind w:firstLine="708"/>
        <w:jc w:val="both"/>
        <w:rPr>
          <w:lang w:val="de-DE"/>
        </w:rPr>
      </w:pPr>
      <w:r w:rsidRPr="004676F5">
        <w:rPr>
          <w:b/>
          <w:lang w:val="de-DE"/>
        </w:rPr>
        <w:t>Art. VII.216/161</w:t>
      </w:r>
      <w:r w:rsidRPr="004676F5">
        <w:rPr>
          <w:lang w:val="de-DE"/>
        </w:rPr>
        <w:t> </w:t>
      </w:r>
      <w:r w:rsidR="005B7A5C" w:rsidRPr="004676F5">
        <w:rPr>
          <w:lang w:val="de-DE"/>
        </w:rPr>
        <w:t>- </w:t>
      </w:r>
      <w:r w:rsidRPr="004676F5">
        <w:rPr>
          <w:lang w:val="de-DE"/>
        </w:rPr>
        <w:t>Bei der Berechnung der in vorliegendem Kapitel vorgesehenen Fristen wird der Tag, an dem sie zu laufen beginnen, nicht mitgezählt.</w:t>
      </w:r>
    </w:p>
    <w:p w14:paraId="58F1CFCA" w14:textId="61E4E01E" w:rsidR="00B67579" w:rsidRPr="004676F5" w:rsidRDefault="00B67579" w:rsidP="00B67579">
      <w:pPr>
        <w:ind w:firstLine="708"/>
        <w:jc w:val="both"/>
        <w:rPr>
          <w:lang w:val="de-DE"/>
        </w:rPr>
      </w:pPr>
    </w:p>
    <w:p w14:paraId="2476DCEE" w14:textId="77777777" w:rsidR="00B67579" w:rsidRPr="004676F5" w:rsidRDefault="00B67579" w:rsidP="00B67579">
      <w:pPr>
        <w:ind w:firstLine="708"/>
        <w:jc w:val="both"/>
        <w:rPr>
          <w:lang w:val="de-DE"/>
        </w:rPr>
      </w:pPr>
    </w:p>
    <w:p w14:paraId="4FBD525F" w14:textId="0EEC2A08" w:rsidR="00B67579" w:rsidRPr="004676F5" w:rsidRDefault="00B67579" w:rsidP="00B67579">
      <w:pPr>
        <w:ind w:firstLine="708"/>
        <w:jc w:val="both"/>
        <w:rPr>
          <w:lang w:val="de-DE"/>
        </w:rPr>
      </w:pPr>
      <w:r w:rsidRPr="004676F5">
        <w:rPr>
          <w:b/>
          <w:lang w:val="de-DE"/>
        </w:rPr>
        <w:t>Art. VII.216/162</w:t>
      </w:r>
      <w:r w:rsidRPr="004676F5">
        <w:rPr>
          <w:lang w:val="de-DE"/>
        </w:rPr>
        <w:t> </w:t>
      </w:r>
      <w:r w:rsidR="005B7A5C" w:rsidRPr="004676F5">
        <w:rPr>
          <w:lang w:val="de-DE"/>
        </w:rPr>
        <w:t>- </w:t>
      </w:r>
      <w:r w:rsidRPr="004676F5">
        <w:rPr>
          <w:lang w:val="de-DE"/>
        </w:rPr>
        <w:t>Weder gesetzliche noch richterliche Respekttage werden anerkannt.</w:t>
      </w:r>
    </w:p>
    <w:p w14:paraId="2D0DE61F" w14:textId="7F065DDD" w:rsidR="00B67579" w:rsidRPr="004676F5" w:rsidRDefault="00B67579" w:rsidP="00B67579">
      <w:pPr>
        <w:ind w:firstLine="708"/>
        <w:jc w:val="both"/>
        <w:rPr>
          <w:lang w:val="de-DE"/>
        </w:rPr>
      </w:pPr>
    </w:p>
    <w:p w14:paraId="324BEB76" w14:textId="77777777" w:rsidR="00B67579" w:rsidRPr="004676F5" w:rsidRDefault="00B67579" w:rsidP="00B67579">
      <w:pPr>
        <w:ind w:firstLine="708"/>
        <w:jc w:val="both"/>
        <w:rPr>
          <w:lang w:val="de-DE"/>
        </w:rPr>
      </w:pPr>
    </w:p>
    <w:p w14:paraId="76875144" w14:textId="67D7C7FA" w:rsidR="00B67579" w:rsidRPr="004676F5" w:rsidRDefault="00B67579" w:rsidP="00B67579">
      <w:pPr>
        <w:jc w:val="both"/>
        <w:rPr>
          <w:lang w:val="de-DE"/>
        </w:rPr>
      </w:pPr>
      <w:r w:rsidRPr="004676F5">
        <w:rPr>
          <w:lang w:val="de-DE"/>
        </w:rPr>
        <w:tab/>
      </w:r>
      <w:r w:rsidRPr="004676F5">
        <w:rPr>
          <w:b/>
          <w:lang w:val="de-DE"/>
        </w:rPr>
        <w:t>Art. VII.216/163</w:t>
      </w:r>
      <w:r w:rsidRPr="004676F5">
        <w:rPr>
          <w:lang w:val="de-DE"/>
        </w:rPr>
        <w:t> </w:t>
      </w:r>
      <w:r w:rsidR="005B7A5C" w:rsidRPr="004676F5">
        <w:rPr>
          <w:lang w:val="de-DE"/>
        </w:rPr>
        <w:t>- </w:t>
      </w:r>
      <w:r w:rsidRPr="004676F5">
        <w:rPr>
          <w:lang w:val="de-DE"/>
        </w:rPr>
        <w:t>Akkreditive, Überweisungsscheine oder -aufträge und Eigenbanknoten unterliegen den Bestimmungen des vorliegenden Gesetzes, soweit diese mit der Eigenart jedes dieser Wertpapiere vereinbar sind. Ihre Bezeichnung wird im Text selbst aufgenommen in der Sprache, in der sie abgefasst wurden.]</w:t>
      </w:r>
    </w:p>
    <w:p w14:paraId="7FDC2D4D" w14:textId="3CC2E9C5" w:rsidR="00B67579" w:rsidRPr="004676F5" w:rsidRDefault="00B67579" w:rsidP="00B67579">
      <w:pPr>
        <w:jc w:val="both"/>
        <w:rPr>
          <w:lang w:val="de-DE"/>
        </w:rPr>
      </w:pPr>
    </w:p>
    <w:p w14:paraId="2CF306AD" w14:textId="2D9449B5" w:rsidR="00B67579" w:rsidRPr="004676F5" w:rsidRDefault="00B67579" w:rsidP="00B67579">
      <w:pPr>
        <w:jc w:val="both"/>
        <w:rPr>
          <w:i/>
          <w:lang w:val="de-DE"/>
        </w:rPr>
      </w:pPr>
      <w:r w:rsidRPr="004676F5">
        <w:rPr>
          <w:i/>
          <w:lang w:val="de-DE"/>
        </w:rPr>
        <w:t>[Art. VII.216/160 bis VII.216/163 eingefügt durch Art. 167 des G. vom 15. April 2018 (B.S. vom 27. April 2018)]</w:t>
      </w:r>
    </w:p>
    <w:p w14:paraId="1C8EFBB7" w14:textId="2CDC6CC3" w:rsidR="00B67579" w:rsidRPr="004676F5" w:rsidRDefault="00B67579" w:rsidP="00B67579">
      <w:pPr>
        <w:jc w:val="both"/>
        <w:rPr>
          <w:iCs/>
          <w:lang w:val="de-DE"/>
        </w:rPr>
      </w:pPr>
    </w:p>
    <w:p w14:paraId="1F453DAC" w14:textId="3E5BB83D" w:rsidR="00B67579" w:rsidRPr="004676F5" w:rsidRDefault="00B67579" w:rsidP="00B67579">
      <w:pPr>
        <w:jc w:val="both"/>
        <w:rPr>
          <w:iCs/>
          <w:lang w:val="de-DE"/>
        </w:rPr>
      </w:pPr>
    </w:p>
    <w:p w14:paraId="5FB7E44F" w14:textId="48E4B78B" w:rsidR="00B67579" w:rsidRPr="004676F5" w:rsidRDefault="00B67579" w:rsidP="00B67579">
      <w:pPr>
        <w:jc w:val="center"/>
        <w:rPr>
          <w:iCs/>
          <w:lang w:val="de-DE"/>
        </w:rPr>
      </w:pPr>
      <w:r w:rsidRPr="004676F5">
        <w:rPr>
          <w:iCs/>
          <w:lang w:val="de-DE"/>
        </w:rPr>
        <w:t>[</w:t>
      </w:r>
      <w:r w:rsidRPr="004676F5">
        <w:rPr>
          <w:i/>
          <w:lang w:val="de-DE"/>
        </w:rPr>
        <w:t>Abschnitt 11</w:t>
      </w:r>
      <w:r w:rsidRPr="004676F5">
        <w:rPr>
          <w:lang w:val="de-DE"/>
        </w:rPr>
        <w:t> </w:t>
      </w:r>
      <w:r w:rsidR="005B7A5C" w:rsidRPr="004676F5">
        <w:rPr>
          <w:lang w:val="de-DE"/>
        </w:rPr>
        <w:t>- </w:t>
      </w:r>
      <w:r w:rsidRPr="004676F5">
        <w:rPr>
          <w:lang w:val="de-DE"/>
        </w:rPr>
        <w:t>Abhandengekommene Schecks</w:t>
      </w:r>
      <w:r w:rsidRPr="004676F5">
        <w:rPr>
          <w:iCs/>
          <w:lang w:val="de-DE"/>
        </w:rPr>
        <w:t>]</w:t>
      </w:r>
    </w:p>
    <w:p w14:paraId="65224BD2" w14:textId="6FC39FA9" w:rsidR="00B67579" w:rsidRPr="004676F5" w:rsidRDefault="00B67579" w:rsidP="00B67579">
      <w:pPr>
        <w:jc w:val="center"/>
        <w:rPr>
          <w:iCs/>
          <w:lang w:val="de-DE"/>
        </w:rPr>
      </w:pPr>
    </w:p>
    <w:p w14:paraId="001A239A" w14:textId="3AD47B2A" w:rsidR="00F82527" w:rsidRPr="004676F5" w:rsidRDefault="00F82527" w:rsidP="00F82527">
      <w:pPr>
        <w:jc w:val="both"/>
        <w:rPr>
          <w:i/>
          <w:iCs/>
          <w:lang w:val="de-DE"/>
        </w:rPr>
      </w:pPr>
      <w:r w:rsidRPr="004676F5">
        <w:rPr>
          <w:i/>
          <w:lang w:val="de-DE"/>
        </w:rPr>
        <w:t>[Unterteilung Abschnitt 11 eingefügt durch Art. 168</w:t>
      </w:r>
      <w:r w:rsidRPr="004676F5">
        <w:rPr>
          <w:i/>
          <w:iCs/>
          <w:lang w:val="de-DE"/>
        </w:rPr>
        <w:t xml:space="preserve"> des G. vom 15. April 2018 (B.S. vom 27. April 2018)]</w:t>
      </w:r>
    </w:p>
    <w:p w14:paraId="0485DB25" w14:textId="1E34C89A" w:rsidR="00F82527" w:rsidRPr="004676F5" w:rsidRDefault="00F82527" w:rsidP="00F82527">
      <w:pPr>
        <w:jc w:val="both"/>
        <w:rPr>
          <w:iCs/>
          <w:lang w:val="de-DE"/>
        </w:rPr>
      </w:pPr>
    </w:p>
    <w:p w14:paraId="6A006B39" w14:textId="2D1E5B26" w:rsidR="00F82527" w:rsidRPr="004676F5" w:rsidRDefault="00F82527" w:rsidP="00F82527">
      <w:pPr>
        <w:jc w:val="both"/>
        <w:rPr>
          <w:iCs/>
          <w:lang w:val="de-DE"/>
        </w:rPr>
      </w:pPr>
    </w:p>
    <w:p w14:paraId="7055F884" w14:textId="1434ECCC" w:rsidR="00F82527" w:rsidRPr="004676F5" w:rsidRDefault="00F82527" w:rsidP="00F82527">
      <w:pPr>
        <w:ind w:firstLine="708"/>
        <w:jc w:val="both"/>
        <w:rPr>
          <w:lang w:val="de-DE"/>
        </w:rPr>
      </w:pPr>
      <w:r w:rsidRPr="004676F5">
        <w:rPr>
          <w:iCs/>
          <w:lang w:val="de-DE"/>
        </w:rPr>
        <w:t>[</w:t>
      </w:r>
      <w:r w:rsidRPr="004676F5">
        <w:rPr>
          <w:b/>
          <w:lang w:val="de-DE"/>
        </w:rPr>
        <w:t>Art. VII.216/164</w:t>
      </w:r>
      <w:r w:rsidRPr="004676F5">
        <w:rPr>
          <w:lang w:val="de-DE"/>
        </w:rPr>
        <w:t> </w:t>
      </w:r>
      <w:r w:rsidR="005B7A5C" w:rsidRPr="004676F5">
        <w:rPr>
          <w:lang w:val="de-DE"/>
        </w:rPr>
        <w:t>- </w:t>
      </w:r>
      <w:r w:rsidRPr="004676F5">
        <w:rPr>
          <w:lang w:val="de-DE"/>
        </w:rPr>
        <w:t>Wenn derjenige, dem der Besitz eines Schecks unfreiwillig und zufällig entzogen worden ist, eine weitere Ausfertigung nicht vorlegen kann, kann er die Zahlung des abhandengekommenen Schecks beantragen und sie aufgrund eines Beschlusses des Präsidenten des Unternehmensgerichts erhalten, sofern er sein Eigentum nachweist und eine Sicherheit leistet.</w:t>
      </w:r>
    </w:p>
    <w:p w14:paraId="2D2BCDA6" w14:textId="58483EC8" w:rsidR="00F82527" w:rsidRPr="004676F5" w:rsidRDefault="00F82527" w:rsidP="00F82527">
      <w:pPr>
        <w:ind w:firstLine="708"/>
        <w:jc w:val="both"/>
        <w:rPr>
          <w:lang w:val="de-DE"/>
        </w:rPr>
      </w:pPr>
    </w:p>
    <w:p w14:paraId="669D52B9" w14:textId="77777777" w:rsidR="00F82527" w:rsidRPr="004676F5" w:rsidRDefault="00F82527" w:rsidP="00F82527">
      <w:pPr>
        <w:ind w:firstLine="708"/>
        <w:jc w:val="both"/>
        <w:rPr>
          <w:lang w:val="de-DE"/>
        </w:rPr>
      </w:pPr>
    </w:p>
    <w:p w14:paraId="047D3027" w14:textId="6DBF7CAC" w:rsidR="00F82527" w:rsidRPr="004676F5" w:rsidRDefault="00F82527" w:rsidP="00F82527">
      <w:pPr>
        <w:ind w:firstLine="708"/>
        <w:jc w:val="both"/>
        <w:rPr>
          <w:lang w:val="de-DE"/>
        </w:rPr>
      </w:pPr>
      <w:r w:rsidRPr="004676F5">
        <w:rPr>
          <w:b/>
          <w:lang w:val="de-DE"/>
        </w:rPr>
        <w:t>Art. VII.216/165</w:t>
      </w:r>
      <w:r w:rsidRPr="004676F5">
        <w:rPr>
          <w:lang w:val="de-DE"/>
        </w:rPr>
        <w:t> </w:t>
      </w:r>
      <w:r w:rsidR="005B7A5C" w:rsidRPr="004676F5">
        <w:rPr>
          <w:lang w:val="de-DE"/>
        </w:rPr>
        <w:t>- </w:t>
      </w:r>
      <w:r w:rsidRPr="004676F5">
        <w:rPr>
          <w:lang w:val="de-DE"/>
        </w:rPr>
        <w:t>Wird die Zahlung verweigert, bewahrt der Eigentümer des abhandengekommenen Schecks all seine Rechte durch Protesturkunde.</w:t>
      </w:r>
    </w:p>
    <w:p w14:paraId="51ACE949" w14:textId="77777777" w:rsidR="00F82527" w:rsidRPr="004676F5" w:rsidRDefault="00F82527" w:rsidP="00F82527">
      <w:pPr>
        <w:ind w:firstLine="708"/>
        <w:jc w:val="both"/>
        <w:rPr>
          <w:lang w:val="de-DE"/>
        </w:rPr>
      </w:pPr>
    </w:p>
    <w:p w14:paraId="717E7A4C" w14:textId="77777777" w:rsidR="00F82527" w:rsidRPr="004676F5" w:rsidRDefault="00F82527" w:rsidP="00F82527">
      <w:pPr>
        <w:ind w:firstLine="708"/>
        <w:jc w:val="both"/>
        <w:rPr>
          <w:lang w:val="de-DE"/>
        </w:rPr>
      </w:pPr>
      <w:r w:rsidRPr="004676F5">
        <w:rPr>
          <w:lang w:val="de-DE"/>
        </w:rPr>
        <w:t>Diese Urkunde muss spätestens am zweiten Tag nach Verfall des abhanden</w:t>
      </w:r>
      <w:r w:rsidRPr="004676F5">
        <w:rPr>
          <w:lang w:val="de-DE"/>
        </w:rPr>
        <w:softHyphen/>
        <w:t>gekommenen Schecks abgefasst werden. Sie muss dem Aussteller und den Indossanten innerhalb acht Tagen ab ihrem Datum durch Gerichtsvollzieherurkunde notifiziert werden.</w:t>
      </w:r>
    </w:p>
    <w:p w14:paraId="1C269B37" w14:textId="77777777" w:rsidR="00F82527" w:rsidRPr="004676F5" w:rsidRDefault="00F82527" w:rsidP="00F82527">
      <w:pPr>
        <w:ind w:firstLine="708"/>
        <w:jc w:val="both"/>
        <w:rPr>
          <w:lang w:val="de-DE"/>
        </w:rPr>
      </w:pPr>
    </w:p>
    <w:p w14:paraId="101D4C26" w14:textId="77777777" w:rsidR="00F82527" w:rsidRPr="004676F5" w:rsidRDefault="00F82527" w:rsidP="00F82527">
      <w:pPr>
        <w:ind w:firstLine="708"/>
        <w:jc w:val="both"/>
        <w:rPr>
          <w:lang w:val="de-DE"/>
        </w:rPr>
      </w:pPr>
      <w:r w:rsidRPr="004676F5">
        <w:rPr>
          <w:lang w:val="de-DE"/>
        </w:rPr>
        <w:t>Damit sie gültig ist, bedarf sie nicht unbedingt einer vorherigen gerichtlichen Entscheidung oder einer vorherigen Sicherheitsleistung.</w:t>
      </w:r>
    </w:p>
    <w:p w14:paraId="4EFF0600" w14:textId="3C7B7BC4" w:rsidR="00F82527" w:rsidRPr="004676F5" w:rsidRDefault="00F82527" w:rsidP="00F82527">
      <w:pPr>
        <w:ind w:firstLine="708"/>
        <w:jc w:val="both"/>
        <w:rPr>
          <w:lang w:val="de-DE"/>
        </w:rPr>
      </w:pPr>
    </w:p>
    <w:p w14:paraId="6847F201" w14:textId="77777777" w:rsidR="00F82527" w:rsidRPr="004676F5" w:rsidRDefault="00F82527" w:rsidP="00F82527">
      <w:pPr>
        <w:ind w:firstLine="708"/>
        <w:jc w:val="both"/>
        <w:rPr>
          <w:lang w:val="de-DE"/>
        </w:rPr>
      </w:pPr>
    </w:p>
    <w:p w14:paraId="31D510D5" w14:textId="77777777" w:rsidR="00F82527" w:rsidRPr="004676F5" w:rsidRDefault="00F82527">
      <w:pPr>
        <w:rPr>
          <w:lang w:val="de-DE"/>
        </w:rPr>
      </w:pPr>
      <w:r w:rsidRPr="004676F5">
        <w:rPr>
          <w:lang w:val="de-DE"/>
        </w:rPr>
        <w:br w:type="page"/>
      </w:r>
    </w:p>
    <w:p w14:paraId="009B9ACC" w14:textId="47B9395B" w:rsidR="00F82527" w:rsidRPr="004676F5" w:rsidRDefault="00F82527" w:rsidP="00F82527">
      <w:pPr>
        <w:jc w:val="both"/>
        <w:rPr>
          <w:lang w:val="de-DE"/>
        </w:rPr>
      </w:pPr>
      <w:r w:rsidRPr="004676F5">
        <w:rPr>
          <w:lang w:val="de-DE"/>
        </w:rPr>
        <w:lastRenderedPageBreak/>
        <w:tab/>
      </w:r>
      <w:r w:rsidRPr="004676F5">
        <w:rPr>
          <w:b/>
          <w:lang w:val="de-DE"/>
        </w:rPr>
        <w:t>Art. VII.216/166</w:t>
      </w:r>
      <w:r w:rsidRPr="004676F5">
        <w:rPr>
          <w:lang w:val="de-DE"/>
        </w:rPr>
        <w:t> </w:t>
      </w:r>
      <w:r w:rsidR="005B7A5C" w:rsidRPr="004676F5">
        <w:rPr>
          <w:lang w:val="de-DE"/>
        </w:rPr>
        <w:t>- </w:t>
      </w:r>
      <w:r w:rsidRPr="004676F5">
        <w:rPr>
          <w:lang w:val="de-DE"/>
        </w:rPr>
        <w:t>Die in Artikel VII.216/165 erwähnte, aus der Sicherheitsleistung hervorgehende Verpflichtung erlischt nach sechs Monaten, wenn es während dieser Zeit weder Klagen noch Rechtsverfolgung gegeben hat.]</w:t>
      </w:r>
    </w:p>
    <w:p w14:paraId="7926DFC0" w14:textId="6362C248" w:rsidR="00F82527" w:rsidRPr="004676F5" w:rsidRDefault="00F82527" w:rsidP="00F82527">
      <w:pPr>
        <w:jc w:val="both"/>
        <w:rPr>
          <w:lang w:val="de-DE"/>
        </w:rPr>
      </w:pPr>
    </w:p>
    <w:p w14:paraId="4F607BB7" w14:textId="674B1D60" w:rsidR="00F82527" w:rsidRPr="004676F5" w:rsidRDefault="002860AE" w:rsidP="00F82527">
      <w:pPr>
        <w:jc w:val="both"/>
        <w:rPr>
          <w:i/>
          <w:lang w:val="de-DE"/>
        </w:rPr>
      </w:pPr>
      <w:r w:rsidRPr="004676F5">
        <w:rPr>
          <w:i/>
          <w:lang w:val="de-DE"/>
        </w:rPr>
        <w:t>[Art. VII.216/164</w:t>
      </w:r>
      <w:r w:rsidR="00F82527" w:rsidRPr="004676F5">
        <w:rPr>
          <w:i/>
          <w:lang w:val="de-DE"/>
        </w:rPr>
        <w:t xml:space="preserve"> bis VII.216/16</w:t>
      </w:r>
      <w:r w:rsidRPr="004676F5">
        <w:rPr>
          <w:i/>
          <w:lang w:val="de-DE"/>
        </w:rPr>
        <w:t>6</w:t>
      </w:r>
      <w:r w:rsidR="00F82527" w:rsidRPr="004676F5">
        <w:rPr>
          <w:i/>
          <w:lang w:val="de-DE"/>
        </w:rPr>
        <w:t xml:space="preserve"> eingefügt durch Art. 169 des G. vom 15. April 2018 (B.S. vom 27. April 2018)]</w:t>
      </w:r>
    </w:p>
    <w:p w14:paraId="3FBB2C59" w14:textId="0AA12847" w:rsidR="00F82527" w:rsidRPr="004676F5" w:rsidRDefault="00F82527" w:rsidP="00F82527">
      <w:pPr>
        <w:jc w:val="both"/>
        <w:rPr>
          <w:i/>
          <w:lang w:val="de-DE"/>
        </w:rPr>
      </w:pPr>
    </w:p>
    <w:p w14:paraId="6392EC61" w14:textId="1683351C" w:rsidR="00F82527" w:rsidRPr="004676F5" w:rsidRDefault="00F82527" w:rsidP="00F82527">
      <w:pPr>
        <w:jc w:val="both"/>
        <w:rPr>
          <w:lang w:val="de-DE"/>
        </w:rPr>
      </w:pPr>
    </w:p>
    <w:p w14:paraId="42992DEA" w14:textId="7A14E693" w:rsidR="00F82527" w:rsidRPr="004676F5" w:rsidRDefault="00F82527" w:rsidP="00F82527">
      <w:pPr>
        <w:jc w:val="center"/>
        <w:rPr>
          <w:lang w:val="de-DE"/>
        </w:rPr>
      </w:pPr>
      <w:r w:rsidRPr="004676F5">
        <w:rPr>
          <w:lang w:val="de-DE"/>
        </w:rPr>
        <w:t>[</w:t>
      </w:r>
      <w:r w:rsidRPr="004676F5">
        <w:rPr>
          <w:i/>
          <w:lang w:val="de-DE"/>
        </w:rPr>
        <w:t>Abschnitt 12</w:t>
      </w:r>
      <w:r w:rsidRPr="004676F5">
        <w:rPr>
          <w:lang w:val="de-DE"/>
        </w:rPr>
        <w:t> </w:t>
      </w:r>
      <w:r w:rsidR="005B7A5C" w:rsidRPr="004676F5">
        <w:rPr>
          <w:lang w:val="de-DE"/>
        </w:rPr>
        <w:t>- </w:t>
      </w:r>
      <w:r w:rsidRPr="004676F5">
        <w:rPr>
          <w:lang w:val="de-DE"/>
        </w:rPr>
        <w:t>Rechtskollision]</w:t>
      </w:r>
    </w:p>
    <w:p w14:paraId="1B497D71" w14:textId="6D5E1890" w:rsidR="00F82527" w:rsidRPr="004676F5" w:rsidRDefault="00F82527" w:rsidP="00F82527">
      <w:pPr>
        <w:jc w:val="center"/>
        <w:rPr>
          <w:lang w:val="de-DE"/>
        </w:rPr>
      </w:pPr>
    </w:p>
    <w:p w14:paraId="79FD2B88" w14:textId="75F6D963" w:rsidR="00F82527" w:rsidRPr="004676F5" w:rsidRDefault="00F82527" w:rsidP="00F82527">
      <w:pPr>
        <w:jc w:val="both"/>
        <w:rPr>
          <w:i/>
          <w:iCs/>
          <w:lang w:val="de-DE"/>
        </w:rPr>
      </w:pPr>
      <w:r w:rsidRPr="004676F5">
        <w:rPr>
          <w:i/>
          <w:lang w:val="de-DE"/>
        </w:rPr>
        <w:t>[Unterteilung Abschnitt 12 eingefügt durch Art. 170</w:t>
      </w:r>
      <w:r w:rsidRPr="004676F5">
        <w:rPr>
          <w:i/>
          <w:iCs/>
          <w:lang w:val="de-DE"/>
        </w:rPr>
        <w:t xml:space="preserve"> des G. vom 15. April 2018 (B.S. vom 27. April 2018)]</w:t>
      </w:r>
    </w:p>
    <w:p w14:paraId="19FE9EE2" w14:textId="5821F793" w:rsidR="00F82527" w:rsidRPr="004676F5" w:rsidRDefault="00F82527" w:rsidP="00F82527">
      <w:pPr>
        <w:jc w:val="both"/>
        <w:rPr>
          <w:iCs/>
          <w:lang w:val="de-DE"/>
        </w:rPr>
      </w:pPr>
    </w:p>
    <w:p w14:paraId="2A23BA70" w14:textId="37B43414" w:rsidR="00F82527" w:rsidRPr="004676F5" w:rsidRDefault="00F82527" w:rsidP="00F82527">
      <w:pPr>
        <w:jc w:val="both"/>
        <w:rPr>
          <w:iCs/>
          <w:lang w:val="de-DE"/>
        </w:rPr>
      </w:pPr>
    </w:p>
    <w:p w14:paraId="3F326EBF" w14:textId="0C0FCDC8" w:rsidR="00F82527" w:rsidRPr="004676F5" w:rsidRDefault="00F82527" w:rsidP="00F82527">
      <w:pPr>
        <w:ind w:firstLine="708"/>
        <w:jc w:val="both"/>
        <w:rPr>
          <w:lang w:val="de-DE"/>
        </w:rPr>
      </w:pPr>
      <w:r w:rsidRPr="004676F5">
        <w:rPr>
          <w:iCs/>
          <w:lang w:val="de-DE"/>
        </w:rPr>
        <w:t>[</w:t>
      </w:r>
      <w:r w:rsidRPr="004676F5">
        <w:rPr>
          <w:b/>
          <w:lang w:val="de-DE"/>
        </w:rPr>
        <w:t>Art. VII.216/167</w:t>
      </w:r>
      <w:r w:rsidRPr="004676F5">
        <w:rPr>
          <w:lang w:val="de-DE"/>
        </w:rPr>
        <w:t> </w:t>
      </w:r>
      <w:r w:rsidR="005B7A5C" w:rsidRPr="004676F5">
        <w:rPr>
          <w:lang w:val="de-DE"/>
        </w:rPr>
        <w:t>- </w:t>
      </w:r>
      <w:r w:rsidRPr="004676F5">
        <w:rPr>
          <w:lang w:val="de-DE"/>
        </w:rPr>
        <w:t>Verpflichtungen, die ein Belgier in Bezug auf Schecks im Ausland eingegangen ist, werden in Belgien nur dann als gültig anerkannt, wenn er nach belgischem Gesetz die erforderliche Handlungsfähigkeit besaß, um diese Verpflichtungen einzugehen.</w:t>
      </w:r>
    </w:p>
    <w:p w14:paraId="0CCF5D79" w14:textId="5BD49506" w:rsidR="00F82527" w:rsidRPr="004676F5" w:rsidRDefault="00F82527" w:rsidP="00F82527">
      <w:pPr>
        <w:ind w:firstLine="708"/>
        <w:jc w:val="both"/>
        <w:rPr>
          <w:lang w:val="de-DE"/>
        </w:rPr>
      </w:pPr>
    </w:p>
    <w:p w14:paraId="0565E00C" w14:textId="77777777" w:rsidR="00F82527" w:rsidRPr="004676F5" w:rsidRDefault="00F82527" w:rsidP="00F82527">
      <w:pPr>
        <w:ind w:firstLine="708"/>
        <w:jc w:val="both"/>
        <w:rPr>
          <w:lang w:val="de-DE"/>
        </w:rPr>
      </w:pPr>
    </w:p>
    <w:p w14:paraId="0A419465" w14:textId="64378265" w:rsidR="00F82527" w:rsidRPr="004676F5" w:rsidRDefault="00F82527" w:rsidP="00F82527">
      <w:pPr>
        <w:ind w:firstLine="708"/>
        <w:jc w:val="both"/>
        <w:rPr>
          <w:lang w:val="de-DE"/>
        </w:rPr>
      </w:pPr>
      <w:r w:rsidRPr="004676F5">
        <w:rPr>
          <w:b/>
          <w:lang w:val="de-DE"/>
        </w:rPr>
        <w:t>Art. VII.216/168</w:t>
      </w:r>
      <w:r w:rsidRPr="004676F5">
        <w:rPr>
          <w:lang w:val="de-DE"/>
        </w:rPr>
        <w:t> </w:t>
      </w:r>
      <w:r w:rsidR="005B7A5C" w:rsidRPr="004676F5">
        <w:rPr>
          <w:lang w:val="de-DE"/>
        </w:rPr>
        <w:t>- </w:t>
      </w:r>
      <w:r w:rsidRPr="004676F5">
        <w:rPr>
          <w:lang w:val="de-DE"/>
        </w:rPr>
        <w:t>Verpflichtungen, die ein Belgier in Bezug auf Schecks im Ausland in den Formen des belgischen Rechts eingegangen ist, sind in Belgien gegenüber anderen Belgiern gültig.</w:t>
      </w:r>
    </w:p>
    <w:p w14:paraId="2C1A8A39" w14:textId="77777777" w:rsidR="00F82527" w:rsidRPr="004676F5" w:rsidRDefault="00F82527" w:rsidP="00F82527">
      <w:pPr>
        <w:ind w:firstLine="708"/>
        <w:jc w:val="both"/>
        <w:rPr>
          <w:lang w:val="de-DE"/>
        </w:rPr>
      </w:pPr>
    </w:p>
    <w:p w14:paraId="10E6AB54" w14:textId="77777777" w:rsidR="00F82527" w:rsidRPr="004676F5" w:rsidRDefault="00F82527" w:rsidP="00F82527">
      <w:pPr>
        <w:ind w:firstLine="708"/>
        <w:jc w:val="both"/>
        <w:rPr>
          <w:lang w:val="de-DE"/>
        </w:rPr>
      </w:pPr>
    </w:p>
    <w:p w14:paraId="173EB17E" w14:textId="44E6A9B5" w:rsidR="00F82527" w:rsidRPr="004676F5" w:rsidRDefault="00F82527" w:rsidP="00F82527">
      <w:pPr>
        <w:jc w:val="both"/>
        <w:rPr>
          <w:lang w:val="de-DE"/>
        </w:rPr>
      </w:pPr>
      <w:r w:rsidRPr="004676F5">
        <w:rPr>
          <w:lang w:val="de-DE"/>
        </w:rPr>
        <w:tab/>
      </w:r>
      <w:r w:rsidRPr="004676F5">
        <w:rPr>
          <w:b/>
          <w:lang w:val="de-DE"/>
        </w:rPr>
        <w:t>Art. VII.216/169</w:t>
      </w:r>
      <w:r w:rsidRPr="004676F5">
        <w:rPr>
          <w:lang w:val="de-DE"/>
        </w:rPr>
        <w:t> </w:t>
      </w:r>
      <w:r w:rsidR="005B7A5C" w:rsidRPr="004676F5">
        <w:rPr>
          <w:lang w:val="de-DE"/>
        </w:rPr>
        <w:t>- </w:t>
      </w:r>
      <w:r w:rsidRPr="004676F5">
        <w:rPr>
          <w:lang w:val="de-DE"/>
        </w:rPr>
        <w:t>Die Bestimmungen des vorliegenden Buches, die den Protest mangels Zahlung regeln, sind auf den Scheck anwendbar, soweit sie mit den Bestimmungen des vorliegenden Abschnitts vereinbar sind.]</w:t>
      </w:r>
    </w:p>
    <w:p w14:paraId="1D254FBA" w14:textId="3B7065D1" w:rsidR="00F82527" w:rsidRPr="004676F5" w:rsidRDefault="00F82527" w:rsidP="00F82527">
      <w:pPr>
        <w:jc w:val="both"/>
        <w:rPr>
          <w:lang w:val="de-DE"/>
        </w:rPr>
      </w:pPr>
    </w:p>
    <w:p w14:paraId="3615DC75" w14:textId="73E0C5F8" w:rsidR="00F82527" w:rsidRPr="004676F5" w:rsidRDefault="00F82527" w:rsidP="00F82527">
      <w:pPr>
        <w:jc w:val="both"/>
        <w:rPr>
          <w:i/>
          <w:lang w:val="de-DE"/>
        </w:rPr>
      </w:pPr>
      <w:r w:rsidRPr="004676F5">
        <w:rPr>
          <w:i/>
          <w:lang w:val="de-DE"/>
        </w:rPr>
        <w:t>[Art. VII.216/167 bis VII.216/169 eingefügt durch Art. 171 des G. vom 15. April 2018 (B.S. vom 27. April 2018)]</w:t>
      </w:r>
    </w:p>
    <w:p w14:paraId="61FED532" w14:textId="77777777" w:rsidR="00F82527" w:rsidRPr="004676F5" w:rsidRDefault="00F82527" w:rsidP="00F82527">
      <w:pPr>
        <w:jc w:val="both"/>
        <w:rPr>
          <w:iCs/>
          <w:lang w:val="de-DE"/>
        </w:rPr>
      </w:pPr>
    </w:p>
    <w:p w14:paraId="4DE13536" w14:textId="77777777" w:rsidR="00F82527" w:rsidRPr="004676F5" w:rsidRDefault="00F82527" w:rsidP="00F82527">
      <w:pPr>
        <w:jc w:val="center"/>
        <w:rPr>
          <w:lang w:val="de-DE"/>
        </w:rPr>
      </w:pPr>
    </w:p>
    <w:p w14:paraId="5EC435F9" w14:textId="77777777" w:rsidR="00F82527" w:rsidRPr="004676F5" w:rsidRDefault="00F82527" w:rsidP="00F82527">
      <w:pPr>
        <w:jc w:val="both"/>
        <w:rPr>
          <w:iCs/>
          <w:lang w:val="de-DE"/>
        </w:rPr>
      </w:pPr>
    </w:p>
    <w:p w14:paraId="3ED11792" w14:textId="77777777" w:rsidR="00B67579" w:rsidRPr="004676F5" w:rsidRDefault="00B67579" w:rsidP="00B67579">
      <w:pPr>
        <w:jc w:val="center"/>
        <w:rPr>
          <w:iCs/>
          <w:lang w:val="de-DE"/>
        </w:rPr>
      </w:pPr>
    </w:p>
    <w:p w14:paraId="4D5403A7" w14:textId="77777777" w:rsidR="00B67579" w:rsidRPr="004676F5" w:rsidRDefault="00B67579" w:rsidP="00B67579">
      <w:pPr>
        <w:jc w:val="center"/>
        <w:rPr>
          <w:lang w:val="de-DE"/>
        </w:rPr>
      </w:pPr>
    </w:p>
    <w:p w14:paraId="694D1AE5" w14:textId="77777777" w:rsidR="00B67579" w:rsidRPr="004676F5" w:rsidRDefault="00B67579" w:rsidP="00B67579">
      <w:pPr>
        <w:jc w:val="both"/>
        <w:rPr>
          <w:lang w:val="de-DE"/>
        </w:rPr>
      </w:pPr>
    </w:p>
    <w:p w14:paraId="1C503EF2" w14:textId="4D8B91B2" w:rsidR="00B67579" w:rsidRPr="004676F5" w:rsidRDefault="00B67579" w:rsidP="00B67579">
      <w:pPr>
        <w:jc w:val="center"/>
        <w:rPr>
          <w:lang w:val="de-DE"/>
        </w:rPr>
      </w:pPr>
    </w:p>
    <w:p w14:paraId="7E6133F3" w14:textId="77777777" w:rsidR="00B67579" w:rsidRPr="004676F5" w:rsidRDefault="00B67579" w:rsidP="00B67579">
      <w:pPr>
        <w:jc w:val="center"/>
        <w:rPr>
          <w:lang w:val="de-DE"/>
        </w:rPr>
      </w:pPr>
    </w:p>
    <w:p w14:paraId="221C047C" w14:textId="77777777" w:rsidR="00B67579" w:rsidRPr="004676F5" w:rsidRDefault="00B67579" w:rsidP="00B67579">
      <w:pPr>
        <w:jc w:val="both"/>
        <w:rPr>
          <w:iCs/>
          <w:lang w:val="de-DE"/>
        </w:rPr>
      </w:pPr>
    </w:p>
    <w:p w14:paraId="08459BAB" w14:textId="77777777" w:rsidR="00B67579" w:rsidRPr="004676F5" w:rsidRDefault="00B67579" w:rsidP="00B67579">
      <w:pPr>
        <w:jc w:val="center"/>
        <w:rPr>
          <w:iCs/>
          <w:lang w:val="de-DE"/>
        </w:rPr>
      </w:pPr>
    </w:p>
    <w:p w14:paraId="56FA6D1E" w14:textId="77777777" w:rsidR="00B67579" w:rsidRPr="004676F5" w:rsidRDefault="00B67579" w:rsidP="00B67579">
      <w:pPr>
        <w:jc w:val="center"/>
        <w:rPr>
          <w:iCs/>
          <w:lang w:val="de-DE"/>
        </w:rPr>
      </w:pPr>
    </w:p>
    <w:p w14:paraId="4A0556F9" w14:textId="77777777" w:rsidR="00EC446E" w:rsidRPr="004676F5" w:rsidRDefault="00EC446E" w:rsidP="00EC446E">
      <w:pPr>
        <w:jc w:val="center"/>
        <w:rPr>
          <w:iCs/>
          <w:lang w:val="de-DE"/>
        </w:rPr>
      </w:pPr>
    </w:p>
    <w:p w14:paraId="54BDEDD1" w14:textId="77777777" w:rsidR="00EC446E" w:rsidRPr="004676F5" w:rsidRDefault="00EC446E" w:rsidP="00EC446E">
      <w:pPr>
        <w:jc w:val="center"/>
        <w:rPr>
          <w:iCs/>
          <w:lang w:val="de-DE"/>
        </w:rPr>
      </w:pPr>
    </w:p>
    <w:p w14:paraId="64272B6A" w14:textId="77777777" w:rsidR="00F4045F" w:rsidRPr="004676F5" w:rsidRDefault="00F4045F" w:rsidP="00F4045F">
      <w:pPr>
        <w:jc w:val="center"/>
        <w:rPr>
          <w:lang w:val="de-DE"/>
        </w:rPr>
      </w:pPr>
    </w:p>
    <w:p w14:paraId="24C9B19D" w14:textId="0AAE31D1" w:rsidR="00591DDC" w:rsidRPr="004676F5" w:rsidRDefault="00591DDC" w:rsidP="00591DDC">
      <w:pPr>
        <w:jc w:val="center"/>
        <w:rPr>
          <w:lang w:val="de-DE"/>
        </w:rPr>
      </w:pPr>
      <w:r w:rsidRPr="004676F5">
        <w:rPr>
          <w:lang w:val="de-DE"/>
        </w:rPr>
        <w:t xml:space="preserve"> </w:t>
      </w:r>
      <w:r w:rsidRPr="004676F5">
        <w:rPr>
          <w:lang w:val="de-DE"/>
        </w:rPr>
        <w:br w:type="page"/>
      </w:r>
    </w:p>
    <w:p w14:paraId="5C9C9558" w14:textId="61B867D0" w:rsidR="00881814" w:rsidRPr="004676F5" w:rsidRDefault="00881814" w:rsidP="00881814">
      <w:pPr>
        <w:jc w:val="center"/>
        <w:rPr>
          <w:b/>
          <w:lang w:val="de-DE"/>
        </w:rPr>
      </w:pPr>
      <w:r w:rsidRPr="004676F5">
        <w:rPr>
          <w:b/>
          <w:lang w:val="de-DE"/>
        </w:rPr>
        <w:lastRenderedPageBreak/>
        <w:t>TITEL 7 </w:t>
      </w:r>
      <w:r w:rsidR="005B7A5C" w:rsidRPr="004676F5">
        <w:rPr>
          <w:b/>
          <w:lang w:val="de-DE"/>
        </w:rPr>
        <w:t>- </w:t>
      </w:r>
      <w:r w:rsidRPr="004676F5">
        <w:rPr>
          <w:b/>
          <w:i/>
          <w:lang w:val="de-DE"/>
        </w:rPr>
        <w:t>Schlussbestimmungen</w:t>
      </w:r>
    </w:p>
    <w:p w14:paraId="7E1A40FC" w14:textId="77777777" w:rsidR="00881814" w:rsidRPr="004676F5" w:rsidRDefault="00881814" w:rsidP="00881814">
      <w:pPr>
        <w:ind w:firstLine="708"/>
        <w:jc w:val="both"/>
        <w:rPr>
          <w:lang w:val="de-DE"/>
        </w:rPr>
      </w:pPr>
    </w:p>
    <w:p w14:paraId="503BF297" w14:textId="77777777" w:rsidR="003C352D" w:rsidRPr="004676F5" w:rsidRDefault="003C352D" w:rsidP="00881814">
      <w:pPr>
        <w:ind w:firstLine="708"/>
        <w:jc w:val="both"/>
        <w:rPr>
          <w:lang w:val="de-DE"/>
        </w:rPr>
      </w:pPr>
    </w:p>
    <w:p w14:paraId="26D66C30" w14:textId="3BF93694" w:rsidR="00881814" w:rsidRPr="004676F5" w:rsidRDefault="00BE0A56" w:rsidP="00881814">
      <w:pPr>
        <w:ind w:firstLine="708"/>
        <w:jc w:val="both"/>
        <w:rPr>
          <w:lang w:val="de-DE"/>
        </w:rPr>
      </w:pPr>
      <w:r w:rsidRPr="004676F5">
        <w:rPr>
          <w:b/>
          <w:lang w:val="de-DE"/>
        </w:rPr>
        <w:t>Art. </w:t>
      </w:r>
      <w:r w:rsidR="00881814" w:rsidRPr="004676F5">
        <w:rPr>
          <w:b/>
          <w:lang w:val="de-DE"/>
        </w:rPr>
        <w:t>VII.217</w:t>
      </w:r>
      <w:r w:rsidR="00881814" w:rsidRPr="004676F5">
        <w:rPr>
          <w:lang w:val="de-DE"/>
        </w:rPr>
        <w:t> </w:t>
      </w:r>
      <w:r w:rsidR="005B7A5C" w:rsidRPr="004676F5">
        <w:rPr>
          <w:lang w:val="de-DE"/>
        </w:rPr>
        <w:t>- </w:t>
      </w:r>
      <w:r w:rsidR="00881814" w:rsidRPr="004676F5">
        <w:rPr>
          <w:lang w:val="de-DE"/>
        </w:rPr>
        <w:t xml:space="preserve">Königliche Erlasse aufgrund der Artikel VII.3, </w:t>
      </w:r>
      <w:r w:rsidR="000867F3" w:rsidRPr="004676F5">
        <w:rPr>
          <w:lang w:val="de-DE"/>
        </w:rPr>
        <w:t xml:space="preserve">[VII.4/1 bis VII.4/4,] </w:t>
      </w:r>
      <w:r w:rsidR="00881814" w:rsidRPr="004676F5">
        <w:rPr>
          <w:lang w:val="de-DE"/>
        </w:rPr>
        <w:t xml:space="preserve">VII.57 bis VII.59, </w:t>
      </w:r>
      <w:r w:rsidR="000867F3" w:rsidRPr="004676F5">
        <w:rPr>
          <w:lang w:val="de-DE"/>
        </w:rPr>
        <w:t xml:space="preserve">[VII.62/1 bis VII.62/7,] </w:t>
      </w:r>
      <w:r w:rsidR="00881814" w:rsidRPr="004676F5">
        <w:rPr>
          <w:lang w:val="de-DE"/>
        </w:rPr>
        <w:t xml:space="preserve">VII.64, VII.90 § 1 Absatz 3, VII.94, VII.95, VII.86 § 3 Absatz 2, </w:t>
      </w:r>
      <w:r w:rsidR="00496AA3" w:rsidRPr="004676F5">
        <w:rPr>
          <w:lang w:val="de-DE"/>
        </w:rPr>
        <w:t>[VII.101, VII.114 § 3, VII.124, VII.147/9, VII.147/10 und VII.147/30 § 3 des vorliegenden Buches]</w:t>
      </w:r>
      <w:r w:rsidR="00881814" w:rsidRPr="004676F5">
        <w:rPr>
          <w:lang w:val="de-DE"/>
        </w:rPr>
        <w:t xml:space="preserve"> legt der Minister dem Verbraucherrat zur Stellungnahme vor. Der Minister bestimmt die Frist zur Abgabe der Stellungnahme. Nach Ablauf dieser Frist ist die Stellungnahme nicht mehr erforderlich.</w:t>
      </w:r>
    </w:p>
    <w:p w14:paraId="0B014568" w14:textId="77777777" w:rsidR="00496AA3" w:rsidRPr="004676F5" w:rsidRDefault="00496AA3" w:rsidP="00881814">
      <w:pPr>
        <w:ind w:firstLine="708"/>
        <w:jc w:val="both"/>
        <w:rPr>
          <w:lang w:val="de-DE"/>
        </w:rPr>
      </w:pPr>
    </w:p>
    <w:p w14:paraId="4AD063B3" w14:textId="6D179360" w:rsidR="00496AA3" w:rsidRPr="004676F5" w:rsidRDefault="00496AA3" w:rsidP="00496AA3">
      <w:pPr>
        <w:jc w:val="both"/>
        <w:rPr>
          <w:i/>
          <w:lang w:val="de-DE"/>
        </w:rPr>
      </w:pPr>
      <w:r w:rsidRPr="004676F5">
        <w:rPr>
          <w:i/>
          <w:lang w:val="de-DE"/>
        </w:rPr>
        <w:t>[</w:t>
      </w:r>
      <w:r w:rsidR="00BE0A56" w:rsidRPr="004676F5">
        <w:rPr>
          <w:i/>
          <w:lang w:val="de-DE"/>
        </w:rPr>
        <w:t>Art. </w:t>
      </w:r>
      <w:r w:rsidRPr="004676F5">
        <w:rPr>
          <w:i/>
          <w:lang w:val="de-DE"/>
        </w:rPr>
        <w:t xml:space="preserve">VII.217 abgeändert durch </w:t>
      </w:r>
      <w:r w:rsidR="00BE0A56" w:rsidRPr="004676F5">
        <w:rPr>
          <w:i/>
          <w:lang w:val="de-DE"/>
        </w:rPr>
        <w:t>Art. </w:t>
      </w:r>
      <w:r w:rsidRPr="004676F5">
        <w:rPr>
          <w:i/>
          <w:lang w:val="de-DE"/>
        </w:rPr>
        <w:t>33 des G. vom 22. April 2016 (B.S. vom 4. Mai 2016)</w:t>
      </w:r>
      <w:r w:rsidR="000867F3" w:rsidRPr="004676F5">
        <w:rPr>
          <w:i/>
          <w:lang w:val="de-DE"/>
        </w:rPr>
        <w:t xml:space="preserve"> und Art. 28 Nr. 1 und 2 des G. vom 22. Dezember 2017 (B.S. vom 12. Januar 2018)</w:t>
      </w:r>
      <w:r w:rsidRPr="004676F5">
        <w:rPr>
          <w:i/>
          <w:lang w:val="de-DE"/>
        </w:rPr>
        <w:t>]</w:t>
      </w:r>
    </w:p>
    <w:p w14:paraId="378D975B" w14:textId="77777777" w:rsidR="00881814" w:rsidRPr="004676F5" w:rsidRDefault="00881814" w:rsidP="00881814">
      <w:pPr>
        <w:ind w:firstLine="708"/>
        <w:jc w:val="both"/>
        <w:rPr>
          <w:lang w:val="de-DE"/>
        </w:rPr>
      </w:pPr>
    </w:p>
    <w:p w14:paraId="4DF442EB" w14:textId="77777777" w:rsidR="003C352D" w:rsidRPr="004676F5" w:rsidRDefault="003C352D" w:rsidP="00881814">
      <w:pPr>
        <w:ind w:firstLine="708"/>
        <w:jc w:val="both"/>
        <w:rPr>
          <w:lang w:val="de-DE"/>
        </w:rPr>
      </w:pPr>
    </w:p>
    <w:p w14:paraId="2EB80870" w14:textId="0742FF0E" w:rsidR="00881814" w:rsidRPr="004676F5" w:rsidRDefault="00BE0A56" w:rsidP="00881814">
      <w:pPr>
        <w:ind w:firstLine="708"/>
        <w:jc w:val="both"/>
        <w:rPr>
          <w:lang w:val="de-DE"/>
        </w:rPr>
      </w:pPr>
      <w:r w:rsidRPr="004676F5">
        <w:rPr>
          <w:b/>
          <w:lang w:val="de-DE"/>
        </w:rPr>
        <w:t>Art. </w:t>
      </w:r>
      <w:r w:rsidR="00881814" w:rsidRPr="004676F5">
        <w:rPr>
          <w:b/>
          <w:lang w:val="de-DE"/>
        </w:rPr>
        <w:t>VII.218</w:t>
      </w:r>
      <w:r w:rsidR="00881814" w:rsidRPr="004676F5">
        <w:rPr>
          <w:lang w:val="de-DE"/>
        </w:rPr>
        <w:t> </w:t>
      </w:r>
      <w:r w:rsidR="005B7A5C" w:rsidRPr="004676F5">
        <w:rPr>
          <w:lang w:val="de-DE"/>
        </w:rPr>
        <w:t>- </w:t>
      </w:r>
      <w:r w:rsidR="00881814" w:rsidRPr="004676F5">
        <w:rPr>
          <w:lang w:val="de-DE"/>
        </w:rPr>
        <w:t xml:space="preserve">Unbeschadet anderer Konsultierungsformalitäten, die durch das vorliegende Buch auferlegt sind, übt der König die Ihm durch die Artikel VII.118, </w:t>
      </w:r>
      <w:r w:rsidR="00496AA3" w:rsidRPr="004676F5">
        <w:rPr>
          <w:lang w:val="de-DE"/>
        </w:rPr>
        <w:t>[VII.120, VII.122, VII.147/34, VII.147/36 und VII.147/38]</w:t>
      </w:r>
      <w:r w:rsidR="00881814" w:rsidRPr="004676F5">
        <w:rPr>
          <w:lang w:val="de-DE"/>
        </w:rPr>
        <w:t xml:space="preserve"> zuerkannten Befugnisse nach Konsultierung des Ausschusses für den Schutz des Privatlebens aus.</w:t>
      </w:r>
    </w:p>
    <w:p w14:paraId="65288D12" w14:textId="77777777" w:rsidR="00881814" w:rsidRPr="004676F5" w:rsidRDefault="00881814" w:rsidP="00881814">
      <w:pPr>
        <w:ind w:firstLine="708"/>
        <w:jc w:val="both"/>
        <w:rPr>
          <w:lang w:val="de-DE"/>
        </w:rPr>
      </w:pPr>
    </w:p>
    <w:p w14:paraId="5FB8EA51" w14:textId="77777777" w:rsidR="00881814" w:rsidRPr="004676F5" w:rsidRDefault="00881814" w:rsidP="00881814">
      <w:pPr>
        <w:ind w:firstLine="708"/>
        <w:jc w:val="both"/>
        <w:rPr>
          <w:lang w:val="de-DE"/>
        </w:rPr>
      </w:pPr>
      <w:r w:rsidRPr="004676F5">
        <w:rPr>
          <w:lang w:val="de-DE"/>
        </w:rPr>
        <w:t>Königliche Erlasse zur Ausführung der Artikel VII.148, VII.149, VII.153 und VII.154 legt der Minister dem Verbraucherrat, dem Ausschuss für den Schutz des Privatlebens und dem Begleitausschuss der Zentrale zur Stellungnahme vor. Der Minister bestimmt die Frist zur Abgabe der Stellungnahme. Nach Ablauf dieser Frist ist die Stellungnahme nicht mehr erforderlich.</w:t>
      </w:r>
    </w:p>
    <w:p w14:paraId="54020C27" w14:textId="77777777" w:rsidR="00881814" w:rsidRPr="004676F5" w:rsidRDefault="00881814" w:rsidP="00881814">
      <w:pPr>
        <w:ind w:firstLine="708"/>
        <w:jc w:val="both"/>
        <w:rPr>
          <w:lang w:val="de-DE"/>
        </w:rPr>
      </w:pPr>
    </w:p>
    <w:p w14:paraId="6D990F21" w14:textId="211DCE4A" w:rsidR="00496AA3" w:rsidRPr="004676F5" w:rsidRDefault="00496AA3" w:rsidP="00496AA3">
      <w:pPr>
        <w:jc w:val="both"/>
        <w:rPr>
          <w:i/>
          <w:lang w:val="de-DE"/>
        </w:rPr>
      </w:pPr>
      <w:r w:rsidRPr="004676F5">
        <w:rPr>
          <w:i/>
          <w:lang w:val="de-DE"/>
        </w:rPr>
        <w:t>[</w:t>
      </w:r>
      <w:r w:rsidR="00BE0A56" w:rsidRPr="004676F5">
        <w:rPr>
          <w:i/>
          <w:lang w:val="de-DE"/>
        </w:rPr>
        <w:t>Art. </w:t>
      </w:r>
      <w:r w:rsidRPr="004676F5">
        <w:rPr>
          <w:i/>
          <w:lang w:val="de-DE"/>
        </w:rPr>
        <w:t xml:space="preserve">VII.218 Abs. 1 abgeändert durch </w:t>
      </w:r>
      <w:r w:rsidR="00BE0A56" w:rsidRPr="004676F5">
        <w:rPr>
          <w:i/>
          <w:lang w:val="de-DE"/>
        </w:rPr>
        <w:t>Art. </w:t>
      </w:r>
      <w:r w:rsidRPr="004676F5">
        <w:rPr>
          <w:i/>
          <w:lang w:val="de-DE"/>
        </w:rPr>
        <w:t>34 des G. vom 22. April 2016 (B.S. vom 4. Mai 2016)]</w:t>
      </w:r>
    </w:p>
    <w:p w14:paraId="23E65276" w14:textId="77777777" w:rsidR="003C352D" w:rsidRPr="004676F5" w:rsidRDefault="003C352D" w:rsidP="00881814">
      <w:pPr>
        <w:ind w:firstLine="708"/>
        <w:jc w:val="both"/>
        <w:rPr>
          <w:lang w:val="de-DE"/>
        </w:rPr>
      </w:pPr>
    </w:p>
    <w:p w14:paraId="55F63AE1" w14:textId="77777777" w:rsidR="00496AA3" w:rsidRPr="004676F5" w:rsidRDefault="00496AA3" w:rsidP="00881814">
      <w:pPr>
        <w:ind w:firstLine="708"/>
        <w:jc w:val="both"/>
        <w:rPr>
          <w:lang w:val="de-DE"/>
        </w:rPr>
      </w:pPr>
    </w:p>
    <w:p w14:paraId="623DA48D" w14:textId="0AF88C63" w:rsidR="00881814" w:rsidRPr="004676F5" w:rsidRDefault="00BE0A56" w:rsidP="00496AA3">
      <w:pPr>
        <w:ind w:firstLine="708"/>
        <w:jc w:val="both"/>
        <w:rPr>
          <w:lang w:val="de-DE"/>
        </w:rPr>
      </w:pPr>
      <w:r w:rsidRPr="004676F5">
        <w:rPr>
          <w:b/>
          <w:lang w:val="de-DE"/>
        </w:rPr>
        <w:t>Art. </w:t>
      </w:r>
      <w:r w:rsidR="00881814" w:rsidRPr="004676F5">
        <w:rPr>
          <w:b/>
          <w:lang w:val="de-DE"/>
        </w:rPr>
        <w:t>VII.219</w:t>
      </w:r>
      <w:r w:rsidR="00881814" w:rsidRPr="004676F5">
        <w:rPr>
          <w:lang w:val="de-DE"/>
        </w:rPr>
        <w:t> </w:t>
      </w:r>
      <w:r w:rsidR="005B7A5C" w:rsidRPr="004676F5">
        <w:rPr>
          <w:lang w:val="de-DE"/>
        </w:rPr>
        <w:t>- </w:t>
      </w:r>
      <w:r w:rsidR="00881814" w:rsidRPr="004676F5">
        <w:rPr>
          <w:lang w:val="de-DE"/>
        </w:rPr>
        <w:t>Der König übt die Ihm durch die Bestimmungen der Artikel VII.3, VII.64, VII.86 § 3 Absatz 2, VII.90 § 1 Absatz 3, VII.94, VII.95, VII.101</w:t>
      </w:r>
      <w:r w:rsidR="00496AA3" w:rsidRPr="004676F5">
        <w:rPr>
          <w:lang w:val="de-DE"/>
        </w:rPr>
        <w:t>[, VII.120, VII.122, VII.124, VII.147/9, VII.147/10, VII.147/36 und VII.147/38]</w:t>
      </w:r>
      <w:r w:rsidR="00881814" w:rsidRPr="004676F5">
        <w:rPr>
          <w:lang w:val="de-DE"/>
        </w:rPr>
        <w:t xml:space="preserve"> zuerkannten Befugnisse nach Konsultierung der Bank auf gemeinsamen Vorschlag der für Wirtschaft und für Finanzen zuständigen Minister aus.</w:t>
      </w:r>
    </w:p>
    <w:p w14:paraId="71DE94C1" w14:textId="77777777" w:rsidR="00881814" w:rsidRPr="004676F5" w:rsidRDefault="00881814" w:rsidP="00881814">
      <w:pPr>
        <w:ind w:firstLine="708"/>
        <w:jc w:val="both"/>
        <w:rPr>
          <w:lang w:val="de-DE"/>
        </w:rPr>
      </w:pPr>
    </w:p>
    <w:p w14:paraId="02FDA0A9" w14:textId="725AF3E9" w:rsidR="00496AA3" w:rsidRPr="004676F5" w:rsidRDefault="00496AA3" w:rsidP="00496AA3">
      <w:pPr>
        <w:jc w:val="both"/>
        <w:rPr>
          <w:i/>
          <w:lang w:val="de-DE"/>
        </w:rPr>
      </w:pPr>
      <w:r w:rsidRPr="004676F5">
        <w:rPr>
          <w:i/>
          <w:lang w:val="de-DE"/>
        </w:rPr>
        <w:t>[</w:t>
      </w:r>
      <w:r w:rsidR="00BE0A56" w:rsidRPr="004676F5">
        <w:rPr>
          <w:i/>
          <w:lang w:val="de-DE"/>
        </w:rPr>
        <w:t>Art. </w:t>
      </w:r>
      <w:r w:rsidRPr="004676F5">
        <w:rPr>
          <w:i/>
          <w:lang w:val="de-DE"/>
        </w:rPr>
        <w:t xml:space="preserve">VII.219 abgeändert durch </w:t>
      </w:r>
      <w:r w:rsidR="00BE0A56" w:rsidRPr="004676F5">
        <w:rPr>
          <w:i/>
          <w:lang w:val="de-DE"/>
        </w:rPr>
        <w:t>Art. </w:t>
      </w:r>
      <w:r w:rsidRPr="004676F5">
        <w:rPr>
          <w:i/>
          <w:lang w:val="de-DE"/>
        </w:rPr>
        <w:t>35 des G. vom 22. April 2016 (B.S. vom 4. Mai 2016)]</w:t>
      </w:r>
    </w:p>
    <w:p w14:paraId="57092047" w14:textId="77777777" w:rsidR="00496AA3" w:rsidRPr="004676F5" w:rsidRDefault="00496AA3" w:rsidP="00881814">
      <w:pPr>
        <w:ind w:firstLine="708"/>
        <w:jc w:val="both"/>
        <w:rPr>
          <w:lang w:val="de-DE"/>
        </w:rPr>
      </w:pPr>
    </w:p>
    <w:p w14:paraId="14281612" w14:textId="77777777" w:rsidR="003C352D" w:rsidRPr="004676F5" w:rsidRDefault="003C352D" w:rsidP="00881814">
      <w:pPr>
        <w:ind w:firstLine="708"/>
        <w:jc w:val="both"/>
        <w:rPr>
          <w:lang w:val="de-DE"/>
        </w:rPr>
      </w:pPr>
    </w:p>
    <w:p w14:paraId="60E36596" w14:textId="1B8BEB00" w:rsidR="00D104CB" w:rsidRPr="004676F5" w:rsidRDefault="003C352D" w:rsidP="003C352D">
      <w:pPr>
        <w:jc w:val="both"/>
        <w:rPr>
          <w:lang w:val="de-DE"/>
        </w:rPr>
      </w:pPr>
      <w:r w:rsidRPr="004676F5">
        <w:rPr>
          <w:lang w:val="de-DE"/>
        </w:rPr>
        <w:tab/>
      </w:r>
      <w:r w:rsidR="00BE0A56" w:rsidRPr="004676F5">
        <w:rPr>
          <w:b/>
          <w:lang w:val="de-DE"/>
        </w:rPr>
        <w:t>Art. </w:t>
      </w:r>
      <w:r w:rsidR="00881814" w:rsidRPr="004676F5">
        <w:rPr>
          <w:b/>
          <w:lang w:val="de-DE"/>
        </w:rPr>
        <w:t>VII.220</w:t>
      </w:r>
      <w:r w:rsidR="00881814" w:rsidRPr="004676F5">
        <w:rPr>
          <w:lang w:val="de-DE"/>
        </w:rPr>
        <w:t> </w:t>
      </w:r>
      <w:r w:rsidR="005B7A5C" w:rsidRPr="004676F5">
        <w:rPr>
          <w:lang w:val="de-DE"/>
        </w:rPr>
        <w:t>- </w:t>
      </w:r>
      <w:r w:rsidR="00881814" w:rsidRPr="004676F5">
        <w:rPr>
          <w:lang w:val="de-DE"/>
        </w:rPr>
        <w:t>Erlasse zur Ausführung von Titel 4 Kapitel 4 werden auf Stellungnahme der FSMA gefasst.</w:t>
      </w:r>
    </w:p>
    <w:p w14:paraId="0EBD1C6A" w14:textId="77777777" w:rsidR="00D104CB" w:rsidRPr="004676F5" w:rsidRDefault="00D104CB">
      <w:pPr>
        <w:rPr>
          <w:lang w:val="de-DE"/>
        </w:rPr>
      </w:pPr>
      <w:r w:rsidRPr="004676F5">
        <w:rPr>
          <w:lang w:val="de-DE"/>
        </w:rPr>
        <w:br w:type="page"/>
      </w:r>
    </w:p>
    <w:p w14:paraId="07F7B7B9" w14:textId="77777777" w:rsidR="00740C64" w:rsidRPr="004676F5" w:rsidRDefault="00740C64" w:rsidP="00740C64">
      <w:pPr>
        <w:jc w:val="center"/>
        <w:rPr>
          <w:b/>
          <w:lang w:val="de-DE"/>
        </w:rPr>
      </w:pPr>
      <w:r w:rsidRPr="004676F5">
        <w:rPr>
          <w:b/>
          <w:lang w:val="de-DE"/>
        </w:rPr>
        <w:lastRenderedPageBreak/>
        <w:t>Anlage 1</w:t>
      </w:r>
    </w:p>
    <w:p w14:paraId="454FE3F0" w14:textId="77777777" w:rsidR="00740C64" w:rsidRPr="004676F5" w:rsidRDefault="00740C64" w:rsidP="00740C64">
      <w:pPr>
        <w:jc w:val="center"/>
        <w:rPr>
          <w:b/>
          <w:lang w:val="de-DE"/>
        </w:rPr>
      </w:pPr>
    </w:p>
    <w:p w14:paraId="24E83CB7" w14:textId="77777777" w:rsidR="00740C64" w:rsidRPr="004676F5" w:rsidRDefault="00740C64" w:rsidP="00740C64">
      <w:pPr>
        <w:jc w:val="center"/>
        <w:rPr>
          <w:b/>
          <w:bCs/>
          <w:lang w:val="de-DE"/>
        </w:rPr>
      </w:pPr>
      <w:r w:rsidRPr="004676F5">
        <w:rPr>
          <w:b/>
          <w:lang w:val="de-DE"/>
        </w:rPr>
        <w:t>EUROPÄISCHE STANDARDINFORMATIONEN FÜR VERBRAUCHERKREDITE (SECCI) (Artikel VII.70 des Wirtschaftsgesetzbuches)</w:t>
      </w:r>
    </w:p>
    <w:p w14:paraId="7C6DF9BD" w14:textId="77777777" w:rsidR="00740C64" w:rsidRPr="004676F5" w:rsidRDefault="00740C64" w:rsidP="00740C64">
      <w:pPr>
        <w:jc w:val="center"/>
        <w:rPr>
          <w:b/>
          <w:bCs/>
          <w:lang w:val="de-DE"/>
        </w:rPr>
      </w:pPr>
    </w:p>
    <w:p w14:paraId="2212CFE2" w14:textId="77777777" w:rsidR="00740C64" w:rsidRPr="004676F5" w:rsidRDefault="00740C64" w:rsidP="00740C64">
      <w:pPr>
        <w:jc w:val="both"/>
        <w:rPr>
          <w:lang w:val="de-DE"/>
        </w:rPr>
      </w:pPr>
    </w:p>
    <w:p w14:paraId="46BDCD45" w14:textId="77777777" w:rsidR="00740C64" w:rsidRPr="004676F5" w:rsidRDefault="00740C64" w:rsidP="00740C64">
      <w:pPr>
        <w:jc w:val="both"/>
        <w:rPr>
          <w:b/>
          <w:lang w:val="de-DE"/>
        </w:rPr>
      </w:pPr>
      <w:r w:rsidRPr="004676F5">
        <w:rPr>
          <w:b/>
          <w:lang w:val="de-DE"/>
        </w:rPr>
        <w:t>1. Name und Kontaktangaben des Kreditgebers/Kreditvermittlers</w:t>
      </w:r>
    </w:p>
    <w:p w14:paraId="7A78A46F" w14:textId="77777777" w:rsidR="00740C64" w:rsidRPr="004676F5" w:rsidRDefault="00740C64" w:rsidP="00740C64">
      <w:pPr>
        <w:jc w:val="both"/>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256F56" w14:paraId="7D8997C4" w14:textId="77777777" w:rsidTr="00C46B2E">
        <w:tc>
          <w:tcPr>
            <w:tcW w:w="4536" w:type="dxa"/>
            <w:tcBorders>
              <w:left w:val="nil"/>
            </w:tcBorders>
          </w:tcPr>
          <w:p w14:paraId="01492466" w14:textId="77777777" w:rsidR="00740C64" w:rsidRPr="004676F5" w:rsidRDefault="00740C64" w:rsidP="00C46B2E">
            <w:pPr>
              <w:jc w:val="both"/>
              <w:rPr>
                <w:lang w:val="de-DE"/>
              </w:rPr>
            </w:pPr>
          </w:p>
          <w:p w14:paraId="6E060A16" w14:textId="77777777" w:rsidR="00740C64" w:rsidRPr="004676F5" w:rsidRDefault="00740C64" w:rsidP="00C46B2E">
            <w:pPr>
              <w:jc w:val="both"/>
              <w:rPr>
                <w:lang w:val="de-DE"/>
              </w:rPr>
            </w:pPr>
            <w:r w:rsidRPr="004676F5">
              <w:rPr>
                <w:lang w:val="de-DE"/>
              </w:rPr>
              <w:t>Kreditgeber</w:t>
            </w:r>
          </w:p>
          <w:p w14:paraId="78BDCE33" w14:textId="77777777" w:rsidR="00740C64" w:rsidRPr="004676F5" w:rsidRDefault="00740C64" w:rsidP="00C46B2E">
            <w:pPr>
              <w:jc w:val="both"/>
              <w:rPr>
                <w:lang w:val="de-DE"/>
              </w:rPr>
            </w:pPr>
            <w:r w:rsidRPr="004676F5">
              <w:rPr>
                <w:lang w:val="de-DE"/>
              </w:rPr>
              <w:t>Anschrift</w:t>
            </w:r>
          </w:p>
          <w:p w14:paraId="249C6899" w14:textId="77777777" w:rsidR="00740C64" w:rsidRPr="004676F5" w:rsidRDefault="00740C64" w:rsidP="00C46B2E">
            <w:pPr>
              <w:jc w:val="both"/>
              <w:rPr>
                <w:lang w:val="de-DE"/>
              </w:rPr>
            </w:pPr>
            <w:r w:rsidRPr="004676F5">
              <w:rPr>
                <w:lang w:val="de-DE"/>
              </w:rPr>
              <w:t>Telefon (*)</w:t>
            </w:r>
          </w:p>
          <w:p w14:paraId="1F6588FB" w14:textId="77777777" w:rsidR="00740C64" w:rsidRPr="004676F5" w:rsidRDefault="00740C64" w:rsidP="00C46B2E">
            <w:pPr>
              <w:jc w:val="both"/>
              <w:rPr>
                <w:lang w:val="de-DE"/>
              </w:rPr>
            </w:pPr>
            <w:r w:rsidRPr="004676F5">
              <w:rPr>
                <w:lang w:val="de-DE"/>
              </w:rPr>
              <w:t>E-Mail (*)</w:t>
            </w:r>
          </w:p>
          <w:p w14:paraId="1544BF08" w14:textId="77777777" w:rsidR="00740C64" w:rsidRPr="004676F5" w:rsidRDefault="00740C64" w:rsidP="00C46B2E">
            <w:pPr>
              <w:jc w:val="both"/>
              <w:rPr>
                <w:lang w:val="de-DE"/>
              </w:rPr>
            </w:pPr>
            <w:r w:rsidRPr="004676F5">
              <w:rPr>
                <w:lang w:val="de-DE"/>
              </w:rPr>
              <w:t>Fax (*)</w:t>
            </w:r>
          </w:p>
          <w:p w14:paraId="09615214" w14:textId="77777777" w:rsidR="00740C64" w:rsidRPr="004676F5" w:rsidRDefault="00740C64" w:rsidP="00C46B2E">
            <w:pPr>
              <w:jc w:val="both"/>
              <w:rPr>
                <w:lang w:val="de-DE"/>
              </w:rPr>
            </w:pPr>
            <w:r w:rsidRPr="004676F5">
              <w:rPr>
                <w:lang w:val="de-DE"/>
              </w:rPr>
              <w:t>Internet-Adresse (*)</w:t>
            </w:r>
          </w:p>
          <w:p w14:paraId="75967745" w14:textId="77777777" w:rsidR="00740C64" w:rsidRPr="004676F5" w:rsidRDefault="00740C64" w:rsidP="00C46B2E">
            <w:pPr>
              <w:jc w:val="both"/>
              <w:rPr>
                <w:lang w:val="de-DE"/>
              </w:rPr>
            </w:pPr>
          </w:p>
        </w:tc>
        <w:tc>
          <w:tcPr>
            <w:tcW w:w="4536" w:type="dxa"/>
            <w:tcBorders>
              <w:right w:val="nil"/>
            </w:tcBorders>
          </w:tcPr>
          <w:p w14:paraId="286A8023" w14:textId="77777777" w:rsidR="00740C64" w:rsidRPr="004676F5" w:rsidRDefault="00740C64" w:rsidP="00C46B2E">
            <w:pPr>
              <w:jc w:val="both"/>
              <w:rPr>
                <w:lang w:val="de-DE"/>
              </w:rPr>
            </w:pPr>
          </w:p>
          <w:p w14:paraId="18C2921D" w14:textId="77777777" w:rsidR="00740C64" w:rsidRPr="004676F5" w:rsidRDefault="00740C64" w:rsidP="00C46B2E">
            <w:pPr>
              <w:jc w:val="both"/>
              <w:rPr>
                <w:lang w:val="de-DE"/>
              </w:rPr>
            </w:pPr>
            <w:r w:rsidRPr="004676F5">
              <w:rPr>
                <w:lang w:val="de-DE"/>
              </w:rPr>
              <w:t>[Name einschließlich Unternehmens</w:t>
            </w:r>
            <w:r w:rsidRPr="004676F5">
              <w:rPr>
                <w:lang w:val="de-DE"/>
              </w:rPr>
              <w:softHyphen/>
              <w:t>nummer]</w:t>
            </w:r>
          </w:p>
          <w:p w14:paraId="7B6C1C60" w14:textId="77777777" w:rsidR="00740C64" w:rsidRPr="004676F5" w:rsidRDefault="00740C64" w:rsidP="00C46B2E">
            <w:pPr>
              <w:jc w:val="both"/>
              <w:rPr>
                <w:lang w:val="de-DE"/>
              </w:rPr>
            </w:pPr>
            <w:r w:rsidRPr="004676F5">
              <w:rPr>
                <w:lang w:val="de-DE"/>
              </w:rPr>
              <w:t>[Anschrift für Kontakte mit dem Verbraucher]</w:t>
            </w:r>
          </w:p>
        </w:tc>
      </w:tr>
      <w:tr w:rsidR="00740C64" w:rsidRPr="00256F56" w14:paraId="1FCBFFE3" w14:textId="77777777" w:rsidTr="00C46B2E">
        <w:trPr>
          <w:trHeight w:val="2760"/>
        </w:trPr>
        <w:tc>
          <w:tcPr>
            <w:tcW w:w="4536" w:type="dxa"/>
            <w:tcBorders>
              <w:left w:val="nil"/>
            </w:tcBorders>
          </w:tcPr>
          <w:p w14:paraId="22903503" w14:textId="77777777" w:rsidR="00740C64" w:rsidRPr="004676F5" w:rsidRDefault="00740C64" w:rsidP="00C46B2E">
            <w:pPr>
              <w:jc w:val="both"/>
              <w:rPr>
                <w:lang w:val="de-DE"/>
              </w:rPr>
            </w:pPr>
          </w:p>
          <w:p w14:paraId="114E82D8" w14:textId="77777777" w:rsidR="00740C64" w:rsidRPr="004676F5" w:rsidRDefault="00740C64" w:rsidP="00C46B2E">
            <w:pPr>
              <w:jc w:val="both"/>
              <w:rPr>
                <w:lang w:val="de-DE"/>
              </w:rPr>
            </w:pPr>
            <w:r w:rsidRPr="004676F5">
              <w:rPr>
                <w:lang w:val="de-DE"/>
              </w:rPr>
              <w:t>(falls zutreffend)</w:t>
            </w:r>
          </w:p>
          <w:p w14:paraId="0BFE4847" w14:textId="77777777" w:rsidR="00740C64" w:rsidRPr="004676F5" w:rsidRDefault="00740C64" w:rsidP="00C46B2E">
            <w:pPr>
              <w:jc w:val="both"/>
              <w:rPr>
                <w:lang w:val="de-DE"/>
              </w:rPr>
            </w:pPr>
          </w:p>
          <w:p w14:paraId="35277AED" w14:textId="77777777" w:rsidR="00740C64" w:rsidRPr="004676F5" w:rsidRDefault="00740C64" w:rsidP="00C46B2E">
            <w:pPr>
              <w:jc w:val="both"/>
              <w:rPr>
                <w:lang w:val="de-DE"/>
              </w:rPr>
            </w:pPr>
            <w:r w:rsidRPr="004676F5">
              <w:rPr>
                <w:lang w:val="de-DE"/>
              </w:rPr>
              <w:t>Kreditvermittler</w:t>
            </w:r>
          </w:p>
          <w:p w14:paraId="46A3933D" w14:textId="77777777" w:rsidR="00740C64" w:rsidRPr="004676F5" w:rsidRDefault="00740C64" w:rsidP="00C46B2E">
            <w:pPr>
              <w:jc w:val="both"/>
              <w:rPr>
                <w:lang w:val="de-DE"/>
              </w:rPr>
            </w:pPr>
            <w:r w:rsidRPr="004676F5">
              <w:rPr>
                <w:lang w:val="de-DE"/>
              </w:rPr>
              <w:t>Anschrift</w:t>
            </w:r>
          </w:p>
          <w:p w14:paraId="0C546D65" w14:textId="77777777" w:rsidR="00740C64" w:rsidRPr="004676F5" w:rsidRDefault="00740C64" w:rsidP="00C46B2E">
            <w:pPr>
              <w:jc w:val="both"/>
              <w:rPr>
                <w:lang w:val="de-DE"/>
              </w:rPr>
            </w:pPr>
            <w:r w:rsidRPr="004676F5">
              <w:rPr>
                <w:lang w:val="de-DE"/>
              </w:rPr>
              <w:t>Telefon</w:t>
            </w:r>
            <w:bookmarkStart w:id="4" w:name="reftnt6_*"/>
            <w:bookmarkEnd w:id="4"/>
            <w:r w:rsidRPr="004676F5">
              <w:rPr>
                <w:lang w:val="de-DE"/>
              </w:rPr>
              <w:t xml:space="preserve"> (*)</w:t>
            </w:r>
          </w:p>
          <w:p w14:paraId="1DF57431" w14:textId="77777777" w:rsidR="00740C64" w:rsidRPr="00094CAB" w:rsidRDefault="00740C64" w:rsidP="00C46B2E">
            <w:pPr>
              <w:jc w:val="both"/>
              <w:rPr>
                <w:lang w:val="fr-BE"/>
              </w:rPr>
            </w:pPr>
            <w:r w:rsidRPr="00094CAB">
              <w:rPr>
                <w:lang w:val="fr-BE"/>
              </w:rPr>
              <w:t>E-Mail (*)</w:t>
            </w:r>
          </w:p>
          <w:p w14:paraId="6C772DA0" w14:textId="77777777" w:rsidR="00740C64" w:rsidRPr="00094CAB" w:rsidRDefault="00740C64" w:rsidP="00C46B2E">
            <w:pPr>
              <w:jc w:val="both"/>
              <w:rPr>
                <w:lang w:val="fr-BE"/>
              </w:rPr>
            </w:pPr>
            <w:r w:rsidRPr="00094CAB">
              <w:rPr>
                <w:lang w:val="fr-BE"/>
              </w:rPr>
              <w:t>Fax (*)</w:t>
            </w:r>
          </w:p>
          <w:p w14:paraId="331E4B50" w14:textId="77777777" w:rsidR="00740C64" w:rsidRPr="00094CAB" w:rsidRDefault="00740C64" w:rsidP="00C46B2E">
            <w:pPr>
              <w:jc w:val="both"/>
              <w:rPr>
                <w:lang w:val="fr-BE"/>
              </w:rPr>
            </w:pPr>
            <w:r w:rsidRPr="00094CAB">
              <w:rPr>
                <w:lang w:val="fr-BE"/>
              </w:rPr>
              <w:t>Internet-Adresse (*)</w:t>
            </w:r>
          </w:p>
          <w:p w14:paraId="2C3BFD07" w14:textId="77777777" w:rsidR="00740C64" w:rsidRPr="00094CAB" w:rsidRDefault="00740C64" w:rsidP="00C46B2E">
            <w:pPr>
              <w:jc w:val="both"/>
              <w:rPr>
                <w:lang w:val="fr-BE"/>
              </w:rPr>
            </w:pPr>
          </w:p>
        </w:tc>
        <w:tc>
          <w:tcPr>
            <w:tcW w:w="4536" w:type="dxa"/>
            <w:tcBorders>
              <w:right w:val="nil"/>
            </w:tcBorders>
          </w:tcPr>
          <w:p w14:paraId="1466BB87" w14:textId="77777777" w:rsidR="00740C64" w:rsidRPr="00094CAB" w:rsidRDefault="00740C64" w:rsidP="00C46B2E">
            <w:pPr>
              <w:jc w:val="both"/>
              <w:rPr>
                <w:lang w:val="fr-BE"/>
              </w:rPr>
            </w:pPr>
          </w:p>
          <w:p w14:paraId="4434F68B" w14:textId="77777777" w:rsidR="00740C64" w:rsidRPr="00094CAB" w:rsidRDefault="00740C64" w:rsidP="00C46B2E">
            <w:pPr>
              <w:jc w:val="both"/>
              <w:rPr>
                <w:lang w:val="fr-BE"/>
              </w:rPr>
            </w:pPr>
          </w:p>
          <w:p w14:paraId="3EE31DCB" w14:textId="77777777" w:rsidR="00740C64" w:rsidRPr="00094CAB" w:rsidRDefault="00740C64" w:rsidP="00C46B2E">
            <w:pPr>
              <w:jc w:val="both"/>
              <w:rPr>
                <w:lang w:val="fr-BE"/>
              </w:rPr>
            </w:pPr>
          </w:p>
          <w:p w14:paraId="29FAD2C8" w14:textId="77777777" w:rsidR="00740C64" w:rsidRPr="004676F5" w:rsidRDefault="00740C64" w:rsidP="00C46B2E">
            <w:pPr>
              <w:jc w:val="both"/>
              <w:rPr>
                <w:lang w:val="de-DE"/>
              </w:rPr>
            </w:pPr>
            <w:r w:rsidRPr="004676F5">
              <w:rPr>
                <w:lang w:val="de-DE"/>
              </w:rPr>
              <w:t>[Name einschließlich Unternehmens</w:t>
            </w:r>
            <w:r w:rsidRPr="004676F5">
              <w:rPr>
                <w:lang w:val="de-DE"/>
              </w:rPr>
              <w:softHyphen/>
              <w:t>nummer]</w:t>
            </w:r>
          </w:p>
          <w:p w14:paraId="16751AED" w14:textId="77777777" w:rsidR="00740C64" w:rsidRPr="004676F5" w:rsidRDefault="00740C64" w:rsidP="00C46B2E">
            <w:pPr>
              <w:jc w:val="both"/>
              <w:rPr>
                <w:lang w:val="de-DE"/>
              </w:rPr>
            </w:pPr>
            <w:r w:rsidRPr="004676F5">
              <w:rPr>
                <w:lang w:val="de-DE"/>
              </w:rPr>
              <w:t>[Anschrift für Kontakte mit dem Verbraucher]</w:t>
            </w:r>
          </w:p>
          <w:p w14:paraId="2596A887" w14:textId="77777777" w:rsidR="00740C64" w:rsidRPr="004676F5" w:rsidRDefault="00740C64" w:rsidP="00C46B2E">
            <w:pPr>
              <w:jc w:val="both"/>
              <w:rPr>
                <w:lang w:val="de-DE"/>
              </w:rPr>
            </w:pPr>
            <w:r w:rsidRPr="004676F5">
              <w:rPr>
                <w:lang w:val="de-DE"/>
              </w:rPr>
              <w:t> </w:t>
            </w:r>
          </w:p>
        </w:tc>
      </w:tr>
      <w:tr w:rsidR="00740C64" w:rsidRPr="004676F5" w14:paraId="201A5939" w14:textId="77777777" w:rsidTr="00C46B2E">
        <w:tc>
          <w:tcPr>
            <w:tcW w:w="4536" w:type="dxa"/>
            <w:tcBorders>
              <w:left w:val="nil"/>
            </w:tcBorders>
          </w:tcPr>
          <w:p w14:paraId="70246DD2" w14:textId="77777777" w:rsidR="00740C64" w:rsidRPr="004676F5" w:rsidRDefault="00740C64" w:rsidP="00C46B2E">
            <w:pPr>
              <w:jc w:val="both"/>
              <w:rPr>
                <w:sz w:val="20"/>
                <w:szCs w:val="20"/>
                <w:lang w:val="de-DE"/>
              </w:rPr>
            </w:pPr>
          </w:p>
          <w:p w14:paraId="409600A2" w14:textId="77777777" w:rsidR="00740C64" w:rsidRPr="004676F5" w:rsidRDefault="00740C64" w:rsidP="00C46B2E">
            <w:pPr>
              <w:jc w:val="both"/>
              <w:rPr>
                <w:sz w:val="20"/>
                <w:szCs w:val="20"/>
                <w:lang w:val="de-DE"/>
              </w:rPr>
            </w:pPr>
            <w:r w:rsidRPr="004676F5">
              <w:rPr>
                <w:sz w:val="20"/>
                <w:lang w:val="de-DE"/>
              </w:rPr>
              <w:t>(*) Freiwillige Angabe des Kreditgebers</w:t>
            </w:r>
          </w:p>
          <w:p w14:paraId="55A31DB1" w14:textId="77777777" w:rsidR="00740C64" w:rsidRPr="004676F5" w:rsidRDefault="00740C64" w:rsidP="00C46B2E">
            <w:pPr>
              <w:jc w:val="both"/>
              <w:rPr>
                <w:lang w:val="de-DE"/>
              </w:rPr>
            </w:pPr>
          </w:p>
        </w:tc>
        <w:tc>
          <w:tcPr>
            <w:tcW w:w="4536" w:type="dxa"/>
            <w:tcBorders>
              <w:right w:val="nil"/>
            </w:tcBorders>
          </w:tcPr>
          <w:p w14:paraId="6DB6FD25" w14:textId="77777777" w:rsidR="00740C64" w:rsidRPr="004676F5" w:rsidRDefault="00740C64" w:rsidP="00C46B2E">
            <w:pPr>
              <w:jc w:val="both"/>
              <w:rPr>
                <w:lang w:val="de-DE"/>
              </w:rPr>
            </w:pPr>
          </w:p>
        </w:tc>
      </w:tr>
    </w:tbl>
    <w:p w14:paraId="2DDD9F06" w14:textId="77777777" w:rsidR="00740C64" w:rsidRPr="004676F5" w:rsidRDefault="00740C64" w:rsidP="00740C64">
      <w:pPr>
        <w:jc w:val="both"/>
        <w:rPr>
          <w:lang w:val="de-DE"/>
        </w:rPr>
      </w:pPr>
      <w:bookmarkStart w:id="5" w:name="tnt6_*"/>
      <w:bookmarkEnd w:id="5"/>
    </w:p>
    <w:p w14:paraId="2A2A6F50" w14:textId="77777777" w:rsidR="00740C64" w:rsidRPr="004676F5" w:rsidRDefault="00740C64" w:rsidP="00740C64">
      <w:pPr>
        <w:jc w:val="both"/>
        <w:rPr>
          <w:sz w:val="20"/>
          <w:szCs w:val="20"/>
          <w:lang w:val="de-DE"/>
        </w:rPr>
      </w:pPr>
      <w:r w:rsidRPr="004676F5">
        <w:rPr>
          <w:sz w:val="20"/>
          <w:lang w:val="de-DE"/>
        </w:rPr>
        <w:t>In allen Fällen, in denen "falls zutreffend" angegeben ist, muss der Kreditgeber das betreffende Kästchen ausfüllen, wenn die Information für das Kreditprodukt relevant ist, oder die betreffende Information bzw. die gesamte Zeile durchstreichen, wenn die Information für die in Frage kommende Kreditart nicht relevant ist.</w:t>
      </w:r>
    </w:p>
    <w:p w14:paraId="38FD2A80" w14:textId="77777777" w:rsidR="00740C64" w:rsidRPr="004676F5" w:rsidRDefault="00740C64" w:rsidP="00740C64">
      <w:pPr>
        <w:jc w:val="both"/>
        <w:rPr>
          <w:sz w:val="20"/>
          <w:szCs w:val="20"/>
          <w:lang w:val="de-DE"/>
        </w:rPr>
      </w:pPr>
    </w:p>
    <w:p w14:paraId="6354538E" w14:textId="77777777" w:rsidR="00740C64" w:rsidRPr="004676F5" w:rsidRDefault="00740C64" w:rsidP="00740C64">
      <w:pPr>
        <w:jc w:val="both"/>
        <w:rPr>
          <w:sz w:val="20"/>
          <w:szCs w:val="20"/>
          <w:lang w:val="de-DE"/>
        </w:rPr>
      </w:pPr>
      <w:r w:rsidRPr="004676F5">
        <w:rPr>
          <w:sz w:val="20"/>
          <w:lang w:val="de-DE"/>
        </w:rPr>
        <w:t>Die Vermerke in eckigen Klammern dienen zur Erläuterung und sind vom Kreditgeber durch die entsprechenden Angaben zu ersetzen.</w:t>
      </w:r>
    </w:p>
    <w:p w14:paraId="35164D5F" w14:textId="77777777" w:rsidR="00740C64" w:rsidRPr="004676F5" w:rsidRDefault="00740C64" w:rsidP="00740C64">
      <w:pPr>
        <w:jc w:val="both"/>
        <w:rPr>
          <w:lang w:val="de-DE"/>
        </w:rPr>
      </w:pPr>
    </w:p>
    <w:p w14:paraId="33A306BC" w14:textId="77777777" w:rsidR="00740C64" w:rsidRPr="004676F5" w:rsidRDefault="00740C64" w:rsidP="00740C64">
      <w:pPr>
        <w:rPr>
          <w:lang w:val="de-DE"/>
        </w:rPr>
      </w:pPr>
    </w:p>
    <w:p w14:paraId="1046303E" w14:textId="77777777" w:rsidR="00740C64" w:rsidRPr="004676F5" w:rsidRDefault="00740C64" w:rsidP="00740C64">
      <w:pPr>
        <w:rPr>
          <w:b/>
          <w:lang w:val="de-DE"/>
        </w:rPr>
      </w:pPr>
      <w:r w:rsidRPr="004676F5">
        <w:rPr>
          <w:b/>
          <w:lang w:val="de-DE"/>
        </w:rPr>
        <w:t xml:space="preserve">2. Beschreibung der wesentlichen Merkmale des Kreditprodukts </w:t>
      </w:r>
    </w:p>
    <w:p w14:paraId="6FB57B1C" w14:textId="77777777" w:rsidR="00740C64" w:rsidRPr="004676F5" w:rsidRDefault="00740C64" w:rsidP="00740C64">
      <w:pPr>
        <w:jc w:val="both"/>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4676F5" w14:paraId="4A4ED7D6" w14:textId="77777777" w:rsidTr="00C46B2E">
        <w:tc>
          <w:tcPr>
            <w:tcW w:w="4536" w:type="dxa"/>
            <w:tcBorders>
              <w:left w:val="nil"/>
            </w:tcBorders>
          </w:tcPr>
          <w:p w14:paraId="2040D10B" w14:textId="77777777" w:rsidR="00740C64" w:rsidRPr="004676F5" w:rsidRDefault="00740C64" w:rsidP="00C46B2E">
            <w:pPr>
              <w:jc w:val="both"/>
              <w:rPr>
                <w:lang w:val="de-DE"/>
              </w:rPr>
            </w:pPr>
          </w:p>
          <w:p w14:paraId="71A04DD0" w14:textId="77777777" w:rsidR="00740C64" w:rsidRPr="004676F5" w:rsidRDefault="00740C64" w:rsidP="00C46B2E">
            <w:pPr>
              <w:jc w:val="both"/>
              <w:rPr>
                <w:lang w:val="de-DE"/>
              </w:rPr>
            </w:pPr>
            <w:r w:rsidRPr="004676F5">
              <w:rPr>
                <w:lang w:val="de-DE"/>
              </w:rPr>
              <w:t>Kreditart</w:t>
            </w:r>
          </w:p>
          <w:p w14:paraId="2DD614F5" w14:textId="77777777" w:rsidR="00740C64" w:rsidRPr="004676F5" w:rsidRDefault="00740C64" w:rsidP="00C46B2E">
            <w:pPr>
              <w:jc w:val="both"/>
              <w:rPr>
                <w:lang w:val="de-DE"/>
              </w:rPr>
            </w:pPr>
          </w:p>
        </w:tc>
        <w:tc>
          <w:tcPr>
            <w:tcW w:w="4536" w:type="dxa"/>
            <w:tcBorders>
              <w:right w:val="nil"/>
            </w:tcBorders>
          </w:tcPr>
          <w:p w14:paraId="08EEC02B" w14:textId="77777777" w:rsidR="00740C64" w:rsidRPr="004676F5" w:rsidRDefault="00740C64" w:rsidP="00C46B2E">
            <w:pPr>
              <w:jc w:val="both"/>
              <w:rPr>
                <w:lang w:val="de-DE"/>
              </w:rPr>
            </w:pPr>
            <w:r w:rsidRPr="004676F5">
              <w:rPr>
                <w:lang w:val="de-DE"/>
              </w:rPr>
              <w:t> </w:t>
            </w:r>
          </w:p>
        </w:tc>
      </w:tr>
      <w:tr w:rsidR="00740C64" w:rsidRPr="00256F56" w14:paraId="72C7FFEF" w14:textId="77777777" w:rsidTr="00C46B2E">
        <w:tc>
          <w:tcPr>
            <w:tcW w:w="4536" w:type="dxa"/>
            <w:tcBorders>
              <w:left w:val="nil"/>
            </w:tcBorders>
          </w:tcPr>
          <w:p w14:paraId="4DBAF8A5" w14:textId="77777777" w:rsidR="00740C64" w:rsidRPr="004676F5" w:rsidRDefault="00740C64" w:rsidP="00C46B2E">
            <w:pPr>
              <w:jc w:val="both"/>
              <w:rPr>
                <w:lang w:val="de-DE"/>
              </w:rPr>
            </w:pPr>
          </w:p>
          <w:p w14:paraId="18E1ABDC" w14:textId="77777777" w:rsidR="00740C64" w:rsidRPr="004676F5" w:rsidRDefault="00740C64" w:rsidP="00C46B2E">
            <w:pPr>
              <w:jc w:val="both"/>
              <w:rPr>
                <w:lang w:val="de-DE"/>
              </w:rPr>
            </w:pPr>
            <w:r w:rsidRPr="004676F5">
              <w:rPr>
                <w:lang w:val="de-DE"/>
              </w:rPr>
              <w:t>Gesamtkreditbetrag</w:t>
            </w:r>
          </w:p>
          <w:p w14:paraId="248AC933" w14:textId="77777777" w:rsidR="00740C64" w:rsidRPr="004676F5" w:rsidRDefault="00740C64" w:rsidP="00C46B2E">
            <w:pPr>
              <w:jc w:val="both"/>
              <w:rPr>
                <w:lang w:val="de-DE"/>
              </w:rPr>
            </w:pPr>
          </w:p>
          <w:p w14:paraId="7B557ECB" w14:textId="77777777" w:rsidR="00740C64" w:rsidRPr="004676F5" w:rsidRDefault="00740C64" w:rsidP="00C46B2E">
            <w:pPr>
              <w:jc w:val="both"/>
              <w:rPr>
                <w:i/>
                <w:iCs/>
                <w:lang w:val="de-DE"/>
              </w:rPr>
            </w:pPr>
            <w:r w:rsidRPr="004676F5">
              <w:rPr>
                <w:i/>
                <w:lang w:val="de-DE"/>
              </w:rPr>
              <w:t>Obergrenze oder Summe aller Beträge, die aufgrund des Kreditvertrags zur Verfügung gestellt wird</w:t>
            </w:r>
          </w:p>
          <w:p w14:paraId="19EE26B6" w14:textId="77777777" w:rsidR="00740C64" w:rsidRPr="004676F5" w:rsidRDefault="00740C64" w:rsidP="00C46B2E">
            <w:pPr>
              <w:jc w:val="both"/>
              <w:rPr>
                <w:lang w:val="de-DE"/>
              </w:rPr>
            </w:pPr>
          </w:p>
        </w:tc>
        <w:tc>
          <w:tcPr>
            <w:tcW w:w="4536" w:type="dxa"/>
            <w:tcBorders>
              <w:right w:val="nil"/>
            </w:tcBorders>
          </w:tcPr>
          <w:p w14:paraId="604FDC6C" w14:textId="77777777" w:rsidR="00740C64" w:rsidRPr="004676F5" w:rsidRDefault="00740C64" w:rsidP="00C46B2E">
            <w:pPr>
              <w:jc w:val="both"/>
              <w:rPr>
                <w:lang w:val="de-DE"/>
              </w:rPr>
            </w:pPr>
            <w:r w:rsidRPr="004676F5">
              <w:rPr>
                <w:lang w:val="de-DE"/>
              </w:rPr>
              <w:t> </w:t>
            </w:r>
          </w:p>
        </w:tc>
      </w:tr>
    </w:tbl>
    <w:p w14:paraId="7DB278D2" w14:textId="77777777" w:rsidR="00740C64" w:rsidRPr="004676F5" w:rsidRDefault="00740C64" w:rsidP="00740C64">
      <w:pPr>
        <w:rPr>
          <w:lang w:val="de-DE"/>
        </w:rPr>
      </w:pPr>
      <w:r w:rsidRPr="004676F5">
        <w:rPr>
          <w:lang w:val="de-DE"/>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256F56" w14:paraId="538E8302" w14:textId="77777777" w:rsidTr="00C46B2E">
        <w:tc>
          <w:tcPr>
            <w:tcW w:w="4536" w:type="dxa"/>
            <w:tcBorders>
              <w:left w:val="nil"/>
            </w:tcBorders>
          </w:tcPr>
          <w:p w14:paraId="42D1FA03" w14:textId="77777777" w:rsidR="00740C64" w:rsidRPr="004676F5" w:rsidRDefault="00740C64" w:rsidP="00C46B2E">
            <w:pPr>
              <w:jc w:val="both"/>
              <w:rPr>
                <w:lang w:val="de-DE"/>
              </w:rPr>
            </w:pPr>
          </w:p>
          <w:p w14:paraId="0C712A52" w14:textId="77777777" w:rsidR="00740C64" w:rsidRPr="004676F5" w:rsidRDefault="00740C64" w:rsidP="00C46B2E">
            <w:pPr>
              <w:jc w:val="both"/>
              <w:rPr>
                <w:lang w:val="de-DE"/>
              </w:rPr>
            </w:pPr>
            <w:r w:rsidRPr="004676F5">
              <w:rPr>
                <w:lang w:val="de-DE"/>
              </w:rPr>
              <w:t>Bedingungen für die Inanspruchnahme</w:t>
            </w:r>
          </w:p>
          <w:p w14:paraId="6C714E79" w14:textId="77777777" w:rsidR="00740C64" w:rsidRPr="004676F5" w:rsidRDefault="00740C64" w:rsidP="00C46B2E">
            <w:pPr>
              <w:jc w:val="both"/>
              <w:rPr>
                <w:lang w:val="de-DE"/>
              </w:rPr>
            </w:pPr>
          </w:p>
          <w:p w14:paraId="51DC6B1F" w14:textId="77777777" w:rsidR="00740C64" w:rsidRPr="004676F5" w:rsidRDefault="00740C64" w:rsidP="00C46B2E">
            <w:pPr>
              <w:jc w:val="both"/>
              <w:rPr>
                <w:i/>
                <w:iCs/>
                <w:lang w:val="de-DE"/>
              </w:rPr>
            </w:pPr>
            <w:r w:rsidRPr="004676F5">
              <w:rPr>
                <w:i/>
                <w:lang w:val="de-DE"/>
              </w:rPr>
              <w:t>Gemeint ist, wie und wann Sie das Geld und/oder die finanzierte Ware beziehungs</w:t>
            </w:r>
            <w:r w:rsidRPr="004676F5">
              <w:rPr>
                <w:i/>
                <w:lang w:val="de-DE"/>
              </w:rPr>
              <w:softHyphen/>
              <w:t>weise Dienstleistung erhalten.</w:t>
            </w:r>
          </w:p>
          <w:p w14:paraId="10066526" w14:textId="77777777" w:rsidR="00740C64" w:rsidRPr="004676F5" w:rsidRDefault="00740C64" w:rsidP="00C46B2E">
            <w:pPr>
              <w:jc w:val="both"/>
              <w:rPr>
                <w:lang w:val="de-DE"/>
              </w:rPr>
            </w:pPr>
          </w:p>
        </w:tc>
        <w:tc>
          <w:tcPr>
            <w:tcW w:w="4536" w:type="dxa"/>
            <w:tcBorders>
              <w:right w:val="nil"/>
            </w:tcBorders>
          </w:tcPr>
          <w:p w14:paraId="606310F5" w14:textId="77777777" w:rsidR="00740C64" w:rsidRPr="004676F5" w:rsidRDefault="00740C64" w:rsidP="00C46B2E">
            <w:pPr>
              <w:jc w:val="both"/>
              <w:rPr>
                <w:lang w:val="de-DE"/>
              </w:rPr>
            </w:pPr>
            <w:r w:rsidRPr="004676F5">
              <w:rPr>
                <w:lang w:val="de-DE"/>
              </w:rPr>
              <w:t> </w:t>
            </w:r>
          </w:p>
        </w:tc>
      </w:tr>
      <w:tr w:rsidR="00740C64" w:rsidRPr="004676F5" w14:paraId="68416A4F" w14:textId="77777777" w:rsidTr="00C46B2E">
        <w:tc>
          <w:tcPr>
            <w:tcW w:w="4536" w:type="dxa"/>
            <w:tcBorders>
              <w:left w:val="nil"/>
            </w:tcBorders>
          </w:tcPr>
          <w:p w14:paraId="1D44D52C" w14:textId="77777777" w:rsidR="00740C64" w:rsidRPr="004676F5" w:rsidRDefault="00740C64" w:rsidP="00C46B2E">
            <w:pPr>
              <w:jc w:val="both"/>
              <w:rPr>
                <w:lang w:val="de-DE"/>
              </w:rPr>
            </w:pPr>
          </w:p>
          <w:p w14:paraId="74B2AC9B" w14:textId="77777777" w:rsidR="00740C64" w:rsidRPr="004676F5" w:rsidRDefault="00740C64" w:rsidP="00C46B2E">
            <w:pPr>
              <w:jc w:val="both"/>
              <w:rPr>
                <w:lang w:val="de-DE"/>
              </w:rPr>
            </w:pPr>
            <w:r w:rsidRPr="004676F5">
              <w:rPr>
                <w:lang w:val="de-DE"/>
              </w:rPr>
              <w:t>Laufzeit des Kreditvertrags</w:t>
            </w:r>
          </w:p>
          <w:p w14:paraId="0594BC49" w14:textId="77777777" w:rsidR="00740C64" w:rsidRPr="004676F5" w:rsidRDefault="00740C64" w:rsidP="00C46B2E">
            <w:pPr>
              <w:jc w:val="both"/>
              <w:rPr>
                <w:lang w:val="de-DE"/>
              </w:rPr>
            </w:pPr>
          </w:p>
        </w:tc>
        <w:tc>
          <w:tcPr>
            <w:tcW w:w="4536" w:type="dxa"/>
            <w:tcBorders>
              <w:right w:val="nil"/>
            </w:tcBorders>
          </w:tcPr>
          <w:p w14:paraId="3607E74E" w14:textId="77777777" w:rsidR="00740C64" w:rsidRPr="004676F5" w:rsidRDefault="00740C64" w:rsidP="00C46B2E">
            <w:pPr>
              <w:jc w:val="both"/>
              <w:rPr>
                <w:lang w:val="de-DE"/>
              </w:rPr>
            </w:pPr>
            <w:r w:rsidRPr="004676F5">
              <w:rPr>
                <w:lang w:val="de-DE"/>
              </w:rPr>
              <w:t> </w:t>
            </w:r>
          </w:p>
        </w:tc>
      </w:tr>
      <w:tr w:rsidR="00740C64" w:rsidRPr="00256F56" w14:paraId="13D772B8" w14:textId="77777777" w:rsidTr="00C46B2E">
        <w:tc>
          <w:tcPr>
            <w:tcW w:w="4536" w:type="dxa"/>
            <w:tcBorders>
              <w:left w:val="nil"/>
            </w:tcBorders>
          </w:tcPr>
          <w:p w14:paraId="309843C6" w14:textId="77777777" w:rsidR="00740C64" w:rsidRPr="004676F5" w:rsidRDefault="00740C64" w:rsidP="00C46B2E">
            <w:pPr>
              <w:jc w:val="both"/>
              <w:rPr>
                <w:lang w:val="de-DE"/>
              </w:rPr>
            </w:pPr>
          </w:p>
          <w:p w14:paraId="5C6CCC0F" w14:textId="77777777" w:rsidR="00740C64" w:rsidRPr="004676F5" w:rsidRDefault="00740C64" w:rsidP="00C46B2E">
            <w:pPr>
              <w:jc w:val="both"/>
              <w:rPr>
                <w:lang w:val="de-DE"/>
              </w:rPr>
            </w:pPr>
            <w:r w:rsidRPr="004676F5">
              <w:rPr>
                <w:lang w:val="de-DE"/>
              </w:rPr>
              <w:t>Teilzahlungen und gegebenenfalls Reihen</w:t>
            </w:r>
            <w:r w:rsidRPr="004676F5">
              <w:rPr>
                <w:lang w:val="de-DE"/>
              </w:rPr>
              <w:softHyphen/>
              <w:t>folge, in der die Teilzahlungen angerechnet werden</w:t>
            </w:r>
          </w:p>
          <w:p w14:paraId="54DD4014" w14:textId="77777777" w:rsidR="00740C64" w:rsidRPr="004676F5" w:rsidRDefault="00740C64" w:rsidP="00C46B2E">
            <w:pPr>
              <w:jc w:val="both"/>
              <w:rPr>
                <w:lang w:val="de-DE"/>
              </w:rPr>
            </w:pPr>
          </w:p>
        </w:tc>
        <w:tc>
          <w:tcPr>
            <w:tcW w:w="4536" w:type="dxa"/>
            <w:tcBorders>
              <w:right w:val="nil"/>
            </w:tcBorders>
          </w:tcPr>
          <w:p w14:paraId="46F016EE" w14:textId="77777777" w:rsidR="00740C64" w:rsidRPr="004676F5" w:rsidRDefault="00740C64" w:rsidP="00C46B2E">
            <w:pPr>
              <w:jc w:val="both"/>
              <w:rPr>
                <w:lang w:val="de-DE"/>
              </w:rPr>
            </w:pPr>
          </w:p>
          <w:p w14:paraId="03AC963C" w14:textId="77777777" w:rsidR="00740C64" w:rsidRPr="004676F5" w:rsidRDefault="00740C64" w:rsidP="00C46B2E">
            <w:pPr>
              <w:jc w:val="both"/>
              <w:rPr>
                <w:lang w:val="de-DE"/>
              </w:rPr>
            </w:pPr>
            <w:r w:rsidRPr="004676F5">
              <w:rPr>
                <w:lang w:val="de-DE"/>
              </w:rPr>
              <w:t>Sie müssen folgende Zahlungen leisten:</w:t>
            </w:r>
          </w:p>
          <w:p w14:paraId="0F0C333F" w14:textId="77777777" w:rsidR="00740C64" w:rsidRPr="004676F5" w:rsidRDefault="00740C64" w:rsidP="00C46B2E">
            <w:pPr>
              <w:jc w:val="both"/>
              <w:rPr>
                <w:lang w:val="de-DE"/>
              </w:rPr>
            </w:pPr>
            <w:r w:rsidRPr="004676F5">
              <w:rPr>
                <w:lang w:val="de-DE"/>
              </w:rPr>
              <w:t xml:space="preserve">[Betrag, Anzahl und Periodizität der vom Verbraucher zu leistenden Zahlungen] </w:t>
            </w:r>
          </w:p>
          <w:p w14:paraId="6216BB3F" w14:textId="77777777" w:rsidR="00740C64" w:rsidRPr="004676F5" w:rsidRDefault="00740C64" w:rsidP="00C46B2E">
            <w:pPr>
              <w:jc w:val="both"/>
              <w:rPr>
                <w:lang w:val="de-DE"/>
              </w:rPr>
            </w:pPr>
            <w:r w:rsidRPr="004676F5">
              <w:rPr>
                <w:lang w:val="de-DE"/>
              </w:rPr>
              <w:t>Zinsen und/oder Kosten sind wie folgt zu entrichten:</w:t>
            </w:r>
          </w:p>
          <w:p w14:paraId="1D1A450B" w14:textId="77777777" w:rsidR="00740C64" w:rsidRPr="004676F5" w:rsidRDefault="00740C64" w:rsidP="00C46B2E">
            <w:pPr>
              <w:jc w:val="both"/>
              <w:rPr>
                <w:lang w:val="de-DE"/>
              </w:rPr>
            </w:pPr>
          </w:p>
        </w:tc>
      </w:tr>
      <w:tr w:rsidR="00740C64" w:rsidRPr="00256F56" w14:paraId="0CEA060E" w14:textId="77777777" w:rsidTr="00C46B2E">
        <w:trPr>
          <w:trHeight w:val="1932"/>
        </w:trPr>
        <w:tc>
          <w:tcPr>
            <w:tcW w:w="4536" w:type="dxa"/>
            <w:tcBorders>
              <w:left w:val="nil"/>
            </w:tcBorders>
          </w:tcPr>
          <w:p w14:paraId="4B58A767" w14:textId="77777777" w:rsidR="00740C64" w:rsidRPr="004676F5" w:rsidRDefault="00740C64" w:rsidP="00C46B2E">
            <w:pPr>
              <w:jc w:val="both"/>
              <w:rPr>
                <w:lang w:val="de-DE"/>
              </w:rPr>
            </w:pPr>
          </w:p>
          <w:p w14:paraId="231AFADA" w14:textId="77777777" w:rsidR="00740C64" w:rsidRPr="004676F5" w:rsidRDefault="00740C64" w:rsidP="00C46B2E">
            <w:pPr>
              <w:jc w:val="both"/>
              <w:rPr>
                <w:lang w:val="de-DE"/>
              </w:rPr>
            </w:pPr>
            <w:r w:rsidRPr="004676F5">
              <w:rPr>
                <w:lang w:val="de-DE"/>
              </w:rPr>
              <w:t>Von Ihnen zu zahlender Gesamtbetrag</w:t>
            </w:r>
          </w:p>
          <w:p w14:paraId="5D164E44" w14:textId="77777777" w:rsidR="00740C64" w:rsidRPr="004676F5" w:rsidRDefault="00740C64" w:rsidP="00C46B2E">
            <w:pPr>
              <w:jc w:val="both"/>
              <w:rPr>
                <w:lang w:val="de-DE"/>
              </w:rPr>
            </w:pPr>
          </w:p>
          <w:p w14:paraId="3BC57513" w14:textId="77777777" w:rsidR="00740C64" w:rsidRPr="004676F5" w:rsidRDefault="00740C64" w:rsidP="00C46B2E">
            <w:pPr>
              <w:jc w:val="both"/>
              <w:rPr>
                <w:lang w:val="de-DE"/>
              </w:rPr>
            </w:pPr>
            <w:r w:rsidRPr="004676F5">
              <w:rPr>
                <w:i/>
                <w:lang w:val="de-DE"/>
              </w:rPr>
              <w:t>Betrag des geliehenen Kapitals und/oder der finanzierten Ware beziehungsweise Dienst</w:t>
            </w:r>
            <w:r w:rsidRPr="004676F5">
              <w:rPr>
                <w:i/>
                <w:lang w:val="de-DE"/>
              </w:rPr>
              <w:softHyphen/>
              <w:t>leistung zuzüglich Zinsen und etwaiger Kosten im Zusammenhang mit Ihrem Kredit</w:t>
            </w:r>
          </w:p>
          <w:p w14:paraId="212922BC" w14:textId="77777777" w:rsidR="00740C64" w:rsidRPr="004676F5" w:rsidRDefault="00740C64" w:rsidP="00C46B2E">
            <w:pPr>
              <w:jc w:val="both"/>
              <w:rPr>
                <w:lang w:val="de-DE"/>
              </w:rPr>
            </w:pPr>
          </w:p>
        </w:tc>
        <w:tc>
          <w:tcPr>
            <w:tcW w:w="4536" w:type="dxa"/>
            <w:tcBorders>
              <w:right w:val="nil"/>
            </w:tcBorders>
          </w:tcPr>
          <w:p w14:paraId="42264F0D" w14:textId="77777777" w:rsidR="00740C64" w:rsidRPr="004676F5" w:rsidRDefault="00740C64" w:rsidP="00C46B2E">
            <w:pPr>
              <w:jc w:val="both"/>
              <w:rPr>
                <w:lang w:val="de-DE"/>
              </w:rPr>
            </w:pPr>
          </w:p>
          <w:p w14:paraId="52B38DDF" w14:textId="77777777" w:rsidR="00740C64" w:rsidRPr="004676F5" w:rsidRDefault="00740C64" w:rsidP="00C46B2E">
            <w:pPr>
              <w:jc w:val="both"/>
              <w:rPr>
                <w:lang w:val="de-DE"/>
              </w:rPr>
            </w:pPr>
            <w:r w:rsidRPr="004676F5">
              <w:rPr>
                <w:lang w:val="de-DE"/>
              </w:rPr>
              <w:t>[Summe des Gesamtkreditbetrags und der Gesamtkosten des Kredits]</w:t>
            </w:r>
          </w:p>
          <w:p w14:paraId="4D569048" w14:textId="77777777" w:rsidR="00740C64" w:rsidRPr="004676F5" w:rsidRDefault="00740C64" w:rsidP="00C46B2E">
            <w:pPr>
              <w:jc w:val="both"/>
              <w:rPr>
                <w:lang w:val="de-DE"/>
              </w:rPr>
            </w:pPr>
            <w:r w:rsidRPr="004676F5">
              <w:rPr>
                <w:lang w:val="de-DE"/>
              </w:rPr>
              <w:t> </w:t>
            </w:r>
          </w:p>
        </w:tc>
      </w:tr>
      <w:tr w:rsidR="00740C64" w:rsidRPr="00256F56" w14:paraId="51930D46" w14:textId="77777777" w:rsidTr="00C46B2E">
        <w:trPr>
          <w:trHeight w:val="2760"/>
        </w:trPr>
        <w:tc>
          <w:tcPr>
            <w:tcW w:w="4536" w:type="dxa"/>
            <w:tcBorders>
              <w:left w:val="nil"/>
            </w:tcBorders>
          </w:tcPr>
          <w:p w14:paraId="08F71025" w14:textId="77777777" w:rsidR="00740C64" w:rsidRPr="004676F5" w:rsidRDefault="00740C64" w:rsidP="00C46B2E">
            <w:pPr>
              <w:jc w:val="both"/>
              <w:rPr>
                <w:lang w:val="de-DE"/>
              </w:rPr>
            </w:pPr>
          </w:p>
          <w:p w14:paraId="093312BE" w14:textId="77777777" w:rsidR="00740C64" w:rsidRPr="004676F5" w:rsidRDefault="00740C64" w:rsidP="00C46B2E">
            <w:pPr>
              <w:jc w:val="both"/>
              <w:rPr>
                <w:lang w:val="de-DE"/>
              </w:rPr>
            </w:pPr>
            <w:r w:rsidRPr="004676F5">
              <w:rPr>
                <w:lang w:val="de-DE"/>
              </w:rPr>
              <w:t>(falls zutreffend)</w:t>
            </w:r>
          </w:p>
          <w:p w14:paraId="0762B873" w14:textId="77777777" w:rsidR="00740C64" w:rsidRPr="004676F5" w:rsidRDefault="00740C64" w:rsidP="00C46B2E">
            <w:pPr>
              <w:jc w:val="both"/>
              <w:rPr>
                <w:lang w:val="de-DE"/>
              </w:rPr>
            </w:pPr>
          </w:p>
          <w:p w14:paraId="714ADACF" w14:textId="77777777" w:rsidR="00740C64" w:rsidRPr="004676F5" w:rsidRDefault="00740C64" w:rsidP="00C46B2E">
            <w:pPr>
              <w:jc w:val="both"/>
              <w:rPr>
                <w:iCs/>
                <w:lang w:val="de-DE"/>
              </w:rPr>
            </w:pPr>
            <w:r w:rsidRPr="004676F5">
              <w:rPr>
                <w:lang w:val="de-DE"/>
              </w:rPr>
              <w:t>Der Kredit wird in Form eines Zahlungs</w:t>
            </w:r>
            <w:r w:rsidRPr="004676F5">
              <w:rPr>
                <w:lang w:val="de-DE"/>
              </w:rPr>
              <w:softHyphen/>
              <w:t>aufschubs für eine Ware oder Dienstleistung gewährt oder ist mit der Lieferung bestimmter Waren oder der Erbringung einer Dienstleistung verbunden.</w:t>
            </w:r>
          </w:p>
          <w:p w14:paraId="5FB91888" w14:textId="77777777" w:rsidR="00740C64" w:rsidRPr="004676F5" w:rsidRDefault="00740C64" w:rsidP="00C46B2E">
            <w:pPr>
              <w:jc w:val="both"/>
              <w:rPr>
                <w:lang w:val="de-DE"/>
              </w:rPr>
            </w:pPr>
          </w:p>
          <w:p w14:paraId="5AEEF172" w14:textId="77777777" w:rsidR="00740C64" w:rsidRPr="004676F5" w:rsidRDefault="00740C64" w:rsidP="00C46B2E">
            <w:pPr>
              <w:jc w:val="both"/>
              <w:rPr>
                <w:lang w:val="de-DE"/>
              </w:rPr>
            </w:pPr>
            <w:r w:rsidRPr="004676F5">
              <w:rPr>
                <w:lang w:val="de-DE"/>
              </w:rPr>
              <w:t>Bezeichnung des Produkts/der Dienst</w:t>
            </w:r>
            <w:r w:rsidRPr="004676F5">
              <w:rPr>
                <w:lang w:val="de-DE"/>
              </w:rPr>
              <w:softHyphen/>
              <w:t>leistung</w:t>
            </w:r>
          </w:p>
          <w:p w14:paraId="1BB18CAA" w14:textId="77777777" w:rsidR="00740C64" w:rsidRPr="004676F5" w:rsidRDefault="00740C64" w:rsidP="00C46B2E">
            <w:pPr>
              <w:jc w:val="both"/>
              <w:rPr>
                <w:lang w:val="de-DE"/>
              </w:rPr>
            </w:pPr>
            <w:r w:rsidRPr="004676F5">
              <w:rPr>
                <w:lang w:val="de-DE"/>
              </w:rPr>
              <w:t>Barzahlungspreis</w:t>
            </w:r>
          </w:p>
          <w:p w14:paraId="056E1EF7" w14:textId="77777777" w:rsidR="00740C64" w:rsidRPr="004676F5" w:rsidRDefault="00740C64" w:rsidP="00C46B2E">
            <w:pPr>
              <w:jc w:val="both"/>
              <w:rPr>
                <w:lang w:val="de-DE"/>
              </w:rPr>
            </w:pPr>
          </w:p>
        </w:tc>
        <w:tc>
          <w:tcPr>
            <w:tcW w:w="4536" w:type="dxa"/>
            <w:tcBorders>
              <w:right w:val="nil"/>
            </w:tcBorders>
          </w:tcPr>
          <w:p w14:paraId="6CA6AEF6" w14:textId="77777777" w:rsidR="00740C64" w:rsidRPr="004676F5" w:rsidRDefault="00740C64" w:rsidP="00C46B2E">
            <w:pPr>
              <w:jc w:val="both"/>
              <w:rPr>
                <w:lang w:val="de-DE"/>
              </w:rPr>
            </w:pPr>
          </w:p>
        </w:tc>
      </w:tr>
      <w:tr w:rsidR="00740C64" w:rsidRPr="004676F5" w14:paraId="313C7FAE" w14:textId="77777777" w:rsidTr="00C46B2E">
        <w:trPr>
          <w:trHeight w:val="1380"/>
        </w:trPr>
        <w:tc>
          <w:tcPr>
            <w:tcW w:w="4536" w:type="dxa"/>
            <w:tcBorders>
              <w:left w:val="nil"/>
            </w:tcBorders>
          </w:tcPr>
          <w:p w14:paraId="117124A7" w14:textId="77777777" w:rsidR="00740C64" w:rsidRPr="004676F5" w:rsidRDefault="00740C64" w:rsidP="00C46B2E">
            <w:pPr>
              <w:jc w:val="both"/>
              <w:rPr>
                <w:lang w:val="de-DE"/>
              </w:rPr>
            </w:pPr>
          </w:p>
          <w:p w14:paraId="3C97D590" w14:textId="77777777" w:rsidR="00740C64" w:rsidRPr="004676F5" w:rsidRDefault="00740C64" w:rsidP="00C46B2E">
            <w:pPr>
              <w:jc w:val="both"/>
              <w:rPr>
                <w:lang w:val="de-DE"/>
              </w:rPr>
            </w:pPr>
            <w:r w:rsidRPr="004676F5">
              <w:rPr>
                <w:lang w:val="de-DE"/>
              </w:rPr>
              <w:t>(falls zutreffend)</w:t>
            </w:r>
          </w:p>
          <w:p w14:paraId="27E8C650" w14:textId="77777777" w:rsidR="00740C64" w:rsidRPr="004676F5" w:rsidRDefault="00740C64" w:rsidP="00C46B2E">
            <w:pPr>
              <w:jc w:val="both"/>
              <w:rPr>
                <w:lang w:val="de-DE"/>
              </w:rPr>
            </w:pPr>
            <w:r w:rsidRPr="004676F5">
              <w:rPr>
                <w:lang w:val="de-DE"/>
              </w:rPr>
              <w:t>Verlangte Sicherheiten</w:t>
            </w:r>
          </w:p>
          <w:p w14:paraId="280CAC1A" w14:textId="77777777" w:rsidR="00740C64" w:rsidRPr="004676F5" w:rsidRDefault="00740C64" w:rsidP="00C46B2E">
            <w:pPr>
              <w:jc w:val="both"/>
              <w:rPr>
                <w:i/>
                <w:iCs/>
                <w:lang w:val="de-DE"/>
              </w:rPr>
            </w:pPr>
          </w:p>
          <w:p w14:paraId="09332E66" w14:textId="77777777" w:rsidR="00740C64" w:rsidRPr="004676F5" w:rsidRDefault="00740C64" w:rsidP="00C46B2E">
            <w:pPr>
              <w:jc w:val="both"/>
              <w:rPr>
                <w:iCs/>
                <w:lang w:val="de-DE"/>
              </w:rPr>
            </w:pPr>
            <w:r w:rsidRPr="004676F5">
              <w:rPr>
                <w:i/>
                <w:lang w:val="de-DE"/>
              </w:rPr>
              <w:t>Beschreibung der von Ihnen im Zusammen</w:t>
            </w:r>
            <w:r w:rsidRPr="004676F5">
              <w:rPr>
                <w:i/>
                <w:lang w:val="de-DE"/>
              </w:rPr>
              <w:softHyphen/>
              <w:t>hang mit dem Kreditvertrag zu stellenden Sicherheiten</w:t>
            </w:r>
          </w:p>
          <w:p w14:paraId="0B87C770" w14:textId="77777777" w:rsidR="00740C64" w:rsidRPr="004676F5" w:rsidRDefault="00740C64" w:rsidP="00C46B2E">
            <w:pPr>
              <w:jc w:val="both"/>
              <w:rPr>
                <w:lang w:val="de-DE"/>
              </w:rPr>
            </w:pPr>
          </w:p>
        </w:tc>
        <w:tc>
          <w:tcPr>
            <w:tcW w:w="4536" w:type="dxa"/>
            <w:tcBorders>
              <w:right w:val="nil"/>
            </w:tcBorders>
          </w:tcPr>
          <w:p w14:paraId="72FAD8FE" w14:textId="77777777" w:rsidR="00740C64" w:rsidRPr="004676F5" w:rsidRDefault="00740C64" w:rsidP="00C46B2E">
            <w:pPr>
              <w:jc w:val="both"/>
              <w:rPr>
                <w:lang w:val="de-DE"/>
              </w:rPr>
            </w:pPr>
          </w:p>
          <w:p w14:paraId="1C638927" w14:textId="77777777" w:rsidR="00740C64" w:rsidRPr="004676F5" w:rsidRDefault="00740C64" w:rsidP="00C46B2E">
            <w:pPr>
              <w:jc w:val="both"/>
              <w:rPr>
                <w:lang w:val="de-DE"/>
              </w:rPr>
            </w:pPr>
            <w:r w:rsidRPr="004676F5">
              <w:rPr>
                <w:lang w:val="de-DE"/>
              </w:rPr>
              <w:t>[Art der Sicherheiten]</w:t>
            </w:r>
          </w:p>
          <w:p w14:paraId="319160D4" w14:textId="77777777" w:rsidR="00740C64" w:rsidRPr="004676F5" w:rsidRDefault="00740C64" w:rsidP="00C46B2E">
            <w:pPr>
              <w:jc w:val="both"/>
              <w:rPr>
                <w:lang w:val="de-DE"/>
              </w:rPr>
            </w:pPr>
          </w:p>
        </w:tc>
      </w:tr>
      <w:tr w:rsidR="00740C64" w:rsidRPr="00256F56" w14:paraId="57789D55" w14:textId="77777777" w:rsidTr="00C46B2E">
        <w:trPr>
          <w:trHeight w:val="828"/>
        </w:trPr>
        <w:tc>
          <w:tcPr>
            <w:tcW w:w="4536" w:type="dxa"/>
            <w:tcBorders>
              <w:left w:val="nil"/>
            </w:tcBorders>
          </w:tcPr>
          <w:p w14:paraId="78FB07CE" w14:textId="77777777" w:rsidR="00740C64" w:rsidRPr="004676F5" w:rsidRDefault="00740C64" w:rsidP="00C46B2E">
            <w:pPr>
              <w:jc w:val="both"/>
              <w:rPr>
                <w:lang w:val="de-DE"/>
              </w:rPr>
            </w:pPr>
          </w:p>
          <w:p w14:paraId="5167629F" w14:textId="77777777" w:rsidR="00740C64" w:rsidRPr="004676F5" w:rsidRDefault="00740C64" w:rsidP="00C46B2E">
            <w:pPr>
              <w:jc w:val="both"/>
              <w:rPr>
                <w:lang w:val="de-DE"/>
              </w:rPr>
            </w:pPr>
            <w:r w:rsidRPr="004676F5">
              <w:rPr>
                <w:lang w:val="de-DE"/>
              </w:rPr>
              <w:t>(falls zutreffend)</w:t>
            </w:r>
          </w:p>
          <w:p w14:paraId="063F401D" w14:textId="77777777" w:rsidR="00740C64" w:rsidRPr="004676F5" w:rsidRDefault="00740C64" w:rsidP="00C46B2E">
            <w:pPr>
              <w:jc w:val="both"/>
              <w:rPr>
                <w:lang w:val="de-DE"/>
              </w:rPr>
            </w:pPr>
          </w:p>
          <w:p w14:paraId="438B3D8D" w14:textId="77777777" w:rsidR="00740C64" w:rsidRPr="004676F5" w:rsidRDefault="00740C64" w:rsidP="00C46B2E">
            <w:pPr>
              <w:jc w:val="both"/>
              <w:rPr>
                <w:lang w:val="de-DE"/>
              </w:rPr>
            </w:pPr>
            <w:r w:rsidRPr="004676F5">
              <w:rPr>
                <w:lang w:val="de-DE"/>
              </w:rPr>
              <w:t>Zahlungen dienen nicht der unmittelbaren Kapitaltilgung.</w:t>
            </w:r>
          </w:p>
        </w:tc>
        <w:tc>
          <w:tcPr>
            <w:tcW w:w="4536" w:type="dxa"/>
            <w:tcBorders>
              <w:right w:val="nil"/>
            </w:tcBorders>
          </w:tcPr>
          <w:p w14:paraId="4FC519B9" w14:textId="77777777" w:rsidR="00740C64" w:rsidRPr="004676F5" w:rsidRDefault="00740C64" w:rsidP="00C46B2E">
            <w:pPr>
              <w:jc w:val="both"/>
              <w:rPr>
                <w:lang w:val="de-DE"/>
              </w:rPr>
            </w:pPr>
          </w:p>
        </w:tc>
      </w:tr>
    </w:tbl>
    <w:p w14:paraId="49389886" w14:textId="77777777" w:rsidR="00740C64" w:rsidRPr="004676F5" w:rsidRDefault="00740C64" w:rsidP="00740C64">
      <w:pPr>
        <w:jc w:val="both"/>
        <w:rPr>
          <w:b/>
          <w:lang w:val="de-DE"/>
        </w:rPr>
      </w:pPr>
    </w:p>
    <w:p w14:paraId="1B4033EF" w14:textId="77777777" w:rsidR="00740C64" w:rsidRPr="004676F5" w:rsidRDefault="00740C64" w:rsidP="00740C64">
      <w:pPr>
        <w:jc w:val="both"/>
        <w:rPr>
          <w:b/>
          <w:lang w:val="de-DE"/>
        </w:rPr>
      </w:pPr>
      <w:r w:rsidRPr="004676F5">
        <w:rPr>
          <w:b/>
          <w:lang w:val="de-DE"/>
        </w:rPr>
        <w:lastRenderedPageBreak/>
        <w:t xml:space="preserve">3. Kreditkosten </w:t>
      </w:r>
    </w:p>
    <w:p w14:paraId="091516D8" w14:textId="77777777" w:rsidR="00740C64" w:rsidRPr="004676F5" w:rsidRDefault="00740C64" w:rsidP="00740C64">
      <w:pPr>
        <w:jc w:val="both"/>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4676F5" w14:paraId="4CD7EAA7" w14:textId="77777777" w:rsidTr="00C46B2E">
        <w:trPr>
          <w:trHeight w:val="2052"/>
        </w:trPr>
        <w:tc>
          <w:tcPr>
            <w:tcW w:w="4536" w:type="dxa"/>
            <w:tcBorders>
              <w:left w:val="nil"/>
            </w:tcBorders>
          </w:tcPr>
          <w:p w14:paraId="091A06BB" w14:textId="77777777" w:rsidR="00740C64" w:rsidRPr="004676F5" w:rsidRDefault="00740C64" w:rsidP="00C46B2E">
            <w:pPr>
              <w:jc w:val="both"/>
              <w:rPr>
                <w:lang w:val="de-DE"/>
              </w:rPr>
            </w:pPr>
          </w:p>
          <w:p w14:paraId="4680F87E" w14:textId="77777777" w:rsidR="00740C64" w:rsidRPr="004676F5" w:rsidRDefault="00740C64" w:rsidP="00C46B2E">
            <w:pPr>
              <w:jc w:val="both"/>
              <w:rPr>
                <w:lang w:val="de-DE"/>
              </w:rPr>
            </w:pPr>
            <w:r w:rsidRPr="004676F5">
              <w:rPr>
                <w:lang w:val="de-DE"/>
              </w:rPr>
              <w:t>Sollzinssatz oder gegebenenfalls die verschiedenen Sollzinssätze, die für den Kreditvertrag gelten</w:t>
            </w:r>
          </w:p>
        </w:tc>
        <w:tc>
          <w:tcPr>
            <w:tcW w:w="4536" w:type="dxa"/>
            <w:tcBorders>
              <w:right w:val="nil"/>
            </w:tcBorders>
          </w:tcPr>
          <w:p w14:paraId="5CC9DB54" w14:textId="77777777" w:rsidR="00740C64" w:rsidRPr="004676F5" w:rsidRDefault="00740C64" w:rsidP="00C46B2E">
            <w:pPr>
              <w:jc w:val="both"/>
              <w:rPr>
                <w:lang w:val="de-DE"/>
              </w:rPr>
            </w:pPr>
          </w:p>
          <w:p w14:paraId="46F01263" w14:textId="77777777" w:rsidR="00740C64" w:rsidRPr="004676F5" w:rsidRDefault="00740C64" w:rsidP="00C46B2E">
            <w:pPr>
              <w:jc w:val="both"/>
              <w:rPr>
                <w:lang w:val="de-DE"/>
              </w:rPr>
            </w:pPr>
            <w:r w:rsidRPr="004676F5">
              <w:rPr>
                <w:lang w:val="de-DE"/>
              </w:rPr>
              <w:t>[%</w:t>
            </w:r>
          </w:p>
          <w:p w14:paraId="02FE36E3" w14:textId="15FE8918" w:rsidR="00740C64" w:rsidRPr="004676F5" w:rsidRDefault="005B7A5C" w:rsidP="00C46B2E">
            <w:pPr>
              <w:jc w:val="both"/>
              <w:rPr>
                <w:lang w:val="de-DE"/>
              </w:rPr>
            </w:pPr>
            <w:r w:rsidRPr="004676F5">
              <w:rPr>
                <w:lang w:val="de-DE"/>
              </w:rPr>
              <w:t>- </w:t>
            </w:r>
            <w:r w:rsidR="00740C64" w:rsidRPr="004676F5">
              <w:rPr>
                <w:lang w:val="de-DE"/>
              </w:rPr>
              <w:t>fest oder</w:t>
            </w:r>
          </w:p>
          <w:p w14:paraId="6D8C4A8D" w14:textId="45FB1229" w:rsidR="00740C64" w:rsidRPr="004676F5" w:rsidRDefault="005B7A5C" w:rsidP="00C46B2E">
            <w:pPr>
              <w:jc w:val="both"/>
              <w:rPr>
                <w:lang w:val="de-DE"/>
              </w:rPr>
            </w:pPr>
            <w:r w:rsidRPr="004676F5">
              <w:rPr>
                <w:lang w:val="de-DE"/>
              </w:rPr>
              <w:t>- </w:t>
            </w:r>
            <w:r w:rsidR="00740C64" w:rsidRPr="004676F5">
              <w:rPr>
                <w:lang w:val="de-DE"/>
              </w:rPr>
              <w:t>variabel (mit dem Index oder Referenz</w:t>
            </w:r>
            <w:r w:rsidR="00740C64" w:rsidRPr="004676F5">
              <w:rPr>
                <w:lang w:val="de-DE"/>
              </w:rPr>
              <w:softHyphen/>
              <w:t>zinssatz für den anfänglichen Sollzinssatz)]</w:t>
            </w:r>
          </w:p>
          <w:p w14:paraId="3A14E3E2" w14:textId="7C88047C" w:rsidR="00740C64" w:rsidRPr="004676F5" w:rsidRDefault="005B7A5C" w:rsidP="00C46B2E">
            <w:pPr>
              <w:jc w:val="both"/>
              <w:rPr>
                <w:lang w:val="de-DE"/>
              </w:rPr>
            </w:pPr>
            <w:r w:rsidRPr="004676F5">
              <w:rPr>
                <w:lang w:val="de-DE"/>
              </w:rPr>
              <w:t>- </w:t>
            </w:r>
            <w:r w:rsidR="00740C64" w:rsidRPr="004676F5">
              <w:rPr>
                <w:lang w:val="de-DE"/>
              </w:rPr>
              <w:t>Zeiträume]</w:t>
            </w:r>
          </w:p>
          <w:p w14:paraId="4E772BCB" w14:textId="77777777" w:rsidR="00740C64" w:rsidRPr="004676F5" w:rsidRDefault="00740C64" w:rsidP="00C46B2E">
            <w:pPr>
              <w:jc w:val="both"/>
              <w:rPr>
                <w:lang w:val="de-DE"/>
              </w:rPr>
            </w:pPr>
          </w:p>
        </w:tc>
      </w:tr>
      <w:tr w:rsidR="00740C64" w:rsidRPr="00256F56" w14:paraId="33C6CEB4" w14:textId="77777777" w:rsidTr="00C46B2E">
        <w:tc>
          <w:tcPr>
            <w:tcW w:w="4536" w:type="dxa"/>
            <w:tcBorders>
              <w:left w:val="nil"/>
            </w:tcBorders>
          </w:tcPr>
          <w:p w14:paraId="1251F5B1" w14:textId="77777777" w:rsidR="00740C64" w:rsidRPr="004676F5" w:rsidRDefault="00740C64" w:rsidP="00C46B2E">
            <w:pPr>
              <w:jc w:val="both"/>
              <w:rPr>
                <w:lang w:val="de-DE"/>
              </w:rPr>
            </w:pPr>
          </w:p>
          <w:p w14:paraId="6D4B45CA" w14:textId="77777777" w:rsidR="00740C64" w:rsidRPr="004676F5" w:rsidRDefault="00740C64" w:rsidP="00C46B2E">
            <w:pPr>
              <w:jc w:val="both"/>
              <w:rPr>
                <w:lang w:val="de-DE"/>
              </w:rPr>
            </w:pPr>
            <w:r w:rsidRPr="004676F5">
              <w:rPr>
                <w:lang w:val="de-DE"/>
              </w:rPr>
              <w:t>Effektiver Jahreszins</w:t>
            </w:r>
          </w:p>
          <w:p w14:paraId="7BC142F3" w14:textId="77777777" w:rsidR="00740C64" w:rsidRPr="004676F5" w:rsidRDefault="00740C64" w:rsidP="00C46B2E">
            <w:pPr>
              <w:jc w:val="both"/>
              <w:rPr>
                <w:lang w:val="de-DE"/>
              </w:rPr>
            </w:pPr>
          </w:p>
          <w:p w14:paraId="40326C1F" w14:textId="77777777" w:rsidR="00740C64" w:rsidRPr="004676F5" w:rsidRDefault="00740C64" w:rsidP="00C46B2E">
            <w:pPr>
              <w:jc w:val="both"/>
              <w:rPr>
                <w:lang w:val="de-DE"/>
              </w:rPr>
            </w:pPr>
            <w:r w:rsidRPr="004676F5">
              <w:rPr>
                <w:i/>
                <w:lang w:val="de-DE"/>
              </w:rPr>
              <w:t>Gesamtkosten ausgedrückt als jährlicher Prozentsatz des Gesamtkreditbetrags</w:t>
            </w:r>
          </w:p>
          <w:p w14:paraId="696AC73D" w14:textId="77777777" w:rsidR="00740C64" w:rsidRPr="004676F5" w:rsidRDefault="00740C64" w:rsidP="00C46B2E">
            <w:pPr>
              <w:jc w:val="both"/>
              <w:rPr>
                <w:i/>
                <w:iCs/>
                <w:lang w:val="de-DE"/>
              </w:rPr>
            </w:pPr>
            <w:r w:rsidRPr="004676F5">
              <w:rPr>
                <w:i/>
                <w:lang w:val="de-DE"/>
              </w:rPr>
              <w:t>Diese Angabe hilft Ihnen dabei, unter</w:t>
            </w:r>
            <w:r w:rsidRPr="004676F5">
              <w:rPr>
                <w:i/>
                <w:lang w:val="de-DE"/>
              </w:rPr>
              <w:softHyphen/>
              <w:t>schiedliche Angebote zu vergleichen.</w:t>
            </w:r>
          </w:p>
          <w:p w14:paraId="406A512B" w14:textId="77777777" w:rsidR="00740C64" w:rsidRPr="004676F5" w:rsidRDefault="00740C64" w:rsidP="00C46B2E">
            <w:pPr>
              <w:jc w:val="both"/>
              <w:rPr>
                <w:lang w:val="de-DE"/>
              </w:rPr>
            </w:pPr>
          </w:p>
        </w:tc>
        <w:tc>
          <w:tcPr>
            <w:tcW w:w="4536" w:type="dxa"/>
            <w:tcBorders>
              <w:right w:val="nil"/>
            </w:tcBorders>
          </w:tcPr>
          <w:p w14:paraId="49B8A893" w14:textId="77777777" w:rsidR="00740C64" w:rsidRPr="004676F5" w:rsidRDefault="00740C64" w:rsidP="00C46B2E">
            <w:pPr>
              <w:jc w:val="both"/>
              <w:rPr>
                <w:lang w:val="de-DE"/>
              </w:rPr>
            </w:pPr>
          </w:p>
          <w:p w14:paraId="4C27F3F5" w14:textId="77777777" w:rsidR="00740C64" w:rsidRPr="004676F5" w:rsidRDefault="00740C64" w:rsidP="00C46B2E">
            <w:pPr>
              <w:jc w:val="both"/>
              <w:rPr>
                <w:lang w:val="de-DE"/>
              </w:rPr>
            </w:pPr>
            <w:r w:rsidRPr="004676F5">
              <w:rPr>
                <w:lang w:val="de-DE"/>
              </w:rPr>
              <w:t>[% Repräsentatives Beispiel unter Angabe sämtlicher in die Berechnung des Jahres</w:t>
            </w:r>
            <w:r w:rsidRPr="004676F5">
              <w:rPr>
                <w:lang w:val="de-DE"/>
              </w:rPr>
              <w:softHyphen/>
              <w:t>zinses einfließender Annahmen]</w:t>
            </w:r>
          </w:p>
        </w:tc>
      </w:tr>
      <w:tr w:rsidR="00740C64" w:rsidRPr="00256F56" w14:paraId="053408D0" w14:textId="77777777" w:rsidTr="00C46B2E">
        <w:trPr>
          <w:trHeight w:val="3588"/>
        </w:trPr>
        <w:tc>
          <w:tcPr>
            <w:tcW w:w="4536" w:type="dxa"/>
            <w:tcBorders>
              <w:left w:val="nil"/>
            </w:tcBorders>
          </w:tcPr>
          <w:p w14:paraId="6CF49AEA" w14:textId="77777777" w:rsidR="00740C64" w:rsidRPr="004676F5" w:rsidRDefault="00740C64" w:rsidP="00C46B2E">
            <w:pPr>
              <w:jc w:val="both"/>
              <w:rPr>
                <w:lang w:val="de-DE"/>
              </w:rPr>
            </w:pPr>
          </w:p>
          <w:p w14:paraId="7EE806CE" w14:textId="77777777" w:rsidR="00740C64" w:rsidRPr="004676F5" w:rsidRDefault="00740C64" w:rsidP="00C46B2E">
            <w:pPr>
              <w:jc w:val="both"/>
              <w:rPr>
                <w:lang w:val="de-DE"/>
              </w:rPr>
            </w:pPr>
            <w:r w:rsidRPr="004676F5">
              <w:rPr>
                <w:lang w:val="de-DE"/>
              </w:rPr>
              <w:t>Ist</w:t>
            </w:r>
          </w:p>
          <w:p w14:paraId="2659FA29" w14:textId="77777777" w:rsidR="00740C64" w:rsidRPr="004676F5" w:rsidRDefault="00740C64" w:rsidP="00C46B2E">
            <w:pPr>
              <w:jc w:val="both"/>
              <w:rPr>
                <w:lang w:val="de-DE"/>
              </w:rPr>
            </w:pPr>
          </w:p>
          <w:p w14:paraId="64DEAAF8" w14:textId="5560D77E" w:rsidR="00740C64" w:rsidRPr="004676F5" w:rsidRDefault="005B7A5C" w:rsidP="00C46B2E">
            <w:pPr>
              <w:jc w:val="both"/>
              <w:rPr>
                <w:lang w:val="de-DE"/>
              </w:rPr>
            </w:pPr>
            <w:r w:rsidRPr="004676F5">
              <w:rPr>
                <w:lang w:val="de-DE"/>
              </w:rPr>
              <w:t>- </w:t>
            </w:r>
            <w:r w:rsidR="00740C64" w:rsidRPr="004676F5">
              <w:rPr>
                <w:lang w:val="de-DE"/>
              </w:rPr>
              <w:t>der Abschluss einer Kreditversicherung oder</w:t>
            </w:r>
          </w:p>
          <w:p w14:paraId="4D51CF26" w14:textId="77777777" w:rsidR="00740C64" w:rsidRPr="004676F5" w:rsidRDefault="00740C64" w:rsidP="00C46B2E">
            <w:pPr>
              <w:jc w:val="both"/>
              <w:rPr>
                <w:lang w:val="de-DE"/>
              </w:rPr>
            </w:pPr>
          </w:p>
          <w:p w14:paraId="5684C397" w14:textId="1EF15706" w:rsidR="00740C64" w:rsidRPr="004676F5" w:rsidRDefault="005B7A5C" w:rsidP="00C46B2E">
            <w:pPr>
              <w:jc w:val="both"/>
              <w:rPr>
                <w:lang w:val="de-DE"/>
              </w:rPr>
            </w:pPr>
            <w:r w:rsidRPr="004676F5">
              <w:rPr>
                <w:lang w:val="de-DE"/>
              </w:rPr>
              <w:t>- </w:t>
            </w:r>
            <w:r w:rsidR="00740C64" w:rsidRPr="004676F5">
              <w:rPr>
                <w:lang w:val="de-DE"/>
              </w:rPr>
              <w:t>die Inanspruchnahme einer anderen mit dem Kreditvertrag zusammenhängenden Nebenleistung</w:t>
            </w:r>
          </w:p>
          <w:p w14:paraId="3E504914" w14:textId="77777777" w:rsidR="00740C64" w:rsidRPr="004676F5" w:rsidRDefault="00740C64" w:rsidP="00C46B2E">
            <w:pPr>
              <w:jc w:val="both"/>
              <w:rPr>
                <w:lang w:val="de-DE"/>
              </w:rPr>
            </w:pPr>
          </w:p>
          <w:p w14:paraId="29105A36" w14:textId="77777777" w:rsidR="00740C64" w:rsidRPr="004676F5" w:rsidRDefault="00740C64" w:rsidP="00C46B2E">
            <w:pPr>
              <w:jc w:val="both"/>
              <w:rPr>
                <w:lang w:val="de-DE"/>
              </w:rPr>
            </w:pPr>
            <w:r w:rsidRPr="004676F5">
              <w:rPr>
                <w:lang w:val="de-DE"/>
              </w:rPr>
              <w:t>zwingende Voraussetzung dafür, dass der Kredit überhaupt oder nach den vorge</w:t>
            </w:r>
            <w:r w:rsidRPr="004676F5">
              <w:rPr>
                <w:lang w:val="de-DE"/>
              </w:rPr>
              <w:softHyphen/>
              <w:t>sehe</w:t>
            </w:r>
            <w:r w:rsidRPr="004676F5">
              <w:rPr>
                <w:lang w:val="de-DE"/>
              </w:rPr>
              <w:softHyphen/>
              <w:t>nen Vertragsbedingungen gewährt wird?</w:t>
            </w:r>
          </w:p>
          <w:p w14:paraId="73618A34" w14:textId="77777777" w:rsidR="00740C64" w:rsidRPr="004676F5" w:rsidRDefault="00740C64" w:rsidP="00C46B2E">
            <w:pPr>
              <w:jc w:val="both"/>
              <w:rPr>
                <w:i/>
                <w:lang w:val="de-DE"/>
              </w:rPr>
            </w:pPr>
          </w:p>
          <w:p w14:paraId="7FFFDCC1" w14:textId="77777777" w:rsidR="00740C64" w:rsidRPr="004676F5" w:rsidRDefault="00740C64" w:rsidP="00C46B2E">
            <w:pPr>
              <w:jc w:val="both"/>
              <w:rPr>
                <w:i/>
                <w:iCs/>
                <w:lang w:val="de-DE"/>
              </w:rPr>
            </w:pPr>
            <w:r w:rsidRPr="004676F5">
              <w:rPr>
                <w:i/>
                <w:lang w:val="de-DE"/>
              </w:rPr>
              <w:t>Falls der Kreditgeber die Kosten dieser Dienstleistungen nicht kennt, sind sie nicht im effektiven Jahreszins enthalten.</w:t>
            </w:r>
          </w:p>
          <w:p w14:paraId="15C4DFA9" w14:textId="77777777" w:rsidR="00740C64" w:rsidRPr="004676F5" w:rsidRDefault="00740C64" w:rsidP="00C46B2E">
            <w:pPr>
              <w:jc w:val="both"/>
              <w:rPr>
                <w:lang w:val="de-DE"/>
              </w:rPr>
            </w:pPr>
          </w:p>
        </w:tc>
        <w:tc>
          <w:tcPr>
            <w:tcW w:w="4536" w:type="dxa"/>
            <w:tcBorders>
              <w:right w:val="nil"/>
            </w:tcBorders>
          </w:tcPr>
          <w:p w14:paraId="3CC52080" w14:textId="77777777" w:rsidR="00740C64" w:rsidRPr="004676F5" w:rsidRDefault="00740C64" w:rsidP="00C46B2E">
            <w:pPr>
              <w:jc w:val="both"/>
              <w:rPr>
                <w:lang w:val="de-DE"/>
              </w:rPr>
            </w:pPr>
          </w:p>
          <w:p w14:paraId="717C9AA0" w14:textId="77777777" w:rsidR="00740C64" w:rsidRPr="004676F5" w:rsidRDefault="00740C64" w:rsidP="00C46B2E">
            <w:pPr>
              <w:jc w:val="both"/>
              <w:rPr>
                <w:lang w:val="de-DE"/>
              </w:rPr>
            </w:pPr>
          </w:p>
          <w:p w14:paraId="5444DAF1" w14:textId="77777777" w:rsidR="00740C64" w:rsidRPr="004676F5" w:rsidRDefault="00740C64" w:rsidP="00C46B2E">
            <w:pPr>
              <w:jc w:val="both"/>
              <w:rPr>
                <w:lang w:val="de-DE"/>
              </w:rPr>
            </w:pPr>
          </w:p>
          <w:p w14:paraId="70904243" w14:textId="77777777" w:rsidR="00740C64" w:rsidRPr="004676F5" w:rsidRDefault="00740C64" w:rsidP="00C46B2E">
            <w:pPr>
              <w:jc w:val="both"/>
              <w:rPr>
                <w:lang w:val="de-DE"/>
              </w:rPr>
            </w:pPr>
          </w:p>
          <w:p w14:paraId="694B0810" w14:textId="77777777" w:rsidR="00740C64" w:rsidRPr="004676F5" w:rsidRDefault="00740C64" w:rsidP="00C46B2E">
            <w:pPr>
              <w:jc w:val="both"/>
              <w:rPr>
                <w:lang w:val="de-DE"/>
              </w:rPr>
            </w:pPr>
          </w:p>
          <w:p w14:paraId="7E81343C" w14:textId="77777777" w:rsidR="00740C64" w:rsidRPr="004676F5" w:rsidRDefault="00740C64" w:rsidP="00C46B2E">
            <w:pPr>
              <w:jc w:val="both"/>
              <w:rPr>
                <w:lang w:val="de-DE"/>
              </w:rPr>
            </w:pPr>
            <w:r w:rsidRPr="004676F5">
              <w:rPr>
                <w:lang w:val="de-DE"/>
              </w:rPr>
              <w:t>Ja/nein [Falls ja, Art der Versicherung]</w:t>
            </w:r>
          </w:p>
          <w:p w14:paraId="3DBDED9D" w14:textId="77777777" w:rsidR="00740C64" w:rsidRPr="004676F5" w:rsidRDefault="00740C64" w:rsidP="00C46B2E">
            <w:pPr>
              <w:jc w:val="both"/>
              <w:rPr>
                <w:lang w:val="de-DE"/>
              </w:rPr>
            </w:pPr>
          </w:p>
          <w:p w14:paraId="3A5177C7" w14:textId="77777777" w:rsidR="00740C64" w:rsidRPr="004676F5" w:rsidRDefault="00740C64" w:rsidP="00C46B2E">
            <w:pPr>
              <w:jc w:val="both"/>
              <w:rPr>
                <w:lang w:val="de-DE"/>
              </w:rPr>
            </w:pPr>
            <w:r w:rsidRPr="004676F5">
              <w:rPr>
                <w:lang w:val="de-DE"/>
              </w:rPr>
              <w:t>Ja/nein [Falls ja, Art der Nebenleistung]</w:t>
            </w:r>
          </w:p>
          <w:p w14:paraId="626CDBAB" w14:textId="77777777" w:rsidR="00740C64" w:rsidRPr="004676F5" w:rsidRDefault="00740C64" w:rsidP="00C46B2E">
            <w:pPr>
              <w:jc w:val="both"/>
              <w:rPr>
                <w:lang w:val="de-DE"/>
              </w:rPr>
            </w:pPr>
            <w:r w:rsidRPr="004676F5">
              <w:rPr>
                <w:lang w:val="de-DE"/>
              </w:rPr>
              <w:t> </w:t>
            </w:r>
          </w:p>
        </w:tc>
      </w:tr>
      <w:tr w:rsidR="00740C64" w:rsidRPr="00256F56" w14:paraId="618A22C0" w14:textId="77777777" w:rsidTr="00C46B2E">
        <w:tc>
          <w:tcPr>
            <w:tcW w:w="4536" w:type="dxa"/>
            <w:tcBorders>
              <w:left w:val="nil"/>
            </w:tcBorders>
          </w:tcPr>
          <w:p w14:paraId="3842D74C" w14:textId="77777777" w:rsidR="00740C64" w:rsidRPr="004676F5" w:rsidRDefault="00740C64" w:rsidP="00C46B2E">
            <w:pPr>
              <w:jc w:val="both"/>
              <w:rPr>
                <w:lang w:val="de-DE"/>
              </w:rPr>
            </w:pPr>
          </w:p>
          <w:p w14:paraId="774A603D" w14:textId="77777777" w:rsidR="00740C64" w:rsidRPr="004676F5" w:rsidRDefault="00740C64" w:rsidP="00C46B2E">
            <w:pPr>
              <w:jc w:val="both"/>
              <w:rPr>
                <w:lang w:val="de-DE"/>
              </w:rPr>
            </w:pPr>
            <w:r w:rsidRPr="004676F5">
              <w:rPr>
                <w:lang w:val="de-DE"/>
              </w:rPr>
              <w:t>Kosten im Zusammenhang mit dem Kredit</w:t>
            </w:r>
          </w:p>
          <w:p w14:paraId="7B5AF7FF" w14:textId="77777777" w:rsidR="00740C64" w:rsidRPr="004676F5" w:rsidRDefault="00740C64" w:rsidP="00C46B2E">
            <w:pPr>
              <w:jc w:val="both"/>
              <w:rPr>
                <w:lang w:val="de-DE"/>
              </w:rPr>
            </w:pPr>
          </w:p>
        </w:tc>
        <w:tc>
          <w:tcPr>
            <w:tcW w:w="4536" w:type="dxa"/>
            <w:tcBorders>
              <w:right w:val="nil"/>
            </w:tcBorders>
          </w:tcPr>
          <w:p w14:paraId="6BE8EAF1" w14:textId="77777777" w:rsidR="00740C64" w:rsidRPr="004676F5" w:rsidRDefault="00740C64" w:rsidP="00C46B2E">
            <w:pPr>
              <w:jc w:val="both"/>
              <w:rPr>
                <w:lang w:val="de-DE"/>
              </w:rPr>
            </w:pPr>
            <w:r w:rsidRPr="004676F5">
              <w:rPr>
                <w:lang w:val="de-DE"/>
              </w:rPr>
              <w:t> </w:t>
            </w:r>
          </w:p>
        </w:tc>
      </w:tr>
      <w:tr w:rsidR="00740C64" w:rsidRPr="00256F56" w14:paraId="3B063B2E" w14:textId="77777777" w:rsidTr="00C46B2E">
        <w:trPr>
          <w:trHeight w:val="1380"/>
        </w:trPr>
        <w:tc>
          <w:tcPr>
            <w:tcW w:w="4536" w:type="dxa"/>
            <w:tcBorders>
              <w:left w:val="nil"/>
            </w:tcBorders>
          </w:tcPr>
          <w:p w14:paraId="0B63FBB1" w14:textId="77777777" w:rsidR="00740C64" w:rsidRPr="004676F5" w:rsidRDefault="00740C64" w:rsidP="00C46B2E">
            <w:pPr>
              <w:jc w:val="both"/>
              <w:rPr>
                <w:lang w:val="de-DE"/>
              </w:rPr>
            </w:pPr>
          </w:p>
          <w:p w14:paraId="15BB63E9" w14:textId="77777777" w:rsidR="00740C64" w:rsidRPr="004676F5" w:rsidRDefault="00740C64" w:rsidP="00C46B2E">
            <w:pPr>
              <w:jc w:val="both"/>
              <w:rPr>
                <w:lang w:val="de-DE"/>
              </w:rPr>
            </w:pPr>
            <w:r w:rsidRPr="004676F5">
              <w:rPr>
                <w:lang w:val="de-DE"/>
              </w:rPr>
              <w:t>(falls zutreffend)</w:t>
            </w:r>
          </w:p>
          <w:p w14:paraId="50F4945F" w14:textId="77777777" w:rsidR="00740C64" w:rsidRPr="004676F5" w:rsidRDefault="00740C64" w:rsidP="00C46B2E">
            <w:pPr>
              <w:jc w:val="both"/>
              <w:rPr>
                <w:lang w:val="de-DE"/>
              </w:rPr>
            </w:pPr>
          </w:p>
          <w:p w14:paraId="51ECD93A" w14:textId="77777777" w:rsidR="00740C64" w:rsidRPr="004676F5" w:rsidRDefault="00740C64" w:rsidP="00C46B2E">
            <w:pPr>
              <w:jc w:val="both"/>
              <w:rPr>
                <w:lang w:val="de-DE"/>
              </w:rPr>
            </w:pPr>
            <w:r w:rsidRPr="004676F5">
              <w:rPr>
                <w:lang w:val="de-DE"/>
              </w:rPr>
              <w:t>Die Führung eines oder mehrerer Konten ist für die Buchung der Zahlungsvorgänge und der in Anspruch genommenen Kreditbeträge erforderlich.</w:t>
            </w:r>
          </w:p>
        </w:tc>
        <w:tc>
          <w:tcPr>
            <w:tcW w:w="4536" w:type="dxa"/>
            <w:tcBorders>
              <w:right w:val="nil"/>
            </w:tcBorders>
          </w:tcPr>
          <w:p w14:paraId="06566250" w14:textId="77777777" w:rsidR="00740C64" w:rsidRPr="004676F5" w:rsidRDefault="00740C64" w:rsidP="00C46B2E">
            <w:pPr>
              <w:jc w:val="both"/>
              <w:rPr>
                <w:lang w:val="de-DE"/>
              </w:rPr>
            </w:pPr>
          </w:p>
        </w:tc>
      </w:tr>
      <w:tr w:rsidR="00740C64" w:rsidRPr="00256F56" w14:paraId="65E7677D" w14:textId="77777777" w:rsidTr="00C46B2E">
        <w:trPr>
          <w:trHeight w:val="1104"/>
        </w:trPr>
        <w:tc>
          <w:tcPr>
            <w:tcW w:w="4536" w:type="dxa"/>
            <w:tcBorders>
              <w:left w:val="nil"/>
            </w:tcBorders>
          </w:tcPr>
          <w:p w14:paraId="79191C50" w14:textId="77777777" w:rsidR="00740C64" w:rsidRPr="004676F5" w:rsidRDefault="00740C64" w:rsidP="00C46B2E">
            <w:pPr>
              <w:jc w:val="both"/>
              <w:rPr>
                <w:lang w:val="de-DE"/>
              </w:rPr>
            </w:pPr>
          </w:p>
          <w:p w14:paraId="536029A3" w14:textId="77777777" w:rsidR="00740C64" w:rsidRPr="004676F5" w:rsidRDefault="00740C64" w:rsidP="00C46B2E">
            <w:pPr>
              <w:jc w:val="both"/>
              <w:rPr>
                <w:lang w:val="de-DE"/>
              </w:rPr>
            </w:pPr>
            <w:r w:rsidRPr="004676F5">
              <w:rPr>
                <w:lang w:val="de-DE"/>
              </w:rPr>
              <w:t>(falls zutreffend)</w:t>
            </w:r>
          </w:p>
          <w:p w14:paraId="2B2A46BB" w14:textId="77777777" w:rsidR="00740C64" w:rsidRPr="004676F5" w:rsidRDefault="00740C64" w:rsidP="00C46B2E">
            <w:pPr>
              <w:jc w:val="both"/>
              <w:rPr>
                <w:lang w:val="de-DE"/>
              </w:rPr>
            </w:pPr>
          </w:p>
          <w:p w14:paraId="0FE838B9" w14:textId="77777777" w:rsidR="00740C64" w:rsidRPr="004676F5" w:rsidRDefault="00740C64" w:rsidP="00C46B2E">
            <w:pPr>
              <w:jc w:val="both"/>
              <w:rPr>
                <w:lang w:val="de-DE"/>
              </w:rPr>
            </w:pPr>
            <w:r w:rsidRPr="004676F5">
              <w:rPr>
                <w:lang w:val="de-DE"/>
              </w:rPr>
              <w:t>Höhe der Kosten für die Verwendung eines bestimmten Zahlungsmittels (z. B. einer Kredit</w:t>
            </w:r>
            <w:r w:rsidRPr="004676F5">
              <w:rPr>
                <w:lang w:val="de-DE"/>
              </w:rPr>
              <w:softHyphen/>
              <w:t>karte)</w:t>
            </w:r>
          </w:p>
          <w:p w14:paraId="5AD4BAF1" w14:textId="77777777" w:rsidR="00740C64" w:rsidRPr="004676F5" w:rsidRDefault="00740C64" w:rsidP="00C46B2E">
            <w:pPr>
              <w:jc w:val="both"/>
              <w:rPr>
                <w:lang w:val="de-DE"/>
              </w:rPr>
            </w:pPr>
          </w:p>
        </w:tc>
        <w:tc>
          <w:tcPr>
            <w:tcW w:w="4536" w:type="dxa"/>
            <w:tcBorders>
              <w:right w:val="nil"/>
            </w:tcBorders>
          </w:tcPr>
          <w:p w14:paraId="2E14900F" w14:textId="77777777" w:rsidR="00740C64" w:rsidRPr="004676F5" w:rsidRDefault="00740C64" w:rsidP="00C46B2E">
            <w:pPr>
              <w:jc w:val="both"/>
              <w:rPr>
                <w:lang w:val="de-DE"/>
              </w:rPr>
            </w:pPr>
          </w:p>
        </w:tc>
      </w:tr>
      <w:tr w:rsidR="00740C64" w:rsidRPr="00256F56" w14:paraId="1B9247B1" w14:textId="77777777" w:rsidTr="00C46B2E">
        <w:trPr>
          <w:trHeight w:val="828"/>
        </w:trPr>
        <w:tc>
          <w:tcPr>
            <w:tcW w:w="4536" w:type="dxa"/>
            <w:tcBorders>
              <w:left w:val="nil"/>
            </w:tcBorders>
          </w:tcPr>
          <w:p w14:paraId="797A10A8" w14:textId="77777777" w:rsidR="00740C64" w:rsidRPr="004676F5" w:rsidRDefault="00740C64" w:rsidP="00C46B2E">
            <w:pPr>
              <w:jc w:val="both"/>
              <w:rPr>
                <w:lang w:val="de-DE"/>
              </w:rPr>
            </w:pPr>
          </w:p>
          <w:p w14:paraId="5ADDEC99" w14:textId="77777777" w:rsidR="00740C64" w:rsidRPr="004676F5" w:rsidRDefault="00740C64" w:rsidP="00C46B2E">
            <w:pPr>
              <w:jc w:val="both"/>
              <w:rPr>
                <w:lang w:val="de-DE"/>
              </w:rPr>
            </w:pPr>
            <w:r w:rsidRPr="004676F5">
              <w:rPr>
                <w:lang w:val="de-DE"/>
              </w:rPr>
              <w:t>(falls zutreffend)</w:t>
            </w:r>
          </w:p>
          <w:p w14:paraId="0ECA9542" w14:textId="77777777" w:rsidR="00740C64" w:rsidRPr="004676F5" w:rsidRDefault="00740C64" w:rsidP="00C46B2E">
            <w:pPr>
              <w:jc w:val="both"/>
              <w:rPr>
                <w:lang w:val="de-DE"/>
              </w:rPr>
            </w:pPr>
          </w:p>
          <w:p w14:paraId="0CCCB921" w14:textId="77777777" w:rsidR="00740C64" w:rsidRPr="004676F5" w:rsidRDefault="00740C64" w:rsidP="00C46B2E">
            <w:pPr>
              <w:jc w:val="both"/>
              <w:rPr>
                <w:lang w:val="de-DE"/>
              </w:rPr>
            </w:pPr>
            <w:r w:rsidRPr="004676F5">
              <w:rPr>
                <w:lang w:val="de-DE"/>
              </w:rPr>
              <w:t>Sonstige Kosten im Zusammenhang mit dem Kreditvertrag</w:t>
            </w:r>
          </w:p>
          <w:p w14:paraId="24E6EAA7" w14:textId="77777777" w:rsidR="00740C64" w:rsidRPr="004676F5" w:rsidRDefault="00740C64" w:rsidP="00C46B2E">
            <w:pPr>
              <w:jc w:val="both"/>
              <w:rPr>
                <w:lang w:val="de-DE"/>
              </w:rPr>
            </w:pPr>
          </w:p>
        </w:tc>
        <w:tc>
          <w:tcPr>
            <w:tcW w:w="4536" w:type="dxa"/>
            <w:tcBorders>
              <w:right w:val="nil"/>
            </w:tcBorders>
          </w:tcPr>
          <w:p w14:paraId="49C4BCF8" w14:textId="77777777" w:rsidR="00740C64" w:rsidRPr="004676F5" w:rsidRDefault="00740C64" w:rsidP="00C46B2E">
            <w:pPr>
              <w:jc w:val="both"/>
              <w:rPr>
                <w:lang w:val="de-DE"/>
              </w:rPr>
            </w:pPr>
          </w:p>
        </w:tc>
      </w:tr>
      <w:tr w:rsidR="00740C64" w:rsidRPr="00256F56" w14:paraId="47F7CFE0" w14:textId="77777777" w:rsidTr="00C46B2E">
        <w:trPr>
          <w:trHeight w:val="1104"/>
        </w:trPr>
        <w:tc>
          <w:tcPr>
            <w:tcW w:w="4536" w:type="dxa"/>
            <w:tcBorders>
              <w:left w:val="nil"/>
            </w:tcBorders>
          </w:tcPr>
          <w:p w14:paraId="55D523B9" w14:textId="77777777" w:rsidR="00740C64" w:rsidRPr="004676F5" w:rsidRDefault="00740C64" w:rsidP="00C46B2E">
            <w:pPr>
              <w:jc w:val="both"/>
              <w:rPr>
                <w:lang w:val="de-DE"/>
              </w:rPr>
            </w:pPr>
          </w:p>
          <w:p w14:paraId="6CC8428D" w14:textId="77777777" w:rsidR="00740C64" w:rsidRPr="004676F5" w:rsidRDefault="00740C64" w:rsidP="00C46B2E">
            <w:pPr>
              <w:jc w:val="both"/>
              <w:rPr>
                <w:lang w:val="de-DE"/>
              </w:rPr>
            </w:pPr>
            <w:r w:rsidRPr="004676F5">
              <w:rPr>
                <w:lang w:val="de-DE"/>
              </w:rPr>
              <w:t>(falls zutreffend)</w:t>
            </w:r>
          </w:p>
          <w:p w14:paraId="59AE0CF6" w14:textId="77777777" w:rsidR="00740C64" w:rsidRPr="004676F5" w:rsidRDefault="00740C64" w:rsidP="00C46B2E">
            <w:pPr>
              <w:jc w:val="both"/>
              <w:rPr>
                <w:lang w:val="de-DE"/>
              </w:rPr>
            </w:pPr>
          </w:p>
          <w:p w14:paraId="05342F62" w14:textId="77777777" w:rsidR="00740C64" w:rsidRPr="004676F5" w:rsidRDefault="00740C64" w:rsidP="00C46B2E">
            <w:pPr>
              <w:jc w:val="both"/>
              <w:rPr>
                <w:lang w:val="de-DE"/>
              </w:rPr>
            </w:pPr>
            <w:r w:rsidRPr="004676F5">
              <w:rPr>
                <w:lang w:val="de-DE"/>
              </w:rPr>
              <w:t>Bedingungen, unter denen die vorstehend genannten Kosten im Zusammenhang mit dem Kreditvertrag geändert werden können</w:t>
            </w:r>
          </w:p>
          <w:p w14:paraId="3E0A794D" w14:textId="77777777" w:rsidR="00740C64" w:rsidRPr="004676F5" w:rsidRDefault="00740C64" w:rsidP="00C46B2E">
            <w:pPr>
              <w:jc w:val="both"/>
              <w:rPr>
                <w:lang w:val="de-DE"/>
              </w:rPr>
            </w:pPr>
          </w:p>
        </w:tc>
        <w:tc>
          <w:tcPr>
            <w:tcW w:w="4536" w:type="dxa"/>
            <w:tcBorders>
              <w:right w:val="nil"/>
            </w:tcBorders>
          </w:tcPr>
          <w:p w14:paraId="32DC4961" w14:textId="77777777" w:rsidR="00740C64" w:rsidRPr="004676F5" w:rsidRDefault="00740C64" w:rsidP="00C46B2E">
            <w:pPr>
              <w:jc w:val="both"/>
              <w:rPr>
                <w:lang w:val="de-DE"/>
              </w:rPr>
            </w:pPr>
          </w:p>
        </w:tc>
      </w:tr>
      <w:tr w:rsidR="00740C64" w:rsidRPr="004676F5" w14:paraId="4B1D34E2" w14:textId="77777777" w:rsidTr="00C46B2E">
        <w:trPr>
          <w:trHeight w:val="552"/>
        </w:trPr>
        <w:tc>
          <w:tcPr>
            <w:tcW w:w="4536" w:type="dxa"/>
            <w:tcBorders>
              <w:left w:val="nil"/>
            </w:tcBorders>
          </w:tcPr>
          <w:p w14:paraId="08EEA2B7" w14:textId="77777777" w:rsidR="00740C64" w:rsidRPr="004676F5" w:rsidRDefault="00740C64" w:rsidP="00C46B2E">
            <w:pPr>
              <w:jc w:val="both"/>
              <w:rPr>
                <w:lang w:val="de-DE"/>
              </w:rPr>
            </w:pPr>
          </w:p>
          <w:p w14:paraId="45E4EDE5" w14:textId="77777777" w:rsidR="00740C64" w:rsidRPr="004676F5" w:rsidRDefault="00740C64" w:rsidP="00C46B2E">
            <w:pPr>
              <w:jc w:val="both"/>
              <w:rPr>
                <w:lang w:val="de-DE"/>
              </w:rPr>
            </w:pPr>
            <w:r w:rsidRPr="004676F5">
              <w:rPr>
                <w:lang w:val="de-DE"/>
              </w:rPr>
              <w:t>(falls zutreffend)</w:t>
            </w:r>
          </w:p>
          <w:p w14:paraId="7A87327E" w14:textId="77777777" w:rsidR="00740C64" w:rsidRPr="004676F5" w:rsidRDefault="00740C64" w:rsidP="00C46B2E">
            <w:pPr>
              <w:jc w:val="both"/>
              <w:rPr>
                <w:lang w:val="de-DE"/>
              </w:rPr>
            </w:pPr>
          </w:p>
          <w:p w14:paraId="2FA916D7" w14:textId="77777777" w:rsidR="00740C64" w:rsidRPr="004676F5" w:rsidRDefault="00740C64" w:rsidP="00C46B2E">
            <w:pPr>
              <w:jc w:val="both"/>
              <w:rPr>
                <w:lang w:val="de-DE"/>
              </w:rPr>
            </w:pPr>
            <w:r w:rsidRPr="004676F5">
              <w:rPr>
                <w:lang w:val="de-DE"/>
              </w:rPr>
              <w:t>Notargebühren</w:t>
            </w:r>
          </w:p>
          <w:p w14:paraId="04DE14BE" w14:textId="77777777" w:rsidR="00740C64" w:rsidRPr="004676F5" w:rsidRDefault="00740C64" w:rsidP="00C46B2E">
            <w:pPr>
              <w:jc w:val="both"/>
              <w:rPr>
                <w:lang w:val="de-DE"/>
              </w:rPr>
            </w:pPr>
          </w:p>
        </w:tc>
        <w:tc>
          <w:tcPr>
            <w:tcW w:w="4536" w:type="dxa"/>
            <w:tcBorders>
              <w:right w:val="nil"/>
            </w:tcBorders>
          </w:tcPr>
          <w:p w14:paraId="56CE804F" w14:textId="77777777" w:rsidR="00740C64" w:rsidRPr="004676F5" w:rsidRDefault="00740C64" w:rsidP="00C46B2E">
            <w:pPr>
              <w:jc w:val="both"/>
              <w:rPr>
                <w:lang w:val="de-DE"/>
              </w:rPr>
            </w:pPr>
          </w:p>
        </w:tc>
      </w:tr>
      <w:tr w:rsidR="00740C64" w:rsidRPr="00256F56" w14:paraId="3A415BCC" w14:textId="77777777" w:rsidTr="00C46B2E">
        <w:trPr>
          <w:trHeight w:val="1380"/>
        </w:trPr>
        <w:tc>
          <w:tcPr>
            <w:tcW w:w="4536" w:type="dxa"/>
            <w:tcBorders>
              <w:left w:val="nil"/>
            </w:tcBorders>
          </w:tcPr>
          <w:p w14:paraId="3A82A84E" w14:textId="77777777" w:rsidR="00740C64" w:rsidRPr="004676F5" w:rsidRDefault="00740C64" w:rsidP="00C46B2E">
            <w:pPr>
              <w:jc w:val="both"/>
              <w:rPr>
                <w:lang w:val="de-DE"/>
              </w:rPr>
            </w:pPr>
          </w:p>
          <w:p w14:paraId="417F88E2" w14:textId="77777777" w:rsidR="00740C64" w:rsidRPr="004676F5" w:rsidRDefault="00740C64" w:rsidP="00C46B2E">
            <w:pPr>
              <w:jc w:val="both"/>
              <w:rPr>
                <w:lang w:val="de-DE"/>
              </w:rPr>
            </w:pPr>
            <w:r w:rsidRPr="004676F5">
              <w:rPr>
                <w:lang w:val="de-DE"/>
              </w:rPr>
              <w:t>Kosten bei Zahlungsverzug</w:t>
            </w:r>
          </w:p>
          <w:p w14:paraId="54B32A0E" w14:textId="77777777" w:rsidR="00740C64" w:rsidRPr="004676F5" w:rsidRDefault="00740C64" w:rsidP="00C46B2E">
            <w:pPr>
              <w:jc w:val="both"/>
              <w:rPr>
                <w:lang w:val="de-DE"/>
              </w:rPr>
            </w:pPr>
          </w:p>
          <w:p w14:paraId="786140C3" w14:textId="77777777" w:rsidR="00740C64" w:rsidRPr="004676F5" w:rsidRDefault="00740C64" w:rsidP="00C46B2E">
            <w:pPr>
              <w:jc w:val="both"/>
              <w:rPr>
                <w:i/>
                <w:iCs/>
                <w:lang w:val="de-DE"/>
              </w:rPr>
            </w:pPr>
            <w:r w:rsidRPr="004676F5">
              <w:rPr>
                <w:i/>
                <w:lang w:val="de-DE"/>
              </w:rPr>
              <w:t>Ausbleibende Zahlungen können schwer</w:t>
            </w:r>
            <w:r w:rsidRPr="004676F5">
              <w:rPr>
                <w:i/>
                <w:lang w:val="de-DE"/>
              </w:rPr>
              <w:softHyphen/>
              <w:t>wiegende Folgen für Sie haben (z. B. Zwangsverkauf) und die Erlangung eines Kredits erschweren.</w:t>
            </w:r>
          </w:p>
          <w:p w14:paraId="45FE6556" w14:textId="77777777" w:rsidR="00740C64" w:rsidRPr="004676F5" w:rsidRDefault="00740C64" w:rsidP="00C46B2E">
            <w:pPr>
              <w:jc w:val="both"/>
              <w:rPr>
                <w:lang w:val="de-DE"/>
              </w:rPr>
            </w:pPr>
          </w:p>
        </w:tc>
        <w:tc>
          <w:tcPr>
            <w:tcW w:w="4536" w:type="dxa"/>
            <w:tcBorders>
              <w:right w:val="nil"/>
            </w:tcBorders>
          </w:tcPr>
          <w:p w14:paraId="4B826EAE" w14:textId="77777777" w:rsidR="00740C64" w:rsidRPr="004676F5" w:rsidRDefault="00740C64" w:rsidP="00C46B2E">
            <w:pPr>
              <w:jc w:val="both"/>
              <w:rPr>
                <w:lang w:val="de-DE"/>
              </w:rPr>
            </w:pPr>
          </w:p>
          <w:p w14:paraId="65DCEC44" w14:textId="77777777" w:rsidR="00740C64" w:rsidRPr="004676F5" w:rsidRDefault="00740C64" w:rsidP="00C46B2E">
            <w:pPr>
              <w:jc w:val="both"/>
              <w:rPr>
                <w:lang w:val="de-DE"/>
              </w:rPr>
            </w:pPr>
          </w:p>
          <w:p w14:paraId="6760CB7C" w14:textId="77777777" w:rsidR="00740C64" w:rsidRPr="004676F5" w:rsidRDefault="00740C64" w:rsidP="00C46B2E">
            <w:pPr>
              <w:jc w:val="both"/>
              <w:rPr>
                <w:lang w:val="de-DE"/>
              </w:rPr>
            </w:pPr>
          </w:p>
          <w:p w14:paraId="076B4BA3" w14:textId="77777777" w:rsidR="00740C64" w:rsidRPr="004676F5" w:rsidRDefault="00740C64" w:rsidP="00C46B2E">
            <w:pPr>
              <w:jc w:val="both"/>
              <w:rPr>
                <w:lang w:val="de-DE"/>
              </w:rPr>
            </w:pPr>
            <w:r w:rsidRPr="004676F5">
              <w:rPr>
                <w:lang w:val="de-DE"/>
              </w:rPr>
              <w:t>Für ausbleibende Zahlungen wird Ihnen [... (anwendbarer Zinssatz, Art und Weise seiner etwaigen Anpassung und gegebenen</w:t>
            </w:r>
            <w:r w:rsidRPr="004676F5">
              <w:rPr>
                <w:lang w:val="de-DE"/>
              </w:rPr>
              <w:softHyphen/>
              <w:t>falls Verzugskosten)] berechnet.</w:t>
            </w:r>
          </w:p>
        </w:tc>
      </w:tr>
    </w:tbl>
    <w:p w14:paraId="786B61B2" w14:textId="77777777" w:rsidR="00740C64" w:rsidRPr="004676F5" w:rsidRDefault="00740C64" w:rsidP="00740C64">
      <w:pPr>
        <w:jc w:val="both"/>
        <w:rPr>
          <w:lang w:val="de-DE"/>
        </w:rPr>
      </w:pPr>
    </w:p>
    <w:p w14:paraId="4A8FD988" w14:textId="77777777" w:rsidR="00740C64" w:rsidRPr="004676F5" w:rsidRDefault="00740C64" w:rsidP="00740C64">
      <w:pPr>
        <w:jc w:val="both"/>
        <w:rPr>
          <w:lang w:val="de-DE"/>
        </w:rPr>
      </w:pPr>
    </w:p>
    <w:p w14:paraId="0B991797" w14:textId="77777777" w:rsidR="00740C64" w:rsidRPr="004676F5" w:rsidRDefault="00740C64" w:rsidP="00740C64">
      <w:pPr>
        <w:rPr>
          <w:b/>
          <w:lang w:val="de-DE"/>
        </w:rPr>
      </w:pPr>
      <w:r w:rsidRPr="004676F5">
        <w:rPr>
          <w:b/>
          <w:lang w:val="de-DE"/>
        </w:rPr>
        <w:t>4. Andere wichtige rechtliche Aspekte</w:t>
      </w:r>
    </w:p>
    <w:p w14:paraId="0B2AC5E3" w14:textId="77777777" w:rsidR="00740C64" w:rsidRPr="004676F5" w:rsidRDefault="00740C64" w:rsidP="00740C64">
      <w:pPr>
        <w:jc w:val="both"/>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4676F5" w14:paraId="07994A2C" w14:textId="77777777" w:rsidTr="00C46B2E">
        <w:trPr>
          <w:trHeight w:val="1119"/>
        </w:trPr>
        <w:tc>
          <w:tcPr>
            <w:tcW w:w="4536" w:type="dxa"/>
            <w:tcBorders>
              <w:left w:val="nil"/>
            </w:tcBorders>
          </w:tcPr>
          <w:p w14:paraId="02F65AA1" w14:textId="77777777" w:rsidR="00740C64" w:rsidRPr="004676F5" w:rsidRDefault="00740C64" w:rsidP="00C46B2E">
            <w:pPr>
              <w:jc w:val="both"/>
              <w:rPr>
                <w:lang w:val="de-DE"/>
              </w:rPr>
            </w:pPr>
          </w:p>
          <w:p w14:paraId="3FFF78B4" w14:textId="77777777" w:rsidR="00740C64" w:rsidRPr="004676F5" w:rsidRDefault="00740C64" w:rsidP="00C46B2E">
            <w:pPr>
              <w:jc w:val="both"/>
              <w:rPr>
                <w:b/>
                <w:lang w:val="de-DE"/>
              </w:rPr>
            </w:pPr>
            <w:r w:rsidRPr="004676F5">
              <w:rPr>
                <w:b/>
                <w:lang w:val="de-DE"/>
              </w:rPr>
              <w:t>Widerrufsrecht</w:t>
            </w:r>
          </w:p>
          <w:p w14:paraId="46C65D4C" w14:textId="77777777" w:rsidR="00740C64" w:rsidRPr="004676F5" w:rsidRDefault="00740C64" w:rsidP="00C46B2E">
            <w:pPr>
              <w:jc w:val="both"/>
              <w:rPr>
                <w:lang w:val="de-DE"/>
              </w:rPr>
            </w:pPr>
          </w:p>
          <w:p w14:paraId="42F5F72A" w14:textId="77777777" w:rsidR="00740C64" w:rsidRPr="004676F5" w:rsidRDefault="00740C64" w:rsidP="00C46B2E">
            <w:pPr>
              <w:jc w:val="both"/>
              <w:rPr>
                <w:i/>
                <w:iCs/>
                <w:lang w:val="de-DE"/>
              </w:rPr>
            </w:pPr>
            <w:r w:rsidRPr="004676F5">
              <w:rPr>
                <w:i/>
                <w:lang w:val="de-DE"/>
              </w:rPr>
              <w:t>Sie haben das Recht, innerhalb von 14 Ka</w:t>
            </w:r>
            <w:r w:rsidRPr="004676F5">
              <w:rPr>
                <w:i/>
                <w:lang w:val="de-DE"/>
              </w:rPr>
              <w:softHyphen/>
              <w:t>len</w:t>
            </w:r>
            <w:r w:rsidRPr="004676F5">
              <w:rPr>
                <w:i/>
                <w:lang w:val="de-DE"/>
              </w:rPr>
              <w:softHyphen/>
              <w:t>der</w:t>
            </w:r>
            <w:r w:rsidRPr="004676F5">
              <w:rPr>
                <w:i/>
                <w:lang w:val="de-DE"/>
              </w:rPr>
              <w:softHyphen/>
              <w:t>tagen den Kreditvertrag zu wider</w:t>
            </w:r>
            <w:r w:rsidRPr="004676F5">
              <w:rPr>
                <w:i/>
                <w:lang w:val="de-DE"/>
              </w:rPr>
              <w:softHyphen/>
              <w:t>rufen.</w:t>
            </w:r>
          </w:p>
          <w:p w14:paraId="7117D5D4" w14:textId="77777777" w:rsidR="00740C64" w:rsidRPr="004676F5" w:rsidRDefault="00740C64" w:rsidP="00C46B2E">
            <w:pPr>
              <w:jc w:val="both"/>
              <w:rPr>
                <w:lang w:val="de-DE"/>
              </w:rPr>
            </w:pPr>
          </w:p>
        </w:tc>
        <w:tc>
          <w:tcPr>
            <w:tcW w:w="4536" w:type="dxa"/>
            <w:tcBorders>
              <w:right w:val="nil"/>
            </w:tcBorders>
          </w:tcPr>
          <w:p w14:paraId="3A732279" w14:textId="77777777" w:rsidR="00740C64" w:rsidRPr="004676F5" w:rsidRDefault="00740C64" w:rsidP="00C46B2E">
            <w:pPr>
              <w:jc w:val="both"/>
              <w:rPr>
                <w:lang w:val="de-DE"/>
              </w:rPr>
            </w:pPr>
          </w:p>
          <w:p w14:paraId="6DFE4A8E" w14:textId="77777777" w:rsidR="00740C64" w:rsidRPr="004676F5" w:rsidRDefault="00740C64" w:rsidP="00C46B2E">
            <w:pPr>
              <w:jc w:val="both"/>
              <w:rPr>
                <w:lang w:val="de-DE"/>
              </w:rPr>
            </w:pPr>
          </w:p>
          <w:p w14:paraId="4F7F182E" w14:textId="77777777" w:rsidR="00740C64" w:rsidRPr="004676F5" w:rsidRDefault="00740C64" w:rsidP="00C46B2E">
            <w:pPr>
              <w:jc w:val="both"/>
              <w:rPr>
                <w:lang w:val="de-DE"/>
              </w:rPr>
            </w:pPr>
          </w:p>
          <w:p w14:paraId="59CF7A72" w14:textId="77777777" w:rsidR="00740C64" w:rsidRPr="004676F5" w:rsidRDefault="00740C64" w:rsidP="00C46B2E">
            <w:pPr>
              <w:jc w:val="both"/>
              <w:rPr>
                <w:lang w:val="de-DE"/>
              </w:rPr>
            </w:pPr>
            <w:r w:rsidRPr="004676F5">
              <w:rPr>
                <w:lang w:val="de-DE"/>
              </w:rPr>
              <w:t>Ja/nein</w:t>
            </w:r>
          </w:p>
        </w:tc>
      </w:tr>
      <w:tr w:rsidR="00740C64" w:rsidRPr="00256F56" w14:paraId="58398A0C" w14:textId="77777777" w:rsidTr="00C46B2E">
        <w:trPr>
          <w:trHeight w:val="1104"/>
        </w:trPr>
        <w:tc>
          <w:tcPr>
            <w:tcW w:w="4536" w:type="dxa"/>
            <w:tcBorders>
              <w:left w:val="nil"/>
            </w:tcBorders>
          </w:tcPr>
          <w:p w14:paraId="1EBF3CE6" w14:textId="77777777" w:rsidR="00740C64" w:rsidRPr="004676F5" w:rsidRDefault="00740C64" w:rsidP="00C46B2E">
            <w:pPr>
              <w:jc w:val="both"/>
              <w:rPr>
                <w:lang w:val="de-DE"/>
              </w:rPr>
            </w:pPr>
          </w:p>
          <w:p w14:paraId="298FFEE6" w14:textId="77777777" w:rsidR="00740C64" w:rsidRPr="004676F5" w:rsidRDefault="00740C64" w:rsidP="00C46B2E">
            <w:pPr>
              <w:jc w:val="both"/>
              <w:rPr>
                <w:b/>
                <w:lang w:val="de-DE"/>
              </w:rPr>
            </w:pPr>
            <w:r w:rsidRPr="004676F5">
              <w:rPr>
                <w:b/>
                <w:lang w:val="de-DE"/>
              </w:rPr>
              <w:t>Vorzeitige Rückzahlung</w:t>
            </w:r>
          </w:p>
          <w:p w14:paraId="14329200" w14:textId="77777777" w:rsidR="00740C64" w:rsidRPr="004676F5" w:rsidRDefault="00740C64" w:rsidP="00C46B2E">
            <w:pPr>
              <w:jc w:val="both"/>
              <w:rPr>
                <w:lang w:val="de-DE"/>
              </w:rPr>
            </w:pPr>
          </w:p>
          <w:p w14:paraId="7317D8AC" w14:textId="77777777" w:rsidR="00740C64" w:rsidRPr="004676F5" w:rsidRDefault="00740C64" w:rsidP="00C46B2E">
            <w:pPr>
              <w:jc w:val="both"/>
              <w:rPr>
                <w:lang w:val="de-DE"/>
              </w:rPr>
            </w:pPr>
            <w:r w:rsidRPr="004676F5">
              <w:rPr>
                <w:i/>
                <w:lang w:val="de-DE"/>
              </w:rPr>
              <w:t>Sie haben das Recht, den Kredit jederzeit ganz oder teilweise vorzeitig zurückzu</w:t>
            </w:r>
            <w:r w:rsidRPr="004676F5">
              <w:rPr>
                <w:i/>
                <w:lang w:val="de-DE"/>
              </w:rPr>
              <w:softHyphen/>
              <w:t>zahlen.</w:t>
            </w:r>
          </w:p>
        </w:tc>
        <w:tc>
          <w:tcPr>
            <w:tcW w:w="4536" w:type="dxa"/>
            <w:tcBorders>
              <w:right w:val="nil"/>
            </w:tcBorders>
          </w:tcPr>
          <w:p w14:paraId="74E0340B" w14:textId="77777777" w:rsidR="00740C64" w:rsidRPr="004676F5" w:rsidRDefault="00740C64" w:rsidP="00C46B2E">
            <w:pPr>
              <w:jc w:val="both"/>
              <w:rPr>
                <w:lang w:val="de-DE"/>
              </w:rPr>
            </w:pPr>
          </w:p>
        </w:tc>
      </w:tr>
      <w:tr w:rsidR="00740C64" w:rsidRPr="00256F56" w14:paraId="0F31574D" w14:textId="77777777" w:rsidTr="00C46B2E">
        <w:trPr>
          <w:trHeight w:val="1380"/>
        </w:trPr>
        <w:tc>
          <w:tcPr>
            <w:tcW w:w="4536" w:type="dxa"/>
            <w:tcBorders>
              <w:left w:val="nil"/>
            </w:tcBorders>
          </w:tcPr>
          <w:p w14:paraId="3271D889" w14:textId="77777777" w:rsidR="00740C64" w:rsidRPr="004676F5" w:rsidRDefault="00740C64" w:rsidP="00C46B2E">
            <w:pPr>
              <w:jc w:val="both"/>
              <w:rPr>
                <w:lang w:val="de-DE"/>
              </w:rPr>
            </w:pPr>
          </w:p>
          <w:p w14:paraId="548CC201" w14:textId="77777777" w:rsidR="00740C64" w:rsidRPr="004676F5" w:rsidRDefault="00740C64" w:rsidP="00C46B2E">
            <w:pPr>
              <w:jc w:val="both"/>
              <w:rPr>
                <w:lang w:val="de-DE"/>
              </w:rPr>
            </w:pPr>
            <w:r w:rsidRPr="004676F5">
              <w:rPr>
                <w:lang w:val="de-DE"/>
              </w:rPr>
              <w:t>(falls zutreffend)</w:t>
            </w:r>
          </w:p>
          <w:p w14:paraId="36FB9015" w14:textId="77777777" w:rsidR="00740C64" w:rsidRPr="004676F5" w:rsidRDefault="00740C64" w:rsidP="00C46B2E">
            <w:pPr>
              <w:jc w:val="both"/>
              <w:rPr>
                <w:lang w:val="de-DE"/>
              </w:rPr>
            </w:pPr>
          </w:p>
          <w:p w14:paraId="6BD348CC" w14:textId="77777777" w:rsidR="00740C64" w:rsidRPr="004676F5" w:rsidRDefault="00740C64" w:rsidP="00C46B2E">
            <w:pPr>
              <w:jc w:val="both"/>
              <w:rPr>
                <w:lang w:val="de-DE"/>
              </w:rPr>
            </w:pPr>
            <w:r w:rsidRPr="004676F5">
              <w:rPr>
                <w:lang w:val="de-DE"/>
              </w:rPr>
              <w:t>Dem Kreditgeber steht bei vorzeitiger Rückzahlung eine Entschädigung zu.</w:t>
            </w:r>
          </w:p>
          <w:p w14:paraId="239CABC7" w14:textId="77777777" w:rsidR="00740C64" w:rsidRPr="004676F5" w:rsidRDefault="00740C64" w:rsidP="00C46B2E">
            <w:pPr>
              <w:jc w:val="both"/>
              <w:rPr>
                <w:lang w:val="de-DE"/>
              </w:rPr>
            </w:pPr>
          </w:p>
        </w:tc>
        <w:tc>
          <w:tcPr>
            <w:tcW w:w="4536" w:type="dxa"/>
            <w:tcBorders>
              <w:right w:val="nil"/>
            </w:tcBorders>
          </w:tcPr>
          <w:p w14:paraId="4C76B9E6" w14:textId="77777777" w:rsidR="00740C64" w:rsidRPr="004676F5" w:rsidRDefault="00740C64" w:rsidP="00C46B2E">
            <w:pPr>
              <w:jc w:val="both"/>
              <w:rPr>
                <w:lang w:val="de-DE"/>
              </w:rPr>
            </w:pPr>
          </w:p>
          <w:p w14:paraId="01C686C6" w14:textId="77777777" w:rsidR="00740C64" w:rsidRPr="004676F5" w:rsidRDefault="00740C64" w:rsidP="00C46B2E">
            <w:pPr>
              <w:jc w:val="both"/>
              <w:rPr>
                <w:lang w:val="de-DE"/>
              </w:rPr>
            </w:pPr>
          </w:p>
          <w:p w14:paraId="382D01B8" w14:textId="77777777" w:rsidR="00740C64" w:rsidRPr="004676F5" w:rsidRDefault="00740C64" w:rsidP="00C46B2E">
            <w:pPr>
              <w:jc w:val="both"/>
              <w:rPr>
                <w:lang w:val="de-DE"/>
              </w:rPr>
            </w:pPr>
          </w:p>
          <w:p w14:paraId="31A7B4A2" w14:textId="77777777" w:rsidR="00740C64" w:rsidRPr="004676F5" w:rsidRDefault="00740C64" w:rsidP="00C46B2E">
            <w:pPr>
              <w:jc w:val="both"/>
              <w:rPr>
                <w:lang w:val="de-DE"/>
              </w:rPr>
            </w:pPr>
            <w:r w:rsidRPr="004676F5">
              <w:rPr>
                <w:lang w:val="de-DE"/>
              </w:rPr>
              <w:t>[Festlegung der Entschädigung (Berech</w:t>
            </w:r>
            <w:r w:rsidRPr="004676F5">
              <w:rPr>
                <w:lang w:val="de-DE"/>
              </w:rPr>
              <w:softHyphen/>
              <w:t>nungs</w:t>
            </w:r>
            <w:r w:rsidRPr="004676F5">
              <w:rPr>
                <w:lang w:val="de-DE"/>
              </w:rPr>
              <w:softHyphen/>
              <w:t>methode) gemäß Artikel VII.97]</w:t>
            </w:r>
          </w:p>
          <w:p w14:paraId="09C96B98" w14:textId="77777777" w:rsidR="00740C64" w:rsidRPr="004676F5" w:rsidRDefault="00740C64" w:rsidP="00C46B2E">
            <w:pPr>
              <w:jc w:val="both"/>
              <w:rPr>
                <w:lang w:val="de-DE"/>
              </w:rPr>
            </w:pPr>
          </w:p>
        </w:tc>
      </w:tr>
      <w:tr w:rsidR="00740C64" w:rsidRPr="00256F56" w14:paraId="196DE6C0" w14:textId="77777777" w:rsidTr="00C46B2E">
        <w:trPr>
          <w:trHeight w:val="3036"/>
        </w:trPr>
        <w:tc>
          <w:tcPr>
            <w:tcW w:w="4536" w:type="dxa"/>
            <w:tcBorders>
              <w:left w:val="nil"/>
            </w:tcBorders>
          </w:tcPr>
          <w:p w14:paraId="72EED779" w14:textId="77777777" w:rsidR="00740C64" w:rsidRPr="004676F5" w:rsidRDefault="00740C64" w:rsidP="00C46B2E">
            <w:pPr>
              <w:jc w:val="both"/>
              <w:rPr>
                <w:lang w:val="de-DE"/>
              </w:rPr>
            </w:pPr>
          </w:p>
          <w:p w14:paraId="4FCD2721" w14:textId="77777777" w:rsidR="00740C64" w:rsidRPr="004676F5" w:rsidRDefault="00740C64" w:rsidP="00C46B2E">
            <w:pPr>
              <w:jc w:val="both"/>
              <w:rPr>
                <w:b/>
                <w:lang w:val="de-DE"/>
              </w:rPr>
            </w:pPr>
            <w:r w:rsidRPr="004676F5">
              <w:rPr>
                <w:b/>
                <w:lang w:val="de-DE"/>
              </w:rPr>
              <w:t>Datenbankabfrage</w:t>
            </w:r>
          </w:p>
          <w:p w14:paraId="0C6305AB" w14:textId="77777777" w:rsidR="00740C64" w:rsidRPr="004676F5" w:rsidRDefault="00740C64" w:rsidP="00C46B2E">
            <w:pPr>
              <w:jc w:val="both"/>
              <w:rPr>
                <w:lang w:val="de-DE"/>
              </w:rPr>
            </w:pPr>
          </w:p>
          <w:p w14:paraId="4DDD1B15" w14:textId="77777777" w:rsidR="00740C64" w:rsidRPr="004676F5" w:rsidRDefault="00740C64" w:rsidP="00C46B2E">
            <w:pPr>
              <w:jc w:val="both"/>
              <w:rPr>
                <w:i/>
                <w:iCs/>
                <w:lang w:val="de-DE"/>
              </w:rPr>
            </w:pPr>
            <w:r w:rsidRPr="004676F5">
              <w:rPr>
                <w:i/>
                <w:lang w:val="de-DE"/>
              </w:rPr>
              <w:t>Der Kreditgeber muss Sie unverzüglich und unentgeltlich über das Ergebnis einer Datenbankabfrage unterrichten, wenn ein Kreditantrag aufgrund einer solchen Abfrage abgelehnt wird. Dies gilt nicht, wenn eine entsprechende Unterrichtung durch die Rechtsvorschriften der Euro</w:t>
            </w:r>
            <w:r w:rsidRPr="004676F5">
              <w:rPr>
                <w:i/>
                <w:lang w:val="de-DE"/>
              </w:rPr>
              <w:softHyphen/>
              <w:t>pä</w:t>
            </w:r>
            <w:r w:rsidRPr="004676F5">
              <w:rPr>
                <w:i/>
                <w:lang w:val="de-DE"/>
              </w:rPr>
              <w:softHyphen/>
              <w:t>ischen Gemeinschaft untersagt ist oder den Zielen der öffentlichen Ordnung oder Sicherheit zuwiderläuft.</w:t>
            </w:r>
          </w:p>
          <w:p w14:paraId="3664C3AE" w14:textId="77777777" w:rsidR="00740C64" w:rsidRPr="004676F5" w:rsidRDefault="00740C64" w:rsidP="00C46B2E">
            <w:pPr>
              <w:jc w:val="both"/>
              <w:rPr>
                <w:lang w:val="de-DE"/>
              </w:rPr>
            </w:pPr>
          </w:p>
        </w:tc>
        <w:tc>
          <w:tcPr>
            <w:tcW w:w="4536" w:type="dxa"/>
            <w:tcBorders>
              <w:right w:val="nil"/>
            </w:tcBorders>
          </w:tcPr>
          <w:p w14:paraId="52B3B5E3" w14:textId="77777777" w:rsidR="00740C64" w:rsidRPr="004676F5" w:rsidRDefault="00740C64" w:rsidP="00C46B2E">
            <w:pPr>
              <w:jc w:val="both"/>
              <w:rPr>
                <w:lang w:val="de-DE"/>
              </w:rPr>
            </w:pPr>
            <w:r w:rsidRPr="004676F5">
              <w:rPr>
                <w:lang w:val="de-DE"/>
              </w:rPr>
              <w:t> </w:t>
            </w:r>
          </w:p>
          <w:p w14:paraId="5355B0D6" w14:textId="77777777" w:rsidR="00740C64" w:rsidRPr="004676F5" w:rsidRDefault="00740C64" w:rsidP="00C46B2E">
            <w:pPr>
              <w:jc w:val="both"/>
              <w:rPr>
                <w:lang w:val="de-DE"/>
              </w:rPr>
            </w:pPr>
            <w:r w:rsidRPr="004676F5">
              <w:rPr>
                <w:lang w:val="de-DE"/>
              </w:rPr>
              <w:t> </w:t>
            </w:r>
          </w:p>
        </w:tc>
      </w:tr>
      <w:tr w:rsidR="00740C64" w:rsidRPr="00256F56" w14:paraId="2D465502" w14:textId="77777777" w:rsidTr="00C46B2E">
        <w:trPr>
          <w:trHeight w:val="1932"/>
        </w:trPr>
        <w:tc>
          <w:tcPr>
            <w:tcW w:w="4536" w:type="dxa"/>
            <w:tcBorders>
              <w:left w:val="nil"/>
            </w:tcBorders>
          </w:tcPr>
          <w:p w14:paraId="283A0188" w14:textId="77777777" w:rsidR="00740C64" w:rsidRPr="004676F5" w:rsidRDefault="00740C64" w:rsidP="00C46B2E">
            <w:pPr>
              <w:jc w:val="both"/>
              <w:rPr>
                <w:lang w:val="de-DE"/>
              </w:rPr>
            </w:pPr>
          </w:p>
          <w:p w14:paraId="54599792" w14:textId="77777777" w:rsidR="00740C64" w:rsidRPr="004676F5" w:rsidRDefault="00740C64" w:rsidP="00C46B2E">
            <w:pPr>
              <w:jc w:val="both"/>
              <w:rPr>
                <w:b/>
                <w:lang w:val="de-DE"/>
              </w:rPr>
            </w:pPr>
            <w:r w:rsidRPr="004676F5">
              <w:rPr>
                <w:b/>
                <w:lang w:val="de-DE"/>
              </w:rPr>
              <w:t>Recht auf einen Kreditvertragsentwurf</w:t>
            </w:r>
          </w:p>
          <w:p w14:paraId="0C189BBA" w14:textId="77777777" w:rsidR="00740C64" w:rsidRPr="004676F5" w:rsidRDefault="00740C64" w:rsidP="00C46B2E">
            <w:pPr>
              <w:jc w:val="both"/>
              <w:rPr>
                <w:lang w:val="de-DE"/>
              </w:rPr>
            </w:pPr>
          </w:p>
          <w:p w14:paraId="271AE053" w14:textId="77777777" w:rsidR="00740C64" w:rsidRPr="004676F5" w:rsidRDefault="00740C64" w:rsidP="00C46B2E">
            <w:pPr>
              <w:jc w:val="both"/>
              <w:rPr>
                <w:i/>
                <w:iCs/>
                <w:sz w:val="22"/>
                <w:lang w:val="de-DE"/>
              </w:rPr>
            </w:pPr>
            <w:r w:rsidRPr="004676F5">
              <w:rPr>
                <w:i/>
                <w:sz w:val="22"/>
                <w:lang w:val="de-DE"/>
              </w:rPr>
              <w:t>Sie haben das Recht, auf Verlangen unentgelt</w:t>
            </w:r>
            <w:r w:rsidRPr="004676F5">
              <w:rPr>
                <w:i/>
                <w:sz w:val="22"/>
                <w:lang w:val="de-DE"/>
              </w:rPr>
              <w:softHyphen/>
              <w:t>lich eine Kopie des Kreditvertragsentwurfs zu erhalten. Diese Bestimmung gilt nicht, wenn der Kreditgeber zum Zeitpunkt der Beantragung nicht zum Abschluss eines Kreditvertrags mit Ihnen bereit ist.</w:t>
            </w:r>
          </w:p>
          <w:p w14:paraId="4D1C9B01" w14:textId="77777777" w:rsidR="00740C64" w:rsidRPr="004676F5" w:rsidRDefault="00740C64" w:rsidP="00C46B2E">
            <w:pPr>
              <w:jc w:val="both"/>
              <w:rPr>
                <w:lang w:val="de-DE"/>
              </w:rPr>
            </w:pPr>
          </w:p>
        </w:tc>
        <w:tc>
          <w:tcPr>
            <w:tcW w:w="4536" w:type="dxa"/>
            <w:tcBorders>
              <w:right w:val="nil"/>
            </w:tcBorders>
          </w:tcPr>
          <w:p w14:paraId="5D7360CF" w14:textId="77777777" w:rsidR="00740C64" w:rsidRPr="004676F5" w:rsidRDefault="00740C64" w:rsidP="00C46B2E">
            <w:pPr>
              <w:jc w:val="both"/>
              <w:rPr>
                <w:lang w:val="de-DE"/>
              </w:rPr>
            </w:pPr>
            <w:r w:rsidRPr="004676F5">
              <w:rPr>
                <w:lang w:val="de-DE"/>
              </w:rPr>
              <w:t> </w:t>
            </w:r>
          </w:p>
          <w:p w14:paraId="2E55D12C" w14:textId="77777777" w:rsidR="00740C64" w:rsidRPr="004676F5" w:rsidRDefault="00740C64" w:rsidP="00C46B2E">
            <w:pPr>
              <w:jc w:val="both"/>
              <w:rPr>
                <w:lang w:val="de-DE"/>
              </w:rPr>
            </w:pPr>
            <w:r w:rsidRPr="004676F5">
              <w:rPr>
                <w:lang w:val="de-DE"/>
              </w:rPr>
              <w:t> </w:t>
            </w:r>
          </w:p>
        </w:tc>
      </w:tr>
      <w:tr w:rsidR="00740C64" w:rsidRPr="00256F56" w14:paraId="63A3466B" w14:textId="77777777" w:rsidTr="00C46B2E">
        <w:trPr>
          <w:trHeight w:val="828"/>
        </w:trPr>
        <w:tc>
          <w:tcPr>
            <w:tcW w:w="4536" w:type="dxa"/>
            <w:tcBorders>
              <w:left w:val="nil"/>
            </w:tcBorders>
          </w:tcPr>
          <w:p w14:paraId="7E380743" w14:textId="77777777" w:rsidR="00740C64" w:rsidRPr="004676F5" w:rsidRDefault="00740C64" w:rsidP="00C46B2E">
            <w:pPr>
              <w:jc w:val="both"/>
              <w:rPr>
                <w:lang w:val="de-DE"/>
              </w:rPr>
            </w:pPr>
            <w:r w:rsidRPr="004676F5">
              <w:rPr>
                <w:lang w:val="de-DE"/>
              </w:rPr>
              <w:br w:type="page"/>
            </w:r>
          </w:p>
          <w:p w14:paraId="467B97DD" w14:textId="77777777" w:rsidR="00740C64" w:rsidRPr="004676F5" w:rsidRDefault="00740C64" w:rsidP="00C46B2E">
            <w:pPr>
              <w:jc w:val="both"/>
              <w:rPr>
                <w:lang w:val="de-DE"/>
              </w:rPr>
            </w:pPr>
            <w:r w:rsidRPr="004676F5">
              <w:rPr>
                <w:lang w:val="de-DE"/>
              </w:rPr>
              <w:t>(falls zutreffend)</w:t>
            </w:r>
          </w:p>
          <w:p w14:paraId="0E7DE350" w14:textId="77777777" w:rsidR="00740C64" w:rsidRPr="004676F5" w:rsidRDefault="00740C64" w:rsidP="00C46B2E">
            <w:pPr>
              <w:jc w:val="both"/>
              <w:rPr>
                <w:lang w:val="de-DE"/>
              </w:rPr>
            </w:pPr>
          </w:p>
          <w:p w14:paraId="0E86285E" w14:textId="77777777" w:rsidR="00740C64" w:rsidRPr="004676F5" w:rsidRDefault="00740C64" w:rsidP="00C46B2E">
            <w:pPr>
              <w:jc w:val="both"/>
              <w:rPr>
                <w:lang w:val="de-DE"/>
              </w:rPr>
            </w:pPr>
            <w:r w:rsidRPr="004676F5">
              <w:rPr>
                <w:lang w:val="de-DE"/>
              </w:rPr>
              <w:t>Zeitraum, während dessen der Kreditgeber an die vorvertraglichen Informationen gebunden ist</w:t>
            </w:r>
          </w:p>
          <w:p w14:paraId="4BC74962" w14:textId="77777777" w:rsidR="00740C64" w:rsidRPr="004676F5" w:rsidRDefault="00740C64" w:rsidP="00C46B2E">
            <w:pPr>
              <w:jc w:val="both"/>
              <w:rPr>
                <w:lang w:val="de-DE"/>
              </w:rPr>
            </w:pPr>
          </w:p>
        </w:tc>
        <w:tc>
          <w:tcPr>
            <w:tcW w:w="4536" w:type="dxa"/>
            <w:tcBorders>
              <w:right w:val="nil"/>
            </w:tcBorders>
          </w:tcPr>
          <w:p w14:paraId="37570706" w14:textId="77777777" w:rsidR="00740C64" w:rsidRPr="004676F5" w:rsidRDefault="00740C64" w:rsidP="00C46B2E">
            <w:pPr>
              <w:jc w:val="both"/>
              <w:rPr>
                <w:lang w:val="de-DE"/>
              </w:rPr>
            </w:pPr>
          </w:p>
          <w:p w14:paraId="20B54387" w14:textId="77777777" w:rsidR="00740C64" w:rsidRPr="004676F5" w:rsidRDefault="00740C64" w:rsidP="00C46B2E">
            <w:pPr>
              <w:jc w:val="both"/>
              <w:rPr>
                <w:lang w:val="de-DE"/>
              </w:rPr>
            </w:pPr>
          </w:p>
          <w:p w14:paraId="64EC5D6B" w14:textId="77777777" w:rsidR="00740C64" w:rsidRPr="004676F5" w:rsidRDefault="00740C64" w:rsidP="00C46B2E">
            <w:pPr>
              <w:jc w:val="both"/>
              <w:rPr>
                <w:lang w:val="de-DE"/>
              </w:rPr>
            </w:pPr>
          </w:p>
          <w:p w14:paraId="5AC8C7BB" w14:textId="77777777" w:rsidR="00740C64" w:rsidRPr="004676F5" w:rsidRDefault="00740C64" w:rsidP="00C46B2E">
            <w:pPr>
              <w:jc w:val="both"/>
              <w:rPr>
                <w:lang w:val="de-DE"/>
              </w:rPr>
            </w:pPr>
            <w:r w:rsidRPr="004676F5">
              <w:rPr>
                <w:lang w:val="de-DE"/>
              </w:rPr>
              <w:t>Diese Informationen gelten vom ... bis ...</w:t>
            </w:r>
          </w:p>
        </w:tc>
      </w:tr>
    </w:tbl>
    <w:p w14:paraId="09D16FE2" w14:textId="77777777" w:rsidR="00740C64" w:rsidRPr="004676F5" w:rsidRDefault="00740C64" w:rsidP="00740C64">
      <w:pPr>
        <w:rPr>
          <w:lang w:val="de-DE"/>
        </w:rPr>
      </w:pPr>
    </w:p>
    <w:p w14:paraId="42BDF1FD" w14:textId="77777777" w:rsidR="00740C64" w:rsidRPr="004676F5" w:rsidRDefault="00740C64" w:rsidP="00740C64">
      <w:pPr>
        <w:jc w:val="both"/>
        <w:rPr>
          <w:lang w:val="de-DE"/>
        </w:rPr>
      </w:pPr>
      <w:r w:rsidRPr="004676F5">
        <w:rPr>
          <w:lang w:val="de-DE"/>
        </w:rPr>
        <w:t>(falls zutreffend)</w:t>
      </w:r>
    </w:p>
    <w:p w14:paraId="0BF95C4B" w14:textId="77777777" w:rsidR="00740C64" w:rsidRPr="004676F5" w:rsidRDefault="00740C64" w:rsidP="00740C64">
      <w:pPr>
        <w:jc w:val="both"/>
        <w:rPr>
          <w:b/>
          <w:lang w:val="de-DE"/>
        </w:rPr>
      </w:pPr>
    </w:p>
    <w:p w14:paraId="78565381" w14:textId="77777777" w:rsidR="00740C64" w:rsidRPr="004676F5" w:rsidRDefault="00740C64" w:rsidP="00740C64">
      <w:pPr>
        <w:jc w:val="both"/>
        <w:rPr>
          <w:b/>
          <w:lang w:val="de-DE"/>
        </w:rPr>
      </w:pPr>
      <w:r w:rsidRPr="004676F5">
        <w:rPr>
          <w:b/>
          <w:lang w:val="de-DE"/>
        </w:rPr>
        <w:t xml:space="preserve">5. Zusätzliche Informationen beim Fernabsatz von Finanzdienstleistungen </w:t>
      </w:r>
    </w:p>
    <w:p w14:paraId="22CE66CA" w14:textId="77777777" w:rsidR="00740C64" w:rsidRPr="004676F5" w:rsidRDefault="00740C64" w:rsidP="00740C64">
      <w:pPr>
        <w:jc w:val="both"/>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4676F5" w14:paraId="135DEAB0" w14:textId="77777777" w:rsidTr="00C46B2E">
        <w:tc>
          <w:tcPr>
            <w:tcW w:w="4536" w:type="dxa"/>
            <w:tcBorders>
              <w:left w:val="nil"/>
            </w:tcBorders>
          </w:tcPr>
          <w:p w14:paraId="634A0EA6" w14:textId="77777777" w:rsidR="00740C64" w:rsidRPr="004676F5" w:rsidRDefault="00740C64" w:rsidP="00C46B2E">
            <w:pPr>
              <w:jc w:val="both"/>
              <w:rPr>
                <w:lang w:val="de-DE"/>
              </w:rPr>
            </w:pPr>
          </w:p>
          <w:p w14:paraId="2B20EA25" w14:textId="77777777" w:rsidR="00740C64" w:rsidRPr="004676F5" w:rsidRDefault="00740C64" w:rsidP="00C46B2E">
            <w:pPr>
              <w:jc w:val="both"/>
              <w:rPr>
                <w:lang w:val="de-DE"/>
              </w:rPr>
            </w:pPr>
            <w:r w:rsidRPr="004676F5">
              <w:rPr>
                <w:lang w:val="de-DE"/>
              </w:rPr>
              <w:t>a) zum Kreditgeber</w:t>
            </w:r>
          </w:p>
          <w:p w14:paraId="28C3603D" w14:textId="77777777" w:rsidR="00740C64" w:rsidRPr="004676F5" w:rsidRDefault="00740C64" w:rsidP="00C46B2E">
            <w:pPr>
              <w:jc w:val="both"/>
              <w:rPr>
                <w:lang w:val="de-DE"/>
              </w:rPr>
            </w:pPr>
          </w:p>
        </w:tc>
        <w:tc>
          <w:tcPr>
            <w:tcW w:w="4536" w:type="dxa"/>
            <w:tcBorders>
              <w:right w:val="nil"/>
            </w:tcBorders>
          </w:tcPr>
          <w:p w14:paraId="6A4FD2FC" w14:textId="77777777" w:rsidR="00740C64" w:rsidRPr="004676F5" w:rsidRDefault="00740C64" w:rsidP="00C46B2E">
            <w:pPr>
              <w:jc w:val="both"/>
              <w:rPr>
                <w:lang w:val="de-DE"/>
              </w:rPr>
            </w:pPr>
            <w:r w:rsidRPr="004676F5">
              <w:rPr>
                <w:lang w:val="de-DE"/>
              </w:rPr>
              <w:t> </w:t>
            </w:r>
          </w:p>
        </w:tc>
      </w:tr>
      <w:tr w:rsidR="00740C64" w:rsidRPr="00256F56" w14:paraId="54800D0A" w14:textId="77777777" w:rsidTr="00C46B2E">
        <w:trPr>
          <w:trHeight w:val="2208"/>
        </w:trPr>
        <w:tc>
          <w:tcPr>
            <w:tcW w:w="4536" w:type="dxa"/>
            <w:tcBorders>
              <w:left w:val="nil"/>
            </w:tcBorders>
          </w:tcPr>
          <w:p w14:paraId="15010CF3" w14:textId="77777777" w:rsidR="00740C64" w:rsidRPr="004676F5" w:rsidRDefault="00740C64" w:rsidP="00C46B2E">
            <w:pPr>
              <w:jc w:val="both"/>
              <w:rPr>
                <w:lang w:val="de-DE"/>
              </w:rPr>
            </w:pPr>
          </w:p>
          <w:p w14:paraId="645A83CB" w14:textId="77777777" w:rsidR="00740C64" w:rsidRPr="004676F5" w:rsidRDefault="00740C64" w:rsidP="00C46B2E">
            <w:pPr>
              <w:jc w:val="both"/>
              <w:rPr>
                <w:lang w:val="de-DE"/>
              </w:rPr>
            </w:pPr>
            <w:r w:rsidRPr="004676F5">
              <w:rPr>
                <w:lang w:val="de-DE"/>
              </w:rPr>
              <w:t>(falls zutreffend)</w:t>
            </w:r>
          </w:p>
          <w:p w14:paraId="7F7EE174" w14:textId="77777777" w:rsidR="00740C64" w:rsidRPr="004676F5" w:rsidRDefault="00740C64" w:rsidP="00C46B2E">
            <w:pPr>
              <w:jc w:val="both"/>
              <w:rPr>
                <w:lang w:val="de-DE"/>
              </w:rPr>
            </w:pPr>
          </w:p>
          <w:p w14:paraId="419C0FC2" w14:textId="77777777" w:rsidR="00740C64" w:rsidRPr="004676F5" w:rsidRDefault="00740C64" w:rsidP="00C46B2E">
            <w:pPr>
              <w:jc w:val="both"/>
              <w:rPr>
                <w:lang w:val="de-DE"/>
              </w:rPr>
            </w:pPr>
            <w:r w:rsidRPr="004676F5">
              <w:rPr>
                <w:lang w:val="de-DE"/>
              </w:rPr>
              <w:t>Vertreter des Kreditgebers in dem Mitglied</w:t>
            </w:r>
            <w:r w:rsidRPr="004676F5">
              <w:rPr>
                <w:lang w:val="de-DE"/>
              </w:rPr>
              <w:softHyphen/>
              <w:t>staat, in dem Sie Ihren Wohnsitz haben</w:t>
            </w:r>
          </w:p>
          <w:p w14:paraId="1B155F9E" w14:textId="77777777" w:rsidR="00740C64" w:rsidRPr="004676F5" w:rsidRDefault="00740C64" w:rsidP="00C46B2E">
            <w:pPr>
              <w:jc w:val="both"/>
              <w:rPr>
                <w:lang w:val="de-DE"/>
              </w:rPr>
            </w:pPr>
          </w:p>
          <w:p w14:paraId="1E01F795" w14:textId="77777777" w:rsidR="00740C64" w:rsidRPr="004676F5" w:rsidRDefault="00740C64" w:rsidP="00C46B2E">
            <w:pPr>
              <w:jc w:val="both"/>
              <w:rPr>
                <w:lang w:val="de-DE"/>
              </w:rPr>
            </w:pPr>
            <w:r w:rsidRPr="004676F5">
              <w:rPr>
                <w:lang w:val="de-DE"/>
              </w:rPr>
              <w:t>Telefon (*)</w:t>
            </w:r>
          </w:p>
          <w:p w14:paraId="4C83D809" w14:textId="77777777" w:rsidR="00740C64" w:rsidRPr="004676F5" w:rsidRDefault="00740C64" w:rsidP="00C46B2E">
            <w:pPr>
              <w:jc w:val="both"/>
              <w:rPr>
                <w:lang w:val="de-DE"/>
              </w:rPr>
            </w:pPr>
            <w:r w:rsidRPr="004676F5">
              <w:rPr>
                <w:lang w:val="de-DE"/>
              </w:rPr>
              <w:t>E-Mail (*)</w:t>
            </w:r>
          </w:p>
          <w:p w14:paraId="7903A0FD" w14:textId="77777777" w:rsidR="00740C64" w:rsidRPr="004676F5" w:rsidRDefault="00740C64" w:rsidP="00C46B2E">
            <w:pPr>
              <w:jc w:val="both"/>
              <w:rPr>
                <w:lang w:val="de-DE"/>
              </w:rPr>
            </w:pPr>
            <w:r w:rsidRPr="004676F5">
              <w:rPr>
                <w:lang w:val="de-DE"/>
              </w:rPr>
              <w:t>Fax (*)</w:t>
            </w:r>
          </w:p>
          <w:p w14:paraId="1B44144E" w14:textId="77777777" w:rsidR="00740C64" w:rsidRPr="004676F5" w:rsidRDefault="00740C64" w:rsidP="00C46B2E">
            <w:pPr>
              <w:jc w:val="both"/>
              <w:rPr>
                <w:lang w:val="de-DE"/>
              </w:rPr>
            </w:pPr>
            <w:r w:rsidRPr="004676F5">
              <w:rPr>
                <w:lang w:val="de-DE"/>
              </w:rPr>
              <w:t>Internet-Adresse (*)</w:t>
            </w:r>
          </w:p>
          <w:p w14:paraId="1DCBBAB2" w14:textId="77777777" w:rsidR="00740C64" w:rsidRPr="004676F5" w:rsidRDefault="00740C64" w:rsidP="00C46B2E">
            <w:pPr>
              <w:jc w:val="both"/>
              <w:rPr>
                <w:lang w:val="de-DE"/>
              </w:rPr>
            </w:pPr>
          </w:p>
        </w:tc>
        <w:tc>
          <w:tcPr>
            <w:tcW w:w="4536" w:type="dxa"/>
            <w:tcBorders>
              <w:right w:val="nil"/>
            </w:tcBorders>
          </w:tcPr>
          <w:p w14:paraId="2BC607A5" w14:textId="77777777" w:rsidR="00740C64" w:rsidRPr="004676F5" w:rsidRDefault="00740C64" w:rsidP="00C46B2E">
            <w:pPr>
              <w:jc w:val="both"/>
              <w:rPr>
                <w:lang w:val="de-DE"/>
              </w:rPr>
            </w:pPr>
          </w:p>
          <w:p w14:paraId="67201BA2" w14:textId="77777777" w:rsidR="00740C64" w:rsidRPr="004676F5" w:rsidRDefault="00740C64" w:rsidP="00C46B2E">
            <w:pPr>
              <w:jc w:val="both"/>
              <w:rPr>
                <w:lang w:val="de-DE"/>
              </w:rPr>
            </w:pPr>
          </w:p>
          <w:p w14:paraId="55D0F5C2" w14:textId="77777777" w:rsidR="00740C64" w:rsidRPr="004676F5" w:rsidRDefault="00740C64" w:rsidP="00C46B2E">
            <w:pPr>
              <w:jc w:val="both"/>
              <w:rPr>
                <w:lang w:val="de-DE"/>
              </w:rPr>
            </w:pPr>
          </w:p>
          <w:p w14:paraId="4C71007F" w14:textId="77777777" w:rsidR="00740C64" w:rsidRPr="004676F5" w:rsidRDefault="00740C64" w:rsidP="00C46B2E">
            <w:pPr>
              <w:jc w:val="both"/>
              <w:rPr>
                <w:lang w:val="de-DE"/>
              </w:rPr>
            </w:pPr>
            <w:r w:rsidRPr="004676F5">
              <w:rPr>
                <w:lang w:val="de-DE"/>
              </w:rPr>
              <w:t>[Name]</w:t>
            </w:r>
          </w:p>
          <w:p w14:paraId="262CECFE" w14:textId="77777777" w:rsidR="00740C64" w:rsidRPr="004676F5" w:rsidRDefault="00740C64" w:rsidP="00C46B2E">
            <w:pPr>
              <w:jc w:val="both"/>
              <w:rPr>
                <w:lang w:val="de-DE"/>
              </w:rPr>
            </w:pPr>
          </w:p>
          <w:p w14:paraId="248C927C" w14:textId="77777777" w:rsidR="00740C64" w:rsidRPr="004676F5" w:rsidRDefault="00740C64" w:rsidP="00C46B2E">
            <w:pPr>
              <w:jc w:val="both"/>
              <w:rPr>
                <w:lang w:val="de-DE"/>
              </w:rPr>
            </w:pPr>
          </w:p>
          <w:p w14:paraId="3FDC5A17" w14:textId="77777777" w:rsidR="00740C64" w:rsidRPr="004676F5" w:rsidRDefault="00740C64" w:rsidP="00C46B2E">
            <w:pPr>
              <w:jc w:val="both"/>
              <w:rPr>
                <w:lang w:val="de-DE"/>
              </w:rPr>
            </w:pPr>
            <w:r w:rsidRPr="004676F5">
              <w:rPr>
                <w:lang w:val="de-DE"/>
              </w:rPr>
              <w:t>[Tatsächliche Anschrift, für den Verbrau</w:t>
            </w:r>
            <w:r w:rsidRPr="004676F5">
              <w:rPr>
                <w:lang w:val="de-DE"/>
              </w:rPr>
              <w:softHyphen/>
              <w:t>cher]</w:t>
            </w:r>
          </w:p>
          <w:p w14:paraId="0379034B" w14:textId="77777777" w:rsidR="00740C64" w:rsidRPr="004676F5" w:rsidRDefault="00740C64" w:rsidP="00C46B2E">
            <w:pPr>
              <w:jc w:val="both"/>
              <w:rPr>
                <w:lang w:val="de-DE"/>
              </w:rPr>
            </w:pPr>
          </w:p>
        </w:tc>
      </w:tr>
      <w:tr w:rsidR="00740C64" w:rsidRPr="00256F56" w14:paraId="515D460A" w14:textId="77777777" w:rsidTr="00C46B2E">
        <w:trPr>
          <w:trHeight w:val="1380"/>
        </w:trPr>
        <w:tc>
          <w:tcPr>
            <w:tcW w:w="4536" w:type="dxa"/>
            <w:tcBorders>
              <w:left w:val="nil"/>
            </w:tcBorders>
          </w:tcPr>
          <w:p w14:paraId="4F812CB2" w14:textId="77777777" w:rsidR="00740C64" w:rsidRPr="004676F5" w:rsidRDefault="00740C64" w:rsidP="00C46B2E">
            <w:pPr>
              <w:jc w:val="both"/>
              <w:rPr>
                <w:lang w:val="de-DE"/>
              </w:rPr>
            </w:pPr>
          </w:p>
          <w:p w14:paraId="299C905E" w14:textId="77777777" w:rsidR="00740C64" w:rsidRPr="004676F5" w:rsidRDefault="00740C64" w:rsidP="00C46B2E">
            <w:pPr>
              <w:jc w:val="both"/>
              <w:rPr>
                <w:lang w:val="de-DE"/>
              </w:rPr>
            </w:pPr>
            <w:r w:rsidRPr="004676F5">
              <w:rPr>
                <w:lang w:val="de-DE"/>
              </w:rPr>
              <w:t>(falls zutreffend)</w:t>
            </w:r>
          </w:p>
          <w:p w14:paraId="765B289B" w14:textId="77777777" w:rsidR="00740C64" w:rsidRPr="004676F5" w:rsidRDefault="00740C64" w:rsidP="00C46B2E">
            <w:pPr>
              <w:jc w:val="both"/>
              <w:rPr>
                <w:lang w:val="de-DE"/>
              </w:rPr>
            </w:pPr>
          </w:p>
          <w:p w14:paraId="2231C6EF" w14:textId="77777777" w:rsidR="00740C64" w:rsidRPr="004676F5" w:rsidRDefault="00740C64" w:rsidP="00C46B2E">
            <w:pPr>
              <w:jc w:val="both"/>
              <w:rPr>
                <w:lang w:val="de-DE"/>
              </w:rPr>
            </w:pPr>
            <w:r w:rsidRPr="004676F5">
              <w:rPr>
                <w:lang w:val="de-DE"/>
              </w:rPr>
              <w:t>Registrierung</w:t>
            </w:r>
          </w:p>
        </w:tc>
        <w:tc>
          <w:tcPr>
            <w:tcW w:w="4536" w:type="dxa"/>
            <w:tcBorders>
              <w:right w:val="nil"/>
            </w:tcBorders>
          </w:tcPr>
          <w:p w14:paraId="6AA985C7" w14:textId="77777777" w:rsidR="00740C64" w:rsidRPr="004676F5" w:rsidRDefault="00740C64" w:rsidP="00C46B2E">
            <w:pPr>
              <w:jc w:val="both"/>
              <w:rPr>
                <w:lang w:val="de-DE"/>
              </w:rPr>
            </w:pPr>
          </w:p>
          <w:p w14:paraId="047E2406" w14:textId="77777777" w:rsidR="00740C64" w:rsidRPr="004676F5" w:rsidRDefault="00740C64" w:rsidP="00C46B2E">
            <w:pPr>
              <w:jc w:val="both"/>
              <w:rPr>
                <w:lang w:val="de-DE"/>
              </w:rPr>
            </w:pPr>
          </w:p>
          <w:p w14:paraId="7638AFE6" w14:textId="77777777" w:rsidR="00740C64" w:rsidRPr="004676F5" w:rsidRDefault="00740C64" w:rsidP="00C46B2E">
            <w:pPr>
              <w:jc w:val="both"/>
              <w:rPr>
                <w:lang w:val="de-DE"/>
              </w:rPr>
            </w:pPr>
          </w:p>
          <w:p w14:paraId="77C113D2" w14:textId="77777777" w:rsidR="00740C64" w:rsidRPr="004676F5" w:rsidRDefault="00740C64" w:rsidP="00C46B2E">
            <w:pPr>
              <w:jc w:val="both"/>
              <w:rPr>
                <w:lang w:val="de-DE"/>
              </w:rPr>
            </w:pPr>
            <w:r w:rsidRPr="004676F5">
              <w:rPr>
                <w:lang w:val="de-DE"/>
              </w:rPr>
              <w:t>[Zentrale Datenbank der Unternehmen, in der der Kreditgeber eingetragen ist, und seine Unternehmensnummer oder eine gleichwertige in diesem Register verwendete Kennung]</w:t>
            </w:r>
          </w:p>
          <w:p w14:paraId="45225680" w14:textId="77777777" w:rsidR="00740C64" w:rsidRPr="004676F5" w:rsidRDefault="00740C64" w:rsidP="00C46B2E">
            <w:pPr>
              <w:jc w:val="both"/>
              <w:rPr>
                <w:lang w:val="de-DE"/>
              </w:rPr>
            </w:pPr>
          </w:p>
        </w:tc>
      </w:tr>
      <w:tr w:rsidR="00740C64" w:rsidRPr="004676F5" w14:paraId="09AA5F3C" w14:textId="77777777" w:rsidTr="00C46B2E">
        <w:trPr>
          <w:trHeight w:val="552"/>
        </w:trPr>
        <w:tc>
          <w:tcPr>
            <w:tcW w:w="4536" w:type="dxa"/>
            <w:tcBorders>
              <w:left w:val="nil"/>
            </w:tcBorders>
          </w:tcPr>
          <w:p w14:paraId="0254C9CC" w14:textId="77777777" w:rsidR="00740C64" w:rsidRPr="004676F5" w:rsidRDefault="00740C64" w:rsidP="00C46B2E">
            <w:pPr>
              <w:jc w:val="both"/>
              <w:rPr>
                <w:lang w:val="de-DE"/>
              </w:rPr>
            </w:pPr>
          </w:p>
          <w:p w14:paraId="09CE5AA0" w14:textId="77777777" w:rsidR="00740C64" w:rsidRPr="004676F5" w:rsidRDefault="00740C64" w:rsidP="00C46B2E">
            <w:pPr>
              <w:jc w:val="both"/>
              <w:rPr>
                <w:lang w:val="de-DE"/>
              </w:rPr>
            </w:pPr>
            <w:r w:rsidRPr="004676F5">
              <w:rPr>
                <w:lang w:val="de-DE"/>
              </w:rPr>
              <w:t>(falls zutreffend)</w:t>
            </w:r>
          </w:p>
          <w:p w14:paraId="4C77527D" w14:textId="77777777" w:rsidR="00740C64" w:rsidRPr="004676F5" w:rsidRDefault="00740C64" w:rsidP="00C46B2E">
            <w:pPr>
              <w:jc w:val="both"/>
              <w:rPr>
                <w:lang w:val="de-DE"/>
              </w:rPr>
            </w:pPr>
          </w:p>
          <w:p w14:paraId="18A4763F" w14:textId="77777777" w:rsidR="00740C64" w:rsidRPr="004676F5" w:rsidRDefault="00740C64" w:rsidP="00C46B2E">
            <w:pPr>
              <w:jc w:val="both"/>
              <w:rPr>
                <w:lang w:val="de-DE"/>
              </w:rPr>
            </w:pPr>
            <w:r w:rsidRPr="004676F5">
              <w:rPr>
                <w:lang w:val="de-DE"/>
              </w:rPr>
              <w:t>Zuständige Aufsichtsbehörde</w:t>
            </w:r>
          </w:p>
          <w:p w14:paraId="78590834" w14:textId="77777777" w:rsidR="00740C64" w:rsidRPr="004676F5" w:rsidRDefault="00740C64" w:rsidP="00C46B2E">
            <w:pPr>
              <w:jc w:val="both"/>
              <w:rPr>
                <w:lang w:val="de-DE"/>
              </w:rPr>
            </w:pPr>
          </w:p>
        </w:tc>
        <w:tc>
          <w:tcPr>
            <w:tcW w:w="4536" w:type="dxa"/>
            <w:tcBorders>
              <w:right w:val="nil"/>
            </w:tcBorders>
          </w:tcPr>
          <w:p w14:paraId="0A9CB160" w14:textId="77777777" w:rsidR="00740C64" w:rsidRPr="004676F5" w:rsidRDefault="00740C64" w:rsidP="00C46B2E">
            <w:pPr>
              <w:jc w:val="both"/>
              <w:rPr>
                <w:lang w:val="de-DE"/>
              </w:rPr>
            </w:pPr>
            <w:r w:rsidRPr="004676F5">
              <w:rPr>
                <w:lang w:val="de-DE"/>
              </w:rPr>
              <w:t> </w:t>
            </w:r>
          </w:p>
          <w:p w14:paraId="384D545E" w14:textId="77777777" w:rsidR="00740C64" w:rsidRPr="004676F5" w:rsidRDefault="00740C64" w:rsidP="00C46B2E">
            <w:pPr>
              <w:jc w:val="both"/>
              <w:rPr>
                <w:lang w:val="de-DE"/>
              </w:rPr>
            </w:pPr>
            <w:r w:rsidRPr="004676F5">
              <w:rPr>
                <w:lang w:val="de-DE"/>
              </w:rPr>
              <w:t> </w:t>
            </w:r>
          </w:p>
        </w:tc>
      </w:tr>
      <w:tr w:rsidR="00740C64" w:rsidRPr="004676F5" w14:paraId="39A99D04" w14:textId="77777777" w:rsidTr="00C46B2E">
        <w:trPr>
          <w:trHeight w:val="552"/>
        </w:trPr>
        <w:tc>
          <w:tcPr>
            <w:tcW w:w="4536" w:type="dxa"/>
            <w:tcBorders>
              <w:left w:val="nil"/>
            </w:tcBorders>
          </w:tcPr>
          <w:p w14:paraId="68144667" w14:textId="77777777" w:rsidR="00740C64" w:rsidRPr="004676F5" w:rsidRDefault="00740C64" w:rsidP="00C46B2E">
            <w:pPr>
              <w:jc w:val="both"/>
              <w:rPr>
                <w:lang w:val="de-DE"/>
              </w:rPr>
            </w:pPr>
          </w:p>
          <w:p w14:paraId="6CDDD3CD" w14:textId="77777777" w:rsidR="00740C64" w:rsidRPr="004676F5" w:rsidRDefault="00740C64" w:rsidP="00C46B2E">
            <w:pPr>
              <w:jc w:val="both"/>
              <w:rPr>
                <w:lang w:val="de-DE"/>
              </w:rPr>
            </w:pPr>
            <w:r w:rsidRPr="004676F5">
              <w:rPr>
                <w:lang w:val="de-DE"/>
              </w:rPr>
              <w:t>b) zum Kreditvertrag</w:t>
            </w:r>
          </w:p>
          <w:p w14:paraId="15135F61" w14:textId="77777777" w:rsidR="00740C64" w:rsidRPr="004676F5" w:rsidRDefault="00740C64" w:rsidP="00C46B2E">
            <w:pPr>
              <w:jc w:val="both"/>
              <w:rPr>
                <w:lang w:val="de-DE"/>
              </w:rPr>
            </w:pPr>
          </w:p>
        </w:tc>
        <w:tc>
          <w:tcPr>
            <w:tcW w:w="4536" w:type="dxa"/>
            <w:tcBorders>
              <w:right w:val="nil"/>
            </w:tcBorders>
          </w:tcPr>
          <w:p w14:paraId="233EC21D" w14:textId="77777777" w:rsidR="00740C64" w:rsidRPr="004676F5" w:rsidRDefault="00740C64" w:rsidP="00C46B2E">
            <w:pPr>
              <w:jc w:val="both"/>
              <w:rPr>
                <w:lang w:val="de-DE"/>
              </w:rPr>
            </w:pPr>
          </w:p>
        </w:tc>
      </w:tr>
      <w:tr w:rsidR="00740C64" w:rsidRPr="00256F56" w14:paraId="37885DD7" w14:textId="77777777" w:rsidTr="00C46B2E">
        <w:trPr>
          <w:trHeight w:val="2223"/>
        </w:trPr>
        <w:tc>
          <w:tcPr>
            <w:tcW w:w="4536" w:type="dxa"/>
            <w:tcBorders>
              <w:left w:val="nil"/>
            </w:tcBorders>
          </w:tcPr>
          <w:p w14:paraId="3AF96B0F" w14:textId="77777777" w:rsidR="00740C64" w:rsidRPr="004676F5" w:rsidRDefault="00740C64" w:rsidP="00C46B2E">
            <w:pPr>
              <w:jc w:val="both"/>
              <w:rPr>
                <w:lang w:val="de-DE"/>
              </w:rPr>
            </w:pPr>
          </w:p>
          <w:p w14:paraId="0D8CF8AB" w14:textId="77777777" w:rsidR="00740C64" w:rsidRPr="004676F5" w:rsidRDefault="00740C64" w:rsidP="00C46B2E">
            <w:pPr>
              <w:jc w:val="both"/>
              <w:rPr>
                <w:lang w:val="de-DE"/>
              </w:rPr>
            </w:pPr>
            <w:r w:rsidRPr="004676F5">
              <w:rPr>
                <w:lang w:val="de-DE"/>
              </w:rPr>
              <w:t>(falls zutreffend)</w:t>
            </w:r>
          </w:p>
          <w:p w14:paraId="742C5FE8" w14:textId="77777777" w:rsidR="00740C64" w:rsidRPr="004676F5" w:rsidRDefault="00740C64" w:rsidP="00C46B2E">
            <w:pPr>
              <w:jc w:val="both"/>
              <w:rPr>
                <w:lang w:val="de-DE"/>
              </w:rPr>
            </w:pPr>
          </w:p>
          <w:p w14:paraId="6568326D" w14:textId="77777777" w:rsidR="00740C64" w:rsidRPr="004676F5" w:rsidRDefault="00740C64" w:rsidP="00C46B2E">
            <w:pPr>
              <w:jc w:val="both"/>
              <w:rPr>
                <w:lang w:val="de-DE"/>
              </w:rPr>
            </w:pPr>
            <w:r w:rsidRPr="004676F5">
              <w:rPr>
                <w:lang w:val="de-DE"/>
              </w:rPr>
              <w:t>Ausübung des Widerrufsrechts</w:t>
            </w:r>
          </w:p>
        </w:tc>
        <w:tc>
          <w:tcPr>
            <w:tcW w:w="4536" w:type="dxa"/>
            <w:tcBorders>
              <w:right w:val="nil"/>
            </w:tcBorders>
          </w:tcPr>
          <w:p w14:paraId="69637635" w14:textId="77777777" w:rsidR="00740C64" w:rsidRPr="004676F5" w:rsidRDefault="00740C64" w:rsidP="00C46B2E">
            <w:pPr>
              <w:jc w:val="both"/>
              <w:rPr>
                <w:lang w:val="de-DE"/>
              </w:rPr>
            </w:pPr>
          </w:p>
          <w:p w14:paraId="27BABDB3" w14:textId="77777777" w:rsidR="00740C64" w:rsidRPr="004676F5" w:rsidRDefault="00740C64" w:rsidP="00C46B2E">
            <w:pPr>
              <w:jc w:val="both"/>
              <w:rPr>
                <w:lang w:val="de-DE"/>
              </w:rPr>
            </w:pPr>
          </w:p>
          <w:p w14:paraId="420C4BD4" w14:textId="77777777" w:rsidR="00740C64" w:rsidRPr="004676F5" w:rsidRDefault="00740C64" w:rsidP="00C46B2E">
            <w:pPr>
              <w:jc w:val="both"/>
              <w:rPr>
                <w:lang w:val="de-DE"/>
              </w:rPr>
            </w:pPr>
          </w:p>
          <w:p w14:paraId="6CC5C8A6" w14:textId="77777777" w:rsidR="00740C64" w:rsidRPr="004676F5" w:rsidRDefault="00740C64" w:rsidP="00C46B2E">
            <w:pPr>
              <w:jc w:val="both"/>
              <w:rPr>
                <w:lang w:val="de-DE"/>
              </w:rPr>
            </w:pPr>
            <w:r w:rsidRPr="004676F5">
              <w:rPr>
                <w:lang w:val="de-DE"/>
              </w:rPr>
              <w:t>[Praktische Hinweise zur Ausübung des Widerrufsrechts, darunter Widerrufsfrist, Angabe der Anschrift, an die die Belehrung über das Widerrufsrecht zu senden ist, sowie Folgen bei Nichtausübung dieses Rechts]</w:t>
            </w:r>
          </w:p>
          <w:p w14:paraId="7AAF70D4" w14:textId="77777777" w:rsidR="00740C64" w:rsidRPr="004676F5" w:rsidRDefault="00740C64" w:rsidP="00C46B2E">
            <w:pPr>
              <w:jc w:val="both"/>
              <w:rPr>
                <w:lang w:val="de-DE"/>
              </w:rPr>
            </w:pPr>
          </w:p>
        </w:tc>
      </w:tr>
      <w:tr w:rsidR="00740C64" w:rsidRPr="00256F56" w14:paraId="18481326" w14:textId="77777777" w:rsidTr="00C46B2E">
        <w:trPr>
          <w:trHeight w:val="1104"/>
        </w:trPr>
        <w:tc>
          <w:tcPr>
            <w:tcW w:w="4536" w:type="dxa"/>
            <w:tcBorders>
              <w:left w:val="nil"/>
            </w:tcBorders>
          </w:tcPr>
          <w:p w14:paraId="0584DF72" w14:textId="77777777" w:rsidR="00740C64" w:rsidRPr="004676F5" w:rsidRDefault="00740C64" w:rsidP="00C46B2E">
            <w:pPr>
              <w:jc w:val="both"/>
              <w:rPr>
                <w:lang w:val="de-DE"/>
              </w:rPr>
            </w:pPr>
          </w:p>
          <w:p w14:paraId="557CBFD3" w14:textId="77777777" w:rsidR="00740C64" w:rsidRPr="004676F5" w:rsidRDefault="00740C64" w:rsidP="00C46B2E">
            <w:pPr>
              <w:jc w:val="both"/>
              <w:rPr>
                <w:lang w:val="de-DE"/>
              </w:rPr>
            </w:pPr>
            <w:r w:rsidRPr="004676F5">
              <w:rPr>
                <w:lang w:val="de-DE"/>
              </w:rPr>
              <w:t>(falls zutreffend)</w:t>
            </w:r>
          </w:p>
          <w:p w14:paraId="2DD7F053" w14:textId="77777777" w:rsidR="00740C64" w:rsidRPr="004676F5" w:rsidRDefault="00740C64" w:rsidP="00C46B2E">
            <w:pPr>
              <w:jc w:val="both"/>
              <w:rPr>
                <w:lang w:val="de-DE"/>
              </w:rPr>
            </w:pPr>
          </w:p>
          <w:p w14:paraId="502B5E7E" w14:textId="77777777" w:rsidR="00740C64" w:rsidRPr="004676F5" w:rsidRDefault="00740C64" w:rsidP="00C46B2E">
            <w:pPr>
              <w:jc w:val="both"/>
              <w:rPr>
                <w:lang w:val="de-DE"/>
              </w:rPr>
            </w:pPr>
            <w:r w:rsidRPr="004676F5">
              <w:rPr>
                <w:lang w:val="de-DE"/>
              </w:rPr>
              <w:t>Recht, das der Kreditgeber der Aufnahme von Beziehungen zu Ihnen vor Abschluss des Kreditvertrags zugrunde legt.</w:t>
            </w:r>
          </w:p>
        </w:tc>
        <w:tc>
          <w:tcPr>
            <w:tcW w:w="4536" w:type="dxa"/>
            <w:tcBorders>
              <w:right w:val="nil"/>
            </w:tcBorders>
          </w:tcPr>
          <w:p w14:paraId="2AD4E669" w14:textId="77777777" w:rsidR="00740C64" w:rsidRPr="004676F5" w:rsidRDefault="00740C64" w:rsidP="00C46B2E">
            <w:pPr>
              <w:jc w:val="both"/>
              <w:rPr>
                <w:lang w:val="de-DE"/>
              </w:rPr>
            </w:pPr>
            <w:r w:rsidRPr="004676F5">
              <w:rPr>
                <w:lang w:val="de-DE"/>
              </w:rPr>
              <w:t> </w:t>
            </w:r>
          </w:p>
          <w:p w14:paraId="44980D6E" w14:textId="77777777" w:rsidR="00740C64" w:rsidRPr="004676F5" w:rsidRDefault="00740C64" w:rsidP="00C46B2E">
            <w:pPr>
              <w:jc w:val="both"/>
              <w:rPr>
                <w:lang w:val="de-DE"/>
              </w:rPr>
            </w:pPr>
            <w:r w:rsidRPr="004676F5">
              <w:rPr>
                <w:lang w:val="de-DE"/>
              </w:rPr>
              <w:t> </w:t>
            </w:r>
          </w:p>
        </w:tc>
      </w:tr>
      <w:tr w:rsidR="00740C64" w:rsidRPr="004676F5" w14:paraId="6E981E46" w14:textId="77777777" w:rsidTr="00C46B2E">
        <w:trPr>
          <w:trHeight w:val="1932"/>
        </w:trPr>
        <w:tc>
          <w:tcPr>
            <w:tcW w:w="4536" w:type="dxa"/>
            <w:tcBorders>
              <w:left w:val="nil"/>
            </w:tcBorders>
          </w:tcPr>
          <w:p w14:paraId="201358A5" w14:textId="77777777" w:rsidR="00740C64" w:rsidRPr="004676F5" w:rsidRDefault="00740C64" w:rsidP="00C46B2E">
            <w:pPr>
              <w:jc w:val="both"/>
              <w:rPr>
                <w:lang w:val="de-DE"/>
              </w:rPr>
            </w:pPr>
          </w:p>
          <w:p w14:paraId="213C827E" w14:textId="77777777" w:rsidR="00740C64" w:rsidRPr="004676F5" w:rsidRDefault="00740C64" w:rsidP="00C46B2E">
            <w:pPr>
              <w:jc w:val="both"/>
              <w:rPr>
                <w:lang w:val="de-DE"/>
              </w:rPr>
            </w:pPr>
            <w:r w:rsidRPr="004676F5">
              <w:rPr>
                <w:lang w:val="de-DE"/>
              </w:rPr>
              <w:t>(falls zutreffend)</w:t>
            </w:r>
          </w:p>
          <w:p w14:paraId="2966D95E" w14:textId="77777777" w:rsidR="00740C64" w:rsidRPr="004676F5" w:rsidRDefault="00740C64" w:rsidP="00C46B2E">
            <w:pPr>
              <w:jc w:val="both"/>
              <w:rPr>
                <w:lang w:val="de-DE"/>
              </w:rPr>
            </w:pPr>
          </w:p>
          <w:p w14:paraId="69ADAA76" w14:textId="77777777" w:rsidR="00740C64" w:rsidRPr="004676F5" w:rsidRDefault="00740C64" w:rsidP="00C46B2E">
            <w:pPr>
              <w:jc w:val="both"/>
              <w:rPr>
                <w:lang w:val="de-DE"/>
              </w:rPr>
            </w:pPr>
            <w:r w:rsidRPr="004676F5">
              <w:rPr>
                <w:lang w:val="de-DE"/>
              </w:rPr>
              <w:t>Klauseln über das auf den Kreditvertrag anwendbare Recht und/oder die zuständige Gerichtsbarkeit</w:t>
            </w:r>
          </w:p>
          <w:p w14:paraId="46715D5D" w14:textId="77777777" w:rsidR="00740C64" w:rsidRPr="004676F5" w:rsidRDefault="00740C64" w:rsidP="00C46B2E">
            <w:pPr>
              <w:jc w:val="both"/>
              <w:rPr>
                <w:lang w:val="de-DE"/>
              </w:rPr>
            </w:pPr>
          </w:p>
        </w:tc>
        <w:tc>
          <w:tcPr>
            <w:tcW w:w="4536" w:type="dxa"/>
            <w:tcBorders>
              <w:right w:val="nil"/>
            </w:tcBorders>
          </w:tcPr>
          <w:p w14:paraId="0617933A" w14:textId="77777777" w:rsidR="00740C64" w:rsidRPr="004676F5" w:rsidRDefault="00740C64" w:rsidP="00C46B2E">
            <w:pPr>
              <w:jc w:val="both"/>
              <w:rPr>
                <w:lang w:val="de-DE"/>
              </w:rPr>
            </w:pPr>
          </w:p>
          <w:p w14:paraId="5177D4C3" w14:textId="77777777" w:rsidR="00740C64" w:rsidRPr="004676F5" w:rsidRDefault="00740C64" w:rsidP="00C46B2E">
            <w:pPr>
              <w:jc w:val="both"/>
              <w:rPr>
                <w:lang w:val="de-DE"/>
              </w:rPr>
            </w:pPr>
          </w:p>
          <w:p w14:paraId="7D2A1B9F" w14:textId="77777777" w:rsidR="00740C64" w:rsidRPr="004676F5" w:rsidRDefault="00740C64" w:rsidP="00C46B2E">
            <w:pPr>
              <w:jc w:val="both"/>
              <w:rPr>
                <w:lang w:val="de-DE"/>
              </w:rPr>
            </w:pPr>
          </w:p>
          <w:p w14:paraId="53729A59" w14:textId="77777777" w:rsidR="00740C64" w:rsidRPr="004676F5" w:rsidRDefault="00740C64" w:rsidP="00C46B2E">
            <w:pPr>
              <w:jc w:val="both"/>
              <w:rPr>
                <w:lang w:val="de-DE"/>
              </w:rPr>
            </w:pPr>
            <w:r w:rsidRPr="004676F5">
              <w:rPr>
                <w:lang w:val="de-DE"/>
              </w:rPr>
              <w:t>[Entsprechende Klausel hier wiedergeben]</w:t>
            </w:r>
          </w:p>
        </w:tc>
      </w:tr>
      <w:tr w:rsidR="00740C64" w:rsidRPr="00256F56" w14:paraId="100E4A79" w14:textId="77777777" w:rsidTr="00C46B2E">
        <w:trPr>
          <w:trHeight w:val="1656"/>
        </w:trPr>
        <w:tc>
          <w:tcPr>
            <w:tcW w:w="4536" w:type="dxa"/>
            <w:tcBorders>
              <w:left w:val="nil"/>
            </w:tcBorders>
          </w:tcPr>
          <w:p w14:paraId="5CCE4A61" w14:textId="77777777" w:rsidR="00740C64" w:rsidRPr="004676F5" w:rsidRDefault="00740C64" w:rsidP="00C46B2E">
            <w:pPr>
              <w:jc w:val="both"/>
              <w:rPr>
                <w:lang w:val="de-DE"/>
              </w:rPr>
            </w:pPr>
          </w:p>
          <w:p w14:paraId="71085B41" w14:textId="77777777" w:rsidR="00740C64" w:rsidRPr="004676F5" w:rsidRDefault="00740C64" w:rsidP="00C46B2E">
            <w:pPr>
              <w:jc w:val="both"/>
              <w:rPr>
                <w:lang w:val="de-DE"/>
              </w:rPr>
            </w:pPr>
            <w:r w:rsidRPr="004676F5">
              <w:rPr>
                <w:lang w:val="de-DE"/>
              </w:rPr>
              <w:t>(falls zutreffend)</w:t>
            </w:r>
          </w:p>
          <w:p w14:paraId="68A1BBA8" w14:textId="77777777" w:rsidR="00740C64" w:rsidRPr="004676F5" w:rsidRDefault="00740C64" w:rsidP="00C46B2E">
            <w:pPr>
              <w:jc w:val="both"/>
              <w:rPr>
                <w:lang w:val="de-DE"/>
              </w:rPr>
            </w:pPr>
          </w:p>
          <w:p w14:paraId="1FA8FD5E" w14:textId="77777777" w:rsidR="00740C64" w:rsidRPr="004676F5" w:rsidRDefault="00740C64" w:rsidP="00C46B2E">
            <w:pPr>
              <w:jc w:val="both"/>
              <w:rPr>
                <w:lang w:val="de-DE"/>
              </w:rPr>
            </w:pPr>
            <w:r w:rsidRPr="004676F5">
              <w:rPr>
                <w:lang w:val="de-DE"/>
              </w:rPr>
              <w:t>Sprachenregelung</w:t>
            </w:r>
          </w:p>
        </w:tc>
        <w:tc>
          <w:tcPr>
            <w:tcW w:w="4536" w:type="dxa"/>
            <w:tcBorders>
              <w:right w:val="nil"/>
            </w:tcBorders>
          </w:tcPr>
          <w:p w14:paraId="310CB0C1" w14:textId="77777777" w:rsidR="00740C64" w:rsidRPr="004676F5" w:rsidRDefault="00740C64" w:rsidP="00C46B2E">
            <w:pPr>
              <w:jc w:val="both"/>
              <w:rPr>
                <w:lang w:val="de-DE"/>
              </w:rPr>
            </w:pPr>
          </w:p>
          <w:p w14:paraId="4EE59908" w14:textId="77777777" w:rsidR="00740C64" w:rsidRPr="004676F5" w:rsidRDefault="00740C64" w:rsidP="00C46B2E">
            <w:pPr>
              <w:jc w:val="both"/>
              <w:rPr>
                <w:lang w:val="de-DE"/>
              </w:rPr>
            </w:pPr>
          </w:p>
          <w:p w14:paraId="592C953B" w14:textId="77777777" w:rsidR="00740C64" w:rsidRPr="004676F5" w:rsidRDefault="00740C64" w:rsidP="00C46B2E">
            <w:pPr>
              <w:jc w:val="both"/>
              <w:rPr>
                <w:lang w:val="de-DE"/>
              </w:rPr>
            </w:pPr>
          </w:p>
          <w:p w14:paraId="1E65E3A9" w14:textId="77777777" w:rsidR="00740C64" w:rsidRPr="004676F5" w:rsidRDefault="00740C64" w:rsidP="00C46B2E">
            <w:pPr>
              <w:jc w:val="both"/>
              <w:rPr>
                <w:lang w:val="de-DE"/>
              </w:rPr>
            </w:pPr>
            <w:r w:rsidRPr="004676F5">
              <w:rPr>
                <w:lang w:val="de-DE"/>
              </w:rPr>
              <w:t>Die Informationen und Vertragsbedingun</w:t>
            </w:r>
            <w:r w:rsidRPr="004676F5">
              <w:rPr>
                <w:lang w:val="de-DE"/>
              </w:rPr>
              <w:softHyphen/>
              <w:t>gen werden in [Angabe der Sprache] vorgelegt. Mit Ihrer Zustimmung werden wir während der Laufzeit des Kreditvertrags in [Angabe der Sprache(n)] mit Ihnen Kontakt halten.</w:t>
            </w:r>
          </w:p>
          <w:p w14:paraId="45DB7B19" w14:textId="77777777" w:rsidR="00740C64" w:rsidRPr="004676F5" w:rsidRDefault="00740C64" w:rsidP="00C46B2E">
            <w:pPr>
              <w:jc w:val="both"/>
              <w:rPr>
                <w:lang w:val="de-DE"/>
              </w:rPr>
            </w:pPr>
          </w:p>
        </w:tc>
      </w:tr>
    </w:tbl>
    <w:p w14:paraId="0F4BB603" w14:textId="77777777" w:rsidR="00F4739A" w:rsidRPr="004676F5" w:rsidRDefault="00F4739A">
      <w:pPr>
        <w:rPr>
          <w:lang w:val="de-DE"/>
        </w:rPr>
      </w:pPr>
      <w:r w:rsidRPr="004676F5">
        <w:rPr>
          <w:lang w:val="de-DE"/>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4676F5" w14:paraId="1E05538C" w14:textId="77777777" w:rsidTr="00C46B2E">
        <w:trPr>
          <w:trHeight w:val="802"/>
        </w:trPr>
        <w:tc>
          <w:tcPr>
            <w:tcW w:w="4536" w:type="dxa"/>
            <w:tcBorders>
              <w:left w:val="nil"/>
            </w:tcBorders>
          </w:tcPr>
          <w:p w14:paraId="66925174" w14:textId="77777777" w:rsidR="00740C64" w:rsidRPr="004676F5" w:rsidRDefault="00740C64" w:rsidP="00C46B2E">
            <w:pPr>
              <w:jc w:val="both"/>
              <w:rPr>
                <w:lang w:val="de-DE"/>
              </w:rPr>
            </w:pPr>
          </w:p>
          <w:p w14:paraId="164BAA1B" w14:textId="77777777" w:rsidR="00740C64" w:rsidRPr="004676F5" w:rsidRDefault="00740C64" w:rsidP="00C46B2E">
            <w:pPr>
              <w:jc w:val="both"/>
              <w:rPr>
                <w:lang w:val="de-DE"/>
              </w:rPr>
            </w:pPr>
            <w:r w:rsidRPr="004676F5">
              <w:rPr>
                <w:lang w:val="de-DE"/>
              </w:rPr>
              <w:t>c) zu den Rechtsmitteln</w:t>
            </w:r>
          </w:p>
          <w:p w14:paraId="6FC994EA" w14:textId="77777777" w:rsidR="00740C64" w:rsidRPr="004676F5" w:rsidRDefault="00740C64" w:rsidP="00C46B2E">
            <w:pPr>
              <w:jc w:val="both"/>
              <w:rPr>
                <w:lang w:val="de-DE"/>
              </w:rPr>
            </w:pPr>
          </w:p>
        </w:tc>
        <w:tc>
          <w:tcPr>
            <w:tcW w:w="4536" w:type="dxa"/>
            <w:tcBorders>
              <w:right w:val="nil"/>
            </w:tcBorders>
          </w:tcPr>
          <w:p w14:paraId="2362BD4F" w14:textId="77777777" w:rsidR="00740C64" w:rsidRPr="004676F5" w:rsidRDefault="00740C64" w:rsidP="00C46B2E">
            <w:pPr>
              <w:jc w:val="both"/>
              <w:rPr>
                <w:lang w:val="de-DE"/>
              </w:rPr>
            </w:pPr>
          </w:p>
        </w:tc>
      </w:tr>
      <w:tr w:rsidR="00740C64" w:rsidRPr="00256F56" w14:paraId="794EDA5D" w14:textId="77777777" w:rsidTr="00C46B2E">
        <w:trPr>
          <w:trHeight w:val="1656"/>
        </w:trPr>
        <w:tc>
          <w:tcPr>
            <w:tcW w:w="4536" w:type="dxa"/>
            <w:tcBorders>
              <w:left w:val="nil"/>
            </w:tcBorders>
          </w:tcPr>
          <w:p w14:paraId="4D62DF26" w14:textId="77777777" w:rsidR="00740C64" w:rsidRPr="004676F5" w:rsidRDefault="00740C64" w:rsidP="00C46B2E">
            <w:pPr>
              <w:jc w:val="both"/>
              <w:rPr>
                <w:lang w:val="de-DE"/>
              </w:rPr>
            </w:pPr>
          </w:p>
          <w:p w14:paraId="6517A4F8" w14:textId="5961B637" w:rsidR="00740C64" w:rsidRPr="004676F5" w:rsidRDefault="00740C64" w:rsidP="00C46B2E">
            <w:pPr>
              <w:jc w:val="both"/>
              <w:rPr>
                <w:lang w:val="de-DE"/>
              </w:rPr>
            </w:pPr>
            <w:r w:rsidRPr="004676F5">
              <w:rPr>
                <w:lang w:val="de-DE"/>
              </w:rPr>
              <w:t>Verfügbarkeit außergerichtlicher Beschwer</w:t>
            </w:r>
            <w:r w:rsidRPr="004676F5">
              <w:rPr>
                <w:lang w:val="de-DE"/>
              </w:rPr>
              <w:softHyphen/>
              <w:t>de</w:t>
            </w:r>
            <w:r w:rsidR="005B7A5C" w:rsidRPr="004676F5">
              <w:rPr>
                <w:lang w:val="de-DE"/>
              </w:rPr>
              <w:t>- </w:t>
            </w:r>
            <w:r w:rsidRPr="004676F5">
              <w:rPr>
                <w:lang w:val="de-DE"/>
              </w:rPr>
              <w:t>und Rechtsbehelfsverfahren und Zugang dazu</w:t>
            </w:r>
          </w:p>
        </w:tc>
        <w:tc>
          <w:tcPr>
            <w:tcW w:w="4536" w:type="dxa"/>
            <w:tcBorders>
              <w:right w:val="nil"/>
            </w:tcBorders>
          </w:tcPr>
          <w:p w14:paraId="5720BB13" w14:textId="77777777" w:rsidR="00740C64" w:rsidRPr="004676F5" w:rsidRDefault="00740C64" w:rsidP="00C46B2E">
            <w:pPr>
              <w:jc w:val="both"/>
              <w:rPr>
                <w:lang w:val="de-DE"/>
              </w:rPr>
            </w:pPr>
          </w:p>
          <w:p w14:paraId="1DB5A0D8" w14:textId="2E8948A2" w:rsidR="00740C64" w:rsidRPr="004676F5" w:rsidRDefault="00740C64" w:rsidP="00C46B2E">
            <w:pPr>
              <w:jc w:val="both"/>
              <w:rPr>
                <w:lang w:val="de-DE"/>
              </w:rPr>
            </w:pPr>
            <w:r w:rsidRPr="004676F5">
              <w:rPr>
                <w:lang w:val="de-DE"/>
              </w:rPr>
              <w:t>[Angabe, ob der Verbraucher, der Vertrags</w:t>
            </w:r>
            <w:r w:rsidRPr="004676F5">
              <w:rPr>
                <w:lang w:val="de-DE"/>
              </w:rPr>
              <w:softHyphen/>
              <w:t>partei eines Fernabsatzvertrags ist, Zugang zu einem außergerichtlichen Beschwerde</w:t>
            </w:r>
            <w:r w:rsidR="005B7A5C" w:rsidRPr="004676F5">
              <w:rPr>
                <w:lang w:val="de-DE"/>
              </w:rPr>
              <w:t>- </w:t>
            </w:r>
            <w:r w:rsidRPr="004676F5">
              <w:rPr>
                <w:lang w:val="de-DE"/>
              </w:rPr>
              <w:t>und Rechtsbehelfsverfahren hat, und gegebenenfalls die Voraussetzungen für diesen Zugang]</w:t>
            </w:r>
          </w:p>
          <w:p w14:paraId="5BE8493F" w14:textId="77777777" w:rsidR="00740C64" w:rsidRPr="004676F5" w:rsidRDefault="00740C64" w:rsidP="00C46B2E">
            <w:pPr>
              <w:jc w:val="both"/>
              <w:rPr>
                <w:lang w:val="de-DE"/>
              </w:rPr>
            </w:pPr>
          </w:p>
        </w:tc>
      </w:tr>
      <w:tr w:rsidR="00740C64" w:rsidRPr="004676F5" w14:paraId="09A31708" w14:textId="77777777" w:rsidTr="00C46B2E">
        <w:trPr>
          <w:trHeight w:val="703"/>
        </w:trPr>
        <w:tc>
          <w:tcPr>
            <w:tcW w:w="9072" w:type="dxa"/>
            <w:gridSpan w:val="2"/>
            <w:tcBorders>
              <w:left w:val="nil"/>
              <w:right w:val="nil"/>
            </w:tcBorders>
          </w:tcPr>
          <w:p w14:paraId="611C11E0" w14:textId="77777777" w:rsidR="00740C64" w:rsidRPr="004676F5" w:rsidRDefault="00740C64" w:rsidP="00C46B2E">
            <w:pPr>
              <w:jc w:val="both"/>
              <w:rPr>
                <w:sz w:val="20"/>
                <w:szCs w:val="20"/>
                <w:lang w:val="de-DE"/>
              </w:rPr>
            </w:pPr>
          </w:p>
          <w:p w14:paraId="0CE6B464" w14:textId="77777777" w:rsidR="00740C64" w:rsidRPr="004676F5" w:rsidRDefault="00740C64" w:rsidP="00C46B2E">
            <w:pPr>
              <w:jc w:val="both"/>
              <w:rPr>
                <w:lang w:val="de-DE"/>
              </w:rPr>
            </w:pPr>
            <w:r w:rsidRPr="004676F5">
              <w:rPr>
                <w:sz w:val="20"/>
                <w:lang w:val="de-DE"/>
              </w:rPr>
              <w:t>(*) Freiwillige Angabe des Kreditgebers</w:t>
            </w:r>
          </w:p>
        </w:tc>
      </w:tr>
    </w:tbl>
    <w:p w14:paraId="50B731F2" w14:textId="77777777" w:rsidR="00740C64" w:rsidRPr="004676F5" w:rsidRDefault="00740C64" w:rsidP="00740C64">
      <w:pPr>
        <w:jc w:val="both"/>
        <w:rPr>
          <w:lang w:val="de-DE"/>
        </w:rPr>
      </w:pPr>
      <w:bookmarkStart w:id="6" w:name="tnt10_*"/>
      <w:bookmarkEnd w:id="6"/>
    </w:p>
    <w:p w14:paraId="1F03F8EB" w14:textId="77777777" w:rsidR="00740C64" w:rsidRPr="004676F5" w:rsidRDefault="00740C64" w:rsidP="00740C64">
      <w:pPr>
        <w:jc w:val="center"/>
        <w:rPr>
          <w:b/>
          <w:lang w:val="de-DE"/>
        </w:rPr>
      </w:pPr>
      <w:r w:rsidRPr="004676F5">
        <w:rPr>
          <w:lang w:val="de-DE"/>
        </w:rPr>
        <w:br w:type="page"/>
      </w:r>
      <w:r w:rsidR="00F4739A" w:rsidRPr="004676F5">
        <w:rPr>
          <w:b/>
          <w:lang w:val="de-DE"/>
        </w:rPr>
        <w:lastRenderedPageBreak/>
        <w:t>Anlage 2</w:t>
      </w:r>
    </w:p>
    <w:p w14:paraId="76710757" w14:textId="77777777" w:rsidR="00740C64" w:rsidRPr="004676F5" w:rsidRDefault="00740C64" w:rsidP="00740C64">
      <w:pPr>
        <w:jc w:val="center"/>
        <w:rPr>
          <w:b/>
          <w:bCs/>
          <w:lang w:val="de-DE"/>
        </w:rPr>
      </w:pPr>
    </w:p>
    <w:p w14:paraId="693388BE" w14:textId="77777777" w:rsidR="00740C64" w:rsidRPr="004676F5" w:rsidRDefault="00740C64" w:rsidP="00740C64">
      <w:pPr>
        <w:jc w:val="center"/>
        <w:rPr>
          <w:b/>
          <w:bCs/>
          <w:lang w:val="de-DE"/>
        </w:rPr>
      </w:pPr>
      <w:r w:rsidRPr="004676F5">
        <w:rPr>
          <w:b/>
          <w:lang w:val="de-DE"/>
        </w:rPr>
        <w:t xml:space="preserve">EUROPÄISCHE STANDARDINFORMATIONEN FÜR VERBRAUCHERKREDITE (SECCI) (Artikel VII.71 des Wirtschaftsgesetzbuches) </w:t>
      </w:r>
    </w:p>
    <w:p w14:paraId="7911CFD7" w14:textId="77777777" w:rsidR="00740C64" w:rsidRPr="004676F5" w:rsidRDefault="00740C64" w:rsidP="00740C64">
      <w:pPr>
        <w:jc w:val="center"/>
        <w:rPr>
          <w:b/>
          <w:bCs/>
          <w:lang w:val="de-DE"/>
        </w:rPr>
      </w:pPr>
    </w:p>
    <w:p w14:paraId="3B5F5DBF" w14:textId="77777777" w:rsidR="00740C64" w:rsidRPr="004676F5" w:rsidRDefault="00740C64" w:rsidP="00740C64">
      <w:pPr>
        <w:jc w:val="both"/>
        <w:rPr>
          <w:b/>
          <w:lang w:val="de-DE"/>
        </w:rPr>
      </w:pPr>
      <w:r w:rsidRPr="004676F5">
        <w:rPr>
          <w:b/>
          <w:lang w:val="de-DE"/>
        </w:rPr>
        <w:t>1. Name und Kontaktangaben des Kreditgebers/Kreditvermittlers</w:t>
      </w:r>
    </w:p>
    <w:p w14:paraId="549C3EEE" w14:textId="77777777" w:rsidR="00740C64" w:rsidRPr="004676F5" w:rsidRDefault="00740C64" w:rsidP="00740C64">
      <w:pPr>
        <w:jc w:val="both"/>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256F56" w14:paraId="5B854519" w14:textId="77777777" w:rsidTr="00C46B2E">
        <w:trPr>
          <w:trHeight w:val="1947"/>
        </w:trPr>
        <w:tc>
          <w:tcPr>
            <w:tcW w:w="4536" w:type="dxa"/>
            <w:tcBorders>
              <w:left w:val="nil"/>
            </w:tcBorders>
          </w:tcPr>
          <w:p w14:paraId="09270270" w14:textId="77777777" w:rsidR="00740C64" w:rsidRPr="004676F5" w:rsidRDefault="00740C64" w:rsidP="00C46B2E">
            <w:pPr>
              <w:jc w:val="both"/>
              <w:rPr>
                <w:lang w:val="de-DE"/>
              </w:rPr>
            </w:pPr>
          </w:p>
          <w:p w14:paraId="38952B39" w14:textId="77777777" w:rsidR="00740C64" w:rsidRPr="004676F5" w:rsidRDefault="00740C64" w:rsidP="00C46B2E">
            <w:pPr>
              <w:jc w:val="both"/>
              <w:rPr>
                <w:lang w:val="de-DE"/>
              </w:rPr>
            </w:pPr>
            <w:r w:rsidRPr="004676F5">
              <w:rPr>
                <w:lang w:val="de-DE"/>
              </w:rPr>
              <w:t>Kreditgeber</w:t>
            </w:r>
          </w:p>
          <w:p w14:paraId="4DA80DD0" w14:textId="77777777" w:rsidR="00740C64" w:rsidRPr="004676F5" w:rsidRDefault="00740C64" w:rsidP="00C46B2E">
            <w:pPr>
              <w:jc w:val="both"/>
              <w:rPr>
                <w:lang w:val="de-DE"/>
              </w:rPr>
            </w:pPr>
            <w:r w:rsidRPr="004676F5">
              <w:rPr>
                <w:lang w:val="de-DE"/>
              </w:rPr>
              <w:t>Anschrift</w:t>
            </w:r>
          </w:p>
          <w:p w14:paraId="4326B1D0" w14:textId="77777777" w:rsidR="00740C64" w:rsidRPr="004676F5" w:rsidRDefault="00740C64" w:rsidP="00C46B2E">
            <w:pPr>
              <w:jc w:val="both"/>
              <w:rPr>
                <w:lang w:val="de-DE"/>
              </w:rPr>
            </w:pPr>
            <w:r w:rsidRPr="004676F5">
              <w:rPr>
                <w:lang w:val="de-DE"/>
              </w:rPr>
              <w:t>Telefon (*)</w:t>
            </w:r>
          </w:p>
          <w:p w14:paraId="3E805CD1" w14:textId="77777777" w:rsidR="00740C64" w:rsidRPr="004676F5" w:rsidRDefault="00740C64" w:rsidP="00C46B2E">
            <w:pPr>
              <w:jc w:val="both"/>
              <w:rPr>
                <w:lang w:val="de-DE"/>
              </w:rPr>
            </w:pPr>
            <w:r w:rsidRPr="004676F5">
              <w:rPr>
                <w:lang w:val="de-DE"/>
              </w:rPr>
              <w:t>E-Mail (*)</w:t>
            </w:r>
          </w:p>
          <w:p w14:paraId="5D75991D" w14:textId="77777777" w:rsidR="00740C64" w:rsidRPr="004676F5" w:rsidRDefault="00740C64" w:rsidP="00C46B2E">
            <w:pPr>
              <w:jc w:val="both"/>
              <w:rPr>
                <w:lang w:val="de-DE"/>
              </w:rPr>
            </w:pPr>
            <w:r w:rsidRPr="004676F5">
              <w:rPr>
                <w:lang w:val="de-DE"/>
              </w:rPr>
              <w:t>Fax (*)</w:t>
            </w:r>
          </w:p>
          <w:p w14:paraId="037FC98D" w14:textId="77777777" w:rsidR="00740C64" w:rsidRPr="004676F5" w:rsidRDefault="00740C64" w:rsidP="00C46B2E">
            <w:pPr>
              <w:jc w:val="both"/>
              <w:rPr>
                <w:lang w:val="de-DE"/>
              </w:rPr>
            </w:pPr>
            <w:r w:rsidRPr="004676F5">
              <w:rPr>
                <w:lang w:val="de-DE"/>
              </w:rPr>
              <w:t>Internet-Adresse (*)</w:t>
            </w:r>
          </w:p>
          <w:p w14:paraId="5863DBCC" w14:textId="77777777" w:rsidR="00740C64" w:rsidRPr="004676F5" w:rsidRDefault="00740C64" w:rsidP="00C46B2E">
            <w:pPr>
              <w:jc w:val="both"/>
              <w:rPr>
                <w:lang w:val="de-DE"/>
              </w:rPr>
            </w:pPr>
          </w:p>
        </w:tc>
        <w:tc>
          <w:tcPr>
            <w:tcW w:w="4536" w:type="dxa"/>
            <w:tcBorders>
              <w:right w:val="nil"/>
            </w:tcBorders>
          </w:tcPr>
          <w:p w14:paraId="09F3F615" w14:textId="77777777" w:rsidR="00740C64" w:rsidRPr="004676F5" w:rsidRDefault="00740C64" w:rsidP="00C46B2E">
            <w:pPr>
              <w:jc w:val="both"/>
              <w:rPr>
                <w:lang w:val="de-DE"/>
              </w:rPr>
            </w:pPr>
          </w:p>
          <w:p w14:paraId="6F34365A" w14:textId="77777777" w:rsidR="00740C64" w:rsidRPr="004676F5" w:rsidRDefault="00740C64" w:rsidP="00C46B2E">
            <w:pPr>
              <w:jc w:val="both"/>
              <w:rPr>
                <w:lang w:val="de-DE"/>
              </w:rPr>
            </w:pPr>
            <w:r w:rsidRPr="004676F5">
              <w:rPr>
                <w:lang w:val="de-DE"/>
              </w:rPr>
              <w:t>[Name einschließlich Unternehmens</w:t>
            </w:r>
            <w:r w:rsidRPr="004676F5">
              <w:rPr>
                <w:lang w:val="de-DE"/>
              </w:rPr>
              <w:softHyphen/>
              <w:t>nummer]</w:t>
            </w:r>
          </w:p>
          <w:p w14:paraId="411619C6" w14:textId="77777777" w:rsidR="00740C64" w:rsidRPr="004676F5" w:rsidRDefault="00740C64" w:rsidP="00C46B2E">
            <w:pPr>
              <w:jc w:val="both"/>
              <w:rPr>
                <w:lang w:val="de-DE"/>
              </w:rPr>
            </w:pPr>
            <w:r w:rsidRPr="004676F5">
              <w:rPr>
                <w:lang w:val="de-DE"/>
              </w:rPr>
              <w:t>[Anschrift für Kontakte mit dem Ver</w:t>
            </w:r>
            <w:r w:rsidRPr="004676F5">
              <w:rPr>
                <w:lang w:val="de-DE"/>
              </w:rPr>
              <w:softHyphen/>
              <w:t>braucher]</w:t>
            </w:r>
          </w:p>
          <w:p w14:paraId="07E79D2C" w14:textId="77777777" w:rsidR="00740C64" w:rsidRPr="004676F5" w:rsidRDefault="00740C64" w:rsidP="00C46B2E">
            <w:pPr>
              <w:jc w:val="both"/>
              <w:rPr>
                <w:lang w:val="de-DE"/>
              </w:rPr>
            </w:pPr>
          </w:p>
        </w:tc>
      </w:tr>
      <w:tr w:rsidR="00740C64" w:rsidRPr="00256F56" w14:paraId="089D6353" w14:textId="77777777" w:rsidTr="00C46B2E">
        <w:trPr>
          <w:trHeight w:val="1932"/>
        </w:trPr>
        <w:tc>
          <w:tcPr>
            <w:tcW w:w="4536" w:type="dxa"/>
            <w:tcBorders>
              <w:left w:val="nil"/>
            </w:tcBorders>
          </w:tcPr>
          <w:p w14:paraId="22B8BF0E" w14:textId="77777777" w:rsidR="00740C64" w:rsidRPr="004676F5" w:rsidRDefault="00740C64" w:rsidP="00C46B2E">
            <w:pPr>
              <w:jc w:val="both"/>
              <w:rPr>
                <w:lang w:val="de-DE"/>
              </w:rPr>
            </w:pPr>
            <w:bookmarkStart w:id="7" w:name="reftnt17_*" w:colFirst="0" w:colLast="0"/>
            <w:bookmarkEnd w:id="7"/>
          </w:p>
          <w:p w14:paraId="24862FF0" w14:textId="77777777" w:rsidR="00740C64" w:rsidRPr="004676F5" w:rsidRDefault="00740C64" w:rsidP="00C46B2E">
            <w:pPr>
              <w:jc w:val="both"/>
              <w:rPr>
                <w:lang w:val="de-DE"/>
              </w:rPr>
            </w:pPr>
            <w:r w:rsidRPr="004676F5">
              <w:rPr>
                <w:lang w:val="de-DE"/>
              </w:rPr>
              <w:t>(falls zutreffend)</w:t>
            </w:r>
          </w:p>
          <w:p w14:paraId="4AE9D856" w14:textId="77777777" w:rsidR="00740C64" w:rsidRPr="004676F5" w:rsidRDefault="00740C64" w:rsidP="00C46B2E">
            <w:pPr>
              <w:jc w:val="both"/>
              <w:rPr>
                <w:lang w:val="de-DE"/>
              </w:rPr>
            </w:pPr>
          </w:p>
          <w:p w14:paraId="081D4665" w14:textId="77777777" w:rsidR="00740C64" w:rsidRPr="004676F5" w:rsidRDefault="00740C64" w:rsidP="00C46B2E">
            <w:pPr>
              <w:jc w:val="both"/>
              <w:rPr>
                <w:lang w:val="de-DE"/>
              </w:rPr>
            </w:pPr>
            <w:r w:rsidRPr="004676F5">
              <w:rPr>
                <w:lang w:val="de-DE"/>
              </w:rPr>
              <w:t>Kreditvermittler</w:t>
            </w:r>
          </w:p>
          <w:p w14:paraId="66223A6D" w14:textId="77777777" w:rsidR="00740C64" w:rsidRPr="004676F5" w:rsidRDefault="00740C64" w:rsidP="00C46B2E">
            <w:pPr>
              <w:jc w:val="both"/>
              <w:rPr>
                <w:lang w:val="de-DE"/>
              </w:rPr>
            </w:pPr>
            <w:r w:rsidRPr="004676F5">
              <w:rPr>
                <w:lang w:val="de-DE"/>
              </w:rPr>
              <w:t>Anschrift</w:t>
            </w:r>
          </w:p>
          <w:p w14:paraId="4A28481B" w14:textId="77777777" w:rsidR="00740C64" w:rsidRPr="004676F5" w:rsidRDefault="00740C64" w:rsidP="00C46B2E">
            <w:pPr>
              <w:jc w:val="both"/>
              <w:rPr>
                <w:lang w:val="de-DE"/>
              </w:rPr>
            </w:pPr>
            <w:r w:rsidRPr="004676F5">
              <w:rPr>
                <w:lang w:val="de-DE"/>
              </w:rPr>
              <w:t>Telefon (*)</w:t>
            </w:r>
          </w:p>
          <w:p w14:paraId="06630BDA" w14:textId="77777777" w:rsidR="00740C64" w:rsidRPr="00256F56" w:rsidRDefault="00740C64" w:rsidP="00C46B2E">
            <w:pPr>
              <w:jc w:val="both"/>
              <w:rPr>
                <w:lang w:val="fr-BE"/>
              </w:rPr>
            </w:pPr>
            <w:r w:rsidRPr="00256F56">
              <w:rPr>
                <w:lang w:val="fr-BE"/>
              </w:rPr>
              <w:t>E-Mail (*)</w:t>
            </w:r>
          </w:p>
          <w:p w14:paraId="20CA6E15" w14:textId="77777777" w:rsidR="00740C64" w:rsidRPr="00256F56" w:rsidRDefault="00740C64" w:rsidP="00C46B2E">
            <w:pPr>
              <w:jc w:val="both"/>
              <w:rPr>
                <w:lang w:val="fr-BE"/>
              </w:rPr>
            </w:pPr>
            <w:r w:rsidRPr="00256F56">
              <w:rPr>
                <w:lang w:val="fr-BE"/>
              </w:rPr>
              <w:t>Fax (*)</w:t>
            </w:r>
          </w:p>
          <w:p w14:paraId="10EDE4D6" w14:textId="77777777" w:rsidR="00740C64" w:rsidRPr="00256F56" w:rsidRDefault="00740C64" w:rsidP="00C46B2E">
            <w:pPr>
              <w:jc w:val="both"/>
              <w:rPr>
                <w:lang w:val="fr-BE"/>
              </w:rPr>
            </w:pPr>
            <w:r w:rsidRPr="00256F56">
              <w:rPr>
                <w:lang w:val="fr-BE"/>
              </w:rPr>
              <w:t>Internet-Adresse (*)</w:t>
            </w:r>
          </w:p>
          <w:p w14:paraId="1170AAFB" w14:textId="77777777" w:rsidR="00740C64" w:rsidRPr="00256F56" w:rsidRDefault="00740C64" w:rsidP="00C46B2E">
            <w:pPr>
              <w:jc w:val="both"/>
              <w:rPr>
                <w:lang w:val="fr-BE"/>
              </w:rPr>
            </w:pPr>
          </w:p>
        </w:tc>
        <w:tc>
          <w:tcPr>
            <w:tcW w:w="4536" w:type="dxa"/>
            <w:tcBorders>
              <w:right w:val="nil"/>
            </w:tcBorders>
          </w:tcPr>
          <w:p w14:paraId="2A5C0C5E" w14:textId="77777777" w:rsidR="00740C64" w:rsidRPr="00256F56" w:rsidRDefault="00740C64" w:rsidP="00C46B2E">
            <w:pPr>
              <w:jc w:val="both"/>
              <w:rPr>
                <w:lang w:val="fr-BE"/>
              </w:rPr>
            </w:pPr>
          </w:p>
          <w:p w14:paraId="285339EE" w14:textId="77777777" w:rsidR="00740C64" w:rsidRPr="00256F56" w:rsidRDefault="00740C64" w:rsidP="00C46B2E">
            <w:pPr>
              <w:jc w:val="both"/>
              <w:rPr>
                <w:lang w:val="fr-BE"/>
              </w:rPr>
            </w:pPr>
          </w:p>
          <w:p w14:paraId="1BE239C1" w14:textId="77777777" w:rsidR="00740C64" w:rsidRPr="00256F56" w:rsidRDefault="00740C64" w:rsidP="00C46B2E">
            <w:pPr>
              <w:jc w:val="both"/>
              <w:rPr>
                <w:lang w:val="fr-BE"/>
              </w:rPr>
            </w:pPr>
          </w:p>
          <w:p w14:paraId="50CE4FDE" w14:textId="77777777" w:rsidR="00740C64" w:rsidRPr="004676F5" w:rsidRDefault="00740C64" w:rsidP="00C46B2E">
            <w:pPr>
              <w:jc w:val="both"/>
              <w:rPr>
                <w:lang w:val="de-DE"/>
              </w:rPr>
            </w:pPr>
            <w:r w:rsidRPr="004676F5">
              <w:rPr>
                <w:lang w:val="de-DE"/>
              </w:rPr>
              <w:t>[Name einschließlich Unternehmens</w:t>
            </w:r>
            <w:r w:rsidRPr="004676F5">
              <w:rPr>
                <w:lang w:val="de-DE"/>
              </w:rPr>
              <w:softHyphen/>
              <w:t>nummer]</w:t>
            </w:r>
          </w:p>
          <w:p w14:paraId="15DADEAE" w14:textId="77777777" w:rsidR="00740C64" w:rsidRPr="004676F5" w:rsidRDefault="00740C64" w:rsidP="00C46B2E">
            <w:pPr>
              <w:jc w:val="both"/>
              <w:rPr>
                <w:lang w:val="de-DE"/>
              </w:rPr>
            </w:pPr>
            <w:r w:rsidRPr="004676F5">
              <w:rPr>
                <w:lang w:val="de-DE"/>
              </w:rPr>
              <w:t>[Anschrift für Kontakte mit dem Ver</w:t>
            </w:r>
            <w:r w:rsidRPr="004676F5">
              <w:rPr>
                <w:lang w:val="de-DE"/>
              </w:rPr>
              <w:softHyphen/>
              <w:t>braucher]</w:t>
            </w:r>
          </w:p>
        </w:tc>
      </w:tr>
      <w:tr w:rsidR="00740C64" w:rsidRPr="004676F5" w14:paraId="36F6B1B1" w14:textId="77777777" w:rsidTr="00C46B2E">
        <w:trPr>
          <w:trHeight w:val="774"/>
        </w:trPr>
        <w:tc>
          <w:tcPr>
            <w:tcW w:w="4536" w:type="dxa"/>
            <w:gridSpan w:val="2"/>
            <w:tcBorders>
              <w:left w:val="nil"/>
              <w:right w:val="nil"/>
            </w:tcBorders>
          </w:tcPr>
          <w:p w14:paraId="18F81DC7" w14:textId="77777777" w:rsidR="00740C64" w:rsidRPr="004676F5" w:rsidRDefault="00740C64" w:rsidP="00C46B2E">
            <w:pPr>
              <w:jc w:val="both"/>
              <w:rPr>
                <w:sz w:val="20"/>
                <w:szCs w:val="20"/>
                <w:lang w:val="de-DE"/>
              </w:rPr>
            </w:pPr>
          </w:p>
          <w:p w14:paraId="019B1EBC" w14:textId="77777777" w:rsidR="00740C64" w:rsidRPr="004676F5" w:rsidRDefault="00740C64" w:rsidP="00C46B2E">
            <w:pPr>
              <w:jc w:val="both"/>
              <w:rPr>
                <w:sz w:val="20"/>
                <w:szCs w:val="20"/>
                <w:lang w:val="de-DE"/>
              </w:rPr>
            </w:pPr>
            <w:r w:rsidRPr="004676F5">
              <w:rPr>
                <w:sz w:val="20"/>
                <w:lang w:val="de-DE"/>
              </w:rPr>
              <w:t>(*) Freiwillige Angabe des Kreditgebers</w:t>
            </w:r>
          </w:p>
        </w:tc>
      </w:tr>
    </w:tbl>
    <w:p w14:paraId="310BB143" w14:textId="77777777" w:rsidR="00740C64" w:rsidRPr="004676F5" w:rsidRDefault="00740C64" w:rsidP="00740C64">
      <w:pPr>
        <w:jc w:val="both"/>
        <w:rPr>
          <w:sz w:val="20"/>
          <w:szCs w:val="20"/>
          <w:lang w:val="de-DE"/>
        </w:rPr>
      </w:pPr>
      <w:bookmarkStart w:id="8" w:name="tnt17_*"/>
      <w:bookmarkEnd w:id="8"/>
    </w:p>
    <w:p w14:paraId="289C341A" w14:textId="77777777" w:rsidR="00740C64" w:rsidRPr="004676F5" w:rsidRDefault="00740C64" w:rsidP="00740C64">
      <w:pPr>
        <w:jc w:val="both"/>
        <w:rPr>
          <w:sz w:val="20"/>
          <w:szCs w:val="20"/>
          <w:lang w:val="de-DE"/>
        </w:rPr>
      </w:pPr>
      <w:r w:rsidRPr="004676F5">
        <w:rPr>
          <w:sz w:val="20"/>
          <w:lang w:val="de-DE"/>
        </w:rPr>
        <w:t>In allen Fällen, in denen "falls zutreffend" angegeben ist, muss der Kreditgeber das betreffende Kästchen ausfüllen, wenn die Information für das Kreditprodukt relevant ist, oder die betreffende Information bzw. die gesamte Zeile durchstreichen, wenn die Information für die in Frage kommende Kreditart nicht relevant ist.</w:t>
      </w:r>
    </w:p>
    <w:p w14:paraId="0B879E58" w14:textId="77777777" w:rsidR="00740C64" w:rsidRPr="004676F5" w:rsidRDefault="00740C64" w:rsidP="00740C64">
      <w:pPr>
        <w:jc w:val="both"/>
        <w:rPr>
          <w:sz w:val="20"/>
          <w:szCs w:val="20"/>
          <w:lang w:val="de-DE"/>
        </w:rPr>
      </w:pPr>
    </w:p>
    <w:p w14:paraId="6CD241B9" w14:textId="77777777" w:rsidR="00740C64" w:rsidRPr="004676F5" w:rsidRDefault="00740C64" w:rsidP="00740C64">
      <w:pPr>
        <w:jc w:val="both"/>
        <w:rPr>
          <w:sz w:val="20"/>
          <w:szCs w:val="20"/>
          <w:lang w:val="de-DE"/>
        </w:rPr>
      </w:pPr>
      <w:r w:rsidRPr="004676F5">
        <w:rPr>
          <w:sz w:val="20"/>
          <w:lang w:val="de-DE"/>
        </w:rPr>
        <w:t>Die Vermerke in eckigen Klammern dienen zur Erläuterung und sind vom Kreditgeber durch die entsprechenden Angaben zu ersetzen.</w:t>
      </w:r>
    </w:p>
    <w:p w14:paraId="59305968" w14:textId="77777777" w:rsidR="00740C64" w:rsidRPr="004676F5" w:rsidRDefault="00740C64" w:rsidP="00740C64">
      <w:pPr>
        <w:jc w:val="both"/>
        <w:rPr>
          <w:lang w:val="de-DE"/>
        </w:rPr>
      </w:pPr>
    </w:p>
    <w:p w14:paraId="2EE2C6B8" w14:textId="77777777" w:rsidR="00740C64" w:rsidRPr="004676F5" w:rsidRDefault="00740C64" w:rsidP="00740C64">
      <w:pPr>
        <w:jc w:val="both"/>
        <w:rPr>
          <w:lang w:val="de-DE"/>
        </w:rPr>
      </w:pPr>
    </w:p>
    <w:p w14:paraId="4CEE55D0" w14:textId="77777777" w:rsidR="00740C64" w:rsidRPr="004676F5" w:rsidRDefault="00740C64" w:rsidP="00740C64">
      <w:pPr>
        <w:rPr>
          <w:b/>
          <w:lang w:val="de-DE"/>
        </w:rPr>
      </w:pPr>
      <w:r w:rsidRPr="004676F5">
        <w:rPr>
          <w:b/>
          <w:lang w:val="de-DE"/>
        </w:rPr>
        <w:t xml:space="preserve">2. Beschreibung der wesentlichen Merkmale des Kreditprodukts </w:t>
      </w:r>
    </w:p>
    <w:p w14:paraId="6E5EE5A6" w14:textId="77777777" w:rsidR="00740C64" w:rsidRPr="004676F5" w:rsidRDefault="00740C64" w:rsidP="00740C64">
      <w:pPr>
        <w:jc w:val="both"/>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4676F5" w14:paraId="296E494C" w14:textId="77777777" w:rsidTr="00C46B2E">
        <w:tc>
          <w:tcPr>
            <w:tcW w:w="4536" w:type="dxa"/>
            <w:tcBorders>
              <w:left w:val="nil"/>
            </w:tcBorders>
          </w:tcPr>
          <w:p w14:paraId="499D1062" w14:textId="77777777" w:rsidR="00740C64" w:rsidRPr="004676F5" w:rsidRDefault="00740C64" w:rsidP="00C46B2E">
            <w:pPr>
              <w:jc w:val="both"/>
              <w:rPr>
                <w:lang w:val="de-DE"/>
              </w:rPr>
            </w:pPr>
          </w:p>
          <w:p w14:paraId="298A5BD7" w14:textId="77777777" w:rsidR="00740C64" w:rsidRPr="004676F5" w:rsidRDefault="00740C64" w:rsidP="00C46B2E">
            <w:pPr>
              <w:jc w:val="both"/>
              <w:rPr>
                <w:lang w:val="de-DE"/>
              </w:rPr>
            </w:pPr>
            <w:r w:rsidRPr="004676F5">
              <w:rPr>
                <w:lang w:val="de-DE"/>
              </w:rPr>
              <w:t>Kreditart</w:t>
            </w:r>
          </w:p>
          <w:p w14:paraId="3BF21196" w14:textId="77777777" w:rsidR="00740C64" w:rsidRPr="004676F5" w:rsidRDefault="00740C64" w:rsidP="00C46B2E">
            <w:pPr>
              <w:jc w:val="both"/>
              <w:rPr>
                <w:lang w:val="de-DE"/>
              </w:rPr>
            </w:pPr>
          </w:p>
        </w:tc>
        <w:tc>
          <w:tcPr>
            <w:tcW w:w="4536" w:type="dxa"/>
            <w:tcBorders>
              <w:right w:val="nil"/>
            </w:tcBorders>
          </w:tcPr>
          <w:p w14:paraId="50997019" w14:textId="77777777" w:rsidR="00740C64" w:rsidRPr="004676F5" w:rsidRDefault="00740C64" w:rsidP="00C46B2E">
            <w:pPr>
              <w:jc w:val="both"/>
              <w:rPr>
                <w:lang w:val="de-DE"/>
              </w:rPr>
            </w:pPr>
            <w:r w:rsidRPr="004676F5">
              <w:rPr>
                <w:lang w:val="de-DE"/>
              </w:rPr>
              <w:t> </w:t>
            </w:r>
          </w:p>
        </w:tc>
      </w:tr>
      <w:tr w:rsidR="00740C64" w:rsidRPr="00256F56" w14:paraId="0517AD96" w14:textId="77777777" w:rsidTr="00C46B2E">
        <w:trPr>
          <w:trHeight w:val="1656"/>
        </w:trPr>
        <w:tc>
          <w:tcPr>
            <w:tcW w:w="4536" w:type="dxa"/>
            <w:tcBorders>
              <w:left w:val="nil"/>
            </w:tcBorders>
          </w:tcPr>
          <w:p w14:paraId="06FEB6C3" w14:textId="77777777" w:rsidR="00740C64" w:rsidRPr="004676F5" w:rsidRDefault="00740C64" w:rsidP="00C46B2E">
            <w:pPr>
              <w:jc w:val="both"/>
              <w:rPr>
                <w:lang w:val="de-DE"/>
              </w:rPr>
            </w:pPr>
          </w:p>
          <w:p w14:paraId="74B61B9F" w14:textId="77777777" w:rsidR="00740C64" w:rsidRPr="004676F5" w:rsidRDefault="00740C64" w:rsidP="00C46B2E">
            <w:pPr>
              <w:jc w:val="both"/>
              <w:rPr>
                <w:lang w:val="de-DE"/>
              </w:rPr>
            </w:pPr>
            <w:r w:rsidRPr="004676F5">
              <w:rPr>
                <w:lang w:val="de-DE"/>
              </w:rPr>
              <w:t>Gesamtkreditbetrag</w:t>
            </w:r>
          </w:p>
          <w:p w14:paraId="094E993A" w14:textId="77777777" w:rsidR="00740C64" w:rsidRPr="004676F5" w:rsidRDefault="00740C64" w:rsidP="00C46B2E">
            <w:pPr>
              <w:jc w:val="both"/>
              <w:rPr>
                <w:lang w:val="de-DE"/>
              </w:rPr>
            </w:pPr>
          </w:p>
          <w:p w14:paraId="2759004B" w14:textId="77777777" w:rsidR="00740C64" w:rsidRPr="004676F5" w:rsidRDefault="00740C64" w:rsidP="00C46B2E">
            <w:pPr>
              <w:jc w:val="both"/>
              <w:rPr>
                <w:i/>
                <w:lang w:val="de-DE"/>
              </w:rPr>
            </w:pPr>
            <w:r w:rsidRPr="004676F5">
              <w:rPr>
                <w:i/>
                <w:lang w:val="de-DE"/>
              </w:rPr>
              <w:t>Obergrenze oder Summe aller Beträge, die aufgrund des Kreditvertrags zur Verfügung gestellt wird</w:t>
            </w:r>
          </w:p>
          <w:p w14:paraId="1C6CF5E5" w14:textId="77777777" w:rsidR="00740C64" w:rsidRPr="004676F5" w:rsidRDefault="00740C64" w:rsidP="00C46B2E">
            <w:pPr>
              <w:jc w:val="both"/>
              <w:rPr>
                <w:lang w:val="de-DE"/>
              </w:rPr>
            </w:pPr>
          </w:p>
        </w:tc>
        <w:tc>
          <w:tcPr>
            <w:tcW w:w="4536" w:type="dxa"/>
            <w:tcBorders>
              <w:right w:val="nil"/>
            </w:tcBorders>
          </w:tcPr>
          <w:p w14:paraId="1B2211F5" w14:textId="77777777" w:rsidR="00740C64" w:rsidRPr="004676F5" w:rsidRDefault="00740C64" w:rsidP="00C46B2E">
            <w:pPr>
              <w:jc w:val="both"/>
              <w:rPr>
                <w:lang w:val="de-DE"/>
              </w:rPr>
            </w:pPr>
          </w:p>
        </w:tc>
      </w:tr>
      <w:tr w:rsidR="00740C64" w:rsidRPr="004676F5" w14:paraId="1EC1A4F9" w14:textId="77777777" w:rsidTr="00C46B2E">
        <w:tc>
          <w:tcPr>
            <w:tcW w:w="4536" w:type="dxa"/>
            <w:tcBorders>
              <w:left w:val="nil"/>
            </w:tcBorders>
          </w:tcPr>
          <w:p w14:paraId="786B1534" w14:textId="77777777" w:rsidR="00740C64" w:rsidRPr="004676F5" w:rsidRDefault="00740C64" w:rsidP="00C46B2E">
            <w:pPr>
              <w:jc w:val="both"/>
              <w:rPr>
                <w:lang w:val="de-DE"/>
              </w:rPr>
            </w:pPr>
          </w:p>
          <w:p w14:paraId="3F195132" w14:textId="77777777" w:rsidR="00740C64" w:rsidRPr="004676F5" w:rsidRDefault="00740C64" w:rsidP="00C46B2E">
            <w:pPr>
              <w:jc w:val="both"/>
              <w:rPr>
                <w:lang w:val="de-DE"/>
              </w:rPr>
            </w:pPr>
            <w:r w:rsidRPr="004676F5">
              <w:rPr>
                <w:lang w:val="de-DE"/>
              </w:rPr>
              <w:t>Laufzeit des Kreditvertrags</w:t>
            </w:r>
          </w:p>
        </w:tc>
        <w:tc>
          <w:tcPr>
            <w:tcW w:w="4536" w:type="dxa"/>
            <w:tcBorders>
              <w:right w:val="nil"/>
            </w:tcBorders>
          </w:tcPr>
          <w:p w14:paraId="494CB4D1" w14:textId="77777777" w:rsidR="00740C64" w:rsidRPr="004676F5" w:rsidRDefault="00740C64" w:rsidP="00C46B2E">
            <w:pPr>
              <w:jc w:val="both"/>
              <w:rPr>
                <w:lang w:val="de-DE"/>
              </w:rPr>
            </w:pPr>
            <w:r w:rsidRPr="004676F5">
              <w:rPr>
                <w:lang w:val="de-DE"/>
              </w:rPr>
              <w:t> </w:t>
            </w:r>
          </w:p>
        </w:tc>
      </w:tr>
    </w:tbl>
    <w:p w14:paraId="05E29F48" w14:textId="77777777" w:rsidR="00740C64" w:rsidRPr="004676F5" w:rsidRDefault="00740C64" w:rsidP="00740C64">
      <w:pPr>
        <w:jc w:val="both"/>
        <w:rPr>
          <w:b/>
          <w:lang w:val="de-DE"/>
        </w:rPr>
      </w:pPr>
    </w:p>
    <w:p w14:paraId="620530D2" w14:textId="77777777" w:rsidR="00740C64" w:rsidRPr="004676F5" w:rsidRDefault="00740C64" w:rsidP="00740C64">
      <w:pPr>
        <w:jc w:val="both"/>
        <w:rPr>
          <w:b/>
          <w:lang w:val="de-DE"/>
        </w:rPr>
      </w:pPr>
    </w:p>
    <w:p w14:paraId="7C2ED3CF" w14:textId="77777777" w:rsidR="00740C64" w:rsidRPr="004676F5" w:rsidRDefault="00740C64" w:rsidP="00740C64">
      <w:pPr>
        <w:jc w:val="both"/>
        <w:rPr>
          <w:b/>
          <w:lang w:val="de-DE"/>
        </w:rPr>
      </w:pPr>
      <w:r w:rsidRPr="004676F5">
        <w:rPr>
          <w:b/>
          <w:lang w:val="de-DE"/>
        </w:rPr>
        <w:lastRenderedPageBreak/>
        <w:t xml:space="preserve">3. Kreditkosten </w:t>
      </w:r>
    </w:p>
    <w:p w14:paraId="2B809F24" w14:textId="77777777" w:rsidR="00740C64" w:rsidRPr="004676F5" w:rsidRDefault="00740C64" w:rsidP="00740C64">
      <w:pPr>
        <w:jc w:val="both"/>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256F56" w14:paraId="05FD183D" w14:textId="77777777" w:rsidTr="00C46B2E">
        <w:tc>
          <w:tcPr>
            <w:tcW w:w="4536" w:type="dxa"/>
            <w:tcBorders>
              <w:left w:val="nil"/>
            </w:tcBorders>
          </w:tcPr>
          <w:p w14:paraId="0065F422" w14:textId="77777777" w:rsidR="00740C64" w:rsidRPr="004676F5" w:rsidRDefault="00740C64" w:rsidP="00C46B2E">
            <w:pPr>
              <w:jc w:val="both"/>
              <w:rPr>
                <w:lang w:val="de-DE"/>
              </w:rPr>
            </w:pPr>
          </w:p>
          <w:p w14:paraId="62537DD6" w14:textId="77777777" w:rsidR="00740C64" w:rsidRPr="004676F5" w:rsidRDefault="00740C64" w:rsidP="00C46B2E">
            <w:pPr>
              <w:jc w:val="both"/>
              <w:rPr>
                <w:lang w:val="de-DE"/>
              </w:rPr>
            </w:pPr>
            <w:r w:rsidRPr="004676F5">
              <w:rPr>
                <w:lang w:val="de-DE"/>
              </w:rPr>
              <w:t>Sollzinssatz oder gegebenenfalls die verschiedenen Sollzinssätze, die für den Kreditvertrag gelten</w:t>
            </w:r>
          </w:p>
          <w:p w14:paraId="380F7181" w14:textId="77777777" w:rsidR="00740C64" w:rsidRPr="004676F5" w:rsidRDefault="00740C64" w:rsidP="00C46B2E">
            <w:pPr>
              <w:jc w:val="both"/>
              <w:rPr>
                <w:lang w:val="de-DE"/>
              </w:rPr>
            </w:pPr>
          </w:p>
        </w:tc>
        <w:tc>
          <w:tcPr>
            <w:tcW w:w="4536" w:type="dxa"/>
            <w:tcBorders>
              <w:right w:val="nil"/>
            </w:tcBorders>
          </w:tcPr>
          <w:p w14:paraId="43824644" w14:textId="77777777" w:rsidR="00740C64" w:rsidRPr="004676F5" w:rsidRDefault="00740C64" w:rsidP="00C46B2E">
            <w:pPr>
              <w:jc w:val="both"/>
              <w:rPr>
                <w:lang w:val="de-DE"/>
              </w:rPr>
            </w:pPr>
          </w:p>
          <w:p w14:paraId="77CE87D3" w14:textId="77777777" w:rsidR="00740C64" w:rsidRPr="004676F5" w:rsidRDefault="00740C64" w:rsidP="00C46B2E">
            <w:pPr>
              <w:jc w:val="both"/>
              <w:rPr>
                <w:lang w:val="de-DE"/>
              </w:rPr>
            </w:pPr>
            <w:r w:rsidRPr="004676F5">
              <w:rPr>
                <w:lang w:val="de-DE"/>
              </w:rPr>
              <w:t>[%</w:t>
            </w:r>
          </w:p>
          <w:p w14:paraId="493DA3C9" w14:textId="16A5FC5B" w:rsidR="00740C64" w:rsidRPr="004676F5" w:rsidRDefault="005B7A5C" w:rsidP="00C46B2E">
            <w:pPr>
              <w:jc w:val="both"/>
              <w:rPr>
                <w:lang w:val="de-DE"/>
              </w:rPr>
            </w:pPr>
            <w:r w:rsidRPr="004676F5">
              <w:rPr>
                <w:lang w:val="de-DE"/>
              </w:rPr>
              <w:t>- </w:t>
            </w:r>
            <w:r w:rsidR="00740C64" w:rsidRPr="004676F5">
              <w:rPr>
                <w:lang w:val="de-DE"/>
              </w:rPr>
              <w:t xml:space="preserve">fest oder </w:t>
            </w:r>
          </w:p>
          <w:p w14:paraId="5CC132DB" w14:textId="33B8B4BC" w:rsidR="00740C64" w:rsidRPr="004676F5" w:rsidRDefault="005B7A5C" w:rsidP="00C46B2E">
            <w:pPr>
              <w:jc w:val="both"/>
              <w:rPr>
                <w:lang w:val="de-DE"/>
              </w:rPr>
            </w:pPr>
            <w:r w:rsidRPr="004676F5">
              <w:rPr>
                <w:lang w:val="de-DE"/>
              </w:rPr>
              <w:t>- </w:t>
            </w:r>
            <w:r w:rsidR="00740C64" w:rsidRPr="004676F5">
              <w:rPr>
                <w:lang w:val="de-DE"/>
              </w:rPr>
              <w:t>variabel (mit dem Index oder Referenz</w:t>
            </w:r>
            <w:r w:rsidR="00740C64" w:rsidRPr="004676F5">
              <w:rPr>
                <w:lang w:val="de-DE"/>
              </w:rPr>
              <w:softHyphen/>
              <w:t>zinssatz für den anfänglichen Sollzinssatz)]</w:t>
            </w:r>
          </w:p>
          <w:p w14:paraId="7AC8D76B" w14:textId="77777777" w:rsidR="00740C64" w:rsidRPr="004676F5" w:rsidRDefault="00740C64" w:rsidP="00C46B2E">
            <w:pPr>
              <w:jc w:val="both"/>
              <w:rPr>
                <w:lang w:val="de-DE"/>
              </w:rPr>
            </w:pPr>
          </w:p>
        </w:tc>
      </w:tr>
      <w:tr w:rsidR="00740C64" w:rsidRPr="00256F56" w14:paraId="0D27FD23" w14:textId="77777777" w:rsidTr="00C46B2E">
        <w:trPr>
          <w:trHeight w:val="1104"/>
        </w:trPr>
        <w:tc>
          <w:tcPr>
            <w:tcW w:w="4536" w:type="dxa"/>
            <w:tcBorders>
              <w:left w:val="nil"/>
            </w:tcBorders>
          </w:tcPr>
          <w:p w14:paraId="59979315" w14:textId="77777777" w:rsidR="00740C64" w:rsidRPr="004676F5" w:rsidRDefault="00740C64" w:rsidP="00C46B2E">
            <w:pPr>
              <w:jc w:val="both"/>
              <w:rPr>
                <w:lang w:val="de-DE"/>
              </w:rPr>
            </w:pPr>
          </w:p>
          <w:p w14:paraId="26F26BF1" w14:textId="77777777" w:rsidR="00740C64" w:rsidRPr="004676F5" w:rsidRDefault="00740C64" w:rsidP="00C46B2E">
            <w:pPr>
              <w:jc w:val="both"/>
              <w:rPr>
                <w:lang w:val="de-DE"/>
              </w:rPr>
            </w:pPr>
            <w:r w:rsidRPr="004676F5">
              <w:rPr>
                <w:lang w:val="de-DE"/>
              </w:rPr>
              <w:t>Effektiver Jahreszins</w:t>
            </w:r>
          </w:p>
          <w:p w14:paraId="3D23B1D3" w14:textId="77777777" w:rsidR="00740C64" w:rsidRPr="004676F5" w:rsidRDefault="00740C64" w:rsidP="00C46B2E">
            <w:pPr>
              <w:jc w:val="both"/>
              <w:rPr>
                <w:lang w:val="de-DE"/>
              </w:rPr>
            </w:pPr>
          </w:p>
          <w:p w14:paraId="1D69CB1D" w14:textId="77777777" w:rsidR="00740C64" w:rsidRPr="004676F5" w:rsidRDefault="00740C64" w:rsidP="00C46B2E">
            <w:pPr>
              <w:jc w:val="both"/>
              <w:rPr>
                <w:lang w:val="de-DE"/>
              </w:rPr>
            </w:pPr>
            <w:r w:rsidRPr="004676F5">
              <w:rPr>
                <w:i/>
                <w:lang w:val="de-DE"/>
              </w:rPr>
              <w:t>Gesamtkosten ausgedrückt als jährlicher Prozentsatz des Gesamtkreditbetrags</w:t>
            </w:r>
          </w:p>
          <w:p w14:paraId="7EA1DABE" w14:textId="77777777" w:rsidR="00740C64" w:rsidRPr="004676F5" w:rsidRDefault="00740C64" w:rsidP="00C46B2E">
            <w:pPr>
              <w:jc w:val="both"/>
              <w:rPr>
                <w:i/>
                <w:iCs/>
                <w:lang w:val="de-DE"/>
              </w:rPr>
            </w:pPr>
            <w:r w:rsidRPr="004676F5">
              <w:rPr>
                <w:i/>
                <w:lang w:val="de-DE"/>
              </w:rPr>
              <w:t>Diese Angabe hilft Ihnen dabei, unter</w:t>
            </w:r>
            <w:r w:rsidRPr="004676F5">
              <w:rPr>
                <w:i/>
                <w:lang w:val="de-DE"/>
              </w:rPr>
              <w:softHyphen/>
              <w:t>schiedliche Angebote zu vergleichen.</w:t>
            </w:r>
          </w:p>
          <w:p w14:paraId="2251A89B" w14:textId="77777777" w:rsidR="00740C64" w:rsidRPr="004676F5" w:rsidRDefault="00740C64" w:rsidP="00C46B2E">
            <w:pPr>
              <w:jc w:val="both"/>
              <w:rPr>
                <w:lang w:val="de-DE"/>
              </w:rPr>
            </w:pPr>
          </w:p>
        </w:tc>
        <w:tc>
          <w:tcPr>
            <w:tcW w:w="4536" w:type="dxa"/>
            <w:tcBorders>
              <w:right w:val="nil"/>
            </w:tcBorders>
          </w:tcPr>
          <w:p w14:paraId="31BE0645" w14:textId="77777777" w:rsidR="00740C64" w:rsidRPr="004676F5" w:rsidRDefault="00740C64" w:rsidP="00C46B2E">
            <w:pPr>
              <w:jc w:val="both"/>
              <w:rPr>
                <w:lang w:val="de-DE"/>
              </w:rPr>
            </w:pPr>
          </w:p>
          <w:p w14:paraId="6203553D" w14:textId="77777777" w:rsidR="00740C64" w:rsidRPr="004676F5" w:rsidRDefault="00740C64" w:rsidP="00C46B2E">
            <w:pPr>
              <w:jc w:val="both"/>
              <w:rPr>
                <w:lang w:val="de-DE"/>
              </w:rPr>
            </w:pPr>
            <w:r w:rsidRPr="004676F5">
              <w:rPr>
                <w:lang w:val="de-DE"/>
              </w:rPr>
              <w:t>[% Repräsentatives Beispiel unter Angabe sämtlicher in die Berechnung des Jahres</w:t>
            </w:r>
            <w:r w:rsidRPr="004676F5">
              <w:rPr>
                <w:lang w:val="de-DE"/>
              </w:rPr>
              <w:softHyphen/>
              <w:t>zinses einfließender Annahmen]</w:t>
            </w:r>
          </w:p>
          <w:p w14:paraId="34E9ECA3" w14:textId="77777777" w:rsidR="00740C64" w:rsidRPr="004676F5" w:rsidRDefault="00740C64" w:rsidP="00C46B2E">
            <w:pPr>
              <w:jc w:val="both"/>
              <w:rPr>
                <w:lang w:val="de-DE"/>
              </w:rPr>
            </w:pPr>
            <w:r w:rsidRPr="004676F5">
              <w:rPr>
                <w:lang w:val="de-DE"/>
              </w:rPr>
              <w:t> </w:t>
            </w:r>
          </w:p>
        </w:tc>
      </w:tr>
      <w:tr w:rsidR="00740C64" w:rsidRPr="00256F56" w14:paraId="4443E337" w14:textId="77777777" w:rsidTr="00C46B2E">
        <w:trPr>
          <w:trHeight w:val="1380"/>
        </w:trPr>
        <w:tc>
          <w:tcPr>
            <w:tcW w:w="4536" w:type="dxa"/>
            <w:tcBorders>
              <w:left w:val="nil"/>
            </w:tcBorders>
          </w:tcPr>
          <w:p w14:paraId="5226EBF9" w14:textId="77777777" w:rsidR="00740C64" w:rsidRPr="004676F5" w:rsidRDefault="00740C64" w:rsidP="00C46B2E">
            <w:pPr>
              <w:jc w:val="both"/>
              <w:rPr>
                <w:lang w:val="de-DE"/>
              </w:rPr>
            </w:pPr>
          </w:p>
          <w:p w14:paraId="3A379B81" w14:textId="77777777" w:rsidR="00740C64" w:rsidRPr="004676F5" w:rsidRDefault="00740C64" w:rsidP="00C46B2E">
            <w:pPr>
              <w:jc w:val="both"/>
              <w:rPr>
                <w:lang w:val="de-DE"/>
              </w:rPr>
            </w:pPr>
            <w:r w:rsidRPr="004676F5">
              <w:rPr>
                <w:lang w:val="de-DE"/>
              </w:rPr>
              <w:t>(falls zutreffend)</w:t>
            </w:r>
          </w:p>
          <w:p w14:paraId="02557ADC" w14:textId="77777777" w:rsidR="00740C64" w:rsidRPr="004676F5" w:rsidRDefault="00740C64" w:rsidP="00C46B2E">
            <w:pPr>
              <w:jc w:val="both"/>
              <w:rPr>
                <w:lang w:val="de-DE"/>
              </w:rPr>
            </w:pPr>
          </w:p>
          <w:p w14:paraId="2456F8FB" w14:textId="77777777" w:rsidR="00740C64" w:rsidRPr="004676F5" w:rsidRDefault="00740C64" w:rsidP="00C46B2E">
            <w:pPr>
              <w:jc w:val="both"/>
              <w:rPr>
                <w:lang w:val="de-DE"/>
              </w:rPr>
            </w:pPr>
            <w:r w:rsidRPr="004676F5">
              <w:rPr>
                <w:lang w:val="de-DE"/>
              </w:rPr>
              <w:t>Kosten</w:t>
            </w:r>
          </w:p>
          <w:p w14:paraId="379A6B5C" w14:textId="77777777" w:rsidR="00740C64" w:rsidRPr="004676F5" w:rsidRDefault="00740C64" w:rsidP="00C46B2E">
            <w:pPr>
              <w:jc w:val="both"/>
              <w:rPr>
                <w:lang w:val="de-DE"/>
              </w:rPr>
            </w:pPr>
          </w:p>
          <w:p w14:paraId="3A157F6A" w14:textId="77777777" w:rsidR="00740C64" w:rsidRPr="004676F5" w:rsidRDefault="00740C64" w:rsidP="00C46B2E">
            <w:pPr>
              <w:jc w:val="both"/>
              <w:rPr>
                <w:lang w:val="de-DE"/>
              </w:rPr>
            </w:pPr>
            <w:r w:rsidRPr="004676F5">
              <w:rPr>
                <w:lang w:val="de-DE"/>
              </w:rPr>
              <w:t>(falls zutreffend)</w:t>
            </w:r>
          </w:p>
          <w:p w14:paraId="65C5DAED" w14:textId="77777777" w:rsidR="00740C64" w:rsidRPr="004676F5" w:rsidRDefault="00740C64" w:rsidP="00C46B2E">
            <w:pPr>
              <w:jc w:val="both"/>
              <w:rPr>
                <w:lang w:val="de-DE"/>
              </w:rPr>
            </w:pPr>
          </w:p>
          <w:p w14:paraId="726C92A2" w14:textId="77777777" w:rsidR="00740C64" w:rsidRPr="004676F5" w:rsidRDefault="00740C64" w:rsidP="00C46B2E">
            <w:pPr>
              <w:jc w:val="both"/>
              <w:rPr>
                <w:lang w:val="de-DE"/>
              </w:rPr>
            </w:pPr>
            <w:r w:rsidRPr="004676F5">
              <w:rPr>
                <w:lang w:val="de-DE"/>
              </w:rPr>
              <w:t>Bedingungen, unter denen diese Kosten geändert werden können</w:t>
            </w:r>
          </w:p>
          <w:p w14:paraId="4A423734" w14:textId="77777777" w:rsidR="00740C64" w:rsidRPr="004676F5" w:rsidRDefault="00740C64" w:rsidP="00C46B2E">
            <w:pPr>
              <w:jc w:val="both"/>
              <w:rPr>
                <w:lang w:val="de-DE"/>
              </w:rPr>
            </w:pPr>
          </w:p>
        </w:tc>
        <w:tc>
          <w:tcPr>
            <w:tcW w:w="4536" w:type="dxa"/>
            <w:tcBorders>
              <w:right w:val="nil"/>
            </w:tcBorders>
          </w:tcPr>
          <w:p w14:paraId="694CA486" w14:textId="77777777" w:rsidR="00740C64" w:rsidRPr="004676F5" w:rsidRDefault="00740C64" w:rsidP="00C46B2E">
            <w:pPr>
              <w:jc w:val="both"/>
              <w:rPr>
                <w:lang w:val="de-DE"/>
              </w:rPr>
            </w:pPr>
          </w:p>
          <w:p w14:paraId="3C509254" w14:textId="77777777" w:rsidR="00740C64" w:rsidRPr="004676F5" w:rsidRDefault="00740C64" w:rsidP="00C46B2E">
            <w:pPr>
              <w:jc w:val="both"/>
              <w:rPr>
                <w:lang w:val="de-DE"/>
              </w:rPr>
            </w:pPr>
          </w:p>
          <w:p w14:paraId="7A0A7EB3" w14:textId="77777777" w:rsidR="00740C64" w:rsidRPr="004676F5" w:rsidRDefault="00740C64" w:rsidP="00C46B2E">
            <w:pPr>
              <w:jc w:val="both"/>
              <w:rPr>
                <w:lang w:val="de-DE"/>
              </w:rPr>
            </w:pPr>
          </w:p>
          <w:p w14:paraId="7FAB7F3A" w14:textId="77777777" w:rsidR="00740C64" w:rsidRPr="004676F5" w:rsidRDefault="00740C64" w:rsidP="00C46B2E">
            <w:pPr>
              <w:jc w:val="both"/>
              <w:rPr>
                <w:lang w:val="de-DE"/>
              </w:rPr>
            </w:pPr>
            <w:r w:rsidRPr="004676F5">
              <w:rPr>
                <w:lang w:val="de-DE"/>
              </w:rPr>
              <w:t>[Sämtliche vom Zeitpunkt des Vertragsabschlusses des Kreditvertrags an zu zahlende Kosten]</w:t>
            </w:r>
          </w:p>
          <w:p w14:paraId="713CCAFB" w14:textId="77777777" w:rsidR="00740C64" w:rsidRPr="004676F5" w:rsidRDefault="00740C64" w:rsidP="00C46B2E">
            <w:pPr>
              <w:jc w:val="both"/>
              <w:rPr>
                <w:lang w:val="de-DE"/>
              </w:rPr>
            </w:pPr>
          </w:p>
        </w:tc>
      </w:tr>
    </w:tbl>
    <w:p w14:paraId="7B707B56" w14:textId="77777777" w:rsidR="00740C64" w:rsidRPr="004676F5" w:rsidRDefault="00740C64" w:rsidP="00740C64">
      <w:pPr>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256F56" w14:paraId="45242155" w14:textId="77777777" w:rsidTr="00C46B2E">
        <w:tc>
          <w:tcPr>
            <w:tcW w:w="4536" w:type="dxa"/>
            <w:tcBorders>
              <w:left w:val="nil"/>
            </w:tcBorders>
          </w:tcPr>
          <w:p w14:paraId="25388196" w14:textId="77777777" w:rsidR="00740C64" w:rsidRPr="004676F5" w:rsidRDefault="00740C64" w:rsidP="00C46B2E">
            <w:pPr>
              <w:jc w:val="both"/>
              <w:rPr>
                <w:lang w:val="de-DE"/>
              </w:rPr>
            </w:pPr>
          </w:p>
          <w:p w14:paraId="03D02E57" w14:textId="77777777" w:rsidR="00740C64" w:rsidRPr="004676F5" w:rsidRDefault="00740C64" w:rsidP="00C46B2E">
            <w:pPr>
              <w:jc w:val="both"/>
              <w:rPr>
                <w:lang w:val="de-DE"/>
              </w:rPr>
            </w:pPr>
            <w:r w:rsidRPr="004676F5">
              <w:rPr>
                <w:lang w:val="de-DE"/>
              </w:rPr>
              <w:t>Kosten bei Zahlungsverzug</w:t>
            </w:r>
          </w:p>
        </w:tc>
        <w:tc>
          <w:tcPr>
            <w:tcW w:w="4536" w:type="dxa"/>
            <w:tcBorders>
              <w:right w:val="nil"/>
            </w:tcBorders>
          </w:tcPr>
          <w:p w14:paraId="648E60B9" w14:textId="77777777" w:rsidR="00740C64" w:rsidRPr="004676F5" w:rsidRDefault="00740C64" w:rsidP="00C46B2E">
            <w:pPr>
              <w:jc w:val="both"/>
              <w:rPr>
                <w:lang w:val="de-DE"/>
              </w:rPr>
            </w:pPr>
          </w:p>
          <w:p w14:paraId="45217DFC" w14:textId="77777777" w:rsidR="00740C64" w:rsidRPr="004676F5" w:rsidRDefault="00740C64" w:rsidP="00C46B2E">
            <w:pPr>
              <w:jc w:val="both"/>
              <w:rPr>
                <w:lang w:val="de-DE"/>
              </w:rPr>
            </w:pPr>
            <w:r w:rsidRPr="004676F5">
              <w:rPr>
                <w:lang w:val="de-DE"/>
              </w:rPr>
              <w:t>Für ausbleibende Zahlungen wird Ihnen [... (anwendbarer Zinssatz, Art und Weise seiner etwaigen Anpassung und gegebenen</w:t>
            </w:r>
            <w:r w:rsidRPr="004676F5">
              <w:rPr>
                <w:lang w:val="de-DE"/>
              </w:rPr>
              <w:softHyphen/>
              <w:t>falls Verzugskosten)] berechnet.</w:t>
            </w:r>
          </w:p>
          <w:p w14:paraId="30EB1227" w14:textId="77777777" w:rsidR="00740C64" w:rsidRPr="004676F5" w:rsidRDefault="00740C64" w:rsidP="00C46B2E">
            <w:pPr>
              <w:jc w:val="both"/>
              <w:rPr>
                <w:lang w:val="de-DE"/>
              </w:rPr>
            </w:pPr>
          </w:p>
        </w:tc>
      </w:tr>
    </w:tbl>
    <w:p w14:paraId="161F9871" w14:textId="77777777" w:rsidR="00740C64" w:rsidRPr="004676F5" w:rsidRDefault="00740C64" w:rsidP="00740C64">
      <w:pPr>
        <w:rPr>
          <w:lang w:val="de-DE"/>
        </w:rPr>
      </w:pPr>
    </w:p>
    <w:p w14:paraId="5527E35E" w14:textId="77777777" w:rsidR="00740C64" w:rsidRPr="004676F5" w:rsidRDefault="00740C64" w:rsidP="00740C64">
      <w:pPr>
        <w:rPr>
          <w:lang w:val="de-DE"/>
        </w:rPr>
      </w:pPr>
    </w:p>
    <w:p w14:paraId="764A6F74" w14:textId="77777777" w:rsidR="00740C64" w:rsidRPr="004676F5" w:rsidRDefault="00740C64" w:rsidP="00740C64">
      <w:pPr>
        <w:jc w:val="both"/>
        <w:rPr>
          <w:b/>
          <w:lang w:val="de-DE"/>
        </w:rPr>
      </w:pPr>
      <w:r w:rsidRPr="004676F5">
        <w:rPr>
          <w:b/>
          <w:lang w:val="de-DE"/>
        </w:rPr>
        <w:t xml:space="preserve">4. Andere wichtige rechtliche Aspekte </w:t>
      </w:r>
    </w:p>
    <w:p w14:paraId="20A29AF8" w14:textId="77777777" w:rsidR="00740C64" w:rsidRPr="004676F5" w:rsidRDefault="00740C64" w:rsidP="00740C64">
      <w:pPr>
        <w:jc w:val="both"/>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256F56" w14:paraId="4A12810D" w14:textId="77777777" w:rsidTr="00C46B2E">
        <w:tc>
          <w:tcPr>
            <w:tcW w:w="4536" w:type="dxa"/>
            <w:tcBorders>
              <w:left w:val="nil"/>
            </w:tcBorders>
          </w:tcPr>
          <w:p w14:paraId="191FF03E" w14:textId="77777777" w:rsidR="00740C64" w:rsidRPr="004676F5" w:rsidRDefault="00740C64" w:rsidP="00C46B2E">
            <w:pPr>
              <w:jc w:val="both"/>
              <w:rPr>
                <w:lang w:val="de-DE"/>
              </w:rPr>
            </w:pPr>
          </w:p>
          <w:p w14:paraId="79502D52" w14:textId="77777777" w:rsidR="00740C64" w:rsidRPr="004676F5" w:rsidRDefault="00740C64" w:rsidP="00C46B2E">
            <w:pPr>
              <w:jc w:val="both"/>
              <w:rPr>
                <w:lang w:val="de-DE"/>
              </w:rPr>
            </w:pPr>
            <w:r w:rsidRPr="004676F5">
              <w:rPr>
                <w:lang w:val="de-DE"/>
              </w:rPr>
              <w:t>Beendigung des Kreditvertrags</w:t>
            </w:r>
          </w:p>
          <w:p w14:paraId="13E7A8D7" w14:textId="77777777" w:rsidR="00740C64" w:rsidRPr="004676F5" w:rsidRDefault="00740C64" w:rsidP="00C46B2E">
            <w:pPr>
              <w:jc w:val="both"/>
              <w:rPr>
                <w:lang w:val="de-DE"/>
              </w:rPr>
            </w:pPr>
          </w:p>
        </w:tc>
        <w:tc>
          <w:tcPr>
            <w:tcW w:w="4536" w:type="dxa"/>
            <w:tcBorders>
              <w:right w:val="nil"/>
            </w:tcBorders>
          </w:tcPr>
          <w:p w14:paraId="3944F1EF" w14:textId="77777777" w:rsidR="00740C64" w:rsidRPr="004676F5" w:rsidRDefault="00740C64" w:rsidP="00C46B2E">
            <w:pPr>
              <w:jc w:val="both"/>
              <w:rPr>
                <w:lang w:val="de-DE"/>
              </w:rPr>
            </w:pPr>
          </w:p>
          <w:p w14:paraId="25022FA6" w14:textId="77777777" w:rsidR="00740C64" w:rsidRPr="004676F5" w:rsidRDefault="00740C64" w:rsidP="00C46B2E">
            <w:pPr>
              <w:jc w:val="both"/>
              <w:rPr>
                <w:lang w:val="de-DE"/>
              </w:rPr>
            </w:pPr>
            <w:r w:rsidRPr="004676F5">
              <w:rPr>
                <w:lang w:val="de-DE"/>
              </w:rPr>
              <w:t>[Bedingungen und Verfahren zur Been</w:t>
            </w:r>
            <w:r w:rsidRPr="004676F5">
              <w:rPr>
                <w:lang w:val="de-DE"/>
              </w:rPr>
              <w:softHyphen/>
              <w:t>digung des Kreditvertrags]</w:t>
            </w:r>
          </w:p>
          <w:p w14:paraId="5FEAB444" w14:textId="77777777" w:rsidR="00740C64" w:rsidRPr="004676F5" w:rsidRDefault="00740C64" w:rsidP="00C46B2E">
            <w:pPr>
              <w:jc w:val="both"/>
              <w:rPr>
                <w:lang w:val="de-DE"/>
              </w:rPr>
            </w:pPr>
          </w:p>
        </w:tc>
      </w:tr>
      <w:tr w:rsidR="00740C64" w:rsidRPr="00256F56" w14:paraId="6EBCCF98" w14:textId="77777777" w:rsidTr="00C46B2E">
        <w:trPr>
          <w:trHeight w:val="2760"/>
        </w:trPr>
        <w:tc>
          <w:tcPr>
            <w:tcW w:w="4536" w:type="dxa"/>
            <w:tcBorders>
              <w:left w:val="nil"/>
            </w:tcBorders>
          </w:tcPr>
          <w:p w14:paraId="42ED9C39" w14:textId="77777777" w:rsidR="00740C64" w:rsidRPr="004676F5" w:rsidRDefault="00740C64" w:rsidP="00C46B2E">
            <w:pPr>
              <w:jc w:val="both"/>
              <w:rPr>
                <w:i/>
                <w:iCs/>
                <w:lang w:val="de-DE"/>
              </w:rPr>
            </w:pPr>
          </w:p>
          <w:p w14:paraId="308F2201" w14:textId="77777777" w:rsidR="00740C64" w:rsidRPr="004676F5" w:rsidRDefault="00740C64" w:rsidP="00C46B2E">
            <w:pPr>
              <w:jc w:val="both"/>
              <w:rPr>
                <w:iCs/>
                <w:lang w:val="de-DE"/>
              </w:rPr>
            </w:pPr>
            <w:r w:rsidRPr="004676F5">
              <w:rPr>
                <w:lang w:val="de-DE"/>
              </w:rPr>
              <w:t>Datenbankabfrage</w:t>
            </w:r>
          </w:p>
          <w:p w14:paraId="7E185E65" w14:textId="77777777" w:rsidR="00740C64" w:rsidRPr="004676F5" w:rsidRDefault="00740C64" w:rsidP="00C46B2E">
            <w:pPr>
              <w:jc w:val="both"/>
              <w:rPr>
                <w:lang w:val="de-DE"/>
              </w:rPr>
            </w:pPr>
          </w:p>
          <w:p w14:paraId="07EA4753" w14:textId="77777777" w:rsidR="00740C64" w:rsidRPr="004676F5" w:rsidRDefault="00740C64" w:rsidP="00C46B2E">
            <w:pPr>
              <w:jc w:val="both"/>
              <w:rPr>
                <w:i/>
                <w:iCs/>
                <w:spacing w:val="-2"/>
                <w:sz w:val="22"/>
                <w:lang w:val="de-DE"/>
              </w:rPr>
            </w:pPr>
            <w:r w:rsidRPr="004676F5">
              <w:rPr>
                <w:i/>
                <w:spacing w:val="-2"/>
                <w:sz w:val="22"/>
                <w:lang w:val="de-DE"/>
              </w:rPr>
              <w:t>Der Kreditgeber muss Sie unverzüglich und unentgeltlich über das Ergebnis einer Daten</w:t>
            </w:r>
            <w:r w:rsidR="000E3F36" w:rsidRPr="004676F5">
              <w:rPr>
                <w:i/>
                <w:spacing w:val="-2"/>
                <w:sz w:val="22"/>
                <w:lang w:val="de-DE"/>
              </w:rPr>
              <w:softHyphen/>
            </w:r>
            <w:r w:rsidRPr="004676F5">
              <w:rPr>
                <w:i/>
                <w:spacing w:val="-2"/>
                <w:sz w:val="22"/>
                <w:lang w:val="de-DE"/>
              </w:rPr>
              <w:t>bank</w:t>
            </w:r>
            <w:r w:rsidR="000E3F36" w:rsidRPr="004676F5">
              <w:rPr>
                <w:i/>
                <w:spacing w:val="-2"/>
                <w:sz w:val="22"/>
                <w:lang w:val="de-DE"/>
              </w:rPr>
              <w:softHyphen/>
            </w:r>
            <w:r w:rsidRPr="004676F5">
              <w:rPr>
                <w:i/>
                <w:spacing w:val="-2"/>
                <w:sz w:val="22"/>
                <w:lang w:val="de-DE"/>
              </w:rPr>
              <w:t>abfrage unterrichten, wenn ein Kreditantrag aufgrund einer solchen Abfrage abgelehnt wird. Dies gilt nicht, wenn eine entsprechende Unterrichtung durch die Rechtsvorschriften der Europäischen Gemein</w:t>
            </w:r>
            <w:r w:rsidRPr="004676F5">
              <w:rPr>
                <w:i/>
                <w:spacing w:val="-2"/>
                <w:sz w:val="22"/>
                <w:lang w:val="de-DE"/>
              </w:rPr>
              <w:softHyphen/>
              <w:t>schaft untersagt ist oder den Zielen der öffentlichen Ordnung oder Sicherheit zuwiderläuft</w:t>
            </w:r>
            <w:r w:rsidR="000E3F36" w:rsidRPr="004676F5">
              <w:rPr>
                <w:i/>
                <w:spacing w:val="-2"/>
                <w:sz w:val="22"/>
                <w:lang w:val="de-DE"/>
              </w:rPr>
              <w:t>.</w:t>
            </w:r>
          </w:p>
        </w:tc>
        <w:tc>
          <w:tcPr>
            <w:tcW w:w="4536" w:type="dxa"/>
            <w:tcBorders>
              <w:right w:val="nil"/>
            </w:tcBorders>
          </w:tcPr>
          <w:p w14:paraId="41BEEDBB" w14:textId="77777777" w:rsidR="00740C64" w:rsidRPr="004676F5" w:rsidRDefault="00740C64" w:rsidP="00C46B2E">
            <w:pPr>
              <w:jc w:val="both"/>
              <w:rPr>
                <w:lang w:val="de-DE"/>
              </w:rPr>
            </w:pPr>
            <w:r w:rsidRPr="004676F5">
              <w:rPr>
                <w:lang w:val="de-DE"/>
              </w:rPr>
              <w:t> </w:t>
            </w:r>
          </w:p>
          <w:p w14:paraId="54B2E9B6" w14:textId="77777777" w:rsidR="00740C64" w:rsidRPr="004676F5" w:rsidRDefault="00740C64" w:rsidP="00C46B2E">
            <w:pPr>
              <w:jc w:val="both"/>
              <w:rPr>
                <w:lang w:val="de-DE"/>
              </w:rPr>
            </w:pPr>
            <w:r w:rsidRPr="004676F5">
              <w:rPr>
                <w:lang w:val="de-DE"/>
              </w:rPr>
              <w:t> </w:t>
            </w:r>
          </w:p>
        </w:tc>
      </w:tr>
      <w:tr w:rsidR="00740C64" w:rsidRPr="00256F56" w14:paraId="49F80133" w14:textId="77777777" w:rsidTr="00C46B2E">
        <w:trPr>
          <w:trHeight w:val="828"/>
        </w:trPr>
        <w:tc>
          <w:tcPr>
            <w:tcW w:w="4536" w:type="dxa"/>
            <w:tcBorders>
              <w:left w:val="nil"/>
            </w:tcBorders>
          </w:tcPr>
          <w:p w14:paraId="5C74EA4F" w14:textId="77777777" w:rsidR="00740C64" w:rsidRPr="004676F5" w:rsidRDefault="00740C64" w:rsidP="00C46B2E">
            <w:pPr>
              <w:jc w:val="both"/>
              <w:rPr>
                <w:lang w:val="de-DE"/>
              </w:rPr>
            </w:pPr>
          </w:p>
          <w:p w14:paraId="0C4DCEB7" w14:textId="77777777" w:rsidR="00740C64" w:rsidRPr="004676F5" w:rsidRDefault="00740C64" w:rsidP="00C46B2E">
            <w:pPr>
              <w:jc w:val="both"/>
              <w:rPr>
                <w:lang w:val="de-DE"/>
              </w:rPr>
            </w:pPr>
            <w:r w:rsidRPr="004676F5">
              <w:rPr>
                <w:lang w:val="de-DE"/>
              </w:rPr>
              <w:t>(falls zutreffend)</w:t>
            </w:r>
          </w:p>
          <w:p w14:paraId="1FFFF92E" w14:textId="77777777" w:rsidR="00740C64" w:rsidRPr="004676F5" w:rsidRDefault="00740C64" w:rsidP="00C46B2E">
            <w:pPr>
              <w:jc w:val="both"/>
              <w:rPr>
                <w:lang w:val="de-DE"/>
              </w:rPr>
            </w:pPr>
          </w:p>
          <w:p w14:paraId="3A07241E" w14:textId="77777777" w:rsidR="00740C64" w:rsidRPr="004676F5" w:rsidRDefault="00740C64" w:rsidP="00C46B2E">
            <w:pPr>
              <w:jc w:val="both"/>
              <w:rPr>
                <w:lang w:val="de-DE"/>
              </w:rPr>
            </w:pPr>
            <w:r w:rsidRPr="004676F5">
              <w:rPr>
                <w:lang w:val="de-DE"/>
              </w:rPr>
              <w:t>Zeitraum, während dessen der Kreditgeber an die vorvertraglichen Informationen gebunden ist</w:t>
            </w:r>
          </w:p>
          <w:p w14:paraId="3F015489" w14:textId="77777777" w:rsidR="00740C64" w:rsidRPr="004676F5" w:rsidRDefault="00740C64" w:rsidP="00C46B2E">
            <w:pPr>
              <w:jc w:val="both"/>
              <w:rPr>
                <w:lang w:val="de-DE"/>
              </w:rPr>
            </w:pPr>
          </w:p>
        </w:tc>
        <w:tc>
          <w:tcPr>
            <w:tcW w:w="4536" w:type="dxa"/>
            <w:tcBorders>
              <w:right w:val="nil"/>
            </w:tcBorders>
          </w:tcPr>
          <w:p w14:paraId="3114EA1B" w14:textId="77777777" w:rsidR="00740C64" w:rsidRPr="004676F5" w:rsidRDefault="00740C64" w:rsidP="00C46B2E">
            <w:pPr>
              <w:jc w:val="both"/>
              <w:rPr>
                <w:lang w:val="de-DE"/>
              </w:rPr>
            </w:pPr>
          </w:p>
          <w:p w14:paraId="0A65DB96" w14:textId="77777777" w:rsidR="00740C64" w:rsidRPr="004676F5" w:rsidRDefault="00740C64" w:rsidP="00C46B2E">
            <w:pPr>
              <w:jc w:val="both"/>
              <w:rPr>
                <w:lang w:val="de-DE"/>
              </w:rPr>
            </w:pPr>
          </w:p>
          <w:p w14:paraId="00A5D1CD" w14:textId="77777777" w:rsidR="00740C64" w:rsidRPr="004676F5" w:rsidRDefault="00740C64" w:rsidP="00C46B2E">
            <w:pPr>
              <w:jc w:val="both"/>
              <w:rPr>
                <w:lang w:val="de-DE"/>
              </w:rPr>
            </w:pPr>
          </w:p>
          <w:p w14:paraId="746E63CF" w14:textId="77777777" w:rsidR="00740C64" w:rsidRPr="004676F5" w:rsidRDefault="00740C64" w:rsidP="00C46B2E">
            <w:pPr>
              <w:jc w:val="both"/>
              <w:rPr>
                <w:lang w:val="de-DE"/>
              </w:rPr>
            </w:pPr>
            <w:r w:rsidRPr="004676F5">
              <w:rPr>
                <w:lang w:val="de-DE"/>
              </w:rPr>
              <w:t>Diese Informationen gelten vom ... bis ... .</w:t>
            </w:r>
          </w:p>
        </w:tc>
      </w:tr>
    </w:tbl>
    <w:p w14:paraId="4A52D06D" w14:textId="77777777" w:rsidR="00740C64" w:rsidRPr="004676F5" w:rsidRDefault="00740C64" w:rsidP="00740C64">
      <w:pPr>
        <w:jc w:val="both"/>
        <w:rPr>
          <w:lang w:val="de-DE"/>
        </w:rPr>
      </w:pPr>
    </w:p>
    <w:p w14:paraId="6612C9B3" w14:textId="77777777" w:rsidR="00740C64" w:rsidRPr="004676F5" w:rsidRDefault="00740C64" w:rsidP="00740C64">
      <w:pPr>
        <w:rPr>
          <w:lang w:val="de-DE"/>
        </w:rPr>
      </w:pPr>
    </w:p>
    <w:p w14:paraId="79D0CBA3" w14:textId="77777777" w:rsidR="00740C64" w:rsidRPr="004676F5" w:rsidRDefault="00740C64" w:rsidP="00740C64">
      <w:pPr>
        <w:jc w:val="both"/>
        <w:rPr>
          <w:b/>
          <w:lang w:val="de-DE"/>
        </w:rPr>
      </w:pPr>
      <w:r w:rsidRPr="004676F5">
        <w:rPr>
          <w:b/>
          <w:lang w:val="de-DE"/>
        </w:rPr>
        <w:t>5. Zusätzliche Informationen, wenn die vorvertraglichen Informationen einen Ver</w:t>
      </w:r>
      <w:r w:rsidRPr="004676F5">
        <w:rPr>
          <w:b/>
          <w:lang w:val="de-DE"/>
        </w:rPr>
        <w:softHyphen/>
        <w:t>braucher</w:t>
      </w:r>
      <w:r w:rsidRPr="004676F5">
        <w:rPr>
          <w:b/>
          <w:lang w:val="de-DE"/>
        </w:rPr>
        <w:softHyphen/>
        <w:t xml:space="preserve">kredit für eine in Artikel VII.3 § 3 Nr. 6 erwähnte Umschuldung betreffen </w:t>
      </w:r>
    </w:p>
    <w:p w14:paraId="5A2136D5" w14:textId="77777777" w:rsidR="00740C64" w:rsidRPr="004676F5" w:rsidRDefault="00740C64" w:rsidP="00740C64">
      <w:pPr>
        <w:jc w:val="both"/>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256F56" w14:paraId="0B8D1BAD" w14:textId="77777777" w:rsidTr="00C46B2E">
        <w:tc>
          <w:tcPr>
            <w:tcW w:w="4536" w:type="dxa"/>
            <w:tcBorders>
              <w:left w:val="nil"/>
            </w:tcBorders>
          </w:tcPr>
          <w:p w14:paraId="474164B7" w14:textId="77777777" w:rsidR="00740C64" w:rsidRPr="004676F5" w:rsidRDefault="00740C64" w:rsidP="00C46B2E">
            <w:pPr>
              <w:jc w:val="both"/>
              <w:rPr>
                <w:lang w:val="de-DE"/>
              </w:rPr>
            </w:pPr>
          </w:p>
          <w:p w14:paraId="32C1AA6E" w14:textId="77777777" w:rsidR="00740C64" w:rsidRPr="004676F5" w:rsidRDefault="00740C64" w:rsidP="00C46B2E">
            <w:pPr>
              <w:jc w:val="both"/>
              <w:rPr>
                <w:lang w:val="de-DE"/>
              </w:rPr>
            </w:pPr>
            <w:r w:rsidRPr="004676F5">
              <w:rPr>
                <w:lang w:val="de-DE"/>
              </w:rPr>
              <w:t>Raten und gegebenenfalls Reihenfolge, in der die Raten angerechnet werden</w:t>
            </w:r>
          </w:p>
        </w:tc>
        <w:tc>
          <w:tcPr>
            <w:tcW w:w="4536" w:type="dxa"/>
            <w:tcBorders>
              <w:right w:val="nil"/>
            </w:tcBorders>
          </w:tcPr>
          <w:p w14:paraId="4AB411A8" w14:textId="77777777" w:rsidR="00740C64" w:rsidRPr="004676F5" w:rsidRDefault="00740C64" w:rsidP="00C46B2E">
            <w:pPr>
              <w:jc w:val="both"/>
              <w:rPr>
                <w:lang w:val="de-DE"/>
              </w:rPr>
            </w:pPr>
          </w:p>
          <w:p w14:paraId="79162FBF" w14:textId="77777777" w:rsidR="00740C64" w:rsidRPr="004676F5" w:rsidRDefault="00740C64" w:rsidP="00C46B2E">
            <w:pPr>
              <w:jc w:val="both"/>
              <w:rPr>
                <w:lang w:val="de-DE"/>
              </w:rPr>
            </w:pPr>
            <w:r w:rsidRPr="004676F5">
              <w:rPr>
                <w:lang w:val="de-DE"/>
              </w:rPr>
              <w:t>Sie müssen folgende Zahlungen leisten:</w:t>
            </w:r>
          </w:p>
          <w:p w14:paraId="6332AACB" w14:textId="77777777" w:rsidR="00740C64" w:rsidRPr="004676F5" w:rsidRDefault="00740C64" w:rsidP="00C46B2E">
            <w:pPr>
              <w:jc w:val="both"/>
              <w:rPr>
                <w:lang w:val="de-DE"/>
              </w:rPr>
            </w:pPr>
            <w:r w:rsidRPr="004676F5">
              <w:rPr>
                <w:lang w:val="de-DE"/>
              </w:rPr>
              <w:t>[Repräsentatives Beispiel für einen Raten</w:t>
            </w:r>
            <w:r w:rsidRPr="004676F5">
              <w:rPr>
                <w:lang w:val="de-DE"/>
              </w:rPr>
              <w:softHyphen/>
              <w:t>zahlungsplan unter Angabe des Betrags, der Anzahl und der Periodizität der vom Ver</w:t>
            </w:r>
            <w:r w:rsidRPr="004676F5">
              <w:rPr>
                <w:lang w:val="de-DE"/>
              </w:rPr>
              <w:softHyphen/>
              <w:t>braucher zu leistenden Zahlungen]</w:t>
            </w:r>
          </w:p>
          <w:p w14:paraId="29CF2A0E" w14:textId="77777777" w:rsidR="00740C64" w:rsidRPr="004676F5" w:rsidRDefault="00740C64" w:rsidP="00C46B2E">
            <w:pPr>
              <w:jc w:val="both"/>
              <w:rPr>
                <w:lang w:val="de-DE"/>
              </w:rPr>
            </w:pPr>
          </w:p>
        </w:tc>
      </w:tr>
      <w:tr w:rsidR="00740C64" w:rsidRPr="00256F56" w14:paraId="196BECF2" w14:textId="77777777" w:rsidTr="00C46B2E">
        <w:tc>
          <w:tcPr>
            <w:tcW w:w="4536" w:type="dxa"/>
            <w:tcBorders>
              <w:left w:val="nil"/>
            </w:tcBorders>
          </w:tcPr>
          <w:p w14:paraId="3F6B855A" w14:textId="77777777" w:rsidR="00740C64" w:rsidRPr="004676F5" w:rsidRDefault="00740C64" w:rsidP="00C46B2E">
            <w:pPr>
              <w:jc w:val="both"/>
              <w:rPr>
                <w:lang w:val="de-DE"/>
              </w:rPr>
            </w:pPr>
          </w:p>
          <w:p w14:paraId="1AE7AECE" w14:textId="77777777" w:rsidR="00740C64" w:rsidRPr="004676F5" w:rsidRDefault="00740C64" w:rsidP="00C46B2E">
            <w:pPr>
              <w:jc w:val="both"/>
              <w:rPr>
                <w:lang w:val="de-DE"/>
              </w:rPr>
            </w:pPr>
            <w:r w:rsidRPr="004676F5">
              <w:rPr>
                <w:lang w:val="de-DE"/>
              </w:rPr>
              <w:t>Gesamtbetrag, den Sie zu zahlen haben</w:t>
            </w:r>
          </w:p>
          <w:p w14:paraId="4529D7E6" w14:textId="77777777" w:rsidR="00740C64" w:rsidRPr="004676F5" w:rsidRDefault="00740C64" w:rsidP="00C46B2E">
            <w:pPr>
              <w:jc w:val="both"/>
              <w:rPr>
                <w:lang w:val="de-DE"/>
              </w:rPr>
            </w:pPr>
          </w:p>
        </w:tc>
        <w:tc>
          <w:tcPr>
            <w:tcW w:w="4536" w:type="dxa"/>
            <w:tcBorders>
              <w:right w:val="nil"/>
            </w:tcBorders>
          </w:tcPr>
          <w:p w14:paraId="714C5BD5" w14:textId="77777777" w:rsidR="00740C64" w:rsidRPr="004676F5" w:rsidRDefault="00740C64" w:rsidP="00C46B2E">
            <w:pPr>
              <w:jc w:val="both"/>
              <w:rPr>
                <w:lang w:val="de-DE"/>
              </w:rPr>
            </w:pPr>
            <w:r w:rsidRPr="004676F5">
              <w:rPr>
                <w:lang w:val="de-DE"/>
              </w:rPr>
              <w:t> </w:t>
            </w:r>
          </w:p>
        </w:tc>
      </w:tr>
      <w:tr w:rsidR="00740C64" w:rsidRPr="00256F56" w14:paraId="7C09FF21" w14:textId="77777777" w:rsidTr="00C46B2E">
        <w:tc>
          <w:tcPr>
            <w:tcW w:w="4536" w:type="dxa"/>
            <w:tcBorders>
              <w:left w:val="nil"/>
            </w:tcBorders>
          </w:tcPr>
          <w:p w14:paraId="5C6DCF69" w14:textId="77777777" w:rsidR="00740C64" w:rsidRPr="004676F5" w:rsidRDefault="00740C64" w:rsidP="00C46B2E">
            <w:pPr>
              <w:jc w:val="both"/>
              <w:rPr>
                <w:lang w:val="de-DE"/>
              </w:rPr>
            </w:pPr>
          </w:p>
          <w:p w14:paraId="7BBAE4A1" w14:textId="77777777" w:rsidR="00740C64" w:rsidRPr="004676F5" w:rsidRDefault="00740C64" w:rsidP="00C46B2E">
            <w:pPr>
              <w:jc w:val="both"/>
              <w:rPr>
                <w:lang w:val="de-DE"/>
              </w:rPr>
            </w:pPr>
            <w:r w:rsidRPr="004676F5">
              <w:rPr>
                <w:lang w:val="de-DE"/>
              </w:rPr>
              <w:t>Vorzeitige Rückzahlung</w:t>
            </w:r>
          </w:p>
          <w:p w14:paraId="4BE1ED7F" w14:textId="77777777" w:rsidR="00740C64" w:rsidRPr="004676F5" w:rsidRDefault="00740C64" w:rsidP="00C46B2E">
            <w:pPr>
              <w:jc w:val="both"/>
              <w:rPr>
                <w:lang w:val="de-DE"/>
              </w:rPr>
            </w:pPr>
          </w:p>
          <w:p w14:paraId="35610877" w14:textId="77777777" w:rsidR="00740C64" w:rsidRPr="004676F5" w:rsidRDefault="00740C64" w:rsidP="00C46B2E">
            <w:pPr>
              <w:jc w:val="both"/>
              <w:rPr>
                <w:sz w:val="22"/>
                <w:lang w:val="de-DE"/>
              </w:rPr>
            </w:pPr>
            <w:r w:rsidRPr="004676F5">
              <w:rPr>
                <w:i/>
                <w:sz w:val="22"/>
                <w:lang w:val="de-DE"/>
              </w:rPr>
              <w:t>Sie haben das Recht, den Kredit jederzeit ganz oder teilweise vorzeitig zurückzuzahlen.</w:t>
            </w:r>
          </w:p>
          <w:p w14:paraId="668E8336" w14:textId="77777777" w:rsidR="00740C64" w:rsidRPr="004676F5" w:rsidRDefault="00740C64" w:rsidP="00C46B2E">
            <w:pPr>
              <w:jc w:val="both"/>
              <w:rPr>
                <w:i/>
                <w:sz w:val="20"/>
                <w:lang w:val="de-DE"/>
              </w:rPr>
            </w:pPr>
          </w:p>
          <w:p w14:paraId="044CA17C" w14:textId="77777777" w:rsidR="00740C64" w:rsidRPr="004676F5" w:rsidRDefault="00740C64" w:rsidP="00C46B2E">
            <w:pPr>
              <w:jc w:val="both"/>
              <w:rPr>
                <w:lang w:val="de-DE"/>
              </w:rPr>
            </w:pPr>
            <w:r w:rsidRPr="004676F5">
              <w:rPr>
                <w:lang w:val="de-DE"/>
              </w:rPr>
              <w:t>(falls zutreffend)</w:t>
            </w:r>
          </w:p>
          <w:p w14:paraId="0ADBD6FC" w14:textId="77777777" w:rsidR="00740C64" w:rsidRPr="004676F5" w:rsidRDefault="00740C64" w:rsidP="00C46B2E">
            <w:pPr>
              <w:jc w:val="both"/>
              <w:rPr>
                <w:lang w:val="de-DE"/>
              </w:rPr>
            </w:pPr>
          </w:p>
          <w:p w14:paraId="2ED33938" w14:textId="77777777" w:rsidR="00740C64" w:rsidRPr="004676F5" w:rsidRDefault="00740C64" w:rsidP="00C46B2E">
            <w:pPr>
              <w:jc w:val="both"/>
              <w:rPr>
                <w:lang w:val="de-DE"/>
              </w:rPr>
            </w:pPr>
            <w:r w:rsidRPr="004676F5">
              <w:rPr>
                <w:lang w:val="de-DE"/>
              </w:rPr>
              <w:t>Dem Kreditgeber steht bei vorzeitiger Rückzahlung eine Entschädigung zu.</w:t>
            </w:r>
          </w:p>
          <w:p w14:paraId="7846F19B" w14:textId="77777777" w:rsidR="00740C64" w:rsidRPr="004676F5" w:rsidRDefault="00740C64" w:rsidP="00C46B2E">
            <w:pPr>
              <w:jc w:val="both"/>
              <w:rPr>
                <w:lang w:val="de-DE"/>
              </w:rPr>
            </w:pPr>
          </w:p>
        </w:tc>
        <w:tc>
          <w:tcPr>
            <w:tcW w:w="4536" w:type="dxa"/>
            <w:tcBorders>
              <w:right w:val="nil"/>
            </w:tcBorders>
          </w:tcPr>
          <w:p w14:paraId="54AFC676" w14:textId="77777777" w:rsidR="00740C64" w:rsidRPr="004676F5" w:rsidRDefault="00740C64" w:rsidP="00C46B2E">
            <w:pPr>
              <w:jc w:val="both"/>
              <w:rPr>
                <w:lang w:val="de-DE"/>
              </w:rPr>
            </w:pPr>
          </w:p>
          <w:p w14:paraId="765D8025" w14:textId="77777777" w:rsidR="00740C64" w:rsidRPr="004676F5" w:rsidRDefault="00740C64" w:rsidP="00C46B2E">
            <w:pPr>
              <w:jc w:val="both"/>
              <w:rPr>
                <w:lang w:val="de-DE"/>
              </w:rPr>
            </w:pPr>
            <w:r w:rsidRPr="004676F5">
              <w:rPr>
                <w:lang w:val="de-DE"/>
              </w:rPr>
              <w:t>[Festlegung der Entschädigung (Berech</w:t>
            </w:r>
            <w:r w:rsidRPr="004676F5">
              <w:rPr>
                <w:lang w:val="de-DE"/>
              </w:rPr>
              <w:softHyphen/>
              <w:t>nungs</w:t>
            </w:r>
            <w:r w:rsidRPr="004676F5">
              <w:rPr>
                <w:lang w:val="de-DE"/>
              </w:rPr>
              <w:softHyphen/>
              <w:t xml:space="preserve">methode) gemäß Artikel VII.97] </w:t>
            </w:r>
          </w:p>
        </w:tc>
      </w:tr>
    </w:tbl>
    <w:p w14:paraId="268D8036" w14:textId="77777777" w:rsidR="00740C64" w:rsidRPr="004676F5" w:rsidRDefault="00740C64" w:rsidP="00740C64">
      <w:pPr>
        <w:jc w:val="both"/>
        <w:rPr>
          <w:lang w:val="de-DE"/>
        </w:rPr>
      </w:pPr>
    </w:p>
    <w:p w14:paraId="1D7C6EC3" w14:textId="77777777" w:rsidR="00740C64" w:rsidRPr="004676F5" w:rsidRDefault="00740C64" w:rsidP="00740C64">
      <w:pPr>
        <w:rPr>
          <w:lang w:val="de-DE"/>
        </w:rPr>
      </w:pPr>
    </w:p>
    <w:p w14:paraId="49B1EBD5" w14:textId="77777777" w:rsidR="00740C64" w:rsidRPr="004676F5" w:rsidRDefault="00740C64" w:rsidP="00740C64">
      <w:pPr>
        <w:jc w:val="both"/>
        <w:rPr>
          <w:b/>
          <w:lang w:val="de-DE"/>
        </w:rPr>
      </w:pPr>
      <w:r w:rsidRPr="004676F5">
        <w:rPr>
          <w:b/>
          <w:lang w:val="de-DE"/>
        </w:rPr>
        <w:t xml:space="preserve">6. Zusätzliche Informationen beim Fernabsatz von Finanzdienstleistungen </w:t>
      </w:r>
    </w:p>
    <w:p w14:paraId="49B11EAC" w14:textId="77777777" w:rsidR="00740C64" w:rsidRPr="004676F5" w:rsidRDefault="00740C64" w:rsidP="00740C64">
      <w:pPr>
        <w:jc w:val="both"/>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4676F5" w14:paraId="157445C6" w14:textId="77777777" w:rsidTr="00C46B2E">
        <w:tc>
          <w:tcPr>
            <w:tcW w:w="4536" w:type="dxa"/>
            <w:tcBorders>
              <w:left w:val="nil"/>
            </w:tcBorders>
          </w:tcPr>
          <w:p w14:paraId="2AF29396" w14:textId="77777777" w:rsidR="00740C64" w:rsidRPr="004676F5" w:rsidRDefault="00740C64" w:rsidP="00C46B2E">
            <w:pPr>
              <w:jc w:val="both"/>
              <w:rPr>
                <w:lang w:val="de-DE"/>
              </w:rPr>
            </w:pPr>
          </w:p>
          <w:p w14:paraId="3714B8EF" w14:textId="77777777" w:rsidR="00740C64" w:rsidRPr="004676F5" w:rsidRDefault="00740C64" w:rsidP="00C46B2E">
            <w:pPr>
              <w:jc w:val="both"/>
              <w:rPr>
                <w:lang w:val="de-DE"/>
              </w:rPr>
            </w:pPr>
            <w:r w:rsidRPr="004676F5">
              <w:rPr>
                <w:lang w:val="de-DE"/>
              </w:rPr>
              <w:t>a) zum Kreditgeber</w:t>
            </w:r>
          </w:p>
          <w:p w14:paraId="310781B1" w14:textId="77777777" w:rsidR="00740C64" w:rsidRPr="004676F5" w:rsidRDefault="00740C64" w:rsidP="00C46B2E">
            <w:pPr>
              <w:jc w:val="both"/>
              <w:rPr>
                <w:lang w:val="de-DE"/>
              </w:rPr>
            </w:pPr>
          </w:p>
        </w:tc>
        <w:tc>
          <w:tcPr>
            <w:tcW w:w="4536" w:type="dxa"/>
            <w:tcBorders>
              <w:right w:val="nil"/>
            </w:tcBorders>
          </w:tcPr>
          <w:p w14:paraId="0807271D" w14:textId="77777777" w:rsidR="00740C64" w:rsidRPr="004676F5" w:rsidRDefault="00740C64" w:rsidP="00C46B2E">
            <w:pPr>
              <w:jc w:val="both"/>
              <w:rPr>
                <w:lang w:val="de-DE"/>
              </w:rPr>
            </w:pPr>
            <w:r w:rsidRPr="004676F5">
              <w:rPr>
                <w:lang w:val="de-DE"/>
              </w:rPr>
              <w:t> </w:t>
            </w:r>
          </w:p>
        </w:tc>
      </w:tr>
      <w:tr w:rsidR="00740C64" w:rsidRPr="00256F56" w14:paraId="3CB6F7E4" w14:textId="77777777" w:rsidTr="00C46B2E">
        <w:trPr>
          <w:trHeight w:val="2208"/>
        </w:trPr>
        <w:tc>
          <w:tcPr>
            <w:tcW w:w="4536" w:type="dxa"/>
            <w:tcBorders>
              <w:left w:val="nil"/>
            </w:tcBorders>
          </w:tcPr>
          <w:p w14:paraId="28A58649" w14:textId="77777777" w:rsidR="00740C64" w:rsidRPr="004676F5" w:rsidRDefault="00740C64" w:rsidP="00C46B2E">
            <w:pPr>
              <w:jc w:val="both"/>
              <w:rPr>
                <w:lang w:val="de-DE"/>
              </w:rPr>
            </w:pPr>
          </w:p>
          <w:p w14:paraId="711D71B0" w14:textId="77777777" w:rsidR="00740C64" w:rsidRPr="004676F5" w:rsidRDefault="00740C64" w:rsidP="00C46B2E">
            <w:pPr>
              <w:jc w:val="both"/>
              <w:rPr>
                <w:lang w:val="de-DE"/>
              </w:rPr>
            </w:pPr>
            <w:r w:rsidRPr="004676F5">
              <w:rPr>
                <w:lang w:val="de-DE"/>
              </w:rPr>
              <w:t>(falls zutreffend)</w:t>
            </w:r>
          </w:p>
          <w:p w14:paraId="119F5E9B" w14:textId="77777777" w:rsidR="00740C64" w:rsidRPr="004676F5" w:rsidRDefault="00740C64" w:rsidP="00C46B2E">
            <w:pPr>
              <w:jc w:val="both"/>
              <w:rPr>
                <w:lang w:val="de-DE"/>
              </w:rPr>
            </w:pPr>
          </w:p>
          <w:p w14:paraId="29FD28EA" w14:textId="77777777" w:rsidR="00740C64" w:rsidRPr="004676F5" w:rsidRDefault="00740C64" w:rsidP="00C46B2E">
            <w:pPr>
              <w:jc w:val="both"/>
              <w:rPr>
                <w:lang w:val="de-DE"/>
              </w:rPr>
            </w:pPr>
            <w:r w:rsidRPr="004676F5">
              <w:rPr>
                <w:lang w:val="de-DE"/>
              </w:rPr>
              <w:t>Vertreter des Kreditgebers in dem Mitglied</w:t>
            </w:r>
            <w:r w:rsidRPr="004676F5">
              <w:rPr>
                <w:lang w:val="de-DE"/>
              </w:rPr>
              <w:softHyphen/>
              <w:t>staat, in dem Sie Ihren Wohnsitz haben</w:t>
            </w:r>
          </w:p>
          <w:p w14:paraId="70177338" w14:textId="77777777" w:rsidR="00740C64" w:rsidRPr="004676F5" w:rsidRDefault="00740C64" w:rsidP="00C46B2E">
            <w:pPr>
              <w:jc w:val="both"/>
              <w:rPr>
                <w:lang w:val="de-DE"/>
              </w:rPr>
            </w:pPr>
          </w:p>
          <w:p w14:paraId="4EAC1FDB" w14:textId="77777777" w:rsidR="00740C64" w:rsidRPr="004676F5" w:rsidRDefault="00740C64" w:rsidP="00C46B2E">
            <w:pPr>
              <w:jc w:val="both"/>
              <w:rPr>
                <w:lang w:val="de-DE"/>
              </w:rPr>
            </w:pPr>
            <w:r w:rsidRPr="004676F5">
              <w:rPr>
                <w:lang w:val="de-DE"/>
              </w:rPr>
              <w:t>Anschrift</w:t>
            </w:r>
          </w:p>
          <w:p w14:paraId="3C4EFFC8" w14:textId="77777777" w:rsidR="00740C64" w:rsidRPr="004676F5" w:rsidRDefault="00740C64" w:rsidP="00C46B2E">
            <w:pPr>
              <w:jc w:val="both"/>
              <w:rPr>
                <w:lang w:val="de-DE"/>
              </w:rPr>
            </w:pPr>
            <w:bookmarkStart w:id="9" w:name="reftnt22_*"/>
            <w:bookmarkEnd w:id="9"/>
            <w:r w:rsidRPr="004676F5">
              <w:rPr>
                <w:lang w:val="de-DE"/>
              </w:rPr>
              <w:t>Telefon (*)</w:t>
            </w:r>
          </w:p>
          <w:p w14:paraId="3DB772B9" w14:textId="77777777" w:rsidR="00740C64" w:rsidRPr="004676F5" w:rsidRDefault="00740C64" w:rsidP="00C46B2E">
            <w:pPr>
              <w:jc w:val="both"/>
              <w:rPr>
                <w:lang w:val="de-DE"/>
              </w:rPr>
            </w:pPr>
            <w:r w:rsidRPr="004676F5">
              <w:rPr>
                <w:lang w:val="de-DE"/>
              </w:rPr>
              <w:t>E-Mail (*)</w:t>
            </w:r>
          </w:p>
          <w:p w14:paraId="41B8FF98" w14:textId="77777777" w:rsidR="00740C64" w:rsidRPr="004676F5" w:rsidRDefault="00740C64" w:rsidP="00C46B2E">
            <w:pPr>
              <w:jc w:val="both"/>
              <w:rPr>
                <w:lang w:val="de-DE"/>
              </w:rPr>
            </w:pPr>
            <w:r w:rsidRPr="004676F5">
              <w:rPr>
                <w:lang w:val="de-DE"/>
              </w:rPr>
              <w:t>Fax (*)</w:t>
            </w:r>
          </w:p>
          <w:p w14:paraId="713242A2" w14:textId="77777777" w:rsidR="00740C64" w:rsidRPr="004676F5" w:rsidRDefault="00740C64" w:rsidP="00C46B2E">
            <w:pPr>
              <w:jc w:val="both"/>
              <w:rPr>
                <w:lang w:val="de-DE"/>
              </w:rPr>
            </w:pPr>
            <w:r w:rsidRPr="004676F5">
              <w:rPr>
                <w:lang w:val="de-DE"/>
              </w:rPr>
              <w:t>Internet-Adresse (*)</w:t>
            </w:r>
          </w:p>
          <w:p w14:paraId="30332794" w14:textId="77777777" w:rsidR="00740C64" w:rsidRPr="004676F5" w:rsidRDefault="00740C64" w:rsidP="00C46B2E">
            <w:pPr>
              <w:jc w:val="both"/>
              <w:rPr>
                <w:lang w:val="de-DE"/>
              </w:rPr>
            </w:pPr>
          </w:p>
        </w:tc>
        <w:tc>
          <w:tcPr>
            <w:tcW w:w="4536" w:type="dxa"/>
            <w:tcBorders>
              <w:right w:val="nil"/>
            </w:tcBorders>
          </w:tcPr>
          <w:p w14:paraId="358233CE" w14:textId="77777777" w:rsidR="00740C64" w:rsidRPr="004676F5" w:rsidRDefault="00740C64" w:rsidP="00C46B2E">
            <w:pPr>
              <w:jc w:val="both"/>
              <w:rPr>
                <w:lang w:val="de-DE"/>
              </w:rPr>
            </w:pPr>
          </w:p>
          <w:p w14:paraId="5F0A33E9" w14:textId="77777777" w:rsidR="00740C64" w:rsidRPr="004676F5" w:rsidRDefault="00740C64" w:rsidP="00C46B2E">
            <w:pPr>
              <w:jc w:val="both"/>
              <w:rPr>
                <w:lang w:val="de-DE"/>
              </w:rPr>
            </w:pPr>
          </w:p>
          <w:p w14:paraId="257655D3" w14:textId="77777777" w:rsidR="00740C64" w:rsidRPr="004676F5" w:rsidRDefault="00740C64" w:rsidP="00C46B2E">
            <w:pPr>
              <w:jc w:val="both"/>
              <w:rPr>
                <w:lang w:val="de-DE"/>
              </w:rPr>
            </w:pPr>
          </w:p>
          <w:p w14:paraId="47C753DF" w14:textId="77777777" w:rsidR="00740C64" w:rsidRPr="004676F5" w:rsidRDefault="00740C64" w:rsidP="00C46B2E">
            <w:pPr>
              <w:jc w:val="both"/>
              <w:rPr>
                <w:lang w:val="de-DE"/>
              </w:rPr>
            </w:pPr>
            <w:r w:rsidRPr="004676F5">
              <w:rPr>
                <w:lang w:val="de-DE"/>
              </w:rPr>
              <w:t>[Name]</w:t>
            </w:r>
          </w:p>
          <w:p w14:paraId="44E97225" w14:textId="77777777" w:rsidR="00740C64" w:rsidRPr="004676F5" w:rsidRDefault="00740C64" w:rsidP="00C46B2E">
            <w:pPr>
              <w:jc w:val="both"/>
              <w:rPr>
                <w:lang w:val="de-DE"/>
              </w:rPr>
            </w:pPr>
          </w:p>
          <w:p w14:paraId="4ACCD101" w14:textId="77777777" w:rsidR="00740C64" w:rsidRPr="004676F5" w:rsidRDefault="00740C64" w:rsidP="00C46B2E">
            <w:pPr>
              <w:jc w:val="both"/>
              <w:rPr>
                <w:lang w:val="de-DE"/>
              </w:rPr>
            </w:pPr>
          </w:p>
          <w:p w14:paraId="2E7AEBDB" w14:textId="77777777" w:rsidR="00740C64" w:rsidRPr="004676F5" w:rsidRDefault="00740C64" w:rsidP="00C46B2E">
            <w:pPr>
              <w:jc w:val="both"/>
              <w:rPr>
                <w:lang w:val="de-DE"/>
              </w:rPr>
            </w:pPr>
            <w:r w:rsidRPr="004676F5">
              <w:rPr>
                <w:lang w:val="de-DE"/>
              </w:rPr>
              <w:t>[Anschrift für Kontakte mit dem Ver</w:t>
            </w:r>
            <w:r w:rsidRPr="004676F5">
              <w:rPr>
                <w:lang w:val="de-DE"/>
              </w:rPr>
              <w:softHyphen/>
              <w:t>braucher]</w:t>
            </w:r>
          </w:p>
        </w:tc>
      </w:tr>
      <w:tr w:rsidR="00740C64" w:rsidRPr="00256F56" w14:paraId="7BF5A73D" w14:textId="77777777" w:rsidTr="00C46B2E">
        <w:trPr>
          <w:trHeight w:val="1380"/>
        </w:trPr>
        <w:tc>
          <w:tcPr>
            <w:tcW w:w="4536" w:type="dxa"/>
            <w:tcBorders>
              <w:left w:val="nil"/>
            </w:tcBorders>
          </w:tcPr>
          <w:p w14:paraId="5250BCAB" w14:textId="77777777" w:rsidR="00740C64" w:rsidRPr="004676F5" w:rsidRDefault="00740C64" w:rsidP="00C46B2E">
            <w:pPr>
              <w:jc w:val="both"/>
              <w:rPr>
                <w:lang w:val="de-DE"/>
              </w:rPr>
            </w:pPr>
            <w:r w:rsidRPr="004676F5">
              <w:rPr>
                <w:lang w:val="de-DE"/>
              </w:rPr>
              <w:lastRenderedPageBreak/>
              <w:br w:type="page"/>
            </w:r>
          </w:p>
          <w:p w14:paraId="7E62D9F6" w14:textId="77777777" w:rsidR="00740C64" w:rsidRPr="004676F5" w:rsidRDefault="00740C64" w:rsidP="00C46B2E">
            <w:pPr>
              <w:jc w:val="both"/>
              <w:rPr>
                <w:lang w:val="de-DE"/>
              </w:rPr>
            </w:pPr>
            <w:r w:rsidRPr="004676F5">
              <w:rPr>
                <w:lang w:val="de-DE"/>
              </w:rPr>
              <w:t>(falls zutreffend)</w:t>
            </w:r>
          </w:p>
          <w:p w14:paraId="3150BD83" w14:textId="77777777" w:rsidR="00740C64" w:rsidRPr="004676F5" w:rsidRDefault="00740C64" w:rsidP="00C46B2E">
            <w:pPr>
              <w:jc w:val="both"/>
              <w:rPr>
                <w:lang w:val="de-DE"/>
              </w:rPr>
            </w:pPr>
          </w:p>
          <w:p w14:paraId="018309E9" w14:textId="77777777" w:rsidR="00740C64" w:rsidRPr="004676F5" w:rsidRDefault="00740C64" w:rsidP="00C46B2E">
            <w:pPr>
              <w:jc w:val="both"/>
              <w:rPr>
                <w:lang w:val="de-DE"/>
              </w:rPr>
            </w:pPr>
            <w:r w:rsidRPr="004676F5">
              <w:rPr>
                <w:lang w:val="de-DE"/>
              </w:rPr>
              <w:t>Registrierung</w:t>
            </w:r>
          </w:p>
        </w:tc>
        <w:tc>
          <w:tcPr>
            <w:tcW w:w="4536" w:type="dxa"/>
            <w:tcBorders>
              <w:right w:val="nil"/>
            </w:tcBorders>
          </w:tcPr>
          <w:p w14:paraId="1B1FCF6B" w14:textId="77777777" w:rsidR="00740C64" w:rsidRPr="004676F5" w:rsidRDefault="00740C64" w:rsidP="00C46B2E">
            <w:pPr>
              <w:jc w:val="both"/>
              <w:rPr>
                <w:lang w:val="de-DE"/>
              </w:rPr>
            </w:pPr>
          </w:p>
          <w:p w14:paraId="2E64EFF3" w14:textId="77777777" w:rsidR="00740C64" w:rsidRPr="004676F5" w:rsidRDefault="00740C64" w:rsidP="00C46B2E">
            <w:pPr>
              <w:jc w:val="both"/>
              <w:rPr>
                <w:lang w:val="de-DE"/>
              </w:rPr>
            </w:pPr>
          </w:p>
          <w:p w14:paraId="71560578" w14:textId="77777777" w:rsidR="00740C64" w:rsidRPr="004676F5" w:rsidRDefault="00740C64" w:rsidP="00C46B2E">
            <w:pPr>
              <w:jc w:val="both"/>
              <w:rPr>
                <w:lang w:val="de-DE"/>
              </w:rPr>
            </w:pPr>
          </w:p>
          <w:p w14:paraId="0C1CBA08" w14:textId="77777777" w:rsidR="00740C64" w:rsidRPr="004676F5" w:rsidRDefault="00740C64" w:rsidP="00C46B2E">
            <w:pPr>
              <w:jc w:val="both"/>
              <w:rPr>
                <w:lang w:val="de-DE"/>
              </w:rPr>
            </w:pPr>
            <w:r w:rsidRPr="004676F5">
              <w:rPr>
                <w:lang w:val="de-DE"/>
              </w:rPr>
              <w:t>[Zentrale Datenbank der Unternehmen, in der der Kreditgeber eingetragen ist, und seine Unternehmensnummer oder eine gleich</w:t>
            </w:r>
            <w:r w:rsidRPr="004676F5">
              <w:rPr>
                <w:lang w:val="de-DE"/>
              </w:rPr>
              <w:softHyphen/>
              <w:t>wertige in diesem Register verwendete Kennung]</w:t>
            </w:r>
          </w:p>
          <w:p w14:paraId="4519704A" w14:textId="77777777" w:rsidR="00740C64" w:rsidRPr="004676F5" w:rsidRDefault="00740C64" w:rsidP="00C46B2E">
            <w:pPr>
              <w:jc w:val="both"/>
              <w:rPr>
                <w:lang w:val="de-DE"/>
              </w:rPr>
            </w:pPr>
          </w:p>
        </w:tc>
      </w:tr>
      <w:tr w:rsidR="00740C64" w:rsidRPr="004676F5" w14:paraId="219CF797" w14:textId="77777777" w:rsidTr="00C46B2E">
        <w:trPr>
          <w:trHeight w:val="552"/>
        </w:trPr>
        <w:tc>
          <w:tcPr>
            <w:tcW w:w="4536" w:type="dxa"/>
            <w:tcBorders>
              <w:left w:val="nil"/>
            </w:tcBorders>
          </w:tcPr>
          <w:p w14:paraId="1A1DBFA1" w14:textId="77777777" w:rsidR="00740C64" w:rsidRPr="004676F5" w:rsidRDefault="00740C64" w:rsidP="00C46B2E">
            <w:pPr>
              <w:jc w:val="both"/>
              <w:rPr>
                <w:lang w:val="de-DE"/>
              </w:rPr>
            </w:pPr>
          </w:p>
          <w:p w14:paraId="024D4FB2" w14:textId="77777777" w:rsidR="00740C64" w:rsidRPr="004676F5" w:rsidRDefault="00740C64" w:rsidP="00C46B2E">
            <w:pPr>
              <w:jc w:val="both"/>
              <w:rPr>
                <w:lang w:val="de-DE"/>
              </w:rPr>
            </w:pPr>
            <w:r w:rsidRPr="004676F5">
              <w:rPr>
                <w:lang w:val="de-DE"/>
              </w:rPr>
              <w:t>(falls zutreffend)</w:t>
            </w:r>
          </w:p>
          <w:p w14:paraId="6AF708B9" w14:textId="77777777" w:rsidR="00740C64" w:rsidRPr="004676F5" w:rsidRDefault="00740C64" w:rsidP="00C46B2E">
            <w:pPr>
              <w:jc w:val="both"/>
              <w:rPr>
                <w:lang w:val="de-DE"/>
              </w:rPr>
            </w:pPr>
          </w:p>
          <w:p w14:paraId="22168FBB" w14:textId="77777777" w:rsidR="00740C64" w:rsidRPr="004676F5" w:rsidRDefault="00740C64" w:rsidP="00C46B2E">
            <w:pPr>
              <w:jc w:val="both"/>
              <w:rPr>
                <w:lang w:val="de-DE"/>
              </w:rPr>
            </w:pPr>
            <w:r w:rsidRPr="004676F5">
              <w:rPr>
                <w:lang w:val="de-DE"/>
              </w:rPr>
              <w:t>Zuständige Aufsichtsbehörde</w:t>
            </w:r>
          </w:p>
          <w:p w14:paraId="5694C057" w14:textId="77777777" w:rsidR="00740C64" w:rsidRPr="004676F5" w:rsidRDefault="00740C64" w:rsidP="00C46B2E">
            <w:pPr>
              <w:jc w:val="both"/>
              <w:rPr>
                <w:lang w:val="de-DE"/>
              </w:rPr>
            </w:pPr>
          </w:p>
        </w:tc>
        <w:tc>
          <w:tcPr>
            <w:tcW w:w="4536" w:type="dxa"/>
            <w:tcBorders>
              <w:right w:val="nil"/>
            </w:tcBorders>
          </w:tcPr>
          <w:p w14:paraId="23A3A76B" w14:textId="77777777" w:rsidR="00740C64" w:rsidRPr="004676F5" w:rsidRDefault="00740C64" w:rsidP="00C46B2E">
            <w:pPr>
              <w:jc w:val="both"/>
              <w:rPr>
                <w:lang w:val="de-DE"/>
              </w:rPr>
            </w:pPr>
            <w:r w:rsidRPr="004676F5">
              <w:rPr>
                <w:lang w:val="de-DE"/>
              </w:rPr>
              <w:t> </w:t>
            </w:r>
          </w:p>
          <w:p w14:paraId="585A773B" w14:textId="77777777" w:rsidR="00740C64" w:rsidRPr="004676F5" w:rsidRDefault="00740C64" w:rsidP="00C46B2E">
            <w:pPr>
              <w:jc w:val="both"/>
              <w:rPr>
                <w:lang w:val="de-DE"/>
              </w:rPr>
            </w:pPr>
            <w:r w:rsidRPr="004676F5">
              <w:rPr>
                <w:lang w:val="de-DE"/>
              </w:rPr>
              <w:t> </w:t>
            </w:r>
          </w:p>
        </w:tc>
      </w:tr>
      <w:tr w:rsidR="00740C64" w:rsidRPr="004676F5" w14:paraId="4B0B90AE" w14:textId="77777777" w:rsidTr="00C46B2E">
        <w:tc>
          <w:tcPr>
            <w:tcW w:w="4536" w:type="dxa"/>
            <w:tcBorders>
              <w:left w:val="nil"/>
            </w:tcBorders>
          </w:tcPr>
          <w:p w14:paraId="1DD31793" w14:textId="77777777" w:rsidR="00740C64" w:rsidRPr="004676F5" w:rsidRDefault="00740C64" w:rsidP="00C46B2E">
            <w:pPr>
              <w:jc w:val="both"/>
              <w:rPr>
                <w:lang w:val="de-DE"/>
              </w:rPr>
            </w:pPr>
          </w:p>
          <w:p w14:paraId="463C3353" w14:textId="77777777" w:rsidR="00740C64" w:rsidRPr="004676F5" w:rsidRDefault="00740C64" w:rsidP="00C46B2E">
            <w:pPr>
              <w:jc w:val="both"/>
              <w:rPr>
                <w:lang w:val="de-DE"/>
              </w:rPr>
            </w:pPr>
            <w:r w:rsidRPr="004676F5">
              <w:rPr>
                <w:lang w:val="de-DE"/>
              </w:rPr>
              <w:t>b) zum Kreditvertrag</w:t>
            </w:r>
          </w:p>
          <w:p w14:paraId="0E89D797" w14:textId="77777777" w:rsidR="00740C64" w:rsidRPr="004676F5" w:rsidRDefault="00740C64" w:rsidP="00C46B2E">
            <w:pPr>
              <w:jc w:val="both"/>
              <w:rPr>
                <w:lang w:val="de-DE"/>
              </w:rPr>
            </w:pPr>
          </w:p>
        </w:tc>
        <w:tc>
          <w:tcPr>
            <w:tcW w:w="4536" w:type="dxa"/>
            <w:tcBorders>
              <w:right w:val="nil"/>
            </w:tcBorders>
          </w:tcPr>
          <w:p w14:paraId="59206690" w14:textId="77777777" w:rsidR="00740C64" w:rsidRPr="004676F5" w:rsidRDefault="00740C64" w:rsidP="00C46B2E">
            <w:pPr>
              <w:jc w:val="both"/>
              <w:rPr>
                <w:lang w:val="de-DE"/>
              </w:rPr>
            </w:pPr>
            <w:r w:rsidRPr="004676F5">
              <w:rPr>
                <w:lang w:val="de-DE"/>
              </w:rPr>
              <w:t> </w:t>
            </w:r>
          </w:p>
        </w:tc>
      </w:tr>
      <w:tr w:rsidR="00740C64" w:rsidRPr="00256F56" w14:paraId="02FC16A2" w14:textId="77777777" w:rsidTr="00C46B2E">
        <w:trPr>
          <w:trHeight w:val="2499"/>
        </w:trPr>
        <w:tc>
          <w:tcPr>
            <w:tcW w:w="4536" w:type="dxa"/>
            <w:tcBorders>
              <w:left w:val="nil"/>
            </w:tcBorders>
          </w:tcPr>
          <w:p w14:paraId="15BA5268" w14:textId="77777777" w:rsidR="00740C64" w:rsidRPr="004676F5" w:rsidRDefault="00740C64" w:rsidP="00C46B2E">
            <w:pPr>
              <w:jc w:val="both"/>
              <w:rPr>
                <w:lang w:val="de-DE"/>
              </w:rPr>
            </w:pPr>
          </w:p>
          <w:p w14:paraId="27F8288A" w14:textId="77777777" w:rsidR="00740C64" w:rsidRPr="004676F5" w:rsidRDefault="00740C64" w:rsidP="00C46B2E">
            <w:pPr>
              <w:jc w:val="both"/>
              <w:rPr>
                <w:b/>
                <w:lang w:val="de-DE"/>
              </w:rPr>
            </w:pPr>
            <w:r w:rsidRPr="004676F5">
              <w:rPr>
                <w:b/>
                <w:lang w:val="de-DE"/>
              </w:rPr>
              <w:t>Widerrufsrecht</w:t>
            </w:r>
          </w:p>
          <w:p w14:paraId="7637F7EB" w14:textId="77777777" w:rsidR="00740C64" w:rsidRPr="004676F5" w:rsidRDefault="00740C64" w:rsidP="00C46B2E">
            <w:pPr>
              <w:jc w:val="both"/>
              <w:rPr>
                <w:lang w:val="de-DE"/>
              </w:rPr>
            </w:pPr>
          </w:p>
          <w:p w14:paraId="5C2EDEA4" w14:textId="77777777" w:rsidR="00740C64" w:rsidRPr="004676F5" w:rsidRDefault="00740C64" w:rsidP="00C46B2E">
            <w:pPr>
              <w:jc w:val="both"/>
              <w:rPr>
                <w:i/>
                <w:iCs/>
                <w:lang w:val="de-DE"/>
              </w:rPr>
            </w:pPr>
            <w:r w:rsidRPr="004676F5">
              <w:rPr>
                <w:i/>
                <w:lang w:val="de-DE"/>
              </w:rPr>
              <w:t>Sie haben das Recht, innerhalb von 14 Ka</w:t>
            </w:r>
            <w:r w:rsidRPr="004676F5">
              <w:rPr>
                <w:i/>
                <w:lang w:val="de-DE"/>
              </w:rPr>
              <w:softHyphen/>
              <w:t>lendertagen den Kreditvertrag zu wider</w:t>
            </w:r>
            <w:r w:rsidRPr="004676F5">
              <w:rPr>
                <w:i/>
                <w:lang w:val="de-DE"/>
              </w:rPr>
              <w:softHyphen/>
              <w:t>rufen.</w:t>
            </w:r>
          </w:p>
          <w:p w14:paraId="0D20258E" w14:textId="77777777" w:rsidR="00740C64" w:rsidRPr="004676F5" w:rsidRDefault="00740C64" w:rsidP="00C46B2E">
            <w:pPr>
              <w:jc w:val="both"/>
              <w:rPr>
                <w:sz w:val="20"/>
                <w:szCs w:val="20"/>
                <w:lang w:val="de-DE"/>
              </w:rPr>
            </w:pPr>
          </w:p>
          <w:p w14:paraId="254D623F" w14:textId="77777777" w:rsidR="00740C64" w:rsidRPr="004676F5" w:rsidRDefault="00740C64" w:rsidP="00C46B2E">
            <w:pPr>
              <w:jc w:val="both"/>
              <w:rPr>
                <w:lang w:val="de-DE"/>
              </w:rPr>
            </w:pPr>
            <w:r w:rsidRPr="004676F5">
              <w:rPr>
                <w:lang w:val="de-DE"/>
              </w:rPr>
              <w:t>(falls zutreffend)</w:t>
            </w:r>
          </w:p>
          <w:p w14:paraId="24BEE46E" w14:textId="77777777" w:rsidR="00740C64" w:rsidRPr="004676F5" w:rsidRDefault="00740C64" w:rsidP="00C46B2E">
            <w:pPr>
              <w:jc w:val="both"/>
              <w:rPr>
                <w:lang w:val="de-DE"/>
              </w:rPr>
            </w:pPr>
          </w:p>
          <w:p w14:paraId="4A4E05C2" w14:textId="77777777" w:rsidR="00740C64" w:rsidRPr="004676F5" w:rsidRDefault="00740C64" w:rsidP="00C46B2E">
            <w:pPr>
              <w:jc w:val="both"/>
              <w:rPr>
                <w:lang w:val="de-DE"/>
              </w:rPr>
            </w:pPr>
            <w:r w:rsidRPr="004676F5">
              <w:rPr>
                <w:lang w:val="de-DE"/>
              </w:rPr>
              <w:t>Ausübung des Widerrufsrechts</w:t>
            </w:r>
          </w:p>
          <w:p w14:paraId="2E3FCD5A" w14:textId="77777777" w:rsidR="00740C64" w:rsidRPr="004676F5" w:rsidRDefault="00740C64" w:rsidP="00C46B2E">
            <w:pPr>
              <w:jc w:val="both"/>
              <w:rPr>
                <w:lang w:val="de-DE"/>
              </w:rPr>
            </w:pPr>
          </w:p>
        </w:tc>
        <w:tc>
          <w:tcPr>
            <w:tcW w:w="4536" w:type="dxa"/>
            <w:tcBorders>
              <w:right w:val="nil"/>
            </w:tcBorders>
          </w:tcPr>
          <w:p w14:paraId="60B5C26C" w14:textId="77777777" w:rsidR="00740C64" w:rsidRPr="004676F5" w:rsidRDefault="00740C64" w:rsidP="00C46B2E">
            <w:pPr>
              <w:jc w:val="both"/>
              <w:rPr>
                <w:lang w:val="de-DE"/>
              </w:rPr>
            </w:pPr>
          </w:p>
          <w:p w14:paraId="37F08313" w14:textId="77777777" w:rsidR="00740C64" w:rsidRPr="004676F5" w:rsidRDefault="00740C64" w:rsidP="00C46B2E">
            <w:pPr>
              <w:jc w:val="both"/>
              <w:rPr>
                <w:lang w:val="de-DE"/>
              </w:rPr>
            </w:pPr>
            <w:r w:rsidRPr="004676F5">
              <w:rPr>
                <w:lang w:val="de-DE"/>
              </w:rPr>
              <w:t>Ja/nein</w:t>
            </w:r>
          </w:p>
          <w:p w14:paraId="20E14194" w14:textId="77777777" w:rsidR="00740C64" w:rsidRPr="004676F5" w:rsidRDefault="00740C64" w:rsidP="00C46B2E">
            <w:pPr>
              <w:jc w:val="both"/>
              <w:rPr>
                <w:lang w:val="de-DE"/>
              </w:rPr>
            </w:pPr>
          </w:p>
          <w:p w14:paraId="7C9D7DCA" w14:textId="77777777" w:rsidR="00740C64" w:rsidRPr="004676F5" w:rsidRDefault="00740C64" w:rsidP="00C46B2E">
            <w:pPr>
              <w:jc w:val="both"/>
              <w:rPr>
                <w:lang w:val="de-DE"/>
              </w:rPr>
            </w:pPr>
          </w:p>
          <w:p w14:paraId="40EFA2F9" w14:textId="77777777" w:rsidR="00740C64" w:rsidRPr="004676F5" w:rsidRDefault="00740C64" w:rsidP="00C46B2E">
            <w:pPr>
              <w:jc w:val="both"/>
              <w:rPr>
                <w:lang w:val="de-DE"/>
              </w:rPr>
            </w:pPr>
          </w:p>
          <w:p w14:paraId="444BF636" w14:textId="77777777" w:rsidR="00740C64" w:rsidRPr="004676F5" w:rsidRDefault="00740C64" w:rsidP="00C46B2E">
            <w:pPr>
              <w:jc w:val="both"/>
              <w:rPr>
                <w:lang w:val="de-DE"/>
              </w:rPr>
            </w:pPr>
          </w:p>
          <w:p w14:paraId="31314199" w14:textId="77777777" w:rsidR="00740C64" w:rsidRPr="004676F5" w:rsidRDefault="00740C64" w:rsidP="00C46B2E">
            <w:pPr>
              <w:jc w:val="both"/>
              <w:rPr>
                <w:sz w:val="20"/>
                <w:szCs w:val="20"/>
                <w:lang w:val="de-DE"/>
              </w:rPr>
            </w:pPr>
          </w:p>
          <w:p w14:paraId="49AE451A" w14:textId="77777777" w:rsidR="00740C64" w:rsidRPr="004676F5" w:rsidRDefault="00740C64" w:rsidP="00C46B2E">
            <w:pPr>
              <w:jc w:val="both"/>
              <w:rPr>
                <w:lang w:val="de-DE"/>
              </w:rPr>
            </w:pPr>
          </w:p>
          <w:p w14:paraId="3D9DCAF7" w14:textId="77777777" w:rsidR="00740C64" w:rsidRPr="004676F5" w:rsidRDefault="00740C64" w:rsidP="00C46B2E">
            <w:pPr>
              <w:jc w:val="both"/>
              <w:rPr>
                <w:lang w:val="de-DE"/>
              </w:rPr>
            </w:pPr>
          </w:p>
          <w:p w14:paraId="69803B5F" w14:textId="77777777" w:rsidR="00740C64" w:rsidRPr="004676F5" w:rsidRDefault="00740C64" w:rsidP="00C46B2E">
            <w:pPr>
              <w:jc w:val="both"/>
              <w:rPr>
                <w:lang w:val="de-DE"/>
              </w:rPr>
            </w:pPr>
            <w:r w:rsidRPr="004676F5">
              <w:rPr>
                <w:lang w:val="de-DE"/>
              </w:rPr>
              <w:t>[Praktische Hinweise zur Ausübung des Widerrufsrechts, darunter Angabe der Anschrift, an die die Belehrung über das Widerrufsrecht zu senden ist, sowie Folgen bei Nichtausübung dieses Rechts]</w:t>
            </w:r>
          </w:p>
          <w:p w14:paraId="77729CF3" w14:textId="77777777" w:rsidR="00740C64" w:rsidRPr="004676F5" w:rsidRDefault="00740C64" w:rsidP="00C46B2E">
            <w:pPr>
              <w:jc w:val="both"/>
              <w:rPr>
                <w:lang w:val="de-DE"/>
              </w:rPr>
            </w:pPr>
          </w:p>
        </w:tc>
      </w:tr>
      <w:tr w:rsidR="00740C64" w:rsidRPr="00256F56" w14:paraId="58245AC7" w14:textId="77777777" w:rsidTr="00C46B2E">
        <w:trPr>
          <w:trHeight w:val="1104"/>
        </w:trPr>
        <w:tc>
          <w:tcPr>
            <w:tcW w:w="4536" w:type="dxa"/>
            <w:tcBorders>
              <w:left w:val="nil"/>
            </w:tcBorders>
          </w:tcPr>
          <w:p w14:paraId="1BFCFE2D" w14:textId="77777777" w:rsidR="00740C64" w:rsidRPr="004676F5" w:rsidRDefault="00740C64" w:rsidP="00C46B2E">
            <w:pPr>
              <w:jc w:val="both"/>
              <w:rPr>
                <w:lang w:val="de-DE"/>
              </w:rPr>
            </w:pPr>
          </w:p>
          <w:p w14:paraId="53AFB61A" w14:textId="77777777" w:rsidR="00740C64" w:rsidRPr="004676F5" w:rsidRDefault="00740C64" w:rsidP="00C46B2E">
            <w:pPr>
              <w:jc w:val="both"/>
              <w:rPr>
                <w:lang w:val="de-DE"/>
              </w:rPr>
            </w:pPr>
            <w:r w:rsidRPr="004676F5">
              <w:rPr>
                <w:lang w:val="de-DE"/>
              </w:rPr>
              <w:t>(falls zutreffend)</w:t>
            </w:r>
          </w:p>
          <w:p w14:paraId="16E9E54E" w14:textId="77777777" w:rsidR="00740C64" w:rsidRPr="004676F5" w:rsidRDefault="00740C64" w:rsidP="00C46B2E">
            <w:pPr>
              <w:jc w:val="both"/>
              <w:rPr>
                <w:lang w:val="de-DE"/>
              </w:rPr>
            </w:pPr>
          </w:p>
          <w:p w14:paraId="260E9D5B" w14:textId="77777777" w:rsidR="00740C64" w:rsidRPr="004676F5" w:rsidRDefault="00740C64" w:rsidP="00C46B2E">
            <w:pPr>
              <w:jc w:val="both"/>
              <w:rPr>
                <w:lang w:val="de-DE"/>
              </w:rPr>
            </w:pPr>
            <w:r w:rsidRPr="004676F5">
              <w:rPr>
                <w:lang w:val="de-DE"/>
              </w:rPr>
              <w:t>Recht, das der Kreditgeber der Aufnahme von Beziehungen zu Ihnen vor Abschluss des Kreditvertrags zugrunde legt</w:t>
            </w:r>
          </w:p>
          <w:p w14:paraId="19B7727E" w14:textId="77777777" w:rsidR="00740C64" w:rsidRPr="004676F5" w:rsidRDefault="00740C64" w:rsidP="00C46B2E">
            <w:pPr>
              <w:jc w:val="both"/>
              <w:rPr>
                <w:lang w:val="de-DE"/>
              </w:rPr>
            </w:pPr>
          </w:p>
        </w:tc>
        <w:tc>
          <w:tcPr>
            <w:tcW w:w="4536" w:type="dxa"/>
            <w:tcBorders>
              <w:right w:val="nil"/>
            </w:tcBorders>
          </w:tcPr>
          <w:p w14:paraId="2DB01BB9" w14:textId="77777777" w:rsidR="00740C64" w:rsidRPr="004676F5" w:rsidRDefault="00740C64" w:rsidP="00C46B2E">
            <w:pPr>
              <w:jc w:val="both"/>
              <w:rPr>
                <w:lang w:val="de-DE"/>
              </w:rPr>
            </w:pPr>
          </w:p>
        </w:tc>
      </w:tr>
    </w:tbl>
    <w:p w14:paraId="05BB6494" w14:textId="77777777" w:rsidR="00740C64" w:rsidRPr="004676F5" w:rsidRDefault="00740C64" w:rsidP="00740C64">
      <w:pPr>
        <w:rPr>
          <w:lang w:val="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740C64" w:rsidRPr="004676F5" w14:paraId="3E88B6B4" w14:textId="77777777" w:rsidTr="00C46B2E">
        <w:trPr>
          <w:trHeight w:val="1104"/>
        </w:trPr>
        <w:tc>
          <w:tcPr>
            <w:tcW w:w="4536" w:type="dxa"/>
            <w:tcBorders>
              <w:left w:val="nil"/>
            </w:tcBorders>
          </w:tcPr>
          <w:p w14:paraId="010E44E8" w14:textId="77777777" w:rsidR="00740C64" w:rsidRPr="004676F5" w:rsidRDefault="00740C64" w:rsidP="00C46B2E">
            <w:pPr>
              <w:jc w:val="both"/>
              <w:rPr>
                <w:lang w:val="de-DE"/>
              </w:rPr>
            </w:pPr>
          </w:p>
          <w:p w14:paraId="1B76222B" w14:textId="77777777" w:rsidR="00740C64" w:rsidRPr="004676F5" w:rsidRDefault="00740C64" w:rsidP="00C46B2E">
            <w:pPr>
              <w:jc w:val="both"/>
              <w:rPr>
                <w:lang w:val="de-DE"/>
              </w:rPr>
            </w:pPr>
            <w:r w:rsidRPr="004676F5">
              <w:rPr>
                <w:lang w:val="de-DE"/>
              </w:rPr>
              <w:t>(falls zutreffend)</w:t>
            </w:r>
          </w:p>
          <w:p w14:paraId="1E0993B5" w14:textId="77777777" w:rsidR="00740C64" w:rsidRPr="004676F5" w:rsidRDefault="00740C64" w:rsidP="00C46B2E">
            <w:pPr>
              <w:jc w:val="both"/>
              <w:rPr>
                <w:lang w:val="de-DE"/>
              </w:rPr>
            </w:pPr>
          </w:p>
          <w:p w14:paraId="70743BB0" w14:textId="77777777" w:rsidR="00740C64" w:rsidRPr="004676F5" w:rsidRDefault="00740C64" w:rsidP="00C46B2E">
            <w:pPr>
              <w:jc w:val="both"/>
              <w:rPr>
                <w:lang w:val="de-DE"/>
              </w:rPr>
            </w:pPr>
            <w:r w:rsidRPr="004676F5">
              <w:rPr>
                <w:lang w:val="de-DE"/>
              </w:rPr>
              <w:t>Klauseln über das auf den Kreditvertrag anwendbare Recht und/oder die zuständige Gerichtsbarkeit</w:t>
            </w:r>
          </w:p>
          <w:p w14:paraId="3622C896" w14:textId="77777777" w:rsidR="00740C64" w:rsidRPr="004676F5" w:rsidRDefault="00740C64" w:rsidP="00C46B2E">
            <w:pPr>
              <w:jc w:val="both"/>
              <w:rPr>
                <w:lang w:val="de-DE"/>
              </w:rPr>
            </w:pPr>
          </w:p>
        </w:tc>
        <w:tc>
          <w:tcPr>
            <w:tcW w:w="4536" w:type="dxa"/>
            <w:tcBorders>
              <w:right w:val="nil"/>
            </w:tcBorders>
          </w:tcPr>
          <w:p w14:paraId="6F75E51A" w14:textId="77777777" w:rsidR="00740C64" w:rsidRPr="004676F5" w:rsidRDefault="00740C64" w:rsidP="00C46B2E">
            <w:pPr>
              <w:jc w:val="both"/>
              <w:rPr>
                <w:lang w:val="de-DE"/>
              </w:rPr>
            </w:pPr>
          </w:p>
          <w:p w14:paraId="18E302A5" w14:textId="77777777" w:rsidR="00740C64" w:rsidRPr="004676F5" w:rsidRDefault="00740C64" w:rsidP="00C46B2E">
            <w:pPr>
              <w:jc w:val="both"/>
              <w:rPr>
                <w:lang w:val="de-DE"/>
              </w:rPr>
            </w:pPr>
          </w:p>
          <w:p w14:paraId="57E93281" w14:textId="77777777" w:rsidR="00740C64" w:rsidRPr="004676F5" w:rsidRDefault="00740C64" w:rsidP="00C46B2E">
            <w:pPr>
              <w:jc w:val="both"/>
              <w:rPr>
                <w:lang w:val="de-DE"/>
              </w:rPr>
            </w:pPr>
          </w:p>
          <w:p w14:paraId="28437268" w14:textId="77777777" w:rsidR="00740C64" w:rsidRPr="004676F5" w:rsidRDefault="00740C64" w:rsidP="00C46B2E">
            <w:pPr>
              <w:jc w:val="both"/>
              <w:rPr>
                <w:lang w:val="de-DE"/>
              </w:rPr>
            </w:pPr>
            <w:r w:rsidRPr="004676F5">
              <w:rPr>
                <w:lang w:val="de-DE"/>
              </w:rPr>
              <w:t>[Entsprechende Klausel hier wiedergeben]</w:t>
            </w:r>
          </w:p>
        </w:tc>
      </w:tr>
      <w:tr w:rsidR="00740C64" w:rsidRPr="00256F56" w14:paraId="6D467530" w14:textId="77777777" w:rsidTr="00C46B2E">
        <w:trPr>
          <w:trHeight w:val="1656"/>
        </w:trPr>
        <w:tc>
          <w:tcPr>
            <w:tcW w:w="4536" w:type="dxa"/>
            <w:tcBorders>
              <w:left w:val="nil"/>
            </w:tcBorders>
          </w:tcPr>
          <w:p w14:paraId="1DD5F6B4" w14:textId="77777777" w:rsidR="00740C64" w:rsidRPr="004676F5" w:rsidRDefault="00740C64" w:rsidP="00C46B2E">
            <w:pPr>
              <w:jc w:val="both"/>
              <w:rPr>
                <w:lang w:val="de-DE"/>
              </w:rPr>
            </w:pPr>
          </w:p>
          <w:p w14:paraId="34660CAA" w14:textId="77777777" w:rsidR="00740C64" w:rsidRPr="004676F5" w:rsidRDefault="00740C64" w:rsidP="00C46B2E">
            <w:pPr>
              <w:jc w:val="both"/>
              <w:rPr>
                <w:lang w:val="de-DE"/>
              </w:rPr>
            </w:pPr>
            <w:r w:rsidRPr="004676F5">
              <w:rPr>
                <w:lang w:val="de-DE"/>
              </w:rPr>
              <w:t>(falls zutreffend)</w:t>
            </w:r>
          </w:p>
          <w:p w14:paraId="4A00B537" w14:textId="77777777" w:rsidR="00740C64" w:rsidRPr="004676F5" w:rsidRDefault="00740C64" w:rsidP="00C46B2E">
            <w:pPr>
              <w:jc w:val="both"/>
              <w:rPr>
                <w:lang w:val="de-DE"/>
              </w:rPr>
            </w:pPr>
          </w:p>
          <w:p w14:paraId="1834E88F" w14:textId="77777777" w:rsidR="00740C64" w:rsidRPr="004676F5" w:rsidRDefault="00740C64" w:rsidP="00C46B2E">
            <w:pPr>
              <w:jc w:val="both"/>
              <w:rPr>
                <w:lang w:val="de-DE"/>
              </w:rPr>
            </w:pPr>
            <w:r w:rsidRPr="004676F5">
              <w:rPr>
                <w:lang w:val="de-DE"/>
              </w:rPr>
              <w:t>Sprachenregelung</w:t>
            </w:r>
          </w:p>
        </w:tc>
        <w:tc>
          <w:tcPr>
            <w:tcW w:w="4536" w:type="dxa"/>
            <w:tcBorders>
              <w:right w:val="nil"/>
            </w:tcBorders>
          </w:tcPr>
          <w:p w14:paraId="40CA66CE" w14:textId="77777777" w:rsidR="00740C64" w:rsidRPr="004676F5" w:rsidRDefault="00740C64" w:rsidP="00C46B2E">
            <w:pPr>
              <w:jc w:val="both"/>
              <w:rPr>
                <w:lang w:val="de-DE"/>
              </w:rPr>
            </w:pPr>
          </w:p>
          <w:p w14:paraId="2FD6B0CC" w14:textId="77777777" w:rsidR="00740C64" w:rsidRPr="004676F5" w:rsidRDefault="00740C64" w:rsidP="00C46B2E">
            <w:pPr>
              <w:jc w:val="both"/>
              <w:rPr>
                <w:lang w:val="de-DE"/>
              </w:rPr>
            </w:pPr>
          </w:p>
          <w:p w14:paraId="5A495248" w14:textId="77777777" w:rsidR="00740C64" w:rsidRPr="004676F5" w:rsidRDefault="00740C64" w:rsidP="00C46B2E">
            <w:pPr>
              <w:jc w:val="both"/>
              <w:rPr>
                <w:lang w:val="de-DE"/>
              </w:rPr>
            </w:pPr>
          </w:p>
          <w:p w14:paraId="49E67BA2" w14:textId="77777777" w:rsidR="00740C64" w:rsidRPr="004676F5" w:rsidRDefault="00740C64" w:rsidP="00C46B2E">
            <w:pPr>
              <w:jc w:val="both"/>
              <w:rPr>
                <w:lang w:val="de-DE"/>
              </w:rPr>
            </w:pPr>
            <w:r w:rsidRPr="004676F5">
              <w:rPr>
                <w:lang w:val="de-DE"/>
              </w:rPr>
              <w:t>Die Informationen und Vertrags</w:t>
            </w:r>
            <w:r w:rsidRPr="004676F5">
              <w:rPr>
                <w:lang w:val="de-DE"/>
              </w:rPr>
              <w:softHyphen/>
              <w:t>bedingungen werden in [Angabe der Sprache] vorgelegt. Mit Ihrer Zustimmung werden wir während der Laufzeit des Kreditvertrags in [Angabe der Sprache(n)] mit Ihnen Kontakt halten.</w:t>
            </w:r>
          </w:p>
          <w:p w14:paraId="2A21C9C6" w14:textId="77777777" w:rsidR="00740C64" w:rsidRPr="004676F5" w:rsidRDefault="00740C64" w:rsidP="00C46B2E">
            <w:pPr>
              <w:jc w:val="both"/>
              <w:rPr>
                <w:lang w:val="de-DE"/>
              </w:rPr>
            </w:pPr>
          </w:p>
        </w:tc>
      </w:tr>
      <w:tr w:rsidR="00740C64" w:rsidRPr="004676F5" w14:paraId="400674CF" w14:textId="77777777" w:rsidTr="00C46B2E">
        <w:tc>
          <w:tcPr>
            <w:tcW w:w="4536" w:type="dxa"/>
            <w:tcBorders>
              <w:left w:val="nil"/>
            </w:tcBorders>
          </w:tcPr>
          <w:p w14:paraId="430A9E7C" w14:textId="77777777" w:rsidR="00740C64" w:rsidRPr="004676F5" w:rsidRDefault="00740C64" w:rsidP="00C46B2E">
            <w:pPr>
              <w:jc w:val="both"/>
              <w:rPr>
                <w:lang w:val="de-DE"/>
              </w:rPr>
            </w:pPr>
          </w:p>
          <w:p w14:paraId="096ED231" w14:textId="77777777" w:rsidR="00740C64" w:rsidRPr="004676F5" w:rsidRDefault="00740C64" w:rsidP="00C46B2E">
            <w:pPr>
              <w:jc w:val="both"/>
              <w:rPr>
                <w:lang w:val="de-DE"/>
              </w:rPr>
            </w:pPr>
            <w:r w:rsidRPr="004676F5">
              <w:rPr>
                <w:lang w:val="de-DE"/>
              </w:rPr>
              <w:t>c) zu den Rechtsmitteln</w:t>
            </w:r>
          </w:p>
          <w:p w14:paraId="7B825ECA" w14:textId="77777777" w:rsidR="00740C64" w:rsidRPr="004676F5" w:rsidRDefault="00740C64" w:rsidP="00C46B2E">
            <w:pPr>
              <w:jc w:val="both"/>
              <w:rPr>
                <w:lang w:val="de-DE"/>
              </w:rPr>
            </w:pPr>
          </w:p>
        </w:tc>
        <w:tc>
          <w:tcPr>
            <w:tcW w:w="4536" w:type="dxa"/>
            <w:tcBorders>
              <w:right w:val="nil"/>
            </w:tcBorders>
          </w:tcPr>
          <w:p w14:paraId="537B660A" w14:textId="77777777" w:rsidR="00740C64" w:rsidRPr="004676F5" w:rsidRDefault="00740C64" w:rsidP="00C46B2E">
            <w:pPr>
              <w:jc w:val="both"/>
              <w:rPr>
                <w:lang w:val="de-DE"/>
              </w:rPr>
            </w:pPr>
            <w:r w:rsidRPr="004676F5">
              <w:rPr>
                <w:lang w:val="de-DE"/>
              </w:rPr>
              <w:t> </w:t>
            </w:r>
          </w:p>
        </w:tc>
      </w:tr>
      <w:tr w:rsidR="00740C64" w:rsidRPr="00256F56" w14:paraId="62D00E8E" w14:textId="77777777" w:rsidTr="00C46B2E">
        <w:tc>
          <w:tcPr>
            <w:tcW w:w="4536" w:type="dxa"/>
            <w:tcBorders>
              <w:left w:val="nil"/>
            </w:tcBorders>
          </w:tcPr>
          <w:p w14:paraId="52BC079C" w14:textId="77777777" w:rsidR="00740C64" w:rsidRPr="004676F5" w:rsidRDefault="00740C64" w:rsidP="00C46B2E">
            <w:pPr>
              <w:jc w:val="both"/>
              <w:rPr>
                <w:lang w:val="de-DE"/>
              </w:rPr>
            </w:pPr>
          </w:p>
          <w:p w14:paraId="127CC06B" w14:textId="55228E3F" w:rsidR="00740C64" w:rsidRPr="004676F5" w:rsidRDefault="00740C64" w:rsidP="00C46B2E">
            <w:pPr>
              <w:jc w:val="both"/>
              <w:rPr>
                <w:lang w:val="de-DE"/>
              </w:rPr>
            </w:pPr>
            <w:r w:rsidRPr="004676F5">
              <w:rPr>
                <w:lang w:val="de-DE"/>
              </w:rPr>
              <w:t>Verfügbarkeit außergerichtlicher Beschwer</w:t>
            </w:r>
            <w:r w:rsidRPr="004676F5">
              <w:rPr>
                <w:lang w:val="de-DE"/>
              </w:rPr>
              <w:softHyphen/>
              <w:t>de</w:t>
            </w:r>
            <w:r w:rsidR="005B7A5C" w:rsidRPr="004676F5">
              <w:rPr>
                <w:lang w:val="de-DE"/>
              </w:rPr>
              <w:t>- </w:t>
            </w:r>
            <w:r w:rsidRPr="004676F5">
              <w:rPr>
                <w:lang w:val="de-DE"/>
              </w:rPr>
              <w:t>und Rechtsbehelfsverfahren und Zugang dazu</w:t>
            </w:r>
          </w:p>
        </w:tc>
        <w:tc>
          <w:tcPr>
            <w:tcW w:w="4536" w:type="dxa"/>
            <w:tcBorders>
              <w:right w:val="nil"/>
            </w:tcBorders>
          </w:tcPr>
          <w:p w14:paraId="56EE8D0E" w14:textId="77777777" w:rsidR="00740C64" w:rsidRPr="004676F5" w:rsidRDefault="00740C64" w:rsidP="00C46B2E">
            <w:pPr>
              <w:jc w:val="both"/>
              <w:rPr>
                <w:lang w:val="de-DE"/>
              </w:rPr>
            </w:pPr>
          </w:p>
          <w:p w14:paraId="18A6372B" w14:textId="115FACC7" w:rsidR="00740C64" w:rsidRPr="004676F5" w:rsidRDefault="00740C64" w:rsidP="00C46B2E">
            <w:pPr>
              <w:jc w:val="both"/>
              <w:rPr>
                <w:lang w:val="de-DE"/>
              </w:rPr>
            </w:pPr>
            <w:r w:rsidRPr="004676F5">
              <w:rPr>
                <w:lang w:val="de-DE"/>
              </w:rPr>
              <w:t>[Angabe, ob der Verbraucher, der Vertragspartei eines Fernabsatzvertrags ist, Zugang zu einem außergerichtlichen Be</w:t>
            </w:r>
            <w:r w:rsidRPr="004676F5">
              <w:rPr>
                <w:lang w:val="de-DE"/>
              </w:rPr>
              <w:softHyphen/>
              <w:t>schwer</w:t>
            </w:r>
            <w:r w:rsidRPr="004676F5">
              <w:rPr>
                <w:lang w:val="de-DE"/>
              </w:rPr>
              <w:softHyphen/>
              <w:t>de</w:t>
            </w:r>
            <w:r w:rsidR="005B7A5C" w:rsidRPr="004676F5">
              <w:rPr>
                <w:lang w:val="de-DE"/>
              </w:rPr>
              <w:t>- </w:t>
            </w:r>
            <w:r w:rsidRPr="004676F5">
              <w:rPr>
                <w:lang w:val="de-DE"/>
              </w:rPr>
              <w:t>und Rechtsbehelfsverfahren hat, und gegebenenfalls die Voraussetzungen für diesen Zugang]</w:t>
            </w:r>
          </w:p>
          <w:p w14:paraId="3B9F215F" w14:textId="77777777" w:rsidR="00740C64" w:rsidRPr="004676F5" w:rsidRDefault="00740C64" w:rsidP="00C46B2E">
            <w:pPr>
              <w:jc w:val="both"/>
              <w:rPr>
                <w:lang w:val="de-DE"/>
              </w:rPr>
            </w:pPr>
          </w:p>
        </w:tc>
      </w:tr>
      <w:tr w:rsidR="00740C64" w:rsidRPr="004676F5" w14:paraId="6407798F" w14:textId="77777777" w:rsidTr="00C46B2E">
        <w:tc>
          <w:tcPr>
            <w:tcW w:w="9072" w:type="dxa"/>
            <w:gridSpan w:val="2"/>
            <w:tcBorders>
              <w:left w:val="nil"/>
              <w:right w:val="nil"/>
            </w:tcBorders>
          </w:tcPr>
          <w:p w14:paraId="62CB3DA4" w14:textId="77777777" w:rsidR="00740C64" w:rsidRPr="004676F5" w:rsidRDefault="00740C64" w:rsidP="00C46B2E">
            <w:pPr>
              <w:jc w:val="both"/>
              <w:rPr>
                <w:sz w:val="20"/>
                <w:szCs w:val="20"/>
                <w:lang w:val="de-DE"/>
              </w:rPr>
            </w:pPr>
          </w:p>
          <w:p w14:paraId="2A08B78A" w14:textId="77777777" w:rsidR="00740C64" w:rsidRPr="004676F5" w:rsidRDefault="00740C64" w:rsidP="00C46B2E">
            <w:pPr>
              <w:jc w:val="both"/>
              <w:rPr>
                <w:sz w:val="20"/>
                <w:szCs w:val="20"/>
                <w:lang w:val="de-DE"/>
              </w:rPr>
            </w:pPr>
            <w:r w:rsidRPr="004676F5">
              <w:rPr>
                <w:sz w:val="20"/>
                <w:lang w:val="de-DE"/>
              </w:rPr>
              <w:t>(*) Freiwillige Angabe des Kreditgebers</w:t>
            </w:r>
          </w:p>
          <w:p w14:paraId="2B75DF62" w14:textId="77777777" w:rsidR="00740C64" w:rsidRPr="004676F5" w:rsidRDefault="00740C64" w:rsidP="00C46B2E">
            <w:pPr>
              <w:jc w:val="both"/>
              <w:rPr>
                <w:lang w:val="de-DE"/>
              </w:rPr>
            </w:pPr>
          </w:p>
        </w:tc>
      </w:tr>
    </w:tbl>
    <w:p w14:paraId="0DCF3D51" w14:textId="77777777" w:rsidR="00740C64" w:rsidRPr="004676F5" w:rsidRDefault="00740C64" w:rsidP="00740C64">
      <w:pPr>
        <w:jc w:val="both"/>
        <w:rPr>
          <w:lang w:val="de-DE"/>
        </w:rPr>
      </w:pPr>
      <w:bookmarkStart w:id="10" w:name="tnt22_*"/>
      <w:bookmarkEnd w:id="10"/>
    </w:p>
    <w:p w14:paraId="62700226" w14:textId="77777777" w:rsidR="00496AA3" w:rsidRPr="004676F5" w:rsidRDefault="00881814" w:rsidP="00496AA3">
      <w:pPr>
        <w:jc w:val="center"/>
        <w:rPr>
          <w:lang w:val="de-DE"/>
        </w:rPr>
      </w:pPr>
      <w:r w:rsidRPr="004676F5">
        <w:rPr>
          <w:b/>
          <w:lang w:val="de-DE"/>
        </w:rPr>
        <w:br w:type="page"/>
      </w:r>
      <w:r w:rsidR="00496AA3" w:rsidRPr="004676F5">
        <w:rPr>
          <w:lang w:val="de-DE"/>
        </w:rPr>
        <w:lastRenderedPageBreak/>
        <w:t>[</w:t>
      </w:r>
      <w:r w:rsidR="00496AA3" w:rsidRPr="004676F5">
        <w:rPr>
          <w:b/>
          <w:lang w:val="de-DE"/>
        </w:rPr>
        <w:t>Anlage 3</w:t>
      </w:r>
      <w:r w:rsidR="00496AA3" w:rsidRPr="004676F5">
        <w:rPr>
          <w:lang w:val="de-DE"/>
        </w:rPr>
        <w:t>]</w:t>
      </w:r>
    </w:p>
    <w:p w14:paraId="7E0F4EB5" w14:textId="77777777" w:rsidR="00496AA3" w:rsidRPr="004676F5" w:rsidRDefault="00496AA3" w:rsidP="00496AA3">
      <w:pPr>
        <w:jc w:val="center"/>
        <w:rPr>
          <w:b/>
          <w:lang w:val="de-DE"/>
        </w:rPr>
      </w:pPr>
    </w:p>
    <w:p w14:paraId="2C4B6CF7" w14:textId="0D72FAF9" w:rsidR="00496AA3" w:rsidRPr="004676F5" w:rsidRDefault="00496AA3" w:rsidP="00496AA3">
      <w:pPr>
        <w:jc w:val="both"/>
        <w:rPr>
          <w:i/>
          <w:lang w:val="de-DE"/>
        </w:rPr>
      </w:pPr>
      <w:r w:rsidRPr="004676F5">
        <w:rPr>
          <w:i/>
          <w:lang w:val="de-DE"/>
        </w:rPr>
        <w:t xml:space="preserve">[Anlage 3 eingefügt durch </w:t>
      </w:r>
      <w:r w:rsidR="00BE0A56" w:rsidRPr="004676F5">
        <w:rPr>
          <w:i/>
          <w:lang w:val="de-DE"/>
        </w:rPr>
        <w:t>Art. </w:t>
      </w:r>
      <w:r w:rsidRPr="004676F5">
        <w:rPr>
          <w:i/>
          <w:lang w:val="de-DE"/>
        </w:rPr>
        <w:t>37 des G. vom 22. April 2016 (B.S. vom 4. Mai 2016)]</w:t>
      </w:r>
    </w:p>
    <w:p w14:paraId="64A01945" w14:textId="77777777" w:rsidR="00496AA3" w:rsidRPr="004676F5" w:rsidRDefault="00496AA3" w:rsidP="00496AA3">
      <w:pPr>
        <w:jc w:val="both"/>
        <w:rPr>
          <w:i/>
          <w:lang w:val="de-DE"/>
        </w:rPr>
      </w:pPr>
    </w:p>
    <w:p w14:paraId="6CF6483A" w14:textId="77777777" w:rsidR="00496AA3" w:rsidRPr="004676F5" w:rsidRDefault="00496AA3" w:rsidP="00496AA3">
      <w:pPr>
        <w:jc w:val="both"/>
        <w:rPr>
          <w:lang w:val="de-DE"/>
        </w:rPr>
      </w:pPr>
    </w:p>
    <w:p w14:paraId="3F3DC2F2" w14:textId="61B44869" w:rsidR="00496AA3" w:rsidRPr="004676F5" w:rsidRDefault="00496AA3" w:rsidP="00496AA3">
      <w:pPr>
        <w:jc w:val="center"/>
        <w:rPr>
          <w:b/>
          <w:lang w:val="de-DE"/>
        </w:rPr>
      </w:pPr>
      <w:r w:rsidRPr="004676F5">
        <w:rPr>
          <w:b/>
          <w:lang w:val="de-DE"/>
        </w:rPr>
        <w:t xml:space="preserve">EUROPÄISCHES STANDARDISIERTES MERKBLATT (ESIS-MERKBLATT </w:t>
      </w:r>
      <w:r w:rsidR="005B7A5C" w:rsidRPr="004676F5">
        <w:rPr>
          <w:b/>
          <w:lang w:val="de-DE"/>
        </w:rPr>
        <w:t>- </w:t>
      </w:r>
      <w:r w:rsidRPr="004676F5">
        <w:rPr>
          <w:b/>
          <w:lang w:val="de-DE"/>
        </w:rPr>
        <w:t>ARTIKEL VII.127)</w:t>
      </w:r>
    </w:p>
    <w:p w14:paraId="3F6C8AB7" w14:textId="77777777" w:rsidR="00496AA3" w:rsidRPr="004676F5" w:rsidRDefault="00496AA3" w:rsidP="00496AA3">
      <w:pPr>
        <w:jc w:val="both"/>
        <w:rPr>
          <w:lang w:val="de-DE"/>
        </w:rPr>
      </w:pPr>
    </w:p>
    <w:p w14:paraId="42126F4A" w14:textId="77777777" w:rsidR="00496AA3" w:rsidRPr="004676F5" w:rsidRDefault="00496AA3" w:rsidP="00496AA3">
      <w:pPr>
        <w:jc w:val="center"/>
        <w:rPr>
          <w:lang w:val="de-DE"/>
        </w:rPr>
      </w:pPr>
      <w:r w:rsidRPr="004676F5">
        <w:rPr>
          <w:lang w:val="de-DE"/>
        </w:rPr>
        <w:t>TEIL A</w:t>
      </w:r>
    </w:p>
    <w:p w14:paraId="5844376F" w14:textId="77777777" w:rsidR="00496AA3" w:rsidRPr="004676F5" w:rsidRDefault="00496AA3" w:rsidP="00496AA3">
      <w:pPr>
        <w:jc w:val="both"/>
        <w:rPr>
          <w:lang w:val="de-DE"/>
        </w:rPr>
      </w:pPr>
    </w:p>
    <w:p w14:paraId="4C0F7717" w14:textId="77777777" w:rsidR="00496AA3" w:rsidRPr="004676F5" w:rsidRDefault="00496AA3" w:rsidP="00496AA3">
      <w:pPr>
        <w:ind w:firstLine="708"/>
        <w:jc w:val="both"/>
        <w:rPr>
          <w:lang w:val="de-DE"/>
        </w:rPr>
      </w:pPr>
      <w:r w:rsidRPr="004676F5">
        <w:rPr>
          <w:lang w:val="de-DE"/>
        </w:rPr>
        <w:t>Das folgende Muster ist im selben Wortlaut in das ESIS-Merkblatt zu übernehmen. Text in eckigen Klammern ist durch die entsprechende Angabe zu ersetzen. Hinweise für den Kreditgeber oder gegebenenfalls den Kreditvermittler zum Ausfüllen des ESIS-Merkblatts finden sich in Teil B.</w:t>
      </w:r>
    </w:p>
    <w:p w14:paraId="08587810" w14:textId="77777777" w:rsidR="00496AA3" w:rsidRPr="004676F5" w:rsidRDefault="00496AA3" w:rsidP="00496AA3">
      <w:pPr>
        <w:ind w:firstLine="708"/>
        <w:jc w:val="both"/>
        <w:rPr>
          <w:lang w:val="de-DE"/>
        </w:rPr>
      </w:pPr>
    </w:p>
    <w:p w14:paraId="4502B4F6" w14:textId="77777777" w:rsidR="00496AA3" w:rsidRPr="004676F5" w:rsidRDefault="00496AA3" w:rsidP="00496AA3">
      <w:pPr>
        <w:ind w:firstLine="708"/>
        <w:jc w:val="both"/>
        <w:rPr>
          <w:lang w:val="de-DE"/>
        </w:rPr>
      </w:pPr>
      <w:r w:rsidRPr="004676F5">
        <w:rPr>
          <w:lang w:val="de-DE"/>
        </w:rPr>
        <w:t>Bei Angaben, denen der Text "falls zutreffend" vorangestellt ist, hat der Kreditgeber die erforderlichen Angaben zu machen, wenn sie für den Kreditvertrag relevant sind. Ist die betreffende Information nicht relevant, ist die entsprechende Rubrik bzw. der gesamte Abschnitt vom Kreditgeber zu streichen (beispielsweise wenn der Abschnitt nicht anwendbar ist). Wird der gesamte Abschnitt gestrichen, so ist die Nummerierung der einzelnen Abschnitte des ESIS-Merkblatts entsprechend anzupassen.</w:t>
      </w:r>
    </w:p>
    <w:p w14:paraId="13E50F38" w14:textId="77777777" w:rsidR="00496AA3" w:rsidRPr="004676F5" w:rsidRDefault="00496AA3" w:rsidP="00496AA3">
      <w:pPr>
        <w:ind w:firstLine="708"/>
        <w:jc w:val="both"/>
        <w:rPr>
          <w:lang w:val="de-DE"/>
        </w:rPr>
      </w:pPr>
    </w:p>
    <w:p w14:paraId="5585A69E" w14:textId="77777777" w:rsidR="00496AA3" w:rsidRPr="004676F5" w:rsidRDefault="00496AA3" w:rsidP="00496AA3">
      <w:pPr>
        <w:ind w:firstLine="708"/>
        <w:jc w:val="both"/>
        <w:rPr>
          <w:lang w:val="de-DE"/>
        </w:rPr>
      </w:pPr>
      <w:r w:rsidRPr="004676F5">
        <w:rPr>
          <w:lang w:val="de-DE"/>
        </w:rPr>
        <w:t>Die nachstehenden Informationen müssen in einem einzigen Dokument enthalten sein. Es ist eine gut lesbare Schriftgröße zu wählen. Zur Hervorhebung sind Fettdruck, Schattierung oder eine größere Schriftgröße zu verwenden. Sämtliche Warnhinweise sind optisch hervorzuheben.</w:t>
      </w:r>
    </w:p>
    <w:p w14:paraId="0355DBFC" w14:textId="77777777" w:rsidR="00496AA3" w:rsidRPr="004676F5" w:rsidRDefault="00496AA3" w:rsidP="00496AA3">
      <w:pPr>
        <w:ind w:firstLine="708"/>
        <w:jc w:val="both"/>
        <w:rPr>
          <w:lang w:val="de-DE"/>
        </w:rPr>
      </w:pPr>
    </w:p>
    <w:p w14:paraId="0FE50B32" w14:textId="77777777" w:rsidR="00496AA3" w:rsidRPr="004676F5" w:rsidRDefault="00496AA3" w:rsidP="00496AA3">
      <w:pPr>
        <w:ind w:firstLine="708"/>
        <w:jc w:val="both"/>
        <w:rPr>
          <w:lang w:val="de-DE"/>
        </w:rPr>
      </w:pPr>
      <w:r w:rsidRPr="004676F5">
        <w:rPr>
          <w:lang w:val="de-DE"/>
        </w:rPr>
        <w:t>Muster für das ESIS-Merkblatt</w:t>
      </w:r>
    </w:p>
    <w:p w14:paraId="60EB3CED" w14:textId="77777777" w:rsidR="00496AA3" w:rsidRPr="004676F5" w:rsidRDefault="00496AA3" w:rsidP="00496AA3">
      <w:pPr>
        <w:ind w:firstLine="708"/>
        <w:jc w:val="both"/>
        <w:rPr>
          <w:lang w:val="de-DE"/>
        </w:rPr>
      </w:pPr>
    </w:p>
    <w:tbl>
      <w:tblPr>
        <w:tblStyle w:val="Grilledutableau"/>
        <w:tblW w:w="0" w:type="auto"/>
        <w:tblCellMar>
          <w:top w:w="227" w:type="dxa"/>
          <w:bottom w:w="227" w:type="dxa"/>
        </w:tblCellMar>
        <w:tblLook w:val="04A0" w:firstRow="1" w:lastRow="0" w:firstColumn="1" w:lastColumn="0" w:noHBand="0" w:noVBand="1"/>
      </w:tblPr>
      <w:tblGrid>
        <w:gridCol w:w="9060"/>
      </w:tblGrid>
      <w:tr w:rsidR="00496AA3" w:rsidRPr="004676F5" w14:paraId="34DEA7B6" w14:textId="77777777" w:rsidTr="00E064B4">
        <w:tc>
          <w:tcPr>
            <w:tcW w:w="9062" w:type="dxa"/>
          </w:tcPr>
          <w:p w14:paraId="3B8D400B" w14:textId="77777777" w:rsidR="00496AA3" w:rsidRPr="004676F5" w:rsidRDefault="00496AA3" w:rsidP="00E064B4">
            <w:pPr>
              <w:jc w:val="both"/>
            </w:pPr>
            <w:r w:rsidRPr="004676F5">
              <w:t>(Vorbemerkungen)</w:t>
            </w:r>
          </w:p>
        </w:tc>
      </w:tr>
      <w:tr w:rsidR="00496AA3" w:rsidRPr="00256F56" w14:paraId="168AEF1D" w14:textId="77777777" w:rsidTr="00E064B4">
        <w:tc>
          <w:tcPr>
            <w:tcW w:w="9062" w:type="dxa"/>
          </w:tcPr>
          <w:p w14:paraId="5CD4B00E" w14:textId="77777777" w:rsidR="00496AA3" w:rsidRPr="004676F5" w:rsidRDefault="00496AA3" w:rsidP="00E064B4">
            <w:pPr>
              <w:jc w:val="both"/>
            </w:pPr>
            <w:r w:rsidRPr="004676F5">
              <w:t>Dieses Dokument wurde am [Datum] für [Name des Verbrauchers] erstellt.</w:t>
            </w:r>
          </w:p>
          <w:p w14:paraId="6672F91A" w14:textId="77777777" w:rsidR="00496AA3" w:rsidRPr="004676F5" w:rsidRDefault="00496AA3" w:rsidP="00E064B4">
            <w:pPr>
              <w:jc w:val="both"/>
            </w:pPr>
          </w:p>
          <w:p w14:paraId="63CB497D" w14:textId="77777777" w:rsidR="00496AA3" w:rsidRPr="004676F5" w:rsidRDefault="00496AA3" w:rsidP="00E064B4">
            <w:pPr>
              <w:jc w:val="both"/>
            </w:pPr>
            <w:r w:rsidRPr="004676F5">
              <w:t>Das Dokument wurde auf der Grundlage der bereits von Ihnen gemachten Angaben sowie der aktuellen Bedingungen am Finanzmarkt erstellt.</w:t>
            </w:r>
          </w:p>
          <w:p w14:paraId="08CF2199" w14:textId="77777777" w:rsidR="00496AA3" w:rsidRPr="004676F5" w:rsidRDefault="00496AA3" w:rsidP="00E064B4">
            <w:pPr>
              <w:jc w:val="both"/>
            </w:pPr>
          </w:p>
          <w:p w14:paraId="0D488E40" w14:textId="77777777" w:rsidR="00496AA3" w:rsidRPr="004676F5" w:rsidRDefault="00496AA3" w:rsidP="00E064B4">
            <w:pPr>
              <w:jc w:val="both"/>
            </w:pPr>
            <w:r w:rsidRPr="004676F5">
              <w:t>Die nachstehenden Informationen bleiben bis [Gültigkeitsdatum] gültig, (falls zutreffend) mit Ausnahme des Zinssatzes und anderer Kosten. Danach können sie sich je nach Marktbedingungen ändern.</w:t>
            </w:r>
          </w:p>
          <w:p w14:paraId="3385F269" w14:textId="77777777" w:rsidR="00496AA3" w:rsidRPr="004676F5" w:rsidRDefault="00496AA3" w:rsidP="00E064B4">
            <w:pPr>
              <w:jc w:val="both"/>
            </w:pPr>
          </w:p>
          <w:p w14:paraId="34B172B9" w14:textId="77777777" w:rsidR="00496AA3" w:rsidRPr="004676F5" w:rsidRDefault="00496AA3" w:rsidP="00E064B4">
            <w:pPr>
              <w:jc w:val="both"/>
            </w:pPr>
            <w:r w:rsidRPr="004676F5">
              <w:t>(Falls zutreffend) Die Ausfertigung dieses Dokuments begründet für [Name des Kreditgebers] keinerlei Verpflichtung zur Gewährung eines Kredits.</w:t>
            </w:r>
          </w:p>
        </w:tc>
      </w:tr>
      <w:tr w:rsidR="00496AA3" w:rsidRPr="004676F5" w14:paraId="0E9227A3" w14:textId="77777777" w:rsidTr="00E064B4">
        <w:tc>
          <w:tcPr>
            <w:tcW w:w="9062" w:type="dxa"/>
          </w:tcPr>
          <w:p w14:paraId="6B03DF15" w14:textId="77777777" w:rsidR="00496AA3" w:rsidRPr="004676F5" w:rsidRDefault="00496AA3" w:rsidP="00E064B4">
            <w:pPr>
              <w:jc w:val="both"/>
              <w:rPr>
                <w:b/>
              </w:rPr>
            </w:pPr>
            <w:r w:rsidRPr="004676F5">
              <w:rPr>
                <w:b/>
              </w:rPr>
              <w:t>1. Kreditgeber</w:t>
            </w:r>
          </w:p>
        </w:tc>
      </w:tr>
      <w:tr w:rsidR="00496AA3" w:rsidRPr="00256F56" w14:paraId="3215E847" w14:textId="77777777" w:rsidTr="00E064B4">
        <w:tc>
          <w:tcPr>
            <w:tcW w:w="9062" w:type="dxa"/>
          </w:tcPr>
          <w:p w14:paraId="18074733" w14:textId="77777777" w:rsidR="00496AA3" w:rsidRPr="004676F5" w:rsidRDefault="00496AA3" w:rsidP="00E064B4">
            <w:pPr>
              <w:jc w:val="both"/>
            </w:pPr>
            <w:r w:rsidRPr="004676F5">
              <w:t>[Name]</w:t>
            </w:r>
          </w:p>
          <w:p w14:paraId="6A431EBB" w14:textId="77777777" w:rsidR="00496AA3" w:rsidRPr="004676F5" w:rsidRDefault="00496AA3" w:rsidP="00E064B4">
            <w:pPr>
              <w:jc w:val="both"/>
            </w:pPr>
          </w:p>
          <w:p w14:paraId="2BFED669" w14:textId="77777777" w:rsidR="00496AA3" w:rsidRPr="004676F5" w:rsidRDefault="00496AA3" w:rsidP="00E064B4">
            <w:pPr>
              <w:jc w:val="both"/>
            </w:pPr>
            <w:r w:rsidRPr="004676F5">
              <w:t>[Telefon]</w:t>
            </w:r>
          </w:p>
          <w:p w14:paraId="6A7431E4" w14:textId="77777777" w:rsidR="00496AA3" w:rsidRPr="004676F5" w:rsidRDefault="00496AA3" w:rsidP="00E064B4">
            <w:pPr>
              <w:jc w:val="both"/>
            </w:pPr>
          </w:p>
          <w:p w14:paraId="06AAD711" w14:textId="77777777" w:rsidR="00496AA3" w:rsidRPr="004676F5" w:rsidRDefault="00496AA3" w:rsidP="00E064B4">
            <w:pPr>
              <w:jc w:val="both"/>
            </w:pPr>
            <w:r w:rsidRPr="004676F5">
              <w:lastRenderedPageBreak/>
              <w:t>[Anschrift]</w:t>
            </w:r>
          </w:p>
          <w:p w14:paraId="6309557B" w14:textId="77777777" w:rsidR="00496AA3" w:rsidRPr="004676F5" w:rsidRDefault="00496AA3" w:rsidP="00E064B4">
            <w:pPr>
              <w:jc w:val="both"/>
            </w:pPr>
          </w:p>
          <w:p w14:paraId="78213343" w14:textId="77777777" w:rsidR="00496AA3" w:rsidRPr="004676F5" w:rsidRDefault="00496AA3" w:rsidP="00E064B4">
            <w:pPr>
              <w:jc w:val="both"/>
            </w:pPr>
            <w:r w:rsidRPr="004676F5">
              <w:t>(Fakultativ) [E-Mail]</w:t>
            </w:r>
          </w:p>
          <w:p w14:paraId="2CB87A8A" w14:textId="77777777" w:rsidR="00496AA3" w:rsidRPr="004676F5" w:rsidRDefault="00496AA3" w:rsidP="00E064B4">
            <w:pPr>
              <w:jc w:val="both"/>
            </w:pPr>
          </w:p>
          <w:p w14:paraId="3C41DADF" w14:textId="77777777" w:rsidR="00496AA3" w:rsidRPr="004676F5" w:rsidRDefault="00496AA3" w:rsidP="00E064B4">
            <w:pPr>
              <w:jc w:val="both"/>
            </w:pPr>
            <w:r w:rsidRPr="004676F5">
              <w:t>(Fakultativ) [Faxnummer]</w:t>
            </w:r>
          </w:p>
          <w:p w14:paraId="45767594" w14:textId="77777777" w:rsidR="00496AA3" w:rsidRPr="004676F5" w:rsidRDefault="00496AA3" w:rsidP="00E064B4">
            <w:pPr>
              <w:jc w:val="both"/>
            </w:pPr>
          </w:p>
          <w:p w14:paraId="6C897D10" w14:textId="77777777" w:rsidR="00496AA3" w:rsidRPr="004676F5" w:rsidRDefault="00496AA3" w:rsidP="00E064B4">
            <w:pPr>
              <w:jc w:val="both"/>
            </w:pPr>
            <w:r w:rsidRPr="004676F5">
              <w:t>(Fakultativ) [Internetadresse]</w:t>
            </w:r>
          </w:p>
          <w:p w14:paraId="718FC7E5" w14:textId="77777777" w:rsidR="00496AA3" w:rsidRPr="004676F5" w:rsidRDefault="00496AA3" w:rsidP="00E064B4">
            <w:pPr>
              <w:jc w:val="both"/>
            </w:pPr>
          </w:p>
          <w:p w14:paraId="33F48A69" w14:textId="77777777" w:rsidR="00496AA3" w:rsidRPr="004676F5" w:rsidRDefault="00496AA3" w:rsidP="00E064B4">
            <w:pPr>
              <w:jc w:val="both"/>
            </w:pPr>
            <w:r w:rsidRPr="004676F5">
              <w:t>(Fakultativ) [Kontaktperson/-stelle]</w:t>
            </w:r>
          </w:p>
          <w:p w14:paraId="476EBF7A" w14:textId="77777777" w:rsidR="00496AA3" w:rsidRPr="004676F5" w:rsidRDefault="00496AA3" w:rsidP="00E064B4">
            <w:pPr>
              <w:jc w:val="both"/>
            </w:pPr>
          </w:p>
          <w:p w14:paraId="7EB48348" w14:textId="77777777" w:rsidR="00496AA3" w:rsidRPr="004676F5" w:rsidRDefault="00496AA3" w:rsidP="00E064B4">
            <w:pPr>
              <w:jc w:val="both"/>
            </w:pPr>
            <w:r w:rsidRPr="004676F5">
              <w:t>(Falls zutreffend, Informationen darüber, ob Beratungsdienstleistungen erbracht werden:)</w:t>
            </w:r>
          </w:p>
          <w:p w14:paraId="6E1D6ACC" w14:textId="77777777" w:rsidR="00496AA3" w:rsidRPr="004676F5" w:rsidRDefault="00496AA3" w:rsidP="00E064B4">
            <w:pPr>
              <w:jc w:val="both"/>
            </w:pPr>
          </w:p>
          <w:p w14:paraId="799707DF" w14:textId="77777777" w:rsidR="00496AA3" w:rsidRPr="004676F5" w:rsidRDefault="00496AA3" w:rsidP="00E064B4">
            <w:pPr>
              <w:jc w:val="both"/>
            </w:pPr>
            <w:r w:rsidRPr="004676F5">
              <w:t>[(Wir empfehlen nach Analyse Ihres Bedarfs und Ihrer Situation, dass Sie diesen Kredit aufnehmen./Wir empfehlen Ihnen keinen bestimmten Kredit. Aufgrund Ihrer Antworten auf einige der Fragen erhalten Sie von uns jedoch Informationen zu diesem Kredit, damit Sie Ihre eigene Entscheidung treffen können.)]</w:t>
            </w:r>
          </w:p>
        </w:tc>
      </w:tr>
      <w:tr w:rsidR="00496AA3" w:rsidRPr="004676F5" w14:paraId="06BC6945" w14:textId="77777777" w:rsidTr="00E064B4">
        <w:tc>
          <w:tcPr>
            <w:tcW w:w="9062" w:type="dxa"/>
          </w:tcPr>
          <w:p w14:paraId="0D7CC5C9" w14:textId="77777777" w:rsidR="00496AA3" w:rsidRPr="004676F5" w:rsidRDefault="00496AA3" w:rsidP="00E064B4">
            <w:pPr>
              <w:jc w:val="both"/>
              <w:rPr>
                <w:b/>
              </w:rPr>
            </w:pPr>
            <w:r w:rsidRPr="004676F5">
              <w:rPr>
                <w:b/>
              </w:rPr>
              <w:lastRenderedPageBreak/>
              <w:t>2. (Falls zutreffend) Kreditvermittler</w:t>
            </w:r>
          </w:p>
        </w:tc>
      </w:tr>
      <w:tr w:rsidR="00496AA3" w:rsidRPr="004676F5" w14:paraId="392EF11D" w14:textId="77777777" w:rsidTr="00E064B4">
        <w:tc>
          <w:tcPr>
            <w:tcW w:w="9062" w:type="dxa"/>
          </w:tcPr>
          <w:p w14:paraId="051F26DB" w14:textId="77777777" w:rsidR="00496AA3" w:rsidRPr="004676F5" w:rsidRDefault="00496AA3" w:rsidP="00E064B4">
            <w:pPr>
              <w:jc w:val="both"/>
            </w:pPr>
            <w:r w:rsidRPr="004676F5">
              <w:t>[Name]</w:t>
            </w:r>
          </w:p>
          <w:p w14:paraId="1722482C" w14:textId="77777777" w:rsidR="00496AA3" w:rsidRPr="004676F5" w:rsidRDefault="00496AA3" w:rsidP="00E064B4">
            <w:pPr>
              <w:jc w:val="both"/>
            </w:pPr>
          </w:p>
          <w:p w14:paraId="193784B2" w14:textId="77777777" w:rsidR="00496AA3" w:rsidRPr="004676F5" w:rsidRDefault="00496AA3" w:rsidP="00E064B4">
            <w:pPr>
              <w:jc w:val="both"/>
            </w:pPr>
            <w:r w:rsidRPr="004676F5">
              <w:t>[Telefon]</w:t>
            </w:r>
          </w:p>
          <w:p w14:paraId="01EA69CC" w14:textId="77777777" w:rsidR="00496AA3" w:rsidRPr="004676F5" w:rsidRDefault="00496AA3" w:rsidP="00E064B4">
            <w:pPr>
              <w:jc w:val="both"/>
            </w:pPr>
          </w:p>
          <w:p w14:paraId="18E97561" w14:textId="77777777" w:rsidR="00496AA3" w:rsidRPr="004676F5" w:rsidRDefault="00496AA3" w:rsidP="00E064B4">
            <w:pPr>
              <w:jc w:val="both"/>
            </w:pPr>
            <w:r w:rsidRPr="004676F5">
              <w:t>[Anschrift]</w:t>
            </w:r>
          </w:p>
          <w:p w14:paraId="4F48BB8B" w14:textId="77777777" w:rsidR="00496AA3" w:rsidRPr="004676F5" w:rsidRDefault="00496AA3" w:rsidP="00E064B4">
            <w:pPr>
              <w:jc w:val="both"/>
            </w:pPr>
          </w:p>
          <w:p w14:paraId="344FA1E8" w14:textId="77777777" w:rsidR="00496AA3" w:rsidRPr="004676F5" w:rsidRDefault="00496AA3" w:rsidP="00E064B4">
            <w:pPr>
              <w:jc w:val="both"/>
            </w:pPr>
            <w:r w:rsidRPr="004676F5">
              <w:t>(Fakultativ) [E-Mail]</w:t>
            </w:r>
          </w:p>
          <w:p w14:paraId="6E031606" w14:textId="77777777" w:rsidR="00496AA3" w:rsidRPr="004676F5" w:rsidRDefault="00496AA3" w:rsidP="00E064B4">
            <w:pPr>
              <w:jc w:val="both"/>
            </w:pPr>
          </w:p>
          <w:p w14:paraId="0770CEBB" w14:textId="77777777" w:rsidR="00496AA3" w:rsidRPr="004676F5" w:rsidRDefault="00496AA3" w:rsidP="00E064B4">
            <w:pPr>
              <w:jc w:val="both"/>
            </w:pPr>
            <w:r w:rsidRPr="004676F5">
              <w:t>(Fakultativ) [Faxnummer]</w:t>
            </w:r>
          </w:p>
          <w:p w14:paraId="0DB79ACD" w14:textId="77777777" w:rsidR="00496AA3" w:rsidRPr="004676F5" w:rsidRDefault="00496AA3" w:rsidP="00E064B4">
            <w:pPr>
              <w:jc w:val="both"/>
            </w:pPr>
          </w:p>
          <w:p w14:paraId="57BA6D28" w14:textId="77777777" w:rsidR="00496AA3" w:rsidRPr="004676F5" w:rsidRDefault="00496AA3" w:rsidP="00E064B4">
            <w:pPr>
              <w:jc w:val="both"/>
            </w:pPr>
            <w:r w:rsidRPr="004676F5">
              <w:t>(Fakultativ) [Internetadresse]</w:t>
            </w:r>
          </w:p>
          <w:p w14:paraId="25FA8AB3" w14:textId="77777777" w:rsidR="00496AA3" w:rsidRPr="004676F5" w:rsidRDefault="00496AA3" w:rsidP="00E064B4">
            <w:pPr>
              <w:jc w:val="both"/>
            </w:pPr>
          </w:p>
          <w:p w14:paraId="17A7AF79" w14:textId="77777777" w:rsidR="00496AA3" w:rsidRPr="004676F5" w:rsidRDefault="00496AA3" w:rsidP="00E064B4">
            <w:pPr>
              <w:jc w:val="both"/>
            </w:pPr>
            <w:r w:rsidRPr="004676F5">
              <w:t>(Fakultativ) [Kontaktperson/-stelle]</w:t>
            </w:r>
          </w:p>
          <w:p w14:paraId="17038283" w14:textId="77777777" w:rsidR="00496AA3" w:rsidRPr="004676F5" w:rsidRDefault="00496AA3" w:rsidP="00E064B4">
            <w:pPr>
              <w:jc w:val="both"/>
            </w:pPr>
          </w:p>
          <w:p w14:paraId="7CB28EFD" w14:textId="77777777" w:rsidR="00496AA3" w:rsidRPr="004676F5" w:rsidRDefault="00496AA3" w:rsidP="00E064B4">
            <w:pPr>
              <w:jc w:val="both"/>
            </w:pPr>
            <w:r w:rsidRPr="004676F5">
              <w:t>(Falls zutreffend, Informationen darüber, ob Beratungsdienstleistungen erbracht werden:)</w:t>
            </w:r>
          </w:p>
          <w:p w14:paraId="692470FA" w14:textId="77777777" w:rsidR="00496AA3" w:rsidRPr="004676F5" w:rsidRDefault="00496AA3" w:rsidP="00E064B4">
            <w:pPr>
              <w:jc w:val="both"/>
            </w:pPr>
          </w:p>
          <w:p w14:paraId="360F0468" w14:textId="77777777" w:rsidR="00496AA3" w:rsidRPr="004676F5" w:rsidRDefault="00496AA3" w:rsidP="00E064B4">
            <w:pPr>
              <w:jc w:val="both"/>
            </w:pPr>
            <w:r w:rsidRPr="004676F5">
              <w:t>[(Wir empfehlen nach Analyse Ihres Bedarfs und Ihrer Situation, dass Sie diesen Kredit aufnehmen./Wir empfehlen Ihnen keinen bestimmten Kredit. Aufgrund Ihrer Antworten auf einige der Fragen erhalten Sie von uns jedoch Informationen zu diesem Kredit, damit Sie Ihre eigene Entscheidung treffen können.)]</w:t>
            </w:r>
          </w:p>
          <w:p w14:paraId="7928DE99" w14:textId="77777777" w:rsidR="00496AA3" w:rsidRPr="004676F5" w:rsidRDefault="00496AA3" w:rsidP="00E064B4">
            <w:pPr>
              <w:jc w:val="both"/>
            </w:pPr>
          </w:p>
          <w:p w14:paraId="2FF0851A" w14:textId="77777777" w:rsidR="00496AA3" w:rsidRPr="004676F5" w:rsidRDefault="00496AA3" w:rsidP="00E064B4">
            <w:pPr>
              <w:jc w:val="both"/>
            </w:pPr>
            <w:r w:rsidRPr="004676F5">
              <w:t>[Vergütung]</w:t>
            </w:r>
          </w:p>
        </w:tc>
      </w:tr>
      <w:tr w:rsidR="00496AA3" w:rsidRPr="004676F5" w14:paraId="5BD928AC" w14:textId="77777777" w:rsidTr="00E064B4">
        <w:tc>
          <w:tcPr>
            <w:tcW w:w="9062" w:type="dxa"/>
          </w:tcPr>
          <w:p w14:paraId="58E4C7FD" w14:textId="77777777" w:rsidR="00496AA3" w:rsidRPr="004676F5" w:rsidRDefault="00496AA3" w:rsidP="00E064B4">
            <w:pPr>
              <w:jc w:val="both"/>
              <w:rPr>
                <w:b/>
              </w:rPr>
            </w:pPr>
            <w:r w:rsidRPr="004676F5">
              <w:rPr>
                <w:b/>
              </w:rPr>
              <w:t>3. Hauptmerkmale des Kredits</w:t>
            </w:r>
          </w:p>
        </w:tc>
      </w:tr>
      <w:tr w:rsidR="00496AA3" w:rsidRPr="004676F5" w14:paraId="3C4A5A52" w14:textId="77777777" w:rsidTr="00E064B4">
        <w:tc>
          <w:tcPr>
            <w:tcW w:w="9062" w:type="dxa"/>
          </w:tcPr>
          <w:p w14:paraId="34FA40AD" w14:textId="77777777" w:rsidR="00496AA3" w:rsidRPr="004676F5" w:rsidRDefault="00496AA3" w:rsidP="00E064B4">
            <w:pPr>
              <w:jc w:val="both"/>
            </w:pPr>
            <w:r w:rsidRPr="004676F5">
              <w:t>Kreditbetrag und Währung: [Wert] [Währung]</w:t>
            </w:r>
          </w:p>
          <w:p w14:paraId="7F8FFFCA" w14:textId="77777777" w:rsidR="00496AA3" w:rsidRPr="004676F5" w:rsidRDefault="00496AA3" w:rsidP="00E064B4">
            <w:pPr>
              <w:jc w:val="both"/>
            </w:pPr>
          </w:p>
          <w:p w14:paraId="5254EB82" w14:textId="77777777" w:rsidR="00496AA3" w:rsidRPr="004676F5" w:rsidRDefault="00496AA3" w:rsidP="00E064B4">
            <w:pPr>
              <w:jc w:val="both"/>
            </w:pPr>
            <w:r w:rsidRPr="004676F5">
              <w:t>(Falls zutreffend) Dieser Kredit lautet nicht auf [Landeswährung des Kreditnehmers].</w:t>
            </w:r>
          </w:p>
          <w:p w14:paraId="1EDBAF46" w14:textId="77777777" w:rsidR="00496AA3" w:rsidRPr="004676F5" w:rsidRDefault="00496AA3" w:rsidP="00E064B4">
            <w:pPr>
              <w:jc w:val="both"/>
            </w:pPr>
          </w:p>
          <w:p w14:paraId="6CDFCA1F" w14:textId="77777777" w:rsidR="00496AA3" w:rsidRPr="004676F5" w:rsidRDefault="00496AA3" w:rsidP="00E064B4">
            <w:pPr>
              <w:jc w:val="both"/>
            </w:pPr>
            <w:r w:rsidRPr="004676F5">
              <w:lastRenderedPageBreak/>
              <w:t>(Falls zutreffend) Der Wert Ihres Kredits in [Landeswährung des Kreditnehmers] kann sich ändern.</w:t>
            </w:r>
          </w:p>
          <w:p w14:paraId="605A0238" w14:textId="77777777" w:rsidR="00496AA3" w:rsidRPr="004676F5" w:rsidRDefault="00496AA3" w:rsidP="00E064B4">
            <w:pPr>
              <w:jc w:val="both"/>
            </w:pPr>
          </w:p>
          <w:p w14:paraId="7813FB07" w14:textId="77777777" w:rsidR="00496AA3" w:rsidRPr="004676F5" w:rsidRDefault="00496AA3" w:rsidP="00E064B4">
            <w:pPr>
              <w:jc w:val="both"/>
            </w:pPr>
            <w:r w:rsidRPr="004676F5">
              <w:t>(Falls zutreffend) Wenn beispielsweise [Landeswährung des Kreditnehmers] gegenüber [Kreditwährung] um 20 % an Wert verliert, würde sich der Wert Ihres Kredits um [Betrag in der Landeswährung des Kreditnehmers] erhöhen. Allerdings könnte es sich auch um einen höheren Betrag handeln, falls [Landeswährung des Kreditnehmers] um mehr als 20 % an Wert verliert.</w:t>
            </w:r>
          </w:p>
          <w:p w14:paraId="31922FD5" w14:textId="77777777" w:rsidR="00496AA3" w:rsidRPr="004676F5" w:rsidRDefault="00496AA3" w:rsidP="00E064B4">
            <w:pPr>
              <w:jc w:val="both"/>
            </w:pPr>
          </w:p>
          <w:p w14:paraId="5041D49F" w14:textId="77777777" w:rsidR="00496AA3" w:rsidRPr="004676F5" w:rsidRDefault="00496AA3" w:rsidP="00E064B4">
            <w:pPr>
              <w:jc w:val="both"/>
            </w:pPr>
            <w:r w:rsidRPr="004676F5">
              <w:t>(Falls zutreffend) Der Wert Ihres Kredits beläuft sich auf maximal [Betrag in der Landeswährung des Kreditnehmers]. (Falls zutreffend) Sie erhalten einen Warnhinweis, falls der Kreditbetrag [Betrag in der Landeswährung des Kreditnehmers] erreicht. (Falls zutreffend) Sie haben die Möglichkeit, [Recht auf Neuverhandlung eines Fremdwährungskreditvertrags oder Recht, den Kredit in [einschlägige Währung] umzuwandeln, und Bedingungen].</w:t>
            </w:r>
          </w:p>
          <w:p w14:paraId="0886B43A" w14:textId="77777777" w:rsidR="00496AA3" w:rsidRPr="004676F5" w:rsidRDefault="00496AA3" w:rsidP="00E064B4">
            <w:pPr>
              <w:jc w:val="both"/>
            </w:pPr>
          </w:p>
          <w:p w14:paraId="32BCCE18" w14:textId="77777777" w:rsidR="00496AA3" w:rsidRPr="004676F5" w:rsidRDefault="00496AA3" w:rsidP="00E064B4">
            <w:pPr>
              <w:jc w:val="both"/>
            </w:pPr>
            <w:r w:rsidRPr="004676F5">
              <w:t>Laufzeit des Kredits: [Laufzeit]</w:t>
            </w:r>
          </w:p>
          <w:p w14:paraId="103B2AF7" w14:textId="77777777" w:rsidR="00496AA3" w:rsidRPr="004676F5" w:rsidRDefault="00496AA3" w:rsidP="00E064B4">
            <w:pPr>
              <w:jc w:val="both"/>
            </w:pPr>
          </w:p>
          <w:p w14:paraId="48EBFAB4" w14:textId="77777777" w:rsidR="00496AA3" w:rsidRPr="004676F5" w:rsidRDefault="00496AA3" w:rsidP="00E064B4">
            <w:pPr>
              <w:jc w:val="both"/>
            </w:pPr>
            <w:r w:rsidRPr="004676F5">
              <w:t>[Kreditart]</w:t>
            </w:r>
          </w:p>
          <w:p w14:paraId="1FFDB557" w14:textId="77777777" w:rsidR="00496AA3" w:rsidRPr="004676F5" w:rsidRDefault="00496AA3" w:rsidP="00E064B4">
            <w:pPr>
              <w:jc w:val="both"/>
            </w:pPr>
          </w:p>
          <w:p w14:paraId="63229E4C" w14:textId="77777777" w:rsidR="00496AA3" w:rsidRPr="004676F5" w:rsidRDefault="00496AA3" w:rsidP="00E064B4">
            <w:pPr>
              <w:jc w:val="both"/>
            </w:pPr>
            <w:r w:rsidRPr="004676F5">
              <w:t>[Art des anwendbaren Zinssatzes]</w:t>
            </w:r>
          </w:p>
          <w:p w14:paraId="421FC5B1" w14:textId="77777777" w:rsidR="00496AA3" w:rsidRPr="004676F5" w:rsidRDefault="00496AA3" w:rsidP="00E064B4">
            <w:pPr>
              <w:jc w:val="both"/>
            </w:pPr>
          </w:p>
          <w:p w14:paraId="57EFE959" w14:textId="77777777" w:rsidR="00496AA3" w:rsidRPr="004676F5" w:rsidRDefault="00496AA3" w:rsidP="00E064B4">
            <w:pPr>
              <w:jc w:val="both"/>
            </w:pPr>
            <w:r w:rsidRPr="004676F5">
              <w:t>Zurückzuzahlender Gesamtbetrag:</w:t>
            </w:r>
          </w:p>
          <w:p w14:paraId="29D7D134" w14:textId="77777777" w:rsidR="00496AA3" w:rsidRPr="004676F5" w:rsidRDefault="00496AA3" w:rsidP="00E064B4">
            <w:pPr>
              <w:jc w:val="both"/>
            </w:pPr>
          </w:p>
          <w:p w14:paraId="57817182" w14:textId="77777777" w:rsidR="00496AA3" w:rsidRPr="004676F5" w:rsidRDefault="00496AA3" w:rsidP="00E064B4">
            <w:pPr>
              <w:jc w:val="both"/>
            </w:pPr>
            <w:r w:rsidRPr="004676F5">
              <w:t>Dies bedeutet, dass Sie [Betrag] je geliehene(n) [Währungseinheit] zurückzuzahlen haben.</w:t>
            </w:r>
          </w:p>
          <w:p w14:paraId="1BEC7C38" w14:textId="77777777" w:rsidR="00496AA3" w:rsidRPr="004676F5" w:rsidRDefault="00496AA3" w:rsidP="00E064B4">
            <w:pPr>
              <w:jc w:val="both"/>
            </w:pPr>
          </w:p>
          <w:p w14:paraId="5A662AB6" w14:textId="77777777" w:rsidR="00496AA3" w:rsidRPr="004676F5" w:rsidRDefault="00496AA3" w:rsidP="00E064B4">
            <w:pPr>
              <w:jc w:val="both"/>
            </w:pPr>
            <w:r w:rsidRPr="004676F5">
              <w:t>(Falls zutreffend) Bei dem gewährten Kredit/einem Teil des gewährten Kredits handelt es sich um einen endfälligen Kredit. Ihre Schuld nach Ablauf der Laufzeit des Kredits beträgt [Kreditbetrag nach Endfälligkeit].</w:t>
            </w:r>
          </w:p>
          <w:p w14:paraId="1C817511" w14:textId="77777777" w:rsidR="00496AA3" w:rsidRPr="004676F5" w:rsidRDefault="00496AA3" w:rsidP="00E064B4">
            <w:pPr>
              <w:jc w:val="both"/>
            </w:pPr>
          </w:p>
          <w:p w14:paraId="2D74C4B3" w14:textId="77777777" w:rsidR="00496AA3" w:rsidRPr="004676F5" w:rsidRDefault="00496AA3" w:rsidP="00E064B4">
            <w:pPr>
              <w:jc w:val="both"/>
            </w:pPr>
            <w:r w:rsidRPr="004676F5">
              <w:t>(Falls zutreffend) Für dieses Merkblatt zugrunde gelegter Schätzwert der Immobilie: [Betrag]</w:t>
            </w:r>
          </w:p>
          <w:p w14:paraId="73AAD15A" w14:textId="77777777" w:rsidR="00496AA3" w:rsidRPr="004676F5" w:rsidRDefault="00496AA3" w:rsidP="00E064B4">
            <w:pPr>
              <w:jc w:val="both"/>
            </w:pPr>
          </w:p>
          <w:p w14:paraId="7B2E7116" w14:textId="77777777" w:rsidR="00496AA3" w:rsidRPr="004676F5" w:rsidRDefault="00496AA3" w:rsidP="00E064B4">
            <w:pPr>
              <w:jc w:val="both"/>
            </w:pPr>
            <w:r w:rsidRPr="004676F5">
              <w:t>(Falls zutreffend) Beleihungsgrenze (maximale Höhe des Kredits im Verhältnis zum Wert der Immobilie) [Verhältnis] oder Mindestwert der Immobilie als Voraussetzung für die Aufnahme eines Kredits in der angegebenen Höhe [Betrag]</w:t>
            </w:r>
          </w:p>
          <w:p w14:paraId="3FB561E3" w14:textId="77777777" w:rsidR="00496AA3" w:rsidRPr="004676F5" w:rsidRDefault="00496AA3" w:rsidP="00E064B4">
            <w:pPr>
              <w:jc w:val="both"/>
            </w:pPr>
          </w:p>
          <w:p w14:paraId="2C7915E9" w14:textId="77777777" w:rsidR="00496AA3" w:rsidRPr="004676F5" w:rsidRDefault="00496AA3" w:rsidP="00E064B4">
            <w:pPr>
              <w:jc w:val="both"/>
            </w:pPr>
            <w:r w:rsidRPr="004676F5">
              <w:t>(Falls zutreffend) [Sicherheit]</w:t>
            </w:r>
          </w:p>
        </w:tc>
      </w:tr>
      <w:tr w:rsidR="00496AA3" w:rsidRPr="004676F5" w14:paraId="0DB32587" w14:textId="77777777" w:rsidTr="00E064B4">
        <w:tc>
          <w:tcPr>
            <w:tcW w:w="9062" w:type="dxa"/>
          </w:tcPr>
          <w:p w14:paraId="0B77CAFE" w14:textId="77777777" w:rsidR="00496AA3" w:rsidRPr="004676F5" w:rsidRDefault="00496AA3" w:rsidP="00E064B4">
            <w:pPr>
              <w:jc w:val="both"/>
              <w:rPr>
                <w:b/>
              </w:rPr>
            </w:pPr>
            <w:r w:rsidRPr="004676F5">
              <w:rPr>
                <w:b/>
              </w:rPr>
              <w:lastRenderedPageBreak/>
              <w:t>4. Zinssatz und andere Kosten</w:t>
            </w:r>
          </w:p>
        </w:tc>
      </w:tr>
      <w:tr w:rsidR="00496AA3" w:rsidRPr="00256F56" w14:paraId="49A76F73" w14:textId="77777777" w:rsidTr="00E064B4">
        <w:tc>
          <w:tcPr>
            <w:tcW w:w="9062" w:type="dxa"/>
          </w:tcPr>
          <w:p w14:paraId="2CB368D0" w14:textId="77777777" w:rsidR="00496AA3" w:rsidRPr="004676F5" w:rsidRDefault="00496AA3" w:rsidP="00E064B4">
            <w:pPr>
              <w:jc w:val="both"/>
            </w:pPr>
            <w:r w:rsidRPr="004676F5">
              <w:t>Der effektive Jahreszins entspricht den Gesamtkosten des Kredits, ausgedrückt als jährlicher Prozentsatz. Der effektive Jahreszins erleichtert den Vergleich verschiedener Angebote.</w:t>
            </w:r>
          </w:p>
          <w:p w14:paraId="79C8B2F3" w14:textId="77777777" w:rsidR="00496AA3" w:rsidRPr="004676F5" w:rsidRDefault="00496AA3" w:rsidP="00E064B4">
            <w:pPr>
              <w:jc w:val="both"/>
            </w:pPr>
          </w:p>
          <w:p w14:paraId="238607BE" w14:textId="77777777" w:rsidR="00496AA3" w:rsidRPr="004676F5" w:rsidRDefault="00496AA3" w:rsidP="00E064B4">
            <w:pPr>
              <w:jc w:val="both"/>
            </w:pPr>
            <w:r w:rsidRPr="004676F5">
              <w:t>Der für Ihren Kredit geltende effektive Jahreszins beträgt [effektiver Jahreszins].</w:t>
            </w:r>
          </w:p>
          <w:p w14:paraId="67E3DA6A" w14:textId="77777777" w:rsidR="00496AA3" w:rsidRPr="004676F5" w:rsidRDefault="00496AA3" w:rsidP="00E064B4">
            <w:pPr>
              <w:jc w:val="both"/>
            </w:pPr>
          </w:p>
          <w:p w14:paraId="2B3EFEE8" w14:textId="77777777" w:rsidR="00496AA3" w:rsidRPr="004676F5" w:rsidRDefault="00496AA3" w:rsidP="00E064B4">
            <w:pPr>
              <w:jc w:val="both"/>
            </w:pPr>
            <w:r w:rsidRPr="004676F5">
              <w:t>Er setzt sich zusammen aus: Zinssatz: [Wert in Prozent]</w:t>
            </w:r>
          </w:p>
          <w:p w14:paraId="2AC5E16D" w14:textId="77777777" w:rsidR="00496AA3" w:rsidRPr="004676F5" w:rsidRDefault="00496AA3" w:rsidP="00E064B4">
            <w:pPr>
              <w:jc w:val="both"/>
            </w:pPr>
          </w:p>
          <w:p w14:paraId="0465CF98" w14:textId="77777777" w:rsidR="00496AA3" w:rsidRPr="004676F5" w:rsidRDefault="00496AA3" w:rsidP="00E064B4">
            <w:pPr>
              <w:jc w:val="both"/>
            </w:pPr>
            <w:r w:rsidRPr="004676F5">
              <w:t>[Sonstige Komponenten des effektiven Jahreszinses]</w:t>
            </w:r>
          </w:p>
          <w:p w14:paraId="50D9A826" w14:textId="77777777" w:rsidR="00496AA3" w:rsidRPr="004676F5" w:rsidRDefault="00496AA3" w:rsidP="00E064B4">
            <w:pPr>
              <w:jc w:val="both"/>
            </w:pPr>
          </w:p>
          <w:p w14:paraId="4914A0E8" w14:textId="77777777" w:rsidR="00496AA3" w:rsidRPr="004676F5" w:rsidRDefault="00496AA3" w:rsidP="00E064B4">
            <w:pPr>
              <w:jc w:val="both"/>
            </w:pPr>
            <w:r w:rsidRPr="004676F5">
              <w:lastRenderedPageBreak/>
              <w:t>Einmalige Kosten:</w:t>
            </w:r>
          </w:p>
          <w:p w14:paraId="376DBBB9" w14:textId="77777777" w:rsidR="00496AA3" w:rsidRPr="004676F5" w:rsidRDefault="00496AA3" w:rsidP="00E064B4">
            <w:pPr>
              <w:jc w:val="both"/>
            </w:pPr>
          </w:p>
          <w:p w14:paraId="07C78113" w14:textId="77777777" w:rsidR="00496AA3" w:rsidRPr="004676F5" w:rsidRDefault="00496AA3" w:rsidP="00E064B4">
            <w:pPr>
              <w:jc w:val="both"/>
            </w:pPr>
            <w:r w:rsidRPr="004676F5">
              <w:t>(Falls zutreffend) Für die Eintragung der Hypothek wird eine Gebühr fällig. [Gebühr sofern bekannt oder Grundlage für die Berechnung.]</w:t>
            </w:r>
          </w:p>
          <w:p w14:paraId="0BAF79B7" w14:textId="77777777" w:rsidR="00496AA3" w:rsidRPr="004676F5" w:rsidRDefault="00496AA3" w:rsidP="00E064B4">
            <w:pPr>
              <w:jc w:val="both"/>
            </w:pPr>
          </w:p>
          <w:p w14:paraId="65DD23B7" w14:textId="77777777" w:rsidR="00496AA3" w:rsidRPr="004676F5" w:rsidRDefault="00496AA3" w:rsidP="00E064B4">
            <w:pPr>
              <w:jc w:val="both"/>
            </w:pPr>
            <w:r w:rsidRPr="004676F5">
              <w:t>Regelmäßig anfallende Kosten:</w:t>
            </w:r>
          </w:p>
          <w:p w14:paraId="6FB01332" w14:textId="77777777" w:rsidR="00496AA3" w:rsidRPr="004676F5" w:rsidRDefault="00496AA3" w:rsidP="00E064B4">
            <w:pPr>
              <w:jc w:val="both"/>
            </w:pPr>
          </w:p>
          <w:p w14:paraId="50DD5EB2" w14:textId="77777777" w:rsidR="00496AA3" w:rsidRPr="004676F5" w:rsidRDefault="00496AA3" w:rsidP="00E064B4">
            <w:pPr>
              <w:jc w:val="both"/>
            </w:pPr>
            <w:r w:rsidRPr="004676F5">
              <w:t>(Falls zutreffend) Dieser effektive Jahreszins wird anhand des angenommenen Zinssatzes berechnet.</w:t>
            </w:r>
          </w:p>
          <w:p w14:paraId="5786C47B" w14:textId="77777777" w:rsidR="00496AA3" w:rsidRPr="004676F5" w:rsidRDefault="00496AA3" w:rsidP="00E064B4">
            <w:pPr>
              <w:jc w:val="both"/>
            </w:pPr>
          </w:p>
          <w:p w14:paraId="682C7926" w14:textId="77777777" w:rsidR="00496AA3" w:rsidRPr="004676F5" w:rsidRDefault="00496AA3" w:rsidP="00E064B4">
            <w:pPr>
              <w:jc w:val="both"/>
            </w:pPr>
            <w:r w:rsidRPr="004676F5">
              <w:t>(Falls zutreffend) Da es sich bei Ihrem Kredit [einem Teil Ihres Kredits] um einen Kredit mit variablem Zinssatz handelt, kann der tatsächliche effektive Jahreszins von dem angegebenen effektiven Jahreszins abweichen, falls sich der Zinssatz ihres Kredits ändert. Falls sich der Zinssatz beispielsweise auf [unter Teil B beschriebenes Szenario] erhöht, kann der effektive Jahreszins auf [Beispiel für den gemäß diesem Szenario fälligen effektiven Jahreszins] ansteigen.</w:t>
            </w:r>
          </w:p>
          <w:p w14:paraId="0D30982D" w14:textId="77777777" w:rsidR="00496AA3" w:rsidRPr="004676F5" w:rsidRDefault="00496AA3" w:rsidP="00E064B4">
            <w:pPr>
              <w:jc w:val="both"/>
            </w:pPr>
          </w:p>
          <w:p w14:paraId="1C4AA302" w14:textId="77777777" w:rsidR="00496AA3" w:rsidRPr="004676F5" w:rsidRDefault="00496AA3" w:rsidP="00E064B4">
            <w:pPr>
              <w:jc w:val="both"/>
            </w:pPr>
            <w:r w:rsidRPr="004676F5">
              <w:t>(Falls zutreffend) Beachten Sie bitte, dass bei der Berechnung dieses effektiven Jahreszinses davon ausgegangen wird, dass der Zinssatz während der gesamten Vertragslaufzeit auf dem für den Anfangszeitraum festgelegten Niveau bleibt.</w:t>
            </w:r>
          </w:p>
          <w:p w14:paraId="765C4117" w14:textId="77777777" w:rsidR="00496AA3" w:rsidRPr="004676F5" w:rsidRDefault="00496AA3" w:rsidP="00E064B4">
            <w:pPr>
              <w:jc w:val="both"/>
            </w:pPr>
          </w:p>
          <w:p w14:paraId="4C3A067E" w14:textId="77777777" w:rsidR="00496AA3" w:rsidRPr="004676F5" w:rsidRDefault="00496AA3" w:rsidP="00E064B4">
            <w:pPr>
              <w:jc w:val="both"/>
            </w:pPr>
            <w:r w:rsidRPr="004676F5">
              <w:t>(Falls zutreffend) Die folgenden Kosten sind dem Kreditgeber nicht bekannt und sind daher im effektiven Jahreszins nicht enthalten: [Kosten]</w:t>
            </w:r>
          </w:p>
          <w:p w14:paraId="6917E26B" w14:textId="77777777" w:rsidR="00496AA3" w:rsidRPr="004676F5" w:rsidRDefault="00496AA3" w:rsidP="00E064B4">
            <w:pPr>
              <w:jc w:val="both"/>
            </w:pPr>
          </w:p>
          <w:p w14:paraId="54560A1F" w14:textId="77777777" w:rsidR="00496AA3" w:rsidRPr="004676F5" w:rsidRDefault="00496AA3" w:rsidP="00E064B4">
            <w:pPr>
              <w:jc w:val="both"/>
            </w:pPr>
            <w:r w:rsidRPr="004676F5">
              <w:t>(Falls zutreffend) Für die Eintragung der Hypothek wird eine Gebühr fällig.</w:t>
            </w:r>
          </w:p>
          <w:p w14:paraId="03CF2CA5" w14:textId="77777777" w:rsidR="00496AA3" w:rsidRPr="004676F5" w:rsidRDefault="00496AA3" w:rsidP="00E064B4">
            <w:pPr>
              <w:jc w:val="both"/>
            </w:pPr>
          </w:p>
          <w:p w14:paraId="3DF06034" w14:textId="77777777" w:rsidR="00496AA3" w:rsidRPr="004676F5" w:rsidRDefault="00496AA3" w:rsidP="00E064B4">
            <w:pPr>
              <w:jc w:val="both"/>
              <w:rPr>
                <w:b/>
              </w:rPr>
            </w:pPr>
            <w:r w:rsidRPr="004676F5">
              <w:t>Bitte vergewissern Sie sich, dass Sie alle im Zusammenhang mit Ihrem Kredit anfallenden Kosten und Gebühren bedacht haben.</w:t>
            </w:r>
          </w:p>
        </w:tc>
      </w:tr>
      <w:tr w:rsidR="00496AA3" w:rsidRPr="00256F56" w14:paraId="2FC159C0" w14:textId="77777777" w:rsidTr="00E064B4">
        <w:tc>
          <w:tcPr>
            <w:tcW w:w="9062" w:type="dxa"/>
          </w:tcPr>
          <w:p w14:paraId="376B7056" w14:textId="77777777" w:rsidR="00496AA3" w:rsidRPr="004676F5" w:rsidRDefault="00496AA3" w:rsidP="00E064B4">
            <w:pPr>
              <w:jc w:val="both"/>
              <w:rPr>
                <w:b/>
              </w:rPr>
            </w:pPr>
            <w:r w:rsidRPr="004676F5">
              <w:rPr>
                <w:b/>
              </w:rPr>
              <w:lastRenderedPageBreak/>
              <w:t>5. Häufigkeit und Anzahl der Ratenzahlungen</w:t>
            </w:r>
          </w:p>
        </w:tc>
      </w:tr>
      <w:tr w:rsidR="00496AA3" w:rsidRPr="00256F56" w14:paraId="6728C2A4" w14:textId="77777777" w:rsidTr="00E064B4">
        <w:tc>
          <w:tcPr>
            <w:tcW w:w="9062" w:type="dxa"/>
          </w:tcPr>
          <w:p w14:paraId="279CF1AB" w14:textId="77777777" w:rsidR="00496AA3" w:rsidRPr="004676F5" w:rsidRDefault="00496AA3" w:rsidP="00E064B4">
            <w:pPr>
              <w:jc w:val="both"/>
            </w:pPr>
            <w:r w:rsidRPr="004676F5">
              <w:t>Häufigkeit der Ratenzahlungen: [Zahlungsintervall]</w:t>
            </w:r>
          </w:p>
          <w:p w14:paraId="4AEFFB92" w14:textId="77777777" w:rsidR="00496AA3" w:rsidRPr="004676F5" w:rsidRDefault="00496AA3" w:rsidP="00E064B4">
            <w:pPr>
              <w:jc w:val="both"/>
            </w:pPr>
          </w:p>
          <w:p w14:paraId="7392F0B2" w14:textId="77777777" w:rsidR="00496AA3" w:rsidRPr="004676F5" w:rsidRDefault="00496AA3" w:rsidP="00E064B4">
            <w:pPr>
              <w:jc w:val="both"/>
              <w:rPr>
                <w:b/>
              </w:rPr>
            </w:pPr>
            <w:r w:rsidRPr="004676F5">
              <w:t>Anzahl der Zahlungen: [Anzahl]</w:t>
            </w:r>
          </w:p>
        </w:tc>
      </w:tr>
      <w:tr w:rsidR="00496AA3" w:rsidRPr="004676F5" w14:paraId="5B59F751" w14:textId="77777777" w:rsidTr="00E064B4">
        <w:tc>
          <w:tcPr>
            <w:tcW w:w="9062" w:type="dxa"/>
          </w:tcPr>
          <w:p w14:paraId="21BFEFA9" w14:textId="77777777" w:rsidR="00496AA3" w:rsidRPr="004676F5" w:rsidRDefault="00496AA3" w:rsidP="00E064B4">
            <w:pPr>
              <w:jc w:val="both"/>
              <w:rPr>
                <w:b/>
              </w:rPr>
            </w:pPr>
            <w:r w:rsidRPr="004676F5">
              <w:rPr>
                <w:b/>
              </w:rPr>
              <w:t>6. Höhe der einzelnen Raten</w:t>
            </w:r>
          </w:p>
        </w:tc>
      </w:tr>
      <w:tr w:rsidR="00496AA3" w:rsidRPr="00256F56" w14:paraId="55F96F5B" w14:textId="77777777" w:rsidTr="00E064B4">
        <w:tc>
          <w:tcPr>
            <w:tcW w:w="9062" w:type="dxa"/>
          </w:tcPr>
          <w:p w14:paraId="2571BEDC" w14:textId="77777777" w:rsidR="00496AA3" w:rsidRPr="004676F5" w:rsidRDefault="00496AA3" w:rsidP="00E064B4">
            <w:pPr>
              <w:jc w:val="both"/>
            </w:pPr>
            <w:r w:rsidRPr="004676F5">
              <w:t>[Betrag] [Währung]</w:t>
            </w:r>
          </w:p>
          <w:p w14:paraId="17B3CEFF" w14:textId="77777777" w:rsidR="00496AA3" w:rsidRPr="004676F5" w:rsidRDefault="00496AA3" w:rsidP="00E064B4">
            <w:pPr>
              <w:jc w:val="both"/>
            </w:pPr>
          </w:p>
          <w:p w14:paraId="6818D4A4" w14:textId="77777777" w:rsidR="00496AA3" w:rsidRPr="004676F5" w:rsidRDefault="00496AA3" w:rsidP="00E064B4">
            <w:pPr>
              <w:jc w:val="both"/>
            </w:pPr>
            <w:r w:rsidRPr="004676F5">
              <w:t>Ihre Einkommenssituation kann sich ändern. Prüfen Sie bitte, ob Sie Ihre [Zahlungsintervall] Raten auch dann noch zahlen können, wenn sich Ihr Einkommen verringern sollte.</w:t>
            </w:r>
          </w:p>
          <w:p w14:paraId="1BA286C6" w14:textId="77777777" w:rsidR="00496AA3" w:rsidRPr="004676F5" w:rsidRDefault="00496AA3" w:rsidP="00E064B4">
            <w:pPr>
              <w:jc w:val="both"/>
            </w:pPr>
          </w:p>
          <w:p w14:paraId="451922AF" w14:textId="77777777" w:rsidR="00496AA3" w:rsidRPr="004676F5" w:rsidRDefault="00496AA3" w:rsidP="00E064B4">
            <w:pPr>
              <w:jc w:val="both"/>
            </w:pPr>
            <w:r w:rsidRPr="004676F5">
              <w:t>(Falls zutreffend) Da es sich bei dem [gewährten Kredit/einem Teil des gewährten Kredits] um einen endfälligen Kredit handelt, müssen Sie eine gesonderte Regelung für die Tilgung der Schuld von [Kreditbetrag nach Endfälligkeit] nach Ablauf der Laufzeit des Kredits treffen. Berücksichtigen Sie dabei auch alle Zahlungen, die Sie zusätzlich zu der hier angegebenen Ratenhöhe leisten müssen.</w:t>
            </w:r>
          </w:p>
          <w:p w14:paraId="70547BB9" w14:textId="77777777" w:rsidR="00496AA3" w:rsidRPr="004676F5" w:rsidRDefault="00496AA3" w:rsidP="00E064B4">
            <w:pPr>
              <w:jc w:val="both"/>
            </w:pPr>
          </w:p>
          <w:p w14:paraId="741B547A" w14:textId="77777777" w:rsidR="00496AA3" w:rsidRPr="004676F5" w:rsidRDefault="00496AA3" w:rsidP="00E064B4">
            <w:pPr>
              <w:jc w:val="both"/>
            </w:pPr>
            <w:r w:rsidRPr="004676F5">
              <w:lastRenderedPageBreak/>
              <w:t>(Falls zutreffend) Der Zinssatz dieses Kredits oder eines Teils davon kann sich ändern. Daher kann die Höhe Ihrer Raten steigen oder sinken. Falls sich der Zinssatz beispielsweise auf [unter Teil B beschriebenes Szenario] erhöht, können Ihre Ratenzahlungen auf [Angabe der Höhe der gemäß diesem Szenario fälligen Rate] ansteigen.</w:t>
            </w:r>
          </w:p>
          <w:p w14:paraId="5784B84A" w14:textId="77777777" w:rsidR="00496AA3" w:rsidRPr="004676F5" w:rsidRDefault="00496AA3" w:rsidP="00E064B4">
            <w:pPr>
              <w:jc w:val="both"/>
            </w:pPr>
          </w:p>
          <w:p w14:paraId="199EE559" w14:textId="77777777" w:rsidR="00496AA3" w:rsidRPr="004676F5" w:rsidRDefault="00496AA3" w:rsidP="00E064B4">
            <w:pPr>
              <w:jc w:val="both"/>
            </w:pPr>
            <w:r w:rsidRPr="004676F5">
              <w:t>(Falls zutreffend) Die Höhe der [Zahlungsintervall] in [Landeswährung des Kreditnehmers] fälligen Zahlungen kann sich ändern. (Falls zutreffend) Ihre pro [Zahlungsperiode] fälligen Zahlungen können sich auf [Höchstbetrag in der Landeswährung des Kreditnehmers] erhöhen.</w:t>
            </w:r>
          </w:p>
          <w:p w14:paraId="7FD14179" w14:textId="77777777" w:rsidR="00496AA3" w:rsidRPr="004676F5" w:rsidRDefault="00496AA3" w:rsidP="00E064B4">
            <w:pPr>
              <w:jc w:val="both"/>
            </w:pPr>
          </w:p>
          <w:p w14:paraId="19C9BD5D" w14:textId="77777777" w:rsidR="00496AA3" w:rsidRPr="004676F5" w:rsidRDefault="00496AA3" w:rsidP="00E064B4">
            <w:pPr>
              <w:jc w:val="both"/>
            </w:pPr>
            <w:r w:rsidRPr="004676F5">
              <w:t>(Falls zutreffend) Wenn beispielsweise [Landeswährung des Kreditnehmers] gegenüber [Kreditwährung] um 20 % an Wert verliert, müssten Sie pro [Zeitraum] [Betrag in der Landeswährung des Kreditnehmers] mehr zahlen. Ihre Zahlungen könnten auch um einen höheren Betrag ansteigen.</w:t>
            </w:r>
          </w:p>
          <w:p w14:paraId="6B725CBE" w14:textId="77777777" w:rsidR="00496AA3" w:rsidRPr="004676F5" w:rsidRDefault="00496AA3" w:rsidP="00E064B4">
            <w:pPr>
              <w:jc w:val="both"/>
            </w:pPr>
          </w:p>
          <w:p w14:paraId="1D5CDB90" w14:textId="77777777" w:rsidR="00496AA3" w:rsidRPr="004676F5" w:rsidRDefault="00496AA3" w:rsidP="00E064B4">
            <w:pPr>
              <w:jc w:val="both"/>
            </w:pPr>
            <w:r w:rsidRPr="004676F5">
              <w:t>(Falls zutreffend) Bei der Umrechnung Ihrer in [Kreditwährung] geleisteten Rückzahlungen in [Landeswährung des Kreditnehmers] wird der von [Name der den Wechselkurs veröffentlichenden Einrichtung] am [Datum] veröffentlichte oder auf der Grundlage von [Bezeichnung der Bezugsgrundlage oder Berechnungsmethode] am [Datum] errechnete Wechselkurs zugrunde gelegt.</w:t>
            </w:r>
          </w:p>
          <w:p w14:paraId="0E5FE494" w14:textId="77777777" w:rsidR="00496AA3" w:rsidRPr="004676F5" w:rsidRDefault="00496AA3" w:rsidP="00E064B4">
            <w:pPr>
              <w:jc w:val="both"/>
            </w:pPr>
          </w:p>
          <w:p w14:paraId="0FD0BD43" w14:textId="77777777" w:rsidR="00496AA3" w:rsidRPr="004676F5" w:rsidRDefault="00496AA3" w:rsidP="00E064B4">
            <w:pPr>
              <w:jc w:val="both"/>
              <w:rPr>
                <w:b/>
              </w:rPr>
            </w:pPr>
            <w:r w:rsidRPr="004676F5">
              <w:t>(Falls zutreffend) [Spezifische Angaben zu verbundenen Sparprodukten und Krediten mit abgegrenztem Zins]</w:t>
            </w:r>
          </w:p>
        </w:tc>
      </w:tr>
      <w:tr w:rsidR="00496AA3" w:rsidRPr="00256F56" w14:paraId="5DD8BB81" w14:textId="77777777" w:rsidTr="00E064B4">
        <w:tc>
          <w:tcPr>
            <w:tcW w:w="9062" w:type="dxa"/>
          </w:tcPr>
          <w:p w14:paraId="5D31E2DA" w14:textId="77777777" w:rsidR="00496AA3" w:rsidRPr="004676F5" w:rsidRDefault="00496AA3" w:rsidP="00E064B4">
            <w:pPr>
              <w:jc w:val="both"/>
              <w:rPr>
                <w:b/>
              </w:rPr>
            </w:pPr>
            <w:r w:rsidRPr="004676F5">
              <w:rPr>
                <w:b/>
              </w:rPr>
              <w:lastRenderedPageBreak/>
              <w:t>7. (Falls zutreffend) Beispiel eines Tilgungsplans</w:t>
            </w:r>
          </w:p>
        </w:tc>
      </w:tr>
      <w:tr w:rsidR="00496AA3" w:rsidRPr="004676F5" w14:paraId="55AC1AF8" w14:textId="77777777" w:rsidTr="00E064B4">
        <w:tc>
          <w:tcPr>
            <w:tcW w:w="9062" w:type="dxa"/>
          </w:tcPr>
          <w:p w14:paraId="5E9E3CCC" w14:textId="77777777" w:rsidR="00496AA3" w:rsidRPr="004676F5" w:rsidRDefault="00496AA3" w:rsidP="00E064B4">
            <w:pPr>
              <w:jc w:val="both"/>
            </w:pPr>
            <w:r w:rsidRPr="004676F5">
              <w:t>Der folgenden Tabelle ist die Höhe des pro [Zahlungsintervall] zu zahlenden Betrags zu entnehmen.</w:t>
            </w:r>
          </w:p>
          <w:p w14:paraId="778F3E64" w14:textId="77777777" w:rsidR="00496AA3" w:rsidRPr="004676F5" w:rsidRDefault="00496AA3" w:rsidP="00E064B4">
            <w:pPr>
              <w:jc w:val="both"/>
            </w:pPr>
          </w:p>
          <w:p w14:paraId="4D596BD4" w14:textId="77777777" w:rsidR="00496AA3" w:rsidRPr="004676F5" w:rsidRDefault="00496AA3" w:rsidP="00E064B4">
            <w:pPr>
              <w:jc w:val="both"/>
            </w:pPr>
            <w:r w:rsidRPr="004676F5">
              <w:t>Die Raten (Spalte [Nummer]) setzen sich aus zu zahlenden Zinsen (Spalte [Nummer]) und, falls zutreffend, zu zahlender Tilgung (Spalte [Nummer]) sowie, falls zutreffend, sonstigen Kosten (Spalte [Nummer]) zusammen. (Falls zutreffend) Die in der Spalte "sonstige Kosten" angegebenen Kosten betreffen: [Aufzählung der Kosten]. Das Restkapital (Spalte [Nummer]) ist der nach einer Ratenzahlung noch verbleibende zurückzuzahlende Kreditbetrag.</w:t>
            </w:r>
          </w:p>
          <w:p w14:paraId="7A8A7443" w14:textId="77777777" w:rsidR="00496AA3" w:rsidRPr="004676F5" w:rsidRDefault="00496AA3" w:rsidP="00E064B4">
            <w:pPr>
              <w:jc w:val="both"/>
            </w:pPr>
          </w:p>
          <w:p w14:paraId="2C9B1CC9" w14:textId="77777777" w:rsidR="00496AA3" w:rsidRPr="004676F5" w:rsidRDefault="00496AA3" w:rsidP="00E064B4">
            <w:pPr>
              <w:jc w:val="both"/>
              <w:rPr>
                <w:b/>
              </w:rPr>
            </w:pPr>
            <w:r w:rsidRPr="004676F5">
              <w:t>[Tabelle]</w:t>
            </w:r>
          </w:p>
        </w:tc>
      </w:tr>
      <w:tr w:rsidR="00496AA3" w:rsidRPr="004676F5" w14:paraId="2109500B" w14:textId="77777777" w:rsidTr="00E064B4">
        <w:tc>
          <w:tcPr>
            <w:tcW w:w="9062" w:type="dxa"/>
          </w:tcPr>
          <w:p w14:paraId="46936EAA" w14:textId="77777777" w:rsidR="00496AA3" w:rsidRPr="004676F5" w:rsidRDefault="00496AA3" w:rsidP="00E064B4">
            <w:pPr>
              <w:jc w:val="both"/>
              <w:rPr>
                <w:b/>
              </w:rPr>
            </w:pPr>
            <w:r w:rsidRPr="004676F5">
              <w:rPr>
                <w:b/>
              </w:rPr>
              <w:t>8. Zusätzliche Auflagen</w:t>
            </w:r>
          </w:p>
        </w:tc>
      </w:tr>
      <w:tr w:rsidR="00496AA3" w:rsidRPr="004676F5" w14:paraId="30BF92CE" w14:textId="77777777" w:rsidTr="00E064B4">
        <w:tc>
          <w:tcPr>
            <w:tcW w:w="9062" w:type="dxa"/>
          </w:tcPr>
          <w:p w14:paraId="7D507921" w14:textId="77777777" w:rsidR="00496AA3" w:rsidRPr="004676F5" w:rsidRDefault="00496AA3" w:rsidP="00E064B4">
            <w:pPr>
              <w:jc w:val="both"/>
            </w:pPr>
            <w:r w:rsidRPr="004676F5">
              <w:t>Der Kreditnehmer muss folgende Auflagen erfüllen, um in den Genuss der im vorliegenden Dokument genannten Kreditkonditionen zu kommen.</w:t>
            </w:r>
          </w:p>
          <w:p w14:paraId="1343DD9A" w14:textId="77777777" w:rsidR="00496AA3" w:rsidRPr="004676F5" w:rsidRDefault="00496AA3" w:rsidP="00E064B4">
            <w:pPr>
              <w:jc w:val="both"/>
            </w:pPr>
          </w:p>
          <w:p w14:paraId="2D99251A" w14:textId="77777777" w:rsidR="00496AA3" w:rsidRPr="004676F5" w:rsidRDefault="00496AA3" w:rsidP="00E064B4">
            <w:pPr>
              <w:jc w:val="both"/>
            </w:pPr>
            <w:r w:rsidRPr="004676F5">
              <w:t>[Auflagen]</w:t>
            </w:r>
          </w:p>
          <w:p w14:paraId="67312D36" w14:textId="77777777" w:rsidR="00496AA3" w:rsidRPr="004676F5" w:rsidRDefault="00496AA3" w:rsidP="00E064B4">
            <w:pPr>
              <w:jc w:val="both"/>
            </w:pPr>
          </w:p>
          <w:p w14:paraId="64A0577E" w14:textId="77777777" w:rsidR="00496AA3" w:rsidRPr="004676F5" w:rsidRDefault="00496AA3" w:rsidP="00E064B4">
            <w:pPr>
              <w:jc w:val="both"/>
            </w:pPr>
            <w:r w:rsidRPr="004676F5">
              <w:t>(Falls zutreffend) Beachten Sie bitte, dass sich die in diesem Dokument genannten Kreditkonditionen (einschließlich Zinssatz) ändern können, falls Sie diese Auflagen nicht erfüllen.</w:t>
            </w:r>
          </w:p>
          <w:p w14:paraId="764965AC" w14:textId="77777777" w:rsidR="00496AA3" w:rsidRPr="004676F5" w:rsidRDefault="00496AA3" w:rsidP="00E064B4">
            <w:pPr>
              <w:jc w:val="both"/>
            </w:pPr>
          </w:p>
          <w:p w14:paraId="78CE5CB6" w14:textId="77777777" w:rsidR="00496AA3" w:rsidRPr="004676F5" w:rsidRDefault="00496AA3" w:rsidP="00E064B4">
            <w:pPr>
              <w:jc w:val="both"/>
            </w:pPr>
            <w:r w:rsidRPr="004676F5">
              <w:lastRenderedPageBreak/>
              <w:t>(Falls zutreffend) Beachten Sie bitte die möglichen Konsequenzen einer späteren Kündigung der mit dem Kredit verbundenen Nebenleistungen:</w:t>
            </w:r>
          </w:p>
          <w:p w14:paraId="1FC79B3E" w14:textId="77777777" w:rsidR="00496AA3" w:rsidRPr="004676F5" w:rsidRDefault="00496AA3" w:rsidP="00E064B4">
            <w:pPr>
              <w:jc w:val="both"/>
            </w:pPr>
          </w:p>
          <w:p w14:paraId="479B6D5E" w14:textId="77777777" w:rsidR="00496AA3" w:rsidRPr="004676F5" w:rsidRDefault="00496AA3" w:rsidP="00E064B4">
            <w:pPr>
              <w:jc w:val="both"/>
              <w:rPr>
                <w:b/>
              </w:rPr>
            </w:pPr>
            <w:r w:rsidRPr="004676F5">
              <w:t>[Konsequenzen]</w:t>
            </w:r>
          </w:p>
        </w:tc>
      </w:tr>
      <w:tr w:rsidR="00496AA3" w:rsidRPr="004676F5" w14:paraId="18251433" w14:textId="77777777" w:rsidTr="00E064B4">
        <w:tc>
          <w:tcPr>
            <w:tcW w:w="9062" w:type="dxa"/>
          </w:tcPr>
          <w:p w14:paraId="406FB2A4" w14:textId="77777777" w:rsidR="00496AA3" w:rsidRPr="004676F5" w:rsidRDefault="00496AA3" w:rsidP="00E064B4">
            <w:pPr>
              <w:jc w:val="both"/>
              <w:rPr>
                <w:b/>
              </w:rPr>
            </w:pPr>
            <w:r w:rsidRPr="004676F5">
              <w:rPr>
                <w:b/>
              </w:rPr>
              <w:lastRenderedPageBreak/>
              <w:t>9. Vorzeitige Rückzahlung</w:t>
            </w:r>
          </w:p>
        </w:tc>
      </w:tr>
      <w:tr w:rsidR="00496AA3" w:rsidRPr="00256F56" w14:paraId="6AB92D7C" w14:textId="77777777" w:rsidTr="00E064B4">
        <w:tc>
          <w:tcPr>
            <w:tcW w:w="9062" w:type="dxa"/>
          </w:tcPr>
          <w:p w14:paraId="61849B1A" w14:textId="77777777" w:rsidR="00496AA3" w:rsidRPr="004676F5" w:rsidRDefault="00496AA3" w:rsidP="00E064B4">
            <w:pPr>
              <w:jc w:val="both"/>
            </w:pPr>
            <w:r w:rsidRPr="004676F5">
              <w:t>Sie können den Kredit ganz oder teilweise vorzeitig zurückzahlen.</w:t>
            </w:r>
          </w:p>
          <w:p w14:paraId="373F2597" w14:textId="77777777" w:rsidR="00496AA3" w:rsidRPr="004676F5" w:rsidRDefault="00496AA3" w:rsidP="00E064B4">
            <w:pPr>
              <w:jc w:val="both"/>
            </w:pPr>
          </w:p>
          <w:p w14:paraId="0C91CFF9" w14:textId="77777777" w:rsidR="00496AA3" w:rsidRPr="004676F5" w:rsidRDefault="00496AA3" w:rsidP="00E064B4">
            <w:pPr>
              <w:jc w:val="both"/>
            </w:pPr>
            <w:r w:rsidRPr="004676F5">
              <w:t>(Falls zutreffend) [Bedingungen]</w:t>
            </w:r>
          </w:p>
          <w:p w14:paraId="50E44D30" w14:textId="77777777" w:rsidR="00496AA3" w:rsidRPr="004676F5" w:rsidRDefault="00496AA3" w:rsidP="00E064B4">
            <w:pPr>
              <w:jc w:val="both"/>
            </w:pPr>
          </w:p>
          <w:p w14:paraId="6171FA16" w14:textId="77777777" w:rsidR="00496AA3" w:rsidRPr="004676F5" w:rsidRDefault="00496AA3" w:rsidP="00E064B4">
            <w:pPr>
              <w:jc w:val="both"/>
            </w:pPr>
            <w:r w:rsidRPr="004676F5">
              <w:t>(Falls zutreffend) Ablösungsentschädigung: [Betrag oder, sofern keine Angabe möglich ist, Berechnungsmethode]</w:t>
            </w:r>
          </w:p>
          <w:p w14:paraId="6C93FB0D" w14:textId="77777777" w:rsidR="00496AA3" w:rsidRPr="004676F5" w:rsidRDefault="00496AA3" w:rsidP="00E064B4">
            <w:pPr>
              <w:jc w:val="both"/>
            </w:pPr>
          </w:p>
          <w:p w14:paraId="0413127E" w14:textId="77777777" w:rsidR="00496AA3" w:rsidRPr="004676F5" w:rsidRDefault="00496AA3" w:rsidP="00E064B4">
            <w:pPr>
              <w:jc w:val="both"/>
            </w:pPr>
            <w:r w:rsidRPr="004676F5">
              <w:t>(Falls zutreffend) Sollten Sie beschließen, den Kredit vorzeitig zurückzuzahlen, setzen Sie sich bitte mit uns in Verbindung, um die genaue Höhe der Ablösungsentschädigung zum betreffenden Zeitpunkt in Erfahrung zu bringen.</w:t>
            </w:r>
          </w:p>
        </w:tc>
      </w:tr>
      <w:tr w:rsidR="00496AA3" w:rsidRPr="004676F5" w14:paraId="3642ED5A" w14:textId="77777777" w:rsidTr="00E064B4">
        <w:tc>
          <w:tcPr>
            <w:tcW w:w="9062" w:type="dxa"/>
          </w:tcPr>
          <w:p w14:paraId="5D12D359" w14:textId="77777777" w:rsidR="00496AA3" w:rsidRPr="004676F5" w:rsidRDefault="00496AA3" w:rsidP="00E064B4">
            <w:pPr>
              <w:jc w:val="both"/>
              <w:rPr>
                <w:b/>
              </w:rPr>
            </w:pPr>
            <w:r w:rsidRPr="004676F5">
              <w:rPr>
                <w:b/>
              </w:rPr>
              <w:t>10. Flexible Merkmale</w:t>
            </w:r>
          </w:p>
        </w:tc>
      </w:tr>
      <w:tr w:rsidR="00496AA3" w:rsidRPr="00256F56" w14:paraId="7107F942" w14:textId="77777777" w:rsidTr="00E064B4">
        <w:tc>
          <w:tcPr>
            <w:tcW w:w="9062" w:type="dxa"/>
          </w:tcPr>
          <w:p w14:paraId="40985E60" w14:textId="77777777" w:rsidR="00496AA3" w:rsidRPr="004676F5" w:rsidRDefault="00496AA3" w:rsidP="00E064B4">
            <w:pPr>
              <w:jc w:val="both"/>
            </w:pPr>
            <w:r w:rsidRPr="004676F5">
              <w:t>(Falls zutreffend) [Information über Übertragbarkeit/Abtretung] Sie können den Kredit auf [einen anderen Kreditnehmer] [oder] [eine andere Immobilie] übertragen. [Bedingungen]</w:t>
            </w:r>
          </w:p>
          <w:p w14:paraId="30696A0F" w14:textId="77777777" w:rsidR="00496AA3" w:rsidRPr="004676F5" w:rsidRDefault="00496AA3" w:rsidP="00E064B4">
            <w:pPr>
              <w:jc w:val="both"/>
            </w:pPr>
          </w:p>
          <w:p w14:paraId="57168B7A" w14:textId="77777777" w:rsidR="00496AA3" w:rsidRPr="004676F5" w:rsidRDefault="00496AA3" w:rsidP="00E064B4">
            <w:pPr>
              <w:jc w:val="both"/>
            </w:pPr>
            <w:r w:rsidRPr="004676F5">
              <w:t>(Falls zutreffend) Sie können den Kredit nicht auf [einen anderen Kreditnehmer] [oder] [eine andere Immobilie] übertragen.</w:t>
            </w:r>
          </w:p>
          <w:p w14:paraId="16F1B2D8" w14:textId="77777777" w:rsidR="00496AA3" w:rsidRPr="004676F5" w:rsidRDefault="00496AA3" w:rsidP="00E064B4">
            <w:pPr>
              <w:jc w:val="both"/>
            </w:pPr>
          </w:p>
          <w:p w14:paraId="5166D50B" w14:textId="5AA37EFA" w:rsidR="00496AA3" w:rsidRPr="004676F5" w:rsidRDefault="00496AA3" w:rsidP="00E064B4">
            <w:pPr>
              <w:jc w:val="both"/>
            </w:pPr>
            <w:r w:rsidRPr="004676F5">
              <w:t xml:space="preserve">(Falls zutreffend) Zusätzliche Merkmale: [Erläuterung der in Teil B aufgelisteten zusätzlichen Merkmale und </w:t>
            </w:r>
            <w:r w:rsidR="005B7A5C" w:rsidRPr="004676F5">
              <w:t>- </w:t>
            </w:r>
            <w:r w:rsidRPr="004676F5">
              <w:t>fakultativ </w:t>
            </w:r>
            <w:r w:rsidR="005B7A5C" w:rsidRPr="004676F5">
              <w:t>- </w:t>
            </w:r>
            <w:r w:rsidRPr="004676F5">
              <w:t>aller weiteren Merkmale, die der Kreditgeber im Rahmen des Kreditvertrags anbietet und die nicht in den vorausgehenden Abschnitten genannt sind].</w:t>
            </w:r>
          </w:p>
        </w:tc>
      </w:tr>
      <w:tr w:rsidR="00496AA3" w:rsidRPr="004676F5" w14:paraId="4156EB41" w14:textId="77777777" w:rsidTr="00E064B4">
        <w:tc>
          <w:tcPr>
            <w:tcW w:w="9062" w:type="dxa"/>
          </w:tcPr>
          <w:p w14:paraId="59F25941" w14:textId="77777777" w:rsidR="00496AA3" w:rsidRPr="004676F5" w:rsidRDefault="00496AA3" w:rsidP="00E064B4">
            <w:pPr>
              <w:jc w:val="both"/>
              <w:rPr>
                <w:b/>
              </w:rPr>
            </w:pPr>
            <w:r w:rsidRPr="004676F5">
              <w:rPr>
                <w:b/>
              </w:rPr>
              <w:t>11. Sonstige Rechte des Kreditnehmers</w:t>
            </w:r>
          </w:p>
        </w:tc>
      </w:tr>
      <w:tr w:rsidR="00496AA3" w:rsidRPr="00256F56" w14:paraId="0966D252" w14:textId="77777777" w:rsidTr="00E064B4">
        <w:tc>
          <w:tcPr>
            <w:tcW w:w="9062" w:type="dxa"/>
          </w:tcPr>
          <w:p w14:paraId="3E8BF1E2" w14:textId="6792A458" w:rsidR="00496AA3" w:rsidRPr="004676F5" w:rsidRDefault="00496AA3" w:rsidP="00E064B4">
            <w:pPr>
              <w:jc w:val="both"/>
            </w:pPr>
            <w:r w:rsidRPr="004676F5">
              <w:t>(Falls zutreffend) Bevor Sie sich für die Aufnahme des Kredits entscheiden, haben Sie ab dem [Zeitpunkt, zu dem die Bedenkzeit beginnt]</w:t>
            </w:r>
            <w:r w:rsidR="0071235D" w:rsidRPr="004676F5">
              <w:t xml:space="preserve"> </w:t>
            </w:r>
            <w:r w:rsidRPr="004676F5">
              <w:t>[Dauer der Bedenkzeit] Bedenkzeit.</w:t>
            </w:r>
          </w:p>
          <w:p w14:paraId="19CB39B4" w14:textId="77777777" w:rsidR="00496AA3" w:rsidRPr="004676F5" w:rsidRDefault="00496AA3" w:rsidP="00E064B4">
            <w:pPr>
              <w:jc w:val="both"/>
            </w:pPr>
          </w:p>
          <w:p w14:paraId="247176A0" w14:textId="77777777" w:rsidR="00496AA3" w:rsidRPr="004676F5" w:rsidRDefault="00496AA3" w:rsidP="00E064B4">
            <w:pPr>
              <w:jc w:val="both"/>
            </w:pPr>
            <w:r w:rsidRPr="004676F5">
              <w:t>(Falls zutreffend) Sobald Sie den Kreditvertrag vom Kreditgeber erhalten haben, können Sie diesen nicht vor Ablauf einer Frist von [Zeitraum der Bedenkzeit] annehmen.</w:t>
            </w:r>
          </w:p>
          <w:p w14:paraId="2FE08F80" w14:textId="77777777" w:rsidR="00496AA3" w:rsidRPr="004676F5" w:rsidRDefault="00496AA3" w:rsidP="00E064B4">
            <w:pPr>
              <w:jc w:val="both"/>
            </w:pPr>
          </w:p>
          <w:p w14:paraId="54EDDDE4" w14:textId="7FB7A3E0" w:rsidR="00496AA3" w:rsidRPr="004676F5" w:rsidRDefault="00496AA3" w:rsidP="00E064B4">
            <w:pPr>
              <w:jc w:val="both"/>
            </w:pPr>
            <w:r w:rsidRPr="004676F5">
              <w:t>(Falls zutreffend) Sie können während eines Zeitraums von [Dauer der Widerrufsfrist] ab [Zeitpunkt, zu dem die Widerruffrist beginnt] von Ihrem Widerrufsrecht Gebrauch machen. [Bedingungen]</w:t>
            </w:r>
            <w:r w:rsidR="0071235D" w:rsidRPr="004676F5">
              <w:t xml:space="preserve"> </w:t>
            </w:r>
            <w:r w:rsidRPr="004676F5">
              <w:t>[Verfahren]</w:t>
            </w:r>
          </w:p>
          <w:p w14:paraId="44665D1A" w14:textId="77777777" w:rsidR="00496AA3" w:rsidRPr="004676F5" w:rsidRDefault="00496AA3" w:rsidP="00E064B4">
            <w:pPr>
              <w:jc w:val="both"/>
            </w:pPr>
          </w:p>
          <w:p w14:paraId="260E9027" w14:textId="77777777" w:rsidR="00496AA3" w:rsidRPr="004676F5" w:rsidRDefault="00496AA3" w:rsidP="00E064B4">
            <w:pPr>
              <w:jc w:val="both"/>
            </w:pPr>
            <w:r w:rsidRPr="004676F5">
              <w:t>(Falls zutreffend) Sie können Ihr Widerrufsrecht verlieren, wenn Sie innerhalb dieses Zeitraums eine Immobilie erwerben oder veräußern, die im Zusammenhang mit diesem Kreditvertrag steht.</w:t>
            </w:r>
          </w:p>
          <w:p w14:paraId="17BCFC9D" w14:textId="77777777" w:rsidR="00496AA3" w:rsidRPr="004676F5" w:rsidRDefault="00496AA3" w:rsidP="00E064B4">
            <w:pPr>
              <w:jc w:val="both"/>
            </w:pPr>
          </w:p>
          <w:p w14:paraId="4833E1B6" w14:textId="77777777" w:rsidR="00496AA3" w:rsidRPr="004676F5" w:rsidRDefault="00496AA3" w:rsidP="00E064B4">
            <w:pPr>
              <w:jc w:val="both"/>
              <w:rPr>
                <w:b/>
              </w:rPr>
            </w:pPr>
            <w:r w:rsidRPr="004676F5">
              <w:t>(Falls zutreffend) Sollten Sie beschließen, von Ihrem Recht auf Widerruf [des Kreditvertrags] Gebrauch zu machen, so prüfen Sie bitte, ob Sie durch andere[, in Abschnitt 8 genannte] Auflagen im Zusammenhang mit dem Kredit [einschließlich der mit dem Kredit verbundenen Nebenleistungen] weiter gebunden bleiben.</w:t>
            </w:r>
          </w:p>
        </w:tc>
      </w:tr>
      <w:tr w:rsidR="00496AA3" w:rsidRPr="004676F5" w14:paraId="21752DC4" w14:textId="77777777" w:rsidTr="00E064B4">
        <w:tc>
          <w:tcPr>
            <w:tcW w:w="9062" w:type="dxa"/>
          </w:tcPr>
          <w:p w14:paraId="489F470A" w14:textId="77777777" w:rsidR="00496AA3" w:rsidRPr="004676F5" w:rsidRDefault="00496AA3" w:rsidP="00E064B4">
            <w:pPr>
              <w:jc w:val="both"/>
              <w:rPr>
                <w:b/>
              </w:rPr>
            </w:pPr>
            <w:r w:rsidRPr="004676F5">
              <w:rPr>
                <w:b/>
              </w:rPr>
              <w:lastRenderedPageBreak/>
              <w:t>12. Beschwerden</w:t>
            </w:r>
          </w:p>
        </w:tc>
      </w:tr>
      <w:tr w:rsidR="00496AA3" w:rsidRPr="00256F56" w14:paraId="4E1CCF1B" w14:textId="77777777" w:rsidTr="00E064B4">
        <w:tc>
          <w:tcPr>
            <w:tcW w:w="9062" w:type="dxa"/>
          </w:tcPr>
          <w:p w14:paraId="27697798" w14:textId="77777777" w:rsidR="00496AA3" w:rsidRPr="004676F5" w:rsidRDefault="00496AA3" w:rsidP="00E064B4">
            <w:pPr>
              <w:jc w:val="both"/>
            </w:pPr>
            <w:r w:rsidRPr="004676F5">
              <w:t>Im Fall einer Beschwerde wenden Sie sich bitte an [interne Kontaktstelle und Informationsquelle zum weiteren Verfahren].</w:t>
            </w:r>
          </w:p>
          <w:p w14:paraId="141DCF53" w14:textId="77777777" w:rsidR="00496AA3" w:rsidRPr="004676F5" w:rsidRDefault="00496AA3" w:rsidP="00E064B4">
            <w:pPr>
              <w:jc w:val="both"/>
            </w:pPr>
          </w:p>
          <w:p w14:paraId="56A7531B" w14:textId="77777777" w:rsidR="00496AA3" w:rsidRPr="004676F5" w:rsidRDefault="00496AA3" w:rsidP="00E064B4">
            <w:pPr>
              <w:jc w:val="both"/>
            </w:pPr>
            <w:r w:rsidRPr="004676F5">
              <w:t>(Falls zutreffend) Maximale Frist für die Bearbeitung der Beschwerde: [Zeitraum]</w:t>
            </w:r>
          </w:p>
          <w:p w14:paraId="6C2C163C" w14:textId="77777777" w:rsidR="00496AA3" w:rsidRPr="004676F5" w:rsidRDefault="00496AA3" w:rsidP="00E064B4">
            <w:pPr>
              <w:jc w:val="both"/>
            </w:pPr>
          </w:p>
          <w:p w14:paraId="725DFD6C" w14:textId="57F2BD90" w:rsidR="00496AA3" w:rsidRPr="004676F5" w:rsidRDefault="00496AA3" w:rsidP="00E064B4">
            <w:pPr>
              <w:jc w:val="both"/>
            </w:pPr>
            <w:r w:rsidRPr="004676F5">
              <w:t>(Falls zutreffend) Sollten wir die Beschwerde nicht intern zu Ihrer Zufriedenheit beilegen, so können Sie sich auch an [Name der externen Stelle für außergerichtliche Beschwerde</w:t>
            </w:r>
            <w:r w:rsidR="005B7A5C" w:rsidRPr="004676F5">
              <w:t>- </w:t>
            </w:r>
            <w:r w:rsidRPr="004676F5">
              <w:t>und Rechtsbehelfsverfahren] wenden.</w:t>
            </w:r>
          </w:p>
          <w:p w14:paraId="1ACFFB5E" w14:textId="77777777" w:rsidR="00496AA3" w:rsidRPr="004676F5" w:rsidRDefault="00496AA3" w:rsidP="00E064B4">
            <w:pPr>
              <w:jc w:val="both"/>
            </w:pPr>
          </w:p>
          <w:p w14:paraId="37EB049D" w14:textId="77777777" w:rsidR="00496AA3" w:rsidRPr="004676F5" w:rsidRDefault="00496AA3" w:rsidP="00E064B4">
            <w:pPr>
              <w:jc w:val="both"/>
              <w:rPr>
                <w:b/>
              </w:rPr>
            </w:pPr>
            <w:r w:rsidRPr="004676F5">
              <w:t>(Falls zutreffend) Oder Sie können weitere Informationen bei FIN-NET oder der entsprechenden Stelle in Ihrem eigenen Land erfragen.</w:t>
            </w:r>
          </w:p>
        </w:tc>
      </w:tr>
      <w:tr w:rsidR="00496AA3" w:rsidRPr="00256F56" w14:paraId="7B93372A" w14:textId="77777777" w:rsidTr="00E064B4">
        <w:tc>
          <w:tcPr>
            <w:tcW w:w="9062" w:type="dxa"/>
          </w:tcPr>
          <w:p w14:paraId="42421101" w14:textId="77777777" w:rsidR="00496AA3" w:rsidRPr="004676F5" w:rsidRDefault="00496AA3" w:rsidP="00E064B4">
            <w:pPr>
              <w:jc w:val="both"/>
              <w:rPr>
                <w:b/>
              </w:rPr>
            </w:pPr>
            <w:r w:rsidRPr="004676F5">
              <w:rPr>
                <w:b/>
              </w:rPr>
              <w:t>13. Nichteinhaltung der aus dem Kreditvertrag erwachsenden Verpflichtungen: Konsequenzen für den Kreditnehmer</w:t>
            </w:r>
          </w:p>
        </w:tc>
      </w:tr>
      <w:tr w:rsidR="00496AA3" w:rsidRPr="00256F56" w14:paraId="7A2A3564" w14:textId="77777777" w:rsidTr="00E064B4">
        <w:tc>
          <w:tcPr>
            <w:tcW w:w="9062" w:type="dxa"/>
          </w:tcPr>
          <w:p w14:paraId="59B8445C" w14:textId="77777777" w:rsidR="00496AA3" w:rsidRPr="004676F5" w:rsidRDefault="00496AA3" w:rsidP="00E064B4">
            <w:pPr>
              <w:jc w:val="both"/>
            </w:pPr>
            <w:r w:rsidRPr="004676F5">
              <w:t>[Arten eines Verstoßes gegen die Verpflichtungen]</w:t>
            </w:r>
          </w:p>
          <w:p w14:paraId="0D23723D" w14:textId="77777777" w:rsidR="00496AA3" w:rsidRPr="004676F5" w:rsidRDefault="00496AA3" w:rsidP="00E064B4">
            <w:pPr>
              <w:jc w:val="both"/>
            </w:pPr>
          </w:p>
          <w:p w14:paraId="23E24875" w14:textId="77777777" w:rsidR="00496AA3" w:rsidRPr="004676F5" w:rsidRDefault="00496AA3" w:rsidP="00E064B4">
            <w:pPr>
              <w:jc w:val="both"/>
            </w:pPr>
            <w:r w:rsidRPr="004676F5">
              <w:t>[Finanzielle und/oder rechtliche Folgen]</w:t>
            </w:r>
          </w:p>
          <w:p w14:paraId="3B02701E" w14:textId="77777777" w:rsidR="00496AA3" w:rsidRPr="004676F5" w:rsidRDefault="00496AA3" w:rsidP="00E064B4">
            <w:pPr>
              <w:jc w:val="both"/>
            </w:pPr>
          </w:p>
          <w:p w14:paraId="679410E7" w14:textId="77777777" w:rsidR="00496AA3" w:rsidRPr="004676F5" w:rsidRDefault="00496AA3" w:rsidP="00E064B4">
            <w:pPr>
              <w:jc w:val="both"/>
            </w:pPr>
            <w:r w:rsidRPr="004676F5">
              <w:t>Sollten Sie Schwierigkeiten haben, die [Zahlungsintervall] Zahlungen zu leisten, so nehmen Sie bitte umgehend Kontakt mit uns auf, damit nach möglichen Lösungen gesucht werden kann.</w:t>
            </w:r>
          </w:p>
          <w:p w14:paraId="36595E3D" w14:textId="77777777" w:rsidR="00496AA3" w:rsidRPr="004676F5" w:rsidRDefault="00496AA3" w:rsidP="00E064B4">
            <w:pPr>
              <w:jc w:val="both"/>
            </w:pPr>
          </w:p>
          <w:p w14:paraId="1D81085A" w14:textId="77777777" w:rsidR="00496AA3" w:rsidRPr="004676F5" w:rsidRDefault="00496AA3" w:rsidP="00E064B4">
            <w:pPr>
              <w:jc w:val="both"/>
            </w:pPr>
            <w:r w:rsidRPr="004676F5">
              <w:t>(Falls zutreffend) Kommen Sie Ihren Zahlungsverpflichtungen nicht nach, kann als letztes Mittel Ihre Immobilie zwangsversteigert werden.</w:t>
            </w:r>
          </w:p>
        </w:tc>
      </w:tr>
      <w:tr w:rsidR="00496AA3" w:rsidRPr="004676F5" w14:paraId="38D354C8" w14:textId="77777777" w:rsidTr="00E064B4">
        <w:tc>
          <w:tcPr>
            <w:tcW w:w="9062" w:type="dxa"/>
          </w:tcPr>
          <w:p w14:paraId="404F2F38" w14:textId="77777777" w:rsidR="00496AA3" w:rsidRPr="004676F5" w:rsidRDefault="00496AA3" w:rsidP="00E064B4">
            <w:pPr>
              <w:jc w:val="both"/>
              <w:rPr>
                <w:b/>
              </w:rPr>
            </w:pPr>
            <w:r w:rsidRPr="004676F5">
              <w:rPr>
                <w:b/>
              </w:rPr>
              <w:t>14. Zusätzliche Informationen</w:t>
            </w:r>
          </w:p>
        </w:tc>
      </w:tr>
      <w:tr w:rsidR="00496AA3" w:rsidRPr="00256F56" w14:paraId="1FBB2D67" w14:textId="77777777" w:rsidTr="00E064B4">
        <w:tc>
          <w:tcPr>
            <w:tcW w:w="9062" w:type="dxa"/>
          </w:tcPr>
          <w:p w14:paraId="1E68438A" w14:textId="77777777" w:rsidR="00496AA3" w:rsidRPr="004676F5" w:rsidRDefault="00496AA3" w:rsidP="00E064B4">
            <w:pPr>
              <w:jc w:val="both"/>
            </w:pPr>
            <w:r w:rsidRPr="004676F5">
              <w:t>(Falls zutreffend) [auf den Kreditvertrag anwendbares Recht]</w:t>
            </w:r>
          </w:p>
          <w:p w14:paraId="20F3D888" w14:textId="77777777" w:rsidR="00496AA3" w:rsidRPr="004676F5" w:rsidRDefault="00496AA3" w:rsidP="00E064B4">
            <w:pPr>
              <w:jc w:val="both"/>
            </w:pPr>
          </w:p>
          <w:p w14:paraId="45C69340" w14:textId="77777777" w:rsidR="00496AA3" w:rsidRPr="004676F5" w:rsidRDefault="00496AA3" w:rsidP="00E064B4">
            <w:pPr>
              <w:jc w:val="both"/>
            </w:pPr>
            <w:r w:rsidRPr="004676F5">
              <w:t>(Sofern der Kreditgeber eine Sprache verwenden möchte, die sich von der Sprache des ESIS-Merkblatts unterscheidet) Informationen und Vertragsbedingungen werden in [Angabe der Sprache] vorgelegt. Mit Ihrer Zustimmung werden wir während der Laufzeit des Kreditvertrags mit Ihnen in [Angabe der Sprache(n)] kommunizieren.</w:t>
            </w:r>
          </w:p>
          <w:p w14:paraId="6E0BE0C7" w14:textId="77777777" w:rsidR="00496AA3" w:rsidRPr="004676F5" w:rsidRDefault="00496AA3" w:rsidP="00E064B4">
            <w:pPr>
              <w:jc w:val="both"/>
            </w:pPr>
          </w:p>
          <w:p w14:paraId="58BB2D06" w14:textId="77777777" w:rsidR="00496AA3" w:rsidRPr="004676F5" w:rsidRDefault="00496AA3" w:rsidP="00E064B4">
            <w:pPr>
              <w:jc w:val="both"/>
              <w:rPr>
                <w:b/>
              </w:rPr>
            </w:pPr>
            <w:r w:rsidRPr="004676F5">
              <w:t>[Hinweis betreffend das Recht, dass der Kreditvertrag gegebenenfalls im Entwurf vorgelegt oder dies angeboten wird].</w:t>
            </w:r>
          </w:p>
        </w:tc>
      </w:tr>
      <w:tr w:rsidR="00496AA3" w:rsidRPr="004676F5" w14:paraId="4FBF650F" w14:textId="77777777" w:rsidTr="00E064B4">
        <w:tc>
          <w:tcPr>
            <w:tcW w:w="9062" w:type="dxa"/>
          </w:tcPr>
          <w:p w14:paraId="6AC9834F" w14:textId="77777777" w:rsidR="00496AA3" w:rsidRPr="004676F5" w:rsidRDefault="00496AA3" w:rsidP="00E064B4">
            <w:pPr>
              <w:jc w:val="both"/>
              <w:rPr>
                <w:b/>
              </w:rPr>
            </w:pPr>
            <w:r w:rsidRPr="004676F5">
              <w:rPr>
                <w:b/>
              </w:rPr>
              <w:lastRenderedPageBreak/>
              <w:t>15. Aufsichtsbehörde</w:t>
            </w:r>
          </w:p>
        </w:tc>
      </w:tr>
      <w:tr w:rsidR="00496AA3" w:rsidRPr="00256F56" w14:paraId="0E5E0407" w14:textId="77777777" w:rsidTr="00E064B4">
        <w:tc>
          <w:tcPr>
            <w:tcW w:w="9062" w:type="dxa"/>
          </w:tcPr>
          <w:p w14:paraId="7C94D7EC" w14:textId="77777777" w:rsidR="00496AA3" w:rsidRPr="004676F5" w:rsidRDefault="00496AA3" w:rsidP="00E064B4">
            <w:pPr>
              <w:jc w:val="both"/>
            </w:pPr>
            <w:r w:rsidRPr="004676F5">
              <w:t>Die Aufsicht über diesen Kreditgeber obliegt: [Bezeichnung(en) und Internetadresse(n) der Aufsichtsbehörde(n)].</w:t>
            </w:r>
          </w:p>
          <w:p w14:paraId="752C7304" w14:textId="77777777" w:rsidR="00496AA3" w:rsidRPr="004676F5" w:rsidRDefault="00496AA3" w:rsidP="00E064B4">
            <w:pPr>
              <w:jc w:val="both"/>
            </w:pPr>
          </w:p>
          <w:p w14:paraId="45454B13" w14:textId="77777777" w:rsidR="00496AA3" w:rsidRPr="004676F5" w:rsidRDefault="00496AA3" w:rsidP="00E064B4">
            <w:pPr>
              <w:jc w:val="both"/>
              <w:rPr>
                <w:b/>
              </w:rPr>
            </w:pPr>
            <w:r w:rsidRPr="004676F5">
              <w:t>(Falls zutreffend) Die Aufsicht über diesen Kreditvermittler obliegt: [Bezeichnung und Internetadresse der Aufsichtsbehörde].</w:t>
            </w:r>
          </w:p>
        </w:tc>
      </w:tr>
    </w:tbl>
    <w:p w14:paraId="47CD3824" w14:textId="77777777" w:rsidR="00496AA3" w:rsidRPr="004676F5" w:rsidRDefault="00496AA3" w:rsidP="00496AA3">
      <w:pPr>
        <w:ind w:firstLine="708"/>
        <w:jc w:val="both"/>
        <w:rPr>
          <w:lang w:val="de-DE"/>
        </w:rPr>
      </w:pPr>
    </w:p>
    <w:p w14:paraId="26EF8E61" w14:textId="77777777" w:rsidR="00496AA3" w:rsidRPr="004676F5" w:rsidRDefault="00496AA3" w:rsidP="00496AA3">
      <w:pPr>
        <w:jc w:val="both"/>
        <w:rPr>
          <w:lang w:val="de-DE"/>
        </w:rPr>
      </w:pPr>
    </w:p>
    <w:p w14:paraId="4F35D5C9" w14:textId="77777777" w:rsidR="00496AA3" w:rsidRPr="004676F5" w:rsidRDefault="00496AA3" w:rsidP="00496AA3">
      <w:pPr>
        <w:jc w:val="center"/>
        <w:rPr>
          <w:lang w:val="de-DE"/>
        </w:rPr>
      </w:pPr>
      <w:r w:rsidRPr="004676F5">
        <w:rPr>
          <w:lang w:val="de-DE"/>
        </w:rPr>
        <w:t>TEIL B</w:t>
      </w:r>
    </w:p>
    <w:p w14:paraId="5F5762D9" w14:textId="77777777" w:rsidR="00496AA3" w:rsidRPr="004676F5" w:rsidRDefault="00496AA3" w:rsidP="00496AA3">
      <w:pPr>
        <w:jc w:val="both"/>
        <w:rPr>
          <w:lang w:val="de-DE"/>
        </w:rPr>
      </w:pPr>
    </w:p>
    <w:p w14:paraId="36780F13" w14:textId="77777777" w:rsidR="00496AA3" w:rsidRPr="004676F5" w:rsidRDefault="00496AA3" w:rsidP="00496AA3">
      <w:pPr>
        <w:jc w:val="center"/>
        <w:rPr>
          <w:lang w:val="de-DE"/>
        </w:rPr>
      </w:pPr>
      <w:r w:rsidRPr="004676F5">
        <w:rPr>
          <w:lang w:val="de-DE"/>
        </w:rPr>
        <w:t>Hinweise zum Ausfüllen des ESIS-Merkblatts</w:t>
      </w:r>
    </w:p>
    <w:p w14:paraId="36E7297D" w14:textId="77777777" w:rsidR="00496AA3" w:rsidRPr="004676F5" w:rsidRDefault="00496AA3" w:rsidP="00496AA3">
      <w:pPr>
        <w:jc w:val="both"/>
        <w:rPr>
          <w:lang w:val="de-DE"/>
        </w:rPr>
      </w:pPr>
    </w:p>
    <w:p w14:paraId="5D2F753A" w14:textId="77777777" w:rsidR="00496AA3" w:rsidRPr="004676F5" w:rsidRDefault="00496AA3" w:rsidP="00496AA3">
      <w:pPr>
        <w:ind w:firstLine="708"/>
        <w:jc w:val="both"/>
        <w:rPr>
          <w:lang w:val="de-DE"/>
        </w:rPr>
      </w:pPr>
      <w:r w:rsidRPr="004676F5">
        <w:rPr>
          <w:lang w:val="de-DE"/>
        </w:rPr>
        <w:t>Beim Ausfüllen des ESIS-Merkblatts sind mindestens die folgenden Hinweise zu beachten. Die Mitgliedstaaten können diese Hinweise jedoch weiter ausgestalten oder differenzieren.</w:t>
      </w:r>
    </w:p>
    <w:p w14:paraId="00B12397" w14:textId="77777777" w:rsidR="00496AA3" w:rsidRPr="004676F5" w:rsidRDefault="00496AA3" w:rsidP="00496AA3">
      <w:pPr>
        <w:ind w:firstLine="708"/>
        <w:jc w:val="both"/>
        <w:rPr>
          <w:lang w:val="de-DE"/>
        </w:rPr>
      </w:pPr>
    </w:p>
    <w:p w14:paraId="26AF1274" w14:textId="77777777" w:rsidR="00496AA3" w:rsidRPr="004676F5" w:rsidRDefault="00496AA3" w:rsidP="00496AA3">
      <w:pPr>
        <w:ind w:firstLine="708"/>
        <w:jc w:val="both"/>
        <w:rPr>
          <w:lang w:val="de-DE"/>
        </w:rPr>
      </w:pPr>
      <w:r w:rsidRPr="004676F5">
        <w:rPr>
          <w:b/>
          <w:lang w:val="de-DE"/>
        </w:rPr>
        <w:t>Abschnitt "Vorbemerkungen"</w:t>
      </w:r>
    </w:p>
    <w:p w14:paraId="2563A145" w14:textId="77777777" w:rsidR="00496AA3" w:rsidRPr="004676F5" w:rsidRDefault="00496AA3" w:rsidP="00496AA3">
      <w:pPr>
        <w:ind w:firstLine="708"/>
        <w:jc w:val="both"/>
        <w:rPr>
          <w:lang w:val="de-DE"/>
        </w:rPr>
      </w:pPr>
    </w:p>
    <w:p w14:paraId="7A2E8AB9" w14:textId="77777777" w:rsidR="00496AA3" w:rsidRPr="004676F5" w:rsidRDefault="00496AA3" w:rsidP="00496AA3">
      <w:pPr>
        <w:ind w:firstLine="708"/>
        <w:jc w:val="both"/>
        <w:rPr>
          <w:lang w:val="de-DE"/>
        </w:rPr>
      </w:pPr>
      <w:r w:rsidRPr="004676F5">
        <w:rPr>
          <w:lang w:val="de-DE"/>
        </w:rPr>
        <w:t>Das Datum, bis zu dem die Angaben gelten, ist optisch angemessen hervorzuheben. Für die Zwecke dieses Abschnitts bezeichnet der Begriff "Gültigkeitsdatum" den Zeitraum, innerhalb dessen die im ESIS-Merkblatt enthaltenen Angaben, etwa der Sollzinssatz, unverändert bleiben und zur Anwendung kommen werden, falls der Kreditgeber beschließt, den Kredit innerhalb dieser Frist zu bewilligen.</w:t>
      </w:r>
    </w:p>
    <w:p w14:paraId="668CDBAB" w14:textId="77777777" w:rsidR="00496AA3" w:rsidRPr="004676F5" w:rsidRDefault="00496AA3" w:rsidP="00496AA3">
      <w:pPr>
        <w:rPr>
          <w:lang w:val="de-DE"/>
        </w:rPr>
      </w:pPr>
    </w:p>
    <w:p w14:paraId="44D42C7A" w14:textId="77777777" w:rsidR="00496AA3" w:rsidRPr="004676F5" w:rsidRDefault="00496AA3" w:rsidP="00496AA3">
      <w:pPr>
        <w:ind w:firstLine="708"/>
        <w:jc w:val="both"/>
        <w:rPr>
          <w:b/>
          <w:lang w:val="de-DE"/>
        </w:rPr>
      </w:pPr>
      <w:r w:rsidRPr="004676F5">
        <w:rPr>
          <w:b/>
          <w:lang w:val="de-DE"/>
        </w:rPr>
        <w:t>Abschnitt "1. Kreditgeber"</w:t>
      </w:r>
    </w:p>
    <w:p w14:paraId="1ABB19BE" w14:textId="77777777" w:rsidR="00496AA3" w:rsidRPr="004676F5" w:rsidRDefault="00496AA3" w:rsidP="00496AA3">
      <w:pPr>
        <w:ind w:firstLine="708"/>
        <w:jc w:val="both"/>
        <w:rPr>
          <w:lang w:val="de-DE"/>
        </w:rPr>
      </w:pPr>
    </w:p>
    <w:p w14:paraId="16D74433" w14:textId="77777777" w:rsidR="00496AA3" w:rsidRPr="004676F5" w:rsidRDefault="00496AA3" w:rsidP="00496AA3">
      <w:pPr>
        <w:ind w:firstLine="708"/>
        <w:jc w:val="both"/>
        <w:rPr>
          <w:lang w:val="de-DE"/>
        </w:rPr>
      </w:pPr>
      <w:r w:rsidRPr="004676F5">
        <w:rPr>
          <w:lang w:val="de-DE"/>
        </w:rPr>
        <w:t>1. Name, Telefonnummer und Anschrift des Kreditgebers müssen die Kontaktdaten sein, die der Verbraucher im künftigen Schriftwechsel verwenden kann.</w:t>
      </w:r>
    </w:p>
    <w:p w14:paraId="5B601884" w14:textId="77777777" w:rsidR="00496AA3" w:rsidRPr="004676F5" w:rsidRDefault="00496AA3" w:rsidP="00496AA3">
      <w:pPr>
        <w:ind w:firstLine="708"/>
        <w:jc w:val="both"/>
        <w:rPr>
          <w:lang w:val="de-DE"/>
        </w:rPr>
      </w:pPr>
    </w:p>
    <w:p w14:paraId="10995E71" w14:textId="77777777" w:rsidR="00496AA3" w:rsidRPr="004676F5" w:rsidRDefault="00496AA3" w:rsidP="00496AA3">
      <w:pPr>
        <w:ind w:firstLine="708"/>
        <w:jc w:val="both"/>
        <w:rPr>
          <w:lang w:val="de-DE"/>
        </w:rPr>
      </w:pPr>
      <w:r w:rsidRPr="004676F5">
        <w:rPr>
          <w:lang w:val="de-DE"/>
        </w:rPr>
        <w:t>2. Angaben zu E-Mail-Adresse, Faxnummer, Internetadresse und Kontaktperson/-stelle sind fakultativ.</w:t>
      </w:r>
    </w:p>
    <w:p w14:paraId="66C8CA66" w14:textId="77777777" w:rsidR="00496AA3" w:rsidRPr="004676F5" w:rsidRDefault="00496AA3" w:rsidP="00496AA3">
      <w:pPr>
        <w:ind w:firstLine="708"/>
        <w:jc w:val="both"/>
        <w:rPr>
          <w:lang w:val="de-DE"/>
        </w:rPr>
      </w:pPr>
    </w:p>
    <w:p w14:paraId="4009917B" w14:textId="77777777" w:rsidR="00496AA3" w:rsidRPr="004676F5" w:rsidRDefault="00496AA3" w:rsidP="00496AA3">
      <w:pPr>
        <w:ind w:firstLine="708"/>
        <w:jc w:val="both"/>
        <w:rPr>
          <w:lang w:val="de-DE"/>
        </w:rPr>
      </w:pPr>
      <w:r w:rsidRPr="004676F5">
        <w:rPr>
          <w:lang w:val="de-DE"/>
        </w:rPr>
        <w:t>3. Wird der Kreditvertrag im Rahmen eines Fernabsatzgeschäfts angeboten, muss der Kreditgeber im Einklang mit Artikel 3 der Richtlinie 2002/65/EG gegebenenfalls Namen und Anschrift seines Vertreters in dem Mitgliedstaat, in dem der Verbraucher seinen Wohnsitz hat, angeben. Die Angabe von Telefonnummer, E-Mail-Adresse und Internetadresse des Vertreters des Kreditgebers ist fakultativ.</w:t>
      </w:r>
    </w:p>
    <w:p w14:paraId="4A1F0123" w14:textId="77777777" w:rsidR="00496AA3" w:rsidRPr="004676F5" w:rsidRDefault="00496AA3" w:rsidP="00496AA3">
      <w:pPr>
        <w:ind w:firstLine="708"/>
        <w:jc w:val="both"/>
        <w:rPr>
          <w:lang w:val="de-DE"/>
        </w:rPr>
      </w:pPr>
    </w:p>
    <w:p w14:paraId="227B734F" w14:textId="77777777" w:rsidR="00496AA3" w:rsidRPr="004676F5" w:rsidRDefault="00496AA3" w:rsidP="00496AA3">
      <w:pPr>
        <w:ind w:firstLine="708"/>
        <w:jc w:val="both"/>
        <w:rPr>
          <w:lang w:val="de-DE"/>
        </w:rPr>
      </w:pPr>
      <w:r w:rsidRPr="004676F5">
        <w:rPr>
          <w:lang w:val="de-DE"/>
        </w:rPr>
        <w:t>4. Kommt Abschnitt 2 nicht zur Anwendung, so unterrichtet der Kreditgeber unter Verwendung der Formulierungen in Teil A den Verbraucher darüber, ob und auf welcher Grundlage Beratungsdienstleistungen erbracht werden.</w:t>
      </w:r>
    </w:p>
    <w:p w14:paraId="75035E22" w14:textId="77777777" w:rsidR="00496AA3" w:rsidRPr="004676F5" w:rsidRDefault="00496AA3" w:rsidP="00496AA3">
      <w:pPr>
        <w:ind w:firstLine="708"/>
        <w:jc w:val="both"/>
        <w:rPr>
          <w:lang w:val="de-DE"/>
        </w:rPr>
      </w:pPr>
    </w:p>
    <w:p w14:paraId="1D3F46A6" w14:textId="77777777" w:rsidR="00496AA3" w:rsidRPr="004676F5" w:rsidRDefault="00496AA3">
      <w:pPr>
        <w:rPr>
          <w:b/>
          <w:lang w:val="de-DE"/>
        </w:rPr>
      </w:pPr>
      <w:r w:rsidRPr="004676F5">
        <w:rPr>
          <w:b/>
          <w:lang w:val="de-DE"/>
        </w:rPr>
        <w:br w:type="page"/>
      </w:r>
    </w:p>
    <w:p w14:paraId="1F86115E" w14:textId="77777777" w:rsidR="00496AA3" w:rsidRPr="004676F5" w:rsidRDefault="00496AA3" w:rsidP="00496AA3">
      <w:pPr>
        <w:ind w:firstLine="708"/>
        <w:jc w:val="both"/>
        <w:rPr>
          <w:b/>
          <w:lang w:val="de-DE"/>
        </w:rPr>
      </w:pPr>
      <w:r w:rsidRPr="004676F5">
        <w:rPr>
          <w:b/>
          <w:lang w:val="de-DE"/>
        </w:rPr>
        <w:lastRenderedPageBreak/>
        <w:t>(Falls zutreffend) Abschnitt "2. Kreditvermittler"</w:t>
      </w:r>
    </w:p>
    <w:p w14:paraId="75550C6D" w14:textId="77777777" w:rsidR="00496AA3" w:rsidRPr="004676F5" w:rsidRDefault="00496AA3" w:rsidP="00496AA3">
      <w:pPr>
        <w:ind w:firstLine="708"/>
        <w:jc w:val="both"/>
        <w:rPr>
          <w:lang w:val="de-DE"/>
        </w:rPr>
      </w:pPr>
    </w:p>
    <w:p w14:paraId="5ACAA429" w14:textId="77777777" w:rsidR="00496AA3" w:rsidRPr="004676F5" w:rsidRDefault="00496AA3" w:rsidP="00496AA3">
      <w:pPr>
        <w:ind w:firstLine="708"/>
        <w:jc w:val="both"/>
        <w:rPr>
          <w:lang w:val="de-DE"/>
        </w:rPr>
      </w:pPr>
      <w:r w:rsidRPr="004676F5">
        <w:rPr>
          <w:lang w:val="de-DE"/>
        </w:rPr>
        <w:t xml:space="preserve">Erhält der Verbraucher die Produktinformationen von einem Kreditvermittler, so erteilt dieser die folgenden Informationen: </w:t>
      </w:r>
    </w:p>
    <w:p w14:paraId="2B08AEC2" w14:textId="77777777" w:rsidR="00496AA3" w:rsidRPr="004676F5" w:rsidRDefault="00496AA3" w:rsidP="00496AA3">
      <w:pPr>
        <w:ind w:firstLine="708"/>
        <w:jc w:val="both"/>
        <w:rPr>
          <w:lang w:val="de-DE"/>
        </w:rPr>
      </w:pPr>
    </w:p>
    <w:p w14:paraId="0725179B" w14:textId="77777777" w:rsidR="00496AA3" w:rsidRPr="004676F5" w:rsidRDefault="00496AA3" w:rsidP="00496AA3">
      <w:pPr>
        <w:ind w:firstLine="708"/>
        <w:jc w:val="both"/>
        <w:rPr>
          <w:lang w:val="de-DE"/>
        </w:rPr>
      </w:pPr>
      <w:r w:rsidRPr="004676F5">
        <w:rPr>
          <w:lang w:val="de-DE"/>
        </w:rPr>
        <w:t>1. Name, Telefonnummer und Anschrift des Kreditvermittlers müssen die Kontaktdaten sein, die der Verbraucher im künftigen Schriftwechsel verwenden kann.</w:t>
      </w:r>
    </w:p>
    <w:p w14:paraId="35074198" w14:textId="77777777" w:rsidR="00496AA3" w:rsidRPr="004676F5" w:rsidRDefault="00496AA3" w:rsidP="00496AA3">
      <w:pPr>
        <w:ind w:firstLine="708"/>
        <w:jc w:val="both"/>
        <w:rPr>
          <w:lang w:val="de-DE"/>
        </w:rPr>
      </w:pPr>
    </w:p>
    <w:p w14:paraId="726C251B" w14:textId="77777777" w:rsidR="00496AA3" w:rsidRPr="004676F5" w:rsidRDefault="00496AA3" w:rsidP="00496AA3">
      <w:pPr>
        <w:ind w:firstLine="708"/>
        <w:jc w:val="both"/>
        <w:rPr>
          <w:lang w:val="de-DE"/>
        </w:rPr>
      </w:pPr>
      <w:r w:rsidRPr="004676F5">
        <w:rPr>
          <w:lang w:val="de-DE"/>
        </w:rPr>
        <w:t>2. Angaben zu E-Mail-Adresse, Faxnummer, Internetadresse und Kontaktperson/-stelle sind fakultativ.</w:t>
      </w:r>
    </w:p>
    <w:p w14:paraId="39D86230" w14:textId="77777777" w:rsidR="00496AA3" w:rsidRPr="004676F5" w:rsidRDefault="00496AA3" w:rsidP="00496AA3">
      <w:pPr>
        <w:ind w:firstLine="708"/>
        <w:jc w:val="both"/>
        <w:rPr>
          <w:lang w:val="de-DE"/>
        </w:rPr>
      </w:pPr>
    </w:p>
    <w:p w14:paraId="3D3B9C23" w14:textId="77777777" w:rsidR="00496AA3" w:rsidRPr="004676F5" w:rsidRDefault="00496AA3" w:rsidP="00496AA3">
      <w:pPr>
        <w:ind w:firstLine="708"/>
        <w:jc w:val="both"/>
        <w:rPr>
          <w:lang w:val="de-DE"/>
        </w:rPr>
      </w:pPr>
      <w:r w:rsidRPr="004676F5">
        <w:rPr>
          <w:lang w:val="de-DE"/>
        </w:rPr>
        <w:t>3. Der Kreditvermittler unterrichtet unter Verwendung der Formulierungen in Teil A den Verbraucher darüber, ob und auf welcher Grundlage Beratungsdienstleistungen erbracht werden.</w:t>
      </w:r>
    </w:p>
    <w:p w14:paraId="32E1B63E" w14:textId="77777777" w:rsidR="00496AA3" w:rsidRPr="004676F5" w:rsidRDefault="00496AA3" w:rsidP="00496AA3">
      <w:pPr>
        <w:ind w:firstLine="708"/>
        <w:jc w:val="both"/>
        <w:rPr>
          <w:lang w:val="de-DE"/>
        </w:rPr>
      </w:pPr>
    </w:p>
    <w:p w14:paraId="181945F6" w14:textId="6439D654" w:rsidR="00496AA3" w:rsidRPr="004676F5" w:rsidRDefault="00496AA3" w:rsidP="00496AA3">
      <w:pPr>
        <w:ind w:firstLine="708"/>
        <w:jc w:val="both"/>
        <w:rPr>
          <w:lang w:val="de-DE"/>
        </w:rPr>
      </w:pPr>
      <w:r w:rsidRPr="004676F5">
        <w:rPr>
          <w:lang w:val="de-DE"/>
        </w:rPr>
        <w:t xml:space="preserve">4. Erläuterungen zur Art und Weise der Vergütung des Kreditvermittlers. Erhält dieser eine Provision vom Kreditgeber, so sind der Betrag und </w:t>
      </w:r>
      <w:r w:rsidR="005B7A5C" w:rsidRPr="004676F5">
        <w:rPr>
          <w:lang w:val="de-DE"/>
        </w:rPr>
        <w:t>- </w:t>
      </w:r>
      <w:r w:rsidRPr="004676F5">
        <w:rPr>
          <w:lang w:val="de-DE"/>
        </w:rPr>
        <w:t>sofern abweichend von der Angabe unter Abschnitt 1 </w:t>
      </w:r>
      <w:r w:rsidR="005B7A5C" w:rsidRPr="004676F5">
        <w:rPr>
          <w:lang w:val="de-DE"/>
        </w:rPr>
        <w:t>- </w:t>
      </w:r>
      <w:r w:rsidRPr="004676F5">
        <w:rPr>
          <w:lang w:val="de-DE"/>
        </w:rPr>
        <w:t>der Name des Kreditgebers anzugeben.</w:t>
      </w:r>
    </w:p>
    <w:p w14:paraId="1C9DB540" w14:textId="77777777" w:rsidR="00496AA3" w:rsidRPr="004676F5" w:rsidRDefault="00496AA3" w:rsidP="00496AA3">
      <w:pPr>
        <w:ind w:firstLine="708"/>
        <w:jc w:val="both"/>
        <w:rPr>
          <w:lang w:val="de-DE"/>
        </w:rPr>
      </w:pPr>
    </w:p>
    <w:p w14:paraId="693F2BA5" w14:textId="77777777" w:rsidR="00496AA3" w:rsidRPr="004676F5" w:rsidRDefault="00496AA3" w:rsidP="00496AA3">
      <w:pPr>
        <w:ind w:firstLine="708"/>
        <w:jc w:val="both"/>
        <w:rPr>
          <w:b/>
          <w:lang w:val="de-DE"/>
        </w:rPr>
      </w:pPr>
      <w:r w:rsidRPr="004676F5">
        <w:rPr>
          <w:b/>
          <w:lang w:val="de-DE"/>
        </w:rPr>
        <w:t>Abschnitt "3. Hauptmerkmale des Kredits"</w:t>
      </w:r>
    </w:p>
    <w:p w14:paraId="377A3926" w14:textId="77777777" w:rsidR="00496AA3" w:rsidRPr="004676F5" w:rsidRDefault="00496AA3" w:rsidP="00496AA3">
      <w:pPr>
        <w:ind w:firstLine="708"/>
        <w:jc w:val="both"/>
        <w:rPr>
          <w:lang w:val="de-DE"/>
        </w:rPr>
      </w:pPr>
    </w:p>
    <w:p w14:paraId="66EF4955" w14:textId="77777777" w:rsidR="00496AA3" w:rsidRPr="004676F5" w:rsidRDefault="00496AA3" w:rsidP="00496AA3">
      <w:pPr>
        <w:ind w:firstLine="708"/>
        <w:jc w:val="both"/>
        <w:rPr>
          <w:lang w:val="de-DE"/>
        </w:rPr>
      </w:pPr>
      <w:r w:rsidRPr="004676F5">
        <w:rPr>
          <w:lang w:val="de-DE"/>
        </w:rPr>
        <w:t>1. In diesem Abschnitt sind die Hauptmerkmale des Kredits, einschließlich des Wertes, der Währung und der potenziellen Risiken, die mit dem Sollzinssatz (darunter die unter Nummer 8 genannte Risiken) und der Amortisationsstruktur verbunden sind, klar darzulegen.</w:t>
      </w:r>
    </w:p>
    <w:p w14:paraId="04DD3C9E" w14:textId="77777777" w:rsidR="00496AA3" w:rsidRPr="004676F5" w:rsidRDefault="00496AA3" w:rsidP="00496AA3">
      <w:pPr>
        <w:ind w:firstLine="708"/>
        <w:jc w:val="both"/>
        <w:rPr>
          <w:lang w:val="de-DE"/>
        </w:rPr>
      </w:pPr>
    </w:p>
    <w:p w14:paraId="366B1ABE" w14:textId="77777777" w:rsidR="00496AA3" w:rsidRPr="004676F5" w:rsidRDefault="00496AA3" w:rsidP="00496AA3">
      <w:pPr>
        <w:ind w:firstLine="708"/>
        <w:jc w:val="both"/>
        <w:rPr>
          <w:lang w:val="de-DE"/>
        </w:rPr>
      </w:pPr>
      <w:r w:rsidRPr="004676F5">
        <w:rPr>
          <w:lang w:val="de-DE"/>
        </w:rPr>
        <w:t>2. Handelt es sich bei der Kreditwährung nicht um die Landeswährung des Verbrauchers, so weist der Kreditgeber darauf hin, dass der Verbraucher zumindest einen regelmäßigen Warnhinweis erhält, sobald der Wechselkurs um mehr als 20 % schwankt, gegebenenfalls das Recht hat, die Währung des Kreditvertrags umzuwandeln, oder die Möglichkeit hat, die Bedingungen neu auszuhandeln, sowie auf alle sonstigen Regelungen, die dem Verbraucher zur Begrenzung des Wechselkursrisikos zur Verfügung stehen. Ist im Kreditvertrag eine Bestimmung zur Begrenzung des Wechselkursrisikos vorgesehen, so gibt der Kreditgeber den Höchstbetrag an, den der Verbraucher gegebenenfalls zurückzuzahlen hat. Ist im Kreditvertrag keine Bestimmung vorgesehen, wonach das Wechselkursrisiko für den Verbraucher auf eine Wechselkursschwankung von weniger als 20 % begrenzt wird, so gibt der Kreditgeber ein anschauliches Beispiel dafür, wie sich ein Kursverfall der Landeswährung des Verbrauchers von 20 % gegenüber der Kreditwährung auf den Wert des Kredits auswirkt.</w:t>
      </w:r>
    </w:p>
    <w:p w14:paraId="45EDBE58" w14:textId="77777777" w:rsidR="00496AA3" w:rsidRPr="004676F5" w:rsidRDefault="00496AA3" w:rsidP="00496AA3">
      <w:pPr>
        <w:ind w:firstLine="708"/>
        <w:jc w:val="both"/>
        <w:rPr>
          <w:lang w:val="de-DE"/>
        </w:rPr>
      </w:pPr>
    </w:p>
    <w:p w14:paraId="4CAC0F35" w14:textId="393D5F11" w:rsidR="00496AA3" w:rsidRPr="004676F5" w:rsidRDefault="00496AA3" w:rsidP="00496AA3">
      <w:pPr>
        <w:ind w:firstLine="708"/>
        <w:jc w:val="both"/>
        <w:rPr>
          <w:lang w:val="de-DE"/>
        </w:rPr>
      </w:pPr>
      <w:r w:rsidRPr="004676F5">
        <w:rPr>
          <w:lang w:val="de-DE"/>
        </w:rPr>
        <w:t xml:space="preserve">3. Die Laufzeit des Kredits ist </w:t>
      </w:r>
      <w:r w:rsidR="005B7A5C" w:rsidRPr="004676F5">
        <w:rPr>
          <w:lang w:val="de-DE"/>
        </w:rPr>
        <w:t>- </w:t>
      </w:r>
      <w:r w:rsidRPr="004676F5">
        <w:rPr>
          <w:lang w:val="de-DE"/>
        </w:rPr>
        <w:t>je nach Relevanz </w:t>
      </w:r>
      <w:r w:rsidR="005B7A5C" w:rsidRPr="004676F5">
        <w:rPr>
          <w:lang w:val="de-DE"/>
        </w:rPr>
        <w:t>- </w:t>
      </w:r>
      <w:r w:rsidRPr="004676F5">
        <w:rPr>
          <w:lang w:val="de-DE"/>
        </w:rPr>
        <w:t>in Jahren oder Monaten auszudrücken. Kann sich die Kreditlaufzeit während der Geltungsdauer des Vertrags ändern, erläutert der Kreditgeber, wann und unter welchen Bedingungen dies möglich ist. Handelt es sich um einen unbefristeten Kredit, etwa für eine gesicherte Kreditkarte, so ist dies vom Kreditgeber klar anzugeben.</w:t>
      </w:r>
    </w:p>
    <w:p w14:paraId="7FD04AE7" w14:textId="77777777" w:rsidR="00496AA3" w:rsidRPr="004676F5" w:rsidRDefault="00496AA3" w:rsidP="00496AA3">
      <w:pPr>
        <w:ind w:firstLine="708"/>
        <w:jc w:val="both"/>
        <w:rPr>
          <w:lang w:val="de-DE"/>
        </w:rPr>
      </w:pPr>
    </w:p>
    <w:p w14:paraId="74D67A46" w14:textId="77777777" w:rsidR="00496AA3" w:rsidRPr="004676F5" w:rsidRDefault="00496AA3" w:rsidP="00496AA3">
      <w:pPr>
        <w:ind w:firstLine="708"/>
        <w:jc w:val="both"/>
        <w:rPr>
          <w:lang w:val="de-DE"/>
        </w:rPr>
      </w:pPr>
      <w:r w:rsidRPr="004676F5">
        <w:rPr>
          <w:lang w:val="de-DE"/>
        </w:rPr>
        <w:t>4. Die Art des Kredits ist genau anzugeben (z. B. Hypothekarkredit, wohnungswirt</w:t>
      </w:r>
      <w:r w:rsidRPr="004676F5">
        <w:rPr>
          <w:lang w:val="de-DE"/>
        </w:rPr>
        <w:softHyphen/>
        <w:t>schaftlicher Kredit, gesicherte Kreditkarte). Bei der Beschreibung der Kreditart ist klar anzugeben, wie Kapital und Zinsen während der Laufzeit des Kredits zurückzuzahlen sind (d. h. die Amortisationsstruktur) und ob der Kreditvertrag auf einer Kapitalrückzahlung oder auf der Endfälligkeit basiert oder eine Mischung von beidem ist.</w:t>
      </w:r>
    </w:p>
    <w:p w14:paraId="631DC118" w14:textId="77777777" w:rsidR="00496AA3" w:rsidRPr="004676F5" w:rsidRDefault="00496AA3" w:rsidP="00496AA3">
      <w:pPr>
        <w:ind w:firstLine="708"/>
        <w:jc w:val="both"/>
        <w:rPr>
          <w:lang w:val="de-DE"/>
        </w:rPr>
      </w:pPr>
    </w:p>
    <w:p w14:paraId="0785A4B1" w14:textId="77777777" w:rsidR="00496AA3" w:rsidRPr="004676F5" w:rsidRDefault="00496AA3" w:rsidP="00496AA3">
      <w:pPr>
        <w:ind w:firstLine="708"/>
        <w:jc w:val="both"/>
        <w:rPr>
          <w:lang w:val="de-DE"/>
        </w:rPr>
      </w:pPr>
      <w:r w:rsidRPr="004676F5">
        <w:rPr>
          <w:lang w:val="de-DE"/>
        </w:rPr>
        <w:lastRenderedPageBreak/>
        <w:t>5. Handelt es sich bei dem gewährten Kredit oder einem Teil davon um einen endfälligen Kredit, so ist ein diesbezüglicher eindeutiger Hinweis unter Verwendung der Formulierung in Teil A deutlich sichtbar am Ende dieses Abschnitts einzufügen.</w:t>
      </w:r>
    </w:p>
    <w:p w14:paraId="2D0BCE27" w14:textId="77777777" w:rsidR="00496AA3" w:rsidRPr="004676F5" w:rsidRDefault="00496AA3" w:rsidP="00496AA3">
      <w:pPr>
        <w:ind w:firstLine="708"/>
        <w:jc w:val="both"/>
        <w:rPr>
          <w:lang w:val="de-DE"/>
        </w:rPr>
      </w:pPr>
    </w:p>
    <w:p w14:paraId="38F07C52" w14:textId="77777777" w:rsidR="00496AA3" w:rsidRPr="004676F5" w:rsidRDefault="00496AA3" w:rsidP="00496AA3">
      <w:pPr>
        <w:ind w:firstLine="708"/>
        <w:jc w:val="both"/>
        <w:rPr>
          <w:lang w:val="de-DE"/>
        </w:rPr>
      </w:pPr>
      <w:r w:rsidRPr="004676F5">
        <w:rPr>
          <w:lang w:val="de-DE"/>
        </w:rPr>
        <w:t>6. In diesem Abschnitt ist anzugeben, ob der Sollzinssatz fest oder variabel ist, sowie gegebenenfalls die Zeiträume, für die der Zinssatz festgeschrieben ist, wie häufig der Zinssatz in der Folge überprüft wird und inwieweit die Variabilität des Sollzinssatzes nach oben oder nach unten hin begrenzt ist.</w:t>
      </w:r>
    </w:p>
    <w:p w14:paraId="7CDE1A92" w14:textId="77777777" w:rsidR="00496AA3" w:rsidRPr="004676F5" w:rsidRDefault="00496AA3" w:rsidP="00496AA3">
      <w:pPr>
        <w:ind w:firstLine="708"/>
        <w:jc w:val="both"/>
        <w:rPr>
          <w:lang w:val="de-DE"/>
        </w:rPr>
      </w:pPr>
    </w:p>
    <w:p w14:paraId="6FAE4980" w14:textId="77777777" w:rsidR="00496AA3" w:rsidRPr="004676F5" w:rsidRDefault="00496AA3" w:rsidP="00496AA3">
      <w:pPr>
        <w:ind w:firstLine="708"/>
        <w:jc w:val="both"/>
        <w:rPr>
          <w:lang w:val="de-DE"/>
        </w:rPr>
      </w:pPr>
      <w:r w:rsidRPr="004676F5">
        <w:rPr>
          <w:lang w:val="de-DE"/>
        </w:rPr>
        <w:t>Die Formel für die Überprüfung des Sollzinssatzes und seiner einzelnen Bestandteile (z. B. Referenzzinssatz, Zinsmarge) ist zu erläutern. Der Kreditgeber hat anzugeben, etwa mittels einer Internetadresse, wo weitere Informationen zu den in der Formel zugrunde gelegten Indizes oder Zinssätzen zu finden sind, z. B. Euribor-Satz oder Referenzzinsatz der Zentral</w:t>
      </w:r>
      <w:r w:rsidRPr="004676F5">
        <w:rPr>
          <w:lang w:val="de-DE"/>
        </w:rPr>
        <w:softHyphen/>
        <w:t>bank.</w:t>
      </w:r>
    </w:p>
    <w:p w14:paraId="0C469416" w14:textId="77777777" w:rsidR="00496AA3" w:rsidRPr="004676F5" w:rsidRDefault="00496AA3" w:rsidP="00496AA3">
      <w:pPr>
        <w:ind w:firstLine="708"/>
        <w:jc w:val="both"/>
        <w:rPr>
          <w:lang w:val="de-DE"/>
        </w:rPr>
      </w:pPr>
    </w:p>
    <w:p w14:paraId="0AABC8B7" w14:textId="77777777" w:rsidR="00496AA3" w:rsidRPr="004676F5" w:rsidRDefault="00496AA3" w:rsidP="00496AA3">
      <w:pPr>
        <w:ind w:firstLine="708"/>
        <w:jc w:val="both"/>
        <w:rPr>
          <w:lang w:val="de-DE"/>
        </w:rPr>
      </w:pPr>
      <w:r w:rsidRPr="004676F5">
        <w:rPr>
          <w:lang w:val="de-DE"/>
        </w:rPr>
        <w:t>7. Gelten unter bestimmten Umständen unterschiedliche Sollzinssätze, so sind diese Angaben für alle anzuwendenden Sollzinssätze zu machen.</w:t>
      </w:r>
    </w:p>
    <w:p w14:paraId="7B3FDB36" w14:textId="77777777" w:rsidR="00496AA3" w:rsidRPr="004676F5" w:rsidRDefault="00496AA3" w:rsidP="00496AA3">
      <w:pPr>
        <w:ind w:firstLine="708"/>
        <w:jc w:val="both"/>
        <w:rPr>
          <w:lang w:val="de-DE"/>
        </w:rPr>
      </w:pPr>
    </w:p>
    <w:p w14:paraId="5BC99270" w14:textId="77777777" w:rsidR="00496AA3" w:rsidRPr="004676F5" w:rsidRDefault="00496AA3" w:rsidP="00496AA3">
      <w:pPr>
        <w:ind w:firstLine="708"/>
        <w:jc w:val="both"/>
        <w:rPr>
          <w:lang w:val="de-DE"/>
        </w:rPr>
      </w:pPr>
      <w:r w:rsidRPr="004676F5">
        <w:rPr>
          <w:lang w:val="de-DE"/>
        </w:rPr>
        <w:t>8. Der "zurückzuzahlende Gesamtbetrag" entspricht dem Gesamtbetrag, den der Verbraucher zu zahlen hat. Er wird dargestellt als die Summe aus Kreditbetrag und Gesamtkosten des Kredits für den Verbraucher. Ist der Sollzinssatz für die Laufzeit des Vertrags nicht festgelegt, so ist optisch hervorzuheben, dass dieser Betrag lediglich Beispielcharakter hat und insbesondere bei einer Veränderung des Sollzinssatzes variieren kann.</w:t>
      </w:r>
    </w:p>
    <w:p w14:paraId="5F03BB36" w14:textId="77777777" w:rsidR="00496AA3" w:rsidRPr="004676F5" w:rsidRDefault="00496AA3" w:rsidP="00496AA3">
      <w:pPr>
        <w:ind w:firstLine="708"/>
        <w:jc w:val="both"/>
        <w:rPr>
          <w:lang w:val="de-DE"/>
        </w:rPr>
      </w:pPr>
    </w:p>
    <w:p w14:paraId="2D31EF5E" w14:textId="77777777" w:rsidR="00496AA3" w:rsidRPr="004676F5" w:rsidRDefault="00496AA3" w:rsidP="00496AA3">
      <w:pPr>
        <w:ind w:firstLine="708"/>
        <w:jc w:val="both"/>
        <w:rPr>
          <w:lang w:val="de-DE"/>
        </w:rPr>
      </w:pPr>
      <w:r w:rsidRPr="004676F5">
        <w:rPr>
          <w:lang w:val="de-DE"/>
        </w:rPr>
        <w:t>9. Wird der Kredit durch eine Hypothek auf die Immobilie oder durch eine andere vergleichbare Sicherheit oder ein Recht an einer Immobilie gesichert, hat der Kreditgeber den Verbraucher darauf hinzuweisen. Der Kreditgeber hat gegebenenfalls den geschätzten Wert der Immobilie oder der sonstigen Sicherheiten zu nennen, die zur Erstellung dieses Merkblatts herangezogen wurden.</w:t>
      </w:r>
    </w:p>
    <w:p w14:paraId="6FB8C070" w14:textId="77777777" w:rsidR="00496AA3" w:rsidRPr="004676F5" w:rsidRDefault="00496AA3" w:rsidP="00496AA3">
      <w:pPr>
        <w:ind w:firstLine="708"/>
        <w:jc w:val="both"/>
        <w:rPr>
          <w:lang w:val="de-DE"/>
        </w:rPr>
      </w:pPr>
    </w:p>
    <w:p w14:paraId="1DBB79FB" w14:textId="77777777" w:rsidR="00496AA3" w:rsidRPr="004676F5" w:rsidRDefault="00496AA3" w:rsidP="00496AA3">
      <w:pPr>
        <w:ind w:firstLine="708"/>
        <w:jc w:val="both"/>
        <w:rPr>
          <w:lang w:val="de-DE"/>
        </w:rPr>
      </w:pPr>
      <w:r w:rsidRPr="004676F5">
        <w:rPr>
          <w:lang w:val="de-DE"/>
        </w:rPr>
        <w:t>10. Der Kreditgeber gibt gegebenenfalls Folgendes an:</w:t>
      </w:r>
    </w:p>
    <w:p w14:paraId="3C435E3D" w14:textId="77777777" w:rsidR="00496AA3" w:rsidRPr="004676F5" w:rsidRDefault="00496AA3" w:rsidP="00496AA3">
      <w:pPr>
        <w:ind w:firstLine="708"/>
        <w:jc w:val="both"/>
        <w:rPr>
          <w:lang w:val="de-DE"/>
        </w:rPr>
      </w:pPr>
    </w:p>
    <w:p w14:paraId="7F830BA5" w14:textId="77777777" w:rsidR="00496AA3" w:rsidRPr="004676F5" w:rsidRDefault="00496AA3" w:rsidP="00496AA3">
      <w:pPr>
        <w:ind w:firstLine="708"/>
        <w:jc w:val="both"/>
        <w:rPr>
          <w:lang w:val="de-DE"/>
        </w:rPr>
      </w:pPr>
      <w:r w:rsidRPr="004676F5">
        <w:rPr>
          <w:i/>
          <w:lang w:val="de-DE"/>
        </w:rPr>
        <w:t>a)</w:t>
      </w:r>
      <w:r w:rsidRPr="004676F5">
        <w:rPr>
          <w:lang w:val="de-DE"/>
        </w:rPr>
        <w:t> die "Beleihungsgrenze" (maximale Höhe des Kredits im Verhältnis zum Wert der Immobilie), die das Verhältnis zwischen Kredithöhe und Objektwert angibt. Neben der entsprechenden Angabe ist ein konkretes Zahlenbeispiel für die Ermittlung des Höchstbetrags zu nennen, der bei einem bestimmten Immobilienwert als Kredit aufgenommen werden kann; oder</w:t>
      </w:r>
    </w:p>
    <w:p w14:paraId="6162AFB3" w14:textId="77777777" w:rsidR="00496AA3" w:rsidRPr="004676F5" w:rsidRDefault="00496AA3" w:rsidP="00496AA3">
      <w:pPr>
        <w:ind w:firstLine="708"/>
        <w:jc w:val="both"/>
        <w:rPr>
          <w:lang w:val="de-DE"/>
        </w:rPr>
      </w:pPr>
    </w:p>
    <w:p w14:paraId="21FB627C" w14:textId="77777777" w:rsidR="00496AA3" w:rsidRPr="004676F5" w:rsidRDefault="00496AA3" w:rsidP="00496AA3">
      <w:pPr>
        <w:ind w:firstLine="708"/>
        <w:jc w:val="both"/>
        <w:rPr>
          <w:lang w:val="de-DE"/>
        </w:rPr>
      </w:pPr>
      <w:r w:rsidRPr="004676F5">
        <w:rPr>
          <w:i/>
          <w:lang w:val="de-DE"/>
        </w:rPr>
        <w:t>b)</w:t>
      </w:r>
      <w:r w:rsidRPr="004676F5">
        <w:rPr>
          <w:lang w:val="de-DE"/>
        </w:rPr>
        <w:t> den "Mindestwert der Immobilie, den der Kreditgeber für die Vergabe eines Kredits in der angegebenen Höhe voraussetzt".</w:t>
      </w:r>
    </w:p>
    <w:p w14:paraId="43FDFD92" w14:textId="77777777" w:rsidR="00496AA3" w:rsidRPr="004676F5" w:rsidRDefault="00496AA3" w:rsidP="00496AA3">
      <w:pPr>
        <w:ind w:firstLine="708"/>
        <w:jc w:val="both"/>
        <w:rPr>
          <w:lang w:val="de-DE"/>
        </w:rPr>
      </w:pPr>
    </w:p>
    <w:p w14:paraId="01F5B1AB" w14:textId="77777777" w:rsidR="00496AA3" w:rsidRPr="004676F5" w:rsidRDefault="00496AA3" w:rsidP="00496AA3">
      <w:pPr>
        <w:ind w:firstLine="708"/>
        <w:jc w:val="both"/>
        <w:rPr>
          <w:lang w:val="de-DE"/>
        </w:rPr>
      </w:pPr>
      <w:r w:rsidRPr="004676F5">
        <w:rPr>
          <w:lang w:val="de-DE"/>
        </w:rPr>
        <w:t>11. Bei mehrteiligen Krediten (z. B. zum Teil mit festem und zum Teil mit variablem Zinssatz) muss dies aus den Angaben zur Art des Kredits hervorgehen und die vorgeschriebenen Informationen müssen für jeden Teil des Kredits angegeben werden.</w:t>
      </w:r>
    </w:p>
    <w:p w14:paraId="49ADA89D" w14:textId="77777777" w:rsidR="00496AA3" w:rsidRPr="004676F5" w:rsidRDefault="00496AA3" w:rsidP="00496AA3">
      <w:pPr>
        <w:ind w:firstLine="708"/>
        <w:jc w:val="both"/>
        <w:rPr>
          <w:lang w:val="de-DE"/>
        </w:rPr>
      </w:pPr>
    </w:p>
    <w:p w14:paraId="262A716C" w14:textId="77777777" w:rsidR="00496AA3" w:rsidRPr="004676F5" w:rsidRDefault="00496AA3" w:rsidP="00496AA3">
      <w:pPr>
        <w:ind w:firstLine="708"/>
        <w:jc w:val="both"/>
        <w:rPr>
          <w:b/>
          <w:lang w:val="de-DE"/>
        </w:rPr>
      </w:pPr>
      <w:r w:rsidRPr="004676F5">
        <w:rPr>
          <w:b/>
          <w:lang w:val="de-DE"/>
        </w:rPr>
        <w:t>Abschnitt "4. Zinssatz und andere Kosten"</w:t>
      </w:r>
    </w:p>
    <w:p w14:paraId="454DF34F" w14:textId="77777777" w:rsidR="00496AA3" w:rsidRPr="004676F5" w:rsidRDefault="00496AA3" w:rsidP="00496AA3">
      <w:pPr>
        <w:ind w:firstLine="708"/>
        <w:jc w:val="both"/>
        <w:rPr>
          <w:lang w:val="de-DE"/>
        </w:rPr>
      </w:pPr>
    </w:p>
    <w:p w14:paraId="5A7BE495" w14:textId="77777777" w:rsidR="00496AA3" w:rsidRPr="004676F5" w:rsidRDefault="00496AA3" w:rsidP="00496AA3">
      <w:pPr>
        <w:ind w:firstLine="708"/>
        <w:jc w:val="both"/>
        <w:rPr>
          <w:lang w:val="de-DE"/>
        </w:rPr>
      </w:pPr>
      <w:r w:rsidRPr="004676F5">
        <w:rPr>
          <w:lang w:val="de-DE"/>
        </w:rPr>
        <w:t>1. Der Begriff "Zinssatz" bezeichnet den Sollzinssatz oder die Sollzinssätze.</w:t>
      </w:r>
    </w:p>
    <w:p w14:paraId="5DFCFB86" w14:textId="77777777" w:rsidR="00496AA3" w:rsidRPr="004676F5" w:rsidRDefault="00496AA3" w:rsidP="00496AA3">
      <w:pPr>
        <w:ind w:firstLine="708"/>
        <w:jc w:val="both"/>
        <w:rPr>
          <w:lang w:val="de-DE"/>
        </w:rPr>
      </w:pPr>
    </w:p>
    <w:p w14:paraId="4D4A23E3" w14:textId="77777777" w:rsidR="00B763E4" w:rsidRPr="004676F5" w:rsidRDefault="00B763E4">
      <w:pPr>
        <w:rPr>
          <w:lang w:val="de-DE"/>
        </w:rPr>
      </w:pPr>
      <w:r w:rsidRPr="004676F5">
        <w:rPr>
          <w:lang w:val="de-DE"/>
        </w:rPr>
        <w:br w:type="page"/>
      </w:r>
    </w:p>
    <w:p w14:paraId="304F9DFF" w14:textId="77777777" w:rsidR="00496AA3" w:rsidRPr="004676F5" w:rsidRDefault="00496AA3" w:rsidP="00496AA3">
      <w:pPr>
        <w:ind w:firstLine="708"/>
        <w:jc w:val="both"/>
        <w:rPr>
          <w:lang w:val="de-DE"/>
        </w:rPr>
      </w:pPr>
      <w:r w:rsidRPr="004676F5">
        <w:rPr>
          <w:lang w:val="de-DE"/>
        </w:rPr>
        <w:lastRenderedPageBreak/>
        <w:t>2. Der Sollzinssatz ist als Prozentwert anzugeben.</w:t>
      </w:r>
    </w:p>
    <w:p w14:paraId="796D1401" w14:textId="77777777" w:rsidR="00496AA3" w:rsidRPr="004676F5" w:rsidRDefault="00496AA3" w:rsidP="00496AA3">
      <w:pPr>
        <w:ind w:firstLine="708"/>
        <w:jc w:val="both"/>
        <w:rPr>
          <w:lang w:val="de-DE"/>
        </w:rPr>
      </w:pPr>
    </w:p>
    <w:p w14:paraId="68A5586E" w14:textId="56D18F37" w:rsidR="00496AA3" w:rsidRPr="004676F5" w:rsidRDefault="00496AA3" w:rsidP="00496AA3">
      <w:pPr>
        <w:ind w:firstLine="708"/>
        <w:jc w:val="both"/>
        <w:rPr>
          <w:lang w:val="de-DE"/>
        </w:rPr>
      </w:pPr>
      <w:r w:rsidRPr="004676F5">
        <w:rPr>
          <w:lang w:val="de-DE"/>
        </w:rPr>
        <w:t xml:space="preserve">Im Falle eines variablen Sollzinssatzes ist Folgendes anzugeben: </w:t>
      </w:r>
      <w:r w:rsidRPr="004676F5">
        <w:rPr>
          <w:i/>
          <w:lang w:val="de-DE"/>
        </w:rPr>
        <w:t>a) </w:t>
      </w:r>
      <w:r w:rsidRPr="004676F5">
        <w:rPr>
          <w:lang w:val="de-DE"/>
        </w:rPr>
        <w:t xml:space="preserve">die für die Berechnung des effektiven Jahreszinses zugrunde gelegten Annahmen, </w:t>
      </w:r>
      <w:r w:rsidRPr="004676F5">
        <w:rPr>
          <w:i/>
          <w:lang w:val="de-DE"/>
        </w:rPr>
        <w:t>b)</w:t>
      </w:r>
      <w:r w:rsidRPr="004676F5">
        <w:rPr>
          <w:lang w:val="de-DE"/>
        </w:rPr>
        <w:t> gegebenenfalls die geltenden Ober</w:t>
      </w:r>
      <w:r w:rsidR="005B7A5C" w:rsidRPr="004676F5">
        <w:rPr>
          <w:lang w:val="de-DE"/>
        </w:rPr>
        <w:t>- </w:t>
      </w:r>
      <w:r w:rsidRPr="004676F5">
        <w:rPr>
          <w:lang w:val="de-DE"/>
        </w:rPr>
        <w:t xml:space="preserve">und Untergrenzen sowie </w:t>
      </w:r>
      <w:r w:rsidRPr="004676F5">
        <w:rPr>
          <w:i/>
          <w:lang w:val="de-DE"/>
        </w:rPr>
        <w:t>c)</w:t>
      </w:r>
      <w:r w:rsidRPr="004676F5">
        <w:rPr>
          <w:lang w:val="de-DE"/>
        </w:rPr>
        <w:t xml:space="preserve"> ein Warnhinweis, dass sich die Variabilität negativ auf die tatsächliche Höhe des effektiven Jahreszinses auswirken könnte. Der Warnhinweis hat in größerer Schrift deutlich sichtbar im Hauptteil des ESIS-Merkblatts zu erscheinen, damit die Aufmerksamkeit der Verbraucher darauf gelenkt wird. Der Warnhinweis sollte durch ein anschauliches Beispiel zum effektiven Jahreszins ergänzt werden. Besteht eine Obergrenze für den Sollzinssatz, so basiert das Beispiel auf der Annahme, dass der Sollzinssatz bei frühestmöglicher Gelegenheit auf das höchste im Kreditvertrag vorgesehene Niveau ansteigt. Besteht keine Obergrenze, so bildet das Beispiel den effektiven Jahreszins beim höchsten Sollzinssatz der mindestens letzten zwanzig Jahre ab oder </w:t>
      </w:r>
      <w:r w:rsidR="005B7A5C" w:rsidRPr="004676F5">
        <w:rPr>
          <w:lang w:val="de-DE"/>
        </w:rPr>
        <w:t>- </w:t>
      </w:r>
      <w:r w:rsidRPr="004676F5">
        <w:rPr>
          <w:lang w:val="de-DE"/>
        </w:rPr>
        <w:t>falls die der Berechnung des Sollzinssatzes zugrunde liegenden Daten nur für einen Zeitraum von weniger als zwanzig Jahren vorliegen </w:t>
      </w:r>
      <w:r w:rsidR="005B7A5C" w:rsidRPr="004676F5">
        <w:rPr>
          <w:lang w:val="de-DE"/>
        </w:rPr>
        <w:t>- </w:t>
      </w:r>
      <w:r w:rsidRPr="004676F5">
        <w:rPr>
          <w:lang w:val="de-DE"/>
        </w:rPr>
        <w:t>des längsten Zeitraums, für den solche Daten vorliegen, und zwar ausgehend vom Höchststand des jeweiligen externen Referenzsatzes, der gegebenenfalls für die Berechnung des Sollzinssatzes herangezogen wurde, oder vom Höchststand eines Benchmark</w:t>
      </w:r>
      <w:r w:rsidRPr="004676F5">
        <w:rPr>
          <w:lang w:val="de-DE"/>
        </w:rPr>
        <w:softHyphen/>
        <w:t>zinssatzes, der von einer zuständigen Behörde oder der EBA festgesetzt wird, sofern der Kreditgeber keinen externen Referenzsatz verwendet. Diese Anforderung gilt nicht für Kreditverträge, bei denen für einen konkreten Anfangszeitraum von mehreren Jahren ein fester Sollzinssatz vereinbart wurde, der anschließend nach Verhandlungen zwischen Kreditgeber und Verbraucher für einen weiteren Zeitraum festgeschrieben werden kann. Im Falle von Kreditverträgen, bei denen für einen konkreten Anfangszeitraum von mehreren Jahren ein fester Sollzinssatz vereinbart wurde, der anschließend nach Verhandlungen zwischen Kreditgeber und Verbraucher für einen weiteren Zeitraum festgeschrieben werden kann, muss das Merkblatt einen Warnhinweis enthalten, dass der effektive Jahreszins auf der Grundlage des Sollzins</w:t>
      </w:r>
      <w:r w:rsidRPr="004676F5">
        <w:rPr>
          <w:lang w:val="de-DE"/>
        </w:rPr>
        <w:softHyphen/>
        <w:t>satzes für den Anfangszeitraum berechnet worden ist. Der Warnhinweis ist durch ein zusätzliches anschauliches Beispiel für den effektiven Jahreszins zu ergänzen, der gemäß Artikel 17 Absatz 4 der Richtlinie 2014/17/EU errechnet wird so wie vom König aufgrund von Artikel I.9 Nr. 42 des Wirtschaftsgesetzbuches umgesetzt. Bei mehrteiligen Krediten (z. B. zugleich zum Teil mit festem und zum Teil mit variablem Zinssatz) sind die entsprechenden Informationen für jeden einzelnen Teil des Kredits zu erteilen.</w:t>
      </w:r>
    </w:p>
    <w:p w14:paraId="2A3E6DB9" w14:textId="77777777" w:rsidR="00496AA3" w:rsidRPr="004676F5" w:rsidRDefault="00496AA3" w:rsidP="00496AA3">
      <w:pPr>
        <w:ind w:firstLine="708"/>
        <w:jc w:val="both"/>
        <w:rPr>
          <w:lang w:val="de-DE"/>
        </w:rPr>
      </w:pPr>
    </w:p>
    <w:p w14:paraId="38040C0D" w14:textId="7A0709E2" w:rsidR="00496AA3" w:rsidRPr="004676F5" w:rsidRDefault="00496AA3" w:rsidP="00496AA3">
      <w:pPr>
        <w:ind w:firstLine="708"/>
        <w:jc w:val="both"/>
        <w:rPr>
          <w:lang w:val="de-DE"/>
        </w:rPr>
      </w:pPr>
      <w:r w:rsidRPr="004676F5">
        <w:rPr>
          <w:lang w:val="de-DE"/>
        </w:rPr>
        <w:t xml:space="preserve">3. In der Rubrik "Sonstige Komponenten des effektiven Jahreszinses" sind alle sonstigen im effektiven Jahreszins enthaltenen Kosten aufzuführen, einschließlich einmaliger Kosten </w:t>
      </w:r>
      <w:r w:rsidR="005B7A5C" w:rsidRPr="004676F5">
        <w:rPr>
          <w:lang w:val="de-DE"/>
        </w:rPr>
        <w:t>- </w:t>
      </w:r>
      <w:r w:rsidRPr="004676F5">
        <w:rPr>
          <w:lang w:val="de-DE"/>
        </w:rPr>
        <w:t>etwa Verwaltungsgebühren </w:t>
      </w:r>
      <w:r w:rsidR="005B7A5C" w:rsidRPr="004676F5">
        <w:rPr>
          <w:lang w:val="de-DE"/>
        </w:rPr>
        <w:t>- </w:t>
      </w:r>
      <w:r w:rsidRPr="004676F5">
        <w:rPr>
          <w:lang w:val="de-DE"/>
        </w:rPr>
        <w:t>sowie regelmäßige Kosten wie jährliche Verwaltungsgebühren. Der Kreditgeber listet die einzelnen Kosten nach Kategorien auf (einmalige Kosten, in den Raten enthaltene regelmäßig anfallende Kosten, in den Raten nicht enthaltene regelmäßig anfallende Kosten) und gibt die jeweiligen Beträge, den Zahlungsempfänger und den Zeitpunkt der Fälligkeit an. Dabei müssen die für Vertragsverletzungen anfallenden Kosten nicht enthalten sein. Ist die Höhe der Kosten nicht bekannt, so gibt der Kreditgeber, falls möglich, einen Näherungswert an; ist dies nicht möglich, so erläutert er, wie sich der Betrag berechnen wird, wobei ausdrücklich anzugeben ist, dass der genannte Betrag lediglich Hinweischarakter hat. Sind einzelne Kosten im effektiven Jahreszins nicht enthalten, weil sie dem Kreditgeber nicht bekannt sind, so ist dies optisch hervorzuheben.</w:t>
      </w:r>
    </w:p>
    <w:p w14:paraId="0E4F3142" w14:textId="77777777" w:rsidR="00496AA3" w:rsidRPr="004676F5" w:rsidRDefault="00496AA3" w:rsidP="00496AA3">
      <w:pPr>
        <w:ind w:firstLine="708"/>
        <w:jc w:val="both"/>
        <w:rPr>
          <w:lang w:val="de-DE"/>
        </w:rPr>
      </w:pPr>
    </w:p>
    <w:p w14:paraId="0F215EFC" w14:textId="77777777" w:rsidR="00496AA3" w:rsidRPr="004676F5" w:rsidRDefault="00496AA3" w:rsidP="00496AA3">
      <w:pPr>
        <w:ind w:firstLine="708"/>
        <w:jc w:val="both"/>
        <w:rPr>
          <w:lang w:val="de-DE"/>
        </w:rPr>
      </w:pPr>
      <w:r w:rsidRPr="004676F5">
        <w:rPr>
          <w:lang w:val="de-DE"/>
        </w:rPr>
        <w:t xml:space="preserve">Hat der Verbraucher dem Kreditgeber seine Wünsche in Bezug auf eines oder mehrere Elemente seines Kredits mitgeteilt, beispielsweise in Bezug auf die Laufzeit des Kreditvertrags oder den Gesamtkreditbetrag, so muss der Kreditgeber diese Elemente soweit möglich aufgreifen; sofern ein Kreditvertrag unterschiedliche Verfahren der Inanspruchnahme mit jeweils unterschiedlichen Gebühren oder Sollzinssätzen vorsieht und der Kreditgeber die Annahmen nach Anhang I Teil II der Richtlinie 2014/17/EU zugrunde legt, so weist er darauf </w:t>
      </w:r>
      <w:r w:rsidRPr="004676F5">
        <w:rPr>
          <w:lang w:val="de-DE"/>
        </w:rPr>
        <w:lastRenderedPageBreak/>
        <w:t>hin, dass andere Mechanismen der Inanspruchnahme bei dieser Art des Kreditvertrags zu einem höheren effektiven Jahreszins führen können. Falls die Bedingungen für die Inanspruchnahme in die Berechnung des effektiven Jahreszinses einfließen, hebt der Kreditgeber die Gebühren optisch hervor, die mit anderen Mechanismen der Inanspruchnahme verbunden sein können, welche nicht notwendigerweise diejenigen sind, anhand deren der effektive Jahreszins berechnet worden ist.</w:t>
      </w:r>
    </w:p>
    <w:p w14:paraId="0E45B142" w14:textId="77777777" w:rsidR="00496AA3" w:rsidRPr="004676F5" w:rsidRDefault="00496AA3" w:rsidP="00496AA3">
      <w:pPr>
        <w:ind w:firstLine="708"/>
        <w:jc w:val="both"/>
        <w:rPr>
          <w:lang w:val="de-DE"/>
        </w:rPr>
      </w:pPr>
    </w:p>
    <w:p w14:paraId="22ADDDF0" w14:textId="118DA106" w:rsidR="00496AA3" w:rsidRPr="004676F5" w:rsidRDefault="00496AA3" w:rsidP="00496AA3">
      <w:pPr>
        <w:ind w:firstLine="708"/>
        <w:jc w:val="both"/>
        <w:rPr>
          <w:lang w:val="de-DE"/>
        </w:rPr>
      </w:pPr>
      <w:r w:rsidRPr="004676F5">
        <w:rPr>
          <w:lang w:val="de-DE"/>
        </w:rPr>
        <w:t xml:space="preserve">4. Fällt eine Gebühr für die Eintragung einer Hypothek oder vergleichbaren Sicherheit an, so ist diese zusammen mit dem Betrag (sofern bekannt) in diesem Abschnitt anzugeben, oder </w:t>
      </w:r>
      <w:r w:rsidR="005B7A5C" w:rsidRPr="004676F5">
        <w:rPr>
          <w:lang w:val="de-DE"/>
        </w:rPr>
        <w:t>- </w:t>
      </w:r>
      <w:r w:rsidRPr="004676F5">
        <w:rPr>
          <w:lang w:val="de-DE"/>
        </w:rPr>
        <w:t>falls dies nicht möglich ist </w:t>
      </w:r>
      <w:r w:rsidR="005B7A5C" w:rsidRPr="004676F5">
        <w:rPr>
          <w:lang w:val="de-DE"/>
        </w:rPr>
        <w:t>- </w:t>
      </w:r>
      <w:r w:rsidRPr="004676F5">
        <w:rPr>
          <w:lang w:val="de-DE"/>
        </w:rPr>
        <w:t>ist die Grundlage für die Festsetzung dieses Betrags anzugeben. Ist die Gebühr bekannt und wurde sie in den effektiven Jahreszins eingerechnet, so sind das Anfallen der Gebühr und deren Höhe unter "Einmalige Kosten" auszuweisen. Ist dem Kreditgeber die Gebühr nicht bekannt und wurde diese daher nicht in den effektiven Jahreszins eingerechnet, so muss das Anfallen einer Gebühr klar und deutlich in der Liste der dem Kreditgeber nicht bekannten Kosten aufgeführt werden. In beiden Fällen ist die Standard</w:t>
      </w:r>
      <w:r w:rsidRPr="004676F5">
        <w:rPr>
          <w:lang w:val="de-DE"/>
        </w:rPr>
        <w:softHyphen/>
        <w:t>formulierung gemäß Teil A unter der entsprechenden Rubrik zu verwenden.</w:t>
      </w:r>
    </w:p>
    <w:p w14:paraId="0327F311" w14:textId="77777777" w:rsidR="00496AA3" w:rsidRPr="004676F5" w:rsidRDefault="00496AA3" w:rsidP="00496AA3">
      <w:pPr>
        <w:ind w:firstLine="708"/>
        <w:jc w:val="both"/>
        <w:rPr>
          <w:lang w:val="de-DE"/>
        </w:rPr>
      </w:pPr>
    </w:p>
    <w:p w14:paraId="2EA49377" w14:textId="77777777" w:rsidR="00496AA3" w:rsidRPr="004676F5" w:rsidRDefault="00496AA3" w:rsidP="00496AA3">
      <w:pPr>
        <w:ind w:firstLine="708"/>
        <w:jc w:val="both"/>
        <w:rPr>
          <w:b/>
          <w:lang w:val="de-DE"/>
        </w:rPr>
      </w:pPr>
      <w:r w:rsidRPr="004676F5">
        <w:rPr>
          <w:b/>
          <w:lang w:val="de-DE"/>
        </w:rPr>
        <w:t>Abschnitt "5. Häufigkeit und Anzahl der Ratenzahlungen"</w:t>
      </w:r>
    </w:p>
    <w:p w14:paraId="7ABA1039" w14:textId="77777777" w:rsidR="00496AA3" w:rsidRPr="004676F5" w:rsidRDefault="00496AA3" w:rsidP="00496AA3">
      <w:pPr>
        <w:ind w:firstLine="708"/>
        <w:jc w:val="both"/>
        <w:rPr>
          <w:lang w:val="de-DE"/>
        </w:rPr>
      </w:pPr>
    </w:p>
    <w:p w14:paraId="4F0D634D" w14:textId="77777777" w:rsidR="00496AA3" w:rsidRPr="004676F5" w:rsidRDefault="00496AA3" w:rsidP="00496AA3">
      <w:pPr>
        <w:ind w:firstLine="708"/>
        <w:jc w:val="both"/>
        <w:rPr>
          <w:lang w:val="de-DE"/>
        </w:rPr>
      </w:pPr>
      <w:r w:rsidRPr="004676F5">
        <w:rPr>
          <w:lang w:val="de-DE"/>
        </w:rPr>
        <w:t>1. Sind regelmäßige Zahlungen zu leisten, ist das Zahlungsintervall (z. B. monatlich) anzugeben. Sind Zahlungen in unregelmäßigen Abständen vorgesehen, ist dies dem Verbrau</w:t>
      </w:r>
      <w:r w:rsidRPr="004676F5">
        <w:rPr>
          <w:lang w:val="de-DE"/>
        </w:rPr>
        <w:softHyphen/>
        <w:t>cher klar zu erläutern.</w:t>
      </w:r>
    </w:p>
    <w:p w14:paraId="4FA75FE8" w14:textId="77777777" w:rsidR="00496AA3" w:rsidRPr="004676F5" w:rsidRDefault="00496AA3" w:rsidP="00496AA3">
      <w:pPr>
        <w:ind w:firstLine="708"/>
        <w:jc w:val="both"/>
        <w:rPr>
          <w:lang w:val="de-DE"/>
        </w:rPr>
      </w:pPr>
    </w:p>
    <w:p w14:paraId="63172670" w14:textId="77777777" w:rsidR="00496AA3" w:rsidRPr="004676F5" w:rsidRDefault="00496AA3" w:rsidP="00496AA3">
      <w:pPr>
        <w:ind w:firstLine="708"/>
        <w:jc w:val="both"/>
        <w:rPr>
          <w:lang w:val="de-DE"/>
        </w:rPr>
      </w:pPr>
      <w:r w:rsidRPr="004676F5">
        <w:rPr>
          <w:lang w:val="de-DE"/>
        </w:rPr>
        <w:t>2. Es sind alle über die gesamte Kreditlaufzeit zu leistenden Zahlungen aufzuführen.</w:t>
      </w:r>
    </w:p>
    <w:p w14:paraId="0A2A8AC1" w14:textId="77777777" w:rsidR="00496AA3" w:rsidRPr="004676F5" w:rsidRDefault="00496AA3" w:rsidP="00496AA3">
      <w:pPr>
        <w:rPr>
          <w:lang w:val="de-DE"/>
        </w:rPr>
      </w:pPr>
    </w:p>
    <w:p w14:paraId="1D19CF74" w14:textId="77777777" w:rsidR="00496AA3" w:rsidRPr="004676F5" w:rsidRDefault="00496AA3" w:rsidP="00496AA3">
      <w:pPr>
        <w:ind w:firstLine="708"/>
        <w:jc w:val="both"/>
        <w:rPr>
          <w:b/>
          <w:lang w:val="de-DE"/>
        </w:rPr>
      </w:pPr>
      <w:r w:rsidRPr="004676F5">
        <w:rPr>
          <w:b/>
          <w:lang w:val="de-DE"/>
        </w:rPr>
        <w:t>Abschnitt "6. Höhe der einzelnen Raten"</w:t>
      </w:r>
    </w:p>
    <w:p w14:paraId="0238579B" w14:textId="77777777" w:rsidR="00496AA3" w:rsidRPr="004676F5" w:rsidRDefault="00496AA3" w:rsidP="00496AA3">
      <w:pPr>
        <w:ind w:firstLine="708"/>
        <w:jc w:val="both"/>
        <w:rPr>
          <w:lang w:val="de-DE"/>
        </w:rPr>
      </w:pPr>
    </w:p>
    <w:p w14:paraId="46858D34" w14:textId="77777777" w:rsidR="00496AA3" w:rsidRPr="004676F5" w:rsidRDefault="00496AA3" w:rsidP="00496AA3">
      <w:pPr>
        <w:ind w:firstLine="708"/>
        <w:jc w:val="both"/>
        <w:rPr>
          <w:lang w:val="de-DE"/>
        </w:rPr>
      </w:pPr>
      <w:r w:rsidRPr="004676F5">
        <w:rPr>
          <w:lang w:val="de-DE"/>
        </w:rPr>
        <w:t>1. Es ist klar anzugeben, in welcher Währung der Kredit bereitgestellt wird und die Raten gezahlt werden.</w:t>
      </w:r>
    </w:p>
    <w:p w14:paraId="0C86F111" w14:textId="77777777" w:rsidR="00496AA3" w:rsidRPr="004676F5" w:rsidRDefault="00496AA3" w:rsidP="00496AA3">
      <w:pPr>
        <w:ind w:firstLine="708"/>
        <w:jc w:val="both"/>
        <w:rPr>
          <w:lang w:val="de-DE"/>
        </w:rPr>
      </w:pPr>
    </w:p>
    <w:p w14:paraId="2FDAD63E" w14:textId="77777777" w:rsidR="00496AA3" w:rsidRPr="004676F5" w:rsidRDefault="00496AA3" w:rsidP="00496AA3">
      <w:pPr>
        <w:ind w:firstLine="708"/>
        <w:jc w:val="both"/>
        <w:rPr>
          <w:lang w:val="de-DE"/>
        </w:rPr>
      </w:pPr>
      <w:r w:rsidRPr="004676F5">
        <w:rPr>
          <w:lang w:val="de-DE"/>
        </w:rPr>
        <w:t>2. Kann sich die Höhe der Raten während der Kreditlaufzeit ändern, hat der Kreditgeber anzugeben, für welchen Zeitraum die anfängliche Ratenhöhe unverändert bleibt und wann und wie häufig sie sich in der Folge ändern wird.</w:t>
      </w:r>
    </w:p>
    <w:p w14:paraId="7959E3C8" w14:textId="77777777" w:rsidR="00496AA3" w:rsidRPr="004676F5" w:rsidRDefault="00496AA3" w:rsidP="00496AA3">
      <w:pPr>
        <w:ind w:firstLine="708"/>
        <w:jc w:val="both"/>
        <w:rPr>
          <w:lang w:val="de-DE"/>
        </w:rPr>
      </w:pPr>
    </w:p>
    <w:p w14:paraId="08847901" w14:textId="77777777" w:rsidR="00496AA3" w:rsidRPr="004676F5" w:rsidRDefault="00496AA3" w:rsidP="00496AA3">
      <w:pPr>
        <w:ind w:firstLine="708"/>
        <w:jc w:val="both"/>
        <w:rPr>
          <w:lang w:val="de-DE"/>
        </w:rPr>
      </w:pPr>
      <w:r w:rsidRPr="004676F5">
        <w:rPr>
          <w:lang w:val="de-DE"/>
        </w:rPr>
        <w:t>3. Handelt es sich bei dem gewährten Kredit oder einem Teil davon um einen endfälligen Kredit, so ist ein diesbezüglicher eindeutiger Hinweis unter Verwendung der Formulierung in Teil A deutlich sichtbar am Ende dieses Abschnitts einzufügen.</w:t>
      </w:r>
    </w:p>
    <w:p w14:paraId="5D22CCE4" w14:textId="77777777" w:rsidR="00496AA3" w:rsidRPr="004676F5" w:rsidRDefault="00496AA3" w:rsidP="00496AA3">
      <w:pPr>
        <w:ind w:firstLine="708"/>
        <w:jc w:val="both"/>
        <w:rPr>
          <w:lang w:val="de-DE"/>
        </w:rPr>
      </w:pPr>
    </w:p>
    <w:p w14:paraId="1B1B2324" w14:textId="77777777" w:rsidR="00496AA3" w:rsidRPr="004676F5" w:rsidRDefault="00496AA3" w:rsidP="00496AA3">
      <w:pPr>
        <w:ind w:firstLine="708"/>
        <w:jc w:val="both"/>
        <w:rPr>
          <w:lang w:val="de-DE"/>
        </w:rPr>
      </w:pPr>
      <w:r w:rsidRPr="004676F5">
        <w:rPr>
          <w:lang w:val="de-DE"/>
        </w:rPr>
        <w:t>Muss der Verbraucher ein damit verbundenes Sparprodukt aufnehmen, um einen durch eine Hypothek oder eine vergleichbare Sicherheit gesicherten endfälligen Kredit zu erhalten, sind Betrag und Häufigkeit von Zahlungen für dieses Produkt anzugeben.</w:t>
      </w:r>
    </w:p>
    <w:p w14:paraId="7B1FED86" w14:textId="77777777" w:rsidR="00496AA3" w:rsidRPr="004676F5" w:rsidRDefault="00496AA3" w:rsidP="00496AA3">
      <w:pPr>
        <w:ind w:firstLine="708"/>
        <w:jc w:val="both"/>
        <w:rPr>
          <w:lang w:val="de-DE"/>
        </w:rPr>
      </w:pPr>
    </w:p>
    <w:p w14:paraId="12E81888" w14:textId="3969FD2D" w:rsidR="00496AA3" w:rsidRPr="004676F5" w:rsidRDefault="00496AA3" w:rsidP="00496AA3">
      <w:pPr>
        <w:ind w:firstLine="708"/>
        <w:jc w:val="both"/>
        <w:rPr>
          <w:lang w:val="de-DE"/>
        </w:rPr>
      </w:pPr>
      <w:r w:rsidRPr="004676F5">
        <w:rPr>
          <w:lang w:val="de-DE"/>
        </w:rPr>
        <w:t xml:space="preserve">4. Im Falle eines variablen Sollzinssatzes muss das Merkblatt einen diesbezüglichen Hinweis enthalten, wobei die Formulierung unter Teil A zu verwenden und ein anschauliches Beispiel für die maximale Zahlungsrate anzuführen ist. Besteht eine Obergrenze, so muss in dem Beispiel die Höhe der Raten aufgezeigt werden, die fällig sind, falls der Sollzinssatz die Obergrenze erreicht. Besteht keine Obergrenze, so bildet der ungünstigste denkbare Verlauf die Höhe der Ratenzahlungen beim höchsten Sollzinssatz der letzten zwanzig Jahre ab oder </w:t>
      </w:r>
      <w:r w:rsidR="005B7A5C" w:rsidRPr="004676F5">
        <w:rPr>
          <w:lang w:val="de-DE"/>
        </w:rPr>
        <w:t>- </w:t>
      </w:r>
      <w:r w:rsidRPr="004676F5">
        <w:rPr>
          <w:lang w:val="de-DE"/>
        </w:rPr>
        <w:t>falls die der Berechnung des Sollzinssatzes zugrunde liegenden Daten nur für einen Zeitraum von weniger als zwanzig Jahren vorliegen </w:t>
      </w:r>
      <w:r w:rsidR="005B7A5C" w:rsidRPr="004676F5">
        <w:rPr>
          <w:lang w:val="de-DE"/>
        </w:rPr>
        <w:t>- </w:t>
      </w:r>
      <w:r w:rsidRPr="004676F5">
        <w:rPr>
          <w:lang w:val="de-DE"/>
        </w:rPr>
        <w:t xml:space="preserve">des längsten Zeitraums, für den solche Daten vorliegen, und zwar ausgehend vom Höchststand des jeweiligen externen Referenzsatzes, der gegebenenfalls für die Berechnung des Sollzinssatzes herangezogen wurde oder vom </w:t>
      </w:r>
      <w:r w:rsidRPr="004676F5">
        <w:rPr>
          <w:lang w:val="de-DE"/>
        </w:rPr>
        <w:lastRenderedPageBreak/>
        <w:t>Höchststand eines Benchmarkzinssatzes, der von einer zuständigen Behörde oder der EBA festgesetzt wird, sofern der Kreditgeber keinen externen Referenzsatz verwendet. Die Anforderung, ein anschauliches Beispiel anzuführen, gilt nicht für Kreditverträge, bei denen ein fester Sollzinssatz für einen konkreten Anfangszeitraum von mehreren Jahren vereinbart wurde, der anschließend nach Verhandlungen zwischen Kreditgeber und Verbraucher für einen weiteren Zeitraum festgelegt werden kann. Bei mehrteiligen Krediten (d. h. zugleich zum Teil mit festem und zum Teil mit variablem Zinssatz) sind die entsprechenden Informationen für jeden einzelnen Teil des Kredits und für den Gesamtkredit anzugeben.</w:t>
      </w:r>
    </w:p>
    <w:p w14:paraId="6D01CDC7" w14:textId="77777777" w:rsidR="00496AA3" w:rsidRPr="004676F5" w:rsidRDefault="00496AA3" w:rsidP="00496AA3">
      <w:pPr>
        <w:ind w:firstLine="708"/>
        <w:jc w:val="both"/>
        <w:rPr>
          <w:lang w:val="de-DE"/>
        </w:rPr>
      </w:pPr>
    </w:p>
    <w:p w14:paraId="79404A38" w14:textId="6DC01174" w:rsidR="00496AA3" w:rsidRPr="004676F5" w:rsidRDefault="00496AA3" w:rsidP="00496AA3">
      <w:pPr>
        <w:ind w:firstLine="708"/>
        <w:jc w:val="both"/>
        <w:rPr>
          <w:lang w:val="de-DE"/>
        </w:rPr>
      </w:pPr>
      <w:r w:rsidRPr="004676F5">
        <w:rPr>
          <w:lang w:val="de-DE"/>
        </w:rPr>
        <w:t xml:space="preserve">5. (Falls zutreffend) Wird der Kredit in einer anderen Währung als der Landeswährung des Verbrauchers bereitgestellt oder ist er auf eine andere Währung als die Landeswährung des Verbrauchers indexiert, verdeutlicht der Kreditgeber </w:t>
      </w:r>
      <w:r w:rsidR="005B7A5C" w:rsidRPr="004676F5">
        <w:rPr>
          <w:lang w:val="de-DE"/>
        </w:rPr>
        <w:t>- </w:t>
      </w:r>
      <w:r w:rsidRPr="004676F5">
        <w:rPr>
          <w:lang w:val="de-DE"/>
        </w:rPr>
        <w:t>unter Verwendung der Formulierung unter Teil A </w:t>
      </w:r>
      <w:r w:rsidR="005B7A5C" w:rsidRPr="004676F5">
        <w:rPr>
          <w:lang w:val="de-DE"/>
        </w:rPr>
        <w:t>- </w:t>
      </w:r>
      <w:r w:rsidRPr="004676F5">
        <w:rPr>
          <w:lang w:val="de-DE"/>
        </w:rPr>
        <w:t>anhand eines Zahlenbeispiels, wie sich Änderungen des maßgeblichen Wechselkurses auf die Höhe der Raten auswirken können. Dieses Beispiel basiert auf einem Kursverlust der Landeswährung des Verbrauchers von 20 % und wird von einem Hinweis an hervorgehobener Stelle begleitet, dass die Raten um mehr als den in diesem Beispiel angenommen Betrag steigen können. Besteht eine Obergrenze, die den Anstieg auf weniger als 20 % begrenzt, so ist stattdessen der Höchstwert der Zahlungen in der Landeswährung des Verbrauchers anzugeben und der Hinweis auf etwaige weitere Anstiege entfällt.</w:t>
      </w:r>
    </w:p>
    <w:p w14:paraId="326C3B28" w14:textId="77777777" w:rsidR="00496AA3" w:rsidRPr="004676F5" w:rsidRDefault="00496AA3" w:rsidP="00496AA3">
      <w:pPr>
        <w:ind w:firstLine="708"/>
        <w:jc w:val="both"/>
        <w:rPr>
          <w:lang w:val="de-DE"/>
        </w:rPr>
      </w:pPr>
    </w:p>
    <w:p w14:paraId="7D264E43" w14:textId="77777777" w:rsidR="00496AA3" w:rsidRPr="004676F5" w:rsidRDefault="00496AA3" w:rsidP="00496AA3">
      <w:pPr>
        <w:ind w:firstLine="708"/>
        <w:jc w:val="both"/>
        <w:rPr>
          <w:lang w:val="de-DE"/>
        </w:rPr>
      </w:pPr>
      <w:r w:rsidRPr="004676F5">
        <w:rPr>
          <w:lang w:val="de-DE"/>
        </w:rPr>
        <w:t>6. Handelt es sich bei dem gesamten Kreditvertrag oder einem Teil davon um einen Kreditvertrag mit variablem Zinssatz und kommt ferner Nummer 3 zur Anwendung, so ist das Beispiel nach Nummer 5 auf der Grundlage der Ratenhöhe im Sinne von Nummer 1 anzugeben.</w:t>
      </w:r>
    </w:p>
    <w:p w14:paraId="41954D49" w14:textId="77777777" w:rsidR="00496AA3" w:rsidRPr="004676F5" w:rsidRDefault="00496AA3" w:rsidP="00496AA3">
      <w:pPr>
        <w:ind w:firstLine="708"/>
        <w:jc w:val="both"/>
        <w:rPr>
          <w:lang w:val="de-DE"/>
        </w:rPr>
      </w:pPr>
    </w:p>
    <w:p w14:paraId="17C2C78F" w14:textId="77777777" w:rsidR="00496AA3" w:rsidRPr="004676F5" w:rsidRDefault="00496AA3" w:rsidP="00496AA3">
      <w:pPr>
        <w:ind w:firstLine="708"/>
        <w:jc w:val="both"/>
        <w:rPr>
          <w:lang w:val="de-DE"/>
        </w:rPr>
      </w:pPr>
      <w:r w:rsidRPr="004676F5">
        <w:rPr>
          <w:lang w:val="de-DE"/>
        </w:rPr>
        <w:t>7. Werden die Raten in einer anderen Währung als der Kreditwährung gezahlt oder hängt die Höhe der einzelnen in der Landeswährung des Verbrauchers ausgedrückten Raten von dem entsprechenden Betrag in einer anderen Währung ab, so sind in diesem Abschnitt der Termin, zu dem der anwendbare Wechselkurs berechnet wird, sowie entweder der Wechselkurs oder die Grundlage für dessen Berechnung und die Häufigkeit seiner Anpassung anzugeben. Gegebenenfalls ist dabei der Name der den Wechselkurs veröffentlichenden Einrichtung zu nennen.</w:t>
      </w:r>
    </w:p>
    <w:p w14:paraId="266E6ADA" w14:textId="77777777" w:rsidR="00496AA3" w:rsidRPr="004676F5" w:rsidRDefault="00496AA3" w:rsidP="00496AA3">
      <w:pPr>
        <w:ind w:firstLine="708"/>
        <w:jc w:val="both"/>
        <w:rPr>
          <w:lang w:val="de-DE"/>
        </w:rPr>
      </w:pPr>
    </w:p>
    <w:p w14:paraId="750605FC" w14:textId="77777777" w:rsidR="00496AA3" w:rsidRPr="004676F5" w:rsidRDefault="00496AA3" w:rsidP="00496AA3">
      <w:pPr>
        <w:ind w:firstLine="708"/>
        <w:jc w:val="both"/>
        <w:rPr>
          <w:lang w:val="de-DE"/>
        </w:rPr>
      </w:pPr>
      <w:r w:rsidRPr="004676F5">
        <w:rPr>
          <w:lang w:val="de-DE"/>
        </w:rPr>
        <w:t>8. Handelt es sich um einen Kredit mit abgegrenztem Zins, bei dem der fällige Zins durch die Raten nicht vollständig zurückbezahlt und zum ausstehenden Gesamtkreditbetrag hinzuaddiert wird, so ist zu erläutern, wie und wann der abgegrenzte Zins als Barbetrag zu dem Kredit hinzuaddiert wird und wie sich dies auf die Restschuld des Verbrauchers auswirkt.</w:t>
      </w:r>
    </w:p>
    <w:p w14:paraId="032077C2" w14:textId="77777777" w:rsidR="00496AA3" w:rsidRPr="004676F5" w:rsidRDefault="00496AA3" w:rsidP="00496AA3">
      <w:pPr>
        <w:ind w:firstLine="708"/>
        <w:jc w:val="both"/>
        <w:rPr>
          <w:lang w:val="de-DE"/>
        </w:rPr>
      </w:pPr>
    </w:p>
    <w:p w14:paraId="0F9EED79" w14:textId="77777777" w:rsidR="00496AA3" w:rsidRPr="004676F5" w:rsidRDefault="00496AA3" w:rsidP="00496AA3">
      <w:pPr>
        <w:ind w:firstLine="708"/>
        <w:jc w:val="both"/>
        <w:rPr>
          <w:b/>
          <w:lang w:val="de-DE"/>
        </w:rPr>
      </w:pPr>
      <w:r w:rsidRPr="004676F5">
        <w:rPr>
          <w:b/>
          <w:lang w:val="de-DE"/>
        </w:rPr>
        <w:t>Abschnitt "7. Beispiel eines Tilgungsplans"</w:t>
      </w:r>
    </w:p>
    <w:p w14:paraId="5F0903F0" w14:textId="77777777" w:rsidR="00496AA3" w:rsidRPr="004676F5" w:rsidRDefault="00496AA3" w:rsidP="00496AA3">
      <w:pPr>
        <w:ind w:firstLine="708"/>
        <w:jc w:val="both"/>
        <w:rPr>
          <w:lang w:val="de-DE"/>
        </w:rPr>
      </w:pPr>
    </w:p>
    <w:p w14:paraId="77E8FBE1" w14:textId="77777777" w:rsidR="00496AA3" w:rsidRPr="004676F5" w:rsidRDefault="00496AA3" w:rsidP="00496AA3">
      <w:pPr>
        <w:ind w:firstLine="708"/>
        <w:jc w:val="both"/>
        <w:rPr>
          <w:lang w:val="de-DE"/>
        </w:rPr>
      </w:pPr>
      <w:r w:rsidRPr="004676F5">
        <w:rPr>
          <w:lang w:val="de-DE"/>
        </w:rPr>
        <w:t>1. Dieser Abschnitt ist aufzunehmen, falls es sich um einen Kredit mit abgegrenztem Zins handelt, bei dem der fällige Zins durch die Raten nicht vollständig zurückbezahlt und zum ausstehenden Gesamtkreditbetrag hinzuaddiert wird, oder falls der Sollzinssatz für die Laufzeit des Kreditvertrags festgeschrieben ist. Die Mitgliedstaaten können vorsehen, dass in anderen Fällen die Darstellung eines Beispiels für einen Tilgungsplan vorgeschrieben ist.</w:t>
      </w:r>
    </w:p>
    <w:p w14:paraId="4013E3F2" w14:textId="77777777" w:rsidR="00496AA3" w:rsidRPr="004676F5" w:rsidRDefault="00496AA3" w:rsidP="00496AA3">
      <w:pPr>
        <w:ind w:firstLine="708"/>
        <w:jc w:val="both"/>
        <w:rPr>
          <w:lang w:val="de-DE"/>
        </w:rPr>
      </w:pPr>
    </w:p>
    <w:p w14:paraId="561C8278" w14:textId="77777777" w:rsidR="00496AA3" w:rsidRPr="004676F5" w:rsidRDefault="00496AA3" w:rsidP="00496AA3">
      <w:pPr>
        <w:ind w:firstLine="708"/>
        <w:jc w:val="both"/>
        <w:rPr>
          <w:lang w:val="de-DE"/>
        </w:rPr>
      </w:pPr>
      <w:r w:rsidRPr="004676F5">
        <w:rPr>
          <w:lang w:val="de-DE"/>
        </w:rPr>
        <w:t>Hat der Verbraucher ein Recht auf einen überarbeiteten Tilgungsplan, so ist dies zusammen mit den Bedingungen anzugeben, unter denen der Verbraucher dieses Recht hat.</w:t>
      </w:r>
    </w:p>
    <w:p w14:paraId="1EC62158" w14:textId="77777777" w:rsidR="00496AA3" w:rsidRPr="004676F5" w:rsidRDefault="00496AA3" w:rsidP="00496AA3">
      <w:pPr>
        <w:ind w:firstLine="708"/>
        <w:jc w:val="both"/>
        <w:rPr>
          <w:lang w:val="de-DE"/>
        </w:rPr>
      </w:pPr>
    </w:p>
    <w:p w14:paraId="31F9E817" w14:textId="77777777" w:rsidR="00496AA3" w:rsidRPr="004676F5" w:rsidRDefault="00496AA3" w:rsidP="00496AA3">
      <w:pPr>
        <w:ind w:firstLine="708"/>
        <w:jc w:val="both"/>
        <w:rPr>
          <w:lang w:val="de-DE"/>
        </w:rPr>
      </w:pPr>
      <w:r w:rsidRPr="004676F5">
        <w:rPr>
          <w:lang w:val="de-DE"/>
        </w:rPr>
        <w:t>2. Kann der Sollzinssatz während der Kreditlaufzeit variieren, so können die Mitgliedstaaten vorschreiben, dass der Kreditgeber nach Angabe des Sollzinssatzes den Zeitraum nennen muss, während dessen der Anfangszinssatz unverändert bleibt.</w:t>
      </w:r>
    </w:p>
    <w:p w14:paraId="5B4979E5" w14:textId="77777777" w:rsidR="00496AA3" w:rsidRPr="004676F5" w:rsidRDefault="00496AA3" w:rsidP="00496AA3">
      <w:pPr>
        <w:ind w:firstLine="708"/>
        <w:jc w:val="both"/>
        <w:rPr>
          <w:lang w:val="de-DE"/>
        </w:rPr>
      </w:pPr>
    </w:p>
    <w:p w14:paraId="2CD6213B" w14:textId="77777777" w:rsidR="00496AA3" w:rsidRPr="004676F5" w:rsidRDefault="00496AA3" w:rsidP="00496AA3">
      <w:pPr>
        <w:ind w:firstLine="708"/>
        <w:jc w:val="both"/>
        <w:rPr>
          <w:lang w:val="de-DE"/>
        </w:rPr>
      </w:pPr>
      <w:r w:rsidRPr="004676F5">
        <w:rPr>
          <w:lang w:val="de-DE"/>
        </w:rPr>
        <w:lastRenderedPageBreak/>
        <w:t>3. Die Tabelle in diesem Abschnitt muss folgende Spalten enthalten: "Rückzahlungs</w:t>
      </w:r>
      <w:r w:rsidRPr="004676F5">
        <w:rPr>
          <w:lang w:val="de-DE"/>
        </w:rPr>
        <w:softHyphen/>
        <w:t>plan" (z. B. Monat 1, Monat 2, Monat 3), "Ratenhöhe", "pro Rate zu zahlende Zinsen", "sonstige in der Rate enthaltene Kosten" (falls zutreffend), "pro Rate zurückgezahltes Kapital" und "nach der jeweiligen Ratenzahlung noch zurückzuzahlendes Kapital".</w:t>
      </w:r>
    </w:p>
    <w:p w14:paraId="2DC5A283" w14:textId="77777777" w:rsidR="00496AA3" w:rsidRPr="004676F5" w:rsidRDefault="00496AA3" w:rsidP="00496AA3">
      <w:pPr>
        <w:ind w:firstLine="708"/>
        <w:jc w:val="both"/>
        <w:rPr>
          <w:lang w:val="de-DE"/>
        </w:rPr>
      </w:pPr>
    </w:p>
    <w:p w14:paraId="11F83969" w14:textId="77777777" w:rsidR="00496AA3" w:rsidRPr="004676F5" w:rsidRDefault="00496AA3" w:rsidP="00496AA3">
      <w:pPr>
        <w:ind w:firstLine="708"/>
        <w:jc w:val="both"/>
        <w:rPr>
          <w:lang w:val="de-DE"/>
        </w:rPr>
      </w:pPr>
      <w:r w:rsidRPr="004676F5">
        <w:rPr>
          <w:lang w:val="de-DE"/>
        </w:rPr>
        <w:t>4. Für das erste Jahr der Rückzahlung sind für jede einzelne Ratenzahlung die betreffenden Angaben und für jede einzelne Spalte die Zwischensumme am Ende des ersten Jahres anzugeben. Für die Folgejahre können die Angaben auf Jahresbasis gemacht werden. Am Ende der Tabelle ist eine Reihe mit den Gesamtbeträgen für alle Spalten anzufügen. Die vom Verbraucher gezahlten Gesamtkosten des Kredits (d. h. die Gesamtsumme der Spalte "Höhe der Ratenzahlung") sind optisch deutlich hervorzuheben und als solche darzustellen.</w:t>
      </w:r>
    </w:p>
    <w:p w14:paraId="7ABF1EFF" w14:textId="77777777" w:rsidR="00496AA3" w:rsidRPr="004676F5" w:rsidRDefault="00496AA3" w:rsidP="00496AA3">
      <w:pPr>
        <w:ind w:firstLine="708"/>
        <w:jc w:val="both"/>
        <w:rPr>
          <w:lang w:val="de-DE"/>
        </w:rPr>
      </w:pPr>
    </w:p>
    <w:p w14:paraId="11152323" w14:textId="77777777" w:rsidR="00496AA3" w:rsidRPr="004676F5" w:rsidRDefault="00496AA3" w:rsidP="00496AA3">
      <w:pPr>
        <w:ind w:firstLine="708"/>
        <w:jc w:val="both"/>
        <w:rPr>
          <w:lang w:val="de-DE"/>
        </w:rPr>
      </w:pPr>
      <w:r w:rsidRPr="004676F5">
        <w:rPr>
          <w:lang w:val="de-DE"/>
        </w:rPr>
        <w:t>5. Ist der Sollzinssatz Gegenstand einer Überprüfung und ist die Ratenhöhe nach einer solchen Überprüfung nicht bekannt, kann der Kreditgeber im Tilgungsplan für die gesamte Kreditlaufzeit dieselbe Ratenhöhe angeben. In diesem Fall macht der Kreditgeber den Verbraucher darauf aufmerksam, indem er den Unterschied zwischen bereits feststehenden Beträgen und hypothetischen Beträgen optisch verdeutlicht (z. B. durch Schriftgröße, Rahmen oder Schattierung). Außerdem ist in leicht verständlicher Form zu erläutern, für welche Zeiträume und aus welchen Gründen sich die in der Tabelle angegebenen Beträge ändern können.</w:t>
      </w:r>
    </w:p>
    <w:p w14:paraId="72F1AAFC" w14:textId="77777777" w:rsidR="00496AA3" w:rsidRPr="004676F5" w:rsidRDefault="00496AA3" w:rsidP="00496AA3">
      <w:pPr>
        <w:ind w:firstLine="708"/>
        <w:jc w:val="both"/>
        <w:rPr>
          <w:lang w:val="de-DE"/>
        </w:rPr>
      </w:pPr>
    </w:p>
    <w:p w14:paraId="3C398B5F" w14:textId="77777777" w:rsidR="00496AA3" w:rsidRPr="004676F5" w:rsidRDefault="00496AA3" w:rsidP="00496AA3">
      <w:pPr>
        <w:ind w:firstLine="708"/>
        <w:jc w:val="both"/>
        <w:rPr>
          <w:b/>
          <w:lang w:val="de-DE"/>
        </w:rPr>
      </w:pPr>
      <w:r w:rsidRPr="004676F5">
        <w:rPr>
          <w:b/>
          <w:lang w:val="de-DE"/>
        </w:rPr>
        <w:t>Abschnitt "8. Zusätzliche Auflagen"</w:t>
      </w:r>
    </w:p>
    <w:p w14:paraId="06A47EE0" w14:textId="77777777" w:rsidR="00496AA3" w:rsidRPr="004676F5" w:rsidRDefault="00496AA3" w:rsidP="00496AA3">
      <w:pPr>
        <w:ind w:firstLine="708"/>
        <w:jc w:val="both"/>
        <w:rPr>
          <w:lang w:val="de-DE"/>
        </w:rPr>
      </w:pPr>
    </w:p>
    <w:p w14:paraId="6FA4162A" w14:textId="77777777" w:rsidR="00496AA3" w:rsidRPr="004676F5" w:rsidRDefault="00496AA3" w:rsidP="00496AA3">
      <w:pPr>
        <w:ind w:firstLine="708"/>
        <w:jc w:val="both"/>
        <w:rPr>
          <w:lang w:val="de-DE"/>
        </w:rPr>
      </w:pPr>
      <w:r w:rsidRPr="004676F5">
        <w:rPr>
          <w:lang w:val="de-DE"/>
        </w:rPr>
        <w:t>1. Der Kreditgeber nennt in diesem Abschnitt die mit der Kreditvergabe verbundenen Auflagen, so die Auflage, die Immobilie zu versichern, eine Lebensversicherung abzuschließen, das Gehalt auf ein bei dem Kreditgeber geführtes Konto überweisen zu lassen oder ein anderes Produkt oder eine andere Dienstleistung zu erwerben. Für jede dieser Auflagen gibt der Kreditgeber an, wem gegenüber die Verpflichtung besteht und bis wann ihr nachzukommen ist.</w:t>
      </w:r>
    </w:p>
    <w:p w14:paraId="04F32B58" w14:textId="77777777" w:rsidR="00496AA3" w:rsidRPr="004676F5" w:rsidRDefault="00496AA3" w:rsidP="00496AA3">
      <w:pPr>
        <w:ind w:firstLine="708"/>
        <w:jc w:val="both"/>
        <w:rPr>
          <w:lang w:val="de-DE"/>
        </w:rPr>
      </w:pPr>
    </w:p>
    <w:p w14:paraId="7FD27999" w14:textId="77777777" w:rsidR="00496AA3" w:rsidRPr="004676F5" w:rsidRDefault="00496AA3" w:rsidP="00496AA3">
      <w:pPr>
        <w:ind w:firstLine="708"/>
        <w:jc w:val="both"/>
        <w:rPr>
          <w:lang w:val="de-DE"/>
        </w:rPr>
      </w:pPr>
      <w:r w:rsidRPr="004676F5">
        <w:rPr>
          <w:lang w:val="de-DE"/>
        </w:rPr>
        <w:t>2. Der Kreditgeber gibt die Dauer der Auflage an, z. B. bis zum Ablauf des Kreditvertrags. Der Kreditgeber gibt für jede Verpflichtung die dem Verbraucher entstehenden Kosten an, die im effektiven Jahreszins nicht berücksichtigt wurden.</w:t>
      </w:r>
    </w:p>
    <w:p w14:paraId="488FF059" w14:textId="77777777" w:rsidR="00496AA3" w:rsidRPr="004676F5" w:rsidRDefault="00496AA3" w:rsidP="00496AA3">
      <w:pPr>
        <w:ind w:firstLine="708"/>
        <w:jc w:val="both"/>
        <w:rPr>
          <w:lang w:val="de-DE"/>
        </w:rPr>
      </w:pPr>
    </w:p>
    <w:p w14:paraId="55045348" w14:textId="77777777" w:rsidR="00496AA3" w:rsidRPr="004676F5" w:rsidRDefault="00496AA3" w:rsidP="00496AA3">
      <w:pPr>
        <w:ind w:firstLine="708"/>
        <w:jc w:val="both"/>
        <w:rPr>
          <w:lang w:val="de-DE"/>
        </w:rPr>
      </w:pPr>
      <w:r w:rsidRPr="004676F5">
        <w:rPr>
          <w:lang w:val="de-DE"/>
        </w:rPr>
        <w:t>3. Der Kreditgeber teilt mit, ob der Verbraucher zum Erwerb etwaiger Nebenleistungen verpflichtet ist, um den Kredit zu den genannten Bedingungen zu erhalten, und ob der Verbraucher gegebenenfalls verpflichtet ist, diese vom bevorzugten Anbieter des Kreditgebers zu erwerben oder ob er diese von einem Anbieter seiner Wahl erwerben kann. Hängt eine solche Möglichkeit davon ab, dass die Nebenleistungen bestimmte Mindestmerkmale aufweisen, so sind diese in dieser Rubrik zu beschreiben.</w:t>
      </w:r>
    </w:p>
    <w:p w14:paraId="21FBDFE7" w14:textId="77777777" w:rsidR="00496AA3" w:rsidRPr="004676F5" w:rsidRDefault="00496AA3" w:rsidP="00496AA3">
      <w:pPr>
        <w:ind w:firstLine="708"/>
        <w:jc w:val="both"/>
        <w:rPr>
          <w:lang w:val="de-DE"/>
        </w:rPr>
      </w:pPr>
    </w:p>
    <w:p w14:paraId="56C9663A" w14:textId="77777777" w:rsidR="00496AA3" w:rsidRPr="004676F5" w:rsidRDefault="00496AA3" w:rsidP="00496AA3">
      <w:pPr>
        <w:ind w:firstLine="708"/>
        <w:jc w:val="both"/>
        <w:rPr>
          <w:lang w:val="de-DE"/>
        </w:rPr>
      </w:pPr>
      <w:r w:rsidRPr="004676F5">
        <w:rPr>
          <w:lang w:val="de-DE"/>
        </w:rPr>
        <w:t>Sofern der Kreditvertrag mit anderen Produkten gebündelt angeboten wird, nennt der Kreditgeber die wichtigsten Merkmale dieser anderen Produkte und gibt eindeutig an, ob der Verbraucher das Recht hat, den Kreditvertrag oder die an ihn geknüpften Produkte voneinander getrennt zu kündigen, und zu welchen Bedingungen und mit welchen Folgen dies möglich ist, sowie gegebenenfalls die möglichen Folgen der Kündigung der in Verbindung mit dem Kreditvertrag vorgeschriebenen Nebenleistungen.</w:t>
      </w:r>
    </w:p>
    <w:p w14:paraId="07639996" w14:textId="77777777" w:rsidR="00496AA3" w:rsidRPr="004676F5" w:rsidRDefault="00496AA3" w:rsidP="00496AA3">
      <w:pPr>
        <w:ind w:firstLine="708"/>
        <w:jc w:val="both"/>
        <w:rPr>
          <w:lang w:val="de-DE"/>
        </w:rPr>
      </w:pPr>
    </w:p>
    <w:p w14:paraId="1307D328" w14:textId="77777777" w:rsidR="00496AA3" w:rsidRPr="004676F5" w:rsidRDefault="00496AA3" w:rsidP="00496AA3">
      <w:pPr>
        <w:ind w:firstLine="708"/>
        <w:jc w:val="both"/>
        <w:rPr>
          <w:b/>
          <w:lang w:val="de-DE"/>
        </w:rPr>
      </w:pPr>
      <w:r w:rsidRPr="004676F5">
        <w:rPr>
          <w:b/>
          <w:lang w:val="de-DE"/>
        </w:rPr>
        <w:t>Abschnitt "9. Vorzeitige Rückzahlung"</w:t>
      </w:r>
    </w:p>
    <w:p w14:paraId="2E3C59D5" w14:textId="77777777" w:rsidR="00496AA3" w:rsidRPr="004676F5" w:rsidRDefault="00496AA3" w:rsidP="00496AA3">
      <w:pPr>
        <w:ind w:firstLine="708"/>
        <w:jc w:val="both"/>
        <w:rPr>
          <w:lang w:val="de-DE"/>
        </w:rPr>
      </w:pPr>
    </w:p>
    <w:p w14:paraId="5C4F11F9" w14:textId="77777777" w:rsidR="00496AA3" w:rsidRPr="004676F5" w:rsidRDefault="00496AA3" w:rsidP="00496AA3">
      <w:pPr>
        <w:ind w:firstLine="708"/>
        <w:jc w:val="both"/>
        <w:rPr>
          <w:lang w:val="de-DE"/>
        </w:rPr>
      </w:pPr>
      <w:r w:rsidRPr="004676F5">
        <w:rPr>
          <w:lang w:val="de-DE"/>
        </w:rPr>
        <w:t>1. Der Kreditgeber nennt die etwaigen Bedingungen für eine vorzeitige vollständige oder teilweise Rückzahlung des Kredits.</w:t>
      </w:r>
    </w:p>
    <w:p w14:paraId="6071763D" w14:textId="77777777" w:rsidR="00496AA3" w:rsidRPr="004676F5" w:rsidRDefault="00496AA3" w:rsidP="00496AA3">
      <w:pPr>
        <w:ind w:firstLine="708"/>
        <w:jc w:val="both"/>
        <w:rPr>
          <w:lang w:val="de-DE"/>
        </w:rPr>
      </w:pPr>
    </w:p>
    <w:p w14:paraId="7BD1FADE" w14:textId="0A1352A1" w:rsidR="00496AA3" w:rsidRPr="004676F5" w:rsidRDefault="00496AA3" w:rsidP="00496AA3">
      <w:pPr>
        <w:ind w:firstLine="708"/>
        <w:jc w:val="both"/>
        <w:rPr>
          <w:lang w:val="de-DE"/>
        </w:rPr>
      </w:pPr>
      <w:r w:rsidRPr="004676F5">
        <w:rPr>
          <w:lang w:val="de-DE"/>
        </w:rPr>
        <w:t xml:space="preserve">2. In der Rubrik Ablöseentschädigung weist der Kreditgeber den Verbraucher auf jedwede Ablöseentschädigung oder sonstigen Kosten einer vorzeitigen Rückzahlung zur Entschädigung des Kreditgebers hin und gibt sofern möglich deren Höhe an. Hängt die Höhe der Entschädigung von verschiedenen Faktoren ab, wie etwa der Höhe des bereits zurückgezahlten Betrags oder dem zum Zeitpunkt der vorzeitigen Rückzahlung geltenden Sollzinssatz, so erläutert der Kreditgeber, wie die Entschädigung berechnet wird, und gibt den potenziellen Höchstbetrag der Entschädigung an oder </w:t>
      </w:r>
      <w:r w:rsidR="005B7A5C" w:rsidRPr="004676F5">
        <w:rPr>
          <w:lang w:val="de-DE"/>
        </w:rPr>
        <w:t>- </w:t>
      </w:r>
      <w:r w:rsidRPr="004676F5">
        <w:rPr>
          <w:lang w:val="de-DE"/>
        </w:rPr>
        <w:t>falls dies nicht möglich ist </w:t>
      </w:r>
      <w:r w:rsidR="005B7A5C" w:rsidRPr="004676F5">
        <w:rPr>
          <w:lang w:val="de-DE"/>
        </w:rPr>
        <w:t>- </w:t>
      </w:r>
      <w:r w:rsidRPr="004676F5">
        <w:rPr>
          <w:lang w:val="de-DE"/>
        </w:rPr>
        <w:t>macht er dem Verbraucher in einem anschaulichen Beispiel deutlich, wie hoch die Entschädigung bei Zugrundelegung unterschiedlicher möglicher Szenarien ausfällt.</w:t>
      </w:r>
    </w:p>
    <w:p w14:paraId="41920864" w14:textId="77777777" w:rsidR="00496AA3" w:rsidRPr="004676F5" w:rsidRDefault="00496AA3" w:rsidP="00496AA3">
      <w:pPr>
        <w:ind w:firstLine="708"/>
        <w:jc w:val="both"/>
        <w:rPr>
          <w:lang w:val="de-DE"/>
        </w:rPr>
      </w:pPr>
    </w:p>
    <w:p w14:paraId="1A58B3FB" w14:textId="77777777" w:rsidR="00496AA3" w:rsidRPr="004676F5" w:rsidRDefault="00496AA3" w:rsidP="00496AA3">
      <w:pPr>
        <w:ind w:firstLine="708"/>
        <w:jc w:val="both"/>
        <w:rPr>
          <w:b/>
          <w:lang w:val="de-DE"/>
        </w:rPr>
      </w:pPr>
      <w:r w:rsidRPr="004676F5">
        <w:rPr>
          <w:b/>
          <w:lang w:val="de-DE"/>
        </w:rPr>
        <w:t>Abschnitt "10. Flexible Merkmale"</w:t>
      </w:r>
    </w:p>
    <w:p w14:paraId="57FD5AE1" w14:textId="77777777" w:rsidR="00496AA3" w:rsidRPr="004676F5" w:rsidRDefault="00496AA3" w:rsidP="00496AA3">
      <w:pPr>
        <w:ind w:firstLine="708"/>
        <w:jc w:val="both"/>
        <w:rPr>
          <w:lang w:val="de-DE"/>
        </w:rPr>
      </w:pPr>
    </w:p>
    <w:p w14:paraId="2D945A82" w14:textId="77777777" w:rsidR="00496AA3" w:rsidRPr="004676F5" w:rsidRDefault="00496AA3" w:rsidP="00496AA3">
      <w:pPr>
        <w:ind w:firstLine="708"/>
        <w:jc w:val="both"/>
        <w:rPr>
          <w:lang w:val="de-DE"/>
        </w:rPr>
      </w:pPr>
      <w:r w:rsidRPr="004676F5">
        <w:rPr>
          <w:lang w:val="de-DE"/>
        </w:rPr>
        <w:t>1. Gegebenenfalls erläutert der Kreditgeber die Möglichkeit und die Bedingungen für die Übertragung des Kredits auf einen anderen Kreditgeber oder eine andere Immobilie.</w:t>
      </w:r>
    </w:p>
    <w:p w14:paraId="2F60EEDD" w14:textId="77777777" w:rsidR="00496AA3" w:rsidRPr="004676F5" w:rsidRDefault="00496AA3" w:rsidP="00496AA3">
      <w:pPr>
        <w:ind w:firstLine="708"/>
        <w:jc w:val="both"/>
        <w:rPr>
          <w:lang w:val="de-DE"/>
        </w:rPr>
      </w:pPr>
    </w:p>
    <w:p w14:paraId="34B8729F" w14:textId="77777777" w:rsidR="00496AA3" w:rsidRPr="004676F5" w:rsidRDefault="00496AA3" w:rsidP="00496AA3">
      <w:pPr>
        <w:ind w:firstLine="708"/>
        <w:jc w:val="both"/>
        <w:rPr>
          <w:lang w:val="de-DE"/>
        </w:rPr>
      </w:pPr>
      <w:r w:rsidRPr="004676F5">
        <w:rPr>
          <w:lang w:val="de-DE"/>
        </w:rPr>
        <w:t>2. (Falls zutreffend) Zusätzliche Merkmale: Wenn Produkte eines der unten unter Nummer 5 aufgelisteten Merkmale enthalten, muss dieser Abschnitt diese Merkmale auflisten und eine knappe Erläuterung der folgenden Punkte enthalten: die Bedingungen, unter denen der Verbraucher dieses Merkmal nutzen kann; jegliche mit dem Merkmal verbundenen Bedingungen; ob gewöhnlich mit dem Merkmal verbundene gesetzliche oder andere Schutz</w:t>
      </w:r>
      <w:r w:rsidRPr="004676F5">
        <w:rPr>
          <w:lang w:val="de-DE"/>
        </w:rPr>
        <w:softHyphen/>
        <w:t>vor</w:t>
      </w:r>
      <w:r w:rsidRPr="004676F5">
        <w:rPr>
          <w:lang w:val="de-DE"/>
        </w:rPr>
        <w:softHyphen/>
        <w:t>kehrungen für den Verbraucher wegfallen, wenn das Merkmal Bestandteil des durch eine Hypothek oder vergleichbare Sicherheit gesicherten Kredits ist, und die Firma, die das Merkmal anbietet (sofern mit dem Kreditgeber nicht identisch).</w:t>
      </w:r>
    </w:p>
    <w:p w14:paraId="23120B8A" w14:textId="77777777" w:rsidR="00496AA3" w:rsidRPr="004676F5" w:rsidRDefault="00496AA3" w:rsidP="00496AA3">
      <w:pPr>
        <w:ind w:firstLine="708"/>
        <w:jc w:val="both"/>
        <w:rPr>
          <w:lang w:val="de-DE"/>
        </w:rPr>
      </w:pPr>
    </w:p>
    <w:p w14:paraId="06517571" w14:textId="4CD26B74" w:rsidR="00496AA3" w:rsidRPr="004676F5" w:rsidRDefault="00496AA3" w:rsidP="00496AA3">
      <w:pPr>
        <w:ind w:firstLine="708"/>
        <w:jc w:val="both"/>
        <w:rPr>
          <w:lang w:val="de-DE"/>
        </w:rPr>
      </w:pPr>
      <w:r w:rsidRPr="004676F5">
        <w:rPr>
          <w:lang w:val="de-DE"/>
        </w:rPr>
        <w:t>3. Wenn das Merkmal zusätzliche Kredite umfasst, müssen dem Verbraucher in diesem Abschnitt die folgenden Punkte erläutert werden: der Gesamtkreditbetrag (einschließlich des Kredits, der durch die Hypothek oder vergleichbare Sicherheit gesichert ist); ob der zusätzliche Kredit besichert ist; die entsprechenden Sollzinssätze und ob er einer Regulierung unterliegt. Dieser zusätzliche Kreditbetrag ist entweder im Rahmen der ursprünglichen Kreditwürdig</w:t>
      </w:r>
      <w:r w:rsidRPr="004676F5">
        <w:rPr>
          <w:lang w:val="de-DE"/>
        </w:rPr>
        <w:softHyphen/>
        <w:t xml:space="preserve">keitsprüfung enthalten oder </w:t>
      </w:r>
      <w:r w:rsidR="005B7A5C" w:rsidRPr="004676F5">
        <w:rPr>
          <w:lang w:val="de-DE"/>
        </w:rPr>
        <w:t>- </w:t>
      </w:r>
      <w:r w:rsidRPr="004676F5">
        <w:rPr>
          <w:lang w:val="de-DE"/>
        </w:rPr>
        <w:t>wenn dies nicht der Fall ist </w:t>
      </w:r>
      <w:r w:rsidR="005B7A5C" w:rsidRPr="004676F5">
        <w:rPr>
          <w:lang w:val="de-DE"/>
        </w:rPr>
        <w:t>- </w:t>
      </w:r>
      <w:r w:rsidRPr="004676F5">
        <w:rPr>
          <w:lang w:val="de-DE"/>
        </w:rPr>
        <w:t>es wird in diesem Abschnitt klargestellt, dass die Verfügbarkeit des zusätzlichen Betrags von einer weiteren Prüfung der Fähigkeit des Verbrauchers, den Kredit zurückzuzahlen, abhängt.</w:t>
      </w:r>
    </w:p>
    <w:p w14:paraId="7E132E63" w14:textId="77777777" w:rsidR="00496AA3" w:rsidRPr="004676F5" w:rsidRDefault="00496AA3" w:rsidP="00496AA3">
      <w:pPr>
        <w:ind w:firstLine="708"/>
        <w:jc w:val="both"/>
        <w:rPr>
          <w:lang w:val="de-DE"/>
        </w:rPr>
      </w:pPr>
    </w:p>
    <w:p w14:paraId="40E790F6" w14:textId="77777777" w:rsidR="00496AA3" w:rsidRPr="004676F5" w:rsidRDefault="00496AA3" w:rsidP="00496AA3">
      <w:pPr>
        <w:ind w:firstLine="708"/>
        <w:jc w:val="both"/>
        <w:rPr>
          <w:lang w:val="de-DE"/>
        </w:rPr>
      </w:pPr>
      <w:r w:rsidRPr="004676F5">
        <w:rPr>
          <w:lang w:val="de-DE"/>
        </w:rPr>
        <w:t>4. Wenn das Merkmal einen Träger für Spareinlagen umfasst, sind die entsprechenden Zinssätze zu erläutern.</w:t>
      </w:r>
    </w:p>
    <w:p w14:paraId="0EB11718" w14:textId="77777777" w:rsidR="00496AA3" w:rsidRPr="004676F5" w:rsidRDefault="00496AA3" w:rsidP="00496AA3">
      <w:pPr>
        <w:ind w:firstLine="708"/>
        <w:jc w:val="both"/>
        <w:rPr>
          <w:lang w:val="de-DE"/>
        </w:rPr>
      </w:pPr>
    </w:p>
    <w:p w14:paraId="3ACFB282" w14:textId="77777777" w:rsidR="00496AA3" w:rsidRPr="004676F5" w:rsidRDefault="00496AA3" w:rsidP="00496AA3">
      <w:pPr>
        <w:ind w:firstLine="708"/>
        <w:jc w:val="both"/>
        <w:rPr>
          <w:lang w:val="de-DE"/>
        </w:rPr>
      </w:pPr>
      <w:r w:rsidRPr="004676F5">
        <w:rPr>
          <w:lang w:val="de-DE"/>
        </w:rPr>
        <w:t>5. Die möglichen weiteren Merkmale sind: "Überzahlungen/Unterzahlungen" [es wird mehr oder weniger zurückgezahlt als die im Rahmen der Amortisationsstruktur vereinbarte normale Rate]; "Zahlungsunterbrechungen" [Zeiträume, während denen der Verbraucher keine Zahlungen leisten muss]; "Rückdarlehen" [Möglichkeit für den Verbraucher, Beträge, die bereits in Anspruch genommen und zurückbezahlt wurden, erneut aufzunehmen]; "Verfügbare zusätzliche Kreditaufnahme ohne weitere Genehmigung"; "Zusätzliche besicherte oder unbesicherte Kreditaufnahme" [in Übereinstimmung mit Nummer 3 oben]; "Kreditkarte"; "Damit verbundenes Girokonto" sowie "Damit verbundenes Sparkonto".</w:t>
      </w:r>
    </w:p>
    <w:p w14:paraId="4D00074F" w14:textId="77777777" w:rsidR="00496AA3" w:rsidRPr="004676F5" w:rsidRDefault="00496AA3" w:rsidP="00496AA3">
      <w:pPr>
        <w:ind w:firstLine="708"/>
        <w:jc w:val="both"/>
        <w:rPr>
          <w:lang w:val="de-DE"/>
        </w:rPr>
      </w:pPr>
    </w:p>
    <w:p w14:paraId="152532A0" w14:textId="77777777" w:rsidR="00496AA3" w:rsidRPr="004676F5" w:rsidRDefault="00496AA3" w:rsidP="00496AA3">
      <w:pPr>
        <w:ind w:firstLine="708"/>
        <w:jc w:val="both"/>
        <w:rPr>
          <w:lang w:val="de-DE"/>
        </w:rPr>
      </w:pPr>
      <w:r w:rsidRPr="004676F5">
        <w:rPr>
          <w:lang w:val="de-DE"/>
        </w:rPr>
        <w:t>6. Der Kreditgeber kann alle weiteren Merkmale erläutern, die er als Teil des Kreditvertrags anbietet und die nicht in den vorausgehenden Abschnitten genannt sind.</w:t>
      </w:r>
    </w:p>
    <w:p w14:paraId="4F13DE32" w14:textId="77777777" w:rsidR="00496AA3" w:rsidRPr="004676F5" w:rsidRDefault="00496AA3" w:rsidP="00496AA3">
      <w:pPr>
        <w:ind w:firstLine="708"/>
        <w:jc w:val="both"/>
        <w:rPr>
          <w:lang w:val="de-DE"/>
        </w:rPr>
      </w:pPr>
    </w:p>
    <w:p w14:paraId="483FF53C" w14:textId="77777777" w:rsidR="00620833" w:rsidRPr="004676F5" w:rsidRDefault="00620833">
      <w:pPr>
        <w:rPr>
          <w:b/>
          <w:lang w:val="de-DE"/>
        </w:rPr>
      </w:pPr>
      <w:r w:rsidRPr="004676F5">
        <w:rPr>
          <w:b/>
          <w:lang w:val="de-DE"/>
        </w:rPr>
        <w:br w:type="page"/>
      </w:r>
    </w:p>
    <w:p w14:paraId="58AFED2A" w14:textId="77777777" w:rsidR="00496AA3" w:rsidRPr="004676F5" w:rsidRDefault="00496AA3" w:rsidP="00496AA3">
      <w:pPr>
        <w:ind w:firstLine="708"/>
        <w:jc w:val="both"/>
        <w:rPr>
          <w:b/>
          <w:lang w:val="de-DE"/>
        </w:rPr>
      </w:pPr>
      <w:r w:rsidRPr="004676F5">
        <w:rPr>
          <w:b/>
          <w:lang w:val="de-DE"/>
        </w:rPr>
        <w:lastRenderedPageBreak/>
        <w:t>Abschnitt "11. Sonstige Rechte des Kreditnehmers"</w:t>
      </w:r>
    </w:p>
    <w:p w14:paraId="702A5373" w14:textId="77777777" w:rsidR="00496AA3" w:rsidRPr="004676F5" w:rsidRDefault="00496AA3" w:rsidP="00496AA3">
      <w:pPr>
        <w:ind w:firstLine="708"/>
        <w:jc w:val="both"/>
        <w:rPr>
          <w:lang w:val="de-DE"/>
        </w:rPr>
      </w:pPr>
    </w:p>
    <w:p w14:paraId="22D051E6" w14:textId="166ABD62" w:rsidR="00496AA3" w:rsidRPr="004676F5" w:rsidRDefault="00496AA3" w:rsidP="00496AA3">
      <w:pPr>
        <w:ind w:firstLine="708"/>
        <w:jc w:val="both"/>
        <w:rPr>
          <w:lang w:val="de-DE"/>
        </w:rPr>
      </w:pPr>
      <w:r w:rsidRPr="004676F5">
        <w:rPr>
          <w:lang w:val="de-DE"/>
        </w:rPr>
        <w:t xml:space="preserve">1. Der Kreditgeber weist auf die bestehenden Rechte hin wie etwa ein Recht auf Widerruf oder Bedenkzeit oder gegebenenfalls andere Rechte wie etwa ein Recht auf Übertragbarkeit (einschließlich Abtretung), spezifiziert die Voraussetzungen für ihre Ausübung, die bei ihrer Ausübung vom Verbraucher einzuhaltenden Verfahren </w:t>
      </w:r>
      <w:r w:rsidR="005B7A5C" w:rsidRPr="004676F5">
        <w:rPr>
          <w:lang w:val="de-DE"/>
        </w:rPr>
        <w:t>- </w:t>
      </w:r>
      <w:r w:rsidRPr="004676F5">
        <w:rPr>
          <w:lang w:val="de-DE"/>
        </w:rPr>
        <w:t>unter anderem die Adresse, an die die Mitteilung über den Widerruf zu richten ist </w:t>
      </w:r>
      <w:r w:rsidR="005B7A5C" w:rsidRPr="004676F5">
        <w:rPr>
          <w:lang w:val="de-DE"/>
        </w:rPr>
        <w:t>- </w:t>
      </w:r>
      <w:r w:rsidRPr="004676F5">
        <w:rPr>
          <w:lang w:val="de-DE"/>
        </w:rPr>
        <w:t>sowie die entsprechenden Gebühren (falls zutreffend).</w:t>
      </w:r>
    </w:p>
    <w:p w14:paraId="2CE2A66B" w14:textId="77777777" w:rsidR="00496AA3" w:rsidRPr="004676F5" w:rsidRDefault="00496AA3" w:rsidP="00496AA3">
      <w:pPr>
        <w:ind w:firstLine="708"/>
        <w:jc w:val="both"/>
        <w:rPr>
          <w:lang w:val="de-DE"/>
        </w:rPr>
      </w:pPr>
    </w:p>
    <w:p w14:paraId="0E1723C0" w14:textId="77777777" w:rsidR="00496AA3" w:rsidRPr="004676F5" w:rsidRDefault="00496AA3" w:rsidP="00496AA3">
      <w:pPr>
        <w:ind w:firstLine="708"/>
        <w:jc w:val="both"/>
        <w:rPr>
          <w:lang w:val="de-DE"/>
        </w:rPr>
      </w:pPr>
      <w:r w:rsidRPr="004676F5">
        <w:rPr>
          <w:lang w:val="de-DE"/>
        </w:rPr>
        <w:t>2. Falls der Verbraucher ein Recht auf Bedenkzeit oder Widerruf hat, so wird deutlich darauf hingewiesen.</w:t>
      </w:r>
    </w:p>
    <w:p w14:paraId="28C33E2A" w14:textId="77777777" w:rsidR="00496AA3" w:rsidRPr="004676F5" w:rsidRDefault="00496AA3" w:rsidP="00496AA3">
      <w:pPr>
        <w:ind w:firstLine="708"/>
        <w:jc w:val="both"/>
        <w:rPr>
          <w:lang w:val="de-DE"/>
        </w:rPr>
      </w:pPr>
    </w:p>
    <w:p w14:paraId="65349AB0" w14:textId="77777777" w:rsidR="00496AA3" w:rsidRPr="004676F5" w:rsidRDefault="00496AA3" w:rsidP="00496AA3">
      <w:pPr>
        <w:ind w:firstLine="708"/>
        <w:jc w:val="both"/>
        <w:rPr>
          <w:lang w:val="de-DE"/>
        </w:rPr>
      </w:pPr>
      <w:r w:rsidRPr="004676F5">
        <w:rPr>
          <w:lang w:val="de-DE"/>
        </w:rPr>
        <w:t>3. Wird der Kreditvertrag im Rahmen eines Fernabsatzgeschäfts angeboten, ist der Verbraucher im Einklang mit Artikel 3 der Richtlinie 2002/65/EG darüber zu unterrichten, ob er über ein Widerrufsrecht verfügt oder nicht.</w:t>
      </w:r>
    </w:p>
    <w:p w14:paraId="2E1F2C14" w14:textId="77777777" w:rsidR="00496AA3" w:rsidRPr="004676F5" w:rsidRDefault="00496AA3" w:rsidP="00496AA3">
      <w:pPr>
        <w:ind w:firstLine="708"/>
        <w:jc w:val="both"/>
        <w:rPr>
          <w:lang w:val="de-DE"/>
        </w:rPr>
      </w:pPr>
    </w:p>
    <w:p w14:paraId="7CEAC272" w14:textId="77777777" w:rsidR="00496AA3" w:rsidRPr="004676F5" w:rsidRDefault="00496AA3" w:rsidP="00496AA3">
      <w:pPr>
        <w:ind w:firstLine="708"/>
        <w:jc w:val="both"/>
        <w:rPr>
          <w:b/>
          <w:lang w:val="de-DE"/>
        </w:rPr>
      </w:pPr>
      <w:r w:rsidRPr="004676F5">
        <w:rPr>
          <w:b/>
          <w:lang w:val="de-DE"/>
        </w:rPr>
        <w:t>Abschnitt "12. Beschwerden"</w:t>
      </w:r>
    </w:p>
    <w:p w14:paraId="55327EAE" w14:textId="77777777" w:rsidR="00496AA3" w:rsidRPr="004676F5" w:rsidRDefault="00496AA3" w:rsidP="00496AA3">
      <w:pPr>
        <w:ind w:firstLine="708"/>
        <w:jc w:val="both"/>
        <w:rPr>
          <w:lang w:val="de-DE"/>
        </w:rPr>
      </w:pPr>
    </w:p>
    <w:p w14:paraId="0D32CF60" w14:textId="77777777" w:rsidR="00496AA3" w:rsidRPr="004676F5" w:rsidRDefault="00496AA3" w:rsidP="00496AA3">
      <w:pPr>
        <w:ind w:firstLine="708"/>
        <w:jc w:val="both"/>
        <w:rPr>
          <w:lang w:val="de-DE"/>
        </w:rPr>
      </w:pPr>
      <w:r w:rsidRPr="004676F5">
        <w:rPr>
          <w:lang w:val="de-DE"/>
        </w:rPr>
        <w:t>1. In diesem Abschnitt werden die interne Kontaktstelle [Bezeichnung der einschlägigen Abteilung] und ein Weg zur Kontaktaufnahme mit dieser Beschwerdestelle [Anschrift] oder [Telefonnummer] oder [eine Kontaktperson] [Kontaktangaben] sowie ein Link zu einem Beschwerdeverfahren auf der entsprechenden Seite einer Website oder ähnlichen Informations</w:t>
      </w:r>
      <w:r w:rsidRPr="004676F5">
        <w:rPr>
          <w:lang w:val="de-DE"/>
        </w:rPr>
        <w:softHyphen/>
        <w:t>quelle angegeben.</w:t>
      </w:r>
    </w:p>
    <w:p w14:paraId="714A5A82" w14:textId="77777777" w:rsidR="00496AA3" w:rsidRPr="004676F5" w:rsidRDefault="00496AA3" w:rsidP="00496AA3">
      <w:pPr>
        <w:ind w:firstLine="708"/>
        <w:jc w:val="both"/>
        <w:rPr>
          <w:lang w:val="de-DE"/>
        </w:rPr>
      </w:pPr>
    </w:p>
    <w:p w14:paraId="4C7F15C0" w14:textId="446518DC" w:rsidR="00496AA3" w:rsidRPr="004676F5" w:rsidRDefault="00496AA3" w:rsidP="00496AA3">
      <w:pPr>
        <w:ind w:firstLine="708"/>
        <w:jc w:val="both"/>
        <w:rPr>
          <w:lang w:val="de-DE"/>
        </w:rPr>
      </w:pPr>
      <w:r w:rsidRPr="004676F5">
        <w:rPr>
          <w:lang w:val="de-DE"/>
        </w:rPr>
        <w:t>2. Es wird der Name der externen Stelle für außergerichtliche Beschwerde</w:t>
      </w:r>
      <w:r w:rsidR="005B7A5C" w:rsidRPr="004676F5">
        <w:rPr>
          <w:lang w:val="de-DE"/>
        </w:rPr>
        <w:t>- </w:t>
      </w:r>
      <w:r w:rsidRPr="004676F5">
        <w:rPr>
          <w:lang w:val="de-DE"/>
        </w:rPr>
        <w:t xml:space="preserve">und Rechtsbehelfsverfahren angegeben und </w:t>
      </w:r>
      <w:r w:rsidR="005B7A5C" w:rsidRPr="004676F5">
        <w:rPr>
          <w:lang w:val="de-DE"/>
        </w:rPr>
        <w:t>- </w:t>
      </w:r>
      <w:r w:rsidRPr="004676F5">
        <w:rPr>
          <w:lang w:val="de-DE"/>
        </w:rPr>
        <w:t>falls die Nutzung des internen Beschwerdeverfahrens eine Voraussetzung für den Zugang zu dieser Stelle ist </w:t>
      </w:r>
      <w:r w:rsidR="005B7A5C" w:rsidRPr="004676F5">
        <w:rPr>
          <w:lang w:val="de-DE"/>
        </w:rPr>
        <w:t>- </w:t>
      </w:r>
      <w:r w:rsidRPr="004676F5">
        <w:rPr>
          <w:lang w:val="de-DE"/>
        </w:rPr>
        <w:t>wird unter Verwendung der Formulierung in Teil A auf diesen Umstand hingewiesen.</w:t>
      </w:r>
    </w:p>
    <w:p w14:paraId="42724F93" w14:textId="77777777" w:rsidR="00496AA3" w:rsidRPr="004676F5" w:rsidRDefault="00496AA3" w:rsidP="00496AA3">
      <w:pPr>
        <w:ind w:firstLine="708"/>
        <w:jc w:val="both"/>
        <w:rPr>
          <w:lang w:val="de-DE"/>
        </w:rPr>
      </w:pPr>
    </w:p>
    <w:p w14:paraId="366398AA" w14:textId="77777777" w:rsidR="00496AA3" w:rsidRPr="004676F5" w:rsidRDefault="00496AA3" w:rsidP="00496AA3">
      <w:pPr>
        <w:ind w:firstLine="708"/>
        <w:jc w:val="both"/>
        <w:rPr>
          <w:lang w:val="de-DE"/>
        </w:rPr>
      </w:pPr>
      <w:r w:rsidRPr="004676F5">
        <w:rPr>
          <w:lang w:val="de-DE"/>
        </w:rPr>
        <w:t>3. Bei Kreditverträgen mit einem Verbraucher, der seinen Wohnsitz in einem anderen Mitgliedstaat hat, macht der Kreditgeber diesen auf das FIN-NET aufmerksam (http://ec.europa.eu/internal_market/fin-net/).</w:t>
      </w:r>
    </w:p>
    <w:p w14:paraId="25E47891" w14:textId="77777777" w:rsidR="00496AA3" w:rsidRPr="004676F5" w:rsidRDefault="00496AA3" w:rsidP="00496AA3">
      <w:pPr>
        <w:ind w:firstLine="708"/>
        <w:jc w:val="both"/>
        <w:rPr>
          <w:lang w:val="de-DE"/>
        </w:rPr>
      </w:pPr>
    </w:p>
    <w:p w14:paraId="48F21F1A" w14:textId="77777777" w:rsidR="00496AA3" w:rsidRPr="004676F5" w:rsidRDefault="00496AA3" w:rsidP="00496AA3">
      <w:pPr>
        <w:ind w:firstLine="708"/>
        <w:jc w:val="both"/>
        <w:rPr>
          <w:b/>
          <w:lang w:val="de-DE"/>
        </w:rPr>
      </w:pPr>
      <w:r w:rsidRPr="004676F5">
        <w:rPr>
          <w:b/>
          <w:lang w:val="de-DE"/>
        </w:rPr>
        <w:t>Abschnitt "13. Nichteinhaltung der aus dem Kreditvertrag erwachsenden Verpflichtungen: Konsequenzen für den Kreditnehmer"</w:t>
      </w:r>
    </w:p>
    <w:p w14:paraId="0BA00CC7" w14:textId="77777777" w:rsidR="00496AA3" w:rsidRPr="004676F5" w:rsidRDefault="00496AA3" w:rsidP="00496AA3">
      <w:pPr>
        <w:ind w:firstLine="708"/>
        <w:jc w:val="both"/>
        <w:rPr>
          <w:lang w:val="de-DE"/>
        </w:rPr>
      </w:pPr>
    </w:p>
    <w:p w14:paraId="1616EA17" w14:textId="5262BD71" w:rsidR="00496AA3" w:rsidRPr="004676F5" w:rsidRDefault="00496AA3" w:rsidP="00496AA3">
      <w:pPr>
        <w:ind w:firstLine="708"/>
        <w:jc w:val="both"/>
        <w:rPr>
          <w:lang w:val="de-DE"/>
        </w:rPr>
      </w:pPr>
      <w:r w:rsidRPr="004676F5">
        <w:rPr>
          <w:lang w:val="de-DE"/>
        </w:rPr>
        <w:t xml:space="preserve">1. Kann die Nichteinhaltung einer aus dem Kredit erwachsenden Verpflichtung durch den Verbraucher für diesen finanzielle oder rechtliche Konsequenzen haben, erläutert der Kreditgeber in diesem Abschnitt die wichtigsten Fälle (z. B. Zahlungsverzug/Zahlungsausfall, Nichteinhaltung der in Abschnitt 8 </w:t>
      </w:r>
      <w:r w:rsidR="005B7A5C" w:rsidRPr="004676F5">
        <w:rPr>
          <w:lang w:val="de-DE"/>
        </w:rPr>
        <w:t>- </w:t>
      </w:r>
      <w:r w:rsidRPr="004676F5">
        <w:rPr>
          <w:lang w:val="de-DE"/>
        </w:rPr>
        <w:t>"Zusätzliche Auflagen" </w:t>
      </w:r>
      <w:r w:rsidR="005B7A5C" w:rsidRPr="004676F5">
        <w:rPr>
          <w:lang w:val="de-DE"/>
        </w:rPr>
        <w:t>- </w:t>
      </w:r>
      <w:r w:rsidRPr="004676F5">
        <w:rPr>
          <w:lang w:val="de-DE"/>
        </w:rPr>
        <w:t>genannten Verpflichtungen) und gibt an, wo weitere Informationen eingeholt werden können.</w:t>
      </w:r>
    </w:p>
    <w:p w14:paraId="081F25E3" w14:textId="77777777" w:rsidR="00496AA3" w:rsidRPr="004676F5" w:rsidRDefault="00496AA3" w:rsidP="00496AA3">
      <w:pPr>
        <w:ind w:firstLine="708"/>
        <w:jc w:val="both"/>
        <w:rPr>
          <w:lang w:val="de-DE"/>
        </w:rPr>
      </w:pPr>
    </w:p>
    <w:p w14:paraId="2DFD2B6A" w14:textId="77777777" w:rsidR="00496AA3" w:rsidRPr="004676F5" w:rsidRDefault="00496AA3" w:rsidP="00496AA3">
      <w:pPr>
        <w:ind w:firstLine="708"/>
        <w:jc w:val="both"/>
        <w:rPr>
          <w:lang w:val="de-DE"/>
        </w:rPr>
      </w:pPr>
      <w:r w:rsidRPr="004676F5">
        <w:rPr>
          <w:lang w:val="de-DE"/>
        </w:rPr>
        <w:t>2. Der Kreditgeber gibt für jeden dieser Fälle in klarer, leicht verständlicher Form an, welche Sanktionen oder Konsequenzen daraus erwachsen können. Hinweise auf schwerwiegende Konsequenzen sind optisch hervorzuheben.</w:t>
      </w:r>
    </w:p>
    <w:p w14:paraId="647752F4" w14:textId="77777777" w:rsidR="00496AA3" w:rsidRPr="004676F5" w:rsidRDefault="00496AA3" w:rsidP="00496AA3">
      <w:pPr>
        <w:ind w:firstLine="708"/>
        <w:jc w:val="both"/>
        <w:rPr>
          <w:lang w:val="de-DE"/>
        </w:rPr>
      </w:pPr>
    </w:p>
    <w:p w14:paraId="50B6457D" w14:textId="77777777" w:rsidR="00B763E4" w:rsidRPr="004676F5" w:rsidRDefault="00B763E4">
      <w:pPr>
        <w:rPr>
          <w:b/>
          <w:lang w:val="de-DE"/>
        </w:rPr>
      </w:pPr>
      <w:r w:rsidRPr="004676F5">
        <w:rPr>
          <w:b/>
          <w:lang w:val="de-DE"/>
        </w:rPr>
        <w:br w:type="page"/>
      </w:r>
    </w:p>
    <w:p w14:paraId="7B94A6FF" w14:textId="77777777" w:rsidR="00496AA3" w:rsidRPr="004676F5" w:rsidRDefault="00496AA3" w:rsidP="00496AA3">
      <w:pPr>
        <w:ind w:firstLine="708"/>
        <w:jc w:val="both"/>
        <w:rPr>
          <w:b/>
          <w:lang w:val="de-DE"/>
        </w:rPr>
      </w:pPr>
      <w:r w:rsidRPr="004676F5">
        <w:rPr>
          <w:b/>
          <w:lang w:val="de-DE"/>
        </w:rPr>
        <w:lastRenderedPageBreak/>
        <w:t>Abschnitt "14. Zusätzliche Informationen"</w:t>
      </w:r>
    </w:p>
    <w:p w14:paraId="10D775A2" w14:textId="77777777" w:rsidR="00496AA3" w:rsidRPr="004676F5" w:rsidRDefault="00496AA3" w:rsidP="00496AA3">
      <w:pPr>
        <w:ind w:firstLine="708"/>
        <w:jc w:val="both"/>
        <w:rPr>
          <w:lang w:val="de-DE"/>
        </w:rPr>
      </w:pPr>
    </w:p>
    <w:p w14:paraId="34C87808" w14:textId="77777777" w:rsidR="00496AA3" w:rsidRPr="004676F5" w:rsidRDefault="00496AA3" w:rsidP="00496AA3">
      <w:pPr>
        <w:ind w:firstLine="708"/>
        <w:jc w:val="both"/>
        <w:rPr>
          <w:lang w:val="de-DE"/>
        </w:rPr>
      </w:pPr>
      <w:r w:rsidRPr="004676F5">
        <w:rPr>
          <w:lang w:val="de-DE"/>
        </w:rPr>
        <w:t>1. Im Falle von Fernabsatz enthält dieser Abschnitt sämtliche Angaben zu dem auf den Kreditvertrag anwendbaren Recht oder zur zuständigen Gerichtsbarkeit.</w:t>
      </w:r>
    </w:p>
    <w:p w14:paraId="09B19CE2" w14:textId="77777777" w:rsidR="00496AA3" w:rsidRPr="004676F5" w:rsidRDefault="00496AA3" w:rsidP="00496AA3">
      <w:pPr>
        <w:ind w:firstLine="708"/>
        <w:jc w:val="both"/>
        <w:rPr>
          <w:lang w:val="de-DE"/>
        </w:rPr>
      </w:pPr>
    </w:p>
    <w:p w14:paraId="7DDC32A2" w14:textId="77777777" w:rsidR="00496AA3" w:rsidRPr="004676F5" w:rsidRDefault="00496AA3" w:rsidP="00496AA3">
      <w:pPr>
        <w:ind w:firstLine="708"/>
        <w:jc w:val="both"/>
        <w:rPr>
          <w:lang w:val="de-DE"/>
        </w:rPr>
      </w:pPr>
      <w:r w:rsidRPr="004676F5">
        <w:rPr>
          <w:lang w:val="de-DE"/>
        </w:rPr>
        <w:t>2. Beabsichtigt der Kreditgeber, während der Vertragslaufzeit mit dem Verbraucher in einer anderen Sprache als der des ESIS-Merkblatts zu kommunizieren, wird dies ebenfalls erwähnt und die Sprache angegeben, in der kommuniziert werden soll. Die Bestimmungen des Artikels 3 Absatz 1 sowie des Artikels 3 Absatz 3 Buchstabe g) der Richtlinie 2002/65/EG bleiben hiervon unberührt.</w:t>
      </w:r>
    </w:p>
    <w:p w14:paraId="038F7B53" w14:textId="77777777" w:rsidR="00496AA3" w:rsidRPr="004676F5" w:rsidRDefault="00496AA3" w:rsidP="00496AA3">
      <w:pPr>
        <w:ind w:firstLine="708"/>
        <w:jc w:val="both"/>
        <w:rPr>
          <w:lang w:val="de-DE"/>
        </w:rPr>
      </w:pPr>
    </w:p>
    <w:p w14:paraId="327AC60B" w14:textId="77777777" w:rsidR="00496AA3" w:rsidRPr="004676F5" w:rsidRDefault="00496AA3" w:rsidP="00496AA3">
      <w:pPr>
        <w:ind w:firstLine="708"/>
        <w:jc w:val="both"/>
        <w:rPr>
          <w:lang w:val="de-DE"/>
        </w:rPr>
      </w:pPr>
      <w:r w:rsidRPr="004676F5">
        <w:rPr>
          <w:lang w:val="de-DE"/>
        </w:rPr>
        <w:t>3. Der Kreditgeber oder der Kreditvermittler weisen auf das Recht des Verbrauchers hin, dass er gegebenenfalls zumindest zum Zeitpunkt der Vorlage eines für den Kreditgeber verbindlichen Angebots eine Ausfertigung des Kreditvertragsentwurfs erhält oder ihm dies angeboten wird.</w:t>
      </w:r>
    </w:p>
    <w:p w14:paraId="2B0C51E3" w14:textId="77777777" w:rsidR="00496AA3" w:rsidRPr="004676F5" w:rsidRDefault="00496AA3" w:rsidP="00496AA3">
      <w:pPr>
        <w:ind w:firstLine="708"/>
        <w:jc w:val="both"/>
        <w:rPr>
          <w:lang w:val="de-DE"/>
        </w:rPr>
      </w:pPr>
    </w:p>
    <w:p w14:paraId="12AE4CA8" w14:textId="77777777" w:rsidR="00496AA3" w:rsidRPr="004676F5" w:rsidRDefault="00496AA3" w:rsidP="00496AA3">
      <w:pPr>
        <w:ind w:firstLine="708"/>
        <w:jc w:val="both"/>
        <w:rPr>
          <w:b/>
          <w:lang w:val="de-DE"/>
        </w:rPr>
      </w:pPr>
      <w:r w:rsidRPr="004676F5">
        <w:rPr>
          <w:b/>
          <w:lang w:val="de-DE"/>
        </w:rPr>
        <w:t>Abschnitt "15. Aufsichtsbehörde"</w:t>
      </w:r>
    </w:p>
    <w:p w14:paraId="43BF7EAE" w14:textId="77777777" w:rsidR="00496AA3" w:rsidRPr="004676F5" w:rsidRDefault="00496AA3" w:rsidP="00496AA3">
      <w:pPr>
        <w:ind w:firstLine="708"/>
        <w:jc w:val="both"/>
        <w:rPr>
          <w:lang w:val="de-DE"/>
        </w:rPr>
      </w:pPr>
    </w:p>
    <w:p w14:paraId="246BB526" w14:textId="77777777" w:rsidR="00496AA3" w:rsidRPr="004676F5" w:rsidRDefault="00496AA3" w:rsidP="00496AA3">
      <w:pPr>
        <w:rPr>
          <w:lang w:val="de-DE"/>
        </w:rPr>
      </w:pPr>
      <w:r w:rsidRPr="004676F5">
        <w:rPr>
          <w:lang w:val="de-DE"/>
        </w:rPr>
        <w:t>Es sind die Behörden anzugeben, die für die Überwachung des vorvertraglichen Stadiums der Kreditvergabe zuständig sind.]</w:t>
      </w:r>
    </w:p>
    <w:p w14:paraId="531147C6" w14:textId="77777777" w:rsidR="00496AA3" w:rsidRPr="004676F5" w:rsidRDefault="00496AA3" w:rsidP="00496AA3">
      <w:pPr>
        <w:rPr>
          <w:lang w:val="de-DE"/>
        </w:rPr>
      </w:pPr>
    </w:p>
    <w:p w14:paraId="58FB5005" w14:textId="77777777" w:rsidR="00496AA3" w:rsidRPr="004676F5" w:rsidRDefault="00496AA3">
      <w:pPr>
        <w:rPr>
          <w:b/>
          <w:lang w:val="de-DE"/>
        </w:rPr>
      </w:pPr>
    </w:p>
    <w:p w14:paraId="3C39A888" w14:textId="77777777" w:rsidR="00496AA3" w:rsidRPr="004676F5" w:rsidRDefault="00496AA3">
      <w:pPr>
        <w:rPr>
          <w:b/>
          <w:lang w:val="de-DE"/>
        </w:rPr>
      </w:pPr>
      <w:r w:rsidRPr="004676F5">
        <w:rPr>
          <w:b/>
          <w:lang w:val="de-DE"/>
        </w:rPr>
        <w:br w:type="page"/>
      </w:r>
    </w:p>
    <w:p w14:paraId="0B0345A6" w14:textId="781F10BD" w:rsidR="00F94546" w:rsidRPr="004676F5" w:rsidRDefault="00F94546" w:rsidP="00BE758F">
      <w:pPr>
        <w:jc w:val="center"/>
        <w:rPr>
          <w:b/>
          <w:lang w:val="de-DE"/>
        </w:rPr>
      </w:pPr>
      <w:r w:rsidRPr="004676F5">
        <w:rPr>
          <w:b/>
          <w:lang w:val="de-DE"/>
        </w:rPr>
        <w:lastRenderedPageBreak/>
        <w:t>BUCH VIII </w:t>
      </w:r>
      <w:r w:rsidR="005B7A5C" w:rsidRPr="004676F5">
        <w:rPr>
          <w:b/>
          <w:lang w:val="de-DE"/>
        </w:rPr>
        <w:t>- </w:t>
      </w:r>
      <w:r w:rsidRPr="004676F5">
        <w:rPr>
          <w:b/>
          <w:lang w:val="de-DE"/>
        </w:rPr>
        <w:t>QUALITÄT DER PRODUKTE UND DIENSTLEISTUNGEN</w:t>
      </w:r>
    </w:p>
    <w:p w14:paraId="1793956C" w14:textId="77777777" w:rsidR="00F94546" w:rsidRPr="004676F5" w:rsidRDefault="00F94546" w:rsidP="00F94546">
      <w:pPr>
        <w:jc w:val="center"/>
        <w:rPr>
          <w:lang w:val="de-DE"/>
        </w:rPr>
      </w:pPr>
    </w:p>
    <w:p w14:paraId="13D818D8" w14:textId="77777777" w:rsidR="00F94546" w:rsidRPr="004676F5" w:rsidRDefault="00F94546" w:rsidP="00F94546">
      <w:pPr>
        <w:jc w:val="center"/>
        <w:rPr>
          <w:lang w:val="de-DE"/>
        </w:rPr>
      </w:pPr>
    </w:p>
    <w:p w14:paraId="643DCA51" w14:textId="4A9609C6" w:rsidR="00F94546" w:rsidRPr="004676F5" w:rsidRDefault="00F94546" w:rsidP="00F94546">
      <w:pPr>
        <w:jc w:val="center"/>
        <w:rPr>
          <w:b/>
          <w:i/>
          <w:lang w:val="de-DE"/>
        </w:rPr>
      </w:pPr>
      <w:r w:rsidRPr="004676F5">
        <w:rPr>
          <w:b/>
          <w:lang w:val="de-DE"/>
        </w:rPr>
        <w:t>TITEL 1 </w:t>
      </w:r>
      <w:r w:rsidR="005B7A5C" w:rsidRPr="004676F5">
        <w:rPr>
          <w:b/>
          <w:lang w:val="de-DE"/>
        </w:rPr>
        <w:t>- </w:t>
      </w:r>
      <w:r w:rsidRPr="004676F5">
        <w:rPr>
          <w:b/>
          <w:i/>
          <w:lang w:val="de-DE"/>
        </w:rPr>
        <w:t>Normung</w:t>
      </w:r>
    </w:p>
    <w:p w14:paraId="318779F1" w14:textId="77777777" w:rsidR="00F94546" w:rsidRPr="004676F5" w:rsidRDefault="00F94546" w:rsidP="00F94546">
      <w:pPr>
        <w:jc w:val="center"/>
        <w:rPr>
          <w:lang w:val="de-DE"/>
        </w:rPr>
      </w:pPr>
    </w:p>
    <w:p w14:paraId="355DD756" w14:textId="77777777" w:rsidR="00F94546" w:rsidRPr="004676F5" w:rsidRDefault="00F94546" w:rsidP="00F94546">
      <w:pPr>
        <w:jc w:val="center"/>
        <w:rPr>
          <w:lang w:val="de-DE"/>
        </w:rPr>
      </w:pPr>
    </w:p>
    <w:p w14:paraId="6C1ACE57" w14:textId="548A9C36" w:rsidR="00F94546" w:rsidRPr="004676F5" w:rsidRDefault="00F94546" w:rsidP="00F94546">
      <w:pPr>
        <w:jc w:val="center"/>
        <w:rPr>
          <w:lang w:val="de-DE"/>
        </w:rPr>
      </w:pPr>
      <w:r w:rsidRPr="004676F5">
        <w:rPr>
          <w:lang w:val="de-DE"/>
        </w:rPr>
        <w:t>KAPITEL 1 </w:t>
      </w:r>
      <w:r w:rsidR="005B7A5C" w:rsidRPr="004676F5">
        <w:rPr>
          <w:lang w:val="de-DE"/>
        </w:rPr>
        <w:t>- </w:t>
      </w:r>
      <w:r w:rsidRPr="004676F5">
        <w:rPr>
          <w:i/>
          <w:lang w:val="de-DE"/>
        </w:rPr>
        <w:t>Allgemeine Bestimmungen</w:t>
      </w:r>
    </w:p>
    <w:p w14:paraId="5B6AC01D" w14:textId="77777777" w:rsidR="00F94546" w:rsidRPr="004676F5" w:rsidRDefault="00F94546" w:rsidP="00F94546">
      <w:pPr>
        <w:jc w:val="both"/>
        <w:rPr>
          <w:lang w:val="de-DE"/>
        </w:rPr>
      </w:pPr>
    </w:p>
    <w:p w14:paraId="2958F094" w14:textId="77777777" w:rsidR="00F94546" w:rsidRPr="004676F5" w:rsidRDefault="00F94546" w:rsidP="00F94546">
      <w:pPr>
        <w:jc w:val="both"/>
        <w:rPr>
          <w:lang w:val="de-DE"/>
        </w:rPr>
      </w:pPr>
    </w:p>
    <w:p w14:paraId="541221A6" w14:textId="2A26C4A8" w:rsidR="00F94546" w:rsidRPr="004676F5" w:rsidRDefault="00BE0A56" w:rsidP="00F94546">
      <w:pPr>
        <w:ind w:firstLine="708"/>
        <w:jc w:val="both"/>
        <w:rPr>
          <w:lang w:val="de-DE"/>
        </w:rPr>
      </w:pPr>
      <w:r w:rsidRPr="004676F5">
        <w:rPr>
          <w:b/>
          <w:lang w:val="de-DE"/>
        </w:rPr>
        <w:t>Art. </w:t>
      </w:r>
      <w:r w:rsidR="00F94546" w:rsidRPr="004676F5">
        <w:rPr>
          <w:b/>
          <w:lang w:val="de-DE"/>
        </w:rPr>
        <w:t>VIII.1</w:t>
      </w:r>
      <w:r w:rsidR="00F94546" w:rsidRPr="004676F5">
        <w:rPr>
          <w:lang w:val="de-DE"/>
        </w:rPr>
        <w:t> </w:t>
      </w:r>
      <w:r w:rsidR="005B7A5C" w:rsidRPr="004676F5">
        <w:rPr>
          <w:lang w:val="de-DE"/>
        </w:rPr>
        <w:t>- </w:t>
      </w:r>
      <w:r w:rsidR="00F94546" w:rsidRPr="004676F5">
        <w:rPr>
          <w:lang w:val="de-DE"/>
        </w:rPr>
        <w:t>Normen geben die Regeln des Fachs wieder, die zum Zeitpunkt ihrer Annahme für ein bestimmtes Produkt, ein bestimmtes Verfahren oder eine bestimmte Dienstleistung gelten.</w:t>
      </w:r>
    </w:p>
    <w:p w14:paraId="56A1CCDF" w14:textId="77777777" w:rsidR="00F94546" w:rsidRPr="004676F5" w:rsidRDefault="00F94546" w:rsidP="00F94546">
      <w:pPr>
        <w:jc w:val="both"/>
        <w:rPr>
          <w:lang w:val="de-DE"/>
        </w:rPr>
      </w:pPr>
    </w:p>
    <w:p w14:paraId="183D729D" w14:textId="0DEFA6BE" w:rsidR="00F94546" w:rsidRPr="004676F5" w:rsidRDefault="00F94546" w:rsidP="00F94546">
      <w:pPr>
        <w:ind w:firstLine="708"/>
        <w:jc w:val="both"/>
        <w:rPr>
          <w:lang w:val="de-DE"/>
        </w:rPr>
      </w:pPr>
      <w:r w:rsidRPr="004676F5">
        <w:rPr>
          <w:lang w:val="de-DE"/>
        </w:rPr>
        <w:t>Die Einhaltung von Normen erfolgt auf freiwilliger Basis, es sei denn, ihre Einhaltung wird durch eine Gesetzes-, Verordnungs</w:t>
      </w:r>
      <w:r w:rsidR="005B7A5C" w:rsidRPr="004676F5">
        <w:rPr>
          <w:lang w:val="de-DE"/>
        </w:rPr>
        <w:t>- </w:t>
      </w:r>
      <w:r w:rsidRPr="004676F5">
        <w:rPr>
          <w:lang w:val="de-DE"/>
        </w:rPr>
        <w:t>oder Vertragsbestimmung auferlegt.</w:t>
      </w:r>
    </w:p>
    <w:p w14:paraId="08629E38" w14:textId="77777777" w:rsidR="00F94546" w:rsidRPr="004676F5" w:rsidRDefault="00F94546" w:rsidP="00F94546">
      <w:pPr>
        <w:jc w:val="both"/>
        <w:rPr>
          <w:lang w:val="de-DE"/>
        </w:rPr>
      </w:pPr>
    </w:p>
    <w:p w14:paraId="4A5C9220" w14:textId="77777777" w:rsidR="00F94546" w:rsidRPr="004676F5" w:rsidRDefault="00F94546" w:rsidP="00F94546">
      <w:pPr>
        <w:jc w:val="both"/>
        <w:rPr>
          <w:lang w:val="de-DE"/>
        </w:rPr>
      </w:pPr>
    </w:p>
    <w:p w14:paraId="5C5EAFEA" w14:textId="4E26543E" w:rsidR="00F94546" w:rsidRPr="004676F5" w:rsidRDefault="00BE0A56" w:rsidP="00F94546">
      <w:pPr>
        <w:ind w:firstLine="708"/>
        <w:jc w:val="both"/>
        <w:rPr>
          <w:lang w:val="de-DE"/>
        </w:rPr>
      </w:pPr>
      <w:r w:rsidRPr="004676F5">
        <w:rPr>
          <w:b/>
          <w:lang w:val="de-DE"/>
        </w:rPr>
        <w:t>Art. </w:t>
      </w:r>
      <w:r w:rsidR="00F94546" w:rsidRPr="004676F5">
        <w:rPr>
          <w:b/>
          <w:lang w:val="de-DE"/>
        </w:rPr>
        <w:t>VIII.2</w:t>
      </w:r>
      <w:r w:rsidR="00F94546" w:rsidRPr="004676F5">
        <w:rPr>
          <w:lang w:val="de-DE"/>
        </w:rPr>
        <w:t> </w:t>
      </w:r>
      <w:r w:rsidR="005B7A5C" w:rsidRPr="004676F5">
        <w:rPr>
          <w:lang w:val="de-DE"/>
        </w:rPr>
        <w:t>- </w:t>
      </w:r>
      <w:r w:rsidR="00F94546" w:rsidRPr="004676F5">
        <w:rPr>
          <w:lang w:val="de-DE"/>
        </w:rPr>
        <w:t>Der Staat und öffentlich-rechtliche Personen können durch einfachen Vermerk des Normzeichens auf Normen verweisen, die vom Normungsamt veröffentlicht werden.</w:t>
      </w:r>
    </w:p>
    <w:p w14:paraId="5FA59B51" w14:textId="77777777" w:rsidR="002B63FD" w:rsidRPr="004676F5" w:rsidRDefault="002B63FD" w:rsidP="00F94546">
      <w:pPr>
        <w:ind w:firstLine="708"/>
        <w:jc w:val="both"/>
        <w:rPr>
          <w:lang w:val="de-DE"/>
        </w:rPr>
      </w:pPr>
    </w:p>
    <w:p w14:paraId="2E78ACF9" w14:textId="65C2434C" w:rsidR="002B63FD" w:rsidRPr="004676F5" w:rsidRDefault="002B63FD" w:rsidP="00F94546">
      <w:pPr>
        <w:ind w:firstLine="708"/>
        <w:jc w:val="both"/>
        <w:rPr>
          <w:lang w:val="de-DE"/>
        </w:rPr>
      </w:pPr>
      <w:r w:rsidRPr="004676F5">
        <w:rPr>
          <w:lang w:val="de-DE"/>
        </w:rPr>
        <w:t>[Der Staat und öffentlich-rechtliche Personen können die Anwendung einer Norm oder eines Teils einer Norm, die vom Normungsamt veröffentlicht wurde, verbindlich vorschreiben. Sie setzen das Normungsamt vorab davon in Kenntnis. Für verbindlich erklärte spezifisch belgische Normen können auf eine vom König festgelegte Weise auf der Website des Normungsamtes eingesehen werden, ohne dass sie heruntergeladen oder ausgedruckt werden können. Andere Normen, die für verbindlich erklärt werden, werden vom Urheber der Vorschriften kostenlos in einer Weise zur Verfügung gestellt, dass Urheberrechte in Bezug auf diese Normen eigehalten werden. Wenn eine Übersetzung erforderlich ist, kann das Normungsamt der Regulierungsbehörde die Kosten für die Übersetzung dieser Norm durch einen Dritten in Rechnung stellen.]</w:t>
      </w:r>
    </w:p>
    <w:p w14:paraId="751430FF" w14:textId="77777777" w:rsidR="002B63FD" w:rsidRPr="004676F5" w:rsidRDefault="002B63FD" w:rsidP="002B63FD">
      <w:pPr>
        <w:jc w:val="both"/>
        <w:rPr>
          <w:lang w:val="de-DE"/>
        </w:rPr>
      </w:pPr>
    </w:p>
    <w:p w14:paraId="3926EE19" w14:textId="00A851C8" w:rsidR="002B63FD" w:rsidRPr="004676F5" w:rsidRDefault="002B63FD" w:rsidP="002B63FD">
      <w:pPr>
        <w:jc w:val="both"/>
        <w:rPr>
          <w:i/>
          <w:iCs/>
          <w:lang w:val="de-DE"/>
        </w:rPr>
      </w:pPr>
      <w:r w:rsidRPr="004676F5">
        <w:rPr>
          <w:i/>
          <w:iCs/>
          <w:lang w:val="de-DE"/>
        </w:rPr>
        <w:t>[Art. VIII.2 Abs. 2 eingefügt durch Art. 20 des G. vom 25. September 2022 (B.S. vom 16. Januar 2023)]</w:t>
      </w:r>
    </w:p>
    <w:p w14:paraId="378F7921" w14:textId="77777777" w:rsidR="00F94546" w:rsidRPr="004676F5" w:rsidRDefault="00F94546" w:rsidP="00F94546">
      <w:pPr>
        <w:jc w:val="center"/>
        <w:rPr>
          <w:lang w:val="de-DE"/>
        </w:rPr>
      </w:pPr>
    </w:p>
    <w:p w14:paraId="1626A7A7" w14:textId="77777777" w:rsidR="00F94546" w:rsidRPr="004676F5" w:rsidRDefault="00F94546" w:rsidP="00F94546">
      <w:pPr>
        <w:jc w:val="center"/>
        <w:rPr>
          <w:lang w:val="de-DE"/>
        </w:rPr>
      </w:pPr>
    </w:p>
    <w:p w14:paraId="63FA8224" w14:textId="77777777" w:rsidR="00C76F75" w:rsidRPr="004676F5" w:rsidRDefault="00C76F75">
      <w:pPr>
        <w:rPr>
          <w:lang w:val="de-DE"/>
        </w:rPr>
      </w:pPr>
      <w:r w:rsidRPr="004676F5">
        <w:rPr>
          <w:lang w:val="de-DE"/>
        </w:rPr>
        <w:br w:type="page"/>
      </w:r>
    </w:p>
    <w:p w14:paraId="1C5F7C11" w14:textId="0DEA9CDC" w:rsidR="00F94546" w:rsidRPr="004676F5" w:rsidRDefault="00F94546" w:rsidP="00F94546">
      <w:pPr>
        <w:jc w:val="center"/>
        <w:rPr>
          <w:i/>
          <w:lang w:val="de-DE"/>
        </w:rPr>
      </w:pPr>
      <w:r w:rsidRPr="004676F5">
        <w:rPr>
          <w:lang w:val="de-DE"/>
        </w:rPr>
        <w:lastRenderedPageBreak/>
        <w:t>KAPITEL 2 </w:t>
      </w:r>
      <w:r w:rsidR="005B7A5C" w:rsidRPr="004676F5">
        <w:rPr>
          <w:lang w:val="de-DE"/>
        </w:rPr>
        <w:t>- </w:t>
      </w:r>
      <w:r w:rsidRPr="004676F5">
        <w:rPr>
          <w:i/>
          <w:lang w:val="de-DE"/>
        </w:rPr>
        <w:t>Normungsamt</w:t>
      </w:r>
    </w:p>
    <w:p w14:paraId="16275B9D" w14:textId="77777777" w:rsidR="00F94546" w:rsidRPr="004676F5" w:rsidRDefault="00F94546" w:rsidP="00F94546">
      <w:pPr>
        <w:jc w:val="both"/>
        <w:rPr>
          <w:lang w:val="de-DE"/>
        </w:rPr>
      </w:pPr>
    </w:p>
    <w:p w14:paraId="7EF25BCA" w14:textId="77777777" w:rsidR="00F94546" w:rsidRPr="004676F5" w:rsidRDefault="00F94546" w:rsidP="00F94546">
      <w:pPr>
        <w:jc w:val="both"/>
        <w:rPr>
          <w:lang w:val="de-DE"/>
        </w:rPr>
      </w:pPr>
    </w:p>
    <w:p w14:paraId="32B858B5" w14:textId="490B2F00" w:rsidR="00F94546" w:rsidRPr="004676F5" w:rsidRDefault="00BE0A56" w:rsidP="00F94546">
      <w:pPr>
        <w:ind w:firstLine="708"/>
        <w:jc w:val="both"/>
        <w:rPr>
          <w:lang w:val="de-DE"/>
        </w:rPr>
      </w:pPr>
      <w:r w:rsidRPr="004676F5">
        <w:rPr>
          <w:b/>
          <w:lang w:val="de-DE"/>
        </w:rPr>
        <w:t>Art. </w:t>
      </w:r>
      <w:r w:rsidR="00F94546" w:rsidRPr="004676F5">
        <w:rPr>
          <w:b/>
          <w:lang w:val="de-DE"/>
        </w:rPr>
        <w:t>VIII.3</w:t>
      </w:r>
      <w:r w:rsidR="00F94546" w:rsidRPr="004676F5">
        <w:rPr>
          <w:lang w:val="de-DE"/>
        </w:rPr>
        <w:t> </w:t>
      </w:r>
      <w:r w:rsidR="005B7A5C" w:rsidRPr="004676F5">
        <w:rPr>
          <w:lang w:val="de-DE"/>
        </w:rPr>
        <w:t>- </w:t>
      </w:r>
      <w:r w:rsidR="00F94546" w:rsidRPr="004676F5">
        <w:rPr>
          <w:lang w:val="de-DE"/>
        </w:rPr>
        <w:t>Es wird ein Normungsamt eingerichtet, nachstehend "Amt" genannt. Das Amt ist eine autonome Einrichtung mit Rechtspersönlichkeit, deren Sitz sich im Verwaltungsbezirk Brüssel-Hauptstadt befindet. Das Amt unterliegt dem Gesetz vom 16. März 1954 über die Kontrolle bestimmter Einrichtungen öffentlichen Interesses.</w:t>
      </w:r>
    </w:p>
    <w:p w14:paraId="652FE933" w14:textId="77777777" w:rsidR="00F94546" w:rsidRPr="004676F5" w:rsidRDefault="00F94546" w:rsidP="00F94546">
      <w:pPr>
        <w:jc w:val="both"/>
        <w:rPr>
          <w:lang w:val="de-DE"/>
        </w:rPr>
      </w:pPr>
    </w:p>
    <w:p w14:paraId="7A12345F" w14:textId="77777777" w:rsidR="00F94546" w:rsidRPr="004676F5" w:rsidRDefault="00F94546" w:rsidP="00F94546">
      <w:pPr>
        <w:jc w:val="both"/>
        <w:rPr>
          <w:lang w:val="de-DE"/>
        </w:rPr>
      </w:pPr>
    </w:p>
    <w:p w14:paraId="27702177" w14:textId="05DEAAE2" w:rsidR="00F94546" w:rsidRPr="004676F5" w:rsidRDefault="00BE0A56" w:rsidP="00F94546">
      <w:pPr>
        <w:ind w:firstLine="708"/>
        <w:jc w:val="both"/>
        <w:rPr>
          <w:lang w:val="de-DE"/>
        </w:rPr>
      </w:pPr>
      <w:r w:rsidRPr="004676F5">
        <w:rPr>
          <w:b/>
          <w:lang w:val="de-DE"/>
        </w:rPr>
        <w:t>Art. </w:t>
      </w:r>
      <w:r w:rsidR="00F94546" w:rsidRPr="004676F5">
        <w:rPr>
          <w:b/>
          <w:lang w:val="de-DE"/>
        </w:rPr>
        <w:t>VIII.4</w:t>
      </w:r>
      <w:r w:rsidR="00F94546" w:rsidRPr="004676F5">
        <w:rPr>
          <w:lang w:val="de-DE"/>
        </w:rPr>
        <w:t> </w:t>
      </w:r>
      <w:r w:rsidR="005B7A5C" w:rsidRPr="004676F5">
        <w:rPr>
          <w:lang w:val="de-DE"/>
        </w:rPr>
        <w:t>- </w:t>
      </w:r>
      <w:r w:rsidR="00F94546" w:rsidRPr="004676F5">
        <w:rPr>
          <w:lang w:val="de-DE"/>
        </w:rPr>
        <w:t>Im Rahmen der vom Minister bestimmten Normungspolitik hat das Amt folgende Aufträge:</w:t>
      </w:r>
    </w:p>
    <w:p w14:paraId="13C09CF0" w14:textId="77777777" w:rsidR="00F94546" w:rsidRPr="004676F5" w:rsidRDefault="00F94546" w:rsidP="00F94546">
      <w:pPr>
        <w:jc w:val="both"/>
        <w:rPr>
          <w:lang w:val="de-DE"/>
        </w:rPr>
      </w:pPr>
    </w:p>
    <w:p w14:paraId="5F515A55" w14:textId="77777777" w:rsidR="00F94546" w:rsidRPr="004676F5" w:rsidRDefault="00F94546" w:rsidP="00F94546">
      <w:pPr>
        <w:ind w:firstLine="708"/>
        <w:jc w:val="both"/>
        <w:rPr>
          <w:lang w:val="de-DE"/>
        </w:rPr>
      </w:pPr>
      <w:r w:rsidRPr="004676F5">
        <w:rPr>
          <w:lang w:val="de-DE"/>
        </w:rPr>
        <w:t>1. Ausführung eines allgemeinen Bestandsaufnahmeauftrags, sowohl was den Bedarf an neuen Normen und technischen Dokumenten als auch das Angebot zu ihrer Realisierung betrifft, und Einschätzung der erforderlichen finanziellen Mittel,</w:t>
      </w:r>
    </w:p>
    <w:p w14:paraId="4F036318" w14:textId="77777777" w:rsidR="00F94546" w:rsidRPr="004676F5" w:rsidRDefault="00F94546" w:rsidP="00F94546">
      <w:pPr>
        <w:jc w:val="both"/>
        <w:rPr>
          <w:lang w:val="de-DE"/>
        </w:rPr>
      </w:pPr>
    </w:p>
    <w:p w14:paraId="4FFD5EFE" w14:textId="77777777" w:rsidR="00F94546" w:rsidRPr="004676F5" w:rsidRDefault="00F94546" w:rsidP="00F94546">
      <w:pPr>
        <w:ind w:firstLine="708"/>
        <w:jc w:val="both"/>
        <w:rPr>
          <w:lang w:val="de-DE"/>
        </w:rPr>
      </w:pPr>
      <w:r w:rsidRPr="004676F5">
        <w:rPr>
          <w:lang w:val="de-DE"/>
        </w:rPr>
        <w:t>2. Koordinierung der Normungstätigkeit und Harmonisierung der Regeln, auf denen die Normung gründen muss,</w:t>
      </w:r>
    </w:p>
    <w:p w14:paraId="463216DB" w14:textId="77777777" w:rsidR="00F94546" w:rsidRPr="004676F5" w:rsidRDefault="00F94546" w:rsidP="00F94546">
      <w:pPr>
        <w:ind w:firstLine="708"/>
        <w:jc w:val="both"/>
        <w:rPr>
          <w:lang w:val="de-DE"/>
        </w:rPr>
      </w:pPr>
    </w:p>
    <w:p w14:paraId="0AA3AE92" w14:textId="77777777" w:rsidR="00F94546" w:rsidRPr="004676F5" w:rsidRDefault="00F94546" w:rsidP="00F94546">
      <w:pPr>
        <w:ind w:firstLine="708"/>
        <w:jc w:val="both"/>
        <w:rPr>
          <w:lang w:val="de-DE"/>
        </w:rPr>
      </w:pPr>
      <w:r w:rsidRPr="004676F5">
        <w:rPr>
          <w:lang w:val="de-DE"/>
        </w:rPr>
        <w:t>3. Zentralisierung, Prüfung, Konsultierung und/oder Billigung von Normentwürfen,</w:t>
      </w:r>
    </w:p>
    <w:p w14:paraId="446CD6CE" w14:textId="77777777" w:rsidR="00F94546" w:rsidRPr="004676F5" w:rsidRDefault="00F94546" w:rsidP="00F94546">
      <w:pPr>
        <w:ind w:firstLine="708"/>
        <w:jc w:val="both"/>
        <w:rPr>
          <w:lang w:val="de-DE"/>
        </w:rPr>
      </w:pPr>
    </w:p>
    <w:p w14:paraId="1E79666B" w14:textId="77777777" w:rsidR="00F94546" w:rsidRPr="004676F5" w:rsidRDefault="00F94546" w:rsidP="00F94546">
      <w:pPr>
        <w:ind w:firstLine="708"/>
        <w:jc w:val="both"/>
        <w:rPr>
          <w:lang w:val="de-DE"/>
        </w:rPr>
      </w:pPr>
      <w:r w:rsidRPr="004676F5">
        <w:rPr>
          <w:lang w:val="de-DE"/>
        </w:rPr>
        <w:t>4. Verbreitung der Normen und technischen Dokumente,</w:t>
      </w:r>
    </w:p>
    <w:p w14:paraId="325AD896" w14:textId="77777777" w:rsidR="00F94546" w:rsidRPr="004676F5" w:rsidRDefault="00F94546" w:rsidP="00F94546">
      <w:pPr>
        <w:ind w:firstLine="708"/>
        <w:jc w:val="both"/>
        <w:rPr>
          <w:lang w:val="de-DE"/>
        </w:rPr>
      </w:pPr>
    </w:p>
    <w:p w14:paraId="6233B16E" w14:textId="77777777" w:rsidR="00F94546" w:rsidRPr="004676F5" w:rsidRDefault="00F94546" w:rsidP="00F94546">
      <w:pPr>
        <w:ind w:firstLine="708"/>
        <w:jc w:val="both"/>
        <w:rPr>
          <w:lang w:val="de-DE"/>
        </w:rPr>
      </w:pPr>
      <w:r w:rsidRPr="004676F5">
        <w:rPr>
          <w:lang w:val="de-DE"/>
        </w:rPr>
        <w:t>5. Förderung der Normung und Koordinierung von Maßnahmen zur Erleichterung ihrer Anwendung,</w:t>
      </w:r>
    </w:p>
    <w:p w14:paraId="742AB8FA" w14:textId="77777777" w:rsidR="00F94546" w:rsidRPr="004676F5" w:rsidRDefault="00F94546" w:rsidP="00F94546">
      <w:pPr>
        <w:jc w:val="both"/>
        <w:rPr>
          <w:lang w:val="de-DE"/>
        </w:rPr>
      </w:pPr>
    </w:p>
    <w:p w14:paraId="26073DDE" w14:textId="77777777" w:rsidR="00F94546" w:rsidRPr="004676F5" w:rsidRDefault="00F94546" w:rsidP="00F94546">
      <w:pPr>
        <w:ind w:firstLine="708"/>
        <w:jc w:val="both"/>
        <w:rPr>
          <w:lang w:val="de-DE"/>
        </w:rPr>
      </w:pPr>
      <w:r w:rsidRPr="004676F5">
        <w:rPr>
          <w:lang w:val="de-DE"/>
        </w:rPr>
        <w:t>6. Verwaltung der ihm zuerkannten Mittel, die der Entwicklung von wissenschaftlichen und technischen Kompetenzen in zu normenden Fachgebieten gewidmet werden,</w:t>
      </w:r>
    </w:p>
    <w:p w14:paraId="7EDD289D" w14:textId="77777777" w:rsidR="00F94546" w:rsidRPr="004676F5" w:rsidRDefault="00F94546" w:rsidP="00F94546">
      <w:pPr>
        <w:jc w:val="both"/>
        <w:rPr>
          <w:lang w:val="de-DE"/>
        </w:rPr>
      </w:pPr>
    </w:p>
    <w:p w14:paraId="056C0D5E" w14:textId="77777777" w:rsidR="00F94546" w:rsidRPr="004676F5" w:rsidRDefault="00F94546" w:rsidP="00F94546">
      <w:pPr>
        <w:ind w:firstLine="708"/>
        <w:jc w:val="both"/>
        <w:rPr>
          <w:lang w:val="de-DE"/>
        </w:rPr>
      </w:pPr>
      <w:r w:rsidRPr="004676F5">
        <w:rPr>
          <w:lang w:val="de-DE"/>
        </w:rPr>
        <w:t>7. Ausarbeitung von Normen und Weiterverfolgung, Entwicklung und Ausarbeitung von technischen Dokumenten, die als neue Produkte nicht den Status einer Norm haben, aber den Markterfordernissen entsprechen,</w:t>
      </w:r>
    </w:p>
    <w:p w14:paraId="1D498C38" w14:textId="77777777" w:rsidR="00F94546" w:rsidRPr="004676F5" w:rsidRDefault="00F94546" w:rsidP="00F94546">
      <w:pPr>
        <w:jc w:val="both"/>
        <w:rPr>
          <w:lang w:val="de-DE"/>
        </w:rPr>
      </w:pPr>
    </w:p>
    <w:p w14:paraId="2994F53F" w14:textId="77777777" w:rsidR="00F94546" w:rsidRPr="004676F5" w:rsidRDefault="00F94546" w:rsidP="00F94546">
      <w:pPr>
        <w:ind w:firstLine="708"/>
        <w:jc w:val="both"/>
        <w:rPr>
          <w:lang w:val="de-DE"/>
        </w:rPr>
      </w:pPr>
      <w:r w:rsidRPr="004676F5">
        <w:rPr>
          <w:lang w:val="de-DE"/>
        </w:rPr>
        <w:t>8. Vertretung der belgischen Interessen in europäischen und internationalen Normungsgremien,</w:t>
      </w:r>
    </w:p>
    <w:p w14:paraId="52912E81" w14:textId="77777777" w:rsidR="00F94546" w:rsidRPr="004676F5" w:rsidRDefault="00F94546" w:rsidP="00F94546">
      <w:pPr>
        <w:jc w:val="both"/>
        <w:rPr>
          <w:lang w:val="de-DE"/>
        </w:rPr>
      </w:pPr>
    </w:p>
    <w:p w14:paraId="26B1E2AE" w14:textId="5B510EDD" w:rsidR="00F94546" w:rsidRPr="004676F5" w:rsidRDefault="00002C1A" w:rsidP="00F94546">
      <w:pPr>
        <w:ind w:firstLine="708"/>
        <w:jc w:val="both"/>
        <w:rPr>
          <w:lang w:val="de-DE"/>
        </w:rPr>
      </w:pPr>
      <w:r w:rsidRPr="004676F5">
        <w:rPr>
          <w:lang w:val="de-DE"/>
        </w:rPr>
        <w:t xml:space="preserve">9. </w:t>
      </w:r>
      <w:r w:rsidR="00F94546" w:rsidRPr="004676F5">
        <w:rPr>
          <w:lang w:val="de-DE"/>
        </w:rPr>
        <w:t>Errichtung und Auflösung von Normungsausschüssen,</w:t>
      </w:r>
    </w:p>
    <w:p w14:paraId="1152028F" w14:textId="77777777" w:rsidR="00F94546" w:rsidRPr="004676F5" w:rsidRDefault="00F94546" w:rsidP="00F94546">
      <w:pPr>
        <w:jc w:val="both"/>
        <w:rPr>
          <w:lang w:val="de-DE"/>
        </w:rPr>
      </w:pPr>
    </w:p>
    <w:p w14:paraId="1238D728" w14:textId="77777777" w:rsidR="00F94546" w:rsidRPr="004676F5" w:rsidRDefault="00F94546" w:rsidP="00F94546">
      <w:pPr>
        <w:ind w:firstLine="708"/>
        <w:jc w:val="both"/>
        <w:rPr>
          <w:lang w:val="de-DE"/>
        </w:rPr>
      </w:pPr>
      <w:r w:rsidRPr="004676F5">
        <w:rPr>
          <w:lang w:val="de-DE"/>
        </w:rPr>
        <w:t>10. Anerkennung und Entzug der Anerkennung von sektoralen Normungsstellen gemäß Modalitäten, die der König durch einen im Ministerrat beratenen Erlass bestimmt,</w:t>
      </w:r>
    </w:p>
    <w:p w14:paraId="29A2DDA5" w14:textId="77777777" w:rsidR="00F94546" w:rsidRPr="004676F5" w:rsidRDefault="00F94546" w:rsidP="00F94546">
      <w:pPr>
        <w:jc w:val="both"/>
        <w:rPr>
          <w:lang w:val="de-DE"/>
        </w:rPr>
      </w:pPr>
    </w:p>
    <w:p w14:paraId="681DBAB0" w14:textId="77777777" w:rsidR="00F94546" w:rsidRPr="004676F5" w:rsidRDefault="00F94546" w:rsidP="00F94546">
      <w:pPr>
        <w:ind w:firstLine="708"/>
        <w:jc w:val="both"/>
        <w:rPr>
          <w:lang w:val="de-DE"/>
        </w:rPr>
      </w:pPr>
      <w:r w:rsidRPr="004676F5">
        <w:rPr>
          <w:lang w:val="de-DE"/>
        </w:rPr>
        <w:t>11. Ausführung von Aufgaben in Zusammenhang mit Normung und Zertifizierung, die der König ihm durch einen im Ministerrat beratenen Erlass aufträgt.</w:t>
      </w:r>
    </w:p>
    <w:p w14:paraId="578FD12C" w14:textId="77777777" w:rsidR="00F94546" w:rsidRPr="004676F5" w:rsidRDefault="00F94546" w:rsidP="00F94546">
      <w:pPr>
        <w:jc w:val="both"/>
        <w:rPr>
          <w:lang w:val="de-DE"/>
        </w:rPr>
      </w:pPr>
    </w:p>
    <w:p w14:paraId="435859A7" w14:textId="77777777" w:rsidR="00F94546" w:rsidRPr="004676F5" w:rsidRDefault="00F94546" w:rsidP="00F94546">
      <w:pPr>
        <w:jc w:val="both"/>
        <w:rPr>
          <w:lang w:val="de-DE"/>
        </w:rPr>
      </w:pPr>
    </w:p>
    <w:p w14:paraId="2F743F40" w14:textId="37DDFDFA" w:rsidR="00F94546" w:rsidRPr="004676F5" w:rsidRDefault="00BE0A56" w:rsidP="00F94546">
      <w:pPr>
        <w:ind w:firstLine="708"/>
        <w:jc w:val="both"/>
        <w:rPr>
          <w:lang w:val="de-DE"/>
        </w:rPr>
      </w:pPr>
      <w:r w:rsidRPr="004676F5">
        <w:rPr>
          <w:b/>
          <w:lang w:val="de-DE"/>
        </w:rPr>
        <w:t>Art. </w:t>
      </w:r>
      <w:r w:rsidR="00F94546" w:rsidRPr="004676F5">
        <w:rPr>
          <w:b/>
          <w:lang w:val="de-DE"/>
        </w:rPr>
        <w:t>VIII.5</w:t>
      </w:r>
      <w:r w:rsidR="00F94546" w:rsidRPr="004676F5">
        <w:rPr>
          <w:lang w:val="de-DE"/>
        </w:rPr>
        <w:t> </w:t>
      </w:r>
      <w:r w:rsidR="005B7A5C" w:rsidRPr="004676F5">
        <w:rPr>
          <w:lang w:val="de-DE"/>
        </w:rPr>
        <w:t>- </w:t>
      </w:r>
      <w:r w:rsidR="00F94546" w:rsidRPr="004676F5">
        <w:rPr>
          <w:lang w:val="de-DE"/>
        </w:rPr>
        <w:t>Das allgemeine Schema der Normungsprogramme wird jedes Jahr in Übereinstimmung mit der vom Minister bestimmten Politik vom Amt festgelegt auf der Grundlage der Finanzierungsmöglichkeiten und der von ihm bei den wirtschaftlichen und gesellschaftlichen Partnern und den Normungsausschüssen festgestellten Bedürfnisse. Der König kann Art des Inhalts und Modalitäten der Gestaltung des allgemeinen Schemas bestimmen.</w:t>
      </w:r>
    </w:p>
    <w:p w14:paraId="19AB3D17" w14:textId="77777777" w:rsidR="00F94546" w:rsidRPr="004676F5" w:rsidRDefault="00F94546" w:rsidP="00F94546">
      <w:pPr>
        <w:jc w:val="both"/>
        <w:rPr>
          <w:lang w:val="de-DE"/>
        </w:rPr>
      </w:pPr>
    </w:p>
    <w:p w14:paraId="59534FBB" w14:textId="77777777" w:rsidR="00F94546" w:rsidRPr="004676F5" w:rsidRDefault="00F94546" w:rsidP="00F94546">
      <w:pPr>
        <w:jc w:val="both"/>
        <w:rPr>
          <w:lang w:val="de-DE"/>
        </w:rPr>
      </w:pPr>
    </w:p>
    <w:p w14:paraId="6C26917F" w14:textId="75BB7896" w:rsidR="00F94546" w:rsidRPr="004676F5" w:rsidRDefault="00BE0A56" w:rsidP="00F94546">
      <w:pPr>
        <w:ind w:firstLine="708"/>
        <w:jc w:val="both"/>
        <w:rPr>
          <w:lang w:val="de-DE"/>
        </w:rPr>
      </w:pPr>
      <w:r w:rsidRPr="004676F5">
        <w:rPr>
          <w:b/>
          <w:lang w:val="de-DE"/>
        </w:rPr>
        <w:t>Art. </w:t>
      </w:r>
      <w:r w:rsidR="00F94546" w:rsidRPr="004676F5">
        <w:rPr>
          <w:b/>
          <w:lang w:val="de-DE"/>
        </w:rPr>
        <w:t>VIII.6</w:t>
      </w:r>
      <w:r w:rsidR="00F94546" w:rsidRPr="004676F5">
        <w:rPr>
          <w:lang w:val="de-DE"/>
        </w:rPr>
        <w:t> </w:t>
      </w:r>
      <w:r w:rsidR="005B7A5C" w:rsidRPr="004676F5">
        <w:rPr>
          <w:lang w:val="de-DE"/>
        </w:rPr>
        <w:t>- </w:t>
      </w:r>
      <w:r w:rsidR="00F94546" w:rsidRPr="004676F5">
        <w:rPr>
          <w:lang w:val="de-DE"/>
        </w:rPr>
        <w:t>Die Ausarbeitung von Normentwürfen wird von den Normungsausschüssen je nach Fall begleitet beziehungsweise durchgeführt.</w:t>
      </w:r>
    </w:p>
    <w:p w14:paraId="1EA8A9CD" w14:textId="77777777" w:rsidR="00F94546" w:rsidRPr="004676F5" w:rsidRDefault="00F94546" w:rsidP="00F94546">
      <w:pPr>
        <w:jc w:val="both"/>
        <w:rPr>
          <w:lang w:val="de-DE"/>
        </w:rPr>
      </w:pPr>
    </w:p>
    <w:p w14:paraId="4786F045" w14:textId="77777777" w:rsidR="00F94546" w:rsidRPr="004676F5" w:rsidRDefault="00F94546" w:rsidP="00F94546">
      <w:pPr>
        <w:jc w:val="both"/>
        <w:rPr>
          <w:lang w:val="de-DE"/>
        </w:rPr>
      </w:pPr>
    </w:p>
    <w:p w14:paraId="1EBC55E5" w14:textId="17247420" w:rsidR="00F94546" w:rsidRPr="004676F5" w:rsidRDefault="00BE0A56" w:rsidP="00F94546">
      <w:pPr>
        <w:ind w:firstLine="708"/>
        <w:jc w:val="both"/>
        <w:rPr>
          <w:lang w:val="de-DE"/>
        </w:rPr>
      </w:pPr>
      <w:r w:rsidRPr="004676F5">
        <w:rPr>
          <w:b/>
          <w:lang w:val="de-DE"/>
        </w:rPr>
        <w:t>Art. </w:t>
      </w:r>
      <w:r w:rsidR="00F94546" w:rsidRPr="004676F5">
        <w:rPr>
          <w:b/>
          <w:lang w:val="de-DE"/>
        </w:rPr>
        <w:t>VIII.7</w:t>
      </w:r>
      <w:r w:rsidR="00F94546" w:rsidRPr="004676F5">
        <w:rPr>
          <w:lang w:val="de-DE"/>
        </w:rPr>
        <w:t> </w:t>
      </w:r>
      <w:r w:rsidR="005B7A5C" w:rsidRPr="004676F5">
        <w:rPr>
          <w:lang w:val="de-DE"/>
        </w:rPr>
        <w:t>- </w:t>
      </w:r>
      <w:r w:rsidR="00F94546" w:rsidRPr="004676F5">
        <w:rPr>
          <w:lang w:val="de-DE"/>
        </w:rPr>
        <w:t>Das Amt setzt alles daran, damit die wichtigsten interessierten Kreise in den Normungsausschüssen vertreten sind. Es ist damit beauftragt, den Normungsausschüssen und sektoralen Normungsstellen technische und wirtschaftliche Informationen bereitzustellen, über die es verfügt und die für ihre Arbeit notwendig sind.</w:t>
      </w:r>
    </w:p>
    <w:p w14:paraId="3A37E8F7" w14:textId="77777777" w:rsidR="00F94546" w:rsidRPr="004676F5" w:rsidRDefault="00F94546" w:rsidP="00F94546">
      <w:pPr>
        <w:jc w:val="both"/>
        <w:rPr>
          <w:lang w:val="de-DE"/>
        </w:rPr>
      </w:pPr>
    </w:p>
    <w:p w14:paraId="0DF11D1B" w14:textId="77777777" w:rsidR="00F94546" w:rsidRPr="004676F5" w:rsidRDefault="00F94546" w:rsidP="00F94546">
      <w:pPr>
        <w:jc w:val="both"/>
        <w:rPr>
          <w:lang w:val="de-DE"/>
        </w:rPr>
      </w:pPr>
    </w:p>
    <w:p w14:paraId="75F65252" w14:textId="2D492E6F" w:rsidR="00F94546" w:rsidRPr="004676F5" w:rsidRDefault="00BE0A56" w:rsidP="00F94546">
      <w:pPr>
        <w:ind w:firstLine="708"/>
        <w:jc w:val="both"/>
        <w:rPr>
          <w:lang w:val="de-DE"/>
        </w:rPr>
      </w:pPr>
      <w:r w:rsidRPr="004676F5">
        <w:rPr>
          <w:b/>
          <w:lang w:val="de-DE"/>
        </w:rPr>
        <w:t>Art. </w:t>
      </w:r>
      <w:r w:rsidR="00F94546" w:rsidRPr="004676F5">
        <w:rPr>
          <w:b/>
          <w:lang w:val="de-DE"/>
        </w:rPr>
        <w:t>VIII.8</w:t>
      </w:r>
      <w:r w:rsidR="00F94546" w:rsidRPr="004676F5">
        <w:rPr>
          <w:lang w:val="de-DE"/>
        </w:rPr>
        <w:t> </w:t>
      </w:r>
      <w:r w:rsidR="005B7A5C" w:rsidRPr="004676F5">
        <w:rPr>
          <w:lang w:val="de-DE"/>
        </w:rPr>
        <w:t>- </w:t>
      </w:r>
      <w:r w:rsidR="00F94546" w:rsidRPr="004676F5">
        <w:rPr>
          <w:lang w:val="de-DE"/>
        </w:rPr>
        <w:t>Die Normungsausschüsse beziehen in ihre technischen Normungsarbeiten anerkannte sektorale Normungsstellen ein, die hierfür in einem oder mehreren Bereichen die erforderliche Sachkunde besitzen. Diese können damit beauftragt werden, den Vorsitz oder das technische Sekretariat ihrer Ausschüsse zu führen.</w:t>
      </w:r>
    </w:p>
    <w:p w14:paraId="05C118DE" w14:textId="77777777" w:rsidR="00F94546" w:rsidRPr="004676F5" w:rsidRDefault="00F94546" w:rsidP="00F94546">
      <w:pPr>
        <w:jc w:val="both"/>
        <w:rPr>
          <w:lang w:val="de-DE"/>
        </w:rPr>
      </w:pPr>
    </w:p>
    <w:p w14:paraId="5BE3A08A" w14:textId="77777777" w:rsidR="00F94546" w:rsidRPr="004676F5" w:rsidRDefault="00F94546" w:rsidP="00F94546">
      <w:pPr>
        <w:jc w:val="both"/>
        <w:rPr>
          <w:lang w:val="de-DE"/>
        </w:rPr>
      </w:pPr>
    </w:p>
    <w:p w14:paraId="4692A832" w14:textId="3AB95CA8" w:rsidR="00F94546" w:rsidRPr="004676F5" w:rsidRDefault="00BE0A56" w:rsidP="00F94546">
      <w:pPr>
        <w:ind w:firstLine="708"/>
        <w:jc w:val="both"/>
        <w:rPr>
          <w:lang w:val="de-DE"/>
        </w:rPr>
      </w:pPr>
      <w:r w:rsidRPr="004676F5">
        <w:rPr>
          <w:b/>
          <w:lang w:val="de-DE"/>
        </w:rPr>
        <w:t>Art. </w:t>
      </w:r>
      <w:r w:rsidR="00F94546" w:rsidRPr="004676F5">
        <w:rPr>
          <w:b/>
          <w:lang w:val="de-DE"/>
        </w:rPr>
        <w:t>VIII.9</w:t>
      </w:r>
      <w:r w:rsidR="00F94546" w:rsidRPr="004676F5">
        <w:rPr>
          <w:lang w:val="de-DE"/>
        </w:rPr>
        <w:t> </w:t>
      </w:r>
      <w:r w:rsidR="005B7A5C" w:rsidRPr="004676F5">
        <w:rPr>
          <w:lang w:val="de-DE"/>
        </w:rPr>
        <w:t>- </w:t>
      </w:r>
      <w:r w:rsidR="00F94546" w:rsidRPr="004676F5">
        <w:rPr>
          <w:lang w:val="de-DE"/>
        </w:rPr>
        <w:t>Das Amt, die Normungsausschüsse und die sektoralen Normungsstellen tragen jeweils in ihrem Zuständigkeitsbereich zur Ausführung der in Artikel VIII.5 erwähnten Normungsprogramme bei gemäß Modalitäten, die der König festlegt.</w:t>
      </w:r>
    </w:p>
    <w:p w14:paraId="034B6CBF" w14:textId="77777777" w:rsidR="00F94546" w:rsidRPr="004676F5" w:rsidRDefault="00F94546" w:rsidP="00F94546">
      <w:pPr>
        <w:jc w:val="both"/>
        <w:rPr>
          <w:lang w:val="de-DE"/>
        </w:rPr>
      </w:pPr>
    </w:p>
    <w:p w14:paraId="7F97820C" w14:textId="77777777" w:rsidR="00F94546" w:rsidRPr="004676F5" w:rsidRDefault="00F94546" w:rsidP="00F94546">
      <w:pPr>
        <w:jc w:val="both"/>
        <w:rPr>
          <w:lang w:val="de-DE"/>
        </w:rPr>
      </w:pPr>
    </w:p>
    <w:p w14:paraId="7264FC12" w14:textId="786AB5C0" w:rsidR="00F94546" w:rsidRPr="004676F5" w:rsidRDefault="00BE0A56" w:rsidP="00F94546">
      <w:pPr>
        <w:ind w:firstLine="708"/>
        <w:jc w:val="both"/>
        <w:rPr>
          <w:lang w:val="de-DE"/>
        </w:rPr>
      </w:pPr>
      <w:r w:rsidRPr="004676F5">
        <w:rPr>
          <w:b/>
          <w:lang w:val="de-DE"/>
        </w:rPr>
        <w:t>Art. </w:t>
      </w:r>
      <w:r w:rsidR="00F94546" w:rsidRPr="004676F5">
        <w:rPr>
          <w:b/>
          <w:lang w:val="de-DE"/>
        </w:rPr>
        <w:t>VIII.10</w:t>
      </w:r>
      <w:r w:rsidR="00F94546" w:rsidRPr="004676F5">
        <w:rPr>
          <w:lang w:val="de-DE"/>
        </w:rPr>
        <w:t> </w:t>
      </w:r>
      <w:r w:rsidR="005B7A5C" w:rsidRPr="004676F5">
        <w:rPr>
          <w:lang w:val="de-DE"/>
        </w:rPr>
        <w:t>- </w:t>
      </w:r>
      <w:r w:rsidR="00F94546" w:rsidRPr="004676F5">
        <w:rPr>
          <w:lang w:val="de-DE"/>
        </w:rPr>
        <w:t>§ 1 </w:t>
      </w:r>
      <w:r w:rsidR="005B7A5C" w:rsidRPr="004676F5">
        <w:rPr>
          <w:lang w:val="de-DE"/>
        </w:rPr>
        <w:t>- </w:t>
      </w:r>
      <w:r w:rsidR="00F94546" w:rsidRPr="004676F5">
        <w:rPr>
          <w:lang w:val="de-DE"/>
        </w:rPr>
        <w:t>In Artikel VIII.5 erwähnte Programme, die vom Amt festgelegt werden, werden anteilsmäßig im Verhältnis der Interessen der interessierten Kreise durch technische und/oder finanzielle Beiträge finanziert.</w:t>
      </w:r>
    </w:p>
    <w:p w14:paraId="27273D18" w14:textId="77777777" w:rsidR="00F94546" w:rsidRPr="004676F5" w:rsidRDefault="00F94546" w:rsidP="00F94546">
      <w:pPr>
        <w:jc w:val="both"/>
        <w:rPr>
          <w:lang w:val="de-DE"/>
        </w:rPr>
      </w:pPr>
    </w:p>
    <w:p w14:paraId="275F939E" w14:textId="089DEC11" w:rsidR="00F94546" w:rsidRPr="004676F5" w:rsidRDefault="00F94546" w:rsidP="00F94546">
      <w:pPr>
        <w:ind w:firstLine="708"/>
        <w:jc w:val="both"/>
        <w:rPr>
          <w:lang w:val="de-DE"/>
        </w:rPr>
      </w:pPr>
      <w:r w:rsidRPr="004676F5">
        <w:rPr>
          <w:lang w:val="de-DE"/>
        </w:rPr>
        <w:t>§ 2 </w:t>
      </w:r>
      <w:r w:rsidR="005B7A5C" w:rsidRPr="004676F5">
        <w:rPr>
          <w:lang w:val="de-DE"/>
        </w:rPr>
        <w:t>- </w:t>
      </w:r>
      <w:r w:rsidRPr="004676F5">
        <w:rPr>
          <w:lang w:val="de-DE"/>
        </w:rPr>
        <w:t>Das Amt wird finanziert durch:</w:t>
      </w:r>
    </w:p>
    <w:p w14:paraId="18AEDC55" w14:textId="77777777" w:rsidR="00F94546" w:rsidRPr="004676F5" w:rsidRDefault="00F94546" w:rsidP="00F94546">
      <w:pPr>
        <w:jc w:val="both"/>
        <w:rPr>
          <w:lang w:val="de-DE"/>
        </w:rPr>
      </w:pPr>
    </w:p>
    <w:p w14:paraId="07476ABF" w14:textId="41356609" w:rsidR="00F94546" w:rsidRPr="004676F5" w:rsidRDefault="00F94546" w:rsidP="00F94546">
      <w:pPr>
        <w:ind w:firstLine="708"/>
        <w:jc w:val="both"/>
        <w:rPr>
          <w:lang w:val="de-DE"/>
        </w:rPr>
      </w:pPr>
      <w:r w:rsidRPr="004676F5">
        <w:rPr>
          <w:lang w:val="de-DE"/>
        </w:rPr>
        <w:t>1. eine Dotation zu Lasten des föderalen Haushaltsplans, die auf die Haushaltsmittel des Föderalen Öffentlichen Dienstes Wirtschaft, KMB, Mittelstand und Energie angerechnet wird,</w:t>
      </w:r>
      <w:r w:rsidR="002B63FD" w:rsidRPr="004676F5">
        <w:rPr>
          <w:lang w:val="de-DE"/>
        </w:rPr>
        <w:t xml:space="preserve"> [deren Verwendung durch eine Vereinbarung zwischen dem Föderalen Öffentlichen Dienst Wirtschaft, KMB, Mittelstand und Energie und dem Amt geregelt wird, in der die vom Amt mit dieser Dotation ausgeführten Aufträge allgemeinen Interesses näher angegeben werden und Modalitäten, Bedingungen, Berichterstattung und Finanzierungsweise in Bezug auf die Ausführung dieser Aufträge durch das Amt festgelegt werden,]</w:t>
      </w:r>
    </w:p>
    <w:p w14:paraId="59D6C7E6" w14:textId="77777777" w:rsidR="00F94546" w:rsidRPr="004676F5" w:rsidRDefault="00F94546" w:rsidP="00F94546">
      <w:pPr>
        <w:jc w:val="both"/>
        <w:rPr>
          <w:lang w:val="de-DE"/>
        </w:rPr>
      </w:pPr>
    </w:p>
    <w:p w14:paraId="1FBFAA55" w14:textId="77777777" w:rsidR="00F94546" w:rsidRPr="004676F5" w:rsidRDefault="00F94546" w:rsidP="00F94546">
      <w:pPr>
        <w:ind w:firstLine="708"/>
        <w:jc w:val="both"/>
        <w:rPr>
          <w:lang w:val="de-DE"/>
        </w:rPr>
      </w:pPr>
      <w:r w:rsidRPr="004676F5">
        <w:rPr>
          <w:lang w:val="de-DE"/>
        </w:rPr>
        <w:t>2. Vergütungen, die der König durch einen im Ministerrat beratenen Erlass zur Finanzierung bestimmter Normungsprogramme allgemeinen Interesses auferlegt und die anteilsmäßig bei den in den Normungsausschüssen vertretenen Parteien erhoben werden im Verhältnis zu der Menge technischer und wirtschaftlicher Informationen wie in Artikel VIII.7 erwähnt, die das Amt ihnen bereitstellt,</w:t>
      </w:r>
    </w:p>
    <w:p w14:paraId="16F64850" w14:textId="77777777" w:rsidR="00F94546" w:rsidRPr="004676F5" w:rsidRDefault="00F94546" w:rsidP="00F94546">
      <w:pPr>
        <w:ind w:firstLine="708"/>
        <w:jc w:val="both"/>
        <w:rPr>
          <w:lang w:val="de-DE"/>
        </w:rPr>
      </w:pPr>
    </w:p>
    <w:p w14:paraId="0140D8D8" w14:textId="77777777" w:rsidR="00F94546" w:rsidRPr="004676F5" w:rsidRDefault="00F94546" w:rsidP="00F94546">
      <w:pPr>
        <w:ind w:firstLine="708"/>
        <w:jc w:val="both"/>
        <w:rPr>
          <w:lang w:val="de-DE"/>
        </w:rPr>
      </w:pPr>
      <w:r w:rsidRPr="004676F5">
        <w:rPr>
          <w:lang w:val="de-DE"/>
        </w:rPr>
        <w:t>3. freiwillige oder vertragliche Beiträge,</w:t>
      </w:r>
    </w:p>
    <w:p w14:paraId="2FCB774A" w14:textId="77777777" w:rsidR="00F94546" w:rsidRPr="004676F5" w:rsidRDefault="00F94546" w:rsidP="00F94546">
      <w:pPr>
        <w:jc w:val="both"/>
        <w:rPr>
          <w:lang w:val="de-DE"/>
        </w:rPr>
      </w:pPr>
    </w:p>
    <w:p w14:paraId="2BAC1ACA" w14:textId="77777777" w:rsidR="00F94546" w:rsidRPr="004676F5" w:rsidRDefault="00F94546" w:rsidP="00F94546">
      <w:pPr>
        <w:ind w:firstLine="708"/>
        <w:jc w:val="both"/>
        <w:rPr>
          <w:lang w:val="de-DE"/>
        </w:rPr>
      </w:pPr>
      <w:r w:rsidRPr="004676F5">
        <w:rPr>
          <w:lang w:val="de-DE"/>
        </w:rPr>
        <w:t>4. gelegentliche Einkünfte,</w:t>
      </w:r>
    </w:p>
    <w:p w14:paraId="048C929D" w14:textId="77777777" w:rsidR="00F94546" w:rsidRPr="004676F5" w:rsidRDefault="00F94546" w:rsidP="00F94546">
      <w:pPr>
        <w:jc w:val="both"/>
        <w:rPr>
          <w:lang w:val="de-DE"/>
        </w:rPr>
      </w:pPr>
    </w:p>
    <w:p w14:paraId="1FE136FD" w14:textId="77777777" w:rsidR="00F94546" w:rsidRPr="004676F5" w:rsidRDefault="00F94546" w:rsidP="00F94546">
      <w:pPr>
        <w:ind w:firstLine="708"/>
        <w:jc w:val="both"/>
        <w:rPr>
          <w:lang w:val="de-DE"/>
        </w:rPr>
      </w:pPr>
      <w:r w:rsidRPr="004676F5">
        <w:rPr>
          <w:lang w:val="de-DE"/>
        </w:rPr>
        <w:t>5. Einkünfte, die direkt oder indirekt aus den Tätigkeiten des Amtes hervorgehen.</w:t>
      </w:r>
    </w:p>
    <w:p w14:paraId="1E074E9B" w14:textId="77777777" w:rsidR="00F94546" w:rsidRPr="004676F5" w:rsidRDefault="00F94546" w:rsidP="00F94546">
      <w:pPr>
        <w:jc w:val="both"/>
        <w:rPr>
          <w:lang w:val="de-DE"/>
        </w:rPr>
      </w:pPr>
    </w:p>
    <w:p w14:paraId="45FACA57" w14:textId="1E13B9F6" w:rsidR="002B63FD" w:rsidRPr="004676F5" w:rsidRDefault="002B63FD" w:rsidP="00F94546">
      <w:pPr>
        <w:jc w:val="both"/>
        <w:rPr>
          <w:i/>
          <w:iCs/>
          <w:lang w:val="de-DE"/>
        </w:rPr>
      </w:pPr>
      <w:r w:rsidRPr="004676F5">
        <w:rPr>
          <w:i/>
          <w:iCs/>
          <w:lang w:val="de-DE"/>
        </w:rPr>
        <w:t>[Art. VIII.10 § 2 einziger Absatz Nr. 1 abgeändert durch Art. 21 des G. vom 25. September 2022 (B.S. vom 16. Januar 2023)]</w:t>
      </w:r>
    </w:p>
    <w:p w14:paraId="195F6578" w14:textId="77777777" w:rsidR="00F94546" w:rsidRPr="004676F5" w:rsidRDefault="00F94546" w:rsidP="00F94546">
      <w:pPr>
        <w:jc w:val="both"/>
        <w:rPr>
          <w:lang w:val="de-DE"/>
        </w:rPr>
      </w:pPr>
    </w:p>
    <w:p w14:paraId="7BC45D8E" w14:textId="232CDCDE" w:rsidR="00F94546" w:rsidRPr="004676F5" w:rsidRDefault="00BE0A56" w:rsidP="00F94546">
      <w:pPr>
        <w:ind w:firstLine="708"/>
        <w:jc w:val="both"/>
        <w:rPr>
          <w:lang w:val="de-DE"/>
        </w:rPr>
      </w:pPr>
      <w:r w:rsidRPr="004676F5">
        <w:rPr>
          <w:b/>
          <w:lang w:val="de-DE"/>
        </w:rPr>
        <w:lastRenderedPageBreak/>
        <w:t>Art. </w:t>
      </w:r>
      <w:r w:rsidR="00F94546" w:rsidRPr="004676F5">
        <w:rPr>
          <w:b/>
          <w:lang w:val="de-DE"/>
        </w:rPr>
        <w:t>VIII.11</w:t>
      </w:r>
      <w:r w:rsidR="00F94546" w:rsidRPr="004676F5">
        <w:rPr>
          <w:lang w:val="de-DE"/>
        </w:rPr>
        <w:t> </w:t>
      </w:r>
      <w:r w:rsidR="005B7A5C" w:rsidRPr="004676F5">
        <w:rPr>
          <w:lang w:val="de-DE"/>
        </w:rPr>
        <w:t>- </w:t>
      </w:r>
      <w:r w:rsidR="00F94546" w:rsidRPr="004676F5">
        <w:rPr>
          <w:lang w:val="de-DE"/>
        </w:rPr>
        <w:t>Die Buchhaltung des Amtes wird gemäß den Bestimmungen des Gesetzes vom 17. Juli 1975 über die Buchhaltung der Unternehmen und seiner Ausführungserlasse geführt. Das Amt strebt ein finanzielles Gleichgewicht an.</w:t>
      </w:r>
    </w:p>
    <w:p w14:paraId="3746188B" w14:textId="77777777" w:rsidR="00F94546" w:rsidRPr="004676F5" w:rsidRDefault="00F94546" w:rsidP="00F94546">
      <w:pPr>
        <w:ind w:firstLine="708"/>
        <w:jc w:val="both"/>
        <w:rPr>
          <w:lang w:val="de-DE"/>
        </w:rPr>
      </w:pPr>
    </w:p>
    <w:p w14:paraId="172869C9" w14:textId="77777777" w:rsidR="00F94546" w:rsidRPr="004676F5" w:rsidRDefault="00F94546" w:rsidP="00F94546">
      <w:pPr>
        <w:ind w:firstLine="708"/>
        <w:jc w:val="both"/>
        <w:rPr>
          <w:lang w:val="de-DE"/>
        </w:rPr>
      </w:pPr>
    </w:p>
    <w:p w14:paraId="046EFCF8" w14:textId="56C7B7EF" w:rsidR="00F94546" w:rsidRPr="004676F5" w:rsidRDefault="00BE0A56" w:rsidP="00F94546">
      <w:pPr>
        <w:ind w:firstLine="708"/>
        <w:jc w:val="both"/>
        <w:rPr>
          <w:lang w:val="de-DE"/>
        </w:rPr>
      </w:pPr>
      <w:r w:rsidRPr="004676F5">
        <w:rPr>
          <w:b/>
          <w:lang w:val="de-DE"/>
        </w:rPr>
        <w:t>Art. </w:t>
      </w:r>
      <w:r w:rsidR="00F94546" w:rsidRPr="004676F5">
        <w:rPr>
          <w:b/>
          <w:lang w:val="de-DE"/>
        </w:rPr>
        <w:t>VIII.12</w:t>
      </w:r>
      <w:r w:rsidR="00F94546" w:rsidRPr="004676F5">
        <w:rPr>
          <w:lang w:val="de-DE"/>
        </w:rPr>
        <w:t> </w:t>
      </w:r>
      <w:r w:rsidR="005B7A5C" w:rsidRPr="004676F5">
        <w:rPr>
          <w:lang w:val="de-DE"/>
        </w:rPr>
        <w:t>- </w:t>
      </w:r>
      <w:r w:rsidR="00F94546" w:rsidRPr="004676F5">
        <w:rPr>
          <w:lang w:val="de-DE"/>
        </w:rPr>
        <w:t xml:space="preserve">Organe des Amtes sind </w:t>
      </w:r>
      <w:r w:rsidR="002B63FD" w:rsidRPr="004676F5">
        <w:rPr>
          <w:lang w:val="de-DE"/>
        </w:rPr>
        <w:t>[</w:t>
      </w:r>
      <w:r w:rsidR="00F94546" w:rsidRPr="004676F5">
        <w:rPr>
          <w:lang w:val="de-DE"/>
        </w:rPr>
        <w:t>der Direkt</w:t>
      </w:r>
      <w:r w:rsidR="002B63FD" w:rsidRPr="004676F5">
        <w:rPr>
          <w:lang w:val="de-DE"/>
        </w:rPr>
        <w:t>or]</w:t>
      </w:r>
      <w:r w:rsidR="00F94546" w:rsidRPr="004676F5">
        <w:rPr>
          <w:lang w:val="de-DE"/>
        </w:rPr>
        <w:t xml:space="preserve"> und der Verwaltungsrat. Sie erstellen in Absprache eine Geschäftsordnung, die dem König zur Billigung vorgelegt wird.</w:t>
      </w:r>
    </w:p>
    <w:p w14:paraId="30EB6B5E" w14:textId="77777777" w:rsidR="00F94546" w:rsidRPr="004676F5" w:rsidRDefault="00F94546" w:rsidP="002B63FD">
      <w:pPr>
        <w:jc w:val="both"/>
        <w:rPr>
          <w:lang w:val="de-DE"/>
        </w:rPr>
      </w:pPr>
    </w:p>
    <w:p w14:paraId="55F09A49" w14:textId="36A8E7CA" w:rsidR="002B63FD" w:rsidRPr="004676F5" w:rsidRDefault="002B63FD" w:rsidP="002B63FD">
      <w:pPr>
        <w:jc w:val="both"/>
        <w:rPr>
          <w:i/>
          <w:iCs/>
          <w:lang w:val="de-DE"/>
        </w:rPr>
      </w:pPr>
      <w:r w:rsidRPr="004676F5">
        <w:rPr>
          <w:i/>
          <w:iCs/>
          <w:lang w:val="de-DE"/>
        </w:rPr>
        <w:t>[Art. VIII.12 abgeändert durch Art. 22 des G. vom 25. September 2022 (B.S. vom 16. Januar 2023)]</w:t>
      </w:r>
    </w:p>
    <w:p w14:paraId="54AA9396" w14:textId="77777777" w:rsidR="002B63FD" w:rsidRPr="004676F5" w:rsidRDefault="002B63FD" w:rsidP="002B63FD">
      <w:pPr>
        <w:jc w:val="both"/>
        <w:rPr>
          <w:i/>
          <w:iCs/>
          <w:lang w:val="de-DE"/>
        </w:rPr>
      </w:pPr>
    </w:p>
    <w:p w14:paraId="5282D49B" w14:textId="77777777" w:rsidR="00F94546" w:rsidRPr="004676F5" w:rsidRDefault="00F94546" w:rsidP="00F94546">
      <w:pPr>
        <w:ind w:firstLine="708"/>
        <w:jc w:val="both"/>
        <w:rPr>
          <w:lang w:val="de-DE"/>
        </w:rPr>
      </w:pPr>
    </w:p>
    <w:p w14:paraId="002327E3" w14:textId="5FAAE382" w:rsidR="00F94546" w:rsidRPr="004676F5" w:rsidRDefault="00BE0A56" w:rsidP="00F94546">
      <w:pPr>
        <w:ind w:firstLine="708"/>
        <w:jc w:val="both"/>
        <w:rPr>
          <w:lang w:val="de-DE"/>
        </w:rPr>
      </w:pPr>
      <w:r w:rsidRPr="004676F5">
        <w:rPr>
          <w:b/>
          <w:lang w:val="de-DE"/>
        </w:rPr>
        <w:t>Art. </w:t>
      </w:r>
      <w:r w:rsidR="00F94546" w:rsidRPr="004676F5">
        <w:rPr>
          <w:b/>
          <w:lang w:val="de-DE"/>
        </w:rPr>
        <w:t>VIII.13</w:t>
      </w:r>
      <w:r w:rsidR="00F94546" w:rsidRPr="004676F5">
        <w:rPr>
          <w:lang w:val="de-DE"/>
        </w:rPr>
        <w:t> </w:t>
      </w:r>
      <w:r w:rsidR="005B7A5C" w:rsidRPr="004676F5">
        <w:rPr>
          <w:lang w:val="de-DE"/>
        </w:rPr>
        <w:t>- </w:t>
      </w:r>
      <w:r w:rsidR="00F94546" w:rsidRPr="004676F5">
        <w:rPr>
          <w:lang w:val="de-DE"/>
        </w:rPr>
        <w:t xml:space="preserve">Unbeschadet des Rechts, vor den zuständigen Richter zu laden, kann die Beitreibung der aufgrund von Artikel VIII.10 geschuldeten Beträge </w:t>
      </w:r>
      <w:r w:rsidR="005B7A5C" w:rsidRPr="004676F5">
        <w:rPr>
          <w:lang w:val="de-DE"/>
        </w:rPr>
        <w:t>- </w:t>
      </w:r>
      <w:r w:rsidR="00F94546" w:rsidRPr="004676F5">
        <w:rPr>
          <w:lang w:val="de-DE"/>
        </w:rPr>
        <w:t>in § 2 Nr. 1 dieses Artikels erwähnte Beträge ausgenommen </w:t>
      </w:r>
      <w:r w:rsidR="005B7A5C" w:rsidRPr="004676F5">
        <w:rPr>
          <w:lang w:val="de-DE"/>
        </w:rPr>
        <w:t>- </w:t>
      </w:r>
      <w:r w:rsidR="00F94546" w:rsidRPr="004676F5">
        <w:rPr>
          <w:lang w:val="de-DE"/>
        </w:rPr>
        <w:t>gemäß der in den Artikeln 94 und 95 der koordinierten Gesetze über die Staatsbuchführung vorgesehenen Regelung per Zwangsverfahren erfolgen.</w:t>
      </w:r>
    </w:p>
    <w:p w14:paraId="5FBDE051" w14:textId="77777777" w:rsidR="00F94546" w:rsidRPr="004676F5" w:rsidRDefault="00F94546" w:rsidP="00F94546">
      <w:pPr>
        <w:jc w:val="both"/>
        <w:rPr>
          <w:lang w:val="de-DE"/>
        </w:rPr>
      </w:pPr>
    </w:p>
    <w:p w14:paraId="12536DC1" w14:textId="77777777" w:rsidR="00F94546" w:rsidRPr="004676F5" w:rsidRDefault="00F94546" w:rsidP="00F94546">
      <w:pPr>
        <w:jc w:val="both"/>
        <w:rPr>
          <w:lang w:val="de-DE"/>
        </w:rPr>
      </w:pPr>
    </w:p>
    <w:p w14:paraId="1BF8806D" w14:textId="77777777" w:rsidR="002B63FD" w:rsidRPr="004676F5" w:rsidRDefault="00BE0A56" w:rsidP="002B63FD">
      <w:pPr>
        <w:ind w:firstLine="708"/>
        <w:jc w:val="both"/>
        <w:rPr>
          <w:lang w:val="de-DE"/>
        </w:rPr>
      </w:pPr>
      <w:r w:rsidRPr="004676F5">
        <w:rPr>
          <w:b/>
          <w:lang w:val="de-DE"/>
        </w:rPr>
        <w:t>Art. </w:t>
      </w:r>
      <w:r w:rsidR="00F94546" w:rsidRPr="004676F5">
        <w:rPr>
          <w:b/>
          <w:lang w:val="de-DE"/>
        </w:rPr>
        <w:t>VIII.14</w:t>
      </w:r>
      <w:r w:rsidR="00F94546" w:rsidRPr="004676F5">
        <w:rPr>
          <w:lang w:val="de-DE"/>
        </w:rPr>
        <w:t> </w:t>
      </w:r>
      <w:r w:rsidR="005B7A5C" w:rsidRPr="004676F5">
        <w:rPr>
          <w:lang w:val="de-DE"/>
        </w:rPr>
        <w:t>- </w:t>
      </w:r>
      <w:r w:rsidR="002B63FD" w:rsidRPr="004676F5">
        <w:rPr>
          <w:lang w:val="de-DE"/>
        </w:rPr>
        <w:t>[Der Direktor nimmt die tägliche Geschäftsführung des Amtes wahr und nimmt die Handlungen vor, die für die Ausführung seiner Aufträge notwendig oder nützlich sind. Er wird nach Konsultierung des Verwaltungsrates auf Vorschlag des Ministers vom König für einen Zeitraum von sechs Jahren ernannt. Sein Mandat ist erneuerbar und wird vollzeitig ausgeübt. Der Direktor wird aufgrund seiner Sachkunde in den von ihm zu verwaltenden Bereichen ausgewählt. Der König bestimmt durch einen im Ministerrat beratenen Erlass Vertragsbedingungen und Besoldungsstatut, denen der Direktor unterliegt.</w:t>
      </w:r>
    </w:p>
    <w:p w14:paraId="276395AA" w14:textId="77777777" w:rsidR="002B63FD" w:rsidRPr="004676F5" w:rsidRDefault="002B63FD" w:rsidP="002B63FD">
      <w:pPr>
        <w:jc w:val="both"/>
        <w:rPr>
          <w:lang w:val="de-DE"/>
        </w:rPr>
      </w:pPr>
    </w:p>
    <w:p w14:paraId="327159D9" w14:textId="77777777" w:rsidR="002B63FD" w:rsidRPr="004676F5" w:rsidRDefault="002B63FD" w:rsidP="002B63FD">
      <w:pPr>
        <w:jc w:val="both"/>
        <w:rPr>
          <w:lang w:val="de-DE"/>
        </w:rPr>
      </w:pPr>
      <w:r w:rsidRPr="004676F5">
        <w:rPr>
          <w:lang w:val="de-DE"/>
        </w:rPr>
        <w:tab/>
        <w:t>Der Direktor wird in regelmäßigen Abständen vom Verwaltungsrat nach den vom Verwaltungsrat festgelegten Regeln bewertet. Die Bewertung des Direktors gilt vorbehaltlich der Bestätigung durch den zuständigen Minister.</w:t>
      </w:r>
    </w:p>
    <w:p w14:paraId="4190B16C" w14:textId="77777777" w:rsidR="002B63FD" w:rsidRPr="004676F5" w:rsidRDefault="002B63FD" w:rsidP="002B63FD">
      <w:pPr>
        <w:jc w:val="both"/>
        <w:rPr>
          <w:lang w:val="de-DE"/>
        </w:rPr>
      </w:pPr>
    </w:p>
    <w:p w14:paraId="66F36309" w14:textId="77777777" w:rsidR="002B63FD" w:rsidRPr="004676F5" w:rsidRDefault="002B63FD" w:rsidP="002B63FD">
      <w:pPr>
        <w:jc w:val="both"/>
        <w:rPr>
          <w:lang w:val="de-DE"/>
        </w:rPr>
      </w:pPr>
      <w:r w:rsidRPr="004676F5">
        <w:rPr>
          <w:lang w:val="de-DE"/>
        </w:rPr>
        <w:tab/>
        <w:t>Wenn die festgelegte Amtszeit des Direktors abläuft und der Amtsinhaber sich um eine Verlängerung der Amtszeit bewirbt, wird ihm die Funktion für weitere sechs Jahre zugewiesen, sofern er in der Abschlussbewertung mit "ausgezeichnet" bewertet wurde. In diesem Fall wird kein neues Auswahlverfahren durchgeführt.</w:t>
      </w:r>
    </w:p>
    <w:p w14:paraId="222B3234" w14:textId="77777777" w:rsidR="002B63FD" w:rsidRPr="004676F5" w:rsidRDefault="002B63FD" w:rsidP="002B63FD">
      <w:pPr>
        <w:jc w:val="both"/>
        <w:rPr>
          <w:lang w:val="de-DE"/>
        </w:rPr>
      </w:pPr>
    </w:p>
    <w:p w14:paraId="25A63D50" w14:textId="72F5317D" w:rsidR="00F94546" w:rsidRPr="004676F5" w:rsidRDefault="002B63FD" w:rsidP="002B63FD">
      <w:pPr>
        <w:ind w:firstLine="708"/>
        <w:jc w:val="both"/>
        <w:rPr>
          <w:lang w:val="de-DE"/>
        </w:rPr>
      </w:pPr>
      <w:r w:rsidRPr="004676F5">
        <w:rPr>
          <w:lang w:val="de-DE"/>
        </w:rPr>
        <w:t>Absatz 3 ist nur anwendbar, wenn die Funktionsbeschreibung nicht grundlegend geändert wurde.]</w:t>
      </w:r>
    </w:p>
    <w:p w14:paraId="7D994965" w14:textId="77777777" w:rsidR="002B63FD" w:rsidRPr="004676F5" w:rsidRDefault="002B63FD" w:rsidP="002B63FD">
      <w:pPr>
        <w:jc w:val="both"/>
        <w:rPr>
          <w:lang w:val="de-DE"/>
        </w:rPr>
      </w:pPr>
    </w:p>
    <w:p w14:paraId="6195E3CB" w14:textId="79EA2E4D" w:rsidR="002B63FD" w:rsidRPr="004676F5" w:rsidRDefault="002B63FD" w:rsidP="002B63FD">
      <w:pPr>
        <w:jc w:val="both"/>
        <w:rPr>
          <w:i/>
          <w:iCs/>
          <w:lang w:val="de-DE"/>
        </w:rPr>
      </w:pPr>
      <w:r w:rsidRPr="004676F5">
        <w:rPr>
          <w:i/>
          <w:iCs/>
          <w:lang w:val="de-DE"/>
        </w:rPr>
        <w:t>[Art. VIII.14 ersetzt durch Art. 23 des G. vom 25. September 2022 (B.S. vom 16. Januar 2023)]</w:t>
      </w:r>
    </w:p>
    <w:p w14:paraId="758AE260" w14:textId="77777777" w:rsidR="00F94546" w:rsidRPr="004676F5" w:rsidRDefault="00F94546" w:rsidP="00F94546">
      <w:pPr>
        <w:jc w:val="both"/>
        <w:rPr>
          <w:lang w:val="de-DE"/>
        </w:rPr>
      </w:pPr>
    </w:p>
    <w:p w14:paraId="6C1B858B" w14:textId="77777777" w:rsidR="00F94546" w:rsidRPr="004676F5" w:rsidRDefault="00F94546" w:rsidP="00F94546">
      <w:pPr>
        <w:jc w:val="both"/>
        <w:rPr>
          <w:lang w:val="de-DE"/>
        </w:rPr>
      </w:pPr>
    </w:p>
    <w:p w14:paraId="60160D9E" w14:textId="77777777" w:rsidR="002B63FD" w:rsidRPr="004676F5" w:rsidRDefault="00BE0A56" w:rsidP="002B63FD">
      <w:pPr>
        <w:ind w:firstLine="708"/>
        <w:jc w:val="both"/>
        <w:rPr>
          <w:lang w:val="de-DE"/>
        </w:rPr>
      </w:pPr>
      <w:r w:rsidRPr="004676F5">
        <w:rPr>
          <w:b/>
          <w:lang w:val="de-DE"/>
        </w:rPr>
        <w:t>Art. </w:t>
      </w:r>
      <w:r w:rsidR="00F94546" w:rsidRPr="004676F5">
        <w:rPr>
          <w:b/>
          <w:lang w:val="de-DE"/>
        </w:rPr>
        <w:t>VIII.15</w:t>
      </w:r>
      <w:r w:rsidR="00F94546" w:rsidRPr="004676F5">
        <w:rPr>
          <w:lang w:val="de-DE"/>
        </w:rPr>
        <w:t> </w:t>
      </w:r>
      <w:r w:rsidR="005B7A5C" w:rsidRPr="004676F5">
        <w:rPr>
          <w:lang w:val="de-DE"/>
        </w:rPr>
        <w:t>- </w:t>
      </w:r>
      <w:r w:rsidR="002B63FD" w:rsidRPr="004676F5">
        <w:rPr>
          <w:lang w:val="de-DE"/>
        </w:rPr>
        <w:t>[Der Direktor untersteht der Kontrolle des Verwaltungsrates, der aus Vertretern der föderalen Behörden, der repräsentativen Organisationen der Unternehmen und der für gesellschaftliche Interessen zuständigen Nichtregierungsorganisationen zusammen</w:t>
      </w:r>
      <w:r w:rsidR="002B63FD" w:rsidRPr="004676F5">
        <w:rPr>
          <w:lang w:val="de-DE"/>
        </w:rPr>
        <w:softHyphen/>
        <w:t>gesetzt ist.</w:t>
      </w:r>
    </w:p>
    <w:p w14:paraId="49155EF5" w14:textId="77777777" w:rsidR="002B63FD" w:rsidRPr="004676F5" w:rsidRDefault="002B63FD" w:rsidP="002B63FD">
      <w:pPr>
        <w:jc w:val="both"/>
        <w:rPr>
          <w:lang w:val="de-DE"/>
        </w:rPr>
      </w:pPr>
    </w:p>
    <w:p w14:paraId="53E8C0CF" w14:textId="77777777" w:rsidR="002B63FD" w:rsidRPr="004676F5" w:rsidRDefault="002B63FD" w:rsidP="002B63FD">
      <w:pPr>
        <w:jc w:val="both"/>
        <w:rPr>
          <w:lang w:val="de-DE"/>
        </w:rPr>
      </w:pPr>
      <w:r w:rsidRPr="004676F5">
        <w:rPr>
          <w:lang w:val="de-DE"/>
        </w:rPr>
        <w:tab/>
        <w:t>Durch einen im Ministerrat beratenen Erlass bestimmt der König die Anzahl Mitglieder und die Zusammensetzung des Verwaltungsrates und die Höhe der Entschädigungen, die das Amt dem Präsidenten und den Mitgliedern des Verwaltungsrates zuerkennen kann.</w:t>
      </w:r>
    </w:p>
    <w:p w14:paraId="23399CF1" w14:textId="77777777" w:rsidR="002B63FD" w:rsidRPr="004676F5" w:rsidRDefault="002B63FD" w:rsidP="002B63FD">
      <w:pPr>
        <w:jc w:val="both"/>
        <w:rPr>
          <w:lang w:val="de-DE"/>
        </w:rPr>
      </w:pPr>
    </w:p>
    <w:p w14:paraId="76DF0B52" w14:textId="0E95CDA7" w:rsidR="00F94546" w:rsidRPr="004676F5" w:rsidRDefault="002B63FD" w:rsidP="002B63FD">
      <w:pPr>
        <w:ind w:firstLine="708"/>
        <w:jc w:val="both"/>
        <w:rPr>
          <w:lang w:val="de-DE"/>
        </w:rPr>
      </w:pPr>
      <w:r w:rsidRPr="004676F5">
        <w:rPr>
          <w:lang w:val="de-DE"/>
        </w:rPr>
        <w:lastRenderedPageBreak/>
        <w:t>Der König ernennt den Präsidenten und die Mitglieder des Verwaltungsrates. Vorschläge in Bezug auf die Bestimmung von Vertretern, die nicht dem öffentlichen Sektor angehören, werden auf der Grundlage von Listen erstellt, die die betreffenden Organisationen vorlegen.]</w:t>
      </w:r>
    </w:p>
    <w:p w14:paraId="65C2434B" w14:textId="77777777" w:rsidR="00F94546" w:rsidRPr="004676F5" w:rsidRDefault="00F94546" w:rsidP="00F94546">
      <w:pPr>
        <w:jc w:val="both"/>
        <w:rPr>
          <w:lang w:val="de-DE"/>
        </w:rPr>
      </w:pPr>
    </w:p>
    <w:p w14:paraId="689C93D9" w14:textId="6D34B5E8" w:rsidR="00AC5E98" w:rsidRPr="004676F5" w:rsidRDefault="00AC5E98" w:rsidP="00F94546">
      <w:pPr>
        <w:jc w:val="both"/>
        <w:rPr>
          <w:i/>
          <w:lang w:val="de-DE"/>
        </w:rPr>
      </w:pPr>
      <w:r w:rsidRPr="004676F5">
        <w:rPr>
          <w:i/>
          <w:lang w:val="de-DE"/>
        </w:rPr>
        <w:t>[</w:t>
      </w:r>
      <w:r w:rsidR="00BE0A56" w:rsidRPr="004676F5">
        <w:rPr>
          <w:i/>
          <w:lang w:val="de-DE"/>
        </w:rPr>
        <w:t>Art. </w:t>
      </w:r>
      <w:r w:rsidRPr="004676F5">
        <w:rPr>
          <w:i/>
          <w:lang w:val="de-DE"/>
        </w:rPr>
        <w:t xml:space="preserve">VIII.15 </w:t>
      </w:r>
      <w:r w:rsidR="002B63FD" w:rsidRPr="004676F5">
        <w:rPr>
          <w:i/>
          <w:lang w:val="de-DE"/>
        </w:rPr>
        <w:t>ersetzt durch Art. 24</w:t>
      </w:r>
      <w:r w:rsidR="002B63FD" w:rsidRPr="004676F5">
        <w:rPr>
          <w:i/>
          <w:iCs/>
          <w:lang w:val="de-DE"/>
        </w:rPr>
        <w:t xml:space="preserve"> des G. vom 25. September 2022 (B.S. vom 16. Januar 2023)</w:t>
      </w:r>
      <w:r w:rsidRPr="004676F5">
        <w:rPr>
          <w:i/>
          <w:lang w:val="de-DE"/>
        </w:rPr>
        <w:t>]</w:t>
      </w:r>
    </w:p>
    <w:p w14:paraId="59E0D27C" w14:textId="77777777" w:rsidR="00AC5E98" w:rsidRPr="004676F5" w:rsidRDefault="00AC5E98" w:rsidP="00F94546">
      <w:pPr>
        <w:jc w:val="both"/>
        <w:rPr>
          <w:lang w:val="de-DE"/>
        </w:rPr>
      </w:pPr>
    </w:p>
    <w:p w14:paraId="20F7B30B" w14:textId="77777777" w:rsidR="00F94546" w:rsidRPr="004676F5" w:rsidRDefault="00F94546" w:rsidP="00F94546">
      <w:pPr>
        <w:jc w:val="both"/>
        <w:rPr>
          <w:lang w:val="de-DE"/>
        </w:rPr>
      </w:pPr>
    </w:p>
    <w:p w14:paraId="599C7839" w14:textId="466D67EF" w:rsidR="00F94546" w:rsidRPr="004676F5" w:rsidRDefault="00BE0A56" w:rsidP="00F94546">
      <w:pPr>
        <w:ind w:firstLine="708"/>
        <w:jc w:val="both"/>
        <w:rPr>
          <w:lang w:val="de-DE"/>
        </w:rPr>
      </w:pPr>
      <w:r w:rsidRPr="004676F5">
        <w:rPr>
          <w:b/>
          <w:lang w:val="de-DE"/>
        </w:rPr>
        <w:t>Art. </w:t>
      </w:r>
      <w:r w:rsidR="00F94546" w:rsidRPr="004676F5">
        <w:rPr>
          <w:b/>
          <w:lang w:val="de-DE"/>
        </w:rPr>
        <w:t>VIII.16</w:t>
      </w:r>
      <w:r w:rsidR="00F94546" w:rsidRPr="004676F5">
        <w:rPr>
          <w:lang w:val="de-DE"/>
        </w:rPr>
        <w:t> </w:t>
      </w:r>
      <w:r w:rsidR="005B7A5C" w:rsidRPr="004676F5">
        <w:rPr>
          <w:lang w:val="de-DE"/>
        </w:rPr>
        <w:t>- </w:t>
      </w:r>
      <w:r w:rsidR="00F94546" w:rsidRPr="004676F5">
        <w:rPr>
          <w:lang w:val="de-DE"/>
        </w:rPr>
        <w:t>Der Verwaltungsrat hat folgende Aufträge:</w:t>
      </w:r>
    </w:p>
    <w:p w14:paraId="62BD0AA1" w14:textId="77777777" w:rsidR="00F94546" w:rsidRPr="004676F5" w:rsidRDefault="00F94546" w:rsidP="00F94546">
      <w:pPr>
        <w:jc w:val="both"/>
        <w:rPr>
          <w:lang w:val="de-DE"/>
        </w:rPr>
      </w:pPr>
    </w:p>
    <w:p w14:paraId="094DC039" w14:textId="77777777" w:rsidR="00F94546" w:rsidRPr="004676F5" w:rsidRDefault="00F94546" w:rsidP="00F94546">
      <w:pPr>
        <w:ind w:firstLine="708"/>
        <w:jc w:val="both"/>
        <w:rPr>
          <w:lang w:val="de-DE"/>
        </w:rPr>
      </w:pPr>
      <w:r w:rsidRPr="004676F5">
        <w:rPr>
          <w:lang w:val="de-DE"/>
        </w:rPr>
        <w:t>1. das allgemeine Schema der in Artikel VIII.5 erwähnten Normungsprogramme billigen,</w:t>
      </w:r>
    </w:p>
    <w:p w14:paraId="06D3F63F" w14:textId="77777777" w:rsidR="00F94546" w:rsidRPr="004676F5" w:rsidRDefault="00F94546" w:rsidP="00F94546">
      <w:pPr>
        <w:jc w:val="both"/>
        <w:rPr>
          <w:lang w:val="de-DE"/>
        </w:rPr>
      </w:pPr>
    </w:p>
    <w:p w14:paraId="0C9A7075" w14:textId="77777777" w:rsidR="00F94546" w:rsidRPr="004676F5" w:rsidRDefault="00F94546" w:rsidP="00F94546">
      <w:pPr>
        <w:ind w:firstLine="708"/>
        <w:jc w:val="both"/>
        <w:rPr>
          <w:lang w:val="de-DE"/>
        </w:rPr>
      </w:pPr>
      <w:r w:rsidRPr="004676F5">
        <w:rPr>
          <w:lang w:val="de-DE"/>
        </w:rPr>
        <w:t>2. Normungsausschüsse errichten und auflösen,</w:t>
      </w:r>
    </w:p>
    <w:p w14:paraId="1BD8FA5E" w14:textId="77777777" w:rsidR="00F94546" w:rsidRPr="004676F5" w:rsidRDefault="00F94546" w:rsidP="00F94546">
      <w:pPr>
        <w:jc w:val="both"/>
        <w:rPr>
          <w:lang w:val="de-DE"/>
        </w:rPr>
      </w:pPr>
    </w:p>
    <w:p w14:paraId="6E09B506" w14:textId="77777777" w:rsidR="00F94546" w:rsidRPr="004676F5" w:rsidRDefault="00F94546" w:rsidP="00F94546">
      <w:pPr>
        <w:ind w:firstLine="708"/>
        <w:jc w:val="both"/>
        <w:rPr>
          <w:lang w:val="de-DE"/>
        </w:rPr>
      </w:pPr>
      <w:r w:rsidRPr="004676F5">
        <w:rPr>
          <w:lang w:val="de-DE"/>
        </w:rPr>
        <w:t>3. sektorale Normungsstellen anerkennen und ihre Anerkennung entziehen,</w:t>
      </w:r>
    </w:p>
    <w:p w14:paraId="05728EF6" w14:textId="77777777" w:rsidR="00F94546" w:rsidRPr="004676F5" w:rsidRDefault="00F94546" w:rsidP="00F94546">
      <w:pPr>
        <w:jc w:val="both"/>
        <w:rPr>
          <w:lang w:val="de-DE"/>
        </w:rPr>
      </w:pPr>
    </w:p>
    <w:p w14:paraId="16E31683" w14:textId="77777777" w:rsidR="00F94546" w:rsidRPr="004676F5" w:rsidRDefault="00F94546" w:rsidP="00F94546">
      <w:pPr>
        <w:ind w:firstLine="708"/>
        <w:jc w:val="both"/>
        <w:rPr>
          <w:lang w:val="de-DE"/>
        </w:rPr>
      </w:pPr>
      <w:r w:rsidRPr="004676F5">
        <w:rPr>
          <w:lang w:val="de-DE"/>
        </w:rPr>
        <w:t>4. Normentwürfe annehmen,</w:t>
      </w:r>
    </w:p>
    <w:p w14:paraId="20E35A56" w14:textId="77777777" w:rsidR="00F94546" w:rsidRPr="004676F5" w:rsidRDefault="00F94546" w:rsidP="00F94546">
      <w:pPr>
        <w:jc w:val="both"/>
        <w:rPr>
          <w:lang w:val="de-DE"/>
        </w:rPr>
      </w:pPr>
    </w:p>
    <w:p w14:paraId="4D0D584D" w14:textId="7A5E08A2" w:rsidR="00F94546" w:rsidRPr="004676F5" w:rsidRDefault="00F94546" w:rsidP="00F94546">
      <w:pPr>
        <w:ind w:firstLine="708"/>
        <w:jc w:val="both"/>
        <w:rPr>
          <w:lang w:val="de-DE"/>
        </w:rPr>
      </w:pPr>
      <w:r w:rsidRPr="004676F5">
        <w:rPr>
          <w:lang w:val="de-DE"/>
        </w:rPr>
        <w:t>5. </w:t>
      </w:r>
      <w:r w:rsidR="002B63FD" w:rsidRPr="004676F5">
        <w:rPr>
          <w:lang w:val="de-DE"/>
        </w:rPr>
        <w:t>[die Veröffentlichung von Normen durch das Amt erlauben,]</w:t>
      </w:r>
    </w:p>
    <w:p w14:paraId="1401719E" w14:textId="77777777" w:rsidR="00F94546" w:rsidRPr="004676F5" w:rsidRDefault="00F94546" w:rsidP="00F94546">
      <w:pPr>
        <w:jc w:val="both"/>
        <w:rPr>
          <w:lang w:val="de-DE"/>
        </w:rPr>
      </w:pPr>
    </w:p>
    <w:p w14:paraId="1670869A" w14:textId="16A2A68B" w:rsidR="00F94546" w:rsidRPr="004676F5" w:rsidRDefault="00F94546" w:rsidP="00F94546">
      <w:pPr>
        <w:ind w:firstLine="708"/>
        <w:jc w:val="both"/>
        <w:rPr>
          <w:lang w:val="de-DE"/>
        </w:rPr>
      </w:pPr>
      <w:r w:rsidRPr="004676F5">
        <w:rPr>
          <w:lang w:val="de-DE"/>
        </w:rPr>
        <w:t xml:space="preserve">6. beurteilen, wie </w:t>
      </w:r>
      <w:r w:rsidR="002B63FD" w:rsidRPr="004676F5">
        <w:rPr>
          <w:lang w:val="de-DE"/>
        </w:rPr>
        <w:t>[</w:t>
      </w:r>
      <w:r w:rsidRPr="004676F5">
        <w:rPr>
          <w:lang w:val="de-DE"/>
        </w:rPr>
        <w:t>der Direkt</w:t>
      </w:r>
      <w:r w:rsidR="002B63FD" w:rsidRPr="004676F5">
        <w:rPr>
          <w:lang w:val="de-DE"/>
        </w:rPr>
        <w:t>or]</w:t>
      </w:r>
      <w:r w:rsidRPr="004676F5">
        <w:rPr>
          <w:lang w:val="de-DE"/>
        </w:rPr>
        <w:t xml:space="preserve"> und die Normungsausschüsse ihre Aufgaben ausführen, und dem Minister und </w:t>
      </w:r>
      <w:r w:rsidR="002B63FD" w:rsidRPr="004676F5">
        <w:rPr>
          <w:lang w:val="de-DE"/>
        </w:rPr>
        <w:t>[</w:t>
      </w:r>
      <w:r w:rsidRPr="004676F5">
        <w:rPr>
          <w:lang w:val="de-DE"/>
        </w:rPr>
        <w:t>dem Direk</w:t>
      </w:r>
      <w:r w:rsidR="002B63FD" w:rsidRPr="004676F5">
        <w:rPr>
          <w:lang w:val="de-DE"/>
        </w:rPr>
        <w:t>tor]</w:t>
      </w:r>
      <w:r w:rsidRPr="004676F5">
        <w:rPr>
          <w:lang w:val="de-DE"/>
        </w:rPr>
        <w:t xml:space="preserve"> diesbezüglich Stellungnahmen abgeben und Empfehlungen aussprechen,</w:t>
      </w:r>
    </w:p>
    <w:p w14:paraId="75E8915E" w14:textId="77777777" w:rsidR="00F94546" w:rsidRPr="004676F5" w:rsidRDefault="00F94546" w:rsidP="00F94546">
      <w:pPr>
        <w:ind w:firstLine="708"/>
        <w:jc w:val="both"/>
        <w:rPr>
          <w:lang w:val="de-DE"/>
        </w:rPr>
      </w:pPr>
    </w:p>
    <w:p w14:paraId="761DB1AA" w14:textId="77777777" w:rsidR="00F94546" w:rsidRPr="004676F5" w:rsidRDefault="00F94546" w:rsidP="00F94546">
      <w:pPr>
        <w:ind w:firstLine="708"/>
        <w:jc w:val="both"/>
        <w:rPr>
          <w:lang w:val="de-DE"/>
        </w:rPr>
      </w:pPr>
      <w:r w:rsidRPr="004676F5">
        <w:rPr>
          <w:lang w:val="de-DE"/>
        </w:rPr>
        <w:t>7. den in Artikel VIII.17 erwähnten Jahresbericht billigen.</w:t>
      </w:r>
    </w:p>
    <w:p w14:paraId="6C35C3F6" w14:textId="77777777" w:rsidR="00F94546" w:rsidRPr="004676F5" w:rsidRDefault="00F94546" w:rsidP="00F94546">
      <w:pPr>
        <w:jc w:val="both"/>
        <w:rPr>
          <w:lang w:val="de-DE"/>
        </w:rPr>
      </w:pPr>
    </w:p>
    <w:p w14:paraId="26503040" w14:textId="7296A019" w:rsidR="002B63FD" w:rsidRPr="004676F5" w:rsidRDefault="002B63FD" w:rsidP="00F94546">
      <w:pPr>
        <w:jc w:val="both"/>
        <w:rPr>
          <w:i/>
          <w:iCs/>
          <w:lang w:val="de-DE"/>
        </w:rPr>
      </w:pPr>
      <w:r w:rsidRPr="004676F5">
        <w:rPr>
          <w:i/>
          <w:iCs/>
          <w:lang w:val="de-DE"/>
        </w:rPr>
        <w:t>[Art. VIII.16 einziger Absatz Nr. 5 ersetzt durch Art. 25 Buchstabe a) des G. vom 25. September 2022 (B.S. vom 16. Januar 2023); einziger Absatz Nr. 6 abgeändert durch Art. 25 Buchstabe b) des G. vom 25. September 2022 (B.S. vom 16. Januar 2023)]</w:t>
      </w:r>
    </w:p>
    <w:p w14:paraId="79DC3A66" w14:textId="77777777" w:rsidR="002B63FD" w:rsidRPr="004676F5" w:rsidRDefault="002B63FD" w:rsidP="00F94546">
      <w:pPr>
        <w:jc w:val="both"/>
        <w:rPr>
          <w:i/>
          <w:iCs/>
          <w:lang w:val="de-DE"/>
        </w:rPr>
      </w:pPr>
    </w:p>
    <w:p w14:paraId="65ABA249" w14:textId="77777777" w:rsidR="00F94546" w:rsidRPr="004676F5" w:rsidRDefault="00F94546" w:rsidP="00F94546">
      <w:pPr>
        <w:jc w:val="both"/>
        <w:rPr>
          <w:lang w:val="de-DE"/>
        </w:rPr>
      </w:pPr>
    </w:p>
    <w:p w14:paraId="047DB658" w14:textId="213A12D3" w:rsidR="00F94546" w:rsidRPr="004676F5" w:rsidRDefault="00BE0A56" w:rsidP="00F94546">
      <w:pPr>
        <w:ind w:firstLine="708"/>
        <w:jc w:val="both"/>
        <w:rPr>
          <w:lang w:val="de-DE"/>
        </w:rPr>
      </w:pPr>
      <w:r w:rsidRPr="004676F5">
        <w:rPr>
          <w:b/>
          <w:lang w:val="de-DE"/>
        </w:rPr>
        <w:t>Art. </w:t>
      </w:r>
      <w:r w:rsidR="00F94546" w:rsidRPr="004676F5">
        <w:rPr>
          <w:b/>
          <w:lang w:val="de-DE"/>
        </w:rPr>
        <w:t>VIII.17</w:t>
      </w:r>
      <w:r w:rsidR="00F94546" w:rsidRPr="004676F5">
        <w:rPr>
          <w:lang w:val="de-DE"/>
        </w:rPr>
        <w:t> </w:t>
      </w:r>
      <w:r w:rsidR="005B7A5C" w:rsidRPr="004676F5">
        <w:rPr>
          <w:lang w:val="de-DE"/>
        </w:rPr>
        <w:t>- </w:t>
      </w:r>
      <w:r w:rsidR="00F94546" w:rsidRPr="004676F5">
        <w:rPr>
          <w:lang w:val="de-DE"/>
        </w:rPr>
        <w:t>Jedes Jahr erstellt das Amt im Laufe des ersten Quartals einen Tätigkeitsbericht in Bezug auf das vorhergehende Geschäftsjahr. Dieser Bericht wird an den Minister und an die Gesetzgebenden Kammern gerichtet.</w:t>
      </w:r>
    </w:p>
    <w:p w14:paraId="65C9100E" w14:textId="77777777" w:rsidR="00F94546" w:rsidRPr="004676F5" w:rsidRDefault="00F94546" w:rsidP="00F94546">
      <w:pPr>
        <w:jc w:val="both"/>
        <w:rPr>
          <w:lang w:val="de-DE"/>
        </w:rPr>
      </w:pPr>
    </w:p>
    <w:p w14:paraId="6D79CADD" w14:textId="77777777" w:rsidR="00F94546" w:rsidRPr="004676F5" w:rsidRDefault="00F94546" w:rsidP="00F94546">
      <w:pPr>
        <w:jc w:val="both"/>
        <w:rPr>
          <w:lang w:val="de-DE"/>
        </w:rPr>
      </w:pPr>
    </w:p>
    <w:p w14:paraId="7468820F" w14:textId="765B8011" w:rsidR="00F94546" w:rsidRPr="004676F5" w:rsidRDefault="00BE0A56" w:rsidP="00F94546">
      <w:pPr>
        <w:ind w:firstLine="708"/>
        <w:jc w:val="both"/>
        <w:rPr>
          <w:lang w:val="de-DE"/>
        </w:rPr>
      </w:pPr>
      <w:r w:rsidRPr="004676F5">
        <w:rPr>
          <w:b/>
          <w:lang w:val="de-DE"/>
        </w:rPr>
        <w:t>Art. </w:t>
      </w:r>
      <w:r w:rsidR="00F94546" w:rsidRPr="004676F5">
        <w:rPr>
          <w:b/>
          <w:lang w:val="de-DE"/>
        </w:rPr>
        <w:t>VIII.18</w:t>
      </w:r>
      <w:r w:rsidR="00F94546" w:rsidRPr="004676F5">
        <w:rPr>
          <w:lang w:val="de-DE"/>
        </w:rPr>
        <w:t> </w:t>
      </w:r>
      <w:r w:rsidR="005B7A5C" w:rsidRPr="004676F5">
        <w:rPr>
          <w:lang w:val="de-DE"/>
        </w:rPr>
        <w:t>- </w:t>
      </w:r>
      <w:r w:rsidR="00F94546" w:rsidRPr="004676F5">
        <w:rPr>
          <w:lang w:val="de-DE"/>
        </w:rPr>
        <w:t>Das Amt kann für seinen gesamten Personalbedarf im Hinblick auf die Erfüllung seiner Aufträge Personal unter Arbeitsvertrag einstellen.</w:t>
      </w:r>
    </w:p>
    <w:p w14:paraId="68526A5D" w14:textId="77777777" w:rsidR="00F94546" w:rsidRPr="004676F5" w:rsidRDefault="00F94546" w:rsidP="00F94546">
      <w:pPr>
        <w:jc w:val="both"/>
        <w:rPr>
          <w:lang w:val="de-DE"/>
        </w:rPr>
      </w:pPr>
    </w:p>
    <w:p w14:paraId="3CC767CC" w14:textId="77777777" w:rsidR="00F94546" w:rsidRPr="004676F5" w:rsidRDefault="00F94546" w:rsidP="00F94546">
      <w:pPr>
        <w:jc w:val="both"/>
        <w:rPr>
          <w:lang w:val="de-DE"/>
        </w:rPr>
      </w:pPr>
    </w:p>
    <w:p w14:paraId="48E5DA2C" w14:textId="77777777" w:rsidR="00C76F75" w:rsidRPr="004676F5" w:rsidRDefault="00C76F75">
      <w:pPr>
        <w:rPr>
          <w:lang w:val="de-DE"/>
        </w:rPr>
      </w:pPr>
      <w:r w:rsidRPr="004676F5">
        <w:rPr>
          <w:lang w:val="de-DE"/>
        </w:rPr>
        <w:br w:type="page"/>
      </w:r>
    </w:p>
    <w:p w14:paraId="34EF9464" w14:textId="36C19AF0" w:rsidR="00F94546" w:rsidRPr="004676F5" w:rsidRDefault="00F94546" w:rsidP="00F94546">
      <w:pPr>
        <w:jc w:val="center"/>
        <w:rPr>
          <w:i/>
          <w:lang w:val="de-DE"/>
        </w:rPr>
      </w:pPr>
      <w:r w:rsidRPr="004676F5">
        <w:rPr>
          <w:lang w:val="de-DE"/>
        </w:rPr>
        <w:lastRenderedPageBreak/>
        <w:t>KAPITEL 3 </w:t>
      </w:r>
      <w:r w:rsidR="005B7A5C" w:rsidRPr="004676F5">
        <w:rPr>
          <w:lang w:val="de-DE"/>
        </w:rPr>
        <w:t>- </w:t>
      </w:r>
      <w:r w:rsidRPr="004676F5">
        <w:rPr>
          <w:i/>
          <w:lang w:val="de-DE"/>
        </w:rPr>
        <w:t>Hoher Rat für Normung</w:t>
      </w:r>
    </w:p>
    <w:p w14:paraId="661C81F7" w14:textId="77777777" w:rsidR="00F94546" w:rsidRPr="004676F5" w:rsidRDefault="00F94546" w:rsidP="00F94546">
      <w:pPr>
        <w:jc w:val="both"/>
        <w:rPr>
          <w:lang w:val="de-DE"/>
        </w:rPr>
      </w:pPr>
    </w:p>
    <w:p w14:paraId="6EB2BF10" w14:textId="77777777" w:rsidR="00F94546" w:rsidRPr="004676F5" w:rsidRDefault="00F94546" w:rsidP="00F94546">
      <w:pPr>
        <w:jc w:val="both"/>
        <w:rPr>
          <w:lang w:val="de-DE"/>
        </w:rPr>
      </w:pPr>
    </w:p>
    <w:p w14:paraId="5A58BCF3" w14:textId="0DB49305" w:rsidR="00F94546" w:rsidRPr="004676F5" w:rsidRDefault="00BE0A56" w:rsidP="00F94546">
      <w:pPr>
        <w:ind w:firstLine="708"/>
        <w:jc w:val="both"/>
        <w:rPr>
          <w:lang w:val="de-DE"/>
        </w:rPr>
      </w:pPr>
      <w:r w:rsidRPr="004676F5">
        <w:rPr>
          <w:b/>
          <w:lang w:val="de-DE"/>
        </w:rPr>
        <w:t>Art. </w:t>
      </w:r>
      <w:r w:rsidR="00F94546" w:rsidRPr="004676F5">
        <w:rPr>
          <w:b/>
          <w:lang w:val="de-DE"/>
        </w:rPr>
        <w:t>VIII.19</w:t>
      </w:r>
      <w:r w:rsidR="00F94546" w:rsidRPr="004676F5">
        <w:rPr>
          <w:lang w:val="de-DE"/>
        </w:rPr>
        <w:t> </w:t>
      </w:r>
      <w:r w:rsidR="005B7A5C" w:rsidRPr="004676F5">
        <w:rPr>
          <w:lang w:val="de-DE"/>
        </w:rPr>
        <w:t>- </w:t>
      </w:r>
      <w:r w:rsidR="00F94546" w:rsidRPr="004676F5">
        <w:rPr>
          <w:lang w:val="de-DE"/>
        </w:rPr>
        <w:t>Beim Föderalen Öffentlichen Dienst Wirtschaft, KMB, Mittelstand und Energie wird ein Hoher Rat für Normung eingerichtet, nachstehend "Hoher Rat" genannt.</w:t>
      </w:r>
    </w:p>
    <w:p w14:paraId="1955A519" w14:textId="77777777" w:rsidR="00F94546" w:rsidRPr="004676F5" w:rsidRDefault="00F94546" w:rsidP="00F94546">
      <w:pPr>
        <w:jc w:val="both"/>
        <w:rPr>
          <w:lang w:val="de-DE"/>
        </w:rPr>
      </w:pPr>
    </w:p>
    <w:p w14:paraId="05AB7C5D" w14:textId="77777777" w:rsidR="00F94546" w:rsidRPr="004676F5" w:rsidRDefault="00F94546" w:rsidP="00F94546">
      <w:pPr>
        <w:jc w:val="both"/>
        <w:rPr>
          <w:lang w:val="de-DE"/>
        </w:rPr>
      </w:pPr>
    </w:p>
    <w:p w14:paraId="1ECEABD1" w14:textId="2F49D62F" w:rsidR="00F94546" w:rsidRPr="004676F5" w:rsidRDefault="00BE0A56" w:rsidP="00F94546">
      <w:pPr>
        <w:ind w:firstLine="708"/>
        <w:jc w:val="both"/>
        <w:rPr>
          <w:lang w:val="de-DE"/>
        </w:rPr>
      </w:pPr>
      <w:r w:rsidRPr="004676F5">
        <w:rPr>
          <w:b/>
          <w:lang w:val="de-DE"/>
        </w:rPr>
        <w:t>Art. </w:t>
      </w:r>
      <w:r w:rsidR="00F94546" w:rsidRPr="004676F5">
        <w:rPr>
          <w:b/>
          <w:lang w:val="de-DE"/>
        </w:rPr>
        <w:t>VIII.20</w:t>
      </w:r>
      <w:r w:rsidR="00F94546" w:rsidRPr="004676F5">
        <w:rPr>
          <w:lang w:val="de-DE"/>
        </w:rPr>
        <w:t> </w:t>
      </w:r>
      <w:r w:rsidR="005B7A5C" w:rsidRPr="004676F5">
        <w:rPr>
          <w:lang w:val="de-DE"/>
        </w:rPr>
        <w:t>- </w:t>
      </w:r>
      <w:r w:rsidR="00F94546" w:rsidRPr="004676F5">
        <w:rPr>
          <w:lang w:val="de-DE"/>
        </w:rPr>
        <w:t>Der Hohe Rat hat als Auftrag, entweder aus eigener Initiative oder auf Antrag des Ministers Stellungnahmen zu Fragen in Bezug auf Politik und Entwicklung der nationalen und internationalen Normung abzugeben. In diesem Rahmen hat der Hohe Rat unter anderem als Auftrag, von Amts wegen eine Stellungnahme zu dem in Artikel VIII.17 erwähnten Jahresbericht des Amtes abzugeben. Die Stellungnahmen sind öffentlich.</w:t>
      </w:r>
    </w:p>
    <w:p w14:paraId="79A234F5" w14:textId="77777777" w:rsidR="00F94546" w:rsidRPr="004676F5" w:rsidRDefault="00F94546" w:rsidP="00F94546">
      <w:pPr>
        <w:jc w:val="both"/>
        <w:rPr>
          <w:lang w:val="de-DE"/>
        </w:rPr>
      </w:pPr>
    </w:p>
    <w:p w14:paraId="5ED69882" w14:textId="77777777" w:rsidR="00F94546" w:rsidRPr="004676F5" w:rsidRDefault="00F94546" w:rsidP="00F94546">
      <w:pPr>
        <w:jc w:val="both"/>
        <w:rPr>
          <w:lang w:val="de-DE"/>
        </w:rPr>
      </w:pPr>
    </w:p>
    <w:p w14:paraId="69A596A7" w14:textId="33A317E5" w:rsidR="00F94546" w:rsidRPr="004676F5" w:rsidRDefault="00BE0A56" w:rsidP="00F94546">
      <w:pPr>
        <w:ind w:firstLine="708"/>
        <w:jc w:val="both"/>
        <w:rPr>
          <w:lang w:val="de-DE"/>
        </w:rPr>
      </w:pPr>
      <w:r w:rsidRPr="004676F5">
        <w:rPr>
          <w:b/>
          <w:lang w:val="de-DE"/>
        </w:rPr>
        <w:t>Art. </w:t>
      </w:r>
      <w:r w:rsidR="00F94546" w:rsidRPr="004676F5">
        <w:rPr>
          <w:b/>
          <w:lang w:val="de-DE"/>
        </w:rPr>
        <w:t>VIII.21</w:t>
      </w:r>
      <w:r w:rsidR="00F94546" w:rsidRPr="004676F5">
        <w:rPr>
          <w:lang w:val="de-DE"/>
        </w:rPr>
        <w:t> </w:t>
      </w:r>
      <w:r w:rsidR="005B7A5C" w:rsidRPr="004676F5">
        <w:rPr>
          <w:lang w:val="de-DE"/>
        </w:rPr>
        <w:t>- </w:t>
      </w:r>
      <w:r w:rsidR="00F94546" w:rsidRPr="004676F5">
        <w:rPr>
          <w:lang w:val="de-DE"/>
        </w:rPr>
        <w:t>Neben dem Präsidenten setzt der Hohe Rat sich zusammen aus:</w:t>
      </w:r>
    </w:p>
    <w:p w14:paraId="1091864C" w14:textId="77777777" w:rsidR="00F94546" w:rsidRPr="004676F5" w:rsidRDefault="00F94546" w:rsidP="00F94546">
      <w:pPr>
        <w:ind w:firstLine="708"/>
        <w:jc w:val="both"/>
        <w:rPr>
          <w:lang w:val="de-DE"/>
        </w:rPr>
      </w:pPr>
    </w:p>
    <w:p w14:paraId="39D9CE3A" w14:textId="77777777" w:rsidR="00F94546" w:rsidRPr="004676F5" w:rsidRDefault="00F94546" w:rsidP="00F94546">
      <w:pPr>
        <w:ind w:firstLine="708"/>
        <w:jc w:val="both"/>
        <w:rPr>
          <w:lang w:val="de-DE"/>
        </w:rPr>
      </w:pPr>
      <w:r w:rsidRPr="004676F5">
        <w:rPr>
          <w:lang w:val="de-DE"/>
        </w:rPr>
        <w:t>1. vier ordentlichen Mitgliedern und vier stellvertretenden Mitgliedern, die im wissenschaftlichen Bereich tätig sind,</w:t>
      </w:r>
    </w:p>
    <w:p w14:paraId="73C95EE2" w14:textId="77777777" w:rsidR="00F94546" w:rsidRPr="004676F5" w:rsidRDefault="00F94546" w:rsidP="00F94546">
      <w:pPr>
        <w:jc w:val="both"/>
        <w:rPr>
          <w:lang w:val="de-DE"/>
        </w:rPr>
      </w:pPr>
    </w:p>
    <w:p w14:paraId="0F49FFD0" w14:textId="77777777" w:rsidR="00F94546" w:rsidRPr="004676F5" w:rsidRDefault="00F94546" w:rsidP="00F94546">
      <w:pPr>
        <w:ind w:firstLine="708"/>
        <w:jc w:val="both"/>
        <w:rPr>
          <w:lang w:val="de-DE"/>
        </w:rPr>
      </w:pPr>
      <w:r w:rsidRPr="004676F5">
        <w:rPr>
          <w:lang w:val="de-DE"/>
        </w:rPr>
        <w:t>2. sechs ordentlichen Mitgliedern und sechs stellvertretenden Mitgliedern, die die repräsentativen Organisationen der Unternehmen vertreten und unter denen zwei ordentliche Mitglieder und zwei stellvertretende Mitglieder die kleinen und mittleren Betriebe vertreten,</w:t>
      </w:r>
    </w:p>
    <w:p w14:paraId="24E77DD8" w14:textId="77777777" w:rsidR="00F94546" w:rsidRPr="004676F5" w:rsidRDefault="00F94546" w:rsidP="00F94546">
      <w:pPr>
        <w:jc w:val="both"/>
        <w:rPr>
          <w:lang w:val="de-DE"/>
        </w:rPr>
      </w:pPr>
    </w:p>
    <w:p w14:paraId="5FD3928C" w14:textId="23D4D802" w:rsidR="00F94546" w:rsidRPr="004676F5" w:rsidRDefault="00F94546" w:rsidP="00F94546">
      <w:pPr>
        <w:ind w:firstLine="708"/>
        <w:jc w:val="both"/>
        <w:rPr>
          <w:lang w:val="de-DE"/>
        </w:rPr>
      </w:pPr>
      <w:r w:rsidRPr="004676F5">
        <w:rPr>
          <w:lang w:val="de-DE"/>
        </w:rPr>
        <w:t>3. </w:t>
      </w:r>
      <w:r w:rsidR="002B63FD" w:rsidRPr="004676F5">
        <w:rPr>
          <w:lang w:val="de-DE"/>
        </w:rPr>
        <w:t>[fünf ordentlichen Mitgliedern und fünf stellvertretenden Mitgliedern, die die für gesellschaftliche Interessen zuständigen Nichtregierungsorganisationen vertreten,]</w:t>
      </w:r>
    </w:p>
    <w:p w14:paraId="52A9DED9" w14:textId="77777777" w:rsidR="00F94546" w:rsidRPr="004676F5" w:rsidRDefault="00F94546" w:rsidP="00F94546">
      <w:pPr>
        <w:jc w:val="both"/>
        <w:rPr>
          <w:lang w:val="de-DE"/>
        </w:rPr>
      </w:pPr>
    </w:p>
    <w:p w14:paraId="59D70A70" w14:textId="6DDE1D28" w:rsidR="00F94546" w:rsidRPr="004676F5" w:rsidRDefault="00F94546" w:rsidP="00F94546">
      <w:pPr>
        <w:ind w:firstLine="708"/>
        <w:jc w:val="both"/>
        <w:rPr>
          <w:lang w:val="de-DE"/>
        </w:rPr>
      </w:pPr>
      <w:r w:rsidRPr="004676F5">
        <w:rPr>
          <w:lang w:val="de-DE"/>
        </w:rPr>
        <w:t>4. </w:t>
      </w:r>
      <w:r w:rsidR="002B63FD" w:rsidRPr="004676F5">
        <w:rPr>
          <w:lang w:val="de-DE"/>
        </w:rPr>
        <w:t>[sieben ordentlichen Mitgliedern und sieben stellvertretenden Mitgliedern, die die föderalen und regionalen Behörden vertreten,]</w:t>
      </w:r>
    </w:p>
    <w:p w14:paraId="29B86233" w14:textId="77777777" w:rsidR="00F94546" w:rsidRPr="004676F5" w:rsidRDefault="00F94546" w:rsidP="00F94546">
      <w:pPr>
        <w:jc w:val="both"/>
        <w:rPr>
          <w:lang w:val="de-DE"/>
        </w:rPr>
      </w:pPr>
    </w:p>
    <w:p w14:paraId="219C0D81" w14:textId="3A7AC51B" w:rsidR="00F94546" w:rsidRPr="004676F5" w:rsidRDefault="00F94546" w:rsidP="00F94546">
      <w:pPr>
        <w:ind w:firstLine="708"/>
        <w:jc w:val="both"/>
        <w:rPr>
          <w:lang w:val="de-DE"/>
        </w:rPr>
      </w:pPr>
      <w:r w:rsidRPr="004676F5">
        <w:rPr>
          <w:lang w:val="de-DE"/>
        </w:rPr>
        <w:t>5. </w:t>
      </w:r>
      <w:r w:rsidR="002B63FD" w:rsidRPr="004676F5">
        <w:rPr>
          <w:lang w:val="de-DE"/>
        </w:rPr>
        <w:t>[einem ordentlichen Mitglied und einem stellvertretenden Mitglied, die die Konformitätsbewertungsstellen vertreten.]</w:t>
      </w:r>
    </w:p>
    <w:p w14:paraId="774E1BD1" w14:textId="77777777" w:rsidR="002B63FD" w:rsidRPr="004676F5" w:rsidRDefault="002B63FD" w:rsidP="002B63FD">
      <w:pPr>
        <w:jc w:val="both"/>
        <w:rPr>
          <w:lang w:val="de-DE"/>
        </w:rPr>
      </w:pPr>
    </w:p>
    <w:p w14:paraId="062D0842" w14:textId="5AABC9FF" w:rsidR="002B63FD" w:rsidRPr="004676F5" w:rsidRDefault="002B63FD" w:rsidP="002B63FD">
      <w:pPr>
        <w:jc w:val="both"/>
        <w:rPr>
          <w:i/>
          <w:iCs/>
          <w:lang w:val="de-DE"/>
        </w:rPr>
      </w:pPr>
      <w:r w:rsidRPr="004676F5">
        <w:rPr>
          <w:i/>
          <w:iCs/>
          <w:lang w:val="de-DE"/>
        </w:rPr>
        <w:t>[Art. VIII.21 einziger Absatz Nr. 3 ersetzt durch Art. 26 Buchstabe a) des G. vom 25. September 2022 (B.S. vom 16. Januar 2023); einziger Absatz Nr. 4 ersetzt durch Art. 26 Buchstabe b) des G. vom 25. September 2022 (B.S. vom 16. Januar 2023); einziger Absatz Nr. 5 ersetzt durch Art. 26 Buchstabe c) des G. vom 25. September 2022 (B.S. vom 16. Januar 2023)]</w:t>
      </w:r>
    </w:p>
    <w:p w14:paraId="7ABED292" w14:textId="77777777" w:rsidR="00F94546" w:rsidRPr="004676F5" w:rsidRDefault="00F94546" w:rsidP="00F94546">
      <w:pPr>
        <w:jc w:val="both"/>
        <w:rPr>
          <w:lang w:val="de-DE"/>
        </w:rPr>
      </w:pPr>
    </w:p>
    <w:p w14:paraId="05A11A89" w14:textId="77777777" w:rsidR="00F94546" w:rsidRPr="004676F5" w:rsidRDefault="00F94546" w:rsidP="00F94546">
      <w:pPr>
        <w:jc w:val="both"/>
        <w:rPr>
          <w:lang w:val="de-DE"/>
        </w:rPr>
      </w:pPr>
    </w:p>
    <w:p w14:paraId="1083B80A" w14:textId="17AED1AD" w:rsidR="00F94546" w:rsidRPr="004676F5" w:rsidRDefault="00BE0A56" w:rsidP="00F94546">
      <w:pPr>
        <w:ind w:firstLine="708"/>
        <w:jc w:val="both"/>
        <w:rPr>
          <w:lang w:val="de-DE"/>
        </w:rPr>
      </w:pPr>
      <w:r w:rsidRPr="004676F5">
        <w:rPr>
          <w:b/>
          <w:lang w:val="de-DE"/>
        </w:rPr>
        <w:t>Art. </w:t>
      </w:r>
      <w:r w:rsidR="00F94546" w:rsidRPr="004676F5">
        <w:rPr>
          <w:b/>
          <w:lang w:val="de-DE"/>
        </w:rPr>
        <w:t>VIII.22</w:t>
      </w:r>
      <w:r w:rsidR="00F94546" w:rsidRPr="004676F5">
        <w:rPr>
          <w:lang w:val="de-DE"/>
        </w:rPr>
        <w:t> </w:t>
      </w:r>
      <w:r w:rsidR="005B7A5C" w:rsidRPr="004676F5">
        <w:rPr>
          <w:lang w:val="de-DE"/>
        </w:rPr>
        <w:t>- </w:t>
      </w:r>
      <w:r w:rsidR="00F94546" w:rsidRPr="004676F5">
        <w:rPr>
          <w:lang w:val="de-DE"/>
        </w:rPr>
        <w:t>Der König ernennt und entlässt den Präsidenten des Hohen Rates.</w:t>
      </w:r>
    </w:p>
    <w:p w14:paraId="283808F0" w14:textId="77777777" w:rsidR="00F94546" w:rsidRPr="004676F5" w:rsidRDefault="00F94546" w:rsidP="00F94546">
      <w:pPr>
        <w:jc w:val="both"/>
        <w:rPr>
          <w:lang w:val="de-DE"/>
        </w:rPr>
      </w:pPr>
    </w:p>
    <w:p w14:paraId="08BBA699" w14:textId="77777777" w:rsidR="00F94546" w:rsidRPr="004676F5" w:rsidRDefault="00F94546" w:rsidP="00F94546">
      <w:pPr>
        <w:jc w:val="both"/>
        <w:rPr>
          <w:lang w:val="de-DE"/>
        </w:rPr>
      </w:pPr>
    </w:p>
    <w:p w14:paraId="21F2F308" w14:textId="4CCC4B2D" w:rsidR="00F94546" w:rsidRPr="004676F5" w:rsidRDefault="00BE0A56" w:rsidP="00F94546">
      <w:pPr>
        <w:ind w:firstLine="708"/>
        <w:jc w:val="both"/>
        <w:rPr>
          <w:lang w:val="de-DE"/>
        </w:rPr>
      </w:pPr>
      <w:r w:rsidRPr="004676F5">
        <w:rPr>
          <w:b/>
          <w:lang w:val="de-DE"/>
        </w:rPr>
        <w:t>Art. </w:t>
      </w:r>
      <w:r w:rsidR="00F94546" w:rsidRPr="004676F5">
        <w:rPr>
          <w:b/>
          <w:lang w:val="de-DE"/>
        </w:rPr>
        <w:t>VIII.23</w:t>
      </w:r>
      <w:r w:rsidR="00F94546" w:rsidRPr="004676F5">
        <w:rPr>
          <w:lang w:val="de-DE"/>
        </w:rPr>
        <w:t> </w:t>
      </w:r>
      <w:r w:rsidR="005B7A5C" w:rsidRPr="004676F5">
        <w:rPr>
          <w:lang w:val="de-DE"/>
        </w:rPr>
        <w:t>- </w:t>
      </w:r>
      <w:r w:rsidR="00F94546" w:rsidRPr="004676F5">
        <w:rPr>
          <w:lang w:val="de-DE"/>
        </w:rPr>
        <w:t>Auf Vorschlag der betreffenden Instanzen wählt und ernennt der Minister die ordentlichen Mitglieder und die stellvertretenden Mitglieder gemäß denselben Modalitäten.</w:t>
      </w:r>
    </w:p>
    <w:p w14:paraId="00623D45" w14:textId="77777777" w:rsidR="00F94546" w:rsidRPr="004676F5" w:rsidRDefault="00F94546" w:rsidP="00F94546">
      <w:pPr>
        <w:jc w:val="both"/>
        <w:rPr>
          <w:lang w:val="de-DE"/>
        </w:rPr>
      </w:pPr>
    </w:p>
    <w:p w14:paraId="53D53EDB" w14:textId="77777777" w:rsidR="00F94546" w:rsidRPr="004676F5" w:rsidRDefault="00F94546" w:rsidP="00F94546">
      <w:pPr>
        <w:jc w:val="both"/>
        <w:rPr>
          <w:lang w:val="de-DE"/>
        </w:rPr>
      </w:pPr>
    </w:p>
    <w:p w14:paraId="36D939A4" w14:textId="6E79BEC1" w:rsidR="00F94546" w:rsidRPr="004676F5" w:rsidRDefault="00BE0A56" w:rsidP="00F94546">
      <w:pPr>
        <w:ind w:firstLine="708"/>
        <w:jc w:val="both"/>
        <w:rPr>
          <w:lang w:val="de-DE"/>
        </w:rPr>
      </w:pPr>
      <w:r w:rsidRPr="004676F5">
        <w:rPr>
          <w:b/>
          <w:lang w:val="de-DE"/>
        </w:rPr>
        <w:t>Art. </w:t>
      </w:r>
      <w:r w:rsidR="00F94546" w:rsidRPr="004676F5">
        <w:rPr>
          <w:b/>
          <w:lang w:val="de-DE"/>
        </w:rPr>
        <w:t>VIII.24</w:t>
      </w:r>
      <w:r w:rsidR="00F94546" w:rsidRPr="004676F5">
        <w:rPr>
          <w:lang w:val="de-DE"/>
        </w:rPr>
        <w:t> </w:t>
      </w:r>
      <w:r w:rsidR="005B7A5C" w:rsidRPr="004676F5">
        <w:rPr>
          <w:lang w:val="de-DE"/>
        </w:rPr>
        <w:t>- </w:t>
      </w:r>
      <w:r w:rsidR="00F94546" w:rsidRPr="004676F5">
        <w:rPr>
          <w:lang w:val="de-DE"/>
        </w:rPr>
        <w:t>Das Mandat des Präsidenten und der Mitglieder hat eine Dauer von sechs Jahren und ist erneuerbar. Endet das Mandat eines ordentlichen Mitglieds vor seinem normalen Ablauf, übernimmt das betreffende stellvertretende Mitglied das Mandat. Anschließend wird für die verbleibende Laufzeit des ersten Mandats ein neues stellvertretendes Mitglied bestimmt.</w:t>
      </w:r>
    </w:p>
    <w:p w14:paraId="468527E3" w14:textId="77777777" w:rsidR="00F94546" w:rsidRPr="004676F5" w:rsidRDefault="00F94546" w:rsidP="00F94546">
      <w:pPr>
        <w:ind w:firstLine="708"/>
        <w:jc w:val="both"/>
        <w:rPr>
          <w:lang w:val="de-DE"/>
        </w:rPr>
      </w:pPr>
    </w:p>
    <w:p w14:paraId="7D580B19" w14:textId="77777777" w:rsidR="00F94546" w:rsidRPr="004676F5" w:rsidRDefault="00F94546" w:rsidP="00F94546">
      <w:pPr>
        <w:ind w:firstLine="708"/>
        <w:jc w:val="both"/>
        <w:rPr>
          <w:lang w:val="de-DE"/>
        </w:rPr>
      </w:pPr>
    </w:p>
    <w:p w14:paraId="35AEC3E8" w14:textId="107D5E87" w:rsidR="00F94546" w:rsidRPr="004676F5" w:rsidRDefault="00BE0A56" w:rsidP="00F94546">
      <w:pPr>
        <w:ind w:firstLine="708"/>
        <w:jc w:val="both"/>
        <w:rPr>
          <w:lang w:val="de-DE"/>
        </w:rPr>
      </w:pPr>
      <w:r w:rsidRPr="004676F5">
        <w:rPr>
          <w:b/>
          <w:lang w:val="de-DE"/>
        </w:rPr>
        <w:t>Art. </w:t>
      </w:r>
      <w:r w:rsidR="00F94546" w:rsidRPr="004676F5">
        <w:rPr>
          <w:b/>
          <w:lang w:val="de-DE"/>
        </w:rPr>
        <w:t>VIII.25</w:t>
      </w:r>
      <w:r w:rsidR="00F94546" w:rsidRPr="004676F5">
        <w:rPr>
          <w:lang w:val="de-DE"/>
        </w:rPr>
        <w:t> </w:t>
      </w:r>
      <w:r w:rsidR="005B7A5C" w:rsidRPr="004676F5">
        <w:rPr>
          <w:lang w:val="de-DE"/>
        </w:rPr>
        <w:t>- </w:t>
      </w:r>
      <w:r w:rsidR="00F94546" w:rsidRPr="004676F5">
        <w:rPr>
          <w:lang w:val="de-DE"/>
        </w:rPr>
        <w:t>Der Hohe Rat darf zu seinen Versammlungen Personen einladen, deren Beitrag für ihn nützlich sein kann.</w:t>
      </w:r>
    </w:p>
    <w:p w14:paraId="0C9E5EA5" w14:textId="77777777" w:rsidR="00F94546" w:rsidRPr="004676F5" w:rsidRDefault="00F94546" w:rsidP="00F94546">
      <w:pPr>
        <w:jc w:val="both"/>
        <w:rPr>
          <w:lang w:val="de-DE"/>
        </w:rPr>
      </w:pPr>
    </w:p>
    <w:p w14:paraId="32A19EBC" w14:textId="77777777" w:rsidR="00F94546" w:rsidRPr="004676F5" w:rsidRDefault="00F94546" w:rsidP="00F94546">
      <w:pPr>
        <w:jc w:val="both"/>
        <w:rPr>
          <w:lang w:val="de-DE"/>
        </w:rPr>
      </w:pPr>
    </w:p>
    <w:p w14:paraId="7D534E03" w14:textId="7CC71DE8" w:rsidR="00F94546" w:rsidRPr="004676F5" w:rsidRDefault="00BE0A56" w:rsidP="00F94546">
      <w:pPr>
        <w:ind w:firstLine="708"/>
        <w:jc w:val="both"/>
        <w:rPr>
          <w:lang w:val="de-DE"/>
        </w:rPr>
      </w:pPr>
      <w:r w:rsidRPr="004676F5">
        <w:rPr>
          <w:b/>
          <w:lang w:val="de-DE"/>
        </w:rPr>
        <w:t>Art. </w:t>
      </w:r>
      <w:r w:rsidR="00F94546" w:rsidRPr="004676F5">
        <w:rPr>
          <w:b/>
          <w:lang w:val="de-DE"/>
        </w:rPr>
        <w:t>VIII.26</w:t>
      </w:r>
      <w:r w:rsidR="00F94546" w:rsidRPr="004676F5">
        <w:rPr>
          <w:lang w:val="de-DE"/>
        </w:rPr>
        <w:t> </w:t>
      </w:r>
      <w:r w:rsidR="005B7A5C" w:rsidRPr="004676F5">
        <w:rPr>
          <w:lang w:val="de-DE"/>
        </w:rPr>
        <w:t>- </w:t>
      </w:r>
      <w:r w:rsidR="00F94546" w:rsidRPr="004676F5">
        <w:rPr>
          <w:lang w:val="de-DE"/>
        </w:rPr>
        <w:t>Die Sekretariatsgeschäfte des Hohen Rates werden vom Föderalen Öffentlichen Dienst Wirtschaft, KMB, Mittelstand und Energie wahrgenommen.</w:t>
      </w:r>
    </w:p>
    <w:p w14:paraId="7FE4C05F" w14:textId="77777777" w:rsidR="00F94546" w:rsidRPr="004676F5" w:rsidRDefault="00F94546" w:rsidP="00F94546">
      <w:pPr>
        <w:jc w:val="both"/>
        <w:rPr>
          <w:lang w:val="de-DE"/>
        </w:rPr>
      </w:pPr>
    </w:p>
    <w:p w14:paraId="05B50350" w14:textId="77777777" w:rsidR="00F94546" w:rsidRPr="004676F5" w:rsidRDefault="00F94546" w:rsidP="00F94546">
      <w:pPr>
        <w:jc w:val="both"/>
        <w:rPr>
          <w:lang w:val="de-DE"/>
        </w:rPr>
      </w:pPr>
    </w:p>
    <w:p w14:paraId="0C4CBEDA" w14:textId="2DF743BB" w:rsidR="00F94546" w:rsidRPr="004676F5" w:rsidRDefault="00BE0A56" w:rsidP="00F94546">
      <w:pPr>
        <w:ind w:firstLine="708"/>
        <w:jc w:val="both"/>
        <w:rPr>
          <w:lang w:val="de-DE"/>
        </w:rPr>
      </w:pPr>
      <w:r w:rsidRPr="004676F5">
        <w:rPr>
          <w:b/>
          <w:lang w:val="de-DE"/>
        </w:rPr>
        <w:t>Art. </w:t>
      </w:r>
      <w:r w:rsidR="00F94546" w:rsidRPr="004676F5">
        <w:rPr>
          <w:b/>
          <w:lang w:val="de-DE"/>
        </w:rPr>
        <w:t>VIII.27</w:t>
      </w:r>
      <w:r w:rsidR="00F94546" w:rsidRPr="004676F5">
        <w:rPr>
          <w:lang w:val="de-DE"/>
        </w:rPr>
        <w:t> </w:t>
      </w:r>
      <w:r w:rsidR="005B7A5C" w:rsidRPr="004676F5">
        <w:rPr>
          <w:lang w:val="de-DE"/>
        </w:rPr>
        <w:t>- </w:t>
      </w:r>
      <w:r w:rsidR="00F94546" w:rsidRPr="004676F5">
        <w:rPr>
          <w:lang w:val="de-DE"/>
        </w:rPr>
        <w:t>Der Hohe Rat arbeitet seine Geschäftsordnung aus. Diese Geschäftsordnung wird dem Minister zur Billigung vorgelegt.</w:t>
      </w:r>
    </w:p>
    <w:p w14:paraId="774259CE" w14:textId="77777777" w:rsidR="00F94546" w:rsidRPr="004676F5" w:rsidRDefault="00F94546" w:rsidP="00F94546">
      <w:pPr>
        <w:jc w:val="both"/>
        <w:rPr>
          <w:lang w:val="de-DE"/>
        </w:rPr>
      </w:pPr>
    </w:p>
    <w:p w14:paraId="477C1EE9" w14:textId="77777777" w:rsidR="00F94546" w:rsidRPr="004676F5" w:rsidRDefault="00F94546" w:rsidP="00F94546">
      <w:pPr>
        <w:ind w:firstLine="708"/>
        <w:jc w:val="both"/>
        <w:rPr>
          <w:lang w:val="de-DE"/>
        </w:rPr>
      </w:pPr>
    </w:p>
    <w:p w14:paraId="7FBA99D9" w14:textId="26CFC89C" w:rsidR="00F94546" w:rsidRPr="004676F5" w:rsidRDefault="00BE0A56" w:rsidP="00F94546">
      <w:pPr>
        <w:ind w:firstLine="708"/>
        <w:jc w:val="both"/>
        <w:rPr>
          <w:lang w:val="de-DE"/>
        </w:rPr>
      </w:pPr>
      <w:r w:rsidRPr="004676F5">
        <w:rPr>
          <w:b/>
          <w:lang w:val="de-DE"/>
        </w:rPr>
        <w:t>Art. </w:t>
      </w:r>
      <w:r w:rsidR="00F94546" w:rsidRPr="004676F5">
        <w:rPr>
          <w:b/>
          <w:lang w:val="de-DE"/>
        </w:rPr>
        <w:t>VIII.28</w:t>
      </w:r>
      <w:r w:rsidR="00F94546" w:rsidRPr="004676F5">
        <w:rPr>
          <w:lang w:val="de-DE"/>
        </w:rPr>
        <w:t> </w:t>
      </w:r>
      <w:r w:rsidR="005B7A5C" w:rsidRPr="004676F5">
        <w:rPr>
          <w:lang w:val="de-DE"/>
        </w:rPr>
        <w:t>- </w:t>
      </w:r>
      <w:r w:rsidR="00F94546" w:rsidRPr="004676F5">
        <w:rPr>
          <w:lang w:val="de-DE"/>
        </w:rPr>
        <w:t>Der Hohe Rat erstellt einen Bericht über seine Tätigkeit im abgelaufenen Geschäftsjahr. Dieser Bericht wird veröffentlicht und dem Minister übermittelt.</w:t>
      </w:r>
    </w:p>
    <w:p w14:paraId="34AD056E" w14:textId="77777777" w:rsidR="00F94546" w:rsidRPr="004676F5" w:rsidRDefault="00F94546" w:rsidP="00F94546">
      <w:pPr>
        <w:jc w:val="both"/>
        <w:rPr>
          <w:lang w:val="de-DE"/>
        </w:rPr>
      </w:pPr>
    </w:p>
    <w:p w14:paraId="6CB62081" w14:textId="77777777" w:rsidR="00F94546" w:rsidRPr="004676F5" w:rsidRDefault="00F94546" w:rsidP="00F94546">
      <w:pPr>
        <w:jc w:val="both"/>
        <w:rPr>
          <w:lang w:val="de-DE"/>
        </w:rPr>
      </w:pPr>
    </w:p>
    <w:p w14:paraId="2209E303" w14:textId="6B201B73" w:rsidR="00F94546" w:rsidRPr="004676F5" w:rsidRDefault="00BE0A56" w:rsidP="00F94546">
      <w:pPr>
        <w:ind w:firstLine="708"/>
        <w:jc w:val="both"/>
        <w:rPr>
          <w:lang w:val="de-DE"/>
        </w:rPr>
      </w:pPr>
      <w:r w:rsidRPr="004676F5">
        <w:rPr>
          <w:b/>
          <w:lang w:val="de-DE"/>
        </w:rPr>
        <w:t>Art. </w:t>
      </w:r>
      <w:r w:rsidR="00F94546" w:rsidRPr="004676F5">
        <w:rPr>
          <w:b/>
          <w:lang w:val="de-DE"/>
        </w:rPr>
        <w:t>VIII.29</w:t>
      </w:r>
      <w:r w:rsidR="00F94546" w:rsidRPr="004676F5">
        <w:rPr>
          <w:lang w:val="de-DE"/>
        </w:rPr>
        <w:t> </w:t>
      </w:r>
      <w:r w:rsidR="005B7A5C" w:rsidRPr="004676F5">
        <w:rPr>
          <w:lang w:val="de-DE"/>
        </w:rPr>
        <w:t>- </w:t>
      </w:r>
      <w:r w:rsidR="00F94546" w:rsidRPr="004676F5">
        <w:rPr>
          <w:lang w:val="de-DE"/>
        </w:rPr>
        <w:t>Für die Arbeit des Hohen Rates erforderliche Haushaltsmittel werden jedes Jahr in den Haushaltsplan des Föderalen Öffentlichen Dienstes Wirtschaft, KMB, Mittelstand und Energie eingetragen. Der König bestimmt die Höhe der Entschädigungen, die den Mitgliedern des Hohen Rates zuerkannt werden können. Er legt die Höhe der Entschädigungen für Fahrt</w:t>
      </w:r>
      <w:r w:rsidR="005B7A5C" w:rsidRPr="004676F5">
        <w:rPr>
          <w:lang w:val="de-DE"/>
        </w:rPr>
        <w:t>- </w:t>
      </w:r>
      <w:r w:rsidR="00F94546" w:rsidRPr="004676F5">
        <w:rPr>
          <w:lang w:val="de-DE"/>
        </w:rPr>
        <w:t>und Aufenthaltskosten fest.</w:t>
      </w:r>
    </w:p>
    <w:p w14:paraId="70569E2A" w14:textId="77777777" w:rsidR="00F94546" w:rsidRPr="004676F5" w:rsidRDefault="00F94546" w:rsidP="00F94546">
      <w:pPr>
        <w:jc w:val="both"/>
        <w:rPr>
          <w:lang w:val="de-DE"/>
        </w:rPr>
      </w:pPr>
    </w:p>
    <w:p w14:paraId="45FE9450" w14:textId="77777777" w:rsidR="00F94546" w:rsidRPr="004676F5" w:rsidRDefault="00F94546" w:rsidP="00F94546">
      <w:pPr>
        <w:jc w:val="both"/>
        <w:rPr>
          <w:lang w:val="de-DE"/>
        </w:rPr>
      </w:pPr>
    </w:p>
    <w:p w14:paraId="528C9FFF" w14:textId="77777777" w:rsidR="005E6F74" w:rsidRPr="004676F5" w:rsidRDefault="005E6F74">
      <w:pPr>
        <w:rPr>
          <w:b/>
          <w:lang w:val="de-DE"/>
        </w:rPr>
      </w:pPr>
      <w:r w:rsidRPr="004676F5">
        <w:rPr>
          <w:b/>
          <w:lang w:val="de-DE"/>
        </w:rPr>
        <w:br w:type="page"/>
      </w:r>
    </w:p>
    <w:p w14:paraId="77E2D8CB" w14:textId="6481CE9E" w:rsidR="00F94546" w:rsidRPr="004676F5" w:rsidRDefault="00F94546" w:rsidP="00F94546">
      <w:pPr>
        <w:jc w:val="center"/>
        <w:rPr>
          <w:b/>
          <w:i/>
          <w:lang w:val="de-DE"/>
        </w:rPr>
      </w:pPr>
      <w:r w:rsidRPr="004676F5">
        <w:rPr>
          <w:b/>
          <w:lang w:val="de-DE"/>
        </w:rPr>
        <w:lastRenderedPageBreak/>
        <w:t>TITEL 2 </w:t>
      </w:r>
      <w:r w:rsidR="005B7A5C" w:rsidRPr="004676F5">
        <w:rPr>
          <w:b/>
          <w:lang w:val="de-DE"/>
        </w:rPr>
        <w:t>- </w:t>
      </w:r>
      <w:r w:rsidRPr="004676F5">
        <w:rPr>
          <w:b/>
          <w:i/>
          <w:lang w:val="de-DE"/>
        </w:rPr>
        <w:t>Akkreditierung von Konformitätsbewertungsstellen</w:t>
      </w:r>
    </w:p>
    <w:p w14:paraId="54A3D7CF" w14:textId="77777777" w:rsidR="00F94546" w:rsidRPr="004676F5" w:rsidRDefault="00F94546" w:rsidP="00F94546">
      <w:pPr>
        <w:jc w:val="both"/>
        <w:rPr>
          <w:lang w:val="de-DE"/>
        </w:rPr>
      </w:pPr>
    </w:p>
    <w:p w14:paraId="2C9B07FA" w14:textId="77777777" w:rsidR="00F94546" w:rsidRPr="004676F5" w:rsidRDefault="00F94546" w:rsidP="00F94546">
      <w:pPr>
        <w:jc w:val="both"/>
        <w:rPr>
          <w:lang w:val="de-DE"/>
        </w:rPr>
      </w:pPr>
    </w:p>
    <w:p w14:paraId="039FA013" w14:textId="59DD9FD9" w:rsidR="00980046" w:rsidRPr="004676F5" w:rsidRDefault="00BE0A56" w:rsidP="00980046">
      <w:pPr>
        <w:ind w:firstLine="720"/>
        <w:jc w:val="both"/>
        <w:rPr>
          <w:lang w:val="de-DE"/>
        </w:rPr>
      </w:pPr>
      <w:r w:rsidRPr="004676F5">
        <w:rPr>
          <w:b/>
          <w:lang w:val="de-DE"/>
        </w:rPr>
        <w:t>Art. </w:t>
      </w:r>
      <w:r w:rsidR="00F94546" w:rsidRPr="004676F5">
        <w:rPr>
          <w:b/>
          <w:lang w:val="de-DE"/>
        </w:rPr>
        <w:t>VIII.30</w:t>
      </w:r>
      <w:r w:rsidR="00F94546" w:rsidRPr="004676F5">
        <w:rPr>
          <w:lang w:val="de-DE"/>
        </w:rPr>
        <w:t> </w:t>
      </w:r>
      <w:r w:rsidR="005B7A5C" w:rsidRPr="004676F5">
        <w:rPr>
          <w:lang w:val="de-DE"/>
        </w:rPr>
        <w:t>- </w:t>
      </w:r>
      <w:r w:rsidR="00980046" w:rsidRPr="004676F5">
        <w:rPr>
          <w:lang w:val="de-DE"/>
        </w:rPr>
        <w:t>[§ 1 ­ Der König kann durch einen im Ministerrat beratenen Erlass zweckdienliche Maßnahmen zur Schaffung einer einzigen nationalen Akkreditierungsstelle für Konformitätsbewertungsstellen ergreifen, deren Arbeit den Anforderungen von Kapitel II der Verordnung (EG) Nr. 765/2008 des Europäischen Parlaments und des Rates vom 9. Juli 2008 über die Vorschriften für die Akkreditierung und Marktüberwachung im Zusammenhang mit der Vermarktung von Produkten und zur Aufhebung der Verordnung (EWG) Nr. 339/93 des Rates und den im Amtsblatt der Europäischen Union veröffentlichten geltenden harmonisierten Normen genügt.</w:t>
      </w:r>
    </w:p>
    <w:p w14:paraId="1DCCB0BA" w14:textId="77777777" w:rsidR="00980046" w:rsidRPr="004676F5" w:rsidRDefault="00980046" w:rsidP="00980046">
      <w:pPr>
        <w:jc w:val="both"/>
        <w:rPr>
          <w:lang w:val="de-DE"/>
        </w:rPr>
      </w:pPr>
    </w:p>
    <w:p w14:paraId="50A48F69" w14:textId="77777777" w:rsidR="00980046" w:rsidRPr="004676F5" w:rsidRDefault="00980046" w:rsidP="00980046">
      <w:pPr>
        <w:ind w:firstLine="720"/>
        <w:jc w:val="both"/>
        <w:rPr>
          <w:lang w:val="de-DE"/>
        </w:rPr>
      </w:pPr>
      <w:r w:rsidRPr="004676F5">
        <w:rPr>
          <w:lang w:val="de-DE"/>
        </w:rPr>
        <w:t>Die nationale Akkreditierungsstelle ist für die Verwaltung des Akkreditierungs</w:t>
      </w:r>
      <w:r w:rsidRPr="004676F5">
        <w:rPr>
          <w:lang w:val="de-DE"/>
        </w:rPr>
        <w:softHyphen/>
        <w:t>verfahrens verantwortlich, einschließlich Ausstellung und Entzug der Akkreditierungen.</w:t>
      </w:r>
    </w:p>
    <w:p w14:paraId="541E7FB1" w14:textId="77777777" w:rsidR="00980046" w:rsidRPr="004676F5" w:rsidRDefault="00980046" w:rsidP="00980046">
      <w:pPr>
        <w:ind w:firstLine="720"/>
        <w:jc w:val="both"/>
        <w:rPr>
          <w:lang w:val="de-DE"/>
        </w:rPr>
      </w:pPr>
    </w:p>
    <w:p w14:paraId="31158D42" w14:textId="08DA488B" w:rsidR="00980046" w:rsidRPr="004676F5" w:rsidRDefault="00980046" w:rsidP="00980046">
      <w:pPr>
        <w:ind w:firstLine="720"/>
        <w:jc w:val="both"/>
        <w:rPr>
          <w:lang w:val="de-DE"/>
        </w:rPr>
      </w:pPr>
      <w:r w:rsidRPr="004676F5">
        <w:rPr>
          <w:lang w:val="de-DE"/>
        </w:rPr>
        <w:t>§ 2 </w:t>
      </w:r>
      <w:r w:rsidR="005B7A5C" w:rsidRPr="004676F5">
        <w:rPr>
          <w:lang w:val="de-DE"/>
        </w:rPr>
        <w:t>- </w:t>
      </w:r>
      <w:r w:rsidRPr="004676F5">
        <w:rPr>
          <w:lang w:val="de-DE"/>
        </w:rPr>
        <w:t>Der Belgische Staat erkennt Urkunden und Konformitätsbewertungsberichte an, die von Stellen ausgestellt werden, die aufgrund des vorliegenden Titels akkreditiert worden sind.</w:t>
      </w:r>
    </w:p>
    <w:p w14:paraId="22D8DC4B" w14:textId="77777777" w:rsidR="00980046" w:rsidRPr="004676F5" w:rsidRDefault="00980046" w:rsidP="00980046">
      <w:pPr>
        <w:ind w:firstLine="720"/>
        <w:jc w:val="both"/>
        <w:rPr>
          <w:lang w:val="de-DE"/>
        </w:rPr>
      </w:pPr>
    </w:p>
    <w:p w14:paraId="51A8C148" w14:textId="7487EF60" w:rsidR="00F94546" w:rsidRPr="004676F5" w:rsidRDefault="00980046" w:rsidP="00980046">
      <w:pPr>
        <w:ind w:firstLine="708"/>
        <w:jc w:val="both"/>
        <w:rPr>
          <w:lang w:val="de-DE"/>
        </w:rPr>
      </w:pPr>
      <w:r w:rsidRPr="004676F5">
        <w:rPr>
          <w:lang w:val="de-DE"/>
        </w:rPr>
        <w:t>§ 3 ­ Der Belgische Staat erkennt die Gleichwertigkeit der Dienstleistungen an, die von Akkreditierungsstellen erbracht wurden, mit denen die belgische Akkreditierungsstelle Abkommen über gegenseitige Anerkennung geschlossen hat, und akzeptiert damit aufgrund einer Konformitätsvermutung die Akkreditierungsurkunden dieser Stellen und die Bestätigungen, die von den von ihnen akkreditierten Konformitätsbewertungsstellen ausgestellt wurden.]</w:t>
      </w:r>
    </w:p>
    <w:p w14:paraId="5BAF1869" w14:textId="77777777" w:rsidR="00980046" w:rsidRPr="004676F5" w:rsidRDefault="00980046" w:rsidP="00980046">
      <w:pPr>
        <w:ind w:firstLine="708"/>
        <w:jc w:val="both"/>
        <w:rPr>
          <w:lang w:val="de-DE"/>
        </w:rPr>
      </w:pPr>
    </w:p>
    <w:p w14:paraId="5B85B27C" w14:textId="4C5CEE70" w:rsidR="00980046" w:rsidRPr="004676F5" w:rsidRDefault="00980046" w:rsidP="00980046">
      <w:pPr>
        <w:jc w:val="both"/>
        <w:rPr>
          <w:i/>
          <w:iCs/>
          <w:lang w:val="de-DE"/>
        </w:rPr>
      </w:pPr>
      <w:r w:rsidRPr="004676F5">
        <w:rPr>
          <w:i/>
          <w:iCs/>
          <w:lang w:val="de-DE"/>
        </w:rPr>
        <w:t>[Art. VIII.30 ersetzt durch Art. 12</w:t>
      </w:r>
      <w:r w:rsidRPr="004676F5">
        <w:rPr>
          <w:i/>
          <w:lang w:val="de-DE"/>
        </w:rPr>
        <w:t xml:space="preserve"> des G. vom 2. Mai 2019 (IV) (B.S. vom 22. Mai 2019)]</w:t>
      </w:r>
    </w:p>
    <w:p w14:paraId="520BC3D7" w14:textId="77777777" w:rsidR="00F94546" w:rsidRPr="004676F5" w:rsidRDefault="00F94546" w:rsidP="00F94546">
      <w:pPr>
        <w:jc w:val="both"/>
        <w:rPr>
          <w:lang w:val="de-DE"/>
        </w:rPr>
      </w:pPr>
    </w:p>
    <w:p w14:paraId="28650365" w14:textId="77777777" w:rsidR="00F94546" w:rsidRPr="004676F5" w:rsidRDefault="00F94546" w:rsidP="00F94546">
      <w:pPr>
        <w:jc w:val="both"/>
        <w:rPr>
          <w:lang w:val="de-DE"/>
        </w:rPr>
      </w:pPr>
    </w:p>
    <w:p w14:paraId="46400FEF" w14:textId="428A59EA" w:rsidR="00F94546" w:rsidRPr="004676F5" w:rsidRDefault="00BE0A56" w:rsidP="00F94546">
      <w:pPr>
        <w:ind w:firstLine="708"/>
        <w:jc w:val="both"/>
        <w:rPr>
          <w:lang w:val="de-DE"/>
        </w:rPr>
      </w:pPr>
      <w:r w:rsidRPr="004676F5">
        <w:rPr>
          <w:b/>
          <w:lang w:val="de-DE"/>
        </w:rPr>
        <w:t>Art. </w:t>
      </w:r>
      <w:r w:rsidR="00F94546" w:rsidRPr="004676F5">
        <w:rPr>
          <w:b/>
          <w:lang w:val="de-DE"/>
        </w:rPr>
        <w:t>VIII.31</w:t>
      </w:r>
      <w:r w:rsidR="00F94546" w:rsidRPr="004676F5">
        <w:rPr>
          <w:lang w:val="de-DE"/>
        </w:rPr>
        <w:t> </w:t>
      </w:r>
      <w:r w:rsidR="005B7A5C" w:rsidRPr="004676F5">
        <w:rPr>
          <w:lang w:val="de-DE"/>
        </w:rPr>
        <w:t>- </w:t>
      </w:r>
      <w:r w:rsidR="00F94546" w:rsidRPr="004676F5">
        <w:rPr>
          <w:lang w:val="de-DE"/>
        </w:rPr>
        <w:t>Der König übt die Ihm durch die Bestimmungen des vorliegenden Titels aufgetragenen Befugnisse auf Vorschlag des Ministers aus.</w:t>
      </w:r>
    </w:p>
    <w:p w14:paraId="22B0204A" w14:textId="77777777" w:rsidR="00F94546" w:rsidRPr="004676F5" w:rsidRDefault="00F94546" w:rsidP="00F94546">
      <w:pPr>
        <w:ind w:firstLine="708"/>
        <w:jc w:val="both"/>
        <w:rPr>
          <w:lang w:val="de-DE"/>
        </w:rPr>
      </w:pPr>
    </w:p>
    <w:p w14:paraId="59D36FE7" w14:textId="77777777" w:rsidR="00F94546" w:rsidRPr="004676F5" w:rsidRDefault="00F94546" w:rsidP="00F94546">
      <w:pPr>
        <w:ind w:firstLine="708"/>
        <w:jc w:val="both"/>
        <w:rPr>
          <w:lang w:val="de-DE"/>
        </w:rPr>
      </w:pPr>
    </w:p>
    <w:p w14:paraId="1F78D387" w14:textId="68890EFC" w:rsidR="00F94546" w:rsidRPr="004676F5" w:rsidRDefault="00BE0A56" w:rsidP="00F94546">
      <w:pPr>
        <w:ind w:firstLine="708"/>
        <w:jc w:val="both"/>
        <w:rPr>
          <w:lang w:val="de-DE"/>
        </w:rPr>
      </w:pPr>
      <w:r w:rsidRPr="004676F5">
        <w:rPr>
          <w:b/>
          <w:lang w:val="de-DE"/>
        </w:rPr>
        <w:t>Art. </w:t>
      </w:r>
      <w:r w:rsidR="00F94546" w:rsidRPr="004676F5">
        <w:rPr>
          <w:b/>
          <w:lang w:val="de-DE"/>
        </w:rPr>
        <w:t>VIII.32</w:t>
      </w:r>
      <w:r w:rsidR="00F94546" w:rsidRPr="004676F5">
        <w:rPr>
          <w:lang w:val="de-DE"/>
        </w:rPr>
        <w:t> </w:t>
      </w:r>
      <w:r w:rsidR="005B7A5C" w:rsidRPr="004676F5">
        <w:rPr>
          <w:lang w:val="de-DE"/>
        </w:rPr>
        <w:t>- </w:t>
      </w:r>
      <w:r w:rsidR="00F94546" w:rsidRPr="004676F5">
        <w:rPr>
          <w:lang w:val="de-DE"/>
        </w:rPr>
        <w:t>§ 1 </w:t>
      </w:r>
      <w:r w:rsidR="005B7A5C" w:rsidRPr="004676F5">
        <w:rPr>
          <w:lang w:val="de-DE"/>
        </w:rPr>
        <w:t>- </w:t>
      </w:r>
      <w:r w:rsidR="00F94546" w:rsidRPr="004676F5">
        <w:rPr>
          <w:lang w:val="de-DE"/>
        </w:rPr>
        <w:t xml:space="preserve">Ausgaben in Bezug auf </w:t>
      </w:r>
      <w:r w:rsidR="00980046" w:rsidRPr="004676F5">
        <w:rPr>
          <w:lang w:val="de-DE"/>
        </w:rPr>
        <w:t>[Verwaltung der nationalen Akkreditierungsstelle und Förderung der Akkreditierung]</w:t>
      </w:r>
      <w:r w:rsidR="00F94546" w:rsidRPr="004676F5">
        <w:rPr>
          <w:lang w:val="de-DE"/>
        </w:rPr>
        <w:t xml:space="preserve"> gehen zu Lasten des Föderalen Öffentlichen Dienstes Wirtschaft, KMB, Mittelstand und Energie.</w:t>
      </w:r>
    </w:p>
    <w:p w14:paraId="79579704" w14:textId="77777777" w:rsidR="00F94546" w:rsidRPr="004676F5" w:rsidRDefault="00F94546" w:rsidP="00F94546">
      <w:pPr>
        <w:jc w:val="both"/>
        <w:rPr>
          <w:lang w:val="de-DE"/>
        </w:rPr>
      </w:pPr>
    </w:p>
    <w:p w14:paraId="30495E67" w14:textId="7ECA6B89" w:rsidR="00F94546" w:rsidRPr="004676F5" w:rsidRDefault="00F94546" w:rsidP="00F94546">
      <w:pPr>
        <w:ind w:firstLine="708"/>
        <w:jc w:val="both"/>
        <w:rPr>
          <w:lang w:val="de-DE"/>
        </w:rPr>
      </w:pPr>
      <w:r w:rsidRPr="004676F5">
        <w:rPr>
          <w:lang w:val="de-DE"/>
        </w:rPr>
        <w:t>§ 2 </w:t>
      </w:r>
      <w:r w:rsidR="005B7A5C" w:rsidRPr="004676F5">
        <w:rPr>
          <w:lang w:val="de-DE"/>
        </w:rPr>
        <w:t>- </w:t>
      </w:r>
      <w:r w:rsidRPr="004676F5">
        <w:rPr>
          <w:lang w:val="de-DE"/>
        </w:rPr>
        <w:t>Es wird ein Fonds für die Deckung der Akkreditierungs</w:t>
      </w:r>
      <w:r w:rsidR="005B7A5C" w:rsidRPr="004676F5">
        <w:rPr>
          <w:lang w:val="de-DE"/>
        </w:rPr>
        <w:t>- </w:t>
      </w:r>
      <w:r w:rsidRPr="004676F5">
        <w:rPr>
          <w:lang w:val="de-DE"/>
        </w:rPr>
        <w:t>und Zertifizierungskosten eingerichtet.</w:t>
      </w:r>
    </w:p>
    <w:p w14:paraId="09B76944" w14:textId="77777777" w:rsidR="00F94546" w:rsidRPr="004676F5" w:rsidRDefault="00F94546" w:rsidP="00F94546">
      <w:pPr>
        <w:jc w:val="both"/>
        <w:rPr>
          <w:lang w:val="de-DE"/>
        </w:rPr>
      </w:pPr>
    </w:p>
    <w:p w14:paraId="5C4E12FE" w14:textId="4DA87C7C" w:rsidR="00F94546" w:rsidRPr="004676F5" w:rsidRDefault="00F94546" w:rsidP="00F94546">
      <w:pPr>
        <w:ind w:firstLine="708"/>
        <w:jc w:val="both"/>
        <w:rPr>
          <w:lang w:val="de-DE"/>
        </w:rPr>
      </w:pPr>
      <w:r w:rsidRPr="004676F5">
        <w:rPr>
          <w:lang w:val="de-DE"/>
        </w:rPr>
        <w:t>Unbeschadet anderer Gesetzes</w:t>
      </w:r>
      <w:r w:rsidR="005B7A5C" w:rsidRPr="004676F5">
        <w:rPr>
          <w:lang w:val="de-DE"/>
        </w:rPr>
        <w:t>- </w:t>
      </w:r>
      <w:r w:rsidRPr="004676F5">
        <w:rPr>
          <w:lang w:val="de-DE"/>
        </w:rPr>
        <w:t xml:space="preserve">und Verordnungsbestimmungen kann der König zugunsten dieses Fonds Vergütungen zur Deckung von Bewertungs-, Akkreditierungs-, </w:t>
      </w:r>
      <w:r w:rsidR="00980046" w:rsidRPr="004676F5">
        <w:rPr>
          <w:lang w:val="de-DE"/>
        </w:rPr>
        <w:t>[...]</w:t>
      </w:r>
      <w:r w:rsidRPr="004676F5">
        <w:rPr>
          <w:lang w:val="de-DE"/>
        </w:rPr>
        <w:t xml:space="preserve"> Überwachungs</w:t>
      </w:r>
      <w:r w:rsidR="005B7A5C" w:rsidRPr="004676F5">
        <w:rPr>
          <w:lang w:val="de-DE"/>
        </w:rPr>
        <w:t>- </w:t>
      </w:r>
      <w:r w:rsidRPr="004676F5">
        <w:rPr>
          <w:lang w:val="de-DE"/>
        </w:rPr>
        <w:t>und Kontrollkosten auferlegen.</w:t>
      </w:r>
    </w:p>
    <w:p w14:paraId="3A3B8A71" w14:textId="77777777" w:rsidR="00F94546" w:rsidRPr="004676F5" w:rsidRDefault="00F94546" w:rsidP="00F94546">
      <w:pPr>
        <w:jc w:val="both"/>
        <w:rPr>
          <w:lang w:val="de-DE"/>
        </w:rPr>
      </w:pPr>
    </w:p>
    <w:p w14:paraId="193AE7AC" w14:textId="7EAF600F" w:rsidR="00F94546" w:rsidRPr="004676F5" w:rsidRDefault="00F94546" w:rsidP="00F94546">
      <w:pPr>
        <w:ind w:firstLine="708"/>
        <w:jc w:val="both"/>
        <w:rPr>
          <w:lang w:val="de-DE"/>
        </w:rPr>
      </w:pPr>
      <w:r w:rsidRPr="004676F5">
        <w:rPr>
          <w:lang w:val="de-DE"/>
        </w:rPr>
        <w:t>§ 3 </w:t>
      </w:r>
      <w:r w:rsidR="005B7A5C" w:rsidRPr="004676F5">
        <w:rPr>
          <w:lang w:val="de-DE"/>
        </w:rPr>
        <w:t>- </w:t>
      </w:r>
      <w:r w:rsidRPr="004676F5">
        <w:rPr>
          <w:lang w:val="de-DE"/>
        </w:rPr>
        <w:t>Der König legt hinsichtlich der Vergütungen und Ausgaben Berechnungsmodus und Zahlungsweise fest.</w:t>
      </w:r>
    </w:p>
    <w:p w14:paraId="03D66411" w14:textId="77777777" w:rsidR="00F94546" w:rsidRPr="004676F5" w:rsidRDefault="00F94546" w:rsidP="00F94546">
      <w:pPr>
        <w:jc w:val="both"/>
        <w:rPr>
          <w:lang w:val="de-DE"/>
        </w:rPr>
      </w:pPr>
    </w:p>
    <w:p w14:paraId="52C98497" w14:textId="3AA31BE3" w:rsidR="00F94546" w:rsidRPr="004676F5" w:rsidRDefault="00980046" w:rsidP="00F94546">
      <w:pPr>
        <w:jc w:val="both"/>
        <w:rPr>
          <w:i/>
          <w:iCs/>
          <w:lang w:val="de-DE"/>
        </w:rPr>
      </w:pPr>
      <w:r w:rsidRPr="004676F5">
        <w:rPr>
          <w:i/>
          <w:iCs/>
          <w:lang w:val="de-DE"/>
        </w:rPr>
        <w:t>[Art. VIII.32 § 1 abgeändert durch Art. 13 Nr. 1</w:t>
      </w:r>
      <w:r w:rsidRPr="004676F5">
        <w:rPr>
          <w:i/>
          <w:lang w:val="de-DE"/>
        </w:rPr>
        <w:t xml:space="preserve"> des G. vom 2. Mai 2019 (IV) (B.S. vom 22. Mai 2019); § 2 Abs. 2 abgeändert durch Art. 13 Nr. 2 des G. vom 2. Mai 2019 (IV) (B.S. vom 22. Mai 2019)]</w:t>
      </w:r>
    </w:p>
    <w:p w14:paraId="17F07956" w14:textId="77777777" w:rsidR="005E6F74" w:rsidRPr="004676F5" w:rsidRDefault="005E6F74">
      <w:pPr>
        <w:rPr>
          <w:b/>
          <w:lang w:val="de-DE"/>
        </w:rPr>
      </w:pPr>
      <w:r w:rsidRPr="004676F5">
        <w:rPr>
          <w:b/>
          <w:lang w:val="de-DE"/>
        </w:rPr>
        <w:br w:type="page"/>
      </w:r>
    </w:p>
    <w:p w14:paraId="7F6BA1F8" w14:textId="43D00486" w:rsidR="00F94546" w:rsidRPr="004676F5" w:rsidRDefault="00F94546" w:rsidP="00F94546">
      <w:pPr>
        <w:jc w:val="center"/>
        <w:rPr>
          <w:b/>
          <w:i/>
          <w:lang w:val="de-DE"/>
        </w:rPr>
      </w:pPr>
      <w:r w:rsidRPr="004676F5">
        <w:rPr>
          <w:b/>
          <w:lang w:val="de-DE"/>
        </w:rPr>
        <w:lastRenderedPageBreak/>
        <w:t>TITEL 3 </w:t>
      </w:r>
      <w:r w:rsidR="005B7A5C" w:rsidRPr="004676F5">
        <w:rPr>
          <w:b/>
          <w:lang w:val="de-DE"/>
        </w:rPr>
        <w:t>- </w:t>
      </w:r>
      <w:r w:rsidRPr="004676F5">
        <w:rPr>
          <w:b/>
          <w:i/>
          <w:lang w:val="de-DE"/>
        </w:rPr>
        <w:t>Maßeinheiten, Eichmaße und Messinstrumente</w:t>
      </w:r>
    </w:p>
    <w:p w14:paraId="5F319D1B" w14:textId="77777777" w:rsidR="00F94546" w:rsidRPr="004676F5" w:rsidRDefault="00F94546" w:rsidP="00F94546">
      <w:pPr>
        <w:jc w:val="center"/>
        <w:rPr>
          <w:lang w:val="de-DE"/>
        </w:rPr>
      </w:pPr>
    </w:p>
    <w:p w14:paraId="0D64F1F3" w14:textId="77777777" w:rsidR="00F94546" w:rsidRPr="004676F5" w:rsidRDefault="00F94546" w:rsidP="00F94546">
      <w:pPr>
        <w:jc w:val="center"/>
        <w:rPr>
          <w:lang w:val="de-DE"/>
        </w:rPr>
      </w:pPr>
    </w:p>
    <w:p w14:paraId="74A2A249" w14:textId="247C1378" w:rsidR="00F94546" w:rsidRPr="004676F5" w:rsidRDefault="00F94546" w:rsidP="00F94546">
      <w:pPr>
        <w:jc w:val="center"/>
        <w:rPr>
          <w:lang w:val="de-DE"/>
        </w:rPr>
      </w:pPr>
      <w:r w:rsidRPr="004676F5">
        <w:rPr>
          <w:lang w:val="de-DE"/>
        </w:rPr>
        <w:t>KAPITEL 1 </w:t>
      </w:r>
      <w:r w:rsidR="005B7A5C" w:rsidRPr="004676F5">
        <w:rPr>
          <w:lang w:val="de-DE"/>
        </w:rPr>
        <w:t>- </w:t>
      </w:r>
      <w:r w:rsidRPr="004676F5">
        <w:rPr>
          <w:i/>
          <w:lang w:val="de-DE"/>
        </w:rPr>
        <w:t>Gesetzliche Einheiten</w:t>
      </w:r>
    </w:p>
    <w:p w14:paraId="1E38AE67" w14:textId="77777777" w:rsidR="00F94546" w:rsidRPr="004676F5" w:rsidRDefault="00F94546" w:rsidP="00F94546">
      <w:pPr>
        <w:jc w:val="center"/>
        <w:rPr>
          <w:lang w:val="de-DE"/>
        </w:rPr>
      </w:pPr>
    </w:p>
    <w:p w14:paraId="7F875DD6" w14:textId="77777777" w:rsidR="00F94546" w:rsidRPr="004676F5" w:rsidRDefault="00F94546" w:rsidP="00F94546">
      <w:pPr>
        <w:jc w:val="center"/>
        <w:rPr>
          <w:lang w:val="de-DE"/>
        </w:rPr>
      </w:pPr>
    </w:p>
    <w:p w14:paraId="0727D255" w14:textId="707E5840" w:rsidR="00F94546" w:rsidRPr="004676F5" w:rsidRDefault="00F94546" w:rsidP="00F94546">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Allgemeines</w:t>
      </w:r>
    </w:p>
    <w:p w14:paraId="1DBCB676" w14:textId="77777777" w:rsidR="00F94546" w:rsidRPr="004676F5" w:rsidRDefault="00F94546" w:rsidP="00F94546">
      <w:pPr>
        <w:jc w:val="both"/>
        <w:rPr>
          <w:lang w:val="de-DE"/>
        </w:rPr>
      </w:pPr>
    </w:p>
    <w:p w14:paraId="6BB08D74" w14:textId="77777777" w:rsidR="00F94546" w:rsidRPr="004676F5" w:rsidRDefault="00F94546" w:rsidP="00F94546">
      <w:pPr>
        <w:jc w:val="both"/>
        <w:rPr>
          <w:lang w:val="de-DE"/>
        </w:rPr>
      </w:pPr>
    </w:p>
    <w:p w14:paraId="6F2F8B02" w14:textId="0D4759B8" w:rsidR="00F94546" w:rsidRPr="004676F5" w:rsidRDefault="00BE0A56" w:rsidP="00F94546">
      <w:pPr>
        <w:ind w:firstLine="708"/>
        <w:jc w:val="both"/>
        <w:rPr>
          <w:lang w:val="de-DE"/>
        </w:rPr>
      </w:pPr>
      <w:r w:rsidRPr="004676F5">
        <w:rPr>
          <w:b/>
          <w:lang w:val="de-DE"/>
        </w:rPr>
        <w:t>Art. </w:t>
      </w:r>
      <w:r w:rsidR="00F94546" w:rsidRPr="004676F5">
        <w:rPr>
          <w:b/>
          <w:lang w:val="de-DE"/>
        </w:rPr>
        <w:t>VIII.33</w:t>
      </w:r>
      <w:r w:rsidR="00F94546" w:rsidRPr="004676F5">
        <w:rPr>
          <w:lang w:val="de-DE"/>
        </w:rPr>
        <w:t> </w:t>
      </w:r>
      <w:r w:rsidR="005B7A5C" w:rsidRPr="004676F5">
        <w:rPr>
          <w:lang w:val="de-DE"/>
        </w:rPr>
        <w:t>- </w:t>
      </w:r>
      <w:r w:rsidR="00F94546" w:rsidRPr="004676F5">
        <w:rPr>
          <w:lang w:val="de-DE"/>
        </w:rPr>
        <w:t>Das gesetzliche System der Maßeinheiten umfasst die Einheiten des internationalen Einheitensystems und andere Maßeinheiten, die, ohne Teil dieses Systems zu sein, gewöhnlich benutzt werden.</w:t>
      </w:r>
    </w:p>
    <w:p w14:paraId="0DF4ACE9" w14:textId="77777777" w:rsidR="00F94546" w:rsidRPr="004676F5" w:rsidRDefault="00F94546" w:rsidP="00F94546">
      <w:pPr>
        <w:jc w:val="both"/>
        <w:rPr>
          <w:lang w:val="de-DE"/>
        </w:rPr>
      </w:pPr>
    </w:p>
    <w:p w14:paraId="7E9A30BF" w14:textId="77777777" w:rsidR="00F94546" w:rsidRPr="004676F5" w:rsidRDefault="00F94546" w:rsidP="00F94546">
      <w:pPr>
        <w:jc w:val="both"/>
        <w:rPr>
          <w:lang w:val="de-DE"/>
        </w:rPr>
      </w:pPr>
    </w:p>
    <w:p w14:paraId="7C4D01E0" w14:textId="736E0F3E" w:rsidR="00F94546" w:rsidRPr="004676F5" w:rsidRDefault="00F94546" w:rsidP="00F94546">
      <w:pPr>
        <w:jc w:val="center"/>
        <w:rPr>
          <w:lang w:val="de-DE"/>
        </w:rPr>
      </w:pPr>
      <w:r w:rsidRPr="004676F5">
        <w:rPr>
          <w:i/>
          <w:lang w:val="de-DE"/>
        </w:rPr>
        <w:t>Abschnitt 2 </w:t>
      </w:r>
      <w:r w:rsidR="005B7A5C" w:rsidRPr="004676F5">
        <w:rPr>
          <w:lang w:val="de-DE"/>
        </w:rPr>
        <w:t>- </w:t>
      </w:r>
      <w:r w:rsidRPr="004676F5">
        <w:rPr>
          <w:lang w:val="de-DE"/>
        </w:rPr>
        <w:t>Maßeinheiten des internationalen Einheitensystems</w:t>
      </w:r>
    </w:p>
    <w:p w14:paraId="314DDD32" w14:textId="77777777" w:rsidR="00F94546" w:rsidRPr="004676F5" w:rsidRDefault="00F94546" w:rsidP="00F94546">
      <w:pPr>
        <w:jc w:val="both"/>
        <w:rPr>
          <w:lang w:val="de-DE"/>
        </w:rPr>
      </w:pPr>
    </w:p>
    <w:p w14:paraId="132B9385" w14:textId="77777777" w:rsidR="00F94546" w:rsidRPr="004676F5" w:rsidRDefault="00F94546" w:rsidP="00F94546">
      <w:pPr>
        <w:jc w:val="both"/>
        <w:rPr>
          <w:lang w:val="de-DE"/>
        </w:rPr>
      </w:pPr>
    </w:p>
    <w:p w14:paraId="09C70C51" w14:textId="5483BCB3" w:rsidR="00F94546" w:rsidRPr="004676F5" w:rsidRDefault="00BE0A56" w:rsidP="00F94546">
      <w:pPr>
        <w:ind w:firstLine="708"/>
        <w:jc w:val="both"/>
        <w:rPr>
          <w:lang w:val="de-DE"/>
        </w:rPr>
      </w:pPr>
      <w:r w:rsidRPr="004676F5">
        <w:rPr>
          <w:b/>
          <w:lang w:val="de-DE"/>
        </w:rPr>
        <w:t>Art. </w:t>
      </w:r>
      <w:r w:rsidR="00F94546" w:rsidRPr="004676F5">
        <w:rPr>
          <w:b/>
          <w:lang w:val="de-DE"/>
        </w:rPr>
        <w:t>VIII.34</w:t>
      </w:r>
      <w:r w:rsidR="00F94546" w:rsidRPr="004676F5">
        <w:rPr>
          <w:lang w:val="de-DE"/>
        </w:rPr>
        <w:t> </w:t>
      </w:r>
      <w:r w:rsidR="005B7A5C" w:rsidRPr="004676F5">
        <w:rPr>
          <w:lang w:val="de-DE"/>
        </w:rPr>
        <w:t>- </w:t>
      </w:r>
      <w:r w:rsidR="00F94546" w:rsidRPr="004676F5">
        <w:rPr>
          <w:lang w:val="de-DE"/>
        </w:rPr>
        <w:t>Das internationale Einheitensystem (SI) umfasst:</w:t>
      </w:r>
    </w:p>
    <w:p w14:paraId="34303F57" w14:textId="77777777" w:rsidR="00F94546" w:rsidRPr="004676F5" w:rsidRDefault="00F94546" w:rsidP="00F94546">
      <w:pPr>
        <w:ind w:firstLine="708"/>
        <w:jc w:val="both"/>
        <w:rPr>
          <w:lang w:val="de-DE"/>
        </w:rPr>
      </w:pPr>
    </w:p>
    <w:p w14:paraId="39FAC41F" w14:textId="77777777" w:rsidR="00F94546" w:rsidRPr="004676F5" w:rsidRDefault="00F94546" w:rsidP="00F94546">
      <w:pPr>
        <w:ind w:firstLine="708"/>
        <w:jc w:val="both"/>
        <w:rPr>
          <w:lang w:val="de-DE"/>
        </w:rPr>
      </w:pPr>
      <w:r w:rsidRPr="004676F5">
        <w:rPr>
          <w:lang w:val="de-DE"/>
        </w:rPr>
        <w:t>1. Basiseinheiten,</w:t>
      </w:r>
    </w:p>
    <w:p w14:paraId="6442B918" w14:textId="77777777" w:rsidR="00F94546" w:rsidRPr="004676F5" w:rsidRDefault="00F94546" w:rsidP="00F94546">
      <w:pPr>
        <w:jc w:val="both"/>
        <w:rPr>
          <w:lang w:val="de-DE"/>
        </w:rPr>
      </w:pPr>
    </w:p>
    <w:p w14:paraId="6EC3B3C5" w14:textId="77777777" w:rsidR="00F94546" w:rsidRPr="004676F5" w:rsidRDefault="00F94546" w:rsidP="00F94546">
      <w:pPr>
        <w:ind w:firstLine="708"/>
        <w:jc w:val="both"/>
        <w:rPr>
          <w:lang w:val="de-DE"/>
        </w:rPr>
      </w:pPr>
      <w:r w:rsidRPr="004676F5">
        <w:rPr>
          <w:lang w:val="de-DE"/>
        </w:rPr>
        <w:t>2. abgeleitete Einheiten,</w:t>
      </w:r>
    </w:p>
    <w:p w14:paraId="64D4758A" w14:textId="77777777" w:rsidR="00F94546" w:rsidRPr="004676F5" w:rsidRDefault="00F94546" w:rsidP="00F94546">
      <w:pPr>
        <w:ind w:firstLine="708"/>
        <w:jc w:val="both"/>
        <w:rPr>
          <w:lang w:val="de-DE"/>
        </w:rPr>
      </w:pPr>
    </w:p>
    <w:p w14:paraId="45AE1B67" w14:textId="77777777" w:rsidR="00F94546" w:rsidRPr="004676F5" w:rsidRDefault="00F94546" w:rsidP="00F94546">
      <w:pPr>
        <w:ind w:firstLine="708"/>
        <w:jc w:val="both"/>
        <w:rPr>
          <w:lang w:val="de-DE"/>
        </w:rPr>
      </w:pPr>
      <w:r w:rsidRPr="004676F5">
        <w:rPr>
          <w:lang w:val="de-DE"/>
        </w:rPr>
        <w:t>3. Vielfache und Teile der Basiseinheiten.</w:t>
      </w:r>
    </w:p>
    <w:p w14:paraId="435E2A51" w14:textId="77777777" w:rsidR="00F94546" w:rsidRPr="004676F5" w:rsidRDefault="00F94546" w:rsidP="00F94546">
      <w:pPr>
        <w:jc w:val="both"/>
        <w:rPr>
          <w:lang w:val="de-DE"/>
        </w:rPr>
      </w:pPr>
    </w:p>
    <w:p w14:paraId="0E8A2E7C" w14:textId="77777777" w:rsidR="00F94546" w:rsidRPr="004676F5" w:rsidRDefault="00F94546" w:rsidP="00F94546">
      <w:pPr>
        <w:jc w:val="both"/>
        <w:rPr>
          <w:lang w:val="de-DE"/>
        </w:rPr>
      </w:pPr>
    </w:p>
    <w:p w14:paraId="32C7563D" w14:textId="71A43AFA" w:rsidR="00204FA1" w:rsidRPr="004676F5" w:rsidRDefault="00204FA1" w:rsidP="00204FA1">
      <w:pPr>
        <w:jc w:val="both"/>
        <w:rPr>
          <w:lang w:val="de-DE"/>
        </w:rPr>
      </w:pPr>
      <w:r w:rsidRPr="004676F5">
        <w:rPr>
          <w:b/>
          <w:lang w:val="de-DE"/>
        </w:rPr>
        <w:tab/>
      </w:r>
      <w:r w:rsidR="00BE0A56" w:rsidRPr="004676F5">
        <w:rPr>
          <w:b/>
          <w:lang w:val="de-DE"/>
        </w:rPr>
        <w:t>Art. </w:t>
      </w:r>
      <w:r w:rsidR="00F94546" w:rsidRPr="004676F5">
        <w:rPr>
          <w:b/>
          <w:lang w:val="de-DE"/>
        </w:rPr>
        <w:t>VIII.35</w:t>
      </w:r>
      <w:r w:rsidR="00F94546" w:rsidRPr="004676F5">
        <w:rPr>
          <w:lang w:val="de-DE"/>
        </w:rPr>
        <w:t> </w:t>
      </w:r>
      <w:r w:rsidR="005B7A5C" w:rsidRPr="004676F5">
        <w:rPr>
          <w:lang w:val="de-DE"/>
        </w:rPr>
        <w:t>- </w:t>
      </w:r>
      <w:r w:rsidR="00F94546" w:rsidRPr="004676F5">
        <w:rPr>
          <w:lang w:val="de-DE"/>
        </w:rPr>
        <w:t>§ 1 </w:t>
      </w:r>
      <w:r w:rsidR="005B7A5C" w:rsidRPr="004676F5">
        <w:rPr>
          <w:lang w:val="de-DE"/>
        </w:rPr>
        <w:t>- </w:t>
      </w:r>
      <w:r w:rsidRPr="004676F5">
        <w:rPr>
          <w:lang w:val="de-DE"/>
        </w:rPr>
        <w:t>[Die in Artikel VIII.34 Nr. 1 erwähnten Basiseinheiten, die Größen, auf die sie sich beziehen, und die Einheitenzeichen, die sie bezeichnen, sind:</w:t>
      </w:r>
    </w:p>
    <w:p w14:paraId="24441F9A" w14:textId="091F3597" w:rsidR="00204FA1" w:rsidRPr="004676F5" w:rsidRDefault="00204FA1" w:rsidP="00204FA1">
      <w:pPr>
        <w:jc w:val="both"/>
        <w:rPr>
          <w:lang w:val="de-DE"/>
        </w:rPr>
      </w:pPr>
    </w:p>
    <w:tbl>
      <w:tblPr>
        <w:tblStyle w:val="Grilledutableau"/>
        <w:tblW w:w="0" w:type="auto"/>
        <w:tblLook w:val="04A0" w:firstRow="1" w:lastRow="0" w:firstColumn="1" w:lastColumn="0" w:noHBand="0" w:noVBand="1"/>
      </w:tblPr>
      <w:tblGrid>
        <w:gridCol w:w="3397"/>
        <w:gridCol w:w="2835"/>
        <w:gridCol w:w="2828"/>
      </w:tblGrid>
      <w:tr w:rsidR="00204FA1" w:rsidRPr="004676F5" w14:paraId="6C67AAC0" w14:textId="77777777" w:rsidTr="00204FA1">
        <w:tc>
          <w:tcPr>
            <w:tcW w:w="3397" w:type="dxa"/>
          </w:tcPr>
          <w:p w14:paraId="647D2EAF" w14:textId="77777777" w:rsidR="00204FA1" w:rsidRPr="004676F5" w:rsidRDefault="00204FA1" w:rsidP="00204FA1">
            <w:pPr>
              <w:spacing w:before="40" w:after="40"/>
              <w:rPr>
                <w:rFonts w:cs="Times New Roman"/>
              </w:rPr>
            </w:pPr>
            <w:r w:rsidRPr="004676F5">
              <w:t>Größe</w:t>
            </w:r>
          </w:p>
        </w:tc>
        <w:tc>
          <w:tcPr>
            <w:tcW w:w="5663" w:type="dxa"/>
            <w:gridSpan w:val="2"/>
          </w:tcPr>
          <w:p w14:paraId="3174E450" w14:textId="77777777" w:rsidR="00204FA1" w:rsidRPr="004676F5" w:rsidRDefault="00204FA1" w:rsidP="00204FA1">
            <w:pPr>
              <w:spacing w:before="40" w:after="40"/>
              <w:rPr>
                <w:rFonts w:cs="Times New Roman"/>
              </w:rPr>
            </w:pPr>
            <w:r w:rsidRPr="004676F5">
              <w:t>Einheit</w:t>
            </w:r>
          </w:p>
        </w:tc>
      </w:tr>
      <w:tr w:rsidR="00204FA1" w:rsidRPr="004676F5" w14:paraId="41D8178D" w14:textId="77777777" w:rsidTr="00204FA1">
        <w:tc>
          <w:tcPr>
            <w:tcW w:w="3397" w:type="dxa"/>
          </w:tcPr>
          <w:p w14:paraId="600E71D9" w14:textId="77777777" w:rsidR="00204FA1" w:rsidRPr="004676F5" w:rsidRDefault="00204FA1" w:rsidP="00204FA1">
            <w:pPr>
              <w:spacing w:before="40" w:after="40"/>
              <w:rPr>
                <w:rFonts w:cs="Times New Roman"/>
              </w:rPr>
            </w:pPr>
          </w:p>
        </w:tc>
        <w:tc>
          <w:tcPr>
            <w:tcW w:w="2835" w:type="dxa"/>
          </w:tcPr>
          <w:p w14:paraId="25327377" w14:textId="77777777" w:rsidR="00204FA1" w:rsidRPr="004676F5" w:rsidRDefault="00204FA1" w:rsidP="00204FA1">
            <w:pPr>
              <w:spacing w:before="40" w:after="40"/>
              <w:rPr>
                <w:rFonts w:cs="Times New Roman"/>
              </w:rPr>
            </w:pPr>
            <w:r w:rsidRPr="004676F5">
              <w:t>Name</w:t>
            </w:r>
          </w:p>
        </w:tc>
        <w:tc>
          <w:tcPr>
            <w:tcW w:w="2828" w:type="dxa"/>
          </w:tcPr>
          <w:p w14:paraId="1B8469B5" w14:textId="77777777" w:rsidR="00204FA1" w:rsidRPr="004676F5" w:rsidRDefault="00204FA1" w:rsidP="00204FA1">
            <w:pPr>
              <w:spacing w:before="40" w:after="40"/>
              <w:rPr>
                <w:rFonts w:cs="Times New Roman"/>
              </w:rPr>
            </w:pPr>
            <w:r w:rsidRPr="004676F5">
              <w:t>Einheitenzeichen</w:t>
            </w:r>
          </w:p>
        </w:tc>
      </w:tr>
      <w:tr w:rsidR="00204FA1" w:rsidRPr="004676F5" w14:paraId="46055C1B" w14:textId="77777777" w:rsidTr="00204FA1">
        <w:tc>
          <w:tcPr>
            <w:tcW w:w="3397" w:type="dxa"/>
          </w:tcPr>
          <w:p w14:paraId="1A0C4B0D" w14:textId="77777777" w:rsidR="00204FA1" w:rsidRPr="004676F5" w:rsidRDefault="00204FA1" w:rsidP="00204FA1">
            <w:pPr>
              <w:spacing w:before="40" w:after="40"/>
              <w:jc w:val="both"/>
              <w:rPr>
                <w:rFonts w:cs="Times New Roman"/>
              </w:rPr>
            </w:pPr>
            <w:r w:rsidRPr="004676F5">
              <w:t>Zeit</w:t>
            </w:r>
          </w:p>
        </w:tc>
        <w:tc>
          <w:tcPr>
            <w:tcW w:w="2835" w:type="dxa"/>
          </w:tcPr>
          <w:p w14:paraId="64A7E87E" w14:textId="77777777" w:rsidR="00204FA1" w:rsidRPr="004676F5" w:rsidRDefault="00204FA1" w:rsidP="00204FA1">
            <w:pPr>
              <w:spacing w:before="40" w:after="40"/>
              <w:jc w:val="both"/>
              <w:rPr>
                <w:rFonts w:cs="Times New Roman"/>
              </w:rPr>
            </w:pPr>
            <w:r w:rsidRPr="004676F5">
              <w:t>Sekunde</w:t>
            </w:r>
          </w:p>
        </w:tc>
        <w:tc>
          <w:tcPr>
            <w:tcW w:w="2828" w:type="dxa"/>
          </w:tcPr>
          <w:p w14:paraId="188F2183" w14:textId="77777777" w:rsidR="00204FA1" w:rsidRPr="004676F5" w:rsidRDefault="00204FA1" w:rsidP="00204FA1">
            <w:pPr>
              <w:spacing w:before="40" w:after="40"/>
              <w:jc w:val="both"/>
              <w:rPr>
                <w:rFonts w:cs="Times New Roman"/>
              </w:rPr>
            </w:pPr>
            <w:r w:rsidRPr="004676F5">
              <w:t>s</w:t>
            </w:r>
          </w:p>
        </w:tc>
      </w:tr>
      <w:tr w:rsidR="00204FA1" w:rsidRPr="004676F5" w14:paraId="4981E106" w14:textId="77777777" w:rsidTr="00204FA1">
        <w:tc>
          <w:tcPr>
            <w:tcW w:w="3397" w:type="dxa"/>
          </w:tcPr>
          <w:p w14:paraId="56AB5684" w14:textId="77777777" w:rsidR="00204FA1" w:rsidRPr="004676F5" w:rsidRDefault="00204FA1" w:rsidP="00204FA1">
            <w:pPr>
              <w:spacing w:before="40" w:after="40"/>
              <w:jc w:val="both"/>
              <w:rPr>
                <w:rFonts w:cs="Times New Roman"/>
              </w:rPr>
            </w:pPr>
            <w:r w:rsidRPr="004676F5">
              <w:t>Länge</w:t>
            </w:r>
          </w:p>
        </w:tc>
        <w:tc>
          <w:tcPr>
            <w:tcW w:w="2835" w:type="dxa"/>
          </w:tcPr>
          <w:p w14:paraId="0622F693" w14:textId="77777777" w:rsidR="00204FA1" w:rsidRPr="004676F5" w:rsidRDefault="00204FA1" w:rsidP="00204FA1">
            <w:pPr>
              <w:spacing w:before="40" w:after="40"/>
              <w:jc w:val="both"/>
              <w:rPr>
                <w:rFonts w:cs="Times New Roman"/>
              </w:rPr>
            </w:pPr>
            <w:r w:rsidRPr="004676F5">
              <w:t>Meter</w:t>
            </w:r>
          </w:p>
        </w:tc>
        <w:tc>
          <w:tcPr>
            <w:tcW w:w="2828" w:type="dxa"/>
          </w:tcPr>
          <w:p w14:paraId="065A191B" w14:textId="77777777" w:rsidR="00204FA1" w:rsidRPr="004676F5" w:rsidRDefault="00204FA1" w:rsidP="00204FA1">
            <w:pPr>
              <w:spacing w:before="40" w:after="40"/>
              <w:jc w:val="both"/>
              <w:rPr>
                <w:rFonts w:cs="Times New Roman"/>
              </w:rPr>
            </w:pPr>
            <w:r w:rsidRPr="004676F5">
              <w:t>m</w:t>
            </w:r>
          </w:p>
        </w:tc>
      </w:tr>
      <w:tr w:rsidR="00204FA1" w:rsidRPr="004676F5" w14:paraId="4C2B022D" w14:textId="77777777" w:rsidTr="00204FA1">
        <w:tc>
          <w:tcPr>
            <w:tcW w:w="3397" w:type="dxa"/>
          </w:tcPr>
          <w:p w14:paraId="16A27035" w14:textId="77777777" w:rsidR="00204FA1" w:rsidRPr="004676F5" w:rsidRDefault="00204FA1" w:rsidP="00204FA1">
            <w:pPr>
              <w:spacing w:before="40" w:after="40"/>
              <w:jc w:val="both"/>
              <w:rPr>
                <w:rFonts w:cs="Times New Roman"/>
              </w:rPr>
            </w:pPr>
            <w:r w:rsidRPr="004676F5">
              <w:t>Masse</w:t>
            </w:r>
          </w:p>
        </w:tc>
        <w:tc>
          <w:tcPr>
            <w:tcW w:w="2835" w:type="dxa"/>
          </w:tcPr>
          <w:p w14:paraId="70B7709A" w14:textId="77777777" w:rsidR="00204FA1" w:rsidRPr="004676F5" w:rsidRDefault="00204FA1" w:rsidP="00204FA1">
            <w:pPr>
              <w:spacing w:before="40" w:after="40"/>
              <w:jc w:val="both"/>
              <w:rPr>
                <w:rFonts w:cs="Times New Roman"/>
              </w:rPr>
            </w:pPr>
            <w:r w:rsidRPr="004676F5">
              <w:t>Kilogramm</w:t>
            </w:r>
          </w:p>
        </w:tc>
        <w:tc>
          <w:tcPr>
            <w:tcW w:w="2828" w:type="dxa"/>
          </w:tcPr>
          <w:p w14:paraId="4867AB7F" w14:textId="77777777" w:rsidR="00204FA1" w:rsidRPr="004676F5" w:rsidRDefault="00204FA1" w:rsidP="00204FA1">
            <w:pPr>
              <w:spacing w:before="40" w:after="40"/>
              <w:jc w:val="both"/>
              <w:rPr>
                <w:rFonts w:cs="Times New Roman"/>
              </w:rPr>
            </w:pPr>
            <w:r w:rsidRPr="004676F5">
              <w:t>kg</w:t>
            </w:r>
          </w:p>
        </w:tc>
      </w:tr>
      <w:tr w:rsidR="00204FA1" w:rsidRPr="004676F5" w14:paraId="132226B5" w14:textId="77777777" w:rsidTr="00204FA1">
        <w:tc>
          <w:tcPr>
            <w:tcW w:w="3397" w:type="dxa"/>
          </w:tcPr>
          <w:p w14:paraId="28FF466D" w14:textId="77777777" w:rsidR="00204FA1" w:rsidRPr="004676F5" w:rsidRDefault="00204FA1" w:rsidP="00204FA1">
            <w:pPr>
              <w:spacing w:before="40" w:after="40"/>
              <w:jc w:val="both"/>
              <w:rPr>
                <w:rFonts w:cs="Times New Roman"/>
              </w:rPr>
            </w:pPr>
            <w:r w:rsidRPr="004676F5">
              <w:t>Elektrische Stromstärke</w:t>
            </w:r>
          </w:p>
        </w:tc>
        <w:tc>
          <w:tcPr>
            <w:tcW w:w="2835" w:type="dxa"/>
          </w:tcPr>
          <w:p w14:paraId="643D8169" w14:textId="77777777" w:rsidR="00204FA1" w:rsidRPr="004676F5" w:rsidRDefault="00204FA1" w:rsidP="00204FA1">
            <w:pPr>
              <w:spacing w:before="40" w:after="40"/>
              <w:jc w:val="both"/>
              <w:rPr>
                <w:rFonts w:cs="Times New Roman"/>
              </w:rPr>
            </w:pPr>
            <w:r w:rsidRPr="004676F5">
              <w:t>Ampere</w:t>
            </w:r>
          </w:p>
        </w:tc>
        <w:tc>
          <w:tcPr>
            <w:tcW w:w="2828" w:type="dxa"/>
          </w:tcPr>
          <w:p w14:paraId="269A93BB" w14:textId="77777777" w:rsidR="00204FA1" w:rsidRPr="004676F5" w:rsidRDefault="00204FA1" w:rsidP="00204FA1">
            <w:pPr>
              <w:spacing w:before="40" w:after="40"/>
              <w:jc w:val="both"/>
              <w:rPr>
                <w:rFonts w:cs="Times New Roman"/>
              </w:rPr>
            </w:pPr>
            <w:r w:rsidRPr="004676F5">
              <w:t>A</w:t>
            </w:r>
          </w:p>
        </w:tc>
      </w:tr>
      <w:tr w:rsidR="00204FA1" w:rsidRPr="004676F5" w14:paraId="40A1AE6B" w14:textId="77777777" w:rsidTr="00204FA1">
        <w:tc>
          <w:tcPr>
            <w:tcW w:w="3397" w:type="dxa"/>
          </w:tcPr>
          <w:p w14:paraId="2033A2F5" w14:textId="77777777" w:rsidR="00204FA1" w:rsidRPr="004676F5" w:rsidRDefault="00204FA1" w:rsidP="00204FA1">
            <w:pPr>
              <w:spacing w:before="40" w:after="40"/>
              <w:jc w:val="both"/>
              <w:rPr>
                <w:rFonts w:cs="Times New Roman"/>
              </w:rPr>
            </w:pPr>
            <w:r w:rsidRPr="004676F5">
              <w:t>Thermodynamische Temperatur</w:t>
            </w:r>
          </w:p>
        </w:tc>
        <w:tc>
          <w:tcPr>
            <w:tcW w:w="2835" w:type="dxa"/>
          </w:tcPr>
          <w:p w14:paraId="77FF4321" w14:textId="77777777" w:rsidR="00204FA1" w:rsidRPr="004676F5" w:rsidRDefault="00204FA1" w:rsidP="00204FA1">
            <w:pPr>
              <w:spacing w:before="40" w:after="40"/>
              <w:jc w:val="both"/>
              <w:rPr>
                <w:rFonts w:cs="Times New Roman"/>
              </w:rPr>
            </w:pPr>
            <w:r w:rsidRPr="004676F5">
              <w:t xml:space="preserve">Kelvin </w:t>
            </w:r>
            <w:r w:rsidRPr="004676F5">
              <w:tab/>
            </w:r>
          </w:p>
        </w:tc>
        <w:tc>
          <w:tcPr>
            <w:tcW w:w="2828" w:type="dxa"/>
          </w:tcPr>
          <w:p w14:paraId="16BF36B0" w14:textId="77777777" w:rsidR="00204FA1" w:rsidRPr="004676F5" w:rsidRDefault="00204FA1" w:rsidP="00204FA1">
            <w:pPr>
              <w:spacing w:before="40" w:after="40"/>
              <w:jc w:val="both"/>
              <w:rPr>
                <w:rFonts w:cs="Times New Roman"/>
              </w:rPr>
            </w:pPr>
            <w:r w:rsidRPr="004676F5">
              <w:t>K</w:t>
            </w:r>
          </w:p>
        </w:tc>
      </w:tr>
      <w:tr w:rsidR="00204FA1" w:rsidRPr="004676F5" w14:paraId="3BD6257A" w14:textId="77777777" w:rsidTr="00204FA1">
        <w:tc>
          <w:tcPr>
            <w:tcW w:w="3397" w:type="dxa"/>
          </w:tcPr>
          <w:p w14:paraId="15AD065B" w14:textId="77777777" w:rsidR="00204FA1" w:rsidRPr="004676F5" w:rsidRDefault="00204FA1" w:rsidP="00204FA1">
            <w:pPr>
              <w:spacing w:before="40" w:after="40"/>
              <w:jc w:val="both"/>
              <w:rPr>
                <w:rFonts w:cs="Times New Roman"/>
              </w:rPr>
            </w:pPr>
            <w:r w:rsidRPr="004676F5">
              <w:t>Stoffmenge</w:t>
            </w:r>
          </w:p>
        </w:tc>
        <w:tc>
          <w:tcPr>
            <w:tcW w:w="2835" w:type="dxa"/>
          </w:tcPr>
          <w:p w14:paraId="29D98F7A" w14:textId="77777777" w:rsidR="00204FA1" w:rsidRPr="004676F5" w:rsidRDefault="00204FA1" w:rsidP="00204FA1">
            <w:pPr>
              <w:spacing w:before="40" w:after="40"/>
              <w:jc w:val="both"/>
              <w:rPr>
                <w:rFonts w:cs="Times New Roman"/>
              </w:rPr>
            </w:pPr>
            <w:r w:rsidRPr="004676F5">
              <w:t xml:space="preserve">Mol </w:t>
            </w:r>
            <w:r w:rsidRPr="004676F5">
              <w:tab/>
            </w:r>
          </w:p>
        </w:tc>
        <w:tc>
          <w:tcPr>
            <w:tcW w:w="2828" w:type="dxa"/>
          </w:tcPr>
          <w:p w14:paraId="1A61FA90" w14:textId="77777777" w:rsidR="00204FA1" w:rsidRPr="004676F5" w:rsidRDefault="00204FA1" w:rsidP="00204FA1">
            <w:pPr>
              <w:spacing w:before="40" w:after="40"/>
              <w:jc w:val="both"/>
              <w:rPr>
                <w:rFonts w:cs="Times New Roman"/>
              </w:rPr>
            </w:pPr>
            <w:r w:rsidRPr="004676F5">
              <w:t>mol</w:t>
            </w:r>
          </w:p>
        </w:tc>
      </w:tr>
      <w:tr w:rsidR="00204FA1" w:rsidRPr="004676F5" w14:paraId="36C2E02D" w14:textId="77777777" w:rsidTr="00204FA1">
        <w:tc>
          <w:tcPr>
            <w:tcW w:w="3397" w:type="dxa"/>
          </w:tcPr>
          <w:p w14:paraId="216897E2" w14:textId="77777777" w:rsidR="00204FA1" w:rsidRPr="004676F5" w:rsidRDefault="00204FA1" w:rsidP="00204FA1">
            <w:pPr>
              <w:spacing w:before="40" w:after="40"/>
              <w:jc w:val="both"/>
              <w:rPr>
                <w:rFonts w:cs="Times New Roman"/>
              </w:rPr>
            </w:pPr>
            <w:r w:rsidRPr="004676F5">
              <w:t>Lichtstärke</w:t>
            </w:r>
          </w:p>
        </w:tc>
        <w:tc>
          <w:tcPr>
            <w:tcW w:w="2835" w:type="dxa"/>
          </w:tcPr>
          <w:p w14:paraId="4497756B" w14:textId="77777777" w:rsidR="00204FA1" w:rsidRPr="004676F5" w:rsidRDefault="00204FA1" w:rsidP="00204FA1">
            <w:pPr>
              <w:spacing w:before="40" w:after="40"/>
              <w:jc w:val="both"/>
              <w:rPr>
                <w:rFonts w:cs="Times New Roman"/>
              </w:rPr>
            </w:pPr>
            <w:r w:rsidRPr="004676F5">
              <w:t>Candela</w:t>
            </w:r>
          </w:p>
        </w:tc>
        <w:tc>
          <w:tcPr>
            <w:tcW w:w="2828" w:type="dxa"/>
          </w:tcPr>
          <w:p w14:paraId="01806C2E" w14:textId="77777777" w:rsidR="00204FA1" w:rsidRPr="004676F5" w:rsidRDefault="00204FA1" w:rsidP="00204FA1">
            <w:pPr>
              <w:spacing w:before="40" w:after="40"/>
              <w:jc w:val="both"/>
              <w:rPr>
                <w:rFonts w:cs="Times New Roman"/>
              </w:rPr>
            </w:pPr>
            <w:r w:rsidRPr="004676F5">
              <w:t>cd</w:t>
            </w:r>
          </w:p>
        </w:tc>
      </w:tr>
    </w:tbl>
    <w:p w14:paraId="6D1EF26A" w14:textId="77777777" w:rsidR="00204FA1" w:rsidRPr="004676F5" w:rsidRDefault="00204FA1" w:rsidP="00204FA1">
      <w:pPr>
        <w:jc w:val="both"/>
        <w:rPr>
          <w:lang w:val="de-DE"/>
        </w:rPr>
      </w:pPr>
    </w:p>
    <w:p w14:paraId="5746D088" w14:textId="77777777" w:rsidR="00204FA1" w:rsidRPr="004676F5" w:rsidRDefault="00204FA1" w:rsidP="00204FA1">
      <w:pPr>
        <w:jc w:val="both"/>
        <w:rPr>
          <w:lang w:val="de-DE"/>
        </w:rPr>
      </w:pPr>
      <w:r w:rsidRPr="004676F5">
        <w:rPr>
          <w:lang w:val="de-DE"/>
        </w:rPr>
        <w:tab/>
        <w:t>Die Definitionen der SI-Basiseinheiten lauten wie folgt:</w:t>
      </w:r>
    </w:p>
    <w:p w14:paraId="52BACD58" w14:textId="77777777" w:rsidR="00204FA1" w:rsidRPr="004676F5" w:rsidRDefault="00204FA1" w:rsidP="00204FA1">
      <w:pPr>
        <w:jc w:val="both"/>
        <w:rPr>
          <w:lang w:val="de-DE"/>
        </w:rPr>
      </w:pPr>
    </w:p>
    <w:p w14:paraId="63647DF0" w14:textId="77777777" w:rsidR="00204FA1" w:rsidRPr="004676F5" w:rsidRDefault="00204FA1" w:rsidP="00204FA1">
      <w:pPr>
        <w:jc w:val="both"/>
        <w:rPr>
          <w:i/>
          <w:lang w:val="de-DE"/>
        </w:rPr>
      </w:pPr>
      <w:r w:rsidRPr="004676F5">
        <w:rPr>
          <w:lang w:val="de-DE"/>
        </w:rPr>
        <w:tab/>
      </w:r>
      <w:r w:rsidRPr="004676F5">
        <w:rPr>
          <w:i/>
          <w:lang w:val="de-DE"/>
        </w:rPr>
        <w:t xml:space="preserve">1. Maßeinheit der Zeit </w:t>
      </w:r>
    </w:p>
    <w:p w14:paraId="21403948" w14:textId="77777777" w:rsidR="00204FA1" w:rsidRPr="004676F5" w:rsidRDefault="00204FA1" w:rsidP="00204FA1">
      <w:pPr>
        <w:jc w:val="both"/>
        <w:rPr>
          <w:lang w:val="de-DE"/>
        </w:rPr>
      </w:pPr>
    </w:p>
    <w:p w14:paraId="37E23182" w14:textId="77777777" w:rsidR="00204FA1" w:rsidRPr="004676F5" w:rsidRDefault="00204FA1" w:rsidP="00204FA1">
      <w:pPr>
        <w:jc w:val="both"/>
        <w:rPr>
          <w:lang w:val="de-DE"/>
        </w:rPr>
      </w:pPr>
      <w:r w:rsidRPr="004676F5">
        <w:rPr>
          <w:lang w:val="de-DE"/>
        </w:rPr>
        <w:tab/>
        <w:t xml:space="preserve">Die Sekunde, Einheitenzeichen s, ist die SI-Einheit der Zeit. Sie ist definiert, indem für die Cäsiumfrequenz </w:t>
      </w:r>
      <w:r w:rsidRPr="004676F5">
        <w:rPr>
          <w:rStyle w:val="hgkelc"/>
          <w:lang w:val="de-DE"/>
        </w:rPr>
        <w:t>∆ν</w:t>
      </w:r>
      <w:r w:rsidRPr="004676F5">
        <w:rPr>
          <w:rStyle w:val="hgkelc"/>
          <w:vertAlign w:val="subscript"/>
          <w:lang w:val="de-DE"/>
        </w:rPr>
        <w:t>Cs,</w:t>
      </w:r>
      <w:r w:rsidRPr="004676F5">
        <w:rPr>
          <w:lang w:val="de-DE"/>
        </w:rPr>
        <w:t xml:space="preserve"> der Frequenz des ungestörten Hyperfeinübergangs des Grundzustands des Cäsiumatoms 133, der Zahlenwert 9 192 631 770 festgelegt wird, ausgedrückt in der Einheit Hz, die gleich s</w:t>
      </w:r>
      <w:r w:rsidRPr="004676F5">
        <w:rPr>
          <w:vertAlign w:val="superscript"/>
          <w:lang w:val="de-DE"/>
        </w:rPr>
        <w:t>– 1</w:t>
      </w:r>
      <w:r w:rsidRPr="004676F5">
        <w:rPr>
          <w:lang w:val="de-DE"/>
        </w:rPr>
        <w:t xml:space="preserve"> ist.</w:t>
      </w:r>
    </w:p>
    <w:p w14:paraId="7B922476" w14:textId="77777777" w:rsidR="00204FA1" w:rsidRPr="004676F5" w:rsidRDefault="00204FA1" w:rsidP="00204FA1">
      <w:pPr>
        <w:jc w:val="both"/>
        <w:rPr>
          <w:lang w:val="de-DE"/>
        </w:rPr>
      </w:pPr>
    </w:p>
    <w:p w14:paraId="0BF76826" w14:textId="77777777" w:rsidR="00204FA1" w:rsidRPr="004676F5" w:rsidRDefault="00204FA1">
      <w:pPr>
        <w:rPr>
          <w:lang w:val="de-DE"/>
        </w:rPr>
      </w:pPr>
      <w:r w:rsidRPr="004676F5">
        <w:rPr>
          <w:lang w:val="de-DE"/>
        </w:rPr>
        <w:br w:type="page"/>
      </w:r>
    </w:p>
    <w:p w14:paraId="308DB3B6" w14:textId="0E7DD23F" w:rsidR="00204FA1" w:rsidRPr="004676F5" w:rsidRDefault="00204FA1" w:rsidP="00204FA1">
      <w:pPr>
        <w:jc w:val="both"/>
        <w:rPr>
          <w:i/>
          <w:lang w:val="de-DE"/>
        </w:rPr>
      </w:pPr>
      <w:r w:rsidRPr="004676F5">
        <w:rPr>
          <w:lang w:val="de-DE"/>
        </w:rPr>
        <w:lastRenderedPageBreak/>
        <w:tab/>
      </w:r>
      <w:r w:rsidRPr="004676F5">
        <w:rPr>
          <w:i/>
          <w:lang w:val="de-DE"/>
        </w:rPr>
        <w:t>2. Maßeinheit der Länge</w:t>
      </w:r>
    </w:p>
    <w:p w14:paraId="473415DF" w14:textId="77777777" w:rsidR="00204FA1" w:rsidRPr="004676F5" w:rsidRDefault="00204FA1" w:rsidP="00204FA1">
      <w:pPr>
        <w:jc w:val="both"/>
        <w:rPr>
          <w:lang w:val="de-DE"/>
        </w:rPr>
      </w:pPr>
    </w:p>
    <w:p w14:paraId="3437F42A" w14:textId="77777777" w:rsidR="00204FA1" w:rsidRPr="004676F5" w:rsidRDefault="00204FA1" w:rsidP="00204FA1">
      <w:pPr>
        <w:jc w:val="both"/>
        <w:rPr>
          <w:lang w:val="de-DE"/>
        </w:rPr>
      </w:pPr>
      <w:r w:rsidRPr="004676F5">
        <w:rPr>
          <w:lang w:val="de-DE"/>
        </w:rPr>
        <w:tab/>
        <w:t xml:space="preserve">Der Meter, Einheitenzeichen m, ist die SI-Einheit der Länge. Er ist definiert, indem für die Lichtgeschwindigkeit in Vakuum </w:t>
      </w:r>
      <w:r w:rsidRPr="004676F5">
        <w:rPr>
          <w:i/>
          <w:lang w:val="de-DE"/>
        </w:rPr>
        <w:t>c</w:t>
      </w:r>
      <w:r w:rsidRPr="004676F5">
        <w:rPr>
          <w:lang w:val="de-DE"/>
        </w:rPr>
        <w:t xml:space="preserve"> der Zahlenwert 299 792 458 festgelegt wird, ausgedrückt in der Einheit m/s, wobei die Sekunde mittels </w:t>
      </w:r>
      <w:r w:rsidRPr="004676F5">
        <w:rPr>
          <w:rStyle w:val="hgkelc"/>
          <w:lang w:val="de-DE"/>
        </w:rPr>
        <w:t>∆ν</w:t>
      </w:r>
      <w:r w:rsidRPr="004676F5">
        <w:rPr>
          <w:rStyle w:val="hgkelc"/>
          <w:vertAlign w:val="subscript"/>
          <w:lang w:val="de-DE"/>
        </w:rPr>
        <w:t>Cs</w:t>
      </w:r>
      <w:r w:rsidRPr="004676F5">
        <w:rPr>
          <w:lang w:val="de-DE"/>
        </w:rPr>
        <w:t xml:space="preserve"> definiert ist.</w:t>
      </w:r>
    </w:p>
    <w:p w14:paraId="619EB52A" w14:textId="2D632231" w:rsidR="00204FA1" w:rsidRPr="004676F5" w:rsidRDefault="00204FA1" w:rsidP="00204FA1">
      <w:pPr>
        <w:rPr>
          <w:lang w:val="de-DE"/>
        </w:rPr>
      </w:pPr>
    </w:p>
    <w:p w14:paraId="2098F828" w14:textId="77777777" w:rsidR="00204FA1" w:rsidRPr="004676F5" w:rsidRDefault="00204FA1" w:rsidP="00204FA1">
      <w:pPr>
        <w:jc w:val="both"/>
        <w:rPr>
          <w:i/>
          <w:lang w:val="de-DE"/>
        </w:rPr>
      </w:pPr>
      <w:r w:rsidRPr="004676F5">
        <w:rPr>
          <w:lang w:val="de-DE"/>
        </w:rPr>
        <w:tab/>
      </w:r>
      <w:r w:rsidRPr="004676F5">
        <w:rPr>
          <w:i/>
          <w:lang w:val="de-DE"/>
        </w:rPr>
        <w:t>3. Maßeinheit der Masse</w:t>
      </w:r>
    </w:p>
    <w:p w14:paraId="2774DF97" w14:textId="77777777" w:rsidR="00204FA1" w:rsidRPr="004676F5" w:rsidRDefault="00204FA1" w:rsidP="00204FA1">
      <w:pPr>
        <w:jc w:val="both"/>
        <w:rPr>
          <w:lang w:val="de-DE"/>
        </w:rPr>
      </w:pPr>
    </w:p>
    <w:p w14:paraId="49B25B27" w14:textId="77777777" w:rsidR="00204FA1" w:rsidRPr="004676F5" w:rsidRDefault="00204FA1" w:rsidP="00204FA1">
      <w:pPr>
        <w:jc w:val="both"/>
        <w:rPr>
          <w:lang w:val="de-DE"/>
        </w:rPr>
      </w:pPr>
      <w:r w:rsidRPr="004676F5">
        <w:rPr>
          <w:lang w:val="de-DE"/>
        </w:rPr>
        <w:tab/>
        <w:t xml:space="preserve">Das Kilogramm, Einheitenzeichen kg, ist die SI-Einheit der Masse. Es ist definiert, indem für die Planck-Konstante </w:t>
      </w:r>
      <w:r w:rsidRPr="004676F5">
        <w:rPr>
          <w:i/>
          <w:lang w:val="de-DE"/>
        </w:rPr>
        <w:t>h</w:t>
      </w:r>
      <w:r w:rsidRPr="004676F5">
        <w:rPr>
          <w:lang w:val="de-DE"/>
        </w:rPr>
        <w:t xml:space="preserve"> der Zahlenwert 6,626 070 15 × 10</w:t>
      </w:r>
      <w:r w:rsidRPr="004676F5">
        <w:rPr>
          <w:vertAlign w:val="superscript"/>
          <w:lang w:val="de-DE"/>
        </w:rPr>
        <w:t>– 34</w:t>
      </w:r>
      <w:r w:rsidRPr="004676F5">
        <w:rPr>
          <w:lang w:val="de-DE"/>
        </w:rPr>
        <w:t xml:space="preserve"> festgelegt wird, ausgedrückt in der Einheit J s, die gleich kg m</w:t>
      </w:r>
      <w:r w:rsidRPr="004676F5">
        <w:rPr>
          <w:vertAlign w:val="superscript"/>
          <w:lang w:val="de-DE"/>
        </w:rPr>
        <w:t>2</w:t>
      </w:r>
      <w:r w:rsidRPr="004676F5">
        <w:rPr>
          <w:lang w:val="de-DE"/>
        </w:rPr>
        <w:t xml:space="preserve"> s</w:t>
      </w:r>
      <w:r w:rsidRPr="004676F5">
        <w:rPr>
          <w:vertAlign w:val="superscript"/>
          <w:lang w:val="de-DE"/>
        </w:rPr>
        <w:t>– 1</w:t>
      </w:r>
      <w:r w:rsidRPr="004676F5">
        <w:rPr>
          <w:lang w:val="de-DE"/>
        </w:rPr>
        <w:t xml:space="preserve"> ist, wobei der Meter und die Sekunde mittels </w:t>
      </w:r>
      <w:r w:rsidRPr="004676F5">
        <w:rPr>
          <w:i/>
          <w:lang w:val="de-DE"/>
        </w:rPr>
        <w:t>c</w:t>
      </w:r>
      <w:r w:rsidRPr="004676F5">
        <w:rPr>
          <w:lang w:val="de-DE"/>
        </w:rPr>
        <w:t xml:space="preserve"> und </w:t>
      </w:r>
      <w:r w:rsidRPr="004676F5">
        <w:rPr>
          <w:rStyle w:val="hgkelc"/>
          <w:lang w:val="de-DE"/>
        </w:rPr>
        <w:t>Δν</w:t>
      </w:r>
      <w:r w:rsidRPr="004676F5">
        <w:rPr>
          <w:rStyle w:val="hgkelc"/>
          <w:vertAlign w:val="subscript"/>
          <w:lang w:val="de-DE"/>
        </w:rPr>
        <w:t xml:space="preserve">Cs </w:t>
      </w:r>
      <w:r w:rsidRPr="004676F5">
        <w:rPr>
          <w:lang w:val="de-DE"/>
        </w:rPr>
        <w:t>definiert sind.</w:t>
      </w:r>
    </w:p>
    <w:p w14:paraId="5A5FC2F4" w14:textId="77777777" w:rsidR="00204FA1" w:rsidRPr="004676F5" w:rsidRDefault="00204FA1" w:rsidP="00204FA1">
      <w:pPr>
        <w:jc w:val="both"/>
        <w:rPr>
          <w:lang w:val="de-DE"/>
        </w:rPr>
      </w:pPr>
    </w:p>
    <w:p w14:paraId="26C6F80A" w14:textId="77777777" w:rsidR="00204FA1" w:rsidRPr="004676F5" w:rsidRDefault="00204FA1" w:rsidP="00204FA1">
      <w:pPr>
        <w:jc w:val="both"/>
        <w:rPr>
          <w:i/>
          <w:lang w:val="de-DE"/>
        </w:rPr>
      </w:pPr>
      <w:r w:rsidRPr="004676F5">
        <w:rPr>
          <w:lang w:val="de-DE"/>
        </w:rPr>
        <w:tab/>
      </w:r>
      <w:r w:rsidRPr="004676F5">
        <w:rPr>
          <w:i/>
          <w:lang w:val="de-DE"/>
        </w:rPr>
        <w:t>4. Maßeinheit der elektrischen Stromstärke</w:t>
      </w:r>
    </w:p>
    <w:p w14:paraId="3A26529A" w14:textId="77777777" w:rsidR="00204FA1" w:rsidRPr="004676F5" w:rsidRDefault="00204FA1" w:rsidP="00204FA1">
      <w:pPr>
        <w:jc w:val="both"/>
        <w:rPr>
          <w:lang w:val="de-DE"/>
        </w:rPr>
      </w:pPr>
    </w:p>
    <w:p w14:paraId="6B3BB5E9" w14:textId="77777777" w:rsidR="00204FA1" w:rsidRPr="004676F5" w:rsidRDefault="00204FA1" w:rsidP="00204FA1">
      <w:pPr>
        <w:jc w:val="both"/>
        <w:rPr>
          <w:lang w:val="de-DE"/>
        </w:rPr>
      </w:pPr>
      <w:r w:rsidRPr="004676F5">
        <w:rPr>
          <w:lang w:val="de-DE"/>
        </w:rPr>
        <w:tab/>
        <w:t xml:space="preserve">Das Ampere, Einheitenzeichen A, ist die SI-Einheit der elektrischen Stromstärke. Es ist definiert, indem für die Elementarladung </w:t>
      </w:r>
      <w:r w:rsidRPr="004676F5">
        <w:rPr>
          <w:i/>
          <w:lang w:val="de-DE"/>
        </w:rPr>
        <w:t>e</w:t>
      </w:r>
      <w:r w:rsidRPr="004676F5">
        <w:rPr>
          <w:lang w:val="de-DE"/>
        </w:rPr>
        <w:t xml:space="preserve"> der Zahlenwert 1,602 176 634 × 10</w:t>
      </w:r>
      <w:r w:rsidRPr="004676F5">
        <w:rPr>
          <w:vertAlign w:val="superscript"/>
          <w:lang w:val="de-DE"/>
        </w:rPr>
        <w:t>– 19</w:t>
      </w:r>
      <w:r w:rsidRPr="004676F5">
        <w:rPr>
          <w:lang w:val="de-DE"/>
        </w:rPr>
        <w:t xml:space="preserve"> festgelegt wird, ausgedrückt in der Einheit C, die gleich A s ist, wobei die Sekunde mittels </w:t>
      </w:r>
      <w:r w:rsidRPr="004676F5">
        <w:rPr>
          <w:rStyle w:val="hgkelc"/>
          <w:lang w:val="de-DE"/>
        </w:rPr>
        <w:t>Δν</w:t>
      </w:r>
      <w:r w:rsidRPr="004676F5">
        <w:rPr>
          <w:rStyle w:val="hgkelc"/>
          <w:vertAlign w:val="subscript"/>
          <w:lang w:val="de-DE"/>
        </w:rPr>
        <w:t>Cs</w:t>
      </w:r>
      <w:r w:rsidRPr="004676F5">
        <w:rPr>
          <w:rStyle w:val="hgkelc"/>
          <w:lang w:val="de-DE"/>
        </w:rPr>
        <w:t xml:space="preserve"> definiert ist.</w:t>
      </w:r>
    </w:p>
    <w:p w14:paraId="6CBE8EEC" w14:textId="77777777" w:rsidR="00204FA1" w:rsidRPr="004676F5" w:rsidRDefault="00204FA1" w:rsidP="00204FA1">
      <w:pPr>
        <w:jc w:val="both"/>
        <w:rPr>
          <w:lang w:val="de-DE"/>
        </w:rPr>
      </w:pPr>
    </w:p>
    <w:p w14:paraId="657DE77F" w14:textId="77777777" w:rsidR="00204FA1" w:rsidRPr="004676F5" w:rsidRDefault="00204FA1" w:rsidP="00204FA1">
      <w:pPr>
        <w:jc w:val="both"/>
        <w:rPr>
          <w:i/>
          <w:lang w:val="de-DE"/>
        </w:rPr>
      </w:pPr>
      <w:r w:rsidRPr="004676F5">
        <w:rPr>
          <w:lang w:val="de-DE"/>
        </w:rPr>
        <w:tab/>
      </w:r>
      <w:r w:rsidRPr="004676F5">
        <w:rPr>
          <w:i/>
          <w:lang w:val="de-DE"/>
        </w:rPr>
        <w:t>5. Maßeinheit der thermodynamischen Temperatur</w:t>
      </w:r>
    </w:p>
    <w:p w14:paraId="2A26E567" w14:textId="77777777" w:rsidR="00204FA1" w:rsidRPr="004676F5" w:rsidRDefault="00204FA1" w:rsidP="00204FA1">
      <w:pPr>
        <w:jc w:val="both"/>
        <w:rPr>
          <w:lang w:val="de-DE"/>
        </w:rPr>
      </w:pPr>
    </w:p>
    <w:p w14:paraId="313B7A55" w14:textId="77777777" w:rsidR="00204FA1" w:rsidRPr="004676F5" w:rsidRDefault="00204FA1" w:rsidP="00204FA1">
      <w:pPr>
        <w:jc w:val="both"/>
        <w:rPr>
          <w:lang w:val="de-DE"/>
        </w:rPr>
      </w:pPr>
      <w:r w:rsidRPr="004676F5">
        <w:rPr>
          <w:lang w:val="de-DE"/>
        </w:rPr>
        <w:tab/>
        <w:t xml:space="preserve">Das Kelvin, Einheitenzeichen K, ist die SI-Einheit der thermodynamischen Temperatur. Es ist definiert, indem für die Boltzmann-Konstante </w:t>
      </w:r>
      <w:r w:rsidRPr="004676F5">
        <w:rPr>
          <w:i/>
          <w:iCs/>
          <w:lang w:val="de-DE"/>
        </w:rPr>
        <w:t>k</w:t>
      </w:r>
      <w:r w:rsidRPr="004676F5">
        <w:rPr>
          <w:lang w:val="de-DE"/>
        </w:rPr>
        <w:t xml:space="preserve"> der Zahlenwert 1,380 649 × 10</w:t>
      </w:r>
      <w:r w:rsidRPr="004676F5">
        <w:rPr>
          <w:vertAlign w:val="superscript"/>
          <w:lang w:val="de-DE"/>
        </w:rPr>
        <w:t>– 23</w:t>
      </w:r>
      <w:r w:rsidRPr="004676F5">
        <w:rPr>
          <w:lang w:val="de-DE"/>
        </w:rPr>
        <w:t xml:space="preserve"> festgelegt wird, ausgedrückt in der Einheit J K</w:t>
      </w:r>
      <w:r w:rsidRPr="004676F5">
        <w:rPr>
          <w:vertAlign w:val="superscript"/>
          <w:lang w:val="de-DE"/>
        </w:rPr>
        <w:t>– 1</w:t>
      </w:r>
      <w:r w:rsidRPr="004676F5">
        <w:rPr>
          <w:lang w:val="de-DE"/>
        </w:rPr>
        <w:t>, die gleich kg m</w:t>
      </w:r>
      <w:r w:rsidRPr="004676F5">
        <w:rPr>
          <w:vertAlign w:val="superscript"/>
          <w:lang w:val="de-DE"/>
        </w:rPr>
        <w:t>2</w:t>
      </w:r>
      <w:r w:rsidRPr="004676F5">
        <w:rPr>
          <w:lang w:val="de-DE"/>
        </w:rPr>
        <w:t xml:space="preserve"> s</w:t>
      </w:r>
      <w:r w:rsidRPr="004676F5">
        <w:rPr>
          <w:vertAlign w:val="superscript"/>
          <w:lang w:val="de-DE"/>
        </w:rPr>
        <w:t>– 2</w:t>
      </w:r>
      <w:r w:rsidRPr="004676F5">
        <w:rPr>
          <w:lang w:val="de-DE"/>
        </w:rPr>
        <w:t xml:space="preserve"> K</w:t>
      </w:r>
      <w:r w:rsidRPr="004676F5">
        <w:rPr>
          <w:vertAlign w:val="superscript"/>
          <w:lang w:val="de-DE"/>
        </w:rPr>
        <w:t>– 1</w:t>
      </w:r>
      <w:r w:rsidRPr="004676F5">
        <w:rPr>
          <w:lang w:val="de-DE"/>
        </w:rPr>
        <w:t xml:space="preserve"> ist, wobei das Kilogramm, der Meter und die Sekunde mittels </w:t>
      </w:r>
      <w:r w:rsidRPr="004676F5">
        <w:rPr>
          <w:i/>
          <w:lang w:val="de-DE"/>
        </w:rPr>
        <w:t>h</w:t>
      </w:r>
      <w:r w:rsidRPr="004676F5">
        <w:rPr>
          <w:lang w:val="de-DE"/>
        </w:rPr>
        <w:t xml:space="preserve">, </w:t>
      </w:r>
      <w:r w:rsidRPr="004676F5">
        <w:rPr>
          <w:i/>
          <w:lang w:val="de-DE"/>
        </w:rPr>
        <w:t>c</w:t>
      </w:r>
      <w:r w:rsidRPr="004676F5">
        <w:rPr>
          <w:lang w:val="de-DE"/>
        </w:rPr>
        <w:t xml:space="preserve"> und </w:t>
      </w:r>
      <w:r w:rsidRPr="004676F5">
        <w:rPr>
          <w:rStyle w:val="hgkelc"/>
          <w:lang w:val="de-DE"/>
        </w:rPr>
        <w:t>Δν</w:t>
      </w:r>
      <w:r w:rsidRPr="004676F5">
        <w:rPr>
          <w:rStyle w:val="hgkelc"/>
          <w:vertAlign w:val="subscript"/>
          <w:lang w:val="de-DE"/>
        </w:rPr>
        <w:t>Cs</w:t>
      </w:r>
      <w:r w:rsidRPr="004676F5">
        <w:rPr>
          <w:lang w:val="de-DE"/>
        </w:rPr>
        <w:t xml:space="preserve"> definiert sind.</w:t>
      </w:r>
    </w:p>
    <w:p w14:paraId="51D0E785" w14:textId="77777777" w:rsidR="00204FA1" w:rsidRPr="004676F5" w:rsidRDefault="00204FA1" w:rsidP="00204FA1">
      <w:pPr>
        <w:jc w:val="both"/>
        <w:rPr>
          <w:lang w:val="de-DE"/>
        </w:rPr>
      </w:pPr>
    </w:p>
    <w:p w14:paraId="564EAE95" w14:textId="77777777" w:rsidR="00204FA1" w:rsidRPr="004676F5" w:rsidRDefault="00204FA1" w:rsidP="00204FA1">
      <w:pPr>
        <w:jc w:val="both"/>
        <w:rPr>
          <w:i/>
          <w:lang w:val="de-DE"/>
        </w:rPr>
      </w:pPr>
      <w:r w:rsidRPr="004676F5">
        <w:rPr>
          <w:i/>
          <w:lang w:val="de-DE"/>
        </w:rPr>
        <w:tab/>
        <w:t>6. Maßeinheit der Stoffmenge</w:t>
      </w:r>
    </w:p>
    <w:p w14:paraId="238C7F18" w14:textId="77777777" w:rsidR="00204FA1" w:rsidRPr="004676F5" w:rsidRDefault="00204FA1" w:rsidP="00204FA1">
      <w:pPr>
        <w:jc w:val="both"/>
        <w:rPr>
          <w:lang w:val="de-DE"/>
        </w:rPr>
      </w:pPr>
    </w:p>
    <w:p w14:paraId="5FF483F3" w14:textId="77777777" w:rsidR="00204FA1" w:rsidRPr="004676F5" w:rsidRDefault="00204FA1" w:rsidP="00204FA1">
      <w:pPr>
        <w:jc w:val="both"/>
        <w:rPr>
          <w:lang w:val="de-DE"/>
        </w:rPr>
      </w:pPr>
      <w:r w:rsidRPr="004676F5">
        <w:rPr>
          <w:lang w:val="de-DE"/>
        </w:rPr>
        <w:tab/>
        <w:t>Das Mol, Einheitenzeichen mol, ist die SI-Einheit der Stoffmenge. Ein Mol enthält genau 6,022 140 76 × 10</w:t>
      </w:r>
      <w:r w:rsidRPr="004676F5">
        <w:rPr>
          <w:vertAlign w:val="superscript"/>
          <w:lang w:val="de-DE"/>
        </w:rPr>
        <w:t>23</w:t>
      </w:r>
      <w:r w:rsidRPr="004676F5">
        <w:rPr>
          <w:lang w:val="de-DE"/>
        </w:rPr>
        <w:t xml:space="preserve"> Einzelteilchen. Diese Zahl entspricht dem für die Avogadro-Konstante </w:t>
      </w:r>
      <w:r w:rsidRPr="004676F5">
        <w:rPr>
          <w:i/>
          <w:lang w:val="de-DE"/>
        </w:rPr>
        <w:t>N</w:t>
      </w:r>
      <w:r w:rsidRPr="004676F5">
        <w:rPr>
          <w:i/>
          <w:vertAlign w:val="subscript"/>
          <w:lang w:val="de-DE"/>
        </w:rPr>
        <w:t>A</w:t>
      </w:r>
      <w:r w:rsidRPr="004676F5">
        <w:rPr>
          <w:lang w:val="de-DE"/>
        </w:rPr>
        <w:t xml:space="preserve"> geltenden festen Zahlenwert, ausgedrückt in der Einheit mol</w:t>
      </w:r>
      <w:r w:rsidRPr="004676F5">
        <w:rPr>
          <w:vertAlign w:val="superscript"/>
          <w:lang w:val="de-DE"/>
        </w:rPr>
        <w:t>– 1</w:t>
      </w:r>
      <w:r w:rsidRPr="004676F5">
        <w:rPr>
          <w:lang w:val="de-DE"/>
        </w:rPr>
        <w:t>, und wird als Avogadro-Zahl bezeichnet.</w:t>
      </w:r>
    </w:p>
    <w:p w14:paraId="4276DF03" w14:textId="77777777" w:rsidR="00204FA1" w:rsidRPr="004676F5" w:rsidRDefault="00204FA1" w:rsidP="00204FA1">
      <w:pPr>
        <w:jc w:val="both"/>
        <w:rPr>
          <w:lang w:val="de-DE"/>
        </w:rPr>
      </w:pPr>
    </w:p>
    <w:p w14:paraId="655658D8" w14:textId="77777777" w:rsidR="00204FA1" w:rsidRPr="004676F5" w:rsidRDefault="00204FA1" w:rsidP="00204FA1">
      <w:pPr>
        <w:jc w:val="both"/>
        <w:rPr>
          <w:lang w:val="de-DE"/>
        </w:rPr>
      </w:pPr>
      <w:r w:rsidRPr="004676F5">
        <w:rPr>
          <w:lang w:val="de-DE"/>
        </w:rPr>
        <w:tab/>
        <w:t xml:space="preserve">Die Stoffmenge, Zeichen </w:t>
      </w:r>
      <w:r w:rsidRPr="004676F5">
        <w:rPr>
          <w:i/>
          <w:lang w:val="de-DE"/>
        </w:rPr>
        <w:t>n</w:t>
      </w:r>
      <w:r w:rsidRPr="004676F5">
        <w:rPr>
          <w:lang w:val="de-DE"/>
        </w:rPr>
        <w:t>, eines Systems ist ein Maß für eine Zahl spezifizierter Einzelteilchen. Bei einem Einzelteilchen kann es sich um ein Atom, ein Molekül, ein Ion, ein Elektron, ein anderes Teilchen oder eine Gruppe solcher Teilchen mit genau angegebener Zusammensetzung handeln.</w:t>
      </w:r>
    </w:p>
    <w:p w14:paraId="3C9B3FBE" w14:textId="77777777" w:rsidR="00204FA1" w:rsidRPr="004676F5" w:rsidRDefault="00204FA1" w:rsidP="00204FA1">
      <w:pPr>
        <w:jc w:val="both"/>
        <w:rPr>
          <w:lang w:val="de-DE"/>
        </w:rPr>
      </w:pPr>
    </w:p>
    <w:p w14:paraId="2AE93DBB" w14:textId="77777777" w:rsidR="00204FA1" w:rsidRPr="004676F5" w:rsidRDefault="00204FA1" w:rsidP="00204FA1">
      <w:pPr>
        <w:jc w:val="both"/>
        <w:rPr>
          <w:i/>
          <w:lang w:val="de-DE"/>
        </w:rPr>
      </w:pPr>
      <w:r w:rsidRPr="004676F5">
        <w:rPr>
          <w:lang w:val="de-DE"/>
        </w:rPr>
        <w:tab/>
      </w:r>
      <w:r w:rsidRPr="004676F5">
        <w:rPr>
          <w:i/>
          <w:lang w:val="de-DE"/>
        </w:rPr>
        <w:t>7. Maßeinheit der Lichtstärke</w:t>
      </w:r>
    </w:p>
    <w:p w14:paraId="50F20361" w14:textId="77777777" w:rsidR="00204FA1" w:rsidRPr="004676F5" w:rsidRDefault="00204FA1" w:rsidP="00204FA1">
      <w:pPr>
        <w:jc w:val="both"/>
        <w:rPr>
          <w:lang w:val="de-DE"/>
        </w:rPr>
      </w:pPr>
    </w:p>
    <w:p w14:paraId="70940C30" w14:textId="4F2387F8" w:rsidR="00F94546" w:rsidRPr="004676F5" w:rsidRDefault="00204FA1" w:rsidP="00204FA1">
      <w:pPr>
        <w:ind w:firstLine="708"/>
        <w:jc w:val="both"/>
        <w:rPr>
          <w:lang w:val="de-DE"/>
        </w:rPr>
      </w:pPr>
      <w:r w:rsidRPr="004676F5">
        <w:rPr>
          <w:lang w:val="de-DE"/>
        </w:rPr>
        <w:t xml:space="preserve">Die Candela, Einheitenzeichen cd, ist die SI-Einheit der Lichtstärke in einer bestimmten Richtung. Sie ist definiert, indem für das photometrische Strahlungsäquivalent </w:t>
      </w:r>
      <w:r w:rsidRPr="004676F5">
        <w:rPr>
          <w:i/>
          <w:iCs/>
          <w:lang w:val="de-DE"/>
        </w:rPr>
        <w:t>K</w:t>
      </w:r>
      <w:r w:rsidRPr="004676F5">
        <w:rPr>
          <w:vertAlign w:val="subscript"/>
          <w:lang w:val="de-DE"/>
        </w:rPr>
        <w:t>cd</w:t>
      </w:r>
      <w:r w:rsidRPr="004676F5">
        <w:rPr>
          <w:lang w:val="de-DE"/>
        </w:rPr>
        <w:t xml:space="preserve"> der monochromatischen Strahlung der Frequenz 540 × 10</w:t>
      </w:r>
      <w:r w:rsidRPr="004676F5">
        <w:rPr>
          <w:vertAlign w:val="superscript"/>
          <w:lang w:val="de-DE"/>
        </w:rPr>
        <w:t>12</w:t>
      </w:r>
      <w:r w:rsidRPr="004676F5">
        <w:rPr>
          <w:lang w:val="de-DE"/>
        </w:rPr>
        <w:t xml:space="preserve"> Hz der Zahlenwert 683 festgelegt wird, ausgedrückt in der Einheit lm W</w:t>
      </w:r>
      <w:r w:rsidRPr="004676F5">
        <w:rPr>
          <w:vertAlign w:val="superscript"/>
          <w:lang w:val="de-DE"/>
        </w:rPr>
        <w:t>– 1</w:t>
      </w:r>
      <w:r w:rsidRPr="004676F5">
        <w:rPr>
          <w:lang w:val="de-DE"/>
        </w:rPr>
        <w:t>, die gleich cd sr W</w:t>
      </w:r>
      <w:r w:rsidRPr="004676F5">
        <w:rPr>
          <w:vertAlign w:val="superscript"/>
          <w:lang w:val="de-DE"/>
        </w:rPr>
        <w:t>– 1</w:t>
      </w:r>
      <w:r w:rsidRPr="004676F5">
        <w:rPr>
          <w:lang w:val="de-DE"/>
        </w:rPr>
        <w:t xml:space="preserve"> oder cd sr kg</w:t>
      </w:r>
      <w:r w:rsidRPr="004676F5">
        <w:rPr>
          <w:vertAlign w:val="superscript"/>
          <w:lang w:val="de-DE"/>
        </w:rPr>
        <w:t>– 1</w:t>
      </w:r>
      <w:r w:rsidRPr="004676F5">
        <w:rPr>
          <w:lang w:val="de-DE"/>
        </w:rPr>
        <w:t xml:space="preserve"> m</w:t>
      </w:r>
      <w:r w:rsidRPr="004676F5">
        <w:rPr>
          <w:vertAlign w:val="superscript"/>
          <w:lang w:val="de-DE"/>
        </w:rPr>
        <w:t>– 2</w:t>
      </w:r>
      <w:r w:rsidRPr="004676F5">
        <w:rPr>
          <w:lang w:val="de-DE"/>
        </w:rPr>
        <w:t xml:space="preserve"> s</w:t>
      </w:r>
      <w:r w:rsidRPr="004676F5">
        <w:rPr>
          <w:vertAlign w:val="superscript"/>
          <w:lang w:val="de-DE"/>
        </w:rPr>
        <w:t>3</w:t>
      </w:r>
      <w:r w:rsidRPr="004676F5">
        <w:rPr>
          <w:lang w:val="de-DE"/>
        </w:rPr>
        <w:t xml:space="preserve"> ist, wobei das Kilogramm, der Meter und die Sekunde mittels </w:t>
      </w:r>
      <w:r w:rsidRPr="004676F5">
        <w:rPr>
          <w:i/>
          <w:lang w:val="de-DE"/>
        </w:rPr>
        <w:t>h</w:t>
      </w:r>
      <w:r w:rsidRPr="004676F5">
        <w:rPr>
          <w:lang w:val="de-DE"/>
        </w:rPr>
        <w:t xml:space="preserve">, </w:t>
      </w:r>
      <w:r w:rsidRPr="004676F5">
        <w:rPr>
          <w:i/>
          <w:lang w:val="de-DE"/>
        </w:rPr>
        <w:t>c</w:t>
      </w:r>
      <w:r w:rsidRPr="004676F5">
        <w:rPr>
          <w:lang w:val="de-DE"/>
        </w:rPr>
        <w:t xml:space="preserve"> und </w:t>
      </w:r>
      <w:r w:rsidRPr="004676F5">
        <w:rPr>
          <w:rStyle w:val="hgkelc"/>
          <w:lang w:val="de-DE"/>
        </w:rPr>
        <w:t>Δν</w:t>
      </w:r>
      <w:r w:rsidRPr="004676F5">
        <w:rPr>
          <w:rStyle w:val="hgkelc"/>
          <w:vertAlign w:val="subscript"/>
          <w:lang w:val="de-DE"/>
        </w:rPr>
        <w:t>Cs</w:t>
      </w:r>
      <w:r w:rsidRPr="004676F5">
        <w:rPr>
          <w:lang w:val="de-DE"/>
        </w:rPr>
        <w:t xml:space="preserve"> definiert sind.]</w:t>
      </w:r>
    </w:p>
    <w:p w14:paraId="7AA4883E" w14:textId="77777777" w:rsidR="00F94546" w:rsidRPr="004676F5" w:rsidRDefault="00F94546" w:rsidP="00F94546">
      <w:pPr>
        <w:jc w:val="both"/>
        <w:rPr>
          <w:lang w:val="de-DE"/>
        </w:rPr>
      </w:pPr>
    </w:p>
    <w:p w14:paraId="150BA7A4" w14:textId="34894E47" w:rsidR="00F94546" w:rsidRPr="004676F5" w:rsidRDefault="00F94546" w:rsidP="00F94546">
      <w:pPr>
        <w:ind w:firstLine="708"/>
        <w:jc w:val="both"/>
        <w:rPr>
          <w:lang w:val="de-DE"/>
        </w:rPr>
      </w:pPr>
      <w:r w:rsidRPr="004676F5">
        <w:rPr>
          <w:lang w:val="de-DE"/>
        </w:rPr>
        <w:t>§ 2 </w:t>
      </w:r>
      <w:r w:rsidR="005B7A5C" w:rsidRPr="004676F5">
        <w:rPr>
          <w:lang w:val="de-DE"/>
        </w:rPr>
        <w:t>- </w:t>
      </w:r>
      <w:r w:rsidRPr="004676F5">
        <w:rPr>
          <w:lang w:val="de-DE"/>
        </w:rPr>
        <w:t>Abgeleitete Einheiten sind Einheiten, die in der Form eines Produkts von Potenzen von Basiseinheiten mit dem Zahlenfaktor eins bestimmt werden.</w:t>
      </w:r>
    </w:p>
    <w:p w14:paraId="7B2AEE74" w14:textId="77777777" w:rsidR="00F94546" w:rsidRPr="004676F5" w:rsidRDefault="00F94546" w:rsidP="00F94546">
      <w:pPr>
        <w:jc w:val="both"/>
        <w:rPr>
          <w:lang w:val="de-DE"/>
        </w:rPr>
      </w:pPr>
    </w:p>
    <w:p w14:paraId="390ADAF7" w14:textId="3B7B0F3F" w:rsidR="00F94546" w:rsidRPr="004676F5" w:rsidRDefault="00F94546" w:rsidP="00F94546">
      <w:pPr>
        <w:ind w:firstLine="708"/>
        <w:jc w:val="both"/>
        <w:rPr>
          <w:lang w:val="de-DE"/>
        </w:rPr>
      </w:pPr>
      <w:r w:rsidRPr="004676F5">
        <w:rPr>
          <w:lang w:val="de-DE"/>
        </w:rPr>
        <w:lastRenderedPageBreak/>
        <w:t>§ 3 </w:t>
      </w:r>
      <w:r w:rsidR="005B7A5C" w:rsidRPr="004676F5">
        <w:rPr>
          <w:lang w:val="de-DE"/>
        </w:rPr>
        <w:t>- </w:t>
      </w:r>
      <w:r w:rsidRPr="004676F5">
        <w:rPr>
          <w:lang w:val="de-DE"/>
        </w:rPr>
        <w:t>Vielfache und Teile der Basiseinheiten des internationalen Einheitensystems sind Einheiten, die gemäß den von der Generalkonferenz für Maß und Gewicht festgelegten Regeln gebildet werden.</w:t>
      </w:r>
    </w:p>
    <w:p w14:paraId="707F1543" w14:textId="7EB6FFFE" w:rsidR="00F94546" w:rsidRPr="004676F5" w:rsidRDefault="00F94546" w:rsidP="00F94546">
      <w:pPr>
        <w:jc w:val="both"/>
        <w:rPr>
          <w:lang w:val="de-DE"/>
        </w:rPr>
      </w:pPr>
    </w:p>
    <w:p w14:paraId="4D87BBDE" w14:textId="26E6E3E9" w:rsidR="00204FA1" w:rsidRPr="004676F5" w:rsidRDefault="00204FA1" w:rsidP="00F94546">
      <w:pPr>
        <w:jc w:val="both"/>
        <w:rPr>
          <w:i/>
          <w:lang w:val="de-DE"/>
        </w:rPr>
      </w:pPr>
      <w:r w:rsidRPr="004676F5">
        <w:rPr>
          <w:i/>
          <w:lang w:val="de-DE"/>
        </w:rPr>
        <w:t>[Art. VIII.35 § 1 ersetzt durch Art. 5 des K.E. vom 6. Mai 2020 (B.S. vom 12. Mai 2020)]</w:t>
      </w:r>
    </w:p>
    <w:p w14:paraId="02C235B8" w14:textId="77777777" w:rsidR="00204FA1" w:rsidRPr="004676F5" w:rsidRDefault="00204FA1" w:rsidP="00F94546">
      <w:pPr>
        <w:jc w:val="both"/>
        <w:rPr>
          <w:i/>
          <w:lang w:val="de-DE"/>
        </w:rPr>
      </w:pPr>
    </w:p>
    <w:p w14:paraId="565F9BE2" w14:textId="77777777" w:rsidR="00F94546" w:rsidRPr="004676F5" w:rsidRDefault="00F94546" w:rsidP="00F94546">
      <w:pPr>
        <w:jc w:val="both"/>
        <w:rPr>
          <w:lang w:val="de-DE"/>
        </w:rPr>
      </w:pPr>
    </w:p>
    <w:p w14:paraId="2CEC0059" w14:textId="7DCA52F1" w:rsidR="00F94546" w:rsidRPr="004676F5" w:rsidRDefault="00F94546" w:rsidP="00F94546">
      <w:pPr>
        <w:jc w:val="center"/>
        <w:rPr>
          <w:lang w:val="de-DE"/>
        </w:rPr>
      </w:pPr>
      <w:r w:rsidRPr="004676F5">
        <w:rPr>
          <w:i/>
          <w:lang w:val="de-DE"/>
        </w:rPr>
        <w:t>Abschnitt 3 </w:t>
      </w:r>
      <w:r w:rsidR="005B7A5C" w:rsidRPr="004676F5">
        <w:rPr>
          <w:lang w:val="de-DE"/>
        </w:rPr>
        <w:t>- </w:t>
      </w:r>
      <w:r w:rsidRPr="004676F5">
        <w:rPr>
          <w:lang w:val="de-DE"/>
        </w:rPr>
        <w:t>Maßeinheiten, die nicht zum internationalen Einheitensystem gehören</w:t>
      </w:r>
    </w:p>
    <w:p w14:paraId="74D6289A" w14:textId="77777777" w:rsidR="00F94546" w:rsidRPr="004676F5" w:rsidRDefault="00F94546" w:rsidP="00F94546">
      <w:pPr>
        <w:jc w:val="both"/>
        <w:rPr>
          <w:lang w:val="de-DE"/>
        </w:rPr>
      </w:pPr>
    </w:p>
    <w:p w14:paraId="56E086B8" w14:textId="77777777" w:rsidR="00F94546" w:rsidRPr="004676F5" w:rsidRDefault="00F94546" w:rsidP="00F94546">
      <w:pPr>
        <w:ind w:firstLine="708"/>
        <w:jc w:val="both"/>
        <w:rPr>
          <w:lang w:val="de-DE"/>
        </w:rPr>
      </w:pPr>
    </w:p>
    <w:p w14:paraId="7E9D1489" w14:textId="13DF4974" w:rsidR="00F94546" w:rsidRPr="004676F5" w:rsidRDefault="00BE0A56" w:rsidP="00F94546">
      <w:pPr>
        <w:ind w:firstLine="708"/>
        <w:jc w:val="both"/>
        <w:rPr>
          <w:lang w:val="de-DE"/>
        </w:rPr>
      </w:pPr>
      <w:r w:rsidRPr="004676F5">
        <w:rPr>
          <w:b/>
          <w:lang w:val="de-DE"/>
        </w:rPr>
        <w:t>Art. </w:t>
      </w:r>
      <w:r w:rsidR="00F94546" w:rsidRPr="004676F5">
        <w:rPr>
          <w:b/>
          <w:lang w:val="de-DE"/>
        </w:rPr>
        <w:t>VIII.36</w:t>
      </w:r>
      <w:r w:rsidR="00F94546" w:rsidRPr="004676F5">
        <w:rPr>
          <w:lang w:val="de-DE"/>
        </w:rPr>
        <w:t> </w:t>
      </w:r>
      <w:r w:rsidR="005B7A5C" w:rsidRPr="004676F5">
        <w:rPr>
          <w:lang w:val="de-DE"/>
        </w:rPr>
        <w:t>- </w:t>
      </w:r>
      <w:r w:rsidR="00F94546" w:rsidRPr="004676F5">
        <w:rPr>
          <w:lang w:val="de-DE"/>
        </w:rPr>
        <w:t>Der König kann in das gesetzliche System Maßeinheiten aufnehmen, die, ohne Teil des internationalen Einheitensystems zu sein, gewöhnlich benutzt werden. Er kann ihre Verwendung auf Fälle beschränken, die Er bestimmt.</w:t>
      </w:r>
    </w:p>
    <w:p w14:paraId="6B29C7D9" w14:textId="77777777" w:rsidR="00F94546" w:rsidRPr="004676F5" w:rsidRDefault="00F94546" w:rsidP="00F94546">
      <w:pPr>
        <w:jc w:val="both"/>
        <w:rPr>
          <w:lang w:val="de-DE"/>
        </w:rPr>
      </w:pPr>
    </w:p>
    <w:p w14:paraId="3CE4C83E" w14:textId="77777777" w:rsidR="00F94546" w:rsidRPr="004676F5" w:rsidRDefault="00F94546" w:rsidP="00F94546">
      <w:pPr>
        <w:jc w:val="both"/>
        <w:rPr>
          <w:lang w:val="de-DE"/>
        </w:rPr>
      </w:pPr>
    </w:p>
    <w:p w14:paraId="2FE2C878" w14:textId="57C70129" w:rsidR="00F94546" w:rsidRPr="004676F5" w:rsidRDefault="00F94546" w:rsidP="00F94546">
      <w:pPr>
        <w:jc w:val="center"/>
        <w:rPr>
          <w:lang w:val="de-DE"/>
        </w:rPr>
      </w:pPr>
      <w:r w:rsidRPr="004676F5">
        <w:rPr>
          <w:i/>
          <w:lang w:val="de-DE"/>
        </w:rPr>
        <w:t>Abschnitt 4 </w:t>
      </w:r>
      <w:r w:rsidR="005B7A5C" w:rsidRPr="004676F5">
        <w:rPr>
          <w:lang w:val="de-DE"/>
        </w:rPr>
        <w:t>- </w:t>
      </w:r>
      <w:r w:rsidRPr="004676F5">
        <w:rPr>
          <w:lang w:val="de-DE"/>
        </w:rPr>
        <w:t>Tabelle der gesetzlichen Maßeinheiten</w:t>
      </w:r>
    </w:p>
    <w:p w14:paraId="2A31642F" w14:textId="77777777" w:rsidR="00F94546" w:rsidRPr="004676F5" w:rsidRDefault="00F94546" w:rsidP="00F94546">
      <w:pPr>
        <w:jc w:val="both"/>
        <w:rPr>
          <w:lang w:val="de-DE"/>
        </w:rPr>
      </w:pPr>
    </w:p>
    <w:p w14:paraId="43DD2894" w14:textId="77777777" w:rsidR="00F94546" w:rsidRPr="004676F5" w:rsidRDefault="00F94546" w:rsidP="00F94546">
      <w:pPr>
        <w:ind w:firstLine="708"/>
        <w:jc w:val="both"/>
        <w:rPr>
          <w:lang w:val="de-DE"/>
        </w:rPr>
      </w:pPr>
    </w:p>
    <w:p w14:paraId="166A96E0" w14:textId="5D38197F" w:rsidR="00F94546" w:rsidRPr="004676F5" w:rsidRDefault="00BE0A56" w:rsidP="00F94546">
      <w:pPr>
        <w:ind w:firstLine="708"/>
        <w:jc w:val="both"/>
        <w:rPr>
          <w:lang w:val="de-DE"/>
        </w:rPr>
      </w:pPr>
      <w:r w:rsidRPr="004676F5">
        <w:rPr>
          <w:b/>
          <w:lang w:val="de-DE"/>
        </w:rPr>
        <w:t>Art. </w:t>
      </w:r>
      <w:r w:rsidR="00F94546" w:rsidRPr="004676F5">
        <w:rPr>
          <w:b/>
          <w:lang w:val="de-DE"/>
        </w:rPr>
        <w:t>VIII.37</w:t>
      </w:r>
      <w:r w:rsidR="00F94546" w:rsidRPr="004676F5">
        <w:rPr>
          <w:lang w:val="de-DE"/>
        </w:rPr>
        <w:t> </w:t>
      </w:r>
      <w:r w:rsidR="005B7A5C" w:rsidRPr="004676F5">
        <w:rPr>
          <w:lang w:val="de-DE"/>
        </w:rPr>
        <w:t>- </w:t>
      </w:r>
      <w:r w:rsidR="00F94546" w:rsidRPr="004676F5">
        <w:rPr>
          <w:lang w:val="de-DE"/>
        </w:rPr>
        <w:t>Der König legt die Tabelle fest, in der die gesetzlichen Einheiten mit ihrer Bezeichnung, ihrer Definition und ihrem Einheitszeichen festgelegt werden; Er legt auch die Regeln fest, nach denen Vielfache und Teile gebildet werden.</w:t>
      </w:r>
    </w:p>
    <w:p w14:paraId="122AD270" w14:textId="77777777" w:rsidR="00F94546" w:rsidRPr="004676F5" w:rsidRDefault="00F94546" w:rsidP="00F94546">
      <w:pPr>
        <w:jc w:val="both"/>
        <w:rPr>
          <w:lang w:val="de-DE"/>
        </w:rPr>
      </w:pPr>
    </w:p>
    <w:p w14:paraId="0FD7DBF8" w14:textId="77777777" w:rsidR="00F94546" w:rsidRPr="004676F5" w:rsidRDefault="00F94546" w:rsidP="00F94546">
      <w:pPr>
        <w:jc w:val="both"/>
        <w:rPr>
          <w:lang w:val="de-DE"/>
        </w:rPr>
      </w:pPr>
    </w:p>
    <w:p w14:paraId="671E854B" w14:textId="750696F8" w:rsidR="00F94546" w:rsidRPr="004676F5" w:rsidRDefault="00F94546" w:rsidP="00F94546">
      <w:pPr>
        <w:ind w:firstLine="708"/>
        <w:jc w:val="center"/>
        <w:rPr>
          <w:lang w:val="de-DE"/>
        </w:rPr>
      </w:pPr>
      <w:r w:rsidRPr="004676F5">
        <w:rPr>
          <w:i/>
          <w:lang w:val="de-DE"/>
        </w:rPr>
        <w:t>Abschnitt 5 </w:t>
      </w:r>
      <w:r w:rsidR="005B7A5C" w:rsidRPr="004676F5">
        <w:rPr>
          <w:lang w:val="de-DE"/>
        </w:rPr>
        <w:t>- </w:t>
      </w:r>
      <w:r w:rsidRPr="004676F5">
        <w:rPr>
          <w:lang w:val="de-DE"/>
        </w:rPr>
        <w:t>Anpassung der Rechtsvorschriften an das internationale Einheitensystem</w:t>
      </w:r>
    </w:p>
    <w:p w14:paraId="18EC8409" w14:textId="77777777" w:rsidR="00F94546" w:rsidRPr="004676F5" w:rsidRDefault="00F94546" w:rsidP="00F94546">
      <w:pPr>
        <w:jc w:val="both"/>
        <w:rPr>
          <w:lang w:val="de-DE"/>
        </w:rPr>
      </w:pPr>
    </w:p>
    <w:p w14:paraId="4492156D" w14:textId="77777777" w:rsidR="00F94546" w:rsidRPr="004676F5" w:rsidRDefault="00F94546" w:rsidP="00F94546">
      <w:pPr>
        <w:jc w:val="both"/>
        <w:rPr>
          <w:lang w:val="de-DE"/>
        </w:rPr>
      </w:pPr>
    </w:p>
    <w:p w14:paraId="334CCD5E" w14:textId="1806F6E5" w:rsidR="00F94546" w:rsidRPr="004676F5" w:rsidRDefault="00BE0A56" w:rsidP="00F94546">
      <w:pPr>
        <w:ind w:firstLine="708"/>
        <w:jc w:val="both"/>
        <w:rPr>
          <w:lang w:val="de-DE"/>
        </w:rPr>
      </w:pPr>
      <w:r w:rsidRPr="004676F5">
        <w:rPr>
          <w:b/>
          <w:lang w:val="de-DE"/>
        </w:rPr>
        <w:t>Art. </w:t>
      </w:r>
      <w:r w:rsidR="00F94546" w:rsidRPr="004676F5">
        <w:rPr>
          <w:b/>
          <w:lang w:val="de-DE"/>
        </w:rPr>
        <w:t>VIII.38</w:t>
      </w:r>
      <w:r w:rsidR="00F94546" w:rsidRPr="004676F5">
        <w:rPr>
          <w:lang w:val="de-DE"/>
        </w:rPr>
        <w:t> </w:t>
      </w:r>
      <w:r w:rsidR="005B7A5C" w:rsidRPr="004676F5">
        <w:rPr>
          <w:lang w:val="de-DE"/>
        </w:rPr>
        <w:t>- </w:t>
      </w:r>
      <w:r w:rsidR="00F94546" w:rsidRPr="004676F5">
        <w:rPr>
          <w:lang w:val="de-DE"/>
        </w:rPr>
        <w:t>Der König kann die Bestimmungen der Artikel VIII.34 und VIII.35 abändern, um sie mit Änderungen in Übereinstimmung zu bringen, die die Generalkonferenz für Maß und Gewicht am internationalen Einheitensystem vornimmt.</w:t>
      </w:r>
    </w:p>
    <w:p w14:paraId="246F4FAA" w14:textId="77777777" w:rsidR="00F94546" w:rsidRPr="004676F5" w:rsidRDefault="00F94546" w:rsidP="00F94546">
      <w:pPr>
        <w:jc w:val="both"/>
        <w:rPr>
          <w:lang w:val="de-DE"/>
        </w:rPr>
      </w:pPr>
    </w:p>
    <w:p w14:paraId="5D4FEF4B" w14:textId="77777777" w:rsidR="00F94546" w:rsidRPr="004676F5" w:rsidRDefault="00F94546" w:rsidP="00F94546">
      <w:pPr>
        <w:jc w:val="both"/>
        <w:rPr>
          <w:lang w:val="de-DE"/>
        </w:rPr>
      </w:pPr>
    </w:p>
    <w:p w14:paraId="20250C02" w14:textId="7FBFF91C" w:rsidR="00F94546" w:rsidRPr="004676F5" w:rsidRDefault="00F94546" w:rsidP="00F94546">
      <w:pPr>
        <w:jc w:val="center"/>
        <w:rPr>
          <w:lang w:val="de-DE"/>
        </w:rPr>
      </w:pPr>
      <w:r w:rsidRPr="004676F5">
        <w:rPr>
          <w:i/>
          <w:lang w:val="de-DE"/>
        </w:rPr>
        <w:t>Abschnitt 6 </w:t>
      </w:r>
      <w:r w:rsidR="005B7A5C" w:rsidRPr="004676F5">
        <w:rPr>
          <w:lang w:val="de-DE"/>
        </w:rPr>
        <w:t>- </w:t>
      </w:r>
      <w:r w:rsidRPr="004676F5">
        <w:rPr>
          <w:lang w:val="de-DE"/>
        </w:rPr>
        <w:t>Verwendung der Maßeinheiten</w:t>
      </w:r>
    </w:p>
    <w:p w14:paraId="484A7587" w14:textId="77777777" w:rsidR="00F94546" w:rsidRPr="004676F5" w:rsidRDefault="00F94546" w:rsidP="00F94546">
      <w:pPr>
        <w:jc w:val="both"/>
        <w:rPr>
          <w:lang w:val="de-DE"/>
        </w:rPr>
      </w:pPr>
    </w:p>
    <w:p w14:paraId="6B8B9CD9" w14:textId="77777777" w:rsidR="00F94546" w:rsidRPr="004676F5" w:rsidRDefault="00F94546" w:rsidP="00F94546">
      <w:pPr>
        <w:jc w:val="both"/>
        <w:rPr>
          <w:lang w:val="de-DE"/>
        </w:rPr>
      </w:pPr>
    </w:p>
    <w:p w14:paraId="660D24BE" w14:textId="3080E0BC" w:rsidR="00F94546" w:rsidRPr="004676F5" w:rsidRDefault="00BE0A56" w:rsidP="00F94546">
      <w:pPr>
        <w:ind w:firstLine="708"/>
        <w:jc w:val="both"/>
        <w:rPr>
          <w:lang w:val="de-DE"/>
        </w:rPr>
      </w:pPr>
      <w:r w:rsidRPr="004676F5">
        <w:rPr>
          <w:b/>
          <w:lang w:val="de-DE"/>
        </w:rPr>
        <w:t>Art. </w:t>
      </w:r>
      <w:r w:rsidR="00F94546" w:rsidRPr="004676F5">
        <w:rPr>
          <w:b/>
          <w:lang w:val="de-DE"/>
        </w:rPr>
        <w:t>VIII.39</w:t>
      </w:r>
      <w:r w:rsidR="00F94546" w:rsidRPr="004676F5">
        <w:rPr>
          <w:lang w:val="de-DE"/>
        </w:rPr>
        <w:t> </w:t>
      </w:r>
      <w:r w:rsidR="005B7A5C" w:rsidRPr="004676F5">
        <w:rPr>
          <w:lang w:val="de-DE"/>
        </w:rPr>
        <w:t>- </w:t>
      </w:r>
      <w:r w:rsidR="00F94546" w:rsidRPr="004676F5">
        <w:rPr>
          <w:lang w:val="de-DE"/>
        </w:rPr>
        <w:t>§ 1 </w:t>
      </w:r>
      <w:r w:rsidR="005B7A5C" w:rsidRPr="004676F5">
        <w:rPr>
          <w:lang w:val="de-DE"/>
        </w:rPr>
        <w:t>- </w:t>
      </w:r>
      <w:r w:rsidR="00F94546" w:rsidRPr="004676F5">
        <w:rPr>
          <w:lang w:val="de-DE"/>
        </w:rPr>
        <w:t>Die gesetzlichen Maßeinheiten müssen in authentischen Urkunden, von öffentlichen Behörden ausgehenden Urkunden, Privaturkunden und in Schriftstücken verwendet werden, die im Rahmen der Ausübung eines Berufs, Gewerbes oder Handels ausgestellt werden.</w:t>
      </w:r>
    </w:p>
    <w:p w14:paraId="21478D3A" w14:textId="77777777" w:rsidR="00F94546" w:rsidRPr="004676F5" w:rsidRDefault="00F94546" w:rsidP="00F94546">
      <w:pPr>
        <w:jc w:val="both"/>
        <w:rPr>
          <w:lang w:val="de-DE"/>
        </w:rPr>
      </w:pPr>
    </w:p>
    <w:p w14:paraId="5101BBBE" w14:textId="6A112286" w:rsidR="00F94546" w:rsidRPr="004676F5" w:rsidRDefault="00F94546" w:rsidP="00F94546">
      <w:pPr>
        <w:ind w:firstLine="708"/>
        <w:jc w:val="both"/>
        <w:rPr>
          <w:lang w:val="de-DE"/>
        </w:rPr>
      </w:pPr>
      <w:r w:rsidRPr="004676F5">
        <w:rPr>
          <w:lang w:val="de-DE"/>
        </w:rPr>
        <w:t>§ 2 </w:t>
      </w:r>
      <w:r w:rsidR="005B7A5C" w:rsidRPr="004676F5">
        <w:rPr>
          <w:lang w:val="de-DE"/>
        </w:rPr>
        <w:t>- </w:t>
      </w:r>
      <w:r w:rsidRPr="004676F5">
        <w:rPr>
          <w:lang w:val="de-DE"/>
        </w:rPr>
        <w:t>Die Verwendung von Maßeinheiten, die keine gesetzlichen Maßeinheiten sind, ist zur Angabe einer Menge von Gütern oder des Umfangs von Dienstleistungen untersagt:</w:t>
      </w:r>
    </w:p>
    <w:p w14:paraId="4A8C416A" w14:textId="77777777" w:rsidR="00F94546" w:rsidRPr="004676F5" w:rsidRDefault="00F94546" w:rsidP="00F94546">
      <w:pPr>
        <w:jc w:val="both"/>
        <w:rPr>
          <w:lang w:val="de-DE"/>
        </w:rPr>
      </w:pPr>
    </w:p>
    <w:p w14:paraId="01B64DBD" w14:textId="77777777" w:rsidR="00F94546" w:rsidRPr="004676F5" w:rsidRDefault="00F94546" w:rsidP="00F94546">
      <w:pPr>
        <w:ind w:firstLine="708"/>
        <w:jc w:val="both"/>
        <w:rPr>
          <w:lang w:val="de-DE"/>
        </w:rPr>
      </w:pPr>
      <w:r w:rsidRPr="004676F5">
        <w:rPr>
          <w:lang w:val="de-DE"/>
        </w:rPr>
        <w:t>1. bei Handelsgeschäften oder Güterlieferungen, die einen gewöhnlichen Charakter haben,</w:t>
      </w:r>
    </w:p>
    <w:p w14:paraId="49D0F10D" w14:textId="77777777" w:rsidR="00F94546" w:rsidRPr="004676F5" w:rsidRDefault="00F94546" w:rsidP="00F94546">
      <w:pPr>
        <w:jc w:val="both"/>
        <w:rPr>
          <w:lang w:val="de-DE"/>
        </w:rPr>
      </w:pPr>
    </w:p>
    <w:p w14:paraId="6FBC4BB3" w14:textId="77777777" w:rsidR="00F94546" w:rsidRPr="004676F5" w:rsidRDefault="00F94546" w:rsidP="00F94546">
      <w:pPr>
        <w:ind w:firstLine="708"/>
        <w:jc w:val="both"/>
        <w:rPr>
          <w:lang w:val="de-DE"/>
        </w:rPr>
      </w:pPr>
      <w:r w:rsidRPr="004676F5">
        <w:rPr>
          <w:lang w:val="de-DE"/>
        </w:rPr>
        <w:t>2. für die Bestimmung einer Vergütung oder des Preises von Dienstleistungen,</w:t>
      </w:r>
    </w:p>
    <w:p w14:paraId="25B109EA" w14:textId="77777777" w:rsidR="00F94546" w:rsidRPr="004676F5" w:rsidRDefault="00F94546" w:rsidP="00F94546">
      <w:pPr>
        <w:jc w:val="both"/>
        <w:rPr>
          <w:lang w:val="de-DE"/>
        </w:rPr>
      </w:pPr>
    </w:p>
    <w:p w14:paraId="13D62177" w14:textId="77777777" w:rsidR="00F94546" w:rsidRPr="004676F5" w:rsidRDefault="00F94546" w:rsidP="00F94546">
      <w:pPr>
        <w:ind w:firstLine="708"/>
        <w:jc w:val="both"/>
        <w:rPr>
          <w:lang w:val="de-DE"/>
        </w:rPr>
      </w:pPr>
      <w:r w:rsidRPr="004676F5">
        <w:rPr>
          <w:lang w:val="de-DE"/>
        </w:rPr>
        <w:t>3. auf Rechnungen, Plakaten, Anzeigen und Werbung,</w:t>
      </w:r>
    </w:p>
    <w:p w14:paraId="18CE8256" w14:textId="77777777" w:rsidR="00F94546" w:rsidRPr="004676F5" w:rsidRDefault="00F94546" w:rsidP="00F94546">
      <w:pPr>
        <w:jc w:val="both"/>
        <w:rPr>
          <w:lang w:val="de-DE"/>
        </w:rPr>
      </w:pPr>
    </w:p>
    <w:p w14:paraId="456AE83F" w14:textId="77777777" w:rsidR="00F94546" w:rsidRPr="004676F5" w:rsidRDefault="00F94546" w:rsidP="00F94546">
      <w:pPr>
        <w:ind w:firstLine="708"/>
        <w:jc w:val="both"/>
        <w:rPr>
          <w:lang w:val="de-DE"/>
        </w:rPr>
      </w:pPr>
      <w:r w:rsidRPr="004676F5">
        <w:rPr>
          <w:lang w:val="de-DE"/>
        </w:rPr>
        <w:t>4. auf Waren, die zum Kauf angeboten oder verkauft werden, und auf Verpackungen dieser Waren oder Behältern, die sie enthalten.</w:t>
      </w:r>
    </w:p>
    <w:p w14:paraId="315C8BE9" w14:textId="77777777" w:rsidR="00F94546" w:rsidRPr="004676F5" w:rsidRDefault="00F94546" w:rsidP="00F94546">
      <w:pPr>
        <w:jc w:val="both"/>
        <w:rPr>
          <w:lang w:val="de-DE"/>
        </w:rPr>
      </w:pPr>
    </w:p>
    <w:p w14:paraId="46702703" w14:textId="276B8BCC" w:rsidR="00F94546" w:rsidRPr="004676F5" w:rsidRDefault="00F94546" w:rsidP="00F94546">
      <w:pPr>
        <w:ind w:firstLine="708"/>
        <w:jc w:val="both"/>
        <w:rPr>
          <w:lang w:val="de-DE"/>
        </w:rPr>
      </w:pPr>
      <w:r w:rsidRPr="004676F5">
        <w:rPr>
          <w:lang w:val="de-DE"/>
        </w:rPr>
        <w:lastRenderedPageBreak/>
        <w:t>§ 3 </w:t>
      </w:r>
      <w:r w:rsidR="005B7A5C" w:rsidRPr="004676F5">
        <w:rPr>
          <w:lang w:val="de-DE"/>
        </w:rPr>
        <w:t>- </w:t>
      </w:r>
      <w:r w:rsidRPr="004676F5">
        <w:rPr>
          <w:lang w:val="de-DE"/>
        </w:rPr>
        <w:t>Der König kann die Bestimmungen von § 2 auf Spezifikationen ausdehnen, die nicht eine Menge von Gütern oder den Umfang von Dienstleistungen bestimmen.</w:t>
      </w:r>
    </w:p>
    <w:p w14:paraId="57956EDD" w14:textId="77777777" w:rsidR="00F94546" w:rsidRPr="004676F5" w:rsidRDefault="00F94546" w:rsidP="00F94546">
      <w:pPr>
        <w:jc w:val="both"/>
        <w:rPr>
          <w:lang w:val="de-DE"/>
        </w:rPr>
      </w:pPr>
    </w:p>
    <w:p w14:paraId="1ACAE6C9" w14:textId="776FDA66" w:rsidR="00F94546" w:rsidRPr="004676F5" w:rsidRDefault="00F94546" w:rsidP="00F94546">
      <w:pPr>
        <w:ind w:firstLine="708"/>
        <w:jc w:val="both"/>
        <w:rPr>
          <w:lang w:val="de-DE"/>
        </w:rPr>
      </w:pPr>
      <w:r w:rsidRPr="004676F5">
        <w:rPr>
          <w:lang w:val="de-DE"/>
        </w:rPr>
        <w:t>§ 4 </w:t>
      </w:r>
      <w:r w:rsidR="005B7A5C" w:rsidRPr="004676F5">
        <w:rPr>
          <w:lang w:val="de-DE"/>
        </w:rPr>
        <w:t>- </w:t>
      </w:r>
      <w:r w:rsidRPr="004676F5">
        <w:rPr>
          <w:lang w:val="de-DE"/>
        </w:rPr>
        <w:t>Die Bestimmungen, die durch die Paragraphen 1, 2 und 3 vorgesehen sind oder aufgrund dieser Paragraphen erlassen werden, gelten nicht für Schriftstücke, die:</w:t>
      </w:r>
    </w:p>
    <w:p w14:paraId="75045FF8" w14:textId="77777777" w:rsidR="00F94546" w:rsidRPr="004676F5" w:rsidRDefault="00F94546" w:rsidP="00F94546">
      <w:pPr>
        <w:jc w:val="both"/>
        <w:rPr>
          <w:lang w:val="de-DE"/>
        </w:rPr>
      </w:pPr>
    </w:p>
    <w:p w14:paraId="43E29AB7" w14:textId="77777777" w:rsidR="00F94546" w:rsidRPr="004676F5" w:rsidRDefault="00F94546" w:rsidP="00F94546">
      <w:pPr>
        <w:ind w:firstLine="708"/>
        <w:jc w:val="both"/>
        <w:rPr>
          <w:lang w:val="de-DE"/>
        </w:rPr>
      </w:pPr>
      <w:r w:rsidRPr="004676F5">
        <w:rPr>
          <w:lang w:val="de-DE"/>
        </w:rPr>
        <w:t>1. in Beziehungen mit anderen Ländern verwendet werden,</w:t>
      </w:r>
    </w:p>
    <w:p w14:paraId="67562E6D" w14:textId="77777777" w:rsidR="00F94546" w:rsidRPr="004676F5" w:rsidRDefault="00F94546" w:rsidP="00F94546">
      <w:pPr>
        <w:jc w:val="both"/>
        <w:rPr>
          <w:lang w:val="de-DE"/>
        </w:rPr>
      </w:pPr>
    </w:p>
    <w:p w14:paraId="70400487" w14:textId="77777777" w:rsidR="00F94546" w:rsidRPr="004676F5" w:rsidRDefault="00F94546" w:rsidP="00F94546">
      <w:pPr>
        <w:ind w:firstLine="708"/>
        <w:jc w:val="both"/>
        <w:rPr>
          <w:lang w:val="de-DE"/>
        </w:rPr>
      </w:pPr>
      <w:r w:rsidRPr="004676F5">
        <w:rPr>
          <w:lang w:val="de-DE"/>
        </w:rPr>
        <w:t>2. Güter betreffen, die sich außerhalb des Königreichs befinden.</w:t>
      </w:r>
    </w:p>
    <w:p w14:paraId="62FAB5B0" w14:textId="77777777" w:rsidR="00F94546" w:rsidRPr="004676F5" w:rsidRDefault="00F94546" w:rsidP="00F94546">
      <w:pPr>
        <w:jc w:val="both"/>
        <w:rPr>
          <w:lang w:val="de-DE"/>
        </w:rPr>
      </w:pPr>
    </w:p>
    <w:p w14:paraId="47190A83" w14:textId="77777777" w:rsidR="00F94546" w:rsidRPr="004676F5" w:rsidRDefault="00F94546" w:rsidP="00F94546">
      <w:pPr>
        <w:jc w:val="both"/>
        <w:rPr>
          <w:lang w:val="de-DE"/>
        </w:rPr>
      </w:pPr>
    </w:p>
    <w:p w14:paraId="26B51ACF" w14:textId="25C9BDD1" w:rsidR="00F94546" w:rsidRPr="004676F5" w:rsidRDefault="00F94546" w:rsidP="00F94546">
      <w:pPr>
        <w:jc w:val="center"/>
        <w:rPr>
          <w:lang w:val="de-DE"/>
        </w:rPr>
      </w:pPr>
      <w:r w:rsidRPr="004676F5">
        <w:rPr>
          <w:i/>
          <w:lang w:val="de-DE"/>
        </w:rPr>
        <w:t>Abschnitt 7 </w:t>
      </w:r>
      <w:r w:rsidR="005B7A5C" w:rsidRPr="004676F5">
        <w:rPr>
          <w:lang w:val="de-DE"/>
        </w:rPr>
        <w:t>- </w:t>
      </w:r>
      <w:r w:rsidRPr="004676F5">
        <w:rPr>
          <w:lang w:val="de-DE"/>
        </w:rPr>
        <w:t>Eichmaße und Regeln</w:t>
      </w:r>
    </w:p>
    <w:p w14:paraId="0CD23B2A" w14:textId="77777777" w:rsidR="00F94546" w:rsidRPr="004676F5" w:rsidRDefault="00F94546" w:rsidP="00F94546">
      <w:pPr>
        <w:jc w:val="both"/>
        <w:rPr>
          <w:lang w:val="de-DE"/>
        </w:rPr>
      </w:pPr>
    </w:p>
    <w:p w14:paraId="78346411" w14:textId="77777777" w:rsidR="00F94546" w:rsidRPr="004676F5" w:rsidRDefault="00F94546" w:rsidP="00F94546">
      <w:pPr>
        <w:jc w:val="both"/>
        <w:rPr>
          <w:lang w:val="de-DE"/>
        </w:rPr>
      </w:pPr>
    </w:p>
    <w:p w14:paraId="0CEFC7A8" w14:textId="21D4D672" w:rsidR="00F94546" w:rsidRPr="004676F5" w:rsidRDefault="00BE0A56" w:rsidP="00F94546">
      <w:pPr>
        <w:ind w:firstLine="708"/>
        <w:jc w:val="both"/>
        <w:rPr>
          <w:lang w:val="de-DE"/>
        </w:rPr>
      </w:pPr>
      <w:r w:rsidRPr="004676F5">
        <w:rPr>
          <w:b/>
          <w:lang w:val="de-DE"/>
        </w:rPr>
        <w:t>Art. </w:t>
      </w:r>
      <w:r w:rsidR="00F94546" w:rsidRPr="004676F5">
        <w:rPr>
          <w:b/>
          <w:lang w:val="de-DE"/>
        </w:rPr>
        <w:t>VIII.40</w:t>
      </w:r>
      <w:r w:rsidR="00F94546" w:rsidRPr="004676F5">
        <w:rPr>
          <w:lang w:val="de-DE"/>
        </w:rPr>
        <w:t> </w:t>
      </w:r>
      <w:r w:rsidR="005B7A5C" w:rsidRPr="004676F5">
        <w:rPr>
          <w:lang w:val="de-DE"/>
        </w:rPr>
        <w:t>- </w:t>
      </w:r>
      <w:r w:rsidR="00F94546" w:rsidRPr="004676F5">
        <w:rPr>
          <w:lang w:val="de-DE"/>
        </w:rPr>
        <w:t>Der König erlässt Maßnahmen, die für Festlegung, Bewahrung und Wiedergabe nationaler Eichmaße erforderlich sind, die materialisierbare gesetzliche Maßeinheiten darstellen.</w:t>
      </w:r>
    </w:p>
    <w:p w14:paraId="65CB25A9" w14:textId="77777777" w:rsidR="00F94546" w:rsidRPr="004676F5" w:rsidRDefault="00F94546" w:rsidP="00F94546">
      <w:pPr>
        <w:jc w:val="both"/>
        <w:rPr>
          <w:lang w:val="de-DE"/>
        </w:rPr>
      </w:pPr>
    </w:p>
    <w:p w14:paraId="3D70B5FC" w14:textId="77777777" w:rsidR="00F94546" w:rsidRPr="004676F5" w:rsidRDefault="00F94546" w:rsidP="00F94546">
      <w:pPr>
        <w:ind w:firstLine="708"/>
        <w:jc w:val="both"/>
        <w:rPr>
          <w:lang w:val="de-DE"/>
        </w:rPr>
      </w:pPr>
      <w:r w:rsidRPr="004676F5">
        <w:rPr>
          <w:lang w:val="de-DE"/>
        </w:rPr>
        <w:t>Die nationalen Eichmaße werden verglichen mit und gegebenenfalls angepasst an die internationalen Eichmaße, die gemäß den Bestimmungen der Konvention zur internationalen Vereinheitlichung und Vervollkommnung des metrischen Systems bewahrt werden, unterzeichnet in Paris am 20. Mai 1875, gebilligt durch das Gesetz vom 29. Dezember 1875 und abgeändert durch die am 6. Oktober 1921 in Sèvres unterzeichnete Konvention.</w:t>
      </w:r>
    </w:p>
    <w:p w14:paraId="28026C79" w14:textId="77777777" w:rsidR="00F94546" w:rsidRPr="004676F5" w:rsidRDefault="00F94546" w:rsidP="00F94546">
      <w:pPr>
        <w:jc w:val="both"/>
        <w:rPr>
          <w:lang w:val="de-DE"/>
        </w:rPr>
      </w:pPr>
    </w:p>
    <w:p w14:paraId="00083554" w14:textId="77777777" w:rsidR="00F94546" w:rsidRPr="004676F5" w:rsidRDefault="00F94546" w:rsidP="00F94546">
      <w:pPr>
        <w:jc w:val="both"/>
        <w:rPr>
          <w:lang w:val="de-DE"/>
        </w:rPr>
      </w:pPr>
    </w:p>
    <w:p w14:paraId="55F2830C" w14:textId="3F62ACA0" w:rsidR="00F94546" w:rsidRPr="004676F5" w:rsidRDefault="00BE0A56" w:rsidP="00F94546">
      <w:pPr>
        <w:ind w:firstLine="708"/>
        <w:jc w:val="both"/>
        <w:rPr>
          <w:lang w:val="de-DE"/>
        </w:rPr>
      </w:pPr>
      <w:r w:rsidRPr="004676F5">
        <w:rPr>
          <w:b/>
          <w:lang w:val="de-DE"/>
        </w:rPr>
        <w:t>Art. </w:t>
      </w:r>
      <w:r w:rsidR="00F94546" w:rsidRPr="004676F5">
        <w:rPr>
          <w:b/>
          <w:lang w:val="de-DE"/>
        </w:rPr>
        <w:t>VIII.41</w:t>
      </w:r>
      <w:r w:rsidR="00F94546" w:rsidRPr="004676F5">
        <w:rPr>
          <w:lang w:val="de-DE"/>
        </w:rPr>
        <w:t> </w:t>
      </w:r>
      <w:r w:rsidR="005B7A5C" w:rsidRPr="004676F5">
        <w:rPr>
          <w:lang w:val="de-DE"/>
        </w:rPr>
        <w:t>- </w:t>
      </w:r>
      <w:r w:rsidR="00F94546" w:rsidRPr="004676F5">
        <w:rPr>
          <w:lang w:val="de-DE"/>
        </w:rPr>
        <w:t>Der König erlässt Maßnahmen, die für Festlegung und Veröffentlichung der Regeln erforderlich sind, die es ermöglichen, nicht materialisierbare gesetzliche Einheiten wiederzugeben.</w:t>
      </w:r>
    </w:p>
    <w:p w14:paraId="539A51A8" w14:textId="77777777" w:rsidR="00F94546" w:rsidRPr="004676F5" w:rsidRDefault="00F94546" w:rsidP="00F94546">
      <w:pPr>
        <w:jc w:val="both"/>
        <w:rPr>
          <w:lang w:val="de-DE"/>
        </w:rPr>
      </w:pPr>
    </w:p>
    <w:p w14:paraId="623B6987" w14:textId="77777777" w:rsidR="00F94546" w:rsidRPr="004676F5" w:rsidRDefault="00F94546" w:rsidP="00F94546">
      <w:pPr>
        <w:ind w:firstLine="708"/>
        <w:jc w:val="both"/>
        <w:rPr>
          <w:lang w:val="de-DE"/>
        </w:rPr>
      </w:pPr>
      <w:r w:rsidRPr="004676F5">
        <w:rPr>
          <w:lang w:val="de-DE"/>
        </w:rPr>
        <w:t>Die so festgelegten Regeln müssen den Regeln entsprechen, die von den Organen der in Artikel VIII.40 erwähnten Konvention erlassen werden.</w:t>
      </w:r>
    </w:p>
    <w:p w14:paraId="1C4C5588" w14:textId="77777777" w:rsidR="00F94546" w:rsidRPr="004676F5" w:rsidRDefault="00F94546" w:rsidP="00F94546">
      <w:pPr>
        <w:jc w:val="both"/>
        <w:rPr>
          <w:lang w:val="de-DE"/>
        </w:rPr>
      </w:pPr>
    </w:p>
    <w:p w14:paraId="377A150E" w14:textId="77777777" w:rsidR="00F94546" w:rsidRPr="004676F5" w:rsidRDefault="00F94546" w:rsidP="00F94546">
      <w:pPr>
        <w:jc w:val="both"/>
        <w:rPr>
          <w:lang w:val="de-DE"/>
        </w:rPr>
      </w:pPr>
    </w:p>
    <w:p w14:paraId="61867AF9" w14:textId="615C3CC3" w:rsidR="00F94546" w:rsidRPr="004676F5" w:rsidRDefault="00BE0A56" w:rsidP="00F94546">
      <w:pPr>
        <w:ind w:firstLine="708"/>
        <w:jc w:val="both"/>
        <w:rPr>
          <w:lang w:val="de-DE"/>
        </w:rPr>
      </w:pPr>
      <w:r w:rsidRPr="004676F5">
        <w:rPr>
          <w:b/>
          <w:lang w:val="de-DE"/>
        </w:rPr>
        <w:t>Art. </w:t>
      </w:r>
      <w:r w:rsidR="00F94546" w:rsidRPr="004676F5">
        <w:rPr>
          <w:b/>
          <w:lang w:val="de-DE"/>
        </w:rPr>
        <w:t>VIII.42</w:t>
      </w:r>
      <w:r w:rsidR="00F94546" w:rsidRPr="004676F5">
        <w:rPr>
          <w:lang w:val="de-DE"/>
        </w:rPr>
        <w:t> </w:t>
      </w:r>
      <w:r w:rsidR="005B7A5C" w:rsidRPr="004676F5">
        <w:rPr>
          <w:lang w:val="de-DE"/>
        </w:rPr>
        <w:t>- </w:t>
      </w:r>
      <w:r w:rsidR="00F94546" w:rsidRPr="004676F5">
        <w:rPr>
          <w:lang w:val="de-DE"/>
        </w:rPr>
        <w:t>Es wird davon ausgegangen, dass die nationalen Eichmaße und die Anwendung der Regeln, die der König gemäß Artikel VIII.40 festlegt, die gesetzlichen Einheiten genau wiedergeben.</w:t>
      </w:r>
    </w:p>
    <w:p w14:paraId="7F2887D5" w14:textId="77777777" w:rsidR="00F94546" w:rsidRPr="004676F5" w:rsidRDefault="00F94546" w:rsidP="00F94546">
      <w:pPr>
        <w:jc w:val="both"/>
        <w:rPr>
          <w:lang w:val="de-DE"/>
        </w:rPr>
      </w:pPr>
    </w:p>
    <w:p w14:paraId="50EFED5D" w14:textId="77777777" w:rsidR="00F94546" w:rsidRPr="004676F5" w:rsidRDefault="00F94546" w:rsidP="00F94546">
      <w:pPr>
        <w:jc w:val="both"/>
        <w:rPr>
          <w:lang w:val="de-DE"/>
        </w:rPr>
      </w:pPr>
    </w:p>
    <w:p w14:paraId="1F71F3B6" w14:textId="77777777" w:rsidR="00C76F75" w:rsidRPr="004676F5" w:rsidRDefault="00C76F75">
      <w:pPr>
        <w:rPr>
          <w:lang w:val="de-DE"/>
        </w:rPr>
      </w:pPr>
      <w:r w:rsidRPr="004676F5">
        <w:rPr>
          <w:lang w:val="de-DE"/>
        </w:rPr>
        <w:br w:type="page"/>
      </w:r>
    </w:p>
    <w:p w14:paraId="719F484F" w14:textId="07A9F5AD" w:rsidR="00F94546" w:rsidRPr="004676F5" w:rsidRDefault="00F94546" w:rsidP="00F94546">
      <w:pPr>
        <w:jc w:val="center"/>
        <w:rPr>
          <w:i/>
          <w:lang w:val="de-DE"/>
        </w:rPr>
      </w:pPr>
      <w:r w:rsidRPr="004676F5">
        <w:rPr>
          <w:lang w:val="de-DE"/>
        </w:rPr>
        <w:lastRenderedPageBreak/>
        <w:t>KAPITEL 2 </w:t>
      </w:r>
      <w:r w:rsidR="005B7A5C" w:rsidRPr="004676F5">
        <w:rPr>
          <w:lang w:val="de-DE"/>
        </w:rPr>
        <w:t>- </w:t>
      </w:r>
      <w:r w:rsidRPr="004676F5">
        <w:rPr>
          <w:i/>
          <w:lang w:val="de-DE"/>
        </w:rPr>
        <w:t>Messinstrumente</w:t>
      </w:r>
    </w:p>
    <w:p w14:paraId="06A5EB93" w14:textId="77777777" w:rsidR="00F94546" w:rsidRPr="004676F5" w:rsidRDefault="00F94546" w:rsidP="00F94546">
      <w:pPr>
        <w:jc w:val="center"/>
        <w:rPr>
          <w:lang w:val="de-DE"/>
        </w:rPr>
      </w:pPr>
    </w:p>
    <w:p w14:paraId="264B1708" w14:textId="77777777" w:rsidR="00F94546" w:rsidRPr="004676F5" w:rsidRDefault="00F94546" w:rsidP="00F94546">
      <w:pPr>
        <w:jc w:val="center"/>
        <w:rPr>
          <w:lang w:val="de-DE"/>
        </w:rPr>
      </w:pPr>
    </w:p>
    <w:p w14:paraId="29BF6354" w14:textId="7F55E640" w:rsidR="00F94546" w:rsidRPr="004676F5" w:rsidRDefault="00F94546" w:rsidP="00F94546">
      <w:pPr>
        <w:jc w:val="center"/>
        <w:rPr>
          <w:lang w:val="de-DE"/>
        </w:rPr>
      </w:pPr>
      <w:r w:rsidRPr="004676F5">
        <w:rPr>
          <w:i/>
          <w:lang w:val="de-DE"/>
        </w:rPr>
        <w:t>Abschnitt 1</w:t>
      </w:r>
      <w:r w:rsidRPr="004676F5">
        <w:rPr>
          <w:lang w:val="de-DE"/>
        </w:rPr>
        <w:t> </w:t>
      </w:r>
      <w:r w:rsidR="005B7A5C" w:rsidRPr="004676F5">
        <w:rPr>
          <w:lang w:val="de-DE"/>
        </w:rPr>
        <w:t>- </w:t>
      </w:r>
      <w:r w:rsidRPr="004676F5">
        <w:rPr>
          <w:lang w:val="de-DE"/>
        </w:rPr>
        <w:t>Verwendungsregeln</w:t>
      </w:r>
    </w:p>
    <w:p w14:paraId="2E5243B1" w14:textId="77777777" w:rsidR="00F94546" w:rsidRPr="004676F5" w:rsidRDefault="00F94546" w:rsidP="00F94546">
      <w:pPr>
        <w:jc w:val="both"/>
        <w:rPr>
          <w:lang w:val="de-DE"/>
        </w:rPr>
      </w:pPr>
    </w:p>
    <w:p w14:paraId="24FB9D4B" w14:textId="77777777" w:rsidR="00F94546" w:rsidRPr="004676F5" w:rsidRDefault="00F94546" w:rsidP="00F94546">
      <w:pPr>
        <w:jc w:val="both"/>
        <w:rPr>
          <w:lang w:val="de-DE"/>
        </w:rPr>
      </w:pPr>
    </w:p>
    <w:p w14:paraId="63CDFE5E" w14:textId="331A54F6" w:rsidR="00F94546" w:rsidRPr="004676F5" w:rsidRDefault="00BE0A56" w:rsidP="00F94546">
      <w:pPr>
        <w:ind w:firstLine="708"/>
        <w:jc w:val="both"/>
        <w:rPr>
          <w:lang w:val="de-DE"/>
        </w:rPr>
      </w:pPr>
      <w:r w:rsidRPr="004676F5">
        <w:rPr>
          <w:b/>
          <w:lang w:val="de-DE"/>
        </w:rPr>
        <w:t>Art. </w:t>
      </w:r>
      <w:r w:rsidR="00F94546" w:rsidRPr="004676F5">
        <w:rPr>
          <w:b/>
          <w:lang w:val="de-DE"/>
        </w:rPr>
        <w:t>VIII.43</w:t>
      </w:r>
      <w:r w:rsidR="00F94546" w:rsidRPr="004676F5">
        <w:rPr>
          <w:lang w:val="de-DE"/>
        </w:rPr>
        <w:t> </w:t>
      </w:r>
      <w:r w:rsidR="005B7A5C" w:rsidRPr="004676F5">
        <w:rPr>
          <w:lang w:val="de-DE"/>
        </w:rPr>
        <w:t>- </w:t>
      </w:r>
      <w:r w:rsidR="00F94546" w:rsidRPr="004676F5">
        <w:rPr>
          <w:lang w:val="de-DE"/>
        </w:rPr>
        <w:t>§ 1 </w:t>
      </w:r>
      <w:r w:rsidR="005B7A5C" w:rsidRPr="004676F5">
        <w:rPr>
          <w:lang w:val="de-DE"/>
        </w:rPr>
        <w:t>- </w:t>
      </w:r>
      <w:r w:rsidR="00F94546" w:rsidRPr="004676F5">
        <w:rPr>
          <w:lang w:val="de-DE"/>
        </w:rPr>
        <w:t>Messungen im Wirtschaftskreislauf, mit denen Mengen von Gütern oder der Umfang von Dienstleistungen bestimmt werden sollen, werden mit geeichten Messinstrumenten durchgeführt.</w:t>
      </w:r>
    </w:p>
    <w:p w14:paraId="70A437DC" w14:textId="77777777" w:rsidR="00F94546" w:rsidRPr="004676F5" w:rsidRDefault="00F94546" w:rsidP="00F94546">
      <w:pPr>
        <w:jc w:val="both"/>
        <w:rPr>
          <w:lang w:val="de-DE"/>
        </w:rPr>
      </w:pPr>
    </w:p>
    <w:p w14:paraId="66FFD959" w14:textId="15F334FA" w:rsidR="00F94546" w:rsidRPr="004676F5" w:rsidRDefault="00F94546" w:rsidP="00F94546">
      <w:pPr>
        <w:ind w:firstLine="708"/>
        <w:jc w:val="both"/>
        <w:rPr>
          <w:lang w:val="de-DE"/>
        </w:rPr>
      </w:pPr>
      <w:r w:rsidRPr="004676F5">
        <w:rPr>
          <w:lang w:val="de-DE"/>
        </w:rPr>
        <w:t>§ 2 </w:t>
      </w:r>
      <w:r w:rsidR="005B7A5C" w:rsidRPr="004676F5">
        <w:rPr>
          <w:lang w:val="de-DE"/>
        </w:rPr>
        <w:t>- </w:t>
      </w:r>
      <w:r w:rsidRPr="004676F5">
        <w:rPr>
          <w:lang w:val="de-DE"/>
        </w:rPr>
        <w:t>Messungen, die für die Berechnung von Erhebungen und Erstattungen vorgenommen werden, werden mit geeichten Messinstrumenten durchgeführt.</w:t>
      </w:r>
    </w:p>
    <w:p w14:paraId="004210DD" w14:textId="77777777" w:rsidR="00F94546" w:rsidRPr="004676F5" w:rsidRDefault="00F94546" w:rsidP="00F94546">
      <w:pPr>
        <w:jc w:val="both"/>
        <w:rPr>
          <w:lang w:val="de-DE"/>
        </w:rPr>
      </w:pPr>
    </w:p>
    <w:p w14:paraId="018DA67C" w14:textId="0477E4B1" w:rsidR="00F94546" w:rsidRPr="004676F5" w:rsidRDefault="00F94546" w:rsidP="00F94546">
      <w:pPr>
        <w:ind w:firstLine="708"/>
        <w:jc w:val="both"/>
        <w:rPr>
          <w:lang w:val="de-DE"/>
        </w:rPr>
      </w:pPr>
      <w:r w:rsidRPr="004676F5">
        <w:rPr>
          <w:lang w:val="de-DE"/>
        </w:rPr>
        <w:t>§ 3 </w:t>
      </w:r>
      <w:r w:rsidR="005B7A5C" w:rsidRPr="004676F5">
        <w:rPr>
          <w:lang w:val="de-DE"/>
        </w:rPr>
        <w:t>- </w:t>
      </w:r>
      <w:r w:rsidRPr="004676F5">
        <w:rPr>
          <w:lang w:val="de-DE"/>
        </w:rPr>
        <w:t>Der König kann die Anwendung von § 1 auf andere Messungen im Wirtschaftskreislauf ausdehnen.</w:t>
      </w:r>
    </w:p>
    <w:p w14:paraId="32389F5E" w14:textId="77777777" w:rsidR="00F94546" w:rsidRPr="004676F5" w:rsidRDefault="00F94546" w:rsidP="00F94546">
      <w:pPr>
        <w:jc w:val="both"/>
        <w:rPr>
          <w:lang w:val="de-DE"/>
        </w:rPr>
      </w:pPr>
    </w:p>
    <w:p w14:paraId="4146A377" w14:textId="6984DD6C" w:rsidR="00F94546" w:rsidRPr="004676F5" w:rsidRDefault="00F94546" w:rsidP="00F94546">
      <w:pPr>
        <w:ind w:firstLine="708"/>
        <w:jc w:val="both"/>
        <w:rPr>
          <w:lang w:val="de-DE"/>
        </w:rPr>
      </w:pPr>
      <w:r w:rsidRPr="004676F5">
        <w:rPr>
          <w:lang w:val="de-DE"/>
        </w:rPr>
        <w:t>§ 4 </w:t>
      </w:r>
      <w:r w:rsidR="005B7A5C" w:rsidRPr="004676F5">
        <w:rPr>
          <w:lang w:val="de-DE"/>
        </w:rPr>
        <w:t>- </w:t>
      </w:r>
      <w:r w:rsidRPr="004676F5">
        <w:rPr>
          <w:lang w:val="de-DE"/>
        </w:rPr>
        <w:t>Der König kann die Verwendung geeichter Messinstrumente für Messungen außerhalb des Wirtschaftskreislaufs auferlegen.</w:t>
      </w:r>
    </w:p>
    <w:p w14:paraId="4DF9E1DF" w14:textId="77777777" w:rsidR="00F94546" w:rsidRPr="004676F5" w:rsidRDefault="00F94546" w:rsidP="00F94546">
      <w:pPr>
        <w:jc w:val="both"/>
        <w:rPr>
          <w:lang w:val="de-DE"/>
        </w:rPr>
      </w:pPr>
    </w:p>
    <w:p w14:paraId="065B1975" w14:textId="77777777" w:rsidR="00F94546" w:rsidRPr="004676F5" w:rsidRDefault="00F94546" w:rsidP="00F94546">
      <w:pPr>
        <w:jc w:val="both"/>
        <w:rPr>
          <w:lang w:val="de-DE"/>
        </w:rPr>
      </w:pPr>
    </w:p>
    <w:p w14:paraId="6FEC5120" w14:textId="6C0E40B7" w:rsidR="00F94546" w:rsidRPr="004676F5" w:rsidRDefault="00BE0A56" w:rsidP="00F94546">
      <w:pPr>
        <w:ind w:firstLine="708"/>
        <w:jc w:val="both"/>
        <w:rPr>
          <w:lang w:val="de-DE"/>
        </w:rPr>
      </w:pPr>
      <w:r w:rsidRPr="004676F5">
        <w:rPr>
          <w:b/>
          <w:lang w:val="de-DE"/>
        </w:rPr>
        <w:t>Art. </w:t>
      </w:r>
      <w:r w:rsidR="00F94546" w:rsidRPr="004676F5">
        <w:rPr>
          <w:b/>
          <w:lang w:val="de-DE"/>
        </w:rPr>
        <w:t>VIII.44</w:t>
      </w:r>
      <w:r w:rsidR="00F94546" w:rsidRPr="004676F5">
        <w:rPr>
          <w:lang w:val="de-DE"/>
        </w:rPr>
        <w:t> </w:t>
      </w:r>
      <w:r w:rsidR="005B7A5C" w:rsidRPr="004676F5">
        <w:rPr>
          <w:lang w:val="de-DE"/>
        </w:rPr>
        <w:t>- </w:t>
      </w:r>
      <w:r w:rsidR="00F94546" w:rsidRPr="004676F5">
        <w:rPr>
          <w:lang w:val="de-DE"/>
        </w:rPr>
        <w:t>§ 1 </w:t>
      </w:r>
      <w:r w:rsidR="005B7A5C" w:rsidRPr="004676F5">
        <w:rPr>
          <w:lang w:val="de-DE"/>
        </w:rPr>
        <w:t>- </w:t>
      </w:r>
      <w:r w:rsidR="00F94546" w:rsidRPr="004676F5">
        <w:rPr>
          <w:lang w:val="de-DE"/>
        </w:rPr>
        <w:t>Vermietung, Verkauf, Ausstellung oder Anbieten zum Verkauf, Halten im Hinblick auf den Verkauf oder Weitergabe als Prämie folgender Messinstrumente ist untersagt:</w:t>
      </w:r>
    </w:p>
    <w:p w14:paraId="57F13E98" w14:textId="77777777" w:rsidR="00F94546" w:rsidRPr="004676F5" w:rsidRDefault="00F94546" w:rsidP="00F94546">
      <w:pPr>
        <w:jc w:val="both"/>
        <w:rPr>
          <w:lang w:val="de-DE"/>
        </w:rPr>
      </w:pPr>
    </w:p>
    <w:p w14:paraId="5CFB44BA" w14:textId="77777777" w:rsidR="00F94546" w:rsidRPr="004676F5" w:rsidRDefault="00F94546" w:rsidP="00F94546">
      <w:pPr>
        <w:ind w:firstLine="708"/>
        <w:jc w:val="both"/>
        <w:rPr>
          <w:lang w:val="de-DE"/>
        </w:rPr>
      </w:pPr>
      <w:r w:rsidRPr="004676F5">
        <w:rPr>
          <w:lang w:val="de-DE"/>
        </w:rPr>
        <w:t>1. nicht geeichter Messinstrumente, mit denen Messungen wie in Artikel VIII.43 § 1 bestimmt durchgeführt werden sollen,</w:t>
      </w:r>
    </w:p>
    <w:p w14:paraId="2E8888E9" w14:textId="77777777" w:rsidR="00F94546" w:rsidRPr="004676F5" w:rsidRDefault="00F94546" w:rsidP="00F94546">
      <w:pPr>
        <w:jc w:val="both"/>
        <w:rPr>
          <w:lang w:val="de-DE"/>
        </w:rPr>
      </w:pPr>
    </w:p>
    <w:p w14:paraId="46F9175B" w14:textId="77777777" w:rsidR="00F94546" w:rsidRPr="004676F5" w:rsidRDefault="00F94546" w:rsidP="00F94546">
      <w:pPr>
        <w:ind w:firstLine="708"/>
        <w:jc w:val="both"/>
        <w:rPr>
          <w:lang w:val="de-DE"/>
        </w:rPr>
      </w:pPr>
      <w:r w:rsidRPr="004676F5">
        <w:rPr>
          <w:lang w:val="de-DE"/>
        </w:rPr>
        <w:t>2. geeichter Messinstrumente, die in Anwendung von Artikel VIII.51 von der Ersteichung befreit sind, wenn diese Messinstrumente den in Artikel VIII.46 vorgesehenen oder aufgrund dieses Artikels erlassenen Vorschriften nicht genügen.</w:t>
      </w:r>
    </w:p>
    <w:p w14:paraId="5D01C730" w14:textId="77777777" w:rsidR="00F94546" w:rsidRPr="004676F5" w:rsidRDefault="00F94546" w:rsidP="00F94546">
      <w:pPr>
        <w:jc w:val="both"/>
        <w:rPr>
          <w:lang w:val="de-DE"/>
        </w:rPr>
      </w:pPr>
    </w:p>
    <w:p w14:paraId="28436111" w14:textId="14E70BFB" w:rsidR="00F94546" w:rsidRPr="004676F5" w:rsidRDefault="00F94546" w:rsidP="00F94546">
      <w:pPr>
        <w:ind w:firstLine="708"/>
        <w:jc w:val="both"/>
        <w:rPr>
          <w:lang w:val="de-DE"/>
        </w:rPr>
      </w:pPr>
      <w:r w:rsidRPr="004676F5">
        <w:rPr>
          <w:lang w:val="de-DE"/>
        </w:rPr>
        <w:t>§ 2 </w:t>
      </w:r>
      <w:r w:rsidR="005B7A5C" w:rsidRPr="004676F5">
        <w:rPr>
          <w:lang w:val="de-DE"/>
        </w:rPr>
        <w:t>- </w:t>
      </w:r>
      <w:r w:rsidRPr="004676F5">
        <w:rPr>
          <w:lang w:val="de-DE"/>
        </w:rPr>
        <w:t>Die Bestimmungen von § 1 sind nicht anwendbar auf Messinstrumente, die gemäß diesbezüglicher Vorschriften mit einer Kennzeichnung versehen sind, aus der hervorgeht, dass sie nicht für Messungen im Wirtschaftskreislauf wie in § 1 festgelegt bestimmt sind.</w:t>
      </w:r>
    </w:p>
    <w:p w14:paraId="3BEFA0D8" w14:textId="77777777" w:rsidR="00F94546" w:rsidRPr="004676F5" w:rsidRDefault="00F94546" w:rsidP="00F94546">
      <w:pPr>
        <w:jc w:val="both"/>
        <w:rPr>
          <w:lang w:val="de-DE"/>
        </w:rPr>
      </w:pPr>
    </w:p>
    <w:p w14:paraId="72FA45DF" w14:textId="260D557B" w:rsidR="00F94546" w:rsidRPr="004676F5" w:rsidRDefault="00F94546" w:rsidP="00F94546">
      <w:pPr>
        <w:ind w:firstLine="708"/>
        <w:jc w:val="both"/>
        <w:rPr>
          <w:lang w:val="de-DE"/>
        </w:rPr>
      </w:pPr>
      <w:r w:rsidRPr="004676F5">
        <w:rPr>
          <w:lang w:val="de-DE"/>
        </w:rPr>
        <w:t>§ 3 </w:t>
      </w:r>
      <w:r w:rsidR="005B7A5C" w:rsidRPr="004676F5">
        <w:rPr>
          <w:lang w:val="de-DE"/>
        </w:rPr>
        <w:t>- </w:t>
      </w:r>
      <w:r w:rsidRPr="004676F5">
        <w:rPr>
          <w:lang w:val="de-DE"/>
        </w:rPr>
        <w:t>Auf Messen, Ausstellungen und Vorführungen dürfen nicht geeichte Messinstrumente gezeigt werden, sofern ein sichtbares Schild deutlich darauf hinweist, dass sie vorliegendem Titel nicht entsprechen und nicht in Verkehr gebracht und/oder in Betrieb genommen werden dürfen.</w:t>
      </w:r>
    </w:p>
    <w:p w14:paraId="06578030" w14:textId="77777777" w:rsidR="00F94546" w:rsidRPr="004676F5" w:rsidRDefault="00F94546" w:rsidP="00F94546">
      <w:pPr>
        <w:jc w:val="both"/>
        <w:rPr>
          <w:lang w:val="de-DE"/>
        </w:rPr>
      </w:pPr>
    </w:p>
    <w:p w14:paraId="65DD74CC" w14:textId="3C80D5B3" w:rsidR="00F94546" w:rsidRPr="004676F5" w:rsidRDefault="00F94546" w:rsidP="00F94546">
      <w:pPr>
        <w:ind w:firstLine="708"/>
        <w:jc w:val="both"/>
        <w:rPr>
          <w:lang w:val="de-DE"/>
        </w:rPr>
      </w:pPr>
      <w:r w:rsidRPr="004676F5">
        <w:rPr>
          <w:lang w:val="de-DE"/>
        </w:rPr>
        <w:t>§ 4 </w:t>
      </w:r>
      <w:r w:rsidR="005B7A5C" w:rsidRPr="004676F5">
        <w:rPr>
          <w:lang w:val="de-DE"/>
        </w:rPr>
        <w:t>- </w:t>
      </w:r>
      <w:r w:rsidRPr="004676F5">
        <w:rPr>
          <w:lang w:val="de-DE"/>
        </w:rPr>
        <w:t>Der König kann Vermietung, Verkauf, Ausstellung oder Anbieten zum Verkauf, Halten im Hinblick auf den Verkauf oder Weitergabe als Prämie nicht geeichter Messinstrumente, mit denen Messungen wie in Artikel VIII.43 §§ 3 und 4 bestimmt durchgeführt werden sollen, verbieten.</w:t>
      </w:r>
    </w:p>
    <w:p w14:paraId="7BD69B42" w14:textId="77777777" w:rsidR="00F94546" w:rsidRPr="004676F5" w:rsidRDefault="00F94546" w:rsidP="00F94546">
      <w:pPr>
        <w:jc w:val="both"/>
        <w:rPr>
          <w:lang w:val="de-DE"/>
        </w:rPr>
      </w:pPr>
    </w:p>
    <w:p w14:paraId="730F3B6B" w14:textId="77777777" w:rsidR="00F94546" w:rsidRPr="004676F5" w:rsidRDefault="00F94546" w:rsidP="00F94546">
      <w:pPr>
        <w:jc w:val="both"/>
        <w:rPr>
          <w:lang w:val="de-DE"/>
        </w:rPr>
      </w:pPr>
    </w:p>
    <w:p w14:paraId="2A676F3C" w14:textId="6320AAFF" w:rsidR="00F94546" w:rsidRPr="004676F5" w:rsidRDefault="00BE0A56" w:rsidP="00F94546">
      <w:pPr>
        <w:ind w:firstLine="708"/>
        <w:jc w:val="both"/>
        <w:rPr>
          <w:lang w:val="de-DE"/>
        </w:rPr>
      </w:pPr>
      <w:r w:rsidRPr="004676F5">
        <w:rPr>
          <w:b/>
          <w:lang w:val="de-DE"/>
        </w:rPr>
        <w:t>Art. </w:t>
      </w:r>
      <w:r w:rsidR="00F94546" w:rsidRPr="004676F5">
        <w:rPr>
          <w:b/>
          <w:lang w:val="de-DE"/>
        </w:rPr>
        <w:t>VIII.45</w:t>
      </w:r>
      <w:r w:rsidR="00F94546" w:rsidRPr="004676F5">
        <w:rPr>
          <w:lang w:val="de-DE"/>
        </w:rPr>
        <w:t> </w:t>
      </w:r>
      <w:r w:rsidR="005B7A5C" w:rsidRPr="004676F5">
        <w:rPr>
          <w:lang w:val="de-DE"/>
        </w:rPr>
        <w:t>- </w:t>
      </w:r>
      <w:r w:rsidR="00F94546" w:rsidRPr="004676F5">
        <w:rPr>
          <w:lang w:val="de-DE"/>
        </w:rPr>
        <w:t>An Orten, an denen gewöhnlich Messungen wie in Artikel VIII.43 § 1 oder aufgrund von Artikel VIII.43 §§ 3 und 4 bestimmt durchgeführt werden, verfügen Personen, die diese Messungen durchführen, vor Ort ständig über geeichte Messinstrumente in ausreichender Zahl, mit denen vorerwähnte Messungen durchgeführt werden können.</w:t>
      </w:r>
    </w:p>
    <w:p w14:paraId="5D2311E8" w14:textId="77777777" w:rsidR="00F94546" w:rsidRPr="004676F5" w:rsidRDefault="00F94546" w:rsidP="00F94546">
      <w:pPr>
        <w:jc w:val="both"/>
        <w:rPr>
          <w:lang w:val="de-DE"/>
        </w:rPr>
      </w:pPr>
    </w:p>
    <w:p w14:paraId="2572EB91" w14:textId="77777777" w:rsidR="00F94546" w:rsidRPr="004676F5" w:rsidRDefault="00F94546" w:rsidP="00F94546">
      <w:pPr>
        <w:jc w:val="both"/>
        <w:rPr>
          <w:lang w:val="de-DE"/>
        </w:rPr>
      </w:pPr>
    </w:p>
    <w:p w14:paraId="44C3DDEF" w14:textId="3A1CA54B" w:rsidR="00F94546" w:rsidRPr="004676F5" w:rsidRDefault="00BE0A56" w:rsidP="00F94546">
      <w:pPr>
        <w:ind w:firstLine="708"/>
        <w:jc w:val="both"/>
        <w:rPr>
          <w:lang w:val="de-DE"/>
        </w:rPr>
      </w:pPr>
      <w:r w:rsidRPr="004676F5">
        <w:rPr>
          <w:b/>
          <w:lang w:val="de-DE"/>
        </w:rPr>
        <w:lastRenderedPageBreak/>
        <w:t>Art. </w:t>
      </w:r>
      <w:r w:rsidR="00F94546" w:rsidRPr="004676F5">
        <w:rPr>
          <w:b/>
          <w:lang w:val="de-DE"/>
        </w:rPr>
        <w:t>VIII.46</w:t>
      </w:r>
      <w:r w:rsidR="00F94546" w:rsidRPr="004676F5">
        <w:rPr>
          <w:lang w:val="de-DE"/>
        </w:rPr>
        <w:t> </w:t>
      </w:r>
      <w:r w:rsidR="005B7A5C" w:rsidRPr="004676F5">
        <w:rPr>
          <w:lang w:val="de-DE"/>
        </w:rPr>
        <w:t>- </w:t>
      </w:r>
      <w:r w:rsidR="00F94546" w:rsidRPr="004676F5">
        <w:rPr>
          <w:lang w:val="de-DE"/>
        </w:rPr>
        <w:t>§ 1 </w:t>
      </w:r>
      <w:r w:rsidR="005B7A5C" w:rsidRPr="004676F5">
        <w:rPr>
          <w:lang w:val="de-DE"/>
        </w:rPr>
        <w:t>- </w:t>
      </w:r>
      <w:r w:rsidR="00F94546" w:rsidRPr="004676F5">
        <w:rPr>
          <w:lang w:val="de-DE"/>
        </w:rPr>
        <w:t>Messinstrumente, mit denen Messungen wie in Artikel VIII.43 bestimmt durchgeführt werden sollen, geben die Messresultate in gesetzlichen Maßeinheiten an.</w:t>
      </w:r>
    </w:p>
    <w:p w14:paraId="292605DF" w14:textId="77777777" w:rsidR="00F94546" w:rsidRPr="004676F5" w:rsidRDefault="00F94546" w:rsidP="00F94546">
      <w:pPr>
        <w:jc w:val="both"/>
        <w:rPr>
          <w:lang w:val="de-DE"/>
        </w:rPr>
      </w:pPr>
    </w:p>
    <w:p w14:paraId="32BC1301" w14:textId="64CBA538" w:rsidR="00F94546" w:rsidRPr="004676F5" w:rsidRDefault="00F94546" w:rsidP="00F94546">
      <w:pPr>
        <w:ind w:firstLine="708"/>
        <w:jc w:val="both"/>
        <w:rPr>
          <w:lang w:val="de-DE"/>
        </w:rPr>
      </w:pPr>
      <w:r w:rsidRPr="004676F5">
        <w:rPr>
          <w:lang w:val="de-DE"/>
        </w:rPr>
        <w:t>§ 2 </w:t>
      </w:r>
      <w:r w:rsidR="005B7A5C" w:rsidRPr="004676F5">
        <w:rPr>
          <w:lang w:val="de-DE"/>
        </w:rPr>
        <w:t>- </w:t>
      </w:r>
      <w:r w:rsidRPr="004676F5">
        <w:rPr>
          <w:lang w:val="de-DE"/>
        </w:rPr>
        <w:t>Der König legt Vorschriften in Bezug auf andere Bedingungen fest, denen in § 1 erwähnte Messinstrumente genügen müssen, und in Bezug auf ihre Zusammensetzung und ihre Messeigenschaften.</w:t>
      </w:r>
    </w:p>
    <w:p w14:paraId="7431E2C7" w14:textId="77777777" w:rsidR="00F94546" w:rsidRPr="004676F5" w:rsidRDefault="00F94546" w:rsidP="00F94546">
      <w:pPr>
        <w:jc w:val="both"/>
        <w:rPr>
          <w:lang w:val="de-DE"/>
        </w:rPr>
      </w:pPr>
    </w:p>
    <w:p w14:paraId="38D5EF32" w14:textId="77777777" w:rsidR="00F94546" w:rsidRPr="004676F5" w:rsidRDefault="00F94546" w:rsidP="00F94546">
      <w:pPr>
        <w:jc w:val="both"/>
        <w:rPr>
          <w:lang w:val="de-DE"/>
        </w:rPr>
      </w:pPr>
    </w:p>
    <w:p w14:paraId="0246113B" w14:textId="31DFE24C" w:rsidR="00F94546" w:rsidRPr="004676F5" w:rsidRDefault="00F94546" w:rsidP="00F94546">
      <w:pPr>
        <w:jc w:val="center"/>
        <w:rPr>
          <w:lang w:val="de-DE"/>
        </w:rPr>
      </w:pPr>
      <w:r w:rsidRPr="004676F5">
        <w:rPr>
          <w:i/>
          <w:lang w:val="de-DE"/>
        </w:rPr>
        <w:t>Abschnitt 2 </w:t>
      </w:r>
      <w:r w:rsidR="005B7A5C" w:rsidRPr="004676F5">
        <w:rPr>
          <w:lang w:val="de-DE"/>
        </w:rPr>
        <w:t>- </w:t>
      </w:r>
      <w:r w:rsidRPr="004676F5">
        <w:rPr>
          <w:lang w:val="de-DE"/>
        </w:rPr>
        <w:t>Eichung von Messinstrumenten</w:t>
      </w:r>
    </w:p>
    <w:p w14:paraId="550FC386" w14:textId="77777777" w:rsidR="00F94546" w:rsidRPr="004676F5" w:rsidRDefault="00F94546" w:rsidP="00F94546">
      <w:pPr>
        <w:jc w:val="both"/>
        <w:rPr>
          <w:lang w:val="de-DE"/>
        </w:rPr>
      </w:pPr>
    </w:p>
    <w:p w14:paraId="58CCC346" w14:textId="77777777" w:rsidR="00F94546" w:rsidRPr="004676F5" w:rsidRDefault="00F94546" w:rsidP="00F94546">
      <w:pPr>
        <w:jc w:val="both"/>
        <w:rPr>
          <w:lang w:val="de-DE"/>
        </w:rPr>
      </w:pPr>
    </w:p>
    <w:p w14:paraId="426C2BDF" w14:textId="1B94345A" w:rsidR="00F94546" w:rsidRPr="004676F5" w:rsidRDefault="00BE0A56" w:rsidP="00F94546">
      <w:pPr>
        <w:ind w:firstLine="708"/>
        <w:jc w:val="both"/>
        <w:rPr>
          <w:lang w:val="de-DE"/>
        </w:rPr>
      </w:pPr>
      <w:r w:rsidRPr="004676F5">
        <w:rPr>
          <w:b/>
          <w:lang w:val="de-DE"/>
        </w:rPr>
        <w:t>Art. </w:t>
      </w:r>
      <w:r w:rsidR="00F94546" w:rsidRPr="004676F5">
        <w:rPr>
          <w:b/>
          <w:lang w:val="de-DE"/>
        </w:rPr>
        <w:t>VIII.47</w:t>
      </w:r>
      <w:r w:rsidR="00F94546" w:rsidRPr="004676F5">
        <w:rPr>
          <w:lang w:val="de-DE"/>
        </w:rPr>
        <w:t> </w:t>
      </w:r>
      <w:r w:rsidR="005B7A5C" w:rsidRPr="004676F5">
        <w:rPr>
          <w:lang w:val="de-DE"/>
        </w:rPr>
        <w:t>- </w:t>
      </w:r>
      <w:r w:rsidR="00F94546" w:rsidRPr="004676F5">
        <w:rPr>
          <w:lang w:val="de-DE"/>
        </w:rPr>
        <w:t>Eichung von Messinstrumenten umfasst:</w:t>
      </w:r>
    </w:p>
    <w:p w14:paraId="4ADBE2E0" w14:textId="77777777" w:rsidR="00F94546" w:rsidRPr="004676F5" w:rsidRDefault="00F94546" w:rsidP="00F94546">
      <w:pPr>
        <w:jc w:val="both"/>
        <w:rPr>
          <w:lang w:val="de-DE"/>
        </w:rPr>
      </w:pPr>
    </w:p>
    <w:p w14:paraId="709B958C" w14:textId="77777777" w:rsidR="00F94546" w:rsidRPr="004676F5" w:rsidRDefault="00F94546" w:rsidP="00F94546">
      <w:pPr>
        <w:ind w:firstLine="708"/>
        <w:jc w:val="both"/>
        <w:rPr>
          <w:lang w:val="de-DE"/>
        </w:rPr>
      </w:pPr>
      <w:r w:rsidRPr="004676F5">
        <w:rPr>
          <w:lang w:val="de-DE"/>
        </w:rPr>
        <w:t>1. Untersuchung eines Modells im Hinblick auf seine Zulassung,</w:t>
      </w:r>
    </w:p>
    <w:p w14:paraId="1BC50476" w14:textId="77777777" w:rsidR="00F94546" w:rsidRPr="004676F5" w:rsidRDefault="00F94546" w:rsidP="00F94546">
      <w:pPr>
        <w:jc w:val="both"/>
        <w:rPr>
          <w:lang w:val="de-DE"/>
        </w:rPr>
      </w:pPr>
    </w:p>
    <w:p w14:paraId="7048EC38" w14:textId="77777777" w:rsidR="00F94546" w:rsidRPr="004676F5" w:rsidRDefault="00F94546" w:rsidP="00F94546">
      <w:pPr>
        <w:ind w:firstLine="708"/>
        <w:jc w:val="both"/>
        <w:rPr>
          <w:lang w:val="de-DE"/>
        </w:rPr>
      </w:pPr>
      <w:r w:rsidRPr="004676F5">
        <w:rPr>
          <w:lang w:val="de-DE"/>
        </w:rPr>
        <w:t>2. Ersteichung,</w:t>
      </w:r>
    </w:p>
    <w:p w14:paraId="389B19E1" w14:textId="77777777" w:rsidR="00F94546" w:rsidRPr="004676F5" w:rsidRDefault="00F94546" w:rsidP="00F94546">
      <w:pPr>
        <w:jc w:val="both"/>
        <w:rPr>
          <w:lang w:val="de-DE"/>
        </w:rPr>
      </w:pPr>
    </w:p>
    <w:p w14:paraId="313C9831" w14:textId="77777777" w:rsidR="00F94546" w:rsidRPr="004676F5" w:rsidRDefault="00F94546" w:rsidP="00F94546">
      <w:pPr>
        <w:ind w:firstLine="708"/>
        <w:jc w:val="both"/>
        <w:rPr>
          <w:lang w:val="de-DE"/>
        </w:rPr>
      </w:pPr>
      <w:r w:rsidRPr="004676F5">
        <w:rPr>
          <w:lang w:val="de-DE"/>
        </w:rPr>
        <w:t>3. Nacheichung.</w:t>
      </w:r>
    </w:p>
    <w:p w14:paraId="7CA76644" w14:textId="77777777" w:rsidR="00F94546" w:rsidRPr="004676F5" w:rsidRDefault="00F94546" w:rsidP="00F94546">
      <w:pPr>
        <w:jc w:val="both"/>
        <w:rPr>
          <w:lang w:val="de-DE"/>
        </w:rPr>
      </w:pPr>
    </w:p>
    <w:p w14:paraId="3D0B3012" w14:textId="77777777" w:rsidR="00F94546" w:rsidRPr="004676F5" w:rsidRDefault="00F94546" w:rsidP="00F94546">
      <w:pPr>
        <w:ind w:firstLine="708"/>
        <w:jc w:val="both"/>
        <w:rPr>
          <w:lang w:val="de-DE"/>
        </w:rPr>
      </w:pPr>
      <w:r w:rsidRPr="004676F5">
        <w:rPr>
          <w:lang w:val="de-DE"/>
        </w:rPr>
        <w:t>Diese Vorgänge werden durch Anbringen von Eichstempeln beziehungsweise -zeichen oder Ausstellen von Bescheinigungen nachgewiesen.</w:t>
      </w:r>
    </w:p>
    <w:p w14:paraId="713FF5A2" w14:textId="77777777" w:rsidR="00F94546" w:rsidRPr="004676F5" w:rsidRDefault="00F94546" w:rsidP="00F94546">
      <w:pPr>
        <w:jc w:val="both"/>
        <w:rPr>
          <w:lang w:val="de-DE"/>
        </w:rPr>
      </w:pPr>
    </w:p>
    <w:p w14:paraId="3DBF328D" w14:textId="77777777" w:rsidR="00F94546" w:rsidRPr="004676F5" w:rsidRDefault="00F94546" w:rsidP="00F94546">
      <w:pPr>
        <w:ind w:firstLine="708"/>
        <w:jc w:val="both"/>
        <w:rPr>
          <w:lang w:val="de-DE"/>
        </w:rPr>
      </w:pPr>
      <w:r w:rsidRPr="004676F5">
        <w:rPr>
          <w:lang w:val="de-DE"/>
        </w:rPr>
        <w:t>Der König kann andere Eichvorgänge bestimmen.</w:t>
      </w:r>
    </w:p>
    <w:p w14:paraId="6B0317DF" w14:textId="77777777" w:rsidR="00F94546" w:rsidRPr="004676F5" w:rsidRDefault="00F94546" w:rsidP="00F94546">
      <w:pPr>
        <w:jc w:val="both"/>
        <w:rPr>
          <w:lang w:val="de-DE"/>
        </w:rPr>
      </w:pPr>
    </w:p>
    <w:p w14:paraId="70B7BF3E" w14:textId="77777777" w:rsidR="00F94546" w:rsidRPr="004676F5" w:rsidRDefault="00F94546" w:rsidP="00F94546">
      <w:pPr>
        <w:jc w:val="both"/>
        <w:rPr>
          <w:lang w:val="de-DE"/>
        </w:rPr>
      </w:pPr>
    </w:p>
    <w:p w14:paraId="5430A9D4" w14:textId="33BFB5EF" w:rsidR="00F94546" w:rsidRPr="004676F5" w:rsidRDefault="00BE0A56" w:rsidP="00F94546">
      <w:pPr>
        <w:ind w:firstLine="708"/>
        <w:jc w:val="both"/>
        <w:rPr>
          <w:lang w:val="de-DE"/>
        </w:rPr>
      </w:pPr>
      <w:r w:rsidRPr="004676F5">
        <w:rPr>
          <w:b/>
          <w:lang w:val="de-DE"/>
        </w:rPr>
        <w:t>Art. </w:t>
      </w:r>
      <w:r w:rsidR="00F94546" w:rsidRPr="004676F5">
        <w:rPr>
          <w:b/>
          <w:lang w:val="de-DE"/>
        </w:rPr>
        <w:t>VIII.48</w:t>
      </w:r>
      <w:r w:rsidR="00F94546" w:rsidRPr="004676F5">
        <w:rPr>
          <w:lang w:val="de-DE"/>
        </w:rPr>
        <w:t> </w:t>
      </w:r>
      <w:r w:rsidR="005B7A5C" w:rsidRPr="004676F5">
        <w:rPr>
          <w:lang w:val="de-DE"/>
        </w:rPr>
        <w:t>- </w:t>
      </w:r>
      <w:r w:rsidR="00F94546" w:rsidRPr="004676F5">
        <w:rPr>
          <w:lang w:val="de-DE"/>
        </w:rPr>
        <w:t>Damit ein Modell zugelassen werden kann, muss es derart gebaut sein, dass Messinstrumente, die nach diesem Modell hergestellt werden, den Vorschriften für diese Instrumente nach Artikel VIII.46 genügen.</w:t>
      </w:r>
    </w:p>
    <w:p w14:paraId="69F0110A" w14:textId="77777777" w:rsidR="00F94546" w:rsidRPr="004676F5" w:rsidRDefault="00F94546" w:rsidP="00F94546">
      <w:pPr>
        <w:jc w:val="both"/>
        <w:rPr>
          <w:lang w:val="de-DE"/>
        </w:rPr>
      </w:pPr>
    </w:p>
    <w:p w14:paraId="39CAA378" w14:textId="77777777" w:rsidR="00F94546" w:rsidRPr="004676F5" w:rsidRDefault="00F94546" w:rsidP="00F94546">
      <w:pPr>
        <w:ind w:firstLine="708"/>
        <w:jc w:val="both"/>
        <w:rPr>
          <w:lang w:val="de-DE"/>
        </w:rPr>
      </w:pPr>
      <w:r w:rsidRPr="004676F5">
        <w:rPr>
          <w:lang w:val="de-DE"/>
        </w:rPr>
        <w:t>Wird ein Modell zugelassen, wird dem Antragsteller eine Zulassungsbescheinigung ausgestellt. Auch wird ihm ein Modellzulassungszeichen zugeteilt, wenn entsprechende Messinstrumente nicht von der Ersteichung befreit sind, oder werden ihm Modellzulassungsstempel ausgeliefert, wenn entsprechende Messinstrumente von der Ersteichung befreit sind.</w:t>
      </w:r>
    </w:p>
    <w:p w14:paraId="2DEE0F95" w14:textId="77777777" w:rsidR="00F94546" w:rsidRPr="004676F5" w:rsidRDefault="00F94546" w:rsidP="00F94546">
      <w:pPr>
        <w:jc w:val="both"/>
        <w:rPr>
          <w:lang w:val="de-DE"/>
        </w:rPr>
      </w:pPr>
    </w:p>
    <w:p w14:paraId="20D88A91" w14:textId="77777777" w:rsidR="00F94546" w:rsidRPr="004676F5" w:rsidRDefault="00F94546" w:rsidP="00F94546">
      <w:pPr>
        <w:ind w:firstLine="708"/>
        <w:jc w:val="both"/>
        <w:rPr>
          <w:lang w:val="de-DE"/>
        </w:rPr>
      </w:pPr>
      <w:r w:rsidRPr="004676F5">
        <w:rPr>
          <w:lang w:val="de-DE"/>
        </w:rPr>
        <w:t>Die Person, auf deren Namen die in vorhergehendem Absatz erwähnte Zulassungsbescheinigung ausgestellt wird, ist unter Ausschluss anderer Personen ermächtigt, das zugeteilte Zeichen oder die abgelieferten Stempel auf Messinstrumenten anzubringen, und zwar ausschließlich auf Messinstrumenten, die nach dem Modell hergestellt worden sind, das dem Zeichen beziehungsweise dem Stempel zugrunde liegt.</w:t>
      </w:r>
    </w:p>
    <w:p w14:paraId="2E48A26F" w14:textId="77777777" w:rsidR="00F94546" w:rsidRPr="004676F5" w:rsidRDefault="00F94546" w:rsidP="00F94546">
      <w:pPr>
        <w:jc w:val="both"/>
        <w:rPr>
          <w:lang w:val="de-DE"/>
        </w:rPr>
      </w:pPr>
    </w:p>
    <w:p w14:paraId="338C5A49" w14:textId="77777777" w:rsidR="00F94546" w:rsidRPr="004676F5" w:rsidRDefault="00F94546" w:rsidP="00F94546">
      <w:pPr>
        <w:jc w:val="both"/>
        <w:rPr>
          <w:lang w:val="de-DE"/>
        </w:rPr>
      </w:pPr>
    </w:p>
    <w:p w14:paraId="2A7073D2" w14:textId="696CF37B" w:rsidR="00F94546" w:rsidRPr="004676F5" w:rsidRDefault="00BE0A56" w:rsidP="00F94546">
      <w:pPr>
        <w:ind w:firstLine="708"/>
        <w:jc w:val="both"/>
        <w:rPr>
          <w:lang w:val="de-DE"/>
        </w:rPr>
      </w:pPr>
      <w:r w:rsidRPr="004676F5">
        <w:rPr>
          <w:b/>
          <w:lang w:val="de-DE"/>
        </w:rPr>
        <w:t>Art. </w:t>
      </w:r>
      <w:r w:rsidR="00F94546" w:rsidRPr="004676F5">
        <w:rPr>
          <w:b/>
          <w:lang w:val="de-DE"/>
        </w:rPr>
        <w:t>VIII.49</w:t>
      </w:r>
      <w:r w:rsidR="00F94546" w:rsidRPr="004676F5">
        <w:rPr>
          <w:lang w:val="de-DE"/>
        </w:rPr>
        <w:t> </w:t>
      </w:r>
      <w:r w:rsidR="005B7A5C" w:rsidRPr="004676F5">
        <w:rPr>
          <w:lang w:val="de-DE"/>
        </w:rPr>
        <w:t>- </w:t>
      </w:r>
      <w:r w:rsidR="00F94546" w:rsidRPr="004676F5">
        <w:rPr>
          <w:lang w:val="de-DE"/>
        </w:rPr>
        <w:t>Die Ersteichung besteht in der Untersuchung der Konformität des vorgelegten Messinstruments mit den gesetzlichen Anforderungen. Bei positivem Ergebnis werden ein oder mehrere Eichstempel auf dem Instrument angebracht oder wird eine Eichbescheinigung ausgestellt.</w:t>
      </w:r>
    </w:p>
    <w:p w14:paraId="3717F5D6" w14:textId="77777777" w:rsidR="00F94546" w:rsidRPr="004676F5" w:rsidRDefault="00F94546" w:rsidP="00F94546">
      <w:pPr>
        <w:jc w:val="both"/>
        <w:rPr>
          <w:lang w:val="de-DE"/>
        </w:rPr>
      </w:pPr>
    </w:p>
    <w:p w14:paraId="2D3EF593" w14:textId="77777777" w:rsidR="00F94546" w:rsidRPr="004676F5" w:rsidRDefault="00F94546" w:rsidP="00F94546">
      <w:pPr>
        <w:jc w:val="both"/>
        <w:rPr>
          <w:lang w:val="de-DE"/>
        </w:rPr>
      </w:pPr>
    </w:p>
    <w:p w14:paraId="635FD248" w14:textId="200B37BB" w:rsidR="00F94546" w:rsidRPr="004676F5" w:rsidRDefault="00BE0A56" w:rsidP="00F94546">
      <w:pPr>
        <w:ind w:firstLine="708"/>
        <w:jc w:val="both"/>
        <w:rPr>
          <w:lang w:val="de-DE"/>
        </w:rPr>
      </w:pPr>
      <w:r w:rsidRPr="004676F5">
        <w:rPr>
          <w:b/>
          <w:lang w:val="de-DE"/>
        </w:rPr>
        <w:t>Art. </w:t>
      </w:r>
      <w:r w:rsidR="00F94546" w:rsidRPr="004676F5">
        <w:rPr>
          <w:b/>
          <w:lang w:val="de-DE"/>
        </w:rPr>
        <w:t>VIII.50</w:t>
      </w:r>
      <w:r w:rsidR="00F94546" w:rsidRPr="004676F5">
        <w:rPr>
          <w:lang w:val="de-DE"/>
        </w:rPr>
        <w:t> </w:t>
      </w:r>
      <w:r w:rsidR="005B7A5C" w:rsidRPr="004676F5">
        <w:rPr>
          <w:lang w:val="de-DE"/>
        </w:rPr>
        <w:t>- </w:t>
      </w:r>
      <w:r w:rsidR="00F94546" w:rsidRPr="004676F5">
        <w:rPr>
          <w:lang w:val="de-DE"/>
        </w:rPr>
        <w:t xml:space="preserve">Die Nacheichung besteht in der Untersuchung, ob ein bereits im Rahmen der Ersteichung untersuchtes Instrument weiter den gesetzlichen Anforderungen genügt. Bei </w:t>
      </w:r>
      <w:r w:rsidR="00F94546" w:rsidRPr="004676F5">
        <w:rPr>
          <w:lang w:val="de-DE"/>
        </w:rPr>
        <w:lastRenderedPageBreak/>
        <w:t>positivem Ergebnis werden ein oder mehrere Eichstempel auf dem Instrument angebracht oder wird eine Eichbescheinigung ausgestellt.</w:t>
      </w:r>
    </w:p>
    <w:p w14:paraId="6E12F1BD" w14:textId="77777777" w:rsidR="00F94546" w:rsidRPr="004676F5" w:rsidRDefault="00F94546" w:rsidP="00F94546">
      <w:pPr>
        <w:jc w:val="both"/>
        <w:rPr>
          <w:lang w:val="de-DE"/>
        </w:rPr>
      </w:pPr>
    </w:p>
    <w:p w14:paraId="67D0DAD7" w14:textId="77777777" w:rsidR="00F94546" w:rsidRPr="004676F5" w:rsidRDefault="00F94546" w:rsidP="00F94546">
      <w:pPr>
        <w:ind w:firstLine="708"/>
        <w:jc w:val="both"/>
        <w:rPr>
          <w:lang w:val="de-DE"/>
        </w:rPr>
      </w:pPr>
    </w:p>
    <w:p w14:paraId="52685B9F" w14:textId="7E1D2DEF" w:rsidR="00F94546" w:rsidRPr="004676F5" w:rsidRDefault="00BE0A56" w:rsidP="00F94546">
      <w:pPr>
        <w:ind w:firstLine="708"/>
        <w:jc w:val="both"/>
        <w:rPr>
          <w:lang w:val="de-DE"/>
        </w:rPr>
      </w:pPr>
      <w:r w:rsidRPr="004676F5">
        <w:rPr>
          <w:b/>
          <w:lang w:val="de-DE"/>
        </w:rPr>
        <w:t>Art. </w:t>
      </w:r>
      <w:r w:rsidR="00F94546" w:rsidRPr="004676F5">
        <w:rPr>
          <w:b/>
          <w:lang w:val="de-DE"/>
        </w:rPr>
        <w:t>VIII.51</w:t>
      </w:r>
      <w:r w:rsidR="00F94546" w:rsidRPr="004676F5">
        <w:rPr>
          <w:lang w:val="de-DE"/>
        </w:rPr>
        <w:t> </w:t>
      </w:r>
      <w:r w:rsidR="005B7A5C" w:rsidRPr="004676F5">
        <w:rPr>
          <w:lang w:val="de-DE"/>
        </w:rPr>
        <w:t>- </w:t>
      </w:r>
      <w:r w:rsidR="00F94546" w:rsidRPr="004676F5">
        <w:rPr>
          <w:lang w:val="de-DE"/>
        </w:rPr>
        <w:t>In Fällen und unter Bedingungen, die der König bestimmt, kann der König Messinstrumente von der Untersuchung eines Modells im Hinblick auf seine Zulassung, von der Ersteichung und der Nacheichung oder von der Nacheichung befreien.</w:t>
      </w:r>
    </w:p>
    <w:p w14:paraId="088FC3B9" w14:textId="77777777" w:rsidR="00F94546" w:rsidRPr="004676F5" w:rsidRDefault="00F94546" w:rsidP="00F94546">
      <w:pPr>
        <w:jc w:val="both"/>
        <w:rPr>
          <w:lang w:val="de-DE"/>
        </w:rPr>
      </w:pPr>
    </w:p>
    <w:p w14:paraId="0E544556" w14:textId="77777777" w:rsidR="00F94546" w:rsidRPr="004676F5" w:rsidRDefault="00F94546" w:rsidP="00F94546">
      <w:pPr>
        <w:jc w:val="both"/>
        <w:rPr>
          <w:lang w:val="de-DE"/>
        </w:rPr>
      </w:pPr>
    </w:p>
    <w:p w14:paraId="51F49F66" w14:textId="5B982FCF" w:rsidR="00F94546" w:rsidRPr="004676F5" w:rsidRDefault="00BE0A56" w:rsidP="00F94546">
      <w:pPr>
        <w:ind w:firstLine="708"/>
        <w:jc w:val="both"/>
        <w:rPr>
          <w:lang w:val="de-DE"/>
        </w:rPr>
      </w:pPr>
      <w:r w:rsidRPr="004676F5">
        <w:rPr>
          <w:b/>
          <w:lang w:val="de-DE"/>
        </w:rPr>
        <w:t>Art. </w:t>
      </w:r>
      <w:r w:rsidR="00F94546" w:rsidRPr="004676F5">
        <w:rPr>
          <w:b/>
          <w:lang w:val="de-DE"/>
        </w:rPr>
        <w:t>VIII.52</w:t>
      </w:r>
      <w:r w:rsidR="00F94546" w:rsidRPr="004676F5">
        <w:rPr>
          <w:lang w:val="de-DE"/>
        </w:rPr>
        <w:t> </w:t>
      </w:r>
      <w:r w:rsidR="005B7A5C" w:rsidRPr="004676F5">
        <w:rPr>
          <w:lang w:val="de-DE"/>
        </w:rPr>
        <w:t>- </w:t>
      </w:r>
      <w:r w:rsidR="00F94546" w:rsidRPr="004676F5">
        <w:rPr>
          <w:lang w:val="de-DE"/>
        </w:rPr>
        <w:t>Der König kann Messinstrumente einer technischen Kontrolle unterwerfen, damit überprüft wird, ob sie den gesetzlichen Anforderungen genügen oder in gutem Betriebszustand sind. Bei positivem Ergebnis werden ein oder mehrere Zulassungszeichen auf dem Instrument angebracht oder wird eine Bescheinigung ausgestellt.</w:t>
      </w:r>
    </w:p>
    <w:p w14:paraId="3093FDDF" w14:textId="77777777" w:rsidR="00F94546" w:rsidRPr="004676F5" w:rsidRDefault="00F94546" w:rsidP="00F94546">
      <w:pPr>
        <w:jc w:val="both"/>
        <w:rPr>
          <w:lang w:val="de-DE"/>
        </w:rPr>
      </w:pPr>
    </w:p>
    <w:p w14:paraId="387F2A7B" w14:textId="77777777" w:rsidR="00F94546" w:rsidRPr="004676F5" w:rsidRDefault="00F94546" w:rsidP="00F94546">
      <w:pPr>
        <w:jc w:val="both"/>
        <w:rPr>
          <w:lang w:val="de-DE"/>
        </w:rPr>
      </w:pPr>
    </w:p>
    <w:p w14:paraId="018D7BB1" w14:textId="39EE5BF4" w:rsidR="00F94546" w:rsidRPr="004676F5" w:rsidRDefault="00BE0A56" w:rsidP="00F94546">
      <w:pPr>
        <w:ind w:firstLine="708"/>
        <w:jc w:val="both"/>
        <w:rPr>
          <w:lang w:val="de-DE"/>
        </w:rPr>
      </w:pPr>
      <w:r w:rsidRPr="004676F5">
        <w:rPr>
          <w:b/>
          <w:lang w:val="de-DE"/>
        </w:rPr>
        <w:t>Art. </w:t>
      </w:r>
      <w:r w:rsidR="00F94546" w:rsidRPr="004676F5">
        <w:rPr>
          <w:b/>
          <w:lang w:val="de-DE"/>
        </w:rPr>
        <w:t>VIII.53</w:t>
      </w:r>
      <w:r w:rsidR="00F94546" w:rsidRPr="004676F5">
        <w:rPr>
          <w:lang w:val="de-DE"/>
        </w:rPr>
        <w:t> </w:t>
      </w:r>
      <w:r w:rsidR="005B7A5C" w:rsidRPr="004676F5">
        <w:rPr>
          <w:lang w:val="de-DE"/>
        </w:rPr>
        <w:t>- </w:t>
      </w:r>
      <w:r w:rsidR="00F94546" w:rsidRPr="004676F5">
        <w:rPr>
          <w:lang w:val="de-DE"/>
        </w:rPr>
        <w:t>§ 1 </w:t>
      </w:r>
      <w:r w:rsidR="005B7A5C" w:rsidRPr="004676F5">
        <w:rPr>
          <w:lang w:val="de-DE"/>
        </w:rPr>
        <w:t>- </w:t>
      </w:r>
      <w:r w:rsidR="00F94546" w:rsidRPr="004676F5">
        <w:rPr>
          <w:lang w:val="de-DE"/>
        </w:rPr>
        <w:t>Der König legt Regeln für Modellzulassung, Ersteichung, Nacheichung und technische Kontrolle fest. Er legt das Muster der Stempel und Bescheinigungen fest.</w:t>
      </w:r>
    </w:p>
    <w:p w14:paraId="2BCEE1F6" w14:textId="77777777" w:rsidR="00F94546" w:rsidRPr="004676F5" w:rsidRDefault="00F94546" w:rsidP="00F94546">
      <w:pPr>
        <w:ind w:firstLine="708"/>
        <w:jc w:val="both"/>
        <w:rPr>
          <w:lang w:val="de-DE"/>
        </w:rPr>
      </w:pPr>
    </w:p>
    <w:p w14:paraId="3ABF57BC" w14:textId="2A4BCA91" w:rsidR="00F94546" w:rsidRPr="004676F5" w:rsidRDefault="00F94546" w:rsidP="00F94546">
      <w:pPr>
        <w:ind w:firstLine="708"/>
        <w:jc w:val="both"/>
        <w:rPr>
          <w:lang w:val="de-DE"/>
        </w:rPr>
      </w:pPr>
      <w:r w:rsidRPr="004676F5">
        <w:rPr>
          <w:lang w:val="de-DE"/>
        </w:rPr>
        <w:t>§ 2 </w:t>
      </w:r>
      <w:r w:rsidR="005B7A5C" w:rsidRPr="004676F5">
        <w:rPr>
          <w:lang w:val="de-DE"/>
        </w:rPr>
        <w:t>- </w:t>
      </w:r>
      <w:r w:rsidRPr="004676F5">
        <w:rPr>
          <w:lang w:val="de-DE"/>
        </w:rPr>
        <w:t>Der König legt fest, welche Hilfsmittel und welche Mitarbeit der Interessehabende bei der Eichung liefern muss.</w:t>
      </w:r>
    </w:p>
    <w:p w14:paraId="5995A392" w14:textId="77777777" w:rsidR="00F94546" w:rsidRPr="004676F5" w:rsidRDefault="00F94546" w:rsidP="00F94546">
      <w:pPr>
        <w:jc w:val="both"/>
        <w:rPr>
          <w:lang w:val="de-DE"/>
        </w:rPr>
      </w:pPr>
    </w:p>
    <w:p w14:paraId="5CB0F925" w14:textId="760751BF" w:rsidR="00F94546" w:rsidRPr="004676F5" w:rsidRDefault="00F94546" w:rsidP="00F94546">
      <w:pPr>
        <w:ind w:firstLine="708"/>
        <w:jc w:val="both"/>
        <w:rPr>
          <w:lang w:val="de-DE"/>
        </w:rPr>
      </w:pPr>
      <w:r w:rsidRPr="004676F5">
        <w:rPr>
          <w:lang w:val="de-DE"/>
        </w:rPr>
        <w:t>§ 3 </w:t>
      </w:r>
      <w:r w:rsidR="005B7A5C" w:rsidRPr="004676F5">
        <w:rPr>
          <w:lang w:val="de-DE"/>
        </w:rPr>
        <w:t>- </w:t>
      </w:r>
      <w:r w:rsidRPr="004676F5">
        <w:rPr>
          <w:lang w:val="de-DE"/>
        </w:rPr>
        <w:t>Der König kann bestimmen, dass unter den von Ihm festgelegten Bedingungen Messinstrumente aus Mitgliedstaaten der Europäischen Union für die Anwendung des vorliegenden Titels als geeicht angesehen werden können, wenn sie den gesetzlichen Bestimmungen des betreffenden Mitgliedstaats oder Richtlinien der Europäischen Union genügen und darüber hinaus mit gültigen Stempeln oder Zeichen versehen sind, die vom betreffenden Mitgliedstaat auferlegt beziehungsweise in den Richtlinien vorgesehen sind.</w:t>
      </w:r>
    </w:p>
    <w:p w14:paraId="0C52E9DE" w14:textId="77777777" w:rsidR="00F94546" w:rsidRPr="004676F5" w:rsidRDefault="00F94546" w:rsidP="00F94546">
      <w:pPr>
        <w:jc w:val="both"/>
        <w:rPr>
          <w:lang w:val="de-DE"/>
        </w:rPr>
      </w:pPr>
    </w:p>
    <w:p w14:paraId="63E2B2ED" w14:textId="77777777" w:rsidR="00F94546" w:rsidRPr="004676F5" w:rsidRDefault="00F94546" w:rsidP="00F94546">
      <w:pPr>
        <w:jc w:val="both"/>
        <w:rPr>
          <w:lang w:val="de-DE"/>
        </w:rPr>
      </w:pPr>
    </w:p>
    <w:p w14:paraId="0AF720AB" w14:textId="269BE34C" w:rsidR="00F94546" w:rsidRPr="004676F5" w:rsidRDefault="00BE0A56" w:rsidP="00F94546">
      <w:pPr>
        <w:ind w:firstLine="708"/>
        <w:jc w:val="both"/>
        <w:rPr>
          <w:lang w:val="de-DE"/>
        </w:rPr>
      </w:pPr>
      <w:r w:rsidRPr="004676F5">
        <w:rPr>
          <w:b/>
          <w:lang w:val="de-DE"/>
        </w:rPr>
        <w:t>Art. </w:t>
      </w:r>
      <w:r w:rsidR="00F94546" w:rsidRPr="004676F5">
        <w:rPr>
          <w:b/>
          <w:lang w:val="de-DE"/>
        </w:rPr>
        <w:t>VIII.54</w:t>
      </w:r>
      <w:r w:rsidR="00F94546" w:rsidRPr="004676F5">
        <w:rPr>
          <w:lang w:val="de-DE"/>
        </w:rPr>
        <w:t> </w:t>
      </w:r>
      <w:r w:rsidR="005B7A5C" w:rsidRPr="004676F5">
        <w:rPr>
          <w:lang w:val="de-DE"/>
        </w:rPr>
        <w:t>- </w:t>
      </w:r>
      <w:r w:rsidR="00F94546" w:rsidRPr="004676F5">
        <w:rPr>
          <w:lang w:val="de-DE"/>
        </w:rPr>
        <w:t>Für Modellzulassung, Auslieferung von Modellzulassungsstempeln, Ersteichung und Nacheichung kann eine Eichgebühr erhoben werden. Der König bestimmt die Höhe der Eichgebühr und wie sie erhoben wird.</w:t>
      </w:r>
    </w:p>
    <w:p w14:paraId="45ACE92F" w14:textId="77777777" w:rsidR="00F94546" w:rsidRPr="004676F5" w:rsidRDefault="00F94546" w:rsidP="00F94546">
      <w:pPr>
        <w:jc w:val="both"/>
        <w:rPr>
          <w:lang w:val="de-DE"/>
        </w:rPr>
      </w:pPr>
    </w:p>
    <w:p w14:paraId="157A783C" w14:textId="77777777" w:rsidR="00F94546" w:rsidRPr="004676F5" w:rsidRDefault="00F94546" w:rsidP="005E6F74">
      <w:pPr>
        <w:ind w:firstLine="708"/>
        <w:jc w:val="both"/>
        <w:rPr>
          <w:lang w:val="de-DE"/>
        </w:rPr>
      </w:pPr>
      <w:r w:rsidRPr="004676F5">
        <w:rPr>
          <w:lang w:val="de-DE"/>
        </w:rPr>
        <w:t>Gesetzliche Bestimmungen über Beschwerden, Beitreibung, Verfolgung und Vorzugsrechte im Bereich der Steuern zugunsten des Staates gelten für die aufgrund des vorliegenden Titels festgelegte Eichgebühr.</w:t>
      </w:r>
    </w:p>
    <w:p w14:paraId="16634634" w14:textId="4C44BBFF" w:rsidR="00F94546" w:rsidRPr="004676F5" w:rsidRDefault="00F94546" w:rsidP="00F94546">
      <w:pPr>
        <w:jc w:val="center"/>
        <w:rPr>
          <w:i/>
          <w:lang w:val="de-DE"/>
        </w:rPr>
      </w:pPr>
      <w:r w:rsidRPr="004676F5">
        <w:rPr>
          <w:lang w:val="de-DE"/>
        </w:rPr>
        <w:br w:type="page"/>
      </w:r>
      <w:r w:rsidRPr="004676F5">
        <w:rPr>
          <w:lang w:val="de-DE"/>
        </w:rPr>
        <w:lastRenderedPageBreak/>
        <w:t>KAPITEL 3 </w:t>
      </w:r>
      <w:r w:rsidR="005B7A5C" w:rsidRPr="004676F5">
        <w:rPr>
          <w:lang w:val="de-DE"/>
        </w:rPr>
        <w:t>- </w:t>
      </w:r>
      <w:r w:rsidRPr="004676F5">
        <w:rPr>
          <w:i/>
          <w:lang w:val="de-DE"/>
        </w:rPr>
        <w:t>Gemeinsame Bestimmungen</w:t>
      </w:r>
    </w:p>
    <w:p w14:paraId="7988F967" w14:textId="77777777" w:rsidR="00F94546" w:rsidRPr="004676F5" w:rsidRDefault="00F94546" w:rsidP="00F94546">
      <w:pPr>
        <w:jc w:val="both"/>
        <w:rPr>
          <w:lang w:val="de-DE"/>
        </w:rPr>
      </w:pPr>
    </w:p>
    <w:p w14:paraId="16D4CD52" w14:textId="77777777" w:rsidR="00F94546" w:rsidRPr="004676F5" w:rsidRDefault="00F94546" w:rsidP="00F94546">
      <w:pPr>
        <w:jc w:val="both"/>
        <w:rPr>
          <w:lang w:val="de-DE"/>
        </w:rPr>
      </w:pPr>
    </w:p>
    <w:p w14:paraId="7CD581A7" w14:textId="08547B41" w:rsidR="00F94546" w:rsidRPr="004676F5" w:rsidRDefault="00BE0A56" w:rsidP="00F94546">
      <w:pPr>
        <w:ind w:firstLine="708"/>
        <w:jc w:val="both"/>
        <w:rPr>
          <w:lang w:val="de-DE"/>
        </w:rPr>
      </w:pPr>
      <w:r w:rsidRPr="004676F5">
        <w:rPr>
          <w:b/>
          <w:lang w:val="de-DE"/>
        </w:rPr>
        <w:t>Art. </w:t>
      </w:r>
      <w:r w:rsidR="00F94546" w:rsidRPr="004676F5">
        <w:rPr>
          <w:b/>
          <w:lang w:val="de-DE"/>
        </w:rPr>
        <w:t>VIII.55</w:t>
      </w:r>
      <w:r w:rsidR="00F94546" w:rsidRPr="004676F5">
        <w:rPr>
          <w:lang w:val="de-DE"/>
        </w:rPr>
        <w:t> </w:t>
      </w:r>
      <w:r w:rsidR="005B7A5C" w:rsidRPr="004676F5">
        <w:rPr>
          <w:lang w:val="de-DE"/>
        </w:rPr>
        <w:t>- </w:t>
      </w:r>
      <w:r w:rsidR="00F94546" w:rsidRPr="004676F5">
        <w:rPr>
          <w:lang w:val="de-DE"/>
        </w:rPr>
        <w:t>§ 1 </w:t>
      </w:r>
      <w:r w:rsidR="005B7A5C" w:rsidRPr="004676F5">
        <w:rPr>
          <w:lang w:val="de-DE"/>
        </w:rPr>
        <w:t>- </w:t>
      </w:r>
      <w:r w:rsidR="00F94546" w:rsidRPr="004676F5">
        <w:rPr>
          <w:lang w:val="de-DE"/>
        </w:rPr>
        <w:t>Der König bestimmt den Dienst, der mit der Erbringung der in vorliegendem Titel erwähnten metrologischen Leistungen beauftragt ist. Der Dienst ist darüber hinaus beauftragt:</w:t>
      </w:r>
    </w:p>
    <w:p w14:paraId="25DBCCB8" w14:textId="77777777" w:rsidR="00F94546" w:rsidRPr="004676F5" w:rsidRDefault="00F94546" w:rsidP="00F94546">
      <w:pPr>
        <w:jc w:val="both"/>
        <w:rPr>
          <w:lang w:val="de-DE"/>
        </w:rPr>
      </w:pPr>
    </w:p>
    <w:p w14:paraId="7C497BCB" w14:textId="77777777" w:rsidR="00F94546" w:rsidRPr="004676F5" w:rsidRDefault="00F94546" w:rsidP="00F94546">
      <w:pPr>
        <w:ind w:firstLine="708"/>
        <w:jc w:val="both"/>
        <w:rPr>
          <w:lang w:val="de-DE"/>
        </w:rPr>
      </w:pPr>
      <w:r w:rsidRPr="004676F5">
        <w:rPr>
          <w:lang w:val="de-DE"/>
        </w:rPr>
        <w:t>1. auf Antrag technische und wissenschaftliche Leistungen auf dem Gebiet der Metrologie zu erbringen,</w:t>
      </w:r>
    </w:p>
    <w:p w14:paraId="2A1F097E" w14:textId="77777777" w:rsidR="00F94546" w:rsidRPr="004676F5" w:rsidRDefault="00F94546" w:rsidP="00F94546">
      <w:pPr>
        <w:jc w:val="both"/>
        <w:rPr>
          <w:lang w:val="de-DE"/>
        </w:rPr>
      </w:pPr>
    </w:p>
    <w:p w14:paraId="03BBEC3C" w14:textId="77777777" w:rsidR="00F94546" w:rsidRPr="004676F5" w:rsidRDefault="00F94546" w:rsidP="00F94546">
      <w:pPr>
        <w:ind w:firstLine="708"/>
        <w:jc w:val="both"/>
        <w:rPr>
          <w:lang w:val="de-DE"/>
        </w:rPr>
      </w:pPr>
      <w:r w:rsidRPr="004676F5">
        <w:rPr>
          <w:lang w:val="de-DE"/>
        </w:rPr>
        <w:t>2. auf Antrag Kalibrierungen durchzuführen, die Messverrichtungen sind, die nicht durch die Eichvorschriften auferlegt sind und mit denen Fehlerwerte von Messinstrumenten bestimmt werden sollen auf der Grundlage nationaler Eichmaße und gesetzlicher Maßeinheiten,</w:t>
      </w:r>
    </w:p>
    <w:p w14:paraId="5B627BE2" w14:textId="77777777" w:rsidR="00F94546" w:rsidRPr="004676F5" w:rsidRDefault="00F94546" w:rsidP="00F94546">
      <w:pPr>
        <w:jc w:val="both"/>
        <w:rPr>
          <w:lang w:val="de-DE"/>
        </w:rPr>
      </w:pPr>
    </w:p>
    <w:p w14:paraId="6C376EE1" w14:textId="77777777" w:rsidR="00F94546" w:rsidRPr="004676F5" w:rsidRDefault="00F94546" w:rsidP="00F94546">
      <w:pPr>
        <w:ind w:firstLine="708"/>
        <w:jc w:val="both"/>
        <w:rPr>
          <w:lang w:val="de-DE"/>
        </w:rPr>
      </w:pPr>
      <w:r w:rsidRPr="004676F5">
        <w:rPr>
          <w:lang w:val="de-DE"/>
        </w:rPr>
        <w:t>3. metrologische Tätigkeiten auf belgischer Ebene zu koordinieren, an internationalen Vergleichsmessungsprogrammen teilzunehmen, um die internationale Anerkennung nationaler Eichmaße sicherzustellen, und Belgien bei den Organen der in Artikel VIII.40 erwähnten Konvention und den internationalen Organisationen für Metrologie zu vertreten.</w:t>
      </w:r>
    </w:p>
    <w:p w14:paraId="25A5AF84" w14:textId="77777777" w:rsidR="00F94546" w:rsidRPr="004676F5" w:rsidRDefault="00F94546" w:rsidP="00F94546">
      <w:pPr>
        <w:ind w:firstLine="708"/>
        <w:jc w:val="both"/>
        <w:rPr>
          <w:lang w:val="de-DE"/>
        </w:rPr>
      </w:pPr>
    </w:p>
    <w:p w14:paraId="604B2581" w14:textId="75D03C23" w:rsidR="00F94546" w:rsidRPr="004676F5" w:rsidRDefault="00F94546" w:rsidP="00F94546">
      <w:pPr>
        <w:ind w:firstLine="708"/>
        <w:jc w:val="both"/>
        <w:rPr>
          <w:lang w:val="de-DE"/>
        </w:rPr>
      </w:pPr>
      <w:r w:rsidRPr="004676F5">
        <w:rPr>
          <w:lang w:val="de-DE"/>
        </w:rPr>
        <w:t>§ 2 </w:t>
      </w:r>
      <w:r w:rsidR="005B7A5C" w:rsidRPr="004676F5">
        <w:rPr>
          <w:lang w:val="de-DE"/>
        </w:rPr>
        <w:t>- </w:t>
      </w:r>
      <w:r w:rsidRPr="004676F5">
        <w:rPr>
          <w:lang w:val="de-DE"/>
        </w:rPr>
        <w:t>Der König bestimmt die Modalitäten in Bezug auf die in § 1 Nr. 1, 2 und 3 erwähnten Leistungen. Er bestimmt die Stempel, Zeichen und Bescheinigungen, durch die nachgewiesen wird, dass diese Leistungen erfolgt sind.</w:t>
      </w:r>
    </w:p>
    <w:p w14:paraId="3DEABBCD" w14:textId="77777777" w:rsidR="00F94546" w:rsidRPr="004676F5" w:rsidRDefault="00F94546" w:rsidP="00F94546">
      <w:pPr>
        <w:jc w:val="both"/>
        <w:rPr>
          <w:lang w:val="de-DE"/>
        </w:rPr>
      </w:pPr>
    </w:p>
    <w:p w14:paraId="71337D90" w14:textId="2390F092" w:rsidR="00F94546" w:rsidRPr="004676F5" w:rsidRDefault="00F94546" w:rsidP="00F94546">
      <w:pPr>
        <w:ind w:firstLine="708"/>
        <w:jc w:val="both"/>
        <w:rPr>
          <w:lang w:val="de-DE"/>
        </w:rPr>
      </w:pPr>
      <w:r w:rsidRPr="004676F5">
        <w:rPr>
          <w:lang w:val="de-DE"/>
        </w:rPr>
        <w:t>§ 3 </w:t>
      </w:r>
      <w:r w:rsidR="005B7A5C" w:rsidRPr="004676F5">
        <w:rPr>
          <w:lang w:val="de-DE"/>
        </w:rPr>
        <w:t>- </w:t>
      </w:r>
      <w:r w:rsidRPr="004676F5">
        <w:rPr>
          <w:lang w:val="de-DE"/>
        </w:rPr>
        <w:t>Der König bestimmt die Höhe der Kosten in Bezug auf die aufgrund von § 1 Nr. 1, 2 und 3 erbrachten Leistungen und wie sie eingezogen werden.</w:t>
      </w:r>
    </w:p>
    <w:p w14:paraId="5F64F233" w14:textId="77777777" w:rsidR="00F94546" w:rsidRPr="004676F5" w:rsidRDefault="00F94546" w:rsidP="00F94546">
      <w:pPr>
        <w:jc w:val="both"/>
        <w:rPr>
          <w:lang w:val="de-DE"/>
        </w:rPr>
      </w:pPr>
    </w:p>
    <w:p w14:paraId="3EAC7627" w14:textId="18EC5360" w:rsidR="00F94546" w:rsidRPr="004676F5" w:rsidRDefault="00F94546" w:rsidP="00F94546">
      <w:pPr>
        <w:ind w:firstLine="708"/>
        <w:jc w:val="both"/>
        <w:rPr>
          <w:lang w:val="de-DE"/>
        </w:rPr>
      </w:pPr>
      <w:r w:rsidRPr="004676F5">
        <w:rPr>
          <w:lang w:val="de-DE"/>
        </w:rPr>
        <w:t>§ 4 </w:t>
      </w:r>
      <w:r w:rsidR="005B7A5C" w:rsidRPr="004676F5">
        <w:rPr>
          <w:lang w:val="de-DE"/>
        </w:rPr>
        <w:t>- </w:t>
      </w:r>
      <w:r w:rsidRPr="004676F5">
        <w:rPr>
          <w:lang w:val="de-DE"/>
        </w:rPr>
        <w:t>Der König ergreift nützliche Maßnahmen, damit das metrologische Potenzial angemessen und auf abgestimmte Weise genutzt wird:</w:t>
      </w:r>
    </w:p>
    <w:p w14:paraId="793D9805" w14:textId="77777777" w:rsidR="00F94546" w:rsidRPr="004676F5" w:rsidRDefault="00F94546" w:rsidP="00F94546">
      <w:pPr>
        <w:jc w:val="both"/>
        <w:rPr>
          <w:lang w:val="de-DE"/>
        </w:rPr>
      </w:pPr>
    </w:p>
    <w:p w14:paraId="4AFE008F" w14:textId="77777777" w:rsidR="00F94546" w:rsidRPr="004676F5" w:rsidRDefault="00F94546" w:rsidP="00F94546">
      <w:pPr>
        <w:ind w:firstLine="708"/>
        <w:jc w:val="both"/>
        <w:rPr>
          <w:lang w:val="de-DE"/>
        </w:rPr>
      </w:pPr>
      <w:r w:rsidRPr="004676F5">
        <w:rPr>
          <w:lang w:val="de-DE"/>
        </w:rPr>
        <w:t>1. hinsichtlich der Eichung von Messinstrumenten, auf der Grundlage eines Systems der Anerkennung öffentlicher und privater Einrichtungen. Der König bestimmt die Voraussetzungen, die diese Einrichtungen erfüllen müssen, damit sie die in vorliegendem Titel erwähnten metrologischen Leistungen erbringen dürfen,</w:t>
      </w:r>
    </w:p>
    <w:p w14:paraId="0D685AD3" w14:textId="77777777" w:rsidR="00F94546" w:rsidRPr="004676F5" w:rsidRDefault="00F94546" w:rsidP="00F94546">
      <w:pPr>
        <w:jc w:val="both"/>
        <w:rPr>
          <w:lang w:val="de-DE"/>
        </w:rPr>
      </w:pPr>
    </w:p>
    <w:p w14:paraId="77710134" w14:textId="77777777" w:rsidR="00F94546" w:rsidRPr="004676F5" w:rsidRDefault="00F94546" w:rsidP="00F94546">
      <w:pPr>
        <w:ind w:firstLine="708"/>
        <w:jc w:val="both"/>
        <w:rPr>
          <w:lang w:val="de-DE"/>
        </w:rPr>
      </w:pPr>
      <w:r w:rsidRPr="004676F5">
        <w:rPr>
          <w:lang w:val="de-DE"/>
        </w:rPr>
        <w:t>2. hinsichtlich der wissenschaftlichen Metrologie, auf der Grundlage eines Netzes von Forschungsinstituten oder öffentlichen und privaten Laboren, nachstehend "Netz" genannt, die insbesondere den Kriterien genügen, die von den Organen der in Artikel VIII.40 erwähnten Konvention festgelegt worden sind. Der König bestimmt die Modalitäten der Entwicklung und Arbeit des Netzes und die Voraussetzungen, die diese Forschungsinstitute und Labore erfüllen müssen, um dem Netz angehören und weiter angehören zu können.</w:t>
      </w:r>
    </w:p>
    <w:p w14:paraId="45481CB4" w14:textId="77777777" w:rsidR="00F94546" w:rsidRPr="004676F5" w:rsidRDefault="00F94546" w:rsidP="00F94546">
      <w:pPr>
        <w:jc w:val="both"/>
        <w:rPr>
          <w:lang w:val="de-DE"/>
        </w:rPr>
      </w:pPr>
    </w:p>
    <w:p w14:paraId="7A82061F" w14:textId="77777777" w:rsidR="00F94546" w:rsidRPr="004676F5" w:rsidRDefault="00F94546" w:rsidP="00F94546">
      <w:pPr>
        <w:jc w:val="both"/>
        <w:rPr>
          <w:lang w:val="de-DE"/>
        </w:rPr>
      </w:pPr>
    </w:p>
    <w:p w14:paraId="6931C035" w14:textId="7214CB56" w:rsidR="00F94546" w:rsidRPr="004676F5" w:rsidRDefault="00BE0A56" w:rsidP="00F94546">
      <w:pPr>
        <w:ind w:firstLine="708"/>
        <w:jc w:val="both"/>
        <w:rPr>
          <w:lang w:val="de-DE"/>
        </w:rPr>
      </w:pPr>
      <w:r w:rsidRPr="004676F5">
        <w:rPr>
          <w:b/>
          <w:lang w:val="de-DE"/>
        </w:rPr>
        <w:t>Art. </w:t>
      </w:r>
      <w:r w:rsidR="00F94546" w:rsidRPr="004676F5">
        <w:rPr>
          <w:b/>
          <w:lang w:val="de-DE"/>
        </w:rPr>
        <w:t>VIII.56</w:t>
      </w:r>
      <w:r w:rsidR="00F94546" w:rsidRPr="004676F5">
        <w:rPr>
          <w:lang w:val="de-DE"/>
        </w:rPr>
        <w:t> </w:t>
      </w:r>
      <w:r w:rsidR="005B7A5C" w:rsidRPr="004676F5">
        <w:rPr>
          <w:lang w:val="de-DE"/>
        </w:rPr>
        <w:t>- </w:t>
      </w:r>
      <w:r w:rsidR="00F94546" w:rsidRPr="004676F5">
        <w:rPr>
          <w:lang w:val="de-DE"/>
        </w:rPr>
        <w:t>Der König kann im Wege einer allgemeinen Bestimmung von den Bestimmungen der Artikel VIII.39 §§ 1 und 2, VIII.43 §§ 1 und 2 und VIII.44 § 1 abweichen.</w:t>
      </w:r>
    </w:p>
    <w:p w14:paraId="34A78F4A" w14:textId="77777777" w:rsidR="00F94546" w:rsidRPr="004676F5" w:rsidRDefault="00F94546" w:rsidP="00F94546">
      <w:pPr>
        <w:jc w:val="both"/>
        <w:rPr>
          <w:lang w:val="de-DE"/>
        </w:rPr>
      </w:pPr>
    </w:p>
    <w:p w14:paraId="1B30E227" w14:textId="77777777" w:rsidR="00F94546" w:rsidRPr="004676F5" w:rsidRDefault="00F94546" w:rsidP="00F94546">
      <w:pPr>
        <w:ind w:firstLine="708"/>
        <w:jc w:val="both"/>
        <w:rPr>
          <w:lang w:val="de-DE"/>
        </w:rPr>
      </w:pPr>
      <w:r w:rsidRPr="004676F5">
        <w:rPr>
          <w:lang w:val="de-DE"/>
        </w:rPr>
        <w:t>Der König kann in Bezug auf vorerwähnte Bestimmungen ebenfalls Sonderabweichungen gewähren; dies gilt auch für Bestimmungen, die in Anwendung der Artikel VIII.39 § 3, VIII.43 §§ 3 und 4 und VIII.44 § 4 erlassen werden. Er kann von Ihm bestimmte Dienste, Behörden und öffentliche Einrichtungen beauftragen, Abweichungen zu gewähren. Abweichungen können nur auf Antrag gewährt werden.</w:t>
      </w:r>
    </w:p>
    <w:p w14:paraId="3D60A498" w14:textId="77777777" w:rsidR="00F94546" w:rsidRPr="004676F5" w:rsidRDefault="00F94546" w:rsidP="00F94546">
      <w:pPr>
        <w:jc w:val="both"/>
        <w:rPr>
          <w:lang w:val="de-DE"/>
        </w:rPr>
      </w:pPr>
    </w:p>
    <w:p w14:paraId="3F973E6D" w14:textId="77777777" w:rsidR="00F94546" w:rsidRPr="004676F5" w:rsidRDefault="00F94546" w:rsidP="00F94546">
      <w:pPr>
        <w:ind w:firstLine="708"/>
        <w:jc w:val="both"/>
        <w:rPr>
          <w:lang w:val="de-DE"/>
        </w:rPr>
      </w:pPr>
      <w:r w:rsidRPr="004676F5">
        <w:rPr>
          <w:lang w:val="de-DE"/>
        </w:rPr>
        <w:lastRenderedPageBreak/>
        <w:t>In Absatz 1 und 2 vorgesehene Abweichungen können Einschränkungen enthalten und Bedingungen unterworfen werden; sie sind zu begründen.</w:t>
      </w:r>
    </w:p>
    <w:p w14:paraId="2842A1F5" w14:textId="77777777" w:rsidR="00F94546" w:rsidRPr="004676F5" w:rsidRDefault="00F94546" w:rsidP="00F94546">
      <w:pPr>
        <w:jc w:val="both"/>
        <w:rPr>
          <w:lang w:val="de-DE"/>
        </w:rPr>
      </w:pPr>
    </w:p>
    <w:p w14:paraId="1F4BFCFD" w14:textId="77777777" w:rsidR="005256FF" w:rsidRPr="004676F5" w:rsidRDefault="00F94546" w:rsidP="0009060C">
      <w:pPr>
        <w:ind w:firstLine="708"/>
        <w:jc w:val="both"/>
        <w:rPr>
          <w:lang w:val="de-DE"/>
        </w:rPr>
      </w:pPr>
      <w:r w:rsidRPr="004676F5">
        <w:rPr>
          <w:lang w:val="de-DE"/>
        </w:rPr>
        <w:t xml:space="preserve">Beschlüsse, mit denen der König Behörden oder Einrichtungen ermächtigt, Abweichungen zu gewähren, </w:t>
      </w:r>
      <w:r w:rsidR="0009060C" w:rsidRPr="004676F5">
        <w:rPr>
          <w:lang w:val="de-DE"/>
        </w:rPr>
        <w:t>sind ebenfalls zu begründen.</w:t>
      </w:r>
    </w:p>
    <w:p w14:paraId="4135263D" w14:textId="77777777" w:rsidR="0009060C" w:rsidRPr="004676F5" w:rsidRDefault="0009060C" w:rsidP="0009060C">
      <w:pPr>
        <w:ind w:firstLine="708"/>
        <w:jc w:val="both"/>
        <w:rPr>
          <w:lang w:val="de-DE"/>
        </w:rPr>
      </w:pPr>
    </w:p>
    <w:p w14:paraId="2F08D212" w14:textId="77777777" w:rsidR="00AC5E98" w:rsidRPr="004676F5" w:rsidRDefault="00AC5E98">
      <w:pPr>
        <w:rPr>
          <w:lang w:val="de-DE"/>
        </w:rPr>
      </w:pPr>
    </w:p>
    <w:p w14:paraId="006FC333" w14:textId="77777777" w:rsidR="00536484" w:rsidRPr="004676F5" w:rsidRDefault="00536484">
      <w:pPr>
        <w:rPr>
          <w:lang w:val="de-DE"/>
        </w:rPr>
      </w:pPr>
      <w:r w:rsidRPr="004676F5">
        <w:rPr>
          <w:lang w:val="de-DE"/>
        </w:rPr>
        <w:br w:type="page"/>
      </w:r>
    </w:p>
    <w:p w14:paraId="5AA03A04" w14:textId="2C66E15E" w:rsidR="00AC5E98" w:rsidRPr="004676F5" w:rsidRDefault="00AC5E98" w:rsidP="00AC5E98">
      <w:pPr>
        <w:jc w:val="center"/>
        <w:rPr>
          <w:lang w:val="de-DE"/>
        </w:rPr>
      </w:pPr>
      <w:r w:rsidRPr="004676F5">
        <w:rPr>
          <w:lang w:val="de-DE"/>
        </w:rPr>
        <w:lastRenderedPageBreak/>
        <w:t>[</w:t>
      </w:r>
      <w:r w:rsidRPr="004676F5">
        <w:rPr>
          <w:b/>
          <w:caps/>
          <w:lang w:val="de-DE"/>
        </w:rPr>
        <w:t>Titel 4</w:t>
      </w:r>
      <w:r w:rsidRPr="004676F5">
        <w:rPr>
          <w:b/>
          <w:lang w:val="de-DE"/>
        </w:rPr>
        <w:t xml:space="preserve"> </w:t>
      </w:r>
      <w:r w:rsidR="005B7A5C" w:rsidRPr="004676F5">
        <w:rPr>
          <w:b/>
          <w:lang w:val="de-DE"/>
        </w:rPr>
        <w:t>- </w:t>
      </w:r>
      <w:r w:rsidRPr="004676F5">
        <w:rPr>
          <w:b/>
          <w:i/>
          <w:lang w:val="de-DE"/>
        </w:rPr>
        <w:t>Konformität</w:t>
      </w:r>
      <w:r w:rsidRPr="004676F5">
        <w:rPr>
          <w:lang w:val="de-DE"/>
        </w:rPr>
        <w:t xml:space="preserve">] </w:t>
      </w:r>
    </w:p>
    <w:p w14:paraId="4FDE9806" w14:textId="77777777" w:rsidR="00AC5E98" w:rsidRPr="004676F5" w:rsidRDefault="00AC5E98" w:rsidP="00AC5E98">
      <w:pPr>
        <w:jc w:val="center"/>
        <w:rPr>
          <w:lang w:val="de-DE"/>
        </w:rPr>
      </w:pPr>
    </w:p>
    <w:p w14:paraId="297B0B0D" w14:textId="4A74CFE9" w:rsidR="00AC5E98" w:rsidRPr="004676F5" w:rsidRDefault="00AC5E98" w:rsidP="00AC5E98">
      <w:pPr>
        <w:jc w:val="both"/>
        <w:rPr>
          <w:i/>
          <w:lang w:val="de-DE"/>
        </w:rPr>
      </w:pPr>
      <w:r w:rsidRPr="004676F5">
        <w:rPr>
          <w:i/>
          <w:lang w:val="de-DE"/>
        </w:rPr>
        <w:t xml:space="preserve">[Unterteilung Titel 4 eingefügt durch </w:t>
      </w:r>
      <w:r w:rsidR="00BE0A56" w:rsidRPr="004676F5">
        <w:rPr>
          <w:i/>
          <w:lang w:val="de-DE"/>
        </w:rPr>
        <w:t>Art. </w:t>
      </w:r>
      <w:r w:rsidRPr="004676F5">
        <w:rPr>
          <w:i/>
          <w:lang w:val="de-DE"/>
        </w:rPr>
        <w:t>15 des G. vom 29. Juni 2016 (B.S. vom 6. Juli 2016)]</w:t>
      </w:r>
    </w:p>
    <w:p w14:paraId="7063C8A3" w14:textId="77777777" w:rsidR="00AC5E98" w:rsidRPr="004676F5" w:rsidRDefault="00AC5E98" w:rsidP="00AC5E98">
      <w:pPr>
        <w:jc w:val="both"/>
        <w:rPr>
          <w:i/>
          <w:lang w:val="de-DE"/>
        </w:rPr>
      </w:pPr>
    </w:p>
    <w:p w14:paraId="3F150A07" w14:textId="77777777" w:rsidR="00AC5E98" w:rsidRPr="004676F5" w:rsidRDefault="00AC5E98" w:rsidP="00AC5E98">
      <w:pPr>
        <w:ind w:firstLine="708"/>
        <w:jc w:val="both"/>
        <w:rPr>
          <w:lang w:val="de-DE"/>
        </w:rPr>
      </w:pPr>
    </w:p>
    <w:p w14:paraId="252E8F47" w14:textId="11CB7687" w:rsidR="00AC5E98" w:rsidRPr="004676F5" w:rsidRDefault="00AC5E98" w:rsidP="00AC5E98">
      <w:pPr>
        <w:ind w:firstLine="708"/>
        <w:jc w:val="both"/>
        <w:rPr>
          <w:lang w:val="de-DE"/>
        </w:rPr>
      </w:pPr>
      <w:r w:rsidRPr="004676F5">
        <w:rPr>
          <w:lang w:val="de-DE"/>
        </w:rPr>
        <w:t>[</w:t>
      </w:r>
      <w:r w:rsidR="00BE0A56" w:rsidRPr="004676F5">
        <w:rPr>
          <w:b/>
          <w:lang w:val="de-DE"/>
        </w:rPr>
        <w:t>Art. </w:t>
      </w:r>
      <w:r w:rsidRPr="004676F5">
        <w:rPr>
          <w:b/>
          <w:lang w:val="de-DE"/>
        </w:rPr>
        <w:t>VIII.57</w:t>
      </w:r>
      <w:r w:rsidRPr="004676F5">
        <w:rPr>
          <w:lang w:val="de-DE"/>
        </w:rPr>
        <w:t> </w:t>
      </w:r>
      <w:r w:rsidR="005B7A5C" w:rsidRPr="004676F5">
        <w:rPr>
          <w:lang w:val="de-DE"/>
        </w:rPr>
        <w:t>- </w:t>
      </w:r>
      <w:r w:rsidRPr="004676F5">
        <w:rPr>
          <w:lang w:val="de-DE"/>
        </w:rPr>
        <w:t xml:space="preserve">Zur Umsetzung oder Implementierung der Rechtsvorschriften der Gemeinschaft zur technischen Harmonisierung wie erwähnt in der Verordnung (EG) Nr. 765/2008 des Europäischen Parlaments und des Rates vom 9. Juli 2008 </w:t>
      </w:r>
      <w:r w:rsidR="00A82659" w:rsidRPr="004676F5">
        <w:rPr>
          <w:lang w:val="de-DE"/>
        </w:rPr>
        <w:t>[und in der Verordnung (EU) 2019/1020 des Europäischen Parlaments und des Rates vom 20. Juni 2019 über Marktüberwachung und die Konformität von Produkten sowie zur Änderung der Richtlinie 2004/42/EG und der Verordnungen (EG) Nr. 765/2008 und (EU) Nr. 305/2011 sowie zur Umsetzung oder Implementierung der Kennzeichnungsvorschriften für energieverbrauchsrelevante Produkte wie erwähnt in der Verordnung (EU) 2017/1369 des Europäischen Parlaments und des Rates vom 4. Juli 2017 zur Festlegung eines Rahmens für die Energieverbrauchskennzeichnung und zur Aufhebung der Richtlinie 2010/30/EU und ihren delegierten Rechtsakten kann der König, ohne sich jedoch auf die Mindestanforderungen zu beschränken]</w:t>
      </w:r>
      <w:r w:rsidRPr="004676F5">
        <w:rPr>
          <w:lang w:val="de-DE"/>
        </w:rPr>
        <w:t>:</w:t>
      </w:r>
    </w:p>
    <w:p w14:paraId="063B5D61" w14:textId="77777777" w:rsidR="00AC5E98" w:rsidRPr="004676F5" w:rsidRDefault="00AC5E98" w:rsidP="00AC5E98">
      <w:pPr>
        <w:ind w:firstLine="708"/>
        <w:jc w:val="both"/>
        <w:rPr>
          <w:lang w:val="de-DE"/>
        </w:rPr>
      </w:pPr>
    </w:p>
    <w:p w14:paraId="2E7A09C3" w14:textId="77777777" w:rsidR="00AC5E98" w:rsidRPr="004676F5" w:rsidRDefault="00AC5E98" w:rsidP="00AC5E98">
      <w:pPr>
        <w:ind w:firstLine="708"/>
        <w:jc w:val="both"/>
        <w:rPr>
          <w:lang w:val="de-DE"/>
        </w:rPr>
      </w:pPr>
      <w:r w:rsidRPr="004676F5">
        <w:rPr>
          <w:lang w:val="de-DE"/>
        </w:rPr>
        <w:t>1. Bedingungen festlegen, denen Produkte genügen müssen, um auf dem Markt bereitgestellt zu werden,</w:t>
      </w:r>
    </w:p>
    <w:p w14:paraId="1AD5482C" w14:textId="77777777" w:rsidR="00AC5E98" w:rsidRPr="004676F5" w:rsidRDefault="00AC5E98" w:rsidP="00AC5E98">
      <w:pPr>
        <w:ind w:firstLine="708"/>
        <w:jc w:val="both"/>
        <w:rPr>
          <w:lang w:val="de-DE"/>
        </w:rPr>
      </w:pPr>
    </w:p>
    <w:p w14:paraId="033E7AA8" w14:textId="77777777" w:rsidR="00AC5E98" w:rsidRPr="004676F5" w:rsidRDefault="00AC5E98" w:rsidP="00AC5E98">
      <w:pPr>
        <w:ind w:firstLine="708"/>
        <w:jc w:val="both"/>
        <w:rPr>
          <w:lang w:val="de-DE"/>
        </w:rPr>
      </w:pPr>
      <w:r w:rsidRPr="004676F5">
        <w:rPr>
          <w:lang w:val="de-DE"/>
        </w:rPr>
        <w:t>2. Verpflichtungen von Wirtschaftsakteuren festlegen,</w:t>
      </w:r>
    </w:p>
    <w:p w14:paraId="0EF43B21" w14:textId="77777777" w:rsidR="00AC5E98" w:rsidRPr="004676F5" w:rsidRDefault="00AC5E98" w:rsidP="00AC5E98">
      <w:pPr>
        <w:ind w:firstLine="708"/>
        <w:jc w:val="both"/>
        <w:rPr>
          <w:lang w:val="de-DE"/>
        </w:rPr>
      </w:pPr>
    </w:p>
    <w:p w14:paraId="4A8D0807" w14:textId="4393D466" w:rsidR="00AC5E98" w:rsidRPr="004676F5" w:rsidRDefault="00AC5E98" w:rsidP="00AC5E98">
      <w:pPr>
        <w:jc w:val="both"/>
        <w:rPr>
          <w:lang w:val="de-DE"/>
        </w:rPr>
      </w:pPr>
      <w:r w:rsidRPr="004676F5">
        <w:rPr>
          <w:lang w:val="de-DE"/>
        </w:rPr>
        <w:tab/>
        <w:t>3. Bedingungen festlegen, denen angemeldete Stellen genügen müssen</w:t>
      </w:r>
      <w:r w:rsidR="00ED1273" w:rsidRPr="004676F5">
        <w:rPr>
          <w:lang w:val="de-DE"/>
        </w:rPr>
        <w:t>,</w:t>
      </w:r>
      <w:r w:rsidRPr="004676F5">
        <w:rPr>
          <w:lang w:val="de-DE"/>
        </w:rPr>
        <w:t>]</w:t>
      </w:r>
    </w:p>
    <w:p w14:paraId="00D7E78E" w14:textId="77777777" w:rsidR="00ED1273" w:rsidRPr="004676F5" w:rsidRDefault="00ED1273" w:rsidP="00AC5E98">
      <w:pPr>
        <w:jc w:val="both"/>
        <w:rPr>
          <w:lang w:val="de-DE"/>
        </w:rPr>
      </w:pPr>
    </w:p>
    <w:p w14:paraId="6B2E74AC" w14:textId="2DC3D250" w:rsidR="00ED1273" w:rsidRPr="004676F5" w:rsidRDefault="00ED1273" w:rsidP="00AC5E98">
      <w:pPr>
        <w:jc w:val="both"/>
        <w:rPr>
          <w:lang w:val="de-DE"/>
        </w:rPr>
      </w:pPr>
      <w:r w:rsidRPr="004676F5">
        <w:rPr>
          <w:lang w:val="de-DE"/>
        </w:rPr>
        <w:tab/>
        <w:t>[4. Wirtschaftsakteure von Verpflichtungen, die auf der Grundlage von Nr. 2 festgelegt werden, befreien.]</w:t>
      </w:r>
    </w:p>
    <w:p w14:paraId="1F79D760" w14:textId="77777777" w:rsidR="00AC5E98" w:rsidRPr="004676F5" w:rsidRDefault="00AC5E98" w:rsidP="00AC5E98">
      <w:pPr>
        <w:jc w:val="both"/>
        <w:rPr>
          <w:lang w:val="de-DE"/>
        </w:rPr>
      </w:pPr>
    </w:p>
    <w:p w14:paraId="38B8D0C3" w14:textId="683E27B8" w:rsidR="00ED1273" w:rsidRPr="004676F5" w:rsidRDefault="00AC5E98" w:rsidP="00AC5E98">
      <w:pPr>
        <w:jc w:val="both"/>
        <w:rPr>
          <w:iCs/>
          <w:lang w:val="de-DE"/>
        </w:rPr>
      </w:pPr>
      <w:r w:rsidRPr="004676F5">
        <w:rPr>
          <w:i/>
          <w:lang w:val="de-DE"/>
        </w:rPr>
        <w:t>[</w:t>
      </w:r>
      <w:r w:rsidR="00BE0A56" w:rsidRPr="004676F5">
        <w:rPr>
          <w:i/>
          <w:lang w:val="de-DE"/>
        </w:rPr>
        <w:t>Art. </w:t>
      </w:r>
      <w:r w:rsidRPr="004676F5">
        <w:rPr>
          <w:i/>
          <w:lang w:val="de-DE"/>
        </w:rPr>
        <w:t xml:space="preserve">VIII.57 eingefügt durch </w:t>
      </w:r>
      <w:r w:rsidR="00BE0A56" w:rsidRPr="004676F5">
        <w:rPr>
          <w:i/>
          <w:lang w:val="de-DE"/>
        </w:rPr>
        <w:t>Art. </w:t>
      </w:r>
      <w:r w:rsidRPr="004676F5">
        <w:rPr>
          <w:i/>
          <w:lang w:val="de-DE"/>
        </w:rPr>
        <w:t>16 des G. vom 29. Juni 2016 (B.S. vom 6. Juli 2016)</w:t>
      </w:r>
      <w:r w:rsidR="00ED1273" w:rsidRPr="004676F5">
        <w:rPr>
          <w:i/>
          <w:lang w:val="de-DE"/>
        </w:rPr>
        <w:t>;</w:t>
      </w:r>
      <w:r w:rsidR="00A82659" w:rsidRPr="004676F5">
        <w:rPr>
          <w:i/>
          <w:lang w:val="de-DE"/>
        </w:rPr>
        <w:t xml:space="preserve"> einziger Absatz einleitende Bestimmung abgeändert durch Art. 28</w:t>
      </w:r>
      <w:r w:rsidR="00A82659" w:rsidRPr="004676F5">
        <w:rPr>
          <w:i/>
          <w:iCs/>
          <w:lang w:val="de-DE"/>
        </w:rPr>
        <w:t xml:space="preserve"> des G. vom 9. Februar 2024 (B.S. vom 21. März 2024);</w:t>
      </w:r>
      <w:r w:rsidR="00ED1273" w:rsidRPr="004676F5">
        <w:rPr>
          <w:i/>
          <w:lang w:val="de-DE"/>
        </w:rPr>
        <w:t xml:space="preserve"> einziger Absatz Nr. 4 eingefügt durch Art. 5</w:t>
      </w:r>
      <w:r w:rsidR="00ED1273" w:rsidRPr="004676F5">
        <w:rPr>
          <w:bCs/>
          <w:i/>
          <w:iCs/>
          <w:lang w:val="de-DE"/>
        </w:rPr>
        <w:t xml:space="preserve"> des G. vom 5. November 2023</w:t>
      </w:r>
      <w:r w:rsidR="00AA0B2E" w:rsidRPr="004676F5">
        <w:rPr>
          <w:bCs/>
          <w:i/>
          <w:iCs/>
          <w:lang w:val="de-DE"/>
        </w:rPr>
        <w:t> </w:t>
      </w:r>
      <w:r w:rsidR="003454B3" w:rsidRPr="004676F5">
        <w:rPr>
          <w:bCs/>
          <w:i/>
          <w:iCs/>
          <w:lang w:val="de-DE"/>
        </w:rPr>
        <w:t>(II)</w:t>
      </w:r>
      <w:r w:rsidR="00ED1273" w:rsidRPr="004676F5">
        <w:rPr>
          <w:bCs/>
          <w:i/>
          <w:iCs/>
          <w:lang w:val="de-DE"/>
        </w:rPr>
        <w:t xml:space="preserve"> (B.S. vom 28. November 2023)</w:t>
      </w:r>
      <w:r w:rsidRPr="004676F5">
        <w:rPr>
          <w:i/>
          <w:lang w:val="de-DE"/>
        </w:rPr>
        <w:t>]</w:t>
      </w:r>
    </w:p>
    <w:p w14:paraId="6322BABE" w14:textId="77777777" w:rsidR="00ED1273" w:rsidRPr="004676F5" w:rsidRDefault="00ED1273" w:rsidP="00AC5E98">
      <w:pPr>
        <w:jc w:val="both"/>
        <w:rPr>
          <w:iCs/>
          <w:lang w:val="de-DE"/>
        </w:rPr>
      </w:pPr>
    </w:p>
    <w:p w14:paraId="5E1D5F7C" w14:textId="040A9B3C" w:rsidR="00CB0045" w:rsidRPr="004676F5" w:rsidRDefault="00CB0045">
      <w:pPr>
        <w:rPr>
          <w:iCs/>
          <w:lang w:val="de-DE"/>
        </w:rPr>
      </w:pPr>
      <w:r w:rsidRPr="004676F5">
        <w:rPr>
          <w:iCs/>
          <w:lang w:val="de-DE"/>
        </w:rPr>
        <w:br w:type="page"/>
      </w:r>
    </w:p>
    <w:p w14:paraId="25F1ED18" w14:textId="249B6547" w:rsidR="00ED1273" w:rsidRPr="004676F5" w:rsidRDefault="00CB0045" w:rsidP="00AC5E98">
      <w:pPr>
        <w:jc w:val="both"/>
        <w:rPr>
          <w:i/>
          <w:iCs/>
          <w:lang w:val="de-DE"/>
        </w:rPr>
      </w:pPr>
      <w:r w:rsidRPr="004676F5">
        <w:rPr>
          <w:iCs/>
          <w:lang w:val="de-DE"/>
        </w:rPr>
        <w:lastRenderedPageBreak/>
        <w:t>[</w:t>
      </w:r>
      <w:r w:rsidRPr="004676F5">
        <w:rPr>
          <w:b/>
          <w:bCs/>
          <w:lang w:val="de-DE"/>
        </w:rPr>
        <w:t>TITEL 4/1 - </w:t>
      </w:r>
      <w:r w:rsidRPr="004676F5">
        <w:rPr>
          <w:b/>
          <w:bCs/>
          <w:i/>
          <w:iCs/>
          <w:lang w:val="de-DE"/>
        </w:rPr>
        <w:t>Für die Bestätigung der Nachhaltigkeitsberichterstattung oder der konsolidierten Nachhaltigkeitsberichterstattung</w:t>
      </w:r>
      <w:r w:rsidRPr="004676F5">
        <w:rPr>
          <w:b/>
          <w:bCs/>
          <w:lang w:val="de-DE"/>
        </w:rPr>
        <w:t xml:space="preserve"> </w:t>
      </w:r>
      <w:r w:rsidRPr="004676F5">
        <w:rPr>
          <w:b/>
          <w:bCs/>
          <w:i/>
          <w:iCs/>
          <w:lang w:val="de-DE"/>
        </w:rPr>
        <w:t>akkreditierte unabhängige Erbringer von Bestätigungsleistungen</w:t>
      </w:r>
      <w:r w:rsidRPr="004676F5">
        <w:rPr>
          <w:lang w:val="de-DE"/>
        </w:rPr>
        <w:t>]</w:t>
      </w:r>
    </w:p>
    <w:p w14:paraId="3A5DBCF1" w14:textId="77777777" w:rsidR="00CB0045" w:rsidRPr="004676F5" w:rsidRDefault="00CB0045">
      <w:pPr>
        <w:rPr>
          <w:iCs/>
          <w:lang w:val="de-DE"/>
        </w:rPr>
      </w:pPr>
    </w:p>
    <w:p w14:paraId="440AA5F3" w14:textId="4963BD3D" w:rsidR="00CB0045" w:rsidRPr="004676F5" w:rsidRDefault="00CB0045" w:rsidP="00CB0045">
      <w:pPr>
        <w:jc w:val="both"/>
        <w:rPr>
          <w:iCs/>
          <w:lang w:val="de-DE"/>
        </w:rPr>
      </w:pPr>
      <w:r w:rsidRPr="004676F5">
        <w:rPr>
          <w:i/>
          <w:lang w:val="de-DE"/>
        </w:rPr>
        <w:t>[Unterteilung Titel 4/1 eingefügt</w:t>
      </w:r>
      <w:r w:rsidR="0062466E" w:rsidRPr="004676F5">
        <w:rPr>
          <w:i/>
          <w:lang w:val="de-DE"/>
        </w:rPr>
        <w:t xml:space="preserve"> durch </w:t>
      </w:r>
      <w:r w:rsidRPr="004676F5">
        <w:rPr>
          <w:i/>
          <w:lang w:val="de-DE"/>
        </w:rPr>
        <w:t>Art. 103 des G. vom 2. Dezember 2024 (B.S. vom 20. Dezember 2024)]</w:t>
      </w:r>
    </w:p>
    <w:p w14:paraId="2D9DA432" w14:textId="77777777" w:rsidR="00CB0045" w:rsidRPr="004676F5" w:rsidRDefault="00CB0045" w:rsidP="00CB0045">
      <w:pPr>
        <w:jc w:val="both"/>
        <w:rPr>
          <w:iCs/>
          <w:lang w:val="de-DE"/>
        </w:rPr>
      </w:pPr>
    </w:p>
    <w:p w14:paraId="023B97FE" w14:textId="77777777" w:rsidR="00CB0045" w:rsidRPr="004676F5" w:rsidRDefault="00CB0045" w:rsidP="00CB0045">
      <w:pPr>
        <w:jc w:val="both"/>
        <w:rPr>
          <w:iCs/>
          <w:lang w:val="de-DE"/>
        </w:rPr>
      </w:pPr>
    </w:p>
    <w:p w14:paraId="685D525E" w14:textId="283A71DB" w:rsidR="00CB0045" w:rsidRPr="004676F5" w:rsidRDefault="00CB0045" w:rsidP="00CB0045">
      <w:pPr>
        <w:jc w:val="both"/>
        <w:rPr>
          <w:lang w:val="de-DE"/>
        </w:rPr>
      </w:pPr>
      <w:r w:rsidRPr="004676F5">
        <w:rPr>
          <w:iCs/>
          <w:lang w:val="de-DE"/>
        </w:rPr>
        <w:tab/>
        <w:t>[</w:t>
      </w:r>
      <w:r w:rsidRPr="004676F5">
        <w:rPr>
          <w:b/>
          <w:bCs/>
          <w:lang w:val="de-DE"/>
        </w:rPr>
        <w:t>Art. VIII.57/1</w:t>
      </w:r>
      <w:r w:rsidRPr="004676F5">
        <w:rPr>
          <w:lang w:val="de-DE"/>
        </w:rPr>
        <w:t> - Folgende Begriffsbestimmungen gelten für die Anwendung des vorliegenden Titels:</w:t>
      </w:r>
    </w:p>
    <w:p w14:paraId="5F2DD868" w14:textId="77777777" w:rsidR="00CB0045" w:rsidRPr="004676F5" w:rsidRDefault="00CB0045" w:rsidP="00CB0045">
      <w:pPr>
        <w:jc w:val="both"/>
        <w:rPr>
          <w:lang w:val="de-DE"/>
        </w:rPr>
      </w:pPr>
    </w:p>
    <w:p w14:paraId="7CD3FC13" w14:textId="77777777" w:rsidR="00CB0045" w:rsidRPr="004676F5" w:rsidRDefault="00CB0045" w:rsidP="00CB0045">
      <w:pPr>
        <w:jc w:val="both"/>
        <w:rPr>
          <w:lang w:val="de-DE"/>
        </w:rPr>
      </w:pPr>
      <w:r w:rsidRPr="004676F5">
        <w:rPr>
          <w:lang w:val="de-DE"/>
        </w:rPr>
        <w:tab/>
        <w:t>1. Unternehmen:</w:t>
      </w:r>
    </w:p>
    <w:p w14:paraId="6B7A4D20" w14:textId="77777777" w:rsidR="00CB0045" w:rsidRPr="004676F5" w:rsidRDefault="00CB0045" w:rsidP="00CB0045">
      <w:pPr>
        <w:jc w:val="both"/>
        <w:rPr>
          <w:lang w:val="de-DE"/>
        </w:rPr>
      </w:pPr>
    </w:p>
    <w:p w14:paraId="4DEDB7F0" w14:textId="77777777" w:rsidR="00CB0045" w:rsidRPr="004676F5" w:rsidRDefault="00CB0045" w:rsidP="00CB0045">
      <w:pPr>
        <w:jc w:val="both"/>
        <w:rPr>
          <w:lang w:val="de-DE"/>
        </w:rPr>
      </w:pPr>
      <w:r w:rsidRPr="004676F5">
        <w:rPr>
          <w:lang w:val="de-DE"/>
        </w:rPr>
        <w:tab/>
      </w:r>
      <w:r w:rsidRPr="004676F5">
        <w:rPr>
          <w:i/>
          <w:lang w:val="de-DE"/>
        </w:rPr>
        <w:t>a)</w:t>
      </w:r>
      <w:r w:rsidRPr="004676F5">
        <w:rPr>
          <w:lang w:val="de-DE"/>
        </w:rPr>
        <w:t> Gesellschaften und Unternehmen, die der in Artikel 3:75/2 des Gesetzbuches der Gesellschaften und Vereinigungen erwähnten Bestätigung ihrer Nachhaltigkeitsbericht</w:t>
      </w:r>
      <w:r w:rsidRPr="004676F5">
        <w:rPr>
          <w:lang w:val="de-DE"/>
        </w:rPr>
        <w:softHyphen/>
        <w:t>erstattung unterliegen,</w:t>
      </w:r>
    </w:p>
    <w:p w14:paraId="33B66102" w14:textId="77777777" w:rsidR="00CB0045" w:rsidRPr="004676F5" w:rsidRDefault="00CB0045" w:rsidP="00CB0045">
      <w:pPr>
        <w:jc w:val="both"/>
        <w:rPr>
          <w:lang w:val="de-DE"/>
        </w:rPr>
      </w:pPr>
    </w:p>
    <w:p w14:paraId="76B45600" w14:textId="77777777" w:rsidR="00CB0045" w:rsidRPr="004676F5" w:rsidRDefault="00CB0045" w:rsidP="00CB0045">
      <w:pPr>
        <w:jc w:val="both"/>
        <w:rPr>
          <w:lang w:val="de-DE"/>
        </w:rPr>
      </w:pPr>
      <w:r w:rsidRPr="004676F5">
        <w:rPr>
          <w:lang w:val="de-DE"/>
        </w:rPr>
        <w:tab/>
      </w:r>
      <w:r w:rsidRPr="004676F5">
        <w:rPr>
          <w:i/>
          <w:lang w:val="de-DE"/>
        </w:rPr>
        <w:t>b)</w:t>
      </w:r>
      <w:r w:rsidRPr="004676F5">
        <w:rPr>
          <w:lang w:val="de-DE"/>
        </w:rPr>
        <w:t> in Artikel 3:82/1 des Gesetzbuches der Gesellschaften und Vereinigungen erwähnte Muttergesellschaften, die auf Gruppenebene der Bestätigung ihrer konsolidierten Nachhaltig</w:t>
      </w:r>
      <w:r w:rsidRPr="004676F5">
        <w:rPr>
          <w:lang w:val="de-DE"/>
        </w:rPr>
        <w:softHyphen/>
        <w:t>keitsberichterstattung unterliegen,</w:t>
      </w:r>
    </w:p>
    <w:p w14:paraId="7F543AC1" w14:textId="77777777" w:rsidR="00CB0045" w:rsidRPr="004676F5" w:rsidRDefault="00CB0045" w:rsidP="00CB0045">
      <w:pPr>
        <w:jc w:val="both"/>
        <w:rPr>
          <w:lang w:val="de-DE"/>
        </w:rPr>
      </w:pPr>
    </w:p>
    <w:p w14:paraId="5D5EE896" w14:textId="77777777" w:rsidR="00CB0045" w:rsidRPr="004676F5" w:rsidRDefault="00CB0045" w:rsidP="00CB0045">
      <w:pPr>
        <w:jc w:val="both"/>
        <w:rPr>
          <w:lang w:val="de-DE"/>
        </w:rPr>
      </w:pPr>
      <w:r w:rsidRPr="004676F5">
        <w:rPr>
          <w:lang w:val="de-DE"/>
        </w:rPr>
        <w:tab/>
        <w:t>2. unabhängige Erbringer von Bestätigungsleistungen: eine Konformitätsbewertungs</w:t>
      </w:r>
      <w:r w:rsidRPr="004676F5">
        <w:rPr>
          <w:lang w:val="de-DE"/>
        </w:rPr>
        <w:softHyphen/>
        <w:t>stelle, ob natürliche oder juristische Person, die gemäß der Verordnung (EG) Nr. 765/2008 des Europäischen Parlaments und des Rates vom 9. Juli 2008 über die Vorschriften für die Akkreditierung und Marktüberwachung im Zusammenhang mit der Vermarktung von Produkten und zur Aufhebung der Verordnung (EWG) Nr. 339/93 für die Bestätigung der Nachhaltigkeitsberichterstattung akkreditiert ist,</w:t>
      </w:r>
    </w:p>
    <w:p w14:paraId="1D0DA0AE" w14:textId="77777777" w:rsidR="00CB0045" w:rsidRPr="004676F5" w:rsidRDefault="00CB0045" w:rsidP="00CB0045">
      <w:pPr>
        <w:jc w:val="both"/>
        <w:rPr>
          <w:lang w:val="de-DE"/>
        </w:rPr>
      </w:pPr>
    </w:p>
    <w:p w14:paraId="2ED9F30D" w14:textId="77777777" w:rsidR="00CB0045" w:rsidRPr="004676F5" w:rsidRDefault="00CB0045" w:rsidP="00CB0045">
      <w:pPr>
        <w:jc w:val="both"/>
        <w:rPr>
          <w:lang w:val="de-DE"/>
        </w:rPr>
      </w:pPr>
      <w:r w:rsidRPr="004676F5">
        <w:rPr>
          <w:lang w:val="de-DE"/>
        </w:rPr>
        <w:tab/>
        <w:t>3. Bestätigung der Nachhaltigkeitsberichterstattung: Durchführung von Verfahren, die zu einem vom unabhängigen Erbringer von Bestätigungsleistungen abgegebenen Urteil führen in Bezug auf:</w:t>
      </w:r>
    </w:p>
    <w:p w14:paraId="7A4E0A44" w14:textId="77777777" w:rsidR="00CB0045" w:rsidRPr="004676F5" w:rsidRDefault="00CB0045" w:rsidP="00CB0045">
      <w:pPr>
        <w:jc w:val="both"/>
        <w:rPr>
          <w:lang w:val="de-DE"/>
        </w:rPr>
      </w:pPr>
    </w:p>
    <w:p w14:paraId="1EECDD06" w14:textId="77777777" w:rsidR="00CB0045" w:rsidRPr="004676F5" w:rsidRDefault="00CB0045" w:rsidP="00CB0045">
      <w:pPr>
        <w:jc w:val="both"/>
        <w:rPr>
          <w:lang w:val="de-DE"/>
        </w:rPr>
      </w:pPr>
      <w:r w:rsidRPr="004676F5">
        <w:rPr>
          <w:lang w:val="de-DE"/>
        </w:rPr>
        <w:tab/>
      </w:r>
      <w:r w:rsidRPr="004676F5">
        <w:rPr>
          <w:i/>
          <w:lang w:val="de-DE"/>
        </w:rPr>
        <w:t>a)</w:t>
      </w:r>
      <w:r w:rsidRPr="004676F5">
        <w:rPr>
          <w:lang w:val="de-DE"/>
        </w:rPr>
        <w:t> für Unternehmen wie in Nr. 1 Buchstabe </w:t>
      </w:r>
      <w:r w:rsidRPr="004676F5">
        <w:rPr>
          <w:i/>
          <w:lang w:val="de-DE"/>
        </w:rPr>
        <w:t xml:space="preserve">a) </w:t>
      </w:r>
      <w:r w:rsidRPr="004676F5">
        <w:rPr>
          <w:lang w:val="de-DE"/>
        </w:rPr>
        <w:t>erwähnt:</w:t>
      </w:r>
    </w:p>
    <w:p w14:paraId="7FE7EEA4" w14:textId="77777777" w:rsidR="00CB0045" w:rsidRPr="004676F5" w:rsidRDefault="00CB0045" w:rsidP="00CB0045">
      <w:pPr>
        <w:jc w:val="both"/>
        <w:rPr>
          <w:lang w:val="de-DE"/>
        </w:rPr>
      </w:pPr>
    </w:p>
    <w:p w14:paraId="7FBB0402" w14:textId="77777777" w:rsidR="00CB0045" w:rsidRPr="004676F5" w:rsidRDefault="00CB0045" w:rsidP="00CB0045">
      <w:pPr>
        <w:jc w:val="both"/>
        <w:rPr>
          <w:lang w:val="de-DE"/>
        </w:rPr>
      </w:pPr>
      <w:r w:rsidRPr="004676F5">
        <w:rPr>
          <w:lang w:val="de-DE"/>
        </w:rPr>
        <w:tab/>
        <w:t>- Übereinstimmung der im Lagebericht des Unternehmens enthaltenen Nachhaltig</w:t>
      </w:r>
      <w:r w:rsidRPr="004676F5">
        <w:rPr>
          <w:lang w:val="de-DE"/>
        </w:rPr>
        <w:softHyphen/>
        <w:t>keitsberichterstattung mit den in Artikel 3:6/3 des Gesetzbuches der Gesellschaften und Vereinigungen erwähnten Anforderungen, einschließlich der anwendbaren europäischen Standards für die Nachhaltigkeitsberichterstattung,</w:t>
      </w:r>
    </w:p>
    <w:p w14:paraId="4495B970" w14:textId="77777777" w:rsidR="00CB0045" w:rsidRPr="004676F5" w:rsidRDefault="00CB0045" w:rsidP="00CB0045">
      <w:pPr>
        <w:jc w:val="both"/>
        <w:rPr>
          <w:lang w:val="de-DE"/>
        </w:rPr>
      </w:pPr>
    </w:p>
    <w:p w14:paraId="3EF7C924" w14:textId="77777777" w:rsidR="00CB0045" w:rsidRPr="004676F5" w:rsidRDefault="00CB0045" w:rsidP="00CB0045">
      <w:pPr>
        <w:jc w:val="both"/>
        <w:rPr>
          <w:lang w:val="de-DE"/>
        </w:rPr>
      </w:pPr>
      <w:r w:rsidRPr="004676F5">
        <w:rPr>
          <w:lang w:val="de-DE"/>
        </w:rPr>
        <w:tab/>
        <w:t>- Übereinstimmung mit dem vom Unternehmen durchgeführten Verfahren zur Ermittlung der Nachhaltigkeitsinformationen gemäß den europäischen Standards,</w:t>
      </w:r>
    </w:p>
    <w:p w14:paraId="42EC408C" w14:textId="77777777" w:rsidR="00CB0045" w:rsidRPr="004676F5" w:rsidRDefault="00CB0045" w:rsidP="00CB0045">
      <w:pPr>
        <w:jc w:val="both"/>
        <w:rPr>
          <w:lang w:val="de-DE"/>
        </w:rPr>
      </w:pPr>
    </w:p>
    <w:p w14:paraId="7C7505DC" w14:textId="77777777" w:rsidR="00CB0045" w:rsidRPr="004676F5" w:rsidRDefault="00CB0045" w:rsidP="00CB0045">
      <w:pPr>
        <w:jc w:val="both"/>
        <w:rPr>
          <w:lang w:val="de-DE"/>
        </w:rPr>
      </w:pPr>
      <w:r w:rsidRPr="004676F5">
        <w:rPr>
          <w:lang w:val="de-DE"/>
        </w:rPr>
        <w:tab/>
        <w:t>- Einhaltung der Anforderung zur Auszeichnung der Nachhaltigkeitsberichterstattung gemäß Artikel 3:6/8 Absatz 2 des Gesetzbuches der Gesellschaften und Vereinigungen und</w:t>
      </w:r>
    </w:p>
    <w:p w14:paraId="306EC24F" w14:textId="77777777" w:rsidR="00CB0045" w:rsidRPr="004676F5" w:rsidRDefault="00CB0045" w:rsidP="00CB0045">
      <w:pPr>
        <w:jc w:val="both"/>
        <w:rPr>
          <w:lang w:val="de-DE"/>
        </w:rPr>
      </w:pPr>
    </w:p>
    <w:p w14:paraId="24210E11" w14:textId="77777777" w:rsidR="00CB0045" w:rsidRPr="004676F5" w:rsidRDefault="00CB0045" w:rsidP="00CB0045">
      <w:pPr>
        <w:jc w:val="both"/>
        <w:rPr>
          <w:lang w:val="de-DE"/>
        </w:rPr>
      </w:pPr>
      <w:r w:rsidRPr="004676F5">
        <w:rPr>
          <w:lang w:val="de-DE"/>
        </w:rPr>
        <w:tab/>
        <w:t>- Einhaltung der in Artikel 8 der Verordnung (EU) 2020/852 des Europäischen Parlaments und des Rates vom 18. Juni 2020 über die Einrichtung eines Rahmens zur Erleichterung nachhaltiger Investitionen und zur Änderung der Verordnung (EU) 2019/2088 vorgesehenen Offenlegungsanforderungen,</w:t>
      </w:r>
    </w:p>
    <w:p w14:paraId="232572F3" w14:textId="77777777" w:rsidR="00CB0045" w:rsidRPr="004676F5" w:rsidRDefault="00CB0045" w:rsidP="00CB0045">
      <w:pPr>
        <w:jc w:val="both"/>
        <w:rPr>
          <w:lang w:val="de-DE"/>
        </w:rPr>
      </w:pPr>
    </w:p>
    <w:p w14:paraId="315083D2" w14:textId="77777777" w:rsidR="00490221" w:rsidRPr="004676F5" w:rsidRDefault="00490221">
      <w:pPr>
        <w:rPr>
          <w:lang w:val="de-DE"/>
        </w:rPr>
      </w:pPr>
      <w:r w:rsidRPr="004676F5">
        <w:rPr>
          <w:lang w:val="de-DE"/>
        </w:rPr>
        <w:br w:type="page"/>
      </w:r>
    </w:p>
    <w:p w14:paraId="6EB7A6C5" w14:textId="7F1A5C36" w:rsidR="00CB0045" w:rsidRPr="004676F5" w:rsidRDefault="00CB0045" w:rsidP="00CB0045">
      <w:pPr>
        <w:jc w:val="both"/>
        <w:rPr>
          <w:lang w:val="de-DE"/>
        </w:rPr>
      </w:pPr>
      <w:r w:rsidRPr="004676F5">
        <w:rPr>
          <w:lang w:val="de-DE"/>
        </w:rPr>
        <w:lastRenderedPageBreak/>
        <w:tab/>
      </w:r>
      <w:r w:rsidRPr="004676F5">
        <w:rPr>
          <w:i/>
          <w:lang w:val="de-DE"/>
        </w:rPr>
        <w:t>b)</w:t>
      </w:r>
      <w:r w:rsidRPr="004676F5">
        <w:rPr>
          <w:lang w:val="de-DE"/>
        </w:rPr>
        <w:t> für Unternehmen wie in Nr. 1 Buchstabe </w:t>
      </w:r>
      <w:r w:rsidRPr="004676F5">
        <w:rPr>
          <w:i/>
          <w:lang w:val="de-DE"/>
        </w:rPr>
        <w:t xml:space="preserve">b) </w:t>
      </w:r>
      <w:r w:rsidRPr="004676F5">
        <w:rPr>
          <w:lang w:val="de-DE"/>
        </w:rPr>
        <w:t>erwähnt:</w:t>
      </w:r>
    </w:p>
    <w:p w14:paraId="1685D33F" w14:textId="77777777" w:rsidR="00CB0045" w:rsidRPr="004676F5" w:rsidRDefault="00CB0045" w:rsidP="00CB0045">
      <w:pPr>
        <w:jc w:val="both"/>
        <w:rPr>
          <w:lang w:val="de-DE"/>
        </w:rPr>
      </w:pPr>
    </w:p>
    <w:p w14:paraId="2705DF25" w14:textId="77777777" w:rsidR="00CB0045" w:rsidRPr="004676F5" w:rsidRDefault="00CB0045" w:rsidP="00CB0045">
      <w:pPr>
        <w:jc w:val="both"/>
        <w:rPr>
          <w:lang w:val="de-DE"/>
        </w:rPr>
      </w:pPr>
      <w:r w:rsidRPr="004676F5">
        <w:rPr>
          <w:lang w:val="de-DE"/>
        </w:rPr>
        <w:tab/>
        <w:t>- Übereinstimmung der im Bericht des Mutterunternehmens enthaltenen konsolidierten Nachhaltigkeitsberichterstattung mit den in Artikel 3:32/2 des Gesetzbuches der Gesellschaften und Vereinigungen erwähnten Anforderungen, einschließlich der anwendbaren europäischen Standards für die Nachhaltigkeitsberichterstattung,</w:t>
      </w:r>
    </w:p>
    <w:p w14:paraId="274E5E51" w14:textId="77777777" w:rsidR="00CB0045" w:rsidRPr="004676F5" w:rsidRDefault="00CB0045" w:rsidP="00CB0045">
      <w:pPr>
        <w:jc w:val="both"/>
        <w:rPr>
          <w:lang w:val="de-DE"/>
        </w:rPr>
      </w:pPr>
    </w:p>
    <w:p w14:paraId="04851508" w14:textId="77777777" w:rsidR="00CB0045" w:rsidRPr="004676F5" w:rsidRDefault="00CB0045" w:rsidP="00CB0045">
      <w:pPr>
        <w:jc w:val="both"/>
        <w:rPr>
          <w:lang w:val="de-DE"/>
        </w:rPr>
      </w:pPr>
      <w:r w:rsidRPr="004676F5">
        <w:rPr>
          <w:lang w:val="de-DE"/>
        </w:rPr>
        <w:tab/>
        <w:t>- Übereinstimmung mit dem vom Mutterunternehmen durchgeführten Verfahren zur Ermittlung der konsolidierten Nachhaltigkeitsinformationen gemäß den europäischen Standards,</w:t>
      </w:r>
    </w:p>
    <w:p w14:paraId="008491F3" w14:textId="77777777" w:rsidR="00CB0045" w:rsidRPr="004676F5" w:rsidRDefault="00CB0045" w:rsidP="00CB0045">
      <w:pPr>
        <w:jc w:val="both"/>
        <w:rPr>
          <w:lang w:val="de-DE"/>
        </w:rPr>
      </w:pPr>
    </w:p>
    <w:p w14:paraId="78DFDA09" w14:textId="77777777" w:rsidR="00CB0045" w:rsidRPr="004676F5" w:rsidRDefault="00CB0045" w:rsidP="00CB0045">
      <w:pPr>
        <w:jc w:val="both"/>
        <w:rPr>
          <w:lang w:val="de-DE"/>
        </w:rPr>
      </w:pPr>
      <w:r w:rsidRPr="004676F5">
        <w:rPr>
          <w:lang w:val="de-DE"/>
        </w:rPr>
        <w:tab/>
        <w:t xml:space="preserve">- Einhaltung der Anforderung zur Auszeichnung der Nachhaltigkeitsberichterstattung gemäß Artikel 3:32/6 Absatz 2 des Gesetzbuches der Gesellschaften und Vereinigungen und </w:t>
      </w:r>
    </w:p>
    <w:p w14:paraId="3EBC8567" w14:textId="77777777" w:rsidR="00CB0045" w:rsidRPr="004676F5" w:rsidRDefault="00CB0045" w:rsidP="00CB0045">
      <w:pPr>
        <w:jc w:val="both"/>
        <w:rPr>
          <w:lang w:val="de-DE"/>
        </w:rPr>
      </w:pPr>
    </w:p>
    <w:p w14:paraId="7F2E348E" w14:textId="77777777" w:rsidR="00CB0045" w:rsidRPr="004676F5" w:rsidRDefault="00CB0045" w:rsidP="00CB0045">
      <w:pPr>
        <w:jc w:val="both"/>
        <w:rPr>
          <w:iCs/>
          <w:lang w:val="de-DE"/>
        </w:rPr>
      </w:pPr>
      <w:r w:rsidRPr="004676F5">
        <w:rPr>
          <w:lang w:val="de-DE"/>
        </w:rPr>
        <w:tab/>
        <w:t>- Einhaltung der in Artikel 8 der Verordnung (EU) 2020/852 des Europäischen Parlaments und des Rates vom 18. Juni 2020 über die Einrichtung eines Rahmens zur Erleichterung nachhaltiger Investitionen und zur Änderung der Verordnung (EU) 2019/2088 vorgesehenen Offenlegungsanforderungen.</w:t>
      </w:r>
      <w:r w:rsidRPr="004676F5">
        <w:rPr>
          <w:iCs/>
          <w:lang w:val="de-DE"/>
        </w:rPr>
        <w:t>]</w:t>
      </w:r>
    </w:p>
    <w:p w14:paraId="52CD9F5E" w14:textId="77777777" w:rsidR="00CB0045" w:rsidRPr="004676F5" w:rsidRDefault="00CB0045" w:rsidP="00CB0045">
      <w:pPr>
        <w:jc w:val="both"/>
        <w:rPr>
          <w:iCs/>
          <w:lang w:val="de-DE"/>
        </w:rPr>
      </w:pPr>
    </w:p>
    <w:p w14:paraId="3567BD1B" w14:textId="08D8E749" w:rsidR="00CB0045" w:rsidRPr="004676F5" w:rsidRDefault="00CB0045" w:rsidP="00CB0045">
      <w:pPr>
        <w:jc w:val="both"/>
        <w:rPr>
          <w:iCs/>
          <w:lang w:val="de-DE"/>
        </w:rPr>
      </w:pPr>
      <w:r w:rsidRPr="004676F5">
        <w:rPr>
          <w:i/>
          <w:lang w:val="de-DE"/>
        </w:rPr>
        <w:t>[Art. VIII.57/1 eingefügt Art. 104 des G. vom 2. Dezember 2024 (B.S. vom 20. Dezember 2024)]</w:t>
      </w:r>
    </w:p>
    <w:p w14:paraId="3DF44824" w14:textId="77777777" w:rsidR="00CB0045" w:rsidRPr="004676F5" w:rsidRDefault="00CB0045" w:rsidP="00CB0045">
      <w:pPr>
        <w:jc w:val="both"/>
        <w:rPr>
          <w:iCs/>
          <w:lang w:val="de-DE"/>
        </w:rPr>
      </w:pPr>
    </w:p>
    <w:p w14:paraId="5B947B91" w14:textId="77777777" w:rsidR="00CB0045" w:rsidRPr="004676F5" w:rsidRDefault="00CB0045" w:rsidP="00CB0045">
      <w:pPr>
        <w:jc w:val="both"/>
        <w:rPr>
          <w:iCs/>
          <w:lang w:val="de-DE"/>
        </w:rPr>
      </w:pPr>
    </w:p>
    <w:p w14:paraId="3BEEFFC5" w14:textId="77777777" w:rsidR="00CB0045" w:rsidRPr="004676F5" w:rsidRDefault="00CB0045" w:rsidP="00CB0045">
      <w:pPr>
        <w:jc w:val="both"/>
        <w:rPr>
          <w:lang w:val="de-DE"/>
        </w:rPr>
      </w:pPr>
      <w:r w:rsidRPr="004676F5">
        <w:rPr>
          <w:iCs/>
          <w:lang w:val="de-DE"/>
        </w:rPr>
        <w:tab/>
        <w:t>[</w:t>
      </w:r>
      <w:r w:rsidRPr="004676F5">
        <w:rPr>
          <w:b/>
          <w:bCs/>
          <w:lang w:val="de-DE"/>
        </w:rPr>
        <w:t>Art. VIII.57/2</w:t>
      </w:r>
      <w:r w:rsidRPr="004676F5">
        <w:rPr>
          <w:lang w:val="de-DE"/>
        </w:rPr>
        <w:t> - § 1 - Unbeschadet des Artikels 3:58 des Gesetzbuches der Gesellschaften und Vereinigungen beschließt ein Unternehmen, in dem ein Betriebsrat eingerichtet ist, auf Vorschlag des Betriebsrates einen unabhängigen Erbringer von Bestätigungsleistungen mit der Bestätigung der Nachhaltigkeitsberichterstattung zu beauftragen. Die Generalversammlung des Unternehmens ernennt den unabhängigen Erbringer von Bestätigungsleistungen.</w:t>
      </w:r>
    </w:p>
    <w:p w14:paraId="5AD6FD02" w14:textId="77777777" w:rsidR="00CB0045" w:rsidRPr="004676F5" w:rsidRDefault="00CB0045" w:rsidP="00CB0045">
      <w:pPr>
        <w:jc w:val="both"/>
        <w:rPr>
          <w:lang w:val="de-DE"/>
        </w:rPr>
      </w:pPr>
    </w:p>
    <w:p w14:paraId="04B52AC5" w14:textId="77777777" w:rsidR="00CB0045" w:rsidRPr="004676F5" w:rsidRDefault="00CB0045" w:rsidP="00CB0045">
      <w:pPr>
        <w:jc w:val="both"/>
        <w:rPr>
          <w:lang w:val="de-DE"/>
        </w:rPr>
      </w:pPr>
      <w:r w:rsidRPr="004676F5">
        <w:rPr>
          <w:lang w:val="de-DE"/>
        </w:rPr>
        <w:tab/>
        <w:t>Unbeschadet des Artikels 3:58 des Gesetzbuches der Gesellschaften und Vereinigungen beschließt ein Unternehmen, in dem kein Betriebsrat eingerichtet ist, auf Vorschlag des Verwaltungsorgans einen unabhängigen Erbringer von Bestätigungsleistungen mit der Bestätigung der Nachhaltigkeitsberichterstattung zu beauftragen. Die Generalversammlung des Unternehmens ernennt den unabhängigen Erbringer von Bestätigungsleistungen.</w:t>
      </w:r>
    </w:p>
    <w:p w14:paraId="35367067" w14:textId="77777777" w:rsidR="00CB0045" w:rsidRPr="004676F5" w:rsidRDefault="00CB0045" w:rsidP="00CB0045">
      <w:pPr>
        <w:jc w:val="both"/>
        <w:rPr>
          <w:lang w:val="de-DE"/>
        </w:rPr>
      </w:pPr>
    </w:p>
    <w:p w14:paraId="0482F909" w14:textId="77777777" w:rsidR="00CB0045" w:rsidRPr="004676F5" w:rsidRDefault="00CB0045" w:rsidP="00CB0045">
      <w:pPr>
        <w:jc w:val="both"/>
        <w:rPr>
          <w:lang w:val="de-DE"/>
        </w:rPr>
      </w:pPr>
      <w:r w:rsidRPr="004676F5">
        <w:rPr>
          <w:lang w:val="de-DE"/>
        </w:rPr>
        <w:tab/>
        <w:t>Ein unabhängiger Erbringer von Bestätigungsleistungen darf für die Bestätigung der Nachhaltigkeitsberichterstattung nicht ernannt werden, wenn der Kommissar oder ein anderer Betriebsrevisor bereits mit der Bestätigung der Nachhaltigkeitsberichterstattung desselben Unternehmens beauftragt ist.</w:t>
      </w:r>
    </w:p>
    <w:p w14:paraId="2F988B0A" w14:textId="77777777" w:rsidR="00CB0045" w:rsidRPr="004676F5" w:rsidRDefault="00CB0045" w:rsidP="00CB0045">
      <w:pPr>
        <w:jc w:val="both"/>
        <w:rPr>
          <w:lang w:val="de-DE"/>
        </w:rPr>
      </w:pPr>
    </w:p>
    <w:p w14:paraId="0A1ABE07" w14:textId="2DA7F854" w:rsidR="00CB0045" w:rsidRPr="004676F5" w:rsidRDefault="00CB0045" w:rsidP="00CB0045">
      <w:pPr>
        <w:jc w:val="both"/>
        <w:rPr>
          <w:lang w:val="de-DE"/>
        </w:rPr>
      </w:pPr>
      <w:r w:rsidRPr="004676F5">
        <w:rPr>
          <w:lang w:val="de-DE"/>
        </w:rPr>
        <w:tab/>
        <w:t>§ 2 - Beschlüsse zur Ernennung eines unabhängigen Erbringers von Bestätigungsleistungen oder zur Erneuerung oder Widerrufung seines Mandat</w:t>
      </w:r>
      <w:r w:rsidR="00A8203A" w:rsidRPr="004676F5">
        <w:rPr>
          <w:lang w:val="de-DE"/>
        </w:rPr>
        <w:t>s</w:t>
      </w:r>
      <w:r w:rsidRPr="004676F5">
        <w:rPr>
          <w:lang w:val="de-DE"/>
        </w:rPr>
        <w:t xml:space="preserve"> unter Verstoß gegen § 1 sind nichtig. Die Nichtigkeit wird vom Präsidenten des Unternehmensgerichts des Sitzes des Unternehmens, das wie im Eilverfahren tagt, ausgesprochen.</w:t>
      </w:r>
    </w:p>
    <w:p w14:paraId="3EF8B948" w14:textId="77777777" w:rsidR="00CB0045" w:rsidRPr="004676F5" w:rsidRDefault="00CB0045" w:rsidP="00CB0045">
      <w:pPr>
        <w:jc w:val="both"/>
        <w:rPr>
          <w:lang w:val="de-DE"/>
        </w:rPr>
      </w:pPr>
    </w:p>
    <w:p w14:paraId="6858DF17" w14:textId="66E8D579" w:rsidR="00CB0045" w:rsidRPr="004676F5" w:rsidRDefault="00CB0045" w:rsidP="00CB0045">
      <w:pPr>
        <w:jc w:val="both"/>
        <w:rPr>
          <w:iCs/>
          <w:lang w:val="de-DE"/>
        </w:rPr>
      </w:pPr>
      <w:r w:rsidRPr="004676F5">
        <w:rPr>
          <w:lang w:val="de-DE"/>
        </w:rPr>
        <w:tab/>
        <w:t>§ 3 - Vertragsbestimmungen, die die Wahl der Generalversammlung auf bestimmte Kategorien oder Listen von unabhängigen Erbringern von Bestätigungsleistungen beschränken, sind verboten. Bestehende Bestimmungen dieser Art gelten als nichtig.</w:t>
      </w:r>
      <w:r w:rsidRPr="004676F5">
        <w:rPr>
          <w:iCs/>
          <w:lang w:val="de-DE"/>
        </w:rPr>
        <w:t>]</w:t>
      </w:r>
    </w:p>
    <w:p w14:paraId="4E85BC60" w14:textId="77777777" w:rsidR="00CB0045" w:rsidRPr="004676F5" w:rsidRDefault="00CB0045" w:rsidP="00CB0045">
      <w:pPr>
        <w:jc w:val="both"/>
        <w:rPr>
          <w:iCs/>
          <w:lang w:val="de-DE"/>
        </w:rPr>
      </w:pPr>
    </w:p>
    <w:p w14:paraId="4BA43827" w14:textId="78DDE108" w:rsidR="00A8203A" w:rsidRPr="004676F5" w:rsidRDefault="00CB0045" w:rsidP="00490221">
      <w:pPr>
        <w:jc w:val="both"/>
        <w:rPr>
          <w:i/>
          <w:lang w:val="de-DE"/>
        </w:rPr>
      </w:pPr>
      <w:r w:rsidRPr="004676F5">
        <w:rPr>
          <w:i/>
          <w:lang w:val="de-DE"/>
        </w:rPr>
        <w:t>[Art. VIII.57/</w:t>
      </w:r>
      <w:r w:rsidR="00A8203A" w:rsidRPr="004676F5">
        <w:rPr>
          <w:i/>
          <w:lang w:val="de-DE"/>
        </w:rPr>
        <w:t>2</w:t>
      </w:r>
      <w:r w:rsidRPr="004676F5">
        <w:rPr>
          <w:i/>
          <w:lang w:val="de-DE"/>
        </w:rPr>
        <w:t xml:space="preserve"> eingefügt Art. 105 des G. vom 2. Dezember 2024 (B.S. vom 20. Dezember 2024)]</w:t>
      </w:r>
      <w:r w:rsidR="00A8203A" w:rsidRPr="004676F5">
        <w:rPr>
          <w:i/>
          <w:lang w:val="de-DE"/>
        </w:rPr>
        <w:br w:type="page"/>
      </w:r>
    </w:p>
    <w:p w14:paraId="201848BF" w14:textId="77777777" w:rsidR="00490221" w:rsidRPr="004676F5" w:rsidRDefault="00490221" w:rsidP="00490221">
      <w:pPr>
        <w:jc w:val="both"/>
        <w:rPr>
          <w:i/>
          <w:lang w:val="de-DE"/>
        </w:rPr>
      </w:pPr>
    </w:p>
    <w:p w14:paraId="73A0C170" w14:textId="77777777" w:rsidR="00490221" w:rsidRPr="004676F5" w:rsidRDefault="00490221" w:rsidP="00490221">
      <w:pPr>
        <w:jc w:val="both"/>
        <w:rPr>
          <w:i/>
          <w:lang w:val="de-DE"/>
        </w:rPr>
      </w:pPr>
    </w:p>
    <w:p w14:paraId="6F25A73E" w14:textId="77777777" w:rsidR="00A8203A" w:rsidRPr="004676F5" w:rsidRDefault="00A8203A" w:rsidP="00A8203A">
      <w:pPr>
        <w:jc w:val="both"/>
        <w:rPr>
          <w:lang w:val="de-DE"/>
        </w:rPr>
      </w:pPr>
      <w:r w:rsidRPr="004676F5">
        <w:rPr>
          <w:iCs/>
          <w:lang w:val="de-DE"/>
        </w:rPr>
        <w:tab/>
        <w:t>[</w:t>
      </w:r>
      <w:r w:rsidRPr="004676F5">
        <w:rPr>
          <w:b/>
          <w:bCs/>
          <w:lang w:val="de-DE"/>
        </w:rPr>
        <w:t>Art. VIII.57/3</w:t>
      </w:r>
      <w:r w:rsidRPr="004676F5">
        <w:rPr>
          <w:lang w:val="de-DE"/>
        </w:rPr>
        <w:t> - Gibt es keine unabhängigen Erbringer von Bestätigungsleistungen oder ist es allen unabhängigen Erbringern von Bestätigungsleistungen unmöglich, ihr Amt auszuüben, wird unverzüglich für ihre Ernennung beziehungsweise Ersetzung gesorgt. Ansonsten ernennt der Präsident des Unternehmensgerichts, das wie im Eilverfahren tagt, auf Antrag eines Interessehabenden einen unabhängigen Erbringer von Bestätigungsleistungen, dessen Honorar er festlegt und der mit der Bestätigung der Nachhaltigkeitsberichterstattung beauftragt wird, bis auf rechtmäßige Weise für seine Ernennung beziehungsweise Ersetzung gesorgt worden ist. Eine solche Ernennung oder Ersetzung wird jedoch erst ab der ersten jährlichen Generalversammlung nach der Ernennung des unabhängigen Erbringers von Bestätigungsleistungen durch den Präsidenten wirksam.</w:t>
      </w:r>
    </w:p>
    <w:p w14:paraId="128DED56" w14:textId="77777777" w:rsidR="00A8203A" w:rsidRPr="004676F5" w:rsidRDefault="00A8203A" w:rsidP="00A8203A">
      <w:pPr>
        <w:jc w:val="both"/>
        <w:rPr>
          <w:lang w:val="de-DE"/>
        </w:rPr>
      </w:pPr>
    </w:p>
    <w:p w14:paraId="5C433F7F" w14:textId="69D6C0CD" w:rsidR="00CB0045" w:rsidRPr="004676F5" w:rsidRDefault="00A8203A" w:rsidP="00A8203A">
      <w:pPr>
        <w:jc w:val="both"/>
        <w:rPr>
          <w:iCs/>
          <w:lang w:val="de-DE"/>
        </w:rPr>
      </w:pPr>
      <w:r w:rsidRPr="004676F5">
        <w:rPr>
          <w:lang w:val="de-DE"/>
        </w:rPr>
        <w:tab/>
        <w:t>Vorliegender Artikel ist nicht anwendbar, wenn der Kommissar des Unternehmens oder ein anderer Betriebsrevisor bereits mit der Bestätigung der Nachhaltigkeitsberichterstattung des Unternehmens beauftragt ist.</w:t>
      </w:r>
      <w:r w:rsidRPr="004676F5">
        <w:rPr>
          <w:iCs/>
          <w:lang w:val="de-DE"/>
        </w:rPr>
        <w:t>]</w:t>
      </w:r>
    </w:p>
    <w:p w14:paraId="0DA1DA89" w14:textId="77777777" w:rsidR="00A8203A" w:rsidRPr="004676F5" w:rsidRDefault="00A8203A" w:rsidP="00CB0045">
      <w:pPr>
        <w:jc w:val="both"/>
        <w:rPr>
          <w:iCs/>
          <w:lang w:val="de-DE"/>
        </w:rPr>
      </w:pPr>
    </w:p>
    <w:p w14:paraId="040DB7C5" w14:textId="77777777" w:rsidR="00A8203A" w:rsidRPr="004676F5" w:rsidRDefault="00A8203A" w:rsidP="00CB0045">
      <w:pPr>
        <w:jc w:val="both"/>
        <w:rPr>
          <w:iCs/>
          <w:lang w:val="de-DE"/>
        </w:rPr>
      </w:pPr>
      <w:r w:rsidRPr="004676F5">
        <w:rPr>
          <w:i/>
          <w:lang w:val="de-DE"/>
        </w:rPr>
        <w:t>[Art. VIII.57/3 eingefügt Art. 106 des G. vom 2. Dezember 2024 (B.S. vom 20. Dezember 2024)]</w:t>
      </w:r>
    </w:p>
    <w:p w14:paraId="13B852D2" w14:textId="77777777" w:rsidR="00A8203A" w:rsidRPr="004676F5" w:rsidRDefault="00A8203A" w:rsidP="00CB0045">
      <w:pPr>
        <w:jc w:val="both"/>
        <w:rPr>
          <w:iCs/>
          <w:lang w:val="de-DE"/>
        </w:rPr>
      </w:pPr>
    </w:p>
    <w:p w14:paraId="48194385" w14:textId="77777777" w:rsidR="00A8203A" w:rsidRPr="004676F5" w:rsidRDefault="00A8203A" w:rsidP="00CB0045">
      <w:pPr>
        <w:jc w:val="both"/>
        <w:rPr>
          <w:iCs/>
          <w:lang w:val="de-DE"/>
        </w:rPr>
      </w:pPr>
    </w:p>
    <w:p w14:paraId="4DD569B0" w14:textId="77777777" w:rsidR="00A8203A" w:rsidRPr="004676F5" w:rsidRDefault="00A8203A" w:rsidP="00A8203A">
      <w:pPr>
        <w:jc w:val="both"/>
        <w:rPr>
          <w:lang w:val="de-DE"/>
        </w:rPr>
      </w:pPr>
      <w:r w:rsidRPr="004676F5">
        <w:rPr>
          <w:iCs/>
          <w:lang w:val="de-DE"/>
        </w:rPr>
        <w:tab/>
        <w:t>[</w:t>
      </w:r>
      <w:r w:rsidRPr="004676F5">
        <w:rPr>
          <w:b/>
          <w:bCs/>
          <w:lang w:val="de-DE"/>
        </w:rPr>
        <w:t>Art. VIII.57/4</w:t>
      </w:r>
      <w:r w:rsidRPr="004676F5">
        <w:rPr>
          <w:lang w:val="de-DE"/>
        </w:rPr>
        <w:t> - Wird eine juristische Person als unabhängiger Erbringer von Bestätigungsleistungen ernannt, wird mindestens ein unabhängiger Erbringer von Bestätigungsleistungen, der eine natürliche Person ist, als ständiger Vertreter der juristischen Person mit Unterschriftsbefugnis bestellt.</w:t>
      </w:r>
    </w:p>
    <w:p w14:paraId="0F4467FF" w14:textId="77777777" w:rsidR="00A8203A" w:rsidRPr="004676F5" w:rsidRDefault="00A8203A" w:rsidP="00A8203A">
      <w:pPr>
        <w:jc w:val="both"/>
        <w:rPr>
          <w:lang w:val="de-DE"/>
        </w:rPr>
      </w:pPr>
    </w:p>
    <w:p w14:paraId="331CBC17" w14:textId="77777777" w:rsidR="00A8203A" w:rsidRPr="004676F5" w:rsidRDefault="00A8203A" w:rsidP="00A8203A">
      <w:pPr>
        <w:jc w:val="both"/>
        <w:rPr>
          <w:iCs/>
          <w:lang w:val="de-DE"/>
        </w:rPr>
      </w:pPr>
      <w:r w:rsidRPr="004676F5">
        <w:rPr>
          <w:lang w:val="de-DE"/>
        </w:rPr>
        <w:tab/>
        <w:t>Für Erteilung des Auftrags der Bestätigung der Nachhaltigkeitsberichterstattung an den ständigen Vertreter der juristischen Person und Beendigung seines Auftrags gelten dieselben Offenlegungsregeln, als würde der ständige Vertreter diesen Auftrag in eigenem Namen und für eigene Rechnung ausführen.</w:t>
      </w:r>
      <w:r w:rsidRPr="004676F5">
        <w:rPr>
          <w:iCs/>
          <w:lang w:val="de-DE"/>
        </w:rPr>
        <w:t>]</w:t>
      </w:r>
    </w:p>
    <w:p w14:paraId="76C351EC" w14:textId="77777777" w:rsidR="00A8203A" w:rsidRPr="004676F5" w:rsidRDefault="00A8203A" w:rsidP="00A8203A">
      <w:pPr>
        <w:jc w:val="both"/>
        <w:rPr>
          <w:iCs/>
          <w:lang w:val="de-DE"/>
        </w:rPr>
      </w:pPr>
    </w:p>
    <w:p w14:paraId="351BBBCA" w14:textId="77777777" w:rsidR="00A8203A" w:rsidRPr="004676F5" w:rsidRDefault="00A8203A" w:rsidP="00A8203A">
      <w:pPr>
        <w:jc w:val="both"/>
        <w:rPr>
          <w:iCs/>
          <w:lang w:val="de-DE"/>
        </w:rPr>
      </w:pPr>
      <w:r w:rsidRPr="004676F5">
        <w:rPr>
          <w:i/>
          <w:lang w:val="de-DE"/>
        </w:rPr>
        <w:t>[Art. VIII.57/4 eingefügt Art. 107 des G. vom 2. Dezember 2024 (B.S. vom 20. Dezember 2024)]</w:t>
      </w:r>
    </w:p>
    <w:p w14:paraId="10317DC3" w14:textId="77777777" w:rsidR="00A8203A" w:rsidRPr="004676F5" w:rsidRDefault="00A8203A" w:rsidP="00A8203A">
      <w:pPr>
        <w:jc w:val="both"/>
        <w:rPr>
          <w:iCs/>
          <w:lang w:val="de-DE"/>
        </w:rPr>
      </w:pPr>
    </w:p>
    <w:p w14:paraId="380978DF" w14:textId="77777777" w:rsidR="00A8203A" w:rsidRPr="004676F5" w:rsidRDefault="00A8203A" w:rsidP="00A8203A">
      <w:pPr>
        <w:jc w:val="both"/>
        <w:rPr>
          <w:iCs/>
          <w:lang w:val="de-DE"/>
        </w:rPr>
      </w:pPr>
    </w:p>
    <w:p w14:paraId="78F91D25" w14:textId="7ED7348A" w:rsidR="00A8203A" w:rsidRPr="004676F5" w:rsidRDefault="00A8203A" w:rsidP="00A8203A">
      <w:pPr>
        <w:jc w:val="both"/>
        <w:rPr>
          <w:iCs/>
          <w:lang w:val="de-DE"/>
        </w:rPr>
      </w:pPr>
      <w:r w:rsidRPr="004676F5">
        <w:rPr>
          <w:iCs/>
          <w:lang w:val="de-DE"/>
        </w:rPr>
        <w:tab/>
        <w:t>[</w:t>
      </w:r>
      <w:r w:rsidRPr="004676F5">
        <w:rPr>
          <w:b/>
          <w:bCs/>
          <w:lang w:val="de-DE"/>
        </w:rPr>
        <w:t>Art. VIII.57/5</w:t>
      </w:r>
      <w:r w:rsidRPr="004676F5">
        <w:rPr>
          <w:lang w:val="de-DE"/>
        </w:rPr>
        <w:t> - Das Mandat des unabhängigen Erbringers von Bestätigungsleistungen, der für die Bestätigung der Nachhaltigkeitsberichterstattung des Unternehmens ernannt wird, hat eine Dauer von drei Jahren. Dieses Mandat ist erneuerbar.</w:t>
      </w:r>
      <w:r w:rsidRPr="004676F5">
        <w:rPr>
          <w:iCs/>
          <w:lang w:val="de-DE"/>
        </w:rPr>
        <w:t>]</w:t>
      </w:r>
    </w:p>
    <w:p w14:paraId="38D0D2A6" w14:textId="77777777" w:rsidR="00A8203A" w:rsidRPr="004676F5" w:rsidRDefault="00A8203A" w:rsidP="00A8203A">
      <w:pPr>
        <w:jc w:val="both"/>
        <w:rPr>
          <w:iCs/>
          <w:lang w:val="de-DE"/>
        </w:rPr>
      </w:pPr>
    </w:p>
    <w:p w14:paraId="5732B436" w14:textId="19DDC270" w:rsidR="00A8203A" w:rsidRPr="004676F5" w:rsidRDefault="00A8203A" w:rsidP="00A8203A">
      <w:pPr>
        <w:jc w:val="both"/>
        <w:rPr>
          <w:iCs/>
          <w:lang w:val="de-DE"/>
        </w:rPr>
      </w:pPr>
      <w:r w:rsidRPr="004676F5">
        <w:rPr>
          <w:i/>
          <w:lang w:val="de-DE"/>
        </w:rPr>
        <w:t>[Art. VIII.57/5 eingefügt Art. 108 des G. vom 2. Dezember 2024 (B.S. vom 20. Dezember 2024)]</w:t>
      </w:r>
    </w:p>
    <w:p w14:paraId="39627CD3" w14:textId="77777777" w:rsidR="00A8203A" w:rsidRPr="004676F5" w:rsidRDefault="00A8203A" w:rsidP="00A8203A">
      <w:pPr>
        <w:jc w:val="both"/>
        <w:rPr>
          <w:iCs/>
          <w:lang w:val="de-DE"/>
        </w:rPr>
      </w:pPr>
    </w:p>
    <w:p w14:paraId="1AFB75C2" w14:textId="77777777" w:rsidR="00A8203A" w:rsidRPr="004676F5" w:rsidRDefault="00A8203A" w:rsidP="00A8203A">
      <w:pPr>
        <w:jc w:val="both"/>
        <w:rPr>
          <w:iCs/>
          <w:lang w:val="de-DE"/>
        </w:rPr>
      </w:pPr>
    </w:p>
    <w:p w14:paraId="4F474D58" w14:textId="77777777" w:rsidR="00A8203A" w:rsidRPr="004676F5" w:rsidRDefault="00A8203A" w:rsidP="00A8203A">
      <w:pPr>
        <w:jc w:val="both"/>
        <w:rPr>
          <w:lang w:val="de-DE"/>
        </w:rPr>
      </w:pPr>
      <w:r w:rsidRPr="004676F5">
        <w:rPr>
          <w:iCs/>
          <w:lang w:val="de-DE"/>
        </w:rPr>
        <w:tab/>
        <w:t>[</w:t>
      </w:r>
      <w:r w:rsidRPr="004676F5">
        <w:rPr>
          <w:b/>
          <w:bCs/>
          <w:lang w:val="de-DE"/>
        </w:rPr>
        <w:t>Art. VIII.57/6</w:t>
      </w:r>
      <w:r w:rsidRPr="004676F5">
        <w:rPr>
          <w:lang w:val="de-DE"/>
        </w:rPr>
        <w:t> - § 1 - Zu unabhängigen Erbringern von Bestätigungsleistungen können keine Personen bestellt werden, die sich in einer Lage befinden, die eine unabhängige Ausübung ihres Amtes beeinträchtigen könnte. Unabhängige Erbringer von Bestätigungs</w:t>
      </w:r>
      <w:r w:rsidRPr="004676F5">
        <w:rPr>
          <w:lang w:val="de-DE"/>
        </w:rPr>
        <w:softHyphen/>
        <w:t>leistungen müssen dafür Sorge tragen, nach ihrer Ernennung nicht in eine solche Lage versetzt zu werden. Ihre Unabhängigkeit ist zumindest Voraussetzung während des Zeitraums, auf den sich die zu bestätigende Nachhaltigkeitsberichterstattung bezieht, und während des Zeitraums, in dem der Bestätigungsauftrag ausgeführt wird.</w:t>
      </w:r>
    </w:p>
    <w:p w14:paraId="7D6EF7F1" w14:textId="77777777" w:rsidR="00A8203A" w:rsidRPr="004676F5" w:rsidRDefault="00A8203A" w:rsidP="00A8203A">
      <w:pPr>
        <w:jc w:val="both"/>
        <w:rPr>
          <w:lang w:val="de-DE"/>
        </w:rPr>
      </w:pPr>
    </w:p>
    <w:p w14:paraId="252AC3A0" w14:textId="77777777" w:rsidR="00A8203A" w:rsidRPr="004676F5" w:rsidRDefault="00A8203A" w:rsidP="00A8203A">
      <w:pPr>
        <w:jc w:val="both"/>
        <w:rPr>
          <w:lang w:val="de-DE"/>
        </w:rPr>
      </w:pPr>
      <w:r w:rsidRPr="004676F5">
        <w:rPr>
          <w:lang w:val="de-DE"/>
        </w:rPr>
        <w:lastRenderedPageBreak/>
        <w:tab/>
        <w:t>§ 2 - So dürfen unabhängige Erbringer von Bestätigungsleistungen weder in dem Unternehmen, für das sie den Bestätigungsauftrag erfüllen, noch in einer mit ihm im Sinne von Artikel 1:20 des Gesetzbuches der Gesellschaften und Vereinigungen verbundenen Gesellschaft oder Person zusätzlich ein Amt, ein Mandat oder einen Auftrag annehmen, das/der während des Mandats oder danach zu erfüllen wäre und wodurch die unabhängige Ausübung ihres Amtes als unabhängige Erbringer von Bestätigungsleistungen in Frage gestellt würde.</w:t>
      </w:r>
    </w:p>
    <w:p w14:paraId="749F9A54" w14:textId="77777777" w:rsidR="00A8203A" w:rsidRPr="004676F5" w:rsidRDefault="00A8203A" w:rsidP="00A8203A">
      <w:pPr>
        <w:jc w:val="both"/>
        <w:rPr>
          <w:lang w:val="de-DE"/>
        </w:rPr>
      </w:pPr>
    </w:p>
    <w:p w14:paraId="506B2246" w14:textId="29F0741D" w:rsidR="00A8203A" w:rsidRPr="004676F5" w:rsidRDefault="00A8203A" w:rsidP="00A8203A">
      <w:pPr>
        <w:jc w:val="both"/>
        <w:rPr>
          <w:iCs/>
          <w:lang w:val="de-DE"/>
        </w:rPr>
      </w:pPr>
      <w:r w:rsidRPr="004676F5">
        <w:rPr>
          <w:lang w:val="de-DE"/>
        </w:rPr>
        <w:tab/>
        <w:t>§ 3 - Während eines Zeitraums von zwei Jahren, der am Tag der Beendigung ihres Mandats als unabhängige Erbringer von Bestätigungsleistungen beginnt, dürfen sie weder in dem Unternehmen, in dem sie Bestätigungsleistungen erbringen, noch in einer mit ihm im Sinne von Artikel 1:20 des Gesetzbuches der Gesellschaften und Vereinigungen verbundenen Gesellschaft oder Person ein Mandat als Mitglied des Verwaltungsorgans oder jegliches andere Amt annehmen.</w:t>
      </w:r>
      <w:r w:rsidRPr="004676F5">
        <w:rPr>
          <w:iCs/>
          <w:lang w:val="de-DE"/>
        </w:rPr>
        <w:t>]</w:t>
      </w:r>
    </w:p>
    <w:p w14:paraId="5D1EBA20" w14:textId="77777777" w:rsidR="00A8203A" w:rsidRPr="004676F5" w:rsidRDefault="00A8203A" w:rsidP="00A8203A">
      <w:pPr>
        <w:jc w:val="both"/>
        <w:rPr>
          <w:iCs/>
          <w:lang w:val="de-DE"/>
        </w:rPr>
      </w:pPr>
    </w:p>
    <w:p w14:paraId="0DFDE7CF" w14:textId="58712F11" w:rsidR="00A8203A" w:rsidRPr="004676F5" w:rsidRDefault="00A8203A" w:rsidP="00A8203A">
      <w:pPr>
        <w:jc w:val="both"/>
        <w:rPr>
          <w:iCs/>
          <w:lang w:val="de-DE"/>
        </w:rPr>
      </w:pPr>
      <w:r w:rsidRPr="004676F5">
        <w:rPr>
          <w:i/>
          <w:lang w:val="de-DE"/>
        </w:rPr>
        <w:t>[Art. VIII.57/6 eingefügt Art. 109 des G. vom 2. Dezember 2024 (B.S. vom 20. Dezember 2024)]</w:t>
      </w:r>
    </w:p>
    <w:p w14:paraId="4A65DF9B" w14:textId="77777777" w:rsidR="00A8203A" w:rsidRPr="004676F5" w:rsidRDefault="00A8203A" w:rsidP="00A8203A">
      <w:pPr>
        <w:jc w:val="both"/>
        <w:rPr>
          <w:iCs/>
          <w:lang w:val="de-DE"/>
        </w:rPr>
      </w:pPr>
    </w:p>
    <w:p w14:paraId="55FAF97D" w14:textId="77777777" w:rsidR="00A8203A" w:rsidRPr="004676F5" w:rsidRDefault="00A8203A" w:rsidP="00A8203A">
      <w:pPr>
        <w:jc w:val="both"/>
        <w:rPr>
          <w:iCs/>
          <w:lang w:val="de-DE"/>
        </w:rPr>
      </w:pPr>
    </w:p>
    <w:p w14:paraId="394F469B" w14:textId="77777777" w:rsidR="00A8203A" w:rsidRPr="004676F5" w:rsidRDefault="00A8203A" w:rsidP="00A8203A">
      <w:pPr>
        <w:jc w:val="both"/>
        <w:rPr>
          <w:lang w:val="de-DE"/>
        </w:rPr>
      </w:pPr>
      <w:r w:rsidRPr="004676F5">
        <w:rPr>
          <w:iCs/>
          <w:lang w:val="de-DE"/>
        </w:rPr>
        <w:tab/>
        <w:t>[</w:t>
      </w:r>
      <w:r w:rsidRPr="004676F5">
        <w:rPr>
          <w:b/>
          <w:bCs/>
          <w:lang w:val="de-DE"/>
        </w:rPr>
        <w:t>Art. VIII.57/7</w:t>
      </w:r>
      <w:r w:rsidRPr="004676F5">
        <w:rPr>
          <w:lang w:val="de-DE"/>
        </w:rPr>
        <w:t> - Zur Vermeidung eines Schadenersatzes kann ein unabhängiger Erbringer von Bestätigungsleistungen während seines Mandats nur aus einem rechtmäßigen Grund von der Generalversammlung abberufen werden.</w:t>
      </w:r>
    </w:p>
    <w:p w14:paraId="315472B7" w14:textId="77777777" w:rsidR="00A8203A" w:rsidRPr="004676F5" w:rsidRDefault="00A8203A" w:rsidP="00A8203A">
      <w:pPr>
        <w:jc w:val="both"/>
        <w:rPr>
          <w:lang w:val="de-DE"/>
        </w:rPr>
      </w:pPr>
    </w:p>
    <w:p w14:paraId="0FC1981F" w14:textId="77777777" w:rsidR="00A8203A" w:rsidRPr="004676F5" w:rsidRDefault="00A8203A" w:rsidP="00A8203A">
      <w:pPr>
        <w:jc w:val="both"/>
        <w:rPr>
          <w:lang w:val="de-DE"/>
        </w:rPr>
      </w:pPr>
      <w:r w:rsidRPr="004676F5">
        <w:rPr>
          <w:lang w:val="de-DE"/>
        </w:rPr>
        <w:tab/>
        <w:t>Außer bei schwerwiegenden persönlichen Gründen darf ein unabhängiger Erbringer von Bestätigungsleistungen während seines Mandats nur auf einer Generalversammlung von seinem Amt zurücktreten, nachdem er diese schriftlich über die Gründe seines Austritts informiert hat.</w:t>
      </w:r>
    </w:p>
    <w:p w14:paraId="10F5953D" w14:textId="77777777" w:rsidR="00A8203A" w:rsidRPr="004676F5" w:rsidRDefault="00A8203A" w:rsidP="00A8203A">
      <w:pPr>
        <w:jc w:val="both"/>
        <w:rPr>
          <w:lang w:val="de-DE"/>
        </w:rPr>
      </w:pPr>
    </w:p>
    <w:p w14:paraId="3A16F956" w14:textId="386AEC93" w:rsidR="00A8203A" w:rsidRPr="004676F5" w:rsidRDefault="00A8203A" w:rsidP="00A8203A">
      <w:pPr>
        <w:jc w:val="both"/>
        <w:rPr>
          <w:iCs/>
          <w:lang w:val="de-DE"/>
        </w:rPr>
      </w:pPr>
      <w:r w:rsidRPr="004676F5">
        <w:rPr>
          <w:lang w:val="de-DE"/>
        </w:rPr>
        <w:tab/>
        <w:t>Das Unternehmen und der unabhängige Erbringer von Bestätigungsleistungen informieren die Akkreditierungsstelle über Austritt beziehungsweise Abberufung des unabhängigen Erbringers von Bestätigungsleistungen im Laufe des Mandats und legen auf angemessene Weise die Gründe dafür dar, unabhängig davon, ob die vorzeitige Mandatsunterbrechung einvernehmlich erfolgt ist oder nicht.</w:t>
      </w:r>
      <w:r w:rsidRPr="004676F5">
        <w:rPr>
          <w:iCs/>
          <w:lang w:val="de-DE"/>
        </w:rPr>
        <w:t>]</w:t>
      </w:r>
    </w:p>
    <w:p w14:paraId="43E957F8" w14:textId="77777777" w:rsidR="00A8203A" w:rsidRPr="004676F5" w:rsidRDefault="00A8203A" w:rsidP="00A8203A">
      <w:pPr>
        <w:jc w:val="both"/>
        <w:rPr>
          <w:iCs/>
          <w:lang w:val="de-DE"/>
        </w:rPr>
      </w:pPr>
    </w:p>
    <w:p w14:paraId="39B72548" w14:textId="1BEDFC05" w:rsidR="00A8203A" w:rsidRPr="004676F5" w:rsidRDefault="00A8203A" w:rsidP="00A8203A">
      <w:pPr>
        <w:jc w:val="both"/>
        <w:rPr>
          <w:iCs/>
          <w:lang w:val="de-DE"/>
        </w:rPr>
      </w:pPr>
      <w:r w:rsidRPr="004676F5">
        <w:rPr>
          <w:i/>
          <w:lang w:val="de-DE"/>
        </w:rPr>
        <w:t>[Art. VIII.57/7 eingefügt Art. 110 des G. vom 2. Dezember 2024 (B.S. vom 20. Dezember 2024)]</w:t>
      </w:r>
    </w:p>
    <w:p w14:paraId="1466813D" w14:textId="77777777" w:rsidR="00A8203A" w:rsidRPr="004676F5" w:rsidRDefault="00A8203A" w:rsidP="00A8203A">
      <w:pPr>
        <w:jc w:val="both"/>
        <w:rPr>
          <w:iCs/>
          <w:lang w:val="de-DE"/>
        </w:rPr>
      </w:pPr>
    </w:p>
    <w:p w14:paraId="21773A39" w14:textId="77777777" w:rsidR="00A8203A" w:rsidRPr="004676F5" w:rsidRDefault="00A8203A" w:rsidP="00A8203A">
      <w:pPr>
        <w:jc w:val="both"/>
        <w:rPr>
          <w:iCs/>
          <w:lang w:val="de-DE"/>
        </w:rPr>
      </w:pPr>
    </w:p>
    <w:p w14:paraId="123DFDD1" w14:textId="77777777" w:rsidR="00A8203A" w:rsidRPr="004676F5" w:rsidRDefault="00A8203A" w:rsidP="00A8203A">
      <w:pPr>
        <w:jc w:val="both"/>
        <w:rPr>
          <w:lang w:val="de-DE"/>
        </w:rPr>
      </w:pPr>
      <w:r w:rsidRPr="004676F5">
        <w:rPr>
          <w:iCs/>
          <w:lang w:val="de-DE"/>
        </w:rPr>
        <w:tab/>
        <w:t>[</w:t>
      </w:r>
      <w:r w:rsidRPr="004676F5">
        <w:rPr>
          <w:b/>
          <w:bCs/>
          <w:lang w:val="de-DE"/>
        </w:rPr>
        <w:t>Art. VIII.57/8</w:t>
      </w:r>
      <w:r w:rsidRPr="004676F5">
        <w:rPr>
          <w:lang w:val="de-DE"/>
        </w:rPr>
        <w:t> - § 1 - Artikel 458 des Strafgesetzbuches ist auf unabhängige Erbringer von Bestätigungsleistungen und auf Personen, für die sie haften, anwendbar.</w:t>
      </w:r>
    </w:p>
    <w:p w14:paraId="6F3F0434" w14:textId="77777777" w:rsidR="00A8203A" w:rsidRPr="004676F5" w:rsidRDefault="00A8203A" w:rsidP="00A8203A">
      <w:pPr>
        <w:jc w:val="both"/>
        <w:rPr>
          <w:lang w:val="de-DE"/>
        </w:rPr>
      </w:pPr>
    </w:p>
    <w:p w14:paraId="5F913174" w14:textId="77777777" w:rsidR="00A8203A" w:rsidRPr="004676F5" w:rsidRDefault="00A8203A" w:rsidP="00A8203A">
      <w:pPr>
        <w:jc w:val="both"/>
        <w:rPr>
          <w:lang w:val="de-DE"/>
        </w:rPr>
      </w:pPr>
      <w:r w:rsidRPr="004676F5">
        <w:rPr>
          <w:lang w:val="de-DE"/>
        </w:rPr>
        <w:tab/>
        <w:t>Zu den Ausnahmen von der Geheimhaltungspflicht, die in diesem Artikel vorgesehen sind, kommen folgende hinzu:</w:t>
      </w:r>
    </w:p>
    <w:p w14:paraId="60232500" w14:textId="77777777" w:rsidR="00A8203A" w:rsidRPr="004676F5" w:rsidRDefault="00A8203A" w:rsidP="00A8203A">
      <w:pPr>
        <w:jc w:val="both"/>
        <w:rPr>
          <w:lang w:val="de-DE"/>
        </w:rPr>
      </w:pPr>
    </w:p>
    <w:p w14:paraId="3F4F667D" w14:textId="77777777" w:rsidR="00A8203A" w:rsidRPr="004676F5" w:rsidRDefault="00A8203A" w:rsidP="00A8203A">
      <w:pPr>
        <w:jc w:val="both"/>
        <w:rPr>
          <w:lang w:val="de-DE"/>
        </w:rPr>
      </w:pPr>
      <w:r w:rsidRPr="004676F5">
        <w:rPr>
          <w:lang w:val="de-DE"/>
        </w:rPr>
        <w:tab/>
        <w:t>1. Übermittlung von Bescheinigungen oder Bestätigungen mit schriftlichem Einverständnis des Unternehmens, bei dem sie ihr Amt ausüben,</w:t>
      </w:r>
    </w:p>
    <w:p w14:paraId="641B9C0E" w14:textId="77777777" w:rsidR="00A8203A" w:rsidRPr="004676F5" w:rsidRDefault="00A8203A" w:rsidP="00A8203A">
      <w:pPr>
        <w:jc w:val="both"/>
        <w:rPr>
          <w:lang w:val="de-DE"/>
        </w:rPr>
      </w:pPr>
    </w:p>
    <w:p w14:paraId="123EAC57" w14:textId="77777777" w:rsidR="00A8203A" w:rsidRPr="004676F5" w:rsidRDefault="00A8203A" w:rsidP="00A8203A">
      <w:pPr>
        <w:jc w:val="both"/>
        <w:rPr>
          <w:lang w:val="de-DE"/>
        </w:rPr>
      </w:pPr>
      <w:r w:rsidRPr="004676F5">
        <w:rPr>
          <w:lang w:val="de-DE"/>
        </w:rPr>
        <w:tab/>
        <w:t>2. Übermittlung von Bescheinigungen oder Bestätigungen an unabhängige Erbringer von Bestätigungsleistungen oder Personen, die in einem Unternehmen nach ausländischem Recht ein Amt ausüben, das dem Amt eines unabhängigen Erbringers von Bestätigungs</w:t>
      </w:r>
      <w:r w:rsidRPr="004676F5">
        <w:rPr>
          <w:lang w:val="de-DE"/>
        </w:rPr>
        <w:softHyphen/>
        <w:t>leistungen entspricht, im Rahmen der Bestätigung der Nachhaltigkeitsberichterstattung eines Unternehmens, mit der sie beauftragt sind,</w:t>
      </w:r>
    </w:p>
    <w:p w14:paraId="096644A0" w14:textId="77777777" w:rsidR="00A8203A" w:rsidRPr="004676F5" w:rsidRDefault="00A8203A" w:rsidP="00A8203A">
      <w:pPr>
        <w:jc w:val="both"/>
        <w:rPr>
          <w:lang w:val="de-DE"/>
        </w:rPr>
      </w:pPr>
    </w:p>
    <w:p w14:paraId="33635863" w14:textId="77777777" w:rsidR="00A8203A" w:rsidRPr="004676F5" w:rsidRDefault="00A8203A" w:rsidP="00A8203A">
      <w:pPr>
        <w:jc w:val="both"/>
        <w:rPr>
          <w:lang w:val="de-DE"/>
        </w:rPr>
      </w:pPr>
      <w:r w:rsidRPr="004676F5">
        <w:rPr>
          <w:lang w:val="de-DE"/>
        </w:rPr>
        <w:lastRenderedPageBreak/>
        <w:tab/>
        <w:t>3. Einsicht - im Rahmen der Nachfolge in einem Bestätigungsauftrag - durch einen unabhängigen Erbringer von Bestätigungsleistungen von Arbeitsunterlagen eines unabhängigen Erbringers von Bestätigungsleistungen oder eines Betriebsrevisors, der zuvor mit demselben Bestätigungsauftrag beauftragt war,</w:t>
      </w:r>
    </w:p>
    <w:p w14:paraId="05429287" w14:textId="77777777" w:rsidR="00A8203A" w:rsidRPr="004676F5" w:rsidRDefault="00A8203A" w:rsidP="00A8203A">
      <w:pPr>
        <w:jc w:val="both"/>
        <w:rPr>
          <w:lang w:val="de-DE"/>
        </w:rPr>
      </w:pPr>
    </w:p>
    <w:p w14:paraId="65FC003C" w14:textId="77777777" w:rsidR="00A8203A" w:rsidRPr="004676F5" w:rsidRDefault="00A8203A" w:rsidP="00A8203A">
      <w:pPr>
        <w:jc w:val="both"/>
        <w:rPr>
          <w:lang w:val="de-DE"/>
        </w:rPr>
      </w:pPr>
      <w:r w:rsidRPr="004676F5">
        <w:rPr>
          <w:lang w:val="de-DE"/>
        </w:rPr>
        <w:tab/>
        <w:t>4. Kontakte zwischen einem unabhängigen Erbringer von Bestätigungsleistungen und der in Artikel VIII.30 § 1 erwähnten nationalen Akkreditierungsstelle,</w:t>
      </w:r>
    </w:p>
    <w:p w14:paraId="0FA1EAAC" w14:textId="77777777" w:rsidR="00A8203A" w:rsidRPr="004676F5" w:rsidRDefault="00A8203A" w:rsidP="00A8203A">
      <w:pPr>
        <w:jc w:val="both"/>
        <w:rPr>
          <w:lang w:val="de-DE"/>
        </w:rPr>
      </w:pPr>
    </w:p>
    <w:p w14:paraId="51B4790A" w14:textId="77777777" w:rsidR="00A8203A" w:rsidRPr="004676F5" w:rsidRDefault="00A8203A" w:rsidP="00A8203A">
      <w:pPr>
        <w:jc w:val="both"/>
        <w:rPr>
          <w:lang w:val="de-DE"/>
        </w:rPr>
      </w:pPr>
      <w:r w:rsidRPr="004676F5">
        <w:rPr>
          <w:lang w:val="de-DE"/>
        </w:rPr>
        <w:tab/>
        <w:t>5. Übermittlung von Informationen, einschließlich vertraulicher Informationen, die von einer zuständigen Behörde im Rahmen ihrer Aufträge und der nationalen und internationalen Zusammenarbeit angefordert werden.</w:t>
      </w:r>
    </w:p>
    <w:p w14:paraId="13944316" w14:textId="77777777" w:rsidR="00A8203A" w:rsidRPr="004676F5" w:rsidRDefault="00A8203A" w:rsidP="00A8203A">
      <w:pPr>
        <w:jc w:val="both"/>
        <w:rPr>
          <w:lang w:val="de-DE"/>
        </w:rPr>
      </w:pPr>
    </w:p>
    <w:p w14:paraId="39DE5D49" w14:textId="77777777" w:rsidR="00A8203A" w:rsidRPr="004676F5" w:rsidRDefault="00A8203A" w:rsidP="00A8203A">
      <w:pPr>
        <w:jc w:val="both"/>
        <w:rPr>
          <w:lang w:val="de-DE"/>
        </w:rPr>
      </w:pPr>
      <w:r w:rsidRPr="004676F5">
        <w:rPr>
          <w:lang w:val="de-DE"/>
        </w:rPr>
        <w:tab/>
        <w:t>§ 2 - Erstellt eine juristische Person eine konsolidierte Nachhaltigkeitsbericht</w:t>
      </w:r>
      <w:r w:rsidRPr="004676F5">
        <w:rPr>
          <w:lang w:val="de-DE"/>
        </w:rPr>
        <w:softHyphen/>
        <w:t>erstattung, sind der unabhängige Erbringer von Bestätigungsleistungen der konsolidierenden juristischen Person und die unabhängigen Erbringer von Bestätigungsleistungen der konsolidierten juristischen Personen im Rahmen der Bestätigung der konsolidierten Nachhaltigkeitsberichterstattung des Unternehmens, mit der sie beauftragt sind, gegenseitig vom Berufsgeheimnis befreit. Dies gilt auch für Personen, die in einer juristischen Person nach dem Recht eines Landes der Europäischen Union oder eines Drittlandes ein Amt ausüben, das dem Amt eines unabhängigen Erbringers von Bestätigungsleistungen entspricht. Für vorliegenden Paragraphen ist ein Betriebsrevisor oder ein Kommissar, der mit der Bestätigung der konsolidierten Nachhaltigkeitsberichterstattung beauftragt ist, einem unabhängigen Erbringer von Bestätigungsleistungen gleichgestellt.</w:t>
      </w:r>
    </w:p>
    <w:p w14:paraId="22AD9F80" w14:textId="77777777" w:rsidR="00A8203A" w:rsidRPr="004676F5" w:rsidRDefault="00A8203A" w:rsidP="00A8203A">
      <w:pPr>
        <w:jc w:val="both"/>
        <w:rPr>
          <w:lang w:val="de-DE"/>
        </w:rPr>
      </w:pPr>
    </w:p>
    <w:p w14:paraId="2FFA185F" w14:textId="79CCAD24" w:rsidR="00A8203A" w:rsidRPr="004676F5" w:rsidRDefault="00A8203A" w:rsidP="00A8203A">
      <w:pPr>
        <w:jc w:val="both"/>
        <w:rPr>
          <w:iCs/>
          <w:lang w:val="de-DE"/>
        </w:rPr>
      </w:pPr>
      <w:r w:rsidRPr="004676F5">
        <w:rPr>
          <w:lang w:val="de-DE"/>
        </w:rPr>
        <w:tab/>
        <w:t>§ 3 - Der König kann zusätzliche Modalitäten und Anforderungen festlegen, die in Bezug auf das Berufsgeheimnis für unabhängige Erbringer von Bestätigungsleistungen gelten.</w:t>
      </w:r>
      <w:r w:rsidRPr="004676F5">
        <w:rPr>
          <w:iCs/>
          <w:lang w:val="de-DE"/>
        </w:rPr>
        <w:t>]</w:t>
      </w:r>
    </w:p>
    <w:p w14:paraId="54D5B87F" w14:textId="77777777" w:rsidR="00A8203A" w:rsidRPr="004676F5" w:rsidRDefault="00A8203A" w:rsidP="00A8203A">
      <w:pPr>
        <w:jc w:val="both"/>
        <w:rPr>
          <w:iCs/>
          <w:lang w:val="de-DE"/>
        </w:rPr>
      </w:pPr>
    </w:p>
    <w:p w14:paraId="5EE950F2" w14:textId="2E807CC8" w:rsidR="00A8203A" w:rsidRPr="004676F5" w:rsidRDefault="00A8203A" w:rsidP="00A8203A">
      <w:pPr>
        <w:jc w:val="both"/>
        <w:rPr>
          <w:iCs/>
          <w:lang w:val="de-DE"/>
        </w:rPr>
      </w:pPr>
      <w:r w:rsidRPr="004676F5">
        <w:rPr>
          <w:i/>
          <w:lang w:val="de-DE"/>
        </w:rPr>
        <w:t>[Art. VIII.57/8 eingefügt Art. 111 des G. vom 2. Dezember 2024 (B.S. vom 20. Dezember 2024)]</w:t>
      </w:r>
    </w:p>
    <w:p w14:paraId="37C03A61" w14:textId="77777777" w:rsidR="00A8203A" w:rsidRPr="004676F5" w:rsidRDefault="00A8203A" w:rsidP="00A8203A">
      <w:pPr>
        <w:jc w:val="both"/>
        <w:rPr>
          <w:iCs/>
          <w:lang w:val="de-DE"/>
        </w:rPr>
      </w:pPr>
    </w:p>
    <w:p w14:paraId="7871F498" w14:textId="77777777" w:rsidR="00A8203A" w:rsidRPr="004676F5" w:rsidRDefault="00A8203A" w:rsidP="00A8203A">
      <w:pPr>
        <w:jc w:val="both"/>
        <w:rPr>
          <w:iCs/>
          <w:lang w:val="de-DE"/>
        </w:rPr>
      </w:pPr>
    </w:p>
    <w:p w14:paraId="5E3BD628" w14:textId="77777777" w:rsidR="00CD0B88" w:rsidRPr="004676F5" w:rsidRDefault="00A8203A" w:rsidP="00CD0B88">
      <w:pPr>
        <w:jc w:val="both"/>
        <w:rPr>
          <w:lang w:val="de-DE"/>
        </w:rPr>
      </w:pPr>
      <w:r w:rsidRPr="004676F5">
        <w:rPr>
          <w:iCs/>
          <w:lang w:val="de-DE"/>
        </w:rPr>
        <w:tab/>
        <w:t>[</w:t>
      </w:r>
      <w:r w:rsidR="00CD0B88" w:rsidRPr="004676F5">
        <w:rPr>
          <w:b/>
          <w:bCs/>
          <w:lang w:val="de-DE"/>
        </w:rPr>
        <w:t>Art. VIII.57/9</w:t>
      </w:r>
      <w:r w:rsidR="00CD0B88" w:rsidRPr="004676F5">
        <w:rPr>
          <w:lang w:val="de-DE"/>
        </w:rPr>
        <w:t> - § 1 - Unbeschadet des Gesetzbuches der Gesellschaften und Vereinigungen wird mit einer Gefängnisstrafe von einem Monat bis zu einem Jahr und einer Geldbuße von 50 EUR bis zu 10.000 EUR oder mit nur einer dieser Strafen belegt:</w:t>
      </w:r>
    </w:p>
    <w:p w14:paraId="3893927A" w14:textId="77777777" w:rsidR="00CD0B88" w:rsidRPr="004676F5" w:rsidRDefault="00CD0B88" w:rsidP="00CD0B88">
      <w:pPr>
        <w:jc w:val="both"/>
        <w:rPr>
          <w:lang w:val="de-DE"/>
        </w:rPr>
      </w:pPr>
    </w:p>
    <w:p w14:paraId="106712E9" w14:textId="77777777" w:rsidR="00CD0B88" w:rsidRPr="004676F5" w:rsidRDefault="00CD0B88" w:rsidP="00CD0B88">
      <w:pPr>
        <w:jc w:val="both"/>
        <w:rPr>
          <w:lang w:val="de-DE"/>
        </w:rPr>
      </w:pPr>
      <w:r w:rsidRPr="004676F5">
        <w:rPr>
          <w:lang w:val="de-DE"/>
        </w:rPr>
        <w:tab/>
        <w:t>1. wer im Laufe eines Zeitraums von zwei Jahren, der am Tag der Beendigung seines Amtes als unabhängiger Erbringer von Bestätigungsleistungen beginnt, ein Mandat als Verwalter oder Geschäftsführer oder jegliches andere Amt in dem Unternehmen, das seinem Bestätigungsauftrag unterlag, oder in einer mit ihm im Sinne von Artikel 1:20 des Gesetzbuches der Gesellschaften und Vereinigungen verbundenen Gesellschaft oder Person annimmt,</w:t>
      </w:r>
    </w:p>
    <w:p w14:paraId="5D4D3E26" w14:textId="77777777" w:rsidR="00CD0B88" w:rsidRPr="004676F5" w:rsidRDefault="00CD0B88" w:rsidP="00CD0B88">
      <w:pPr>
        <w:jc w:val="both"/>
        <w:rPr>
          <w:lang w:val="de-DE"/>
        </w:rPr>
      </w:pPr>
    </w:p>
    <w:p w14:paraId="775618E9" w14:textId="77777777" w:rsidR="00CD0B88" w:rsidRPr="004676F5" w:rsidRDefault="00CD0B88" w:rsidP="00CD0B88">
      <w:pPr>
        <w:jc w:val="both"/>
        <w:rPr>
          <w:lang w:val="de-DE"/>
        </w:rPr>
      </w:pPr>
      <w:r w:rsidRPr="004676F5">
        <w:rPr>
          <w:lang w:val="de-DE"/>
        </w:rPr>
        <w:tab/>
        <w:t>2. wer die Überprüfungen, denen er sich aufgrund des vorliegenden Titels und seiner Ausführungserlasse zu unterziehen hat, verhindert oder sich weigert, Auskünfte zu erteilen, die er aufgrund desselben Titels zu erteilen hat, oder wissentlich falsche oder unvollständige Auskünfte erteilt.</w:t>
      </w:r>
    </w:p>
    <w:p w14:paraId="3D068C12" w14:textId="77777777" w:rsidR="00CD0B88" w:rsidRPr="004676F5" w:rsidRDefault="00CD0B88" w:rsidP="00CD0B88">
      <w:pPr>
        <w:jc w:val="both"/>
        <w:rPr>
          <w:lang w:val="de-DE"/>
        </w:rPr>
      </w:pPr>
    </w:p>
    <w:p w14:paraId="3F3857E5" w14:textId="77777777" w:rsidR="00CD0B88" w:rsidRPr="004676F5" w:rsidRDefault="00CD0B88" w:rsidP="00CD0B88">
      <w:pPr>
        <w:jc w:val="both"/>
        <w:rPr>
          <w:lang w:val="de-DE"/>
        </w:rPr>
      </w:pPr>
      <w:r w:rsidRPr="004676F5">
        <w:rPr>
          <w:lang w:val="de-DE"/>
        </w:rPr>
        <w:tab/>
        <w:t>§ 2 - Ist die nationale Akkreditierungsstelle der Auffassung, dass ein akkreditierter unabhängiger Erbringer von Bestätigungsleistungen nicht mehr über ausreichende Fachkunde verfügt, um Aufträge in Bezug auf die Bestätigung der Nachhaltigkeitsberichterstattung zu erfüllen, oder seine Pflichten in schwerwiegender Weise verletzt hat, ergreift sie in angemessener Frist jegliche geeigneten Maßnahmen, um die Akkreditierung einzuschränken, auszusetzen oder zu entziehen.</w:t>
      </w:r>
    </w:p>
    <w:p w14:paraId="6F90BF5C" w14:textId="77777777" w:rsidR="00CD0B88" w:rsidRPr="004676F5" w:rsidRDefault="00CD0B88" w:rsidP="00CD0B88">
      <w:pPr>
        <w:jc w:val="both"/>
        <w:rPr>
          <w:lang w:val="de-DE"/>
        </w:rPr>
      </w:pPr>
    </w:p>
    <w:p w14:paraId="03FB2EBA" w14:textId="1F0A1E17" w:rsidR="00A8203A" w:rsidRPr="004676F5" w:rsidRDefault="00CD0B88" w:rsidP="00CD0B88">
      <w:pPr>
        <w:jc w:val="both"/>
        <w:rPr>
          <w:iCs/>
          <w:lang w:val="de-DE"/>
        </w:rPr>
      </w:pPr>
      <w:r w:rsidRPr="004676F5">
        <w:rPr>
          <w:lang w:val="de-DE"/>
        </w:rPr>
        <w:tab/>
        <w:t>§ 3 - Der König kann zusätzliche Modalitäten und Anforderungen festlegen, die in Bezug auf Sanktionen für unabhängige Erbringer von Bestätigungsleistungen gelten.</w:t>
      </w:r>
      <w:r w:rsidR="00A8203A" w:rsidRPr="004676F5">
        <w:rPr>
          <w:iCs/>
          <w:lang w:val="de-DE"/>
        </w:rPr>
        <w:t>]</w:t>
      </w:r>
    </w:p>
    <w:p w14:paraId="13BA07EC" w14:textId="77777777" w:rsidR="00CD0B88" w:rsidRPr="004676F5" w:rsidRDefault="00CD0B88" w:rsidP="00A8203A">
      <w:pPr>
        <w:jc w:val="both"/>
        <w:rPr>
          <w:iCs/>
          <w:lang w:val="de-DE"/>
        </w:rPr>
      </w:pPr>
    </w:p>
    <w:p w14:paraId="62CE9923" w14:textId="0DD912A9" w:rsidR="00CD0B88" w:rsidRPr="004676F5" w:rsidRDefault="00CD0B88" w:rsidP="00CD0B88">
      <w:pPr>
        <w:jc w:val="both"/>
        <w:rPr>
          <w:iCs/>
          <w:lang w:val="de-DE"/>
        </w:rPr>
      </w:pPr>
      <w:r w:rsidRPr="004676F5">
        <w:rPr>
          <w:i/>
          <w:lang w:val="de-DE"/>
        </w:rPr>
        <w:t>[Art. VIII.57/9 eingefügt Art. 112 des G. vom 2. Dezember 2024 (B.S. vom 20. Dezember 2024)]</w:t>
      </w:r>
    </w:p>
    <w:p w14:paraId="2AAD22EE" w14:textId="77777777" w:rsidR="00CD0B88" w:rsidRPr="004676F5" w:rsidRDefault="00CD0B88" w:rsidP="00CD0B88">
      <w:pPr>
        <w:jc w:val="both"/>
        <w:rPr>
          <w:iCs/>
          <w:lang w:val="de-DE"/>
        </w:rPr>
      </w:pPr>
    </w:p>
    <w:p w14:paraId="5E466514" w14:textId="77777777" w:rsidR="00CD0B88" w:rsidRPr="004676F5" w:rsidRDefault="00CD0B88" w:rsidP="00CD0B88">
      <w:pPr>
        <w:jc w:val="both"/>
        <w:rPr>
          <w:iCs/>
          <w:lang w:val="de-DE"/>
        </w:rPr>
      </w:pPr>
    </w:p>
    <w:p w14:paraId="254BE38C" w14:textId="4E3F963F" w:rsidR="00CD0B88" w:rsidRPr="004676F5" w:rsidRDefault="00CD0B88" w:rsidP="00CD0B88">
      <w:pPr>
        <w:jc w:val="both"/>
        <w:rPr>
          <w:iCs/>
          <w:lang w:val="de-DE"/>
        </w:rPr>
      </w:pPr>
      <w:r w:rsidRPr="004676F5">
        <w:rPr>
          <w:iCs/>
          <w:lang w:val="de-DE"/>
        </w:rPr>
        <w:tab/>
        <w:t>[</w:t>
      </w:r>
      <w:r w:rsidRPr="004676F5">
        <w:rPr>
          <w:b/>
          <w:bCs/>
          <w:lang w:val="de-DE"/>
        </w:rPr>
        <w:t>Art. VIII.57/10</w:t>
      </w:r>
      <w:r w:rsidRPr="004676F5">
        <w:rPr>
          <w:lang w:val="de-DE"/>
        </w:rPr>
        <w:t> - Unabhängige Erbringer von Bestätigungsleistungen, die in Belgien Nachhaltigkeitsberichterstattung bestätigen, unterliegen gemäß den vom König festgelegten Modalitäten der Aufsicht der nationalen Akkreditierungsstelle.</w:t>
      </w:r>
      <w:r w:rsidRPr="004676F5">
        <w:rPr>
          <w:iCs/>
          <w:lang w:val="de-DE"/>
        </w:rPr>
        <w:t>]</w:t>
      </w:r>
    </w:p>
    <w:p w14:paraId="5DC41FA0" w14:textId="77777777" w:rsidR="00CD0B88" w:rsidRPr="004676F5" w:rsidRDefault="00CD0B88" w:rsidP="00CD0B88">
      <w:pPr>
        <w:jc w:val="both"/>
        <w:rPr>
          <w:iCs/>
          <w:lang w:val="de-DE"/>
        </w:rPr>
      </w:pPr>
    </w:p>
    <w:p w14:paraId="7E7B1D15" w14:textId="375F6B1C" w:rsidR="00CD0B88" w:rsidRPr="004676F5" w:rsidRDefault="00CD0B88" w:rsidP="00CD0B88">
      <w:pPr>
        <w:jc w:val="both"/>
        <w:rPr>
          <w:iCs/>
          <w:lang w:val="de-DE"/>
        </w:rPr>
      </w:pPr>
      <w:r w:rsidRPr="004676F5">
        <w:rPr>
          <w:i/>
          <w:lang w:val="de-DE"/>
        </w:rPr>
        <w:t>[Art. VIII.57/10 eingefügt Art. 113 des G. vom 2. Dezember 2024 (B.S. vom 20. Dezember 2024)]</w:t>
      </w:r>
    </w:p>
    <w:p w14:paraId="3716591A" w14:textId="77777777" w:rsidR="00CD0B88" w:rsidRPr="004676F5" w:rsidRDefault="00CD0B88" w:rsidP="00CD0B88">
      <w:pPr>
        <w:jc w:val="both"/>
        <w:rPr>
          <w:iCs/>
          <w:lang w:val="de-DE"/>
        </w:rPr>
      </w:pPr>
    </w:p>
    <w:p w14:paraId="12217935" w14:textId="77777777" w:rsidR="00CD0B88" w:rsidRPr="004676F5" w:rsidRDefault="00CD0B88" w:rsidP="00CD0B88">
      <w:pPr>
        <w:jc w:val="both"/>
        <w:rPr>
          <w:iCs/>
          <w:lang w:val="de-DE"/>
        </w:rPr>
      </w:pPr>
    </w:p>
    <w:p w14:paraId="4EE868FF" w14:textId="77777777" w:rsidR="00CD0B88" w:rsidRPr="004676F5" w:rsidRDefault="00CD0B88" w:rsidP="00CD0B88">
      <w:pPr>
        <w:jc w:val="both"/>
        <w:rPr>
          <w:lang w:val="de-DE"/>
        </w:rPr>
      </w:pPr>
      <w:r w:rsidRPr="004676F5">
        <w:rPr>
          <w:iCs/>
          <w:lang w:val="de-DE"/>
        </w:rPr>
        <w:tab/>
        <w:t>[</w:t>
      </w:r>
      <w:r w:rsidRPr="004676F5">
        <w:rPr>
          <w:b/>
          <w:bCs/>
          <w:lang w:val="de-DE"/>
        </w:rPr>
        <w:t>Art. VIII.57/11</w:t>
      </w:r>
      <w:r w:rsidRPr="004676F5">
        <w:rPr>
          <w:lang w:val="de-DE"/>
        </w:rPr>
        <w:t> - Der unabhängige Erbringer von Bestätigungsleistungen erstellt den Prüfungsvermerk und übermittelt ihn dem Verwaltungsorgan und der Generalversammlung des Unternehmens gemäß den Bestimmungen des Gesetzbuches der Gesellschaften und Vereinigungen.</w:t>
      </w:r>
    </w:p>
    <w:p w14:paraId="4510EF54" w14:textId="77777777" w:rsidR="00CD0B88" w:rsidRPr="004676F5" w:rsidRDefault="00CD0B88" w:rsidP="00CD0B88">
      <w:pPr>
        <w:jc w:val="both"/>
        <w:rPr>
          <w:lang w:val="de-DE"/>
        </w:rPr>
      </w:pPr>
    </w:p>
    <w:p w14:paraId="35BA4A8C" w14:textId="77777777" w:rsidR="00CD0B88" w:rsidRPr="004676F5" w:rsidRDefault="00CD0B88" w:rsidP="00CD0B88">
      <w:pPr>
        <w:jc w:val="both"/>
        <w:rPr>
          <w:lang w:val="de-DE"/>
        </w:rPr>
      </w:pPr>
      <w:r w:rsidRPr="004676F5">
        <w:rPr>
          <w:lang w:val="de-DE"/>
        </w:rPr>
        <w:tab/>
        <w:t>Der unabhängige Erbringer von Bestätigungsleistungen leitet den Prüfungsvermerk an den Betriebsrat weiter.</w:t>
      </w:r>
    </w:p>
    <w:p w14:paraId="46CABF51" w14:textId="77777777" w:rsidR="00CD0B88" w:rsidRPr="004676F5" w:rsidRDefault="00CD0B88" w:rsidP="00CD0B88">
      <w:pPr>
        <w:jc w:val="both"/>
        <w:rPr>
          <w:lang w:val="de-DE"/>
        </w:rPr>
      </w:pPr>
    </w:p>
    <w:p w14:paraId="3A5B7B17" w14:textId="6B1A53D3" w:rsidR="00CD0B88" w:rsidRPr="004676F5" w:rsidRDefault="00CD0B88" w:rsidP="00CD0B88">
      <w:pPr>
        <w:jc w:val="both"/>
        <w:rPr>
          <w:iCs/>
          <w:lang w:val="de-DE"/>
        </w:rPr>
      </w:pPr>
      <w:r w:rsidRPr="004676F5">
        <w:rPr>
          <w:lang w:val="de-DE"/>
        </w:rPr>
        <w:tab/>
        <w:t>Der unabhängige Erbringer von Bestätigungsleistungen darf den Versammlungen des Betriebsrates beiwohnen. Er ist verpflichtet, ihnen beizuwohnen, wenn das Verwaltungsorgan des Unternehmens beziehungsweise die von den Arbeitnehmern bestellten Mitglieder, die hierzu mit der Mehrheit der von ihnen abgegebenen Stimmen beschließen, ihn darum ersuchen. Auf entsprechenden Antrag erläutert der unabhängige Erbringer von Bestätigungsleistungen die Bestätigung der Nachhaltigkeitsberichterstattung.</w:t>
      </w:r>
      <w:r w:rsidRPr="004676F5">
        <w:rPr>
          <w:iCs/>
          <w:lang w:val="de-DE"/>
        </w:rPr>
        <w:t>]</w:t>
      </w:r>
    </w:p>
    <w:p w14:paraId="52852624" w14:textId="77777777" w:rsidR="00654BDA" w:rsidRPr="004676F5" w:rsidRDefault="00654BDA" w:rsidP="00A8203A">
      <w:pPr>
        <w:jc w:val="both"/>
        <w:rPr>
          <w:iCs/>
          <w:lang w:val="de-DE"/>
        </w:rPr>
      </w:pPr>
    </w:p>
    <w:p w14:paraId="340E9148" w14:textId="77777777" w:rsidR="00654BDA" w:rsidRPr="004676F5" w:rsidRDefault="00654BDA" w:rsidP="00A8203A">
      <w:pPr>
        <w:jc w:val="both"/>
        <w:rPr>
          <w:iCs/>
          <w:lang w:val="de-DE"/>
        </w:rPr>
      </w:pPr>
      <w:r w:rsidRPr="004676F5">
        <w:rPr>
          <w:i/>
          <w:lang w:val="de-DE"/>
        </w:rPr>
        <w:t>[Art. VIII.57/11 eingefügt Art. 114 des G. vom 2. Dezember 2024 (B.S. vom 20. Dezember 2024)]</w:t>
      </w:r>
    </w:p>
    <w:p w14:paraId="45C5894F" w14:textId="77777777" w:rsidR="00654BDA" w:rsidRPr="004676F5" w:rsidRDefault="00654BDA" w:rsidP="00A8203A">
      <w:pPr>
        <w:jc w:val="both"/>
        <w:rPr>
          <w:iCs/>
          <w:lang w:val="de-DE"/>
        </w:rPr>
      </w:pPr>
    </w:p>
    <w:p w14:paraId="6FBF6019" w14:textId="77777777" w:rsidR="00654BDA" w:rsidRPr="004676F5" w:rsidRDefault="00654BDA" w:rsidP="00A8203A">
      <w:pPr>
        <w:jc w:val="both"/>
        <w:rPr>
          <w:iCs/>
          <w:lang w:val="de-DE"/>
        </w:rPr>
      </w:pPr>
    </w:p>
    <w:p w14:paraId="2FB2C2DE" w14:textId="77777777" w:rsidR="005E5598" w:rsidRPr="004676F5" w:rsidRDefault="00654BDA" w:rsidP="00A8203A">
      <w:pPr>
        <w:jc w:val="both"/>
        <w:rPr>
          <w:iCs/>
          <w:lang w:val="de-DE"/>
        </w:rPr>
      </w:pPr>
      <w:r w:rsidRPr="004676F5">
        <w:rPr>
          <w:iCs/>
          <w:lang w:val="de-DE"/>
        </w:rPr>
        <w:tab/>
        <w:t>[</w:t>
      </w:r>
      <w:r w:rsidRPr="004676F5">
        <w:rPr>
          <w:b/>
          <w:bCs/>
          <w:lang w:val="de-DE"/>
        </w:rPr>
        <w:t>Art. VIII.57/12</w:t>
      </w:r>
      <w:r w:rsidRPr="004676F5">
        <w:rPr>
          <w:lang w:val="de-DE"/>
        </w:rPr>
        <w:t> - Der König bestimmt Modalitäten und Bedingungen für die Anwendung des vorliegenden Titels und legt für unabhängige Erbringer von Bestätigungs</w:t>
      </w:r>
      <w:r w:rsidRPr="004676F5">
        <w:rPr>
          <w:lang w:val="de-DE"/>
        </w:rPr>
        <w:softHyphen/>
        <w:t>leistungen Anforderungen fest, die den für Betriebsrevisoren geltenden Anforderungen gleichwertig sind, insbesondere in Bezug auf Ausbildung und Prüfungen, Weiterbildung, Qualitätssicherungssysteme, Berufspflichten, Unabhängigkeit, Objektivität, Vertraulichkeit und Berufsgeheimnis, Bestellung und Abberufung, Arbeitsorganisation der unabhängigen Erbringer von Bestätigungsleistungen, Untersuchungen und Sanktionen sowie Meldung von Unregelmäßigkeiten.</w:t>
      </w:r>
      <w:r w:rsidRPr="004676F5">
        <w:rPr>
          <w:iCs/>
          <w:lang w:val="de-DE"/>
        </w:rPr>
        <w:t>]</w:t>
      </w:r>
    </w:p>
    <w:p w14:paraId="7E9AFD0F" w14:textId="77777777" w:rsidR="005E5598" w:rsidRPr="004676F5" w:rsidRDefault="005E5598" w:rsidP="00A8203A">
      <w:pPr>
        <w:jc w:val="both"/>
        <w:rPr>
          <w:iCs/>
          <w:lang w:val="de-DE"/>
        </w:rPr>
      </w:pPr>
    </w:p>
    <w:p w14:paraId="191FB519" w14:textId="1E99246A" w:rsidR="00ED1273" w:rsidRPr="004676F5" w:rsidRDefault="005E5598" w:rsidP="00A8203A">
      <w:pPr>
        <w:jc w:val="both"/>
        <w:rPr>
          <w:iCs/>
          <w:lang w:val="de-DE"/>
        </w:rPr>
      </w:pPr>
      <w:r w:rsidRPr="004676F5">
        <w:rPr>
          <w:i/>
          <w:lang w:val="de-DE"/>
        </w:rPr>
        <w:t>[Art. VIII.57/12 eingefügt Art. 115 des G. vom 2. Dezember 2024 (B.S. vom 20. Dezember 2024)]</w:t>
      </w:r>
      <w:r w:rsidR="00ED1273" w:rsidRPr="004676F5">
        <w:rPr>
          <w:iCs/>
          <w:lang w:val="de-DE"/>
        </w:rPr>
        <w:br w:type="page"/>
      </w:r>
    </w:p>
    <w:p w14:paraId="4D523644" w14:textId="77777777" w:rsidR="00ED1273" w:rsidRPr="004676F5" w:rsidRDefault="00ED1273" w:rsidP="00ED1273">
      <w:pPr>
        <w:jc w:val="center"/>
        <w:rPr>
          <w:iCs/>
          <w:lang w:val="de-DE"/>
        </w:rPr>
      </w:pPr>
      <w:r w:rsidRPr="004676F5">
        <w:rPr>
          <w:lang w:val="de-DE"/>
        </w:rPr>
        <w:lastRenderedPageBreak/>
        <w:t>[</w:t>
      </w:r>
      <w:r w:rsidRPr="004676F5">
        <w:rPr>
          <w:b/>
          <w:bCs/>
          <w:lang w:val="de-DE"/>
        </w:rPr>
        <w:t xml:space="preserve">TITEL 5 - </w:t>
      </w:r>
      <w:r w:rsidRPr="004676F5">
        <w:rPr>
          <w:b/>
          <w:bCs/>
          <w:i/>
          <w:iCs/>
          <w:lang w:val="de-DE"/>
        </w:rPr>
        <w:t>Barrierefreiheitsanforderungen für Dienstleistungen</w:t>
      </w:r>
      <w:r w:rsidRPr="004676F5">
        <w:rPr>
          <w:iCs/>
          <w:lang w:val="de-DE"/>
        </w:rPr>
        <w:t>]</w:t>
      </w:r>
    </w:p>
    <w:p w14:paraId="0F3E6FFB" w14:textId="77777777" w:rsidR="00ED1273" w:rsidRPr="004676F5" w:rsidRDefault="00ED1273" w:rsidP="00ED1273">
      <w:pPr>
        <w:jc w:val="center"/>
        <w:rPr>
          <w:iCs/>
          <w:lang w:val="de-DE"/>
        </w:rPr>
      </w:pPr>
    </w:p>
    <w:p w14:paraId="0E0225E6" w14:textId="2EF71C49" w:rsidR="00ED1273" w:rsidRPr="004676F5" w:rsidRDefault="00ED1273" w:rsidP="00ED1273">
      <w:pPr>
        <w:jc w:val="both"/>
        <w:rPr>
          <w:bCs/>
          <w:i/>
          <w:iCs/>
          <w:lang w:val="de-DE"/>
        </w:rPr>
      </w:pPr>
      <w:r w:rsidRPr="004676F5">
        <w:rPr>
          <w:i/>
          <w:lang w:val="de-DE"/>
        </w:rPr>
        <w:t>[Unterteilung Titel 5 eingefügt durch Art. 6</w:t>
      </w:r>
      <w:r w:rsidRPr="004676F5">
        <w:rPr>
          <w:bCs/>
          <w:i/>
          <w:iCs/>
          <w:lang w:val="de-DE"/>
        </w:rPr>
        <w:t xml:space="preserve"> des G. vom 5. November 2023 </w:t>
      </w:r>
      <w:r w:rsidR="003454B3" w:rsidRPr="004676F5">
        <w:rPr>
          <w:bCs/>
          <w:i/>
          <w:iCs/>
          <w:lang w:val="de-DE"/>
        </w:rPr>
        <w:t xml:space="preserve">(II) </w:t>
      </w:r>
      <w:r w:rsidRPr="004676F5">
        <w:rPr>
          <w:bCs/>
          <w:i/>
          <w:iCs/>
          <w:lang w:val="de-DE"/>
        </w:rPr>
        <w:t>(B.S. vom 28. November 2023)]</w:t>
      </w:r>
    </w:p>
    <w:p w14:paraId="2A1D0164" w14:textId="77777777" w:rsidR="00ED1273" w:rsidRPr="004676F5" w:rsidRDefault="00ED1273" w:rsidP="00ED1273">
      <w:pPr>
        <w:jc w:val="both"/>
        <w:rPr>
          <w:bCs/>
          <w:lang w:val="de-DE"/>
        </w:rPr>
      </w:pPr>
    </w:p>
    <w:p w14:paraId="4F31CD65" w14:textId="77777777" w:rsidR="00ED1273" w:rsidRPr="004676F5" w:rsidRDefault="00ED1273" w:rsidP="00ED1273">
      <w:pPr>
        <w:jc w:val="both"/>
        <w:rPr>
          <w:bCs/>
          <w:lang w:val="de-DE"/>
        </w:rPr>
      </w:pPr>
    </w:p>
    <w:p w14:paraId="6C1656ED" w14:textId="77777777" w:rsidR="00ED1273" w:rsidRPr="004676F5" w:rsidRDefault="00ED1273" w:rsidP="00ED1273">
      <w:pPr>
        <w:jc w:val="center"/>
        <w:rPr>
          <w:iCs/>
          <w:lang w:val="de-DE"/>
        </w:rPr>
      </w:pPr>
      <w:r w:rsidRPr="004676F5">
        <w:rPr>
          <w:bCs/>
          <w:lang w:val="de-DE"/>
        </w:rPr>
        <w:t>[</w:t>
      </w:r>
      <w:r w:rsidRPr="004676F5">
        <w:rPr>
          <w:lang w:val="de-DE"/>
        </w:rPr>
        <w:t xml:space="preserve">KAPITEL 1 - </w:t>
      </w:r>
      <w:r w:rsidRPr="004676F5">
        <w:rPr>
          <w:i/>
          <w:iCs/>
          <w:lang w:val="de-DE"/>
        </w:rPr>
        <w:t>Anwendungsbereich</w:t>
      </w:r>
      <w:r w:rsidRPr="004676F5">
        <w:rPr>
          <w:iCs/>
          <w:lang w:val="de-DE"/>
        </w:rPr>
        <w:t>]</w:t>
      </w:r>
    </w:p>
    <w:p w14:paraId="3304A4FB" w14:textId="77777777" w:rsidR="00ED1273" w:rsidRPr="004676F5" w:rsidRDefault="00ED1273" w:rsidP="00ED1273">
      <w:pPr>
        <w:jc w:val="center"/>
        <w:rPr>
          <w:iCs/>
          <w:lang w:val="de-DE"/>
        </w:rPr>
      </w:pPr>
    </w:p>
    <w:p w14:paraId="3D15734B" w14:textId="70CBAE55" w:rsidR="00ED1273" w:rsidRPr="004676F5" w:rsidRDefault="00ED1273" w:rsidP="00ED1273">
      <w:pPr>
        <w:jc w:val="both"/>
        <w:rPr>
          <w:bCs/>
          <w:i/>
          <w:iCs/>
          <w:lang w:val="de-DE"/>
        </w:rPr>
      </w:pPr>
      <w:r w:rsidRPr="004676F5">
        <w:rPr>
          <w:i/>
          <w:lang w:val="de-DE"/>
        </w:rPr>
        <w:t>[Unterteilung Kapitel 1 eingefügt durch Art. 7</w:t>
      </w:r>
      <w:r w:rsidRPr="004676F5">
        <w:rPr>
          <w:bCs/>
          <w:i/>
          <w:iCs/>
          <w:lang w:val="de-DE"/>
        </w:rPr>
        <w:t xml:space="preserve"> des G. vom 5. November 2023 </w:t>
      </w:r>
      <w:r w:rsidR="003454B3" w:rsidRPr="004676F5">
        <w:rPr>
          <w:bCs/>
          <w:i/>
          <w:iCs/>
          <w:lang w:val="de-DE"/>
        </w:rPr>
        <w:t xml:space="preserve">(II) </w:t>
      </w:r>
      <w:r w:rsidRPr="004676F5">
        <w:rPr>
          <w:bCs/>
          <w:i/>
          <w:iCs/>
          <w:lang w:val="de-DE"/>
        </w:rPr>
        <w:t>(B.S. vom 28. November 2023)]</w:t>
      </w:r>
    </w:p>
    <w:p w14:paraId="1BABA9B0" w14:textId="77777777" w:rsidR="00ED1273" w:rsidRPr="004676F5" w:rsidRDefault="00ED1273" w:rsidP="00ED1273">
      <w:pPr>
        <w:jc w:val="both"/>
        <w:rPr>
          <w:bCs/>
          <w:lang w:val="de-DE"/>
        </w:rPr>
      </w:pPr>
    </w:p>
    <w:p w14:paraId="54F4A66A" w14:textId="77777777" w:rsidR="00ED1273" w:rsidRPr="004676F5" w:rsidRDefault="00ED1273" w:rsidP="00ED1273">
      <w:pPr>
        <w:jc w:val="both"/>
        <w:rPr>
          <w:bCs/>
          <w:lang w:val="de-DE"/>
        </w:rPr>
      </w:pPr>
    </w:p>
    <w:p w14:paraId="04EE5047" w14:textId="77777777" w:rsidR="00ED1273" w:rsidRPr="004676F5" w:rsidRDefault="00ED1273" w:rsidP="00ED1273">
      <w:pPr>
        <w:jc w:val="both"/>
        <w:rPr>
          <w:lang w:val="de-DE"/>
        </w:rPr>
      </w:pPr>
      <w:r w:rsidRPr="004676F5">
        <w:rPr>
          <w:bCs/>
          <w:lang w:val="de-DE"/>
        </w:rPr>
        <w:tab/>
        <w:t>[</w:t>
      </w:r>
      <w:r w:rsidRPr="004676F5">
        <w:rPr>
          <w:b/>
          <w:bCs/>
          <w:lang w:val="de-DE"/>
        </w:rPr>
        <w:t>Art. VIII.58</w:t>
      </w:r>
      <w:r w:rsidRPr="004676F5">
        <w:rPr>
          <w:lang w:val="de-DE"/>
        </w:rPr>
        <w:t> - § 1 - Vorliegender Titel gilt für folgende Dienstleistungen, die für Verbraucher erbracht werden:</w:t>
      </w:r>
    </w:p>
    <w:p w14:paraId="458A567C" w14:textId="77777777" w:rsidR="00ED1273" w:rsidRPr="004676F5" w:rsidRDefault="00ED1273" w:rsidP="00ED1273">
      <w:pPr>
        <w:jc w:val="both"/>
        <w:rPr>
          <w:lang w:val="de-DE"/>
        </w:rPr>
      </w:pPr>
    </w:p>
    <w:p w14:paraId="6724B0B5" w14:textId="77777777" w:rsidR="00ED1273" w:rsidRPr="004676F5" w:rsidRDefault="00ED1273" w:rsidP="00ED1273">
      <w:pPr>
        <w:jc w:val="both"/>
        <w:rPr>
          <w:lang w:val="de-DE"/>
        </w:rPr>
      </w:pPr>
      <w:r w:rsidRPr="004676F5">
        <w:rPr>
          <w:lang w:val="de-DE"/>
        </w:rPr>
        <w:tab/>
        <w:t>1. Bankdienstleistungen für Verbraucher,</w:t>
      </w:r>
    </w:p>
    <w:p w14:paraId="059BEB8C" w14:textId="77777777" w:rsidR="00ED1273" w:rsidRPr="004676F5" w:rsidRDefault="00ED1273" w:rsidP="00ED1273">
      <w:pPr>
        <w:jc w:val="both"/>
        <w:rPr>
          <w:lang w:val="de-DE"/>
        </w:rPr>
      </w:pPr>
    </w:p>
    <w:p w14:paraId="49A7FA87" w14:textId="77777777" w:rsidR="00ED1273" w:rsidRPr="004676F5" w:rsidRDefault="00ED1273" w:rsidP="00ED1273">
      <w:pPr>
        <w:jc w:val="both"/>
        <w:rPr>
          <w:lang w:val="de-DE"/>
        </w:rPr>
      </w:pPr>
      <w:r w:rsidRPr="004676F5">
        <w:rPr>
          <w:lang w:val="de-DE"/>
        </w:rPr>
        <w:tab/>
        <w:t>2. Dienstleistungen im elektronischen Geschäftsverkehr (E-Commerce).</w:t>
      </w:r>
    </w:p>
    <w:p w14:paraId="4C42EE60" w14:textId="77777777" w:rsidR="00ED1273" w:rsidRPr="004676F5" w:rsidRDefault="00ED1273" w:rsidP="00ED1273">
      <w:pPr>
        <w:jc w:val="both"/>
        <w:rPr>
          <w:lang w:val="de-DE"/>
        </w:rPr>
      </w:pPr>
    </w:p>
    <w:p w14:paraId="3EBFB0D7" w14:textId="77777777" w:rsidR="00ED1273" w:rsidRPr="004676F5" w:rsidRDefault="00ED1273" w:rsidP="00ED1273">
      <w:pPr>
        <w:jc w:val="both"/>
        <w:rPr>
          <w:lang w:val="de-DE"/>
        </w:rPr>
      </w:pPr>
      <w:r w:rsidRPr="004676F5">
        <w:rPr>
          <w:lang w:val="de-DE"/>
        </w:rPr>
        <w:tab/>
        <w:t>§ 2 ­ In Abweichung von § 1 gilt vorliegender Titel nicht für folgende Inhalte von Websites und mobilen Anwendungen:</w:t>
      </w:r>
    </w:p>
    <w:p w14:paraId="5AF00B62" w14:textId="77777777" w:rsidR="00ED1273" w:rsidRPr="004676F5" w:rsidRDefault="00ED1273" w:rsidP="00ED1273">
      <w:pPr>
        <w:jc w:val="both"/>
        <w:rPr>
          <w:lang w:val="de-DE"/>
        </w:rPr>
      </w:pPr>
    </w:p>
    <w:p w14:paraId="45F1A24A" w14:textId="77777777" w:rsidR="00ED1273" w:rsidRPr="004676F5" w:rsidRDefault="00ED1273" w:rsidP="00ED1273">
      <w:pPr>
        <w:jc w:val="both"/>
        <w:rPr>
          <w:lang w:val="de-DE"/>
        </w:rPr>
      </w:pPr>
      <w:r w:rsidRPr="004676F5">
        <w:rPr>
          <w:lang w:val="de-DE"/>
        </w:rPr>
        <w:tab/>
        <w:t>1. aufgezeichnete zeitbasierte Medien, die vor Inkrafttreten des vorliegenden Titels veröffentlicht wurden,</w:t>
      </w:r>
    </w:p>
    <w:p w14:paraId="61EBDC1A" w14:textId="77777777" w:rsidR="00ED1273" w:rsidRPr="004676F5" w:rsidRDefault="00ED1273" w:rsidP="00ED1273">
      <w:pPr>
        <w:jc w:val="both"/>
        <w:rPr>
          <w:lang w:val="de-DE"/>
        </w:rPr>
      </w:pPr>
    </w:p>
    <w:p w14:paraId="3067CEE0" w14:textId="77777777" w:rsidR="00ED1273" w:rsidRPr="004676F5" w:rsidRDefault="00ED1273" w:rsidP="00ED1273">
      <w:pPr>
        <w:jc w:val="both"/>
        <w:rPr>
          <w:lang w:val="de-DE"/>
        </w:rPr>
      </w:pPr>
      <w:r w:rsidRPr="004676F5">
        <w:rPr>
          <w:lang w:val="de-DE"/>
        </w:rPr>
        <w:tab/>
        <w:t>2. Dateiformate von Büro-Anwendungen, die vor Inkrafttreten des vorliegenden Titels veröffentlicht wurden,</w:t>
      </w:r>
    </w:p>
    <w:p w14:paraId="197843C4" w14:textId="77777777" w:rsidR="00ED1273" w:rsidRPr="004676F5" w:rsidRDefault="00ED1273" w:rsidP="00ED1273">
      <w:pPr>
        <w:jc w:val="both"/>
        <w:rPr>
          <w:lang w:val="de-DE"/>
        </w:rPr>
      </w:pPr>
    </w:p>
    <w:p w14:paraId="35CC6842" w14:textId="77777777" w:rsidR="00ED1273" w:rsidRPr="004676F5" w:rsidRDefault="00ED1273" w:rsidP="00ED1273">
      <w:pPr>
        <w:jc w:val="both"/>
        <w:rPr>
          <w:lang w:val="de-DE"/>
        </w:rPr>
      </w:pPr>
      <w:r w:rsidRPr="004676F5">
        <w:rPr>
          <w:lang w:val="de-DE"/>
        </w:rPr>
        <w:tab/>
        <w:t>3. Online-Karten und Kartendienste, sofern bei Karten für Navigationszwecke wesentliche Informationen barrierefrei zugänglich in digitaler Form bereitgestellt werden,</w:t>
      </w:r>
    </w:p>
    <w:p w14:paraId="7DC86C56" w14:textId="77777777" w:rsidR="00ED1273" w:rsidRPr="004676F5" w:rsidRDefault="00ED1273" w:rsidP="00ED1273">
      <w:pPr>
        <w:jc w:val="both"/>
        <w:rPr>
          <w:lang w:val="de-DE"/>
        </w:rPr>
      </w:pPr>
    </w:p>
    <w:p w14:paraId="0CF12092" w14:textId="77777777" w:rsidR="00ED1273" w:rsidRPr="004676F5" w:rsidRDefault="00ED1273" w:rsidP="00ED1273">
      <w:pPr>
        <w:jc w:val="both"/>
        <w:rPr>
          <w:lang w:val="de-DE"/>
        </w:rPr>
      </w:pPr>
      <w:r w:rsidRPr="004676F5">
        <w:rPr>
          <w:lang w:val="de-DE"/>
        </w:rPr>
        <w:tab/>
        <w:t>4. Inhalte von Dritten, die von dem betreffenden Wirtschaftsakteur weder finanziert oder entwickelt werden noch seiner Kontrolle unterliegen,</w:t>
      </w:r>
    </w:p>
    <w:p w14:paraId="197B484C" w14:textId="77777777" w:rsidR="00ED1273" w:rsidRPr="004676F5" w:rsidRDefault="00ED1273" w:rsidP="00ED1273">
      <w:pPr>
        <w:jc w:val="both"/>
        <w:rPr>
          <w:lang w:val="de-DE"/>
        </w:rPr>
      </w:pPr>
    </w:p>
    <w:p w14:paraId="2D4FEF76" w14:textId="77777777" w:rsidR="00ED1273" w:rsidRPr="004676F5" w:rsidRDefault="00ED1273" w:rsidP="00ED1273">
      <w:pPr>
        <w:jc w:val="both"/>
        <w:rPr>
          <w:lang w:val="de-DE"/>
        </w:rPr>
      </w:pPr>
      <w:r w:rsidRPr="004676F5">
        <w:rPr>
          <w:lang w:val="de-DE"/>
        </w:rPr>
        <w:tab/>
        <w:t>5. Inhalte von Websites und mobilen Anwendungen, die als Archive gelten, das heißt deren Inhalte nach Inkrafttreten des vorliegenden Titels weder aktualisiert noch überarbeitet werden.]</w:t>
      </w:r>
    </w:p>
    <w:p w14:paraId="658B2196" w14:textId="77777777" w:rsidR="00ED1273" w:rsidRPr="004676F5" w:rsidRDefault="00ED1273" w:rsidP="00ED1273">
      <w:pPr>
        <w:jc w:val="both"/>
        <w:rPr>
          <w:lang w:val="de-DE"/>
        </w:rPr>
      </w:pPr>
    </w:p>
    <w:p w14:paraId="7F0A6C31" w14:textId="53D93C5C" w:rsidR="00ED1273" w:rsidRPr="004676F5" w:rsidRDefault="00ED1273" w:rsidP="00ED1273">
      <w:pPr>
        <w:jc w:val="both"/>
        <w:rPr>
          <w:bCs/>
          <w:i/>
          <w:iCs/>
          <w:lang w:val="de-DE"/>
        </w:rPr>
      </w:pPr>
      <w:r w:rsidRPr="004676F5">
        <w:rPr>
          <w:i/>
          <w:iCs/>
          <w:lang w:val="de-DE"/>
        </w:rPr>
        <w:t>[Art. VIII.58 eingefügt durch Art. 8</w:t>
      </w:r>
      <w:r w:rsidRPr="004676F5">
        <w:rPr>
          <w:bCs/>
          <w:i/>
          <w:iCs/>
          <w:lang w:val="de-DE"/>
        </w:rPr>
        <w:t xml:space="preserve"> des G. vom 5. November 2023</w:t>
      </w:r>
      <w:r w:rsidR="00AA0B2E" w:rsidRPr="004676F5">
        <w:rPr>
          <w:bCs/>
          <w:i/>
          <w:iCs/>
          <w:lang w:val="de-DE"/>
        </w:rPr>
        <w:t> </w:t>
      </w:r>
      <w:r w:rsidR="003454B3" w:rsidRPr="004676F5">
        <w:rPr>
          <w:bCs/>
          <w:i/>
          <w:iCs/>
          <w:lang w:val="de-DE"/>
        </w:rPr>
        <w:t>(II)</w:t>
      </w:r>
      <w:r w:rsidRPr="004676F5">
        <w:rPr>
          <w:bCs/>
          <w:i/>
          <w:iCs/>
          <w:lang w:val="de-DE"/>
        </w:rPr>
        <w:t xml:space="preserve"> (B.S. vom 28. November 2023)]</w:t>
      </w:r>
    </w:p>
    <w:p w14:paraId="7BFE5596" w14:textId="77777777" w:rsidR="00ED1273" w:rsidRPr="004676F5" w:rsidRDefault="00ED1273">
      <w:pPr>
        <w:rPr>
          <w:bCs/>
          <w:lang w:val="de-DE"/>
        </w:rPr>
      </w:pPr>
      <w:r w:rsidRPr="004676F5">
        <w:rPr>
          <w:bCs/>
          <w:lang w:val="de-DE"/>
        </w:rPr>
        <w:br w:type="page"/>
      </w:r>
    </w:p>
    <w:p w14:paraId="3E549E98" w14:textId="77777777" w:rsidR="00ED1273" w:rsidRPr="004676F5" w:rsidRDefault="00ED1273" w:rsidP="00ED1273">
      <w:pPr>
        <w:jc w:val="center"/>
        <w:rPr>
          <w:iCs/>
          <w:lang w:val="de-DE"/>
        </w:rPr>
      </w:pPr>
      <w:r w:rsidRPr="004676F5">
        <w:rPr>
          <w:iCs/>
          <w:lang w:val="de-DE"/>
        </w:rPr>
        <w:lastRenderedPageBreak/>
        <w:t>[</w:t>
      </w:r>
      <w:r w:rsidRPr="004676F5">
        <w:rPr>
          <w:lang w:val="de-DE"/>
        </w:rPr>
        <w:t xml:space="preserve">KAPITEL 2 - </w:t>
      </w:r>
      <w:r w:rsidRPr="004676F5">
        <w:rPr>
          <w:i/>
          <w:iCs/>
          <w:lang w:val="de-DE"/>
        </w:rPr>
        <w:t>Allgemeine Grundsätze</w:t>
      </w:r>
      <w:r w:rsidRPr="004676F5">
        <w:rPr>
          <w:iCs/>
          <w:lang w:val="de-DE"/>
        </w:rPr>
        <w:t>]</w:t>
      </w:r>
    </w:p>
    <w:p w14:paraId="0DE82602" w14:textId="77777777" w:rsidR="00ED1273" w:rsidRPr="004676F5" w:rsidRDefault="00ED1273" w:rsidP="00ED1273">
      <w:pPr>
        <w:jc w:val="center"/>
        <w:rPr>
          <w:iCs/>
          <w:lang w:val="de-DE"/>
        </w:rPr>
      </w:pPr>
    </w:p>
    <w:p w14:paraId="78441F7F" w14:textId="61721544" w:rsidR="00ED1273" w:rsidRPr="004676F5" w:rsidRDefault="00ED1273" w:rsidP="00ED1273">
      <w:pPr>
        <w:jc w:val="both"/>
        <w:rPr>
          <w:bCs/>
          <w:i/>
          <w:iCs/>
          <w:lang w:val="de-DE"/>
        </w:rPr>
      </w:pPr>
      <w:r w:rsidRPr="004676F5">
        <w:rPr>
          <w:i/>
          <w:iCs/>
          <w:lang w:val="de-DE"/>
        </w:rPr>
        <w:t>[Unterteilung Kapitel 2 eingefügt durch Art. 9</w:t>
      </w:r>
      <w:r w:rsidRPr="004676F5">
        <w:rPr>
          <w:bCs/>
          <w:i/>
          <w:iCs/>
          <w:lang w:val="de-DE"/>
        </w:rPr>
        <w:t xml:space="preserve"> des G. vom 5. November 2023 </w:t>
      </w:r>
      <w:r w:rsidR="003454B3" w:rsidRPr="004676F5">
        <w:rPr>
          <w:bCs/>
          <w:i/>
          <w:iCs/>
          <w:lang w:val="de-DE"/>
        </w:rPr>
        <w:t xml:space="preserve">(II) </w:t>
      </w:r>
      <w:r w:rsidRPr="004676F5">
        <w:rPr>
          <w:bCs/>
          <w:i/>
          <w:iCs/>
          <w:lang w:val="de-DE"/>
        </w:rPr>
        <w:t>(B.S. vom 28. November 2023)]</w:t>
      </w:r>
    </w:p>
    <w:p w14:paraId="4321B846" w14:textId="77777777" w:rsidR="00ED1273" w:rsidRPr="004676F5" w:rsidRDefault="00ED1273" w:rsidP="00ED1273">
      <w:pPr>
        <w:jc w:val="both"/>
        <w:rPr>
          <w:iCs/>
          <w:lang w:val="de-DE"/>
        </w:rPr>
      </w:pPr>
    </w:p>
    <w:p w14:paraId="4A26AEC0" w14:textId="77777777" w:rsidR="00ED1273" w:rsidRPr="004676F5" w:rsidRDefault="00ED1273" w:rsidP="00ED1273">
      <w:pPr>
        <w:jc w:val="both"/>
        <w:rPr>
          <w:iCs/>
          <w:lang w:val="de-DE"/>
        </w:rPr>
      </w:pPr>
    </w:p>
    <w:p w14:paraId="4892CEDF" w14:textId="77777777" w:rsidR="00ED1273" w:rsidRPr="004676F5" w:rsidRDefault="00ED1273" w:rsidP="00ED1273">
      <w:pPr>
        <w:jc w:val="both"/>
        <w:rPr>
          <w:lang w:val="de-DE"/>
        </w:rPr>
      </w:pPr>
      <w:r w:rsidRPr="004676F5">
        <w:rPr>
          <w:iCs/>
          <w:lang w:val="de-DE"/>
        </w:rPr>
        <w:tab/>
        <w:t>[</w:t>
      </w:r>
      <w:r w:rsidRPr="004676F5">
        <w:rPr>
          <w:b/>
          <w:bCs/>
          <w:lang w:val="de-DE"/>
        </w:rPr>
        <w:t>Art. VIII.59</w:t>
      </w:r>
      <w:r w:rsidRPr="004676F5">
        <w:rPr>
          <w:lang w:val="de-DE"/>
        </w:rPr>
        <w:t> - § 1 - Dienstleistungserbringer gestalten und erbringen ausschließlich Dienstleistungen wie in Artikel VIII.58 § 1 erwähnt, die im Einklang mit den in Anlage 1 zu vorliegendem Buch erwähnten Barrierefreiheitsanforderungen stehen.</w:t>
      </w:r>
    </w:p>
    <w:p w14:paraId="43172DF5" w14:textId="77777777" w:rsidR="00ED1273" w:rsidRPr="004676F5" w:rsidRDefault="00ED1273" w:rsidP="00ED1273">
      <w:pPr>
        <w:jc w:val="both"/>
        <w:rPr>
          <w:lang w:val="de-DE"/>
        </w:rPr>
      </w:pPr>
    </w:p>
    <w:p w14:paraId="6B4AEDE3" w14:textId="77777777" w:rsidR="00ED1273" w:rsidRPr="004676F5" w:rsidRDefault="00ED1273" w:rsidP="00ED1273">
      <w:pPr>
        <w:jc w:val="both"/>
        <w:rPr>
          <w:lang w:val="de-DE"/>
        </w:rPr>
      </w:pPr>
      <w:r w:rsidRPr="004676F5">
        <w:rPr>
          <w:lang w:val="de-DE"/>
        </w:rPr>
        <w:tab/>
        <w:t>Wenn Dienstleistungen oder Teile von Dienstleistungen wie in Artikel VIII.58 § 1 erwähnt an Dritte als Unterauftragnehmer vergeben werden, stellen die Dienstleistungs</w:t>
      </w:r>
      <w:r w:rsidRPr="004676F5">
        <w:rPr>
          <w:lang w:val="de-DE"/>
        </w:rPr>
        <w:softHyphen/>
        <w:t>erbringer sicher, dass diese Dienstleistungen die in Anlage 1 zu vorliegendem Buch erwähnten Barrierefreiheitsanforderungen erfüllen.</w:t>
      </w:r>
    </w:p>
    <w:p w14:paraId="34950E28" w14:textId="77777777" w:rsidR="00ED1273" w:rsidRPr="004676F5" w:rsidRDefault="00ED1273" w:rsidP="00ED1273">
      <w:pPr>
        <w:jc w:val="both"/>
        <w:rPr>
          <w:lang w:val="de-DE"/>
        </w:rPr>
      </w:pPr>
    </w:p>
    <w:p w14:paraId="554CF590" w14:textId="77777777" w:rsidR="00ED1273" w:rsidRPr="004676F5" w:rsidRDefault="00ED1273" w:rsidP="00ED1273">
      <w:pPr>
        <w:jc w:val="both"/>
        <w:rPr>
          <w:lang w:val="de-DE"/>
        </w:rPr>
      </w:pPr>
      <w:r w:rsidRPr="004676F5">
        <w:rPr>
          <w:lang w:val="de-DE"/>
        </w:rPr>
        <w:tab/>
        <w:t>Der König kann die in Anlage 1 zu vorliegendem Buch aufgenommene Liste der Barrierefreiheitsanforderungen ändern und ergänzen.</w:t>
      </w:r>
    </w:p>
    <w:p w14:paraId="047577C6" w14:textId="77777777" w:rsidR="00ED1273" w:rsidRPr="004676F5" w:rsidRDefault="00ED1273" w:rsidP="00ED1273">
      <w:pPr>
        <w:jc w:val="both"/>
        <w:rPr>
          <w:lang w:val="de-DE"/>
        </w:rPr>
      </w:pPr>
    </w:p>
    <w:p w14:paraId="29808DF8" w14:textId="77777777" w:rsidR="00ED1273" w:rsidRPr="004676F5" w:rsidRDefault="00ED1273" w:rsidP="00ED1273">
      <w:pPr>
        <w:jc w:val="both"/>
        <w:rPr>
          <w:lang w:val="de-DE"/>
        </w:rPr>
      </w:pPr>
      <w:r w:rsidRPr="004676F5">
        <w:rPr>
          <w:lang w:val="de-DE"/>
        </w:rPr>
        <w:tab/>
        <w:t>§ 2 ­ Der König kann alle oder bestimmte Kategorien von Kleinstunternehmen von allen oder einigen Verpflichtungen im Zusammenhang mit der Erfüllung der in Anlage 1 zu vorliegendem Buch erwähnten Barrierefreiheitsanforderungen ausnehmen.</w:t>
      </w:r>
    </w:p>
    <w:p w14:paraId="43D32EEC" w14:textId="77777777" w:rsidR="00ED1273" w:rsidRPr="004676F5" w:rsidRDefault="00ED1273" w:rsidP="00ED1273">
      <w:pPr>
        <w:jc w:val="both"/>
        <w:rPr>
          <w:lang w:val="de-DE"/>
        </w:rPr>
      </w:pPr>
    </w:p>
    <w:p w14:paraId="2597FA62" w14:textId="77777777" w:rsidR="00ED1273" w:rsidRPr="004676F5" w:rsidRDefault="00ED1273" w:rsidP="00ED1273">
      <w:pPr>
        <w:jc w:val="both"/>
        <w:rPr>
          <w:lang w:val="de-DE"/>
        </w:rPr>
      </w:pPr>
      <w:r w:rsidRPr="004676F5">
        <w:rPr>
          <w:lang w:val="de-DE"/>
        </w:rPr>
        <w:tab/>
        <w:t>§ 3 ­ In Artikel XV.2 erwähnte Bedienstete können Unternehmen Gutachten abgeben und Auskünfte erteilen, wie sie die in Anlage 1 zu vorliegendem Buch erwähnten Barrierefreiheitsanforderungen und andere Verpflichtungen im Zusammenhang mit der Erfüllung dieser Anforderungen erfüllen können. Gutachten und Auskünfte von allgemeiner Tragweite werden dem Nationalen Hohen Rat für Personen mit Behinderung zur Stellungnahme vorgelegt; der Rat gibt seine Stellungnahme innerhalb einer Frist von drei Monaten und in dringenden Fällen von einem Monat ab.]</w:t>
      </w:r>
    </w:p>
    <w:p w14:paraId="45013643" w14:textId="77777777" w:rsidR="00ED1273" w:rsidRPr="004676F5" w:rsidRDefault="00ED1273" w:rsidP="00ED1273">
      <w:pPr>
        <w:jc w:val="both"/>
        <w:rPr>
          <w:lang w:val="de-DE"/>
        </w:rPr>
      </w:pPr>
    </w:p>
    <w:p w14:paraId="6EA488E0" w14:textId="63BB0489" w:rsidR="00ED1273" w:rsidRPr="004676F5" w:rsidRDefault="00ED1273" w:rsidP="00ED1273">
      <w:pPr>
        <w:jc w:val="both"/>
        <w:rPr>
          <w:bCs/>
          <w:i/>
          <w:iCs/>
          <w:lang w:val="de-DE"/>
        </w:rPr>
      </w:pPr>
      <w:r w:rsidRPr="004676F5">
        <w:rPr>
          <w:i/>
          <w:iCs/>
          <w:lang w:val="de-DE"/>
        </w:rPr>
        <w:t>[Art. VIII.59 eingefügt durch Art. 10</w:t>
      </w:r>
      <w:r w:rsidRPr="004676F5">
        <w:rPr>
          <w:bCs/>
          <w:i/>
          <w:iCs/>
          <w:lang w:val="de-DE"/>
        </w:rPr>
        <w:t xml:space="preserve"> des G. vom 5. November 2023</w:t>
      </w:r>
      <w:r w:rsidR="00AA0B2E" w:rsidRPr="004676F5">
        <w:rPr>
          <w:bCs/>
          <w:i/>
          <w:iCs/>
          <w:lang w:val="de-DE"/>
        </w:rPr>
        <w:t> </w:t>
      </w:r>
      <w:r w:rsidR="003454B3" w:rsidRPr="004676F5">
        <w:rPr>
          <w:bCs/>
          <w:i/>
          <w:iCs/>
          <w:lang w:val="de-DE"/>
        </w:rPr>
        <w:t>(II)</w:t>
      </w:r>
      <w:r w:rsidRPr="004676F5">
        <w:rPr>
          <w:bCs/>
          <w:i/>
          <w:iCs/>
          <w:lang w:val="de-DE"/>
        </w:rPr>
        <w:t xml:space="preserve"> (B.S. vom 28. November 2023)]</w:t>
      </w:r>
    </w:p>
    <w:p w14:paraId="6085B588" w14:textId="77777777" w:rsidR="00ED1273" w:rsidRPr="004676F5" w:rsidRDefault="00ED1273" w:rsidP="00ED1273">
      <w:pPr>
        <w:jc w:val="both"/>
        <w:rPr>
          <w:iCs/>
          <w:lang w:val="de-DE"/>
        </w:rPr>
      </w:pPr>
    </w:p>
    <w:p w14:paraId="70D43F8E" w14:textId="77777777" w:rsidR="00ED1273" w:rsidRPr="004676F5" w:rsidRDefault="00ED1273" w:rsidP="00ED1273">
      <w:pPr>
        <w:jc w:val="both"/>
        <w:rPr>
          <w:iCs/>
          <w:lang w:val="de-DE"/>
        </w:rPr>
      </w:pPr>
    </w:p>
    <w:p w14:paraId="5499B86D" w14:textId="77777777" w:rsidR="00ED1273" w:rsidRPr="004676F5" w:rsidRDefault="00ED1273">
      <w:pPr>
        <w:rPr>
          <w:iCs/>
          <w:lang w:val="de-DE"/>
        </w:rPr>
      </w:pPr>
      <w:r w:rsidRPr="004676F5">
        <w:rPr>
          <w:iCs/>
          <w:lang w:val="de-DE"/>
        </w:rPr>
        <w:br w:type="page"/>
      </w:r>
    </w:p>
    <w:p w14:paraId="331BAD0E" w14:textId="77777777" w:rsidR="00ED1273" w:rsidRPr="004676F5" w:rsidRDefault="00ED1273" w:rsidP="00ED1273">
      <w:pPr>
        <w:jc w:val="center"/>
        <w:rPr>
          <w:iCs/>
          <w:lang w:val="de-DE"/>
        </w:rPr>
      </w:pPr>
      <w:r w:rsidRPr="004676F5">
        <w:rPr>
          <w:iCs/>
          <w:lang w:val="de-DE"/>
        </w:rPr>
        <w:lastRenderedPageBreak/>
        <w:t>[</w:t>
      </w:r>
      <w:r w:rsidRPr="004676F5">
        <w:rPr>
          <w:lang w:val="de-DE"/>
        </w:rPr>
        <w:t xml:space="preserve">KAPITEL 3 - </w:t>
      </w:r>
      <w:r w:rsidRPr="004676F5">
        <w:rPr>
          <w:i/>
          <w:iCs/>
          <w:lang w:val="de-DE"/>
        </w:rPr>
        <w:t>Pflichten der Dienstleistungserbringer</w:t>
      </w:r>
      <w:r w:rsidRPr="004676F5">
        <w:rPr>
          <w:iCs/>
          <w:lang w:val="de-DE"/>
        </w:rPr>
        <w:t>]</w:t>
      </w:r>
    </w:p>
    <w:p w14:paraId="471E35E0" w14:textId="77777777" w:rsidR="00ED1273" w:rsidRPr="004676F5" w:rsidRDefault="00ED1273" w:rsidP="00ED1273">
      <w:pPr>
        <w:jc w:val="center"/>
        <w:rPr>
          <w:iCs/>
          <w:lang w:val="de-DE"/>
        </w:rPr>
      </w:pPr>
    </w:p>
    <w:p w14:paraId="4B8E3C80" w14:textId="3F373066" w:rsidR="00ED1273" w:rsidRPr="004676F5" w:rsidRDefault="00ED1273" w:rsidP="00ED1273">
      <w:pPr>
        <w:jc w:val="both"/>
        <w:rPr>
          <w:bCs/>
          <w:i/>
          <w:iCs/>
          <w:lang w:val="de-DE"/>
        </w:rPr>
      </w:pPr>
      <w:r w:rsidRPr="004676F5">
        <w:rPr>
          <w:i/>
          <w:iCs/>
          <w:lang w:val="de-DE"/>
        </w:rPr>
        <w:t>[Unterteilung Kapitel 3 eingefügt durch Art. 11</w:t>
      </w:r>
      <w:r w:rsidRPr="004676F5">
        <w:rPr>
          <w:bCs/>
          <w:i/>
          <w:iCs/>
          <w:lang w:val="de-DE"/>
        </w:rPr>
        <w:t xml:space="preserve"> des G. vom 5. November 2023</w:t>
      </w:r>
      <w:r w:rsidR="003454B3" w:rsidRPr="004676F5">
        <w:rPr>
          <w:bCs/>
          <w:i/>
          <w:iCs/>
          <w:lang w:val="de-DE"/>
        </w:rPr>
        <w:t xml:space="preserve"> (II)</w:t>
      </w:r>
      <w:r w:rsidRPr="004676F5">
        <w:rPr>
          <w:bCs/>
          <w:i/>
          <w:iCs/>
          <w:lang w:val="de-DE"/>
        </w:rPr>
        <w:t xml:space="preserve"> (B.S. vom 28. November 2023)]</w:t>
      </w:r>
    </w:p>
    <w:p w14:paraId="747ABA60" w14:textId="77777777" w:rsidR="00ED1273" w:rsidRPr="004676F5" w:rsidRDefault="00ED1273" w:rsidP="00ED1273">
      <w:pPr>
        <w:jc w:val="both"/>
        <w:rPr>
          <w:iCs/>
          <w:lang w:val="de-DE"/>
        </w:rPr>
      </w:pPr>
    </w:p>
    <w:p w14:paraId="576074AC" w14:textId="77777777" w:rsidR="00ED1273" w:rsidRPr="004676F5" w:rsidRDefault="00ED1273" w:rsidP="00ED1273">
      <w:pPr>
        <w:jc w:val="both"/>
        <w:rPr>
          <w:iCs/>
          <w:lang w:val="de-DE"/>
        </w:rPr>
      </w:pPr>
    </w:p>
    <w:p w14:paraId="357B1DBD" w14:textId="77777777" w:rsidR="00ED1273" w:rsidRPr="004676F5" w:rsidRDefault="00ED1273" w:rsidP="00ED1273">
      <w:pPr>
        <w:jc w:val="both"/>
        <w:rPr>
          <w:lang w:val="de-DE"/>
        </w:rPr>
      </w:pPr>
      <w:r w:rsidRPr="004676F5">
        <w:rPr>
          <w:iCs/>
          <w:lang w:val="de-DE"/>
        </w:rPr>
        <w:tab/>
        <w:t>[</w:t>
      </w:r>
      <w:r w:rsidRPr="004676F5">
        <w:rPr>
          <w:b/>
          <w:bCs/>
          <w:lang w:val="de-DE"/>
        </w:rPr>
        <w:t>Art. VIII.60</w:t>
      </w:r>
      <w:r w:rsidRPr="004676F5">
        <w:rPr>
          <w:lang w:val="de-DE"/>
        </w:rPr>
        <w:t> - Die Dienstleistungserbringer erstellen die notwendigen Informationen im Einklang mit Anlage 2 zu vorliegendem Buch und erläutern darin, inwiefern die Dienstleistungen die geltenden Barrierefreiheitsanforderungen erfüllen beziehungsweise nicht erfüllen. Diese Informationen werden der Allgemeinheit in schriftlicher und mündlicher Form bereitgestellt, auch in einer für Menschen mit Behinderungen barrierefreien Form. Die Dienstleistungserbringer bewahren die Informationen so lange auf, wie die Dienstleistung angeboten wird.</w:t>
      </w:r>
    </w:p>
    <w:p w14:paraId="4F30B0EE" w14:textId="77777777" w:rsidR="00ED1273" w:rsidRPr="004676F5" w:rsidRDefault="00ED1273" w:rsidP="00ED1273">
      <w:pPr>
        <w:jc w:val="both"/>
        <w:rPr>
          <w:lang w:val="de-DE"/>
        </w:rPr>
      </w:pPr>
    </w:p>
    <w:p w14:paraId="1A006910" w14:textId="138829E4" w:rsidR="00ED1273" w:rsidRPr="004676F5" w:rsidRDefault="00ED1273" w:rsidP="00ED1273">
      <w:pPr>
        <w:jc w:val="both"/>
        <w:rPr>
          <w:lang w:val="de-DE"/>
        </w:rPr>
      </w:pPr>
      <w:r w:rsidRPr="004676F5">
        <w:rPr>
          <w:lang w:val="de-DE"/>
        </w:rPr>
        <w:tab/>
        <w:t>Der König kann die in Anlage 2 zu vorliegendem Buch aufgenommene Liste der Informationen über die Dienstleistungen, die den Barrierefreiheitsanforderungen entsprechen, ändern und ergänzen.]</w:t>
      </w:r>
    </w:p>
    <w:p w14:paraId="64B32853" w14:textId="77777777" w:rsidR="00ED1273" w:rsidRPr="004676F5" w:rsidRDefault="00ED1273" w:rsidP="00ED1273">
      <w:pPr>
        <w:jc w:val="both"/>
        <w:rPr>
          <w:lang w:val="de-DE"/>
        </w:rPr>
      </w:pPr>
    </w:p>
    <w:p w14:paraId="3D123488" w14:textId="481B2055" w:rsidR="00ED1273" w:rsidRPr="004676F5" w:rsidRDefault="00ED1273" w:rsidP="00ED1273">
      <w:pPr>
        <w:jc w:val="both"/>
        <w:rPr>
          <w:bCs/>
          <w:i/>
          <w:iCs/>
          <w:lang w:val="de-DE"/>
        </w:rPr>
      </w:pPr>
      <w:r w:rsidRPr="004676F5">
        <w:rPr>
          <w:i/>
          <w:iCs/>
          <w:lang w:val="de-DE"/>
        </w:rPr>
        <w:t>[Art. VIII.60 eingefügt durch Art. 12</w:t>
      </w:r>
      <w:r w:rsidRPr="004676F5">
        <w:rPr>
          <w:bCs/>
          <w:i/>
          <w:iCs/>
          <w:lang w:val="de-DE"/>
        </w:rPr>
        <w:t xml:space="preserve"> des G. vom 5. November 2023</w:t>
      </w:r>
      <w:r w:rsidR="00AA0B2E" w:rsidRPr="004676F5">
        <w:rPr>
          <w:bCs/>
          <w:i/>
          <w:iCs/>
          <w:lang w:val="de-DE"/>
        </w:rPr>
        <w:t> </w:t>
      </w:r>
      <w:r w:rsidR="003454B3" w:rsidRPr="004676F5">
        <w:rPr>
          <w:bCs/>
          <w:i/>
          <w:iCs/>
          <w:lang w:val="de-DE"/>
        </w:rPr>
        <w:t>(II)</w:t>
      </w:r>
      <w:r w:rsidRPr="004676F5">
        <w:rPr>
          <w:bCs/>
          <w:i/>
          <w:iCs/>
          <w:lang w:val="de-DE"/>
        </w:rPr>
        <w:t xml:space="preserve"> (B.S. vom 28. November 2023)]</w:t>
      </w:r>
    </w:p>
    <w:p w14:paraId="622B6647" w14:textId="77777777" w:rsidR="00ED1273" w:rsidRPr="004676F5" w:rsidRDefault="00ED1273" w:rsidP="00ED1273">
      <w:pPr>
        <w:jc w:val="both"/>
        <w:rPr>
          <w:lang w:val="de-DE"/>
        </w:rPr>
      </w:pPr>
    </w:p>
    <w:p w14:paraId="0F600B37" w14:textId="77777777" w:rsidR="00ED1273" w:rsidRPr="004676F5" w:rsidRDefault="00ED1273" w:rsidP="00ED1273">
      <w:pPr>
        <w:jc w:val="both"/>
        <w:rPr>
          <w:lang w:val="de-DE"/>
        </w:rPr>
      </w:pPr>
    </w:p>
    <w:p w14:paraId="729AF852" w14:textId="5CE6DB1C" w:rsidR="00ED1273" w:rsidRPr="004676F5" w:rsidRDefault="00ED1273" w:rsidP="00ED1273">
      <w:pPr>
        <w:jc w:val="both"/>
        <w:rPr>
          <w:lang w:val="de-DE"/>
        </w:rPr>
      </w:pPr>
      <w:r w:rsidRPr="004676F5">
        <w:rPr>
          <w:lang w:val="de-DE"/>
        </w:rPr>
        <w:tab/>
        <w:t>[</w:t>
      </w:r>
      <w:r w:rsidRPr="004676F5">
        <w:rPr>
          <w:b/>
          <w:bCs/>
          <w:lang w:val="de-DE"/>
        </w:rPr>
        <w:t>Art. VIII.61</w:t>
      </w:r>
      <w:r w:rsidRPr="004676F5">
        <w:rPr>
          <w:lang w:val="de-DE"/>
        </w:rPr>
        <w:t> - § 1 - Die Dienstleistungserbringer gewährleisten durch die Anwendung von Verfahren, dass die in Anlage 1 zu vorliegendem Buch erwähnten Barrierefreiheits</w:t>
      </w:r>
      <w:r w:rsidRPr="004676F5">
        <w:rPr>
          <w:lang w:val="de-DE"/>
        </w:rPr>
        <w:softHyphen/>
        <w:t>anforderungen bei der Erbringung einer Dienstleistung erfüllt werden, solange die Dienstleistung erbracht wird. Die Dienstleistungserbringer tragen Veränderungen bei den Merkmalen der Erbringung der Dienstleistung, Veränderungen bei den geltenden Barrierefreiheitsanforderungen und Änderungen der harmonisierten Normen oder technischer Spezifikationen, auf die bei Erklärung der Übereinstimmung der Dienstleistung mit den Barrierefreiheitsanforderungen verwiesen wird, gebührend Rechnung.</w:t>
      </w:r>
    </w:p>
    <w:p w14:paraId="3E355C99" w14:textId="77777777" w:rsidR="00ED1273" w:rsidRPr="004676F5" w:rsidRDefault="00ED1273" w:rsidP="00ED1273">
      <w:pPr>
        <w:jc w:val="both"/>
        <w:rPr>
          <w:lang w:val="de-DE"/>
        </w:rPr>
      </w:pPr>
    </w:p>
    <w:p w14:paraId="202E2855" w14:textId="77777777" w:rsidR="00ED1273" w:rsidRPr="004676F5" w:rsidRDefault="00ED1273" w:rsidP="00ED1273">
      <w:pPr>
        <w:jc w:val="both"/>
        <w:rPr>
          <w:lang w:val="de-DE"/>
        </w:rPr>
      </w:pPr>
      <w:r w:rsidRPr="004676F5">
        <w:rPr>
          <w:lang w:val="de-DE"/>
        </w:rPr>
        <w:tab/>
        <w:t>§ 2 ­ Ab dem Zeitpunkt, an dem eine Dienstleistung nicht mehr konform ist, ergreifen die Dienstleistungserbringer die erforderlichen Korrekturmaßnahmen, um die Konformität der Dienstleistung mit den geltenden Barrierefreiheitsanforderungen herzustellen. Wenn die Dienstleistung den geltenden Barrierefreiheitsanforderungen nicht genügt, unterrichten die Dienstleistungserbringer außerdem unverzüglich die in Artikel XV.2 erwähnten Bediensteten darüber; dabei machen sie ausführliche Angaben, insbesondere über die Nichtkonformität und die ergriffenen Korrekturmaßnahmen.</w:t>
      </w:r>
    </w:p>
    <w:p w14:paraId="25CE1B0C" w14:textId="77777777" w:rsidR="00ED1273" w:rsidRPr="004676F5" w:rsidRDefault="00ED1273" w:rsidP="00ED1273">
      <w:pPr>
        <w:jc w:val="both"/>
        <w:rPr>
          <w:lang w:val="de-DE"/>
        </w:rPr>
      </w:pPr>
    </w:p>
    <w:p w14:paraId="6EF070DA" w14:textId="77777777" w:rsidR="00ED1273" w:rsidRPr="004676F5" w:rsidRDefault="00ED1273" w:rsidP="00ED1273">
      <w:pPr>
        <w:jc w:val="both"/>
        <w:rPr>
          <w:lang w:val="de-DE"/>
        </w:rPr>
      </w:pPr>
      <w:r w:rsidRPr="004676F5">
        <w:rPr>
          <w:lang w:val="de-DE"/>
        </w:rPr>
        <w:tab/>
        <w:t>Der König kann bestimmen, auf welche Weise die Dienstleistungserbringer die in Artikel XV.2 erwähnten Bediensteten darüber unterrichten können und welche Informationen genau mitgeteilt werden müssen.</w:t>
      </w:r>
    </w:p>
    <w:p w14:paraId="19263EB4" w14:textId="77777777" w:rsidR="00ED1273" w:rsidRPr="004676F5" w:rsidRDefault="00ED1273" w:rsidP="00ED1273">
      <w:pPr>
        <w:jc w:val="both"/>
        <w:rPr>
          <w:lang w:val="de-DE"/>
        </w:rPr>
      </w:pPr>
    </w:p>
    <w:p w14:paraId="7909668C" w14:textId="77777777" w:rsidR="00ED1273" w:rsidRPr="004676F5" w:rsidRDefault="00ED1273" w:rsidP="00ED1273">
      <w:pPr>
        <w:jc w:val="both"/>
        <w:rPr>
          <w:lang w:val="de-DE"/>
        </w:rPr>
      </w:pPr>
      <w:r w:rsidRPr="004676F5">
        <w:rPr>
          <w:lang w:val="de-DE"/>
        </w:rPr>
        <w:tab/>
        <w:t>§ 3 ­ Die Dienstleistungserbringer händigen den in Artikel XV.2 erwähnten Bediensteten auf deren Verlangen alle Informationen und Unterlagen aus, die für den Nachweis der Konformität der Dienstleistung mit den geltenden Barrierefreiheitsanforderungen erforderlich sind. Sie kooperieren mit diesen Bediensteten auf deren Verlangen bei allen Maßnahmen, die zur Herstellung der Übereinstimmung der Dienstleistung mit den erwähnten Anforderungen ergriffen werden.]</w:t>
      </w:r>
    </w:p>
    <w:p w14:paraId="14CE572F" w14:textId="77777777" w:rsidR="00ED1273" w:rsidRPr="004676F5" w:rsidRDefault="00ED1273" w:rsidP="00ED1273">
      <w:pPr>
        <w:jc w:val="both"/>
        <w:rPr>
          <w:lang w:val="de-DE"/>
        </w:rPr>
      </w:pPr>
    </w:p>
    <w:p w14:paraId="465367F5" w14:textId="44C65574" w:rsidR="00ED1273" w:rsidRPr="004676F5" w:rsidRDefault="00ED1273" w:rsidP="00ED1273">
      <w:pPr>
        <w:jc w:val="both"/>
        <w:rPr>
          <w:bCs/>
          <w:i/>
          <w:iCs/>
          <w:lang w:val="de-DE"/>
        </w:rPr>
      </w:pPr>
      <w:r w:rsidRPr="004676F5">
        <w:rPr>
          <w:i/>
          <w:iCs/>
          <w:lang w:val="de-DE"/>
        </w:rPr>
        <w:t>[Art. VIII.61 eingefügt durch Art. 13</w:t>
      </w:r>
      <w:r w:rsidRPr="004676F5">
        <w:rPr>
          <w:bCs/>
          <w:i/>
          <w:iCs/>
          <w:lang w:val="de-DE"/>
        </w:rPr>
        <w:t xml:space="preserve"> des G. vom 5. November 2023</w:t>
      </w:r>
      <w:r w:rsidR="00AA0B2E" w:rsidRPr="004676F5">
        <w:rPr>
          <w:bCs/>
          <w:i/>
          <w:iCs/>
          <w:lang w:val="de-DE"/>
        </w:rPr>
        <w:t> </w:t>
      </w:r>
      <w:r w:rsidR="003454B3" w:rsidRPr="004676F5">
        <w:rPr>
          <w:bCs/>
          <w:i/>
          <w:iCs/>
          <w:lang w:val="de-DE"/>
        </w:rPr>
        <w:t>(II)</w:t>
      </w:r>
      <w:r w:rsidRPr="004676F5">
        <w:rPr>
          <w:bCs/>
          <w:i/>
          <w:iCs/>
          <w:lang w:val="de-DE"/>
        </w:rPr>
        <w:t xml:space="preserve"> (B.S. vom 28. November 2023)]</w:t>
      </w:r>
    </w:p>
    <w:p w14:paraId="30B9272B" w14:textId="4993CD47" w:rsidR="00ED1273" w:rsidRPr="004676F5" w:rsidRDefault="00ED1273" w:rsidP="00ED1273">
      <w:pPr>
        <w:jc w:val="center"/>
        <w:rPr>
          <w:bCs/>
          <w:lang w:val="de-DE"/>
        </w:rPr>
      </w:pPr>
      <w:r w:rsidRPr="004676F5">
        <w:rPr>
          <w:bCs/>
          <w:lang w:val="de-DE"/>
        </w:rPr>
        <w:lastRenderedPageBreak/>
        <w:t>[</w:t>
      </w:r>
      <w:r w:rsidRPr="004676F5">
        <w:rPr>
          <w:lang w:val="de-DE"/>
        </w:rPr>
        <w:t xml:space="preserve">KAPITEL 4 - </w:t>
      </w:r>
      <w:r w:rsidRPr="004676F5">
        <w:rPr>
          <w:i/>
          <w:iCs/>
          <w:lang w:val="de-DE"/>
        </w:rPr>
        <w:t>Grundlegende Veränderungen von Dienstleistungen und unverhältnismäßige Belastungen für die Dienstleistungserbringer</w:t>
      </w:r>
      <w:r w:rsidRPr="004676F5">
        <w:rPr>
          <w:lang w:val="de-DE"/>
        </w:rPr>
        <w:t>]</w:t>
      </w:r>
    </w:p>
    <w:p w14:paraId="204847C2" w14:textId="4636EBEB" w:rsidR="0009060C" w:rsidRPr="004676F5" w:rsidRDefault="0009060C" w:rsidP="00ED1273">
      <w:pPr>
        <w:rPr>
          <w:iCs/>
          <w:lang w:val="de-DE"/>
        </w:rPr>
      </w:pPr>
    </w:p>
    <w:p w14:paraId="66C86DC9" w14:textId="4A35B1AC" w:rsidR="00ED1273" w:rsidRPr="004676F5" w:rsidRDefault="00ED1273" w:rsidP="00ED1273">
      <w:pPr>
        <w:jc w:val="both"/>
        <w:rPr>
          <w:bCs/>
          <w:i/>
          <w:iCs/>
          <w:lang w:val="de-DE"/>
        </w:rPr>
      </w:pPr>
      <w:r w:rsidRPr="004676F5">
        <w:rPr>
          <w:i/>
          <w:iCs/>
          <w:lang w:val="de-DE"/>
        </w:rPr>
        <w:t>[Unterteilung Kapitel 4 eingefügt durch Art. 14</w:t>
      </w:r>
      <w:r w:rsidRPr="004676F5">
        <w:rPr>
          <w:bCs/>
          <w:i/>
          <w:iCs/>
          <w:lang w:val="de-DE"/>
        </w:rPr>
        <w:t xml:space="preserve"> des G. vom 5. November 2023</w:t>
      </w:r>
      <w:r w:rsidR="00AA0B2E" w:rsidRPr="004676F5">
        <w:rPr>
          <w:bCs/>
          <w:i/>
          <w:iCs/>
          <w:lang w:val="de-DE"/>
        </w:rPr>
        <w:t> </w:t>
      </w:r>
      <w:r w:rsidR="003454B3" w:rsidRPr="004676F5">
        <w:rPr>
          <w:bCs/>
          <w:i/>
          <w:iCs/>
          <w:lang w:val="de-DE"/>
        </w:rPr>
        <w:t>(II)</w:t>
      </w:r>
      <w:r w:rsidRPr="004676F5">
        <w:rPr>
          <w:bCs/>
          <w:i/>
          <w:iCs/>
          <w:lang w:val="de-DE"/>
        </w:rPr>
        <w:t xml:space="preserve"> (B.S. vom 28. November 2023)]</w:t>
      </w:r>
    </w:p>
    <w:p w14:paraId="1E9AA5B5" w14:textId="77777777" w:rsidR="00ED1273" w:rsidRPr="004676F5" w:rsidRDefault="00ED1273" w:rsidP="00ED1273">
      <w:pPr>
        <w:rPr>
          <w:iCs/>
          <w:lang w:val="de-DE"/>
        </w:rPr>
      </w:pPr>
    </w:p>
    <w:p w14:paraId="2F89FB12" w14:textId="77777777" w:rsidR="00ED1273" w:rsidRPr="004676F5" w:rsidRDefault="00ED1273" w:rsidP="00ED1273">
      <w:pPr>
        <w:rPr>
          <w:iCs/>
          <w:lang w:val="de-DE"/>
        </w:rPr>
      </w:pPr>
    </w:p>
    <w:p w14:paraId="50181D1F" w14:textId="77777777" w:rsidR="00ED1273" w:rsidRPr="004676F5" w:rsidRDefault="00ED1273" w:rsidP="00ED1273">
      <w:pPr>
        <w:jc w:val="both"/>
        <w:rPr>
          <w:lang w:val="de-DE"/>
        </w:rPr>
      </w:pPr>
      <w:r w:rsidRPr="004676F5">
        <w:rPr>
          <w:iCs/>
          <w:lang w:val="de-DE"/>
        </w:rPr>
        <w:tab/>
        <w:t>[</w:t>
      </w:r>
      <w:r w:rsidRPr="004676F5">
        <w:rPr>
          <w:b/>
          <w:bCs/>
          <w:lang w:val="de-DE"/>
        </w:rPr>
        <w:t>Art. VIII.62</w:t>
      </w:r>
      <w:r w:rsidRPr="004676F5">
        <w:rPr>
          <w:lang w:val="de-DE"/>
        </w:rPr>
        <w:t> - § 1 - Die in Anlage 1 zu vorliegendem Buch erwähnten Barriere</w:t>
      </w:r>
      <w:r w:rsidRPr="004676F5">
        <w:rPr>
          <w:lang w:val="de-DE"/>
        </w:rPr>
        <w:softHyphen/>
        <w:t>freiheitsanforderungen gelten nur insoweit, als deren Einhaltung:</w:t>
      </w:r>
    </w:p>
    <w:p w14:paraId="4822180D" w14:textId="77777777" w:rsidR="00ED1273" w:rsidRPr="004676F5" w:rsidRDefault="00ED1273" w:rsidP="00ED1273">
      <w:pPr>
        <w:jc w:val="both"/>
        <w:rPr>
          <w:lang w:val="de-DE"/>
        </w:rPr>
      </w:pPr>
    </w:p>
    <w:p w14:paraId="5F01878F" w14:textId="77777777" w:rsidR="00ED1273" w:rsidRPr="004676F5" w:rsidRDefault="00ED1273" w:rsidP="00ED1273">
      <w:pPr>
        <w:jc w:val="both"/>
        <w:rPr>
          <w:lang w:val="de-DE"/>
        </w:rPr>
      </w:pPr>
      <w:r w:rsidRPr="004676F5">
        <w:rPr>
          <w:lang w:val="de-DE"/>
        </w:rPr>
        <w:tab/>
        <w:t>1. keine wesentliche Änderung einer Dienstleistung erfordert, die zu einer grundlegenden Veränderung der Wesensmerkmale der Dienstleistung führt, und</w:t>
      </w:r>
    </w:p>
    <w:p w14:paraId="58BA54CF" w14:textId="77777777" w:rsidR="00ED1273" w:rsidRPr="004676F5" w:rsidRDefault="00ED1273" w:rsidP="00ED1273">
      <w:pPr>
        <w:jc w:val="both"/>
        <w:rPr>
          <w:lang w:val="de-DE"/>
        </w:rPr>
      </w:pPr>
    </w:p>
    <w:p w14:paraId="7F547D8F" w14:textId="77777777" w:rsidR="00ED1273" w:rsidRPr="004676F5" w:rsidRDefault="00ED1273" w:rsidP="00ED1273">
      <w:pPr>
        <w:jc w:val="both"/>
        <w:rPr>
          <w:lang w:val="de-DE"/>
        </w:rPr>
      </w:pPr>
      <w:r w:rsidRPr="004676F5">
        <w:rPr>
          <w:lang w:val="de-DE"/>
        </w:rPr>
        <w:tab/>
        <w:t>2. zu keiner unverhältnismäßigen Belastung der betreffenden Dienstleistungserbringer führt.</w:t>
      </w:r>
    </w:p>
    <w:p w14:paraId="6761DA85" w14:textId="77777777" w:rsidR="00ED1273" w:rsidRPr="004676F5" w:rsidRDefault="00ED1273" w:rsidP="00ED1273">
      <w:pPr>
        <w:jc w:val="both"/>
        <w:rPr>
          <w:lang w:val="de-DE"/>
        </w:rPr>
      </w:pPr>
    </w:p>
    <w:p w14:paraId="30091F05" w14:textId="77777777" w:rsidR="00ED1273" w:rsidRPr="004676F5" w:rsidRDefault="00ED1273" w:rsidP="00ED1273">
      <w:pPr>
        <w:jc w:val="both"/>
        <w:rPr>
          <w:lang w:val="de-DE"/>
        </w:rPr>
      </w:pPr>
      <w:r w:rsidRPr="004676F5">
        <w:rPr>
          <w:lang w:val="de-DE"/>
        </w:rPr>
        <w:tab/>
        <w:t>Wenn bestimmte Barrierefreiheitsanforderungen eine grundlegende Veränderung oder eine unverhältnismäßige Belastung wie in Absatz 1 erwähnt mit sich bringen und andere Barrierefreiheitsanforderungen nicht, werden letztere vollständig erfüllt. Wenn bestimmte Barrierefreiheitsanforderungen nur teilweise eine grundlegende Veränderung oder eine unverhältnismäßige Belastung wie in Absatz 1 erwähnt mit sich bringen, wird der Teil der Barrierefreiheitsanforderungen, der keine grundlegende Veränderung oder unverhältnismäßige Belastung mit sich bringt, vollständig erfüllt.</w:t>
      </w:r>
    </w:p>
    <w:p w14:paraId="68F7E293" w14:textId="77777777" w:rsidR="00ED1273" w:rsidRPr="004676F5" w:rsidRDefault="00ED1273" w:rsidP="00ED1273">
      <w:pPr>
        <w:jc w:val="both"/>
        <w:rPr>
          <w:lang w:val="de-DE"/>
        </w:rPr>
      </w:pPr>
    </w:p>
    <w:p w14:paraId="08BC007D" w14:textId="77777777" w:rsidR="00ED1273" w:rsidRPr="004676F5" w:rsidRDefault="00ED1273" w:rsidP="00ED1273">
      <w:pPr>
        <w:jc w:val="both"/>
        <w:rPr>
          <w:lang w:val="de-DE"/>
        </w:rPr>
      </w:pPr>
      <w:r w:rsidRPr="004676F5">
        <w:rPr>
          <w:lang w:val="de-DE"/>
        </w:rPr>
        <w:tab/>
        <w:t>§ 2 ­ Die Dienstleistungserbringer nehmen eine Beurteilung vor, ob die Einhaltung der in Anlage 1 zu vorliegendem Buch erwähnten Barrierefreiheitsanforderungen eine grundlegende Veränderung mit sich bringen würde oder aufgrund der in Anlage 3 zu vorliegendem Buch angeführten einschlägigen Kriterien zu einer unverhältnismäßigen Belastung gemäß § 1 führen würde.</w:t>
      </w:r>
    </w:p>
    <w:p w14:paraId="2F6B8225" w14:textId="77777777" w:rsidR="00ED1273" w:rsidRPr="004676F5" w:rsidRDefault="00ED1273" w:rsidP="00ED1273">
      <w:pPr>
        <w:jc w:val="both"/>
        <w:rPr>
          <w:lang w:val="de-DE"/>
        </w:rPr>
      </w:pPr>
    </w:p>
    <w:p w14:paraId="4A6C8AE6" w14:textId="77777777" w:rsidR="00ED1273" w:rsidRPr="004676F5" w:rsidRDefault="00ED1273" w:rsidP="00ED1273">
      <w:pPr>
        <w:jc w:val="both"/>
        <w:rPr>
          <w:lang w:val="de-DE"/>
        </w:rPr>
      </w:pPr>
      <w:r w:rsidRPr="004676F5">
        <w:rPr>
          <w:lang w:val="de-DE"/>
        </w:rPr>
        <w:tab/>
        <w:t>§ 3 ­ Die Dienstleistungserbringer dokumentieren die Beurteilung nach § 2. Wenn eine oder mehrere Barrierefreiheitsanforderungen eine grundlegende Veränderung oder unverhältnismäßige Belastung wie in § 1 erwähnt mit sich bringen, werden die in Anlage 3 zu vorliegendem Buch angeführten einschlägigen Kriterien pro Barrierefreiheitsanforderung in die Beurteilung aufgenommen; dabei werden die genauen Auswirkungen konkret erläutert. Die Dienstleistungserbringer bewahren alle einschlägigen Ergebnisse für einen Zeitraum von fünf Jahren ab der letzten Erbringung einer Dienstleistung auf. Auf Verlangen der in Artikel XV.2 erwähnten Bediensteten legen sie ihnen ein Exemplar der in § 2 erwähnten Beurteilung vor.</w:t>
      </w:r>
    </w:p>
    <w:p w14:paraId="41198201" w14:textId="77777777" w:rsidR="00ED1273" w:rsidRPr="004676F5" w:rsidRDefault="00ED1273" w:rsidP="00ED1273">
      <w:pPr>
        <w:jc w:val="both"/>
        <w:rPr>
          <w:lang w:val="de-DE"/>
        </w:rPr>
      </w:pPr>
    </w:p>
    <w:p w14:paraId="0A9D4226" w14:textId="77777777" w:rsidR="00ED1273" w:rsidRPr="004676F5" w:rsidRDefault="00ED1273" w:rsidP="00ED1273">
      <w:pPr>
        <w:jc w:val="both"/>
        <w:rPr>
          <w:lang w:val="de-DE"/>
        </w:rPr>
      </w:pPr>
      <w:r w:rsidRPr="004676F5">
        <w:rPr>
          <w:lang w:val="de-DE"/>
        </w:rPr>
        <w:tab/>
        <w:t>§ 4 ­ Dienstleistungserbringer, die sich auf § 1 Absatz 1 Nr. 2 berufen, führen für jede Dienstleistungskategorie oder -art ihre Beurteilung in Bezug auf das Vorliegen einer unverhältnismäßigen Belastung erneut aus:</w:t>
      </w:r>
    </w:p>
    <w:p w14:paraId="4DFF60DA" w14:textId="77777777" w:rsidR="00ED1273" w:rsidRPr="004676F5" w:rsidRDefault="00ED1273" w:rsidP="00ED1273">
      <w:pPr>
        <w:jc w:val="both"/>
        <w:rPr>
          <w:lang w:val="de-DE"/>
        </w:rPr>
      </w:pPr>
    </w:p>
    <w:p w14:paraId="59337C1C" w14:textId="77777777" w:rsidR="00ED1273" w:rsidRPr="004676F5" w:rsidRDefault="00ED1273" w:rsidP="00ED1273">
      <w:pPr>
        <w:jc w:val="both"/>
        <w:rPr>
          <w:lang w:val="de-DE"/>
        </w:rPr>
      </w:pPr>
      <w:r w:rsidRPr="004676F5">
        <w:rPr>
          <w:lang w:val="de-DE"/>
        </w:rPr>
        <w:tab/>
        <w:t>1. wenn die angebotene Dienstleistung verändert wird oder</w:t>
      </w:r>
    </w:p>
    <w:p w14:paraId="272D341C" w14:textId="77777777" w:rsidR="00ED1273" w:rsidRPr="004676F5" w:rsidRDefault="00ED1273" w:rsidP="00ED1273">
      <w:pPr>
        <w:jc w:val="both"/>
        <w:rPr>
          <w:lang w:val="de-DE"/>
        </w:rPr>
      </w:pPr>
    </w:p>
    <w:p w14:paraId="0C34EC45" w14:textId="77777777" w:rsidR="00ED1273" w:rsidRPr="004676F5" w:rsidRDefault="00ED1273" w:rsidP="00ED1273">
      <w:pPr>
        <w:jc w:val="both"/>
        <w:rPr>
          <w:lang w:val="de-DE"/>
        </w:rPr>
      </w:pPr>
      <w:r w:rsidRPr="004676F5">
        <w:rPr>
          <w:lang w:val="de-DE"/>
        </w:rPr>
        <w:tab/>
        <w:t>2. wenn sie von den in Artikel XV.2 erwähnten Bediensteten dazu aufgefordert werden und</w:t>
      </w:r>
    </w:p>
    <w:p w14:paraId="6558BB3A" w14:textId="77777777" w:rsidR="00ED1273" w:rsidRPr="004676F5" w:rsidRDefault="00ED1273" w:rsidP="00ED1273">
      <w:pPr>
        <w:jc w:val="both"/>
        <w:rPr>
          <w:lang w:val="de-DE"/>
        </w:rPr>
      </w:pPr>
    </w:p>
    <w:p w14:paraId="181387B3" w14:textId="77777777" w:rsidR="00ED1273" w:rsidRPr="004676F5" w:rsidRDefault="00ED1273" w:rsidP="00ED1273">
      <w:pPr>
        <w:jc w:val="both"/>
        <w:rPr>
          <w:lang w:val="de-DE"/>
        </w:rPr>
      </w:pPr>
      <w:r w:rsidRPr="004676F5">
        <w:rPr>
          <w:lang w:val="de-DE"/>
        </w:rPr>
        <w:tab/>
        <w:t>3. mindestens aber alle fünf Jahre.</w:t>
      </w:r>
    </w:p>
    <w:p w14:paraId="40499985" w14:textId="77777777" w:rsidR="00ED1273" w:rsidRPr="004676F5" w:rsidRDefault="00ED1273" w:rsidP="00ED1273">
      <w:pPr>
        <w:jc w:val="both"/>
        <w:rPr>
          <w:lang w:val="de-DE"/>
        </w:rPr>
      </w:pPr>
    </w:p>
    <w:p w14:paraId="629365B2" w14:textId="77777777" w:rsidR="00ED1273" w:rsidRPr="004676F5" w:rsidRDefault="00ED1273" w:rsidP="00ED1273">
      <w:pPr>
        <w:jc w:val="both"/>
        <w:rPr>
          <w:lang w:val="de-DE"/>
        </w:rPr>
      </w:pPr>
      <w:r w:rsidRPr="004676F5">
        <w:rPr>
          <w:lang w:val="de-DE"/>
        </w:rPr>
        <w:lastRenderedPageBreak/>
        <w:tab/>
        <w:t>§ 5 ­ Wenn Dienstleistungserbringer zu Zwecken der Verbesserung der Barrierefreiheit nichteigene - öffentliche oder private - Mittel erhalten, sind sie nicht dazu berechtigt, sich auf § 1 Absatz 1 Nr. 2 zu berufen.</w:t>
      </w:r>
    </w:p>
    <w:p w14:paraId="4BB14A76" w14:textId="77777777" w:rsidR="00ED1273" w:rsidRPr="004676F5" w:rsidRDefault="00ED1273" w:rsidP="00ED1273">
      <w:pPr>
        <w:jc w:val="both"/>
        <w:rPr>
          <w:lang w:val="de-DE"/>
        </w:rPr>
      </w:pPr>
    </w:p>
    <w:p w14:paraId="6B8260D0" w14:textId="77777777" w:rsidR="00ED1273" w:rsidRPr="004676F5" w:rsidRDefault="00ED1273" w:rsidP="00ED1273">
      <w:pPr>
        <w:jc w:val="both"/>
        <w:rPr>
          <w:lang w:val="de-DE"/>
        </w:rPr>
      </w:pPr>
      <w:r w:rsidRPr="004676F5">
        <w:rPr>
          <w:lang w:val="de-DE"/>
        </w:rPr>
        <w:tab/>
        <w:t>§ 6 ­ Wenn sich Dienstleistungserbringer bei einer bestimmten Dienstleistung auf § 1 berufen, übermitteln sie den in Artikel XV.2 erwähnten Bediensteten proaktiv Informationen darüber, dass sie sich auf eine der in § 1 erwähnten Ausnahmen berufen.</w:t>
      </w:r>
    </w:p>
    <w:p w14:paraId="03C90480" w14:textId="77777777" w:rsidR="00ED1273" w:rsidRPr="004676F5" w:rsidRDefault="00ED1273" w:rsidP="00ED1273">
      <w:pPr>
        <w:jc w:val="both"/>
        <w:rPr>
          <w:lang w:val="de-DE"/>
        </w:rPr>
      </w:pPr>
    </w:p>
    <w:p w14:paraId="51BE5C92" w14:textId="77777777" w:rsidR="00ED1273" w:rsidRPr="004676F5" w:rsidRDefault="00ED1273" w:rsidP="00ED1273">
      <w:pPr>
        <w:jc w:val="both"/>
        <w:rPr>
          <w:lang w:val="de-DE"/>
        </w:rPr>
      </w:pPr>
      <w:r w:rsidRPr="004676F5">
        <w:rPr>
          <w:lang w:val="de-DE"/>
        </w:rPr>
        <w:tab/>
        <w:t>Der König kann bestimmen, auf welche Weise die Dienstleistungserbringer die in Artikel XV.2 erwähnten Bediensteten darüber unterrichten können und welche Informationen genau mitgeteilt werden müssen.</w:t>
      </w:r>
    </w:p>
    <w:p w14:paraId="0EF21E1D" w14:textId="77777777" w:rsidR="00ED1273" w:rsidRPr="004676F5" w:rsidRDefault="00ED1273" w:rsidP="00ED1273">
      <w:pPr>
        <w:jc w:val="both"/>
        <w:rPr>
          <w:lang w:val="de-DE"/>
        </w:rPr>
      </w:pPr>
    </w:p>
    <w:p w14:paraId="797A068A" w14:textId="77777777" w:rsidR="00ED1273" w:rsidRPr="004676F5" w:rsidRDefault="00ED1273" w:rsidP="00ED1273">
      <w:pPr>
        <w:jc w:val="both"/>
        <w:rPr>
          <w:lang w:val="de-DE"/>
        </w:rPr>
      </w:pPr>
      <w:r w:rsidRPr="004676F5">
        <w:rPr>
          <w:lang w:val="de-DE"/>
        </w:rPr>
        <w:tab/>
        <w:t>§ 7 ­ Der König kann die in Anlage 3 zu vorliegendem Buch aufgenommene Liste der Kriterien für die Beurteilung der unverhältnismäßigen Belastung ändern, ergänzen und präzisieren.</w:t>
      </w:r>
    </w:p>
    <w:p w14:paraId="5959CB53" w14:textId="77777777" w:rsidR="00ED1273" w:rsidRPr="004676F5" w:rsidRDefault="00ED1273" w:rsidP="00ED1273">
      <w:pPr>
        <w:jc w:val="both"/>
        <w:rPr>
          <w:lang w:val="de-DE"/>
        </w:rPr>
      </w:pPr>
    </w:p>
    <w:p w14:paraId="30E9FB0E" w14:textId="69CFD49B" w:rsidR="00ED1273" w:rsidRPr="004676F5" w:rsidRDefault="00ED1273" w:rsidP="00ED1273">
      <w:pPr>
        <w:jc w:val="both"/>
        <w:rPr>
          <w:lang w:val="de-DE"/>
        </w:rPr>
      </w:pPr>
      <w:r w:rsidRPr="004676F5">
        <w:rPr>
          <w:lang w:val="de-DE"/>
        </w:rPr>
        <w:tab/>
        <w:t>Die in Artikel XV.2 erwähnten Bediensteten können Regelungen veröffentlichen, wie die in Anlage 3 zu vorliegendem Buch erwähnten Kriterien zu beurteilen oder auszulegen sind. Gegebenenfalls treten diese Regelungen erst nach Billigung durch den König in Kraft.]</w:t>
      </w:r>
    </w:p>
    <w:p w14:paraId="02A3524C" w14:textId="77777777" w:rsidR="00ED1273" w:rsidRPr="004676F5" w:rsidRDefault="00ED1273" w:rsidP="00ED1273">
      <w:pPr>
        <w:jc w:val="both"/>
        <w:rPr>
          <w:lang w:val="de-DE"/>
        </w:rPr>
      </w:pPr>
    </w:p>
    <w:p w14:paraId="597030C7" w14:textId="2CCA22E7" w:rsidR="00ED1273" w:rsidRPr="004676F5" w:rsidRDefault="00ED1273" w:rsidP="00ED1273">
      <w:pPr>
        <w:jc w:val="both"/>
        <w:rPr>
          <w:bCs/>
          <w:i/>
          <w:iCs/>
          <w:lang w:val="de-DE"/>
        </w:rPr>
      </w:pPr>
      <w:r w:rsidRPr="004676F5">
        <w:rPr>
          <w:i/>
          <w:iCs/>
          <w:lang w:val="de-DE"/>
        </w:rPr>
        <w:t>[Art. VIII.62 eingefügt durch Art. 15</w:t>
      </w:r>
      <w:r w:rsidRPr="004676F5">
        <w:rPr>
          <w:bCs/>
          <w:i/>
          <w:iCs/>
          <w:lang w:val="de-DE"/>
        </w:rPr>
        <w:t xml:space="preserve"> des G. vom 5. November 2023</w:t>
      </w:r>
      <w:r w:rsidR="00AA0B2E" w:rsidRPr="004676F5">
        <w:rPr>
          <w:bCs/>
          <w:i/>
          <w:iCs/>
          <w:lang w:val="de-DE"/>
        </w:rPr>
        <w:t> </w:t>
      </w:r>
      <w:r w:rsidR="003454B3" w:rsidRPr="004676F5">
        <w:rPr>
          <w:bCs/>
          <w:i/>
          <w:iCs/>
          <w:lang w:val="de-DE"/>
        </w:rPr>
        <w:t>(II)</w:t>
      </w:r>
      <w:r w:rsidRPr="004676F5">
        <w:rPr>
          <w:bCs/>
          <w:i/>
          <w:iCs/>
          <w:lang w:val="de-DE"/>
        </w:rPr>
        <w:t xml:space="preserve"> (B.S. vom 28. November 2023)]</w:t>
      </w:r>
    </w:p>
    <w:p w14:paraId="5C13A2BD" w14:textId="77777777" w:rsidR="00ED1273" w:rsidRPr="004676F5" w:rsidRDefault="00ED1273" w:rsidP="00ED1273">
      <w:pPr>
        <w:jc w:val="both"/>
        <w:rPr>
          <w:iCs/>
          <w:lang w:val="de-DE"/>
        </w:rPr>
      </w:pPr>
    </w:p>
    <w:p w14:paraId="6B0FDC5B" w14:textId="77777777" w:rsidR="00ED1273" w:rsidRPr="004676F5" w:rsidRDefault="00ED1273">
      <w:pPr>
        <w:rPr>
          <w:lang w:val="de-DE"/>
        </w:rPr>
      </w:pPr>
      <w:r w:rsidRPr="004676F5">
        <w:rPr>
          <w:lang w:val="de-DE"/>
        </w:rPr>
        <w:br w:type="page"/>
      </w:r>
    </w:p>
    <w:p w14:paraId="16C86073" w14:textId="7C50CD81" w:rsidR="00ED1273" w:rsidRPr="004676F5" w:rsidRDefault="00ED1273" w:rsidP="00ED1273">
      <w:pPr>
        <w:jc w:val="center"/>
        <w:rPr>
          <w:lang w:val="de-DE"/>
        </w:rPr>
      </w:pPr>
      <w:r w:rsidRPr="004676F5">
        <w:rPr>
          <w:lang w:val="de-DE"/>
        </w:rPr>
        <w:lastRenderedPageBreak/>
        <w:t xml:space="preserve">[KAPITEL 5 - </w:t>
      </w:r>
      <w:r w:rsidRPr="004676F5">
        <w:rPr>
          <w:i/>
          <w:iCs/>
          <w:lang w:val="de-DE"/>
        </w:rPr>
        <w:t>Konformitätsvermutung</w:t>
      </w:r>
      <w:r w:rsidRPr="004676F5">
        <w:rPr>
          <w:lang w:val="de-DE"/>
        </w:rPr>
        <w:t>]</w:t>
      </w:r>
    </w:p>
    <w:p w14:paraId="7689E744" w14:textId="77777777" w:rsidR="00ED1273" w:rsidRPr="004676F5" w:rsidRDefault="00ED1273" w:rsidP="00ED1273">
      <w:pPr>
        <w:jc w:val="both"/>
        <w:rPr>
          <w:lang w:val="de-DE"/>
        </w:rPr>
      </w:pPr>
    </w:p>
    <w:p w14:paraId="639E41A0" w14:textId="45CAABBC" w:rsidR="00ED1273" w:rsidRPr="004676F5" w:rsidRDefault="00ED1273" w:rsidP="00ED1273">
      <w:pPr>
        <w:jc w:val="both"/>
        <w:rPr>
          <w:bCs/>
          <w:i/>
          <w:iCs/>
          <w:lang w:val="de-DE"/>
        </w:rPr>
      </w:pPr>
      <w:r w:rsidRPr="004676F5">
        <w:rPr>
          <w:i/>
          <w:lang w:val="de-DE"/>
        </w:rPr>
        <w:t>[Unterteilung Kapitel 5 eingefügt durch Art. 16</w:t>
      </w:r>
      <w:r w:rsidRPr="004676F5">
        <w:rPr>
          <w:bCs/>
          <w:i/>
          <w:iCs/>
          <w:lang w:val="de-DE"/>
        </w:rPr>
        <w:t xml:space="preserve"> des G. vom 5. November 2023</w:t>
      </w:r>
      <w:r w:rsidR="00AA0B2E" w:rsidRPr="004676F5">
        <w:rPr>
          <w:bCs/>
          <w:i/>
          <w:iCs/>
          <w:lang w:val="de-DE"/>
        </w:rPr>
        <w:t> </w:t>
      </w:r>
      <w:r w:rsidR="003454B3" w:rsidRPr="004676F5">
        <w:rPr>
          <w:bCs/>
          <w:i/>
          <w:iCs/>
          <w:lang w:val="de-DE"/>
        </w:rPr>
        <w:t xml:space="preserve">(II) </w:t>
      </w:r>
      <w:r w:rsidRPr="004676F5">
        <w:rPr>
          <w:bCs/>
          <w:i/>
          <w:iCs/>
          <w:lang w:val="de-DE"/>
        </w:rPr>
        <w:t>(B.S. vom 28. November 2023)]</w:t>
      </w:r>
    </w:p>
    <w:p w14:paraId="5E299EE4" w14:textId="77777777" w:rsidR="00ED1273" w:rsidRPr="004676F5" w:rsidRDefault="00ED1273" w:rsidP="00ED1273">
      <w:pPr>
        <w:jc w:val="both"/>
        <w:rPr>
          <w:lang w:val="de-DE"/>
        </w:rPr>
      </w:pPr>
    </w:p>
    <w:p w14:paraId="03B0DB08" w14:textId="77777777" w:rsidR="00ED1273" w:rsidRPr="004676F5" w:rsidRDefault="00ED1273" w:rsidP="00ED1273">
      <w:pPr>
        <w:jc w:val="both"/>
        <w:rPr>
          <w:lang w:val="de-DE"/>
        </w:rPr>
      </w:pPr>
    </w:p>
    <w:p w14:paraId="58017A0B" w14:textId="77777777" w:rsidR="00ED1273" w:rsidRPr="004676F5" w:rsidRDefault="00ED1273" w:rsidP="00ED1273">
      <w:pPr>
        <w:jc w:val="both"/>
        <w:rPr>
          <w:lang w:val="de-DE"/>
        </w:rPr>
      </w:pPr>
      <w:r w:rsidRPr="004676F5">
        <w:rPr>
          <w:lang w:val="de-DE"/>
        </w:rPr>
        <w:tab/>
        <w:t>[</w:t>
      </w:r>
      <w:r w:rsidRPr="004676F5">
        <w:rPr>
          <w:b/>
          <w:bCs/>
          <w:lang w:val="de-DE"/>
        </w:rPr>
        <w:t>Art. VIII.63</w:t>
      </w:r>
      <w:r w:rsidRPr="004676F5">
        <w:rPr>
          <w:lang w:val="de-DE"/>
        </w:rPr>
        <w:t> - Bei Dienstleistungen, die den harmonisierten Normen oder Teilen davon, deren Fundstellen im Amtsblatt der Europäischen Union veröffentlicht wurden, entsprechen, wird insofern eine Konformität mit den in vorliegendem Titel und seinen Ausführungserlassen erwähnten Barrierefreiheitsanforderungen vermutet, als sich diese Normen oder Teile davon auf diese Anforderungen erstrecken.</w:t>
      </w:r>
    </w:p>
    <w:p w14:paraId="4BB3E59E" w14:textId="77777777" w:rsidR="00ED1273" w:rsidRPr="004676F5" w:rsidRDefault="00ED1273" w:rsidP="00ED1273">
      <w:pPr>
        <w:jc w:val="both"/>
        <w:rPr>
          <w:lang w:val="de-DE"/>
        </w:rPr>
      </w:pPr>
    </w:p>
    <w:p w14:paraId="41EB4795" w14:textId="77777777" w:rsidR="00ED1273" w:rsidRPr="004676F5" w:rsidRDefault="00ED1273" w:rsidP="00ED1273">
      <w:pPr>
        <w:jc w:val="both"/>
        <w:rPr>
          <w:lang w:val="de-DE"/>
        </w:rPr>
      </w:pPr>
      <w:r w:rsidRPr="004676F5">
        <w:rPr>
          <w:lang w:val="de-DE"/>
        </w:rPr>
        <w:tab/>
        <w:t>Dienstleistungen, die den technischen Spezifikationen oder Teilen davon entsprechen, gelten als konform mit den in vorliegendem Titel und seinen Ausführungserlassen erwähnten Barrierefreiheitsanforderungen, sofern diese Anforderungen durch diese technischen Spezifikationen oder Teile davon abgedeckt werden.]</w:t>
      </w:r>
    </w:p>
    <w:p w14:paraId="1E514DD2" w14:textId="77777777" w:rsidR="00ED1273" w:rsidRPr="004676F5" w:rsidRDefault="00ED1273" w:rsidP="00ED1273">
      <w:pPr>
        <w:jc w:val="both"/>
        <w:rPr>
          <w:lang w:val="de-DE"/>
        </w:rPr>
      </w:pPr>
    </w:p>
    <w:p w14:paraId="225C8E91" w14:textId="0F39F88A" w:rsidR="00ED1273" w:rsidRPr="004676F5" w:rsidRDefault="00ED1273" w:rsidP="00ED1273">
      <w:pPr>
        <w:jc w:val="both"/>
        <w:rPr>
          <w:bCs/>
          <w:i/>
          <w:iCs/>
          <w:lang w:val="de-DE"/>
        </w:rPr>
      </w:pPr>
      <w:r w:rsidRPr="004676F5">
        <w:rPr>
          <w:i/>
          <w:iCs/>
          <w:lang w:val="de-DE"/>
        </w:rPr>
        <w:t>[Art. VIII.63 eingefügt durch Art. 17</w:t>
      </w:r>
      <w:r w:rsidRPr="004676F5">
        <w:rPr>
          <w:bCs/>
          <w:i/>
          <w:iCs/>
          <w:lang w:val="de-DE"/>
        </w:rPr>
        <w:t xml:space="preserve"> des G. vom 5. November 2023</w:t>
      </w:r>
      <w:r w:rsidR="00AA0B2E" w:rsidRPr="004676F5">
        <w:rPr>
          <w:bCs/>
          <w:i/>
          <w:iCs/>
          <w:lang w:val="de-DE"/>
        </w:rPr>
        <w:t> </w:t>
      </w:r>
      <w:r w:rsidR="003454B3" w:rsidRPr="004676F5">
        <w:rPr>
          <w:bCs/>
          <w:i/>
          <w:iCs/>
          <w:lang w:val="de-DE"/>
        </w:rPr>
        <w:t>(II)</w:t>
      </w:r>
      <w:r w:rsidRPr="004676F5">
        <w:rPr>
          <w:bCs/>
          <w:i/>
          <w:iCs/>
          <w:lang w:val="de-DE"/>
        </w:rPr>
        <w:t xml:space="preserve"> (B.S. vom 28. November 2023)]</w:t>
      </w:r>
    </w:p>
    <w:p w14:paraId="00BD993B" w14:textId="77777777" w:rsidR="00ED1273" w:rsidRPr="004676F5" w:rsidRDefault="00ED1273" w:rsidP="00ED1273">
      <w:pPr>
        <w:jc w:val="both"/>
        <w:rPr>
          <w:bCs/>
          <w:i/>
          <w:iCs/>
          <w:lang w:val="de-DE"/>
        </w:rPr>
      </w:pPr>
    </w:p>
    <w:p w14:paraId="57825FA6" w14:textId="3F9C42A6" w:rsidR="00ED1273" w:rsidRPr="004676F5" w:rsidRDefault="00ED1273">
      <w:pPr>
        <w:rPr>
          <w:bCs/>
          <w:lang w:val="de-DE"/>
        </w:rPr>
      </w:pPr>
      <w:r w:rsidRPr="004676F5">
        <w:rPr>
          <w:bCs/>
          <w:lang w:val="de-DE"/>
        </w:rPr>
        <w:br w:type="page"/>
      </w:r>
    </w:p>
    <w:p w14:paraId="68B59EA3" w14:textId="53D4F0DE" w:rsidR="00ED1273" w:rsidRPr="004676F5" w:rsidRDefault="00ED1273" w:rsidP="00ED1273">
      <w:pPr>
        <w:jc w:val="center"/>
        <w:rPr>
          <w:lang w:val="de-DE"/>
        </w:rPr>
      </w:pPr>
      <w:r w:rsidRPr="004676F5">
        <w:rPr>
          <w:bCs/>
          <w:lang w:val="de-DE"/>
        </w:rPr>
        <w:lastRenderedPageBreak/>
        <w:t>[</w:t>
      </w:r>
      <w:r w:rsidRPr="004676F5">
        <w:rPr>
          <w:lang w:val="de-DE"/>
        </w:rPr>
        <w:t xml:space="preserve">KAPITEL 6 - </w:t>
      </w:r>
      <w:r w:rsidRPr="004676F5">
        <w:rPr>
          <w:i/>
          <w:iCs/>
          <w:lang w:val="de-DE"/>
        </w:rPr>
        <w:t>Barrierefreiheitsanforderungen in anderen Rechtsakten der Union</w:t>
      </w:r>
      <w:r w:rsidRPr="004676F5">
        <w:rPr>
          <w:lang w:val="de-DE"/>
        </w:rPr>
        <w:t>]</w:t>
      </w:r>
    </w:p>
    <w:p w14:paraId="69A98F1B" w14:textId="77777777" w:rsidR="00ED1273" w:rsidRPr="004676F5" w:rsidRDefault="00ED1273" w:rsidP="00ED1273">
      <w:pPr>
        <w:jc w:val="center"/>
        <w:rPr>
          <w:lang w:val="de-DE"/>
        </w:rPr>
      </w:pPr>
    </w:p>
    <w:p w14:paraId="4332E022" w14:textId="53B91912" w:rsidR="00ED1273" w:rsidRPr="004676F5" w:rsidRDefault="00ED1273" w:rsidP="00ED1273">
      <w:pPr>
        <w:jc w:val="both"/>
        <w:rPr>
          <w:bCs/>
          <w:i/>
          <w:iCs/>
          <w:lang w:val="de-DE"/>
        </w:rPr>
      </w:pPr>
      <w:r w:rsidRPr="004676F5">
        <w:rPr>
          <w:bCs/>
          <w:i/>
          <w:lang w:val="de-DE"/>
        </w:rPr>
        <w:t>[Unterteilung Kapitel 6 eingefügt durch Art. 18</w:t>
      </w:r>
      <w:r w:rsidRPr="004676F5">
        <w:rPr>
          <w:bCs/>
          <w:i/>
          <w:iCs/>
          <w:lang w:val="de-DE"/>
        </w:rPr>
        <w:t xml:space="preserve"> des G. vom 5. November 2023</w:t>
      </w:r>
      <w:r w:rsidR="003454B3" w:rsidRPr="004676F5">
        <w:rPr>
          <w:bCs/>
          <w:i/>
          <w:iCs/>
          <w:lang w:val="de-DE"/>
        </w:rPr>
        <w:t xml:space="preserve"> (II)</w:t>
      </w:r>
      <w:r w:rsidRPr="004676F5">
        <w:rPr>
          <w:bCs/>
          <w:i/>
          <w:iCs/>
          <w:lang w:val="de-DE"/>
        </w:rPr>
        <w:t xml:space="preserve"> (B.S. vom 28. November 2023)]</w:t>
      </w:r>
    </w:p>
    <w:p w14:paraId="4D9B492F" w14:textId="77777777" w:rsidR="00ED1273" w:rsidRPr="004676F5" w:rsidRDefault="00ED1273" w:rsidP="00ED1273">
      <w:pPr>
        <w:jc w:val="both"/>
        <w:rPr>
          <w:bCs/>
          <w:lang w:val="de-DE"/>
        </w:rPr>
      </w:pPr>
    </w:p>
    <w:p w14:paraId="461A7A40" w14:textId="77777777" w:rsidR="00ED1273" w:rsidRPr="004676F5" w:rsidRDefault="00ED1273" w:rsidP="00ED1273">
      <w:pPr>
        <w:jc w:val="both"/>
        <w:rPr>
          <w:bCs/>
          <w:lang w:val="de-DE"/>
        </w:rPr>
      </w:pPr>
    </w:p>
    <w:p w14:paraId="48A768A7" w14:textId="5735D5A5" w:rsidR="00ED1273" w:rsidRPr="004676F5" w:rsidRDefault="00ED1273" w:rsidP="00ED1273">
      <w:pPr>
        <w:jc w:val="both"/>
        <w:rPr>
          <w:lang w:val="de-DE"/>
        </w:rPr>
      </w:pPr>
      <w:r w:rsidRPr="004676F5">
        <w:rPr>
          <w:bCs/>
          <w:lang w:val="de-DE"/>
        </w:rPr>
        <w:tab/>
        <w:t>[</w:t>
      </w:r>
      <w:r w:rsidRPr="004676F5">
        <w:rPr>
          <w:b/>
          <w:bCs/>
          <w:lang w:val="de-DE"/>
        </w:rPr>
        <w:t>Art. VIII.64</w:t>
      </w:r>
      <w:r w:rsidRPr="004676F5">
        <w:rPr>
          <w:lang w:val="de-DE"/>
        </w:rPr>
        <w:t> - Erfüllen die Merkmale, Bestandteile oder Funktionen von Dienstleistungen die gemäß Anlage 1 Abschnitt 1 bis 3 des vorliegenden Buches festgelegten Barrierefreiheitsanforderungen des vorliegenden Titels, so wird vermutet, dass sie die einschlägigen Verpflichtungen gemäß anderen Rechtsakten der Union als der Richtlinie (EU) 2019/882 hinsichtlich der Barrierefreiheit dieser Merkmale, Bestandteile oder Funktionen erfüllen, sofern in diesen anderen Rechtsakten nichts anderes festgelegt ist.]</w:t>
      </w:r>
    </w:p>
    <w:p w14:paraId="2FBDBC18" w14:textId="77777777" w:rsidR="00ED1273" w:rsidRPr="004676F5" w:rsidRDefault="00ED1273" w:rsidP="00ED1273">
      <w:pPr>
        <w:jc w:val="both"/>
        <w:rPr>
          <w:lang w:val="de-DE"/>
        </w:rPr>
      </w:pPr>
    </w:p>
    <w:p w14:paraId="0F7AC16F" w14:textId="348538FD" w:rsidR="00ED1273" w:rsidRPr="004676F5" w:rsidRDefault="00ED1273" w:rsidP="00ED1273">
      <w:pPr>
        <w:jc w:val="both"/>
        <w:rPr>
          <w:bCs/>
          <w:i/>
          <w:iCs/>
          <w:lang w:val="de-DE"/>
        </w:rPr>
      </w:pPr>
      <w:r w:rsidRPr="004676F5">
        <w:rPr>
          <w:i/>
          <w:iCs/>
          <w:lang w:val="de-DE"/>
        </w:rPr>
        <w:t>[Art. VIII.64 eingefügt durch Art. 19</w:t>
      </w:r>
      <w:r w:rsidRPr="004676F5">
        <w:rPr>
          <w:bCs/>
          <w:i/>
          <w:iCs/>
          <w:lang w:val="de-DE"/>
        </w:rPr>
        <w:t xml:space="preserve"> des G. vom 5. November 2023</w:t>
      </w:r>
      <w:r w:rsidR="00AA0B2E" w:rsidRPr="004676F5">
        <w:rPr>
          <w:bCs/>
          <w:i/>
          <w:iCs/>
          <w:lang w:val="de-DE"/>
        </w:rPr>
        <w:t> </w:t>
      </w:r>
      <w:r w:rsidR="003454B3" w:rsidRPr="004676F5">
        <w:rPr>
          <w:bCs/>
          <w:i/>
          <w:iCs/>
          <w:lang w:val="de-DE"/>
        </w:rPr>
        <w:t>(II)</w:t>
      </w:r>
      <w:r w:rsidRPr="004676F5">
        <w:rPr>
          <w:bCs/>
          <w:i/>
          <w:iCs/>
          <w:lang w:val="de-DE"/>
        </w:rPr>
        <w:t xml:space="preserve"> (B.S. vom 28. November 2023)]</w:t>
      </w:r>
    </w:p>
    <w:p w14:paraId="33E37019" w14:textId="77777777" w:rsidR="00ED1273" w:rsidRPr="004676F5" w:rsidRDefault="00ED1273" w:rsidP="00ED1273">
      <w:pPr>
        <w:jc w:val="both"/>
        <w:rPr>
          <w:lang w:val="de-DE"/>
        </w:rPr>
      </w:pPr>
    </w:p>
    <w:p w14:paraId="52408E1A" w14:textId="77777777" w:rsidR="00ED1273" w:rsidRPr="004676F5" w:rsidRDefault="00ED1273" w:rsidP="00ED1273">
      <w:pPr>
        <w:jc w:val="both"/>
        <w:rPr>
          <w:lang w:val="de-DE"/>
        </w:rPr>
      </w:pPr>
    </w:p>
    <w:p w14:paraId="643DB680" w14:textId="56A13635" w:rsidR="00ED1273" w:rsidRPr="004676F5" w:rsidRDefault="00ED1273" w:rsidP="00ED1273">
      <w:pPr>
        <w:jc w:val="both"/>
        <w:rPr>
          <w:lang w:val="de-DE"/>
        </w:rPr>
      </w:pPr>
      <w:r w:rsidRPr="004676F5">
        <w:rPr>
          <w:lang w:val="de-DE"/>
        </w:rPr>
        <w:tab/>
        <w:t>[</w:t>
      </w:r>
      <w:r w:rsidRPr="004676F5">
        <w:rPr>
          <w:b/>
          <w:bCs/>
          <w:lang w:val="de-DE"/>
        </w:rPr>
        <w:t>Art. VIII.65</w:t>
      </w:r>
      <w:r w:rsidRPr="004676F5">
        <w:rPr>
          <w:lang w:val="de-DE"/>
        </w:rPr>
        <w:t> - Ist die Konformität mit harmonisierten Normen und technischen Spezifikationen oder Teilen davon, die gemäß Artikel VIII.63 angenommen werden, gegeben, so wird die Einhaltung von Artikel VIII.64 vermutet, soweit diese Normen und technischen Spezifikationen oder Teile davon die in vorliegendem Titel und seinen Ausführungserlassen erwähnten Barrierefreiheitsanforderungen erfüllen.]</w:t>
      </w:r>
    </w:p>
    <w:p w14:paraId="5F00038C" w14:textId="77777777" w:rsidR="00ED1273" w:rsidRPr="004676F5" w:rsidRDefault="00ED1273" w:rsidP="00ED1273">
      <w:pPr>
        <w:jc w:val="both"/>
        <w:rPr>
          <w:lang w:val="de-DE"/>
        </w:rPr>
      </w:pPr>
    </w:p>
    <w:p w14:paraId="24D42204" w14:textId="64DC4227" w:rsidR="00ED1273" w:rsidRPr="004676F5" w:rsidRDefault="00ED1273" w:rsidP="00ED1273">
      <w:pPr>
        <w:jc w:val="both"/>
        <w:rPr>
          <w:bCs/>
          <w:i/>
          <w:iCs/>
          <w:lang w:val="de-DE"/>
        </w:rPr>
      </w:pPr>
      <w:r w:rsidRPr="004676F5">
        <w:rPr>
          <w:bCs/>
          <w:i/>
          <w:iCs/>
          <w:lang w:val="de-DE"/>
        </w:rPr>
        <w:t>[Art. VIII.65 eingefügt durch Art. 20 des G. vom 5. November 2023</w:t>
      </w:r>
      <w:r w:rsidR="00AA0B2E" w:rsidRPr="004676F5">
        <w:rPr>
          <w:bCs/>
          <w:i/>
          <w:iCs/>
          <w:lang w:val="de-DE"/>
        </w:rPr>
        <w:t> </w:t>
      </w:r>
      <w:r w:rsidR="003454B3" w:rsidRPr="004676F5">
        <w:rPr>
          <w:bCs/>
          <w:i/>
          <w:iCs/>
          <w:lang w:val="de-DE"/>
        </w:rPr>
        <w:t>(II)</w:t>
      </w:r>
      <w:r w:rsidRPr="004676F5">
        <w:rPr>
          <w:bCs/>
          <w:i/>
          <w:iCs/>
          <w:lang w:val="de-DE"/>
        </w:rPr>
        <w:t xml:space="preserve"> (B.S. vom 28. November 2023)]</w:t>
      </w:r>
    </w:p>
    <w:p w14:paraId="556D4945" w14:textId="77777777" w:rsidR="00ED1273" w:rsidRPr="004676F5" w:rsidRDefault="00ED1273" w:rsidP="00ED1273">
      <w:pPr>
        <w:jc w:val="both"/>
        <w:rPr>
          <w:bCs/>
          <w:lang w:val="de-DE"/>
        </w:rPr>
      </w:pPr>
    </w:p>
    <w:p w14:paraId="61DA8BFB" w14:textId="77777777" w:rsidR="00ED1273" w:rsidRPr="004676F5" w:rsidRDefault="00ED1273">
      <w:pPr>
        <w:rPr>
          <w:lang w:val="de-DE"/>
        </w:rPr>
      </w:pPr>
      <w:r w:rsidRPr="004676F5">
        <w:rPr>
          <w:lang w:val="de-DE"/>
        </w:rPr>
        <w:br w:type="page"/>
      </w:r>
    </w:p>
    <w:p w14:paraId="7FCD8F78" w14:textId="77777777" w:rsidR="00ED1273" w:rsidRPr="004676F5" w:rsidRDefault="00ED1273" w:rsidP="00ED1273">
      <w:pPr>
        <w:jc w:val="center"/>
        <w:rPr>
          <w:lang w:val="de-DE"/>
        </w:rPr>
      </w:pPr>
      <w:r w:rsidRPr="004676F5">
        <w:rPr>
          <w:lang w:val="de-DE"/>
        </w:rPr>
        <w:lastRenderedPageBreak/>
        <w:t xml:space="preserve">[KAPITEL 7 - </w:t>
      </w:r>
      <w:r w:rsidRPr="004676F5">
        <w:rPr>
          <w:i/>
          <w:iCs/>
          <w:lang w:val="de-DE"/>
        </w:rPr>
        <w:t>Bericht und Überprüfung</w:t>
      </w:r>
      <w:r w:rsidRPr="004676F5">
        <w:rPr>
          <w:lang w:val="de-DE"/>
        </w:rPr>
        <w:t>]</w:t>
      </w:r>
    </w:p>
    <w:p w14:paraId="58599471" w14:textId="77777777" w:rsidR="00ED1273" w:rsidRPr="004676F5" w:rsidRDefault="00ED1273" w:rsidP="00ED1273">
      <w:pPr>
        <w:jc w:val="center"/>
        <w:rPr>
          <w:lang w:val="de-DE"/>
        </w:rPr>
      </w:pPr>
    </w:p>
    <w:p w14:paraId="6AF7EE45" w14:textId="224181E4" w:rsidR="00ED1273" w:rsidRPr="004676F5" w:rsidRDefault="00ED1273" w:rsidP="00ED1273">
      <w:pPr>
        <w:jc w:val="both"/>
        <w:rPr>
          <w:bCs/>
          <w:i/>
          <w:iCs/>
          <w:lang w:val="de-DE"/>
        </w:rPr>
      </w:pPr>
      <w:r w:rsidRPr="004676F5">
        <w:rPr>
          <w:i/>
          <w:lang w:val="de-DE"/>
        </w:rPr>
        <w:t>[Unterteilung Kapitel 7 eingefügt durch Art. </w:t>
      </w:r>
      <w:r w:rsidR="00A56641" w:rsidRPr="004676F5">
        <w:rPr>
          <w:i/>
          <w:lang w:val="de-DE"/>
        </w:rPr>
        <w:t>21</w:t>
      </w:r>
      <w:r w:rsidRPr="004676F5">
        <w:rPr>
          <w:bCs/>
          <w:i/>
          <w:iCs/>
          <w:lang w:val="de-DE"/>
        </w:rPr>
        <w:t xml:space="preserve"> des G. vom 5. November 2023</w:t>
      </w:r>
      <w:r w:rsidR="003454B3" w:rsidRPr="004676F5">
        <w:rPr>
          <w:bCs/>
          <w:i/>
          <w:iCs/>
          <w:lang w:val="de-DE"/>
        </w:rPr>
        <w:t xml:space="preserve"> (II)</w:t>
      </w:r>
      <w:r w:rsidRPr="004676F5">
        <w:rPr>
          <w:bCs/>
          <w:i/>
          <w:iCs/>
          <w:lang w:val="de-DE"/>
        </w:rPr>
        <w:t xml:space="preserve"> (B.S. vom 28. November 2023)]</w:t>
      </w:r>
    </w:p>
    <w:p w14:paraId="2322F3CF" w14:textId="77777777" w:rsidR="00A56641" w:rsidRPr="004676F5" w:rsidRDefault="00A56641" w:rsidP="00ED1273">
      <w:pPr>
        <w:jc w:val="both"/>
        <w:rPr>
          <w:lang w:val="de-DE"/>
        </w:rPr>
      </w:pPr>
    </w:p>
    <w:p w14:paraId="2DAE0248" w14:textId="77777777" w:rsidR="00A56641" w:rsidRPr="004676F5" w:rsidRDefault="00A56641" w:rsidP="00ED1273">
      <w:pPr>
        <w:jc w:val="both"/>
        <w:rPr>
          <w:lang w:val="de-DE"/>
        </w:rPr>
      </w:pPr>
    </w:p>
    <w:p w14:paraId="4A073ED2" w14:textId="77777777" w:rsidR="00A56641" w:rsidRPr="004676F5" w:rsidRDefault="00A56641" w:rsidP="00ED1273">
      <w:pPr>
        <w:jc w:val="both"/>
        <w:rPr>
          <w:lang w:val="de-DE"/>
        </w:rPr>
      </w:pPr>
      <w:r w:rsidRPr="004676F5">
        <w:rPr>
          <w:lang w:val="de-DE"/>
        </w:rPr>
        <w:tab/>
        <w:t>[</w:t>
      </w:r>
      <w:r w:rsidRPr="004676F5">
        <w:rPr>
          <w:b/>
          <w:bCs/>
          <w:lang w:val="de-DE"/>
        </w:rPr>
        <w:t>Art. VIII.66</w:t>
      </w:r>
      <w:r w:rsidRPr="004676F5">
        <w:rPr>
          <w:lang w:val="de-DE"/>
        </w:rPr>
        <w:t> - Bis zum 28. Juni 2030 und danach alle fünf Jahre erstellen die für Wirtschaft beziehungsweise Soziale Eingliederung zuständigen Minister nach Konsultation der betreffenden Interessengruppen und Beurteilung der Begebenheiten vor Ort einen Bericht für die Abgeordnetenkammer. In diesem Bericht wird die Anwendung der Barrierefreiheits</w:t>
      </w:r>
      <w:r w:rsidRPr="004676F5">
        <w:rPr>
          <w:lang w:val="de-DE"/>
        </w:rPr>
        <w:softHyphen/>
        <w:t>anforderungen in der Praxis beschrieben und angegeben, ob der Anwendungsbereich auf andere Dienstleistungen ausgeweitet werden könnte.]</w:t>
      </w:r>
    </w:p>
    <w:p w14:paraId="494BB5F8" w14:textId="77777777" w:rsidR="00A56641" w:rsidRPr="004676F5" w:rsidRDefault="00A56641" w:rsidP="00ED1273">
      <w:pPr>
        <w:jc w:val="both"/>
        <w:rPr>
          <w:lang w:val="de-DE"/>
        </w:rPr>
      </w:pPr>
    </w:p>
    <w:p w14:paraId="2C9D9DEA" w14:textId="457CFCEA" w:rsidR="00A56641" w:rsidRPr="004676F5" w:rsidRDefault="00A56641" w:rsidP="00A56641">
      <w:pPr>
        <w:jc w:val="both"/>
        <w:rPr>
          <w:bCs/>
          <w:i/>
          <w:iCs/>
          <w:lang w:val="de-DE"/>
        </w:rPr>
      </w:pPr>
      <w:r w:rsidRPr="004676F5">
        <w:rPr>
          <w:i/>
          <w:iCs/>
          <w:lang w:val="de-DE"/>
        </w:rPr>
        <w:t>[Art. VIII.66 eingefügt durch Art. 22</w:t>
      </w:r>
      <w:r w:rsidRPr="004676F5">
        <w:rPr>
          <w:bCs/>
          <w:i/>
          <w:iCs/>
          <w:lang w:val="de-DE"/>
        </w:rPr>
        <w:t xml:space="preserve"> des G. vom 5. November 2023</w:t>
      </w:r>
      <w:r w:rsidR="00AA0B2E" w:rsidRPr="004676F5">
        <w:rPr>
          <w:bCs/>
          <w:i/>
          <w:iCs/>
          <w:lang w:val="de-DE"/>
        </w:rPr>
        <w:t> </w:t>
      </w:r>
      <w:r w:rsidR="003454B3" w:rsidRPr="004676F5">
        <w:rPr>
          <w:bCs/>
          <w:i/>
          <w:iCs/>
          <w:lang w:val="de-DE"/>
        </w:rPr>
        <w:t>(II)</w:t>
      </w:r>
      <w:r w:rsidRPr="004676F5">
        <w:rPr>
          <w:bCs/>
          <w:i/>
          <w:iCs/>
          <w:lang w:val="de-DE"/>
        </w:rPr>
        <w:t xml:space="preserve"> (B.S. vom 28. November 2023)]</w:t>
      </w:r>
    </w:p>
    <w:p w14:paraId="3E7004FD" w14:textId="77777777" w:rsidR="00A56641" w:rsidRPr="004676F5" w:rsidRDefault="00A56641" w:rsidP="00ED1273">
      <w:pPr>
        <w:jc w:val="both"/>
        <w:rPr>
          <w:lang w:val="de-DE"/>
        </w:rPr>
      </w:pPr>
    </w:p>
    <w:p w14:paraId="3762D5BB" w14:textId="77777777" w:rsidR="00A56641" w:rsidRPr="004676F5" w:rsidRDefault="00A56641">
      <w:pPr>
        <w:rPr>
          <w:lang w:val="de-DE"/>
        </w:rPr>
      </w:pPr>
      <w:r w:rsidRPr="004676F5">
        <w:rPr>
          <w:lang w:val="de-DE"/>
        </w:rPr>
        <w:br w:type="page"/>
      </w:r>
    </w:p>
    <w:p w14:paraId="65703E50" w14:textId="75E60B41" w:rsidR="00A56641" w:rsidRPr="004676F5" w:rsidRDefault="00A56641" w:rsidP="00A56641">
      <w:pPr>
        <w:jc w:val="center"/>
        <w:rPr>
          <w:bCs/>
          <w:lang w:val="de-DE"/>
        </w:rPr>
      </w:pPr>
      <w:r w:rsidRPr="004676F5">
        <w:rPr>
          <w:bCs/>
          <w:lang w:val="de-DE"/>
        </w:rPr>
        <w:lastRenderedPageBreak/>
        <w:t>[</w:t>
      </w:r>
      <w:r w:rsidRPr="004676F5">
        <w:rPr>
          <w:b/>
          <w:lang w:val="de-DE"/>
        </w:rPr>
        <w:t>Anlage 1</w:t>
      </w:r>
      <w:r w:rsidRPr="004676F5">
        <w:rPr>
          <w:bCs/>
          <w:lang w:val="de-DE"/>
        </w:rPr>
        <w:t>]</w:t>
      </w:r>
    </w:p>
    <w:p w14:paraId="2A6487DE" w14:textId="77777777" w:rsidR="00A56641" w:rsidRPr="004676F5" w:rsidRDefault="00A56641" w:rsidP="00A56641">
      <w:pPr>
        <w:jc w:val="center"/>
        <w:rPr>
          <w:bCs/>
          <w:lang w:val="de-DE"/>
        </w:rPr>
      </w:pPr>
    </w:p>
    <w:p w14:paraId="08B4A2B6" w14:textId="6E9F559C" w:rsidR="00A56641" w:rsidRPr="004676F5" w:rsidRDefault="00A56641" w:rsidP="00A56641">
      <w:pPr>
        <w:jc w:val="both"/>
        <w:rPr>
          <w:bCs/>
          <w:i/>
          <w:iCs/>
          <w:lang w:val="de-DE"/>
        </w:rPr>
      </w:pPr>
      <w:r w:rsidRPr="004676F5">
        <w:rPr>
          <w:bCs/>
          <w:i/>
          <w:iCs/>
          <w:lang w:val="de-DE"/>
        </w:rPr>
        <w:t>[Anlage 1 eingefügt durch Art. 23 des G. vom 5. November 2023</w:t>
      </w:r>
      <w:r w:rsidR="00AA0B2E" w:rsidRPr="004676F5">
        <w:rPr>
          <w:bCs/>
          <w:i/>
          <w:iCs/>
          <w:lang w:val="de-DE"/>
        </w:rPr>
        <w:t> </w:t>
      </w:r>
      <w:r w:rsidR="003454B3" w:rsidRPr="004676F5">
        <w:rPr>
          <w:bCs/>
          <w:i/>
          <w:iCs/>
          <w:lang w:val="de-DE"/>
        </w:rPr>
        <w:t>(II)</w:t>
      </w:r>
      <w:r w:rsidRPr="004676F5">
        <w:rPr>
          <w:bCs/>
          <w:i/>
          <w:iCs/>
          <w:lang w:val="de-DE"/>
        </w:rPr>
        <w:t xml:space="preserve"> (B.S. vom 28. November 2023)]</w:t>
      </w:r>
    </w:p>
    <w:p w14:paraId="1E136CDD" w14:textId="77777777" w:rsidR="00A56641" w:rsidRPr="004676F5" w:rsidRDefault="00A56641" w:rsidP="00A56641">
      <w:pPr>
        <w:jc w:val="center"/>
        <w:rPr>
          <w:lang w:val="de-DE"/>
        </w:rPr>
      </w:pPr>
    </w:p>
    <w:p w14:paraId="6A44200B" w14:textId="154AAAFC" w:rsidR="00A56641" w:rsidRPr="004676F5" w:rsidRDefault="00A56641" w:rsidP="00A56641">
      <w:pPr>
        <w:jc w:val="center"/>
        <w:rPr>
          <w:b/>
          <w:bCs/>
          <w:lang w:val="de-DE"/>
        </w:rPr>
      </w:pPr>
      <w:r w:rsidRPr="004676F5">
        <w:rPr>
          <w:b/>
          <w:lang w:val="de-DE"/>
        </w:rPr>
        <w:t>Barrierefreiheitsanforderungen</w:t>
      </w:r>
    </w:p>
    <w:p w14:paraId="528E23F5" w14:textId="77777777" w:rsidR="00A56641" w:rsidRPr="004676F5" w:rsidRDefault="00A56641" w:rsidP="00A56641">
      <w:pPr>
        <w:jc w:val="both"/>
        <w:rPr>
          <w:lang w:val="de-DE"/>
        </w:rPr>
      </w:pPr>
    </w:p>
    <w:p w14:paraId="32063F4D" w14:textId="77777777" w:rsidR="00A56641" w:rsidRPr="004676F5" w:rsidRDefault="00A56641" w:rsidP="00A56641">
      <w:pPr>
        <w:jc w:val="center"/>
        <w:rPr>
          <w:lang w:val="de-DE"/>
        </w:rPr>
      </w:pPr>
    </w:p>
    <w:p w14:paraId="34B749E2" w14:textId="77777777" w:rsidR="00A56641" w:rsidRPr="004676F5" w:rsidRDefault="00A56641" w:rsidP="00A56641">
      <w:pPr>
        <w:jc w:val="center"/>
        <w:rPr>
          <w:b/>
          <w:bCs/>
          <w:lang w:val="de-DE"/>
        </w:rPr>
      </w:pPr>
      <w:r w:rsidRPr="004676F5">
        <w:rPr>
          <w:b/>
          <w:lang w:val="de-DE"/>
        </w:rPr>
        <w:t>Abschnitt 1</w:t>
      </w:r>
    </w:p>
    <w:p w14:paraId="769A45EE" w14:textId="77777777" w:rsidR="00A56641" w:rsidRPr="004676F5" w:rsidRDefault="00A56641" w:rsidP="00A56641">
      <w:pPr>
        <w:jc w:val="both"/>
        <w:rPr>
          <w:lang w:val="de-DE"/>
        </w:rPr>
      </w:pPr>
    </w:p>
    <w:p w14:paraId="1779ABB5" w14:textId="77777777" w:rsidR="00A56641" w:rsidRPr="004676F5" w:rsidRDefault="00A56641" w:rsidP="00A56641">
      <w:pPr>
        <w:jc w:val="center"/>
        <w:rPr>
          <w:i/>
          <w:iCs/>
          <w:lang w:val="de-DE"/>
        </w:rPr>
      </w:pPr>
      <w:r w:rsidRPr="004676F5">
        <w:rPr>
          <w:i/>
          <w:lang w:val="de-DE"/>
        </w:rPr>
        <w:t>Allgemeine Barrierefreiheitsanforderungen für alle in Artikel VIII.58 § 1 erwähnten Dienstleistungen</w:t>
      </w:r>
    </w:p>
    <w:p w14:paraId="31BCF621" w14:textId="77777777" w:rsidR="00A56641" w:rsidRPr="004676F5" w:rsidRDefault="00A56641" w:rsidP="00A56641">
      <w:pPr>
        <w:jc w:val="both"/>
        <w:rPr>
          <w:lang w:val="de-DE"/>
        </w:rPr>
      </w:pPr>
    </w:p>
    <w:p w14:paraId="393B0C62" w14:textId="77777777" w:rsidR="00A56641" w:rsidRPr="004676F5" w:rsidRDefault="00A56641" w:rsidP="00A56641">
      <w:pPr>
        <w:jc w:val="both"/>
        <w:rPr>
          <w:lang w:val="de-DE"/>
        </w:rPr>
      </w:pPr>
      <w:r w:rsidRPr="004676F5">
        <w:rPr>
          <w:lang w:val="de-DE"/>
        </w:rPr>
        <w:tab/>
        <w:t>Damit die Dienstleistungen so erbracht werden, dass Menschen mit Behinderungen sie voraussichtlich maximal nutzen,</w:t>
      </w:r>
    </w:p>
    <w:p w14:paraId="2956CE84" w14:textId="77777777" w:rsidR="00A56641" w:rsidRPr="004676F5" w:rsidRDefault="00A56641" w:rsidP="00A56641">
      <w:pPr>
        <w:jc w:val="both"/>
        <w:rPr>
          <w:lang w:val="de-DE"/>
        </w:rPr>
      </w:pPr>
    </w:p>
    <w:p w14:paraId="023D594D" w14:textId="77777777" w:rsidR="00A56641" w:rsidRPr="004676F5" w:rsidRDefault="00A56641" w:rsidP="00A56641">
      <w:pPr>
        <w:jc w:val="both"/>
        <w:rPr>
          <w:lang w:val="de-DE"/>
        </w:rPr>
      </w:pPr>
      <w:r w:rsidRPr="004676F5">
        <w:rPr>
          <w:lang w:val="de-DE"/>
        </w:rPr>
        <w:tab/>
        <w:t>1. muss die Barrierefreiheit der zur Erbringung der Dienstleistung verwendeten Produkte gemäß den Gesetzen und Erlassen zur Ausführung der Richtlinie (EU) 2019/882 gewährleistet sein,</w:t>
      </w:r>
    </w:p>
    <w:p w14:paraId="06978D0F" w14:textId="77777777" w:rsidR="00A56641" w:rsidRPr="004676F5" w:rsidRDefault="00A56641" w:rsidP="00A56641">
      <w:pPr>
        <w:jc w:val="both"/>
        <w:rPr>
          <w:lang w:val="de-DE"/>
        </w:rPr>
      </w:pPr>
    </w:p>
    <w:p w14:paraId="7F0B20C2" w14:textId="77777777" w:rsidR="00A56641" w:rsidRPr="004676F5" w:rsidRDefault="00A56641" w:rsidP="00A56641">
      <w:pPr>
        <w:jc w:val="both"/>
        <w:rPr>
          <w:lang w:val="de-DE"/>
        </w:rPr>
      </w:pPr>
      <w:r w:rsidRPr="004676F5">
        <w:rPr>
          <w:lang w:val="de-DE"/>
        </w:rPr>
        <w:tab/>
        <w:t>2. muss die Bereitstellung von Informationen über die Funktionsweise der Dienstleistung sowie - für den Fall, dass für die Erbringung der Dienstleistung Produkte verwendet werden - die Bereitstellung von Informationen über deren Verbindung zu diesen Produkten sowie über deren Barrierefreiheitsmerkmale und deren Interoperabilität mit Hilfsmitteln und -einrichtungen folgenden Anforderungen genügen:</w:t>
      </w:r>
    </w:p>
    <w:p w14:paraId="68F4BF08" w14:textId="77777777" w:rsidR="00A56641" w:rsidRPr="004676F5" w:rsidRDefault="00A56641" w:rsidP="00A56641">
      <w:pPr>
        <w:jc w:val="both"/>
        <w:rPr>
          <w:lang w:val="de-DE"/>
        </w:rPr>
      </w:pPr>
    </w:p>
    <w:p w14:paraId="10517DAF" w14:textId="77777777" w:rsidR="00A56641" w:rsidRPr="004676F5" w:rsidRDefault="00A56641" w:rsidP="00A56641">
      <w:pPr>
        <w:jc w:val="both"/>
        <w:rPr>
          <w:lang w:val="de-DE"/>
        </w:rPr>
      </w:pPr>
      <w:r w:rsidRPr="004676F5">
        <w:rPr>
          <w:i/>
          <w:lang w:val="de-DE"/>
        </w:rPr>
        <w:tab/>
      </w:r>
      <w:r w:rsidRPr="004676F5">
        <w:rPr>
          <w:lang w:val="de-DE"/>
        </w:rPr>
        <w:t>a) Die Informationen werden über mehr als einen sensorischen Kanal bereitgestellt.</w:t>
      </w:r>
    </w:p>
    <w:p w14:paraId="214F6C02" w14:textId="77777777" w:rsidR="00A56641" w:rsidRPr="004676F5" w:rsidRDefault="00A56641" w:rsidP="00A56641">
      <w:pPr>
        <w:jc w:val="both"/>
        <w:rPr>
          <w:lang w:val="de-DE"/>
        </w:rPr>
      </w:pPr>
    </w:p>
    <w:p w14:paraId="7EEF3C80" w14:textId="77777777" w:rsidR="00A56641" w:rsidRPr="004676F5" w:rsidRDefault="00A56641" w:rsidP="00A56641">
      <w:pPr>
        <w:jc w:val="both"/>
        <w:rPr>
          <w:lang w:val="de-DE"/>
        </w:rPr>
      </w:pPr>
      <w:r w:rsidRPr="004676F5">
        <w:rPr>
          <w:i/>
          <w:lang w:val="de-DE"/>
        </w:rPr>
        <w:tab/>
      </w:r>
      <w:r w:rsidRPr="004676F5">
        <w:rPr>
          <w:lang w:val="de-DE"/>
        </w:rPr>
        <w:t>b) Sie werden in verständlicher Weise dargestellt.</w:t>
      </w:r>
    </w:p>
    <w:p w14:paraId="3AF0E80C" w14:textId="77777777" w:rsidR="00A56641" w:rsidRPr="004676F5" w:rsidRDefault="00A56641" w:rsidP="00A56641">
      <w:pPr>
        <w:jc w:val="both"/>
        <w:rPr>
          <w:lang w:val="de-DE"/>
        </w:rPr>
      </w:pPr>
    </w:p>
    <w:p w14:paraId="4702DD6A" w14:textId="77777777" w:rsidR="00A56641" w:rsidRPr="004676F5" w:rsidRDefault="00A56641" w:rsidP="00A56641">
      <w:pPr>
        <w:jc w:val="both"/>
        <w:rPr>
          <w:lang w:val="de-DE"/>
        </w:rPr>
      </w:pPr>
      <w:r w:rsidRPr="004676F5">
        <w:rPr>
          <w:i/>
          <w:lang w:val="de-DE"/>
        </w:rPr>
        <w:tab/>
      </w:r>
      <w:r w:rsidRPr="004676F5">
        <w:rPr>
          <w:lang w:val="de-DE"/>
        </w:rPr>
        <w:t>c) Sie werden den Nutzern auf eine Weise dargestellt, die sie wahrnehmen können.</w:t>
      </w:r>
    </w:p>
    <w:p w14:paraId="53F5092B" w14:textId="77777777" w:rsidR="00A56641" w:rsidRPr="004676F5" w:rsidRDefault="00A56641" w:rsidP="00A56641">
      <w:pPr>
        <w:jc w:val="both"/>
        <w:rPr>
          <w:lang w:val="de-DE"/>
        </w:rPr>
      </w:pPr>
    </w:p>
    <w:p w14:paraId="7A6D9268" w14:textId="77777777" w:rsidR="00A56641" w:rsidRPr="004676F5" w:rsidRDefault="00A56641" w:rsidP="00A56641">
      <w:pPr>
        <w:jc w:val="both"/>
        <w:rPr>
          <w:lang w:val="de-DE"/>
        </w:rPr>
      </w:pPr>
      <w:r w:rsidRPr="004676F5">
        <w:rPr>
          <w:i/>
          <w:lang w:val="de-DE"/>
        </w:rPr>
        <w:tab/>
      </w:r>
      <w:r w:rsidRPr="004676F5">
        <w:rPr>
          <w:lang w:val="de-DE"/>
        </w:rPr>
        <w:t>d) Der Informationsinhalt wird in Textformaten zur Verfügung gestellt, die sich zum Generieren alternativer assistiver Formate eignen, die von Nutzern in unterschiedlicher Form dargestellt werden und über mehr als einen sensorischen Kanal wahrgenommen werden können.</w:t>
      </w:r>
    </w:p>
    <w:p w14:paraId="58968D2D" w14:textId="77777777" w:rsidR="00A56641" w:rsidRPr="004676F5" w:rsidRDefault="00A56641" w:rsidP="00A56641">
      <w:pPr>
        <w:jc w:val="both"/>
        <w:rPr>
          <w:lang w:val="de-DE"/>
        </w:rPr>
      </w:pPr>
    </w:p>
    <w:p w14:paraId="22B2D8AE" w14:textId="77777777" w:rsidR="00A56641" w:rsidRPr="004676F5" w:rsidRDefault="00A56641" w:rsidP="00A56641">
      <w:pPr>
        <w:jc w:val="both"/>
        <w:rPr>
          <w:lang w:val="de-DE"/>
        </w:rPr>
      </w:pPr>
      <w:r w:rsidRPr="004676F5">
        <w:rPr>
          <w:i/>
          <w:lang w:val="de-DE"/>
        </w:rPr>
        <w:tab/>
      </w:r>
      <w:r w:rsidRPr="004676F5">
        <w:rPr>
          <w:lang w:val="de-DE"/>
        </w:rPr>
        <w:t>e) Sie werden in einer Schriftart mit angemessener Schriftgröße und geeigneter Schriftform unter Berücksichtigung der vorhersehbaren Nutzungsbedingungen und mit ausreichendem Kontrast sowie anpassbarem Abstand zwischen den Buchstaben, Zeilen und Absätzen dargestellt.</w:t>
      </w:r>
    </w:p>
    <w:p w14:paraId="422F632D" w14:textId="77777777" w:rsidR="00A56641" w:rsidRPr="004676F5" w:rsidRDefault="00A56641" w:rsidP="00A56641">
      <w:pPr>
        <w:jc w:val="both"/>
        <w:rPr>
          <w:lang w:val="de-DE"/>
        </w:rPr>
      </w:pPr>
    </w:p>
    <w:p w14:paraId="2EFC98A1" w14:textId="77777777" w:rsidR="00A56641" w:rsidRPr="004676F5" w:rsidRDefault="00A56641" w:rsidP="00A56641">
      <w:pPr>
        <w:jc w:val="both"/>
        <w:rPr>
          <w:lang w:val="de-DE"/>
        </w:rPr>
      </w:pPr>
      <w:r w:rsidRPr="004676F5">
        <w:rPr>
          <w:i/>
          <w:lang w:val="de-DE"/>
        </w:rPr>
        <w:tab/>
      </w:r>
      <w:r w:rsidRPr="004676F5">
        <w:rPr>
          <w:lang w:val="de-DE"/>
        </w:rPr>
        <w:t>f) Es wird eine alternative Darstellung des Inhalts angeboten, wenn Elemente mit Nicht-Text-Inhalten enthalten sind.</w:t>
      </w:r>
    </w:p>
    <w:p w14:paraId="2B7825D1" w14:textId="77777777" w:rsidR="00A56641" w:rsidRPr="004676F5" w:rsidRDefault="00A56641" w:rsidP="00A56641">
      <w:pPr>
        <w:jc w:val="both"/>
        <w:rPr>
          <w:lang w:val="de-DE"/>
        </w:rPr>
      </w:pPr>
    </w:p>
    <w:p w14:paraId="3B4F87C9" w14:textId="77777777" w:rsidR="00A56641" w:rsidRPr="004676F5" w:rsidRDefault="00A56641" w:rsidP="00A56641">
      <w:pPr>
        <w:jc w:val="both"/>
        <w:rPr>
          <w:lang w:val="de-DE"/>
        </w:rPr>
      </w:pPr>
      <w:r w:rsidRPr="004676F5">
        <w:rPr>
          <w:i/>
          <w:lang w:val="de-DE"/>
        </w:rPr>
        <w:tab/>
      </w:r>
      <w:r w:rsidRPr="004676F5">
        <w:rPr>
          <w:lang w:val="de-DE"/>
        </w:rPr>
        <w:t>g) Die für die Erbringung der Dienstleistung erforderlichen elektronischen Informationen werden auf kohärente und angemessene Weise bereitgestellt, indem sie wahrnehmbar, bedienbar, verständlich und robust gestaltet werden,</w:t>
      </w:r>
    </w:p>
    <w:p w14:paraId="75190115" w14:textId="77777777" w:rsidR="00A56641" w:rsidRPr="004676F5" w:rsidRDefault="00A56641" w:rsidP="00A56641">
      <w:pPr>
        <w:jc w:val="both"/>
        <w:rPr>
          <w:lang w:val="de-DE"/>
        </w:rPr>
      </w:pPr>
    </w:p>
    <w:p w14:paraId="5B4B8561" w14:textId="77777777" w:rsidR="00A56641" w:rsidRPr="004676F5" w:rsidRDefault="00A56641" w:rsidP="00A56641">
      <w:pPr>
        <w:jc w:val="both"/>
        <w:rPr>
          <w:lang w:val="de-DE"/>
        </w:rPr>
      </w:pPr>
      <w:r w:rsidRPr="004676F5">
        <w:rPr>
          <w:lang w:val="de-DE"/>
        </w:rPr>
        <w:tab/>
        <w:t>3. müssen Websites einschließlich der zugehörigen Online-Anwendungen und auf Mobilgeräten angebotenen Dienstleistungen, einschließlich mobiler Apps, auf kohärente und angemessene Weise wahrnehmbar, bedienbar, verständlich und robust gestaltet werden,</w:t>
      </w:r>
    </w:p>
    <w:p w14:paraId="7B48B2BA" w14:textId="77777777" w:rsidR="00A56641" w:rsidRPr="004676F5" w:rsidRDefault="00A56641" w:rsidP="00A56641">
      <w:pPr>
        <w:jc w:val="both"/>
        <w:rPr>
          <w:lang w:val="de-DE"/>
        </w:rPr>
      </w:pPr>
    </w:p>
    <w:p w14:paraId="2EFD7744" w14:textId="77777777" w:rsidR="00A56641" w:rsidRPr="004676F5" w:rsidRDefault="00A56641" w:rsidP="00A56641">
      <w:pPr>
        <w:jc w:val="both"/>
        <w:rPr>
          <w:lang w:val="de-DE"/>
        </w:rPr>
      </w:pPr>
      <w:r w:rsidRPr="004676F5">
        <w:rPr>
          <w:lang w:val="de-DE"/>
        </w:rPr>
        <w:tab/>
        <w:t>4. müssen, wenn Unterstützungsdienste (Help-Desk, Call-Center, technische Unterstützung, Relaisdienste und Einweisungsdienste) verfügbar sind, Informationen über die Barrierefreiheit und die Kompatibilität des Produkts mit assistiven Technologien mit barrierefreien Kommunikationsmitteln bereitgestellt werden.</w:t>
      </w:r>
    </w:p>
    <w:p w14:paraId="4CD5428B" w14:textId="77777777" w:rsidR="00A56641" w:rsidRPr="004676F5" w:rsidRDefault="00A56641" w:rsidP="00A56641">
      <w:pPr>
        <w:jc w:val="both"/>
        <w:rPr>
          <w:lang w:val="de-DE"/>
        </w:rPr>
      </w:pPr>
    </w:p>
    <w:p w14:paraId="2C66BC58" w14:textId="77777777" w:rsidR="00A56641" w:rsidRPr="004676F5" w:rsidRDefault="00A56641" w:rsidP="00A56641">
      <w:pPr>
        <w:jc w:val="both"/>
        <w:rPr>
          <w:lang w:val="de-DE"/>
        </w:rPr>
      </w:pPr>
    </w:p>
    <w:p w14:paraId="7C543A61" w14:textId="77777777" w:rsidR="00A56641" w:rsidRPr="004676F5" w:rsidRDefault="00A56641" w:rsidP="00A56641">
      <w:pPr>
        <w:jc w:val="center"/>
        <w:rPr>
          <w:b/>
          <w:bCs/>
          <w:lang w:val="de-DE"/>
        </w:rPr>
      </w:pPr>
      <w:r w:rsidRPr="004676F5">
        <w:rPr>
          <w:b/>
          <w:lang w:val="de-DE"/>
        </w:rPr>
        <w:t>Abschnitt 2</w:t>
      </w:r>
    </w:p>
    <w:p w14:paraId="4650A734" w14:textId="77777777" w:rsidR="00A56641" w:rsidRPr="004676F5" w:rsidRDefault="00A56641" w:rsidP="00A56641">
      <w:pPr>
        <w:jc w:val="both"/>
        <w:rPr>
          <w:lang w:val="de-DE"/>
        </w:rPr>
      </w:pPr>
    </w:p>
    <w:p w14:paraId="1F2B5B6C" w14:textId="77777777" w:rsidR="00A56641" w:rsidRPr="004676F5" w:rsidRDefault="00A56641" w:rsidP="00A56641">
      <w:pPr>
        <w:jc w:val="center"/>
        <w:rPr>
          <w:i/>
          <w:iCs/>
          <w:lang w:val="de-DE"/>
        </w:rPr>
      </w:pPr>
      <w:r w:rsidRPr="004676F5">
        <w:rPr>
          <w:i/>
          <w:lang w:val="de-DE"/>
        </w:rPr>
        <w:t>Zusätzliche Barrierefreiheitsanforderungen für Bankdienstleistungen für Verbraucher</w:t>
      </w:r>
    </w:p>
    <w:p w14:paraId="5D5EF66E" w14:textId="77777777" w:rsidR="00A56641" w:rsidRPr="004676F5" w:rsidRDefault="00A56641" w:rsidP="00A56641">
      <w:pPr>
        <w:jc w:val="both"/>
        <w:rPr>
          <w:lang w:val="de-DE"/>
        </w:rPr>
      </w:pPr>
    </w:p>
    <w:p w14:paraId="1F20BCA5" w14:textId="77777777" w:rsidR="00A56641" w:rsidRPr="004676F5" w:rsidRDefault="00A56641" w:rsidP="00A56641">
      <w:pPr>
        <w:jc w:val="both"/>
        <w:rPr>
          <w:lang w:val="de-DE"/>
        </w:rPr>
      </w:pPr>
      <w:r w:rsidRPr="004676F5">
        <w:rPr>
          <w:lang w:val="de-DE"/>
        </w:rPr>
        <w:tab/>
        <w:t xml:space="preserve">Damit Bankdienstleistungen für Verbraucher so erbracht werden, dass Menschen mit Behinderungen sie voraussichtlich maximal nutzen, müssen für die Ausführung der Dienstleistungen Funktionen, Vorgehensweisen, Strategien und Verfahren sowie Änderungen vorgesehen sein, die eine Anpassung an die Bedürfnisse von Menschen mit Behinderungen ermöglichen und die Interoperabilität mit assistiven Technologien gewährleisten: </w:t>
      </w:r>
    </w:p>
    <w:p w14:paraId="45F1C1E2" w14:textId="77777777" w:rsidR="00A56641" w:rsidRPr="004676F5" w:rsidRDefault="00A56641" w:rsidP="00A56641">
      <w:pPr>
        <w:jc w:val="both"/>
        <w:rPr>
          <w:lang w:val="de-DE"/>
        </w:rPr>
      </w:pPr>
    </w:p>
    <w:p w14:paraId="66A7E0ED" w14:textId="77777777" w:rsidR="00A56641" w:rsidRPr="004676F5" w:rsidRDefault="00A56641" w:rsidP="00A56641">
      <w:pPr>
        <w:jc w:val="both"/>
        <w:rPr>
          <w:lang w:val="de-DE"/>
        </w:rPr>
      </w:pPr>
      <w:r w:rsidRPr="004676F5">
        <w:rPr>
          <w:lang w:val="de-DE"/>
        </w:rPr>
        <w:tab/>
        <w:t>1. Bereitstellung von Identifizierungsmethoden, elektronischen Signaturen, Sicherheit und Zahlungsdiensten, die wahrnehmbar, bedienbar, verständlich und robust sind,</w:t>
      </w:r>
    </w:p>
    <w:p w14:paraId="516CDE88" w14:textId="77777777" w:rsidR="00A56641" w:rsidRPr="004676F5" w:rsidRDefault="00A56641" w:rsidP="00A56641">
      <w:pPr>
        <w:jc w:val="both"/>
        <w:rPr>
          <w:lang w:val="de-DE"/>
        </w:rPr>
      </w:pPr>
    </w:p>
    <w:p w14:paraId="58A1D99A" w14:textId="77777777" w:rsidR="00A56641" w:rsidRPr="004676F5" w:rsidRDefault="00A56641" w:rsidP="00A56641">
      <w:pPr>
        <w:jc w:val="both"/>
        <w:rPr>
          <w:lang w:val="de-DE"/>
        </w:rPr>
      </w:pPr>
      <w:r w:rsidRPr="004676F5">
        <w:rPr>
          <w:lang w:val="de-DE"/>
        </w:rPr>
        <w:tab/>
        <w:t>2. Gewährleistung, dass die Informationen verständlich sind und ihr Schwierigkeits</w:t>
      </w:r>
      <w:r w:rsidRPr="004676F5">
        <w:rPr>
          <w:lang w:val="de-DE"/>
        </w:rPr>
        <w:softHyphen/>
        <w:t>grad nicht über dem Sprachniveau B2 (Höhere Mittelstufe) des Gemeinsamen europäischen Referenzrahmens für Sprachen des Europarats liegt.</w:t>
      </w:r>
    </w:p>
    <w:p w14:paraId="5425CCC0" w14:textId="77777777" w:rsidR="00A56641" w:rsidRPr="004676F5" w:rsidRDefault="00A56641" w:rsidP="00A56641">
      <w:pPr>
        <w:jc w:val="both"/>
        <w:rPr>
          <w:lang w:val="de-DE"/>
        </w:rPr>
      </w:pPr>
    </w:p>
    <w:p w14:paraId="492CB97E" w14:textId="77777777" w:rsidR="00A56641" w:rsidRPr="004676F5" w:rsidRDefault="00A56641" w:rsidP="00A56641">
      <w:pPr>
        <w:jc w:val="both"/>
        <w:rPr>
          <w:lang w:val="de-DE"/>
        </w:rPr>
      </w:pPr>
    </w:p>
    <w:p w14:paraId="53D4E526" w14:textId="77777777" w:rsidR="00A56641" w:rsidRPr="004676F5" w:rsidRDefault="00A56641" w:rsidP="00A56641">
      <w:pPr>
        <w:jc w:val="center"/>
        <w:rPr>
          <w:b/>
          <w:bCs/>
          <w:lang w:val="de-DE"/>
        </w:rPr>
      </w:pPr>
      <w:r w:rsidRPr="004676F5">
        <w:rPr>
          <w:b/>
          <w:lang w:val="de-DE"/>
        </w:rPr>
        <w:t>Abschnitt 3</w:t>
      </w:r>
    </w:p>
    <w:p w14:paraId="2967BC7F" w14:textId="77777777" w:rsidR="00A56641" w:rsidRPr="004676F5" w:rsidRDefault="00A56641" w:rsidP="00A56641">
      <w:pPr>
        <w:jc w:val="both"/>
        <w:rPr>
          <w:lang w:val="de-DE"/>
        </w:rPr>
      </w:pPr>
    </w:p>
    <w:p w14:paraId="0BB717E0" w14:textId="77777777" w:rsidR="00A56641" w:rsidRPr="004676F5" w:rsidRDefault="00A56641" w:rsidP="00A56641">
      <w:pPr>
        <w:jc w:val="center"/>
        <w:rPr>
          <w:i/>
          <w:iCs/>
          <w:lang w:val="de-DE"/>
        </w:rPr>
      </w:pPr>
      <w:r w:rsidRPr="004676F5">
        <w:rPr>
          <w:i/>
          <w:lang w:val="de-DE"/>
        </w:rPr>
        <w:t>Zusätzliche Barrierefreiheitsanforderungen für Dienstleistungen im elektronischen Geschäftsverkehr (E-Commerce)</w:t>
      </w:r>
    </w:p>
    <w:p w14:paraId="0A1BA7A6" w14:textId="77777777" w:rsidR="00A56641" w:rsidRPr="004676F5" w:rsidRDefault="00A56641" w:rsidP="00A56641">
      <w:pPr>
        <w:jc w:val="both"/>
        <w:rPr>
          <w:lang w:val="de-DE"/>
        </w:rPr>
      </w:pPr>
    </w:p>
    <w:p w14:paraId="61FB326A" w14:textId="77777777" w:rsidR="00A56641" w:rsidRPr="004676F5" w:rsidRDefault="00A56641" w:rsidP="00A56641">
      <w:pPr>
        <w:jc w:val="both"/>
        <w:rPr>
          <w:lang w:val="de-DE"/>
        </w:rPr>
      </w:pPr>
      <w:r w:rsidRPr="004676F5">
        <w:rPr>
          <w:lang w:val="de-DE"/>
        </w:rPr>
        <w:tab/>
        <w:t>Damit Dienstleistungen im elektronischen Geschäftsverkehr (E-Commerce) so erbracht werden, dass Menschen mit Behinderungen sie voraussichtlich maximal nutzen, müssen für die Ausführung der Dienstleistungen Funktionen, Vorgehensweisen, Strategien und Verfahren sowie Änderungen vorgesehen sein, die eine Anpassung an die Bedürfnisse von Menschen mit Behinderungen ermöglichen und die Interoperabilität mit assistiven Technologien gewährleisten:</w:t>
      </w:r>
    </w:p>
    <w:p w14:paraId="7CCA05AA" w14:textId="77777777" w:rsidR="00A56641" w:rsidRPr="004676F5" w:rsidRDefault="00A56641" w:rsidP="00A56641">
      <w:pPr>
        <w:jc w:val="both"/>
        <w:rPr>
          <w:lang w:val="de-DE"/>
        </w:rPr>
      </w:pPr>
    </w:p>
    <w:p w14:paraId="6D483FF1" w14:textId="77777777" w:rsidR="00A56641" w:rsidRPr="004676F5" w:rsidRDefault="00A56641" w:rsidP="00A56641">
      <w:pPr>
        <w:jc w:val="both"/>
        <w:rPr>
          <w:lang w:val="de-DE"/>
        </w:rPr>
      </w:pPr>
      <w:r w:rsidRPr="004676F5">
        <w:rPr>
          <w:lang w:val="de-DE"/>
        </w:rPr>
        <w:tab/>
        <w:t>1. Bereitstellung der Informationen zur Barrierefreiheit der zum Verkauf stehenden Produkte und Dienstleistungen, wenn diese Informationen vom verantwortlichen Wirtschaftsakteur zur Verfügung gestellt werden,</w:t>
      </w:r>
    </w:p>
    <w:p w14:paraId="07CA040E" w14:textId="77777777" w:rsidR="00A56641" w:rsidRPr="004676F5" w:rsidRDefault="00A56641" w:rsidP="00A56641">
      <w:pPr>
        <w:jc w:val="both"/>
        <w:rPr>
          <w:lang w:val="de-DE"/>
        </w:rPr>
      </w:pPr>
    </w:p>
    <w:p w14:paraId="6C0A382B" w14:textId="77777777" w:rsidR="00A56641" w:rsidRPr="004676F5" w:rsidRDefault="00A56641" w:rsidP="00A56641">
      <w:pPr>
        <w:jc w:val="both"/>
        <w:rPr>
          <w:lang w:val="de-DE"/>
        </w:rPr>
      </w:pPr>
      <w:r w:rsidRPr="004676F5">
        <w:rPr>
          <w:lang w:val="de-DE"/>
        </w:rPr>
        <w:tab/>
        <w:t>2. Gewährleistung der Barrierefreiheit der Identifizierungs-, Sicherheits- und Zahlungsfunktionen, wenn diese nicht in Form eines Produkts, sondern im Rahmen einer Dienstleistung bereitgestellt werden, durch deren wahrnehmbare, bedienbare, verständliche und robuste Gestaltung,</w:t>
      </w:r>
    </w:p>
    <w:p w14:paraId="5F19B478" w14:textId="77777777" w:rsidR="00A56641" w:rsidRPr="004676F5" w:rsidRDefault="00A56641" w:rsidP="00A56641">
      <w:pPr>
        <w:jc w:val="both"/>
        <w:rPr>
          <w:lang w:val="de-DE"/>
        </w:rPr>
      </w:pPr>
    </w:p>
    <w:p w14:paraId="782D3A54" w14:textId="77777777" w:rsidR="00A56641" w:rsidRPr="004676F5" w:rsidRDefault="00A56641" w:rsidP="00A56641">
      <w:pPr>
        <w:jc w:val="both"/>
        <w:rPr>
          <w:lang w:val="de-DE"/>
        </w:rPr>
      </w:pPr>
      <w:r w:rsidRPr="004676F5">
        <w:rPr>
          <w:lang w:val="de-DE"/>
        </w:rPr>
        <w:tab/>
        <w:t>3. Bereitstellung von Identifizierungsmethoden, elektronischen Signaturen und Zahlungsdiensten, die wahrnehmbar, bedienbar, verständlich und robust sind.</w:t>
      </w:r>
    </w:p>
    <w:p w14:paraId="7A23A771" w14:textId="77777777" w:rsidR="00A56641" w:rsidRPr="004676F5" w:rsidRDefault="00A56641" w:rsidP="00A56641">
      <w:pPr>
        <w:jc w:val="both"/>
        <w:rPr>
          <w:lang w:val="de-DE"/>
        </w:rPr>
      </w:pPr>
    </w:p>
    <w:p w14:paraId="44DB8EDD" w14:textId="77777777" w:rsidR="00A56641" w:rsidRPr="004676F5" w:rsidRDefault="00A56641" w:rsidP="00A56641">
      <w:pPr>
        <w:jc w:val="both"/>
        <w:rPr>
          <w:lang w:val="de-DE"/>
        </w:rPr>
      </w:pPr>
    </w:p>
    <w:p w14:paraId="4221EA57" w14:textId="77777777" w:rsidR="00A56641" w:rsidRPr="004676F5" w:rsidRDefault="00A56641">
      <w:pPr>
        <w:rPr>
          <w:b/>
          <w:lang w:val="de-DE"/>
        </w:rPr>
      </w:pPr>
      <w:r w:rsidRPr="004676F5">
        <w:rPr>
          <w:b/>
          <w:lang w:val="de-DE"/>
        </w:rPr>
        <w:br w:type="page"/>
      </w:r>
    </w:p>
    <w:p w14:paraId="36049505" w14:textId="452F4975" w:rsidR="00A56641" w:rsidRPr="004676F5" w:rsidRDefault="00A56641" w:rsidP="00A56641">
      <w:pPr>
        <w:jc w:val="center"/>
        <w:rPr>
          <w:b/>
          <w:bCs/>
          <w:lang w:val="de-DE"/>
        </w:rPr>
      </w:pPr>
      <w:r w:rsidRPr="004676F5">
        <w:rPr>
          <w:b/>
          <w:lang w:val="de-DE"/>
        </w:rPr>
        <w:lastRenderedPageBreak/>
        <w:t>Abschnitt 4</w:t>
      </w:r>
    </w:p>
    <w:p w14:paraId="68D5A766" w14:textId="77777777" w:rsidR="00A56641" w:rsidRPr="004676F5" w:rsidRDefault="00A56641" w:rsidP="00A56641">
      <w:pPr>
        <w:jc w:val="both"/>
        <w:rPr>
          <w:lang w:val="de-DE"/>
        </w:rPr>
      </w:pPr>
    </w:p>
    <w:p w14:paraId="6783D1F0" w14:textId="77777777" w:rsidR="00A56641" w:rsidRPr="004676F5" w:rsidRDefault="00A56641" w:rsidP="00A56641">
      <w:pPr>
        <w:jc w:val="center"/>
        <w:rPr>
          <w:i/>
          <w:iCs/>
          <w:lang w:val="de-DE"/>
        </w:rPr>
      </w:pPr>
      <w:r w:rsidRPr="004676F5">
        <w:rPr>
          <w:i/>
          <w:lang w:val="de-DE"/>
        </w:rPr>
        <w:t>Anforderungen an die Funktionalität</w:t>
      </w:r>
    </w:p>
    <w:p w14:paraId="4719D4E1" w14:textId="77777777" w:rsidR="00A56641" w:rsidRPr="004676F5" w:rsidRDefault="00A56641" w:rsidP="00A56641">
      <w:pPr>
        <w:jc w:val="both"/>
        <w:rPr>
          <w:lang w:val="de-DE"/>
        </w:rPr>
      </w:pPr>
    </w:p>
    <w:p w14:paraId="45089CC5" w14:textId="77777777" w:rsidR="00A56641" w:rsidRPr="004676F5" w:rsidRDefault="00A56641" w:rsidP="00A56641">
      <w:pPr>
        <w:jc w:val="both"/>
        <w:rPr>
          <w:lang w:val="de-DE"/>
        </w:rPr>
      </w:pPr>
      <w:r w:rsidRPr="004676F5">
        <w:rPr>
          <w:lang w:val="de-DE"/>
        </w:rPr>
        <w:tab/>
        <w:t>Wenn sich die in den Abschnitten 1 bis 3 der vorliegenden Anlage festgelegten Barrierefreiheitsanforderungen nicht auf eine oder mehrere die Gestaltung und Herstellung von Produkten oder die Erbringung von Dienstleistungen betreffende Funktion(en) beziehen, werden diese Funktionen oder Mittel im Interesse einer möglichst starken voraussichtlichen Nutzung durch Menschen mit Behinderungen durch Erfüllung der diesbezüglichen Anforderungen an die Funktionalität barrierefrei gestaltet.</w:t>
      </w:r>
    </w:p>
    <w:p w14:paraId="76731405" w14:textId="77777777" w:rsidR="00A56641" w:rsidRPr="004676F5" w:rsidRDefault="00A56641" w:rsidP="00A56641">
      <w:pPr>
        <w:jc w:val="both"/>
        <w:rPr>
          <w:lang w:val="de-DE"/>
        </w:rPr>
      </w:pPr>
    </w:p>
    <w:p w14:paraId="37D3F795" w14:textId="77777777" w:rsidR="00A56641" w:rsidRPr="004676F5" w:rsidRDefault="00A56641" w:rsidP="00A56641">
      <w:pPr>
        <w:jc w:val="both"/>
        <w:rPr>
          <w:lang w:val="de-DE"/>
        </w:rPr>
      </w:pPr>
      <w:r w:rsidRPr="004676F5">
        <w:rPr>
          <w:lang w:val="de-DE"/>
        </w:rPr>
        <w:tab/>
        <w:t>Diese Anforderungen an die Funktionalität dürfen als Alternative zu einer oder mehreren speziellen technischen Anforderung(en) nur verwendet werden, wenn in den Barrierefreiheitsanforderungen auf sie verwiesen wird, und nur dann, wenn ihre Anwendung den Barrierefreiheitsanforderungen entspricht und festgestellt wird, dass die Gestaltung und Herstellung der Produkte und die Erbringung der Dienstleistungen bei der voraussichtlichen Nutzung durch Menschen mit Behinderungen zu einer gleichwertigen oder besseren Barrierefreiheit führt.</w:t>
      </w:r>
    </w:p>
    <w:p w14:paraId="59CDDB08" w14:textId="77777777" w:rsidR="00A56641" w:rsidRPr="004676F5" w:rsidRDefault="00A56641" w:rsidP="00A56641">
      <w:pPr>
        <w:jc w:val="both"/>
        <w:rPr>
          <w:lang w:val="de-DE"/>
        </w:rPr>
      </w:pPr>
    </w:p>
    <w:p w14:paraId="49589BD2" w14:textId="77777777" w:rsidR="00A56641" w:rsidRPr="004676F5" w:rsidRDefault="00A56641" w:rsidP="00A56641">
      <w:pPr>
        <w:jc w:val="both"/>
        <w:rPr>
          <w:lang w:val="de-DE"/>
        </w:rPr>
      </w:pPr>
      <w:r w:rsidRPr="004676F5">
        <w:rPr>
          <w:lang w:val="de-DE"/>
        </w:rPr>
        <w:tab/>
        <w:t>1. Nutzung bei fehlendem Sehvermögen</w:t>
      </w:r>
    </w:p>
    <w:p w14:paraId="675E9FED" w14:textId="77777777" w:rsidR="00A56641" w:rsidRPr="004676F5" w:rsidRDefault="00A56641" w:rsidP="00A56641">
      <w:pPr>
        <w:jc w:val="both"/>
        <w:rPr>
          <w:lang w:val="de-DE"/>
        </w:rPr>
      </w:pPr>
    </w:p>
    <w:p w14:paraId="342A42BB" w14:textId="77777777" w:rsidR="00A56641" w:rsidRPr="004676F5" w:rsidRDefault="00A56641" w:rsidP="00A56641">
      <w:pPr>
        <w:jc w:val="both"/>
        <w:rPr>
          <w:lang w:val="de-DE"/>
        </w:rPr>
      </w:pPr>
      <w:r w:rsidRPr="004676F5">
        <w:rPr>
          <w:lang w:val="de-DE"/>
        </w:rPr>
        <w:tab/>
        <w:t>Wenn das Produkt oder die Dienstleistung visuelle Bedienungsformen bietet, muss mindestens eine Bedienungsform vorhanden sein, die kein Sehvermögen erfordert.</w:t>
      </w:r>
    </w:p>
    <w:p w14:paraId="544ECE88" w14:textId="77777777" w:rsidR="00A56641" w:rsidRPr="004676F5" w:rsidRDefault="00A56641" w:rsidP="00A56641">
      <w:pPr>
        <w:jc w:val="both"/>
        <w:rPr>
          <w:lang w:val="de-DE"/>
        </w:rPr>
      </w:pPr>
    </w:p>
    <w:p w14:paraId="6E5625FF" w14:textId="77777777" w:rsidR="00A56641" w:rsidRPr="004676F5" w:rsidRDefault="00A56641" w:rsidP="00A56641">
      <w:pPr>
        <w:jc w:val="both"/>
        <w:rPr>
          <w:lang w:val="de-DE"/>
        </w:rPr>
      </w:pPr>
      <w:r w:rsidRPr="004676F5">
        <w:rPr>
          <w:lang w:val="de-DE"/>
        </w:rPr>
        <w:tab/>
        <w:t>2. Nutzung mit eingeschränktem Sehvermögen</w:t>
      </w:r>
    </w:p>
    <w:p w14:paraId="79FCABBB" w14:textId="77777777" w:rsidR="00A56641" w:rsidRPr="004676F5" w:rsidRDefault="00A56641" w:rsidP="00A56641">
      <w:pPr>
        <w:jc w:val="both"/>
        <w:rPr>
          <w:lang w:val="de-DE"/>
        </w:rPr>
      </w:pPr>
    </w:p>
    <w:p w14:paraId="6D552E20" w14:textId="77777777" w:rsidR="00A56641" w:rsidRPr="004676F5" w:rsidRDefault="00A56641" w:rsidP="00A56641">
      <w:pPr>
        <w:jc w:val="both"/>
        <w:rPr>
          <w:lang w:val="de-DE"/>
        </w:rPr>
      </w:pPr>
      <w:r w:rsidRPr="004676F5">
        <w:rPr>
          <w:lang w:val="de-DE"/>
        </w:rPr>
        <w:tab/>
        <w:t>Wenn das Produkt oder die Dienstleistung visuelle Bedienungsformen bietet, muss mindestens eine Bedienungsform vorhanden sein, die die Nutzung bei eingeschränktem Sehvermögen ermöglicht.</w:t>
      </w:r>
    </w:p>
    <w:p w14:paraId="77D771F0" w14:textId="77777777" w:rsidR="00A56641" w:rsidRPr="004676F5" w:rsidRDefault="00A56641" w:rsidP="00A56641">
      <w:pPr>
        <w:jc w:val="both"/>
        <w:rPr>
          <w:lang w:val="de-DE"/>
        </w:rPr>
      </w:pPr>
    </w:p>
    <w:p w14:paraId="1F3B0F2F" w14:textId="77777777" w:rsidR="00A56641" w:rsidRPr="004676F5" w:rsidRDefault="00A56641" w:rsidP="00A56641">
      <w:pPr>
        <w:jc w:val="both"/>
        <w:rPr>
          <w:lang w:val="de-DE"/>
        </w:rPr>
      </w:pPr>
      <w:r w:rsidRPr="004676F5">
        <w:rPr>
          <w:lang w:val="de-DE"/>
        </w:rPr>
        <w:tab/>
        <w:t>3. Nutzung bei fehlendem Farbunterscheidungsvermögen</w:t>
      </w:r>
    </w:p>
    <w:p w14:paraId="37C22F74" w14:textId="77777777" w:rsidR="00A56641" w:rsidRPr="004676F5" w:rsidRDefault="00A56641" w:rsidP="00A56641">
      <w:pPr>
        <w:jc w:val="both"/>
        <w:rPr>
          <w:lang w:val="de-DE"/>
        </w:rPr>
      </w:pPr>
    </w:p>
    <w:p w14:paraId="2FA34384" w14:textId="77777777" w:rsidR="00A56641" w:rsidRPr="004676F5" w:rsidRDefault="00A56641" w:rsidP="00A56641">
      <w:pPr>
        <w:jc w:val="both"/>
        <w:rPr>
          <w:lang w:val="de-DE"/>
        </w:rPr>
      </w:pPr>
      <w:r w:rsidRPr="004676F5">
        <w:rPr>
          <w:lang w:val="de-DE"/>
        </w:rPr>
        <w:tab/>
        <w:t>Wenn das Produkt oder die Dienstleistung visuelle Bedienungsformen bietet, muss mindestens eine Bedienungsform vorhanden sein, die keine Farbunterscheidung erfordert.</w:t>
      </w:r>
    </w:p>
    <w:p w14:paraId="2561F8A5" w14:textId="77777777" w:rsidR="00A56641" w:rsidRPr="004676F5" w:rsidRDefault="00A56641" w:rsidP="00A56641">
      <w:pPr>
        <w:jc w:val="both"/>
        <w:rPr>
          <w:lang w:val="de-DE"/>
        </w:rPr>
      </w:pPr>
    </w:p>
    <w:p w14:paraId="3A8C95AD" w14:textId="77777777" w:rsidR="00A56641" w:rsidRPr="004676F5" w:rsidRDefault="00A56641" w:rsidP="00A56641">
      <w:pPr>
        <w:jc w:val="both"/>
        <w:rPr>
          <w:lang w:val="de-DE"/>
        </w:rPr>
      </w:pPr>
      <w:r w:rsidRPr="004676F5">
        <w:rPr>
          <w:lang w:val="de-DE"/>
        </w:rPr>
        <w:tab/>
        <w:t>4. Nutzung bei fehlendem Hörvermögen</w:t>
      </w:r>
    </w:p>
    <w:p w14:paraId="3E56EF7B" w14:textId="77777777" w:rsidR="00A56641" w:rsidRPr="004676F5" w:rsidRDefault="00A56641" w:rsidP="00A56641">
      <w:pPr>
        <w:jc w:val="both"/>
        <w:rPr>
          <w:lang w:val="de-DE"/>
        </w:rPr>
      </w:pPr>
    </w:p>
    <w:p w14:paraId="282E0F29" w14:textId="77777777" w:rsidR="00A56641" w:rsidRPr="004676F5" w:rsidRDefault="00A56641" w:rsidP="00A56641">
      <w:pPr>
        <w:jc w:val="both"/>
        <w:rPr>
          <w:lang w:val="de-DE"/>
        </w:rPr>
      </w:pPr>
      <w:r w:rsidRPr="004676F5">
        <w:rPr>
          <w:lang w:val="de-DE"/>
        </w:rPr>
        <w:tab/>
        <w:t>Wenn das Produkt oder die Dienstleistung auditive Bedienungsformen bietet, muss mindestens eine Bedienungsform vorhanden sein, die kein Hörvermögen erfordert.</w:t>
      </w:r>
    </w:p>
    <w:p w14:paraId="0A086AB2" w14:textId="77777777" w:rsidR="00A56641" w:rsidRPr="004676F5" w:rsidRDefault="00A56641" w:rsidP="00A56641">
      <w:pPr>
        <w:jc w:val="both"/>
        <w:rPr>
          <w:lang w:val="de-DE"/>
        </w:rPr>
      </w:pPr>
    </w:p>
    <w:p w14:paraId="7FF1D71F" w14:textId="77777777" w:rsidR="00A56641" w:rsidRPr="004676F5" w:rsidRDefault="00A56641" w:rsidP="00A56641">
      <w:pPr>
        <w:jc w:val="both"/>
        <w:rPr>
          <w:lang w:val="de-DE"/>
        </w:rPr>
      </w:pPr>
      <w:r w:rsidRPr="004676F5">
        <w:rPr>
          <w:lang w:val="de-DE"/>
        </w:rPr>
        <w:tab/>
        <w:t>5. Nutzung mit eingeschränktem Hörvermögen</w:t>
      </w:r>
    </w:p>
    <w:p w14:paraId="7BD6C3C2" w14:textId="77777777" w:rsidR="00A56641" w:rsidRPr="004676F5" w:rsidRDefault="00A56641" w:rsidP="00A56641">
      <w:pPr>
        <w:jc w:val="both"/>
        <w:rPr>
          <w:lang w:val="de-DE"/>
        </w:rPr>
      </w:pPr>
    </w:p>
    <w:p w14:paraId="7920E149" w14:textId="77777777" w:rsidR="00A56641" w:rsidRPr="004676F5" w:rsidRDefault="00A56641" w:rsidP="00A56641">
      <w:pPr>
        <w:jc w:val="both"/>
        <w:rPr>
          <w:lang w:val="de-DE"/>
        </w:rPr>
      </w:pPr>
      <w:r w:rsidRPr="004676F5">
        <w:rPr>
          <w:lang w:val="de-DE"/>
        </w:rPr>
        <w:tab/>
        <w:t>Wenn das Produkt oder die Dienstleistung auditive Bedienungsformen bietet, muss mindestens eine Bedienungsform mit erweiterten Audiofunktionen vorhanden sein, die die Nutzung bei eingeschränktem Hörvermögen ermöglicht.</w:t>
      </w:r>
    </w:p>
    <w:p w14:paraId="7D6F9870" w14:textId="77777777" w:rsidR="00A56641" w:rsidRPr="004676F5" w:rsidRDefault="00A56641" w:rsidP="00A56641">
      <w:pPr>
        <w:jc w:val="both"/>
        <w:rPr>
          <w:lang w:val="de-DE"/>
        </w:rPr>
      </w:pPr>
    </w:p>
    <w:p w14:paraId="3D3808AF" w14:textId="77777777" w:rsidR="00A56641" w:rsidRPr="004676F5" w:rsidRDefault="00A56641" w:rsidP="00A56641">
      <w:pPr>
        <w:jc w:val="both"/>
        <w:rPr>
          <w:lang w:val="de-DE"/>
        </w:rPr>
      </w:pPr>
      <w:r w:rsidRPr="004676F5">
        <w:rPr>
          <w:lang w:val="de-DE"/>
        </w:rPr>
        <w:tab/>
        <w:t>6. Nutzung bei fehlendem Sprechvermögen</w:t>
      </w:r>
    </w:p>
    <w:p w14:paraId="29B1EF20" w14:textId="77777777" w:rsidR="00A56641" w:rsidRPr="004676F5" w:rsidRDefault="00A56641" w:rsidP="00A56641">
      <w:pPr>
        <w:jc w:val="both"/>
        <w:rPr>
          <w:lang w:val="de-DE"/>
        </w:rPr>
      </w:pPr>
    </w:p>
    <w:p w14:paraId="2A2F7864" w14:textId="77777777" w:rsidR="00A56641" w:rsidRPr="004676F5" w:rsidRDefault="00A56641" w:rsidP="00A56641">
      <w:pPr>
        <w:jc w:val="both"/>
        <w:rPr>
          <w:lang w:val="de-DE"/>
        </w:rPr>
      </w:pPr>
      <w:r w:rsidRPr="004676F5">
        <w:rPr>
          <w:lang w:val="de-DE"/>
        </w:rPr>
        <w:tab/>
        <w:t>Wenn für das Produkt oder die Dienstleistung eine stimmliche Eingabe des Nutzers erforderlich ist, muss mindestens eine Bedienungsform vorhanden sein, die keine stimmliche Eingabe erfordert. Als stimmliche Eingabe gelten auch orale Laute wie Sprechen, Pfeifen oder Schnalzen.</w:t>
      </w:r>
    </w:p>
    <w:p w14:paraId="7A2A5F07" w14:textId="77777777" w:rsidR="00A56641" w:rsidRPr="004676F5" w:rsidRDefault="00A56641" w:rsidP="00A56641">
      <w:pPr>
        <w:jc w:val="both"/>
        <w:rPr>
          <w:lang w:val="de-DE"/>
        </w:rPr>
      </w:pPr>
    </w:p>
    <w:p w14:paraId="468C936B" w14:textId="77777777" w:rsidR="00A56641" w:rsidRPr="004676F5" w:rsidRDefault="00A56641" w:rsidP="00A56641">
      <w:pPr>
        <w:jc w:val="both"/>
        <w:rPr>
          <w:lang w:val="de-DE"/>
        </w:rPr>
      </w:pPr>
      <w:r w:rsidRPr="004676F5">
        <w:rPr>
          <w:lang w:val="de-DE"/>
        </w:rPr>
        <w:tab/>
        <w:t>7. Nutzung bei eingeschränkten manuell-motorischen Fähigkeiten oder eingeschränkter Kraft</w:t>
      </w:r>
    </w:p>
    <w:p w14:paraId="1A003DB9" w14:textId="77777777" w:rsidR="00A56641" w:rsidRPr="004676F5" w:rsidRDefault="00A56641" w:rsidP="00A56641">
      <w:pPr>
        <w:jc w:val="both"/>
        <w:rPr>
          <w:lang w:val="de-DE"/>
        </w:rPr>
      </w:pPr>
    </w:p>
    <w:p w14:paraId="164CB17C" w14:textId="77777777" w:rsidR="00A56641" w:rsidRPr="004676F5" w:rsidRDefault="00A56641" w:rsidP="00A56641">
      <w:pPr>
        <w:jc w:val="both"/>
        <w:rPr>
          <w:lang w:val="de-DE"/>
        </w:rPr>
      </w:pPr>
      <w:r w:rsidRPr="004676F5">
        <w:rPr>
          <w:lang w:val="de-DE"/>
        </w:rPr>
        <w:tab/>
        <w:t>Wenn das Produkt oder die Dienstleistung manuell bedient werden muss, muss mindestens eine Bedienungsform vorhanden sein, die die Nutzung mithilfe anderer Bedienungsformen ermöglicht, die keine feinmotorische Steuerung und Bedienung, Handmuskelkraft oder gleichzeitige Bedienung von mehr als einem Bedienelement erfordern.</w:t>
      </w:r>
    </w:p>
    <w:p w14:paraId="17419C45" w14:textId="77777777" w:rsidR="00A56641" w:rsidRPr="004676F5" w:rsidRDefault="00A56641" w:rsidP="00A56641">
      <w:pPr>
        <w:jc w:val="both"/>
        <w:rPr>
          <w:lang w:val="de-DE"/>
        </w:rPr>
      </w:pPr>
      <w:r w:rsidRPr="004676F5">
        <w:rPr>
          <w:lang w:val="de-DE"/>
        </w:rPr>
        <w:tab/>
      </w:r>
    </w:p>
    <w:p w14:paraId="4B14BBB6" w14:textId="77777777" w:rsidR="00A56641" w:rsidRPr="004676F5" w:rsidRDefault="00A56641" w:rsidP="00A56641">
      <w:pPr>
        <w:jc w:val="both"/>
        <w:rPr>
          <w:lang w:val="de-DE"/>
        </w:rPr>
      </w:pPr>
      <w:r w:rsidRPr="004676F5">
        <w:rPr>
          <w:lang w:val="de-DE"/>
        </w:rPr>
        <w:tab/>
        <w:t>8. Nutzung bei eingeschränkter Reichweite</w:t>
      </w:r>
    </w:p>
    <w:p w14:paraId="75721B3E" w14:textId="77777777" w:rsidR="00A56641" w:rsidRPr="004676F5" w:rsidRDefault="00A56641" w:rsidP="00A56641">
      <w:pPr>
        <w:jc w:val="both"/>
        <w:rPr>
          <w:lang w:val="de-DE"/>
        </w:rPr>
      </w:pPr>
    </w:p>
    <w:p w14:paraId="358C0978" w14:textId="77777777" w:rsidR="00A56641" w:rsidRPr="004676F5" w:rsidRDefault="00A56641" w:rsidP="00A56641">
      <w:pPr>
        <w:jc w:val="both"/>
        <w:rPr>
          <w:lang w:val="de-DE"/>
        </w:rPr>
      </w:pPr>
      <w:r w:rsidRPr="004676F5">
        <w:rPr>
          <w:lang w:val="de-DE"/>
        </w:rPr>
        <w:tab/>
        <w:t>Die Bedienelemente des Produkts müssen sich in der Reichweite aller Nutzer befinden. Wenn das Produkt oder die Dienstleistung manuelle Bedienungsformen bietet, muss mindestens eine Bedienungsform vorhanden sein, die die Bedienung bei eingeschränkter Reichweite und Kraft ermöglicht.</w:t>
      </w:r>
    </w:p>
    <w:p w14:paraId="58540274" w14:textId="77777777" w:rsidR="00A56641" w:rsidRPr="004676F5" w:rsidRDefault="00A56641" w:rsidP="00A56641">
      <w:pPr>
        <w:jc w:val="both"/>
        <w:rPr>
          <w:lang w:val="de-DE"/>
        </w:rPr>
      </w:pPr>
    </w:p>
    <w:p w14:paraId="29EF0F62" w14:textId="77777777" w:rsidR="00A56641" w:rsidRPr="004676F5" w:rsidRDefault="00A56641" w:rsidP="00A56641">
      <w:pPr>
        <w:jc w:val="both"/>
        <w:rPr>
          <w:lang w:val="de-DE"/>
        </w:rPr>
      </w:pPr>
      <w:r w:rsidRPr="004676F5">
        <w:rPr>
          <w:lang w:val="de-DE"/>
        </w:rPr>
        <w:tab/>
        <w:t>9. Minimierung der Gefahr, dass ein fotosensitiver Anfall ausgelöst wird</w:t>
      </w:r>
    </w:p>
    <w:p w14:paraId="532DE403" w14:textId="77777777" w:rsidR="00A56641" w:rsidRPr="004676F5" w:rsidRDefault="00A56641" w:rsidP="00A56641">
      <w:pPr>
        <w:jc w:val="both"/>
        <w:rPr>
          <w:lang w:val="de-DE"/>
        </w:rPr>
      </w:pPr>
    </w:p>
    <w:p w14:paraId="229136E3" w14:textId="77777777" w:rsidR="00A56641" w:rsidRPr="004676F5" w:rsidRDefault="00A56641" w:rsidP="00A56641">
      <w:pPr>
        <w:jc w:val="both"/>
        <w:rPr>
          <w:lang w:val="de-DE"/>
        </w:rPr>
      </w:pPr>
      <w:r w:rsidRPr="004676F5">
        <w:rPr>
          <w:lang w:val="de-DE"/>
        </w:rPr>
        <w:tab/>
        <w:t>Wenn das Produkt visuelle Bedienungsformen bietet, sind fotosensitive Anfälle auslösende Bedienungsformen zu vermeiden.</w:t>
      </w:r>
    </w:p>
    <w:p w14:paraId="37F3563E" w14:textId="77777777" w:rsidR="00A56641" w:rsidRPr="004676F5" w:rsidRDefault="00A56641" w:rsidP="00A56641">
      <w:pPr>
        <w:jc w:val="both"/>
        <w:rPr>
          <w:lang w:val="de-DE"/>
        </w:rPr>
      </w:pPr>
    </w:p>
    <w:p w14:paraId="0D404FB5" w14:textId="77777777" w:rsidR="00A56641" w:rsidRPr="004676F5" w:rsidRDefault="00A56641" w:rsidP="00A56641">
      <w:pPr>
        <w:jc w:val="both"/>
        <w:rPr>
          <w:lang w:val="de-DE"/>
        </w:rPr>
      </w:pPr>
      <w:r w:rsidRPr="004676F5">
        <w:rPr>
          <w:lang w:val="de-DE"/>
        </w:rPr>
        <w:tab/>
        <w:t>10. Nutzung bei eingeschränkter Kognition</w:t>
      </w:r>
    </w:p>
    <w:p w14:paraId="773E9BA8" w14:textId="77777777" w:rsidR="00A56641" w:rsidRPr="004676F5" w:rsidRDefault="00A56641" w:rsidP="00A56641">
      <w:pPr>
        <w:jc w:val="both"/>
        <w:rPr>
          <w:lang w:val="de-DE"/>
        </w:rPr>
      </w:pPr>
    </w:p>
    <w:p w14:paraId="37E6721E" w14:textId="77777777" w:rsidR="00A56641" w:rsidRPr="004676F5" w:rsidRDefault="00A56641" w:rsidP="00A56641">
      <w:pPr>
        <w:jc w:val="both"/>
        <w:rPr>
          <w:lang w:val="de-DE"/>
        </w:rPr>
      </w:pPr>
      <w:r w:rsidRPr="004676F5">
        <w:rPr>
          <w:lang w:val="de-DE"/>
        </w:rPr>
        <w:tab/>
        <w:t>Das Produkt oder die Dienstleistung muss mit mindestens einer Bedienungsform ausgestattet sein, die Funktionen umfasst, die die Nutzung erleichtern und vereinfachen.</w:t>
      </w:r>
    </w:p>
    <w:p w14:paraId="1EB4CCEE" w14:textId="77777777" w:rsidR="00A56641" w:rsidRPr="004676F5" w:rsidRDefault="00A56641" w:rsidP="00A56641">
      <w:pPr>
        <w:jc w:val="both"/>
        <w:rPr>
          <w:lang w:val="de-DE"/>
        </w:rPr>
      </w:pPr>
    </w:p>
    <w:p w14:paraId="19268CBF" w14:textId="77777777" w:rsidR="00A56641" w:rsidRPr="004676F5" w:rsidRDefault="00A56641" w:rsidP="00A56641">
      <w:pPr>
        <w:jc w:val="both"/>
        <w:rPr>
          <w:lang w:val="de-DE"/>
        </w:rPr>
      </w:pPr>
      <w:r w:rsidRPr="004676F5">
        <w:rPr>
          <w:lang w:val="de-DE"/>
        </w:rPr>
        <w:tab/>
        <w:t>11. Datenschutz</w:t>
      </w:r>
    </w:p>
    <w:p w14:paraId="76F23D65" w14:textId="77777777" w:rsidR="00A56641" w:rsidRPr="004676F5" w:rsidRDefault="00A56641" w:rsidP="00A56641">
      <w:pPr>
        <w:jc w:val="both"/>
        <w:rPr>
          <w:lang w:val="de-DE"/>
        </w:rPr>
      </w:pPr>
    </w:p>
    <w:p w14:paraId="462A4CDE" w14:textId="77777777" w:rsidR="00A56641" w:rsidRPr="004676F5" w:rsidRDefault="00A56641" w:rsidP="00A56641">
      <w:pPr>
        <w:jc w:val="both"/>
        <w:rPr>
          <w:lang w:val="de-DE"/>
        </w:rPr>
      </w:pPr>
      <w:r w:rsidRPr="004676F5">
        <w:rPr>
          <w:lang w:val="de-DE"/>
        </w:rPr>
        <w:tab/>
        <w:t>Wenn das Produkt oder die Dienstleistung Funktionen umfasst, die der Barrierefreiheit dienen, muss mindestens eine Bedienungsform vorhanden sein, mit der der Datenschutz der Nutzer bei Verwendung dieser Barrierefreiheitsfunktionen gewahrt ist.</w:t>
      </w:r>
    </w:p>
    <w:p w14:paraId="5FD3C02E" w14:textId="77777777" w:rsidR="00A56641" w:rsidRPr="004676F5" w:rsidRDefault="00A56641" w:rsidP="00A56641">
      <w:pPr>
        <w:jc w:val="both"/>
        <w:rPr>
          <w:lang w:val="de-DE"/>
        </w:rPr>
      </w:pPr>
    </w:p>
    <w:p w14:paraId="59809541" w14:textId="77777777" w:rsidR="00A56641" w:rsidRPr="004676F5" w:rsidRDefault="00A56641" w:rsidP="00A56641">
      <w:pPr>
        <w:jc w:val="both"/>
        <w:rPr>
          <w:lang w:val="de-DE"/>
        </w:rPr>
      </w:pPr>
    </w:p>
    <w:p w14:paraId="34EAB1B6" w14:textId="77777777" w:rsidR="00A56641" w:rsidRPr="004676F5" w:rsidRDefault="00A56641" w:rsidP="00A56641">
      <w:pPr>
        <w:rPr>
          <w:b/>
          <w:lang w:val="de-DE"/>
        </w:rPr>
      </w:pPr>
      <w:r w:rsidRPr="004676F5">
        <w:rPr>
          <w:b/>
          <w:lang w:val="de-DE"/>
        </w:rPr>
        <w:br w:type="page"/>
      </w:r>
    </w:p>
    <w:p w14:paraId="04C105CE" w14:textId="17557925" w:rsidR="00A56641" w:rsidRPr="004676F5" w:rsidRDefault="00A56641" w:rsidP="00A56641">
      <w:pPr>
        <w:jc w:val="center"/>
        <w:rPr>
          <w:b/>
          <w:bCs/>
          <w:lang w:val="de-DE"/>
        </w:rPr>
      </w:pPr>
      <w:r w:rsidRPr="004676F5">
        <w:rPr>
          <w:b/>
          <w:bCs/>
          <w:lang w:val="de-DE"/>
        </w:rPr>
        <w:lastRenderedPageBreak/>
        <w:t>[</w:t>
      </w:r>
      <w:r w:rsidRPr="004676F5">
        <w:rPr>
          <w:b/>
          <w:lang w:val="de-DE"/>
        </w:rPr>
        <w:t>Anlage 2</w:t>
      </w:r>
      <w:r w:rsidRPr="004676F5">
        <w:rPr>
          <w:b/>
          <w:bCs/>
          <w:lang w:val="de-DE"/>
        </w:rPr>
        <w:t>]</w:t>
      </w:r>
    </w:p>
    <w:p w14:paraId="7C087537" w14:textId="77777777" w:rsidR="00A56641" w:rsidRPr="004676F5" w:rsidRDefault="00A56641" w:rsidP="00A56641">
      <w:pPr>
        <w:jc w:val="both"/>
        <w:rPr>
          <w:b/>
          <w:bCs/>
          <w:lang w:val="de-DE"/>
        </w:rPr>
      </w:pPr>
    </w:p>
    <w:p w14:paraId="6B85C6D3" w14:textId="428EE201" w:rsidR="00A56641" w:rsidRPr="004676F5" w:rsidRDefault="00A56641" w:rsidP="00A56641">
      <w:pPr>
        <w:jc w:val="both"/>
        <w:rPr>
          <w:i/>
          <w:iCs/>
          <w:lang w:val="de-DE"/>
        </w:rPr>
      </w:pPr>
      <w:r w:rsidRPr="004676F5">
        <w:rPr>
          <w:i/>
          <w:iCs/>
          <w:lang w:val="de-DE"/>
        </w:rPr>
        <w:t>[Anlage 2 eingefügt durch Art. 23 des G. vom 5. November 2023</w:t>
      </w:r>
      <w:r w:rsidR="00AA0B2E" w:rsidRPr="004676F5">
        <w:rPr>
          <w:i/>
          <w:iCs/>
          <w:lang w:val="de-DE"/>
        </w:rPr>
        <w:t> </w:t>
      </w:r>
      <w:r w:rsidR="003454B3" w:rsidRPr="004676F5">
        <w:rPr>
          <w:i/>
          <w:iCs/>
          <w:lang w:val="de-DE"/>
        </w:rPr>
        <w:t>(II)</w:t>
      </w:r>
      <w:r w:rsidRPr="004676F5">
        <w:rPr>
          <w:i/>
          <w:iCs/>
          <w:lang w:val="de-DE"/>
        </w:rPr>
        <w:t xml:space="preserve"> (B.S. vom 28. November 2023)]</w:t>
      </w:r>
    </w:p>
    <w:p w14:paraId="00D30035" w14:textId="77777777" w:rsidR="00A56641" w:rsidRPr="004676F5" w:rsidRDefault="00A56641" w:rsidP="00A56641">
      <w:pPr>
        <w:jc w:val="both"/>
        <w:rPr>
          <w:lang w:val="de-DE"/>
        </w:rPr>
      </w:pPr>
    </w:p>
    <w:p w14:paraId="190262D1" w14:textId="39BBB3A4" w:rsidR="00A56641" w:rsidRPr="004676F5" w:rsidRDefault="00A56641" w:rsidP="00A56641">
      <w:pPr>
        <w:jc w:val="center"/>
        <w:rPr>
          <w:b/>
          <w:bCs/>
          <w:lang w:val="de-DE"/>
        </w:rPr>
      </w:pPr>
      <w:r w:rsidRPr="004676F5">
        <w:rPr>
          <w:b/>
          <w:lang w:val="de-DE"/>
        </w:rPr>
        <w:t>Informationen über Dienstleistungen, die den Barrierefreiheitsanforderungen entsprechen</w:t>
      </w:r>
    </w:p>
    <w:p w14:paraId="0B95BDAD" w14:textId="77777777" w:rsidR="00A56641" w:rsidRPr="004676F5" w:rsidRDefault="00A56641" w:rsidP="00A56641">
      <w:pPr>
        <w:ind w:left="708" w:hanging="708"/>
        <w:rPr>
          <w:lang w:val="de-DE"/>
        </w:rPr>
      </w:pPr>
    </w:p>
    <w:p w14:paraId="0A9A4FD9" w14:textId="77777777" w:rsidR="00A56641" w:rsidRPr="004676F5" w:rsidRDefault="00A56641" w:rsidP="00A56641">
      <w:pPr>
        <w:jc w:val="both"/>
        <w:rPr>
          <w:lang w:val="de-DE"/>
        </w:rPr>
      </w:pPr>
      <w:r w:rsidRPr="004676F5">
        <w:rPr>
          <w:lang w:val="de-DE"/>
        </w:rPr>
        <w:tab/>
        <w:t>1. Der Dienstleistungserbringer gibt in den allgemeinen Geschäftsbedingungen oder einem ähnlichen Dokument an, wie die Dienstleistung die Barrierefreiheitsanforderungen gemäß Artikel VIII.59 § 1 erfüllt. Die entsprechenden Informationen umfassen eine Beschreibung der geltenden Anforderungen und decken - soweit für die Bewertung von Belang - die Gestaltung und die Durchführung der Dienstleistung ab. Neben den Anforderungen an die Verbraucherinformation gemäß der Richtlinie 2011/83/EU enthalten die Informationen gegebenenfalls zumindest folgende Elemente:</w:t>
      </w:r>
    </w:p>
    <w:p w14:paraId="5CF5DB92" w14:textId="77777777" w:rsidR="00A56641" w:rsidRPr="004676F5" w:rsidRDefault="00A56641" w:rsidP="00A56641">
      <w:pPr>
        <w:rPr>
          <w:lang w:val="de-DE"/>
        </w:rPr>
      </w:pPr>
    </w:p>
    <w:p w14:paraId="5EF56287" w14:textId="77777777" w:rsidR="00A56641" w:rsidRPr="004676F5" w:rsidRDefault="00A56641" w:rsidP="00A56641">
      <w:pPr>
        <w:rPr>
          <w:lang w:val="de-DE"/>
        </w:rPr>
      </w:pPr>
      <w:r w:rsidRPr="004676F5">
        <w:rPr>
          <w:lang w:val="de-DE"/>
        </w:rPr>
        <w:tab/>
        <w:t>a) eine allgemeine Beschreibung der Dienstleistung in einem barrierefreien Format,</w:t>
      </w:r>
    </w:p>
    <w:p w14:paraId="06D1C3DE" w14:textId="77777777" w:rsidR="00A56641" w:rsidRPr="004676F5" w:rsidRDefault="00A56641" w:rsidP="00A56641">
      <w:pPr>
        <w:jc w:val="both"/>
        <w:rPr>
          <w:lang w:val="de-DE"/>
        </w:rPr>
      </w:pPr>
    </w:p>
    <w:p w14:paraId="3853C190" w14:textId="77777777" w:rsidR="00A56641" w:rsidRPr="004676F5" w:rsidRDefault="00A56641" w:rsidP="00A56641">
      <w:pPr>
        <w:jc w:val="both"/>
        <w:rPr>
          <w:lang w:val="de-DE"/>
        </w:rPr>
      </w:pPr>
      <w:r w:rsidRPr="004676F5">
        <w:rPr>
          <w:i/>
          <w:lang w:val="de-DE"/>
        </w:rPr>
        <w:tab/>
      </w:r>
      <w:r w:rsidRPr="004676F5">
        <w:rPr>
          <w:lang w:val="de-DE"/>
        </w:rPr>
        <w:t>b) Beschreibungen und Erläuterungen, die zum Verständnis der Durchführung der Dienstleistung erforderlich sind,</w:t>
      </w:r>
    </w:p>
    <w:p w14:paraId="003587B6" w14:textId="77777777" w:rsidR="00A56641" w:rsidRPr="004676F5" w:rsidRDefault="00A56641" w:rsidP="00A56641">
      <w:pPr>
        <w:jc w:val="both"/>
        <w:rPr>
          <w:lang w:val="de-DE"/>
        </w:rPr>
      </w:pPr>
    </w:p>
    <w:p w14:paraId="20A3EECB" w14:textId="77777777" w:rsidR="00A56641" w:rsidRPr="004676F5" w:rsidRDefault="00A56641" w:rsidP="00A56641">
      <w:pPr>
        <w:jc w:val="both"/>
        <w:rPr>
          <w:lang w:val="de-DE"/>
        </w:rPr>
      </w:pPr>
      <w:r w:rsidRPr="004676F5">
        <w:rPr>
          <w:i/>
          <w:lang w:val="de-DE"/>
        </w:rPr>
        <w:tab/>
      </w:r>
      <w:r w:rsidRPr="004676F5">
        <w:rPr>
          <w:lang w:val="de-DE"/>
        </w:rPr>
        <w:t>c) eine Beschreibung, wie die Dienstleistung die einschlägigen in Anlage 1 aufgeführten Barrierefreiheitsanforderungen erfüllt.</w:t>
      </w:r>
    </w:p>
    <w:p w14:paraId="4C0C9287" w14:textId="77777777" w:rsidR="00A56641" w:rsidRPr="004676F5" w:rsidRDefault="00A56641" w:rsidP="00A56641">
      <w:pPr>
        <w:jc w:val="both"/>
        <w:rPr>
          <w:lang w:val="de-DE"/>
        </w:rPr>
      </w:pPr>
    </w:p>
    <w:p w14:paraId="195E106C" w14:textId="77777777" w:rsidR="00A56641" w:rsidRPr="004676F5" w:rsidRDefault="00A56641" w:rsidP="00A56641">
      <w:pPr>
        <w:jc w:val="both"/>
        <w:rPr>
          <w:lang w:val="de-DE"/>
        </w:rPr>
      </w:pPr>
      <w:r w:rsidRPr="004676F5">
        <w:rPr>
          <w:lang w:val="de-DE"/>
        </w:rPr>
        <w:tab/>
        <w:t>2. Um den Anforderungen gemäß Nr. 1 zu entsprechen, kann der Dienstleistungs</w:t>
      </w:r>
      <w:r w:rsidRPr="004676F5">
        <w:rPr>
          <w:lang w:val="de-DE"/>
        </w:rPr>
        <w:softHyphen/>
        <w:t>erbringer die harmonisierten Normen und technische Spezifikationen, deren Fundstellen im Amtsblatt der Europäischen Union veröffentlicht wurden, vollständig oder in Teilen anwenden.</w:t>
      </w:r>
    </w:p>
    <w:p w14:paraId="48A8CEBC" w14:textId="77777777" w:rsidR="00A56641" w:rsidRPr="004676F5" w:rsidRDefault="00A56641" w:rsidP="00A56641">
      <w:pPr>
        <w:jc w:val="both"/>
        <w:rPr>
          <w:lang w:val="de-DE"/>
        </w:rPr>
      </w:pPr>
    </w:p>
    <w:p w14:paraId="0F0FD16D" w14:textId="77777777" w:rsidR="00A56641" w:rsidRPr="004676F5" w:rsidRDefault="00A56641" w:rsidP="00A56641">
      <w:pPr>
        <w:jc w:val="both"/>
        <w:rPr>
          <w:lang w:val="de-DE"/>
        </w:rPr>
      </w:pPr>
      <w:r w:rsidRPr="004676F5">
        <w:rPr>
          <w:lang w:val="de-DE"/>
        </w:rPr>
        <w:tab/>
        <w:t>3. Der Dienstleistungserbringer legt Informationen vor, die belegen, dass bei der Dienstleistungserbringung und ihrer Überwachung gewährleistet wird, dass die Dienstleistung die Anforderungen gemäß Nr. 1 und die anwendbaren Anforderungen der Richtlinie (EU) 2019/882 erfüllt.</w:t>
      </w:r>
    </w:p>
    <w:p w14:paraId="6CE1EEE1" w14:textId="77777777" w:rsidR="00A56641" w:rsidRPr="004676F5" w:rsidRDefault="00A56641" w:rsidP="00A56641">
      <w:pPr>
        <w:jc w:val="both"/>
        <w:rPr>
          <w:lang w:val="de-DE"/>
        </w:rPr>
      </w:pPr>
      <w:r w:rsidRPr="004676F5">
        <w:rPr>
          <w:lang w:val="de-DE"/>
        </w:rPr>
        <w:br w:type="page"/>
      </w:r>
    </w:p>
    <w:p w14:paraId="2F338D1E" w14:textId="192D0030" w:rsidR="00A56641" w:rsidRPr="004676F5" w:rsidRDefault="00A56641" w:rsidP="00A56641">
      <w:pPr>
        <w:jc w:val="center"/>
        <w:rPr>
          <w:bCs/>
          <w:lang w:val="de-DE"/>
        </w:rPr>
      </w:pPr>
      <w:r w:rsidRPr="004676F5">
        <w:rPr>
          <w:bCs/>
          <w:lang w:val="de-DE"/>
        </w:rPr>
        <w:lastRenderedPageBreak/>
        <w:t>[</w:t>
      </w:r>
      <w:r w:rsidRPr="004676F5">
        <w:rPr>
          <w:b/>
          <w:lang w:val="de-DE"/>
        </w:rPr>
        <w:t>Anlage 3</w:t>
      </w:r>
      <w:r w:rsidRPr="004676F5">
        <w:rPr>
          <w:bCs/>
          <w:lang w:val="de-DE"/>
        </w:rPr>
        <w:t>]</w:t>
      </w:r>
    </w:p>
    <w:p w14:paraId="67B97B42" w14:textId="77777777" w:rsidR="00A56641" w:rsidRPr="004676F5" w:rsidRDefault="00A56641" w:rsidP="00A56641">
      <w:pPr>
        <w:jc w:val="center"/>
        <w:rPr>
          <w:bCs/>
          <w:lang w:val="de-DE"/>
        </w:rPr>
      </w:pPr>
    </w:p>
    <w:p w14:paraId="51BA7821" w14:textId="3BA8B99D" w:rsidR="00A56641" w:rsidRPr="004676F5" w:rsidRDefault="00A56641" w:rsidP="00A56641">
      <w:pPr>
        <w:jc w:val="both"/>
        <w:rPr>
          <w:bCs/>
          <w:i/>
          <w:iCs/>
          <w:lang w:val="de-DE"/>
        </w:rPr>
      </w:pPr>
      <w:r w:rsidRPr="004676F5">
        <w:rPr>
          <w:bCs/>
          <w:i/>
          <w:iCs/>
          <w:lang w:val="de-DE"/>
        </w:rPr>
        <w:t>[Anlage 3 eingefügt durch Art. 23 des G. vom 5. November 2023</w:t>
      </w:r>
      <w:r w:rsidR="00AA0B2E" w:rsidRPr="004676F5">
        <w:rPr>
          <w:bCs/>
          <w:i/>
          <w:iCs/>
          <w:lang w:val="de-DE"/>
        </w:rPr>
        <w:t> </w:t>
      </w:r>
      <w:r w:rsidR="003454B3" w:rsidRPr="004676F5">
        <w:rPr>
          <w:bCs/>
          <w:i/>
          <w:iCs/>
          <w:lang w:val="de-DE"/>
        </w:rPr>
        <w:t xml:space="preserve">(II) </w:t>
      </w:r>
      <w:r w:rsidRPr="004676F5">
        <w:rPr>
          <w:bCs/>
          <w:i/>
          <w:iCs/>
          <w:lang w:val="de-DE"/>
        </w:rPr>
        <w:t>(B.S. vom 28. November 2023)]</w:t>
      </w:r>
    </w:p>
    <w:p w14:paraId="62EBE991" w14:textId="77777777" w:rsidR="00A56641" w:rsidRPr="004676F5" w:rsidRDefault="00A56641" w:rsidP="00A56641">
      <w:pPr>
        <w:jc w:val="both"/>
        <w:rPr>
          <w:lang w:val="de-DE"/>
        </w:rPr>
      </w:pPr>
    </w:p>
    <w:p w14:paraId="0F6C420F" w14:textId="70E771DE" w:rsidR="00A56641" w:rsidRPr="004676F5" w:rsidRDefault="00A56641" w:rsidP="00A56641">
      <w:pPr>
        <w:jc w:val="center"/>
        <w:rPr>
          <w:b/>
          <w:bCs/>
          <w:lang w:val="de-DE"/>
        </w:rPr>
      </w:pPr>
      <w:r w:rsidRPr="004676F5">
        <w:rPr>
          <w:b/>
          <w:lang w:val="de-DE"/>
        </w:rPr>
        <w:t>Kriterien zur Beurteilung der unverhältnismäßigen Belastung</w:t>
      </w:r>
    </w:p>
    <w:p w14:paraId="472EFFE2" w14:textId="77777777" w:rsidR="00A56641" w:rsidRPr="004676F5" w:rsidRDefault="00A56641" w:rsidP="00A56641">
      <w:pPr>
        <w:jc w:val="both"/>
        <w:rPr>
          <w:lang w:val="de-DE"/>
        </w:rPr>
      </w:pPr>
    </w:p>
    <w:p w14:paraId="711B510C" w14:textId="77777777" w:rsidR="00A56641" w:rsidRPr="004676F5" w:rsidRDefault="00A56641" w:rsidP="00A56641">
      <w:pPr>
        <w:jc w:val="both"/>
        <w:rPr>
          <w:lang w:val="de-DE"/>
        </w:rPr>
      </w:pPr>
      <w:r w:rsidRPr="004676F5">
        <w:rPr>
          <w:lang w:val="de-DE"/>
        </w:rPr>
        <w:tab/>
        <w:t>Kriterien zur Vornahme und Dokumentation der Beurteilung:</w:t>
      </w:r>
    </w:p>
    <w:p w14:paraId="4001324B" w14:textId="77777777" w:rsidR="00A56641" w:rsidRPr="004676F5" w:rsidRDefault="00A56641" w:rsidP="00A56641">
      <w:pPr>
        <w:jc w:val="both"/>
        <w:rPr>
          <w:lang w:val="de-DE"/>
        </w:rPr>
      </w:pPr>
    </w:p>
    <w:p w14:paraId="08F347AF" w14:textId="77777777" w:rsidR="00A56641" w:rsidRPr="004676F5" w:rsidRDefault="00A56641" w:rsidP="00A56641">
      <w:pPr>
        <w:jc w:val="both"/>
        <w:rPr>
          <w:lang w:val="de-DE"/>
        </w:rPr>
      </w:pPr>
      <w:r w:rsidRPr="004676F5">
        <w:rPr>
          <w:lang w:val="de-DE"/>
        </w:rPr>
        <w:tab/>
        <w:t>1. Verhältnis der mit der Einhaltung der Barrierefreiheitsanforderungen verbundenen Nettokosten zu den Gesamtkosten (Betriebs- und Investitionsausgaben) der Herstellung, des Vertriebs oder der Einfuhr des Produkts bzw. der Erbringung der Dienstleistung für die Wirtschaftsakteure.</w:t>
      </w:r>
    </w:p>
    <w:p w14:paraId="7811AF48" w14:textId="77777777" w:rsidR="00A56641" w:rsidRPr="004676F5" w:rsidRDefault="00A56641" w:rsidP="00A56641">
      <w:pPr>
        <w:jc w:val="both"/>
        <w:rPr>
          <w:lang w:val="de-DE"/>
        </w:rPr>
      </w:pPr>
    </w:p>
    <w:p w14:paraId="597E4B86" w14:textId="77777777" w:rsidR="00A56641" w:rsidRPr="004676F5" w:rsidRDefault="00A56641" w:rsidP="00A56641">
      <w:pPr>
        <w:jc w:val="both"/>
        <w:rPr>
          <w:lang w:val="de-DE"/>
        </w:rPr>
      </w:pPr>
      <w:r w:rsidRPr="004676F5">
        <w:rPr>
          <w:lang w:val="de-DE"/>
        </w:rPr>
        <w:tab/>
        <w:t>Kriterien zur Beurteilung der mit der Einhaltung der Barrierefreiheitsanforderungen verbundenen Nettokosten:</w:t>
      </w:r>
    </w:p>
    <w:p w14:paraId="5D2442F2" w14:textId="77777777" w:rsidR="00A56641" w:rsidRPr="004676F5" w:rsidRDefault="00A56641" w:rsidP="00A56641">
      <w:pPr>
        <w:jc w:val="both"/>
        <w:rPr>
          <w:lang w:val="de-DE"/>
        </w:rPr>
      </w:pPr>
    </w:p>
    <w:p w14:paraId="53293400" w14:textId="77777777" w:rsidR="00A56641" w:rsidRPr="004676F5" w:rsidRDefault="00A56641" w:rsidP="00A56641">
      <w:pPr>
        <w:jc w:val="both"/>
        <w:rPr>
          <w:lang w:val="de-DE"/>
        </w:rPr>
      </w:pPr>
      <w:r w:rsidRPr="004676F5">
        <w:rPr>
          <w:i/>
          <w:lang w:val="de-DE"/>
        </w:rPr>
        <w:tab/>
      </w:r>
      <w:r w:rsidRPr="004676F5">
        <w:rPr>
          <w:lang w:val="de-DE"/>
        </w:rPr>
        <w:t>a) Kriterien in Bezug auf einmalige Organisationskosten, die in die Beurteilung einzubeziehen sind:</w:t>
      </w:r>
    </w:p>
    <w:p w14:paraId="6EBCC807" w14:textId="77777777" w:rsidR="00A56641" w:rsidRPr="004676F5" w:rsidRDefault="00A56641" w:rsidP="00A56641">
      <w:pPr>
        <w:jc w:val="both"/>
        <w:rPr>
          <w:lang w:val="de-DE"/>
        </w:rPr>
      </w:pPr>
    </w:p>
    <w:p w14:paraId="5B52A130" w14:textId="77777777" w:rsidR="00A56641" w:rsidRPr="004676F5" w:rsidRDefault="00A56641" w:rsidP="00A56641">
      <w:pPr>
        <w:jc w:val="both"/>
        <w:rPr>
          <w:lang w:val="de-DE"/>
        </w:rPr>
      </w:pPr>
      <w:r w:rsidRPr="004676F5">
        <w:rPr>
          <w:lang w:val="de-DE"/>
        </w:rPr>
        <w:tab/>
        <w:t>I) Kosten für zusätzliches Personal mit Fachkenntnissen im Bereich Barrierefreiheit,</w:t>
      </w:r>
    </w:p>
    <w:p w14:paraId="0BFE96F7" w14:textId="77777777" w:rsidR="00A56641" w:rsidRPr="004676F5" w:rsidRDefault="00A56641" w:rsidP="00A56641">
      <w:pPr>
        <w:jc w:val="both"/>
        <w:rPr>
          <w:lang w:val="de-DE"/>
        </w:rPr>
      </w:pPr>
    </w:p>
    <w:p w14:paraId="40F2441E" w14:textId="77777777" w:rsidR="00A56641" w:rsidRPr="004676F5" w:rsidRDefault="00A56641" w:rsidP="00A56641">
      <w:pPr>
        <w:jc w:val="both"/>
        <w:rPr>
          <w:lang w:val="de-DE"/>
        </w:rPr>
      </w:pPr>
      <w:r w:rsidRPr="004676F5">
        <w:rPr>
          <w:lang w:val="de-DE"/>
        </w:rPr>
        <w:tab/>
        <w:t>II) Kosten im Zusammenhang mit der Ausbildung von Personal und dem Erwerb von Kompetenzen im Bereich Barrierefreiheit,</w:t>
      </w:r>
    </w:p>
    <w:p w14:paraId="292C0A31" w14:textId="77777777" w:rsidR="00A56641" w:rsidRPr="004676F5" w:rsidRDefault="00A56641" w:rsidP="00A56641">
      <w:pPr>
        <w:jc w:val="both"/>
        <w:rPr>
          <w:lang w:val="de-DE"/>
        </w:rPr>
      </w:pPr>
    </w:p>
    <w:p w14:paraId="198FC4BB" w14:textId="77777777" w:rsidR="00A56641" w:rsidRPr="004676F5" w:rsidRDefault="00A56641" w:rsidP="00A56641">
      <w:pPr>
        <w:jc w:val="both"/>
        <w:rPr>
          <w:lang w:val="de-DE"/>
        </w:rPr>
      </w:pPr>
      <w:r w:rsidRPr="004676F5">
        <w:rPr>
          <w:lang w:val="de-DE"/>
        </w:rPr>
        <w:tab/>
        <w:t>III) Kosten für die Entwicklung eines neuen Prozesses zur Einbeziehung der Barrierefreiheit in die Erbringung von Dienstleistungen,</w:t>
      </w:r>
    </w:p>
    <w:p w14:paraId="3B7B05FD" w14:textId="77777777" w:rsidR="00A56641" w:rsidRPr="004676F5" w:rsidRDefault="00A56641" w:rsidP="00A56641">
      <w:pPr>
        <w:jc w:val="both"/>
        <w:rPr>
          <w:lang w:val="de-DE"/>
        </w:rPr>
      </w:pPr>
    </w:p>
    <w:p w14:paraId="79A17C65" w14:textId="77777777" w:rsidR="00A56641" w:rsidRPr="004676F5" w:rsidRDefault="00A56641" w:rsidP="00A56641">
      <w:pPr>
        <w:jc w:val="both"/>
        <w:rPr>
          <w:lang w:val="de-DE"/>
        </w:rPr>
      </w:pPr>
      <w:r w:rsidRPr="004676F5">
        <w:rPr>
          <w:lang w:val="de-DE"/>
        </w:rPr>
        <w:tab/>
        <w:t>IV) Kosten im Zusammenhang mit der Entwicklung von Leitfäden zur Barrierefreiheit,</w:t>
      </w:r>
    </w:p>
    <w:p w14:paraId="432E2574" w14:textId="77777777" w:rsidR="00A56641" w:rsidRPr="004676F5" w:rsidRDefault="00A56641" w:rsidP="00A56641">
      <w:pPr>
        <w:jc w:val="both"/>
        <w:rPr>
          <w:lang w:val="de-DE"/>
        </w:rPr>
      </w:pPr>
    </w:p>
    <w:p w14:paraId="5C5FA93B" w14:textId="77777777" w:rsidR="00A56641" w:rsidRPr="004676F5" w:rsidRDefault="00A56641" w:rsidP="00A56641">
      <w:pPr>
        <w:jc w:val="both"/>
        <w:rPr>
          <w:lang w:val="de-DE"/>
        </w:rPr>
      </w:pPr>
      <w:r w:rsidRPr="004676F5">
        <w:rPr>
          <w:lang w:val="de-DE"/>
        </w:rPr>
        <w:tab/>
        <w:t>V) einmalige Kosten, um sich mit der Rechtslage zur Barrierefreiheit vertraut zu machen,</w:t>
      </w:r>
    </w:p>
    <w:p w14:paraId="5CEC3152" w14:textId="77777777" w:rsidR="00A56641" w:rsidRPr="004676F5" w:rsidRDefault="00A56641" w:rsidP="00A56641">
      <w:pPr>
        <w:jc w:val="both"/>
        <w:rPr>
          <w:lang w:val="de-DE"/>
        </w:rPr>
      </w:pPr>
    </w:p>
    <w:p w14:paraId="6C2CFE6A" w14:textId="77777777" w:rsidR="00A56641" w:rsidRPr="004676F5" w:rsidRDefault="00A56641" w:rsidP="00A56641">
      <w:pPr>
        <w:jc w:val="both"/>
        <w:rPr>
          <w:lang w:val="de-DE"/>
        </w:rPr>
      </w:pPr>
      <w:r w:rsidRPr="004676F5">
        <w:rPr>
          <w:lang w:val="de-DE"/>
        </w:rPr>
        <w:tab/>
        <w:t>b) Kriterien in Bezug auf laufende Kosten für Produktion und Entwicklung, die in die Beurteilung einzubeziehen sind:</w:t>
      </w:r>
    </w:p>
    <w:p w14:paraId="15290A5E" w14:textId="77777777" w:rsidR="00A56641" w:rsidRPr="004676F5" w:rsidRDefault="00A56641" w:rsidP="00A56641">
      <w:pPr>
        <w:jc w:val="both"/>
        <w:rPr>
          <w:lang w:val="de-DE"/>
        </w:rPr>
      </w:pPr>
    </w:p>
    <w:p w14:paraId="627F7450" w14:textId="77777777" w:rsidR="00A56641" w:rsidRPr="004676F5" w:rsidRDefault="00A56641" w:rsidP="00A56641">
      <w:pPr>
        <w:jc w:val="both"/>
        <w:rPr>
          <w:lang w:val="de-DE"/>
        </w:rPr>
      </w:pPr>
      <w:r w:rsidRPr="004676F5">
        <w:rPr>
          <w:lang w:val="de-DE"/>
        </w:rPr>
        <w:tab/>
        <w:t>I) Kosten im Zusammenhang mit der Planung und Auslegung von Barrierefreiheits</w:t>
      </w:r>
      <w:r w:rsidRPr="004676F5">
        <w:rPr>
          <w:lang w:val="de-DE"/>
        </w:rPr>
        <w:softHyphen/>
        <w:t>funktionen der Dienstleistung,</w:t>
      </w:r>
    </w:p>
    <w:p w14:paraId="4E9E1BCB" w14:textId="77777777" w:rsidR="00A56641" w:rsidRPr="004676F5" w:rsidRDefault="00A56641" w:rsidP="00A56641">
      <w:pPr>
        <w:jc w:val="both"/>
        <w:rPr>
          <w:lang w:val="de-DE"/>
        </w:rPr>
      </w:pPr>
    </w:p>
    <w:p w14:paraId="229D28D1" w14:textId="77777777" w:rsidR="00A56641" w:rsidRPr="004676F5" w:rsidRDefault="00A56641" w:rsidP="00A56641">
      <w:pPr>
        <w:jc w:val="both"/>
        <w:rPr>
          <w:lang w:val="de-DE"/>
        </w:rPr>
      </w:pPr>
      <w:r w:rsidRPr="004676F5">
        <w:rPr>
          <w:lang w:val="de-DE"/>
        </w:rPr>
        <w:tab/>
        <w:t>II) im Rahmen der Produktionsprozesse entstehende Kosten,</w:t>
      </w:r>
    </w:p>
    <w:p w14:paraId="0233AD40" w14:textId="77777777" w:rsidR="00A56641" w:rsidRPr="004676F5" w:rsidRDefault="00A56641" w:rsidP="00A56641">
      <w:pPr>
        <w:jc w:val="both"/>
        <w:rPr>
          <w:lang w:val="de-DE"/>
        </w:rPr>
      </w:pPr>
    </w:p>
    <w:p w14:paraId="138A2321" w14:textId="77777777" w:rsidR="00A56641" w:rsidRPr="004676F5" w:rsidRDefault="00A56641" w:rsidP="00A56641">
      <w:pPr>
        <w:jc w:val="both"/>
        <w:rPr>
          <w:lang w:val="de-DE"/>
        </w:rPr>
      </w:pPr>
      <w:r w:rsidRPr="004676F5">
        <w:rPr>
          <w:lang w:val="de-DE"/>
        </w:rPr>
        <w:tab/>
        <w:t>III) Kosten im Zusammenhang mit der Prüfung der Dienstleistung unter dem Aspekt der Barrierefreiheit,</w:t>
      </w:r>
    </w:p>
    <w:p w14:paraId="35726948" w14:textId="77777777" w:rsidR="00A56641" w:rsidRPr="004676F5" w:rsidRDefault="00A56641" w:rsidP="00A56641">
      <w:pPr>
        <w:jc w:val="both"/>
        <w:rPr>
          <w:lang w:val="de-DE"/>
        </w:rPr>
      </w:pPr>
    </w:p>
    <w:p w14:paraId="013DB3CB" w14:textId="77777777" w:rsidR="00A56641" w:rsidRPr="004676F5" w:rsidRDefault="00A56641" w:rsidP="00A56641">
      <w:pPr>
        <w:jc w:val="both"/>
        <w:rPr>
          <w:lang w:val="de-DE"/>
        </w:rPr>
      </w:pPr>
      <w:r w:rsidRPr="004676F5">
        <w:rPr>
          <w:lang w:val="de-DE"/>
        </w:rPr>
        <w:tab/>
        <w:t>IV) Kosten im Zusammenhang mit der Erstellung der Dokumentation,</w:t>
      </w:r>
    </w:p>
    <w:p w14:paraId="372734E9" w14:textId="77777777" w:rsidR="00A56641" w:rsidRPr="004676F5" w:rsidRDefault="00A56641" w:rsidP="00A56641">
      <w:pPr>
        <w:jc w:val="both"/>
        <w:rPr>
          <w:lang w:val="de-DE"/>
        </w:rPr>
      </w:pPr>
    </w:p>
    <w:p w14:paraId="76259107" w14:textId="77777777" w:rsidR="00A56641" w:rsidRPr="004676F5" w:rsidRDefault="00A56641" w:rsidP="00A56641">
      <w:pPr>
        <w:jc w:val="both"/>
        <w:rPr>
          <w:lang w:val="de-DE"/>
        </w:rPr>
      </w:pPr>
      <w:r w:rsidRPr="004676F5">
        <w:rPr>
          <w:lang w:val="de-DE"/>
        </w:rPr>
        <w:tab/>
        <w:t>2. Geschätzte Kosten und Vorteile für die Wirtschaftsakteure, einschließlich Produktionsprozessen und Investitionen, im Verhältnis zu dem geschätzten Nutzen für Menschen mit Behinderungen, wobei die Anzahl der Nutzungen und die Nutzungshäufigkeit der betreffenden Dienstleistung zu berücksichtigen sind,</w:t>
      </w:r>
    </w:p>
    <w:p w14:paraId="1A39C2AA" w14:textId="77777777" w:rsidR="00A56641" w:rsidRPr="004676F5" w:rsidRDefault="00A56641" w:rsidP="00A56641">
      <w:pPr>
        <w:jc w:val="both"/>
        <w:rPr>
          <w:lang w:val="de-DE"/>
        </w:rPr>
      </w:pPr>
    </w:p>
    <w:p w14:paraId="34EDB6D2" w14:textId="77777777" w:rsidR="00A56641" w:rsidRPr="004676F5" w:rsidRDefault="00A56641" w:rsidP="00A56641">
      <w:pPr>
        <w:jc w:val="both"/>
        <w:rPr>
          <w:lang w:val="de-DE"/>
        </w:rPr>
      </w:pPr>
      <w:r w:rsidRPr="004676F5">
        <w:rPr>
          <w:lang w:val="de-DE"/>
        </w:rPr>
        <w:lastRenderedPageBreak/>
        <w:tab/>
        <w:t>3. Verhältnis der mit der Einhaltung der Barrierefreiheitsanforderungen verbundenen Nettokosten zum Nettoumsatz des Wirtschaftsakteurs.</w:t>
      </w:r>
    </w:p>
    <w:p w14:paraId="1E8B5F92" w14:textId="77777777" w:rsidR="00A56641" w:rsidRPr="004676F5" w:rsidRDefault="00A56641" w:rsidP="00A56641">
      <w:pPr>
        <w:jc w:val="both"/>
        <w:rPr>
          <w:lang w:val="de-DE"/>
        </w:rPr>
      </w:pPr>
    </w:p>
    <w:p w14:paraId="63DE303D" w14:textId="77777777" w:rsidR="00A56641" w:rsidRPr="004676F5" w:rsidRDefault="00A56641" w:rsidP="00A56641">
      <w:pPr>
        <w:jc w:val="both"/>
        <w:rPr>
          <w:lang w:val="de-DE"/>
        </w:rPr>
      </w:pPr>
      <w:r w:rsidRPr="004676F5">
        <w:rPr>
          <w:lang w:val="de-DE"/>
        </w:rPr>
        <w:tab/>
        <w:t>Kriterien zur Beurteilung der mit der Einhaltung der Barrierefreiheitsanforderungen verbundenen Nettokosten:</w:t>
      </w:r>
    </w:p>
    <w:p w14:paraId="5DED89F2" w14:textId="77777777" w:rsidR="00A56641" w:rsidRPr="004676F5" w:rsidRDefault="00A56641" w:rsidP="00A56641">
      <w:pPr>
        <w:jc w:val="both"/>
        <w:rPr>
          <w:lang w:val="de-DE"/>
        </w:rPr>
      </w:pPr>
    </w:p>
    <w:p w14:paraId="7CD1F76E" w14:textId="77777777" w:rsidR="00A56641" w:rsidRPr="004676F5" w:rsidRDefault="00A56641" w:rsidP="00A56641">
      <w:pPr>
        <w:jc w:val="both"/>
        <w:rPr>
          <w:lang w:val="de-DE"/>
        </w:rPr>
      </w:pPr>
      <w:r w:rsidRPr="004676F5">
        <w:rPr>
          <w:i/>
          <w:lang w:val="de-DE"/>
        </w:rPr>
        <w:tab/>
      </w:r>
      <w:r w:rsidRPr="004676F5">
        <w:rPr>
          <w:lang w:val="de-DE"/>
        </w:rPr>
        <w:t>a) Kriterien in Bezug auf einmalige Organisationskosten, die in die Beurteilung einzubeziehen sind:</w:t>
      </w:r>
    </w:p>
    <w:p w14:paraId="1E0E3418" w14:textId="77777777" w:rsidR="00A56641" w:rsidRPr="004676F5" w:rsidRDefault="00A56641" w:rsidP="00A56641">
      <w:pPr>
        <w:jc w:val="both"/>
        <w:rPr>
          <w:lang w:val="de-DE"/>
        </w:rPr>
      </w:pPr>
    </w:p>
    <w:p w14:paraId="21F13D62" w14:textId="77777777" w:rsidR="00A56641" w:rsidRPr="004676F5" w:rsidRDefault="00A56641" w:rsidP="00A56641">
      <w:pPr>
        <w:jc w:val="both"/>
        <w:rPr>
          <w:lang w:val="de-DE"/>
        </w:rPr>
      </w:pPr>
      <w:r w:rsidRPr="004676F5">
        <w:rPr>
          <w:lang w:val="de-DE"/>
        </w:rPr>
        <w:tab/>
        <w:t>I) Kosten für zusätzliches Personal mit Fachkenntnissen im Bereich Barrierefreiheit,</w:t>
      </w:r>
    </w:p>
    <w:p w14:paraId="3ECCA913" w14:textId="77777777" w:rsidR="00A56641" w:rsidRPr="004676F5" w:rsidRDefault="00A56641" w:rsidP="00A56641">
      <w:pPr>
        <w:jc w:val="both"/>
        <w:rPr>
          <w:lang w:val="de-DE"/>
        </w:rPr>
      </w:pPr>
    </w:p>
    <w:p w14:paraId="4C7F1AE3" w14:textId="77777777" w:rsidR="00A56641" w:rsidRPr="004676F5" w:rsidRDefault="00A56641" w:rsidP="00A56641">
      <w:pPr>
        <w:jc w:val="both"/>
        <w:rPr>
          <w:lang w:val="de-DE"/>
        </w:rPr>
      </w:pPr>
      <w:r w:rsidRPr="004676F5">
        <w:rPr>
          <w:lang w:val="de-DE"/>
        </w:rPr>
        <w:tab/>
        <w:t>II) Kosten im Zusammenhang mit der Ausbildung von Personal und dem Erwerb von Kompetenzen im Bereich Barrierefreiheit,</w:t>
      </w:r>
    </w:p>
    <w:p w14:paraId="43376044" w14:textId="77777777" w:rsidR="00A56641" w:rsidRPr="004676F5" w:rsidRDefault="00A56641" w:rsidP="00A56641">
      <w:pPr>
        <w:jc w:val="both"/>
        <w:rPr>
          <w:lang w:val="de-DE"/>
        </w:rPr>
      </w:pPr>
    </w:p>
    <w:p w14:paraId="3E74D676" w14:textId="77777777" w:rsidR="00A56641" w:rsidRPr="004676F5" w:rsidRDefault="00A56641" w:rsidP="00A56641">
      <w:pPr>
        <w:jc w:val="both"/>
        <w:rPr>
          <w:lang w:val="de-DE"/>
        </w:rPr>
      </w:pPr>
      <w:r w:rsidRPr="004676F5">
        <w:rPr>
          <w:lang w:val="de-DE"/>
        </w:rPr>
        <w:tab/>
        <w:t>III) Kosten für die Entwicklung eines neuen Prozesses zur Einbeziehung der Barrierefreiheit in die Erbringung von Dienstleistungen,</w:t>
      </w:r>
    </w:p>
    <w:p w14:paraId="23544AD4" w14:textId="77777777" w:rsidR="00A56641" w:rsidRPr="004676F5" w:rsidRDefault="00A56641" w:rsidP="00A56641">
      <w:pPr>
        <w:jc w:val="both"/>
        <w:rPr>
          <w:lang w:val="de-DE"/>
        </w:rPr>
      </w:pPr>
    </w:p>
    <w:p w14:paraId="73C7784F" w14:textId="77777777" w:rsidR="00A56641" w:rsidRPr="004676F5" w:rsidRDefault="00A56641" w:rsidP="00A56641">
      <w:pPr>
        <w:jc w:val="both"/>
        <w:rPr>
          <w:lang w:val="de-DE"/>
        </w:rPr>
      </w:pPr>
      <w:r w:rsidRPr="004676F5">
        <w:rPr>
          <w:lang w:val="de-DE"/>
        </w:rPr>
        <w:tab/>
        <w:t>IV) Kosten im Zusammenhang mit der Entwicklung von Leitfäden zur Barrierefreiheit,</w:t>
      </w:r>
    </w:p>
    <w:p w14:paraId="465F71F9" w14:textId="77777777" w:rsidR="00A56641" w:rsidRPr="004676F5" w:rsidRDefault="00A56641" w:rsidP="00A56641">
      <w:pPr>
        <w:jc w:val="both"/>
        <w:rPr>
          <w:lang w:val="de-DE"/>
        </w:rPr>
      </w:pPr>
    </w:p>
    <w:p w14:paraId="56A44049" w14:textId="77777777" w:rsidR="00A56641" w:rsidRPr="004676F5" w:rsidRDefault="00A56641" w:rsidP="00A56641">
      <w:pPr>
        <w:jc w:val="both"/>
        <w:rPr>
          <w:lang w:val="de-DE"/>
        </w:rPr>
      </w:pPr>
      <w:r w:rsidRPr="004676F5">
        <w:rPr>
          <w:lang w:val="de-DE"/>
        </w:rPr>
        <w:tab/>
        <w:t>V) einmalige Kosten, um sich mit der Rechtslage zur Barrierefreiheit vertraut zu machen,</w:t>
      </w:r>
    </w:p>
    <w:p w14:paraId="764320C2" w14:textId="77777777" w:rsidR="00A56641" w:rsidRPr="004676F5" w:rsidRDefault="00A56641" w:rsidP="00A56641">
      <w:pPr>
        <w:jc w:val="both"/>
        <w:rPr>
          <w:lang w:val="de-DE"/>
        </w:rPr>
      </w:pPr>
    </w:p>
    <w:p w14:paraId="084CB66E" w14:textId="77777777" w:rsidR="00A56641" w:rsidRPr="004676F5" w:rsidRDefault="00A56641" w:rsidP="00A56641">
      <w:pPr>
        <w:jc w:val="both"/>
        <w:rPr>
          <w:lang w:val="de-DE"/>
        </w:rPr>
      </w:pPr>
      <w:r w:rsidRPr="004676F5">
        <w:rPr>
          <w:i/>
          <w:lang w:val="de-DE"/>
        </w:rPr>
        <w:tab/>
      </w:r>
      <w:r w:rsidRPr="004676F5">
        <w:rPr>
          <w:lang w:val="de-DE"/>
        </w:rPr>
        <w:t>b) Kriterien in Bezug auf laufende Kosten für Produktion und Entwicklung, die in die Beurteilung einzubeziehen sind:</w:t>
      </w:r>
    </w:p>
    <w:p w14:paraId="01FF487F" w14:textId="77777777" w:rsidR="00A56641" w:rsidRPr="004676F5" w:rsidRDefault="00A56641" w:rsidP="00A56641">
      <w:pPr>
        <w:jc w:val="both"/>
        <w:rPr>
          <w:lang w:val="de-DE"/>
        </w:rPr>
      </w:pPr>
    </w:p>
    <w:p w14:paraId="398CDBE5" w14:textId="77777777" w:rsidR="00A56641" w:rsidRPr="004676F5" w:rsidRDefault="00A56641" w:rsidP="00A56641">
      <w:pPr>
        <w:jc w:val="both"/>
        <w:rPr>
          <w:lang w:val="de-DE"/>
        </w:rPr>
      </w:pPr>
      <w:r w:rsidRPr="004676F5">
        <w:rPr>
          <w:lang w:val="de-DE"/>
        </w:rPr>
        <w:tab/>
        <w:t>I) Kosten im Zusammenhang mit der Planung und Auslegung von Barrierefreiheits</w:t>
      </w:r>
      <w:r w:rsidRPr="004676F5">
        <w:rPr>
          <w:lang w:val="de-DE"/>
        </w:rPr>
        <w:softHyphen/>
        <w:t>funktionen der Dienstleistung,</w:t>
      </w:r>
    </w:p>
    <w:p w14:paraId="6BDCBD07" w14:textId="77777777" w:rsidR="00A56641" w:rsidRPr="004676F5" w:rsidRDefault="00A56641" w:rsidP="00A56641">
      <w:pPr>
        <w:jc w:val="both"/>
        <w:rPr>
          <w:lang w:val="de-DE"/>
        </w:rPr>
      </w:pPr>
    </w:p>
    <w:p w14:paraId="0E4CA869" w14:textId="77777777" w:rsidR="00A56641" w:rsidRPr="004676F5" w:rsidRDefault="00A56641" w:rsidP="00A56641">
      <w:pPr>
        <w:jc w:val="both"/>
        <w:rPr>
          <w:lang w:val="de-DE"/>
        </w:rPr>
      </w:pPr>
      <w:r w:rsidRPr="004676F5">
        <w:rPr>
          <w:lang w:val="de-DE"/>
        </w:rPr>
        <w:tab/>
        <w:t>II) Kosten im Zusammenhang mit der Prüfung der Dienstleistung unter dem Aspekt der Barrierefreiheit,</w:t>
      </w:r>
    </w:p>
    <w:p w14:paraId="2DE58928" w14:textId="77777777" w:rsidR="00A56641" w:rsidRPr="004676F5" w:rsidRDefault="00A56641" w:rsidP="00A56641">
      <w:pPr>
        <w:jc w:val="both"/>
        <w:rPr>
          <w:lang w:val="de-DE"/>
        </w:rPr>
      </w:pPr>
    </w:p>
    <w:p w14:paraId="59CB822C" w14:textId="77777777" w:rsidR="00A56641" w:rsidRPr="004676F5" w:rsidRDefault="00A56641" w:rsidP="00A56641">
      <w:pPr>
        <w:jc w:val="both"/>
        <w:rPr>
          <w:lang w:val="de-DE"/>
        </w:rPr>
      </w:pPr>
      <w:r w:rsidRPr="004676F5">
        <w:rPr>
          <w:lang w:val="de-DE"/>
        </w:rPr>
        <w:tab/>
        <w:t>III) Kosten im Zusammenhang mit der Erstellung der Dokumentation.</w:t>
      </w:r>
    </w:p>
    <w:p w14:paraId="6F4DA620" w14:textId="77777777" w:rsidR="00A56641" w:rsidRPr="004676F5" w:rsidRDefault="00A56641" w:rsidP="00A56641">
      <w:pPr>
        <w:jc w:val="both"/>
        <w:rPr>
          <w:lang w:val="de-DE"/>
        </w:rPr>
      </w:pPr>
      <w:r w:rsidRPr="004676F5">
        <w:rPr>
          <w:lang w:val="de-DE"/>
        </w:rPr>
        <w:br w:type="page"/>
      </w:r>
    </w:p>
    <w:p w14:paraId="69636C89" w14:textId="7265E907" w:rsidR="00A56641" w:rsidRPr="004676F5" w:rsidRDefault="00A56641" w:rsidP="00A56641">
      <w:pPr>
        <w:jc w:val="center"/>
        <w:rPr>
          <w:bCs/>
          <w:lang w:val="de-DE"/>
        </w:rPr>
      </w:pPr>
      <w:r w:rsidRPr="004676F5">
        <w:rPr>
          <w:bCs/>
          <w:lang w:val="de-DE"/>
        </w:rPr>
        <w:lastRenderedPageBreak/>
        <w:t>[</w:t>
      </w:r>
      <w:r w:rsidRPr="004676F5">
        <w:rPr>
          <w:b/>
          <w:lang w:val="de-DE"/>
        </w:rPr>
        <w:t>Anlage 4</w:t>
      </w:r>
      <w:r w:rsidRPr="004676F5">
        <w:rPr>
          <w:bCs/>
          <w:lang w:val="de-DE"/>
        </w:rPr>
        <w:t>]</w:t>
      </w:r>
    </w:p>
    <w:p w14:paraId="2647BAC2" w14:textId="77777777" w:rsidR="00A56641" w:rsidRPr="004676F5" w:rsidRDefault="00A56641" w:rsidP="00A56641">
      <w:pPr>
        <w:jc w:val="center"/>
        <w:rPr>
          <w:bCs/>
          <w:lang w:val="de-DE"/>
        </w:rPr>
      </w:pPr>
    </w:p>
    <w:p w14:paraId="28D4690A" w14:textId="4A521F77" w:rsidR="00A56641" w:rsidRPr="004676F5" w:rsidRDefault="00A56641" w:rsidP="00A56641">
      <w:pPr>
        <w:jc w:val="both"/>
        <w:rPr>
          <w:bCs/>
          <w:i/>
          <w:iCs/>
          <w:lang w:val="de-DE"/>
        </w:rPr>
      </w:pPr>
      <w:r w:rsidRPr="004676F5">
        <w:rPr>
          <w:bCs/>
          <w:i/>
          <w:iCs/>
          <w:lang w:val="de-DE"/>
        </w:rPr>
        <w:t>[Anlage 4 eingefügt durch Art. 23 des G. vom 5. November 2023</w:t>
      </w:r>
      <w:r w:rsidR="00AA0B2E" w:rsidRPr="004676F5">
        <w:rPr>
          <w:bCs/>
          <w:i/>
          <w:iCs/>
          <w:lang w:val="de-DE"/>
        </w:rPr>
        <w:t> </w:t>
      </w:r>
      <w:r w:rsidR="003454B3" w:rsidRPr="004676F5">
        <w:rPr>
          <w:bCs/>
          <w:i/>
          <w:iCs/>
          <w:lang w:val="de-DE"/>
        </w:rPr>
        <w:t>(II)</w:t>
      </w:r>
      <w:r w:rsidRPr="004676F5">
        <w:rPr>
          <w:bCs/>
          <w:i/>
          <w:iCs/>
          <w:lang w:val="de-DE"/>
        </w:rPr>
        <w:t xml:space="preserve"> (B.S. vom 28. November 2023)]</w:t>
      </w:r>
    </w:p>
    <w:p w14:paraId="4F8C5EB2" w14:textId="77777777" w:rsidR="00A56641" w:rsidRPr="004676F5" w:rsidRDefault="00A56641" w:rsidP="00A56641">
      <w:pPr>
        <w:jc w:val="both"/>
        <w:rPr>
          <w:lang w:val="de-DE"/>
        </w:rPr>
      </w:pPr>
    </w:p>
    <w:p w14:paraId="5719BEDC" w14:textId="5D7005C9" w:rsidR="00A56641" w:rsidRPr="004676F5" w:rsidRDefault="00A56641" w:rsidP="00A56641">
      <w:pPr>
        <w:jc w:val="center"/>
        <w:rPr>
          <w:b/>
          <w:bCs/>
          <w:lang w:val="de-DE"/>
        </w:rPr>
      </w:pPr>
      <w:r w:rsidRPr="004676F5">
        <w:rPr>
          <w:b/>
          <w:lang w:val="de-DE"/>
        </w:rPr>
        <w:t>Indikative unverbindliche Beispiele möglicher Lösungen, die zur Erfüllung der Barrierefreiheitsanforderungen in Anlage 1 beitragen</w:t>
      </w:r>
    </w:p>
    <w:p w14:paraId="11BBE2DA" w14:textId="77777777" w:rsidR="00A56641" w:rsidRPr="004676F5" w:rsidRDefault="00A56641" w:rsidP="00A56641">
      <w:pPr>
        <w:jc w:val="both"/>
        <w:rPr>
          <w:b/>
          <w:bCs/>
          <w:lang w:val="de-DE"/>
        </w:rPr>
      </w:pPr>
    </w:p>
    <w:p w14:paraId="6FFA925E" w14:textId="77777777" w:rsidR="00A56641" w:rsidRPr="004676F5" w:rsidRDefault="00A56641" w:rsidP="00A56641">
      <w:pPr>
        <w:jc w:val="both"/>
        <w:rPr>
          <w:lang w:val="de-DE"/>
        </w:rPr>
      </w:pPr>
    </w:p>
    <w:p w14:paraId="7ACE23CB" w14:textId="77777777" w:rsidR="00A56641" w:rsidRPr="004676F5" w:rsidRDefault="00A56641" w:rsidP="00A56641">
      <w:pPr>
        <w:jc w:val="center"/>
        <w:rPr>
          <w:b/>
          <w:bCs/>
          <w:lang w:val="de-DE"/>
        </w:rPr>
      </w:pPr>
      <w:r w:rsidRPr="004676F5">
        <w:rPr>
          <w:b/>
          <w:lang w:val="de-DE"/>
        </w:rPr>
        <w:t>Abschnitt 1</w:t>
      </w:r>
    </w:p>
    <w:p w14:paraId="5140287E" w14:textId="77777777" w:rsidR="00A56641" w:rsidRPr="004676F5" w:rsidRDefault="00A56641" w:rsidP="00A56641">
      <w:pPr>
        <w:jc w:val="both"/>
        <w:rPr>
          <w:lang w:val="de-DE"/>
        </w:rPr>
      </w:pPr>
    </w:p>
    <w:p w14:paraId="255E4C75" w14:textId="77777777" w:rsidR="00A56641" w:rsidRPr="004676F5" w:rsidRDefault="00A56641" w:rsidP="00A56641">
      <w:pPr>
        <w:jc w:val="center"/>
        <w:rPr>
          <w:i/>
          <w:iCs/>
          <w:lang w:val="de-DE"/>
        </w:rPr>
      </w:pPr>
      <w:r w:rsidRPr="004676F5">
        <w:rPr>
          <w:i/>
          <w:lang w:val="de-DE"/>
        </w:rPr>
        <w:t>Beispiele für allgemeine Barrierefreiheitsanforderungen für alle Dienstleistungen wie in Artikel VIII.58 erwähnt</w:t>
      </w:r>
    </w:p>
    <w:p w14:paraId="2DA7E073" w14:textId="77777777" w:rsidR="00A56641" w:rsidRPr="004676F5" w:rsidRDefault="00A56641" w:rsidP="00A56641">
      <w:pPr>
        <w:jc w:val="both"/>
        <w:rPr>
          <w:lang w:val="de-DE"/>
        </w:rPr>
      </w:pPr>
    </w:p>
    <w:p w14:paraId="1C5A5B3E" w14:textId="77777777" w:rsidR="00A56641" w:rsidRPr="004676F5" w:rsidRDefault="00A56641" w:rsidP="00A56641">
      <w:pPr>
        <w:jc w:val="both"/>
        <w:rPr>
          <w:lang w:val="de-DE"/>
        </w:rPr>
      </w:pPr>
      <w:r w:rsidRPr="004676F5">
        <w:rPr>
          <w:lang w:val="de-DE"/>
        </w:rPr>
        <w:tab/>
        <w:t xml:space="preserve">Anforderungen in Anlage 1 Abschnitt 1 </w:t>
      </w:r>
    </w:p>
    <w:p w14:paraId="516B2D98" w14:textId="77777777" w:rsidR="00A56641" w:rsidRPr="004676F5" w:rsidRDefault="00A56641" w:rsidP="00A56641">
      <w:pPr>
        <w:jc w:val="both"/>
        <w:rPr>
          <w:lang w:val="de-DE"/>
        </w:rPr>
      </w:pPr>
    </w:p>
    <w:p w14:paraId="17C0F26B" w14:textId="77777777" w:rsidR="00A56641" w:rsidRPr="004676F5" w:rsidRDefault="00A56641" w:rsidP="00A56641">
      <w:pPr>
        <w:jc w:val="both"/>
        <w:rPr>
          <w:lang w:val="de-DE"/>
        </w:rPr>
      </w:pPr>
      <w:r w:rsidRPr="004676F5">
        <w:rPr>
          <w:lang w:val="de-DE"/>
        </w:rPr>
        <w:tab/>
        <w:t>Erbringung von Dienstleistungen</w:t>
      </w:r>
    </w:p>
    <w:p w14:paraId="6020B050" w14:textId="77777777" w:rsidR="00A56641" w:rsidRPr="004676F5" w:rsidRDefault="00A56641" w:rsidP="00A56641">
      <w:pPr>
        <w:jc w:val="both"/>
        <w:rPr>
          <w:lang w:val="de-DE"/>
        </w:rPr>
      </w:pPr>
    </w:p>
    <w:p w14:paraId="6118C4CD" w14:textId="77777777" w:rsidR="00A56641" w:rsidRPr="004676F5" w:rsidRDefault="00A56641" w:rsidP="00A56641">
      <w:pPr>
        <w:jc w:val="both"/>
        <w:rPr>
          <w:lang w:val="de-DE"/>
        </w:rPr>
      </w:pPr>
      <w:r w:rsidRPr="004676F5">
        <w:rPr>
          <w:lang w:val="de-DE"/>
        </w:rPr>
        <w:tab/>
        <w:t>1. Kein Beispiel angegeben.</w:t>
      </w:r>
    </w:p>
    <w:p w14:paraId="0E42E137" w14:textId="77777777" w:rsidR="00A56641" w:rsidRPr="004676F5" w:rsidRDefault="00A56641" w:rsidP="00A56641">
      <w:pPr>
        <w:jc w:val="both"/>
        <w:rPr>
          <w:lang w:val="de-DE"/>
        </w:rPr>
      </w:pPr>
    </w:p>
    <w:p w14:paraId="36C6AE4F" w14:textId="77777777" w:rsidR="00A56641" w:rsidRPr="004676F5" w:rsidRDefault="00A56641" w:rsidP="00A56641">
      <w:pPr>
        <w:jc w:val="both"/>
        <w:rPr>
          <w:lang w:val="de-DE"/>
        </w:rPr>
      </w:pPr>
      <w:r w:rsidRPr="004676F5">
        <w:rPr>
          <w:lang w:val="de-DE"/>
        </w:rPr>
        <w:tab/>
        <w:t>2.</w:t>
      </w:r>
    </w:p>
    <w:p w14:paraId="7F19D06E" w14:textId="77777777" w:rsidR="00A56641" w:rsidRPr="004676F5" w:rsidRDefault="00A56641" w:rsidP="00A56641">
      <w:pPr>
        <w:jc w:val="both"/>
        <w:rPr>
          <w:lang w:val="de-DE"/>
        </w:rPr>
      </w:pPr>
    </w:p>
    <w:p w14:paraId="1C5E13F5" w14:textId="77777777" w:rsidR="00A56641" w:rsidRPr="004676F5" w:rsidRDefault="00A56641" w:rsidP="00A56641">
      <w:pPr>
        <w:jc w:val="both"/>
        <w:rPr>
          <w:lang w:val="de-DE"/>
        </w:rPr>
      </w:pPr>
      <w:r w:rsidRPr="004676F5">
        <w:rPr>
          <w:i/>
          <w:lang w:val="de-DE"/>
        </w:rPr>
        <w:tab/>
      </w:r>
      <w:r w:rsidRPr="004676F5">
        <w:rPr>
          <w:lang w:val="de-DE"/>
        </w:rPr>
        <w:t>a) Bereitstellung elektronischer Dateien, die über einen Computer mit Screenreader vorgelesen werden können, sodass blinde Menschen diese Informationen nutzen können.</w:t>
      </w:r>
    </w:p>
    <w:p w14:paraId="60306B8E" w14:textId="77777777" w:rsidR="00A56641" w:rsidRPr="004676F5" w:rsidRDefault="00A56641" w:rsidP="00A56641">
      <w:pPr>
        <w:jc w:val="both"/>
        <w:rPr>
          <w:lang w:val="de-DE"/>
        </w:rPr>
      </w:pPr>
    </w:p>
    <w:p w14:paraId="3C9B005A" w14:textId="77777777" w:rsidR="00A56641" w:rsidRPr="004676F5" w:rsidRDefault="00A56641" w:rsidP="00A56641">
      <w:pPr>
        <w:jc w:val="both"/>
        <w:rPr>
          <w:lang w:val="de-DE"/>
        </w:rPr>
      </w:pPr>
      <w:r w:rsidRPr="004676F5">
        <w:rPr>
          <w:i/>
          <w:lang w:val="de-DE"/>
        </w:rPr>
        <w:tab/>
      </w:r>
      <w:r w:rsidRPr="004676F5">
        <w:rPr>
          <w:lang w:val="de-DE"/>
        </w:rPr>
        <w:t>b) Konsequente bzw. klar und logisch strukturierte Verwendung derselben Begriffe, sodass Menschen, die eine geistige Beeinträchtigung haben, sie besser verstehen können.</w:t>
      </w:r>
    </w:p>
    <w:p w14:paraId="21694767" w14:textId="77777777" w:rsidR="00A56641" w:rsidRPr="004676F5" w:rsidRDefault="00A56641" w:rsidP="00A56641">
      <w:pPr>
        <w:jc w:val="both"/>
        <w:rPr>
          <w:lang w:val="de-DE"/>
        </w:rPr>
      </w:pPr>
    </w:p>
    <w:p w14:paraId="5EE4F190" w14:textId="77777777" w:rsidR="00A56641" w:rsidRPr="004676F5" w:rsidRDefault="00A56641" w:rsidP="00A56641">
      <w:pPr>
        <w:jc w:val="both"/>
        <w:rPr>
          <w:lang w:val="de-DE"/>
        </w:rPr>
      </w:pPr>
      <w:r w:rsidRPr="004676F5">
        <w:rPr>
          <w:i/>
          <w:lang w:val="de-DE"/>
        </w:rPr>
        <w:tab/>
      </w:r>
      <w:r w:rsidRPr="004676F5">
        <w:rPr>
          <w:lang w:val="de-DE"/>
        </w:rPr>
        <w:t>c) Bereitstellung einer Untertitelung von Anleitungsvideos.</w:t>
      </w:r>
    </w:p>
    <w:p w14:paraId="10141588" w14:textId="77777777" w:rsidR="00A56641" w:rsidRPr="004676F5" w:rsidRDefault="00A56641" w:rsidP="00A56641">
      <w:pPr>
        <w:jc w:val="both"/>
        <w:rPr>
          <w:lang w:val="de-DE"/>
        </w:rPr>
      </w:pPr>
    </w:p>
    <w:p w14:paraId="6D8AAB51" w14:textId="77777777" w:rsidR="00A56641" w:rsidRPr="004676F5" w:rsidRDefault="00A56641" w:rsidP="00A56641">
      <w:pPr>
        <w:jc w:val="both"/>
        <w:rPr>
          <w:lang w:val="de-DE"/>
        </w:rPr>
      </w:pPr>
      <w:r w:rsidRPr="004676F5">
        <w:rPr>
          <w:i/>
          <w:lang w:val="de-DE"/>
        </w:rPr>
        <w:tab/>
      </w:r>
      <w:r w:rsidRPr="004676F5">
        <w:rPr>
          <w:lang w:val="de-DE"/>
        </w:rPr>
        <w:t>d) Vorsehen des Ausdrucks einer Datei in Braille-Schrift, damit blinde Menschen sie nutzen können.</w:t>
      </w:r>
    </w:p>
    <w:p w14:paraId="7BDB2301" w14:textId="77777777" w:rsidR="00A56641" w:rsidRPr="004676F5" w:rsidRDefault="00A56641" w:rsidP="00A56641">
      <w:pPr>
        <w:jc w:val="both"/>
        <w:rPr>
          <w:lang w:val="de-DE"/>
        </w:rPr>
      </w:pPr>
    </w:p>
    <w:p w14:paraId="20DAE2D0" w14:textId="77777777" w:rsidR="00A56641" w:rsidRPr="004676F5" w:rsidRDefault="00A56641" w:rsidP="00A56641">
      <w:pPr>
        <w:jc w:val="both"/>
        <w:rPr>
          <w:lang w:val="de-DE"/>
        </w:rPr>
      </w:pPr>
      <w:r w:rsidRPr="004676F5">
        <w:rPr>
          <w:i/>
          <w:lang w:val="de-DE"/>
        </w:rPr>
        <w:tab/>
      </w:r>
      <w:r w:rsidRPr="004676F5">
        <w:rPr>
          <w:lang w:val="de-DE"/>
        </w:rPr>
        <w:t>e) Vorsehen, dass der Text für sehbehinderte Menschen lesbar ist.</w:t>
      </w:r>
    </w:p>
    <w:p w14:paraId="083C0C60" w14:textId="77777777" w:rsidR="00A56641" w:rsidRPr="004676F5" w:rsidRDefault="00A56641" w:rsidP="00A56641">
      <w:pPr>
        <w:jc w:val="both"/>
        <w:rPr>
          <w:lang w:val="de-DE"/>
        </w:rPr>
      </w:pPr>
    </w:p>
    <w:p w14:paraId="02B364F1" w14:textId="77777777" w:rsidR="00A56641" w:rsidRPr="004676F5" w:rsidRDefault="00A56641" w:rsidP="00A56641">
      <w:pPr>
        <w:jc w:val="both"/>
        <w:rPr>
          <w:lang w:val="de-DE"/>
        </w:rPr>
      </w:pPr>
      <w:r w:rsidRPr="004676F5">
        <w:rPr>
          <w:i/>
          <w:lang w:val="de-DE"/>
        </w:rPr>
        <w:tab/>
      </w:r>
      <w:r w:rsidRPr="004676F5">
        <w:rPr>
          <w:lang w:val="de-DE"/>
        </w:rPr>
        <w:t>f) Ergänzung eines Schaubilds durch eine Textbeschreibung, in der die wichtigsten Elemente genannt oder zentrale Vorgänge beschrieben werden.</w:t>
      </w:r>
    </w:p>
    <w:p w14:paraId="37342F84" w14:textId="77777777" w:rsidR="00A56641" w:rsidRPr="004676F5" w:rsidRDefault="00A56641" w:rsidP="00A56641">
      <w:pPr>
        <w:jc w:val="both"/>
        <w:rPr>
          <w:lang w:val="de-DE"/>
        </w:rPr>
      </w:pPr>
    </w:p>
    <w:p w14:paraId="680FBD1C" w14:textId="77777777" w:rsidR="00A56641" w:rsidRPr="004676F5" w:rsidRDefault="00A56641" w:rsidP="00A56641">
      <w:pPr>
        <w:jc w:val="both"/>
        <w:rPr>
          <w:lang w:val="de-DE"/>
        </w:rPr>
      </w:pPr>
      <w:r w:rsidRPr="004676F5">
        <w:rPr>
          <w:i/>
          <w:lang w:val="de-DE"/>
        </w:rPr>
        <w:tab/>
      </w:r>
      <w:r w:rsidRPr="004676F5">
        <w:rPr>
          <w:lang w:val="de-DE"/>
        </w:rPr>
        <w:t>g) Vorsehen, dass Informationen über die Dienstleistung, die der Dienstleistungs</w:t>
      </w:r>
      <w:r w:rsidRPr="004676F5">
        <w:rPr>
          <w:lang w:val="de-DE"/>
        </w:rPr>
        <w:softHyphen/>
        <w:t>erbringer auf einem USB-Stick bereitstellt, barrierefrei sind.</w:t>
      </w:r>
    </w:p>
    <w:p w14:paraId="3ED6CA11" w14:textId="77777777" w:rsidR="00A56641" w:rsidRPr="004676F5" w:rsidRDefault="00A56641" w:rsidP="00A56641">
      <w:pPr>
        <w:jc w:val="both"/>
        <w:rPr>
          <w:lang w:val="de-DE"/>
        </w:rPr>
      </w:pPr>
    </w:p>
    <w:p w14:paraId="5112C16C" w14:textId="77777777" w:rsidR="00A56641" w:rsidRPr="004676F5" w:rsidRDefault="00A56641" w:rsidP="00A56641">
      <w:pPr>
        <w:jc w:val="both"/>
        <w:rPr>
          <w:lang w:val="de-DE"/>
        </w:rPr>
      </w:pPr>
      <w:r w:rsidRPr="004676F5">
        <w:rPr>
          <w:lang w:val="de-DE"/>
        </w:rPr>
        <w:tab/>
        <w:t>3. Vorsehen, dass für Bilder eine Textbeschreibung bereitgestellt wird, über die Tastatur Zugang zum gesamten Funktionsumfang besteht, Nutzern genügend Zeit zum Lesen eingeräumt wird, Inhalte in vorhersehbarer Weise dargestellt werden und funktionieren und Kompatibilität mit assistiven Technologien hergestellt wird, sodass Menschen mit unterschiedlichen Behinderungen die Möglichkeit haben, Websites zu lesen und mit ihnen zu interagieren.</w:t>
      </w:r>
    </w:p>
    <w:p w14:paraId="57931E81" w14:textId="77777777" w:rsidR="00A56641" w:rsidRPr="004676F5" w:rsidRDefault="00A56641" w:rsidP="00A56641">
      <w:pPr>
        <w:jc w:val="both"/>
        <w:rPr>
          <w:lang w:val="de-DE"/>
        </w:rPr>
      </w:pPr>
    </w:p>
    <w:p w14:paraId="420625A3" w14:textId="77777777" w:rsidR="00A56641" w:rsidRPr="004676F5" w:rsidRDefault="00A56641" w:rsidP="00A56641">
      <w:pPr>
        <w:jc w:val="both"/>
        <w:rPr>
          <w:lang w:val="de-DE"/>
        </w:rPr>
      </w:pPr>
      <w:r w:rsidRPr="004676F5">
        <w:rPr>
          <w:lang w:val="de-DE"/>
        </w:rPr>
        <w:tab/>
        <w:t>4. Kein Beispiel angegeben.</w:t>
      </w:r>
    </w:p>
    <w:p w14:paraId="00DEB1D7" w14:textId="77777777" w:rsidR="00A56641" w:rsidRPr="004676F5" w:rsidRDefault="00A56641" w:rsidP="00A56641">
      <w:pPr>
        <w:jc w:val="both"/>
        <w:rPr>
          <w:lang w:val="de-DE"/>
        </w:rPr>
      </w:pPr>
    </w:p>
    <w:p w14:paraId="7A592D7D" w14:textId="77777777" w:rsidR="00A56641" w:rsidRPr="004676F5" w:rsidRDefault="00A56641" w:rsidP="00A56641">
      <w:pPr>
        <w:jc w:val="both"/>
        <w:rPr>
          <w:lang w:val="de-DE"/>
        </w:rPr>
      </w:pPr>
    </w:p>
    <w:p w14:paraId="2A831D74" w14:textId="77777777" w:rsidR="00A56641" w:rsidRPr="004676F5" w:rsidRDefault="00A56641">
      <w:pPr>
        <w:rPr>
          <w:b/>
          <w:lang w:val="de-DE"/>
        </w:rPr>
      </w:pPr>
      <w:r w:rsidRPr="004676F5">
        <w:rPr>
          <w:b/>
          <w:lang w:val="de-DE"/>
        </w:rPr>
        <w:br w:type="page"/>
      </w:r>
    </w:p>
    <w:p w14:paraId="4A3310F1" w14:textId="2D9AE655" w:rsidR="00A56641" w:rsidRPr="004676F5" w:rsidRDefault="00A56641" w:rsidP="00A56641">
      <w:pPr>
        <w:jc w:val="center"/>
        <w:rPr>
          <w:b/>
          <w:bCs/>
          <w:lang w:val="de-DE"/>
        </w:rPr>
      </w:pPr>
      <w:r w:rsidRPr="004676F5">
        <w:rPr>
          <w:b/>
          <w:lang w:val="de-DE"/>
        </w:rPr>
        <w:lastRenderedPageBreak/>
        <w:t>Abschnitt 2</w:t>
      </w:r>
    </w:p>
    <w:p w14:paraId="241DCE96" w14:textId="77777777" w:rsidR="00A56641" w:rsidRPr="004676F5" w:rsidRDefault="00A56641" w:rsidP="00A56641">
      <w:pPr>
        <w:jc w:val="center"/>
        <w:rPr>
          <w:i/>
          <w:iCs/>
          <w:lang w:val="de-DE"/>
        </w:rPr>
      </w:pPr>
    </w:p>
    <w:p w14:paraId="268B0C96" w14:textId="77777777" w:rsidR="00A56641" w:rsidRPr="004676F5" w:rsidRDefault="00A56641" w:rsidP="00A56641">
      <w:pPr>
        <w:jc w:val="center"/>
        <w:rPr>
          <w:i/>
          <w:iCs/>
          <w:lang w:val="de-DE"/>
        </w:rPr>
      </w:pPr>
      <w:r w:rsidRPr="004676F5">
        <w:rPr>
          <w:i/>
          <w:lang w:val="de-DE"/>
        </w:rPr>
        <w:t>Beispiele für zusätzlichen Barrierefreiheitsanforderungen für Bankdienstleistungen für Verbraucher wie in Anlage 1 Abschnitt 2 erwähnt</w:t>
      </w:r>
    </w:p>
    <w:p w14:paraId="3F6EA3E5" w14:textId="77777777" w:rsidR="00A56641" w:rsidRPr="004676F5" w:rsidRDefault="00A56641" w:rsidP="00A56641">
      <w:pPr>
        <w:jc w:val="both"/>
        <w:rPr>
          <w:lang w:val="de-DE"/>
        </w:rPr>
      </w:pPr>
    </w:p>
    <w:p w14:paraId="12925406" w14:textId="77777777" w:rsidR="00A56641" w:rsidRPr="004676F5" w:rsidRDefault="00A56641" w:rsidP="00A56641">
      <w:pPr>
        <w:jc w:val="both"/>
        <w:rPr>
          <w:lang w:val="de-DE"/>
        </w:rPr>
      </w:pPr>
      <w:r w:rsidRPr="004676F5">
        <w:rPr>
          <w:lang w:val="de-DE"/>
        </w:rPr>
        <w:tab/>
        <w:t>1. Vorsehen, dass die auf dem Bildschirm angezeigten Identifizierungs-Dialogfelder Vorlesefunktionen unterstützen, sodass sie von blinden Menschen bedient werden können.</w:t>
      </w:r>
    </w:p>
    <w:p w14:paraId="12AE16C4" w14:textId="77777777" w:rsidR="00A56641" w:rsidRPr="004676F5" w:rsidRDefault="00A56641" w:rsidP="00A56641">
      <w:pPr>
        <w:jc w:val="both"/>
        <w:rPr>
          <w:lang w:val="de-DE"/>
        </w:rPr>
      </w:pPr>
    </w:p>
    <w:p w14:paraId="3BAC139A" w14:textId="77777777" w:rsidR="00A56641" w:rsidRPr="004676F5" w:rsidRDefault="00A56641" w:rsidP="00A56641">
      <w:pPr>
        <w:jc w:val="both"/>
        <w:rPr>
          <w:lang w:val="de-DE"/>
        </w:rPr>
      </w:pPr>
      <w:r w:rsidRPr="004676F5">
        <w:rPr>
          <w:lang w:val="de-DE"/>
        </w:rPr>
        <w:tab/>
        <w:t>2. Kein Beispiel angegeben.</w:t>
      </w:r>
    </w:p>
    <w:p w14:paraId="5378CFD7" w14:textId="77777777" w:rsidR="00A56641" w:rsidRPr="004676F5" w:rsidRDefault="00A56641" w:rsidP="00A56641">
      <w:pPr>
        <w:jc w:val="both"/>
        <w:rPr>
          <w:lang w:val="de-DE"/>
        </w:rPr>
      </w:pPr>
    </w:p>
    <w:p w14:paraId="5CCA3D3A" w14:textId="77777777" w:rsidR="00A56641" w:rsidRPr="004676F5" w:rsidRDefault="00A56641" w:rsidP="00A56641">
      <w:pPr>
        <w:jc w:val="both"/>
        <w:rPr>
          <w:lang w:val="de-DE"/>
        </w:rPr>
      </w:pPr>
    </w:p>
    <w:p w14:paraId="559BB6E8" w14:textId="77777777" w:rsidR="00A56641" w:rsidRPr="004676F5" w:rsidRDefault="00A56641" w:rsidP="00A56641">
      <w:pPr>
        <w:jc w:val="center"/>
        <w:rPr>
          <w:b/>
          <w:bCs/>
          <w:lang w:val="de-DE"/>
        </w:rPr>
      </w:pPr>
      <w:r w:rsidRPr="004676F5">
        <w:rPr>
          <w:b/>
          <w:lang w:val="de-DE"/>
        </w:rPr>
        <w:t>Abschnitt 3</w:t>
      </w:r>
    </w:p>
    <w:p w14:paraId="51C4BE24" w14:textId="77777777" w:rsidR="00A56641" w:rsidRPr="004676F5" w:rsidRDefault="00A56641" w:rsidP="00A56641">
      <w:pPr>
        <w:jc w:val="both"/>
        <w:rPr>
          <w:lang w:val="de-DE"/>
        </w:rPr>
      </w:pPr>
    </w:p>
    <w:p w14:paraId="03BF5F72" w14:textId="77777777" w:rsidR="00A56641" w:rsidRPr="004676F5" w:rsidRDefault="00A56641" w:rsidP="00A56641">
      <w:pPr>
        <w:jc w:val="center"/>
        <w:rPr>
          <w:i/>
          <w:iCs/>
          <w:lang w:val="de-DE"/>
        </w:rPr>
      </w:pPr>
      <w:r w:rsidRPr="004676F5">
        <w:rPr>
          <w:i/>
          <w:lang w:val="de-DE"/>
        </w:rPr>
        <w:t>Beispiele für zusätzlichen Barrierefreiheitsanforderungen für Dienstleistungen im elektronischen Geschäftsverkehr (E-Commerce) wie in Anlage 1 Abschnitt 3 erwähnt</w:t>
      </w:r>
    </w:p>
    <w:p w14:paraId="5FBD4F43" w14:textId="77777777" w:rsidR="00A56641" w:rsidRPr="004676F5" w:rsidRDefault="00A56641" w:rsidP="00A56641">
      <w:pPr>
        <w:jc w:val="both"/>
        <w:rPr>
          <w:lang w:val="de-DE"/>
        </w:rPr>
      </w:pPr>
    </w:p>
    <w:p w14:paraId="7C9695AD" w14:textId="77777777" w:rsidR="00A56641" w:rsidRPr="004676F5" w:rsidRDefault="00A56641" w:rsidP="00A56641">
      <w:pPr>
        <w:jc w:val="both"/>
        <w:rPr>
          <w:lang w:val="de-DE"/>
        </w:rPr>
      </w:pPr>
      <w:r w:rsidRPr="004676F5">
        <w:rPr>
          <w:lang w:val="de-DE"/>
        </w:rPr>
        <w:tab/>
        <w:t>1. Sicherstellung, dass die verfügbaren Informationen zu den Barrierefreiheits</w:t>
      </w:r>
      <w:r w:rsidRPr="004676F5">
        <w:rPr>
          <w:lang w:val="de-DE"/>
        </w:rPr>
        <w:softHyphen/>
        <w:t>merkmalen eines Produkts nicht gelöscht werden.</w:t>
      </w:r>
    </w:p>
    <w:p w14:paraId="37F913F8" w14:textId="77777777" w:rsidR="00A56641" w:rsidRPr="004676F5" w:rsidRDefault="00A56641" w:rsidP="00A56641">
      <w:pPr>
        <w:jc w:val="both"/>
        <w:rPr>
          <w:lang w:val="de-DE"/>
        </w:rPr>
      </w:pPr>
    </w:p>
    <w:p w14:paraId="697FF053" w14:textId="77777777" w:rsidR="00A56641" w:rsidRPr="004676F5" w:rsidRDefault="00A56641" w:rsidP="00A56641">
      <w:pPr>
        <w:jc w:val="both"/>
        <w:rPr>
          <w:lang w:val="de-DE"/>
        </w:rPr>
      </w:pPr>
      <w:r w:rsidRPr="004676F5">
        <w:rPr>
          <w:lang w:val="de-DE"/>
        </w:rPr>
        <w:tab/>
        <w:t>2. Vorsehen, dass die Benutzerschnittstelle von Zahlungsdiensten über Spracheingabe bedient werden kann, damit blinde Menschen selbstständig im Internet einkaufen können.</w:t>
      </w:r>
    </w:p>
    <w:p w14:paraId="6C339B2F" w14:textId="77777777" w:rsidR="00A56641" w:rsidRPr="004676F5" w:rsidRDefault="00A56641" w:rsidP="00A56641">
      <w:pPr>
        <w:jc w:val="both"/>
        <w:rPr>
          <w:lang w:val="de-DE"/>
        </w:rPr>
      </w:pPr>
    </w:p>
    <w:p w14:paraId="12D53DA8" w14:textId="77777777" w:rsidR="00A56641" w:rsidRPr="004676F5" w:rsidRDefault="00A56641" w:rsidP="00A56641">
      <w:pPr>
        <w:jc w:val="both"/>
        <w:rPr>
          <w:lang w:val="de-DE"/>
        </w:rPr>
      </w:pPr>
      <w:r w:rsidRPr="004676F5">
        <w:rPr>
          <w:lang w:val="de-DE"/>
        </w:rPr>
        <w:tab/>
        <w:t>3. Vorsehen, dass die auf dem Bildschirm angezeigten Identifizierungs-Dialogfelder Vorlesefunktionen unterstützen, sodass sie von blinden Menschen bedient werden können.</w:t>
      </w:r>
    </w:p>
    <w:p w14:paraId="19AB18F2" w14:textId="77777777" w:rsidR="00A56641" w:rsidRPr="004676F5" w:rsidRDefault="00A56641" w:rsidP="00A56641">
      <w:pPr>
        <w:jc w:val="both"/>
        <w:rPr>
          <w:lang w:val="de-DE"/>
        </w:rPr>
      </w:pPr>
    </w:p>
    <w:p w14:paraId="53E8B742" w14:textId="77777777" w:rsidR="00A56641" w:rsidRPr="004676F5" w:rsidRDefault="00A56641" w:rsidP="00A56641">
      <w:pPr>
        <w:jc w:val="both"/>
        <w:rPr>
          <w:lang w:val="de-DE"/>
        </w:rPr>
      </w:pPr>
    </w:p>
    <w:p w14:paraId="47EBD8B7" w14:textId="6A7C234B" w:rsidR="00ED1273" w:rsidRPr="004676F5" w:rsidRDefault="00ED1273" w:rsidP="00ED1273">
      <w:pPr>
        <w:jc w:val="both"/>
        <w:rPr>
          <w:lang w:val="de-DE"/>
        </w:rPr>
      </w:pPr>
      <w:r w:rsidRPr="004676F5">
        <w:rPr>
          <w:lang w:val="de-DE"/>
        </w:rPr>
        <w:br w:type="page"/>
      </w:r>
    </w:p>
    <w:p w14:paraId="0FF594B4" w14:textId="5CBC894B" w:rsidR="0009060C" w:rsidRPr="004676F5" w:rsidRDefault="0009060C" w:rsidP="0009060C">
      <w:pPr>
        <w:ind w:firstLine="708"/>
        <w:jc w:val="center"/>
        <w:rPr>
          <w:b/>
          <w:lang w:val="de-DE"/>
        </w:rPr>
      </w:pPr>
      <w:r w:rsidRPr="004676F5">
        <w:rPr>
          <w:lang w:val="de-DE"/>
        </w:rPr>
        <w:lastRenderedPageBreak/>
        <w:t>[</w:t>
      </w:r>
      <w:r w:rsidRPr="004676F5">
        <w:rPr>
          <w:b/>
          <w:lang w:val="de-DE"/>
        </w:rPr>
        <w:t xml:space="preserve">BUCH IX </w:t>
      </w:r>
      <w:r w:rsidR="005B7A5C" w:rsidRPr="004676F5">
        <w:rPr>
          <w:b/>
          <w:lang w:val="de-DE"/>
        </w:rPr>
        <w:t>- </w:t>
      </w:r>
      <w:r w:rsidRPr="004676F5">
        <w:rPr>
          <w:b/>
          <w:lang w:val="de-DE"/>
        </w:rPr>
        <w:t>SICHERHEIT VON PRODUKTEN UND DIENSTEN</w:t>
      </w:r>
    </w:p>
    <w:p w14:paraId="5B566BD8" w14:textId="77777777" w:rsidR="0009060C" w:rsidRPr="004676F5" w:rsidRDefault="0009060C" w:rsidP="0009060C">
      <w:pPr>
        <w:jc w:val="center"/>
        <w:rPr>
          <w:b/>
          <w:lang w:val="de-DE"/>
        </w:rPr>
      </w:pPr>
    </w:p>
    <w:p w14:paraId="1D742EFD" w14:textId="5F466491" w:rsidR="0009060C" w:rsidRPr="004676F5" w:rsidRDefault="0009060C" w:rsidP="0009060C">
      <w:pPr>
        <w:jc w:val="both"/>
        <w:rPr>
          <w:i/>
          <w:lang w:val="de-DE"/>
        </w:rPr>
      </w:pPr>
      <w:r w:rsidRPr="004676F5">
        <w:rPr>
          <w:i/>
          <w:lang w:val="de-DE"/>
        </w:rPr>
        <w:t xml:space="preserve">[Buch IX mit den Artikeln IX.1 bis IX.14 eingefügt durch </w:t>
      </w:r>
      <w:r w:rsidR="00BE0A56" w:rsidRPr="004676F5">
        <w:rPr>
          <w:i/>
          <w:lang w:val="de-DE"/>
        </w:rPr>
        <w:t>Art. </w:t>
      </w:r>
      <w:r w:rsidRPr="004676F5">
        <w:rPr>
          <w:i/>
          <w:lang w:val="de-DE"/>
        </w:rPr>
        <w:t>3 des G. vom 25. April 2013 (B.S. vom 1. April 2014)]</w:t>
      </w:r>
    </w:p>
    <w:p w14:paraId="0D3B5A82" w14:textId="77777777" w:rsidR="0009060C" w:rsidRPr="004676F5" w:rsidRDefault="0009060C" w:rsidP="0009060C">
      <w:pPr>
        <w:jc w:val="both"/>
        <w:rPr>
          <w:i/>
          <w:lang w:val="de-DE"/>
        </w:rPr>
      </w:pPr>
    </w:p>
    <w:p w14:paraId="390BE25A" w14:textId="77777777" w:rsidR="0009060C" w:rsidRPr="004676F5" w:rsidRDefault="0009060C" w:rsidP="0009060C">
      <w:pPr>
        <w:jc w:val="center"/>
        <w:rPr>
          <w:b/>
          <w:lang w:val="de-DE"/>
        </w:rPr>
      </w:pPr>
    </w:p>
    <w:p w14:paraId="17F76838" w14:textId="52267E93" w:rsidR="0009060C" w:rsidRPr="004676F5" w:rsidRDefault="0009060C" w:rsidP="0009060C">
      <w:pPr>
        <w:jc w:val="center"/>
        <w:rPr>
          <w:i/>
          <w:lang w:val="de-DE"/>
        </w:rPr>
      </w:pPr>
      <w:r w:rsidRPr="004676F5">
        <w:rPr>
          <w:lang w:val="de-DE"/>
        </w:rPr>
        <w:t>KAPITEL 1 </w:t>
      </w:r>
      <w:r w:rsidR="005B7A5C" w:rsidRPr="004676F5">
        <w:rPr>
          <w:lang w:val="de-DE"/>
        </w:rPr>
        <w:t>- </w:t>
      </w:r>
      <w:r w:rsidRPr="004676F5">
        <w:rPr>
          <w:i/>
          <w:lang w:val="de-DE"/>
        </w:rPr>
        <w:t>Allgemeine Sicherheitsanforderung</w:t>
      </w:r>
    </w:p>
    <w:p w14:paraId="0965F7CD" w14:textId="77777777" w:rsidR="0009060C" w:rsidRPr="004676F5" w:rsidRDefault="0009060C" w:rsidP="0009060C">
      <w:pPr>
        <w:jc w:val="center"/>
        <w:rPr>
          <w:lang w:val="de-DE"/>
        </w:rPr>
      </w:pPr>
    </w:p>
    <w:p w14:paraId="27E02394" w14:textId="77777777" w:rsidR="0009060C" w:rsidRPr="004676F5" w:rsidRDefault="0009060C" w:rsidP="0009060C">
      <w:pPr>
        <w:jc w:val="center"/>
        <w:rPr>
          <w:lang w:val="de-DE"/>
        </w:rPr>
      </w:pPr>
    </w:p>
    <w:p w14:paraId="5CC1AFC4" w14:textId="152C9BBF" w:rsidR="0009060C" w:rsidRPr="004676F5" w:rsidRDefault="00BE0A56" w:rsidP="0009060C">
      <w:pPr>
        <w:ind w:firstLine="708"/>
        <w:jc w:val="both"/>
        <w:rPr>
          <w:lang w:val="de-DE"/>
        </w:rPr>
      </w:pPr>
      <w:r w:rsidRPr="004676F5">
        <w:rPr>
          <w:b/>
          <w:lang w:val="de-DE"/>
        </w:rPr>
        <w:t>Art. </w:t>
      </w:r>
      <w:r w:rsidR="0009060C" w:rsidRPr="004676F5">
        <w:rPr>
          <w:b/>
          <w:lang w:val="de-DE"/>
        </w:rPr>
        <w:t>IX.1</w:t>
      </w:r>
      <w:r w:rsidR="0009060C" w:rsidRPr="004676F5">
        <w:rPr>
          <w:lang w:val="de-DE"/>
        </w:rPr>
        <w:t xml:space="preserve"> </w:t>
      </w:r>
      <w:r w:rsidR="005B7A5C" w:rsidRPr="004676F5">
        <w:rPr>
          <w:lang w:val="de-DE"/>
        </w:rPr>
        <w:t>- </w:t>
      </w:r>
      <w:r w:rsidR="0009060C" w:rsidRPr="004676F5">
        <w:rPr>
          <w:lang w:val="de-DE"/>
        </w:rPr>
        <w:t>Vorliegendes Buch dient hauptsächlich dem Schutz der Sicherheit des Benutzers und der Umsetzung der Richtlinie 2001/95/EG des Europäischen Parlaments und des Rates vom 3. Dezember 2001 über die allgemeine Produktsicherheit.</w:t>
      </w:r>
    </w:p>
    <w:p w14:paraId="0D80EB97" w14:textId="77777777" w:rsidR="0009060C" w:rsidRPr="004676F5" w:rsidRDefault="0009060C" w:rsidP="0009060C">
      <w:pPr>
        <w:ind w:firstLine="708"/>
        <w:rPr>
          <w:lang w:val="de-DE"/>
        </w:rPr>
      </w:pPr>
    </w:p>
    <w:p w14:paraId="25DABD39" w14:textId="77777777" w:rsidR="0009060C" w:rsidRPr="004676F5" w:rsidRDefault="0009060C" w:rsidP="0009060C">
      <w:pPr>
        <w:ind w:firstLine="708"/>
        <w:jc w:val="both"/>
        <w:rPr>
          <w:lang w:val="de-DE"/>
        </w:rPr>
      </w:pPr>
      <w:r w:rsidRPr="004676F5">
        <w:rPr>
          <w:lang w:val="de-DE"/>
        </w:rPr>
        <w:t>Hinsichtlich der Produkte und Dienste, für die spezifische Sicherheitsvorschriften bestehen, gilt dieses Buch ausschließlich für Risiken, die nicht durch diese spezifischen Vorschriften abgedeckt werden.</w:t>
      </w:r>
    </w:p>
    <w:p w14:paraId="539A047B" w14:textId="77777777" w:rsidR="0009060C" w:rsidRPr="004676F5" w:rsidRDefault="0009060C" w:rsidP="0009060C">
      <w:pPr>
        <w:ind w:firstLine="708"/>
        <w:jc w:val="both"/>
        <w:rPr>
          <w:lang w:val="de-DE"/>
        </w:rPr>
      </w:pPr>
    </w:p>
    <w:p w14:paraId="56AAB52E" w14:textId="77777777" w:rsidR="0009060C" w:rsidRPr="004676F5" w:rsidRDefault="0009060C" w:rsidP="0009060C">
      <w:pPr>
        <w:ind w:firstLine="708"/>
        <w:jc w:val="both"/>
        <w:rPr>
          <w:lang w:val="de-DE"/>
        </w:rPr>
      </w:pPr>
    </w:p>
    <w:p w14:paraId="6DF57F06" w14:textId="4E3633F1" w:rsidR="0009060C" w:rsidRPr="004676F5" w:rsidRDefault="00BE0A56" w:rsidP="0009060C">
      <w:pPr>
        <w:ind w:firstLine="708"/>
        <w:jc w:val="both"/>
        <w:rPr>
          <w:lang w:val="de-DE"/>
        </w:rPr>
      </w:pPr>
      <w:r w:rsidRPr="004676F5">
        <w:rPr>
          <w:b/>
          <w:lang w:val="de-DE"/>
        </w:rPr>
        <w:t>Art. </w:t>
      </w:r>
      <w:r w:rsidR="0009060C" w:rsidRPr="004676F5">
        <w:rPr>
          <w:b/>
          <w:lang w:val="de-DE"/>
        </w:rPr>
        <w:t>IX.2</w:t>
      </w:r>
      <w:r w:rsidR="0009060C" w:rsidRPr="004676F5">
        <w:rPr>
          <w:lang w:val="de-DE"/>
        </w:rPr>
        <w:t xml:space="preserve"> </w:t>
      </w:r>
      <w:r w:rsidR="005B7A5C" w:rsidRPr="004676F5">
        <w:rPr>
          <w:lang w:val="de-DE"/>
        </w:rPr>
        <w:t>- </w:t>
      </w:r>
      <w:r w:rsidR="0009060C" w:rsidRPr="004676F5">
        <w:rPr>
          <w:lang w:val="de-DE"/>
        </w:rPr>
        <w:t>Hersteller dürfen nur sichere Produkte in Verkehr bringen und nur sichere Dienste anbieten.</w:t>
      </w:r>
    </w:p>
    <w:p w14:paraId="7E16F6CC" w14:textId="77777777" w:rsidR="0009060C" w:rsidRPr="004676F5" w:rsidRDefault="0009060C" w:rsidP="0009060C">
      <w:pPr>
        <w:ind w:firstLine="708"/>
        <w:jc w:val="both"/>
        <w:rPr>
          <w:lang w:val="de-DE"/>
        </w:rPr>
      </w:pPr>
    </w:p>
    <w:p w14:paraId="5206E66C" w14:textId="77777777" w:rsidR="0009060C" w:rsidRPr="004676F5" w:rsidRDefault="0009060C" w:rsidP="0009060C">
      <w:pPr>
        <w:ind w:firstLine="708"/>
        <w:rPr>
          <w:lang w:val="de-DE"/>
        </w:rPr>
      </w:pPr>
    </w:p>
    <w:p w14:paraId="6DC28FE1" w14:textId="5B66FDA7" w:rsidR="0009060C" w:rsidRPr="004676F5" w:rsidRDefault="00BE0A56" w:rsidP="0009060C">
      <w:pPr>
        <w:ind w:firstLine="708"/>
        <w:jc w:val="both"/>
        <w:rPr>
          <w:lang w:val="de-DE"/>
        </w:rPr>
      </w:pPr>
      <w:r w:rsidRPr="004676F5">
        <w:rPr>
          <w:b/>
          <w:lang w:val="de-DE"/>
        </w:rPr>
        <w:t>Art. </w:t>
      </w:r>
      <w:r w:rsidR="0009060C" w:rsidRPr="004676F5">
        <w:rPr>
          <w:b/>
          <w:lang w:val="de-DE"/>
        </w:rPr>
        <w:t>IX.3</w:t>
      </w:r>
      <w:r w:rsidR="0009060C" w:rsidRPr="004676F5">
        <w:rPr>
          <w:lang w:val="de-DE"/>
        </w:rPr>
        <w:t xml:space="preserve"> </w:t>
      </w:r>
      <w:r w:rsidR="005B7A5C" w:rsidRPr="004676F5">
        <w:rPr>
          <w:lang w:val="de-DE"/>
        </w:rPr>
        <w:t>- </w:t>
      </w:r>
      <w:r w:rsidR="0009060C" w:rsidRPr="004676F5">
        <w:rPr>
          <w:lang w:val="de-DE"/>
        </w:rPr>
        <w:t xml:space="preserve">§ 1 </w:t>
      </w:r>
      <w:r w:rsidR="005B7A5C" w:rsidRPr="004676F5">
        <w:rPr>
          <w:lang w:val="de-DE"/>
        </w:rPr>
        <w:t>- </w:t>
      </w:r>
      <w:r w:rsidR="0009060C" w:rsidRPr="004676F5">
        <w:rPr>
          <w:lang w:val="de-DE"/>
        </w:rPr>
        <w:t>Ein Produkt beziehungsweise ein Dienst gilt als sicher, wenn es/er den harmonisierten Normen entspricht, soweit es um Risiken und Risikokategorien geht, die durch diese Normen geregelt werden.</w:t>
      </w:r>
    </w:p>
    <w:p w14:paraId="5C1691FD" w14:textId="77777777" w:rsidR="0009060C" w:rsidRPr="004676F5" w:rsidRDefault="0009060C" w:rsidP="0009060C">
      <w:pPr>
        <w:rPr>
          <w:lang w:val="de-DE"/>
        </w:rPr>
      </w:pPr>
    </w:p>
    <w:p w14:paraId="68EB7C70" w14:textId="26202829" w:rsidR="0009060C" w:rsidRPr="004676F5" w:rsidRDefault="0009060C" w:rsidP="0009060C">
      <w:pPr>
        <w:ind w:firstLine="708"/>
        <w:jc w:val="both"/>
        <w:rPr>
          <w:lang w:val="de-DE"/>
        </w:rPr>
      </w:pPr>
      <w:r w:rsidRPr="004676F5">
        <w:rPr>
          <w:lang w:val="de-DE"/>
        </w:rPr>
        <w:t>§ 2 </w:t>
      </w:r>
      <w:r w:rsidR="005B7A5C" w:rsidRPr="004676F5">
        <w:rPr>
          <w:lang w:val="de-DE"/>
        </w:rPr>
        <w:t>- </w:t>
      </w:r>
      <w:r w:rsidRPr="004676F5">
        <w:rPr>
          <w:lang w:val="de-DE"/>
        </w:rPr>
        <w:t xml:space="preserve">Wenn für ein Produkt beziehungsweise für einen Dienst harmonisierte Normen ganz oder teilweise fehlen, wird die Übereinstimmung mit der allgemeinen Sicherheitsanforderung unter Berücksichtigung insbesondere folgender Elemente </w:t>
      </w:r>
      <w:r w:rsidR="005B7A5C" w:rsidRPr="004676F5">
        <w:rPr>
          <w:lang w:val="de-DE"/>
        </w:rPr>
        <w:t>- </w:t>
      </w:r>
      <w:r w:rsidRPr="004676F5">
        <w:rPr>
          <w:lang w:val="de-DE"/>
        </w:rPr>
        <w:t xml:space="preserve">soweit vorhanden </w:t>
      </w:r>
      <w:r w:rsidR="005B7A5C" w:rsidRPr="004676F5">
        <w:rPr>
          <w:lang w:val="de-DE"/>
        </w:rPr>
        <w:t>- </w:t>
      </w:r>
      <w:r w:rsidRPr="004676F5">
        <w:rPr>
          <w:lang w:val="de-DE"/>
        </w:rPr>
        <w:t>beurteilt:</w:t>
      </w:r>
    </w:p>
    <w:p w14:paraId="2D11B340" w14:textId="77777777" w:rsidR="0009060C" w:rsidRPr="004676F5" w:rsidRDefault="0009060C" w:rsidP="0009060C">
      <w:pPr>
        <w:ind w:firstLine="708"/>
        <w:jc w:val="both"/>
        <w:rPr>
          <w:lang w:val="de-DE"/>
        </w:rPr>
      </w:pPr>
    </w:p>
    <w:p w14:paraId="1B165A92" w14:textId="77777777" w:rsidR="0009060C" w:rsidRPr="004676F5" w:rsidRDefault="0009060C" w:rsidP="0009060C">
      <w:pPr>
        <w:ind w:firstLine="708"/>
        <w:jc w:val="both"/>
        <w:rPr>
          <w:lang w:val="de-DE"/>
        </w:rPr>
      </w:pPr>
      <w:r w:rsidRPr="004676F5">
        <w:rPr>
          <w:lang w:val="de-DE"/>
        </w:rPr>
        <w:t>1. der nicht bindenden nationalen Normen zur Umsetzung europäischer Normen, die nicht in Artikel I.10.19 erwähnt sind,</w:t>
      </w:r>
    </w:p>
    <w:p w14:paraId="439D4EFB" w14:textId="77777777" w:rsidR="0009060C" w:rsidRPr="004676F5" w:rsidRDefault="0009060C" w:rsidP="0009060C">
      <w:pPr>
        <w:ind w:firstLine="708"/>
        <w:rPr>
          <w:lang w:val="de-DE"/>
        </w:rPr>
      </w:pPr>
    </w:p>
    <w:p w14:paraId="04EBD904" w14:textId="77777777" w:rsidR="0009060C" w:rsidRPr="004676F5" w:rsidRDefault="0009060C" w:rsidP="0009060C">
      <w:pPr>
        <w:ind w:firstLine="708"/>
        <w:rPr>
          <w:lang w:val="de-DE"/>
        </w:rPr>
      </w:pPr>
      <w:r w:rsidRPr="004676F5">
        <w:rPr>
          <w:lang w:val="de-DE"/>
        </w:rPr>
        <w:t>2. der nationalen belgischen Normen,</w:t>
      </w:r>
    </w:p>
    <w:p w14:paraId="66F11C28" w14:textId="77777777" w:rsidR="0009060C" w:rsidRPr="004676F5" w:rsidRDefault="0009060C" w:rsidP="0009060C">
      <w:pPr>
        <w:ind w:firstLine="708"/>
        <w:rPr>
          <w:lang w:val="de-DE"/>
        </w:rPr>
      </w:pPr>
    </w:p>
    <w:p w14:paraId="4AD22317" w14:textId="77777777" w:rsidR="0009060C" w:rsidRPr="004676F5" w:rsidRDefault="0009060C" w:rsidP="0009060C">
      <w:pPr>
        <w:ind w:firstLine="708"/>
        <w:jc w:val="both"/>
        <w:rPr>
          <w:lang w:val="de-DE"/>
        </w:rPr>
      </w:pPr>
      <w:r w:rsidRPr="004676F5">
        <w:rPr>
          <w:lang w:val="de-DE"/>
        </w:rPr>
        <w:t>3. der Empfehlungen der Kommission der Europäischen Union zur Festlegung von Leitlinien für die Beurteilung der Produktsicherheit,</w:t>
      </w:r>
    </w:p>
    <w:p w14:paraId="7A990D28" w14:textId="77777777" w:rsidR="0009060C" w:rsidRPr="004676F5" w:rsidRDefault="0009060C" w:rsidP="0009060C">
      <w:pPr>
        <w:ind w:firstLine="708"/>
        <w:jc w:val="both"/>
        <w:rPr>
          <w:lang w:val="de-DE"/>
        </w:rPr>
      </w:pPr>
    </w:p>
    <w:p w14:paraId="5C9AB5A2" w14:textId="77777777" w:rsidR="0009060C" w:rsidRPr="004676F5" w:rsidRDefault="0009060C" w:rsidP="0009060C">
      <w:pPr>
        <w:ind w:firstLine="708"/>
        <w:jc w:val="both"/>
        <w:rPr>
          <w:lang w:val="de-DE"/>
        </w:rPr>
      </w:pPr>
      <w:r w:rsidRPr="004676F5">
        <w:rPr>
          <w:lang w:val="de-DE"/>
        </w:rPr>
        <w:t>4. der im betreffenden Bereich geltenden Verhaltenskodizes für die Produktsicherheit,</w:t>
      </w:r>
    </w:p>
    <w:p w14:paraId="3636FCAA" w14:textId="77777777" w:rsidR="0009060C" w:rsidRPr="004676F5" w:rsidRDefault="0009060C" w:rsidP="0009060C">
      <w:pPr>
        <w:ind w:firstLine="708"/>
        <w:jc w:val="both"/>
        <w:rPr>
          <w:lang w:val="de-DE"/>
        </w:rPr>
      </w:pPr>
    </w:p>
    <w:p w14:paraId="7687E66A" w14:textId="77777777" w:rsidR="0009060C" w:rsidRPr="004676F5" w:rsidRDefault="0009060C" w:rsidP="0009060C">
      <w:pPr>
        <w:ind w:firstLine="708"/>
        <w:rPr>
          <w:lang w:val="de-DE"/>
        </w:rPr>
      </w:pPr>
      <w:r w:rsidRPr="004676F5">
        <w:rPr>
          <w:lang w:val="de-DE"/>
        </w:rPr>
        <w:t>5. des derzeitigen Standes des Wissens und der Technik,</w:t>
      </w:r>
    </w:p>
    <w:p w14:paraId="569F567C" w14:textId="77777777" w:rsidR="0009060C" w:rsidRPr="004676F5" w:rsidRDefault="0009060C" w:rsidP="0009060C">
      <w:pPr>
        <w:ind w:firstLine="708"/>
        <w:rPr>
          <w:lang w:val="de-DE"/>
        </w:rPr>
      </w:pPr>
    </w:p>
    <w:p w14:paraId="39C5B521" w14:textId="77777777" w:rsidR="0009060C" w:rsidRPr="004676F5" w:rsidRDefault="0009060C" w:rsidP="0009060C">
      <w:pPr>
        <w:ind w:firstLine="708"/>
        <w:rPr>
          <w:lang w:val="de-DE"/>
        </w:rPr>
      </w:pPr>
      <w:r w:rsidRPr="004676F5">
        <w:rPr>
          <w:lang w:val="de-DE"/>
        </w:rPr>
        <w:t>6. der Sicherheit, die von den Benutzern vernünftigerweise erwartet werden kann,</w:t>
      </w:r>
    </w:p>
    <w:p w14:paraId="70C283E8" w14:textId="77777777" w:rsidR="0009060C" w:rsidRPr="004676F5" w:rsidRDefault="0009060C" w:rsidP="0009060C">
      <w:pPr>
        <w:ind w:firstLine="708"/>
        <w:rPr>
          <w:lang w:val="de-DE"/>
        </w:rPr>
      </w:pPr>
    </w:p>
    <w:p w14:paraId="714B6213" w14:textId="77777777" w:rsidR="0009060C" w:rsidRPr="004676F5" w:rsidRDefault="0009060C" w:rsidP="0009060C">
      <w:pPr>
        <w:ind w:firstLine="708"/>
        <w:rPr>
          <w:lang w:val="de-DE"/>
        </w:rPr>
      </w:pPr>
      <w:r w:rsidRPr="004676F5">
        <w:rPr>
          <w:lang w:val="de-DE"/>
        </w:rPr>
        <w:t>7. internationaler Normen.</w:t>
      </w:r>
    </w:p>
    <w:p w14:paraId="73FE6A69" w14:textId="77777777" w:rsidR="0009060C" w:rsidRPr="004676F5" w:rsidRDefault="0009060C" w:rsidP="0009060C">
      <w:pPr>
        <w:ind w:firstLine="708"/>
        <w:rPr>
          <w:lang w:val="de-DE"/>
        </w:rPr>
      </w:pPr>
    </w:p>
    <w:p w14:paraId="02453390" w14:textId="77777777" w:rsidR="0009060C" w:rsidRPr="004676F5" w:rsidRDefault="0009060C" w:rsidP="0009060C">
      <w:pPr>
        <w:ind w:firstLine="708"/>
        <w:rPr>
          <w:lang w:val="de-DE"/>
        </w:rPr>
      </w:pPr>
    </w:p>
    <w:p w14:paraId="33D7C0B4" w14:textId="77777777" w:rsidR="0009060C" w:rsidRPr="004676F5" w:rsidRDefault="0009060C">
      <w:pPr>
        <w:rPr>
          <w:b/>
          <w:lang w:val="de-DE"/>
        </w:rPr>
      </w:pPr>
      <w:r w:rsidRPr="004676F5">
        <w:rPr>
          <w:b/>
          <w:lang w:val="de-DE"/>
        </w:rPr>
        <w:br w:type="page"/>
      </w:r>
    </w:p>
    <w:p w14:paraId="7708855E" w14:textId="1C652EAD" w:rsidR="0009060C" w:rsidRPr="004676F5" w:rsidRDefault="00BE0A56" w:rsidP="0009060C">
      <w:pPr>
        <w:ind w:firstLine="708"/>
        <w:jc w:val="both"/>
        <w:rPr>
          <w:lang w:val="de-DE"/>
        </w:rPr>
      </w:pPr>
      <w:r w:rsidRPr="004676F5">
        <w:rPr>
          <w:b/>
          <w:lang w:val="de-DE"/>
        </w:rPr>
        <w:lastRenderedPageBreak/>
        <w:t>Art. </w:t>
      </w:r>
      <w:r w:rsidR="0009060C" w:rsidRPr="004676F5">
        <w:rPr>
          <w:b/>
          <w:lang w:val="de-DE"/>
        </w:rPr>
        <w:t>IX.4</w:t>
      </w:r>
      <w:r w:rsidR="0009060C" w:rsidRPr="004676F5">
        <w:rPr>
          <w:lang w:val="de-DE"/>
        </w:rPr>
        <w:t xml:space="preserve"> </w:t>
      </w:r>
      <w:r w:rsidR="005B7A5C" w:rsidRPr="004676F5">
        <w:rPr>
          <w:lang w:val="de-DE"/>
        </w:rPr>
        <w:t>- </w:t>
      </w:r>
      <w:r w:rsidR="0009060C" w:rsidRPr="004676F5">
        <w:rPr>
          <w:lang w:val="de-DE"/>
        </w:rPr>
        <w:t>§ 1 </w:t>
      </w:r>
      <w:r w:rsidR="005B7A5C" w:rsidRPr="004676F5">
        <w:rPr>
          <w:lang w:val="de-DE"/>
        </w:rPr>
        <w:t>- </w:t>
      </w:r>
      <w:r w:rsidR="0009060C" w:rsidRPr="004676F5">
        <w:rPr>
          <w:lang w:val="de-DE"/>
        </w:rPr>
        <w:t>Im Hinblick auf den Schutz der Sicherheit oder der Gesundheit des Benutzers kann der König auf Vorschlag des Ministers:</w:t>
      </w:r>
    </w:p>
    <w:p w14:paraId="1CF15F09" w14:textId="77777777" w:rsidR="0009060C" w:rsidRPr="004676F5" w:rsidRDefault="0009060C" w:rsidP="0009060C">
      <w:pPr>
        <w:ind w:firstLine="708"/>
        <w:rPr>
          <w:lang w:val="de-DE"/>
        </w:rPr>
      </w:pPr>
    </w:p>
    <w:p w14:paraId="72D7A7B8" w14:textId="05ACEFCB" w:rsidR="0009060C" w:rsidRPr="004676F5" w:rsidRDefault="0009060C" w:rsidP="0009060C">
      <w:pPr>
        <w:ind w:firstLine="708"/>
        <w:jc w:val="both"/>
        <w:rPr>
          <w:lang w:val="de-DE"/>
        </w:rPr>
      </w:pPr>
      <w:r w:rsidRPr="004676F5">
        <w:rPr>
          <w:lang w:val="de-DE"/>
        </w:rPr>
        <w:t xml:space="preserve">1. für eine Produktkategorie Herstellung, Einfuhr, Verarbeitung, Ausfuhr, Angebot, Ausstellung, Verkauf, Aufarbeitung, Beförderung, Verteilung </w:t>
      </w:r>
      <w:r w:rsidR="005B7A5C" w:rsidRPr="004676F5">
        <w:rPr>
          <w:lang w:val="de-DE"/>
        </w:rPr>
        <w:t>- </w:t>
      </w:r>
      <w:r w:rsidRPr="004676F5">
        <w:rPr>
          <w:lang w:val="de-DE"/>
        </w:rPr>
        <w:t>selbst kostenlos -, Vermietung, Bereitstellung, Lieferung nach Reparatur, Inbetriebnahme, Besitz, Etikettierung,</w:t>
      </w:r>
      <w:r w:rsidR="0071235D" w:rsidRPr="004676F5">
        <w:rPr>
          <w:lang w:val="de-DE"/>
        </w:rPr>
        <w:t xml:space="preserve"> </w:t>
      </w:r>
      <w:r w:rsidRPr="004676F5">
        <w:rPr>
          <w:lang w:val="de-DE"/>
        </w:rPr>
        <w:t>Verpackung, Umlauf und/oder Gebrauchsweise verbieten oder regeln und die einzuhaltenden Bedingungen in Bezug auf Sicherheit und Gesundheitsschutz bestimmen und</w:t>
      </w:r>
    </w:p>
    <w:p w14:paraId="564A3AAC" w14:textId="77777777" w:rsidR="0009060C" w:rsidRPr="004676F5" w:rsidRDefault="0009060C" w:rsidP="0009060C">
      <w:pPr>
        <w:ind w:firstLine="708"/>
        <w:rPr>
          <w:lang w:val="de-DE"/>
        </w:rPr>
      </w:pPr>
    </w:p>
    <w:p w14:paraId="78B9C9FF" w14:textId="77777777" w:rsidR="0009060C" w:rsidRPr="004676F5" w:rsidRDefault="0009060C" w:rsidP="0009060C">
      <w:pPr>
        <w:ind w:firstLine="708"/>
        <w:jc w:val="both"/>
        <w:rPr>
          <w:lang w:val="de-DE"/>
        </w:rPr>
      </w:pPr>
      <w:r w:rsidRPr="004676F5">
        <w:rPr>
          <w:lang w:val="de-DE"/>
        </w:rPr>
        <w:t>2. eine Dienstkategorie verbieten oder für eine Dienstkategorie die Bedingungen in Bezug auf Sicherheit und Gesundheitsschutz, unter denen sie geleistet werden können, bestimmen.</w:t>
      </w:r>
    </w:p>
    <w:p w14:paraId="0A8742F6" w14:textId="77777777" w:rsidR="0009060C" w:rsidRPr="004676F5" w:rsidRDefault="0009060C" w:rsidP="0009060C">
      <w:pPr>
        <w:ind w:firstLine="708"/>
        <w:rPr>
          <w:lang w:val="de-DE"/>
        </w:rPr>
      </w:pPr>
    </w:p>
    <w:p w14:paraId="02208CA5" w14:textId="50B15C1B" w:rsidR="0009060C" w:rsidRPr="004676F5" w:rsidRDefault="0009060C" w:rsidP="0009060C">
      <w:pPr>
        <w:ind w:firstLine="708"/>
        <w:jc w:val="both"/>
        <w:rPr>
          <w:lang w:val="de-DE"/>
        </w:rPr>
      </w:pPr>
      <w:r w:rsidRPr="004676F5">
        <w:rPr>
          <w:lang w:val="de-DE"/>
        </w:rPr>
        <w:t>Der Minister oder sein Beauftragter konsultiert für jeden Entwurf eines Erlasses zur Ausführung des vorliegenden Paragraphen eine Vertretung des Sektors der betreffenden Produkte oder Dienste, der Verbraucher</w:t>
      </w:r>
      <w:r w:rsidR="005B7A5C" w:rsidRPr="004676F5">
        <w:rPr>
          <w:lang w:val="de-DE"/>
        </w:rPr>
        <w:t>- </w:t>
      </w:r>
      <w:r w:rsidRPr="004676F5">
        <w:rPr>
          <w:lang w:val="de-DE"/>
        </w:rPr>
        <w:t>und gegebenenfalls der Arbeitnehmerorganisationen.</w:t>
      </w:r>
    </w:p>
    <w:p w14:paraId="35C04F0A" w14:textId="77777777" w:rsidR="0009060C" w:rsidRPr="004676F5" w:rsidRDefault="0009060C" w:rsidP="0009060C">
      <w:pPr>
        <w:ind w:firstLine="708"/>
        <w:jc w:val="both"/>
        <w:rPr>
          <w:lang w:val="de-DE"/>
        </w:rPr>
      </w:pPr>
    </w:p>
    <w:p w14:paraId="2DA4F5D9" w14:textId="77777777" w:rsidR="0009060C" w:rsidRPr="004676F5" w:rsidRDefault="0009060C" w:rsidP="0009060C">
      <w:pPr>
        <w:ind w:firstLine="708"/>
        <w:jc w:val="both"/>
        <w:rPr>
          <w:lang w:val="de-DE"/>
        </w:rPr>
      </w:pPr>
      <w:r w:rsidRPr="004676F5">
        <w:rPr>
          <w:lang w:val="de-DE"/>
        </w:rPr>
        <w:t>Diese Konsultierung kann über einen Begutachtungsantrag, der an die Kommission für Verbrauchersicherheit gerichtet ist, erfolgen. Der Minister oder sein Beauftragter legt die Frist fest, innerhalb deren die Stellungnahme abzugeben ist. Diese Frist muss mindestens zwei Monate betragen. Nach Ablauf dieser Frist ist die Stellungnahme der Kommission nicht mehr erforderlich, insofern eine Konsultierung wie im vorhergehenden Absatz vorgesehen erfolgt.</w:t>
      </w:r>
    </w:p>
    <w:p w14:paraId="2C784DB1" w14:textId="77777777" w:rsidR="0009060C" w:rsidRPr="004676F5" w:rsidRDefault="0009060C" w:rsidP="0009060C">
      <w:pPr>
        <w:rPr>
          <w:lang w:val="de-DE"/>
        </w:rPr>
      </w:pPr>
    </w:p>
    <w:p w14:paraId="1E493A32" w14:textId="62A7DCA6" w:rsidR="0009060C" w:rsidRPr="004676F5" w:rsidRDefault="0009060C" w:rsidP="0009060C">
      <w:pPr>
        <w:ind w:firstLine="708"/>
        <w:jc w:val="both"/>
        <w:rPr>
          <w:lang w:val="de-DE"/>
        </w:rPr>
      </w:pPr>
      <w:r w:rsidRPr="004676F5">
        <w:rPr>
          <w:lang w:val="de-DE"/>
        </w:rPr>
        <w:t>§ 2 </w:t>
      </w:r>
      <w:r w:rsidR="005B7A5C" w:rsidRPr="004676F5">
        <w:rPr>
          <w:lang w:val="de-DE"/>
        </w:rPr>
        <w:t>- </w:t>
      </w:r>
      <w:r w:rsidRPr="004676F5">
        <w:rPr>
          <w:lang w:val="de-DE"/>
        </w:rPr>
        <w:t xml:space="preserve">Der Minister oder sein Beauftragter kann ein Produkt vom Markt nehmen oder einen Dienst verbieten, wenn festgestellt wird, dass ein oder mehrere Elemente des betreffenden Produkts der allgemeinen Sicherheitsanforderung oder einem Erlass zur Ausführung der Paragraphen 1 und 3 oder des Artikels IX.5 §§ 1 und 2 nicht entsprechen. </w:t>
      </w:r>
      <w:r w:rsidR="00E56C9E" w:rsidRPr="004676F5">
        <w:rPr>
          <w:lang w:val="de-DE"/>
        </w:rPr>
        <w:t>[Außer für Maßnahmen, die auf europäischer Ebene getroffene Maßnahmen umsetzen oder auf diesen fußen, konsultiert der Minister oder sein Beauftragter]</w:t>
      </w:r>
      <w:r w:rsidRPr="004676F5">
        <w:rPr>
          <w:lang w:val="de-DE"/>
        </w:rPr>
        <w:t xml:space="preserve"> vorher den Hersteller des betreffenden Produkts oder den betreffenden Dienstleistungserbringer und informiert ihn spätestens fünfzehn Tage, nachdem die Maßnahmen getroffen worden sind.</w:t>
      </w:r>
    </w:p>
    <w:p w14:paraId="7A4A6129" w14:textId="77777777" w:rsidR="0009060C" w:rsidRPr="004676F5" w:rsidRDefault="0009060C" w:rsidP="0009060C">
      <w:pPr>
        <w:ind w:firstLine="708"/>
        <w:rPr>
          <w:lang w:val="de-DE"/>
        </w:rPr>
      </w:pPr>
    </w:p>
    <w:p w14:paraId="127E494C" w14:textId="18EB277F" w:rsidR="0009060C" w:rsidRPr="004676F5" w:rsidRDefault="0009060C" w:rsidP="0009060C">
      <w:pPr>
        <w:ind w:firstLine="708"/>
        <w:jc w:val="both"/>
        <w:rPr>
          <w:lang w:val="de-DE"/>
        </w:rPr>
      </w:pPr>
      <w:r w:rsidRPr="004676F5">
        <w:rPr>
          <w:lang w:val="de-DE"/>
        </w:rPr>
        <w:t>§ 3 </w:t>
      </w:r>
      <w:r w:rsidR="005B7A5C" w:rsidRPr="004676F5">
        <w:rPr>
          <w:lang w:val="de-DE"/>
        </w:rPr>
        <w:t>- </w:t>
      </w:r>
      <w:r w:rsidRPr="004676F5">
        <w:rPr>
          <w:lang w:val="de-DE"/>
        </w:rPr>
        <w:t>Folgende Maßnahmen können ebenfalls in einem Erlass zur Ausführung von § 1 oder 2 angeordnet werden:</w:t>
      </w:r>
    </w:p>
    <w:p w14:paraId="11CEB590" w14:textId="77777777" w:rsidR="0009060C" w:rsidRPr="004676F5" w:rsidRDefault="0009060C" w:rsidP="0009060C">
      <w:pPr>
        <w:ind w:firstLine="708"/>
        <w:rPr>
          <w:lang w:val="de-DE"/>
        </w:rPr>
      </w:pPr>
    </w:p>
    <w:p w14:paraId="42181DB2" w14:textId="77777777" w:rsidR="0009060C" w:rsidRPr="004676F5" w:rsidRDefault="0009060C" w:rsidP="0009060C">
      <w:pPr>
        <w:ind w:firstLine="708"/>
        <w:jc w:val="both"/>
        <w:rPr>
          <w:lang w:val="de-DE"/>
        </w:rPr>
      </w:pPr>
      <w:r w:rsidRPr="004676F5">
        <w:rPr>
          <w:lang w:val="de-DE"/>
        </w:rPr>
        <w:t>1. Rücknahme vom Markt, Rücknahme zwecks Veränderung, vollständige beziehungsweise teilweise Erstattung oder Umtausch der betreffenden Produkte und Vernichtung dieser Produkte, wenn dies das einzige Mittel ist, das Risiko abzuwehren,</w:t>
      </w:r>
    </w:p>
    <w:p w14:paraId="3237FAF9" w14:textId="77777777" w:rsidR="0009060C" w:rsidRPr="004676F5" w:rsidRDefault="0009060C" w:rsidP="0009060C">
      <w:pPr>
        <w:rPr>
          <w:lang w:val="de-DE"/>
        </w:rPr>
      </w:pPr>
    </w:p>
    <w:p w14:paraId="28A3FCF9" w14:textId="77777777" w:rsidR="0009060C" w:rsidRPr="004676F5" w:rsidRDefault="0009060C" w:rsidP="0009060C">
      <w:pPr>
        <w:ind w:firstLine="708"/>
        <w:rPr>
          <w:lang w:val="de-DE"/>
        </w:rPr>
      </w:pPr>
      <w:r w:rsidRPr="004676F5">
        <w:rPr>
          <w:lang w:val="de-DE"/>
        </w:rPr>
        <w:t>2. Einstellung oder Regelung von Diensten,</w:t>
      </w:r>
    </w:p>
    <w:p w14:paraId="362CA01E" w14:textId="77777777" w:rsidR="0009060C" w:rsidRPr="004676F5" w:rsidRDefault="0009060C" w:rsidP="0009060C">
      <w:pPr>
        <w:ind w:firstLine="708"/>
        <w:rPr>
          <w:lang w:val="de-DE"/>
        </w:rPr>
      </w:pPr>
    </w:p>
    <w:p w14:paraId="6907798F" w14:textId="77777777" w:rsidR="0009060C" w:rsidRPr="004676F5" w:rsidRDefault="0009060C" w:rsidP="0009060C">
      <w:pPr>
        <w:ind w:firstLine="708"/>
        <w:rPr>
          <w:lang w:val="de-DE"/>
        </w:rPr>
      </w:pPr>
      <w:r w:rsidRPr="004676F5">
        <w:rPr>
          <w:lang w:val="de-DE"/>
        </w:rPr>
        <w:t>3. Verpflichtungen in Bezug auf die Aufklärung der Benutzer,</w:t>
      </w:r>
    </w:p>
    <w:p w14:paraId="5ECF5AE8" w14:textId="77777777" w:rsidR="0009060C" w:rsidRPr="004676F5" w:rsidRDefault="0009060C" w:rsidP="0009060C">
      <w:pPr>
        <w:ind w:firstLine="708"/>
        <w:rPr>
          <w:lang w:val="de-DE"/>
        </w:rPr>
      </w:pPr>
    </w:p>
    <w:p w14:paraId="53DF6F11" w14:textId="77777777" w:rsidR="0009060C" w:rsidRPr="004676F5" w:rsidRDefault="0009060C" w:rsidP="0009060C">
      <w:pPr>
        <w:ind w:firstLine="708"/>
        <w:rPr>
          <w:lang w:val="de-DE"/>
        </w:rPr>
      </w:pPr>
      <w:r w:rsidRPr="004676F5">
        <w:rPr>
          <w:lang w:val="de-DE"/>
        </w:rPr>
        <w:t>4. obligatorische und/oder fakultative Verfahren, Tests und Kennzeichnungen.</w:t>
      </w:r>
    </w:p>
    <w:p w14:paraId="3DB4B186" w14:textId="77777777" w:rsidR="0009060C" w:rsidRPr="004676F5" w:rsidRDefault="0009060C" w:rsidP="0009060C">
      <w:pPr>
        <w:ind w:firstLine="708"/>
        <w:rPr>
          <w:lang w:val="de-DE"/>
        </w:rPr>
      </w:pPr>
    </w:p>
    <w:p w14:paraId="580B2D0E" w14:textId="70BD27FF" w:rsidR="0009060C" w:rsidRPr="004676F5" w:rsidRDefault="0009060C" w:rsidP="0009060C">
      <w:pPr>
        <w:ind w:firstLine="708"/>
        <w:jc w:val="both"/>
        <w:rPr>
          <w:lang w:val="de-DE"/>
        </w:rPr>
      </w:pPr>
      <w:r w:rsidRPr="004676F5">
        <w:rPr>
          <w:lang w:val="de-DE"/>
        </w:rPr>
        <w:t>§ 4 </w:t>
      </w:r>
      <w:r w:rsidR="005B7A5C" w:rsidRPr="004676F5">
        <w:rPr>
          <w:lang w:val="de-DE"/>
        </w:rPr>
        <w:t>- </w:t>
      </w:r>
      <w:r w:rsidR="00E56C9E" w:rsidRPr="004676F5">
        <w:rPr>
          <w:lang w:val="de-DE"/>
        </w:rPr>
        <w:t>[...]</w:t>
      </w:r>
    </w:p>
    <w:p w14:paraId="3FCC67F3" w14:textId="77777777" w:rsidR="0009060C" w:rsidRPr="004676F5" w:rsidRDefault="0009060C" w:rsidP="0009060C">
      <w:pPr>
        <w:ind w:firstLine="708"/>
        <w:rPr>
          <w:lang w:val="de-DE"/>
        </w:rPr>
      </w:pPr>
    </w:p>
    <w:p w14:paraId="1FBCA467" w14:textId="77777777" w:rsidR="00E56C9E" w:rsidRPr="004676F5" w:rsidRDefault="00E56C9E">
      <w:pPr>
        <w:rPr>
          <w:lang w:val="de-DE"/>
        </w:rPr>
      </w:pPr>
      <w:r w:rsidRPr="004676F5">
        <w:rPr>
          <w:lang w:val="de-DE"/>
        </w:rPr>
        <w:br w:type="page"/>
      </w:r>
    </w:p>
    <w:p w14:paraId="22FBD611" w14:textId="5A7642B6" w:rsidR="0009060C" w:rsidRPr="004676F5" w:rsidRDefault="0009060C" w:rsidP="0009060C">
      <w:pPr>
        <w:ind w:firstLine="708"/>
        <w:jc w:val="both"/>
        <w:rPr>
          <w:lang w:val="de-DE"/>
        </w:rPr>
      </w:pPr>
      <w:r w:rsidRPr="004676F5">
        <w:rPr>
          <w:lang w:val="de-DE"/>
        </w:rPr>
        <w:lastRenderedPageBreak/>
        <w:t>§ 5 </w:t>
      </w:r>
      <w:r w:rsidR="005B7A5C" w:rsidRPr="004676F5">
        <w:rPr>
          <w:lang w:val="de-DE"/>
        </w:rPr>
        <w:t>- </w:t>
      </w:r>
      <w:r w:rsidRPr="004676F5">
        <w:rPr>
          <w:lang w:val="de-DE"/>
        </w:rPr>
        <w:t>Spätestens fünfzehn Tage nach Inkrafttreten eines Erlasses zur Ausführung des vorliegenden Artikels informiert der Minister oder sein Beauftragter die Kommission für Verbrauchersicherheit über die getroffenen Maßnahmen.</w:t>
      </w:r>
    </w:p>
    <w:p w14:paraId="32500B11" w14:textId="77777777" w:rsidR="00E56C9E" w:rsidRPr="004676F5" w:rsidRDefault="00E56C9E" w:rsidP="0009060C">
      <w:pPr>
        <w:ind w:firstLine="708"/>
        <w:jc w:val="both"/>
        <w:rPr>
          <w:lang w:val="de-DE"/>
        </w:rPr>
      </w:pPr>
    </w:p>
    <w:p w14:paraId="43C54A31" w14:textId="7771AFD2" w:rsidR="00E56C9E" w:rsidRPr="004676F5" w:rsidRDefault="00E56C9E" w:rsidP="00E56C9E">
      <w:pPr>
        <w:jc w:val="both"/>
        <w:rPr>
          <w:i/>
          <w:lang w:val="de-DE"/>
        </w:rPr>
      </w:pPr>
      <w:r w:rsidRPr="004676F5">
        <w:rPr>
          <w:i/>
          <w:lang w:val="de-DE"/>
        </w:rPr>
        <w:t>[</w:t>
      </w:r>
      <w:r w:rsidR="00BE0A56" w:rsidRPr="004676F5">
        <w:rPr>
          <w:i/>
          <w:lang w:val="de-DE"/>
        </w:rPr>
        <w:t>Art. </w:t>
      </w:r>
      <w:r w:rsidRPr="004676F5">
        <w:rPr>
          <w:i/>
          <w:lang w:val="de-DE"/>
        </w:rPr>
        <w:t xml:space="preserve">IX.4 § 2 abgeändert durch </w:t>
      </w:r>
      <w:r w:rsidR="00BE0A56" w:rsidRPr="004676F5">
        <w:rPr>
          <w:i/>
          <w:lang w:val="de-DE"/>
        </w:rPr>
        <w:t>Art. </w:t>
      </w:r>
      <w:r w:rsidRPr="004676F5">
        <w:rPr>
          <w:i/>
          <w:lang w:val="de-DE"/>
        </w:rPr>
        <w:t xml:space="preserve">21 Nr. 1 des G. vom 18. April 2017 (B.S. vom 24. April 2017); § 4 aufgehoben durch </w:t>
      </w:r>
      <w:r w:rsidR="00BE0A56" w:rsidRPr="004676F5">
        <w:rPr>
          <w:i/>
          <w:lang w:val="de-DE"/>
        </w:rPr>
        <w:t>Art. </w:t>
      </w:r>
      <w:r w:rsidRPr="004676F5">
        <w:rPr>
          <w:i/>
          <w:lang w:val="de-DE"/>
        </w:rPr>
        <w:t>21 Nr. 2 des G. vom 18. April 2017 (B.S. vom 24. April 2017)]</w:t>
      </w:r>
    </w:p>
    <w:p w14:paraId="02BC0A6D" w14:textId="77777777" w:rsidR="0009060C" w:rsidRPr="004676F5" w:rsidRDefault="0009060C" w:rsidP="0009060C">
      <w:pPr>
        <w:ind w:firstLine="708"/>
        <w:rPr>
          <w:lang w:val="de-DE"/>
        </w:rPr>
      </w:pPr>
    </w:p>
    <w:p w14:paraId="02E8BC29" w14:textId="77777777" w:rsidR="0009060C" w:rsidRPr="004676F5" w:rsidRDefault="0009060C" w:rsidP="0009060C">
      <w:pPr>
        <w:ind w:firstLine="708"/>
        <w:rPr>
          <w:lang w:val="de-DE"/>
        </w:rPr>
      </w:pPr>
    </w:p>
    <w:p w14:paraId="35872C17" w14:textId="297ACA9C" w:rsidR="0009060C" w:rsidRPr="004676F5" w:rsidRDefault="00BE0A56" w:rsidP="0009060C">
      <w:pPr>
        <w:ind w:firstLine="708"/>
        <w:jc w:val="both"/>
        <w:rPr>
          <w:lang w:val="de-DE"/>
        </w:rPr>
      </w:pPr>
      <w:r w:rsidRPr="004676F5">
        <w:rPr>
          <w:b/>
          <w:lang w:val="de-DE"/>
        </w:rPr>
        <w:t>Art. </w:t>
      </w:r>
      <w:r w:rsidR="0009060C" w:rsidRPr="004676F5">
        <w:rPr>
          <w:b/>
          <w:lang w:val="de-DE"/>
        </w:rPr>
        <w:t>IX.5</w:t>
      </w:r>
      <w:r w:rsidR="0009060C" w:rsidRPr="004676F5">
        <w:rPr>
          <w:lang w:val="de-DE"/>
        </w:rPr>
        <w:t xml:space="preserve"> </w:t>
      </w:r>
      <w:r w:rsidR="005B7A5C" w:rsidRPr="004676F5">
        <w:rPr>
          <w:lang w:val="de-DE"/>
        </w:rPr>
        <w:t>- </w:t>
      </w:r>
      <w:r w:rsidR="0009060C" w:rsidRPr="004676F5">
        <w:rPr>
          <w:lang w:val="de-DE"/>
        </w:rPr>
        <w:t>§ 1 </w:t>
      </w:r>
      <w:r w:rsidR="005B7A5C" w:rsidRPr="004676F5">
        <w:rPr>
          <w:lang w:val="de-DE"/>
        </w:rPr>
        <w:t>- </w:t>
      </w:r>
      <w:r w:rsidR="0009060C" w:rsidRPr="004676F5">
        <w:rPr>
          <w:lang w:val="de-DE"/>
        </w:rPr>
        <w:t>Bei ernster Gefahr kann der Minister oder sein Beauftragter für einen Zeitraum, der ein Jahr nicht überschreitet und höchstens einmal für maximal ein Jahr verlängert werden kann, ein mit Gründen versehenes Gesamt</w:t>
      </w:r>
      <w:r w:rsidR="005B7A5C" w:rsidRPr="004676F5">
        <w:rPr>
          <w:lang w:val="de-DE"/>
        </w:rPr>
        <w:t>- </w:t>
      </w:r>
      <w:r w:rsidR="0009060C" w:rsidRPr="004676F5">
        <w:rPr>
          <w:lang w:val="de-DE"/>
        </w:rPr>
        <w:t>oder Teilverbot ergreifen oder Bedingungen festlegen für:</w:t>
      </w:r>
    </w:p>
    <w:p w14:paraId="1DB34BDD" w14:textId="77777777" w:rsidR="0009060C" w:rsidRPr="004676F5" w:rsidRDefault="0009060C" w:rsidP="0009060C">
      <w:pPr>
        <w:ind w:firstLine="708"/>
        <w:jc w:val="both"/>
        <w:rPr>
          <w:lang w:val="de-DE"/>
        </w:rPr>
      </w:pPr>
    </w:p>
    <w:p w14:paraId="0272237F" w14:textId="42E987DF" w:rsidR="0009060C" w:rsidRPr="004676F5" w:rsidRDefault="0009060C" w:rsidP="0009060C">
      <w:pPr>
        <w:ind w:firstLine="708"/>
        <w:jc w:val="both"/>
        <w:rPr>
          <w:lang w:val="de-DE"/>
        </w:rPr>
      </w:pPr>
      <w:r w:rsidRPr="004676F5">
        <w:rPr>
          <w:lang w:val="de-DE"/>
        </w:rPr>
        <w:t xml:space="preserve">1. Herstellung, Einfuhr, Verarbeitung, Ausfuhr, Angebot, Ausstellung, Verkauf, Aufarbeitung, Beförderung, Verteilung </w:t>
      </w:r>
      <w:r w:rsidR="005B7A5C" w:rsidRPr="004676F5">
        <w:rPr>
          <w:lang w:val="de-DE"/>
        </w:rPr>
        <w:t>- </w:t>
      </w:r>
      <w:r w:rsidRPr="004676F5">
        <w:rPr>
          <w:lang w:val="de-DE"/>
        </w:rPr>
        <w:t>selbst kostenlos -, Vermietung, Bereitstellung, Lieferung nach Reparatur, Inbetriebnahme, Besitz, Etikettierung, Verpackung, Umlauf oder Gebrauchsweise eines Produkts oder einer Produktkategorie,</w:t>
      </w:r>
    </w:p>
    <w:p w14:paraId="6FC87A2D" w14:textId="77777777" w:rsidR="0009060C" w:rsidRPr="004676F5" w:rsidRDefault="0009060C" w:rsidP="0009060C">
      <w:pPr>
        <w:rPr>
          <w:lang w:val="de-DE"/>
        </w:rPr>
      </w:pPr>
    </w:p>
    <w:p w14:paraId="790415A5" w14:textId="77777777" w:rsidR="0009060C" w:rsidRPr="004676F5" w:rsidRDefault="0009060C" w:rsidP="0009060C">
      <w:pPr>
        <w:ind w:firstLine="708"/>
        <w:rPr>
          <w:lang w:val="de-DE"/>
        </w:rPr>
      </w:pPr>
      <w:r w:rsidRPr="004676F5">
        <w:rPr>
          <w:lang w:val="de-DE"/>
        </w:rPr>
        <w:t>2. Erbringung von Diensten in Bezug auf diese Produkte.</w:t>
      </w:r>
    </w:p>
    <w:p w14:paraId="2CBF511B" w14:textId="77777777" w:rsidR="0009060C" w:rsidRPr="004676F5" w:rsidRDefault="0009060C" w:rsidP="0009060C">
      <w:pPr>
        <w:ind w:firstLine="708"/>
        <w:rPr>
          <w:lang w:val="de-DE"/>
        </w:rPr>
      </w:pPr>
    </w:p>
    <w:p w14:paraId="42973D85" w14:textId="77777777" w:rsidR="0009060C" w:rsidRPr="004676F5" w:rsidRDefault="0009060C" w:rsidP="0009060C">
      <w:pPr>
        <w:ind w:firstLine="708"/>
        <w:jc w:val="both"/>
        <w:rPr>
          <w:lang w:val="de-DE"/>
        </w:rPr>
      </w:pPr>
      <w:r w:rsidRPr="004676F5">
        <w:rPr>
          <w:lang w:val="de-DE"/>
        </w:rPr>
        <w:t>Diese vorläufige Maßnahme kann gemäß den in Artikel IX.4 erwähnten Verfahren in eine endgültige Maßnahme umgewandelt werden.</w:t>
      </w:r>
    </w:p>
    <w:p w14:paraId="3F1FE072" w14:textId="77777777" w:rsidR="0009060C" w:rsidRPr="004676F5" w:rsidRDefault="0009060C" w:rsidP="0009060C">
      <w:pPr>
        <w:rPr>
          <w:lang w:val="de-DE"/>
        </w:rPr>
      </w:pPr>
    </w:p>
    <w:p w14:paraId="44F25A0B" w14:textId="027C427F" w:rsidR="0009060C" w:rsidRPr="004676F5" w:rsidRDefault="0009060C" w:rsidP="0009060C">
      <w:pPr>
        <w:ind w:firstLine="708"/>
        <w:jc w:val="both"/>
        <w:rPr>
          <w:lang w:val="de-DE"/>
        </w:rPr>
      </w:pPr>
      <w:r w:rsidRPr="004676F5">
        <w:rPr>
          <w:lang w:val="de-DE"/>
        </w:rPr>
        <w:t>§ 2 </w:t>
      </w:r>
      <w:r w:rsidR="005B7A5C" w:rsidRPr="004676F5">
        <w:rPr>
          <w:lang w:val="de-DE"/>
        </w:rPr>
        <w:t>- </w:t>
      </w:r>
      <w:r w:rsidRPr="004676F5">
        <w:rPr>
          <w:lang w:val="de-DE"/>
        </w:rPr>
        <w:t>In einem Erlass oder Beschluss zur Ausführung von § 1 können ebenfalls folgende Maßnahmen angeordnet werden:</w:t>
      </w:r>
    </w:p>
    <w:p w14:paraId="20752FAA" w14:textId="77777777" w:rsidR="0009060C" w:rsidRPr="004676F5" w:rsidRDefault="0009060C" w:rsidP="0009060C">
      <w:pPr>
        <w:ind w:firstLine="708"/>
        <w:rPr>
          <w:lang w:val="de-DE"/>
        </w:rPr>
      </w:pPr>
    </w:p>
    <w:p w14:paraId="4AB2542A" w14:textId="77777777" w:rsidR="0009060C" w:rsidRPr="004676F5" w:rsidRDefault="0009060C" w:rsidP="0009060C">
      <w:pPr>
        <w:ind w:firstLine="708"/>
        <w:jc w:val="both"/>
        <w:rPr>
          <w:lang w:val="de-DE"/>
        </w:rPr>
      </w:pPr>
      <w:r w:rsidRPr="004676F5">
        <w:rPr>
          <w:lang w:val="de-DE"/>
        </w:rPr>
        <w:t>1. Rücknahme vom Markt, Hinterlegung, Rücknahme zwecks Veränderung, vollständige beziehungsweise teilweise Erstattung oder Umtausch eines Produkts oder einer Produktkategorie und Vernichtung dieses Produkts oder dieser Produktkategorie, wenn dies das einzige Mittel ist, das Risiko abzuwehren,</w:t>
      </w:r>
    </w:p>
    <w:p w14:paraId="3653AD12" w14:textId="77777777" w:rsidR="0009060C" w:rsidRPr="004676F5" w:rsidRDefault="0009060C" w:rsidP="0009060C">
      <w:pPr>
        <w:ind w:firstLine="708"/>
        <w:rPr>
          <w:lang w:val="de-DE"/>
        </w:rPr>
      </w:pPr>
    </w:p>
    <w:p w14:paraId="43234EE6" w14:textId="77777777" w:rsidR="0009060C" w:rsidRPr="004676F5" w:rsidRDefault="0009060C" w:rsidP="0009060C">
      <w:pPr>
        <w:ind w:firstLine="708"/>
        <w:rPr>
          <w:lang w:val="de-DE"/>
        </w:rPr>
      </w:pPr>
      <w:r w:rsidRPr="004676F5">
        <w:rPr>
          <w:lang w:val="de-DE"/>
        </w:rPr>
        <w:t>2. Verpflichtungen in Bezug auf die Aufklärung der Benutzer.</w:t>
      </w:r>
    </w:p>
    <w:p w14:paraId="3C96B2B5" w14:textId="77777777" w:rsidR="0009060C" w:rsidRPr="004676F5" w:rsidRDefault="0009060C" w:rsidP="0009060C">
      <w:pPr>
        <w:ind w:firstLine="708"/>
        <w:rPr>
          <w:lang w:val="de-DE"/>
        </w:rPr>
      </w:pPr>
    </w:p>
    <w:p w14:paraId="7C52ABD5" w14:textId="1697FDAA" w:rsidR="0009060C" w:rsidRPr="004676F5" w:rsidRDefault="0009060C" w:rsidP="0009060C">
      <w:pPr>
        <w:ind w:firstLine="708"/>
        <w:jc w:val="both"/>
        <w:rPr>
          <w:lang w:val="de-DE"/>
        </w:rPr>
      </w:pPr>
      <w:r w:rsidRPr="004676F5">
        <w:rPr>
          <w:lang w:val="de-DE"/>
        </w:rPr>
        <w:t>§ 3 </w:t>
      </w:r>
      <w:r w:rsidR="005B7A5C" w:rsidRPr="004676F5">
        <w:rPr>
          <w:lang w:val="de-DE"/>
        </w:rPr>
        <w:t>- </w:t>
      </w:r>
      <w:r w:rsidRPr="004676F5">
        <w:rPr>
          <w:lang w:val="de-DE"/>
        </w:rPr>
        <w:t>Der Minister oder sein Beauftragter konsultiert vorher die Hersteller und/oder eine Vertretung des Sektors, ohne dass deswegen ein aufgrund der Umstände erforderlicher Noteinsatz jedoch beeinträchtigt werden darf. Wenn die Konsultierung aufgrund der Dringlichkeit der Maßnahme nicht vorher stattfinden kann, werden die betroffenen Parteien spätestens fünfzehn Tage, nachdem die Maßnahmen getroffen worden sind, davon in Kenntnis gesetzt.</w:t>
      </w:r>
    </w:p>
    <w:p w14:paraId="0A9701AB" w14:textId="77777777" w:rsidR="0009060C" w:rsidRPr="004676F5" w:rsidRDefault="0009060C" w:rsidP="0009060C">
      <w:pPr>
        <w:ind w:firstLine="708"/>
        <w:jc w:val="both"/>
        <w:rPr>
          <w:lang w:val="de-DE"/>
        </w:rPr>
      </w:pPr>
    </w:p>
    <w:p w14:paraId="5E27B730" w14:textId="5B5BAF77" w:rsidR="0009060C" w:rsidRPr="004676F5" w:rsidRDefault="0009060C" w:rsidP="0009060C">
      <w:pPr>
        <w:ind w:firstLine="708"/>
        <w:jc w:val="both"/>
        <w:rPr>
          <w:lang w:val="de-DE"/>
        </w:rPr>
      </w:pPr>
      <w:r w:rsidRPr="004676F5">
        <w:rPr>
          <w:lang w:val="de-DE"/>
        </w:rPr>
        <w:t>§ 4 </w:t>
      </w:r>
      <w:r w:rsidR="005B7A5C" w:rsidRPr="004676F5">
        <w:rPr>
          <w:lang w:val="de-DE"/>
        </w:rPr>
        <w:t>- </w:t>
      </w:r>
      <w:r w:rsidRPr="004676F5">
        <w:rPr>
          <w:lang w:val="de-DE"/>
        </w:rPr>
        <w:t>Für Erlasse, die auf europäischer Ebene getroffene Maßnahmen umsetzen oder auf diesen fußen, ist diese Konsultierung nicht erforderlich.</w:t>
      </w:r>
    </w:p>
    <w:p w14:paraId="34ABA3E0" w14:textId="77777777" w:rsidR="0009060C" w:rsidRPr="004676F5" w:rsidRDefault="0009060C" w:rsidP="0009060C">
      <w:pPr>
        <w:ind w:firstLine="708"/>
        <w:rPr>
          <w:lang w:val="de-DE"/>
        </w:rPr>
      </w:pPr>
    </w:p>
    <w:p w14:paraId="37BA9062" w14:textId="7FC039CF" w:rsidR="0009060C" w:rsidRPr="004676F5" w:rsidRDefault="0009060C" w:rsidP="0009060C">
      <w:pPr>
        <w:ind w:firstLine="708"/>
        <w:jc w:val="both"/>
        <w:rPr>
          <w:lang w:val="de-DE"/>
        </w:rPr>
      </w:pPr>
      <w:r w:rsidRPr="004676F5">
        <w:rPr>
          <w:lang w:val="de-DE"/>
        </w:rPr>
        <w:t>§ 5 </w:t>
      </w:r>
      <w:r w:rsidR="005B7A5C" w:rsidRPr="004676F5">
        <w:rPr>
          <w:lang w:val="de-DE"/>
        </w:rPr>
        <w:t>- </w:t>
      </w:r>
      <w:r w:rsidRPr="004676F5">
        <w:rPr>
          <w:lang w:val="de-DE"/>
        </w:rPr>
        <w:t>Spätestens fünfzehn Tage nach Inkrafttreten des Erlasses informiert der Minister oder sein Beauftragter die Kommission für Verbrauchersicherheit.</w:t>
      </w:r>
    </w:p>
    <w:p w14:paraId="0B41C86F" w14:textId="77777777" w:rsidR="0009060C" w:rsidRPr="004676F5" w:rsidRDefault="0009060C" w:rsidP="0009060C">
      <w:pPr>
        <w:rPr>
          <w:lang w:val="de-DE"/>
        </w:rPr>
      </w:pPr>
    </w:p>
    <w:p w14:paraId="75B31314" w14:textId="77777777" w:rsidR="0009060C" w:rsidRPr="004676F5" w:rsidRDefault="0009060C" w:rsidP="0009060C">
      <w:pPr>
        <w:rPr>
          <w:lang w:val="de-DE"/>
        </w:rPr>
      </w:pPr>
    </w:p>
    <w:p w14:paraId="71EFCE6A" w14:textId="43C83CEC" w:rsidR="0009060C" w:rsidRPr="004676F5" w:rsidRDefault="00BE0A56" w:rsidP="0009060C">
      <w:pPr>
        <w:ind w:firstLine="708"/>
        <w:jc w:val="both"/>
        <w:rPr>
          <w:lang w:val="de-DE"/>
        </w:rPr>
      </w:pPr>
      <w:r w:rsidRPr="004676F5">
        <w:rPr>
          <w:b/>
          <w:lang w:val="de-DE"/>
        </w:rPr>
        <w:t>Art. </w:t>
      </w:r>
      <w:r w:rsidR="0009060C" w:rsidRPr="004676F5">
        <w:rPr>
          <w:b/>
          <w:lang w:val="de-DE"/>
        </w:rPr>
        <w:t>IX.6</w:t>
      </w:r>
      <w:r w:rsidR="0009060C" w:rsidRPr="004676F5">
        <w:rPr>
          <w:lang w:val="de-DE"/>
        </w:rPr>
        <w:t xml:space="preserve"> </w:t>
      </w:r>
      <w:r w:rsidR="005B7A5C" w:rsidRPr="004676F5">
        <w:rPr>
          <w:lang w:val="de-DE"/>
        </w:rPr>
        <w:t>- </w:t>
      </w:r>
      <w:r w:rsidR="0009060C" w:rsidRPr="004676F5">
        <w:rPr>
          <w:lang w:val="de-DE"/>
        </w:rPr>
        <w:t xml:space="preserve">Entspricht ein Produkt oder ein Dienst der in vorliegendem Buch erwähnten allgemeinen Sicherheitsanforderung oder einem Erlass zur Ausführung der Artikel IX.4 §§ 1 bis 3 oder Artikel IX.5 §§ 1 und 2 nicht, können die mit der Ausführung der Bestimmungen der Artikel IX.4 und IX.5 verbundenen Kosten unter Bedingungen, die durch einen im Ministerrat </w:t>
      </w:r>
      <w:r w:rsidR="0009060C" w:rsidRPr="004676F5">
        <w:rPr>
          <w:lang w:val="de-DE"/>
        </w:rPr>
        <w:lastRenderedPageBreak/>
        <w:t>beratenen Königlichen Erlass festgelegt werden, dem betreffenden Hersteller zur Last gelegt werden.</w:t>
      </w:r>
    </w:p>
    <w:p w14:paraId="17CEA4EF" w14:textId="77777777" w:rsidR="0009060C" w:rsidRPr="004676F5" w:rsidRDefault="0009060C" w:rsidP="0009060C">
      <w:pPr>
        <w:ind w:firstLine="708"/>
        <w:rPr>
          <w:lang w:val="de-DE"/>
        </w:rPr>
      </w:pPr>
    </w:p>
    <w:p w14:paraId="6D9A1201" w14:textId="77777777" w:rsidR="00E56C9E" w:rsidRPr="004676F5" w:rsidRDefault="00E56C9E" w:rsidP="0009060C">
      <w:pPr>
        <w:ind w:firstLine="708"/>
        <w:rPr>
          <w:lang w:val="de-DE"/>
        </w:rPr>
      </w:pPr>
    </w:p>
    <w:p w14:paraId="4AB19E82" w14:textId="7290A460" w:rsidR="0009060C" w:rsidRPr="004676F5" w:rsidRDefault="00BE0A56" w:rsidP="0009060C">
      <w:pPr>
        <w:ind w:firstLine="708"/>
        <w:rPr>
          <w:lang w:val="de-DE"/>
        </w:rPr>
      </w:pPr>
      <w:r w:rsidRPr="004676F5">
        <w:rPr>
          <w:b/>
          <w:lang w:val="de-DE"/>
        </w:rPr>
        <w:t>Art. </w:t>
      </w:r>
      <w:r w:rsidR="0009060C" w:rsidRPr="004676F5">
        <w:rPr>
          <w:b/>
          <w:lang w:val="de-DE"/>
        </w:rPr>
        <w:t>IX.7</w:t>
      </w:r>
      <w:r w:rsidR="0009060C" w:rsidRPr="004676F5">
        <w:rPr>
          <w:lang w:val="de-DE"/>
        </w:rPr>
        <w:t xml:space="preserve"> </w:t>
      </w:r>
      <w:r w:rsidR="005B7A5C" w:rsidRPr="004676F5">
        <w:rPr>
          <w:lang w:val="de-DE"/>
        </w:rPr>
        <w:t>- </w:t>
      </w:r>
      <w:r w:rsidR="0009060C" w:rsidRPr="004676F5">
        <w:rPr>
          <w:lang w:val="de-DE"/>
        </w:rPr>
        <w:t>Der Minister oder sein Beauftragter kann:</w:t>
      </w:r>
    </w:p>
    <w:p w14:paraId="1B1ABBAB" w14:textId="77777777" w:rsidR="0009060C" w:rsidRPr="004676F5" w:rsidRDefault="0009060C" w:rsidP="0009060C">
      <w:pPr>
        <w:ind w:firstLine="708"/>
        <w:rPr>
          <w:lang w:val="de-DE"/>
        </w:rPr>
      </w:pPr>
    </w:p>
    <w:p w14:paraId="6B9E4BD0" w14:textId="77777777" w:rsidR="0009060C" w:rsidRPr="004676F5" w:rsidRDefault="0009060C" w:rsidP="0009060C">
      <w:pPr>
        <w:ind w:firstLine="708"/>
        <w:jc w:val="both"/>
        <w:rPr>
          <w:lang w:val="de-DE"/>
        </w:rPr>
      </w:pPr>
      <w:r w:rsidRPr="004676F5">
        <w:rPr>
          <w:lang w:val="de-DE"/>
        </w:rPr>
        <w:t>1. Herstellern Verwarnungen erteilen und sie darum bitten, Produkte oder Dienste, die sie dem Benutzer anbieten, in Übereinstimmung mit Artikel IX.2 oder mit Erlassen zur Ausführung von Artikel IX.4 §§ 1 bis 3 oder Artikel IX.5 §§ 1 und 2 zu bringen.</w:t>
      </w:r>
    </w:p>
    <w:p w14:paraId="32CF4959" w14:textId="77777777" w:rsidR="0009060C" w:rsidRPr="004676F5" w:rsidRDefault="0009060C" w:rsidP="0009060C">
      <w:pPr>
        <w:rPr>
          <w:lang w:val="de-DE"/>
        </w:rPr>
      </w:pPr>
    </w:p>
    <w:p w14:paraId="553DACA1" w14:textId="77777777" w:rsidR="0009060C" w:rsidRPr="004676F5" w:rsidRDefault="0009060C" w:rsidP="0009060C">
      <w:pPr>
        <w:ind w:firstLine="708"/>
        <w:jc w:val="both"/>
        <w:rPr>
          <w:lang w:val="de-DE"/>
        </w:rPr>
      </w:pPr>
      <w:r w:rsidRPr="004676F5">
        <w:rPr>
          <w:lang w:val="de-DE"/>
        </w:rPr>
        <w:t xml:space="preserve">2. die betreffenden Hersteller anweisen, innerhalb einer bestimmten Frist und auf eigene Kosten Produkte oder Dienste, die sie </w:t>
      </w:r>
      <w:r w:rsidR="004F6B42" w:rsidRPr="004676F5">
        <w:rPr>
          <w:lang w:val="de-DE"/>
        </w:rPr>
        <w:t>[dem Benutzer]</w:t>
      </w:r>
      <w:r w:rsidRPr="004676F5">
        <w:rPr>
          <w:lang w:val="de-DE"/>
        </w:rPr>
        <w:t xml:space="preserve"> anbieten, einer Analyse oder einer Kontrolle durch ein unabhängiges Labor zu unterwerfen, wenn für ein Produkt oder einen Dienst, die schon im Handel sind, ausreichende Indizien dafür bestehen, dass sie gefährlich sind, oder wenn die Eigenschaften eines neuen Produkts oder eines neuen Dienstes diese Vorsichtsmaßnahme rechtfertigen. </w:t>
      </w:r>
    </w:p>
    <w:p w14:paraId="3A147966" w14:textId="77777777" w:rsidR="0009060C" w:rsidRPr="004676F5" w:rsidRDefault="0009060C" w:rsidP="0009060C">
      <w:pPr>
        <w:ind w:firstLine="708"/>
        <w:rPr>
          <w:lang w:val="de-DE"/>
        </w:rPr>
      </w:pPr>
    </w:p>
    <w:p w14:paraId="3E8220E3" w14:textId="77777777" w:rsidR="0009060C" w:rsidRPr="004676F5" w:rsidRDefault="0009060C" w:rsidP="0009060C">
      <w:pPr>
        <w:ind w:firstLine="708"/>
        <w:jc w:val="both"/>
        <w:rPr>
          <w:lang w:val="de-DE"/>
        </w:rPr>
      </w:pPr>
      <w:r w:rsidRPr="004676F5">
        <w:rPr>
          <w:lang w:val="de-DE"/>
        </w:rPr>
        <w:t>In einem Erlass bestimmt der König die Bedingungen für eine eventuelle Erstattung der bei diesen Analysen oder Kontrollen vom Hersteller getragenen Kosten.</w:t>
      </w:r>
    </w:p>
    <w:p w14:paraId="21346E59" w14:textId="77777777" w:rsidR="0009060C" w:rsidRPr="004676F5" w:rsidRDefault="0009060C" w:rsidP="0009060C">
      <w:pPr>
        <w:ind w:firstLine="708"/>
        <w:jc w:val="both"/>
        <w:rPr>
          <w:lang w:val="de-DE"/>
        </w:rPr>
      </w:pPr>
    </w:p>
    <w:p w14:paraId="737A038D" w14:textId="77777777" w:rsidR="0009060C" w:rsidRPr="004676F5" w:rsidRDefault="0009060C" w:rsidP="0009060C">
      <w:pPr>
        <w:ind w:firstLine="708"/>
        <w:jc w:val="both"/>
        <w:rPr>
          <w:lang w:val="de-DE"/>
        </w:rPr>
      </w:pPr>
      <w:r w:rsidRPr="004676F5">
        <w:rPr>
          <w:lang w:val="de-DE"/>
        </w:rPr>
        <w:t>Solange ein Produkt oder ein Dienst der in Anwendung des vorliegenden Artikels vorgeschriebenen Analyse oder Kontrolle nicht unterworfen worden ist, wird davon ausgegangen, dass außer bei Beweis des Gegenteils dieses Produkt oder dieser Dienst die Anforderungen von Artikel IX.2 nicht erfüllt.</w:t>
      </w:r>
    </w:p>
    <w:p w14:paraId="2AE73368" w14:textId="77777777" w:rsidR="004F6B42" w:rsidRPr="004676F5" w:rsidRDefault="004F6B42" w:rsidP="0009060C">
      <w:pPr>
        <w:ind w:firstLine="708"/>
        <w:jc w:val="both"/>
        <w:rPr>
          <w:lang w:val="de-DE"/>
        </w:rPr>
      </w:pPr>
    </w:p>
    <w:p w14:paraId="02ABE7F0" w14:textId="5A21CCE3" w:rsidR="004F6B42" w:rsidRPr="004676F5" w:rsidRDefault="004F6B42" w:rsidP="004F6B42">
      <w:pPr>
        <w:jc w:val="both"/>
        <w:rPr>
          <w:i/>
          <w:lang w:val="de-DE"/>
        </w:rPr>
      </w:pPr>
      <w:r w:rsidRPr="004676F5">
        <w:rPr>
          <w:i/>
          <w:lang w:val="de-DE"/>
        </w:rPr>
        <w:t>[</w:t>
      </w:r>
      <w:r w:rsidR="00BE0A56" w:rsidRPr="004676F5">
        <w:rPr>
          <w:i/>
          <w:lang w:val="de-DE"/>
        </w:rPr>
        <w:t>Art. </w:t>
      </w:r>
      <w:r w:rsidRPr="004676F5">
        <w:rPr>
          <w:i/>
          <w:lang w:val="de-DE"/>
        </w:rPr>
        <w:t xml:space="preserve">IX.7 Abs. 1 Nr. 2 abgeändert durch </w:t>
      </w:r>
      <w:r w:rsidR="00BE0A56" w:rsidRPr="004676F5">
        <w:rPr>
          <w:i/>
          <w:lang w:val="de-DE"/>
        </w:rPr>
        <w:t>Art. </w:t>
      </w:r>
      <w:r w:rsidRPr="004676F5">
        <w:rPr>
          <w:i/>
          <w:lang w:val="de-DE"/>
        </w:rPr>
        <w:t>45</w:t>
      </w:r>
      <w:r w:rsidRPr="004676F5">
        <w:rPr>
          <w:i/>
          <w:iCs/>
          <w:lang w:val="de-DE"/>
        </w:rPr>
        <w:t xml:space="preserve"> </w:t>
      </w:r>
      <w:r w:rsidRPr="004676F5">
        <w:rPr>
          <w:i/>
          <w:lang w:val="de-DE"/>
        </w:rPr>
        <w:t>des G. vom 26. Oktober 2015 (B.S. vom 30. Oktober 2015)]</w:t>
      </w:r>
    </w:p>
    <w:p w14:paraId="17ED9CC9" w14:textId="77777777" w:rsidR="0009060C" w:rsidRPr="004676F5" w:rsidRDefault="0009060C" w:rsidP="0009060C">
      <w:pPr>
        <w:ind w:firstLine="708"/>
        <w:jc w:val="both"/>
        <w:rPr>
          <w:lang w:val="de-DE"/>
        </w:rPr>
      </w:pPr>
    </w:p>
    <w:p w14:paraId="11A48026" w14:textId="77777777" w:rsidR="0009060C" w:rsidRPr="004676F5" w:rsidRDefault="0009060C" w:rsidP="0009060C">
      <w:pPr>
        <w:ind w:firstLine="708"/>
        <w:jc w:val="both"/>
        <w:rPr>
          <w:lang w:val="de-DE"/>
        </w:rPr>
      </w:pPr>
    </w:p>
    <w:p w14:paraId="6ED4F3F7" w14:textId="10E2E9E1" w:rsidR="0009060C" w:rsidRPr="004676F5" w:rsidRDefault="00BE0A56" w:rsidP="0009060C">
      <w:pPr>
        <w:ind w:firstLine="708"/>
        <w:jc w:val="both"/>
        <w:rPr>
          <w:lang w:val="de-DE"/>
        </w:rPr>
      </w:pPr>
      <w:r w:rsidRPr="004676F5">
        <w:rPr>
          <w:b/>
          <w:lang w:val="de-DE"/>
        </w:rPr>
        <w:t>Art. </w:t>
      </w:r>
      <w:r w:rsidR="0009060C" w:rsidRPr="004676F5">
        <w:rPr>
          <w:b/>
          <w:lang w:val="de-DE"/>
        </w:rPr>
        <w:t>IX.8</w:t>
      </w:r>
      <w:r w:rsidR="0009060C" w:rsidRPr="004676F5">
        <w:rPr>
          <w:lang w:val="de-DE"/>
        </w:rPr>
        <w:t xml:space="preserve"> </w:t>
      </w:r>
      <w:r w:rsidR="005B7A5C" w:rsidRPr="004676F5">
        <w:rPr>
          <w:lang w:val="de-DE"/>
        </w:rPr>
        <w:t>- </w:t>
      </w:r>
      <w:r w:rsidR="0009060C" w:rsidRPr="004676F5">
        <w:rPr>
          <w:lang w:val="de-DE"/>
        </w:rPr>
        <w:t>§ 1 </w:t>
      </w:r>
      <w:r w:rsidR="005B7A5C" w:rsidRPr="004676F5">
        <w:rPr>
          <w:lang w:val="de-DE"/>
        </w:rPr>
        <w:t>- </w:t>
      </w:r>
      <w:r w:rsidR="0009060C" w:rsidRPr="004676F5">
        <w:rPr>
          <w:lang w:val="de-DE"/>
        </w:rPr>
        <w:t>Die Hersteller haben im Rahmen ihrer jeweiligen Geschäftstätigkeit dem Benutzer Informationen zu erteilen, damit er die Gefahren, die von dem Produkt während der üblichen oder nach vernünftigem Ermessen vorhersehbaren Gebrauchsdauer ausgehen und ohne entsprechende Warnhinweise nicht unmittelbar erkennbar sind, beurteilen und sich dagegen schützen kann.</w:t>
      </w:r>
    </w:p>
    <w:p w14:paraId="7AA0337A" w14:textId="77777777" w:rsidR="0009060C" w:rsidRPr="004676F5" w:rsidRDefault="0009060C" w:rsidP="0009060C">
      <w:pPr>
        <w:ind w:firstLine="708"/>
        <w:jc w:val="both"/>
        <w:rPr>
          <w:lang w:val="de-DE"/>
        </w:rPr>
      </w:pPr>
    </w:p>
    <w:p w14:paraId="6EE3CD1F" w14:textId="77777777" w:rsidR="0009060C" w:rsidRPr="004676F5" w:rsidRDefault="0009060C" w:rsidP="0009060C">
      <w:pPr>
        <w:ind w:firstLine="708"/>
        <w:jc w:val="both"/>
        <w:rPr>
          <w:lang w:val="de-DE"/>
        </w:rPr>
      </w:pPr>
      <w:r w:rsidRPr="004676F5">
        <w:rPr>
          <w:lang w:val="de-DE"/>
        </w:rPr>
        <w:t>Die Anbringung solcher Warnhinweise entbindet jedoch nicht von der Verpflichtung, die übrigen Sicherheitsanforderungen des vorliegenden Buches zu beachten.</w:t>
      </w:r>
    </w:p>
    <w:p w14:paraId="34411D91" w14:textId="77777777" w:rsidR="0009060C" w:rsidRPr="004676F5" w:rsidRDefault="0009060C" w:rsidP="0009060C">
      <w:pPr>
        <w:jc w:val="both"/>
        <w:rPr>
          <w:lang w:val="de-DE"/>
        </w:rPr>
      </w:pPr>
    </w:p>
    <w:p w14:paraId="41180E88" w14:textId="0082E2D1" w:rsidR="0009060C" w:rsidRPr="004676F5" w:rsidRDefault="0009060C" w:rsidP="0009060C">
      <w:pPr>
        <w:ind w:firstLine="708"/>
        <w:jc w:val="both"/>
        <w:rPr>
          <w:lang w:val="de-DE"/>
        </w:rPr>
      </w:pPr>
      <w:r w:rsidRPr="004676F5">
        <w:rPr>
          <w:lang w:val="de-DE"/>
        </w:rPr>
        <w:t>§ 2 </w:t>
      </w:r>
      <w:r w:rsidR="005B7A5C" w:rsidRPr="004676F5">
        <w:rPr>
          <w:lang w:val="de-DE"/>
        </w:rPr>
        <w:t>- </w:t>
      </w:r>
      <w:r w:rsidRPr="004676F5">
        <w:rPr>
          <w:lang w:val="de-DE"/>
        </w:rPr>
        <w:t>Die Hersteller haben im Rahmen ihrer jeweiligen Geschäftstätigkeit Maßnahmen zu treffen, die den Eigenschaften der von ihnen gelieferten Produkte oder geleisteten Dienste angemessen sind, damit sie imstande sind:</w:t>
      </w:r>
    </w:p>
    <w:p w14:paraId="52F23C7D" w14:textId="77777777" w:rsidR="0009060C" w:rsidRPr="004676F5" w:rsidRDefault="0009060C" w:rsidP="0009060C">
      <w:pPr>
        <w:ind w:firstLine="708"/>
        <w:rPr>
          <w:lang w:val="de-DE"/>
        </w:rPr>
      </w:pPr>
    </w:p>
    <w:p w14:paraId="32077362" w14:textId="77777777" w:rsidR="0009060C" w:rsidRPr="004676F5" w:rsidRDefault="0009060C" w:rsidP="0009060C">
      <w:pPr>
        <w:ind w:firstLine="708"/>
        <w:rPr>
          <w:lang w:val="de-DE"/>
        </w:rPr>
      </w:pPr>
      <w:r w:rsidRPr="004676F5">
        <w:rPr>
          <w:lang w:val="de-DE"/>
        </w:rPr>
        <w:t>1. etwaige von diesen Produkten oder Diensten ausgehende Gefahren zu erkennen,</w:t>
      </w:r>
    </w:p>
    <w:p w14:paraId="62E246A0" w14:textId="77777777" w:rsidR="0009060C" w:rsidRPr="004676F5" w:rsidRDefault="0009060C" w:rsidP="0009060C">
      <w:pPr>
        <w:ind w:firstLine="708"/>
        <w:rPr>
          <w:lang w:val="de-DE"/>
        </w:rPr>
      </w:pPr>
    </w:p>
    <w:p w14:paraId="1DBC41AB" w14:textId="77777777" w:rsidR="0009060C" w:rsidRPr="004676F5" w:rsidRDefault="0009060C" w:rsidP="0009060C">
      <w:pPr>
        <w:ind w:firstLine="708"/>
        <w:jc w:val="both"/>
        <w:rPr>
          <w:lang w:val="de-DE"/>
        </w:rPr>
      </w:pPr>
      <w:r w:rsidRPr="004676F5">
        <w:rPr>
          <w:lang w:val="de-DE"/>
        </w:rPr>
        <w:t>2. zu deren Vermeidung zweckmäßige Vorkehrungen treffen zu können, erforderlichenfalls einschließlich der Rücknahme vom Markt, der angemessenen und wirksamen Warnung der Benutzer und des Rückrufs bei den Benutzern. Diese Maßnahmen können in Anwendung der Artikel IX.4 und IX.5 entweder vom König, vom Minister oder von seinem Beauftragten vorgeschrieben werden.</w:t>
      </w:r>
    </w:p>
    <w:p w14:paraId="5A2FF2EB" w14:textId="77777777" w:rsidR="0009060C" w:rsidRPr="004676F5" w:rsidRDefault="0009060C" w:rsidP="0009060C">
      <w:pPr>
        <w:rPr>
          <w:lang w:val="de-DE"/>
        </w:rPr>
      </w:pPr>
    </w:p>
    <w:p w14:paraId="7C870B3E" w14:textId="77777777" w:rsidR="00E56C9E" w:rsidRPr="004676F5" w:rsidRDefault="00E56C9E">
      <w:pPr>
        <w:rPr>
          <w:lang w:val="de-DE"/>
        </w:rPr>
      </w:pPr>
      <w:r w:rsidRPr="004676F5">
        <w:rPr>
          <w:lang w:val="de-DE"/>
        </w:rPr>
        <w:br w:type="page"/>
      </w:r>
    </w:p>
    <w:p w14:paraId="63C73C9D" w14:textId="77777777" w:rsidR="0009060C" w:rsidRPr="004676F5" w:rsidRDefault="0009060C" w:rsidP="0009060C">
      <w:pPr>
        <w:ind w:firstLine="708"/>
        <w:rPr>
          <w:lang w:val="de-DE"/>
        </w:rPr>
      </w:pPr>
      <w:r w:rsidRPr="004676F5">
        <w:rPr>
          <w:lang w:val="de-DE"/>
        </w:rPr>
        <w:lastRenderedPageBreak/>
        <w:t>Diese Maßnahmen umfassen unter anderem:</w:t>
      </w:r>
    </w:p>
    <w:p w14:paraId="6D6D2CDF" w14:textId="77777777" w:rsidR="0009060C" w:rsidRPr="004676F5" w:rsidRDefault="0009060C" w:rsidP="0009060C">
      <w:pPr>
        <w:rPr>
          <w:lang w:val="de-DE"/>
        </w:rPr>
      </w:pPr>
    </w:p>
    <w:p w14:paraId="105F5F0D" w14:textId="77777777" w:rsidR="0009060C" w:rsidRPr="004676F5" w:rsidRDefault="0009060C" w:rsidP="0009060C">
      <w:pPr>
        <w:ind w:firstLine="708"/>
        <w:jc w:val="both"/>
        <w:rPr>
          <w:lang w:val="de-DE"/>
        </w:rPr>
      </w:pPr>
      <w:r w:rsidRPr="004676F5">
        <w:rPr>
          <w:lang w:val="de-DE"/>
        </w:rPr>
        <w:t>1. die Angabe des Herstellers und seiner Adresse auf dem Produkt oder auf dessen Verpackung sowie die Kennzeichnung des Produkts oder gegebenenfalls des Produktpostens, zu dem es gehört, es sei denn, die Weglassung dieser Angabe ist gerechtfertigt, und</w:t>
      </w:r>
    </w:p>
    <w:p w14:paraId="35CE28E6" w14:textId="77777777" w:rsidR="0009060C" w:rsidRPr="004676F5" w:rsidRDefault="0009060C" w:rsidP="0009060C">
      <w:pPr>
        <w:ind w:firstLine="708"/>
        <w:jc w:val="both"/>
        <w:rPr>
          <w:lang w:val="de-DE"/>
        </w:rPr>
      </w:pPr>
    </w:p>
    <w:p w14:paraId="4103DBB7" w14:textId="77777777" w:rsidR="0009060C" w:rsidRPr="004676F5" w:rsidRDefault="0009060C" w:rsidP="0009060C">
      <w:pPr>
        <w:ind w:firstLine="708"/>
        <w:jc w:val="both"/>
        <w:rPr>
          <w:lang w:val="de-DE"/>
        </w:rPr>
      </w:pPr>
      <w:r w:rsidRPr="004676F5">
        <w:rPr>
          <w:lang w:val="de-DE"/>
        </w:rPr>
        <w:t>2. sofern zweckmäßig, die Durchführung von Stichproben bei den in Verkehr gebrachten Produkten, die Prüfung der Beschwerden und gegebenenfalls die Führung eines Beschwerdebuchs sowie die Unterrichtung der Händler über die weiteren Maßnahmen in Bezug auf das Produkt.</w:t>
      </w:r>
    </w:p>
    <w:p w14:paraId="4C10E55B" w14:textId="77777777" w:rsidR="0009060C" w:rsidRPr="004676F5" w:rsidRDefault="0009060C" w:rsidP="0009060C">
      <w:pPr>
        <w:ind w:firstLine="708"/>
        <w:rPr>
          <w:lang w:val="de-DE"/>
        </w:rPr>
      </w:pPr>
    </w:p>
    <w:p w14:paraId="3F3BA0C9" w14:textId="28A941C4" w:rsidR="0009060C" w:rsidRPr="004676F5" w:rsidRDefault="0009060C" w:rsidP="0009060C">
      <w:pPr>
        <w:ind w:firstLine="708"/>
        <w:jc w:val="both"/>
        <w:rPr>
          <w:lang w:val="de-DE"/>
        </w:rPr>
      </w:pPr>
      <w:r w:rsidRPr="004676F5">
        <w:rPr>
          <w:lang w:val="de-DE"/>
        </w:rPr>
        <w:t>§ 3 </w:t>
      </w:r>
      <w:r w:rsidR="005B7A5C" w:rsidRPr="004676F5">
        <w:rPr>
          <w:lang w:val="de-DE"/>
        </w:rPr>
        <w:t>- </w:t>
      </w:r>
      <w:r w:rsidRPr="004676F5">
        <w:rPr>
          <w:lang w:val="de-DE"/>
        </w:rPr>
        <w:t>Die Händler haben zur Einhaltung der anwendbaren Sicherheitsanforderungen beizutragen, indem sie insbesondere keine Produkte liefern, von denen sie wissen oder bei denen sie anhand der ihnen vorliegenden Informationen und als Gewerbetreibende hätten davon ausgehen müssen, dass sie diesen Anforderungen nicht genügen. Im Rahmen ihrer jeweiligen Geschäftstätigkeit haben sie außerdem an der Überwachung der Sicherheit der in Verkehr gebrachten Produkte mitzuwirken, insbesondere durch Weitergabe von Hinweisen auf eine von den Produkten ausgehende Gefährdung, durch Aufbewahren und Bereitstellen der zur Rückverfolgung von Produkten erforderlichen Dokumentation und durch Mitarbeit an Maßnahmen der Hersteller und zuständigen Behörden zur Vermeidung der Gefahren.</w:t>
      </w:r>
    </w:p>
    <w:p w14:paraId="6D9418DB" w14:textId="77777777" w:rsidR="0009060C" w:rsidRPr="004676F5" w:rsidRDefault="0009060C" w:rsidP="0009060C">
      <w:pPr>
        <w:ind w:firstLine="708"/>
        <w:jc w:val="both"/>
        <w:rPr>
          <w:lang w:val="de-DE"/>
        </w:rPr>
      </w:pPr>
    </w:p>
    <w:p w14:paraId="658A8197" w14:textId="1B04C07A" w:rsidR="0009060C" w:rsidRPr="004676F5" w:rsidRDefault="0009060C" w:rsidP="0009060C">
      <w:pPr>
        <w:ind w:firstLine="708"/>
        <w:jc w:val="both"/>
        <w:rPr>
          <w:lang w:val="de-DE"/>
        </w:rPr>
      </w:pPr>
      <w:r w:rsidRPr="004676F5">
        <w:rPr>
          <w:lang w:val="de-DE"/>
        </w:rPr>
        <w:t>§ 4 </w:t>
      </w:r>
      <w:r w:rsidR="005B7A5C" w:rsidRPr="004676F5">
        <w:rPr>
          <w:lang w:val="de-DE"/>
        </w:rPr>
        <w:t>- </w:t>
      </w:r>
      <w:r w:rsidRPr="004676F5">
        <w:rPr>
          <w:lang w:val="de-DE"/>
        </w:rPr>
        <w:t>Wenn die Hersteller und Händler anhand der ihnen vorliegenden Informationen und als Gewerbetreibende wissen oder wissen müssen, dass ein Produkt oder ein Dienst, die sie in Verkehr gebracht haben, für den Benutzer eine Gefahr darstellt, die mit der allgemeinen Sicherheitsanforderung oder einem Erlass zur Ausführung von Artikel IX.4 §§ 1 und 3 oder Artikel IX.5 §§ 1 und 2 unvereinbar ist, haben sie unverzüglich die Zentrale Güterberatungsstelle zu informieren. Sie teilen mindestens folgende Informationen mit:</w:t>
      </w:r>
    </w:p>
    <w:p w14:paraId="0D9A7DC3" w14:textId="77777777" w:rsidR="0009060C" w:rsidRPr="004676F5" w:rsidRDefault="0009060C" w:rsidP="0009060C">
      <w:pPr>
        <w:ind w:firstLine="708"/>
        <w:jc w:val="both"/>
        <w:rPr>
          <w:lang w:val="de-DE"/>
        </w:rPr>
      </w:pPr>
    </w:p>
    <w:p w14:paraId="7AD757A3" w14:textId="77777777" w:rsidR="0009060C" w:rsidRPr="004676F5" w:rsidRDefault="0009060C" w:rsidP="0009060C">
      <w:pPr>
        <w:ind w:firstLine="708"/>
        <w:jc w:val="both"/>
        <w:rPr>
          <w:lang w:val="de-DE"/>
        </w:rPr>
      </w:pPr>
      <w:r w:rsidRPr="004676F5">
        <w:rPr>
          <w:lang w:val="de-DE"/>
        </w:rPr>
        <w:t>1. Angaben zur genauen Identifizierung des betreffenden Produkts oder Produktpostens,</w:t>
      </w:r>
    </w:p>
    <w:p w14:paraId="3249F217" w14:textId="77777777" w:rsidR="0009060C" w:rsidRPr="004676F5" w:rsidRDefault="0009060C" w:rsidP="0009060C">
      <w:pPr>
        <w:ind w:firstLine="708"/>
        <w:rPr>
          <w:lang w:val="de-DE"/>
        </w:rPr>
      </w:pPr>
    </w:p>
    <w:p w14:paraId="59D92928" w14:textId="77777777" w:rsidR="0009060C" w:rsidRPr="004676F5" w:rsidRDefault="0009060C" w:rsidP="0009060C">
      <w:pPr>
        <w:ind w:firstLine="708"/>
        <w:jc w:val="both"/>
        <w:rPr>
          <w:lang w:val="de-DE"/>
        </w:rPr>
      </w:pPr>
      <w:r w:rsidRPr="004676F5">
        <w:rPr>
          <w:lang w:val="de-DE"/>
        </w:rPr>
        <w:t>2. vollständige Beschreibung der mit den betreffenden Produkten verbundenen Gefahren,</w:t>
      </w:r>
    </w:p>
    <w:p w14:paraId="7B0CC456" w14:textId="77777777" w:rsidR="0009060C" w:rsidRPr="004676F5" w:rsidRDefault="0009060C" w:rsidP="0009060C">
      <w:pPr>
        <w:ind w:firstLine="708"/>
        <w:rPr>
          <w:lang w:val="de-DE"/>
        </w:rPr>
      </w:pPr>
    </w:p>
    <w:p w14:paraId="33D50B28" w14:textId="77777777" w:rsidR="0009060C" w:rsidRPr="004676F5" w:rsidRDefault="0009060C" w:rsidP="0009060C">
      <w:pPr>
        <w:ind w:firstLine="708"/>
        <w:rPr>
          <w:lang w:val="de-DE"/>
        </w:rPr>
      </w:pPr>
      <w:r w:rsidRPr="004676F5">
        <w:rPr>
          <w:lang w:val="de-DE"/>
        </w:rPr>
        <w:t>3. alle verfügbaren Informationen zur Rückverfolgung des Produkts,</w:t>
      </w:r>
    </w:p>
    <w:p w14:paraId="0F19D760" w14:textId="77777777" w:rsidR="0009060C" w:rsidRPr="004676F5" w:rsidRDefault="0009060C" w:rsidP="0009060C">
      <w:pPr>
        <w:ind w:firstLine="708"/>
        <w:rPr>
          <w:lang w:val="de-DE"/>
        </w:rPr>
      </w:pPr>
    </w:p>
    <w:p w14:paraId="6D68292E" w14:textId="77777777" w:rsidR="0009060C" w:rsidRPr="004676F5" w:rsidRDefault="0009060C" w:rsidP="0009060C">
      <w:pPr>
        <w:ind w:firstLine="708"/>
        <w:jc w:val="both"/>
        <w:rPr>
          <w:lang w:val="de-DE"/>
        </w:rPr>
      </w:pPr>
      <w:r w:rsidRPr="004676F5">
        <w:rPr>
          <w:lang w:val="de-DE"/>
        </w:rPr>
        <w:t>4. Beschreibung der unternommenen Schritte zur Vermeidung der Gefahren für die Benutzer.</w:t>
      </w:r>
    </w:p>
    <w:p w14:paraId="5000C977" w14:textId="77777777" w:rsidR="0009060C" w:rsidRPr="004676F5" w:rsidRDefault="0009060C" w:rsidP="0009060C">
      <w:pPr>
        <w:ind w:firstLine="708"/>
        <w:rPr>
          <w:lang w:val="de-DE"/>
        </w:rPr>
      </w:pPr>
    </w:p>
    <w:p w14:paraId="493DA888" w14:textId="77777777" w:rsidR="0009060C" w:rsidRPr="004676F5" w:rsidRDefault="0009060C" w:rsidP="0009060C">
      <w:pPr>
        <w:ind w:firstLine="708"/>
        <w:rPr>
          <w:lang w:val="de-DE"/>
        </w:rPr>
      </w:pPr>
      <w:r w:rsidRPr="004676F5">
        <w:rPr>
          <w:lang w:val="de-DE"/>
        </w:rPr>
        <w:t>Der König kann Inhalt und Form des Erklärungsformulars festlegen.</w:t>
      </w:r>
    </w:p>
    <w:p w14:paraId="5D773C20" w14:textId="77777777" w:rsidR="0009060C" w:rsidRPr="004676F5" w:rsidRDefault="0009060C" w:rsidP="0009060C">
      <w:pPr>
        <w:rPr>
          <w:lang w:val="de-DE"/>
        </w:rPr>
      </w:pPr>
    </w:p>
    <w:p w14:paraId="424A85D8" w14:textId="0A4B5D17" w:rsidR="0009060C" w:rsidRPr="004676F5" w:rsidRDefault="0009060C" w:rsidP="0009060C">
      <w:pPr>
        <w:ind w:firstLine="708"/>
        <w:jc w:val="both"/>
        <w:rPr>
          <w:lang w:val="de-DE"/>
        </w:rPr>
      </w:pPr>
      <w:r w:rsidRPr="004676F5">
        <w:rPr>
          <w:lang w:val="de-DE"/>
        </w:rPr>
        <w:t>§ 5 </w:t>
      </w:r>
      <w:r w:rsidR="005B7A5C" w:rsidRPr="004676F5">
        <w:rPr>
          <w:lang w:val="de-DE"/>
        </w:rPr>
        <w:t>- </w:t>
      </w:r>
      <w:r w:rsidRPr="004676F5">
        <w:rPr>
          <w:lang w:val="de-DE"/>
        </w:rPr>
        <w:t>Auf entsprechende Aufforderung der zuständigen Behörden arbeiten Hersteller und Händler im Rahmen ihrer Geschäftstätigkeit mit diesen Behörden in Bezug auf Maßnahmen zur Abwendung von Gefahren zusammen, die von Produkten ausgehen, die sie liefern oder geliefert haben.</w:t>
      </w:r>
    </w:p>
    <w:p w14:paraId="3FFD90BA" w14:textId="77777777" w:rsidR="0009060C" w:rsidRPr="004676F5" w:rsidRDefault="0009060C" w:rsidP="0009060C">
      <w:pPr>
        <w:ind w:firstLine="708"/>
        <w:rPr>
          <w:lang w:val="de-DE"/>
        </w:rPr>
      </w:pPr>
    </w:p>
    <w:p w14:paraId="7DA60090" w14:textId="77777777" w:rsidR="0009060C" w:rsidRPr="004676F5" w:rsidRDefault="0009060C" w:rsidP="0009060C">
      <w:pPr>
        <w:ind w:firstLine="708"/>
        <w:rPr>
          <w:lang w:val="de-DE"/>
        </w:rPr>
      </w:pPr>
    </w:p>
    <w:p w14:paraId="6470A213" w14:textId="70BF1A29" w:rsidR="0009060C" w:rsidRPr="004676F5" w:rsidRDefault="00BE0A56" w:rsidP="0009060C">
      <w:pPr>
        <w:ind w:firstLine="708"/>
        <w:jc w:val="both"/>
        <w:rPr>
          <w:lang w:val="de-DE"/>
        </w:rPr>
      </w:pPr>
      <w:r w:rsidRPr="004676F5">
        <w:rPr>
          <w:b/>
          <w:lang w:val="de-DE"/>
        </w:rPr>
        <w:t>Art. </w:t>
      </w:r>
      <w:r w:rsidR="0009060C" w:rsidRPr="004676F5">
        <w:rPr>
          <w:b/>
          <w:lang w:val="de-DE"/>
        </w:rPr>
        <w:t>IX.9</w:t>
      </w:r>
      <w:r w:rsidR="0009060C" w:rsidRPr="004676F5">
        <w:rPr>
          <w:lang w:val="de-DE"/>
        </w:rPr>
        <w:t xml:space="preserve"> </w:t>
      </w:r>
      <w:r w:rsidR="005B7A5C" w:rsidRPr="004676F5">
        <w:rPr>
          <w:lang w:val="de-DE"/>
        </w:rPr>
        <w:t>- </w:t>
      </w:r>
      <w:r w:rsidR="0009060C" w:rsidRPr="004676F5">
        <w:rPr>
          <w:lang w:val="de-DE"/>
        </w:rPr>
        <w:t xml:space="preserve">Was die für die Verbraucher bestimmten Produkte betrifft, werden die Etikettierung und die Information, die durch das vorliegende Buch und dessen Ausführungserlasse vorgeschrieben sind, die Gebrauchsanweisungen und die Garantiescheine zumindest in einer für den Durchschnittsverbraucher verständlichen Sprache in Anbetracht des Sprachgebiets abgefasst, in dem die Produkte oder Dienste in Verkehr gebracht werden. Diese </w:t>
      </w:r>
      <w:r w:rsidR="0009060C" w:rsidRPr="004676F5">
        <w:rPr>
          <w:lang w:val="de-DE"/>
        </w:rPr>
        <w:lastRenderedPageBreak/>
        <w:t>Verpflichtung gilt auch für die anderen Produkte, außer wenn die Erlasse zur Ausführung der Artikel IX.4 und IX.5 abweichende Bedingungen vorsehen.</w:t>
      </w:r>
    </w:p>
    <w:p w14:paraId="5006A637" w14:textId="77777777" w:rsidR="0009060C" w:rsidRPr="004676F5" w:rsidRDefault="0009060C" w:rsidP="0009060C">
      <w:pPr>
        <w:ind w:firstLine="708"/>
        <w:jc w:val="both"/>
        <w:rPr>
          <w:b/>
          <w:lang w:val="de-DE"/>
        </w:rPr>
      </w:pPr>
    </w:p>
    <w:p w14:paraId="2A237ABA" w14:textId="77777777" w:rsidR="0009060C" w:rsidRPr="004676F5" w:rsidRDefault="0009060C" w:rsidP="0009060C">
      <w:pPr>
        <w:ind w:firstLine="708"/>
        <w:jc w:val="both"/>
        <w:rPr>
          <w:b/>
          <w:lang w:val="de-DE"/>
        </w:rPr>
      </w:pPr>
    </w:p>
    <w:p w14:paraId="02A390E2" w14:textId="77777777" w:rsidR="002B63FD" w:rsidRPr="004676F5" w:rsidRDefault="00BE0A56" w:rsidP="0009060C">
      <w:pPr>
        <w:ind w:firstLine="708"/>
        <w:jc w:val="both"/>
        <w:rPr>
          <w:lang w:val="de-DE"/>
        </w:rPr>
      </w:pPr>
      <w:r w:rsidRPr="004676F5">
        <w:rPr>
          <w:b/>
          <w:lang w:val="de-DE"/>
        </w:rPr>
        <w:t>Art. </w:t>
      </w:r>
      <w:r w:rsidR="0009060C" w:rsidRPr="004676F5">
        <w:rPr>
          <w:b/>
          <w:lang w:val="de-DE"/>
        </w:rPr>
        <w:t>IX.10</w:t>
      </w:r>
      <w:r w:rsidR="0009060C" w:rsidRPr="004676F5">
        <w:rPr>
          <w:lang w:val="de-DE"/>
        </w:rPr>
        <w:t xml:space="preserve"> </w:t>
      </w:r>
      <w:r w:rsidR="005B7A5C" w:rsidRPr="004676F5">
        <w:rPr>
          <w:lang w:val="de-DE"/>
        </w:rPr>
        <w:t>- </w:t>
      </w:r>
      <w:r w:rsidR="002B63FD" w:rsidRPr="004676F5">
        <w:rPr>
          <w:lang w:val="de-DE"/>
        </w:rPr>
        <w:t>[...]</w:t>
      </w:r>
    </w:p>
    <w:p w14:paraId="4C6BD67F" w14:textId="77777777" w:rsidR="002B63FD" w:rsidRPr="004676F5" w:rsidRDefault="002B63FD" w:rsidP="002B63FD">
      <w:pPr>
        <w:jc w:val="both"/>
        <w:rPr>
          <w:lang w:val="de-DE"/>
        </w:rPr>
      </w:pPr>
    </w:p>
    <w:p w14:paraId="2E27F6E1" w14:textId="253B1058" w:rsidR="0009060C" w:rsidRPr="004676F5" w:rsidRDefault="002B63FD" w:rsidP="002B63FD">
      <w:pPr>
        <w:jc w:val="both"/>
        <w:rPr>
          <w:lang w:val="de-DE"/>
        </w:rPr>
      </w:pPr>
      <w:r w:rsidRPr="004676F5">
        <w:rPr>
          <w:i/>
          <w:iCs/>
          <w:lang w:val="de-DE"/>
        </w:rPr>
        <w:t>[Art. I</w:t>
      </w:r>
      <w:r w:rsidR="00661DD3">
        <w:rPr>
          <w:i/>
          <w:iCs/>
          <w:lang w:val="de-DE"/>
        </w:rPr>
        <w:t>X</w:t>
      </w:r>
      <w:r w:rsidRPr="004676F5">
        <w:rPr>
          <w:i/>
          <w:iCs/>
          <w:lang w:val="de-DE"/>
        </w:rPr>
        <w:t>.10 aufgehoben durch Art. 27 des G. vom 25. September 2022 (B.S. vom 16. Januar 2023)]</w:t>
      </w:r>
      <w:r w:rsidR="0009060C" w:rsidRPr="004676F5">
        <w:rPr>
          <w:lang w:val="de-DE"/>
        </w:rPr>
        <w:t xml:space="preserve"> </w:t>
      </w:r>
    </w:p>
    <w:p w14:paraId="4E36F040" w14:textId="77777777" w:rsidR="0009060C" w:rsidRPr="004676F5" w:rsidRDefault="0009060C" w:rsidP="0009060C">
      <w:pPr>
        <w:rPr>
          <w:lang w:val="de-DE"/>
        </w:rPr>
      </w:pPr>
    </w:p>
    <w:p w14:paraId="2CABB146" w14:textId="77777777" w:rsidR="00476C8A" w:rsidRPr="004676F5" w:rsidRDefault="00476C8A" w:rsidP="0009060C">
      <w:pPr>
        <w:ind w:firstLine="708"/>
        <w:jc w:val="both"/>
        <w:rPr>
          <w:b/>
          <w:lang w:val="de-DE"/>
        </w:rPr>
      </w:pPr>
    </w:p>
    <w:p w14:paraId="51BCA518" w14:textId="6A8317DD" w:rsidR="0009060C" w:rsidRPr="004676F5" w:rsidRDefault="00BE0A56" w:rsidP="0009060C">
      <w:pPr>
        <w:ind w:firstLine="708"/>
        <w:jc w:val="both"/>
        <w:rPr>
          <w:lang w:val="de-DE"/>
        </w:rPr>
      </w:pPr>
      <w:r w:rsidRPr="004676F5">
        <w:rPr>
          <w:b/>
          <w:lang w:val="de-DE"/>
        </w:rPr>
        <w:t>Art. </w:t>
      </w:r>
      <w:r w:rsidR="0009060C" w:rsidRPr="004676F5">
        <w:rPr>
          <w:b/>
          <w:lang w:val="de-DE"/>
        </w:rPr>
        <w:t>IX.11</w:t>
      </w:r>
      <w:r w:rsidR="0009060C" w:rsidRPr="004676F5">
        <w:rPr>
          <w:lang w:val="de-DE"/>
        </w:rPr>
        <w:t xml:space="preserve"> </w:t>
      </w:r>
      <w:r w:rsidR="005B7A5C" w:rsidRPr="004676F5">
        <w:rPr>
          <w:lang w:val="de-DE"/>
        </w:rPr>
        <w:t>- </w:t>
      </w:r>
      <w:r w:rsidR="0009060C" w:rsidRPr="004676F5">
        <w:rPr>
          <w:lang w:val="de-DE"/>
        </w:rPr>
        <w:t>Der König kann Zulassungs</w:t>
      </w:r>
      <w:r w:rsidR="005B7A5C" w:rsidRPr="004676F5">
        <w:rPr>
          <w:lang w:val="de-DE"/>
        </w:rPr>
        <w:t>- </w:t>
      </w:r>
      <w:r w:rsidR="0009060C" w:rsidRPr="004676F5">
        <w:rPr>
          <w:lang w:val="de-DE"/>
        </w:rPr>
        <w:t>und Arbeitskriterien der beteiligten Einrichtungen, Regeln in Bezug auf ihre Organisation und ihre Aufgaben und Modalitäten der Kontrolle ihrer Einhaltung festlegen.</w:t>
      </w:r>
    </w:p>
    <w:p w14:paraId="4D165B51" w14:textId="77777777" w:rsidR="0009060C" w:rsidRPr="004676F5" w:rsidRDefault="0009060C" w:rsidP="0009060C">
      <w:pPr>
        <w:rPr>
          <w:lang w:val="de-DE"/>
        </w:rPr>
      </w:pPr>
    </w:p>
    <w:p w14:paraId="6DBA04D8" w14:textId="77777777" w:rsidR="0009060C" w:rsidRPr="004676F5" w:rsidRDefault="0009060C">
      <w:pPr>
        <w:rPr>
          <w:lang w:val="de-DE"/>
        </w:rPr>
      </w:pPr>
      <w:r w:rsidRPr="004676F5">
        <w:rPr>
          <w:lang w:val="de-DE"/>
        </w:rPr>
        <w:br w:type="page"/>
      </w:r>
    </w:p>
    <w:p w14:paraId="1458CB2E" w14:textId="7E62C496" w:rsidR="0009060C" w:rsidRPr="004676F5" w:rsidRDefault="0009060C" w:rsidP="0009060C">
      <w:pPr>
        <w:jc w:val="center"/>
        <w:rPr>
          <w:i/>
          <w:lang w:val="de-DE"/>
        </w:rPr>
      </w:pPr>
      <w:r w:rsidRPr="004676F5">
        <w:rPr>
          <w:lang w:val="de-DE"/>
        </w:rPr>
        <w:lastRenderedPageBreak/>
        <w:t xml:space="preserve">KAPITEL 2 </w:t>
      </w:r>
      <w:r w:rsidR="005B7A5C" w:rsidRPr="004676F5">
        <w:rPr>
          <w:lang w:val="de-DE"/>
        </w:rPr>
        <w:t>- </w:t>
      </w:r>
      <w:r w:rsidRPr="004676F5">
        <w:rPr>
          <w:i/>
          <w:lang w:val="de-DE"/>
        </w:rPr>
        <w:t>Informations</w:t>
      </w:r>
      <w:r w:rsidR="005B7A5C" w:rsidRPr="004676F5">
        <w:rPr>
          <w:i/>
          <w:lang w:val="de-DE"/>
        </w:rPr>
        <w:t>- </w:t>
      </w:r>
      <w:r w:rsidRPr="004676F5">
        <w:rPr>
          <w:i/>
          <w:lang w:val="de-DE"/>
        </w:rPr>
        <w:t>und Begutachtungsstrukturen</w:t>
      </w:r>
    </w:p>
    <w:p w14:paraId="2D776F2A" w14:textId="77777777" w:rsidR="0009060C" w:rsidRPr="004676F5" w:rsidRDefault="0009060C" w:rsidP="0009060C">
      <w:pPr>
        <w:rPr>
          <w:lang w:val="de-DE"/>
        </w:rPr>
      </w:pPr>
    </w:p>
    <w:p w14:paraId="59F074B9" w14:textId="77777777" w:rsidR="0009060C" w:rsidRPr="004676F5" w:rsidRDefault="0009060C" w:rsidP="0009060C">
      <w:pPr>
        <w:rPr>
          <w:lang w:val="de-DE"/>
        </w:rPr>
      </w:pPr>
    </w:p>
    <w:p w14:paraId="78BACE92" w14:textId="1CDCBA9F" w:rsidR="0009060C" w:rsidRPr="004676F5" w:rsidRDefault="00BE0A56" w:rsidP="0009060C">
      <w:pPr>
        <w:ind w:firstLine="708"/>
        <w:jc w:val="both"/>
        <w:rPr>
          <w:lang w:val="de-DE"/>
        </w:rPr>
      </w:pPr>
      <w:r w:rsidRPr="004676F5">
        <w:rPr>
          <w:b/>
          <w:lang w:val="de-DE"/>
        </w:rPr>
        <w:t>Art. </w:t>
      </w:r>
      <w:r w:rsidR="0009060C" w:rsidRPr="004676F5">
        <w:rPr>
          <w:b/>
          <w:lang w:val="de-DE"/>
        </w:rPr>
        <w:t>IX.12</w:t>
      </w:r>
      <w:r w:rsidR="0009060C" w:rsidRPr="004676F5">
        <w:rPr>
          <w:lang w:val="de-DE"/>
        </w:rPr>
        <w:t xml:space="preserve"> </w:t>
      </w:r>
      <w:r w:rsidR="005B7A5C" w:rsidRPr="004676F5">
        <w:rPr>
          <w:lang w:val="de-DE"/>
        </w:rPr>
        <w:t>- </w:t>
      </w:r>
      <w:r w:rsidR="0009060C" w:rsidRPr="004676F5">
        <w:rPr>
          <w:lang w:val="de-DE"/>
        </w:rPr>
        <w:t>Beim Föderalen Öffentlichen Dienst Wirtschaft, KMB, Mittelstand und Energie wird eine "Zentrale Güterberatungsstelle", nachstehend "Zentrale Beratungsstelle" genannt, eingesetzt. Hauptaufgaben der Zentralen Beratungsstelle sind:</w:t>
      </w:r>
    </w:p>
    <w:p w14:paraId="3193B06D" w14:textId="77777777" w:rsidR="0009060C" w:rsidRPr="004676F5" w:rsidRDefault="0009060C" w:rsidP="0009060C">
      <w:pPr>
        <w:ind w:firstLine="708"/>
        <w:rPr>
          <w:lang w:val="de-DE"/>
        </w:rPr>
      </w:pPr>
    </w:p>
    <w:p w14:paraId="09E402F8" w14:textId="77777777" w:rsidR="0009060C" w:rsidRPr="004676F5" w:rsidRDefault="0009060C" w:rsidP="0009060C">
      <w:pPr>
        <w:ind w:firstLine="708"/>
        <w:jc w:val="both"/>
        <w:rPr>
          <w:lang w:val="de-DE"/>
        </w:rPr>
      </w:pPr>
      <w:r w:rsidRPr="004676F5">
        <w:rPr>
          <w:lang w:val="de-DE"/>
        </w:rPr>
        <w:t xml:space="preserve">1. als Kontaktstelle für </w:t>
      </w:r>
      <w:r w:rsidR="00476C8A" w:rsidRPr="004676F5">
        <w:rPr>
          <w:lang w:val="de-DE"/>
        </w:rPr>
        <w:t>[Benutzer]</w:t>
      </w:r>
      <w:r w:rsidRPr="004676F5">
        <w:rPr>
          <w:lang w:val="de-DE"/>
        </w:rPr>
        <w:t>, Hersteller, Händler, Arbeitgeber und Behörden für Produkte und Dienste fungieren, die den Bestimmungen des vorliegenden Buches beziehungsweise seinen Ausführungserlassen nicht entsprechen und der Sicherheit und/oder Gesundheit der Benutzer schaden können,</w:t>
      </w:r>
    </w:p>
    <w:p w14:paraId="0B528E82" w14:textId="77777777" w:rsidR="0009060C" w:rsidRPr="004676F5" w:rsidRDefault="0009060C" w:rsidP="0009060C">
      <w:pPr>
        <w:ind w:firstLine="708"/>
        <w:jc w:val="both"/>
        <w:rPr>
          <w:lang w:val="de-DE"/>
        </w:rPr>
      </w:pPr>
    </w:p>
    <w:p w14:paraId="7931BD5B" w14:textId="77777777" w:rsidR="0009060C" w:rsidRPr="004676F5" w:rsidRDefault="0009060C" w:rsidP="0009060C">
      <w:pPr>
        <w:ind w:firstLine="708"/>
        <w:jc w:val="both"/>
        <w:rPr>
          <w:lang w:val="de-DE"/>
        </w:rPr>
      </w:pPr>
      <w:r w:rsidRPr="004676F5">
        <w:rPr>
          <w:lang w:val="de-DE"/>
        </w:rPr>
        <w:t xml:space="preserve">2. als belgische Kontaktstelle für europäische Austauschsysteme in Bezug auf Produktsicherheit fungieren, </w:t>
      </w:r>
    </w:p>
    <w:p w14:paraId="043A4BBE" w14:textId="77777777" w:rsidR="0009060C" w:rsidRPr="004676F5" w:rsidRDefault="0009060C" w:rsidP="0009060C">
      <w:pPr>
        <w:ind w:firstLine="708"/>
        <w:jc w:val="both"/>
        <w:rPr>
          <w:lang w:val="de-DE"/>
        </w:rPr>
      </w:pPr>
    </w:p>
    <w:p w14:paraId="4B7858EB" w14:textId="77777777" w:rsidR="0009060C" w:rsidRPr="004676F5" w:rsidRDefault="0009060C" w:rsidP="0009060C">
      <w:pPr>
        <w:ind w:firstLine="708"/>
        <w:jc w:val="both"/>
        <w:rPr>
          <w:lang w:val="de-DE"/>
        </w:rPr>
      </w:pPr>
      <w:r w:rsidRPr="004676F5">
        <w:rPr>
          <w:lang w:val="de-DE"/>
        </w:rPr>
        <w:t>3. als Kontaktstelle fungieren, bei der Hersteller und Händler einen ernsten Unfall, der durch die Verwendung des von ihnen gelieferten beziehungsweise bereitgestellten Produkts oder durch den geleisteten Dienst bedingt ist, melden müssen und bei der sie angeben müssen, dass ein Produkt oder ein Dienst, das/den sie geliefert beziehungsweise bereitgestellt haben, der in vorliegendem Buch erwähnten allgemeinen Sicherheitsanforderung oder einem Erlass zur Ausführung von Artikel IX.4 §§ 1 und 3 oder Artikel IX.5 §§ 1 und 2 nicht mehr entspricht,</w:t>
      </w:r>
    </w:p>
    <w:p w14:paraId="62F7FF3E" w14:textId="77777777" w:rsidR="0009060C" w:rsidRPr="004676F5" w:rsidRDefault="0009060C" w:rsidP="0009060C">
      <w:pPr>
        <w:ind w:firstLine="708"/>
        <w:jc w:val="both"/>
        <w:rPr>
          <w:lang w:val="de-DE"/>
        </w:rPr>
      </w:pPr>
    </w:p>
    <w:p w14:paraId="5F07DF7D" w14:textId="77777777" w:rsidR="0009060C" w:rsidRPr="004676F5" w:rsidRDefault="0009060C" w:rsidP="0009060C">
      <w:pPr>
        <w:ind w:firstLine="708"/>
        <w:jc w:val="both"/>
        <w:rPr>
          <w:lang w:val="de-DE"/>
        </w:rPr>
      </w:pPr>
      <w:r w:rsidRPr="004676F5">
        <w:rPr>
          <w:lang w:val="de-DE"/>
        </w:rPr>
        <w:t>4. jegliche Informationen über die von Produkten und Diensten ausgehenden Risiken erfassen und zentralisieren und sie zur Verfügung der gemäß Artikel XV.1 bestimmten Beamten halten,</w:t>
      </w:r>
    </w:p>
    <w:p w14:paraId="4C15A2D0" w14:textId="77777777" w:rsidR="0009060C" w:rsidRPr="004676F5" w:rsidRDefault="0009060C" w:rsidP="0009060C">
      <w:pPr>
        <w:ind w:firstLine="708"/>
        <w:jc w:val="both"/>
        <w:rPr>
          <w:lang w:val="de-DE"/>
        </w:rPr>
      </w:pPr>
    </w:p>
    <w:p w14:paraId="7513EEAF" w14:textId="77777777" w:rsidR="0009060C" w:rsidRPr="004676F5" w:rsidRDefault="0009060C" w:rsidP="0009060C">
      <w:pPr>
        <w:ind w:firstLine="708"/>
        <w:jc w:val="both"/>
        <w:rPr>
          <w:lang w:val="de-DE"/>
        </w:rPr>
      </w:pPr>
      <w:r w:rsidRPr="004676F5">
        <w:rPr>
          <w:lang w:val="de-DE"/>
        </w:rPr>
        <w:t>5. föderale Informationskampagnen im Zusammenhang mit Sicherheit und gesundheitlicher Zuträglichkeit von Produkten und Diensten koordinieren.</w:t>
      </w:r>
    </w:p>
    <w:p w14:paraId="18B8A9B6" w14:textId="77777777" w:rsidR="0009060C" w:rsidRPr="004676F5" w:rsidRDefault="0009060C" w:rsidP="0009060C">
      <w:pPr>
        <w:ind w:firstLine="708"/>
        <w:rPr>
          <w:lang w:val="de-DE"/>
        </w:rPr>
      </w:pPr>
    </w:p>
    <w:p w14:paraId="7F536196" w14:textId="77777777" w:rsidR="0009060C" w:rsidRPr="004676F5" w:rsidRDefault="0009060C" w:rsidP="0009060C">
      <w:pPr>
        <w:ind w:firstLine="708"/>
        <w:jc w:val="both"/>
        <w:rPr>
          <w:lang w:val="de-DE"/>
        </w:rPr>
      </w:pPr>
      <w:r w:rsidRPr="004676F5">
        <w:rPr>
          <w:lang w:val="de-DE"/>
        </w:rPr>
        <w:t>Der König kann die Zentrale Beratungsstelle mit zusätzlichen Aufgaben in Bezug auf Sicherheit und Gesundheit der Verbraucher beauftragen.</w:t>
      </w:r>
    </w:p>
    <w:p w14:paraId="3CD3B9B8" w14:textId="77777777" w:rsidR="0009060C" w:rsidRPr="004676F5" w:rsidRDefault="0009060C" w:rsidP="0009060C">
      <w:pPr>
        <w:rPr>
          <w:lang w:val="de-DE"/>
        </w:rPr>
      </w:pPr>
    </w:p>
    <w:p w14:paraId="218895FF" w14:textId="77777777" w:rsidR="0009060C" w:rsidRPr="004676F5" w:rsidRDefault="0009060C" w:rsidP="0009060C">
      <w:pPr>
        <w:ind w:firstLine="708"/>
        <w:jc w:val="both"/>
        <w:rPr>
          <w:lang w:val="de-DE"/>
        </w:rPr>
      </w:pPr>
      <w:r w:rsidRPr="004676F5">
        <w:rPr>
          <w:lang w:val="de-DE"/>
        </w:rPr>
        <w:t>Gemäß den Transparenzanforderungen stellt die Zentrale Beratungsstelle der Öffentlichkeit alle Informationen über die von Produkten und Dienstleistungen ausgehenden Gefahren für die Sicherheit oder Gesundheit der Benutzer zur Verfügung. Die Öffentlichkeit erhält insbesondere Zugang zu den Informationen über die Identifizierung der Produkte, die Art des Risikos und die getroffenen Maßnahmen.</w:t>
      </w:r>
    </w:p>
    <w:p w14:paraId="0FEF1C6D" w14:textId="77777777" w:rsidR="00476C8A" w:rsidRPr="004676F5" w:rsidRDefault="00476C8A" w:rsidP="0009060C">
      <w:pPr>
        <w:ind w:firstLine="708"/>
        <w:jc w:val="both"/>
        <w:rPr>
          <w:lang w:val="de-DE"/>
        </w:rPr>
      </w:pPr>
    </w:p>
    <w:p w14:paraId="63222B55" w14:textId="6A02F398" w:rsidR="00476C8A" w:rsidRPr="004676F5" w:rsidRDefault="00476C8A" w:rsidP="00476C8A">
      <w:pPr>
        <w:jc w:val="both"/>
        <w:rPr>
          <w:i/>
          <w:lang w:val="de-DE"/>
        </w:rPr>
      </w:pPr>
      <w:r w:rsidRPr="004676F5">
        <w:rPr>
          <w:i/>
          <w:lang w:val="de-DE"/>
        </w:rPr>
        <w:t>[</w:t>
      </w:r>
      <w:r w:rsidR="00BE0A56" w:rsidRPr="004676F5">
        <w:rPr>
          <w:i/>
          <w:lang w:val="de-DE"/>
        </w:rPr>
        <w:t>Art. </w:t>
      </w:r>
      <w:r w:rsidRPr="004676F5">
        <w:rPr>
          <w:i/>
          <w:lang w:val="de-DE"/>
        </w:rPr>
        <w:t xml:space="preserve">IX.12 Abs. 1 Nr. 1 abgeändert durch </w:t>
      </w:r>
      <w:r w:rsidR="00BE0A56" w:rsidRPr="004676F5">
        <w:rPr>
          <w:i/>
          <w:lang w:val="de-DE"/>
        </w:rPr>
        <w:t>Art. </w:t>
      </w:r>
      <w:r w:rsidRPr="004676F5">
        <w:rPr>
          <w:i/>
          <w:lang w:val="de-DE"/>
        </w:rPr>
        <w:t>19 des G. vom 29. Juni 2016 (B.S. vom 6. Juli 2016)]</w:t>
      </w:r>
    </w:p>
    <w:p w14:paraId="30E53C63" w14:textId="77777777" w:rsidR="0009060C" w:rsidRPr="004676F5" w:rsidRDefault="0009060C" w:rsidP="0009060C">
      <w:pPr>
        <w:rPr>
          <w:lang w:val="de-DE"/>
        </w:rPr>
      </w:pPr>
    </w:p>
    <w:p w14:paraId="654A7A01" w14:textId="77777777" w:rsidR="0009060C" w:rsidRPr="004676F5" w:rsidRDefault="0009060C" w:rsidP="0009060C">
      <w:pPr>
        <w:rPr>
          <w:lang w:val="de-DE"/>
        </w:rPr>
      </w:pPr>
    </w:p>
    <w:p w14:paraId="7537629C" w14:textId="49E5153C" w:rsidR="0009060C" w:rsidRPr="004676F5" w:rsidRDefault="00BE0A56" w:rsidP="0009060C">
      <w:pPr>
        <w:ind w:firstLine="708"/>
        <w:jc w:val="both"/>
        <w:rPr>
          <w:lang w:val="de-DE"/>
        </w:rPr>
      </w:pPr>
      <w:r w:rsidRPr="004676F5">
        <w:rPr>
          <w:b/>
          <w:lang w:val="de-DE"/>
        </w:rPr>
        <w:t>Art. </w:t>
      </w:r>
      <w:r w:rsidR="0009060C" w:rsidRPr="004676F5">
        <w:rPr>
          <w:b/>
          <w:lang w:val="de-DE"/>
        </w:rPr>
        <w:t>IX.13</w:t>
      </w:r>
      <w:r w:rsidR="0009060C" w:rsidRPr="004676F5">
        <w:rPr>
          <w:lang w:val="de-DE"/>
        </w:rPr>
        <w:t xml:space="preserve"> </w:t>
      </w:r>
      <w:r w:rsidR="005B7A5C" w:rsidRPr="004676F5">
        <w:rPr>
          <w:lang w:val="de-DE"/>
        </w:rPr>
        <w:t>- </w:t>
      </w:r>
      <w:r w:rsidR="0009060C" w:rsidRPr="004676F5">
        <w:rPr>
          <w:lang w:val="de-DE"/>
        </w:rPr>
        <w:t xml:space="preserve">Die Zentrale Beratungsstelle übernimmt eine koordinierende Aufgabe. Die Zentrale Beratungsstelle leitet spezifische Fragen, die sie nicht sofort beantworten kann, und Beschwerden von </w:t>
      </w:r>
      <w:r w:rsidR="00476C8A" w:rsidRPr="004676F5">
        <w:rPr>
          <w:lang w:val="de-DE"/>
        </w:rPr>
        <w:t>[Benutzern]</w:t>
      </w:r>
      <w:r w:rsidR="0009060C" w:rsidRPr="004676F5">
        <w:rPr>
          <w:lang w:val="de-DE"/>
        </w:rPr>
        <w:t>, Herstellern oder Händlern zwecks Bearbeitung an die betreffende Verwaltung weiter, die ihrerseits die Zentrale Beratungsstelle über den weiteren Verlauf der Sache informiert. Die Zentrale Beratungsstelle muss den Verwaltungen alle ihr zur Ausführung ihrer Aufgabe zur Verfügung stehenden Informationen mitteilen, die die Befugnisse der betreffenden Verwaltung betreffen, und kann die betreffenden Verwaltungen um alle Unterlagen und sonstige Daten bitten, die sie zur Ausführung ihrer Aufgabe benötigt.</w:t>
      </w:r>
    </w:p>
    <w:p w14:paraId="68CEEA3D" w14:textId="77777777" w:rsidR="0009060C" w:rsidRPr="004676F5" w:rsidRDefault="0009060C" w:rsidP="0009060C">
      <w:pPr>
        <w:rPr>
          <w:lang w:val="de-DE"/>
        </w:rPr>
      </w:pPr>
    </w:p>
    <w:p w14:paraId="64FD11D5" w14:textId="77777777" w:rsidR="0009060C" w:rsidRPr="004676F5" w:rsidRDefault="0009060C" w:rsidP="0009060C">
      <w:pPr>
        <w:ind w:firstLine="708"/>
        <w:jc w:val="both"/>
        <w:rPr>
          <w:lang w:val="de-DE"/>
        </w:rPr>
      </w:pPr>
      <w:r w:rsidRPr="004676F5">
        <w:rPr>
          <w:lang w:val="de-DE"/>
        </w:rPr>
        <w:lastRenderedPageBreak/>
        <w:t>Jedes Jahr erstellt die Zentrale Beratungsstelle einen Tätigkeitsbericht in Bezug auf das vorherige Geschäftsjahr. Als Anlage zu diesem Bericht werden eine Übersicht aller gemeldeten Unfälle in Bezug auf Produkte, eine statistische Übersicht aller Beschwerden und Mitteilungen über Sicherheit und gesundheitliche Zuträglichkeit von Produkten und die Liste aller Mitteilungen, die über die europäischen Warnsysteme empfangen worden sind, beigefügt.</w:t>
      </w:r>
    </w:p>
    <w:p w14:paraId="5BA1F2E4" w14:textId="77777777" w:rsidR="00476C8A" w:rsidRPr="004676F5" w:rsidRDefault="00476C8A" w:rsidP="0009060C">
      <w:pPr>
        <w:ind w:firstLine="708"/>
        <w:jc w:val="both"/>
        <w:rPr>
          <w:lang w:val="de-DE"/>
        </w:rPr>
      </w:pPr>
    </w:p>
    <w:p w14:paraId="6EEFFED9" w14:textId="45197480" w:rsidR="00476C8A" w:rsidRPr="004676F5" w:rsidRDefault="00476C8A" w:rsidP="00476C8A">
      <w:pPr>
        <w:jc w:val="both"/>
        <w:rPr>
          <w:i/>
          <w:lang w:val="de-DE"/>
        </w:rPr>
      </w:pPr>
      <w:r w:rsidRPr="004676F5">
        <w:rPr>
          <w:i/>
          <w:lang w:val="de-DE"/>
        </w:rPr>
        <w:t>[</w:t>
      </w:r>
      <w:r w:rsidR="00BE0A56" w:rsidRPr="004676F5">
        <w:rPr>
          <w:i/>
          <w:lang w:val="de-DE"/>
        </w:rPr>
        <w:t>Art. </w:t>
      </w:r>
      <w:r w:rsidRPr="004676F5">
        <w:rPr>
          <w:i/>
          <w:lang w:val="de-DE"/>
        </w:rPr>
        <w:t xml:space="preserve">IX.13 Abs. 1 abgeändert durch </w:t>
      </w:r>
      <w:r w:rsidR="00BE0A56" w:rsidRPr="004676F5">
        <w:rPr>
          <w:i/>
          <w:lang w:val="de-DE"/>
        </w:rPr>
        <w:t>Art. </w:t>
      </w:r>
      <w:r w:rsidRPr="004676F5">
        <w:rPr>
          <w:i/>
          <w:lang w:val="de-DE"/>
        </w:rPr>
        <w:t>20 des G. vom 29. Juni 2016 (B.S. vom 6. Juli 2016)]</w:t>
      </w:r>
    </w:p>
    <w:p w14:paraId="0810CBDD" w14:textId="77777777" w:rsidR="0009060C" w:rsidRPr="004676F5" w:rsidRDefault="0009060C" w:rsidP="0009060C">
      <w:pPr>
        <w:ind w:firstLine="708"/>
        <w:rPr>
          <w:lang w:val="de-DE"/>
        </w:rPr>
      </w:pPr>
    </w:p>
    <w:p w14:paraId="076988AC" w14:textId="77777777" w:rsidR="0009060C" w:rsidRPr="004676F5" w:rsidRDefault="0009060C" w:rsidP="0009060C">
      <w:pPr>
        <w:ind w:firstLine="708"/>
        <w:rPr>
          <w:lang w:val="de-DE"/>
        </w:rPr>
      </w:pPr>
    </w:p>
    <w:p w14:paraId="76ACE87A" w14:textId="00A4B3A8" w:rsidR="0009060C" w:rsidRPr="004676F5" w:rsidRDefault="00BE0A56" w:rsidP="0009060C">
      <w:pPr>
        <w:ind w:firstLine="708"/>
        <w:jc w:val="both"/>
        <w:rPr>
          <w:lang w:val="de-DE"/>
        </w:rPr>
      </w:pPr>
      <w:r w:rsidRPr="004676F5">
        <w:rPr>
          <w:b/>
          <w:lang w:val="de-DE"/>
        </w:rPr>
        <w:t>Art. </w:t>
      </w:r>
      <w:r w:rsidR="0009060C" w:rsidRPr="004676F5">
        <w:rPr>
          <w:b/>
          <w:lang w:val="de-DE"/>
        </w:rPr>
        <w:t>IX.14</w:t>
      </w:r>
      <w:r w:rsidR="0009060C" w:rsidRPr="004676F5">
        <w:rPr>
          <w:lang w:val="de-DE"/>
        </w:rPr>
        <w:t xml:space="preserve"> </w:t>
      </w:r>
      <w:r w:rsidR="005B7A5C" w:rsidRPr="004676F5">
        <w:rPr>
          <w:lang w:val="de-DE"/>
        </w:rPr>
        <w:t>- </w:t>
      </w:r>
      <w:r w:rsidR="0009060C" w:rsidRPr="004676F5">
        <w:rPr>
          <w:lang w:val="de-DE"/>
        </w:rPr>
        <w:t>Der König bestimmt in Angelegenheiten in Zusammenhang mit dem vorliegenden Buch und seinen Ausführungserlassen auf gemeinsamen Vorschlag des Ministers und der anderen Minister, zu deren Zuständigkeitsbereich die Sicherheit eines Produkts oder einer Produktkategorie gehört, für ein bestimmtes Produkt oder eine bestimmte Produktkategorie:</w:t>
      </w:r>
    </w:p>
    <w:p w14:paraId="625F80C9" w14:textId="77777777" w:rsidR="0009060C" w:rsidRPr="004676F5" w:rsidRDefault="0009060C" w:rsidP="0009060C">
      <w:pPr>
        <w:ind w:firstLine="708"/>
        <w:jc w:val="both"/>
        <w:rPr>
          <w:lang w:val="de-DE"/>
        </w:rPr>
      </w:pPr>
    </w:p>
    <w:p w14:paraId="04DC9197" w14:textId="77777777" w:rsidR="0009060C" w:rsidRPr="004676F5" w:rsidRDefault="0009060C" w:rsidP="0009060C">
      <w:pPr>
        <w:ind w:firstLine="708"/>
        <w:jc w:val="both"/>
        <w:rPr>
          <w:lang w:val="de-DE"/>
        </w:rPr>
      </w:pPr>
      <w:r w:rsidRPr="004676F5">
        <w:rPr>
          <w:lang w:val="de-DE"/>
        </w:rPr>
        <w:t>1. die Zusammensetzung der Vertretung Belgiens bei internationalen oder supranationalen Organisationen,</w:t>
      </w:r>
    </w:p>
    <w:p w14:paraId="1CC9F6EB" w14:textId="77777777" w:rsidR="0009060C" w:rsidRPr="004676F5" w:rsidRDefault="0009060C" w:rsidP="0009060C">
      <w:pPr>
        <w:ind w:firstLine="708"/>
        <w:rPr>
          <w:lang w:val="de-DE"/>
        </w:rPr>
      </w:pPr>
    </w:p>
    <w:p w14:paraId="0B125D88" w14:textId="77777777" w:rsidR="0009060C" w:rsidRPr="004676F5" w:rsidRDefault="0009060C" w:rsidP="0009060C">
      <w:pPr>
        <w:ind w:firstLine="708"/>
        <w:jc w:val="both"/>
        <w:rPr>
          <w:lang w:val="de-DE"/>
        </w:rPr>
      </w:pPr>
      <w:r w:rsidRPr="004676F5">
        <w:rPr>
          <w:lang w:val="de-DE"/>
        </w:rPr>
        <w:t>2. die Zuteilung der Befugnisse und Aufgaben in Bezug auf die Vorbereitung der Ausführungserlasse. In diesem Rahmen kann der König bestimmen, dass für die Anwendung der Artikel IX.4 und 5 andere Beratungsorgane als die Kommission für Verbrauchersicherheit gemäß denselben Verfahren konsultiert werden müssen.]</w:t>
      </w:r>
    </w:p>
    <w:p w14:paraId="5A9ADACF" w14:textId="77777777" w:rsidR="00473416" w:rsidRPr="004676F5" w:rsidRDefault="00473416" w:rsidP="0009060C">
      <w:pPr>
        <w:ind w:firstLine="708"/>
        <w:jc w:val="both"/>
        <w:rPr>
          <w:lang w:val="de-DE"/>
        </w:rPr>
      </w:pPr>
    </w:p>
    <w:p w14:paraId="01C91E14" w14:textId="77777777" w:rsidR="00D03290" w:rsidRPr="004676F5" w:rsidRDefault="00D03290">
      <w:pPr>
        <w:rPr>
          <w:lang w:val="de-DE"/>
        </w:rPr>
      </w:pPr>
      <w:r w:rsidRPr="004676F5">
        <w:rPr>
          <w:lang w:val="de-DE"/>
        </w:rPr>
        <w:br w:type="page"/>
      </w:r>
    </w:p>
    <w:p w14:paraId="1B93A7CE" w14:textId="3F5AA3BA" w:rsidR="00D03290" w:rsidRPr="004676F5" w:rsidRDefault="00D03290" w:rsidP="00AB2CF8">
      <w:pPr>
        <w:jc w:val="both"/>
        <w:rPr>
          <w:b/>
          <w:lang w:val="de-DE"/>
        </w:rPr>
      </w:pPr>
      <w:r w:rsidRPr="004676F5">
        <w:rPr>
          <w:lang w:val="de-DE"/>
        </w:rPr>
        <w:lastRenderedPageBreak/>
        <w:t>[</w:t>
      </w:r>
      <w:r w:rsidRPr="004676F5">
        <w:rPr>
          <w:b/>
          <w:lang w:val="de-DE"/>
        </w:rPr>
        <w:t xml:space="preserve">BUCH X </w:t>
      </w:r>
      <w:r w:rsidR="005B7A5C" w:rsidRPr="004676F5">
        <w:rPr>
          <w:b/>
          <w:lang w:val="de-DE"/>
        </w:rPr>
        <w:t>- </w:t>
      </w:r>
      <w:r w:rsidR="00AB2CF8" w:rsidRPr="004676F5">
        <w:rPr>
          <w:lang w:val="de-DE"/>
        </w:rPr>
        <w:t>[</w:t>
      </w:r>
      <w:r w:rsidR="00AB2CF8" w:rsidRPr="004676F5">
        <w:rPr>
          <w:b/>
          <w:lang w:val="de-DE"/>
        </w:rPr>
        <w:t>HANDELSVERTRETERVERTRÄGE, VEREINBARUNGEN ÜBER HANDELSPARTNERSCHAFTEN, VERTRIEBSVERTRÄGE UND BEFÖRDERUNGSVERTRÄGE</w:t>
      </w:r>
      <w:r w:rsidR="00AB2CF8" w:rsidRPr="004676F5">
        <w:rPr>
          <w:lang w:val="de-DE"/>
        </w:rPr>
        <w:t>]</w:t>
      </w:r>
    </w:p>
    <w:p w14:paraId="0A9948B5" w14:textId="77777777" w:rsidR="00D03290" w:rsidRPr="004676F5" w:rsidRDefault="00D03290" w:rsidP="00D03290">
      <w:pPr>
        <w:rPr>
          <w:lang w:val="de-DE"/>
        </w:rPr>
      </w:pPr>
    </w:p>
    <w:p w14:paraId="3586FB15" w14:textId="233427F1" w:rsidR="00D03290" w:rsidRPr="004676F5" w:rsidRDefault="00D03290" w:rsidP="00D03290">
      <w:pPr>
        <w:jc w:val="both"/>
        <w:rPr>
          <w:i/>
          <w:lang w:val="de-DE"/>
        </w:rPr>
      </w:pPr>
      <w:r w:rsidRPr="004676F5">
        <w:rPr>
          <w:i/>
          <w:lang w:val="de-DE"/>
        </w:rPr>
        <w:t>[Buch X mit den Artikeln X.1 bis X.</w:t>
      </w:r>
      <w:r w:rsidR="00700382" w:rsidRPr="004676F5">
        <w:rPr>
          <w:i/>
          <w:lang w:val="de-DE"/>
        </w:rPr>
        <w:t xml:space="preserve">40 </w:t>
      </w:r>
      <w:r w:rsidRPr="004676F5">
        <w:rPr>
          <w:i/>
          <w:lang w:val="de-DE"/>
        </w:rPr>
        <w:t xml:space="preserve">eingefügt durch </w:t>
      </w:r>
      <w:r w:rsidR="00BE0A56" w:rsidRPr="004676F5">
        <w:rPr>
          <w:i/>
          <w:lang w:val="de-DE"/>
        </w:rPr>
        <w:t>Art. </w:t>
      </w:r>
      <w:r w:rsidR="00700382" w:rsidRPr="004676F5">
        <w:rPr>
          <w:i/>
          <w:lang w:val="de-DE"/>
        </w:rPr>
        <w:t>3</w:t>
      </w:r>
      <w:r w:rsidRPr="004676F5">
        <w:rPr>
          <w:i/>
          <w:lang w:val="de-DE"/>
        </w:rPr>
        <w:t xml:space="preserve"> des G. vom </w:t>
      </w:r>
      <w:r w:rsidR="00700382" w:rsidRPr="004676F5">
        <w:rPr>
          <w:i/>
          <w:lang w:val="de-DE"/>
        </w:rPr>
        <w:t>2</w:t>
      </w:r>
      <w:r w:rsidRPr="004676F5">
        <w:rPr>
          <w:i/>
          <w:lang w:val="de-DE"/>
        </w:rPr>
        <w:t>. April 201</w:t>
      </w:r>
      <w:r w:rsidR="00700382" w:rsidRPr="004676F5">
        <w:rPr>
          <w:i/>
          <w:lang w:val="de-DE"/>
        </w:rPr>
        <w:t>4</w:t>
      </w:r>
      <w:r w:rsidRPr="004676F5">
        <w:rPr>
          <w:i/>
          <w:lang w:val="de-DE"/>
        </w:rPr>
        <w:t xml:space="preserve"> (B.S. vom 2</w:t>
      </w:r>
      <w:r w:rsidR="00700382" w:rsidRPr="004676F5">
        <w:rPr>
          <w:i/>
          <w:lang w:val="de-DE"/>
        </w:rPr>
        <w:t>8</w:t>
      </w:r>
      <w:r w:rsidRPr="004676F5">
        <w:rPr>
          <w:i/>
          <w:lang w:val="de-DE"/>
        </w:rPr>
        <w:t>. April 201</w:t>
      </w:r>
      <w:r w:rsidR="00700382" w:rsidRPr="004676F5">
        <w:rPr>
          <w:i/>
          <w:lang w:val="de-DE"/>
        </w:rPr>
        <w:t>4</w:t>
      </w:r>
      <w:r w:rsidRPr="004676F5">
        <w:rPr>
          <w:i/>
          <w:lang w:val="de-DE"/>
        </w:rPr>
        <w:t>)</w:t>
      </w:r>
      <w:r w:rsidR="00AB2CF8" w:rsidRPr="004676F5">
        <w:rPr>
          <w:i/>
          <w:lang w:val="de-DE"/>
        </w:rPr>
        <w:t>; Überschrift von Buch X ersetzt durch Art. 172 des G. vom 15. April 2018 (B.S. vom 27. April 2018)</w:t>
      </w:r>
      <w:r w:rsidRPr="004676F5">
        <w:rPr>
          <w:i/>
          <w:lang w:val="de-DE"/>
        </w:rPr>
        <w:t>]</w:t>
      </w:r>
    </w:p>
    <w:p w14:paraId="165B185E" w14:textId="77777777" w:rsidR="00D03290" w:rsidRPr="004676F5" w:rsidRDefault="00D03290" w:rsidP="00D03290">
      <w:pPr>
        <w:rPr>
          <w:lang w:val="de-DE"/>
        </w:rPr>
      </w:pPr>
    </w:p>
    <w:p w14:paraId="3FC2896B" w14:textId="77777777" w:rsidR="00700382" w:rsidRPr="004676F5" w:rsidRDefault="00700382" w:rsidP="00D03290">
      <w:pPr>
        <w:rPr>
          <w:lang w:val="de-DE"/>
        </w:rPr>
      </w:pPr>
    </w:p>
    <w:p w14:paraId="251E9B59" w14:textId="4729FCFC" w:rsidR="00D03290" w:rsidRPr="004676F5" w:rsidRDefault="00D03290" w:rsidP="00D03290">
      <w:pPr>
        <w:jc w:val="center"/>
        <w:rPr>
          <w:b/>
          <w:i/>
          <w:lang w:val="de-DE"/>
        </w:rPr>
      </w:pPr>
      <w:r w:rsidRPr="004676F5">
        <w:rPr>
          <w:b/>
          <w:lang w:val="de-DE"/>
        </w:rPr>
        <w:t xml:space="preserve">TITEL 1 </w:t>
      </w:r>
      <w:r w:rsidR="005B7A5C" w:rsidRPr="004676F5">
        <w:rPr>
          <w:b/>
          <w:lang w:val="de-DE"/>
        </w:rPr>
        <w:t>- </w:t>
      </w:r>
      <w:r w:rsidRPr="004676F5">
        <w:rPr>
          <w:b/>
          <w:i/>
          <w:lang w:val="de-DE"/>
        </w:rPr>
        <w:t>Handelsvertreterverträge</w:t>
      </w:r>
    </w:p>
    <w:p w14:paraId="223A7821" w14:textId="77777777" w:rsidR="00700382" w:rsidRPr="004676F5" w:rsidRDefault="00700382" w:rsidP="00D03290">
      <w:pPr>
        <w:jc w:val="center"/>
        <w:rPr>
          <w:b/>
          <w:lang w:val="de-DE"/>
        </w:rPr>
      </w:pPr>
    </w:p>
    <w:p w14:paraId="381F58D0" w14:textId="77777777" w:rsidR="00D03290" w:rsidRPr="004676F5" w:rsidRDefault="00D03290" w:rsidP="00D03290">
      <w:pPr>
        <w:rPr>
          <w:lang w:val="de-DE"/>
        </w:rPr>
      </w:pPr>
    </w:p>
    <w:p w14:paraId="259F00B3" w14:textId="621A74C8" w:rsidR="00D03290" w:rsidRPr="004676F5" w:rsidRDefault="00BE0A56" w:rsidP="00D03290">
      <w:pPr>
        <w:ind w:firstLine="708"/>
        <w:jc w:val="both"/>
        <w:rPr>
          <w:lang w:val="de-DE"/>
        </w:rPr>
      </w:pPr>
      <w:r w:rsidRPr="004676F5">
        <w:rPr>
          <w:b/>
          <w:lang w:val="de-DE"/>
        </w:rPr>
        <w:t>Art. </w:t>
      </w:r>
      <w:r w:rsidR="00D03290" w:rsidRPr="004676F5">
        <w:rPr>
          <w:b/>
          <w:lang w:val="de-DE"/>
        </w:rPr>
        <w:t>X.1</w:t>
      </w:r>
      <w:r w:rsidR="00D03290" w:rsidRPr="004676F5">
        <w:rPr>
          <w:lang w:val="de-DE"/>
        </w:rPr>
        <w:t> </w:t>
      </w:r>
      <w:r w:rsidR="005B7A5C" w:rsidRPr="004676F5">
        <w:rPr>
          <w:lang w:val="de-DE"/>
        </w:rPr>
        <w:t>- </w:t>
      </w:r>
      <w:r w:rsidR="00D03290" w:rsidRPr="004676F5">
        <w:rPr>
          <w:lang w:val="de-DE"/>
        </w:rPr>
        <w:t>Vorliegender Titel ist auf den in Artikel I.11 Nr. 1 erwähnten Handels</w:t>
      </w:r>
      <w:r w:rsidR="00D03290" w:rsidRPr="004676F5">
        <w:rPr>
          <w:lang w:val="de-DE"/>
        </w:rPr>
        <w:softHyphen/>
        <w:t>vertretervertrag anwendbar.</w:t>
      </w:r>
    </w:p>
    <w:p w14:paraId="5FEAA466" w14:textId="77777777" w:rsidR="00D03290" w:rsidRPr="004676F5" w:rsidRDefault="00D03290" w:rsidP="00D03290">
      <w:pPr>
        <w:ind w:firstLine="708"/>
        <w:jc w:val="both"/>
        <w:rPr>
          <w:lang w:val="de-DE"/>
        </w:rPr>
      </w:pPr>
    </w:p>
    <w:p w14:paraId="47B1C0EF" w14:textId="77777777" w:rsidR="00D03290" w:rsidRPr="004676F5" w:rsidRDefault="00D03290" w:rsidP="00D03290">
      <w:pPr>
        <w:ind w:firstLine="708"/>
        <w:jc w:val="both"/>
        <w:rPr>
          <w:lang w:val="de-DE"/>
        </w:rPr>
      </w:pPr>
      <w:r w:rsidRPr="004676F5">
        <w:rPr>
          <w:lang w:val="de-DE"/>
        </w:rPr>
        <w:t>Vorliegender Titel ist nicht auf Verträge anwendbar, die mit Handelsvertretern geschlossen werden, die die vermittelnde Tätigkeit nicht regelmäßig ausüben.</w:t>
      </w:r>
    </w:p>
    <w:p w14:paraId="09436F8A" w14:textId="77777777" w:rsidR="00D03290" w:rsidRPr="004676F5" w:rsidRDefault="00D03290" w:rsidP="00D03290">
      <w:pPr>
        <w:ind w:firstLine="708"/>
        <w:jc w:val="both"/>
        <w:rPr>
          <w:lang w:val="de-DE"/>
        </w:rPr>
      </w:pPr>
    </w:p>
    <w:p w14:paraId="7B1AA505" w14:textId="77777777" w:rsidR="00700382" w:rsidRPr="004676F5" w:rsidRDefault="00700382" w:rsidP="00D03290">
      <w:pPr>
        <w:ind w:firstLine="708"/>
        <w:jc w:val="both"/>
        <w:rPr>
          <w:lang w:val="de-DE"/>
        </w:rPr>
      </w:pPr>
    </w:p>
    <w:p w14:paraId="4839B13E" w14:textId="739BA5C2" w:rsidR="00D03290" w:rsidRPr="004676F5" w:rsidRDefault="00BE0A56" w:rsidP="00D03290">
      <w:pPr>
        <w:ind w:firstLine="708"/>
        <w:jc w:val="both"/>
        <w:rPr>
          <w:lang w:val="de-DE"/>
        </w:rPr>
      </w:pPr>
      <w:r w:rsidRPr="004676F5">
        <w:rPr>
          <w:b/>
          <w:lang w:val="de-DE"/>
        </w:rPr>
        <w:t>Art. </w:t>
      </w:r>
      <w:r w:rsidR="00D03290" w:rsidRPr="004676F5">
        <w:rPr>
          <w:b/>
          <w:lang w:val="de-DE"/>
        </w:rPr>
        <w:t>X.2</w:t>
      </w:r>
      <w:r w:rsidR="00D03290" w:rsidRPr="004676F5">
        <w:rPr>
          <w:lang w:val="de-DE"/>
        </w:rPr>
        <w:t> </w:t>
      </w:r>
      <w:r w:rsidR="005B7A5C" w:rsidRPr="004676F5">
        <w:rPr>
          <w:lang w:val="de-DE"/>
        </w:rPr>
        <w:t>- </w:t>
      </w:r>
      <w:r w:rsidR="00D03290" w:rsidRPr="004676F5">
        <w:rPr>
          <w:lang w:val="de-DE"/>
        </w:rPr>
        <w:t>Der Handelsvertretervertrag wird für bestimmte oder unbestimmte Zeit geschlossen.</w:t>
      </w:r>
    </w:p>
    <w:p w14:paraId="68517E3F" w14:textId="77777777" w:rsidR="00D03290" w:rsidRPr="004676F5" w:rsidRDefault="00D03290" w:rsidP="00D03290">
      <w:pPr>
        <w:jc w:val="both"/>
        <w:rPr>
          <w:lang w:val="de-DE"/>
        </w:rPr>
      </w:pPr>
    </w:p>
    <w:p w14:paraId="19653837" w14:textId="77777777" w:rsidR="00D03290" w:rsidRPr="004676F5" w:rsidRDefault="00D03290" w:rsidP="00D03290">
      <w:pPr>
        <w:ind w:firstLine="708"/>
        <w:jc w:val="both"/>
        <w:rPr>
          <w:lang w:val="de-DE"/>
        </w:rPr>
      </w:pPr>
      <w:r w:rsidRPr="004676F5">
        <w:rPr>
          <w:lang w:val="de-DE"/>
        </w:rPr>
        <w:t>Der Vertretervertrag wird für unbestimmte Zeit geschlossen, wenn er nicht schriftlich abgefasst ist oder wenn er zwar schriftlich abgefasst ist, aber seine Laufzeit nicht festgelegt worden ist.</w:t>
      </w:r>
    </w:p>
    <w:p w14:paraId="5B2A5D16" w14:textId="77777777" w:rsidR="00D03290" w:rsidRPr="004676F5" w:rsidRDefault="00D03290" w:rsidP="00D03290">
      <w:pPr>
        <w:ind w:firstLine="708"/>
        <w:jc w:val="both"/>
        <w:rPr>
          <w:lang w:val="de-DE"/>
        </w:rPr>
      </w:pPr>
    </w:p>
    <w:p w14:paraId="0341FD4C" w14:textId="77777777" w:rsidR="00D03290" w:rsidRPr="004676F5" w:rsidRDefault="00D03290" w:rsidP="00D03290">
      <w:pPr>
        <w:ind w:firstLine="708"/>
        <w:jc w:val="both"/>
        <w:rPr>
          <w:lang w:val="de-DE"/>
        </w:rPr>
      </w:pPr>
      <w:r w:rsidRPr="004676F5">
        <w:rPr>
          <w:lang w:val="de-DE"/>
        </w:rPr>
        <w:t>Ein Vertrag auf bestimmte Zeit, der nach Ablauf der Laufzeit fortgesetzt wird, gilt als Vertrag auf unbestimmte Zeit ab Vertragsabschluss.</w:t>
      </w:r>
    </w:p>
    <w:p w14:paraId="159EFA18" w14:textId="77777777" w:rsidR="00D03290" w:rsidRPr="004676F5" w:rsidRDefault="00D03290" w:rsidP="00D03290">
      <w:pPr>
        <w:ind w:firstLine="708"/>
        <w:jc w:val="both"/>
        <w:rPr>
          <w:lang w:val="de-DE"/>
        </w:rPr>
      </w:pPr>
    </w:p>
    <w:p w14:paraId="0EED2804" w14:textId="77777777" w:rsidR="00700382" w:rsidRPr="004676F5" w:rsidRDefault="00700382" w:rsidP="00D03290">
      <w:pPr>
        <w:ind w:firstLine="708"/>
        <w:jc w:val="both"/>
        <w:rPr>
          <w:lang w:val="de-DE"/>
        </w:rPr>
      </w:pPr>
    </w:p>
    <w:p w14:paraId="3B24DBE6" w14:textId="7DC5828C" w:rsidR="00D03290" w:rsidRPr="004676F5" w:rsidRDefault="00BE0A56" w:rsidP="00D03290">
      <w:pPr>
        <w:ind w:firstLine="708"/>
        <w:jc w:val="both"/>
        <w:rPr>
          <w:lang w:val="de-DE"/>
        </w:rPr>
      </w:pPr>
      <w:r w:rsidRPr="004676F5">
        <w:rPr>
          <w:b/>
          <w:lang w:val="de-DE"/>
        </w:rPr>
        <w:t>Art. </w:t>
      </w:r>
      <w:r w:rsidR="00D03290" w:rsidRPr="004676F5">
        <w:rPr>
          <w:b/>
          <w:lang w:val="de-DE"/>
        </w:rPr>
        <w:t>X.3</w:t>
      </w:r>
      <w:r w:rsidR="00D03290" w:rsidRPr="004676F5">
        <w:rPr>
          <w:lang w:val="de-DE"/>
        </w:rPr>
        <w:t> </w:t>
      </w:r>
      <w:r w:rsidR="005B7A5C" w:rsidRPr="004676F5">
        <w:rPr>
          <w:lang w:val="de-DE"/>
        </w:rPr>
        <w:t>- </w:t>
      </w:r>
      <w:r w:rsidR="00D03290" w:rsidRPr="004676F5">
        <w:rPr>
          <w:lang w:val="de-DE"/>
        </w:rPr>
        <w:t>Jede Partei kann ungeachtet jeglicher anders lautenden Klausel verlangen, dass der Inhalt des Vertretervertrags einschließlich später vereinbarter Zusätze zu dem Vertrag in ein von der anderen Partei unterzeichnetes Schreiben aufgenommen wird.</w:t>
      </w:r>
    </w:p>
    <w:p w14:paraId="1014D41C" w14:textId="77777777" w:rsidR="00D03290" w:rsidRPr="004676F5" w:rsidRDefault="00D03290" w:rsidP="00D03290">
      <w:pPr>
        <w:jc w:val="both"/>
        <w:rPr>
          <w:lang w:val="de-DE"/>
        </w:rPr>
      </w:pPr>
    </w:p>
    <w:p w14:paraId="0A19E994" w14:textId="77777777" w:rsidR="00700382" w:rsidRPr="004676F5" w:rsidRDefault="00700382" w:rsidP="00D03290">
      <w:pPr>
        <w:jc w:val="both"/>
        <w:rPr>
          <w:lang w:val="de-DE"/>
        </w:rPr>
      </w:pPr>
    </w:p>
    <w:p w14:paraId="1F22771C" w14:textId="11549186" w:rsidR="00D03290" w:rsidRPr="004676F5" w:rsidRDefault="00BE0A56" w:rsidP="00D03290">
      <w:pPr>
        <w:ind w:firstLine="708"/>
        <w:jc w:val="both"/>
        <w:rPr>
          <w:lang w:val="de-DE"/>
        </w:rPr>
      </w:pPr>
      <w:r w:rsidRPr="004676F5">
        <w:rPr>
          <w:b/>
          <w:lang w:val="de-DE"/>
        </w:rPr>
        <w:t>Art. </w:t>
      </w:r>
      <w:r w:rsidR="00D03290" w:rsidRPr="004676F5">
        <w:rPr>
          <w:b/>
          <w:lang w:val="de-DE"/>
        </w:rPr>
        <w:t>X.4</w:t>
      </w:r>
      <w:r w:rsidR="00D03290" w:rsidRPr="004676F5">
        <w:rPr>
          <w:lang w:val="de-DE"/>
        </w:rPr>
        <w:t> </w:t>
      </w:r>
      <w:r w:rsidR="005B7A5C" w:rsidRPr="004676F5">
        <w:rPr>
          <w:lang w:val="de-DE"/>
        </w:rPr>
        <w:t>- </w:t>
      </w:r>
      <w:r w:rsidR="00D03290" w:rsidRPr="004676F5">
        <w:rPr>
          <w:lang w:val="de-DE"/>
        </w:rPr>
        <w:t>Handelsvertreter müssen die Interessen des Auftraggebers wahrnehmen und loyal und nach Treu und Glauben handeln.</w:t>
      </w:r>
    </w:p>
    <w:p w14:paraId="08402453" w14:textId="77777777" w:rsidR="00D03290" w:rsidRPr="004676F5" w:rsidRDefault="00D03290" w:rsidP="00D03290">
      <w:pPr>
        <w:rPr>
          <w:lang w:val="de-DE"/>
        </w:rPr>
      </w:pPr>
    </w:p>
    <w:p w14:paraId="1FBE2BA4" w14:textId="77777777" w:rsidR="00D03290" w:rsidRPr="004676F5" w:rsidRDefault="00D03290" w:rsidP="00D03290">
      <w:pPr>
        <w:ind w:firstLine="708"/>
        <w:jc w:val="both"/>
        <w:rPr>
          <w:lang w:val="de-DE"/>
        </w:rPr>
      </w:pPr>
      <w:r w:rsidRPr="004676F5">
        <w:rPr>
          <w:lang w:val="de-DE"/>
        </w:rPr>
        <w:t>Insbesondere müssen Handelsvertreter:</w:t>
      </w:r>
    </w:p>
    <w:p w14:paraId="5D9D01DA" w14:textId="77777777" w:rsidR="00D03290" w:rsidRPr="004676F5" w:rsidRDefault="00D03290" w:rsidP="00D03290">
      <w:pPr>
        <w:ind w:firstLine="708"/>
        <w:jc w:val="both"/>
        <w:rPr>
          <w:lang w:val="de-DE"/>
        </w:rPr>
      </w:pPr>
    </w:p>
    <w:p w14:paraId="6B5CE8C7" w14:textId="77777777" w:rsidR="00D03290" w:rsidRPr="004676F5" w:rsidRDefault="00D03290" w:rsidP="00D03290">
      <w:pPr>
        <w:ind w:firstLine="708"/>
        <w:jc w:val="both"/>
        <w:rPr>
          <w:lang w:val="de-DE"/>
        </w:rPr>
      </w:pPr>
      <w:r w:rsidRPr="004676F5">
        <w:rPr>
          <w:lang w:val="de-DE"/>
        </w:rPr>
        <w:t>1. sich gebührend um die Vermittlung und gegebenenfalls den Abschluss von Geschäften, mit denen sie betraut sind, bemühen,</w:t>
      </w:r>
    </w:p>
    <w:p w14:paraId="665AF94D" w14:textId="77777777" w:rsidR="00D03290" w:rsidRPr="004676F5" w:rsidRDefault="00D03290" w:rsidP="00D03290">
      <w:pPr>
        <w:jc w:val="both"/>
        <w:rPr>
          <w:lang w:val="de-DE"/>
        </w:rPr>
      </w:pPr>
    </w:p>
    <w:p w14:paraId="4B1AE519" w14:textId="77777777" w:rsidR="00D03290" w:rsidRPr="004676F5" w:rsidRDefault="00D03290" w:rsidP="00D03290">
      <w:pPr>
        <w:ind w:firstLine="708"/>
        <w:jc w:val="both"/>
        <w:rPr>
          <w:lang w:val="de-DE"/>
        </w:rPr>
      </w:pPr>
      <w:r w:rsidRPr="004676F5">
        <w:rPr>
          <w:lang w:val="de-DE"/>
        </w:rPr>
        <w:t>2. dem Auftraggeber erforderliche Informationen mitteilen, über die sie verfügen,</w:t>
      </w:r>
    </w:p>
    <w:p w14:paraId="61D3E006" w14:textId="77777777" w:rsidR="00D03290" w:rsidRPr="004676F5" w:rsidRDefault="00D03290" w:rsidP="00D03290">
      <w:pPr>
        <w:ind w:firstLine="708"/>
        <w:jc w:val="both"/>
        <w:rPr>
          <w:lang w:val="de-DE"/>
        </w:rPr>
      </w:pPr>
    </w:p>
    <w:p w14:paraId="18462E42" w14:textId="77777777" w:rsidR="00D03290" w:rsidRPr="004676F5" w:rsidRDefault="00D03290" w:rsidP="00D03290">
      <w:pPr>
        <w:ind w:firstLine="708"/>
        <w:jc w:val="both"/>
        <w:rPr>
          <w:lang w:val="de-DE"/>
        </w:rPr>
      </w:pPr>
      <w:r w:rsidRPr="004676F5">
        <w:rPr>
          <w:lang w:val="de-DE"/>
        </w:rPr>
        <w:t>3. vertretbaren Weisungen des Auftraggebers folgen.</w:t>
      </w:r>
    </w:p>
    <w:p w14:paraId="576958EA" w14:textId="77777777" w:rsidR="00D03290" w:rsidRPr="004676F5" w:rsidRDefault="00D03290" w:rsidP="00D03290">
      <w:pPr>
        <w:ind w:firstLine="708"/>
        <w:rPr>
          <w:lang w:val="de-DE"/>
        </w:rPr>
      </w:pPr>
    </w:p>
    <w:p w14:paraId="7F84F906" w14:textId="77777777" w:rsidR="00700382" w:rsidRPr="004676F5" w:rsidRDefault="00700382" w:rsidP="00D03290">
      <w:pPr>
        <w:ind w:firstLine="708"/>
        <w:rPr>
          <w:lang w:val="de-DE"/>
        </w:rPr>
      </w:pPr>
    </w:p>
    <w:p w14:paraId="2B524A3A" w14:textId="0FAAD3D9" w:rsidR="00D03290" w:rsidRPr="004676F5" w:rsidRDefault="00BE0A56" w:rsidP="00D03290">
      <w:pPr>
        <w:ind w:firstLine="708"/>
        <w:jc w:val="both"/>
        <w:rPr>
          <w:lang w:val="de-DE"/>
        </w:rPr>
      </w:pPr>
      <w:r w:rsidRPr="004676F5">
        <w:rPr>
          <w:b/>
          <w:lang w:val="de-DE"/>
        </w:rPr>
        <w:t>Art. </w:t>
      </w:r>
      <w:r w:rsidR="00D03290" w:rsidRPr="004676F5">
        <w:rPr>
          <w:b/>
          <w:lang w:val="de-DE"/>
        </w:rPr>
        <w:t>X.5</w:t>
      </w:r>
      <w:r w:rsidR="00D03290" w:rsidRPr="004676F5">
        <w:rPr>
          <w:lang w:val="de-DE"/>
        </w:rPr>
        <w:t> </w:t>
      </w:r>
      <w:r w:rsidR="005B7A5C" w:rsidRPr="004676F5">
        <w:rPr>
          <w:lang w:val="de-DE"/>
        </w:rPr>
        <w:t>- </w:t>
      </w:r>
      <w:r w:rsidR="00D03290" w:rsidRPr="004676F5">
        <w:rPr>
          <w:lang w:val="de-DE"/>
        </w:rPr>
        <w:t>Außer bei anders lautender Klausel können Handelsvertreter für die Ausführung ihres Auftrags auf von ihnen vergütete Untervertreter zurückgreifen, für die sie haften und deren Auftraggeber sie werden.</w:t>
      </w:r>
    </w:p>
    <w:p w14:paraId="0EF64E0B" w14:textId="77777777" w:rsidR="00D03290" w:rsidRPr="004676F5" w:rsidRDefault="00D03290" w:rsidP="00D03290">
      <w:pPr>
        <w:ind w:firstLine="708"/>
        <w:jc w:val="both"/>
        <w:rPr>
          <w:lang w:val="de-DE"/>
        </w:rPr>
      </w:pPr>
    </w:p>
    <w:p w14:paraId="1A1CAD9A" w14:textId="77777777" w:rsidR="00700382" w:rsidRPr="004676F5" w:rsidRDefault="00700382" w:rsidP="00D03290">
      <w:pPr>
        <w:ind w:firstLine="708"/>
        <w:jc w:val="both"/>
        <w:rPr>
          <w:lang w:val="de-DE"/>
        </w:rPr>
      </w:pPr>
    </w:p>
    <w:p w14:paraId="593CA9DC" w14:textId="0C37C349" w:rsidR="00D03290" w:rsidRPr="004676F5" w:rsidRDefault="00BE0A56" w:rsidP="00D03290">
      <w:pPr>
        <w:ind w:firstLine="708"/>
        <w:jc w:val="both"/>
        <w:rPr>
          <w:lang w:val="de-DE"/>
        </w:rPr>
      </w:pPr>
      <w:r w:rsidRPr="004676F5">
        <w:rPr>
          <w:b/>
          <w:lang w:val="de-DE"/>
        </w:rPr>
        <w:t>Art. </w:t>
      </w:r>
      <w:r w:rsidR="00D03290" w:rsidRPr="004676F5">
        <w:rPr>
          <w:b/>
          <w:lang w:val="de-DE"/>
        </w:rPr>
        <w:t>X.6</w:t>
      </w:r>
      <w:r w:rsidR="00D03290" w:rsidRPr="004676F5">
        <w:rPr>
          <w:lang w:val="de-DE"/>
        </w:rPr>
        <w:t xml:space="preserve"> </w:t>
      </w:r>
      <w:r w:rsidR="005B7A5C" w:rsidRPr="004676F5">
        <w:rPr>
          <w:lang w:val="de-DE"/>
        </w:rPr>
        <w:t>- </w:t>
      </w:r>
      <w:r w:rsidR="00D03290" w:rsidRPr="004676F5">
        <w:rPr>
          <w:lang w:val="de-DE"/>
        </w:rPr>
        <w:t>Auftraggeber müssen in ihren Beziehungen mit Handelsvertretern loyal und nach Treu und Glauben handeln.</w:t>
      </w:r>
    </w:p>
    <w:p w14:paraId="074D509D" w14:textId="77777777" w:rsidR="00D03290" w:rsidRPr="004676F5" w:rsidRDefault="00D03290" w:rsidP="00D03290">
      <w:pPr>
        <w:ind w:firstLine="708"/>
        <w:jc w:val="both"/>
        <w:rPr>
          <w:lang w:val="de-DE"/>
        </w:rPr>
      </w:pPr>
    </w:p>
    <w:p w14:paraId="3C1A5BE5" w14:textId="77777777" w:rsidR="00D03290" w:rsidRPr="004676F5" w:rsidRDefault="00D03290" w:rsidP="00D03290">
      <w:pPr>
        <w:ind w:firstLine="708"/>
        <w:jc w:val="both"/>
        <w:rPr>
          <w:lang w:val="de-DE"/>
        </w:rPr>
      </w:pPr>
      <w:r w:rsidRPr="004676F5">
        <w:rPr>
          <w:lang w:val="de-DE"/>
        </w:rPr>
        <w:t>Insbesondere müssen Auftraggeber:</w:t>
      </w:r>
    </w:p>
    <w:p w14:paraId="5A443742" w14:textId="77777777" w:rsidR="00D03290" w:rsidRPr="004676F5" w:rsidRDefault="00D03290" w:rsidP="00D03290">
      <w:pPr>
        <w:jc w:val="both"/>
        <w:rPr>
          <w:lang w:val="de-DE"/>
        </w:rPr>
      </w:pPr>
    </w:p>
    <w:p w14:paraId="0608BB5E" w14:textId="77777777" w:rsidR="00D03290" w:rsidRPr="004676F5" w:rsidRDefault="00D03290" w:rsidP="00D03290">
      <w:pPr>
        <w:ind w:firstLine="708"/>
        <w:jc w:val="both"/>
        <w:rPr>
          <w:lang w:val="de-DE"/>
        </w:rPr>
      </w:pPr>
      <w:r w:rsidRPr="004676F5">
        <w:rPr>
          <w:lang w:val="de-DE"/>
        </w:rPr>
        <w:t>1. dem Handelsvertreter alle in Bezug auf die betreffenden Geschäfte erforderlichen Unterlagen zur Verfügung stellen,</w:t>
      </w:r>
    </w:p>
    <w:p w14:paraId="1808B734" w14:textId="77777777" w:rsidR="00D03290" w:rsidRPr="004676F5" w:rsidRDefault="00D03290" w:rsidP="00D03290">
      <w:pPr>
        <w:ind w:firstLine="708"/>
        <w:jc w:val="both"/>
        <w:rPr>
          <w:lang w:val="de-DE"/>
        </w:rPr>
      </w:pPr>
    </w:p>
    <w:p w14:paraId="21690642" w14:textId="77777777" w:rsidR="00D03290" w:rsidRPr="004676F5" w:rsidRDefault="00D03290" w:rsidP="00D03290">
      <w:pPr>
        <w:ind w:firstLine="708"/>
        <w:jc w:val="both"/>
        <w:rPr>
          <w:lang w:val="de-DE"/>
        </w:rPr>
      </w:pPr>
      <w:r w:rsidRPr="004676F5">
        <w:rPr>
          <w:lang w:val="de-DE"/>
        </w:rPr>
        <w:t>2. dem Handelsvertreter zur Ausübung des Vertretervertrags erforderliche Informationen mitteilen, insbesondere den Handelsvertreter in annehmbarer Frist unterrichten, wenn das Geschäftsvolumen seiner Voraussicht nach erheblich geringer sein wird als das Geschäftsvolumen, das der Handelsvertreter normalerweise erwarten konnte.</w:t>
      </w:r>
    </w:p>
    <w:p w14:paraId="5521C693" w14:textId="77777777" w:rsidR="00D03290" w:rsidRPr="004676F5" w:rsidRDefault="00D03290" w:rsidP="00D03290">
      <w:pPr>
        <w:ind w:firstLine="708"/>
        <w:jc w:val="both"/>
        <w:rPr>
          <w:lang w:val="de-DE"/>
        </w:rPr>
      </w:pPr>
    </w:p>
    <w:p w14:paraId="0BCBE2E0" w14:textId="77777777" w:rsidR="00D03290" w:rsidRPr="004676F5" w:rsidRDefault="00D03290" w:rsidP="00D03290">
      <w:pPr>
        <w:ind w:firstLine="708"/>
        <w:jc w:val="both"/>
        <w:rPr>
          <w:lang w:val="de-DE"/>
        </w:rPr>
      </w:pPr>
      <w:r w:rsidRPr="004676F5">
        <w:rPr>
          <w:lang w:val="de-DE"/>
        </w:rPr>
        <w:t>Weiter haben Auftraggeber dem Handelsvertreter in annehmbarer Frist Annahme, Ablehnung oder Nichtausführung eines vom Handelsvertreter vermittelten Geschäfts mitzuteilen.</w:t>
      </w:r>
    </w:p>
    <w:p w14:paraId="27CB6D50" w14:textId="77777777" w:rsidR="00D03290" w:rsidRPr="004676F5" w:rsidRDefault="00D03290" w:rsidP="00D03290">
      <w:pPr>
        <w:jc w:val="both"/>
        <w:rPr>
          <w:lang w:val="de-DE"/>
        </w:rPr>
      </w:pPr>
    </w:p>
    <w:p w14:paraId="422D69E8" w14:textId="77777777" w:rsidR="00700382" w:rsidRPr="004676F5" w:rsidRDefault="00700382" w:rsidP="00D03290">
      <w:pPr>
        <w:jc w:val="both"/>
        <w:rPr>
          <w:lang w:val="de-DE"/>
        </w:rPr>
      </w:pPr>
    </w:p>
    <w:p w14:paraId="6344CCEF" w14:textId="32EE6F00" w:rsidR="00D03290" w:rsidRPr="004676F5" w:rsidRDefault="00BE0A56" w:rsidP="00D03290">
      <w:pPr>
        <w:ind w:firstLine="708"/>
        <w:jc w:val="both"/>
        <w:rPr>
          <w:lang w:val="de-DE"/>
        </w:rPr>
      </w:pPr>
      <w:r w:rsidRPr="004676F5">
        <w:rPr>
          <w:b/>
          <w:lang w:val="de-DE"/>
        </w:rPr>
        <w:t>Art. </w:t>
      </w:r>
      <w:r w:rsidR="00D03290" w:rsidRPr="004676F5">
        <w:rPr>
          <w:b/>
          <w:lang w:val="de-DE"/>
        </w:rPr>
        <w:t>X.7</w:t>
      </w:r>
      <w:r w:rsidR="00D03290" w:rsidRPr="004676F5">
        <w:rPr>
          <w:lang w:val="de-DE"/>
        </w:rPr>
        <w:t> </w:t>
      </w:r>
      <w:r w:rsidR="005B7A5C" w:rsidRPr="004676F5">
        <w:rPr>
          <w:lang w:val="de-DE"/>
        </w:rPr>
        <w:t>- </w:t>
      </w:r>
      <w:r w:rsidR="00D03290" w:rsidRPr="004676F5">
        <w:rPr>
          <w:lang w:val="de-DE"/>
        </w:rPr>
        <w:t>Die Vergütung eines Handelsvertreters besteht entweder aus einem festen Entgelt oder aus Provisionen oder teilweise aus einem festen Entgelt und teilweise aus Provisionen.</w:t>
      </w:r>
    </w:p>
    <w:p w14:paraId="6176DCFD" w14:textId="77777777" w:rsidR="00D03290" w:rsidRPr="004676F5" w:rsidRDefault="00D03290" w:rsidP="00D03290">
      <w:pPr>
        <w:ind w:firstLine="708"/>
        <w:jc w:val="both"/>
        <w:rPr>
          <w:lang w:val="de-DE"/>
        </w:rPr>
      </w:pPr>
    </w:p>
    <w:p w14:paraId="2808D2E4" w14:textId="77777777" w:rsidR="00D03290" w:rsidRPr="004676F5" w:rsidRDefault="00D03290" w:rsidP="00D03290">
      <w:pPr>
        <w:ind w:firstLine="708"/>
        <w:jc w:val="both"/>
        <w:rPr>
          <w:lang w:val="de-DE"/>
        </w:rPr>
      </w:pPr>
      <w:r w:rsidRPr="004676F5">
        <w:rPr>
          <w:lang w:val="de-DE"/>
        </w:rPr>
        <w:t>Bestandteile der Vergütung, die nach Anzahl oder Wert der Geschäfte variieren, gelten im Sinne des vorliegenden Abschnitts als Provision.</w:t>
      </w:r>
    </w:p>
    <w:p w14:paraId="758F4DC4" w14:textId="77777777" w:rsidR="00D03290" w:rsidRPr="004676F5" w:rsidRDefault="00D03290" w:rsidP="00D03290">
      <w:pPr>
        <w:ind w:firstLine="708"/>
        <w:jc w:val="both"/>
        <w:rPr>
          <w:lang w:val="de-DE"/>
        </w:rPr>
      </w:pPr>
    </w:p>
    <w:p w14:paraId="15A74959" w14:textId="77777777" w:rsidR="00D03290" w:rsidRPr="004676F5" w:rsidRDefault="00D03290" w:rsidP="00D03290">
      <w:pPr>
        <w:ind w:firstLine="708"/>
        <w:jc w:val="both"/>
        <w:rPr>
          <w:lang w:val="de-DE"/>
        </w:rPr>
      </w:pPr>
      <w:r w:rsidRPr="004676F5">
        <w:rPr>
          <w:lang w:val="de-DE"/>
        </w:rPr>
        <w:t>Besteht die Vergütung eines Handelsvertreters nicht oder nicht teilweise aus Provisionen, sind die Artikel X.8 bis X.14 nicht anwendbar.</w:t>
      </w:r>
    </w:p>
    <w:p w14:paraId="4DB59999" w14:textId="77777777" w:rsidR="00D03290" w:rsidRPr="004676F5" w:rsidRDefault="00D03290" w:rsidP="00D03290">
      <w:pPr>
        <w:ind w:firstLine="708"/>
        <w:jc w:val="both"/>
        <w:rPr>
          <w:lang w:val="de-DE"/>
        </w:rPr>
      </w:pPr>
    </w:p>
    <w:p w14:paraId="4AD25A3F" w14:textId="77777777" w:rsidR="00700382" w:rsidRPr="004676F5" w:rsidRDefault="00700382" w:rsidP="00D03290">
      <w:pPr>
        <w:ind w:firstLine="708"/>
        <w:jc w:val="both"/>
        <w:rPr>
          <w:lang w:val="de-DE"/>
        </w:rPr>
      </w:pPr>
    </w:p>
    <w:p w14:paraId="02DD10A9" w14:textId="2E38BA24" w:rsidR="00D03290" w:rsidRPr="004676F5" w:rsidRDefault="00BE0A56" w:rsidP="00D03290">
      <w:pPr>
        <w:ind w:firstLine="708"/>
        <w:jc w:val="both"/>
        <w:rPr>
          <w:lang w:val="de-DE"/>
        </w:rPr>
      </w:pPr>
      <w:r w:rsidRPr="004676F5">
        <w:rPr>
          <w:b/>
          <w:lang w:val="de-DE"/>
        </w:rPr>
        <w:t>Art. </w:t>
      </w:r>
      <w:r w:rsidR="00D03290" w:rsidRPr="004676F5">
        <w:rPr>
          <w:b/>
          <w:lang w:val="de-DE"/>
        </w:rPr>
        <w:t>X.8</w:t>
      </w:r>
      <w:r w:rsidR="00D03290" w:rsidRPr="004676F5">
        <w:rPr>
          <w:lang w:val="de-DE"/>
        </w:rPr>
        <w:t> </w:t>
      </w:r>
      <w:r w:rsidR="005B7A5C" w:rsidRPr="004676F5">
        <w:rPr>
          <w:lang w:val="de-DE"/>
        </w:rPr>
        <w:t>- </w:t>
      </w:r>
      <w:r w:rsidR="00D03290" w:rsidRPr="004676F5">
        <w:rPr>
          <w:lang w:val="de-DE"/>
        </w:rPr>
        <w:t>Für ein während der Laufzeit eines Handelsvertretervertrags abgeschlossenes Geschäft hat ein Handelsvertreter Anspruch auf Provision:</w:t>
      </w:r>
    </w:p>
    <w:p w14:paraId="75D4DAD7" w14:textId="77777777" w:rsidR="00D03290" w:rsidRPr="004676F5" w:rsidRDefault="00D03290" w:rsidP="00D03290">
      <w:pPr>
        <w:ind w:firstLine="708"/>
        <w:jc w:val="both"/>
        <w:rPr>
          <w:lang w:val="de-DE"/>
        </w:rPr>
      </w:pPr>
    </w:p>
    <w:p w14:paraId="01DC53D6" w14:textId="77777777" w:rsidR="00D03290" w:rsidRPr="004676F5" w:rsidRDefault="00D03290" w:rsidP="00D03290">
      <w:pPr>
        <w:ind w:firstLine="708"/>
        <w:jc w:val="both"/>
        <w:rPr>
          <w:lang w:val="de-DE"/>
        </w:rPr>
      </w:pPr>
      <w:r w:rsidRPr="004676F5">
        <w:rPr>
          <w:lang w:val="de-DE"/>
        </w:rPr>
        <w:t>1. wenn ein Geschäft durch sein Eingreifen zustande kommt,</w:t>
      </w:r>
    </w:p>
    <w:p w14:paraId="7C88E82B" w14:textId="77777777" w:rsidR="00D03290" w:rsidRPr="004676F5" w:rsidRDefault="00D03290" w:rsidP="00D03290">
      <w:pPr>
        <w:ind w:firstLine="708"/>
        <w:jc w:val="both"/>
        <w:rPr>
          <w:lang w:val="de-DE"/>
        </w:rPr>
      </w:pPr>
    </w:p>
    <w:p w14:paraId="2B3FB901" w14:textId="77777777" w:rsidR="00D03290" w:rsidRPr="004676F5" w:rsidRDefault="00D03290" w:rsidP="00D03290">
      <w:pPr>
        <w:ind w:firstLine="708"/>
        <w:jc w:val="both"/>
        <w:rPr>
          <w:lang w:val="de-DE"/>
        </w:rPr>
      </w:pPr>
      <w:r w:rsidRPr="004676F5">
        <w:rPr>
          <w:lang w:val="de-DE"/>
        </w:rPr>
        <w:t>2. wenn ein Geschäft mit Dritten abgeschlossen wird, die er zu einem früheren Zeitpunkt als Kunden für Geschäfte gleicher Art geworben hat,</w:t>
      </w:r>
    </w:p>
    <w:p w14:paraId="46A91DD3" w14:textId="77777777" w:rsidR="00D03290" w:rsidRPr="004676F5" w:rsidRDefault="00D03290" w:rsidP="00D03290">
      <w:pPr>
        <w:ind w:firstLine="708"/>
        <w:jc w:val="both"/>
        <w:rPr>
          <w:lang w:val="de-DE"/>
        </w:rPr>
      </w:pPr>
    </w:p>
    <w:p w14:paraId="60EA05E9" w14:textId="77777777" w:rsidR="00D03290" w:rsidRPr="004676F5" w:rsidRDefault="00D03290" w:rsidP="00D03290">
      <w:pPr>
        <w:ind w:firstLine="708"/>
        <w:jc w:val="both"/>
        <w:rPr>
          <w:lang w:val="de-DE"/>
        </w:rPr>
      </w:pPr>
      <w:r w:rsidRPr="004676F5">
        <w:rPr>
          <w:lang w:val="de-DE"/>
        </w:rPr>
        <w:t>3. oder wenn vereinbart worden ist, dass der Handelsvertreter allein in einem bestimmten Gebiet oder bei einem bestimmten Kundenkreis tätig ist, und das Geschäft mit einem Kunden aus diesem Gebiet oder aus diesem Kundenkreis abgeschlossen wird.</w:t>
      </w:r>
    </w:p>
    <w:p w14:paraId="0CF1A8D2" w14:textId="77777777" w:rsidR="00D03290" w:rsidRPr="004676F5" w:rsidRDefault="00D03290" w:rsidP="00D03290">
      <w:pPr>
        <w:ind w:firstLine="708"/>
        <w:jc w:val="both"/>
        <w:rPr>
          <w:lang w:val="de-DE"/>
        </w:rPr>
      </w:pPr>
    </w:p>
    <w:p w14:paraId="2DE6265B" w14:textId="77777777" w:rsidR="00700382" w:rsidRPr="004676F5" w:rsidRDefault="00700382" w:rsidP="00D03290">
      <w:pPr>
        <w:ind w:firstLine="708"/>
        <w:jc w:val="both"/>
        <w:rPr>
          <w:lang w:val="de-DE"/>
        </w:rPr>
      </w:pPr>
    </w:p>
    <w:p w14:paraId="715A2F06" w14:textId="13F85470" w:rsidR="00D03290" w:rsidRPr="004676F5" w:rsidRDefault="00BE0A56" w:rsidP="00D03290">
      <w:pPr>
        <w:ind w:firstLine="708"/>
        <w:jc w:val="both"/>
        <w:rPr>
          <w:lang w:val="de-DE"/>
        </w:rPr>
      </w:pPr>
      <w:r w:rsidRPr="004676F5">
        <w:rPr>
          <w:b/>
          <w:lang w:val="de-DE"/>
        </w:rPr>
        <w:t>Art. </w:t>
      </w:r>
      <w:r w:rsidR="00D03290" w:rsidRPr="004676F5">
        <w:rPr>
          <w:b/>
          <w:lang w:val="de-DE"/>
        </w:rPr>
        <w:t>X.9</w:t>
      </w:r>
      <w:r w:rsidR="00D03290" w:rsidRPr="004676F5">
        <w:rPr>
          <w:lang w:val="de-DE"/>
        </w:rPr>
        <w:t> </w:t>
      </w:r>
      <w:r w:rsidR="005B7A5C" w:rsidRPr="004676F5">
        <w:rPr>
          <w:lang w:val="de-DE"/>
        </w:rPr>
        <w:t>- </w:t>
      </w:r>
      <w:r w:rsidR="00D03290" w:rsidRPr="004676F5">
        <w:rPr>
          <w:lang w:val="de-DE"/>
        </w:rPr>
        <w:t>Für ein nach Beendigung eines Handelsvertretervertrags abgeschlossenes Geschäft hat ein Handelsvertreter Anspruch auf Provision:</w:t>
      </w:r>
    </w:p>
    <w:p w14:paraId="2BCADB56" w14:textId="77777777" w:rsidR="00D03290" w:rsidRPr="004676F5" w:rsidRDefault="00D03290" w:rsidP="00D03290">
      <w:pPr>
        <w:ind w:firstLine="708"/>
        <w:jc w:val="both"/>
        <w:rPr>
          <w:lang w:val="de-DE"/>
        </w:rPr>
      </w:pPr>
    </w:p>
    <w:p w14:paraId="204D4A49" w14:textId="77777777" w:rsidR="00D03290" w:rsidRPr="004676F5" w:rsidRDefault="00D03290" w:rsidP="00D03290">
      <w:pPr>
        <w:ind w:firstLine="708"/>
        <w:jc w:val="both"/>
        <w:rPr>
          <w:lang w:val="de-DE"/>
        </w:rPr>
      </w:pPr>
      <w:r w:rsidRPr="004676F5">
        <w:rPr>
          <w:lang w:val="de-DE"/>
        </w:rPr>
        <w:t>1. wenn der Geschäftsabschluss überwiegend auf seine Tätigkeit während der Laufzeit des Handelsvertretervertrags zurückzuführen ist und das Geschäft innerhalb einer Frist von sechs Monaten ab Beendigung dieses Vertrags abgeschlossen wird</w:t>
      </w:r>
    </w:p>
    <w:p w14:paraId="50279667" w14:textId="77777777" w:rsidR="00D03290" w:rsidRPr="004676F5" w:rsidRDefault="00D03290" w:rsidP="00D03290">
      <w:pPr>
        <w:rPr>
          <w:lang w:val="de-DE"/>
        </w:rPr>
      </w:pPr>
    </w:p>
    <w:p w14:paraId="19C1DCFD" w14:textId="77777777" w:rsidR="00D03290" w:rsidRPr="004676F5" w:rsidRDefault="00D03290" w:rsidP="00D03290">
      <w:pPr>
        <w:ind w:firstLine="708"/>
        <w:jc w:val="both"/>
        <w:rPr>
          <w:lang w:val="de-DE"/>
        </w:rPr>
      </w:pPr>
      <w:r w:rsidRPr="004676F5">
        <w:rPr>
          <w:lang w:val="de-DE"/>
        </w:rPr>
        <w:lastRenderedPageBreak/>
        <w:t>2. oder wenn der Auftraggeber oder der Handelsvertreter die Bestellung eines Dritten gemäß den in Artikel X.8 erwähnten Bedingungen vor Beendigung des Handelsvertreter</w:t>
      </w:r>
      <w:r w:rsidRPr="004676F5">
        <w:rPr>
          <w:lang w:val="de-DE"/>
        </w:rPr>
        <w:softHyphen/>
        <w:t>vertrags erhalten hat.</w:t>
      </w:r>
    </w:p>
    <w:p w14:paraId="3D479B25" w14:textId="77777777" w:rsidR="00D03290" w:rsidRPr="004676F5" w:rsidRDefault="00D03290" w:rsidP="00D03290">
      <w:pPr>
        <w:ind w:firstLine="708"/>
        <w:jc w:val="both"/>
        <w:rPr>
          <w:lang w:val="de-DE"/>
        </w:rPr>
      </w:pPr>
    </w:p>
    <w:p w14:paraId="7F17ADFC" w14:textId="77777777" w:rsidR="00700382" w:rsidRPr="004676F5" w:rsidRDefault="00700382" w:rsidP="00D03290">
      <w:pPr>
        <w:ind w:firstLine="708"/>
        <w:jc w:val="both"/>
        <w:rPr>
          <w:lang w:val="de-DE"/>
        </w:rPr>
      </w:pPr>
    </w:p>
    <w:p w14:paraId="4A7A8AB1" w14:textId="06994CA3" w:rsidR="00D03290" w:rsidRPr="004676F5" w:rsidRDefault="00BE0A56" w:rsidP="00D03290">
      <w:pPr>
        <w:ind w:firstLine="708"/>
        <w:jc w:val="both"/>
        <w:rPr>
          <w:lang w:val="de-DE"/>
        </w:rPr>
      </w:pPr>
      <w:r w:rsidRPr="004676F5">
        <w:rPr>
          <w:b/>
          <w:lang w:val="de-DE"/>
        </w:rPr>
        <w:t>Art. </w:t>
      </w:r>
      <w:r w:rsidR="00D03290" w:rsidRPr="004676F5">
        <w:rPr>
          <w:b/>
          <w:lang w:val="de-DE"/>
        </w:rPr>
        <w:t>X.10</w:t>
      </w:r>
      <w:r w:rsidR="00D03290" w:rsidRPr="004676F5">
        <w:rPr>
          <w:lang w:val="de-DE"/>
        </w:rPr>
        <w:t xml:space="preserve"> </w:t>
      </w:r>
      <w:r w:rsidR="005B7A5C" w:rsidRPr="004676F5">
        <w:rPr>
          <w:lang w:val="de-DE"/>
        </w:rPr>
        <w:t>- </w:t>
      </w:r>
      <w:r w:rsidR="00D03290" w:rsidRPr="004676F5">
        <w:rPr>
          <w:lang w:val="de-DE"/>
        </w:rPr>
        <w:t>Ein Handelsvertreter hat keinen Anspruch auf die in Artikel X.8 erwähnte Provision, wenn diese gemäß Artikel X.9 dem vorherigen Handelsvertreter zusteht, es sei denn, wegen der Umstände ist eine Aufteilung der Provision unter die Handelsvertreter gerecht.</w:t>
      </w:r>
    </w:p>
    <w:p w14:paraId="5A2782BD" w14:textId="77777777" w:rsidR="00D03290" w:rsidRPr="004676F5" w:rsidRDefault="00D03290" w:rsidP="00D03290">
      <w:pPr>
        <w:ind w:firstLine="708"/>
        <w:jc w:val="both"/>
        <w:rPr>
          <w:lang w:val="de-DE"/>
        </w:rPr>
      </w:pPr>
    </w:p>
    <w:p w14:paraId="38CF6FB7" w14:textId="77777777" w:rsidR="00700382" w:rsidRPr="004676F5" w:rsidRDefault="00700382" w:rsidP="00D03290">
      <w:pPr>
        <w:ind w:firstLine="708"/>
        <w:jc w:val="both"/>
        <w:rPr>
          <w:lang w:val="de-DE"/>
        </w:rPr>
      </w:pPr>
    </w:p>
    <w:p w14:paraId="08FD9E45" w14:textId="0C7785F9" w:rsidR="00D03290" w:rsidRPr="004676F5" w:rsidRDefault="00BE0A56" w:rsidP="00D03290">
      <w:pPr>
        <w:ind w:firstLine="708"/>
        <w:jc w:val="both"/>
        <w:rPr>
          <w:lang w:val="de-DE"/>
        </w:rPr>
      </w:pPr>
      <w:r w:rsidRPr="004676F5">
        <w:rPr>
          <w:b/>
          <w:lang w:val="de-DE"/>
        </w:rPr>
        <w:t>Art. </w:t>
      </w:r>
      <w:r w:rsidR="00D03290" w:rsidRPr="004676F5">
        <w:rPr>
          <w:b/>
          <w:lang w:val="de-DE"/>
        </w:rPr>
        <w:t>X.11</w:t>
      </w:r>
      <w:r w:rsidR="00D03290" w:rsidRPr="004676F5">
        <w:rPr>
          <w:lang w:val="de-DE"/>
        </w:rPr>
        <w:t> </w:t>
      </w:r>
      <w:r w:rsidR="005B7A5C" w:rsidRPr="004676F5">
        <w:rPr>
          <w:lang w:val="de-DE"/>
        </w:rPr>
        <w:t>- </w:t>
      </w:r>
      <w:r w:rsidR="00D03290" w:rsidRPr="004676F5">
        <w:rPr>
          <w:lang w:val="de-DE"/>
        </w:rPr>
        <w:t>Die Provision ist fällig, sobald und soweit einer der folgenden Fälle eintritt:</w:t>
      </w:r>
    </w:p>
    <w:p w14:paraId="04AD67EE" w14:textId="77777777" w:rsidR="00D03290" w:rsidRPr="004676F5" w:rsidRDefault="00D03290" w:rsidP="00D03290">
      <w:pPr>
        <w:ind w:firstLine="708"/>
        <w:jc w:val="both"/>
        <w:rPr>
          <w:lang w:val="de-DE"/>
        </w:rPr>
      </w:pPr>
    </w:p>
    <w:p w14:paraId="0B78C50B" w14:textId="77777777" w:rsidR="00D03290" w:rsidRPr="004676F5" w:rsidRDefault="00D03290" w:rsidP="00D03290">
      <w:pPr>
        <w:ind w:firstLine="708"/>
        <w:jc w:val="both"/>
        <w:rPr>
          <w:lang w:val="de-DE"/>
        </w:rPr>
      </w:pPr>
      <w:r w:rsidRPr="004676F5">
        <w:rPr>
          <w:lang w:val="de-DE"/>
        </w:rPr>
        <w:t>1. Der Auftraggeber hat das Geschäft ausgeführt oder hätte es aufgrund der Vereinbarung mit dem Dritten ausführen müssen.</w:t>
      </w:r>
    </w:p>
    <w:p w14:paraId="332BF796" w14:textId="77777777" w:rsidR="00D03290" w:rsidRPr="004676F5" w:rsidRDefault="00D03290" w:rsidP="00D03290">
      <w:pPr>
        <w:ind w:firstLine="708"/>
        <w:jc w:val="both"/>
        <w:rPr>
          <w:lang w:val="de-DE"/>
        </w:rPr>
      </w:pPr>
    </w:p>
    <w:p w14:paraId="38C5FEFF" w14:textId="77777777" w:rsidR="00D03290" w:rsidRPr="004676F5" w:rsidRDefault="00D03290" w:rsidP="00D03290">
      <w:pPr>
        <w:ind w:firstLine="708"/>
        <w:jc w:val="both"/>
        <w:rPr>
          <w:lang w:val="de-DE"/>
        </w:rPr>
      </w:pPr>
      <w:r w:rsidRPr="004676F5">
        <w:rPr>
          <w:lang w:val="de-DE"/>
        </w:rPr>
        <w:t>2. Der Dritte hat seine vertraglichen Verpflichtungen erfüllt.</w:t>
      </w:r>
    </w:p>
    <w:p w14:paraId="1ED45DBF" w14:textId="77777777" w:rsidR="00D03290" w:rsidRPr="004676F5" w:rsidRDefault="00D03290" w:rsidP="00D03290">
      <w:pPr>
        <w:ind w:firstLine="708"/>
        <w:jc w:val="both"/>
        <w:rPr>
          <w:lang w:val="de-DE"/>
        </w:rPr>
      </w:pPr>
    </w:p>
    <w:p w14:paraId="541D2B72" w14:textId="77777777" w:rsidR="00D03290" w:rsidRPr="004676F5" w:rsidRDefault="00D03290" w:rsidP="00D03290">
      <w:pPr>
        <w:ind w:firstLine="708"/>
        <w:jc w:val="both"/>
        <w:rPr>
          <w:lang w:val="de-DE"/>
        </w:rPr>
      </w:pPr>
      <w:r w:rsidRPr="004676F5">
        <w:rPr>
          <w:lang w:val="de-DE"/>
        </w:rPr>
        <w:t>Die Provision ist spätestens fällig, wenn der Dritte seinen Teil der Vereinbarung erfüllt hat oder hätte erfüllen müssen, wenn der Auftraggeber seinen Teil der Vereinbarung erfüllt hätte.</w:t>
      </w:r>
    </w:p>
    <w:p w14:paraId="7E18A40E" w14:textId="77777777" w:rsidR="00D03290" w:rsidRPr="004676F5" w:rsidRDefault="00D03290" w:rsidP="00D03290">
      <w:pPr>
        <w:ind w:firstLine="708"/>
        <w:jc w:val="both"/>
        <w:rPr>
          <w:lang w:val="de-DE"/>
        </w:rPr>
      </w:pPr>
    </w:p>
    <w:p w14:paraId="125A9FA8" w14:textId="77777777" w:rsidR="00D03290" w:rsidRPr="004676F5" w:rsidRDefault="00D03290" w:rsidP="00D03290">
      <w:pPr>
        <w:ind w:firstLine="708"/>
        <w:jc w:val="both"/>
        <w:rPr>
          <w:lang w:val="de-DE"/>
        </w:rPr>
      </w:pPr>
      <w:r w:rsidRPr="004676F5">
        <w:rPr>
          <w:lang w:val="de-DE"/>
        </w:rPr>
        <w:t>Die Provision wird spätestens am letzten Tag des Monats nach dem Quartal, in dem sie fällig geworden ist, gezahlt.</w:t>
      </w:r>
    </w:p>
    <w:p w14:paraId="39AB992B" w14:textId="77777777" w:rsidR="00D03290" w:rsidRPr="004676F5" w:rsidRDefault="00D03290" w:rsidP="00D03290">
      <w:pPr>
        <w:ind w:firstLine="708"/>
        <w:jc w:val="both"/>
        <w:rPr>
          <w:lang w:val="de-DE"/>
        </w:rPr>
      </w:pPr>
    </w:p>
    <w:p w14:paraId="071FD5C0" w14:textId="77777777" w:rsidR="00D03290" w:rsidRPr="004676F5" w:rsidRDefault="00D03290" w:rsidP="00D03290">
      <w:pPr>
        <w:ind w:firstLine="708"/>
        <w:jc w:val="both"/>
        <w:rPr>
          <w:lang w:val="de-DE"/>
        </w:rPr>
      </w:pPr>
      <w:r w:rsidRPr="004676F5">
        <w:rPr>
          <w:lang w:val="de-DE"/>
        </w:rPr>
        <w:t>Von den Absätzen 2 und 3 darf nicht zum Nachteil des Handelsvertreters abgewichen werden.</w:t>
      </w:r>
    </w:p>
    <w:p w14:paraId="6B57D308" w14:textId="77777777" w:rsidR="00700382" w:rsidRPr="004676F5" w:rsidRDefault="00700382" w:rsidP="00D03290">
      <w:pPr>
        <w:ind w:firstLine="708"/>
        <w:jc w:val="both"/>
        <w:rPr>
          <w:lang w:val="de-DE"/>
        </w:rPr>
      </w:pPr>
    </w:p>
    <w:p w14:paraId="2347C129" w14:textId="77777777" w:rsidR="00D03290" w:rsidRPr="004676F5" w:rsidRDefault="00D03290" w:rsidP="00D03290">
      <w:pPr>
        <w:ind w:firstLine="708"/>
        <w:jc w:val="both"/>
        <w:rPr>
          <w:lang w:val="de-DE"/>
        </w:rPr>
      </w:pPr>
    </w:p>
    <w:p w14:paraId="12CA0110" w14:textId="2B37E21A" w:rsidR="00D03290" w:rsidRPr="004676F5" w:rsidRDefault="00BE0A56" w:rsidP="00D03290">
      <w:pPr>
        <w:ind w:firstLine="708"/>
        <w:jc w:val="both"/>
        <w:rPr>
          <w:lang w:val="de-DE"/>
        </w:rPr>
      </w:pPr>
      <w:r w:rsidRPr="004676F5">
        <w:rPr>
          <w:b/>
          <w:lang w:val="de-DE"/>
        </w:rPr>
        <w:t>Art. </w:t>
      </w:r>
      <w:r w:rsidR="00D03290" w:rsidRPr="004676F5">
        <w:rPr>
          <w:b/>
          <w:lang w:val="de-DE"/>
        </w:rPr>
        <w:t>X.12</w:t>
      </w:r>
      <w:r w:rsidR="00D03290" w:rsidRPr="004676F5">
        <w:rPr>
          <w:lang w:val="de-DE"/>
        </w:rPr>
        <w:t xml:space="preserve"> </w:t>
      </w:r>
      <w:r w:rsidR="005B7A5C" w:rsidRPr="004676F5">
        <w:rPr>
          <w:lang w:val="de-DE"/>
        </w:rPr>
        <w:t>- </w:t>
      </w:r>
      <w:r w:rsidR="00D03290" w:rsidRPr="004676F5">
        <w:rPr>
          <w:lang w:val="de-DE"/>
        </w:rPr>
        <w:t>Nur in folgenden Fällen dürfen Parteien vereinbaren, dass der in den Artikeln X.8 und X.9 erwähnte Anspruch auf Provision entfällt:</w:t>
      </w:r>
    </w:p>
    <w:p w14:paraId="6A977B02" w14:textId="77777777" w:rsidR="00D03290" w:rsidRPr="004676F5" w:rsidRDefault="00D03290" w:rsidP="00D03290">
      <w:pPr>
        <w:ind w:firstLine="708"/>
        <w:jc w:val="both"/>
        <w:rPr>
          <w:lang w:val="de-DE"/>
        </w:rPr>
      </w:pPr>
    </w:p>
    <w:p w14:paraId="5056DE68" w14:textId="77777777" w:rsidR="00D03290" w:rsidRPr="004676F5" w:rsidRDefault="00D03290" w:rsidP="00D03290">
      <w:pPr>
        <w:ind w:firstLine="708"/>
        <w:jc w:val="both"/>
        <w:rPr>
          <w:lang w:val="de-DE"/>
        </w:rPr>
      </w:pPr>
      <w:r w:rsidRPr="004676F5">
        <w:rPr>
          <w:lang w:val="de-DE"/>
        </w:rPr>
        <w:t>1. wenn und soweit feststeht, dass der Dritte seine Verpflichtungen nicht erfüllt, es sei denn, die Nichtausführung beruht auf Umständen, die vom Auftraggeber zu vertreten sind,</w:t>
      </w:r>
    </w:p>
    <w:p w14:paraId="2F9F1E17" w14:textId="77777777" w:rsidR="00D03290" w:rsidRPr="004676F5" w:rsidRDefault="00D03290" w:rsidP="00D03290">
      <w:pPr>
        <w:ind w:firstLine="708"/>
        <w:jc w:val="both"/>
        <w:rPr>
          <w:lang w:val="de-DE"/>
        </w:rPr>
      </w:pPr>
    </w:p>
    <w:p w14:paraId="065217D3" w14:textId="77777777" w:rsidR="00D03290" w:rsidRPr="004676F5" w:rsidRDefault="00D03290" w:rsidP="00D03290">
      <w:pPr>
        <w:ind w:firstLine="708"/>
        <w:jc w:val="both"/>
        <w:rPr>
          <w:lang w:val="de-DE"/>
        </w:rPr>
      </w:pPr>
      <w:r w:rsidRPr="004676F5">
        <w:rPr>
          <w:lang w:val="de-DE"/>
        </w:rPr>
        <w:t>2. wenn eine Unmöglichkeit zur Ausführung vorliegt, die nicht vom Auftraggeber zu vertreten ist,</w:t>
      </w:r>
    </w:p>
    <w:p w14:paraId="1668A75D" w14:textId="77777777" w:rsidR="00D03290" w:rsidRPr="004676F5" w:rsidRDefault="00D03290" w:rsidP="00D03290">
      <w:pPr>
        <w:ind w:firstLine="708"/>
        <w:jc w:val="both"/>
        <w:rPr>
          <w:lang w:val="de-DE"/>
        </w:rPr>
      </w:pPr>
    </w:p>
    <w:p w14:paraId="47E9469E" w14:textId="77777777" w:rsidR="00D03290" w:rsidRPr="004676F5" w:rsidRDefault="00D03290" w:rsidP="00D03290">
      <w:pPr>
        <w:ind w:firstLine="708"/>
        <w:jc w:val="both"/>
        <w:rPr>
          <w:lang w:val="de-DE"/>
        </w:rPr>
      </w:pPr>
      <w:r w:rsidRPr="004676F5">
        <w:rPr>
          <w:lang w:val="de-DE"/>
        </w:rPr>
        <w:t>3. wenn die Ausführung des Geschäfts dem Auftraggeber nach vernünftigem Ermessen nicht zuzumuten ist, insbesondere wenn ein schwerwiegender Grund, der die Nichtausführung seitens des Auftraggebers rechtfertigt, auf Seiten des Dritten vorliegt.</w:t>
      </w:r>
    </w:p>
    <w:p w14:paraId="5B46FF34" w14:textId="77777777" w:rsidR="00D03290" w:rsidRPr="004676F5" w:rsidRDefault="00D03290" w:rsidP="00D03290">
      <w:pPr>
        <w:ind w:firstLine="708"/>
        <w:jc w:val="both"/>
        <w:rPr>
          <w:lang w:val="de-DE"/>
        </w:rPr>
      </w:pPr>
    </w:p>
    <w:p w14:paraId="4DB945A2" w14:textId="77777777" w:rsidR="00D03290" w:rsidRPr="004676F5" w:rsidRDefault="00D03290" w:rsidP="00D03290">
      <w:pPr>
        <w:ind w:firstLine="708"/>
        <w:jc w:val="both"/>
        <w:rPr>
          <w:lang w:val="de-DE"/>
        </w:rPr>
      </w:pPr>
      <w:r w:rsidRPr="004676F5">
        <w:rPr>
          <w:lang w:val="de-DE"/>
        </w:rPr>
        <w:t>In allen in vorliegendem Artikel erwähnten Fällen sind vom Handelsvertreter bereits empfangene Provisionen zu erstatten.</w:t>
      </w:r>
    </w:p>
    <w:p w14:paraId="57B1263A" w14:textId="77777777" w:rsidR="00D03290" w:rsidRPr="004676F5" w:rsidRDefault="00D03290" w:rsidP="00D03290">
      <w:pPr>
        <w:ind w:firstLine="708"/>
        <w:jc w:val="both"/>
        <w:rPr>
          <w:lang w:val="de-DE"/>
        </w:rPr>
      </w:pPr>
    </w:p>
    <w:p w14:paraId="421458C2" w14:textId="77777777" w:rsidR="00700382" w:rsidRPr="004676F5" w:rsidRDefault="00700382" w:rsidP="00D03290">
      <w:pPr>
        <w:ind w:firstLine="708"/>
        <w:jc w:val="both"/>
        <w:rPr>
          <w:lang w:val="de-DE"/>
        </w:rPr>
      </w:pPr>
    </w:p>
    <w:p w14:paraId="3590BD79" w14:textId="2B4FFD16" w:rsidR="00536E84" w:rsidRPr="004676F5" w:rsidRDefault="00BE0A56" w:rsidP="00536E84">
      <w:pPr>
        <w:ind w:firstLine="708"/>
        <w:jc w:val="both"/>
        <w:rPr>
          <w:lang w:val="de-DE"/>
        </w:rPr>
      </w:pPr>
      <w:r w:rsidRPr="004676F5">
        <w:rPr>
          <w:b/>
          <w:lang w:val="de-DE"/>
        </w:rPr>
        <w:t>Art. </w:t>
      </w:r>
      <w:r w:rsidR="00D03290" w:rsidRPr="004676F5">
        <w:rPr>
          <w:b/>
          <w:lang w:val="de-DE"/>
        </w:rPr>
        <w:t>X.13</w:t>
      </w:r>
      <w:r w:rsidR="00D03290" w:rsidRPr="004676F5">
        <w:rPr>
          <w:lang w:val="de-DE"/>
        </w:rPr>
        <w:t xml:space="preserve"> </w:t>
      </w:r>
      <w:r w:rsidR="005B7A5C" w:rsidRPr="004676F5">
        <w:rPr>
          <w:lang w:val="de-DE"/>
        </w:rPr>
        <w:t>- </w:t>
      </w:r>
      <w:r w:rsidR="00536E84" w:rsidRPr="004676F5">
        <w:rPr>
          <w:lang w:val="de-DE"/>
        </w:rPr>
        <w:t>[§ 1 </w:t>
      </w:r>
      <w:r w:rsidR="005B7A5C" w:rsidRPr="004676F5">
        <w:rPr>
          <w:lang w:val="de-DE"/>
        </w:rPr>
        <w:t>- </w:t>
      </w:r>
      <w:r w:rsidR="00536E84" w:rsidRPr="004676F5">
        <w:rPr>
          <w:lang w:val="de-DE"/>
        </w:rPr>
        <w:t>Bei Abschluss des Handelsvertretervertrags bestimmen die Parteien frei die Höhe der Provision.</w:t>
      </w:r>
    </w:p>
    <w:p w14:paraId="0CC1A88C" w14:textId="77777777" w:rsidR="00536E84" w:rsidRPr="004676F5" w:rsidRDefault="00536E84" w:rsidP="00536E84">
      <w:pPr>
        <w:jc w:val="both"/>
        <w:rPr>
          <w:lang w:val="de-DE"/>
        </w:rPr>
      </w:pPr>
    </w:p>
    <w:p w14:paraId="7C6BB150" w14:textId="77777777" w:rsidR="00536E84" w:rsidRPr="004676F5" w:rsidRDefault="00536E84" w:rsidP="00536E84">
      <w:pPr>
        <w:jc w:val="both"/>
        <w:rPr>
          <w:lang w:val="de-DE"/>
        </w:rPr>
      </w:pPr>
      <w:r w:rsidRPr="004676F5">
        <w:rPr>
          <w:lang w:val="de-DE"/>
        </w:rPr>
        <w:tab/>
        <w:t>Sie können je nach Kategorie der geworbenen Kunden, je nach Art der verteilten Produkte oder geleisteten Dienste und je nach Rolle des Handelsvertreters bei der Verwirklichung des Geschäfts verschiedene Sätze vereinbaren.</w:t>
      </w:r>
    </w:p>
    <w:p w14:paraId="4A7E3B94" w14:textId="77777777" w:rsidR="00536E84" w:rsidRPr="004676F5" w:rsidRDefault="00536E84" w:rsidP="00536E84">
      <w:pPr>
        <w:jc w:val="both"/>
        <w:rPr>
          <w:lang w:val="de-DE"/>
        </w:rPr>
      </w:pPr>
    </w:p>
    <w:p w14:paraId="67C07DCC" w14:textId="77777777" w:rsidR="00536E84" w:rsidRPr="004676F5" w:rsidRDefault="00536E84" w:rsidP="00536E84">
      <w:pPr>
        <w:jc w:val="both"/>
        <w:rPr>
          <w:lang w:val="de-DE"/>
        </w:rPr>
      </w:pPr>
      <w:r w:rsidRPr="004676F5">
        <w:rPr>
          <w:lang w:val="de-DE"/>
        </w:rPr>
        <w:lastRenderedPageBreak/>
        <w:tab/>
        <w:t>Es steht ihnen ebenfalls frei, einen speziellen Satz für bestimmte besonders wichtige oder delikate Geschäfte festzulegen.</w:t>
      </w:r>
    </w:p>
    <w:p w14:paraId="5EA6DD90" w14:textId="77777777" w:rsidR="00536E84" w:rsidRPr="004676F5" w:rsidRDefault="00536E84" w:rsidP="00536E84">
      <w:pPr>
        <w:jc w:val="both"/>
        <w:rPr>
          <w:lang w:val="de-DE"/>
        </w:rPr>
      </w:pPr>
    </w:p>
    <w:p w14:paraId="428ED114" w14:textId="77777777" w:rsidR="00536E84" w:rsidRPr="004676F5" w:rsidRDefault="00536E84" w:rsidP="00536E84">
      <w:pPr>
        <w:jc w:val="both"/>
        <w:rPr>
          <w:lang w:val="de-DE"/>
        </w:rPr>
      </w:pPr>
      <w:r w:rsidRPr="004676F5">
        <w:rPr>
          <w:lang w:val="de-DE"/>
        </w:rPr>
        <w:tab/>
        <w:t>Wenn die Höhe der Provision im Handelsvertretervertrag nicht bestimmt ist und wenn kein aus den Beziehungen zwischen den Parteien abgeleitetes Element es ermöglicht, deren unausgesprochenen Willen in dieser Angelegenheit zu erkennen, so ist der Satz anwendbar, der im Wirtschaftssektor des Ortes, wo der Handelsvertreter seine Tätigkeit ausübt, für ähnliche Geschäfte handelsüblich ist. In Ermangelung solcher Handelsbräuche hat der Handelsvertreter Anspruch auf einen gerechten Prozentsatz, der alle Merkmale des Geschäfts berücksichtigt.</w:t>
      </w:r>
    </w:p>
    <w:p w14:paraId="7BF7B817" w14:textId="77777777" w:rsidR="00536E84" w:rsidRPr="004676F5" w:rsidRDefault="00536E84" w:rsidP="00536E84">
      <w:pPr>
        <w:jc w:val="both"/>
        <w:rPr>
          <w:lang w:val="de-DE"/>
        </w:rPr>
      </w:pPr>
    </w:p>
    <w:p w14:paraId="695E43AA" w14:textId="77777777" w:rsidR="00536E84" w:rsidRPr="004676F5" w:rsidRDefault="00536E84" w:rsidP="00536E84">
      <w:pPr>
        <w:jc w:val="both"/>
        <w:rPr>
          <w:lang w:val="de-DE"/>
        </w:rPr>
      </w:pPr>
      <w:r w:rsidRPr="004676F5">
        <w:rPr>
          <w:lang w:val="de-DE"/>
        </w:rPr>
        <w:tab/>
        <w:t>Außer bei anders lautender Vereinbarung ist die Provision des Handelsvertreters auf der Grundlage des Preises zu berechnen, der dem Kunden in Rechnung gestellt wird; Nebenkosten, namentlich für Verpackung, Fracht und Versicherung, sind nicht abzuziehen, es sei denn, die Nebenkosten werden besonders in Rechnung gestellt; dies gilt jedoch nicht für Steuern, Zollgebühren und andere Abgaben.</w:t>
      </w:r>
    </w:p>
    <w:p w14:paraId="6056AD98" w14:textId="77777777" w:rsidR="00536E84" w:rsidRPr="004676F5" w:rsidRDefault="00536E84" w:rsidP="00536E84">
      <w:pPr>
        <w:jc w:val="both"/>
        <w:rPr>
          <w:lang w:val="de-DE"/>
        </w:rPr>
      </w:pPr>
    </w:p>
    <w:p w14:paraId="784E7C14" w14:textId="77777777" w:rsidR="00536E84" w:rsidRPr="004676F5" w:rsidRDefault="00536E84" w:rsidP="00536E84">
      <w:pPr>
        <w:jc w:val="both"/>
        <w:rPr>
          <w:lang w:val="de-DE"/>
        </w:rPr>
      </w:pPr>
      <w:r w:rsidRPr="004676F5">
        <w:rPr>
          <w:lang w:val="de-DE"/>
        </w:rPr>
        <w:tab/>
        <w:t>In keinem Fall können Treuerabatte, Ermäßigungen und Kassenskonti, die der Auftraggeber einseitig dem Kunden gewährt, von der Grundlage ausgeschlossen werden, auf der die Provision des Handelsvertreters berechnet wird.</w:t>
      </w:r>
    </w:p>
    <w:p w14:paraId="75FAFFA0" w14:textId="77777777" w:rsidR="00536E84" w:rsidRPr="004676F5" w:rsidRDefault="00536E84" w:rsidP="00536E84">
      <w:pPr>
        <w:jc w:val="both"/>
        <w:rPr>
          <w:lang w:val="de-DE"/>
        </w:rPr>
      </w:pPr>
    </w:p>
    <w:p w14:paraId="392DA0C6" w14:textId="77777777" w:rsidR="00536E84" w:rsidRPr="004676F5" w:rsidRDefault="00536E84" w:rsidP="00536E84">
      <w:pPr>
        <w:jc w:val="both"/>
        <w:rPr>
          <w:lang w:val="de-DE"/>
        </w:rPr>
      </w:pPr>
      <w:r w:rsidRPr="004676F5">
        <w:rPr>
          <w:lang w:val="de-DE"/>
        </w:rPr>
        <w:tab/>
        <w:t>Einseitige Änderungen des/der ursprünglich vereinbarten Satzes/Sätze während der Erfüllung des Handelsvertretervertrags sind mit einem Bruch des Handelsvertretervertrags gleichzusetzen. Unter Berücksichtigung der Umstände kann der Richter jedoch urteilen, dass der Handelsvertreter stillschweigend mit der angewandten Änderung einverstanden ist, wenn er über einen relativ langen Zeitraum vorbehaltlos Provisionen annimmt, die auf der Grundlage eines geringeren Satzes berechnet worden sind.</w:t>
      </w:r>
    </w:p>
    <w:p w14:paraId="267DAB51" w14:textId="77777777" w:rsidR="00536E84" w:rsidRPr="004676F5" w:rsidRDefault="00536E84" w:rsidP="00536E84">
      <w:pPr>
        <w:jc w:val="both"/>
        <w:rPr>
          <w:lang w:val="de-DE"/>
        </w:rPr>
      </w:pPr>
    </w:p>
    <w:p w14:paraId="3E21FEAB" w14:textId="77777777" w:rsidR="00536E84" w:rsidRPr="004676F5" w:rsidRDefault="00536E84" w:rsidP="00536E84">
      <w:pPr>
        <w:jc w:val="both"/>
        <w:rPr>
          <w:lang w:val="de-DE"/>
        </w:rPr>
      </w:pPr>
      <w:r w:rsidRPr="004676F5">
        <w:rPr>
          <w:lang w:val="de-DE"/>
        </w:rPr>
        <w:tab/>
        <w:t>§ 2 ­ Bei Abschluss des Handelsvertretervertrags bestimmen die Parteien frei die Kosten, die dem Handelsvertreter auferlegt werden.</w:t>
      </w:r>
    </w:p>
    <w:p w14:paraId="3933C176" w14:textId="5AF27A0A" w:rsidR="00536E84" w:rsidRPr="004676F5" w:rsidRDefault="00536E84" w:rsidP="00536E84">
      <w:pPr>
        <w:jc w:val="both"/>
        <w:rPr>
          <w:lang w:val="de-DE"/>
        </w:rPr>
      </w:pPr>
    </w:p>
    <w:p w14:paraId="11918F75" w14:textId="77777777" w:rsidR="00536E84" w:rsidRPr="004676F5" w:rsidRDefault="00536E84" w:rsidP="00536E84">
      <w:pPr>
        <w:jc w:val="both"/>
        <w:rPr>
          <w:lang w:val="de-DE"/>
        </w:rPr>
      </w:pPr>
      <w:r w:rsidRPr="004676F5">
        <w:rPr>
          <w:lang w:val="de-DE"/>
        </w:rPr>
        <w:tab/>
        <w:t>Eine einseitige wesentliche oder strukturelle Erhöhung oder Auferlegung von Kosten ist mit einem Bruch des Handelsvertretervertrags gleichzusetzen. Unter Berücksichtigung der Umstände kann der Richter jedoch urteilen, dass der Handelsvertreter stillschweigend mit der angewandten Änderung einverstanden ist, wenn er über einen relativ langen Zeitraum vorbehaltlos die so erfolgte Erhöhung oder Auferlegung von Kosten annimmt.</w:t>
      </w:r>
    </w:p>
    <w:p w14:paraId="183928D7" w14:textId="77777777" w:rsidR="00536E84" w:rsidRPr="004676F5" w:rsidRDefault="00536E84" w:rsidP="00536E84">
      <w:pPr>
        <w:jc w:val="both"/>
        <w:rPr>
          <w:lang w:val="de-DE"/>
        </w:rPr>
      </w:pPr>
    </w:p>
    <w:p w14:paraId="63E06F75" w14:textId="77777777" w:rsidR="00536E84" w:rsidRPr="004676F5" w:rsidRDefault="00536E84" w:rsidP="00536E84">
      <w:pPr>
        <w:jc w:val="both"/>
        <w:rPr>
          <w:lang w:val="de-DE"/>
        </w:rPr>
      </w:pPr>
      <w:r w:rsidRPr="004676F5">
        <w:rPr>
          <w:lang w:val="de-DE"/>
        </w:rPr>
        <w:tab/>
        <w:t>§ 3 ­ In den Sektoren Versicherungswesen, Kreditinstitute und geregelte Wertpapier</w:t>
      </w:r>
      <w:r w:rsidRPr="004676F5">
        <w:rPr>
          <w:lang w:val="de-DE"/>
        </w:rPr>
        <w:softHyphen/>
        <w:t>märkte können Auftraggeber und ihre Handelsvertreter in Abweichung von den Paragraphen 1 und 2 in einem paritätischen Konzertierungsorgan ein Abkommen treffen, das darauf abzielt, die Höhe der in § 1 erwähnten Provision und/oder der in § 2 erwähnten Kosten oder die Art ihrer Berechnung zu ändern. Das im paritätischen Konzertierungsorgan geschlossene Abkommen ist für alle Handelsvertreter und für den Auftraggeber bindend, aber Änderungen infolge des Abkommens können nicht zum Bruch des Handelsvertretervertrags führen.</w:t>
      </w:r>
    </w:p>
    <w:p w14:paraId="3420D3EA" w14:textId="77777777" w:rsidR="00536E84" w:rsidRPr="004676F5" w:rsidRDefault="00536E84" w:rsidP="00536E84">
      <w:pPr>
        <w:jc w:val="both"/>
        <w:rPr>
          <w:lang w:val="de-DE"/>
        </w:rPr>
      </w:pPr>
    </w:p>
    <w:p w14:paraId="0AB00FBC" w14:textId="3E80BADA" w:rsidR="00D03290" w:rsidRPr="004676F5" w:rsidRDefault="00536E84" w:rsidP="00536E84">
      <w:pPr>
        <w:ind w:firstLine="708"/>
        <w:jc w:val="both"/>
        <w:rPr>
          <w:lang w:val="de-DE"/>
        </w:rPr>
      </w:pPr>
      <w:r w:rsidRPr="004676F5">
        <w:rPr>
          <w:lang w:val="de-DE"/>
        </w:rPr>
        <w:t>Nach Konsultierung der repräsentativen Organisationen der betreffenden Sektoren kann der König die Modalitäten für Errichtung, Organisation und Arbeitsweise dieses Konzertierungsorgans bestimmen.]</w:t>
      </w:r>
    </w:p>
    <w:p w14:paraId="1F584C7B" w14:textId="77777777" w:rsidR="00D03290" w:rsidRPr="004676F5" w:rsidRDefault="00D03290" w:rsidP="00D03290">
      <w:pPr>
        <w:ind w:firstLine="708"/>
        <w:jc w:val="both"/>
        <w:rPr>
          <w:lang w:val="de-DE"/>
        </w:rPr>
      </w:pPr>
    </w:p>
    <w:p w14:paraId="1CDF5249" w14:textId="01030140" w:rsidR="00536E84" w:rsidRPr="004676F5" w:rsidRDefault="00536E84" w:rsidP="00536E84">
      <w:pPr>
        <w:jc w:val="both"/>
        <w:rPr>
          <w:i/>
          <w:iCs/>
          <w:lang w:val="de-DE"/>
        </w:rPr>
      </w:pPr>
      <w:r w:rsidRPr="004676F5">
        <w:rPr>
          <w:i/>
          <w:iCs/>
          <w:lang w:val="de-DE"/>
        </w:rPr>
        <w:t>[Art. X.13 ersetzt durch Art. 2 des G. vom 16. Februar 2022 (B.S. vom 4. März 2022)]</w:t>
      </w:r>
    </w:p>
    <w:p w14:paraId="197AD278" w14:textId="77777777" w:rsidR="00700382" w:rsidRPr="004676F5" w:rsidRDefault="00700382" w:rsidP="00D03290">
      <w:pPr>
        <w:ind w:firstLine="708"/>
        <w:jc w:val="both"/>
        <w:rPr>
          <w:lang w:val="de-DE"/>
        </w:rPr>
      </w:pPr>
    </w:p>
    <w:p w14:paraId="01A16FE8" w14:textId="77777777" w:rsidR="00536E84" w:rsidRPr="004676F5" w:rsidRDefault="00536E84" w:rsidP="00D03290">
      <w:pPr>
        <w:ind w:firstLine="708"/>
        <w:jc w:val="both"/>
        <w:rPr>
          <w:b/>
          <w:lang w:val="de-DE"/>
        </w:rPr>
      </w:pPr>
    </w:p>
    <w:p w14:paraId="17E8F986" w14:textId="2738DD66" w:rsidR="00D03290" w:rsidRPr="004676F5" w:rsidRDefault="00BE0A56" w:rsidP="00D03290">
      <w:pPr>
        <w:ind w:firstLine="708"/>
        <w:jc w:val="both"/>
        <w:rPr>
          <w:lang w:val="de-DE"/>
        </w:rPr>
      </w:pPr>
      <w:r w:rsidRPr="004676F5">
        <w:rPr>
          <w:b/>
          <w:lang w:val="de-DE"/>
        </w:rPr>
        <w:lastRenderedPageBreak/>
        <w:t>Art. </w:t>
      </w:r>
      <w:r w:rsidR="00D03290" w:rsidRPr="004676F5">
        <w:rPr>
          <w:b/>
          <w:lang w:val="de-DE"/>
        </w:rPr>
        <w:t>X.14</w:t>
      </w:r>
      <w:r w:rsidR="00D03290" w:rsidRPr="004676F5">
        <w:rPr>
          <w:lang w:val="de-DE"/>
        </w:rPr>
        <w:t> </w:t>
      </w:r>
      <w:r w:rsidR="005B7A5C" w:rsidRPr="004676F5">
        <w:rPr>
          <w:lang w:val="de-DE"/>
        </w:rPr>
        <w:t>- </w:t>
      </w:r>
      <w:r w:rsidR="00D03290" w:rsidRPr="004676F5">
        <w:rPr>
          <w:lang w:val="de-DE"/>
        </w:rPr>
        <w:t>Der Auftraggeber übermittelt dem Handelsvertreter eine Aufstellung über die geschuldeten Provisionen spätestens am letzten Tag des Monats nach dem Quartal, in dem sie fällig geworden sind.</w:t>
      </w:r>
    </w:p>
    <w:p w14:paraId="5FB9386F" w14:textId="77777777" w:rsidR="00D03290" w:rsidRPr="004676F5" w:rsidRDefault="00D03290" w:rsidP="00D03290">
      <w:pPr>
        <w:ind w:firstLine="708"/>
        <w:jc w:val="both"/>
        <w:rPr>
          <w:lang w:val="de-DE"/>
        </w:rPr>
      </w:pPr>
    </w:p>
    <w:p w14:paraId="5FB6E159" w14:textId="77777777" w:rsidR="00D03290" w:rsidRPr="004676F5" w:rsidRDefault="00D03290" w:rsidP="00D03290">
      <w:pPr>
        <w:ind w:firstLine="708"/>
        <w:jc w:val="both"/>
        <w:rPr>
          <w:lang w:val="de-DE"/>
        </w:rPr>
      </w:pPr>
      <w:r w:rsidRPr="004676F5">
        <w:rPr>
          <w:lang w:val="de-DE"/>
        </w:rPr>
        <w:t>Diese Aufstellung enthält alle wichtigen Angaben, auf deren Grundlage der Betrag der Provisionen berechnet worden ist.</w:t>
      </w:r>
    </w:p>
    <w:p w14:paraId="05F00A2C" w14:textId="77777777" w:rsidR="00D03290" w:rsidRPr="004676F5" w:rsidRDefault="00D03290" w:rsidP="00D03290">
      <w:pPr>
        <w:ind w:firstLine="708"/>
        <w:jc w:val="both"/>
        <w:rPr>
          <w:lang w:val="de-DE"/>
        </w:rPr>
      </w:pPr>
    </w:p>
    <w:p w14:paraId="64C2F09B" w14:textId="77777777" w:rsidR="00D03290" w:rsidRPr="004676F5" w:rsidRDefault="00D03290" w:rsidP="00D03290">
      <w:pPr>
        <w:ind w:firstLine="708"/>
        <w:jc w:val="both"/>
        <w:rPr>
          <w:lang w:val="de-DE"/>
        </w:rPr>
      </w:pPr>
      <w:r w:rsidRPr="004676F5">
        <w:rPr>
          <w:lang w:val="de-DE"/>
        </w:rPr>
        <w:t>Der Handelsvertreter kann die Mitteilung aller Informationen verlangen, über die der Auftraggeber verfügt und die für die Prüfung der Höhe der geschuldeten Provisionen erforderlich sind, insbesondere einen Buchauszug.</w:t>
      </w:r>
    </w:p>
    <w:p w14:paraId="2595541C" w14:textId="77777777" w:rsidR="00D03290" w:rsidRPr="004676F5" w:rsidRDefault="00D03290" w:rsidP="00D03290">
      <w:pPr>
        <w:ind w:firstLine="708"/>
        <w:jc w:val="both"/>
        <w:rPr>
          <w:lang w:val="de-DE"/>
        </w:rPr>
      </w:pPr>
    </w:p>
    <w:p w14:paraId="6CC87BED" w14:textId="77777777" w:rsidR="00D03290" w:rsidRPr="004676F5" w:rsidRDefault="00D03290" w:rsidP="00D03290">
      <w:pPr>
        <w:ind w:firstLine="708"/>
        <w:jc w:val="both"/>
        <w:rPr>
          <w:lang w:val="de-DE"/>
        </w:rPr>
      </w:pPr>
      <w:r w:rsidRPr="004676F5">
        <w:rPr>
          <w:lang w:val="de-DE"/>
        </w:rPr>
        <w:t>Von den Bestimmungen der Absätze 1 und 2 darf nicht zum Nachteil des Handelsvertreters abgewichen werden.</w:t>
      </w:r>
    </w:p>
    <w:p w14:paraId="6247376B" w14:textId="77777777" w:rsidR="00D03290" w:rsidRPr="004676F5" w:rsidRDefault="00D03290" w:rsidP="00D03290">
      <w:pPr>
        <w:jc w:val="both"/>
        <w:rPr>
          <w:lang w:val="de-DE"/>
        </w:rPr>
      </w:pPr>
    </w:p>
    <w:p w14:paraId="6125FBAE" w14:textId="77777777" w:rsidR="00700382" w:rsidRPr="004676F5" w:rsidRDefault="00700382" w:rsidP="00D03290">
      <w:pPr>
        <w:jc w:val="both"/>
        <w:rPr>
          <w:lang w:val="de-DE"/>
        </w:rPr>
      </w:pPr>
    </w:p>
    <w:p w14:paraId="09352D10" w14:textId="48DADD8A" w:rsidR="00D03290" w:rsidRPr="004676F5" w:rsidRDefault="00BE0A56" w:rsidP="00D03290">
      <w:pPr>
        <w:ind w:firstLine="708"/>
        <w:jc w:val="both"/>
        <w:rPr>
          <w:lang w:val="de-DE"/>
        </w:rPr>
      </w:pPr>
      <w:r w:rsidRPr="004676F5">
        <w:rPr>
          <w:b/>
          <w:lang w:val="de-DE"/>
        </w:rPr>
        <w:t>Art. </w:t>
      </w:r>
      <w:r w:rsidR="00D03290" w:rsidRPr="004676F5">
        <w:rPr>
          <w:b/>
          <w:lang w:val="de-DE"/>
        </w:rPr>
        <w:t>X.15</w:t>
      </w:r>
      <w:r w:rsidR="00D03290" w:rsidRPr="004676F5">
        <w:rPr>
          <w:lang w:val="de-DE"/>
        </w:rPr>
        <w:t> </w:t>
      </w:r>
      <w:r w:rsidR="005B7A5C" w:rsidRPr="004676F5">
        <w:rPr>
          <w:lang w:val="de-DE"/>
        </w:rPr>
        <w:t>- </w:t>
      </w:r>
      <w:r w:rsidR="00D03290" w:rsidRPr="004676F5">
        <w:rPr>
          <w:lang w:val="de-DE"/>
        </w:rPr>
        <w:t>Besteht die Vergütung ganz oder teilweise aus einem festen Entgelt, wird dieses außer bei anders lautender Vereinbarung monatlich gezahlt.</w:t>
      </w:r>
    </w:p>
    <w:p w14:paraId="580E7309" w14:textId="77777777" w:rsidR="00D03290" w:rsidRPr="004676F5" w:rsidRDefault="00D03290" w:rsidP="00D03290">
      <w:pPr>
        <w:ind w:firstLine="708"/>
        <w:rPr>
          <w:lang w:val="de-DE"/>
        </w:rPr>
      </w:pPr>
    </w:p>
    <w:p w14:paraId="3D601143" w14:textId="77777777" w:rsidR="00700382" w:rsidRPr="004676F5" w:rsidRDefault="00700382" w:rsidP="00D03290">
      <w:pPr>
        <w:ind w:firstLine="708"/>
        <w:rPr>
          <w:lang w:val="de-DE"/>
        </w:rPr>
      </w:pPr>
    </w:p>
    <w:p w14:paraId="29830DE2" w14:textId="50501608" w:rsidR="00D03290" w:rsidRPr="004676F5" w:rsidRDefault="00BE0A56" w:rsidP="00D03290">
      <w:pPr>
        <w:ind w:firstLine="708"/>
        <w:jc w:val="both"/>
        <w:rPr>
          <w:lang w:val="de-DE"/>
        </w:rPr>
      </w:pPr>
      <w:r w:rsidRPr="004676F5">
        <w:rPr>
          <w:b/>
          <w:lang w:val="de-DE"/>
        </w:rPr>
        <w:t>Art. </w:t>
      </w:r>
      <w:r w:rsidR="00D03290" w:rsidRPr="004676F5">
        <w:rPr>
          <w:b/>
          <w:lang w:val="de-DE"/>
        </w:rPr>
        <w:t>X.16</w:t>
      </w:r>
      <w:r w:rsidR="00D03290" w:rsidRPr="004676F5">
        <w:rPr>
          <w:lang w:val="de-DE"/>
        </w:rPr>
        <w:t xml:space="preserve"> </w:t>
      </w:r>
      <w:r w:rsidR="005B7A5C" w:rsidRPr="004676F5">
        <w:rPr>
          <w:lang w:val="de-DE"/>
        </w:rPr>
        <w:t>- </w:t>
      </w:r>
      <w:r w:rsidR="00D03290" w:rsidRPr="004676F5">
        <w:rPr>
          <w:lang w:val="de-DE"/>
        </w:rPr>
        <w:t xml:space="preserve">§ 1 </w:t>
      </w:r>
      <w:r w:rsidR="005B7A5C" w:rsidRPr="004676F5">
        <w:rPr>
          <w:lang w:val="de-DE"/>
        </w:rPr>
        <w:t>- </w:t>
      </w:r>
      <w:r w:rsidR="00D03290" w:rsidRPr="004676F5">
        <w:rPr>
          <w:lang w:val="de-DE"/>
        </w:rPr>
        <w:t>Ist der Handelsvertretervertrag entweder für unbestimmte Zeit oder für bestimmte Zeit mit Möglichkeit der vorzeitigen Vertragskündigung geschlossen worden, darf jede Partei unter Einhaltung einer Kündigungsfrist den Vertrag kündigen.</w:t>
      </w:r>
    </w:p>
    <w:p w14:paraId="23B86913" w14:textId="77777777" w:rsidR="00D03290" w:rsidRPr="004676F5" w:rsidRDefault="00D03290" w:rsidP="00D03290">
      <w:pPr>
        <w:ind w:firstLine="708"/>
        <w:jc w:val="both"/>
        <w:rPr>
          <w:lang w:val="de-DE"/>
        </w:rPr>
      </w:pPr>
    </w:p>
    <w:p w14:paraId="74A3CCCD" w14:textId="77777777" w:rsidR="00D03290" w:rsidRPr="004676F5" w:rsidRDefault="00D03290" w:rsidP="00D03290">
      <w:pPr>
        <w:ind w:firstLine="708"/>
        <w:jc w:val="both"/>
        <w:rPr>
          <w:lang w:val="de-DE"/>
        </w:rPr>
      </w:pPr>
      <w:r w:rsidRPr="004676F5">
        <w:rPr>
          <w:lang w:val="de-DE"/>
        </w:rPr>
        <w:t>Im ersten Vertragsjahr beträgt die Kündigungsfrist einen Monat. Nach dem ersten Jahr wird die Kündigungsfrist pro zusätzliches begonnenes Jahr um einen Monat verlängert, mit einer Höchstgrenze von sechs Monaten und unbeschadet des Absatzes 3. Die Parteien dürfen keine kürzeren Kündigungsfristen vereinbaren.</w:t>
      </w:r>
    </w:p>
    <w:p w14:paraId="4AF4B894" w14:textId="77777777" w:rsidR="00D03290" w:rsidRPr="004676F5" w:rsidRDefault="00D03290" w:rsidP="00D03290">
      <w:pPr>
        <w:jc w:val="both"/>
        <w:rPr>
          <w:lang w:val="de-DE"/>
        </w:rPr>
      </w:pPr>
    </w:p>
    <w:p w14:paraId="2959D305" w14:textId="77777777" w:rsidR="00D03290" w:rsidRPr="004676F5" w:rsidRDefault="00D03290" w:rsidP="00D03290">
      <w:pPr>
        <w:ind w:firstLine="708"/>
        <w:jc w:val="both"/>
        <w:rPr>
          <w:lang w:val="de-DE"/>
        </w:rPr>
      </w:pPr>
      <w:r w:rsidRPr="004676F5">
        <w:rPr>
          <w:lang w:val="de-DE"/>
        </w:rPr>
        <w:t>Wenn die Parteien eine längere Kündigungsfrist als die in Absatz 2 erwähnte Kündigungsfrist vereinbaren, darf die Frist für den Auftraggeber nicht kürzer sein als für den Handelsvertreter.</w:t>
      </w:r>
    </w:p>
    <w:p w14:paraId="760124B4" w14:textId="77777777" w:rsidR="00D03290" w:rsidRPr="004676F5" w:rsidRDefault="00D03290" w:rsidP="00D03290">
      <w:pPr>
        <w:ind w:firstLine="708"/>
        <w:jc w:val="both"/>
        <w:rPr>
          <w:lang w:val="de-DE"/>
        </w:rPr>
      </w:pPr>
    </w:p>
    <w:p w14:paraId="24EA0EF2" w14:textId="1CA424A6" w:rsidR="00D03290" w:rsidRPr="004676F5" w:rsidRDefault="00D03290" w:rsidP="00D03290">
      <w:pPr>
        <w:ind w:firstLine="708"/>
        <w:jc w:val="both"/>
        <w:rPr>
          <w:lang w:val="de-DE"/>
        </w:rPr>
      </w:pPr>
      <w:r w:rsidRPr="004676F5">
        <w:rPr>
          <w:lang w:val="de-DE"/>
        </w:rPr>
        <w:t xml:space="preserve">§ 2 </w:t>
      </w:r>
      <w:r w:rsidR="005B7A5C" w:rsidRPr="004676F5">
        <w:rPr>
          <w:lang w:val="de-DE"/>
        </w:rPr>
        <w:t>- </w:t>
      </w:r>
      <w:r w:rsidRPr="004676F5">
        <w:rPr>
          <w:lang w:val="de-DE"/>
        </w:rPr>
        <w:t>Die Notifizierung der Kündigung erfolgt durch Aushändigung an die andere Partei eines Schreibens, in dem Anfang und Dauer der Kündigungsfrist vermerkt werden, gegen schriftliche Empfangsbestätigung durch die Par</w:t>
      </w:r>
      <w:r w:rsidR="00002C1A" w:rsidRPr="004676F5">
        <w:rPr>
          <w:lang w:val="de-DE"/>
        </w:rPr>
        <w:t xml:space="preserve">tei, an die sie gerichtet ist. </w:t>
      </w:r>
      <w:r w:rsidRPr="004676F5">
        <w:rPr>
          <w:lang w:val="de-DE"/>
        </w:rPr>
        <w:t>Die Notifizierung kann auch entweder per Einschreiben, das am dritten Werktag nach seiner Aufgabe wirksam wird, oder durch Gerichtsvollzieherurkunde erfolgen. Außer bei anders lautender Klausel muss das Ende der Kündigungsfrist mit dem Ende eines Kalendermonats übereinstimmen.</w:t>
      </w:r>
    </w:p>
    <w:p w14:paraId="424C0FA3" w14:textId="77777777" w:rsidR="00D03290" w:rsidRPr="004676F5" w:rsidRDefault="00D03290" w:rsidP="00D03290">
      <w:pPr>
        <w:jc w:val="both"/>
        <w:rPr>
          <w:lang w:val="de-DE"/>
        </w:rPr>
      </w:pPr>
    </w:p>
    <w:p w14:paraId="7B00C31E" w14:textId="16870DC2" w:rsidR="00D03290" w:rsidRPr="004676F5" w:rsidRDefault="00D03290" w:rsidP="00D03290">
      <w:pPr>
        <w:ind w:firstLine="708"/>
        <w:jc w:val="both"/>
        <w:rPr>
          <w:lang w:val="de-DE"/>
        </w:rPr>
      </w:pPr>
      <w:r w:rsidRPr="004676F5">
        <w:rPr>
          <w:lang w:val="de-DE"/>
        </w:rPr>
        <w:t xml:space="preserve">§ 3 </w:t>
      </w:r>
      <w:r w:rsidR="005B7A5C" w:rsidRPr="004676F5">
        <w:rPr>
          <w:lang w:val="de-DE"/>
        </w:rPr>
        <w:t>- </w:t>
      </w:r>
      <w:r w:rsidRPr="004676F5">
        <w:rPr>
          <w:lang w:val="de-DE"/>
        </w:rPr>
        <w:t>Die Partei, die den Handelsvertretervertrag kündigt, ohne die in § 1 Absatz 2 festgelegte Kündigungsfrist einzuhalten oder ohne sich auf einen der in Artikel X.17 Absatz 1 erwähnten Gründe zu berufen, muss der anderen Partei eine Entschädigung zahlen, die der üblichen Vergütung für den Zeitraum der Kündigungsfrist oder des noch verbleibenden Teils dieser Frist entspricht.</w:t>
      </w:r>
    </w:p>
    <w:p w14:paraId="674A4D1B" w14:textId="77777777" w:rsidR="00D03290" w:rsidRPr="004676F5" w:rsidRDefault="00D03290" w:rsidP="00D03290">
      <w:pPr>
        <w:jc w:val="both"/>
        <w:rPr>
          <w:lang w:val="de-DE"/>
        </w:rPr>
      </w:pPr>
    </w:p>
    <w:p w14:paraId="287D04B7" w14:textId="77777777" w:rsidR="00D03290" w:rsidRPr="004676F5" w:rsidRDefault="00D03290" w:rsidP="00D03290">
      <w:pPr>
        <w:ind w:firstLine="708"/>
        <w:jc w:val="both"/>
        <w:rPr>
          <w:lang w:val="de-DE"/>
        </w:rPr>
      </w:pPr>
      <w:r w:rsidRPr="004676F5">
        <w:rPr>
          <w:lang w:val="de-DE"/>
        </w:rPr>
        <w:t>Besteht die Vergütung eines Handelsvertreters ganz oder teilweise aus Provisionen, wird die Vergütung auf der Grundlage des Monatsdurchschnitts der Provisionen der letzten zwölf Monate vor Beendigung des Handelsvertretervertrags oder gegebenenfalls der Monate vor Beendigung des Handelsvertretervertrags berechnet.</w:t>
      </w:r>
    </w:p>
    <w:p w14:paraId="5F2A9647" w14:textId="77777777" w:rsidR="00D03290" w:rsidRPr="004676F5" w:rsidRDefault="00D03290" w:rsidP="00D03290">
      <w:pPr>
        <w:jc w:val="both"/>
        <w:rPr>
          <w:lang w:val="de-DE"/>
        </w:rPr>
      </w:pPr>
    </w:p>
    <w:p w14:paraId="7FD40BAA" w14:textId="44EAA08E" w:rsidR="00D03290" w:rsidRPr="004676F5" w:rsidRDefault="00D03290" w:rsidP="00D03290">
      <w:pPr>
        <w:ind w:firstLine="708"/>
        <w:jc w:val="both"/>
        <w:rPr>
          <w:lang w:val="de-DE"/>
        </w:rPr>
      </w:pPr>
      <w:r w:rsidRPr="004676F5">
        <w:rPr>
          <w:lang w:val="de-DE"/>
        </w:rPr>
        <w:t>§ 4 </w:t>
      </w:r>
      <w:r w:rsidR="005B7A5C" w:rsidRPr="004676F5">
        <w:rPr>
          <w:lang w:val="de-DE"/>
        </w:rPr>
        <w:t>- </w:t>
      </w:r>
      <w:r w:rsidRPr="004676F5">
        <w:rPr>
          <w:lang w:val="de-DE"/>
        </w:rPr>
        <w:t xml:space="preserve">In Abweichung von Artikel X.17 Absatz 1 darf in einer Einrichtung des Sektors Versicherungswesen, Kreditinstitute oder geregelte Wertpapiermärkte, wo ein paritätisches </w:t>
      </w:r>
      <w:r w:rsidRPr="004676F5">
        <w:rPr>
          <w:lang w:val="de-DE"/>
        </w:rPr>
        <w:lastRenderedPageBreak/>
        <w:t>Konzertierungsorgan eingerichtet ist, der Handelsvertretervertrag, der mit einem in dieses Organ gewählten Handelsvertreter geschlossen worden ist, während der gesamten Dauer seines Mandats vom Auftraggeber nicht einseitig gekündigt werden. Das Gleiche gilt für einen Handelsvertretervertrag, der mit einer juristischen Person, deren Geschäftsführer oder geschäftsführender Verwalter zum Vertreter der Handelsvertreter gewählt wurde, geschlossen worden ist.</w:t>
      </w:r>
    </w:p>
    <w:p w14:paraId="04D06BDA" w14:textId="77777777" w:rsidR="00D03290" w:rsidRPr="004676F5" w:rsidRDefault="00D03290" w:rsidP="00D03290">
      <w:pPr>
        <w:jc w:val="both"/>
        <w:rPr>
          <w:lang w:val="de-DE"/>
        </w:rPr>
      </w:pPr>
    </w:p>
    <w:p w14:paraId="4AC63DAC" w14:textId="77777777" w:rsidR="00D03290" w:rsidRPr="004676F5" w:rsidRDefault="00D03290" w:rsidP="00D03290">
      <w:pPr>
        <w:ind w:firstLine="708"/>
        <w:jc w:val="both"/>
        <w:rPr>
          <w:lang w:val="de-DE"/>
        </w:rPr>
      </w:pPr>
      <w:r w:rsidRPr="004676F5">
        <w:rPr>
          <w:lang w:val="de-DE"/>
        </w:rPr>
        <w:t>In Abweichung von Absatz 1 kann der Handelsvertretervertrag vom Auftraggeber gekündigt werden, wenn er nachweist, dass die Kündigung auf objektive wirtschaftliche Kriterien gestützt ist, die in gleicher Weise auf all seine Handelsvertreter angewandt werden, insbesondere wenn der in Absprache vereinbarte Unternehmensplan nicht in bedeutendem Maße ausgeführt wird und der Handelsvertreter diese fehlende Umsetzung nicht durch objektive Fakten rechtfertigen kann.</w:t>
      </w:r>
    </w:p>
    <w:p w14:paraId="3238C128" w14:textId="77777777" w:rsidR="00D03290" w:rsidRPr="004676F5" w:rsidRDefault="00D03290" w:rsidP="00D03290">
      <w:pPr>
        <w:ind w:firstLine="708"/>
        <w:jc w:val="both"/>
        <w:rPr>
          <w:lang w:val="de-DE"/>
        </w:rPr>
      </w:pPr>
    </w:p>
    <w:p w14:paraId="4656F4EC" w14:textId="77777777" w:rsidR="00D03290" w:rsidRPr="004676F5" w:rsidRDefault="00D03290" w:rsidP="00D03290">
      <w:pPr>
        <w:ind w:firstLine="708"/>
        <w:jc w:val="both"/>
        <w:rPr>
          <w:lang w:val="de-DE"/>
        </w:rPr>
      </w:pPr>
      <w:r w:rsidRPr="004676F5">
        <w:rPr>
          <w:lang w:val="de-DE"/>
        </w:rPr>
        <w:t>Wird der Vertrag vom Auftraggeber gekündigt, ohne dass im Sinne von Artikel X.17 Absatz 1 eine grobe Pflichtverletzung des Handelsvertreters vorliegt oder ohne dass nachgewiesen wird, dass die Kündigung auf die in Absatz 2 erwähnten objektiven wirtschaftlichen Kriterien gestützt ist, schuldet der Auftraggeber dem Handelsvertreter eine besondere Entschädigung, deren Betrag der gemäß § 3 berechneten Vergütung für einen Zeitraum von achtzehn Monaten entspricht, unbeschadet der anderen Rechte, die das Gesetz dem Handelsvertreter aufgrund der Kündigung des Handelsvertretervertrags einräumt.</w:t>
      </w:r>
    </w:p>
    <w:p w14:paraId="10FECFF6" w14:textId="77777777" w:rsidR="00D03290" w:rsidRPr="004676F5" w:rsidRDefault="00D03290" w:rsidP="00D03290">
      <w:pPr>
        <w:jc w:val="both"/>
        <w:rPr>
          <w:lang w:val="de-DE"/>
        </w:rPr>
      </w:pPr>
    </w:p>
    <w:p w14:paraId="1A7CDC1F" w14:textId="77777777" w:rsidR="00D03290" w:rsidRPr="004676F5" w:rsidRDefault="00D03290" w:rsidP="00D03290">
      <w:pPr>
        <w:ind w:firstLine="708"/>
        <w:jc w:val="both"/>
        <w:rPr>
          <w:lang w:val="de-DE"/>
        </w:rPr>
      </w:pPr>
      <w:r w:rsidRPr="004676F5">
        <w:rPr>
          <w:lang w:val="de-DE"/>
        </w:rPr>
        <w:t>Diese Bestimmungen bleiben anwendbar für einen Zeitraum von sechs Monaten ab Beendigung des Mandats im paritätischen Konzertierungsorgan. Das Mandat endet am Datum der ersten Versammlung des neu gewählten paritätischen Konzertierungsorgans.</w:t>
      </w:r>
    </w:p>
    <w:p w14:paraId="43155D3D" w14:textId="77777777" w:rsidR="00D03290" w:rsidRPr="004676F5" w:rsidRDefault="00D03290" w:rsidP="00D03290">
      <w:pPr>
        <w:ind w:firstLine="708"/>
        <w:jc w:val="both"/>
        <w:rPr>
          <w:lang w:val="de-DE"/>
        </w:rPr>
      </w:pPr>
    </w:p>
    <w:p w14:paraId="25A6CE0B" w14:textId="39202288" w:rsidR="00D03290" w:rsidRPr="004676F5" w:rsidRDefault="00D03290" w:rsidP="00D03290">
      <w:pPr>
        <w:ind w:firstLine="708"/>
        <w:jc w:val="both"/>
        <w:rPr>
          <w:lang w:val="de-DE"/>
        </w:rPr>
      </w:pPr>
      <w:r w:rsidRPr="004676F5">
        <w:rPr>
          <w:lang w:val="de-DE"/>
        </w:rPr>
        <w:t>§ 5 </w:t>
      </w:r>
      <w:r w:rsidR="005B7A5C" w:rsidRPr="004676F5">
        <w:rPr>
          <w:lang w:val="de-DE"/>
        </w:rPr>
        <w:t>- </w:t>
      </w:r>
      <w:r w:rsidRPr="004676F5">
        <w:rPr>
          <w:lang w:val="de-DE"/>
        </w:rPr>
        <w:t>Darüber hinaus darf der Handelsvertretervertrag, der mit einem Handelsvertreter geschlossen wurde, der Kandidat für ein paritätisches Konzertierungsorgan ist, ab Bekanntgabe seiner Kandidatur bis zur ersten Versammlung des neu gewählten Konzertierungsorgans vom Auftraggeber nicht einseitig gekündigt werden. Das Gleiche gilt für einen Handelsvertretervertrag, der mit einer juristischen Person, deren Geschäftsführer oder geschäftsführender Verwalter seine Kandidatur als Vertreter der Handelsvertreter eingereicht hat, geschlossen worden ist.</w:t>
      </w:r>
    </w:p>
    <w:p w14:paraId="0B3B5085" w14:textId="77777777" w:rsidR="00D03290" w:rsidRPr="004676F5" w:rsidRDefault="00D03290" w:rsidP="00D03290">
      <w:pPr>
        <w:jc w:val="both"/>
        <w:rPr>
          <w:lang w:val="de-DE"/>
        </w:rPr>
      </w:pPr>
    </w:p>
    <w:p w14:paraId="7D8CAD98" w14:textId="77777777" w:rsidR="00D03290" w:rsidRPr="004676F5" w:rsidRDefault="00D03290" w:rsidP="00D03290">
      <w:pPr>
        <w:ind w:firstLine="708"/>
        <w:jc w:val="both"/>
        <w:rPr>
          <w:lang w:val="de-DE"/>
        </w:rPr>
      </w:pPr>
      <w:r w:rsidRPr="004676F5">
        <w:rPr>
          <w:lang w:val="de-DE"/>
        </w:rPr>
        <w:t>In Abweichung von vorhergehendem Absatz kann der Handelsvertretervertrag vom Auftraggeber wegen außergewöhnlicher Umstände oder einer groben Pflichtverletzung des Handelsvertreters im Sinne von Artikel X.17 Absatz 1 ohne Kündigungsfrist gekündigt werden.</w:t>
      </w:r>
    </w:p>
    <w:p w14:paraId="18EC91AA" w14:textId="77777777" w:rsidR="00D03290" w:rsidRPr="004676F5" w:rsidRDefault="00D03290" w:rsidP="00D03290">
      <w:pPr>
        <w:jc w:val="both"/>
        <w:rPr>
          <w:lang w:val="de-DE"/>
        </w:rPr>
      </w:pPr>
    </w:p>
    <w:p w14:paraId="469CDA88" w14:textId="77777777" w:rsidR="00D03290" w:rsidRPr="004676F5" w:rsidRDefault="00D03290" w:rsidP="00D03290">
      <w:pPr>
        <w:ind w:firstLine="708"/>
        <w:jc w:val="both"/>
        <w:rPr>
          <w:lang w:val="de-DE"/>
        </w:rPr>
      </w:pPr>
      <w:r w:rsidRPr="004676F5">
        <w:rPr>
          <w:lang w:val="de-DE"/>
        </w:rPr>
        <w:t>Kündigt ein Auftraggeber den Vertrag dem vorhergehenden Absatz entsprechend ohne Kündigungsfrist, ohne dass im Sinne von Artikel X.17 Absatz 1 außergewöhnliche Umstände oder eine grobe Pflichtverletzung des Handelsvertreters vorliegt, schuldet der Auftraggeber dem Handelsvertreter eine besondere Entschädigung, deren Betrag der gemäß § 3 berechneten Vergütung für einen Zeitraum von einem Jahr entspricht, unbeschadet der anderen Rechte, die das Gesetz dem Handelsvertreter bei Beendigung des Handelsvertretervertrags einräumt.</w:t>
      </w:r>
    </w:p>
    <w:p w14:paraId="0A7880F4" w14:textId="77777777" w:rsidR="00D03290" w:rsidRPr="004676F5" w:rsidRDefault="00D03290" w:rsidP="00D03290">
      <w:pPr>
        <w:jc w:val="both"/>
        <w:rPr>
          <w:lang w:val="de-DE"/>
        </w:rPr>
      </w:pPr>
    </w:p>
    <w:p w14:paraId="4BF7D98C" w14:textId="77777777" w:rsidR="009E5AB3" w:rsidRPr="004676F5" w:rsidRDefault="009E5AB3" w:rsidP="00D03290">
      <w:pPr>
        <w:jc w:val="both"/>
        <w:rPr>
          <w:lang w:val="de-DE"/>
        </w:rPr>
      </w:pPr>
    </w:p>
    <w:p w14:paraId="7E619F94" w14:textId="56F75B48" w:rsidR="00D03290" w:rsidRPr="004676F5" w:rsidRDefault="00BE0A56" w:rsidP="00D03290">
      <w:pPr>
        <w:ind w:firstLine="708"/>
        <w:jc w:val="both"/>
        <w:rPr>
          <w:lang w:val="de-DE"/>
        </w:rPr>
      </w:pPr>
      <w:r w:rsidRPr="004676F5">
        <w:rPr>
          <w:b/>
          <w:lang w:val="de-DE"/>
        </w:rPr>
        <w:t>Art. </w:t>
      </w:r>
      <w:r w:rsidR="00D03290" w:rsidRPr="004676F5">
        <w:rPr>
          <w:b/>
          <w:lang w:val="de-DE"/>
        </w:rPr>
        <w:t>X.17</w:t>
      </w:r>
      <w:r w:rsidR="00D03290" w:rsidRPr="004676F5">
        <w:rPr>
          <w:lang w:val="de-DE"/>
        </w:rPr>
        <w:t> </w:t>
      </w:r>
      <w:r w:rsidR="005B7A5C" w:rsidRPr="004676F5">
        <w:rPr>
          <w:lang w:val="de-DE"/>
        </w:rPr>
        <w:t>- </w:t>
      </w:r>
      <w:r w:rsidR="00D03290" w:rsidRPr="004676F5">
        <w:rPr>
          <w:lang w:val="de-DE"/>
        </w:rPr>
        <w:t>Jede Partei kann unbeschadet eines zu leistenden Schadenersatzes den Vertrag ohne Kündigungsfrist oder vor Ablauf der Laufzeit kündigen, wenn außer</w:t>
      </w:r>
      <w:r w:rsidR="00D03290" w:rsidRPr="004676F5">
        <w:rPr>
          <w:lang w:val="de-DE"/>
        </w:rPr>
        <w:softHyphen/>
        <w:t xml:space="preserve">gewöhnliche Umstände vorliegen, aufgrund deren die berufliche Zusammenarbeit zwischen Auftraggeber und Handelsvertreter definitiv unmöglich ist, oder wenn die andere Partei ihre Verpflichtungen grob verletzt. Ein Vertrag darf nicht mehr ohne Kündigungsfrist oder vor Ablauf der Laufzeit </w:t>
      </w:r>
      <w:r w:rsidR="00D03290" w:rsidRPr="004676F5">
        <w:rPr>
          <w:lang w:val="de-DE"/>
        </w:rPr>
        <w:lastRenderedPageBreak/>
        <w:t>gekündigt werden, wenn der die Kündigung rechtfertigende Sachverhalt der sich darauf berufenden Partei seit mindestens sieben Werktagen bekannt ist.</w:t>
      </w:r>
    </w:p>
    <w:p w14:paraId="0233FB2A" w14:textId="77777777" w:rsidR="00D03290" w:rsidRPr="004676F5" w:rsidRDefault="00D03290" w:rsidP="00D03290">
      <w:pPr>
        <w:jc w:val="both"/>
        <w:rPr>
          <w:lang w:val="de-DE"/>
        </w:rPr>
      </w:pPr>
    </w:p>
    <w:p w14:paraId="1F371A41" w14:textId="77777777" w:rsidR="00D03290" w:rsidRPr="004676F5" w:rsidRDefault="00D03290" w:rsidP="00D03290">
      <w:pPr>
        <w:ind w:firstLine="708"/>
        <w:jc w:val="both"/>
        <w:rPr>
          <w:lang w:val="de-DE"/>
        </w:rPr>
      </w:pPr>
      <w:r w:rsidRPr="004676F5">
        <w:rPr>
          <w:lang w:val="de-DE"/>
        </w:rPr>
        <w:t>Nur außergewöhnliche Umstände oder grobe Pflichtverletzungen, die durch Gerichtsvollzieherurkunde oder per Einschreiben, aufgegeben innerhalb sieben Werktagen ab Vertragskündigung, notifiziert werden, können zur Rechtfertigung der Kündigung ohne Kündigungsfrist oder vor Ablauf der Laufzeit vorgebracht werden.</w:t>
      </w:r>
    </w:p>
    <w:p w14:paraId="1FF6F899" w14:textId="77777777" w:rsidR="00D03290" w:rsidRPr="004676F5" w:rsidRDefault="00D03290" w:rsidP="00D03290">
      <w:pPr>
        <w:ind w:firstLine="708"/>
        <w:jc w:val="both"/>
        <w:rPr>
          <w:lang w:val="de-DE"/>
        </w:rPr>
      </w:pPr>
    </w:p>
    <w:p w14:paraId="60ABCCE9" w14:textId="77777777" w:rsidR="00D03290" w:rsidRPr="004676F5" w:rsidRDefault="00D03290" w:rsidP="00D03290">
      <w:pPr>
        <w:ind w:firstLine="708"/>
        <w:jc w:val="both"/>
        <w:rPr>
          <w:lang w:val="de-DE"/>
        </w:rPr>
      </w:pPr>
      <w:r w:rsidRPr="004676F5">
        <w:rPr>
          <w:lang w:val="de-DE"/>
        </w:rPr>
        <w:t>Ungeachtet jeglicher anders lautenden Klausel darf vor Vertragsende von den Bestimmungen des vorliegenden Artikels nicht zum Nachteil des Handelsvertreters abgewichen werden.</w:t>
      </w:r>
    </w:p>
    <w:p w14:paraId="39E103DA" w14:textId="77777777" w:rsidR="00D03290" w:rsidRPr="004676F5" w:rsidRDefault="00D03290" w:rsidP="00D03290">
      <w:pPr>
        <w:ind w:firstLine="708"/>
        <w:jc w:val="both"/>
        <w:rPr>
          <w:lang w:val="de-DE"/>
        </w:rPr>
      </w:pPr>
    </w:p>
    <w:p w14:paraId="085D89AE" w14:textId="77777777" w:rsidR="009E5AB3" w:rsidRPr="004676F5" w:rsidRDefault="009E5AB3" w:rsidP="00D03290">
      <w:pPr>
        <w:ind w:firstLine="708"/>
        <w:jc w:val="both"/>
        <w:rPr>
          <w:lang w:val="de-DE"/>
        </w:rPr>
      </w:pPr>
    </w:p>
    <w:p w14:paraId="077796A1" w14:textId="41076ACF" w:rsidR="00D03290" w:rsidRPr="004676F5" w:rsidRDefault="00BE0A56" w:rsidP="00D03290">
      <w:pPr>
        <w:ind w:firstLine="708"/>
        <w:jc w:val="both"/>
        <w:rPr>
          <w:lang w:val="de-DE"/>
        </w:rPr>
      </w:pPr>
      <w:r w:rsidRPr="004676F5">
        <w:rPr>
          <w:b/>
          <w:lang w:val="de-DE"/>
        </w:rPr>
        <w:t>Art. </w:t>
      </w:r>
      <w:r w:rsidR="00D03290" w:rsidRPr="004676F5">
        <w:rPr>
          <w:b/>
          <w:lang w:val="de-DE"/>
        </w:rPr>
        <w:t>X.18</w:t>
      </w:r>
      <w:r w:rsidR="00D03290" w:rsidRPr="004676F5">
        <w:rPr>
          <w:lang w:val="de-DE"/>
        </w:rPr>
        <w:t> </w:t>
      </w:r>
      <w:r w:rsidR="005B7A5C" w:rsidRPr="004676F5">
        <w:rPr>
          <w:lang w:val="de-DE"/>
        </w:rPr>
        <w:t>- </w:t>
      </w:r>
      <w:r w:rsidR="00D03290" w:rsidRPr="004676F5">
        <w:rPr>
          <w:lang w:val="de-DE"/>
        </w:rPr>
        <w:t>Nach Beendigung des Handelsvertretervertrags hat der Handelsvertreter Anspruch auf eine Ausgleichsabfindung, wenn er neue Kunden für den Auftraggeber geworben oder die Geschäftsverbindungen mit der bestehenden Kundschaft wesentlich erweitert hat, soweit dies dem Auftraggeber noch erhebliche Vorteile einbringen kann.</w:t>
      </w:r>
    </w:p>
    <w:p w14:paraId="11DA5DBB" w14:textId="77777777" w:rsidR="00D03290" w:rsidRPr="004676F5" w:rsidRDefault="00D03290" w:rsidP="00D03290">
      <w:pPr>
        <w:jc w:val="both"/>
        <w:rPr>
          <w:lang w:val="de-DE"/>
        </w:rPr>
      </w:pPr>
    </w:p>
    <w:p w14:paraId="014A8E1A" w14:textId="2B4317A7" w:rsidR="00D03290" w:rsidRPr="004676F5" w:rsidRDefault="00D03290" w:rsidP="00D03290">
      <w:pPr>
        <w:ind w:firstLine="708"/>
        <w:jc w:val="both"/>
        <w:rPr>
          <w:lang w:val="de-DE"/>
        </w:rPr>
      </w:pPr>
      <w:r w:rsidRPr="004676F5">
        <w:rPr>
          <w:lang w:val="de-DE"/>
        </w:rPr>
        <w:t xml:space="preserve">Ist im Vertrag eine Wettbewerbsabrede vorgesehen, wird davon ausgegangen, dass der Auftraggeber </w:t>
      </w:r>
      <w:r w:rsidR="005B7A5C" w:rsidRPr="004676F5">
        <w:rPr>
          <w:lang w:val="de-DE"/>
        </w:rPr>
        <w:t>- </w:t>
      </w:r>
      <w:r w:rsidRPr="004676F5">
        <w:rPr>
          <w:lang w:val="de-DE"/>
        </w:rPr>
        <w:t xml:space="preserve">außer bei Beweis des Gegenteils </w:t>
      </w:r>
      <w:r w:rsidR="005B7A5C" w:rsidRPr="004676F5">
        <w:rPr>
          <w:lang w:val="de-DE"/>
        </w:rPr>
        <w:t>- </w:t>
      </w:r>
      <w:r w:rsidRPr="004676F5">
        <w:rPr>
          <w:lang w:val="de-DE"/>
        </w:rPr>
        <w:t>noch erhebliche Vorteile haben wird.</w:t>
      </w:r>
    </w:p>
    <w:p w14:paraId="243A33A5" w14:textId="77777777" w:rsidR="00D03290" w:rsidRPr="004676F5" w:rsidRDefault="00D03290" w:rsidP="00D03290">
      <w:pPr>
        <w:ind w:firstLine="708"/>
        <w:jc w:val="both"/>
        <w:rPr>
          <w:lang w:val="de-DE"/>
        </w:rPr>
      </w:pPr>
    </w:p>
    <w:p w14:paraId="67DBFD42" w14:textId="77777777" w:rsidR="00D03290" w:rsidRPr="004676F5" w:rsidRDefault="00D03290" w:rsidP="00D03290">
      <w:pPr>
        <w:ind w:firstLine="708"/>
        <w:jc w:val="both"/>
        <w:rPr>
          <w:lang w:val="de-DE"/>
        </w:rPr>
      </w:pPr>
      <w:r w:rsidRPr="004676F5">
        <w:rPr>
          <w:lang w:val="de-DE"/>
        </w:rPr>
        <w:t>Der Betrag der Ausgleichsabfindung wird unter Berücksichtigung sowohl der Erweiterung der Geschäftsverbindungen als auch der geworbenen Kunden festgelegt.</w:t>
      </w:r>
    </w:p>
    <w:p w14:paraId="7D8FBAC8" w14:textId="77777777" w:rsidR="00D03290" w:rsidRPr="004676F5" w:rsidRDefault="00D03290" w:rsidP="00D03290">
      <w:pPr>
        <w:ind w:firstLine="708"/>
        <w:jc w:val="both"/>
        <w:rPr>
          <w:lang w:val="de-DE"/>
        </w:rPr>
      </w:pPr>
    </w:p>
    <w:p w14:paraId="0DFD7F19" w14:textId="77777777" w:rsidR="00D03290" w:rsidRPr="004676F5" w:rsidRDefault="00D03290" w:rsidP="00D03290">
      <w:pPr>
        <w:ind w:firstLine="708"/>
        <w:jc w:val="both"/>
        <w:rPr>
          <w:lang w:val="de-DE"/>
        </w:rPr>
      </w:pPr>
      <w:r w:rsidRPr="004676F5">
        <w:rPr>
          <w:lang w:val="de-DE"/>
        </w:rPr>
        <w:t>Die Ausgleichsabfindung beträgt höchstens eine nach dem Durchschnitt der letzten fünf Jahre der Tätigkeit des Handelsvertreters berechnete Jahresvergütung; bei kürzerer Dauer des Handelsvertretervertrags ist der Durchschnitt während der vorhergehenden Jahre maßgebend.</w:t>
      </w:r>
    </w:p>
    <w:p w14:paraId="5101A00C" w14:textId="77777777" w:rsidR="00D03290" w:rsidRPr="004676F5" w:rsidRDefault="00D03290" w:rsidP="00D03290">
      <w:pPr>
        <w:jc w:val="both"/>
        <w:rPr>
          <w:lang w:val="de-DE"/>
        </w:rPr>
      </w:pPr>
    </w:p>
    <w:p w14:paraId="4665CE84" w14:textId="77777777" w:rsidR="00D03290" w:rsidRPr="004676F5" w:rsidRDefault="00D03290" w:rsidP="00D03290">
      <w:pPr>
        <w:ind w:firstLine="708"/>
        <w:jc w:val="both"/>
        <w:rPr>
          <w:lang w:val="de-DE"/>
        </w:rPr>
      </w:pPr>
      <w:r w:rsidRPr="004676F5">
        <w:rPr>
          <w:lang w:val="de-DE"/>
        </w:rPr>
        <w:t>Der Ausgleichsanspruch besteht nicht:</w:t>
      </w:r>
    </w:p>
    <w:p w14:paraId="4AB075D8" w14:textId="77777777" w:rsidR="00D03290" w:rsidRPr="004676F5" w:rsidRDefault="00D03290" w:rsidP="00D03290">
      <w:pPr>
        <w:jc w:val="both"/>
        <w:rPr>
          <w:lang w:val="de-DE"/>
        </w:rPr>
      </w:pPr>
    </w:p>
    <w:p w14:paraId="6EA5BBC7" w14:textId="77777777" w:rsidR="00D03290" w:rsidRPr="004676F5" w:rsidRDefault="00D03290" w:rsidP="00D03290">
      <w:pPr>
        <w:ind w:firstLine="708"/>
        <w:jc w:val="both"/>
        <w:rPr>
          <w:lang w:val="de-DE"/>
        </w:rPr>
      </w:pPr>
      <w:r w:rsidRPr="004676F5">
        <w:rPr>
          <w:lang w:val="de-DE"/>
        </w:rPr>
        <w:t>1. wenn der Auftraggeber den Handelsvertretervertrag aufgrund einer in Artikel X.17 Absatz 1 vorgesehenen groben Pflichtverletzung des Handelsvertreters gekündigt hat,</w:t>
      </w:r>
    </w:p>
    <w:p w14:paraId="6721B91A" w14:textId="77777777" w:rsidR="00D03290" w:rsidRPr="004676F5" w:rsidRDefault="00D03290" w:rsidP="00D03290">
      <w:pPr>
        <w:ind w:firstLine="708"/>
        <w:jc w:val="both"/>
        <w:rPr>
          <w:lang w:val="de-DE"/>
        </w:rPr>
      </w:pPr>
    </w:p>
    <w:p w14:paraId="13C7055F" w14:textId="77777777" w:rsidR="00D03290" w:rsidRPr="004676F5" w:rsidRDefault="00D03290" w:rsidP="00D03290">
      <w:pPr>
        <w:ind w:firstLine="708"/>
        <w:jc w:val="both"/>
        <w:rPr>
          <w:lang w:val="de-DE"/>
        </w:rPr>
      </w:pPr>
      <w:r w:rsidRPr="004676F5">
        <w:rPr>
          <w:lang w:val="de-DE"/>
        </w:rPr>
        <w:t>2. wenn der Handelsvertreter den Handelsvertretervertrag gekündigt hat, es sei denn, ein in Artikel X.17 Absatz 1 vorgesehener Grund, der vom Auftraggeber zu vertreten ist, hat zur Vertragsbeendigung Anlass gegeben oder dem Handelsvertreter kann eine Fortsetzung seiner Tätigkeit wegen seines Alters oder wegen Invalidität oder Krankheit nach vernünftigem Ermessen nicht zugemutet werden,</w:t>
      </w:r>
    </w:p>
    <w:p w14:paraId="5525C8B4" w14:textId="77777777" w:rsidR="00D03290" w:rsidRPr="004676F5" w:rsidRDefault="00D03290" w:rsidP="00D03290">
      <w:pPr>
        <w:jc w:val="both"/>
        <w:rPr>
          <w:lang w:val="de-DE"/>
        </w:rPr>
      </w:pPr>
    </w:p>
    <w:p w14:paraId="25918E43" w14:textId="77777777" w:rsidR="00D03290" w:rsidRPr="004676F5" w:rsidRDefault="00D03290" w:rsidP="00D03290">
      <w:pPr>
        <w:ind w:firstLine="708"/>
        <w:jc w:val="both"/>
        <w:rPr>
          <w:lang w:val="de-DE"/>
        </w:rPr>
      </w:pPr>
      <w:r w:rsidRPr="004676F5">
        <w:rPr>
          <w:lang w:val="de-DE"/>
        </w:rPr>
        <w:t>3. wenn aufgrund einer Vereinbarung mit dem Auftraggeber der Handelsvertreter oder dessen Erben ihre Rechte und Verpflichtungen aus dem Handelsvertretervertrag an einen Dritten abtreten.</w:t>
      </w:r>
    </w:p>
    <w:p w14:paraId="5C0B7741" w14:textId="77777777" w:rsidR="00D03290" w:rsidRPr="004676F5" w:rsidRDefault="00D03290" w:rsidP="00D03290">
      <w:pPr>
        <w:ind w:firstLine="708"/>
        <w:jc w:val="both"/>
        <w:rPr>
          <w:lang w:val="de-DE"/>
        </w:rPr>
      </w:pPr>
    </w:p>
    <w:p w14:paraId="3EEAED6D" w14:textId="77777777" w:rsidR="00D03290" w:rsidRPr="004676F5" w:rsidRDefault="00D03290" w:rsidP="00D03290">
      <w:pPr>
        <w:ind w:firstLine="708"/>
        <w:jc w:val="both"/>
        <w:rPr>
          <w:lang w:val="de-DE"/>
        </w:rPr>
      </w:pPr>
      <w:r w:rsidRPr="004676F5">
        <w:rPr>
          <w:lang w:val="de-DE"/>
        </w:rPr>
        <w:t>Der Handelsvertreter verliert den Ausgleichsanspruch, wenn er dem Auftraggeber nicht innerhalb eines Jahres ab Beendigung des Handelsvertretervertrags notifiziert hat, dass er seinen Anspruch geltend machen möchte.</w:t>
      </w:r>
    </w:p>
    <w:p w14:paraId="55A34F41" w14:textId="77777777" w:rsidR="00D03290" w:rsidRPr="004676F5" w:rsidRDefault="00D03290" w:rsidP="00D03290">
      <w:pPr>
        <w:jc w:val="both"/>
        <w:rPr>
          <w:lang w:val="de-DE"/>
        </w:rPr>
      </w:pPr>
    </w:p>
    <w:p w14:paraId="75245696" w14:textId="77777777" w:rsidR="009E5AB3" w:rsidRPr="004676F5" w:rsidRDefault="009E5AB3" w:rsidP="00D03290">
      <w:pPr>
        <w:jc w:val="both"/>
        <w:rPr>
          <w:lang w:val="de-DE"/>
        </w:rPr>
      </w:pPr>
    </w:p>
    <w:p w14:paraId="0E1AC0DD" w14:textId="3FE1BADD" w:rsidR="00D03290" w:rsidRPr="004676F5" w:rsidRDefault="00BE0A56" w:rsidP="00D03290">
      <w:pPr>
        <w:ind w:firstLine="708"/>
        <w:jc w:val="both"/>
        <w:rPr>
          <w:lang w:val="de-DE"/>
        </w:rPr>
      </w:pPr>
      <w:r w:rsidRPr="004676F5">
        <w:rPr>
          <w:b/>
          <w:lang w:val="de-DE"/>
        </w:rPr>
        <w:t>Art. </w:t>
      </w:r>
      <w:r w:rsidR="00D03290" w:rsidRPr="004676F5">
        <w:rPr>
          <w:b/>
          <w:lang w:val="de-DE"/>
        </w:rPr>
        <w:t>X.19</w:t>
      </w:r>
      <w:r w:rsidR="00D03290" w:rsidRPr="004676F5">
        <w:rPr>
          <w:lang w:val="de-DE"/>
        </w:rPr>
        <w:t> </w:t>
      </w:r>
      <w:r w:rsidR="005B7A5C" w:rsidRPr="004676F5">
        <w:rPr>
          <w:lang w:val="de-DE"/>
        </w:rPr>
        <w:t>- </w:t>
      </w:r>
      <w:r w:rsidR="00D03290" w:rsidRPr="004676F5">
        <w:rPr>
          <w:lang w:val="de-DE"/>
        </w:rPr>
        <w:t xml:space="preserve">Sofern der Handelsvertreter Anspruch auf die in Artikel X.18 erwähnte Ausgleichsabfindung hat und diese Abfindung den tatsächlich erlittenen Schaden nicht vollständig deckt, kann der Handelsvertreter über diese Abfindung hinaus Schadenersatz erhalten in Höhe der Differenz zwischen dem Betrag des tatsächlich erlittenen Schadens und </w:t>
      </w:r>
      <w:r w:rsidR="00D03290" w:rsidRPr="004676F5">
        <w:rPr>
          <w:lang w:val="de-DE"/>
        </w:rPr>
        <w:lastRenderedPageBreak/>
        <w:t>dem Betrag dieser Abfindung, jedoch mit der Auflage, den tatsächlichen Umfang des angegebenen Schadens nachzuweisen.</w:t>
      </w:r>
    </w:p>
    <w:p w14:paraId="3365A83E" w14:textId="77777777" w:rsidR="00D03290" w:rsidRPr="004676F5" w:rsidRDefault="00D03290" w:rsidP="00D03290">
      <w:pPr>
        <w:jc w:val="both"/>
        <w:rPr>
          <w:lang w:val="de-DE"/>
        </w:rPr>
      </w:pPr>
    </w:p>
    <w:p w14:paraId="5DF410B6" w14:textId="77777777" w:rsidR="009E5AB3" w:rsidRPr="004676F5" w:rsidRDefault="009E5AB3" w:rsidP="00D03290">
      <w:pPr>
        <w:jc w:val="both"/>
        <w:rPr>
          <w:lang w:val="de-DE"/>
        </w:rPr>
      </w:pPr>
    </w:p>
    <w:p w14:paraId="77320D2D" w14:textId="62DF76C2" w:rsidR="00D03290" w:rsidRPr="004676F5" w:rsidRDefault="00BE0A56" w:rsidP="00D03290">
      <w:pPr>
        <w:ind w:firstLine="708"/>
        <w:jc w:val="both"/>
        <w:rPr>
          <w:lang w:val="de-DE"/>
        </w:rPr>
      </w:pPr>
      <w:r w:rsidRPr="004676F5">
        <w:rPr>
          <w:b/>
          <w:lang w:val="de-DE"/>
        </w:rPr>
        <w:t>Art. </w:t>
      </w:r>
      <w:r w:rsidR="00D03290" w:rsidRPr="004676F5">
        <w:rPr>
          <w:b/>
          <w:lang w:val="de-DE"/>
        </w:rPr>
        <w:t>X.20</w:t>
      </w:r>
      <w:r w:rsidR="00D03290" w:rsidRPr="004676F5">
        <w:rPr>
          <w:lang w:val="de-DE"/>
        </w:rPr>
        <w:t> </w:t>
      </w:r>
      <w:r w:rsidR="005B7A5C" w:rsidRPr="004676F5">
        <w:rPr>
          <w:lang w:val="de-DE"/>
        </w:rPr>
        <w:t>- </w:t>
      </w:r>
      <w:r w:rsidR="00D03290" w:rsidRPr="004676F5">
        <w:rPr>
          <w:lang w:val="de-DE"/>
        </w:rPr>
        <w:t>Der Anspruch auf die in den Artikeln X.18 und X.19 erwähnten Abfindungen entsteht auch bei Vertragsbeendigung infolge des Todes des Handelsvertreters.</w:t>
      </w:r>
    </w:p>
    <w:p w14:paraId="5630693D" w14:textId="77777777" w:rsidR="00D03290" w:rsidRPr="004676F5" w:rsidRDefault="00D03290" w:rsidP="00D03290">
      <w:pPr>
        <w:ind w:firstLine="708"/>
        <w:jc w:val="both"/>
        <w:rPr>
          <w:lang w:val="de-DE"/>
        </w:rPr>
      </w:pPr>
    </w:p>
    <w:p w14:paraId="1A422699" w14:textId="77777777" w:rsidR="009E5AB3" w:rsidRPr="004676F5" w:rsidRDefault="009E5AB3" w:rsidP="00D03290">
      <w:pPr>
        <w:ind w:firstLine="708"/>
        <w:jc w:val="both"/>
        <w:rPr>
          <w:lang w:val="de-DE"/>
        </w:rPr>
      </w:pPr>
    </w:p>
    <w:p w14:paraId="76CF8276" w14:textId="5D179B9B" w:rsidR="00D03290" w:rsidRPr="004676F5" w:rsidRDefault="00BE0A56" w:rsidP="00D03290">
      <w:pPr>
        <w:ind w:firstLine="708"/>
        <w:jc w:val="both"/>
        <w:rPr>
          <w:lang w:val="de-DE"/>
        </w:rPr>
      </w:pPr>
      <w:r w:rsidRPr="004676F5">
        <w:rPr>
          <w:b/>
          <w:lang w:val="de-DE"/>
        </w:rPr>
        <w:t>Art. </w:t>
      </w:r>
      <w:r w:rsidR="00D03290" w:rsidRPr="004676F5">
        <w:rPr>
          <w:b/>
          <w:lang w:val="de-DE"/>
        </w:rPr>
        <w:t>X.21</w:t>
      </w:r>
      <w:r w:rsidR="00D03290" w:rsidRPr="004676F5">
        <w:rPr>
          <w:lang w:val="de-DE"/>
        </w:rPr>
        <w:t> </w:t>
      </w:r>
      <w:r w:rsidR="005B7A5C" w:rsidRPr="004676F5">
        <w:rPr>
          <w:lang w:val="de-DE"/>
        </w:rPr>
        <w:t>- </w:t>
      </w:r>
      <w:r w:rsidR="00D03290" w:rsidRPr="004676F5">
        <w:rPr>
          <w:lang w:val="de-DE"/>
        </w:rPr>
        <w:t>Die Parteien dürfen vor Ende des Handelsvertretervertrags von den Artikeln X.18, X.19 und X.20 nicht zum Nachteil des Handelsvertreters abweichen.</w:t>
      </w:r>
    </w:p>
    <w:p w14:paraId="11CCE2A1" w14:textId="77777777" w:rsidR="00D03290" w:rsidRPr="004676F5" w:rsidRDefault="00D03290" w:rsidP="00D03290">
      <w:pPr>
        <w:ind w:firstLine="708"/>
        <w:jc w:val="both"/>
        <w:rPr>
          <w:lang w:val="de-DE"/>
        </w:rPr>
      </w:pPr>
    </w:p>
    <w:p w14:paraId="7C1EF468" w14:textId="77777777" w:rsidR="009E5AB3" w:rsidRPr="004676F5" w:rsidRDefault="009E5AB3" w:rsidP="00D03290">
      <w:pPr>
        <w:ind w:firstLine="708"/>
        <w:jc w:val="both"/>
        <w:rPr>
          <w:lang w:val="de-DE"/>
        </w:rPr>
      </w:pPr>
    </w:p>
    <w:p w14:paraId="4A932348" w14:textId="1A37F709" w:rsidR="00D03290" w:rsidRPr="004676F5" w:rsidRDefault="00BE0A56" w:rsidP="00D03290">
      <w:pPr>
        <w:ind w:firstLine="708"/>
        <w:jc w:val="both"/>
        <w:rPr>
          <w:lang w:val="de-DE"/>
        </w:rPr>
      </w:pPr>
      <w:r w:rsidRPr="004676F5">
        <w:rPr>
          <w:b/>
          <w:lang w:val="de-DE"/>
        </w:rPr>
        <w:t>Art. </w:t>
      </w:r>
      <w:r w:rsidR="00D03290" w:rsidRPr="004676F5">
        <w:rPr>
          <w:b/>
          <w:lang w:val="de-DE"/>
        </w:rPr>
        <w:t>X.22</w:t>
      </w:r>
      <w:r w:rsidR="00D03290" w:rsidRPr="004676F5">
        <w:rPr>
          <w:lang w:val="de-DE"/>
        </w:rPr>
        <w:t xml:space="preserve"> </w:t>
      </w:r>
      <w:r w:rsidR="005B7A5C" w:rsidRPr="004676F5">
        <w:rPr>
          <w:lang w:val="de-DE"/>
        </w:rPr>
        <w:t>- </w:t>
      </w:r>
      <w:r w:rsidR="00D03290" w:rsidRPr="004676F5">
        <w:rPr>
          <w:lang w:val="de-DE"/>
        </w:rPr>
        <w:t>§ 1 </w:t>
      </w:r>
      <w:r w:rsidR="005B7A5C" w:rsidRPr="004676F5">
        <w:rPr>
          <w:lang w:val="de-DE"/>
        </w:rPr>
        <w:t>- </w:t>
      </w:r>
      <w:r w:rsidR="00D03290" w:rsidRPr="004676F5">
        <w:rPr>
          <w:lang w:val="de-DE"/>
        </w:rPr>
        <w:t>Der Handelsvertretervertrag kann eine Wettbewerbsabrede enthalten.</w:t>
      </w:r>
    </w:p>
    <w:p w14:paraId="09BD5168" w14:textId="77777777" w:rsidR="00D03290" w:rsidRPr="004676F5" w:rsidRDefault="00D03290" w:rsidP="00D03290">
      <w:pPr>
        <w:ind w:firstLine="708"/>
        <w:jc w:val="both"/>
        <w:rPr>
          <w:lang w:val="de-DE"/>
        </w:rPr>
      </w:pPr>
    </w:p>
    <w:p w14:paraId="03BB5016" w14:textId="77777777" w:rsidR="00D03290" w:rsidRPr="004676F5" w:rsidRDefault="00D03290" w:rsidP="00D03290">
      <w:pPr>
        <w:ind w:firstLine="708"/>
        <w:jc w:val="both"/>
        <w:rPr>
          <w:lang w:val="de-DE"/>
        </w:rPr>
      </w:pPr>
      <w:r w:rsidRPr="004676F5">
        <w:rPr>
          <w:lang w:val="de-DE"/>
        </w:rPr>
        <w:t>Die Wettbewerbsabrede ist nur gültig, wenn:</w:t>
      </w:r>
    </w:p>
    <w:p w14:paraId="43FC20A0" w14:textId="77777777" w:rsidR="00D03290" w:rsidRPr="004676F5" w:rsidRDefault="00D03290" w:rsidP="00D03290">
      <w:pPr>
        <w:ind w:firstLine="708"/>
        <w:jc w:val="both"/>
        <w:rPr>
          <w:lang w:val="de-DE"/>
        </w:rPr>
      </w:pPr>
    </w:p>
    <w:p w14:paraId="3A7C82A7" w14:textId="77777777" w:rsidR="00D03290" w:rsidRPr="004676F5" w:rsidRDefault="00D03290" w:rsidP="00D03290">
      <w:pPr>
        <w:ind w:firstLine="708"/>
        <w:jc w:val="both"/>
        <w:rPr>
          <w:lang w:val="de-DE"/>
        </w:rPr>
      </w:pPr>
      <w:r w:rsidRPr="004676F5">
        <w:rPr>
          <w:lang w:val="de-DE"/>
        </w:rPr>
        <w:t>1. sie schriftlich abgefasst ist,</w:t>
      </w:r>
    </w:p>
    <w:p w14:paraId="55AD030E" w14:textId="77777777" w:rsidR="00D03290" w:rsidRPr="004676F5" w:rsidRDefault="00D03290" w:rsidP="00D03290">
      <w:pPr>
        <w:jc w:val="both"/>
        <w:rPr>
          <w:lang w:val="de-DE"/>
        </w:rPr>
      </w:pPr>
    </w:p>
    <w:p w14:paraId="695B0760" w14:textId="77777777" w:rsidR="00D03290" w:rsidRPr="004676F5" w:rsidRDefault="00D03290" w:rsidP="00D03290">
      <w:pPr>
        <w:ind w:firstLine="708"/>
        <w:jc w:val="both"/>
        <w:rPr>
          <w:lang w:val="de-DE"/>
        </w:rPr>
      </w:pPr>
      <w:r w:rsidRPr="004676F5">
        <w:rPr>
          <w:lang w:val="de-DE"/>
        </w:rPr>
        <w:t>2. sie die Arten Geschäfte betrifft, mit denen der Handelsvertreter betraut war,</w:t>
      </w:r>
    </w:p>
    <w:p w14:paraId="6436DF2A" w14:textId="77777777" w:rsidR="00D03290" w:rsidRPr="004676F5" w:rsidRDefault="00D03290" w:rsidP="00D03290">
      <w:pPr>
        <w:ind w:firstLine="708"/>
        <w:jc w:val="both"/>
        <w:rPr>
          <w:lang w:val="de-DE"/>
        </w:rPr>
      </w:pPr>
    </w:p>
    <w:p w14:paraId="281C40AD" w14:textId="77777777" w:rsidR="00D03290" w:rsidRPr="004676F5" w:rsidRDefault="00D03290" w:rsidP="00D03290">
      <w:pPr>
        <w:ind w:firstLine="708"/>
        <w:jc w:val="both"/>
        <w:rPr>
          <w:lang w:val="de-DE"/>
        </w:rPr>
      </w:pPr>
      <w:r w:rsidRPr="004676F5">
        <w:rPr>
          <w:lang w:val="de-DE"/>
        </w:rPr>
        <w:t>3. sie sich nur auf das geographische Gebiet oder auf den Kundenkreis und das geographische Gebiet erstreckt, die dem Handelsvertreter zugewiesen waren,</w:t>
      </w:r>
    </w:p>
    <w:p w14:paraId="5EE9EE55" w14:textId="77777777" w:rsidR="00D03290" w:rsidRPr="004676F5" w:rsidRDefault="00D03290" w:rsidP="00D03290">
      <w:pPr>
        <w:jc w:val="both"/>
        <w:rPr>
          <w:lang w:val="de-DE"/>
        </w:rPr>
      </w:pPr>
    </w:p>
    <w:p w14:paraId="4F6929A4" w14:textId="77777777" w:rsidR="00D03290" w:rsidRPr="004676F5" w:rsidRDefault="00D03290" w:rsidP="00D03290">
      <w:pPr>
        <w:ind w:firstLine="708"/>
        <w:jc w:val="both"/>
        <w:rPr>
          <w:lang w:val="de-DE"/>
        </w:rPr>
      </w:pPr>
      <w:r w:rsidRPr="004676F5">
        <w:rPr>
          <w:lang w:val="de-DE"/>
        </w:rPr>
        <w:t>4. sie für höchstens sechs Monate ab Vertragsbeendigung getroffen wird.</w:t>
      </w:r>
    </w:p>
    <w:p w14:paraId="106F4E99" w14:textId="77777777" w:rsidR="00D03290" w:rsidRPr="004676F5" w:rsidRDefault="00D03290" w:rsidP="00D03290">
      <w:pPr>
        <w:rPr>
          <w:lang w:val="de-DE"/>
        </w:rPr>
      </w:pPr>
    </w:p>
    <w:p w14:paraId="19270B24" w14:textId="3457E792" w:rsidR="00D03290" w:rsidRPr="004676F5" w:rsidRDefault="00D03290" w:rsidP="00D03290">
      <w:pPr>
        <w:ind w:firstLine="708"/>
        <w:jc w:val="both"/>
        <w:rPr>
          <w:lang w:val="de-DE"/>
        </w:rPr>
      </w:pPr>
      <w:r w:rsidRPr="004676F5">
        <w:rPr>
          <w:lang w:val="de-DE"/>
        </w:rPr>
        <w:t>§ 2 </w:t>
      </w:r>
      <w:r w:rsidR="005B7A5C" w:rsidRPr="004676F5">
        <w:rPr>
          <w:lang w:val="de-DE"/>
        </w:rPr>
        <w:t>- </w:t>
      </w:r>
      <w:r w:rsidRPr="004676F5">
        <w:rPr>
          <w:lang w:val="de-DE"/>
        </w:rPr>
        <w:t>Die Wettbewerbsabrede wird nicht wirksam, wenn der Auftraggeber den Handelsvertretervertrag kündigt, ohne sich auf einen in Artikel X.17 Absatz 1 vorgesehenen Grund zu berufen, oder wenn der Handelsvertreter den Vertretervertrag kündigt und sich dabei auf einen in Artikel X.17 Absatz 1 vorgesehenen Grund beruft.</w:t>
      </w:r>
    </w:p>
    <w:p w14:paraId="09E32977" w14:textId="77777777" w:rsidR="00D03290" w:rsidRPr="004676F5" w:rsidRDefault="00D03290" w:rsidP="00D03290">
      <w:pPr>
        <w:ind w:firstLine="708"/>
        <w:jc w:val="both"/>
        <w:rPr>
          <w:lang w:val="de-DE"/>
        </w:rPr>
      </w:pPr>
    </w:p>
    <w:p w14:paraId="6ABA7559" w14:textId="73625827" w:rsidR="00D03290" w:rsidRPr="004676F5" w:rsidRDefault="00D03290" w:rsidP="00D03290">
      <w:pPr>
        <w:ind w:firstLine="708"/>
        <w:jc w:val="both"/>
        <w:rPr>
          <w:lang w:val="de-DE"/>
        </w:rPr>
      </w:pPr>
      <w:r w:rsidRPr="004676F5">
        <w:rPr>
          <w:lang w:val="de-DE"/>
        </w:rPr>
        <w:t>§ 3 </w:t>
      </w:r>
      <w:r w:rsidR="005B7A5C" w:rsidRPr="004676F5">
        <w:rPr>
          <w:lang w:val="de-DE"/>
        </w:rPr>
        <w:t>- </w:t>
      </w:r>
      <w:r w:rsidRPr="004676F5">
        <w:rPr>
          <w:lang w:val="de-DE"/>
        </w:rPr>
        <w:t>Aufgrund der Wettbewerbsabrede wird zugunsten des Handelsvertreters davon ausgegangen, dass er Kunden geworben hat; der Auftraggeber kann den Gegenbeweis erbringen.</w:t>
      </w:r>
    </w:p>
    <w:p w14:paraId="0E34BD3D" w14:textId="77777777" w:rsidR="00D03290" w:rsidRPr="004676F5" w:rsidRDefault="00D03290" w:rsidP="00D03290">
      <w:pPr>
        <w:jc w:val="both"/>
        <w:rPr>
          <w:lang w:val="de-DE"/>
        </w:rPr>
      </w:pPr>
    </w:p>
    <w:p w14:paraId="184C81D6" w14:textId="16723270" w:rsidR="00D03290" w:rsidRPr="004676F5" w:rsidRDefault="00D03290" w:rsidP="00D03290">
      <w:pPr>
        <w:ind w:firstLine="708"/>
        <w:jc w:val="both"/>
        <w:rPr>
          <w:lang w:val="de-DE"/>
        </w:rPr>
      </w:pPr>
      <w:r w:rsidRPr="004676F5">
        <w:rPr>
          <w:lang w:val="de-DE"/>
        </w:rPr>
        <w:t>§ 4 </w:t>
      </w:r>
      <w:r w:rsidR="005B7A5C" w:rsidRPr="004676F5">
        <w:rPr>
          <w:lang w:val="de-DE"/>
        </w:rPr>
        <w:t>- </w:t>
      </w:r>
      <w:r w:rsidRPr="004676F5">
        <w:rPr>
          <w:lang w:val="de-DE"/>
        </w:rPr>
        <w:t>Die Pauschalentschädigung, die im Handelsvertretervertrag im Falle einer Verletzung der Wettbewerbsabrede vorgesehen ist, darf nicht mehr als die gemäß Artikel X.18 Absatz 4 berechnete Jahresvergütung betragen.</w:t>
      </w:r>
    </w:p>
    <w:p w14:paraId="4A1DBCD1" w14:textId="77777777" w:rsidR="00D03290" w:rsidRPr="004676F5" w:rsidRDefault="00D03290" w:rsidP="00D03290">
      <w:pPr>
        <w:ind w:firstLine="708"/>
        <w:jc w:val="both"/>
        <w:rPr>
          <w:lang w:val="de-DE"/>
        </w:rPr>
      </w:pPr>
    </w:p>
    <w:p w14:paraId="71E1821A" w14:textId="77777777" w:rsidR="00D03290" w:rsidRPr="004676F5" w:rsidRDefault="00D03290" w:rsidP="00D03290">
      <w:pPr>
        <w:ind w:firstLine="708"/>
        <w:jc w:val="both"/>
        <w:rPr>
          <w:lang w:val="de-DE"/>
        </w:rPr>
      </w:pPr>
      <w:r w:rsidRPr="004676F5">
        <w:rPr>
          <w:lang w:val="de-DE"/>
        </w:rPr>
        <w:t>Der Auftraggeber kann jedoch eine höhere Entschädigung verlangen, mit der Auflage, den Umfang seines Schadens nachzuweisen.</w:t>
      </w:r>
    </w:p>
    <w:p w14:paraId="73491A06" w14:textId="77777777" w:rsidR="00D03290" w:rsidRPr="004676F5" w:rsidRDefault="00D03290" w:rsidP="00D03290">
      <w:pPr>
        <w:ind w:firstLine="708"/>
        <w:jc w:val="both"/>
        <w:rPr>
          <w:lang w:val="de-DE"/>
        </w:rPr>
      </w:pPr>
    </w:p>
    <w:p w14:paraId="56785EAD" w14:textId="77777777" w:rsidR="009E5AB3" w:rsidRPr="004676F5" w:rsidRDefault="009E5AB3" w:rsidP="00D03290">
      <w:pPr>
        <w:ind w:firstLine="708"/>
        <w:jc w:val="both"/>
        <w:rPr>
          <w:lang w:val="de-DE"/>
        </w:rPr>
      </w:pPr>
    </w:p>
    <w:p w14:paraId="62D4EE7C" w14:textId="115A0FB8" w:rsidR="00D03290" w:rsidRPr="004676F5" w:rsidRDefault="00BE0A56" w:rsidP="00D03290">
      <w:pPr>
        <w:ind w:firstLine="708"/>
        <w:jc w:val="both"/>
        <w:rPr>
          <w:lang w:val="de-DE"/>
        </w:rPr>
      </w:pPr>
      <w:r w:rsidRPr="004676F5">
        <w:rPr>
          <w:b/>
          <w:lang w:val="de-DE"/>
        </w:rPr>
        <w:t>Art. </w:t>
      </w:r>
      <w:r w:rsidR="00D03290" w:rsidRPr="004676F5">
        <w:rPr>
          <w:b/>
          <w:lang w:val="de-DE"/>
        </w:rPr>
        <w:t>X.23</w:t>
      </w:r>
      <w:r w:rsidR="00D03290" w:rsidRPr="004676F5">
        <w:rPr>
          <w:lang w:val="de-DE"/>
        </w:rPr>
        <w:t> </w:t>
      </w:r>
      <w:r w:rsidR="005B7A5C" w:rsidRPr="004676F5">
        <w:rPr>
          <w:lang w:val="de-DE"/>
        </w:rPr>
        <w:t>- </w:t>
      </w:r>
      <w:r w:rsidR="00D03290" w:rsidRPr="004676F5">
        <w:rPr>
          <w:lang w:val="de-DE"/>
        </w:rPr>
        <w:t>Die Vereinbarung, aufgrund deren der Handelsvertreter für Verpflichtungen Dritter aus von ihm vermittelten oder abgeschlossenen Geschäften haftet, bedarf der Schriftform.</w:t>
      </w:r>
    </w:p>
    <w:p w14:paraId="1DCDEA82" w14:textId="77777777" w:rsidR="00D03290" w:rsidRPr="004676F5" w:rsidRDefault="00D03290" w:rsidP="00D03290">
      <w:pPr>
        <w:jc w:val="both"/>
        <w:rPr>
          <w:lang w:val="de-DE"/>
        </w:rPr>
      </w:pPr>
    </w:p>
    <w:p w14:paraId="7FAA406F" w14:textId="40B0B2EB" w:rsidR="00D03290" w:rsidRPr="004676F5" w:rsidRDefault="00D03290" w:rsidP="00D03290">
      <w:pPr>
        <w:ind w:firstLine="708"/>
        <w:jc w:val="both"/>
        <w:rPr>
          <w:lang w:val="de-DE"/>
        </w:rPr>
      </w:pPr>
      <w:r w:rsidRPr="004676F5">
        <w:rPr>
          <w:lang w:val="de-DE"/>
        </w:rPr>
        <w:t>Außer bei anders lautender schriftlicher Klausel haftet der Handelsvertreter aufgrund einer Delkredereklausel nur für die Zahlungsfähigkeit der Dritten unter Ausschluss jeder anderen Verletzung deren vertraglicher Verpflichtungen. Die Delkredereklausel kann kein Geschäft betreffen, in dem der Handelsvertreter nicht persönlich tätig war. Diese Klausel ist nicht mehr anwendbar, wenn der Auftraggeber ohne Einverständnis des Handelsvertreters die Liefer</w:t>
      </w:r>
      <w:r w:rsidR="005B7A5C" w:rsidRPr="004676F5">
        <w:rPr>
          <w:lang w:val="de-DE"/>
        </w:rPr>
        <w:t>- </w:t>
      </w:r>
      <w:r w:rsidRPr="004676F5">
        <w:rPr>
          <w:lang w:val="de-DE"/>
        </w:rPr>
        <w:t>oder Zahlungsbedingungen ändert.</w:t>
      </w:r>
    </w:p>
    <w:p w14:paraId="4176DFE7" w14:textId="77777777" w:rsidR="00D03290" w:rsidRPr="004676F5" w:rsidRDefault="00D03290" w:rsidP="00D03290">
      <w:pPr>
        <w:jc w:val="both"/>
        <w:rPr>
          <w:lang w:val="de-DE"/>
        </w:rPr>
      </w:pPr>
    </w:p>
    <w:p w14:paraId="08788B3F" w14:textId="77777777" w:rsidR="00D03290" w:rsidRPr="004676F5" w:rsidRDefault="00D03290" w:rsidP="00D03290">
      <w:pPr>
        <w:ind w:firstLine="708"/>
        <w:jc w:val="both"/>
        <w:rPr>
          <w:lang w:val="de-DE"/>
        </w:rPr>
      </w:pPr>
      <w:r w:rsidRPr="004676F5">
        <w:rPr>
          <w:lang w:val="de-DE"/>
        </w:rPr>
        <w:t>Der Handelsvertreter kann nicht für einen Betrag haften, der die vereinbarte Provision übersteigt, es sei denn, die Klausel betrifft ein bestimmtes Geschäft oder bezieht sich auf Geschäfte, die er selbst im Namen des Auftraggebers abschließt.</w:t>
      </w:r>
    </w:p>
    <w:p w14:paraId="138299B3" w14:textId="77777777" w:rsidR="00D03290" w:rsidRPr="004676F5" w:rsidRDefault="00D03290" w:rsidP="00D03290">
      <w:pPr>
        <w:jc w:val="both"/>
        <w:rPr>
          <w:lang w:val="de-DE"/>
        </w:rPr>
      </w:pPr>
    </w:p>
    <w:p w14:paraId="144F2925" w14:textId="77777777" w:rsidR="00D03290" w:rsidRPr="004676F5" w:rsidRDefault="00D03290" w:rsidP="00D03290">
      <w:pPr>
        <w:ind w:firstLine="708"/>
        <w:jc w:val="both"/>
        <w:rPr>
          <w:lang w:val="de-DE"/>
        </w:rPr>
      </w:pPr>
      <w:r w:rsidRPr="004676F5">
        <w:rPr>
          <w:lang w:val="de-DE"/>
        </w:rPr>
        <w:t>Im Sektor Kreditinstitute kann in Abweichung von Absatz 3 der Betrag, für den ein Handelsvertreter haftet, dessen Haupttätigkeit darin besteht, von ihm selbst garantierte Geschäfte abzuwickeln, die Provision übersteigen, darf aber nicht über dem Betrag liegen, den der Dritte dem Auftraggeber tatsächlich schuldet.</w:t>
      </w:r>
    </w:p>
    <w:p w14:paraId="3BEA1E00" w14:textId="77777777" w:rsidR="00D03290" w:rsidRPr="004676F5" w:rsidRDefault="00D03290" w:rsidP="00D03290">
      <w:pPr>
        <w:jc w:val="both"/>
        <w:rPr>
          <w:lang w:val="de-DE"/>
        </w:rPr>
      </w:pPr>
    </w:p>
    <w:p w14:paraId="1F8DAA43" w14:textId="77777777" w:rsidR="00D03290" w:rsidRPr="004676F5" w:rsidRDefault="00D03290" w:rsidP="00D03290">
      <w:pPr>
        <w:ind w:firstLine="708"/>
        <w:jc w:val="both"/>
        <w:rPr>
          <w:lang w:val="de-DE"/>
        </w:rPr>
      </w:pPr>
      <w:r w:rsidRPr="004676F5">
        <w:rPr>
          <w:lang w:val="de-DE"/>
        </w:rPr>
        <w:t>Besteht ein deutliches Missverhältnis zwischen dem Risiko, das der Handelsvertreter eingegangen ist, und der vereinbarten Provision, kann der Richter den Betrag herabsetzen, für den der Handelsvertreter haftet, soweit dieser Betrag die Provision übersteigt. Der Richter berücksichtigt alle Umstände, insbesondere die Art und Weise, wie der Handelsvertreter die Interessen des Auftraggebers wahrgenommen hat.</w:t>
      </w:r>
    </w:p>
    <w:p w14:paraId="18C99207" w14:textId="77777777" w:rsidR="00D03290" w:rsidRPr="004676F5" w:rsidRDefault="00D03290" w:rsidP="00D03290">
      <w:pPr>
        <w:ind w:firstLine="708"/>
        <w:jc w:val="both"/>
        <w:rPr>
          <w:lang w:val="de-DE"/>
        </w:rPr>
      </w:pPr>
    </w:p>
    <w:p w14:paraId="07F3C72D" w14:textId="77777777" w:rsidR="009E5AB3" w:rsidRPr="004676F5" w:rsidRDefault="009E5AB3" w:rsidP="00D03290">
      <w:pPr>
        <w:ind w:firstLine="708"/>
        <w:jc w:val="both"/>
        <w:rPr>
          <w:lang w:val="de-DE"/>
        </w:rPr>
      </w:pPr>
    </w:p>
    <w:p w14:paraId="2E2CB867" w14:textId="2A61F65A" w:rsidR="00D03290" w:rsidRPr="004676F5" w:rsidRDefault="00BE0A56" w:rsidP="00D03290">
      <w:pPr>
        <w:ind w:firstLine="708"/>
        <w:jc w:val="both"/>
        <w:rPr>
          <w:lang w:val="de-DE"/>
        </w:rPr>
      </w:pPr>
      <w:r w:rsidRPr="004676F5">
        <w:rPr>
          <w:b/>
          <w:lang w:val="de-DE"/>
        </w:rPr>
        <w:t>Art. </w:t>
      </w:r>
      <w:r w:rsidR="00D03290" w:rsidRPr="004676F5">
        <w:rPr>
          <w:b/>
          <w:lang w:val="de-DE"/>
        </w:rPr>
        <w:t>X.24</w:t>
      </w:r>
      <w:r w:rsidR="00D03290" w:rsidRPr="004676F5">
        <w:rPr>
          <w:lang w:val="de-DE"/>
        </w:rPr>
        <w:t> </w:t>
      </w:r>
      <w:r w:rsidR="005B7A5C" w:rsidRPr="004676F5">
        <w:rPr>
          <w:lang w:val="de-DE"/>
        </w:rPr>
        <w:t>- </w:t>
      </w:r>
      <w:r w:rsidR="00D03290" w:rsidRPr="004676F5">
        <w:rPr>
          <w:lang w:val="de-DE"/>
        </w:rPr>
        <w:t>Ansprüche aus dem in Artikel I.11 Nr. 1 erwähnten Vertrag verjähren in einem Jahr ab Beendigung dieses Vertrags oder in fünf Jahren ab dem Ereignis, auf das die Ansprüche zurückzuführen sind, wobei letztgenannte Frist ein Jahr ab Beendigung des Vertrags nicht überschreiten darf.</w:t>
      </w:r>
    </w:p>
    <w:p w14:paraId="04AB23F5" w14:textId="77777777" w:rsidR="00D03290" w:rsidRPr="004676F5" w:rsidRDefault="00D03290" w:rsidP="00D03290">
      <w:pPr>
        <w:jc w:val="both"/>
        <w:rPr>
          <w:lang w:val="de-DE"/>
        </w:rPr>
      </w:pPr>
    </w:p>
    <w:p w14:paraId="348F2DFE" w14:textId="77777777" w:rsidR="009E5AB3" w:rsidRPr="004676F5" w:rsidRDefault="009E5AB3" w:rsidP="00D03290">
      <w:pPr>
        <w:jc w:val="both"/>
        <w:rPr>
          <w:lang w:val="de-DE"/>
        </w:rPr>
      </w:pPr>
    </w:p>
    <w:p w14:paraId="73E447C1" w14:textId="7C69C6B1" w:rsidR="00D03290" w:rsidRPr="004676F5" w:rsidRDefault="00BE0A56" w:rsidP="00D03290">
      <w:pPr>
        <w:ind w:firstLine="708"/>
        <w:jc w:val="both"/>
        <w:rPr>
          <w:lang w:val="de-DE"/>
        </w:rPr>
      </w:pPr>
      <w:r w:rsidRPr="004676F5">
        <w:rPr>
          <w:b/>
          <w:lang w:val="de-DE"/>
        </w:rPr>
        <w:t>Art. </w:t>
      </w:r>
      <w:r w:rsidR="00D03290" w:rsidRPr="004676F5">
        <w:rPr>
          <w:b/>
          <w:lang w:val="de-DE"/>
        </w:rPr>
        <w:t>X.25</w:t>
      </w:r>
      <w:r w:rsidR="00D03290" w:rsidRPr="004676F5">
        <w:rPr>
          <w:lang w:val="de-DE"/>
        </w:rPr>
        <w:t xml:space="preserve"> </w:t>
      </w:r>
      <w:r w:rsidR="005B7A5C" w:rsidRPr="004676F5">
        <w:rPr>
          <w:lang w:val="de-DE"/>
        </w:rPr>
        <w:t>- </w:t>
      </w:r>
      <w:r w:rsidR="00D03290" w:rsidRPr="004676F5">
        <w:rPr>
          <w:lang w:val="de-DE"/>
        </w:rPr>
        <w:t>Vorbehaltlich der Anwendung internationaler Abkommen, bei denen Belgien Partei ist, und ungeachtet anders lautender Klauseln des Handelsvertretervertrags unterliegen Tätigkeiten eines Handelsvertreters mit Hauptniederlassung in Belgien dem belgischen Gesetz und fallen in die Zuständigkeit der belgischen Gerichte.</w:t>
      </w:r>
    </w:p>
    <w:p w14:paraId="17A1B931" w14:textId="77777777" w:rsidR="00D03290" w:rsidRPr="004676F5" w:rsidRDefault="00D03290" w:rsidP="00D03290">
      <w:pPr>
        <w:rPr>
          <w:lang w:val="de-DE"/>
        </w:rPr>
      </w:pPr>
    </w:p>
    <w:p w14:paraId="324A4CDE" w14:textId="77777777" w:rsidR="009E5AB3" w:rsidRPr="004676F5" w:rsidRDefault="009E5AB3" w:rsidP="00D03290">
      <w:pPr>
        <w:rPr>
          <w:lang w:val="de-DE"/>
        </w:rPr>
      </w:pPr>
    </w:p>
    <w:p w14:paraId="67739FBC" w14:textId="77777777" w:rsidR="001527B1" w:rsidRPr="004676F5" w:rsidRDefault="001527B1">
      <w:pPr>
        <w:rPr>
          <w:b/>
          <w:lang w:val="de-DE"/>
        </w:rPr>
      </w:pPr>
      <w:r w:rsidRPr="004676F5">
        <w:rPr>
          <w:b/>
          <w:lang w:val="de-DE"/>
        </w:rPr>
        <w:br w:type="page"/>
      </w:r>
    </w:p>
    <w:p w14:paraId="59C3ED40" w14:textId="5812D9BE" w:rsidR="00D03290" w:rsidRPr="004676F5" w:rsidRDefault="00D03290" w:rsidP="00D03290">
      <w:pPr>
        <w:jc w:val="center"/>
        <w:rPr>
          <w:b/>
          <w:i/>
          <w:lang w:val="de-DE"/>
        </w:rPr>
      </w:pPr>
      <w:r w:rsidRPr="004676F5">
        <w:rPr>
          <w:b/>
          <w:lang w:val="de-DE"/>
        </w:rPr>
        <w:lastRenderedPageBreak/>
        <w:t xml:space="preserve">TITEL 2 </w:t>
      </w:r>
      <w:r w:rsidR="005B7A5C" w:rsidRPr="004676F5">
        <w:rPr>
          <w:b/>
          <w:lang w:val="de-DE"/>
        </w:rPr>
        <w:t>- </w:t>
      </w:r>
      <w:r w:rsidRPr="004676F5">
        <w:rPr>
          <w:b/>
          <w:i/>
          <w:lang w:val="de-DE"/>
        </w:rPr>
        <w:t>Vorvertragliche Information im Rahmen von Vereinbarungen über Handelspartnerschaften</w:t>
      </w:r>
    </w:p>
    <w:p w14:paraId="4C71970D" w14:textId="77777777" w:rsidR="00D03290" w:rsidRPr="004676F5" w:rsidRDefault="00D03290" w:rsidP="00D03290">
      <w:pPr>
        <w:rPr>
          <w:lang w:val="de-DE"/>
        </w:rPr>
      </w:pPr>
    </w:p>
    <w:p w14:paraId="3CBCAFA8" w14:textId="77777777" w:rsidR="009E5AB3" w:rsidRPr="004676F5" w:rsidRDefault="009E5AB3" w:rsidP="00D03290">
      <w:pPr>
        <w:rPr>
          <w:lang w:val="de-DE"/>
        </w:rPr>
      </w:pPr>
    </w:p>
    <w:p w14:paraId="2DAB8305" w14:textId="14F933EE" w:rsidR="00D03290" w:rsidRPr="004676F5" w:rsidRDefault="00BE0A56" w:rsidP="00D03290">
      <w:pPr>
        <w:ind w:firstLine="708"/>
        <w:jc w:val="both"/>
        <w:rPr>
          <w:lang w:val="de-DE"/>
        </w:rPr>
      </w:pPr>
      <w:r w:rsidRPr="004676F5">
        <w:rPr>
          <w:b/>
          <w:lang w:val="de-DE"/>
        </w:rPr>
        <w:t>Art. </w:t>
      </w:r>
      <w:r w:rsidR="00D03290" w:rsidRPr="004676F5">
        <w:rPr>
          <w:b/>
          <w:lang w:val="de-DE"/>
        </w:rPr>
        <w:t>X.26</w:t>
      </w:r>
      <w:r w:rsidR="00D03290" w:rsidRPr="004676F5">
        <w:rPr>
          <w:lang w:val="de-DE"/>
        </w:rPr>
        <w:t> </w:t>
      </w:r>
      <w:r w:rsidR="005B7A5C" w:rsidRPr="004676F5">
        <w:rPr>
          <w:lang w:val="de-DE"/>
        </w:rPr>
        <w:t>- </w:t>
      </w:r>
      <w:r w:rsidR="00D03290" w:rsidRPr="004676F5">
        <w:rPr>
          <w:lang w:val="de-DE"/>
        </w:rPr>
        <w:t>Vorliegender Titel ist auf Vereinbarungen über Handelspartnerschaften anwendbar wie in Artikel I.11 Nr. 2 bestimmt, ungeachtet jeglicher anders lautenden Vertragsklauseln.</w:t>
      </w:r>
    </w:p>
    <w:p w14:paraId="27CE1921" w14:textId="77777777" w:rsidR="00D03290" w:rsidRPr="004676F5" w:rsidRDefault="00D03290" w:rsidP="00D03290">
      <w:pPr>
        <w:ind w:firstLine="708"/>
        <w:jc w:val="both"/>
        <w:rPr>
          <w:lang w:val="de-DE"/>
        </w:rPr>
      </w:pPr>
    </w:p>
    <w:p w14:paraId="28A6D750" w14:textId="77777777" w:rsidR="00D03290" w:rsidRPr="004676F5" w:rsidRDefault="00D03290" w:rsidP="00D03290">
      <w:pPr>
        <w:ind w:firstLine="708"/>
        <w:jc w:val="both"/>
        <w:rPr>
          <w:lang w:val="de-DE"/>
        </w:rPr>
      </w:pPr>
      <w:r w:rsidRPr="004676F5">
        <w:rPr>
          <w:lang w:val="de-DE"/>
        </w:rPr>
        <w:t>Vorliegender Titel ist nicht anwendbar auf:</w:t>
      </w:r>
    </w:p>
    <w:p w14:paraId="239EE71D" w14:textId="77777777" w:rsidR="00D03290" w:rsidRPr="004676F5" w:rsidRDefault="00D03290" w:rsidP="00D03290">
      <w:pPr>
        <w:jc w:val="both"/>
        <w:rPr>
          <w:lang w:val="de-DE"/>
        </w:rPr>
      </w:pPr>
    </w:p>
    <w:p w14:paraId="22150F37" w14:textId="59153FAE" w:rsidR="00D03290" w:rsidRPr="004676F5" w:rsidRDefault="005B7A5C" w:rsidP="00D03290">
      <w:pPr>
        <w:ind w:firstLine="708"/>
        <w:jc w:val="both"/>
        <w:rPr>
          <w:lang w:val="de-DE"/>
        </w:rPr>
      </w:pPr>
      <w:r w:rsidRPr="004676F5">
        <w:rPr>
          <w:lang w:val="de-DE"/>
        </w:rPr>
        <w:t>- </w:t>
      </w:r>
      <w:r w:rsidR="00D03290" w:rsidRPr="004676F5">
        <w:rPr>
          <w:lang w:val="de-DE"/>
        </w:rPr>
        <w:t>Versicherungsagenturverträge, die dem Gesetz vom 27. März 1995 über die Versicherungs</w:t>
      </w:r>
      <w:r w:rsidRPr="004676F5">
        <w:rPr>
          <w:lang w:val="de-DE"/>
        </w:rPr>
        <w:t>- </w:t>
      </w:r>
      <w:r w:rsidR="00D03290" w:rsidRPr="004676F5">
        <w:rPr>
          <w:lang w:val="de-DE"/>
        </w:rPr>
        <w:t>und Rückversicherungsvermittlung und den Vertrieb von Versicherungen unterliegen,</w:t>
      </w:r>
    </w:p>
    <w:p w14:paraId="1CF575FE" w14:textId="77777777" w:rsidR="00D03290" w:rsidRPr="004676F5" w:rsidRDefault="00D03290" w:rsidP="00D03290">
      <w:pPr>
        <w:ind w:firstLine="708"/>
        <w:jc w:val="both"/>
        <w:rPr>
          <w:lang w:val="de-DE"/>
        </w:rPr>
      </w:pPr>
    </w:p>
    <w:p w14:paraId="0FBC4FEB" w14:textId="5E59330B" w:rsidR="00D03290" w:rsidRPr="004676F5" w:rsidRDefault="005B7A5C" w:rsidP="00D03290">
      <w:pPr>
        <w:ind w:firstLine="708"/>
        <w:jc w:val="both"/>
        <w:rPr>
          <w:lang w:val="de-DE"/>
        </w:rPr>
      </w:pPr>
      <w:r w:rsidRPr="004676F5">
        <w:rPr>
          <w:lang w:val="de-DE"/>
        </w:rPr>
        <w:t>- </w:t>
      </w:r>
      <w:r w:rsidR="00D03290" w:rsidRPr="004676F5">
        <w:rPr>
          <w:lang w:val="de-DE"/>
        </w:rPr>
        <w:t>Bankagenturverträge, die dem Gesetz vom 22. März 2006 über die Vermittlung von Bank</w:t>
      </w:r>
      <w:r w:rsidRPr="004676F5">
        <w:rPr>
          <w:lang w:val="de-DE"/>
        </w:rPr>
        <w:t>- </w:t>
      </w:r>
      <w:r w:rsidR="00D03290" w:rsidRPr="004676F5">
        <w:rPr>
          <w:lang w:val="de-DE"/>
        </w:rPr>
        <w:t>und Investmentdienstleistungen und den Vertrieb von Finanzinstrumenten unterliegen.</w:t>
      </w:r>
    </w:p>
    <w:p w14:paraId="46529827" w14:textId="77777777" w:rsidR="00D03290" w:rsidRPr="004676F5" w:rsidRDefault="00D03290" w:rsidP="00D03290">
      <w:pPr>
        <w:ind w:firstLine="708"/>
        <w:jc w:val="both"/>
        <w:rPr>
          <w:lang w:val="de-DE"/>
        </w:rPr>
      </w:pPr>
    </w:p>
    <w:p w14:paraId="69A3E955" w14:textId="77777777" w:rsidR="009E5AB3" w:rsidRPr="004676F5" w:rsidRDefault="009E5AB3" w:rsidP="00D03290">
      <w:pPr>
        <w:ind w:firstLine="708"/>
        <w:jc w:val="both"/>
        <w:rPr>
          <w:lang w:val="de-DE"/>
        </w:rPr>
      </w:pPr>
    </w:p>
    <w:p w14:paraId="503B4190" w14:textId="11FB116B" w:rsidR="00D03290" w:rsidRPr="004676F5" w:rsidRDefault="00BE0A56" w:rsidP="00D03290">
      <w:pPr>
        <w:ind w:firstLine="708"/>
        <w:jc w:val="both"/>
        <w:rPr>
          <w:lang w:val="de-DE"/>
        </w:rPr>
      </w:pPr>
      <w:r w:rsidRPr="004676F5">
        <w:rPr>
          <w:b/>
          <w:lang w:val="de-DE"/>
        </w:rPr>
        <w:t>Art. </w:t>
      </w:r>
      <w:r w:rsidR="00D03290" w:rsidRPr="004676F5">
        <w:rPr>
          <w:b/>
          <w:lang w:val="de-DE"/>
        </w:rPr>
        <w:t>X.27</w:t>
      </w:r>
      <w:r w:rsidR="00D03290" w:rsidRPr="004676F5">
        <w:rPr>
          <w:lang w:val="de-DE"/>
        </w:rPr>
        <w:t xml:space="preserve"> </w:t>
      </w:r>
      <w:r w:rsidR="005B7A5C" w:rsidRPr="004676F5">
        <w:rPr>
          <w:lang w:val="de-DE"/>
        </w:rPr>
        <w:t>- </w:t>
      </w:r>
      <w:r w:rsidR="00D03290" w:rsidRPr="004676F5">
        <w:rPr>
          <w:lang w:val="de-DE"/>
        </w:rPr>
        <w:t xml:space="preserve">Vorbehaltlich der Anwendung von Artikel X.29 übermittelt die das Recht erteilende Person der anderen Person mindestens einen Monat vor Abschluss einer in Artikel I.11 Nr. 2 erwähnten Vereinbarung über eine Handelspartnerschaft den Entwurf dieser Vereinbarung und eine separate Unterlage mit den in Artikel X.28 erwähnten Angaben. </w:t>
      </w:r>
      <w:r w:rsidR="00C04D13" w:rsidRPr="004676F5">
        <w:rPr>
          <w:lang w:val="de-DE"/>
        </w:rPr>
        <w:t>[</w:t>
      </w:r>
      <w:r w:rsidR="00C04D13" w:rsidRPr="004676F5">
        <w:rPr>
          <w:rFonts w:eastAsia="Calibri"/>
          <w:szCs w:val="22"/>
          <w:lang w:val="de-DE" w:eastAsia="en-US"/>
        </w:rPr>
        <w:t>Der Vereinbarungs</w:t>
      </w:r>
      <w:r w:rsidR="00C04D13" w:rsidRPr="004676F5">
        <w:rPr>
          <w:rFonts w:eastAsia="Calibri"/>
          <w:szCs w:val="22"/>
          <w:lang w:val="de-DE" w:eastAsia="en-US"/>
        </w:rPr>
        <w:softHyphen/>
        <w:t>entwurf und die separate Unterlage werden auf einem dauerhaften Datenträger, der der das Recht erhaltenden Person zugänglich ist, zur Verfügung gestellt.</w:t>
      </w:r>
      <w:r w:rsidR="00C04D13" w:rsidRPr="004676F5">
        <w:rPr>
          <w:lang w:val="de-DE"/>
        </w:rPr>
        <w:t>]</w:t>
      </w:r>
    </w:p>
    <w:p w14:paraId="0C4F096F" w14:textId="77777777" w:rsidR="00D03290" w:rsidRPr="004676F5" w:rsidRDefault="00D03290" w:rsidP="00D03290">
      <w:pPr>
        <w:ind w:firstLine="708"/>
        <w:jc w:val="both"/>
        <w:rPr>
          <w:lang w:val="de-DE"/>
        </w:rPr>
      </w:pPr>
    </w:p>
    <w:p w14:paraId="4F298BD0" w14:textId="77777777" w:rsidR="00D03290" w:rsidRPr="004676F5" w:rsidRDefault="00D03290" w:rsidP="00D03290">
      <w:pPr>
        <w:ind w:firstLine="708"/>
        <w:jc w:val="both"/>
        <w:rPr>
          <w:lang w:val="de-DE"/>
        </w:rPr>
      </w:pPr>
      <w:r w:rsidRPr="004676F5">
        <w:rPr>
          <w:lang w:val="de-DE"/>
        </w:rPr>
        <w:t>Wenn nach Mitteilung des Vereinbarungsentwurfs und der separaten Unterlage eine in Artikel X.28 § 1 Nr. 1 aufgenommene Angabe darin geändert wird, übermittelt die das Recht erteilende Person der anderen Person mindestens einen Monat vor Abschluss der in Artikel I.11 Nr. 2 erwähnten Vereinbarung über eine Handelspartnerschaft den geänderten Vereinbarungsentwurf und eine vereinfachte separate Unterlage, außer wenn diese Änderung schriftlich von der das Recht erhaltenden Person beantragt wird. Diese separate Unterlage umfasst zumindest die relevanten Vertragsbestimmungen wie in Artikel X.28 § 1 Nr. 1 vorgesehen, die im Vergleich zur ursprünglichen Unterlage geändert worden sind.</w:t>
      </w:r>
    </w:p>
    <w:p w14:paraId="07E59603" w14:textId="77777777" w:rsidR="00D03290" w:rsidRPr="004676F5" w:rsidRDefault="00D03290" w:rsidP="00D03290">
      <w:pPr>
        <w:jc w:val="both"/>
        <w:rPr>
          <w:lang w:val="de-DE"/>
        </w:rPr>
      </w:pPr>
    </w:p>
    <w:p w14:paraId="0DB8B6B4" w14:textId="77777777" w:rsidR="00D03290" w:rsidRPr="004676F5" w:rsidRDefault="00D03290" w:rsidP="00D03290">
      <w:pPr>
        <w:ind w:firstLine="708"/>
        <w:jc w:val="both"/>
        <w:rPr>
          <w:lang w:val="de-DE"/>
        </w:rPr>
      </w:pPr>
      <w:r w:rsidRPr="004676F5">
        <w:rPr>
          <w:lang w:val="de-DE"/>
        </w:rPr>
        <w:t>Vorbehaltlich der Anwendung von Artikel X.29 und mit Ausnahme der Verpflichtungen, die im Rahmen einer Vertraulichkeitsvereinbarung eingegangen werden, dürfen vor Ablauf der in vorliegendem Artikel erwähnten einmonatigen Frist weder andere Verpflichtungen eingegangen noch Entgelte, Beträge oder Sicherheiten verlangt beziehungsweise geleistet werden.</w:t>
      </w:r>
    </w:p>
    <w:p w14:paraId="14FB8BC2" w14:textId="77777777" w:rsidR="00C04D13" w:rsidRPr="004676F5" w:rsidRDefault="00C04D13" w:rsidP="00D03290">
      <w:pPr>
        <w:ind w:firstLine="708"/>
        <w:jc w:val="both"/>
        <w:rPr>
          <w:lang w:val="de-DE"/>
        </w:rPr>
      </w:pPr>
    </w:p>
    <w:p w14:paraId="14FC854D" w14:textId="0B3DDD86" w:rsidR="00C04D13" w:rsidRPr="004676F5" w:rsidRDefault="00C04D13" w:rsidP="00C04D13">
      <w:pPr>
        <w:jc w:val="both"/>
        <w:rPr>
          <w:i/>
          <w:iCs/>
          <w:lang w:val="de-DE"/>
        </w:rPr>
      </w:pPr>
      <w:r w:rsidRPr="004676F5">
        <w:rPr>
          <w:i/>
          <w:iCs/>
          <w:lang w:val="de-DE"/>
        </w:rPr>
        <w:t>[Art. X.27 Abs. 1 abgeändert durch Art. 6 des G. vom 20. September 2018 (B.S. vom 10. Oktober 2018)]</w:t>
      </w:r>
    </w:p>
    <w:p w14:paraId="0245C10E" w14:textId="77777777" w:rsidR="00D03290" w:rsidRPr="004676F5" w:rsidRDefault="00D03290" w:rsidP="00D03290">
      <w:pPr>
        <w:jc w:val="both"/>
        <w:rPr>
          <w:lang w:val="de-DE"/>
        </w:rPr>
      </w:pPr>
    </w:p>
    <w:p w14:paraId="490BE943" w14:textId="77777777" w:rsidR="009E5AB3" w:rsidRPr="004676F5" w:rsidRDefault="009E5AB3" w:rsidP="00D03290">
      <w:pPr>
        <w:jc w:val="both"/>
        <w:rPr>
          <w:lang w:val="de-DE"/>
        </w:rPr>
      </w:pPr>
    </w:p>
    <w:p w14:paraId="69008B80" w14:textId="7843711E" w:rsidR="00D03290" w:rsidRPr="004676F5" w:rsidRDefault="00BE0A56" w:rsidP="00D03290">
      <w:pPr>
        <w:ind w:firstLine="708"/>
        <w:jc w:val="both"/>
        <w:rPr>
          <w:lang w:val="de-DE"/>
        </w:rPr>
      </w:pPr>
      <w:r w:rsidRPr="004676F5">
        <w:rPr>
          <w:b/>
          <w:lang w:val="de-DE"/>
        </w:rPr>
        <w:t>Art. </w:t>
      </w:r>
      <w:r w:rsidR="00D03290" w:rsidRPr="004676F5">
        <w:rPr>
          <w:b/>
          <w:lang w:val="de-DE"/>
        </w:rPr>
        <w:t>X.28</w:t>
      </w:r>
      <w:r w:rsidR="00D03290" w:rsidRPr="004676F5">
        <w:rPr>
          <w:lang w:val="de-DE"/>
        </w:rPr>
        <w:t xml:space="preserve"> </w:t>
      </w:r>
      <w:r w:rsidR="005B7A5C" w:rsidRPr="004676F5">
        <w:rPr>
          <w:lang w:val="de-DE"/>
        </w:rPr>
        <w:t>- </w:t>
      </w:r>
      <w:r w:rsidR="00D03290" w:rsidRPr="004676F5">
        <w:rPr>
          <w:lang w:val="de-DE"/>
        </w:rPr>
        <w:t xml:space="preserve">§ 1 </w:t>
      </w:r>
      <w:r w:rsidR="005B7A5C" w:rsidRPr="004676F5">
        <w:rPr>
          <w:lang w:val="de-DE"/>
        </w:rPr>
        <w:t>- </w:t>
      </w:r>
      <w:r w:rsidR="00D03290" w:rsidRPr="004676F5">
        <w:rPr>
          <w:lang w:val="de-DE"/>
        </w:rPr>
        <w:t>Die in Artikel X.27 erwähnte separate Unterlage umfasst zwei Teile, die folgende Angaben enthalten:</w:t>
      </w:r>
    </w:p>
    <w:p w14:paraId="54F4AE60" w14:textId="77777777" w:rsidR="00D03290" w:rsidRPr="004676F5" w:rsidRDefault="00D03290" w:rsidP="00D03290">
      <w:pPr>
        <w:ind w:firstLine="708"/>
        <w:jc w:val="both"/>
        <w:rPr>
          <w:lang w:val="de-DE"/>
        </w:rPr>
      </w:pPr>
    </w:p>
    <w:p w14:paraId="649B8639" w14:textId="77777777" w:rsidR="00A82659" w:rsidRPr="004676F5" w:rsidRDefault="00D03290" w:rsidP="00A82659">
      <w:pPr>
        <w:ind w:firstLine="708"/>
        <w:jc w:val="both"/>
        <w:rPr>
          <w:lang w:val="de-DE"/>
        </w:rPr>
      </w:pPr>
      <w:r w:rsidRPr="004676F5">
        <w:rPr>
          <w:lang w:val="de-DE"/>
        </w:rPr>
        <w:t>1. </w:t>
      </w:r>
      <w:r w:rsidR="00A82659" w:rsidRPr="004676F5">
        <w:rPr>
          <w:lang w:val="de-DE"/>
        </w:rPr>
        <w:t>[relevante Vertragsbestimmungen, sofern sie in der betreffenden Vereinbarung über eine Handelspartnerschaft vorgesehen sind:</w:t>
      </w:r>
    </w:p>
    <w:p w14:paraId="3D791F6F" w14:textId="77777777" w:rsidR="00A82659" w:rsidRPr="004676F5" w:rsidRDefault="00A82659" w:rsidP="00A82659">
      <w:pPr>
        <w:jc w:val="both"/>
        <w:rPr>
          <w:lang w:val="de-DE"/>
        </w:rPr>
      </w:pPr>
    </w:p>
    <w:p w14:paraId="6AB7C049" w14:textId="77777777" w:rsidR="00A82659" w:rsidRPr="004676F5" w:rsidRDefault="00A82659" w:rsidP="00A82659">
      <w:pPr>
        <w:jc w:val="both"/>
        <w:rPr>
          <w:lang w:val="de-DE"/>
        </w:rPr>
      </w:pPr>
      <w:r w:rsidRPr="004676F5">
        <w:rPr>
          <w:lang w:val="de-DE"/>
        </w:rPr>
        <w:tab/>
      </w:r>
      <w:r w:rsidRPr="004676F5">
        <w:rPr>
          <w:i/>
          <w:lang w:val="de-DE"/>
        </w:rPr>
        <w:t xml:space="preserve">a) </w:t>
      </w:r>
      <w:r w:rsidRPr="004676F5">
        <w:rPr>
          <w:lang w:val="de-DE"/>
        </w:rPr>
        <w:t>Vermerk, ob die Vereinbarung über eine Handelspartnerschaft in Anbetracht der Person geschlossen wird,</w:t>
      </w:r>
    </w:p>
    <w:p w14:paraId="26589DFE" w14:textId="77777777" w:rsidR="00A82659" w:rsidRPr="004676F5" w:rsidRDefault="00A82659" w:rsidP="00A82659">
      <w:pPr>
        <w:jc w:val="both"/>
        <w:rPr>
          <w:lang w:val="de-DE"/>
        </w:rPr>
      </w:pPr>
    </w:p>
    <w:p w14:paraId="30B1DB36" w14:textId="77777777" w:rsidR="00A82659" w:rsidRPr="004676F5" w:rsidRDefault="00A82659" w:rsidP="00A82659">
      <w:pPr>
        <w:jc w:val="both"/>
        <w:rPr>
          <w:lang w:val="de-DE"/>
        </w:rPr>
      </w:pPr>
      <w:r w:rsidRPr="004676F5">
        <w:rPr>
          <w:lang w:val="de-DE"/>
        </w:rPr>
        <w:tab/>
      </w:r>
      <w:r w:rsidRPr="004676F5">
        <w:rPr>
          <w:i/>
          <w:lang w:val="de-DE"/>
        </w:rPr>
        <w:t>b)</w:t>
      </w:r>
      <w:r w:rsidRPr="004676F5">
        <w:rPr>
          <w:lang w:val="de-DE"/>
        </w:rPr>
        <w:t xml:space="preserve"> Laufzeit der Vereinbarung über eine Handelspartnerschaft und Bedingungen für ihre Erneuerung und Kündigung und deren finanzielle Folgen, insbesondere in Bezug auf Aufwendungen und Investitionen,</w:t>
      </w:r>
    </w:p>
    <w:p w14:paraId="32337A77" w14:textId="77777777" w:rsidR="00A82659" w:rsidRPr="004676F5" w:rsidRDefault="00A82659" w:rsidP="00A82659">
      <w:pPr>
        <w:jc w:val="both"/>
        <w:rPr>
          <w:lang w:val="de-DE"/>
        </w:rPr>
      </w:pPr>
    </w:p>
    <w:p w14:paraId="7BEDE485" w14:textId="77777777" w:rsidR="00A82659" w:rsidRPr="004676F5" w:rsidRDefault="00A82659" w:rsidP="00A82659">
      <w:pPr>
        <w:jc w:val="both"/>
        <w:rPr>
          <w:lang w:val="de-DE"/>
        </w:rPr>
      </w:pPr>
      <w:r w:rsidRPr="004676F5">
        <w:rPr>
          <w:lang w:val="de-DE"/>
        </w:rPr>
        <w:tab/>
      </w:r>
      <w:r w:rsidRPr="004676F5">
        <w:rPr>
          <w:i/>
          <w:lang w:val="de-DE"/>
        </w:rPr>
        <w:t xml:space="preserve">c) </w:t>
      </w:r>
      <w:r w:rsidRPr="004676F5">
        <w:rPr>
          <w:lang w:val="de-DE"/>
        </w:rPr>
        <w:t>direkte Vergütung, die die das Recht erhaltende Person der das Recht erteilenden Person entrichtet, und Modus für die Berechnung der indirekten Vergütung, die die das Recht erteilende Person bezieht, und gegebenenfalls Modus für die etwaige Anpassung dieser Vergütung während der Laufzeit und bei Erneuerung der Vereinbarung,</w:t>
      </w:r>
    </w:p>
    <w:p w14:paraId="7064B27B" w14:textId="77777777" w:rsidR="00A82659" w:rsidRPr="004676F5" w:rsidRDefault="00A82659" w:rsidP="00A82659">
      <w:pPr>
        <w:jc w:val="both"/>
        <w:rPr>
          <w:lang w:val="de-DE"/>
        </w:rPr>
      </w:pPr>
    </w:p>
    <w:p w14:paraId="622015BD" w14:textId="77777777" w:rsidR="00A82659" w:rsidRPr="004676F5" w:rsidRDefault="00A82659" w:rsidP="00A82659">
      <w:pPr>
        <w:jc w:val="both"/>
        <w:rPr>
          <w:lang w:val="de-DE"/>
        </w:rPr>
      </w:pPr>
      <w:r w:rsidRPr="004676F5">
        <w:rPr>
          <w:lang w:val="de-DE"/>
        </w:rPr>
        <w:tab/>
      </w:r>
      <w:r w:rsidRPr="004676F5">
        <w:rPr>
          <w:i/>
          <w:lang w:val="de-DE"/>
        </w:rPr>
        <w:t>d)</w:t>
      </w:r>
      <w:r w:rsidRPr="004676F5">
        <w:rPr>
          <w:lang w:val="de-DE"/>
        </w:rPr>
        <w:t xml:space="preserve"> Anlaufkosten oder wiederkehrende Kosten wie Marketing-, Informatik-, Transport- und Ausbildungskosten zu Lasten der das Recht erhaltenden Person und Bedingungen, unter denen diese Kosten geändert werden können,</w:t>
      </w:r>
    </w:p>
    <w:p w14:paraId="03EED3A6" w14:textId="77777777" w:rsidR="00A82659" w:rsidRPr="004676F5" w:rsidRDefault="00A82659" w:rsidP="00A82659">
      <w:pPr>
        <w:jc w:val="both"/>
        <w:rPr>
          <w:lang w:val="de-DE"/>
        </w:rPr>
      </w:pPr>
    </w:p>
    <w:p w14:paraId="7C3A2E90" w14:textId="77777777" w:rsidR="00A82659" w:rsidRPr="004676F5" w:rsidRDefault="00A82659" w:rsidP="00A82659">
      <w:pPr>
        <w:jc w:val="both"/>
        <w:rPr>
          <w:lang w:val="de-DE"/>
        </w:rPr>
      </w:pPr>
      <w:r w:rsidRPr="004676F5">
        <w:rPr>
          <w:lang w:val="de-DE"/>
        </w:rPr>
        <w:tab/>
      </w:r>
      <w:r w:rsidRPr="004676F5">
        <w:rPr>
          <w:i/>
          <w:lang w:val="de-DE"/>
        </w:rPr>
        <w:t xml:space="preserve">e) </w:t>
      </w:r>
      <w:r w:rsidRPr="004676F5">
        <w:rPr>
          <w:lang w:val="de-DE"/>
        </w:rPr>
        <w:t>Klausel in Bezug auf die Alleinvertretung, die der das Recht erteilenden Person vorbehalten ist,</w:t>
      </w:r>
    </w:p>
    <w:p w14:paraId="5F195168" w14:textId="77777777" w:rsidR="00A82659" w:rsidRPr="004676F5" w:rsidRDefault="00A82659" w:rsidP="00A82659">
      <w:pPr>
        <w:jc w:val="both"/>
        <w:rPr>
          <w:lang w:val="de-DE"/>
        </w:rPr>
      </w:pPr>
    </w:p>
    <w:p w14:paraId="6954EFCD" w14:textId="77777777" w:rsidR="00A82659" w:rsidRPr="004676F5" w:rsidRDefault="00A82659" w:rsidP="00A82659">
      <w:pPr>
        <w:jc w:val="both"/>
        <w:rPr>
          <w:lang w:val="de-DE"/>
        </w:rPr>
      </w:pPr>
      <w:r w:rsidRPr="004676F5">
        <w:rPr>
          <w:lang w:val="de-DE"/>
        </w:rPr>
        <w:tab/>
      </w:r>
      <w:r w:rsidRPr="004676F5">
        <w:rPr>
          <w:i/>
          <w:lang w:val="de-DE"/>
        </w:rPr>
        <w:t>f)</w:t>
      </w:r>
      <w:r w:rsidRPr="004676F5">
        <w:rPr>
          <w:lang w:val="de-DE"/>
        </w:rPr>
        <w:t xml:space="preserve"> Wettbewerbsabreden, ihre Laufzeit, Bedingungen und Folgen ihrer Nichteinhaltung,</w:t>
      </w:r>
    </w:p>
    <w:p w14:paraId="7A807053" w14:textId="77777777" w:rsidR="00A82659" w:rsidRPr="004676F5" w:rsidRDefault="00A82659" w:rsidP="00A82659">
      <w:pPr>
        <w:jc w:val="both"/>
        <w:rPr>
          <w:lang w:val="de-DE"/>
        </w:rPr>
      </w:pPr>
    </w:p>
    <w:p w14:paraId="2C620CBA" w14:textId="77777777" w:rsidR="00A82659" w:rsidRPr="004676F5" w:rsidRDefault="00A82659" w:rsidP="00A82659">
      <w:pPr>
        <w:jc w:val="both"/>
        <w:rPr>
          <w:lang w:val="de-DE"/>
        </w:rPr>
      </w:pPr>
      <w:r w:rsidRPr="004676F5">
        <w:rPr>
          <w:lang w:val="de-DE"/>
        </w:rPr>
        <w:tab/>
      </w:r>
      <w:r w:rsidRPr="004676F5">
        <w:rPr>
          <w:i/>
          <w:lang w:val="de-DE"/>
        </w:rPr>
        <w:t>g)</w:t>
      </w:r>
      <w:r w:rsidRPr="004676F5">
        <w:rPr>
          <w:lang w:val="de-DE"/>
        </w:rPr>
        <w:t xml:space="preserve"> Verpflichtungen in Bezug auf die Anwendung von Höchstpreisen,</w:t>
      </w:r>
    </w:p>
    <w:p w14:paraId="488EF6B0" w14:textId="77777777" w:rsidR="00A82659" w:rsidRPr="004676F5" w:rsidRDefault="00A82659" w:rsidP="00A82659">
      <w:pPr>
        <w:jc w:val="both"/>
        <w:rPr>
          <w:lang w:val="de-DE"/>
        </w:rPr>
      </w:pPr>
    </w:p>
    <w:p w14:paraId="2F9AA3D7" w14:textId="77777777" w:rsidR="00A82659" w:rsidRPr="004676F5" w:rsidRDefault="00A82659" w:rsidP="00A82659">
      <w:pPr>
        <w:jc w:val="both"/>
        <w:rPr>
          <w:lang w:val="de-DE"/>
        </w:rPr>
      </w:pPr>
      <w:r w:rsidRPr="004676F5">
        <w:rPr>
          <w:lang w:val="de-DE"/>
        </w:rPr>
        <w:tab/>
      </w:r>
      <w:r w:rsidRPr="004676F5">
        <w:rPr>
          <w:i/>
          <w:lang w:val="de-DE"/>
        </w:rPr>
        <w:t>h)</w:t>
      </w:r>
      <w:r w:rsidRPr="004676F5">
        <w:rPr>
          <w:lang w:val="de-DE"/>
        </w:rPr>
        <w:t xml:space="preserve"> Verpflichtungen in Bezug auf Mindestumsatz und Mindestabnahme und Folgen ihrer Nichterfüllung,</w:t>
      </w:r>
    </w:p>
    <w:p w14:paraId="5A8C4A24" w14:textId="77777777" w:rsidR="00A82659" w:rsidRPr="004676F5" w:rsidRDefault="00A82659" w:rsidP="00A82659">
      <w:pPr>
        <w:jc w:val="both"/>
        <w:rPr>
          <w:lang w:val="de-DE"/>
        </w:rPr>
      </w:pPr>
    </w:p>
    <w:p w14:paraId="53053B84" w14:textId="77777777" w:rsidR="00A82659" w:rsidRPr="004676F5" w:rsidRDefault="00A82659" w:rsidP="00A82659">
      <w:pPr>
        <w:jc w:val="both"/>
        <w:rPr>
          <w:lang w:val="de-DE"/>
        </w:rPr>
      </w:pPr>
      <w:r w:rsidRPr="004676F5">
        <w:rPr>
          <w:lang w:val="de-DE"/>
        </w:rPr>
        <w:tab/>
      </w:r>
      <w:r w:rsidRPr="004676F5">
        <w:rPr>
          <w:i/>
          <w:lang w:val="de-DE"/>
        </w:rPr>
        <w:t>i)</w:t>
      </w:r>
      <w:r w:rsidRPr="004676F5">
        <w:rPr>
          <w:lang w:val="de-DE"/>
        </w:rPr>
        <w:t xml:space="preserve"> Beschränkungen der Ausübung der geistigen Eigentumsrechte,</w:t>
      </w:r>
    </w:p>
    <w:p w14:paraId="0AC91B23" w14:textId="77777777" w:rsidR="00A82659" w:rsidRPr="004676F5" w:rsidRDefault="00A82659" w:rsidP="00A82659">
      <w:pPr>
        <w:jc w:val="both"/>
        <w:rPr>
          <w:lang w:val="de-DE"/>
        </w:rPr>
      </w:pPr>
    </w:p>
    <w:p w14:paraId="6022BB92" w14:textId="77777777" w:rsidR="00A82659" w:rsidRPr="004676F5" w:rsidRDefault="00A82659" w:rsidP="00A82659">
      <w:pPr>
        <w:jc w:val="both"/>
        <w:rPr>
          <w:lang w:val="de-DE"/>
        </w:rPr>
      </w:pPr>
      <w:r w:rsidRPr="004676F5">
        <w:rPr>
          <w:lang w:val="de-DE"/>
        </w:rPr>
        <w:tab/>
      </w:r>
      <w:r w:rsidRPr="004676F5">
        <w:rPr>
          <w:i/>
          <w:lang w:val="de-DE"/>
        </w:rPr>
        <w:t>j)</w:t>
      </w:r>
      <w:r w:rsidRPr="004676F5">
        <w:rPr>
          <w:lang w:val="de-DE"/>
        </w:rPr>
        <w:t xml:space="preserve"> Beschränkungen des Zugangs zu Nutzungsrechten an Kundendaten während und nach der Vereinbarung der das Recht erhaltenden Person,</w:t>
      </w:r>
    </w:p>
    <w:p w14:paraId="2F82B02C" w14:textId="77777777" w:rsidR="00A82659" w:rsidRPr="004676F5" w:rsidRDefault="00A82659" w:rsidP="00A82659">
      <w:pPr>
        <w:jc w:val="both"/>
        <w:rPr>
          <w:lang w:val="de-DE"/>
        </w:rPr>
      </w:pPr>
    </w:p>
    <w:p w14:paraId="43AD638C" w14:textId="77777777" w:rsidR="00A82659" w:rsidRPr="004676F5" w:rsidRDefault="00A82659" w:rsidP="00A82659">
      <w:pPr>
        <w:jc w:val="both"/>
        <w:rPr>
          <w:lang w:val="de-DE"/>
        </w:rPr>
      </w:pPr>
      <w:r w:rsidRPr="004676F5">
        <w:rPr>
          <w:lang w:val="de-DE"/>
        </w:rPr>
        <w:tab/>
      </w:r>
      <w:r w:rsidRPr="004676F5">
        <w:rPr>
          <w:i/>
          <w:lang w:val="de-DE"/>
        </w:rPr>
        <w:t>k)</w:t>
      </w:r>
      <w:r w:rsidRPr="004676F5">
        <w:rPr>
          <w:lang w:val="de-DE"/>
        </w:rPr>
        <w:t xml:space="preserve"> Beschränkungen in Bezug auf Online-Verkauf und Online-Verkaufsförderung,</w:t>
      </w:r>
    </w:p>
    <w:p w14:paraId="6DD0CA59" w14:textId="77777777" w:rsidR="00A82659" w:rsidRPr="004676F5" w:rsidRDefault="00A82659" w:rsidP="00A82659">
      <w:pPr>
        <w:jc w:val="both"/>
        <w:rPr>
          <w:lang w:val="de-DE"/>
        </w:rPr>
      </w:pPr>
    </w:p>
    <w:p w14:paraId="7DEFA606" w14:textId="77777777" w:rsidR="00A82659" w:rsidRPr="004676F5" w:rsidRDefault="00A82659" w:rsidP="00A82659">
      <w:pPr>
        <w:jc w:val="both"/>
        <w:rPr>
          <w:lang w:val="de-DE"/>
        </w:rPr>
      </w:pPr>
      <w:r w:rsidRPr="004676F5">
        <w:rPr>
          <w:lang w:val="de-DE"/>
        </w:rPr>
        <w:tab/>
      </w:r>
      <w:r w:rsidRPr="004676F5">
        <w:rPr>
          <w:i/>
          <w:lang w:val="de-DE"/>
        </w:rPr>
        <w:t>l)</w:t>
      </w:r>
      <w:r w:rsidRPr="004676F5">
        <w:rPr>
          <w:lang w:val="de-DE"/>
        </w:rPr>
        <w:t xml:space="preserve"> Vorkaufsrechte oder Kaufoptionen zugunsten der das Recht erteilenden Person und Regeln für die Bewertung des Unternehmens bei Ausübung dieser Rechte beziehungsweise Optionen,</w:t>
      </w:r>
    </w:p>
    <w:p w14:paraId="6DC13162" w14:textId="77777777" w:rsidR="00A82659" w:rsidRPr="004676F5" w:rsidRDefault="00A82659" w:rsidP="00A82659">
      <w:pPr>
        <w:jc w:val="both"/>
        <w:rPr>
          <w:lang w:val="de-DE"/>
        </w:rPr>
      </w:pPr>
    </w:p>
    <w:p w14:paraId="27906A86" w14:textId="77777777" w:rsidR="00A82659" w:rsidRPr="004676F5" w:rsidRDefault="00A82659" w:rsidP="00A82659">
      <w:pPr>
        <w:jc w:val="both"/>
        <w:rPr>
          <w:lang w:val="de-DE"/>
        </w:rPr>
      </w:pPr>
      <w:r w:rsidRPr="004676F5">
        <w:rPr>
          <w:lang w:val="de-DE"/>
        </w:rPr>
        <w:tab/>
      </w:r>
      <w:r w:rsidRPr="004676F5">
        <w:rPr>
          <w:i/>
          <w:lang w:val="de-DE"/>
        </w:rPr>
        <w:t>m)</w:t>
      </w:r>
      <w:r w:rsidRPr="004676F5">
        <w:rPr>
          <w:lang w:val="de-DE"/>
        </w:rPr>
        <w:t xml:space="preserve"> Klauseln in Bezug auf die Beziehung und Abhängigkeit zwischen der Vereinbarung über eine Handelspartnerschaft und dem Mietvertrag oder einem anderen Vertrag über den Betriebssitz,</w:t>
      </w:r>
    </w:p>
    <w:p w14:paraId="6A535C23" w14:textId="77777777" w:rsidR="00A82659" w:rsidRPr="004676F5" w:rsidRDefault="00A82659" w:rsidP="00A82659">
      <w:pPr>
        <w:jc w:val="both"/>
        <w:rPr>
          <w:lang w:val="de-DE"/>
        </w:rPr>
      </w:pPr>
    </w:p>
    <w:p w14:paraId="1B02932B" w14:textId="77777777" w:rsidR="00A82659" w:rsidRPr="004676F5" w:rsidRDefault="00A82659" w:rsidP="00A82659">
      <w:pPr>
        <w:jc w:val="both"/>
        <w:rPr>
          <w:lang w:val="de-DE"/>
        </w:rPr>
      </w:pPr>
      <w:r w:rsidRPr="004676F5">
        <w:rPr>
          <w:lang w:val="de-DE"/>
        </w:rPr>
        <w:tab/>
      </w:r>
      <w:r w:rsidRPr="004676F5">
        <w:rPr>
          <w:i/>
          <w:lang w:val="de-DE"/>
        </w:rPr>
        <w:t>n)</w:t>
      </w:r>
      <w:r w:rsidRPr="004676F5">
        <w:rPr>
          <w:lang w:val="de-DE"/>
        </w:rPr>
        <w:t xml:space="preserve"> Gründe für die ausdrückliche Auflösung der Vereinbarung und finanzielle Folgen, insbesondere in Bezug auf Aufwendungen und Investitionen,</w:t>
      </w:r>
    </w:p>
    <w:p w14:paraId="4CD4940A" w14:textId="77777777" w:rsidR="00A82659" w:rsidRPr="004676F5" w:rsidRDefault="00A82659" w:rsidP="00A82659">
      <w:pPr>
        <w:jc w:val="both"/>
        <w:rPr>
          <w:lang w:val="de-DE"/>
        </w:rPr>
      </w:pPr>
    </w:p>
    <w:p w14:paraId="7B57C18C" w14:textId="334F6974" w:rsidR="00D03290" w:rsidRPr="004676F5" w:rsidRDefault="00A82659" w:rsidP="00A82659">
      <w:pPr>
        <w:ind w:firstLine="708"/>
        <w:jc w:val="both"/>
        <w:rPr>
          <w:lang w:val="de-DE"/>
        </w:rPr>
      </w:pPr>
      <w:r w:rsidRPr="004676F5">
        <w:rPr>
          <w:i/>
          <w:lang w:val="de-DE"/>
        </w:rPr>
        <w:t>o)</w:t>
      </w:r>
      <w:r w:rsidRPr="004676F5">
        <w:rPr>
          <w:lang w:val="de-DE"/>
        </w:rPr>
        <w:t xml:space="preserve"> Gerichtsstandsklausel, Rechtswahl und Verfahrenssprache.]</w:t>
      </w:r>
    </w:p>
    <w:p w14:paraId="70A91CDB" w14:textId="77777777" w:rsidR="00D03290" w:rsidRPr="004676F5" w:rsidRDefault="00D03290" w:rsidP="00D03290">
      <w:pPr>
        <w:rPr>
          <w:lang w:val="de-DE"/>
        </w:rPr>
      </w:pPr>
    </w:p>
    <w:p w14:paraId="22C4E749" w14:textId="77777777" w:rsidR="00D03290" w:rsidRPr="004676F5" w:rsidRDefault="00D03290" w:rsidP="00D03290">
      <w:pPr>
        <w:ind w:firstLine="708"/>
        <w:jc w:val="both"/>
        <w:rPr>
          <w:lang w:val="de-DE"/>
        </w:rPr>
      </w:pPr>
      <w:r w:rsidRPr="004676F5">
        <w:rPr>
          <w:lang w:val="de-DE"/>
        </w:rPr>
        <w:t xml:space="preserve">2. Angaben im Hinblick auf eine korrekte Beurteilung der betreffenden Vereinbarung über eine Handelspartnerschaft: </w:t>
      </w:r>
    </w:p>
    <w:p w14:paraId="76E99A62" w14:textId="77777777" w:rsidR="00D03290" w:rsidRPr="004676F5" w:rsidRDefault="00D03290" w:rsidP="00D03290">
      <w:pPr>
        <w:ind w:firstLine="708"/>
        <w:jc w:val="both"/>
        <w:rPr>
          <w:lang w:val="de-DE"/>
        </w:rPr>
      </w:pPr>
    </w:p>
    <w:p w14:paraId="7AD48AA6" w14:textId="77777777" w:rsidR="00D03290" w:rsidRPr="004676F5" w:rsidRDefault="00D03290" w:rsidP="00D03290">
      <w:pPr>
        <w:ind w:firstLine="708"/>
        <w:jc w:val="both"/>
        <w:rPr>
          <w:lang w:val="de-DE"/>
        </w:rPr>
      </w:pPr>
      <w:r w:rsidRPr="004676F5">
        <w:rPr>
          <w:i/>
          <w:lang w:val="de-DE"/>
        </w:rPr>
        <w:t>a)</w:t>
      </w:r>
      <w:r w:rsidRPr="004676F5">
        <w:rPr>
          <w:lang w:val="de-DE"/>
        </w:rPr>
        <w:t> Name oder Bezeichnung und Kontaktdaten der das Recht erteilenden Person,</w:t>
      </w:r>
    </w:p>
    <w:p w14:paraId="46D7F59F" w14:textId="77777777" w:rsidR="00D03290" w:rsidRPr="004676F5" w:rsidRDefault="00D03290" w:rsidP="00D03290">
      <w:pPr>
        <w:ind w:firstLine="708"/>
        <w:jc w:val="both"/>
        <w:rPr>
          <w:lang w:val="de-DE"/>
        </w:rPr>
      </w:pPr>
    </w:p>
    <w:p w14:paraId="65F69D37" w14:textId="77777777" w:rsidR="00D03290" w:rsidRPr="004676F5" w:rsidRDefault="00D03290" w:rsidP="00D03290">
      <w:pPr>
        <w:ind w:firstLine="708"/>
        <w:jc w:val="both"/>
        <w:rPr>
          <w:lang w:val="de-DE"/>
        </w:rPr>
      </w:pPr>
      <w:r w:rsidRPr="004676F5">
        <w:rPr>
          <w:i/>
          <w:lang w:val="de-DE"/>
        </w:rPr>
        <w:t>b)</w:t>
      </w:r>
      <w:r w:rsidRPr="004676F5">
        <w:rPr>
          <w:lang w:val="de-DE"/>
        </w:rPr>
        <w:t> bei Erteilung des Rechts durch eine juristische Person, Identität und Eigenschaft der natürlichen Person, die im Namen der betreffenden juristischen Person handelt,</w:t>
      </w:r>
    </w:p>
    <w:p w14:paraId="40FA399F" w14:textId="77777777" w:rsidR="00D03290" w:rsidRPr="004676F5" w:rsidRDefault="00D03290" w:rsidP="00D03290">
      <w:pPr>
        <w:ind w:firstLine="708"/>
        <w:jc w:val="both"/>
        <w:rPr>
          <w:lang w:val="de-DE"/>
        </w:rPr>
      </w:pPr>
    </w:p>
    <w:p w14:paraId="5A815F27" w14:textId="77777777" w:rsidR="00D03290" w:rsidRPr="004676F5" w:rsidRDefault="00D03290" w:rsidP="00D03290">
      <w:pPr>
        <w:ind w:firstLine="708"/>
        <w:jc w:val="both"/>
        <w:rPr>
          <w:lang w:val="de-DE"/>
        </w:rPr>
      </w:pPr>
      <w:r w:rsidRPr="004676F5">
        <w:rPr>
          <w:i/>
          <w:lang w:val="de-DE"/>
        </w:rPr>
        <w:lastRenderedPageBreak/>
        <w:t>c)</w:t>
      </w:r>
      <w:r w:rsidRPr="004676F5">
        <w:rPr>
          <w:lang w:val="de-DE"/>
        </w:rPr>
        <w:t> Art der Tätigkeit der das Recht erteilenden Person,</w:t>
      </w:r>
    </w:p>
    <w:p w14:paraId="302C4591" w14:textId="77777777" w:rsidR="00D03290" w:rsidRPr="004676F5" w:rsidRDefault="00D03290" w:rsidP="00D03290">
      <w:pPr>
        <w:ind w:firstLine="708"/>
        <w:jc w:val="both"/>
        <w:rPr>
          <w:lang w:val="de-DE"/>
        </w:rPr>
      </w:pPr>
    </w:p>
    <w:p w14:paraId="2D75A2D2" w14:textId="77777777" w:rsidR="00D03290" w:rsidRPr="004676F5" w:rsidRDefault="00D03290" w:rsidP="00D03290">
      <w:pPr>
        <w:ind w:firstLine="708"/>
        <w:jc w:val="both"/>
        <w:rPr>
          <w:lang w:val="de-DE"/>
        </w:rPr>
      </w:pPr>
      <w:r w:rsidRPr="004676F5">
        <w:rPr>
          <w:i/>
          <w:lang w:val="de-DE"/>
        </w:rPr>
        <w:t>d)</w:t>
      </w:r>
      <w:r w:rsidRPr="004676F5">
        <w:rPr>
          <w:lang w:val="de-DE"/>
        </w:rPr>
        <w:t> geistige Eigentumsrechte, deren Ausübung zugestanden wird,</w:t>
      </w:r>
    </w:p>
    <w:p w14:paraId="14F40F49" w14:textId="77777777" w:rsidR="00D03290" w:rsidRPr="004676F5" w:rsidRDefault="00D03290" w:rsidP="00D03290">
      <w:pPr>
        <w:ind w:firstLine="708"/>
        <w:jc w:val="both"/>
        <w:rPr>
          <w:lang w:val="de-DE"/>
        </w:rPr>
      </w:pPr>
    </w:p>
    <w:p w14:paraId="71FB1173" w14:textId="77777777" w:rsidR="00D03290" w:rsidRPr="004676F5" w:rsidRDefault="00D03290" w:rsidP="00D03290">
      <w:pPr>
        <w:ind w:firstLine="708"/>
        <w:jc w:val="both"/>
        <w:rPr>
          <w:lang w:val="de-DE"/>
        </w:rPr>
      </w:pPr>
      <w:r w:rsidRPr="004676F5">
        <w:rPr>
          <w:i/>
          <w:lang w:val="de-DE"/>
        </w:rPr>
        <w:t>e)</w:t>
      </w:r>
      <w:r w:rsidRPr="004676F5">
        <w:rPr>
          <w:lang w:val="de-DE"/>
        </w:rPr>
        <w:t> gegebenenfalls die Jahresabschlüsse der letzten drei Geschäftsjahre der das Recht erteilenden Person,</w:t>
      </w:r>
    </w:p>
    <w:p w14:paraId="47D94FE1" w14:textId="77777777" w:rsidR="00D03290" w:rsidRPr="004676F5" w:rsidRDefault="00D03290" w:rsidP="00D03290">
      <w:pPr>
        <w:ind w:firstLine="708"/>
        <w:jc w:val="both"/>
        <w:rPr>
          <w:lang w:val="de-DE"/>
        </w:rPr>
      </w:pPr>
    </w:p>
    <w:p w14:paraId="76DA422D" w14:textId="77777777" w:rsidR="00D03290" w:rsidRPr="004676F5" w:rsidRDefault="00D03290" w:rsidP="00D03290">
      <w:pPr>
        <w:ind w:firstLine="708"/>
        <w:jc w:val="both"/>
        <w:rPr>
          <w:lang w:val="de-DE"/>
        </w:rPr>
      </w:pPr>
      <w:r w:rsidRPr="004676F5">
        <w:rPr>
          <w:i/>
          <w:lang w:val="de-DE"/>
        </w:rPr>
        <w:t>f)</w:t>
      </w:r>
      <w:r w:rsidRPr="004676F5">
        <w:rPr>
          <w:lang w:val="de-DE"/>
        </w:rPr>
        <w:t xml:space="preserve"> Erfahrungen mit Handelspartnerschaften und der Umsetzung des Geschäftsmodells außerhalb von Vereinbarungen über Handelspartnerschaften,</w:t>
      </w:r>
    </w:p>
    <w:p w14:paraId="2E29B794" w14:textId="77777777" w:rsidR="00D03290" w:rsidRPr="004676F5" w:rsidRDefault="00D03290" w:rsidP="00D03290">
      <w:pPr>
        <w:jc w:val="both"/>
        <w:rPr>
          <w:lang w:val="de-DE"/>
        </w:rPr>
      </w:pPr>
    </w:p>
    <w:p w14:paraId="11746CBB" w14:textId="77777777" w:rsidR="00D03290" w:rsidRPr="004676F5" w:rsidRDefault="00D03290" w:rsidP="00D03290">
      <w:pPr>
        <w:ind w:firstLine="708"/>
        <w:jc w:val="both"/>
        <w:rPr>
          <w:lang w:val="de-DE"/>
        </w:rPr>
      </w:pPr>
      <w:r w:rsidRPr="004676F5">
        <w:rPr>
          <w:i/>
          <w:lang w:val="de-DE"/>
        </w:rPr>
        <w:t>g) </w:t>
      </w:r>
      <w:r w:rsidRPr="004676F5">
        <w:rPr>
          <w:lang w:val="de-DE"/>
        </w:rPr>
        <w:t>Entwicklung, gegenwärtiger Stand und Perspektiven des Marktes, in dem die Tätigkeiten ausgeübt werden, aus allgemeiner und lokaler Sicht,</w:t>
      </w:r>
    </w:p>
    <w:p w14:paraId="3A7BEBBF" w14:textId="77777777" w:rsidR="00D03290" w:rsidRPr="004676F5" w:rsidRDefault="00D03290" w:rsidP="00D03290">
      <w:pPr>
        <w:ind w:firstLine="708"/>
        <w:jc w:val="both"/>
        <w:rPr>
          <w:lang w:val="de-DE"/>
        </w:rPr>
      </w:pPr>
    </w:p>
    <w:p w14:paraId="3F0FBF80" w14:textId="77777777" w:rsidR="00D03290" w:rsidRPr="004676F5" w:rsidRDefault="00D03290" w:rsidP="00D03290">
      <w:pPr>
        <w:ind w:firstLine="708"/>
        <w:jc w:val="both"/>
        <w:rPr>
          <w:lang w:val="de-DE"/>
        </w:rPr>
      </w:pPr>
      <w:r w:rsidRPr="004676F5">
        <w:rPr>
          <w:i/>
          <w:lang w:val="de-DE"/>
        </w:rPr>
        <w:t>h) </w:t>
      </w:r>
      <w:r w:rsidRPr="004676F5">
        <w:rPr>
          <w:lang w:val="de-DE"/>
        </w:rPr>
        <w:t>Entwicklung, gegenwärtiger Stand und Perspektiven des Marktanteils des Netzwerks aus allgemeiner und lokaler Sicht,</w:t>
      </w:r>
    </w:p>
    <w:p w14:paraId="5A32656B" w14:textId="77777777" w:rsidR="00D03290" w:rsidRPr="004676F5" w:rsidRDefault="00D03290" w:rsidP="00D03290">
      <w:pPr>
        <w:ind w:firstLine="708"/>
        <w:jc w:val="both"/>
        <w:rPr>
          <w:lang w:val="de-DE"/>
        </w:rPr>
      </w:pPr>
    </w:p>
    <w:p w14:paraId="5A69A47E" w14:textId="77777777" w:rsidR="00D03290" w:rsidRPr="004676F5" w:rsidRDefault="00D03290" w:rsidP="00D03290">
      <w:pPr>
        <w:ind w:firstLine="708"/>
        <w:jc w:val="both"/>
        <w:rPr>
          <w:lang w:val="de-DE"/>
        </w:rPr>
      </w:pPr>
      <w:r w:rsidRPr="004676F5">
        <w:rPr>
          <w:i/>
          <w:lang w:val="de-DE"/>
        </w:rPr>
        <w:t>i) </w:t>
      </w:r>
      <w:r w:rsidRPr="004676F5">
        <w:rPr>
          <w:lang w:val="de-DE"/>
        </w:rPr>
        <w:t>gegebenenfalls für jedes der drei vergangenen Jahre Anzahl Betreiber, die das Netzwerk auf belgischer und internationaler Ebene umfasst, und dessen Wachstumsperspektiven,</w:t>
      </w:r>
    </w:p>
    <w:p w14:paraId="21D861D2" w14:textId="77777777" w:rsidR="00D03290" w:rsidRPr="004676F5" w:rsidRDefault="00D03290" w:rsidP="00D03290">
      <w:pPr>
        <w:jc w:val="both"/>
        <w:rPr>
          <w:lang w:val="de-DE"/>
        </w:rPr>
      </w:pPr>
    </w:p>
    <w:p w14:paraId="052D8C49" w14:textId="77777777" w:rsidR="00D03290" w:rsidRPr="004676F5" w:rsidRDefault="00D03290" w:rsidP="00D03290">
      <w:pPr>
        <w:ind w:firstLine="708"/>
        <w:jc w:val="both"/>
        <w:rPr>
          <w:lang w:val="de-DE"/>
        </w:rPr>
      </w:pPr>
      <w:r w:rsidRPr="004676F5">
        <w:rPr>
          <w:i/>
          <w:lang w:val="de-DE"/>
        </w:rPr>
        <w:t>j)</w:t>
      </w:r>
      <w:r w:rsidRPr="004676F5">
        <w:rPr>
          <w:lang w:val="de-DE"/>
        </w:rPr>
        <w:t> gegebenenfalls für jedes der drei vergangenen Jahre Anzahl abgeschlossener Vereinbarungen über Handelspartnerschaften, Anzahl Vereinbarungen über Handelspartner</w:t>
      </w:r>
      <w:r w:rsidRPr="004676F5">
        <w:rPr>
          <w:lang w:val="de-DE"/>
        </w:rPr>
        <w:softHyphen/>
        <w:t>schaften, die auf Betreiben der das Recht erteilenden Person beziehungsweise der das Recht erhaltenden Person beendet worden sind, und Anzahl Vereinbarungen über Handelspartnerschaften, die bei Ablauf nicht erneuert worden sind,</w:t>
      </w:r>
    </w:p>
    <w:p w14:paraId="3F6B7B93" w14:textId="77777777" w:rsidR="00D03290" w:rsidRPr="004676F5" w:rsidRDefault="00D03290" w:rsidP="00D03290">
      <w:pPr>
        <w:jc w:val="both"/>
        <w:rPr>
          <w:lang w:val="de-DE"/>
        </w:rPr>
      </w:pPr>
    </w:p>
    <w:p w14:paraId="197092F1" w14:textId="77777777" w:rsidR="00D03290" w:rsidRPr="004676F5" w:rsidRDefault="00D03290" w:rsidP="00D03290">
      <w:pPr>
        <w:ind w:firstLine="708"/>
        <w:jc w:val="both"/>
        <w:rPr>
          <w:lang w:val="de-DE"/>
        </w:rPr>
      </w:pPr>
      <w:r w:rsidRPr="004676F5">
        <w:rPr>
          <w:i/>
          <w:lang w:val="de-DE"/>
        </w:rPr>
        <w:t>k) </w:t>
      </w:r>
      <w:r w:rsidRPr="004676F5">
        <w:rPr>
          <w:lang w:val="de-DE"/>
        </w:rPr>
        <w:t>Aufwendungen und Investitionen zu Beginn und während der Laufzeit der Vereinbarung über eine Handelspartnerschaft, zu denen sich die das Recht erhaltende Person verpflichtet, unter Angabe von Betrag, Verwendungszweck, Tilgungsfrist, Tätigungszeitpunkt und Bestimmung bei Beendigung der Vereinbarung.</w:t>
      </w:r>
    </w:p>
    <w:p w14:paraId="0EC1E78B" w14:textId="77777777" w:rsidR="00D03290" w:rsidRPr="004676F5" w:rsidRDefault="00D03290" w:rsidP="00D03290">
      <w:pPr>
        <w:ind w:firstLine="708"/>
        <w:jc w:val="both"/>
        <w:rPr>
          <w:lang w:val="de-DE"/>
        </w:rPr>
      </w:pPr>
    </w:p>
    <w:p w14:paraId="3FDC779E" w14:textId="10B4C70A" w:rsidR="00D03290" w:rsidRPr="004676F5" w:rsidRDefault="00D03290" w:rsidP="00D03290">
      <w:pPr>
        <w:ind w:firstLine="708"/>
        <w:jc w:val="both"/>
        <w:rPr>
          <w:lang w:val="de-DE"/>
        </w:rPr>
      </w:pPr>
      <w:r w:rsidRPr="004676F5">
        <w:rPr>
          <w:lang w:val="de-DE"/>
        </w:rPr>
        <w:t xml:space="preserve">§ 2 </w:t>
      </w:r>
      <w:r w:rsidR="005B7A5C" w:rsidRPr="004676F5">
        <w:rPr>
          <w:lang w:val="de-DE"/>
        </w:rPr>
        <w:t>- </w:t>
      </w:r>
      <w:r w:rsidRPr="004676F5">
        <w:rPr>
          <w:lang w:val="de-DE"/>
        </w:rPr>
        <w:t>Der König kann die Form der in § 1 erwähnten separaten Unterlage bestimmen. Ferner kann Er die Aufstellung der in § 1 Nr. 1 und 2 aufgezählten Angaben ergänzen oder präzisieren.</w:t>
      </w:r>
    </w:p>
    <w:p w14:paraId="54AC6430" w14:textId="77777777" w:rsidR="00A82659" w:rsidRPr="004676F5" w:rsidRDefault="00A82659" w:rsidP="00A82659">
      <w:pPr>
        <w:jc w:val="both"/>
        <w:rPr>
          <w:lang w:val="de-DE"/>
        </w:rPr>
      </w:pPr>
    </w:p>
    <w:p w14:paraId="4A01A384" w14:textId="795D1FC1" w:rsidR="00A82659" w:rsidRPr="004676F5" w:rsidRDefault="00A82659" w:rsidP="00A82659">
      <w:pPr>
        <w:jc w:val="both"/>
        <w:rPr>
          <w:i/>
          <w:iCs/>
          <w:lang w:val="de-DE"/>
        </w:rPr>
      </w:pPr>
      <w:r w:rsidRPr="004676F5">
        <w:rPr>
          <w:i/>
          <w:iCs/>
          <w:lang w:val="de-DE"/>
        </w:rPr>
        <w:t>[Art. X.28 § 1 einziger Absatz Nr. 1 ersetzt durch Art. 29 des G. vom 9. Februar 2024 (B.S. vom 21. März 2024)]</w:t>
      </w:r>
    </w:p>
    <w:p w14:paraId="07E5C41D" w14:textId="77777777" w:rsidR="00D03290" w:rsidRPr="004676F5" w:rsidRDefault="00D03290" w:rsidP="00D03290">
      <w:pPr>
        <w:rPr>
          <w:lang w:val="de-DE"/>
        </w:rPr>
      </w:pPr>
    </w:p>
    <w:p w14:paraId="14A14C9A" w14:textId="77777777" w:rsidR="009E5AB3" w:rsidRPr="004676F5" w:rsidRDefault="009E5AB3" w:rsidP="00D03290">
      <w:pPr>
        <w:rPr>
          <w:lang w:val="de-DE"/>
        </w:rPr>
      </w:pPr>
    </w:p>
    <w:p w14:paraId="0B046F0A" w14:textId="19112510" w:rsidR="00D03290" w:rsidRPr="004676F5" w:rsidRDefault="00BE0A56" w:rsidP="00D03290">
      <w:pPr>
        <w:ind w:firstLine="708"/>
        <w:jc w:val="both"/>
        <w:rPr>
          <w:lang w:val="de-DE"/>
        </w:rPr>
      </w:pPr>
      <w:r w:rsidRPr="004676F5">
        <w:rPr>
          <w:b/>
          <w:lang w:val="de-DE"/>
        </w:rPr>
        <w:t>Art. </w:t>
      </w:r>
      <w:r w:rsidR="00D03290" w:rsidRPr="004676F5">
        <w:rPr>
          <w:b/>
          <w:lang w:val="de-DE"/>
        </w:rPr>
        <w:t>X.29</w:t>
      </w:r>
      <w:r w:rsidR="00D03290" w:rsidRPr="004676F5">
        <w:rPr>
          <w:lang w:val="de-DE"/>
        </w:rPr>
        <w:t> </w:t>
      </w:r>
      <w:r w:rsidR="005B7A5C" w:rsidRPr="004676F5">
        <w:rPr>
          <w:lang w:val="de-DE"/>
        </w:rPr>
        <w:t>- </w:t>
      </w:r>
      <w:r w:rsidR="00D03290" w:rsidRPr="004676F5">
        <w:rPr>
          <w:lang w:val="de-DE"/>
        </w:rPr>
        <w:t>Bei Erneuerung einer auf bestimmte Zeit geschlossenen Vereinbarung über eine Handelspartnerschaft, bei Abschluss einer neuen Vereinbarung über eine Handelspartnerschaft zwischen denselben Parteien oder bei Änderung einer in der Ausführung befindlichen Vereinbarung über eine Handelspartnerschaft, die seit mindestens zwei Jahren geschlossen worden ist, übermittelt die das Recht erteilende Person der anderen Person mindestens einen Monat vor Erneuerung der Vereinbarung, Abschluss einer neuen Vereinbarung oder Änderung der laufenden Vereinbarung über eine Handelspartnerschaft wie in Artikel I.11 Nr. 2 erwähnt einen Vereinbarungsentwurf und eine vereinfachte Unterlage.</w:t>
      </w:r>
    </w:p>
    <w:p w14:paraId="442483DC" w14:textId="77777777" w:rsidR="00D03290" w:rsidRPr="004676F5" w:rsidRDefault="00D03290" w:rsidP="00D03290">
      <w:pPr>
        <w:ind w:firstLine="708"/>
        <w:jc w:val="both"/>
        <w:rPr>
          <w:lang w:val="de-DE"/>
        </w:rPr>
      </w:pPr>
    </w:p>
    <w:p w14:paraId="5C8A31B0" w14:textId="77777777" w:rsidR="00A82659" w:rsidRPr="004676F5" w:rsidRDefault="00A82659">
      <w:pPr>
        <w:rPr>
          <w:lang w:val="de-DE"/>
        </w:rPr>
      </w:pPr>
      <w:r w:rsidRPr="004676F5">
        <w:rPr>
          <w:lang w:val="de-DE"/>
        </w:rPr>
        <w:br w:type="page"/>
      </w:r>
    </w:p>
    <w:p w14:paraId="47E375B9" w14:textId="049829DA" w:rsidR="00D03290" w:rsidRPr="004676F5" w:rsidRDefault="00D03290" w:rsidP="00D03290">
      <w:pPr>
        <w:ind w:firstLine="708"/>
        <w:jc w:val="both"/>
        <w:rPr>
          <w:lang w:val="de-DE"/>
        </w:rPr>
      </w:pPr>
      <w:r w:rsidRPr="004676F5">
        <w:rPr>
          <w:lang w:val="de-DE"/>
        </w:rPr>
        <w:lastRenderedPageBreak/>
        <w:t>Diese vereinfachte Unterlage umfasst zumindest folgende Angaben:</w:t>
      </w:r>
    </w:p>
    <w:p w14:paraId="7C281C23" w14:textId="77777777" w:rsidR="00D03290" w:rsidRPr="004676F5" w:rsidRDefault="00D03290" w:rsidP="00D03290">
      <w:pPr>
        <w:ind w:firstLine="708"/>
        <w:jc w:val="both"/>
        <w:rPr>
          <w:lang w:val="de-DE"/>
        </w:rPr>
      </w:pPr>
    </w:p>
    <w:p w14:paraId="29CC5411" w14:textId="77777777" w:rsidR="00D03290" w:rsidRPr="004676F5" w:rsidRDefault="00D03290" w:rsidP="00D03290">
      <w:pPr>
        <w:ind w:firstLine="708"/>
        <w:jc w:val="both"/>
        <w:rPr>
          <w:lang w:val="de-DE"/>
        </w:rPr>
      </w:pPr>
      <w:r w:rsidRPr="004676F5">
        <w:rPr>
          <w:lang w:val="de-DE"/>
        </w:rPr>
        <w:t>1. relevante Vertragsbestimmungen wie in Artikel X.28 § 1 Nr. 1 vorgesehen, die im Vergleich zur ursprünglichen Unterlage oder mangels Unterlage im Vergleich zum Datum des Abschlusses der ursprünglichen Vereinbarung geändert worden sind,</w:t>
      </w:r>
    </w:p>
    <w:p w14:paraId="1EC1D2A4" w14:textId="77777777" w:rsidR="00D03290" w:rsidRPr="004676F5" w:rsidRDefault="00D03290" w:rsidP="00D03290">
      <w:pPr>
        <w:jc w:val="both"/>
        <w:rPr>
          <w:lang w:val="de-DE"/>
        </w:rPr>
      </w:pPr>
    </w:p>
    <w:p w14:paraId="0CBA957A" w14:textId="77777777" w:rsidR="00D03290" w:rsidRPr="004676F5" w:rsidRDefault="00D03290" w:rsidP="00D03290">
      <w:pPr>
        <w:ind w:firstLine="708"/>
        <w:jc w:val="both"/>
        <w:rPr>
          <w:lang w:val="de-DE"/>
        </w:rPr>
      </w:pPr>
      <w:r w:rsidRPr="004676F5">
        <w:rPr>
          <w:lang w:val="de-DE"/>
        </w:rPr>
        <w:t>2. Angaben im Hinblick auf eine korrekte Beurteilung der betreffenden Vereinbarung über eine Handelspartnerschaft wie in Artikel X.28 § 1 Nr. 2 vorgesehen, die im Vergleich zur ursprünglichen Unterlage oder mangels Unterlage im Vergleich zum Datum des Abschlusses der ursprünglichen Vereinbarung geändert worden sind.</w:t>
      </w:r>
    </w:p>
    <w:p w14:paraId="6D053020" w14:textId="77777777" w:rsidR="00D03290" w:rsidRPr="004676F5" w:rsidRDefault="00D03290" w:rsidP="00D03290">
      <w:pPr>
        <w:jc w:val="both"/>
        <w:rPr>
          <w:lang w:val="de-DE"/>
        </w:rPr>
      </w:pPr>
    </w:p>
    <w:p w14:paraId="7B142E69" w14:textId="77777777" w:rsidR="00D03290" w:rsidRPr="004676F5" w:rsidRDefault="00D03290" w:rsidP="00D03290">
      <w:pPr>
        <w:ind w:firstLine="708"/>
        <w:jc w:val="both"/>
        <w:rPr>
          <w:lang w:val="de-DE"/>
        </w:rPr>
      </w:pPr>
      <w:r w:rsidRPr="004676F5">
        <w:rPr>
          <w:lang w:val="de-DE"/>
        </w:rPr>
        <w:t>In Abweichung von Absatz 1 muss kein Vereinbarungsentwurf und keine vereinfachte Unterlage von der das Recht erteilenden Partei übermittelt werden, wenn auf schriftlichen Antrag der das Recht erhaltenden Partei eine in der Ausführung befindlichen Vereinbarung über eine Handelspartnerschaft, die seit mindestens zwei Jahren geschlossen worden ist, geändert wird.</w:t>
      </w:r>
    </w:p>
    <w:p w14:paraId="50457CD6" w14:textId="77777777" w:rsidR="00D03290" w:rsidRPr="004676F5" w:rsidRDefault="00D03290" w:rsidP="00D03290">
      <w:pPr>
        <w:ind w:firstLine="708"/>
        <w:jc w:val="both"/>
        <w:rPr>
          <w:lang w:val="de-DE"/>
        </w:rPr>
      </w:pPr>
    </w:p>
    <w:p w14:paraId="14D2FFFA" w14:textId="77777777" w:rsidR="00D03290" w:rsidRPr="004676F5" w:rsidRDefault="00D03290" w:rsidP="00D03290">
      <w:pPr>
        <w:ind w:firstLine="708"/>
        <w:jc w:val="both"/>
        <w:rPr>
          <w:lang w:val="de-DE"/>
        </w:rPr>
      </w:pPr>
      <w:r w:rsidRPr="004676F5">
        <w:rPr>
          <w:lang w:val="de-DE"/>
        </w:rPr>
        <w:t>Artikel X.27 Absatz 3 ist nicht auf Verpflichtungen in Bezug auf Vereinbarungen anwendbar, die zum Zeitpunkt, zu dem eine Erneuerung, eine neue Vereinbarung oder eine Änderung verhandelt werden, in der Ausführung befindlich sind.</w:t>
      </w:r>
    </w:p>
    <w:p w14:paraId="7DB2D250" w14:textId="77777777" w:rsidR="00D03290" w:rsidRPr="004676F5" w:rsidRDefault="00D03290" w:rsidP="00D03290">
      <w:pPr>
        <w:ind w:firstLine="708"/>
        <w:jc w:val="both"/>
        <w:rPr>
          <w:lang w:val="de-DE"/>
        </w:rPr>
      </w:pPr>
    </w:p>
    <w:p w14:paraId="503B459E" w14:textId="77777777" w:rsidR="00472C89" w:rsidRPr="004676F5" w:rsidRDefault="00472C89" w:rsidP="00D03290">
      <w:pPr>
        <w:ind w:firstLine="708"/>
        <w:jc w:val="both"/>
        <w:rPr>
          <w:lang w:val="de-DE"/>
        </w:rPr>
      </w:pPr>
    </w:p>
    <w:p w14:paraId="0CEA904C" w14:textId="1F2540A8" w:rsidR="00D03290" w:rsidRPr="004676F5" w:rsidRDefault="00BE0A56" w:rsidP="00D03290">
      <w:pPr>
        <w:ind w:firstLine="708"/>
        <w:jc w:val="both"/>
        <w:rPr>
          <w:lang w:val="de-DE"/>
        </w:rPr>
      </w:pPr>
      <w:r w:rsidRPr="004676F5">
        <w:rPr>
          <w:b/>
          <w:lang w:val="de-DE"/>
        </w:rPr>
        <w:t>Art. </w:t>
      </w:r>
      <w:r w:rsidR="00D03290" w:rsidRPr="004676F5">
        <w:rPr>
          <w:b/>
          <w:lang w:val="de-DE"/>
        </w:rPr>
        <w:t>X.30</w:t>
      </w:r>
      <w:r w:rsidR="00D03290" w:rsidRPr="004676F5">
        <w:rPr>
          <w:lang w:val="de-DE"/>
        </w:rPr>
        <w:t> </w:t>
      </w:r>
      <w:r w:rsidR="005B7A5C" w:rsidRPr="004676F5">
        <w:rPr>
          <w:lang w:val="de-DE"/>
        </w:rPr>
        <w:t>- </w:t>
      </w:r>
      <w:r w:rsidR="00D03290" w:rsidRPr="004676F5">
        <w:rPr>
          <w:lang w:val="de-DE"/>
        </w:rPr>
        <w:t>Bei Nichteinhaltung einer Bestimmung von Artikel X.27 und Artikel X.29 Absatz 1 kann die das Recht erhaltende Person binnen zwei Jahren ab Abschluss der betreffenden Vereinbarung über eine Handelspartnerschaft die Nichtigkeit dieser Verein</w:t>
      </w:r>
      <w:r w:rsidR="00D03290" w:rsidRPr="004676F5">
        <w:rPr>
          <w:lang w:val="de-DE"/>
        </w:rPr>
        <w:softHyphen/>
        <w:t>barung geltend machen.</w:t>
      </w:r>
    </w:p>
    <w:p w14:paraId="1DAE7B8B" w14:textId="77777777" w:rsidR="00D03290" w:rsidRPr="004676F5" w:rsidRDefault="00D03290" w:rsidP="00D03290">
      <w:pPr>
        <w:jc w:val="both"/>
        <w:rPr>
          <w:lang w:val="de-DE"/>
        </w:rPr>
      </w:pPr>
    </w:p>
    <w:p w14:paraId="49C6455C" w14:textId="77777777" w:rsidR="00D03290" w:rsidRPr="004676F5" w:rsidRDefault="00D03290" w:rsidP="00D03290">
      <w:pPr>
        <w:ind w:firstLine="708"/>
        <w:jc w:val="both"/>
        <w:rPr>
          <w:lang w:val="de-DE"/>
        </w:rPr>
      </w:pPr>
      <w:r w:rsidRPr="004676F5">
        <w:rPr>
          <w:lang w:val="de-DE"/>
        </w:rPr>
        <w:t>Enthält die betreffende separate Unterlage die in Artikel X.28 § 1 Nr. 1 und in Artikel X.29 Absatz 2 erwähnten Angaben nicht, kann die das Recht erhaltende Person die Nichtigkeit der betreffenden Bestimmungen der Vereinbarung über eine Handelspartnerschaft geltend machen.</w:t>
      </w:r>
    </w:p>
    <w:p w14:paraId="565FA74C" w14:textId="77777777" w:rsidR="00D03290" w:rsidRPr="004676F5" w:rsidRDefault="00D03290" w:rsidP="00D03290">
      <w:pPr>
        <w:ind w:firstLine="708"/>
        <w:jc w:val="both"/>
        <w:rPr>
          <w:lang w:val="de-DE"/>
        </w:rPr>
      </w:pPr>
    </w:p>
    <w:p w14:paraId="2EA1F663" w14:textId="77777777" w:rsidR="00D03290" w:rsidRPr="004676F5" w:rsidRDefault="00D03290" w:rsidP="00D03290">
      <w:pPr>
        <w:ind w:firstLine="708"/>
        <w:jc w:val="both"/>
        <w:rPr>
          <w:lang w:val="de-DE"/>
        </w:rPr>
      </w:pPr>
      <w:r w:rsidRPr="004676F5">
        <w:rPr>
          <w:lang w:val="de-DE"/>
        </w:rPr>
        <w:t>Wenn eine der in Artikel X.28 § 1 Nr. 2 und Artikel X.29 Absatz 2 Nr. 2 erwähnten Angaben der separaten Unterlage fehlt oder unvollständig oder fehlerhaft ist oder wenn eine der in Artikel X.28 § 1 Nr. 1 und Artikel X.29 Absatz 2 Nr. 1 erwähnten Angaben der separaten Unterlage unvollständig oder fehlerhaft ist, kann die das Recht erhaltende Person das allgemeine Recht hinsichtlich des Willensmangels oder der quasi-deliktischen Haftung geltend machen, dies unbeschadet der Anwendung der Bestimmungen des vorhergehenden Absatzes.</w:t>
      </w:r>
    </w:p>
    <w:p w14:paraId="1675FD66" w14:textId="77777777" w:rsidR="00D03290" w:rsidRPr="004676F5" w:rsidRDefault="00D03290" w:rsidP="00D03290">
      <w:pPr>
        <w:rPr>
          <w:lang w:val="de-DE"/>
        </w:rPr>
      </w:pPr>
    </w:p>
    <w:p w14:paraId="4786E5D4" w14:textId="77777777" w:rsidR="00D03290" w:rsidRPr="004676F5" w:rsidRDefault="00D03290" w:rsidP="00D03290">
      <w:pPr>
        <w:ind w:firstLine="708"/>
        <w:jc w:val="both"/>
        <w:rPr>
          <w:lang w:val="de-DE"/>
        </w:rPr>
      </w:pPr>
      <w:r w:rsidRPr="004676F5">
        <w:rPr>
          <w:lang w:val="de-DE"/>
        </w:rPr>
        <w:t>Die das Recht erhaltende Person kann erst nach Ablauf einer einmonatigen Frist ab Abschluss einer Vereinbarung rechtswirksam auf das Recht verzichten, die Nichtigkeit der Vereinbarung oder einer der Bestimmungen der Vereinbarung zu beantragen. In diesem Verzicht muss ausdrücklich angegeben werden, weshalb von der Nichtigkeit abgesehen wird.</w:t>
      </w:r>
    </w:p>
    <w:p w14:paraId="1D2BE390" w14:textId="77777777" w:rsidR="00D03290" w:rsidRPr="004676F5" w:rsidRDefault="00D03290" w:rsidP="00D03290">
      <w:pPr>
        <w:rPr>
          <w:lang w:val="de-DE"/>
        </w:rPr>
      </w:pPr>
    </w:p>
    <w:p w14:paraId="37C5D438" w14:textId="77777777" w:rsidR="00472C89" w:rsidRPr="004676F5" w:rsidRDefault="00472C89" w:rsidP="00D03290">
      <w:pPr>
        <w:rPr>
          <w:lang w:val="de-DE"/>
        </w:rPr>
      </w:pPr>
    </w:p>
    <w:p w14:paraId="3B6B3811" w14:textId="4BA1ECE6" w:rsidR="00D03290" w:rsidRPr="004676F5" w:rsidRDefault="00BE0A56" w:rsidP="00D03290">
      <w:pPr>
        <w:ind w:firstLine="708"/>
        <w:jc w:val="both"/>
        <w:rPr>
          <w:lang w:val="de-DE"/>
        </w:rPr>
      </w:pPr>
      <w:r w:rsidRPr="004676F5">
        <w:rPr>
          <w:b/>
          <w:lang w:val="de-DE"/>
        </w:rPr>
        <w:t>Art. </w:t>
      </w:r>
      <w:r w:rsidR="00D03290" w:rsidRPr="004676F5">
        <w:rPr>
          <w:b/>
          <w:lang w:val="de-DE"/>
        </w:rPr>
        <w:t>X.31</w:t>
      </w:r>
      <w:r w:rsidR="00D03290" w:rsidRPr="004676F5">
        <w:rPr>
          <w:lang w:val="de-DE"/>
        </w:rPr>
        <w:t xml:space="preserve"> </w:t>
      </w:r>
      <w:r w:rsidR="005B7A5C" w:rsidRPr="004676F5">
        <w:rPr>
          <w:lang w:val="de-DE"/>
        </w:rPr>
        <w:t>- </w:t>
      </w:r>
      <w:r w:rsidR="00D03290" w:rsidRPr="004676F5">
        <w:rPr>
          <w:lang w:val="de-DE"/>
        </w:rPr>
        <w:t>Informationen, die im Hinblick auf den Abschluss einer Vereinbarung über eine Handelspartnerschaft erteilt werden, sind von den Personen vertraulich zu behandeln und dürfen weder mittelbar noch unmittelbar außerhalb der abzuschließenden Vereinbarung über eine Handelspartnerschaft verwendet werden.</w:t>
      </w:r>
    </w:p>
    <w:p w14:paraId="1B52C835" w14:textId="77777777" w:rsidR="00D03290" w:rsidRPr="004676F5" w:rsidRDefault="00D03290" w:rsidP="00D03290">
      <w:pPr>
        <w:jc w:val="both"/>
        <w:rPr>
          <w:lang w:val="de-DE"/>
        </w:rPr>
      </w:pPr>
    </w:p>
    <w:p w14:paraId="51D75F89" w14:textId="77777777" w:rsidR="00472C89" w:rsidRPr="004676F5" w:rsidRDefault="00472C89" w:rsidP="00D03290">
      <w:pPr>
        <w:jc w:val="both"/>
        <w:rPr>
          <w:lang w:val="de-DE"/>
        </w:rPr>
      </w:pPr>
    </w:p>
    <w:p w14:paraId="4E78F325" w14:textId="02A52DE2" w:rsidR="00D03290" w:rsidRPr="004676F5" w:rsidRDefault="00BE0A56" w:rsidP="00D03290">
      <w:pPr>
        <w:ind w:firstLine="708"/>
        <w:jc w:val="both"/>
        <w:rPr>
          <w:lang w:val="de-DE"/>
        </w:rPr>
      </w:pPr>
      <w:r w:rsidRPr="004676F5">
        <w:rPr>
          <w:b/>
          <w:lang w:val="de-DE"/>
        </w:rPr>
        <w:lastRenderedPageBreak/>
        <w:t>Art. </w:t>
      </w:r>
      <w:r w:rsidR="00D03290" w:rsidRPr="004676F5">
        <w:rPr>
          <w:b/>
          <w:lang w:val="de-DE"/>
        </w:rPr>
        <w:t>X.32</w:t>
      </w:r>
      <w:r w:rsidR="00D03290" w:rsidRPr="004676F5">
        <w:rPr>
          <w:lang w:val="de-DE"/>
        </w:rPr>
        <w:t xml:space="preserve"> </w:t>
      </w:r>
      <w:r w:rsidR="005B7A5C" w:rsidRPr="004676F5">
        <w:rPr>
          <w:lang w:val="de-DE"/>
        </w:rPr>
        <w:t>- </w:t>
      </w:r>
      <w:r w:rsidR="00D03290" w:rsidRPr="004676F5">
        <w:rPr>
          <w:lang w:val="de-DE"/>
        </w:rPr>
        <w:t>Klauseln von Vereinbarungen über Handelspartnerschaften und Angaben der in Artikel X.28 erwähnten separaten Unterlage werden klar und verständlich abgefasst. Bei Zweifeln über die Bedeutung einer Klausel oder einer Angabe gilt die Auslegung, die für die das Recht erhaltende Person am günstigsten ist.</w:t>
      </w:r>
    </w:p>
    <w:p w14:paraId="1114AD42" w14:textId="77777777" w:rsidR="00D03290" w:rsidRPr="004676F5" w:rsidRDefault="00D03290" w:rsidP="00D03290">
      <w:pPr>
        <w:jc w:val="both"/>
        <w:rPr>
          <w:lang w:val="de-DE"/>
        </w:rPr>
      </w:pPr>
    </w:p>
    <w:p w14:paraId="61477625" w14:textId="77777777" w:rsidR="00472C89" w:rsidRPr="004676F5" w:rsidRDefault="00472C89" w:rsidP="00D03290">
      <w:pPr>
        <w:jc w:val="both"/>
        <w:rPr>
          <w:lang w:val="de-DE"/>
        </w:rPr>
      </w:pPr>
    </w:p>
    <w:p w14:paraId="0D8C59FD" w14:textId="7FE425C3" w:rsidR="00D03290" w:rsidRPr="004676F5" w:rsidRDefault="00BE0A56" w:rsidP="00D03290">
      <w:pPr>
        <w:ind w:firstLine="708"/>
        <w:jc w:val="both"/>
        <w:rPr>
          <w:lang w:val="de-DE"/>
        </w:rPr>
      </w:pPr>
      <w:r w:rsidRPr="004676F5">
        <w:rPr>
          <w:b/>
          <w:lang w:val="de-DE"/>
        </w:rPr>
        <w:t>Art. </w:t>
      </w:r>
      <w:r w:rsidR="00D03290" w:rsidRPr="004676F5">
        <w:rPr>
          <w:b/>
          <w:lang w:val="de-DE"/>
        </w:rPr>
        <w:t>X.33</w:t>
      </w:r>
      <w:r w:rsidR="00D03290" w:rsidRPr="004676F5">
        <w:rPr>
          <w:lang w:val="de-DE"/>
        </w:rPr>
        <w:t xml:space="preserve"> </w:t>
      </w:r>
      <w:r w:rsidR="005B7A5C" w:rsidRPr="004676F5">
        <w:rPr>
          <w:lang w:val="de-DE"/>
        </w:rPr>
        <w:t>- </w:t>
      </w:r>
      <w:r w:rsidR="00D03290" w:rsidRPr="004676F5">
        <w:rPr>
          <w:lang w:val="de-DE"/>
        </w:rPr>
        <w:t>Sofern die das Recht erhaltende Person die Tätigkeit, auf die sich die Vereinbarung bezieht, vornehmlich in Belgien ausübt, unterliegt das vorvertragliche Stadium der betreffenden Vereinbarung über eine Handelspartnerschaft dem belgischen Gesetz und fällt in den Zuständigkeitsbereich der belgischen Gerichte.</w:t>
      </w:r>
    </w:p>
    <w:p w14:paraId="5C64EBA4" w14:textId="77777777" w:rsidR="00D03290" w:rsidRPr="004676F5" w:rsidRDefault="00D03290" w:rsidP="00D03290">
      <w:pPr>
        <w:jc w:val="both"/>
        <w:rPr>
          <w:lang w:val="de-DE"/>
        </w:rPr>
      </w:pPr>
    </w:p>
    <w:p w14:paraId="26B0DD47" w14:textId="77777777" w:rsidR="00472C89" w:rsidRPr="004676F5" w:rsidRDefault="00472C89" w:rsidP="00D03290">
      <w:pPr>
        <w:jc w:val="both"/>
        <w:rPr>
          <w:lang w:val="de-DE"/>
        </w:rPr>
      </w:pPr>
    </w:p>
    <w:p w14:paraId="6A25B971" w14:textId="2FFFF455" w:rsidR="00D03290" w:rsidRPr="004676F5" w:rsidRDefault="00BE0A56" w:rsidP="00D03290">
      <w:pPr>
        <w:ind w:firstLine="708"/>
        <w:jc w:val="both"/>
        <w:rPr>
          <w:lang w:val="de-DE"/>
        </w:rPr>
      </w:pPr>
      <w:r w:rsidRPr="004676F5">
        <w:rPr>
          <w:b/>
          <w:lang w:val="de-DE"/>
        </w:rPr>
        <w:t>Art. </w:t>
      </w:r>
      <w:r w:rsidR="00D03290" w:rsidRPr="004676F5">
        <w:rPr>
          <w:b/>
          <w:lang w:val="de-DE"/>
        </w:rPr>
        <w:t>X.34</w:t>
      </w:r>
      <w:r w:rsidR="00D03290" w:rsidRPr="004676F5">
        <w:rPr>
          <w:lang w:val="de-DE"/>
        </w:rPr>
        <w:t> </w:t>
      </w:r>
      <w:r w:rsidR="005B7A5C" w:rsidRPr="004676F5">
        <w:rPr>
          <w:lang w:val="de-DE"/>
        </w:rPr>
        <w:t>- </w:t>
      </w:r>
      <w:r w:rsidR="00D03290" w:rsidRPr="004676F5">
        <w:rPr>
          <w:lang w:val="de-DE"/>
        </w:rPr>
        <w:t>Der König bildet eine Schiedskommission, in der die Organisationen zur Verteidigung der Interessen der jeweiligen Parteien ausgewogen vertreten sind.</w:t>
      </w:r>
    </w:p>
    <w:p w14:paraId="44481D49" w14:textId="77777777" w:rsidR="00D03290" w:rsidRPr="004676F5" w:rsidRDefault="00D03290" w:rsidP="00D03290">
      <w:pPr>
        <w:rPr>
          <w:lang w:val="de-DE"/>
        </w:rPr>
      </w:pPr>
    </w:p>
    <w:p w14:paraId="1D984F51" w14:textId="77777777" w:rsidR="00472C89" w:rsidRPr="004676F5" w:rsidRDefault="00472C89" w:rsidP="00D03290">
      <w:pPr>
        <w:rPr>
          <w:lang w:val="de-DE"/>
        </w:rPr>
      </w:pPr>
    </w:p>
    <w:p w14:paraId="77278913" w14:textId="77777777" w:rsidR="001527B1" w:rsidRPr="004676F5" w:rsidRDefault="001527B1">
      <w:pPr>
        <w:rPr>
          <w:b/>
          <w:lang w:val="de-DE"/>
        </w:rPr>
      </w:pPr>
      <w:r w:rsidRPr="004676F5">
        <w:rPr>
          <w:b/>
          <w:lang w:val="de-DE"/>
        </w:rPr>
        <w:br w:type="page"/>
      </w:r>
    </w:p>
    <w:p w14:paraId="42C29603" w14:textId="6F3A9FE6" w:rsidR="00D03290" w:rsidRPr="004676F5" w:rsidRDefault="00D03290" w:rsidP="00D03290">
      <w:pPr>
        <w:jc w:val="center"/>
        <w:rPr>
          <w:b/>
          <w:lang w:val="de-DE"/>
        </w:rPr>
      </w:pPr>
      <w:r w:rsidRPr="004676F5">
        <w:rPr>
          <w:b/>
          <w:lang w:val="de-DE"/>
        </w:rPr>
        <w:lastRenderedPageBreak/>
        <w:t xml:space="preserve">TITEL 3 </w:t>
      </w:r>
      <w:r w:rsidR="005B7A5C" w:rsidRPr="004676F5">
        <w:rPr>
          <w:b/>
          <w:lang w:val="de-DE"/>
        </w:rPr>
        <w:t>- </w:t>
      </w:r>
      <w:r w:rsidRPr="004676F5">
        <w:rPr>
          <w:b/>
          <w:i/>
          <w:lang w:val="de-DE"/>
        </w:rPr>
        <w:t>Einseitige Kündigung unbefristeter Alleinvertriebsverträge</w:t>
      </w:r>
    </w:p>
    <w:p w14:paraId="3E01D186" w14:textId="77777777" w:rsidR="00D03290" w:rsidRPr="004676F5" w:rsidRDefault="00D03290" w:rsidP="00D03290">
      <w:pPr>
        <w:rPr>
          <w:lang w:val="de-DE"/>
        </w:rPr>
      </w:pPr>
    </w:p>
    <w:p w14:paraId="66CFD2C0" w14:textId="77777777" w:rsidR="00472C89" w:rsidRPr="004676F5" w:rsidRDefault="00472C89" w:rsidP="00D03290">
      <w:pPr>
        <w:rPr>
          <w:lang w:val="de-DE"/>
        </w:rPr>
      </w:pPr>
    </w:p>
    <w:p w14:paraId="4DD4FE1E" w14:textId="40D2E062" w:rsidR="00D03290" w:rsidRPr="004676F5" w:rsidRDefault="00BE0A56" w:rsidP="00D03290">
      <w:pPr>
        <w:ind w:firstLine="708"/>
        <w:jc w:val="both"/>
        <w:rPr>
          <w:lang w:val="de-DE"/>
        </w:rPr>
      </w:pPr>
      <w:r w:rsidRPr="004676F5">
        <w:rPr>
          <w:b/>
          <w:lang w:val="de-DE"/>
        </w:rPr>
        <w:t>Art. </w:t>
      </w:r>
      <w:r w:rsidR="00D03290" w:rsidRPr="004676F5">
        <w:rPr>
          <w:b/>
          <w:lang w:val="de-DE"/>
        </w:rPr>
        <w:t>X.35</w:t>
      </w:r>
      <w:r w:rsidR="00D03290" w:rsidRPr="004676F5">
        <w:rPr>
          <w:lang w:val="de-DE"/>
        </w:rPr>
        <w:t> </w:t>
      </w:r>
      <w:r w:rsidR="005B7A5C" w:rsidRPr="004676F5">
        <w:rPr>
          <w:lang w:val="de-DE"/>
        </w:rPr>
        <w:t>- </w:t>
      </w:r>
      <w:r w:rsidR="00D03290" w:rsidRPr="004676F5">
        <w:rPr>
          <w:lang w:val="de-DE"/>
        </w:rPr>
        <w:t>Ungeachtet jeglicher anders lautenden Klausel unterliegen folgende Verträge den Bestimmungen des vorliegenden Titels:</w:t>
      </w:r>
    </w:p>
    <w:p w14:paraId="7F25B417" w14:textId="77777777" w:rsidR="00D03290" w:rsidRPr="004676F5" w:rsidRDefault="00D03290" w:rsidP="00D03290">
      <w:pPr>
        <w:jc w:val="both"/>
        <w:rPr>
          <w:lang w:val="de-DE"/>
        </w:rPr>
      </w:pPr>
    </w:p>
    <w:p w14:paraId="647AC579" w14:textId="77777777" w:rsidR="00D03290" w:rsidRPr="004676F5" w:rsidRDefault="00D03290" w:rsidP="00D03290">
      <w:pPr>
        <w:ind w:firstLine="708"/>
        <w:jc w:val="both"/>
        <w:rPr>
          <w:lang w:val="de-DE"/>
        </w:rPr>
      </w:pPr>
      <w:r w:rsidRPr="004676F5">
        <w:rPr>
          <w:lang w:val="de-DE"/>
        </w:rPr>
        <w:t>1. Alleinvertriebsverträge,</w:t>
      </w:r>
    </w:p>
    <w:p w14:paraId="54F69B2E" w14:textId="77777777" w:rsidR="00D03290" w:rsidRPr="004676F5" w:rsidRDefault="00D03290" w:rsidP="00D03290">
      <w:pPr>
        <w:jc w:val="both"/>
        <w:rPr>
          <w:lang w:val="de-DE"/>
        </w:rPr>
      </w:pPr>
    </w:p>
    <w:p w14:paraId="13AC26F4" w14:textId="77777777" w:rsidR="00D03290" w:rsidRPr="004676F5" w:rsidRDefault="00D03290" w:rsidP="00D03290">
      <w:pPr>
        <w:ind w:firstLine="708"/>
        <w:jc w:val="both"/>
        <w:rPr>
          <w:lang w:val="de-DE"/>
        </w:rPr>
      </w:pPr>
      <w:r w:rsidRPr="004676F5">
        <w:rPr>
          <w:lang w:val="de-DE"/>
        </w:rPr>
        <w:t>2. Vertriebsverträge, aufgrund deren der Vertragshändler im Vertragsgebiet fast die Gesamtheit der Erzeugnisse, die Gegenstand der Vereinbarung sind, vertreibt,</w:t>
      </w:r>
    </w:p>
    <w:p w14:paraId="4E5F200D" w14:textId="77777777" w:rsidR="00D03290" w:rsidRPr="004676F5" w:rsidRDefault="00D03290" w:rsidP="00D03290">
      <w:pPr>
        <w:ind w:firstLine="708"/>
        <w:jc w:val="both"/>
        <w:rPr>
          <w:lang w:val="de-DE"/>
        </w:rPr>
      </w:pPr>
    </w:p>
    <w:p w14:paraId="325D8284" w14:textId="77777777" w:rsidR="00D03290" w:rsidRPr="004676F5" w:rsidRDefault="00D03290" w:rsidP="00D03290">
      <w:pPr>
        <w:ind w:firstLine="708"/>
        <w:jc w:val="both"/>
        <w:rPr>
          <w:lang w:val="de-DE"/>
        </w:rPr>
      </w:pPr>
      <w:r w:rsidRPr="004676F5">
        <w:rPr>
          <w:lang w:val="de-DE"/>
        </w:rPr>
        <w:t>3. Vertriebsverträge, in denen der Lizenzgeber dem Vertragshändler bedeutende Verpflichtungen auferlegt, die auf strikte und besondere Weise an den Vertriebsvertrag gebunden sind und derartige Aufwendungen darstellen, dass der Vertragshändler im Falle der Kündigung des Vertriebsvertrags einen beträchtlichen Schaden erleiden würde.</w:t>
      </w:r>
    </w:p>
    <w:p w14:paraId="4864DC17" w14:textId="77777777" w:rsidR="00D03290" w:rsidRPr="004676F5" w:rsidRDefault="00D03290" w:rsidP="00D03290">
      <w:pPr>
        <w:jc w:val="both"/>
        <w:rPr>
          <w:lang w:val="de-DE"/>
        </w:rPr>
      </w:pPr>
    </w:p>
    <w:p w14:paraId="605C4BE6" w14:textId="77777777" w:rsidR="00472C89" w:rsidRPr="004676F5" w:rsidRDefault="00472C89" w:rsidP="00D03290">
      <w:pPr>
        <w:ind w:firstLine="708"/>
        <w:jc w:val="both"/>
        <w:rPr>
          <w:lang w:val="de-DE"/>
        </w:rPr>
      </w:pPr>
    </w:p>
    <w:p w14:paraId="4FD8A5D3" w14:textId="407D392E" w:rsidR="00D03290" w:rsidRPr="004676F5" w:rsidRDefault="00BE0A56" w:rsidP="00D03290">
      <w:pPr>
        <w:ind w:firstLine="708"/>
        <w:jc w:val="both"/>
        <w:rPr>
          <w:lang w:val="de-DE"/>
        </w:rPr>
      </w:pPr>
      <w:r w:rsidRPr="004676F5">
        <w:rPr>
          <w:b/>
          <w:lang w:val="de-DE"/>
        </w:rPr>
        <w:t>Art. </w:t>
      </w:r>
      <w:r w:rsidR="00D03290" w:rsidRPr="004676F5">
        <w:rPr>
          <w:b/>
          <w:lang w:val="de-DE"/>
        </w:rPr>
        <w:t>X.36</w:t>
      </w:r>
      <w:r w:rsidR="00D03290" w:rsidRPr="004676F5">
        <w:rPr>
          <w:lang w:val="de-DE"/>
        </w:rPr>
        <w:t> </w:t>
      </w:r>
      <w:r w:rsidR="005B7A5C" w:rsidRPr="004676F5">
        <w:rPr>
          <w:lang w:val="de-DE"/>
        </w:rPr>
        <w:t>- </w:t>
      </w:r>
      <w:r w:rsidR="00D03290" w:rsidRPr="004676F5">
        <w:rPr>
          <w:lang w:val="de-DE"/>
        </w:rPr>
        <w:t>Wird ein Vertriebsvertrag, der vorliegendem Titel unterliegt, auf unbestimmte Zeit geschlossen, kann er außer bei grober Pflichtverletzung einer der Parteien nur unter Einhaltung einer annehmbaren Kündigungsfrist oder gegen eine angemessene Entschädigung, die von den Parteien zum Zeitpunkt der Kündigung des Vertrags zu bestimmen sind, gekündigt werden.</w:t>
      </w:r>
    </w:p>
    <w:p w14:paraId="455E5F60" w14:textId="77777777" w:rsidR="00D03290" w:rsidRPr="004676F5" w:rsidRDefault="00D03290" w:rsidP="00D03290">
      <w:pPr>
        <w:jc w:val="both"/>
        <w:rPr>
          <w:lang w:val="de-DE"/>
        </w:rPr>
      </w:pPr>
    </w:p>
    <w:p w14:paraId="507DC9E7" w14:textId="77777777" w:rsidR="00D03290" w:rsidRPr="004676F5" w:rsidRDefault="00D03290" w:rsidP="00D03290">
      <w:pPr>
        <w:ind w:firstLine="708"/>
        <w:jc w:val="both"/>
        <w:rPr>
          <w:lang w:val="de-DE"/>
        </w:rPr>
      </w:pPr>
      <w:r w:rsidRPr="004676F5">
        <w:rPr>
          <w:lang w:val="de-DE"/>
        </w:rPr>
        <w:t>In Ermangelung einer Einigung zwischen den Parteien entscheidet der Richter nach Recht und Billigkeit und gegebenenfalls unter Berücksichtigung der Handelsbräuche.</w:t>
      </w:r>
    </w:p>
    <w:p w14:paraId="04B78F91" w14:textId="77777777" w:rsidR="00D03290" w:rsidRPr="004676F5" w:rsidRDefault="00D03290" w:rsidP="00D03290">
      <w:pPr>
        <w:rPr>
          <w:lang w:val="de-DE"/>
        </w:rPr>
      </w:pPr>
    </w:p>
    <w:p w14:paraId="110B6FB1" w14:textId="77777777" w:rsidR="00472C89" w:rsidRPr="004676F5" w:rsidRDefault="00472C89" w:rsidP="00D03290">
      <w:pPr>
        <w:rPr>
          <w:lang w:val="de-DE"/>
        </w:rPr>
      </w:pPr>
    </w:p>
    <w:p w14:paraId="7EC88DBF" w14:textId="79705658" w:rsidR="00D03290" w:rsidRPr="004676F5" w:rsidRDefault="00BE0A56" w:rsidP="00D03290">
      <w:pPr>
        <w:ind w:firstLine="708"/>
        <w:jc w:val="both"/>
        <w:rPr>
          <w:lang w:val="de-DE"/>
        </w:rPr>
      </w:pPr>
      <w:r w:rsidRPr="004676F5">
        <w:rPr>
          <w:b/>
          <w:lang w:val="de-DE"/>
        </w:rPr>
        <w:t>Art. </w:t>
      </w:r>
      <w:r w:rsidR="00D03290" w:rsidRPr="004676F5">
        <w:rPr>
          <w:b/>
          <w:lang w:val="de-DE"/>
        </w:rPr>
        <w:t>X.37</w:t>
      </w:r>
      <w:r w:rsidR="00D03290" w:rsidRPr="004676F5">
        <w:rPr>
          <w:lang w:val="de-DE"/>
        </w:rPr>
        <w:t xml:space="preserve"> </w:t>
      </w:r>
      <w:r w:rsidR="005B7A5C" w:rsidRPr="004676F5">
        <w:rPr>
          <w:lang w:val="de-DE"/>
        </w:rPr>
        <w:t>- </w:t>
      </w:r>
      <w:r w:rsidR="00D03290" w:rsidRPr="004676F5">
        <w:rPr>
          <w:lang w:val="de-DE"/>
        </w:rPr>
        <w:t xml:space="preserve">Kündigt der Lizenzgeber den in </w:t>
      </w:r>
      <w:r w:rsidR="00D2117A" w:rsidRPr="004676F5">
        <w:rPr>
          <w:lang w:val="de-DE"/>
        </w:rPr>
        <w:t>[</w:t>
      </w:r>
      <w:r w:rsidR="00D03290" w:rsidRPr="004676F5">
        <w:rPr>
          <w:lang w:val="de-DE"/>
        </w:rPr>
        <w:t>Artikel X.3</w:t>
      </w:r>
      <w:r w:rsidR="00D2117A" w:rsidRPr="004676F5">
        <w:rPr>
          <w:lang w:val="de-DE"/>
        </w:rPr>
        <w:t>6]</w:t>
      </w:r>
      <w:r w:rsidR="00D03290" w:rsidRPr="004676F5">
        <w:rPr>
          <w:lang w:val="de-DE"/>
        </w:rPr>
        <w:t xml:space="preserve"> erwähnten Vertriebsvertrag aus anderen Gründen als der groben Pflichtverletzung des Vertragshändlers oder kündigt der Vertragshändler den Vertrag aufgrund einer groben Pflichtverletzung des Lizenzgebers, kann der Vertragshändler Anspruch auf eine gerechte Zusatzentschädigung erheben.</w:t>
      </w:r>
    </w:p>
    <w:p w14:paraId="6EF2DE48" w14:textId="77777777" w:rsidR="00D03290" w:rsidRPr="004676F5" w:rsidRDefault="00D03290" w:rsidP="00D03290">
      <w:pPr>
        <w:rPr>
          <w:lang w:val="de-DE"/>
        </w:rPr>
      </w:pPr>
    </w:p>
    <w:p w14:paraId="764660C5" w14:textId="77777777" w:rsidR="00D03290" w:rsidRPr="004676F5" w:rsidRDefault="00D03290" w:rsidP="00D03290">
      <w:pPr>
        <w:ind w:firstLine="708"/>
        <w:jc w:val="both"/>
        <w:rPr>
          <w:lang w:val="de-DE"/>
        </w:rPr>
      </w:pPr>
      <w:r w:rsidRPr="004676F5">
        <w:rPr>
          <w:lang w:val="de-DE"/>
        </w:rPr>
        <w:t>Diese Entschädigung wird je nach Fall unter Berücksichtigung folgender Elemente veranschlagt:</w:t>
      </w:r>
    </w:p>
    <w:p w14:paraId="04FB6613" w14:textId="77777777" w:rsidR="00D03290" w:rsidRPr="004676F5" w:rsidRDefault="00D03290" w:rsidP="00D03290">
      <w:pPr>
        <w:jc w:val="both"/>
        <w:rPr>
          <w:lang w:val="de-DE"/>
        </w:rPr>
      </w:pPr>
    </w:p>
    <w:p w14:paraId="3B8787CC" w14:textId="77777777" w:rsidR="00D03290" w:rsidRPr="004676F5" w:rsidRDefault="00D03290" w:rsidP="00D03290">
      <w:pPr>
        <w:ind w:firstLine="708"/>
        <w:jc w:val="both"/>
        <w:rPr>
          <w:lang w:val="de-DE"/>
        </w:rPr>
      </w:pPr>
      <w:r w:rsidRPr="004676F5">
        <w:rPr>
          <w:lang w:val="de-DE"/>
        </w:rPr>
        <w:t>1. des beachtlichen Wertzuwachses durch Erweiterung des Kundenkreises, der vom Vertragshändler erzielt wurde und dem Lizenzgeber nach Kündigung des Vertrags erhalten bleibt,</w:t>
      </w:r>
    </w:p>
    <w:p w14:paraId="59716CFB" w14:textId="77777777" w:rsidR="00D03290" w:rsidRPr="004676F5" w:rsidRDefault="00D03290" w:rsidP="00D03290">
      <w:pPr>
        <w:ind w:firstLine="708"/>
        <w:jc w:val="both"/>
        <w:rPr>
          <w:lang w:val="de-DE"/>
        </w:rPr>
      </w:pPr>
    </w:p>
    <w:p w14:paraId="6F6ECB26" w14:textId="77777777" w:rsidR="00D03290" w:rsidRPr="004676F5" w:rsidRDefault="00D03290" w:rsidP="00D03290">
      <w:pPr>
        <w:ind w:firstLine="708"/>
        <w:jc w:val="both"/>
        <w:rPr>
          <w:lang w:val="de-DE"/>
        </w:rPr>
      </w:pPr>
      <w:r w:rsidRPr="004676F5">
        <w:rPr>
          <w:lang w:val="de-DE"/>
        </w:rPr>
        <w:t>2. der Aufwendungen, die der Vertragshändler zur Betreibung des Vertriebsvertrags getätigt hat und die nach Ablauf des Vertrags dem Lizenzgeber zugutekommen,</w:t>
      </w:r>
    </w:p>
    <w:p w14:paraId="08745536" w14:textId="77777777" w:rsidR="00D03290" w:rsidRPr="004676F5" w:rsidRDefault="00D03290" w:rsidP="00D03290">
      <w:pPr>
        <w:jc w:val="both"/>
        <w:rPr>
          <w:lang w:val="de-DE"/>
        </w:rPr>
      </w:pPr>
    </w:p>
    <w:p w14:paraId="71F5BB60" w14:textId="77777777" w:rsidR="00D03290" w:rsidRPr="004676F5" w:rsidRDefault="00D03290" w:rsidP="00D03290">
      <w:pPr>
        <w:ind w:firstLine="708"/>
        <w:jc w:val="both"/>
        <w:rPr>
          <w:lang w:val="de-DE"/>
        </w:rPr>
      </w:pPr>
      <w:r w:rsidRPr="004676F5">
        <w:rPr>
          <w:lang w:val="de-DE"/>
        </w:rPr>
        <w:t>3. der Abfindungen, die der Vertragshändler dem Personal, das er infolge der Kündigung des Vertriebsvertrags entlassen muss, schuldet. In Ermangelung einer Einigung zwischen den Parteien entscheidet der Richter nach Recht und Billigkeit und gegebenenfalls unter Berücksichtigung der Handelsbräuche.</w:t>
      </w:r>
    </w:p>
    <w:p w14:paraId="4A659E0B" w14:textId="77777777" w:rsidR="00D2117A" w:rsidRPr="004676F5" w:rsidRDefault="00D2117A" w:rsidP="00D03290">
      <w:pPr>
        <w:ind w:firstLine="708"/>
        <w:jc w:val="both"/>
        <w:rPr>
          <w:lang w:val="de-DE"/>
        </w:rPr>
      </w:pPr>
    </w:p>
    <w:p w14:paraId="7B224C01" w14:textId="00091971" w:rsidR="00D03290" w:rsidRPr="004676F5" w:rsidRDefault="00D2117A" w:rsidP="00D03290">
      <w:pPr>
        <w:jc w:val="both"/>
        <w:rPr>
          <w:i/>
          <w:lang w:val="de-DE"/>
        </w:rPr>
      </w:pPr>
      <w:r w:rsidRPr="004676F5">
        <w:rPr>
          <w:i/>
          <w:iCs/>
          <w:lang w:val="de-DE"/>
        </w:rPr>
        <w:t>[Art. X.37 Abs. 1 abgeändert durch Art. 14</w:t>
      </w:r>
      <w:r w:rsidRPr="004676F5">
        <w:rPr>
          <w:i/>
          <w:lang w:val="de-DE"/>
        </w:rPr>
        <w:t xml:space="preserve"> des G. vom 2. Mai 2019 (IV) (B.S. vom 22. Mai 2019)]</w:t>
      </w:r>
    </w:p>
    <w:p w14:paraId="3BFC0AB3" w14:textId="77777777" w:rsidR="00D2117A" w:rsidRPr="004676F5" w:rsidRDefault="00D2117A" w:rsidP="00D03290">
      <w:pPr>
        <w:jc w:val="both"/>
        <w:rPr>
          <w:i/>
          <w:iCs/>
          <w:lang w:val="de-DE"/>
        </w:rPr>
      </w:pPr>
    </w:p>
    <w:p w14:paraId="6DCAC58F" w14:textId="77777777" w:rsidR="00472C89" w:rsidRPr="004676F5" w:rsidRDefault="00472C89" w:rsidP="00D03290">
      <w:pPr>
        <w:jc w:val="both"/>
        <w:rPr>
          <w:lang w:val="de-DE"/>
        </w:rPr>
      </w:pPr>
    </w:p>
    <w:p w14:paraId="170A0141" w14:textId="473AB8D2" w:rsidR="00D03290" w:rsidRPr="004676F5" w:rsidRDefault="00BE0A56" w:rsidP="00D03290">
      <w:pPr>
        <w:ind w:firstLine="708"/>
        <w:jc w:val="both"/>
        <w:rPr>
          <w:lang w:val="de-DE"/>
        </w:rPr>
      </w:pPr>
      <w:r w:rsidRPr="004676F5">
        <w:rPr>
          <w:b/>
          <w:lang w:val="de-DE"/>
        </w:rPr>
        <w:lastRenderedPageBreak/>
        <w:t>Art. </w:t>
      </w:r>
      <w:r w:rsidR="00D03290" w:rsidRPr="004676F5">
        <w:rPr>
          <w:b/>
          <w:lang w:val="de-DE"/>
        </w:rPr>
        <w:t>X.38</w:t>
      </w:r>
      <w:r w:rsidR="00D03290" w:rsidRPr="004676F5">
        <w:rPr>
          <w:lang w:val="de-DE"/>
        </w:rPr>
        <w:t> </w:t>
      </w:r>
      <w:r w:rsidR="005B7A5C" w:rsidRPr="004676F5">
        <w:rPr>
          <w:lang w:val="de-DE"/>
        </w:rPr>
        <w:t>- </w:t>
      </w:r>
      <w:r w:rsidR="00D03290" w:rsidRPr="004676F5">
        <w:rPr>
          <w:lang w:val="de-DE"/>
        </w:rPr>
        <w:t>Wird ein Vertriebsvertrag, der vorliegendem Titel unterliegt, auf bestimmte Zeit abgeschlossen, so wird vorausgesetzt, dass die Parteien einer Erneuerung des Vertrags entweder für unbestimmte Zeit oder für die in einer möglichen Klausel zur stillschweigenden Verlängerung vorgesehene Dauer zugestimmt haben, es sei denn, sie hätten mindestens drei Monate und höchstens sechs Monate vor der vereinbarten Frist die Kündigung per Einschreiben notifiziert.</w:t>
      </w:r>
    </w:p>
    <w:p w14:paraId="75DEC94A" w14:textId="77777777" w:rsidR="00D03290" w:rsidRPr="004676F5" w:rsidRDefault="00D03290" w:rsidP="00D03290">
      <w:pPr>
        <w:jc w:val="both"/>
        <w:rPr>
          <w:lang w:val="de-DE"/>
        </w:rPr>
      </w:pPr>
    </w:p>
    <w:p w14:paraId="7EDD224D" w14:textId="12DD6743" w:rsidR="00D03290" w:rsidRPr="004676F5" w:rsidRDefault="00D03290" w:rsidP="00D03290">
      <w:pPr>
        <w:ind w:firstLine="708"/>
        <w:jc w:val="both"/>
        <w:rPr>
          <w:lang w:val="de-DE"/>
        </w:rPr>
      </w:pPr>
      <w:r w:rsidRPr="004676F5">
        <w:rPr>
          <w:lang w:val="de-DE"/>
        </w:rPr>
        <w:t xml:space="preserve">Wurde ein befristeter Vertriebsvertrag zweimal erneuert </w:t>
      </w:r>
      <w:r w:rsidR="005B7A5C" w:rsidRPr="004676F5">
        <w:rPr>
          <w:lang w:val="de-DE"/>
        </w:rPr>
        <w:t>- </w:t>
      </w:r>
      <w:r w:rsidRPr="004676F5">
        <w:rPr>
          <w:lang w:val="de-DE"/>
        </w:rPr>
        <w:t xml:space="preserve">ob die Klauseln des ursprünglichen Vertrags zwischen denselben Parteien geändert wurden oder nicht </w:t>
      </w:r>
      <w:r w:rsidR="005B7A5C" w:rsidRPr="004676F5">
        <w:rPr>
          <w:lang w:val="de-DE"/>
        </w:rPr>
        <w:t>- </w:t>
      </w:r>
      <w:r w:rsidRPr="004676F5">
        <w:rPr>
          <w:lang w:val="de-DE"/>
        </w:rPr>
        <w:t>oder wurde er aufgrund einer Vertragsklausel zweimal stillschweigend verlängert, wird vorausgesetzt, dass jegliche weitere Verlängerung auf unbestimmte Zeit gewährt wurde.</w:t>
      </w:r>
    </w:p>
    <w:p w14:paraId="0479DF15" w14:textId="77777777" w:rsidR="00D03290" w:rsidRPr="004676F5" w:rsidRDefault="00D03290" w:rsidP="00D03290">
      <w:pPr>
        <w:jc w:val="both"/>
        <w:rPr>
          <w:lang w:val="de-DE"/>
        </w:rPr>
      </w:pPr>
    </w:p>
    <w:p w14:paraId="526FECE3" w14:textId="77777777" w:rsidR="00472C89" w:rsidRPr="004676F5" w:rsidRDefault="00472C89" w:rsidP="00D03290">
      <w:pPr>
        <w:jc w:val="both"/>
        <w:rPr>
          <w:lang w:val="de-DE"/>
        </w:rPr>
      </w:pPr>
    </w:p>
    <w:p w14:paraId="2ADFAC83" w14:textId="715D8016" w:rsidR="00D03290" w:rsidRPr="004676F5" w:rsidRDefault="00BE0A56" w:rsidP="00D03290">
      <w:pPr>
        <w:ind w:firstLine="708"/>
        <w:jc w:val="both"/>
        <w:rPr>
          <w:lang w:val="de-DE"/>
        </w:rPr>
      </w:pPr>
      <w:r w:rsidRPr="004676F5">
        <w:rPr>
          <w:b/>
          <w:lang w:val="de-DE"/>
        </w:rPr>
        <w:t>Art. </w:t>
      </w:r>
      <w:r w:rsidR="00D03290" w:rsidRPr="004676F5">
        <w:rPr>
          <w:b/>
          <w:lang w:val="de-DE"/>
        </w:rPr>
        <w:t>X.39</w:t>
      </w:r>
      <w:r w:rsidR="00D03290" w:rsidRPr="004676F5">
        <w:rPr>
          <w:lang w:val="de-DE"/>
        </w:rPr>
        <w:t> </w:t>
      </w:r>
      <w:r w:rsidR="005B7A5C" w:rsidRPr="004676F5">
        <w:rPr>
          <w:lang w:val="de-DE"/>
        </w:rPr>
        <w:t>- </w:t>
      </w:r>
      <w:r w:rsidR="00D03290" w:rsidRPr="004676F5">
        <w:rPr>
          <w:lang w:val="de-DE"/>
        </w:rPr>
        <w:t>Bei Kündigung eines Vertriebsvertrags mit Wirkung im gesamten oder in einem Teil des belgischen Staatsgebietes kann der geschädigte Vertragshändler auf jeden Fall den Lizenzgeber in Belgien entweder vor den Richter seines eigenen Wohnsitzes oder vor den Richter des Wohnsitzes oder des Sitzes des Lizenzgebers laden. Wird die Streitsache vor ein belgisches Gericht gebracht, wendet dieses Gericht ausschließlich das belgische Gesetz an.</w:t>
      </w:r>
    </w:p>
    <w:p w14:paraId="61E9F494" w14:textId="77777777" w:rsidR="00D03290" w:rsidRPr="004676F5" w:rsidRDefault="00D03290" w:rsidP="00D03290">
      <w:pPr>
        <w:jc w:val="both"/>
        <w:rPr>
          <w:lang w:val="de-DE"/>
        </w:rPr>
      </w:pPr>
    </w:p>
    <w:p w14:paraId="6758CD8C" w14:textId="77777777" w:rsidR="00472C89" w:rsidRPr="004676F5" w:rsidRDefault="00472C89" w:rsidP="00D03290">
      <w:pPr>
        <w:jc w:val="both"/>
        <w:rPr>
          <w:lang w:val="de-DE"/>
        </w:rPr>
      </w:pPr>
    </w:p>
    <w:p w14:paraId="54D25065" w14:textId="61E731E0" w:rsidR="00D03290" w:rsidRPr="004676F5" w:rsidRDefault="00BE0A56" w:rsidP="00D03290">
      <w:pPr>
        <w:ind w:firstLine="708"/>
        <w:jc w:val="both"/>
        <w:rPr>
          <w:lang w:val="de-DE"/>
        </w:rPr>
      </w:pPr>
      <w:r w:rsidRPr="004676F5">
        <w:rPr>
          <w:b/>
          <w:lang w:val="de-DE"/>
        </w:rPr>
        <w:t>Art. </w:t>
      </w:r>
      <w:r w:rsidR="00D03290" w:rsidRPr="004676F5">
        <w:rPr>
          <w:b/>
          <w:lang w:val="de-DE"/>
        </w:rPr>
        <w:t>X.40</w:t>
      </w:r>
      <w:r w:rsidR="00D03290" w:rsidRPr="004676F5">
        <w:rPr>
          <w:lang w:val="de-DE"/>
        </w:rPr>
        <w:t xml:space="preserve"> </w:t>
      </w:r>
      <w:r w:rsidR="005B7A5C" w:rsidRPr="004676F5">
        <w:rPr>
          <w:lang w:val="de-DE"/>
        </w:rPr>
        <w:t>- </w:t>
      </w:r>
      <w:r w:rsidR="00D03290" w:rsidRPr="004676F5">
        <w:rPr>
          <w:lang w:val="de-DE"/>
        </w:rPr>
        <w:t>Die in den vorhergehenden Artikeln bestimmten Regeln gelten für Vertriebsverträge, die ein Vertragshändler mit einem oder mehreren untergeordneten Vertragshändlern abschließt.</w:t>
      </w:r>
    </w:p>
    <w:p w14:paraId="2363190C" w14:textId="77777777" w:rsidR="00D03290" w:rsidRPr="004676F5" w:rsidRDefault="00D03290" w:rsidP="00D03290">
      <w:pPr>
        <w:ind w:firstLine="708"/>
        <w:jc w:val="both"/>
        <w:rPr>
          <w:lang w:val="de-DE"/>
        </w:rPr>
      </w:pPr>
    </w:p>
    <w:p w14:paraId="2BC4997B" w14:textId="77777777" w:rsidR="00D03290" w:rsidRPr="004676F5" w:rsidRDefault="00D03290" w:rsidP="00D03290">
      <w:pPr>
        <w:ind w:firstLine="708"/>
        <w:jc w:val="both"/>
        <w:rPr>
          <w:lang w:val="de-DE"/>
        </w:rPr>
      </w:pPr>
      <w:r w:rsidRPr="004676F5">
        <w:rPr>
          <w:lang w:val="de-DE"/>
        </w:rPr>
        <w:t>Handelt es sich bei dem Vertrag eines untergeordneten Vertragshändlers um einen unbefristeten Vertrag und wird er gekündigt, weil der Vertrag des Vertragshändlers unabhängig von dessen Willen oder Schuld gekündigt worden ist, kann der untergeordnete Vertragshändler die in den Artikeln X.36 und X.37 vorgesehenen Rechte jedoch nur gegenüber der Person, die die ursprüngliche Kündigung bewirkt hat, geltend machen.</w:t>
      </w:r>
    </w:p>
    <w:p w14:paraId="3040DF66" w14:textId="77777777" w:rsidR="00D03290" w:rsidRPr="004676F5" w:rsidRDefault="00D03290" w:rsidP="00D03290">
      <w:pPr>
        <w:rPr>
          <w:lang w:val="de-DE"/>
        </w:rPr>
      </w:pPr>
    </w:p>
    <w:p w14:paraId="43C70C1E" w14:textId="77777777" w:rsidR="00473416" w:rsidRPr="004676F5" w:rsidRDefault="00472C89" w:rsidP="00472C89">
      <w:pPr>
        <w:jc w:val="both"/>
        <w:rPr>
          <w:lang w:val="de-DE"/>
        </w:rPr>
      </w:pPr>
      <w:r w:rsidRPr="004676F5">
        <w:rPr>
          <w:lang w:val="de-DE"/>
        </w:rPr>
        <w:tab/>
      </w:r>
      <w:r w:rsidR="00D03290" w:rsidRPr="004676F5">
        <w:rPr>
          <w:lang w:val="de-DE"/>
        </w:rPr>
        <w:t>Handelt es sich bei dem Vertrag eines untergeordneten Vertragshändlers um einen befristeten Vertrag und muss er normalerweise am selben Datum wie der Hauptvertrag enden, verfügt der Vertragshändler, dem vom Lizenzgeber gekündigt wird, auf jeden Fall über volle vierzehn Tage ab Erhalt dieser Kündigung, um dem untergeordneten Vertragshändler die Kündigung zu notifizieren.</w:t>
      </w:r>
      <w:r w:rsidRPr="004676F5">
        <w:rPr>
          <w:lang w:val="de-DE"/>
        </w:rPr>
        <w:t>]</w:t>
      </w:r>
    </w:p>
    <w:p w14:paraId="4628C05A" w14:textId="77777777" w:rsidR="00472C89" w:rsidRPr="004676F5" w:rsidRDefault="00472C89" w:rsidP="00472C89">
      <w:pPr>
        <w:jc w:val="both"/>
        <w:rPr>
          <w:lang w:val="de-DE"/>
        </w:rPr>
      </w:pPr>
    </w:p>
    <w:p w14:paraId="2468144A" w14:textId="77777777" w:rsidR="00472C89" w:rsidRPr="004676F5" w:rsidRDefault="00472C89" w:rsidP="00473416">
      <w:pPr>
        <w:jc w:val="center"/>
        <w:rPr>
          <w:lang w:val="de-DE"/>
        </w:rPr>
      </w:pPr>
    </w:p>
    <w:p w14:paraId="53841B93" w14:textId="004650F4" w:rsidR="00953CD1" w:rsidRPr="004676F5" w:rsidRDefault="00953CD1" w:rsidP="00AB2CF8">
      <w:pPr>
        <w:jc w:val="center"/>
        <w:rPr>
          <w:lang w:val="de-DE"/>
        </w:rPr>
      </w:pPr>
      <w:r w:rsidRPr="004676F5">
        <w:rPr>
          <w:lang w:val="de-DE"/>
        </w:rPr>
        <w:br w:type="page"/>
      </w:r>
      <w:r w:rsidR="00AB2CF8" w:rsidRPr="004676F5">
        <w:rPr>
          <w:lang w:val="de-DE"/>
        </w:rPr>
        <w:lastRenderedPageBreak/>
        <w:t>[</w:t>
      </w:r>
      <w:r w:rsidR="00AB2CF8" w:rsidRPr="004676F5">
        <w:rPr>
          <w:b/>
          <w:lang w:val="de-DE"/>
        </w:rPr>
        <w:t>TITEL 4 </w:t>
      </w:r>
      <w:r w:rsidR="005B7A5C" w:rsidRPr="004676F5">
        <w:rPr>
          <w:b/>
          <w:lang w:val="de-DE"/>
        </w:rPr>
        <w:t>- </w:t>
      </w:r>
      <w:r w:rsidR="00AB2CF8" w:rsidRPr="004676F5">
        <w:rPr>
          <w:b/>
          <w:i/>
          <w:lang w:val="de-DE"/>
        </w:rPr>
        <w:t>Beförderungsvertrag</w:t>
      </w:r>
      <w:r w:rsidR="00AB2CF8" w:rsidRPr="004676F5">
        <w:rPr>
          <w:lang w:val="de-DE"/>
        </w:rPr>
        <w:t>]</w:t>
      </w:r>
    </w:p>
    <w:p w14:paraId="348DF120" w14:textId="31686CC7" w:rsidR="00AB2CF8" w:rsidRPr="004676F5" w:rsidRDefault="00AB2CF8" w:rsidP="00AB2CF8">
      <w:pPr>
        <w:jc w:val="center"/>
        <w:rPr>
          <w:lang w:val="de-DE"/>
        </w:rPr>
      </w:pPr>
    </w:p>
    <w:p w14:paraId="0E21EA02" w14:textId="502F3995" w:rsidR="00AB2CF8" w:rsidRPr="004676F5" w:rsidRDefault="00AB2CF8" w:rsidP="00AB2CF8">
      <w:pPr>
        <w:jc w:val="both"/>
        <w:rPr>
          <w:i/>
          <w:lang w:val="de-DE"/>
        </w:rPr>
      </w:pPr>
      <w:r w:rsidRPr="004676F5">
        <w:rPr>
          <w:i/>
          <w:lang w:val="de-DE"/>
        </w:rPr>
        <w:t>[Unterteilung Titel 4 eingefügt durch Art. 173 des G. vom 15. April 2018 (B.S. vom 27. April 2018)]</w:t>
      </w:r>
    </w:p>
    <w:p w14:paraId="3EC0F3D4" w14:textId="0B56D8AC" w:rsidR="00AB2CF8" w:rsidRPr="004676F5" w:rsidRDefault="00AB2CF8" w:rsidP="00AB2CF8">
      <w:pPr>
        <w:jc w:val="both"/>
        <w:rPr>
          <w:lang w:val="de-DE"/>
        </w:rPr>
      </w:pPr>
    </w:p>
    <w:p w14:paraId="1DC2EAFF" w14:textId="59BDE811" w:rsidR="00AB2CF8" w:rsidRPr="004676F5" w:rsidRDefault="00AB2CF8" w:rsidP="00AB2CF8">
      <w:pPr>
        <w:jc w:val="both"/>
        <w:rPr>
          <w:lang w:val="de-DE"/>
        </w:rPr>
      </w:pPr>
    </w:p>
    <w:p w14:paraId="0DEBA656" w14:textId="19BEB252" w:rsidR="00AB2CF8" w:rsidRPr="004676F5" w:rsidRDefault="00AB2CF8" w:rsidP="00AB2CF8">
      <w:pPr>
        <w:ind w:firstLine="708"/>
        <w:jc w:val="both"/>
        <w:rPr>
          <w:lang w:val="de-DE"/>
        </w:rPr>
      </w:pPr>
      <w:r w:rsidRPr="004676F5">
        <w:rPr>
          <w:lang w:val="de-DE"/>
        </w:rPr>
        <w:t>[</w:t>
      </w:r>
      <w:r w:rsidRPr="004676F5">
        <w:rPr>
          <w:b/>
          <w:lang w:val="de-DE"/>
        </w:rPr>
        <w:t>Art. X.41</w:t>
      </w:r>
      <w:r w:rsidRPr="004676F5">
        <w:rPr>
          <w:lang w:val="de-DE"/>
        </w:rPr>
        <w:t> </w:t>
      </w:r>
      <w:r w:rsidR="005B7A5C" w:rsidRPr="004676F5">
        <w:rPr>
          <w:lang w:val="de-DE"/>
        </w:rPr>
        <w:t>- </w:t>
      </w:r>
      <w:r w:rsidRPr="004676F5">
        <w:rPr>
          <w:lang w:val="de-DE"/>
        </w:rPr>
        <w:t>Der Nachweis eines Beförderungsvertrags wird mit allen rechtlichen Mitteln und insbesondere durch den Frachtbrief erbracht.</w:t>
      </w:r>
    </w:p>
    <w:p w14:paraId="2458F5A7" w14:textId="77777777" w:rsidR="00AB2CF8" w:rsidRPr="004676F5" w:rsidRDefault="00AB2CF8" w:rsidP="00AB2CF8">
      <w:pPr>
        <w:ind w:firstLine="708"/>
        <w:jc w:val="both"/>
        <w:rPr>
          <w:lang w:val="de-DE"/>
        </w:rPr>
      </w:pPr>
    </w:p>
    <w:p w14:paraId="03D4DB4B" w14:textId="77777777" w:rsidR="00AB2CF8" w:rsidRPr="004676F5" w:rsidRDefault="00AB2CF8" w:rsidP="00AB2CF8">
      <w:pPr>
        <w:ind w:firstLine="708"/>
        <w:jc w:val="both"/>
        <w:rPr>
          <w:lang w:val="de-DE"/>
        </w:rPr>
      </w:pPr>
      <w:r w:rsidRPr="004676F5">
        <w:rPr>
          <w:lang w:val="de-DE"/>
        </w:rPr>
        <w:t>Vorbehaltlich der Bestimmungen von Artikel 29 § 1 des Gesetzes vom 15. Juli 2013 über den Güterkraftverkehr und zur Ausführung der Verordnung (EG) Nr. 1071/2009 des Europäischen Parlaments und des Rates vom 21. Oktober 2009 zur Festlegung gemeinsamer Regeln für die Zulassung zum Beruf des Kraftverkehrsunternehmers und zur Aufhebung der Richtlinie 96/26/EG des Rates und zur Ausführung der Verordnung (EG) Nr. 1072/2009 des Europäischen Parlaments und des Rates vom 21. Oktober 2009 über gemeinsame Regeln für den Zugang zum Markt des grenzüberschreitenden Güterkraftverkehrs und der Artikel 5 und 6 des am 19. Mai 1956 in Genf unterzeichneten Übereinkommens über den Beförderungsvertrag im internationalen Straßengüterverkehr, gebilligt durch das Gesetz vom 4. September 1962, enthält der Frachtbrief mindestens folgende Angaben:</w:t>
      </w:r>
    </w:p>
    <w:p w14:paraId="17ED74A3" w14:textId="77777777" w:rsidR="00AB2CF8" w:rsidRPr="004676F5" w:rsidRDefault="00AB2CF8" w:rsidP="00AB2CF8">
      <w:pPr>
        <w:ind w:firstLine="708"/>
        <w:jc w:val="both"/>
        <w:rPr>
          <w:lang w:val="de-DE"/>
        </w:rPr>
      </w:pPr>
    </w:p>
    <w:p w14:paraId="0BA04106" w14:textId="77777777" w:rsidR="00AB2CF8" w:rsidRPr="004676F5" w:rsidRDefault="00AB2CF8" w:rsidP="00AB2CF8">
      <w:pPr>
        <w:ind w:firstLine="708"/>
        <w:jc w:val="both"/>
        <w:rPr>
          <w:lang w:val="de-DE"/>
        </w:rPr>
      </w:pPr>
      <w:r w:rsidRPr="004676F5">
        <w:rPr>
          <w:lang w:val="de-DE"/>
        </w:rPr>
        <w:t>1. Ort und Tag des Versands,</w:t>
      </w:r>
    </w:p>
    <w:p w14:paraId="1DEB3250" w14:textId="77777777" w:rsidR="00AB2CF8" w:rsidRPr="004676F5" w:rsidRDefault="00AB2CF8" w:rsidP="00AB2CF8">
      <w:pPr>
        <w:ind w:firstLine="708"/>
        <w:jc w:val="both"/>
        <w:rPr>
          <w:lang w:val="de-DE"/>
        </w:rPr>
      </w:pPr>
    </w:p>
    <w:p w14:paraId="62F5E434" w14:textId="77777777" w:rsidR="00AB2CF8" w:rsidRPr="004676F5" w:rsidRDefault="00AB2CF8" w:rsidP="00AB2CF8">
      <w:pPr>
        <w:ind w:firstLine="708"/>
        <w:jc w:val="both"/>
        <w:rPr>
          <w:lang w:val="de-DE"/>
        </w:rPr>
      </w:pPr>
      <w:r w:rsidRPr="004676F5">
        <w:rPr>
          <w:lang w:val="de-DE"/>
        </w:rPr>
        <w:t>2. Namen und Wohnsitz des Absenders,</w:t>
      </w:r>
    </w:p>
    <w:p w14:paraId="0E408120" w14:textId="77777777" w:rsidR="00AB2CF8" w:rsidRPr="004676F5" w:rsidRDefault="00AB2CF8" w:rsidP="00AB2CF8">
      <w:pPr>
        <w:ind w:firstLine="708"/>
        <w:jc w:val="both"/>
        <w:rPr>
          <w:lang w:val="de-DE"/>
        </w:rPr>
      </w:pPr>
    </w:p>
    <w:p w14:paraId="5BA6611F" w14:textId="77777777" w:rsidR="00AB2CF8" w:rsidRPr="004676F5" w:rsidRDefault="00AB2CF8" w:rsidP="00AB2CF8">
      <w:pPr>
        <w:ind w:firstLine="708"/>
        <w:jc w:val="both"/>
        <w:rPr>
          <w:lang w:val="de-DE"/>
        </w:rPr>
      </w:pPr>
      <w:r w:rsidRPr="004676F5">
        <w:rPr>
          <w:lang w:val="de-DE"/>
        </w:rPr>
        <w:t>3. Namen und Wohnsitz des Empfängers,</w:t>
      </w:r>
    </w:p>
    <w:p w14:paraId="18E8BA74" w14:textId="77777777" w:rsidR="00AB2CF8" w:rsidRPr="004676F5" w:rsidRDefault="00AB2CF8" w:rsidP="00AB2CF8">
      <w:pPr>
        <w:ind w:firstLine="708"/>
        <w:jc w:val="both"/>
        <w:rPr>
          <w:lang w:val="de-DE"/>
        </w:rPr>
      </w:pPr>
    </w:p>
    <w:p w14:paraId="3345C5F7" w14:textId="77777777" w:rsidR="00AB2CF8" w:rsidRPr="004676F5" w:rsidRDefault="00AB2CF8" w:rsidP="00AB2CF8">
      <w:pPr>
        <w:ind w:firstLine="708"/>
        <w:jc w:val="both"/>
        <w:rPr>
          <w:lang w:val="de-DE"/>
        </w:rPr>
      </w:pPr>
      <w:r w:rsidRPr="004676F5">
        <w:rPr>
          <w:lang w:val="de-DE"/>
        </w:rPr>
        <w:t>4. Namen und Wohnsitz des Frachtführers oder des Kommissionärs, über den die Beförderung erfolgt,</w:t>
      </w:r>
    </w:p>
    <w:p w14:paraId="16C855B2" w14:textId="77777777" w:rsidR="00AB2CF8" w:rsidRPr="004676F5" w:rsidRDefault="00AB2CF8" w:rsidP="00AB2CF8">
      <w:pPr>
        <w:ind w:firstLine="708"/>
        <w:jc w:val="both"/>
        <w:rPr>
          <w:lang w:val="de-DE"/>
        </w:rPr>
      </w:pPr>
    </w:p>
    <w:p w14:paraId="1E8C53A6" w14:textId="77777777" w:rsidR="00AB2CF8" w:rsidRPr="004676F5" w:rsidRDefault="00AB2CF8" w:rsidP="00AB2CF8">
      <w:pPr>
        <w:ind w:firstLine="708"/>
        <w:jc w:val="both"/>
        <w:rPr>
          <w:lang w:val="de-DE"/>
        </w:rPr>
      </w:pPr>
      <w:r w:rsidRPr="004676F5">
        <w:rPr>
          <w:lang w:val="de-DE"/>
        </w:rPr>
        <w:t>5. Art, Gewicht oder Größe der zu befördernden Güter, Anzahl und besondere Kennzeichnung der Versandstücke,</w:t>
      </w:r>
    </w:p>
    <w:p w14:paraId="0871D3CF" w14:textId="77777777" w:rsidR="00AB2CF8" w:rsidRPr="004676F5" w:rsidRDefault="00AB2CF8" w:rsidP="00AB2CF8">
      <w:pPr>
        <w:ind w:firstLine="708"/>
        <w:jc w:val="both"/>
        <w:rPr>
          <w:lang w:val="de-DE"/>
        </w:rPr>
      </w:pPr>
    </w:p>
    <w:p w14:paraId="11D77123" w14:textId="77777777" w:rsidR="00AB2CF8" w:rsidRPr="004676F5" w:rsidRDefault="00AB2CF8" w:rsidP="00AB2CF8">
      <w:pPr>
        <w:ind w:firstLine="708"/>
        <w:jc w:val="both"/>
        <w:rPr>
          <w:lang w:val="de-DE"/>
        </w:rPr>
      </w:pPr>
      <w:r w:rsidRPr="004676F5">
        <w:rPr>
          <w:lang w:val="de-DE"/>
        </w:rPr>
        <w:t>6. Beförderungsfrist und -preis oder Verordnungsbedingungen, auf die die Parteien sich beziehen.</w:t>
      </w:r>
    </w:p>
    <w:p w14:paraId="111C0364" w14:textId="77777777" w:rsidR="00AB2CF8" w:rsidRPr="004676F5" w:rsidRDefault="00AB2CF8" w:rsidP="00AB2CF8">
      <w:pPr>
        <w:ind w:firstLine="708"/>
        <w:jc w:val="both"/>
        <w:rPr>
          <w:lang w:val="de-DE"/>
        </w:rPr>
      </w:pPr>
    </w:p>
    <w:p w14:paraId="657CAD30" w14:textId="6CA23E04" w:rsidR="00AB2CF8" w:rsidRPr="004676F5" w:rsidRDefault="00AB2CF8" w:rsidP="00AB2CF8">
      <w:pPr>
        <w:jc w:val="both"/>
        <w:rPr>
          <w:lang w:val="de-DE"/>
        </w:rPr>
      </w:pPr>
      <w:r w:rsidRPr="004676F5">
        <w:rPr>
          <w:lang w:val="de-DE"/>
        </w:rPr>
        <w:tab/>
        <w:t>Frachtbriefe werden vom Absender oder Kommissionär unterzeichnet.]</w:t>
      </w:r>
    </w:p>
    <w:p w14:paraId="27321CE3" w14:textId="488AE6A3" w:rsidR="00AB2CF8" w:rsidRPr="004676F5" w:rsidRDefault="00AB2CF8" w:rsidP="00AB2CF8">
      <w:pPr>
        <w:jc w:val="both"/>
        <w:rPr>
          <w:lang w:val="de-DE"/>
        </w:rPr>
      </w:pPr>
    </w:p>
    <w:p w14:paraId="13BEE192" w14:textId="4B0D9E82" w:rsidR="00AB2CF8" w:rsidRPr="004676F5" w:rsidRDefault="00AB2CF8" w:rsidP="00AB2CF8">
      <w:pPr>
        <w:jc w:val="both"/>
        <w:rPr>
          <w:i/>
          <w:lang w:val="de-DE"/>
        </w:rPr>
      </w:pPr>
      <w:r w:rsidRPr="004676F5">
        <w:rPr>
          <w:i/>
          <w:lang w:val="de-DE"/>
        </w:rPr>
        <w:t>[Art. X.41 eingefügt durch Art. 174 des G. vom 15. April 2018 (B.S. vom 27. April 2018)]</w:t>
      </w:r>
    </w:p>
    <w:p w14:paraId="6486C8A0" w14:textId="21CB9571" w:rsidR="00AB2CF8" w:rsidRPr="004676F5" w:rsidRDefault="00AB2CF8" w:rsidP="00AB2CF8">
      <w:pPr>
        <w:jc w:val="both"/>
        <w:rPr>
          <w:lang w:val="de-DE"/>
        </w:rPr>
      </w:pPr>
    </w:p>
    <w:p w14:paraId="1A30D86F" w14:textId="004D07E3" w:rsidR="00AB2CF8" w:rsidRPr="004676F5" w:rsidRDefault="00AB2CF8" w:rsidP="00AB2CF8">
      <w:pPr>
        <w:jc w:val="both"/>
        <w:rPr>
          <w:lang w:val="de-DE"/>
        </w:rPr>
      </w:pPr>
    </w:p>
    <w:p w14:paraId="26343B86" w14:textId="774428B7" w:rsidR="00AB2CF8" w:rsidRPr="004676F5" w:rsidRDefault="00AB2CF8" w:rsidP="00AB2CF8">
      <w:pPr>
        <w:jc w:val="both"/>
        <w:rPr>
          <w:lang w:val="de-DE"/>
        </w:rPr>
      </w:pPr>
      <w:r w:rsidRPr="004676F5">
        <w:rPr>
          <w:lang w:val="de-DE"/>
        </w:rPr>
        <w:tab/>
        <w:t>[</w:t>
      </w:r>
      <w:r w:rsidRPr="004676F5">
        <w:rPr>
          <w:b/>
          <w:lang w:val="de-DE"/>
        </w:rPr>
        <w:t>Art. X.42</w:t>
      </w:r>
      <w:r w:rsidRPr="004676F5">
        <w:rPr>
          <w:lang w:val="de-DE"/>
        </w:rPr>
        <w:t> </w:t>
      </w:r>
      <w:r w:rsidR="005B7A5C" w:rsidRPr="004676F5">
        <w:rPr>
          <w:lang w:val="de-DE"/>
        </w:rPr>
        <w:t>- </w:t>
      </w:r>
      <w:r w:rsidRPr="004676F5">
        <w:rPr>
          <w:lang w:val="de-DE"/>
        </w:rPr>
        <w:t>Der Kommissionär oder Frachtführer muss entsprechend den Erklärungen des Absenders Art, Menge und auf Verlangen Wert der zu befördernden Güter in sein Journal eintragen.]</w:t>
      </w:r>
    </w:p>
    <w:p w14:paraId="6C714D2E" w14:textId="51AABD3E" w:rsidR="00AB2CF8" w:rsidRPr="004676F5" w:rsidRDefault="00AB2CF8" w:rsidP="00AB2CF8">
      <w:pPr>
        <w:jc w:val="both"/>
        <w:rPr>
          <w:lang w:val="de-DE"/>
        </w:rPr>
      </w:pPr>
    </w:p>
    <w:p w14:paraId="67BA2421" w14:textId="7416B3F7" w:rsidR="00AB2CF8" w:rsidRPr="004676F5" w:rsidRDefault="00AB2CF8" w:rsidP="00AB2CF8">
      <w:pPr>
        <w:jc w:val="both"/>
        <w:rPr>
          <w:i/>
          <w:lang w:val="de-DE"/>
        </w:rPr>
      </w:pPr>
      <w:r w:rsidRPr="004676F5">
        <w:rPr>
          <w:i/>
          <w:lang w:val="de-DE"/>
        </w:rPr>
        <w:t>[Art. X.42 eingefügt durch Art. 175 des G. vom 15. April 2018 (B.S. vom 27. April 2018)]</w:t>
      </w:r>
    </w:p>
    <w:p w14:paraId="1E2AE425" w14:textId="26030324" w:rsidR="00AB2CF8" w:rsidRPr="004676F5" w:rsidRDefault="00AB2CF8" w:rsidP="00AB2CF8">
      <w:pPr>
        <w:jc w:val="both"/>
        <w:rPr>
          <w:lang w:val="de-DE"/>
        </w:rPr>
      </w:pPr>
    </w:p>
    <w:p w14:paraId="5C9C5205" w14:textId="740370C4" w:rsidR="00AB2CF8" w:rsidRPr="004676F5" w:rsidRDefault="00AB2CF8" w:rsidP="00AB2CF8">
      <w:pPr>
        <w:jc w:val="both"/>
        <w:rPr>
          <w:lang w:val="de-DE"/>
        </w:rPr>
      </w:pPr>
    </w:p>
    <w:p w14:paraId="07877DD6" w14:textId="479BE74D" w:rsidR="00AB2CF8" w:rsidRPr="004676F5" w:rsidRDefault="00AB2CF8" w:rsidP="00AB2CF8">
      <w:pPr>
        <w:ind w:firstLine="708"/>
        <w:jc w:val="both"/>
        <w:rPr>
          <w:lang w:val="de-DE"/>
        </w:rPr>
      </w:pPr>
      <w:r w:rsidRPr="004676F5">
        <w:rPr>
          <w:lang w:val="de-DE"/>
        </w:rPr>
        <w:t>[</w:t>
      </w:r>
      <w:r w:rsidRPr="004676F5">
        <w:rPr>
          <w:b/>
          <w:lang w:val="de-DE"/>
        </w:rPr>
        <w:t>Art. X.43</w:t>
      </w:r>
      <w:r w:rsidRPr="004676F5">
        <w:rPr>
          <w:lang w:val="de-DE"/>
        </w:rPr>
        <w:t> </w:t>
      </w:r>
      <w:r w:rsidR="005B7A5C" w:rsidRPr="004676F5">
        <w:rPr>
          <w:lang w:val="de-DE"/>
        </w:rPr>
        <w:t>- </w:t>
      </w:r>
      <w:r w:rsidRPr="004676F5">
        <w:rPr>
          <w:lang w:val="de-DE"/>
        </w:rPr>
        <w:t>Außer bei Zufall oder höherer Gewalt ist er für die Ankunft innerhalb der vereinbarten Frist der zu befördernden Personen oder Güter verantwortlich.]</w:t>
      </w:r>
    </w:p>
    <w:p w14:paraId="3932613C" w14:textId="4EB341E2" w:rsidR="00AB2CF8" w:rsidRPr="004676F5" w:rsidRDefault="00AB2CF8" w:rsidP="00AB2CF8">
      <w:pPr>
        <w:ind w:firstLine="708"/>
        <w:jc w:val="both"/>
        <w:rPr>
          <w:lang w:val="de-DE"/>
        </w:rPr>
      </w:pPr>
    </w:p>
    <w:p w14:paraId="0A6D7A78" w14:textId="5071F15B" w:rsidR="00AB2CF8" w:rsidRPr="004676F5" w:rsidRDefault="00AB2CF8" w:rsidP="00AB2CF8">
      <w:pPr>
        <w:jc w:val="both"/>
        <w:rPr>
          <w:i/>
          <w:lang w:val="de-DE"/>
        </w:rPr>
      </w:pPr>
      <w:r w:rsidRPr="004676F5">
        <w:rPr>
          <w:i/>
          <w:lang w:val="de-DE"/>
        </w:rPr>
        <w:t>[Art. X.43 eingefügt durch Art. 176 des G. vom 15. April 2018 (B.S. vom 27. April 2018)]</w:t>
      </w:r>
    </w:p>
    <w:p w14:paraId="4DF350BE" w14:textId="77777777" w:rsidR="00AB2CF8" w:rsidRPr="004676F5" w:rsidRDefault="00AB2CF8" w:rsidP="00AB2CF8">
      <w:pPr>
        <w:ind w:firstLine="708"/>
        <w:jc w:val="both"/>
        <w:rPr>
          <w:lang w:val="de-DE"/>
        </w:rPr>
      </w:pPr>
    </w:p>
    <w:p w14:paraId="29829EE1" w14:textId="77777777" w:rsidR="00AB2CF8" w:rsidRPr="004676F5" w:rsidRDefault="00AB2CF8" w:rsidP="00AB2CF8">
      <w:pPr>
        <w:ind w:firstLine="708"/>
        <w:jc w:val="both"/>
        <w:rPr>
          <w:lang w:val="de-DE"/>
        </w:rPr>
      </w:pPr>
    </w:p>
    <w:p w14:paraId="6FE9DB34" w14:textId="409B917B" w:rsidR="00AB2CF8" w:rsidRPr="004676F5" w:rsidRDefault="00AB2CF8" w:rsidP="00AB2CF8">
      <w:pPr>
        <w:ind w:firstLine="708"/>
        <w:jc w:val="both"/>
        <w:rPr>
          <w:lang w:val="de-DE"/>
        </w:rPr>
      </w:pPr>
      <w:r w:rsidRPr="004676F5">
        <w:rPr>
          <w:bCs/>
          <w:lang w:val="de-DE"/>
        </w:rPr>
        <w:t>[</w:t>
      </w:r>
      <w:r w:rsidRPr="004676F5">
        <w:rPr>
          <w:b/>
          <w:lang w:val="de-DE"/>
        </w:rPr>
        <w:t>Art. X.44 </w:t>
      </w:r>
      <w:r w:rsidR="005B7A5C" w:rsidRPr="004676F5">
        <w:rPr>
          <w:lang w:val="de-DE"/>
        </w:rPr>
        <w:t>- </w:t>
      </w:r>
      <w:r w:rsidRPr="004676F5">
        <w:rPr>
          <w:lang w:val="de-DE"/>
        </w:rPr>
        <w:t>Er haftet für Beschädigung oder Verlust von Gütern und für Unfälle von Reisenden, wenn er nicht nachweist, dass Beschädigung, Verlust oder Unfall Folge einer Fremdursache ist, die ihm nicht angelastet werden kann.]</w:t>
      </w:r>
    </w:p>
    <w:p w14:paraId="5D0AD382" w14:textId="03610AD5" w:rsidR="00AB2CF8" w:rsidRPr="004676F5" w:rsidRDefault="00AB2CF8" w:rsidP="00AB2CF8">
      <w:pPr>
        <w:ind w:firstLine="708"/>
        <w:jc w:val="both"/>
        <w:rPr>
          <w:lang w:val="de-DE"/>
        </w:rPr>
      </w:pPr>
    </w:p>
    <w:p w14:paraId="133E2BA8" w14:textId="14D0E235" w:rsidR="00AB2CF8" w:rsidRPr="004676F5" w:rsidRDefault="00AB2CF8" w:rsidP="00AB2CF8">
      <w:pPr>
        <w:jc w:val="both"/>
        <w:rPr>
          <w:i/>
          <w:lang w:val="de-DE"/>
        </w:rPr>
      </w:pPr>
      <w:r w:rsidRPr="004676F5">
        <w:rPr>
          <w:i/>
          <w:lang w:val="de-DE"/>
        </w:rPr>
        <w:t>[Art. X.44 eingefügt durch Art. 177 des G. vom 15. April 2018 (B.S. vom 27. April 2018)]</w:t>
      </w:r>
    </w:p>
    <w:p w14:paraId="3CE9305F" w14:textId="77777777" w:rsidR="00AB2CF8" w:rsidRPr="004676F5" w:rsidRDefault="00AB2CF8" w:rsidP="00AB2CF8">
      <w:pPr>
        <w:ind w:firstLine="708"/>
        <w:jc w:val="both"/>
        <w:rPr>
          <w:lang w:val="de-DE"/>
        </w:rPr>
      </w:pPr>
    </w:p>
    <w:p w14:paraId="029FB075" w14:textId="77777777" w:rsidR="00AB2CF8" w:rsidRPr="004676F5" w:rsidRDefault="00AB2CF8" w:rsidP="00AB2CF8">
      <w:pPr>
        <w:ind w:firstLine="708"/>
        <w:jc w:val="both"/>
        <w:rPr>
          <w:lang w:val="de-DE"/>
        </w:rPr>
      </w:pPr>
    </w:p>
    <w:p w14:paraId="20B88CFF" w14:textId="5D180A95" w:rsidR="00AB2CF8" w:rsidRPr="004676F5" w:rsidRDefault="00AB2CF8" w:rsidP="00AB2CF8">
      <w:pPr>
        <w:ind w:firstLine="708"/>
        <w:jc w:val="both"/>
        <w:rPr>
          <w:lang w:val="de-DE"/>
        </w:rPr>
      </w:pPr>
      <w:r w:rsidRPr="004676F5">
        <w:rPr>
          <w:lang w:val="de-DE"/>
        </w:rPr>
        <w:t>[</w:t>
      </w:r>
      <w:r w:rsidRPr="004676F5">
        <w:rPr>
          <w:b/>
          <w:lang w:val="de-DE"/>
        </w:rPr>
        <w:t>Art. X.45</w:t>
      </w:r>
      <w:r w:rsidRPr="004676F5">
        <w:rPr>
          <w:lang w:val="de-DE"/>
        </w:rPr>
        <w:t> </w:t>
      </w:r>
      <w:r w:rsidR="005B7A5C" w:rsidRPr="004676F5">
        <w:rPr>
          <w:lang w:val="de-DE"/>
        </w:rPr>
        <w:t>- </w:t>
      </w:r>
      <w:r w:rsidRPr="004676F5">
        <w:rPr>
          <w:lang w:val="de-DE"/>
        </w:rPr>
        <w:t>Er bürgt für die Handlungen des Kommissionärs oder Zwischenfracht</w:t>
      </w:r>
      <w:r w:rsidRPr="004676F5">
        <w:rPr>
          <w:lang w:val="de-DE"/>
        </w:rPr>
        <w:softHyphen/>
        <w:t>führers, dem er die zu befördernden Güter zusendet.]</w:t>
      </w:r>
    </w:p>
    <w:p w14:paraId="4E5E37A3" w14:textId="0F893984" w:rsidR="00AB2CF8" w:rsidRPr="004676F5" w:rsidRDefault="00AB2CF8" w:rsidP="00AB2CF8">
      <w:pPr>
        <w:ind w:firstLine="708"/>
        <w:jc w:val="both"/>
        <w:rPr>
          <w:lang w:val="de-DE"/>
        </w:rPr>
      </w:pPr>
    </w:p>
    <w:p w14:paraId="55532581" w14:textId="7C6D73A9" w:rsidR="00AB2CF8" w:rsidRPr="004676F5" w:rsidRDefault="00AB2CF8" w:rsidP="00AB2CF8">
      <w:pPr>
        <w:jc w:val="both"/>
        <w:rPr>
          <w:i/>
          <w:lang w:val="de-DE"/>
        </w:rPr>
      </w:pPr>
      <w:r w:rsidRPr="004676F5">
        <w:rPr>
          <w:i/>
          <w:lang w:val="de-DE"/>
        </w:rPr>
        <w:t>[Art. X.45 eingefügt durch Art. 178 des G. vom 15. April 2018 (B.S. vom 27. April 2018)]</w:t>
      </w:r>
    </w:p>
    <w:p w14:paraId="1E703381" w14:textId="77777777" w:rsidR="00AB2CF8" w:rsidRPr="004676F5" w:rsidRDefault="00AB2CF8" w:rsidP="00AB2CF8">
      <w:pPr>
        <w:ind w:firstLine="708"/>
        <w:jc w:val="both"/>
        <w:rPr>
          <w:lang w:val="de-DE"/>
        </w:rPr>
      </w:pPr>
    </w:p>
    <w:p w14:paraId="6305D758" w14:textId="77777777" w:rsidR="00AB2CF8" w:rsidRPr="004676F5" w:rsidRDefault="00AB2CF8" w:rsidP="00AB2CF8">
      <w:pPr>
        <w:ind w:firstLine="708"/>
        <w:jc w:val="both"/>
        <w:rPr>
          <w:lang w:val="de-DE"/>
        </w:rPr>
      </w:pPr>
    </w:p>
    <w:p w14:paraId="4965161D" w14:textId="00C8E227" w:rsidR="00AB2CF8" w:rsidRPr="004676F5" w:rsidRDefault="00AB2CF8" w:rsidP="00AB2CF8">
      <w:pPr>
        <w:ind w:firstLine="708"/>
        <w:jc w:val="both"/>
        <w:rPr>
          <w:lang w:val="de-DE"/>
        </w:rPr>
      </w:pPr>
      <w:r w:rsidRPr="004676F5">
        <w:rPr>
          <w:bCs/>
          <w:lang w:val="de-DE"/>
        </w:rPr>
        <w:t>[</w:t>
      </w:r>
      <w:r w:rsidRPr="004676F5">
        <w:rPr>
          <w:b/>
          <w:lang w:val="de-DE"/>
        </w:rPr>
        <w:t>Art. X.46</w:t>
      </w:r>
      <w:r w:rsidRPr="004676F5">
        <w:rPr>
          <w:lang w:val="de-DE"/>
        </w:rPr>
        <w:t> </w:t>
      </w:r>
      <w:r w:rsidR="005B7A5C" w:rsidRPr="004676F5">
        <w:rPr>
          <w:lang w:val="de-DE"/>
        </w:rPr>
        <w:t>- </w:t>
      </w:r>
      <w:r w:rsidRPr="004676F5">
        <w:rPr>
          <w:lang w:val="de-DE"/>
        </w:rPr>
        <w:t>Bis zur Ablieferung der Güter am Bestimmungsort und vorbehaltlich anders lautender Bestimmung im Frachtbrief ist der Frachtführer verpflichtet, die Anweisungen des Absenders zu befolgen, der als Einziger berechtigt ist, über die Güter zu verfügen.</w:t>
      </w:r>
    </w:p>
    <w:p w14:paraId="460E3039" w14:textId="77777777" w:rsidR="00AB2CF8" w:rsidRPr="004676F5" w:rsidRDefault="00AB2CF8" w:rsidP="00AB2CF8">
      <w:pPr>
        <w:ind w:firstLine="708"/>
        <w:jc w:val="both"/>
        <w:rPr>
          <w:lang w:val="de-DE"/>
        </w:rPr>
      </w:pPr>
    </w:p>
    <w:p w14:paraId="295CE4CF" w14:textId="61A649F3" w:rsidR="00AB2CF8" w:rsidRPr="004676F5" w:rsidRDefault="00AB2CF8" w:rsidP="00AB2CF8">
      <w:pPr>
        <w:ind w:firstLine="708"/>
        <w:jc w:val="both"/>
        <w:rPr>
          <w:lang w:val="de-DE"/>
        </w:rPr>
      </w:pPr>
      <w:r w:rsidRPr="004676F5">
        <w:rPr>
          <w:lang w:val="de-DE"/>
        </w:rPr>
        <w:t>Das Recht des Absenders erlischt mit der Übergabe der Güter an die Spedition oder mit der Versendung der Eingangsbenachrichtigung an den Empfänger.]</w:t>
      </w:r>
    </w:p>
    <w:p w14:paraId="436FEB5C" w14:textId="37A4FA78" w:rsidR="00AB2CF8" w:rsidRPr="004676F5" w:rsidRDefault="00AB2CF8" w:rsidP="00AB2CF8">
      <w:pPr>
        <w:ind w:firstLine="708"/>
        <w:jc w:val="both"/>
        <w:rPr>
          <w:lang w:val="de-DE"/>
        </w:rPr>
      </w:pPr>
    </w:p>
    <w:p w14:paraId="3675B112" w14:textId="28583B1B" w:rsidR="00AB2CF8" w:rsidRPr="004676F5" w:rsidRDefault="00AB2CF8" w:rsidP="00AB2CF8">
      <w:pPr>
        <w:jc w:val="both"/>
        <w:rPr>
          <w:i/>
          <w:lang w:val="de-DE"/>
        </w:rPr>
      </w:pPr>
      <w:r w:rsidRPr="004676F5">
        <w:rPr>
          <w:i/>
          <w:lang w:val="de-DE"/>
        </w:rPr>
        <w:t>[Art. X.46 eingefügt durch Art. 179 des G. vom 15. April 2018 (B.S. vom 27. April 2018)]</w:t>
      </w:r>
    </w:p>
    <w:p w14:paraId="4F29A376" w14:textId="77777777" w:rsidR="00AB2CF8" w:rsidRPr="004676F5" w:rsidRDefault="00AB2CF8" w:rsidP="00AB2CF8">
      <w:pPr>
        <w:ind w:firstLine="708"/>
        <w:jc w:val="both"/>
        <w:rPr>
          <w:lang w:val="de-DE"/>
        </w:rPr>
      </w:pPr>
    </w:p>
    <w:p w14:paraId="6BC29477" w14:textId="77777777" w:rsidR="00AB2CF8" w:rsidRPr="004676F5" w:rsidRDefault="00AB2CF8" w:rsidP="00AB2CF8">
      <w:pPr>
        <w:ind w:firstLine="708"/>
        <w:jc w:val="both"/>
        <w:rPr>
          <w:lang w:val="de-DE"/>
        </w:rPr>
      </w:pPr>
    </w:p>
    <w:p w14:paraId="12C71519" w14:textId="3BB00145" w:rsidR="00AB2CF8" w:rsidRPr="004676F5" w:rsidRDefault="00AB2CF8" w:rsidP="00AB2CF8">
      <w:pPr>
        <w:ind w:firstLine="708"/>
        <w:jc w:val="both"/>
        <w:rPr>
          <w:lang w:val="de-DE"/>
        </w:rPr>
      </w:pPr>
      <w:r w:rsidRPr="004676F5">
        <w:rPr>
          <w:lang w:val="de-DE"/>
        </w:rPr>
        <w:t>[</w:t>
      </w:r>
      <w:r w:rsidRPr="004676F5">
        <w:rPr>
          <w:b/>
          <w:lang w:val="de-DE"/>
        </w:rPr>
        <w:t>Art. X.47</w:t>
      </w:r>
      <w:r w:rsidRPr="004676F5">
        <w:rPr>
          <w:lang w:val="de-DE"/>
        </w:rPr>
        <w:t> </w:t>
      </w:r>
      <w:r w:rsidR="005B7A5C" w:rsidRPr="004676F5">
        <w:rPr>
          <w:lang w:val="de-DE"/>
        </w:rPr>
        <w:t>- </w:t>
      </w:r>
      <w:r w:rsidRPr="004676F5">
        <w:rPr>
          <w:lang w:val="de-DE"/>
        </w:rPr>
        <w:t>Mit der Annahme der beförderten Güter erlöschen alle Ansprüche gegen den Frachtführer und den Kommissionär, außer bei besonderen Vorbehalten oder äußerlich nicht erkennbaren Beschädigungen.</w:t>
      </w:r>
    </w:p>
    <w:p w14:paraId="7A810BD6" w14:textId="77777777" w:rsidR="00AB2CF8" w:rsidRPr="004676F5" w:rsidRDefault="00AB2CF8" w:rsidP="00AB2CF8">
      <w:pPr>
        <w:ind w:firstLine="708"/>
        <w:jc w:val="both"/>
        <w:rPr>
          <w:lang w:val="de-DE"/>
        </w:rPr>
      </w:pPr>
    </w:p>
    <w:p w14:paraId="43B013F1" w14:textId="77777777" w:rsidR="00AB2CF8" w:rsidRPr="004676F5" w:rsidRDefault="00AB2CF8" w:rsidP="00AB2CF8">
      <w:pPr>
        <w:ind w:firstLine="708"/>
        <w:jc w:val="both"/>
        <w:rPr>
          <w:lang w:val="de-DE"/>
        </w:rPr>
      </w:pPr>
      <w:r w:rsidRPr="004676F5">
        <w:rPr>
          <w:lang w:val="de-DE"/>
        </w:rPr>
        <w:t>Besondere Vorbehalte oder Beschwerden müssen schriftlich erfolgen und dem Frachtführer bei äußerlich erkennbaren Beschädigungen und bei Verlusten spätestens am zweiten Tag nach der Annahme und bei Verspätungen innerhalb einer Frist von sieben Tagen, den Tag der Annahme nicht einbegriffen, zugesandt werden.</w:t>
      </w:r>
    </w:p>
    <w:p w14:paraId="54F9E07D" w14:textId="77777777" w:rsidR="00AB2CF8" w:rsidRPr="004676F5" w:rsidRDefault="00AB2CF8" w:rsidP="00AB2CF8">
      <w:pPr>
        <w:ind w:firstLine="708"/>
        <w:jc w:val="both"/>
        <w:rPr>
          <w:lang w:val="de-DE"/>
        </w:rPr>
      </w:pPr>
    </w:p>
    <w:p w14:paraId="1125F062" w14:textId="77777777" w:rsidR="00AB2CF8" w:rsidRPr="004676F5" w:rsidRDefault="00AB2CF8" w:rsidP="00AB2CF8">
      <w:pPr>
        <w:ind w:firstLine="708"/>
        <w:jc w:val="both"/>
        <w:rPr>
          <w:lang w:val="de-DE"/>
        </w:rPr>
      </w:pPr>
      <w:r w:rsidRPr="004676F5">
        <w:rPr>
          <w:lang w:val="de-DE"/>
        </w:rPr>
        <w:t>Wenn der Frachtführer bei der Ablieferung auf eine Beschädigung oder einen Teilverlust hinweist, ist der Empfänger verpflichtet, unverzüglich eine Überprüfung der beförderten Güter zuzulassen.</w:t>
      </w:r>
    </w:p>
    <w:p w14:paraId="77839253" w14:textId="77777777" w:rsidR="00AB2CF8" w:rsidRPr="004676F5" w:rsidRDefault="00AB2CF8" w:rsidP="00AB2CF8">
      <w:pPr>
        <w:ind w:firstLine="708"/>
        <w:jc w:val="both"/>
        <w:rPr>
          <w:lang w:val="de-DE"/>
        </w:rPr>
      </w:pPr>
    </w:p>
    <w:p w14:paraId="0D91793C" w14:textId="77777777" w:rsidR="00AB2CF8" w:rsidRPr="004676F5" w:rsidRDefault="00AB2CF8" w:rsidP="00AB2CF8">
      <w:pPr>
        <w:ind w:firstLine="708"/>
        <w:jc w:val="both"/>
        <w:rPr>
          <w:lang w:val="de-DE"/>
        </w:rPr>
      </w:pPr>
      <w:r w:rsidRPr="004676F5">
        <w:rPr>
          <w:lang w:val="de-DE"/>
        </w:rPr>
        <w:t>Im Fall einer äußerlich nicht erkennbaren Beschädigung oder einer Fehlmenge innerhalb der beförderten Güter kann eine Beschwerde des Empfängers noch zugelassen werden, wenn sie schriftlich erfolgt und dem Frachtführer innerhalb einer Frist von sieben Tagen, der Tag der Annahme nicht einbegriffen, zugesandt wird und wenn nachgewiesen ist, dass die Beschädigung oder die Fehlmenge bereits vor der Ablieferung bestand.</w:t>
      </w:r>
    </w:p>
    <w:p w14:paraId="20E4A8AC" w14:textId="77777777" w:rsidR="00AB2CF8" w:rsidRPr="004676F5" w:rsidRDefault="00AB2CF8" w:rsidP="00AB2CF8">
      <w:pPr>
        <w:ind w:firstLine="708"/>
        <w:jc w:val="both"/>
        <w:rPr>
          <w:lang w:val="de-DE"/>
        </w:rPr>
      </w:pPr>
    </w:p>
    <w:p w14:paraId="7F2798F6" w14:textId="77777777" w:rsidR="00AB2CF8" w:rsidRPr="004676F5" w:rsidRDefault="00AB2CF8" w:rsidP="00AB2CF8">
      <w:pPr>
        <w:ind w:firstLine="708"/>
        <w:jc w:val="both"/>
        <w:rPr>
          <w:lang w:val="de-DE"/>
        </w:rPr>
      </w:pPr>
      <w:r w:rsidRPr="004676F5">
        <w:rPr>
          <w:lang w:val="de-DE"/>
        </w:rPr>
        <w:t>Die Ausnahme, die für den Fall einer äußerlich nicht erkennbaren Beschädigung oder einer Fehlmenge innerhalb der beförderten Güter vorgesehen ist, gilt nicht, wenn dem Empfänger oder seinem Bevollmächtigten zum Zeitpunkt der Ablieferung eine Überprüfung der Ware vorgeschlagen wurde.</w:t>
      </w:r>
    </w:p>
    <w:p w14:paraId="2D240456" w14:textId="77777777" w:rsidR="00AB2CF8" w:rsidRPr="004676F5" w:rsidRDefault="00AB2CF8" w:rsidP="00AB2CF8">
      <w:pPr>
        <w:ind w:firstLine="708"/>
        <w:jc w:val="both"/>
        <w:rPr>
          <w:lang w:val="de-DE"/>
        </w:rPr>
      </w:pPr>
    </w:p>
    <w:p w14:paraId="59C73188" w14:textId="3544201A" w:rsidR="00AB2CF8" w:rsidRPr="004676F5" w:rsidRDefault="00AB2CF8" w:rsidP="00AB2CF8">
      <w:pPr>
        <w:ind w:firstLine="708"/>
        <w:jc w:val="both"/>
        <w:rPr>
          <w:lang w:val="de-DE"/>
        </w:rPr>
      </w:pPr>
      <w:r w:rsidRPr="004676F5">
        <w:rPr>
          <w:lang w:val="de-DE"/>
        </w:rPr>
        <w:t>Ein Anspruch bleibt nur in Bezug auf Punkte bestehen, für die besonderer Vorbehalt beziehungsweise besondere Beschwerde erfolgt ist.]</w:t>
      </w:r>
    </w:p>
    <w:p w14:paraId="11904F2E" w14:textId="683A40FF" w:rsidR="00AB2CF8" w:rsidRPr="004676F5" w:rsidRDefault="00AB2CF8" w:rsidP="00AB2CF8">
      <w:pPr>
        <w:ind w:firstLine="708"/>
        <w:jc w:val="both"/>
        <w:rPr>
          <w:lang w:val="de-DE"/>
        </w:rPr>
      </w:pPr>
    </w:p>
    <w:p w14:paraId="4B984AE0" w14:textId="471161C4" w:rsidR="00AB2CF8" w:rsidRPr="004676F5" w:rsidRDefault="00AB2CF8" w:rsidP="00AB2CF8">
      <w:pPr>
        <w:jc w:val="both"/>
        <w:rPr>
          <w:i/>
          <w:lang w:val="de-DE"/>
        </w:rPr>
      </w:pPr>
      <w:r w:rsidRPr="004676F5">
        <w:rPr>
          <w:i/>
          <w:lang w:val="de-DE"/>
        </w:rPr>
        <w:t>[Art. X.47 eingefügt durch Art. 180 des G. vom 15. April 2018 (B.S. vom 27. April 2018)]</w:t>
      </w:r>
    </w:p>
    <w:p w14:paraId="1DDC53B3" w14:textId="77777777" w:rsidR="00AB2CF8" w:rsidRPr="004676F5" w:rsidRDefault="00AB2CF8" w:rsidP="00AB2CF8">
      <w:pPr>
        <w:ind w:firstLine="708"/>
        <w:jc w:val="both"/>
        <w:rPr>
          <w:lang w:val="de-DE"/>
        </w:rPr>
      </w:pPr>
    </w:p>
    <w:p w14:paraId="49C40386" w14:textId="77777777" w:rsidR="00AB2CF8" w:rsidRPr="004676F5" w:rsidRDefault="00AB2CF8" w:rsidP="00AB2CF8">
      <w:pPr>
        <w:ind w:firstLine="708"/>
        <w:jc w:val="both"/>
        <w:rPr>
          <w:lang w:val="de-DE"/>
        </w:rPr>
      </w:pPr>
    </w:p>
    <w:p w14:paraId="268122A1" w14:textId="718CE4BC" w:rsidR="00AB2CF8" w:rsidRPr="004676F5" w:rsidRDefault="00AB2CF8" w:rsidP="00AB2CF8">
      <w:pPr>
        <w:ind w:firstLine="708"/>
        <w:jc w:val="both"/>
        <w:rPr>
          <w:lang w:val="de-DE"/>
        </w:rPr>
      </w:pPr>
      <w:r w:rsidRPr="004676F5">
        <w:rPr>
          <w:lang w:val="de-DE"/>
        </w:rPr>
        <w:t>[</w:t>
      </w:r>
      <w:r w:rsidRPr="004676F5">
        <w:rPr>
          <w:b/>
          <w:lang w:val="de-DE"/>
        </w:rPr>
        <w:t>Art. X.48</w:t>
      </w:r>
      <w:r w:rsidRPr="004676F5">
        <w:rPr>
          <w:lang w:val="de-DE"/>
        </w:rPr>
        <w:t> </w:t>
      </w:r>
      <w:r w:rsidR="005B7A5C" w:rsidRPr="004676F5">
        <w:rPr>
          <w:lang w:val="de-DE"/>
        </w:rPr>
        <w:t>- </w:t>
      </w:r>
      <w:r w:rsidRPr="004676F5">
        <w:rPr>
          <w:lang w:val="de-DE"/>
        </w:rPr>
        <w:t>Im Fall einer Verweigerung beförderter Güter oder einer Streitigkeit in Bezug auf ihre Annahme wird der Zustand der Güter auf Verlangen eines Interessehabenden von einem oder drei Sachverständigen überprüft, die durch einen Beschluss des Präsidenten des Unternehmensgerichts bestellt werden, der unten auf einem entsprechenden Antrag vermerkt wird.</w:t>
      </w:r>
    </w:p>
    <w:p w14:paraId="431A3801" w14:textId="77777777" w:rsidR="00AB2CF8" w:rsidRPr="004676F5" w:rsidRDefault="00AB2CF8" w:rsidP="00AB2CF8">
      <w:pPr>
        <w:ind w:firstLine="708"/>
        <w:jc w:val="both"/>
        <w:rPr>
          <w:lang w:val="de-DE"/>
        </w:rPr>
      </w:pPr>
    </w:p>
    <w:p w14:paraId="5FE35D12" w14:textId="77777777" w:rsidR="00AB2CF8" w:rsidRPr="004676F5" w:rsidRDefault="00AB2CF8" w:rsidP="00AB2CF8">
      <w:pPr>
        <w:ind w:firstLine="708"/>
        <w:jc w:val="both"/>
        <w:rPr>
          <w:lang w:val="de-DE"/>
        </w:rPr>
      </w:pPr>
      <w:r w:rsidRPr="004676F5">
        <w:rPr>
          <w:lang w:val="de-DE"/>
        </w:rPr>
        <w:t>Der Empfänger der beförderten Güter wird per Einschreibesendung, in der Tag und Uhrzeit der Begutachtung angegeben sind, vorgeladen.</w:t>
      </w:r>
    </w:p>
    <w:p w14:paraId="30766C28" w14:textId="77777777" w:rsidR="00AB2CF8" w:rsidRPr="004676F5" w:rsidRDefault="00AB2CF8" w:rsidP="00AB2CF8">
      <w:pPr>
        <w:ind w:firstLine="708"/>
        <w:jc w:val="both"/>
        <w:rPr>
          <w:lang w:val="de-DE"/>
        </w:rPr>
      </w:pPr>
    </w:p>
    <w:p w14:paraId="4A201498" w14:textId="77777777" w:rsidR="00AB2CF8" w:rsidRPr="004676F5" w:rsidRDefault="00AB2CF8" w:rsidP="00AB2CF8">
      <w:pPr>
        <w:ind w:firstLine="708"/>
        <w:jc w:val="both"/>
        <w:rPr>
          <w:lang w:val="de-DE"/>
        </w:rPr>
      </w:pPr>
      <w:r w:rsidRPr="004676F5">
        <w:rPr>
          <w:lang w:val="de-DE"/>
        </w:rPr>
        <w:t>Im Beschluss kann die Verwahrung oder Sequestration der Güter und ihre Beförderung zu einem öffentlichen oder privaten Lagerhaus vorgeschrieben werden.</w:t>
      </w:r>
    </w:p>
    <w:p w14:paraId="4BC2F1CC" w14:textId="77777777" w:rsidR="00AB2CF8" w:rsidRPr="004676F5" w:rsidRDefault="00AB2CF8" w:rsidP="00AB2CF8">
      <w:pPr>
        <w:ind w:firstLine="708"/>
        <w:jc w:val="both"/>
        <w:rPr>
          <w:lang w:val="de-DE"/>
        </w:rPr>
      </w:pPr>
    </w:p>
    <w:p w14:paraId="10C2EC24" w14:textId="77777777" w:rsidR="00AB2CF8" w:rsidRPr="004676F5" w:rsidRDefault="00AB2CF8" w:rsidP="00AB2CF8">
      <w:pPr>
        <w:ind w:firstLine="708"/>
        <w:jc w:val="both"/>
        <w:rPr>
          <w:lang w:val="de-DE"/>
        </w:rPr>
      </w:pPr>
      <w:r w:rsidRPr="004676F5">
        <w:rPr>
          <w:lang w:val="de-DE"/>
        </w:rPr>
        <w:t>Im Beschluss kann der Verkauf der Güter zugunsten des Frachtführers oder Kommissionärs bis zum Betrag, der ihm aufgrund der Beförderung geschuldet wird, angeordnet werden. Dieser Verkauf erfolgt öffentlich in einer vom Präsidenten bestimmten Ortschaft, und zwar frühestens drei Werktage nach Zusendung der diesbezüglichen Bekanntmachung an den Empfänger und den Absender.</w:t>
      </w:r>
    </w:p>
    <w:p w14:paraId="20E9CA11" w14:textId="77777777" w:rsidR="00AB2CF8" w:rsidRPr="004676F5" w:rsidRDefault="00AB2CF8" w:rsidP="00AB2CF8">
      <w:pPr>
        <w:ind w:firstLine="708"/>
        <w:jc w:val="both"/>
        <w:rPr>
          <w:lang w:val="de-DE"/>
        </w:rPr>
      </w:pPr>
    </w:p>
    <w:p w14:paraId="43F9AF5D" w14:textId="77777777" w:rsidR="00AB2CF8" w:rsidRPr="004676F5" w:rsidRDefault="00AB2CF8" w:rsidP="00AB2CF8">
      <w:pPr>
        <w:ind w:firstLine="708"/>
        <w:jc w:val="both"/>
        <w:rPr>
          <w:lang w:val="de-DE"/>
        </w:rPr>
      </w:pPr>
      <w:r w:rsidRPr="004676F5">
        <w:rPr>
          <w:lang w:val="de-DE"/>
        </w:rPr>
        <w:t>Diese Frist wird verdoppelt, wenn einer der Interessehabenden im Ausland wohnt.</w:t>
      </w:r>
    </w:p>
    <w:p w14:paraId="5CC95DAC" w14:textId="77777777" w:rsidR="00AB2CF8" w:rsidRPr="004676F5" w:rsidRDefault="00AB2CF8" w:rsidP="00AB2CF8">
      <w:pPr>
        <w:ind w:firstLine="708"/>
        <w:jc w:val="both"/>
        <w:rPr>
          <w:lang w:val="de-DE"/>
        </w:rPr>
      </w:pPr>
    </w:p>
    <w:p w14:paraId="341B75FD" w14:textId="77777777" w:rsidR="00AB2CF8" w:rsidRPr="004676F5" w:rsidRDefault="00AB2CF8" w:rsidP="00AB2CF8">
      <w:pPr>
        <w:ind w:firstLine="708"/>
        <w:jc w:val="both"/>
        <w:rPr>
          <w:lang w:val="de-DE"/>
        </w:rPr>
      </w:pPr>
      <w:r w:rsidRPr="004676F5">
        <w:rPr>
          <w:lang w:val="de-DE"/>
        </w:rPr>
        <w:t>Im Dringlichkeitsfall kann der Präsident diese Fristen verkürzen.</w:t>
      </w:r>
    </w:p>
    <w:p w14:paraId="1C8A30F8" w14:textId="77777777" w:rsidR="00AB2CF8" w:rsidRPr="004676F5" w:rsidRDefault="00AB2CF8" w:rsidP="00AB2CF8">
      <w:pPr>
        <w:ind w:firstLine="708"/>
        <w:jc w:val="both"/>
        <w:rPr>
          <w:lang w:val="de-DE"/>
        </w:rPr>
      </w:pPr>
    </w:p>
    <w:p w14:paraId="7C856D8F" w14:textId="4C0F8371" w:rsidR="00AB2CF8" w:rsidRPr="004676F5" w:rsidRDefault="00AB2CF8" w:rsidP="00AB2CF8">
      <w:pPr>
        <w:ind w:firstLine="708"/>
        <w:jc w:val="both"/>
        <w:rPr>
          <w:lang w:val="de-DE"/>
        </w:rPr>
      </w:pPr>
      <w:r w:rsidRPr="004676F5">
        <w:rPr>
          <w:lang w:val="de-DE"/>
        </w:rPr>
        <w:t>Gegen den Beschluss kann weder Einspruch noch Berufung eingelegt werden. Er ist bei Vorlage der Urschrift und vor der Registrierung vollstreckbar.]</w:t>
      </w:r>
    </w:p>
    <w:p w14:paraId="0A325F98" w14:textId="498A0004" w:rsidR="00AB2CF8" w:rsidRPr="004676F5" w:rsidRDefault="00AB2CF8" w:rsidP="00AB2CF8">
      <w:pPr>
        <w:ind w:firstLine="708"/>
        <w:jc w:val="both"/>
        <w:rPr>
          <w:lang w:val="de-DE"/>
        </w:rPr>
      </w:pPr>
    </w:p>
    <w:p w14:paraId="45FEAF68" w14:textId="46E16994" w:rsidR="00AB2CF8" w:rsidRPr="004676F5" w:rsidRDefault="00AB2CF8" w:rsidP="00AB2CF8">
      <w:pPr>
        <w:jc w:val="both"/>
        <w:rPr>
          <w:i/>
          <w:lang w:val="de-DE"/>
        </w:rPr>
      </w:pPr>
      <w:r w:rsidRPr="004676F5">
        <w:rPr>
          <w:i/>
          <w:lang w:val="de-DE"/>
        </w:rPr>
        <w:t>[Art. X.48 eingefügt durch Art. 181 des G. vom 15. April 2018 (B.S. vom 27. April 2018)]</w:t>
      </w:r>
    </w:p>
    <w:p w14:paraId="4E2F8354" w14:textId="77777777" w:rsidR="00AB2CF8" w:rsidRPr="004676F5" w:rsidRDefault="00AB2CF8" w:rsidP="00AB2CF8">
      <w:pPr>
        <w:ind w:firstLine="708"/>
        <w:jc w:val="both"/>
        <w:rPr>
          <w:lang w:val="de-DE"/>
        </w:rPr>
      </w:pPr>
    </w:p>
    <w:p w14:paraId="132C0559" w14:textId="77777777" w:rsidR="00AB2CF8" w:rsidRPr="004676F5" w:rsidRDefault="00AB2CF8" w:rsidP="00AB2CF8">
      <w:pPr>
        <w:ind w:firstLine="708"/>
        <w:jc w:val="both"/>
        <w:rPr>
          <w:lang w:val="de-DE"/>
        </w:rPr>
      </w:pPr>
    </w:p>
    <w:p w14:paraId="1AD5E66D" w14:textId="5AB30126" w:rsidR="00AB2CF8" w:rsidRPr="004676F5" w:rsidRDefault="00AB2CF8" w:rsidP="00AB2CF8">
      <w:pPr>
        <w:ind w:firstLine="708"/>
        <w:jc w:val="both"/>
        <w:rPr>
          <w:lang w:val="de-DE"/>
        </w:rPr>
      </w:pPr>
      <w:r w:rsidRPr="004676F5">
        <w:rPr>
          <w:lang w:val="de-DE"/>
        </w:rPr>
        <w:t>[</w:t>
      </w:r>
      <w:r w:rsidRPr="004676F5">
        <w:rPr>
          <w:b/>
          <w:lang w:val="de-DE"/>
        </w:rPr>
        <w:t>Art. X.49</w:t>
      </w:r>
      <w:r w:rsidRPr="004676F5">
        <w:rPr>
          <w:lang w:val="de-DE"/>
        </w:rPr>
        <w:t> </w:t>
      </w:r>
      <w:r w:rsidR="005B7A5C" w:rsidRPr="004676F5">
        <w:rPr>
          <w:lang w:val="de-DE"/>
        </w:rPr>
        <w:t>- </w:t>
      </w:r>
      <w:r w:rsidRPr="004676F5">
        <w:rPr>
          <w:lang w:val="de-DE"/>
        </w:rPr>
        <w:t>Klagen, die aus einem Vertrag über die Beförderung von Gütern entstehen, mit Ausnahme von Krankentransporten und von Klagen, die Folge einer Straftat sind, verjähren bei inländischen Beförderungen in sechs Monaten und bei internationalen Beförderungen in einem Jahr.</w:t>
      </w:r>
    </w:p>
    <w:p w14:paraId="1AF594D4" w14:textId="77777777" w:rsidR="00AB2CF8" w:rsidRPr="004676F5" w:rsidRDefault="00AB2CF8" w:rsidP="00AB2CF8">
      <w:pPr>
        <w:ind w:firstLine="708"/>
        <w:jc w:val="both"/>
        <w:rPr>
          <w:lang w:val="de-DE"/>
        </w:rPr>
      </w:pPr>
    </w:p>
    <w:p w14:paraId="5A5B4974" w14:textId="77777777" w:rsidR="00AB2CF8" w:rsidRPr="004676F5" w:rsidRDefault="00AB2CF8" w:rsidP="00AB2CF8">
      <w:pPr>
        <w:ind w:firstLine="708"/>
        <w:jc w:val="both"/>
        <w:rPr>
          <w:lang w:val="de-DE"/>
        </w:rPr>
      </w:pPr>
      <w:r w:rsidRPr="004676F5">
        <w:rPr>
          <w:lang w:val="de-DE"/>
        </w:rPr>
        <w:t>Im Fall eines Totalverlusts oder einer Verspätung läuft die Verjährungsfrist ab dem Tag, an dem die Beförderung erfolgen sollte, und im Fall eines Teilverlusts oder einer Beschädigung ab dem Tag der Übergabe der Güter. Bei unrechtmäßiger Anwendung des Tarifs oder Rechenfehlern bei der Festlegung der Beförderungskosten und Nebenkosten läuft die Verjährungsfrist ab dem Tag der Zahlung.</w:t>
      </w:r>
    </w:p>
    <w:p w14:paraId="7B1DC912" w14:textId="77777777" w:rsidR="00AB2CF8" w:rsidRPr="004676F5" w:rsidRDefault="00AB2CF8" w:rsidP="00AB2CF8">
      <w:pPr>
        <w:ind w:firstLine="708"/>
        <w:jc w:val="both"/>
        <w:rPr>
          <w:lang w:val="de-DE"/>
        </w:rPr>
      </w:pPr>
    </w:p>
    <w:p w14:paraId="40B7A0E3" w14:textId="12FCF61F" w:rsidR="00AB2CF8" w:rsidRPr="004676F5" w:rsidRDefault="00AB2CF8" w:rsidP="00AB2CF8">
      <w:pPr>
        <w:ind w:firstLine="708"/>
        <w:jc w:val="both"/>
        <w:rPr>
          <w:lang w:val="de-DE"/>
        </w:rPr>
      </w:pPr>
      <w:r w:rsidRPr="004676F5">
        <w:rPr>
          <w:lang w:val="de-DE"/>
        </w:rPr>
        <w:t xml:space="preserve">Klagen, die aus einem Vertrag über die Beförderung von Personen entstehen, mit Ausnahme von Klagen, die Folge einer Straftat sind, verjähren </w:t>
      </w:r>
      <w:r w:rsidR="00410628" w:rsidRPr="004676F5">
        <w:rPr>
          <w:lang w:val="de-DE"/>
        </w:rPr>
        <w:t>[</w:t>
      </w:r>
      <w:r w:rsidRPr="004676F5">
        <w:rPr>
          <w:lang w:val="de-DE"/>
        </w:rPr>
        <w:t xml:space="preserve">in </w:t>
      </w:r>
      <w:r w:rsidR="00410628" w:rsidRPr="004676F5">
        <w:rPr>
          <w:lang w:val="de-DE"/>
        </w:rPr>
        <w:t>zwei</w:t>
      </w:r>
      <w:r w:rsidRPr="004676F5">
        <w:rPr>
          <w:lang w:val="de-DE"/>
        </w:rPr>
        <w:t xml:space="preserve"> Jahr</w:t>
      </w:r>
      <w:r w:rsidR="00410628" w:rsidRPr="004676F5">
        <w:rPr>
          <w:lang w:val="de-DE"/>
        </w:rPr>
        <w:t>en]</w:t>
      </w:r>
      <w:r w:rsidRPr="004676F5">
        <w:rPr>
          <w:lang w:val="de-DE"/>
        </w:rPr>
        <w:t>.</w:t>
      </w:r>
    </w:p>
    <w:p w14:paraId="5FA40D4A" w14:textId="77777777" w:rsidR="00AB2CF8" w:rsidRPr="004676F5" w:rsidRDefault="00AB2CF8" w:rsidP="00AB2CF8">
      <w:pPr>
        <w:ind w:firstLine="708"/>
        <w:jc w:val="both"/>
        <w:rPr>
          <w:lang w:val="de-DE"/>
        </w:rPr>
      </w:pPr>
    </w:p>
    <w:p w14:paraId="339EAE25" w14:textId="77777777" w:rsidR="00AB2CF8" w:rsidRPr="004676F5" w:rsidRDefault="00AB2CF8" w:rsidP="00AB2CF8">
      <w:pPr>
        <w:ind w:firstLine="708"/>
        <w:jc w:val="both"/>
        <w:rPr>
          <w:lang w:val="de-DE"/>
        </w:rPr>
      </w:pPr>
      <w:r w:rsidRPr="004676F5">
        <w:rPr>
          <w:lang w:val="de-DE"/>
        </w:rPr>
        <w:t>Die Verjährungsfrist läuft ab dem Tag der Tat, die zur Klage Anlass gegeben hat.</w:t>
      </w:r>
    </w:p>
    <w:p w14:paraId="698B883F" w14:textId="77777777" w:rsidR="00AB2CF8" w:rsidRPr="004676F5" w:rsidRDefault="00AB2CF8" w:rsidP="00AB2CF8">
      <w:pPr>
        <w:ind w:firstLine="708"/>
        <w:jc w:val="both"/>
        <w:rPr>
          <w:lang w:val="de-DE"/>
        </w:rPr>
      </w:pPr>
    </w:p>
    <w:p w14:paraId="28F6CBAE" w14:textId="0926BAD0" w:rsidR="00AB2CF8" w:rsidRPr="004676F5" w:rsidRDefault="00AB2CF8" w:rsidP="00AB2CF8">
      <w:pPr>
        <w:ind w:firstLine="708"/>
        <w:jc w:val="both"/>
        <w:rPr>
          <w:lang w:val="de-DE"/>
        </w:rPr>
      </w:pPr>
      <w:r w:rsidRPr="004676F5">
        <w:rPr>
          <w:lang w:val="de-DE"/>
        </w:rPr>
        <w:t>Regressklagen müssen zur Vermeidung des Verfalls innerhalb eines Monats nach der Ladung, die Anlass zum Regress gibt, eingereicht werden.]</w:t>
      </w:r>
    </w:p>
    <w:p w14:paraId="2DD976CF" w14:textId="0AAFB45A" w:rsidR="00AB2CF8" w:rsidRPr="004676F5" w:rsidRDefault="00AB2CF8" w:rsidP="00AB2CF8">
      <w:pPr>
        <w:ind w:firstLine="708"/>
        <w:jc w:val="both"/>
        <w:rPr>
          <w:lang w:val="de-DE"/>
        </w:rPr>
      </w:pPr>
    </w:p>
    <w:p w14:paraId="11966A26" w14:textId="11C2ECAD" w:rsidR="00AB2CF8" w:rsidRPr="004676F5" w:rsidRDefault="00AB2CF8" w:rsidP="00AB2CF8">
      <w:pPr>
        <w:jc w:val="both"/>
        <w:rPr>
          <w:i/>
          <w:lang w:val="de-DE"/>
        </w:rPr>
      </w:pPr>
      <w:r w:rsidRPr="004676F5">
        <w:rPr>
          <w:i/>
          <w:lang w:val="de-DE"/>
        </w:rPr>
        <w:t>[Art. X.49 eingefügt durch Art. 182 des G. vom 15. April 2018 (B.S. vom 27. April 2018)</w:t>
      </w:r>
      <w:r w:rsidR="00410628" w:rsidRPr="004676F5">
        <w:rPr>
          <w:i/>
          <w:lang w:val="de-DE"/>
        </w:rPr>
        <w:t>; Abs. 3 abgeändert durch Art. 25 des G. vom 5. November 2023</w:t>
      </w:r>
      <w:r w:rsidR="003454B3" w:rsidRPr="004676F5">
        <w:rPr>
          <w:i/>
          <w:lang w:val="de-DE"/>
        </w:rPr>
        <w:t xml:space="preserve"> (I) </w:t>
      </w:r>
      <w:r w:rsidR="00410628" w:rsidRPr="004676F5">
        <w:rPr>
          <w:i/>
          <w:lang w:val="de-DE"/>
        </w:rPr>
        <w:t>(B.S. vom 11. Dezember 2023)</w:t>
      </w:r>
      <w:r w:rsidRPr="004676F5">
        <w:rPr>
          <w:i/>
          <w:lang w:val="de-DE"/>
        </w:rPr>
        <w:t>]</w:t>
      </w:r>
    </w:p>
    <w:p w14:paraId="11A6894F" w14:textId="0A901EF9" w:rsidR="00AB2CF8" w:rsidRPr="004676F5" w:rsidRDefault="00AB2CF8" w:rsidP="00AB2CF8">
      <w:pPr>
        <w:ind w:firstLine="708"/>
        <w:jc w:val="both"/>
        <w:rPr>
          <w:lang w:val="de-DE"/>
        </w:rPr>
      </w:pPr>
    </w:p>
    <w:p w14:paraId="5600DBC6" w14:textId="79FC16EE" w:rsidR="00AB2CF8" w:rsidRPr="004676F5" w:rsidRDefault="00AB2CF8" w:rsidP="00AB2CF8">
      <w:pPr>
        <w:ind w:firstLine="708"/>
        <w:jc w:val="both"/>
        <w:rPr>
          <w:lang w:val="de-DE"/>
        </w:rPr>
      </w:pPr>
    </w:p>
    <w:p w14:paraId="56710B0B" w14:textId="50FD5A65" w:rsidR="00AB2CF8" w:rsidRPr="004676F5" w:rsidRDefault="00AB2CF8" w:rsidP="00AB2CF8">
      <w:pPr>
        <w:ind w:firstLine="708"/>
        <w:jc w:val="both"/>
        <w:rPr>
          <w:lang w:val="de-DE"/>
        </w:rPr>
      </w:pPr>
      <w:r w:rsidRPr="004676F5">
        <w:rPr>
          <w:lang w:val="de-DE"/>
        </w:rPr>
        <w:t>[</w:t>
      </w:r>
      <w:r w:rsidRPr="004676F5">
        <w:rPr>
          <w:b/>
          <w:lang w:val="de-DE"/>
        </w:rPr>
        <w:t>Art. X.50</w:t>
      </w:r>
      <w:r w:rsidRPr="004676F5">
        <w:rPr>
          <w:lang w:val="de-DE"/>
        </w:rPr>
        <w:t> </w:t>
      </w:r>
      <w:r w:rsidR="005B7A5C" w:rsidRPr="004676F5">
        <w:rPr>
          <w:lang w:val="de-DE"/>
        </w:rPr>
        <w:t>- </w:t>
      </w:r>
      <w:r w:rsidRPr="004676F5">
        <w:rPr>
          <w:lang w:val="de-DE"/>
        </w:rPr>
        <w:t>Vorbehaltlich Abweichung ist vorliegender Titel auch auf Eisenbahn</w:t>
      </w:r>
      <w:r w:rsidRPr="004676F5">
        <w:rPr>
          <w:lang w:val="de-DE"/>
        </w:rPr>
        <w:softHyphen/>
        <w:t>unternehmen anwendbar.]</w:t>
      </w:r>
    </w:p>
    <w:p w14:paraId="123F5DD8" w14:textId="23FFE895" w:rsidR="00AB2CF8" w:rsidRPr="004676F5" w:rsidRDefault="00AB2CF8" w:rsidP="00AB2CF8">
      <w:pPr>
        <w:ind w:firstLine="708"/>
        <w:jc w:val="both"/>
        <w:rPr>
          <w:lang w:val="de-DE"/>
        </w:rPr>
      </w:pPr>
    </w:p>
    <w:p w14:paraId="613B61AB" w14:textId="64B3A132" w:rsidR="00AB2CF8" w:rsidRPr="004676F5" w:rsidRDefault="00AB2CF8" w:rsidP="00AB2CF8">
      <w:pPr>
        <w:jc w:val="both"/>
        <w:rPr>
          <w:i/>
          <w:lang w:val="de-DE"/>
        </w:rPr>
      </w:pPr>
      <w:r w:rsidRPr="004676F5">
        <w:rPr>
          <w:i/>
          <w:lang w:val="de-DE"/>
        </w:rPr>
        <w:t>[Art. X.50 eingefügt durch Art. 183 des G. vom 15. April 2018 (B.S. vom 27. April 2018)]</w:t>
      </w:r>
    </w:p>
    <w:p w14:paraId="2B8A700D" w14:textId="77777777" w:rsidR="00AB2CF8" w:rsidRPr="004676F5" w:rsidRDefault="00AB2CF8" w:rsidP="00AB2CF8">
      <w:pPr>
        <w:ind w:firstLine="708"/>
        <w:jc w:val="both"/>
        <w:rPr>
          <w:lang w:val="de-DE"/>
        </w:rPr>
      </w:pPr>
    </w:p>
    <w:p w14:paraId="25F902F3" w14:textId="77777777" w:rsidR="00AB2CF8" w:rsidRPr="004676F5" w:rsidRDefault="00AB2CF8" w:rsidP="00AB2CF8">
      <w:pPr>
        <w:ind w:firstLine="708"/>
        <w:jc w:val="both"/>
        <w:rPr>
          <w:lang w:val="de-DE"/>
        </w:rPr>
      </w:pPr>
    </w:p>
    <w:p w14:paraId="67B3EE2B" w14:textId="644DC65C" w:rsidR="00AB2CF8" w:rsidRPr="004676F5" w:rsidRDefault="00AB2CF8" w:rsidP="00AB2CF8">
      <w:pPr>
        <w:ind w:firstLine="708"/>
        <w:jc w:val="both"/>
        <w:rPr>
          <w:lang w:val="de-DE"/>
        </w:rPr>
      </w:pPr>
      <w:r w:rsidRPr="004676F5">
        <w:rPr>
          <w:lang w:val="de-DE"/>
        </w:rPr>
        <w:t>[</w:t>
      </w:r>
      <w:r w:rsidRPr="004676F5">
        <w:rPr>
          <w:b/>
          <w:lang w:val="de-DE"/>
        </w:rPr>
        <w:t>Art. X.51</w:t>
      </w:r>
      <w:r w:rsidRPr="004676F5">
        <w:rPr>
          <w:lang w:val="de-DE"/>
        </w:rPr>
        <w:t> </w:t>
      </w:r>
      <w:r w:rsidR="005B7A5C" w:rsidRPr="004676F5">
        <w:rPr>
          <w:lang w:val="de-DE"/>
        </w:rPr>
        <w:t>- </w:t>
      </w:r>
      <w:r w:rsidRPr="004676F5">
        <w:rPr>
          <w:lang w:val="de-DE"/>
        </w:rPr>
        <w:t>Die Nationale Gesellschaft der Belgischen Eisenbahnen ist verpflichtet, unter den im Geschäftsführungsvertrag festgelegten Bedingungen im Inlandsverkehr sämtliche Personenbeförderungen durchzuführen, die mit den normalen Beförderungsmitteln erfolgen können, die es ermöglichen, den regelmäßigen Verkehrsbedürfnissen zu entsprechen.]</w:t>
      </w:r>
    </w:p>
    <w:p w14:paraId="57C0705D" w14:textId="0CA3719C" w:rsidR="00AB2CF8" w:rsidRPr="004676F5" w:rsidRDefault="00AB2CF8" w:rsidP="00AB2CF8">
      <w:pPr>
        <w:ind w:firstLine="708"/>
        <w:jc w:val="both"/>
        <w:rPr>
          <w:lang w:val="de-DE"/>
        </w:rPr>
      </w:pPr>
    </w:p>
    <w:p w14:paraId="7398CF5E" w14:textId="389F37E8" w:rsidR="00AB2CF8" w:rsidRPr="004676F5" w:rsidRDefault="00AB2CF8" w:rsidP="00AB2CF8">
      <w:pPr>
        <w:jc w:val="both"/>
        <w:rPr>
          <w:i/>
          <w:lang w:val="de-DE"/>
        </w:rPr>
      </w:pPr>
      <w:r w:rsidRPr="004676F5">
        <w:rPr>
          <w:i/>
          <w:lang w:val="de-DE"/>
        </w:rPr>
        <w:t>[Art. X.51 eingefügt durch Art. 184 des G. vom 15. April 2018 (B.S. vom 27. April 2018)]</w:t>
      </w:r>
    </w:p>
    <w:p w14:paraId="754A2EA2" w14:textId="77777777" w:rsidR="00AB2CF8" w:rsidRPr="004676F5" w:rsidRDefault="00AB2CF8" w:rsidP="00AB2CF8">
      <w:pPr>
        <w:ind w:firstLine="708"/>
        <w:jc w:val="both"/>
        <w:rPr>
          <w:lang w:val="de-DE"/>
        </w:rPr>
      </w:pPr>
    </w:p>
    <w:p w14:paraId="37243D44" w14:textId="77777777" w:rsidR="00AB2CF8" w:rsidRPr="004676F5" w:rsidRDefault="00AB2CF8" w:rsidP="00AB2CF8">
      <w:pPr>
        <w:ind w:firstLine="708"/>
        <w:jc w:val="both"/>
        <w:rPr>
          <w:lang w:val="de-DE"/>
        </w:rPr>
      </w:pPr>
    </w:p>
    <w:p w14:paraId="044F259C" w14:textId="526A7884" w:rsidR="00AB2CF8" w:rsidRPr="004676F5" w:rsidRDefault="003017FE" w:rsidP="00AB2CF8">
      <w:pPr>
        <w:ind w:firstLine="708"/>
        <w:jc w:val="both"/>
        <w:rPr>
          <w:lang w:val="de-DE"/>
        </w:rPr>
      </w:pPr>
      <w:r w:rsidRPr="004676F5">
        <w:rPr>
          <w:lang w:val="de-DE"/>
        </w:rPr>
        <w:t>[</w:t>
      </w:r>
      <w:r w:rsidR="00AB2CF8" w:rsidRPr="004676F5">
        <w:rPr>
          <w:b/>
          <w:lang w:val="de-DE"/>
        </w:rPr>
        <w:t>Art. X.52</w:t>
      </w:r>
      <w:r w:rsidR="00AB2CF8" w:rsidRPr="004676F5">
        <w:rPr>
          <w:lang w:val="de-DE"/>
        </w:rPr>
        <w:t> </w:t>
      </w:r>
      <w:r w:rsidR="005B7A5C" w:rsidRPr="004676F5">
        <w:rPr>
          <w:lang w:val="de-DE"/>
        </w:rPr>
        <w:t>- </w:t>
      </w:r>
      <w:r w:rsidR="00AB2CF8" w:rsidRPr="004676F5">
        <w:rPr>
          <w:lang w:val="de-DE"/>
        </w:rPr>
        <w:t xml:space="preserve">Auf die Personenbeförderung im Inlandsverkehr anwendbare Tarife werden durch Bekanntmachungen im </w:t>
      </w:r>
      <w:r w:rsidR="00AB2CF8" w:rsidRPr="004676F5">
        <w:rPr>
          <w:i/>
          <w:iCs/>
          <w:lang w:val="de-DE"/>
        </w:rPr>
        <w:t>Belgischen Staatsblatt</w:t>
      </w:r>
      <w:r w:rsidRPr="004676F5">
        <w:rPr>
          <w:lang w:val="de-DE"/>
        </w:rPr>
        <w:t xml:space="preserve"> veröffentlicht.]</w:t>
      </w:r>
    </w:p>
    <w:p w14:paraId="7404FEE4" w14:textId="77777777" w:rsidR="003017FE" w:rsidRPr="004676F5" w:rsidRDefault="003017FE" w:rsidP="00AB2CF8">
      <w:pPr>
        <w:ind w:firstLine="708"/>
        <w:jc w:val="both"/>
        <w:rPr>
          <w:lang w:val="de-DE"/>
        </w:rPr>
      </w:pPr>
    </w:p>
    <w:p w14:paraId="1DC1AA2C" w14:textId="62E3FBE5" w:rsidR="003017FE" w:rsidRPr="004676F5" w:rsidRDefault="003017FE" w:rsidP="003017FE">
      <w:pPr>
        <w:jc w:val="both"/>
        <w:rPr>
          <w:i/>
          <w:lang w:val="de-DE"/>
        </w:rPr>
      </w:pPr>
      <w:r w:rsidRPr="004676F5">
        <w:rPr>
          <w:i/>
          <w:lang w:val="de-DE"/>
        </w:rPr>
        <w:t>[Art. X.52 eingefügt durch Art. 185 des G. vom 15. April 2018 (B.S. vom 27. April 2018)]</w:t>
      </w:r>
    </w:p>
    <w:p w14:paraId="6B628538" w14:textId="77777777" w:rsidR="00AB2CF8" w:rsidRPr="004676F5" w:rsidRDefault="00AB2CF8" w:rsidP="00AB2CF8">
      <w:pPr>
        <w:ind w:firstLine="708"/>
        <w:jc w:val="both"/>
        <w:rPr>
          <w:lang w:val="de-DE"/>
        </w:rPr>
      </w:pPr>
    </w:p>
    <w:p w14:paraId="3796A2EC" w14:textId="77777777" w:rsidR="003017FE" w:rsidRPr="004676F5" w:rsidRDefault="003017FE" w:rsidP="00AB2CF8">
      <w:pPr>
        <w:ind w:firstLine="708"/>
        <w:jc w:val="both"/>
        <w:rPr>
          <w:lang w:val="de-DE"/>
        </w:rPr>
      </w:pPr>
    </w:p>
    <w:p w14:paraId="2BFC8DFC" w14:textId="2469E5F3" w:rsidR="00AB2CF8" w:rsidRPr="004676F5" w:rsidRDefault="003017FE" w:rsidP="00AB2CF8">
      <w:pPr>
        <w:ind w:firstLine="708"/>
        <w:jc w:val="both"/>
        <w:rPr>
          <w:lang w:val="de-DE"/>
        </w:rPr>
      </w:pPr>
      <w:r w:rsidRPr="004676F5">
        <w:rPr>
          <w:lang w:val="de-DE"/>
        </w:rPr>
        <w:t>[</w:t>
      </w:r>
      <w:r w:rsidR="00AB2CF8" w:rsidRPr="004676F5">
        <w:rPr>
          <w:b/>
          <w:lang w:val="de-DE"/>
        </w:rPr>
        <w:t>Art. X.53</w:t>
      </w:r>
      <w:r w:rsidR="00AB2CF8" w:rsidRPr="004676F5">
        <w:rPr>
          <w:lang w:val="de-DE"/>
        </w:rPr>
        <w:t> </w:t>
      </w:r>
      <w:r w:rsidR="005B7A5C" w:rsidRPr="004676F5">
        <w:rPr>
          <w:lang w:val="de-DE"/>
        </w:rPr>
        <w:t>- </w:t>
      </w:r>
      <w:r w:rsidR="00AB2CF8" w:rsidRPr="004676F5">
        <w:rPr>
          <w:lang w:val="de-DE"/>
        </w:rPr>
        <w:t xml:space="preserve">In einer Regelung sind die Bedingungen festgelegt, unter denen Reisende zur Beförderung zugelassen werden. In dieser Regelung sind die Reisenden angegeben, die nicht in </w:t>
      </w:r>
      <w:r w:rsidRPr="004676F5">
        <w:rPr>
          <w:lang w:val="de-DE"/>
        </w:rPr>
        <w:t>Zügen zugelassen werden dürfen.]</w:t>
      </w:r>
    </w:p>
    <w:p w14:paraId="43DA68A8" w14:textId="2CEDD2FE" w:rsidR="003017FE" w:rsidRPr="004676F5" w:rsidRDefault="003017FE" w:rsidP="00AB2CF8">
      <w:pPr>
        <w:ind w:firstLine="708"/>
        <w:jc w:val="both"/>
        <w:rPr>
          <w:lang w:val="de-DE"/>
        </w:rPr>
      </w:pPr>
    </w:p>
    <w:p w14:paraId="33271D78" w14:textId="2D6A7700" w:rsidR="003017FE" w:rsidRPr="004676F5" w:rsidRDefault="003017FE" w:rsidP="003017FE">
      <w:pPr>
        <w:jc w:val="both"/>
        <w:rPr>
          <w:i/>
          <w:lang w:val="de-DE"/>
        </w:rPr>
      </w:pPr>
      <w:r w:rsidRPr="004676F5">
        <w:rPr>
          <w:i/>
          <w:lang w:val="de-DE"/>
        </w:rPr>
        <w:t>[Art. X.53 eingefügt durch Art. 186 des G. vom 15. April 2018 (B.S. vom 27. April 2018)]</w:t>
      </w:r>
    </w:p>
    <w:p w14:paraId="3AC42B92" w14:textId="77777777" w:rsidR="003017FE" w:rsidRPr="004676F5" w:rsidRDefault="003017FE" w:rsidP="00AB2CF8">
      <w:pPr>
        <w:ind w:firstLine="708"/>
        <w:jc w:val="both"/>
        <w:rPr>
          <w:lang w:val="de-DE"/>
        </w:rPr>
      </w:pPr>
    </w:p>
    <w:p w14:paraId="124C877B" w14:textId="77777777" w:rsidR="00AB2CF8" w:rsidRPr="004676F5" w:rsidRDefault="00AB2CF8" w:rsidP="00AB2CF8">
      <w:pPr>
        <w:ind w:firstLine="708"/>
        <w:jc w:val="both"/>
        <w:rPr>
          <w:lang w:val="de-DE"/>
        </w:rPr>
      </w:pPr>
    </w:p>
    <w:p w14:paraId="1CF63900" w14:textId="67B8A5F2" w:rsidR="00AB2CF8" w:rsidRPr="004676F5" w:rsidRDefault="003017FE" w:rsidP="00AB2CF8">
      <w:pPr>
        <w:ind w:firstLine="708"/>
        <w:jc w:val="both"/>
        <w:rPr>
          <w:lang w:val="de-DE"/>
        </w:rPr>
      </w:pPr>
      <w:r w:rsidRPr="004676F5">
        <w:rPr>
          <w:lang w:val="de-DE"/>
        </w:rPr>
        <w:t>[</w:t>
      </w:r>
      <w:r w:rsidR="00AB2CF8" w:rsidRPr="004676F5">
        <w:rPr>
          <w:b/>
          <w:lang w:val="de-DE"/>
        </w:rPr>
        <w:t>Art. X.54</w:t>
      </w:r>
      <w:r w:rsidR="00AB2CF8" w:rsidRPr="004676F5">
        <w:rPr>
          <w:lang w:val="de-DE"/>
        </w:rPr>
        <w:t> </w:t>
      </w:r>
      <w:r w:rsidR="005B7A5C" w:rsidRPr="004676F5">
        <w:rPr>
          <w:lang w:val="de-DE"/>
        </w:rPr>
        <w:t>- </w:t>
      </w:r>
      <w:r w:rsidR="00AB2CF8" w:rsidRPr="004676F5">
        <w:rPr>
          <w:lang w:val="de-DE"/>
        </w:rPr>
        <w:t>Eisenbahnbeförderern ist es untersagt, in ihre Tarife oder Regelungen Bestimmungen einzufügen, durch die in Bezug auf Unfälle von Reisenden ihre gemein</w:t>
      </w:r>
      <w:r w:rsidR="00AB2CF8" w:rsidRPr="004676F5">
        <w:rPr>
          <w:lang w:val="de-DE"/>
        </w:rPr>
        <w:softHyphen/>
        <w:t>re</w:t>
      </w:r>
      <w:r w:rsidRPr="004676F5">
        <w:rPr>
          <w:lang w:val="de-DE"/>
        </w:rPr>
        <w:t>chtliche Haftung geändert wird.]</w:t>
      </w:r>
    </w:p>
    <w:p w14:paraId="242E22A9" w14:textId="77777777" w:rsidR="003017FE" w:rsidRPr="004676F5" w:rsidRDefault="003017FE" w:rsidP="00AB2CF8">
      <w:pPr>
        <w:ind w:firstLine="708"/>
        <w:jc w:val="both"/>
        <w:rPr>
          <w:lang w:val="de-DE"/>
        </w:rPr>
      </w:pPr>
    </w:p>
    <w:p w14:paraId="14B47526" w14:textId="1F6A4973" w:rsidR="003017FE" w:rsidRPr="004676F5" w:rsidRDefault="003017FE" w:rsidP="003017FE">
      <w:pPr>
        <w:jc w:val="both"/>
        <w:rPr>
          <w:i/>
          <w:lang w:val="de-DE"/>
        </w:rPr>
      </w:pPr>
      <w:r w:rsidRPr="004676F5">
        <w:rPr>
          <w:i/>
          <w:lang w:val="de-DE"/>
        </w:rPr>
        <w:t>[Art. X.54 eingefügt durch Art. 187 des G. vom 15. April 2018 (B.S. vom 27. April 2018)]</w:t>
      </w:r>
    </w:p>
    <w:p w14:paraId="2CF57B22" w14:textId="77777777" w:rsidR="00AB2CF8" w:rsidRPr="004676F5" w:rsidRDefault="00AB2CF8" w:rsidP="00AB2CF8">
      <w:pPr>
        <w:ind w:firstLine="708"/>
        <w:jc w:val="both"/>
        <w:rPr>
          <w:lang w:val="de-DE"/>
        </w:rPr>
      </w:pPr>
    </w:p>
    <w:p w14:paraId="339616AB" w14:textId="77777777" w:rsidR="003017FE" w:rsidRPr="004676F5" w:rsidRDefault="003017FE" w:rsidP="00AB2CF8">
      <w:pPr>
        <w:ind w:firstLine="708"/>
        <w:jc w:val="both"/>
        <w:rPr>
          <w:lang w:val="de-DE"/>
        </w:rPr>
      </w:pPr>
    </w:p>
    <w:p w14:paraId="40692B2E" w14:textId="25F11311" w:rsidR="00AB2CF8" w:rsidRPr="004676F5" w:rsidRDefault="003017FE" w:rsidP="00AB2CF8">
      <w:pPr>
        <w:ind w:firstLine="708"/>
        <w:jc w:val="both"/>
        <w:rPr>
          <w:lang w:val="de-DE"/>
        </w:rPr>
      </w:pPr>
      <w:r w:rsidRPr="004676F5">
        <w:rPr>
          <w:lang w:val="de-DE"/>
        </w:rPr>
        <w:t>[</w:t>
      </w:r>
      <w:r w:rsidR="00AB2CF8" w:rsidRPr="004676F5">
        <w:rPr>
          <w:b/>
          <w:lang w:val="de-DE"/>
        </w:rPr>
        <w:t>Art. X.55</w:t>
      </w:r>
      <w:r w:rsidR="00AB2CF8" w:rsidRPr="004676F5">
        <w:rPr>
          <w:lang w:val="de-DE"/>
        </w:rPr>
        <w:t> </w:t>
      </w:r>
      <w:r w:rsidR="005B7A5C" w:rsidRPr="004676F5">
        <w:rPr>
          <w:lang w:val="de-DE"/>
        </w:rPr>
        <w:t>- </w:t>
      </w:r>
      <w:r w:rsidR="00AB2CF8" w:rsidRPr="004676F5">
        <w:rPr>
          <w:lang w:val="de-DE"/>
        </w:rPr>
        <w:t>In einer Regelung ist festgelegt, unter welchen Bedingungen Reisende ein Recht haben, ihr Gepäck mit dem Zug befördern zu lassen, in dem sie zugelassen sind, und welche Gepäckstücke sie bei sich behalten dürfen.</w:t>
      </w:r>
    </w:p>
    <w:p w14:paraId="1DAA59A8" w14:textId="77777777" w:rsidR="00AB2CF8" w:rsidRPr="004676F5" w:rsidRDefault="00AB2CF8" w:rsidP="00AB2CF8">
      <w:pPr>
        <w:ind w:firstLine="708"/>
        <w:jc w:val="both"/>
        <w:rPr>
          <w:lang w:val="de-DE"/>
        </w:rPr>
      </w:pPr>
    </w:p>
    <w:p w14:paraId="2B3E429F" w14:textId="7D601187" w:rsidR="00AB2CF8" w:rsidRPr="004676F5" w:rsidRDefault="00AB2CF8" w:rsidP="00AB2CF8">
      <w:pPr>
        <w:ind w:firstLine="708"/>
        <w:jc w:val="both"/>
        <w:rPr>
          <w:lang w:val="de-DE"/>
        </w:rPr>
      </w:pPr>
      <w:r w:rsidRPr="004676F5">
        <w:rPr>
          <w:lang w:val="de-DE"/>
        </w:rPr>
        <w:t>Eisenbahnbeförderer haften nicht für letztgenannte Gepäckstücke, es sei denn, ih</w:t>
      </w:r>
      <w:r w:rsidR="003017FE" w:rsidRPr="004676F5">
        <w:rPr>
          <w:lang w:val="de-DE"/>
        </w:rPr>
        <w:t>r Verschulden ist nachgewiesen.]</w:t>
      </w:r>
    </w:p>
    <w:p w14:paraId="698D6F10" w14:textId="71EA9EF0" w:rsidR="003017FE" w:rsidRPr="004676F5" w:rsidRDefault="003017FE" w:rsidP="00AB2CF8">
      <w:pPr>
        <w:ind w:firstLine="708"/>
        <w:jc w:val="both"/>
        <w:rPr>
          <w:lang w:val="de-DE"/>
        </w:rPr>
      </w:pPr>
    </w:p>
    <w:p w14:paraId="4EC70B4E" w14:textId="4C8335C5" w:rsidR="003017FE" w:rsidRPr="004676F5" w:rsidRDefault="003017FE" w:rsidP="003017FE">
      <w:pPr>
        <w:jc w:val="both"/>
        <w:rPr>
          <w:i/>
          <w:lang w:val="de-DE"/>
        </w:rPr>
      </w:pPr>
      <w:r w:rsidRPr="004676F5">
        <w:rPr>
          <w:i/>
          <w:lang w:val="de-DE"/>
        </w:rPr>
        <w:t>[Art. X.55 eingefügt durch Art. 188 des G. vom 15. April 2018 (B.S. vom 27. April 2018)]</w:t>
      </w:r>
    </w:p>
    <w:p w14:paraId="50E04D21" w14:textId="77777777" w:rsidR="003017FE" w:rsidRPr="004676F5" w:rsidRDefault="003017FE" w:rsidP="00AB2CF8">
      <w:pPr>
        <w:ind w:firstLine="708"/>
        <w:jc w:val="both"/>
        <w:rPr>
          <w:lang w:val="de-DE"/>
        </w:rPr>
      </w:pPr>
    </w:p>
    <w:p w14:paraId="0E8E9745" w14:textId="77777777" w:rsidR="00AB2CF8" w:rsidRPr="004676F5" w:rsidRDefault="00AB2CF8" w:rsidP="00AB2CF8">
      <w:pPr>
        <w:ind w:firstLine="708"/>
        <w:jc w:val="both"/>
        <w:rPr>
          <w:lang w:val="de-DE"/>
        </w:rPr>
      </w:pPr>
    </w:p>
    <w:p w14:paraId="7382B2FB" w14:textId="43047903" w:rsidR="00AB2CF8" w:rsidRPr="004676F5" w:rsidRDefault="003017FE" w:rsidP="00AB2CF8">
      <w:pPr>
        <w:ind w:firstLine="708"/>
        <w:jc w:val="both"/>
        <w:rPr>
          <w:lang w:val="de-DE"/>
        </w:rPr>
      </w:pPr>
      <w:r w:rsidRPr="004676F5">
        <w:rPr>
          <w:lang w:val="de-DE"/>
        </w:rPr>
        <w:t>[</w:t>
      </w:r>
      <w:r w:rsidR="00AB2CF8" w:rsidRPr="004676F5">
        <w:rPr>
          <w:b/>
          <w:lang w:val="de-DE"/>
        </w:rPr>
        <w:t>Art. X.56</w:t>
      </w:r>
      <w:r w:rsidR="00AB2CF8" w:rsidRPr="004676F5">
        <w:rPr>
          <w:lang w:val="de-DE"/>
        </w:rPr>
        <w:t> </w:t>
      </w:r>
      <w:r w:rsidR="005B7A5C" w:rsidRPr="004676F5">
        <w:rPr>
          <w:lang w:val="de-DE"/>
        </w:rPr>
        <w:t>- </w:t>
      </w:r>
      <w:r w:rsidR="00AB2CF8" w:rsidRPr="004676F5">
        <w:rPr>
          <w:lang w:val="de-DE"/>
        </w:rPr>
        <w:t>Gegen Übergabe des Gepäcks bei Versand wird ein nummerierter und datierter Schein ausgehändigt, auf dem Abgangs</w:t>
      </w:r>
      <w:r w:rsidR="005B7A5C" w:rsidRPr="004676F5">
        <w:rPr>
          <w:lang w:val="de-DE"/>
        </w:rPr>
        <w:t>- </w:t>
      </w:r>
      <w:r w:rsidR="00AB2CF8" w:rsidRPr="004676F5">
        <w:rPr>
          <w:lang w:val="de-DE"/>
        </w:rPr>
        <w:t>und Bestimmungsort, Anzahl und Gesamtgewicht der Gepäckstücke, erhaltener Preis und gegebenenfalls Angabe des Interesses an der Lieferung vermerkt sind. Der Schein kann in der Form und nach Modalitäten, die der König bestimmt, e</w:t>
      </w:r>
      <w:r w:rsidRPr="004676F5">
        <w:rPr>
          <w:lang w:val="de-DE"/>
        </w:rPr>
        <w:t>lektronisch ausgestellt werden.]</w:t>
      </w:r>
    </w:p>
    <w:p w14:paraId="65C2616B" w14:textId="6D20348A" w:rsidR="003017FE" w:rsidRPr="004676F5" w:rsidRDefault="003017FE" w:rsidP="00AB2CF8">
      <w:pPr>
        <w:ind w:firstLine="708"/>
        <w:jc w:val="both"/>
        <w:rPr>
          <w:lang w:val="de-DE"/>
        </w:rPr>
      </w:pPr>
    </w:p>
    <w:p w14:paraId="1DAA6C49" w14:textId="3A7EF47C" w:rsidR="003017FE" w:rsidRPr="004676F5" w:rsidRDefault="003017FE" w:rsidP="003017FE">
      <w:pPr>
        <w:jc w:val="both"/>
        <w:rPr>
          <w:i/>
          <w:lang w:val="de-DE"/>
        </w:rPr>
      </w:pPr>
      <w:r w:rsidRPr="004676F5">
        <w:rPr>
          <w:i/>
          <w:lang w:val="de-DE"/>
        </w:rPr>
        <w:t>[Art. X.56 eingefügt durch Art. 189 des G. vom 15. April 2018 (B.S. vom 27. April 2018)]</w:t>
      </w:r>
    </w:p>
    <w:p w14:paraId="078C8DD8" w14:textId="77777777" w:rsidR="003017FE" w:rsidRPr="004676F5" w:rsidRDefault="003017FE" w:rsidP="00AB2CF8">
      <w:pPr>
        <w:ind w:firstLine="708"/>
        <w:jc w:val="both"/>
        <w:rPr>
          <w:lang w:val="de-DE"/>
        </w:rPr>
      </w:pPr>
    </w:p>
    <w:p w14:paraId="1E9D4C4C" w14:textId="77777777" w:rsidR="00AB2CF8" w:rsidRPr="004676F5" w:rsidRDefault="00AB2CF8" w:rsidP="00AB2CF8">
      <w:pPr>
        <w:ind w:firstLine="708"/>
        <w:jc w:val="both"/>
        <w:rPr>
          <w:lang w:val="de-DE"/>
        </w:rPr>
      </w:pPr>
    </w:p>
    <w:p w14:paraId="1384C4FF" w14:textId="187BD7C9" w:rsidR="00AB2CF8" w:rsidRPr="004676F5" w:rsidRDefault="003017FE" w:rsidP="00AB2CF8">
      <w:pPr>
        <w:ind w:firstLine="708"/>
        <w:jc w:val="both"/>
        <w:rPr>
          <w:lang w:val="de-DE"/>
        </w:rPr>
      </w:pPr>
      <w:r w:rsidRPr="004676F5">
        <w:rPr>
          <w:lang w:val="de-DE"/>
        </w:rPr>
        <w:t>[</w:t>
      </w:r>
      <w:r w:rsidR="00AB2CF8" w:rsidRPr="004676F5">
        <w:rPr>
          <w:b/>
          <w:lang w:val="de-DE"/>
        </w:rPr>
        <w:t>Art. X.57</w:t>
      </w:r>
      <w:r w:rsidR="00AB2CF8" w:rsidRPr="004676F5">
        <w:rPr>
          <w:lang w:val="de-DE"/>
        </w:rPr>
        <w:t> </w:t>
      </w:r>
      <w:r w:rsidR="005B7A5C" w:rsidRPr="004676F5">
        <w:rPr>
          <w:lang w:val="de-DE"/>
        </w:rPr>
        <w:t>- </w:t>
      </w:r>
      <w:r w:rsidR="00AB2CF8" w:rsidRPr="004676F5">
        <w:rPr>
          <w:lang w:val="de-DE"/>
        </w:rPr>
        <w:t>Das Gepäck wird bei Ankunft des Zuges gegen A</w:t>
      </w:r>
      <w:r w:rsidRPr="004676F5">
        <w:rPr>
          <w:lang w:val="de-DE"/>
        </w:rPr>
        <w:t>bgabe des Scheins ausgehändigt.]</w:t>
      </w:r>
    </w:p>
    <w:p w14:paraId="5F26440E" w14:textId="5A0DBD2D" w:rsidR="003017FE" w:rsidRPr="004676F5" w:rsidRDefault="003017FE" w:rsidP="00AB2CF8">
      <w:pPr>
        <w:ind w:firstLine="708"/>
        <w:jc w:val="both"/>
        <w:rPr>
          <w:lang w:val="de-DE"/>
        </w:rPr>
      </w:pPr>
    </w:p>
    <w:p w14:paraId="7441A002" w14:textId="58C495DD" w:rsidR="003017FE" w:rsidRPr="004676F5" w:rsidRDefault="003017FE" w:rsidP="003017FE">
      <w:pPr>
        <w:jc w:val="both"/>
        <w:rPr>
          <w:i/>
          <w:lang w:val="de-DE"/>
        </w:rPr>
      </w:pPr>
      <w:r w:rsidRPr="004676F5">
        <w:rPr>
          <w:i/>
          <w:lang w:val="de-DE"/>
        </w:rPr>
        <w:t>[Art. X.57 eingefügt durch Art. 190 des G. vom 15. April 2018 (B.S. vom 27. April 2018)]</w:t>
      </w:r>
    </w:p>
    <w:p w14:paraId="5C1F5D5C" w14:textId="77777777" w:rsidR="003017FE" w:rsidRPr="004676F5" w:rsidRDefault="003017FE" w:rsidP="00AB2CF8">
      <w:pPr>
        <w:ind w:firstLine="708"/>
        <w:jc w:val="both"/>
        <w:rPr>
          <w:lang w:val="de-DE"/>
        </w:rPr>
      </w:pPr>
    </w:p>
    <w:p w14:paraId="678625C1" w14:textId="77777777" w:rsidR="00AB2CF8" w:rsidRPr="004676F5" w:rsidRDefault="00AB2CF8" w:rsidP="00AB2CF8">
      <w:pPr>
        <w:ind w:firstLine="708"/>
        <w:jc w:val="both"/>
        <w:rPr>
          <w:lang w:val="de-DE"/>
        </w:rPr>
      </w:pPr>
    </w:p>
    <w:p w14:paraId="49265F03" w14:textId="67633531" w:rsidR="00AB2CF8" w:rsidRPr="004676F5" w:rsidRDefault="003017FE" w:rsidP="00AB2CF8">
      <w:pPr>
        <w:ind w:firstLine="708"/>
        <w:jc w:val="both"/>
        <w:rPr>
          <w:lang w:val="de-DE"/>
        </w:rPr>
      </w:pPr>
      <w:r w:rsidRPr="004676F5">
        <w:rPr>
          <w:lang w:val="de-DE"/>
        </w:rPr>
        <w:t>[</w:t>
      </w:r>
      <w:r w:rsidR="00AB2CF8" w:rsidRPr="004676F5">
        <w:rPr>
          <w:b/>
          <w:lang w:val="de-DE"/>
        </w:rPr>
        <w:t>Art. X.58</w:t>
      </w:r>
      <w:r w:rsidR="00AB2CF8" w:rsidRPr="004676F5">
        <w:rPr>
          <w:lang w:val="de-DE"/>
        </w:rPr>
        <w:t> </w:t>
      </w:r>
      <w:r w:rsidR="005B7A5C" w:rsidRPr="004676F5">
        <w:rPr>
          <w:lang w:val="de-DE"/>
        </w:rPr>
        <w:t>- </w:t>
      </w:r>
      <w:r w:rsidR="00AB2CF8" w:rsidRPr="004676F5">
        <w:rPr>
          <w:lang w:val="de-DE"/>
        </w:rPr>
        <w:t>Eisenbahnbeförderer sind verpflichtet, in jedem Bahnhof, in dem sie eine Verkaufsstelle betreiben, einen Raum mit Abholstelle zu haben, in dem Gepäck und Güter, die nach Ankunft des Zuges nicht abgeholt werden, und Gepäck und Güter, die Reisende in Verwahrung geben möchten, während der in den Regelungen festgelegten Höchstfristen sicher aufbewahrt werden.</w:t>
      </w:r>
    </w:p>
    <w:p w14:paraId="6017CA4F" w14:textId="77777777" w:rsidR="00AB2CF8" w:rsidRPr="004676F5" w:rsidRDefault="00AB2CF8" w:rsidP="00AB2CF8">
      <w:pPr>
        <w:ind w:firstLine="708"/>
        <w:jc w:val="both"/>
        <w:rPr>
          <w:lang w:val="de-DE"/>
        </w:rPr>
      </w:pPr>
    </w:p>
    <w:p w14:paraId="0BB918D6" w14:textId="77777777" w:rsidR="00AB2CF8" w:rsidRPr="004676F5" w:rsidRDefault="00AB2CF8" w:rsidP="00AB2CF8">
      <w:pPr>
        <w:ind w:firstLine="708"/>
        <w:jc w:val="both"/>
        <w:rPr>
          <w:lang w:val="de-DE"/>
        </w:rPr>
      </w:pPr>
      <w:r w:rsidRPr="004676F5">
        <w:rPr>
          <w:lang w:val="de-DE"/>
        </w:rPr>
        <w:t>Eisenbahnbeförderer, die keine Verkaufsstelle betreiben, stellen in mindestens einem belgischen Bahnhof einen Raum mit Abholstelle zur Verfügung.</w:t>
      </w:r>
    </w:p>
    <w:p w14:paraId="56FA7EF1" w14:textId="77777777" w:rsidR="00AB2CF8" w:rsidRPr="004676F5" w:rsidRDefault="00AB2CF8" w:rsidP="00AB2CF8">
      <w:pPr>
        <w:ind w:firstLine="708"/>
        <w:jc w:val="both"/>
        <w:rPr>
          <w:lang w:val="de-DE"/>
        </w:rPr>
      </w:pPr>
    </w:p>
    <w:p w14:paraId="62E4BC0A" w14:textId="77777777" w:rsidR="00AB2CF8" w:rsidRPr="004676F5" w:rsidRDefault="00AB2CF8" w:rsidP="00AB2CF8">
      <w:pPr>
        <w:ind w:firstLine="708"/>
        <w:jc w:val="both"/>
        <w:rPr>
          <w:lang w:val="de-DE"/>
        </w:rPr>
      </w:pPr>
      <w:r w:rsidRPr="004676F5">
        <w:rPr>
          <w:lang w:val="de-DE"/>
        </w:rPr>
        <w:t>Die Haftung der Eisenbahnbeförderer ist auf die Pflichten des Verwahrers beschränkt.</w:t>
      </w:r>
    </w:p>
    <w:p w14:paraId="7C0EB953" w14:textId="77777777" w:rsidR="00AB2CF8" w:rsidRPr="004676F5" w:rsidRDefault="00AB2CF8" w:rsidP="00AB2CF8">
      <w:pPr>
        <w:ind w:firstLine="708"/>
        <w:jc w:val="both"/>
        <w:rPr>
          <w:lang w:val="de-DE"/>
        </w:rPr>
      </w:pPr>
    </w:p>
    <w:p w14:paraId="5BE8A25B" w14:textId="77777777" w:rsidR="00AB2CF8" w:rsidRPr="004676F5" w:rsidRDefault="00AB2CF8" w:rsidP="00AB2CF8">
      <w:pPr>
        <w:ind w:firstLine="708"/>
        <w:jc w:val="both"/>
        <w:rPr>
          <w:lang w:val="de-DE"/>
        </w:rPr>
      </w:pPr>
      <w:r w:rsidRPr="004676F5">
        <w:rPr>
          <w:lang w:val="de-DE"/>
        </w:rPr>
        <w:t>Der Hinterleger erhält einen Schein mit Angabe von Art, Anzahl und, wenn er möchte, Gesamtgewicht seiner Gepäckstücke. Der Schein kann in der Form und nach Modalitäten, die der König bestimmt, elektronisch ausgestellt werden.</w:t>
      </w:r>
    </w:p>
    <w:p w14:paraId="06A96AFB" w14:textId="77777777" w:rsidR="00AB2CF8" w:rsidRPr="004676F5" w:rsidRDefault="00AB2CF8" w:rsidP="00AB2CF8">
      <w:pPr>
        <w:ind w:firstLine="708"/>
        <w:jc w:val="both"/>
        <w:rPr>
          <w:lang w:val="de-DE"/>
        </w:rPr>
      </w:pPr>
    </w:p>
    <w:p w14:paraId="2C79E492" w14:textId="77777777" w:rsidR="00AB2CF8" w:rsidRPr="004676F5" w:rsidRDefault="00AB2CF8" w:rsidP="00AB2CF8">
      <w:pPr>
        <w:ind w:firstLine="708"/>
        <w:jc w:val="both"/>
        <w:rPr>
          <w:lang w:val="de-DE"/>
        </w:rPr>
      </w:pPr>
      <w:r w:rsidRPr="004676F5">
        <w:rPr>
          <w:lang w:val="de-DE"/>
        </w:rPr>
        <w:t>Eisenbahnbeförderer bemühen sich in angemessener Weise darum, vor Ablauf der in den Regelungen festgelegten Frist die Identität des rechtmäßigen Eigentümers dieser Gegenstände festzustellen und ihn zu benachrichtigen.</w:t>
      </w:r>
    </w:p>
    <w:p w14:paraId="5B427028" w14:textId="77777777" w:rsidR="00AB2CF8" w:rsidRPr="004676F5" w:rsidRDefault="00AB2CF8" w:rsidP="00AB2CF8">
      <w:pPr>
        <w:ind w:firstLine="708"/>
        <w:jc w:val="both"/>
        <w:rPr>
          <w:lang w:val="de-DE"/>
        </w:rPr>
      </w:pPr>
    </w:p>
    <w:p w14:paraId="1ED59470" w14:textId="5C6EF2A2" w:rsidR="00AB2CF8" w:rsidRPr="004676F5" w:rsidRDefault="00AB2CF8" w:rsidP="00AB2CF8">
      <w:pPr>
        <w:ind w:firstLine="708"/>
        <w:jc w:val="both"/>
        <w:rPr>
          <w:lang w:val="de-DE"/>
        </w:rPr>
      </w:pPr>
      <w:r w:rsidRPr="004676F5">
        <w:rPr>
          <w:lang w:val="de-DE"/>
        </w:rPr>
        <w:t>Wenn der Hinterleger oder derjenige, der das Gepäck und die Güter befördern ließ, die Gegenstände nicht in der in den Regelungen festgelegten Höchstfrist zurückverlangt und der Eisenbahnbeförderer die Identität dieser Person nicht feststellen und sie nicht benachrichtigen konnte, wendet der Eisenbahnbeförderer das im Gesetz vom 6. April 2010 über die vorgeschriebene Aufbewahrung durch einen Eisenbahnbeförderer von verlorenen, zurückgelassenen oder nicht abgeholten Gepäckstücken und Gütern vorgesehene Ver</w:t>
      </w:r>
      <w:r w:rsidR="003017FE" w:rsidRPr="004676F5">
        <w:rPr>
          <w:lang w:val="de-DE"/>
        </w:rPr>
        <w:t>fahren an.]</w:t>
      </w:r>
    </w:p>
    <w:p w14:paraId="050E66AC" w14:textId="51AE1094" w:rsidR="00AB2CF8" w:rsidRPr="004676F5" w:rsidRDefault="00AB2CF8" w:rsidP="00AB2CF8">
      <w:pPr>
        <w:ind w:firstLine="708"/>
        <w:jc w:val="both"/>
        <w:rPr>
          <w:lang w:val="de-DE"/>
        </w:rPr>
      </w:pPr>
    </w:p>
    <w:p w14:paraId="2ED27531" w14:textId="6F049ACE" w:rsidR="003017FE" w:rsidRPr="004676F5" w:rsidRDefault="003017FE" w:rsidP="003017FE">
      <w:pPr>
        <w:jc w:val="both"/>
        <w:rPr>
          <w:i/>
          <w:lang w:val="de-DE"/>
        </w:rPr>
      </w:pPr>
      <w:r w:rsidRPr="004676F5">
        <w:rPr>
          <w:i/>
          <w:lang w:val="de-DE"/>
        </w:rPr>
        <w:t>[Art. X.58 eingefügt durch Art. 191 des G. vom 15. April 2018 (B.S. vom 27. April 2018)]</w:t>
      </w:r>
    </w:p>
    <w:p w14:paraId="1DBEE4A5" w14:textId="77777777" w:rsidR="003017FE" w:rsidRPr="004676F5" w:rsidRDefault="003017FE" w:rsidP="00AB2CF8">
      <w:pPr>
        <w:ind w:firstLine="708"/>
        <w:jc w:val="both"/>
        <w:rPr>
          <w:lang w:val="de-DE"/>
        </w:rPr>
      </w:pPr>
    </w:p>
    <w:p w14:paraId="076E7458" w14:textId="77777777" w:rsidR="003017FE" w:rsidRPr="004676F5" w:rsidRDefault="003017FE" w:rsidP="00AB2CF8">
      <w:pPr>
        <w:ind w:firstLine="708"/>
        <w:jc w:val="both"/>
        <w:rPr>
          <w:lang w:val="de-DE"/>
        </w:rPr>
      </w:pPr>
    </w:p>
    <w:p w14:paraId="14858531" w14:textId="29388937" w:rsidR="00AB2CF8" w:rsidRPr="004676F5" w:rsidRDefault="003017FE" w:rsidP="00AB2CF8">
      <w:pPr>
        <w:ind w:firstLine="708"/>
        <w:jc w:val="both"/>
        <w:rPr>
          <w:lang w:val="de-DE"/>
        </w:rPr>
      </w:pPr>
      <w:r w:rsidRPr="004676F5">
        <w:rPr>
          <w:lang w:val="de-DE"/>
        </w:rPr>
        <w:t>[</w:t>
      </w:r>
      <w:r w:rsidR="00AB2CF8" w:rsidRPr="004676F5">
        <w:rPr>
          <w:b/>
          <w:lang w:val="de-DE"/>
        </w:rPr>
        <w:t>Art. X.59</w:t>
      </w:r>
      <w:r w:rsidR="00AB2CF8" w:rsidRPr="004676F5">
        <w:rPr>
          <w:lang w:val="de-DE"/>
        </w:rPr>
        <w:t> </w:t>
      </w:r>
      <w:r w:rsidR="005B7A5C" w:rsidRPr="004676F5">
        <w:rPr>
          <w:lang w:val="de-DE"/>
        </w:rPr>
        <w:t>- </w:t>
      </w:r>
      <w:r w:rsidR="00AB2CF8" w:rsidRPr="004676F5">
        <w:rPr>
          <w:lang w:val="de-DE"/>
        </w:rPr>
        <w:t>Hat ein Eisenbahnbeförderer triftige Gründe für die Vermutung, dass unrichtige Angaben gemacht wurden oder dass sich in den Versand</w:t>
      </w:r>
      <w:r w:rsidR="005B7A5C" w:rsidRPr="004676F5">
        <w:rPr>
          <w:lang w:val="de-DE"/>
        </w:rPr>
        <w:t>- </w:t>
      </w:r>
      <w:r w:rsidR="00AB2CF8" w:rsidRPr="004676F5">
        <w:rPr>
          <w:lang w:val="de-DE"/>
        </w:rPr>
        <w:t>oder Gepäckstücken schädliche oder gefährliche Stoffe befinden, die nicht angegeben wurden oder deren Beförderung verboten ist, kann er die Versand</w:t>
      </w:r>
      <w:r w:rsidR="005B7A5C" w:rsidRPr="004676F5">
        <w:rPr>
          <w:lang w:val="de-DE"/>
        </w:rPr>
        <w:t>- </w:t>
      </w:r>
      <w:r w:rsidR="00AB2CF8" w:rsidRPr="004676F5">
        <w:rPr>
          <w:lang w:val="de-DE"/>
        </w:rPr>
        <w:t xml:space="preserve">oder Gepäckstücke öffnen lassen, selbst diejenigen, die in Verwahrung gegeben wurden, und diejenigen, die die Reisenden gemäß den Regelungen bei sich behalten dürfen, und zwar entweder im Beisein des Absenders oder des Reisenden oder bei Abwesenheit oder Weigerung im Beisein </w:t>
      </w:r>
      <w:r w:rsidRPr="004676F5">
        <w:rPr>
          <w:lang w:val="de-DE"/>
        </w:rPr>
        <w:t>eines Gerichtspolizeioffiziers.]</w:t>
      </w:r>
    </w:p>
    <w:p w14:paraId="6C238E71" w14:textId="2B1C7F38" w:rsidR="003017FE" w:rsidRPr="004676F5" w:rsidRDefault="003017FE" w:rsidP="00AB2CF8">
      <w:pPr>
        <w:ind w:firstLine="708"/>
        <w:jc w:val="both"/>
        <w:rPr>
          <w:lang w:val="de-DE"/>
        </w:rPr>
      </w:pPr>
    </w:p>
    <w:p w14:paraId="71971A6E" w14:textId="6DFD0FBC" w:rsidR="003017FE" w:rsidRPr="004676F5" w:rsidRDefault="003017FE" w:rsidP="003017FE">
      <w:pPr>
        <w:jc w:val="both"/>
        <w:rPr>
          <w:i/>
          <w:lang w:val="de-DE"/>
        </w:rPr>
      </w:pPr>
      <w:r w:rsidRPr="004676F5">
        <w:rPr>
          <w:i/>
          <w:lang w:val="de-DE"/>
        </w:rPr>
        <w:t>[Art. X.59 eingefügt durch Art. 192 des G. vom 15. April 2018 (B.S. vom 27. April 2018)]</w:t>
      </w:r>
    </w:p>
    <w:p w14:paraId="7F494CCC" w14:textId="77777777" w:rsidR="003017FE" w:rsidRPr="004676F5" w:rsidRDefault="003017FE" w:rsidP="00AB2CF8">
      <w:pPr>
        <w:ind w:firstLine="708"/>
        <w:jc w:val="both"/>
        <w:rPr>
          <w:lang w:val="de-DE"/>
        </w:rPr>
      </w:pPr>
    </w:p>
    <w:p w14:paraId="74559AC8" w14:textId="77777777" w:rsidR="003017FE" w:rsidRPr="004676F5" w:rsidRDefault="003017FE" w:rsidP="00AB2CF8">
      <w:pPr>
        <w:ind w:firstLine="708"/>
        <w:jc w:val="both"/>
        <w:rPr>
          <w:lang w:val="de-DE"/>
        </w:rPr>
      </w:pPr>
    </w:p>
    <w:p w14:paraId="553FD035" w14:textId="6435A80E" w:rsidR="00AB2CF8" w:rsidRPr="004676F5" w:rsidRDefault="003017FE" w:rsidP="00AB2CF8">
      <w:pPr>
        <w:ind w:firstLine="708"/>
        <w:jc w:val="both"/>
        <w:rPr>
          <w:lang w:val="de-DE"/>
        </w:rPr>
      </w:pPr>
      <w:r w:rsidRPr="004676F5">
        <w:rPr>
          <w:lang w:val="de-DE"/>
        </w:rPr>
        <w:t>[</w:t>
      </w:r>
      <w:r w:rsidR="00AB2CF8" w:rsidRPr="004676F5">
        <w:rPr>
          <w:b/>
          <w:lang w:val="de-DE"/>
        </w:rPr>
        <w:t>Art. X.60</w:t>
      </w:r>
      <w:r w:rsidR="00AB2CF8" w:rsidRPr="004676F5">
        <w:rPr>
          <w:lang w:val="de-DE"/>
        </w:rPr>
        <w:t> </w:t>
      </w:r>
      <w:r w:rsidR="005B7A5C" w:rsidRPr="004676F5">
        <w:rPr>
          <w:lang w:val="de-DE"/>
        </w:rPr>
        <w:t>- </w:t>
      </w:r>
      <w:r w:rsidR="00AB2CF8" w:rsidRPr="004676F5">
        <w:rPr>
          <w:lang w:val="de-DE"/>
        </w:rPr>
        <w:t xml:space="preserve">Die Haftung der Eisenbahnbeförderer bei inländischen Güterbeförderungen unterliegt den Bestimmungen von Titel IV der einheitlichen Rechtsvorschriften für den Vertrag über die internationale Eisenbahnbeförderung von Gütern </w:t>
      </w:r>
      <w:r w:rsidR="00AB2CF8" w:rsidRPr="004676F5">
        <w:rPr>
          <w:lang w:val="de-DE"/>
        </w:rPr>
        <w:lastRenderedPageBreak/>
        <w:t>(CIM) in Anhang B zum "Übereinkommen über den internationalen Eisenbahnverkehr", gebilligt durch</w:t>
      </w:r>
      <w:r w:rsidRPr="004676F5">
        <w:rPr>
          <w:lang w:val="de-DE"/>
        </w:rPr>
        <w:t xml:space="preserve"> das Gesetz vom 25. April 1983.]</w:t>
      </w:r>
    </w:p>
    <w:p w14:paraId="0C7861A5" w14:textId="0146BD74" w:rsidR="003017FE" w:rsidRPr="004676F5" w:rsidRDefault="003017FE" w:rsidP="00AB2CF8">
      <w:pPr>
        <w:ind w:firstLine="708"/>
        <w:jc w:val="both"/>
        <w:rPr>
          <w:lang w:val="de-DE"/>
        </w:rPr>
      </w:pPr>
    </w:p>
    <w:p w14:paraId="45F517BD" w14:textId="093F358A" w:rsidR="003017FE" w:rsidRPr="004676F5" w:rsidRDefault="003017FE" w:rsidP="003017FE">
      <w:pPr>
        <w:jc w:val="both"/>
        <w:rPr>
          <w:i/>
          <w:lang w:val="de-DE"/>
        </w:rPr>
      </w:pPr>
      <w:r w:rsidRPr="004676F5">
        <w:rPr>
          <w:i/>
          <w:lang w:val="de-DE"/>
        </w:rPr>
        <w:t>[Art. X.60 eingefügt durch Art. 193 des G. vom 15. April 2018 (B.S. vom 27. April 2018)]</w:t>
      </w:r>
    </w:p>
    <w:p w14:paraId="11DEBBB3" w14:textId="58F5A5FB" w:rsidR="003017FE" w:rsidRPr="004676F5" w:rsidRDefault="003017FE" w:rsidP="00AB2CF8">
      <w:pPr>
        <w:ind w:firstLine="708"/>
        <w:jc w:val="both"/>
        <w:rPr>
          <w:lang w:val="de-DE"/>
        </w:rPr>
      </w:pPr>
    </w:p>
    <w:p w14:paraId="62ED6686" w14:textId="77777777" w:rsidR="003017FE" w:rsidRPr="004676F5" w:rsidRDefault="003017FE" w:rsidP="00AB2CF8">
      <w:pPr>
        <w:ind w:firstLine="708"/>
        <w:jc w:val="both"/>
        <w:rPr>
          <w:lang w:val="de-DE"/>
        </w:rPr>
      </w:pPr>
    </w:p>
    <w:p w14:paraId="4309FF12" w14:textId="4F986F62" w:rsidR="00AB2CF8" w:rsidRPr="004676F5" w:rsidRDefault="003017FE" w:rsidP="003017FE">
      <w:pPr>
        <w:ind w:firstLine="708"/>
        <w:jc w:val="both"/>
        <w:rPr>
          <w:lang w:val="de-DE"/>
        </w:rPr>
      </w:pPr>
      <w:r w:rsidRPr="004676F5">
        <w:rPr>
          <w:lang w:val="de-DE"/>
        </w:rPr>
        <w:t>[</w:t>
      </w:r>
      <w:r w:rsidR="00AB2CF8" w:rsidRPr="004676F5">
        <w:rPr>
          <w:b/>
          <w:lang w:val="de-DE"/>
        </w:rPr>
        <w:t>Art. X.61</w:t>
      </w:r>
      <w:r w:rsidR="00AB2CF8" w:rsidRPr="004676F5">
        <w:rPr>
          <w:lang w:val="de-DE"/>
        </w:rPr>
        <w:t> </w:t>
      </w:r>
      <w:r w:rsidR="005B7A5C" w:rsidRPr="004676F5">
        <w:rPr>
          <w:lang w:val="de-DE"/>
        </w:rPr>
        <w:t>- </w:t>
      </w:r>
      <w:r w:rsidR="00AB2CF8" w:rsidRPr="004676F5">
        <w:rPr>
          <w:lang w:val="de-DE"/>
        </w:rPr>
        <w:t>Der König kann in Bezug auf den Betrieb von Beförderungsmitteln für Personen oder Güter Maßnahmen vorschreiben, die Er für die Aufrechterhaltung der Ordnung und die Sicherheit der Re</w:t>
      </w:r>
      <w:r w:rsidRPr="004676F5">
        <w:rPr>
          <w:lang w:val="de-DE"/>
        </w:rPr>
        <w:t>isenden für notwendig erachtet.</w:t>
      </w:r>
      <w:r w:rsidR="00AB2CF8" w:rsidRPr="004676F5">
        <w:rPr>
          <w:lang w:val="de-DE"/>
        </w:rPr>
        <w:t>]</w:t>
      </w:r>
    </w:p>
    <w:p w14:paraId="5804B985" w14:textId="484DFF8E" w:rsidR="003017FE" w:rsidRPr="004676F5" w:rsidRDefault="003017FE" w:rsidP="003017FE">
      <w:pPr>
        <w:ind w:firstLine="708"/>
        <w:jc w:val="both"/>
        <w:rPr>
          <w:lang w:val="de-DE"/>
        </w:rPr>
      </w:pPr>
    </w:p>
    <w:p w14:paraId="3E0BBE99" w14:textId="04D1699D" w:rsidR="003017FE" w:rsidRPr="004676F5" w:rsidRDefault="003017FE" w:rsidP="003017FE">
      <w:pPr>
        <w:jc w:val="both"/>
        <w:rPr>
          <w:i/>
          <w:lang w:val="de-DE"/>
        </w:rPr>
      </w:pPr>
      <w:r w:rsidRPr="004676F5">
        <w:rPr>
          <w:i/>
          <w:lang w:val="de-DE"/>
        </w:rPr>
        <w:t>[Art. X.61 eingefügt durch Art. 194 des G. vom 15. April 2018 (B.S. vom 27. April 2018)]</w:t>
      </w:r>
    </w:p>
    <w:p w14:paraId="7351B510" w14:textId="77777777" w:rsidR="003017FE" w:rsidRPr="004676F5" w:rsidRDefault="003017FE" w:rsidP="003017FE">
      <w:pPr>
        <w:ind w:firstLine="708"/>
        <w:jc w:val="both"/>
        <w:rPr>
          <w:lang w:val="de-DE"/>
        </w:rPr>
      </w:pPr>
    </w:p>
    <w:p w14:paraId="19EF245E" w14:textId="77777777" w:rsidR="00AB2CF8" w:rsidRPr="004676F5" w:rsidRDefault="00AB2CF8" w:rsidP="00AB2CF8">
      <w:pPr>
        <w:jc w:val="both"/>
        <w:rPr>
          <w:lang w:val="de-DE"/>
        </w:rPr>
      </w:pPr>
    </w:p>
    <w:p w14:paraId="6C1A1443" w14:textId="3F884627" w:rsidR="00AB2CF8" w:rsidRPr="004676F5" w:rsidRDefault="00AB2CF8" w:rsidP="00AB2CF8">
      <w:pPr>
        <w:jc w:val="center"/>
        <w:rPr>
          <w:lang w:val="de-DE"/>
        </w:rPr>
      </w:pPr>
    </w:p>
    <w:p w14:paraId="69F80ABA" w14:textId="77777777" w:rsidR="00AB2CF8" w:rsidRPr="004676F5" w:rsidRDefault="00AB2CF8" w:rsidP="00AB2CF8">
      <w:pPr>
        <w:jc w:val="center"/>
        <w:rPr>
          <w:lang w:val="de-DE"/>
        </w:rPr>
      </w:pPr>
    </w:p>
    <w:p w14:paraId="3679F8DD" w14:textId="2B4BE68E" w:rsidR="00AB2CF8" w:rsidRPr="004676F5" w:rsidRDefault="00AB2CF8">
      <w:pPr>
        <w:rPr>
          <w:lang w:val="de-DE"/>
        </w:rPr>
      </w:pPr>
    </w:p>
    <w:sectPr w:rsidR="00AB2CF8" w:rsidRPr="004676F5" w:rsidSect="006D0D2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CF8F" w14:textId="77777777" w:rsidR="001C5104" w:rsidRDefault="001C5104" w:rsidP="00623258">
      <w:r>
        <w:separator/>
      </w:r>
    </w:p>
  </w:endnote>
  <w:endnote w:type="continuationSeparator" w:id="0">
    <w:p w14:paraId="38ED7885" w14:textId="77777777" w:rsidR="001C5104" w:rsidRDefault="001C5104" w:rsidP="0062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Italiqu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183F" w14:textId="77777777" w:rsidR="001C5104" w:rsidRDefault="001C5104" w:rsidP="00623258">
      <w:r>
        <w:separator/>
      </w:r>
    </w:p>
  </w:footnote>
  <w:footnote w:type="continuationSeparator" w:id="0">
    <w:p w14:paraId="50C7B2CD" w14:textId="77777777" w:rsidR="001C5104" w:rsidRDefault="001C5104" w:rsidP="00623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A3F17"/>
    <w:multiLevelType w:val="multilevel"/>
    <w:tmpl w:val="F21E08CA"/>
    <w:styleLink w:val="Listeactuelle1"/>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9102C17"/>
    <w:multiLevelType w:val="hybridMultilevel"/>
    <w:tmpl w:val="F21E08CA"/>
    <w:lvl w:ilvl="0" w:tplc="1B0E312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 w15:restartNumberingAfterBreak="0">
    <w:nsid w:val="1C6F7462"/>
    <w:multiLevelType w:val="hybridMultilevel"/>
    <w:tmpl w:val="2A58E862"/>
    <w:lvl w:ilvl="0" w:tplc="99DC016E">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5" w15:restartNumberingAfterBreak="0">
    <w:nsid w:val="20824C29"/>
    <w:multiLevelType w:val="hybridMultilevel"/>
    <w:tmpl w:val="085CEE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8593566"/>
    <w:multiLevelType w:val="hybridMultilevel"/>
    <w:tmpl w:val="148CA75A"/>
    <w:lvl w:ilvl="0" w:tplc="90209808">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7"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D30B09"/>
    <w:multiLevelType w:val="hybridMultilevel"/>
    <w:tmpl w:val="4738A0B2"/>
    <w:lvl w:ilvl="0" w:tplc="61CC59EC">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E8370E3"/>
    <w:multiLevelType w:val="hybridMultilevel"/>
    <w:tmpl w:val="3ABC9A2C"/>
    <w:lvl w:ilvl="0" w:tplc="75CA347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594975791">
    <w:abstractNumId w:val="6"/>
  </w:num>
  <w:num w:numId="2" w16cid:durableId="183934809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3" w16cid:durableId="1456751465">
    <w:abstractNumId w:val="10"/>
  </w:num>
  <w:num w:numId="4" w16cid:durableId="138496436">
    <w:abstractNumId w:val="9"/>
  </w:num>
  <w:num w:numId="5" w16cid:durableId="1197235908">
    <w:abstractNumId w:val="1"/>
  </w:num>
  <w:num w:numId="6" w16cid:durableId="1040209130">
    <w:abstractNumId w:val="7"/>
  </w:num>
  <w:num w:numId="7" w16cid:durableId="911961986">
    <w:abstractNumId w:val="8"/>
  </w:num>
  <w:num w:numId="8" w16cid:durableId="533463568">
    <w:abstractNumId w:val="4"/>
  </w:num>
  <w:num w:numId="9" w16cid:durableId="1497769916">
    <w:abstractNumId w:val="3"/>
  </w:num>
  <w:num w:numId="10" w16cid:durableId="550386406">
    <w:abstractNumId w:val="2"/>
  </w:num>
  <w:num w:numId="11" w16cid:durableId="1383407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44"/>
    <w:rsid w:val="00002004"/>
    <w:rsid w:val="00002C1A"/>
    <w:rsid w:val="0000450F"/>
    <w:rsid w:val="000053B8"/>
    <w:rsid w:val="00006AA2"/>
    <w:rsid w:val="00007F74"/>
    <w:rsid w:val="000107D6"/>
    <w:rsid w:val="000107F5"/>
    <w:rsid w:val="00010B15"/>
    <w:rsid w:val="00010E82"/>
    <w:rsid w:val="0001250D"/>
    <w:rsid w:val="00016935"/>
    <w:rsid w:val="00020267"/>
    <w:rsid w:val="00020EA0"/>
    <w:rsid w:val="00021398"/>
    <w:rsid w:val="000242C9"/>
    <w:rsid w:val="00024CC5"/>
    <w:rsid w:val="000279D2"/>
    <w:rsid w:val="00027A02"/>
    <w:rsid w:val="00033CB9"/>
    <w:rsid w:val="00037E56"/>
    <w:rsid w:val="00041464"/>
    <w:rsid w:val="00041A10"/>
    <w:rsid w:val="00043291"/>
    <w:rsid w:val="0004441E"/>
    <w:rsid w:val="00044712"/>
    <w:rsid w:val="000464BD"/>
    <w:rsid w:val="00047804"/>
    <w:rsid w:val="00050063"/>
    <w:rsid w:val="00051BEC"/>
    <w:rsid w:val="000522F8"/>
    <w:rsid w:val="0005245E"/>
    <w:rsid w:val="000540DB"/>
    <w:rsid w:val="00054D39"/>
    <w:rsid w:val="00054D68"/>
    <w:rsid w:val="00061F2A"/>
    <w:rsid w:val="00062985"/>
    <w:rsid w:val="00065C4F"/>
    <w:rsid w:val="00067405"/>
    <w:rsid w:val="000678CE"/>
    <w:rsid w:val="000701A7"/>
    <w:rsid w:val="00070556"/>
    <w:rsid w:val="00070CA0"/>
    <w:rsid w:val="00070D8B"/>
    <w:rsid w:val="000714DA"/>
    <w:rsid w:val="00071582"/>
    <w:rsid w:val="00073B95"/>
    <w:rsid w:val="00074942"/>
    <w:rsid w:val="0007495F"/>
    <w:rsid w:val="0007593E"/>
    <w:rsid w:val="000807D3"/>
    <w:rsid w:val="00081096"/>
    <w:rsid w:val="000848FD"/>
    <w:rsid w:val="000867F3"/>
    <w:rsid w:val="0009060C"/>
    <w:rsid w:val="00091D23"/>
    <w:rsid w:val="00094173"/>
    <w:rsid w:val="00094C4E"/>
    <w:rsid w:val="00094CAB"/>
    <w:rsid w:val="00094DD5"/>
    <w:rsid w:val="00096112"/>
    <w:rsid w:val="00096F51"/>
    <w:rsid w:val="000A0063"/>
    <w:rsid w:val="000A092E"/>
    <w:rsid w:val="000A1E2C"/>
    <w:rsid w:val="000A20E7"/>
    <w:rsid w:val="000A263D"/>
    <w:rsid w:val="000A26B7"/>
    <w:rsid w:val="000A2E4B"/>
    <w:rsid w:val="000A3BD3"/>
    <w:rsid w:val="000A67C9"/>
    <w:rsid w:val="000A68C2"/>
    <w:rsid w:val="000A6E2C"/>
    <w:rsid w:val="000B2693"/>
    <w:rsid w:val="000B2F0E"/>
    <w:rsid w:val="000B2F2E"/>
    <w:rsid w:val="000B7544"/>
    <w:rsid w:val="000B77AB"/>
    <w:rsid w:val="000C0E31"/>
    <w:rsid w:val="000C30C8"/>
    <w:rsid w:val="000C3C81"/>
    <w:rsid w:val="000D06E3"/>
    <w:rsid w:val="000D149B"/>
    <w:rsid w:val="000D3610"/>
    <w:rsid w:val="000D380E"/>
    <w:rsid w:val="000D4028"/>
    <w:rsid w:val="000D428D"/>
    <w:rsid w:val="000D61BE"/>
    <w:rsid w:val="000D669D"/>
    <w:rsid w:val="000E09CA"/>
    <w:rsid w:val="000E3F36"/>
    <w:rsid w:val="000E6035"/>
    <w:rsid w:val="000E6768"/>
    <w:rsid w:val="000E7387"/>
    <w:rsid w:val="000E7505"/>
    <w:rsid w:val="000F0DF3"/>
    <w:rsid w:val="000F11AA"/>
    <w:rsid w:val="000F18F2"/>
    <w:rsid w:val="000F2ABF"/>
    <w:rsid w:val="000F3683"/>
    <w:rsid w:val="000F37E6"/>
    <w:rsid w:val="000F3DD2"/>
    <w:rsid w:val="000F5F44"/>
    <w:rsid w:val="000F60D7"/>
    <w:rsid w:val="000F668D"/>
    <w:rsid w:val="000F67E0"/>
    <w:rsid w:val="0010000F"/>
    <w:rsid w:val="00101E20"/>
    <w:rsid w:val="00102763"/>
    <w:rsid w:val="00102782"/>
    <w:rsid w:val="0010524E"/>
    <w:rsid w:val="00110F98"/>
    <w:rsid w:val="0011394C"/>
    <w:rsid w:val="00113F59"/>
    <w:rsid w:val="001146AE"/>
    <w:rsid w:val="00115238"/>
    <w:rsid w:val="0011796A"/>
    <w:rsid w:val="0012182F"/>
    <w:rsid w:val="00122039"/>
    <w:rsid w:val="001233DD"/>
    <w:rsid w:val="00125C2D"/>
    <w:rsid w:val="00126905"/>
    <w:rsid w:val="001308C7"/>
    <w:rsid w:val="001327CD"/>
    <w:rsid w:val="00134962"/>
    <w:rsid w:val="0013666A"/>
    <w:rsid w:val="00136B98"/>
    <w:rsid w:val="001372AA"/>
    <w:rsid w:val="00137AE1"/>
    <w:rsid w:val="00140620"/>
    <w:rsid w:val="00144CA6"/>
    <w:rsid w:val="00145EE8"/>
    <w:rsid w:val="001470D9"/>
    <w:rsid w:val="0015157C"/>
    <w:rsid w:val="001527B1"/>
    <w:rsid w:val="001530CD"/>
    <w:rsid w:val="00153102"/>
    <w:rsid w:val="00154AAA"/>
    <w:rsid w:val="001553D0"/>
    <w:rsid w:val="00155758"/>
    <w:rsid w:val="00155E2F"/>
    <w:rsid w:val="0016083D"/>
    <w:rsid w:val="0016414E"/>
    <w:rsid w:val="001646A9"/>
    <w:rsid w:val="00166E24"/>
    <w:rsid w:val="00170794"/>
    <w:rsid w:val="001727DC"/>
    <w:rsid w:val="00173FDB"/>
    <w:rsid w:val="00175170"/>
    <w:rsid w:val="001763F3"/>
    <w:rsid w:val="00177E8B"/>
    <w:rsid w:val="001814E4"/>
    <w:rsid w:val="00183875"/>
    <w:rsid w:val="00185371"/>
    <w:rsid w:val="00186448"/>
    <w:rsid w:val="00186F2F"/>
    <w:rsid w:val="0018751C"/>
    <w:rsid w:val="001905F2"/>
    <w:rsid w:val="00190B93"/>
    <w:rsid w:val="0019123C"/>
    <w:rsid w:val="00191722"/>
    <w:rsid w:val="001926FE"/>
    <w:rsid w:val="00192CC5"/>
    <w:rsid w:val="00192F42"/>
    <w:rsid w:val="001A2085"/>
    <w:rsid w:val="001A36B9"/>
    <w:rsid w:val="001A6E25"/>
    <w:rsid w:val="001B0F93"/>
    <w:rsid w:val="001B1842"/>
    <w:rsid w:val="001B51A9"/>
    <w:rsid w:val="001B605C"/>
    <w:rsid w:val="001B64F8"/>
    <w:rsid w:val="001B6B48"/>
    <w:rsid w:val="001C4D73"/>
    <w:rsid w:val="001C5104"/>
    <w:rsid w:val="001D448B"/>
    <w:rsid w:val="001D4C19"/>
    <w:rsid w:val="001D5CB7"/>
    <w:rsid w:val="001D682D"/>
    <w:rsid w:val="001D7C66"/>
    <w:rsid w:val="001E01DB"/>
    <w:rsid w:val="001E0564"/>
    <w:rsid w:val="001E190F"/>
    <w:rsid w:val="001E3EB5"/>
    <w:rsid w:val="001E466E"/>
    <w:rsid w:val="001E61AF"/>
    <w:rsid w:val="001F0766"/>
    <w:rsid w:val="001F1639"/>
    <w:rsid w:val="001F23B7"/>
    <w:rsid w:val="001F25F9"/>
    <w:rsid w:val="001F3248"/>
    <w:rsid w:val="001F370C"/>
    <w:rsid w:val="001F370F"/>
    <w:rsid w:val="001F377D"/>
    <w:rsid w:val="001F543B"/>
    <w:rsid w:val="001F5529"/>
    <w:rsid w:val="001F6624"/>
    <w:rsid w:val="001F7D08"/>
    <w:rsid w:val="00200116"/>
    <w:rsid w:val="00201B7E"/>
    <w:rsid w:val="00203A3F"/>
    <w:rsid w:val="00204FA1"/>
    <w:rsid w:val="00204FCB"/>
    <w:rsid w:val="002057B8"/>
    <w:rsid w:val="002064D4"/>
    <w:rsid w:val="00206646"/>
    <w:rsid w:val="00207B76"/>
    <w:rsid w:val="002125E5"/>
    <w:rsid w:val="00212CBA"/>
    <w:rsid w:val="0022045D"/>
    <w:rsid w:val="002242BA"/>
    <w:rsid w:val="002311D9"/>
    <w:rsid w:val="00233760"/>
    <w:rsid w:val="00235ED2"/>
    <w:rsid w:val="00242FEF"/>
    <w:rsid w:val="002433D0"/>
    <w:rsid w:val="00246F70"/>
    <w:rsid w:val="002501EB"/>
    <w:rsid w:val="002508C4"/>
    <w:rsid w:val="002519FC"/>
    <w:rsid w:val="00251FD9"/>
    <w:rsid w:val="00252049"/>
    <w:rsid w:val="00252339"/>
    <w:rsid w:val="002531FD"/>
    <w:rsid w:val="0025333A"/>
    <w:rsid w:val="002554AE"/>
    <w:rsid w:val="0025610F"/>
    <w:rsid w:val="0025661A"/>
    <w:rsid w:val="00256756"/>
    <w:rsid w:val="00256F56"/>
    <w:rsid w:val="00260234"/>
    <w:rsid w:val="00260C41"/>
    <w:rsid w:val="002629DE"/>
    <w:rsid w:val="00263529"/>
    <w:rsid w:val="002639C1"/>
    <w:rsid w:val="00264616"/>
    <w:rsid w:val="00264B42"/>
    <w:rsid w:val="00264F93"/>
    <w:rsid w:val="002650D6"/>
    <w:rsid w:val="00266D2A"/>
    <w:rsid w:val="00270F53"/>
    <w:rsid w:val="002740F4"/>
    <w:rsid w:val="00274D5D"/>
    <w:rsid w:val="00276E0D"/>
    <w:rsid w:val="00277C9C"/>
    <w:rsid w:val="00280329"/>
    <w:rsid w:val="0028112E"/>
    <w:rsid w:val="00285C12"/>
    <w:rsid w:val="00285FF9"/>
    <w:rsid w:val="002860AE"/>
    <w:rsid w:val="00286866"/>
    <w:rsid w:val="00286BA6"/>
    <w:rsid w:val="00296630"/>
    <w:rsid w:val="00297AF7"/>
    <w:rsid w:val="002A1316"/>
    <w:rsid w:val="002A1923"/>
    <w:rsid w:val="002A1927"/>
    <w:rsid w:val="002A27D8"/>
    <w:rsid w:val="002A3D76"/>
    <w:rsid w:val="002A70EE"/>
    <w:rsid w:val="002A7B89"/>
    <w:rsid w:val="002B2393"/>
    <w:rsid w:val="002B2B70"/>
    <w:rsid w:val="002B63FD"/>
    <w:rsid w:val="002B6448"/>
    <w:rsid w:val="002B7DC2"/>
    <w:rsid w:val="002C20FB"/>
    <w:rsid w:val="002C264D"/>
    <w:rsid w:val="002C3625"/>
    <w:rsid w:val="002C4B3F"/>
    <w:rsid w:val="002C7304"/>
    <w:rsid w:val="002D0C46"/>
    <w:rsid w:val="002D1971"/>
    <w:rsid w:val="002D1C90"/>
    <w:rsid w:val="002D304F"/>
    <w:rsid w:val="002D3444"/>
    <w:rsid w:val="002D3D59"/>
    <w:rsid w:val="002D42EE"/>
    <w:rsid w:val="002D4A6F"/>
    <w:rsid w:val="002D53BD"/>
    <w:rsid w:val="002D6472"/>
    <w:rsid w:val="002D64EC"/>
    <w:rsid w:val="002E11BF"/>
    <w:rsid w:val="002E1724"/>
    <w:rsid w:val="002E1A56"/>
    <w:rsid w:val="002E20BA"/>
    <w:rsid w:val="002E2E67"/>
    <w:rsid w:val="002E737D"/>
    <w:rsid w:val="002F012E"/>
    <w:rsid w:val="002F0EBE"/>
    <w:rsid w:val="002F21FF"/>
    <w:rsid w:val="002F26DE"/>
    <w:rsid w:val="002F277C"/>
    <w:rsid w:val="002F3B3B"/>
    <w:rsid w:val="002F3E72"/>
    <w:rsid w:val="002F53A1"/>
    <w:rsid w:val="002F657D"/>
    <w:rsid w:val="002F716B"/>
    <w:rsid w:val="002F72DB"/>
    <w:rsid w:val="003017FE"/>
    <w:rsid w:val="0030197B"/>
    <w:rsid w:val="00301C31"/>
    <w:rsid w:val="00302651"/>
    <w:rsid w:val="00302D19"/>
    <w:rsid w:val="003042D1"/>
    <w:rsid w:val="003105E2"/>
    <w:rsid w:val="00313551"/>
    <w:rsid w:val="003138E7"/>
    <w:rsid w:val="003140C8"/>
    <w:rsid w:val="0031470F"/>
    <w:rsid w:val="00317EA7"/>
    <w:rsid w:val="0032004A"/>
    <w:rsid w:val="00320AA7"/>
    <w:rsid w:val="00320BC4"/>
    <w:rsid w:val="00322D42"/>
    <w:rsid w:val="00323DEC"/>
    <w:rsid w:val="00324620"/>
    <w:rsid w:val="00325552"/>
    <w:rsid w:val="00330A85"/>
    <w:rsid w:val="00332381"/>
    <w:rsid w:val="003323FA"/>
    <w:rsid w:val="00333835"/>
    <w:rsid w:val="00333F19"/>
    <w:rsid w:val="00335845"/>
    <w:rsid w:val="003366FD"/>
    <w:rsid w:val="003368DF"/>
    <w:rsid w:val="0033694E"/>
    <w:rsid w:val="00337EDF"/>
    <w:rsid w:val="00340EAC"/>
    <w:rsid w:val="0034154F"/>
    <w:rsid w:val="00342D16"/>
    <w:rsid w:val="003454B3"/>
    <w:rsid w:val="00346DEC"/>
    <w:rsid w:val="00351084"/>
    <w:rsid w:val="003519CA"/>
    <w:rsid w:val="00351E0F"/>
    <w:rsid w:val="00354311"/>
    <w:rsid w:val="00355502"/>
    <w:rsid w:val="00355B29"/>
    <w:rsid w:val="00357639"/>
    <w:rsid w:val="003601E0"/>
    <w:rsid w:val="00361072"/>
    <w:rsid w:val="0036267D"/>
    <w:rsid w:val="003640E0"/>
    <w:rsid w:val="0036569C"/>
    <w:rsid w:val="003658CE"/>
    <w:rsid w:val="00365BA4"/>
    <w:rsid w:val="00372655"/>
    <w:rsid w:val="0037324B"/>
    <w:rsid w:val="00375085"/>
    <w:rsid w:val="0037576E"/>
    <w:rsid w:val="00375BBA"/>
    <w:rsid w:val="00376870"/>
    <w:rsid w:val="0037703A"/>
    <w:rsid w:val="0037746C"/>
    <w:rsid w:val="003775F0"/>
    <w:rsid w:val="00380818"/>
    <w:rsid w:val="00382F79"/>
    <w:rsid w:val="00384BFD"/>
    <w:rsid w:val="003854E4"/>
    <w:rsid w:val="00387D38"/>
    <w:rsid w:val="00390224"/>
    <w:rsid w:val="0039070E"/>
    <w:rsid w:val="0039109A"/>
    <w:rsid w:val="00391238"/>
    <w:rsid w:val="003918D2"/>
    <w:rsid w:val="00393501"/>
    <w:rsid w:val="0039351D"/>
    <w:rsid w:val="00393A9B"/>
    <w:rsid w:val="00395A52"/>
    <w:rsid w:val="00395FF2"/>
    <w:rsid w:val="0039615D"/>
    <w:rsid w:val="00397553"/>
    <w:rsid w:val="00397C5B"/>
    <w:rsid w:val="003A094C"/>
    <w:rsid w:val="003A13B8"/>
    <w:rsid w:val="003A35D2"/>
    <w:rsid w:val="003A44FB"/>
    <w:rsid w:val="003A5CE1"/>
    <w:rsid w:val="003A72F6"/>
    <w:rsid w:val="003A7F3F"/>
    <w:rsid w:val="003B0CEF"/>
    <w:rsid w:val="003B13C9"/>
    <w:rsid w:val="003B23B1"/>
    <w:rsid w:val="003B741E"/>
    <w:rsid w:val="003C1E5F"/>
    <w:rsid w:val="003C352D"/>
    <w:rsid w:val="003C4686"/>
    <w:rsid w:val="003C488B"/>
    <w:rsid w:val="003C53DB"/>
    <w:rsid w:val="003C7649"/>
    <w:rsid w:val="003D1A36"/>
    <w:rsid w:val="003D32B7"/>
    <w:rsid w:val="003D61D4"/>
    <w:rsid w:val="003D6918"/>
    <w:rsid w:val="003D6A5C"/>
    <w:rsid w:val="003D7572"/>
    <w:rsid w:val="003D7A2C"/>
    <w:rsid w:val="003E02D4"/>
    <w:rsid w:val="003E12D4"/>
    <w:rsid w:val="003E32DF"/>
    <w:rsid w:val="003E3500"/>
    <w:rsid w:val="003E3DF5"/>
    <w:rsid w:val="003E3FE7"/>
    <w:rsid w:val="003E519F"/>
    <w:rsid w:val="003E6AEF"/>
    <w:rsid w:val="003E6C61"/>
    <w:rsid w:val="003F03A0"/>
    <w:rsid w:val="003F0B4D"/>
    <w:rsid w:val="003F1424"/>
    <w:rsid w:val="003F18D9"/>
    <w:rsid w:val="003F1C2F"/>
    <w:rsid w:val="003F32BF"/>
    <w:rsid w:val="003F5E25"/>
    <w:rsid w:val="003F6C37"/>
    <w:rsid w:val="0040161D"/>
    <w:rsid w:val="00402682"/>
    <w:rsid w:val="00402892"/>
    <w:rsid w:val="004030AE"/>
    <w:rsid w:val="00410628"/>
    <w:rsid w:val="004106F5"/>
    <w:rsid w:val="004120DF"/>
    <w:rsid w:val="00413CD6"/>
    <w:rsid w:val="00416F1C"/>
    <w:rsid w:val="004215F6"/>
    <w:rsid w:val="00421898"/>
    <w:rsid w:val="004228CA"/>
    <w:rsid w:val="00422BD6"/>
    <w:rsid w:val="00424B08"/>
    <w:rsid w:val="00427C54"/>
    <w:rsid w:val="00431266"/>
    <w:rsid w:val="0043237C"/>
    <w:rsid w:val="0043261D"/>
    <w:rsid w:val="00435B36"/>
    <w:rsid w:val="00435B6C"/>
    <w:rsid w:val="00437658"/>
    <w:rsid w:val="00437C96"/>
    <w:rsid w:val="004411D3"/>
    <w:rsid w:val="004413B6"/>
    <w:rsid w:val="004437B9"/>
    <w:rsid w:val="00447FDE"/>
    <w:rsid w:val="00452F7B"/>
    <w:rsid w:val="00453EBF"/>
    <w:rsid w:val="00454231"/>
    <w:rsid w:val="0045434D"/>
    <w:rsid w:val="0045485F"/>
    <w:rsid w:val="00456FEB"/>
    <w:rsid w:val="00457D9D"/>
    <w:rsid w:val="00460A23"/>
    <w:rsid w:val="00462450"/>
    <w:rsid w:val="00463FA9"/>
    <w:rsid w:val="004661C1"/>
    <w:rsid w:val="004676F5"/>
    <w:rsid w:val="00472C89"/>
    <w:rsid w:val="00473416"/>
    <w:rsid w:val="004740C0"/>
    <w:rsid w:val="0047633C"/>
    <w:rsid w:val="00476C8A"/>
    <w:rsid w:val="00477C2A"/>
    <w:rsid w:val="0048079D"/>
    <w:rsid w:val="00480881"/>
    <w:rsid w:val="004808C3"/>
    <w:rsid w:val="004809DE"/>
    <w:rsid w:val="00481594"/>
    <w:rsid w:val="00481B48"/>
    <w:rsid w:val="0048281D"/>
    <w:rsid w:val="0048281F"/>
    <w:rsid w:val="00485DD2"/>
    <w:rsid w:val="00486A10"/>
    <w:rsid w:val="00487AC6"/>
    <w:rsid w:val="00487DD7"/>
    <w:rsid w:val="00490221"/>
    <w:rsid w:val="00491110"/>
    <w:rsid w:val="00491C4B"/>
    <w:rsid w:val="00491E54"/>
    <w:rsid w:val="00492D11"/>
    <w:rsid w:val="0049321E"/>
    <w:rsid w:val="004932B6"/>
    <w:rsid w:val="00493B1B"/>
    <w:rsid w:val="00494D9F"/>
    <w:rsid w:val="00496AA3"/>
    <w:rsid w:val="004A1CBF"/>
    <w:rsid w:val="004A23CB"/>
    <w:rsid w:val="004A4FF0"/>
    <w:rsid w:val="004A5E73"/>
    <w:rsid w:val="004A6A0B"/>
    <w:rsid w:val="004B23A4"/>
    <w:rsid w:val="004B25BD"/>
    <w:rsid w:val="004B31E4"/>
    <w:rsid w:val="004B3E3C"/>
    <w:rsid w:val="004B4A47"/>
    <w:rsid w:val="004B5F0E"/>
    <w:rsid w:val="004C0E0A"/>
    <w:rsid w:val="004C10A2"/>
    <w:rsid w:val="004C135D"/>
    <w:rsid w:val="004C46A3"/>
    <w:rsid w:val="004C5D6C"/>
    <w:rsid w:val="004C75EF"/>
    <w:rsid w:val="004D27AC"/>
    <w:rsid w:val="004D3716"/>
    <w:rsid w:val="004D4488"/>
    <w:rsid w:val="004D4805"/>
    <w:rsid w:val="004D59D0"/>
    <w:rsid w:val="004D76E8"/>
    <w:rsid w:val="004D7E5A"/>
    <w:rsid w:val="004E1A84"/>
    <w:rsid w:val="004E5193"/>
    <w:rsid w:val="004E7883"/>
    <w:rsid w:val="004F03A4"/>
    <w:rsid w:val="004F13FF"/>
    <w:rsid w:val="004F314D"/>
    <w:rsid w:val="004F5583"/>
    <w:rsid w:val="004F61C6"/>
    <w:rsid w:val="004F6B42"/>
    <w:rsid w:val="004F7418"/>
    <w:rsid w:val="00501860"/>
    <w:rsid w:val="00502F1C"/>
    <w:rsid w:val="005051B0"/>
    <w:rsid w:val="00505D97"/>
    <w:rsid w:val="00507CA8"/>
    <w:rsid w:val="005130CA"/>
    <w:rsid w:val="005134C2"/>
    <w:rsid w:val="00513978"/>
    <w:rsid w:val="0051470C"/>
    <w:rsid w:val="00514DED"/>
    <w:rsid w:val="00514F85"/>
    <w:rsid w:val="00515C51"/>
    <w:rsid w:val="0051705A"/>
    <w:rsid w:val="00517509"/>
    <w:rsid w:val="00520C77"/>
    <w:rsid w:val="00523416"/>
    <w:rsid w:val="00523BAD"/>
    <w:rsid w:val="005240AB"/>
    <w:rsid w:val="005256FF"/>
    <w:rsid w:val="005263E2"/>
    <w:rsid w:val="005267A3"/>
    <w:rsid w:val="00530E56"/>
    <w:rsid w:val="00532025"/>
    <w:rsid w:val="0053393E"/>
    <w:rsid w:val="00533A33"/>
    <w:rsid w:val="005349E2"/>
    <w:rsid w:val="00536484"/>
    <w:rsid w:val="005368EC"/>
    <w:rsid w:val="0053695D"/>
    <w:rsid w:val="00536E84"/>
    <w:rsid w:val="0054149A"/>
    <w:rsid w:val="00542FBC"/>
    <w:rsid w:val="005437EE"/>
    <w:rsid w:val="00543F81"/>
    <w:rsid w:val="0054667D"/>
    <w:rsid w:val="00547C54"/>
    <w:rsid w:val="00552303"/>
    <w:rsid w:val="005523DE"/>
    <w:rsid w:val="00554519"/>
    <w:rsid w:val="00554890"/>
    <w:rsid w:val="00555BD8"/>
    <w:rsid w:val="0055630A"/>
    <w:rsid w:val="00561321"/>
    <w:rsid w:val="0056169A"/>
    <w:rsid w:val="005619DA"/>
    <w:rsid w:val="00564F20"/>
    <w:rsid w:val="00567BB6"/>
    <w:rsid w:val="00567F8C"/>
    <w:rsid w:val="00570FE8"/>
    <w:rsid w:val="005711CD"/>
    <w:rsid w:val="0057273F"/>
    <w:rsid w:val="0057369A"/>
    <w:rsid w:val="005813CC"/>
    <w:rsid w:val="005849FB"/>
    <w:rsid w:val="0058577B"/>
    <w:rsid w:val="0058595D"/>
    <w:rsid w:val="00590ECE"/>
    <w:rsid w:val="00591DDC"/>
    <w:rsid w:val="005921BB"/>
    <w:rsid w:val="00594279"/>
    <w:rsid w:val="005945B2"/>
    <w:rsid w:val="005946A7"/>
    <w:rsid w:val="00594AE6"/>
    <w:rsid w:val="00595EFA"/>
    <w:rsid w:val="005A0170"/>
    <w:rsid w:val="005A216B"/>
    <w:rsid w:val="005A2312"/>
    <w:rsid w:val="005A2585"/>
    <w:rsid w:val="005A259C"/>
    <w:rsid w:val="005A2CB2"/>
    <w:rsid w:val="005A426B"/>
    <w:rsid w:val="005B35E1"/>
    <w:rsid w:val="005B40CF"/>
    <w:rsid w:val="005B6482"/>
    <w:rsid w:val="005B6C3E"/>
    <w:rsid w:val="005B7A5C"/>
    <w:rsid w:val="005C0AC4"/>
    <w:rsid w:val="005C3AA4"/>
    <w:rsid w:val="005C42F1"/>
    <w:rsid w:val="005C47F1"/>
    <w:rsid w:val="005C76BB"/>
    <w:rsid w:val="005D04DA"/>
    <w:rsid w:val="005D0A09"/>
    <w:rsid w:val="005D2648"/>
    <w:rsid w:val="005D2A9E"/>
    <w:rsid w:val="005D332D"/>
    <w:rsid w:val="005D39C5"/>
    <w:rsid w:val="005D523B"/>
    <w:rsid w:val="005D5BFE"/>
    <w:rsid w:val="005D7CEE"/>
    <w:rsid w:val="005E14E9"/>
    <w:rsid w:val="005E1EB6"/>
    <w:rsid w:val="005E209B"/>
    <w:rsid w:val="005E4833"/>
    <w:rsid w:val="005E5598"/>
    <w:rsid w:val="005E6A40"/>
    <w:rsid w:val="005E6F74"/>
    <w:rsid w:val="005F2707"/>
    <w:rsid w:val="005F2D46"/>
    <w:rsid w:val="005F5270"/>
    <w:rsid w:val="005F7749"/>
    <w:rsid w:val="006017BB"/>
    <w:rsid w:val="00602B9A"/>
    <w:rsid w:val="00604C37"/>
    <w:rsid w:val="0060660F"/>
    <w:rsid w:val="0060717D"/>
    <w:rsid w:val="00607BDB"/>
    <w:rsid w:val="006111BA"/>
    <w:rsid w:val="0061470E"/>
    <w:rsid w:val="00615CDD"/>
    <w:rsid w:val="0061795C"/>
    <w:rsid w:val="00620833"/>
    <w:rsid w:val="00620878"/>
    <w:rsid w:val="00621B78"/>
    <w:rsid w:val="00622BD3"/>
    <w:rsid w:val="0062301D"/>
    <w:rsid w:val="00623258"/>
    <w:rsid w:val="00623F4A"/>
    <w:rsid w:val="00624234"/>
    <w:rsid w:val="0062466E"/>
    <w:rsid w:val="00625F58"/>
    <w:rsid w:val="00626208"/>
    <w:rsid w:val="00626AF8"/>
    <w:rsid w:val="00627E33"/>
    <w:rsid w:val="00630D85"/>
    <w:rsid w:val="0063227B"/>
    <w:rsid w:val="00632675"/>
    <w:rsid w:val="0063448A"/>
    <w:rsid w:val="00636459"/>
    <w:rsid w:val="006367D3"/>
    <w:rsid w:val="006403EE"/>
    <w:rsid w:val="00640BBB"/>
    <w:rsid w:val="0064210C"/>
    <w:rsid w:val="00642C49"/>
    <w:rsid w:val="00643792"/>
    <w:rsid w:val="0064464E"/>
    <w:rsid w:val="0064642F"/>
    <w:rsid w:val="006475DA"/>
    <w:rsid w:val="00650576"/>
    <w:rsid w:val="00650D78"/>
    <w:rsid w:val="00650E1D"/>
    <w:rsid w:val="00650FBF"/>
    <w:rsid w:val="0065243E"/>
    <w:rsid w:val="00653843"/>
    <w:rsid w:val="00653947"/>
    <w:rsid w:val="00654BDA"/>
    <w:rsid w:val="00655187"/>
    <w:rsid w:val="0065533C"/>
    <w:rsid w:val="00656A8A"/>
    <w:rsid w:val="00657AA4"/>
    <w:rsid w:val="00657D4B"/>
    <w:rsid w:val="006601DF"/>
    <w:rsid w:val="00660735"/>
    <w:rsid w:val="0066077D"/>
    <w:rsid w:val="00661B45"/>
    <w:rsid w:val="00661DD3"/>
    <w:rsid w:val="006628A4"/>
    <w:rsid w:val="006628EB"/>
    <w:rsid w:val="00662B3D"/>
    <w:rsid w:val="00663046"/>
    <w:rsid w:val="00663177"/>
    <w:rsid w:val="00663BF1"/>
    <w:rsid w:val="00664554"/>
    <w:rsid w:val="0066692A"/>
    <w:rsid w:val="00666FDD"/>
    <w:rsid w:val="00673E57"/>
    <w:rsid w:val="00674794"/>
    <w:rsid w:val="006764BF"/>
    <w:rsid w:val="00680111"/>
    <w:rsid w:val="0068045B"/>
    <w:rsid w:val="0068173D"/>
    <w:rsid w:val="00684100"/>
    <w:rsid w:val="006843BC"/>
    <w:rsid w:val="00685151"/>
    <w:rsid w:val="006868C3"/>
    <w:rsid w:val="006878CC"/>
    <w:rsid w:val="00690432"/>
    <w:rsid w:val="00690CB4"/>
    <w:rsid w:val="00692B96"/>
    <w:rsid w:val="00692DC7"/>
    <w:rsid w:val="0069647C"/>
    <w:rsid w:val="006A29C3"/>
    <w:rsid w:val="006A7165"/>
    <w:rsid w:val="006B0D16"/>
    <w:rsid w:val="006B6115"/>
    <w:rsid w:val="006C0BE7"/>
    <w:rsid w:val="006C21A8"/>
    <w:rsid w:val="006C2834"/>
    <w:rsid w:val="006C2B87"/>
    <w:rsid w:val="006C363A"/>
    <w:rsid w:val="006C4762"/>
    <w:rsid w:val="006D0D23"/>
    <w:rsid w:val="006D1EFB"/>
    <w:rsid w:val="006D71E0"/>
    <w:rsid w:val="006D7745"/>
    <w:rsid w:val="006E0E43"/>
    <w:rsid w:val="006E1562"/>
    <w:rsid w:val="006E180F"/>
    <w:rsid w:val="006E2326"/>
    <w:rsid w:val="006E6C4B"/>
    <w:rsid w:val="006F08B3"/>
    <w:rsid w:val="006F0E54"/>
    <w:rsid w:val="006F1076"/>
    <w:rsid w:val="006F16F9"/>
    <w:rsid w:val="006F1AA1"/>
    <w:rsid w:val="006F1B24"/>
    <w:rsid w:val="006F2520"/>
    <w:rsid w:val="006F3D4B"/>
    <w:rsid w:val="006F404A"/>
    <w:rsid w:val="006F4974"/>
    <w:rsid w:val="006F53F7"/>
    <w:rsid w:val="006F5A0E"/>
    <w:rsid w:val="006F7055"/>
    <w:rsid w:val="00700382"/>
    <w:rsid w:val="00701652"/>
    <w:rsid w:val="0070234A"/>
    <w:rsid w:val="00702754"/>
    <w:rsid w:val="00703434"/>
    <w:rsid w:val="0070496C"/>
    <w:rsid w:val="00707304"/>
    <w:rsid w:val="007109BD"/>
    <w:rsid w:val="00710C79"/>
    <w:rsid w:val="0071235D"/>
    <w:rsid w:val="00712925"/>
    <w:rsid w:val="007165D2"/>
    <w:rsid w:val="0072612E"/>
    <w:rsid w:val="00726E9F"/>
    <w:rsid w:val="007274AC"/>
    <w:rsid w:val="00727AC1"/>
    <w:rsid w:val="0073238E"/>
    <w:rsid w:val="00733250"/>
    <w:rsid w:val="0073667D"/>
    <w:rsid w:val="00737653"/>
    <w:rsid w:val="00740C64"/>
    <w:rsid w:val="00741332"/>
    <w:rsid w:val="00741434"/>
    <w:rsid w:val="00741D66"/>
    <w:rsid w:val="00743CF5"/>
    <w:rsid w:val="00745005"/>
    <w:rsid w:val="00745C1F"/>
    <w:rsid w:val="00746829"/>
    <w:rsid w:val="00747557"/>
    <w:rsid w:val="00750245"/>
    <w:rsid w:val="00751A56"/>
    <w:rsid w:val="00752565"/>
    <w:rsid w:val="00755C88"/>
    <w:rsid w:val="007567E4"/>
    <w:rsid w:val="00757927"/>
    <w:rsid w:val="007632F6"/>
    <w:rsid w:val="00763745"/>
    <w:rsid w:val="00763E6F"/>
    <w:rsid w:val="007726EF"/>
    <w:rsid w:val="00772FE5"/>
    <w:rsid w:val="007738B4"/>
    <w:rsid w:val="007748FE"/>
    <w:rsid w:val="007764CB"/>
    <w:rsid w:val="007769E2"/>
    <w:rsid w:val="00780AD3"/>
    <w:rsid w:val="00781700"/>
    <w:rsid w:val="00784609"/>
    <w:rsid w:val="007851EF"/>
    <w:rsid w:val="007853B6"/>
    <w:rsid w:val="007854CD"/>
    <w:rsid w:val="00786162"/>
    <w:rsid w:val="00786EF4"/>
    <w:rsid w:val="00790870"/>
    <w:rsid w:val="00791289"/>
    <w:rsid w:val="00791FCC"/>
    <w:rsid w:val="007925C8"/>
    <w:rsid w:val="00792EEA"/>
    <w:rsid w:val="0079445F"/>
    <w:rsid w:val="00794B7E"/>
    <w:rsid w:val="007960CA"/>
    <w:rsid w:val="00796D21"/>
    <w:rsid w:val="00797973"/>
    <w:rsid w:val="007A0138"/>
    <w:rsid w:val="007A54C0"/>
    <w:rsid w:val="007A7DCC"/>
    <w:rsid w:val="007B0FC9"/>
    <w:rsid w:val="007B13F4"/>
    <w:rsid w:val="007B217F"/>
    <w:rsid w:val="007B2756"/>
    <w:rsid w:val="007B6F44"/>
    <w:rsid w:val="007B7321"/>
    <w:rsid w:val="007C28C5"/>
    <w:rsid w:val="007C43DB"/>
    <w:rsid w:val="007C6C28"/>
    <w:rsid w:val="007D0E7D"/>
    <w:rsid w:val="007D0E8D"/>
    <w:rsid w:val="007D4AE5"/>
    <w:rsid w:val="007D5F55"/>
    <w:rsid w:val="007D6391"/>
    <w:rsid w:val="007D64D3"/>
    <w:rsid w:val="007D707C"/>
    <w:rsid w:val="007E024F"/>
    <w:rsid w:val="007E0589"/>
    <w:rsid w:val="007E0D46"/>
    <w:rsid w:val="007E0E9F"/>
    <w:rsid w:val="007E11E1"/>
    <w:rsid w:val="007E14FB"/>
    <w:rsid w:val="007E2AED"/>
    <w:rsid w:val="007E2C8C"/>
    <w:rsid w:val="007E3B15"/>
    <w:rsid w:val="007E4185"/>
    <w:rsid w:val="007E4208"/>
    <w:rsid w:val="007E4366"/>
    <w:rsid w:val="007E4A77"/>
    <w:rsid w:val="007E4FFE"/>
    <w:rsid w:val="007E701B"/>
    <w:rsid w:val="007F14E9"/>
    <w:rsid w:val="007F1B78"/>
    <w:rsid w:val="007F255A"/>
    <w:rsid w:val="007F463D"/>
    <w:rsid w:val="007F57BA"/>
    <w:rsid w:val="007F5A05"/>
    <w:rsid w:val="007F671D"/>
    <w:rsid w:val="00802794"/>
    <w:rsid w:val="00806B08"/>
    <w:rsid w:val="00807BB5"/>
    <w:rsid w:val="00807D61"/>
    <w:rsid w:val="0081222B"/>
    <w:rsid w:val="008122BC"/>
    <w:rsid w:val="00812E15"/>
    <w:rsid w:val="008147E8"/>
    <w:rsid w:val="0081694D"/>
    <w:rsid w:val="0081732A"/>
    <w:rsid w:val="00820237"/>
    <w:rsid w:val="0082027C"/>
    <w:rsid w:val="00820491"/>
    <w:rsid w:val="00820C08"/>
    <w:rsid w:val="00820C89"/>
    <w:rsid w:val="00820E61"/>
    <w:rsid w:val="0082197D"/>
    <w:rsid w:val="00825F82"/>
    <w:rsid w:val="00826BA0"/>
    <w:rsid w:val="00827EEB"/>
    <w:rsid w:val="008303C5"/>
    <w:rsid w:val="008343E5"/>
    <w:rsid w:val="00835127"/>
    <w:rsid w:val="00835D60"/>
    <w:rsid w:val="00837758"/>
    <w:rsid w:val="008401FD"/>
    <w:rsid w:val="008452F1"/>
    <w:rsid w:val="00846BCC"/>
    <w:rsid w:val="008506A5"/>
    <w:rsid w:val="0085150D"/>
    <w:rsid w:val="008523FE"/>
    <w:rsid w:val="008532CA"/>
    <w:rsid w:val="008562C5"/>
    <w:rsid w:val="00856F55"/>
    <w:rsid w:val="00857EC4"/>
    <w:rsid w:val="00860B33"/>
    <w:rsid w:val="00861079"/>
    <w:rsid w:val="00862484"/>
    <w:rsid w:val="00862CA3"/>
    <w:rsid w:val="00863E59"/>
    <w:rsid w:val="0086443D"/>
    <w:rsid w:val="0086612A"/>
    <w:rsid w:val="00866231"/>
    <w:rsid w:val="00866C9B"/>
    <w:rsid w:val="008670B5"/>
    <w:rsid w:val="00870ECD"/>
    <w:rsid w:val="0087129E"/>
    <w:rsid w:val="008715BD"/>
    <w:rsid w:val="00871B33"/>
    <w:rsid w:val="00872C9E"/>
    <w:rsid w:val="00872F21"/>
    <w:rsid w:val="00876564"/>
    <w:rsid w:val="008778DB"/>
    <w:rsid w:val="00880421"/>
    <w:rsid w:val="00881814"/>
    <w:rsid w:val="00882D52"/>
    <w:rsid w:val="00883FB9"/>
    <w:rsid w:val="00885A31"/>
    <w:rsid w:val="00885A63"/>
    <w:rsid w:val="008860E5"/>
    <w:rsid w:val="008861C4"/>
    <w:rsid w:val="00886976"/>
    <w:rsid w:val="00887278"/>
    <w:rsid w:val="00887955"/>
    <w:rsid w:val="00890D8E"/>
    <w:rsid w:val="00891B45"/>
    <w:rsid w:val="00892EC9"/>
    <w:rsid w:val="0089425C"/>
    <w:rsid w:val="00895A27"/>
    <w:rsid w:val="00895CD7"/>
    <w:rsid w:val="008A06FF"/>
    <w:rsid w:val="008A1473"/>
    <w:rsid w:val="008A1DDC"/>
    <w:rsid w:val="008A2415"/>
    <w:rsid w:val="008A2825"/>
    <w:rsid w:val="008A2C17"/>
    <w:rsid w:val="008A3633"/>
    <w:rsid w:val="008A53EB"/>
    <w:rsid w:val="008A719D"/>
    <w:rsid w:val="008A74E1"/>
    <w:rsid w:val="008A7715"/>
    <w:rsid w:val="008A7A28"/>
    <w:rsid w:val="008B17E1"/>
    <w:rsid w:val="008B46D2"/>
    <w:rsid w:val="008B6B3F"/>
    <w:rsid w:val="008B70F5"/>
    <w:rsid w:val="008C0317"/>
    <w:rsid w:val="008C07AF"/>
    <w:rsid w:val="008C1624"/>
    <w:rsid w:val="008C2036"/>
    <w:rsid w:val="008C2151"/>
    <w:rsid w:val="008C5996"/>
    <w:rsid w:val="008C6746"/>
    <w:rsid w:val="008C75F8"/>
    <w:rsid w:val="008D38A8"/>
    <w:rsid w:val="008D3923"/>
    <w:rsid w:val="008D4711"/>
    <w:rsid w:val="008D6C15"/>
    <w:rsid w:val="008D748D"/>
    <w:rsid w:val="008E0F29"/>
    <w:rsid w:val="008E100F"/>
    <w:rsid w:val="008E3B20"/>
    <w:rsid w:val="008E4279"/>
    <w:rsid w:val="008E5AFC"/>
    <w:rsid w:val="008E5BFF"/>
    <w:rsid w:val="008E7024"/>
    <w:rsid w:val="008E7245"/>
    <w:rsid w:val="008E796B"/>
    <w:rsid w:val="008E7E02"/>
    <w:rsid w:val="008F23A3"/>
    <w:rsid w:val="008F4343"/>
    <w:rsid w:val="008F43C9"/>
    <w:rsid w:val="008F46A1"/>
    <w:rsid w:val="008F4750"/>
    <w:rsid w:val="008F4D95"/>
    <w:rsid w:val="008F5316"/>
    <w:rsid w:val="008F5AFC"/>
    <w:rsid w:val="00900885"/>
    <w:rsid w:val="00901C74"/>
    <w:rsid w:val="0090288E"/>
    <w:rsid w:val="00902B82"/>
    <w:rsid w:val="00903C04"/>
    <w:rsid w:val="009046CA"/>
    <w:rsid w:val="009063B6"/>
    <w:rsid w:val="00906D26"/>
    <w:rsid w:val="00910590"/>
    <w:rsid w:val="0091139E"/>
    <w:rsid w:val="00912E03"/>
    <w:rsid w:val="00914097"/>
    <w:rsid w:val="00914447"/>
    <w:rsid w:val="009169FB"/>
    <w:rsid w:val="009171C7"/>
    <w:rsid w:val="009201DA"/>
    <w:rsid w:val="00921020"/>
    <w:rsid w:val="00921168"/>
    <w:rsid w:val="0092239B"/>
    <w:rsid w:val="00927837"/>
    <w:rsid w:val="00930654"/>
    <w:rsid w:val="009310F3"/>
    <w:rsid w:val="00931546"/>
    <w:rsid w:val="00931A33"/>
    <w:rsid w:val="009335EE"/>
    <w:rsid w:val="00933CDE"/>
    <w:rsid w:val="009343BC"/>
    <w:rsid w:val="00934815"/>
    <w:rsid w:val="0094133B"/>
    <w:rsid w:val="0094304C"/>
    <w:rsid w:val="00943EB6"/>
    <w:rsid w:val="009446A1"/>
    <w:rsid w:val="00944733"/>
    <w:rsid w:val="009448CB"/>
    <w:rsid w:val="009449F1"/>
    <w:rsid w:val="0095116E"/>
    <w:rsid w:val="00952151"/>
    <w:rsid w:val="00952DEE"/>
    <w:rsid w:val="009531C0"/>
    <w:rsid w:val="00953CD1"/>
    <w:rsid w:val="009602AB"/>
    <w:rsid w:val="0096152E"/>
    <w:rsid w:val="00962A0A"/>
    <w:rsid w:val="009631A5"/>
    <w:rsid w:val="00965330"/>
    <w:rsid w:val="00967E1A"/>
    <w:rsid w:val="0097319D"/>
    <w:rsid w:val="00973E94"/>
    <w:rsid w:val="00974D74"/>
    <w:rsid w:val="00975345"/>
    <w:rsid w:val="009764A9"/>
    <w:rsid w:val="00976E1D"/>
    <w:rsid w:val="0097703E"/>
    <w:rsid w:val="0097772E"/>
    <w:rsid w:val="00977E4B"/>
    <w:rsid w:val="00980046"/>
    <w:rsid w:val="00980259"/>
    <w:rsid w:val="0098050D"/>
    <w:rsid w:val="009812A6"/>
    <w:rsid w:val="00982AB8"/>
    <w:rsid w:val="009839A8"/>
    <w:rsid w:val="00985556"/>
    <w:rsid w:val="00991836"/>
    <w:rsid w:val="0099437F"/>
    <w:rsid w:val="00995DE0"/>
    <w:rsid w:val="00995E3D"/>
    <w:rsid w:val="00996FA8"/>
    <w:rsid w:val="00997F68"/>
    <w:rsid w:val="009A0370"/>
    <w:rsid w:val="009A08A5"/>
    <w:rsid w:val="009A5968"/>
    <w:rsid w:val="009A71E8"/>
    <w:rsid w:val="009A7C11"/>
    <w:rsid w:val="009A7CE0"/>
    <w:rsid w:val="009B004F"/>
    <w:rsid w:val="009B20C5"/>
    <w:rsid w:val="009B24DA"/>
    <w:rsid w:val="009B2EBE"/>
    <w:rsid w:val="009B40DA"/>
    <w:rsid w:val="009B5BE7"/>
    <w:rsid w:val="009B66E2"/>
    <w:rsid w:val="009B7E11"/>
    <w:rsid w:val="009C0DCE"/>
    <w:rsid w:val="009C2C1C"/>
    <w:rsid w:val="009C4D11"/>
    <w:rsid w:val="009C5246"/>
    <w:rsid w:val="009C5B68"/>
    <w:rsid w:val="009C6CEC"/>
    <w:rsid w:val="009D12B6"/>
    <w:rsid w:val="009D1A1A"/>
    <w:rsid w:val="009D1D4B"/>
    <w:rsid w:val="009D3DCF"/>
    <w:rsid w:val="009D4ADF"/>
    <w:rsid w:val="009D749E"/>
    <w:rsid w:val="009E1067"/>
    <w:rsid w:val="009E138E"/>
    <w:rsid w:val="009E165E"/>
    <w:rsid w:val="009E5AB3"/>
    <w:rsid w:val="009E5EBC"/>
    <w:rsid w:val="009E654E"/>
    <w:rsid w:val="009E7AF7"/>
    <w:rsid w:val="009F1F7C"/>
    <w:rsid w:val="009F24CD"/>
    <w:rsid w:val="009F2B51"/>
    <w:rsid w:val="009F2F37"/>
    <w:rsid w:val="009F3E4F"/>
    <w:rsid w:val="009F50B6"/>
    <w:rsid w:val="009F58FD"/>
    <w:rsid w:val="009F66EF"/>
    <w:rsid w:val="009F76FD"/>
    <w:rsid w:val="009F7ABB"/>
    <w:rsid w:val="00A02BA0"/>
    <w:rsid w:val="00A03295"/>
    <w:rsid w:val="00A037EB"/>
    <w:rsid w:val="00A03CB1"/>
    <w:rsid w:val="00A06589"/>
    <w:rsid w:val="00A07317"/>
    <w:rsid w:val="00A07E8C"/>
    <w:rsid w:val="00A1199C"/>
    <w:rsid w:val="00A11CFE"/>
    <w:rsid w:val="00A11DFA"/>
    <w:rsid w:val="00A12382"/>
    <w:rsid w:val="00A14FFA"/>
    <w:rsid w:val="00A1531A"/>
    <w:rsid w:val="00A1548A"/>
    <w:rsid w:val="00A1562E"/>
    <w:rsid w:val="00A15D3B"/>
    <w:rsid w:val="00A162A7"/>
    <w:rsid w:val="00A16897"/>
    <w:rsid w:val="00A16B06"/>
    <w:rsid w:val="00A2065C"/>
    <w:rsid w:val="00A22769"/>
    <w:rsid w:val="00A22CF1"/>
    <w:rsid w:val="00A22F1E"/>
    <w:rsid w:val="00A234B5"/>
    <w:rsid w:val="00A2392A"/>
    <w:rsid w:val="00A2647A"/>
    <w:rsid w:val="00A27F43"/>
    <w:rsid w:val="00A340B8"/>
    <w:rsid w:val="00A3472E"/>
    <w:rsid w:val="00A37D44"/>
    <w:rsid w:val="00A42FA9"/>
    <w:rsid w:val="00A449A2"/>
    <w:rsid w:val="00A46873"/>
    <w:rsid w:val="00A4783C"/>
    <w:rsid w:val="00A54A42"/>
    <w:rsid w:val="00A54B03"/>
    <w:rsid w:val="00A55DFE"/>
    <w:rsid w:val="00A55F0E"/>
    <w:rsid w:val="00A56641"/>
    <w:rsid w:val="00A56747"/>
    <w:rsid w:val="00A568AA"/>
    <w:rsid w:val="00A56B8C"/>
    <w:rsid w:val="00A56EB7"/>
    <w:rsid w:val="00A574AB"/>
    <w:rsid w:val="00A578B2"/>
    <w:rsid w:val="00A6011F"/>
    <w:rsid w:val="00A601A0"/>
    <w:rsid w:val="00A63088"/>
    <w:rsid w:val="00A64F7A"/>
    <w:rsid w:val="00A7028D"/>
    <w:rsid w:val="00A71857"/>
    <w:rsid w:val="00A720C3"/>
    <w:rsid w:val="00A725D7"/>
    <w:rsid w:val="00A72A5C"/>
    <w:rsid w:val="00A755B7"/>
    <w:rsid w:val="00A75A18"/>
    <w:rsid w:val="00A75A45"/>
    <w:rsid w:val="00A77460"/>
    <w:rsid w:val="00A77A0F"/>
    <w:rsid w:val="00A80FBF"/>
    <w:rsid w:val="00A81C34"/>
    <w:rsid w:val="00A8203A"/>
    <w:rsid w:val="00A82659"/>
    <w:rsid w:val="00A82CBA"/>
    <w:rsid w:val="00A84B30"/>
    <w:rsid w:val="00A87A99"/>
    <w:rsid w:val="00A93194"/>
    <w:rsid w:val="00A95AFE"/>
    <w:rsid w:val="00AA0B2E"/>
    <w:rsid w:val="00AA1D42"/>
    <w:rsid w:val="00AA3C05"/>
    <w:rsid w:val="00AA44EE"/>
    <w:rsid w:val="00AA48AE"/>
    <w:rsid w:val="00AA5568"/>
    <w:rsid w:val="00AB0E03"/>
    <w:rsid w:val="00AB2957"/>
    <w:rsid w:val="00AB2CF8"/>
    <w:rsid w:val="00AB7474"/>
    <w:rsid w:val="00AC0398"/>
    <w:rsid w:val="00AC0A3E"/>
    <w:rsid w:val="00AC518C"/>
    <w:rsid w:val="00AC5746"/>
    <w:rsid w:val="00AC5E98"/>
    <w:rsid w:val="00AC6A7B"/>
    <w:rsid w:val="00AD018B"/>
    <w:rsid w:val="00AD0EFB"/>
    <w:rsid w:val="00AD2142"/>
    <w:rsid w:val="00AD30AA"/>
    <w:rsid w:val="00AD3274"/>
    <w:rsid w:val="00AD327F"/>
    <w:rsid w:val="00AD3AA9"/>
    <w:rsid w:val="00AD40DF"/>
    <w:rsid w:val="00AD4794"/>
    <w:rsid w:val="00AD4CEE"/>
    <w:rsid w:val="00AD7E4C"/>
    <w:rsid w:val="00AE1019"/>
    <w:rsid w:val="00AE14CC"/>
    <w:rsid w:val="00AE480C"/>
    <w:rsid w:val="00AE551D"/>
    <w:rsid w:val="00AE6697"/>
    <w:rsid w:val="00AF38E0"/>
    <w:rsid w:val="00AF484A"/>
    <w:rsid w:val="00AF631D"/>
    <w:rsid w:val="00AF6977"/>
    <w:rsid w:val="00B00B1E"/>
    <w:rsid w:val="00B0257A"/>
    <w:rsid w:val="00B04019"/>
    <w:rsid w:val="00B05CE4"/>
    <w:rsid w:val="00B1246A"/>
    <w:rsid w:val="00B12711"/>
    <w:rsid w:val="00B12995"/>
    <w:rsid w:val="00B1340F"/>
    <w:rsid w:val="00B14EE1"/>
    <w:rsid w:val="00B162A3"/>
    <w:rsid w:val="00B165E0"/>
    <w:rsid w:val="00B17101"/>
    <w:rsid w:val="00B20716"/>
    <w:rsid w:val="00B20850"/>
    <w:rsid w:val="00B20CBE"/>
    <w:rsid w:val="00B228E3"/>
    <w:rsid w:val="00B22E33"/>
    <w:rsid w:val="00B24B5B"/>
    <w:rsid w:val="00B2592A"/>
    <w:rsid w:val="00B27A2D"/>
    <w:rsid w:val="00B27CF8"/>
    <w:rsid w:val="00B30591"/>
    <w:rsid w:val="00B36E83"/>
    <w:rsid w:val="00B40388"/>
    <w:rsid w:val="00B41A0B"/>
    <w:rsid w:val="00B427AE"/>
    <w:rsid w:val="00B43103"/>
    <w:rsid w:val="00B45D75"/>
    <w:rsid w:val="00B4603F"/>
    <w:rsid w:val="00B47ECB"/>
    <w:rsid w:val="00B524AF"/>
    <w:rsid w:val="00B529A0"/>
    <w:rsid w:val="00B54AAB"/>
    <w:rsid w:val="00B552CD"/>
    <w:rsid w:val="00B56B00"/>
    <w:rsid w:val="00B570D5"/>
    <w:rsid w:val="00B6155A"/>
    <w:rsid w:val="00B61C9F"/>
    <w:rsid w:val="00B62F51"/>
    <w:rsid w:val="00B63C0D"/>
    <w:rsid w:val="00B67579"/>
    <w:rsid w:val="00B70822"/>
    <w:rsid w:val="00B70DD5"/>
    <w:rsid w:val="00B71553"/>
    <w:rsid w:val="00B71A00"/>
    <w:rsid w:val="00B71C2A"/>
    <w:rsid w:val="00B73F68"/>
    <w:rsid w:val="00B743D3"/>
    <w:rsid w:val="00B7624B"/>
    <w:rsid w:val="00B763E4"/>
    <w:rsid w:val="00B76556"/>
    <w:rsid w:val="00B83C07"/>
    <w:rsid w:val="00B86091"/>
    <w:rsid w:val="00B86275"/>
    <w:rsid w:val="00B907A3"/>
    <w:rsid w:val="00B90A6A"/>
    <w:rsid w:val="00B95783"/>
    <w:rsid w:val="00B978A6"/>
    <w:rsid w:val="00B97BBD"/>
    <w:rsid w:val="00BA0BC5"/>
    <w:rsid w:val="00BA0C3D"/>
    <w:rsid w:val="00BA0DA1"/>
    <w:rsid w:val="00BA135F"/>
    <w:rsid w:val="00BA2266"/>
    <w:rsid w:val="00BA5F18"/>
    <w:rsid w:val="00BA6079"/>
    <w:rsid w:val="00BA746B"/>
    <w:rsid w:val="00BA7CF0"/>
    <w:rsid w:val="00BA7DDF"/>
    <w:rsid w:val="00BA7F18"/>
    <w:rsid w:val="00BB1F7E"/>
    <w:rsid w:val="00BB71D9"/>
    <w:rsid w:val="00BB72B2"/>
    <w:rsid w:val="00BB73E6"/>
    <w:rsid w:val="00BC0787"/>
    <w:rsid w:val="00BC16BF"/>
    <w:rsid w:val="00BC359C"/>
    <w:rsid w:val="00BC461C"/>
    <w:rsid w:val="00BC5AAC"/>
    <w:rsid w:val="00BC60DE"/>
    <w:rsid w:val="00BD2F82"/>
    <w:rsid w:val="00BD488E"/>
    <w:rsid w:val="00BE0244"/>
    <w:rsid w:val="00BE0A56"/>
    <w:rsid w:val="00BE1ABA"/>
    <w:rsid w:val="00BE2D64"/>
    <w:rsid w:val="00BE33F2"/>
    <w:rsid w:val="00BE3682"/>
    <w:rsid w:val="00BE3947"/>
    <w:rsid w:val="00BE3C07"/>
    <w:rsid w:val="00BE5914"/>
    <w:rsid w:val="00BE5F5C"/>
    <w:rsid w:val="00BE758F"/>
    <w:rsid w:val="00BE7695"/>
    <w:rsid w:val="00BE7BFA"/>
    <w:rsid w:val="00BF07E9"/>
    <w:rsid w:val="00BF1930"/>
    <w:rsid w:val="00BF34DE"/>
    <w:rsid w:val="00BF3C11"/>
    <w:rsid w:val="00BF3E40"/>
    <w:rsid w:val="00C00C27"/>
    <w:rsid w:val="00C04120"/>
    <w:rsid w:val="00C04D13"/>
    <w:rsid w:val="00C055A4"/>
    <w:rsid w:val="00C056D4"/>
    <w:rsid w:val="00C11DA1"/>
    <w:rsid w:val="00C120DD"/>
    <w:rsid w:val="00C14867"/>
    <w:rsid w:val="00C14CB7"/>
    <w:rsid w:val="00C16BA9"/>
    <w:rsid w:val="00C178ED"/>
    <w:rsid w:val="00C227CB"/>
    <w:rsid w:val="00C22AF2"/>
    <w:rsid w:val="00C23C7C"/>
    <w:rsid w:val="00C244AE"/>
    <w:rsid w:val="00C246BE"/>
    <w:rsid w:val="00C2553B"/>
    <w:rsid w:val="00C25F31"/>
    <w:rsid w:val="00C268D2"/>
    <w:rsid w:val="00C26F44"/>
    <w:rsid w:val="00C2771B"/>
    <w:rsid w:val="00C309D5"/>
    <w:rsid w:val="00C31D98"/>
    <w:rsid w:val="00C34EF9"/>
    <w:rsid w:val="00C42BF5"/>
    <w:rsid w:val="00C42CCE"/>
    <w:rsid w:val="00C459E1"/>
    <w:rsid w:val="00C46B2E"/>
    <w:rsid w:val="00C47AE6"/>
    <w:rsid w:val="00C47B55"/>
    <w:rsid w:val="00C53C28"/>
    <w:rsid w:val="00C5750E"/>
    <w:rsid w:val="00C60A1E"/>
    <w:rsid w:val="00C62BB3"/>
    <w:rsid w:val="00C62C19"/>
    <w:rsid w:val="00C63089"/>
    <w:rsid w:val="00C63BAB"/>
    <w:rsid w:val="00C63BD8"/>
    <w:rsid w:val="00C641DA"/>
    <w:rsid w:val="00C64D38"/>
    <w:rsid w:val="00C66858"/>
    <w:rsid w:val="00C67179"/>
    <w:rsid w:val="00C7057E"/>
    <w:rsid w:val="00C71A83"/>
    <w:rsid w:val="00C73772"/>
    <w:rsid w:val="00C739CF"/>
    <w:rsid w:val="00C73AF6"/>
    <w:rsid w:val="00C745BD"/>
    <w:rsid w:val="00C74E78"/>
    <w:rsid w:val="00C75BE1"/>
    <w:rsid w:val="00C75FB6"/>
    <w:rsid w:val="00C76DF6"/>
    <w:rsid w:val="00C76ECF"/>
    <w:rsid w:val="00C76F75"/>
    <w:rsid w:val="00C77D20"/>
    <w:rsid w:val="00C82F78"/>
    <w:rsid w:val="00C832AA"/>
    <w:rsid w:val="00C83B97"/>
    <w:rsid w:val="00C853B7"/>
    <w:rsid w:val="00C85AFC"/>
    <w:rsid w:val="00C8628E"/>
    <w:rsid w:val="00C8668A"/>
    <w:rsid w:val="00C87C7B"/>
    <w:rsid w:val="00C902EF"/>
    <w:rsid w:val="00C94CBB"/>
    <w:rsid w:val="00C94E46"/>
    <w:rsid w:val="00C94F70"/>
    <w:rsid w:val="00C95D7A"/>
    <w:rsid w:val="00C966BA"/>
    <w:rsid w:val="00C96B80"/>
    <w:rsid w:val="00C9701A"/>
    <w:rsid w:val="00CA1E57"/>
    <w:rsid w:val="00CA2281"/>
    <w:rsid w:val="00CA6152"/>
    <w:rsid w:val="00CA6435"/>
    <w:rsid w:val="00CB0045"/>
    <w:rsid w:val="00CB02F8"/>
    <w:rsid w:val="00CB1CB6"/>
    <w:rsid w:val="00CB218D"/>
    <w:rsid w:val="00CB53D7"/>
    <w:rsid w:val="00CB56FE"/>
    <w:rsid w:val="00CB6EEC"/>
    <w:rsid w:val="00CC00E5"/>
    <w:rsid w:val="00CC01F3"/>
    <w:rsid w:val="00CC1D39"/>
    <w:rsid w:val="00CC2045"/>
    <w:rsid w:val="00CC241C"/>
    <w:rsid w:val="00CC29D9"/>
    <w:rsid w:val="00CC3ED9"/>
    <w:rsid w:val="00CC4800"/>
    <w:rsid w:val="00CC604B"/>
    <w:rsid w:val="00CC6EF2"/>
    <w:rsid w:val="00CC73B2"/>
    <w:rsid w:val="00CD0B88"/>
    <w:rsid w:val="00CD1D4A"/>
    <w:rsid w:val="00CD36FE"/>
    <w:rsid w:val="00CD6ED7"/>
    <w:rsid w:val="00CE0EA7"/>
    <w:rsid w:val="00CE1D07"/>
    <w:rsid w:val="00CE3F7B"/>
    <w:rsid w:val="00CE5A09"/>
    <w:rsid w:val="00CE5BB7"/>
    <w:rsid w:val="00CE6AEA"/>
    <w:rsid w:val="00CE7C89"/>
    <w:rsid w:val="00CF3FEE"/>
    <w:rsid w:val="00CF551B"/>
    <w:rsid w:val="00CF7F1C"/>
    <w:rsid w:val="00D00121"/>
    <w:rsid w:val="00D00A7E"/>
    <w:rsid w:val="00D03290"/>
    <w:rsid w:val="00D03574"/>
    <w:rsid w:val="00D03B0B"/>
    <w:rsid w:val="00D04E8C"/>
    <w:rsid w:val="00D04F82"/>
    <w:rsid w:val="00D05B70"/>
    <w:rsid w:val="00D067D3"/>
    <w:rsid w:val="00D068E9"/>
    <w:rsid w:val="00D104CB"/>
    <w:rsid w:val="00D11212"/>
    <w:rsid w:val="00D11BC0"/>
    <w:rsid w:val="00D1713C"/>
    <w:rsid w:val="00D17371"/>
    <w:rsid w:val="00D2087A"/>
    <w:rsid w:val="00D20ADC"/>
    <w:rsid w:val="00D2117A"/>
    <w:rsid w:val="00D233B8"/>
    <w:rsid w:val="00D240EA"/>
    <w:rsid w:val="00D24B30"/>
    <w:rsid w:val="00D252ED"/>
    <w:rsid w:val="00D27717"/>
    <w:rsid w:val="00D30297"/>
    <w:rsid w:val="00D3142B"/>
    <w:rsid w:val="00D33AB9"/>
    <w:rsid w:val="00D33FCB"/>
    <w:rsid w:val="00D3425C"/>
    <w:rsid w:val="00D34498"/>
    <w:rsid w:val="00D35125"/>
    <w:rsid w:val="00D35F51"/>
    <w:rsid w:val="00D42676"/>
    <w:rsid w:val="00D44CF7"/>
    <w:rsid w:val="00D46577"/>
    <w:rsid w:val="00D504F9"/>
    <w:rsid w:val="00D51504"/>
    <w:rsid w:val="00D528C7"/>
    <w:rsid w:val="00D52AA3"/>
    <w:rsid w:val="00D52D80"/>
    <w:rsid w:val="00D53A23"/>
    <w:rsid w:val="00D55C1D"/>
    <w:rsid w:val="00D55C61"/>
    <w:rsid w:val="00D56ABB"/>
    <w:rsid w:val="00D57AA5"/>
    <w:rsid w:val="00D61169"/>
    <w:rsid w:val="00D64066"/>
    <w:rsid w:val="00D65098"/>
    <w:rsid w:val="00D67A3D"/>
    <w:rsid w:val="00D67B0D"/>
    <w:rsid w:val="00D70DFF"/>
    <w:rsid w:val="00D70EFB"/>
    <w:rsid w:val="00D733EB"/>
    <w:rsid w:val="00D76094"/>
    <w:rsid w:val="00D76CC7"/>
    <w:rsid w:val="00D77315"/>
    <w:rsid w:val="00D7790D"/>
    <w:rsid w:val="00D77A0A"/>
    <w:rsid w:val="00D77BC1"/>
    <w:rsid w:val="00D77F4C"/>
    <w:rsid w:val="00D81D6B"/>
    <w:rsid w:val="00D82343"/>
    <w:rsid w:val="00D82EEE"/>
    <w:rsid w:val="00D84929"/>
    <w:rsid w:val="00D84EB4"/>
    <w:rsid w:val="00D8509A"/>
    <w:rsid w:val="00D87F07"/>
    <w:rsid w:val="00D903F1"/>
    <w:rsid w:val="00D90EE6"/>
    <w:rsid w:val="00D91D6B"/>
    <w:rsid w:val="00D932C8"/>
    <w:rsid w:val="00D94627"/>
    <w:rsid w:val="00D9557F"/>
    <w:rsid w:val="00DA0E1E"/>
    <w:rsid w:val="00DA16D4"/>
    <w:rsid w:val="00DA252E"/>
    <w:rsid w:val="00DA3B7E"/>
    <w:rsid w:val="00DA3F26"/>
    <w:rsid w:val="00DA4E29"/>
    <w:rsid w:val="00DB0C69"/>
    <w:rsid w:val="00DB1F88"/>
    <w:rsid w:val="00DB20D6"/>
    <w:rsid w:val="00DB2D1B"/>
    <w:rsid w:val="00DB6D85"/>
    <w:rsid w:val="00DB6E41"/>
    <w:rsid w:val="00DB7E73"/>
    <w:rsid w:val="00DC288B"/>
    <w:rsid w:val="00DC3CC3"/>
    <w:rsid w:val="00DC40EC"/>
    <w:rsid w:val="00DC559C"/>
    <w:rsid w:val="00DC5DCA"/>
    <w:rsid w:val="00DC65B9"/>
    <w:rsid w:val="00DC7905"/>
    <w:rsid w:val="00DD0D94"/>
    <w:rsid w:val="00DD2A62"/>
    <w:rsid w:val="00DD452C"/>
    <w:rsid w:val="00DD5C89"/>
    <w:rsid w:val="00DD68A0"/>
    <w:rsid w:val="00DD6973"/>
    <w:rsid w:val="00DD7A85"/>
    <w:rsid w:val="00DD7E15"/>
    <w:rsid w:val="00DE0629"/>
    <w:rsid w:val="00DE07A3"/>
    <w:rsid w:val="00DE0C53"/>
    <w:rsid w:val="00DE19D1"/>
    <w:rsid w:val="00DE2C28"/>
    <w:rsid w:val="00DE30A4"/>
    <w:rsid w:val="00DE4A49"/>
    <w:rsid w:val="00DE60F0"/>
    <w:rsid w:val="00DF0C3C"/>
    <w:rsid w:val="00DF13B5"/>
    <w:rsid w:val="00DF2660"/>
    <w:rsid w:val="00DF287F"/>
    <w:rsid w:val="00DF2DF2"/>
    <w:rsid w:val="00DF3A5F"/>
    <w:rsid w:val="00DF55E4"/>
    <w:rsid w:val="00DF59BE"/>
    <w:rsid w:val="00DF5BE5"/>
    <w:rsid w:val="00DF7D5E"/>
    <w:rsid w:val="00E00F54"/>
    <w:rsid w:val="00E01FB8"/>
    <w:rsid w:val="00E036D9"/>
    <w:rsid w:val="00E03FDB"/>
    <w:rsid w:val="00E052E7"/>
    <w:rsid w:val="00E057DB"/>
    <w:rsid w:val="00E064B4"/>
    <w:rsid w:val="00E13953"/>
    <w:rsid w:val="00E14193"/>
    <w:rsid w:val="00E14321"/>
    <w:rsid w:val="00E156F3"/>
    <w:rsid w:val="00E20E6A"/>
    <w:rsid w:val="00E2419C"/>
    <w:rsid w:val="00E25173"/>
    <w:rsid w:val="00E25F90"/>
    <w:rsid w:val="00E27355"/>
    <w:rsid w:val="00E30873"/>
    <w:rsid w:val="00E30CBE"/>
    <w:rsid w:val="00E33F9C"/>
    <w:rsid w:val="00E340B2"/>
    <w:rsid w:val="00E34399"/>
    <w:rsid w:val="00E34F02"/>
    <w:rsid w:val="00E3555A"/>
    <w:rsid w:val="00E358E9"/>
    <w:rsid w:val="00E37662"/>
    <w:rsid w:val="00E42057"/>
    <w:rsid w:val="00E43762"/>
    <w:rsid w:val="00E439B8"/>
    <w:rsid w:val="00E44C74"/>
    <w:rsid w:val="00E44D70"/>
    <w:rsid w:val="00E450ED"/>
    <w:rsid w:val="00E45307"/>
    <w:rsid w:val="00E46FFB"/>
    <w:rsid w:val="00E47C8C"/>
    <w:rsid w:val="00E50100"/>
    <w:rsid w:val="00E50CFF"/>
    <w:rsid w:val="00E51015"/>
    <w:rsid w:val="00E524CB"/>
    <w:rsid w:val="00E54099"/>
    <w:rsid w:val="00E54E98"/>
    <w:rsid w:val="00E55EF2"/>
    <w:rsid w:val="00E56C9E"/>
    <w:rsid w:val="00E57E9E"/>
    <w:rsid w:val="00E614AC"/>
    <w:rsid w:val="00E62E8E"/>
    <w:rsid w:val="00E63B21"/>
    <w:rsid w:val="00E66D01"/>
    <w:rsid w:val="00E704C1"/>
    <w:rsid w:val="00E70517"/>
    <w:rsid w:val="00E7178E"/>
    <w:rsid w:val="00E71B2F"/>
    <w:rsid w:val="00E71C0A"/>
    <w:rsid w:val="00E728E1"/>
    <w:rsid w:val="00E72E76"/>
    <w:rsid w:val="00E731D6"/>
    <w:rsid w:val="00E749ED"/>
    <w:rsid w:val="00E80E03"/>
    <w:rsid w:val="00E823FB"/>
    <w:rsid w:val="00E82417"/>
    <w:rsid w:val="00E84348"/>
    <w:rsid w:val="00E843F0"/>
    <w:rsid w:val="00E85D64"/>
    <w:rsid w:val="00E86818"/>
    <w:rsid w:val="00E86E64"/>
    <w:rsid w:val="00E875CD"/>
    <w:rsid w:val="00E921EE"/>
    <w:rsid w:val="00E93419"/>
    <w:rsid w:val="00E93B89"/>
    <w:rsid w:val="00E95656"/>
    <w:rsid w:val="00E95FDC"/>
    <w:rsid w:val="00E967E0"/>
    <w:rsid w:val="00EA0D15"/>
    <w:rsid w:val="00EA5961"/>
    <w:rsid w:val="00EA5C4E"/>
    <w:rsid w:val="00EB131E"/>
    <w:rsid w:val="00EB24A8"/>
    <w:rsid w:val="00EB3058"/>
    <w:rsid w:val="00EB4680"/>
    <w:rsid w:val="00EB5061"/>
    <w:rsid w:val="00EB6EE0"/>
    <w:rsid w:val="00EC0310"/>
    <w:rsid w:val="00EC0F9E"/>
    <w:rsid w:val="00EC2DE5"/>
    <w:rsid w:val="00EC3609"/>
    <w:rsid w:val="00EC446E"/>
    <w:rsid w:val="00EC4681"/>
    <w:rsid w:val="00EC5614"/>
    <w:rsid w:val="00EC6255"/>
    <w:rsid w:val="00EC62EB"/>
    <w:rsid w:val="00EC6EE4"/>
    <w:rsid w:val="00EC7300"/>
    <w:rsid w:val="00EC76B4"/>
    <w:rsid w:val="00EC7817"/>
    <w:rsid w:val="00EC7BBB"/>
    <w:rsid w:val="00ED0C8C"/>
    <w:rsid w:val="00ED1035"/>
    <w:rsid w:val="00ED1273"/>
    <w:rsid w:val="00ED5B6A"/>
    <w:rsid w:val="00ED686C"/>
    <w:rsid w:val="00EE139D"/>
    <w:rsid w:val="00EE35E2"/>
    <w:rsid w:val="00EE610A"/>
    <w:rsid w:val="00EE76B7"/>
    <w:rsid w:val="00EF0C8D"/>
    <w:rsid w:val="00EF2332"/>
    <w:rsid w:val="00EF53C5"/>
    <w:rsid w:val="00F01EB4"/>
    <w:rsid w:val="00F03135"/>
    <w:rsid w:val="00F0360C"/>
    <w:rsid w:val="00F03F24"/>
    <w:rsid w:val="00F05273"/>
    <w:rsid w:val="00F07519"/>
    <w:rsid w:val="00F14498"/>
    <w:rsid w:val="00F14946"/>
    <w:rsid w:val="00F16021"/>
    <w:rsid w:val="00F20B6E"/>
    <w:rsid w:val="00F22488"/>
    <w:rsid w:val="00F2372E"/>
    <w:rsid w:val="00F24382"/>
    <w:rsid w:val="00F24CD9"/>
    <w:rsid w:val="00F269C4"/>
    <w:rsid w:val="00F26D7D"/>
    <w:rsid w:val="00F27975"/>
    <w:rsid w:val="00F306B8"/>
    <w:rsid w:val="00F307F4"/>
    <w:rsid w:val="00F310CC"/>
    <w:rsid w:val="00F317BF"/>
    <w:rsid w:val="00F37DEB"/>
    <w:rsid w:val="00F4045F"/>
    <w:rsid w:val="00F408FF"/>
    <w:rsid w:val="00F40988"/>
    <w:rsid w:val="00F41E34"/>
    <w:rsid w:val="00F432DC"/>
    <w:rsid w:val="00F454AF"/>
    <w:rsid w:val="00F47198"/>
    <w:rsid w:val="00F4739A"/>
    <w:rsid w:val="00F52A2D"/>
    <w:rsid w:val="00F5332A"/>
    <w:rsid w:val="00F5454A"/>
    <w:rsid w:val="00F5577C"/>
    <w:rsid w:val="00F56DFE"/>
    <w:rsid w:val="00F60AF7"/>
    <w:rsid w:val="00F64195"/>
    <w:rsid w:val="00F6427E"/>
    <w:rsid w:val="00F6771A"/>
    <w:rsid w:val="00F70652"/>
    <w:rsid w:val="00F70CA4"/>
    <w:rsid w:val="00F70FB6"/>
    <w:rsid w:val="00F712F3"/>
    <w:rsid w:val="00F71E6A"/>
    <w:rsid w:val="00F74229"/>
    <w:rsid w:val="00F7432B"/>
    <w:rsid w:val="00F76466"/>
    <w:rsid w:val="00F80309"/>
    <w:rsid w:val="00F80948"/>
    <w:rsid w:val="00F82527"/>
    <w:rsid w:val="00F82DBB"/>
    <w:rsid w:val="00F848E1"/>
    <w:rsid w:val="00F87A64"/>
    <w:rsid w:val="00F90C42"/>
    <w:rsid w:val="00F9293B"/>
    <w:rsid w:val="00F94546"/>
    <w:rsid w:val="00F95BE0"/>
    <w:rsid w:val="00F9693B"/>
    <w:rsid w:val="00F97E05"/>
    <w:rsid w:val="00FA0AD9"/>
    <w:rsid w:val="00FA3428"/>
    <w:rsid w:val="00FA6D5F"/>
    <w:rsid w:val="00FA7377"/>
    <w:rsid w:val="00FB31A4"/>
    <w:rsid w:val="00FB392B"/>
    <w:rsid w:val="00FB40A7"/>
    <w:rsid w:val="00FB4ADC"/>
    <w:rsid w:val="00FB4E0A"/>
    <w:rsid w:val="00FB5235"/>
    <w:rsid w:val="00FB55E9"/>
    <w:rsid w:val="00FB7B5D"/>
    <w:rsid w:val="00FC0788"/>
    <w:rsid w:val="00FC094A"/>
    <w:rsid w:val="00FC0C7F"/>
    <w:rsid w:val="00FC2250"/>
    <w:rsid w:val="00FC507C"/>
    <w:rsid w:val="00FC6DC1"/>
    <w:rsid w:val="00FC75EF"/>
    <w:rsid w:val="00FD0E69"/>
    <w:rsid w:val="00FD17EE"/>
    <w:rsid w:val="00FD4FF3"/>
    <w:rsid w:val="00FE0EB5"/>
    <w:rsid w:val="00FE14A4"/>
    <w:rsid w:val="00FE2A44"/>
    <w:rsid w:val="00FE32FD"/>
    <w:rsid w:val="00FE3AF3"/>
    <w:rsid w:val="00FE4899"/>
    <w:rsid w:val="00FE5837"/>
    <w:rsid w:val="00FE62BF"/>
    <w:rsid w:val="00FF2664"/>
    <w:rsid w:val="00FF3402"/>
    <w:rsid w:val="00FF351E"/>
    <w:rsid w:val="00FF3EA7"/>
    <w:rsid w:val="00FF542D"/>
    <w:rsid w:val="00FF54FD"/>
    <w:rsid w:val="00FF631B"/>
    <w:rsid w:val="00FF663F"/>
    <w:rsid w:val="00FF66A4"/>
    <w:rsid w:val="00FF7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3A995D"/>
  <w15:docId w15:val="{4BED3B82-5330-4581-8EAB-9789940A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D7D"/>
    <w:rPr>
      <w:sz w:val="24"/>
      <w:szCs w:val="24"/>
    </w:rPr>
  </w:style>
  <w:style w:type="paragraph" w:styleId="Titre1">
    <w:name w:val="heading 1"/>
    <w:basedOn w:val="Normal"/>
    <w:link w:val="Titre1Car"/>
    <w:uiPriority w:val="9"/>
    <w:qFormat/>
    <w:rsid w:val="00626208"/>
    <w:pPr>
      <w:spacing w:line="348" w:lineRule="auto"/>
      <w:outlineLvl w:val="0"/>
    </w:pPr>
    <w:rPr>
      <w:rFonts w:eastAsiaTheme="minorEastAsia"/>
      <w:b/>
      <w:bCs/>
      <w:color w:val="0076CC"/>
      <w:kern w:val="36"/>
      <w:sz w:val="31"/>
      <w:szCs w:val="31"/>
      <w:lang w:val="de-DE" w:eastAsia="de-DE" w:bidi="de-DE"/>
    </w:rPr>
  </w:style>
  <w:style w:type="paragraph" w:styleId="Titre2">
    <w:name w:val="heading 2"/>
    <w:basedOn w:val="Normal"/>
    <w:link w:val="Titre2Car"/>
    <w:uiPriority w:val="9"/>
    <w:qFormat/>
    <w:rsid w:val="00626208"/>
    <w:pPr>
      <w:spacing w:before="210" w:after="45"/>
      <w:outlineLvl w:val="1"/>
    </w:pPr>
    <w:rPr>
      <w:rFonts w:eastAsiaTheme="minorEastAsia"/>
      <w:b/>
      <w:bCs/>
      <w:sz w:val="28"/>
      <w:szCs w:val="28"/>
      <w:lang w:val="de-DE" w:eastAsia="de-DE" w:bidi="de-DE"/>
    </w:rPr>
  </w:style>
  <w:style w:type="paragraph" w:styleId="Titre3">
    <w:name w:val="heading 3"/>
    <w:basedOn w:val="Normal"/>
    <w:link w:val="Titre3Car"/>
    <w:uiPriority w:val="9"/>
    <w:qFormat/>
    <w:rsid w:val="00626208"/>
    <w:pPr>
      <w:spacing w:before="210"/>
      <w:outlineLvl w:val="2"/>
    </w:pPr>
    <w:rPr>
      <w:rFonts w:eastAsiaTheme="minorEastAsia"/>
      <w:b/>
      <w:bCs/>
      <w:color w:val="474747"/>
      <w:lang w:val="de-DE" w:eastAsia="de-DE" w:bidi="de-DE"/>
    </w:rPr>
  </w:style>
  <w:style w:type="paragraph" w:styleId="Titre4">
    <w:name w:val="heading 4"/>
    <w:basedOn w:val="Normal"/>
    <w:link w:val="Titre4Car"/>
    <w:uiPriority w:val="9"/>
    <w:qFormat/>
    <w:rsid w:val="00626208"/>
    <w:pPr>
      <w:spacing w:before="210" w:after="210"/>
      <w:outlineLvl w:val="3"/>
    </w:pPr>
    <w:rPr>
      <w:rFonts w:eastAsiaTheme="minorEastAsia"/>
      <w:b/>
      <w:bCs/>
      <w:sz w:val="31"/>
      <w:szCs w:val="31"/>
      <w:lang w:val="de-DE" w:eastAsia="de-DE" w:bidi="de-DE"/>
    </w:rPr>
  </w:style>
  <w:style w:type="paragraph" w:styleId="Titre5">
    <w:name w:val="heading 5"/>
    <w:basedOn w:val="Normal"/>
    <w:link w:val="Titre5Car"/>
    <w:uiPriority w:val="9"/>
    <w:qFormat/>
    <w:rsid w:val="00626208"/>
    <w:pPr>
      <w:spacing w:before="210" w:after="210"/>
      <w:outlineLvl w:val="4"/>
    </w:pPr>
    <w:rPr>
      <w:rFonts w:eastAsiaTheme="minorEastAsia"/>
      <w:b/>
      <w:bCs/>
      <w:lang w:val="de-DE" w:eastAsia="de-DE" w:bidi="de-DE"/>
    </w:rPr>
  </w:style>
  <w:style w:type="paragraph" w:styleId="Titre6">
    <w:name w:val="heading 6"/>
    <w:basedOn w:val="Normal"/>
    <w:link w:val="Titre6Car"/>
    <w:uiPriority w:val="9"/>
    <w:qFormat/>
    <w:rsid w:val="00626208"/>
    <w:pPr>
      <w:spacing w:before="210" w:after="210"/>
      <w:outlineLvl w:val="5"/>
    </w:pPr>
    <w:rPr>
      <w:rFonts w:eastAsiaTheme="minorEastAsia"/>
      <w:b/>
      <w:bCs/>
      <w:sz w:val="17"/>
      <w:szCs w:val="17"/>
      <w:lang w:val="de-DE" w:eastAsia="de-DE" w:bidi="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rsid w:val="005E6F74"/>
    <w:rPr>
      <w:rFonts w:ascii="Tahoma" w:hAnsi="Tahoma" w:cs="Tahoma"/>
      <w:sz w:val="16"/>
      <w:szCs w:val="16"/>
    </w:rPr>
  </w:style>
  <w:style w:type="character" w:customStyle="1" w:styleId="TextedebullesCar">
    <w:name w:val="Texte de bulles Car"/>
    <w:basedOn w:val="Policepardfaut"/>
    <w:link w:val="Textedebulles"/>
    <w:uiPriority w:val="99"/>
    <w:rsid w:val="005E6F74"/>
    <w:rPr>
      <w:rFonts w:ascii="Tahoma" w:hAnsi="Tahoma" w:cs="Tahoma"/>
      <w:sz w:val="16"/>
      <w:szCs w:val="16"/>
    </w:rPr>
  </w:style>
  <w:style w:type="character" w:customStyle="1" w:styleId="Titre1Car">
    <w:name w:val="Titre 1 Car"/>
    <w:basedOn w:val="Policepardfaut"/>
    <w:link w:val="Titre1"/>
    <w:uiPriority w:val="9"/>
    <w:rsid w:val="00626208"/>
    <w:rPr>
      <w:rFonts w:eastAsiaTheme="minorEastAsia"/>
      <w:b/>
      <w:bCs/>
      <w:color w:val="0076CC"/>
      <w:kern w:val="36"/>
      <w:sz w:val="31"/>
      <w:szCs w:val="31"/>
      <w:lang w:val="de-DE" w:eastAsia="de-DE" w:bidi="de-DE"/>
    </w:rPr>
  </w:style>
  <w:style w:type="character" w:customStyle="1" w:styleId="Titre2Car">
    <w:name w:val="Titre 2 Car"/>
    <w:basedOn w:val="Policepardfaut"/>
    <w:link w:val="Titre2"/>
    <w:uiPriority w:val="9"/>
    <w:rsid w:val="00626208"/>
    <w:rPr>
      <w:rFonts w:eastAsiaTheme="minorEastAsia"/>
      <w:b/>
      <w:bCs/>
      <w:sz w:val="28"/>
      <w:szCs w:val="28"/>
      <w:lang w:val="de-DE" w:eastAsia="de-DE" w:bidi="de-DE"/>
    </w:rPr>
  </w:style>
  <w:style w:type="character" w:customStyle="1" w:styleId="Titre3Car">
    <w:name w:val="Titre 3 Car"/>
    <w:basedOn w:val="Policepardfaut"/>
    <w:link w:val="Titre3"/>
    <w:uiPriority w:val="9"/>
    <w:rsid w:val="00626208"/>
    <w:rPr>
      <w:rFonts w:eastAsiaTheme="minorEastAsia"/>
      <w:b/>
      <w:bCs/>
      <w:color w:val="474747"/>
      <w:sz w:val="24"/>
      <w:szCs w:val="24"/>
      <w:lang w:val="de-DE" w:eastAsia="de-DE" w:bidi="de-DE"/>
    </w:rPr>
  </w:style>
  <w:style w:type="character" w:customStyle="1" w:styleId="Titre4Car">
    <w:name w:val="Titre 4 Car"/>
    <w:basedOn w:val="Policepardfaut"/>
    <w:link w:val="Titre4"/>
    <w:uiPriority w:val="9"/>
    <w:rsid w:val="00626208"/>
    <w:rPr>
      <w:rFonts w:eastAsiaTheme="minorEastAsia"/>
      <w:b/>
      <w:bCs/>
      <w:sz w:val="31"/>
      <w:szCs w:val="31"/>
      <w:lang w:val="de-DE" w:eastAsia="de-DE" w:bidi="de-DE"/>
    </w:rPr>
  </w:style>
  <w:style w:type="character" w:customStyle="1" w:styleId="Titre5Car">
    <w:name w:val="Titre 5 Car"/>
    <w:basedOn w:val="Policepardfaut"/>
    <w:link w:val="Titre5"/>
    <w:uiPriority w:val="9"/>
    <w:rsid w:val="00626208"/>
    <w:rPr>
      <w:rFonts w:eastAsiaTheme="minorEastAsia"/>
      <w:b/>
      <w:bCs/>
      <w:sz w:val="24"/>
      <w:szCs w:val="24"/>
      <w:lang w:val="de-DE" w:eastAsia="de-DE" w:bidi="de-DE"/>
    </w:rPr>
  </w:style>
  <w:style w:type="character" w:customStyle="1" w:styleId="Titre6Car">
    <w:name w:val="Titre 6 Car"/>
    <w:basedOn w:val="Policepardfaut"/>
    <w:link w:val="Titre6"/>
    <w:uiPriority w:val="9"/>
    <w:rsid w:val="00626208"/>
    <w:rPr>
      <w:rFonts w:eastAsiaTheme="minorEastAsia"/>
      <w:b/>
      <w:bCs/>
      <w:sz w:val="17"/>
      <w:szCs w:val="17"/>
      <w:lang w:val="de-DE" w:eastAsia="de-DE" w:bidi="de-DE"/>
    </w:rPr>
  </w:style>
  <w:style w:type="character" w:customStyle="1" w:styleId="En-tteCar">
    <w:name w:val="En-tête Car"/>
    <w:basedOn w:val="Policepardfaut"/>
    <w:link w:val="En-tte"/>
    <w:uiPriority w:val="99"/>
    <w:rsid w:val="00626208"/>
    <w:rPr>
      <w:rFonts w:eastAsiaTheme="minorEastAsia"/>
      <w:sz w:val="24"/>
      <w:szCs w:val="24"/>
      <w:lang w:val="de-DE" w:eastAsia="de-DE" w:bidi="de-DE"/>
    </w:rPr>
  </w:style>
  <w:style w:type="paragraph" w:styleId="En-tte">
    <w:name w:val="header"/>
    <w:basedOn w:val="Normal"/>
    <w:link w:val="En-tteCar"/>
    <w:uiPriority w:val="99"/>
    <w:unhideWhenUsed/>
    <w:rsid w:val="00626208"/>
    <w:pPr>
      <w:tabs>
        <w:tab w:val="center" w:pos="4536"/>
        <w:tab w:val="right" w:pos="9072"/>
      </w:tabs>
    </w:pPr>
    <w:rPr>
      <w:rFonts w:eastAsiaTheme="minorEastAsia"/>
      <w:lang w:val="de-DE" w:eastAsia="de-DE" w:bidi="de-DE"/>
    </w:rPr>
  </w:style>
  <w:style w:type="character" w:customStyle="1" w:styleId="PieddepageCar">
    <w:name w:val="Pied de page Car"/>
    <w:basedOn w:val="Policepardfaut"/>
    <w:link w:val="Pieddepage"/>
    <w:uiPriority w:val="99"/>
    <w:rsid w:val="00626208"/>
    <w:rPr>
      <w:rFonts w:eastAsiaTheme="minorEastAsia"/>
      <w:sz w:val="24"/>
      <w:szCs w:val="24"/>
      <w:lang w:val="de-DE" w:eastAsia="de-DE" w:bidi="de-DE"/>
    </w:rPr>
  </w:style>
  <w:style w:type="paragraph" w:styleId="Pieddepage">
    <w:name w:val="footer"/>
    <w:basedOn w:val="Normal"/>
    <w:link w:val="PieddepageCar"/>
    <w:uiPriority w:val="99"/>
    <w:unhideWhenUsed/>
    <w:rsid w:val="00626208"/>
    <w:pPr>
      <w:tabs>
        <w:tab w:val="center" w:pos="4536"/>
        <w:tab w:val="right" w:pos="9072"/>
      </w:tabs>
    </w:pPr>
    <w:rPr>
      <w:rFonts w:eastAsiaTheme="minorEastAsia"/>
      <w:lang w:val="de-DE" w:eastAsia="de-DE" w:bidi="de-DE"/>
    </w:rPr>
  </w:style>
  <w:style w:type="paragraph" w:customStyle="1" w:styleId="Level1">
    <w:name w:val="Level 1"/>
    <w:basedOn w:val="Normal"/>
    <w:uiPriority w:val="99"/>
    <w:rsid w:val="00881814"/>
    <w:pPr>
      <w:widowControl w:val="0"/>
      <w:autoSpaceDE w:val="0"/>
      <w:autoSpaceDN w:val="0"/>
      <w:adjustRightInd w:val="0"/>
      <w:ind w:left="340" w:hanging="340"/>
    </w:pPr>
    <w:rPr>
      <w:rFonts w:ascii="Courier" w:hAnsi="Courier"/>
      <w:lang w:val="en-US"/>
    </w:rPr>
  </w:style>
  <w:style w:type="paragraph" w:styleId="Paragraphedeliste">
    <w:name w:val="List Paragraph"/>
    <w:basedOn w:val="Normal"/>
    <w:uiPriority w:val="34"/>
    <w:qFormat/>
    <w:rsid w:val="00EE35E2"/>
    <w:pPr>
      <w:ind w:left="720"/>
      <w:contextualSpacing/>
    </w:pPr>
    <w:rPr>
      <w:rFonts w:eastAsiaTheme="minorHAnsi" w:cstheme="minorBidi"/>
      <w:szCs w:val="22"/>
      <w:lang w:val="de-DE" w:eastAsia="de-DE" w:bidi="de-DE"/>
    </w:rPr>
  </w:style>
  <w:style w:type="table" w:styleId="Grilledutableau">
    <w:name w:val="Table Grid"/>
    <w:basedOn w:val="TableauNormal"/>
    <w:rsid w:val="00496AA3"/>
    <w:rPr>
      <w:rFonts w:eastAsiaTheme="minorHAnsi" w:cstheme="minorBidi"/>
      <w:sz w:val="24"/>
      <w:szCs w:val="22"/>
      <w:lang w:val="de-DE" w:eastAsia="de-DE" w:bidi="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623258"/>
    <w:rPr>
      <w:sz w:val="20"/>
      <w:szCs w:val="20"/>
    </w:rPr>
  </w:style>
  <w:style w:type="character" w:customStyle="1" w:styleId="NotedebasdepageCar">
    <w:name w:val="Note de bas de page Car"/>
    <w:basedOn w:val="Policepardfaut"/>
    <w:link w:val="Notedebasdepage"/>
    <w:semiHidden/>
    <w:rsid w:val="00623258"/>
  </w:style>
  <w:style w:type="character" w:styleId="Appelnotedebasdep">
    <w:name w:val="footnote reference"/>
    <w:basedOn w:val="Policepardfaut"/>
    <w:semiHidden/>
    <w:unhideWhenUsed/>
    <w:rsid w:val="00623258"/>
    <w:rPr>
      <w:vertAlign w:val="superscript"/>
    </w:rPr>
  </w:style>
  <w:style w:type="character" w:customStyle="1" w:styleId="hgkelc">
    <w:name w:val="hgkelc"/>
    <w:basedOn w:val="Policepardfaut"/>
    <w:rsid w:val="00204FA1"/>
  </w:style>
  <w:style w:type="numbering" w:customStyle="1" w:styleId="Aucuneliste1">
    <w:name w:val="Aucune liste1"/>
    <w:next w:val="Aucuneliste"/>
    <w:uiPriority w:val="99"/>
    <w:semiHidden/>
    <w:unhideWhenUsed/>
    <w:rsid w:val="00BE3682"/>
  </w:style>
  <w:style w:type="numbering" w:customStyle="1" w:styleId="Listeactuelle1">
    <w:name w:val="Liste actuelle1"/>
    <w:uiPriority w:val="99"/>
    <w:rsid w:val="00B2592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805">
      <w:bodyDiv w:val="1"/>
      <w:marLeft w:val="0"/>
      <w:marRight w:val="0"/>
      <w:marTop w:val="0"/>
      <w:marBottom w:val="0"/>
      <w:divBdr>
        <w:top w:val="none" w:sz="0" w:space="0" w:color="auto"/>
        <w:left w:val="none" w:sz="0" w:space="0" w:color="auto"/>
        <w:bottom w:val="none" w:sz="0" w:space="0" w:color="auto"/>
        <w:right w:val="none" w:sz="0" w:space="0" w:color="auto"/>
      </w:divBdr>
    </w:div>
    <w:div w:id="4215051">
      <w:bodyDiv w:val="1"/>
      <w:marLeft w:val="0"/>
      <w:marRight w:val="0"/>
      <w:marTop w:val="0"/>
      <w:marBottom w:val="0"/>
      <w:divBdr>
        <w:top w:val="none" w:sz="0" w:space="0" w:color="auto"/>
        <w:left w:val="none" w:sz="0" w:space="0" w:color="auto"/>
        <w:bottom w:val="none" w:sz="0" w:space="0" w:color="auto"/>
        <w:right w:val="none" w:sz="0" w:space="0" w:color="auto"/>
      </w:divBdr>
    </w:div>
    <w:div w:id="4865000">
      <w:bodyDiv w:val="1"/>
      <w:marLeft w:val="0"/>
      <w:marRight w:val="0"/>
      <w:marTop w:val="0"/>
      <w:marBottom w:val="0"/>
      <w:divBdr>
        <w:top w:val="none" w:sz="0" w:space="0" w:color="auto"/>
        <w:left w:val="none" w:sz="0" w:space="0" w:color="auto"/>
        <w:bottom w:val="none" w:sz="0" w:space="0" w:color="auto"/>
        <w:right w:val="none" w:sz="0" w:space="0" w:color="auto"/>
      </w:divBdr>
    </w:div>
    <w:div w:id="9260683">
      <w:bodyDiv w:val="1"/>
      <w:marLeft w:val="0"/>
      <w:marRight w:val="0"/>
      <w:marTop w:val="0"/>
      <w:marBottom w:val="0"/>
      <w:divBdr>
        <w:top w:val="none" w:sz="0" w:space="0" w:color="auto"/>
        <w:left w:val="none" w:sz="0" w:space="0" w:color="auto"/>
        <w:bottom w:val="none" w:sz="0" w:space="0" w:color="auto"/>
        <w:right w:val="none" w:sz="0" w:space="0" w:color="auto"/>
      </w:divBdr>
    </w:div>
    <w:div w:id="11222035">
      <w:bodyDiv w:val="1"/>
      <w:marLeft w:val="0"/>
      <w:marRight w:val="0"/>
      <w:marTop w:val="0"/>
      <w:marBottom w:val="0"/>
      <w:divBdr>
        <w:top w:val="none" w:sz="0" w:space="0" w:color="auto"/>
        <w:left w:val="none" w:sz="0" w:space="0" w:color="auto"/>
        <w:bottom w:val="none" w:sz="0" w:space="0" w:color="auto"/>
        <w:right w:val="none" w:sz="0" w:space="0" w:color="auto"/>
      </w:divBdr>
    </w:div>
    <w:div w:id="13531912">
      <w:bodyDiv w:val="1"/>
      <w:marLeft w:val="0"/>
      <w:marRight w:val="0"/>
      <w:marTop w:val="0"/>
      <w:marBottom w:val="0"/>
      <w:divBdr>
        <w:top w:val="none" w:sz="0" w:space="0" w:color="auto"/>
        <w:left w:val="none" w:sz="0" w:space="0" w:color="auto"/>
        <w:bottom w:val="none" w:sz="0" w:space="0" w:color="auto"/>
        <w:right w:val="none" w:sz="0" w:space="0" w:color="auto"/>
      </w:divBdr>
    </w:div>
    <w:div w:id="22443221">
      <w:bodyDiv w:val="1"/>
      <w:marLeft w:val="0"/>
      <w:marRight w:val="0"/>
      <w:marTop w:val="0"/>
      <w:marBottom w:val="0"/>
      <w:divBdr>
        <w:top w:val="none" w:sz="0" w:space="0" w:color="auto"/>
        <w:left w:val="none" w:sz="0" w:space="0" w:color="auto"/>
        <w:bottom w:val="none" w:sz="0" w:space="0" w:color="auto"/>
        <w:right w:val="none" w:sz="0" w:space="0" w:color="auto"/>
      </w:divBdr>
    </w:div>
    <w:div w:id="25983665">
      <w:bodyDiv w:val="1"/>
      <w:marLeft w:val="0"/>
      <w:marRight w:val="0"/>
      <w:marTop w:val="0"/>
      <w:marBottom w:val="0"/>
      <w:divBdr>
        <w:top w:val="none" w:sz="0" w:space="0" w:color="auto"/>
        <w:left w:val="none" w:sz="0" w:space="0" w:color="auto"/>
        <w:bottom w:val="none" w:sz="0" w:space="0" w:color="auto"/>
        <w:right w:val="none" w:sz="0" w:space="0" w:color="auto"/>
      </w:divBdr>
    </w:div>
    <w:div w:id="28186980">
      <w:bodyDiv w:val="1"/>
      <w:marLeft w:val="0"/>
      <w:marRight w:val="0"/>
      <w:marTop w:val="0"/>
      <w:marBottom w:val="0"/>
      <w:divBdr>
        <w:top w:val="none" w:sz="0" w:space="0" w:color="auto"/>
        <w:left w:val="none" w:sz="0" w:space="0" w:color="auto"/>
        <w:bottom w:val="none" w:sz="0" w:space="0" w:color="auto"/>
        <w:right w:val="none" w:sz="0" w:space="0" w:color="auto"/>
      </w:divBdr>
    </w:div>
    <w:div w:id="35586202">
      <w:bodyDiv w:val="1"/>
      <w:marLeft w:val="0"/>
      <w:marRight w:val="0"/>
      <w:marTop w:val="0"/>
      <w:marBottom w:val="0"/>
      <w:divBdr>
        <w:top w:val="none" w:sz="0" w:space="0" w:color="auto"/>
        <w:left w:val="none" w:sz="0" w:space="0" w:color="auto"/>
        <w:bottom w:val="none" w:sz="0" w:space="0" w:color="auto"/>
        <w:right w:val="none" w:sz="0" w:space="0" w:color="auto"/>
      </w:divBdr>
    </w:div>
    <w:div w:id="46803870">
      <w:bodyDiv w:val="1"/>
      <w:marLeft w:val="0"/>
      <w:marRight w:val="0"/>
      <w:marTop w:val="0"/>
      <w:marBottom w:val="0"/>
      <w:divBdr>
        <w:top w:val="none" w:sz="0" w:space="0" w:color="auto"/>
        <w:left w:val="none" w:sz="0" w:space="0" w:color="auto"/>
        <w:bottom w:val="none" w:sz="0" w:space="0" w:color="auto"/>
        <w:right w:val="none" w:sz="0" w:space="0" w:color="auto"/>
      </w:divBdr>
    </w:div>
    <w:div w:id="47921960">
      <w:bodyDiv w:val="1"/>
      <w:marLeft w:val="0"/>
      <w:marRight w:val="0"/>
      <w:marTop w:val="0"/>
      <w:marBottom w:val="0"/>
      <w:divBdr>
        <w:top w:val="none" w:sz="0" w:space="0" w:color="auto"/>
        <w:left w:val="none" w:sz="0" w:space="0" w:color="auto"/>
        <w:bottom w:val="none" w:sz="0" w:space="0" w:color="auto"/>
        <w:right w:val="none" w:sz="0" w:space="0" w:color="auto"/>
      </w:divBdr>
    </w:div>
    <w:div w:id="49614297">
      <w:bodyDiv w:val="1"/>
      <w:marLeft w:val="0"/>
      <w:marRight w:val="0"/>
      <w:marTop w:val="0"/>
      <w:marBottom w:val="0"/>
      <w:divBdr>
        <w:top w:val="none" w:sz="0" w:space="0" w:color="auto"/>
        <w:left w:val="none" w:sz="0" w:space="0" w:color="auto"/>
        <w:bottom w:val="none" w:sz="0" w:space="0" w:color="auto"/>
        <w:right w:val="none" w:sz="0" w:space="0" w:color="auto"/>
      </w:divBdr>
    </w:div>
    <w:div w:id="52240005">
      <w:bodyDiv w:val="1"/>
      <w:marLeft w:val="0"/>
      <w:marRight w:val="0"/>
      <w:marTop w:val="0"/>
      <w:marBottom w:val="0"/>
      <w:divBdr>
        <w:top w:val="none" w:sz="0" w:space="0" w:color="auto"/>
        <w:left w:val="none" w:sz="0" w:space="0" w:color="auto"/>
        <w:bottom w:val="none" w:sz="0" w:space="0" w:color="auto"/>
        <w:right w:val="none" w:sz="0" w:space="0" w:color="auto"/>
      </w:divBdr>
    </w:div>
    <w:div w:id="52894344">
      <w:bodyDiv w:val="1"/>
      <w:marLeft w:val="0"/>
      <w:marRight w:val="0"/>
      <w:marTop w:val="0"/>
      <w:marBottom w:val="0"/>
      <w:divBdr>
        <w:top w:val="none" w:sz="0" w:space="0" w:color="auto"/>
        <w:left w:val="none" w:sz="0" w:space="0" w:color="auto"/>
        <w:bottom w:val="none" w:sz="0" w:space="0" w:color="auto"/>
        <w:right w:val="none" w:sz="0" w:space="0" w:color="auto"/>
      </w:divBdr>
    </w:div>
    <w:div w:id="53242517">
      <w:bodyDiv w:val="1"/>
      <w:marLeft w:val="0"/>
      <w:marRight w:val="0"/>
      <w:marTop w:val="0"/>
      <w:marBottom w:val="0"/>
      <w:divBdr>
        <w:top w:val="none" w:sz="0" w:space="0" w:color="auto"/>
        <w:left w:val="none" w:sz="0" w:space="0" w:color="auto"/>
        <w:bottom w:val="none" w:sz="0" w:space="0" w:color="auto"/>
        <w:right w:val="none" w:sz="0" w:space="0" w:color="auto"/>
      </w:divBdr>
    </w:div>
    <w:div w:id="53546010">
      <w:bodyDiv w:val="1"/>
      <w:marLeft w:val="0"/>
      <w:marRight w:val="0"/>
      <w:marTop w:val="0"/>
      <w:marBottom w:val="0"/>
      <w:divBdr>
        <w:top w:val="none" w:sz="0" w:space="0" w:color="auto"/>
        <w:left w:val="none" w:sz="0" w:space="0" w:color="auto"/>
        <w:bottom w:val="none" w:sz="0" w:space="0" w:color="auto"/>
        <w:right w:val="none" w:sz="0" w:space="0" w:color="auto"/>
      </w:divBdr>
    </w:div>
    <w:div w:id="55469444">
      <w:bodyDiv w:val="1"/>
      <w:marLeft w:val="0"/>
      <w:marRight w:val="0"/>
      <w:marTop w:val="0"/>
      <w:marBottom w:val="0"/>
      <w:divBdr>
        <w:top w:val="none" w:sz="0" w:space="0" w:color="auto"/>
        <w:left w:val="none" w:sz="0" w:space="0" w:color="auto"/>
        <w:bottom w:val="none" w:sz="0" w:space="0" w:color="auto"/>
        <w:right w:val="none" w:sz="0" w:space="0" w:color="auto"/>
      </w:divBdr>
    </w:div>
    <w:div w:id="57175475">
      <w:bodyDiv w:val="1"/>
      <w:marLeft w:val="0"/>
      <w:marRight w:val="0"/>
      <w:marTop w:val="0"/>
      <w:marBottom w:val="0"/>
      <w:divBdr>
        <w:top w:val="none" w:sz="0" w:space="0" w:color="auto"/>
        <w:left w:val="none" w:sz="0" w:space="0" w:color="auto"/>
        <w:bottom w:val="none" w:sz="0" w:space="0" w:color="auto"/>
        <w:right w:val="none" w:sz="0" w:space="0" w:color="auto"/>
      </w:divBdr>
    </w:div>
    <w:div w:id="58745350">
      <w:bodyDiv w:val="1"/>
      <w:marLeft w:val="0"/>
      <w:marRight w:val="0"/>
      <w:marTop w:val="0"/>
      <w:marBottom w:val="0"/>
      <w:divBdr>
        <w:top w:val="none" w:sz="0" w:space="0" w:color="auto"/>
        <w:left w:val="none" w:sz="0" w:space="0" w:color="auto"/>
        <w:bottom w:val="none" w:sz="0" w:space="0" w:color="auto"/>
        <w:right w:val="none" w:sz="0" w:space="0" w:color="auto"/>
      </w:divBdr>
    </w:div>
    <w:div w:id="61484757">
      <w:bodyDiv w:val="1"/>
      <w:marLeft w:val="0"/>
      <w:marRight w:val="0"/>
      <w:marTop w:val="0"/>
      <w:marBottom w:val="0"/>
      <w:divBdr>
        <w:top w:val="none" w:sz="0" w:space="0" w:color="auto"/>
        <w:left w:val="none" w:sz="0" w:space="0" w:color="auto"/>
        <w:bottom w:val="none" w:sz="0" w:space="0" w:color="auto"/>
        <w:right w:val="none" w:sz="0" w:space="0" w:color="auto"/>
      </w:divBdr>
    </w:div>
    <w:div w:id="69741496">
      <w:bodyDiv w:val="1"/>
      <w:marLeft w:val="0"/>
      <w:marRight w:val="0"/>
      <w:marTop w:val="0"/>
      <w:marBottom w:val="0"/>
      <w:divBdr>
        <w:top w:val="none" w:sz="0" w:space="0" w:color="auto"/>
        <w:left w:val="none" w:sz="0" w:space="0" w:color="auto"/>
        <w:bottom w:val="none" w:sz="0" w:space="0" w:color="auto"/>
        <w:right w:val="none" w:sz="0" w:space="0" w:color="auto"/>
      </w:divBdr>
    </w:div>
    <w:div w:id="78404599">
      <w:bodyDiv w:val="1"/>
      <w:marLeft w:val="0"/>
      <w:marRight w:val="0"/>
      <w:marTop w:val="0"/>
      <w:marBottom w:val="0"/>
      <w:divBdr>
        <w:top w:val="none" w:sz="0" w:space="0" w:color="auto"/>
        <w:left w:val="none" w:sz="0" w:space="0" w:color="auto"/>
        <w:bottom w:val="none" w:sz="0" w:space="0" w:color="auto"/>
        <w:right w:val="none" w:sz="0" w:space="0" w:color="auto"/>
      </w:divBdr>
    </w:div>
    <w:div w:id="91173097">
      <w:bodyDiv w:val="1"/>
      <w:marLeft w:val="0"/>
      <w:marRight w:val="0"/>
      <w:marTop w:val="0"/>
      <w:marBottom w:val="0"/>
      <w:divBdr>
        <w:top w:val="none" w:sz="0" w:space="0" w:color="auto"/>
        <w:left w:val="none" w:sz="0" w:space="0" w:color="auto"/>
        <w:bottom w:val="none" w:sz="0" w:space="0" w:color="auto"/>
        <w:right w:val="none" w:sz="0" w:space="0" w:color="auto"/>
      </w:divBdr>
    </w:div>
    <w:div w:id="95100176">
      <w:bodyDiv w:val="1"/>
      <w:marLeft w:val="0"/>
      <w:marRight w:val="0"/>
      <w:marTop w:val="0"/>
      <w:marBottom w:val="0"/>
      <w:divBdr>
        <w:top w:val="none" w:sz="0" w:space="0" w:color="auto"/>
        <w:left w:val="none" w:sz="0" w:space="0" w:color="auto"/>
        <w:bottom w:val="none" w:sz="0" w:space="0" w:color="auto"/>
        <w:right w:val="none" w:sz="0" w:space="0" w:color="auto"/>
      </w:divBdr>
    </w:div>
    <w:div w:id="97649333">
      <w:bodyDiv w:val="1"/>
      <w:marLeft w:val="0"/>
      <w:marRight w:val="0"/>
      <w:marTop w:val="0"/>
      <w:marBottom w:val="0"/>
      <w:divBdr>
        <w:top w:val="none" w:sz="0" w:space="0" w:color="auto"/>
        <w:left w:val="none" w:sz="0" w:space="0" w:color="auto"/>
        <w:bottom w:val="none" w:sz="0" w:space="0" w:color="auto"/>
        <w:right w:val="none" w:sz="0" w:space="0" w:color="auto"/>
      </w:divBdr>
    </w:div>
    <w:div w:id="103573865">
      <w:bodyDiv w:val="1"/>
      <w:marLeft w:val="0"/>
      <w:marRight w:val="0"/>
      <w:marTop w:val="0"/>
      <w:marBottom w:val="0"/>
      <w:divBdr>
        <w:top w:val="none" w:sz="0" w:space="0" w:color="auto"/>
        <w:left w:val="none" w:sz="0" w:space="0" w:color="auto"/>
        <w:bottom w:val="none" w:sz="0" w:space="0" w:color="auto"/>
        <w:right w:val="none" w:sz="0" w:space="0" w:color="auto"/>
      </w:divBdr>
    </w:div>
    <w:div w:id="108357061">
      <w:bodyDiv w:val="1"/>
      <w:marLeft w:val="0"/>
      <w:marRight w:val="0"/>
      <w:marTop w:val="0"/>
      <w:marBottom w:val="0"/>
      <w:divBdr>
        <w:top w:val="none" w:sz="0" w:space="0" w:color="auto"/>
        <w:left w:val="none" w:sz="0" w:space="0" w:color="auto"/>
        <w:bottom w:val="none" w:sz="0" w:space="0" w:color="auto"/>
        <w:right w:val="none" w:sz="0" w:space="0" w:color="auto"/>
      </w:divBdr>
    </w:div>
    <w:div w:id="110632797">
      <w:bodyDiv w:val="1"/>
      <w:marLeft w:val="0"/>
      <w:marRight w:val="0"/>
      <w:marTop w:val="0"/>
      <w:marBottom w:val="0"/>
      <w:divBdr>
        <w:top w:val="none" w:sz="0" w:space="0" w:color="auto"/>
        <w:left w:val="none" w:sz="0" w:space="0" w:color="auto"/>
        <w:bottom w:val="none" w:sz="0" w:space="0" w:color="auto"/>
        <w:right w:val="none" w:sz="0" w:space="0" w:color="auto"/>
      </w:divBdr>
    </w:div>
    <w:div w:id="118843015">
      <w:bodyDiv w:val="1"/>
      <w:marLeft w:val="0"/>
      <w:marRight w:val="0"/>
      <w:marTop w:val="0"/>
      <w:marBottom w:val="0"/>
      <w:divBdr>
        <w:top w:val="none" w:sz="0" w:space="0" w:color="auto"/>
        <w:left w:val="none" w:sz="0" w:space="0" w:color="auto"/>
        <w:bottom w:val="none" w:sz="0" w:space="0" w:color="auto"/>
        <w:right w:val="none" w:sz="0" w:space="0" w:color="auto"/>
      </w:divBdr>
    </w:div>
    <w:div w:id="118885941">
      <w:bodyDiv w:val="1"/>
      <w:marLeft w:val="0"/>
      <w:marRight w:val="0"/>
      <w:marTop w:val="0"/>
      <w:marBottom w:val="0"/>
      <w:divBdr>
        <w:top w:val="none" w:sz="0" w:space="0" w:color="auto"/>
        <w:left w:val="none" w:sz="0" w:space="0" w:color="auto"/>
        <w:bottom w:val="none" w:sz="0" w:space="0" w:color="auto"/>
        <w:right w:val="none" w:sz="0" w:space="0" w:color="auto"/>
      </w:divBdr>
    </w:div>
    <w:div w:id="123892548">
      <w:bodyDiv w:val="1"/>
      <w:marLeft w:val="0"/>
      <w:marRight w:val="0"/>
      <w:marTop w:val="0"/>
      <w:marBottom w:val="0"/>
      <w:divBdr>
        <w:top w:val="none" w:sz="0" w:space="0" w:color="auto"/>
        <w:left w:val="none" w:sz="0" w:space="0" w:color="auto"/>
        <w:bottom w:val="none" w:sz="0" w:space="0" w:color="auto"/>
        <w:right w:val="none" w:sz="0" w:space="0" w:color="auto"/>
      </w:divBdr>
    </w:div>
    <w:div w:id="127671290">
      <w:bodyDiv w:val="1"/>
      <w:marLeft w:val="0"/>
      <w:marRight w:val="0"/>
      <w:marTop w:val="0"/>
      <w:marBottom w:val="0"/>
      <w:divBdr>
        <w:top w:val="none" w:sz="0" w:space="0" w:color="auto"/>
        <w:left w:val="none" w:sz="0" w:space="0" w:color="auto"/>
        <w:bottom w:val="none" w:sz="0" w:space="0" w:color="auto"/>
        <w:right w:val="none" w:sz="0" w:space="0" w:color="auto"/>
      </w:divBdr>
    </w:div>
    <w:div w:id="127742181">
      <w:bodyDiv w:val="1"/>
      <w:marLeft w:val="0"/>
      <w:marRight w:val="0"/>
      <w:marTop w:val="0"/>
      <w:marBottom w:val="0"/>
      <w:divBdr>
        <w:top w:val="none" w:sz="0" w:space="0" w:color="auto"/>
        <w:left w:val="none" w:sz="0" w:space="0" w:color="auto"/>
        <w:bottom w:val="none" w:sz="0" w:space="0" w:color="auto"/>
        <w:right w:val="none" w:sz="0" w:space="0" w:color="auto"/>
      </w:divBdr>
    </w:div>
    <w:div w:id="129131971">
      <w:bodyDiv w:val="1"/>
      <w:marLeft w:val="0"/>
      <w:marRight w:val="0"/>
      <w:marTop w:val="0"/>
      <w:marBottom w:val="0"/>
      <w:divBdr>
        <w:top w:val="none" w:sz="0" w:space="0" w:color="auto"/>
        <w:left w:val="none" w:sz="0" w:space="0" w:color="auto"/>
        <w:bottom w:val="none" w:sz="0" w:space="0" w:color="auto"/>
        <w:right w:val="none" w:sz="0" w:space="0" w:color="auto"/>
      </w:divBdr>
    </w:div>
    <w:div w:id="131679532">
      <w:bodyDiv w:val="1"/>
      <w:marLeft w:val="0"/>
      <w:marRight w:val="0"/>
      <w:marTop w:val="0"/>
      <w:marBottom w:val="0"/>
      <w:divBdr>
        <w:top w:val="none" w:sz="0" w:space="0" w:color="auto"/>
        <w:left w:val="none" w:sz="0" w:space="0" w:color="auto"/>
        <w:bottom w:val="none" w:sz="0" w:space="0" w:color="auto"/>
        <w:right w:val="none" w:sz="0" w:space="0" w:color="auto"/>
      </w:divBdr>
    </w:div>
    <w:div w:id="134299388">
      <w:bodyDiv w:val="1"/>
      <w:marLeft w:val="0"/>
      <w:marRight w:val="0"/>
      <w:marTop w:val="0"/>
      <w:marBottom w:val="0"/>
      <w:divBdr>
        <w:top w:val="none" w:sz="0" w:space="0" w:color="auto"/>
        <w:left w:val="none" w:sz="0" w:space="0" w:color="auto"/>
        <w:bottom w:val="none" w:sz="0" w:space="0" w:color="auto"/>
        <w:right w:val="none" w:sz="0" w:space="0" w:color="auto"/>
      </w:divBdr>
    </w:div>
    <w:div w:id="136144178">
      <w:bodyDiv w:val="1"/>
      <w:marLeft w:val="0"/>
      <w:marRight w:val="0"/>
      <w:marTop w:val="0"/>
      <w:marBottom w:val="0"/>
      <w:divBdr>
        <w:top w:val="none" w:sz="0" w:space="0" w:color="auto"/>
        <w:left w:val="none" w:sz="0" w:space="0" w:color="auto"/>
        <w:bottom w:val="none" w:sz="0" w:space="0" w:color="auto"/>
        <w:right w:val="none" w:sz="0" w:space="0" w:color="auto"/>
      </w:divBdr>
    </w:div>
    <w:div w:id="136144459">
      <w:bodyDiv w:val="1"/>
      <w:marLeft w:val="0"/>
      <w:marRight w:val="0"/>
      <w:marTop w:val="0"/>
      <w:marBottom w:val="0"/>
      <w:divBdr>
        <w:top w:val="none" w:sz="0" w:space="0" w:color="auto"/>
        <w:left w:val="none" w:sz="0" w:space="0" w:color="auto"/>
        <w:bottom w:val="none" w:sz="0" w:space="0" w:color="auto"/>
        <w:right w:val="none" w:sz="0" w:space="0" w:color="auto"/>
      </w:divBdr>
    </w:div>
    <w:div w:id="140774491">
      <w:bodyDiv w:val="1"/>
      <w:marLeft w:val="0"/>
      <w:marRight w:val="0"/>
      <w:marTop w:val="0"/>
      <w:marBottom w:val="0"/>
      <w:divBdr>
        <w:top w:val="none" w:sz="0" w:space="0" w:color="auto"/>
        <w:left w:val="none" w:sz="0" w:space="0" w:color="auto"/>
        <w:bottom w:val="none" w:sz="0" w:space="0" w:color="auto"/>
        <w:right w:val="none" w:sz="0" w:space="0" w:color="auto"/>
      </w:divBdr>
    </w:div>
    <w:div w:id="143393220">
      <w:bodyDiv w:val="1"/>
      <w:marLeft w:val="0"/>
      <w:marRight w:val="0"/>
      <w:marTop w:val="0"/>
      <w:marBottom w:val="0"/>
      <w:divBdr>
        <w:top w:val="none" w:sz="0" w:space="0" w:color="auto"/>
        <w:left w:val="none" w:sz="0" w:space="0" w:color="auto"/>
        <w:bottom w:val="none" w:sz="0" w:space="0" w:color="auto"/>
        <w:right w:val="none" w:sz="0" w:space="0" w:color="auto"/>
      </w:divBdr>
    </w:div>
    <w:div w:id="145707297">
      <w:bodyDiv w:val="1"/>
      <w:marLeft w:val="0"/>
      <w:marRight w:val="0"/>
      <w:marTop w:val="0"/>
      <w:marBottom w:val="0"/>
      <w:divBdr>
        <w:top w:val="none" w:sz="0" w:space="0" w:color="auto"/>
        <w:left w:val="none" w:sz="0" w:space="0" w:color="auto"/>
        <w:bottom w:val="none" w:sz="0" w:space="0" w:color="auto"/>
        <w:right w:val="none" w:sz="0" w:space="0" w:color="auto"/>
      </w:divBdr>
    </w:div>
    <w:div w:id="145900620">
      <w:bodyDiv w:val="1"/>
      <w:marLeft w:val="0"/>
      <w:marRight w:val="0"/>
      <w:marTop w:val="0"/>
      <w:marBottom w:val="0"/>
      <w:divBdr>
        <w:top w:val="none" w:sz="0" w:space="0" w:color="auto"/>
        <w:left w:val="none" w:sz="0" w:space="0" w:color="auto"/>
        <w:bottom w:val="none" w:sz="0" w:space="0" w:color="auto"/>
        <w:right w:val="none" w:sz="0" w:space="0" w:color="auto"/>
      </w:divBdr>
    </w:div>
    <w:div w:id="151334537">
      <w:bodyDiv w:val="1"/>
      <w:marLeft w:val="0"/>
      <w:marRight w:val="0"/>
      <w:marTop w:val="0"/>
      <w:marBottom w:val="0"/>
      <w:divBdr>
        <w:top w:val="none" w:sz="0" w:space="0" w:color="auto"/>
        <w:left w:val="none" w:sz="0" w:space="0" w:color="auto"/>
        <w:bottom w:val="none" w:sz="0" w:space="0" w:color="auto"/>
        <w:right w:val="none" w:sz="0" w:space="0" w:color="auto"/>
      </w:divBdr>
    </w:div>
    <w:div w:id="152990681">
      <w:bodyDiv w:val="1"/>
      <w:marLeft w:val="0"/>
      <w:marRight w:val="0"/>
      <w:marTop w:val="0"/>
      <w:marBottom w:val="0"/>
      <w:divBdr>
        <w:top w:val="none" w:sz="0" w:space="0" w:color="auto"/>
        <w:left w:val="none" w:sz="0" w:space="0" w:color="auto"/>
        <w:bottom w:val="none" w:sz="0" w:space="0" w:color="auto"/>
        <w:right w:val="none" w:sz="0" w:space="0" w:color="auto"/>
      </w:divBdr>
    </w:div>
    <w:div w:id="154496846">
      <w:bodyDiv w:val="1"/>
      <w:marLeft w:val="0"/>
      <w:marRight w:val="0"/>
      <w:marTop w:val="0"/>
      <w:marBottom w:val="0"/>
      <w:divBdr>
        <w:top w:val="none" w:sz="0" w:space="0" w:color="auto"/>
        <w:left w:val="none" w:sz="0" w:space="0" w:color="auto"/>
        <w:bottom w:val="none" w:sz="0" w:space="0" w:color="auto"/>
        <w:right w:val="none" w:sz="0" w:space="0" w:color="auto"/>
      </w:divBdr>
    </w:div>
    <w:div w:id="158542725">
      <w:bodyDiv w:val="1"/>
      <w:marLeft w:val="0"/>
      <w:marRight w:val="0"/>
      <w:marTop w:val="0"/>
      <w:marBottom w:val="0"/>
      <w:divBdr>
        <w:top w:val="none" w:sz="0" w:space="0" w:color="auto"/>
        <w:left w:val="none" w:sz="0" w:space="0" w:color="auto"/>
        <w:bottom w:val="none" w:sz="0" w:space="0" w:color="auto"/>
        <w:right w:val="none" w:sz="0" w:space="0" w:color="auto"/>
      </w:divBdr>
    </w:div>
    <w:div w:id="163084430">
      <w:bodyDiv w:val="1"/>
      <w:marLeft w:val="0"/>
      <w:marRight w:val="0"/>
      <w:marTop w:val="0"/>
      <w:marBottom w:val="0"/>
      <w:divBdr>
        <w:top w:val="none" w:sz="0" w:space="0" w:color="auto"/>
        <w:left w:val="none" w:sz="0" w:space="0" w:color="auto"/>
        <w:bottom w:val="none" w:sz="0" w:space="0" w:color="auto"/>
        <w:right w:val="none" w:sz="0" w:space="0" w:color="auto"/>
      </w:divBdr>
    </w:div>
    <w:div w:id="164243670">
      <w:bodyDiv w:val="1"/>
      <w:marLeft w:val="0"/>
      <w:marRight w:val="0"/>
      <w:marTop w:val="0"/>
      <w:marBottom w:val="0"/>
      <w:divBdr>
        <w:top w:val="none" w:sz="0" w:space="0" w:color="auto"/>
        <w:left w:val="none" w:sz="0" w:space="0" w:color="auto"/>
        <w:bottom w:val="none" w:sz="0" w:space="0" w:color="auto"/>
        <w:right w:val="none" w:sz="0" w:space="0" w:color="auto"/>
      </w:divBdr>
    </w:div>
    <w:div w:id="177162405">
      <w:bodyDiv w:val="1"/>
      <w:marLeft w:val="0"/>
      <w:marRight w:val="0"/>
      <w:marTop w:val="0"/>
      <w:marBottom w:val="0"/>
      <w:divBdr>
        <w:top w:val="none" w:sz="0" w:space="0" w:color="auto"/>
        <w:left w:val="none" w:sz="0" w:space="0" w:color="auto"/>
        <w:bottom w:val="none" w:sz="0" w:space="0" w:color="auto"/>
        <w:right w:val="none" w:sz="0" w:space="0" w:color="auto"/>
      </w:divBdr>
    </w:div>
    <w:div w:id="179011088">
      <w:bodyDiv w:val="1"/>
      <w:marLeft w:val="0"/>
      <w:marRight w:val="0"/>
      <w:marTop w:val="0"/>
      <w:marBottom w:val="0"/>
      <w:divBdr>
        <w:top w:val="none" w:sz="0" w:space="0" w:color="auto"/>
        <w:left w:val="none" w:sz="0" w:space="0" w:color="auto"/>
        <w:bottom w:val="none" w:sz="0" w:space="0" w:color="auto"/>
        <w:right w:val="none" w:sz="0" w:space="0" w:color="auto"/>
      </w:divBdr>
    </w:div>
    <w:div w:id="186792003">
      <w:bodyDiv w:val="1"/>
      <w:marLeft w:val="0"/>
      <w:marRight w:val="0"/>
      <w:marTop w:val="0"/>
      <w:marBottom w:val="0"/>
      <w:divBdr>
        <w:top w:val="none" w:sz="0" w:space="0" w:color="auto"/>
        <w:left w:val="none" w:sz="0" w:space="0" w:color="auto"/>
        <w:bottom w:val="none" w:sz="0" w:space="0" w:color="auto"/>
        <w:right w:val="none" w:sz="0" w:space="0" w:color="auto"/>
      </w:divBdr>
    </w:div>
    <w:div w:id="191918752">
      <w:bodyDiv w:val="1"/>
      <w:marLeft w:val="0"/>
      <w:marRight w:val="0"/>
      <w:marTop w:val="0"/>
      <w:marBottom w:val="0"/>
      <w:divBdr>
        <w:top w:val="none" w:sz="0" w:space="0" w:color="auto"/>
        <w:left w:val="none" w:sz="0" w:space="0" w:color="auto"/>
        <w:bottom w:val="none" w:sz="0" w:space="0" w:color="auto"/>
        <w:right w:val="none" w:sz="0" w:space="0" w:color="auto"/>
      </w:divBdr>
    </w:div>
    <w:div w:id="192233507">
      <w:bodyDiv w:val="1"/>
      <w:marLeft w:val="0"/>
      <w:marRight w:val="0"/>
      <w:marTop w:val="0"/>
      <w:marBottom w:val="0"/>
      <w:divBdr>
        <w:top w:val="none" w:sz="0" w:space="0" w:color="auto"/>
        <w:left w:val="none" w:sz="0" w:space="0" w:color="auto"/>
        <w:bottom w:val="none" w:sz="0" w:space="0" w:color="auto"/>
        <w:right w:val="none" w:sz="0" w:space="0" w:color="auto"/>
      </w:divBdr>
    </w:div>
    <w:div w:id="194390872">
      <w:bodyDiv w:val="1"/>
      <w:marLeft w:val="0"/>
      <w:marRight w:val="0"/>
      <w:marTop w:val="0"/>
      <w:marBottom w:val="0"/>
      <w:divBdr>
        <w:top w:val="none" w:sz="0" w:space="0" w:color="auto"/>
        <w:left w:val="none" w:sz="0" w:space="0" w:color="auto"/>
        <w:bottom w:val="none" w:sz="0" w:space="0" w:color="auto"/>
        <w:right w:val="none" w:sz="0" w:space="0" w:color="auto"/>
      </w:divBdr>
    </w:div>
    <w:div w:id="198057501">
      <w:bodyDiv w:val="1"/>
      <w:marLeft w:val="0"/>
      <w:marRight w:val="0"/>
      <w:marTop w:val="0"/>
      <w:marBottom w:val="0"/>
      <w:divBdr>
        <w:top w:val="none" w:sz="0" w:space="0" w:color="auto"/>
        <w:left w:val="none" w:sz="0" w:space="0" w:color="auto"/>
        <w:bottom w:val="none" w:sz="0" w:space="0" w:color="auto"/>
        <w:right w:val="none" w:sz="0" w:space="0" w:color="auto"/>
      </w:divBdr>
    </w:div>
    <w:div w:id="204299039">
      <w:bodyDiv w:val="1"/>
      <w:marLeft w:val="0"/>
      <w:marRight w:val="0"/>
      <w:marTop w:val="0"/>
      <w:marBottom w:val="0"/>
      <w:divBdr>
        <w:top w:val="none" w:sz="0" w:space="0" w:color="auto"/>
        <w:left w:val="none" w:sz="0" w:space="0" w:color="auto"/>
        <w:bottom w:val="none" w:sz="0" w:space="0" w:color="auto"/>
        <w:right w:val="none" w:sz="0" w:space="0" w:color="auto"/>
      </w:divBdr>
    </w:div>
    <w:div w:id="207500206">
      <w:bodyDiv w:val="1"/>
      <w:marLeft w:val="0"/>
      <w:marRight w:val="0"/>
      <w:marTop w:val="0"/>
      <w:marBottom w:val="0"/>
      <w:divBdr>
        <w:top w:val="none" w:sz="0" w:space="0" w:color="auto"/>
        <w:left w:val="none" w:sz="0" w:space="0" w:color="auto"/>
        <w:bottom w:val="none" w:sz="0" w:space="0" w:color="auto"/>
        <w:right w:val="none" w:sz="0" w:space="0" w:color="auto"/>
      </w:divBdr>
    </w:div>
    <w:div w:id="210194200">
      <w:bodyDiv w:val="1"/>
      <w:marLeft w:val="0"/>
      <w:marRight w:val="0"/>
      <w:marTop w:val="0"/>
      <w:marBottom w:val="0"/>
      <w:divBdr>
        <w:top w:val="none" w:sz="0" w:space="0" w:color="auto"/>
        <w:left w:val="none" w:sz="0" w:space="0" w:color="auto"/>
        <w:bottom w:val="none" w:sz="0" w:space="0" w:color="auto"/>
        <w:right w:val="none" w:sz="0" w:space="0" w:color="auto"/>
      </w:divBdr>
    </w:div>
    <w:div w:id="210194272">
      <w:bodyDiv w:val="1"/>
      <w:marLeft w:val="0"/>
      <w:marRight w:val="0"/>
      <w:marTop w:val="0"/>
      <w:marBottom w:val="0"/>
      <w:divBdr>
        <w:top w:val="none" w:sz="0" w:space="0" w:color="auto"/>
        <w:left w:val="none" w:sz="0" w:space="0" w:color="auto"/>
        <w:bottom w:val="none" w:sz="0" w:space="0" w:color="auto"/>
        <w:right w:val="none" w:sz="0" w:space="0" w:color="auto"/>
      </w:divBdr>
    </w:div>
    <w:div w:id="212036523">
      <w:bodyDiv w:val="1"/>
      <w:marLeft w:val="0"/>
      <w:marRight w:val="0"/>
      <w:marTop w:val="0"/>
      <w:marBottom w:val="0"/>
      <w:divBdr>
        <w:top w:val="none" w:sz="0" w:space="0" w:color="auto"/>
        <w:left w:val="none" w:sz="0" w:space="0" w:color="auto"/>
        <w:bottom w:val="none" w:sz="0" w:space="0" w:color="auto"/>
        <w:right w:val="none" w:sz="0" w:space="0" w:color="auto"/>
      </w:divBdr>
    </w:div>
    <w:div w:id="214857299">
      <w:bodyDiv w:val="1"/>
      <w:marLeft w:val="0"/>
      <w:marRight w:val="0"/>
      <w:marTop w:val="0"/>
      <w:marBottom w:val="0"/>
      <w:divBdr>
        <w:top w:val="none" w:sz="0" w:space="0" w:color="auto"/>
        <w:left w:val="none" w:sz="0" w:space="0" w:color="auto"/>
        <w:bottom w:val="none" w:sz="0" w:space="0" w:color="auto"/>
        <w:right w:val="none" w:sz="0" w:space="0" w:color="auto"/>
      </w:divBdr>
    </w:div>
    <w:div w:id="220558086">
      <w:bodyDiv w:val="1"/>
      <w:marLeft w:val="0"/>
      <w:marRight w:val="0"/>
      <w:marTop w:val="0"/>
      <w:marBottom w:val="0"/>
      <w:divBdr>
        <w:top w:val="none" w:sz="0" w:space="0" w:color="auto"/>
        <w:left w:val="none" w:sz="0" w:space="0" w:color="auto"/>
        <w:bottom w:val="none" w:sz="0" w:space="0" w:color="auto"/>
        <w:right w:val="none" w:sz="0" w:space="0" w:color="auto"/>
      </w:divBdr>
    </w:div>
    <w:div w:id="221215167">
      <w:bodyDiv w:val="1"/>
      <w:marLeft w:val="0"/>
      <w:marRight w:val="0"/>
      <w:marTop w:val="0"/>
      <w:marBottom w:val="0"/>
      <w:divBdr>
        <w:top w:val="none" w:sz="0" w:space="0" w:color="auto"/>
        <w:left w:val="none" w:sz="0" w:space="0" w:color="auto"/>
        <w:bottom w:val="none" w:sz="0" w:space="0" w:color="auto"/>
        <w:right w:val="none" w:sz="0" w:space="0" w:color="auto"/>
      </w:divBdr>
    </w:div>
    <w:div w:id="223880950">
      <w:bodyDiv w:val="1"/>
      <w:marLeft w:val="0"/>
      <w:marRight w:val="0"/>
      <w:marTop w:val="0"/>
      <w:marBottom w:val="0"/>
      <w:divBdr>
        <w:top w:val="none" w:sz="0" w:space="0" w:color="auto"/>
        <w:left w:val="none" w:sz="0" w:space="0" w:color="auto"/>
        <w:bottom w:val="none" w:sz="0" w:space="0" w:color="auto"/>
        <w:right w:val="none" w:sz="0" w:space="0" w:color="auto"/>
      </w:divBdr>
    </w:div>
    <w:div w:id="225799908">
      <w:bodyDiv w:val="1"/>
      <w:marLeft w:val="0"/>
      <w:marRight w:val="0"/>
      <w:marTop w:val="0"/>
      <w:marBottom w:val="0"/>
      <w:divBdr>
        <w:top w:val="none" w:sz="0" w:space="0" w:color="auto"/>
        <w:left w:val="none" w:sz="0" w:space="0" w:color="auto"/>
        <w:bottom w:val="none" w:sz="0" w:space="0" w:color="auto"/>
        <w:right w:val="none" w:sz="0" w:space="0" w:color="auto"/>
      </w:divBdr>
    </w:div>
    <w:div w:id="226501693">
      <w:bodyDiv w:val="1"/>
      <w:marLeft w:val="0"/>
      <w:marRight w:val="0"/>
      <w:marTop w:val="0"/>
      <w:marBottom w:val="0"/>
      <w:divBdr>
        <w:top w:val="none" w:sz="0" w:space="0" w:color="auto"/>
        <w:left w:val="none" w:sz="0" w:space="0" w:color="auto"/>
        <w:bottom w:val="none" w:sz="0" w:space="0" w:color="auto"/>
        <w:right w:val="none" w:sz="0" w:space="0" w:color="auto"/>
      </w:divBdr>
    </w:div>
    <w:div w:id="232351342">
      <w:bodyDiv w:val="1"/>
      <w:marLeft w:val="0"/>
      <w:marRight w:val="0"/>
      <w:marTop w:val="0"/>
      <w:marBottom w:val="0"/>
      <w:divBdr>
        <w:top w:val="none" w:sz="0" w:space="0" w:color="auto"/>
        <w:left w:val="none" w:sz="0" w:space="0" w:color="auto"/>
        <w:bottom w:val="none" w:sz="0" w:space="0" w:color="auto"/>
        <w:right w:val="none" w:sz="0" w:space="0" w:color="auto"/>
      </w:divBdr>
    </w:div>
    <w:div w:id="233205148">
      <w:bodyDiv w:val="1"/>
      <w:marLeft w:val="0"/>
      <w:marRight w:val="0"/>
      <w:marTop w:val="0"/>
      <w:marBottom w:val="0"/>
      <w:divBdr>
        <w:top w:val="none" w:sz="0" w:space="0" w:color="auto"/>
        <w:left w:val="none" w:sz="0" w:space="0" w:color="auto"/>
        <w:bottom w:val="none" w:sz="0" w:space="0" w:color="auto"/>
        <w:right w:val="none" w:sz="0" w:space="0" w:color="auto"/>
      </w:divBdr>
      <w:divsChild>
        <w:div w:id="654452573">
          <w:marLeft w:val="0"/>
          <w:marRight w:val="0"/>
          <w:marTop w:val="0"/>
          <w:marBottom w:val="0"/>
          <w:divBdr>
            <w:top w:val="none" w:sz="0" w:space="0" w:color="auto"/>
            <w:left w:val="none" w:sz="0" w:space="0" w:color="auto"/>
            <w:bottom w:val="none" w:sz="0" w:space="0" w:color="auto"/>
            <w:right w:val="none" w:sz="0" w:space="0" w:color="auto"/>
          </w:divBdr>
          <w:divsChild>
            <w:div w:id="876351990">
              <w:marLeft w:val="0"/>
              <w:marRight w:val="0"/>
              <w:marTop w:val="0"/>
              <w:marBottom w:val="0"/>
              <w:divBdr>
                <w:top w:val="none" w:sz="0" w:space="0" w:color="auto"/>
                <w:left w:val="none" w:sz="0" w:space="0" w:color="auto"/>
                <w:bottom w:val="none" w:sz="0" w:space="0" w:color="auto"/>
                <w:right w:val="none" w:sz="0" w:space="0" w:color="auto"/>
              </w:divBdr>
              <w:divsChild>
                <w:div w:id="148405228">
                  <w:marLeft w:val="0"/>
                  <w:marRight w:val="0"/>
                  <w:marTop w:val="225"/>
                  <w:marBottom w:val="0"/>
                  <w:divBdr>
                    <w:top w:val="none" w:sz="0" w:space="0" w:color="auto"/>
                    <w:left w:val="none" w:sz="0" w:space="0" w:color="auto"/>
                    <w:bottom w:val="none" w:sz="0" w:space="0" w:color="auto"/>
                    <w:right w:val="none" w:sz="0" w:space="0" w:color="auto"/>
                  </w:divBdr>
                  <w:divsChild>
                    <w:div w:id="531382327">
                      <w:marLeft w:val="0"/>
                      <w:marRight w:val="0"/>
                      <w:marTop w:val="0"/>
                      <w:marBottom w:val="0"/>
                      <w:divBdr>
                        <w:top w:val="none" w:sz="0" w:space="0" w:color="auto"/>
                        <w:left w:val="none" w:sz="0" w:space="0" w:color="auto"/>
                        <w:bottom w:val="none" w:sz="0" w:space="0" w:color="auto"/>
                        <w:right w:val="none" w:sz="0" w:space="0" w:color="auto"/>
                      </w:divBdr>
                      <w:divsChild>
                        <w:div w:id="718625716">
                          <w:marLeft w:val="0"/>
                          <w:marRight w:val="0"/>
                          <w:marTop w:val="0"/>
                          <w:marBottom w:val="0"/>
                          <w:divBdr>
                            <w:top w:val="none" w:sz="0" w:space="0" w:color="auto"/>
                            <w:left w:val="none" w:sz="0" w:space="0" w:color="auto"/>
                            <w:bottom w:val="none" w:sz="0" w:space="0" w:color="auto"/>
                            <w:right w:val="none" w:sz="0" w:space="0" w:color="auto"/>
                          </w:divBdr>
                          <w:divsChild>
                            <w:div w:id="89549779">
                              <w:marLeft w:val="0"/>
                              <w:marRight w:val="0"/>
                              <w:marTop w:val="0"/>
                              <w:marBottom w:val="0"/>
                              <w:divBdr>
                                <w:top w:val="none" w:sz="0" w:space="0" w:color="auto"/>
                                <w:left w:val="none" w:sz="0" w:space="0" w:color="auto"/>
                                <w:bottom w:val="none" w:sz="0" w:space="0" w:color="auto"/>
                                <w:right w:val="none" w:sz="0" w:space="0" w:color="auto"/>
                              </w:divBdr>
                              <w:divsChild>
                                <w:div w:id="12042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831405">
          <w:marLeft w:val="0"/>
          <w:marRight w:val="0"/>
          <w:marTop w:val="800"/>
          <w:marBottom w:val="0"/>
          <w:divBdr>
            <w:top w:val="none" w:sz="0" w:space="0" w:color="auto"/>
            <w:left w:val="none" w:sz="0" w:space="0" w:color="auto"/>
            <w:bottom w:val="none" w:sz="0" w:space="0" w:color="auto"/>
            <w:right w:val="none" w:sz="0" w:space="0" w:color="auto"/>
          </w:divBdr>
        </w:div>
      </w:divsChild>
    </w:div>
    <w:div w:id="237449168">
      <w:bodyDiv w:val="1"/>
      <w:marLeft w:val="0"/>
      <w:marRight w:val="0"/>
      <w:marTop w:val="0"/>
      <w:marBottom w:val="0"/>
      <w:divBdr>
        <w:top w:val="none" w:sz="0" w:space="0" w:color="auto"/>
        <w:left w:val="none" w:sz="0" w:space="0" w:color="auto"/>
        <w:bottom w:val="none" w:sz="0" w:space="0" w:color="auto"/>
        <w:right w:val="none" w:sz="0" w:space="0" w:color="auto"/>
      </w:divBdr>
    </w:div>
    <w:div w:id="237860512">
      <w:bodyDiv w:val="1"/>
      <w:marLeft w:val="0"/>
      <w:marRight w:val="0"/>
      <w:marTop w:val="0"/>
      <w:marBottom w:val="0"/>
      <w:divBdr>
        <w:top w:val="none" w:sz="0" w:space="0" w:color="auto"/>
        <w:left w:val="none" w:sz="0" w:space="0" w:color="auto"/>
        <w:bottom w:val="none" w:sz="0" w:space="0" w:color="auto"/>
        <w:right w:val="none" w:sz="0" w:space="0" w:color="auto"/>
      </w:divBdr>
    </w:div>
    <w:div w:id="238634909">
      <w:bodyDiv w:val="1"/>
      <w:marLeft w:val="0"/>
      <w:marRight w:val="0"/>
      <w:marTop w:val="0"/>
      <w:marBottom w:val="0"/>
      <w:divBdr>
        <w:top w:val="none" w:sz="0" w:space="0" w:color="auto"/>
        <w:left w:val="none" w:sz="0" w:space="0" w:color="auto"/>
        <w:bottom w:val="none" w:sz="0" w:space="0" w:color="auto"/>
        <w:right w:val="none" w:sz="0" w:space="0" w:color="auto"/>
      </w:divBdr>
    </w:div>
    <w:div w:id="240334429">
      <w:bodyDiv w:val="1"/>
      <w:marLeft w:val="0"/>
      <w:marRight w:val="0"/>
      <w:marTop w:val="0"/>
      <w:marBottom w:val="0"/>
      <w:divBdr>
        <w:top w:val="none" w:sz="0" w:space="0" w:color="auto"/>
        <w:left w:val="none" w:sz="0" w:space="0" w:color="auto"/>
        <w:bottom w:val="none" w:sz="0" w:space="0" w:color="auto"/>
        <w:right w:val="none" w:sz="0" w:space="0" w:color="auto"/>
      </w:divBdr>
    </w:div>
    <w:div w:id="241184984">
      <w:bodyDiv w:val="1"/>
      <w:marLeft w:val="0"/>
      <w:marRight w:val="0"/>
      <w:marTop w:val="0"/>
      <w:marBottom w:val="0"/>
      <w:divBdr>
        <w:top w:val="none" w:sz="0" w:space="0" w:color="auto"/>
        <w:left w:val="none" w:sz="0" w:space="0" w:color="auto"/>
        <w:bottom w:val="none" w:sz="0" w:space="0" w:color="auto"/>
        <w:right w:val="none" w:sz="0" w:space="0" w:color="auto"/>
      </w:divBdr>
    </w:div>
    <w:div w:id="241452783">
      <w:bodyDiv w:val="1"/>
      <w:marLeft w:val="0"/>
      <w:marRight w:val="0"/>
      <w:marTop w:val="0"/>
      <w:marBottom w:val="0"/>
      <w:divBdr>
        <w:top w:val="none" w:sz="0" w:space="0" w:color="auto"/>
        <w:left w:val="none" w:sz="0" w:space="0" w:color="auto"/>
        <w:bottom w:val="none" w:sz="0" w:space="0" w:color="auto"/>
        <w:right w:val="none" w:sz="0" w:space="0" w:color="auto"/>
      </w:divBdr>
    </w:div>
    <w:div w:id="245649860">
      <w:bodyDiv w:val="1"/>
      <w:marLeft w:val="0"/>
      <w:marRight w:val="0"/>
      <w:marTop w:val="0"/>
      <w:marBottom w:val="0"/>
      <w:divBdr>
        <w:top w:val="none" w:sz="0" w:space="0" w:color="auto"/>
        <w:left w:val="none" w:sz="0" w:space="0" w:color="auto"/>
        <w:bottom w:val="none" w:sz="0" w:space="0" w:color="auto"/>
        <w:right w:val="none" w:sz="0" w:space="0" w:color="auto"/>
      </w:divBdr>
    </w:div>
    <w:div w:id="246381862">
      <w:bodyDiv w:val="1"/>
      <w:marLeft w:val="0"/>
      <w:marRight w:val="0"/>
      <w:marTop w:val="0"/>
      <w:marBottom w:val="0"/>
      <w:divBdr>
        <w:top w:val="none" w:sz="0" w:space="0" w:color="auto"/>
        <w:left w:val="none" w:sz="0" w:space="0" w:color="auto"/>
        <w:bottom w:val="none" w:sz="0" w:space="0" w:color="auto"/>
        <w:right w:val="none" w:sz="0" w:space="0" w:color="auto"/>
      </w:divBdr>
    </w:div>
    <w:div w:id="249896217">
      <w:bodyDiv w:val="1"/>
      <w:marLeft w:val="0"/>
      <w:marRight w:val="0"/>
      <w:marTop w:val="0"/>
      <w:marBottom w:val="0"/>
      <w:divBdr>
        <w:top w:val="none" w:sz="0" w:space="0" w:color="auto"/>
        <w:left w:val="none" w:sz="0" w:space="0" w:color="auto"/>
        <w:bottom w:val="none" w:sz="0" w:space="0" w:color="auto"/>
        <w:right w:val="none" w:sz="0" w:space="0" w:color="auto"/>
      </w:divBdr>
    </w:div>
    <w:div w:id="250116753">
      <w:bodyDiv w:val="1"/>
      <w:marLeft w:val="0"/>
      <w:marRight w:val="0"/>
      <w:marTop w:val="0"/>
      <w:marBottom w:val="0"/>
      <w:divBdr>
        <w:top w:val="none" w:sz="0" w:space="0" w:color="auto"/>
        <w:left w:val="none" w:sz="0" w:space="0" w:color="auto"/>
        <w:bottom w:val="none" w:sz="0" w:space="0" w:color="auto"/>
        <w:right w:val="none" w:sz="0" w:space="0" w:color="auto"/>
      </w:divBdr>
    </w:div>
    <w:div w:id="252053277">
      <w:bodyDiv w:val="1"/>
      <w:marLeft w:val="0"/>
      <w:marRight w:val="0"/>
      <w:marTop w:val="0"/>
      <w:marBottom w:val="0"/>
      <w:divBdr>
        <w:top w:val="none" w:sz="0" w:space="0" w:color="auto"/>
        <w:left w:val="none" w:sz="0" w:space="0" w:color="auto"/>
        <w:bottom w:val="none" w:sz="0" w:space="0" w:color="auto"/>
        <w:right w:val="none" w:sz="0" w:space="0" w:color="auto"/>
      </w:divBdr>
    </w:div>
    <w:div w:id="256602506">
      <w:bodyDiv w:val="1"/>
      <w:marLeft w:val="0"/>
      <w:marRight w:val="0"/>
      <w:marTop w:val="0"/>
      <w:marBottom w:val="0"/>
      <w:divBdr>
        <w:top w:val="none" w:sz="0" w:space="0" w:color="auto"/>
        <w:left w:val="none" w:sz="0" w:space="0" w:color="auto"/>
        <w:bottom w:val="none" w:sz="0" w:space="0" w:color="auto"/>
        <w:right w:val="none" w:sz="0" w:space="0" w:color="auto"/>
      </w:divBdr>
    </w:div>
    <w:div w:id="257099000">
      <w:bodyDiv w:val="1"/>
      <w:marLeft w:val="0"/>
      <w:marRight w:val="0"/>
      <w:marTop w:val="0"/>
      <w:marBottom w:val="0"/>
      <w:divBdr>
        <w:top w:val="none" w:sz="0" w:space="0" w:color="auto"/>
        <w:left w:val="none" w:sz="0" w:space="0" w:color="auto"/>
        <w:bottom w:val="none" w:sz="0" w:space="0" w:color="auto"/>
        <w:right w:val="none" w:sz="0" w:space="0" w:color="auto"/>
      </w:divBdr>
    </w:div>
    <w:div w:id="258678866">
      <w:bodyDiv w:val="1"/>
      <w:marLeft w:val="0"/>
      <w:marRight w:val="0"/>
      <w:marTop w:val="0"/>
      <w:marBottom w:val="0"/>
      <w:divBdr>
        <w:top w:val="none" w:sz="0" w:space="0" w:color="auto"/>
        <w:left w:val="none" w:sz="0" w:space="0" w:color="auto"/>
        <w:bottom w:val="none" w:sz="0" w:space="0" w:color="auto"/>
        <w:right w:val="none" w:sz="0" w:space="0" w:color="auto"/>
      </w:divBdr>
    </w:div>
    <w:div w:id="266541103">
      <w:bodyDiv w:val="1"/>
      <w:marLeft w:val="0"/>
      <w:marRight w:val="0"/>
      <w:marTop w:val="0"/>
      <w:marBottom w:val="0"/>
      <w:divBdr>
        <w:top w:val="none" w:sz="0" w:space="0" w:color="auto"/>
        <w:left w:val="none" w:sz="0" w:space="0" w:color="auto"/>
        <w:bottom w:val="none" w:sz="0" w:space="0" w:color="auto"/>
        <w:right w:val="none" w:sz="0" w:space="0" w:color="auto"/>
      </w:divBdr>
    </w:div>
    <w:div w:id="273904544">
      <w:bodyDiv w:val="1"/>
      <w:marLeft w:val="0"/>
      <w:marRight w:val="0"/>
      <w:marTop w:val="0"/>
      <w:marBottom w:val="0"/>
      <w:divBdr>
        <w:top w:val="none" w:sz="0" w:space="0" w:color="auto"/>
        <w:left w:val="none" w:sz="0" w:space="0" w:color="auto"/>
        <w:bottom w:val="none" w:sz="0" w:space="0" w:color="auto"/>
        <w:right w:val="none" w:sz="0" w:space="0" w:color="auto"/>
      </w:divBdr>
    </w:div>
    <w:div w:id="274873687">
      <w:bodyDiv w:val="1"/>
      <w:marLeft w:val="0"/>
      <w:marRight w:val="0"/>
      <w:marTop w:val="0"/>
      <w:marBottom w:val="0"/>
      <w:divBdr>
        <w:top w:val="none" w:sz="0" w:space="0" w:color="auto"/>
        <w:left w:val="none" w:sz="0" w:space="0" w:color="auto"/>
        <w:bottom w:val="none" w:sz="0" w:space="0" w:color="auto"/>
        <w:right w:val="none" w:sz="0" w:space="0" w:color="auto"/>
      </w:divBdr>
    </w:div>
    <w:div w:id="275912555">
      <w:bodyDiv w:val="1"/>
      <w:marLeft w:val="0"/>
      <w:marRight w:val="0"/>
      <w:marTop w:val="0"/>
      <w:marBottom w:val="0"/>
      <w:divBdr>
        <w:top w:val="none" w:sz="0" w:space="0" w:color="auto"/>
        <w:left w:val="none" w:sz="0" w:space="0" w:color="auto"/>
        <w:bottom w:val="none" w:sz="0" w:space="0" w:color="auto"/>
        <w:right w:val="none" w:sz="0" w:space="0" w:color="auto"/>
      </w:divBdr>
    </w:div>
    <w:div w:id="276256908">
      <w:bodyDiv w:val="1"/>
      <w:marLeft w:val="0"/>
      <w:marRight w:val="0"/>
      <w:marTop w:val="0"/>
      <w:marBottom w:val="0"/>
      <w:divBdr>
        <w:top w:val="none" w:sz="0" w:space="0" w:color="auto"/>
        <w:left w:val="none" w:sz="0" w:space="0" w:color="auto"/>
        <w:bottom w:val="none" w:sz="0" w:space="0" w:color="auto"/>
        <w:right w:val="none" w:sz="0" w:space="0" w:color="auto"/>
      </w:divBdr>
    </w:div>
    <w:div w:id="276375578">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4966839">
      <w:bodyDiv w:val="1"/>
      <w:marLeft w:val="0"/>
      <w:marRight w:val="0"/>
      <w:marTop w:val="0"/>
      <w:marBottom w:val="0"/>
      <w:divBdr>
        <w:top w:val="none" w:sz="0" w:space="0" w:color="auto"/>
        <w:left w:val="none" w:sz="0" w:space="0" w:color="auto"/>
        <w:bottom w:val="none" w:sz="0" w:space="0" w:color="auto"/>
        <w:right w:val="none" w:sz="0" w:space="0" w:color="auto"/>
      </w:divBdr>
    </w:div>
    <w:div w:id="285476869">
      <w:bodyDiv w:val="1"/>
      <w:marLeft w:val="0"/>
      <w:marRight w:val="0"/>
      <w:marTop w:val="0"/>
      <w:marBottom w:val="0"/>
      <w:divBdr>
        <w:top w:val="none" w:sz="0" w:space="0" w:color="auto"/>
        <w:left w:val="none" w:sz="0" w:space="0" w:color="auto"/>
        <w:bottom w:val="none" w:sz="0" w:space="0" w:color="auto"/>
        <w:right w:val="none" w:sz="0" w:space="0" w:color="auto"/>
      </w:divBdr>
    </w:div>
    <w:div w:id="294723328">
      <w:bodyDiv w:val="1"/>
      <w:marLeft w:val="0"/>
      <w:marRight w:val="0"/>
      <w:marTop w:val="0"/>
      <w:marBottom w:val="0"/>
      <w:divBdr>
        <w:top w:val="none" w:sz="0" w:space="0" w:color="auto"/>
        <w:left w:val="none" w:sz="0" w:space="0" w:color="auto"/>
        <w:bottom w:val="none" w:sz="0" w:space="0" w:color="auto"/>
        <w:right w:val="none" w:sz="0" w:space="0" w:color="auto"/>
      </w:divBdr>
    </w:div>
    <w:div w:id="300774670">
      <w:bodyDiv w:val="1"/>
      <w:marLeft w:val="0"/>
      <w:marRight w:val="0"/>
      <w:marTop w:val="0"/>
      <w:marBottom w:val="0"/>
      <w:divBdr>
        <w:top w:val="none" w:sz="0" w:space="0" w:color="auto"/>
        <w:left w:val="none" w:sz="0" w:space="0" w:color="auto"/>
        <w:bottom w:val="none" w:sz="0" w:space="0" w:color="auto"/>
        <w:right w:val="none" w:sz="0" w:space="0" w:color="auto"/>
      </w:divBdr>
    </w:div>
    <w:div w:id="301348830">
      <w:bodyDiv w:val="1"/>
      <w:marLeft w:val="0"/>
      <w:marRight w:val="0"/>
      <w:marTop w:val="0"/>
      <w:marBottom w:val="0"/>
      <w:divBdr>
        <w:top w:val="none" w:sz="0" w:space="0" w:color="auto"/>
        <w:left w:val="none" w:sz="0" w:space="0" w:color="auto"/>
        <w:bottom w:val="none" w:sz="0" w:space="0" w:color="auto"/>
        <w:right w:val="none" w:sz="0" w:space="0" w:color="auto"/>
      </w:divBdr>
    </w:div>
    <w:div w:id="310183159">
      <w:bodyDiv w:val="1"/>
      <w:marLeft w:val="0"/>
      <w:marRight w:val="0"/>
      <w:marTop w:val="0"/>
      <w:marBottom w:val="0"/>
      <w:divBdr>
        <w:top w:val="none" w:sz="0" w:space="0" w:color="auto"/>
        <w:left w:val="none" w:sz="0" w:space="0" w:color="auto"/>
        <w:bottom w:val="none" w:sz="0" w:space="0" w:color="auto"/>
        <w:right w:val="none" w:sz="0" w:space="0" w:color="auto"/>
      </w:divBdr>
    </w:div>
    <w:div w:id="314065034">
      <w:bodyDiv w:val="1"/>
      <w:marLeft w:val="0"/>
      <w:marRight w:val="0"/>
      <w:marTop w:val="0"/>
      <w:marBottom w:val="0"/>
      <w:divBdr>
        <w:top w:val="none" w:sz="0" w:space="0" w:color="auto"/>
        <w:left w:val="none" w:sz="0" w:space="0" w:color="auto"/>
        <w:bottom w:val="none" w:sz="0" w:space="0" w:color="auto"/>
        <w:right w:val="none" w:sz="0" w:space="0" w:color="auto"/>
      </w:divBdr>
    </w:div>
    <w:div w:id="318191143">
      <w:bodyDiv w:val="1"/>
      <w:marLeft w:val="0"/>
      <w:marRight w:val="0"/>
      <w:marTop w:val="0"/>
      <w:marBottom w:val="0"/>
      <w:divBdr>
        <w:top w:val="none" w:sz="0" w:space="0" w:color="auto"/>
        <w:left w:val="none" w:sz="0" w:space="0" w:color="auto"/>
        <w:bottom w:val="none" w:sz="0" w:space="0" w:color="auto"/>
        <w:right w:val="none" w:sz="0" w:space="0" w:color="auto"/>
      </w:divBdr>
    </w:div>
    <w:div w:id="321272920">
      <w:bodyDiv w:val="1"/>
      <w:marLeft w:val="0"/>
      <w:marRight w:val="0"/>
      <w:marTop w:val="0"/>
      <w:marBottom w:val="0"/>
      <w:divBdr>
        <w:top w:val="none" w:sz="0" w:space="0" w:color="auto"/>
        <w:left w:val="none" w:sz="0" w:space="0" w:color="auto"/>
        <w:bottom w:val="none" w:sz="0" w:space="0" w:color="auto"/>
        <w:right w:val="none" w:sz="0" w:space="0" w:color="auto"/>
      </w:divBdr>
    </w:div>
    <w:div w:id="324435936">
      <w:bodyDiv w:val="1"/>
      <w:marLeft w:val="0"/>
      <w:marRight w:val="0"/>
      <w:marTop w:val="0"/>
      <w:marBottom w:val="0"/>
      <w:divBdr>
        <w:top w:val="none" w:sz="0" w:space="0" w:color="auto"/>
        <w:left w:val="none" w:sz="0" w:space="0" w:color="auto"/>
        <w:bottom w:val="none" w:sz="0" w:space="0" w:color="auto"/>
        <w:right w:val="none" w:sz="0" w:space="0" w:color="auto"/>
      </w:divBdr>
    </w:div>
    <w:div w:id="324743089">
      <w:bodyDiv w:val="1"/>
      <w:marLeft w:val="0"/>
      <w:marRight w:val="0"/>
      <w:marTop w:val="0"/>
      <w:marBottom w:val="0"/>
      <w:divBdr>
        <w:top w:val="none" w:sz="0" w:space="0" w:color="auto"/>
        <w:left w:val="none" w:sz="0" w:space="0" w:color="auto"/>
        <w:bottom w:val="none" w:sz="0" w:space="0" w:color="auto"/>
        <w:right w:val="none" w:sz="0" w:space="0" w:color="auto"/>
      </w:divBdr>
    </w:div>
    <w:div w:id="325091063">
      <w:bodyDiv w:val="1"/>
      <w:marLeft w:val="0"/>
      <w:marRight w:val="0"/>
      <w:marTop w:val="0"/>
      <w:marBottom w:val="0"/>
      <w:divBdr>
        <w:top w:val="none" w:sz="0" w:space="0" w:color="auto"/>
        <w:left w:val="none" w:sz="0" w:space="0" w:color="auto"/>
        <w:bottom w:val="none" w:sz="0" w:space="0" w:color="auto"/>
        <w:right w:val="none" w:sz="0" w:space="0" w:color="auto"/>
      </w:divBdr>
    </w:div>
    <w:div w:id="328023613">
      <w:bodyDiv w:val="1"/>
      <w:marLeft w:val="0"/>
      <w:marRight w:val="0"/>
      <w:marTop w:val="0"/>
      <w:marBottom w:val="0"/>
      <w:divBdr>
        <w:top w:val="none" w:sz="0" w:space="0" w:color="auto"/>
        <w:left w:val="none" w:sz="0" w:space="0" w:color="auto"/>
        <w:bottom w:val="none" w:sz="0" w:space="0" w:color="auto"/>
        <w:right w:val="none" w:sz="0" w:space="0" w:color="auto"/>
      </w:divBdr>
    </w:div>
    <w:div w:id="328026255">
      <w:bodyDiv w:val="1"/>
      <w:marLeft w:val="0"/>
      <w:marRight w:val="0"/>
      <w:marTop w:val="0"/>
      <w:marBottom w:val="0"/>
      <w:divBdr>
        <w:top w:val="none" w:sz="0" w:space="0" w:color="auto"/>
        <w:left w:val="none" w:sz="0" w:space="0" w:color="auto"/>
        <w:bottom w:val="none" w:sz="0" w:space="0" w:color="auto"/>
        <w:right w:val="none" w:sz="0" w:space="0" w:color="auto"/>
      </w:divBdr>
    </w:div>
    <w:div w:id="330958461">
      <w:bodyDiv w:val="1"/>
      <w:marLeft w:val="0"/>
      <w:marRight w:val="0"/>
      <w:marTop w:val="0"/>
      <w:marBottom w:val="0"/>
      <w:divBdr>
        <w:top w:val="none" w:sz="0" w:space="0" w:color="auto"/>
        <w:left w:val="none" w:sz="0" w:space="0" w:color="auto"/>
        <w:bottom w:val="none" w:sz="0" w:space="0" w:color="auto"/>
        <w:right w:val="none" w:sz="0" w:space="0" w:color="auto"/>
      </w:divBdr>
    </w:div>
    <w:div w:id="332149291">
      <w:bodyDiv w:val="1"/>
      <w:marLeft w:val="0"/>
      <w:marRight w:val="0"/>
      <w:marTop w:val="0"/>
      <w:marBottom w:val="0"/>
      <w:divBdr>
        <w:top w:val="none" w:sz="0" w:space="0" w:color="auto"/>
        <w:left w:val="none" w:sz="0" w:space="0" w:color="auto"/>
        <w:bottom w:val="none" w:sz="0" w:space="0" w:color="auto"/>
        <w:right w:val="none" w:sz="0" w:space="0" w:color="auto"/>
      </w:divBdr>
    </w:div>
    <w:div w:id="333845080">
      <w:bodyDiv w:val="1"/>
      <w:marLeft w:val="0"/>
      <w:marRight w:val="0"/>
      <w:marTop w:val="0"/>
      <w:marBottom w:val="0"/>
      <w:divBdr>
        <w:top w:val="none" w:sz="0" w:space="0" w:color="auto"/>
        <w:left w:val="none" w:sz="0" w:space="0" w:color="auto"/>
        <w:bottom w:val="none" w:sz="0" w:space="0" w:color="auto"/>
        <w:right w:val="none" w:sz="0" w:space="0" w:color="auto"/>
      </w:divBdr>
    </w:div>
    <w:div w:id="340857137">
      <w:bodyDiv w:val="1"/>
      <w:marLeft w:val="0"/>
      <w:marRight w:val="0"/>
      <w:marTop w:val="0"/>
      <w:marBottom w:val="0"/>
      <w:divBdr>
        <w:top w:val="none" w:sz="0" w:space="0" w:color="auto"/>
        <w:left w:val="none" w:sz="0" w:space="0" w:color="auto"/>
        <w:bottom w:val="none" w:sz="0" w:space="0" w:color="auto"/>
        <w:right w:val="none" w:sz="0" w:space="0" w:color="auto"/>
      </w:divBdr>
    </w:div>
    <w:div w:id="342635589">
      <w:bodyDiv w:val="1"/>
      <w:marLeft w:val="0"/>
      <w:marRight w:val="0"/>
      <w:marTop w:val="0"/>
      <w:marBottom w:val="0"/>
      <w:divBdr>
        <w:top w:val="none" w:sz="0" w:space="0" w:color="auto"/>
        <w:left w:val="none" w:sz="0" w:space="0" w:color="auto"/>
        <w:bottom w:val="none" w:sz="0" w:space="0" w:color="auto"/>
        <w:right w:val="none" w:sz="0" w:space="0" w:color="auto"/>
      </w:divBdr>
    </w:div>
    <w:div w:id="344093944">
      <w:bodyDiv w:val="1"/>
      <w:marLeft w:val="0"/>
      <w:marRight w:val="0"/>
      <w:marTop w:val="0"/>
      <w:marBottom w:val="0"/>
      <w:divBdr>
        <w:top w:val="none" w:sz="0" w:space="0" w:color="auto"/>
        <w:left w:val="none" w:sz="0" w:space="0" w:color="auto"/>
        <w:bottom w:val="none" w:sz="0" w:space="0" w:color="auto"/>
        <w:right w:val="none" w:sz="0" w:space="0" w:color="auto"/>
      </w:divBdr>
    </w:div>
    <w:div w:id="349646760">
      <w:bodyDiv w:val="1"/>
      <w:marLeft w:val="0"/>
      <w:marRight w:val="0"/>
      <w:marTop w:val="0"/>
      <w:marBottom w:val="0"/>
      <w:divBdr>
        <w:top w:val="none" w:sz="0" w:space="0" w:color="auto"/>
        <w:left w:val="none" w:sz="0" w:space="0" w:color="auto"/>
        <w:bottom w:val="none" w:sz="0" w:space="0" w:color="auto"/>
        <w:right w:val="none" w:sz="0" w:space="0" w:color="auto"/>
      </w:divBdr>
    </w:div>
    <w:div w:id="353502532">
      <w:bodyDiv w:val="1"/>
      <w:marLeft w:val="0"/>
      <w:marRight w:val="0"/>
      <w:marTop w:val="0"/>
      <w:marBottom w:val="0"/>
      <w:divBdr>
        <w:top w:val="none" w:sz="0" w:space="0" w:color="auto"/>
        <w:left w:val="none" w:sz="0" w:space="0" w:color="auto"/>
        <w:bottom w:val="none" w:sz="0" w:space="0" w:color="auto"/>
        <w:right w:val="none" w:sz="0" w:space="0" w:color="auto"/>
      </w:divBdr>
    </w:div>
    <w:div w:id="363941949">
      <w:bodyDiv w:val="1"/>
      <w:marLeft w:val="0"/>
      <w:marRight w:val="0"/>
      <w:marTop w:val="0"/>
      <w:marBottom w:val="0"/>
      <w:divBdr>
        <w:top w:val="none" w:sz="0" w:space="0" w:color="auto"/>
        <w:left w:val="none" w:sz="0" w:space="0" w:color="auto"/>
        <w:bottom w:val="none" w:sz="0" w:space="0" w:color="auto"/>
        <w:right w:val="none" w:sz="0" w:space="0" w:color="auto"/>
      </w:divBdr>
    </w:div>
    <w:div w:id="364403391">
      <w:bodyDiv w:val="1"/>
      <w:marLeft w:val="0"/>
      <w:marRight w:val="0"/>
      <w:marTop w:val="0"/>
      <w:marBottom w:val="0"/>
      <w:divBdr>
        <w:top w:val="none" w:sz="0" w:space="0" w:color="auto"/>
        <w:left w:val="none" w:sz="0" w:space="0" w:color="auto"/>
        <w:bottom w:val="none" w:sz="0" w:space="0" w:color="auto"/>
        <w:right w:val="none" w:sz="0" w:space="0" w:color="auto"/>
      </w:divBdr>
    </w:div>
    <w:div w:id="368460317">
      <w:bodyDiv w:val="1"/>
      <w:marLeft w:val="0"/>
      <w:marRight w:val="0"/>
      <w:marTop w:val="0"/>
      <w:marBottom w:val="0"/>
      <w:divBdr>
        <w:top w:val="none" w:sz="0" w:space="0" w:color="auto"/>
        <w:left w:val="none" w:sz="0" w:space="0" w:color="auto"/>
        <w:bottom w:val="none" w:sz="0" w:space="0" w:color="auto"/>
        <w:right w:val="none" w:sz="0" w:space="0" w:color="auto"/>
      </w:divBdr>
    </w:div>
    <w:div w:id="371348449">
      <w:bodyDiv w:val="1"/>
      <w:marLeft w:val="0"/>
      <w:marRight w:val="0"/>
      <w:marTop w:val="0"/>
      <w:marBottom w:val="0"/>
      <w:divBdr>
        <w:top w:val="none" w:sz="0" w:space="0" w:color="auto"/>
        <w:left w:val="none" w:sz="0" w:space="0" w:color="auto"/>
        <w:bottom w:val="none" w:sz="0" w:space="0" w:color="auto"/>
        <w:right w:val="none" w:sz="0" w:space="0" w:color="auto"/>
      </w:divBdr>
    </w:div>
    <w:div w:id="375324799">
      <w:bodyDiv w:val="1"/>
      <w:marLeft w:val="0"/>
      <w:marRight w:val="0"/>
      <w:marTop w:val="0"/>
      <w:marBottom w:val="0"/>
      <w:divBdr>
        <w:top w:val="none" w:sz="0" w:space="0" w:color="auto"/>
        <w:left w:val="none" w:sz="0" w:space="0" w:color="auto"/>
        <w:bottom w:val="none" w:sz="0" w:space="0" w:color="auto"/>
        <w:right w:val="none" w:sz="0" w:space="0" w:color="auto"/>
      </w:divBdr>
    </w:div>
    <w:div w:id="382146220">
      <w:bodyDiv w:val="1"/>
      <w:marLeft w:val="0"/>
      <w:marRight w:val="0"/>
      <w:marTop w:val="0"/>
      <w:marBottom w:val="0"/>
      <w:divBdr>
        <w:top w:val="none" w:sz="0" w:space="0" w:color="auto"/>
        <w:left w:val="none" w:sz="0" w:space="0" w:color="auto"/>
        <w:bottom w:val="none" w:sz="0" w:space="0" w:color="auto"/>
        <w:right w:val="none" w:sz="0" w:space="0" w:color="auto"/>
      </w:divBdr>
    </w:div>
    <w:div w:id="386413724">
      <w:bodyDiv w:val="1"/>
      <w:marLeft w:val="0"/>
      <w:marRight w:val="0"/>
      <w:marTop w:val="0"/>
      <w:marBottom w:val="0"/>
      <w:divBdr>
        <w:top w:val="none" w:sz="0" w:space="0" w:color="auto"/>
        <w:left w:val="none" w:sz="0" w:space="0" w:color="auto"/>
        <w:bottom w:val="none" w:sz="0" w:space="0" w:color="auto"/>
        <w:right w:val="none" w:sz="0" w:space="0" w:color="auto"/>
      </w:divBdr>
    </w:div>
    <w:div w:id="389350149">
      <w:bodyDiv w:val="1"/>
      <w:marLeft w:val="0"/>
      <w:marRight w:val="0"/>
      <w:marTop w:val="0"/>
      <w:marBottom w:val="0"/>
      <w:divBdr>
        <w:top w:val="none" w:sz="0" w:space="0" w:color="auto"/>
        <w:left w:val="none" w:sz="0" w:space="0" w:color="auto"/>
        <w:bottom w:val="none" w:sz="0" w:space="0" w:color="auto"/>
        <w:right w:val="none" w:sz="0" w:space="0" w:color="auto"/>
      </w:divBdr>
    </w:div>
    <w:div w:id="393941093">
      <w:bodyDiv w:val="1"/>
      <w:marLeft w:val="0"/>
      <w:marRight w:val="0"/>
      <w:marTop w:val="0"/>
      <w:marBottom w:val="0"/>
      <w:divBdr>
        <w:top w:val="none" w:sz="0" w:space="0" w:color="auto"/>
        <w:left w:val="none" w:sz="0" w:space="0" w:color="auto"/>
        <w:bottom w:val="none" w:sz="0" w:space="0" w:color="auto"/>
        <w:right w:val="none" w:sz="0" w:space="0" w:color="auto"/>
      </w:divBdr>
    </w:div>
    <w:div w:id="394089805">
      <w:bodyDiv w:val="1"/>
      <w:marLeft w:val="0"/>
      <w:marRight w:val="0"/>
      <w:marTop w:val="0"/>
      <w:marBottom w:val="0"/>
      <w:divBdr>
        <w:top w:val="none" w:sz="0" w:space="0" w:color="auto"/>
        <w:left w:val="none" w:sz="0" w:space="0" w:color="auto"/>
        <w:bottom w:val="none" w:sz="0" w:space="0" w:color="auto"/>
        <w:right w:val="none" w:sz="0" w:space="0" w:color="auto"/>
      </w:divBdr>
    </w:div>
    <w:div w:id="399057096">
      <w:bodyDiv w:val="1"/>
      <w:marLeft w:val="0"/>
      <w:marRight w:val="0"/>
      <w:marTop w:val="0"/>
      <w:marBottom w:val="0"/>
      <w:divBdr>
        <w:top w:val="none" w:sz="0" w:space="0" w:color="auto"/>
        <w:left w:val="none" w:sz="0" w:space="0" w:color="auto"/>
        <w:bottom w:val="none" w:sz="0" w:space="0" w:color="auto"/>
        <w:right w:val="none" w:sz="0" w:space="0" w:color="auto"/>
      </w:divBdr>
    </w:div>
    <w:div w:id="400300716">
      <w:bodyDiv w:val="1"/>
      <w:marLeft w:val="0"/>
      <w:marRight w:val="0"/>
      <w:marTop w:val="0"/>
      <w:marBottom w:val="0"/>
      <w:divBdr>
        <w:top w:val="none" w:sz="0" w:space="0" w:color="auto"/>
        <w:left w:val="none" w:sz="0" w:space="0" w:color="auto"/>
        <w:bottom w:val="none" w:sz="0" w:space="0" w:color="auto"/>
        <w:right w:val="none" w:sz="0" w:space="0" w:color="auto"/>
      </w:divBdr>
    </w:div>
    <w:div w:id="404497393">
      <w:bodyDiv w:val="1"/>
      <w:marLeft w:val="0"/>
      <w:marRight w:val="0"/>
      <w:marTop w:val="0"/>
      <w:marBottom w:val="0"/>
      <w:divBdr>
        <w:top w:val="none" w:sz="0" w:space="0" w:color="auto"/>
        <w:left w:val="none" w:sz="0" w:space="0" w:color="auto"/>
        <w:bottom w:val="none" w:sz="0" w:space="0" w:color="auto"/>
        <w:right w:val="none" w:sz="0" w:space="0" w:color="auto"/>
      </w:divBdr>
    </w:div>
    <w:div w:id="410780236">
      <w:bodyDiv w:val="1"/>
      <w:marLeft w:val="0"/>
      <w:marRight w:val="0"/>
      <w:marTop w:val="0"/>
      <w:marBottom w:val="0"/>
      <w:divBdr>
        <w:top w:val="none" w:sz="0" w:space="0" w:color="auto"/>
        <w:left w:val="none" w:sz="0" w:space="0" w:color="auto"/>
        <w:bottom w:val="none" w:sz="0" w:space="0" w:color="auto"/>
        <w:right w:val="none" w:sz="0" w:space="0" w:color="auto"/>
      </w:divBdr>
    </w:div>
    <w:div w:id="420807388">
      <w:bodyDiv w:val="1"/>
      <w:marLeft w:val="0"/>
      <w:marRight w:val="0"/>
      <w:marTop w:val="0"/>
      <w:marBottom w:val="0"/>
      <w:divBdr>
        <w:top w:val="none" w:sz="0" w:space="0" w:color="auto"/>
        <w:left w:val="none" w:sz="0" w:space="0" w:color="auto"/>
        <w:bottom w:val="none" w:sz="0" w:space="0" w:color="auto"/>
        <w:right w:val="none" w:sz="0" w:space="0" w:color="auto"/>
      </w:divBdr>
    </w:div>
    <w:div w:id="420952758">
      <w:bodyDiv w:val="1"/>
      <w:marLeft w:val="0"/>
      <w:marRight w:val="0"/>
      <w:marTop w:val="0"/>
      <w:marBottom w:val="0"/>
      <w:divBdr>
        <w:top w:val="none" w:sz="0" w:space="0" w:color="auto"/>
        <w:left w:val="none" w:sz="0" w:space="0" w:color="auto"/>
        <w:bottom w:val="none" w:sz="0" w:space="0" w:color="auto"/>
        <w:right w:val="none" w:sz="0" w:space="0" w:color="auto"/>
      </w:divBdr>
    </w:div>
    <w:div w:id="425158259">
      <w:bodyDiv w:val="1"/>
      <w:marLeft w:val="0"/>
      <w:marRight w:val="0"/>
      <w:marTop w:val="0"/>
      <w:marBottom w:val="0"/>
      <w:divBdr>
        <w:top w:val="none" w:sz="0" w:space="0" w:color="auto"/>
        <w:left w:val="none" w:sz="0" w:space="0" w:color="auto"/>
        <w:bottom w:val="none" w:sz="0" w:space="0" w:color="auto"/>
        <w:right w:val="none" w:sz="0" w:space="0" w:color="auto"/>
      </w:divBdr>
    </w:div>
    <w:div w:id="430928522">
      <w:bodyDiv w:val="1"/>
      <w:marLeft w:val="0"/>
      <w:marRight w:val="0"/>
      <w:marTop w:val="0"/>
      <w:marBottom w:val="0"/>
      <w:divBdr>
        <w:top w:val="none" w:sz="0" w:space="0" w:color="auto"/>
        <w:left w:val="none" w:sz="0" w:space="0" w:color="auto"/>
        <w:bottom w:val="none" w:sz="0" w:space="0" w:color="auto"/>
        <w:right w:val="none" w:sz="0" w:space="0" w:color="auto"/>
      </w:divBdr>
    </w:div>
    <w:div w:id="434785002">
      <w:bodyDiv w:val="1"/>
      <w:marLeft w:val="0"/>
      <w:marRight w:val="0"/>
      <w:marTop w:val="0"/>
      <w:marBottom w:val="0"/>
      <w:divBdr>
        <w:top w:val="none" w:sz="0" w:space="0" w:color="auto"/>
        <w:left w:val="none" w:sz="0" w:space="0" w:color="auto"/>
        <w:bottom w:val="none" w:sz="0" w:space="0" w:color="auto"/>
        <w:right w:val="none" w:sz="0" w:space="0" w:color="auto"/>
      </w:divBdr>
    </w:div>
    <w:div w:id="445083782">
      <w:bodyDiv w:val="1"/>
      <w:marLeft w:val="0"/>
      <w:marRight w:val="0"/>
      <w:marTop w:val="0"/>
      <w:marBottom w:val="0"/>
      <w:divBdr>
        <w:top w:val="none" w:sz="0" w:space="0" w:color="auto"/>
        <w:left w:val="none" w:sz="0" w:space="0" w:color="auto"/>
        <w:bottom w:val="none" w:sz="0" w:space="0" w:color="auto"/>
        <w:right w:val="none" w:sz="0" w:space="0" w:color="auto"/>
      </w:divBdr>
    </w:div>
    <w:div w:id="445738341">
      <w:bodyDiv w:val="1"/>
      <w:marLeft w:val="0"/>
      <w:marRight w:val="0"/>
      <w:marTop w:val="0"/>
      <w:marBottom w:val="0"/>
      <w:divBdr>
        <w:top w:val="none" w:sz="0" w:space="0" w:color="auto"/>
        <w:left w:val="none" w:sz="0" w:space="0" w:color="auto"/>
        <w:bottom w:val="none" w:sz="0" w:space="0" w:color="auto"/>
        <w:right w:val="none" w:sz="0" w:space="0" w:color="auto"/>
      </w:divBdr>
    </w:div>
    <w:div w:id="453446917">
      <w:bodyDiv w:val="1"/>
      <w:marLeft w:val="0"/>
      <w:marRight w:val="0"/>
      <w:marTop w:val="0"/>
      <w:marBottom w:val="0"/>
      <w:divBdr>
        <w:top w:val="none" w:sz="0" w:space="0" w:color="auto"/>
        <w:left w:val="none" w:sz="0" w:space="0" w:color="auto"/>
        <w:bottom w:val="none" w:sz="0" w:space="0" w:color="auto"/>
        <w:right w:val="none" w:sz="0" w:space="0" w:color="auto"/>
      </w:divBdr>
    </w:div>
    <w:div w:id="454254980">
      <w:bodyDiv w:val="1"/>
      <w:marLeft w:val="0"/>
      <w:marRight w:val="0"/>
      <w:marTop w:val="0"/>
      <w:marBottom w:val="0"/>
      <w:divBdr>
        <w:top w:val="none" w:sz="0" w:space="0" w:color="auto"/>
        <w:left w:val="none" w:sz="0" w:space="0" w:color="auto"/>
        <w:bottom w:val="none" w:sz="0" w:space="0" w:color="auto"/>
        <w:right w:val="none" w:sz="0" w:space="0" w:color="auto"/>
      </w:divBdr>
    </w:div>
    <w:div w:id="454258974">
      <w:bodyDiv w:val="1"/>
      <w:marLeft w:val="0"/>
      <w:marRight w:val="0"/>
      <w:marTop w:val="0"/>
      <w:marBottom w:val="0"/>
      <w:divBdr>
        <w:top w:val="none" w:sz="0" w:space="0" w:color="auto"/>
        <w:left w:val="none" w:sz="0" w:space="0" w:color="auto"/>
        <w:bottom w:val="none" w:sz="0" w:space="0" w:color="auto"/>
        <w:right w:val="none" w:sz="0" w:space="0" w:color="auto"/>
      </w:divBdr>
    </w:div>
    <w:div w:id="461657170">
      <w:bodyDiv w:val="1"/>
      <w:marLeft w:val="0"/>
      <w:marRight w:val="0"/>
      <w:marTop w:val="0"/>
      <w:marBottom w:val="0"/>
      <w:divBdr>
        <w:top w:val="none" w:sz="0" w:space="0" w:color="auto"/>
        <w:left w:val="none" w:sz="0" w:space="0" w:color="auto"/>
        <w:bottom w:val="none" w:sz="0" w:space="0" w:color="auto"/>
        <w:right w:val="none" w:sz="0" w:space="0" w:color="auto"/>
      </w:divBdr>
    </w:div>
    <w:div w:id="463161860">
      <w:bodyDiv w:val="1"/>
      <w:marLeft w:val="0"/>
      <w:marRight w:val="0"/>
      <w:marTop w:val="0"/>
      <w:marBottom w:val="0"/>
      <w:divBdr>
        <w:top w:val="none" w:sz="0" w:space="0" w:color="auto"/>
        <w:left w:val="none" w:sz="0" w:space="0" w:color="auto"/>
        <w:bottom w:val="none" w:sz="0" w:space="0" w:color="auto"/>
        <w:right w:val="none" w:sz="0" w:space="0" w:color="auto"/>
      </w:divBdr>
    </w:div>
    <w:div w:id="470362304">
      <w:bodyDiv w:val="1"/>
      <w:marLeft w:val="0"/>
      <w:marRight w:val="0"/>
      <w:marTop w:val="0"/>
      <w:marBottom w:val="0"/>
      <w:divBdr>
        <w:top w:val="none" w:sz="0" w:space="0" w:color="auto"/>
        <w:left w:val="none" w:sz="0" w:space="0" w:color="auto"/>
        <w:bottom w:val="none" w:sz="0" w:space="0" w:color="auto"/>
        <w:right w:val="none" w:sz="0" w:space="0" w:color="auto"/>
      </w:divBdr>
    </w:div>
    <w:div w:id="475339357">
      <w:bodyDiv w:val="1"/>
      <w:marLeft w:val="0"/>
      <w:marRight w:val="0"/>
      <w:marTop w:val="0"/>
      <w:marBottom w:val="0"/>
      <w:divBdr>
        <w:top w:val="none" w:sz="0" w:space="0" w:color="auto"/>
        <w:left w:val="none" w:sz="0" w:space="0" w:color="auto"/>
        <w:bottom w:val="none" w:sz="0" w:space="0" w:color="auto"/>
        <w:right w:val="none" w:sz="0" w:space="0" w:color="auto"/>
      </w:divBdr>
    </w:div>
    <w:div w:id="475954902">
      <w:bodyDiv w:val="1"/>
      <w:marLeft w:val="0"/>
      <w:marRight w:val="0"/>
      <w:marTop w:val="0"/>
      <w:marBottom w:val="0"/>
      <w:divBdr>
        <w:top w:val="none" w:sz="0" w:space="0" w:color="auto"/>
        <w:left w:val="none" w:sz="0" w:space="0" w:color="auto"/>
        <w:bottom w:val="none" w:sz="0" w:space="0" w:color="auto"/>
        <w:right w:val="none" w:sz="0" w:space="0" w:color="auto"/>
      </w:divBdr>
    </w:div>
    <w:div w:id="476456378">
      <w:bodyDiv w:val="1"/>
      <w:marLeft w:val="0"/>
      <w:marRight w:val="0"/>
      <w:marTop w:val="0"/>
      <w:marBottom w:val="0"/>
      <w:divBdr>
        <w:top w:val="none" w:sz="0" w:space="0" w:color="auto"/>
        <w:left w:val="none" w:sz="0" w:space="0" w:color="auto"/>
        <w:bottom w:val="none" w:sz="0" w:space="0" w:color="auto"/>
        <w:right w:val="none" w:sz="0" w:space="0" w:color="auto"/>
      </w:divBdr>
    </w:div>
    <w:div w:id="478378673">
      <w:bodyDiv w:val="1"/>
      <w:marLeft w:val="0"/>
      <w:marRight w:val="0"/>
      <w:marTop w:val="0"/>
      <w:marBottom w:val="0"/>
      <w:divBdr>
        <w:top w:val="none" w:sz="0" w:space="0" w:color="auto"/>
        <w:left w:val="none" w:sz="0" w:space="0" w:color="auto"/>
        <w:bottom w:val="none" w:sz="0" w:space="0" w:color="auto"/>
        <w:right w:val="none" w:sz="0" w:space="0" w:color="auto"/>
      </w:divBdr>
    </w:div>
    <w:div w:id="479346506">
      <w:bodyDiv w:val="1"/>
      <w:marLeft w:val="0"/>
      <w:marRight w:val="0"/>
      <w:marTop w:val="0"/>
      <w:marBottom w:val="0"/>
      <w:divBdr>
        <w:top w:val="none" w:sz="0" w:space="0" w:color="auto"/>
        <w:left w:val="none" w:sz="0" w:space="0" w:color="auto"/>
        <w:bottom w:val="none" w:sz="0" w:space="0" w:color="auto"/>
        <w:right w:val="none" w:sz="0" w:space="0" w:color="auto"/>
      </w:divBdr>
    </w:div>
    <w:div w:id="480469498">
      <w:bodyDiv w:val="1"/>
      <w:marLeft w:val="0"/>
      <w:marRight w:val="0"/>
      <w:marTop w:val="0"/>
      <w:marBottom w:val="0"/>
      <w:divBdr>
        <w:top w:val="none" w:sz="0" w:space="0" w:color="auto"/>
        <w:left w:val="none" w:sz="0" w:space="0" w:color="auto"/>
        <w:bottom w:val="none" w:sz="0" w:space="0" w:color="auto"/>
        <w:right w:val="none" w:sz="0" w:space="0" w:color="auto"/>
      </w:divBdr>
    </w:div>
    <w:div w:id="486017124">
      <w:bodyDiv w:val="1"/>
      <w:marLeft w:val="0"/>
      <w:marRight w:val="0"/>
      <w:marTop w:val="0"/>
      <w:marBottom w:val="0"/>
      <w:divBdr>
        <w:top w:val="none" w:sz="0" w:space="0" w:color="auto"/>
        <w:left w:val="none" w:sz="0" w:space="0" w:color="auto"/>
        <w:bottom w:val="none" w:sz="0" w:space="0" w:color="auto"/>
        <w:right w:val="none" w:sz="0" w:space="0" w:color="auto"/>
      </w:divBdr>
    </w:div>
    <w:div w:id="489250570">
      <w:bodyDiv w:val="1"/>
      <w:marLeft w:val="0"/>
      <w:marRight w:val="0"/>
      <w:marTop w:val="0"/>
      <w:marBottom w:val="0"/>
      <w:divBdr>
        <w:top w:val="none" w:sz="0" w:space="0" w:color="auto"/>
        <w:left w:val="none" w:sz="0" w:space="0" w:color="auto"/>
        <w:bottom w:val="none" w:sz="0" w:space="0" w:color="auto"/>
        <w:right w:val="none" w:sz="0" w:space="0" w:color="auto"/>
      </w:divBdr>
    </w:div>
    <w:div w:id="492837308">
      <w:bodyDiv w:val="1"/>
      <w:marLeft w:val="0"/>
      <w:marRight w:val="0"/>
      <w:marTop w:val="0"/>
      <w:marBottom w:val="0"/>
      <w:divBdr>
        <w:top w:val="none" w:sz="0" w:space="0" w:color="auto"/>
        <w:left w:val="none" w:sz="0" w:space="0" w:color="auto"/>
        <w:bottom w:val="none" w:sz="0" w:space="0" w:color="auto"/>
        <w:right w:val="none" w:sz="0" w:space="0" w:color="auto"/>
      </w:divBdr>
    </w:div>
    <w:div w:id="492838610">
      <w:bodyDiv w:val="1"/>
      <w:marLeft w:val="0"/>
      <w:marRight w:val="0"/>
      <w:marTop w:val="0"/>
      <w:marBottom w:val="0"/>
      <w:divBdr>
        <w:top w:val="none" w:sz="0" w:space="0" w:color="auto"/>
        <w:left w:val="none" w:sz="0" w:space="0" w:color="auto"/>
        <w:bottom w:val="none" w:sz="0" w:space="0" w:color="auto"/>
        <w:right w:val="none" w:sz="0" w:space="0" w:color="auto"/>
      </w:divBdr>
    </w:div>
    <w:div w:id="493225309">
      <w:bodyDiv w:val="1"/>
      <w:marLeft w:val="0"/>
      <w:marRight w:val="0"/>
      <w:marTop w:val="0"/>
      <w:marBottom w:val="0"/>
      <w:divBdr>
        <w:top w:val="none" w:sz="0" w:space="0" w:color="auto"/>
        <w:left w:val="none" w:sz="0" w:space="0" w:color="auto"/>
        <w:bottom w:val="none" w:sz="0" w:space="0" w:color="auto"/>
        <w:right w:val="none" w:sz="0" w:space="0" w:color="auto"/>
      </w:divBdr>
    </w:div>
    <w:div w:id="506477525">
      <w:bodyDiv w:val="1"/>
      <w:marLeft w:val="0"/>
      <w:marRight w:val="0"/>
      <w:marTop w:val="0"/>
      <w:marBottom w:val="0"/>
      <w:divBdr>
        <w:top w:val="none" w:sz="0" w:space="0" w:color="auto"/>
        <w:left w:val="none" w:sz="0" w:space="0" w:color="auto"/>
        <w:bottom w:val="none" w:sz="0" w:space="0" w:color="auto"/>
        <w:right w:val="none" w:sz="0" w:space="0" w:color="auto"/>
      </w:divBdr>
    </w:div>
    <w:div w:id="509683682">
      <w:bodyDiv w:val="1"/>
      <w:marLeft w:val="0"/>
      <w:marRight w:val="0"/>
      <w:marTop w:val="0"/>
      <w:marBottom w:val="0"/>
      <w:divBdr>
        <w:top w:val="none" w:sz="0" w:space="0" w:color="auto"/>
        <w:left w:val="none" w:sz="0" w:space="0" w:color="auto"/>
        <w:bottom w:val="none" w:sz="0" w:space="0" w:color="auto"/>
        <w:right w:val="none" w:sz="0" w:space="0" w:color="auto"/>
      </w:divBdr>
    </w:div>
    <w:div w:id="515076642">
      <w:bodyDiv w:val="1"/>
      <w:marLeft w:val="0"/>
      <w:marRight w:val="0"/>
      <w:marTop w:val="0"/>
      <w:marBottom w:val="0"/>
      <w:divBdr>
        <w:top w:val="none" w:sz="0" w:space="0" w:color="auto"/>
        <w:left w:val="none" w:sz="0" w:space="0" w:color="auto"/>
        <w:bottom w:val="none" w:sz="0" w:space="0" w:color="auto"/>
        <w:right w:val="none" w:sz="0" w:space="0" w:color="auto"/>
      </w:divBdr>
    </w:div>
    <w:div w:id="517233103">
      <w:bodyDiv w:val="1"/>
      <w:marLeft w:val="0"/>
      <w:marRight w:val="0"/>
      <w:marTop w:val="0"/>
      <w:marBottom w:val="0"/>
      <w:divBdr>
        <w:top w:val="none" w:sz="0" w:space="0" w:color="auto"/>
        <w:left w:val="none" w:sz="0" w:space="0" w:color="auto"/>
        <w:bottom w:val="none" w:sz="0" w:space="0" w:color="auto"/>
        <w:right w:val="none" w:sz="0" w:space="0" w:color="auto"/>
      </w:divBdr>
    </w:div>
    <w:div w:id="522130759">
      <w:bodyDiv w:val="1"/>
      <w:marLeft w:val="0"/>
      <w:marRight w:val="0"/>
      <w:marTop w:val="0"/>
      <w:marBottom w:val="0"/>
      <w:divBdr>
        <w:top w:val="none" w:sz="0" w:space="0" w:color="auto"/>
        <w:left w:val="none" w:sz="0" w:space="0" w:color="auto"/>
        <w:bottom w:val="none" w:sz="0" w:space="0" w:color="auto"/>
        <w:right w:val="none" w:sz="0" w:space="0" w:color="auto"/>
      </w:divBdr>
    </w:div>
    <w:div w:id="524095218">
      <w:bodyDiv w:val="1"/>
      <w:marLeft w:val="0"/>
      <w:marRight w:val="0"/>
      <w:marTop w:val="0"/>
      <w:marBottom w:val="0"/>
      <w:divBdr>
        <w:top w:val="none" w:sz="0" w:space="0" w:color="auto"/>
        <w:left w:val="none" w:sz="0" w:space="0" w:color="auto"/>
        <w:bottom w:val="none" w:sz="0" w:space="0" w:color="auto"/>
        <w:right w:val="none" w:sz="0" w:space="0" w:color="auto"/>
      </w:divBdr>
    </w:div>
    <w:div w:id="524096319">
      <w:bodyDiv w:val="1"/>
      <w:marLeft w:val="0"/>
      <w:marRight w:val="0"/>
      <w:marTop w:val="0"/>
      <w:marBottom w:val="0"/>
      <w:divBdr>
        <w:top w:val="none" w:sz="0" w:space="0" w:color="auto"/>
        <w:left w:val="none" w:sz="0" w:space="0" w:color="auto"/>
        <w:bottom w:val="none" w:sz="0" w:space="0" w:color="auto"/>
        <w:right w:val="none" w:sz="0" w:space="0" w:color="auto"/>
      </w:divBdr>
    </w:div>
    <w:div w:id="529144543">
      <w:bodyDiv w:val="1"/>
      <w:marLeft w:val="0"/>
      <w:marRight w:val="0"/>
      <w:marTop w:val="0"/>
      <w:marBottom w:val="0"/>
      <w:divBdr>
        <w:top w:val="none" w:sz="0" w:space="0" w:color="auto"/>
        <w:left w:val="none" w:sz="0" w:space="0" w:color="auto"/>
        <w:bottom w:val="none" w:sz="0" w:space="0" w:color="auto"/>
        <w:right w:val="none" w:sz="0" w:space="0" w:color="auto"/>
      </w:divBdr>
    </w:div>
    <w:div w:id="533422861">
      <w:bodyDiv w:val="1"/>
      <w:marLeft w:val="0"/>
      <w:marRight w:val="0"/>
      <w:marTop w:val="0"/>
      <w:marBottom w:val="0"/>
      <w:divBdr>
        <w:top w:val="none" w:sz="0" w:space="0" w:color="auto"/>
        <w:left w:val="none" w:sz="0" w:space="0" w:color="auto"/>
        <w:bottom w:val="none" w:sz="0" w:space="0" w:color="auto"/>
        <w:right w:val="none" w:sz="0" w:space="0" w:color="auto"/>
      </w:divBdr>
    </w:div>
    <w:div w:id="539509728">
      <w:bodyDiv w:val="1"/>
      <w:marLeft w:val="0"/>
      <w:marRight w:val="0"/>
      <w:marTop w:val="0"/>
      <w:marBottom w:val="0"/>
      <w:divBdr>
        <w:top w:val="none" w:sz="0" w:space="0" w:color="auto"/>
        <w:left w:val="none" w:sz="0" w:space="0" w:color="auto"/>
        <w:bottom w:val="none" w:sz="0" w:space="0" w:color="auto"/>
        <w:right w:val="none" w:sz="0" w:space="0" w:color="auto"/>
      </w:divBdr>
    </w:div>
    <w:div w:id="539898340">
      <w:bodyDiv w:val="1"/>
      <w:marLeft w:val="0"/>
      <w:marRight w:val="0"/>
      <w:marTop w:val="0"/>
      <w:marBottom w:val="0"/>
      <w:divBdr>
        <w:top w:val="none" w:sz="0" w:space="0" w:color="auto"/>
        <w:left w:val="none" w:sz="0" w:space="0" w:color="auto"/>
        <w:bottom w:val="none" w:sz="0" w:space="0" w:color="auto"/>
        <w:right w:val="none" w:sz="0" w:space="0" w:color="auto"/>
      </w:divBdr>
    </w:div>
    <w:div w:id="543174332">
      <w:bodyDiv w:val="1"/>
      <w:marLeft w:val="0"/>
      <w:marRight w:val="0"/>
      <w:marTop w:val="0"/>
      <w:marBottom w:val="0"/>
      <w:divBdr>
        <w:top w:val="none" w:sz="0" w:space="0" w:color="auto"/>
        <w:left w:val="none" w:sz="0" w:space="0" w:color="auto"/>
        <w:bottom w:val="none" w:sz="0" w:space="0" w:color="auto"/>
        <w:right w:val="none" w:sz="0" w:space="0" w:color="auto"/>
      </w:divBdr>
    </w:div>
    <w:div w:id="546139647">
      <w:bodyDiv w:val="1"/>
      <w:marLeft w:val="0"/>
      <w:marRight w:val="0"/>
      <w:marTop w:val="0"/>
      <w:marBottom w:val="0"/>
      <w:divBdr>
        <w:top w:val="none" w:sz="0" w:space="0" w:color="auto"/>
        <w:left w:val="none" w:sz="0" w:space="0" w:color="auto"/>
        <w:bottom w:val="none" w:sz="0" w:space="0" w:color="auto"/>
        <w:right w:val="none" w:sz="0" w:space="0" w:color="auto"/>
      </w:divBdr>
    </w:div>
    <w:div w:id="546336702">
      <w:bodyDiv w:val="1"/>
      <w:marLeft w:val="0"/>
      <w:marRight w:val="0"/>
      <w:marTop w:val="0"/>
      <w:marBottom w:val="0"/>
      <w:divBdr>
        <w:top w:val="none" w:sz="0" w:space="0" w:color="auto"/>
        <w:left w:val="none" w:sz="0" w:space="0" w:color="auto"/>
        <w:bottom w:val="none" w:sz="0" w:space="0" w:color="auto"/>
        <w:right w:val="none" w:sz="0" w:space="0" w:color="auto"/>
      </w:divBdr>
    </w:div>
    <w:div w:id="547768598">
      <w:bodyDiv w:val="1"/>
      <w:marLeft w:val="0"/>
      <w:marRight w:val="0"/>
      <w:marTop w:val="0"/>
      <w:marBottom w:val="0"/>
      <w:divBdr>
        <w:top w:val="none" w:sz="0" w:space="0" w:color="auto"/>
        <w:left w:val="none" w:sz="0" w:space="0" w:color="auto"/>
        <w:bottom w:val="none" w:sz="0" w:space="0" w:color="auto"/>
        <w:right w:val="none" w:sz="0" w:space="0" w:color="auto"/>
      </w:divBdr>
    </w:div>
    <w:div w:id="548343928">
      <w:bodyDiv w:val="1"/>
      <w:marLeft w:val="0"/>
      <w:marRight w:val="0"/>
      <w:marTop w:val="0"/>
      <w:marBottom w:val="0"/>
      <w:divBdr>
        <w:top w:val="none" w:sz="0" w:space="0" w:color="auto"/>
        <w:left w:val="none" w:sz="0" w:space="0" w:color="auto"/>
        <w:bottom w:val="none" w:sz="0" w:space="0" w:color="auto"/>
        <w:right w:val="none" w:sz="0" w:space="0" w:color="auto"/>
      </w:divBdr>
    </w:div>
    <w:div w:id="551502248">
      <w:bodyDiv w:val="1"/>
      <w:marLeft w:val="0"/>
      <w:marRight w:val="0"/>
      <w:marTop w:val="0"/>
      <w:marBottom w:val="0"/>
      <w:divBdr>
        <w:top w:val="none" w:sz="0" w:space="0" w:color="auto"/>
        <w:left w:val="none" w:sz="0" w:space="0" w:color="auto"/>
        <w:bottom w:val="none" w:sz="0" w:space="0" w:color="auto"/>
        <w:right w:val="none" w:sz="0" w:space="0" w:color="auto"/>
      </w:divBdr>
    </w:div>
    <w:div w:id="552616037">
      <w:bodyDiv w:val="1"/>
      <w:marLeft w:val="0"/>
      <w:marRight w:val="0"/>
      <w:marTop w:val="0"/>
      <w:marBottom w:val="0"/>
      <w:divBdr>
        <w:top w:val="none" w:sz="0" w:space="0" w:color="auto"/>
        <w:left w:val="none" w:sz="0" w:space="0" w:color="auto"/>
        <w:bottom w:val="none" w:sz="0" w:space="0" w:color="auto"/>
        <w:right w:val="none" w:sz="0" w:space="0" w:color="auto"/>
      </w:divBdr>
    </w:div>
    <w:div w:id="557059512">
      <w:bodyDiv w:val="1"/>
      <w:marLeft w:val="0"/>
      <w:marRight w:val="0"/>
      <w:marTop w:val="0"/>
      <w:marBottom w:val="0"/>
      <w:divBdr>
        <w:top w:val="none" w:sz="0" w:space="0" w:color="auto"/>
        <w:left w:val="none" w:sz="0" w:space="0" w:color="auto"/>
        <w:bottom w:val="none" w:sz="0" w:space="0" w:color="auto"/>
        <w:right w:val="none" w:sz="0" w:space="0" w:color="auto"/>
      </w:divBdr>
    </w:div>
    <w:div w:id="560874198">
      <w:bodyDiv w:val="1"/>
      <w:marLeft w:val="0"/>
      <w:marRight w:val="0"/>
      <w:marTop w:val="0"/>
      <w:marBottom w:val="0"/>
      <w:divBdr>
        <w:top w:val="none" w:sz="0" w:space="0" w:color="auto"/>
        <w:left w:val="none" w:sz="0" w:space="0" w:color="auto"/>
        <w:bottom w:val="none" w:sz="0" w:space="0" w:color="auto"/>
        <w:right w:val="none" w:sz="0" w:space="0" w:color="auto"/>
      </w:divBdr>
    </w:div>
    <w:div w:id="567037826">
      <w:bodyDiv w:val="1"/>
      <w:marLeft w:val="0"/>
      <w:marRight w:val="0"/>
      <w:marTop w:val="0"/>
      <w:marBottom w:val="0"/>
      <w:divBdr>
        <w:top w:val="none" w:sz="0" w:space="0" w:color="auto"/>
        <w:left w:val="none" w:sz="0" w:space="0" w:color="auto"/>
        <w:bottom w:val="none" w:sz="0" w:space="0" w:color="auto"/>
        <w:right w:val="none" w:sz="0" w:space="0" w:color="auto"/>
      </w:divBdr>
    </w:div>
    <w:div w:id="567886161">
      <w:bodyDiv w:val="1"/>
      <w:marLeft w:val="0"/>
      <w:marRight w:val="0"/>
      <w:marTop w:val="0"/>
      <w:marBottom w:val="0"/>
      <w:divBdr>
        <w:top w:val="none" w:sz="0" w:space="0" w:color="auto"/>
        <w:left w:val="none" w:sz="0" w:space="0" w:color="auto"/>
        <w:bottom w:val="none" w:sz="0" w:space="0" w:color="auto"/>
        <w:right w:val="none" w:sz="0" w:space="0" w:color="auto"/>
      </w:divBdr>
    </w:div>
    <w:div w:id="568612014">
      <w:bodyDiv w:val="1"/>
      <w:marLeft w:val="0"/>
      <w:marRight w:val="0"/>
      <w:marTop w:val="0"/>
      <w:marBottom w:val="0"/>
      <w:divBdr>
        <w:top w:val="none" w:sz="0" w:space="0" w:color="auto"/>
        <w:left w:val="none" w:sz="0" w:space="0" w:color="auto"/>
        <w:bottom w:val="none" w:sz="0" w:space="0" w:color="auto"/>
        <w:right w:val="none" w:sz="0" w:space="0" w:color="auto"/>
      </w:divBdr>
    </w:div>
    <w:div w:id="573589670">
      <w:bodyDiv w:val="1"/>
      <w:marLeft w:val="0"/>
      <w:marRight w:val="0"/>
      <w:marTop w:val="0"/>
      <w:marBottom w:val="0"/>
      <w:divBdr>
        <w:top w:val="none" w:sz="0" w:space="0" w:color="auto"/>
        <w:left w:val="none" w:sz="0" w:space="0" w:color="auto"/>
        <w:bottom w:val="none" w:sz="0" w:space="0" w:color="auto"/>
        <w:right w:val="none" w:sz="0" w:space="0" w:color="auto"/>
      </w:divBdr>
    </w:div>
    <w:div w:id="584996883">
      <w:bodyDiv w:val="1"/>
      <w:marLeft w:val="0"/>
      <w:marRight w:val="0"/>
      <w:marTop w:val="0"/>
      <w:marBottom w:val="0"/>
      <w:divBdr>
        <w:top w:val="none" w:sz="0" w:space="0" w:color="auto"/>
        <w:left w:val="none" w:sz="0" w:space="0" w:color="auto"/>
        <w:bottom w:val="none" w:sz="0" w:space="0" w:color="auto"/>
        <w:right w:val="none" w:sz="0" w:space="0" w:color="auto"/>
      </w:divBdr>
    </w:div>
    <w:div w:id="585574605">
      <w:bodyDiv w:val="1"/>
      <w:marLeft w:val="0"/>
      <w:marRight w:val="0"/>
      <w:marTop w:val="0"/>
      <w:marBottom w:val="0"/>
      <w:divBdr>
        <w:top w:val="none" w:sz="0" w:space="0" w:color="auto"/>
        <w:left w:val="none" w:sz="0" w:space="0" w:color="auto"/>
        <w:bottom w:val="none" w:sz="0" w:space="0" w:color="auto"/>
        <w:right w:val="none" w:sz="0" w:space="0" w:color="auto"/>
      </w:divBdr>
    </w:div>
    <w:div w:id="600338040">
      <w:bodyDiv w:val="1"/>
      <w:marLeft w:val="0"/>
      <w:marRight w:val="0"/>
      <w:marTop w:val="0"/>
      <w:marBottom w:val="0"/>
      <w:divBdr>
        <w:top w:val="none" w:sz="0" w:space="0" w:color="auto"/>
        <w:left w:val="none" w:sz="0" w:space="0" w:color="auto"/>
        <w:bottom w:val="none" w:sz="0" w:space="0" w:color="auto"/>
        <w:right w:val="none" w:sz="0" w:space="0" w:color="auto"/>
      </w:divBdr>
    </w:div>
    <w:div w:id="603611529">
      <w:bodyDiv w:val="1"/>
      <w:marLeft w:val="0"/>
      <w:marRight w:val="0"/>
      <w:marTop w:val="0"/>
      <w:marBottom w:val="0"/>
      <w:divBdr>
        <w:top w:val="none" w:sz="0" w:space="0" w:color="auto"/>
        <w:left w:val="none" w:sz="0" w:space="0" w:color="auto"/>
        <w:bottom w:val="none" w:sz="0" w:space="0" w:color="auto"/>
        <w:right w:val="none" w:sz="0" w:space="0" w:color="auto"/>
      </w:divBdr>
    </w:div>
    <w:div w:id="605043560">
      <w:bodyDiv w:val="1"/>
      <w:marLeft w:val="0"/>
      <w:marRight w:val="0"/>
      <w:marTop w:val="0"/>
      <w:marBottom w:val="0"/>
      <w:divBdr>
        <w:top w:val="none" w:sz="0" w:space="0" w:color="auto"/>
        <w:left w:val="none" w:sz="0" w:space="0" w:color="auto"/>
        <w:bottom w:val="none" w:sz="0" w:space="0" w:color="auto"/>
        <w:right w:val="none" w:sz="0" w:space="0" w:color="auto"/>
      </w:divBdr>
    </w:div>
    <w:div w:id="607783255">
      <w:bodyDiv w:val="1"/>
      <w:marLeft w:val="0"/>
      <w:marRight w:val="0"/>
      <w:marTop w:val="0"/>
      <w:marBottom w:val="0"/>
      <w:divBdr>
        <w:top w:val="none" w:sz="0" w:space="0" w:color="auto"/>
        <w:left w:val="none" w:sz="0" w:space="0" w:color="auto"/>
        <w:bottom w:val="none" w:sz="0" w:space="0" w:color="auto"/>
        <w:right w:val="none" w:sz="0" w:space="0" w:color="auto"/>
      </w:divBdr>
    </w:div>
    <w:div w:id="608664618">
      <w:bodyDiv w:val="1"/>
      <w:marLeft w:val="0"/>
      <w:marRight w:val="0"/>
      <w:marTop w:val="0"/>
      <w:marBottom w:val="0"/>
      <w:divBdr>
        <w:top w:val="none" w:sz="0" w:space="0" w:color="auto"/>
        <w:left w:val="none" w:sz="0" w:space="0" w:color="auto"/>
        <w:bottom w:val="none" w:sz="0" w:space="0" w:color="auto"/>
        <w:right w:val="none" w:sz="0" w:space="0" w:color="auto"/>
      </w:divBdr>
    </w:div>
    <w:div w:id="609358466">
      <w:bodyDiv w:val="1"/>
      <w:marLeft w:val="0"/>
      <w:marRight w:val="0"/>
      <w:marTop w:val="0"/>
      <w:marBottom w:val="0"/>
      <w:divBdr>
        <w:top w:val="none" w:sz="0" w:space="0" w:color="auto"/>
        <w:left w:val="none" w:sz="0" w:space="0" w:color="auto"/>
        <w:bottom w:val="none" w:sz="0" w:space="0" w:color="auto"/>
        <w:right w:val="none" w:sz="0" w:space="0" w:color="auto"/>
      </w:divBdr>
    </w:div>
    <w:div w:id="616136407">
      <w:bodyDiv w:val="1"/>
      <w:marLeft w:val="0"/>
      <w:marRight w:val="0"/>
      <w:marTop w:val="0"/>
      <w:marBottom w:val="0"/>
      <w:divBdr>
        <w:top w:val="none" w:sz="0" w:space="0" w:color="auto"/>
        <w:left w:val="none" w:sz="0" w:space="0" w:color="auto"/>
        <w:bottom w:val="none" w:sz="0" w:space="0" w:color="auto"/>
        <w:right w:val="none" w:sz="0" w:space="0" w:color="auto"/>
      </w:divBdr>
    </w:div>
    <w:div w:id="617219155">
      <w:bodyDiv w:val="1"/>
      <w:marLeft w:val="0"/>
      <w:marRight w:val="0"/>
      <w:marTop w:val="0"/>
      <w:marBottom w:val="0"/>
      <w:divBdr>
        <w:top w:val="none" w:sz="0" w:space="0" w:color="auto"/>
        <w:left w:val="none" w:sz="0" w:space="0" w:color="auto"/>
        <w:bottom w:val="none" w:sz="0" w:space="0" w:color="auto"/>
        <w:right w:val="none" w:sz="0" w:space="0" w:color="auto"/>
      </w:divBdr>
    </w:div>
    <w:div w:id="622462222">
      <w:bodyDiv w:val="1"/>
      <w:marLeft w:val="0"/>
      <w:marRight w:val="0"/>
      <w:marTop w:val="0"/>
      <w:marBottom w:val="0"/>
      <w:divBdr>
        <w:top w:val="none" w:sz="0" w:space="0" w:color="auto"/>
        <w:left w:val="none" w:sz="0" w:space="0" w:color="auto"/>
        <w:bottom w:val="none" w:sz="0" w:space="0" w:color="auto"/>
        <w:right w:val="none" w:sz="0" w:space="0" w:color="auto"/>
      </w:divBdr>
    </w:div>
    <w:div w:id="626355909">
      <w:bodyDiv w:val="1"/>
      <w:marLeft w:val="0"/>
      <w:marRight w:val="0"/>
      <w:marTop w:val="0"/>
      <w:marBottom w:val="0"/>
      <w:divBdr>
        <w:top w:val="none" w:sz="0" w:space="0" w:color="auto"/>
        <w:left w:val="none" w:sz="0" w:space="0" w:color="auto"/>
        <w:bottom w:val="none" w:sz="0" w:space="0" w:color="auto"/>
        <w:right w:val="none" w:sz="0" w:space="0" w:color="auto"/>
      </w:divBdr>
    </w:div>
    <w:div w:id="628709133">
      <w:bodyDiv w:val="1"/>
      <w:marLeft w:val="0"/>
      <w:marRight w:val="0"/>
      <w:marTop w:val="0"/>
      <w:marBottom w:val="0"/>
      <w:divBdr>
        <w:top w:val="none" w:sz="0" w:space="0" w:color="auto"/>
        <w:left w:val="none" w:sz="0" w:space="0" w:color="auto"/>
        <w:bottom w:val="none" w:sz="0" w:space="0" w:color="auto"/>
        <w:right w:val="none" w:sz="0" w:space="0" w:color="auto"/>
      </w:divBdr>
    </w:div>
    <w:div w:id="630289959">
      <w:bodyDiv w:val="1"/>
      <w:marLeft w:val="0"/>
      <w:marRight w:val="0"/>
      <w:marTop w:val="0"/>
      <w:marBottom w:val="0"/>
      <w:divBdr>
        <w:top w:val="none" w:sz="0" w:space="0" w:color="auto"/>
        <w:left w:val="none" w:sz="0" w:space="0" w:color="auto"/>
        <w:bottom w:val="none" w:sz="0" w:space="0" w:color="auto"/>
        <w:right w:val="none" w:sz="0" w:space="0" w:color="auto"/>
      </w:divBdr>
    </w:div>
    <w:div w:id="646470234">
      <w:bodyDiv w:val="1"/>
      <w:marLeft w:val="0"/>
      <w:marRight w:val="0"/>
      <w:marTop w:val="0"/>
      <w:marBottom w:val="0"/>
      <w:divBdr>
        <w:top w:val="none" w:sz="0" w:space="0" w:color="auto"/>
        <w:left w:val="none" w:sz="0" w:space="0" w:color="auto"/>
        <w:bottom w:val="none" w:sz="0" w:space="0" w:color="auto"/>
        <w:right w:val="none" w:sz="0" w:space="0" w:color="auto"/>
      </w:divBdr>
    </w:div>
    <w:div w:id="650410068">
      <w:bodyDiv w:val="1"/>
      <w:marLeft w:val="0"/>
      <w:marRight w:val="0"/>
      <w:marTop w:val="0"/>
      <w:marBottom w:val="0"/>
      <w:divBdr>
        <w:top w:val="none" w:sz="0" w:space="0" w:color="auto"/>
        <w:left w:val="none" w:sz="0" w:space="0" w:color="auto"/>
        <w:bottom w:val="none" w:sz="0" w:space="0" w:color="auto"/>
        <w:right w:val="none" w:sz="0" w:space="0" w:color="auto"/>
      </w:divBdr>
    </w:div>
    <w:div w:id="651449541">
      <w:bodyDiv w:val="1"/>
      <w:marLeft w:val="0"/>
      <w:marRight w:val="0"/>
      <w:marTop w:val="0"/>
      <w:marBottom w:val="0"/>
      <w:divBdr>
        <w:top w:val="none" w:sz="0" w:space="0" w:color="auto"/>
        <w:left w:val="none" w:sz="0" w:space="0" w:color="auto"/>
        <w:bottom w:val="none" w:sz="0" w:space="0" w:color="auto"/>
        <w:right w:val="none" w:sz="0" w:space="0" w:color="auto"/>
      </w:divBdr>
    </w:div>
    <w:div w:id="652678728">
      <w:bodyDiv w:val="1"/>
      <w:marLeft w:val="0"/>
      <w:marRight w:val="0"/>
      <w:marTop w:val="0"/>
      <w:marBottom w:val="0"/>
      <w:divBdr>
        <w:top w:val="none" w:sz="0" w:space="0" w:color="auto"/>
        <w:left w:val="none" w:sz="0" w:space="0" w:color="auto"/>
        <w:bottom w:val="none" w:sz="0" w:space="0" w:color="auto"/>
        <w:right w:val="none" w:sz="0" w:space="0" w:color="auto"/>
      </w:divBdr>
    </w:div>
    <w:div w:id="655885085">
      <w:bodyDiv w:val="1"/>
      <w:marLeft w:val="0"/>
      <w:marRight w:val="0"/>
      <w:marTop w:val="0"/>
      <w:marBottom w:val="0"/>
      <w:divBdr>
        <w:top w:val="none" w:sz="0" w:space="0" w:color="auto"/>
        <w:left w:val="none" w:sz="0" w:space="0" w:color="auto"/>
        <w:bottom w:val="none" w:sz="0" w:space="0" w:color="auto"/>
        <w:right w:val="none" w:sz="0" w:space="0" w:color="auto"/>
      </w:divBdr>
    </w:div>
    <w:div w:id="656035185">
      <w:bodyDiv w:val="1"/>
      <w:marLeft w:val="0"/>
      <w:marRight w:val="0"/>
      <w:marTop w:val="0"/>
      <w:marBottom w:val="0"/>
      <w:divBdr>
        <w:top w:val="none" w:sz="0" w:space="0" w:color="auto"/>
        <w:left w:val="none" w:sz="0" w:space="0" w:color="auto"/>
        <w:bottom w:val="none" w:sz="0" w:space="0" w:color="auto"/>
        <w:right w:val="none" w:sz="0" w:space="0" w:color="auto"/>
      </w:divBdr>
    </w:div>
    <w:div w:id="658000874">
      <w:bodyDiv w:val="1"/>
      <w:marLeft w:val="0"/>
      <w:marRight w:val="0"/>
      <w:marTop w:val="0"/>
      <w:marBottom w:val="0"/>
      <w:divBdr>
        <w:top w:val="none" w:sz="0" w:space="0" w:color="auto"/>
        <w:left w:val="none" w:sz="0" w:space="0" w:color="auto"/>
        <w:bottom w:val="none" w:sz="0" w:space="0" w:color="auto"/>
        <w:right w:val="none" w:sz="0" w:space="0" w:color="auto"/>
      </w:divBdr>
    </w:div>
    <w:div w:id="659190044">
      <w:bodyDiv w:val="1"/>
      <w:marLeft w:val="0"/>
      <w:marRight w:val="0"/>
      <w:marTop w:val="0"/>
      <w:marBottom w:val="0"/>
      <w:divBdr>
        <w:top w:val="none" w:sz="0" w:space="0" w:color="auto"/>
        <w:left w:val="none" w:sz="0" w:space="0" w:color="auto"/>
        <w:bottom w:val="none" w:sz="0" w:space="0" w:color="auto"/>
        <w:right w:val="none" w:sz="0" w:space="0" w:color="auto"/>
      </w:divBdr>
    </w:div>
    <w:div w:id="660888601">
      <w:bodyDiv w:val="1"/>
      <w:marLeft w:val="0"/>
      <w:marRight w:val="0"/>
      <w:marTop w:val="0"/>
      <w:marBottom w:val="0"/>
      <w:divBdr>
        <w:top w:val="none" w:sz="0" w:space="0" w:color="auto"/>
        <w:left w:val="none" w:sz="0" w:space="0" w:color="auto"/>
        <w:bottom w:val="none" w:sz="0" w:space="0" w:color="auto"/>
        <w:right w:val="none" w:sz="0" w:space="0" w:color="auto"/>
      </w:divBdr>
    </w:div>
    <w:div w:id="660961671">
      <w:bodyDiv w:val="1"/>
      <w:marLeft w:val="0"/>
      <w:marRight w:val="0"/>
      <w:marTop w:val="0"/>
      <w:marBottom w:val="0"/>
      <w:divBdr>
        <w:top w:val="none" w:sz="0" w:space="0" w:color="auto"/>
        <w:left w:val="none" w:sz="0" w:space="0" w:color="auto"/>
        <w:bottom w:val="none" w:sz="0" w:space="0" w:color="auto"/>
        <w:right w:val="none" w:sz="0" w:space="0" w:color="auto"/>
      </w:divBdr>
    </w:div>
    <w:div w:id="661467824">
      <w:bodyDiv w:val="1"/>
      <w:marLeft w:val="0"/>
      <w:marRight w:val="0"/>
      <w:marTop w:val="0"/>
      <w:marBottom w:val="0"/>
      <w:divBdr>
        <w:top w:val="none" w:sz="0" w:space="0" w:color="auto"/>
        <w:left w:val="none" w:sz="0" w:space="0" w:color="auto"/>
        <w:bottom w:val="none" w:sz="0" w:space="0" w:color="auto"/>
        <w:right w:val="none" w:sz="0" w:space="0" w:color="auto"/>
      </w:divBdr>
    </w:div>
    <w:div w:id="661544688">
      <w:bodyDiv w:val="1"/>
      <w:marLeft w:val="0"/>
      <w:marRight w:val="0"/>
      <w:marTop w:val="0"/>
      <w:marBottom w:val="0"/>
      <w:divBdr>
        <w:top w:val="none" w:sz="0" w:space="0" w:color="auto"/>
        <w:left w:val="none" w:sz="0" w:space="0" w:color="auto"/>
        <w:bottom w:val="none" w:sz="0" w:space="0" w:color="auto"/>
        <w:right w:val="none" w:sz="0" w:space="0" w:color="auto"/>
      </w:divBdr>
    </w:div>
    <w:div w:id="665592698">
      <w:bodyDiv w:val="1"/>
      <w:marLeft w:val="0"/>
      <w:marRight w:val="0"/>
      <w:marTop w:val="0"/>
      <w:marBottom w:val="0"/>
      <w:divBdr>
        <w:top w:val="none" w:sz="0" w:space="0" w:color="auto"/>
        <w:left w:val="none" w:sz="0" w:space="0" w:color="auto"/>
        <w:bottom w:val="none" w:sz="0" w:space="0" w:color="auto"/>
        <w:right w:val="none" w:sz="0" w:space="0" w:color="auto"/>
      </w:divBdr>
    </w:div>
    <w:div w:id="670569557">
      <w:bodyDiv w:val="1"/>
      <w:marLeft w:val="0"/>
      <w:marRight w:val="0"/>
      <w:marTop w:val="0"/>
      <w:marBottom w:val="0"/>
      <w:divBdr>
        <w:top w:val="none" w:sz="0" w:space="0" w:color="auto"/>
        <w:left w:val="none" w:sz="0" w:space="0" w:color="auto"/>
        <w:bottom w:val="none" w:sz="0" w:space="0" w:color="auto"/>
        <w:right w:val="none" w:sz="0" w:space="0" w:color="auto"/>
      </w:divBdr>
    </w:div>
    <w:div w:id="677387439">
      <w:bodyDiv w:val="1"/>
      <w:marLeft w:val="0"/>
      <w:marRight w:val="0"/>
      <w:marTop w:val="0"/>
      <w:marBottom w:val="0"/>
      <w:divBdr>
        <w:top w:val="none" w:sz="0" w:space="0" w:color="auto"/>
        <w:left w:val="none" w:sz="0" w:space="0" w:color="auto"/>
        <w:bottom w:val="none" w:sz="0" w:space="0" w:color="auto"/>
        <w:right w:val="none" w:sz="0" w:space="0" w:color="auto"/>
      </w:divBdr>
    </w:div>
    <w:div w:id="686978643">
      <w:bodyDiv w:val="1"/>
      <w:marLeft w:val="0"/>
      <w:marRight w:val="0"/>
      <w:marTop w:val="0"/>
      <w:marBottom w:val="0"/>
      <w:divBdr>
        <w:top w:val="none" w:sz="0" w:space="0" w:color="auto"/>
        <w:left w:val="none" w:sz="0" w:space="0" w:color="auto"/>
        <w:bottom w:val="none" w:sz="0" w:space="0" w:color="auto"/>
        <w:right w:val="none" w:sz="0" w:space="0" w:color="auto"/>
      </w:divBdr>
    </w:div>
    <w:div w:id="688991898">
      <w:bodyDiv w:val="1"/>
      <w:marLeft w:val="0"/>
      <w:marRight w:val="0"/>
      <w:marTop w:val="0"/>
      <w:marBottom w:val="0"/>
      <w:divBdr>
        <w:top w:val="none" w:sz="0" w:space="0" w:color="auto"/>
        <w:left w:val="none" w:sz="0" w:space="0" w:color="auto"/>
        <w:bottom w:val="none" w:sz="0" w:space="0" w:color="auto"/>
        <w:right w:val="none" w:sz="0" w:space="0" w:color="auto"/>
      </w:divBdr>
    </w:div>
    <w:div w:id="690689529">
      <w:bodyDiv w:val="1"/>
      <w:marLeft w:val="0"/>
      <w:marRight w:val="0"/>
      <w:marTop w:val="0"/>
      <w:marBottom w:val="0"/>
      <w:divBdr>
        <w:top w:val="none" w:sz="0" w:space="0" w:color="auto"/>
        <w:left w:val="none" w:sz="0" w:space="0" w:color="auto"/>
        <w:bottom w:val="none" w:sz="0" w:space="0" w:color="auto"/>
        <w:right w:val="none" w:sz="0" w:space="0" w:color="auto"/>
      </w:divBdr>
    </w:div>
    <w:div w:id="691688124">
      <w:bodyDiv w:val="1"/>
      <w:marLeft w:val="0"/>
      <w:marRight w:val="0"/>
      <w:marTop w:val="0"/>
      <w:marBottom w:val="0"/>
      <w:divBdr>
        <w:top w:val="none" w:sz="0" w:space="0" w:color="auto"/>
        <w:left w:val="none" w:sz="0" w:space="0" w:color="auto"/>
        <w:bottom w:val="none" w:sz="0" w:space="0" w:color="auto"/>
        <w:right w:val="none" w:sz="0" w:space="0" w:color="auto"/>
      </w:divBdr>
    </w:div>
    <w:div w:id="692538488">
      <w:bodyDiv w:val="1"/>
      <w:marLeft w:val="0"/>
      <w:marRight w:val="0"/>
      <w:marTop w:val="0"/>
      <w:marBottom w:val="0"/>
      <w:divBdr>
        <w:top w:val="none" w:sz="0" w:space="0" w:color="auto"/>
        <w:left w:val="none" w:sz="0" w:space="0" w:color="auto"/>
        <w:bottom w:val="none" w:sz="0" w:space="0" w:color="auto"/>
        <w:right w:val="none" w:sz="0" w:space="0" w:color="auto"/>
      </w:divBdr>
    </w:div>
    <w:div w:id="693846562">
      <w:bodyDiv w:val="1"/>
      <w:marLeft w:val="0"/>
      <w:marRight w:val="0"/>
      <w:marTop w:val="0"/>
      <w:marBottom w:val="0"/>
      <w:divBdr>
        <w:top w:val="none" w:sz="0" w:space="0" w:color="auto"/>
        <w:left w:val="none" w:sz="0" w:space="0" w:color="auto"/>
        <w:bottom w:val="none" w:sz="0" w:space="0" w:color="auto"/>
        <w:right w:val="none" w:sz="0" w:space="0" w:color="auto"/>
      </w:divBdr>
    </w:div>
    <w:div w:id="694385499">
      <w:bodyDiv w:val="1"/>
      <w:marLeft w:val="0"/>
      <w:marRight w:val="0"/>
      <w:marTop w:val="0"/>
      <w:marBottom w:val="0"/>
      <w:divBdr>
        <w:top w:val="none" w:sz="0" w:space="0" w:color="auto"/>
        <w:left w:val="none" w:sz="0" w:space="0" w:color="auto"/>
        <w:bottom w:val="none" w:sz="0" w:space="0" w:color="auto"/>
        <w:right w:val="none" w:sz="0" w:space="0" w:color="auto"/>
      </w:divBdr>
    </w:div>
    <w:div w:id="697315614">
      <w:bodyDiv w:val="1"/>
      <w:marLeft w:val="0"/>
      <w:marRight w:val="0"/>
      <w:marTop w:val="0"/>
      <w:marBottom w:val="0"/>
      <w:divBdr>
        <w:top w:val="none" w:sz="0" w:space="0" w:color="auto"/>
        <w:left w:val="none" w:sz="0" w:space="0" w:color="auto"/>
        <w:bottom w:val="none" w:sz="0" w:space="0" w:color="auto"/>
        <w:right w:val="none" w:sz="0" w:space="0" w:color="auto"/>
      </w:divBdr>
    </w:div>
    <w:div w:id="699017405">
      <w:bodyDiv w:val="1"/>
      <w:marLeft w:val="0"/>
      <w:marRight w:val="0"/>
      <w:marTop w:val="0"/>
      <w:marBottom w:val="0"/>
      <w:divBdr>
        <w:top w:val="none" w:sz="0" w:space="0" w:color="auto"/>
        <w:left w:val="none" w:sz="0" w:space="0" w:color="auto"/>
        <w:bottom w:val="none" w:sz="0" w:space="0" w:color="auto"/>
        <w:right w:val="none" w:sz="0" w:space="0" w:color="auto"/>
      </w:divBdr>
    </w:div>
    <w:div w:id="699935305">
      <w:bodyDiv w:val="1"/>
      <w:marLeft w:val="0"/>
      <w:marRight w:val="0"/>
      <w:marTop w:val="0"/>
      <w:marBottom w:val="0"/>
      <w:divBdr>
        <w:top w:val="none" w:sz="0" w:space="0" w:color="auto"/>
        <w:left w:val="none" w:sz="0" w:space="0" w:color="auto"/>
        <w:bottom w:val="none" w:sz="0" w:space="0" w:color="auto"/>
        <w:right w:val="none" w:sz="0" w:space="0" w:color="auto"/>
      </w:divBdr>
    </w:div>
    <w:div w:id="702024291">
      <w:bodyDiv w:val="1"/>
      <w:marLeft w:val="0"/>
      <w:marRight w:val="0"/>
      <w:marTop w:val="0"/>
      <w:marBottom w:val="0"/>
      <w:divBdr>
        <w:top w:val="none" w:sz="0" w:space="0" w:color="auto"/>
        <w:left w:val="none" w:sz="0" w:space="0" w:color="auto"/>
        <w:bottom w:val="none" w:sz="0" w:space="0" w:color="auto"/>
        <w:right w:val="none" w:sz="0" w:space="0" w:color="auto"/>
      </w:divBdr>
    </w:div>
    <w:div w:id="704259058">
      <w:bodyDiv w:val="1"/>
      <w:marLeft w:val="0"/>
      <w:marRight w:val="0"/>
      <w:marTop w:val="0"/>
      <w:marBottom w:val="0"/>
      <w:divBdr>
        <w:top w:val="none" w:sz="0" w:space="0" w:color="auto"/>
        <w:left w:val="none" w:sz="0" w:space="0" w:color="auto"/>
        <w:bottom w:val="none" w:sz="0" w:space="0" w:color="auto"/>
        <w:right w:val="none" w:sz="0" w:space="0" w:color="auto"/>
      </w:divBdr>
    </w:div>
    <w:div w:id="706758437">
      <w:bodyDiv w:val="1"/>
      <w:marLeft w:val="0"/>
      <w:marRight w:val="0"/>
      <w:marTop w:val="0"/>
      <w:marBottom w:val="0"/>
      <w:divBdr>
        <w:top w:val="none" w:sz="0" w:space="0" w:color="auto"/>
        <w:left w:val="none" w:sz="0" w:space="0" w:color="auto"/>
        <w:bottom w:val="none" w:sz="0" w:space="0" w:color="auto"/>
        <w:right w:val="none" w:sz="0" w:space="0" w:color="auto"/>
      </w:divBdr>
    </w:div>
    <w:div w:id="708721481">
      <w:bodyDiv w:val="1"/>
      <w:marLeft w:val="0"/>
      <w:marRight w:val="0"/>
      <w:marTop w:val="0"/>
      <w:marBottom w:val="0"/>
      <w:divBdr>
        <w:top w:val="none" w:sz="0" w:space="0" w:color="auto"/>
        <w:left w:val="none" w:sz="0" w:space="0" w:color="auto"/>
        <w:bottom w:val="none" w:sz="0" w:space="0" w:color="auto"/>
        <w:right w:val="none" w:sz="0" w:space="0" w:color="auto"/>
      </w:divBdr>
    </w:div>
    <w:div w:id="709185902">
      <w:bodyDiv w:val="1"/>
      <w:marLeft w:val="0"/>
      <w:marRight w:val="0"/>
      <w:marTop w:val="0"/>
      <w:marBottom w:val="0"/>
      <w:divBdr>
        <w:top w:val="none" w:sz="0" w:space="0" w:color="auto"/>
        <w:left w:val="none" w:sz="0" w:space="0" w:color="auto"/>
        <w:bottom w:val="none" w:sz="0" w:space="0" w:color="auto"/>
        <w:right w:val="none" w:sz="0" w:space="0" w:color="auto"/>
      </w:divBdr>
    </w:div>
    <w:div w:id="709887370">
      <w:bodyDiv w:val="1"/>
      <w:marLeft w:val="0"/>
      <w:marRight w:val="0"/>
      <w:marTop w:val="0"/>
      <w:marBottom w:val="0"/>
      <w:divBdr>
        <w:top w:val="none" w:sz="0" w:space="0" w:color="auto"/>
        <w:left w:val="none" w:sz="0" w:space="0" w:color="auto"/>
        <w:bottom w:val="none" w:sz="0" w:space="0" w:color="auto"/>
        <w:right w:val="none" w:sz="0" w:space="0" w:color="auto"/>
      </w:divBdr>
    </w:div>
    <w:div w:id="713115270">
      <w:bodyDiv w:val="1"/>
      <w:marLeft w:val="0"/>
      <w:marRight w:val="0"/>
      <w:marTop w:val="0"/>
      <w:marBottom w:val="0"/>
      <w:divBdr>
        <w:top w:val="none" w:sz="0" w:space="0" w:color="auto"/>
        <w:left w:val="none" w:sz="0" w:space="0" w:color="auto"/>
        <w:bottom w:val="none" w:sz="0" w:space="0" w:color="auto"/>
        <w:right w:val="none" w:sz="0" w:space="0" w:color="auto"/>
      </w:divBdr>
    </w:div>
    <w:div w:id="718745017">
      <w:bodyDiv w:val="1"/>
      <w:marLeft w:val="0"/>
      <w:marRight w:val="0"/>
      <w:marTop w:val="0"/>
      <w:marBottom w:val="0"/>
      <w:divBdr>
        <w:top w:val="none" w:sz="0" w:space="0" w:color="auto"/>
        <w:left w:val="none" w:sz="0" w:space="0" w:color="auto"/>
        <w:bottom w:val="none" w:sz="0" w:space="0" w:color="auto"/>
        <w:right w:val="none" w:sz="0" w:space="0" w:color="auto"/>
      </w:divBdr>
    </w:div>
    <w:div w:id="720373031">
      <w:bodyDiv w:val="1"/>
      <w:marLeft w:val="0"/>
      <w:marRight w:val="0"/>
      <w:marTop w:val="0"/>
      <w:marBottom w:val="0"/>
      <w:divBdr>
        <w:top w:val="none" w:sz="0" w:space="0" w:color="auto"/>
        <w:left w:val="none" w:sz="0" w:space="0" w:color="auto"/>
        <w:bottom w:val="none" w:sz="0" w:space="0" w:color="auto"/>
        <w:right w:val="none" w:sz="0" w:space="0" w:color="auto"/>
      </w:divBdr>
    </w:div>
    <w:div w:id="720831118">
      <w:bodyDiv w:val="1"/>
      <w:marLeft w:val="0"/>
      <w:marRight w:val="0"/>
      <w:marTop w:val="0"/>
      <w:marBottom w:val="0"/>
      <w:divBdr>
        <w:top w:val="none" w:sz="0" w:space="0" w:color="auto"/>
        <w:left w:val="none" w:sz="0" w:space="0" w:color="auto"/>
        <w:bottom w:val="none" w:sz="0" w:space="0" w:color="auto"/>
        <w:right w:val="none" w:sz="0" w:space="0" w:color="auto"/>
      </w:divBdr>
    </w:div>
    <w:div w:id="722750927">
      <w:bodyDiv w:val="1"/>
      <w:marLeft w:val="0"/>
      <w:marRight w:val="0"/>
      <w:marTop w:val="0"/>
      <w:marBottom w:val="0"/>
      <w:divBdr>
        <w:top w:val="none" w:sz="0" w:space="0" w:color="auto"/>
        <w:left w:val="none" w:sz="0" w:space="0" w:color="auto"/>
        <w:bottom w:val="none" w:sz="0" w:space="0" w:color="auto"/>
        <w:right w:val="none" w:sz="0" w:space="0" w:color="auto"/>
      </w:divBdr>
    </w:div>
    <w:div w:id="723871727">
      <w:bodyDiv w:val="1"/>
      <w:marLeft w:val="0"/>
      <w:marRight w:val="0"/>
      <w:marTop w:val="0"/>
      <w:marBottom w:val="0"/>
      <w:divBdr>
        <w:top w:val="none" w:sz="0" w:space="0" w:color="auto"/>
        <w:left w:val="none" w:sz="0" w:space="0" w:color="auto"/>
        <w:bottom w:val="none" w:sz="0" w:space="0" w:color="auto"/>
        <w:right w:val="none" w:sz="0" w:space="0" w:color="auto"/>
      </w:divBdr>
    </w:div>
    <w:div w:id="730276395">
      <w:bodyDiv w:val="1"/>
      <w:marLeft w:val="0"/>
      <w:marRight w:val="0"/>
      <w:marTop w:val="0"/>
      <w:marBottom w:val="0"/>
      <w:divBdr>
        <w:top w:val="none" w:sz="0" w:space="0" w:color="auto"/>
        <w:left w:val="none" w:sz="0" w:space="0" w:color="auto"/>
        <w:bottom w:val="none" w:sz="0" w:space="0" w:color="auto"/>
        <w:right w:val="none" w:sz="0" w:space="0" w:color="auto"/>
      </w:divBdr>
    </w:div>
    <w:div w:id="732509225">
      <w:bodyDiv w:val="1"/>
      <w:marLeft w:val="0"/>
      <w:marRight w:val="0"/>
      <w:marTop w:val="0"/>
      <w:marBottom w:val="0"/>
      <w:divBdr>
        <w:top w:val="none" w:sz="0" w:space="0" w:color="auto"/>
        <w:left w:val="none" w:sz="0" w:space="0" w:color="auto"/>
        <w:bottom w:val="none" w:sz="0" w:space="0" w:color="auto"/>
        <w:right w:val="none" w:sz="0" w:space="0" w:color="auto"/>
      </w:divBdr>
    </w:div>
    <w:div w:id="734008712">
      <w:bodyDiv w:val="1"/>
      <w:marLeft w:val="0"/>
      <w:marRight w:val="0"/>
      <w:marTop w:val="0"/>
      <w:marBottom w:val="0"/>
      <w:divBdr>
        <w:top w:val="none" w:sz="0" w:space="0" w:color="auto"/>
        <w:left w:val="none" w:sz="0" w:space="0" w:color="auto"/>
        <w:bottom w:val="none" w:sz="0" w:space="0" w:color="auto"/>
        <w:right w:val="none" w:sz="0" w:space="0" w:color="auto"/>
      </w:divBdr>
    </w:div>
    <w:div w:id="739716950">
      <w:bodyDiv w:val="1"/>
      <w:marLeft w:val="0"/>
      <w:marRight w:val="0"/>
      <w:marTop w:val="0"/>
      <w:marBottom w:val="0"/>
      <w:divBdr>
        <w:top w:val="none" w:sz="0" w:space="0" w:color="auto"/>
        <w:left w:val="none" w:sz="0" w:space="0" w:color="auto"/>
        <w:bottom w:val="none" w:sz="0" w:space="0" w:color="auto"/>
        <w:right w:val="none" w:sz="0" w:space="0" w:color="auto"/>
      </w:divBdr>
    </w:div>
    <w:div w:id="742064435">
      <w:bodyDiv w:val="1"/>
      <w:marLeft w:val="0"/>
      <w:marRight w:val="0"/>
      <w:marTop w:val="0"/>
      <w:marBottom w:val="0"/>
      <w:divBdr>
        <w:top w:val="none" w:sz="0" w:space="0" w:color="auto"/>
        <w:left w:val="none" w:sz="0" w:space="0" w:color="auto"/>
        <w:bottom w:val="none" w:sz="0" w:space="0" w:color="auto"/>
        <w:right w:val="none" w:sz="0" w:space="0" w:color="auto"/>
      </w:divBdr>
    </w:div>
    <w:div w:id="742416278">
      <w:bodyDiv w:val="1"/>
      <w:marLeft w:val="0"/>
      <w:marRight w:val="0"/>
      <w:marTop w:val="0"/>
      <w:marBottom w:val="0"/>
      <w:divBdr>
        <w:top w:val="none" w:sz="0" w:space="0" w:color="auto"/>
        <w:left w:val="none" w:sz="0" w:space="0" w:color="auto"/>
        <w:bottom w:val="none" w:sz="0" w:space="0" w:color="auto"/>
        <w:right w:val="none" w:sz="0" w:space="0" w:color="auto"/>
      </w:divBdr>
    </w:div>
    <w:div w:id="742801070">
      <w:bodyDiv w:val="1"/>
      <w:marLeft w:val="0"/>
      <w:marRight w:val="0"/>
      <w:marTop w:val="0"/>
      <w:marBottom w:val="0"/>
      <w:divBdr>
        <w:top w:val="none" w:sz="0" w:space="0" w:color="auto"/>
        <w:left w:val="none" w:sz="0" w:space="0" w:color="auto"/>
        <w:bottom w:val="none" w:sz="0" w:space="0" w:color="auto"/>
        <w:right w:val="none" w:sz="0" w:space="0" w:color="auto"/>
      </w:divBdr>
    </w:div>
    <w:div w:id="744257997">
      <w:bodyDiv w:val="1"/>
      <w:marLeft w:val="0"/>
      <w:marRight w:val="0"/>
      <w:marTop w:val="0"/>
      <w:marBottom w:val="0"/>
      <w:divBdr>
        <w:top w:val="none" w:sz="0" w:space="0" w:color="auto"/>
        <w:left w:val="none" w:sz="0" w:space="0" w:color="auto"/>
        <w:bottom w:val="none" w:sz="0" w:space="0" w:color="auto"/>
        <w:right w:val="none" w:sz="0" w:space="0" w:color="auto"/>
      </w:divBdr>
    </w:div>
    <w:div w:id="745418205">
      <w:bodyDiv w:val="1"/>
      <w:marLeft w:val="0"/>
      <w:marRight w:val="0"/>
      <w:marTop w:val="0"/>
      <w:marBottom w:val="0"/>
      <w:divBdr>
        <w:top w:val="none" w:sz="0" w:space="0" w:color="auto"/>
        <w:left w:val="none" w:sz="0" w:space="0" w:color="auto"/>
        <w:bottom w:val="none" w:sz="0" w:space="0" w:color="auto"/>
        <w:right w:val="none" w:sz="0" w:space="0" w:color="auto"/>
      </w:divBdr>
    </w:div>
    <w:div w:id="750931113">
      <w:bodyDiv w:val="1"/>
      <w:marLeft w:val="0"/>
      <w:marRight w:val="0"/>
      <w:marTop w:val="0"/>
      <w:marBottom w:val="0"/>
      <w:divBdr>
        <w:top w:val="none" w:sz="0" w:space="0" w:color="auto"/>
        <w:left w:val="none" w:sz="0" w:space="0" w:color="auto"/>
        <w:bottom w:val="none" w:sz="0" w:space="0" w:color="auto"/>
        <w:right w:val="none" w:sz="0" w:space="0" w:color="auto"/>
      </w:divBdr>
    </w:div>
    <w:div w:id="752506809">
      <w:bodyDiv w:val="1"/>
      <w:marLeft w:val="0"/>
      <w:marRight w:val="0"/>
      <w:marTop w:val="0"/>
      <w:marBottom w:val="0"/>
      <w:divBdr>
        <w:top w:val="none" w:sz="0" w:space="0" w:color="auto"/>
        <w:left w:val="none" w:sz="0" w:space="0" w:color="auto"/>
        <w:bottom w:val="none" w:sz="0" w:space="0" w:color="auto"/>
        <w:right w:val="none" w:sz="0" w:space="0" w:color="auto"/>
      </w:divBdr>
    </w:div>
    <w:div w:id="756291979">
      <w:bodyDiv w:val="1"/>
      <w:marLeft w:val="0"/>
      <w:marRight w:val="0"/>
      <w:marTop w:val="0"/>
      <w:marBottom w:val="0"/>
      <w:divBdr>
        <w:top w:val="none" w:sz="0" w:space="0" w:color="auto"/>
        <w:left w:val="none" w:sz="0" w:space="0" w:color="auto"/>
        <w:bottom w:val="none" w:sz="0" w:space="0" w:color="auto"/>
        <w:right w:val="none" w:sz="0" w:space="0" w:color="auto"/>
      </w:divBdr>
    </w:div>
    <w:div w:id="756445781">
      <w:bodyDiv w:val="1"/>
      <w:marLeft w:val="0"/>
      <w:marRight w:val="0"/>
      <w:marTop w:val="0"/>
      <w:marBottom w:val="0"/>
      <w:divBdr>
        <w:top w:val="none" w:sz="0" w:space="0" w:color="auto"/>
        <w:left w:val="none" w:sz="0" w:space="0" w:color="auto"/>
        <w:bottom w:val="none" w:sz="0" w:space="0" w:color="auto"/>
        <w:right w:val="none" w:sz="0" w:space="0" w:color="auto"/>
      </w:divBdr>
    </w:div>
    <w:div w:id="761225763">
      <w:bodyDiv w:val="1"/>
      <w:marLeft w:val="0"/>
      <w:marRight w:val="0"/>
      <w:marTop w:val="0"/>
      <w:marBottom w:val="0"/>
      <w:divBdr>
        <w:top w:val="none" w:sz="0" w:space="0" w:color="auto"/>
        <w:left w:val="none" w:sz="0" w:space="0" w:color="auto"/>
        <w:bottom w:val="none" w:sz="0" w:space="0" w:color="auto"/>
        <w:right w:val="none" w:sz="0" w:space="0" w:color="auto"/>
      </w:divBdr>
    </w:div>
    <w:div w:id="763259146">
      <w:bodyDiv w:val="1"/>
      <w:marLeft w:val="0"/>
      <w:marRight w:val="0"/>
      <w:marTop w:val="0"/>
      <w:marBottom w:val="0"/>
      <w:divBdr>
        <w:top w:val="none" w:sz="0" w:space="0" w:color="auto"/>
        <w:left w:val="none" w:sz="0" w:space="0" w:color="auto"/>
        <w:bottom w:val="none" w:sz="0" w:space="0" w:color="auto"/>
        <w:right w:val="none" w:sz="0" w:space="0" w:color="auto"/>
      </w:divBdr>
    </w:div>
    <w:div w:id="773210603">
      <w:bodyDiv w:val="1"/>
      <w:marLeft w:val="0"/>
      <w:marRight w:val="0"/>
      <w:marTop w:val="0"/>
      <w:marBottom w:val="0"/>
      <w:divBdr>
        <w:top w:val="none" w:sz="0" w:space="0" w:color="auto"/>
        <w:left w:val="none" w:sz="0" w:space="0" w:color="auto"/>
        <w:bottom w:val="none" w:sz="0" w:space="0" w:color="auto"/>
        <w:right w:val="none" w:sz="0" w:space="0" w:color="auto"/>
      </w:divBdr>
    </w:div>
    <w:div w:id="774401873">
      <w:bodyDiv w:val="1"/>
      <w:marLeft w:val="0"/>
      <w:marRight w:val="0"/>
      <w:marTop w:val="0"/>
      <w:marBottom w:val="0"/>
      <w:divBdr>
        <w:top w:val="none" w:sz="0" w:space="0" w:color="auto"/>
        <w:left w:val="none" w:sz="0" w:space="0" w:color="auto"/>
        <w:bottom w:val="none" w:sz="0" w:space="0" w:color="auto"/>
        <w:right w:val="none" w:sz="0" w:space="0" w:color="auto"/>
      </w:divBdr>
    </w:div>
    <w:div w:id="778254891">
      <w:bodyDiv w:val="1"/>
      <w:marLeft w:val="0"/>
      <w:marRight w:val="0"/>
      <w:marTop w:val="0"/>
      <w:marBottom w:val="0"/>
      <w:divBdr>
        <w:top w:val="none" w:sz="0" w:space="0" w:color="auto"/>
        <w:left w:val="none" w:sz="0" w:space="0" w:color="auto"/>
        <w:bottom w:val="none" w:sz="0" w:space="0" w:color="auto"/>
        <w:right w:val="none" w:sz="0" w:space="0" w:color="auto"/>
      </w:divBdr>
    </w:div>
    <w:div w:id="782110729">
      <w:bodyDiv w:val="1"/>
      <w:marLeft w:val="0"/>
      <w:marRight w:val="0"/>
      <w:marTop w:val="0"/>
      <w:marBottom w:val="0"/>
      <w:divBdr>
        <w:top w:val="none" w:sz="0" w:space="0" w:color="auto"/>
        <w:left w:val="none" w:sz="0" w:space="0" w:color="auto"/>
        <w:bottom w:val="none" w:sz="0" w:space="0" w:color="auto"/>
        <w:right w:val="none" w:sz="0" w:space="0" w:color="auto"/>
      </w:divBdr>
    </w:div>
    <w:div w:id="788746791">
      <w:bodyDiv w:val="1"/>
      <w:marLeft w:val="0"/>
      <w:marRight w:val="0"/>
      <w:marTop w:val="0"/>
      <w:marBottom w:val="0"/>
      <w:divBdr>
        <w:top w:val="none" w:sz="0" w:space="0" w:color="auto"/>
        <w:left w:val="none" w:sz="0" w:space="0" w:color="auto"/>
        <w:bottom w:val="none" w:sz="0" w:space="0" w:color="auto"/>
        <w:right w:val="none" w:sz="0" w:space="0" w:color="auto"/>
      </w:divBdr>
    </w:div>
    <w:div w:id="790703790">
      <w:bodyDiv w:val="1"/>
      <w:marLeft w:val="0"/>
      <w:marRight w:val="0"/>
      <w:marTop w:val="0"/>
      <w:marBottom w:val="0"/>
      <w:divBdr>
        <w:top w:val="none" w:sz="0" w:space="0" w:color="auto"/>
        <w:left w:val="none" w:sz="0" w:space="0" w:color="auto"/>
        <w:bottom w:val="none" w:sz="0" w:space="0" w:color="auto"/>
        <w:right w:val="none" w:sz="0" w:space="0" w:color="auto"/>
      </w:divBdr>
    </w:div>
    <w:div w:id="791706583">
      <w:bodyDiv w:val="1"/>
      <w:marLeft w:val="0"/>
      <w:marRight w:val="0"/>
      <w:marTop w:val="0"/>
      <w:marBottom w:val="0"/>
      <w:divBdr>
        <w:top w:val="none" w:sz="0" w:space="0" w:color="auto"/>
        <w:left w:val="none" w:sz="0" w:space="0" w:color="auto"/>
        <w:bottom w:val="none" w:sz="0" w:space="0" w:color="auto"/>
        <w:right w:val="none" w:sz="0" w:space="0" w:color="auto"/>
      </w:divBdr>
    </w:div>
    <w:div w:id="792558280">
      <w:bodyDiv w:val="1"/>
      <w:marLeft w:val="0"/>
      <w:marRight w:val="0"/>
      <w:marTop w:val="0"/>
      <w:marBottom w:val="0"/>
      <w:divBdr>
        <w:top w:val="none" w:sz="0" w:space="0" w:color="auto"/>
        <w:left w:val="none" w:sz="0" w:space="0" w:color="auto"/>
        <w:bottom w:val="none" w:sz="0" w:space="0" w:color="auto"/>
        <w:right w:val="none" w:sz="0" w:space="0" w:color="auto"/>
      </w:divBdr>
    </w:div>
    <w:div w:id="793642388">
      <w:bodyDiv w:val="1"/>
      <w:marLeft w:val="0"/>
      <w:marRight w:val="0"/>
      <w:marTop w:val="0"/>
      <w:marBottom w:val="0"/>
      <w:divBdr>
        <w:top w:val="none" w:sz="0" w:space="0" w:color="auto"/>
        <w:left w:val="none" w:sz="0" w:space="0" w:color="auto"/>
        <w:bottom w:val="none" w:sz="0" w:space="0" w:color="auto"/>
        <w:right w:val="none" w:sz="0" w:space="0" w:color="auto"/>
      </w:divBdr>
    </w:div>
    <w:div w:id="801652723">
      <w:bodyDiv w:val="1"/>
      <w:marLeft w:val="0"/>
      <w:marRight w:val="0"/>
      <w:marTop w:val="0"/>
      <w:marBottom w:val="0"/>
      <w:divBdr>
        <w:top w:val="none" w:sz="0" w:space="0" w:color="auto"/>
        <w:left w:val="none" w:sz="0" w:space="0" w:color="auto"/>
        <w:bottom w:val="none" w:sz="0" w:space="0" w:color="auto"/>
        <w:right w:val="none" w:sz="0" w:space="0" w:color="auto"/>
      </w:divBdr>
    </w:div>
    <w:div w:id="806971450">
      <w:bodyDiv w:val="1"/>
      <w:marLeft w:val="0"/>
      <w:marRight w:val="0"/>
      <w:marTop w:val="0"/>
      <w:marBottom w:val="0"/>
      <w:divBdr>
        <w:top w:val="none" w:sz="0" w:space="0" w:color="auto"/>
        <w:left w:val="none" w:sz="0" w:space="0" w:color="auto"/>
        <w:bottom w:val="none" w:sz="0" w:space="0" w:color="auto"/>
        <w:right w:val="none" w:sz="0" w:space="0" w:color="auto"/>
      </w:divBdr>
    </w:div>
    <w:div w:id="810251321">
      <w:bodyDiv w:val="1"/>
      <w:marLeft w:val="0"/>
      <w:marRight w:val="0"/>
      <w:marTop w:val="0"/>
      <w:marBottom w:val="0"/>
      <w:divBdr>
        <w:top w:val="none" w:sz="0" w:space="0" w:color="auto"/>
        <w:left w:val="none" w:sz="0" w:space="0" w:color="auto"/>
        <w:bottom w:val="none" w:sz="0" w:space="0" w:color="auto"/>
        <w:right w:val="none" w:sz="0" w:space="0" w:color="auto"/>
      </w:divBdr>
    </w:div>
    <w:div w:id="810485661">
      <w:bodyDiv w:val="1"/>
      <w:marLeft w:val="0"/>
      <w:marRight w:val="0"/>
      <w:marTop w:val="0"/>
      <w:marBottom w:val="0"/>
      <w:divBdr>
        <w:top w:val="none" w:sz="0" w:space="0" w:color="auto"/>
        <w:left w:val="none" w:sz="0" w:space="0" w:color="auto"/>
        <w:bottom w:val="none" w:sz="0" w:space="0" w:color="auto"/>
        <w:right w:val="none" w:sz="0" w:space="0" w:color="auto"/>
      </w:divBdr>
    </w:div>
    <w:div w:id="813253034">
      <w:bodyDiv w:val="1"/>
      <w:marLeft w:val="0"/>
      <w:marRight w:val="0"/>
      <w:marTop w:val="0"/>
      <w:marBottom w:val="0"/>
      <w:divBdr>
        <w:top w:val="none" w:sz="0" w:space="0" w:color="auto"/>
        <w:left w:val="none" w:sz="0" w:space="0" w:color="auto"/>
        <w:bottom w:val="none" w:sz="0" w:space="0" w:color="auto"/>
        <w:right w:val="none" w:sz="0" w:space="0" w:color="auto"/>
      </w:divBdr>
    </w:div>
    <w:div w:id="815806531">
      <w:bodyDiv w:val="1"/>
      <w:marLeft w:val="0"/>
      <w:marRight w:val="0"/>
      <w:marTop w:val="0"/>
      <w:marBottom w:val="0"/>
      <w:divBdr>
        <w:top w:val="none" w:sz="0" w:space="0" w:color="auto"/>
        <w:left w:val="none" w:sz="0" w:space="0" w:color="auto"/>
        <w:bottom w:val="none" w:sz="0" w:space="0" w:color="auto"/>
        <w:right w:val="none" w:sz="0" w:space="0" w:color="auto"/>
      </w:divBdr>
    </w:div>
    <w:div w:id="815882299">
      <w:bodyDiv w:val="1"/>
      <w:marLeft w:val="0"/>
      <w:marRight w:val="0"/>
      <w:marTop w:val="0"/>
      <w:marBottom w:val="0"/>
      <w:divBdr>
        <w:top w:val="none" w:sz="0" w:space="0" w:color="auto"/>
        <w:left w:val="none" w:sz="0" w:space="0" w:color="auto"/>
        <w:bottom w:val="none" w:sz="0" w:space="0" w:color="auto"/>
        <w:right w:val="none" w:sz="0" w:space="0" w:color="auto"/>
      </w:divBdr>
    </w:div>
    <w:div w:id="820270256">
      <w:bodyDiv w:val="1"/>
      <w:marLeft w:val="0"/>
      <w:marRight w:val="0"/>
      <w:marTop w:val="0"/>
      <w:marBottom w:val="0"/>
      <w:divBdr>
        <w:top w:val="none" w:sz="0" w:space="0" w:color="auto"/>
        <w:left w:val="none" w:sz="0" w:space="0" w:color="auto"/>
        <w:bottom w:val="none" w:sz="0" w:space="0" w:color="auto"/>
        <w:right w:val="none" w:sz="0" w:space="0" w:color="auto"/>
      </w:divBdr>
    </w:div>
    <w:div w:id="824933257">
      <w:bodyDiv w:val="1"/>
      <w:marLeft w:val="0"/>
      <w:marRight w:val="0"/>
      <w:marTop w:val="0"/>
      <w:marBottom w:val="0"/>
      <w:divBdr>
        <w:top w:val="none" w:sz="0" w:space="0" w:color="auto"/>
        <w:left w:val="none" w:sz="0" w:space="0" w:color="auto"/>
        <w:bottom w:val="none" w:sz="0" w:space="0" w:color="auto"/>
        <w:right w:val="none" w:sz="0" w:space="0" w:color="auto"/>
      </w:divBdr>
    </w:div>
    <w:div w:id="828905369">
      <w:bodyDiv w:val="1"/>
      <w:marLeft w:val="0"/>
      <w:marRight w:val="0"/>
      <w:marTop w:val="0"/>
      <w:marBottom w:val="0"/>
      <w:divBdr>
        <w:top w:val="none" w:sz="0" w:space="0" w:color="auto"/>
        <w:left w:val="none" w:sz="0" w:space="0" w:color="auto"/>
        <w:bottom w:val="none" w:sz="0" w:space="0" w:color="auto"/>
        <w:right w:val="none" w:sz="0" w:space="0" w:color="auto"/>
      </w:divBdr>
    </w:div>
    <w:div w:id="829173230">
      <w:bodyDiv w:val="1"/>
      <w:marLeft w:val="0"/>
      <w:marRight w:val="0"/>
      <w:marTop w:val="0"/>
      <w:marBottom w:val="0"/>
      <w:divBdr>
        <w:top w:val="none" w:sz="0" w:space="0" w:color="auto"/>
        <w:left w:val="none" w:sz="0" w:space="0" w:color="auto"/>
        <w:bottom w:val="none" w:sz="0" w:space="0" w:color="auto"/>
        <w:right w:val="none" w:sz="0" w:space="0" w:color="auto"/>
      </w:divBdr>
    </w:div>
    <w:div w:id="833103025">
      <w:bodyDiv w:val="1"/>
      <w:marLeft w:val="0"/>
      <w:marRight w:val="0"/>
      <w:marTop w:val="0"/>
      <w:marBottom w:val="0"/>
      <w:divBdr>
        <w:top w:val="none" w:sz="0" w:space="0" w:color="auto"/>
        <w:left w:val="none" w:sz="0" w:space="0" w:color="auto"/>
        <w:bottom w:val="none" w:sz="0" w:space="0" w:color="auto"/>
        <w:right w:val="none" w:sz="0" w:space="0" w:color="auto"/>
      </w:divBdr>
    </w:div>
    <w:div w:id="837958852">
      <w:bodyDiv w:val="1"/>
      <w:marLeft w:val="0"/>
      <w:marRight w:val="0"/>
      <w:marTop w:val="0"/>
      <w:marBottom w:val="0"/>
      <w:divBdr>
        <w:top w:val="none" w:sz="0" w:space="0" w:color="auto"/>
        <w:left w:val="none" w:sz="0" w:space="0" w:color="auto"/>
        <w:bottom w:val="none" w:sz="0" w:space="0" w:color="auto"/>
        <w:right w:val="none" w:sz="0" w:space="0" w:color="auto"/>
      </w:divBdr>
    </w:div>
    <w:div w:id="842672838">
      <w:bodyDiv w:val="1"/>
      <w:marLeft w:val="0"/>
      <w:marRight w:val="0"/>
      <w:marTop w:val="0"/>
      <w:marBottom w:val="0"/>
      <w:divBdr>
        <w:top w:val="none" w:sz="0" w:space="0" w:color="auto"/>
        <w:left w:val="none" w:sz="0" w:space="0" w:color="auto"/>
        <w:bottom w:val="none" w:sz="0" w:space="0" w:color="auto"/>
        <w:right w:val="none" w:sz="0" w:space="0" w:color="auto"/>
      </w:divBdr>
    </w:div>
    <w:div w:id="846791679">
      <w:bodyDiv w:val="1"/>
      <w:marLeft w:val="0"/>
      <w:marRight w:val="0"/>
      <w:marTop w:val="0"/>
      <w:marBottom w:val="0"/>
      <w:divBdr>
        <w:top w:val="none" w:sz="0" w:space="0" w:color="auto"/>
        <w:left w:val="none" w:sz="0" w:space="0" w:color="auto"/>
        <w:bottom w:val="none" w:sz="0" w:space="0" w:color="auto"/>
        <w:right w:val="none" w:sz="0" w:space="0" w:color="auto"/>
      </w:divBdr>
    </w:div>
    <w:div w:id="849485529">
      <w:bodyDiv w:val="1"/>
      <w:marLeft w:val="0"/>
      <w:marRight w:val="0"/>
      <w:marTop w:val="0"/>
      <w:marBottom w:val="0"/>
      <w:divBdr>
        <w:top w:val="none" w:sz="0" w:space="0" w:color="auto"/>
        <w:left w:val="none" w:sz="0" w:space="0" w:color="auto"/>
        <w:bottom w:val="none" w:sz="0" w:space="0" w:color="auto"/>
        <w:right w:val="none" w:sz="0" w:space="0" w:color="auto"/>
      </w:divBdr>
    </w:div>
    <w:div w:id="853954873">
      <w:bodyDiv w:val="1"/>
      <w:marLeft w:val="0"/>
      <w:marRight w:val="0"/>
      <w:marTop w:val="0"/>
      <w:marBottom w:val="0"/>
      <w:divBdr>
        <w:top w:val="none" w:sz="0" w:space="0" w:color="auto"/>
        <w:left w:val="none" w:sz="0" w:space="0" w:color="auto"/>
        <w:bottom w:val="none" w:sz="0" w:space="0" w:color="auto"/>
        <w:right w:val="none" w:sz="0" w:space="0" w:color="auto"/>
      </w:divBdr>
    </w:div>
    <w:div w:id="855849038">
      <w:bodyDiv w:val="1"/>
      <w:marLeft w:val="0"/>
      <w:marRight w:val="0"/>
      <w:marTop w:val="0"/>
      <w:marBottom w:val="0"/>
      <w:divBdr>
        <w:top w:val="none" w:sz="0" w:space="0" w:color="auto"/>
        <w:left w:val="none" w:sz="0" w:space="0" w:color="auto"/>
        <w:bottom w:val="none" w:sz="0" w:space="0" w:color="auto"/>
        <w:right w:val="none" w:sz="0" w:space="0" w:color="auto"/>
      </w:divBdr>
    </w:div>
    <w:div w:id="855921252">
      <w:bodyDiv w:val="1"/>
      <w:marLeft w:val="0"/>
      <w:marRight w:val="0"/>
      <w:marTop w:val="0"/>
      <w:marBottom w:val="0"/>
      <w:divBdr>
        <w:top w:val="none" w:sz="0" w:space="0" w:color="auto"/>
        <w:left w:val="none" w:sz="0" w:space="0" w:color="auto"/>
        <w:bottom w:val="none" w:sz="0" w:space="0" w:color="auto"/>
        <w:right w:val="none" w:sz="0" w:space="0" w:color="auto"/>
      </w:divBdr>
    </w:div>
    <w:div w:id="857039069">
      <w:bodyDiv w:val="1"/>
      <w:marLeft w:val="0"/>
      <w:marRight w:val="0"/>
      <w:marTop w:val="0"/>
      <w:marBottom w:val="0"/>
      <w:divBdr>
        <w:top w:val="none" w:sz="0" w:space="0" w:color="auto"/>
        <w:left w:val="none" w:sz="0" w:space="0" w:color="auto"/>
        <w:bottom w:val="none" w:sz="0" w:space="0" w:color="auto"/>
        <w:right w:val="none" w:sz="0" w:space="0" w:color="auto"/>
      </w:divBdr>
    </w:div>
    <w:div w:id="858935142">
      <w:bodyDiv w:val="1"/>
      <w:marLeft w:val="0"/>
      <w:marRight w:val="0"/>
      <w:marTop w:val="0"/>
      <w:marBottom w:val="0"/>
      <w:divBdr>
        <w:top w:val="none" w:sz="0" w:space="0" w:color="auto"/>
        <w:left w:val="none" w:sz="0" w:space="0" w:color="auto"/>
        <w:bottom w:val="none" w:sz="0" w:space="0" w:color="auto"/>
        <w:right w:val="none" w:sz="0" w:space="0" w:color="auto"/>
      </w:divBdr>
    </w:div>
    <w:div w:id="859008636">
      <w:bodyDiv w:val="1"/>
      <w:marLeft w:val="0"/>
      <w:marRight w:val="0"/>
      <w:marTop w:val="0"/>
      <w:marBottom w:val="0"/>
      <w:divBdr>
        <w:top w:val="none" w:sz="0" w:space="0" w:color="auto"/>
        <w:left w:val="none" w:sz="0" w:space="0" w:color="auto"/>
        <w:bottom w:val="none" w:sz="0" w:space="0" w:color="auto"/>
        <w:right w:val="none" w:sz="0" w:space="0" w:color="auto"/>
      </w:divBdr>
    </w:div>
    <w:div w:id="861282373">
      <w:bodyDiv w:val="1"/>
      <w:marLeft w:val="0"/>
      <w:marRight w:val="0"/>
      <w:marTop w:val="0"/>
      <w:marBottom w:val="0"/>
      <w:divBdr>
        <w:top w:val="none" w:sz="0" w:space="0" w:color="auto"/>
        <w:left w:val="none" w:sz="0" w:space="0" w:color="auto"/>
        <w:bottom w:val="none" w:sz="0" w:space="0" w:color="auto"/>
        <w:right w:val="none" w:sz="0" w:space="0" w:color="auto"/>
      </w:divBdr>
    </w:div>
    <w:div w:id="868027645">
      <w:bodyDiv w:val="1"/>
      <w:marLeft w:val="0"/>
      <w:marRight w:val="0"/>
      <w:marTop w:val="0"/>
      <w:marBottom w:val="0"/>
      <w:divBdr>
        <w:top w:val="none" w:sz="0" w:space="0" w:color="auto"/>
        <w:left w:val="none" w:sz="0" w:space="0" w:color="auto"/>
        <w:bottom w:val="none" w:sz="0" w:space="0" w:color="auto"/>
        <w:right w:val="none" w:sz="0" w:space="0" w:color="auto"/>
      </w:divBdr>
    </w:div>
    <w:div w:id="873006317">
      <w:bodyDiv w:val="1"/>
      <w:marLeft w:val="0"/>
      <w:marRight w:val="0"/>
      <w:marTop w:val="0"/>
      <w:marBottom w:val="0"/>
      <w:divBdr>
        <w:top w:val="none" w:sz="0" w:space="0" w:color="auto"/>
        <w:left w:val="none" w:sz="0" w:space="0" w:color="auto"/>
        <w:bottom w:val="none" w:sz="0" w:space="0" w:color="auto"/>
        <w:right w:val="none" w:sz="0" w:space="0" w:color="auto"/>
      </w:divBdr>
    </w:div>
    <w:div w:id="876357809">
      <w:bodyDiv w:val="1"/>
      <w:marLeft w:val="0"/>
      <w:marRight w:val="0"/>
      <w:marTop w:val="0"/>
      <w:marBottom w:val="0"/>
      <w:divBdr>
        <w:top w:val="none" w:sz="0" w:space="0" w:color="auto"/>
        <w:left w:val="none" w:sz="0" w:space="0" w:color="auto"/>
        <w:bottom w:val="none" w:sz="0" w:space="0" w:color="auto"/>
        <w:right w:val="none" w:sz="0" w:space="0" w:color="auto"/>
      </w:divBdr>
    </w:div>
    <w:div w:id="881402799">
      <w:bodyDiv w:val="1"/>
      <w:marLeft w:val="0"/>
      <w:marRight w:val="0"/>
      <w:marTop w:val="0"/>
      <w:marBottom w:val="0"/>
      <w:divBdr>
        <w:top w:val="none" w:sz="0" w:space="0" w:color="auto"/>
        <w:left w:val="none" w:sz="0" w:space="0" w:color="auto"/>
        <w:bottom w:val="none" w:sz="0" w:space="0" w:color="auto"/>
        <w:right w:val="none" w:sz="0" w:space="0" w:color="auto"/>
      </w:divBdr>
    </w:div>
    <w:div w:id="883374135">
      <w:bodyDiv w:val="1"/>
      <w:marLeft w:val="0"/>
      <w:marRight w:val="0"/>
      <w:marTop w:val="0"/>
      <w:marBottom w:val="0"/>
      <w:divBdr>
        <w:top w:val="none" w:sz="0" w:space="0" w:color="auto"/>
        <w:left w:val="none" w:sz="0" w:space="0" w:color="auto"/>
        <w:bottom w:val="none" w:sz="0" w:space="0" w:color="auto"/>
        <w:right w:val="none" w:sz="0" w:space="0" w:color="auto"/>
      </w:divBdr>
    </w:div>
    <w:div w:id="884758954">
      <w:bodyDiv w:val="1"/>
      <w:marLeft w:val="0"/>
      <w:marRight w:val="0"/>
      <w:marTop w:val="0"/>
      <w:marBottom w:val="0"/>
      <w:divBdr>
        <w:top w:val="none" w:sz="0" w:space="0" w:color="auto"/>
        <w:left w:val="none" w:sz="0" w:space="0" w:color="auto"/>
        <w:bottom w:val="none" w:sz="0" w:space="0" w:color="auto"/>
        <w:right w:val="none" w:sz="0" w:space="0" w:color="auto"/>
      </w:divBdr>
    </w:div>
    <w:div w:id="890115373">
      <w:bodyDiv w:val="1"/>
      <w:marLeft w:val="0"/>
      <w:marRight w:val="0"/>
      <w:marTop w:val="0"/>
      <w:marBottom w:val="0"/>
      <w:divBdr>
        <w:top w:val="none" w:sz="0" w:space="0" w:color="auto"/>
        <w:left w:val="none" w:sz="0" w:space="0" w:color="auto"/>
        <w:bottom w:val="none" w:sz="0" w:space="0" w:color="auto"/>
        <w:right w:val="none" w:sz="0" w:space="0" w:color="auto"/>
      </w:divBdr>
    </w:div>
    <w:div w:id="892426460">
      <w:bodyDiv w:val="1"/>
      <w:marLeft w:val="0"/>
      <w:marRight w:val="0"/>
      <w:marTop w:val="0"/>
      <w:marBottom w:val="0"/>
      <w:divBdr>
        <w:top w:val="none" w:sz="0" w:space="0" w:color="auto"/>
        <w:left w:val="none" w:sz="0" w:space="0" w:color="auto"/>
        <w:bottom w:val="none" w:sz="0" w:space="0" w:color="auto"/>
        <w:right w:val="none" w:sz="0" w:space="0" w:color="auto"/>
      </w:divBdr>
    </w:div>
    <w:div w:id="897860835">
      <w:bodyDiv w:val="1"/>
      <w:marLeft w:val="0"/>
      <w:marRight w:val="0"/>
      <w:marTop w:val="0"/>
      <w:marBottom w:val="0"/>
      <w:divBdr>
        <w:top w:val="none" w:sz="0" w:space="0" w:color="auto"/>
        <w:left w:val="none" w:sz="0" w:space="0" w:color="auto"/>
        <w:bottom w:val="none" w:sz="0" w:space="0" w:color="auto"/>
        <w:right w:val="none" w:sz="0" w:space="0" w:color="auto"/>
      </w:divBdr>
    </w:div>
    <w:div w:id="900602427">
      <w:bodyDiv w:val="1"/>
      <w:marLeft w:val="0"/>
      <w:marRight w:val="0"/>
      <w:marTop w:val="0"/>
      <w:marBottom w:val="0"/>
      <w:divBdr>
        <w:top w:val="none" w:sz="0" w:space="0" w:color="auto"/>
        <w:left w:val="none" w:sz="0" w:space="0" w:color="auto"/>
        <w:bottom w:val="none" w:sz="0" w:space="0" w:color="auto"/>
        <w:right w:val="none" w:sz="0" w:space="0" w:color="auto"/>
      </w:divBdr>
    </w:div>
    <w:div w:id="901451632">
      <w:bodyDiv w:val="1"/>
      <w:marLeft w:val="0"/>
      <w:marRight w:val="0"/>
      <w:marTop w:val="0"/>
      <w:marBottom w:val="0"/>
      <w:divBdr>
        <w:top w:val="none" w:sz="0" w:space="0" w:color="auto"/>
        <w:left w:val="none" w:sz="0" w:space="0" w:color="auto"/>
        <w:bottom w:val="none" w:sz="0" w:space="0" w:color="auto"/>
        <w:right w:val="none" w:sz="0" w:space="0" w:color="auto"/>
      </w:divBdr>
    </w:div>
    <w:div w:id="915751723">
      <w:bodyDiv w:val="1"/>
      <w:marLeft w:val="0"/>
      <w:marRight w:val="0"/>
      <w:marTop w:val="0"/>
      <w:marBottom w:val="0"/>
      <w:divBdr>
        <w:top w:val="none" w:sz="0" w:space="0" w:color="auto"/>
        <w:left w:val="none" w:sz="0" w:space="0" w:color="auto"/>
        <w:bottom w:val="none" w:sz="0" w:space="0" w:color="auto"/>
        <w:right w:val="none" w:sz="0" w:space="0" w:color="auto"/>
      </w:divBdr>
    </w:div>
    <w:div w:id="917597876">
      <w:bodyDiv w:val="1"/>
      <w:marLeft w:val="0"/>
      <w:marRight w:val="0"/>
      <w:marTop w:val="0"/>
      <w:marBottom w:val="0"/>
      <w:divBdr>
        <w:top w:val="none" w:sz="0" w:space="0" w:color="auto"/>
        <w:left w:val="none" w:sz="0" w:space="0" w:color="auto"/>
        <w:bottom w:val="none" w:sz="0" w:space="0" w:color="auto"/>
        <w:right w:val="none" w:sz="0" w:space="0" w:color="auto"/>
      </w:divBdr>
    </w:div>
    <w:div w:id="922684999">
      <w:bodyDiv w:val="1"/>
      <w:marLeft w:val="0"/>
      <w:marRight w:val="0"/>
      <w:marTop w:val="0"/>
      <w:marBottom w:val="0"/>
      <w:divBdr>
        <w:top w:val="none" w:sz="0" w:space="0" w:color="auto"/>
        <w:left w:val="none" w:sz="0" w:space="0" w:color="auto"/>
        <w:bottom w:val="none" w:sz="0" w:space="0" w:color="auto"/>
        <w:right w:val="none" w:sz="0" w:space="0" w:color="auto"/>
      </w:divBdr>
    </w:div>
    <w:div w:id="923801113">
      <w:bodyDiv w:val="1"/>
      <w:marLeft w:val="0"/>
      <w:marRight w:val="0"/>
      <w:marTop w:val="0"/>
      <w:marBottom w:val="0"/>
      <w:divBdr>
        <w:top w:val="none" w:sz="0" w:space="0" w:color="auto"/>
        <w:left w:val="none" w:sz="0" w:space="0" w:color="auto"/>
        <w:bottom w:val="none" w:sz="0" w:space="0" w:color="auto"/>
        <w:right w:val="none" w:sz="0" w:space="0" w:color="auto"/>
      </w:divBdr>
    </w:div>
    <w:div w:id="924143263">
      <w:bodyDiv w:val="1"/>
      <w:marLeft w:val="0"/>
      <w:marRight w:val="0"/>
      <w:marTop w:val="0"/>
      <w:marBottom w:val="0"/>
      <w:divBdr>
        <w:top w:val="none" w:sz="0" w:space="0" w:color="auto"/>
        <w:left w:val="none" w:sz="0" w:space="0" w:color="auto"/>
        <w:bottom w:val="none" w:sz="0" w:space="0" w:color="auto"/>
        <w:right w:val="none" w:sz="0" w:space="0" w:color="auto"/>
      </w:divBdr>
    </w:div>
    <w:div w:id="927230287">
      <w:bodyDiv w:val="1"/>
      <w:marLeft w:val="0"/>
      <w:marRight w:val="0"/>
      <w:marTop w:val="0"/>
      <w:marBottom w:val="0"/>
      <w:divBdr>
        <w:top w:val="none" w:sz="0" w:space="0" w:color="auto"/>
        <w:left w:val="none" w:sz="0" w:space="0" w:color="auto"/>
        <w:bottom w:val="none" w:sz="0" w:space="0" w:color="auto"/>
        <w:right w:val="none" w:sz="0" w:space="0" w:color="auto"/>
      </w:divBdr>
    </w:div>
    <w:div w:id="929198152">
      <w:bodyDiv w:val="1"/>
      <w:marLeft w:val="0"/>
      <w:marRight w:val="0"/>
      <w:marTop w:val="0"/>
      <w:marBottom w:val="0"/>
      <w:divBdr>
        <w:top w:val="none" w:sz="0" w:space="0" w:color="auto"/>
        <w:left w:val="none" w:sz="0" w:space="0" w:color="auto"/>
        <w:bottom w:val="none" w:sz="0" w:space="0" w:color="auto"/>
        <w:right w:val="none" w:sz="0" w:space="0" w:color="auto"/>
      </w:divBdr>
    </w:div>
    <w:div w:id="935020491">
      <w:bodyDiv w:val="1"/>
      <w:marLeft w:val="0"/>
      <w:marRight w:val="0"/>
      <w:marTop w:val="0"/>
      <w:marBottom w:val="0"/>
      <w:divBdr>
        <w:top w:val="none" w:sz="0" w:space="0" w:color="auto"/>
        <w:left w:val="none" w:sz="0" w:space="0" w:color="auto"/>
        <w:bottom w:val="none" w:sz="0" w:space="0" w:color="auto"/>
        <w:right w:val="none" w:sz="0" w:space="0" w:color="auto"/>
      </w:divBdr>
    </w:div>
    <w:div w:id="939065702">
      <w:bodyDiv w:val="1"/>
      <w:marLeft w:val="0"/>
      <w:marRight w:val="0"/>
      <w:marTop w:val="0"/>
      <w:marBottom w:val="0"/>
      <w:divBdr>
        <w:top w:val="none" w:sz="0" w:space="0" w:color="auto"/>
        <w:left w:val="none" w:sz="0" w:space="0" w:color="auto"/>
        <w:bottom w:val="none" w:sz="0" w:space="0" w:color="auto"/>
        <w:right w:val="none" w:sz="0" w:space="0" w:color="auto"/>
      </w:divBdr>
    </w:div>
    <w:div w:id="940722178">
      <w:bodyDiv w:val="1"/>
      <w:marLeft w:val="0"/>
      <w:marRight w:val="0"/>
      <w:marTop w:val="0"/>
      <w:marBottom w:val="0"/>
      <w:divBdr>
        <w:top w:val="none" w:sz="0" w:space="0" w:color="auto"/>
        <w:left w:val="none" w:sz="0" w:space="0" w:color="auto"/>
        <w:bottom w:val="none" w:sz="0" w:space="0" w:color="auto"/>
        <w:right w:val="none" w:sz="0" w:space="0" w:color="auto"/>
      </w:divBdr>
    </w:div>
    <w:div w:id="947009527">
      <w:bodyDiv w:val="1"/>
      <w:marLeft w:val="0"/>
      <w:marRight w:val="0"/>
      <w:marTop w:val="0"/>
      <w:marBottom w:val="0"/>
      <w:divBdr>
        <w:top w:val="none" w:sz="0" w:space="0" w:color="auto"/>
        <w:left w:val="none" w:sz="0" w:space="0" w:color="auto"/>
        <w:bottom w:val="none" w:sz="0" w:space="0" w:color="auto"/>
        <w:right w:val="none" w:sz="0" w:space="0" w:color="auto"/>
      </w:divBdr>
    </w:div>
    <w:div w:id="947546579">
      <w:bodyDiv w:val="1"/>
      <w:marLeft w:val="0"/>
      <w:marRight w:val="0"/>
      <w:marTop w:val="0"/>
      <w:marBottom w:val="0"/>
      <w:divBdr>
        <w:top w:val="none" w:sz="0" w:space="0" w:color="auto"/>
        <w:left w:val="none" w:sz="0" w:space="0" w:color="auto"/>
        <w:bottom w:val="none" w:sz="0" w:space="0" w:color="auto"/>
        <w:right w:val="none" w:sz="0" w:space="0" w:color="auto"/>
      </w:divBdr>
    </w:div>
    <w:div w:id="952786440">
      <w:bodyDiv w:val="1"/>
      <w:marLeft w:val="0"/>
      <w:marRight w:val="0"/>
      <w:marTop w:val="0"/>
      <w:marBottom w:val="0"/>
      <w:divBdr>
        <w:top w:val="none" w:sz="0" w:space="0" w:color="auto"/>
        <w:left w:val="none" w:sz="0" w:space="0" w:color="auto"/>
        <w:bottom w:val="none" w:sz="0" w:space="0" w:color="auto"/>
        <w:right w:val="none" w:sz="0" w:space="0" w:color="auto"/>
      </w:divBdr>
    </w:div>
    <w:div w:id="959339070">
      <w:bodyDiv w:val="1"/>
      <w:marLeft w:val="0"/>
      <w:marRight w:val="0"/>
      <w:marTop w:val="0"/>
      <w:marBottom w:val="0"/>
      <w:divBdr>
        <w:top w:val="none" w:sz="0" w:space="0" w:color="auto"/>
        <w:left w:val="none" w:sz="0" w:space="0" w:color="auto"/>
        <w:bottom w:val="none" w:sz="0" w:space="0" w:color="auto"/>
        <w:right w:val="none" w:sz="0" w:space="0" w:color="auto"/>
      </w:divBdr>
    </w:div>
    <w:div w:id="960845896">
      <w:bodyDiv w:val="1"/>
      <w:marLeft w:val="0"/>
      <w:marRight w:val="0"/>
      <w:marTop w:val="0"/>
      <w:marBottom w:val="0"/>
      <w:divBdr>
        <w:top w:val="none" w:sz="0" w:space="0" w:color="auto"/>
        <w:left w:val="none" w:sz="0" w:space="0" w:color="auto"/>
        <w:bottom w:val="none" w:sz="0" w:space="0" w:color="auto"/>
        <w:right w:val="none" w:sz="0" w:space="0" w:color="auto"/>
      </w:divBdr>
    </w:div>
    <w:div w:id="963653861">
      <w:bodyDiv w:val="1"/>
      <w:marLeft w:val="0"/>
      <w:marRight w:val="0"/>
      <w:marTop w:val="0"/>
      <w:marBottom w:val="0"/>
      <w:divBdr>
        <w:top w:val="none" w:sz="0" w:space="0" w:color="auto"/>
        <w:left w:val="none" w:sz="0" w:space="0" w:color="auto"/>
        <w:bottom w:val="none" w:sz="0" w:space="0" w:color="auto"/>
        <w:right w:val="none" w:sz="0" w:space="0" w:color="auto"/>
      </w:divBdr>
    </w:div>
    <w:div w:id="964042801">
      <w:bodyDiv w:val="1"/>
      <w:marLeft w:val="0"/>
      <w:marRight w:val="0"/>
      <w:marTop w:val="0"/>
      <w:marBottom w:val="0"/>
      <w:divBdr>
        <w:top w:val="none" w:sz="0" w:space="0" w:color="auto"/>
        <w:left w:val="none" w:sz="0" w:space="0" w:color="auto"/>
        <w:bottom w:val="none" w:sz="0" w:space="0" w:color="auto"/>
        <w:right w:val="none" w:sz="0" w:space="0" w:color="auto"/>
      </w:divBdr>
    </w:div>
    <w:div w:id="965040378">
      <w:bodyDiv w:val="1"/>
      <w:marLeft w:val="0"/>
      <w:marRight w:val="0"/>
      <w:marTop w:val="0"/>
      <w:marBottom w:val="0"/>
      <w:divBdr>
        <w:top w:val="none" w:sz="0" w:space="0" w:color="auto"/>
        <w:left w:val="none" w:sz="0" w:space="0" w:color="auto"/>
        <w:bottom w:val="none" w:sz="0" w:space="0" w:color="auto"/>
        <w:right w:val="none" w:sz="0" w:space="0" w:color="auto"/>
      </w:divBdr>
    </w:div>
    <w:div w:id="966353239">
      <w:bodyDiv w:val="1"/>
      <w:marLeft w:val="0"/>
      <w:marRight w:val="0"/>
      <w:marTop w:val="0"/>
      <w:marBottom w:val="0"/>
      <w:divBdr>
        <w:top w:val="none" w:sz="0" w:space="0" w:color="auto"/>
        <w:left w:val="none" w:sz="0" w:space="0" w:color="auto"/>
        <w:bottom w:val="none" w:sz="0" w:space="0" w:color="auto"/>
        <w:right w:val="none" w:sz="0" w:space="0" w:color="auto"/>
      </w:divBdr>
    </w:div>
    <w:div w:id="969172311">
      <w:bodyDiv w:val="1"/>
      <w:marLeft w:val="0"/>
      <w:marRight w:val="0"/>
      <w:marTop w:val="0"/>
      <w:marBottom w:val="0"/>
      <w:divBdr>
        <w:top w:val="none" w:sz="0" w:space="0" w:color="auto"/>
        <w:left w:val="none" w:sz="0" w:space="0" w:color="auto"/>
        <w:bottom w:val="none" w:sz="0" w:space="0" w:color="auto"/>
        <w:right w:val="none" w:sz="0" w:space="0" w:color="auto"/>
      </w:divBdr>
    </w:div>
    <w:div w:id="972520468">
      <w:bodyDiv w:val="1"/>
      <w:marLeft w:val="0"/>
      <w:marRight w:val="0"/>
      <w:marTop w:val="0"/>
      <w:marBottom w:val="0"/>
      <w:divBdr>
        <w:top w:val="none" w:sz="0" w:space="0" w:color="auto"/>
        <w:left w:val="none" w:sz="0" w:space="0" w:color="auto"/>
        <w:bottom w:val="none" w:sz="0" w:space="0" w:color="auto"/>
        <w:right w:val="none" w:sz="0" w:space="0" w:color="auto"/>
      </w:divBdr>
    </w:div>
    <w:div w:id="982268782">
      <w:bodyDiv w:val="1"/>
      <w:marLeft w:val="0"/>
      <w:marRight w:val="0"/>
      <w:marTop w:val="0"/>
      <w:marBottom w:val="0"/>
      <w:divBdr>
        <w:top w:val="none" w:sz="0" w:space="0" w:color="auto"/>
        <w:left w:val="none" w:sz="0" w:space="0" w:color="auto"/>
        <w:bottom w:val="none" w:sz="0" w:space="0" w:color="auto"/>
        <w:right w:val="none" w:sz="0" w:space="0" w:color="auto"/>
      </w:divBdr>
    </w:div>
    <w:div w:id="987633970">
      <w:bodyDiv w:val="1"/>
      <w:marLeft w:val="0"/>
      <w:marRight w:val="0"/>
      <w:marTop w:val="0"/>
      <w:marBottom w:val="0"/>
      <w:divBdr>
        <w:top w:val="none" w:sz="0" w:space="0" w:color="auto"/>
        <w:left w:val="none" w:sz="0" w:space="0" w:color="auto"/>
        <w:bottom w:val="none" w:sz="0" w:space="0" w:color="auto"/>
        <w:right w:val="none" w:sz="0" w:space="0" w:color="auto"/>
      </w:divBdr>
    </w:div>
    <w:div w:id="990400709">
      <w:bodyDiv w:val="1"/>
      <w:marLeft w:val="0"/>
      <w:marRight w:val="0"/>
      <w:marTop w:val="0"/>
      <w:marBottom w:val="0"/>
      <w:divBdr>
        <w:top w:val="none" w:sz="0" w:space="0" w:color="auto"/>
        <w:left w:val="none" w:sz="0" w:space="0" w:color="auto"/>
        <w:bottom w:val="none" w:sz="0" w:space="0" w:color="auto"/>
        <w:right w:val="none" w:sz="0" w:space="0" w:color="auto"/>
      </w:divBdr>
    </w:div>
    <w:div w:id="991103373">
      <w:bodyDiv w:val="1"/>
      <w:marLeft w:val="0"/>
      <w:marRight w:val="0"/>
      <w:marTop w:val="0"/>
      <w:marBottom w:val="0"/>
      <w:divBdr>
        <w:top w:val="none" w:sz="0" w:space="0" w:color="auto"/>
        <w:left w:val="none" w:sz="0" w:space="0" w:color="auto"/>
        <w:bottom w:val="none" w:sz="0" w:space="0" w:color="auto"/>
        <w:right w:val="none" w:sz="0" w:space="0" w:color="auto"/>
      </w:divBdr>
    </w:div>
    <w:div w:id="992568649">
      <w:bodyDiv w:val="1"/>
      <w:marLeft w:val="0"/>
      <w:marRight w:val="0"/>
      <w:marTop w:val="0"/>
      <w:marBottom w:val="0"/>
      <w:divBdr>
        <w:top w:val="none" w:sz="0" w:space="0" w:color="auto"/>
        <w:left w:val="none" w:sz="0" w:space="0" w:color="auto"/>
        <w:bottom w:val="none" w:sz="0" w:space="0" w:color="auto"/>
        <w:right w:val="none" w:sz="0" w:space="0" w:color="auto"/>
      </w:divBdr>
    </w:div>
    <w:div w:id="998729972">
      <w:bodyDiv w:val="1"/>
      <w:marLeft w:val="0"/>
      <w:marRight w:val="0"/>
      <w:marTop w:val="0"/>
      <w:marBottom w:val="0"/>
      <w:divBdr>
        <w:top w:val="none" w:sz="0" w:space="0" w:color="auto"/>
        <w:left w:val="none" w:sz="0" w:space="0" w:color="auto"/>
        <w:bottom w:val="none" w:sz="0" w:space="0" w:color="auto"/>
        <w:right w:val="none" w:sz="0" w:space="0" w:color="auto"/>
      </w:divBdr>
    </w:div>
    <w:div w:id="1000348361">
      <w:bodyDiv w:val="1"/>
      <w:marLeft w:val="0"/>
      <w:marRight w:val="0"/>
      <w:marTop w:val="0"/>
      <w:marBottom w:val="0"/>
      <w:divBdr>
        <w:top w:val="none" w:sz="0" w:space="0" w:color="auto"/>
        <w:left w:val="none" w:sz="0" w:space="0" w:color="auto"/>
        <w:bottom w:val="none" w:sz="0" w:space="0" w:color="auto"/>
        <w:right w:val="none" w:sz="0" w:space="0" w:color="auto"/>
      </w:divBdr>
    </w:div>
    <w:div w:id="1002974665">
      <w:bodyDiv w:val="1"/>
      <w:marLeft w:val="0"/>
      <w:marRight w:val="0"/>
      <w:marTop w:val="0"/>
      <w:marBottom w:val="0"/>
      <w:divBdr>
        <w:top w:val="none" w:sz="0" w:space="0" w:color="auto"/>
        <w:left w:val="none" w:sz="0" w:space="0" w:color="auto"/>
        <w:bottom w:val="none" w:sz="0" w:space="0" w:color="auto"/>
        <w:right w:val="none" w:sz="0" w:space="0" w:color="auto"/>
      </w:divBdr>
    </w:div>
    <w:div w:id="1005019148">
      <w:bodyDiv w:val="1"/>
      <w:marLeft w:val="0"/>
      <w:marRight w:val="0"/>
      <w:marTop w:val="0"/>
      <w:marBottom w:val="0"/>
      <w:divBdr>
        <w:top w:val="none" w:sz="0" w:space="0" w:color="auto"/>
        <w:left w:val="none" w:sz="0" w:space="0" w:color="auto"/>
        <w:bottom w:val="none" w:sz="0" w:space="0" w:color="auto"/>
        <w:right w:val="none" w:sz="0" w:space="0" w:color="auto"/>
      </w:divBdr>
    </w:div>
    <w:div w:id="1006132307">
      <w:bodyDiv w:val="1"/>
      <w:marLeft w:val="0"/>
      <w:marRight w:val="0"/>
      <w:marTop w:val="0"/>
      <w:marBottom w:val="0"/>
      <w:divBdr>
        <w:top w:val="none" w:sz="0" w:space="0" w:color="auto"/>
        <w:left w:val="none" w:sz="0" w:space="0" w:color="auto"/>
        <w:bottom w:val="none" w:sz="0" w:space="0" w:color="auto"/>
        <w:right w:val="none" w:sz="0" w:space="0" w:color="auto"/>
      </w:divBdr>
    </w:div>
    <w:div w:id="1010984604">
      <w:bodyDiv w:val="1"/>
      <w:marLeft w:val="0"/>
      <w:marRight w:val="0"/>
      <w:marTop w:val="0"/>
      <w:marBottom w:val="0"/>
      <w:divBdr>
        <w:top w:val="none" w:sz="0" w:space="0" w:color="auto"/>
        <w:left w:val="none" w:sz="0" w:space="0" w:color="auto"/>
        <w:bottom w:val="none" w:sz="0" w:space="0" w:color="auto"/>
        <w:right w:val="none" w:sz="0" w:space="0" w:color="auto"/>
      </w:divBdr>
    </w:div>
    <w:div w:id="1011295777">
      <w:bodyDiv w:val="1"/>
      <w:marLeft w:val="0"/>
      <w:marRight w:val="0"/>
      <w:marTop w:val="0"/>
      <w:marBottom w:val="0"/>
      <w:divBdr>
        <w:top w:val="none" w:sz="0" w:space="0" w:color="auto"/>
        <w:left w:val="none" w:sz="0" w:space="0" w:color="auto"/>
        <w:bottom w:val="none" w:sz="0" w:space="0" w:color="auto"/>
        <w:right w:val="none" w:sz="0" w:space="0" w:color="auto"/>
      </w:divBdr>
    </w:div>
    <w:div w:id="1020816489">
      <w:bodyDiv w:val="1"/>
      <w:marLeft w:val="0"/>
      <w:marRight w:val="0"/>
      <w:marTop w:val="0"/>
      <w:marBottom w:val="0"/>
      <w:divBdr>
        <w:top w:val="none" w:sz="0" w:space="0" w:color="auto"/>
        <w:left w:val="none" w:sz="0" w:space="0" w:color="auto"/>
        <w:bottom w:val="none" w:sz="0" w:space="0" w:color="auto"/>
        <w:right w:val="none" w:sz="0" w:space="0" w:color="auto"/>
      </w:divBdr>
    </w:div>
    <w:div w:id="1020937118">
      <w:bodyDiv w:val="1"/>
      <w:marLeft w:val="0"/>
      <w:marRight w:val="0"/>
      <w:marTop w:val="0"/>
      <w:marBottom w:val="0"/>
      <w:divBdr>
        <w:top w:val="none" w:sz="0" w:space="0" w:color="auto"/>
        <w:left w:val="none" w:sz="0" w:space="0" w:color="auto"/>
        <w:bottom w:val="none" w:sz="0" w:space="0" w:color="auto"/>
        <w:right w:val="none" w:sz="0" w:space="0" w:color="auto"/>
      </w:divBdr>
    </w:div>
    <w:div w:id="1021469116">
      <w:bodyDiv w:val="1"/>
      <w:marLeft w:val="0"/>
      <w:marRight w:val="0"/>
      <w:marTop w:val="0"/>
      <w:marBottom w:val="0"/>
      <w:divBdr>
        <w:top w:val="none" w:sz="0" w:space="0" w:color="auto"/>
        <w:left w:val="none" w:sz="0" w:space="0" w:color="auto"/>
        <w:bottom w:val="none" w:sz="0" w:space="0" w:color="auto"/>
        <w:right w:val="none" w:sz="0" w:space="0" w:color="auto"/>
      </w:divBdr>
    </w:div>
    <w:div w:id="1024592893">
      <w:bodyDiv w:val="1"/>
      <w:marLeft w:val="0"/>
      <w:marRight w:val="0"/>
      <w:marTop w:val="0"/>
      <w:marBottom w:val="0"/>
      <w:divBdr>
        <w:top w:val="none" w:sz="0" w:space="0" w:color="auto"/>
        <w:left w:val="none" w:sz="0" w:space="0" w:color="auto"/>
        <w:bottom w:val="none" w:sz="0" w:space="0" w:color="auto"/>
        <w:right w:val="none" w:sz="0" w:space="0" w:color="auto"/>
      </w:divBdr>
    </w:div>
    <w:div w:id="1027364634">
      <w:bodyDiv w:val="1"/>
      <w:marLeft w:val="0"/>
      <w:marRight w:val="0"/>
      <w:marTop w:val="0"/>
      <w:marBottom w:val="0"/>
      <w:divBdr>
        <w:top w:val="none" w:sz="0" w:space="0" w:color="auto"/>
        <w:left w:val="none" w:sz="0" w:space="0" w:color="auto"/>
        <w:bottom w:val="none" w:sz="0" w:space="0" w:color="auto"/>
        <w:right w:val="none" w:sz="0" w:space="0" w:color="auto"/>
      </w:divBdr>
    </w:div>
    <w:div w:id="1030111684">
      <w:bodyDiv w:val="1"/>
      <w:marLeft w:val="0"/>
      <w:marRight w:val="0"/>
      <w:marTop w:val="0"/>
      <w:marBottom w:val="0"/>
      <w:divBdr>
        <w:top w:val="none" w:sz="0" w:space="0" w:color="auto"/>
        <w:left w:val="none" w:sz="0" w:space="0" w:color="auto"/>
        <w:bottom w:val="none" w:sz="0" w:space="0" w:color="auto"/>
        <w:right w:val="none" w:sz="0" w:space="0" w:color="auto"/>
      </w:divBdr>
    </w:div>
    <w:div w:id="1033387400">
      <w:bodyDiv w:val="1"/>
      <w:marLeft w:val="0"/>
      <w:marRight w:val="0"/>
      <w:marTop w:val="0"/>
      <w:marBottom w:val="0"/>
      <w:divBdr>
        <w:top w:val="none" w:sz="0" w:space="0" w:color="auto"/>
        <w:left w:val="none" w:sz="0" w:space="0" w:color="auto"/>
        <w:bottom w:val="none" w:sz="0" w:space="0" w:color="auto"/>
        <w:right w:val="none" w:sz="0" w:space="0" w:color="auto"/>
      </w:divBdr>
    </w:div>
    <w:div w:id="1033963202">
      <w:bodyDiv w:val="1"/>
      <w:marLeft w:val="0"/>
      <w:marRight w:val="0"/>
      <w:marTop w:val="0"/>
      <w:marBottom w:val="0"/>
      <w:divBdr>
        <w:top w:val="none" w:sz="0" w:space="0" w:color="auto"/>
        <w:left w:val="none" w:sz="0" w:space="0" w:color="auto"/>
        <w:bottom w:val="none" w:sz="0" w:space="0" w:color="auto"/>
        <w:right w:val="none" w:sz="0" w:space="0" w:color="auto"/>
      </w:divBdr>
    </w:div>
    <w:div w:id="1043141349">
      <w:bodyDiv w:val="1"/>
      <w:marLeft w:val="0"/>
      <w:marRight w:val="0"/>
      <w:marTop w:val="0"/>
      <w:marBottom w:val="0"/>
      <w:divBdr>
        <w:top w:val="none" w:sz="0" w:space="0" w:color="auto"/>
        <w:left w:val="none" w:sz="0" w:space="0" w:color="auto"/>
        <w:bottom w:val="none" w:sz="0" w:space="0" w:color="auto"/>
        <w:right w:val="none" w:sz="0" w:space="0" w:color="auto"/>
      </w:divBdr>
    </w:div>
    <w:div w:id="1044645010">
      <w:bodyDiv w:val="1"/>
      <w:marLeft w:val="0"/>
      <w:marRight w:val="0"/>
      <w:marTop w:val="0"/>
      <w:marBottom w:val="0"/>
      <w:divBdr>
        <w:top w:val="none" w:sz="0" w:space="0" w:color="auto"/>
        <w:left w:val="none" w:sz="0" w:space="0" w:color="auto"/>
        <w:bottom w:val="none" w:sz="0" w:space="0" w:color="auto"/>
        <w:right w:val="none" w:sz="0" w:space="0" w:color="auto"/>
      </w:divBdr>
    </w:div>
    <w:div w:id="1045370550">
      <w:bodyDiv w:val="1"/>
      <w:marLeft w:val="0"/>
      <w:marRight w:val="0"/>
      <w:marTop w:val="0"/>
      <w:marBottom w:val="0"/>
      <w:divBdr>
        <w:top w:val="none" w:sz="0" w:space="0" w:color="auto"/>
        <w:left w:val="none" w:sz="0" w:space="0" w:color="auto"/>
        <w:bottom w:val="none" w:sz="0" w:space="0" w:color="auto"/>
        <w:right w:val="none" w:sz="0" w:space="0" w:color="auto"/>
      </w:divBdr>
    </w:div>
    <w:div w:id="1057555137">
      <w:bodyDiv w:val="1"/>
      <w:marLeft w:val="0"/>
      <w:marRight w:val="0"/>
      <w:marTop w:val="0"/>
      <w:marBottom w:val="0"/>
      <w:divBdr>
        <w:top w:val="none" w:sz="0" w:space="0" w:color="auto"/>
        <w:left w:val="none" w:sz="0" w:space="0" w:color="auto"/>
        <w:bottom w:val="none" w:sz="0" w:space="0" w:color="auto"/>
        <w:right w:val="none" w:sz="0" w:space="0" w:color="auto"/>
      </w:divBdr>
    </w:div>
    <w:div w:id="1059547788">
      <w:bodyDiv w:val="1"/>
      <w:marLeft w:val="0"/>
      <w:marRight w:val="0"/>
      <w:marTop w:val="0"/>
      <w:marBottom w:val="0"/>
      <w:divBdr>
        <w:top w:val="none" w:sz="0" w:space="0" w:color="auto"/>
        <w:left w:val="none" w:sz="0" w:space="0" w:color="auto"/>
        <w:bottom w:val="none" w:sz="0" w:space="0" w:color="auto"/>
        <w:right w:val="none" w:sz="0" w:space="0" w:color="auto"/>
      </w:divBdr>
    </w:div>
    <w:div w:id="1061245359">
      <w:bodyDiv w:val="1"/>
      <w:marLeft w:val="0"/>
      <w:marRight w:val="0"/>
      <w:marTop w:val="0"/>
      <w:marBottom w:val="0"/>
      <w:divBdr>
        <w:top w:val="none" w:sz="0" w:space="0" w:color="auto"/>
        <w:left w:val="none" w:sz="0" w:space="0" w:color="auto"/>
        <w:bottom w:val="none" w:sz="0" w:space="0" w:color="auto"/>
        <w:right w:val="none" w:sz="0" w:space="0" w:color="auto"/>
      </w:divBdr>
    </w:div>
    <w:div w:id="1064067973">
      <w:bodyDiv w:val="1"/>
      <w:marLeft w:val="0"/>
      <w:marRight w:val="0"/>
      <w:marTop w:val="0"/>
      <w:marBottom w:val="0"/>
      <w:divBdr>
        <w:top w:val="none" w:sz="0" w:space="0" w:color="auto"/>
        <w:left w:val="none" w:sz="0" w:space="0" w:color="auto"/>
        <w:bottom w:val="none" w:sz="0" w:space="0" w:color="auto"/>
        <w:right w:val="none" w:sz="0" w:space="0" w:color="auto"/>
      </w:divBdr>
    </w:div>
    <w:div w:id="1066949551">
      <w:bodyDiv w:val="1"/>
      <w:marLeft w:val="0"/>
      <w:marRight w:val="0"/>
      <w:marTop w:val="0"/>
      <w:marBottom w:val="0"/>
      <w:divBdr>
        <w:top w:val="none" w:sz="0" w:space="0" w:color="auto"/>
        <w:left w:val="none" w:sz="0" w:space="0" w:color="auto"/>
        <w:bottom w:val="none" w:sz="0" w:space="0" w:color="auto"/>
        <w:right w:val="none" w:sz="0" w:space="0" w:color="auto"/>
      </w:divBdr>
    </w:div>
    <w:div w:id="1067145839">
      <w:bodyDiv w:val="1"/>
      <w:marLeft w:val="0"/>
      <w:marRight w:val="0"/>
      <w:marTop w:val="0"/>
      <w:marBottom w:val="0"/>
      <w:divBdr>
        <w:top w:val="none" w:sz="0" w:space="0" w:color="auto"/>
        <w:left w:val="none" w:sz="0" w:space="0" w:color="auto"/>
        <w:bottom w:val="none" w:sz="0" w:space="0" w:color="auto"/>
        <w:right w:val="none" w:sz="0" w:space="0" w:color="auto"/>
      </w:divBdr>
    </w:div>
    <w:div w:id="1068304344">
      <w:bodyDiv w:val="1"/>
      <w:marLeft w:val="0"/>
      <w:marRight w:val="0"/>
      <w:marTop w:val="0"/>
      <w:marBottom w:val="0"/>
      <w:divBdr>
        <w:top w:val="none" w:sz="0" w:space="0" w:color="auto"/>
        <w:left w:val="none" w:sz="0" w:space="0" w:color="auto"/>
        <w:bottom w:val="none" w:sz="0" w:space="0" w:color="auto"/>
        <w:right w:val="none" w:sz="0" w:space="0" w:color="auto"/>
      </w:divBdr>
    </w:div>
    <w:div w:id="1071150916">
      <w:bodyDiv w:val="1"/>
      <w:marLeft w:val="0"/>
      <w:marRight w:val="0"/>
      <w:marTop w:val="0"/>
      <w:marBottom w:val="0"/>
      <w:divBdr>
        <w:top w:val="none" w:sz="0" w:space="0" w:color="auto"/>
        <w:left w:val="none" w:sz="0" w:space="0" w:color="auto"/>
        <w:bottom w:val="none" w:sz="0" w:space="0" w:color="auto"/>
        <w:right w:val="none" w:sz="0" w:space="0" w:color="auto"/>
      </w:divBdr>
    </w:div>
    <w:div w:id="1077438330">
      <w:bodyDiv w:val="1"/>
      <w:marLeft w:val="0"/>
      <w:marRight w:val="0"/>
      <w:marTop w:val="0"/>
      <w:marBottom w:val="0"/>
      <w:divBdr>
        <w:top w:val="none" w:sz="0" w:space="0" w:color="auto"/>
        <w:left w:val="none" w:sz="0" w:space="0" w:color="auto"/>
        <w:bottom w:val="none" w:sz="0" w:space="0" w:color="auto"/>
        <w:right w:val="none" w:sz="0" w:space="0" w:color="auto"/>
      </w:divBdr>
    </w:div>
    <w:div w:id="1078863096">
      <w:bodyDiv w:val="1"/>
      <w:marLeft w:val="0"/>
      <w:marRight w:val="0"/>
      <w:marTop w:val="0"/>
      <w:marBottom w:val="0"/>
      <w:divBdr>
        <w:top w:val="none" w:sz="0" w:space="0" w:color="auto"/>
        <w:left w:val="none" w:sz="0" w:space="0" w:color="auto"/>
        <w:bottom w:val="none" w:sz="0" w:space="0" w:color="auto"/>
        <w:right w:val="none" w:sz="0" w:space="0" w:color="auto"/>
      </w:divBdr>
    </w:div>
    <w:div w:id="1082528101">
      <w:bodyDiv w:val="1"/>
      <w:marLeft w:val="0"/>
      <w:marRight w:val="0"/>
      <w:marTop w:val="0"/>
      <w:marBottom w:val="0"/>
      <w:divBdr>
        <w:top w:val="none" w:sz="0" w:space="0" w:color="auto"/>
        <w:left w:val="none" w:sz="0" w:space="0" w:color="auto"/>
        <w:bottom w:val="none" w:sz="0" w:space="0" w:color="auto"/>
        <w:right w:val="none" w:sz="0" w:space="0" w:color="auto"/>
      </w:divBdr>
    </w:div>
    <w:div w:id="1084255519">
      <w:bodyDiv w:val="1"/>
      <w:marLeft w:val="0"/>
      <w:marRight w:val="0"/>
      <w:marTop w:val="0"/>
      <w:marBottom w:val="0"/>
      <w:divBdr>
        <w:top w:val="none" w:sz="0" w:space="0" w:color="auto"/>
        <w:left w:val="none" w:sz="0" w:space="0" w:color="auto"/>
        <w:bottom w:val="none" w:sz="0" w:space="0" w:color="auto"/>
        <w:right w:val="none" w:sz="0" w:space="0" w:color="auto"/>
      </w:divBdr>
    </w:div>
    <w:div w:id="1087967751">
      <w:bodyDiv w:val="1"/>
      <w:marLeft w:val="0"/>
      <w:marRight w:val="0"/>
      <w:marTop w:val="0"/>
      <w:marBottom w:val="0"/>
      <w:divBdr>
        <w:top w:val="none" w:sz="0" w:space="0" w:color="auto"/>
        <w:left w:val="none" w:sz="0" w:space="0" w:color="auto"/>
        <w:bottom w:val="none" w:sz="0" w:space="0" w:color="auto"/>
        <w:right w:val="none" w:sz="0" w:space="0" w:color="auto"/>
      </w:divBdr>
    </w:div>
    <w:div w:id="1090350900">
      <w:bodyDiv w:val="1"/>
      <w:marLeft w:val="0"/>
      <w:marRight w:val="0"/>
      <w:marTop w:val="0"/>
      <w:marBottom w:val="0"/>
      <w:divBdr>
        <w:top w:val="none" w:sz="0" w:space="0" w:color="auto"/>
        <w:left w:val="none" w:sz="0" w:space="0" w:color="auto"/>
        <w:bottom w:val="none" w:sz="0" w:space="0" w:color="auto"/>
        <w:right w:val="none" w:sz="0" w:space="0" w:color="auto"/>
      </w:divBdr>
    </w:div>
    <w:div w:id="1090931066">
      <w:bodyDiv w:val="1"/>
      <w:marLeft w:val="0"/>
      <w:marRight w:val="0"/>
      <w:marTop w:val="0"/>
      <w:marBottom w:val="0"/>
      <w:divBdr>
        <w:top w:val="none" w:sz="0" w:space="0" w:color="auto"/>
        <w:left w:val="none" w:sz="0" w:space="0" w:color="auto"/>
        <w:bottom w:val="none" w:sz="0" w:space="0" w:color="auto"/>
        <w:right w:val="none" w:sz="0" w:space="0" w:color="auto"/>
      </w:divBdr>
    </w:div>
    <w:div w:id="1093865327">
      <w:bodyDiv w:val="1"/>
      <w:marLeft w:val="0"/>
      <w:marRight w:val="0"/>
      <w:marTop w:val="0"/>
      <w:marBottom w:val="0"/>
      <w:divBdr>
        <w:top w:val="none" w:sz="0" w:space="0" w:color="auto"/>
        <w:left w:val="none" w:sz="0" w:space="0" w:color="auto"/>
        <w:bottom w:val="none" w:sz="0" w:space="0" w:color="auto"/>
        <w:right w:val="none" w:sz="0" w:space="0" w:color="auto"/>
      </w:divBdr>
    </w:div>
    <w:div w:id="1096558449">
      <w:bodyDiv w:val="1"/>
      <w:marLeft w:val="0"/>
      <w:marRight w:val="0"/>
      <w:marTop w:val="0"/>
      <w:marBottom w:val="0"/>
      <w:divBdr>
        <w:top w:val="none" w:sz="0" w:space="0" w:color="auto"/>
        <w:left w:val="none" w:sz="0" w:space="0" w:color="auto"/>
        <w:bottom w:val="none" w:sz="0" w:space="0" w:color="auto"/>
        <w:right w:val="none" w:sz="0" w:space="0" w:color="auto"/>
      </w:divBdr>
    </w:div>
    <w:div w:id="1098063337">
      <w:bodyDiv w:val="1"/>
      <w:marLeft w:val="0"/>
      <w:marRight w:val="0"/>
      <w:marTop w:val="0"/>
      <w:marBottom w:val="0"/>
      <w:divBdr>
        <w:top w:val="none" w:sz="0" w:space="0" w:color="auto"/>
        <w:left w:val="none" w:sz="0" w:space="0" w:color="auto"/>
        <w:bottom w:val="none" w:sz="0" w:space="0" w:color="auto"/>
        <w:right w:val="none" w:sz="0" w:space="0" w:color="auto"/>
      </w:divBdr>
    </w:div>
    <w:div w:id="1099834925">
      <w:bodyDiv w:val="1"/>
      <w:marLeft w:val="0"/>
      <w:marRight w:val="0"/>
      <w:marTop w:val="0"/>
      <w:marBottom w:val="0"/>
      <w:divBdr>
        <w:top w:val="none" w:sz="0" w:space="0" w:color="auto"/>
        <w:left w:val="none" w:sz="0" w:space="0" w:color="auto"/>
        <w:bottom w:val="none" w:sz="0" w:space="0" w:color="auto"/>
        <w:right w:val="none" w:sz="0" w:space="0" w:color="auto"/>
      </w:divBdr>
    </w:div>
    <w:div w:id="1106462985">
      <w:bodyDiv w:val="1"/>
      <w:marLeft w:val="0"/>
      <w:marRight w:val="0"/>
      <w:marTop w:val="0"/>
      <w:marBottom w:val="0"/>
      <w:divBdr>
        <w:top w:val="none" w:sz="0" w:space="0" w:color="auto"/>
        <w:left w:val="none" w:sz="0" w:space="0" w:color="auto"/>
        <w:bottom w:val="none" w:sz="0" w:space="0" w:color="auto"/>
        <w:right w:val="none" w:sz="0" w:space="0" w:color="auto"/>
      </w:divBdr>
    </w:div>
    <w:div w:id="1106847100">
      <w:bodyDiv w:val="1"/>
      <w:marLeft w:val="0"/>
      <w:marRight w:val="0"/>
      <w:marTop w:val="0"/>
      <w:marBottom w:val="0"/>
      <w:divBdr>
        <w:top w:val="none" w:sz="0" w:space="0" w:color="auto"/>
        <w:left w:val="none" w:sz="0" w:space="0" w:color="auto"/>
        <w:bottom w:val="none" w:sz="0" w:space="0" w:color="auto"/>
        <w:right w:val="none" w:sz="0" w:space="0" w:color="auto"/>
      </w:divBdr>
    </w:div>
    <w:div w:id="1107121795">
      <w:bodyDiv w:val="1"/>
      <w:marLeft w:val="0"/>
      <w:marRight w:val="0"/>
      <w:marTop w:val="0"/>
      <w:marBottom w:val="0"/>
      <w:divBdr>
        <w:top w:val="none" w:sz="0" w:space="0" w:color="auto"/>
        <w:left w:val="none" w:sz="0" w:space="0" w:color="auto"/>
        <w:bottom w:val="none" w:sz="0" w:space="0" w:color="auto"/>
        <w:right w:val="none" w:sz="0" w:space="0" w:color="auto"/>
      </w:divBdr>
    </w:div>
    <w:div w:id="1111706394">
      <w:bodyDiv w:val="1"/>
      <w:marLeft w:val="0"/>
      <w:marRight w:val="0"/>
      <w:marTop w:val="0"/>
      <w:marBottom w:val="0"/>
      <w:divBdr>
        <w:top w:val="none" w:sz="0" w:space="0" w:color="auto"/>
        <w:left w:val="none" w:sz="0" w:space="0" w:color="auto"/>
        <w:bottom w:val="none" w:sz="0" w:space="0" w:color="auto"/>
        <w:right w:val="none" w:sz="0" w:space="0" w:color="auto"/>
      </w:divBdr>
    </w:div>
    <w:div w:id="1112432754">
      <w:bodyDiv w:val="1"/>
      <w:marLeft w:val="0"/>
      <w:marRight w:val="0"/>
      <w:marTop w:val="0"/>
      <w:marBottom w:val="0"/>
      <w:divBdr>
        <w:top w:val="none" w:sz="0" w:space="0" w:color="auto"/>
        <w:left w:val="none" w:sz="0" w:space="0" w:color="auto"/>
        <w:bottom w:val="none" w:sz="0" w:space="0" w:color="auto"/>
        <w:right w:val="none" w:sz="0" w:space="0" w:color="auto"/>
      </w:divBdr>
    </w:div>
    <w:div w:id="1115102544">
      <w:bodyDiv w:val="1"/>
      <w:marLeft w:val="0"/>
      <w:marRight w:val="0"/>
      <w:marTop w:val="0"/>
      <w:marBottom w:val="0"/>
      <w:divBdr>
        <w:top w:val="none" w:sz="0" w:space="0" w:color="auto"/>
        <w:left w:val="none" w:sz="0" w:space="0" w:color="auto"/>
        <w:bottom w:val="none" w:sz="0" w:space="0" w:color="auto"/>
        <w:right w:val="none" w:sz="0" w:space="0" w:color="auto"/>
      </w:divBdr>
    </w:div>
    <w:div w:id="1121730612">
      <w:bodyDiv w:val="1"/>
      <w:marLeft w:val="0"/>
      <w:marRight w:val="0"/>
      <w:marTop w:val="0"/>
      <w:marBottom w:val="0"/>
      <w:divBdr>
        <w:top w:val="none" w:sz="0" w:space="0" w:color="auto"/>
        <w:left w:val="none" w:sz="0" w:space="0" w:color="auto"/>
        <w:bottom w:val="none" w:sz="0" w:space="0" w:color="auto"/>
        <w:right w:val="none" w:sz="0" w:space="0" w:color="auto"/>
      </w:divBdr>
    </w:div>
    <w:div w:id="1127158911">
      <w:bodyDiv w:val="1"/>
      <w:marLeft w:val="0"/>
      <w:marRight w:val="0"/>
      <w:marTop w:val="0"/>
      <w:marBottom w:val="0"/>
      <w:divBdr>
        <w:top w:val="none" w:sz="0" w:space="0" w:color="auto"/>
        <w:left w:val="none" w:sz="0" w:space="0" w:color="auto"/>
        <w:bottom w:val="none" w:sz="0" w:space="0" w:color="auto"/>
        <w:right w:val="none" w:sz="0" w:space="0" w:color="auto"/>
      </w:divBdr>
    </w:div>
    <w:div w:id="1129666843">
      <w:bodyDiv w:val="1"/>
      <w:marLeft w:val="0"/>
      <w:marRight w:val="0"/>
      <w:marTop w:val="0"/>
      <w:marBottom w:val="0"/>
      <w:divBdr>
        <w:top w:val="none" w:sz="0" w:space="0" w:color="auto"/>
        <w:left w:val="none" w:sz="0" w:space="0" w:color="auto"/>
        <w:bottom w:val="none" w:sz="0" w:space="0" w:color="auto"/>
        <w:right w:val="none" w:sz="0" w:space="0" w:color="auto"/>
      </w:divBdr>
    </w:div>
    <w:div w:id="1129713484">
      <w:bodyDiv w:val="1"/>
      <w:marLeft w:val="0"/>
      <w:marRight w:val="0"/>
      <w:marTop w:val="0"/>
      <w:marBottom w:val="0"/>
      <w:divBdr>
        <w:top w:val="none" w:sz="0" w:space="0" w:color="auto"/>
        <w:left w:val="none" w:sz="0" w:space="0" w:color="auto"/>
        <w:bottom w:val="none" w:sz="0" w:space="0" w:color="auto"/>
        <w:right w:val="none" w:sz="0" w:space="0" w:color="auto"/>
      </w:divBdr>
    </w:div>
    <w:div w:id="1130246557">
      <w:bodyDiv w:val="1"/>
      <w:marLeft w:val="0"/>
      <w:marRight w:val="0"/>
      <w:marTop w:val="0"/>
      <w:marBottom w:val="0"/>
      <w:divBdr>
        <w:top w:val="none" w:sz="0" w:space="0" w:color="auto"/>
        <w:left w:val="none" w:sz="0" w:space="0" w:color="auto"/>
        <w:bottom w:val="none" w:sz="0" w:space="0" w:color="auto"/>
        <w:right w:val="none" w:sz="0" w:space="0" w:color="auto"/>
      </w:divBdr>
    </w:div>
    <w:div w:id="1130325784">
      <w:bodyDiv w:val="1"/>
      <w:marLeft w:val="0"/>
      <w:marRight w:val="0"/>
      <w:marTop w:val="0"/>
      <w:marBottom w:val="0"/>
      <w:divBdr>
        <w:top w:val="none" w:sz="0" w:space="0" w:color="auto"/>
        <w:left w:val="none" w:sz="0" w:space="0" w:color="auto"/>
        <w:bottom w:val="none" w:sz="0" w:space="0" w:color="auto"/>
        <w:right w:val="none" w:sz="0" w:space="0" w:color="auto"/>
      </w:divBdr>
    </w:div>
    <w:div w:id="1133793237">
      <w:bodyDiv w:val="1"/>
      <w:marLeft w:val="0"/>
      <w:marRight w:val="0"/>
      <w:marTop w:val="0"/>
      <w:marBottom w:val="0"/>
      <w:divBdr>
        <w:top w:val="none" w:sz="0" w:space="0" w:color="auto"/>
        <w:left w:val="none" w:sz="0" w:space="0" w:color="auto"/>
        <w:bottom w:val="none" w:sz="0" w:space="0" w:color="auto"/>
        <w:right w:val="none" w:sz="0" w:space="0" w:color="auto"/>
      </w:divBdr>
    </w:div>
    <w:div w:id="1134520676">
      <w:bodyDiv w:val="1"/>
      <w:marLeft w:val="0"/>
      <w:marRight w:val="0"/>
      <w:marTop w:val="0"/>
      <w:marBottom w:val="0"/>
      <w:divBdr>
        <w:top w:val="none" w:sz="0" w:space="0" w:color="auto"/>
        <w:left w:val="none" w:sz="0" w:space="0" w:color="auto"/>
        <w:bottom w:val="none" w:sz="0" w:space="0" w:color="auto"/>
        <w:right w:val="none" w:sz="0" w:space="0" w:color="auto"/>
      </w:divBdr>
    </w:div>
    <w:div w:id="1142239032">
      <w:bodyDiv w:val="1"/>
      <w:marLeft w:val="0"/>
      <w:marRight w:val="0"/>
      <w:marTop w:val="0"/>
      <w:marBottom w:val="0"/>
      <w:divBdr>
        <w:top w:val="none" w:sz="0" w:space="0" w:color="auto"/>
        <w:left w:val="none" w:sz="0" w:space="0" w:color="auto"/>
        <w:bottom w:val="none" w:sz="0" w:space="0" w:color="auto"/>
        <w:right w:val="none" w:sz="0" w:space="0" w:color="auto"/>
      </w:divBdr>
    </w:div>
    <w:div w:id="1146707415">
      <w:bodyDiv w:val="1"/>
      <w:marLeft w:val="0"/>
      <w:marRight w:val="0"/>
      <w:marTop w:val="0"/>
      <w:marBottom w:val="0"/>
      <w:divBdr>
        <w:top w:val="none" w:sz="0" w:space="0" w:color="auto"/>
        <w:left w:val="none" w:sz="0" w:space="0" w:color="auto"/>
        <w:bottom w:val="none" w:sz="0" w:space="0" w:color="auto"/>
        <w:right w:val="none" w:sz="0" w:space="0" w:color="auto"/>
      </w:divBdr>
    </w:div>
    <w:div w:id="1148597528">
      <w:bodyDiv w:val="1"/>
      <w:marLeft w:val="0"/>
      <w:marRight w:val="0"/>
      <w:marTop w:val="0"/>
      <w:marBottom w:val="0"/>
      <w:divBdr>
        <w:top w:val="none" w:sz="0" w:space="0" w:color="auto"/>
        <w:left w:val="none" w:sz="0" w:space="0" w:color="auto"/>
        <w:bottom w:val="none" w:sz="0" w:space="0" w:color="auto"/>
        <w:right w:val="none" w:sz="0" w:space="0" w:color="auto"/>
      </w:divBdr>
    </w:div>
    <w:div w:id="1148789326">
      <w:bodyDiv w:val="1"/>
      <w:marLeft w:val="0"/>
      <w:marRight w:val="0"/>
      <w:marTop w:val="0"/>
      <w:marBottom w:val="0"/>
      <w:divBdr>
        <w:top w:val="none" w:sz="0" w:space="0" w:color="auto"/>
        <w:left w:val="none" w:sz="0" w:space="0" w:color="auto"/>
        <w:bottom w:val="none" w:sz="0" w:space="0" w:color="auto"/>
        <w:right w:val="none" w:sz="0" w:space="0" w:color="auto"/>
      </w:divBdr>
    </w:div>
    <w:div w:id="1149131629">
      <w:bodyDiv w:val="1"/>
      <w:marLeft w:val="0"/>
      <w:marRight w:val="0"/>
      <w:marTop w:val="0"/>
      <w:marBottom w:val="0"/>
      <w:divBdr>
        <w:top w:val="none" w:sz="0" w:space="0" w:color="auto"/>
        <w:left w:val="none" w:sz="0" w:space="0" w:color="auto"/>
        <w:bottom w:val="none" w:sz="0" w:space="0" w:color="auto"/>
        <w:right w:val="none" w:sz="0" w:space="0" w:color="auto"/>
      </w:divBdr>
    </w:div>
    <w:div w:id="1155296796">
      <w:bodyDiv w:val="1"/>
      <w:marLeft w:val="0"/>
      <w:marRight w:val="0"/>
      <w:marTop w:val="0"/>
      <w:marBottom w:val="0"/>
      <w:divBdr>
        <w:top w:val="none" w:sz="0" w:space="0" w:color="auto"/>
        <w:left w:val="none" w:sz="0" w:space="0" w:color="auto"/>
        <w:bottom w:val="none" w:sz="0" w:space="0" w:color="auto"/>
        <w:right w:val="none" w:sz="0" w:space="0" w:color="auto"/>
      </w:divBdr>
    </w:div>
    <w:div w:id="1160074657">
      <w:bodyDiv w:val="1"/>
      <w:marLeft w:val="0"/>
      <w:marRight w:val="0"/>
      <w:marTop w:val="0"/>
      <w:marBottom w:val="0"/>
      <w:divBdr>
        <w:top w:val="none" w:sz="0" w:space="0" w:color="auto"/>
        <w:left w:val="none" w:sz="0" w:space="0" w:color="auto"/>
        <w:bottom w:val="none" w:sz="0" w:space="0" w:color="auto"/>
        <w:right w:val="none" w:sz="0" w:space="0" w:color="auto"/>
      </w:divBdr>
    </w:div>
    <w:div w:id="1160580348">
      <w:bodyDiv w:val="1"/>
      <w:marLeft w:val="0"/>
      <w:marRight w:val="0"/>
      <w:marTop w:val="0"/>
      <w:marBottom w:val="0"/>
      <w:divBdr>
        <w:top w:val="none" w:sz="0" w:space="0" w:color="auto"/>
        <w:left w:val="none" w:sz="0" w:space="0" w:color="auto"/>
        <w:bottom w:val="none" w:sz="0" w:space="0" w:color="auto"/>
        <w:right w:val="none" w:sz="0" w:space="0" w:color="auto"/>
      </w:divBdr>
    </w:div>
    <w:div w:id="1160928618">
      <w:bodyDiv w:val="1"/>
      <w:marLeft w:val="0"/>
      <w:marRight w:val="0"/>
      <w:marTop w:val="0"/>
      <w:marBottom w:val="0"/>
      <w:divBdr>
        <w:top w:val="none" w:sz="0" w:space="0" w:color="auto"/>
        <w:left w:val="none" w:sz="0" w:space="0" w:color="auto"/>
        <w:bottom w:val="none" w:sz="0" w:space="0" w:color="auto"/>
        <w:right w:val="none" w:sz="0" w:space="0" w:color="auto"/>
      </w:divBdr>
    </w:div>
    <w:div w:id="1163665588">
      <w:bodyDiv w:val="1"/>
      <w:marLeft w:val="0"/>
      <w:marRight w:val="0"/>
      <w:marTop w:val="0"/>
      <w:marBottom w:val="0"/>
      <w:divBdr>
        <w:top w:val="none" w:sz="0" w:space="0" w:color="auto"/>
        <w:left w:val="none" w:sz="0" w:space="0" w:color="auto"/>
        <w:bottom w:val="none" w:sz="0" w:space="0" w:color="auto"/>
        <w:right w:val="none" w:sz="0" w:space="0" w:color="auto"/>
      </w:divBdr>
    </w:div>
    <w:div w:id="1167553528">
      <w:bodyDiv w:val="1"/>
      <w:marLeft w:val="0"/>
      <w:marRight w:val="0"/>
      <w:marTop w:val="0"/>
      <w:marBottom w:val="0"/>
      <w:divBdr>
        <w:top w:val="none" w:sz="0" w:space="0" w:color="auto"/>
        <w:left w:val="none" w:sz="0" w:space="0" w:color="auto"/>
        <w:bottom w:val="none" w:sz="0" w:space="0" w:color="auto"/>
        <w:right w:val="none" w:sz="0" w:space="0" w:color="auto"/>
      </w:divBdr>
    </w:div>
    <w:div w:id="1175801883">
      <w:bodyDiv w:val="1"/>
      <w:marLeft w:val="0"/>
      <w:marRight w:val="0"/>
      <w:marTop w:val="0"/>
      <w:marBottom w:val="0"/>
      <w:divBdr>
        <w:top w:val="none" w:sz="0" w:space="0" w:color="auto"/>
        <w:left w:val="none" w:sz="0" w:space="0" w:color="auto"/>
        <w:bottom w:val="none" w:sz="0" w:space="0" w:color="auto"/>
        <w:right w:val="none" w:sz="0" w:space="0" w:color="auto"/>
      </w:divBdr>
    </w:div>
    <w:div w:id="1180239481">
      <w:bodyDiv w:val="1"/>
      <w:marLeft w:val="0"/>
      <w:marRight w:val="0"/>
      <w:marTop w:val="0"/>
      <w:marBottom w:val="0"/>
      <w:divBdr>
        <w:top w:val="none" w:sz="0" w:space="0" w:color="auto"/>
        <w:left w:val="none" w:sz="0" w:space="0" w:color="auto"/>
        <w:bottom w:val="none" w:sz="0" w:space="0" w:color="auto"/>
        <w:right w:val="none" w:sz="0" w:space="0" w:color="auto"/>
      </w:divBdr>
    </w:div>
    <w:div w:id="1185174703">
      <w:bodyDiv w:val="1"/>
      <w:marLeft w:val="0"/>
      <w:marRight w:val="0"/>
      <w:marTop w:val="0"/>
      <w:marBottom w:val="0"/>
      <w:divBdr>
        <w:top w:val="none" w:sz="0" w:space="0" w:color="auto"/>
        <w:left w:val="none" w:sz="0" w:space="0" w:color="auto"/>
        <w:bottom w:val="none" w:sz="0" w:space="0" w:color="auto"/>
        <w:right w:val="none" w:sz="0" w:space="0" w:color="auto"/>
      </w:divBdr>
    </w:div>
    <w:div w:id="1187402918">
      <w:bodyDiv w:val="1"/>
      <w:marLeft w:val="0"/>
      <w:marRight w:val="0"/>
      <w:marTop w:val="0"/>
      <w:marBottom w:val="0"/>
      <w:divBdr>
        <w:top w:val="none" w:sz="0" w:space="0" w:color="auto"/>
        <w:left w:val="none" w:sz="0" w:space="0" w:color="auto"/>
        <w:bottom w:val="none" w:sz="0" w:space="0" w:color="auto"/>
        <w:right w:val="none" w:sz="0" w:space="0" w:color="auto"/>
      </w:divBdr>
    </w:div>
    <w:div w:id="1189758036">
      <w:bodyDiv w:val="1"/>
      <w:marLeft w:val="0"/>
      <w:marRight w:val="0"/>
      <w:marTop w:val="0"/>
      <w:marBottom w:val="0"/>
      <w:divBdr>
        <w:top w:val="none" w:sz="0" w:space="0" w:color="auto"/>
        <w:left w:val="none" w:sz="0" w:space="0" w:color="auto"/>
        <w:bottom w:val="none" w:sz="0" w:space="0" w:color="auto"/>
        <w:right w:val="none" w:sz="0" w:space="0" w:color="auto"/>
      </w:divBdr>
    </w:div>
    <w:div w:id="1189758693">
      <w:bodyDiv w:val="1"/>
      <w:marLeft w:val="0"/>
      <w:marRight w:val="0"/>
      <w:marTop w:val="0"/>
      <w:marBottom w:val="0"/>
      <w:divBdr>
        <w:top w:val="none" w:sz="0" w:space="0" w:color="auto"/>
        <w:left w:val="none" w:sz="0" w:space="0" w:color="auto"/>
        <w:bottom w:val="none" w:sz="0" w:space="0" w:color="auto"/>
        <w:right w:val="none" w:sz="0" w:space="0" w:color="auto"/>
      </w:divBdr>
    </w:div>
    <w:div w:id="1192034425">
      <w:bodyDiv w:val="1"/>
      <w:marLeft w:val="0"/>
      <w:marRight w:val="0"/>
      <w:marTop w:val="0"/>
      <w:marBottom w:val="0"/>
      <w:divBdr>
        <w:top w:val="none" w:sz="0" w:space="0" w:color="auto"/>
        <w:left w:val="none" w:sz="0" w:space="0" w:color="auto"/>
        <w:bottom w:val="none" w:sz="0" w:space="0" w:color="auto"/>
        <w:right w:val="none" w:sz="0" w:space="0" w:color="auto"/>
      </w:divBdr>
    </w:div>
    <w:div w:id="1193962524">
      <w:bodyDiv w:val="1"/>
      <w:marLeft w:val="0"/>
      <w:marRight w:val="0"/>
      <w:marTop w:val="0"/>
      <w:marBottom w:val="0"/>
      <w:divBdr>
        <w:top w:val="none" w:sz="0" w:space="0" w:color="auto"/>
        <w:left w:val="none" w:sz="0" w:space="0" w:color="auto"/>
        <w:bottom w:val="none" w:sz="0" w:space="0" w:color="auto"/>
        <w:right w:val="none" w:sz="0" w:space="0" w:color="auto"/>
      </w:divBdr>
    </w:div>
    <w:div w:id="1194032342">
      <w:bodyDiv w:val="1"/>
      <w:marLeft w:val="0"/>
      <w:marRight w:val="0"/>
      <w:marTop w:val="0"/>
      <w:marBottom w:val="0"/>
      <w:divBdr>
        <w:top w:val="none" w:sz="0" w:space="0" w:color="auto"/>
        <w:left w:val="none" w:sz="0" w:space="0" w:color="auto"/>
        <w:bottom w:val="none" w:sz="0" w:space="0" w:color="auto"/>
        <w:right w:val="none" w:sz="0" w:space="0" w:color="auto"/>
      </w:divBdr>
    </w:div>
    <w:div w:id="1209489144">
      <w:bodyDiv w:val="1"/>
      <w:marLeft w:val="0"/>
      <w:marRight w:val="0"/>
      <w:marTop w:val="0"/>
      <w:marBottom w:val="0"/>
      <w:divBdr>
        <w:top w:val="none" w:sz="0" w:space="0" w:color="auto"/>
        <w:left w:val="none" w:sz="0" w:space="0" w:color="auto"/>
        <w:bottom w:val="none" w:sz="0" w:space="0" w:color="auto"/>
        <w:right w:val="none" w:sz="0" w:space="0" w:color="auto"/>
      </w:divBdr>
    </w:div>
    <w:div w:id="1210916131">
      <w:bodyDiv w:val="1"/>
      <w:marLeft w:val="0"/>
      <w:marRight w:val="0"/>
      <w:marTop w:val="0"/>
      <w:marBottom w:val="0"/>
      <w:divBdr>
        <w:top w:val="none" w:sz="0" w:space="0" w:color="auto"/>
        <w:left w:val="none" w:sz="0" w:space="0" w:color="auto"/>
        <w:bottom w:val="none" w:sz="0" w:space="0" w:color="auto"/>
        <w:right w:val="none" w:sz="0" w:space="0" w:color="auto"/>
      </w:divBdr>
    </w:div>
    <w:div w:id="1211310974">
      <w:bodyDiv w:val="1"/>
      <w:marLeft w:val="0"/>
      <w:marRight w:val="0"/>
      <w:marTop w:val="0"/>
      <w:marBottom w:val="0"/>
      <w:divBdr>
        <w:top w:val="none" w:sz="0" w:space="0" w:color="auto"/>
        <w:left w:val="none" w:sz="0" w:space="0" w:color="auto"/>
        <w:bottom w:val="none" w:sz="0" w:space="0" w:color="auto"/>
        <w:right w:val="none" w:sz="0" w:space="0" w:color="auto"/>
      </w:divBdr>
    </w:div>
    <w:div w:id="1213956031">
      <w:bodyDiv w:val="1"/>
      <w:marLeft w:val="0"/>
      <w:marRight w:val="0"/>
      <w:marTop w:val="0"/>
      <w:marBottom w:val="0"/>
      <w:divBdr>
        <w:top w:val="none" w:sz="0" w:space="0" w:color="auto"/>
        <w:left w:val="none" w:sz="0" w:space="0" w:color="auto"/>
        <w:bottom w:val="none" w:sz="0" w:space="0" w:color="auto"/>
        <w:right w:val="none" w:sz="0" w:space="0" w:color="auto"/>
      </w:divBdr>
    </w:div>
    <w:div w:id="1218316302">
      <w:bodyDiv w:val="1"/>
      <w:marLeft w:val="0"/>
      <w:marRight w:val="0"/>
      <w:marTop w:val="0"/>
      <w:marBottom w:val="0"/>
      <w:divBdr>
        <w:top w:val="none" w:sz="0" w:space="0" w:color="auto"/>
        <w:left w:val="none" w:sz="0" w:space="0" w:color="auto"/>
        <w:bottom w:val="none" w:sz="0" w:space="0" w:color="auto"/>
        <w:right w:val="none" w:sz="0" w:space="0" w:color="auto"/>
      </w:divBdr>
    </w:div>
    <w:div w:id="1221019040">
      <w:bodyDiv w:val="1"/>
      <w:marLeft w:val="0"/>
      <w:marRight w:val="0"/>
      <w:marTop w:val="0"/>
      <w:marBottom w:val="0"/>
      <w:divBdr>
        <w:top w:val="none" w:sz="0" w:space="0" w:color="auto"/>
        <w:left w:val="none" w:sz="0" w:space="0" w:color="auto"/>
        <w:bottom w:val="none" w:sz="0" w:space="0" w:color="auto"/>
        <w:right w:val="none" w:sz="0" w:space="0" w:color="auto"/>
      </w:divBdr>
    </w:div>
    <w:div w:id="1222012948">
      <w:bodyDiv w:val="1"/>
      <w:marLeft w:val="0"/>
      <w:marRight w:val="0"/>
      <w:marTop w:val="0"/>
      <w:marBottom w:val="0"/>
      <w:divBdr>
        <w:top w:val="none" w:sz="0" w:space="0" w:color="auto"/>
        <w:left w:val="none" w:sz="0" w:space="0" w:color="auto"/>
        <w:bottom w:val="none" w:sz="0" w:space="0" w:color="auto"/>
        <w:right w:val="none" w:sz="0" w:space="0" w:color="auto"/>
      </w:divBdr>
    </w:div>
    <w:div w:id="1222594671">
      <w:bodyDiv w:val="1"/>
      <w:marLeft w:val="0"/>
      <w:marRight w:val="0"/>
      <w:marTop w:val="0"/>
      <w:marBottom w:val="0"/>
      <w:divBdr>
        <w:top w:val="none" w:sz="0" w:space="0" w:color="auto"/>
        <w:left w:val="none" w:sz="0" w:space="0" w:color="auto"/>
        <w:bottom w:val="none" w:sz="0" w:space="0" w:color="auto"/>
        <w:right w:val="none" w:sz="0" w:space="0" w:color="auto"/>
      </w:divBdr>
    </w:div>
    <w:div w:id="1232697939">
      <w:bodyDiv w:val="1"/>
      <w:marLeft w:val="0"/>
      <w:marRight w:val="0"/>
      <w:marTop w:val="0"/>
      <w:marBottom w:val="0"/>
      <w:divBdr>
        <w:top w:val="none" w:sz="0" w:space="0" w:color="auto"/>
        <w:left w:val="none" w:sz="0" w:space="0" w:color="auto"/>
        <w:bottom w:val="none" w:sz="0" w:space="0" w:color="auto"/>
        <w:right w:val="none" w:sz="0" w:space="0" w:color="auto"/>
      </w:divBdr>
    </w:div>
    <w:div w:id="1233202956">
      <w:bodyDiv w:val="1"/>
      <w:marLeft w:val="0"/>
      <w:marRight w:val="0"/>
      <w:marTop w:val="0"/>
      <w:marBottom w:val="0"/>
      <w:divBdr>
        <w:top w:val="none" w:sz="0" w:space="0" w:color="auto"/>
        <w:left w:val="none" w:sz="0" w:space="0" w:color="auto"/>
        <w:bottom w:val="none" w:sz="0" w:space="0" w:color="auto"/>
        <w:right w:val="none" w:sz="0" w:space="0" w:color="auto"/>
      </w:divBdr>
    </w:div>
    <w:div w:id="1234120336">
      <w:bodyDiv w:val="1"/>
      <w:marLeft w:val="0"/>
      <w:marRight w:val="0"/>
      <w:marTop w:val="0"/>
      <w:marBottom w:val="0"/>
      <w:divBdr>
        <w:top w:val="none" w:sz="0" w:space="0" w:color="auto"/>
        <w:left w:val="none" w:sz="0" w:space="0" w:color="auto"/>
        <w:bottom w:val="none" w:sz="0" w:space="0" w:color="auto"/>
        <w:right w:val="none" w:sz="0" w:space="0" w:color="auto"/>
      </w:divBdr>
    </w:div>
    <w:div w:id="1237978496">
      <w:bodyDiv w:val="1"/>
      <w:marLeft w:val="0"/>
      <w:marRight w:val="0"/>
      <w:marTop w:val="0"/>
      <w:marBottom w:val="0"/>
      <w:divBdr>
        <w:top w:val="none" w:sz="0" w:space="0" w:color="auto"/>
        <w:left w:val="none" w:sz="0" w:space="0" w:color="auto"/>
        <w:bottom w:val="none" w:sz="0" w:space="0" w:color="auto"/>
        <w:right w:val="none" w:sz="0" w:space="0" w:color="auto"/>
      </w:divBdr>
    </w:div>
    <w:div w:id="1245840193">
      <w:bodyDiv w:val="1"/>
      <w:marLeft w:val="0"/>
      <w:marRight w:val="0"/>
      <w:marTop w:val="0"/>
      <w:marBottom w:val="0"/>
      <w:divBdr>
        <w:top w:val="none" w:sz="0" w:space="0" w:color="auto"/>
        <w:left w:val="none" w:sz="0" w:space="0" w:color="auto"/>
        <w:bottom w:val="none" w:sz="0" w:space="0" w:color="auto"/>
        <w:right w:val="none" w:sz="0" w:space="0" w:color="auto"/>
      </w:divBdr>
    </w:div>
    <w:div w:id="1259682683">
      <w:bodyDiv w:val="1"/>
      <w:marLeft w:val="0"/>
      <w:marRight w:val="0"/>
      <w:marTop w:val="0"/>
      <w:marBottom w:val="0"/>
      <w:divBdr>
        <w:top w:val="none" w:sz="0" w:space="0" w:color="auto"/>
        <w:left w:val="none" w:sz="0" w:space="0" w:color="auto"/>
        <w:bottom w:val="none" w:sz="0" w:space="0" w:color="auto"/>
        <w:right w:val="none" w:sz="0" w:space="0" w:color="auto"/>
      </w:divBdr>
    </w:div>
    <w:div w:id="1264529274">
      <w:bodyDiv w:val="1"/>
      <w:marLeft w:val="0"/>
      <w:marRight w:val="0"/>
      <w:marTop w:val="0"/>
      <w:marBottom w:val="0"/>
      <w:divBdr>
        <w:top w:val="none" w:sz="0" w:space="0" w:color="auto"/>
        <w:left w:val="none" w:sz="0" w:space="0" w:color="auto"/>
        <w:bottom w:val="none" w:sz="0" w:space="0" w:color="auto"/>
        <w:right w:val="none" w:sz="0" w:space="0" w:color="auto"/>
      </w:divBdr>
    </w:div>
    <w:div w:id="1265042555">
      <w:bodyDiv w:val="1"/>
      <w:marLeft w:val="0"/>
      <w:marRight w:val="0"/>
      <w:marTop w:val="0"/>
      <w:marBottom w:val="0"/>
      <w:divBdr>
        <w:top w:val="none" w:sz="0" w:space="0" w:color="auto"/>
        <w:left w:val="none" w:sz="0" w:space="0" w:color="auto"/>
        <w:bottom w:val="none" w:sz="0" w:space="0" w:color="auto"/>
        <w:right w:val="none" w:sz="0" w:space="0" w:color="auto"/>
      </w:divBdr>
    </w:div>
    <w:div w:id="1270315262">
      <w:bodyDiv w:val="1"/>
      <w:marLeft w:val="0"/>
      <w:marRight w:val="0"/>
      <w:marTop w:val="0"/>
      <w:marBottom w:val="0"/>
      <w:divBdr>
        <w:top w:val="none" w:sz="0" w:space="0" w:color="auto"/>
        <w:left w:val="none" w:sz="0" w:space="0" w:color="auto"/>
        <w:bottom w:val="none" w:sz="0" w:space="0" w:color="auto"/>
        <w:right w:val="none" w:sz="0" w:space="0" w:color="auto"/>
      </w:divBdr>
    </w:div>
    <w:div w:id="1272128695">
      <w:bodyDiv w:val="1"/>
      <w:marLeft w:val="0"/>
      <w:marRight w:val="0"/>
      <w:marTop w:val="0"/>
      <w:marBottom w:val="0"/>
      <w:divBdr>
        <w:top w:val="none" w:sz="0" w:space="0" w:color="auto"/>
        <w:left w:val="none" w:sz="0" w:space="0" w:color="auto"/>
        <w:bottom w:val="none" w:sz="0" w:space="0" w:color="auto"/>
        <w:right w:val="none" w:sz="0" w:space="0" w:color="auto"/>
      </w:divBdr>
    </w:div>
    <w:div w:id="1278100415">
      <w:bodyDiv w:val="1"/>
      <w:marLeft w:val="0"/>
      <w:marRight w:val="0"/>
      <w:marTop w:val="0"/>
      <w:marBottom w:val="0"/>
      <w:divBdr>
        <w:top w:val="none" w:sz="0" w:space="0" w:color="auto"/>
        <w:left w:val="none" w:sz="0" w:space="0" w:color="auto"/>
        <w:bottom w:val="none" w:sz="0" w:space="0" w:color="auto"/>
        <w:right w:val="none" w:sz="0" w:space="0" w:color="auto"/>
      </w:divBdr>
    </w:div>
    <w:div w:id="1278953157">
      <w:bodyDiv w:val="1"/>
      <w:marLeft w:val="0"/>
      <w:marRight w:val="0"/>
      <w:marTop w:val="0"/>
      <w:marBottom w:val="0"/>
      <w:divBdr>
        <w:top w:val="none" w:sz="0" w:space="0" w:color="auto"/>
        <w:left w:val="none" w:sz="0" w:space="0" w:color="auto"/>
        <w:bottom w:val="none" w:sz="0" w:space="0" w:color="auto"/>
        <w:right w:val="none" w:sz="0" w:space="0" w:color="auto"/>
      </w:divBdr>
    </w:div>
    <w:div w:id="1280910514">
      <w:bodyDiv w:val="1"/>
      <w:marLeft w:val="0"/>
      <w:marRight w:val="0"/>
      <w:marTop w:val="0"/>
      <w:marBottom w:val="0"/>
      <w:divBdr>
        <w:top w:val="none" w:sz="0" w:space="0" w:color="auto"/>
        <w:left w:val="none" w:sz="0" w:space="0" w:color="auto"/>
        <w:bottom w:val="none" w:sz="0" w:space="0" w:color="auto"/>
        <w:right w:val="none" w:sz="0" w:space="0" w:color="auto"/>
      </w:divBdr>
    </w:div>
    <w:div w:id="1282610676">
      <w:bodyDiv w:val="1"/>
      <w:marLeft w:val="0"/>
      <w:marRight w:val="0"/>
      <w:marTop w:val="0"/>
      <w:marBottom w:val="0"/>
      <w:divBdr>
        <w:top w:val="none" w:sz="0" w:space="0" w:color="auto"/>
        <w:left w:val="none" w:sz="0" w:space="0" w:color="auto"/>
        <w:bottom w:val="none" w:sz="0" w:space="0" w:color="auto"/>
        <w:right w:val="none" w:sz="0" w:space="0" w:color="auto"/>
      </w:divBdr>
    </w:div>
    <w:div w:id="1282802108">
      <w:bodyDiv w:val="1"/>
      <w:marLeft w:val="0"/>
      <w:marRight w:val="0"/>
      <w:marTop w:val="0"/>
      <w:marBottom w:val="0"/>
      <w:divBdr>
        <w:top w:val="none" w:sz="0" w:space="0" w:color="auto"/>
        <w:left w:val="none" w:sz="0" w:space="0" w:color="auto"/>
        <w:bottom w:val="none" w:sz="0" w:space="0" w:color="auto"/>
        <w:right w:val="none" w:sz="0" w:space="0" w:color="auto"/>
      </w:divBdr>
    </w:div>
    <w:div w:id="1283422902">
      <w:bodyDiv w:val="1"/>
      <w:marLeft w:val="0"/>
      <w:marRight w:val="0"/>
      <w:marTop w:val="0"/>
      <w:marBottom w:val="0"/>
      <w:divBdr>
        <w:top w:val="none" w:sz="0" w:space="0" w:color="auto"/>
        <w:left w:val="none" w:sz="0" w:space="0" w:color="auto"/>
        <w:bottom w:val="none" w:sz="0" w:space="0" w:color="auto"/>
        <w:right w:val="none" w:sz="0" w:space="0" w:color="auto"/>
      </w:divBdr>
    </w:div>
    <w:div w:id="1291014718">
      <w:bodyDiv w:val="1"/>
      <w:marLeft w:val="0"/>
      <w:marRight w:val="0"/>
      <w:marTop w:val="0"/>
      <w:marBottom w:val="0"/>
      <w:divBdr>
        <w:top w:val="none" w:sz="0" w:space="0" w:color="auto"/>
        <w:left w:val="none" w:sz="0" w:space="0" w:color="auto"/>
        <w:bottom w:val="none" w:sz="0" w:space="0" w:color="auto"/>
        <w:right w:val="none" w:sz="0" w:space="0" w:color="auto"/>
      </w:divBdr>
    </w:div>
    <w:div w:id="1294016489">
      <w:bodyDiv w:val="1"/>
      <w:marLeft w:val="0"/>
      <w:marRight w:val="0"/>
      <w:marTop w:val="0"/>
      <w:marBottom w:val="0"/>
      <w:divBdr>
        <w:top w:val="none" w:sz="0" w:space="0" w:color="auto"/>
        <w:left w:val="none" w:sz="0" w:space="0" w:color="auto"/>
        <w:bottom w:val="none" w:sz="0" w:space="0" w:color="auto"/>
        <w:right w:val="none" w:sz="0" w:space="0" w:color="auto"/>
      </w:divBdr>
    </w:div>
    <w:div w:id="1294601818">
      <w:bodyDiv w:val="1"/>
      <w:marLeft w:val="0"/>
      <w:marRight w:val="0"/>
      <w:marTop w:val="0"/>
      <w:marBottom w:val="0"/>
      <w:divBdr>
        <w:top w:val="none" w:sz="0" w:space="0" w:color="auto"/>
        <w:left w:val="none" w:sz="0" w:space="0" w:color="auto"/>
        <w:bottom w:val="none" w:sz="0" w:space="0" w:color="auto"/>
        <w:right w:val="none" w:sz="0" w:space="0" w:color="auto"/>
      </w:divBdr>
    </w:div>
    <w:div w:id="1294675590">
      <w:bodyDiv w:val="1"/>
      <w:marLeft w:val="0"/>
      <w:marRight w:val="0"/>
      <w:marTop w:val="0"/>
      <w:marBottom w:val="0"/>
      <w:divBdr>
        <w:top w:val="none" w:sz="0" w:space="0" w:color="auto"/>
        <w:left w:val="none" w:sz="0" w:space="0" w:color="auto"/>
        <w:bottom w:val="none" w:sz="0" w:space="0" w:color="auto"/>
        <w:right w:val="none" w:sz="0" w:space="0" w:color="auto"/>
      </w:divBdr>
    </w:div>
    <w:div w:id="1296789042">
      <w:bodyDiv w:val="1"/>
      <w:marLeft w:val="0"/>
      <w:marRight w:val="0"/>
      <w:marTop w:val="0"/>
      <w:marBottom w:val="0"/>
      <w:divBdr>
        <w:top w:val="none" w:sz="0" w:space="0" w:color="auto"/>
        <w:left w:val="none" w:sz="0" w:space="0" w:color="auto"/>
        <w:bottom w:val="none" w:sz="0" w:space="0" w:color="auto"/>
        <w:right w:val="none" w:sz="0" w:space="0" w:color="auto"/>
      </w:divBdr>
    </w:div>
    <w:div w:id="1297367835">
      <w:bodyDiv w:val="1"/>
      <w:marLeft w:val="0"/>
      <w:marRight w:val="0"/>
      <w:marTop w:val="0"/>
      <w:marBottom w:val="0"/>
      <w:divBdr>
        <w:top w:val="none" w:sz="0" w:space="0" w:color="auto"/>
        <w:left w:val="none" w:sz="0" w:space="0" w:color="auto"/>
        <w:bottom w:val="none" w:sz="0" w:space="0" w:color="auto"/>
        <w:right w:val="none" w:sz="0" w:space="0" w:color="auto"/>
      </w:divBdr>
    </w:div>
    <w:div w:id="1298028894">
      <w:bodyDiv w:val="1"/>
      <w:marLeft w:val="0"/>
      <w:marRight w:val="0"/>
      <w:marTop w:val="0"/>
      <w:marBottom w:val="0"/>
      <w:divBdr>
        <w:top w:val="none" w:sz="0" w:space="0" w:color="auto"/>
        <w:left w:val="none" w:sz="0" w:space="0" w:color="auto"/>
        <w:bottom w:val="none" w:sz="0" w:space="0" w:color="auto"/>
        <w:right w:val="none" w:sz="0" w:space="0" w:color="auto"/>
      </w:divBdr>
    </w:div>
    <w:div w:id="1304045937">
      <w:bodyDiv w:val="1"/>
      <w:marLeft w:val="0"/>
      <w:marRight w:val="0"/>
      <w:marTop w:val="0"/>
      <w:marBottom w:val="0"/>
      <w:divBdr>
        <w:top w:val="none" w:sz="0" w:space="0" w:color="auto"/>
        <w:left w:val="none" w:sz="0" w:space="0" w:color="auto"/>
        <w:bottom w:val="none" w:sz="0" w:space="0" w:color="auto"/>
        <w:right w:val="none" w:sz="0" w:space="0" w:color="auto"/>
      </w:divBdr>
    </w:div>
    <w:div w:id="1305046319">
      <w:bodyDiv w:val="1"/>
      <w:marLeft w:val="0"/>
      <w:marRight w:val="0"/>
      <w:marTop w:val="0"/>
      <w:marBottom w:val="0"/>
      <w:divBdr>
        <w:top w:val="none" w:sz="0" w:space="0" w:color="auto"/>
        <w:left w:val="none" w:sz="0" w:space="0" w:color="auto"/>
        <w:bottom w:val="none" w:sz="0" w:space="0" w:color="auto"/>
        <w:right w:val="none" w:sz="0" w:space="0" w:color="auto"/>
      </w:divBdr>
    </w:div>
    <w:div w:id="1308439648">
      <w:bodyDiv w:val="1"/>
      <w:marLeft w:val="0"/>
      <w:marRight w:val="0"/>
      <w:marTop w:val="0"/>
      <w:marBottom w:val="0"/>
      <w:divBdr>
        <w:top w:val="none" w:sz="0" w:space="0" w:color="auto"/>
        <w:left w:val="none" w:sz="0" w:space="0" w:color="auto"/>
        <w:bottom w:val="none" w:sz="0" w:space="0" w:color="auto"/>
        <w:right w:val="none" w:sz="0" w:space="0" w:color="auto"/>
      </w:divBdr>
    </w:div>
    <w:div w:id="1310792577">
      <w:bodyDiv w:val="1"/>
      <w:marLeft w:val="0"/>
      <w:marRight w:val="0"/>
      <w:marTop w:val="0"/>
      <w:marBottom w:val="0"/>
      <w:divBdr>
        <w:top w:val="none" w:sz="0" w:space="0" w:color="auto"/>
        <w:left w:val="none" w:sz="0" w:space="0" w:color="auto"/>
        <w:bottom w:val="none" w:sz="0" w:space="0" w:color="auto"/>
        <w:right w:val="none" w:sz="0" w:space="0" w:color="auto"/>
      </w:divBdr>
    </w:div>
    <w:div w:id="1322080752">
      <w:bodyDiv w:val="1"/>
      <w:marLeft w:val="0"/>
      <w:marRight w:val="0"/>
      <w:marTop w:val="0"/>
      <w:marBottom w:val="0"/>
      <w:divBdr>
        <w:top w:val="none" w:sz="0" w:space="0" w:color="auto"/>
        <w:left w:val="none" w:sz="0" w:space="0" w:color="auto"/>
        <w:bottom w:val="none" w:sz="0" w:space="0" w:color="auto"/>
        <w:right w:val="none" w:sz="0" w:space="0" w:color="auto"/>
      </w:divBdr>
    </w:div>
    <w:div w:id="1331300456">
      <w:bodyDiv w:val="1"/>
      <w:marLeft w:val="0"/>
      <w:marRight w:val="0"/>
      <w:marTop w:val="0"/>
      <w:marBottom w:val="0"/>
      <w:divBdr>
        <w:top w:val="none" w:sz="0" w:space="0" w:color="auto"/>
        <w:left w:val="none" w:sz="0" w:space="0" w:color="auto"/>
        <w:bottom w:val="none" w:sz="0" w:space="0" w:color="auto"/>
        <w:right w:val="none" w:sz="0" w:space="0" w:color="auto"/>
      </w:divBdr>
    </w:div>
    <w:div w:id="1331787534">
      <w:bodyDiv w:val="1"/>
      <w:marLeft w:val="0"/>
      <w:marRight w:val="0"/>
      <w:marTop w:val="0"/>
      <w:marBottom w:val="0"/>
      <w:divBdr>
        <w:top w:val="none" w:sz="0" w:space="0" w:color="auto"/>
        <w:left w:val="none" w:sz="0" w:space="0" w:color="auto"/>
        <w:bottom w:val="none" w:sz="0" w:space="0" w:color="auto"/>
        <w:right w:val="none" w:sz="0" w:space="0" w:color="auto"/>
      </w:divBdr>
    </w:div>
    <w:div w:id="1336374517">
      <w:bodyDiv w:val="1"/>
      <w:marLeft w:val="0"/>
      <w:marRight w:val="0"/>
      <w:marTop w:val="0"/>
      <w:marBottom w:val="0"/>
      <w:divBdr>
        <w:top w:val="none" w:sz="0" w:space="0" w:color="auto"/>
        <w:left w:val="none" w:sz="0" w:space="0" w:color="auto"/>
        <w:bottom w:val="none" w:sz="0" w:space="0" w:color="auto"/>
        <w:right w:val="none" w:sz="0" w:space="0" w:color="auto"/>
      </w:divBdr>
    </w:div>
    <w:div w:id="1348171363">
      <w:bodyDiv w:val="1"/>
      <w:marLeft w:val="0"/>
      <w:marRight w:val="0"/>
      <w:marTop w:val="0"/>
      <w:marBottom w:val="0"/>
      <w:divBdr>
        <w:top w:val="none" w:sz="0" w:space="0" w:color="auto"/>
        <w:left w:val="none" w:sz="0" w:space="0" w:color="auto"/>
        <w:bottom w:val="none" w:sz="0" w:space="0" w:color="auto"/>
        <w:right w:val="none" w:sz="0" w:space="0" w:color="auto"/>
      </w:divBdr>
    </w:div>
    <w:div w:id="1356923628">
      <w:bodyDiv w:val="1"/>
      <w:marLeft w:val="0"/>
      <w:marRight w:val="0"/>
      <w:marTop w:val="0"/>
      <w:marBottom w:val="0"/>
      <w:divBdr>
        <w:top w:val="none" w:sz="0" w:space="0" w:color="auto"/>
        <w:left w:val="none" w:sz="0" w:space="0" w:color="auto"/>
        <w:bottom w:val="none" w:sz="0" w:space="0" w:color="auto"/>
        <w:right w:val="none" w:sz="0" w:space="0" w:color="auto"/>
      </w:divBdr>
    </w:div>
    <w:div w:id="1359816954">
      <w:bodyDiv w:val="1"/>
      <w:marLeft w:val="0"/>
      <w:marRight w:val="0"/>
      <w:marTop w:val="0"/>
      <w:marBottom w:val="0"/>
      <w:divBdr>
        <w:top w:val="none" w:sz="0" w:space="0" w:color="auto"/>
        <w:left w:val="none" w:sz="0" w:space="0" w:color="auto"/>
        <w:bottom w:val="none" w:sz="0" w:space="0" w:color="auto"/>
        <w:right w:val="none" w:sz="0" w:space="0" w:color="auto"/>
      </w:divBdr>
    </w:div>
    <w:div w:id="1360355826">
      <w:bodyDiv w:val="1"/>
      <w:marLeft w:val="0"/>
      <w:marRight w:val="0"/>
      <w:marTop w:val="0"/>
      <w:marBottom w:val="0"/>
      <w:divBdr>
        <w:top w:val="none" w:sz="0" w:space="0" w:color="auto"/>
        <w:left w:val="none" w:sz="0" w:space="0" w:color="auto"/>
        <w:bottom w:val="none" w:sz="0" w:space="0" w:color="auto"/>
        <w:right w:val="none" w:sz="0" w:space="0" w:color="auto"/>
      </w:divBdr>
    </w:div>
    <w:div w:id="1361591548">
      <w:bodyDiv w:val="1"/>
      <w:marLeft w:val="0"/>
      <w:marRight w:val="0"/>
      <w:marTop w:val="0"/>
      <w:marBottom w:val="0"/>
      <w:divBdr>
        <w:top w:val="none" w:sz="0" w:space="0" w:color="auto"/>
        <w:left w:val="none" w:sz="0" w:space="0" w:color="auto"/>
        <w:bottom w:val="none" w:sz="0" w:space="0" w:color="auto"/>
        <w:right w:val="none" w:sz="0" w:space="0" w:color="auto"/>
      </w:divBdr>
    </w:div>
    <w:div w:id="1365786276">
      <w:bodyDiv w:val="1"/>
      <w:marLeft w:val="0"/>
      <w:marRight w:val="0"/>
      <w:marTop w:val="0"/>
      <w:marBottom w:val="0"/>
      <w:divBdr>
        <w:top w:val="none" w:sz="0" w:space="0" w:color="auto"/>
        <w:left w:val="none" w:sz="0" w:space="0" w:color="auto"/>
        <w:bottom w:val="none" w:sz="0" w:space="0" w:color="auto"/>
        <w:right w:val="none" w:sz="0" w:space="0" w:color="auto"/>
      </w:divBdr>
    </w:div>
    <w:div w:id="1365861269">
      <w:bodyDiv w:val="1"/>
      <w:marLeft w:val="0"/>
      <w:marRight w:val="0"/>
      <w:marTop w:val="0"/>
      <w:marBottom w:val="0"/>
      <w:divBdr>
        <w:top w:val="none" w:sz="0" w:space="0" w:color="auto"/>
        <w:left w:val="none" w:sz="0" w:space="0" w:color="auto"/>
        <w:bottom w:val="none" w:sz="0" w:space="0" w:color="auto"/>
        <w:right w:val="none" w:sz="0" w:space="0" w:color="auto"/>
      </w:divBdr>
    </w:div>
    <w:div w:id="1368337017">
      <w:bodyDiv w:val="1"/>
      <w:marLeft w:val="0"/>
      <w:marRight w:val="0"/>
      <w:marTop w:val="0"/>
      <w:marBottom w:val="0"/>
      <w:divBdr>
        <w:top w:val="none" w:sz="0" w:space="0" w:color="auto"/>
        <w:left w:val="none" w:sz="0" w:space="0" w:color="auto"/>
        <w:bottom w:val="none" w:sz="0" w:space="0" w:color="auto"/>
        <w:right w:val="none" w:sz="0" w:space="0" w:color="auto"/>
      </w:divBdr>
    </w:div>
    <w:div w:id="1371956901">
      <w:bodyDiv w:val="1"/>
      <w:marLeft w:val="0"/>
      <w:marRight w:val="0"/>
      <w:marTop w:val="0"/>
      <w:marBottom w:val="0"/>
      <w:divBdr>
        <w:top w:val="none" w:sz="0" w:space="0" w:color="auto"/>
        <w:left w:val="none" w:sz="0" w:space="0" w:color="auto"/>
        <w:bottom w:val="none" w:sz="0" w:space="0" w:color="auto"/>
        <w:right w:val="none" w:sz="0" w:space="0" w:color="auto"/>
      </w:divBdr>
    </w:div>
    <w:div w:id="1377511208">
      <w:bodyDiv w:val="1"/>
      <w:marLeft w:val="0"/>
      <w:marRight w:val="0"/>
      <w:marTop w:val="0"/>
      <w:marBottom w:val="0"/>
      <w:divBdr>
        <w:top w:val="none" w:sz="0" w:space="0" w:color="auto"/>
        <w:left w:val="none" w:sz="0" w:space="0" w:color="auto"/>
        <w:bottom w:val="none" w:sz="0" w:space="0" w:color="auto"/>
        <w:right w:val="none" w:sz="0" w:space="0" w:color="auto"/>
      </w:divBdr>
    </w:div>
    <w:div w:id="1381394927">
      <w:bodyDiv w:val="1"/>
      <w:marLeft w:val="0"/>
      <w:marRight w:val="0"/>
      <w:marTop w:val="0"/>
      <w:marBottom w:val="0"/>
      <w:divBdr>
        <w:top w:val="none" w:sz="0" w:space="0" w:color="auto"/>
        <w:left w:val="none" w:sz="0" w:space="0" w:color="auto"/>
        <w:bottom w:val="none" w:sz="0" w:space="0" w:color="auto"/>
        <w:right w:val="none" w:sz="0" w:space="0" w:color="auto"/>
      </w:divBdr>
    </w:div>
    <w:div w:id="1382749472">
      <w:bodyDiv w:val="1"/>
      <w:marLeft w:val="0"/>
      <w:marRight w:val="0"/>
      <w:marTop w:val="0"/>
      <w:marBottom w:val="0"/>
      <w:divBdr>
        <w:top w:val="none" w:sz="0" w:space="0" w:color="auto"/>
        <w:left w:val="none" w:sz="0" w:space="0" w:color="auto"/>
        <w:bottom w:val="none" w:sz="0" w:space="0" w:color="auto"/>
        <w:right w:val="none" w:sz="0" w:space="0" w:color="auto"/>
      </w:divBdr>
    </w:div>
    <w:div w:id="1385175261">
      <w:bodyDiv w:val="1"/>
      <w:marLeft w:val="0"/>
      <w:marRight w:val="0"/>
      <w:marTop w:val="0"/>
      <w:marBottom w:val="0"/>
      <w:divBdr>
        <w:top w:val="none" w:sz="0" w:space="0" w:color="auto"/>
        <w:left w:val="none" w:sz="0" w:space="0" w:color="auto"/>
        <w:bottom w:val="none" w:sz="0" w:space="0" w:color="auto"/>
        <w:right w:val="none" w:sz="0" w:space="0" w:color="auto"/>
      </w:divBdr>
    </w:div>
    <w:div w:id="1388064534">
      <w:bodyDiv w:val="1"/>
      <w:marLeft w:val="0"/>
      <w:marRight w:val="0"/>
      <w:marTop w:val="0"/>
      <w:marBottom w:val="0"/>
      <w:divBdr>
        <w:top w:val="none" w:sz="0" w:space="0" w:color="auto"/>
        <w:left w:val="none" w:sz="0" w:space="0" w:color="auto"/>
        <w:bottom w:val="none" w:sz="0" w:space="0" w:color="auto"/>
        <w:right w:val="none" w:sz="0" w:space="0" w:color="auto"/>
      </w:divBdr>
    </w:div>
    <w:div w:id="1390036938">
      <w:bodyDiv w:val="1"/>
      <w:marLeft w:val="0"/>
      <w:marRight w:val="0"/>
      <w:marTop w:val="0"/>
      <w:marBottom w:val="0"/>
      <w:divBdr>
        <w:top w:val="none" w:sz="0" w:space="0" w:color="auto"/>
        <w:left w:val="none" w:sz="0" w:space="0" w:color="auto"/>
        <w:bottom w:val="none" w:sz="0" w:space="0" w:color="auto"/>
        <w:right w:val="none" w:sz="0" w:space="0" w:color="auto"/>
      </w:divBdr>
    </w:div>
    <w:div w:id="1392344093">
      <w:bodyDiv w:val="1"/>
      <w:marLeft w:val="0"/>
      <w:marRight w:val="0"/>
      <w:marTop w:val="0"/>
      <w:marBottom w:val="0"/>
      <w:divBdr>
        <w:top w:val="none" w:sz="0" w:space="0" w:color="auto"/>
        <w:left w:val="none" w:sz="0" w:space="0" w:color="auto"/>
        <w:bottom w:val="none" w:sz="0" w:space="0" w:color="auto"/>
        <w:right w:val="none" w:sz="0" w:space="0" w:color="auto"/>
      </w:divBdr>
    </w:div>
    <w:div w:id="1393960801">
      <w:bodyDiv w:val="1"/>
      <w:marLeft w:val="0"/>
      <w:marRight w:val="0"/>
      <w:marTop w:val="0"/>
      <w:marBottom w:val="0"/>
      <w:divBdr>
        <w:top w:val="none" w:sz="0" w:space="0" w:color="auto"/>
        <w:left w:val="none" w:sz="0" w:space="0" w:color="auto"/>
        <w:bottom w:val="none" w:sz="0" w:space="0" w:color="auto"/>
        <w:right w:val="none" w:sz="0" w:space="0" w:color="auto"/>
      </w:divBdr>
    </w:div>
    <w:div w:id="1395272235">
      <w:bodyDiv w:val="1"/>
      <w:marLeft w:val="0"/>
      <w:marRight w:val="0"/>
      <w:marTop w:val="0"/>
      <w:marBottom w:val="0"/>
      <w:divBdr>
        <w:top w:val="none" w:sz="0" w:space="0" w:color="auto"/>
        <w:left w:val="none" w:sz="0" w:space="0" w:color="auto"/>
        <w:bottom w:val="none" w:sz="0" w:space="0" w:color="auto"/>
        <w:right w:val="none" w:sz="0" w:space="0" w:color="auto"/>
      </w:divBdr>
    </w:div>
    <w:div w:id="1400135114">
      <w:bodyDiv w:val="1"/>
      <w:marLeft w:val="0"/>
      <w:marRight w:val="0"/>
      <w:marTop w:val="0"/>
      <w:marBottom w:val="0"/>
      <w:divBdr>
        <w:top w:val="none" w:sz="0" w:space="0" w:color="auto"/>
        <w:left w:val="none" w:sz="0" w:space="0" w:color="auto"/>
        <w:bottom w:val="none" w:sz="0" w:space="0" w:color="auto"/>
        <w:right w:val="none" w:sz="0" w:space="0" w:color="auto"/>
      </w:divBdr>
    </w:div>
    <w:div w:id="1400324064">
      <w:bodyDiv w:val="1"/>
      <w:marLeft w:val="0"/>
      <w:marRight w:val="0"/>
      <w:marTop w:val="0"/>
      <w:marBottom w:val="0"/>
      <w:divBdr>
        <w:top w:val="none" w:sz="0" w:space="0" w:color="auto"/>
        <w:left w:val="none" w:sz="0" w:space="0" w:color="auto"/>
        <w:bottom w:val="none" w:sz="0" w:space="0" w:color="auto"/>
        <w:right w:val="none" w:sz="0" w:space="0" w:color="auto"/>
      </w:divBdr>
    </w:div>
    <w:div w:id="1404064276">
      <w:bodyDiv w:val="1"/>
      <w:marLeft w:val="0"/>
      <w:marRight w:val="0"/>
      <w:marTop w:val="0"/>
      <w:marBottom w:val="0"/>
      <w:divBdr>
        <w:top w:val="none" w:sz="0" w:space="0" w:color="auto"/>
        <w:left w:val="none" w:sz="0" w:space="0" w:color="auto"/>
        <w:bottom w:val="none" w:sz="0" w:space="0" w:color="auto"/>
        <w:right w:val="none" w:sz="0" w:space="0" w:color="auto"/>
      </w:divBdr>
    </w:div>
    <w:div w:id="1405176434">
      <w:bodyDiv w:val="1"/>
      <w:marLeft w:val="0"/>
      <w:marRight w:val="0"/>
      <w:marTop w:val="0"/>
      <w:marBottom w:val="0"/>
      <w:divBdr>
        <w:top w:val="none" w:sz="0" w:space="0" w:color="auto"/>
        <w:left w:val="none" w:sz="0" w:space="0" w:color="auto"/>
        <w:bottom w:val="none" w:sz="0" w:space="0" w:color="auto"/>
        <w:right w:val="none" w:sz="0" w:space="0" w:color="auto"/>
      </w:divBdr>
    </w:div>
    <w:div w:id="1411073575">
      <w:bodyDiv w:val="1"/>
      <w:marLeft w:val="0"/>
      <w:marRight w:val="0"/>
      <w:marTop w:val="0"/>
      <w:marBottom w:val="0"/>
      <w:divBdr>
        <w:top w:val="none" w:sz="0" w:space="0" w:color="auto"/>
        <w:left w:val="none" w:sz="0" w:space="0" w:color="auto"/>
        <w:bottom w:val="none" w:sz="0" w:space="0" w:color="auto"/>
        <w:right w:val="none" w:sz="0" w:space="0" w:color="auto"/>
      </w:divBdr>
    </w:div>
    <w:div w:id="1418474464">
      <w:bodyDiv w:val="1"/>
      <w:marLeft w:val="0"/>
      <w:marRight w:val="0"/>
      <w:marTop w:val="0"/>
      <w:marBottom w:val="0"/>
      <w:divBdr>
        <w:top w:val="none" w:sz="0" w:space="0" w:color="auto"/>
        <w:left w:val="none" w:sz="0" w:space="0" w:color="auto"/>
        <w:bottom w:val="none" w:sz="0" w:space="0" w:color="auto"/>
        <w:right w:val="none" w:sz="0" w:space="0" w:color="auto"/>
      </w:divBdr>
    </w:div>
    <w:div w:id="1423986081">
      <w:bodyDiv w:val="1"/>
      <w:marLeft w:val="0"/>
      <w:marRight w:val="0"/>
      <w:marTop w:val="0"/>
      <w:marBottom w:val="0"/>
      <w:divBdr>
        <w:top w:val="none" w:sz="0" w:space="0" w:color="auto"/>
        <w:left w:val="none" w:sz="0" w:space="0" w:color="auto"/>
        <w:bottom w:val="none" w:sz="0" w:space="0" w:color="auto"/>
        <w:right w:val="none" w:sz="0" w:space="0" w:color="auto"/>
      </w:divBdr>
    </w:div>
    <w:div w:id="1428388019">
      <w:bodyDiv w:val="1"/>
      <w:marLeft w:val="0"/>
      <w:marRight w:val="0"/>
      <w:marTop w:val="0"/>
      <w:marBottom w:val="0"/>
      <w:divBdr>
        <w:top w:val="none" w:sz="0" w:space="0" w:color="auto"/>
        <w:left w:val="none" w:sz="0" w:space="0" w:color="auto"/>
        <w:bottom w:val="none" w:sz="0" w:space="0" w:color="auto"/>
        <w:right w:val="none" w:sz="0" w:space="0" w:color="auto"/>
      </w:divBdr>
    </w:div>
    <w:div w:id="1432047471">
      <w:bodyDiv w:val="1"/>
      <w:marLeft w:val="0"/>
      <w:marRight w:val="0"/>
      <w:marTop w:val="0"/>
      <w:marBottom w:val="0"/>
      <w:divBdr>
        <w:top w:val="none" w:sz="0" w:space="0" w:color="auto"/>
        <w:left w:val="none" w:sz="0" w:space="0" w:color="auto"/>
        <w:bottom w:val="none" w:sz="0" w:space="0" w:color="auto"/>
        <w:right w:val="none" w:sz="0" w:space="0" w:color="auto"/>
      </w:divBdr>
    </w:div>
    <w:div w:id="1435977457">
      <w:bodyDiv w:val="1"/>
      <w:marLeft w:val="0"/>
      <w:marRight w:val="0"/>
      <w:marTop w:val="0"/>
      <w:marBottom w:val="0"/>
      <w:divBdr>
        <w:top w:val="none" w:sz="0" w:space="0" w:color="auto"/>
        <w:left w:val="none" w:sz="0" w:space="0" w:color="auto"/>
        <w:bottom w:val="none" w:sz="0" w:space="0" w:color="auto"/>
        <w:right w:val="none" w:sz="0" w:space="0" w:color="auto"/>
      </w:divBdr>
    </w:div>
    <w:div w:id="1436169295">
      <w:bodyDiv w:val="1"/>
      <w:marLeft w:val="0"/>
      <w:marRight w:val="0"/>
      <w:marTop w:val="0"/>
      <w:marBottom w:val="0"/>
      <w:divBdr>
        <w:top w:val="none" w:sz="0" w:space="0" w:color="auto"/>
        <w:left w:val="none" w:sz="0" w:space="0" w:color="auto"/>
        <w:bottom w:val="none" w:sz="0" w:space="0" w:color="auto"/>
        <w:right w:val="none" w:sz="0" w:space="0" w:color="auto"/>
      </w:divBdr>
    </w:div>
    <w:div w:id="1436706893">
      <w:bodyDiv w:val="1"/>
      <w:marLeft w:val="0"/>
      <w:marRight w:val="0"/>
      <w:marTop w:val="0"/>
      <w:marBottom w:val="0"/>
      <w:divBdr>
        <w:top w:val="none" w:sz="0" w:space="0" w:color="auto"/>
        <w:left w:val="none" w:sz="0" w:space="0" w:color="auto"/>
        <w:bottom w:val="none" w:sz="0" w:space="0" w:color="auto"/>
        <w:right w:val="none" w:sz="0" w:space="0" w:color="auto"/>
      </w:divBdr>
    </w:div>
    <w:div w:id="1439446931">
      <w:bodyDiv w:val="1"/>
      <w:marLeft w:val="0"/>
      <w:marRight w:val="0"/>
      <w:marTop w:val="0"/>
      <w:marBottom w:val="0"/>
      <w:divBdr>
        <w:top w:val="none" w:sz="0" w:space="0" w:color="auto"/>
        <w:left w:val="none" w:sz="0" w:space="0" w:color="auto"/>
        <w:bottom w:val="none" w:sz="0" w:space="0" w:color="auto"/>
        <w:right w:val="none" w:sz="0" w:space="0" w:color="auto"/>
      </w:divBdr>
    </w:div>
    <w:div w:id="1442334647">
      <w:bodyDiv w:val="1"/>
      <w:marLeft w:val="0"/>
      <w:marRight w:val="0"/>
      <w:marTop w:val="0"/>
      <w:marBottom w:val="0"/>
      <w:divBdr>
        <w:top w:val="none" w:sz="0" w:space="0" w:color="auto"/>
        <w:left w:val="none" w:sz="0" w:space="0" w:color="auto"/>
        <w:bottom w:val="none" w:sz="0" w:space="0" w:color="auto"/>
        <w:right w:val="none" w:sz="0" w:space="0" w:color="auto"/>
      </w:divBdr>
    </w:div>
    <w:div w:id="1443306468">
      <w:bodyDiv w:val="1"/>
      <w:marLeft w:val="0"/>
      <w:marRight w:val="0"/>
      <w:marTop w:val="0"/>
      <w:marBottom w:val="0"/>
      <w:divBdr>
        <w:top w:val="none" w:sz="0" w:space="0" w:color="auto"/>
        <w:left w:val="none" w:sz="0" w:space="0" w:color="auto"/>
        <w:bottom w:val="none" w:sz="0" w:space="0" w:color="auto"/>
        <w:right w:val="none" w:sz="0" w:space="0" w:color="auto"/>
      </w:divBdr>
    </w:div>
    <w:div w:id="1448154977">
      <w:bodyDiv w:val="1"/>
      <w:marLeft w:val="0"/>
      <w:marRight w:val="0"/>
      <w:marTop w:val="0"/>
      <w:marBottom w:val="0"/>
      <w:divBdr>
        <w:top w:val="none" w:sz="0" w:space="0" w:color="auto"/>
        <w:left w:val="none" w:sz="0" w:space="0" w:color="auto"/>
        <w:bottom w:val="none" w:sz="0" w:space="0" w:color="auto"/>
        <w:right w:val="none" w:sz="0" w:space="0" w:color="auto"/>
      </w:divBdr>
    </w:div>
    <w:div w:id="1456484796">
      <w:bodyDiv w:val="1"/>
      <w:marLeft w:val="0"/>
      <w:marRight w:val="0"/>
      <w:marTop w:val="0"/>
      <w:marBottom w:val="0"/>
      <w:divBdr>
        <w:top w:val="none" w:sz="0" w:space="0" w:color="auto"/>
        <w:left w:val="none" w:sz="0" w:space="0" w:color="auto"/>
        <w:bottom w:val="none" w:sz="0" w:space="0" w:color="auto"/>
        <w:right w:val="none" w:sz="0" w:space="0" w:color="auto"/>
      </w:divBdr>
    </w:div>
    <w:div w:id="1458062967">
      <w:bodyDiv w:val="1"/>
      <w:marLeft w:val="0"/>
      <w:marRight w:val="0"/>
      <w:marTop w:val="0"/>
      <w:marBottom w:val="0"/>
      <w:divBdr>
        <w:top w:val="none" w:sz="0" w:space="0" w:color="auto"/>
        <w:left w:val="none" w:sz="0" w:space="0" w:color="auto"/>
        <w:bottom w:val="none" w:sz="0" w:space="0" w:color="auto"/>
        <w:right w:val="none" w:sz="0" w:space="0" w:color="auto"/>
      </w:divBdr>
    </w:div>
    <w:div w:id="1458454809">
      <w:bodyDiv w:val="1"/>
      <w:marLeft w:val="0"/>
      <w:marRight w:val="0"/>
      <w:marTop w:val="0"/>
      <w:marBottom w:val="0"/>
      <w:divBdr>
        <w:top w:val="none" w:sz="0" w:space="0" w:color="auto"/>
        <w:left w:val="none" w:sz="0" w:space="0" w:color="auto"/>
        <w:bottom w:val="none" w:sz="0" w:space="0" w:color="auto"/>
        <w:right w:val="none" w:sz="0" w:space="0" w:color="auto"/>
      </w:divBdr>
    </w:div>
    <w:div w:id="1458524229">
      <w:bodyDiv w:val="1"/>
      <w:marLeft w:val="0"/>
      <w:marRight w:val="0"/>
      <w:marTop w:val="0"/>
      <w:marBottom w:val="0"/>
      <w:divBdr>
        <w:top w:val="none" w:sz="0" w:space="0" w:color="auto"/>
        <w:left w:val="none" w:sz="0" w:space="0" w:color="auto"/>
        <w:bottom w:val="none" w:sz="0" w:space="0" w:color="auto"/>
        <w:right w:val="none" w:sz="0" w:space="0" w:color="auto"/>
      </w:divBdr>
    </w:div>
    <w:div w:id="1461074488">
      <w:bodyDiv w:val="1"/>
      <w:marLeft w:val="0"/>
      <w:marRight w:val="0"/>
      <w:marTop w:val="0"/>
      <w:marBottom w:val="0"/>
      <w:divBdr>
        <w:top w:val="none" w:sz="0" w:space="0" w:color="auto"/>
        <w:left w:val="none" w:sz="0" w:space="0" w:color="auto"/>
        <w:bottom w:val="none" w:sz="0" w:space="0" w:color="auto"/>
        <w:right w:val="none" w:sz="0" w:space="0" w:color="auto"/>
      </w:divBdr>
    </w:div>
    <w:div w:id="1461194012">
      <w:bodyDiv w:val="1"/>
      <w:marLeft w:val="0"/>
      <w:marRight w:val="0"/>
      <w:marTop w:val="0"/>
      <w:marBottom w:val="0"/>
      <w:divBdr>
        <w:top w:val="none" w:sz="0" w:space="0" w:color="auto"/>
        <w:left w:val="none" w:sz="0" w:space="0" w:color="auto"/>
        <w:bottom w:val="none" w:sz="0" w:space="0" w:color="auto"/>
        <w:right w:val="none" w:sz="0" w:space="0" w:color="auto"/>
      </w:divBdr>
    </w:div>
    <w:div w:id="1461996438">
      <w:bodyDiv w:val="1"/>
      <w:marLeft w:val="0"/>
      <w:marRight w:val="0"/>
      <w:marTop w:val="0"/>
      <w:marBottom w:val="0"/>
      <w:divBdr>
        <w:top w:val="none" w:sz="0" w:space="0" w:color="auto"/>
        <w:left w:val="none" w:sz="0" w:space="0" w:color="auto"/>
        <w:bottom w:val="none" w:sz="0" w:space="0" w:color="auto"/>
        <w:right w:val="none" w:sz="0" w:space="0" w:color="auto"/>
      </w:divBdr>
    </w:div>
    <w:div w:id="1462307225">
      <w:bodyDiv w:val="1"/>
      <w:marLeft w:val="0"/>
      <w:marRight w:val="0"/>
      <w:marTop w:val="0"/>
      <w:marBottom w:val="0"/>
      <w:divBdr>
        <w:top w:val="none" w:sz="0" w:space="0" w:color="auto"/>
        <w:left w:val="none" w:sz="0" w:space="0" w:color="auto"/>
        <w:bottom w:val="none" w:sz="0" w:space="0" w:color="auto"/>
        <w:right w:val="none" w:sz="0" w:space="0" w:color="auto"/>
      </w:divBdr>
    </w:div>
    <w:div w:id="1463885404">
      <w:bodyDiv w:val="1"/>
      <w:marLeft w:val="0"/>
      <w:marRight w:val="0"/>
      <w:marTop w:val="0"/>
      <w:marBottom w:val="0"/>
      <w:divBdr>
        <w:top w:val="none" w:sz="0" w:space="0" w:color="auto"/>
        <w:left w:val="none" w:sz="0" w:space="0" w:color="auto"/>
        <w:bottom w:val="none" w:sz="0" w:space="0" w:color="auto"/>
        <w:right w:val="none" w:sz="0" w:space="0" w:color="auto"/>
      </w:divBdr>
    </w:div>
    <w:div w:id="1465923886">
      <w:bodyDiv w:val="1"/>
      <w:marLeft w:val="0"/>
      <w:marRight w:val="0"/>
      <w:marTop w:val="0"/>
      <w:marBottom w:val="0"/>
      <w:divBdr>
        <w:top w:val="none" w:sz="0" w:space="0" w:color="auto"/>
        <w:left w:val="none" w:sz="0" w:space="0" w:color="auto"/>
        <w:bottom w:val="none" w:sz="0" w:space="0" w:color="auto"/>
        <w:right w:val="none" w:sz="0" w:space="0" w:color="auto"/>
      </w:divBdr>
    </w:div>
    <w:div w:id="1465928575">
      <w:bodyDiv w:val="1"/>
      <w:marLeft w:val="0"/>
      <w:marRight w:val="0"/>
      <w:marTop w:val="0"/>
      <w:marBottom w:val="0"/>
      <w:divBdr>
        <w:top w:val="none" w:sz="0" w:space="0" w:color="auto"/>
        <w:left w:val="none" w:sz="0" w:space="0" w:color="auto"/>
        <w:bottom w:val="none" w:sz="0" w:space="0" w:color="auto"/>
        <w:right w:val="none" w:sz="0" w:space="0" w:color="auto"/>
      </w:divBdr>
    </w:div>
    <w:div w:id="1474635352">
      <w:bodyDiv w:val="1"/>
      <w:marLeft w:val="0"/>
      <w:marRight w:val="0"/>
      <w:marTop w:val="0"/>
      <w:marBottom w:val="0"/>
      <w:divBdr>
        <w:top w:val="none" w:sz="0" w:space="0" w:color="auto"/>
        <w:left w:val="none" w:sz="0" w:space="0" w:color="auto"/>
        <w:bottom w:val="none" w:sz="0" w:space="0" w:color="auto"/>
        <w:right w:val="none" w:sz="0" w:space="0" w:color="auto"/>
      </w:divBdr>
    </w:div>
    <w:div w:id="1475175715">
      <w:bodyDiv w:val="1"/>
      <w:marLeft w:val="0"/>
      <w:marRight w:val="0"/>
      <w:marTop w:val="0"/>
      <w:marBottom w:val="0"/>
      <w:divBdr>
        <w:top w:val="none" w:sz="0" w:space="0" w:color="auto"/>
        <w:left w:val="none" w:sz="0" w:space="0" w:color="auto"/>
        <w:bottom w:val="none" w:sz="0" w:space="0" w:color="auto"/>
        <w:right w:val="none" w:sz="0" w:space="0" w:color="auto"/>
      </w:divBdr>
    </w:div>
    <w:div w:id="1479227813">
      <w:bodyDiv w:val="1"/>
      <w:marLeft w:val="0"/>
      <w:marRight w:val="0"/>
      <w:marTop w:val="0"/>
      <w:marBottom w:val="0"/>
      <w:divBdr>
        <w:top w:val="none" w:sz="0" w:space="0" w:color="auto"/>
        <w:left w:val="none" w:sz="0" w:space="0" w:color="auto"/>
        <w:bottom w:val="none" w:sz="0" w:space="0" w:color="auto"/>
        <w:right w:val="none" w:sz="0" w:space="0" w:color="auto"/>
      </w:divBdr>
    </w:div>
    <w:div w:id="1485782143">
      <w:bodyDiv w:val="1"/>
      <w:marLeft w:val="0"/>
      <w:marRight w:val="0"/>
      <w:marTop w:val="0"/>
      <w:marBottom w:val="0"/>
      <w:divBdr>
        <w:top w:val="none" w:sz="0" w:space="0" w:color="auto"/>
        <w:left w:val="none" w:sz="0" w:space="0" w:color="auto"/>
        <w:bottom w:val="none" w:sz="0" w:space="0" w:color="auto"/>
        <w:right w:val="none" w:sz="0" w:space="0" w:color="auto"/>
      </w:divBdr>
    </w:div>
    <w:div w:id="1486624085">
      <w:bodyDiv w:val="1"/>
      <w:marLeft w:val="0"/>
      <w:marRight w:val="0"/>
      <w:marTop w:val="0"/>
      <w:marBottom w:val="0"/>
      <w:divBdr>
        <w:top w:val="none" w:sz="0" w:space="0" w:color="auto"/>
        <w:left w:val="none" w:sz="0" w:space="0" w:color="auto"/>
        <w:bottom w:val="none" w:sz="0" w:space="0" w:color="auto"/>
        <w:right w:val="none" w:sz="0" w:space="0" w:color="auto"/>
      </w:divBdr>
    </w:div>
    <w:div w:id="1491141625">
      <w:bodyDiv w:val="1"/>
      <w:marLeft w:val="0"/>
      <w:marRight w:val="0"/>
      <w:marTop w:val="0"/>
      <w:marBottom w:val="0"/>
      <w:divBdr>
        <w:top w:val="none" w:sz="0" w:space="0" w:color="auto"/>
        <w:left w:val="none" w:sz="0" w:space="0" w:color="auto"/>
        <w:bottom w:val="none" w:sz="0" w:space="0" w:color="auto"/>
        <w:right w:val="none" w:sz="0" w:space="0" w:color="auto"/>
      </w:divBdr>
    </w:div>
    <w:div w:id="1495338783">
      <w:bodyDiv w:val="1"/>
      <w:marLeft w:val="0"/>
      <w:marRight w:val="0"/>
      <w:marTop w:val="0"/>
      <w:marBottom w:val="0"/>
      <w:divBdr>
        <w:top w:val="none" w:sz="0" w:space="0" w:color="auto"/>
        <w:left w:val="none" w:sz="0" w:space="0" w:color="auto"/>
        <w:bottom w:val="none" w:sz="0" w:space="0" w:color="auto"/>
        <w:right w:val="none" w:sz="0" w:space="0" w:color="auto"/>
      </w:divBdr>
    </w:div>
    <w:div w:id="1497064863">
      <w:bodyDiv w:val="1"/>
      <w:marLeft w:val="0"/>
      <w:marRight w:val="0"/>
      <w:marTop w:val="0"/>
      <w:marBottom w:val="0"/>
      <w:divBdr>
        <w:top w:val="none" w:sz="0" w:space="0" w:color="auto"/>
        <w:left w:val="none" w:sz="0" w:space="0" w:color="auto"/>
        <w:bottom w:val="none" w:sz="0" w:space="0" w:color="auto"/>
        <w:right w:val="none" w:sz="0" w:space="0" w:color="auto"/>
      </w:divBdr>
    </w:div>
    <w:div w:id="1504275927">
      <w:bodyDiv w:val="1"/>
      <w:marLeft w:val="0"/>
      <w:marRight w:val="0"/>
      <w:marTop w:val="0"/>
      <w:marBottom w:val="0"/>
      <w:divBdr>
        <w:top w:val="none" w:sz="0" w:space="0" w:color="auto"/>
        <w:left w:val="none" w:sz="0" w:space="0" w:color="auto"/>
        <w:bottom w:val="none" w:sz="0" w:space="0" w:color="auto"/>
        <w:right w:val="none" w:sz="0" w:space="0" w:color="auto"/>
      </w:divBdr>
    </w:div>
    <w:div w:id="1504927369">
      <w:bodyDiv w:val="1"/>
      <w:marLeft w:val="0"/>
      <w:marRight w:val="0"/>
      <w:marTop w:val="0"/>
      <w:marBottom w:val="0"/>
      <w:divBdr>
        <w:top w:val="none" w:sz="0" w:space="0" w:color="auto"/>
        <w:left w:val="none" w:sz="0" w:space="0" w:color="auto"/>
        <w:bottom w:val="none" w:sz="0" w:space="0" w:color="auto"/>
        <w:right w:val="none" w:sz="0" w:space="0" w:color="auto"/>
      </w:divBdr>
    </w:div>
    <w:div w:id="1508867634">
      <w:bodyDiv w:val="1"/>
      <w:marLeft w:val="0"/>
      <w:marRight w:val="0"/>
      <w:marTop w:val="0"/>
      <w:marBottom w:val="0"/>
      <w:divBdr>
        <w:top w:val="none" w:sz="0" w:space="0" w:color="auto"/>
        <w:left w:val="none" w:sz="0" w:space="0" w:color="auto"/>
        <w:bottom w:val="none" w:sz="0" w:space="0" w:color="auto"/>
        <w:right w:val="none" w:sz="0" w:space="0" w:color="auto"/>
      </w:divBdr>
    </w:div>
    <w:div w:id="1512722364">
      <w:bodyDiv w:val="1"/>
      <w:marLeft w:val="0"/>
      <w:marRight w:val="0"/>
      <w:marTop w:val="0"/>
      <w:marBottom w:val="0"/>
      <w:divBdr>
        <w:top w:val="none" w:sz="0" w:space="0" w:color="auto"/>
        <w:left w:val="none" w:sz="0" w:space="0" w:color="auto"/>
        <w:bottom w:val="none" w:sz="0" w:space="0" w:color="auto"/>
        <w:right w:val="none" w:sz="0" w:space="0" w:color="auto"/>
      </w:divBdr>
    </w:div>
    <w:div w:id="1513451655">
      <w:bodyDiv w:val="1"/>
      <w:marLeft w:val="0"/>
      <w:marRight w:val="0"/>
      <w:marTop w:val="0"/>
      <w:marBottom w:val="0"/>
      <w:divBdr>
        <w:top w:val="none" w:sz="0" w:space="0" w:color="auto"/>
        <w:left w:val="none" w:sz="0" w:space="0" w:color="auto"/>
        <w:bottom w:val="none" w:sz="0" w:space="0" w:color="auto"/>
        <w:right w:val="none" w:sz="0" w:space="0" w:color="auto"/>
      </w:divBdr>
    </w:div>
    <w:div w:id="1515726713">
      <w:bodyDiv w:val="1"/>
      <w:marLeft w:val="0"/>
      <w:marRight w:val="0"/>
      <w:marTop w:val="0"/>
      <w:marBottom w:val="0"/>
      <w:divBdr>
        <w:top w:val="none" w:sz="0" w:space="0" w:color="auto"/>
        <w:left w:val="none" w:sz="0" w:space="0" w:color="auto"/>
        <w:bottom w:val="none" w:sz="0" w:space="0" w:color="auto"/>
        <w:right w:val="none" w:sz="0" w:space="0" w:color="auto"/>
      </w:divBdr>
    </w:div>
    <w:div w:id="1516726766">
      <w:bodyDiv w:val="1"/>
      <w:marLeft w:val="0"/>
      <w:marRight w:val="0"/>
      <w:marTop w:val="0"/>
      <w:marBottom w:val="0"/>
      <w:divBdr>
        <w:top w:val="none" w:sz="0" w:space="0" w:color="auto"/>
        <w:left w:val="none" w:sz="0" w:space="0" w:color="auto"/>
        <w:bottom w:val="none" w:sz="0" w:space="0" w:color="auto"/>
        <w:right w:val="none" w:sz="0" w:space="0" w:color="auto"/>
      </w:divBdr>
    </w:div>
    <w:div w:id="1527981454">
      <w:bodyDiv w:val="1"/>
      <w:marLeft w:val="0"/>
      <w:marRight w:val="0"/>
      <w:marTop w:val="0"/>
      <w:marBottom w:val="0"/>
      <w:divBdr>
        <w:top w:val="none" w:sz="0" w:space="0" w:color="auto"/>
        <w:left w:val="none" w:sz="0" w:space="0" w:color="auto"/>
        <w:bottom w:val="none" w:sz="0" w:space="0" w:color="auto"/>
        <w:right w:val="none" w:sz="0" w:space="0" w:color="auto"/>
      </w:divBdr>
    </w:div>
    <w:div w:id="1530530750">
      <w:bodyDiv w:val="1"/>
      <w:marLeft w:val="0"/>
      <w:marRight w:val="0"/>
      <w:marTop w:val="0"/>
      <w:marBottom w:val="0"/>
      <w:divBdr>
        <w:top w:val="none" w:sz="0" w:space="0" w:color="auto"/>
        <w:left w:val="none" w:sz="0" w:space="0" w:color="auto"/>
        <w:bottom w:val="none" w:sz="0" w:space="0" w:color="auto"/>
        <w:right w:val="none" w:sz="0" w:space="0" w:color="auto"/>
      </w:divBdr>
    </w:div>
    <w:div w:id="1540169862">
      <w:bodyDiv w:val="1"/>
      <w:marLeft w:val="0"/>
      <w:marRight w:val="0"/>
      <w:marTop w:val="0"/>
      <w:marBottom w:val="0"/>
      <w:divBdr>
        <w:top w:val="none" w:sz="0" w:space="0" w:color="auto"/>
        <w:left w:val="none" w:sz="0" w:space="0" w:color="auto"/>
        <w:bottom w:val="none" w:sz="0" w:space="0" w:color="auto"/>
        <w:right w:val="none" w:sz="0" w:space="0" w:color="auto"/>
      </w:divBdr>
    </w:div>
    <w:div w:id="1541472654">
      <w:bodyDiv w:val="1"/>
      <w:marLeft w:val="0"/>
      <w:marRight w:val="0"/>
      <w:marTop w:val="0"/>
      <w:marBottom w:val="0"/>
      <w:divBdr>
        <w:top w:val="none" w:sz="0" w:space="0" w:color="auto"/>
        <w:left w:val="none" w:sz="0" w:space="0" w:color="auto"/>
        <w:bottom w:val="none" w:sz="0" w:space="0" w:color="auto"/>
        <w:right w:val="none" w:sz="0" w:space="0" w:color="auto"/>
      </w:divBdr>
    </w:div>
    <w:div w:id="1555703640">
      <w:bodyDiv w:val="1"/>
      <w:marLeft w:val="0"/>
      <w:marRight w:val="0"/>
      <w:marTop w:val="0"/>
      <w:marBottom w:val="0"/>
      <w:divBdr>
        <w:top w:val="none" w:sz="0" w:space="0" w:color="auto"/>
        <w:left w:val="none" w:sz="0" w:space="0" w:color="auto"/>
        <w:bottom w:val="none" w:sz="0" w:space="0" w:color="auto"/>
        <w:right w:val="none" w:sz="0" w:space="0" w:color="auto"/>
      </w:divBdr>
    </w:div>
    <w:div w:id="1556239108">
      <w:bodyDiv w:val="1"/>
      <w:marLeft w:val="0"/>
      <w:marRight w:val="0"/>
      <w:marTop w:val="0"/>
      <w:marBottom w:val="0"/>
      <w:divBdr>
        <w:top w:val="none" w:sz="0" w:space="0" w:color="auto"/>
        <w:left w:val="none" w:sz="0" w:space="0" w:color="auto"/>
        <w:bottom w:val="none" w:sz="0" w:space="0" w:color="auto"/>
        <w:right w:val="none" w:sz="0" w:space="0" w:color="auto"/>
      </w:divBdr>
    </w:div>
    <w:div w:id="1557473925">
      <w:bodyDiv w:val="1"/>
      <w:marLeft w:val="0"/>
      <w:marRight w:val="0"/>
      <w:marTop w:val="0"/>
      <w:marBottom w:val="0"/>
      <w:divBdr>
        <w:top w:val="none" w:sz="0" w:space="0" w:color="auto"/>
        <w:left w:val="none" w:sz="0" w:space="0" w:color="auto"/>
        <w:bottom w:val="none" w:sz="0" w:space="0" w:color="auto"/>
        <w:right w:val="none" w:sz="0" w:space="0" w:color="auto"/>
      </w:divBdr>
    </w:div>
    <w:div w:id="1557617952">
      <w:bodyDiv w:val="1"/>
      <w:marLeft w:val="0"/>
      <w:marRight w:val="0"/>
      <w:marTop w:val="0"/>
      <w:marBottom w:val="0"/>
      <w:divBdr>
        <w:top w:val="none" w:sz="0" w:space="0" w:color="auto"/>
        <w:left w:val="none" w:sz="0" w:space="0" w:color="auto"/>
        <w:bottom w:val="none" w:sz="0" w:space="0" w:color="auto"/>
        <w:right w:val="none" w:sz="0" w:space="0" w:color="auto"/>
      </w:divBdr>
    </w:div>
    <w:div w:id="1560743253">
      <w:bodyDiv w:val="1"/>
      <w:marLeft w:val="0"/>
      <w:marRight w:val="0"/>
      <w:marTop w:val="0"/>
      <w:marBottom w:val="0"/>
      <w:divBdr>
        <w:top w:val="none" w:sz="0" w:space="0" w:color="auto"/>
        <w:left w:val="none" w:sz="0" w:space="0" w:color="auto"/>
        <w:bottom w:val="none" w:sz="0" w:space="0" w:color="auto"/>
        <w:right w:val="none" w:sz="0" w:space="0" w:color="auto"/>
      </w:divBdr>
    </w:div>
    <w:div w:id="1563717620">
      <w:bodyDiv w:val="1"/>
      <w:marLeft w:val="0"/>
      <w:marRight w:val="0"/>
      <w:marTop w:val="0"/>
      <w:marBottom w:val="0"/>
      <w:divBdr>
        <w:top w:val="none" w:sz="0" w:space="0" w:color="auto"/>
        <w:left w:val="none" w:sz="0" w:space="0" w:color="auto"/>
        <w:bottom w:val="none" w:sz="0" w:space="0" w:color="auto"/>
        <w:right w:val="none" w:sz="0" w:space="0" w:color="auto"/>
      </w:divBdr>
    </w:div>
    <w:div w:id="1564295867">
      <w:bodyDiv w:val="1"/>
      <w:marLeft w:val="0"/>
      <w:marRight w:val="0"/>
      <w:marTop w:val="0"/>
      <w:marBottom w:val="0"/>
      <w:divBdr>
        <w:top w:val="none" w:sz="0" w:space="0" w:color="auto"/>
        <w:left w:val="none" w:sz="0" w:space="0" w:color="auto"/>
        <w:bottom w:val="none" w:sz="0" w:space="0" w:color="auto"/>
        <w:right w:val="none" w:sz="0" w:space="0" w:color="auto"/>
      </w:divBdr>
    </w:div>
    <w:div w:id="1571042589">
      <w:bodyDiv w:val="1"/>
      <w:marLeft w:val="0"/>
      <w:marRight w:val="0"/>
      <w:marTop w:val="0"/>
      <w:marBottom w:val="0"/>
      <w:divBdr>
        <w:top w:val="none" w:sz="0" w:space="0" w:color="auto"/>
        <w:left w:val="none" w:sz="0" w:space="0" w:color="auto"/>
        <w:bottom w:val="none" w:sz="0" w:space="0" w:color="auto"/>
        <w:right w:val="none" w:sz="0" w:space="0" w:color="auto"/>
      </w:divBdr>
    </w:div>
    <w:div w:id="1571959214">
      <w:bodyDiv w:val="1"/>
      <w:marLeft w:val="0"/>
      <w:marRight w:val="0"/>
      <w:marTop w:val="0"/>
      <w:marBottom w:val="0"/>
      <w:divBdr>
        <w:top w:val="none" w:sz="0" w:space="0" w:color="auto"/>
        <w:left w:val="none" w:sz="0" w:space="0" w:color="auto"/>
        <w:bottom w:val="none" w:sz="0" w:space="0" w:color="auto"/>
        <w:right w:val="none" w:sz="0" w:space="0" w:color="auto"/>
      </w:divBdr>
    </w:div>
    <w:div w:id="1584336581">
      <w:bodyDiv w:val="1"/>
      <w:marLeft w:val="0"/>
      <w:marRight w:val="0"/>
      <w:marTop w:val="0"/>
      <w:marBottom w:val="0"/>
      <w:divBdr>
        <w:top w:val="none" w:sz="0" w:space="0" w:color="auto"/>
        <w:left w:val="none" w:sz="0" w:space="0" w:color="auto"/>
        <w:bottom w:val="none" w:sz="0" w:space="0" w:color="auto"/>
        <w:right w:val="none" w:sz="0" w:space="0" w:color="auto"/>
      </w:divBdr>
    </w:div>
    <w:div w:id="1586648730">
      <w:bodyDiv w:val="1"/>
      <w:marLeft w:val="0"/>
      <w:marRight w:val="0"/>
      <w:marTop w:val="0"/>
      <w:marBottom w:val="0"/>
      <w:divBdr>
        <w:top w:val="none" w:sz="0" w:space="0" w:color="auto"/>
        <w:left w:val="none" w:sz="0" w:space="0" w:color="auto"/>
        <w:bottom w:val="none" w:sz="0" w:space="0" w:color="auto"/>
        <w:right w:val="none" w:sz="0" w:space="0" w:color="auto"/>
      </w:divBdr>
    </w:div>
    <w:div w:id="1587037890">
      <w:bodyDiv w:val="1"/>
      <w:marLeft w:val="0"/>
      <w:marRight w:val="0"/>
      <w:marTop w:val="0"/>
      <w:marBottom w:val="0"/>
      <w:divBdr>
        <w:top w:val="none" w:sz="0" w:space="0" w:color="auto"/>
        <w:left w:val="none" w:sz="0" w:space="0" w:color="auto"/>
        <w:bottom w:val="none" w:sz="0" w:space="0" w:color="auto"/>
        <w:right w:val="none" w:sz="0" w:space="0" w:color="auto"/>
      </w:divBdr>
    </w:div>
    <w:div w:id="1590045250">
      <w:bodyDiv w:val="1"/>
      <w:marLeft w:val="0"/>
      <w:marRight w:val="0"/>
      <w:marTop w:val="0"/>
      <w:marBottom w:val="0"/>
      <w:divBdr>
        <w:top w:val="none" w:sz="0" w:space="0" w:color="auto"/>
        <w:left w:val="none" w:sz="0" w:space="0" w:color="auto"/>
        <w:bottom w:val="none" w:sz="0" w:space="0" w:color="auto"/>
        <w:right w:val="none" w:sz="0" w:space="0" w:color="auto"/>
      </w:divBdr>
    </w:div>
    <w:div w:id="1590192478">
      <w:bodyDiv w:val="1"/>
      <w:marLeft w:val="0"/>
      <w:marRight w:val="0"/>
      <w:marTop w:val="0"/>
      <w:marBottom w:val="0"/>
      <w:divBdr>
        <w:top w:val="none" w:sz="0" w:space="0" w:color="auto"/>
        <w:left w:val="none" w:sz="0" w:space="0" w:color="auto"/>
        <w:bottom w:val="none" w:sz="0" w:space="0" w:color="auto"/>
        <w:right w:val="none" w:sz="0" w:space="0" w:color="auto"/>
      </w:divBdr>
    </w:div>
    <w:div w:id="1593662882">
      <w:bodyDiv w:val="1"/>
      <w:marLeft w:val="0"/>
      <w:marRight w:val="0"/>
      <w:marTop w:val="0"/>
      <w:marBottom w:val="0"/>
      <w:divBdr>
        <w:top w:val="none" w:sz="0" w:space="0" w:color="auto"/>
        <w:left w:val="none" w:sz="0" w:space="0" w:color="auto"/>
        <w:bottom w:val="none" w:sz="0" w:space="0" w:color="auto"/>
        <w:right w:val="none" w:sz="0" w:space="0" w:color="auto"/>
      </w:divBdr>
    </w:div>
    <w:div w:id="1600797083">
      <w:bodyDiv w:val="1"/>
      <w:marLeft w:val="0"/>
      <w:marRight w:val="0"/>
      <w:marTop w:val="0"/>
      <w:marBottom w:val="0"/>
      <w:divBdr>
        <w:top w:val="none" w:sz="0" w:space="0" w:color="auto"/>
        <w:left w:val="none" w:sz="0" w:space="0" w:color="auto"/>
        <w:bottom w:val="none" w:sz="0" w:space="0" w:color="auto"/>
        <w:right w:val="none" w:sz="0" w:space="0" w:color="auto"/>
      </w:divBdr>
    </w:div>
    <w:div w:id="1602689931">
      <w:bodyDiv w:val="1"/>
      <w:marLeft w:val="0"/>
      <w:marRight w:val="0"/>
      <w:marTop w:val="0"/>
      <w:marBottom w:val="0"/>
      <w:divBdr>
        <w:top w:val="none" w:sz="0" w:space="0" w:color="auto"/>
        <w:left w:val="none" w:sz="0" w:space="0" w:color="auto"/>
        <w:bottom w:val="none" w:sz="0" w:space="0" w:color="auto"/>
        <w:right w:val="none" w:sz="0" w:space="0" w:color="auto"/>
      </w:divBdr>
    </w:div>
    <w:div w:id="1604217957">
      <w:bodyDiv w:val="1"/>
      <w:marLeft w:val="0"/>
      <w:marRight w:val="0"/>
      <w:marTop w:val="0"/>
      <w:marBottom w:val="0"/>
      <w:divBdr>
        <w:top w:val="none" w:sz="0" w:space="0" w:color="auto"/>
        <w:left w:val="none" w:sz="0" w:space="0" w:color="auto"/>
        <w:bottom w:val="none" w:sz="0" w:space="0" w:color="auto"/>
        <w:right w:val="none" w:sz="0" w:space="0" w:color="auto"/>
      </w:divBdr>
    </w:div>
    <w:div w:id="1607352060">
      <w:bodyDiv w:val="1"/>
      <w:marLeft w:val="0"/>
      <w:marRight w:val="0"/>
      <w:marTop w:val="0"/>
      <w:marBottom w:val="0"/>
      <w:divBdr>
        <w:top w:val="none" w:sz="0" w:space="0" w:color="auto"/>
        <w:left w:val="none" w:sz="0" w:space="0" w:color="auto"/>
        <w:bottom w:val="none" w:sz="0" w:space="0" w:color="auto"/>
        <w:right w:val="none" w:sz="0" w:space="0" w:color="auto"/>
      </w:divBdr>
    </w:div>
    <w:div w:id="1614050878">
      <w:bodyDiv w:val="1"/>
      <w:marLeft w:val="0"/>
      <w:marRight w:val="0"/>
      <w:marTop w:val="0"/>
      <w:marBottom w:val="0"/>
      <w:divBdr>
        <w:top w:val="none" w:sz="0" w:space="0" w:color="auto"/>
        <w:left w:val="none" w:sz="0" w:space="0" w:color="auto"/>
        <w:bottom w:val="none" w:sz="0" w:space="0" w:color="auto"/>
        <w:right w:val="none" w:sz="0" w:space="0" w:color="auto"/>
      </w:divBdr>
    </w:div>
    <w:div w:id="1616667471">
      <w:bodyDiv w:val="1"/>
      <w:marLeft w:val="0"/>
      <w:marRight w:val="0"/>
      <w:marTop w:val="0"/>
      <w:marBottom w:val="0"/>
      <w:divBdr>
        <w:top w:val="none" w:sz="0" w:space="0" w:color="auto"/>
        <w:left w:val="none" w:sz="0" w:space="0" w:color="auto"/>
        <w:bottom w:val="none" w:sz="0" w:space="0" w:color="auto"/>
        <w:right w:val="none" w:sz="0" w:space="0" w:color="auto"/>
      </w:divBdr>
    </w:div>
    <w:div w:id="1619069004">
      <w:bodyDiv w:val="1"/>
      <w:marLeft w:val="0"/>
      <w:marRight w:val="0"/>
      <w:marTop w:val="0"/>
      <w:marBottom w:val="0"/>
      <w:divBdr>
        <w:top w:val="none" w:sz="0" w:space="0" w:color="auto"/>
        <w:left w:val="none" w:sz="0" w:space="0" w:color="auto"/>
        <w:bottom w:val="none" w:sz="0" w:space="0" w:color="auto"/>
        <w:right w:val="none" w:sz="0" w:space="0" w:color="auto"/>
      </w:divBdr>
    </w:div>
    <w:div w:id="1626543936">
      <w:bodyDiv w:val="1"/>
      <w:marLeft w:val="0"/>
      <w:marRight w:val="0"/>
      <w:marTop w:val="0"/>
      <w:marBottom w:val="0"/>
      <w:divBdr>
        <w:top w:val="none" w:sz="0" w:space="0" w:color="auto"/>
        <w:left w:val="none" w:sz="0" w:space="0" w:color="auto"/>
        <w:bottom w:val="none" w:sz="0" w:space="0" w:color="auto"/>
        <w:right w:val="none" w:sz="0" w:space="0" w:color="auto"/>
      </w:divBdr>
    </w:div>
    <w:div w:id="1627198671">
      <w:bodyDiv w:val="1"/>
      <w:marLeft w:val="0"/>
      <w:marRight w:val="0"/>
      <w:marTop w:val="0"/>
      <w:marBottom w:val="0"/>
      <w:divBdr>
        <w:top w:val="none" w:sz="0" w:space="0" w:color="auto"/>
        <w:left w:val="none" w:sz="0" w:space="0" w:color="auto"/>
        <w:bottom w:val="none" w:sz="0" w:space="0" w:color="auto"/>
        <w:right w:val="none" w:sz="0" w:space="0" w:color="auto"/>
      </w:divBdr>
    </w:div>
    <w:div w:id="1627737796">
      <w:bodyDiv w:val="1"/>
      <w:marLeft w:val="0"/>
      <w:marRight w:val="0"/>
      <w:marTop w:val="0"/>
      <w:marBottom w:val="0"/>
      <w:divBdr>
        <w:top w:val="none" w:sz="0" w:space="0" w:color="auto"/>
        <w:left w:val="none" w:sz="0" w:space="0" w:color="auto"/>
        <w:bottom w:val="none" w:sz="0" w:space="0" w:color="auto"/>
        <w:right w:val="none" w:sz="0" w:space="0" w:color="auto"/>
      </w:divBdr>
    </w:div>
    <w:div w:id="1628001597">
      <w:bodyDiv w:val="1"/>
      <w:marLeft w:val="0"/>
      <w:marRight w:val="0"/>
      <w:marTop w:val="0"/>
      <w:marBottom w:val="0"/>
      <w:divBdr>
        <w:top w:val="none" w:sz="0" w:space="0" w:color="auto"/>
        <w:left w:val="none" w:sz="0" w:space="0" w:color="auto"/>
        <w:bottom w:val="none" w:sz="0" w:space="0" w:color="auto"/>
        <w:right w:val="none" w:sz="0" w:space="0" w:color="auto"/>
      </w:divBdr>
    </w:div>
    <w:div w:id="1630745247">
      <w:bodyDiv w:val="1"/>
      <w:marLeft w:val="0"/>
      <w:marRight w:val="0"/>
      <w:marTop w:val="0"/>
      <w:marBottom w:val="0"/>
      <w:divBdr>
        <w:top w:val="none" w:sz="0" w:space="0" w:color="auto"/>
        <w:left w:val="none" w:sz="0" w:space="0" w:color="auto"/>
        <w:bottom w:val="none" w:sz="0" w:space="0" w:color="auto"/>
        <w:right w:val="none" w:sz="0" w:space="0" w:color="auto"/>
      </w:divBdr>
    </w:div>
    <w:div w:id="1632055398">
      <w:bodyDiv w:val="1"/>
      <w:marLeft w:val="0"/>
      <w:marRight w:val="0"/>
      <w:marTop w:val="0"/>
      <w:marBottom w:val="0"/>
      <w:divBdr>
        <w:top w:val="none" w:sz="0" w:space="0" w:color="auto"/>
        <w:left w:val="none" w:sz="0" w:space="0" w:color="auto"/>
        <w:bottom w:val="none" w:sz="0" w:space="0" w:color="auto"/>
        <w:right w:val="none" w:sz="0" w:space="0" w:color="auto"/>
      </w:divBdr>
    </w:div>
    <w:div w:id="1632058899">
      <w:bodyDiv w:val="1"/>
      <w:marLeft w:val="0"/>
      <w:marRight w:val="0"/>
      <w:marTop w:val="0"/>
      <w:marBottom w:val="0"/>
      <w:divBdr>
        <w:top w:val="none" w:sz="0" w:space="0" w:color="auto"/>
        <w:left w:val="none" w:sz="0" w:space="0" w:color="auto"/>
        <w:bottom w:val="none" w:sz="0" w:space="0" w:color="auto"/>
        <w:right w:val="none" w:sz="0" w:space="0" w:color="auto"/>
      </w:divBdr>
    </w:div>
    <w:div w:id="1637182888">
      <w:bodyDiv w:val="1"/>
      <w:marLeft w:val="0"/>
      <w:marRight w:val="0"/>
      <w:marTop w:val="0"/>
      <w:marBottom w:val="0"/>
      <w:divBdr>
        <w:top w:val="none" w:sz="0" w:space="0" w:color="auto"/>
        <w:left w:val="none" w:sz="0" w:space="0" w:color="auto"/>
        <w:bottom w:val="none" w:sz="0" w:space="0" w:color="auto"/>
        <w:right w:val="none" w:sz="0" w:space="0" w:color="auto"/>
      </w:divBdr>
    </w:div>
    <w:div w:id="1640378588">
      <w:bodyDiv w:val="1"/>
      <w:marLeft w:val="0"/>
      <w:marRight w:val="0"/>
      <w:marTop w:val="0"/>
      <w:marBottom w:val="0"/>
      <w:divBdr>
        <w:top w:val="none" w:sz="0" w:space="0" w:color="auto"/>
        <w:left w:val="none" w:sz="0" w:space="0" w:color="auto"/>
        <w:bottom w:val="none" w:sz="0" w:space="0" w:color="auto"/>
        <w:right w:val="none" w:sz="0" w:space="0" w:color="auto"/>
      </w:divBdr>
    </w:div>
    <w:div w:id="1641762586">
      <w:bodyDiv w:val="1"/>
      <w:marLeft w:val="0"/>
      <w:marRight w:val="0"/>
      <w:marTop w:val="0"/>
      <w:marBottom w:val="0"/>
      <w:divBdr>
        <w:top w:val="none" w:sz="0" w:space="0" w:color="auto"/>
        <w:left w:val="none" w:sz="0" w:space="0" w:color="auto"/>
        <w:bottom w:val="none" w:sz="0" w:space="0" w:color="auto"/>
        <w:right w:val="none" w:sz="0" w:space="0" w:color="auto"/>
      </w:divBdr>
    </w:div>
    <w:div w:id="1643387721">
      <w:bodyDiv w:val="1"/>
      <w:marLeft w:val="0"/>
      <w:marRight w:val="0"/>
      <w:marTop w:val="0"/>
      <w:marBottom w:val="0"/>
      <w:divBdr>
        <w:top w:val="none" w:sz="0" w:space="0" w:color="auto"/>
        <w:left w:val="none" w:sz="0" w:space="0" w:color="auto"/>
        <w:bottom w:val="none" w:sz="0" w:space="0" w:color="auto"/>
        <w:right w:val="none" w:sz="0" w:space="0" w:color="auto"/>
      </w:divBdr>
    </w:div>
    <w:div w:id="1647276914">
      <w:bodyDiv w:val="1"/>
      <w:marLeft w:val="0"/>
      <w:marRight w:val="0"/>
      <w:marTop w:val="0"/>
      <w:marBottom w:val="0"/>
      <w:divBdr>
        <w:top w:val="none" w:sz="0" w:space="0" w:color="auto"/>
        <w:left w:val="none" w:sz="0" w:space="0" w:color="auto"/>
        <w:bottom w:val="none" w:sz="0" w:space="0" w:color="auto"/>
        <w:right w:val="none" w:sz="0" w:space="0" w:color="auto"/>
      </w:divBdr>
    </w:div>
    <w:div w:id="1654681633">
      <w:bodyDiv w:val="1"/>
      <w:marLeft w:val="0"/>
      <w:marRight w:val="0"/>
      <w:marTop w:val="0"/>
      <w:marBottom w:val="0"/>
      <w:divBdr>
        <w:top w:val="none" w:sz="0" w:space="0" w:color="auto"/>
        <w:left w:val="none" w:sz="0" w:space="0" w:color="auto"/>
        <w:bottom w:val="none" w:sz="0" w:space="0" w:color="auto"/>
        <w:right w:val="none" w:sz="0" w:space="0" w:color="auto"/>
      </w:divBdr>
    </w:div>
    <w:div w:id="1654721738">
      <w:bodyDiv w:val="1"/>
      <w:marLeft w:val="0"/>
      <w:marRight w:val="0"/>
      <w:marTop w:val="0"/>
      <w:marBottom w:val="0"/>
      <w:divBdr>
        <w:top w:val="none" w:sz="0" w:space="0" w:color="auto"/>
        <w:left w:val="none" w:sz="0" w:space="0" w:color="auto"/>
        <w:bottom w:val="none" w:sz="0" w:space="0" w:color="auto"/>
        <w:right w:val="none" w:sz="0" w:space="0" w:color="auto"/>
      </w:divBdr>
    </w:div>
    <w:div w:id="1655716198">
      <w:bodyDiv w:val="1"/>
      <w:marLeft w:val="0"/>
      <w:marRight w:val="0"/>
      <w:marTop w:val="0"/>
      <w:marBottom w:val="0"/>
      <w:divBdr>
        <w:top w:val="none" w:sz="0" w:space="0" w:color="auto"/>
        <w:left w:val="none" w:sz="0" w:space="0" w:color="auto"/>
        <w:bottom w:val="none" w:sz="0" w:space="0" w:color="auto"/>
        <w:right w:val="none" w:sz="0" w:space="0" w:color="auto"/>
      </w:divBdr>
    </w:div>
    <w:div w:id="1657953020">
      <w:bodyDiv w:val="1"/>
      <w:marLeft w:val="0"/>
      <w:marRight w:val="0"/>
      <w:marTop w:val="0"/>
      <w:marBottom w:val="0"/>
      <w:divBdr>
        <w:top w:val="none" w:sz="0" w:space="0" w:color="auto"/>
        <w:left w:val="none" w:sz="0" w:space="0" w:color="auto"/>
        <w:bottom w:val="none" w:sz="0" w:space="0" w:color="auto"/>
        <w:right w:val="none" w:sz="0" w:space="0" w:color="auto"/>
      </w:divBdr>
    </w:div>
    <w:div w:id="1658027569">
      <w:bodyDiv w:val="1"/>
      <w:marLeft w:val="0"/>
      <w:marRight w:val="0"/>
      <w:marTop w:val="0"/>
      <w:marBottom w:val="0"/>
      <w:divBdr>
        <w:top w:val="none" w:sz="0" w:space="0" w:color="auto"/>
        <w:left w:val="none" w:sz="0" w:space="0" w:color="auto"/>
        <w:bottom w:val="none" w:sz="0" w:space="0" w:color="auto"/>
        <w:right w:val="none" w:sz="0" w:space="0" w:color="auto"/>
      </w:divBdr>
    </w:div>
    <w:div w:id="1670205995">
      <w:bodyDiv w:val="1"/>
      <w:marLeft w:val="0"/>
      <w:marRight w:val="0"/>
      <w:marTop w:val="0"/>
      <w:marBottom w:val="0"/>
      <w:divBdr>
        <w:top w:val="none" w:sz="0" w:space="0" w:color="auto"/>
        <w:left w:val="none" w:sz="0" w:space="0" w:color="auto"/>
        <w:bottom w:val="none" w:sz="0" w:space="0" w:color="auto"/>
        <w:right w:val="none" w:sz="0" w:space="0" w:color="auto"/>
      </w:divBdr>
    </w:div>
    <w:div w:id="1677417376">
      <w:bodyDiv w:val="1"/>
      <w:marLeft w:val="0"/>
      <w:marRight w:val="0"/>
      <w:marTop w:val="0"/>
      <w:marBottom w:val="0"/>
      <w:divBdr>
        <w:top w:val="none" w:sz="0" w:space="0" w:color="auto"/>
        <w:left w:val="none" w:sz="0" w:space="0" w:color="auto"/>
        <w:bottom w:val="none" w:sz="0" w:space="0" w:color="auto"/>
        <w:right w:val="none" w:sz="0" w:space="0" w:color="auto"/>
      </w:divBdr>
    </w:div>
    <w:div w:id="1679385445">
      <w:bodyDiv w:val="1"/>
      <w:marLeft w:val="0"/>
      <w:marRight w:val="0"/>
      <w:marTop w:val="0"/>
      <w:marBottom w:val="0"/>
      <w:divBdr>
        <w:top w:val="none" w:sz="0" w:space="0" w:color="auto"/>
        <w:left w:val="none" w:sz="0" w:space="0" w:color="auto"/>
        <w:bottom w:val="none" w:sz="0" w:space="0" w:color="auto"/>
        <w:right w:val="none" w:sz="0" w:space="0" w:color="auto"/>
      </w:divBdr>
    </w:div>
    <w:div w:id="1680426319">
      <w:bodyDiv w:val="1"/>
      <w:marLeft w:val="0"/>
      <w:marRight w:val="0"/>
      <w:marTop w:val="0"/>
      <w:marBottom w:val="0"/>
      <w:divBdr>
        <w:top w:val="none" w:sz="0" w:space="0" w:color="auto"/>
        <w:left w:val="none" w:sz="0" w:space="0" w:color="auto"/>
        <w:bottom w:val="none" w:sz="0" w:space="0" w:color="auto"/>
        <w:right w:val="none" w:sz="0" w:space="0" w:color="auto"/>
      </w:divBdr>
    </w:div>
    <w:div w:id="1683432803">
      <w:bodyDiv w:val="1"/>
      <w:marLeft w:val="0"/>
      <w:marRight w:val="0"/>
      <w:marTop w:val="0"/>
      <w:marBottom w:val="0"/>
      <w:divBdr>
        <w:top w:val="none" w:sz="0" w:space="0" w:color="auto"/>
        <w:left w:val="none" w:sz="0" w:space="0" w:color="auto"/>
        <w:bottom w:val="none" w:sz="0" w:space="0" w:color="auto"/>
        <w:right w:val="none" w:sz="0" w:space="0" w:color="auto"/>
      </w:divBdr>
    </w:div>
    <w:div w:id="1685548075">
      <w:bodyDiv w:val="1"/>
      <w:marLeft w:val="0"/>
      <w:marRight w:val="0"/>
      <w:marTop w:val="0"/>
      <w:marBottom w:val="0"/>
      <w:divBdr>
        <w:top w:val="none" w:sz="0" w:space="0" w:color="auto"/>
        <w:left w:val="none" w:sz="0" w:space="0" w:color="auto"/>
        <w:bottom w:val="none" w:sz="0" w:space="0" w:color="auto"/>
        <w:right w:val="none" w:sz="0" w:space="0" w:color="auto"/>
      </w:divBdr>
    </w:div>
    <w:div w:id="1685932735">
      <w:bodyDiv w:val="1"/>
      <w:marLeft w:val="0"/>
      <w:marRight w:val="0"/>
      <w:marTop w:val="0"/>
      <w:marBottom w:val="0"/>
      <w:divBdr>
        <w:top w:val="none" w:sz="0" w:space="0" w:color="auto"/>
        <w:left w:val="none" w:sz="0" w:space="0" w:color="auto"/>
        <w:bottom w:val="none" w:sz="0" w:space="0" w:color="auto"/>
        <w:right w:val="none" w:sz="0" w:space="0" w:color="auto"/>
      </w:divBdr>
    </w:div>
    <w:div w:id="1693609202">
      <w:bodyDiv w:val="1"/>
      <w:marLeft w:val="0"/>
      <w:marRight w:val="0"/>
      <w:marTop w:val="0"/>
      <w:marBottom w:val="0"/>
      <w:divBdr>
        <w:top w:val="none" w:sz="0" w:space="0" w:color="auto"/>
        <w:left w:val="none" w:sz="0" w:space="0" w:color="auto"/>
        <w:bottom w:val="none" w:sz="0" w:space="0" w:color="auto"/>
        <w:right w:val="none" w:sz="0" w:space="0" w:color="auto"/>
      </w:divBdr>
    </w:div>
    <w:div w:id="1694653509">
      <w:bodyDiv w:val="1"/>
      <w:marLeft w:val="0"/>
      <w:marRight w:val="0"/>
      <w:marTop w:val="0"/>
      <w:marBottom w:val="0"/>
      <w:divBdr>
        <w:top w:val="none" w:sz="0" w:space="0" w:color="auto"/>
        <w:left w:val="none" w:sz="0" w:space="0" w:color="auto"/>
        <w:bottom w:val="none" w:sz="0" w:space="0" w:color="auto"/>
        <w:right w:val="none" w:sz="0" w:space="0" w:color="auto"/>
      </w:divBdr>
    </w:div>
    <w:div w:id="1695374818">
      <w:bodyDiv w:val="1"/>
      <w:marLeft w:val="0"/>
      <w:marRight w:val="0"/>
      <w:marTop w:val="0"/>
      <w:marBottom w:val="0"/>
      <w:divBdr>
        <w:top w:val="none" w:sz="0" w:space="0" w:color="auto"/>
        <w:left w:val="none" w:sz="0" w:space="0" w:color="auto"/>
        <w:bottom w:val="none" w:sz="0" w:space="0" w:color="auto"/>
        <w:right w:val="none" w:sz="0" w:space="0" w:color="auto"/>
      </w:divBdr>
    </w:div>
    <w:div w:id="1697582816">
      <w:bodyDiv w:val="1"/>
      <w:marLeft w:val="0"/>
      <w:marRight w:val="0"/>
      <w:marTop w:val="0"/>
      <w:marBottom w:val="0"/>
      <w:divBdr>
        <w:top w:val="none" w:sz="0" w:space="0" w:color="auto"/>
        <w:left w:val="none" w:sz="0" w:space="0" w:color="auto"/>
        <w:bottom w:val="none" w:sz="0" w:space="0" w:color="auto"/>
        <w:right w:val="none" w:sz="0" w:space="0" w:color="auto"/>
      </w:divBdr>
    </w:div>
    <w:div w:id="1703094668">
      <w:bodyDiv w:val="1"/>
      <w:marLeft w:val="0"/>
      <w:marRight w:val="0"/>
      <w:marTop w:val="0"/>
      <w:marBottom w:val="0"/>
      <w:divBdr>
        <w:top w:val="none" w:sz="0" w:space="0" w:color="auto"/>
        <w:left w:val="none" w:sz="0" w:space="0" w:color="auto"/>
        <w:bottom w:val="none" w:sz="0" w:space="0" w:color="auto"/>
        <w:right w:val="none" w:sz="0" w:space="0" w:color="auto"/>
      </w:divBdr>
    </w:div>
    <w:div w:id="1705864843">
      <w:bodyDiv w:val="1"/>
      <w:marLeft w:val="0"/>
      <w:marRight w:val="0"/>
      <w:marTop w:val="0"/>
      <w:marBottom w:val="0"/>
      <w:divBdr>
        <w:top w:val="none" w:sz="0" w:space="0" w:color="auto"/>
        <w:left w:val="none" w:sz="0" w:space="0" w:color="auto"/>
        <w:bottom w:val="none" w:sz="0" w:space="0" w:color="auto"/>
        <w:right w:val="none" w:sz="0" w:space="0" w:color="auto"/>
      </w:divBdr>
    </w:div>
    <w:div w:id="1706757093">
      <w:bodyDiv w:val="1"/>
      <w:marLeft w:val="0"/>
      <w:marRight w:val="0"/>
      <w:marTop w:val="0"/>
      <w:marBottom w:val="0"/>
      <w:divBdr>
        <w:top w:val="none" w:sz="0" w:space="0" w:color="auto"/>
        <w:left w:val="none" w:sz="0" w:space="0" w:color="auto"/>
        <w:bottom w:val="none" w:sz="0" w:space="0" w:color="auto"/>
        <w:right w:val="none" w:sz="0" w:space="0" w:color="auto"/>
      </w:divBdr>
    </w:div>
    <w:div w:id="1710910466">
      <w:bodyDiv w:val="1"/>
      <w:marLeft w:val="0"/>
      <w:marRight w:val="0"/>
      <w:marTop w:val="0"/>
      <w:marBottom w:val="0"/>
      <w:divBdr>
        <w:top w:val="none" w:sz="0" w:space="0" w:color="auto"/>
        <w:left w:val="none" w:sz="0" w:space="0" w:color="auto"/>
        <w:bottom w:val="none" w:sz="0" w:space="0" w:color="auto"/>
        <w:right w:val="none" w:sz="0" w:space="0" w:color="auto"/>
      </w:divBdr>
    </w:div>
    <w:div w:id="1716855309">
      <w:bodyDiv w:val="1"/>
      <w:marLeft w:val="0"/>
      <w:marRight w:val="0"/>
      <w:marTop w:val="0"/>
      <w:marBottom w:val="0"/>
      <w:divBdr>
        <w:top w:val="none" w:sz="0" w:space="0" w:color="auto"/>
        <w:left w:val="none" w:sz="0" w:space="0" w:color="auto"/>
        <w:bottom w:val="none" w:sz="0" w:space="0" w:color="auto"/>
        <w:right w:val="none" w:sz="0" w:space="0" w:color="auto"/>
      </w:divBdr>
    </w:div>
    <w:div w:id="1717461618">
      <w:bodyDiv w:val="1"/>
      <w:marLeft w:val="0"/>
      <w:marRight w:val="0"/>
      <w:marTop w:val="0"/>
      <w:marBottom w:val="0"/>
      <w:divBdr>
        <w:top w:val="none" w:sz="0" w:space="0" w:color="auto"/>
        <w:left w:val="none" w:sz="0" w:space="0" w:color="auto"/>
        <w:bottom w:val="none" w:sz="0" w:space="0" w:color="auto"/>
        <w:right w:val="none" w:sz="0" w:space="0" w:color="auto"/>
      </w:divBdr>
    </w:div>
    <w:div w:id="1719625653">
      <w:bodyDiv w:val="1"/>
      <w:marLeft w:val="0"/>
      <w:marRight w:val="0"/>
      <w:marTop w:val="0"/>
      <w:marBottom w:val="0"/>
      <w:divBdr>
        <w:top w:val="none" w:sz="0" w:space="0" w:color="auto"/>
        <w:left w:val="none" w:sz="0" w:space="0" w:color="auto"/>
        <w:bottom w:val="none" w:sz="0" w:space="0" w:color="auto"/>
        <w:right w:val="none" w:sz="0" w:space="0" w:color="auto"/>
      </w:divBdr>
    </w:div>
    <w:div w:id="1731074371">
      <w:bodyDiv w:val="1"/>
      <w:marLeft w:val="0"/>
      <w:marRight w:val="0"/>
      <w:marTop w:val="0"/>
      <w:marBottom w:val="0"/>
      <w:divBdr>
        <w:top w:val="none" w:sz="0" w:space="0" w:color="auto"/>
        <w:left w:val="none" w:sz="0" w:space="0" w:color="auto"/>
        <w:bottom w:val="none" w:sz="0" w:space="0" w:color="auto"/>
        <w:right w:val="none" w:sz="0" w:space="0" w:color="auto"/>
      </w:divBdr>
    </w:div>
    <w:div w:id="1732384849">
      <w:bodyDiv w:val="1"/>
      <w:marLeft w:val="0"/>
      <w:marRight w:val="0"/>
      <w:marTop w:val="0"/>
      <w:marBottom w:val="0"/>
      <w:divBdr>
        <w:top w:val="none" w:sz="0" w:space="0" w:color="auto"/>
        <w:left w:val="none" w:sz="0" w:space="0" w:color="auto"/>
        <w:bottom w:val="none" w:sz="0" w:space="0" w:color="auto"/>
        <w:right w:val="none" w:sz="0" w:space="0" w:color="auto"/>
      </w:divBdr>
    </w:div>
    <w:div w:id="1734348805">
      <w:bodyDiv w:val="1"/>
      <w:marLeft w:val="0"/>
      <w:marRight w:val="0"/>
      <w:marTop w:val="0"/>
      <w:marBottom w:val="0"/>
      <w:divBdr>
        <w:top w:val="none" w:sz="0" w:space="0" w:color="auto"/>
        <w:left w:val="none" w:sz="0" w:space="0" w:color="auto"/>
        <w:bottom w:val="none" w:sz="0" w:space="0" w:color="auto"/>
        <w:right w:val="none" w:sz="0" w:space="0" w:color="auto"/>
      </w:divBdr>
    </w:div>
    <w:div w:id="1735084504">
      <w:bodyDiv w:val="1"/>
      <w:marLeft w:val="0"/>
      <w:marRight w:val="0"/>
      <w:marTop w:val="0"/>
      <w:marBottom w:val="0"/>
      <w:divBdr>
        <w:top w:val="none" w:sz="0" w:space="0" w:color="auto"/>
        <w:left w:val="none" w:sz="0" w:space="0" w:color="auto"/>
        <w:bottom w:val="none" w:sz="0" w:space="0" w:color="auto"/>
        <w:right w:val="none" w:sz="0" w:space="0" w:color="auto"/>
      </w:divBdr>
    </w:div>
    <w:div w:id="1735664222">
      <w:bodyDiv w:val="1"/>
      <w:marLeft w:val="0"/>
      <w:marRight w:val="0"/>
      <w:marTop w:val="0"/>
      <w:marBottom w:val="0"/>
      <w:divBdr>
        <w:top w:val="none" w:sz="0" w:space="0" w:color="auto"/>
        <w:left w:val="none" w:sz="0" w:space="0" w:color="auto"/>
        <w:bottom w:val="none" w:sz="0" w:space="0" w:color="auto"/>
        <w:right w:val="none" w:sz="0" w:space="0" w:color="auto"/>
      </w:divBdr>
    </w:div>
    <w:div w:id="1736313779">
      <w:bodyDiv w:val="1"/>
      <w:marLeft w:val="0"/>
      <w:marRight w:val="0"/>
      <w:marTop w:val="0"/>
      <w:marBottom w:val="0"/>
      <w:divBdr>
        <w:top w:val="none" w:sz="0" w:space="0" w:color="auto"/>
        <w:left w:val="none" w:sz="0" w:space="0" w:color="auto"/>
        <w:bottom w:val="none" w:sz="0" w:space="0" w:color="auto"/>
        <w:right w:val="none" w:sz="0" w:space="0" w:color="auto"/>
      </w:divBdr>
    </w:div>
    <w:div w:id="1741171197">
      <w:bodyDiv w:val="1"/>
      <w:marLeft w:val="0"/>
      <w:marRight w:val="0"/>
      <w:marTop w:val="0"/>
      <w:marBottom w:val="0"/>
      <w:divBdr>
        <w:top w:val="none" w:sz="0" w:space="0" w:color="auto"/>
        <w:left w:val="none" w:sz="0" w:space="0" w:color="auto"/>
        <w:bottom w:val="none" w:sz="0" w:space="0" w:color="auto"/>
        <w:right w:val="none" w:sz="0" w:space="0" w:color="auto"/>
      </w:divBdr>
    </w:div>
    <w:div w:id="1751585873">
      <w:bodyDiv w:val="1"/>
      <w:marLeft w:val="0"/>
      <w:marRight w:val="0"/>
      <w:marTop w:val="0"/>
      <w:marBottom w:val="0"/>
      <w:divBdr>
        <w:top w:val="none" w:sz="0" w:space="0" w:color="auto"/>
        <w:left w:val="none" w:sz="0" w:space="0" w:color="auto"/>
        <w:bottom w:val="none" w:sz="0" w:space="0" w:color="auto"/>
        <w:right w:val="none" w:sz="0" w:space="0" w:color="auto"/>
      </w:divBdr>
    </w:div>
    <w:div w:id="1751661720">
      <w:bodyDiv w:val="1"/>
      <w:marLeft w:val="0"/>
      <w:marRight w:val="0"/>
      <w:marTop w:val="0"/>
      <w:marBottom w:val="0"/>
      <w:divBdr>
        <w:top w:val="none" w:sz="0" w:space="0" w:color="auto"/>
        <w:left w:val="none" w:sz="0" w:space="0" w:color="auto"/>
        <w:bottom w:val="none" w:sz="0" w:space="0" w:color="auto"/>
        <w:right w:val="none" w:sz="0" w:space="0" w:color="auto"/>
      </w:divBdr>
    </w:div>
    <w:div w:id="1758555403">
      <w:bodyDiv w:val="1"/>
      <w:marLeft w:val="0"/>
      <w:marRight w:val="0"/>
      <w:marTop w:val="0"/>
      <w:marBottom w:val="0"/>
      <w:divBdr>
        <w:top w:val="none" w:sz="0" w:space="0" w:color="auto"/>
        <w:left w:val="none" w:sz="0" w:space="0" w:color="auto"/>
        <w:bottom w:val="none" w:sz="0" w:space="0" w:color="auto"/>
        <w:right w:val="none" w:sz="0" w:space="0" w:color="auto"/>
      </w:divBdr>
    </w:div>
    <w:div w:id="1759062290">
      <w:bodyDiv w:val="1"/>
      <w:marLeft w:val="0"/>
      <w:marRight w:val="0"/>
      <w:marTop w:val="0"/>
      <w:marBottom w:val="0"/>
      <w:divBdr>
        <w:top w:val="none" w:sz="0" w:space="0" w:color="auto"/>
        <w:left w:val="none" w:sz="0" w:space="0" w:color="auto"/>
        <w:bottom w:val="none" w:sz="0" w:space="0" w:color="auto"/>
        <w:right w:val="none" w:sz="0" w:space="0" w:color="auto"/>
      </w:divBdr>
    </w:div>
    <w:div w:id="1759866645">
      <w:bodyDiv w:val="1"/>
      <w:marLeft w:val="0"/>
      <w:marRight w:val="0"/>
      <w:marTop w:val="0"/>
      <w:marBottom w:val="0"/>
      <w:divBdr>
        <w:top w:val="none" w:sz="0" w:space="0" w:color="auto"/>
        <w:left w:val="none" w:sz="0" w:space="0" w:color="auto"/>
        <w:bottom w:val="none" w:sz="0" w:space="0" w:color="auto"/>
        <w:right w:val="none" w:sz="0" w:space="0" w:color="auto"/>
      </w:divBdr>
    </w:div>
    <w:div w:id="1765998929">
      <w:bodyDiv w:val="1"/>
      <w:marLeft w:val="0"/>
      <w:marRight w:val="0"/>
      <w:marTop w:val="0"/>
      <w:marBottom w:val="0"/>
      <w:divBdr>
        <w:top w:val="none" w:sz="0" w:space="0" w:color="auto"/>
        <w:left w:val="none" w:sz="0" w:space="0" w:color="auto"/>
        <w:bottom w:val="none" w:sz="0" w:space="0" w:color="auto"/>
        <w:right w:val="none" w:sz="0" w:space="0" w:color="auto"/>
      </w:divBdr>
    </w:div>
    <w:div w:id="1766146293">
      <w:bodyDiv w:val="1"/>
      <w:marLeft w:val="0"/>
      <w:marRight w:val="0"/>
      <w:marTop w:val="0"/>
      <w:marBottom w:val="0"/>
      <w:divBdr>
        <w:top w:val="none" w:sz="0" w:space="0" w:color="auto"/>
        <w:left w:val="none" w:sz="0" w:space="0" w:color="auto"/>
        <w:bottom w:val="none" w:sz="0" w:space="0" w:color="auto"/>
        <w:right w:val="none" w:sz="0" w:space="0" w:color="auto"/>
      </w:divBdr>
    </w:div>
    <w:div w:id="1773428474">
      <w:bodyDiv w:val="1"/>
      <w:marLeft w:val="0"/>
      <w:marRight w:val="0"/>
      <w:marTop w:val="0"/>
      <w:marBottom w:val="0"/>
      <w:divBdr>
        <w:top w:val="none" w:sz="0" w:space="0" w:color="auto"/>
        <w:left w:val="none" w:sz="0" w:space="0" w:color="auto"/>
        <w:bottom w:val="none" w:sz="0" w:space="0" w:color="auto"/>
        <w:right w:val="none" w:sz="0" w:space="0" w:color="auto"/>
      </w:divBdr>
    </w:div>
    <w:div w:id="1782143513">
      <w:bodyDiv w:val="1"/>
      <w:marLeft w:val="0"/>
      <w:marRight w:val="0"/>
      <w:marTop w:val="0"/>
      <w:marBottom w:val="0"/>
      <w:divBdr>
        <w:top w:val="none" w:sz="0" w:space="0" w:color="auto"/>
        <w:left w:val="none" w:sz="0" w:space="0" w:color="auto"/>
        <w:bottom w:val="none" w:sz="0" w:space="0" w:color="auto"/>
        <w:right w:val="none" w:sz="0" w:space="0" w:color="auto"/>
      </w:divBdr>
    </w:div>
    <w:div w:id="1782602150">
      <w:bodyDiv w:val="1"/>
      <w:marLeft w:val="0"/>
      <w:marRight w:val="0"/>
      <w:marTop w:val="0"/>
      <w:marBottom w:val="0"/>
      <w:divBdr>
        <w:top w:val="none" w:sz="0" w:space="0" w:color="auto"/>
        <w:left w:val="none" w:sz="0" w:space="0" w:color="auto"/>
        <w:bottom w:val="none" w:sz="0" w:space="0" w:color="auto"/>
        <w:right w:val="none" w:sz="0" w:space="0" w:color="auto"/>
      </w:divBdr>
    </w:div>
    <w:div w:id="1782917425">
      <w:bodyDiv w:val="1"/>
      <w:marLeft w:val="0"/>
      <w:marRight w:val="0"/>
      <w:marTop w:val="0"/>
      <w:marBottom w:val="0"/>
      <w:divBdr>
        <w:top w:val="none" w:sz="0" w:space="0" w:color="auto"/>
        <w:left w:val="none" w:sz="0" w:space="0" w:color="auto"/>
        <w:bottom w:val="none" w:sz="0" w:space="0" w:color="auto"/>
        <w:right w:val="none" w:sz="0" w:space="0" w:color="auto"/>
      </w:divBdr>
    </w:div>
    <w:div w:id="1790082987">
      <w:bodyDiv w:val="1"/>
      <w:marLeft w:val="0"/>
      <w:marRight w:val="0"/>
      <w:marTop w:val="0"/>
      <w:marBottom w:val="0"/>
      <w:divBdr>
        <w:top w:val="none" w:sz="0" w:space="0" w:color="auto"/>
        <w:left w:val="none" w:sz="0" w:space="0" w:color="auto"/>
        <w:bottom w:val="none" w:sz="0" w:space="0" w:color="auto"/>
        <w:right w:val="none" w:sz="0" w:space="0" w:color="auto"/>
      </w:divBdr>
    </w:div>
    <w:div w:id="1792043805">
      <w:bodyDiv w:val="1"/>
      <w:marLeft w:val="0"/>
      <w:marRight w:val="0"/>
      <w:marTop w:val="0"/>
      <w:marBottom w:val="0"/>
      <w:divBdr>
        <w:top w:val="none" w:sz="0" w:space="0" w:color="auto"/>
        <w:left w:val="none" w:sz="0" w:space="0" w:color="auto"/>
        <w:bottom w:val="none" w:sz="0" w:space="0" w:color="auto"/>
        <w:right w:val="none" w:sz="0" w:space="0" w:color="auto"/>
      </w:divBdr>
    </w:div>
    <w:div w:id="1794786999">
      <w:bodyDiv w:val="1"/>
      <w:marLeft w:val="0"/>
      <w:marRight w:val="0"/>
      <w:marTop w:val="0"/>
      <w:marBottom w:val="0"/>
      <w:divBdr>
        <w:top w:val="none" w:sz="0" w:space="0" w:color="auto"/>
        <w:left w:val="none" w:sz="0" w:space="0" w:color="auto"/>
        <w:bottom w:val="none" w:sz="0" w:space="0" w:color="auto"/>
        <w:right w:val="none" w:sz="0" w:space="0" w:color="auto"/>
      </w:divBdr>
    </w:div>
    <w:div w:id="1794905437">
      <w:bodyDiv w:val="1"/>
      <w:marLeft w:val="0"/>
      <w:marRight w:val="0"/>
      <w:marTop w:val="0"/>
      <w:marBottom w:val="0"/>
      <w:divBdr>
        <w:top w:val="none" w:sz="0" w:space="0" w:color="auto"/>
        <w:left w:val="none" w:sz="0" w:space="0" w:color="auto"/>
        <w:bottom w:val="none" w:sz="0" w:space="0" w:color="auto"/>
        <w:right w:val="none" w:sz="0" w:space="0" w:color="auto"/>
      </w:divBdr>
    </w:div>
    <w:div w:id="1802114230">
      <w:bodyDiv w:val="1"/>
      <w:marLeft w:val="0"/>
      <w:marRight w:val="0"/>
      <w:marTop w:val="0"/>
      <w:marBottom w:val="0"/>
      <w:divBdr>
        <w:top w:val="none" w:sz="0" w:space="0" w:color="auto"/>
        <w:left w:val="none" w:sz="0" w:space="0" w:color="auto"/>
        <w:bottom w:val="none" w:sz="0" w:space="0" w:color="auto"/>
        <w:right w:val="none" w:sz="0" w:space="0" w:color="auto"/>
      </w:divBdr>
    </w:div>
    <w:div w:id="1804034028">
      <w:bodyDiv w:val="1"/>
      <w:marLeft w:val="0"/>
      <w:marRight w:val="0"/>
      <w:marTop w:val="0"/>
      <w:marBottom w:val="0"/>
      <w:divBdr>
        <w:top w:val="none" w:sz="0" w:space="0" w:color="auto"/>
        <w:left w:val="none" w:sz="0" w:space="0" w:color="auto"/>
        <w:bottom w:val="none" w:sz="0" w:space="0" w:color="auto"/>
        <w:right w:val="none" w:sz="0" w:space="0" w:color="auto"/>
      </w:divBdr>
    </w:div>
    <w:div w:id="1815953579">
      <w:bodyDiv w:val="1"/>
      <w:marLeft w:val="0"/>
      <w:marRight w:val="0"/>
      <w:marTop w:val="0"/>
      <w:marBottom w:val="0"/>
      <w:divBdr>
        <w:top w:val="none" w:sz="0" w:space="0" w:color="auto"/>
        <w:left w:val="none" w:sz="0" w:space="0" w:color="auto"/>
        <w:bottom w:val="none" w:sz="0" w:space="0" w:color="auto"/>
        <w:right w:val="none" w:sz="0" w:space="0" w:color="auto"/>
      </w:divBdr>
    </w:div>
    <w:div w:id="1816095243">
      <w:bodyDiv w:val="1"/>
      <w:marLeft w:val="0"/>
      <w:marRight w:val="0"/>
      <w:marTop w:val="0"/>
      <w:marBottom w:val="0"/>
      <w:divBdr>
        <w:top w:val="none" w:sz="0" w:space="0" w:color="auto"/>
        <w:left w:val="none" w:sz="0" w:space="0" w:color="auto"/>
        <w:bottom w:val="none" w:sz="0" w:space="0" w:color="auto"/>
        <w:right w:val="none" w:sz="0" w:space="0" w:color="auto"/>
      </w:divBdr>
    </w:div>
    <w:div w:id="1817529792">
      <w:bodyDiv w:val="1"/>
      <w:marLeft w:val="0"/>
      <w:marRight w:val="0"/>
      <w:marTop w:val="0"/>
      <w:marBottom w:val="0"/>
      <w:divBdr>
        <w:top w:val="none" w:sz="0" w:space="0" w:color="auto"/>
        <w:left w:val="none" w:sz="0" w:space="0" w:color="auto"/>
        <w:bottom w:val="none" w:sz="0" w:space="0" w:color="auto"/>
        <w:right w:val="none" w:sz="0" w:space="0" w:color="auto"/>
      </w:divBdr>
    </w:div>
    <w:div w:id="1824350779">
      <w:bodyDiv w:val="1"/>
      <w:marLeft w:val="0"/>
      <w:marRight w:val="0"/>
      <w:marTop w:val="0"/>
      <w:marBottom w:val="0"/>
      <w:divBdr>
        <w:top w:val="none" w:sz="0" w:space="0" w:color="auto"/>
        <w:left w:val="none" w:sz="0" w:space="0" w:color="auto"/>
        <w:bottom w:val="none" w:sz="0" w:space="0" w:color="auto"/>
        <w:right w:val="none" w:sz="0" w:space="0" w:color="auto"/>
      </w:divBdr>
    </w:div>
    <w:div w:id="1826317803">
      <w:bodyDiv w:val="1"/>
      <w:marLeft w:val="0"/>
      <w:marRight w:val="0"/>
      <w:marTop w:val="0"/>
      <w:marBottom w:val="0"/>
      <w:divBdr>
        <w:top w:val="none" w:sz="0" w:space="0" w:color="auto"/>
        <w:left w:val="none" w:sz="0" w:space="0" w:color="auto"/>
        <w:bottom w:val="none" w:sz="0" w:space="0" w:color="auto"/>
        <w:right w:val="none" w:sz="0" w:space="0" w:color="auto"/>
      </w:divBdr>
    </w:div>
    <w:div w:id="1826387010">
      <w:bodyDiv w:val="1"/>
      <w:marLeft w:val="0"/>
      <w:marRight w:val="0"/>
      <w:marTop w:val="0"/>
      <w:marBottom w:val="0"/>
      <w:divBdr>
        <w:top w:val="none" w:sz="0" w:space="0" w:color="auto"/>
        <w:left w:val="none" w:sz="0" w:space="0" w:color="auto"/>
        <w:bottom w:val="none" w:sz="0" w:space="0" w:color="auto"/>
        <w:right w:val="none" w:sz="0" w:space="0" w:color="auto"/>
      </w:divBdr>
    </w:div>
    <w:div w:id="1829323376">
      <w:bodyDiv w:val="1"/>
      <w:marLeft w:val="0"/>
      <w:marRight w:val="0"/>
      <w:marTop w:val="0"/>
      <w:marBottom w:val="0"/>
      <w:divBdr>
        <w:top w:val="none" w:sz="0" w:space="0" w:color="auto"/>
        <w:left w:val="none" w:sz="0" w:space="0" w:color="auto"/>
        <w:bottom w:val="none" w:sz="0" w:space="0" w:color="auto"/>
        <w:right w:val="none" w:sz="0" w:space="0" w:color="auto"/>
      </w:divBdr>
    </w:div>
    <w:div w:id="1837332686">
      <w:bodyDiv w:val="1"/>
      <w:marLeft w:val="0"/>
      <w:marRight w:val="0"/>
      <w:marTop w:val="0"/>
      <w:marBottom w:val="0"/>
      <w:divBdr>
        <w:top w:val="none" w:sz="0" w:space="0" w:color="auto"/>
        <w:left w:val="none" w:sz="0" w:space="0" w:color="auto"/>
        <w:bottom w:val="none" w:sz="0" w:space="0" w:color="auto"/>
        <w:right w:val="none" w:sz="0" w:space="0" w:color="auto"/>
      </w:divBdr>
    </w:div>
    <w:div w:id="1842156502">
      <w:bodyDiv w:val="1"/>
      <w:marLeft w:val="0"/>
      <w:marRight w:val="0"/>
      <w:marTop w:val="0"/>
      <w:marBottom w:val="0"/>
      <w:divBdr>
        <w:top w:val="none" w:sz="0" w:space="0" w:color="auto"/>
        <w:left w:val="none" w:sz="0" w:space="0" w:color="auto"/>
        <w:bottom w:val="none" w:sz="0" w:space="0" w:color="auto"/>
        <w:right w:val="none" w:sz="0" w:space="0" w:color="auto"/>
      </w:divBdr>
    </w:div>
    <w:div w:id="1849709011">
      <w:bodyDiv w:val="1"/>
      <w:marLeft w:val="0"/>
      <w:marRight w:val="0"/>
      <w:marTop w:val="0"/>
      <w:marBottom w:val="0"/>
      <w:divBdr>
        <w:top w:val="none" w:sz="0" w:space="0" w:color="auto"/>
        <w:left w:val="none" w:sz="0" w:space="0" w:color="auto"/>
        <w:bottom w:val="none" w:sz="0" w:space="0" w:color="auto"/>
        <w:right w:val="none" w:sz="0" w:space="0" w:color="auto"/>
      </w:divBdr>
    </w:div>
    <w:div w:id="1856844609">
      <w:bodyDiv w:val="1"/>
      <w:marLeft w:val="0"/>
      <w:marRight w:val="0"/>
      <w:marTop w:val="0"/>
      <w:marBottom w:val="0"/>
      <w:divBdr>
        <w:top w:val="none" w:sz="0" w:space="0" w:color="auto"/>
        <w:left w:val="none" w:sz="0" w:space="0" w:color="auto"/>
        <w:bottom w:val="none" w:sz="0" w:space="0" w:color="auto"/>
        <w:right w:val="none" w:sz="0" w:space="0" w:color="auto"/>
      </w:divBdr>
    </w:div>
    <w:div w:id="1858037948">
      <w:bodyDiv w:val="1"/>
      <w:marLeft w:val="0"/>
      <w:marRight w:val="0"/>
      <w:marTop w:val="0"/>
      <w:marBottom w:val="0"/>
      <w:divBdr>
        <w:top w:val="none" w:sz="0" w:space="0" w:color="auto"/>
        <w:left w:val="none" w:sz="0" w:space="0" w:color="auto"/>
        <w:bottom w:val="none" w:sz="0" w:space="0" w:color="auto"/>
        <w:right w:val="none" w:sz="0" w:space="0" w:color="auto"/>
      </w:divBdr>
    </w:div>
    <w:div w:id="1858813057">
      <w:bodyDiv w:val="1"/>
      <w:marLeft w:val="0"/>
      <w:marRight w:val="0"/>
      <w:marTop w:val="0"/>
      <w:marBottom w:val="0"/>
      <w:divBdr>
        <w:top w:val="none" w:sz="0" w:space="0" w:color="auto"/>
        <w:left w:val="none" w:sz="0" w:space="0" w:color="auto"/>
        <w:bottom w:val="none" w:sz="0" w:space="0" w:color="auto"/>
        <w:right w:val="none" w:sz="0" w:space="0" w:color="auto"/>
      </w:divBdr>
    </w:div>
    <w:div w:id="1858889871">
      <w:bodyDiv w:val="1"/>
      <w:marLeft w:val="0"/>
      <w:marRight w:val="0"/>
      <w:marTop w:val="0"/>
      <w:marBottom w:val="0"/>
      <w:divBdr>
        <w:top w:val="none" w:sz="0" w:space="0" w:color="auto"/>
        <w:left w:val="none" w:sz="0" w:space="0" w:color="auto"/>
        <w:bottom w:val="none" w:sz="0" w:space="0" w:color="auto"/>
        <w:right w:val="none" w:sz="0" w:space="0" w:color="auto"/>
      </w:divBdr>
    </w:div>
    <w:div w:id="1859268872">
      <w:bodyDiv w:val="1"/>
      <w:marLeft w:val="0"/>
      <w:marRight w:val="0"/>
      <w:marTop w:val="0"/>
      <w:marBottom w:val="0"/>
      <w:divBdr>
        <w:top w:val="none" w:sz="0" w:space="0" w:color="auto"/>
        <w:left w:val="none" w:sz="0" w:space="0" w:color="auto"/>
        <w:bottom w:val="none" w:sz="0" w:space="0" w:color="auto"/>
        <w:right w:val="none" w:sz="0" w:space="0" w:color="auto"/>
      </w:divBdr>
    </w:div>
    <w:div w:id="1862082825">
      <w:bodyDiv w:val="1"/>
      <w:marLeft w:val="0"/>
      <w:marRight w:val="0"/>
      <w:marTop w:val="0"/>
      <w:marBottom w:val="0"/>
      <w:divBdr>
        <w:top w:val="none" w:sz="0" w:space="0" w:color="auto"/>
        <w:left w:val="none" w:sz="0" w:space="0" w:color="auto"/>
        <w:bottom w:val="none" w:sz="0" w:space="0" w:color="auto"/>
        <w:right w:val="none" w:sz="0" w:space="0" w:color="auto"/>
      </w:divBdr>
    </w:div>
    <w:div w:id="1862696055">
      <w:bodyDiv w:val="1"/>
      <w:marLeft w:val="0"/>
      <w:marRight w:val="0"/>
      <w:marTop w:val="0"/>
      <w:marBottom w:val="0"/>
      <w:divBdr>
        <w:top w:val="none" w:sz="0" w:space="0" w:color="auto"/>
        <w:left w:val="none" w:sz="0" w:space="0" w:color="auto"/>
        <w:bottom w:val="none" w:sz="0" w:space="0" w:color="auto"/>
        <w:right w:val="none" w:sz="0" w:space="0" w:color="auto"/>
      </w:divBdr>
    </w:div>
    <w:div w:id="1864632034">
      <w:bodyDiv w:val="1"/>
      <w:marLeft w:val="0"/>
      <w:marRight w:val="0"/>
      <w:marTop w:val="0"/>
      <w:marBottom w:val="0"/>
      <w:divBdr>
        <w:top w:val="none" w:sz="0" w:space="0" w:color="auto"/>
        <w:left w:val="none" w:sz="0" w:space="0" w:color="auto"/>
        <w:bottom w:val="none" w:sz="0" w:space="0" w:color="auto"/>
        <w:right w:val="none" w:sz="0" w:space="0" w:color="auto"/>
      </w:divBdr>
    </w:div>
    <w:div w:id="1866016692">
      <w:bodyDiv w:val="1"/>
      <w:marLeft w:val="0"/>
      <w:marRight w:val="0"/>
      <w:marTop w:val="0"/>
      <w:marBottom w:val="0"/>
      <w:divBdr>
        <w:top w:val="none" w:sz="0" w:space="0" w:color="auto"/>
        <w:left w:val="none" w:sz="0" w:space="0" w:color="auto"/>
        <w:bottom w:val="none" w:sz="0" w:space="0" w:color="auto"/>
        <w:right w:val="none" w:sz="0" w:space="0" w:color="auto"/>
      </w:divBdr>
    </w:div>
    <w:div w:id="1868522044">
      <w:bodyDiv w:val="1"/>
      <w:marLeft w:val="0"/>
      <w:marRight w:val="0"/>
      <w:marTop w:val="0"/>
      <w:marBottom w:val="0"/>
      <w:divBdr>
        <w:top w:val="none" w:sz="0" w:space="0" w:color="auto"/>
        <w:left w:val="none" w:sz="0" w:space="0" w:color="auto"/>
        <w:bottom w:val="none" w:sz="0" w:space="0" w:color="auto"/>
        <w:right w:val="none" w:sz="0" w:space="0" w:color="auto"/>
      </w:divBdr>
    </w:div>
    <w:div w:id="1870989610">
      <w:bodyDiv w:val="1"/>
      <w:marLeft w:val="0"/>
      <w:marRight w:val="0"/>
      <w:marTop w:val="0"/>
      <w:marBottom w:val="0"/>
      <w:divBdr>
        <w:top w:val="none" w:sz="0" w:space="0" w:color="auto"/>
        <w:left w:val="none" w:sz="0" w:space="0" w:color="auto"/>
        <w:bottom w:val="none" w:sz="0" w:space="0" w:color="auto"/>
        <w:right w:val="none" w:sz="0" w:space="0" w:color="auto"/>
      </w:divBdr>
    </w:div>
    <w:div w:id="1873492824">
      <w:bodyDiv w:val="1"/>
      <w:marLeft w:val="0"/>
      <w:marRight w:val="0"/>
      <w:marTop w:val="0"/>
      <w:marBottom w:val="0"/>
      <w:divBdr>
        <w:top w:val="none" w:sz="0" w:space="0" w:color="auto"/>
        <w:left w:val="none" w:sz="0" w:space="0" w:color="auto"/>
        <w:bottom w:val="none" w:sz="0" w:space="0" w:color="auto"/>
        <w:right w:val="none" w:sz="0" w:space="0" w:color="auto"/>
      </w:divBdr>
    </w:div>
    <w:div w:id="1874152366">
      <w:bodyDiv w:val="1"/>
      <w:marLeft w:val="0"/>
      <w:marRight w:val="0"/>
      <w:marTop w:val="0"/>
      <w:marBottom w:val="0"/>
      <w:divBdr>
        <w:top w:val="none" w:sz="0" w:space="0" w:color="auto"/>
        <w:left w:val="none" w:sz="0" w:space="0" w:color="auto"/>
        <w:bottom w:val="none" w:sz="0" w:space="0" w:color="auto"/>
        <w:right w:val="none" w:sz="0" w:space="0" w:color="auto"/>
      </w:divBdr>
    </w:div>
    <w:div w:id="1879926897">
      <w:bodyDiv w:val="1"/>
      <w:marLeft w:val="0"/>
      <w:marRight w:val="0"/>
      <w:marTop w:val="0"/>
      <w:marBottom w:val="0"/>
      <w:divBdr>
        <w:top w:val="none" w:sz="0" w:space="0" w:color="auto"/>
        <w:left w:val="none" w:sz="0" w:space="0" w:color="auto"/>
        <w:bottom w:val="none" w:sz="0" w:space="0" w:color="auto"/>
        <w:right w:val="none" w:sz="0" w:space="0" w:color="auto"/>
      </w:divBdr>
    </w:div>
    <w:div w:id="1884518773">
      <w:bodyDiv w:val="1"/>
      <w:marLeft w:val="0"/>
      <w:marRight w:val="0"/>
      <w:marTop w:val="0"/>
      <w:marBottom w:val="0"/>
      <w:divBdr>
        <w:top w:val="none" w:sz="0" w:space="0" w:color="auto"/>
        <w:left w:val="none" w:sz="0" w:space="0" w:color="auto"/>
        <w:bottom w:val="none" w:sz="0" w:space="0" w:color="auto"/>
        <w:right w:val="none" w:sz="0" w:space="0" w:color="auto"/>
      </w:divBdr>
    </w:div>
    <w:div w:id="1887109446">
      <w:bodyDiv w:val="1"/>
      <w:marLeft w:val="0"/>
      <w:marRight w:val="0"/>
      <w:marTop w:val="0"/>
      <w:marBottom w:val="0"/>
      <w:divBdr>
        <w:top w:val="none" w:sz="0" w:space="0" w:color="auto"/>
        <w:left w:val="none" w:sz="0" w:space="0" w:color="auto"/>
        <w:bottom w:val="none" w:sz="0" w:space="0" w:color="auto"/>
        <w:right w:val="none" w:sz="0" w:space="0" w:color="auto"/>
      </w:divBdr>
    </w:div>
    <w:div w:id="1889680890">
      <w:bodyDiv w:val="1"/>
      <w:marLeft w:val="0"/>
      <w:marRight w:val="0"/>
      <w:marTop w:val="0"/>
      <w:marBottom w:val="0"/>
      <w:divBdr>
        <w:top w:val="none" w:sz="0" w:space="0" w:color="auto"/>
        <w:left w:val="none" w:sz="0" w:space="0" w:color="auto"/>
        <w:bottom w:val="none" w:sz="0" w:space="0" w:color="auto"/>
        <w:right w:val="none" w:sz="0" w:space="0" w:color="auto"/>
      </w:divBdr>
    </w:div>
    <w:div w:id="1890533119">
      <w:bodyDiv w:val="1"/>
      <w:marLeft w:val="0"/>
      <w:marRight w:val="0"/>
      <w:marTop w:val="0"/>
      <w:marBottom w:val="0"/>
      <w:divBdr>
        <w:top w:val="none" w:sz="0" w:space="0" w:color="auto"/>
        <w:left w:val="none" w:sz="0" w:space="0" w:color="auto"/>
        <w:bottom w:val="none" w:sz="0" w:space="0" w:color="auto"/>
        <w:right w:val="none" w:sz="0" w:space="0" w:color="auto"/>
      </w:divBdr>
    </w:div>
    <w:div w:id="1892381456">
      <w:bodyDiv w:val="1"/>
      <w:marLeft w:val="0"/>
      <w:marRight w:val="0"/>
      <w:marTop w:val="0"/>
      <w:marBottom w:val="0"/>
      <w:divBdr>
        <w:top w:val="none" w:sz="0" w:space="0" w:color="auto"/>
        <w:left w:val="none" w:sz="0" w:space="0" w:color="auto"/>
        <w:bottom w:val="none" w:sz="0" w:space="0" w:color="auto"/>
        <w:right w:val="none" w:sz="0" w:space="0" w:color="auto"/>
      </w:divBdr>
    </w:div>
    <w:div w:id="1898734947">
      <w:bodyDiv w:val="1"/>
      <w:marLeft w:val="0"/>
      <w:marRight w:val="0"/>
      <w:marTop w:val="0"/>
      <w:marBottom w:val="0"/>
      <w:divBdr>
        <w:top w:val="none" w:sz="0" w:space="0" w:color="auto"/>
        <w:left w:val="none" w:sz="0" w:space="0" w:color="auto"/>
        <w:bottom w:val="none" w:sz="0" w:space="0" w:color="auto"/>
        <w:right w:val="none" w:sz="0" w:space="0" w:color="auto"/>
      </w:divBdr>
      <w:divsChild>
        <w:div w:id="701516441">
          <w:marLeft w:val="0"/>
          <w:marRight w:val="0"/>
          <w:marTop w:val="800"/>
          <w:marBottom w:val="0"/>
          <w:divBdr>
            <w:top w:val="none" w:sz="0" w:space="0" w:color="auto"/>
            <w:left w:val="none" w:sz="0" w:space="0" w:color="auto"/>
            <w:bottom w:val="none" w:sz="0" w:space="0" w:color="auto"/>
            <w:right w:val="none" w:sz="0" w:space="0" w:color="auto"/>
          </w:divBdr>
        </w:div>
        <w:div w:id="1425299640">
          <w:marLeft w:val="0"/>
          <w:marRight w:val="0"/>
          <w:marTop w:val="0"/>
          <w:marBottom w:val="0"/>
          <w:divBdr>
            <w:top w:val="none" w:sz="0" w:space="0" w:color="auto"/>
            <w:left w:val="none" w:sz="0" w:space="0" w:color="auto"/>
            <w:bottom w:val="none" w:sz="0" w:space="0" w:color="auto"/>
            <w:right w:val="none" w:sz="0" w:space="0" w:color="auto"/>
          </w:divBdr>
          <w:divsChild>
            <w:div w:id="388698249">
              <w:marLeft w:val="0"/>
              <w:marRight w:val="0"/>
              <w:marTop w:val="0"/>
              <w:marBottom w:val="0"/>
              <w:divBdr>
                <w:top w:val="none" w:sz="0" w:space="0" w:color="auto"/>
                <w:left w:val="none" w:sz="0" w:space="0" w:color="auto"/>
                <w:bottom w:val="none" w:sz="0" w:space="0" w:color="auto"/>
                <w:right w:val="none" w:sz="0" w:space="0" w:color="auto"/>
              </w:divBdr>
              <w:divsChild>
                <w:div w:id="441387446">
                  <w:marLeft w:val="0"/>
                  <w:marRight w:val="0"/>
                  <w:marTop w:val="225"/>
                  <w:marBottom w:val="0"/>
                  <w:divBdr>
                    <w:top w:val="none" w:sz="0" w:space="0" w:color="auto"/>
                    <w:left w:val="none" w:sz="0" w:space="0" w:color="auto"/>
                    <w:bottom w:val="none" w:sz="0" w:space="0" w:color="auto"/>
                    <w:right w:val="none" w:sz="0" w:space="0" w:color="auto"/>
                  </w:divBdr>
                  <w:divsChild>
                    <w:div w:id="788280177">
                      <w:marLeft w:val="0"/>
                      <w:marRight w:val="0"/>
                      <w:marTop w:val="0"/>
                      <w:marBottom w:val="0"/>
                      <w:divBdr>
                        <w:top w:val="none" w:sz="0" w:space="0" w:color="auto"/>
                        <w:left w:val="none" w:sz="0" w:space="0" w:color="auto"/>
                        <w:bottom w:val="none" w:sz="0" w:space="0" w:color="auto"/>
                        <w:right w:val="none" w:sz="0" w:space="0" w:color="auto"/>
                      </w:divBdr>
                      <w:divsChild>
                        <w:div w:id="472719293">
                          <w:marLeft w:val="0"/>
                          <w:marRight w:val="0"/>
                          <w:marTop w:val="0"/>
                          <w:marBottom w:val="0"/>
                          <w:divBdr>
                            <w:top w:val="none" w:sz="0" w:space="0" w:color="auto"/>
                            <w:left w:val="none" w:sz="0" w:space="0" w:color="auto"/>
                            <w:bottom w:val="none" w:sz="0" w:space="0" w:color="auto"/>
                            <w:right w:val="none" w:sz="0" w:space="0" w:color="auto"/>
                          </w:divBdr>
                          <w:divsChild>
                            <w:div w:id="1773629115">
                              <w:marLeft w:val="0"/>
                              <w:marRight w:val="0"/>
                              <w:marTop w:val="0"/>
                              <w:marBottom w:val="0"/>
                              <w:divBdr>
                                <w:top w:val="none" w:sz="0" w:space="0" w:color="auto"/>
                                <w:left w:val="none" w:sz="0" w:space="0" w:color="auto"/>
                                <w:bottom w:val="none" w:sz="0" w:space="0" w:color="auto"/>
                                <w:right w:val="none" w:sz="0" w:space="0" w:color="auto"/>
                              </w:divBdr>
                              <w:divsChild>
                                <w:div w:id="16116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632491">
      <w:bodyDiv w:val="1"/>
      <w:marLeft w:val="0"/>
      <w:marRight w:val="0"/>
      <w:marTop w:val="0"/>
      <w:marBottom w:val="0"/>
      <w:divBdr>
        <w:top w:val="none" w:sz="0" w:space="0" w:color="auto"/>
        <w:left w:val="none" w:sz="0" w:space="0" w:color="auto"/>
        <w:bottom w:val="none" w:sz="0" w:space="0" w:color="auto"/>
        <w:right w:val="none" w:sz="0" w:space="0" w:color="auto"/>
      </w:divBdr>
    </w:div>
    <w:div w:id="1905020723">
      <w:bodyDiv w:val="1"/>
      <w:marLeft w:val="0"/>
      <w:marRight w:val="0"/>
      <w:marTop w:val="0"/>
      <w:marBottom w:val="0"/>
      <w:divBdr>
        <w:top w:val="none" w:sz="0" w:space="0" w:color="auto"/>
        <w:left w:val="none" w:sz="0" w:space="0" w:color="auto"/>
        <w:bottom w:val="none" w:sz="0" w:space="0" w:color="auto"/>
        <w:right w:val="none" w:sz="0" w:space="0" w:color="auto"/>
      </w:divBdr>
    </w:div>
    <w:div w:id="1907915614">
      <w:bodyDiv w:val="1"/>
      <w:marLeft w:val="0"/>
      <w:marRight w:val="0"/>
      <w:marTop w:val="0"/>
      <w:marBottom w:val="0"/>
      <w:divBdr>
        <w:top w:val="none" w:sz="0" w:space="0" w:color="auto"/>
        <w:left w:val="none" w:sz="0" w:space="0" w:color="auto"/>
        <w:bottom w:val="none" w:sz="0" w:space="0" w:color="auto"/>
        <w:right w:val="none" w:sz="0" w:space="0" w:color="auto"/>
      </w:divBdr>
    </w:div>
    <w:div w:id="1908028187">
      <w:bodyDiv w:val="1"/>
      <w:marLeft w:val="0"/>
      <w:marRight w:val="0"/>
      <w:marTop w:val="0"/>
      <w:marBottom w:val="0"/>
      <w:divBdr>
        <w:top w:val="none" w:sz="0" w:space="0" w:color="auto"/>
        <w:left w:val="none" w:sz="0" w:space="0" w:color="auto"/>
        <w:bottom w:val="none" w:sz="0" w:space="0" w:color="auto"/>
        <w:right w:val="none" w:sz="0" w:space="0" w:color="auto"/>
      </w:divBdr>
    </w:div>
    <w:div w:id="1908564802">
      <w:bodyDiv w:val="1"/>
      <w:marLeft w:val="0"/>
      <w:marRight w:val="0"/>
      <w:marTop w:val="0"/>
      <w:marBottom w:val="0"/>
      <w:divBdr>
        <w:top w:val="none" w:sz="0" w:space="0" w:color="auto"/>
        <w:left w:val="none" w:sz="0" w:space="0" w:color="auto"/>
        <w:bottom w:val="none" w:sz="0" w:space="0" w:color="auto"/>
        <w:right w:val="none" w:sz="0" w:space="0" w:color="auto"/>
      </w:divBdr>
    </w:div>
    <w:div w:id="1912160037">
      <w:bodyDiv w:val="1"/>
      <w:marLeft w:val="0"/>
      <w:marRight w:val="0"/>
      <w:marTop w:val="0"/>
      <w:marBottom w:val="0"/>
      <w:divBdr>
        <w:top w:val="none" w:sz="0" w:space="0" w:color="auto"/>
        <w:left w:val="none" w:sz="0" w:space="0" w:color="auto"/>
        <w:bottom w:val="none" w:sz="0" w:space="0" w:color="auto"/>
        <w:right w:val="none" w:sz="0" w:space="0" w:color="auto"/>
      </w:divBdr>
    </w:div>
    <w:div w:id="1912353768">
      <w:bodyDiv w:val="1"/>
      <w:marLeft w:val="0"/>
      <w:marRight w:val="0"/>
      <w:marTop w:val="0"/>
      <w:marBottom w:val="0"/>
      <w:divBdr>
        <w:top w:val="none" w:sz="0" w:space="0" w:color="auto"/>
        <w:left w:val="none" w:sz="0" w:space="0" w:color="auto"/>
        <w:bottom w:val="none" w:sz="0" w:space="0" w:color="auto"/>
        <w:right w:val="none" w:sz="0" w:space="0" w:color="auto"/>
      </w:divBdr>
    </w:div>
    <w:div w:id="1913929933">
      <w:bodyDiv w:val="1"/>
      <w:marLeft w:val="0"/>
      <w:marRight w:val="0"/>
      <w:marTop w:val="0"/>
      <w:marBottom w:val="0"/>
      <w:divBdr>
        <w:top w:val="none" w:sz="0" w:space="0" w:color="auto"/>
        <w:left w:val="none" w:sz="0" w:space="0" w:color="auto"/>
        <w:bottom w:val="none" w:sz="0" w:space="0" w:color="auto"/>
        <w:right w:val="none" w:sz="0" w:space="0" w:color="auto"/>
      </w:divBdr>
    </w:div>
    <w:div w:id="1914124084">
      <w:bodyDiv w:val="1"/>
      <w:marLeft w:val="0"/>
      <w:marRight w:val="0"/>
      <w:marTop w:val="0"/>
      <w:marBottom w:val="0"/>
      <w:divBdr>
        <w:top w:val="none" w:sz="0" w:space="0" w:color="auto"/>
        <w:left w:val="none" w:sz="0" w:space="0" w:color="auto"/>
        <w:bottom w:val="none" w:sz="0" w:space="0" w:color="auto"/>
        <w:right w:val="none" w:sz="0" w:space="0" w:color="auto"/>
      </w:divBdr>
    </w:div>
    <w:div w:id="1915897095">
      <w:bodyDiv w:val="1"/>
      <w:marLeft w:val="0"/>
      <w:marRight w:val="0"/>
      <w:marTop w:val="0"/>
      <w:marBottom w:val="0"/>
      <w:divBdr>
        <w:top w:val="none" w:sz="0" w:space="0" w:color="auto"/>
        <w:left w:val="none" w:sz="0" w:space="0" w:color="auto"/>
        <w:bottom w:val="none" w:sz="0" w:space="0" w:color="auto"/>
        <w:right w:val="none" w:sz="0" w:space="0" w:color="auto"/>
      </w:divBdr>
    </w:div>
    <w:div w:id="1918515038">
      <w:bodyDiv w:val="1"/>
      <w:marLeft w:val="0"/>
      <w:marRight w:val="0"/>
      <w:marTop w:val="0"/>
      <w:marBottom w:val="0"/>
      <w:divBdr>
        <w:top w:val="none" w:sz="0" w:space="0" w:color="auto"/>
        <w:left w:val="none" w:sz="0" w:space="0" w:color="auto"/>
        <w:bottom w:val="none" w:sz="0" w:space="0" w:color="auto"/>
        <w:right w:val="none" w:sz="0" w:space="0" w:color="auto"/>
      </w:divBdr>
    </w:div>
    <w:div w:id="1920676295">
      <w:bodyDiv w:val="1"/>
      <w:marLeft w:val="0"/>
      <w:marRight w:val="0"/>
      <w:marTop w:val="0"/>
      <w:marBottom w:val="0"/>
      <w:divBdr>
        <w:top w:val="none" w:sz="0" w:space="0" w:color="auto"/>
        <w:left w:val="none" w:sz="0" w:space="0" w:color="auto"/>
        <w:bottom w:val="none" w:sz="0" w:space="0" w:color="auto"/>
        <w:right w:val="none" w:sz="0" w:space="0" w:color="auto"/>
      </w:divBdr>
    </w:div>
    <w:div w:id="1920747447">
      <w:bodyDiv w:val="1"/>
      <w:marLeft w:val="0"/>
      <w:marRight w:val="0"/>
      <w:marTop w:val="0"/>
      <w:marBottom w:val="0"/>
      <w:divBdr>
        <w:top w:val="none" w:sz="0" w:space="0" w:color="auto"/>
        <w:left w:val="none" w:sz="0" w:space="0" w:color="auto"/>
        <w:bottom w:val="none" w:sz="0" w:space="0" w:color="auto"/>
        <w:right w:val="none" w:sz="0" w:space="0" w:color="auto"/>
      </w:divBdr>
    </w:div>
    <w:div w:id="1921596762">
      <w:bodyDiv w:val="1"/>
      <w:marLeft w:val="0"/>
      <w:marRight w:val="0"/>
      <w:marTop w:val="0"/>
      <w:marBottom w:val="0"/>
      <w:divBdr>
        <w:top w:val="none" w:sz="0" w:space="0" w:color="auto"/>
        <w:left w:val="none" w:sz="0" w:space="0" w:color="auto"/>
        <w:bottom w:val="none" w:sz="0" w:space="0" w:color="auto"/>
        <w:right w:val="none" w:sz="0" w:space="0" w:color="auto"/>
      </w:divBdr>
    </w:div>
    <w:div w:id="1922906876">
      <w:bodyDiv w:val="1"/>
      <w:marLeft w:val="0"/>
      <w:marRight w:val="0"/>
      <w:marTop w:val="0"/>
      <w:marBottom w:val="0"/>
      <w:divBdr>
        <w:top w:val="none" w:sz="0" w:space="0" w:color="auto"/>
        <w:left w:val="none" w:sz="0" w:space="0" w:color="auto"/>
        <w:bottom w:val="none" w:sz="0" w:space="0" w:color="auto"/>
        <w:right w:val="none" w:sz="0" w:space="0" w:color="auto"/>
      </w:divBdr>
    </w:div>
    <w:div w:id="1925407633">
      <w:bodyDiv w:val="1"/>
      <w:marLeft w:val="0"/>
      <w:marRight w:val="0"/>
      <w:marTop w:val="0"/>
      <w:marBottom w:val="0"/>
      <w:divBdr>
        <w:top w:val="none" w:sz="0" w:space="0" w:color="auto"/>
        <w:left w:val="none" w:sz="0" w:space="0" w:color="auto"/>
        <w:bottom w:val="none" w:sz="0" w:space="0" w:color="auto"/>
        <w:right w:val="none" w:sz="0" w:space="0" w:color="auto"/>
      </w:divBdr>
    </w:div>
    <w:div w:id="1929386613">
      <w:bodyDiv w:val="1"/>
      <w:marLeft w:val="0"/>
      <w:marRight w:val="0"/>
      <w:marTop w:val="0"/>
      <w:marBottom w:val="0"/>
      <w:divBdr>
        <w:top w:val="none" w:sz="0" w:space="0" w:color="auto"/>
        <w:left w:val="none" w:sz="0" w:space="0" w:color="auto"/>
        <w:bottom w:val="none" w:sz="0" w:space="0" w:color="auto"/>
        <w:right w:val="none" w:sz="0" w:space="0" w:color="auto"/>
      </w:divBdr>
    </w:div>
    <w:div w:id="1932736505">
      <w:bodyDiv w:val="1"/>
      <w:marLeft w:val="0"/>
      <w:marRight w:val="0"/>
      <w:marTop w:val="0"/>
      <w:marBottom w:val="0"/>
      <w:divBdr>
        <w:top w:val="none" w:sz="0" w:space="0" w:color="auto"/>
        <w:left w:val="none" w:sz="0" w:space="0" w:color="auto"/>
        <w:bottom w:val="none" w:sz="0" w:space="0" w:color="auto"/>
        <w:right w:val="none" w:sz="0" w:space="0" w:color="auto"/>
      </w:divBdr>
    </w:div>
    <w:div w:id="1932855391">
      <w:bodyDiv w:val="1"/>
      <w:marLeft w:val="0"/>
      <w:marRight w:val="0"/>
      <w:marTop w:val="0"/>
      <w:marBottom w:val="0"/>
      <w:divBdr>
        <w:top w:val="none" w:sz="0" w:space="0" w:color="auto"/>
        <w:left w:val="none" w:sz="0" w:space="0" w:color="auto"/>
        <w:bottom w:val="none" w:sz="0" w:space="0" w:color="auto"/>
        <w:right w:val="none" w:sz="0" w:space="0" w:color="auto"/>
      </w:divBdr>
    </w:div>
    <w:div w:id="1933931280">
      <w:bodyDiv w:val="1"/>
      <w:marLeft w:val="0"/>
      <w:marRight w:val="0"/>
      <w:marTop w:val="0"/>
      <w:marBottom w:val="0"/>
      <w:divBdr>
        <w:top w:val="none" w:sz="0" w:space="0" w:color="auto"/>
        <w:left w:val="none" w:sz="0" w:space="0" w:color="auto"/>
        <w:bottom w:val="none" w:sz="0" w:space="0" w:color="auto"/>
        <w:right w:val="none" w:sz="0" w:space="0" w:color="auto"/>
      </w:divBdr>
    </w:div>
    <w:div w:id="1943342485">
      <w:bodyDiv w:val="1"/>
      <w:marLeft w:val="0"/>
      <w:marRight w:val="0"/>
      <w:marTop w:val="0"/>
      <w:marBottom w:val="0"/>
      <w:divBdr>
        <w:top w:val="none" w:sz="0" w:space="0" w:color="auto"/>
        <w:left w:val="none" w:sz="0" w:space="0" w:color="auto"/>
        <w:bottom w:val="none" w:sz="0" w:space="0" w:color="auto"/>
        <w:right w:val="none" w:sz="0" w:space="0" w:color="auto"/>
      </w:divBdr>
    </w:div>
    <w:div w:id="1943681746">
      <w:bodyDiv w:val="1"/>
      <w:marLeft w:val="0"/>
      <w:marRight w:val="0"/>
      <w:marTop w:val="0"/>
      <w:marBottom w:val="0"/>
      <w:divBdr>
        <w:top w:val="none" w:sz="0" w:space="0" w:color="auto"/>
        <w:left w:val="none" w:sz="0" w:space="0" w:color="auto"/>
        <w:bottom w:val="none" w:sz="0" w:space="0" w:color="auto"/>
        <w:right w:val="none" w:sz="0" w:space="0" w:color="auto"/>
      </w:divBdr>
    </w:div>
    <w:div w:id="1945653326">
      <w:bodyDiv w:val="1"/>
      <w:marLeft w:val="0"/>
      <w:marRight w:val="0"/>
      <w:marTop w:val="0"/>
      <w:marBottom w:val="0"/>
      <w:divBdr>
        <w:top w:val="none" w:sz="0" w:space="0" w:color="auto"/>
        <w:left w:val="none" w:sz="0" w:space="0" w:color="auto"/>
        <w:bottom w:val="none" w:sz="0" w:space="0" w:color="auto"/>
        <w:right w:val="none" w:sz="0" w:space="0" w:color="auto"/>
      </w:divBdr>
    </w:div>
    <w:div w:id="1945842344">
      <w:bodyDiv w:val="1"/>
      <w:marLeft w:val="0"/>
      <w:marRight w:val="0"/>
      <w:marTop w:val="0"/>
      <w:marBottom w:val="0"/>
      <w:divBdr>
        <w:top w:val="none" w:sz="0" w:space="0" w:color="auto"/>
        <w:left w:val="none" w:sz="0" w:space="0" w:color="auto"/>
        <w:bottom w:val="none" w:sz="0" w:space="0" w:color="auto"/>
        <w:right w:val="none" w:sz="0" w:space="0" w:color="auto"/>
      </w:divBdr>
    </w:div>
    <w:div w:id="1949045809">
      <w:bodyDiv w:val="1"/>
      <w:marLeft w:val="0"/>
      <w:marRight w:val="0"/>
      <w:marTop w:val="0"/>
      <w:marBottom w:val="0"/>
      <w:divBdr>
        <w:top w:val="none" w:sz="0" w:space="0" w:color="auto"/>
        <w:left w:val="none" w:sz="0" w:space="0" w:color="auto"/>
        <w:bottom w:val="none" w:sz="0" w:space="0" w:color="auto"/>
        <w:right w:val="none" w:sz="0" w:space="0" w:color="auto"/>
      </w:divBdr>
    </w:div>
    <w:div w:id="1951936718">
      <w:bodyDiv w:val="1"/>
      <w:marLeft w:val="0"/>
      <w:marRight w:val="0"/>
      <w:marTop w:val="0"/>
      <w:marBottom w:val="0"/>
      <w:divBdr>
        <w:top w:val="none" w:sz="0" w:space="0" w:color="auto"/>
        <w:left w:val="none" w:sz="0" w:space="0" w:color="auto"/>
        <w:bottom w:val="none" w:sz="0" w:space="0" w:color="auto"/>
        <w:right w:val="none" w:sz="0" w:space="0" w:color="auto"/>
      </w:divBdr>
    </w:div>
    <w:div w:id="1952542295">
      <w:bodyDiv w:val="1"/>
      <w:marLeft w:val="0"/>
      <w:marRight w:val="0"/>
      <w:marTop w:val="0"/>
      <w:marBottom w:val="0"/>
      <w:divBdr>
        <w:top w:val="none" w:sz="0" w:space="0" w:color="auto"/>
        <w:left w:val="none" w:sz="0" w:space="0" w:color="auto"/>
        <w:bottom w:val="none" w:sz="0" w:space="0" w:color="auto"/>
        <w:right w:val="none" w:sz="0" w:space="0" w:color="auto"/>
      </w:divBdr>
    </w:div>
    <w:div w:id="1955406851">
      <w:bodyDiv w:val="1"/>
      <w:marLeft w:val="0"/>
      <w:marRight w:val="0"/>
      <w:marTop w:val="0"/>
      <w:marBottom w:val="0"/>
      <w:divBdr>
        <w:top w:val="none" w:sz="0" w:space="0" w:color="auto"/>
        <w:left w:val="none" w:sz="0" w:space="0" w:color="auto"/>
        <w:bottom w:val="none" w:sz="0" w:space="0" w:color="auto"/>
        <w:right w:val="none" w:sz="0" w:space="0" w:color="auto"/>
      </w:divBdr>
    </w:div>
    <w:div w:id="1956519547">
      <w:bodyDiv w:val="1"/>
      <w:marLeft w:val="0"/>
      <w:marRight w:val="0"/>
      <w:marTop w:val="0"/>
      <w:marBottom w:val="0"/>
      <w:divBdr>
        <w:top w:val="none" w:sz="0" w:space="0" w:color="auto"/>
        <w:left w:val="none" w:sz="0" w:space="0" w:color="auto"/>
        <w:bottom w:val="none" w:sz="0" w:space="0" w:color="auto"/>
        <w:right w:val="none" w:sz="0" w:space="0" w:color="auto"/>
      </w:divBdr>
    </w:div>
    <w:div w:id="1957176557">
      <w:bodyDiv w:val="1"/>
      <w:marLeft w:val="0"/>
      <w:marRight w:val="0"/>
      <w:marTop w:val="0"/>
      <w:marBottom w:val="0"/>
      <w:divBdr>
        <w:top w:val="none" w:sz="0" w:space="0" w:color="auto"/>
        <w:left w:val="none" w:sz="0" w:space="0" w:color="auto"/>
        <w:bottom w:val="none" w:sz="0" w:space="0" w:color="auto"/>
        <w:right w:val="none" w:sz="0" w:space="0" w:color="auto"/>
      </w:divBdr>
    </w:div>
    <w:div w:id="1959875584">
      <w:bodyDiv w:val="1"/>
      <w:marLeft w:val="0"/>
      <w:marRight w:val="0"/>
      <w:marTop w:val="0"/>
      <w:marBottom w:val="0"/>
      <w:divBdr>
        <w:top w:val="none" w:sz="0" w:space="0" w:color="auto"/>
        <w:left w:val="none" w:sz="0" w:space="0" w:color="auto"/>
        <w:bottom w:val="none" w:sz="0" w:space="0" w:color="auto"/>
        <w:right w:val="none" w:sz="0" w:space="0" w:color="auto"/>
      </w:divBdr>
    </w:div>
    <w:div w:id="1963534022">
      <w:bodyDiv w:val="1"/>
      <w:marLeft w:val="0"/>
      <w:marRight w:val="0"/>
      <w:marTop w:val="0"/>
      <w:marBottom w:val="0"/>
      <w:divBdr>
        <w:top w:val="none" w:sz="0" w:space="0" w:color="auto"/>
        <w:left w:val="none" w:sz="0" w:space="0" w:color="auto"/>
        <w:bottom w:val="none" w:sz="0" w:space="0" w:color="auto"/>
        <w:right w:val="none" w:sz="0" w:space="0" w:color="auto"/>
      </w:divBdr>
    </w:div>
    <w:div w:id="1968075505">
      <w:bodyDiv w:val="1"/>
      <w:marLeft w:val="0"/>
      <w:marRight w:val="0"/>
      <w:marTop w:val="0"/>
      <w:marBottom w:val="0"/>
      <w:divBdr>
        <w:top w:val="none" w:sz="0" w:space="0" w:color="auto"/>
        <w:left w:val="none" w:sz="0" w:space="0" w:color="auto"/>
        <w:bottom w:val="none" w:sz="0" w:space="0" w:color="auto"/>
        <w:right w:val="none" w:sz="0" w:space="0" w:color="auto"/>
      </w:divBdr>
    </w:div>
    <w:div w:id="1968197098">
      <w:bodyDiv w:val="1"/>
      <w:marLeft w:val="0"/>
      <w:marRight w:val="0"/>
      <w:marTop w:val="0"/>
      <w:marBottom w:val="0"/>
      <w:divBdr>
        <w:top w:val="none" w:sz="0" w:space="0" w:color="auto"/>
        <w:left w:val="none" w:sz="0" w:space="0" w:color="auto"/>
        <w:bottom w:val="none" w:sz="0" w:space="0" w:color="auto"/>
        <w:right w:val="none" w:sz="0" w:space="0" w:color="auto"/>
      </w:divBdr>
    </w:div>
    <w:div w:id="1973944498">
      <w:bodyDiv w:val="1"/>
      <w:marLeft w:val="0"/>
      <w:marRight w:val="0"/>
      <w:marTop w:val="0"/>
      <w:marBottom w:val="0"/>
      <w:divBdr>
        <w:top w:val="none" w:sz="0" w:space="0" w:color="auto"/>
        <w:left w:val="none" w:sz="0" w:space="0" w:color="auto"/>
        <w:bottom w:val="none" w:sz="0" w:space="0" w:color="auto"/>
        <w:right w:val="none" w:sz="0" w:space="0" w:color="auto"/>
      </w:divBdr>
    </w:div>
    <w:div w:id="1974754250">
      <w:bodyDiv w:val="1"/>
      <w:marLeft w:val="0"/>
      <w:marRight w:val="0"/>
      <w:marTop w:val="0"/>
      <w:marBottom w:val="0"/>
      <w:divBdr>
        <w:top w:val="none" w:sz="0" w:space="0" w:color="auto"/>
        <w:left w:val="none" w:sz="0" w:space="0" w:color="auto"/>
        <w:bottom w:val="none" w:sz="0" w:space="0" w:color="auto"/>
        <w:right w:val="none" w:sz="0" w:space="0" w:color="auto"/>
      </w:divBdr>
    </w:div>
    <w:div w:id="1976795104">
      <w:bodyDiv w:val="1"/>
      <w:marLeft w:val="0"/>
      <w:marRight w:val="0"/>
      <w:marTop w:val="0"/>
      <w:marBottom w:val="0"/>
      <w:divBdr>
        <w:top w:val="none" w:sz="0" w:space="0" w:color="auto"/>
        <w:left w:val="none" w:sz="0" w:space="0" w:color="auto"/>
        <w:bottom w:val="none" w:sz="0" w:space="0" w:color="auto"/>
        <w:right w:val="none" w:sz="0" w:space="0" w:color="auto"/>
      </w:divBdr>
    </w:div>
    <w:div w:id="1981836855">
      <w:bodyDiv w:val="1"/>
      <w:marLeft w:val="0"/>
      <w:marRight w:val="0"/>
      <w:marTop w:val="0"/>
      <w:marBottom w:val="0"/>
      <w:divBdr>
        <w:top w:val="none" w:sz="0" w:space="0" w:color="auto"/>
        <w:left w:val="none" w:sz="0" w:space="0" w:color="auto"/>
        <w:bottom w:val="none" w:sz="0" w:space="0" w:color="auto"/>
        <w:right w:val="none" w:sz="0" w:space="0" w:color="auto"/>
      </w:divBdr>
    </w:div>
    <w:div w:id="1983148705">
      <w:bodyDiv w:val="1"/>
      <w:marLeft w:val="0"/>
      <w:marRight w:val="0"/>
      <w:marTop w:val="0"/>
      <w:marBottom w:val="0"/>
      <w:divBdr>
        <w:top w:val="none" w:sz="0" w:space="0" w:color="auto"/>
        <w:left w:val="none" w:sz="0" w:space="0" w:color="auto"/>
        <w:bottom w:val="none" w:sz="0" w:space="0" w:color="auto"/>
        <w:right w:val="none" w:sz="0" w:space="0" w:color="auto"/>
      </w:divBdr>
    </w:div>
    <w:div w:id="1984192855">
      <w:bodyDiv w:val="1"/>
      <w:marLeft w:val="0"/>
      <w:marRight w:val="0"/>
      <w:marTop w:val="0"/>
      <w:marBottom w:val="0"/>
      <w:divBdr>
        <w:top w:val="none" w:sz="0" w:space="0" w:color="auto"/>
        <w:left w:val="none" w:sz="0" w:space="0" w:color="auto"/>
        <w:bottom w:val="none" w:sz="0" w:space="0" w:color="auto"/>
        <w:right w:val="none" w:sz="0" w:space="0" w:color="auto"/>
      </w:divBdr>
    </w:div>
    <w:div w:id="1988362900">
      <w:bodyDiv w:val="1"/>
      <w:marLeft w:val="0"/>
      <w:marRight w:val="0"/>
      <w:marTop w:val="0"/>
      <w:marBottom w:val="0"/>
      <w:divBdr>
        <w:top w:val="none" w:sz="0" w:space="0" w:color="auto"/>
        <w:left w:val="none" w:sz="0" w:space="0" w:color="auto"/>
        <w:bottom w:val="none" w:sz="0" w:space="0" w:color="auto"/>
        <w:right w:val="none" w:sz="0" w:space="0" w:color="auto"/>
      </w:divBdr>
    </w:div>
    <w:div w:id="1991860431">
      <w:bodyDiv w:val="1"/>
      <w:marLeft w:val="0"/>
      <w:marRight w:val="0"/>
      <w:marTop w:val="0"/>
      <w:marBottom w:val="0"/>
      <w:divBdr>
        <w:top w:val="none" w:sz="0" w:space="0" w:color="auto"/>
        <w:left w:val="none" w:sz="0" w:space="0" w:color="auto"/>
        <w:bottom w:val="none" w:sz="0" w:space="0" w:color="auto"/>
        <w:right w:val="none" w:sz="0" w:space="0" w:color="auto"/>
      </w:divBdr>
    </w:div>
    <w:div w:id="1993413411">
      <w:bodyDiv w:val="1"/>
      <w:marLeft w:val="0"/>
      <w:marRight w:val="0"/>
      <w:marTop w:val="0"/>
      <w:marBottom w:val="0"/>
      <w:divBdr>
        <w:top w:val="none" w:sz="0" w:space="0" w:color="auto"/>
        <w:left w:val="none" w:sz="0" w:space="0" w:color="auto"/>
        <w:bottom w:val="none" w:sz="0" w:space="0" w:color="auto"/>
        <w:right w:val="none" w:sz="0" w:space="0" w:color="auto"/>
      </w:divBdr>
    </w:div>
    <w:div w:id="1995525521">
      <w:bodyDiv w:val="1"/>
      <w:marLeft w:val="0"/>
      <w:marRight w:val="0"/>
      <w:marTop w:val="0"/>
      <w:marBottom w:val="0"/>
      <w:divBdr>
        <w:top w:val="none" w:sz="0" w:space="0" w:color="auto"/>
        <w:left w:val="none" w:sz="0" w:space="0" w:color="auto"/>
        <w:bottom w:val="none" w:sz="0" w:space="0" w:color="auto"/>
        <w:right w:val="none" w:sz="0" w:space="0" w:color="auto"/>
      </w:divBdr>
    </w:div>
    <w:div w:id="1998217693">
      <w:bodyDiv w:val="1"/>
      <w:marLeft w:val="0"/>
      <w:marRight w:val="0"/>
      <w:marTop w:val="0"/>
      <w:marBottom w:val="0"/>
      <w:divBdr>
        <w:top w:val="none" w:sz="0" w:space="0" w:color="auto"/>
        <w:left w:val="none" w:sz="0" w:space="0" w:color="auto"/>
        <w:bottom w:val="none" w:sz="0" w:space="0" w:color="auto"/>
        <w:right w:val="none" w:sz="0" w:space="0" w:color="auto"/>
      </w:divBdr>
    </w:div>
    <w:div w:id="1998797171">
      <w:bodyDiv w:val="1"/>
      <w:marLeft w:val="0"/>
      <w:marRight w:val="0"/>
      <w:marTop w:val="0"/>
      <w:marBottom w:val="0"/>
      <w:divBdr>
        <w:top w:val="none" w:sz="0" w:space="0" w:color="auto"/>
        <w:left w:val="none" w:sz="0" w:space="0" w:color="auto"/>
        <w:bottom w:val="none" w:sz="0" w:space="0" w:color="auto"/>
        <w:right w:val="none" w:sz="0" w:space="0" w:color="auto"/>
      </w:divBdr>
    </w:div>
    <w:div w:id="2004241615">
      <w:bodyDiv w:val="1"/>
      <w:marLeft w:val="0"/>
      <w:marRight w:val="0"/>
      <w:marTop w:val="0"/>
      <w:marBottom w:val="0"/>
      <w:divBdr>
        <w:top w:val="none" w:sz="0" w:space="0" w:color="auto"/>
        <w:left w:val="none" w:sz="0" w:space="0" w:color="auto"/>
        <w:bottom w:val="none" w:sz="0" w:space="0" w:color="auto"/>
        <w:right w:val="none" w:sz="0" w:space="0" w:color="auto"/>
      </w:divBdr>
    </w:div>
    <w:div w:id="2004893265">
      <w:bodyDiv w:val="1"/>
      <w:marLeft w:val="0"/>
      <w:marRight w:val="0"/>
      <w:marTop w:val="0"/>
      <w:marBottom w:val="0"/>
      <w:divBdr>
        <w:top w:val="none" w:sz="0" w:space="0" w:color="auto"/>
        <w:left w:val="none" w:sz="0" w:space="0" w:color="auto"/>
        <w:bottom w:val="none" w:sz="0" w:space="0" w:color="auto"/>
        <w:right w:val="none" w:sz="0" w:space="0" w:color="auto"/>
      </w:divBdr>
    </w:div>
    <w:div w:id="2005166097">
      <w:bodyDiv w:val="1"/>
      <w:marLeft w:val="0"/>
      <w:marRight w:val="0"/>
      <w:marTop w:val="0"/>
      <w:marBottom w:val="0"/>
      <w:divBdr>
        <w:top w:val="none" w:sz="0" w:space="0" w:color="auto"/>
        <w:left w:val="none" w:sz="0" w:space="0" w:color="auto"/>
        <w:bottom w:val="none" w:sz="0" w:space="0" w:color="auto"/>
        <w:right w:val="none" w:sz="0" w:space="0" w:color="auto"/>
      </w:divBdr>
    </w:div>
    <w:div w:id="2013099105">
      <w:bodyDiv w:val="1"/>
      <w:marLeft w:val="0"/>
      <w:marRight w:val="0"/>
      <w:marTop w:val="0"/>
      <w:marBottom w:val="0"/>
      <w:divBdr>
        <w:top w:val="none" w:sz="0" w:space="0" w:color="auto"/>
        <w:left w:val="none" w:sz="0" w:space="0" w:color="auto"/>
        <w:bottom w:val="none" w:sz="0" w:space="0" w:color="auto"/>
        <w:right w:val="none" w:sz="0" w:space="0" w:color="auto"/>
      </w:divBdr>
    </w:div>
    <w:div w:id="2016564955">
      <w:bodyDiv w:val="1"/>
      <w:marLeft w:val="0"/>
      <w:marRight w:val="0"/>
      <w:marTop w:val="0"/>
      <w:marBottom w:val="0"/>
      <w:divBdr>
        <w:top w:val="none" w:sz="0" w:space="0" w:color="auto"/>
        <w:left w:val="none" w:sz="0" w:space="0" w:color="auto"/>
        <w:bottom w:val="none" w:sz="0" w:space="0" w:color="auto"/>
        <w:right w:val="none" w:sz="0" w:space="0" w:color="auto"/>
      </w:divBdr>
    </w:div>
    <w:div w:id="2018192085">
      <w:bodyDiv w:val="1"/>
      <w:marLeft w:val="0"/>
      <w:marRight w:val="0"/>
      <w:marTop w:val="0"/>
      <w:marBottom w:val="0"/>
      <w:divBdr>
        <w:top w:val="none" w:sz="0" w:space="0" w:color="auto"/>
        <w:left w:val="none" w:sz="0" w:space="0" w:color="auto"/>
        <w:bottom w:val="none" w:sz="0" w:space="0" w:color="auto"/>
        <w:right w:val="none" w:sz="0" w:space="0" w:color="auto"/>
      </w:divBdr>
    </w:div>
    <w:div w:id="2020692001">
      <w:bodyDiv w:val="1"/>
      <w:marLeft w:val="0"/>
      <w:marRight w:val="0"/>
      <w:marTop w:val="0"/>
      <w:marBottom w:val="0"/>
      <w:divBdr>
        <w:top w:val="none" w:sz="0" w:space="0" w:color="auto"/>
        <w:left w:val="none" w:sz="0" w:space="0" w:color="auto"/>
        <w:bottom w:val="none" w:sz="0" w:space="0" w:color="auto"/>
        <w:right w:val="none" w:sz="0" w:space="0" w:color="auto"/>
      </w:divBdr>
    </w:div>
    <w:div w:id="2025547789">
      <w:bodyDiv w:val="1"/>
      <w:marLeft w:val="0"/>
      <w:marRight w:val="0"/>
      <w:marTop w:val="0"/>
      <w:marBottom w:val="0"/>
      <w:divBdr>
        <w:top w:val="none" w:sz="0" w:space="0" w:color="auto"/>
        <w:left w:val="none" w:sz="0" w:space="0" w:color="auto"/>
        <w:bottom w:val="none" w:sz="0" w:space="0" w:color="auto"/>
        <w:right w:val="none" w:sz="0" w:space="0" w:color="auto"/>
      </w:divBdr>
    </w:div>
    <w:div w:id="2026131950">
      <w:bodyDiv w:val="1"/>
      <w:marLeft w:val="0"/>
      <w:marRight w:val="0"/>
      <w:marTop w:val="0"/>
      <w:marBottom w:val="0"/>
      <w:divBdr>
        <w:top w:val="none" w:sz="0" w:space="0" w:color="auto"/>
        <w:left w:val="none" w:sz="0" w:space="0" w:color="auto"/>
        <w:bottom w:val="none" w:sz="0" w:space="0" w:color="auto"/>
        <w:right w:val="none" w:sz="0" w:space="0" w:color="auto"/>
      </w:divBdr>
    </w:div>
    <w:div w:id="2027437321">
      <w:bodyDiv w:val="1"/>
      <w:marLeft w:val="0"/>
      <w:marRight w:val="0"/>
      <w:marTop w:val="0"/>
      <w:marBottom w:val="0"/>
      <w:divBdr>
        <w:top w:val="none" w:sz="0" w:space="0" w:color="auto"/>
        <w:left w:val="none" w:sz="0" w:space="0" w:color="auto"/>
        <w:bottom w:val="none" w:sz="0" w:space="0" w:color="auto"/>
        <w:right w:val="none" w:sz="0" w:space="0" w:color="auto"/>
      </w:divBdr>
    </w:div>
    <w:div w:id="2030837900">
      <w:bodyDiv w:val="1"/>
      <w:marLeft w:val="0"/>
      <w:marRight w:val="0"/>
      <w:marTop w:val="0"/>
      <w:marBottom w:val="0"/>
      <w:divBdr>
        <w:top w:val="none" w:sz="0" w:space="0" w:color="auto"/>
        <w:left w:val="none" w:sz="0" w:space="0" w:color="auto"/>
        <w:bottom w:val="none" w:sz="0" w:space="0" w:color="auto"/>
        <w:right w:val="none" w:sz="0" w:space="0" w:color="auto"/>
      </w:divBdr>
    </w:div>
    <w:div w:id="2032338808">
      <w:bodyDiv w:val="1"/>
      <w:marLeft w:val="0"/>
      <w:marRight w:val="0"/>
      <w:marTop w:val="0"/>
      <w:marBottom w:val="0"/>
      <w:divBdr>
        <w:top w:val="none" w:sz="0" w:space="0" w:color="auto"/>
        <w:left w:val="none" w:sz="0" w:space="0" w:color="auto"/>
        <w:bottom w:val="none" w:sz="0" w:space="0" w:color="auto"/>
        <w:right w:val="none" w:sz="0" w:space="0" w:color="auto"/>
      </w:divBdr>
    </w:div>
    <w:div w:id="2034307344">
      <w:bodyDiv w:val="1"/>
      <w:marLeft w:val="0"/>
      <w:marRight w:val="0"/>
      <w:marTop w:val="0"/>
      <w:marBottom w:val="0"/>
      <w:divBdr>
        <w:top w:val="none" w:sz="0" w:space="0" w:color="auto"/>
        <w:left w:val="none" w:sz="0" w:space="0" w:color="auto"/>
        <w:bottom w:val="none" w:sz="0" w:space="0" w:color="auto"/>
        <w:right w:val="none" w:sz="0" w:space="0" w:color="auto"/>
      </w:divBdr>
    </w:div>
    <w:div w:id="2036155796">
      <w:bodyDiv w:val="1"/>
      <w:marLeft w:val="0"/>
      <w:marRight w:val="0"/>
      <w:marTop w:val="0"/>
      <w:marBottom w:val="0"/>
      <w:divBdr>
        <w:top w:val="none" w:sz="0" w:space="0" w:color="auto"/>
        <w:left w:val="none" w:sz="0" w:space="0" w:color="auto"/>
        <w:bottom w:val="none" w:sz="0" w:space="0" w:color="auto"/>
        <w:right w:val="none" w:sz="0" w:space="0" w:color="auto"/>
      </w:divBdr>
    </w:div>
    <w:div w:id="2037002692">
      <w:bodyDiv w:val="1"/>
      <w:marLeft w:val="0"/>
      <w:marRight w:val="0"/>
      <w:marTop w:val="0"/>
      <w:marBottom w:val="0"/>
      <w:divBdr>
        <w:top w:val="none" w:sz="0" w:space="0" w:color="auto"/>
        <w:left w:val="none" w:sz="0" w:space="0" w:color="auto"/>
        <w:bottom w:val="none" w:sz="0" w:space="0" w:color="auto"/>
        <w:right w:val="none" w:sz="0" w:space="0" w:color="auto"/>
      </w:divBdr>
    </w:div>
    <w:div w:id="2042894014">
      <w:bodyDiv w:val="1"/>
      <w:marLeft w:val="0"/>
      <w:marRight w:val="0"/>
      <w:marTop w:val="0"/>
      <w:marBottom w:val="0"/>
      <w:divBdr>
        <w:top w:val="none" w:sz="0" w:space="0" w:color="auto"/>
        <w:left w:val="none" w:sz="0" w:space="0" w:color="auto"/>
        <w:bottom w:val="none" w:sz="0" w:space="0" w:color="auto"/>
        <w:right w:val="none" w:sz="0" w:space="0" w:color="auto"/>
      </w:divBdr>
    </w:div>
    <w:div w:id="2045590427">
      <w:bodyDiv w:val="1"/>
      <w:marLeft w:val="0"/>
      <w:marRight w:val="0"/>
      <w:marTop w:val="0"/>
      <w:marBottom w:val="0"/>
      <w:divBdr>
        <w:top w:val="none" w:sz="0" w:space="0" w:color="auto"/>
        <w:left w:val="none" w:sz="0" w:space="0" w:color="auto"/>
        <w:bottom w:val="none" w:sz="0" w:space="0" w:color="auto"/>
        <w:right w:val="none" w:sz="0" w:space="0" w:color="auto"/>
      </w:divBdr>
    </w:div>
    <w:div w:id="2053767766">
      <w:bodyDiv w:val="1"/>
      <w:marLeft w:val="0"/>
      <w:marRight w:val="0"/>
      <w:marTop w:val="0"/>
      <w:marBottom w:val="0"/>
      <w:divBdr>
        <w:top w:val="none" w:sz="0" w:space="0" w:color="auto"/>
        <w:left w:val="none" w:sz="0" w:space="0" w:color="auto"/>
        <w:bottom w:val="none" w:sz="0" w:space="0" w:color="auto"/>
        <w:right w:val="none" w:sz="0" w:space="0" w:color="auto"/>
      </w:divBdr>
    </w:div>
    <w:div w:id="2063210197">
      <w:bodyDiv w:val="1"/>
      <w:marLeft w:val="0"/>
      <w:marRight w:val="0"/>
      <w:marTop w:val="0"/>
      <w:marBottom w:val="0"/>
      <w:divBdr>
        <w:top w:val="none" w:sz="0" w:space="0" w:color="auto"/>
        <w:left w:val="none" w:sz="0" w:space="0" w:color="auto"/>
        <w:bottom w:val="none" w:sz="0" w:space="0" w:color="auto"/>
        <w:right w:val="none" w:sz="0" w:space="0" w:color="auto"/>
      </w:divBdr>
    </w:div>
    <w:div w:id="2063475646">
      <w:bodyDiv w:val="1"/>
      <w:marLeft w:val="0"/>
      <w:marRight w:val="0"/>
      <w:marTop w:val="0"/>
      <w:marBottom w:val="0"/>
      <w:divBdr>
        <w:top w:val="none" w:sz="0" w:space="0" w:color="auto"/>
        <w:left w:val="none" w:sz="0" w:space="0" w:color="auto"/>
        <w:bottom w:val="none" w:sz="0" w:space="0" w:color="auto"/>
        <w:right w:val="none" w:sz="0" w:space="0" w:color="auto"/>
      </w:divBdr>
    </w:div>
    <w:div w:id="2067726826">
      <w:bodyDiv w:val="1"/>
      <w:marLeft w:val="0"/>
      <w:marRight w:val="0"/>
      <w:marTop w:val="0"/>
      <w:marBottom w:val="0"/>
      <w:divBdr>
        <w:top w:val="none" w:sz="0" w:space="0" w:color="auto"/>
        <w:left w:val="none" w:sz="0" w:space="0" w:color="auto"/>
        <w:bottom w:val="none" w:sz="0" w:space="0" w:color="auto"/>
        <w:right w:val="none" w:sz="0" w:space="0" w:color="auto"/>
      </w:divBdr>
    </w:div>
    <w:div w:id="2069258928">
      <w:bodyDiv w:val="1"/>
      <w:marLeft w:val="0"/>
      <w:marRight w:val="0"/>
      <w:marTop w:val="0"/>
      <w:marBottom w:val="0"/>
      <w:divBdr>
        <w:top w:val="none" w:sz="0" w:space="0" w:color="auto"/>
        <w:left w:val="none" w:sz="0" w:space="0" w:color="auto"/>
        <w:bottom w:val="none" w:sz="0" w:space="0" w:color="auto"/>
        <w:right w:val="none" w:sz="0" w:space="0" w:color="auto"/>
      </w:divBdr>
    </w:div>
    <w:div w:id="2069259420">
      <w:bodyDiv w:val="1"/>
      <w:marLeft w:val="0"/>
      <w:marRight w:val="0"/>
      <w:marTop w:val="0"/>
      <w:marBottom w:val="0"/>
      <w:divBdr>
        <w:top w:val="none" w:sz="0" w:space="0" w:color="auto"/>
        <w:left w:val="none" w:sz="0" w:space="0" w:color="auto"/>
        <w:bottom w:val="none" w:sz="0" w:space="0" w:color="auto"/>
        <w:right w:val="none" w:sz="0" w:space="0" w:color="auto"/>
      </w:divBdr>
    </w:div>
    <w:div w:id="2072343615">
      <w:bodyDiv w:val="1"/>
      <w:marLeft w:val="0"/>
      <w:marRight w:val="0"/>
      <w:marTop w:val="0"/>
      <w:marBottom w:val="0"/>
      <w:divBdr>
        <w:top w:val="none" w:sz="0" w:space="0" w:color="auto"/>
        <w:left w:val="none" w:sz="0" w:space="0" w:color="auto"/>
        <w:bottom w:val="none" w:sz="0" w:space="0" w:color="auto"/>
        <w:right w:val="none" w:sz="0" w:space="0" w:color="auto"/>
      </w:divBdr>
    </w:div>
    <w:div w:id="2073890466">
      <w:bodyDiv w:val="1"/>
      <w:marLeft w:val="0"/>
      <w:marRight w:val="0"/>
      <w:marTop w:val="0"/>
      <w:marBottom w:val="0"/>
      <w:divBdr>
        <w:top w:val="none" w:sz="0" w:space="0" w:color="auto"/>
        <w:left w:val="none" w:sz="0" w:space="0" w:color="auto"/>
        <w:bottom w:val="none" w:sz="0" w:space="0" w:color="auto"/>
        <w:right w:val="none" w:sz="0" w:space="0" w:color="auto"/>
      </w:divBdr>
    </w:div>
    <w:div w:id="2078434529">
      <w:bodyDiv w:val="1"/>
      <w:marLeft w:val="0"/>
      <w:marRight w:val="0"/>
      <w:marTop w:val="0"/>
      <w:marBottom w:val="0"/>
      <w:divBdr>
        <w:top w:val="none" w:sz="0" w:space="0" w:color="auto"/>
        <w:left w:val="none" w:sz="0" w:space="0" w:color="auto"/>
        <w:bottom w:val="none" w:sz="0" w:space="0" w:color="auto"/>
        <w:right w:val="none" w:sz="0" w:space="0" w:color="auto"/>
      </w:divBdr>
    </w:div>
    <w:div w:id="2080009561">
      <w:bodyDiv w:val="1"/>
      <w:marLeft w:val="0"/>
      <w:marRight w:val="0"/>
      <w:marTop w:val="0"/>
      <w:marBottom w:val="0"/>
      <w:divBdr>
        <w:top w:val="none" w:sz="0" w:space="0" w:color="auto"/>
        <w:left w:val="none" w:sz="0" w:space="0" w:color="auto"/>
        <w:bottom w:val="none" w:sz="0" w:space="0" w:color="auto"/>
        <w:right w:val="none" w:sz="0" w:space="0" w:color="auto"/>
      </w:divBdr>
    </w:div>
    <w:div w:id="2082748844">
      <w:bodyDiv w:val="1"/>
      <w:marLeft w:val="0"/>
      <w:marRight w:val="0"/>
      <w:marTop w:val="0"/>
      <w:marBottom w:val="0"/>
      <w:divBdr>
        <w:top w:val="none" w:sz="0" w:space="0" w:color="auto"/>
        <w:left w:val="none" w:sz="0" w:space="0" w:color="auto"/>
        <w:bottom w:val="none" w:sz="0" w:space="0" w:color="auto"/>
        <w:right w:val="none" w:sz="0" w:space="0" w:color="auto"/>
      </w:divBdr>
    </w:div>
    <w:div w:id="2096659968">
      <w:bodyDiv w:val="1"/>
      <w:marLeft w:val="0"/>
      <w:marRight w:val="0"/>
      <w:marTop w:val="0"/>
      <w:marBottom w:val="0"/>
      <w:divBdr>
        <w:top w:val="none" w:sz="0" w:space="0" w:color="auto"/>
        <w:left w:val="none" w:sz="0" w:space="0" w:color="auto"/>
        <w:bottom w:val="none" w:sz="0" w:space="0" w:color="auto"/>
        <w:right w:val="none" w:sz="0" w:space="0" w:color="auto"/>
      </w:divBdr>
    </w:div>
    <w:div w:id="2099129358">
      <w:bodyDiv w:val="1"/>
      <w:marLeft w:val="0"/>
      <w:marRight w:val="0"/>
      <w:marTop w:val="0"/>
      <w:marBottom w:val="0"/>
      <w:divBdr>
        <w:top w:val="none" w:sz="0" w:space="0" w:color="auto"/>
        <w:left w:val="none" w:sz="0" w:space="0" w:color="auto"/>
        <w:bottom w:val="none" w:sz="0" w:space="0" w:color="auto"/>
        <w:right w:val="none" w:sz="0" w:space="0" w:color="auto"/>
      </w:divBdr>
    </w:div>
    <w:div w:id="2100978728">
      <w:bodyDiv w:val="1"/>
      <w:marLeft w:val="0"/>
      <w:marRight w:val="0"/>
      <w:marTop w:val="0"/>
      <w:marBottom w:val="0"/>
      <w:divBdr>
        <w:top w:val="none" w:sz="0" w:space="0" w:color="auto"/>
        <w:left w:val="none" w:sz="0" w:space="0" w:color="auto"/>
        <w:bottom w:val="none" w:sz="0" w:space="0" w:color="auto"/>
        <w:right w:val="none" w:sz="0" w:space="0" w:color="auto"/>
      </w:divBdr>
    </w:div>
    <w:div w:id="2101636554">
      <w:bodyDiv w:val="1"/>
      <w:marLeft w:val="0"/>
      <w:marRight w:val="0"/>
      <w:marTop w:val="0"/>
      <w:marBottom w:val="0"/>
      <w:divBdr>
        <w:top w:val="none" w:sz="0" w:space="0" w:color="auto"/>
        <w:left w:val="none" w:sz="0" w:space="0" w:color="auto"/>
        <w:bottom w:val="none" w:sz="0" w:space="0" w:color="auto"/>
        <w:right w:val="none" w:sz="0" w:space="0" w:color="auto"/>
      </w:divBdr>
    </w:div>
    <w:div w:id="2101832764">
      <w:bodyDiv w:val="1"/>
      <w:marLeft w:val="0"/>
      <w:marRight w:val="0"/>
      <w:marTop w:val="0"/>
      <w:marBottom w:val="0"/>
      <w:divBdr>
        <w:top w:val="none" w:sz="0" w:space="0" w:color="auto"/>
        <w:left w:val="none" w:sz="0" w:space="0" w:color="auto"/>
        <w:bottom w:val="none" w:sz="0" w:space="0" w:color="auto"/>
        <w:right w:val="none" w:sz="0" w:space="0" w:color="auto"/>
      </w:divBdr>
    </w:div>
    <w:div w:id="2103142425">
      <w:bodyDiv w:val="1"/>
      <w:marLeft w:val="0"/>
      <w:marRight w:val="0"/>
      <w:marTop w:val="0"/>
      <w:marBottom w:val="0"/>
      <w:divBdr>
        <w:top w:val="none" w:sz="0" w:space="0" w:color="auto"/>
        <w:left w:val="none" w:sz="0" w:space="0" w:color="auto"/>
        <w:bottom w:val="none" w:sz="0" w:space="0" w:color="auto"/>
        <w:right w:val="none" w:sz="0" w:space="0" w:color="auto"/>
      </w:divBdr>
    </w:div>
    <w:div w:id="2105757006">
      <w:bodyDiv w:val="1"/>
      <w:marLeft w:val="0"/>
      <w:marRight w:val="0"/>
      <w:marTop w:val="0"/>
      <w:marBottom w:val="0"/>
      <w:divBdr>
        <w:top w:val="none" w:sz="0" w:space="0" w:color="auto"/>
        <w:left w:val="none" w:sz="0" w:space="0" w:color="auto"/>
        <w:bottom w:val="none" w:sz="0" w:space="0" w:color="auto"/>
        <w:right w:val="none" w:sz="0" w:space="0" w:color="auto"/>
      </w:divBdr>
    </w:div>
    <w:div w:id="2110541271">
      <w:bodyDiv w:val="1"/>
      <w:marLeft w:val="0"/>
      <w:marRight w:val="0"/>
      <w:marTop w:val="0"/>
      <w:marBottom w:val="0"/>
      <w:divBdr>
        <w:top w:val="none" w:sz="0" w:space="0" w:color="auto"/>
        <w:left w:val="none" w:sz="0" w:space="0" w:color="auto"/>
        <w:bottom w:val="none" w:sz="0" w:space="0" w:color="auto"/>
        <w:right w:val="none" w:sz="0" w:space="0" w:color="auto"/>
      </w:divBdr>
    </w:div>
    <w:div w:id="2112435253">
      <w:bodyDiv w:val="1"/>
      <w:marLeft w:val="0"/>
      <w:marRight w:val="0"/>
      <w:marTop w:val="0"/>
      <w:marBottom w:val="0"/>
      <w:divBdr>
        <w:top w:val="none" w:sz="0" w:space="0" w:color="auto"/>
        <w:left w:val="none" w:sz="0" w:space="0" w:color="auto"/>
        <w:bottom w:val="none" w:sz="0" w:space="0" w:color="auto"/>
        <w:right w:val="none" w:sz="0" w:space="0" w:color="auto"/>
      </w:divBdr>
    </w:div>
    <w:div w:id="2117556424">
      <w:bodyDiv w:val="1"/>
      <w:marLeft w:val="0"/>
      <w:marRight w:val="0"/>
      <w:marTop w:val="0"/>
      <w:marBottom w:val="0"/>
      <w:divBdr>
        <w:top w:val="none" w:sz="0" w:space="0" w:color="auto"/>
        <w:left w:val="none" w:sz="0" w:space="0" w:color="auto"/>
        <w:bottom w:val="none" w:sz="0" w:space="0" w:color="auto"/>
        <w:right w:val="none" w:sz="0" w:space="0" w:color="auto"/>
      </w:divBdr>
    </w:div>
    <w:div w:id="2118284395">
      <w:bodyDiv w:val="1"/>
      <w:marLeft w:val="0"/>
      <w:marRight w:val="0"/>
      <w:marTop w:val="0"/>
      <w:marBottom w:val="0"/>
      <w:divBdr>
        <w:top w:val="none" w:sz="0" w:space="0" w:color="auto"/>
        <w:left w:val="none" w:sz="0" w:space="0" w:color="auto"/>
        <w:bottom w:val="none" w:sz="0" w:space="0" w:color="auto"/>
        <w:right w:val="none" w:sz="0" w:space="0" w:color="auto"/>
      </w:divBdr>
    </w:div>
    <w:div w:id="2118594607">
      <w:bodyDiv w:val="1"/>
      <w:marLeft w:val="0"/>
      <w:marRight w:val="0"/>
      <w:marTop w:val="0"/>
      <w:marBottom w:val="0"/>
      <w:divBdr>
        <w:top w:val="none" w:sz="0" w:space="0" w:color="auto"/>
        <w:left w:val="none" w:sz="0" w:space="0" w:color="auto"/>
        <w:bottom w:val="none" w:sz="0" w:space="0" w:color="auto"/>
        <w:right w:val="none" w:sz="0" w:space="0" w:color="auto"/>
      </w:divBdr>
    </w:div>
    <w:div w:id="2122064013">
      <w:bodyDiv w:val="1"/>
      <w:marLeft w:val="0"/>
      <w:marRight w:val="0"/>
      <w:marTop w:val="0"/>
      <w:marBottom w:val="0"/>
      <w:divBdr>
        <w:top w:val="none" w:sz="0" w:space="0" w:color="auto"/>
        <w:left w:val="none" w:sz="0" w:space="0" w:color="auto"/>
        <w:bottom w:val="none" w:sz="0" w:space="0" w:color="auto"/>
        <w:right w:val="none" w:sz="0" w:space="0" w:color="auto"/>
      </w:divBdr>
    </w:div>
    <w:div w:id="2123183760">
      <w:bodyDiv w:val="1"/>
      <w:marLeft w:val="0"/>
      <w:marRight w:val="0"/>
      <w:marTop w:val="0"/>
      <w:marBottom w:val="0"/>
      <w:divBdr>
        <w:top w:val="none" w:sz="0" w:space="0" w:color="auto"/>
        <w:left w:val="none" w:sz="0" w:space="0" w:color="auto"/>
        <w:bottom w:val="none" w:sz="0" w:space="0" w:color="auto"/>
        <w:right w:val="none" w:sz="0" w:space="0" w:color="auto"/>
      </w:divBdr>
    </w:div>
    <w:div w:id="2123915311">
      <w:bodyDiv w:val="1"/>
      <w:marLeft w:val="0"/>
      <w:marRight w:val="0"/>
      <w:marTop w:val="0"/>
      <w:marBottom w:val="0"/>
      <w:divBdr>
        <w:top w:val="none" w:sz="0" w:space="0" w:color="auto"/>
        <w:left w:val="none" w:sz="0" w:space="0" w:color="auto"/>
        <w:bottom w:val="none" w:sz="0" w:space="0" w:color="auto"/>
        <w:right w:val="none" w:sz="0" w:space="0" w:color="auto"/>
      </w:divBdr>
    </w:div>
    <w:div w:id="2126580188">
      <w:bodyDiv w:val="1"/>
      <w:marLeft w:val="0"/>
      <w:marRight w:val="0"/>
      <w:marTop w:val="0"/>
      <w:marBottom w:val="0"/>
      <w:divBdr>
        <w:top w:val="none" w:sz="0" w:space="0" w:color="auto"/>
        <w:left w:val="none" w:sz="0" w:space="0" w:color="auto"/>
        <w:bottom w:val="none" w:sz="0" w:space="0" w:color="auto"/>
        <w:right w:val="none" w:sz="0" w:space="0" w:color="auto"/>
      </w:divBdr>
    </w:div>
    <w:div w:id="2127117128">
      <w:bodyDiv w:val="1"/>
      <w:marLeft w:val="0"/>
      <w:marRight w:val="0"/>
      <w:marTop w:val="0"/>
      <w:marBottom w:val="0"/>
      <w:divBdr>
        <w:top w:val="none" w:sz="0" w:space="0" w:color="auto"/>
        <w:left w:val="none" w:sz="0" w:space="0" w:color="auto"/>
        <w:bottom w:val="none" w:sz="0" w:space="0" w:color="auto"/>
        <w:right w:val="none" w:sz="0" w:space="0" w:color="auto"/>
      </w:divBdr>
    </w:div>
    <w:div w:id="2130313276">
      <w:bodyDiv w:val="1"/>
      <w:marLeft w:val="0"/>
      <w:marRight w:val="0"/>
      <w:marTop w:val="0"/>
      <w:marBottom w:val="0"/>
      <w:divBdr>
        <w:top w:val="none" w:sz="0" w:space="0" w:color="auto"/>
        <w:left w:val="none" w:sz="0" w:space="0" w:color="auto"/>
        <w:bottom w:val="none" w:sz="0" w:space="0" w:color="auto"/>
        <w:right w:val="none" w:sz="0" w:space="0" w:color="auto"/>
      </w:divBdr>
    </w:div>
    <w:div w:id="2135711379">
      <w:bodyDiv w:val="1"/>
      <w:marLeft w:val="0"/>
      <w:marRight w:val="0"/>
      <w:marTop w:val="0"/>
      <w:marBottom w:val="0"/>
      <w:divBdr>
        <w:top w:val="none" w:sz="0" w:space="0" w:color="auto"/>
        <w:left w:val="none" w:sz="0" w:space="0" w:color="auto"/>
        <w:bottom w:val="none" w:sz="0" w:space="0" w:color="auto"/>
        <w:right w:val="none" w:sz="0" w:space="0" w:color="auto"/>
      </w:divBdr>
    </w:div>
    <w:div w:id="2136485083">
      <w:bodyDiv w:val="1"/>
      <w:marLeft w:val="0"/>
      <w:marRight w:val="0"/>
      <w:marTop w:val="0"/>
      <w:marBottom w:val="0"/>
      <w:divBdr>
        <w:top w:val="none" w:sz="0" w:space="0" w:color="auto"/>
        <w:left w:val="none" w:sz="0" w:space="0" w:color="auto"/>
        <w:bottom w:val="none" w:sz="0" w:space="0" w:color="auto"/>
        <w:right w:val="none" w:sz="0" w:space="0" w:color="auto"/>
      </w:divBdr>
    </w:div>
    <w:div w:id="21398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1F4DB-37DA-4EA3-88E0-861231DB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699</Pages>
  <Words>251810</Words>
  <Characters>1435320</Characters>
  <Application>Microsoft Office Word</Application>
  <DocSecurity>0</DocSecurity>
  <Lines>11961</Lines>
  <Paragraphs>3367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dc:creator>
  <cp:keywords/>
  <dc:description/>
  <cp:lastModifiedBy>Mireille Servais</cp:lastModifiedBy>
  <cp:revision>5</cp:revision>
  <cp:lastPrinted>2026-06-22T07:48:00Z</cp:lastPrinted>
  <dcterms:created xsi:type="dcterms:W3CDTF">2026-06-24T06:43:00Z</dcterms:created>
  <dcterms:modified xsi:type="dcterms:W3CDTF">2026-06-24T07:37:00Z</dcterms:modified>
</cp:coreProperties>
</file>